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footer35.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6.xml" ContentType="application/vnd.openxmlformats-officedocument.wordprocessingml.header+xml"/>
  <Override PartName="/word/footer41.xml" ContentType="application/vnd.openxmlformats-officedocument.wordprocessingml.footer+xml"/>
  <Override PartName="/word/header27.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2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2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30.xml" ContentType="application/vnd.openxmlformats-officedocument.wordprocessingml.header+xml"/>
  <Override PartName="/word/footer70.xml" ContentType="application/vnd.openxmlformats-officedocument.wordprocessingml.footer+xml"/>
  <Override PartName="/word/header31.xml" ContentType="application/vnd.openxmlformats-officedocument.wordprocessingml.header+xml"/>
  <Override PartName="/word/footer71.xml" ContentType="application/vnd.openxmlformats-officedocument.wordprocessingml.footer+xml"/>
  <Override PartName="/word/header32.xml" ContentType="application/vnd.openxmlformats-officedocument.wordprocessingml.header+xml"/>
  <Override PartName="/word/footer72.xml" ContentType="application/vnd.openxmlformats-officedocument.wordprocessingml.footer+xml"/>
  <Override PartName="/word/header33.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34.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1DAE" w14:textId="7876466D" w:rsidR="00EB0F03" w:rsidRPr="00777395" w:rsidRDefault="004C645E" w:rsidP="00EB0F03">
      <w:pPr>
        <w:spacing w:after="160" w:line="259" w:lineRule="auto"/>
        <w:rPr>
          <w:rFonts w:ascii="Calibri" w:eastAsia="細明體" w:hAnsi="Calibri"/>
          <w:b/>
          <w:sz w:val="22"/>
          <w:szCs w:val="22"/>
          <w:lang w:eastAsia="zh-CN"/>
        </w:rPr>
      </w:pPr>
      <w:r>
        <w:rPr>
          <w:rFonts w:ascii="Calibri" w:eastAsia="細明體" w:hAnsi="Calibri" w:hint="eastAsia"/>
          <w:color w:val="AA322F"/>
          <w:sz w:val="28"/>
          <w:szCs w:val="22"/>
          <w:lang w:eastAsia="zh-TW"/>
        </w:rPr>
        <w:t xml:space="preserve"> </w:t>
      </w:r>
      <w:r w:rsidR="00EB0F03" w:rsidRPr="00777395">
        <w:rPr>
          <w:rFonts w:ascii="Calibri" w:eastAsia="細明體" w:hAnsi="Calibri" w:hint="eastAsia"/>
          <w:color w:val="AA322F"/>
          <w:sz w:val="28"/>
          <w:szCs w:val="22"/>
          <w:lang w:eastAsia="zh-CN"/>
        </w:rPr>
        <w:t>披露模版及表概覽</w:t>
      </w:r>
      <w:r w:rsidR="00EB0F03" w:rsidRPr="00777395">
        <w:rPr>
          <w:rFonts w:eastAsia="細明體"/>
          <w:color w:val="AA322F"/>
          <w:sz w:val="28"/>
          <w:szCs w:val="22"/>
          <w:vertAlign w:val="superscript"/>
          <w:lang w:eastAsia="zh-CN"/>
        </w:rPr>
        <w:footnoteReference w:id="2"/>
      </w:r>
    </w:p>
    <w:tbl>
      <w:tblPr>
        <w:tblW w:w="14460" w:type="dxa"/>
        <w:tblInd w:w="108" w:type="dxa"/>
        <w:tblLayout w:type="fixed"/>
        <w:tblLook w:val="0000" w:firstRow="0" w:lastRow="0" w:firstColumn="0" w:lastColumn="0" w:noHBand="0" w:noVBand="0"/>
      </w:tblPr>
      <w:tblGrid>
        <w:gridCol w:w="2127"/>
        <w:gridCol w:w="4819"/>
        <w:gridCol w:w="1701"/>
        <w:gridCol w:w="992"/>
        <w:gridCol w:w="992"/>
        <w:gridCol w:w="1276"/>
        <w:gridCol w:w="1276"/>
        <w:gridCol w:w="1277"/>
      </w:tblGrid>
      <w:tr w:rsidR="00EB0F03" w:rsidRPr="00777395" w14:paraId="45FA542B" w14:textId="77777777" w:rsidTr="00EB0F03">
        <w:trPr>
          <w:trHeight w:val="244"/>
          <w:tblHeader/>
        </w:trPr>
        <w:tc>
          <w:tcPr>
            <w:tcW w:w="2127" w:type="dxa"/>
            <w:vMerge w:val="restart"/>
            <w:tcBorders>
              <w:top w:val="single" w:sz="8" w:space="0" w:color="000000"/>
              <w:bottom w:val="single" w:sz="4" w:space="0" w:color="000000"/>
            </w:tcBorders>
            <w:shd w:val="clear" w:color="auto" w:fill="BFBFBF"/>
            <w:vAlign w:val="center"/>
          </w:tcPr>
          <w:p w14:paraId="27876ABD" w14:textId="77777777" w:rsidR="00EB0F03" w:rsidRPr="00777395" w:rsidRDefault="00EB0F03" w:rsidP="00EB0F03">
            <w:pPr>
              <w:tabs>
                <w:tab w:val="left" w:pos="794"/>
              </w:tabs>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披露規定</w:t>
            </w:r>
          </w:p>
        </w:tc>
        <w:tc>
          <w:tcPr>
            <w:tcW w:w="4819" w:type="dxa"/>
            <w:vMerge w:val="restart"/>
            <w:tcBorders>
              <w:top w:val="single" w:sz="8" w:space="0" w:color="000000"/>
              <w:left w:val="single" w:sz="8" w:space="0" w:color="000000"/>
              <w:bottom w:val="single" w:sz="4" w:space="0" w:color="000000"/>
            </w:tcBorders>
            <w:shd w:val="clear" w:color="auto" w:fill="BFBFBF"/>
            <w:vAlign w:val="center"/>
          </w:tcPr>
          <w:p w14:paraId="111695ED" w14:textId="47A130F1" w:rsidR="00EB0F03" w:rsidRPr="00777395" w:rsidRDefault="00EB0F03" w:rsidP="00EB0F03">
            <w:pPr>
              <w:tabs>
                <w:tab w:val="left" w:pos="794"/>
              </w:tabs>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表及模版</w:t>
            </w:r>
          </w:p>
        </w:tc>
        <w:tc>
          <w:tcPr>
            <w:tcW w:w="1701" w:type="dxa"/>
            <w:vMerge w:val="restart"/>
            <w:tcBorders>
              <w:top w:val="single" w:sz="8" w:space="0" w:color="000000"/>
              <w:left w:val="single" w:sz="8" w:space="0" w:color="000000"/>
              <w:bottom w:val="single" w:sz="4" w:space="0" w:color="000000"/>
            </w:tcBorders>
            <w:shd w:val="clear" w:color="auto" w:fill="BFBFBF"/>
            <w:vAlign w:val="center"/>
          </w:tcPr>
          <w:p w14:paraId="2A826098" w14:textId="77777777" w:rsidR="00EB0F03" w:rsidRPr="00777395" w:rsidRDefault="00EB0F03" w:rsidP="00EB0F03">
            <w:pPr>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適用範</w:t>
            </w:r>
            <w:proofErr w:type="gramStart"/>
            <w:r w:rsidRPr="00777395">
              <w:rPr>
                <w:rFonts w:ascii="Calibri" w:eastAsia="細明體" w:hAnsi="Calibri" w:hint="eastAsia"/>
                <w:b/>
                <w:sz w:val="22"/>
                <w:szCs w:val="22"/>
                <w:lang w:eastAsia="zh-CN"/>
              </w:rPr>
              <w:t>圍</w:t>
            </w:r>
            <w:proofErr w:type="gramEnd"/>
            <w:r w:rsidRPr="00777395">
              <w:rPr>
                <w:rFonts w:eastAsia="細明體"/>
                <w:b/>
                <w:sz w:val="22"/>
                <w:szCs w:val="22"/>
                <w:vertAlign w:val="superscript"/>
                <w:lang w:eastAsia="zh-CN"/>
              </w:rPr>
              <w:footnoteReference w:id="3"/>
            </w:r>
          </w:p>
        </w:tc>
        <w:tc>
          <w:tcPr>
            <w:tcW w:w="1984" w:type="dxa"/>
            <w:gridSpan w:val="2"/>
            <w:tcBorders>
              <w:top w:val="single" w:sz="8" w:space="0" w:color="000000"/>
              <w:left w:val="single" w:sz="8" w:space="0" w:color="000000"/>
              <w:bottom w:val="single" w:sz="8" w:space="0" w:color="000000"/>
            </w:tcBorders>
            <w:shd w:val="clear" w:color="auto" w:fill="BFBFBF"/>
            <w:vAlign w:val="center"/>
          </w:tcPr>
          <w:p w14:paraId="66C0633C" w14:textId="77777777" w:rsidR="00EB0F03" w:rsidRPr="00777395" w:rsidRDefault="00EB0F03" w:rsidP="00EB0F03">
            <w:pPr>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格式</w:t>
            </w:r>
          </w:p>
        </w:tc>
        <w:tc>
          <w:tcPr>
            <w:tcW w:w="3829"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14:paraId="7DABE197"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細明體" w:hAnsi="Calibri" w:hint="eastAsia"/>
                <w:b/>
                <w:sz w:val="22"/>
                <w:szCs w:val="22"/>
                <w:lang w:eastAsia="zh-CN"/>
              </w:rPr>
              <w:t>披露頻密程度</w:t>
            </w:r>
          </w:p>
        </w:tc>
      </w:tr>
      <w:tr w:rsidR="00EB0F03" w:rsidRPr="00777395" w14:paraId="65B074D3" w14:textId="77777777" w:rsidTr="00EB0F03">
        <w:trPr>
          <w:trHeight w:val="283"/>
          <w:tblHeader/>
        </w:trPr>
        <w:tc>
          <w:tcPr>
            <w:tcW w:w="2127" w:type="dxa"/>
            <w:vMerge/>
            <w:tcBorders>
              <w:top w:val="single" w:sz="4" w:space="0" w:color="000000"/>
              <w:bottom w:val="single" w:sz="8" w:space="0" w:color="000000"/>
            </w:tcBorders>
            <w:shd w:val="clear" w:color="auto" w:fill="BFBFBF"/>
          </w:tcPr>
          <w:p w14:paraId="2F7BC845" w14:textId="77777777" w:rsidR="00EB0F03" w:rsidRPr="00777395" w:rsidRDefault="00EB0F03" w:rsidP="00EB0F03">
            <w:pPr>
              <w:tabs>
                <w:tab w:val="left" w:pos="794"/>
              </w:tabs>
              <w:snapToGrid w:val="0"/>
              <w:spacing w:after="160" w:line="259" w:lineRule="auto"/>
              <w:jc w:val="center"/>
              <w:rPr>
                <w:rFonts w:ascii="Calibri" w:eastAsia="細明體" w:hAnsi="Calibri"/>
                <w:b/>
                <w:sz w:val="22"/>
                <w:szCs w:val="22"/>
                <w:lang w:eastAsia="zh-CN"/>
              </w:rPr>
            </w:pPr>
          </w:p>
        </w:tc>
        <w:tc>
          <w:tcPr>
            <w:tcW w:w="4819" w:type="dxa"/>
            <w:vMerge/>
            <w:tcBorders>
              <w:top w:val="single" w:sz="4" w:space="0" w:color="000000"/>
              <w:left w:val="single" w:sz="8" w:space="0" w:color="000000"/>
              <w:bottom w:val="single" w:sz="8" w:space="0" w:color="000000"/>
            </w:tcBorders>
            <w:shd w:val="clear" w:color="auto" w:fill="BFBFBF"/>
            <w:vAlign w:val="center"/>
          </w:tcPr>
          <w:p w14:paraId="3ABEBFF4" w14:textId="77777777" w:rsidR="00EB0F03" w:rsidRPr="00777395" w:rsidRDefault="00EB0F03" w:rsidP="00EB0F03">
            <w:pPr>
              <w:tabs>
                <w:tab w:val="left" w:pos="794"/>
              </w:tabs>
              <w:snapToGrid w:val="0"/>
              <w:spacing w:after="160" w:line="259" w:lineRule="auto"/>
              <w:jc w:val="center"/>
              <w:rPr>
                <w:rFonts w:ascii="Calibri" w:eastAsia="細明體" w:hAnsi="Calibri"/>
                <w:b/>
                <w:sz w:val="22"/>
                <w:szCs w:val="22"/>
                <w:lang w:eastAsia="zh-CN"/>
              </w:rPr>
            </w:pPr>
          </w:p>
        </w:tc>
        <w:tc>
          <w:tcPr>
            <w:tcW w:w="1701" w:type="dxa"/>
            <w:vMerge/>
            <w:tcBorders>
              <w:top w:val="single" w:sz="4" w:space="0" w:color="000000"/>
              <w:left w:val="single" w:sz="8" w:space="0" w:color="000000"/>
              <w:bottom w:val="single" w:sz="8" w:space="0" w:color="000000"/>
            </w:tcBorders>
            <w:shd w:val="clear" w:color="auto" w:fill="BFBFBF"/>
            <w:vAlign w:val="center"/>
          </w:tcPr>
          <w:p w14:paraId="42D6D905" w14:textId="77777777" w:rsidR="00EB0F03" w:rsidRPr="00777395" w:rsidRDefault="00EB0F03" w:rsidP="00EB0F03">
            <w:pPr>
              <w:snapToGrid w:val="0"/>
              <w:spacing w:after="160" w:line="259" w:lineRule="auto"/>
              <w:jc w:val="center"/>
              <w:rPr>
                <w:rFonts w:ascii="Calibri" w:eastAsia="細明體" w:hAnsi="Calibri"/>
                <w:b/>
                <w:sz w:val="22"/>
                <w:szCs w:val="22"/>
                <w:lang w:eastAsia="zh-CN"/>
              </w:rPr>
            </w:pPr>
          </w:p>
        </w:tc>
        <w:tc>
          <w:tcPr>
            <w:tcW w:w="992" w:type="dxa"/>
            <w:tcBorders>
              <w:top w:val="single" w:sz="8" w:space="0" w:color="000000"/>
              <w:left w:val="single" w:sz="8" w:space="0" w:color="000000"/>
              <w:bottom w:val="single" w:sz="8" w:space="0" w:color="000000"/>
            </w:tcBorders>
            <w:shd w:val="clear" w:color="auto" w:fill="BFBFBF"/>
            <w:vAlign w:val="center"/>
          </w:tcPr>
          <w:p w14:paraId="47506570" w14:textId="77777777" w:rsidR="00EB0F03" w:rsidRPr="00777395" w:rsidRDefault="00EB0F03" w:rsidP="00EB0F03">
            <w:pPr>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固定</w:t>
            </w:r>
          </w:p>
        </w:tc>
        <w:tc>
          <w:tcPr>
            <w:tcW w:w="992" w:type="dxa"/>
            <w:tcBorders>
              <w:top w:val="single" w:sz="8" w:space="0" w:color="000000"/>
              <w:left w:val="single" w:sz="4" w:space="0" w:color="000000"/>
              <w:bottom w:val="single" w:sz="8" w:space="0" w:color="000000"/>
            </w:tcBorders>
            <w:shd w:val="clear" w:color="auto" w:fill="BFBFBF"/>
            <w:vAlign w:val="center"/>
          </w:tcPr>
          <w:p w14:paraId="7250649C" w14:textId="77777777" w:rsidR="00EB0F03" w:rsidRPr="00777395" w:rsidRDefault="00EB0F03" w:rsidP="00EB0F03">
            <w:pPr>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非固定</w:t>
            </w:r>
          </w:p>
        </w:tc>
        <w:tc>
          <w:tcPr>
            <w:tcW w:w="1276" w:type="dxa"/>
            <w:tcBorders>
              <w:top w:val="single" w:sz="8" w:space="0" w:color="000000"/>
              <w:left w:val="single" w:sz="8" w:space="0" w:color="000000"/>
              <w:bottom w:val="single" w:sz="8" w:space="0" w:color="000000"/>
            </w:tcBorders>
            <w:shd w:val="clear" w:color="auto" w:fill="BFBFBF"/>
            <w:vAlign w:val="center"/>
          </w:tcPr>
          <w:p w14:paraId="1130963B" w14:textId="77777777" w:rsidR="00EB0F03" w:rsidRPr="00777395" w:rsidRDefault="00EB0F03" w:rsidP="00EB0F03">
            <w:pPr>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每季一次</w:t>
            </w:r>
          </w:p>
        </w:tc>
        <w:tc>
          <w:tcPr>
            <w:tcW w:w="1276" w:type="dxa"/>
            <w:tcBorders>
              <w:top w:val="single" w:sz="8" w:space="0" w:color="000000"/>
              <w:left w:val="single" w:sz="4" w:space="0" w:color="000000"/>
              <w:bottom w:val="single" w:sz="8" w:space="0" w:color="000000"/>
            </w:tcBorders>
            <w:shd w:val="clear" w:color="auto" w:fill="BFBFBF"/>
            <w:vAlign w:val="center"/>
          </w:tcPr>
          <w:p w14:paraId="10001C18" w14:textId="7A696145" w:rsidR="00EB0F03" w:rsidRPr="00777395" w:rsidRDefault="00EB0F03" w:rsidP="00EB0F03">
            <w:pPr>
              <w:spacing w:after="160" w:line="259" w:lineRule="auto"/>
              <w:jc w:val="center"/>
              <w:rPr>
                <w:rFonts w:ascii="Calibri" w:eastAsia="細明體" w:hAnsi="Calibri"/>
                <w:b/>
                <w:sz w:val="22"/>
                <w:szCs w:val="22"/>
                <w:lang w:eastAsia="zh-CN"/>
              </w:rPr>
            </w:pPr>
            <w:r w:rsidRPr="00777395">
              <w:rPr>
                <w:rFonts w:ascii="Calibri" w:eastAsia="細明體" w:hAnsi="Calibri" w:hint="eastAsia"/>
                <w:b/>
                <w:sz w:val="22"/>
                <w:szCs w:val="22"/>
                <w:lang w:eastAsia="zh-CN"/>
              </w:rPr>
              <w:t>每半年</w:t>
            </w:r>
            <w:r w:rsidR="00461F15">
              <w:rPr>
                <w:rFonts w:ascii="Calibri" w:eastAsia="SimSun" w:hAnsi="Calibri" w:hint="eastAsia"/>
                <w:b/>
                <w:sz w:val="22"/>
                <w:szCs w:val="22"/>
                <w:lang w:eastAsia="zh-CN"/>
              </w:rPr>
              <w:t xml:space="preserve">  </w:t>
            </w:r>
            <w:r w:rsidRPr="00777395">
              <w:rPr>
                <w:rFonts w:ascii="Calibri" w:eastAsia="細明體" w:hAnsi="Calibri" w:hint="eastAsia"/>
                <w:b/>
                <w:sz w:val="22"/>
                <w:szCs w:val="22"/>
                <w:lang w:eastAsia="zh-CN"/>
              </w:rPr>
              <w:t>一次</w:t>
            </w:r>
          </w:p>
        </w:tc>
        <w:tc>
          <w:tcPr>
            <w:tcW w:w="1277" w:type="dxa"/>
            <w:tcBorders>
              <w:top w:val="single" w:sz="8" w:space="0" w:color="000000"/>
              <w:left w:val="single" w:sz="4" w:space="0" w:color="000000"/>
              <w:bottom w:val="single" w:sz="8" w:space="0" w:color="000000"/>
              <w:right w:val="single" w:sz="8" w:space="0" w:color="000000"/>
            </w:tcBorders>
            <w:shd w:val="clear" w:color="auto" w:fill="BFBFBF"/>
            <w:vAlign w:val="center"/>
          </w:tcPr>
          <w:p w14:paraId="6F428335"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細明體" w:hAnsi="Calibri" w:hint="eastAsia"/>
                <w:b/>
                <w:sz w:val="22"/>
                <w:szCs w:val="22"/>
                <w:lang w:eastAsia="zh-CN"/>
              </w:rPr>
              <w:t>每年一次</w:t>
            </w:r>
          </w:p>
        </w:tc>
      </w:tr>
      <w:tr w:rsidR="00EB0F03" w:rsidRPr="00777395" w14:paraId="3F9F7095" w14:textId="77777777" w:rsidTr="00EB0F03">
        <w:trPr>
          <w:cantSplit/>
          <w:trHeight w:val="283"/>
        </w:trPr>
        <w:tc>
          <w:tcPr>
            <w:tcW w:w="2127" w:type="dxa"/>
            <w:vMerge w:val="restart"/>
            <w:tcBorders>
              <w:top w:val="single" w:sz="8" w:space="0" w:color="000000"/>
              <w:bottom w:val="single" w:sz="4" w:space="0" w:color="000000"/>
            </w:tcBorders>
            <w:shd w:val="clear" w:color="auto" w:fill="auto"/>
          </w:tcPr>
          <w:p w14:paraId="3D7EA422" w14:textId="77777777" w:rsidR="00EB0F03" w:rsidRPr="00777395" w:rsidRDefault="00EB0F03" w:rsidP="00EB0F03">
            <w:pPr>
              <w:spacing w:after="160" w:line="259" w:lineRule="auto"/>
              <w:rPr>
                <w:rFonts w:ascii="Calibri" w:eastAsia="細明體" w:hAnsi="Calibri"/>
                <w:sz w:val="22"/>
                <w:szCs w:val="22"/>
                <w:lang w:eastAsia="zh-TW"/>
              </w:rPr>
            </w:pPr>
            <w:r w:rsidRPr="00777395">
              <w:rPr>
                <w:rFonts w:ascii="Calibri" w:eastAsia="細明體" w:hAnsi="Calibri"/>
                <w:sz w:val="22"/>
                <w:szCs w:val="22"/>
                <w:lang w:eastAsia="zh-TW"/>
              </w:rPr>
              <w:t>第</w:t>
            </w:r>
            <w:r w:rsidRPr="00777395">
              <w:rPr>
                <w:rFonts w:ascii="Calibri" w:eastAsia="細明體" w:hAnsi="Calibri"/>
                <w:sz w:val="22"/>
                <w:szCs w:val="22"/>
                <w:lang w:eastAsia="zh-TW"/>
              </w:rPr>
              <w:t>I</w:t>
            </w:r>
            <w:r w:rsidRPr="00777395">
              <w:rPr>
                <w:rFonts w:ascii="Calibri" w:eastAsia="細明體" w:hAnsi="Calibri"/>
                <w:sz w:val="22"/>
                <w:szCs w:val="22"/>
                <w:lang w:eastAsia="zh-TW"/>
              </w:rPr>
              <w:t>部：主要審慎比率、風險管理概</w:t>
            </w:r>
            <w:proofErr w:type="gramStart"/>
            <w:r w:rsidRPr="00777395">
              <w:rPr>
                <w:rFonts w:ascii="Calibri" w:eastAsia="細明體" w:hAnsi="Calibri"/>
                <w:sz w:val="22"/>
                <w:szCs w:val="22"/>
                <w:lang w:eastAsia="zh-TW"/>
              </w:rPr>
              <w:t>覽</w:t>
            </w:r>
            <w:proofErr w:type="gramEnd"/>
            <w:r w:rsidRPr="00777395">
              <w:rPr>
                <w:rFonts w:ascii="Calibri" w:eastAsia="細明體" w:hAnsi="Calibri"/>
                <w:sz w:val="22"/>
                <w:szCs w:val="22"/>
                <w:lang w:eastAsia="zh-TW"/>
              </w:rPr>
              <w:t>及風險加權數額概</w:t>
            </w:r>
            <w:proofErr w:type="gramStart"/>
            <w:r w:rsidRPr="00777395">
              <w:rPr>
                <w:rFonts w:ascii="Calibri" w:eastAsia="細明體" w:hAnsi="Calibri"/>
                <w:sz w:val="22"/>
                <w:szCs w:val="22"/>
                <w:lang w:eastAsia="zh-TW"/>
              </w:rPr>
              <w:t>覽</w:t>
            </w:r>
            <w:proofErr w:type="gramEnd"/>
          </w:p>
          <w:p w14:paraId="3E6B9241" w14:textId="77777777" w:rsidR="00EB0F03" w:rsidRPr="00777395" w:rsidRDefault="00EB0F03" w:rsidP="00EB0F03">
            <w:pPr>
              <w:spacing w:after="160" w:line="259" w:lineRule="auto"/>
              <w:rPr>
                <w:rFonts w:ascii="Calibri" w:eastAsia="細明體" w:hAnsi="Calibri"/>
                <w:sz w:val="22"/>
                <w:szCs w:val="22"/>
                <w:lang w:eastAsia="zh-TW"/>
              </w:rPr>
            </w:pPr>
          </w:p>
        </w:tc>
        <w:tc>
          <w:tcPr>
            <w:tcW w:w="4819" w:type="dxa"/>
            <w:tcBorders>
              <w:top w:val="single" w:sz="8" w:space="0" w:color="000000"/>
              <w:left w:val="single" w:sz="8" w:space="0" w:color="000000"/>
              <w:bottom w:val="single" w:sz="4" w:space="0" w:color="auto"/>
            </w:tcBorders>
            <w:shd w:val="clear" w:color="auto" w:fill="auto"/>
          </w:tcPr>
          <w:p w14:paraId="3FD6A2A7" w14:textId="77777777" w:rsidR="00EB0F03" w:rsidRPr="00777395" w:rsidRDefault="00EB0F03" w:rsidP="00EB0F03">
            <w:pPr>
              <w:spacing w:after="160" w:line="259" w:lineRule="auto"/>
              <w:rPr>
                <w:rFonts w:ascii="Calibri" w:eastAsia="細明體" w:hAnsi="Calibri"/>
                <w:sz w:val="22"/>
                <w:szCs w:val="22"/>
                <w:lang w:eastAsia="zh-TW"/>
              </w:rPr>
            </w:pPr>
            <w:r w:rsidRPr="00777395">
              <w:rPr>
                <w:rFonts w:ascii="Calibri" w:eastAsia="細明體" w:hAnsi="Calibri" w:hint="eastAsia"/>
                <w:sz w:val="22"/>
                <w:szCs w:val="22"/>
                <w:lang w:eastAsia="zh-TW"/>
              </w:rPr>
              <w:t>表</w:t>
            </w:r>
            <w:r w:rsidRPr="00777395">
              <w:rPr>
                <w:rFonts w:ascii="Calibri" w:eastAsia="細明體" w:hAnsi="Calibri"/>
                <w:sz w:val="22"/>
                <w:szCs w:val="22"/>
                <w:lang w:eastAsia="zh-TW"/>
              </w:rPr>
              <w:t>OVA</w:t>
            </w:r>
            <w:r w:rsidRPr="00777395">
              <w:rPr>
                <w:rFonts w:ascii="Calibri" w:eastAsia="細明體" w:hAnsi="Calibri" w:hint="eastAsia"/>
                <w:sz w:val="22"/>
                <w:szCs w:val="22"/>
                <w:lang w:eastAsia="zh-TW"/>
              </w:rPr>
              <w:t>：風險管理概</w:t>
            </w:r>
            <w:proofErr w:type="gramStart"/>
            <w:r w:rsidRPr="00777395">
              <w:rPr>
                <w:rFonts w:ascii="Calibri" w:eastAsia="細明體" w:hAnsi="Calibri" w:hint="eastAsia"/>
                <w:sz w:val="22"/>
                <w:szCs w:val="22"/>
                <w:lang w:eastAsia="zh-TW"/>
              </w:rPr>
              <w:t>覽</w:t>
            </w:r>
            <w:proofErr w:type="gramEnd"/>
          </w:p>
        </w:tc>
        <w:tc>
          <w:tcPr>
            <w:tcW w:w="1701" w:type="dxa"/>
            <w:tcBorders>
              <w:top w:val="single" w:sz="8" w:space="0" w:color="000000"/>
              <w:left w:val="single" w:sz="8" w:space="0" w:color="000000"/>
              <w:bottom w:val="single" w:sz="4" w:space="0" w:color="auto"/>
            </w:tcBorders>
            <w:shd w:val="clear" w:color="auto" w:fill="auto"/>
            <w:vAlign w:val="center"/>
          </w:tcPr>
          <w:p w14:paraId="282AAEBF" w14:textId="77777777" w:rsidR="00EB0F03" w:rsidRPr="00777395" w:rsidRDefault="00EB0F03" w:rsidP="00EB0F03">
            <w:pPr>
              <w:spacing w:after="160" w:line="259" w:lineRule="auto"/>
              <w:jc w:val="center"/>
              <w:rPr>
                <w:rFonts w:ascii="Calibri" w:eastAsia="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8" w:space="0" w:color="000000"/>
              <w:left w:val="single" w:sz="8" w:space="0" w:color="000000"/>
              <w:bottom w:val="single" w:sz="4" w:space="0" w:color="auto"/>
            </w:tcBorders>
            <w:shd w:val="clear" w:color="auto" w:fill="auto"/>
            <w:vAlign w:val="center"/>
          </w:tcPr>
          <w:p w14:paraId="087E9335" w14:textId="77777777" w:rsidR="00EB0F03" w:rsidRPr="00777395" w:rsidRDefault="00EB0F03" w:rsidP="00EB0F03">
            <w:pPr>
              <w:snapToGrid w:val="0"/>
              <w:spacing w:after="160" w:line="259" w:lineRule="auto"/>
              <w:rPr>
                <w:rFonts w:ascii="Calibri" w:eastAsia="細明體" w:hAnsi="Calibri"/>
                <w:sz w:val="22"/>
                <w:szCs w:val="22"/>
                <w:lang w:eastAsia="zh-CN"/>
              </w:rPr>
            </w:pPr>
          </w:p>
        </w:tc>
        <w:tc>
          <w:tcPr>
            <w:tcW w:w="992" w:type="dxa"/>
            <w:tcBorders>
              <w:top w:val="single" w:sz="8" w:space="0" w:color="000000"/>
              <w:left w:val="single" w:sz="4" w:space="0" w:color="000000"/>
              <w:bottom w:val="single" w:sz="4" w:space="0" w:color="auto"/>
            </w:tcBorders>
            <w:shd w:val="clear" w:color="auto" w:fill="auto"/>
            <w:vAlign w:val="center"/>
          </w:tcPr>
          <w:p w14:paraId="7AE2061B" w14:textId="77777777" w:rsidR="00EB0F03" w:rsidRPr="00777395" w:rsidRDefault="00EB0F03" w:rsidP="00EB0F03">
            <w:pPr>
              <w:spacing w:after="160" w:line="259" w:lineRule="auto"/>
              <w:jc w:val="center"/>
              <w:rPr>
                <w:rFonts w:ascii="Calibri" w:eastAsia="細明體" w:hAnsi="Calibri"/>
                <w:sz w:val="22"/>
                <w:szCs w:val="22"/>
                <w:lang w:eastAsia="zh-CN"/>
              </w:rPr>
            </w:pPr>
            <w:r w:rsidRPr="00777395">
              <w:rPr>
                <w:rFonts w:ascii="Wingdings 2" w:eastAsia="新細明體" w:hAnsi="Wingdings 2" w:cs="Wingdings 2"/>
                <w:sz w:val="22"/>
                <w:szCs w:val="22"/>
                <w:lang w:eastAsia="zh-CN"/>
              </w:rPr>
              <w:t></w:t>
            </w:r>
          </w:p>
        </w:tc>
        <w:tc>
          <w:tcPr>
            <w:tcW w:w="1276" w:type="dxa"/>
            <w:tcBorders>
              <w:top w:val="single" w:sz="8" w:space="0" w:color="000000"/>
              <w:left w:val="single" w:sz="8" w:space="0" w:color="000000"/>
              <w:bottom w:val="single" w:sz="4" w:space="0" w:color="auto"/>
            </w:tcBorders>
            <w:shd w:val="clear" w:color="auto" w:fill="auto"/>
            <w:vAlign w:val="center"/>
          </w:tcPr>
          <w:p w14:paraId="4C11404E" w14:textId="77777777" w:rsidR="00EB0F03" w:rsidRPr="00777395" w:rsidRDefault="00EB0F03" w:rsidP="00EB0F03">
            <w:pPr>
              <w:snapToGrid w:val="0"/>
              <w:spacing w:after="160" w:line="259" w:lineRule="auto"/>
              <w:rPr>
                <w:rFonts w:ascii="Calibri" w:eastAsia="細明體" w:hAnsi="Calibri"/>
                <w:sz w:val="22"/>
                <w:szCs w:val="22"/>
                <w:lang w:eastAsia="zh-CN"/>
              </w:rPr>
            </w:pPr>
          </w:p>
        </w:tc>
        <w:tc>
          <w:tcPr>
            <w:tcW w:w="1276" w:type="dxa"/>
            <w:tcBorders>
              <w:top w:val="single" w:sz="8" w:space="0" w:color="000000"/>
              <w:left w:val="single" w:sz="4" w:space="0" w:color="000000"/>
              <w:bottom w:val="single" w:sz="4" w:space="0" w:color="auto"/>
            </w:tcBorders>
            <w:shd w:val="clear" w:color="auto" w:fill="auto"/>
            <w:vAlign w:val="center"/>
          </w:tcPr>
          <w:p w14:paraId="4CDCCBF9" w14:textId="77777777" w:rsidR="00EB0F03" w:rsidRPr="00777395" w:rsidRDefault="00EB0F03" w:rsidP="00EB0F03">
            <w:pPr>
              <w:snapToGrid w:val="0"/>
              <w:spacing w:after="160" w:line="259" w:lineRule="auto"/>
              <w:rPr>
                <w:rFonts w:ascii="Calibri" w:eastAsia="細明體" w:hAnsi="Calibri"/>
                <w:sz w:val="22"/>
                <w:szCs w:val="22"/>
                <w:lang w:eastAsia="zh-CN"/>
              </w:rPr>
            </w:pPr>
          </w:p>
        </w:tc>
        <w:tc>
          <w:tcPr>
            <w:tcW w:w="1277" w:type="dxa"/>
            <w:tcBorders>
              <w:top w:val="single" w:sz="8" w:space="0" w:color="000000"/>
              <w:left w:val="single" w:sz="4" w:space="0" w:color="000000"/>
              <w:bottom w:val="single" w:sz="4" w:space="0" w:color="auto"/>
              <w:right w:val="single" w:sz="8" w:space="0" w:color="000000"/>
            </w:tcBorders>
            <w:shd w:val="clear" w:color="auto" w:fill="auto"/>
            <w:vAlign w:val="center"/>
          </w:tcPr>
          <w:p w14:paraId="4D89EEEA"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Wingdings 2" w:eastAsia="新細明體" w:hAnsi="Wingdings 2" w:cs="Wingdings 2"/>
                <w:sz w:val="22"/>
                <w:szCs w:val="22"/>
                <w:lang w:eastAsia="zh-CN"/>
              </w:rPr>
              <w:t></w:t>
            </w:r>
          </w:p>
        </w:tc>
      </w:tr>
      <w:tr w:rsidR="00EB0F03" w:rsidRPr="00777395" w14:paraId="070AB0B1" w14:textId="77777777" w:rsidTr="00EB0F03">
        <w:trPr>
          <w:cantSplit/>
          <w:trHeight w:val="283"/>
        </w:trPr>
        <w:tc>
          <w:tcPr>
            <w:tcW w:w="2127" w:type="dxa"/>
            <w:vMerge/>
            <w:tcBorders>
              <w:top w:val="single" w:sz="4" w:space="0" w:color="000000"/>
              <w:bottom w:val="single" w:sz="8" w:space="0" w:color="000000"/>
            </w:tcBorders>
            <w:shd w:val="clear" w:color="auto" w:fill="auto"/>
          </w:tcPr>
          <w:p w14:paraId="62AEDB58" w14:textId="77777777" w:rsidR="00EB0F03" w:rsidRPr="00777395" w:rsidRDefault="00EB0F03" w:rsidP="00EB0F03">
            <w:pPr>
              <w:snapToGrid w:val="0"/>
              <w:spacing w:after="160" w:line="259" w:lineRule="auto"/>
              <w:rPr>
                <w:rFonts w:ascii="Calibri" w:eastAsia="細明體" w:hAnsi="Calibri"/>
                <w:sz w:val="22"/>
                <w:szCs w:val="22"/>
                <w:lang w:eastAsia="zh-CN"/>
              </w:rPr>
            </w:pPr>
          </w:p>
        </w:tc>
        <w:tc>
          <w:tcPr>
            <w:tcW w:w="4819" w:type="dxa"/>
            <w:tcBorders>
              <w:top w:val="single" w:sz="4" w:space="0" w:color="auto"/>
              <w:left w:val="single" w:sz="8" w:space="0" w:color="000000"/>
              <w:bottom w:val="single" w:sz="4" w:space="0" w:color="auto"/>
            </w:tcBorders>
            <w:shd w:val="clear" w:color="auto" w:fill="auto"/>
          </w:tcPr>
          <w:p w14:paraId="6921A94A" w14:textId="77777777" w:rsidR="00EB0F03" w:rsidRPr="00777395" w:rsidRDefault="00EB0F03" w:rsidP="00EB0F03">
            <w:pPr>
              <w:spacing w:after="160" w:line="259" w:lineRule="auto"/>
              <w:rPr>
                <w:rFonts w:ascii="Calibri" w:eastAsia="新細明體" w:hAnsi="Calibri"/>
                <w:sz w:val="22"/>
                <w:szCs w:val="22"/>
                <w:lang w:val="en-US" w:eastAsia="zh-TW"/>
              </w:rPr>
            </w:pPr>
            <w:r w:rsidRPr="00777395">
              <w:rPr>
                <w:rFonts w:ascii="Calibri" w:eastAsia="細明體" w:hAnsi="Calibri"/>
                <w:sz w:val="22"/>
                <w:szCs w:val="22"/>
                <w:lang w:eastAsia="zh-TW"/>
              </w:rPr>
              <w:t>模版</w:t>
            </w:r>
            <w:r w:rsidRPr="00777395">
              <w:rPr>
                <w:rFonts w:ascii="Calibri" w:eastAsia="新細明體" w:hAnsi="Calibri"/>
                <w:sz w:val="22"/>
                <w:szCs w:val="22"/>
                <w:lang w:eastAsia="zh-TW"/>
              </w:rPr>
              <w:t>KM1</w:t>
            </w:r>
            <w:r w:rsidRPr="00777395">
              <w:rPr>
                <w:rFonts w:ascii="Calibri" w:eastAsia="細明體" w:hAnsi="Calibri"/>
                <w:sz w:val="22"/>
                <w:szCs w:val="22"/>
                <w:lang w:eastAsia="zh-TW"/>
              </w:rPr>
              <w:t>：主要審慎比率</w:t>
            </w:r>
          </w:p>
        </w:tc>
        <w:tc>
          <w:tcPr>
            <w:tcW w:w="1701" w:type="dxa"/>
            <w:tcBorders>
              <w:top w:val="single" w:sz="4" w:space="0" w:color="auto"/>
              <w:left w:val="single" w:sz="8" w:space="0" w:color="000000"/>
              <w:bottom w:val="single" w:sz="4" w:space="0" w:color="auto"/>
            </w:tcBorders>
            <w:shd w:val="clear" w:color="auto" w:fill="auto"/>
          </w:tcPr>
          <w:p w14:paraId="4B68726B"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auto"/>
              <w:left w:val="single" w:sz="8" w:space="0" w:color="000000"/>
              <w:bottom w:val="single" w:sz="4" w:space="0" w:color="auto"/>
            </w:tcBorders>
            <w:shd w:val="clear" w:color="auto" w:fill="auto"/>
            <w:vAlign w:val="center"/>
          </w:tcPr>
          <w:p w14:paraId="00FA5A5A" w14:textId="77777777" w:rsidR="00EB0F03" w:rsidRPr="00777395" w:rsidRDefault="00EB0F03" w:rsidP="00EB0F03">
            <w:pPr>
              <w:spacing w:after="160" w:line="259" w:lineRule="auto"/>
              <w:jc w:val="center"/>
              <w:rPr>
                <w:rFonts w:ascii="Calibri" w:eastAsia="新細明體" w:hAnsi="Calibri"/>
                <w:sz w:val="22"/>
                <w:szCs w:val="22"/>
                <w:lang w:eastAsia="en-GB"/>
              </w:rPr>
            </w:pPr>
            <w:r w:rsidRPr="00777395">
              <w:rPr>
                <w:rFonts w:ascii="Calibri" w:eastAsia="新細明體" w:hAnsi="Calibri"/>
                <w:sz w:val="22"/>
                <w:szCs w:val="22"/>
                <w:lang w:eastAsia="en-GB"/>
              </w:rPr>
              <w:sym w:font="Wingdings 2" w:char="F050"/>
            </w:r>
          </w:p>
        </w:tc>
        <w:tc>
          <w:tcPr>
            <w:tcW w:w="992" w:type="dxa"/>
            <w:tcBorders>
              <w:top w:val="single" w:sz="4" w:space="0" w:color="auto"/>
              <w:left w:val="single" w:sz="4" w:space="0" w:color="000000"/>
              <w:bottom w:val="single" w:sz="4" w:space="0" w:color="auto"/>
            </w:tcBorders>
            <w:shd w:val="clear" w:color="auto" w:fill="auto"/>
            <w:vAlign w:val="center"/>
          </w:tcPr>
          <w:p w14:paraId="1F68DC41" w14:textId="77777777" w:rsidR="00EB0F03" w:rsidRPr="00777395" w:rsidRDefault="00EB0F03" w:rsidP="00EB0F03">
            <w:pPr>
              <w:spacing w:after="160" w:line="259" w:lineRule="auto"/>
              <w:jc w:val="center"/>
              <w:rPr>
                <w:rFonts w:ascii="Calibri" w:eastAsia="新細明體" w:hAnsi="Calibri"/>
                <w:sz w:val="22"/>
                <w:szCs w:val="22"/>
                <w:lang w:eastAsia="en-GB"/>
              </w:rPr>
            </w:pPr>
          </w:p>
        </w:tc>
        <w:tc>
          <w:tcPr>
            <w:tcW w:w="1276" w:type="dxa"/>
            <w:tcBorders>
              <w:top w:val="single" w:sz="4" w:space="0" w:color="auto"/>
              <w:left w:val="single" w:sz="8" w:space="0" w:color="000000"/>
              <w:bottom w:val="single" w:sz="4" w:space="0" w:color="auto"/>
            </w:tcBorders>
            <w:shd w:val="clear" w:color="auto" w:fill="auto"/>
            <w:vAlign w:val="center"/>
          </w:tcPr>
          <w:p w14:paraId="14D66DE1" w14:textId="77777777" w:rsidR="00EB0F03" w:rsidRPr="00777395" w:rsidRDefault="00EB0F03" w:rsidP="00EB0F03">
            <w:pPr>
              <w:spacing w:after="160" w:line="259" w:lineRule="auto"/>
              <w:jc w:val="center"/>
              <w:rPr>
                <w:rFonts w:ascii="Calibri" w:eastAsia="新細明體" w:hAnsi="Calibri"/>
                <w:sz w:val="22"/>
                <w:szCs w:val="22"/>
                <w:lang w:eastAsia="en-GB"/>
              </w:rPr>
            </w:pPr>
            <w:r w:rsidRPr="00777395">
              <w:rPr>
                <w:rFonts w:ascii="Calibri" w:eastAsia="新細明體" w:hAnsi="Calibri"/>
                <w:sz w:val="22"/>
                <w:szCs w:val="22"/>
                <w:lang w:eastAsia="en-GB"/>
              </w:rPr>
              <w:sym w:font="Wingdings 2" w:char="F050"/>
            </w:r>
          </w:p>
        </w:tc>
        <w:tc>
          <w:tcPr>
            <w:tcW w:w="1276" w:type="dxa"/>
            <w:tcBorders>
              <w:top w:val="single" w:sz="4" w:space="0" w:color="auto"/>
              <w:left w:val="single" w:sz="4" w:space="0" w:color="000000"/>
              <w:bottom w:val="single" w:sz="4" w:space="0" w:color="auto"/>
            </w:tcBorders>
            <w:shd w:val="clear" w:color="auto" w:fill="auto"/>
          </w:tcPr>
          <w:p w14:paraId="0141FB90" w14:textId="77777777" w:rsidR="00EB0F03" w:rsidRPr="00777395" w:rsidRDefault="00EB0F03" w:rsidP="00EB0F03">
            <w:pPr>
              <w:snapToGrid w:val="0"/>
              <w:spacing w:after="160" w:line="259" w:lineRule="auto"/>
              <w:jc w:val="center"/>
              <w:rPr>
                <w:rFonts w:ascii="Calibri" w:eastAsia="細明體" w:hAnsi="Calibri"/>
                <w:sz w:val="22"/>
                <w:szCs w:val="22"/>
                <w:lang w:eastAsia="zh-CN"/>
              </w:rPr>
            </w:pPr>
          </w:p>
        </w:tc>
        <w:tc>
          <w:tcPr>
            <w:tcW w:w="1277" w:type="dxa"/>
            <w:tcBorders>
              <w:top w:val="single" w:sz="4" w:space="0" w:color="auto"/>
              <w:left w:val="single" w:sz="4" w:space="0" w:color="000000"/>
              <w:bottom w:val="single" w:sz="4" w:space="0" w:color="auto"/>
              <w:right w:val="single" w:sz="8" w:space="0" w:color="000000"/>
            </w:tcBorders>
            <w:shd w:val="clear" w:color="auto" w:fill="auto"/>
          </w:tcPr>
          <w:p w14:paraId="5B5C8297" w14:textId="77777777" w:rsidR="00EB0F03" w:rsidRPr="00777395" w:rsidRDefault="00EB0F03" w:rsidP="00EB0F03">
            <w:pPr>
              <w:snapToGrid w:val="0"/>
              <w:spacing w:after="160" w:line="259" w:lineRule="auto"/>
              <w:jc w:val="center"/>
              <w:rPr>
                <w:rFonts w:ascii="Calibri" w:eastAsia="細明體" w:hAnsi="Calibri"/>
                <w:sz w:val="22"/>
                <w:szCs w:val="22"/>
                <w:lang w:eastAsia="zh-CN"/>
              </w:rPr>
            </w:pPr>
          </w:p>
        </w:tc>
      </w:tr>
      <w:tr w:rsidR="00EB0F03" w:rsidRPr="00777395" w14:paraId="42128DF0" w14:textId="77777777" w:rsidTr="00EB0F03">
        <w:trPr>
          <w:cantSplit/>
          <w:trHeight w:val="339"/>
        </w:trPr>
        <w:tc>
          <w:tcPr>
            <w:tcW w:w="2127" w:type="dxa"/>
            <w:vMerge/>
            <w:tcBorders>
              <w:top w:val="single" w:sz="4" w:space="0" w:color="000000"/>
              <w:bottom w:val="single" w:sz="8" w:space="0" w:color="000000"/>
            </w:tcBorders>
            <w:shd w:val="clear" w:color="auto" w:fill="auto"/>
          </w:tcPr>
          <w:p w14:paraId="402924C2" w14:textId="77777777" w:rsidR="00EB0F03" w:rsidRPr="00777395" w:rsidRDefault="00EB0F03" w:rsidP="00EB0F03">
            <w:pPr>
              <w:snapToGrid w:val="0"/>
              <w:spacing w:after="160" w:line="259" w:lineRule="auto"/>
              <w:rPr>
                <w:rFonts w:ascii="Calibri" w:eastAsia="細明體" w:hAnsi="Calibri"/>
                <w:sz w:val="22"/>
                <w:szCs w:val="22"/>
                <w:lang w:eastAsia="zh-CN"/>
              </w:rPr>
            </w:pPr>
          </w:p>
        </w:tc>
        <w:tc>
          <w:tcPr>
            <w:tcW w:w="4819" w:type="dxa"/>
            <w:tcBorders>
              <w:top w:val="single" w:sz="4" w:space="0" w:color="auto"/>
              <w:left w:val="single" w:sz="8" w:space="0" w:color="000000"/>
              <w:bottom w:val="single" w:sz="8" w:space="0" w:color="000000"/>
            </w:tcBorders>
            <w:shd w:val="clear" w:color="auto" w:fill="auto"/>
          </w:tcPr>
          <w:p w14:paraId="0573F1A2" w14:textId="77777777" w:rsidR="00EB0F03" w:rsidRPr="00777395" w:rsidRDefault="00EB0F03" w:rsidP="00EB0F03">
            <w:pPr>
              <w:spacing w:after="160" w:line="259" w:lineRule="auto"/>
              <w:rPr>
                <w:rFonts w:ascii="Calibri" w:eastAsia="細明體" w:hAnsi="Calibri"/>
                <w:sz w:val="22"/>
                <w:szCs w:val="22"/>
                <w:lang w:eastAsia="zh-TW"/>
              </w:rPr>
            </w:pPr>
            <w:r w:rsidRPr="00777395">
              <w:rPr>
                <w:rFonts w:ascii="Calibri" w:eastAsia="細明體" w:hAnsi="Calibri" w:hint="eastAsia"/>
                <w:sz w:val="22"/>
                <w:szCs w:val="22"/>
                <w:lang w:eastAsia="zh-TW"/>
              </w:rPr>
              <w:t>模版</w:t>
            </w:r>
            <w:r w:rsidRPr="00777395">
              <w:rPr>
                <w:rFonts w:ascii="Calibri" w:eastAsia="細明體" w:hAnsi="Calibri"/>
                <w:sz w:val="22"/>
                <w:szCs w:val="22"/>
                <w:lang w:eastAsia="zh-TW"/>
              </w:rPr>
              <w:t>OV1</w:t>
            </w:r>
            <w:r w:rsidRPr="00777395">
              <w:rPr>
                <w:rFonts w:ascii="Calibri" w:eastAsia="細明體" w:hAnsi="Calibri" w:hint="eastAsia"/>
                <w:sz w:val="22"/>
                <w:szCs w:val="22"/>
                <w:lang w:eastAsia="zh-TW"/>
              </w:rPr>
              <w:t>：</w:t>
            </w:r>
            <w:r w:rsidRPr="00777395">
              <w:rPr>
                <w:rFonts w:ascii="Calibri" w:eastAsia="細明體" w:hAnsi="Calibri"/>
                <w:sz w:val="22"/>
                <w:szCs w:val="22"/>
                <w:lang w:eastAsia="zh-TW"/>
              </w:rPr>
              <w:t>風險加權數額</w:t>
            </w:r>
            <w:r w:rsidRPr="00777395">
              <w:rPr>
                <w:rFonts w:ascii="Calibri" w:eastAsia="細明體" w:hAnsi="Calibri" w:hint="eastAsia"/>
                <w:sz w:val="22"/>
                <w:szCs w:val="22"/>
                <w:lang w:eastAsia="zh-TW"/>
              </w:rPr>
              <w:t>概</w:t>
            </w:r>
            <w:proofErr w:type="gramStart"/>
            <w:r w:rsidRPr="00777395">
              <w:rPr>
                <w:rFonts w:ascii="Calibri" w:eastAsia="細明體" w:hAnsi="Calibri" w:hint="eastAsia"/>
                <w:sz w:val="22"/>
                <w:szCs w:val="22"/>
                <w:lang w:eastAsia="zh-TW"/>
              </w:rPr>
              <w:t>覽</w:t>
            </w:r>
            <w:proofErr w:type="gramEnd"/>
          </w:p>
        </w:tc>
        <w:tc>
          <w:tcPr>
            <w:tcW w:w="1701" w:type="dxa"/>
            <w:tcBorders>
              <w:top w:val="single" w:sz="4" w:space="0" w:color="auto"/>
              <w:left w:val="single" w:sz="8" w:space="0" w:color="000000"/>
              <w:bottom w:val="single" w:sz="8" w:space="0" w:color="000000"/>
            </w:tcBorders>
            <w:shd w:val="clear" w:color="auto" w:fill="auto"/>
          </w:tcPr>
          <w:p w14:paraId="4C098E72" w14:textId="77777777" w:rsidR="00EB0F03" w:rsidRPr="00777395" w:rsidRDefault="00EB0F03" w:rsidP="00EB0F03">
            <w:pPr>
              <w:spacing w:after="160" w:line="259" w:lineRule="auto"/>
              <w:jc w:val="center"/>
              <w:rPr>
                <w:rFonts w:ascii="Wingdings 2" w:eastAsia="新細明體" w:hAnsi="Wingdings 2" w:cs="Wingdings 2" w:hint="eastAsia"/>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auto"/>
              <w:left w:val="single" w:sz="8" w:space="0" w:color="000000"/>
              <w:bottom w:val="single" w:sz="8" w:space="0" w:color="000000"/>
            </w:tcBorders>
            <w:shd w:val="clear" w:color="auto" w:fill="auto"/>
          </w:tcPr>
          <w:p w14:paraId="25AA86E7" w14:textId="77777777" w:rsidR="00EB0F03" w:rsidRPr="00777395" w:rsidRDefault="00EB0F03" w:rsidP="00EB0F03">
            <w:pPr>
              <w:spacing w:after="160" w:line="259" w:lineRule="auto"/>
              <w:jc w:val="center"/>
              <w:rPr>
                <w:rFonts w:ascii="Calibri" w:eastAsia="細明體" w:hAnsi="Calibri"/>
                <w:sz w:val="22"/>
                <w:szCs w:val="22"/>
                <w:lang w:eastAsia="zh-CN"/>
              </w:rPr>
            </w:pPr>
            <w:r w:rsidRPr="00777395">
              <w:rPr>
                <w:rFonts w:ascii="Wingdings 2" w:eastAsia="新細明體" w:hAnsi="Wingdings 2" w:cs="Wingdings 2"/>
                <w:sz w:val="22"/>
                <w:szCs w:val="22"/>
                <w:lang w:eastAsia="zh-CN"/>
              </w:rPr>
              <w:t></w:t>
            </w:r>
          </w:p>
        </w:tc>
        <w:tc>
          <w:tcPr>
            <w:tcW w:w="992" w:type="dxa"/>
            <w:tcBorders>
              <w:top w:val="single" w:sz="4" w:space="0" w:color="auto"/>
              <w:left w:val="single" w:sz="4" w:space="0" w:color="000000"/>
              <w:bottom w:val="single" w:sz="8" w:space="0" w:color="000000"/>
            </w:tcBorders>
            <w:shd w:val="clear" w:color="auto" w:fill="auto"/>
          </w:tcPr>
          <w:p w14:paraId="1A061D71" w14:textId="77777777" w:rsidR="00EB0F03" w:rsidRPr="00777395" w:rsidRDefault="00EB0F03" w:rsidP="00EB0F03">
            <w:pPr>
              <w:snapToGrid w:val="0"/>
              <w:spacing w:after="160" w:line="259" w:lineRule="auto"/>
              <w:jc w:val="center"/>
              <w:rPr>
                <w:rFonts w:ascii="Calibri" w:eastAsia="細明體" w:hAnsi="Calibri"/>
                <w:sz w:val="22"/>
                <w:szCs w:val="22"/>
                <w:lang w:eastAsia="zh-CN"/>
              </w:rPr>
            </w:pPr>
          </w:p>
        </w:tc>
        <w:tc>
          <w:tcPr>
            <w:tcW w:w="1276" w:type="dxa"/>
            <w:tcBorders>
              <w:top w:val="single" w:sz="4" w:space="0" w:color="auto"/>
              <w:left w:val="single" w:sz="8" w:space="0" w:color="000000"/>
              <w:bottom w:val="single" w:sz="8" w:space="0" w:color="000000"/>
            </w:tcBorders>
            <w:shd w:val="clear" w:color="auto" w:fill="auto"/>
          </w:tcPr>
          <w:p w14:paraId="77A44380" w14:textId="77777777" w:rsidR="00EB0F03" w:rsidRPr="00777395" w:rsidRDefault="00EB0F03" w:rsidP="00EB0F03">
            <w:pPr>
              <w:spacing w:after="160" w:line="259" w:lineRule="auto"/>
              <w:jc w:val="center"/>
              <w:rPr>
                <w:rFonts w:ascii="Calibri" w:eastAsia="細明體" w:hAnsi="Calibri"/>
                <w:sz w:val="22"/>
                <w:szCs w:val="22"/>
                <w:lang w:eastAsia="zh-CN"/>
              </w:rPr>
            </w:pPr>
            <w:r w:rsidRPr="00777395">
              <w:rPr>
                <w:rFonts w:ascii="Wingdings 2" w:eastAsia="新細明體" w:hAnsi="Wingdings 2" w:cs="Wingdings 2"/>
                <w:sz w:val="22"/>
                <w:szCs w:val="22"/>
                <w:lang w:eastAsia="zh-CN"/>
              </w:rPr>
              <w:t></w:t>
            </w:r>
          </w:p>
        </w:tc>
        <w:tc>
          <w:tcPr>
            <w:tcW w:w="1276" w:type="dxa"/>
            <w:tcBorders>
              <w:top w:val="single" w:sz="4" w:space="0" w:color="auto"/>
              <w:left w:val="single" w:sz="4" w:space="0" w:color="000000"/>
              <w:bottom w:val="single" w:sz="8" w:space="0" w:color="000000"/>
            </w:tcBorders>
            <w:shd w:val="clear" w:color="auto" w:fill="auto"/>
          </w:tcPr>
          <w:p w14:paraId="73BE8254" w14:textId="77777777" w:rsidR="00EB0F03" w:rsidRPr="00777395" w:rsidRDefault="00EB0F03" w:rsidP="00EB0F03">
            <w:pPr>
              <w:snapToGrid w:val="0"/>
              <w:spacing w:after="160" w:line="259" w:lineRule="auto"/>
              <w:jc w:val="center"/>
              <w:rPr>
                <w:rFonts w:ascii="Calibri" w:eastAsia="細明體" w:hAnsi="Calibri"/>
                <w:sz w:val="22"/>
                <w:szCs w:val="22"/>
                <w:lang w:eastAsia="zh-CN"/>
              </w:rPr>
            </w:pPr>
          </w:p>
        </w:tc>
        <w:tc>
          <w:tcPr>
            <w:tcW w:w="1277" w:type="dxa"/>
            <w:tcBorders>
              <w:top w:val="single" w:sz="4" w:space="0" w:color="auto"/>
              <w:left w:val="single" w:sz="4" w:space="0" w:color="000000"/>
              <w:bottom w:val="single" w:sz="8" w:space="0" w:color="000000"/>
              <w:right w:val="single" w:sz="8" w:space="0" w:color="000000"/>
            </w:tcBorders>
            <w:shd w:val="clear" w:color="auto" w:fill="auto"/>
          </w:tcPr>
          <w:p w14:paraId="6E9AC208" w14:textId="77777777" w:rsidR="00EB0F03" w:rsidRPr="00777395" w:rsidRDefault="00EB0F03" w:rsidP="00EB0F03">
            <w:pPr>
              <w:snapToGrid w:val="0"/>
              <w:spacing w:after="160" w:line="259" w:lineRule="auto"/>
              <w:jc w:val="center"/>
              <w:rPr>
                <w:rFonts w:ascii="Calibri" w:eastAsia="細明體" w:hAnsi="Calibri"/>
                <w:sz w:val="22"/>
                <w:szCs w:val="22"/>
                <w:lang w:eastAsia="zh-CN"/>
              </w:rPr>
            </w:pPr>
          </w:p>
        </w:tc>
      </w:tr>
      <w:tr w:rsidR="00EB0F03" w:rsidRPr="00777395" w14:paraId="4F4C61A8" w14:textId="77777777" w:rsidTr="00EB0F03">
        <w:trPr>
          <w:cantSplit/>
          <w:trHeight w:val="861"/>
        </w:trPr>
        <w:tc>
          <w:tcPr>
            <w:tcW w:w="2127" w:type="dxa"/>
            <w:vMerge w:val="restart"/>
            <w:tcBorders>
              <w:top w:val="single" w:sz="8" w:space="0" w:color="000000"/>
              <w:bottom w:val="single" w:sz="4" w:space="0" w:color="000000"/>
            </w:tcBorders>
            <w:shd w:val="clear" w:color="auto" w:fill="auto"/>
          </w:tcPr>
          <w:p w14:paraId="5CDC12B7"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第</w:t>
            </w:r>
            <w:r w:rsidRPr="00777395">
              <w:rPr>
                <w:rFonts w:eastAsia="細明體" w:cs="Segoe UI"/>
                <w:sz w:val="22"/>
                <w:szCs w:val="22"/>
                <w:lang w:eastAsia="ar-SA"/>
              </w:rPr>
              <w:t>II</w:t>
            </w:r>
            <w:r w:rsidRPr="00777395">
              <w:rPr>
                <w:rFonts w:eastAsia="細明體" w:cs="Segoe UI" w:hint="eastAsia"/>
                <w:sz w:val="22"/>
                <w:szCs w:val="22"/>
                <w:lang w:eastAsia="ar-SA"/>
              </w:rPr>
              <w:t>部：財務報表與監管風險承擔的關連</w:t>
            </w:r>
          </w:p>
        </w:tc>
        <w:tc>
          <w:tcPr>
            <w:tcW w:w="4819" w:type="dxa"/>
            <w:tcBorders>
              <w:top w:val="single" w:sz="8" w:space="0" w:color="000000"/>
              <w:left w:val="single" w:sz="8" w:space="0" w:color="000000"/>
              <w:bottom w:val="single" w:sz="4" w:space="0" w:color="000000"/>
            </w:tcBorders>
            <w:shd w:val="clear" w:color="auto" w:fill="auto"/>
          </w:tcPr>
          <w:p w14:paraId="01C6F138"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LI1</w:t>
            </w:r>
            <w:r w:rsidRPr="00777395">
              <w:rPr>
                <w:rFonts w:eastAsia="細明體" w:cs="Segoe UI" w:hint="eastAsia"/>
                <w:sz w:val="22"/>
                <w:szCs w:val="22"/>
                <w:lang w:eastAsia="ar-SA"/>
              </w:rPr>
              <w:t>：會計與監管綜合範圍</w:t>
            </w:r>
            <w:r w:rsidRPr="00777395">
              <w:rPr>
                <w:rFonts w:eastAsia="細明體" w:cs="Segoe UI" w:hint="eastAsia"/>
                <w:color w:val="000000"/>
                <w:sz w:val="22"/>
                <w:szCs w:val="22"/>
                <w:lang w:eastAsia="ar-SA"/>
              </w:rPr>
              <w:t>之間</w:t>
            </w:r>
            <w:r w:rsidRPr="00777395">
              <w:rPr>
                <w:rFonts w:eastAsia="細明體" w:cs="Segoe UI" w:hint="eastAsia"/>
                <w:sz w:val="22"/>
                <w:szCs w:val="22"/>
                <w:lang w:eastAsia="ar-SA"/>
              </w:rPr>
              <w:t>的差</w:t>
            </w:r>
            <w:r w:rsidRPr="00777395">
              <w:rPr>
                <w:rFonts w:eastAsia="細明體" w:cs="Segoe UI" w:hint="eastAsia"/>
                <w:color w:val="000000"/>
                <w:sz w:val="22"/>
                <w:szCs w:val="22"/>
                <w:lang w:eastAsia="ar-SA"/>
              </w:rPr>
              <w:t>別</w:t>
            </w:r>
            <w:r w:rsidRPr="00777395">
              <w:rPr>
                <w:rFonts w:eastAsia="細明體" w:cs="Segoe UI" w:hint="eastAsia"/>
                <w:sz w:val="22"/>
                <w:szCs w:val="22"/>
                <w:lang w:eastAsia="ar-SA"/>
              </w:rPr>
              <w:t>及財務報表類別與監管風險類別的配對</w:t>
            </w:r>
          </w:p>
        </w:tc>
        <w:tc>
          <w:tcPr>
            <w:tcW w:w="1701" w:type="dxa"/>
            <w:tcBorders>
              <w:top w:val="single" w:sz="8" w:space="0" w:color="000000"/>
              <w:left w:val="single" w:sz="8" w:space="0" w:color="000000"/>
              <w:bottom w:val="single" w:sz="4" w:space="0" w:color="000000"/>
            </w:tcBorders>
            <w:shd w:val="clear" w:color="auto" w:fill="auto"/>
          </w:tcPr>
          <w:p w14:paraId="482092B0"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24A83D43"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8" w:space="0" w:color="000000"/>
              <w:left w:val="single" w:sz="4" w:space="0" w:color="000000"/>
              <w:bottom w:val="single" w:sz="4" w:space="0" w:color="000000"/>
            </w:tcBorders>
            <w:shd w:val="clear" w:color="auto" w:fill="auto"/>
          </w:tcPr>
          <w:p w14:paraId="6542FD38"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8" w:space="0" w:color="000000"/>
              <w:left w:val="single" w:sz="8" w:space="0" w:color="000000"/>
              <w:bottom w:val="single" w:sz="4" w:space="0" w:color="000000"/>
            </w:tcBorders>
            <w:shd w:val="clear" w:color="auto" w:fill="auto"/>
          </w:tcPr>
          <w:p w14:paraId="55F92AEE"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8" w:space="0" w:color="000000"/>
              <w:left w:val="single" w:sz="4" w:space="0" w:color="000000"/>
              <w:bottom w:val="single" w:sz="4" w:space="0" w:color="000000"/>
            </w:tcBorders>
            <w:shd w:val="clear" w:color="auto" w:fill="auto"/>
          </w:tcPr>
          <w:p w14:paraId="52F0C147"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7933B24E"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40E126D2" w14:textId="77777777" w:rsidTr="00EB0F03">
        <w:trPr>
          <w:cantSplit/>
          <w:trHeight w:val="842"/>
        </w:trPr>
        <w:tc>
          <w:tcPr>
            <w:tcW w:w="2127" w:type="dxa"/>
            <w:vMerge/>
            <w:tcBorders>
              <w:top w:val="single" w:sz="4" w:space="0" w:color="000000"/>
              <w:bottom w:val="single" w:sz="4" w:space="0" w:color="000000"/>
            </w:tcBorders>
            <w:shd w:val="clear" w:color="auto" w:fill="auto"/>
          </w:tcPr>
          <w:p w14:paraId="404B45AB"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22BC9095"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LI2</w:t>
            </w:r>
            <w:r w:rsidRPr="00777395">
              <w:rPr>
                <w:rFonts w:eastAsia="細明體" w:cs="Segoe UI" w:hint="eastAsia"/>
                <w:sz w:val="22"/>
                <w:szCs w:val="22"/>
                <w:lang w:eastAsia="ar-SA"/>
              </w:rPr>
              <w:t>：監管風險承擔數額與財務報表中的帳面值之間的差額的主要</w:t>
            </w:r>
            <w:r w:rsidRPr="00777395">
              <w:rPr>
                <w:rFonts w:eastAsia="細明體" w:cs="Segoe UI" w:hint="eastAsia"/>
                <w:color w:val="000000"/>
                <w:sz w:val="22"/>
                <w:szCs w:val="22"/>
                <w:lang w:eastAsia="ar-SA"/>
              </w:rPr>
              <w:t>來源</w:t>
            </w:r>
          </w:p>
        </w:tc>
        <w:tc>
          <w:tcPr>
            <w:tcW w:w="1701" w:type="dxa"/>
            <w:tcBorders>
              <w:top w:val="single" w:sz="4" w:space="0" w:color="000000"/>
              <w:left w:val="single" w:sz="8" w:space="0" w:color="000000"/>
              <w:bottom w:val="single" w:sz="4" w:space="0" w:color="000000"/>
            </w:tcBorders>
            <w:shd w:val="clear" w:color="auto" w:fill="auto"/>
          </w:tcPr>
          <w:p w14:paraId="37036757"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18A04BD3"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5889A19C"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3309D436"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1B1EDCBC"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0A06C5DB"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623230EE" w14:textId="77777777" w:rsidTr="00EB0F03">
        <w:trPr>
          <w:cantSplit/>
          <w:trHeight w:val="698"/>
        </w:trPr>
        <w:tc>
          <w:tcPr>
            <w:tcW w:w="2127" w:type="dxa"/>
            <w:vMerge/>
            <w:tcBorders>
              <w:top w:val="single" w:sz="4" w:space="0" w:color="000000"/>
              <w:bottom w:val="single" w:sz="8" w:space="0" w:color="000000"/>
            </w:tcBorders>
            <w:shd w:val="clear" w:color="auto" w:fill="auto"/>
          </w:tcPr>
          <w:p w14:paraId="189B0BFA"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auto"/>
            </w:tcBorders>
            <w:shd w:val="clear" w:color="auto" w:fill="auto"/>
          </w:tcPr>
          <w:p w14:paraId="0F272674"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LIA</w:t>
            </w:r>
            <w:r w:rsidRPr="00777395">
              <w:rPr>
                <w:rFonts w:eastAsia="細明體" w:cs="Segoe UI" w:hint="eastAsia"/>
                <w:sz w:val="22"/>
                <w:szCs w:val="22"/>
                <w:lang w:eastAsia="ar-SA"/>
              </w:rPr>
              <w:t>：會計與監管風險承擔數額之間的差額的解釋</w:t>
            </w:r>
          </w:p>
        </w:tc>
        <w:tc>
          <w:tcPr>
            <w:tcW w:w="1701" w:type="dxa"/>
            <w:tcBorders>
              <w:top w:val="single" w:sz="4" w:space="0" w:color="000000"/>
              <w:left w:val="single" w:sz="8" w:space="0" w:color="000000"/>
              <w:bottom w:val="single" w:sz="4" w:space="0" w:color="auto"/>
            </w:tcBorders>
            <w:shd w:val="clear" w:color="auto" w:fill="auto"/>
          </w:tcPr>
          <w:p w14:paraId="6BFADF31"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auto"/>
            </w:tcBorders>
            <w:shd w:val="clear" w:color="auto" w:fill="auto"/>
          </w:tcPr>
          <w:p w14:paraId="12515DB4"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auto"/>
            </w:tcBorders>
            <w:shd w:val="clear" w:color="auto" w:fill="auto"/>
          </w:tcPr>
          <w:p w14:paraId="56848274"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auto"/>
            </w:tcBorders>
            <w:shd w:val="clear" w:color="auto" w:fill="auto"/>
          </w:tcPr>
          <w:p w14:paraId="348D8198"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auto"/>
            </w:tcBorders>
            <w:shd w:val="clear" w:color="auto" w:fill="auto"/>
          </w:tcPr>
          <w:p w14:paraId="33B17BD0"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auto"/>
              <w:right w:val="single" w:sz="8" w:space="0" w:color="000000"/>
            </w:tcBorders>
            <w:shd w:val="clear" w:color="auto" w:fill="auto"/>
          </w:tcPr>
          <w:p w14:paraId="3AE79B00"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53BCB99C" w14:textId="77777777" w:rsidTr="00EB0F03">
        <w:trPr>
          <w:cantSplit/>
          <w:trHeight w:val="283"/>
        </w:trPr>
        <w:tc>
          <w:tcPr>
            <w:tcW w:w="2127" w:type="dxa"/>
            <w:vMerge/>
            <w:tcBorders>
              <w:top w:val="single" w:sz="4" w:space="0" w:color="000000"/>
              <w:bottom w:val="single" w:sz="8" w:space="0" w:color="000000"/>
            </w:tcBorders>
            <w:shd w:val="clear" w:color="auto" w:fill="auto"/>
          </w:tcPr>
          <w:p w14:paraId="3A8C03D0"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auto"/>
              <w:left w:val="single" w:sz="8" w:space="0" w:color="000000"/>
              <w:bottom w:val="single" w:sz="8" w:space="0" w:color="000000"/>
            </w:tcBorders>
            <w:shd w:val="clear" w:color="auto" w:fill="auto"/>
          </w:tcPr>
          <w:p w14:paraId="287B04E0" w14:textId="77777777" w:rsidR="00EB0F03" w:rsidRPr="00777395" w:rsidRDefault="00EB0F03" w:rsidP="00EB0F03">
            <w:pPr>
              <w:suppressAutoHyphens/>
              <w:rPr>
                <w:rFonts w:cs="Segoe UI"/>
                <w:sz w:val="22"/>
                <w:szCs w:val="22"/>
                <w:lang w:val="en-US" w:eastAsia="zh-TW"/>
              </w:rPr>
            </w:pPr>
            <w:r w:rsidRPr="00777395">
              <w:rPr>
                <w:rFonts w:eastAsia="細明體" w:cs="Segoe UI"/>
                <w:sz w:val="22"/>
                <w:szCs w:val="22"/>
                <w:lang w:eastAsia="zh-TW"/>
              </w:rPr>
              <w:t>模版</w:t>
            </w:r>
            <w:r w:rsidRPr="00777395">
              <w:rPr>
                <w:rFonts w:cs="Segoe UI"/>
                <w:sz w:val="22"/>
                <w:szCs w:val="22"/>
                <w:lang w:eastAsia="zh-TW"/>
              </w:rPr>
              <w:t>PV1</w:t>
            </w:r>
            <w:r w:rsidRPr="00777395">
              <w:rPr>
                <w:rFonts w:eastAsia="細明體" w:cs="Segoe UI"/>
                <w:sz w:val="22"/>
                <w:szCs w:val="22"/>
                <w:lang w:eastAsia="zh-TW"/>
              </w:rPr>
              <w:t>：審慎估值調整</w:t>
            </w:r>
          </w:p>
        </w:tc>
        <w:tc>
          <w:tcPr>
            <w:tcW w:w="1701" w:type="dxa"/>
            <w:tcBorders>
              <w:top w:val="single" w:sz="4" w:space="0" w:color="auto"/>
              <w:left w:val="single" w:sz="8" w:space="0" w:color="000000"/>
              <w:bottom w:val="single" w:sz="8" w:space="0" w:color="000000"/>
            </w:tcBorders>
            <w:shd w:val="clear" w:color="auto" w:fill="auto"/>
          </w:tcPr>
          <w:p w14:paraId="1276D5B4"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auto"/>
              <w:left w:val="single" w:sz="8" w:space="0" w:color="000000"/>
              <w:bottom w:val="single" w:sz="8" w:space="0" w:color="000000"/>
            </w:tcBorders>
            <w:shd w:val="clear" w:color="auto" w:fill="auto"/>
          </w:tcPr>
          <w:p w14:paraId="73F10313"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992" w:type="dxa"/>
            <w:tcBorders>
              <w:top w:val="single" w:sz="4" w:space="0" w:color="auto"/>
              <w:left w:val="single" w:sz="4" w:space="0" w:color="000000"/>
              <w:bottom w:val="single" w:sz="8" w:space="0" w:color="000000"/>
            </w:tcBorders>
            <w:shd w:val="clear" w:color="auto" w:fill="auto"/>
          </w:tcPr>
          <w:p w14:paraId="000FE1F3" w14:textId="77777777" w:rsidR="00EB0F03" w:rsidRPr="00777395" w:rsidRDefault="00EB0F03" w:rsidP="00EB0F03">
            <w:pPr>
              <w:suppressAutoHyphens/>
              <w:jc w:val="center"/>
              <w:rPr>
                <w:rFonts w:cs="Segoe UI"/>
                <w:noProof/>
                <w:sz w:val="22"/>
                <w:szCs w:val="22"/>
                <w:lang w:eastAsia="en-GB"/>
              </w:rPr>
            </w:pPr>
          </w:p>
        </w:tc>
        <w:tc>
          <w:tcPr>
            <w:tcW w:w="1276" w:type="dxa"/>
            <w:tcBorders>
              <w:top w:val="single" w:sz="4" w:space="0" w:color="auto"/>
              <w:left w:val="single" w:sz="8" w:space="0" w:color="000000"/>
              <w:bottom w:val="single" w:sz="8" w:space="0" w:color="000000"/>
            </w:tcBorders>
            <w:shd w:val="clear" w:color="auto" w:fill="auto"/>
          </w:tcPr>
          <w:p w14:paraId="7C5BC612" w14:textId="77777777" w:rsidR="00EB0F03" w:rsidRPr="00777395" w:rsidRDefault="00EB0F03" w:rsidP="00EB0F03">
            <w:pPr>
              <w:suppressAutoHyphens/>
              <w:jc w:val="center"/>
              <w:rPr>
                <w:rFonts w:cs="Segoe UI"/>
                <w:sz w:val="22"/>
                <w:szCs w:val="22"/>
                <w:lang w:eastAsia="en-GB"/>
              </w:rPr>
            </w:pPr>
          </w:p>
        </w:tc>
        <w:tc>
          <w:tcPr>
            <w:tcW w:w="1276" w:type="dxa"/>
            <w:tcBorders>
              <w:top w:val="single" w:sz="4" w:space="0" w:color="auto"/>
              <w:left w:val="single" w:sz="4" w:space="0" w:color="000000"/>
              <w:bottom w:val="single" w:sz="8" w:space="0" w:color="000000"/>
            </w:tcBorders>
            <w:shd w:val="clear" w:color="auto" w:fill="auto"/>
          </w:tcPr>
          <w:p w14:paraId="67CA937A" w14:textId="77777777" w:rsidR="00EB0F03" w:rsidRPr="00777395" w:rsidRDefault="00EB0F03" w:rsidP="00EB0F03">
            <w:pPr>
              <w:suppressAutoHyphens/>
              <w:jc w:val="center"/>
              <w:rPr>
                <w:rFonts w:cs="Segoe UI"/>
                <w:sz w:val="22"/>
                <w:szCs w:val="22"/>
                <w:lang w:eastAsia="en-GB"/>
              </w:rPr>
            </w:pPr>
          </w:p>
        </w:tc>
        <w:tc>
          <w:tcPr>
            <w:tcW w:w="1277" w:type="dxa"/>
            <w:tcBorders>
              <w:top w:val="single" w:sz="4" w:space="0" w:color="auto"/>
              <w:left w:val="single" w:sz="4" w:space="0" w:color="000000"/>
              <w:bottom w:val="single" w:sz="8" w:space="0" w:color="000000"/>
              <w:right w:val="single" w:sz="8" w:space="0" w:color="000000"/>
            </w:tcBorders>
            <w:shd w:val="clear" w:color="auto" w:fill="auto"/>
          </w:tcPr>
          <w:p w14:paraId="6188AF5F"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r>
      <w:tr w:rsidR="00EB0F03" w:rsidRPr="00777395" w14:paraId="1E7FE310" w14:textId="77777777" w:rsidTr="00EB0F03">
        <w:trPr>
          <w:cantSplit/>
          <w:trHeight w:val="283"/>
        </w:trPr>
        <w:tc>
          <w:tcPr>
            <w:tcW w:w="2127" w:type="dxa"/>
            <w:vMerge w:val="restart"/>
            <w:tcBorders>
              <w:top w:val="single" w:sz="8" w:space="0" w:color="000000"/>
              <w:bottom w:val="single" w:sz="4" w:space="0" w:color="000000"/>
            </w:tcBorders>
            <w:shd w:val="clear" w:color="auto" w:fill="auto"/>
          </w:tcPr>
          <w:p w14:paraId="0A29774F" w14:textId="77777777" w:rsidR="00EB0F03" w:rsidRPr="00777395" w:rsidRDefault="00EB0F03" w:rsidP="00EB0F03">
            <w:pPr>
              <w:suppressAutoHyphens/>
              <w:rPr>
                <w:rFonts w:cs="Segoe UI"/>
                <w:sz w:val="22"/>
                <w:szCs w:val="22"/>
                <w:lang w:eastAsia="zh-TW"/>
              </w:rPr>
            </w:pPr>
            <w:r w:rsidRPr="00777395">
              <w:rPr>
                <w:rFonts w:eastAsia="細明體" w:cs="Segoe UI"/>
                <w:sz w:val="22"/>
                <w:szCs w:val="22"/>
                <w:lang w:eastAsia="zh-TW"/>
              </w:rPr>
              <w:lastRenderedPageBreak/>
              <w:t>第</w:t>
            </w:r>
            <w:r w:rsidRPr="00777395">
              <w:rPr>
                <w:rFonts w:eastAsia="細明體" w:cs="Segoe UI"/>
                <w:sz w:val="22"/>
                <w:szCs w:val="22"/>
                <w:lang w:eastAsia="zh-TW"/>
              </w:rPr>
              <w:t>IIA</w:t>
            </w:r>
            <w:r w:rsidRPr="00777395">
              <w:rPr>
                <w:rFonts w:eastAsia="細明體" w:cs="Segoe UI"/>
                <w:sz w:val="22"/>
                <w:szCs w:val="22"/>
                <w:lang w:eastAsia="zh-TW"/>
              </w:rPr>
              <w:t>部：監管資本的組成</w:t>
            </w:r>
          </w:p>
        </w:tc>
        <w:tc>
          <w:tcPr>
            <w:tcW w:w="4819" w:type="dxa"/>
            <w:tcBorders>
              <w:top w:val="single" w:sz="8" w:space="0" w:color="000000"/>
              <w:left w:val="single" w:sz="8" w:space="0" w:color="000000"/>
              <w:bottom w:val="single" w:sz="4" w:space="0" w:color="000000"/>
            </w:tcBorders>
            <w:shd w:val="clear" w:color="auto" w:fill="auto"/>
          </w:tcPr>
          <w:p w14:paraId="73D2B8CF" w14:textId="77777777" w:rsidR="00EB0F03" w:rsidRPr="00777395" w:rsidRDefault="00EB0F03" w:rsidP="00EB0F03">
            <w:pPr>
              <w:suppressAutoHyphens/>
              <w:rPr>
                <w:rFonts w:cs="Segoe UI"/>
                <w:sz w:val="22"/>
                <w:szCs w:val="22"/>
                <w:lang w:val="en-US" w:eastAsia="zh-TW"/>
              </w:rPr>
            </w:pPr>
            <w:r w:rsidRPr="00777395">
              <w:rPr>
                <w:rFonts w:eastAsia="細明體" w:cs="Segoe UI"/>
                <w:sz w:val="22"/>
                <w:szCs w:val="22"/>
                <w:lang w:eastAsia="zh-TW"/>
              </w:rPr>
              <w:t>模版</w:t>
            </w:r>
            <w:r w:rsidRPr="00777395">
              <w:rPr>
                <w:rFonts w:cs="Segoe UI"/>
                <w:sz w:val="22"/>
                <w:szCs w:val="22"/>
                <w:lang w:val="en-US" w:eastAsia="zh-TW"/>
              </w:rPr>
              <w:t>CC1</w:t>
            </w:r>
            <w:r w:rsidRPr="00777395">
              <w:rPr>
                <w:rFonts w:eastAsia="細明體" w:cs="Segoe UI"/>
                <w:sz w:val="22"/>
                <w:szCs w:val="22"/>
                <w:lang w:eastAsia="zh-TW"/>
              </w:rPr>
              <w:t>：</w:t>
            </w:r>
            <w:r w:rsidRPr="00777395">
              <w:rPr>
                <w:rFonts w:eastAsia="細明體" w:cs="Segoe UI"/>
                <w:sz w:val="22"/>
                <w:szCs w:val="22"/>
                <w:lang w:val="en-US" w:eastAsia="zh-TW"/>
              </w:rPr>
              <w:t>監管資本的組成</w:t>
            </w:r>
          </w:p>
        </w:tc>
        <w:tc>
          <w:tcPr>
            <w:tcW w:w="1701" w:type="dxa"/>
            <w:tcBorders>
              <w:top w:val="single" w:sz="8" w:space="0" w:color="000000"/>
              <w:left w:val="single" w:sz="8" w:space="0" w:color="000000"/>
              <w:bottom w:val="single" w:sz="4" w:space="0" w:color="000000"/>
            </w:tcBorders>
            <w:shd w:val="clear" w:color="auto" w:fill="auto"/>
          </w:tcPr>
          <w:p w14:paraId="7608D65B"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4C145652"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992" w:type="dxa"/>
            <w:tcBorders>
              <w:top w:val="single" w:sz="8" w:space="0" w:color="000000"/>
              <w:left w:val="single" w:sz="4" w:space="0" w:color="000000"/>
              <w:bottom w:val="single" w:sz="4" w:space="0" w:color="000000"/>
            </w:tcBorders>
            <w:shd w:val="clear" w:color="auto" w:fill="auto"/>
          </w:tcPr>
          <w:p w14:paraId="43406BF8" w14:textId="77777777" w:rsidR="00EB0F03" w:rsidRPr="00777395" w:rsidRDefault="00EB0F03" w:rsidP="00EB0F03">
            <w:pPr>
              <w:suppressAutoHyphens/>
              <w:jc w:val="center"/>
              <w:rPr>
                <w:rFonts w:cs="Segoe UI"/>
                <w:noProof/>
                <w:sz w:val="22"/>
                <w:szCs w:val="22"/>
                <w:lang w:eastAsia="en-GB"/>
              </w:rPr>
            </w:pPr>
          </w:p>
        </w:tc>
        <w:tc>
          <w:tcPr>
            <w:tcW w:w="1276" w:type="dxa"/>
            <w:tcBorders>
              <w:top w:val="single" w:sz="8" w:space="0" w:color="000000"/>
              <w:left w:val="single" w:sz="8" w:space="0" w:color="000000"/>
              <w:bottom w:val="single" w:sz="4" w:space="0" w:color="000000"/>
            </w:tcBorders>
            <w:shd w:val="clear" w:color="auto" w:fill="auto"/>
          </w:tcPr>
          <w:p w14:paraId="197ADD51" w14:textId="77777777" w:rsidR="00EB0F03" w:rsidRPr="00777395" w:rsidRDefault="00EB0F03" w:rsidP="00EB0F03">
            <w:pPr>
              <w:suppressAutoHyphens/>
              <w:jc w:val="center"/>
              <w:rPr>
                <w:rFonts w:cs="Segoe UI"/>
                <w:sz w:val="22"/>
                <w:szCs w:val="22"/>
                <w:lang w:eastAsia="en-GB"/>
              </w:rPr>
            </w:pPr>
          </w:p>
        </w:tc>
        <w:tc>
          <w:tcPr>
            <w:tcW w:w="1276" w:type="dxa"/>
            <w:tcBorders>
              <w:top w:val="single" w:sz="8" w:space="0" w:color="000000"/>
              <w:left w:val="single" w:sz="4" w:space="0" w:color="000000"/>
              <w:bottom w:val="single" w:sz="4" w:space="0" w:color="000000"/>
            </w:tcBorders>
            <w:shd w:val="clear" w:color="auto" w:fill="auto"/>
          </w:tcPr>
          <w:p w14:paraId="19892633"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3D8B27BA" w14:textId="77777777" w:rsidR="00EB0F03" w:rsidRPr="00777395" w:rsidRDefault="00EB0F03" w:rsidP="00EB0F03">
            <w:pPr>
              <w:suppressAutoHyphens/>
              <w:jc w:val="center"/>
              <w:rPr>
                <w:rFonts w:cs="Segoe UI"/>
                <w:sz w:val="22"/>
                <w:szCs w:val="22"/>
                <w:lang w:eastAsia="en-GB"/>
              </w:rPr>
            </w:pPr>
          </w:p>
        </w:tc>
      </w:tr>
      <w:tr w:rsidR="00EB0F03" w:rsidRPr="00777395" w14:paraId="7CFDD362" w14:textId="77777777" w:rsidTr="00EB0F03">
        <w:trPr>
          <w:cantSplit/>
          <w:trHeight w:val="766"/>
        </w:trPr>
        <w:tc>
          <w:tcPr>
            <w:tcW w:w="2127" w:type="dxa"/>
            <w:vMerge/>
            <w:tcBorders>
              <w:top w:val="single" w:sz="4" w:space="0" w:color="000000"/>
              <w:bottom w:val="single" w:sz="4" w:space="0" w:color="000000"/>
            </w:tcBorders>
          </w:tcPr>
          <w:p w14:paraId="2B36A425"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6A43F648" w14:textId="77777777" w:rsidR="00EB0F03" w:rsidRPr="00777395" w:rsidRDefault="00EB0F03" w:rsidP="00EB0F03">
            <w:pPr>
              <w:suppressAutoHyphens/>
              <w:rPr>
                <w:rFonts w:cs="Segoe UI"/>
                <w:sz w:val="22"/>
                <w:szCs w:val="22"/>
                <w:lang w:val="en-US" w:eastAsia="zh-TW"/>
              </w:rPr>
            </w:pPr>
            <w:r w:rsidRPr="00777395">
              <w:rPr>
                <w:rFonts w:eastAsia="細明體" w:cs="Segoe UI"/>
                <w:sz w:val="22"/>
                <w:szCs w:val="22"/>
                <w:lang w:eastAsia="zh-TW"/>
              </w:rPr>
              <w:t>模版</w:t>
            </w:r>
            <w:r w:rsidRPr="00777395">
              <w:rPr>
                <w:rFonts w:cs="Segoe UI"/>
                <w:sz w:val="22"/>
                <w:szCs w:val="22"/>
                <w:lang w:eastAsia="zh-TW"/>
              </w:rPr>
              <w:t>CC2</w:t>
            </w:r>
            <w:r w:rsidRPr="00777395">
              <w:rPr>
                <w:rFonts w:eastAsia="細明體" w:cs="Segoe UI"/>
                <w:sz w:val="22"/>
                <w:szCs w:val="22"/>
                <w:lang w:eastAsia="zh-TW"/>
              </w:rPr>
              <w:t>：監管資本與資產負債表的對帳</w:t>
            </w:r>
          </w:p>
        </w:tc>
        <w:tc>
          <w:tcPr>
            <w:tcW w:w="1701" w:type="dxa"/>
            <w:tcBorders>
              <w:top w:val="single" w:sz="4" w:space="0" w:color="000000"/>
              <w:left w:val="single" w:sz="8" w:space="0" w:color="000000"/>
              <w:bottom w:val="single" w:sz="4" w:space="0" w:color="000000"/>
            </w:tcBorders>
            <w:shd w:val="clear" w:color="auto" w:fill="auto"/>
          </w:tcPr>
          <w:p w14:paraId="4C4C1600"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1DF4E2C8" w14:textId="77777777" w:rsidR="00EB0F03" w:rsidRPr="00777395" w:rsidRDefault="00EB0F03" w:rsidP="00EB0F03">
            <w:pPr>
              <w:suppressAutoHyphens/>
              <w:jc w:val="center"/>
              <w:rPr>
                <w:rFonts w:cs="Segoe UI"/>
                <w:sz w:val="22"/>
                <w:szCs w:val="22"/>
                <w:lang w:eastAsia="en-GB"/>
              </w:rPr>
            </w:pPr>
          </w:p>
        </w:tc>
        <w:tc>
          <w:tcPr>
            <w:tcW w:w="992" w:type="dxa"/>
            <w:tcBorders>
              <w:top w:val="single" w:sz="4" w:space="0" w:color="000000"/>
              <w:left w:val="single" w:sz="4" w:space="0" w:color="000000"/>
              <w:bottom w:val="single" w:sz="4" w:space="0" w:color="000000"/>
            </w:tcBorders>
            <w:shd w:val="clear" w:color="auto" w:fill="auto"/>
          </w:tcPr>
          <w:p w14:paraId="56ACD1E5"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8" w:space="0" w:color="000000"/>
              <w:bottom w:val="single" w:sz="4" w:space="0" w:color="000000"/>
            </w:tcBorders>
            <w:shd w:val="clear" w:color="auto" w:fill="auto"/>
          </w:tcPr>
          <w:p w14:paraId="3EFD23B8" w14:textId="77777777" w:rsidR="00EB0F03" w:rsidRPr="00777395" w:rsidRDefault="00EB0F03" w:rsidP="00EB0F03">
            <w:pPr>
              <w:suppressAutoHyphens/>
              <w:jc w:val="center"/>
              <w:rPr>
                <w:rFonts w:cs="Segoe UI"/>
                <w:sz w:val="22"/>
                <w:szCs w:val="22"/>
                <w:lang w:eastAsia="en-GB"/>
              </w:rPr>
            </w:pPr>
          </w:p>
        </w:tc>
        <w:tc>
          <w:tcPr>
            <w:tcW w:w="1276" w:type="dxa"/>
            <w:tcBorders>
              <w:top w:val="single" w:sz="4" w:space="0" w:color="000000"/>
              <w:left w:val="single" w:sz="4" w:space="0" w:color="000000"/>
              <w:bottom w:val="single" w:sz="4" w:space="0" w:color="000000"/>
            </w:tcBorders>
            <w:shd w:val="clear" w:color="auto" w:fill="auto"/>
          </w:tcPr>
          <w:p w14:paraId="10502868"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E2ADA19" w14:textId="77777777" w:rsidR="00EB0F03" w:rsidRPr="00777395" w:rsidRDefault="00EB0F03" w:rsidP="00EB0F03">
            <w:pPr>
              <w:suppressAutoHyphens/>
              <w:jc w:val="center"/>
              <w:rPr>
                <w:rFonts w:cs="Segoe UI"/>
                <w:sz w:val="22"/>
                <w:szCs w:val="22"/>
                <w:lang w:eastAsia="en-GB"/>
              </w:rPr>
            </w:pPr>
          </w:p>
        </w:tc>
      </w:tr>
      <w:tr w:rsidR="00EB0F03" w:rsidRPr="00777395" w14:paraId="7AC5384B" w14:textId="77777777" w:rsidTr="00EB0F03">
        <w:trPr>
          <w:cantSplit/>
          <w:trHeight w:val="706"/>
        </w:trPr>
        <w:tc>
          <w:tcPr>
            <w:tcW w:w="2127" w:type="dxa"/>
            <w:vMerge/>
            <w:tcBorders>
              <w:top w:val="single" w:sz="4" w:space="0" w:color="000000"/>
              <w:bottom w:val="single" w:sz="4" w:space="0" w:color="000000"/>
            </w:tcBorders>
            <w:shd w:val="clear" w:color="auto" w:fill="auto"/>
          </w:tcPr>
          <w:p w14:paraId="30A362CB"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0711D9E5" w14:textId="77777777" w:rsidR="00EB0F03" w:rsidRPr="00777395" w:rsidRDefault="00EB0F03" w:rsidP="00EB0F03">
            <w:pPr>
              <w:suppressAutoHyphens/>
              <w:rPr>
                <w:rFonts w:cs="Segoe UI"/>
                <w:sz w:val="22"/>
                <w:szCs w:val="22"/>
                <w:lang w:val="en-US" w:eastAsia="zh-TW"/>
              </w:rPr>
            </w:pPr>
            <w:r w:rsidRPr="00777395">
              <w:rPr>
                <w:rFonts w:eastAsia="細明體" w:cs="Segoe UI"/>
                <w:sz w:val="22"/>
                <w:szCs w:val="22"/>
                <w:lang w:eastAsia="zh-TW"/>
              </w:rPr>
              <w:t>表</w:t>
            </w:r>
            <w:r w:rsidRPr="00777395">
              <w:rPr>
                <w:rFonts w:cs="Segoe UI"/>
                <w:sz w:val="22"/>
                <w:szCs w:val="22"/>
                <w:lang w:eastAsia="zh-TW"/>
              </w:rPr>
              <w:t>CCA</w:t>
            </w:r>
            <w:r w:rsidRPr="00777395">
              <w:rPr>
                <w:rFonts w:eastAsia="細明體" w:cs="Segoe UI"/>
                <w:sz w:val="22"/>
                <w:szCs w:val="22"/>
                <w:lang w:eastAsia="zh-TW"/>
              </w:rPr>
              <w:t>：監管資本票據的主要特點</w:t>
            </w:r>
          </w:p>
        </w:tc>
        <w:tc>
          <w:tcPr>
            <w:tcW w:w="1701" w:type="dxa"/>
            <w:tcBorders>
              <w:top w:val="single" w:sz="4" w:space="0" w:color="000000"/>
              <w:left w:val="single" w:sz="8" w:space="0" w:color="000000"/>
              <w:bottom w:val="single" w:sz="4" w:space="0" w:color="000000"/>
            </w:tcBorders>
            <w:shd w:val="clear" w:color="auto" w:fill="auto"/>
          </w:tcPr>
          <w:p w14:paraId="52E0D8FE"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16F167F6" w14:textId="77777777" w:rsidR="00EB0F03" w:rsidRPr="00777395" w:rsidRDefault="00EB0F03" w:rsidP="00EB0F03">
            <w:pPr>
              <w:suppressAutoHyphens/>
              <w:jc w:val="center"/>
              <w:rPr>
                <w:rFonts w:cs="Segoe UI"/>
                <w:sz w:val="22"/>
                <w:szCs w:val="22"/>
                <w:lang w:eastAsia="en-GB"/>
              </w:rPr>
            </w:pPr>
          </w:p>
        </w:tc>
        <w:tc>
          <w:tcPr>
            <w:tcW w:w="992" w:type="dxa"/>
            <w:tcBorders>
              <w:top w:val="single" w:sz="4" w:space="0" w:color="000000"/>
              <w:left w:val="single" w:sz="4" w:space="0" w:color="000000"/>
              <w:bottom w:val="single" w:sz="4" w:space="0" w:color="000000"/>
            </w:tcBorders>
            <w:shd w:val="clear" w:color="auto" w:fill="auto"/>
          </w:tcPr>
          <w:p w14:paraId="462DFA1F"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8" w:space="0" w:color="000000"/>
              <w:bottom w:val="single" w:sz="4" w:space="0" w:color="000000"/>
            </w:tcBorders>
            <w:shd w:val="clear" w:color="auto" w:fill="auto"/>
          </w:tcPr>
          <w:p w14:paraId="6CE1421D" w14:textId="77777777" w:rsidR="00EB0F03" w:rsidRPr="00777395" w:rsidRDefault="00EB0F03" w:rsidP="00EB0F03">
            <w:pPr>
              <w:suppressAutoHyphens/>
              <w:jc w:val="center"/>
              <w:rPr>
                <w:rFonts w:cs="Segoe UI"/>
                <w:sz w:val="22"/>
                <w:szCs w:val="22"/>
                <w:lang w:eastAsia="en-GB"/>
              </w:rPr>
            </w:pPr>
          </w:p>
        </w:tc>
        <w:tc>
          <w:tcPr>
            <w:tcW w:w="1276" w:type="dxa"/>
            <w:tcBorders>
              <w:top w:val="single" w:sz="4" w:space="0" w:color="000000"/>
              <w:left w:val="single" w:sz="4" w:space="0" w:color="000000"/>
              <w:bottom w:val="single" w:sz="4" w:space="0" w:color="000000"/>
            </w:tcBorders>
            <w:shd w:val="clear" w:color="auto" w:fill="auto"/>
          </w:tcPr>
          <w:p w14:paraId="18B23DFC"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0900B24F" w14:textId="77777777" w:rsidR="00EB0F03" w:rsidRPr="00777395" w:rsidRDefault="00EB0F03" w:rsidP="00EB0F03">
            <w:pPr>
              <w:suppressAutoHyphens/>
              <w:jc w:val="center"/>
              <w:rPr>
                <w:rFonts w:cs="Segoe UI"/>
                <w:sz w:val="22"/>
                <w:szCs w:val="22"/>
                <w:lang w:eastAsia="en-GB"/>
              </w:rPr>
            </w:pPr>
          </w:p>
        </w:tc>
      </w:tr>
      <w:tr w:rsidR="00EB0F03" w:rsidRPr="00777395" w14:paraId="166FE1E1" w14:textId="77777777" w:rsidTr="00EB0F03">
        <w:trPr>
          <w:cantSplit/>
          <w:trHeight w:val="1387"/>
        </w:trPr>
        <w:tc>
          <w:tcPr>
            <w:tcW w:w="2127" w:type="dxa"/>
            <w:vMerge w:val="restart"/>
            <w:tcBorders>
              <w:top w:val="single" w:sz="8" w:space="0" w:color="000000"/>
              <w:bottom w:val="single" w:sz="4" w:space="0" w:color="000000"/>
            </w:tcBorders>
            <w:shd w:val="clear" w:color="auto" w:fill="auto"/>
          </w:tcPr>
          <w:p w14:paraId="7B0D8CE7" w14:textId="77777777" w:rsidR="00EB0F03" w:rsidRPr="00777395" w:rsidRDefault="00EB0F03" w:rsidP="00EB0F03">
            <w:pPr>
              <w:suppressAutoHyphens/>
              <w:rPr>
                <w:rFonts w:cs="Segoe UI"/>
                <w:sz w:val="22"/>
                <w:szCs w:val="22"/>
                <w:lang w:eastAsia="zh-TW"/>
              </w:rPr>
            </w:pPr>
            <w:r w:rsidRPr="00777395">
              <w:rPr>
                <w:rFonts w:eastAsia="細明體" w:cs="Segoe UI"/>
                <w:sz w:val="22"/>
                <w:szCs w:val="22"/>
                <w:lang w:eastAsia="zh-TW"/>
              </w:rPr>
              <w:t>第</w:t>
            </w:r>
            <w:r w:rsidRPr="00777395">
              <w:rPr>
                <w:rFonts w:eastAsia="細明體" w:cs="Segoe UI"/>
                <w:sz w:val="22"/>
                <w:szCs w:val="22"/>
                <w:lang w:eastAsia="zh-TW"/>
              </w:rPr>
              <w:t>IIB</w:t>
            </w:r>
            <w:r w:rsidRPr="00777395">
              <w:rPr>
                <w:rFonts w:eastAsia="細明體" w:cs="Segoe UI"/>
                <w:sz w:val="22"/>
                <w:szCs w:val="22"/>
                <w:lang w:eastAsia="zh-TW"/>
              </w:rPr>
              <w:t>部：宏觀審慎監管措施</w:t>
            </w:r>
          </w:p>
        </w:tc>
        <w:tc>
          <w:tcPr>
            <w:tcW w:w="4819" w:type="dxa"/>
            <w:tcBorders>
              <w:top w:val="single" w:sz="8" w:space="0" w:color="000000"/>
              <w:left w:val="single" w:sz="8" w:space="0" w:color="000000"/>
              <w:bottom w:val="single" w:sz="4" w:space="0" w:color="000000"/>
            </w:tcBorders>
            <w:shd w:val="clear" w:color="auto" w:fill="auto"/>
          </w:tcPr>
          <w:p w14:paraId="51E37D44" w14:textId="77777777" w:rsidR="00EB0F03" w:rsidRPr="00777395" w:rsidRDefault="00EB0F03" w:rsidP="00EB0F03">
            <w:pPr>
              <w:suppressAutoHyphens/>
              <w:rPr>
                <w:rFonts w:cs="Segoe UI"/>
                <w:noProof/>
                <w:sz w:val="22"/>
                <w:szCs w:val="22"/>
                <w:lang w:val="en-US" w:eastAsia="en-GB"/>
              </w:rPr>
            </w:pPr>
            <w:r w:rsidRPr="00777395">
              <w:rPr>
                <w:rFonts w:eastAsia="細明體" w:cs="Segoe UI"/>
                <w:sz w:val="22"/>
                <w:szCs w:val="22"/>
                <w:lang w:eastAsia="zh-TW"/>
              </w:rPr>
              <w:t>模版</w:t>
            </w:r>
            <w:r w:rsidRPr="00777395">
              <w:rPr>
                <w:rFonts w:cs="Segoe UI"/>
                <w:sz w:val="22"/>
                <w:szCs w:val="22"/>
                <w:lang w:eastAsia="en-GB"/>
              </w:rPr>
              <w:t>GSIB1</w:t>
            </w:r>
            <w:r w:rsidRPr="00777395">
              <w:rPr>
                <w:rFonts w:eastAsia="細明體" w:cs="Segoe UI"/>
                <w:sz w:val="22"/>
                <w:szCs w:val="22"/>
                <w:lang w:eastAsia="zh-TW"/>
              </w:rPr>
              <w:t>：</w:t>
            </w:r>
            <w:r w:rsidRPr="00777395">
              <w:rPr>
                <w:rFonts w:cs="Segoe UI"/>
                <w:sz w:val="22"/>
                <w:szCs w:val="22"/>
                <w:lang w:eastAsia="en-GB"/>
              </w:rPr>
              <w:t>G</w:t>
            </w:r>
            <w:r w:rsidRPr="00777395">
              <w:rPr>
                <w:rFonts w:eastAsia="新細明體" w:cs="Segoe UI"/>
                <w:sz w:val="22"/>
                <w:szCs w:val="22"/>
                <w:lang w:eastAsia="zh-TW"/>
              </w:rPr>
              <w:t>-</w:t>
            </w:r>
            <w:r w:rsidRPr="00777395">
              <w:rPr>
                <w:rFonts w:cs="Segoe UI"/>
                <w:sz w:val="22"/>
                <w:szCs w:val="22"/>
                <w:lang w:eastAsia="en-GB"/>
              </w:rPr>
              <w:t>SIB</w:t>
            </w:r>
            <w:r w:rsidRPr="00777395">
              <w:rPr>
                <w:rFonts w:eastAsia="細明體" w:cs="Segoe UI"/>
                <w:sz w:val="22"/>
                <w:szCs w:val="22"/>
                <w:lang w:eastAsia="zh-TW"/>
              </w:rPr>
              <w:t>指標</w:t>
            </w:r>
          </w:p>
        </w:tc>
        <w:tc>
          <w:tcPr>
            <w:tcW w:w="1701" w:type="dxa"/>
            <w:tcBorders>
              <w:top w:val="single" w:sz="8" w:space="0" w:color="000000"/>
              <w:left w:val="single" w:sz="8" w:space="0" w:color="000000"/>
              <w:bottom w:val="single" w:sz="4" w:space="0" w:color="000000"/>
            </w:tcBorders>
            <w:shd w:val="clear" w:color="auto" w:fill="auto"/>
          </w:tcPr>
          <w:p w14:paraId="1F498394" w14:textId="77777777" w:rsidR="00EB0F03" w:rsidRPr="00777395" w:rsidRDefault="00EB0F03" w:rsidP="00EB0F03">
            <w:pPr>
              <w:suppressAutoHyphens/>
              <w:jc w:val="center"/>
              <w:rPr>
                <w:rFonts w:cs="Segoe UI"/>
                <w:sz w:val="22"/>
                <w:szCs w:val="22"/>
                <w:lang w:eastAsia="zh-TW"/>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cs="Segoe UI"/>
                <w:sz w:val="22"/>
                <w:szCs w:val="22"/>
                <w:lang w:eastAsia="zh-TW"/>
              </w:rPr>
              <w:t>[</w:t>
            </w:r>
            <w:r w:rsidRPr="00777395">
              <w:rPr>
                <w:rFonts w:eastAsia="新細明體" w:cs="Segoe UI"/>
                <w:sz w:val="22"/>
                <w:szCs w:val="22"/>
                <w:lang w:eastAsia="zh-TW"/>
              </w:rPr>
              <w:t>屬</w:t>
            </w:r>
            <w:r w:rsidRPr="00777395">
              <w:rPr>
                <w:rFonts w:cs="Segoe UI"/>
                <w:sz w:val="22"/>
                <w:szCs w:val="22"/>
                <w:lang w:eastAsia="zh-TW"/>
              </w:rPr>
              <w:t>G-SIB /</w:t>
            </w:r>
            <w:r w:rsidRPr="00777395">
              <w:rPr>
                <w:rFonts w:eastAsia="新細明體" w:cs="Segoe UI"/>
                <w:sz w:val="22"/>
                <w:szCs w:val="22"/>
                <w:lang w:eastAsia="zh-TW"/>
              </w:rPr>
              <w:t>《披露規則》第</w:t>
            </w:r>
            <w:r w:rsidRPr="00777395">
              <w:rPr>
                <w:rFonts w:cs="Segoe UI"/>
                <w:sz w:val="22"/>
                <w:szCs w:val="22"/>
                <w:lang w:eastAsia="zh-TW"/>
              </w:rPr>
              <w:t>16FF(1)</w:t>
            </w:r>
            <w:r w:rsidRPr="00777395">
              <w:rPr>
                <w:rFonts w:eastAsia="新細明體" w:cs="Segoe UI"/>
                <w:sz w:val="22"/>
                <w:szCs w:val="22"/>
                <w:lang w:eastAsia="zh-TW"/>
              </w:rPr>
              <w:t>條指明者</w:t>
            </w:r>
            <w:r w:rsidRPr="00777395">
              <w:rPr>
                <w:rFonts w:cs="Segoe UI"/>
                <w:sz w:val="22"/>
                <w:szCs w:val="22"/>
                <w:lang w:eastAsia="zh-TW"/>
              </w:rPr>
              <w:t>]</w:t>
            </w:r>
          </w:p>
        </w:tc>
        <w:tc>
          <w:tcPr>
            <w:tcW w:w="992" w:type="dxa"/>
            <w:tcBorders>
              <w:top w:val="single" w:sz="8" w:space="0" w:color="000000"/>
              <w:left w:val="single" w:sz="8" w:space="0" w:color="000000"/>
              <w:bottom w:val="single" w:sz="4" w:space="0" w:color="000000"/>
            </w:tcBorders>
            <w:shd w:val="clear" w:color="auto" w:fill="auto"/>
          </w:tcPr>
          <w:p w14:paraId="6249917E" w14:textId="77777777" w:rsidR="00EB0F03" w:rsidRPr="00777395" w:rsidRDefault="00EB0F03" w:rsidP="00EB0F03">
            <w:pPr>
              <w:suppressAutoHyphens/>
              <w:jc w:val="center"/>
              <w:rPr>
                <w:rFonts w:cs="Segoe UI"/>
                <w:sz w:val="22"/>
                <w:szCs w:val="22"/>
                <w:lang w:eastAsia="zh-TW"/>
              </w:rPr>
            </w:pPr>
          </w:p>
        </w:tc>
        <w:tc>
          <w:tcPr>
            <w:tcW w:w="992" w:type="dxa"/>
            <w:tcBorders>
              <w:top w:val="single" w:sz="8" w:space="0" w:color="000000"/>
              <w:left w:val="single" w:sz="4" w:space="0" w:color="000000"/>
              <w:bottom w:val="single" w:sz="4" w:space="0" w:color="000000"/>
            </w:tcBorders>
            <w:shd w:val="clear" w:color="auto" w:fill="auto"/>
          </w:tcPr>
          <w:p w14:paraId="3B5F689D"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6" w:type="dxa"/>
            <w:tcBorders>
              <w:top w:val="single" w:sz="8" w:space="0" w:color="000000"/>
              <w:left w:val="single" w:sz="8" w:space="0" w:color="000000"/>
              <w:bottom w:val="single" w:sz="4" w:space="0" w:color="000000"/>
            </w:tcBorders>
            <w:shd w:val="clear" w:color="auto" w:fill="auto"/>
          </w:tcPr>
          <w:p w14:paraId="563D20B5" w14:textId="77777777" w:rsidR="00EB0F03" w:rsidRPr="00777395" w:rsidRDefault="00EB0F03" w:rsidP="00EB0F03">
            <w:pPr>
              <w:suppressAutoHyphens/>
              <w:jc w:val="center"/>
              <w:rPr>
                <w:rFonts w:cs="Segoe UI"/>
                <w:sz w:val="22"/>
                <w:szCs w:val="22"/>
                <w:lang w:eastAsia="en-GB"/>
              </w:rPr>
            </w:pPr>
          </w:p>
        </w:tc>
        <w:tc>
          <w:tcPr>
            <w:tcW w:w="1276" w:type="dxa"/>
            <w:tcBorders>
              <w:top w:val="single" w:sz="8" w:space="0" w:color="000000"/>
              <w:left w:val="single" w:sz="4" w:space="0" w:color="000000"/>
              <w:bottom w:val="single" w:sz="4" w:space="0" w:color="000000"/>
            </w:tcBorders>
            <w:shd w:val="clear" w:color="auto" w:fill="auto"/>
          </w:tcPr>
          <w:p w14:paraId="021C9926" w14:textId="77777777" w:rsidR="00EB0F03" w:rsidRPr="00777395" w:rsidRDefault="00EB0F03" w:rsidP="00EB0F03">
            <w:pPr>
              <w:suppressAutoHyphens/>
              <w:jc w:val="center"/>
              <w:rPr>
                <w:rFonts w:cs="Segoe UI"/>
                <w:sz w:val="22"/>
                <w:szCs w:val="22"/>
                <w:lang w:eastAsia="en-GB"/>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1E2BEEAB"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r>
      <w:tr w:rsidR="00EB0F03" w:rsidRPr="00777395" w14:paraId="51B63D41" w14:textId="77777777" w:rsidTr="00EB0F03">
        <w:trPr>
          <w:cantSplit/>
          <w:trHeight w:val="674"/>
        </w:trPr>
        <w:tc>
          <w:tcPr>
            <w:tcW w:w="2127" w:type="dxa"/>
            <w:vMerge/>
            <w:tcBorders>
              <w:top w:val="single" w:sz="4" w:space="0" w:color="000000"/>
              <w:bottom w:val="single" w:sz="4" w:space="0" w:color="000000"/>
            </w:tcBorders>
          </w:tcPr>
          <w:p w14:paraId="5D39315B"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762747DF" w14:textId="77777777" w:rsidR="00EB0F03" w:rsidRPr="00777395" w:rsidRDefault="00EB0F03" w:rsidP="00EB0F03">
            <w:pPr>
              <w:suppressAutoHyphens/>
              <w:rPr>
                <w:rFonts w:cs="Segoe UI"/>
                <w:sz w:val="22"/>
                <w:szCs w:val="22"/>
                <w:lang w:val="en-US" w:eastAsia="zh-TW"/>
              </w:rPr>
            </w:pPr>
            <w:r w:rsidRPr="00777395">
              <w:rPr>
                <w:rFonts w:eastAsia="細明體" w:cs="Segoe UI"/>
                <w:sz w:val="22"/>
                <w:szCs w:val="22"/>
                <w:lang w:eastAsia="zh-TW"/>
              </w:rPr>
              <w:t>模版</w:t>
            </w:r>
            <w:r w:rsidRPr="00777395">
              <w:rPr>
                <w:rFonts w:cs="Segoe UI"/>
                <w:sz w:val="22"/>
                <w:szCs w:val="22"/>
                <w:lang w:eastAsia="zh-TW"/>
              </w:rPr>
              <w:t>CCyB1</w:t>
            </w:r>
            <w:r w:rsidRPr="00777395">
              <w:rPr>
                <w:rFonts w:eastAsia="細明體" w:cs="Segoe UI"/>
                <w:sz w:val="22"/>
                <w:szCs w:val="22"/>
                <w:lang w:eastAsia="zh-TW"/>
              </w:rPr>
              <w:t>：用於逆周期緩衝資本的信用風險承擔的地域分佈</w:t>
            </w:r>
          </w:p>
        </w:tc>
        <w:tc>
          <w:tcPr>
            <w:tcW w:w="1701" w:type="dxa"/>
            <w:tcBorders>
              <w:top w:val="single" w:sz="4" w:space="0" w:color="000000"/>
              <w:left w:val="single" w:sz="8" w:space="0" w:color="000000"/>
              <w:bottom w:val="single" w:sz="4" w:space="0" w:color="000000"/>
            </w:tcBorders>
            <w:shd w:val="clear" w:color="auto" w:fill="auto"/>
          </w:tcPr>
          <w:p w14:paraId="5BFD31B8"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1B69357D" w14:textId="77777777" w:rsidR="00EB0F03" w:rsidRPr="00777395" w:rsidRDefault="00EB0F03" w:rsidP="00EB0F03">
            <w:pPr>
              <w:suppressAutoHyphens/>
              <w:jc w:val="center"/>
              <w:rPr>
                <w:rFonts w:cs="Segoe UI"/>
                <w:sz w:val="22"/>
                <w:szCs w:val="22"/>
                <w:lang w:eastAsia="en-GB"/>
              </w:rPr>
            </w:pPr>
          </w:p>
        </w:tc>
        <w:tc>
          <w:tcPr>
            <w:tcW w:w="992" w:type="dxa"/>
            <w:tcBorders>
              <w:top w:val="single" w:sz="4" w:space="0" w:color="000000"/>
              <w:left w:val="single" w:sz="4" w:space="0" w:color="000000"/>
              <w:bottom w:val="single" w:sz="4" w:space="0" w:color="000000"/>
            </w:tcBorders>
            <w:shd w:val="clear" w:color="auto" w:fill="auto"/>
          </w:tcPr>
          <w:p w14:paraId="2E35C77D"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8" w:space="0" w:color="000000"/>
              <w:bottom w:val="single" w:sz="4" w:space="0" w:color="000000"/>
            </w:tcBorders>
            <w:shd w:val="clear" w:color="auto" w:fill="auto"/>
          </w:tcPr>
          <w:p w14:paraId="6032E066" w14:textId="77777777" w:rsidR="00EB0F03" w:rsidRPr="00777395" w:rsidRDefault="00EB0F03" w:rsidP="00EB0F03">
            <w:pPr>
              <w:suppressAutoHyphens/>
              <w:jc w:val="center"/>
              <w:rPr>
                <w:rFonts w:cs="Segoe UI"/>
                <w:sz w:val="22"/>
                <w:szCs w:val="22"/>
                <w:lang w:eastAsia="en-GB"/>
              </w:rPr>
            </w:pPr>
          </w:p>
        </w:tc>
        <w:tc>
          <w:tcPr>
            <w:tcW w:w="1276" w:type="dxa"/>
            <w:tcBorders>
              <w:top w:val="single" w:sz="4" w:space="0" w:color="000000"/>
              <w:left w:val="single" w:sz="4" w:space="0" w:color="000000"/>
              <w:bottom w:val="single" w:sz="4" w:space="0" w:color="000000"/>
            </w:tcBorders>
            <w:shd w:val="clear" w:color="auto" w:fill="auto"/>
          </w:tcPr>
          <w:p w14:paraId="1AD788AA" w14:textId="77777777" w:rsidR="00EB0F03" w:rsidRPr="00777395" w:rsidRDefault="00EB0F03" w:rsidP="00EB0F03">
            <w:pPr>
              <w:suppressAutoHyphens/>
              <w:jc w:val="center"/>
              <w:rPr>
                <w:rFonts w:cs="Segoe UI"/>
                <w:noProof/>
                <w:sz w:val="22"/>
                <w:szCs w:val="22"/>
                <w:lang w:eastAsia="en-GB"/>
              </w:rPr>
            </w:pPr>
            <w:r w:rsidRPr="00777395">
              <w:rPr>
                <w:rFonts w:cs="Segoe UI"/>
                <w:sz w:val="22"/>
                <w:szCs w:val="22"/>
                <w:lang w:eastAsia="en-GB"/>
              </w:rPr>
              <w:sym w:font="Wingdings 2" w:char="F050"/>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59A2B2E7" w14:textId="77777777" w:rsidR="00EB0F03" w:rsidRPr="00777395" w:rsidRDefault="00EB0F03" w:rsidP="00EB0F03">
            <w:pPr>
              <w:suppressAutoHyphens/>
              <w:jc w:val="center"/>
              <w:rPr>
                <w:rFonts w:cs="Segoe UI"/>
                <w:sz w:val="22"/>
                <w:szCs w:val="22"/>
                <w:lang w:eastAsia="en-GB"/>
              </w:rPr>
            </w:pPr>
          </w:p>
        </w:tc>
      </w:tr>
      <w:tr w:rsidR="00EB0F03" w:rsidRPr="00777395" w14:paraId="170822E1" w14:textId="77777777" w:rsidTr="00EB0F03">
        <w:trPr>
          <w:cantSplit/>
          <w:trHeight w:val="688"/>
        </w:trPr>
        <w:tc>
          <w:tcPr>
            <w:tcW w:w="2127" w:type="dxa"/>
            <w:vMerge w:val="restart"/>
            <w:tcBorders>
              <w:top w:val="single" w:sz="8" w:space="0" w:color="000000"/>
              <w:bottom w:val="single" w:sz="4" w:space="0" w:color="000000"/>
            </w:tcBorders>
            <w:shd w:val="clear" w:color="auto" w:fill="auto"/>
          </w:tcPr>
          <w:p w14:paraId="5758D1AF" w14:textId="77777777" w:rsidR="00EB0F03" w:rsidRPr="00777395" w:rsidRDefault="00EB0F03" w:rsidP="00EB0F03">
            <w:pPr>
              <w:suppressAutoHyphens/>
              <w:rPr>
                <w:rFonts w:cs="Segoe UI"/>
                <w:sz w:val="22"/>
                <w:szCs w:val="22"/>
                <w:lang w:eastAsia="zh-TW"/>
              </w:rPr>
            </w:pPr>
            <w:r w:rsidRPr="00777395">
              <w:rPr>
                <w:rFonts w:eastAsia="細明體" w:cs="Segoe UI"/>
                <w:sz w:val="22"/>
                <w:szCs w:val="22"/>
                <w:lang w:eastAsia="zh-TW"/>
              </w:rPr>
              <w:t>第</w:t>
            </w:r>
            <w:r w:rsidRPr="00777395">
              <w:rPr>
                <w:rFonts w:eastAsia="細明體" w:cs="Segoe UI"/>
                <w:sz w:val="22"/>
                <w:szCs w:val="22"/>
                <w:lang w:eastAsia="zh-TW"/>
              </w:rPr>
              <w:t>IIC</w:t>
            </w:r>
            <w:r w:rsidRPr="00777395">
              <w:rPr>
                <w:rFonts w:eastAsia="細明體" w:cs="Segoe UI"/>
                <w:sz w:val="22"/>
                <w:szCs w:val="22"/>
                <w:lang w:eastAsia="zh-TW"/>
              </w:rPr>
              <w:t>部：槓桿比率</w:t>
            </w:r>
          </w:p>
        </w:tc>
        <w:tc>
          <w:tcPr>
            <w:tcW w:w="4819" w:type="dxa"/>
            <w:tcBorders>
              <w:top w:val="single" w:sz="8" w:space="0" w:color="000000"/>
              <w:left w:val="single" w:sz="8" w:space="0" w:color="000000"/>
              <w:bottom w:val="single" w:sz="4" w:space="0" w:color="000000"/>
            </w:tcBorders>
            <w:shd w:val="clear" w:color="auto" w:fill="auto"/>
          </w:tcPr>
          <w:p w14:paraId="05711612" w14:textId="77777777" w:rsidR="00EB0F03" w:rsidRPr="00777395" w:rsidRDefault="00EB0F03" w:rsidP="00EB0F03">
            <w:pPr>
              <w:suppressAutoHyphens/>
              <w:rPr>
                <w:rFonts w:cs="Segoe UI"/>
                <w:noProof/>
                <w:sz w:val="22"/>
                <w:szCs w:val="22"/>
                <w:lang w:eastAsia="zh-TW"/>
              </w:rPr>
            </w:pPr>
            <w:r w:rsidRPr="00777395">
              <w:rPr>
                <w:rFonts w:eastAsia="細明體" w:cs="Segoe UI"/>
                <w:sz w:val="22"/>
                <w:szCs w:val="22"/>
                <w:lang w:eastAsia="zh-TW"/>
              </w:rPr>
              <w:t>模版</w:t>
            </w:r>
            <w:r w:rsidRPr="00777395">
              <w:rPr>
                <w:rFonts w:cs="Segoe UI"/>
                <w:sz w:val="22"/>
                <w:szCs w:val="22"/>
                <w:lang w:eastAsia="zh-TW"/>
              </w:rPr>
              <w:t>LR1</w:t>
            </w:r>
            <w:r w:rsidRPr="00777395">
              <w:rPr>
                <w:rFonts w:eastAsia="細明體" w:cs="Segoe UI"/>
                <w:sz w:val="22"/>
                <w:szCs w:val="22"/>
                <w:lang w:eastAsia="zh-TW"/>
              </w:rPr>
              <w:t>：會計資產對槓桿比率風險承擔計量的比較摘要</w:t>
            </w:r>
          </w:p>
        </w:tc>
        <w:tc>
          <w:tcPr>
            <w:tcW w:w="1701" w:type="dxa"/>
            <w:tcBorders>
              <w:top w:val="single" w:sz="8" w:space="0" w:color="000000"/>
              <w:left w:val="single" w:sz="8" w:space="0" w:color="000000"/>
              <w:bottom w:val="single" w:sz="4" w:space="0" w:color="000000"/>
            </w:tcBorders>
            <w:shd w:val="clear" w:color="auto" w:fill="auto"/>
          </w:tcPr>
          <w:p w14:paraId="5E686ECE"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676FAC80"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r w:rsidRPr="00777395">
              <w:rPr>
                <w:rFonts w:cs="Segoe UI"/>
                <w:sz w:val="22"/>
                <w:szCs w:val="22"/>
                <w:lang w:eastAsia="en-GB"/>
              </w:rPr>
              <w:t xml:space="preserve"> </w:t>
            </w:r>
          </w:p>
        </w:tc>
        <w:tc>
          <w:tcPr>
            <w:tcW w:w="992" w:type="dxa"/>
            <w:tcBorders>
              <w:top w:val="single" w:sz="8" w:space="0" w:color="000000"/>
              <w:left w:val="single" w:sz="4" w:space="0" w:color="000000"/>
              <w:bottom w:val="single" w:sz="4" w:space="0" w:color="000000"/>
            </w:tcBorders>
            <w:shd w:val="clear" w:color="auto" w:fill="auto"/>
          </w:tcPr>
          <w:p w14:paraId="42399845" w14:textId="77777777" w:rsidR="00EB0F03" w:rsidRPr="00777395" w:rsidRDefault="00EB0F03" w:rsidP="00EB0F03">
            <w:pPr>
              <w:suppressAutoHyphens/>
              <w:jc w:val="center"/>
              <w:rPr>
                <w:rFonts w:cs="Segoe UI"/>
                <w:noProof/>
                <w:sz w:val="22"/>
                <w:szCs w:val="22"/>
                <w:lang w:eastAsia="en-GB"/>
              </w:rPr>
            </w:pPr>
          </w:p>
        </w:tc>
        <w:tc>
          <w:tcPr>
            <w:tcW w:w="1276" w:type="dxa"/>
            <w:tcBorders>
              <w:top w:val="single" w:sz="8" w:space="0" w:color="000000"/>
              <w:left w:val="single" w:sz="8" w:space="0" w:color="000000"/>
              <w:bottom w:val="single" w:sz="4" w:space="0" w:color="000000"/>
            </w:tcBorders>
            <w:shd w:val="clear" w:color="auto" w:fill="auto"/>
          </w:tcPr>
          <w:p w14:paraId="36936CE1" w14:textId="77777777" w:rsidR="00EB0F03" w:rsidRPr="00777395" w:rsidRDefault="00EB0F03" w:rsidP="00EB0F03">
            <w:pPr>
              <w:suppressAutoHyphens/>
              <w:jc w:val="center"/>
              <w:rPr>
                <w:rFonts w:cs="Segoe UI"/>
                <w:sz w:val="22"/>
                <w:szCs w:val="22"/>
                <w:lang w:eastAsia="en-GB"/>
              </w:rPr>
            </w:pPr>
          </w:p>
        </w:tc>
        <w:tc>
          <w:tcPr>
            <w:tcW w:w="1276" w:type="dxa"/>
            <w:tcBorders>
              <w:top w:val="single" w:sz="8" w:space="0" w:color="000000"/>
              <w:left w:val="single" w:sz="4" w:space="0" w:color="000000"/>
              <w:bottom w:val="single" w:sz="4" w:space="0" w:color="000000"/>
            </w:tcBorders>
            <w:shd w:val="clear" w:color="auto" w:fill="auto"/>
          </w:tcPr>
          <w:p w14:paraId="50C4B719"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25B11F3D" w14:textId="77777777" w:rsidR="00EB0F03" w:rsidRPr="00777395" w:rsidRDefault="00EB0F03" w:rsidP="00EB0F03">
            <w:pPr>
              <w:suppressAutoHyphens/>
              <w:jc w:val="center"/>
              <w:rPr>
                <w:rFonts w:cs="Segoe UI"/>
                <w:noProof/>
                <w:sz w:val="22"/>
                <w:szCs w:val="22"/>
                <w:lang w:eastAsia="en-GB"/>
              </w:rPr>
            </w:pPr>
          </w:p>
        </w:tc>
      </w:tr>
      <w:tr w:rsidR="00EB0F03" w:rsidRPr="00777395" w14:paraId="0F96FAA4" w14:textId="77777777" w:rsidTr="00EB0F03">
        <w:trPr>
          <w:cantSplit/>
          <w:trHeight w:val="425"/>
        </w:trPr>
        <w:tc>
          <w:tcPr>
            <w:tcW w:w="2127" w:type="dxa"/>
            <w:vMerge/>
            <w:tcBorders>
              <w:top w:val="single" w:sz="4" w:space="0" w:color="000000"/>
              <w:bottom w:val="single" w:sz="4" w:space="0" w:color="000000"/>
            </w:tcBorders>
          </w:tcPr>
          <w:p w14:paraId="2E2EE2AA"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57BA4DD3" w14:textId="77777777" w:rsidR="00EB0F03" w:rsidRPr="00777395" w:rsidRDefault="00EB0F03" w:rsidP="00EB0F03">
            <w:pPr>
              <w:suppressAutoHyphens/>
              <w:rPr>
                <w:rFonts w:eastAsia="細明體" w:cs="Segoe UI"/>
                <w:sz w:val="22"/>
                <w:szCs w:val="22"/>
                <w:lang w:eastAsia="ar-SA"/>
              </w:rPr>
            </w:pPr>
            <w:r w:rsidRPr="00777395">
              <w:rPr>
                <w:rFonts w:eastAsia="細明體" w:cs="Segoe UI"/>
                <w:sz w:val="22"/>
                <w:szCs w:val="22"/>
                <w:lang w:eastAsia="zh-TW"/>
              </w:rPr>
              <w:t>模版</w:t>
            </w:r>
            <w:r w:rsidRPr="00777395">
              <w:rPr>
                <w:rFonts w:cs="Segoe UI"/>
                <w:sz w:val="22"/>
                <w:szCs w:val="22"/>
                <w:lang w:eastAsia="zh-TW"/>
              </w:rPr>
              <w:t>LR2</w:t>
            </w:r>
            <w:r w:rsidRPr="00777395">
              <w:rPr>
                <w:rFonts w:eastAsia="細明體" w:cs="Segoe UI"/>
                <w:sz w:val="22"/>
                <w:szCs w:val="22"/>
                <w:lang w:eastAsia="zh-TW"/>
              </w:rPr>
              <w:t>：槓桿比率</w:t>
            </w:r>
          </w:p>
        </w:tc>
        <w:tc>
          <w:tcPr>
            <w:tcW w:w="1701" w:type="dxa"/>
            <w:tcBorders>
              <w:top w:val="single" w:sz="4" w:space="0" w:color="000000"/>
              <w:left w:val="single" w:sz="8" w:space="0" w:color="000000"/>
              <w:bottom w:val="single" w:sz="4" w:space="0" w:color="000000"/>
            </w:tcBorders>
            <w:shd w:val="clear" w:color="auto" w:fill="auto"/>
          </w:tcPr>
          <w:p w14:paraId="21488F17"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77A62D5C" w14:textId="77777777" w:rsidR="00EB0F03" w:rsidRPr="00777395" w:rsidRDefault="00EB0F03" w:rsidP="00EB0F03">
            <w:pPr>
              <w:suppressAutoHyphens/>
              <w:jc w:val="center"/>
              <w:rPr>
                <w:rFonts w:eastAsia="細明體" w:cs="Segoe UI"/>
                <w:sz w:val="22"/>
                <w:szCs w:val="22"/>
                <w:lang w:eastAsia="ar-SA"/>
              </w:rPr>
            </w:pPr>
            <w:r w:rsidRPr="00777395">
              <w:rPr>
                <w:rFonts w:cs="Segoe UI"/>
                <w:sz w:val="22"/>
                <w:szCs w:val="22"/>
                <w:lang w:eastAsia="en-GB"/>
              </w:rPr>
              <w:sym w:font="Wingdings 2" w:char="F050"/>
            </w:r>
          </w:p>
        </w:tc>
        <w:tc>
          <w:tcPr>
            <w:tcW w:w="992" w:type="dxa"/>
            <w:tcBorders>
              <w:top w:val="single" w:sz="4" w:space="0" w:color="000000"/>
              <w:left w:val="single" w:sz="4" w:space="0" w:color="000000"/>
              <w:bottom w:val="single" w:sz="4" w:space="0" w:color="000000"/>
            </w:tcBorders>
            <w:shd w:val="clear" w:color="auto" w:fill="auto"/>
          </w:tcPr>
          <w:p w14:paraId="3D27119E"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1EDBA328"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4" w:space="0" w:color="000000"/>
              <w:bottom w:val="single" w:sz="4" w:space="0" w:color="000000"/>
            </w:tcBorders>
            <w:shd w:val="clear" w:color="auto" w:fill="auto"/>
          </w:tcPr>
          <w:p w14:paraId="6B0EF751" w14:textId="77777777" w:rsidR="00EB0F03" w:rsidRPr="00777395" w:rsidRDefault="00EB0F03" w:rsidP="00EB0F03">
            <w:pPr>
              <w:suppressAutoHyphens/>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3832CAB3"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61ECBEB6" w14:textId="77777777" w:rsidTr="00EB0F03">
        <w:trPr>
          <w:cantSplit/>
          <w:trHeight w:val="407"/>
        </w:trPr>
        <w:tc>
          <w:tcPr>
            <w:tcW w:w="2127" w:type="dxa"/>
            <w:vMerge w:val="restart"/>
            <w:tcBorders>
              <w:top w:val="single" w:sz="8" w:space="0" w:color="000000"/>
              <w:bottom w:val="single" w:sz="4" w:space="0" w:color="000000"/>
            </w:tcBorders>
            <w:shd w:val="clear" w:color="auto" w:fill="auto"/>
          </w:tcPr>
          <w:p w14:paraId="2E1A0F3D" w14:textId="77777777" w:rsidR="00EB0F03" w:rsidRPr="00777395" w:rsidRDefault="00EB0F03" w:rsidP="00EB0F03">
            <w:pPr>
              <w:suppressAutoHyphens/>
              <w:rPr>
                <w:rFonts w:cs="Segoe UI"/>
                <w:sz w:val="22"/>
                <w:szCs w:val="22"/>
                <w:lang w:eastAsia="en-GB"/>
              </w:rPr>
            </w:pPr>
            <w:r w:rsidRPr="00777395">
              <w:rPr>
                <w:rFonts w:eastAsia="細明體" w:cs="Segoe UI"/>
                <w:sz w:val="22"/>
                <w:szCs w:val="22"/>
                <w:lang w:eastAsia="zh-TW"/>
              </w:rPr>
              <w:t>第</w:t>
            </w:r>
            <w:r w:rsidRPr="00777395">
              <w:rPr>
                <w:rFonts w:eastAsia="細明體" w:cs="Segoe UI"/>
                <w:sz w:val="22"/>
                <w:szCs w:val="22"/>
                <w:lang w:eastAsia="zh-TW"/>
              </w:rPr>
              <w:t>IID</w:t>
            </w:r>
            <w:r w:rsidRPr="00777395">
              <w:rPr>
                <w:rFonts w:eastAsia="細明體" w:cs="Segoe UI"/>
                <w:sz w:val="22"/>
                <w:szCs w:val="22"/>
                <w:lang w:eastAsia="zh-TW"/>
              </w:rPr>
              <w:t>部：</w:t>
            </w:r>
            <w:proofErr w:type="spellStart"/>
            <w:r w:rsidRPr="00777395">
              <w:rPr>
                <w:rFonts w:eastAsia="細明體" w:cs="Segoe UI"/>
                <w:sz w:val="22"/>
                <w:szCs w:val="22"/>
                <w:lang w:eastAsia="en-GB"/>
              </w:rPr>
              <w:t>流動性</w:t>
            </w:r>
            <w:proofErr w:type="spellEnd"/>
          </w:p>
        </w:tc>
        <w:tc>
          <w:tcPr>
            <w:tcW w:w="4819" w:type="dxa"/>
            <w:tcBorders>
              <w:top w:val="single" w:sz="8" w:space="0" w:color="000000"/>
              <w:left w:val="single" w:sz="8" w:space="0" w:color="000000"/>
              <w:bottom w:val="single" w:sz="4" w:space="0" w:color="000000"/>
            </w:tcBorders>
            <w:shd w:val="clear" w:color="auto" w:fill="auto"/>
          </w:tcPr>
          <w:p w14:paraId="38C770B3" w14:textId="77777777" w:rsidR="00EB0F03" w:rsidRPr="00777395" w:rsidRDefault="00EB0F03" w:rsidP="00EB0F03">
            <w:pPr>
              <w:suppressAutoHyphens/>
              <w:rPr>
                <w:rFonts w:cs="Segoe UI"/>
                <w:sz w:val="22"/>
                <w:szCs w:val="22"/>
                <w:lang w:eastAsia="zh-TW"/>
              </w:rPr>
            </w:pPr>
            <w:r w:rsidRPr="00777395">
              <w:rPr>
                <w:rFonts w:eastAsia="細明體" w:cs="Segoe UI"/>
                <w:sz w:val="22"/>
                <w:szCs w:val="22"/>
                <w:lang w:eastAsia="zh-TW"/>
              </w:rPr>
              <w:t>表</w:t>
            </w:r>
            <w:r w:rsidRPr="00777395">
              <w:rPr>
                <w:rFonts w:cs="Segoe UI"/>
                <w:sz w:val="22"/>
                <w:szCs w:val="22"/>
                <w:lang w:eastAsia="zh-TW"/>
              </w:rPr>
              <w:t>LIQA</w:t>
            </w:r>
            <w:r w:rsidRPr="00777395">
              <w:rPr>
                <w:rFonts w:eastAsia="細明體" w:cs="Segoe UI"/>
                <w:sz w:val="22"/>
                <w:szCs w:val="22"/>
                <w:lang w:eastAsia="zh-TW"/>
              </w:rPr>
              <w:t>：流動性風險管理</w:t>
            </w:r>
          </w:p>
        </w:tc>
        <w:tc>
          <w:tcPr>
            <w:tcW w:w="1701" w:type="dxa"/>
            <w:tcBorders>
              <w:top w:val="single" w:sz="8" w:space="0" w:color="000000"/>
              <w:left w:val="single" w:sz="8" w:space="0" w:color="000000"/>
              <w:bottom w:val="single" w:sz="4" w:space="0" w:color="000000"/>
            </w:tcBorders>
            <w:shd w:val="clear" w:color="auto" w:fill="auto"/>
          </w:tcPr>
          <w:p w14:paraId="563B5F30" w14:textId="0DDF6FDC" w:rsidR="00EB0F03" w:rsidRPr="00777395" w:rsidRDefault="00EB0F03" w:rsidP="00EB0F03">
            <w:pPr>
              <w:suppressAutoHyphens/>
              <w:jc w:val="center"/>
              <w:rPr>
                <w:rFonts w:cs="Segoe UI"/>
                <w:sz w:val="22"/>
                <w:szCs w:val="22"/>
                <w:lang w:eastAsia="en-GB"/>
              </w:rPr>
            </w:pPr>
            <w:r w:rsidRPr="00777395">
              <w:rPr>
                <w:rFonts w:eastAsia="新細明體" w:cs="Segoe UI"/>
                <w:sz w:val="22"/>
                <w:szCs w:val="22"/>
                <w:lang w:eastAsia="zh-TW"/>
              </w:rPr>
              <w:t>本地及</w:t>
            </w:r>
            <w:r w:rsidR="00482D97" w:rsidRPr="00482D97">
              <w:rPr>
                <w:rFonts w:eastAsia="新細明體" w:cs="Segoe UI" w:hint="eastAsia"/>
                <w:sz w:val="22"/>
                <w:szCs w:val="22"/>
                <w:lang w:eastAsia="zh-TW"/>
              </w:rPr>
              <w:t>非本地</w:t>
            </w:r>
          </w:p>
        </w:tc>
        <w:tc>
          <w:tcPr>
            <w:tcW w:w="992" w:type="dxa"/>
            <w:tcBorders>
              <w:top w:val="single" w:sz="8" w:space="0" w:color="000000"/>
              <w:left w:val="single" w:sz="8" w:space="0" w:color="000000"/>
              <w:bottom w:val="single" w:sz="4" w:space="0" w:color="000000"/>
            </w:tcBorders>
            <w:shd w:val="clear" w:color="auto" w:fill="auto"/>
          </w:tcPr>
          <w:p w14:paraId="3EBF9E50" w14:textId="77777777" w:rsidR="00EB0F03" w:rsidRPr="00777395" w:rsidRDefault="00EB0F03" w:rsidP="00EB0F03">
            <w:pPr>
              <w:suppressAutoHyphens/>
              <w:jc w:val="center"/>
              <w:rPr>
                <w:rFonts w:cs="Segoe UI"/>
                <w:sz w:val="22"/>
                <w:szCs w:val="22"/>
                <w:lang w:eastAsia="en-GB"/>
              </w:rPr>
            </w:pPr>
          </w:p>
        </w:tc>
        <w:tc>
          <w:tcPr>
            <w:tcW w:w="992" w:type="dxa"/>
            <w:tcBorders>
              <w:top w:val="single" w:sz="8" w:space="0" w:color="000000"/>
              <w:left w:val="single" w:sz="4" w:space="0" w:color="000000"/>
              <w:bottom w:val="single" w:sz="4" w:space="0" w:color="000000"/>
            </w:tcBorders>
            <w:shd w:val="clear" w:color="auto" w:fill="auto"/>
          </w:tcPr>
          <w:p w14:paraId="58292FCA"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6" w:type="dxa"/>
            <w:tcBorders>
              <w:top w:val="single" w:sz="8" w:space="0" w:color="000000"/>
              <w:left w:val="single" w:sz="8" w:space="0" w:color="000000"/>
              <w:bottom w:val="single" w:sz="4" w:space="0" w:color="000000"/>
            </w:tcBorders>
            <w:shd w:val="clear" w:color="auto" w:fill="auto"/>
          </w:tcPr>
          <w:p w14:paraId="3F1B3239" w14:textId="77777777" w:rsidR="00EB0F03" w:rsidRPr="00777395" w:rsidRDefault="00EB0F03" w:rsidP="00EB0F03">
            <w:pPr>
              <w:suppressAutoHyphens/>
              <w:jc w:val="center"/>
              <w:rPr>
                <w:rFonts w:cs="Segoe UI"/>
                <w:sz w:val="22"/>
                <w:szCs w:val="22"/>
                <w:lang w:eastAsia="en-GB"/>
              </w:rPr>
            </w:pPr>
          </w:p>
        </w:tc>
        <w:tc>
          <w:tcPr>
            <w:tcW w:w="1276" w:type="dxa"/>
            <w:tcBorders>
              <w:top w:val="single" w:sz="8" w:space="0" w:color="000000"/>
              <w:left w:val="single" w:sz="4" w:space="0" w:color="000000"/>
              <w:bottom w:val="single" w:sz="4" w:space="0" w:color="000000"/>
            </w:tcBorders>
            <w:shd w:val="clear" w:color="auto" w:fill="auto"/>
          </w:tcPr>
          <w:p w14:paraId="11628662" w14:textId="77777777" w:rsidR="00EB0F03" w:rsidRPr="00777395" w:rsidRDefault="00EB0F03" w:rsidP="00EB0F03">
            <w:pPr>
              <w:suppressAutoHyphens/>
              <w:jc w:val="center"/>
              <w:rPr>
                <w:rFonts w:cs="Segoe UI"/>
                <w:sz w:val="22"/>
                <w:szCs w:val="22"/>
                <w:lang w:eastAsia="en-GB"/>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0BCA10A2"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r>
      <w:tr w:rsidR="00EB0F03" w:rsidRPr="00777395" w14:paraId="4331BFBE" w14:textId="77777777" w:rsidTr="00EB0F03">
        <w:trPr>
          <w:cantSplit/>
          <w:trHeight w:val="283"/>
        </w:trPr>
        <w:tc>
          <w:tcPr>
            <w:tcW w:w="2127" w:type="dxa"/>
            <w:vMerge/>
            <w:tcBorders>
              <w:top w:val="single" w:sz="4" w:space="0" w:color="000000"/>
              <w:bottom w:val="single" w:sz="4" w:space="0" w:color="000000"/>
            </w:tcBorders>
          </w:tcPr>
          <w:p w14:paraId="525D3E3B"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5E294FC6" w14:textId="77777777" w:rsidR="00EB0F03" w:rsidRPr="00777395" w:rsidRDefault="00EB0F03" w:rsidP="00EB0F03">
            <w:pPr>
              <w:suppressAutoHyphens/>
              <w:rPr>
                <w:rFonts w:eastAsia="細明體" w:cs="Segoe UI"/>
                <w:sz w:val="22"/>
                <w:szCs w:val="22"/>
                <w:lang w:eastAsia="ar-SA"/>
              </w:rPr>
            </w:pPr>
            <w:r w:rsidRPr="00777395">
              <w:rPr>
                <w:rFonts w:eastAsia="細明體" w:cs="Segoe UI"/>
                <w:sz w:val="22"/>
                <w:szCs w:val="22"/>
                <w:lang w:eastAsia="zh-TW"/>
              </w:rPr>
              <w:t>模版</w:t>
            </w:r>
            <w:r w:rsidRPr="00777395">
              <w:rPr>
                <w:rFonts w:cs="Segoe UI"/>
                <w:sz w:val="22"/>
                <w:szCs w:val="22"/>
                <w:lang w:eastAsia="zh-TW"/>
              </w:rPr>
              <w:t>LIQ1</w:t>
            </w:r>
            <w:r w:rsidRPr="00777395">
              <w:rPr>
                <w:rFonts w:eastAsia="細明體" w:cs="Segoe UI"/>
                <w:sz w:val="22"/>
                <w:szCs w:val="22"/>
                <w:lang w:eastAsia="zh-TW"/>
              </w:rPr>
              <w:t>：流動性覆蓋比率</w:t>
            </w:r>
            <w:proofErr w:type="gramStart"/>
            <w:r w:rsidRPr="00777395">
              <w:rPr>
                <w:rFonts w:ascii="細明體" w:eastAsia="細明體" w:hAnsi="細明體" w:cs="細明體" w:hint="eastAsia"/>
                <w:sz w:val="22"/>
                <w:szCs w:val="22"/>
                <w:lang w:eastAsia="zh-TW"/>
              </w:rPr>
              <w:t>──</w:t>
            </w:r>
            <w:proofErr w:type="gramEnd"/>
            <w:r w:rsidRPr="00777395">
              <w:rPr>
                <w:rFonts w:eastAsia="細明體" w:cs="Segoe UI"/>
                <w:sz w:val="22"/>
                <w:szCs w:val="22"/>
                <w:lang w:eastAsia="zh-TW"/>
              </w:rPr>
              <w:t>第</w:t>
            </w:r>
            <w:r w:rsidRPr="00777395">
              <w:rPr>
                <w:rFonts w:cs="Segoe UI"/>
                <w:sz w:val="22"/>
                <w:szCs w:val="22"/>
                <w:lang w:eastAsia="zh-TW"/>
              </w:rPr>
              <w:t>1</w:t>
            </w:r>
            <w:r w:rsidRPr="00777395">
              <w:rPr>
                <w:rFonts w:eastAsia="細明體" w:cs="Segoe UI"/>
                <w:sz w:val="22"/>
                <w:szCs w:val="22"/>
                <w:lang w:eastAsia="zh-TW"/>
              </w:rPr>
              <w:t>類機構</w:t>
            </w:r>
          </w:p>
        </w:tc>
        <w:tc>
          <w:tcPr>
            <w:tcW w:w="1701" w:type="dxa"/>
            <w:tcBorders>
              <w:top w:val="single" w:sz="4" w:space="0" w:color="000000"/>
              <w:left w:val="single" w:sz="8" w:space="0" w:color="000000"/>
              <w:bottom w:val="single" w:sz="4" w:space="0" w:color="000000"/>
            </w:tcBorders>
            <w:shd w:val="clear" w:color="auto" w:fill="auto"/>
          </w:tcPr>
          <w:p w14:paraId="71E63FCF" w14:textId="4FD30A63"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本地及</w:t>
            </w:r>
            <w:r w:rsidR="00482D97" w:rsidRPr="00482D97">
              <w:rPr>
                <w:rFonts w:eastAsia="新細明體" w:cs="Segoe UI" w:hint="eastAsia"/>
                <w:sz w:val="22"/>
                <w:szCs w:val="22"/>
                <w:lang w:eastAsia="zh-TW"/>
              </w:rPr>
              <w:t>非本地</w:t>
            </w:r>
          </w:p>
          <w:p w14:paraId="292AE315"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cs="Segoe UI"/>
                <w:sz w:val="22"/>
                <w:szCs w:val="22"/>
                <w:lang w:eastAsia="zh-TW"/>
              </w:rPr>
              <w:t>[</w:t>
            </w:r>
            <w:r w:rsidRPr="00777395">
              <w:rPr>
                <w:rFonts w:eastAsia="新細明體" w:cs="Segoe UI"/>
                <w:sz w:val="22"/>
                <w:szCs w:val="22"/>
                <w:lang w:eastAsia="zh-TW"/>
              </w:rPr>
              <w:t>被指定為第</w:t>
            </w:r>
            <w:r w:rsidRPr="00777395">
              <w:rPr>
                <w:rFonts w:eastAsia="新細明體" w:cs="Segoe UI"/>
                <w:sz w:val="22"/>
                <w:szCs w:val="22"/>
                <w:lang w:eastAsia="zh-TW"/>
              </w:rPr>
              <w:t>1</w:t>
            </w:r>
            <w:r w:rsidRPr="00777395">
              <w:rPr>
                <w:rFonts w:eastAsia="新細明體" w:cs="Segoe UI"/>
                <w:sz w:val="22"/>
                <w:szCs w:val="22"/>
                <w:lang w:eastAsia="zh-TW"/>
              </w:rPr>
              <w:t>類機構者</w:t>
            </w:r>
            <w:r w:rsidRPr="00777395">
              <w:rPr>
                <w:rFonts w:cs="Segoe UI"/>
                <w:sz w:val="22"/>
                <w:szCs w:val="22"/>
                <w:lang w:eastAsia="zh-TW"/>
              </w:rPr>
              <w:t>]</w:t>
            </w:r>
          </w:p>
        </w:tc>
        <w:tc>
          <w:tcPr>
            <w:tcW w:w="992" w:type="dxa"/>
            <w:tcBorders>
              <w:top w:val="single" w:sz="4" w:space="0" w:color="000000"/>
              <w:left w:val="single" w:sz="8" w:space="0" w:color="000000"/>
              <w:bottom w:val="single" w:sz="4" w:space="0" w:color="000000"/>
            </w:tcBorders>
            <w:shd w:val="clear" w:color="auto" w:fill="auto"/>
          </w:tcPr>
          <w:p w14:paraId="6D567245" w14:textId="77777777" w:rsidR="00EB0F03" w:rsidRPr="00777395" w:rsidRDefault="00EB0F03" w:rsidP="00EB0F03">
            <w:pPr>
              <w:suppressAutoHyphens/>
              <w:jc w:val="center"/>
              <w:rPr>
                <w:rFonts w:eastAsia="細明體" w:cs="Segoe UI"/>
                <w:sz w:val="22"/>
                <w:szCs w:val="22"/>
                <w:lang w:eastAsia="ar-SA"/>
              </w:rPr>
            </w:pPr>
            <w:r w:rsidRPr="00777395">
              <w:rPr>
                <w:rFonts w:cs="Segoe UI"/>
                <w:sz w:val="22"/>
                <w:szCs w:val="22"/>
                <w:lang w:eastAsia="en-GB"/>
              </w:rPr>
              <w:sym w:font="Wingdings 2" w:char="F050"/>
            </w:r>
          </w:p>
        </w:tc>
        <w:tc>
          <w:tcPr>
            <w:tcW w:w="992" w:type="dxa"/>
            <w:tcBorders>
              <w:top w:val="single" w:sz="4" w:space="0" w:color="000000"/>
              <w:left w:val="single" w:sz="4" w:space="0" w:color="000000"/>
              <w:bottom w:val="single" w:sz="4" w:space="0" w:color="000000"/>
            </w:tcBorders>
            <w:shd w:val="clear" w:color="auto" w:fill="auto"/>
          </w:tcPr>
          <w:p w14:paraId="286AB282"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204EFF5E"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4" w:space="0" w:color="000000"/>
              <w:bottom w:val="single" w:sz="4" w:space="0" w:color="000000"/>
            </w:tcBorders>
            <w:shd w:val="clear" w:color="auto" w:fill="auto"/>
          </w:tcPr>
          <w:p w14:paraId="11A78055" w14:textId="77777777" w:rsidR="00EB0F03" w:rsidRPr="00777395" w:rsidRDefault="00EB0F03" w:rsidP="00EB0F03">
            <w:pPr>
              <w:suppressAutoHyphens/>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1F305C8"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0F7D6423" w14:textId="77777777" w:rsidTr="00EB0F03">
        <w:trPr>
          <w:cantSplit/>
          <w:trHeight w:val="283"/>
        </w:trPr>
        <w:tc>
          <w:tcPr>
            <w:tcW w:w="2127" w:type="dxa"/>
            <w:vMerge/>
            <w:tcBorders>
              <w:top w:val="single" w:sz="4" w:space="0" w:color="000000"/>
              <w:bottom w:val="single" w:sz="4" w:space="0" w:color="000000"/>
            </w:tcBorders>
            <w:shd w:val="clear" w:color="auto" w:fill="auto"/>
          </w:tcPr>
          <w:p w14:paraId="6695C00D"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19F59F5F" w14:textId="77777777" w:rsidR="00EB0F03" w:rsidRPr="00777395" w:rsidRDefault="00EB0F03" w:rsidP="00EB0F03">
            <w:pPr>
              <w:suppressAutoHyphens/>
              <w:rPr>
                <w:rFonts w:eastAsia="細明體" w:cs="Segoe UI"/>
                <w:sz w:val="22"/>
                <w:szCs w:val="22"/>
                <w:lang w:eastAsia="ar-SA"/>
              </w:rPr>
            </w:pPr>
            <w:r w:rsidRPr="00777395">
              <w:rPr>
                <w:rFonts w:eastAsia="細明體" w:cs="Segoe UI"/>
                <w:sz w:val="22"/>
                <w:szCs w:val="22"/>
                <w:lang w:eastAsia="zh-TW"/>
              </w:rPr>
              <w:t>模版</w:t>
            </w:r>
            <w:r w:rsidRPr="00777395">
              <w:rPr>
                <w:rFonts w:cs="Segoe UI"/>
                <w:sz w:val="22"/>
                <w:szCs w:val="22"/>
                <w:lang w:eastAsia="zh-TW"/>
              </w:rPr>
              <w:t>LIQ2</w:t>
            </w:r>
            <w:r w:rsidRPr="00777395">
              <w:rPr>
                <w:rFonts w:eastAsia="細明體" w:cs="Segoe UI"/>
                <w:sz w:val="22"/>
                <w:szCs w:val="22"/>
                <w:lang w:eastAsia="zh-TW"/>
              </w:rPr>
              <w:t>：穩定資金淨額比率</w:t>
            </w:r>
            <w:proofErr w:type="gramStart"/>
            <w:r w:rsidRPr="00777395">
              <w:rPr>
                <w:rFonts w:ascii="細明體" w:eastAsia="細明體" w:hAnsi="細明體" w:cs="細明體" w:hint="eastAsia"/>
                <w:sz w:val="22"/>
                <w:szCs w:val="22"/>
                <w:lang w:eastAsia="zh-TW"/>
              </w:rPr>
              <w:t>──</w:t>
            </w:r>
            <w:proofErr w:type="gramEnd"/>
            <w:r w:rsidRPr="00777395">
              <w:rPr>
                <w:rFonts w:eastAsia="細明體" w:cs="Segoe UI"/>
                <w:sz w:val="22"/>
                <w:szCs w:val="22"/>
                <w:lang w:eastAsia="zh-TW"/>
              </w:rPr>
              <w:t>第</w:t>
            </w:r>
            <w:r w:rsidRPr="00777395">
              <w:rPr>
                <w:rFonts w:cs="Segoe UI"/>
                <w:sz w:val="22"/>
                <w:szCs w:val="22"/>
                <w:lang w:eastAsia="zh-TW"/>
              </w:rPr>
              <w:t>1</w:t>
            </w:r>
            <w:r w:rsidRPr="00777395">
              <w:rPr>
                <w:rFonts w:eastAsia="細明體" w:cs="Segoe UI"/>
                <w:sz w:val="22"/>
                <w:szCs w:val="22"/>
                <w:lang w:eastAsia="zh-TW"/>
              </w:rPr>
              <w:t>類機構</w:t>
            </w:r>
          </w:p>
        </w:tc>
        <w:tc>
          <w:tcPr>
            <w:tcW w:w="1701" w:type="dxa"/>
            <w:tcBorders>
              <w:top w:val="single" w:sz="4" w:space="0" w:color="000000"/>
              <w:left w:val="single" w:sz="8" w:space="0" w:color="000000"/>
              <w:bottom w:val="single" w:sz="4" w:space="0" w:color="000000"/>
            </w:tcBorders>
            <w:shd w:val="clear" w:color="auto" w:fill="auto"/>
          </w:tcPr>
          <w:p w14:paraId="7EEFC185" w14:textId="6E424C08"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本地及</w:t>
            </w:r>
            <w:r w:rsidR="00482D97" w:rsidRPr="00482D97">
              <w:rPr>
                <w:rFonts w:eastAsia="新細明體" w:cs="Segoe UI" w:hint="eastAsia"/>
                <w:sz w:val="22"/>
                <w:szCs w:val="22"/>
                <w:lang w:eastAsia="zh-TW"/>
              </w:rPr>
              <w:t>非本地</w:t>
            </w:r>
          </w:p>
          <w:p w14:paraId="4EE00C7E"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cs="Segoe UI"/>
                <w:sz w:val="22"/>
                <w:szCs w:val="22"/>
                <w:lang w:eastAsia="zh-TW"/>
              </w:rPr>
              <w:t>[</w:t>
            </w:r>
            <w:r w:rsidRPr="00777395">
              <w:rPr>
                <w:rFonts w:eastAsia="新細明體" w:cs="Segoe UI"/>
                <w:sz w:val="22"/>
                <w:szCs w:val="22"/>
                <w:lang w:eastAsia="zh-TW"/>
              </w:rPr>
              <w:t>被指定為第</w:t>
            </w:r>
            <w:r w:rsidRPr="00777395">
              <w:rPr>
                <w:rFonts w:eastAsia="新細明體" w:cs="Segoe UI"/>
                <w:sz w:val="22"/>
                <w:szCs w:val="22"/>
                <w:lang w:eastAsia="zh-TW"/>
              </w:rPr>
              <w:t>1</w:t>
            </w:r>
            <w:r w:rsidRPr="00777395">
              <w:rPr>
                <w:rFonts w:eastAsia="新細明體" w:cs="Segoe UI"/>
                <w:sz w:val="22"/>
                <w:szCs w:val="22"/>
                <w:lang w:eastAsia="zh-TW"/>
              </w:rPr>
              <w:t>類機構者</w:t>
            </w:r>
            <w:r w:rsidRPr="00777395">
              <w:rPr>
                <w:rFonts w:cs="Segoe UI"/>
                <w:sz w:val="22"/>
                <w:szCs w:val="22"/>
                <w:lang w:eastAsia="zh-TW"/>
              </w:rPr>
              <w:t>]</w:t>
            </w:r>
          </w:p>
        </w:tc>
        <w:tc>
          <w:tcPr>
            <w:tcW w:w="992" w:type="dxa"/>
            <w:tcBorders>
              <w:top w:val="single" w:sz="4" w:space="0" w:color="000000"/>
              <w:left w:val="single" w:sz="8" w:space="0" w:color="000000"/>
              <w:bottom w:val="single" w:sz="4" w:space="0" w:color="000000"/>
            </w:tcBorders>
            <w:shd w:val="clear" w:color="auto" w:fill="auto"/>
          </w:tcPr>
          <w:p w14:paraId="044C1D50" w14:textId="77777777" w:rsidR="00EB0F03" w:rsidRPr="00777395" w:rsidRDefault="00EB0F03" w:rsidP="00EB0F03">
            <w:pPr>
              <w:suppressAutoHyphens/>
              <w:jc w:val="center"/>
              <w:rPr>
                <w:rFonts w:eastAsia="細明體" w:cs="Segoe UI"/>
                <w:sz w:val="22"/>
                <w:szCs w:val="22"/>
                <w:lang w:eastAsia="ar-SA"/>
              </w:rPr>
            </w:pPr>
            <w:r w:rsidRPr="00777395">
              <w:rPr>
                <w:rFonts w:cs="Segoe UI"/>
                <w:sz w:val="22"/>
                <w:szCs w:val="22"/>
                <w:lang w:eastAsia="en-GB"/>
              </w:rPr>
              <w:sym w:font="Wingdings 2" w:char="F050"/>
            </w:r>
          </w:p>
        </w:tc>
        <w:tc>
          <w:tcPr>
            <w:tcW w:w="992" w:type="dxa"/>
            <w:tcBorders>
              <w:top w:val="single" w:sz="4" w:space="0" w:color="000000"/>
              <w:left w:val="single" w:sz="4" w:space="0" w:color="000000"/>
              <w:bottom w:val="single" w:sz="4" w:space="0" w:color="000000"/>
            </w:tcBorders>
            <w:shd w:val="clear" w:color="auto" w:fill="auto"/>
          </w:tcPr>
          <w:p w14:paraId="770D29E0"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4F0C6FD5"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2B2B2927" w14:textId="77777777" w:rsidR="00EB0F03" w:rsidRPr="00777395" w:rsidRDefault="00EB0F03" w:rsidP="00EB0F03">
            <w:pPr>
              <w:suppressAutoHyphens/>
              <w:jc w:val="center"/>
              <w:rPr>
                <w:rFonts w:eastAsia="細明體" w:cs="Segoe UI"/>
                <w:sz w:val="22"/>
                <w:szCs w:val="22"/>
                <w:lang w:eastAsia="ar-SA"/>
              </w:rPr>
            </w:pPr>
            <w:r w:rsidRPr="00777395">
              <w:rPr>
                <w:rFonts w:cs="Segoe UI"/>
                <w:sz w:val="22"/>
                <w:szCs w:val="22"/>
                <w:lang w:eastAsia="en-GB"/>
              </w:rPr>
              <w:sym w:font="Wingdings 2" w:char="F050"/>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31D690CA"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60884525" w14:textId="77777777" w:rsidTr="00EB0F03">
        <w:trPr>
          <w:cantSplit/>
          <w:trHeight w:val="283"/>
        </w:trPr>
        <w:tc>
          <w:tcPr>
            <w:tcW w:w="2127" w:type="dxa"/>
            <w:vMerge w:val="restart"/>
            <w:tcBorders>
              <w:top w:val="single" w:sz="8" w:space="0" w:color="000000"/>
              <w:bottom w:val="single" w:sz="4" w:space="0" w:color="000000"/>
            </w:tcBorders>
            <w:shd w:val="clear" w:color="auto" w:fill="auto"/>
          </w:tcPr>
          <w:p w14:paraId="58774285"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第</w:t>
            </w:r>
            <w:r w:rsidRPr="00777395">
              <w:rPr>
                <w:rFonts w:eastAsia="細明體" w:cs="Segoe UI"/>
                <w:sz w:val="22"/>
                <w:szCs w:val="22"/>
                <w:lang w:eastAsia="ar-SA"/>
              </w:rPr>
              <w:t>III</w:t>
            </w:r>
            <w:r w:rsidRPr="00777395">
              <w:rPr>
                <w:rFonts w:eastAsia="細明體" w:cs="Segoe UI" w:hint="eastAsia"/>
                <w:sz w:val="22"/>
                <w:szCs w:val="22"/>
                <w:lang w:eastAsia="ar-SA"/>
              </w:rPr>
              <w:t>部：非證券化類別風險承擔的信用風險</w:t>
            </w:r>
          </w:p>
        </w:tc>
        <w:tc>
          <w:tcPr>
            <w:tcW w:w="4819" w:type="dxa"/>
            <w:tcBorders>
              <w:top w:val="single" w:sz="8" w:space="0" w:color="000000"/>
              <w:left w:val="single" w:sz="8" w:space="0" w:color="000000"/>
              <w:bottom w:val="single" w:sz="4" w:space="0" w:color="000000"/>
            </w:tcBorders>
            <w:shd w:val="clear" w:color="auto" w:fill="auto"/>
          </w:tcPr>
          <w:p w14:paraId="723FBDCF"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CRA</w:t>
            </w:r>
            <w:r w:rsidRPr="00777395">
              <w:rPr>
                <w:rFonts w:eastAsia="細明體" w:cs="Segoe UI" w:hint="eastAsia"/>
                <w:sz w:val="22"/>
                <w:szCs w:val="22"/>
                <w:lang w:eastAsia="ar-SA"/>
              </w:rPr>
              <w:t>：信用風險的一般資料</w:t>
            </w:r>
          </w:p>
        </w:tc>
        <w:tc>
          <w:tcPr>
            <w:tcW w:w="1701" w:type="dxa"/>
            <w:tcBorders>
              <w:top w:val="single" w:sz="8" w:space="0" w:color="000000"/>
              <w:left w:val="single" w:sz="8" w:space="0" w:color="000000"/>
              <w:bottom w:val="single" w:sz="4" w:space="0" w:color="000000"/>
            </w:tcBorders>
            <w:shd w:val="clear" w:color="auto" w:fill="auto"/>
          </w:tcPr>
          <w:p w14:paraId="126191B5"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441F889F"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8" w:space="0" w:color="000000"/>
              <w:left w:val="single" w:sz="4" w:space="0" w:color="000000"/>
              <w:bottom w:val="single" w:sz="4" w:space="0" w:color="000000"/>
            </w:tcBorders>
            <w:shd w:val="clear" w:color="auto" w:fill="auto"/>
          </w:tcPr>
          <w:p w14:paraId="08C91AA0"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8" w:space="0" w:color="000000"/>
              <w:left w:val="single" w:sz="8" w:space="0" w:color="000000"/>
              <w:bottom w:val="single" w:sz="4" w:space="0" w:color="000000"/>
            </w:tcBorders>
            <w:shd w:val="clear" w:color="auto" w:fill="auto"/>
          </w:tcPr>
          <w:p w14:paraId="260F1DF4"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8" w:space="0" w:color="000000"/>
              <w:left w:val="single" w:sz="4" w:space="0" w:color="000000"/>
              <w:bottom w:val="single" w:sz="4" w:space="0" w:color="000000"/>
            </w:tcBorders>
            <w:shd w:val="clear" w:color="auto" w:fill="auto"/>
          </w:tcPr>
          <w:p w14:paraId="2CFCEB77"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7DE1F531"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248883C7" w14:textId="77777777" w:rsidTr="00EB0F03">
        <w:trPr>
          <w:cantSplit/>
          <w:trHeight w:val="283"/>
        </w:trPr>
        <w:tc>
          <w:tcPr>
            <w:tcW w:w="2127" w:type="dxa"/>
            <w:vMerge/>
            <w:tcBorders>
              <w:top w:val="single" w:sz="4" w:space="0" w:color="000000"/>
              <w:bottom w:val="single" w:sz="4" w:space="0" w:color="000000"/>
            </w:tcBorders>
          </w:tcPr>
          <w:p w14:paraId="66D18F74"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10794E61"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CR1</w:t>
            </w:r>
            <w:r w:rsidRPr="00777395">
              <w:rPr>
                <w:rFonts w:eastAsia="細明體" w:cs="Segoe UI" w:hint="eastAsia"/>
                <w:sz w:val="22"/>
                <w:szCs w:val="22"/>
                <w:lang w:eastAsia="ar-SA"/>
              </w:rPr>
              <w:t>：風險承擔的信用質素</w:t>
            </w:r>
          </w:p>
        </w:tc>
        <w:tc>
          <w:tcPr>
            <w:tcW w:w="1701" w:type="dxa"/>
            <w:tcBorders>
              <w:top w:val="single" w:sz="4" w:space="0" w:color="000000"/>
              <w:left w:val="single" w:sz="8" w:space="0" w:color="000000"/>
              <w:bottom w:val="single" w:sz="4" w:space="0" w:color="000000"/>
            </w:tcBorders>
            <w:shd w:val="clear" w:color="auto" w:fill="auto"/>
          </w:tcPr>
          <w:p w14:paraId="18C08EAC"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2E2E0F23"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38078376"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134B263A"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4506492D"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1D320F7A"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7CDFC9E2" w14:textId="77777777" w:rsidTr="00EB0F03">
        <w:trPr>
          <w:cantSplit/>
          <w:trHeight w:val="689"/>
        </w:trPr>
        <w:tc>
          <w:tcPr>
            <w:tcW w:w="2127" w:type="dxa"/>
            <w:vMerge/>
            <w:tcBorders>
              <w:top w:val="single" w:sz="4" w:space="0" w:color="000000"/>
              <w:bottom w:val="single" w:sz="4" w:space="0" w:color="000000"/>
            </w:tcBorders>
            <w:shd w:val="clear" w:color="auto" w:fill="auto"/>
          </w:tcPr>
          <w:p w14:paraId="24343592"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01F7F86F"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CR2</w:t>
            </w:r>
            <w:r w:rsidRPr="00777395">
              <w:rPr>
                <w:rFonts w:eastAsia="細明體" w:cs="Segoe UI" w:hint="eastAsia"/>
                <w:sz w:val="22"/>
                <w:szCs w:val="22"/>
                <w:lang w:eastAsia="ar-SA"/>
              </w:rPr>
              <w:t>：違責貸款及債務證券的改變</w:t>
            </w:r>
          </w:p>
        </w:tc>
        <w:tc>
          <w:tcPr>
            <w:tcW w:w="1701" w:type="dxa"/>
            <w:tcBorders>
              <w:top w:val="single" w:sz="4" w:space="0" w:color="000000"/>
              <w:left w:val="single" w:sz="8" w:space="0" w:color="000000"/>
              <w:bottom w:val="single" w:sz="4" w:space="0" w:color="000000"/>
            </w:tcBorders>
            <w:shd w:val="clear" w:color="auto" w:fill="auto"/>
          </w:tcPr>
          <w:p w14:paraId="21027E5C"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77B66690"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2B899CAC"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594C3DC9"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5CEB36E9"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46A68241"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1C187B3A" w14:textId="77777777" w:rsidTr="00EB0F03">
        <w:trPr>
          <w:cantSplit/>
          <w:trHeight w:val="283"/>
        </w:trPr>
        <w:tc>
          <w:tcPr>
            <w:tcW w:w="2127" w:type="dxa"/>
            <w:vMerge/>
            <w:tcBorders>
              <w:top w:val="single" w:sz="4" w:space="0" w:color="000000"/>
              <w:bottom w:val="single" w:sz="4" w:space="0" w:color="000000"/>
            </w:tcBorders>
          </w:tcPr>
          <w:p w14:paraId="3050CDE0"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26F6DE12"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CRB</w:t>
            </w:r>
            <w:r w:rsidRPr="00777395">
              <w:rPr>
                <w:rFonts w:eastAsia="細明體" w:cs="Segoe UI" w:hint="eastAsia"/>
                <w:sz w:val="22"/>
                <w:szCs w:val="22"/>
                <w:lang w:eastAsia="ar-SA"/>
              </w:rPr>
              <w:t>：關於風險承擔的信用質素的額外披露</w:t>
            </w:r>
          </w:p>
        </w:tc>
        <w:tc>
          <w:tcPr>
            <w:tcW w:w="1701" w:type="dxa"/>
            <w:tcBorders>
              <w:top w:val="single" w:sz="4" w:space="0" w:color="000000"/>
              <w:left w:val="single" w:sz="8" w:space="0" w:color="000000"/>
              <w:bottom w:val="single" w:sz="4" w:space="0" w:color="000000"/>
            </w:tcBorders>
            <w:shd w:val="clear" w:color="auto" w:fill="auto"/>
          </w:tcPr>
          <w:p w14:paraId="67B22E41"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39A56C06"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1A2DF80D"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7091C457"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23263199"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0B4974F4"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66D7574A" w14:textId="77777777" w:rsidTr="00EB0F03">
        <w:trPr>
          <w:cantSplit/>
          <w:trHeight w:val="283"/>
        </w:trPr>
        <w:tc>
          <w:tcPr>
            <w:tcW w:w="2127" w:type="dxa"/>
            <w:vMerge/>
            <w:tcBorders>
              <w:top w:val="single" w:sz="4" w:space="0" w:color="000000"/>
              <w:bottom w:val="single" w:sz="4" w:space="0" w:color="000000"/>
            </w:tcBorders>
            <w:shd w:val="clear" w:color="auto" w:fill="auto"/>
          </w:tcPr>
          <w:p w14:paraId="723C1797"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0661EC8D"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CRC</w:t>
            </w:r>
            <w:r w:rsidRPr="00777395">
              <w:rPr>
                <w:rFonts w:eastAsia="細明體" w:cs="Segoe UI" w:hint="eastAsia"/>
                <w:sz w:val="22"/>
                <w:szCs w:val="22"/>
                <w:lang w:eastAsia="ar-SA"/>
              </w:rPr>
              <w:t>：關於減低信用風險措施的描述披露</w:t>
            </w:r>
          </w:p>
        </w:tc>
        <w:tc>
          <w:tcPr>
            <w:tcW w:w="1701" w:type="dxa"/>
            <w:tcBorders>
              <w:top w:val="single" w:sz="4" w:space="0" w:color="000000"/>
              <w:left w:val="single" w:sz="8" w:space="0" w:color="000000"/>
              <w:bottom w:val="single" w:sz="4" w:space="0" w:color="000000"/>
            </w:tcBorders>
            <w:shd w:val="clear" w:color="auto" w:fill="auto"/>
          </w:tcPr>
          <w:p w14:paraId="75BC97E3"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5F1BE848"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4CAB0612"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5814BA4D"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2E3C0D0A"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50CD1625"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1C0982EC" w14:textId="77777777" w:rsidTr="00EB0F03">
        <w:trPr>
          <w:cantSplit/>
          <w:trHeight w:val="283"/>
        </w:trPr>
        <w:tc>
          <w:tcPr>
            <w:tcW w:w="2127" w:type="dxa"/>
            <w:vMerge/>
            <w:tcBorders>
              <w:top w:val="single" w:sz="4" w:space="0" w:color="000000"/>
              <w:bottom w:val="single" w:sz="4" w:space="0" w:color="000000"/>
            </w:tcBorders>
            <w:shd w:val="clear" w:color="auto" w:fill="auto"/>
          </w:tcPr>
          <w:p w14:paraId="6E3CA785"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27F379E7"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CR3</w:t>
            </w:r>
            <w:r w:rsidRPr="00777395">
              <w:rPr>
                <w:rFonts w:eastAsia="細明體" w:cs="Segoe UI" w:hint="eastAsia"/>
                <w:sz w:val="22"/>
                <w:szCs w:val="22"/>
                <w:lang w:eastAsia="ar-SA"/>
              </w:rPr>
              <w:t>：認可減低信用風險措施概覽</w:t>
            </w:r>
          </w:p>
        </w:tc>
        <w:tc>
          <w:tcPr>
            <w:tcW w:w="1701" w:type="dxa"/>
            <w:tcBorders>
              <w:top w:val="single" w:sz="4" w:space="0" w:color="000000"/>
              <w:left w:val="single" w:sz="8" w:space="0" w:color="000000"/>
              <w:bottom w:val="single" w:sz="4" w:space="0" w:color="000000"/>
            </w:tcBorders>
            <w:shd w:val="clear" w:color="auto" w:fill="auto"/>
          </w:tcPr>
          <w:p w14:paraId="42984BA4"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679A994F"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30F85786"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424271C4"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0A134DFD"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21A397F6"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2C5949DE" w14:textId="77777777" w:rsidTr="00EB0F03">
        <w:trPr>
          <w:cantSplit/>
          <w:trHeight w:val="283"/>
        </w:trPr>
        <w:tc>
          <w:tcPr>
            <w:tcW w:w="2127" w:type="dxa"/>
            <w:vMerge/>
            <w:tcBorders>
              <w:top w:val="single" w:sz="4" w:space="0" w:color="000000"/>
              <w:bottom w:val="single" w:sz="4" w:space="0" w:color="000000"/>
            </w:tcBorders>
            <w:shd w:val="clear" w:color="auto" w:fill="auto"/>
          </w:tcPr>
          <w:p w14:paraId="33F0674F"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28B817CB"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CRD</w:t>
            </w:r>
            <w:r w:rsidRPr="00777395">
              <w:rPr>
                <w:rFonts w:eastAsia="細明體" w:cs="Segoe UI" w:hint="eastAsia"/>
                <w:sz w:val="22"/>
                <w:szCs w:val="22"/>
                <w:lang w:eastAsia="ar-SA"/>
              </w:rPr>
              <w:t>：在</w:t>
            </w:r>
            <w:r w:rsidRPr="00777395">
              <w:rPr>
                <w:rFonts w:eastAsia="細明體" w:cs="Segoe UI"/>
                <w:sz w:val="22"/>
                <w:szCs w:val="22"/>
                <w:lang w:eastAsia="ar-SA"/>
              </w:rPr>
              <w:t>STC</w:t>
            </w:r>
            <w:r w:rsidRPr="00777395">
              <w:rPr>
                <w:rFonts w:eastAsia="細明體" w:cs="Segoe UI" w:hint="eastAsia"/>
                <w:sz w:val="22"/>
                <w:szCs w:val="22"/>
                <w:lang w:eastAsia="ar-SA"/>
              </w:rPr>
              <w:t>計算法下使用</w:t>
            </w:r>
            <w:r w:rsidRPr="00777395">
              <w:rPr>
                <w:rFonts w:eastAsia="細明體" w:cs="Segoe UI"/>
                <w:sz w:val="22"/>
                <w:szCs w:val="22"/>
                <w:lang w:eastAsia="ar-SA"/>
              </w:rPr>
              <w:t>ECAI</w:t>
            </w:r>
            <w:r w:rsidRPr="00777395">
              <w:rPr>
                <w:rFonts w:eastAsia="細明體" w:cs="Segoe UI" w:hint="eastAsia"/>
                <w:sz w:val="22"/>
                <w:szCs w:val="22"/>
                <w:lang w:eastAsia="ar-SA"/>
              </w:rPr>
              <w:t>評級的描述披露</w:t>
            </w:r>
          </w:p>
        </w:tc>
        <w:tc>
          <w:tcPr>
            <w:tcW w:w="1701" w:type="dxa"/>
            <w:tcBorders>
              <w:top w:val="single" w:sz="4" w:space="0" w:color="000000"/>
              <w:left w:val="single" w:sz="8" w:space="0" w:color="000000"/>
              <w:bottom w:val="single" w:sz="4" w:space="0" w:color="000000"/>
            </w:tcBorders>
            <w:shd w:val="clear" w:color="auto" w:fill="auto"/>
          </w:tcPr>
          <w:p w14:paraId="39759546"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STC]</w:t>
            </w:r>
          </w:p>
        </w:tc>
        <w:tc>
          <w:tcPr>
            <w:tcW w:w="992" w:type="dxa"/>
            <w:tcBorders>
              <w:top w:val="single" w:sz="4" w:space="0" w:color="000000"/>
              <w:left w:val="single" w:sz="8" w:space="0" w:color="000000"/>
              <w:bottom w:val="single" w:sz="4" w:space="0" w:color="000000"/>
            </w:tcBorders>
            <w:shd w:val="clear" w:color="auto" w:fill="auto"/>
          </w:tcPr>
          <w:p w14:paraId="6EEC5FB1"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7D1FEB27"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4C8D4010"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61DF7A41"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556204A6"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0042A836" w14:textId="77777777" w:rsidTr="00EB0F03">
        <w:trPr>
          <w:cantSplit/>
          <w:trHeight w:val="283"/>
        </w:trPr>
        <w:tc>
          <w:tcPr>
            <w:tcW w:w="2127" w:type="dxa"/>
            <w:vMerge/>
            <w:tcBorders>
              <w:top w:val="single" w:sz="4" w:space="0" w:color="000000"/>
              <w:bottom w:val="single" w:sz="4" w:space="0" w:color="000000"/>
            </w:tcBorders>
            <w:shd w:val="clear" w:color="auto" w:fill="auto"/>
          </w:tcPr>
          <w:p w14:paraId="7873A342"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074B2479"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CR4</w:t>
            </w:r>
            <w:r w:rsidRPr="00777395">
              <w:rPr>
                <w:rFonts w:eastAsia="細明體" w:cs="Segoe UI" w:hint="eastAsia"/>
                <w:sz w:val="22"/>
                <w:szCs w:val="22"/>
                <w:lang w:eastAsia="ar-SA"/>
              </w:rPr>
              <w:t>：信用風險承擔及認可減低信用風險措施的</w:t>
            </w:r>
            <w:r w:rsidRPr="00777395">
              <w:rPr>
                <w:rFonts w:eastAsia="細明體" w:cs="Segoe UI" w:hint="eastAsia"/>
                <w:color w:val="000000"/>
                <w:sz w:val="22"/>
                <w:szCs w:val="22"/>
                <w:lang w:eastAsia="ar-SA"/>
              </w:rPr>
              <w:t>影響</w:t>
            </w:r>
            <w:r w:rsidRPr="00777395">
              <w:rPr>
                <w:rFonts w:ascii="細明體" w:eastAsia="細明體" w:hAnsi="細明體" w:cs="細明體" w:hint="eastAsia"/>
                <w:sz w:val="22"/>
                <w:szCs w:val="22"/>
                <w:lang w:eastAsia="ar-SA"/>
              </w:rPr>
              <w:t>──</w:t>
            </w:r>
            <w:r w:rsidRPr="00777395">
              <w:rPr>
                <w:rFonts w:eastAsia="細明體" w:cs="Segoe UI"/>
                <w:sz w:val="22"/>
                <w:szCs w:val="22"/>
                <w:lang w:eastAsia="ar-SA"/>
              </w:rPr>
              <w:t>STC</w:t>
            </w:r>
            <w:r w:rsidRPr="00777395">
              <w:rPr>
                <w:rFonts w:eastAsia="細明體" w:cs="Segoe UI" w:hint="eastAsia"/>
                <w:sz w:val="22"/>
                <w:szCs w:val="22"/>
                <w:lang w:eastAsia="ar-SA"/>
              </w:rPr>
              <w:t>計算法</w:t>
            </w:r>
            <w:r w:rsidRPr="00777395">
              <w:rPr>
                <w:rFonts w:eastAsia="細明體" w:cs="Segoe UI"/>
                <w:sz w:val="22"/>
                <w:szCs w:val="22"/>
                <w:lang w:eastAsia="ar-SA"/>
              </w:rPr>
              <w:t>或</w:t>
            </w:r>
            <w:r w:rsidRPr="00777395">
              <w:rPr>
                <w:rFonts w:eastAsia="細明體" w:cs="Segoe UI"/>
                <w:sz w:val="22"/>
                <w:szCs w:val="22"/>
                <w:lang w:eastAsia="ar-SA"/>
              </w:rPr>
              <w:t>BSC</w:t>
            </w:r>
            <w:r w:rsidRPr="00777395">
              <w:rPr>
                <w:rFonts w:eastAsia="細明體" w:cs="Segoe UI" w:hint="eastAsia"/>
                <w:sz w:val="22"/>
                <w:szCs w:val="22"/>
                <w:lang w:eastAsia="ar-SA"/>
              </w:rPr>
              <w:t>計算法</w:t>
            </w:r>
          </w:p>
        </w:tc>
        <w:tc>
          <w:tcPr>
            <w:tcW w:w="1701" w:type="dxa"/>
            <w:tcBorders>
              <w:top w:val="single" w:sz="4" w:space="0" w:color="000000"/>
              <w:left w:val="single" w:sz="8" w:space="0" w:color="000000"/>
              <w:bottom w:val="single" w:sz="4" w:space="0" w:color="000000"/>
            </w:tcBorders>
            <w:shd w:val="clear" w:color="auto" w:fill="auto"/>
          </w:tcPr>
          <w:p w14:paraId="68C2F56B"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p>
          <w:p w14:paraId="1A4E044E"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hint="eastAsia"/>
                <w:sz w:val="22"/>
                <w:szCs w:val="22"/>
                <w:lang w:eastAsia="zh-TW"/>
              </w:rPr>
              <w:t>[</w:t>
            </w:r>
            <w:r w:rsidRPr="00777395">
              <w:rPr>
                <w:rFonts w:eastAsia="細明體" w:cs="Segoe UI"/>
                <w:sz w:val="22"/>
                <w:szCs w:val="22"/>
                <w:lang w:eastAsia="ar-SA"/>
              </w:rPr>
              <w:t>STC</w:t>
            </w:r>
            <w:r w:rsidRPr="00777395">
              <w:rPr>
                <w:rFonts w:eastAsia="細明體" w:cs="Segoe UI" w:hint="eastAsia"/>
                <w:sz w:val="22"/>
                <w:szCs w:val="22"/>
                <w:lang w:eastAsia="ar-SA"/>
              </w:rPr>
              <w:t>；</w:t>
            </w:r>
            <w:r w:rsidRPr="00777395">
              <w:rPr>
                <w:rFonts w:eastAsia="細明體" w:cs="Segoe UI"/>
                <w:sz w:val="22"/>
                <w:szCs w:val="22"/>
                <w:lang w:eastAsia="ar-SA"/>
              </w:rPr>
              <w:t>BSC]</w:t>
            </w:r>
          </w:p>
        </w:tc>
        <w:tc>
          <w:tcPr>
            <w:tcW w:w="992" w:type="dxa"/>
            <w:tcBorders>
              <w:top w:val="single" w:sz="4" w:space="0" w:color="000000"/>
              <w:left w:val="single" w:sz="8" w:space="0" w:color="000000"/>
              <w:bottom w:val="single" w:sz="4" w:space="0" w:color="000000"/>
            </w:tcBorders>
            <w:shd w:val="clear" w:color="auto" w:fill="auto"/>
          </w:tcPr>
          <w:p w14:paraId="3E07F688"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5289A336"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0547265D"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159765CD"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C291CCC"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4244DD35" w14:textId="77777777" w:rsidTr="00EB0F03">
        <w:trPr>
          <w:cantSplit/>
          <w:trHeight w:val="283"/>
        </w:trPr>
        <w:tc>
          <w:tcPr>
            <w:tcW w:w="2127" w:type="dxa"/>
            <w:vMerge/>
            <w:tcBorders>
              <w:top w:val="single" w:sz="4" w:space="0" w:color="000000"/>
              <w:bottom w:val="single" w:sz="4" w:space="0" w:color="000000"/>
            </w:tcBorders>
            <w:shd w:val="clear" w:color="auto" w:fill="auto"/>
          </w:tcPr>
          <w:p w14:paraId="183BDAE3"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4B4903F1" w14:textId="006BC778"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CR5</w:t>
            </w:r>
            <w:r w:rsidRPr="005208B7">
              <w:rPr>
                <w:rFonts w:eastAsia="細明體" w:cs="Segoe UI" w:hint="eastAsia"/>
                <w:sz w:val="22"/>
                <w:szCs w:val="22"/>
                <w:lang w:eastAsia="ar-SA"/>
              </w:rPr>
              <w:t>：</w:t>
            </w:r>
            <w:r w:rsidRPr="000F7880">
              <w:rPr>
                <w:rFonts w:eastAsia="細明體" w:cs="Segoe UI" w:hint="eastAsia"/>
                <w:sz w:val="22"/>
                <w:szCs w:val="22"/>
                <w:lang w:eastAsia="ar-SA"/>
              </w:rPr>
              <w:t>按</w:t>
            </w:r>
            <w:r w:rsidRPr="005208B7">
              <w:rPr>
                <w:rFonts w:eastAsia="細明體" w:cs="Segoe UI" w:hint="eastAsia"/>
                <w:sz w:val="22"/>
                <w:szCs w:val="22"/>
                <w:lang w:eastAsia="ar-SA"/>
              </w:rPr>
              <w:t>風險承擔</w:t>
            </w:r>
            <w:r w:rsidRPr="000F7880">
              <w:rPr>
                <w:rFonts w:eastAsia="細明體" w:cs="Segoe UI" w:hint="eastAsia"/>
                <w:sz w:val="22"/>
                <w:szCs w:val="22"/>
                <w:lang w:eastAsia="ar-SA"/>
              </w:rPr>
              <w:t>類別和按風險權重劃分的信用風險承擔</w:t>
            </w:r>
            <w:r w:rsidRPr="000F7880">
              <w:rPr>
                <w:rFonts w:ascii="細明體" w:eastAsia="細明體" w:hAnsi="細明體" w:cs="細明體" w:hint="eastAsia"/>
                <w:sz w:val="22"/>
                <w:szCs w:val="22"/>
                <w:lang w:eastAsia="ar-SA"/>
              </w:rPr>
              <w:t>──</w:t>
            </w:r>
            <w:r w:rsidRPr="000F7880">
              <w:rPr>
                <w:rFonts w:eastAsia="細明體" w:cs="Segoe UI"/>
                <w:sz w:val="22"/>
                <w:szCs w:val="22"/>
                <w:lang w:eastAsia="ar-SA"/>
              </w:rPr>
              <w:t>STC</w:t>
            </w:r>
            <w:r w:rsidRPr="000F7880">
              <w:rPr>
                <w:rFonts w:eastAsia="細明體" w:cs="Segoe UI" w:hint="eastAsia"/>
                <w:sz w:val="22"/>
                <w:szCs w:val="22"/>
                <w:lang w:eastAsia="ar-SA"/>
              </w:rPr>
              <w:t>計算法或</w:t>
            </w:r>
            <w:r w:rsidRPr="000F7880">
              <w:rPr>
                <w:rFonts w:eastAsia="細明體" w:cs="Segoe UI"/>
                <w:sz w:val="22"/>
                <w:szCs w:val="22"/>
                <w:lang w:eastAsia="ar-SA"/>
              </w:rPr>
              <w:t>BSC</w:t>
            </w:r>
            <w:r w:rsidRPr="000F7880">
              <w:rPr>
                <w:rFonts w:eastAsia="細明體" w:cs="Segoe UI" w:hint="eastAsia"/>
                <w:sz w:val="22"/>
                <w:szCs w:val="22"/>
                <w:lang w:eastAsia="ar-SA"/>
              </w:rPr>
              <w:t>計算法</w:t>
            </w:r>
          </w:p>
        </w:tc>
        <w:tc>
          <w:tcPr>
            <w:tcW w:w="1701" w:type="dxa"/>
            <w:tcBorders>
              <w:top w:val="single" w:sz="4" w:space="0" w:color="000000"/>
              <w:left w:val="single" w:sz="8" w:space="0" w:color="000000"/>
              <w:bottom w:val="single" w:sz="4" w:space="0" w:color="000000"/>
            </w:tcBorders>
            <w:shd w:val="clear" w:color="auto" w:fill="auto"/>
          </w:tcPr>
          <w:p w14:paraId="4B2915B7"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p>
          <w:p w14:paraId="0232DF62"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hint="eastAsia"/>
                <w:sz w:val="22"/>
                <w:szCs w:val="22"/>
                <w:lang w:eastAsia="zh-TW"/>
              </w:rPr>
              <w:t>[</w:t>
            </w:r>
            <w:r w:rsidRPr="00777395">
              <w:rPr>
                <w:rFonts w:eastAsia="細明體" w:cs="Segoe UI"/>
                <w:sz w:val="22"/>
                <w:szCs w:val="22"/>
                <w:lang w:eastAsia="ar-SA"/>
              </w:rPr>
              <w:t>STC</w:t>
            </w:r>
            <w:r w:rsidRPr="00777395">
              <w:rPr>
                <w:rFonts w:eastAsia="細明體" w:cs="Segoe UI" w:hint="eastAsia"/>
                <w:sz w:val="22"/>
                <w:szCs w:val="22"/>
                <w:lang w:eastAsia="ar-SA"/>
              </w:rPr>
              <w:t>；</w:t>
            </w:r>
            <w:r w:rsidRPr="00777395">
              <w:rPr>
                <w:rFonts w:eastAsia="細明體" w:cs="Segoe UI"/>
                <w:sz w:val="22"/>
                <w:szCs w:val="22"/>
                <w:lang w:eastAsia="ar-SA"/>
              </w:rPr>
              <w:t>BSC]</w:t>
            </w:r>
          </w:p>
        </w:tc>
        <w:tc>
          <w:tcPr>
            <w:tcW w:w="992" w:type="dxa"/>
            <w:tcBorders>
              <w:top w:val="single" w:sz="4" w:space="0" w:color="000000"/>
              <w:left w:val="single" w:sz="8" w:space="0" w:color="000000"/>
              <w:bottom w:val="single" w:sz="4" w:space="0" w:color="000000"/>
            </w:tcBorders>
            <w:shd w:val="clear" w:color="auto" w:fill="auto"/>
          </w:tcPr>
          <w:p w14:paraId="74B0542B"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2B99DDDA"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48E0B1B6"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6F0E71D3"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18319C46"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337CCF03" w14:textId="77777777" w:rsidTr="00EB0F03">
        <w:trPr>
          <w:cantSplit/>
          <w:trHeight w:val="283"/>
        </w:trPr>
        <w:tc>
          <w:tcPr>
            <w:tcW w:w="2127" w:type="dxa"/>
            <w:vMerge/>
            <w:tcBorders>
              <w:top w:val="single" w:sz="4" w:space="0" w:color="000000"/>
              <w:bottom w:val="single" w:sz="4" w:space="0" w:color="000000"/>
            </w:tcBorders>
            <w:shd w:val="clear" w:color="auto" w:fill="auto"/>
          </w:tcPr>
          <w:p w14:paraId="66E7016F"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472EEE98"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CRE</w:t>
            </w:r>
            <w:r w:rsidRPr="00777395">
              <w:rPr>
                <w:rFonts w:eastAsia="細明體" w:cs="Segoe UI" w:hint="eastAsia"/>
                <w:sz w:val="22"/>
                <w:szCs w:val="22"/>
                <w:lang w:eastAsia="ar-SA"/>
              </w:rPr>
              <w:t>：關於在</w:t>
            </w:r>
            <w:r w:rsidRPr="00777395">
              <w:rPr>
                <w:rFonts w:eastAsia="細明體" w:cs="Segoe UI"/>
                <w:sz w:val="22"/>
                <w:szCs w:val="22"/>
                <w:lang w:eastAsia="ar-SA"/>
              </w:rPr>
              <w:t>IRB</w:t>
            </w:r>
            <w:r w:rsidRPr="00777395">
              <w:rPr>
                <w:rFonts w:eastAsia="細明體" w:cs="Segoe UI" w:hint="eastAsia"/>
                <w:sz w:val="22"/>
                <w:szCs w:val="22"/>
                <w:lang w:eastAsia="ar-SA"/>
              </w:rPr>
              <w:t>計算法下計量信用風險所使用的內部模式的描述披露</w:t>
            </w:r>
          </w:p>
        </w:tc>
        <w:tc>
          <w:tcPr>
            <w:tcW w:w="1701" w:type="dxa"/>
            <w:tcBorders>
              <w:top w:val="single" w:sz="4" w:space="0" w:color="000000"/>
              <w:left w:val="single" w:sz="8" w:space="0" w:color="000000"/>
              <w:bottom w:val="single" w:sz="4" w:space="0" w:color="000000"/>
            </w:tcBorders>
            <w:shd w:val="clear" w:color="auto" w:fill="auto"/>
          </w:tcPr>
          <w:p w14:paraId="6E840CF1"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IRB]</w:t>
            </w:r>
          </w:p>
        </w:tc>
        <w:tc>
          <w:tcPr>
            <w:tcW w:w="992" w:type="dxa"/>
            <w:tcBorders>
              <w:top w:val="single" w:sz="4" w:space="0" w:color="000000"/>
              <w:left w:val="single" w:sz="8" w:space="0" w:color="000000"/>
              <w:bottom w:val="single" w:sz="4" w:space="0" w:color="000000"/>
            </w:tcBorders>
            <w:shd w:val="clear" w:color="auto" w:fill="auto"/>
          </w:tcPr>
          <w:p w14:paraId="5AF15D94"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789FE37C"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28E6FB64"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4047022C"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7F2B1976"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6E7244AC" w14:textId="77777777" w:rsidTr="00EB0F03">
        <w:trPr>
          <w:cantSplit/>
          <w:trHeight w:val="283"/>
        </w:trPr>
        <w:tc>
          <w:tcPr>
            <w:tcW w:w="2127" w:type="dxa"/>
            <w:vMerge/>
            <w:tcBorders>
              <w:top w:val="single" w:sz="4" w:space="0" w:color="000000"/>
              <w:bottom w:val="single" w:sz="4" w:space="0" w:color="000000"/>
            </w:tcBorders>
            <w:shd w:val="clear" w:color="auto" w:fill="auto"/>
          </w:tcPr>
          <w:p w14:paraId="561E6567"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67250CE9"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CR6</w:t>
            </w:r>
            <w:r w:rsidRPr="00777395">
              <w:rPr>
                <w:rFonts w:eastAsia="細明體" w:cs="Segoe UI" w:hint="eastAsia"/>
                <w:sz w:val="22"/>
                <w:szCs w:val="22"/>
                <w:lang w:eastAsia="ar-SA"/>
              </w:rPr>
              <w:t>：</w:t>
            </w:r>
            <w:r w:rsidRPr="00777395">
              <w:rPr>
                <w:rFonts w:eastAsia="細明體" w:cs="Segoe UI" w:hint="eastAsia"/>
                <w:color w:val="000000"/>
                <w:sz w:val="22"/>
                <w:szCs w:val="22"/>
                <w:lang w:eastAsia="ar-SA"/>
              </w:rPr>
              <w:t>按組合及違責或然率等級</w:t>
            </w:r>
            <w:r w:rsidRPr="00777395">
              <w:rPr>
                <w:rFonts w:eastAsia="細明體" w:cs="Segoe UI" w:hint="eastAsia"/>
                <w:sz w:val="22"/>
                <w:szCs w:val="22"/>
                <w:lang w:eastAsia="ar-SA"/>
              </w:rPr>
              <w:t>劃分的信用風險承擔</w:t>
            </w:r>
            <w:r w:rsidRPr="00777395">
              <w:rPr>
                <w:rFonts w:ascii="細明體" w:eastAsia="細明體" w:hAnsi="細明體" w:cs="細明體" w:hint="eastAsia"/>
                <w:sz w:val="22"/>
                <w:szCs w:val="22"/>
                <w:lang w:eastAsia="ar-SA"/>
              </w:rPr>
              <w:t>──</w:t>
            </w:r>
            <w:r w:rsidRPr="00777395">
              <w:rPr>
                <w:rFonts w:eastAsia="細明體" w:cs="Segoe UI"/>
                <w:sz w:val="22"/>
                <w:szCs w:val="22"/>
                <w:lang w:eastAsia="ar-SA"/>
              </w:rPr>
              <w:t>IRB</w:t>
            </w:r>
            <w:r w:rsidRPr="00777395">
              <w:rPr>
                <w:rFonts w:eastAsia="細明體" w:cs="Segoe UI" w:hint="eastAsia"/>
                <w:sz w:val="22"/>
                <w:szCs w:val="22"/>
                <w:lang w:eastAsia="ar-SA"/>
              </w:rPr>
              <w:t>計算法</w:t>
            </w:r>
          </w:p>
        </w:tc>
        <w:tc>
          <w:tcPr>
            <w:tcW w:w="1701" w:type="dxa"/>
            <w:tcBorders>
              <w:top w:val="single" w:sz="4" w:space="0" w:color="000000"/>
              <w:left w:val="single" w:sz="8" w:space="0" w:color="000000"/>
              <w:bottom w:val="single" w:sz="4" w:space="0" w:color="000000"/>
            </w:tcBorders>
            <w:shd w:val="clear" w:color="auto" w:fill="auto"/>
          </w:tcPr>
          <w:p w14:paraId="136D4773"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IRB]</w:t>
            </w:r>
          </w:p>
        </w:tc>
        <w:tc>
          <w:tcPr>
            <w:tcW w:w="992" w:type="dxa"/>
            <w:tcBorders>
              <w:top w:val="single" w:sz="4" w:space="0" w:color="000000"/>
              <w:left w:val="single" w:sz="8" w:space="0" w:color="000000"/>
              <w:bottom w:val="single" w:sz="4" w:space="0" w:color="000000"/>
            </w:tcBorders>
            <w:shd w:val="clear" w:color="auto" w:fill="auto"/>
          </w:tcPr>
          <w:p w14:paraId="625AC378"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4F09B161"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41E6A776"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48B32FCF"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1D3DFF27"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4FD4E703" w14:textId="77777777" w:rsidTr="00EB0F03">
        <w:trPr>
          <w:cantSplit/>
          <w:trHeight w:val="283"/>
        </w:trPr>
        <w:tc>
          <w:tcPr>
            <w:tcW w:w="2127" w:type="dxa"/>
            <w:vMerge/>
            <w:tcBorders>
              <w:top w:val="single" w:sz="4" w:space="0" w:color="000000"/>
              <w:bottom w:val="single" w:sz="4" w:space="0" w:color="000000"/>
            </w:tcBorders>
            <w:shd w:val="clear" w:color="auto" w:fill="auto"/>
          </w:tcPr>
          <w:p w14:paraId="30C15B98"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04E39949"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CR7</w:t>
            </w:r>
            <w:r w:rsidRPr="00777395">
              <w:rPr>
                <w:rFonts w:eastAsia="細明體" w:cs="Segoe UI" w:hint="eastAsia"/>
                <w:sz w:val="22"/>
                <w:szCs w:val="22"/>
                <w:lang w:eastAsia="ar-SA"/>
              </w:rPr>
              <w:t>：</w:t>
            </w:r>
            <w:r w:rsidRPr="00777395">
              <w:rPr>
                <w:rFonts w:eastAsia="細明體" w:cs="Segoe UI" w:hint="eastAsia"/>
                <w:color w:val="000000"/>
                <w:sz w:val="22"/>
                <w:szCs w:val="22"/>
                <w:lang w:eastAsia="ar-SA"/>
              </w:rPr>
              <w:t>使用認可信用衍生工具合約作為認可減低信用風險措施對風險加權數額的影響</w:t>
            </w:r>
            <w:r w:rsidRPr="00777395">
              <w:rPr>
                <w:rFonts w:ascii="細明體" w:eastAsia="細明體" w:hAnsi="細明體" w:cs="細明體" w:hint="eastAsia"/>
                <w:sz w:val="22"/>
                <w:szCs w:val="22"/>
                <w:lang w:eastAsia="ar-SA"/>
              </w:rPr>
              <w:t>──</w:t>
            </w:r>
            <w:r w:rsidRPr="00777395">
              <w:rPr>
                <w:rFonts w:eastAsia="細明體" w:cs="Segoe UI"/>
                <w:sz w:val="22"/>
                <w:szCs w:val="22"/>
                <w:lang w:eastAsia="ar-SA"/>
              </w:rPr>
              <w:t>IRB</w:t>
            </w:r>
            <w:r w:rsidRPr="00777395">
              <w:rPr>
                <w:rFonts w:eastAsia="細明體" w:cs="Segoe UI" w:hint="eastAsia"/>
                <w:sz w:val="22"/>
                <w:szCs w:val="22"/>
                <w:lang w:eastAsia="ar-SA"/>
              </w:rPr>
              <w:t>計算法</w:t>
            </w:r>
          </w:p>
        </w:tc>
        <w:tc>
          <w:tcPr>
            <w:tcW w:w="1701" w:type="dxa"/>
            <w:tcBorders>
              <w:top w:val="single" w:sz="4" w:space="0" w:color="000000"/>
              <w:left w:val="single" w:sz="8" w:space="0" w:color="000000"/>
              <w:bottom w:val="single" w:sz="4" w:space="0" w:color="000000"/>
            </w:tcBorders>
            <w:shd w:val="clear" w:color="auto" w:fill="auto"/>
          </w:tcPr>
          <w:p w14:paraId="2A7C2870"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IRB]</w:t>
            </w:r>
          </w:p>
        </w:tc>
        <w:tc>
          <w:tcPr>
            <w:tcW w:w="992" w:type="dxa"/>
            <w:tcBorders>
              <w:top w:val="single" w:sz="4" w:space="0" w:color="000000"/>
              <w:left w:val="single" w:sz="8" w:space="0" w:color="000000"/>
              <w:bottom w:val="single" w:sz="4" w:space="0" w:color="000000"/>
            </w:tcBorders>
            <w:shd w:val="clear" w:color="auto" w:fill="auto"/>
          </w:tcPr>
          <w:p w14:paraId="78281CE3"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35E92641"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4C6D53C5"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19338356"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8423AC1"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46A08294" w14:textId="77777777" w:rsidTr="00EB0F03">
        <w:trPr>
          <w:cantSplit/>
          <w:trHeight w:val="283"/>
        </w:trPr>
        <w:tc>
          <w:tcPr>
            <w:tcW w:w="2127" w:type="dxa"/>
            <w:vMerge/>
            <w:tcBorders>
              <w:top w:val="single" w:sz="4" w:space="0" w:color="000000"/>
              <w:bottom w:val="single" w:sz="4" w:space="0" w:color="000000"/>
            </w:tcBorders>
          </w:tcPr>
          <w:p w14:paraId="35AF4352" w14:textId="77777777" w:rsidR="00EB0F03" w:rsidRPr="00777395"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1FB6637A"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CR8</w:t>
            </w:r>
            <w:r w:rsidRPr="00777395">
              <w:rPr>
                <w:rFonts w:eastAsia="細明體" w:cs="Segoe UI" w:hint="eastAsia"/>
                <w:sz w:val="22"/>
                <w:szCs w:val="22"/>
                <w:lang w:eastAsia="ar-SA"/>
              </w:rPr>
              <w:t>：在</w:t>
            </w:r>
            <w:r w:rsidRPr="00777395">
              <w:rPr>
                <w:rFonts w:eastAsia="細明體" w:cs="Segoe UI"/>
                <w:sz w:val="22"/>
                <w:szCs w:val="22"/>
                <w:lang w:eastAsia="ar-SA"/>
              </w:rPr>
              <w:t>IRB</w:t>
            </w:r>
            <w:r w:rsidRPr="00777395">
              <w:rPr>
                <w:rFonts w:eastAsia="細明體" w:cs="Segoe UI" w:hint="eastAsia"/>
                <w:sz w:val="22"/>
                <w:szCs w:val="22"/>
                <w:lang w:eastAsia="ar-SA"/>
              </w:rPr>
              <w:t>計算法下信用風險承擔的風險加權數額流動表</w:t>
            </w:r>
          </w:p>
        </w:tc>
        <w:tc>
          <w:tcPr>
            <w:tcW w:w="1701" w:type="dxa"/>
            <w:tcBorders>
              <w:top w:val="single" w:sz="4" w:space="0" w:color="000000"/>
              <w:left w:val="single" w:sz="8" w:space="0" w:color="000000"/>
              <w:bottom w:val="single" w:sz="4" w:space="0" w:color="000000"/>
            </w:tcBorders>
            <w:shd w:val="clear" w:color="auto" w:fill="auto"/>
          </w:tcPr>
          <w:p w14:paraId="33130C1F"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IRB]</w:t>
            </w:r>
          </w:p>
        </w:tc>
        <w:tc>
          <w:tcPr>
            <w:tcW w:w="992" w:type="dxa"/>
            <w:tcBorders>
              <w:top w:val="single" w:sz="4" w:space="0" w:color="000000"/>
              <w:left w:val="single" w:sz="8" w:space="0" w:color="000000"/>
              <w:bottom w:val="single" w:sz="4" w:space="0" w:color="000000"/>
            </w:tcBorders>
            <w:shd w:val="clear" w:color="auto" w:fill="auto"/>
          </w:tcPr>
          <w:p w14:paraId="7CC4E211"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28219A17"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2C213E32"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4" w:space="0" w:color="000000"/>
              <w:bottom w:val="single" w:sz="4" w:space="0" w:color="000000"/>
            </w:tcBorders>
            <w:shd w:val="clear" w:color="auto" w:fill="auto"/>
          </w:tcPr>
          <w:p w14:paraId="125BD5D7"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8274C21"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72B9ECC8" w14:textId="77777777" w:rsidTr="00EB0F03">
        <w:trPr>
          <w:cantSplit/>
          <w:trHeight w:val="283"/>
        </w:trPr>
        <w:tc>
          <w:tcPr>
            <w:tcW w:w="2127" w:type="dxa"/>
            <w:vMerge/>
            <w:tcBorders>
              <w:top w:val="single" w:sz="4" w:space="0" w:color="000000"/>
              <w:bottom w:val="single" w:sz="4" w:space="0" w:color="000000"/>
            </w:tcBorders>
            <w:shd w:val="clear" w:color="auto" w:fill="auto"/>
          </w:tcPr>
          <w:p w14:paraId="16BE3385"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19CB414C"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CR9</w:t>
            </w:r>
            <w:r w:rsidRPr="00777395">
              <w:rPr>
                <w:rFonts w:eastAsia="細明體" w:cs="Segoe UI" w:hint="eastAsia"/>
                <w:sz w:val="22"/>
                <w:szCs w:val="22"/>
                <w:lang w:eastAsia="ar-SA"/>
              </w:rPr>
              <w:t>：按個別組合的違責或然率的回溯測試</w:t>
            </w:r>
            <w:r w:rsidRPr="00777395">
              <w:rPr>
                <w:rFonts w:ascii="細明體" w:eastAsia="細明體" w:hAnsi="細明體" w:cs="細明體" w:hint="eastAsia"/>
                <w:sz w:val="22"/>
                <w:szCs w:val="22"/>
                <w:lang w:eastAsia="ar-SA"/>
              </w:rPr>
              <w:t>──</w:t>
            </w:r>
            <w:r w:rsidRPr="00777395">
              <w:rPr>
                <w:rFonts w:eastAsia="細明體" w:cs="Segoe UI"/>
                <w:sz w:val="22"/>
                <w:szCs w:val="22"/>
                <w:lang w:eastAsia="ar-SA"/>
              </w:rPr>
              <w:t>IRB</w:t>
            </w:r>
            <w:r w:rsidRPr="00777395">
              <w:rPr>
                <w:rFonts w:eastAsia="細明體" w:cs="Segoe UI" w:hint="eastAsia"/>
                <w:sz w:val="22"/>
                <w:szCs w:val="22"/>
                <w:lang w:eastAsia="ar-SA"/>
              </w:rPr>
              <w:t>計算法</w:t>
            </w:r>
          </w:p>
        </w:tc>
        <w:tc>
          <w:tcPr>
            <w:tcW w:w="1701" w:type="dxa"/>
            <w:tcBorders>
              <w:top w:val="single" w:sz="4" w:space="0" w:color="000000"/>
              <w:left w:val="single" w:sz="8" w:space="0" w:color="000000"/>
              <w:bottom w:val="single" w:sz="4" w:space="0" w:color="000000"/>
            </w:tcBorders>
            <w:shd w:val="clear" w:color="auto" w:fill="auto"/>
          </w:tcPr>
          <w:p w14:paraId="2594BB21"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IRB]</w:t>
            </w:r>
          </w:p>
        </w:tc>
        <w:tc>
          <w:tcPr>
            <w:tcW w:w="992" w:type="dxa"/>
            <w:tcBorders>
              <w:top w:val="single" w:sz="4" w:space="0" w:color="000000"/>
              <w:left w:val="single" w:sz="8" w:space="0" w:color="000000"/>
              <w:bottom w:val="single" w:sz="4" w:space="0" w:color="000000"/>
            </w:tcBorders>
            <w:shd w:val="clear" w:color="auto" w:fill="auto"/>
          </w:tcPr>
          <w:p w14:paraId="55DBB582"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68CF11DE"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6AED6316"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2FFF4358"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EC766A6"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3DF107E2" w14:textId="77777777" w:rsidTr="00804069">
        <w:trPr>
          <w:cantSplit/>
          <w:trHeight w:val="283"/>
        </w:trPr>
        <w:tc>
          <w:tcPr>
            <w:tcW w:w="2127" w:type="dxa"/>
            <w:vMerge/>
            <w:tcBorders>
              <w:top w:val="single" w:sz="4" w:space="0" w:color="000000"/>
              <w:bottom w:val="single" w:sz="8" w:space="0" w:color="000000"/>
            </w:tcBorders>
            <w:shd w:val="clear" w:color="auto" w:fill="auto"/>
          </w:tcPr>
          <w:p w14:paraId="61BDA5DF"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8" w:space="0" w:color="000000"/>
            </w:tcBorders>
            <w:shd w:val="clear" w:color="auto" w:fill="auto"/>
          </w:tcPr>
          <w:p w14:paraId="43914789" w14:textId="41D0041C"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CR10</w:t>
            </w:r>
            <w:r w:rsidRPr="005208B7">
              <w:rPr>
                <w:rFonts w:eastAsia="細明體" w:cs="Segoe UI" w:hint="eastAsia"/>
                <w:sz w:val="22"/>
                <w:szCs w:val="22"/>
                <w:lang w:eastAsia="ar-SA"/>
              </w:rPr>
              <w:t>：</w:t>
            </w:r>
            <w:r w:rsidRPr="000F7880">
              <w:rPr>
                <w:rFonts w:eastAsia="細明體" w:cs="Segoe UI" w:hint="eastAsia"/>
                <w:sz w:val="22"/>
                <w:szCs w:val="22"/>
                <w:lang w:eastAsia="ar-SA"/>
              </w:rPr>
              <w:t>在監管分類準則計算法下的專門性借貸</w:t>
            </w:r>
            <w:r w:rsidRPr="000F7880">
              <w:rPr>
                <w:rFonts w:ascii="細明體" w:eastAsia="細明體" w:hAnsi="細明體" w:cs="細明體" w:hint="eastAsia"/>
                <w:sz w:val="22"/>
                <w:szCs w:val="22"/>
                <w:lang w:eastAsia="ar-SA"/>
              </w:rPr>
              <w:t>──</w:t>
            </w:r>
            <w:r w:rsidRPr="000F7880">
              <w:rPr>
                <w:rFonts w:eastAsia="細明體" w:cs="Segoe UI"/>
                <w:sz w:val="22"/>
                <w:szCs w:val="22"/>
                <w:lang w:eastAsia="ar-SA"/>
              </w:rPr>
              <w:t>IRB</w:t>
            </w:r>
            <w:r w:rsidRPr="000F7880">
              <w:rPr>
                <w:rFonts w:eastAsia="細明體" w:cs="Segoe UI" w:hint="eastAsia"/>
                <w:sz w:val="22"/>
                <w:szCs w:val="22"/>
                <w:lang w:eastAsia="ar-SA"/>
              </w:rPr>
              <w:t>計算法</w:t>
            </w:r>
          </w:p>
        </w:tc>
        <w:tc>
          <w:tcPr>
            <w:tcW w:w="1701" w:type="dxa"/>
            <w:tcBorders>
              <w:top w:val="single" w:sz="4" w:space="0" w:color="000000"/>
              <w:left w:val="single" w:sz="8" w:space="0" w:color="000000"/>
              <w:bottom w:val="single" w:sz="8" w:space="0" w:color="000000"/>
            </w:tcBorders>
            <w:shd w:val="clear" w:color="auto" w:fill="auto"/>
          </w:tcPr>
          <w:p w14:paraId="37721F59"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IRB]</w:t>
            </w:r>
          </w:p>
        </w:tc>
        <w:tc>
          <w:tcPr>
            <w:tcW w:w="992" w:type="dxa"/>
            <w:tcBorders>
              <w:top w:val="single" w:sz="4" w:space="0" w:color="000000"/>
              <w:left w:val="single" w:sz="8" w:space="0" w:color="000000"/>
              <w:bottom w:val="single" w:sz="8" w:space="0" w:color="000000"/>
            </w:tcBorders>
            <w:shd w:val="clear" w:color="auto" w:fill="auto"/>
          </w:tcPr>
          <w:p w14:paraId="3029653C"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8" w:space="0" w:color="000000"/>
            </w:tcBorders>
            <w:shd w:val="clear" w:color="auto" w:fill="auto"/>
          </w:tcPr>
          <w:p w14:paraId="3F1D88B6"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8" w:space="0" w:color="000000"/>
            </w:tcBorders>
            <w:shd w:val="clear" w:color="auto" w:fill="auto"/>
          </w:tcPr>
          <w:p w14:paraId="6B1286C1"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8" w:space="0" w:color="000000"/>
            </w:tcBorders>
            <w:shd w:val="clear" w:color="auto" w:fill="auto"/>
          </w:tcPr>
          <w:p w14:paraId="40C895BF"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8" w:space="0" w:color="000000"/>
              <w:right w:val="single" w:sz="8" w:space="0" w:color="000000"/>
            </w:tcBorders>
            <w:shd w:val="clear" w:color="auto" w:fill="auto"/>
          </w:tcPr>
          <w:p w14:paraId="6A258F22" w14:textId="77777777" w:rsidR="00EB0F03" w:rsidRPr="00777395" w:rsidRDefault="00EB0F03" w:rsidP="00EB0F03">
            <w:pPr>
              <w:suppressAutoHyphens/>
              <w:snapToGrid w:val="0"/>
              <w:jc w:val="center"/>
              <w:rPr>
                <w:rFonts w:eastAsia="細明體" w:cs="Segoe UI"/>
                <w:sz w:val="22"/>
                <w:szCs w:val="22"/>
                <w:lang w:eastAsia="ar-SA"/>
              </w:rPr>
            </w:pPr>
          </w:p>
        </w:tc>
      </w:tr>
      <w:tr w:rsidR="00804069" w:rsidRPr="00777395" w14:paraId="798175FE" w14:textId="77777777" w:rsidTr="009C1B9D">
        <w:trPr>
          <w:cantSplit/>
          <w:trHeight w:val="283"/>
        </w:trPr>
        <w:tc>
          <w:tcPr>
            <w:tcW w:w="2127" w:type="dxa"/>
            <w:vMerge w:val="restart"/>
            <w:tcBorders>
              <w:top w:val="single" w:sz="8" w:space="0" w:color="000000"/>
            </w:tcBorders>
            <w:shd w:val="clear" w:color="auto" w:fill="auto"/>
          </w:tcPr>
          <w:p w14:paraId="62C83E98" w14:textId="77777777"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第</w:t>
            </w:r>
            <w:r w:rsidRPr="00777395">
              <w:rPr>
                <w:rFonts w:eastAsia="細明體" w:cs="Segoe UI"/>
                <w:sz w:val="22"/>
                <w:szCs w:val="22"/>
                <w:lang w:eastAsia="ar-SA"/>
              </w:rPr>
              <w:t>IV</w:t>
            </w:r>
            <w:r w:rsidRPr="00777395">
              <w:rPr>
                <w:rFonts w:eastAsia="細明體" w:cs="Segoe UI" w:hint="eastAsia"/>
                <w:sz w:val="22"/>
                <w:szCs w:val="22"/>
                <w:lang w:eastAsia="ar-SA"/>
              </w:rPr>
              <w:t>部</w:t>
            </w:r>
            <w:r w:rsidRPr="00777395">
              <w:rPr>
                <w:rFonts w:eastAsia="細明體" w:cs="Segoe UI"/>
                <w:sz w:val="22"/>
                <w:szCs w:val="22"/>
                <w:lang w:eastAsia="ar-SA"/>
              </w:rPr>
              <w:t xml:space="preserve"> : </w:t>
            </w:r>
            <w:r w:rsidRPr="00777395">
              <w:rPr>
                <w:rFonts w:eastAsia="細明體" w:cs="Segoe UI" w:hint="eastAsia"/>
                <w:sz w:val="22"/>
                <w:szCs w:val="22"/>
                <w:lang w:eastAsia="ar-SA"/>
              </w:rPr>
              <w:t>對手方信用風險</w:t>
            </w:r>
          </w:p>
        </w:tc>
        <w:tc>
          <w:tcPr>
            <w:tcW w:w="4819" w:type="dxa"/>
            <w:tcBorders>
              <w:top w:val="single" w:sz="8" w:space="0" w:color="000000"/>
              <w:left w:val="single" w:sz="8" w:space="0" w:color="000000"/>
              <w:bottom w:val="single" w:sz="4" w:space="0" w:color="000000"/>
            </w:tcBorders>
            <w:shd w:val="clear" w:color="auto" w:fill="auto"/>
          </w:tcPr>
          <w:p w14:paraId="371630B9" w14:textId="77777777"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CCRA</w:t>
            </w:r>
            <w:r w:rsidRPr="00777395">
              <w:rPr>
                <w:rFonts w:eastAsia="細明體" w:cs="Segoe UI" w:hint="eastAsia"/>
                <w:sz w:val="22"/>
                <w:szCs w:val="22"/>
                <w:lang w:eastAsia="ar-SA"/>
              </w:rPr>
              <w:t>：關於對手方信用風險（</w:t>
            </w:r>
            <w:r w:rsidRPr="00777395">
              <w:rPr>
                <w:rFonts w:eastAsia="細明體" w:cs="Segoe UI" w:hint="eastAsia"/>
                <w:color w:val="000000"/>
                <w:sz w:val="22"/>
                <w:szCs w:val="22"/>
                <w:lang w:eastAsia="ar-SA"/>
              </w:rPr>
              <w:t>包括經中央交易對手方結算產生者</w:t>
            </w:r>
            <w:r w:rsidRPr="00777395">
              <w:rPr>
                <w:rFonts w:eastAsia="細明體" w:cs="Segoe UI" w:hint="eastAsia"/>
                <w:sz w:val="22"/>
                <w:szCs w:val="22"/>
                <w:lang w:eastAsia="ar-SA"/>
              </w:rPr>
              <w:t>）的描述披露</w:t>
            </w:r>
          </w:p>
        </w:tc>
        <w:tc>
          <w:tcPr>
            <w:tcW w:w="1701" w:type="dxa"/>
            <w:tcBorders>
              <w:top w:val="single" w:sz="8" w:space="0" w:color="000000"/>
              <w:left w:val="single" w:sz="8" w:space="0" w:color="000000"/>
              <w:bottom w:val="single" w:sz="4" w:space="0" w:color="000000"/>
            </w:tcBorders>
            <w:shd w:val="clear" w:color="auto" w:fill="auto"/>
          </w:tcPr>
          <w:p w14:paraId="69580B70" w14:textId="77777777" w:rsidR="00804069" w:rsidRPr="00777395" w:rsidRDefault="00804069"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71BBA68B" w14:textId="77777777" w:rsidR="00804069" w:rsidRPr="00777395" w:rsidRDefault="00804069" w:rsidP="00EB0F03">
            <w:pPr>
              <w:suppressAutoHyphens/>
              <w:snapToGrid w:val="0"/>
              <w:jc w:val="center"/>
              <w:rPr>
                <w:rFonts w:eastAsia="細明體" w:cs="Segoe UI"/>
                <w:sz w:val="22"/>
                <w:szCs w:val="22"/>
                <w:lang w:eastAsia="ar-SA"/>
              </w:rPr>
            </w:pPr>
          </w:p>
        </w:tc>
        <w:tc>
          <w:tcPr>
            <w:tcW w:w="992" w:type="dxa"/>
            <w:tcBorders>
              <w:top w:val="single" w:sz="8" w:space="0" w:color="000000"/>
              <w:left w:val="single" w:sz="4" w:space="0" w:color="000000"/>
              <w:bottom w:val="single" w:sz="4" w:space="0" w:color="000000"/>
            </w:tcBorders>
            <w:shd w:val="clear" w:color="auto" w:fill="auto"/>
          </w:tcPr>
          <w:p w14:paraId="46F1210D"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8" w:space="0" w:color="000000"/>
              <w:left w:val="single" w:sz="8" w:space="0" w:color="000000"/>
              <w:bottom w:val="single" w:sz="4" w:space="0" w:color="000000"/>
            </w:tcBorders>
            <w:shd w:val="clear" w:color="auto" w:fill="auto"/>
          </w:tcPr>
          <w:p w14:paraId="2B8DC19F"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8" w:space="0" w:color="000000"/>
              <w:left w:val="single" w:sz="4" w:space="0" w:color="000000"/>
              <w:bottom w:val="single" w:sz="4" w:space="0" w:color="000000"/>
            </w:tcBorders>
            <w:shd w:val="clear" w:color="auto" w:fill="auto"/>
          </w:tcPr>
          <w:p w14:paraId="7849B8B1" w14:textId="77777777" w:rsidR="00804069" w:rsidRPr="00777395" w:rsidRDefault="00804069" w:rsidP="00EB0F03">
            <w:pPr>
              <w:suppressAutoHyphens/>
              <w:snapToGrid w:val="0"/>
              <w:jc w:val="center"/>
              <w:rPr>
                <w:rFonts w:eastAsia="細明體" w:cs="Segoe UI"/>
                <w:sz w:val="22"/>
                <w:szCs w:val="22"/>
                <w:lang w:eastAsia="ar-SA"/>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3F3F4687" w14:textId="77777777" w:rsidR="00804069" w:rsidRPr="00777395" w:rsidRDefault="00804069"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804069" w:rsidRPr="00777395" w14:paraId="7CCE2541" w14:textId="77777777" w:rsidTr="009C1B9D">
        <w:trPr>
          <w:cantSplit/>
          <w:trHeight w:val="283"/>
        </w:trPr>
        <w:tc>
          <w:tcPr>
            <w:tcW w:w="2127" w:type="dxa"/>
            <w:vMerge/>
            <w:shd w:val="clear" w:color="auto" w:fill="auto"/>
          </w:tcPr>
          <w:p w14:paraId="76988004" w14:textId="77777777" w:rsidR="00804069" w:rsidRPr="00777395" w:rsidRDefault="00804069"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53740546" w14:textId="3408A7D2"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CCR1</w:t>
            </w:r>
            <w:r w:rsidRPr="00777395">
              <w:rPr>
                <w:rFonts w:eastAsia="細明體" w:cs="Segoe UI" w:hint="eastAsia"/>
                <w:sz w:val="22"/>
                <w:szCs w:val="22"/>
                <w:lang w:eastAsia="ar-SA"/>
              </w:rPr>
              <w:t>：</w:t>
            </w:r>
            <w:r w:rsidRPr="00777395">
              <w:rPr>
                <w:rFonts w:eastAsia="細明體" w:cs="Segoe UI" w:hint="eastAsia"/>
                <w:color w:val="000000"/>
                <w:sz w:val="22"/>
                <w:szCs w:val="22"/>
                <w:lang w:eastAsia="ar-SA"/>
              </w:rPr>
              <w:t>按計算法劃分的對手方</w:t>
            </w:r>
            <w:r w:rsidRPr="00777395">
              <w:rPr>
                <w:rFonts w:eastAsia="細明體" w:cs="Segoe UI" w:hint="eastAsia"/>
                <w:sz w:val="22"/>
                <w:szCs w:val="22"/>
                <w:lang w:eastAsia="ar-SA"/>
              </w:rPr>
              <w:t>信用</w:t>
            </w:r>
            <w:r w:rsidRPr="00777395">
              <w:rPr>
                <w:rFonts w:eastAsia="細明體" w:cs="Segoe UI" w:hint="eastAsia"/>
                <w:color w:val="000000"/>
                <w:sz w:val="22"/>
                <w:szCs w:val="22"/>
                <w:lang w:eastAsia="ar-SA"/>
              </w:rPr>
              <w:t>風險承擔（對中央交易對手方的風險承擔除外）分析</w:t>
            </w:r>
          </w:p>
        </w:tc>
        <w:tc>
          <w:tcPr>
            <w:tcW w:w="1701" w:type="dxa"/>
            <w:tcBorders>
              <w:top w:val="single" w:sz="4" w:space="0" w:color="000000"/>
              <w:left w:val="single" w:sz="8" w:space="0" w:color="000000"/>
              <w:bottom w:val="single" w:sz="4" w:space="0" w:color="000000"/>
            </w:tcBorders>
            <w:shd w:val="clear" w:color="auto" w:fill="auto"/>
          </w:tcPr>
          <w:p w14:paraId="24FB36F5" w14:textId="77777777" w:rsidR="00804069" w:rsidRPr="00777395" w:rsidRDefault="00804069"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54781764"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1E262E9F"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39D754B1"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14D8D65B"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5DA4228B" w14:textId="77777777" w:rsidR="00804069" w:rsidRPr="00777395" w:rsidRDefault="00804069" w:rsidP="00EB0F03">
            <w:pPr>
              <w:suppressAutoHyphens/>
              <w:snapToGrid w:val="0"/>
              <w:jc w:val="center"/>
              <w:rPr>
                <w:rFonts w:eastAsia="細明體" w:cs="Segoe UI"/>
                <w:sz w:val="22"/>
                <w:szCs w:val="22"/>
                <w:lang w:eastAsia="ar-SA"/>
              </w:rPr>
            </w:pPr>
          </w:p>
        </w:tc>
      </w:tr>
      <w:tr w:rsidR="00804069" w:rsidRPr="00777395" w14:paraId="189D720D" w14:textId="77777777" w:rsidTr="00804069">
        <w:trPr>
          <w:cantSplit/>
          <w:trHeight w:val="283"/>
        </w:trPr>
        <w:tc>
          <w:tcPr>
            <w:tcW w:w="2127" w:type="dxa"/>
            <w:vMerge/>
            <w:shd w:val="clear" w:color="auto" w:fill="auto"/>
          </w:tcPr>
          <w:p w14:paraId="278A8C7C" w14:textId="77777777" w:rsidR="00804069" w:rsidRPr="00777395" w:rsidRDefault="00804069"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40D9AACB" w14:textId="6EEAA427" w:rsidR="00804069" w:rsidRDefault="00804069" w:rsidP="00D361A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CCR3</w:t>
            </w:r>
            <w:r w:rsidRPr="00777395">
              <w:rPr>
                <w:rFonts w:eastAsia="細明體" w:cs="Segoe UI" w:hint="eastAsia"/>
                <w:sz w:val="22"/>
                <w:szCs w:val="22"/>
                <w:lang w:eastAsia="ar-SA"/>
              </w:rPr>
              <w:t>：按</w:t>
            </w:r>
            <w:r w:rsidRPr="00777395">
              <w:rPr>
                <w:rFonts w:eastAsia="細明體" w:cs="Segoe UI" w:hint="eastAsia"/>
                <w:color w:val="000000"/>
                <w:sz w:val="22"/>
                <w:szCs w:val="22"/>
                <w:lang w:eastAsia="ar-SA"/>
              </w:rPr>
              <w:t>風險承擔</w:t>
            </w:r>
            <w:r w:rsidRPr="00777395">
              <w:rPr>
                <w:rFonts w:eastAsia="細明體" w:cs="Segoe UI" w:hint="eastAsia"/>
                <w:sz w:val="22"/>
                <w:szCs w:val="22"/>
                <w:lang w:eastAsia="ar-SA"/>
              </w:rPr>
              <w:t>類別和按風險權重</w:t>
            </w:r>
            <w:r w:rsidRPr="00777395">
              <w:rPr>
                <w:rFonts w:eastAsia="細明體" w:cs="Segoe UI" w:hint="eastAsia"/>
                <w:color w:val="000000"/>
                <w:sz w:val="22"/>
                <w:szCs w:val="22"/>
                <w:lang w:eastAsia="ar-SA"/>
              </w:rPr>
              <w:t>劃</w:t>
            </w:r>
            <w:r w:rsidRPr="00777395">
              <w:rPr>
                <w:rFonts w:eastAsia="細明體" w:cs="Segoe UI" w:hint="eastAsia"/>
                <w:sz w:val="22"/>
                <w:szCs w:val="22"/>
                <w:lang w:eastAsia="ar-SA"/>
              </w:rPr>
              <w:t>分的對手方信用風險承擔（</w:t>
            </w:r>
            <w:r w:rsidRPr="00777395">
              <w:rPr>
                <w:rFonts w:eastAsia="細明體" w:cs="Segoe UI" w:hint="eastAsia"/>
                <w:color w:val="000000"/>
                <w:sz w:val="22"/>
                <w:szCs w:val="22"/>
                <w:lang w:eastAsia="ar-SA"/>
              </w:rPr>
              <w:t>對中央交易對手方的風險承擔除外</w:t>
            </w:r>
            <w:r w:rsidRPr="00777395">
              <w:rPr>
                <w:rFonts w:eastAsia="細明體" w:cs="Segoe UI" w:hint="eastAsia"/>
                <w:sz w:val="22"/>
                <w:szCs w:val="22"/>
                <w:lang w:eastAsia="ar-SA"/>
              </w:rPr>
              <w:t>）</w:t>
            </w:r>
            <w:r w:rsidRPr="00777395">
              <w:rPr>
                <w:rFonts w:ascii="細明體" w:eastAsia="細明體" w:hAnsi="細明體" w:cs="細明體" w:hint="eastAsia"/>
                <w:sz w:val="22"/>
                <w:szCs w:val="22"/>
                <w:lang w:eastAsia="ar-SA"/>
              </w:rPr>
              <w:t>──</w:t>
            </w:r>
            <w:r w:rsidRPr="00777395">
              <w:rPr>
                <w:rFonts w:eastAsia="細明體" w:cs="Segoe UI"/>
                <w:sz w:val="22"/>
                <w:szCs w:val="22"/>
                <w:lang w:eastAsia="ar-SA"/>
              </w:rPr>
              <w:t>STC</w:t>
            </w:r>
            <w:r w:rsidRPr="00777395">
              <w:rPr>
                <w:rFonts w:eastAsia="細明體" w:cs="Segoe UI" w:hint="eastAsia"/>
                <w:sz w:val="22"/>
                <w:szCs w:val="22"/>
                <w:lang w:eastAsia="ar-SA"/>
              </w:rPr>
              <w:t>計算法</w:t>
            </w:r>
            <w:r w:rsidRPr="00777395">
              <w:rPr>
                <w:rFonts w:eastAsia="細明體" w:cs="Segoe UI"/>
                <w:sz w:val="22"/>
                <w:szCs w:val="22"/>
                <w:lang w:eastAsia="ar-SA"/>
              </w:rPr>
              <w:t>或</w:t>
            </w:r>
            <w:r w:rsidRPr="00777395">
              <w:rPr>
                <w:rFonts w:eastAsia="細明體" w:cs="Segoe UI"/>
                <w:sz w:val="22"/>
                <w:szCs w:val="22"/>
                <w:lang w:eastAsia="ar-SA"/>
              </w:rPr>
              <w:t>BSC</w:t>
            </w:r>
            <w:r w:rsidRPr="00777395">
              <w:rPr>
                <w:rFonts w:eastAsia="細明體" w:cs="Segoe UI" w:hint="eastAsia"/>
                <w:sz w:val="22"/>
                <w:szCs w:val="22"/>
                <w:lang w:eastAsia="ar-SA"/>
              </w:rPr>
              <w:t>計算法</w:t>
            </w:r>
          </w:p>
          <w:p w14:paraId="093C2640" w14:textId="285A5B31" w:rsidR="00804069" w:rsidRPr="00777395" w:rsidRDefault="00804069" w:rsidP="00D361A3">
            <w:pPr>
              <w:suppressAutoHyphens/>
              <w:rPr>
                <w:rFonts w:eastAsia="細明體" w:cs="Segoe UI"/>
                <w:sz w:val="22"/>
                <w:szCs w:val="22"/>
                <w:lang w:eastAsia="ar-SA"/>
              </w:rPr>
            </w:pPr>
          </w:p>
        </w:tc>
        <w:tc>
          <w:tcPr>
            <w:tcW w:w="1701" w:type="dxa"/>
            <w:tcBorders>
              <w:top w:val="single" w:sz="4" w:space="0" w:color="000000"/>
              <w:left w:val="single" w:sz="8" w:space="0" w:color="000000"/>
              <w:bottom w:val="single" w:sz="4" w:space="0" w:color="000000"/>
            </w:tcBorders>
            <w:shd w:val="clear" w:color="auto" w:fill="auto"/>
          </w:tcPr>
          <w:p w14:paraId="63941760" w14:textId="77777777" w:rsidR="00804069" w:rsidRPr="00777395" w:rsidRDefault="00804069"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p>
          <w:p w14:paraId="4351AB92" w14:textId="77777777" w:rsidR="00804069" w:rsidRPr="00777395" w:rsidRDefault="00804069" w:rsidP="00EB0F03">
            <w:pPr>
              <w:suppressAutoHyphens/>
              <w:jc w:val="center"/>
              <w:rPr>
                <w:rFonts w:ascii="Wingdings 2" w:hAnsi="Wingdings 2" w:cs="Wingdings 2"/>
                <w:sz w:val="22"/>
                <w:szCs w:val="22"/>
                <w:lang w:eastAsia="ar-SA"/>
              </w:rPr>
            </w:pPr>
            <w:r w:rsidRPr="00777395">
              <w:rPr>
                <w:rFonts w:eastAsia="新細明體" w:cs="Segoe UI" w:hint="eastAsia"/>
                <w:sz w:val="22"/>
                <w:szCs w:val="22"/>
                <w:lang w:eastAsia="zh-TW"/>
              </w:rPr>
              <w:t>[</w:t>
            </w:r>
            <w:r w:rsidRPr="00777395">
              <w:rPr>
                <w:rFonts w:eastAsia="細明體" w:cs="Segoe UI"/>
                <w:sz w:val="22"/>
                <w:szCs w:val="22"/>
                <w:lang w:eastAsia="ar-SA"/>
              </w:rPr>
              <w:t>STC</w:t>
            </w:r>
            <w:r w:rsidRPr="00777395">
              <w:rPr>
                <w:rFonts w:eastAsia="細明體" w:cs="Segoe UI" w:hint="eastAsia"/>
                <w:sz w:val="22"/>
                <w:szCs w:val="22"/>
                <w:lang w:eastAsia="ar-SA"/>
              </w:rPr>
              <w:t>；</w:t>
            </w:r>
            <w:r w:rsidRPr="00777395">
              <w:rPr>
                <w:rFonts w:eastAsia="細明體" w:cs="Segoe UI"/>
                <w:sz w:val="22"/>
                <w:szCs w:val="22"/>
                <w:lang w:eastAsia="ar-SA"/>
              </w:rPr>
              <w:t>BSC]</w:t>
            </w:r>
          </w:p>
        </w:tc>
        <w:tc>
          <w:tcPr>
            <w:tcW w:w="992" w:type="dxa"/>
            <w:tcBorders>
              <w:top w:val="single" w:sz="4" w:space="0" w:color="000000"/>
              <w:left w:val="single" w:sz="8" w:space="0" w:color="000000"/>
              <w:bottom w:val="single" w:sz="4" w:space="0" w:color="000000"/>
            </w:tcBorders>
            <w:shd w:val="clear" w:color="auto" w:fill="auto"/>
          </w:tcPr>
          <w:p w14:paraId="2F2FD6E2"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59536395"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6F202FE8"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40DABCE2"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228D0FA2" w14:textId="77777777" w:rsidR="00804069" w:rsidRPr="00777395" w:rsidRDefault="00804069" w:rsidP="00EB0F03">
            <w:pPr>
              <w:suppressAutoHyphens/>
              <w:snapToGrid w:val="0"/>
              <w:jc w:val="center"/>
              <w:rPr>
                <w:rFonts w:eastAsia="細明體" w:cs="Segoe UI"/>
                <w:sz w:val="22"/>
                <w:szCs w:val="22"/>
                <w:lang w:eastAsia="ar-SA"/>
              </w:rPr>
            </w:pPr>
          </w:p>
        </w:tc>
      </w:tr>
      <w:tr w:rsidR="00804069" w:rsidRPr="00777395" w14:paraId="6499FFA2" w14:textId="77777777" w:rsidTr="00804069">
        <w:trPr>
          <w:cantSplit/>
          <w:trHeight w:val="283"/>
        </w:trPr>
        <w:tc>
          <w:tcPr>
            <w:tcW w:w="2127" w:type="dxa"/>
            <w:vMerge/>
            <w:tcBorders>
              <w:bottom w:val="single" w:sz="4" w:space="0" w:color="auto"/>
            </w:tcBorders>
            <w:shd w:val="clear" w:color="auto" w:fill="auto"/>
          </w:tcPr>
          <w:p w14:paraId="6B2D190A" w14:textId="77777777" w:rsidR="00804069" w:rsidRPr="00777395" w:rsidRDefault="00804069"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auto"/>
            </w:tcBorders>
            <w:shd w:val="clear" w:color="auto" w:fill="auto"/>
          </w:tcPr>
          <w:p w14:paraId="3C2676F0" w14:textId="687DBF43"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CCR4</w:t>
            </w:r>
            <w:r w:rsidRPr="00777395">
              <w:rPr>
                <w:rFonts w:eastAsia="細明體" w:cs="Segoe UI" w:hint="eastAsia"/>
                <w:sz w:val="22"/>
                <w:szCs w:val="22"/>
                <w:lang w:eastAsia="ar-SA"/>
              </w:rPr>
              <w:t>：按組合及違責或然率</w:t>
            </w:r>
            <w:r w:rsidRPr="00777395">
              <w:rPr>
                <w:rFonts w:eastAsia="細明體" w:cs="Segoe UI" w:hint="eastAsia"/>
                <w:color w:val="000000"/>
                <w:sz w:val="22"/>
                <w:szCs w:val="22"/>
                <w:lang w:eastAsia="ar-SA"/>
              </w:rPr>
              <w:t>等級劃分</w:t>
            </w:r>
            <w:r w:rsidRPr="00777395">
              <w:rPr>
                <w:rFonts w:eastAsia="細明體" w:cs="Segoe UI" w:hint="eastAsia"/>
                <w:sz w:val="22"/>
                <w:szCs w:val="22"/>
                <w:lang w:eastAsia="ar-SA"/>
              </w:rPr>
              <w:t>的對手方信用風險承擔（</w:t>
            </w:r>
            <w:r w:rsidRPr="00777395">
              <w:rPr>
                <w:rFonts w:eastAsia="細明體" w:cs="Segoe UI" w:hint="eastAsia"/>
                <w:color w:val="000000"/>
                <w:sz w:val="22"/>
                <w:szCs w:val="22"/>
                <w:lang w:eastAsia="ar-SA"/>
              </w:rPr>
              <w:t>對中央交易對手方的風險承擔除外</w:t>
            </w:r>
            <w:r w:rsidRPr="00777395">
              <w:rPr>
                <w:rFonts w:eastAsia="細明體" w:cs="Segoe UI" w:hint="eastAsia"/>
                <w:sz w:val="22"/>
                <w:szCs w:val="22"/>
                <w:lang w:eastAsia="ar-SA"/>
              </w:rPr>
              <w:t>）</w:t>
            </w:r>
            <w:r w:rsidRPr="00777395">
              <w:rPr>
                <w:rFonts w:ascii="細明體" w:eastAsia="細明體" w:hAnsi="細明體" w:cs="細明體" w:hint="eastAsia"/>
                <w:sz w:val="22"/>
                <w:szCs w:val="22"/>
                <w:lang w:eastAsia="ar-SA"/>
              </w:rPr>
              <w:t>──</w:t>
            </w:r>
            <w:r w:rsidRPr="00777395">
              <w:rPr>
                <w:rFonts w:eastAsia="細明體" w:cs="Segoe UI"/>
                <w:sz w:val="22"/>
                <w:szCs w:val="22"/>
                <w:lang w:eastAsia="ar-SA"/>
              </w:rPr>
              <w:t>IRB</w:t>
            </w:r>
            <w:r w:rsidRPr="00777395">
              <w:rPr>
                <w:rFonts w:eastAsia="細明體" w:cs="Segoe UI" w:hint="eastAsia"/>
                <w:sz w:val="22"/>
                <w:szCs w:val="22"/>
                <w:lang w:eastAsia="ar-SA"/>
              </w:rPr>
              <w:t>計算法</w:t>
            </w:r>
          </w:p>
        </w:tc>
        <w:tc>
          <w:tcPr>
            <w:tcW w:w="1701" w:type="dxa"/>
            <w:tcBorders>
              <w:top w:val="single" w:sz="4" w:space="0" w:color="000000"/>
              <w:left w:val="single" w:sz="8" w:space="0" w:color="000000"/>
              <w:bottom w:val="single" w:sz="4" w:space="0" w:color="auto"/>
            </w:tcBorders>
            <w:shd w:val="clear" w:color="auto" w:fill="auto"/>
          </w:tcPr>
          <w:p w14:paraId="2AADBB04" w14:textId="77777777" w:rsidR="00804069" w:rsidRPr="00777395" w:rsidRDefault="00804069"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IRB]</w:t>
            </w:r>
          </w:p>
        </w:tc>
        <w:tc>
          <w:tcPr>
            <w:tcW w:w="992" w:type="dxa"/>
            <w:tcBorders>
              <w:top w:val="single" w:sz="4" w:space="0" w:color="000000"/>
              <w:left w:val="single" w:sz="8" w:space="0" w:color="000000"/>
              <w:bottom w:val="single" w:sz="4" w:space="0" w:color="auto"/>
            </w:tcBorders>
            <w:shd w:val="clear" w:color="auto" w:fill="auto"/>
          </w:tcPr>
          <w:p w14:paraId="65EC5C85"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auto"/>
            </w:tcBorders>
            <w:shd w:val="clear" w:color="auto" w:fill="auto"/>
          </w:tcPr>
          <w:p w14:paraId="37A652E0"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auto"/>
            </w:tcBorders>
            <w:shd w:val="clear" w:color="auto" w:fill="auto"/>
          </w:tcPr>
          <w:p w14:paraId="02C63F2F"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auto"/>
            </w:tcBorders>
            <w:shd w:val="clear" w:color="auto" w:fill="auto"/>
          </w:tcPr>
          <w:p w14:paraId="0A729F75"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auto"/>
              <w:right w:val="single" w:sz="8" w:space="0" w:color="000000"/>
            </w:tcBorders>
            <w:shd w:val="clear" w:color="auto" w:fill="auto"/>
          </w:tcPr>
          <w:p w14:paraId="6A5BF384" w14:textId="77777777" w:rsidR="00804069" w:rsidRPr="00777395" w:rsidRDefault="00804069" w:rsidP="00EB0F03">
            <w:pPr>
              <w:suppressAutoHyphens/>
              <w:snapToGrid w:val="0"/>
              <w:jc w:val="center"/>
              <w:rPr>
                <w:rFonts w:eastAsia="細明體" w:cs="Segoe UI"/>
                <w:sz w:val="22"/>
                <w:szCs w:val="22"/>
                <w:lang w:eastAsia="ar-SA"/>
              </w:rPr>
            </w:pPr>
          </w:p>
        </w:tc>
      </w:tr>
      <w:tr w:rsidR="00804069" w:rsidRPr="00777395" w14:paraId="2959116B" w14:textId="77777777" w:rsidTr="00804069">
        <w:trPr>
          <w:cantSplit/>
          <w:trHeight w:val="283"/>
        </w:trPr>
        <w:tc>
          <w:tcPr>
            <w:tcW w:w="2127" w:type="dxa"/>
            <w:vMerge/>
            <w:tcBorders>
              <w:top w:val="single" w:sz="4" w:space="0" w:color="auto"/>
            </w:tcBorders>
            <w:shd w:val="clear" w:color="auto" w:fill="auto"/>
          </w:tcPr>
          <w:p w14:paraId="02F0E1F7" w14:textId="77777777" w:rsidR="00804069" w:rsidRPr="00777395" w:rsidRDefault="00804069" w:rsidP="00EB0F03">
            <w:pPr>
              <w:suppressAutoHyphens/>
              <w:snapToGrid w:val="0"/>
              <w:rPr>
                <w:rFonts w:eastAsia="細明體" w:cs="Segoe UI"/>
                <w:lang w:eastAsia="ar-SA"/>
              </w:rPr>
            </w:pPr>
          </w:p>
        </w:tc>
        <w:tc>
          <w:tcPr>
            <w:tcW w:w="4819" w:type="dxa"/>
            <w:tcBorders>
              <w:top w:val="single" w:sz="4" w:space="0" w:color="auto"/>
              <w:left w:val="single" w:sz="8" w:space="0" w:color="000000"/>
              <w:bottom w:val="single" w:sz="4" w:space="0" w:color="000000"/>
            </w:tcBorders>
            <w:shd w:val="clear" w:color="auto" w:fill="auto"/>
          </w:tcPr>
          <w:p w14:paraId="6E197AB9" w14:textId="3CD78068"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CCR5</w:t>
            </w:r>
            <w:r w:rsidRPr="00777395">
              <w:rPr>
                <w:rFonts w:eastAsia="細明體" w:cs="Segoe UI" w:hint="eastAsia"/>
                <w:sz w:val="22"/>
                <w:szCs w:val="22"/>
                <w:lang w:eastAsia="ar-SA"/>
              </w:rPr>
              <w:t>：</w:t>
            </w:r>
            <w:r w:rsidRPr="00777395">
              <w:rPr>
                <w:rFonts w:eastAsia="細明體" w:cs="Segoe UI" w:hint="eastAsia"/>
                <w:color w:val="000000"/>
                <w:sz w:val="22"/>
                <w:szCs w:val="22"/>
                <w:lang w:eastAsia="ar-SA"/>
              </w:rPr>
              <w:t>作為</w:t>
            </w:r>
            <w:r w:rsidRPr="00777395">
              <w:rPr>
                <w:rFonts w:eastAsia="細明體" w:cs="Segoe UI" w:hint="eastAsia"/>
                <w:sz w:val="22"/>
                <w:szCs w:val="22"/>
                <w:lang w:eastAsia="ar-SA"/>
              </w:rPr>
              <w:t>對手方信用風險承擔（包括經中央交易對手方結算的合約或交易者）的抵押品組成</w:t>
            </w:r>
          </w:p>
        </w:tc>
        <w:tc>
          <w:tcPr>
            <w:tcW w:w="1701" w:type="dxa"/>
            <w:tcBorders>
              <w:top w:val="single" w:sz="4" w:space="0" w:color="auto"/>
              <w:left w:val="single" w:sz="8" w:space="0" w:color="000000"/>
              <w:bottom w:val="single" w:sz="4" w:space="0" w:color="000000"/>
            </w:tcBorders>
            <w:shd w:val="clear" w:color="auto" w:fill="auto"/>
          </w:tcPr>
          <w:p w14:paraId="6285FBAD" w14:textId="77777777" w:rsidR="00804069" w:rsidRPr="00777395" w:rsidRDefault="00804069"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4" w:space="0" w:color="auto"/>
              <w:left w:val="single" w:sz="8" w:space="0" w:color="000000"/>
              <w:bottom w:val="single" w:sz="4" w:space="0" w:color="000000"/>
            </w:tcBorders>
            <w:shd w:val="clear" w:color="auto" w:fill="auto"/>
          </w:tcPr>
          <w:p w14:paraId="4914FEFA" w14:textId="77777777" w:rsidR="00804069" w:rsidRPr="00777395" w:rsidRDefault="00804069" w:rsidP="00EB0F03">
            <w:pPr>
              <w:suppressAutoHyphens/>
              <w:snapToGrid w:val="0"/>
              <w:jc w:val="center"/>
              <w:rPr>
                <w:rFonts w:eastAsia="細明體" w:cs="Segoe UI"/>
                <w:sz w:val="22"/>
                <w:szCs w:val="22"/>
                <w:lang w:eastAsia="ar-SA"/>
              </w:rPr>
            </w:pPr>
          </w:p>
        </w:tc>
        <w:tc>
          <w:tcPr>
            <w:tcW w:w="992" w:type="dxa"/>
            <w:tcBorders>
              <w:top w:val="single" w:sz="4" w:space="0" w:color="auto"/>
              <w:left w:val="single" w:sz="4" w:space="0" w:color="000000"/>
              <w:bottom w:val="single" w:sz="4" w:space="0" w:color="000000"/>
            </w:tcBorders>
            <w:shd w:val="clear" w:color="auto" w:fill="auto"/>
          </w:tcPr>
          <w:p w14:paraId="4586A293" w14:textId="77777777" w:rsidR="00804069" w:rsidRPr="00777395" w:rsidRDefault="00804069" w:rsidP="00EB0F03">
            <w:pPr>
              <w:suppressAutoHyphens/>
              <w:ind w:right="-108"/>
              <w:jc w:val="center"/>
              <w:rPr>
                <w:rFonts w:eastAsia="細明體" w:cs="Segoe UI"/>
                <w:sz w:val="22"/>
                <w:szCs w:val="22"/>
                <w:lang w:eastAsia="ar-SA"/>
              </w:rPr>
            </w:pPr>
            <w:r w:rsidRPr="00777395">
              <w:rPr>
                <w:rFonts w:ascii="Wingdings 2" w:hAnsi="Wingdings 2" w:cs="Wingdings 2"/>
                <w:sz w:val="22"/>
                <w:szCs w:val="22"/>
                <w:lang w:eastAsia="ar-SA"/>
              </w:rPr>
              <w:t></w:t>
            </w:r>
            <w:r w:rsidRPr="00777395">
              <w:rPr>
                <w:rFonts w:eastAsia="細明體" w:cs="Segoe UI" w:hint="eastAsia"/>
                <w:sz w:val="22"/>
                <w:szCs w:val="22"/>
                <w:lang w:eastAsia="ar-SA"/>
              </w:rPr>
              <w:t xml:space="preserve"> </w:t>
            </w:r>
            <w:r w:rsidRPr="00777395">
              <w:rPr>
                <w:rFonts w:eastAsia="細明體" w:cs="Segoe UI" w:hint="eastAsia"/>
                <w:sz w:val="22"/>
                <w:szCs w:val="22"/>
                <w:lang w:eastAsia="ar-SA"/>
              </w:rPr>
              <w:t>（固定欄、非固定行）</w:t>
            </w:r>
          </w:p>
        </w:tc>
        <w:tc>
          <w:tcPr>
            <w:tcW w:w="1276" w:type="dxa"/>
            <w:tcBorders>
              <w:top w:val="single" w:sz="4" w:space="0" w:color="auto"/>
              <w:left w:val="single" w:sz="8" w:space="0" w:color="000000"/>
              <w:bottom w:val="single" w:sz="4" w:space="0" w:color="000000"/>
            </w:tcBorders>
            <w:shd w:val="clear" w:color="auto" w:fill="auto"/>
          </w:tcPr>
          <w:p w14:paraId="5917AE81"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auto"/>
              <w:left w:val="single" w:sz="4" w:space="0" w:color="000000"/>
              <w:bottom w:val="single" w:sz="4" w:space="0" w:color="000000"/>
            </w:tcBorders>
            <w:shd w:val="clear" w:color="auto" w:fill="auto"/>
          </w:tcPr>
          <w:p w14:paraId="7C8E612D"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auto"/>
              <w:left w:val="single" w:sz="4" w:space="0" w:color="000000"/>
              <w:bottom w:val="single" w:sz="4" w:space="0" w:color="000000"/>
              <w:right w:val="single" w:sz="8" w:space="0" w:color="000000"/>
            </w:tcBorders>
            <w:shd w:val="clear" w:color="auto" w:fill="auto"/>
          </w:tcPr>
          <w:p w14:paraId="7D330523" w14:textId="77777777" w:rsidR="00804069" w:rsidRPr="00777395" w:rsidRDefault="00804069" w:rsidP="00EB0F03">
            <w:pPr>
              <w:suppressAutoHyphens/>
              <w:snapToGrid w:val="0"/>
              <w:jc w:val="center"/>
              <w:rPr>
                <w:rFonts w:eastAsia="細明體" w:cs="Segoe UI"/>
                <w:sz w:val="22"/>
                <w:szCs w:val="22"/>
                <w:lang w:eastAsia="ar-SA"/>
              </w:rPr>
            </w:pPr>
          </w:p>
        </w:tc>
      </w:tr>
      <w:tr w:rsidR="00804069" w:rsidRPr="00777395" w14:paraId="17F08D3B" w14:textId="77777777" w:rsidTr="009C1B9D">
        <w:trPr>
          <w:cantSplit/>
          <w:trHeight w:val="283"/>
        </w:trPr>
        <w:tc>
          <w:tcPr>
            <w:tcW w:w="2127" w:type="dxa"/>
            <w:vMerge/>
            <w:shd w:val="clear" w:color="auto" w:fill="auto"/>
          </w:tcPr>
          <w:p w14:paraId="58FDF988" w14:textId="77777777" w:rsidR="00804069" w:rsidRPr="00777395" w:rsidRDefault="00804069"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225AB112" w14:textId="77777777"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CCR6</w:t>
            </w:r>
            <w:r w:rsidRPr="00777395">
              <w:rPr>
                <w:rFonts w:eastAsia="細明體" w:cs="Segoe UI" w:hint="eastAsia"/>
                <w:sz w:val="22"/>
                <w:szCs w:val="22"/>
                <w:lang w:eastAsia="ar-SA"/>
              </w:rPr>
              <w:t>：信用相關衍生工具合約</w:t>
            </w:r>
          </w:p>
        </w:tc>
        <w:tc>
          <w:tcPr>
            <w:tcW w:w="1701" w:type="dxa"/>
            <w:tcBorders>
              <w:top w:val="single" w:sz="4" w:space="0" w:color="000000"/>
              <w:left w:val="single" w:sz="8" w:space="0" w:color="000000"/>
              <w:bottom w:val="single" w:sz="4" w:space="0" w:color="000000"/>
            </w:tcBorders>
            <w:shd w:val="clear" w:color="auto" w:fill="auto"/>
          </w:tcPr>
          <w:p w14:paraId="0C47D124" w14:textId="77777777" w:rsidR="00804069" w:rsidRPr="00777395" w:rsidRDefault="00804069"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3A2EFE23" w14:textId="77777777" w:rsidR="00804069" w:rsidRPr="00777395" w:rsidRDefault="00804069"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37D85710"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0190CC32"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2AF6434D"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4480B019" w14:textId="77777777" w:rsidR="00804069" w:rsidRPr="00777395" w:rsidRDefault="00804069" w:rsidP="00EB0F03">
            <w:pPr>
              <w:suppressAutoHyphens/>
              <w:snapToGrid w:val="0"/>
              <w:jc w:val="center"/>
              <w:rPr>
                <w:rFonts w:eastAsia="細明體" w:cs="Segoe UI"/>
                <w:sz w:val="22"/>
                <w:szCs w:val="22"/>
                <w:lang w:eastAsia="ar-SA"/>
              </w:rPr>
            </w:pPr>
          </w:p>
        </w:tc>
      </w:tr>
      <w:tr w:rsidR="00804069" w:rsidRPr="00777395" w14:paraId="7BB06C6B" w14:textId="77777777" w:rsidTr="009C1B9D">
        <w:trPr>
          <w:cantSplit/>
          <w:trHeight w:val="283"/>
        </w:trPr>
        <w:tc>
          <w:tcPr>
            <w:tcW w:w="2127" w:type="dxa"/>
            <w:vMerge/>
            <w:shd w:val="clear" w:color="auto" w:fill="auto"/>
          </w:tcPr>
          <w:p w14:paraId="0266E003" w14:textId="77777777" w:rsidR="00804069" w:rsidRPr="00777395" w:rsidRDefault="00804069"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3FAC82D2" w14:textId="77777777"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CCR7</w:t>
            </w:r>
            <w:r w:rsidRPr="00777395">
              <w:rPr>
                <w:rFonts w:eastAsia="細明體" w:cs="Segoe UI" w:hint="eastAsia"/>
                <w:sz w:val="22"/>
                <w:szCs w:val="22"/>
                <w:lang w:eastAsia="ar-SA"/>
              </w:rPr>
              <w:t>：在</w:t>
            </w:r>
            <w:r w:rsidRPr="00777395">
              <w:rPr>
                <w:rFonts w:eastAsia="細明體" w:cs="Segoe UI"/>
                <w:sz w:val="22"/>
                <w:szCs w:val="22"/>
                <w:lang w:eastAsia="ar-SA"/>
              </w:rPr>
              <w:t>IMM(CCR)</w:t>
            </w:r>
            <w:r w:rsidRPr="00777395">
              <w:rPr>
                <w:rFonts w:eastAsia="細明體" w:cs="Segoe UI" w:hint="eastAsia"/>
                <w:sz w:val="22"/>
                <w:szCs w:val="22"/>
                <w:lang w:eastAsia="ar-SA"/>
              </w:rPr>
              <w:t>計算法下違責風險的風險承擔的風險加權數額流動表</w:t>
            </w:r>
          </w:p>
        </w:tc>
        <w:tc>
          <w:tcPr>
            <w:tcW w:w="1701" w:type="dxa"/>
            <w:tcBorders>
              <w:top w:val="single" w:sz="4" w:space="0" w:color="000000"/>
              <w:left w:val="single" w:sz="8" w:space="0" w:color="000000"/>
              <w:bottom w:val="single" w:sz="4" w:space="0" w:color="000000"/>
            </w:tcBorders>
            <w:shd w:val="clear" w:color="auto" w:fill="auto"/>
          </w:tcPr>
          <w:p w14:paraId="582380D1" w14:textId="77777777" w:rsidR="00804069" w:rsidRPr="00777395" w:rsidRDefault="00804069"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r w:rsidRPr="00777395">
              <w:rPr>
                <w:rFonts w:eastAsia="新細明體" w:cs="Segoe UI" w:hint="eastAsia"/>
                <w:sz w:val="22"/>
                <w:szCs w:val="22"/>
                <w:lang w:eastAsia="zh-TW"/>
              </w:rPr>
              <w:t xml:space="preserve"> [</w:t>
            </w:r>
            <w:r w:rsidRPr="00777395">
              <w:rPr>
                <w:rFonts w:eastAsia="細明體" w:cs="Segoe UI"/>
                <w:sz w:val="22"/>
                <w:szCs w:val="22"/>
                <w:lang w:eastAsia="ar-SA"/>
              </w:rPr>
              <w:t>IMM(CCR)]</w:t>
            </w:r>
          </w:p>
        </w:tc>
        <w:tc>
          <w:tcPr>
            <w:tcW w:w="992" w:type="dxa"/>
            <w:tcBorders>
              <w:top w:val="single" w:sz="4" w:space="0" w:color="000000"/>
              <w:left w:val="single" w:sz="8" w:space="0" w:color="000000"/>
              <w:bottom w:val="single" w:sz="4" w:space="0" w:color="000000"/>
            </w:tcBorders>
            <w:shd w:val="clear" w:color="auto" w:fill="auto"/>
          </w:tcPr>
          <w:p w14:paraId="6511AA30"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71BAF297"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2BF96E10"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4" w:space="0" w:color="000000"/>
              <w:bottom w:val="single" w:sz="4" w:space="0" w:color="000000"/>
            </w:tcBorders>
            <w:shd w:val="clear" w:color="auto" w:fill="auto"/>
          </w:tcPr>
          <w:p w14:paraId="1B00222C" w14:textId="77777777" w:rsidR="00804069" w:rsidRPr="00777395" w:rsidRDefault="00804069" w:rsidP="00EB0F0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F2BBAF6" w14:textId="77777777" w:rsidR="00804069" w:rsidRPr="00777395" w:rsidRDefault="00804069" w:rsidP="00EB0F03">
            <w:pPr>
              <w:suppressAutoHyphens/>
              <w:snapToGrid w:val="0"/>
              <w:jc w:val="center"/>
              <w:rPr>
                <w:rFonts w:eastAsia="細明體" w:cs="Segoe UI"/>
                <w:sz w:val="22"/>
                <w:szCs w:val="22"/>
                <w:lang w:eastAsia="ar-SA"/>
              </w:rPr>
            </w:pPr>
          </w:p>
        </w:tc>
      </w:tr>
      <w:tr w:rsidR="00804069" w:rsidRPr="00777395" w14:paraId="5518A20A" w14:textId="77777777" w:rsidTr="009C1B9D">
        <w:trPr>
          <w:cantSplit/>
          <w:trHeight w:val="283"/>
        </w:trPr>
        <w:tc>
          <w:tcPr>
            <w:tcW w:w="2127" w:type="dxa"/>
            <w:vMerge/>
            <w:tcBorders>
              <w:bottom w:val="single" w:sz="8" w:space="0" w:color="000000"/>
            </w:tcBorders>
            <w:shd w:val="clear" w:color="auto" w:fill="auto"/>
          </w:tcPr>
          <w:p w14:paraId="3A3C4B38" w14:textId="77777777" w:rsidR="00804069" w:rsidRPr="00777395" w:rsidRDefault="00804069"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8" w:space="0" w:color="000000"/>
            </w:tcBorders>
            <w:shd w:val="clear" w:color="auto" w:fill="auto"/>
          </w:tcPr>
          <w:p w14:paraId="361E710C" w14:textId="77777777" w:rsidR="00804069" w:rsidRPr="00777395" w:rsidRDefault="00804069"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CCR8</w:t>
            </w:r>
            <w:r w:rsidRPr="00777395">
              <w:rPr>
                <w:rFonts w:eastAsia="細明體" w:cs="Segoe UI" w:hint="eastAsia"/>
                <w:sz w:val="22"/>
                <w:szCs w:val="22"/>
                <w:lang w:eastAsia="ar-SA"/>
              </w:rPr>
              <w:t>：對中央交易對手方的風險承擔</w:t>
            </w:r>
          </w:p>
        </w:tc>
        <w:tc>
          <w:tcPr>
            <w:tcW w:w="1701" w:type="dxa"/>
            <w:tcBorders>
              <w:top w:val="single" w:sz="4" w:space="0" w:color="000000"/>
              <w:left w:val="single" w:sz="8" w:space="0" w:color="000000"/>
              <w:bottom w:val="single" w:sz="8" w:space="0" w:color="000000"/>
            </w:tcBorders>
            <w:shd w:val="clear" w:color="auto" w:fill="auto"/>
          </w:tcPr>
          <w:p w14:paraId="48E39AB2" w14:textId="77777777" w:rsidR="00804069" w:rsidRPr="00777395" w:rsidRDefault="00804069"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8" w:space="0" w:color="000000"/>
            </w:tcBorders>
            <w:shd w:val="clear" w:color="auto" w:fill="auto"/>
          </w:tcPr>
          <w:p w14:paraId="5EB2877D"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8" w:space="0" w:color="000000"/>
            </w:tcBorders>
            <w:shd w:val="clear" w:color="auto" w:fill="auto"/>
          </w:tcPr>
          <w:p w14:paraId="0204A4AD" w14:textId="77777777" w:rsidR="00804069" w:rsidRPr="00777395" w:rsidRDefault="00804069" w:rsidP="00EB0F03">
            <w:pPr>
              <w:suppressAutoHyphens/>
              <w:snapToGrid w:val="0"/>
              <w:rPr>
                <w:rFonts w:eastAsia="細明體" w:cs="Segoe UI"/>
                <w:sz w:val="22"/>
                <w:szCs w:val="22"/>
                <w:lang w:eastAsia="ar-SA"/>
              </w:rPr>
            </w:pPr>
          </w:p>
        </w:tc>
        <w:tc>
          <w:tcPr>
            <w:tcW w:w="1276" w:type="dxa"/>
            <w:tcBorders>
              <w:top w:val="single" w:sz="4" w:space="0" w:color="000000"/>
              <w:left w:val="single" w:sz="8" w:space="0" w:color="000000"/>
              <w:bottom w:val="single" w:sz="8" w:space="0" w:color="000000"/>
            </w:tcBorders>
            <w:shd w:val="clear" w:color="auto" w:fill="auto"/>
          </w:tcPr>
          <w:p w14:paraId="072E214C" w14:textId="77777777" w:rsidR="00804069" w:rsidRPr="00777395" w:rsidRDefault="00804069"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8" w:space="0" w:color="000000"/>
            </w:tcBorders>
            <w:shd w:val="clear" w:color="auto" w:fill="auto"/>
          </w:tcPr>
          <w:p w14:paraId="0FC006AE" w14:textId="77777777" w:rsidR="00804069" w:rsidRPr="00777395" w:rsidRDefault="00804069"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8" w:space="0" w:color="000000"/>
              <w:right w:val="single" w:sz="8" w:space="0" w:color="000000"/>
            </w:tcBorders>
            <w:shd w:val="clear" w:color="auto" w:fill="auto"/>
          </w:tcPr>
          <w:p w14:paraId="54CCEFCE" w14:textId="77777777" w:rsidR="00804069" w:rsidRPr="00777395" w:rsidRDefault="00804069" w:rsidP="00EB0F03">
            <w:pPr>
              <w:suppressAutoHyphens/>
              <w:snapToGrid w:val="0"/>
              <w:rPr>
                <w:rFonts w:eastAsia="細明體" w:cs="Segoe UI"/>
                <w:sz w:val="22"/>
                <w:szCs w:val="22"/>
                <w:lang w:eastAsia="ar-SA"/>
              </w:rPr>
            </w:pPr>
          </w:p>
        </w:tc>
      </w:tr>
      <w:tr w:rsidR="00EB0F03" w:rsidRPr="00777395" w14:paraId="0DB2C39C" w14:textId="77777777" w:rsidTr="00F8781E">
        <w:trPr>
          <w:cantSplit/>
          <w:trHeight w:val="283"/>
        </w:trPr>
        <w:tc>
          <w:tcPr>
            <w:tcW w:w="2127" w:type="dxa"/>
            <w:vMerge w:val="restart"/>
            <w:tcBorders>
              <w:top w:val="single" w:sz="8" w:space="0" w:color="000000"/>
              <w:right w:val="single" w:sz="8" w:space="0" w:color="000000"/>
            </w:tcBorders>
            <w:shd w:val="clear" w:color="auto" w:fill="auto"/>
          </w:tcPr>
          <w:p w14:paraId="2D0D46E1" w14:textId="77777777" w:rsidR="00EB0F03" w:rsidRPr="00777395" w:rsidRDefault="00EB0F03" w:rsidP="00EB0F03">
            <w:pPr>
              <w:suppressAutoHyphens/>
              <w:rPr>
                <w:rFonts w:eastAsia="細明體" w:cs="Segoe UI"/>
                <w:sz w:val="22"/>
                <w:szCs w:val="22"/>
                <w:lang w:eastAsia="ar-SA"/>
              </w:rPr>
            </w:pPr>
            <w:r w:rsidRPr="00C86CC1">
              <w:rPr>
                <w:rFonts w:eastAsia="細明體" w:cs="Segoe UI" w:hint="eastAsia"/>
                <w:sz w:val="22"/>
                <w:szCs w:val="22"/>
                <w:lang w:eastAsia="ar-SA"/>
              </w:rPr>
              <w:t>第</w:t>
            </w:r>
            <w:r w:rsidRPr="00C86CC1">
              <w:rPr>
                <w:rFonts w:eastAsia="細明體" w:cs="Segoe UI"/>
                <w:sz w:val="22"/>
                <w:szCs w:val="22"/>
                <w:lang w:eastAsia="ar-SA"/>
              </w:rPr>
              <w:t>IVA</w:t>
            </w:r>
            <w:r w:rsidRPr="00C86CC1">
              <w:rPr>
                <w:rFonts w:eastAsia="細明體" w:cs="Segoe UI" w:hint="eastAsia"/>
                <w:sz w:val="22"/>
                <w:szCs w:val="22"/>
                <w:lang w:eastAsia="ar-SA"/>
              </w:rPr>
              <w:t>部：</w:t>
            </w:r>
            <w:r w:rsidRPr="00C86CC1">
              <w:rPr>
                <w:rFonts w:eastAsia="細明體" w:cs="Segoe UI"/>
                <w:sz w:val="22"/>
                <w:szCs w:val="22"/>
                <w:lang w:eastAsia="ar-SA"/>
              </w:rPr>
              <w:t>CVA</w:t>
            </w:r>
            <w:r w:rsidRPr="00C86CC1">
              <w:rPr>
                <w:rFonts w:eastAsia="細明體" w:cs="Segoe UI" w:hint="eastAsia"/>
                <w:sz w:val="22"/>
                <w:szCs w:val="22"/>
                <w:lang w:eastAsia="ar-SA"/>
              </w:rPr>
              <w:t>風險</w:t>
            </w:r>
          </w:p>
        </w:tc>
        <w:tc>
          <w:tcPr>
            <w:tcW w:w="4819" w:type="dxa"/>
            <w:tcBorders>
              <w:top w:val="single" w:sz="8" w:space="0" w:color="000000"/>
              <w:left w:val="single" w:sz="8" w:space="0" w:color="000000"/>
              <w:bottom w:val="single" w:sz="2" w:space="0" w:color="000000"/>
              <w:right w:val="single" w:sz="8" w:space="0" w:color="000000"/>
            </w:tcBorders>
            <w:shd w:val="clear" w:color="auto" w:fill="auto"/>
          </w:tcPr>
          <w:p w14:paraId="7164F921" w14:textId="77777777" w:rsidR="00EB0F03" w:rsidRPr="00777395" w:rsidRDefault="00EB0F03" w:rsidP="00EB0F03">
            <w:pPr>
              <w:suppressAutoHyphens/>
              <w:rPr>
                <w:rFonts w:eastAsia="細明體" w:cs="Segoe UI"/>
                <w:sz w:val="22"/>
                <w:szCs w:val="22"/>
                <w:lang w:eastAsia="ar-SA"/>
              </w:rPr>
            </w:pPr>
            <w:r w:rsidRPr="00C86CC1">
              <w:rPr>
                <w:rFonts w:eastAsia="細明體" w:cs="Segoe UI" w:hint="eastAsia"/>
                <w:sz w:val="22"/>
                <w:szCs w:val="22"/>
                <w:lang w:eastAsia="ar-SA"/>
              </w:rPr>
              <w:t>表</w:t>
            </w:r>
            <w:r w:rsidRPr="00C86CC1">
              <w:rPr>
                <w:rFonts w:eastAsia="細明體" w:cs="Segoe UI"/>
                <w:sz w:val="22"/>
                <w:szCs w:val="22"/>
                <w:lang w:eastAsia="ar-SA"/>
              </w:rPr>
              <w:t>CVAA</w:t>
            </w:r>
            <w:r w:rsidRPr="00C86CC1">
              <w:rPr>
                <w:rFonts w:eastAsia="細明體" w:cs="Segoe UI" w:hint="eastAsia"/>
                <w:sz w:val="22"/>
                <w:szCs w:val="22"/>
                <w:lang w:eastAsia="ar-SA"/>
              </w:rPr>
              <w:t>：關於</w:t>
            </w:r>
            <w:r w:rsidRPr="00C86CC1">
              <w:rPr>
                <w:rFonts w:eastAsia="細明體" w:cs="Segoe UI"/>
                <w:sz w:val="22"/>
                <w:szCs w:val="22"/>
                <w:lang w:eastAsia="ar-SA"/>
              </w:rPr>
              <w:t>CVA</w:t>
            </w:r>
            <w:r w:rsidRPr="00C86CC1">
              <w:rPr>
                <w:rFonts w:eastAsia="細明體" w:cs="Segoe UI" w:hint="eastAsia"/>
                <w:sz w:val="22"/>
                <w:szCs w:val="22"/>
                <w:lang w:eastAsia="ar-SA"/>
              </w:rPr>
              <w:t>風險的描述披露</w:t>
            </w:r>
          </w:p>
        </w:tc>
        <w:tc>
          <w:tcPr>
            <w:tcW w:w="1701" w:type="dxa"/>
            <w:tcBorders>
              <w:top w:val="single" w:sz="8" w:space="0" w:color="000000"/>
              <w:left w:val="single" w:sz="8" w:space="0" w:color="000000"/>
              <w:bottom w:val="single" w:sz="2" w:space="0" w:color="000000"/>
            </w:tcBorders>
            <w:shd w:val="clear" w:color="auto" w:fill="auto"/>
          </w:tcPr>
          <w:p w14:paraId="49B66D8F"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p>
        </w:tc>
        <w:tc>
          <w:tcPr>
            <w:tcW w:w="992" w:type="dxa"/>
            <w:tcBorders>
              <w:top w:val="single" w:sz="8" w:space="0" w:color="000000"/>
              <w:left w:val="single" w:sz="8" w:space="0" w:color="000000"/>
              <w:bottom w:val="single" w:sz="2" w:space="0" w:color="000000"/>
            </w:tcBorders>
            <w:shd w:val="clear" w:color="auto" w:fill="auto"/>
          </w:tcPr>
          <w:p w14:paraId="7695E97A"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8" w:space="0" w:color="000000"/>
              <w:left w:val="single" w:sz="4" w:space="0" w:color="000000"/>
              <w:bottom w:val="single" w:sz="2" w:space="0" w:color="000000"/>
            </w:tcBorders>
            <w:shd w:val="clear" w:color="auto" w:fill="auto"/>
          </w:tcPr>
          <w:p w14:paraId="702AE80D" w14:textId="4F6CA156" w:rsidR="00EB0F03" w:rsidRPr="00777395" w:rsidRDefault="00100B71" w:rsidP="00EB0F03">
            <w:pPr>
              <w:suppressAutoHyphens/>
              <w:jc w:val="center"/>
              <w:rPr>
                <w:rFonts w:ascii="Wingdings 2" w:hAnsi="Wingdings 2" w:cs="Wingdings 2"/>
                <w:sz w:val="22"/>
                <w:szCs w:val="22"/>
                <w:lang w:eastAsia="ar-SA"/>
              </w:rPr>
            </w:pPr>
            <w:r w:rsidRPr="00777395">
              <w:rPr>
                <w:rFonts w:ascii="Wingdings 2" w:hAnsi="Wingdings 2" w:cs="Wingdings 2"/>
                <w:sz w:val="22"/>
                <w:szCs w:val="22"/>
                <w:lang w:eastAsia="ar-SA"/>
              </w:rPr>
              <w:t></w:t>
            </w:r>
          </w:p>
        </w:tc>
        <w:tc>
          <w:tcPr>
            <w:tcW w:w="1276" w:type="dxa"/>
            <w:tcBorders>
              <w:top w:val="single" w:sz="8" w:space="0" w:color="000000"/>
              <w:left w:val="single" w:sz="8" w:space="0" w:color="000000"/>
              <w:bottom w:val="single" w:sz="2" w:space="0" w:color="000000"/>
            </w:tcBorders>
            <w:shd w:val="clear" w:color="auto" w:fill="auto"/>
          </w:tcPr>
          <w:p w14:paraId="391528F1"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8" w:space="0" w:color="000000"/>
              <w:left w:val="single" w:sz="4" w:space="0" w:color="000000"/>
              <w:bottom w:val="single" w:sz="2" w:space="0" w:color="000000"/>
            </w:tcBorders>
            <w:shd w:val="clear" w:color="auto" w:fill="auto"/>
          </w:tcPr>
          <w:p w14:paraId="7BD086E1"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8" w:space="0" w:color="000000"/>
              <w:left w:val="single" w:sz="4" w:space="0" w:color="000000"/>
              <w:bottom w:val="single" w:sz="2" w:space="0" w:color="000000"/>
              <w:right w:val="single" w:sz="8" w:space="0" w:color="000000"/>
            </w:tcBorders>
            <w:shd w:val="clear" w:color="auto" w:fill="auto"/>
          </w:tcPr>
          <w:p w14:paraId="09D36412" w14:textId="5B5332AA" w:rsidR="00EB0F03" w:rsidRPr="00777395" w:rsidRDefault="00100B71" w:rsidP="00EB0F03">
            <w:pPr>
              <w:suppressAutoHyphens/>
              <w:jc w:val="center"/>
              <w:rPr>
                <w:rFonts w:ascii="Wingdings 2" w:hAnsi="Wingdings 2" w:cs="Wingdings 2"/>
                <w:sz w:val="22"/>
                <w:szCs w:val="22"/>
                <w:lang w:eastAsia="ar-SA"/>
              </w:rPr>
            </w:pPr>
            <w:r w:rsidRPr="00777395">
              <w:rPr>
                <w:rFonts w:ascii="Wingdings 2" w:hAnsi="Wingdings 2" w:cs="Wingdings 2"/>
                <w:sz w:val="22"/>
                <w:szCs w:val="22"/>
                <w:lang w:eastAsia="ar-SA"/>
              </w:rPr>
              <w:t></w:t>
            </w:r>
          </w:p>
        </w:tc>
      </w:tr>
      <w:tr w:rsidR="00EB0F03" w:rsidRPr="00777395" w14:paraId="3E2E2F5F" w14:textId="77777777" w:rsidTr="00F8781E">
        <w:trPr>
          <w:cantSplit/>
          <w:trHeight w:val="283"/>
        </w:trPr>
        <w:tc>
          <w:tcPr>
            <w:tcW w:w="2127" w:type="dxa"/>
            <w:vMerge/>
            <w:tcBorders>
              <w:right w:val="single" w:sz="8" w:space="0" w:color="000000"/>
            </w:tcBorders>
            <w:shd w:val="clear" w:color="auto" w:fill="auto"/>
          </w:tcPr>
          <w:p w14:paraId="1E06EC93" w14:textId="77777777" w:rsidR="00EB0F03" w:rsidRPr="00777395" w:rsidRDefault="00EB0F03" w:rsidP="00EB0F03">
            <w:pPr>
              <w:suppressAutoHyphens/>
              <w:rPr>
                <w:rFonts w:eastAsia="細明體" w:cs="Segoe UI"/>
                <w:sz w:val="22"/>
                <w:szCs w:val="22"/>
                <w:lang w:eastAsia="ar-SA"/>
              </w:rPr>
            </w:pPr>
          </w:p>
        </w:tc>
        <w:tc>
          <w:tcPr>
            <w:tcW w:w="4819" w:type="dxa"/>
            <w:tcBorders>
              <w:top w:val="single" w:sz="2" w:space="0" w:color="000000"/>
              <w:left w:val="single" w:sz="8" w:space="0" w:color="000000"/>
              <w:bottom w:val="single" w:sz="2" w:space="0" w:color="000000"/>
              <w:right w:val="single" w:sz="8" w:space="0" w:color="000000"/>
            </w:tcBorders>
            <w:shd w:val="clear" w:color="auto" w:fill="auto"/>
          </w:tcPr>
          <w:p w14:paraId="0AAE8006" w14:textId="77777777" w:rsidR="00EB0F03" w:rsidRPr="00777395" w:rsidRDefault="00EB0F03" w:rsidP="00EB0F03">
            <w:pPr>
              <w:suppressAutoHyphens/>
              <w:rPr>
                <w:rFonts w:eastAsia="細明體" w:cs="Segoe UI"/>
                <w:sz w:val="22"/>
                <w:szCs w:val="22"/>
                <w:lang w:eastAsia="ar-SA"/>
              </w:rPr>
            </w:pPr>
            <w:r w:rsidRPr="00C86CC1">
              <w:rPr>
                <w:rFonts w:eastAsia="細明體" w:cs="Segoe UI" w:hint="eastAsia"/>
                <w:sz w:val="22"/>
                <w:szCs w:val="22"/>
                <w:lang w:eastAsia="ar-SA"/>
              </w:rPr>
              <w:t>模版</w:t>
            </w:r>
            <w:r w:rsidRPr="00C86CC1">
              <w:rPr>
                <w:rFonts w:eastAsia="細明體" w:cs="Segoe UI"/>
                <w:sz w:val="22"/>
                <w:szCs w:val="22"/>
                <w:lang w:eastAsia="ar-SA"/>
              </w:rPr>
              <w:t>CVA1</w:t>
            </w:r>
            <w:r w:rsidRPr="00C86CC1">
              <w:rPr>
                <w:rFonts w:eastAsia="細明體" w:cs="Segoe UI" w:hint="eastAsia"/>
                <w:sz w:val="22"/>
                <w:szCs w:val="22"/>
                <w:lang w:eastAsia="ar-SA"/>
              </w:rPr>
              <w:t>：在簡化基本</w:t>
            </w:r>
            <w:r w:rsidRPr="00C86CC1">
              <w:rPr>
                <w:rFonts w:eastAsia="細明體" w:cs="Segoe UI"/>
                <w:sz w:val="22"/>
                <w:szCs w:val="22"/>
                <w:lang w:eastAsia="ar-SA"/>
              </w:rPr>
              <w:t>CVA</w:t>
            </w:r>
            <w:r w:rsidRPr="00C86CC1">
              <w:rPr>
                <w:rFonts w:eastAsia="細明體" w:cs="Segoe UI" w:hint="eastAsia"/>
                <w:sz w:val="22"/>
                <w:szCs w:val="22"/>
                <w:lang w:eastAsia="ar-SA"/>
              </w:rPr>
              <w:t>計算法下的</w:t>
            </w:r>
            <w:r w:rsidRPr="00C86CC1">
              <w:rPr>
                <w:rFonts w:eastAsia="細明體" w:cs="Segoe UI"/>
                <w:sz w:val="22"/>
                <w:szCs w:val="22"/>
                <w:lang w:eastAsia="ar-SA"/>
              </w:rPr>
              <w:t>CVA</w:t>
            </w:r>
            <w:r w:rsidRPr="00C86CC1">
              <w:rPr>
                <w:rFonts w:eastAsia="細明體" w:cs="Segoe UI" w:hint="eastAsia"/>
                <w:sz w:val="22"/>
                <w:szCs w:val="22"/>
                <w:lang w:eastAsia="ar-SA"/>
              </w:rPr>
              <w:t>風險</w:t>
            </w:r>
          </w:p>
        </w:tc>
        <w:tc>
          <w:tcPr>
            <w:tcW w:w="1701" w:type="dxa"/>
            <w:tcBorders>
              <w:top w:val="single" w:sz="2" w:space="0" w:color="000000"/>
              <w:left w:val="single" w:sz="8" w:space="0" w:color="000000"/>
              <w:bottom w:val="single" w:sz="2" w:space="0" w:color="000000"/>
            </w:tcBorders>
            <w:shd w:val="clear" w:color="auto" w:fill="auto"/>
          </w:tcPr>
          <w:p w14:paraId="637217A1"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Pr>
                <w:rFonts w:eastAsia="新細明體" w:cs="Segoe UI" w:hint="eastAsia"/>
                <w:sz w:val="22"/>
                <w:szCs w:val="22"/>
                <w:lang w:eastAsia="zh-TW"/>
              </w:rPr>
              <w:t xml:space="preserve"> </w:t>
            </w:r>
            <w:r>
              <w:rPr>
                <w:rFonts w:eastAsia="新細明體" w:cs="Segoe UI"/>
                <w:sz w:val="22"/>
                <w:szCs w:val="22"/>
                <w:lang w:eastAsia="zh-TW"/>
              </w:rPr>
              <w:t>[</w:t>
            </w:r>
            <w:r w:rsidRPr="00C86CC1">
              <w:rPr>
                <w:rFonts w:eastAsia="細明體" w:cs="Segoe UI" w:hint="eastAsia"/>
                <w:sz w:val="22"/>
                <w:szCs w:val="22"/>
                <w:lang w:eastAsia="ar-SA"/>
              </w:rPr>
              <w:t>簡化基本</w:t>
            </w:r>
            <w:r w:rsidRPr="00C86CC1">
              <w:rPr>
                <w:rFonts w:eastAsia="細明體" w:cs="Segoe UI"/>
                <w:sz w:val="22"/>
                <w:szCs w:val="22"/>
                <w:lang w:eastAsia="ar-SA"/>
              </w:rPr>
              <w:t>CVA</w:t>
            </w:r>
            <w:r>
              <w:rPr>
                <w:rFonts w:eastAsia="細明體" w:cs="Segoe UI"/>
                <w:sz w:val="22"/>
                <w:szCs w:val="22"/>
                <w:lang w:eastAsia="ar-SA"/>
              </w:rPr>
              <w:t>]</w:t>
            </w:r>
          </w:p>
        </w:tc>
        <w:tc>
          <w:tcPr>
            <w:tcW w:w="992" w:type="dxa"/>
            <w:tcBorders>
              <w:top w:val="single" w:sz="2" w:space="0" w:color="000000"/>
              <w:left w:val="single" w:sz="8" w:space="0" w:color="000000"/>
              <w:bottom w:val="single" w:sz="2" w:space="0" w:color="000000"/>
            </w:tcBorders>
            <w:shd w:val="clear" w:color="auto" w:fill="auto"/>
          </w:tcPr>
          <w:p w14:paraId="2B017732" w14:textId="1F4CC5E2"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2" w:space="0" w:color="000000"/>
              <w:left w:val="single" w:sz="4" w:space="0" w:color="000000"/>
              <w:bottom w:val="single" w:sz="2" w:space="0" w:color="000000"/>
            </w:tcBorders>
            <w:shd w:val="clear" w:color="auto" w:fill="auto"/>
          </w:tcPr>
          <w:p w14:paraId="72468EBB" w14:textId="77777777" w:rsidR="00EB0F03" w:rsidRPr="00777395" w:rsidRDefault="00EB0F03" w:rsidP="00EB0F03">
            <w:pPr>
              <w:suppressAutoHyphens/>
              <w:jc w:val="center"/>
              <w:rPr>
                <w:rFonts w:ascii="Wingdings 2" w:hAnsi="Wingdings 2" w:cs="Wingdings 2"/>
                <w:sz w:val="22"/>
                <w:szCs w:val="22"/>
                <w:lang w:eastAsia="ar-SA"/>
              </w:rPr>
            </w:pPr>
          </w:p>
        </w:tc>
        <w:tc>
          <w:tcPr>
            <w:tcW w:w="1276" w:type="dxa"/>
            <w:tcBorders>
              <w:top w:val="single" w:sz="2" w:space="0" w:color="000000"/>
              <w:left w:val="single" w:sz="8" w:space="0" w:color="000000"/>
              <w:bottom w:val="single" w:sz="2" w:space="0" w:color="000000"/>
            </w:tcBorders>
            <w:shd w:val="clear" w:color="auto" w:fill="auto"/>
          </w:tcPr>
          <w:p w14:paraId="17DE8669"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2" w:space="0" w:color="000000"/>
              <w:left w:val="single" w:sz="4" w:space="0" w:color="000000"/>
              <w:bottom w:val="single" w:sz="2" w:space="0" w:color="000000"/>
            </w:tcBorders>
            <w:shd w:val="clear" w:color="auto" w:fill="auto"/>
          </w:tcPr>
          <w:p w14:paraId="4ED721F7" w14:textId="49C5536E"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2" w:space="0" w:color="000000"/>
              <w:left w:val="single" w:sz="4" w:space="0" w:color="000000"/>
              <w:bottom w:val="single" w:sz="2" w:space="0" w:color="000000"/>
              <w:right w:val="single" w:sz="8" w:space="0" w:color="000000"/>
            </w:tcBorders>
            <w:shd w:val="clear" w:color="auto" w:fill="auto"/>
          </w:tcPr>
          <w:p w14:paraId="2E3EE6EF" w14:textId="77777777" w:rsidR="00EB0F03" w:rsidRPr="00777395" w:rsidRDefault="00EB0F03" w:rsidP="00EB0F03">
            <w:pPr>
              <w:suppressAutoHyphens/>
              <w:jc w:val="center"/>
              <w:rPr>
                <w:rFonts w:ascii="Wingdings 2" w:hAnsi="Wingdings 2" w:cs="Wingdings 2"/>
                <w:sz w:val="22"/>
                <w:szCs w:val="22"/>
                <w:lang w:eastAsia="ar-SA"/>
              </w:rPr>
            </w:pPr>
          </w:p>
        </w:tc>
      </w:tr>
      <w:tr w:rsidR="00EB0F03" w:rsidRPr="00777395" w14:paraId="54F24E9F" w14:textId="77777777" w:rsidTr="00F8781E">
        <w:trPr>
          <w:cantSplit/>
          <w:trHeight w:val="283"/>
        </w:trPr>
        <w:tc>
          <w:tcPr>
            <w:tcW w:w="2127" w:type="dxa"/>
            <w:vMerge/>
            <w:tcBorders>
              <w:right w:val="single" w:sz="8" w:space="0" w:color="000000"/>
            </w:tcBorders>
            <w:shd w:val="clear" w:color="auto" w:fill="auto"/>
          </w:tcPr>
          <w:p w14:paraId="0CDC3378" w14:textId="77777777" w:rsidR="00EB0F03" w:rsidRPr="00777395" w:rsidRDefault="00EB0F03" w:rsidP="00EB0F03">
            <w:pPr>
              <w:suppressAutoHyphens/>
              <w:rPr>
                <w:rFonts w:eastAsia="細明體" w:cs="Segoe UI"/>
                <w:sz w:val="22"/>
                <w:szCs w:val="22"/>
                <w:lang w:eastAsia="ar-SA"/>
              </w:rPr>
            </w:pPr>
          </w:p>
        </w:tc>
        <w:tc>
          <w:tcPr>
            <w:tcW w:w="4819" w:type="dxa"/>
            <w:tcBorders>
              <w:top w:val="single" w:sz="2" w:space="0" w:color="000000"/>
              <w:left w:val="single" w:sz="8" w:space="0" w:color="000000"/>
              <w:bottom w:val="single" w:sz="2" w:space="0" w:color="000000"/>
              <w:right w:val="single" w:sz="8" w:space="0" w:color="000000"/>
            </w:tcBorders>
            <w:shd w:val="clear" w:color="auto" w:fill="auto"/>
          </w:tcPr>
          <w:p w14:paraId="76AF41E8" w14:textId="77777777" w:rsidR="00EB0F03" w:rsidRPr="00777395" w:rsidRDefault="00EB0F03" w:rsidP="00EB0F03">
            <w:pPr>
              <w:suppressAutoHyphens/>
              <w:rPr>
                <w:rFonts w:eastAsia="細明體" w:cs="Segoe UI"/>
                <w:sz w:val="22"/>
                <w:szCs w:val="22"/>
                <w:lang w:eastAsia="ar-SA"/>
              </w:rPr>
            </w:pPr>
            <w:r w:rsidRPr="00C86CC1">
              <w:rPr>
                <w:rFonts w:eastAsia="細明體" w:cs="Segoe UI" w:hint="eastAsia"/>
                <w:sz w:val="22"/>
                <w:szCs w:val="22"/>
                <w:lang w:eastAsia="ar-SA"/>
              </w:rPr>
              <w:t>模版</w:t>
            </w:r>
            <w:r w:rsidRPr="00C86CC1">
              <w:rPr>
                <w:rFonts w:eastAsia="細明體" w:cs="Segoe UI"/>
                <w:sz w:val="22"/>
                <w:szCs w:val="22"/>
                <w:lang w:eastAsia="ar-SA"/>
              </w:rPr>
              <w:t>CVA2</w:t>
            </w:r>
            <w:r>
              <w:rPr>
                <w:rFonts w:eastAsia="細明體" w:cs="Segoe UI" w:hint="eastAsia"/>
                <w:sz w:val="22"/>
                <w:szCs w:val="22"/>
                <w:lang w:eastAsia="ar-SA"/>
              </w:rPr>
              <w:t>：在完整</w:t>
            </w:r>
            <w:r w:rsidRPr="00C86CC1">
              <w:rPr>
                <w:rFonts w:eastAsia="細明體" w:cs="Segoe UI" w:hint="eastAsia"/>
                <w:sz w:val="22"/>
                <w:szCs w:val="22"/>
                <w:lang w:eastAsia="ar-SA"/>
              </w:rPr>
              <w:t>基本</w:t>
            </w:r>
            <w:r w:rsidRPr="00C86CC1">
              <w:rPr>
                <w:rFonts w:eastAsia="細明體" w:cs="Segoe UI"/>
                <w:sz w:val="22"/>
                <w:szCs w:val="22"/>
                <w:lang w:eastAsia="ar-SA"/>
              </w:rPr>
              <w:t>CVA</w:t>
            </w:r>
            <w:r w:rsidRPr="00C86CC1">
              <w:rPr>
                <w:rFonts w:eastAsia="細明體" w:cs="Segoe UI" w:hint="eastAsia"/>
                <w:sz w:val="22"/>
                <w:szCs w:val="22"/>
                <w:lang w:eastAsia="ar-SA"/>
              </w:rPr>
              <w:t>計算法下的</w:t>
            </w:r>
            <w:r w:rsidRPr="00C86CC1">
              <w:rPr>
                <w:rFonts w:eastAsia="細明體" w:cs="Segoe UI"/>
                <w:sz w:val="22"/>
                <w:szCs w:val="22"/>
                <w:lang w:eastAsia="ar-SA"/>
              </w:rPr>
              <w:t>CVA</w:t>
            </w:r>
            <w:r w:rsidRPr="00C86CC1">
              <w:rPr>
                <w:rFonts w:eastAsia="細明體" w:cs="Segoe UI" w:hint="eastAsia"/>
                <w:sz w:val="22"/>
                <w:szCs w:val="22"/>
                <w:lang w:eastAsia="ar-SA"/>
              </w:rPr>
              <w:t>風險</w:t>
            </w:r>
          </w:p>
        </w:tc>
        <w:tc>
          <w:tcPr>
            <w:tcW w:w="1701" w:type="dxa"/>
            <w:tcBorders>
              <w:top w:val="single" w:sz="2" w:space="0" w:color="000000"/>
              <w:left w:val="single" w:sz="8" w:space="0" w:color="000000"/>
              <w:bottom w:val="single" w:sz="2" w:space="0" w:color="000000"/>
            </w:tcBorders>
            <w:shd w:val="clear" w:color="auto" w:fill="auto"/>
          </w:tcPr>
          <w:p w14:paraId="3C804DC7"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Pr>
                <w:rFonts w:eastAsia="新細明體" w:cs="Segoe UI" w:hint="eastAsia"/>
                <w:sz w:val="22"/>
                <w:szCs w:val="22"/>
                <w:lang w:eastAsia="zh-TW"/>
              </w:rPr>
              <w:t xml:space="preserve"> [</w:t>
            </w:r>
            <w:r>
              <w:rPr>
                <w:rFonts w:eastAsia="細明體" w:cs="Segoe UI" w:hint="eastAsia"/>
                <w:sz w:val="22"/>
                <w:szCs w:val="22"/>
                <w:lang w:eastAsia="ar-SA"/>
              </w:rPr>
              <w:t>完整</w:t>
            </w:r>
            <w:r w:rsidRPr="00C86CC1">
              <w:rPr>
                <w:rFonts w:eastAsia="細明體" w:cs="Segoe UI" w:hint="eastAsia"/>
                <w:sz w:val="22"/>
                <w:szCs w:val="22"/>
                <w:lang w:eastAsia="ar-SA"/>
              </w:rPr>
              <w:t>基本</w:t>
            </w:r>
            <w:r w:rsidRPr="00C86CC1">
              <w:rPr>
                <w:rFonts w:eastAsia="細明體" w:cs="Segoe UI"/>
                <w:sz w:val="22"/>
                <w:szCs w:val="22"/>
                <w:lang w:eastAsia="ar-SA"/>
              </w:rPr>
              <w:t>CVA</w:t>
            </w:r>
            <w:r>
              <w:rPr>
                <w:rFonts w:eastAsia="細明體" w:cs="Segoe UI"/>
                <w:sz w:val="22"/>
                <w:szCs w:val="22"/>
                <w:lang w:eastAsia="ar-SA"/>
              </w:rPr>
              <w:t>]</w:t>
            </w:r>
          </w:p>
        </w:tc>
        <w:tc>
          <w:tcPr>
            <w:tcW w:w="992" w:type="dxa"/>
            <w:tcBorders>
              <w:top w:val="single" w:sz="2" w:space="0" w:color="000000"/>
              <w:left w:val="single" w:sz="8" w:space="0" w:color="000000"/>
              <w:bottom w:val="single" w:sz="2" w:space="0" w:color="000000"/>
            </w:tcBorders>
            <w:shd w:val="clear" w:color="auto" w:fill="auto"/>
          </w:tcPr>
          <w:p w14:paraId="2134A5BC" w14:textId="075DA487"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2" w:space="0" w:color="000000"/>
              <w:left w:val="single" w:sz="4" w:space="0" w:color="000000"/>
              <w:bottom w:val="single" w:sz="2" w:space="0" w:color="000000"/>
            </w:tcBorders>
            <w:shd w:val="clear" w:color="auto" w:fill="auto"/>
          </w:tcPr>
          <w:p w14:paraId="7BC6D9FC" w14:textId="77777777" w:rsidR="00EB0F03" w:rsidRPr="00777395" w:rsidRDefault="00EB0F03" w:rsidP="00EB0F03">
            <w:pPr>
              <w:suppressAutoHyphens/>
              <w:jc w:val="center"/>
              <w:rPr>
                <w:rFonts w:ascii="Wingdings 2" w:hAnsi="Wingdings 2" w:cs="Wingdings 2"/>
                <w:sz w:val="22"/>
                <w:szCs w:val="22"/>
                <w:lang w:eastAsia="ar-SA"/>
              </w:rPr>
            </w:pPr>
          </w:p>
        </w:tc>
        <w:tc>
          <w:tcPr>
            <w:tcW w:w="1276" w:type="dxa"/>
            <w:tcBorders>
              <w:top w:val="single" w:sz="2" w:space="0" w:color="000000"/>
              <w:left w:val="single" w:sz="8" w:space="0" w:color="000000"/>
              <w:bottom w:val="single" w:sz="2" w:space="0" w:color="000000"/>
            </w:tcBorders>
            <w:shd w:val="clear" w:color="auto" w:fill="auto"/>
          </w:tcPr>
          <w:p w14:paraId="16A59DB3"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2" w:space="0" w:color="000000"/>
              <w:left w:val="single" w:sz="4" w:space="0" w:color="000000"/>
              <w:bottom w:val="single" w:sz="2" w:space="0" w:color="000000"/>
            </w:tcBorders>
            <w:shd w:val="clear" w:color="auto" w:fill="auto"/>
          </w:tcPr>
          <w:p w14:paraId="6A9F86F6" w14:textId="3E2B6E79"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2" w:space="0" w:color="000000"/>
              <w:left w:val="single" w:sz="4" w:space="0" w:color="000000"/>
              <w:bottom w:val="single" w:sz="2" w:space="0" w:color="000000"/>
              <w:right w:val="single" w:sz="8" w:space="0" w:color="000000"/>
            </w:tcBorders>
            <w:shd w:val="clear" w:color="auto" w:fill="auto"/>
          </w:tcPr>
          <w:p w14:paraId="05096848" w14:textId="77777777" w:rsidR="00EB0F03" w:rsidRPr="00777395" w:rsidRDefault="00EB0F03" w:rsidP="00EB0F03">
            <w:pPr>
              <w:suppressAutoHyphens/>
              <w:jc w:val="center"/>
              <w:rPr>
                <w:rFonts w:ascii="Wingdings 2" w:hAnsi="Wingdings 2" w:cs="Wingdings 2"/>
                <w:sz w:val="22"/>
                <w:szCs w:val="22"/>
                <w:lang w:eastAsia="ar-SA"/>
              </w:rPr>
            </w:pPr>
          </w:p>
        </w:tc>
      </w:tr>
      <w:tr w:rsidR="00EB0F03" w:rsidRPr="00777395" w14:paraId="15551DFC" w14:textId="77777777" w:rsidTr="00F8781E">
        <w:trPr>
          <w:cantSplit/>
          <w:trHeight w:val="283"/>
        </w:trPr>
        <w:tc>
          <w:tcPr>
            <w:tcW w:w="2127" w:type="dxa"/>
            <w:vMerge/>
            <w:tcBorders>
              <w:right w:val="single" w:sz="8" w:space="0" w:color="000000"/>
            </w:tcBorders>
            <w:shd w:val="clear" w:color="auto" w:fill="auto"/>
          </w:tcPr>
          <w:p w14:paraId="6EBF1A00" w14:textId="77777777" w:rsidR="00EB0F03" w:rsidRPr="00777395" w:rsidRDefault="00EB0F03" w:rsidP="00EB0F03">
            <w:pPr>
              <w:suppressAutoHyphens/>
              <w:rPr>
                <w:rFonts w:eastAsia="細明體" w:cs="Segoe UI"/>
                <w:sz w:val="22"/>
                <w:szCs w:val="22"/>
                <w:lang w:eastAsia="ar-SA"/>
              </w:rPr>
            </w:pPr>
          </w:p>
        </w:tc>
        <w:tc>
          <w:tcPr>
            <w:tcW w:w="4819" w:type="dxa"/>
            <w:tcBorders>
              <w:top w:val="single" w:sz="2" w:space="0" w:color="000000"/>
              <w:left w:val="single" w:sz="8" w:space="0" w:color="000000"/>
              <w:bottom w:val="single" w:sz="2" w:space="0" w:color="000000"/>
              <w:right w:val="single" w:sz="8" w:space="0" w:color="000000"/>
            </w:tcBorders>
            <w:shd w:val="clear" w:color="auto" w:fill="auto"/>
          </w:tcPr>
          <w:p w14:paraId="345575F3" w14:textId="77777777" w:rsidR="00EB0F03" w:rsidRPr="00777395" w:rsidRDefault="00EB0F03" w:rsidP="00EB0F03">
            <w:pPr>
              <w:suppressAutoHyphens/>
              <w:rPr>
                <w:rFonts w:eastAsia="細明體" w:cs="Segoe UI"/>
                <w:sz w:val="22"/>
                <w:szCs w:val="22"/>
                <w:lang w:eastAsia="ar-SA"/>
              </w:rPr>
            </w:pPr>
            <w:r w:rsidRPr="003905B9">
              <w:rPr>
                <w:rFonts w:eastAsia="新細明體" w:cs="Segoe UI"/>
                <w:sz w:val="22"/>
                <w:lang w:eastAsia="zh-HK"/>
              </w:rPr>
              <w:t>表</w:t>
            </w:r>
            <w:r w:rsidRPr="003905B9">
              <w:rPr>
                <w:rFonts w:eastAsia="新細明體" w:cs="Segoe UI"/>
                <w:sz w:val="22"/>
                <w:lang w:eastAsia="zh-TW"/>
              </w:rPr>
              <w:t>CVAB</w:t>
            </w:r>
            <w:r w:rsidRPr="003905B9">
              <w:rPr>
                <w:rFonts w:eastAsia="新細明體" w:cs="Segoe UI"/>
                <w:sz w:val="22"/>
                <w:lang w:eastAsia="zh-TW"/>
              </w:rPr>
              <w:t>：</w:t>
            </w:r>
            <w:r w:rsidRPr="003905B9">
              <w:rPr>
                <w:rFonts w:eastAsia="新細明體" w:cs="Segoe UI"/>
                <w:sz w:val="22"/>
                <w:lang w:eastAsia="zh-HK"/>
              </w:rPr>
              <w:t>使用標準</w:t>
            </w:r>
            <w:r w:rsidRPr="003905B9">
              <w:rPr>
                <w:rFonts w:eastAsia="新細明體" w:cs="Segoe UI"/>
                <w:sz w:val="22"/>
                <w:lang w:eastAsia="zh-TW"/>
              </w:rPr>
              <w:t>CVA</w:t>
            </w:r>
            <w:r w:rsidRPr="003905B9">
              <w:rPr>
                <w:rFonts w:eastAsia="新細明體" w:cs="Segoe UI"/>
                <w:sz w:val="22"/>
                <w:lang w:eastAsia="zh-HK"/>
              </w:rPr>
              <w:t>計算法的認可機構的</w:t>
            </w:r>
            <w:r w:rsidRPr="00614535">
              <w:rPr>
                <w:rFonts w:eastAsia="新細明體" w:cs="Segoe UI" w:hint="eastAsia"/>
                <w:sz w:val="22"/>
                <w:lang w:eastAsia="zh-HK"/>
              </w:rPr>
              <w:t>額外</w:t>
            </w:r>
            <w:r w:rsidRPr="003905B9">
              <w:rPr>
                <w:rFonts w:eastAsia="新細明體" w:cs="Segoe UI"/>
                <w:sz w:val="22"/>
                <w:lang w:eastAsia="zh-HK"/>
              </w:rPr>
              <w:t>描述披露</w:t>
            </w:r>
          </w:p>
        </w:tc>
        <w:tc>
          <w:tcPr>
            <w:tcW w:w="1701" w:type="dxa"/>
            <w:tcBorders>
              <w:top w:val="single" w:sz="2" w:space="0" w:color="000000"/>
              <w:left w:val="single" w:sz="8" w:space="0" w:color="000000"/>
              <w:bottom w:val="single" w:sz="2" w:space="0" w:color="000000"/>
            </w:tcBorders>
            <w:shd w:val="clear" w:color="auto" w:fill="auto"/>
          </w:tcPr>
          <w:p w14:paraId="4D9AC02C"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Pr>
                <w:rFonts w:eastAsia="新細明體" w:cs="Segoe UI" w:hint="eastAsia"/>
                <w:sz w:val="22"/>
                <w:szCs w:val="22"/>
                <w:lang w:eastAsia="zh-TW"/>
              </w:rPr>
              <w:t xml:space="preserve"> [</w:t>
            </w:r>
            <w:r w:rsidRPr="003905B9">
              <w:rPr>
                <w:rFonts w:eastAsia="新細明體" w:cs="Segoe UI"/>
                <w:sz w:val="22"/>
                <w:lang w:eastAsia="zh-HK"/>
              </w:rPr>
              <w:t>標準</w:t>
            </w:r>
            <w:r w:rsidRPr="003905B9">
              <w:rPr>
                <w:rFonts w:eastAsia="新細明體" w:cs="Segoe UI"/>
                <w:sz w:val="22"/>
                <w:lang w:eastAsia="zh-TW"/>
              </w:rPr>
              <w:t>CVA</w:t>
            </w:r>
            <w:r>
              <w:rPr>
                <w:rFonts w:eastAsia="新細明體" w:cs="Segoe UI"/>
                <w:sz w:val="22"/>
                <w:lang w:eastAsia="zh-TW"/>
              </w:rPr>
              <w:t>]</w:t>
            </w:r>
          </w:p>
        </w:tc>
        <w:tc>
          <w:tcPr>
            <w:tcW w:w="992" w:type="dxa"/>
            <w:tcBorders>
              <w:top w:val="single" w:sz="2" w:space="0" w:color="000000"/>
              <w:left w:val="single" w:sz="8" w:space="0" w:color="000000"/>
              <w:bottom w:val="single" w:sz="2" w:space="0" w:color="000000"/>
            </w:tcBorders>
            <w:shd w:val="clear" w:color="auto" w:fill="auto"/>
          </w:tcPr>
          <w:p w14:paraId="44CB2A1B"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2" w:space="0" w:color="000000"/>
              <w:left w:val="single" w:sz="4" w:space="0" w:color="000000"/>
              <w:bottom w:val="single" w:sz="2" w:space="0" w:color="000000"/>
            </w:tcBorders>
            <w:shd w:val="clear" w:color="auto" w:fill="auto"/>
          </w:tcPr>
          <w:p w14:paraId="411B2AA5" w14:textId="3AC2FCE0" w:rsidR="00EB0F03" w:rsidRPr="00777395" w:rsidRDefault="00100B71" w:rsidP="00EB0F03">
            <w:pPr>
              <w:suppressAutoHyphens/>
              <w:jc w:val="center"/>
              <w:rPr>
                <w:rFonts w:ascii="Wingdings 2" w:hAnsi="Wingdings 2" w:cs="Wingdings 2"/>
                <w:sz w:val="22"/>
                <w:szCs w:val="22"/>
                <w:lang w:eastAsia="ar-SA"/>
              </w:rPr>
            </w:pPr>
            <w:r w:rsidRPr="00777395">
              <w:rPr>
                <w:rFonts w:ascii="Wingdings 2" w:hAnsi="Wingdings 2" w:cs="Wingdings 2"/>
                <w:sz w:val="22"/>
                <w:szCs w:val="22"/>
                <w:lang w:eastAsia="ar-SA"/>
              </w:rPr>
              <w:t></w:t>
            </w:r>
          </w:p>
        </w:tc>
        <w:tc>
          <w:tcPr>
            <w:tcW w:w="1276" w:type="dxa"/>
            <w:tcBorders>
              <w:top w:val="single" w:sz="2" w:space="0" w:color="000000"/>
              <w:left w:val="single" w:sz="8" w:space="0" w:color="000000"/>
              <w:bottom w:val="single" w:sz="2" w:space="0" w:color="000000"/>
            </w:tcBorders>
            <w:shd w:val="clear" w:color="auto" w:fill="auto"/>
          </w:tcPr>
          <w:p w14:paraId="4A3FD7CE"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2" w:space="0" w:color="000000"/>
              <w:left w:val="single" w:sz="4" w:space="0" w:color="000000"/>
              <w:bottom w:val="single" w:sz="2" w:space="0" w:color="000000"/>
            </w:tcBorders>
            <w:shd w:val="clear" w:color="auto" w:fill="auto"/>
          </w:tcPr>
          <w:p w14:paraId="0E46C7D7"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2" w:space="0" w:color="000000"/>
              <w:left w:val="single" w:sz="4" w:space="0" w:color="000000"/>
              <w:bottom w:val="single" w:sz="2" w:space="0" w:color="000000"/>
              <w:right w:val="single" w:sz="8" w:space="0" w:color="000000"/>
            </w:tcBorders>
            <w:shd w:val="clear" w:color="auto" w:fill="auto"/>
          </w:tcPr>
          <w:p w14:paraId="4C6D39F4" w14:textId="45D1A95F" w:rsidR="00EB0F03" w:rsidRPr="00777395" w:rsidRDefault="00100B71" w:rsidP="00EB0F03">
            <w:pPr>
              <w:suppressAutoHyphens/>
              <w:jc w:val="center"/>
              <w:rPr>
                <w:rFonts w:ascii="Wingdings 2" w:hAnsi="Wingdings 2" w:cs="Wingdings 2"/>
                <w:sz w:val="22"/>
                <w:szCs w:val="22"/>
                <w:lang w:eastAsia="ar-SA"/>
              </w:rPr>
            </w:pPr>
            <w:r w:rsidRPr="00777395">
              <w:rPr>
                <w:rFonts w:ascii="Wingdings 2" w:hAnsi="Wingdings 2" w:cs="Wingdings 2"/>
                <w:sz w:val="22"/>
                <w:szCs w:val="22"/>
                <w:lang w:eastAsia="ar-SA"/>
              </w:rPr>
              <w:t></w:t>
            </w:r>
          </w:p>
        </w:tc>
      </w:tr>
      <w:tr w:rsidR="00EB0F03" w:rsidRPr="00777395" w14:paraId="2E1DD2A9" w14:textId="77777777" w:rsidTr="00F8781E">
        <w:trPr>
          <w:cantSplit/>
          <w:trHeight w:val="283"/>
        </w:trPr>
        <w:tc>
          <w:tcPr>
            <w:tcW w:w="2127" w:type="dxa"/>
            <w:vMerge/>
            <w:tcBorders>
              <w:right w:val="single" w:sz="8" w:space="0" w:color="000000"/>
            </w:tcBorders>
            <w:shd w:val="clear" w:color="auto" w:fill="auto"/>
          </w:tcPr>
          <w:p w14:paraId="7D6C05F0" w14:textId="77777777" w:rsidR="00EB0F03" w:rsidRPr="00777395" w:rsidRDefault="00EB0F03" w:rsidP="00EB0F03">
            <w:pPr>
              <w:suppressAutoHyphens/>
              <w:rPr>
                <w:rFonts w:eastAsia="細明體" w:cs="Segoe UI"/>
                <w:sz w:val="22"/>
                <w:szCs w:val="22"/>
                <w:lang w:eastAsia="ar-SA"/>
              </w:rPr>
            </w:pPr>
          </w:p>
        </w:tc>
        <w:tc>
          <w:tcPr>
            <w:tcW w:w="4819" w:type="dxa"/>
            <w:tcBorders>
              <w:top w:val="single" w:sz="2" w:space="0" w:color="000000"/>
              <w:left w:val="single" w:sz="8" w:space="0" w:color="000000"/>
              <w:bottom w:val="single" w:sz="2" w:space="0" w:color="000000"/>
              <w:right w:val="single" w:sz="8" w:space="0" w:color="000000"/>
            </w:tcBorders>
            <w:shd w:val="clear" w:color="auto" w:fill="auto"/>
          </w:tcPr>
          <w:p w14:paraId="342CCDA3" w14:textId="77777777" w:rsidR="00EB0F03" w:rsidRPr="00777395" w:rsidRDefault="00EB0F03" w:rsidP="00EB0F03">
            <w:pPr>
              <w:suppressAutoHyphens/>
              <w:rPr>
                <w:rFonts w:eastAsia="細明體" w:cs="Segoe UI"/>
                <w:sz w:val="22"/>
                <w:szCs w:val="22"/>
                <w:lang w:eastAsia="ar-SA"/>
              </w:rPr>
            </w:pPr>
            <w:r w:rsidRPr="00C86CC1">
              <w:rPr>
                <w:rFonts w:eastAsia="細明體" w:cs="Segoe UI" w:hint="eastAsia"/>
                <w:sz w:val="22"/>
                <w:szCs w:val="22"/>
                <w:lang w:eastAsia="ar-SA"/>
              </w:rPr>
              <w:t>模版</w:t>
            </w:r>
            <w:r w:rsidRPr="00C86CC1">
              <w:rPr>
                <w:rFonts w:eastAsia="細明體" w:cs="Segoe UI"/>
                <w:sz w:val="22"/>
                <w:szCs w:val="22"/>
                <w:lang w:eastAsia="ar-SA"/>
              </w:rPr>
              <w:t>CVA3</w:t>
            </w:r>
            <w:r w:rsidRPr="00C86CC1">
              <w:rPr>
                <w:rFonts w:eastAsia="細明體" w:cs="Segoe UI" w:hint="eastAsia"/>
                <w:sz w:val="22"/>
                <w:szCs w:val="22"/>
                <w:lang w:eastAsia="ar-SA"/>
              </w:rPr>
              <w:t>：在標準</w:t>
            </w:r>
            <w:r w:rsidRPr="00C86CC1">
              <w:rPr>
                <w:rFonts w:eastAsia="細明體" w:cs="Segoe UI"/>
                <w:sz w:val="22"/>
                <w:szCs w:val="22"/>
                <w:lang w:eastAsia="ar-SA"/>
              </w:rPr>
              <w:t>CVA</w:t>
            </w:r>
            <w:r w:rsidRPr="00C86CC1">
              <w:rPr>
                <w:rFonts w:eastAsia="細明體" w:cs="Segoe UI" w:hint="eastAsia"/>
                <w:sz w:val="22"/>
                <w:szCs w:val="22"/>
                <w:lang w:eastAsia="ar-SA"/>
              </w:rPr>
              <w:t>計算法下的</w:t>
            </w:r>
            <w:r w:rsidRPr="00C86CC1">
              <w:rPr>
                <w:rFonts w:eastAsia="細明體" w:cs="Segoe UI"/>
                <w:sz w:val="22"/>
                <w:szCs w:val="22"/>
                <w:lang w:eastAsia="ar-SA"/>
              </w:rPr>
              <w:t>CVA</w:t>
            </w:r>
            <w:r w:rsidRPr="00C86CC1">
              <w:rPr>
                <w:rFonts w:eastAsia="細明體" w:cs="Segoe UI" w:hint="eastAsia"/>
                <w:sz w:val="22"/>
                <w:szCs w:val="22"/>
                <w:lang w:eastAsia="ar-SA"/>
              </w:rPr>
              <w:t>風險</w:t>
            </w:r>
          </w:p>
        </w:tc>
        <w:tc>
          <w:tcPr>
            <w:tcW w:w="1701" w:type="dxa"/>
            <w:tcBorders>
              <w:top w:val="single" w:sz="2" w:space="0" w:color="000000"/>
              <w:left w:val="single" w:sz="8" w:space="0" w:color="000000"/>
              <w:bottom w:val="single" w:sz="2" w:space="0" w:color="000000"/>
            </w:tcBorders>
            <w:shd w:val="clear" w:color="auto" w:fill="auto"/>
          </w:tcPr>
          <w:p w14:paraId="35D9AD06"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Pr>
                <w:rFonts w:eastAsia="新細明體" w:cs="Segoe UI" w:hint="eastAsia"/>
                <w:sz w:val="22"/>
                <w:szCs w:val="22"/>
                <w:lang w:eastAsia="zh-TW"/>
              </w:rPr>
              <w:t xml:space="preserve"> [</w:t>
            </w:r>
            <w:r w:rsidRPr="003905B9">
              <w:rPr>
                <w:rFonts w:eastAsia="新細明體" w:cs="Segoe UI"/>
                <w:sz w:val="22"/>
                <w:lang w:eastAsia="zh-HK"/>
              </w:rPr>
              <w:t>標準</w:t>
            </w:r>
            <w:r w:rsidRPr="003905B9">
              <w:rPr>
                <w:rFonts w:eastAsia="新細明體" w:cs="Segoe UI"/>
                <w:sz w:val="22"/>
                <w:lang w:eastAsia="zh-TW"/>
              </w:rPr>
              <w:t>CVA</w:t>
            </w:r>
            <w:r>
              <w:rPr>
                <w:rFonts w:eastAsia="新細明體" w:cs="Segoe UI"/>
                <w:sz w:val="22"/>
                <w:lang w:eastAsia="zh-TW"/>
              </w:rPr>
              <w:t>]</w:t>
            </w:r>
          </w:p>
        </w:tc>
        <w:tc>
          <w:tcPr>
            <w:tcW w:w="992" w:type="dxa"/>
            <w:tcBorders>
              <w:top w:val="single" w:sz="2" w:space="0" w:color="000000"/>
              <w:left w:val="single" w:sz="8" w:space="0" w:color="000000"/>
              <w:bottom w:val="single" w:sz="2" w:space="0" w:color="000000"/>
            </w:tcBorders>
            <w:shd w:val="clear" w:color="auto" w:fill="auto"/>
          </w:tcPr>
          <w:p w14:paraId="7ACF8B9A" w14:textId="458DBED5"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2" w:space="0" w:color="000000"/>
              <w:left w:val="single" w:sz="4" w:space="0" w:color="000000"/>
              <w:bottom w:val="single" w:sz="2" w:space="0" w:color="000000"/>
            </w:tcBorders>
            <w:shd w:val="clear" w:color="auto" w:fill="auto"/>
          </w:tcPr>
          <w:p w14:paraId="072B9DA4" w14:textId="77777777" w:rsidR="00EB0F03" w:rsidRPr="00777395" w:rsidRDefault="00EB0F03" w:rsidP="00EB0F03">
            <w:pPr>
              <w:suppressAutoHyphens/>
              <w:jc w:val="center"/>
              <w:rPr>
                <w:rFonts w:ascii="Wingdings 2" w:hAnsi="Wingdings 2" w:cs="Wingdings 2"/>
                <w:sz w:val="22"/>
                <w:szCs w:val="22"/>
                <w:lang w:eastAsia="ar-SA"/>
              </w:rPr>
            </w:pPr>
          </w:p>
        </w:tc>
        <w:tc>
          <w:tcPr>
            <w:tcW w:w="1276" w:type="dxa"/>
            <w:tcBorders>
              <w:top w:val="single" w:sz="2" w:space="0" w:color="000000"/>
              <w:left w:val="single" w:sz="8" w:space="0" w:color="000000"/>
              <w:bottom w:val="single" w:sz="2" w:space="0" w:color="000000"/>
            </w:tcBorders>
            <w:shd w:val="clear" w:color="auto" w:fill="auto"/>
          </w:tcPr>
          <w:p w14:paraId="2F4B5872"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2" w:space="0" w:color="000000"/>
              <w:left w:val="single" w:sz="4" w:space="0" w:color="000000"/>
              <w:bottom w:val="single" w:sz="2" w:space="0" w:color="000000"/>
            </w:tcBorders>
            <w:shd w:val="clear" w:color="auto" w:fill="auto"/>
          </w:tcPr>
          <w:p w14:paraId="788CEC45" w14:textId="5DD482F3"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2" w:space="0" w:color="000000"/>
              <w:left w:val="single" w:sz="4" w:space="0" w:color="000000"/>
              <w:bottom w:val="single" w:sz="2" w:space="0" w:color="000000"/>
              <w:right w:val="single" w:sz="8" w:space="0" w:color="000000"/>
            </w:tcBorders>
            <w:shd w:val="clear" w:color="auto" w:fill="auto"/>
          </w:tcPr>
          <w:p w14:paraId="5151119F" w14:textId="77777777" w:rsidR="00EB0F03" w:rsidRPr="00777395" w:rsidRDefault="00EB0F03" w:rsidP="00EB0F03">
            <w:pPr>
              <w:suppressAutoHyphens/>
              <w:jc w:val="center"/>
              <w:rPr>
                <w:rFonts w:ascii="Wingdings 2" w:hAnsi="Wingdings 2" w:cs="Wingdings 2"/>
                <w:sz w:val="22"/>
                <w:szCs w:val="22"/>
                <w:lang w:eastAsia="ar-SA"/>
              </w:rPr>
            </w:pPr>
          </w:p>
        </w:tc>
      </w:tr>
      <w:tr w:rsidR="00EB0F03" w:rsidRPr="00777395" w14:paraId="3598D77B" w14:textId="77777777" w:rsidTr="00F8781E">
        <w:trPr>
          <w:cantSplit/>
          <w:trHeight w:val="283"/>
        </w:trPr>
        <w:tc>
          <w:tcPr>
            <w:tcW w:w="2127" w:type="dxa"/>
            <w:vMerge/>
            <w:tcBorders>
              <w:bottom w:val="single" w:sz="4" w:space="0" w:color="000000"/>
              <w:right w:val="single" w:sz="8" w:space="0" w:color="000000"/>
            </w:tcBorders>
            <w:shd w:val="clear" w:color="auto" w:fill="auto"/>
          </w:tcPr>
          <w:p w14:paraId="49276553" w14:textId="77777777" w:rsidR="00EB0F03" w:rsidRPr="00777395" w:rsidRDefault="00EB0F03" w:rsidP="00EB0F03">
            <w:pPr>
              <w:suppressAutoHyphens/>
              <w:rPr>
                <w:rFonts w:eastAsia="細明體" w:cs="Segoe UI"/>
                <w:sz w:val="22"/>
                <w:szCs w:val="22"/>
                <w:lang w:eastAsia="ar-SA"/>
              </w:rPr>
            </w:pPr>
          </w:p>
        </w:tc>
        <w:tc>
          <w:tcPr>
            <w:tcW w:w="4819" w:type="dxa"/>
            <w:tcBorders>
              <w:top w:val="single" w:sz="2" w:space="0" w:color="000000"/>
              <w:left w:val="single" w:sz="8" w:space="0" w:color="000000"/>
              <w:bottom w:val="single" w:sz="8" w:space="0" w:color="000000"/>
              <w:right w:val="single" w:sz="8" w:space="0" w:color="000000"/>
            </w:tcBorders>
            <w:shd w:val="clear" w:color="auto" w:fill="auto"/>
          </w:tcPr>
          <w:p w14:paraId="40FA08E1" w14:textId="77777777" w:rsidR="00EB0F03" w:rsidRDefault="00EB0F03" w:rsidP="00EB0F03">
            <w:pPr>
              <w:suppressAutoHyphens/>
              <w:rPr>
                <w:rFonts w:eastAsia="細明體" w:cs="Segoe UI"/>
                <w:sz w:val="22"/>
                <w:szCs w:val="22"/>
                <w:lang w:eastAsia="ar-SA"/>
              </w:rPr>
            </w:pPr>
            <w:r w:rsidRPr="00C86CC1">
              <w:rPr>
                <w:rFonts w:eastAsia="細明體" w:cs="Segoe UI" w:hint="eastAsia"/>
                <w:sz w:val="22"/>
                <w:szCs w:val="22"/>
                <w:lang w:eastAsia="ar-SA"/>
              </w:rPr>
              <w:t>模版</w:t>
            </w:r>
            <w:r w:rsidRPr="00C86CC1">
              <w:rPr>
                <w:rFonts w:eastAsia="細明體" w:cs="Segoe UI"/>
                <w:sz w:val="22"/>
                <w:szCs w:val="22"/>
                <w:lang w:eastAsia="ar-SA"/>
              </w:rPr>
              <w:t>CVA4</w:t>
            </w:r>
            <w:r w:rsidRPr="00C86CC1">
              <w:rPr>
                <w:rFonts w:eastAsia="細明體" w:cs="Segoe UI" w:hint="eastAsia"/>
                <w:sz w:val="22"/>
                <w:szCs w:val="22"/>
                <w:lang w:eastAsia="ar-SA"/>
              </w:rPr>
              <w:t>：在標準</w:t>
            </w:r>
            <w:r w:rsidRPr="00C86CC1">
              <w:rPr>
                <w:rFonts w:eastAsia="細明體" w:cs="Segoe UI"/>
                <w:sz w:val="22"/>
                <w:szCs w:val="22"/>
                <w:lang w:eastAsia="ar-SA"/>
              </w:rPr>
              <w:t>CVA</w:t>
            </w:r>
            <w:r w:rsidRPr="00C86CC1">
              <w:rPr>
                <w:rFonts w:eastAsia="細明體" w:cs="Segoe UI" w:hint="eastAsia"/>
                <w:sz w:val="22"/>
                <w:szCs w:val="22"/>
                <w:lang w:eastAsia="ar-SA"/>
              </w:rPr>
              <w:t>計算法下</w:t>
            </w:r>
            <w:r w:rsidRPr="00C86CC1">
              <w:rPr>
                <w:rFonts w:eastAsia="細明體" w:cs="Segoe UI"/>
                <w:sz w:val="22"/>
                <w:szCs w:val="22"/>
                <w:lang w:eastAsia="ar-SA"/>
              </w:rPr>
              <w:t>CVA</w:t>
            </w:r>
            <w:r w:rsidRPr="00C86CC1">
              <w:rPr>
                <w:rFonts w:eastAsia="細明體" w:cs="Segoe UI" w:hint="eastAsia"/>
                <w:sz w:val="22"/>
                <w:szCs w:val="22"/>
                <w:lang w:eastAsia="ar-SA"/>
              </w:rPr>
              <w:t>風險承擔的風險加權數額流動表</w:t>
            </w:r>
          </w:p>
          <w:p w14:paraId="07670962" w14:textId="63EE1DCC" w:rsidR="00804069" w:rsidRPr="00777395" w:rsidRDefault="00804069" w:rsidP="00EB0F03">
            <w:pPr>
              <w:suppressAutoHyphens/>
              <w:rPr>
                <w:rFonts w:eastAsia="細明體" w:cs="Segoe UI"/>
                <w:sz w:val="22"/>
                <w:szCs w:val="22"/>
                <w:lang w:eastAsia="ar-SA"/>
              </w:rPr>
            </w:pPr>
          </w:p>
        </w:tc>
        <w:tc>
          <w:tcPr>
            <w:tcW w:w="1701" w:type="dxa"/>
            <w:tcBorders>
              <w:top w:val="single" w:sz="2" w:space="0" w:color="000000"/>
              <w:left w:val="single" w:sz="8" w:space="0" w:color="000000"/>
              <w:bottom w:val="single" w:sz="4" w:space="0" w:color="000000"/>
            </w:tcBorders>
            <w:shd w:val="clear" w:color="auto" w:fill="auto"/>
          </w:tcPr>
          <w:p w14:paraId="16DF9B1E" w14:textId="77777777" w:rsidR="00EB0F03" w:rsidRPr="00777395" w:rsidRDefault="00EB0F03"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Pr>
                <w:rFonts w:eastAsia="新細明體" w:cs="Segoe UI" w:hint="eastAsia"/>
                <w:sz w:val="22"/>
                <w:szCs w:val="22"/>
                <w:lang w:eastAsia="zh-TW"/>
              </w:rPr>
              <w:t xml:space="preserve"> [</w:t>
            </w:r>
            <w:r w:rsidRPr="003905B9">
              <w:rPr>
                <w:rFonts w:eastAsia="新細明體" w:cs="Segoe UI"/>
                <w:sz w:val="22"/>
                <w:lang w:eastAsia="zh-HK"/>
              </w:rPr>
              <w:t>標準</w:t>
            </w:r>
            <w:r w:rsidRPr="003905B9">
              <w:rPr>
                <w:rFonts w:eastAsia="新細明體" w:cs="Segoe UI"/>
                <w:sz w:val="22"/>
                <w:lang w:eastAsia="zh-TW"/>
              </w:rPr>
              <w:t>CVA</w:t>
            </w:r>
            <w:r>
              <w:rPr>
                <w:rFonts w:eastAsia="新細明體" w:cs="Segoe UI"/>
                <w:sz w:val="22"/>
                <w:lang w:eastAsia="zh-TW"/>
              </w:rPr>
              <w:t>]</w:t>
            </w:r>
          </w:p>
        </w:tc>
        <w:tc>
          <w:tcPr>
            <w:tcW w:w="992" w:type="dxa"/>
            <w:tcBorders>
              <w:top w:val="single" w:sz="2" w:space="0" w:color="000000"/>
              <w:left w:val="single" w:sz="8" w:space="0" w:color="000000"/>
              <w:bottom w:val="single" w:sz="4" w:space="0" w:color="000000"/>
            </w:tcBorders>
            <w:shd w:val="clear" w:color="auto" w:fill="auto"/>
          </w:tcPr>
          <w:p w14:paraId="1B4E8F50" w14:textId="739DED32"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2" w:space="0" w:color="000000"/>
              <w:left w:val="single" w:sz="4" w:space="0" w:color="000000"/>
              <w:bottom w:val="single" w:sz="4" w:space="0" w:color="000000"/>
            </w:tcBorders>
            <w:shd w:val="clear" w:color="auto" w:fill="auto"/>
          </w:tcPr>
          <w:p w14:paraId="2FDCB97E" w14:textId="77777777" w:rsidR="00EB0F03" w:rsidRPr="00777395" w:rsidRDefault="00EB0F03" w:rsidP="00EB0F03">
            <w:pPr>
              <w:suppressAutoHyphens/>
              <w:jc w:val="center"/>
              <w:rPr>
                <w:rFonts w:ascii="Wingdings 2" w:hAnsi="Wingdings 2" w:cs="Wingdings 2"/>
                <w:sz w:val="22"/>
                <w:szCs w:val="22"/>
                <w:lang w:eastAsia="ar-SA"/>
              </w:rPr>
            </w:pPr>
          </w:p>
        </w:tc>
        <w:tc>
          <w:tcPr>
            <w:tcW w:w="1276" w:type="dxa"/>
            <w:tcBorders>
              <w:top w:val="single" w:sz="2" w:space="0" w:color="000000"/>
              <w:left w:val="single" w:sz="8" w:space="0" w:color="000000"/>
              <w:bottom w:val="single" w:sz="4" w:space="0" w:color="000000"/>
            </w:tcBorders>
            <w:shd w:val="clear" w:color="auto" w:fill="auto"/>
          </w:tcPr>
          <w:p w14:paraId="41C4F0EA" w14:textId="66C19B25" w:rsidR="00EB0F03" w:rsidRPr="00777395" w:rsidRDefault="00100B71" w:rsidP="00EB0F0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2" w:space="0" w:color="000000"/>
              <w:left w:val="single" w:sz="4" w:space="0" w:color="000000"/>
              <w:bottom w:val="single" w:sz="4" w:space="0" w:color="000000"/>
            </w:tcBorders>
            <w:shd w:val="clear" w:color="auto" w:fill="auto"/>
          </w:tcPr>
          <w:p w14:paraId="3B5B0831"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2" w:space="0" w:color="000000"/>
              <w:left w:val="single" w:sz="4" w:space="0" w:color="000000"/>
              <w:bottom w:val="single" w:sz="4" w:space="0" w:color="000000"/>
              <w:right w:val="single" w:sz="8" w:space="0" w:color="000000"/>
            </w:tcBorders>
            <w:shd w:val="clear" w:color="auto" w:fill="auto"/>
          </w:tcPr>
          <w:p w14:paraId="2E5608B5" w14:textId="77777777" w:rsidR="00EB0F03" w:rsidRPr="00777395" w:rsidRDefault="00EB0F03" w:rsidP="00EB0F03">
            <w:pPr>
              <w:suppressAutoHyphens/>
              <w:jc w:val="center"/>
              <w:rPr>
                <w:rFonts w:ascii="Wingdings 2" w:hAnsi="Wingdings 2" w:cs="Wingdings 2"/>
                <w:sz w:val="22"/>
                <w:szCs w:val="22"/>
                <w:lang w:eastAsia="ar-SA"/>
              </w:rPr>
            </w:pPr>
          </w:p>
        </w:tc>
      </w:tr>
      <w:tr w:rsidR="00EB0F03" w:rsidRPr="00777395" w14:paraId="740F23E6" w14:textId="77777777" w:rsidTr="00F8781E">
        <w:trPr>
          <w:cantSplit/>
          <w:trHeight w:val="283"/>
        </w:trPr>
        <w:tc>
          <w:tcPr>
            <w:tcW w:w="2127" w:type="dxa"/>
            <w:vMerge w:val="restart"/>
            <w:tcBorders>
              <w:top w:val="single" w:sz="8" w:space="0" w:color="000000"/>
              <w:bottom w:val="single" w:sz="4" w:space="0" w:color="000000"/>
            </w:tcBorders>
            <w:shd w:val="clear" w:color="auto" w:fill="auto"/>
          </w:tcPr>
          <w:p w14:paraId="438F475A"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第</w:t>
            </w:r>
            <w:r w:rsidRPr="00777395">
              <w:rPr>
                <w:rFonts w:eastAsia="細明體" w:cs="Segoe UI"/>
                <w:sz w:val="22"/>
                <w:szCs w:val="22"/>
                <w:lang w:eastAsia="ar-SA"/>
              </w:rPr>
              <w:t>V</w:t>
            </w:r>
            <w:r w:rsidRPr="00777395">
              <w:rPr>
                <w:rFonts w:eastAsia="細明體" w:cs="Segoe UI" w:hint="eastAsia"/>
                <w:sz w:val="22"/>
                <w:szCs w:val="22"/>
                <w:lang w:eastAsia="ar-SA"/>
              </w:rPr>
              <w:t>部：證券化類別風險承擔</w:t>
            </w:r>
          </w:p>
        </w:tc>
        <w:tc>
          <w:tcPr>
            <w:tcW w:w="4819" w:type="dxa"/>
            <w:tcBorders>
              <w:top w:val="single" w:sz="8" w:space="0" w:color="000000"/>
              <w:left w:val="single" w:sz="8" w:space="0" w:color="000000"/>
              <w:bottom w:val="single" w:sz="2" w:space="0" w:color="000000"/>
            </w:tcBorders>
            <w:shd w:val="clear" w:color="auto" w:fill="auto"/>
          </w:tcPr>
          <w:p w14:paraId="6AB10DFA"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SECA</w:t>
            </w:r>
            <w:r w:rsidRPr="00777395">
              <w:rPr>
                <w:rFonts w:eastAsia="細明體" w:cs="Segoe UI" w:hint="eastAsia"/>
                <w:sz w:val="22"/>
                <w:szCs w:val="22"/>
                <w:lang w:eastAsia="ar-SA"/>
              </w:rPr>
              <w:t>：關於證券化類別風險承擔的描述披露</w:t>
            </w:r>
          </w:p>
        </w:tc>
        <w:tc>
          <w:tcPr>
            <w:tcW w:w="1701" w:type="dxa"/>
            <w:tcBorders>
              <w:top w:val="single" w:sz="8" w:space="0" w:color="000000"/>
              <w:left w:val="single" w:sz="8" w:space="0" w:color="000000"/>
              <w:bottom w:val="single" w:sz="2" w:space="0" w:color="000000"/>
            </w:tcBorders>
            <w:shd w:val="clear" w:color="auto" w:fill="auto"/>
          </w:tcPr>
          <w:p w14:paraId="25721833"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8" w:space="0" w:color="000000"/>
              <w:left w:val="single" w:sz="8" w:space="0" w:color="000000"/>
              <w:bottom w:val="single" w:sz="2" w:space="0" w:color="000000"/>
            </w:tcBorders>
            <w:shd w:val="clear" w:color="auto" w:fill="auto"/>
          </w:tcPr>
          <w:p w14:paraId="251710FB"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8" w:space="0" w:color="000000"/>
              <w:left w:val="single" w:sz="4" w:space="0" w:color="000000"/>
              <w:bottom w:val="single" w:sz="2" w:space="0" w:color="000000"/>
            </w:tcBorders>
            <w:shd w:val="clear" w:color="auto" w:fill="auto"/>
          </w:tcPr>
          <w:p w14:paraId="00F3265C"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8" w:space="0" w:color="000000"/>
              <w:left w:val="single" w:sz="8" w:space="0" w:color="000000"/>
              <w:bottom w:val="single" w:sz="2" w:space="0" w:color="000000"/>
            </w:tcBorders>
            <w:shd w:val="clear" w:color="auto" w:fill="auto"/>
          </w:tcPr>
          <w:p w14:paraId="0B133B3E"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8" w:space="0" w:color="000000"/>
              <w:left w:val="single" w:sz="4" w:space="0" w:color="000000"/>
              <w:bottom w:val="single" w:sz="2" w:space="0" w:color="000000"/>
            </w:tcBorders>
            <w:shd w:val="clear" w:color="auto" w:fill="auto"/>
          </w:tcPr>
          <w:p w14:paraId="7BD46641"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1E63C1D1" w14:textId="77777777" w:rsidR="00EB0F03" w:rsidRPr="00777395" w:rsidRDefault="00EB0F03"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EB0F03" w:rsidRPr="00777395" w14:paraId="1FEB306B" w14:textId="77777777" w:rsidTr="00F8781E">
        <w:trPr>
          <w:cantSplit/>
          <w:trHeight w:val="283"/>
        </w:trPr>
        <w:tc>
          <w:tcPr>
            <w:tcW w:w="2127" w:type="dxa"/>
            <w:vMerge/>
            <w:tcBorders>
              <w:top w:val="single" w:sz="4" w:space="0" w:color="000000"/>
              <w:bottom w:val="single" w:sz="4" w:space="0" w:color="000000"/>
            </w:tcBorders>
            <w:shd w:val="clear" w:color="auto" w:fill="auto"/>
          </w:tcPr>
          <w:p w14:paraId="03E11882" w14:textId="77777777" w:rsidR="00EB0F03" w:rsidRPr="00777395" w:rsidRDefault="00EB0F03" w:rsidP="00EB0F03">
            <w:pPr>
              <w:suppressAutoHyphens/>
              <w:snapToGrid w:val="0"/>
              <w:rPr>
                <w:rFonts w:eastAsia="細明體" w:cs="Segoe UI"/>
                <w:lang w:eastAsia="ar-SA"/>
              </w:rPr>
            </w:pPr>
          </w:p>
        </w:tc>
        <w:tc>
          <w:tcPr>
            <w:tcW w:w="4819" w:type="dxa"/>
            <w:tcBorders>
              <w:top w:val="single" w:sz="2" w:space="0" w:color="000000"/>
              <w:left w:val="single" w:sz="8" w:space="0" w:color="000000"/>
              <w:bottom w:val="single" w:sz="4" w:space="0" w:color="000000"/>
            </w:tcBorders>
            <w:shd w:val="clear" w:color="auto" w:fill="auto"/>
          </w:tcPr>
          <w:p w14:paraId="6D75E0B5"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SEC1</w:t>
            </w:r>
            <w:r w:rsidRPr="00777395">
              <w:rPr>
                <w:rFonts w:eastAsia="細明體" w:cs="Segoe UI"/>
                <w:sz w:val="22"/>
                <w:szCs w:val="22"/>
                <w:lang w:eastAsia="ar-SA"/>
              </w:rPr>
              <w:t>：</w:t>
            </w:r>
            <w:r w:rsidRPr="00777395">
              <w:rPr>
                <w:rFonts w:eastAsia="細明體" w:cs="Segoe UI" w:hint="eastAsia"/>
                <w:sz w:val="22"/>
                <w:szCs w:val="22"/>
                <w:lang w:eastAsia="ar-SA"/>
              </w:rPr>
              <w:t>銀行帳內的證券化類別風險承擔</w:t>
            </w:r>
          </w:p>
        </w:tc>
        <w:tc>
          <w:tcPr>
            <w:tcW w:w="1701" w:type="dxa"/>
            <w:tcBorders>
              <w:top w:val="single" w:sz="2" w:space="0" w:color="000000"/>
              <w:left w:val="single" w:sz="8" w:space="0" w:color="000000"/>
              <w:bottom w:val="single" w:sz="4" w:space="0" w:color="000000"/>
            </w:tcBorders>
            <w:shd w:val="clear" w:color="auto" w:fill="auto"/>
          </w:tcPr>
          <w:p w14:paraId="5E3A6368"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2" w:space="0" w:color="000000"/>
              <w:left w:val="single" w:sz="8" w:space="0" w:color="000000"/>
              <w:bottom w:val="single" w:sz="4" w:space="0" w:color="000000"/>
            </w:tcBorders>
            <w:shd w:val="clear" w:color="auto" w:fill="auto"/>
          </w:tcPr>
          <w:p w14:paraId="01047D1A"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2" w:space="0" w:color="000000"/>
              <w:left w:val="single" w:sz="4" w:space="0" w:color="000000"/>
              <w:bottom w:val="single" w:sz="4" w:space="0" w:color="000000"/>
            </w:tcBorders>
            <w:shd w:val="clear" w:color="auto" w:fill="auto"/>
          </w:tcPr>
          <w:p w14:paraId="24400CA3"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2" w:space="0" w:color="000000"/>
              <w:left w:val="single" w:sz="8" w:space="0" w:color="000000"/>
              <w:bottom w:val="single" w:sz="4" w:space="0" w:color="000000"/>
            </w:tcBorders>
            <w:shd w:val="clear" w:color="auto" w:fill="auto"/>
          </w:tcPr>
          <w:p w14:paraId="483199EA"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2" w:space="0" w:color="000000"/>
              <w:left w:val="single" w:sz="4" w:space="0" w:color="000000"/>
              <w:bottom w:val="single" w:sz="4" w:space="0" w:color="000000"/>
            </w:tcBorders>
            <w:shd w:val="clear" w:color="auto" w:fill="auto"/>
          </w:tcPr>
          <w:p w14:paraId="31EA7D0A"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0BCBAE52"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646D0EF8" w14:textId="77777777" w:rsidTr="00EB0F03">
        <w:trPr>
          <w:cantSplit/>
          <w:trHeight w:val="283"/>
        </w:trPr>
        <w:tc>
          <w:tcPr>
            <w:tcW w:w="2127" w:type="dxa"/>
            <w:vMerge/>
            <w:tcBorders>
              <w:top w:val="single" w:sz="4" w:space="0" w:color="000000"/>
              <w:bottom w:val="single" w:sz="4" w:space="0" w:color="000000"/>
            </w:tcBorders>
            <w:shd w:val="clear" w:color="auto" w:fill="auto"/>
          </w:tcPr>
          <w:p w14:paraId="1CAD4E4B"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3FA1496B"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SEC2</w:t>
            </w:r>
            <w:r w:rsidRPr="00777395">
              <w:rPr>
                <w:rFonts w:eastAsia="細明體" w:cs="Segoe UI" w:hint="eastAsia"/>
                <w:sz w:val="22"/>
                <w:szCs w:val="22"/>
                <w:lang w:eastAsia="ar-SA"/>
              </w:rPr>
              <w:t>：交易帳內的證券化類別風險承擔</w:t>
            </w:r>
          </w:p>
        </w:tc>
        <w:tc>
          <w:tcPr>
            <w:tcW w:w="1701" w:type="dxa"/>
            <w:tcBorders>
              <w:top w:val="single" w:sz="4" w:space="0" w:color="000000"/>
              <w:left w:val="single" w:sz="8" w:space="0" w:color="000000"/>
              <w:bottom w:val="single" w:sz="4" w:space="0" w:color="000000"/>
            </w:tcBorders>
            <w:shd w:val="clear" w:color="auto" w:fill="auto"/>
          </w:tcPr>
          <w:p w14:paraId="298A743A"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3F998D31"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tcPr>
          <w:p w14:paraId="00CA6C84"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tcPr>
          <w:p w14:paraId="70B1C404"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6EB9B2E8"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65115169"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545235DD" w14:textId="77777777" w:rsidTr="00EB0F03">
        <w:trPr>
          <w:cantSplit/>
          <w:trHeight w:val="283"/>
        </w:trPr>
        <w:tc>
          <w:tcPr>
            <w:tcW w:w="2127" w:type="dxa"/>
            <w:vMerge/>
            <w:tcBorders>
              <w:top w:val="single" w:sz="4" w:space="0" w:color="000000"/>
              <w:bottom w:val="single" w:sz="4" w:space="0" w:color="000000"/>
            </w:tcBorders>
            <w:shd w:val="clear" w:color="auto" w:fill="auto"/>
          </w:tcPr>
          <w:p w14:paraId="46E43A87"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3CA61F3D"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SEC3</w:t>
            </w:r>
            <w:r w:rsidRPr="00777395">
              <w:rPr>
                <w:rFonts w:eastAsia="細明體" w:cs="Segoe UI" w:hint="eastAsia"/>
                <w:sz w:val="22"/>
                <w:szCs w:val="22"/>
                <w:lang w:eastAsia="ar-SA"/>
              </w:rPr>
              <w:t>：銀行帳內的證券化類別風險承擔及相關資本規定</w:t>
            </w:r>
            <w:r w:rsidRPr="00777395">
              <w:rPr>
                <w:rFonts w:ascii="細明體" w:eastAsia="細明體" w:hAnsi="細明體" w:cs="細明體" w:hint="eastAsia"/>
                <w:sz w:val="22"/>
                <w:szCs w:val="22"/>
                <w:lang w:eastAsia="ar-SA"/>
              </w:rPr>
              <w:t>──</w:t>
            </w:r>
            <w:r w:rsidRPr="00777395">
              <w:rPr>
                <w:rFonts w:eastAsia="細明體" w:cs="Segoe UI" w:hint="eastAsia"/>
                <w:color w:val="000000"/>
                <w:sz w:val="22"/>
                <w:szCs w:val="22"/>
                <w:lang w:eastAsia="ar-SA"/>
              </w:rPr>
              <w:t>當認可機構</w:t>
            </w:r>
            <w:r w:rsidRPr="00777395">
              <w:rPr>
                <w:rFonts w:eastAsia="細明體" w:cs="Segoe UI" w:hint="eastAsia"/>
                <w:sz w:val="22"/>
                <w:szCs w:val="22"/>
                <w:lang w:eastAsia="ar-SA"/>
              </w:rPr>
              <w:t>作為發起人</w:t>
            </w:r>
          </w:p>
        </w:tc>
        <w:tc>
          <w:tcPr>
            <w:tcW w:w="1701" w:type="dxa"/>
            <w:tcBorders>
              <w:top w:val="single" w:sz="4" w:space="0" w:color="000000"/>
              <w:left w:val="single" w:sz="8" w:space="0" w:color="000000"/>
              <w:bottom w:val="single" w:sz="4" w:space="0" w:color="000000"/>
            </w:tcBorders>
            <w:shd w:val="clear" w:color="auto" w:fill="auto"/>
          </w:tcPr>
          <w:p w14:paraId="4C094AF7"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1B8DBD79"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27AA9955"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56C92B91"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7E9943C5"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58C9E48F"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57C28BE8" w14:textId="77777777" w:rsidTr="009C1B9D">
        <w:trPr>
          <w:cantSplit/>
          <w:trHeight w:val="283"/>
        </w:trPr>
        <w:tc>
          <w:tcPr>
            <w:tcW w:w="2127" w:type="dxa"/>
            <w:vMerge/>
            <w:tcBorders>
              <w:top w:val="single" w:sz="4" w:space="0" w:color="000000"/>
              <w:bottom w:val="single" w:sz="8" w:space="0" w:color="000000"/>
            </w:tcBorders>
            <w:shd w:val="clear" w:color="auto" w:fill="auto"/>
          </w:tcPr>
          <w:p w14:paraId="70E9390C"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3E3E726D" w14:textId="77777777" w:rsidR="00EB0F03" w:rsidRPr="00777395" w:rsidRDefault="00EB0F03" w:rsidP="00EB0F03">
            <w:pPr>
              <w:suppressAutoHyphens/>
              <w:rPr>
                <w:rFonts w:eastAsia="細明體" w:cs="Segoe UI"/>
                <w:sz w:val="22"/>
                <w:szCs w:val="22"/>
                <w:lang w:eastAsia="ar-SA"/>
              </w:rPr>
            </w:pPr>
            <w:r w:rsidRPr="00777395">
              <w:rPr>
                <w:rFonts w:eastAsia="細明體" w:cs="Segoe UI" w:hint="eastAsia"/>
                <w:sz w:val="22"/>
                <w:szCs w:val="22"/>
                <w:lang w:eastAsia="ar-SA"/>
              </w:rPr>
              <w:t>模版</w:t>
            </w:r>
            <w:r w:rsidRPr="00777395">
              <w:rPr>
                <w:rFonts w:eastAsia="細明體" w:cs="Segoe UI"/>
                <w:sz w:val="22"/>
                <w:szCs w:val="22"/>
                <w:lang w:eastAsia="ar-SA"/>
              </w:rPr>
              <w:t>SEC4</w:t>
            </w:r>
            <w:r w:rsidRPr="00777395">
              <w:rPr>
                <w:rFonts w:eastAsia="細明體" w:cs="Segoe UI" w:hint="eastAsia"/>
                <w:sz w:val="22"/>
                <w:szCs w:val="22"/>
                <w:lang w:eastAsia="ar-SA"/>
              </w:rPr>
              <w:t>：銀行帳內的證券化類別風險承擔及相關資本規定</w:t>
            </w:r>
            <w:r w:rsidRPr="00777395">
              <w:rPr>
                <w:rFonts w:ascii="細明體" w:eastAsia="細明體" w:hAnsi="細明體" w:cs="細明體" w:hint="eastAsia"/>
                <w:sz w:val="22"/>
                <w:szCs w:val="22"/>
                <w:lang w:eastAsia="ar-SA"/>
              </w:rPr>
              <w:t>──</w:t>
            </w:r>
            <w:r w:rsidRPr="00777395">
              <w:rPr>
                <w:rFonts w:eastAsia="細明體" w:cs="Segoe UI" w:hint="eastAsia"/>
                <w:color w:val="000000"/>
                <w:sz w:val="22"/>
                <w:szCs w:val="22"/>
                <w:lang w:eastAsia="ar-SA"/>
              </w:rPr>
              <w:t>當認可機構</w:t>
            </w:r>
            <w:r w:rsidRPr="00777395">
              <w:rPr>
                <w:rFonts w:eastAsia="細明體" w:cs="Segoe UI" w:hint="eastAsia"/>
                <w:sz w:val="22"/>
                <w:szCs w:val="22"/>
                <w:lang w:eastAsia="ar-SA"/>
              </w:rPr>
              <w:t>作為投資者</w:t>
            </w:r>
          </w:p>
        </w:tc>
        <w:tc>
          <w:tcPr>
            <w:tcW w:w="1701" w:type="dxa"/>
            <w:tcBorders>
              <w:top w:val="single" w:sz="4" w:space="0" w:color="000000"/>
              <w:left w:val="single" w:sz="8" w:space="0" w:color="000000"/>
              <w:bottom w:val="single" w:sz="4" w:space="0" w:color="000000"/>
            </w:tcBorders>
            <w:shd w:val="clear" w:color="auto" w:fill="auto"/>
          </w:tcPr>
          <w:p w14:paraId="7CB89D2E"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5172E8E4"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14:paraId="405D6458"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tcPr>
          <w:p w14:paraId="59DF64ED"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tcPr>
          <w:p w14:paraId="6A2FB395" w14:textId="77777777" w:rsidR="00EB0F03" w:rsidRPr="00777395" w:rsidRDefault="00EB0F03"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43095304" w14:textId="77777777" w:rsidR="00EB0F03" w:rsidRPr="00777395" w:rsidRDefault="00EB0F03" w:rsidP="00EB0F03">
            <w:pPr>
              <w:suppressAutoHyphens/>
              <w:snapToGrid w:val="0"/>
              <w:jc w:val="center"/>
              <w:rPr>
                <w:rFonts w:eastAsia="細明體" w:cs="Segoe UI"/>
                <w:sz w:val="22"/>
                <w:szCs w:val="22"/>
                <w:lang w:eastAsia="ar-SA"/>
              </w:rPr>
            </w:pPr>
          </w:p>
        </w:tc>
      </w:tr>
      <w:tr w:rsidR="007833DB" w:rsidRPr="00777395" w14:paraId="3B5FD818" w14:textId="77777777" w:rsidTr="00FC48B0">
        <w:trPr>
          <w:cantSplit/>
          <w:trHeight w:val="283"/>
        </w:trPr>
        <w:tc>
          <w:tcPr>
            <w:tcW w:w="2127" w:type="dxa"/>
            <w:vMerge w:val="restart"/>
            <w:tcBorders>
              <w:top w:val="single" w:sz="8" w:space="0" w:color="000000"/>
            </w:tcBorders>
            <w:shd w:val="clear" w:color="auto" w:fill="auto"/>
          </w:tcPr>
          <w:p w14:paraId="5D7E19BF" w14:textId="77777777" w:rsidR="007833DB" w:rsidRPr="00777395" w:rsidRDefault="007833DB" w:rsidP="00EB0F03">
            <w:pPr>
              <w:suppressAutoHyphens/>
              <w:rPr>
                <w:rFonts w:eastAsia="細明體" w:cs="Segoe UI"/>
                <w:sz w:val="22"/>
                <w:szCs w:val="22"/>
                <w:lang w:eastAsia="ar-SA"/>
              </w:rPr>
            </w:pPr>
            <w:r w:rsidRPr="00777395">
              <w:rPr>
                <w:rFonts w:eastAsia="細明體" w:cs="Segoe UI" w:hint="eastAsia"/>
                <w:sz w:val="22"/>
                <w:szCs w:val="22"/>
                <w:lang w:eastAsia="ar-SA"/>
              </w:rPr>
              <w:t>第</w:t>
            </w:r>
            <w:r w:rsidRPr="00777395">
              <w:rPr>
                <w:rFonts w:eastAsia="細明體" w:cs="Segoe UI"/>
                <w:sz w:val="22"/>
                <w:szCs w:val="22"/>
                <w:lang w:eastAsia="ar-SA"/>
              </w:rPr>
              <w:t>VI</w:t>
            </w:r>
            <w:r w:rsidRPr="00777395">
              <w:rPr>
                <w:rFonts w:eastAsia="細明體" w:cs="Segoe UI" w:hint="eastAsia"/>
                <w:sz w:val="22"/>
                <w:szCs w:val="22"/>
                <w:lang w:eastAsia="ar-SA"/>
              </w:rPr>
              <w:t>：市場風險</w:t>
            </w:r>
          </w:p>
        </w:tc>
        <w:tc>
          <w:tcPr>
            <w:tcW w:w="4819" w:type="dxa"/>
            <w:tcBorders>
              <w:top w:val="single" w:sz="8" w:space="0" w:color="000000"/>
              <w:left w:val="single" w:sz="8" w:space="0" w:color="000000"/>
              <w:bottom w:val="single" w:sz="4" w:space="0" w:color="000000"/>
            </w:tcBorders>
            <w:shd w:val="clear" w:color="auto" w:fill="auto"/>
          </w:tcPr>
          <w:p w14:paraId="49AEA5C1" w14:textId="77777777" w:rsidR="007833DB" w:rsidRPr="00777395" w:rsidRDefault="007833DB" w:rsidP="00EB0F03">
            <w:pPr>
              <w:suppressAutoHyphens/>
              <w:rPr>
                <w:rFonts w:eastAsia="細明體" w:cs="Segoe UI"/>
                <w:sz w:val="22"/>
                <w:szCs w:val="22"/>
                <w:lang w:eastAsia="ar-SA"/>
              </w:rPr>
            </w:pPr>
            <w:r w:rsidRPr="00777395">
              <w:rPr>
                <w:rFonts w:eastAsia="細明體" w:cs="Segoe UI" w:hint="eastAsia"/>
                <w:sz w:val="22"/>
                <w:szCs w:val="22"/>
                <w:lang w:eastAsia="ar-SA"/>
              </w:rPr>
              <w:t>表</w:t>
            </w:r>
            <w:r w:rsidRPr="00777395">
              <w:rPr>
                <w:rFonts w:eastAsia="細明體" w:cs="Segoe UI"/>
                <w:sz w:val="22"/>
                <w:szCs w:val="22"/>
                <w:lang w:eastAsia="ar-SA"/>
              </w:rPr>
              <w:t>MRA</w:t>
            </w:r>
            <w:r w:rsidRPr="00777395">
              <w:rPr>
                <w:rFonts w:eastAsia="細明體" w:cs="Segoe UI" w:hint="eastAsia"/>
                <w:sz w:val="22"/>
                <w:szCs w:val="22"/>
                <w:lang w:eastAsia="ar-SA"/>
              </w:rPr>
              <w:t>：關於市場風險的描述披露</w:t>
            </w:r>
          </w:p>
        </w:tc>
        <w:tc>
          <w:tcPr>
            <w:tcW w:w="1701" w:type="dxa"/>
            <w:tcBorders>
              <w:top w:val="single" w:sz="8" w:space="0" w:color="000000"/>
              <w:left w:val="single" w:sz="8" w:space="0" w:color="000000"/>
              <w:bottom w:val="single" w:sz="4" w:space="0" w:color="000000"/>
            </w:tcBorders>
            <w:shd w:val="clear" w:color="auto" w:fill="auto"/>
          </w:tcPr>
          <w:p w14:paraId="4C19B022" w14:textId="2624889C" w:rsidR="007833DB" w:rsidRPr="00777395" w:rsidRDefault="007833DB" w:rsidP="00F859EE">
            <w:pPr>
              <w:suppressAutoHyphens/>
              <w:jc w:val="center"/>
              <w:rPr>
                <w:rFonts w:eastAsia="細明體" w:cs="Segoe UI"/>
                <w:sz w:val="22"/>
                <w:szCs w:val="22"/>
                <w:lang w:eastAsia="ar-SA"/>
              </w:rPr>
            </w:pPr>
            <w:proofErr w:type="gramStart"/>
            <w:r w:rsidRPr="00777395">
              <w:rPr>
                <w:rFonts w:eastAsia="新細明體" w:cs="Segoe UI"/>
                <w:sz w:val="22"/>
                <w:szCs w:val="22"/>
                <w:lang w:eastAsia="zh-TW"/>
              </w:rPr>
              <w:t>本地</w:t>
            </w:r>
            <w:r w:rsidR="00A3002E">
              <w:rPr>
                <w:rFonts w:eastAsia="細明體" w:cs="Segoe UI" w:hint="cs"/>
                <w:sz w:val="22"/>
                <w:szCs w:val="22"/>
                <w:lang w:eastAsia="ar-SA"/>
              </w:rPr>
              <w:t>[</w:t>
            </w:r>
            <w:proofErr w:type="gramEnd"/>
            <w:r w:rsidRPr="00777395">
              <w:rPr>
                <w:rFonts w:eastAsia="細明體" w:cs="Segoe UI" w:hint="eastAsia"/>
                <w:sz w:val="22"/>
                <w:szCs w:val="22"/>
                <w:lang w:eastAsia="ar-SA"/>
              </w:rPr>
              <w:t>獲豁免</w:t>
            </w:r>
            <w:r w:rsidR="00F859EE">
              <w:rPr>
                <w:rFonts w:eastAsia="細明體" w:cs="Segoe UI" w:hint="eastAsia"/>
                <w:sz w:val="22"/>
                <w:szCs w:val="22"/>
                <w:lang w:eastAsia="zh-HK"/>
              </w:rPr>
              <w:t>用</w:t>
            </w:r>
            <w:r w:rsidR="00C6773D" w:rsidRPr="00777395">
              <w:rPr>
                <w:rFonts w:eastAsia="細明體" w:cs="Segoe UI" w:hint="eastAsia"/>
                <w:sz w:val="22"/>
                <w:szCs w:val="22"/>
                <w:lang w:eastAsia="ar-SA"/>
              </w:rPr>
              <w:t>市場風險</w:t>
            </w:r>
            <w:r w:rsidR="00C6773D">
              <w:rPr>
                <w:rFonts w:eastAsia="細明體" w:cs="Segoe UI" w:hint="eastAsia"/>
                <w:sz w:val="22"/>
                <w:szCs w:val="22"/>
                <w:lang w:eastAsia="zh-HK"/>
              </w:rPr>
              <w:t>框架</w:t>
            </w:r>
            <w:r w:rsidR="00C6773D">
              <w:rPr>
                <w:rFonts w:eastAsia="細明體" w:cs="Segoe UI"/>
                <w:sz w:val="22"/>
                <w:szCs w:val="22"/>
                <w:lang w:eastAsia="ar-SA"/>
              </w:rPr>
              <w:t>的認可機構</w:t>
            </w:r>
            <w:r w:rsidRPr="00777395">
              <w:rPr>
                <w:rFonts w:eastAsia="細明體" w:cs="Segoe UI" w:hint="eastAsia"/>
                <w:sz w:val="22"/>
                <w:szCs w:val="22"/>
                <w:lang w:eastAsia="ar-SA"/>
              </w:rPr>
              <w:t>除外</w:t>
            </w:r>
            <w:r w:rsidR="00A3002E">
              <w:rPr>
                <w:rFonts w:eastAsia="細明體" w:cs="Segoe UI" w:hint="cs"/>
                <w:sz w:val="22"/>
                <w:szCs w:val="22"/>
                <w:lang w:eastAsia="ar-SA"/>
              </w:rPr>
              <w:t>]</w:t>
            </w:r>
          </w:p>
        </w:tc>
        <w:tc>
          <w:tcPr>
            <w:tcW w:w="992" w:type="dxa"/>
            <w:tcBorders>
              <w:top w:val="single" w:sz="8" w:space="0" w:color="000000"/>
              <w:left w:val="single" w:sz="8" w:space="0" w:color="000000"/>
              <w:bottom w:val="single" w:sz="4" w:space="0" w:color="000000"/>
            </w:tcBorders>
            <w:shd w:val="clear" w:color="auto" w:fill="auto"/>
          </w:tcPr>
          <w:p w14:paraId="1086EC16" w14:textId="77777777" w:rsidR="007833DB" w:rsidRPr="00777395" w:rsidRDefault="007833DB" w:rsidP="00EB0F03">
            <w:pPr>
              <w:suppressAutoHyphens/>
              <w:snapToGrid w:val="0"/>
              <w:jc w:val="center"/>
              <w:rPr>
                <w:rFonts w:eastAsia="細明體" w:cs="Segoe UI"/>
                <w:sz w:val="22"/>
                <w:szCs w:val="22"/>
                <w:lang w:eastAsia="ar-SA"/>
              </w:rPr>
            </w:pPr>
          </w:p>
        </w:tc>
        <w:tc>
          <w:tcPr>
            <w:tcW w:w="992" w:type="dxa"/>
            <w:tcBorders>
              <w:top w:val="single" w:sz="8" w:space="0" w:color="000000"/>
              <w:left w:val="single" w:sz="4" w:space="0" w:color="000000"/>
              <w:bottom w:val="single" w:sz="4" w:space="0" w:color="000000"/>
            </w:tcBorders>
            <w:shd w:val="clear" w:color="auto" w:fill="auto"/>
          </w:tcPr>
          <w:p w14:paraId="231BB267" w14:textId="77777777" w:rsidR="007833DB" w:rsidRPr="00777395" w:rsidRDefault="007833DB" w:rsidP="00EB0F03">
            <w:pPr>
              <w:suppressAutoHyphens/>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8" w:space="0" w:color="000000"/>
              <w:left w:val="single" w:sz="8" w:space="0" w:color="000000"/>
              <w:bottom w:val="single" w:sz="4" w:space="0" w:color="000000"/>
            </w:tcBorders>
            <w:shd w:val="clear" w:color="auto" w:fill="auto"/>
          </w:tcPr>
          <w:p w14:paraId="7897EBE9" w14:textId="77777777" w:rsidR="007833DB" w:rsidRPr="00777395" w:rsidRDefault="007833DB" w:rsidP="00EB0F03">
            <w:pPr>
              <w:suppressAutoHyphens/>
              <w:snapToGrid w:val="0"/>
              <w:jc w:val="center"/>
              <w:rPr>
                <w:rFonts w:eastAsia="細明體" w:cs="Segoe UI"/>
                <w:sz w:val="22"/>
                <w:szCs w:val="22"/>
                <w:lang w:eastAsia="ar-SA"/>
              </w:rPr>
            </w:pPr>
          </w:p>
        </w:tc>
        <w:tc>
          <w:tcPr>
            <w:tcW w:w="1276" w:type="dxa"/>
            <w:tcBorders>
              <w:top w:val="single" w:sz="8" w:space="0" w:color="000000"/>
              <w:left w:val="single" w:sz="4" w:space="0" w:color="000000"/>
              <w:bottom w:val="single" w:sz="4" w:space="0" w:color="000000"/>
            </w:tcBorders>
            <w:shd w:val="clear" w:color="auto" w:fill="auto"/>
          </w:tcPr>
          <w:p w14:paraId="77424952" w14:textId="77777777" w:rsidR="007833DB" w:rsidRPr="00777395" w:rsidRDefault="007833DB" w:rsidP="00EB0F03">
            <w:pPr>
              <w:suppressAutoHyphens/>
              <w:snapToGrid w:val="0"/>
              <w:jc w:val="center"/>
              <w:rPr>
                <w:rFonts w:eastAsia="細明體" w:cs="Segoe UI"/>
                <w:sz w:val="22"/>
                <w:szCs w:val="22"/>
                <w:lang w:eastAsia="ar-SA"/>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4503BC69" w14:textId="77777777" w:rsidR="007833DB" w:rsidRPr="00777395" w:rsidRDefault="007833DB" w:rsidP="00EB0F03">
            <w:pPr>
              <w:suppressAutoHyphens/>
              <w:jc w:val="center"/>
              <w:rPr>
                <w:rFonts w:cs="Segoe UI"/>
                <w:sz w:val="22"/>
                <w:szCs w:val="22"/>
                <w:lang w:eastAsia="ar-SA"/>
              </w:rPr>
            </w:pPr>
            <w:r w:rsidRPr="00777395">
              <w:rPr>
                <w:rFonts w:ascii="Wingdings 2" w:hAnsi="Wingdings 2" w:cs="Wingdings 2"/>
                <w:sz w:val="22"/>
                <w:szCs w:val="22"/>
                <w:lang w:eastAsia="ar-SA"/>
              </w:rPr>
              <w:t></w:t>
            </w:r>
          </w:p>
        </w:tc>
      </w:tr>
      <w:tr w:rsidR="007833DB" w:rsidRPr="00777395" w14:paraId="59E247DC" w14:textId="77777777" w:rsidTr="009C1B9D">
        <w:trPr>
          <w:cantSplit/>
          <w:trHeight w:val="283"/>
        </w:trPr>
        <w:tc>
          <w:tcPr>
            <w:tcW w:w="2127" w:type="dxa"/>
            <w:vMerge/>
            <w:shd w:val="clear" w:color="auto" w:fill="auto"/>
          </w:tcPr>
          <w:p w14:paraId="66F1E34A" w14:textId="77777777" w:rsidR="007833DB" w:rsidRPr="00777395" w:rsidRDefault="007833DB"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68A96E2A" w14:textId="77777777" w:rsidR="007833DB" w:rsidRPr="00777395" w:rsidRDefault="007833DB" w:rsidP="00EB0F03">
            <w:pPr>
              <w:suppressAutoHyphens/>
              <w:rPr>
                <w:rFonts w:eastAsia="細明體" w:cs="Segoe UI"/>
                <w:sz w:val="22"/>
                <w:szCs w:val="22"/>
                <w:lang w:eastAsia="ar-SA"/>
              </w:rPr>
            </w:pPr>
            <w:r w:rsidRPr="003905B9">
              <w:rPr>
                <w:rFonts w:eastAsia="新細明體" w:cs="Segoe UI"/>
                <w:sz w:val="22"/>
                <w:lang w:eastAsia="zh-TW"/>
              </w:rPr>
              <w:t>模版</w:t>
            </w:r>
            <w:r w:rsidRPr="003905B9">
              <w:rPr>
                <w:rFonts w:eastAsia="新細明體" w:cs="Segoe UI"/>
                <w:sz w:val="22"/>
                <w:lang w:eastAsia="zh-TW"/>
              </w:rPr>
              <w:t>MR1</w:t>
            </w:r>
            <w:r w:rsidRPr="003905B9">
              <w:rPr>
                <w:rFonts w:eastAsia="新細明體" w:cs="Segoe UI"/>
                <w:sz w:val="22"/>
                <w:lang w:eastAsia="zh-TW"/>
              </w:rPr>
              <w:t>：</w:t>
            </w:r>
            <w:r>
              <w:rPr>
                <w:rFonts w:ascii="DengXian" w:eastAsia="DengXian" w:hAnsi="DengXian" w:cs="Segoe UI" w:hint="eastAsia"/>
                <w:sz w:val="22"/>
                <w:lang w:eastAsia="zh-TW"/>
              </w:rPr>
              <w:t>在</w:t>
            </w:r>
            <w:r w:rsidRPr="003905B9">
              <w:rPr>
                <w:rFonts w:eastAsia="新細明體" w:cs="Segoe UI"/>
                <w:sz w:val="22"/>
                <w:lang w:eastAsia="zh-TW"/>
              </w:rPr>
              <w:t>STM</w:t>
            </w:r>
            <w:r w:rsidRPr="003905B9">
              <w:rPr>
                <w:rFonts w:eastAsia="新細明體" w:cs="Segoe UI"/>
                <w:sz w:val="22"/>
                <w:lang w:eastAsia="zh-HK"/>
              </w:rPr>
              <w:t>計算法下的市場風險</w:t>
            </w:r>
          </w:p>
        </w:tc>
        <w:tc>
          <w:tcPr>
            <w:tcW w:w="1701" w:type="dxa"/>
            <w:tcBorders>
              <w:top w:val="single" w:sz="4" w:space="0" w:color="000000"/>
              <w:left w:val="single" w:sz="8" w:space="0" w:color="000000"/>
              <w:bottom w:val="single" w:sz="4" w:space="0" w:color="000000"/>
            </w:tcBorders>
            <w:shd w:val="clear" w:color="auto" w:fill="auto"/>
          </w:tcPr>
          <w:p w14:paraId="46F42AC2" w14:textId="7C0BBEAC" w:rsidR="007833DB" w:rsidRPr="00777395" w:rsidRDefault="007833DB"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sidR="00F948AE">
              <w:rPr>
                <w:rFonts w:eastAsia="新細明體" w:cs="Segoe UI" w:hint="eastAsia"/>
                <w:sz w:val="22"/>
                <w:szCs w:val="22"/>
                <w:lang w:eastAsia="zh-TW"/>
              </w:rPr>
              <w:t xml:space="preserve"> [</w:t>
            </w:r>
            <w:r w:rsidR="00F948AE" w:rsidRPr="003905B9">
              <w:rPr>
                <w:rFonts w:eastAsia="新細明體" w:cs="Segoe UI"/>
                <w:sz w:val="22"/>
                <w:lang w:eastAsia="zh-TW"/>
              </w:rPr>
              <w:t>STM</w:t>
            </w:r>
            <w:r w:rsidR="00F948AE">
              <w:rPr>
                <w:rFonts w:eastAsia="新細明體" w:cs="Segoe UI"/>
                <w:sz w:val="22"/>
                <w:lang w:eastAsia="zh-TW"/>
              </w:rPr>
              <w:t>]</w:t>
            </w:r>
          </w:p>
        </w:tc>
        <w:tc>
          <w:tcPr>
            <w:tcW w:w="992" w:type="dxa"/>
            <w:tcBorders>
              <w:top w:val="single" w:sz="4" w:space="0" w:color="000000"/>
              <w:left w:val="single" w:sz="8" w:space="0" w:color="000000"/>
              <w:bottom w:val="single" w:sz="4" w:space="0" w:color="000000"/>
            </w:tcBorders>
            <w:shd w:val="clear" w:color="auto" w:fill="auto"/>
            <w:vAlign w:val="center"/>
          </w:tcPr>
          <w:p w14:paraId="201924BA" w14:textId="77777777" w:rsidR="007833DB" w:rsidRPr="00777395" w:rsidRDefault="007833DB" w:rsidP="00F948AE">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7FA2BBA6" w14:textId="77777777" w:rsidR="007833DB" w:rsidRPr="00777395" w:rsidRDefault="007833DB" w:rsidP="00F948AE">
            <w:pPr>
              <w:suppressAutoHyphens/>
              <w:jc w:val="center"/>
              <w:rPr>
                <w:rFonts w:ascii="Wingdings 2" w:hAnsi="Wingdings 2" w:cs="Wingdings 2"/>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vAlign w:val="center"/>
          </w:tcPr>
          <w:p w14:paraId="2105C578" w14:textId="77777777" w:rsidR="007833DB" w:rsidRPr="00777395" w:rsidRDefault="007833DB" w:rsidP="0070655F">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575514D" w14:textId="77777777" w:rsidR="007833DB" w:rsidRPr="00777395" w:rsidRDefault="007833DB" w:rsidP="001E74C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0BCE678" w14:textId="77777777" w:rsidR="007833DB" w:rsidRPr="00777395" w:rsidRDefault="007833DB">
            <w:pPr>
              <w:suppressAutoHyphens/>
              <w:jc w:val="center"/>
              <w:rPr>
                <w:rFonts w:ascii="Wingdings 2" w:hAnsi="Wingdings 2" w:cs="Wingdings 2"/>
                <w:sz w:val="22"/>
                <w:szCs w:val="22"/>
                <w:lang w:eastAsia="ar-SA"/>
              </w:rPr>
            </w:pPr>
          </w:p>
        </w:tc>
      </w:tr>
      <w:tr w:rsidR="007833DB" w:rsidRPr="00777395" w14:paraId="00C1DAEE" w14:textId="77777777" w:rsidTr="009C1B9D">
        <w:trPr>
          <w:cantSplit/>
          <w:trHeight w:val="283"/>
        </w:trPr>
        <w:tc>
          <w:tcPr>
            <w:tcW w:w="2127" w:type="dxa"/>
            <w:vMerge/>
            <w:shd w:val="clear" w:color="auto" w:fill="auto"/>
          </w:tcPr>
          <w:p w14:paraId="58EB9A96" w14:textId="77777777" w:rsidR="007833DB" w:rsidRPr="00777395" w:rsidRDefault="007833DB"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61965A43" w14:textId="77777777" w:rsidR="007833DB" w:rsidRPr="00777395" w:rsidRDefault="007833DB" w:rsidP="00EB0F03">
            <w:pPr>
              <w:suppressAutoHyphens/>
              <w:rPr>
                <w:rFonts w:eastAsia="細明體" w:cs="Segoe UI"/>
                <w:sz w:val="22"/>
                <w:szCs w:val="22"/>
                <w:lang w:eastAsia="ar-SA"/>
              </w:rPr>
            </w:pPr>
            <w:r w:rsidRPr="003905B9">
              <w:rPr>
                <w:rFonts w:eastAsia="新細明體" w:cs="Segoe UI"/>
                <w:sz w:val="22"/>
                <w:lang w:eastAsia="zh-HK"/>
              </w:rPr>
              <w:t>表</w:t>
            </w:r>
            <w:r w:rsidRPr="003905B9">
              <w:rPr>
                <w:rFonts w:eastAsia="新細明體" w:cs="Segoe UI"/>
                <w:sz w:val="22"/>
                <w:lang w:eastAsia="zh-TW"/>
              </w:rPr>
              <w:t>MRB</w:t>
            </w:r>
            <w:r w:rsidRPr="003905B9">
              <w:rPr>
                <w:rFonts w:eastAsia="新細明體" w:cs="Segoe UI"/>
                <w:sz w:val="22"/>
                <w:lang w:eastAsia="zh-TW"/>
              </w:rPr>
              <w:t>：</w:t>
            </w:r>
            <w:r w:rsidRPr="003905B9">
              <w:rPr>
                <w:rFonts w:eastAsia="新細明體" w:cs="Segoe UI"/>
                <w:sz w:val="22"/>
                <w:lang w:eastAsia="zh-HK"/>
              </w:rPr>
              <w:t>使用</w:t>
            </w:r>
            <w:r w:rsidRPr="003905B9">
              <w:rPr>
                <w:rFonts w:eastAsia="新細明體" w:cs="Segoe UI"/>
                <w:sz w:val="22"/>
                <w:lang w:eastAsia="zh-TW"/>
              </w:rPr>
              <w:t>IMA</w:t>
            </w:r>
            <w:r w:rsidRPr="003905B9">
              <w:rPr>
                <w:rFonts w:eastAsia="新細明體" w:cs="Segoe UI"/>
                <w:sz w:val="22"/>
                <w:lang w:eastAsia="zh-HK"/>
              </w:rPr>
              <w:t>的認可機構的</w:t>
            </w:r>
            <w:r w:rsidRPr="009E5125">
              <w:rPr>
                <w:rFonts w:ascii="新細明體" w:eastAsia="新細明體" w:hAnsi="新細明體" w:cs="Segoe UI" w:hint="eastAsia"/>
                <w:sz w:val="22"/>
                <w:lang w:eastAsia="zh-TW"/>
              </w:rPr>
              <w:t>額外</w:t>
            </w:r>
            <w:r w:rsidRPr="003905B9">
              <w:rPr>
                <w:rFonts w:eastAsia="新細明體" w:cs="Segoe UI"/>
                <w:sz w:val="22"/>
                <w:lang w:eastAsia="zh-HK"/>
              </w:rPr>
              <w:t>描述披露</w:t>
            </w:r>
          </w:p>
        </w:tc>
        <w:tc>
          <w:tcPr>
            <w:tcW w:w="1701" w:type="dxa"/>
            <w:tcBorders>
              <w:top w:val="single" w:sz="4" w:space="0" w:color="000000"/>
              <w:left w:val="single" w:sz="8" w:space="0" w:color="000000"/>
              <w:bottom w:val="single" w:sz="4" w:space="0" w:color="000000"/>
            </w:tcBorders>
            <w:shd w:val="clear" w:color="auto" w:fill="auto"/>
          </w:tcPr>
          <w:p w14:paraId="60119A26" w14:textId="5F32C98A" w:rsidR="007833DB" w:rsidRPr="00777395" w:rsidRDefault="007833DB"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sidR="00F948AE">
              <w:rPr>
                <w:rFonts w:eastAsia="新細明體" w:cs="Segoe UI" w:hint="eastAsia"/>
                <w:sz w:val="22"/>
                <w:szCs w:val="22"/>
                <w:lang w:eastAsia="zh-TW"/>
              </w:rPr>
              <w:t xml:space="preserve"> [</w:t>
            </w:r>
            <w:r w:rsidR="00F948AE">
              <w:rPr>
                <w:rFonts w:eastAsia="新細明體" w:cs="Segoe UI"/>
                <w:sz w:val="22"/>
                <w:lang w:eastAsia="zh-TW"/>
              </w:rPr>
              <w:t>I</w:t>
            </w:r>
            <w:r w:rsidR="00F948AE" w:rsidRPr="003905B9">
              <w:rPr>
                <w:rFonts w:eastAsia="新細明體" w:cs="Segoe UI"/>
                <w:sz w:val="22"/>
                <w:lang w:eastAsia="zh-TW"/>
              </w:rPr>
              <w:t>M</w:t>
            </w:r>
            <w:r w:rsidR="00F948AE">
              <w:rPr>
                <w:rFonts w:eastAsia="新細明體" w:cs="Segoe UI"/>
                <w:sz w:val="22"/>
                <w:lang w:eastAsia="zh-TW"/>
              </w:rPr>
              <w:t>A]</w:t>
            </w:r>
          </w:p>
        </w:tc>
        <w:tc>
          <w:tcPr>
            <w:tcW w:w="992" w:type="dxa"/>
            <w:tcBorders>
              <w:top w:val="single" w:sz="4" w:space="0" w:color="000000"/>
              <w:left w:val="single" w:sz="8" w:space="0" w:color="000000"/>
              <w:bottom w:val="single" w:sz="4" w:space="0" w:color="000000"/>
            </w:tcBorders>
            <w:shd w:val="clear" w:color="auto" w:fill="auto"/>
            <w:vAlign w:val="center"/>
          </w:tcPr>
          <w:p w14:paraId="1E538D88" w14:textId="77777777" w:rsidR="007833DB" w:rsidRPr="00777395" w:rsidRDefault="007833DB" w:rsidP="00F948AE">
            <w:pPr>
              <w:suppressAutoHyphens/>
              <w:snapToGrid w:val="0"/>
              <w:jc w:val="center"/>
              <w:rPr>
                <w:rFonts w:eastAsia="細明體" w:cs="Segoe UI"/>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06695933" w14:textId="77777777" w:rsidR="007833DB" w:rsidRPr="00777395" w:rsidRDefault="007833DB" w:rsidP="00F948AE">
            <w:pPr>
              <w:suppressAutoHyphens/>
              <w:jc w:val="center"/>
              <w:rPr>
                <w:rFonts w:ascii="Wingdings 2" w:hAnsi="Wingdings 2" w:cs="Wingdings 2"/>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8" w:space="0" w:color="000000"/>
              <w:bottom w:val="single" w:sz="4" w:space="0" w:color="000000"/>
            </w:tcBorders>
            <w:shd w:val="clear" w:color="auto" w:fill="auto"/>
            <w:vAlign w:val="center"/>
          </w:tcPr>
          <w:p w14:paraId="128FB540" w14:textId="77777777" w:rsidR="007833DB" w:rsidRPr="00777395" w:rsidRDefault="007833DB" w:rsidP="0070655F">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E2902D0" w14:textId="77777777" w:rsidR="007833DB" w:rsidRPr="00777395" w:rsidRDefault="007833DB" w:rsidP="001E74C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5D9FA1" w14:textId="77777777" w:rsidR="007833DB" w:rsidRPr="00777395" w:rsidRDefault="007833DB">
            <w:pPr>
              <w:suppressAutoHyphens/>
              <w:jc w:val="center"/>
              <w:rPr>
                <w:rFonts w:ascii="Wingdings 2" w:hAnsi="Wingdings 2" w:cs="Wingdings 2"/>
                <w:sz w:val="22"/>
                <w:szCs w:val="22"/>
                <w:lang w:eastAsia="ar-SA"/>
              </w:rPr>
            </w:pPr>
            <w:r w:rsidRPr="00777395">
              <w:rPr>
                <w:rFonts w:ascii="Wingdings 2" w:hAnsi="Wingdings 2" w:cs="Wingdings 2"/>
                <w:sz w:val="22"/>
                <w:szCs w:val="22"/>
                <w:lang w:eastAsia="ar-SA"/>
              </w:rPr>
              <w:t></w:t>
            </w:r>
          </w:p>
        </w:tc>
      </w:tr>
      <w:tr w:rsidR="007833DB" w:rsidRPr="00777395" w14:paraId="6692A502" w14:textId="77777777" w:rsidTr="009C1B9D">
        <w:trPr>
          <w:cantSplit/>
          <w:trHeight w:val="283"/>
        </w:trPr>
        <w:tc>
          <w:tcPr>
            <w:tcW w:w="2127" w:type="dxa"/>
            <w:vMerge/>
            <w:shd w:val="clear" w:color="auto" w:fill="auto"/>
          </w:tcPr>
          <w:p w14:paraId="27F87E41" w14:textId="77777777" w:rsidR="007833DB" w:rsidRPr="00777395" w:rsidRDefault="007833DB"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03105A63" w14:textId="77777777" w:rsidR="007833DB" w:rsidRPr="00777395" w:rsidRDefault="007833DB" w:rsidP="00EB0F03">
            <w:pPr>
              <w:suppressAutoHyphens/>
              <w:rPr>
                <w:rFonts w:eastAsia="細明體" w:cs="Segoe UI"/>
                <w:sz w:val="22"/>
                <w:szCs w:val="22"/>
                <w:lang w:eastAsia="ar-SA"/>
              </w:rPr>
            </w:pPr>
            <w:r w:rsidRPr="003905B9">
              <w:rPr>
                <w:rFonts w:eastAsia="新細明體" w:cs="Segoe UI"/>
                <w:sz w:val="22"/>
                <w:lang w:eastAsia="zh-TW"/>
              </w:rPr>
              <w:t>模版</w:t>
            </w:r>
            <w:r w:rsidRPr="003905B9">
              <w:rPr>
                <w:rFonts w:eastAsia="新細明體" w:cs="Segoe UI"/>
                <w:sz w:val="22"/>
                <w:lang w:eastAsia="zh-TW"/>
              </w:rPr>
              <w:t>MR2</w:t>
            </w:r>
            <w:r w:rsidRPr="003905B9">
              <w:rPr>
                <w:rFonts w:eastAsia="新細明體" w:cs="Segoe UI"/>
                <w:sz w:val="22"/>
                <w:lang w:eastAsia="zh-TW"/>
              </w:rPr>
              <w:t>：</w:t>
            </w:r>
            <w:r w:rsidRPr="001B460B">
              <w:rPr>
                <w:rFonts w:ascii="新細明體" w:eastAsia="新細明體" w:hAnsi="新細明體" w:cs="Segoe UI" w:hint="eastAsia"/>
                <w:sz w:val="22"/>
                <w:lang w:eastAsia="zh-TW"/>
              </w:rPr>
              <w:t>在</w:t>
            </w:r>
            <w:r w:rsidRPr="003905B9">
              <w:rPr>
                <w:rFonts w:eastAsia="新細明體" w:cs="Segoe UI"/>
                <w:sz w:val="22"/>
                <w:lang w:eastAsia="zh-TW"/>
              </w:rPr>
              <w:t>IMA</w:t>
            </w:r>
            <w:r w:rsidRPr="003905B9">
              <w:rPr>
                <w:rFonts w:eastAsia="新細明體" w:cs="Segoe UI"/>
                <w:sz w:val="22"/>
                <w:lang w:eastAsia="zh-HK"/>
              </w:rPr>
              <w:t>下的市場風險</w:t>
            </w:r>
          </w:p>
        </w:tc>
        <w:tc>
          <w:tcPr>
            <w:tcW w:w="1701" w:type="dxa"/>
            <w:tcBorders>
              <w:top w:val="single" w:sz="4" w:space="0" w:color="000000"/>
              <w:left w:val="single" w:sz="8" w:space="0" w:color="000000"/>
              <w:bottom w:val="single" w:sz="4" w:space="0" w:color="000000"/>
            </w:tcBorders>
            <w:shd w:val="clear" w:color="auto" w:fill="auto"/>
          </w:tcPr>
          <w:p w14:paraId="25682D9E" w14:textId="7601DDEB" w:rsidR="007833DB" w:rsidRPr="00777395" w:rsidRDefault="007833DB" w:rsidP="00EB0F03">
            <w:pPr>
              <w:suppressAutoHyphens/>
              <w:jc w:val="center"/>
              <w:rPr>
                <w:rFonts w:eastAsia="新細明體" w:cs="Segoe UI"/>
                <w:sz w:val="22"/>
                <w:szCs w:val="22"/>
                <w:lang w:eastAsia="zh-TW"/>
              </w:rPr>
            </w:pPr>
            <w:r w:rsidRPr="00777395">
              <w:rPr>
                <w:rFonts w:eastAsia="新細明體" w:cs="Segoe UI"/>
                <w:sz w:val="22"/>
                <w:szCs w:val="22"/>
                <w:lang w:eastAsia="zh-TW"/>
              </w:rPr>
              <w:t>本地</w:t>
            </w:r>
            <w:r w:rsidR="00F948AE">
              <w:rPr>
                <w:rFonts w:eastAsia="新細明體" w:cs="Segoe UI" w:hint="eastAsia"/>
                <w:sz w:val="22"/>
                <w:szCs w:val="22"/>
                <w:lang w:eastAsia="zh-TW"/>
              </w:rPr>
              <w:t xml:space="preserve"> [</w:t>
            </w:r>
            <w:r w:rsidR="00F948AE">
              <w:rPr>
                <w:rFonts w:eastAsia="新細明體" w:cs="Segoe UI"/>
                <w:sz w:val="22"/>
                <w:lang w:eastAsia="zh-TW"/>
              </w:rPr>
              <w:t>I</w:t>
            </w:r>
            <w:r w:rsidR="00F948AE" w:rsidRPr="003905B9">
              <w:rPr>
                <w:rFonts w:eastAsia="新細明體" w:cs="Segoe UI"/>
                <w:sz w:val="22"/>
                <w:lang w:eastAsia="zh-TW"/>
              </w:rPr>
              <w:t>M</w:t>
            </w:r>
            <w:r w:rsidR="00F948AE">
              <w:rPr>
                <w:rFonts w:eastAsia="新細明體" w:cs="Segoe UI"/>
                <w:sz w:val="22"/>
                <w:lang w:eastAsia="zh-TW"/>
              </w:rPr>
              <w:t>A]</w:t>
            </w:r>
          </w:p>
        </w:tc>
        <w:tc>
          <w:tcPr>
            <w:tcW w:w="992" w:type="dxa"/>
            <w:tcBorders>
              <w:top w:val="single" w:sz="4" w:space="0" w:color="000000"/>
              <w:left w:val="single" w:sz="8" w:space="0" w:color="000000"/>
              <w:bottom w:val="single" w:sz="4" w:space="0" w:color="000000"/>
            </w:tcBorders>
            <w:shd w:val="clear" w:color="auto" w:fill="auto"/>
            <w:vAlign w:val="center"/>
          </w:tcPr>
          <w:p w14:paraId="28AAD796" w14:textId="77777777" w:rsidR="007833DB" w:rsidRPr="00777395" w:rsidRDefault="007833DB" w:rsidP="00F948AE">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3D1D6BC6" w14:textId="77777777" w:rsidR="007833DB" w:rsidRPr="00777395" w:rsidRDefault="007833DB" w:rsidP="00F948AE">
            <w:pPr>
              <w:suppressAutoHyphens/>
              <w:jc w:val="center"/>
              <w:rPr>
                <w:rFonts w:ascii="Wingdings 2" w:hAnsi="Wingdings 2" w:cs="Wingdings 2"/>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vAlign w:val="center"/>
          </w:tcPr>
          <w:p w14:paraId="2CBC57B2" w14:textId="77777777" w:rsidR="007833DB" w:rsidRPr="00777395" w:rsidRDefault="007833DB" w:rsidP="0070655F">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6" w:type="dxa"/>
            <w:tcBorders>
              <w:top w:val="single" w:sz="4" w:space="0" w:color="000000"/>
              <w:left w:val="single" w:sz="4" w:space="0" w:color="000000"/>
              <w:bottom w:val="single" w:sz="4" w:space="0" w:color="000000"/>
            </w:tcBorders>
            <w:shd w:val="clear" w:color="auto" w:fill="auto"/>
            <w:vAlign w:val="center"/>
          </w:tcPr>
          <w:p w14:paraId="507D11D8" w14:textId="77777777" w:rsidR="007833DB" w:rsidRPr="00777395" w:rsidRDefault="007833DB" w:rsidP="001E74C3">
            <w:pPr>
              <w:suppressAutoHyphens/>
              <w:snapToGrid w:val="0"/>
              <w:jc w:val="center"/>
              <w:rPr>
                <w:rFonts w:eastAsia="細明體" w:cs="Segoe UI"/>
                <w:sz w:val="22"/>
                <w:szCs w:val="22"/>
                <w:lang w:eastAsia="ar-SA"/>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225E90" w14:textId="77777777" w:rsidR="007833DB" w:rsidRPr="00777395" w:rsidRDefault="007833DB">
            <w:pPr>
              <w:suppressAutoHyphens/>
              <w:jc w:val="center"/>
              <w:rPr>
                <w:rFonts w:ascii="Wingdings 2" w:hAnsi="Wingdings 2" w:cs="Wingdings 2"/>
                <w:sz w:val="22"/>
                <w:szCs w:val="22"/>
                <w:lang w:eastAsia="ar-SA"/>
              </w:rPr>
            </w:pPr>
          </w:p>
        </w:tc>
      </w:tr>
      <w:tr w:rsidR="007833DB" w:rsidRPr="00777395" w14:paraId="7D0FF1E3" w14:textId="77777777" w:rsidTr="009C1B9D">
        <w:trPr>
          <w:cantSplit/>
          <w:trHeight w:val="283"/>
        </w:trPr>
        <w:tc>
          <w:tcPr>
            <w:tcW w:w="2127" w:type="dxa"/>
            <w:vMerge/>
            <w:shd w:val="clear" w:color="auto" w:fill="auto"/>
          </w:tcPr>
          <w:p w14:paraId="22D130BE" w14:textId="77777777" w:rsidR="007833DB" w:rsidRPr="00777395" w:rsidRDefault="007833DB"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4E47BBE5" w14:textId="77777777" w:rsidR="007833DB" w:rsidRPr="00777395" w:rsidRDefault="007833DB" w:rsidP="00EB0F03">
            <w:pPr>
              <w:suppressAutoHyphens/>
              <w:rPr>
                <w:rFonts w:eastAsia="細明體" w:cs="Segoe UI"/>
                <w:sz w:val="22"/>
                <w:szCs w:val="22"/>
                <w:lang w:eastAsia="ar-SA"/>
              </w:rPr>
            </w:pPr>
            <w:r w:rsidRPr="00DF4652">
              <w:rPr>
                <w:rFonts w:eastAsia="新細明體" w:cs="Segoe UI"/>
                <w:sz w:val="22"/>
                <w:lang w:eastAsia="zh-TW"/>
              </w:rPr>
              <w:t>模版</w:t>
            </w:r>
            <w:r w:rsidRPr="00DF4652">
              <w:rPr>
                <w:rFonts w:eastAsia="新細明體" w:cs="Segoe UI"/>
                <w:sz w:val="22"/>
                <w:lang w:eastAsia="zh-TW"/>
              </w:rPr>
              <w:t>MR3</w:t>
            </w:r>
            <w:r w:rsidRPr="00DF4652">
              <w:rPr>
                <w:rFonts w:eastAsia="新細明體" w:cs="Segoe UI"/>
                <w:sz w:val="22"/>
                <w:lang w:eastAsia="zh-TW"/>
              </w:rPr>
              <w:t>：</w:t>
            </w:r>
            <w:r w:rsidRPr="00DF4652">
              <w:rPr>
                <w:rFonts w:ascii="新細明體" w:eastAsia="新細明體" w:hAnsi="新細明體" w:cs="Segoe UI" w:hint="eastAsia"/>
                <w:sz w:val="22"/>
                <w:lang w:eastAsia="zh-TW"/>
              </w:rPr>
              <w:t>在</w:t>
            </w:r>
            <w:r w:rsidRPr="00DF4652">
              <w:rPr>
                <w:rFonts w:eastAsia="新細明體" w:cs="Segoe UI"/>
                <w:sz w:val="22"/>
                <w:lang w:eastAsia="zh-TW"/>
              </w:rPr>
              <w:t>SSTM</w:t>
            </w:r>
            <w:r w:rsidRPr="00933761">
              <w:rPr>
                <w:rFonts w:eastAsia="新細明體" w:cs="Segoe UI"/>
                <w:sz w:val="22"/>
                <w:lang w:eastAsia="zh-HK"/>
              </w:rPr>
              <w:t>計算法下的市場風險</w:t>
            </w:r>
          </w:p>
        </w:tc>
        <w:tc>
          <w:tcPr>
            <w:tcW w:w="1701" w:type="dxa"/>
            <w:tcBorders>
              <w:top w:val="single" w:sz="4" w:space="0" w:color="000000"/>
              <w:left w:val="single" w:sz="8" w:space="0" w:color="000000"/>
              <w:bottom w:val="single" w:sz="4" w:space="0" w:color="000000"/>
            </w:tcBorders>
            <w:shd w:val="clear" w:color="auto" w:fill="auto"/>
          </w:tcPr>
          <w:p w14:paraId="310015FC" w14:textId="5708A6CC" w:rsidR="007833DB" w:rsidRPr="00777395" w:rsidRDefault="007833DB" w:rsidP="00F948AE">
            <w:pPr>
              <w:suppressAutoHyphens/>
              <w:jc w:val="center"/>
              <w:rPr>
                <w:rFonts w:eastAsia="新細明體" w:cs="Segoe UI"/>
                <w:sz w:val="22"/>
                <w:szCs w:val="22"/>
                <w:lang w:eastAsia="zh-TW"/>
              </w:rPr>
            </w:pPr>
            <w:r w:rsidRPr="00777395">
              <w:rPr>
                <w:rFonts w:eastAsia="新細明體" w:cs="Segoe UI"/>
                <w:sz w:val="22"/>
                <w:szCs w:val="22"/>
                <w:lang w:eastAsia="zh-TW"/>
              </w:rPr>
              <w:t>本地</w:t>
            </w:r>
            <w:r w:rsidR="00F948AE">
              <w:rPr>
                <w:rFonts w:eastAsia="新細明體" w:cs="Segoe UI" w:hint="eastAsia"/>
                <w:sz w:val="22"/>
                <w:szCs w:val="22"/>
                <w:lang w:eastAsia="zh-TW"/>
              </w:rPr>
              <w:t xml:space="preserve"> [</w:t>
            </w:r>
            <w:r w:rsidR="00F948AE">
              <w:rPr>
                <w:rFonts w:eastAsia="新細明體" w:cs="Segoe UI"/>
                <w:sz w:val="22"/>
                <w:lang w:eastAsia="zh-TW"/>
              </w:rPr>
              <w:t>SSTM]</w:t>
            </w:r>
          </w:p>
        </w:tc>
        <w:tc>
          <w:tcPr>
            <w:tcW w:w="992" w:type="dxa"/>
            <w:tcBorders>
              <w:top w:val="single" w:sz="4" w:space="0" w:color="000000"/>
              <w:left w:val="single" w:sz="8" w:space="0" w:color="000000"/>
              <w:bottom w:val="single" w:sz="4" w:space="0" w:color="000000"/>
            </w:tcBorders>
            <w:shd w:val="clear" w:color="auto" w:fill="auto"/>
            <w:vAlign w:val="center"/>
          </w:tcPr>
          <w:p w14:paraId="6B583D8F" w14:textId="77777777" w:rsidR="007833DB" w:rsidRPr="00777395" w:rsidRDefault="007833DB" w:rsidP="00F948AE">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333E8F0F" w14:textId="77777777" w:rsidR="007833DB" w:rsidRPr="00777395" w:rsidRDefault="007833DB" w:rsidP="00F948AE">
            <w:pPr>
              <w:suppressAutoHyphens/>
              <w:jc w:val="center"/>
              <w:rPr>
                <w:rFonts w:ascii="Wingdings 2" w:hAnsi="Wingdings 2" w:cs="Wingdings 2"/>
                <w:sz w:val="22"/>
                <w:szCs w:val="22"/>
                <w:lang w:eastAsia="ar-SA"/>
              </w:rPr>
            </w:pPr>
          </w:p>
        </w:tc>
        <w:tc>
          <w:tcPr>
            <w:tcW w:w="1276" w:type="dxa"/>
            <w:tcBorders>
              <w:top w:val="single" w:sz="4" w:space="0" w:color="000000"/>
              <w:left w:val="single" w:sz="8" w:space="0" w:color="000000"/>
              <w:bottom w:val="single" w:sz="4" w:space="0" w:color="000000"/>
            </w:tcBorders>
            <w:shd w:val="clear" w:color="auto" w:fill="auto"/>
            <w:vAlign w:val="center"/>
          </w:tcPr>
          <w:p w14:paraId="020312E3" w14:textId="77777777" w:rsidR="007833DB" w:rsidRPr="00777395" w:rsidRDefault="007833DB" w:rsidP="0070655F">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AF8392C" w14:textId="77777777" w:rsidR="007833DB" w:rsidRPr="00777395" w:rsidRDefault="007833DB" w:rsidP="001E74C3">
            <w:pPr>
              <w:suppressAutoHyphens/>
              <w:snapToGrid w:val="0"/>
              <w:jc w:val="center"/>
              <w:rPr>
                <w:rFonts w:eastAsia="細明體" w:cs="Segoe UI"/>
                <w:sz w:val="22"/>
                <w:szCs w:val="22"/>
                <w:lang w:eastAsia="ar-SA"/>
              </w:rPr>
            </w:pPr>
            <w:r w:rsidRPr="00777395">
              <w:rPr>
                <w:rFonts w:ascii="Wingdings 2" w:hAnsi="Wingdings 2" w:cs="Wingdings 2"/>
                <w:sz w:val="22"/>
                <w:szCs w:val="22"/>
                <w:lang w:eastAsia="ar-SA"/>
              </w:rPr>
              <w:t></w:t>
            </w:r>
          </w:p>
        </w:tc>
        <w:tc>
          <w:tcPr>
            <w:tcW w:w="127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FB63B5B" w14:textId="77777777" w:rsidR="007833DB" w:rsidRPr="00777395" w:rsidRDefault="007833DB">
            <w:pPr>
              <w:suppressAutoHyphens/>
              <w:jc w:val="center"/>
              <w:rPr>
                <w:rFonts w:ascii="Wingdings 2" w:hAnsi="Wingdings 2" w:cs="Wingdings 2"/>
                <w:sz w:val="22"/>
                <w:szCs w:val="22"/>
                <w:lang w:eastAsia="ar-SA"/>
              </w:rPr>
            </w:pPr>
          </w:p>
        </w:tc>
      </w:tr>
      <w:tr w:rsidR="00EB0F03" w:rsidRPr="00777395" w14:paraId="79044BE2" w14:textId="77777777" w:rsidTr="009C1B9D">
        <w:trPr>
          <w:cantSplit/>
          <w:trHeight w:val="283"/>
        </w:trPr>
        <w:tc>
          <w:tcPr>
            <w:tcW w:w="2127" w:type="dxa"/>
            <w:tcBorders>
              <w:top w:val="single" w:sz="8" w:space="0" w:color="000000"/>
            </w:tcBorders>
            <w:shd w:val="clear" w:color="auto" w:fill="auto"/>
          </w:tcPr>
          <w:p w14:paraId="50AA40CB" w14:textId="51C27683" w:rsidR="00EB0F03" w:rsidRPr="00777395" w:rsidRDefault="007833DB" w:rsidP="00EB0F03">
            <w:pPr>
              <w:suppressAutoHyphens/>
              <w:snapToGrid w:val="0"/>
              <w:rPr>
                <w:rFonts w:eastAsia="細明體" w:cs="Segoe UI"/>
                <w:lang w:eastAsia="ar-SA"/>
              </w:rPr>
            </w:pPr>
            <w:r w:rsidRPr="00777395">
              <w:rPr>
                <w:rFonts w:eastAsia="細明體" w:cs="Segoe UI"/>
                <w:sz w:val="22"/>
                <w:szCs w:val="22"/>
                <w:lang w:eastAsia="zh-TW"/>
              </w:rPr>
              <w:t>第</w:t>
            </w:r>
            <w:r w:rsidRPr="00777395">
              <w:rPr>
                <w:rFonts w:eastAsia="細明體" w:cs="Segoe UI"/>
                <w:sz w:val="22"/>
                <w:szCs w:val="22"/>
                <w:lang w:eastAsia="zh-TW"/>
              </w:rPr>
              <w:t>VII</w:t>
            </w:r>
            <w:r w:rsidRPr="00777395">
              <w:rPr>
                <w:rFonts w:eastAsia="細明體" w:cs="Segoe UI"/>
                <w:sz w:val="22"/>
                <w:szCs w:val="22"/>
                <w:lang w:eastAsia="zh-TW"/>
              </w:rPr>
              <w:t>部：銀行帳內的利率風險</w:t>
            </w:r>
          </w:p>
        </w:tc>
        <w:tc>
          <w:tcPr>
            <w:tcW w:w="4819" w:type="dxa"/>
            <w:tcBorders>
              <w:top w:val="single" w:sz="8" w:space="0" w:color="000000"/>
              <w:left w:val="single" w:sz="8" w:space="0" w:color="000000"/>
              <w:bottom w:val="single" w:sz="4" w:space="0" w:color="000000"/>
            </w:tcBorders>
            <w:shd w:val="clear" w:color="auto" w:fill="auto"/>
          </w:tcPr>
          <w:p w14:paraId="2E8484D6" w14:textId="77777777" w:rsidR="00EB0F03" w:rsidRPr="00777395" w:rsidRDefault="00EB0F03" w:rsidP="00EB0F03">
            <w:pPr>
              <w:suppressAutoHyphens/>
              <w:rPr>
                <w:rFonts w:eastAsia="細明體" w:cs="Segoe UI"/>
                <w:sz w:val="22"/>
                <w:szCs w:val="22"/>
                <w:lang w:eastAsia="ar-SA"/>
              </w:rPr>
            </w:pPr>
            <w:r w:rsidRPr="00777395">
              <w:rPr>
                <w:rFonts w:eastAsia="細明體" w:cs="Segoe UI"/>
                <w:sz w:val="22"/>
                <w:szCs w:val="22"/>
                <w:lang w:eastAsia="zh-TW"/>
              </w:rPr>
              <w:t>表</w:t>
            </w:r>
            <w:r w:rsidRPr="00777395">
              <w:rPr>
                <w:rFonts w:cs="Segoe UI"/>
                <w:sz w:val="22"/>
                <w:szCs w:val="22"/>
                <w:lang w:eastAsia="zh-TW"/>
              </w:rPr>
              <w:t>IRRBBA</w:t>
            </w:r>
            <w:r w:rsidRPr="00777395">
              <w:rPr>
                <w:rFonts w:eastAsia="細明體" w:cs="Segoe UI"/>
                <w:sz w:val="22"/>
                <w:szCs w:val="22"/>
                <w:lang w:eastAsia="zh-TW"/>
              </w:rPr>
              <w:t>：銀行帳內的利率風險</w:t>
            </w:r>
            <w:proofErr w:type="gramStart"/>
            <w:r w:rsidRPr="00777395">
              <w:rPr>
                <w:rFonts w:ascii="細明體" w:eastAsia="細明體" w:hAnsi="細明體" w:cs="細明體" w:hint="eastAsia"/>
                <w:sz w:val="22"/>
                <w:szCs w:val="22"/>
                <w:lang w:eastAsia="zh-TW"/>
              </w:rPr>
              <w:t>──</w:t>
            </w:r>
            <w:proofErr w:type="gramEnd"/>
            <w:r w:rsidRPr="00777395">
              <w:rPr>
                <w:rFonts w:eastAsia="細明體" w:cs="Segoe UI"/>
                <w:sz w:val="22"/>
                <w:szCs w:val="22"/>
                <w:lang w:eastAsia="zh-TW"/>
              </w:rPr>
              <w:t>風險管理目標及政策</w:t>
            </w:r>
          </w:p>
        </w:tc>
        <w:tc>
          <w:tcPr>
            <w:tcW w:w="1701" w:type="dxa"/>
            <w:tcBorders>
              <w:top w:val="single" w:sz="8" w:space="0" w:color="000000"/>
              <w:left w:val="single" w:sz="8" w:space="0" w:color="000000"/>
              <w:bottom w:val="single" w:sz="4" w:space="0" w:color="000000"/>
            </w:tcBorders>
            <w:shd w:val="clear" w:color="auto" w:fill="auto"/>
          </w:tcPr>
          <w:p w14:paraId="2CE8DE75" w14:textId="77777777" w:rsidR="00EB0F03" w:rsidRPr="00777395" w:rsidRDefault="00EB0F03" w:rsidP="00EB0F03">
            <w:pPr>
              <w:suppressAutoHyphens/>
              <w:jc w:val="center"/>
              <w:rPr>
                <w:rFonts w:eastAsia="細明體" w:cs="Segoe UI"/>
                <w:sz w:val="22"/>
                <w:szCs w:val="22"/>
                <w:lang w:eastAsia="ar-SA"/>
              </w:rPr>
            </w:pPr>
            <w:r w:rsidRPr="00777395">
              <w:rPr>
                <w:rFonts w:eastAsia="新細明體" w:cs="Segoe U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7CAB0ABD" w14:textId="77777777" w:rsidR="00EB0F03" w:rsidRPr="00777395" w:rsidRDefault="00EB0F03" w:rsidP="00EB0F03">
            <w:pPr>
              <w:suppressAutoHyphens/>
              <w:snapToGrid w:val="0"/>
              <w:jc w:val="center"/>
              <w:rPr>
                <w:rFonts w:eastAsia="細明體" w:cs="Segoe UI"/>
                <w:sz w:val="22"/>
                <w:szCs w:val="22"/>
                <w:lang w:eastAsia="ar-SA"/>
              </w:rPr>
            </w:pPr>
          </w:p>
        </w:tc>
        <w:tc>
          <w:tcPr>
            <w:tcW w:w="992" w:type="dxa"/>
            <w:tcBorders>
              <w:top w:val="single" w:sz="8" w:space="0" w:color="000000"/>
              <w:left w:val="single" w:sz="4" w:space="0" w:color="000000"/>
              <w:bottom w:val="single" w:sz="4" w:space="0" w:color="000000"/>
            </w:tcBorders>
            <w:shd w:val="clear" w:color="auto" w:fill="auto"/>
          </w:tcPr>
          <w:p w14:paraId="48C7E581" w14:textId="77777777" w:rsidR="00EB0F03" w:rsidRPr="00777395" w:rsidRDefault="00EB0F03" w:rsidP="00EB0F03">
            <w:pPr>
              <w:suppressAutoHyphens/>
              <w:jc w:val="center"/>
              <w:rPr>
                <w:rFonts w:eastAsia="細明體" w:cs="Segoe UI"/>
                <w:sz w:val="22"/>
                <w:szCs w:val="22"/>
                <w:lang w:eastAsia="ar-SA"/>
              </w:rPr>
            </w:pPr>
            <w:r w:rsidRPr="00777395">
              <w:rPr>
                <w:rFonts w:cs="Segoe UI"/>
                <w:sz w:val="22"/>
                <w:szCs w:val="22"/>
                <w:lang w:eastAsia="en-GB"/>
              </w:rPr>
              <w:sym w:font="Wingdings 2" w:char="F050"/>
            </w:r>
          </w:p>
        </w:tc>
        <w:tc>
          <w:tcPr>
            <w:tcW w:w="1276" w:type="dxa"/>
            <w:tcBorders>
              <w:top w:val="single" w:sz="8" w:space="0" w:color="000000"/>
              <w:left w:val="single" w:sz="8" w:space="0" w:color="000000"/>
              <w:bottom w:val="single" w:sz="4" w:space="0" w:color="000000"/>
            </w:tcBorders>
            <w:shd w:val="clear" w:color="auto" w:fill="auto"/>
          </w:tcPr>
          <w:p w14:paraId="37BC4E9F"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8" w:space="0" w:color="000000"/>
              <w:left w:val="single" w:sz="4" w:space="0" w:color="000000"/>
              <w:bottom w:val="single" w:sz="4" w:space="0" w:color="000000"/>
            </w:tcBorders>
            <w:shd w:val="clear" w:color="auto" w:fill="auto"/>
          </w:tcPr>
          <w:p w14:paraId="4E20EB8C" w14:textId="77777777" w:rsidR="00EB0F03" w:rsidRPr="00777395" w:rsidRDefault="00EB0F03" w:rsidP="00EB0F03">
            <w:pPr>
              <w:suppressAutoHyphens/>
              <w:snapToGrid w:val="0"/>
              <w:jc w:val="center"/>
              <w:rPr>
                <w:rFonts w:eastAsia="細明體" w:cs="Segoe UI"/>
                <w:sz w:val="22"/>
                <w:szCs w:val="22"/>
                <w:lang w:eastAsia="ar-SA"/>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5FF94621" w14:textId="77777777" w:rsidR="00EB0F03" w:rsidRPr="00777395" w:rsidRDefault="00EB0F03" w:rsidP="00EB0F03">
            <w:pPr>
              <w:suppressAutoHyphens/>
              <w:jc w:val="center"/>
              <w:rPr>
                <w:rFonts w:cs="Segoe UI"/>
                <w:sz w:val="22"/>
                <w:szCs w:val="22"/>
                <w:lang w:eastAsia="ar-SA"/>
              </w:rPr>
            </w:pPr>
            <w:r w:rsidRPr="00777395">
              <w:rPr>
                <w:rFonts w:cs="Segoe UI"/>
                <w:sz w:val="22"/>
                <w:szCs w:val="22"/>
                <w:lang w:eastAsia="en-GB"/>
              </w:rPr>
              <w:sym w:font="Wingdings 2" w:char="F050"/>
            </w:r>
          </w:p>
        </w:tc>
      </w:tr>
      <w:tr w:rsidR="00EB0F03" w:rsidRPr="00777395" w14:paraId="63D6EF11" w14:textId="77777777" w:rsidTr="009C1B9D">
        <w:trPr>
          <w:cantSplit/>
          <w:trHeight w:val="283"/>
        </w:trPr>
        <w:tc>
          <w:tcPr>
            <w:tcW w:w="2127" w:type="dxa"/>
            <w:tcBorders>
              <w:bottom w:val="single" w:sz="8" w:space="0" w:color="000000"/>
            </w:tcBorders>
            <w:shd w:val="clear" w:color="auto" w:fill="auto"/>
          </w:tcPr>
          <w:p w14:paraId="34E00C85"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8" w:space="0" w:color="000000"/>
            </w:tcBorders>
            <w:shd w:val="clear" w:color="auto" w:fill="auto"/>
          </w:tcPr>
          <w:p w14:paraId="124D280E" w14:textId="77777777" w:rsidR="00EB0F03" w:rsidRPr="00777395" w:rsidRDefault="00EB0F03" w:rsidP="00EB0F03">
            <w:pPr>
              <w:suppressAutoHyphens/>
              <w:rPr>
                <w:rFonts w:eastAsia="細明體" w:cs="Segoe UI"/>
                <w:sz w:val="22"/>
                <w:szCs w:val="22"/>
                <w:lang w:eastAsia="ar-SA"/>
              </w:rPr>
            </w:pPr>
            <w:r w:rsidRPr="00777395">
              <w:rPr>
                <w:rFonts w:eastAsia="細明體" w:cs="Segoe UI"/>
                <w:sz w:val="22"/>
                <w:szCs w:val="22"/>
                <w:lang w:eastAsia="zh-TW"/>
              </w:rPr>
              <w:t>模版</w:t>
            </w:r>
            <w:r w:rsidRPr="00777395">
              <w:rPr>
                <w:rFonts w:cs="Segoe UI"/>
                <w:sz w:val="22"/>
                <w:szCs w:val="22"/>
                <w:lang w:eastAsia="zh-TW"/>
              </w:rPr>
              <w:t>IRRBB1</w:t>
            </w:r>
            <w:r w:rsidRPr="00777395">
              <w:rPr>
                <w:rFonts w:eastAsia="細明體" w:cs="Segoe UI"/>
                <w:sz w:val="22"/>
                <w:szCs w:val="22"/>
                <w:lang w:eastAsia="zh-TW"/>
              </w:rPr>
              <w:t>：銀行帳內的利率風險的量化資料</w:t>
            </w:r>
          </w:p>
        </w:tc>
        <w:tc>
          <w:tcPr>
            <w:tcW w:w="1701" w:type="dxa"/>
            <w:tcBorders>
              <w:top w:val="single" w:sz="4" w:space="0" w:color="000000"/>
              <w:left w:val="single" w:sz="8" w:space="0" w:color="000000"/>
              <w:bottom w:val="single" w:sz="8" w:space="0" w:color="000000"/>
            </w:tcBorders>
            <w:shd w:val="clear" w:color="auto" w:fill="auto"/>
          </w:tcPr>
          <w:p w14:paraId="35065D7B" w14:textId="77777777" w:rsidR="00EB0F03" w:rsidRPr="00777395" w:rsidRDefault="00EB0F03" w:rsidP="00EB0F03">
            <w:pPr>
              <w:suppressAutoHyphens/>
              <w:jc w:val="center"/>
              <w:rPr>
                <w:rFonts w:ascii="Wingdings 2" w:hAnsi="Wingdings 2" w:cs="Wingdings 2"/>
                <w:sz w:val="22"/>
                <w:szCs w:val="22"/>
                <w:lang w:eastAsia="ar-SA"/>
              </w:rPr>
            </w:pPr>
            <w:r w:rsidRPr="00777395">
              <w:rPr>
                <w:rFonts w:eastAsia="新細明體" w:cs="Segoe UI"/>
                <w:sz w:val="22"/>
                <w:szCs w:val="22"/>
                <w:lang w:eastAsia="zh-TW"/>
              </w:rPr>
              <w:t>本地</w:t>
            </w:r>
          </w:p>
        </w:tc>
        <w:tc>
          <w:tcPr>
            <w:tcW w:w="992" w:type="dxa"/>
            <w:tcBorders>
              <w:top w:val="single" w:sz="4" w:space="0" w:color="000000"/>
              <w:left w:val="single" w:sz="8" w:space="0" w:color="000000"/>
              <w:bottom w:val="single" w:sz="8" w:space="0" w:color="000000"/>
            </w:tcBorders>
            <w:shd w:val="clear" w:color="auto" w:fill="auto"/>
          </w:tcPr>
          <w:p w14:paraId="503CFA98" w14:textId="77777777" w:rsidR="00EB0F03" w:rsidRPr="00777395" w:rsidRDefault="00EB0F03" w:rsidP="00EB0F03">
            <w:pPr>
              <w:suppressAutoHyphens/>
              <w:jc w:val="center"/>
              <w:rPr>
                <w:rFonts w:eastAsia="細明體" w:cs="Segoe UI"/>
                <w:sz w:val="22"/>
                <w:szCs w:val="22"/>
                <w:lang w:eastAsia="ar-SA"/>
              </w:rPr>
            </w:pPr>
            <w:r w:rsidRPr="00777395">
              <w:rPr>
                <w:rFonts w:cs="Segoe UI"/>
                <w:sz w:val="22"/>
                <w:szCs w:val="22"/>
                <w:lang w:eastAsia="en-GB"/>
              </w:rPr>
              <w:sym w:font="Wingdings 2" w:char="F050"/>
            </w:r>
          </w:p>
        </w:tc>
        <w:tc>
          <w:tcPr>
            <w:tcW w:w="992" w:type="dxa"/>
            <w:tcBorders>
              <w:top w:val="single" w:sz="4" w:space="0" w:color="000000"/>
              <w:left w:val="single" w:sz="4" w:space="0" w:color="000000"/>
              <w:bottom w:val="single" w:sz="8" w:space="0" w:color="000000"/>
            </w:tcBorders>
            <w:shd w:val="clear" w:color="auto" w:fill="auto"/>
          </w:tcPr>
          <w:p w14:paraId="4E667AED"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8" w:space="0" w:color="000000"/>
              <w:bottom w:val="single" w:sz="8" w:space="0" w:color="000000"/>
            </w:tcBorders>
            <w:shd w:val="clear" w:color="auto" w:fill="auto"/>
          </w:tcPr>
          <w:p w14:paraId="4C86AA8B" w14:textId="77777777" w:rsidR="00EB0F03" w:rsidRPr="00777395" w:rsidRDefault="00EB0F03" w:rsidP="00EB0F03">
            <w:pPr>
              <w:suppressAutoHyphens/>
              <w:snapToGrid w:val="0"/>
              <w:jc w:val="center"/>
              <w:rPr>
                <w:rFonts w:eastAsia="細明體" w:cs="Segoe UI"/>
                <w:sz w:val="22"/>
                <w:szCs w:val="22"/>
                <w:lang w:eastAsia="ar-SA"/>
              </w:rPr>
            </w:pPr>
          </w:p>
        </w:tc>
        <w:tc>
          <w:tcPr>
            <w:tcW w:w="1276" w:type="dxa"/>
            <w:tcBorders>
              <w:top w:val="single" w:sz="4" w:space="0" w:color="000000"/>
              <w:left w:val="single" w:sz="4" w:space="0" w:color="000000"/>
              <w:bottom w:val="single" w:sz="8" w:space="0" w:color="000000"/>
            </w:tcBorders>
            <w:shd w:val="clear" w:color="auto" w:fill="auto"/>
          </w:tcPr>
          <w:p w14:paraId="6549652B" w14:textId="77777777" w:rsidR="00EB0F03" w:rsidRPr="00777395" w:rsidRDefault="00EB0F03" w:rsidP="00EB0F03">
            <w:pPr>
              <w:suppressAutoHyphens/>
              <w:jc w:val="center"/>
              <w:rPr>
                <w:rFonts w:eastAsia="細明體" w:cs="Segoe UI"/>
                <w:sz w:val="22"/>
                <w:szCs w:val="22"/>
                <w:lang w:eastAsia="ar-SA"/>
              </w:rPr>
            </w:pPr>
          </w:p>
        </w:tc>
        <w:tc>
          <w:tcPr>
            <w:tcW w:w="1277" w:type="dxa"/>
            <w:tcBorders>
              <w:top w:val="single" w:sz="4" w:space="0" w:color="000000"/>
              <w:left w:val="single" w:sz="4" w:space="0" w:color="000000"/>
              <w:bottom w:val="single" w:sz="8" w:space="0" w:color="000000"/>
              <w:right w:val="single" w:sz="8" w:space="0" w:color="000000"/>
            </w:tcBorders>
            <w:shd w:val="clear" w:color="auto" w:fill="auto"/>
          </w:tcPr>
          <w:p w14:paraId="4BBB182F"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p w14:paraId="639B9CB0" w14:textId="77777777" w:rsidR="00EB0F03" w:rsidRPr="00777395" w:rsidRDefault="00EB0F03" w:rsidP="00EB0F03">
            <w:pPr>
              <w:suppressAutoHyphens/>
              <w:snapToGrid w:val="0"/>
              <w:jc w:val="center"/>
              <w:rPr>
                <w:rFonts w:eastAsia="細明體" w:cs="Segoe UI"/>
                <w:sz w:val="22"/>
                <w:szCs w:val="22"/>
                <w:lang w:eastAsia="ar-SA"/>
              </w:rPr>
            </w:pPr>
          </w:p>
        </w:tc>
      </w:tr>
      <w:tr w:rsidR="00EB0F03" w:rsidRPr="00777395" w14:paraId="6F5F9129" w14:textId="77777777" w:rsidTr="00EB0F03">
        <w:trPr>
          <w:cantSplit/>
          <w:trHeight w:val="283"/>
        </w:trPr>
        <w:tc>
          <w:tcPr>
            <w:tcW w:w="2127" w:type="dxa"/>
            <w:vMerge w:val="restart"/>
            <w:tcBorders>
              <w:top w:val="single" w:sz="8" w:space="0" w:color="000000"/>
              <w:bottom w:val="single" w:sz="4" w:space="0" w:color="000000"/>
            </w:tcBorders>
            <w:shd w:val="clear" w:color="auto" w:fill="auto"/>
          </w:tcPr>
          <w:p w14:paraId="479E44EE" w14:textId="77777777" w:rsidR="00EB0F03" w:rsidRPr="00777395" w:rsidRDefault="00EB0F03" w:rsidP="00EB0F03">
            <w:pPr>
              <w:suppressAutoHyphens/>
              <w:rPr>
                <w:rFonts w:cs="Segoe UI"/>
                <w:sz w:val="22"/>
                <w:szCs w:val="22"/>
                <w:lang w:eastAsia="zh-TW"/>
              </w:rPr>
            </w:pPr>
            <w:r w:rsidRPr="00777395">
              <w:rPr>
                <w:rFonts w:eastAsia="細明體" w:cs="Segoe UI"/>
                <w:sz w:val="22"/>
                <w:szCs w:val="22"/>
                <w:lang w:eastAsia="zh-TW"/>
              </w:rPr>
              <w:t>第</w:t>
            </w:r>
            <w:r w:rsidRPr="00777395">
              <w:rPr>
                <w:rFonts w:eastAsia="細明體" w:cs="Segoe UI"/>
                <w:sz w:val="22"/>
                <w:szCs w:val="22"/>
                <w:lang w:eastAsia="zh-TW"/>
              </w:rPr>
              <w:t>VIII</w:t>
            </w:r>
            <w:r w:rsidRPr="00777395">
              <w:rPr>
                <w:rFonts w:eastAsia="細明體" w:cs="Segoe UI"/>
                <w:sz w:val="22"/>
                <w:szCs w:val="22"/>
                <w:lang w:eastAsia="zh-TW"/>
              </w:rPr>
              <w:t>部：</w:t>
            </w:r>
            <w:r w:rsidRPr="00777395">
              <w:rPr>
                <w:rFonts w:eastAsia="細明體" w:cs="Segoe UI"/>
                <w:sz w:val="22"/>
                <w:szCs w:val="22"/>
                <w:lang w:val="en-US" w:eastAsia="zh-TW"/>
              </w:rPr>
              <w:t>薪酬制度</w:t>
            </w:r>
          </w:p>
        </w:tc>
        <w:tc>
          <w:tcPr>
            <w:tcW w:w="4819" w:type="dxa"/>
            <w:tcBorders>
              <w:top w:val="single" w:sz="8" w:space="0" w:color="000000"/>
              <w:left w:val="single" w:sz="8" w:space="0" w:color="000000"/>
              <w:bottom w:val="single" w:sz="4" w:space="0" w:color="000000"/>
            </w:tcBorders>
            <w:shd w:val="clear" w:color="auto" w:fill="auto"/>
          </w:tcPr>
          <w:p w14:paraId="1DC72B91" w14:textId="77777777" w:rsidR="00EB0F03" w:rsidRPr="00777395" w:rsidRDefault="00EB0F03" w:rsidP="00EB0F03">
            <w:pPr>
              <w:suppressAutoHyphens/>
              <w:rPr>
                <w:rFonts w:cs="Segoe UI"/>
                <w:sz w:val="22"/>
                <w:szCs w:val="22"/>
                <w:lang w:eastAsia="en-GB"/>
              </w:rPr>
            </w:pPr>
            <w:r w:rsidRPr="00777395">
              <w:rPr>
                <w:rFonts w:eastAsia="細明體" w:cs="Segoe UI"/>
                <w:sz w:val="22"/>
                <w:szCs w:val="22"/>
                <w:lang w:eastAsia="zh-TW"/>
              </w:rPr>
              <w:t>表</w:t>
            </w:r>
            <w:r w:rsidRPr="00777395">
              <w:rPr>
                <w:rFonts w:cs="Segoe UI"/>
                <w:sz w:val="22"/>
                <w:szCs w:val="22"/>
                <w:lang w:eastAsia="en-GB"/>
              </w:rPr>
              <w:t>REMA</w:t>
            </w:r>
            <w:r w:rsidRPr="00777395">
              <w:rPr>
                <w:rFonts w:eastAsia="細明體" w:cs="Segoe UI"/>
                <w:sz w:val="22"/>
                <w:szCs w:val="22"/>
                <w:lang w:eastAsia="zh-TW"/>
              </w:rPr>
              <w:t>：薪酬制度政策</w:t>
            </w:r>
          </w:p>
        </w:tc>
        <w:tc>
          <w:tcPr>
            <w:tcW w:w="1701" w:type="dxa"/>
            <w:tcBorders>
              <w:top w:val="single" w:sz="8" w:space="0" w:color="000000"/>
              <w:left w:val="single" w:sz="8" w:space="0" w:color="000000"/>
              <w:bottom w:val="single" w:sz="4" w:space="0" w:color="000000"/>
            </w:tcBorders>
            <w:shd w:val="clear" w:color="auto" w:fill="auto"/>
          </w:tcPr>
          <w:p w14:paraId="7CDF09A0"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138148EC" w14:textId="77777777" w:rsidR="00EB0F03" w:rsidRPr="00777395" w:rsidRDefault="00EB0F03" w:rsidP="00EB0F03">
            <w:pPr>
              <w:suppressAutoHyphens/>
              <w:jc w:val="center"/>
              <w:rPr>
                <w:rFonts w:cs="Segoe UI"/>
                <w:sz w:val="22"/>
                <w:szCs w:val="22"/>
                <w:lang w:eastAsia="en-GB"/>
              </w:rPr>
            </w:pPr>
          </w:p>
        </w:tc>
        <w:tc>
          <w:tcPr>
            <w:tcW w:w="992" w:type="dxa"/>
            <w:tcBorders>
              <w:top w:val="single" w:sz="8" w:space="0" w:color="000000"/>
              <w:left w:val="single" w:sz="4" w:space="0" w:color="000000"/>
              <w:bottom w:val="single" w:sz="4" w:space="0" w:color="000000"/>
            </w:tcBorders>
            <w:shd w:val="clear" w:color="auto" w:fill="auto"/>
          </w:tcPr>
          <w:p w14:paraId="61D73AB5"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6" w:type="dxa"/>
            <w:tcBorders>
              <w:top w:val="single" w:sz="8" w:space="0" w:color="000000"/>
              <w:left w:val="single" w:sz="8" w:space="0" w:color="000000"/>
              <w:bottom w:val="single" w:sz="4" w:space="0" w:color="000000"/>
            </w:tcBorders>
            <w:shd w:val="clear" w:color="auto" w:fill="auto"/>
          </w:tcPr>
          <w:p w14:paraId="18F41BB5" w14:textId="77777777" w:rsidR="00EB0F03" w:rsidRPr="00777395" w:rsidRDefault="00EB0F03" w:rsidP="00EB0F03">
            <w:pPr>
              <w:suppressAutoHyphens/>
              <w:jc w:val="center"/>
              <w:rPr>
                <w:rFonts w:cs="Segoe UI"/>
                <w:sz w:val="22"/>
                <w:szCs w:val="22"/>
                <w:lang w:eastAsia="en-GB"/>
              </w:rPr>
            </w:pPr>
          </w:p>
        </w:tc>
        <w:tc>
          <w:tcPr>
            <w:tcW w:w="1276" w:type="dxa"/>
            <w:tcBorders>
              <w:top w:val="single" w:sz="8" w:space="0" w:color="000000"/>
              <w:left w:val="single" w:sz="4" w:space="0" w:color="000000"/>
              <w:bottom w:val="single" w:sz="4" w:space="0" w:color="000000"/>
            </w:tcBorders>
            <w:shd w:val="clear" w:color="auto" w:fill="auto"/>
          </w:tcPr>
          <w:p w14:paraId="67D79C15" w14:textId="77777777" w:rsidR="00EB0F03" w:rsidRPr="00777395" w:rsidRDefault="00EB0F03" w:rsidP="00EB0F03">
            <w:pPr>
              <w:suppressAutoHyphens/>
              <w:jc w:val="center"/>
              <w:rPr>
                <w:rFonts w:cs="Segoe UI"/>
                <w:sz w:val="22"/>
                <w:szCs w:val="22"/>
                <w:lang w:eastAsia="en-GB"/>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558BCDB6"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r>
      <w:tr w:rsidR="00EB0F03" w:rsidRPr="00777395" w14:paraId="2DCBB46A" w14:textId="77777777" w:rsidTr="00EB0F03">
        <w:trPr>
          <w:cantSplit/>
          <w:trHeight w:val="283"/>
        </w:trPr>
        <w:tc>
          <w:tcPr>
            <w:tcW w:w="2127" w:type="dxa"/>
            <w:vMerge/>
            <w:tcBorders>
              <w:top w:val="single" w:sz="4" w:space="0" w:color="000000"/>
              <w:bottom w:val="single" w:sz="4" w:space="0" w:color="000000"/>
            </w:tcBorders>
            <w:shd w:val="clear" w:color="auto" w:fill="auto"/>
          </w:tcPr>
          <w:p w14:paraId="4050CE20"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770081C1" w14:textId="77777777" w:rsidR="00EB0F03" w:rsidRPr="00777395" w:rsidRDefault="00EB0F03" w:rsidP="00EB0F03">
            <w:pPr>
              <w:suppressAutoHyphens/>
              <w:rPr>
                <w:rFonts w:cs="Segoe UI"/>
                <w:sz w:val="22"/>
                <w:szCs w:val="22"/>
                <w:lang w:eastAsia="zh-TW"/>
              </w:rPr>
            </w:pPr>
            <w:r w:rsidRPr="00777395">
              <w:rPr>
                <w:rFonts w:eastAsia="細明體" w:cs="Segoe UI"/>
                <w:sz w:val="22"/>
                <w:szCs w:val="22"/>
                <w:lang w:eastAsia="zh-TW"/>
              </w:rPr>
              <w:t>模版</w:t>
            </w:r>
            <w:r w:rsidRPr="00777395">
              <w:rPr>
                <w:rFonts w:cs="Segoe UI"/>
                <w:sz w:val="22"/>
                <w:szCs w:val="22"/>
                <w:lang w:eastAsia="zh-TW"/>
              </w:rPr>
              <w:t>REM1</w:t>
            </w:r>
            <w:r w:rsidRPr="00777395">
              <w:rPr>
                <w:rFonts w:eastAsia="細明體" w:cs="Segoe UI"/>
                <w:sz w:val="22"/>
                <w:szCs w:val="22"/>
                <w:lang w:eastAsia="zh-TW"/>
              </w:rPr>
              <w:t>：在財政年度內給予的薪酬</w:t>
            </w:r>
          </w:p>
        </w:tc>
        <w:tc>
          <w:tcPr>
            <w:tcW w:w="1701" w:type="dxa"/>
            <w:tcBorders>
              <w:top w:val="single" w:sz="4" w:space="0" w:color="000000"/>
              <w:left w:val="single" w:sz="8" w:space="0" w:color="000000"/>
              <w:bottom w:val="single" w:sz="4" w:space="0" w:color="000000"/>
            </w:tcBorders>
            <w:shd w:val="clear" w:color="auto" w:fill="auto"/>
          </w:tcPr>
          <w:p w14:paraId="697ECB09"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40401746" w14:textId="77777777" w:rsidR="00EB0F03" w:rsidRPr="00777395" w:rsidRDefault="00EB0F03" w:rsidP="00EB0F03">
            <w:pPr>
              <w:suppressAutoHyphens/>
              <w:jc w:val="center"/>
              <w:rPr>
                <w:rFonts w:cs="Segoe UI"/>
                <w:sz w:val="22"/>
                <w:szCs w:val="22"/>
                <w:lang w:eastAsia="en-GB"/>
              </w:rPr>
            </w:pPr>
          </w:p>
        </w:tc>
        <w:tc>
          <w:tcPr>
            <w:tcW w:w="992" w:type="dxa"/>
            <w:tcBorders>
              <w:top w:val="single" w:sz="4" w:space="0" w:color="000000"/>
              <w:left w:val="single" w:sz="4" w:space="0" w:color="000000"/>
              <w:bottom w:val="single" w:sz="4" w:space="0" w:color="000000"/>
            </w:tcBorders>
            <w:shd w:val="clear" w:color="auto" w:fill="auto"/>
          </w:tcPr>
          <w:p w14:paraId="75C9ADB2"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8" w:space="0" w:color="000000"/>
              <w:bottom w:val="single" w:sz="4" w:space="0" w:color="000000"/>
            </w:tcBorders>
            <w:shd w:val="clear" w:color="auto" w:fill="auto"/>
          </w:tcPr>
          <w:p w14:paraId="55197AA0" w14:textId="77777777" w:rsidR="00EB0F03" w:rsidRPr="00777395" w:rsidRDefault="00EB0F03" w:rsidP="00EB0F03">
            <w:pPr>
              <w:suppressAutoHyphens/>
              <w:jc w:val="center"/>
              <w:rPr>
                <w:rFonts w:cs="Segoe UI"/>
                <w:sz w:val="22"/>
                <w:szCs w:val="22"/>
                <w:lang w:eastAsia="en-GB"/>
              </w:rPr>
            </w:pPr>
          </w:p>
        </w:tc>
        <w:tc>
          <w:tcPr>
            <w:tcW w:w="1276" w:type="dxa"/>
            <w:tcBorders>
              <w:top w:val="single" w:sz="4" w:space="0" w:color="000000"/>
              <w:left w:val="single" w:sz="4" w:space="0" w:color="000000"/>
              <w:bottom w:val="single" w:sz="4" w:space="0" w:color="000000"/>
            </w:tcBorders>
            <w:shd w:val="clear" w:color="auto" w:fill="auto"/>
          </w:tcPr>
          <w:p w14:paraId="4D823ACB" w14:textId="77777777" w:rsidR="00EB0F03" w:rsidRPr="00777395" w:rsidRDefault="00EB0F03" w:rsidP="00EB0F03">
            <w:pPr>
              <w:suppressAutoHyphens/>
              <w:jc w:val="center"/>
              <w:rPr>
                <w:rFonts w:cs="Segoe UI"/>
                <w:sz w:val="22"/>
                <w:szCs w:val="22"/>
                <w:lang w:eastAsia="en-GB"/>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18166274"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r>
      <w:tr w:rsidR="00EB0F03" w:rsidRPr="00777395" w14:paraId="5D2AC367" w14:textId="77777777" w:rsidTr="00EB0F03">
        <w:trPr>
          <w:cantSplit/>
          <w:trHeight w:val="283"/>
        </w:trPr>
        <w:tc>
          <w:tcPr>
            <w:tcW w:w="2127" w:type="dxa"/>
            <w:vMerge/>
            <w:tcBorders>
              <w:top w:val="single" w:sz="4" w:space="0" w:color="000000"/>
              <w:bottom w:val="single" w:sz="4" w:space="0" w:color="000000"/>
            </w:tcBorders>
          </w:tcPr>
          <w:p w14:paraId="7AD509CA"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4" w:space="0" w:color="000000"/>
            </w:tcBorders>
            <w:shd w:val="clear" w:color="auto" w:fill="auto"/>
          </w:tcPr>
          <w:p w14:paraId="59E58EEE" w14:textId="77777777" w:rsidR="00EB0F03" w:rsidRPr="00777395" w:rsidRDefault="00EB0F03" w:rsidP="00EB0F03">
            <w:pPr>
              <w:suppressAutoHyphens/>
              <w:rPr>
                <w:rFonts w:cs="Segoe UI"/>
                <w:sz w:val="22"/>
                <w:szCs w:val="22"/>
                <w:lang w:eastAsia="en-GB"/>
              </w:rPr>
            </w:pPr>
            <w:r w:rsidRPr="00777395">
              <w:rPr>
                <w:rFonts w:eastAsia="細明體" w:cs="Segoe UI"/>
                <w:sz w:val="22"/>
                <w:szCs w:val="22"/>
                <w:lang w:eastAsia="zh-TW"/>
              </w:rPr>
              <w:t>模版</w:t>
            </w:r>
            <w:r w:rsidRPr="00777395">
              <w:rPr>
                <w:rFonts w:cs="Segoe UI"/>
                <w:sz w:val="22"/>
                <w:szCs w:val="22"/>
                <w:lang w:eastAsia="en-GB"/>
              </w:rPr>
              <w:t>REM2</w:t>
            </w:r>
            <w:r w:rsidRPr="00777395">
              <w:rPr>
                <w:rFonts w:eastAsia="細明體" w:cs="Segoe UI"/>
                <w:sz w:val="22"/>
                <w:szCs w:val="22"/>
                <w:lang w:eastAsia="zh-TW"/>
              </w:rPr>
              <w:t>：特別付款</w:t>
            </w:r>
          </w:p>
        </w:tc>
        <w:tc>
          <w:tcPr>
            <w:tcW w:w="1701" w:type="dxa"/>
            <w:tcBorders>
              <w:top w:val="single" w:sz="4" w:space="0" w:color="000000"/>
              <w:left w:val="single" w:sz="8" w:space="0" w:color="000000"/>
              <w:bottom w:val="single" w:sz="4" w:space="0" w:color="000000"/>
            </w:tcBorders>
            <w:shd w:val="clear" w:color="auto" w:fill="auto"/>
          </w:tcPr>
          <w:p w14:paraId="56A926BD"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323FF82D" w14:textId="77777777" w:rsidR="00EB0F03" w:rsidRPr="00777395" w:rsidRDefault="00EB0F03" w:rsidP="00EB0F03">
            <w:pPr>
              <w:suppressAutoHyphens/>
              <w:jc w:val="center"/>
              <w:rPr>
                <w:rFonts w:cs="Segoe UI"/>
                <w:sz w:val="22"/>
                <w:szCs w:val="22"/>
                <w:lang w:eastAsia="en-GB"/>
              </w:rPr>
            </w:pPr>
          </w:p>
        </w:tc>
        <w:tc>
          <w:tcPr>
            <w:tcW w:w="992" w:type="dxa"/>
            <w:tcBorders>
              <w:top w:val="single" w:sz="4" w:space="0" w:color="000000"/>
              <w:left w:val="single" w:sz="4" w:space="0" w:color="000000"/>
              <w:bottom w:val="single" w:sz="4" w:space="0" w:color="000000"/>
            </w:tcBorders>
            <w:shd w:val="clear" w:color="auto" w:fill="auto"/>
          </w:tcPr>
          <w:p w14:paraId="5B20B62E"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8" w:space="0" w:color="000000"/>
              <w:bottom w:val="single" w:sz="4" w:space="0" w:color="000000"/>
            </w:tcBorders>
            <w:shd w:val="clear" w:color="auto" w:fill="auto"/>
          </w:tcPr>
          <w:p w14:paraId="10F9E8C4" w14:textId="77777777" w:rsidR="00EB0F03" w:rsidRPr="00777395" w:rsidRDefault="00EB0F03" w:rsidP="00EB0F03">
            <w:pPr>
              <w:suppressAutoHyphens/>
              <w:jc w:val="center"/>
              <w:rPr>
                <w:rFonts w:cs="Segoe UI"/>
                <w:sz w:val="22"/>
                <w:szCs w:val="22"/>
                <w:lang w:eastAsia="en-GB"/>
              </w:rPr>
            </w:pPr>
          </w:p>
        </w:tc>
        <w:tc>
          <w:tcPr>
            <w:tcW w:w="1276" w:type="dxa"/>
            <w:tcBorders>
              <w:top w:val="single" w:sz="4" w:space="0" w:color="000000"/>
              <w:left w:val="single" w:sz="4" w:space="0" w:color="000000"/>
              <w:bottom w:val="single" w:sz="4" w:space="0" w:color="000000"/>
            </w:tcBorders>
            <w:shd w:val="clear" w:color="auto" w:fill="auto"/>
          </w:tcPr>
          <w:p w14:paraId="5E6369D0" w14:textId="77777777" w:rsidR="00EB0F03" w:rsidRPr="00777395" w:rsidRDefault="00EB0F03" w:rsidP="00EB0F03">
            <w:pPr>
              <w:suppressAutoHyphens/>
              <w:jc w:val="center"/>
              <w:rPr>
                <w:rFonts w:cs="Segoe UI"/>
                <w:sz w:val="22"/>
                <w:szCs w:val="22"/>
                <w:lang w:eastAsia="en-GB"/>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26DF3CC3"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r>
      <w:tr w:rsidR="00EB0F03" w:rsidRPr="00777395" w14:paraId="7C5602BB" w14:textId="77777777" w:rsidTr="009C1B9D">
        <w:trPr>
          <w:cantSplit/>
          <w:trHeight w:val="283"/>
        </w:trPr>
        <w:tc>
          <w:tcPr>
            <w:tcW w:w="2127" w:type="dxa"/>
            <w:vMerge/>
            <w:tcBorders>
              <w:top w:val="single" w:sz="4" w:space="0" w:color="000000"/>
              <w:bottom w:val="single" w:sz="8" w:space="0" w:color="000000"/>
            </w:tcBorders>
          </w:tcPr>
          <w:p w14:paraId="4C9739F5" w14:textId="77777777" w:rsidR="00EB0F03" w:rsidRPr="00777395" w:rsidRDefault="00EB0F03" w:rsidP="00EB0F03">
            <w:pPr>
              <w:suppressAutoHyphens/>
              <w:snapToGrid w:val="0"/>
              <w:rPr>
                <w:rFonts w:eastAsia="細明體" w:cs="Segoe UI"/>
                <w:lang w:eastAsia="ar-SA"/>
              </w:rPr>
            </w:pPr>
          </w:p>
        </w:tc>
        <w:tc>
          <w:tcPr>
            <w:tcW w:w="4819" w:type="dxa"/>
            <w:tcBorders>
              <w:top w:val="single" w:sz="4" w:space="0" w:color="000000"/>
              <w:left w:val="single" w:sz="8" w:space="0" w:color="000000"/>
              <w:bottom w:val="single" w:sz="8" w:space="0" w:color="000000"/>
            </w:tcBorders>
            <w:shd w:val="clear" w:color="auto" w:fill="auto"/>
          </w:tcPr>
          <w:p w14:paraId="6097494A" w14:textId="77777777" w:rsidR="00EB0F03" w:rsidRPr="00777395" w:rsidRDefault="00EB0F03" w:rsidP="00EB0F03">
            <w:pPr>
              <w:suppressAutoHyphens/>
              <w:rPr>
                <w:rFonts w:cs="Segoe UI"/>
                <w:sz w:val="22"/>
                <w:szCs w:val="22"/>
                <w:lang w:eastAsia="zh-TW"/>
              </w:rPr>
            </w:pPr>
            <w:r w:rsidRPr="00777395">
              <w:rPr>
                <w:rFonts w:eastAsia="細明體" w:cs="Segoe UI"/>
                <w:sz w:val="22"/>
                <w:szCs w:val="22"/>
                <w:lang w:eastAsia="zh-TW"/>
              </w:rPr>
              <w:t>模版</w:t>
            </w:r>
            <w:r w:rsidRPr="00777395">
              <w:rPr>
                <w:rFonts w:cs="Segoe UI"/>
                <w:sz w:val="22"/>
                <w:szCs w:val="22"/>
                <w:lang w:eastAsia="zh-TW"/>
              </w:rPr>
              <w:t>REM3</w:t>
            </w:r>
            <w:r w:rsidRPr="00777395">
              <w:rPr>
                <w:rFonts w:eastAsia="細明體" w:cs="Segoe UI"/>
                <w:sz w:val="22"/>
                <w:szCs w:val="22"/>
                <w:lang w:eastAsia="zh-TW"/>
              </w:rPr>
              <w:t>：遞延薪酬</w:t>
            </w:r>
          </w:p>
        </w:tc>
        <w:tc>
          <w:tcPr>
            <w:tcW w:w="1701" w:type="dxa"/>
            <w:tcBorders>
              <w:top w:val="single" w:sz="4" w:space="0" w:color="000000"/>
              <w:left w:val="single" w:sz="8" w:space="0" w:color="000000"/>
              <w:bottom w:val="single" w:sz="8" w:space="0" w:color="000000"/>
            </w:tcBorders>
            <w:shd w:val="clear" w:color="auto" w:fill="auto"/>
          </w:tcPr>
          <w:p w14:paraId="26E37B32" w14:textId="77777777" w:rsidR="00EB0F03" w:rsidRPr="00777395" w:rsidRDefault="00EB0F03" w:rsidP="00EB0F03">
            <w:pPr>
              <w:spacing w:after="160" w:line="259" w:lineRule="auto"/>
              <w:jc w:val="center"/>
              <w:rPr>
                <w:rFonts w:ascii="Calibri" w:eastAsia="新細明體" w:hAnsi="Calibri"/>
                <w:sz w:val="22"/>
                <w:szCs w:val="22"/>
                <w:lang w:eastAsia="zh-CN"/>
              </w:rPr>
            </w:pPr>
            <w:r w:rsidRPr="00777395">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8" w:space="0" w:color="000000"/>
            </w:tcBorders>
            <w:shd w:val="clear" w:color="auto" w:fill="auto"/>
          </w:tcPr>
          <w:p w14:paraId="7FF9E26F" w14:textId="77777777" w:rsidR="00EB0F03" w:rsidRPr="00777395" w:rsidRDefault="00EB0F03" w:rsidP="00EB0F03">
            <w:pPr>
              <w:suppressAutoHyphens/>
              <w:jc w:val="center"/>
              <w:rPr>
                <w:rFonts w:cs="Segoe UI"/>
                <w:sz w:val="22"/>
                <w:szCs w:val="22"/>
                <w:lang w:eastAsia="en-GB"/>
              </w:rPr>
            </w:pPr>
          </w:p>
        </w:tc>
        <w:tc>
          <w:tcPr>
            <w:tcW w:w="992" w:type="dxa"/>
            <w:tcBorders>
              <w:top w:val="single" w:sz="4" w:space="0" w:color="000000"/>
              <w:left w:val="single" w:sz="4" w:space="0" w:color="000000"/>
              <w:bottom w:val="single" w:sz="8" w:space="0" w:color="000000"/>
            </w:tcBorders>
            <w:shd w:val="clear" w:color="auto" w:fill="auto"/>
          </w:tcPr>
          <w:p w14:paraId="3070C226"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c>
          <w:tcPr>
            <w:tcW w:w="1276" w:type="dxa"/>
            <w:tcBorders>
              <w:top w:val="single" w:sz="4" w:space="0" w:color="000000"/>
              <w:left w:val="single" w:sz="8" w:space="0" w:color="000000"/>
              <w:bottom w:val="single" w:sz="8" w:space="0" w:color="000000"/>
            </w:tcBorders>
            <w:shd w:val="clear" w:color="auto" w:fill="auto"/>
          </w:tcPr>
          <w:p w14:paraId="70D4EF2A" w14:textId="77777777" w:rsidR="00EB0F03" w:rsidRPr="00777395" w:rsidRDefault="00EB0F03" w:rsidP="00EB0F03">
            <w:pPr>
              <w:suppressAutoHyphens/>
              <w:jc w:val="center"/>
              <w:rPr>
                <w:rFonts w:cs="Segoe UI"/>
                <w:sz w:val="22"/>
                <w:szCs w:val="22"/>
                <w:lang w:eastAsia="en-GB"/>
              </w:rPr>
            </w:pPr>
          </w:p>
        </w:tc>
        <w:tc>
          <w:tcPr>
            <w:tcW w:w="1276" w:type="dxa"/>
            <w:tcBorders>
              <w:top w:val="single" w:sz="4" w:space="0" w:color="000000"/>
              <w:left w:val="single" w:sz="4" w:space="0" w:color="000000"/>
              <w:bottom w:val="single" w:sz="8" w:space="0" w:color="000000"/>
            </w:tcBorders>
            <w:shd w:val="clear" w:color="auto" w:fill="auto"/>
          </w:tcPr>
          <w:p w14:paraId="33E80369" w14:textId="77777777" w:rsidR="00EB0F03" w:rsidRPr="00777395" w:rsidRDefault="00EB0F03" w:rsidP="00EB0F03">
            <w:pPr>
              <w:suppressAutoHyphens/>
              <w:jc w:val="center"/>
              <w:rPr>
                <w:rFonts w:cs="Segoe UI"/>
                <w:sz w:val="22"/>
                <w:szCs w:val="22"/>
                <w:lang w:eastAsia="en-GB"/>
              </w:rPr>
            </w:pPr>
          </w:p>
        </w:tc>
        <w:tc>
          <w:tcPr>
            <w:tcW w:w="1277" w:type="dxa"/>
            <w:tcBorders>
              <w:top w:val="single" w:sz="4" w:space="0" w:color="000000"/>
              <w:left w:val="single" w:sz="4" w:space="0" w:color="000000"/>
              <w:bottom w:val="single" w:sz="8" w:space="0" w:color="000000"/>
              <w:right w:val="single" w:sz="8" w:space="0" w:color="000000"/>
            </w:tcBorders>
            <w:shd w:val="clear" w:color="auto" w:fill="auto"/>
          </w:tcPr>
          <w:p w14:paraId="66D7B560" w14:textId="77777777" w:rsidR="00EB0F03" w:rsidRPr="00777395" w:rsidRDefault="00EB0F03" w:rsidP="00EB0F03">
            <w:pPr>
              <w:suppressAutoHyphens/>
              <w:jc w:val="center"/>
              <w:rPr>
                <w:rFonts w:cs="Segoe UI"/>
                <w:sz w:val="22"/>
                <w:szCs w:val="22"/>
                <w:lang w:eastAsia="en-GB"/>
              </w:rPr>
            </w:pPr>
            <w:r w:rsidRPr="00777395">
              <w:rPr>
                <w:rFonts w:cs="Segoe UI"/>
                <w:sz w:val="22"/>
                <w:szCs w:val="22"/>
                <w:lang w:eastAsia="en-GB"/>
              </w:rPr>
              <w:sym w:font="Wingdings 2" w:char="F050"/>
            </w:r>
          </w:p>
        </w:tc>
      </w:tr>
      <w:tr w:rsidR="00EB0F03" w:rsidRPr="008B7C12" w14:paraId="6F1EC5C4" w14:textId="77777777" w:rsidTr="00F8781E">
        <w:trPr>
          <w:cantSplit/>
          <w:trHeight w:val="283"/>
        </w:trPr>
        <w:tc>
          <w:tcPr>
            <w:tcW w:w="2127" w:type="dxa"/>
            <w:vMerge w:val="restart"/>
            <w:tcBorders>
              <w:top w:val="single" w:sz="4" w:space="0" w:color="000000"/>
            </w:tcBorders>
          </w:tcPr>
          <w:p w14:paraId="0AB3BE7E" w14:textId="77777777" w:rsidR="00EB0F03" w:rsidRPr="008B7C12" w:rsidRDefault="00EB0F03" w:rsidP="00EB0F03">
            <w:pPr>
              <w:suppressAutoHyphens/>
              <w:snapToGrid w:val="0"/>
              <w:rPr>
                <w:rFonts w:eastAsia="細明體" w:cs="Segoe UI"/>
                <w:sz w:val="22"/>
                <w:szCs w:val="22"/>
                <w:lang w:eastAsia="ar-SA"/>
              </w:rPr>
            </w:pPr>
            <w:r w:rsidRPr="008B7C12">
              <w:rPr>
                <w:rFonts w:eastAsia="細明體" w:cs="Segoe UI" w:hint="eastAsia"/>
                <w:sz w:val="22"/>
                <w:szCs w:val="22"/>
                <w:lang w:eastAsia="ar-SA"/>
              </w:rPr>
              <w:t>第</w:t>
            </w:r>
            <w:r w:rsidRPr="008B7C12">
              <w:rPr>
                <w:rFonts w:eastAsia="細明體" w:cs="Segoe UI"/>
                <w:sz w:val="22"/>
                <w:szCs w:val="22"/>
                <w:lang w:eastAsia="ar-SA"/>
              </w:rPr>
              <w:t>IX</w:t>
            </w:r>
            <w:r w:rsidRPr="008B7C12">
              <w:rPr>
                <w:rFonts w:eastAsia="細明體" w:cs="Segoe UI" w:hint="eastAsia"/>
                <w:sz w:val="22"/>
                <w:szCs w:val="22"/>
                <w:lang w:eastAsia="ar-SA"/>
              </w:rPr>
              <w:t>部：業務操作風險</w:t>
            </w:r>
          </w:p>
        </w:tc>
        <w:tc>
          <w:tcPr>
            <w:tcW w:w="4819" w:type="dxa"/>
            <w:tcBorders>
              <w:top w:val="single" w:sz="8" w:space="0" w:color="000000"/>
              <w:left w:val="single" w:sz="8" w:space="0" w:color="000000"/>
              <w:bottom w:val="single" w:sz="4" w:space="0" w:color="000000"/>
            </w:tcBorders>
            <w:shd w:val="clear" w:color="auto" w:fill="auto"/>
          </w:tcPr>
          <w:p w14:paraId="2C9F934F" w14:textId="77777777" w:rsidR="00EB0F03" w:rsidRPr="008B7C12" w:rsidRDefault="00EB0F03" w:rsidP="00EB0F03">
            <w:pPr>
              <w:suppressAutoHyphens/>
              <w:rPr>
                <w:rFonts w:eastAsia="細明體" w:cs="Segoe UI"/>
                <w:sz w:val="22"/>
                <w:szCs w:val="22"/>
                <w:lang w:eastAsia="zh-TW"/>
              </w:rPr>
            </w:pPr>
            <w:r w:rsidRPr="008B7C12">
              <w:rPr>
                <w:rFonts w:eastAsia="細明體" w:cs="Segoe UI" w:hint="eastAsia"/>
                <w:sz w:val="22"/>
                <w:szCs w:val="22"/>
                <w:lang w:eastAsia="zh-TW"/>
              </w:rPr>
              <w:t>表</w:t>
            </w:r>
            <w:r w:rsidRPr="008B7C12">
              <w:rPr>
                <w:rFonts w:eastAsia="細明體" w:cs="Segoe UI"/>
                <w:sz w:val="22"/>
                <w:szCs w:val="22"/>
                <w:lang w:eastAsia="zh-TW"/>
              </w:rPr>
              <w:t>ORA</w:t>
            </w:r>
            <w:r w:rsidRPr="008B7C12">
              <w:rPr>
                <w:rFonts w:eastAsia="細明體" w:cs="Segoe UI" w:hint="eastAsia"/>
                <w:sz w:val="22"/>
                <w:szCs w:val="22"/>
                <w:lang w:eastAsia="zh-TW"/>
              </w:rPr>
              <w:t>：業務操作風險框架的一般資料</w:t>
            </w:r>
          </w:p>
        </w:tc>
        <w:tc>
          <w:tcPr>
            <w:tcW w:w="1701" w:type="dxa"/>
            <w:tcBorders>
              <w:top w:val="single" w:sz="8" w:space="0" w:color="000000"/>
              <w:left w:val="single" w:sz="8" w:space="0" w:color="000000"/>
              <w:bottom w:val="single" w:sz="4" w:space="0" w:color="000000"/>
            </w:tcBorders>
            <w:shd w:val="clear" w:color="auto" w:fill="auto"/>
          </w:tcPr>
          <w:p w14:paraId="00E305A2" w14:textId="77777777" w:rsidR="00EB0F03" w:rsidRPr="008B7C12" w:rsidRDefault="00EB0F03" w:rsidP="00EB0F03">
            <w:pPr>
              <w:spacing w:after="160" w:line="259" w:lineRule="auto"/>
              <w:jc w:val="center"/>
              <w:rPr>
                <w:rFonts w:ascii="Calibri" w:eastAsia="新細明體" w:hAnsi="Calibri"/>
                <w:sz w:val="22"/>
                <w:szCs w:val="22"/>
                <w:lang w:eastAsia="zh-TW"/>
              </w:rPr>
            </w:pPr>
            <w:r w:rsidRPr="008B7C12">
              <w:rPr>
                <w:rFonts w:ascii="Calibri" w:eastAsia="新細明體" w:hAnsi="Calibri"/>
                <w:sz w:val="22"/>
                <w:szCs w:val="22"/>
                <w:lang w:eastAsia="zh-TW"/>
              </w:rPr>
              <w:t>本地</w:t>
            </w:r>
          </w:p>
        </w:tc>
        <w:tc>
          <w:tcPr>
            <w:tcW w:w="992" w:type="dxa"/>
            <w:tcBorders>
              <w:top w:val="single" w:sz="8" w:space="0" w:color="000000"/>
              <w:left w:val="single" w:sz="8" w:space="0" w:color="000000"/>
              <w:bottom w:val="single" w:sz="4" w:space="0" w:color="000000"/>
            </w:tcBorders>
            <w:shd w:val="clear" w:color="auto" w:fill="auto"/>
          </w:tcPr>
          <w:p w14:paraId="205BD9B7" w14:textId="77777777" w:rsidR="00EB0F03" w:rsidRPr="008B7C12" w:rsidRDefault="00EB0F03" w:rsidP="00EB0F03">
            <w:pPr>
              <w:suppressAutoHyphens/>
              <w:jc w:val="center"/>
              <w:rPr>
                <w:rFonts w:cs="Segoe UI"/>
                <w:sz w:val="22"/>
                <w:szCs w:val="22"/>
                <w:lang w:eastAsia="zh-TW"/>
              </w:rPr>
            </w:pPr>
          </w:p>
        </w:tc>
        <w:tc>
          <w:tcPr>
            <w:tcW w:w="992" w:type="dxa"/>
            <w:tcBorders>
              <w:top w:val="single" w:sz="8" w:space="0" w:color="000000"/>
              <w:left w:val="single" w:sz="4" w:space="0" w:color="000000"/>
              <w:bottom w:val="single" w:sz="4" w:space="0" w:color="000000"/>
            </w:tcBorders>
            <w:shd w:val="clear" w:color="auto" w:fill="auto"/>
          </w:tcPr>
          <w:p w14:paraId="7EBC0E5B"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1276" w:type="dxa"/>
            <w:tcBorders>
              <w:top w:val="single" w:sz="8" w:space="0" w:color="000000"/>
              <w:left w:val="single" w:sz="8" w:space="0" w:color="000000"/>
              <w:bottom w:val="single" w:sz="4" w:space="0" w:color="000000"/>
            </w:tcBorders>
            <w:shd w:val="clear" w:color="auto" w:fill="auto"/>
          </w:tcPr>
          <w:p w14:paraId="0F7FAC57" w14:textId="77777777" w:rsidR="00EB0F03" w:rsidRPr="008B7C12" w:rsidRDefault="00EB0F03" w:rsidP="00EB0F03">
            <w:pPr>
              <w:suppressAutoHyphens/>
              <w:jc w:val="center"/>
              <w:rPr>
                <w:rFonts w:cs="Segoe UI"/>
                <w:sz w:val="22"/>
                <w:szCs w:val="22"/>
                <w:lang w:eastAsia="zh-TW"/>
              </w:rPr>
            </w:pPr>
          </w:p>
        </w:tc>
        <w:tc>
          <w:tcPr>
            <w:tcW w:w="1276" w:type="dxa"/>
            <w:tcBorders>
              <w:top w:val="single" w:sz="8" w:space="0" w:color="000000"/>
              <w:left w:val="single" w:sz="4" w:space="0" w:color="000000"/>
              <w:bottom w:val="single" w:sz="4" w:space="0" w:color="000000"/>
            </w:tcBorders>
            <w:shd w:val="clear" w:color="auto" w:fill="auto"/>
          </w:tcPr>
          <w:p w14:paraId="3003376F" w14:textId="77777777" w:rsidR="00EB0F03" w:rsidRPr="008B7C12" w:rsidRDefault="00EB0F03" w:rsidP="00EB0F03">
            <w:pPr>
              <w:suppressAutoHyphens/>
              <w:jc w:val="center"/>
              <w:rPr>
                <w:rFonts w:cs="Segoe UI"/>
                <w:sz w:val="22"/>
                <w:szCs w:val="22"/>
                <w:lang w:eastAsia="zh-TW"/>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06726F26"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r>
      <w:tr w:rsidR="00EB0F03" w:rsidRPr="008B7C12" w14:paraId="234C2F54" w14:textId="77777777" w:rsidTr="00EB0F03">
        <w:trPr>
          <w:cantSplit/>
          <w:trHeight w:val="283"/>
        </w:trPr>
        <w:tc>
          <w:tcPr>
            <w:tcW w:w="2127" w:type="dxa"/>
            <w:vMerge/>
          </w:tcPr>
          <w:p w14:paraId="0A95DC8E" w14:textId="77777777" w:rsidR="00EB0F03" w:rsidRPr="008B7C12"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323AD9E0" w14:textId="77777777" w:rsidR="00EB0F03" w:rsidRPr="008B7C12" w:rsidRDefault="00EB0F03" w:rsidP="00EB0F03">
            <w:pPr>
              <w:suppressAutoHyphens/>
              <w:rPr>
                <w:rFonts w:eastAsia="細明體" w:cs="Segoe UI"/>
                <w:sz w:val="22"/>
                <w:szCs w:val="22"/>
                <w:lang w:eastAsia="zh-TW"/>
              </w:rPr>
            </w:pPr>
            <w:r w:rsidRPr="008B7C12">
              <w:rPr>
                <w:rFonts w:eastAsia="新細明體" w:cs="Segoe UI"/>
                <w:sz w:val="22"/>
                <w:szCs w:val="22"/>
                <w:lang w:eastAsia="zh-TW"/>
              </w:rPr>
              <w:t>模版</w:t>
            </w:r>
            <w:r w:rsidRPr="008B7C12">
              <w:rPr>
                <w:rFonts w:eastAsia="新細明體" w:cs="Segoe UI"/>
                <w:sz w:val="22"/>
                <w:szCs w:val="22"/>
                <w:lang w:eastAsia="zh-TW"/>
              </w:rPr>
              <w:t>OR1</w:t>
            </w:r>
            <w:r w:rsidRPr="008B7C12">
              <w:rPr>
                <w:rFonts w:eastAsia="新細明體" w:cs="Segoe UI"/>
                <w:sz w:val="22"/>
                <w:szCs w:val="22"/>
                <w:lang w:eastAsia="zh-TW"/>
              </w:rPr>
              <w:t>：</w:t>
            </w:r>
            <w:r w:rsidRPr="008B7C12">
              <w:rPr>
                <w:rFonts w:eastAsia="新細明體" w:cs="Segoe UI" w:hint="eastAsia"/>
                <w:sz w:val="22"/>
                <w:szCs w:val="22"/>
                <w:lang w:eastAsia="zh-HK"/>
              </w:rPr>
              <w:t>過往虧損</w:t>
            </w:r>
          </w:p>
        </w:tc>
        <w:tc>
          <w:tcPr>
            <w:tcW w:w="1701" w:type="dxa"/>
            <w:tcBorders>
              <w:top w:val="single" w:sz="4" w:space="0" w:color="000000"/>
              <w:left w:val="single" w:sz="8" w:space="0" w:color="000000"/>
              <w:bottom w:val="single" w:sz="4" w:space="0" w:color="000000"/>
            </w:tcBorders>
            <w:shd w:val="clear" w:color="auto" w:fill="auto"/>
          </w:tcPr>
          <w:p w14:paraId="16C53940" w14:textId="77777777" w:rsidR="00EB0F03" w:rsidRPr="008B7C12" w:rsidRDefault="00EB0F03" w:rsidP="00EB0F03">
            <w:pPr>
              <w:spacing w:after="160" w:line="259" w:lineRule="auto"/>
              <w:jc w:val="center"/>
              <w:rPr>
                <w:rFonts w:ascii="Calibri" w:eastAsia="新細明體" w:hAnsi="Calibri"/>
                <w:sz w:val="22"/>
                <w:szCs w:val="22"/>
                <w:lang w:eastAsia="zh-TW"/>
              </w:rPr>
            </w:pPr>
            <w:r w:rsidRPr="008B7C12">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2731FBAE"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992" w:type="dxa"/>
            <w:tcBorders>
              <w:top w:val="single" w:sz="4" w:space="0" w:color="000000"/>
              <w:left w:val="single" w:sz="4" w:space="0" w:color="000000"/>
              <w:bottom w:val="single" w:sz="4" w:space="0" w:color="000000"/>
            </w:tcBorders>
            <w:shd w:val="clear" w:color="auto" w:fill="auto"/>
          </w:tcPr>
          <w:p w14:paraId="43911B3A"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8" w:space="0" w:color="000000"/>
              <w:bottom w:val="single" w:sz="4" w:space="0" w:color="000000"/>
            </w:tcBorders>
            <w:shd w:val="clear" w:color="auto" w:fill="auto"/>
          </w:tcPr>
          <w:p w14:paraId="30CE51D1"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4" w:space="0" w:color="000000"/>
              <w:bottom w:val="single" w:sz="4" w:space="0" w:color="000000"/>
            </w:tcBorders>
            <w:shd w:val="clear" w:color="auto" w:fill="auto"/>
          </w:tcPr>
          <w:p w14:paraId="76259F48" w14:textId="77777777" w:rsidR="00EB0F03" w:rsidRPr="008B7C12" w:rsidRDefault="00EB0F03" w:rsidP="00EB0F03">
            <w:pPr>
              <w:suppressAutoHyphens/>
              <w:jc w:val="center"/>
              <w:rPr>
                <w:rFonts w:cs="Segoe UI"/>
                <w:sz w:val="22"/>
                <w:szCs w:val="22"/>
                <w:lang w:eastAsia="zh-TW"/>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1C5C7DA0"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r>
      <w:tr w:rsidR="00EB0F03" w:rsidRPr="008B7C12" w14:paraId="072462D6" w14:textId="77777777" w:rsidTr="00EB0F03">
        <w:trPr>
          <w:cantSplit/>
          <w:trHeight w:val="283"/>
        </w:trPr>
        <w:tc>
          <w:tcPr>
            <w:tcW w:w="2127" w:type="dxa"/>
            <w:vMerge/>
          </w:tcPr>
          <w:p w14:paraId="3CC078F1" w14:textId="77777777" w:rsidR="00EB0F03" w:rsidRPr="008B7C12"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4" w:space="0" w:color="000000"/>
            </w:tcBorders>
            <w:shd w:val="clear" w:color="auto" w:fill="auto"/>
          </w:tcPr>
          <w:p w14:paraId="3EEC7DB5" w14:textId="2650A754" w:rsidR="00EB0F03" w:rsidRPr="008B7C12" w:rsidRDefault="00EB0F03" w:rsidP="00EB0F03">
            <w:pPr>
              <w:suppressAutoHyphens/>
              <w:rPr>
                <w:rFonts w:eastAsia="細明體" w:cs="Segoe UI"/>
                <w:sz w:val="22"/>
                <w:szCs w:val="22"/>
                <w:lang w:eastAsia="zh-TW"/>
              </w:rPr>
            </w:pPr>
            <w:r w:rsidRPr="008B7C12">
              <w:rPr>
                <w:rFonts w:eastAsia="細明體" w:cs="Segoe UI" w:hint="eastAsia"/>
                <w:sz w:val="22"/>
                <w:szCs w:val="22"/>
                <w:lang w:eastAsia="zh-TW"/>
              </w:rPr>
              <w:t>模版</w:t>
            </w:r>
            <w:r w:rsidRPr="008B7C12">
              <w:rPr>
                <w:rFonts w:eastAsia="細明體" w:cs="Segoe UI"/>
                <w:sz w:val="22"/>
                <w:szCs w:val="22"/>
                <w:lang w:eastAsia="zh-TW"/>
              </w:rPr>
              <w:t>OR2</w:t>
            </w:r>
            <w:r w:rsidRPr="008B7C12">
              <w:rPr>
                <w:rFonts w:eastAsia="細明體" w:cs="Segoe UI" w:hint="eastAsia"/>
                <w:sz w:val="22"/>
                <w:szCs w:val="22"/>
                <w:lang w:eastAsia="zh-TW"/>
              </w:rPr>
              <w:t>：業務指標及業務指標組成部分</w:t>
            </w:r>
            <w:r w:rsidR="00F36777">
              <w:rPr>
                <w:rFonts w:eastAsia="細明體" w:cs="Segoe UI" w:hint="eastAsia"/>
                <w:sz w:val="22"/>
                <w:szCs w:val="22"/>
                <w:lang w:eastAsia="zh-HK"/>
              </w:rPr>
              <w:t>的</w:t>
            </w:r>
            <w:r w:rsidRPr="008B7C12">
              <w:rPr>
                <w:rFonts w:eastAsia="細明體" w:cs="Segoe UI" w:hint="eastAsia"/>
                <w:sz w:val="22"/>
                <w:szCs w:val="22"/>
                <w:lang w:eastAsia="zh-TW"/>
              </w:rPr>
              <w:t>細目分類</w:t>
            </w:r>
          </w:p>
        </w:tc>
        <w:tc>
          <w:tcPr>
            <w:tcW w:w="1701" w:type="dxa"/>
            <w:tcBorders>
              <w:top w:val="single" w:sz="4" w:space="0" w:color="000000"/>
              <w:left w:val="single" w:sz="8" w:space="0" w:color="000000"/>
              <w:bottom w:val="single" w:sz="4" w:space="0" w:color="000000"/>
            </w:tcBorders>
            <w:shd w:val="clear" w:color="auto" w:fill="auto"/>
          </w:tcPr>
          <w:p w14:paraId="119F5F86" w14:textId="77777777" w:rsidR="00EB0F03" w:rsidRPr="008B7C12" w:rsidRDefault="00EB0F03" w:rsidP="00EB0F03">
            <w:pPr>
              <w:spacing w:after="160" w:line="259" w:lineRule="auto"/>
              <w:jc w:val="center"/>
              <w:rPr>
                <w:rFonts w:ascii="Calibri" w:eastAsia="新細明體" w:hAnsi="Calibri"/>
                <w:sz w:val="22"/>
                <w:szCs w:val="22"/>
                <w:lang w:eastAsia="zh-TW"/>
              </w:rPr>
            </w:pPr>
            <w:r w:rsidRPr="008B7C12">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4" w:space="0" w:color="000000"/>
            </w:tcBorders>
            <w:shd w:val="clear" w:color="auto" w:fill="auto"/>
          </w:tcPr>
          <w:p w14:paraId="2A205832"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992" w:type="dxa"/>
            <w:tcBorders>
              <w:top w:val="single" w:sz="4" w:space="0" w:color="000000"/>
              <w:left w:val="single" w:sz="4" w:space="0" w:color="000000"/>
              <w:bottom w:val="single" w:sz="4" w:space="0" w:color="000000"/>
            </w:tcBorders>
            <w:shd w:val="clear" w:color="auto" w:fill="auto"/>
          </w:tcPr>
          <w:p w14:paraId="35E438B4"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8" w:space="0" w:color="000000"/>
              <w:bottom w:val="single" w:sz="4" w:space="0" w:color="000000"/>
            </w:tcBorders>
            <w:shd w:val="clear" w:color="auto" w:fill="auto"/>
          </w:tcPr>
          <w:p w14:paraId="0F601042"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4" w:space="0" w:color="000000"/>
              <w:bottom w:val="single" w:sz="4" w:space="0" w:color="000000"/>
            </w:tcBorders>
            <w:shd w:val="clear" w:color="auto" w:fill="auto"/>
          </w:tcPr>
          <w:p w14:paraId="735C76A9" w14:textId="77777777" w:rsidR="00EB0F03" w:rsidRPr="008B7C12" w:rsidRDefault="00EB0F03" w:rsidP="00EB0F03">
            <w:pPr>
              <w:suppressAutoHyphens/>
              <w:jc w:val="center"/>
              <w:rPr>
                <w:rFonts w:cs="Segoe UI"/>
                <w:sz w:val="22"/>
                <w:szCs w:val="22"/>
                <w:lang w:eastAsia="zh-TW"/>
              </w:rPr>
            </w:pPr>
          </w:p>
        </w:tc>
        <w:tc>
          <w:tcPr>
            <w:tcW w:w="1277" w:type="dxa"/>
            <w:tcBorders>
              <w:top w:val="single" w:sz="4" w:space="0" w:color="000000"/>
              <w:left w:val="single" w:sz="4" w:space="0" w:color="000000"/>
              <w:bottom w:val="single" w:sz="4" w:space="0" w:color="000000"/>
              <w:right w:val="single" w:sz="8" w:space="0" w:color="000000"/>
            </w:tcBorders>
            <w:shd w:val="clear" w:color="auto" w:fill="auto"/>
          </w:tcPr>
          <w:p w14:paraId="3D41248F"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r>
      <w:tr w:rsidR="00EB0F03" w:rsidRPr="008B7C12" w14:paraId="1D88950A" w14:textId="77777777" w:rsidTr="00F8781E">
        <w:trPr>
          <w:cantSplit/>
          <w:trHeight w:val="283"/>
        </w:trPr>
        <w:tc>
          <w:tcPr>
            <w:tcW w:w="2127" w:type="dxa"/>
            <w:vMerge/>
            <w:tcBorders>
              <w:bottom w:val="single" w:sz="8" w:space="0" w:color="000000"/>
            </w:tcBorders>
          </w:tcPr>
          <w:p w14:paraId="19F059E7" w14:textId="77777777" w:rsidR="00EB0F03" w:rsidRPr="008B7C12"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8" w:space="0" w:color="000000"/>
            </w:tcBorders>
            <w:shd w:val="clear" w:color="auto" w:fill="auto"/>
          </w:tcPr>
          <w:p w14:paraId="34B5A233" w14:textId="77777777" w:rsidR="00EB0F03" w:rsidRPr="008B7C12" w:rsidRDefault="00EB0F03" w:rsidP="00EB0F03">
            <w:pPr>
              <w:suppressAutoHyphens/>
              <w:rPr>
                <w:rFonts w:eastAsia="細明體" w:cs="Segoe UI"/>
                <w:sz w:val="22"/>
                <w:szCs w:val="22"/>
                <w:lang w:eastAsia="zh-TW"/>
              </w:rPr>
            </w:pPr>
            <w:r w:rsidRPr="008B7C12">
              <w:rPr>
                <w:rFonts w:eastAsia="細明體" w:cs="Segoe UI" w:hint="eastAsia"/>
                <w:sz w:val="22"/>
                <w:szCs w:val="22"/>
                <w:lang w:eastAsia="zh-TW"/>
              </w:rPr>
              <w:t>模版</w:t>
            </w:r>
            <w:r w:rsidRPr="008B7C12">
              <w:rPr>
                <w:rFonts w:eastAsia="細明體" w:cs="Segoe UI"/>
                <w:sz w:val="22"/>
                <w:szCs w:val="22"/>
                <w:lang w:eastAsia="zh-TW"/>
              </w:rPr>
              <w:t>OR3</w:t>
            </w:r>
            <w:r w:rsidRPr="008B7C12">
              <w:rPr>
                <w:rFonts w:eastAsia="細明體" w:cs="Segoe UI" w:hint="eastAsia"/>
                <w:sz w:val="22"/>
                <w:szCs w:val="22"/>
                <w:lang w:eastAsia="zh-TW"/>
              </w:rPr>
              <w:t>：業務操作風險最低資本規定</w:t>
            </w:r>
          </w:p>
        </w:tc>
        <w:tc>
          <w:tcPr>
            <w:tcW w:w="1701" w:type="dxa"/>
            <w:tcBorders>
              <w:top w:val="single" w:sz="4" w:space="0" w:color="000000"/>
              <w:left w:val="single" w:sz="8" w:space="0" w:color="000000"/>
              <w:bottom w:val="single" w:sz="8" w:space="0" w:color="000000"/>
            </w:tcBorders>
            <w:shd w:val="clear" w:color="auto" w:fill="auto"/>
          </w:tcPr>
          <w:p w14:paraId="371C499B" w14:textId="77777777" w:rsidR="00EB0F03" w:rsidRPr="008B7C12" w:rsidRDefault="00EB0F03" w:rsidP="00EB0F03">
            <w:pPr>
              <w:spacing w:after="160" w:line="259" w:lineRule="auto"/>
              <w:jc w:val="center"/>
              <w:rPr>
                <w:rFonts w:ascii="Calibri" w:eastAsia="新細明體" w:hAnsi="Calibri"/>
                <w:sz w:val="22"/>
                <w:szCs w:val="22"/>
                <w:lang w:eastAsia="zh-TW"/>
              </w:rPr>
            </w:pPr>
            <w:r w:rsidRPr="008B7C12">
              <w:rPr>
                <w:rFonts w:ascii="Calibri" w:eastAsia="新細明體" w:hAnsi="Calibri"/>
                <w:sz w:val="22"/>
                <w:szCs w:val="22"/>
                <w:lang w:eastAsia="zh-TW"/>
              </w:rPr>
              <w:t>本地</w:t>
            </w:r>
          </w:p>
        </w:tc>
        <w:tc>
          <w:tcPr>
            <w:tcW w:w="992" w:type="dxa"/>
            <w:tcBorders>
              <w:top w:val="single" w:sz="4" w:space="0" w:color="000000"/>
              <w:left w:val="single" w:sz="8" w:space="0" w:color="000000"/>
              <w:bottom w:val="single" w:sz="8" w:space="0" w:color="000000"/>
            </w:tcBorders>
            <w:shd w:val="clear" w:color="auto" w:fill="auto"/>
          </w:tcPr>
          <w:p w14:paraId="5340994C"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992" w:type="dxa"/>
            <w:tcBorders>
              <w:top w:val="single" w:sz="4" w:space="0" w:color="000000"/>
              <w:left w:val="single" w:sz="4" w:space="0" w:color="000000"/>
              <w:bottom w:val="single" w:sz="8" w:space="0" w:color="000000"/>
            </w:tcBorders>
            <w:shd w:val="clear" w:color="auto" w:fill="auto"/>
          </w:tcPr>
          <w:p w14:paraId="7045D837"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8" w:space="0" w:color="000000"/>
              <w:bottom w:val="single" w:sz="8" w:space="0" w:color="000000"/>
            </w:tcBorders>
            <w:shd w:val="clear" w:color="auto" w:fill="auto"/>
          </w:tcPr>
          <w:p w14:paraId="4284AD7E"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4" w:space="0" w:color="000000"/>
              <w:bottom w:val="single" w:sz="8" w:space="0" w:color="000000"/>
            </w:tcBorders>
            <w:shd w:val="clear" w:color="auto" w:fill="auto"/>
          </w:tcPr>
          <w:p w14:paraId="770089D2" w14:textId="77777777" w:rsidR="00EB0F03" w:rsidRPr="008B7C12" w:rsidRDefault="00EB0F03" w:rsidP="00EB0F03">
            <w:pPr>
              <w:suppressAutoHyphens/>
              <w:jc w:val="center"/>
              <w:rPr>
                <w:rFonts w:cs="Segoe UI"/>
                <w:sz w:val="22"/>
                <w:szCs w:val="22"/>
                <w:lang w:eastAsia="zh-TW"/>
              </w:rPr>
            </w:pPr>
          </w:p>
        </w:tc>
        <w:tc>
          <w:tcPr>
            <w:tcW w:w="1277" w:type="dxa"/>
            <w:tcBorders>
              <w:top w:val="single" w:sz="4" w:space="0" w:color="000000"/>
              <w:left w:val="single" w:sz="4" w:space="0" w:color="000000"/>
              <w:bottom w:val="single" w:sz="8" w:space="0" w:color="000000"/>
              <w:right w:val="single" w:sz="8" w:space="0" w:color="000000"/>
            </w:tcBorders>
            <w:shd w:val="clear" w:color="auto" w:fill="auto"/>
          </w:tcPr>
          <w:p w14:paraId="6AB42F54"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r>
      <w:tr w:rsidR="00EB0F03" w:rsidRPr="008B7C12" w14:paraId="228E004F" w14:textId="77777777" w:rsidTr="00F8781E">
        <w:trPr>
          <w:cantSplit/>
          <w:trHeight w:val="283"/>
        </w:trPr>
        <w:tc>
          <w:tcPr>
            <w:tcW w:w="2127" w:type="dxa"/>
            <w:vMerge w:val="restart"/>
            <w:tcBorders>
              <w:top w:val="single" w:sz="8" w:space="0" w:color="000000"/>
            </w:tcBorders>
          </w:tcPr>
          <w:p w14:paraId="1BCA6D36" w14:textId="77777777" w:rsidR="00EB0F03" w:rsidRPr="008B7C12" w:rsidRDefault="00EB0F03" w:rsidP="00EB0F03">
            <w:pPr>
              <w:suppressAutoHyphens/>
              <w:snapToGrid w:val="0"/>
              <w:rPr>
                <w:rFonts w:eastAsia="細明體" w:cs="Segoe UI"/>
                <w:sz w:val="22"/>
                <w:szCs w:val="22"/>
                <w:lang w:eastAsia="ar-SA"/>
              </w:rPr>
            </w:pPr>
            <w:r w:rsidRPr="008B7C12">
              <w:rPr>
                <w:rFonts w:eastAsia="細明體" w:cs="Segoe UI" w:hint="eastAsia"/>
                <w:sz w:val="22"/>
                <w:szCs w:val="22"/>
                <w:lang w:eastAsia="ar-SA"/>
              </w:rPr>
              <w:t>第</w:t>
            </w:r>
            <w:r w:rsidRPr="008B7C12">
              <w:rPr>
                <w:rFonts w:eastAsia="細明體" w:cs="Segoe UI"/>
                <w:sz w:val="22"/>
                <w:szCs w:val="22"/>
                <w:lang w:eastAsia="ar-SA"/>
              </w:rPr>
              <w:t>X</w:t>
            </w:r>
            <w:r w:rsidRPr="008B7C12">
              <w:rPr>
                <w:rFonts w:eastAsia="細明體" w:cs="Segoe UI" w:hint="eastAsia"/>
                <w:sz w:val="22"/>
                <w:szCs w:val="22"/>
                <w:lang w:eastAsia="ar-SA"/>
              </w:rPr>
              <w:t>部：模式化與標準化風險加權數額的比較</w:t>
            </w:r>
          </w:p>
        </w:tc>
        <w:tc>
          <w:tcPr>
            <w:tcW w:w="4819" w:type="dxa"/>
            <w:tcBorders>
              <w:top w:val="single" w:sz="8" w:space="0" w:color="000000"/>
              <w:left w:val="single" w:sz="8" w:space="0" w:color="000000"/>
              <w:bottom w:val="single" w:sz="4" w:space="0" w:color="000000"/>
            </w:tcBorders>
            <w:shd w:val="clear" w:color="auto" w:fill="auto"/>
          </w:tcPr>
          <w:p w14:paraId="3FCC7C85" w14:textId="77777777" w:rsidR="00EB0F03" w:rsidRPr="008B7C12" w:rsidRDefault="00EB0F03" w:rsidP="00EB0F03">
            <w:pPr>
              <w:suppressAutoHyphens/>
              <w:rPr>
                <w:rFonts w:eastAsia="細明體" w:cs="Segoe UI"/>
                <w:sz w:val="22"/>
                <w:szCs w:val="22"/>
                <w:lang w:eastAsia="zh-TW"/>
              </w:rPr>
            </w:pPr>
            <w:r w:rsidRPr="008B7C12">
              <w:rPr>
                <w:rFonts w:eastAsia="新細明體" w:cs="Segoe UI"/>
                <w:sz w:val="22"/>
                <w:szCs w:val="22"/>
                <w:lang w:eastAsia="zh-TW"/>
              </w:rPr>
              <w:t>模版</w:t>
            </w:r>
            <w:r w:rsidRPr="008B7C12">
              <w:rPr>
                <w:rFonts w:eastAsia="新細明體" w:cs="Segoe UI"/>
                <w:sz w:val="22"/>
                <w:szCs w:val="22"/>
                <w:lang w:eastAsia="zh-TW"/>
              </w:rPr>
              <w:t>CMS1</w:t>
            </w:r>
            <w:r w:rsidRPr="008B7C12">
              <w:rPr>
                <w:rFonts w:eastAsia="新細明體" w:cs="Segoe UI"/>
                <w:sz w:val="22"/>
                <w:szCs w:val="22"/>
                <w:lang w:eastAsia="zh-TW"/>
              </w:rPr>
              <w:t>：</w:t>
            </w:r>
            <w:r w:rsidRPr="008B7C12">
              <w:rPr>
                <w:rFonts w:eastAsia="新細明體" w:cs="Segoe UI" w:hint="eastAsia"/>
                <w:sz w:val="22"/>
                <w:szCs w:val="22"/>
                <w:lang w:eastAsia="zh-HK"/>
              </w:rPr>
              <w:t>模式化與標準化</w:t>
            </w:r>
            <w:r w:rsidRPr="008B7C12">
              <w:rPr>
                <w:rFonts w:eastAsia="新細明體" w:cs="Segoe UI"/>
                <w:sz w:val="22"/>
                <w:szCs w:val="22"/>
                <w:lang w:eastAsia="zh-TW"/>
              </w:rPr>
              <w:t>風險加權數額</w:t>
            </w:r>
            <w:r w:rsidRPr="008B7C12">
              <w:rPr>
                <w:rFonts w:eastAsia="新細明體" w:cs="Segoe UI" w:hint="eastAsia"/>
                <w:sz w:val="22"/>
                <w:szCs w:val="22"/>
                <w:lang w:eastAsia="zh-HK"/>
              </w:rPr>
              <w:t>在風險層面上的比較</w:t>
            </w:r>
          </w:p>
        </w:tc>
        <w:tc>
          <w:tcPr>
            <w:tcW w:w="1701" w:type="dxa"/>
            <w:tcBorders>
              <w:top w:val="single" w:sz="8" w:space="0" w:color="000000"/>
              <w:left w:val="single" w:sz="8" w:space="0" w:color="000000"/>
              <w:bottom w:val="single" w:sz="4" w:space="0" w:color="000000"/>
            </w:tcBorders>
            <w:shd w:val="clear" w:color="auto" w:fill="auto"/>
          </w:tcPr>
          <w:p w14:paraId="22D1D43C" w14:textId="6D5CE9DC" w:rsidR="00EB0F03" w:rsidRPr="008B7C12" w:rsidRDefault="00EB0F03" w:rsidP="00EB0F03">
            <w:pPr>
              <w:spacing w:after="160" w:line="259" w:lineRule="auto"/>
              <w:jc w:val="center"/>
              <w:rPr>
                <w:rFonts w:ascii="Calibri" w:eastAsia="新細明體" w:hAnsi="Calibri"/>
                <w:sz w:val="22"/>
                <w:szCs w:val="22"/>
                <w:lang w:eastAsia="zh-TW"/>
              </w:rPr>
            </w:pPr>
            <w:r w:rsidRPr="008B7C12">
              <w:rPr>
                <w:rFonts w:ascii="Calibri" w:eastAsia="新細明體" w:hAnsi="Calibri"/>
                <w:sz w:val="22"/>
                <w:szCs w:val="22"/>
                <w:lang w:eastAsia="zh-TW"/>
              </w:rPr>
              <w:t>本地</w:t>
            </w:r>
            <w:r w:rsidR="0070655F">
              <w:rPr>
                <w:rFonts w:ascii="Calibri" w:eastAsia="新細明體" w:hAnsi="Calibri" w:hint="eastAsia"/>
                <w:sz w:val="22"/>
                <w:szCs w:val="22"/>
                <w:lang w:eastAsia="zh-TW"/>
              </w:rPr>
              <w:t xml:space="preserve"> [</w:t>
            </w:r>
            <w:r w:rsidR="0070655F" w:rsidRPr="0070655F">
              <w:rPr>
                <w:rFonts w:ascii="Calibri" w:eastAsia="新細明體" w:hAnsi="Calibri" w:hint="eastAsia"/>
                <w:sz w:val="22"/>
                <w:szCs w:val="22"/>
                <w:lang w:eastAsia="zh-TW"/>
              </w:rPr>
              <w:t>採用模式基準計算法計算其信用風險或市場風險</w:t>
            </w:r>
            <w:r w:rsidR="0070655F">
              <w:rPr>
                <w:rFonts w:ascii="Calibri" w:eastAsia="新細明體" w:hAnsi="Calibri" w:hint="eastAsia"/>
                <w:sz w:val="22"/>
                <w:szCs w:val="22"/>
                <w:lang w:eastAsia="zh-TW"/>
              </w:rPr>
              <w:t>]</w:t>
            </w:r>
          </w:p>
        </w:tc>
        <w:tc>
          <w:tcPr>
            <w:tcW w:w="992" w:type="dxa"/>
            <w:tcBorders>
              <w:top w:val="single" w:sz="8" w:space="0" w:color="000000"/>
              <w:left w:val="single" w:sz="8" w:space="0" w:color="000000"/>
              <w:bottom w:val="single" w:sz="4" w:space="0" w:color="000000"/>
            </w:tcBorders>
            <w:shd w:val="clear" w:color="auto" w:fill="auto"/>
          </w:tcPr>
          <w:p w14:paraId="66C7B412"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992" w:type="dxa"/>
            <w:tcBorders>
              <w:top w:val="single" w:sz="8" w:space="0" w:color="000000"/>
              <w:left w:val="single" w:sz="4" w:space="0" w:color="000000"/>
              <w:bottom w:val="single" w:sz="4" w:space="0" w:color="000000"/>
            </w:tcBorders>
            <w:shd w:val="clear" w:color="auto" w:fill="auto"/>
          </w:tcPr>
          <w:p w14:paraId="1654122C" w14:textId="77777777" w:rsidR="00EB0F03" w:rsidRPr="008B7C12" w:rsidRDefault="00EB0F03" w:rsidP="00EB0F03">
            <w:pPr>
              <w:suppressAutoHyphens/>
              <w:jc w:val="center"/>
              <w:rPr>
                <w:rFonts w:cs="Segoe UI"/>
                <w:sz w:val="22"/>
                <w:szCs w:val="22"/>
                <w:lang w:eastAsia="zh-TW"/>
              </w:rPr>
            </w:pPr>
          </w:p>
        </w:tc>
        <w:tc>
          <w:tcPr>
            <w:tcW w:w="1276" w:type="dxa"/>
            <w:tcBorders>
              <w:top w:val="single" w:sz="8" w:space="0" w:color="000000"/>
              <w:left w:val="single" w:sz="8" w:space="0" w:color="000000"/>
              <w:bottom w:val="single" w:sz="4" w:space="0" w:color="000000"/>
            </w:tcBorders>
            <w:shd w:val="clear" w:color="auto" w:fill="auto"/>
          </w:tcPr>
          <w:p w14:paraId="3249F096"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1276" w:type="dxa"/>
            <w:tcBorders>
              <w:top w:val="single" w:sz="8" w:space="0" w:color="000000"/>
              <w:left w:val="single" w:sz="4" w:space="0" w:color="000000"/>
              <w:bottom w:val="single" w:sz="4" w:space="0" w:color="000000"/>
            </w:tcBorders>
            <w:shd w:val="clear" w:color="auto" w:fill="auto"/>
          </w:tcPr>
          <w:p w14:paraId="599F72B9" w14:textId="77777777" w:rsidR="00EB0F03" w:rsidRPr="008B7C12" w:rsidRDefault="00EB0F03" w:rsidP="00EB0F03">
            <w:pPr>
              <w:suppressAutoHyphens/>
              <w:jc w:val="center"/>
              <w:rPr>
                <w:rFonts w:cs="Segoe UI"/>
                <w:sz w:val="22"/>
                <w:szCs w:val="22"/>
                <w:lang w:eastAsia="zh-TW"/>
              </w:rPr>
            </w:pPr>
          </w:p>
        </w:tc>
        <w:tc>
          <w:tcPr>
            <w:tcW w:w="1277" w:type="dxa"/>
            <w:tcBorders>
              <w:top w:val="single" w:sz="8" w:space="0" w:color="000000"/>
              <w:left w:val="single" w:sz="4" w:space="0" w:color="000000"/>
              <w:bottom w:val="single" w:sz="4" w:space="0" w:color="000000"/>
              <w:right w:val="single" w:sz="8" w:space="0" w:color="000000"/>
            </w:tcBorders>
            <w:shd w:val="clear" w:color="auto" w:fill="auto"/>
          </w:tcPr>
          <w:p w14:paraId="550100F1" w14:textId="77777777" w:rsidR="00EB0F03" w:rsidRPr="008B7C12" w:rsidRDefault="00EB0F03" w:rsidP="00EB0F03">
            <w:pPr>
              <w:suppressAutoHyphens/>
              <w:jc w:val="center"/>
              <w:rPr>
                <w:rFonts w:cs="Segoe UI"/>
                <w:sz w:val="22"/>
                <w:szCs w:val="22"/>
                <w:lang w:eastAsia="zh-TW"/>
              </w:rPr>
            </w:pPr>
          </w:p>
        </w:tc>
      </w:tr>
      <w:tr w:rsidR="00EB0F03" w:rsidRPr="008B7C12" w14:paraId="73CB8D13" w14:textId="77777777" w:rsidTr="009C1B9D">
        <w:trPr>
          <w:cantSplit/>
          <w:trHeight w:val="283"/>
        </w:trPr>
        <w:tc>
          <w:tcPr>
            <w:tcW w:w="2127" w:type="dxa"/>
            <w:vMerge/>
            <w:tcBorders>
              <w:bottom w:val="single" w:sz="8" w:space="0" w:color="000000"/>
            </w:tcBorders>
          </w:tcPr>
          <w:p w14:paraId="3CAE999C" w14:textId="77777777" w:rsidR="00EB0F03" w:rsidRPr="008B7C12" w:rsidRDefault="00EB0F03" w:rsidP="00EB0F03">
            <w:pPr>
              <w:suppressAutoHyphens/>
              <w:snapToGrid w:val="0"/>
              <w:rPr>
                <w:rFonts w:eastAsia="細明體" w:cs="Segoe UI"/>
                <w:sz w:val="22"/>
                <w:szCs w:val="22"/>
                <w:lang w:eastAsia="ar-SA"/>
              </w:rPr>
            </w:pPr>
          </w:p>
        </w:tc>
        <w:tc>
          <w:tcPr>
            <w:tcW w:w="4819" w:type="dxa"/>
            <w:tcBorders>
              <w:top w:val="single" w:sz="4" w:space="0" w:color="000000"/>
              <w:left w:val="single" w:sz="8" w:space="0" w:color="000000"/>
              <w:bottom w:val="single" w:sz="8" w:space="0" w:color="000000"/>
            </w:tcBorders>
            <w:shd w:val="clear" w:color="auto" w:fill="auto"/>
          </w:tcPr>
          <w:p w14:paraId="1147D762" w14:textId="77777777" w:rsidR="00EB0F03" w:rsidRPr="008B7C12" w:rsidRDefault="00EB0F03" w:rsidP="00EB0F03">
            <w:pPr>
              <w:suppressAutoHyphens/>
              <w:rPr>
                <w:rFonts w:eastAsia="細明體" w:cs="Segoe UI"/>
                <w:sz w:val="22"/>
                <w:szCs w:val="22"/>
                <w:lang w:eastAsia="zh-TW"/>
              </w:rPr>
            </w:pPr>
            <w:r w:rsidRPr="008B7C12">
              <w:rPr>
                <w:rFonts w:eastAsia="新細明體" w:cs="Segoe UI"/>
                <w:sz w:val="22"/>
                <w:szCs w:val="22"/>
                <w:lang w:eastAsia="zh-TW"/>
              </w:rPr>
              <w:t>模版</w:t>
            </w:r>
            <w:r w:rsidRPr="008B7C12">
              <w:rPr>
                <w:rFonts w:eastAsia="新細明體" w:cs="Segoe UI"/>
                <w:sz w:val="22"/>
                <w:szCs w:val="22"/>
                <w:lang w:eastAsia="zh-TW"/>
              </w:rPr>
              <w:t>CMS2</w:t>
            </w:r>
            <w:r w:rsidRPr="008B7C12">
              <w:rPr>
                <w:rFonts w:eastAsia="新細明體" w:cs="Segoe UI"/>
                <w:sz w:val="22"/>
                <w:szCs w:val="22"/>
                <w:lang w:eastAsia="zh-TW"/>
              </w:rPr>
              <w:t>：</w:t>
            </w:r>
            <w:r w:rsidRPr="008B7C12">
              <w:rPr>
                <w:rFonts w:eastAsia="新細明體" w:cs="Segoe UI" w:hint="eastAsia"/>
                <w:sz w:val="22"/>
                <w:szCs w:val="22"/>
                <w:lang w:eastAsia="zh-HK"/>
              </w:rPr>
              <w:t>信用風險的模式化與標準化風險加權數額在風險承擔類別層面上的比較</w:t>
            </w:r>
          </w:p>
        </w:tc>
        <w:tc>
          <w:tcPr>
            <w:tcW w:w="1701" w:type="dxa"/>
            <w:tcBorders>
              <w:top w:val="single" w:sz="4" w:space="0" w:color="000000"/>
              <w:left w:val="single" w:sz="8" w:space="0" w:color="000000"/>
              <w:bottom w:val="single" w:sz="8" w:space="0" w:color="000000"/>
            </w:tcBorders>
            <w:shd w:val="clear" w:color="auto" w:fill="auto"/>
          </w:tcPr>
          <w:p w14:paraId="0C1E78B0" w14:textId="14934CC8" w:rsidR="00EB0F03" w:rsidRPr="008B7C12" w:rsidRDefault="00EB0F03" w:rsidP="00EB0F03">
            <w:pPr>
              <w:spacing w:after="160" w:line="259" w:lineRule="auto"/>
              <w:jc w:val="center"/>
              <w:rPr>
                <w:rFonts w:ascii="Calibri" w:eastAsia="新細明體" w:hAnsi="Calibri"/>
                <w:sz w:val="22"/>
                <w:szCs w:val="22"/>
                <w:lang w:eastAsia="zh-TW"/>
              </w:rPr>
            </w:pPr>
            <w:r w:rsidRPr="008B7C12">
              <w:rPr>
                <w:rFonts w:ascii="Calibri" w:eastAsia="新細明體" w:hAnsi="Calibri"/>
                <w:sz w:val="22"/>
                <w:szCs w:val="22"/>
                <w:lang w:eastAsia="zh-TW"/>
              </w:rPr>
              <w:t>本地</w:t>
            </w:r>
            <w:r w:rsidR="0070655F">
              <w:rPr>
                <w:rFonts w:ascii="Calibri" w:eastAsia="新細明體" w:hAnsi="Calibri" w:hint="eastAsia"/>
                <w:sz w:val="22"/>
                <w:szCs w:val="22"/>
                <w:lang w:eastAsia="zh-TW"/>
              </w:rPr>
              <w:t xml:space="preserve"> [</w:t>
            </w:r>
            <w:r w:rsidR="0070655F" w:rsidRPr="00501AF6">
              <w:rPr>
                <w:rFonts w:eastAsia="新細明體" w:cs="Segoe UI"/>
                <w:sz w:val="22"/>
                <w:szCs w:val="22"/>
                <w:lang w:eastAsia="zh-TW"/>
              </w:rPr>
              <w:t>IRB</w:t>
            </w:r>
            <w:r w:rsidR="0070655F">
              <w:rPr>
                <w:rFonts w:ascii="Calibri" w:eastAsia="新細明體" w:hAnsi="Calibri" w:hint="eastAsia"/>
                <w:sz w:val="22"/>
                <w:szCs w:val="22"/>
                <w:lang w:eastAsia="zh-TW"/>
              </w:rPr>
              <w:t>]</w:t>
            </w:r>
          </w:p>
        </w:tc>
        <w:tc>
          <w:tcPr>
            <w:tcW w:w="992" w:type="dxa"/>
            <w:tcBorders>
              <w:top w:val="single" w:sz="4" w:space="0" w:color="000000"/>
              <w:left w:val="single" w:sz="8" w:space="0" w:color="000000"/>
              <w:bottom w:val="single" w:sz="8" w:space="0" w:color="000000"/>
            </w:tcBorders>
            <w:shd w:val="clear" w:color="auto" w:fill="auto"/>
          </w:tcPr>
          <w:p w14:paraId="0808A041"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992" w:type="dxa"/>
            <w:tcBorders>
              <w:top w:val="single" w:sz="4" w:space="0" w:color="000000"/>
              <w:left w:val="single" w:sz="4" w:space="0" w:color="000000"/>
              <w:bottom w:val="single" w:sz="8" w:space="0" w:color="000000"/>
            </w:tcBorders>
            <w:shd w:val="clear" w:color="auto" w:fill="auto"/>
          </w:tcPr>
          <w:p w14:paraId="4DF88673"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8" w:space="0" w:color="000000"/>
              <w:bottom w:val="single" w:sz="8" w:space="0" w:color="000000"/>
            </w:tcBorders>
            <w:shd w:val="clear" w:color="auto" w:fill="auto"/>
          </w:tcPr>
          <w:p w14:paraId="524AC364" w14:textId="77777777" w:rsidR="00EB0F03" w:rsidRPr="008B7C12" w:rsidRDefault="00EB0F03" w:rsidP="00EB0F03">
            <w:pPr>
              <w:suppressAutoHyphens/>
              <w:jc w:val="center"/>
              <w:rPr>
                <w:rFonts w:cs="Segoe UI"/>
                <w:sz w:val="22"/>
                <w:szCs w:val="22"/>
                <w:lang w:eastAsia="zh-TW"/>
              </w:rPr>
            </w:pPr>
          </w:p>
        </w:tc>
        <w:tc>
          <w:tcPr>
            <w:tcW w:w="1276" w:type="dxa"/>
            <w:tcBorders>
              <w:top w:val="single" w:sz="4" w:space="0" w:color="000000"/>
              <w:left w:val="single" w:sz="4" w:space="0" w:color="000000"/>
              <w:bottom w:val="single" w:sz="8" w:space="0" w:color="000000"/>
            </w:tcBorders>
            <w:shd w:val="clear" w:color="auto" w:fill="auto"/>
          </w:tcPr>
          <w:p w14:paraId="1936B676"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1277" w:type="dxa"/>
            <w:tcBorders>
              <w:top w:val="single" w:sz="4" w:space="0" w:color="000000"/>
              <w:left w:val="single" w:sz="4" w:space="0" w:color="000000"/>
              <w:bottom w:val="single" w:sz="8" w:space="0" w:color="000000"/>
              <w:right w:val="single" w:sz="8" w:space="0" w:color="000000"/>
            </w:tcBorders>
            <w:shd w:val="clear" w:color="auto" w:fill="auto"/>
          </w:tcPr>
          <w:p w14:paraId="63028C41" w14:textId="77777777" w:rsidR="00EB0F03" w:rsidRPr="008B7C12" w:rsidRDefault="00EB0F03" w:rsidP="00EB0F03">
            <w:pPr>
              <w:suppressAutoHyphens/>
              <w:jc w:val="center"/>
              <w:rPr>
                <w:rFonts w:cs="Segoe UI"/>
                <w:sz w:val="22"/>
                <w:szCs w:val="22"/>
                <w:lang w:eastAsia="zh-TW"/>
              </w:rPr>
            </w:pPr>
          </w:p>
        </w:tc>
      </w:tr>
      <w:tr w:rsidR="00EB0F03" w:rsidRPr="008B7C12" w14:paraId="4DA1BEE8" w14:textId="77777777" w:rsidTr="0045498E">
        <w:trPr>
          <w:cantSplit/>
          <w:trHeight w:val="283"/>
        </w:trPr>
        <w:tc>
          <w:tcPr>
            <w:tcW w:w="2127" w:type="dxa"/>
            <w:tcBorders>
              <w:top w:val="single" w:sz="8" w:space="0" w:color="000000"/>
              <w:bottom w:val="single" w:sz="8" w:space="0" w:color="000000"/>
            </w:tcBorders>
          </w:tcPr>
          <w:p w14:paraId="20D6629B" w14:textId="77777777" w:rsidR="00EB0F03" w:rsidRDefault="00EB0F03" w:rsidP="00EB0F03">
            <w:pPr>
              <w:suppressAutoHyphens/>
              <w:snapToGrid w:val="0"/>
              <w:rPr>
                <w:rFonts w:eastAsia="細明體" w:cs="Segoe UI"/>
                <w:sz w:val="22"/>
                <w:szCs w:val="22"/>
                <w:lang w:eastAsia="zh-TW"/>
              </w:rPr>
            </w:pPr>
            <w:r w:rsidRPr="008B7C12">
              <w:rPr>
                <w:rFonts w:eastAsia="細明體" w:cs="Segoe UI" w:hint="eastAsia"/>
                <w:sz w:val="22"/>
                <w:szCs w:val="22"/>
                <w:lang w:eastAsia="ar-SA"/>
              </w:rPr>
              <w:t>第</w:t>
            </w:r>
            <w:r w:rsidRPr="008B7C12">
              <w:rPr>
                <w:rFonts w:eastAsia="細明體" w:cs="Segoe UI"/>
                <w:sz w:val="22"/>
                <w:szCs w:val="22"/>
                <w:lang w:eastAsia="ar-SA"/>
              </w:rPr>
              <w:t>XI</w:t>
            </w:r>
            <w:r w:rsidRPr="008B7C12">
              <w:rPr>
                <w:rFonts w:eastAsia="細明體" w:cs="Segoe UI" w:hint="eastAsia"/>
                <w:sz w:val="22"/>
                <w:szCs w:val="22"/>
                <w:lang w:eastAsia="ar-SA"/>
              </w:rPr>
              <w:t>部：資產產權負擔</w:t>
            </w:r>
          </w:p>
          <w:p w14:paraId="79CAF369" w14:textId="77777777" w:rsidR="00DB1C2C" w:rsidRDefault="00DB1C2C" w:rsidP="00EB0F03">
            <w:pPr>
              <w:suppressAutoHyphens/>
              <w:snapToGrid w:val="0"/>
              <w:rPr>
                <w:rFonts w:eastAsia="細明體" w:cs="Segoe UI"/>
                <w:sz w:val="22"/>
                <w:szCs w:val="22"/>
                <w:lang w:eastAsia="zh-TW"/>
              </w:rPr>
            </w:pPr>
          </w:p>
          <w:p w14:paraId="62F00E95" w14:textId="77777777" w:rsidR="00DB1C2C" w:rsidRPr="008B7C12" w:rsidRDefault="00DB1C2C" w:rsidP="00EB0F03">
            <w:pPr>
              <w:suppressAutoHyphens/>
              <w:snapToGrid w:val="0"/>
              <w:rPr>
                <w:rFonts w:eastAsia="細明體" w:cs="Segoe UI"/>
                <w:sz w:val="22"/>
                <w:szCs w:val="22"/>
                <w:lang w:eastAsia="zh-TW"/>
              </w:rPr>
            </w:pPr>
          </w:p>
        </w:tc>
        <w:tc>
          <w:tcPr>
            <w:tcW w:w="4819" w:type="dxa"/>
            <w:tcBorders>
              <w:top w:val="single" w:sz="8" w:space="0" w:color="000000"/>
              <w:left w:val="single" w:sz="8" w:space="0" w:color="000000"/>
              <w:bottom w:val="single" w:sz="8" w:space="0" w:color="000000"/>
            </w:tcBorders>
            <w:shd w:val="clear" w:color="auto" w:fill="auto"/>
          </w:tcPr>
          <w:p w14:paraId="2E6C4D8F" w14:textId="77777777" w:rsidR="00EB0F03" w:rsidRPr="008B7C12" w:rsidRDefault="00EB0F03" w:rsidP="00EB0F03">
            <w:pPr>
              <w:suppressAutoHyphens/>
              <w:rPr>
                <w:rFonts w:eastAsia="細明體" w:cs="Segoe UI"/>
                <w:sz w:val="22"/>
                <w:szCs w:val="22"/>
                <w:lang w:eastAsia="zh-TW"/>
              </w:rPr>
            </w:pPr>
            <w:r w:rsidRPr="008B7C12">
              <w:rPr>
                <w:rFonts w:eastAsia="新細明體" w:cs="Segoe UI"/>
                <w:sz w:val="22"/>
                <w:szCs w:val="22"/>
                <w:lang w:eastAsia="zh-TW"/>
              </w:rPr>
              <w:t>模版</w:t>
            </w:r>
            <w:r w:rsidRPr="008B7C12">
              <w:rPr>
                <w:rFonts w:eastAsia="新細明體" w:cs="Segoe UI"/>
                <w:sz w:val="22"/>
                <w:szCs w:val="22"/>
                <w:lang w:eastAsia="zh-TW"/>
              </w:rPr>
              <w:t>ENC</w:t>
            </w:r>
            <w:r w:rsidRPr="008B7C12">
              <w:rPr>
                <w:rFonts w:eastAsia="新細明體" w:cs="Segoe UI"/>
                <w:sz w:val="22"/>
                <w:szCs w:val="22"/>
                <w:lang w:eastAsia="zh-TW"/>
              </w:rPr>
              <w:t>：</w:t>
            </w:r>
            <w:r w:rsidRPr="008B7C12">
              <w:rPr>
                <w:rFonts w:eastAsia="新細明體" w:cs="Segoe UI" w:hint="eastAsia"/>
                <w:sz w:val="22"/>
                <w:szCs w:val="22"/>
                <w:lang w:eastAsia="zh-HK"/>
              </w:rPr>
              <w:t>資產產權負擔</w:t>
            </w:r>
          </w:p>
        </w:tc>
        <w:tc>
          <w:tcPr>
            <w:tcW w:w="1701" w:type="dxa"/>
            <w:tcBorders>
              <w:top w:val="single" w:sz="8" w:space="0" w:color="000000"/>
              <w:left w:val="single" w:sz="8" w:space="0" w:color="000000"/>
              <w:bottom w:val="single" w:sz="8" w:space="0" w:color="000000"/>
            </w:tcBorders>
            <w:shd w:val="clear" w:color="auto" w:fill="auto"/>
          </w:tcPr>
          <w:p w14:paraId="0BE84237" w14:textId="77777777" w:rsidR="00EB0F03" w:rsidRPr="008B7C12" w:rsidRDefault="00EB0F03" w:rsidP="00EB0F03">
            <w:pPr>
              <w:spacing w:after="160" w:line="259" w:lineRule="auto"/>
              <w:jc w:val="center"/>
              <w:rPr>
                <w:rFonts w:ascii="Calibri" w:eastAsia="新細明體" w:hAnsi="Calibri"/>
                <w:sz w:val="22"/>
                <w:szCs w:val="22"/>
                <w:lang w:eastAsia="zh-TW"/>
              </w:rPr>
            </w:pPr>
            <w:r w:rsidRPr="008B7C12">
              <w:rPr>
                <w:rFonts w:ascii="Calibri" w:eastAsia="新細明體" w:hAnsi="Calibri"/>
                <w:sz w:val="22"/>
                <w:szCs w:val="22"/>
                <w:lang w:eastAsia="zh-TW"/>
              </w:rPr>
              <w:t>本地</w:t>
            </w:r>
          </w:p>
        </w:tc>
        <w:tc>
          <w:tcPr>
            <w:tcW w:w="992" w:type="dxa"/>
            <w:tcBorders>
              <w:top w:val="single" w:sz="8" w:space="0" w:color="000000"/>
              <w:left w:val="single" w:sz="8" w:space="0" w:color="000000"/>
              <w:bottom w:val="single" w:sz="8" w:space="0" w:color="000000"/>
            </w:tcBorders>
            <w:shd w:val="clear" w:color="auto" w:fill="auto"/>
          </w:tcPr>
          <w:p w14:paraId="6840F498"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992" w:type="dxa"/>
            <w:tcBorders>
              <w:top w:val="single" w:sz="8" w:space="0" w:color="000000"/>
              <w:left w:val="single" w:sz="4" w:space="0" w:color="000000"/>
              <w:bottom w:val="single" w:sz="8" w:space="0" w:color="000000"/>
            </w:tcBorders>
            <w:shd w:val="clear" w:color="auto" w:fill="auto"/>
          </w:tcPr>
          <w:p w14:paraId="1EF46966" w14:textId="77777777" w:rsidR="00EB0F03" w:rsidRPr="008B7C12" w:rsidRDefault="00EB0F03" w:rsidP="00EB0F03">
            <w:pPr>
              <w:suppressAutoHyphens/>
              <w:jc w:val="center"/>
              <w:rPr>
                <w:rFonts w:cs="Segoe UI"/>
                <w:sz w:val="22"/>
                <w:szCs w:val="22"/>
                <w:lang w:eastAsia="zh-TW"/>
              </w:rPr>
            </w:pPr>
          </w:p>
        </w:tc>
        <w:tc>
          <w:tcPr>
            <w:tcW w:w="1276" w:type="dxa"/>
            <w:tcBorders>
              <w:top w:val="single" w:sz="8" w:space="0" w:color="000000"/>
              <w:left w:val="single" w:sz="8" w:space="0" w:color="000000"/>
              <w:bottom w:val="single" w:sz="8" w:space="0" w:color="000000"/>
            </w:tcBorders>
            <w:shd w:val="clear" w:color="auto" w:fill="auto"/>
          </w:tcPr>
          <w:p w14:paraId="217C4366" w14:textId="77777777" w:rsidR="00EB0F03" w:rsidRPr="008B7C12" w:rsidRDefault="00EB0F03" w:rsidP="00EB0F03">
            <w:pPr>
              <w:suppressAutoHyphens/>
              <w:jc w:val="center"/>
              <w:rPr>
                <w:rFonts w:cs="Segoe UI"/>
                <w:sz w:val="22"/>
                <w:szCs w:val="22"/>
                <w:lang w:eastAsia="zh-TW"/>
              </w:rPr>
            </w:pPr>
          </w:p>
        </w:tc>
        <w:tc>
          <w:tcPr>
            <w:tcW w:w="1276" w:type="dxa"/>
            <w:tcBorders>
              <w:top w:val="single" w:sz="8" w:space="0" w:color="000000"/>
              <w:left w:val="single" w:sz="4" w:space="0" w:color="000000"/>
              <w:bottom w:val="single" w:sz="8" w:space="0" w:color="000000"/>
            </w:tcBorders>
            <w:shd w:val="clear" w:color="auto" w:fill="auto"/>
          </w:tcPr>
          <w:p w14:paraId="373275A0" w14:textId="77777777" w:rsidR="00EB0F03" w:rsidRPr="008B7C12" w:rsidRDefault="00EB0F03" w:rsidP="00EB0F03">
            <w:pPr>
              <w:suppressAutoHyphens/>
              <w:jc w:val="center"/>
              <w:rPr>
                <w:rFonts w:cs="Segoe UI"/>
                <w:sz w:val="22"/>
                <w:szCs w:val="22"/>
                <w:lang w:eastAsia="zh-TW"/>
              </w:rPr>
            </w:pPr>
            <w:r w:rsidRPr="008B7C12">
              <w:rPr>
                <w:rFonts w:cs="Segoe UI"/>
                <w:sz w:val="22"/>
                <w:szCs w:val="22"/>
                <w:lang w:eastAsia="en-GB"/>
              </w:rPr>
              <w:sym w:font="Wingdings 2" w:char="F050"/>
            </w:r>
          </w:p>
        </w:tc>
        <w:tc>
          <w:tcPr>
            <w:tcW w:w="1277" w:type="dxa"/>
            <w:tcBorders>
              <w:top w:val="single" w:sz="8" w:space="0" w:color="000000"/>
              <w:left w:val="single" w:sz="4" w:space="0" w:color="000000"/>
              <w:bottom w:val="single" w:sz="8" w:space="0" w:color="000000"/>
              <w:right w:val="single" w:sz="8" w:space="0" w:color="000000"/>
            </w:tcBorders>
            <w:shd w:val="clear" w:color="auto" w:fill="auto"/>
          </w:tcPr>
          <w:p w14:paraId="25D73F3D" w14:textId="77777777" w:rsidR="00EB0F03" w:rsidRPr="008B7C12" w:rsidRDefault="00EB0F03" w:rsidP="00EB0F03">
            <w:pPr>
              <w:suppressAutoHyphens/>
              <w:jc w:val="center"/>
              <w:rPr>
                <w:rFonts w:cs="Segoe UI"/>
                <w:sz w:val="22"/>
                <w:szCs w:val="22"/>
                <w:lang w:eastAsia="zh-TW"/>
              </w:rPr>
            </w:pPr>
          </w:p>
        </w:tc>
      </w:tr>
      <w:tr w:rsidR="007C7D13" w:rsidRPr="006A354E" w14:paraId="5D322A8E" w14:textId="77777777" w:rsidTr="0045498E">
        <w:trPr>
          <w:cantSplit/>
          <w:trHeight w:val="283"/>
        </w:trPr>
        <w:tc>
          <w:tcPr>
            <w:tcW w:w="2127" w:type="dxa"/>
            <w:vMerge w:val="restart"/>
            <w:tcBorders>
              <w:top w:val="single" w:sz="8" w:space="0" w:color="000000"/>
            </w:tcBorders>
          </w:tcPr>
          <w:p w14:paraId="31EA8EC5" w14:textId="09C909B4" w:rsidR="007C7D13" w:rsidRPr="00EA66BD" w:rsidRDefault="007C7D13" w:rsidP="004036B2">
            <w:pPr>
              <w:suppressAutoHyphens/>
              <w:snapToGrid w:val="0"/>
              <w:rPr>
                <w:rFonts w:eastAsia="細明體" w:cs="Segoe UI"/>
                <w:sz w:val="22"/>
                <w:szCs w:val="22"/>
                <w:lang w:eastAsia="ar-SA"/>
              </w:rPr>
            </w:pPr>
            <w:r w:rsidRPr="00EA66BD">
              <w:rPr>
                <w:rFonts w:eastAsia="細明體" w:cs="Segoe UI" w:hint="eastAsia"/>
                <w:sz w:val="22"/>
                <w:szCs w:val="22"/>
                <w:lang w:eastAsia="zh-TW"/>
              </w:rPr>
              <w:lastRenderedPageBreak/>
              <w:t>第</w:t>
            </w:r>
            <w:r w:rsidRPr="00EA66BD">
              <w:rPr>
                <w:rFonts w:eastAsia="細明體" w:cs="Segoe UI" w:hint="cs"/>
                <w:sz w:val="22"/>
                <w:szCs w:val="22"/>
                <w:lang w:eastAsia="ar-SA"/>
              </w:rPr>
              <w:t xml:space="preserve">XII </w:t>
            </w:r>
            <w:r w:rsidRPr="00EA66BD">
              <w:rPr>
                <w:rFonts w:eastAsia="細明體" w:cs="Segoe UI" w:hint="eastAsia"/>
                <w:sz w:val="22"/>
                <w:szCs w:val="22"/>
                <w:lang w:eastAsia="zh-TW"/>
              </w:rPr>
              <w:t>部</w:t>
            </w:r>
            <w:r w:rsidRPr="00EA66BD">
              <w:rPr>
                <w:rFonts w:eastAsia="細明體" w:cs="Segoe UI" w:hint="eastAsia"/>
                <w:sz w:val="22"/>
                <w:szCs w:val="22"/>
                <w:lang w:eastAsia="ar-SA"/>
              </w:rPr>
              <w:t>：</w:t>
            </w:r>
            <w:r w:rsidRPr="00EA66BD">
              <w:rPr>
                <w:rFonts w:eastAsia="細明體" w:cs="Segoe UI" w:hint="eastAsia"/>
                <w:sz w:val="22"/>
                <w:szCs w:val="22"/>
                <w:lang w:eastAsia="zh-TW"/>
              </w:rPr>
              <w:t>加密資產風險承擔</w:t>
            </w:r>
          </w:p>
        </w:tc>
        <w:tc>
          <w:tcPr>
            <w:tcW w:w="4819" w:type="dxa"/>
            <w:tcBorders>
              <w:top w:val="single" w:sz="8" w:space="0" w:color="000000"/>
              <w:left w:val="single" w:sz="8" w:space="0" w:color="000000"/>
              <w:bottom w:val="single" w:sz="4" w:space="0" w:color="auto"/>
            </w:tcBorders>
            <w:shd w:val="clear" w:color="auto" w:fill="auto"/>
          </w:tcPr>
          <w:p w14:paraId="0E73E1ED" w14:textId="283DCF60" w:rsidR="007C7D13" w:rsidRPr="00EA66BD" w:rsidRDefault="007C7D13" w:rsidP="004036B2">
            <w:pPr>
              <w:suppressAutoHyphens/>
              <w:rPr>
                <w:rFonts w:eastAsia="新細明體" w:cs="Segoe UI"/>
                <w:sz w:val="22"/>
                <w:szCs w:val="22"/>
                <w:lang w:eastAsia="zh-TW"/>
              </w:rPr>
            </w:pPr>
            <w:r w:rsidRPr="00EA66BD">
              <w:rPr>
                <w:rFonts w:eastAsia="細明體" w:cs="Segoe UI"/>
                <w:sz w:val="22"/>
                <w:szCs w:val="22"/>
                <w:lang w:eastAsia="zh-TW"/>
              </w:rPr>
              <w:t>表</w:t>
            </w:r>
            <w:r w:rsidRPr="00EA66BD">
              <w:rPr>
                <w:rFonts w:eastAsia="新細明體" w:cs="Segoe UI" w:hint="eastAsia"/>
                <w:sz w:val="22"/>
                <w:szCs w:val="22"/>
                <w:lang w:eastAsia="zh-TW"/>
              </w:rPr>
              <w:t>CAEA</w:t>
            </w:r>
            <w:r w:rsidRPr="00EA66BD">
              <w:rPr>
                <w:rFonts w:eastAsia="新細明體" w:cs="Segoe UI"/>
                <w:sz w:val="22"/>
                <w:szCs w:val="22"/>
                <w:lang w:eastAsia="zh-TW"/>
              </w:rPr>
              <w:t>：</w:t>
            </w:r>
            <w:r w:rsidRPr="00EA66BD">
              <w:rPr>
                <w:rFonts w:eastAsia="新細明體" w:cs="Segoe UI" w:hint="eastAsia"/>
                <w:sz w:val="22"/>
                <w:szCs w:val="22"/>
                <w:lang w:eastAsia="zh-TW"/>
              </w:rPr>
              <w:t>關於加密資產的活動及評估分類條件所用方法的描述披露</w:t>
            </w:r>
          </w:p>
        </w:tc>
        <w:tc>
          <w:tcPr>
            <w:tcW w:w="1701" w:type="dxa"/>
            <w:tcBorders>
              <w:top w:val="single" w:sz="8" w:space="0" w:color="000000"/>
              <w:left w:val="single" w:sz="8" w:space="0" w:color="000000"/>
              <w:bottom w:val="single" w:sz="4" w:space="0" w:color="auto"/>
            </w:tcBorders>
            <w:shd w:val="clear" w:color="auto" w:fill="auto"/>
          </w:tcPr>
          <w:p w14:paraId="6C2277F5" w14:textId="20C16F06" w:rsidR="007C7D13" w:rsidRPr="00EA66BD" w:rsidRDefault="007C7D13" w:rsidP="004C1F3A">
            <w:pPr>
              <w:spacing w:after="160" w:line="259" w:lineRule="auto"/>
              <w:jc w:val="center"/>
              <w:rPr>
                <w:rFonts w:ascii="新細明體" w:eastAsia="新細明體" w:hAnsi="新細明體"/>
                <w:sz w:val="22"/>
                <w:szCs w:val="22"/>
                <w:lang w:eastAsia="zh-TW"/>
              </w:rPr>
            </w:pPr>
            <w:r w:rsidRPr="00EA66BD">
              <w:rPr>
                <w:rFonts w:ascii="新細明體" w:eastAsia="新細明體" w:hAnsi="新細明體" w:hint="eastAsia"/>
                <w:sz w:val="22"/>
                <w:szCs w:val="22"/>
                <w:lang w:eastAsia="zh-TW"/>
              </w:rPr>
              <w:t>本地及非本地</w:t>
            </w:r>
          </w:p>
        </w:tc>
        <w:tc>
          <w:tcPr>
            <w:tcW w:w="992" w:type="dxa"/>
            <w:tcBorders>
              <w:top w:val="single" w:sz="8" w:space="0" w:color="000000"/>
              <w:left w:val="single" w:sz="8" w:space="0" w:color="000000"/>
              <w:bottom w:val="single" w:sz="4" w:space="0" w:color="auto"/>
            </w:tcBorders>
            <w:shd w:val="clear" w:color="auto" w:fill="auto"/>
          </w:tcPr>
          <w:p w14:paraId="0160D1EB" w14:textId="77777777" w:rsidR="007C7D13" w:rsidRPr="00EA66BD" w:rsidRDefault="007C7D13" w:rsidP="00A930C9">
            <w:pPr>
              <w:suppressAutoHyphens/>
              <w:rPr>
                <w:rFonts w:cs="Segoe UI"/>
                <w:sz w:val="22"/>
                <w:szCs w:val="22"/>
                <w:u w:val="single"/>
                <w:lang w:eastAsia="zh-TW"/>
              </w:rPr>
            </w:pPr>
          </w:p>
        </w:tc>
        <w:tc>
          <w:tcPr>
            <w:tcW w:w="992" w:type="dxa"/>
            <w:tcBorders>
              <w:top w:val="single" w:sz="8" w:space="0" w:color="000000"/>
              <w:left w:val="single" w:sz="4" w:space="0" w:color="000000"/>
              <w:bottom w:val="single" w:sz="4" w:space="0" w:color="auto"/>
            </w:tcBorders>
            <w:shd w:val="clear" w:color="auto" w:fill="auto"/>
          </w:tcPr>
          <w:p w14:paraId="7A61C4A9" w14:textId="085D791B" w:rsidR="007C7D13" w:rsidRPr="00EA66BD" w:rsidRDefault="007C7D13" w:rsidP="004036B2">
            <w:pPr>
              <w:suppressAutoHyphens/>
              <w:jc w:val="center"/>
              <w:rPr>
                <w:rFonts w:cs="Segoe UI"/>
                <w:sz w:val="22"/>
                <w:szCs w:val="22"/>
                <w:u w:val="single"/>
                <w:lang w:eastAsia="zh-TW"/>
              </w:rPr>
            </w:pPr>
            <w:r w:rsidRPr="00EA66BD">
              <w:rPr>
                <w:rFonts w:cs="Segoe UI"/>
                <w:sz w:val="22"/>
                <w:szCs w:val="22"/>
                <w:lang w:eastAsia="en-GB"/>
              </w:rPr>
              <w:sym w:font="Wingdings 2" w:char="F050"/>
            </w:r>
          </w:p>
        </w:tc>
        <w:tc>
          <w:tcPr>
            <w:tcW w:w="1276" w:type="dxa"/>
            <w:tcBorders>
              <w:top w:val="single" w:sz="8" w:space="0" w:color="000000"/>
              <w:left w:val="single" w:sz="8" w:space="0" w:color="000000"/>
              <w:bottom w:val="single" w:sz="4" w:space="0" w:color="auto"/>
            </w:tcBorders>
            <w:shd w:val="clear" w:color="auto" w:fill="auto"/>
          </w:tcPr>
          <w:p w14:paraId="13C2929E" w14:textId="77777777" w:rsidR="007C7D13" w:rsidRPr="00EA66BD" w:rsidRDefault="007C7D13" w:rsidP="00A930C9">
            <w:pPr>
              <w:suppressAutoHyphens/>
              <w:rPr>
                <w:rFonts w:cs="Segoe UI"/>
                <w:sz w:val="22"/>
                <w:szCs w:val="22"/>
                <w:u w:val="single"/>
                <w:lang w:eastAsia="zh-TW"/>
              </w:rPr>
            </w:pPr>
          </w:p>
        </w:tc>
        <w:tc>
          <w:tcPr>
            <w:tcW w:w="1276" w:type="dxa"/>
            <w:tcBorders>
              <w:top w:val="single" w:sz="8" w:space="0" w:color="000000"/>
              <w:left w:val="single" w:sz="4" w:space="0" w:color="000000"/>
              <w:bottom w:val="single" w:sz="4" w:space="0" w:color="auto"/>
            </w:tcBorders>
            <w:shd w:val="clear" w:color="auto" w:fill="auto"/>
          </w:tcPr>
          <w:p w14:paraId="2A7F62C9" w14:textId="77777777" w:rsidR="007C7D13" w:rsidRPr="00EA66BD" w:rsidRDefault="007C7D13" w:rsidP="00A930C9">
            <w:pPr>
              <w:suppressAutoHyphens/>
              <w:rPr>
                <w:rFonts w:cs="Segoe UI"/>
                <w:sz w:val="22"/>
                <w:szCs w:val="22"/>
                <w:u w:val="single"/>
                <w:lang w:eastAsia="en-GB"/>
              </w:rPr>
            </w:pPr>
          </w:p>
        </w:tc>
        <w:tc>
          <w:tcPr>
            <w:tcW w:w="1277" w:type="dxa"/>
            <w:tcBorders>
              <w:top w:val="single" w:sz="8" w:space="0" w:color="000000"/>
              <w:left w:val="single" w:sz="4" w:space="0" w:color="000000"/>
              <w:bottom w:val="single" w:sz="4" w:space="0" w:color="auto"/>
              <w:right w:val="single" w:sz="8" w:space="0" w:color="000000"/>
            </w:tcBorders>
            <w:shd w:val="clear" w:color="auto" w:fill="auto"/>
          </w:tcPr>
          <w:p w14:paraId="73FD7303" w14:textId="1D5BB08F" w:rsidR="007C7D13" w:rsidRPr="00EA66BD" w:rsidRDefault="007C7D13" w:rsidP="004C1F3A">
            <w:pPr>
              <w:suppressAutoHyphens/>
              <w:jc w:val="center"/>
              <w:rPr>
                <w:rFonts w:cs="Segoe UI"/>
                <w:sz w:val="22"/>
                <w:szCs w:val="22"/>
                <w:u w:val="single"/>
                <w:lang w:eastAsia="zh-TW"/>
              </w:rPr>
            </w:pPr>
            <w:r w:rsidRPr="00EA66BD">
              <w:rPr>
                <w:rFonts w:cs="Segoe UI"/>
                <w:sz w:val="22"/>
                <w:szCs w:val="22"/>
                <w:lang w:eastAsia="en-GB"/>
              </w:rPr>
              <w:sym w:font="Wingdings 2" w:char="F050"/>
            </w:r>
          </w:p>
        </w:tc>
      </w:tr>
      <w:tr w:rsidR="007C7D13" w:rsidRPr="006A354E" w14:paraId="2015CD77" w14:textId="77777777" w:rsidTr="0045498E">
        <w:trPr>
          <w:cantSplit/>
          <w:trHeight w:val="283"/>
        </w:trPr>
        <w:tc>
          <w:tcPr>
            <w:tcW w:w="2127" w:type="dxa"/>
            <w:vMerge/>
          </w:tcPr>
          <w:p w14:paraId="68977C26" w14:textId="77777777" w:rsidR="007C7D13" w:rsidRPr="00EA66BD" w:rsidRDefault="007C7D13" w:rsidP="00A930C9">
            <w:pPr>
              <w:suppressAutoHyphens/>
              <w:snapToGrid w:val="0"/>
              <w:rPr>
                <w:rFonts w:eastAsia="細明體" w:cs="Segoe UI"/>
                <w:sz w:val="22"/>
                <w:szCs w:val="22"/>
                <w:lang w:eastAsia="ar-SA"/>
              </w:rPr>
            </w:pPr>
          </w:p>
        </w:tc>
        <w:tc>
          <w:tcPr>
            <w:tcW w:w="4819" w:type="dxa"/>
            <w:tcBorders>
              <w:top w:val="single" w:sz="4" w:space="0" w:color="auto"/>
              <w:left w:val="single" w:sz="8" w:space="0" w:color="000000"/>
              <w:bottom w:val="single" w:sz="4" w:space="0" w:color="auto"/>
            </w:tcBorders>
            <w:shd w:val="clear" w:color="auto" w:fill="auto"/>
          </w:tcPr>
          <w:p w14:paraId="1682B398" w14:textId="5A108058" w:rsidR="007C7D13" w:rsidRPr="00EA66BD" w:rsidRDefault="007C7D13" w:rsidP="0099425B">
            <w:pPr>
              <w:suppressAutoHyphens/>
              <w:rPr>
                <w:rFonts w:eastAsia="新細明體" w:cs="Segoe UI"/>
                <w:sz w:val="22"/>
                <w:szCs w:val="22"/>
                <w:lang w:eastAsia="zh-TW"/>
              </w:rPr>
            </w:pPr>
            <w:r w:rsidRPr="00EA66BD">
              <w:rPr>
                <w:rFonts w:eastAsia="新細明體" w:cs="Segoe UI"/>
                <w:sz w:val="22"/>
                <w:szCs w:val="22"/>
                <w:lang w:eastAsia="zh-TW"/>
              </w:rPr>
              <w:t>模版</w:t>
            </w:r>
            <w:r w:rsidRPr="00EA66BD">
              <w:rPr>
                <w:rFonts w:eastAsia="新細明體" w:cs="Segoe UI"/>
                <w:sz w:val="22"/>
                <w:szCs w:val="22"/>
                <w:lang w:eastAsia="zh-TW"/>
              </w:rPr>
              <w:t xml:space="preserve">CAE1: </w:t>
            </w:r>
            <w:r w:rsidRPr="00EA66BD">
              <w:rPr>
                <w:rFonts w:eastAsia="新細明體" w:cs="Segoe UI"/>
                <w:sz w:val="22"/>
                <w:szCs w:val="22"/>
                <w:lang w:eastAsia="zh-TW"/>
              </w:rPr>
              <w:t>加密資產風險承擔及風險加權數額</w:t>
            </w:r>
          </w:p>
        </w:tc>
        <w:tc>
          <w:tcPr>
            <w:tcW w:w="1701" w:type="dxa"/>
            <w:tcBorders>
              <w:top w:val="single" w:sz="4" w:space="0" w:color="auto"/>
              <w:left w:val="single" w:sz="8" w:space="0" w:color="000000"/>
              <w:bottom w:val="single" w:sz="4" w:space="0" w:color="auto"/>
            </w:tcBorders>
            <w:shd w:val="clear" w:color="auto" w:fill="auto"/>
          </w:tcPr>
          <w:p w14:paraId="2F309660" w14:textId="45357B50" w:rsidR="007C7D13" w:rsidRPr="00EA66BD" w:rsidRDefault="007C7D13" w:rsidP="004C1F3A">
            <w:pPr>
              <w:spacing w:after="160" w:line="259" w:lineRule="auto"/>
              <w:jc w:val="center"/>
              <w:rPr>
                <w:rFonts w:ascii="新細明體" w:eastAsia="新細明體" w:hAnsi="新細明體"/>
                <w:sz w:val="22"/>
                <w:szCs w:val="22"/>
                <w:lang w:eastAsia="zh-TW"/>
              </w:rPr>
            </w:pPr>
            <w:r w:rsidRPr="00EA66BD">
              <w:rPr>
                <w:rFonts w:ascii="新細明體" w:eastAsia="新細明體" w:hAnsi="新細明體"/>
                <w:sz w:val="22"/>
                <w:szCs w:val="22"/>
                <w:lang w:eastAsia="zh-TW"/>
              </w:rPr>
              <w:t>本地</w:t>
            </w:r>
          </w:p>
        </w:tc>
        <w:tc>
          <w:tcPr>
            <w:tcW w:w="992" w:type="dxa"/>
            <w:tcBorders>
              <w:top w:val="single" w:sz="4" w:space="0" w:color="auto"/>
              <w:left w:val="single" w:sz="8" w:space="0" w:color="000000"/>
              <w:bottom w:val="single" w:sz="4" w:space="0" w:color="auto"/>
            </w:tcBorders>
            <w:shd w:val="clear" w:color="auto" w:fill="auto"/>
          </w:tcPr>
          <w:p w14:paraId="7605B7A4" w14:textId="77777777" w:rsidR="007C7D13" w:rsidRPr="00EA66BD" w:rsidRDefault="007C7D13" w:rsidP="004C1F3A">
            <w:pPr>
              <w:suppressAutoHyphens/>
              <w:jc w:val="center"/>
              <w:rPr>
                <w:rFonts w:cs="Segoe UI"/>
                <w:sz w:val="22"/>
                <w:szCs w:val="22"/>
                <w:u w:val="single"/>
                <w:lang w:eastAsia="en-GB"/>
              </w:rPr>
            </w:pPr>
          </w:p>
        </w:tc>
        <w:tc>
          <w:tcPr>
            <w:tcW w:w="992" w:type="dxa"/>
            <w:tcBorders>
              <w:top w:val="single" w:sz="4" w:space="0" w:color="auto"/>
              <w:left w:val="single" w:sz="4" w:space="0" w:color="000000"/>
              <w:bottom w:val="single" w:sz="4" w:space="0" w:color="auto"/>
            </w:tcBorders>
            <w:shd w:val="clear" w:color="auto" w:fill="auto"/>
          </w:tcPr>
          <w:p w14:paraId="5462F574" w14:textId="35F11C6D" w:rsidR="007C7D13" w:rsidRPr="00EA66BD" w:rsidRDefault="007C7D13" w:rsidP="004C1F3A">
            <w:pPr>
              <w:suppressAutoHyphens/>
              <w:jc w:val="center"/>
              <w:rPr>
                <w:rFonts w:cs="Segoe UI"/>
                <w:sz w:val="22"/>
                <w:szCs w:val="22"/>
                <w:u w:val="single"/>
                <w:lang w:eastAsia="zh-TW"/>
              </w:rPr>
            </w:pPr>
            <w:r w:rsidRPr="00EA66BD">
              <w:rPr>
                <w:rFonts w:cs="Segoe UI"/>
                <w:sz w:val="22"/>
                <w:szCs w:val="22"/>
                <w:lang w:eastAsia="en-GB"/>
              </w:rPr>
              <w:sym w:font="Wingdings 2" w:char="F050"/>
            </w:r>
          </w:p>
        </w:tc>
        <w:tc>
          <w:tcPr>
            <w:tcW w:w="1276" w:type="dxa"/>
            <w:tcBorders>
              <w:top w:val="single" w:sz="4" w:space="0" w:color="auto"/>
              <w:left w:val="single" w:sz="8" w:space="0" w:color="000000"/>
              <w:bottom w:val="single" w:sz="4" w:space="0" w:color="auto"/>
            </w:tcBorders>
            <w:shd w:val="clear" w:color="auto" w:fill="auto"/>
          </w:tcPr>
          <w:p w14:paraId="736F4C1D" w14:textId="77777777" w:rsidR="007C7D13" w:rsidRPr="00EA66BD" w:rsidRDefault="007C7D13" w:rsidP="00A930C9">
            <w:pPr>
              <w:suppressAutoHyphens/>
              <w:rPr>
                <w:rFonts w:cs="Segoe UI"/>
                <w:sz w:val="22"/>
                <w:szCs w:val="22"/>
                <w:u w:val="single"/>
                <w:lang w:eastAsia="zh-TW"/>
              </w:rPr>
            </w:pPr>
          </w:p>
        </w:tc>
        <w:tc>
          <w:tcPr>
            <w:tcW w:w="1276" w:type="dxa"/>
            <w:tcBorders>
              <w:top w:val="single" w:sz="4" w:space="0" w:color="auto"/>
              <w:left w:val="single" w:sz="4" w:space="0" w:color="000000"/>
              <w:bottom w:val="single" w:sz="4" w:space="0" w:color="auto"/>
            </w:tcBorders>
            <w:shd w:val="clear" w:color="auto" w:fill="auto"/>
          </w:tcPr>
          <w:p w14:paraId="0FC7E0BC" w14:textId="244A46EF" w:rsidR="007C7D13" w:rsidRPr="00EA66BD" w:rsidRDefault="007C7D13" w:rsidP="004C1F3A">
            <w:pPr>
              <w:suppressAutoHyphens/>
              <w:jc w:val="center"/>
              <w:rPr>
                <w:rFonts w:cs="Segoe UI"/>
                <w:sz w:val="22"/>
                <w:szCs w:val="22"/>
                <w:u w:val="single"/>
                <w:lang w:eastAsia="en-GB"/>
              </w:rPr>
            </w:pPr>
            <w:r w:rsidRPr="00EA66BD">
              <w:rPr>
                <w:rFonts w:cs="Segoe UI"/>
                <w:sz w:val="22"/>
                <w:szCs w:val="22"/>
                <w:lang w:eastAsia="en-GB"/>
              </w:rPr>
              <w:sym w:font="Wingdings 2" w:char="F050"/>
            </w:r>
          </w:p>
        </w:tc>
        <w:tc>
          <w:tcPr>
            <w:tcW w:w="1277" w:type="dxa"/>
            <w:tcBorders>
              <w:top w:val="single" w:sz="4" w:space="0" w:color="auto"/>
              <w:left w:val="single" w:sz="4" w:space="0" w:color="000000"/>
              <w:bottom w:val="single" w:sz="4" w:space="0" w:color="auto"/>
              <w:right w:val="single" w:sz="8" w:space="0" w:color="000000"/>
            </w:tcBorders>
            <w:shd w:val="clear" w:color="auto" w:fill="auto"/>
          </w:tcPr>
          <w:p w14:paraId="02054ADE" w14:textId="77777777" w:rsidR="007C7D13" w:rsidRPr="00EA66BD" w:rsidRDefault="007C7D13" w:rsidP="00A930C9">
            <w:pPr>
              <w:suppressAutoHyphens/>
              <w:rPr>
                <w:rFonts w:cs="Segoe UI"/>
                <w:sz w:val="22"/>
                <w:szCs w:val="22"/>
                <w:lang w:eastAsia="zh-TW"/>
              </w:rPr>
            </w:pPr>
          </w:p>
        </w:tc>
      </w:tr>
      <w:tr w:rsidR="007C7D13" w:rsidRPr="006A354E" w14:paraId="3C73F981" w14:textId="77777777" w:rsidTr="0045498E">
        <w:trPr>
          <w:cantSplit/>
          <w:trHeight w:val="283"/>
        </w:trPr>
        <w:tc>
          <w:tcPr>
            <w:tcW w:w="2127" w:type="dxa"/>
            <w:vMerge/>
          </w:tcPr>
          <w:p w14:paraId="7F780527" w14:textId="77777777" w:rsidR="007C7D13" w:rsidRPr="00EA66BD" w:rsidRDefault="007C7D13" w:rsidP="00A930C9">
            <w:pPr>
              <w:suppressAutoHyphens/>
              <w:snapToGrid w:val="0"/>
              <w:rPr>
                <w:rFonts w:eastAsia="細明體" w:cs="Segoe UI"/>
                <w:sz w:val="22"/>
                <w:szCs w:val="22"/>
                <w:lang w:eastAsia="ar-SA"/>
              </w:rPr>
            </w:pPr>
          </w:p>
        </w:tc>
        <w:tc>
          <w:tcPr>
            <w:tcW w:w="4819" w:type="dxa"/>
            <w:tcBorders>
              <w:top w:val="single" w:sz="4" w:space="0" w:color="auto"/>
              <w:left w:val="single" w:sz="8" w:space="0" w:color="000000"/>
              <w:bottom w:val="single" w:sz="4" w:space="0" w:color="auto"/>
            </w:tcBorders>
            <w:shd w:val="clear" w:color="auto" w:fill="auto"/>
          </w:tcPr>
          <w:p w14:paraId="3A6A9F7B" w14:textId="215C4082" w:rsidR="007C7D13" w:rsidRPr="00EA66BD" w:rsidRDefault="007C7D13" w:rsidP="007C7D13">
            <w:pPr>
              <w:suppressAutoHyphens/>
              <w:rPr>
                <w:rFonts w:eastAsia="新細明體" w:cs="Segoe UI"/>
                <w:sz w:val="22"/>
                <w:szCs w:val="22"/>
                <w:lang w:eastAsia="zh-TW"/>
              </w:rPr>
            </w:pPr>
            <w:r w:rsidRPr="00EA66BD">
              <w:rPr>
                <w:rFonts w:eastAsia="新細明體" w:cs="Segoe UI"/>
                <w:sz w:val="22"/>
                <w:szCs w:val="22"/>
                <w:lang w:eastAsia="zh-TW"/>
              </w:rPr>
              <w:t>模版</w:t>
            </w:r>
            <w:r w:rsidRPr="00EA66BD">
              <w:rPr>
                <w:rFonts w:eastAsia="新細明體" w:cs="Segoe UI"/>
                <w:sz w:val="22"/>
                <w:szCs w:val="22"/>
                <w:lang w:eastAsia="zh-TW"/>
              </w:rPr>
              <w:t xml:space="preserve">CAE2: </w:t>
            </w:r>
            <w:r w:rsidRPr="00EA66BD">
              <w:rPr>
                <w:rFonts w:eastAsia="新細明體" w:cs="Segoe UI"/>
                <w:sz w:val="22"/>
                <w:szCs w:val="22"/>
                <w:lang w:eastAsia="zh-TW"/>
              </w:rPr>
              <w:t>加密資產風險承擔的會計分類</w:t>
            </w:r>
          </w:p>
        </w:tc>
        <w:tc>
          <w:tcPr>
            <w:tcW w:w="1701" w:type="dxa"/>
            <w:tcBorders>
              <w:top w:val="single" w:sz="4" w:space="0" w:color="auto"/>
              <w:left w:val="single" w:sz="8" w:space="0" w:color="000000"/>
              <w:bottom w:val="single" w:sz="4" w:space="0" w:color="auto"/>
            </w:tcBorders>
            <w:shd w:val="clear" w:color="auto" w:fill="auto"/>
          </w:tcPr>
          <w:p w14:paraId="27750455" w14:textId="66428A5E" w:rsidR="007C7D13" w:rsidRPr="00EA66BD" w:rsidRDefault="007C7D13" w:rsidP="004C1F3A">
            <w:pPr>
              <w:spacing w:after="160" w:line="259" w:lineRule="auto"/>
              <w:jc w:val="center"/>
              <w:rPr>
                <w:rFonts w:ascii="新細明體" w:eastAsia="新細明體" w:hAnsi="新細明體"/>
                <w:sz w:val="22"/>
                <w:szCs w:val="22"/>
                <w:lang w:eastAsia="zh-TW"/>
              </w:rPr>
            </w:pPr>
            <w:r w:rsidRPr="00EA66BD">
              <w:rPr>
                <w:rFonts w:ascii="新細明體" w:eastAsia="新細明體" w:hAnsi="新細明體"/>
                <w:sz w:val="22"/>
                <w:szCs w:val="22"/>
                <w:lang w:eastAsia="zh-TW"/>
              </w:rPr>
              <w:t>本地</w:t>
            </w:r>
          </w:p>
        </w:tc>
        <w:tc>
          <w:tcPr>
            <w:tcW w:w="992" w:type="dxa"/>
            <w:tcBorders>
              <w:top w:val="single" w:sz="4" w:space="0" w:color="auto"/>
              <w:left w:val="single" w:sz="8" w:space="0" w:color="000000"/>
              <w:bottom w:val="single" w:sz="4" w:space="0" w:color="auto"/>
            </w:tcBorders>
            <w:shd w:val="clear" w:color="auto" w:fill="auto"/>
          </w:tcPr>
          <w:p w14:paraId="4F33F1C4" w14:textId="77777777" w:rsidR="007C7D13" w:rsidRPr="00EA66BD" w:rsidRDefault="007C7D13" w:rsidP="004C1F3A">
            <w:pPr>
              <w:suppressAutoHyphens/>
              <w:jc w:val="center"/>
              <w:rPr>
                <w:rFonts w:cs="Segoe UI"/>
                <w:sz w:val="22"/>
                <w:szCs w:val="22"/>
                <w:u w:val="single"/>
                <w:lang w:eastAsia="en-GB"/>
              </w:rPr>
            </w:pPr>
          </w:p>
        </w:tc>
        <w:tc>
          <w:tcPr>
            <w:tcW w:w="992" w:type="dxa"/>
            <w:tcBorders>
              <w:top w:val="single" w:sz="4" w:space="0" w:color="auto"/>
              <w:left w:val="single" w:sz="4" w:space="0" w:color="000000"/>
              <w:bottom w:val="single" w:sz="4" w:space="0" w:color="auto"/>
            </w:tcBorders>
            <w:shd w:val="clear" w:color="auto" w:fill="auto"/>
          </w:tcPr>
          <w:p w14:paraId="16CED195" w14:textId="5D4C36D3" w:rsidR="007C7D13" w:rsidRPr="00EA66BD" w:rsidRDefault="007C7D13" w:rsidP="004C1F3A">
            <w:pPr>
              <w:suppressAutoHyphens/>
              <w:jc w:val="center"/>
              <w:rPr>
                <w:rFonts w:cs="Segoe UI"/>
                <w:sz w:val="22"/>
                <w:szCs w:val="22"/>
                <w:u w:val="single"/>
                <w:lang w:eastAsia="zh-TW"/>
              </w:rPr>
            </w:pPr>
            <w:r w:rsidRPr="00EA66BD">
              <w:rPr>
                <w:rFonts w:cs="Segoe UI"/>
                <w:sz w:val="22"/>
                <w:szCs w:val="22"/>
                <w:lang w:eastAsia="en-GB"/>
              </w:rPr>
              <w:sym w:font="Wingdings 2" w:char="F050"/>
            </w:r>
          </w:p>
        </w:tc>
        <w:tc>
          <w:tcPr>
            <w:tcW w:w="1276" w:type="dxa"/>
            <w:tcBorders>
              <w:top w:val="single" w:sz="4" w:space="0" w:color="auto"/>
              <w:left w:val="single" w:sz="8" w:space="0" w:color="000000"/>
              <w:bottom w:val="single" w:sz="4" w:space="0" w:color="auto"/>
            </w:tcBorders>
            <w:shd w:val="clear" w:color="auto" w:fill="auto"/>
          </w:tcPr>
          <w:p w14:paraId="174B11C1" w14:textId="77777777" w:rsidR="007C7D13" w:rsidRPr="00EA66BD" w:rsidRDefault="007C7D13" w:rsidP="00A930C9">
            <w:pPr>
              <w:suppressAutoHyphens/>
              <w:rPr>
                <w:rFonts w:cs="Segoe UI"/>
                <w:sz w:val="22"/>
                <w:szCs w:val="22"/>
                <w:u w:val="single"/>
                <w:lang w:eastAsia="zh-TW"/>
              </w:rPr>
            </w:pPr>
          </w:p>
        </w:tc>
        <w:tc>
          <w:tcPr>
            <w:tcW w:w="1276" w:type="dxa"/>
            <w:tcBorders>
              <w:top w:val="single" w:sz="4" w:space="0" w:color="auto"/>
              <w:left w:val="single" w:sz="4" w:space="0" w:color="000000"/>
              <w:bottom w:val="single" w:sz="4" w:space="0" w:color="auto"/>
            </w:tcBorders>
            <w:shd w:val="clear" w:color="auto" w:fill="auto"/>
          </w:tcPr>
          <w:p w14:paraId="35F4DDAC" w14:textId="419091C0" w:rsidR="007C7D13" w:rsidRPr="00EA66BD" w:rsidRDefault="007C7D13" w:rsidP="004C1F3A">
            <w:pPr>
              <w:suppressAutoHyphens/>
              <w:jc w:val="center"/>
              <w:rPr>
                <w:rFonts w:cs="Segoe UI"/>
                <w:sz w:val="22"/>
                <w:szCs w:val="22"/>
                <w:u w:val="single"/>
                <w:lang w:eastAsia="en-GB"/>
              </w:rPr>
            </w:pPr>
            <w:r w:rsidRPr="00EA66BD">
              <w:rPr>
                <w:rFonts w:cs="Segoe UI"/>
                <w:sz w:val="22"/>
                <w:szCs w:val="22"/>
                <w:lang w:eastAsia="en-GB"/>
              </w:rPr>
              <w:sym w:font="Wingdings 2" w:char="F050"/>
            </w:r>
          </w:p>
        </w:tc>
        <w:tc>
          <w:tcPr>
            <w:tcW w:w="1277" w:type="dxa"/>
            <w:tcBorders>
              <w:top w:val="single" w:sz="4" w:space="0" w:color="auto"/>
              <w:left w:val="single" w:sz="4" w:space="0" w:color="000000"/>
              <w:bottom w:val="single" w:sz="4" w:space="0" w:color="auto"/>
              <w:right w:val="single" w:sz="8" w:space="0" w:color="000000"/>
            </w:tcBorders>
            <w:shd w:val="clear" w:color="auto" w:fill="auto"/>
          </w:tcPr>
          <w:p w14:paraId="0DE8F10B" w14:textId="77777777" w:rsidR="007C7D13" w:rsidRPr="00EA66BD" w:rsidRDefault="007C7D13" w:rsidP="00A930C9">
            <w:pPr>
              <w:suppressAutoHyphens/>
              <w:rPr>
                <w:rFonts w:cs="Segoe UI"/>
                <w:sz w:val="22"/>
                <w:szCs w:val="22"/>
                <w:lang w:eastAsia="zh-TW"/>
              </w:rPr>
            </w:pPr>
          </w:p>
        </w:tc>
      </w:tr>
      <w:tr w:rsidR="007C7D13" w:rsidRPr="006A354E" w14:paraId="30223FEF" w14:textId="77777777" w:rsidTr="0045498E">
        <w:trPr>
          <w:cantSplit/>
          <w:trHeight w:val="283"/>
        </w:trPr>
        <w:tc>
          <w:tcPr>
            <w:tcW w:w="2127" w:type="dxa"/>
            <w:vMerge/>
            <w:tcBorders>
              <w:bottom w:val="single" w:sz="8" w:space="0" w:color="000000"/>
            </w:tcBorders>
          </w:tcPr>
          <w:p w14:paraId="4837A0C8" w14:textId="77777777" w:rsidR="007C7D13" w:rsidRPr="00EA66BD" w:rsidRDefault="007C7D13" w:rsidP="00A930C9">
            <w:pPr>
              <w:suppressAutoHyphens/>
              <w:snapToGrid w:val="0"/>
              <w:rPr>
                <w:rFonts w:eastAsia="細明體" w:cs="Segoe UI"/>
                <w:sz w:val="22"/>
                <w:szCs w:val="22"/>
                <w:lang w:eastAsia="ar-SA"/>
              </w:rPr>
            </w:pPr>
          </w:p>
        </w:tc>
        <w:tc>
          <w:tcPr>
            <w:tcW w:w="4819" w:type="dxa"/>
            <w:tcBorders>
              <w:top w:val="single" w:sz="4" w:space="0" w:color="auto"/>
              <w:left w:val="single" w:sz="8" w:space="0" w:color="000000"/>
              <w:bottom w:val="single" w:sz="8" w:space="0" w:color="000000"/>
            </w:tcBorders>
            <w:shd w:val="clear" w:color="auto" w:fill="auto"/>
          </w:tcPr>
          <w:p w14:paraId="191FE71C" w14:textId="247C7761" w:rsidR="007C7D13" w:rsidRPr="00EA66BD" w:rsidRDefault="007C7D13" w:rsidP="007C7D13">
            <w:pPr>
              <w:suppressAutoHyphens/>
              <w:rPr>
                <w:rFonts w:eastAsia="新細明體" w:cs="Segoe UI"/>
                <w:sz w:val="22"/>
                <w:szCs w:val="22"/>
                <w:lang w:eastAsia="zh-TW"/>
              </w:rPr>
            </w:pPr>
            <w:r w:rsidRPr="00EA66BD">
              <w:rPr>
                <w:rFonts w:eastAsia="新細明體" w:cs="Segoe UI"/>
                <w:sz w:val="22"/>
                <w:szCs w:val="22"/>
                <w:lang w:eastAsia="zh-TW"/>
              </w:rPr>
              <w:t>模版</w:t>
            </w:r>
            <w:r w:rsidRPr="00EA66BD">
              <w:rPr>
                <w:rFonts w:eastAsia="新細明體" w:cs="Segoe UI"/>
                <w:sz w:val="22"/>
                <w:szCs w:val="22"/>
                <w:lang w:eastAsia="zh-TW"/>
              </w:rPr>
              <w:t xml:space="preserve">CAE3: </w:t>
            </w:r>
            <w:r w:rsidRPr="00EA66BD">
              <w:rPr>
                <w:rFonts w:eastAsia="新細明體" w:cs="Segoe UI"/>
                <w:sz w:val="22"/>
                <w:szCs w:val="22"/>
                <w:lang w:eastAsia="zh-TW"/>
              </w:rPr>
              <w:t>加密資產風險承擔的流動性規定</w:t>
            </w:r>
            <w:proofErr w:type="gramStart"/>
            <w:r w:rsidRPr="00E651B2">
              <w:rPr>
                <w:rFonts w:asciiTheme="minorEastAsia" w:eastAsiaTheme="minorEastAsia" w:hAnsiTheme="minorEastAsia" w:cs="Arial"/>
                <w:sz w:val="22"/>
                <w:szCs w:val="22"/>
                <w:lang w:eastAsia="zh-TW"/>
              </w:rPr>
              <w:t>──</w:t>
            </w:r>
            <w:proofErr w:type="gramEnd"/>
            <w:r w:rsidRPr="00EA66BD">
              <w:rPr>
                <w:rFonts w:eastAsia="新細明體" w:cs="Segoe UI"/>
                <w:sz w:val="22"/>
                <w:szCs w:val="22"/>
                <w:lang w:eastAsia="zh-TW"/>
              </w:rPr>
              <w:t>第</w:t>
            </w:r>
            <w:r w:rsidR="00EA36FA" w:rsidRPr="00EA66BD">
              <w:rPr>
                <w:rFonts w:eastAsia="新細明體" w:cs="Segoe UI"/>
                <w:sz w:val="22"/>
                <w:szCs w:val="22"/>
                <w:lang w:eastAsia="zh-TW"/>
              </w:rPr>
              <w:t>1</w:t>
            </w:r>
            <w:r w:rsidRPr="00EA66BD">
              <w:rPr>
                <w:rFonts w:eastAsia="新細明體" w:cs="Segoe UI"/>
                <w:sz w:val="22"/>
                <w:szCs w:val="22"/>
                <w:lang w:eastAsia="zh-TW"/>
              </w:rPr>
              <w:t>類機構</w:t>
            </w:r>
          </w:p>
        </w:tc>
        <w:tc>
          <w:tcPr>
            <w:tcW w:w="1701" w:type="dxa"/>
            <w:tcBorders>
              <w:top w:val="single" w:sz="4" w:space="0" w:color="auto"/>
              <w:left w:val="single" w:sz="8" w:space="0" w:color="000000"/>
              <w:bottom w:val="single" w:sz="8" w:space="0" w:color="000000"/>
            </w:tcBorders>
            <w:shd w:val="clear" w:color="auto" w:fill="auto"/>
          </w:tcPr>
          <w:p w14:paraId="13E3D636" w14:textId="2D392E64" w:rsidR="007C7D13" w:rsidRPr="00EA66BD" w:rsidRDefault="007C7D13" w:rsidP="004C1F3A">
            <w:pPr>
              <w:spacing w:after="160" w:line="259" w:lineRule="auto"/>
              <w:jc w:val="center"/>
              <w:rPr>
                <w:rFonts w:ascii="新細明體" w:eastAsia="新細明體" w:hAnsi="新細明體"/>
                <w:sz w:val="22"/>
                <w:szCs w:val="22"/>
                <w:lang w:eastAsia="zh-TW"/>
              </w:rPr>
            </w:pPr>
            <w:r w:rsidRPr="00EA66BD">
              <w:rPr>
                <w:rFonts w:ascii="新細明體" w:eastAsia="新細明體" w:hAnsi="新細明體" w:hint="eastAsia"/>
                <w:sz w:val="22"/>
                <w:szCs w:val="22"/>
                <w:lang w:eastAsia="zh-TW"/>
              </w:rPr>
              <w:t>本地及非</w:t>
            </w:r>
            <w:proofErr w:type="gramStart"/>
            <w:r w:rsidRPr="00EA66BD">
              <w:rPr>
                <w:rFonts w:ascii="新細明體" w:eastAsia="新細明體" w:hAnsi="新細明體" w:hint="eastAsia"/>
                <w:sz w:val="22"/>
                <w:szCs w:val="22"/>
                <w:lang w:eastAsia="zh-TW"/>
              </w:rPr>
              <w:t>本地</w:t>
            </w:r>
            <w:r w:rsidRPr="00EA66BD">
              <w:rPr>
                <w:rFonts w:ascii="新細明體" w:eastAsia="新細明體" w:hAnsi="新細明體"/>
                <w:sz w:val="22"/>
                <w:szCs w:val="22"/>
                <w:lang w:eastAsia="zh-TW"/>
              </w:rPr>
              <w:t>[</w:t>
            </w:r>
            <w:proofErr w:type="gramEnd"/>
            <w:r w:rsidRPr="00EA66BD">
              <w:rPr>
                <w:rFonts w:ascii="新細明體" w:eastAsia="新細明體" w:hAnsi="新細明體" w:hint="eastAsia"/>
                <w:sz w:val="22"/>
                <w:szCs w:val="22"/>
                <w:lang w:eastAsia="zh-TW"/>
              </w:rPr>
              <w:t>被指定為第</w:t>
            </w:r>
            <w:r w:rsidRPr="00EA66BD">
              <w:rPr>
                <w:rFonts w:eastAsia="新細明體" w:cs="Segoe UI"/>
                <w:sz w:val="22"/>
                <w:szCs w:val="22"/>
                <w:lang w:eastAsia="zh-TW"/>
              </w:rPr>
              <w:t>1</w:t>
            </w:r>
            <w:r w:rsidRPr="00EA66BD">
              <w:rPr>
                <w:rFonts w:ascii="新細明體" w:eastAsia="新細明體" w:hAnsi="新細明體" w:hint="eastAsia"/>
                <w:sz w:val="22"/>
                <w:szCs w:val="22"/>
                <w:lang w:eastAsia="zh-TW"/>
              </w:rPr>
              <w:t>類機構者</w:t>
            </w:r>
            <w:r w:rsidRPr="00EA66BD">
              <w:rPr>
                <w:rFonts w:ascii="新細明體" w:eastAsia="新細明體" w:hAnsi="新細明體"/>
                <w:sz w:val="22"/>
                <w:szCs w:val="22"/>
                <w:lang w:eastAsia="zh-TW"/>
              </w:rPr>
              <w:t>]</w:t>
            </w:r>
          </w:p>
        </w:tc>
        <w:tc>
          <w:tcPr>
            <w:tcW w:w="992" w:type="dxa"/>
            <w:tcBorders>
              <w:top w:val="single" w:sz="4" w:space="0" w:color="auto"/>
              <w:left w:val="single" w:sz="8" w:space="0" w:color="000000"/>
              <w:bottom w:val="single" w:sz="8" w:space="0" w:color="000000"/>
            </w:tcBorders>
            <w:shd w:val="clear" w:color="auto" w:fill="auto"/>
          </w:tcPr>
          <w:p w14:paraId="269D9156" w14:textId="29D1BE4A" w:rsidR="007C7D13" w:rsidRPr="00EA66BD" w:rsidRDefault="007C7D13" w:rsidP="004C1F3A">
            <w:pPr>
              <w:suppressAutoHyphens/>
              <w:jc w:val="center"/>
              <w:rPr>
                <w:rFonts w:cs="Segoe UI"/>
                <w:sz w:val="22"/>
                <w:szCs w:val="22"/>
                <w:u w:val="single"/>
                <w:lang w:eastAsia="en-GB"/>
              </w:rPr>
            </w:pPr>
            <w:r w:rsidRPr="00EA66BD">
              <w:rPr>
                <w:rFonts w:cs="Segoe UI"/>
                <w:sz w:val="22"/>
                <w:szCs w:val="22"/>
                <w:lang w:eastAsia="en-GB"/>
              </w:rPr>
              <w:sym w:font="Wingdings 2" w:char="F050"/>
            </w:r>
          </w:p>
        </w:tc>
        <w:tc>
          <w:tcPr>
            <w:tcW w:w="992" w:type="dxa"/>
            <w:tcBorders>
              <w:top w:val="single" w:sz="4" w:space="0" w:color="auto"/>
              <w:left w:val="single" w:sz="4" w:space="0" w:color="000000"/>
              <w:bottom w:val="single" w:sz="8" w:space="0" w:color="000000"/>
            </w:tcBorders>
            <w:shd w:val="clear" w:color="auto" w:fill="auto"/>
          </w:tcPr>
          <w:p w14:paraId="05DD612B" w14:textId="77777777" w:rsidR="007C7D13" w:rsidRPr="00EA66BD" w:rsidRDefault="007C7D13" w:rsidP="004C1F3A">
            <w:pPr>
              <w:suppressAutoHyphens/>
              <w:jc w:val="center"/>
              <w:rPr>
                <w:rFonts w:cs="Segoe UI"/>
                <w:sz w:val="22"/>
                <w:szCs w:val="22"/>
                <w:u w:val="single"/>
                <w:lang w:eastAsia="zh-TW"/>
              </w:rPr>
            </w:pPr>
          </w:p>
        </w:tc>
        <w:tc>
          <w:tcPr>
            <w:tcW w:w="1276" w:type="dxa"/>
            <w:tcBorders>
              <w:top w:val="single" w:sz="4" w:space="0" w:color="auto"/>
              <w:left w:val="single" w:sz="8" w:space="0" w:color="000000"/>
              <w:bottom w:val="single" w:sz="8" w:space="0" w:color="000000"/>
            </w:tcBorders>
            <w:shd w:val="clear" w:color="auto" w:fill="auto"/>
          </w:tcPr>
          <w:p w14:paraId="18E568B1" w14:textId="77777777" w:rsidR="007C7D13" w:rsidRPr="00EA66BD" w:rsidRDefault="007C7D13" w:rsidP="00A930C9">
            <w:pPr>
              <w:suppressAutoHyphens/>
              <w:rPr>
                <w:rFonts w:cs="Segoe UI"/>
                <w:sz w:val="22"/>
                <w:szCs w:val="22"/>
                <w:u w:val="single"/>
                <w:lang w:eastAsia="zh-TW"/>
              </w:rPr>
            </w:pPr>
          </w:p>
        </w:tc>
        <w:tc>
          <w:tcPr>
            <w:tcW w:w="1276" w:type="dxa"/>
            <w:tcBorders>
              <w:top w:val="single" w:sz="4" w:space="0" w:color="auto"/>
              <w:left w:val="single" w:sz="4" w:space="0" w:color="000000"/>
              <w:bottom w:val="single" w:sz="8" w:space="0" w:color="000000"/>
            </w:tcBorders>
            <w:shd w:val="clear" w:color="auto" w:fill="auto"/>
          </w:tcPr>
          <w:p w14:paraId="33EE1F60" w14:textId="5931012C" w:rsidR="007C7D13" w:rsidRPr="00EA66BD" w:rsidRDefault="007C7D13" w:rsidP="004C1F3A">
            <w:pPr>
              <w:suppressAutoHyphens/>
              <w:jc w:val="center"/>
              <w:rPr>
                <w:rFonts w:cs="Segoe UI"/>
                <w:sz w:val="22"/>
                <w:szCs w:val="22"/>
                <w:u w:val="single"/>
                <w:lang w:eastAsia="en-GB"/>
              </w:rPr>
            </w:pPr>
            <w:r w:rsidRPr="00EA66BD">
              <w:rPr>
                <w:rFonts w:cs="Segoe UI"/>
                <w:sz w:val="22"/>
                <w:szCs w:val="22"/>
                <w:lang w:eastAsia="en-GB"/>
              </w:rPr>
              <w:sym w:font="Wingdings 2" w:char="F050"/>
            </w:r>
          </w:p>
        </w:tc>
        <w:tc>
          <w:tcPr>
            <w:tcW w:w="1277" w:type="dxa"/>
            <w:tcBorders>
              <w:top w:val="single" w:sz="4" w:space="0" w:color="auto"/>
              <w:left w:val="single" w:sz="4" w:space="0" w:color="000000"/>
              <w:bottom w:val="single" w:sz="8" w:space="0" w:color="000000"/>
              <w:right w:val="single" w:sz="8" w:space="0" w:color="000000"/>
            </w:tcBorders>
            <w:shd w:val="clear" w:color="auto" w:fill="auto"/>
          </w:tcPr>
          <w:p w14:paraId="51366DE1" w14:textId="77777777" w:rsidR="007C7D13" w:rsidRPr="00EA66BD" w:rsidRDefault="007C7D13" w:rsidP="00A930C9">
            <w:pPr>
              <w:suppressAutoHyphens/>
              <w:rPr>
                <w:rFonts w:cs="Segoe UI"/>
                <w:sz w:val="22"/>
                <w:szCs w:val="22"/>
                <w:lang w:eastAsia="zh-TW"/>
              </w:rPr>
            </w:pPr>
          </w:p>
        </w:tc>
      </w:tr>
    </w:tbl>
    <w:p w14:paraId="5125A984" w14:textId="77777777" w:rsidR="00D64557" w:rsidRDefault="00D64557" w:rsidP="00D64557">
      <w:pPr>
        <w:tabs>
          <w:tab w:val="left" w:pos="851"/>
        </w:tabs>
        <w:ind w:left="935" w:hangingChars="425" w:hanging="935"/>
        <w:jc w:val="both"/>
        <w:rPr>
          <w:rFonts w:cs="Segoe UI"/>
          <w:sz w:val="22"/>
          <w:lang w:eastAsia="zh-TW"/>
        </w:rPr>
      </w:pPr>
    </w:p>
    <w:p w14:paraId="2CE501A0" w14:textId="77777777" w:rsidR="00EB0F03" w:rsidRDefault="00EB0F03" w:rsidP="00D64557">
      <w:pPr>
        <w:tabs>
          <w:tab w:val="left" w:pos="851"/>
        </w:tabs>
        <w:ind w:left="935" w:hangingChars="425" w:hanging="935"/>
        <w:jc w:val="both"/>
        <w:rPr>
          <w:rFonts w:cs="Segoe UI"/>
          <w:sz w:val="22"/>
          <w:lang w:eastAsia="zh-TW"/>
        </w:rPr>
      </w:pPr>
    </w:p>
    <w:p w14:paraId="687C1457" w14:textId="77777777" w:rsidR="00EB0F03" w:rsidRPr="00CA7301" w:rsidRDefault="00EB0F03" w:rsidP="00D64557">
      <w:pPr>
        <w:tabs>
          <w:tab w:val="left" w:pos="851"/>
        </w:tabs>
        <w:ind w:left="935" w:hangingChars="425" w:hanging="935"/>
        <w:jc w:val="both"/>
        <w:rPr>
          <w:rFonts w:cs="Segoe UI"/>
          <w:sz w:val="22"/>
          <w:lang w:eastAsia="zh-TW"/>
        </w:rPr>
        <w:sectPr w:rsidR="00EB0F03" w:rsidRPr="00CA7301" w:rsidSect="00F6265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40" w:bottom="1276" w:left="1440" w:header="851" w:footer="737" w:gutter="0"/>
          <w:cols w:space="425"/>
          <w:docGrid w:type="linesAndChars" w:linePitch="360"/>
        </w:sectPr>
      </w:pPr>
    </w:p>
    <w:p w14:paraId="32D9155F" w14:textId="2577843F" w:rsidR="001148F7" w:rsidRDefault="007B417F" w:rsidP="007B417F">
      <w:pPr>
        <w:keepNext/>
        <w:keepLines/>
        <w:tabs>
          <w:tab w:val="num" w:pos="0"/>
          <w:tab w:val="left" w:pos="426"/>
        </w:tabs>
        <w:suppressAutoHyphens/>
        <w:spacing w:after="360"/>
        <w:ind w:left="-566"/>
        <w:outlineLvl w:val="0"/>
        <w:rPr>
          <w:rFonts w:eastAsia="細明體" w:cs="Segoe UI"/>
          <w:color w:val="AA322F"/>
          <w:sz w:val="28"/>
          <w:lang w:eastAsia="zh-TW"/>
        </w:rPr>
      </w:pPr>
      <w:r w:rsidRPr="00CA7301">
        <w:rPr>
          <w:rFonts w:eastAsia="細明體" w:cs="Segoe UI"/>
          <w:color w:val="AA322F"/>
          <w:sz w:val="28"/>
          <w:lang w:eastAsia="zh-TW"/>
        </w:rPr>
        <w:lastRenderedPageBreak/>
        <w:t>第</w:t>
      </w:r>
      <w:r w:rsidRPr="00CA7301">
        <w:rPr>
          <w:rFonts w:eastAsia="細明體" w:cs="Segoe UI"/>
          <w:color w:val="AA322F"/>
          <w:sz w:val="28"/>
          <w:lang w:eastAsia="zh-TW"/>
        </w:rPr>
        <w:t>I</w:t>
      </w:r>
      <w:r w:rsidRPr="00CA7301">
        <w:rPr>
          <w:rFonts w:eastAsia="細明體" w:cs="Segoe UI"/>
          <w:color w:val="AA322F"/>
          <w:sz w:val="28"/>
          <w:lang w:eastAsia="zh-TW"/>
        </w:rPr>
        <w:t>部：主要審慎比率、風險管理概</w:t>
      </w:r>
      <w:proofErr w:type="gramStart"/>
      <w:r w:rsidRPr="00CA7301">
        <w:rPr>
          <w:rFonts w:eastAsia="細明體" w:cs="Segoe UI"/>
          <w:color w:val="AA322F"/>
          <w:sz w:val="28"/>
          <w:lang w:eastAsia="zh-TW"/>
        </w:rPr>
        <w:t>覽</w:t>
      </w:r>
      <w:proofErr w:type="gramEnd"/>
      <w:r w:rsidRPr="00CA7301">
        <w:rPr>
          <w:rFonts w:eastAsia="細明體" w:cs="Segoe UI"/>
          <w:color w:val="AA322F"/>
          <w:sz w:val="28"/>
          <w:lang w:eastAsia="zh-TW"/>
        </w:rPr>
        <w:t>及風險加權數額概</w:t>
      </w:r>
      <w:proofErr w:type="gramStart"/>
      <w:r w:rsidRPr="00CA7301">
        <w:rPr>
          <w:rFonts w:eastAsia="細明體" w:cs="Segoe UI"/>
          <w:color w:val="AA322F"/>
          <w:sz w:val="28"/>
          <w:lang w:eastAsia="zh-TW"/>
        </w:rPr>
        <w:t>覽</w:t>
      </w:r>
      <w:proofErr w:type="gramEnd"/>
    </w:p>
    <w:p w14:paraId="75192AB8" w14:textId="58F44C91" w:rsidR="00EE7E4E" w:rsidRPr="00EE7E4E" w:rsidRDefault="00EE7E4E" w:rsidP="00EE7E4E">
      <w:pPr>
        <w:pStyle w:val="Heading2"/>
        <w:keepNext w:val="0"/>
        <w:suppressAutoHyphens w:val="0"/>
        <w:spacing w:before="40" w:line="240" w:lineRule="auto"/>
        <w:ind w:left="-454"/>
        <w:rPr>
          <w:rFonts w:ascii="細明體" w:eastAsia="細明體" w:hAnsi="細明體"/>
          <w:b w:val="0"/>
          <w:bCs w:val="0"/>
          <w:sz w:val="22"/>
          <w:szCs w:val="20"/>
          <w:lang w:eastAsia="zh-TW"/>
        </w:rPr>
      </w:pPr>
      <w:r w:rsidRPr="00EE7E4E">
        <w:rPr>
          <w:rFonts w:ascii="細明體" w:eastAsia="細明體" w:hAnsi="細明體" w:cs="微軟正黑體" w:hint="eastAsia"/>
          <w:b w:val="0"/>
          <w:bCs w:val="0"/>
          <w:sz w:val="22"/>
          <w:szCs w:val="20"/>
          <w:lang w:eastAsia="zh-TW"/>
        </w:rPr>
        <w:t>表</w:t>
      </w:r>
      <w:r w:rsidRPr="00EE7E4E">
        <w:rPr>
          <w:rFonts w:ascii="Segoe UI" w:eastAsia="細明體" w:hAnsi="Segoe UI" w:cs="Segoe UI"/>
          <w:b w:val="0"/>
          <w:bCs w:val="0"/>
          <w:sz w:val="22"/>
          <w:szCs w:val="20"/>
          <w:lang w:eastAsia="zh-TW"/>
        </w:rPr>
        <w:t>OVA</w:t>
      </w:r>
      <w:r w:rsidRPr="00EE7E4E">
        <w:rPr>
          <w:rFonts w:ascii="細明體" w:eastAsia="細明體" w:hAnsi="細明體" w:cs="微軟正黑體" w:hint="eastAsia"/>
          <w:b w:val="0"/>
          <w:bCs w:val="0"/>
          <w:sz w:val="22"/>
          <w:szCs w:val="20"/>
          <w:lang w:eastAsia="zh-TW"/>
        </w:rPr>
        <w:t>：風險管理概</w:t>
      </w:r>
      <w:proofErr w:type="gramStart"/>
      <w:r w:rsidRPr="00EE7E4E">
        <w:rPr>
          <w:rFonts w:ascii="細明體" w:eastAsia="細明體" w:hAnsi="細明體" w:cs="微軟正黑體" w:hint="eastAsia"/>
          <w:b w:val="0"/>
          <w:bCs w:val="0"/>
          <w:sz w:val="22"/>
          <w:szCs w:val="20"/>
          <w:lang w:eastAsia="zh-TW"/>
        </w:rPr>
        <w:t>覽</w:t>
      </w:r>
      <w:proofErr w:type="gramEnd"/>
    </w:p>
    <w:tbl>
      <w:tblPr>
        <w:tblW w:w="9242" w:type="dxa"/>
        <w:tblInd w:w="-459" w:type="dxa"/>
        <w:tblLayout w:type="fixed"/>
        <w:tblLook w:val="0000" w:firstRow="0" w:lastRow="0" w:firstColumn="0" w:lastColumn="0" w:noHBand="0" w:noVBand="0"/>
      </w:tblPr>
      <w:tblGrid>
        <w:gridCol w:w="2127"/>
        <w:gridCol w:w="7115"/>
      </w:tblGrid>
      <w:tr w:rsidR="001148F7" w:rsidRPr="001148F7" w14:paraId="6C16C342" w14:textId="77777777" w:rsidTr="00EE7E4E">
        <w:tc>
          <w:tcPr>
            <w:tcW w:w="2127" w:type="dxa"/>
            <w:tcBorders>
              <w:top w:val="single" w:sz="4" w:space="0" w:color="000000"/>
              <w:bottom w:val="single" w:sz="4" w:space="0" w:color="000000"/>
            </w:tcBorders>
            <w:shd w:val="clear" w:color="auto" w:fill="auto"/>
          </w:tcPr>
          <w:p w14:paraId="5EC47A5D" w14:textId="77777777" w:rsidR="001148F7" w:rsidRPr="001148F7" w:rsidRDefault="001148F7" w:rsidP="001148F7">
            <w:pPr>
              <w:suppressAutoHyphens/>
              <w:spacing w:before="40"/>
              <w:jc w:val="both"/>
              <w:rPr>
                <w:rFonts w:eastAsia="細明體" w:cs="Segoe UI"/>
                <w:sz w:val="17"/>
                <w:lang w:eastAsia="ar-SA"/>
              </w:rPr>
            </w:pPr>
            <w:r w:rsidRPr="001148F7">
              <w:rPr>
                <w:rFonts w:eastAsia="細明體" w:cs="Segoe UI" w:hint="eastAsia"/>
                <w:b/>
                <w:sz w:val="17"/>
                <w:szCs w:val="17"/>
                <w:lang w:eastAsia="ar-SA"/>
              </w:rPr>
              <w:t>目的：</w:t>
            </w:r>
          </w:p>
        </w:tc>
        <w:tc>
          <w:tcPr>
            <w:tcW w:w="7115" w:type="dxa"/>
            <w:tcBorders>
              <w:top w:val="single" w:sz="4" w:space="0" w:color="000000"/>
              <w:left w:val="single" w:sz="4" w:space="0" w:color="000000"/>
              <w:bottom w:val="single" w:sz="4" w:space="0" w:color="000000"/>
            </w:tcBorders>
            <w:shd w:val="clear" w:color="auto" w:fill="auto"/>
          </w:tcPr>
          <w:p w14:paraId="32972943" w14:textId="77777777" w:rsidR="001148F7" w:rsidRPr="001148F7" w:rsidRDefault="001148F7" w:rsidP="001148F7">
            <w:pPr>
              <w:suppressAutoHyphens/>
              <w:spacing w:before="40" w:after="40"/>
              <w:jc w:val="both"/>
              <w:rPr>
                <w:rFonts w:cs="Segoe UI"/>
                <w:lang w:eastAsia="ar-SA"/>
              </w:rPr>
            </w:pPr>
            <w:r w:rsidRPr="001148F7">
              <w:rPr>
                <w:rFonts w:eastAsia="細明體" w:cs="Segoe UI" w:hint="eastAsia"/>
                <w:sz w:val="17"/>
                <w:lang w:eastAsia="ar-SA"/>
              </w:rPr>
              <w:t>就</w:t>
            </w:r>
            <w:r w:rsidRPr="001148F7">
              <w:rPr>
                <w:rFonts w:eastAsia="細明體" w:cs="Segoe UI"/>
                <w:sz w:val="17"/>
                <w:lang w:eastAsia="ar-SA"/>
              </w:rPr>
              <w:t>風險管理目標及政策，以及董事局及高級管理</w:t>
            </w:r>
            <w:r w:rsidRPr="001148F7">
              <w:rPr>
                <w:rFonts w:eastAsia="細明體" w:cs="Segoe UI" w:hint="eastAsia"/>
                <w:sz w:val="17"/>
                <w:lang w:eastAsia="ar-SA"/>
              </w:rPr>
              <w:t>人員</w:t>
            </w:r>
            <w:r w:rsidRPr="001148F7">
              <w:rPr>
                <w:rFonts w:eastAsia="細明體" w:cs="Segoe UI"/>
                <w:sz w:val="17"/>
                <w:lang w:eastAsia="ar-SA"/>
              </w:rPr>
              <w:t>如何評估</w:t>
            </w:r>
            <w:r w:rsidRPr="001148F7">
              <w:rPr>
                <w:rFonts w:eastAsia="細明體" w:cs="Segoe UI" w:hint="eastAsia"/>
                <w:sz w:val="17"/>
                <w:lang w:eastAsia="zh-TW"/>
              </w:rPr>
              <w:t>和</w:t>
            </w:r>
            <w:r w:rsidRPr="001148F7">
              <w:rPr>
                <w:rFonts w:eastAsia="細明體" w:cs="Segoe UI"/>
                <w:sz w:val="17"/>
                <w:lang w:eastAsia="ar-SA"/>
              </w:rPr>
              <w:t>管理風險</w:t>
            </w:r>
            <w:r w:rsidRPr="001148F7">
              <w:rPr>
                <w:rFonts w:eastAsia="細明體" w:cs="Segoe UI" w:hint="eastAsia"/>
                <w:sz w:val="17"/>
                <w:lang w:eastAsia="ar-SA"/>
              </w:rPr>
              <w:t>提供描述</w:t>
            </w:r>
            <w:r w:rsidRPr="001148F7">
              <w:rPr>
                <w:rFonts w:eastAsia="細明體" w:cs="Segoe UI"/>
                <w:sz w:val="17"/>
                <w:lang w:eastAsia="ar-SA"/>
              </w:rPr>
              <w:t>，讓使用者清</w:t>
            </w:r>
            <w:r w:rsidRPr="001148F7">
              <w:rPr>
                <w:rFonts w:eastAsia="細明體" w:cs="Segoe UI" w:hint="eastAsia"/>
                <w:sz w:val="17"/>
                <w:lang w:eastAsia="ar-SA"/>
              </w:rPr>
              <w:t>晰</w:t>
            </w:r>
            <w:r w:rsidRPr="001148F7">
              <w:rPr>
                <w:rFonts w:eastAsia="細明體" w:cs="Segoe UI"/>
                <w:sz w:val="17"/>
                <w:lang w:eastAsia="ar-SA"/>
              </w:rPr>
              <w:t>了解</w:t>
            </w:r>
            <w:r w:rsidRPr="001148F7">
              <w:rPr>
                <w:rFonts w:eastAsia="細明體" w:cs="Segoe UI" w:hint="eastAsia"/>
                <w:sz w:val="17"/>
                <w:lang w:eastAsia="ar-SA"/>
              </w:rPr>
              <w:t>其主要活動的風險承受能力</w:t>
            </w:r>
            <w:r w:rsidRPr="001148F7">
              <w:rPr>
                <w:rFonts w:eastAsia="細明體" w:cs="Segoe UI" w:hint="eastAsia"/>
                <w:sz w:val="17"/>
                <w:lang w:eastAsia="zh-TW"/>
              </w:rPr>
              <w:t>及</w:t>
            </w:r>
            <w:r w:rsidRPr="001148F7">
              <w:rPr>
                <w:rFonts w:eastAsia="細明體" w:cs="Segoe UI" w:hint="eastAsia"/>
                <w:sz w:val="17"/>
                <w:lang w:eastAsia="ar-SA"/>
              </w:rPr>
              <w:t>風險取向，</w:t>
            </w:r>
            <w:r w:rsidRPr="001148F7">
              <w:rPr>
                <w:rFonts w:eastAsia="細明體" w:cs="Segoe UI" w:hint="eastAsia"/>
                <w:sz w:val="17"/>
                <w:lang w:eastAsia="zh-TW"/>
              </w:rPr>
              <w:t>以</w:t>
            </w:r>
            <w:r w:rsidRPr="001148F7">
              <w:rPr>
                <w:rFonts w:eastAsia="細明體" w:cs="Segoe UI" w:hint="eastAsia"/>
                <w:sz w:val="17"/>
                <w:lang w:eastAsia="ar-SA"/>
              </w:rPr>
              <w:t>及所有相關的</w:t>
            </w:r>
            <w:r w:rsidRPr="001148F7">
              <w:rPr>
                <w:rFonts w:eastAsia="細明體" w:cs="Segoe UI" w:hint="eastAsia"/>
                <w:sz w:val="17"/>
                <w:lang w:eastAsia="zh-TW"/>
              </w:rPr>
              <w:t>重大</w:t>
            </w:r>
            <w:r w:rsidRPr="001148F7">
              <w:rPr>
                <w:rFonts w:eastAsia="細明體" w:cs="Segoe UI" w:hint="eastAsia"/>
                <w:sz w:val="17"/>
                <w:lang w:eastAsia="ar-SA"/>
              </w:rPr>
              <w:t>風險</w:t>
            </w:r>
            <w:r w:rsidRPr="001148F7">
              <w:rPr>
                <w:rFonts w:eastAsia="細明體" w:cs="Segoe UI"/>
                <w:sz w:val="17"/>
                <w:lang w:eastAsia="ar-SA"/>
              </w:rPr>
              <w:t>。</w:t>
            </w:r>
          </w:p>
        </w:tc>
      </w:tr>
      <w:tr w:rsidR="001148F7" w:rsidRPr="001148F7" w14:paraId="342B395A" w14:textId="77777777" w:rsidTr="00EE7E4E">
        <w:tc>
          <w:tcPr>
            <w:tcW w:w="2127" w:type="dxa"/>
            <w:tcBorders>
              <w:top w:val="single" w:sz="4" w:space="0" w:color="000000"/>
              <w:bottom w:val="single" w:sz="4" w:space="0" w:color="000000"/>
            </w:tcBorders>
            <w:shd w:val="clear" w:color="auto" w:fill="auto"/>
          </w:tcPr>
          <w:p w14:paraId="404DA59A" w14:textId="77777777" w:rsidR="001148F7" w:rsidRPr="001148F7" w:rsidRDefault="001148F7" w:rsidP="001148F7">
            <w:pPr>
              <w:suppressAutoHyphens/>
              <w:spacing w:before="40"/>
              <w:jc w:val="both"/>
              <w:rPr>
                <w:rFonts w:eastAsia="細明體" w:cs="Segoe UI"/>
                <w:sz w:val="17"/>
                <w:lang w:eastAsia="ar-SA"/>
              </w:rPr>
            </w:pPr>
            <w:r w:rsidRPr="001148F7">
              <w:rPr>
                <w:rFonts w:eastAsia="細明體" w:cs="Segoe UI" w:hint="eastAsia"/>
                <w:b/>
                <w:sz w:val="17"/>
                <w:szCs w:val="17"/>
                <w:lang w:eastAsia="ar-SA"/>
              </w:rPr>
              <w:t>適用範圍：</w:t>
            </w:r>
          </w:p>
        </w:tc>
        <w:tc>
          <w:tcPr>
            <w:tcW w:w="7115" w:type="dxa"/>
            <w:tcBorders>
              <w:top w:val="single" w:sz="4" w:space="0" w:color="000000"/>
              <w:left w:val="single" w:sz="4" w:space="0" w:color="000000"/>
              <w:bottom w:val="single" w:sz="4" w:space="0" w:color="000000"/>
            </w:tcBorders>
            <w:shd w:val="clear" w:color="auto" w:fill="auto"/>
          </w:tcPr>
          <w:p w14:paraId="7DD6CAB3" w14:textId="77777777" w:rsidR="001148F7" w:rsidRPr="001148F7" w:rsidRDefault="001148F7" w:rsidP="001148F7">
            <w:pPr>
              <w:suppressAutoHyphens/>
              <w:spacing w:before="40" w:after="40"/>
              <w:jc w:val="both"/>
              <w:rPr>
                <w:rFonts w:cs="Segoe UI"/>
                <w:lang w:eastAsia="ar-SA"/>
              </w:rPr>
            </w:pPr>
            <w:r w:rsidRPr="001148F7">
              <w:rPr>
                <w:rFonts w:eastAsia="細明體" w:cs="Segoe UI" w:hint="eastAsia"/>
                <w:sz w:val="17"/>
                <w:lang w:eastAsia="ar-SA"/>
              </w:rPr>
              <w:t>所有在香港成立為法團的認可機構均須填報本表。</w:t>
            </w:r>
          </w:p>
        </w:tc>
      </w:tr>
      <w:tr w:rsidR="001148F7" w:rsidRPr="001148F7" w14:paraId="522E6CD6" w14:textId="77777777" w:rsidTr="00EE7E4E">
        <w:tc>
          <w:tcPr>
            <w:tcW w:w="2127" w:type="dxa"/>
            <w:tcBorders>
              <w:top w:val="single" w:sz="4" w:space="0" w:color="000000"/>
              <w:bottom w:val="single" w:sz="4" w:space="0" w:color="000000"/>
            </w:tcBorders>
            <w:shd w:val="clear" w:color="auto" w:fill="auto"/>
          </w:tcPr>
          <w:p w14:paraId="79440324" w14:textId="77777777" w:rsidR="001148F7" w:rsidRPr="001148F7" w:rsidRDefault="001148F7" w:rsidP="001148F7">
            <w:pPr>
              <w:suppressAutoHyphens/>
              <w:spacing w:before="40"/>
              <w:jc w:val="both"/>
              <w:rPr>
                <w:rFonts w:eastAsia="細明體" w:cs="Segoe UI"/>
                <w:sz w:val="17"/>
                <w:lang w:eastAsia="ar-SA"/>
              </w:rPr>
            </w:pPr>
            <w:r w:rsidRPr="001148F7">
              <w:rPr>
                <w:rFonts w:eastAsia="細明體" w:cs="Segoe UI" w:hint="eastAsia"/>
                <w:b/>
                <w:sz w:val="17"/>
                <w:szCs w:val="17"/>
                <w:lang w:eastAsia="ar-SA"/>
              </w:rPr>
              <w:t>內容：</w:t>
            </w:r>
          </w:p>
        </w:tc>
        <w:tc>
          <w:tcPr>
            <w:tcW w:w="7115" w:type="dxa"/>
            <w:tcBorders>
              <w:top w:val="single" w:sz="4" w:space="0" w:color="000000"/>
              <w:left w:val="single" w:sz="4" w:space="0" w:color="000000"/>
              <w:bottom w:val="single" w:sz="4" w:space="0" w:color="000000"/>
            </w:tcBorders>
            <w:shd w:val="clear" w:color="auto" w:fill="auto"/>
          </w:tcPr>
          <w:p w14:paraId="413966ED" w14:textId="77777777" w:rsidR="001148F7" w:rsidRPr="001148F7" w:rsidRDefault="001148F7" w:rsidP="001148F7">
            <w:pPr>
              <w:suppressAutoHyphens/>
              <w:spacing w:before="40" w:after="40"/>
              <w:jc w:val="both"/>
              <w:rPr>
                <w:rFonts w:cs="Segoe UI"/>
                <w:lang w:eastAsia="ar-SA"/>
              </w:rPr>
            </w:pPr>
            <w:r w:rsidRPr="001148F7">
              <w:rPr>
                <w:rFonts w:eastAsia="細明體" w:cs="Segoe UI" w:hint="eastAsia"/>
                <w:sz w:val="17"/>
                <w:lang w:eastAsia="ar-SA"/>
              </w:rPr>
              <w:t>描述資料</w:t>
            </w:r>
            <w:r w:rsidRPr="001148F7">
              <w:rPr>
                <w:rFonts w:eastAsia="細明體" w:cs="Segoe UI"/>
                <w:sz w:val="17"/>
                <w:lang w:eastAsia="ar-SA"/>
              </w:rPr>
              <w:t>。</w:t>
            </w:r>
          </w:p>
        </w:tc>
      </w:tr>
      <w:tr w:rsidR="001148F7" w:rsidRPr="001148F7" w14:paraId="13CC99B9" w14:textId="77777777" w:rsidTr="00EE7E4E">
        <w:tc>
          <w:tcPr>
            <w:tcW w:w="2127" w:type="dxa"/>
            <w:tcBorders>
              <w:top w:val="single" w:sz="4" w:space="0" w:color="000000"/>
              <w:bottom w:val="single" w:sz="4" w:space="0" w:color="000000"/>
            </w:tcBorders>
            <w:shd w:val="clear" w:color="auto" w:fill="auto"/>
          </w:tcPr>
          <w:p w14:paraId="5A12264E" w14:textId="77777777" w:rsidR="001148F7" w:rsidRPr="001148F7" w:rsidRDefault="001148F7" w:rsidP="001148F7">
            <w:pPr>
              <w:suppressAutoHyphens/>
              <w:spacing w:before="40"/>
              <w:jc w:val="both"/>
              <w:rPr>
                <w:rFonts w:eastAsia="細明體" w:cs="Segoe UI"/>
                <w:sz w:val="17"/>
                <w:lang w:eastAsia="ar-SA"/>
              </w:rPr>
            </w:pPr>
            <w:r w:rsidRPr="001148F7">
              <w:rPr>
                <w:rFonts w:eastAsia="細明體" w:cs="Segoe UI" w:hint="eastAsia"/>
                <w:b/>
                <w:sz w:val="17"/>
                <w:szCs w:val="17"/>
                <w:lang w:eastAsia="ar-SA"/>
              </w:rPr>
              <w:t>頻密程度：</w:t>
            </w:r>
          </w:p>
        </w:tc>
        <w:tc>
          <w:tcPr>
            <w:tcW w:w="7115" w:type="dxa"/>
            <w:tcBorders>
              <w:top w:val="single" w:sz="4" w:space="0" w:color="000000"/>
              <w:left w:val="single" w:sz="4" w:space="0" w:color="000000"/>
              <w:bottom w:val="single" w:sz="4" w:space="0" w:color="000000"/>
            </w:tcBorders>
            <w:shd w:val="clear" w:color="auto" w:fill="auto"/>
          </w:tcPr>
          <w:p w14:paraId="05547301" w14:textId="77777777" w:rsidR="001148F7" w:rsidRPr="001148F7" w:rsidRDefault="001148F7" w:rsidP="001148F7">
            <w:pPr>
              <w:suppressAutoHyphens/>
              <w:spacing w:before="40" w:after="40"/>
              <w:jc w:val="both"/>
              <w:rPr>
                <w:rFonts w:cs="Segoe UI"/>
                <w:lang w:eastAsia="ar-SA"/>
              </w:rPr>
            </w:pPr>
            <w:r w:rsidRPr="001148F7">
              <w:rPr>
                <w:rFonts w:eastAsia="細明體" w:cs="Segoe UI" w:hint="eastAsia"/>
                <w:sz w:val="17"/>
                <w:lang w:eastAsia="ar-SA"/>
              </w:rPr>
              <w:t>每年一次</w:t>
            </w:r>
            <w:r w:rsidRPr="001148F7">
              <w:rPr>
                <w:rFonts w:eastAsia="細明體" w:cs="Segoe UI"/>
                <w:sz w:val="17"/>
                <w:lang w:eastAsia="ar-SA"/>
              </w:rPr>
              <w:t>。</w:t>
            </w:r>
          </w:p>
        </w:tc>
      </w:tr>
      <w:tr w:rsidR="001148F7" w:rsidRPr="001148F7" w14:paraId="02B7948A" w14:textId="77777777" w:rsidTr="00EE7E4E">
        <w:tc>
          <w:tcPr>
            <w:tcW w:w="2127" w:type="dxa"/>
            <w:tcBorders>
              <w:top w:val="single" w:sz="4" w:space="0" w:color="000000"/>
              <w:bottom w:val="single" w:sz="4" w:space="0" w:color="000000"/>
            </w:tcBorders>
            <w:shd w:val="clear" w:color="auto" w:fill="auto"/>
          </w:tcPr>
          <w:p w14:paraId="2B321611" w14:textId="77777777" w:rsidR="001148F7" w:rsidRPr="001148F7" w:rsidRDefault="001148F7" w:rsidP="001148F7">
            <w:pPr>
              <w:suppressAutoHyphens/>
              <w:spacing w:before="40"/>
              <w:jc w:val="both"/>
              <w:rPr>
                <w:rFonts w:eastAsia="細明體" w:cs="Segoe UI"/>
                <w:sz w:val="17"/>
                <w:lang w:eastAsia="ar-SA"/>
              </w:rPr>
            </w:pPr>
            <w:r w:rsidRPr="001148F7">
              <w:rPr>
                <w:rFonts w:eastAsia="細明體" w:cs="Segoe UI" w:hint="eastAsia"/>
                <w:b/>
                <w:sz w:val="17"/>
                <w:szCs w:val="17"/>
                <w:lang w:eastAsia="ar-SA"/>
              </w:rPr>
              <w:t>格式：</w:t>
            </w:r>
          </w:p>
        </w:tc>
        <w:tc>
          <w:tcPr>
            <w:tcW w:w="7115" w:type="dxa"/>
            <w:tcBorders>
              <w:top w:val="single" w:sz="4" w:space="0" w:color="000000"/>
              <w:left w:val="single" w:sz="4" w:space="0" w:color="000000"/>
              <w:bottom w:val="single" w:sz="4" w:space="0" w:color="000000"/>
            </w:tcBorders>
            <w:shd w:val="clear" w:color="auto" w:fill="auto"/>
          </w:tcPr>
          <w:p w14:paraId="3B854512" w14:textId="77777777" w:rsidR="001148F7" w:rsidRPr="001148F7" w:rsidRDefault="001148F7" w:rsidP="001148F7">
            <w:pPr>
              <w:suppressAutoHyphens/>
              <w:spacing w:before="40" w:after="40"/>
              <w:jc w:val="both"/>
              <w:rPr>
                <w:rFonts w:cs="Segoe UI"/>
                <w:lang w:eastAsia="ar-SA"/>
              </w:rPr>
            </w:pPr>
            <w:r w:rsidRPr="001148F7">
              <w:rPr>
                <w:rFonts w:eastAsia="細明體" w:cs="Segoe UI" w:hint="eastAsia"/>
                <w:sz w:val="17"/>
                <w:lang w:eastAsia="ar-SA"/>
              </w:rPr>
              <w:t>非固定</w:t>
            </w:r>
            <w:r w:rsidRPr="001148F7">
              <w:rPr>
                <w:rFonts w:eastAsia="細明體" w:cs="Segoe UI"/>
                <w:sz w:val="17"/>
                <w:lang w:eastAsia="ar-SA"/>
              </w:rPr>
              <w:t>。</w:t>
            </w:r>
          </w:p>
        </w:tc>
      </w:tr>
      <w:tr w:rsidR="001148F7" w:rsidRPr="001148F7" w14:paraId="147D3593" w14:textId="77777777" w:rsidTr="00EE7E4E">
        <w:trPr>
          <w:trHeight w:val="247"/>
        </w:trPr>
        <w:tc>
          <w:tcPr>
            <w:tcW w:w="2127" w:type="dxa"/>
            <w:tcBorders>
              <w:top w:val="single" w:sz="4" w:space="0" w:color="000000"/>
              <w:bottom w:val="single" w:sz="4" w:space="0" w:color="000000"/>
            </w:tcBorders>
            <w:shd w:val="clear" w:color="auto" w:fill="auto"/>
          </w:tcPr>
          <w:p w14:paraId="57CA332B" w14:textId="77777777" w:rsidR="001148F7" w:rsidRPr="001148F7" w:rsidRDefault="001148F7" w:rsidP="001148F7">
            <w:pPr>
              <w:suppressAutoHyphens/>
              <w:spacing w:before="40"/>
              <w:jc w:val="both"/>
              <w:rPr>
                <w:rFonts w:eastAsia="細明體" w:cs="Segoe UI"/>
                <w:sz w:val="17"/>
                <w:lang w:eastAsia="ar-SA"/>
              </w:rPr>
            </w:pPr>
            <w:r w:rsidRPr="001148F7">
              <w:rPr>
                <w:rFonts w:eastAsia="細明體" w:cs="Segoe UI" w:hint="eastAsia"/>
                <w:b/>
                <w:sz w:val="17"/>
                <w:szCs w:val="17"/>
                <w:lang w:eastAsia="ar-SA"/>
              </w:rPr>
              <w:t>《披露規則》相應條文：</w:t>
            </w:r>
          </w:p>
        </w:tc>
        <w:tc>
          <w:tcPr>
            <w:tcW w:w="7115" w:type="dxa"/>
            <w:tcBorders>
              <w:top w:val="single" w:sz="4" w:space="0" w:color="000000"/>
              <w:left w:val="single" w:sz="4" w:space="0" w:color="000000"/>
              <w:bottom w:val="single" w:sz="4" w:space="0" w:color="000000"/>
            </w:tcBorders>
            <w:shd w:val="clear" w:color="auto" w:fill="auto"/>
          </w:tcPr>
          <w:p w14:paraId="0319EBF1" w14:textId="77777777" w:rsidR="001148F7" w:rsidRPr="001148F7" w:rsidRDefault="001148F7" w:rsidP="001148F7">
            <w:pPr>
              <w:suppressAutoHyphens/>
              <w:spacing w:before="40" w:after="40"/>
              <w:jc w:val="both"/>
              <w:rPr>
                <w:rFonts w:cs="Segoe UI"/>
                <w:lang w:eastAsia="ar-SA"/>
              </w:rPr>
            </w:pPr>
            <w:r w:rsidRPr="001148F7">
              <w:rPr>
                <w:rFonts w:eastAsia="細明體" w:cs="Segoe UI"/>
                <w:sz w:val="17"/>
                <w:lang w:eastAsia="ar-SA"/>
              </w:rPr>
              <w:t>16B</w:t>
            </w:r>
          </w:p>
        </w:tc>
      </w:tr>
    </w:tbl>
    <w:p w14:paraId="227D04A6" w14:textId="77777777" w:rsidR="001148F7" w:rsidRPr="001148F7" w:rsidRDefault="001148F7" w:rsidP="001148F7">
      <w:pPr>
        <w:suppressAutoHyphens/>
        <w:spacing w:before="120" w:after="120"/>
        <w:rPr>
          <w:rFonts w:eastAsia="細明體" w:cs="Segoe UI"/>
          <w:sz w:val="22"/>
          <w:lang w:eastAsia="ar-SA"/>
        </w:rPr>
      </w:pPr>
    </w:p>
    <w:tbl>
      <w:tblPr>
        <w:tblW w:w="9242" w:type="dxa"/>
        <w:tblInd w:w="-497" w:type="dxa"/>
        <w:tblLayout w:type="fixed"/>
        <w:tblCellMar>
          <w:left w:w="70" w:type="dxa"/>
          <w:right w:w="70" w:type="dxa"/>
        </w:tblCellMar>
        <w:tblLook w:val="0000" w:firstRow="0" w:lastRow="0" w:firstColumn="0" w:lastColumn="0" w:noHBand="0" w:noVBand="0"/>
      </w:tblPr>
      <w:tblGrid>
        <w:gridCol w:w="370"/>
        <w:gridCol w:w="8872"/>
      </w:tblGrid>
      <w:tr w:rsidR="001148F7" w:rsidRPr="001148F7" w14:paraId="6B6B4B09" w14:textId="77777777" w:rsidTr="00862754">
        <w:trPr>
          <w:trHeight w:val="448"/>
        </w:trPr>
        <w:tc>
          <w:tcPr>
            <w:tcW w:w="9242" w:type="dxa"/>
            <w:gridSpan w:val="2"/>
            <w:tcBorders>
              <w:top w:val="single" w:sz="4" w:space="0" w:color="auto"/>
              <w:bottom w:val="single" w:sz="4" w:space="0" w:color="auto"/>
            </w:tcBorders>
            <w:shd w:val="clear" w:color="auto" w:fill="auto"/>
            <w:vAlign w:val="center"/>
          </w:tcPr>
          <w:p w14:paraId="31282049" w14:textId="77777777" w:rsidR="001148F7" w:rsidRPr="001148F7" w:rsidRDefault="001148F7" w:rsidP="001148F7">
            <w:pPr>
              <w:widowControl w:val="0"/>
              <w:suppressAutoHyphens/>
              <w:spacing w:before="40" w:after="40"/>
              <w:jc w:val="both"/>
              <w:rPr>
                <w:rFonts w:cs="Segoe UI"/>
                <w:sz w:val="17"/>
                <w:szCs w:val="17"/>
                <w:lang w:eastAsia="ar-SA"/>
              </w:rPr>
            </w:pPr>
            <w:r w:rsidRPr="001148F7">
              <w:rPr>
                <w:rFonts w:eastAsia="細明體" w:cs="Segoe UI" w:hint="eastAsia"/>
                <w:sz w:val="17"/>
                <w:szCs w:val="17"/>
                <w:lang w:eastAsia="ar-SA"/>
              </w:rPr>
              <w:t>認可機構應描述</w:t>
            </w:r>
            <w:r w:rsidRPr="001148F7">
              <w:rPr>
                <w:rFonts w:eastAsia="細明體" w:cs="Segoe UI"/>
                <w:sz w:val="17"/>
                <w:szCs w:val="17"/>
                <w:lang w:eastAsia="ar-SA"/>
              </w:rPr>
              <w:t>其風險管理目標及政策，尤其</w:t>
            </w:r>
            <w:r w:rsidRPr="001148F7">
              <w:rPr>
                <w:rFonts w:eastAsia="細明體" w:cs="Segoe UI" w:hint="eastAsia"/>
                <w:sz w:val="17"/>
                <w:szCs w:val="17"/>
                <w:lang w:eastAsia="ar-SA"/>
              </w:rPr>
              <w:t>包括</w:t>
            </w:r>
            <w:r w:rsidRPr="001148F7">
              <w:rPr>
                <w:rFonts w:eastAsia="細明體" w:cs="Segoe UI"/>
                <w:sz w:val="17"/>
                <w:szCs w:val="17"/>
                <w:lang w:eastAsia="ar-SA"/>
              </w:rPr>
              <w:t>：</w:t>
            </w:r>
          </w:p>
        </w:tc>
      </w:tr>
      <w:tr w:rsidR="001148F7" w:rsidRPr="001148F7" w14:paraId="51B17F91" w14:textId="77777777" w:rsidTr="00862754">
        <w:trPr>
          <w:trHeight w:val="318"/>
        </w:trPr>
        <w:tc>
          <w:tcPr>
            <w:tcW w:w="370" w:type="dxa"/>
            <w:tcBorders>
              <w:top w:val="single" w:sz="4" w:space="0" w:color="auto"/>
              <w:bottom w:val="single" w:sz="4" w:space="0" w:color="auto"/>
            </w:tcBorders>
            <w:shd w:val="clear" w:color="auto" w:fill="auto"/>
          </w:tcPr>
          <w:p w14:paraId="0E2A9328"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sz w:val="17"/>
                <w:szCs w:val="17"/>
                <w:lang w:eastAsia="ar-SA"/>
              </w:rPr>
              <w:t>(a)</w:t>
            </w:r>
          </w:p>
        </w:tc>
        <w:tc>
          <w:tcPr>
            <w:tcW w:w="8872" w:type="dxa"/>
            <w:tcBorders>
              <w:top w:val="single" w:sz="4" w:space="0" w:color="auto"/>
              <w:bottom w:val="single" w:sz="4" w:space="0" w:color="auto"/>
            </w:tcBorders>
            <w:shd w:val="clear" w:color="auto" w:fill="auto"/>
          </w:tcPr>
          <w:p w14:paraId="125C14D0" w14:textId="77777777" w:rsidR="001148F7" w:rsidRPr="001148F7" w:rsidRDefault="001148F7" w:rsidP="00D540EB">
            <w:pPr>
              <w:widowControl w:val="0"/>
              <w:numPr>
                <w:ilvl w:val="0"/>
                <w:numId w:val="48"/>
              </w:numPr>
              <w:suppressAutoHyphens/>
              <w:spacing w:before="40" w:after="40"/>
              <w:ind w:left="454" w:hanging="454"/>
              <w:jc w:val="both"/>
              <w:rPr>
                <w:rFonts w:eastAsia="細明體" w:cs="Segoe UI"/>
                <w:sz w:val="17"/>
                <w:szCs w:val="17"/>
                <w:lang w:eastAsia="ar-SA"/>
              </w:rPr>
            </w:pPr>
            <w:r w:rsidRPr="001148F7">
              <w:rPr>
                <w:rFonts w:eastAsia="細明體" w:cs="Segoe UI" w:hint="eastAsia"/>
                <w:sz w:val="17"/>
                <w:szCs w:val="17"/>
                <w:lang w:eastAsia="ar-SA"/>
              </w:rPr>
              <w:t>業務模式如何決定整體風險狀況及與其互動（例如與業務模式相關的主要風險，及在風險披露中如何反映及描述該等風險）；及</w:t>
            </w:r>
          </w:p>
          <w:p w14:paraId="71973AA3" w14:textId="77777777" w:rsidR="001148F7" w:rsidRPr="001148F7" w:rsidRDefault="001148F7" w:rsidP="00D540EB">
            <w:pPr>
              <w:widowControl w:val="0"/>
              <w:numPr>
                <w:ilvl w:val="0"/>
                <w:numId w:val="48"/>
              </w:numPr>
              <w:suppressAutoHyphens/>
              <w:spacing w:before="40" w:after="40"/>
              <w:ind w:left="454" w:hanging="454"/>
              <w:jc w:val="both"/>
              <w:rPr>
                <w:rFonts w:cs="Segoe UI"/>
                <w:sz w:val="17"/>
                <w:szCs w:val="17"/>
                <w:lang w:eastAsia="ar-SA"/>
              </w:rPr>
            </w:pPr>
            <w:r w:rsidRPr="001148F7">
              <w:rPr>
                <w:rFonts w:eastAsia="細明體" w:cs="Segoe UI" w:hint="eastAsia"/>
                <w:sz w:val="17"/>
                <w:szCs w:val="17"/>
                <w:lang w:eastAsia="ar-SA"/>
              </w:rPr>
              <w:t>認可機構的風險狀況如何與董事局批准的風險承受能力互動。</w:t>
            </w:r>
          </w:p>
        </w:tc>
      </w:tr>
      <w:tr w:rsidR="001148F7" w:rsidRPr="001148F7" w14:paraId="3568DC3F" w14:textId="77777777" w:rsidTr="00862754">
        <w:trPr>
          <w:trHeight w:val="318"/>
        </w:trPr>
        <w:tc>
          <w:tcPr>
            <w:tcW w:w="370" w:type="dxa"/>
            <w:tcBorders>
              <w:top w:val="single" w:sz="4" w:space="0" w:color="auto"/>
              <w:bottom w:val="single" w:sz="4" w:space="0" w:color="auto"/>
            </w:tcBorders>
            <w:shd w:val="clear" w:color="auto" w:fill="auto"/>
          </w:tcPr>
          <w:p w14:paraId="2177BD5D"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sz w:val="17"/>
                <w:szCs w:val="17"/>
                <w:lang w:eastAsia="ar-SA"/>
              </w:rPr>
              <w:t>(b)</w:t>
            </w:r>
          </w:p>
        </w:tc>
        <w:tc>
          <w:tcPr>
            <w:tcW w:w="8872" w:type="dxa"/>
            <w:tcBorders>
              <w:top w:val="single" w:sz="4" w:space="0" w:color="auto"/>
              <w:bottom w:val="single" w:sz="4" w:space="0" w:color="auto"/>
            </w:tcBorders>
            <w:shd w:val="clear" w:color="auto" w:fill="auto"/>
          </w:tcPr>
          <w:p w14:paraId="09A84A8B"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hint="eastAsia"/>
                <w:sz w:val="17"/>
                <w:szCs w:val="17"/>
                <w:lang w:eastAsia="ar-SA"/>
              </w:rPr>
              <w:t>風險管治架構：</w:t>
            </w:r>
          </w:p>
          <w:p w14:paraId="18405AFD" w14:textId="77777777" w:rsidR="001148F7" w:rsidRPr="001148F7" w:rsidRDefault="001148F7" w:rsidP="00D540EB">
            <w:pPr>
              <w:widowControl w:val="0"/>
              <w:numPr>
                <w:ilvl w:val="0"/>
                <w:numId w:val="50"/>
              </w:numPr>
              <w:suppressAutoHyphens/>
              <w:spacing w:before="40" w:after="40"/>
              <w:ind w:left="454" w:hanging="454"/>
              <w:jc w:val="both"/>
              <w:rPr>
                <w:rFonts w:eastAsia="細明體" w:cs="Segoe UI"/>
                <w:sz w:val="17"/>
                <w:szCs w:val="17"/>
                <w:lang w:eastAsia="ar-SA"/>
              </w:rPr>
            </w:pPr>
            <w:r w:rsidRPr="001148F7">
              <w:rPr>
                <w:rFonts w:eastAsia="細明體" w:cs="Segoe UI" w:hint="eastAsia"/>
                <w:sz w:val="17"/>
                <w:szCs w:val="17"/>
                <w:lang w:eastAsia="ar-SA"/>
              </w:rPr>
              <w:t>認可機構內的職責分配（例如監察及轉授權限；按風險類別、業務單位等劃分的職責的細目分類）；及</w:t>
            </w:r>
          </w:p>
          <w:p w14:paraId="77EF60FE" w14:textId="77777777" w:rsidR="001148F7" w:rsidRPr="001148F7" w:rsidRDefault="001148F7" w:rsidP="00D540EB">
            <w:pPr>
              <w:widowControl w:val="0"/>
              <w:numPr>
                <w:ilvl w:val="0"/>
                <w:numId w:val="50"/>
              </w:numPr>
              <w:suppressAutoHyphens/>
              <w:spacing w:before="40" w:after="40"/>
              <w:ind w:left="454" w:hanging="454"/>
              <w:jc w:val="both"/>
              <w:rPr>
                <w:rFonts w:cs="Segoe UI"/>
                <w:sz w:val="17"/>
                <w:szCs w:val="17"/>
                <w:lang w:eastAsia="ar-SA"/>
              </w:rPr>
            </w:pPr>
            <w:r w:rsidRPr="001148F7">
              <w:rPr>
                <w:rFonts w:eastAsia="細明體" w:cs="Segoe UI" w:hint="eastAsia"/>
                <w:sz w:val="17"/>
                <w:szCs w:val="17"/>
                <w:lang w:eastAsia="ar-SA"/>
              </w:rPr>
              <w:t>參與風險管理程序的各個架構（例如董事局、高級管理人員</w:t>
            </w:r>
            <w:r w:rsidRPr="001148F7">
              <w:rPr>
                <w:rFonts w:eastAsia="細明體" w:cs="Segoe UI"/>
                <w:sz w:val="17"/>
                <w:szCs w:val="17"/>
                <w:lang w:eastAsia="ar-SA"/>
              </w:rPr>
              <w:t>、</w:t>
            </w:r>
            <w:r w:rsidRPr="001148F7">
              <w:rPr>
                <w:rFonts w:eastAsia="細明體" w:cs="Segoe UI" w:hint="eastAsia"/>
                <w:sz w:val="17"/>
                <w:szCs w:val="17"/>
                <w:lang w:eastAsia="zh-TW"/>
              </w:rPr>
              <w:t>各</w:t>
            </w:r>
            <w:r w:rsidRPr="001148F7">
              <w:rPr>
                <w:rFonts w:eastAsia="細明體" w:cs="Segoe UI"/>
                <w:sz w:val="17"/>
                <w:szCs w:val="17"/>
                <w:lang w:eastAsia="ar-SA"/>
              </w:rPr>
              <w:t>風險委員會、風險管理</w:t>
            </w:r>
            <w:r w:rsidRPr="001148F7">
              <w:rPr>
                <w:rFonts w:eastAsia="細明體" w:cs="Segoe UI" w:hint="eastAsia"/>
                <w:sz w:val="17"/>
                <w:szCs w:val="17"/>
                <w:lang w:eastAsia="zh-TW"/>
              </w:rPr>
              <w:t>職能</w:t>
            </w:r>
            <w:r w:rsidRPr="001148F7">
              <w:rPr>
                <w:rFonts w:eastAsia="細明體" w:cs="Segoe UI"/>
                <w:sz w:val="17"/>
                <w:szCs w:val="17"/>
                <w:lang w:eastAsia="ar-SA"/>
              </w:rPr>
              <w:t>、合規</w:t>
            </w:r>
            <w:r w:rsidRPr="001148F7">
              <w:rPr>
                <w:rFonts w:eastAsia="細明體" w:cs="Segoe UI" w:hint="eastAsia"/>
                <w:sz w:val="17"/>
                <w:szCs w:val="17"/>
                <w:lang w:eastAsia="ar-SA"/>
              </w:rPr>
              <w:t>職能</w:t>
            </w:r>
            <w:r w:rsidRPr="001148F7">
              <w:rPr>
                <w:rFonts w:eastAsia="細明體" w:cs="Segoe UI"/>
                <w:sz w:val="17"/>
                <w:szCs w:val="17"/>
                <w:lang w:eastAsia="ar-SA"/>
              </w:rPr>
              <w:t>、內部審計</w:t>
            </w:r>
            <w:r w:rsidRPr="001148F7">
              <w:rPr>
                <w:rFonts w:eastAsia="細明體" w:cs="Segoe UI" w:hint="eastAsia"/>
                <w:sz w:val="17"/>
                <w:szCs w:val="17"/>
                <w:lang w:eastAsia="ar-SA"/>
              </w:rPr>
              <w:t>職能）之間的關係。</w:t>
            </w:r>
          </w:p>
        </w:tc>
      </w:tr>
      <w:tr w:rsidR="001148F7" w:rsidRPr="001148F7" w14:paraId="3D711121" w14:textId="77777777" w:rsidTr="00862754">
        <w:trPr>
          <w:trHeight w:val="318"/>
        </w:trPr>
        <w:tc>
          <w:tcPr>
            <w:tcW w:w="370" w:type="dxa"/>
            <w:tcBorders>
              <w:top w:val="single" w:sz="4" w:space="0" w:color="auto"/>
              <w:bottom w:val="single" w:sz="4" w:space="0" w:color="auto"/>
            </w:tcBorders>
            <w:shd w:val="clear" w:color="auto" w:fill="auto"/>
          </w:tcPr>
          <w:p w14:paraId="12D62CFD"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sz w:val="17"/>
                <w:szCs w:val="17"/>
                <w:lang w:eastAsia="ar-SA"/>
              </w:rPr>
              <w:t>(c)</w:t>
            </w:r>
          </w:p>
        </w:tc>
        <w:tc>
          <w:tcPr>
            <w:tcW w:w="8872" w:type="dxa"/>
            <w:tcBorders>
              <w:top w:val="single" w:sz="4" w:space="0" w:color="auto"/>
              <w:bottom w:val="single" w:sz="4" w:space="0" w:color="auto"/>
            </w:tcBorders>
            <w:shd w:val="clear" w:color="auto" w:fill="auto"/>
          </w:tcPr>
          <w:p w14:paraId="3D88A00E" w14:textId="77777777" w:rsidR="001148F7" w:rsidRPr="001148F7" w:rsidRDefault="001148F7" w:rsidP="001148F7">
            <w:pPr>
              <w:widowControl w:val="0"/>
              <w:suppressAutoHyphens/>
              <w:spacing w:before="40" w:after="40"/>
              <w:jc w:val="both"/>
              <w:rPr>
                <w:rFonts w:cs="Segoe UI"/>
                <w:sz w:val="17"/>
                <w:szCs w:val="17"/>
                <w:lang w:eastAsia="ar-SA"/>
              </w:rPr>
            </w:pPr>
            <w:r w:rsidRPr="001148F7">
              <w:rPr>
                <w:rFonts w:eastAsia="細明體" w:cs="Segoe UI" w:hint="eastAsia"/>
                <w:sz w:val="17"/>
                <w:szCs w:val="17"/>
                <w:lang w:eastAsia="ar-SA"/>
              </w:rPr>
              <w:t>在認可機構內部傳達、拒絕</w:t>
            </w:r>
            <w:r w:rsidRPr="001148F7">
              <w:rPr>
                <w:rFonts w:eastAsia="細明體" w:cs="Segoe UI"/>
                <w:sz w:val="17"/>
                <w:szCs w:val="17"/>
                <w:lang w:eastAsia="ar-SA"/>
              </w:rPr>
              <w:t>及</w:t>
            </w:r>
            <w:r w:rsidRPr="001148F7">
              <w:rPr>
                <w:rFonts w:eastAsia="細明體" w:cs="Segoe UI" w:hint="eastAsia"/>
                <w:sz w:val="17"/>
                <w:szCs w:val="17"/>
                <w:lang w:eastAsia="ar-SA"/>
              </w:rPr>
              <w:t>執行</w:t>
            </w:r>
            <w:r w:rsidRPr="001148F7">
              <w:rPr>
                <w:rFonts w:eastAsia="細明體" w:cs="Segoe UI"/>
                <w:sz w:val="17"/>
                <w:szCs w:val="17"/>
                <w:lang w:eastAsia="ar-SA"/>
              </w:rPr>
              <w:t>風險文化的</w:t>
            </w:r>
            <w:r w:rsidRPr="001148F7">
              <w:rPr>
                <w:rFonts w:eastAsia="細明體" w:cs="Segoe UI" w:hint="eastAsia"/>
                <w:sz w:val="17"/>
                <w:szCs w:val="17"/>
                <w:lang w:eastAsia="ar-SA"/>
              </w:rPr>
              <w:t>渠道（例如操守守則；載有營運限額或處理違規或違反風險限額的程序的手冊；業務</w:t>
            </w:r>
            <w:r w:rsidRPr="001148F7">
              <w:rPr>
                <w:rFonts w:eastAsia="細明體" w:cs="Segoe UI" w:hint="eastAsia"/>
                <w:sz w:val="17"/>
                <w:szCs w:val="17"/>
                <w:lang w:eastAsia="zh-TW"/>
              </w:rPr>
              <w:t>線</w:t>
            </w:r>
            <w:r w:rsidRPr="001148F7">
              <w:rPr>
                <w:rFonts w:eastAsia="細明體" w:cs="Segoe UI" w:hint="eastAsia"/>
                <w:sz w:val="17"/>
                <w:szCs w:val="17"/>
                <w:lang w:eastAsia="ar-SA"/>
              </w:rPr>
              <w:t>與風險職能</w:t>
            </w:r>
            <w:r w:rsidRPr="001148F7">
              <w:rPr>
                <w:rFonts w:eastAsia="細明體" w:cs="Segoe UI"/>
                <w:sz w:val="17"/>
                <w:szCs w:val="17"/>
                <w:lang w:eastAsia="ar-SA"/>
              </w:rPr>
              <w:t>之間提出及交流風險事宜的程序</w:t>
            </w:r>
            <w:r w:rsidRPr="001148F7">
              <w:rPr>
                <w:rFonts w:eastAsia="細明體" w:cs="Segoe UI" w:hint="eastAsia"/>
                <w:sz w:val="17"/>
                <w:szCs w:val="17"/>
                <w:lang w:eastAsia="ar-SA"/>
              </w:rPr>
              <w:t>）。</w:t>
            </w:r>
          </w:p>
        </w:tc>
      </w:tr>
      <w:tr w:rsidR="001148F7" w:rsidRPr="001148F7" w14:paraId="465B3D5D" w14:textId="77777777" w:rsidTr="00862754">
        <w:trPr>
          <w:trHeight w:val="318"/>
        </w:trPr>
        <w:tc>
          <w:tcPr>
            <w:tcW w:w="370" w:type="dxa"/>
            <w:tcBorders>
              <w:top w:val="single" w:sz="4" w:space="0" w:color="auto"/>
              <w:bottom w:val="single" w:sz="4" w:space="0" w:color="auto"/>
            </w:tcBorders>
            <w:shd w:val="clear" w:color="auto" w:fill="auto"/>
          </w:tcPr>
          <w:p w14:paraId="35AAE2E0"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sz w:val="17"/>
                <w:szCs w:val="17"/>
                <w:lang w:eastAsia="ar-SA"/>
              </w:rPr>
              <w:t>(d)</w:t>
            </w:r>
          </w:p>
        </w:tc>
        <w:tc>
          <w:tcPr>
            <w:tcW w:w="8872" w:type="dxa"/>
            <w:tcBorders>
              <w:top w:val="single" w:sz="4" w:space="0" w:color="auto"/>
              <w:bottom w:val="single" w:sz="4" w:space="0" w:color="auto"/>
            </w:tcBorders>
            <w:shd w:val="clear" w:color="auto" w:fill="auto"/>
          </w:tcPr>
          <w:p w14:paraId="77CE7494" w14:textId="77777777" w:rsidR="001148F7" w:rsidRPr="001148F7" w:rsidRDefault="001148F7" w:rsidP="001148F7">
            <w:pPr>
              <w:widowControl w:val="0"/>
              <w:suppressAutoHyphens/>
              <w:spacing w:before="40" w:after="40"/>
              <w:jc w:val="both"/>
              <w:rPr>
                <w:rFonts w:cs="Segoe UI"/>
                <w:sz w:val="17"/>
                <w:szCs w:val="17"/>
                <w:lang w:eastAsia="ar-SA"/>
              </w:rPr>
            </w:pPr>
            <w:r w:rsidRPr="001148F7">
              <w:rPr>
                <w:rFonts w:eastAsia="細明體" w:cs="Segoe UI" w:hint="eastAsia"/>
                <w:sz w:val="17"/>
                <w:szCs w:val="17"/>
                <w:lang w:eastAsia="ar-SA"/>
              </w:rPr>
              <w:t>風險計量系統的範圍及主要特點。</w:t>
            </w:r>
          </w:p>
        </w:tc>
      </w:tr>
      <w:tr w:rsidR="001148F7" w:rsidRPr="001148F7" w14:paraId="326D6DAF" w14:textId="77777777" w:rsidTr="00862754">
        <w:trPr>
          <w:trHeight w:val="318"/>
        </w:trPr>
        <w:tc>
          <w:tcPr>
            <w:tcW w:w="370" w:type="dxa"/>
            <w:tcBorders>
              <w:top w:val="single" w:sz="4" w:space="0" w:color="auto"/>
              <w:bottom w:val="single" w:sz="4" w:space="0" w:color="auto"/>
            </w:tcBorders>
            <w:shd w:val="clear" w:color="auto" w:fill="auto"/>
          </w:tcPr>
          <w:p w14:paraId="354DEC55"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sz w:val="17"/>
                <w:szCs w:val="17"/>
                <w:lang w:eastAsia="ar-SA"/>
              </w:rPr>
              <w:t>(e)</w:t>
            </w:r>
          </w:p>
        </w:tc>
        <w:tc>
          <w:tcPr>
            <w:tcW w:w="8872" w:type="dxa"/>
            <w:tcBorders>
              <w:top w:val="single" w:sz="4" w:space="0" w:color="auto"/>
              <w:bottom w:val="single" w:sz="4" w:space="0" w:color="auto"/>
            </w:tcBorders>
            <w:shd w:val="clear" w:color="auto" w:fill="auto"/>
          </w:tcPr>
          <w:p w14:paraId="097040AA" w14:textId="77777777" w:rsidR="001148F7" w:rsidRPr="001148F7" w:rsidRDefault="001148F7" w:rsidP="001148F7">
            <w:pPr>
              <w:widowControl w:val="0"/>
              <w:suppressAutoHyphens/>
              <w:spacing w:before="40" w:after="40"/>
              <w:jc w:val="both"/>
              <w:rPr>
                <w:rFonts w:cs="Segoe UI"/>
                <w:sz w:val="17"/>
                <w:szCs w:val="17"/>
                <w:lang w:eastAsia="ar-SA"/>
              </w:rPr>
            </w:pPr>
            <w:r w:rsidRPr="001148F7">
              <w:rPr>
                <w:rFonts w:eastAsia="細明體" w:cs="Segoe UI" w:hint="eastAsia"/>
                <w:sz w:val="17"/>
                <w:szCs w:val="17"/>
                <w:lang w:eastAsia="ar-SA"/>
              </w:rPr>
              <w:t>向董事局及高級管理人員</w:t>
            </w:r>
            <w:r w:rsidRPr="001148F7">
              <w:rPr>
                <w:rFonts w:eastAsia="細明體" w:cs="Segoe UI"/>
                <w:sz w:val="17"/>
                <w:szCs w:val="17"/>
                <w:lang w:eastAsia="ar-SA"/>
              </w:rPr>
              <w:t>作出風險資料匯報的程序的</w:t>
            </w:r>
            <w:r w:rsidRPr="001148F7">
              <w:rPr>
                <w:rFonts w:eastAsia="細明體" w:cs="Segoe UI" w:hint="eastAsia"/>
                <w:sz w:val="17"/>
                <w:szCs w:val="17"/>
                <w:lang w:eastAsia="ar-SA"/>
              </w:rPr>
              <w:t>描述</w:t>
            </w:r>
            <w:r w:rsidRPr="001148F7">
              <w:rPr>
                <w:rFonts w:eastAsia="細明體" w:cs="Segoe UI"/>
                <w:sz w:val="17"/>
                <w:szCs w:val="17"/>
                <w:lang w:eastAsia="ar-SA"/>
              </w:rPr>
              <w:t>，尤其風險承擔匯報的範圍及主要內容。</w:t>
            </w:r>
          </w:p>
        </w:tc>
      </w:tr>
      <w:tr w:rsidR="001148F7" w:rsidRPr="001148F7" w14:paraId="3BE51EFD" w14:textId="77777777" w:rsidTr="00862754">
        <w:trPr>
          <w:trHeight w:val="318"/>
        </w:trPr>
        <w:tc>
          <w:tcPr>
            <w:tcW w:w="370" w:type="dxa"/>
            <w:tcBorders>
              <w:top w:val="single" w:sz="4" w:space="0" w:color="auto"/>
              <w:bottom w:val="single" w:sz="4" w:space="0" w:color="auto"/>
            </w:tcBorders>
            <w:shd w:val="clear" w:color="auto" w:fill="auto"/>
          </w:tcPr>
          <w:p w14:paraId="2B15A7B2"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sz w:val="17"/>
                <w:szCs w:val="17"/>
                <w:lang w:eastAsia="ar-SA"/>
              </w:rPr>
              <w:t>(f)</w:t>
            </w:r>
          </w:p>
        </w:tc>
        <w:tc>
          <w:tcPr>
            <w:tcW w:w="8872" w:type="dxa"/>
            <w:tcBorders>
              <w:top w:val="single" w:sz="4" w:space="0" w:color="auto"/>
              <w:bottom w:val="single" w:sz="4" w:space="0" w:color="auto"/>
            </w:tcBorders>
            <w:shd w:val="clear" w:color="auto" w:fill="auto"/>
          </w:tcPr>
          <w:p w14:paraId="78CF1853" w14:textId="77777777" w:rsidR="001148F7" w:rsidRPr="001148F7" w:rsidRDefault="001148F7" w:rsidP="001148F7">
            <w:pPr>
              <w:widowControl w:val="0"/>
              <w:suppressAutoHyphens/>
              <w:spacing w:before="40" w:after="40"/>
              <w:jc w:val="both"/>
              <w:rPr>
                <w:rFonts w:cs="Segoe UI"/>
                <w:sz w:val="17"/>
                <w:szCs w:val="17"/>
                <w:lang w:eastAsia="ar-SA"/>
              </w:rPr>
            </w:pPr>
            <w:r w:rsidRPr="001148F7">
              <w:rPr>
                <w:rFonts w:eastAsia="細明體" w:cs="Segoe UI" w:hint="eastAsia"/>
                <w:sz w:val="17"/>
                <w:szCs w:val="17"/>
                <w:lang w:eastAsia="ar-SA"/>
              </w:rPr>
              <w:t>壓力測試的描述資料（例如須進行壓力測試的組合、所採用的情</w:t>
            </w:r>
            <w:r w:rsidRPr="001148F7">
              <w:rPr>
                <w:rFonts w:eastAsia="細明體" w:cs="Segoe UI" w:hint="eastAsia"/>
                <w:sz w:val="17"/>
                <w:szCs w:val="17"/>
                <w:lang w:eastAsia="zh-TW"/>
              </w:rPr>
              <w:t>景</w:t>
            </w:r>
            <w:r w:rsidRPr="001148F7">
              <w:rPr>
                <w:rFonts w:eastAsia="細明體" w:cs="Segoe UI" w:hint="eastAsia"/>
                <w:sz w:val="17"/>
                <w:szCs w:val="17"/>
                <w:lang w:eastAsia="ar-SA"/>
              </w:rPr>
              <w:t>及方法，及壓力測試</w:t>
            </w:r>
            <w:r w:rsidRPr="001148F7">
              <w:rPr>
                <w:rFonts w:eastAsia="細明體" w:cs="Segoe UI" w:hint="eastAsia"/>
                <w:sz w:val="17"/>
                <w:szCs w:val="17"/>
                <w:lang w:eastAsia="zh-TW"/>
              </w:rPr>
              <w:t>在</w:t>
            </w:r>
            <w:r w:rsidRPr="001148F7">
              <w:rPr>
                <w:rFonts w:eastAsia="細明體" w:cs="Segoe UI" w:hint="eastAsia"/>
                <w:sz w:val="17"/>
                <w:szCs w:val="17"/>
                <w:lang w:eastAsia="ar-SA"/>
              </w:rPr>
              <w:t>風險管理</w:t>
            </w:r>
            <w:r w:rsidRPr="001148F7">
              <w:rPr>
                <w:rFonts w:eastAsia="細明體" w:cs="Segoe UI" w:hint="eastAsia"/>
                <w:sz w:val="17"/>
                <w:szCs w:val="17"/>
                <w:lang w:eastAsia="zh-TW"/>
              </w:rPr>
              <w:t>中的</w:t>
            </w:r>
            <w:r w:rsidRPr="001148F7">
              <w:rPr>
                <w:rFonts w:eastAsia="細明體" w:cs="Segoe UI" w:hint="eastAsia"/>
                <w:sz w:val="17"/>
                <w:szCs w:val="17"/>
                <w:lang w:eastAsia="ar-SA"/>
              </w:rPr>
              <w:t>運用）。</w:t>
            </w:r>
          </w:p>
        </w:tc>
      </w:tr>
      <w:tr w:rsidR="001148F7" w:rsidRPr="001148F7" w14:paraId="44965546" w14:textId="77777777" w:rsidTr="00862754">
        <w:trPr>
          <w:trHeight w:val="318"/>
        </w:trPr>
        <w:tc>
          <w:tcPr>
            <w:tcW w:w="370" w:type="dxa"/>
            <w:tcBorders>
              <w:top w:val="single" w:sz="4" w:space="0" w:color="auto"/>
              <w:bottom w:val="single" w:sz="4" w:space="0" w:color="auto"/>
            </w:tcBorders>
            <w:shd w:val="clear" w:color="auto" w:fill="auto"/>
          </w:tcPr>
          <w:p w14:paraId="5FE2AD0B" w14:textId="77777777" w:rsidR="001148F7" w:rsidRPr="001148F7" w:rsidRDefault="001148F7" w:rsidP="001148F7">
            <w:pPr>
              <w:widowControl w:val="0"/>
              <w:suppressAutoHyphens/>
              <w:spacing w:before="40" w:after="40"/>
              <w:jc w:val="both"/>
              <w:rPr>
                <w:rFonts w:eastAsia="細明體" w:cs="Segoe UI"/>
                <w:sz w:val="17"/>
                <w:szCs w:val="17"/>
                <w:lang w:eastAsia="ar-SA"/>
              </w:rPr>
            </w:pPr>
            <w:r w:rsidRPr="001148F7">
              <w:rPr>
                <w:rFonts w:eastAsia="細明體" w:cs="Segoe UI"/>
                <w:sz w:val="17"/>
                <w:szCs w:val="17"/>
                <w:lang w:eastAsia="ar-SA"/>
              </w:rPr>
              <w:t>(g)</w:t>
            </w:r>
          </w:p>
        </w:tc>
        <w:tc>
          <w:tcPr>
            <w:tcW w:w="8872" w:type="dxa"/>
            <w:tcBorders>
              <w:top w:val="single" w:sz="4" w:space="0" w:color="auto"/>
              <w:bottom w:val="single" w:sz="4" w:space="0" w:color="auto"/>
            </w:tcBorders>
            <w:shd w:val="clear" w:color="auto" w:fill="auto"/>
          </w:tcPr>
          <w:p w14:paraId="161576BC" w14:textId="77777777" w:rsidR="001148F7" w:rsidRPr="001148F7" w:rsidRDefault="001148F7" w:rsidP="00D540EB">
            <w:pPr>
              <w:widowControl w:val="0"/>
              <w:numPr>
                <w:ilvl w:val="0"/>
                <w:numId w:val="45"/>
              </w:numPr>
              <w:tabs>
                <w:tab w:val="left" w:pos="454"/>
              </w:tabs>
              <w:suppressAutoHyphens/>
              <w:spacing w:before="40" w:after="40"/>
              <w:ind w:left="454" w:hanging="454"/>
              <w:jc w:val="both"/>
              <w:rPr>
                <w:rFonts w:eastAsia="細明體" w:cs="Segoe UI"/>
                <w:sz w:val="17"/>
                <w:szCs w:val="17"/>
                <w:lang w:eastAsia="ar-SA"/>
              </w:rPr>
            </w:pPr>
            <w:r w:rsidRPr="001148F7">
              <w:rPr>
                <w:rFonts w:eastAsia="細明體" w:cs="Segoe UI" w:hint="eastAsia"/>
                <w:sz w:val="17"/>
                <w:szCs w:val="17"/>
                <w:lang w:eastAsia="ar-SA"/>
              </w:rPr>
              <w:t>管理、對沖及減低由認可機構的</w:t>
            </w:r>
            <w:r w:rsidRPr="001148F7">
              <w:rPr>
                <w:rFonts w:eastAsia="細明體" w:cs="Segoe UI" w:hint="eastAsia"/>
                <w:sz w:val="17"/>
                <w:szCs w:val="17"/>
                <w:lang w:eastAsia="zh-TW"/>
              </w:rPr>
              <w:t>業務</w:t>
            </w:r>
            <w:r w:rsidRPr="001148F7">
              <w:rPr>
                <w:rFonts w:eastAsia="細明體" w:cs="Segoe UI" w:hint="eastAsia"/>
                <w:sz w:val="17"/>
                <w:szCs w:val="17"/>
                <w:lang w:eastAsia="ar-SA"/>
              </w:rPr>
              <w:t>模式所引起的風險的策略及程序；及</w:t>
            </w:r>
          </w:p>
          <w:p w14:paraId="5078C7D0" w14:textId="77777777" w:rsidR="001148F7" w:rsidRPr="001148F7" w:rsidRDefault="001148F7" w:rsidP="00D540EB">
            <w:pPr>
              <w:widowControl w:val="0"/>
              <w:numPr>
                <w:ilvl w:val="0"/>
                <w:numId w:val="45"/>
              </w:numPr>
              <w:tabs>
                <w:tab w:val="left" w:pos="454"/>
              </w:tabs>
              <w:suppressAutoHyphens/>
              <w:spacing w:before="40" w:after="40"/>
              <w:ind w:left="454" w:hanging="454"/>
              <w:jc w:val="both"/>
              <w:rPr>
                <w:rFonts w:cs="Segoe UI"/>
                <w:sz w:val="17"/>
                <w:szCs w:val="17"/>
                <w:lang w:eastAsia="ar-SA"/>
              </w:rPr>
            </w:pPr>
            <w:r w:rsidRPr="001148F7">
              <w:rPr>
                <w:rFonts w:eastAsia="細明體" w:cs="Segoe UI" w:hint="eastAsia"/>
                <w:sz w:val="17"/>
                <w:szCs w:val="17"/>
                <w:lang w:eastAsia="ar-SA"/>
              </w:rPr>
              <w:t>監察該等風險的對沖及緩減措施是否持續有效的程序。</w:t>
            </w:r>
          </w:p>
        </w:tc>
      </w:tr>
    </w:tbl>
    <w:p w14:paraId="565228AF" w14:textId="77777777" w:rsidR="001148F7" w:rsidRPr="001148F7" w:rsidRDefault="001148F7" w:rsidP="001148F7">
      <w:pPr>
        <w:suppressAutoHyphens/>
        <w:rPr>
          <w:rFonts w:eastAsia="細明體" w:cs="Segoe UI"/>
          <w:lang w:eastAsia="ar-SA"/>
        </w:rPr>
      </w:pPr>
    </w:p>
    <w:p w14:paraId="34DD36FE" w14:textId="77777777" w:rsidR="001148F7" w:rsidRDefault="001148F7" w:rsidP="007B417F">
      <w:pPr>
        <w:keepNext/>
        <w:keepLines/>
        <w:tabs>
          <w:tab w:val="num" w:pos="0"/>
          <w:tab w:val="left" w:pos="426"/>
        </w:tabs>
        <w:suppressAutoHyphens/>
        <w:spacing w:after="360"/>
        <w:ind w:left="-566"/>
        <w:outlineLvl w:val="0"/>
        <w:rPr>
          <w:rFonts w:eastAsia="細明體" w:cs="Segoe UI"/>
          <w:color w:val="AA322F"/>
          <w:sz w:val="28"/>
          <w:lang w:eastAsia="zh-TW"/>
        </w:rPr>
        <w:sectPr w:rsidR="001148F7" w:rsidSect="00F62652">
          <w:footerReference w:type="default" r:id="rId14"/>
          <w:pgSz w:w="11906" w:h="16838"/>
          <w:pgMar w:top="1440" w:right="1800" w:bottom="1440" w:left="1800" w:header="851" w:footer="751" w:gutter="0"/>
          <w:cols w:space="425"/>
          <w:docGrid w:type="lines" w:linePitch="360"/>
        </w:sectPr>
      </w:pPr>
    </w:p>
    <w:p w14:paraId="3F894631" w14:textId="31ED1555" w:rsidR="00EE7E4E" w:rsidRPr="00EE7E4E" w:rsidRDefault="00EE7E4E" w:rsidP="00EE7E4E">
      <w:pPr>
        <w:pStyle w:val="Heading2"/>
        <w:keepNext w:val="0"/>
        <w:suppressAutoHyphens w:val="0"/>
        <w:spacing w:before="40" w:line="240" w:lineRule="auto"/>
        <w:ind w:left="-454"/>
        <w:rPr>
          <w:rFonts w:ascii="細明體" w:eastAsia="細明體" w:hAnsi="細明體" w:cs="微軟正黑體"/>
          <w:b w:val="0"/>
          <w:bCs w:val="0"/>
          <w:sz w:val="22"/>
          <w:szCs w:val="20"/>
          <w:lang w:eastAsia="zh-TW"/>
        </w:rPr>
      </w:pPr>
      <w:r w:rsidRPr="00EE7E4E">
        <w:rPr>
          <w:rFonts w:ascii="細明體" w:eastAsia="細明體" w:hAnsi="細明體" w:cs="微軟正黑體"/>
          <w:b w:val="0"/>
          <w:bCs w:val="0"/>
          <w:sz w:val="22"/>
          <w:szCs w:val="20"/>
          <w:lang w:eastAsia="zh-TW"/>
        </w:rPr>
        <w:lastRenderedPageBreak/>
        <w:t>模版</w:t>
      </w:r>
      <w:r w:rsidRPr="00EB4D73">
        <w:rPr>
          <w:rFonts w:ascii="Segoe UI" w:eastAsia="細明體" w:hAnsi="Segoe UI" w:cs="Segoe UI"/>
          <w:b w:val="0"/>
          <w:bCs w:val="0"/>
          <w:sz w:val="22"/>
          <w:szCs w:val="20"/>
          <w:lang w:eastAsia="zh-TW"/>
        </w:rPr>
        <w:t>KM1</w:t>
      </w:r>
      <w:r w:rsidRPr="00EE7E4E">
        <w:rPr>
          <w:rFonts w:ascii="細明體" w:eastAsia="細明體" w:hAnsi="細明體" w:cs="微軟正黑體"/>
          <w:b w:val="0"/>
          <w:bCs w:val="0"/>
          <w:sz w:val="22"/>
          <w:szCs w:val="20"/>
          <w:lang w:eastAsia="zh-TW"/>
        </w:rPr>
        <w:t>：主要審慎比率</w:t>
      </w:r>
    </w:p>
    <w:tbl>
      <w:tblPr>
        <w:tblStyle w:val="TableGrid"/>
        <w:tblW w:w="9356" w:type="dxa"/>
        <w:tblInd w:w="-459" w:type="dxa"/>
        <w:tblLook w:val="04A0" w:firstRow="1" w:lastRow="0" w:firstColumn="1" w:lastColumn="0" w:noHBand="0" w:noVBand="1"/>
      </w:tblPr>
      <w:tblGrid>
        <w:gridCol w:w="2127"/>
        <w:gridCol w:w="7229"/>
      </w:tblGrid>
      <w:tr w:rsidR="00BA44D7" w:rsidRPr="00CA7301" w14:paraId="66651591" w14:textId="77777777" w:rsidTr="00F62652">
        <w:tc>
          <w:tcPr>
            <w:tcW w:w="2127" w:type="dxa"/>
            <w:tcBorders>
              <w:left w:val="nil"/>
            </w:tcBorders>
          </w:tcPr>
          <w:p w14:paraId="43CD2A44" w14:textId="77777777" w:rsidR="00BA44D7" w:rsidRPr="00CA7301" w:rsidRDefault="00BA44D7" w:rsidP="00BA44D7">
            <w:pPr>
              <w:widowControl w:val="0"/>
              <w:rPr>
                <w:rFonts w:eastAsia="細明體" w:cs="Segoe UI"/>
                <w:kern w:val="2"/>
                <w:sz w:val="24"/>
                <w:szCs w:val="22"/>
                <w:lang w:eastAsia="zh-TW"/>
              </w:rPr>
            </w:pPr>
            <w:r w:rsidRPr="00CA7301">
              <w:rPr>
                <w:rFonts w:eastAsia="細明體" w:cs="Segoe UI"/>
                <w:b/>
                <w:sz w:val="17"/>
                <w:lang w:eastAsia="zh-TW"/>
              </w:rPr>
              <w:t>目的：</w:t>
            </w:r>
            <w:r w:rsidRPr="00CA7301">
              <w:rPr>
                <w:rFonts w:eastAsia="細明體" w:cs="Segoe UI"/>
                <w:sz w:val="17"/>
                <w:lang w:eastAsia="en-GB"/>
              </w:rPr>
              <w:t xml:space="preserve"> </w:t>
            </w:r>
          </w:p>
        </w:tc>
        <w:tc>
          <w:tcPr>
            <w:tcW w:w="7229" w:type="dxa"/>
            <w:tcBorders>
              <w:right w:val="nil"/>
            </w:tcBorders>
          </w:tcPr>
          <w:p w14:paraId="30DB414E" w14:textId="77777777" w:rsidR="00BA44D7" w:rsidRPr="00CA7301" w:rsidRDefault="00BA44D7" w:rsidP="00BA44D7">
            <w:pPr>
              <w:widowControl w:val="0"/>
              <w:rPr>
                <w:rFonts w:eastAsia="細明體" w:cs="Segoe UI"/>
                <w:kern w:val="2"/>
                <w:sz w:val="24"/>
                <w:lang w:eastAsia="zh-TW"/>
              </w:rPr>
            </w:pPr>
            <w:r w:rsidRPr="00CA7301">
              <w:rPr>
                <w:rFonts w:eastAsia="細明體" w:cs="Segoe UI"/>
                <w:noProof/>
                <w:sz w:val="17"/>
                <w:lang w:val="en-US" w:eastAsia="zh-TW"/>
              </w:rPr>
              <w:t>概述認可機構的主要審慎比率。</w:t>
            </w:r>
            <w:r>
              <w:rPr>
                <w:rFonts w:eastAsia="細明體" w:cs="Segoe UI" w:hint="eastAsia"/>
                <w:noProof/>
                <w:sz w:val="17"/>
                <w:lang w:val="en-US" w:eastAsia="zh-TW"/>
              </w:rPr>
              <w:t xml:space="preserve"> </w:t>
            </w:r>
          </w:p>
        </w:tc>
      </w:tr>
      <w:tr w:rsidR="00BA44D7" w:rsidRPr="00CA7301" w14:paraId="3BCB87D4" w14:textId="77777777" w:rsidTr="00F62652">
        <w:tc>
          <w:tcPr>
            <w:tcW w:w="2127" w:type="dxa"/>
            <w:tcBorders>
              <w:left w:val="nil"/>
            </w:tcBorders>
          </w:tcPr>
          <w:p w14:paraId="4EF93969" w14:textId="77777777" w:rsidR="00BA44D7" w:rsidRPr="00CA7301" w:rsidRDefault="00BA44D7" w:rsidP="00BA44D7">
            <w:pPr>
              <w:widowControl w:val="0"/>
              <w:rPr>
                <w:rFonts w:eastAsia="細明體" w:cs="Segoe UI"/>
                <w:kern w:val="2"/>
                <w:sz w:val="24"/>
                <w:szCs w:val="22"/>
                <w:lang w:eastAsia="zh-TW"/>
              </w:rPr>
            </w:pPr>
            <w:r w:rsidRPr="00CA7301">
              <w:rPr>
                <w:rFonts w:eastAsia="細明體" w:cs="Segoe UI"/>
                <w:b/>
                <w:sz w:val="17"/>
                <w:lang w:eastAsia="zh-TW"/>
              </w:rPr>
              <w:t>適用範圍：</w:t>
            </w:r>
          </w:p>
        </w:tc>
        <w:tc>
          <w:tcPr>
            <w:tcW w:w="7229" w:type="dxa"/>
            <w:tcBorders>
              <w:right w:val="nil"/>
            </w:tcBorders>
          </w:tcPr>
          <w:p w14:paraId="4A1C53E6" w14:textId="77777777" w:rsidR="00BA44D7" w:rsidRPr="00CA7301" w:rsidRDefault="00BA44D7" w:rsidP="00BA44D7">
            <w:pPr>
              <w:widowControl w:val="0"/>
              <w:rPr>
                <w:rFonts w:eastAsia="細明體" w:cs="Segoe UI"/>
                <w:kern w:val="2"/>
                <w:sz w:val="24"/>
                <w:lang w:eastAsia="zh-TW"/>
              </w:rPr>
            </w:pPr>
            <w:r w:rsidRPr="00CA7301">
              <w:rPr>
                <w:rFonts w:eastAsia="細明體" w:cs="Segoe UI"/>
                <w:sz w:val="17"/>
                <w:lang w:val="en-US" w:eastAsia="zh-TW"/>
              </w:rPr>
              <w:t>所有在香港成立</w:t>
            </w:r>
            <w:proofErr w:type="gramStart"/>
            <w:r w:rsidRPr="00CA7301">
              <w:rPr>
                <w:rFonts w:eastAsia="細明體" w:cs="Segoe UI"/>
                <w:sz w:val="17"/>
                <w:lang w:val="en-US" w:eastAsia="zh-TW"/>
              </w:rPr>
              <w:t>為法團的</w:t>
            </w:r>
            <w:proofErr w:type="gramEnd"/>
            <w:r w:rsidRPr="00CA7301">
              <w:rPr>
                <w:rFonts w:eastAsia="細明體" w:cs="Segoe UI"/>
                <w:sz w:val="17"/>
                <w:lang w:val="en-US" w:eastAsia="zh-TW"/>
              </w:rPr>
              <w:t>認可機構</w:t>
            </w:r>
            <w:proofErr w:type="gramStart"/>
            <w:r w:rsidRPr="00CA7301">
              <w:rPr>
                <w:rFonts w:eastAsia="細明體" w:cs="Segoe UI"/>
                <w:sz w:val="17"/>
                <w:lang w:val="en-US" w:eastAsia="zh-TW"/>
              </w:rPr>
              <w:t>均須填報本模</w:t>
            </w:r>
            <w:proofErr w:type="gramEnd"/>
            <w:r w:rsidRPr="00CA7301">
              <w:rPr>
                <w:rFonts w:eastAsia="細明體" w:cs="Segoe UI"/>
                <w:sz w:val="17"/>
                <w:lang w:val="en-US" w:eastAsia="zh-TW"/>
              </w:rPr>
              <w:t>版。</w:t>
            </w:r>
          </w:p>
        </w:tc>
      </w:tr>
      <w:tr w:rsidR="00BA44D7" w:rsidRPr="00CA7301" w14:paraId="15DD0758" w14:textId="77777777" w:rsidTr="00F62652">
        <w:tc>
          <w:tcPr>
            <w:tcW w:w="2127" w:type="dxa"/>
            <w:tcBorders>
              <w:left w:val="nil"/>
            </w:tcBorders>
          </w:tcPr>
          <w:p w14:paraId="0A26B1BA" w14:textId="77777777" w:rsidR="00BA44D7" w:rsidRPr="00CA7301" w:rsidRDefault="00BA44D7" w:rsidP="00BA44D7">
            <w:pPr>
              <w:widowControl w:val="0"/>
              <w:rPr>
                <w:rFonts w:eastAsia="細明體" w:cs="Segoe UI"/>
                <w:kern w:val="2"/>
                <w:sz w:val="24"/>
                <w:szCs w:val="22"/>
                <w:lang w:eastAsia="zh-TW"/>
              </w:rPr>
            </w:pPr>
            <w:r w:rsidRPr="00CA7301">
              <w:rPr>
                <w:rFonts w:eastAsia="細明體" w:cs="Segoe UI"/>
                <w:b/>
                <w:sz w:val="17"/>
                <w:lang w:eastAsia="zh-TW"/>
              </w:rPr>
              <w:t>內容：</w:t>
            </w:r>
          </w:p>
        </w:tc>
        <w:tc>
          <w:tcPr>
            <w:tcW w:w="7229" w:type="dxa"/>
            <w:tcBorders>
              <w:right w:val="nil"/>
            </w:tcBorders>
          </w:tcPr>
          <w:p w14:paraId="097CDAA8" w14:textId="053EB5C6" w:rsidR="00BA44D7" w:rsidRPr="00CA7301" w:rsidRDefault="00BA44D7" w:rsidP="003139F1">
            <w:pPr>
              <w:widowControl w:val="0"/>
              <w:jc w:val="both"/>
              <w:rPr>
                <w:rFonts w:eastAsia="細明體" w:cs="Segoe UI"/>
                <w:kern w:val="2"/>
                <w:sz w:val="24"/>
                <w:lang w:eastAsia="zh-TW"/>
              </w:rPr>
            </w:pPr>
            <w:r w:rsidRPr="00CA7301">
              <w:rPr>
                <w:rFonts w:eastAsia="細明體" w:cs="Segoe UI"/>
                <w:sz w:val="17"/>
                <w:lang w:val="en-US" w:eastAsia="zh-TW"/>
              </w:rPr>
              <w:t>與監管資本及緩衝、槓桿比率及流動性的標準相關的主要審慎比率。認可機構應採用在《資本規則》及《流動性規則》下的相應指明，披露現行報告期（在本模版內指定為</w:t>
            </w:r>
            <w:r w:rsidRPr="00CA7301">
              <w:rPr>
                <w:rFonts w:cs="Segoe UI"/>
                <w:kern w:val="2"/>
                <w:sz w:val="17"/>
                <w:szCs w:val="17"/>
                <w:lang w:eastAsia="zh-TW"/>
              </w:rPr>
              <w:t>T</w:t>
            </w:r>
            <w:r w:rsidRPr="00CA7301">
              <w:rPr>
                <w:rFonts w:ascii="微軟正黑體" w:eastAsia="微軟正黑體" w:hAnsi="微軟正黑體" w:cs="微軟正黑體" w:hint="eastAsia"/>
                <w:kern w:val="2"/>
                <w:sz w:val="17"/>
                <w:szCs w:val="17"/>
                <w:lang w:eastAsia="zh-TW"/>
              </w:rPr>
              <w:t>）</w:t>
            </w:r>
            <w:r w:rsidRPr="00CA7301">
              <w:rPr>
                <w:rFonts w:eastAsia="細明體" w:cs="Segoe UI"/>
                <w:sz w:val="17"/>
                <w:lang w:val="en-US" w:eastAsia="zh-TW"/>
              </w:rPr>
              <w:t>及對上</w:t>
            </w:r>
            <w:r w:rsidRPr="00CA7301">
              <w:rPr>
                <w:rFonts w:cs="Segoe UI"/>
                <w:kern w:val="2"/>
                <w:sz w:val="17"/>
                <w:szCs w:val="17"/>
                <w:lang w:eastAsia="zh-TW"/>
              </w:rPr>
              <w:t>4</w:t>
            </w:r>
            <w:r w:rsidRPr="00CA7301">
              <w:rPr>
                <w:rFonts w:eastAsia="細明體" w:cs="Segoe UI"/>
                <w:sz w:val="17"/>
                <w:lang w:val="en-US" w:eastAsia="zh-TW"/>
              </w:rPr>
              <w:t>個季度報告期（依次指定為</w:t>
            </w:r>
            <w:r w:rsidRPr="00CA7301">
              <w:rPr>
                <w:rFonts w:cs="Segoe UI"/>
                <w:kern w:val="2"/>
                <w:sz w:val="17"/>
                <w:szCs w:val="17"/>
                <w:lang w:eastAsia="zh-TW"/>
              </w:rPr>
              <w:t>T-1</w:t>
            </w:r>
            <w:r w:rsidRPr="00CA7301">
              <w:rPr>
                <w:rFonts w:eastAsia="細明體" w:cs="Segoe UI"/>
                <w:sz w:val="17"/>
                <w:lang w:val="en-US" w:eastAsia="zh-TW"/>
              </w:rPr>
              <w:t>至</w:t>
            </w:r>
            <w:r w:rsidRPr="00CA7301">
              <w:rPr>
                <w:rFonts w:cs="Segoe UI"/>
                <w:kern w:val="2"/>
                <w:sz w:val="17"/>
                <w:szCs w:val="17"/>
                <w:lang w:eastAsia="zh-TW"/>
              </w:rPr>
              <w:t>T-4</w:t>
            </w:r>
            <w:r w:rsidRPr="00CA7301">
              <w:rPr>
                <w:rFonts w:ascii="微軟正黑體" w:eastAsia="微軟正黑體" w:hAnsi="微軟正黑體" w:cs="微軟正黑體" w:hint="eastAsia"/>
                <w:kern w:val="2"/>
                <w:sz w:val="17"/>
                <w:szCs w:val="17"/>
                <w:lang w:eastAsia="zh-TW"/>
              </w:rPr>
              <w:t>）</w:t>
            </w:r>
            <w:r w:rsidRPr="00CA7301">
              <w:rPr>
                <w:rFonts w:eastAsia="細明體" w:cs="Segoe UI"/>
                <w:sz w:val="17"/>
                <w:lang w:val="en-US" w:eastAsia="zh-TW"/>
              </w:rPr>
              <w:t>每</w:t>
            </w:r>
            <w:proofErr w:type="gramStart"/>
            <w:r w:rsidRPr="00CA7301">
              <w:rPr>
                <w:rFonts w:eastAsia="細明體" w:cs="Segoe UI"/>
                <w:sz w:val="17"/>
                <w:lang w:val="en-US" w:eastAsia="zh-TW"/>
              </w:rPr>
              <w:t>個</w:t>
            </w:r>
            <w:proofErr w:type="gramEnd"/>
            <w:r w:rsidRPr="00CA7301">
              <w:rPr>
                <w:rFonts w:eastAsia="細明體" w:cs="Segoe UI"/>
                <w:sz w:val="17"/>
                <w:lang w:val="en-US" w:eastAsia="zh-TW"/>
              </w:rPr>
              <w:t>比率的值。由於香港並</w:t>
            </w:r>
            <w:r>
              <w:rPr>
                <w:rFonts w:eastAsia="細明體" w:cs="Segoe UI" w:hint="eastAsia"/>
                <w:sz w:val="17"/>
                <w:lang w:val="en-US" w:eastAsia="zh-HK"/>
              </w:rPr>
              <w:t>無</w:t>
            </w:r>
            <w:r w:rsidRPr="00CA7301">
              <w:rPr>
                <w:rFonts w:eastAsia="細明體" w:cs="Segoe UI"/>
                <w:sz w:val="17"/>
                <w:lang w:val="en-US" w:eastAsia="zh-TW"/>
              </w:rPr>
              <w:t>設定有關實施</w:t>
            </w:r>
            <w:r w:rsidRPr="00CA7301">
              <w:rPr>
                <w:rFonts w:eastAsia="細明體" w:cs="Segoe UI"/>
                <w:sz w:val="17"/>
                <w:szCs w:val="17"/>
                <w:lang w:eastAsia="zh-TW"/>
              </w:rPr>
              <w:t>《香港財務報告準則》</w:t>
            </w:r>
            <w:r w:rsidRPr="00CA7301">
              <w:rPr>
                <w:rFonts w:eastAsia="細明體" w:cs="Segoe UI"/>
                <w:sz w:val="17"/>
                <w:lang w:val="en-US" w:eastAsia="zh-TW"/>
              </w:rPr>
              <w:t>第</w:t>
            </w:r>
            <w:r w:rsidRPr="00CA7301">
              <w:rPr>
                <w:rFonts w:cs="Segoe UI"/>
                <w:kern w:val="2"/>
                <w:sz w:val="17"/>
                <w:szCs w:val="17"/>
                <w:lang w:eastAsia="zh-TW"/>
              </w:rPr>
              <w:t>9</w:t>
            </w:r>
            <w:r w:rsidRPr="00CA7301">
              <w:rPr>
                <w:rFonts w:eastAsia="細明體" w:cs="Segoe UI"/>
                <w:sz w:val="17"/>
                <w:lang w:val="en-US" w:eastAsia="zh-TW"/>
              </w:rPr>
              <w:t>號下預期信用損失撥備的過渡安排，</w:t>
            </w:r>
            <w:proofErr w:type="gramStart"/>
            <w:r w:rsidRPr="00CA7301">
              <w:rPr>
                <w:rFonts w:eastAsia="細明體" w:cs="Segoe UI"/>
                <w:sz w:val="17"/>
                <w:lang w:val="en-US" w:eastAsia="zh-TW"/>
              </w:rPr>
              <w:t>本模版</w:t>
            </w:r>
            <w:proofErr w:type="gramEnd"/>
            <w:r w:rsidRPr="00CA7301">
              <w:rPr>
                <w:rFonts w:eastAsia="細明體" w:cs="Segoe UI"/>
                <w:sz w:val="17"/>
                <w:lang w:val="en-US" w:eastAsia="zh-TW"/>
              </w:rPr>
              <w:t>的資料應</w:t>
            </w:r>
            <w:r>
              <w:rPr>
                <w:rFonts w:eastAsia="細明體" w:cs="Segoe UI" w:hint="eastAsia"/>
                <w:sz w:val="17"/>
                <w:lang w:val="en-US" w:eastAsia="zh-HK"/>
              </w:rPr>
              <w:t>按</w:t>
            </w:r>
            <w:r w:rsidRPr="00CA7301">
              <w:rPr>
                <w:rFonts w:eastAsia="細明體" w:cs="Segoe UI"/>
                <w:sz w:val="17"/>
                <w:lang w:val="en-US" w:eastAsia="zh-TW"/>
              </w:rPr>
              <w:t>全面</w:t>
            </w:r>
            <w:r>
              <w:rPr>
                <w:rFonts w:eastAsia="細明體" w:cs="Segoe UI" w:hint="eastAsia"/>
                <w:sz w:val="17"/>
                <w:lang w:val="en-US" w:eastAsia="zh-HK"/>
              </w:rPr>
              <w:t>實</w:t>
            </w:r>
            <w:r>
              <w:rPr>
                <w:rFonts w:eastAsia="細明體" w:cs="Segoe UI" w:hint="eastAsia"/>
                <w:sz w:val="17"/>
                <w:lang w:val="en-US" w:eastAsia="zh-TW"/>
              </w:rPr>
              <w:t>施</w:t>
            </w:r>
            <w:r>
              <w:rPr>
                <w:rFonts w:eastAsia="細明體" w:cs="Segoe UI" w:hint="eastAsia"/>
                <w:sz w:val="17"/>
                <w:lang w:val="en-US" w:eastAsia="zh-HK"/>
              </w:rPr>
              <w:t>撥備的</w:t>
            </w:r>
            <w:r w:rsidRPr="00CA7301">
              <w:rPr>
                <w:rFonts w:eastAsia="細明體" w:cs="Segoe UI"/>
                <w:sz w:val="17"/>
                <w:lang w:val="en-US" w:eastAsia="zh-TW"/>
              </w:rPr>
              <w:t>基礎</w:t>
            </w:r>
            <w:r>
              <w:rPr>
                <w:rFonts w:eastAsia="細明體" w:cs="Segoe UI" w:hint="eastAsia"/>
                <w:sz w:val="17"/>
                <w:lang w:val="en-US" w:eastAsia="zh-HK"/>
              </w:rPr>
              <w:t>作出披露</w:t>
            </w:r>
            <w:r w:rsidRPr="00CA7301">
              <w:rPr>
                <w:rFonts w:eastAsia="細明體" w:cs="Segoe UI"/>
                <w:sz w:val="17"/>
                <w:lang w:val="en-US" w:eastAsia="zh-TW"/>
              </w:rPr>
              <w:t>。</w:t>
            </w:r>
            <w:r>
              <w:rPr>
                <w:rFonts w:eastAsia="細明體" w:cs="Segoe UI" w:hint="eastAsia"/>
                <w:sz w:val="17"/>
                <w:lang w:val="en-US" w:eastAsia="zh-HK"/>
              </w:rPr>
              <w:t>指定為</w:t>
            </w:r>
            <w:r>
              <w:rPr>
                <w:rFonts w:eastAsia="細明體" w:cs="Segoe UI" w:hint="eastAsia"/>
                <w:sz w:val="17"/>
                <w:lang w:val="en-US" w:eastAsia="zh-TW"/>
              </w:rPr>
              <w:t>「</w:t>
            </w:r>
            <w:r>
              <w:rPr>
                <w:rFonts w:eastAsia="細明體" w:cs="Segoe UI" w:hint="eastAsia"/>
                <w:sz w:val="17"/>
                <w:lang w:val="en-US" w:eastAsia="zh-HK"/>
              </w:rPr>
              <w:t>下限前」的指標屬未經出項下限</w:t>
            </w:r>
            <w:r w:rsidR="009D20C2">
              <w:rPr>
                <w:rFonts w:eastAsia="細明體" w:cs="Segoe UI" w:hint="eastAsia"/>
                <w:sz w:val="17"/>
                <w:lang w:val="en-US" w:eastAsia="zh-HK"/>
              </w:rPr>
              <w:t>的</w:t>
            </w:r>
            <w:r>
              <w:rPr>
                <w:rFonts w:eastAsia="細明體" w:cs="Segoe UI" w:hint="eastAsia"/>
                <w:sz w:val="17"/>
                <w:lang w:val="en-US" w:eastAsia="zh-HK"/>
              </w:rPr>
              <w:t>調整</w:t>
            </w:r>
            <w:r>
              <w:rPr>
                <w:rFonts w:eastAsia="細明體" w:cs="Segoe UI" w:hint="eastAsia"/>
                <w:sz w:val="17"/>
                <w:lang w:val="en-US" w:eastAsia="zh-TW"/>
              </w:rPr>
              <w:t>(</w:t>
            </w:r>
            <w:r>
              <w:rPr>
                <w:rFonts w:eastAsia="細明體" w:cs="Segoe UI" w:hint="eastAsia"/>
                <w:sz w:val="17"/>
                <w:lang w:val="en-US" w:eastAsia="zh-HK"/>
              </w:rPr>
              <w:t>如適用</w:t>
            </w:r>
            <w:r>
              <w:rPr>
                <w:rFonts w:eastAsia="細明體" w:cs="Segoe UI" w:hint="eastAsia"/>
                <w:sz w:val="17"/>
                <w:lang w:val="en-US" w:eastAsia="zh-TW"/>
              </w:rPr>
              <w:t>)</w:t>
            </w:r>
            <w:r>
              <w:rPr>
                <w:rFonts w:eastAsia="細明體" w:cs="Segoe UI" w:hint="eastAsia"/>
                <w:sz w:val="17"/>
                <w:lang w:val="en-US" w:eastAsia="zh-TW"/>
              </w:rPr>
              <w:t>，</w:t>
            </w:r>
            <w:r>
              <w:rPr>
                <w:rFonts w:eastAsia="細明體" w:cs="Segoe UI" w:hint="eastAsia"/>
                <w:sz w:val="17"/>
                <w:lang w:val="en-US" w:eastAsia="zh-HK"/>
              </w:rPr>
              <w:t>因此不一定反映用作計算資本規定的實際數值</w:t>
            </w:r>
            <w:r>
              <w:rPr>
                <w:rFonts w:eastAsia="細明體" w:cs="Segoe UI" w:hint="eastAsia"/>
                <w:sz w:val="17"/>
                <w:lang w:val="en-US" w:eastAsia="zh-TW"/>
              </w:rPr>
              <w:t>。</w:t>
            </w:r>
          </w:p>
        </w:tc>
      </w:tr>
      <w:tr w:rsidR="00BA44D7" w:rsidRPr="00CA7301" w14:paraId="67AF79ED" w14:textId="77777777" w:rsidTr="00F62652">
        <w:tc>
          <w:tcPr>
            <w:tcW w:w="2127" w:type="dxa"/>
            <w:tcBorders>
              <w:left w:val="nil"/>
            </w:tcBorders>
          </w:tcPr>
          <w:p w14:paraId="5B6F8A2B" w14:textId="77777777" w:rsidR="00BA44D7" w:rsidRPr="00CA7301" w:rsidRDefault="00BA44D7" w:rsidP="00BA44D7">
            <w:pPr>
              <w:widowControl w:val="0"/>
              <w:rPr>
                <w:rFonts w:eastAsia="細明體" w:cs="Segoe UI"/>
                <w:kern w:val="2"/>
                <w:sz w:val="24"/>
                <w:szCs w:val="22"/>
                <w:lang w:eastAsia="zh-TW"/>
              </w:rPr>
            </w:pPr>
            <w:r w:rsidRPr="00CA7301">
              <w:rPr>
                <w:rFonts w:eastAsia="細明體" w:cs="Segoe UI"/>
                <w:b/>
                <w:kern w:val="2"/>
                <w:sz w:val="17"/>
                <w:szCs w:val="17"/>
                <w:lang w:val="en-US" w:eastAsia="zh-TW"/>
              </w:rPr>
              <w:t>頻密程度：</w:t>
            </w:r>
          </w:p>
        </w:tc>
        <w:tc>
          <w:tcPr>
            <w:tcW w:w="7229" w:type="dxa"/>
            <w:tcBorders>
              <w:right w:val="nil"/>
            </w:tcBorders>
          </w:tcPr>
          <w:p w14:paraId="61146D3C" w14:textId="77777777" w:rsidR="00BA44D7" w:rsidRPr="00CA7301" w:rsidRDefault="00BA44D7" w:rsidP="00BA44D7">
            <w:pPr>
              <w:widowControl w:val="0"/>
              <w:rPr>
                <w:rFonts w:eastAsia="細明體" w:cs="Segoe UI"/>
                <w:kern w:val="2"/>
                <w:sz w:val="24"/>
                <w:lang w:eastAsia="zh-TW"/>
              </w:rPr>
            </w:pPr>
            <w:r w:rsidRPr="00CA7301">
              <w:rPr>
                <w:rFonts w:eastAsia="細明體" w:cs="Segoe UI"/>
                <w:sz w:val="17"/>
                <w:lang w:val="en-US" w:eastAsia="zh-TW"/>
              </w:rPr>
              <w:t>每季一次。</w:t>
            </w:r>
          </w:p>
        </w:tc>
      </w:tr>
      <w:tr w:rsidR="00BA44D7" w:rsidRPr="00CA7301" w14:paraId="7FE99FEC" w14:textId="77777777" w:rsidTr="00F62652">
        <w:tc>
          <w:tcPr>
            <w:tcW w:w="2127" w:type="dxa"/>
            <w:tcBorders>
              <w:left w:val="nil"/>
            </w:tcBorders>
          </w:tcPr>
          <w:p w14:paraId="51E55ED9" w14:textId="77777777" w:rsidR="00BA44D7" w:rsidRPr="00CA7301" w:rsidRDefault="00BA44D7" w:rsidP="00BA44D7">
            <w:pPr>
              <w:widowControl w:val="0"/>
              <w:rPr>
                <w:rFonts w:eastAsia="細明體" w:cs="Segoe UI"/>
                <w:kern w:val="2"/>
                <w:sz w:val="24"/>
                <w:szCs w:val="22"/>
                <w:lang w:eastAsia="zh-TW"/>
              </w:rPr>
            </w:pPr>
            <w:r w:rsidRPr="00CA7301">
              <w:rPr>
                <w:rFonts w:eastAsia="細明體" w:cs="Segoe UI"/>
                <w:b/>
                <w:sz w:val="17"/>
                <w:lang w:eastAsia="zh-TW"/>
              </w:rPr>
              <w:t>格式：</w:t>
            </w:r>
            <w:r w:rsidRPr="00CA7301">
              <w:rPr>
                <w:rFonts w:eastAsia="細明體" w:cs="Segoe UI"/>
                <w:sz w:val="17"/>
                <w:lang w:eastAsia="en-GB"/>
              </w:rPr>
              <w:t xml:space="preserve"> </w:t>
            </w:r>
          </w:p>
        </w:tc>
        <w:tc>
          <w:tcPr>
            <w:tcW w:w="7229" w:type="dxa"/>
            <w:tcBorders>
              <w:right w:val="nil"/>
            </w:tcBorders>
          </w:tcPr>
          <w:p w14:paraId="67749E4B" w14:textId="4EE12660" w:rsidR="00BA44D7" w:rsidRPr="00CA7301" w:rsidRDefault="00BA44D7" w:rsidP="00BA44D7">
            <w:pPr>
              <w:widowControl w:val="0"/>
              <w:jc w:val="both"/>
              <w:rPr>
                <w:rFonts w:eastAsia="細明體" w:cs="Segoe UI"/>
                <w:kern w:val="2"/>
                <w:sz w:val="24"/>
                <w:lang w:eastAsia="zh-TW"/>
              </w:rPr>
            </w:pPr>
            <w:r w:rsidRPr="00CA7301">
              <w:rPr>
                <w:rFonts w:eastAsia="細明體" w:cs="Segoe UI"/>
                <w:noProof/>
                <w:sz w:val="17"/>
                <w:lang w:val="en-US" w:eastAsia="zh-TW"/>
              </w:rPr>
              <w:t>固定。認可機構如擬加</w:t>
            </w:r>
            <w:r w:rsidRPr="00CA7301">
              <w:rPr>
                <w:rFonts w:eastAsia="細明體" w:cs="Segoe UI"/>
                <w:noProof/>
                <w:sz w:val="17"/>
                <w:lang w:eastAsia="zh-TW"/>
              </w:rPr>
              <w:t>入</w:t>
            </w:r>
            <w:r w:rsidRPr="00CA7301">
              <w:rPr>
                <w:rFonts w:eastAsia="細明體" w:cs="Segoe UI"/>
                <w:noProof/>
                <w:sz w:val="17"/>
                <w:lang w:val="en-US" w:eastAsia="zh-TW"/>
              </w:rPr>
              <w:t>附加行以提供額外監管或財務比率，則應提供該等比率的定義，並詳細解釋如何計算比率</w:t>
            </w:r>
            <w:r w:rsidRPr="00CA7301">
              <w:rPr>
                <w:rFonts w:eastAsia="細明體" w:cs="Segoe UI"/>
                <w:sz w:val="17"/>
                <w:lang w:val="en-US" w:eastAsia="zh-TW"/>
              </w:rPr>
              <w:t>（</w:t>
            </w:r>
            <w:r w:rsidRPr="00CA7301">
              <w:rPr>
                <w:rFonts w:eastAsia="細明體" w:cs="Segoe UI"/>
                <w:noProof/>
                <w:sz w:val="17"/>
                <w:lang w:val="en-US" w:eastAsia="zh-TW"/>
              </w:rPr>
              <w:t>包括綜合範圍及相關使用的監管資本</w:t>
            </w:r>
            <w:r w:rsidR="009D20C2" w:rsidRPr="009D20C2">
              <w:rPr>
                <w:rFonts w:eastAsia="細明體" w:cs="Segoe UI"/>
                <w:sz w:val="17"/>
                <w:szCs w:val="17"/>
                <w:lang w:eastAsia="zh-TW"/>
              </w:rPr>
              <w:t>）</w:t>
            </w:r>
            <w:r w:rsidRPr="00CA7301">
              <w:rPr>
                <w:rFonts w:eastAsia="細明體" w:cs="Segoe UI"/>
                <w:noProof/>
                <w:sz w:val="17"/>
                <w:lang w:val="en-US" w:eastAsia="zh-TW"/>
              </w:rPr>
              <w:t>。該等附加比率不應取代本模版內的審慎比率。</w:t>
            </w:r>
          </w:p>
        </w:tc>
      </w:tr>
      <w:tr w:rsidR="00BA44D7" w:rsidRPr="00CA7301" w14:paraId="5E386B2F" w14:textId="77777777" w:rsidTr="00F62652">
        <w:tc>
          <w:tcPr>
            <w:tcW w:w="2127" w:type="dxa"/>
            <w:tcBorders>
              <w:left w:val="nil"/>
            </w:tcBorders>
          </w:tcPr>
          <w:p w14:paraId="40A92A87" w14:textId="77777777" w:rsidR="00BA44D7" w:rsidRPr="00CA7301" w:rsidRDefault="00BA44D7" w:rsidP="00BA44D7">
            <w:pPr>
              <w:widowControl w:val="0"/>
              <w:rPr>
                <w:rFonts w:eastAsia="細明體" w:cs="Segoe UI"/>
                <w:kern w:val="2"/>
                <w:sz w:val="24"/>
                <w:szCs w:val="22"/>
                <w:lang w:eastAsia="zh-TW"/>
              </w:rPr>
            </w:pPr>
            <w:proofErr w:type="spellStart"/>
            <w:r w:rsidRPr="00CA7301">
              <w:rPr>
                <w:rFonts w:eastAsia="細明體" w:cs="Segoe UI"/>
                <w:b/>
                <w:kern w:val="2"/>
                <w:sz w:val="17"/>
                <w:szCs w:val="17"/>
                <w:lang w:val="en-US" w:eastAsia="en-GB"/>
              </w:rPr>
              <w:t>附加說明</w:t>
            </w:r>
            <w:proofErr w:type="spellEnd"/>
            <w:r w:rsidRPr="00CA7301">
              <w:rPr>
                <w:rFonts w:eastAsia="細明體" w:cs="Segoe UI"/>
                <w:b/>
                <w:kern w:val="2"/>
                <w:sz w:val="17"/>
                <w:szCs w:val="17"/>
                <w:lang w:val="en-US" w:eastAsia="en-GB"/>
              </w:rPr>
              <w:t>：</w:t>
            </w:r>
          </w:p>
        </w:tc>
        <w:tc>
          <w:tcPr>
            <w:tcW w:w="7229" w:type="dxa"/>
            <w:tcBorders>
              <w:right w:val="nil"/>
            </w:tcBorders>
          </w:tcPr>
          <w:p w14:paraId="34D15862" w14:textId="3B100994" w:rsidR="00BA44D7" w:rsidRPr="00CA7301" w:rsidRDefault="00BA44D7" w:rsidP="00BA44D7">
            <w:pPr>
              <w:widowControl w:val="0"/>
              <w:rPr>
                <w:rFonts w:eastAsia="細明體" w:cs="Segoe UI"/>
                <w:kern w:val="2"/>
                <w:sz w:val="24"/>
                <w:lang w:eastAsia="zh-TW"/>
              </w:rPr>
            </w:pPr>
            <w:r w:rsidRPr="00CA7301">
              <w:rPr>
                <w:rFonts w:eastAsia="細明體" w:cs="Segoe UI"/>
                <w:noProof/>
                <w:sz w:val="17"/>
                <w:lang w:val="en-US" w:eastAsia="zh-TW"/>
              </w:rPr>
              <w:t>認可機構應在</w:t>
            </w:r>
            <w:r w:rsidRPr="00CA7301">
              <w:rPr>
                <w:rFonts w:eastAsia="細明體" w:cs="Segoe UI"/>
                <w:kern w:val="2"/>
                <w:sz w:val="17"/>
                <w:szCs w:val="17"/>
                <w:lang w:val="en-US" w:eastAsia="zh-TW"/>
              </w:rPr>
              <w:t>敘述評</w:t>
            </w:r>
            <w:proofErr w:type="gramStart"/>
            <w:r w:rsidRPr="00CA7301">
              <w:rPr>
                <w:rFonts w:eastAsia="細明體" w:cs="Segoe UI"/>
                <w:kern w:val="2"/>
                <w:sz w:val="17"/>
                <w:szCs w:val="17"/>
                <w:lang w:val="en-US" w:eastAsia="zh-TW"/>
              </w:rPr>
              <w:t>註</w:t>
            </w:r>
            <w:proofErr w:type="gramEnd"/>
            <w:r w:rsidRPr="00CA7301">
              <w:rPr>
                <w:rFonts w:eastAsia="細明體" w:cs="Segoe UI"/>
                <w:kern w:val="2"/>
                <w:sz w:val="17"/>
                <w:szCs w:val="17"/>
                <w:lang w:val="en-US" w:eastAsia="zh-TW"/>
              </w:rPr>
              <w:t>中，</w:t>
            </w:r>
            <w:r w:rsidRPr="00CA7301">
              <w:rPr>
                <w:rFonts w:eastAsia="細明體" w:cs="Segoe UI"/>
                <w:noProof/>
                <w:sz w:val="17"/>
                <w:lang w:val="en-US" w:eastAsia="zh-TW"/>
              </w:rPr>
              <w:t>解釋引致</w:t>
            </w:r>
            <w:r w:rsidRPr="00CA7301">
              <w:rPr>
                <w:rFonts w:eastAsia="細明體" w:cs="Segoe UI"/>
                <w:noProof/>
                <w:sz w:val="17"/>
                <w:lang w:eastAsia="zh-TW"/>
              </w:rPr>
              <w:t>各個</w:t>
            </w:r>
            <w:r w:rsidRPr="00CA7301">
              <w:rPr>
                <w:rFonts w:eastAsia="細明體" w:cs="Segoe UI"/>
                <w:noProof/>
                <w:sz w:val="17"/>
                <w:lang w:val="en-US" w:eastAsia="zh-TW"/>
              </w:rPr>
              <w:t>報告期內每個比率的值的重大</w:t>
            </w:r>
            <w:r w:rsidRPr="000B0733">
              <w:rPr>
                <w:rFonts w:eastAsia="細明體" w:cs="Segoe UI" w:hint="eastAsia"/>
                <w:noProof/>
                <w:sz w:val="17"/>
                <w:lang w:val="en-US" w:eastAsia="zh-TW"/>
              </w:rPr>
              <w:t>改變</w:t>
            </w:r>
            <w:r w:rsidRPr="00CA7301">
              <w:rPr>
                <w:rFonts w:eastAsia="細明體" w:cs="Segoe UI"/>
                <w:noProof/>
                <w:sz w:val="17"/>
                <w:lang w:val="en-US" w:eastAsia="zh-TW"/>
              </w:rPr>
              <w:t>的</w:t>
            </w:r>
            <w:r w:rsidRPr="00CA7301">
              <w:rPr>
                <w:rFonts w:eastAsia="細明體" w:cs="Segoe UI"/>
                <w:noProof/>
                <w:sz w:val="17"/>
                <w:lang w:eastAsia="zh-TW"/>
              </w:rPr>
              <w:t>主要</w:t>
            </w:r>
            <w:r w:rsidRPr="00CA7301">
              <w:rPr>
                <w:rFonts w:eastAsia="細明體" w:cs="Segoe UI"/>
                <w:noProof/>
                <w:sz w:val="17"/>
                <w:lang w:val="en-US" w:eastAsia="zh-TW"/>
              </w:rPr>
              <w:t>驅動因素（例如</w:t>
            </w:r>
            <w:r w:rsidRPr="000B0733">
              <w:rPr>
                <w:rFonts w:eastAsia="細明體" w:cs="Segoe UI" w:hint="eastAsia"/>
                <w:noProof/>
                <w:sz w:val="17"/>
                <w:lang w:val="en-US" w:eastAsia="zh-TW"/>
              </w:rPr>
              <w:t>改變</w:t>
            </w:r>
            <w:r w:rsidRPr="00CA7301">
              <w:rPr>
                <w:rFonts w:eastAsia="細明體" w:cs="Segoe UI"/>
                <w:noProof/>
                <w:sz w:val="17"/>
                <w:lang w:val="en-US" w:eastAsia="zh-TW"/>
              </w:rPr>
              <w:t>是否由於監管框架、集團結構或業務模式的變化而引起</w:t>
            </w:r>
            <w:r w:rsidR="009D20C2" w:rsidRPr="009D20C2">
              <w:rPr>
                <w:rFonts w:eastAsia="細明體" w:cs="Segoe UI"/>
                <w:sz w:val="17"/>
                <w:szCs w:val="17"/>
                <w:lang w:eastAsia="zh-TW"/>
              </w:rPr>
              <w:t>）</w:t>
            </w:r>
            <w:r w:rsidRPr="00CA7301">
              <w:rPr>
                <w:rFonts w:eastAsia="細明體" w:cs="Segoe UI"/>
                <w:noProof/>
                <w:sz w:val="17"/>
                <w:lang w:val="en-US" w:eastAsia="zh-TW"/>
              </w:rPr>
              <w:t>。</w:t>
            </w:r>
            <w:r w:rsidRPr="00CA7301">
              <w:rPr>
                <w:rFonts w:eastAsia="細明體" w:cs="Segoe UI"/>
                <w:noProof/>
                <w:sz w:val="17"/>
                <w:lang w:val="en-US" w:eastAsia="zh-TW"/>
              </w:rPr>
              <w:t xml:space="preserve"> </w:t>
            </w:r>
          </w:p>
        </w:tc>
      </w:tr>
      <w:tr w:rsidR="007B417F" w:rsidRPr="00CA7301" w14:paraId="7B01FE95" w14:textId="77777777" w:rsidTr="00F62652">
        <w:tc>
          <w:tcPr>
            <w:tcW w:w="2127" w:type="dxa"/>
            <w:tcBorders>
              <w:left w:val="nil"/>
            </w:tcBorders>
          </w:tcPr>
          <w:p w14:paraId="3574E422" w14:textId="77777777" w:rsidR="007B417F" w:rsidRPr="00CA7301" w:rsidRDefault="007B417F" w:rsidP="007B417F">
            <w:pPr>
              <w:widowControl w:val="0"/>
              <w:rPr>
                <w:rFonts w:eastAsia="細明體" w:cs="Segoe UI"/>
                <w:kern w:val="2"/>
                <w:sz w:val="24"/>
                <w:szCs w:val="22"/>
                <w:lang w:eastAsia="zh-TW"/>
              </w:rPr>
            </w:pPr>
            <w:r w:rsidRPr="00CA7301">
              <w:rPr>
                <w:rFonts w:eastAsia="細明體" w:cs="Segoe UI"/>
                <w:b/>
                <w:sz w:val="17"/>
                <w:szCs w:val="17"/>
                <w:lang w:eastAsia="zh-TW"/>
              </w:rPr>
              <w:t>《披露規則》相應條文：</w:t>
            </w:r>
          </w:p>
        </w:tc>
        <w:tc>
          <w:tcPr>
            <w:tcW w:w="7229" w:type="dxa"/>
            <w:tcBorders>
              <w:right w:val="nil"/>
            </w:tcBorders>
          </w:tcPr>
          <w:p w14:paraId="6060C211" w14:textId="77777777" w:rsidR="007B417F" w:rsidRPr="00CA7301" w:rsidRDefault="007B417F" w:rsidP="007B417F">
            <w:pPr>
              <w:widowControl w:val="0"/>
              <w:rPr>
                <w:rFonts w:eastAsia="細明體" w:cs="Segoe UI"/>
                <w:kern w:val="2"/>
                <w:sz w:val="24"/>
                <w:szCs w:val="22"/>
                <w:lang w:eastAsia="zh-TW"/>
              </w:rPr>
            </w:pPr>
            <w:r w:rsidRPr="00CA7301">
              <w:rPr>
                <w:rFonts w:eastAsia="細明體" w:cs="Segoe UI"/>
                <w:kern w:val="2"/>
                <w:sz w:val="17"/>
                <w:szCs w:val="22"/>
                <w:lang w:val="en-US" w:eastAsia="zh-TW"/>
              </w:rPr>
              <w:t>16AB</w:t>
            </w:r>
          </w:p>
        </w:tc>
      </w:tr>
    </w:tbl>
    <w:p w14:paraId="1690965D" w14:textId="561ED4D6" w:rsidR="007B417F" w:rsidRDefault="007B417F" w:rsidP="007B417F">
      <w:pPr>
        <w:widowControl w:val="0"/>
        <w:rPr>
          <w:rFonts w:eastAsiaTheme="minorEastAsia" w:cs="Segoe UI"/>
          <w:kern w:val="2"/>
          <w:sz w:val="24"/>
          <w:szCs w:val="22"/>
          <w:lang w:eastAsia="zh-TW"/>
        </w:rPr>
      </w:pPr>
    </w:p>
    <w:p w14:paraId="77D8048F" w14:textId="77777777" w:rsidR="002A5EFD" w:rsidRPr="00CA7301" w:rsidRDefault="002A5EFD" w:rsidP="007B417F">
      <w:pPr>
        <w:widowControl w:val="0"/>
        <w:rPr>
          <w:rFonts w:eastAsiaTheme="minorEastAsia" w:cs="Segoe UI"/>
          <w:kern w:val="2"/>
          <w:sz w:val="24"/>
          <w:szCs w:val="22"/>
          <w:lang w:eastAsia="zh-TW"/>
        </w:rPr>
      </w:pPr>
    </w:p>
    <w:tbl>
      <w:tblPr>
        <w:tblStyle w:val="TableGrid1"/>
        <w:tblW w:w="9361" w:type="dxa"/>
        <w:tblInd w:w="-459" w:type="dxa"/>
        <w:tblLayout w:type="fixed"/>
        <w:tblLook w:val="04A0" w:firstRow="1" w:lastRow="0" w:firstColumn="1" w:lastColumn="0" w:noHBand="0" w:noVBand="1"/>
      </w:tblPr>
      <w:tblGrid>
        <w:gridCol w:w="851"/>
        <w:gridCol w:w="4394"/>
        <w:gridCol w:w="822"/>
        <w:gridCol w:w="822"/>
        <w:gridCol w:w="822"/>
        <w:gridCol w:w="822"/>
        <w:gridCol w:w="828"/>
      </w:tblGrid>
      <w:tr w:rsidR="007B417F" w:rsidRPr="00CA7301" w14:paraId="1EAA1230" w14:textId="77777777" w:rsidTr="000C010D">
        <w:trPr>
          <w:tblHeader/>
        </w:trPr>
        <w:tc>
          <w:tcPr>
            <w:tcW w:w="851" w:type="dxa"/>
            <w:tcBorders>
              <w:top w:val="nil"/>
              <w:left w:val="nil"/>
              <w:bottom w:val="nil"/>
              <w:right w:val="nil"/>
            </w:tcBorders>
          </w:tcPr>
          <w:p w14:paraId="43E5278E" w14:textId="77777777" w:rsidR="007B417F" w:rsidRPr="00CA7301" w:rsidRDefault="007B417F" w:rsidP="007B417F">
            <w:pPr>
              <w:widowControl w:val="0"/>
              <w:rPr>
                <w:rFonts w:eastAsiaTheme="minorEastAsia" w:cs="Segoe UI"/>
                <w:kern w:val="2"/>
                <w:sz w:val="17"/>
                <w:szCs w:val="17"/>
                <w:lang w:val="en-US" w:eastAsia="zh-TW"/>
              </w:rPr>
            </w:pPr>
          </w:p>
        </w:tc>
        <w:tc>
          <w:tcPr>
            <w:tcW w:w="4394" w:type="dxa"/>
            <w:tcBorders>
              <w:top w:val="nil"/>
              <w:left w:val="nil"/>
              <w:bottom w:val="nil"/>
            </w:tcBorders>
          </w:tcPr>
          <w:p w14:paraId="492B4E26" w14:textId="77777777" w:rsidR="007B417F" w:rsidRPr="00CA7301" w:rsidRDefault="007B417F" w:rsidP="007B417F">
            <w:pPr>
              <w:widowControl w:val="0"/>
              <w:rPr>
                <w:rFonts w:eastAsiaTheme="minorEastAsia" w:cs="Segoe UI"/>
                <w:kern w:val="2"/>
                <w:sz w:val="17"/>
                <w:szCs w:val="17"/>
                <w:lang w:val="en-US" w:eastAsia="zh-TW"/>
              </w:rPr>
            </w:pPr>
          </w:p>
        </w:tc>
        <w:tc>
          <w:tcPr>
            <w:tcW w:w="822" w:type="dxa"/>
          </w:tcPr>
          <w:p w14:paraId="1D61E04C"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(a)</w:t>
            </w:r>
          </w:p>
        </w:tc>
        <w:tc>
          <w:tcPr>
            <w:tcW w:w="822" w:type="dxa"/>
          </w:tcPr>
          <w:p w14:paraId="4EE68AF1"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(b)</w:t>
            </w:r>
          </w:p>
        </w:tc>
        <w:tc>
          <w:tcPr>
            <w:tcW w:w="822" w:type="dxa"/>
          </w:tcPr>
          <w:p w14:paraId="7D6D1664"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(c)</w:t>
            </w:r>
          </w:p>
        </w:tc>
        <w:tc>
          <w:tcPr>
            <w:tcW w:w="822" w:type="dxa"/>
          </w:tcPr>
          <w:p w14:paraId="5D00E82C"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(d)</w:t>
            </w:r>
          </w:p>
        </w:tc>
        <w:tc>
          <w:tcPr>
            <w:tcW w:w="823" w:type="dxa"/>
            <w:tcBorders>
              <w:right w:val="single" w:sz="4" w:space="0" w:color="auto"/>
            </w:tcBorders>
          </w:tcPr>
          <w:p w14:paraId="06D7C4EB"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(e)</w:t>
            </w:r>
          </w:p>
        </w:tc>
      </w:tr>
      <w:tr w:rsidR="007B417F" w:rsidRPr="00CA7301" w14:paraId="32D0464E" w14:textId="77777777" w:rsidTr="000C010D">
        <w:trPr>
          <w:tblHeader/>
        </w:trPr>
        <w:tc>
          <w:tcPr>
            <w:tcW w:w="851" w:type="dxa"/>
            <w:tcBorders>
              <w:top w:val="nil"/>
              <w:left w:val="nil"/>
              <w:right w:val="nil"/>
            </w:tcBorders>
          </w:tcPr>
          <w:p w14:paraId="7D88725B" w14:textId="77777777" w:rsidR="007B417F" w:rsidRPr="00CA7301" w:rsidRDefault="007B417F" w:rsidP="007B417F">
            <w:pPr>
              <w:widowControl w:val="0"/>
              <w:rPr>
                <w:rFonts w:eastAsiaTheme="minorEastAsia" w:cs="Segoe UI"/>
                <w:kern w:val="2"/>
                <w:sz w:val="17"/>
                <w:szCs w:val="17"/>
                <w:lang w:val="en-US" w:eastAsia="zh-TW"/>
              </w:rPr>
            </w:pPr>
          </w:p>
        </w:tc>
        <w:tc>
          <w:tcPr>
            <w:tcW w:w="4394" w:type="dxa"/>
            <w:tcBorders>
              <w:top w:val="nil"/>
              <w:left w:val="nil"/>
            </w:tcBorders>
          </w:tcPr>
          <w:p w14:paraId="769812BA" w14:textId="77777777" w:rsidR="007B417F" w:rsidRPr="00CA7301" w:rsidRDefault="007B417F" w:rsidP="007B417F">
            <w:pPr>
              <w:widowControl w:val="0"/>
              <w:rPr>
                <w:rFonts w:eastAsiaTheme="minorEastAsia" w:cs="Segoe UI"/>
                <w:kern w:val="2"/>
                <w:sz w:val="17"/>
                <w:szCs w:val="17"/>
                <w:lang w:val="en-US" w:eastAsia="zh-TW"/>
              </w:rPr>
            </w:pPr>
          </w:p>
        </w:tc>
        <w:tc>
          <w:tcPr>
            <w:tcW w:w="822" w:type="dxa"/>
          </w:tcPr>
          <w:p w14:paraId="43136B92"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T</w:t>
            </w:r>
          </w:p>
        </w:tc>
        <w:tc>
          <w:tcPr>
            <w:tcW w:w="822" w:type="dxa"/>
          </w:tcPr>
          <w:p w14:paraId="5B129F92"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T-1</w:t>
            </w:r>
          </w:p>
        </w:tc>
        <w:tc>
          <w:tcPr>
            <w:tcW w:w="822" w:type="dxa"/>
          </w:tcPr>
          <w:p w14:paraId="74809494"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T-2</w:t>
            </w:r>
          </w:p>
        </w:tc>
        <w:tc>
          <w:tcPr>
            <w:tcW w:w="822" w:type="dxa"/>
          </w:tcPr>
          <w:p w14:paraId="03D0EB3A"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T-3</w:t>
            </w:r>
          </w:p>
        </w:tc>
        <w:tc>
          <w:tcPr>
            <w:tcW w:w="823" w:type="dxa"/>
            <w:tcBorders>
              <w:right w:val="single" w:sz="4" w:space="0" w:color="auto"/>
            </w:tcBorders>
          </w:tcPr>
          <w:p w14:paraId="00DCD47C" w14:textId="77777777" w:rsidR="007B417F" w:rsidRPr="00CA7301" w:rsidRDefault="007B417F" w:rsidP="007B417F">
            <w:pPr>
              <w:widowControl w:val="0"/>
              <w:jc w:val="center"/>
              <w:rPr>
                <w:rFonts w:eastAsiaTheme="minorEastAsia" w:cs="Segoe UI"/>
                <w:kern w:val="2"/>
                <w:sz w:val="17"/>
                <w:szCs w:val="17"/>
                <w:lang w:eastAsia="zh-TW"/>
              </w:rPr>
            </w:pPr>
            <w:r w:rsidRPr="00CA7301">
              <w:rPr>
                <w:rFonts w:eastAsiaTheme="minorEastAsia" w:cs="Segoe UI"/>
                <w:kern w:val="2"/>
                <w:sz w:val="17"/>
                <w:szCs w:val="17"/>
                <w:lang w:eastAsia="zh-TW"/>
              </w:rPr>
              <w:t>T-4</w:t>
            </w:r>
          </w:p>
        </w:tc>
      </w:tr>
      <w:tr w:rsidR="007B417F" w:rsidRPr="00CA7301" w14:paraId="5A74A593" w14:textId="77777777" w:rsidTr="000C010D">
        <w:tc>
          <w:tcPr>
            <w:tcW w:w="851" w:type="dxa"/>
            <w:tcBorders>
              <w:left w:val="nil"/>
            </w:tcBorders>
            <w:shd w:val="clear" w:color="auto" w:fill="BFBFBF" w:themeFill="background1" w:themeFillShade="BF"/>
          </w:tcPr>
          <w:p w14:paraId="7B25ED15" w14:textId="77777777" w:rsidR="007B417F" w:rsidRPr="00CA7301" w:rsidRDefault="007B417F" w:rsidP="007B417F">
            <w:pPr>
              <w:snapToGrid w:val="0"/>
              <w:spacing w:before="40" w:after="40"/>
              <w:ind w:left="57" w:rightChars="71" w:right="142"/>
              <w:rPr>
                <w:rFonts w:cs="Segoe UI"/>
                <w:sz w:val="17"/>
                <w:szCs w:val="17"/>
              </w:rPr>
            </w:pPr>
          </w:p>
        </w:tc>
        <w:tc>
          <w:tcPr>
            <w:tcW w:w="8510" w:type="dxa"/>
            <w:gridSpan w:val="6"/>
            <w:tcBorders>
              <w:right w:val="single" w:sz="4" w:space="0" w:color="auto"/>
            </w:tcBorders>
            <w:shd w:val="clear" w:color="auto" w:fill="BFBFBF" w:themeFill="background1" w:themeFillShade="BF"/>
          </w:tcPr>
          <w:p w14:paraId="790546A8" w14:textId="77777777" w:rsidR="007B417F" w:rsidRPr="00CA7301" w:rsidRDefault="007B417F" w:rsidP="007B417F">
            <w:pPr>
              <w:snapToGrid w:val="0"/>
              <w:spacing w:before="40" w:after="40"/>
              <w:ind w:left="34" w:rightChars="71" w:right="142"/>
              <w:rPr>
                <w:rFonts w:eastAsia="細明體" w:cs="Segoe UI"/>
                <w:b/>
                <w:sz w:val="17"/>
                <w:szCs w:val="17"/>
              </w:rPr>
            </w:pPr>
            <w:r w:rsidRPr="00CA7301">
              <w:rPr>
                <w:rFonts w:eastAsia="細明體" w:cs="Segoe UI"/>
                <w:b/>
                <w:sz w:val="17"/>
                <w:szCs w:val="17"/>
                <w:lang w:eastAsia="zh-TW"/>
              </w:rPr>
              <w:t>監管資本</w:t>
            </w:r>
            <w:r w:rsidRPr="00CA7301">
              <w:rPr>
                <w:rFonts w:eastAsia="細明體" w:cs="Segoe UI"/>
                <w:b/>
                <w:sz w:val="17"/>
              </w:rPr>
              <w:t>（</w:t>
            </w:r>
            <w:r w:rsidRPr="00CA7301">
              <w:rPr>
                <w:rFonts w:eastAsia="細明體" w:cs="Segoe UI"/>
                <w:b/>
                <w:sz w:val="17"/>
                <w:szCs w:val="17"/>
                <w:lang w:eastAsia="zh-TW"/>
              </w:rPr>
              <w:t>數額</w:t>
            </w:r>
            <w:r w:rsidRPr="00CA7301">
              <w:rPr>
                <w:rFonts w:eastAsia="細明體" w:cs="Segoe UI"/>
                <w:b/>
                <w:sz w:val="17"/>
                <w:szCs w:val="17"/>
              </w:rPr>
              <w:t>）</w:t>
            </w:r>
          </w:p>
        </w:tc>
      </w:tr>
      <w:tr w:rsidR="007B417F" w:rsidRPr="00CA7301" w14:paraId="5D5A922E" w14:textId="77777777" w:rsidTr="000C010D">
        <w:trPr>
          <w:trHeight w:val="121"/>
        </w:trPr>
        <w:tc>
          <w:tcPr>
            <w:tcW w:w="851" w:type="dxa"/>
            <w:tcBorders>
              <w:left w:val="nil"/>
            </w:tcBorders>
          </w:tcPr>
          <w:p w14:paraId="4800CCB2" w14:textId="77777777" w:rsidR="007B417F" w:rsidRPr="00BA44D7" w:rsidRDefault="007B417F" w:rsidP="007B417F">
            <w:pPr>
              <w:snapToGrid w:val="0"/>
              <w:spacing w:before="40" w:after="40"/>
              <w:ind w:left="33"/>
              <w:rPr>
                <w:rFonts w:eastAsiaTheme="minorEastAsia" w:cs="Segoe UI"/>
                <w:sz w:val="17"/>
                <w:szCs w:val="17"/>
                <w:lang w:eastAsia="zh-TW"/>
              </w:rPr>
            </w:pPr>
            <w:r w:rsidRPr="00CA7301">
              <w:rPr>
                <w:rFonts w:cs="Segoe UI"/>
                <w:sz w:val="17"/>
                <w:szCs w:val="17"/>
              </w:rPr>
              <w:t>1</w:t>
            </w:r>
            <w:r w:rsidR="00BA44D7">
              <w:rPr>
                <w:rFonts w:asciiTheme="minorEastAsia" w:eastAsiaTheme="minorEastAsia" w:hAnsiTheme="minorEastAsia" w:cs="Segoe UI" w:hint="eastAsia"/>
                <w:sz w:val="17"/>
                <w:szCs w:val="17"/>
                <w:lang w:eastAsia="zh-HK"/>
              </w:rPr>
              <w:t>及</w:t>
            </w:r>
            <w:r w:rsidR="00BA44D7">
              <w:rPr>
                <w:rFonts w:cs="Segoe UI"/>
                <w:sz w:val="17"/>
                <w:szCs w:val="17"/>
              </w:rPr>
              <w:t>1a</w:t>
            </w:r>
          </w:p>
        </w:tc>
        <w:tc>
          <w:tcPr>
            <w:tcW w:w="4394" w:type="dxa"/>
          </w:tcPr>
          <w:p w14:paraId="61B9AFC3" w14:textId="77777777" w:rsidR="007B417F" w:rsidRPr="00CA7301" w:rsidRDefault="007B417F" w:rsidP="007B417F">
            <w:pPr>
              <w:snapToGrid w:val="0"/>
              <w:spacing w:before="40" w:after="40"/>
              <w:ind w:left="34" w:rightChars="71" w:right="142"/>
              <w:rPr>
                <w:rFonts w:cs="Segoe UI"/>
                <w:sz w:val="17"/>
                <w:szCs w:val="17"/>
              </w:rPr>
            </w:pPr>
            <w:r w:rsidRPr="00CA7301">
              <w:rPr>
                <w:rFonts w:eastAsia="細明體" w:cs="Segoe UI"/>
                <w:sz w:val="17"/>
                <w:szCs w:val="17"/>
                <w:lang w:eastAsia="zh-TW"/>
              </w:rPr>
              <w:t>普通股權一級</w:t>
            </w:r>
            <w:r w:rsidRPr="00CA7301">
              <w:rPr>
                <w:rFonts w:cs="Segoe UI"/>
                <w:sz w:val="17"/>
                <w:szCs w:val="17"/>
              </w:rPr>
              <w:t>(CET1)</w:t>
            </w:r>
          </w:p>
        </w:tc>
        <w:tc>
          <w:tcPr>
            <w:tcW w:w="822" w:type="dxa"/>
          </w:tcPr>
          <w:p w14:paraId="2B98C9A5" w14:textId="77777777" w:rsidR="007B417F" w:rsidRPr="00CA7301" w:rsidRDefault="007B417F" w:rsidP="007B417F">
            <w:pPr>
              <w:snapToGrid w:val="0"/>
              <w:spacing w:before="40" w:after="40"/>
              <w:rPr>
                <w:rFonts w:cs="Segoe UI"/>
                <w:sz w:val="17"/>
                <w:lang w:eastAsia="it-IT"/>
              </w:rPr>
            </w:pPr>
          </w:p>
        </w:tc>
        <w:tc>
          <w:tcPr>
            <w:tcW w:w="822" w:type="dxa"/>
          </w:tcPr>
          <w:p w14:paraId="1F7C97CF" w14:textId="77777777" w:rsidR="007B417F" w:rsidRPr="00CA7301" w:rsidRDefault="007B417F" w:rsidP="007B417F">
            <w:pPr>
              <w:snapToGrid w:val="0"/>
              <w:spacing w:before="40" w:after="40"/>
              <w:rPr>
                <w:rFonts w:cs="Segoe UI"/>
                <w:sz w:val="17"/>
                <w:lang w:eastAsia="it-IT"/>
              </w:rPr>
            </w:pPr>
          </w:p>
        </w:tc>
        <w:tc>
          <w:tcPr>
            <w:tcW w:w="822" w:type="dxa"/>
          </w:tcPr>
          <w:p w14:paraId="09D8A403" w14:textId="77777777" w:rsidR="007B417F" w:rsidRPr="00CA7301" w:rsidRDefault="007B417F" w:rsidP="007B417F">
            <w:pPr>
              <w:snapToGrid w:val="0"/>
              <w:spacing w:before="40" w:after="40"/>
              <w:rPr>
                <w:rFonts w:cs="Segoe UI"/>
                <w:sz w:val="17"/>
                <w:lang w:eastAsia="it-IT"/>
              </w:rPr>
            </w:pPr>
          </w:p>
        </w:tc>
        <w:tc>
          <w:tcPr>
            <w:tcW w:w="822" w:type="dxa"/>
          </w:tcPr>
          <w:p w14:paraId="5718C953" w14:textId="77777777" w:rsidR="007B417F" w:rsidRPr="00CA7301" w:rsidRDefault="007B417F" w:rsidP="007B417F">
            <w:pPr>
              <w:snapToGrid w:val="0"/>
              <w:spacing w:before="40" w:after="40"/>
              <w:rPr>
                <w:rFonts w:cs="Segoe UI"/>
                <w:sz w:val="17"/>
                <w:lang w:eastAsia="it-IT"/>
              </w:rPr>
            </w:pPr>
          </w:p>
        </w:tc>
        <w:tc>
          <w:tcPr>
            <w:tcW w:w="823" w:type="dxa"/>
            <w:tcBorders>
              <w:right w:val="single" w:sz="4" w:space="0" w:color="auto"/>
            </w:tcBorders>
          </w:tcPr>
          <w:p w14:paraId="6CF064DE" w14:textId="77777777" w:rsidR="007B417F" w:rsidRPr="00CA7301" w:rsidRDefault="007B417F" w:rsidP="007B417F">
            <w:pPr>
              <w:snapToGrid w:val="0"/>
              <w:spacing w:before="40" w:after="40"/>
              <w:rPr>
                <w:rFonts w:cs="Segoe UI"/>
                <w:sz w:val="17"/>
                <w:lang w:eastAsia="it-IT"/>
              </w:rPr>
            </w:pPr>
          </w:p>
        </w:tc>
      </w:tr>
      <w:tr w:rsidR="007B417F" w:rsidRPr="00CA7301" w14:paraId="30947C54" w14:textId="77777777" w:rsidTr="000C010D">
        <w:tc>
          <w:tcPr>
            <w:tcW w:w="851" w:type="dxa"/>
            <w:tcBorders>
              <w:left w:val="nil"/>
            </w:tcBorders>
          </w:tcPr>
          <w:p w14:paraId="76A6E086" w14:textId="77777777" w:rsidR="007B417F" w:rsidRPr="00CA7301" w:rsidRDefault="007B417F" w:rsidP="007B417F">
            <w:pPr>
              <w:snapToGrid w:val="0"/>
              <w:spacing w:before="40" w:after="40"/>
              <w:ind w:left="33"/>
              <w:rPr>
                <w:rFonts w:cs="Segoe UI"/>
                <w:sz w:val="17"/>
                <w:szCs w:val="17"/>
              </w:rPr>
            </w:pPr>
            <w:r w:rsidRPr="00CA7301">
              <w:rPr>
                <w:rFonts w:cs="Segoe UI"/>
                <w:sz w:val="17"/>
                <w:szCs w:val="17"/>
              </w:rPr>
              <w:t>2</w:t>
            </w:r>
            <w:r w:rsidR="00BA44D7">
              <w:rPr>
                <w:rFonts w:asciiTheme="minorEastAsia" w:eastAsiaTheme="minorEastAsia" w:hAnsiTheme="minorEastAsia" w:cs="Segoe UI" w:hint="eastAsia"/>
                <w:sz w:val="17"/>
                <w:szCs w:val="17"/>
                <w:lang w:eastAsia="zh-HK"/>
              </w:rPr>
              <w:t>及</w:t>
            </w:r>
            <w:r w:rsidR="00BA44D7">
              <w:rPr>
                <w:rFonts w:cs="Segoe UI"/>
                <w:sz w:val="17"/>
                <w:szCs w:val="17"/>
              </w:rPr>
              <w:t>2a</w:t>
            </w:r>
          </w:p>
        </w:tc>
        <w:tc>
          <w:tcPr>
            <w:tcW w:w="4394" w:type="dxa"/>
          </w:tcPr>
          <w:p w14:paraId="7B007182" w14:textId="77777777" w:rsidR="007B417F" w:rsidRPr="00CA7301" w:rsidRDefault="007B417F" w:rsidP="007B417F">
            <w:pPr>
              <w:snapToGrid w:val="0"/>
              <w:spacing w:before="40" w:after="40"/>
              <w:ind w:left="34" w:rightChars="71" w:right="142"/>
              <w:rPr>
                <w:rFonts w:eastAsia="細明體" w:cs="Segoe UI"/>
                <w:sz w:val="17"/>
                <w:szCs w:val="17"/>
              </w:rPr>
            </w:pPr>
            <w:r w:rsidRPr="00CA7301">
              <w:rPr>
                <w:rFonts w:eastAsia="細明體" w:cs="Segoe UI"/>
                <w:sz w:val="17"/>
                <w:szCs w:val="17"/>
                <w:lang w:eastAsia="zh-TW"/>
              </w:rPr>
              <w:t>一級</w:t>
            </w:r>
          </w:p>
        </w:tc>
        <w:tc>
          <w:tcPr>
            <w:tcW w:w="822" w:type="dxa"/>
          </w:tcPr>
          <w:p w14:paraId="5B0F79BE" w14:textId="77777777" w:rsidR="007B417F" w:rsidRPr="00CA7301" w:rsidRDefault="007B417F" w:rsidP="007B417F">
            <w:pPr>
              <w:snapToGrid w:val="0"/>
              <w:spacing w:before="40" w:after="40"/>
              <w:rPr>
                <w:rFonts w:cs="Segoe UI"/>
                <w:sz w:val="17"/>
                <w:lang w:eastAsia="it-IT"/>
              </w:rPr>
            </w:pPr>
          </w:p>
        </w:tc>
        <w:tc>
          <w:tcPr>
            <w:tcW w:w="822" w:type="dxa"/>
          </w:tcPr>
          <w:p w14:paraId="7BBE4F0D" w14:textId="77777777" w:rsidR="007B417F" w:rsidRPr="00CA7301" w:rsidRDefault="007B417F" w:rsidP="007B417F">
            <w:pPr>
              <w:snapToGrid w:val="0"/>
              <w:spacing w:before="40" w:after="40"/>
              <w:rPr>
                <w:rFonts w:cs="Segoe UI"/>
                <w:sz w:val="17"/>
                <w:lang w:eastAsia="it-IT"/>
              </w:rPr>
            </w:pPr>
          </w:p>
        </w:tc>
        <w:tc>
          <w:tcPr>
            <w:tcW w:w="822" w:type="dxa"/>
          </w:tcPr>
          <w:p w14:paraId="4EEBAE8B" w14:textId="77777777" w:rsidR="007B417F" w:rsidRPr="00CA7301" w:rsidRDefault="007B417F" w:rsidP="007B417F">
            <w:pPr>
              <w:snapToGrid w:val="0"/>
              <w:spacing w:before="40" w:after="40"/>
              <w:rPr>
                <w:rFonts w:cs="Segoe UI"/>
                <w:sz w:val="17"/>
                <w:lang w:eastAsia="it-IT"/>
              </w:rPr>
            </w:pPr>
          </w:p>
        </w:tc>
        <w:tc>
          <w:tcPr>
            <w:tcW w:w="822" w:type="dxa"/>
          </w:tcPr>
          <w:p w14:paraId="4293D80C" w14:textId="77777777" w:rsidR="007B417F" w:rsidRPr="00CA7301" w:rsidRDefault="007B417F" w:rsidP="007B417F">
            <w:pPr>
              <w:snapToGrid w:val="0"/>
              <w:spacing w:before="40" w:after="40"/>
              <w:rPr>
                <w:rFonts w:cs="Segoe UI"/>
                <w:sz w:val="17"/>
                <w:lang w:eastAsia="it-IT"/>
              </w:rPr>
            </w:pPr>
          </w:p>
        </w:tc>
        <w:tc>
          <w:tcPr>
            <w:tcW w:w="823" w:type="dxa"/>
            <w:tcBorders>
              <w:right w:val="single" w:sz="4" w:space="0" w:color="auto"/>
            </w:tcBorders>
          </w:tcPr>
          <w:p w14:paraId="3CD41E20" w14:textId="77777777" w:rsidR="007B417F" w:rsidRPr="00CA7301" w:rsidRDefault="007B417F" w:rsidP="007B417F">
            <w:pPr>
              <w:snapToGrid w:val="0"/>
              <w:spacing w:before="40" w:after="40"/>
              <w:rPr>
                <w:rFonts w:cs="Segoe UI"/>
                <w:sz w:val="17"/>
                <w:lang w:eastAsia="it-IT"/>
              </w:rPr>
            </w:pPr>
          </w:p>
        </w:tc>
      </w:tr>
      <w:tr w:rsidR="007B417F" w:rsidRPr="00CA7301" w14:paraId="71B8BD59" w14:textId="77777777" w:rsidTr="000C010D">
        <w:tc>
          <w:tcPr>
            <w:tcW w:w="851" w:type="dxa"/>
            <w:tcBorders>
              <w:left w:val="nil"/>
            </w:tcBorders>
          </w:tcPr>
          <w:p w14:paraId="4B728007" w14:textId="77777777" w:rsidR="007B417F" w:rsidRPr="00217BE5" w:rsidRDefault="007B417F" w:rsidP="007B417F">
            <w:pPr>
              <w:snapToGrid w:val="0"/>
              <w:spacing w:before="40" w:after="40"/>
              <w:ind w:left="33"/>
              <w:rPr>
                <w:rFonts w:eastAsiaTheme="minorEastAsia" w:cs="Segoe UI"/>
                <w:sz w:val="17"/>
                <w:szCs w:val="17"/>
                <w:lang w:eastAsia="zh-TW"/>
              </w:rPr>
            </w:pPr>
            <w:r w:rsidRPr="00CA7301">
              <w:rPr>
                <w:rFonts w:cs="Segoe UI"/>
                <w:sz w:val="17"/>
                <w:szCs w:val="17"/>
              </w:rPr>
              <w:t>3</w:t>
            </w:r>
            <w:r w:rsidR="00BA44D7">
              <w:rPr>
                <w:rFonts w:asciiTheme="minorEastAsia" w:eastAsiaTheme="minorEastAsia" w:hAnsiTheme="minorEastAsia" w:cs="Segoe UI" w:hint="eastAsia"/>
                <w:sz w:val="17"/>
                <w:szCs w:val="17"/>
                <w:lang w:eastAsia="zh-HK"/>
              </w:rPr>
              <w:t>及</w:t>
            </w:r>
            <w:r w:rsidR="00BA44D7">
              <w:rPr>
                <w:rFonts w:cs="Segoe UI"/>
                <w:sz w:val="17"/>
                <w:szCs w:val="17"/>
              </w:rPr>
              <w:t>3a</w:t>
            </w:r>
          </w:p>
        </w:tc>
        <w:tc>
          <w:tcPr>
            <w:tcW w:w="4394" w:type="dxa"/>
          </w:tcPr>
          <w:p w14:paraId="02A65A66" w14:textId="77777777" w:rsidR="007B417F" w:rsidRPr="00CA7301" w:rsidRDefault="007B417F" w:rsidP="007B417F">
            <w:pPr>
              <w:snapToGrid w:val="0"/>
              <w:spacing w:before="40" w:after="40"/>
              <w:ind w:left="34" w:rightChars="71" w:right="142"/>
              <w:rPr>
                <w:rFonts w:eastAsia="細明體" w:cs="Segoe UI"/>
                <w:sz w:val="17"/>
                <w:szCs w:val="17"/>
              </w:rPr>
            </w:pPr>
            <w:r w:rsidRPr="00CA7301">
              <w:rPr>
                <w:rFonts w:eastAsia="細明體" w:cs="Segoe UI"/>
                <w:sz w:val="17"/>
                <w:szCs w:val="17"/>
                <w:lang w:eastAsia="zh-TW"/>
              </w:rPr>
              <w:t>總資本</w:t>
            </w:r>
          </w:p>
        </w:tc>
        <w:tc>
          <w:tcPr>
            <w:tcW w:w="822" w:type="dxa"/>
          </w:tcPr>
          <w:p w14:paraId="42E6A3F7" w14:textId="77777777" w:rsidR="007B417F" w:rsidRPr="00CA7301" w:rsidRDefault="007B417F" w:rsidP="007B417F">
            <w:pPr>
              <w:snapToGrid w:val="0"/>
              <w:spacing w:before="40" w:after="40"/>
              <w:rPr>
                <w:rFonts w:cs="Segoe UI"/>
                <w:sz w:val="17"/>
                <w:lang w:eastAsia="it-IT"/>
              </w:rPr>
            </w:pPr>
          </w:p>
        </w:tc>
        <w:tc>
          <w:tcPr>
            <w:tcW w:w="822" w:type="dxa"/>
          </w:tcPr>
          <w:p w14:paraId="252D1B51" w14:textId="77777777" w:rsidR="007B417F" w:rsidRPr="00CA7301" w:rsidRDefault="007B417F" w:rsidP="007B417F">
            <w:pPr>
              <w:snapToGrid w:val="0"/>
              <w:spacing w:before="40" w:after="40"/>
              <w:rPr>
                <w:rFonts w:cs="Segoe UI"/>
                <w:sz w:val="17"/>
                <w:lang w:eastAsia="it-IT"/>
              </w:rPr>
            </w:pPr>
          </w:p>
        </w:tc>
        <w:tc>
          <w:tcPr>
            <w:tcW w:w="822" w:type="dxa"/>
          </w:tcPr>
          <w:p w14:paraId="4E7DC213" w14:textId="77777777" w:rsidR="007B417F" w:rsidRPr="00CA7301" w:rsidRDefault="007B417F" w:rsidP="007B417F">
            <w:pPr>
              <w:snapToGrid w:val="0"/>
              <w:spacing w:before="40" w:after="40"/>
              <w:rPr>
                <w:rFonts w:cs="Segoe UI"/>
                <w:sz w:val="17"/>
                <w:lang w:eastAsia="it-IT"/>
              </w:rPr>
            </w:pPr>
          </w:p>
        </w:tc>
        <w:tc>
          <w:tcPr>
            <w:tcW w:w="822" w:type="dxa"/>
          </w:tcPr>
          <w:p w14:paraId="498B2FF7" w14:textId="77777777" w:rsidR="007B417F" w:rsidRPr="00CA7301" w:rsidRDefault="007B417F" w:rsidP="007B417F">
            <w:pPr>
              <w:snapToGrid w:val="0"/>
              <w:spacing w:before="40" w:after="40"/>
              <w:rPr>
                <w:rFonts w:cs="Segoe UI"/>
                <w:sz w:val="17"/>
                <w:lang w:eastAsia="it-IT"/>
              </w:rPr>
            </w:pPr>
          </w:p>
        </w:tc>
        <w:tc>
          <w:tcPr>
            <w:tcW w:w="823" w:type="dxa"/>
            <w:tcBorders>
              <w:right w:val="single" w:sz="4" w:space="0" w:color="auto"/>
            </w:tcBorders>
          </w:tcPr>
          <w:p w14:paraId="7BBBE122" w14:textId="77777777" w:rsidR="007B417F" w:rsidRPr="00CA7301" w:rsidRDefault="007B417F" w:rsidP="007B417F">
            <w:pPr>
              <w:snapToGrid w:val="0"/>
              <w:spacing w:before="40" w:after="40"/>
              <w:rPr>
                <w:rFonts w:cs="Segoe UI"/>
                <w:sz w:val="17"/>
                <w:lang w:eastAsia="it-IT"/>
              </w:rPr>
            </w:pPr>
          </w:p>
        </w:tc>
      </w:tr>
      <w:tr w:rsidR="007B417F" w:rsidRPr="00CA7301" w14:paraId="786405BF" w14:textId="77777777" w:rsidTr="000C010D">
        <w:tc>
          <w:tcPr>
            <w:tcW w:w="851" w:type="dxa"/>
            <w:tcBorders>
              <w:left w:val="nil"/>
            </w:tcBorders>
            <w:shd w:val="clear" w:color="auto" w:fill="BFBFBF" w:themeFill="background1" w:themeFillShade="BF"/>
          </w:tcPr>
          <w:p w14:paraId="57450407" w14:textId="77777777" w:rsidR="007B417F" w:rsidRPr="00CA7301" w:rsidRDefault="007B417F" w:rsidP="007B417F">
            <w:pPr>
              <w:snapToGrid w:val="0"/>
              <w:spacing w:before="40" w:after="40"/>
              <w:ind w:left="57" w:rightChars="71" w:right="142"/>
              <w:rPr>
                <w:rFonts w:cs="Segoe UI"/>
                <w:sz w:val="17"/>
                <w:szCs w:val="17"/>
              </w:rPr>
            </w:pPr>
          </w:p>
        </w:tc>
        <w:tc>
          <w:tcPr>
            <w:tcW w:w="8510" w:type="dxa"/>
            <w:gridSpan w:val="6"/>
            <w:tcBorders>
              <w:right w:val="single" w:sz="4" w:space="0" w:color="auto"/>
            </w:tcBorders>
            <w:shd w:val="clear" w:color="auto" w:fill="BFBFBF" w:themeFill="background1" w:themeFillShade="BF"/>
          </w:tcPr>
          <w:p w14:paraId="0DB874C3" w14:textId="77777777" w:rsidR="007B417F" w:rsidRPr="00CA7301" w:rsidRDefault="007B417F" w:rsidP="007B417F">
            <w:pPr>
              <w:snapToGrid w:val="0"/>
              <w:spacing w:before="40" w:after="40"/>
              <w:ind w:left="34" w:rightChars="71" w:right="142"/>
              <w:rPr>
                <w:rFonts w:cs="Segoe UI"/>
                <w:b/>
                <w:sz w:val="17"/>
                <w:szCs w:val="17"/>
                <w:lang w:eastAsia="zh-TW"/>
              </w:rPr>
            </w:pPr>
            <w:r w:rsidRPr="00CA7301">
              <w:rPr>
                <w:rFonts w:eastAsia="細明體" w:cs="Segoe UI"/>
                <w:b/>
                <w:sz w:val="17"/>
                <w:lang w:eastAsia="zh-TW"/>
              </w:rPr>
              <w:t>風險加權數額（</w:t>
            </w:r>
            <w:r w:rsidRPr="00CA7301">
              <w:rPr>
                <w:rFonts w:eastAsia="細明體" w:cs="Segoe UI"/>
                <w:b/>
                <w:sz w:val="17"/>
                <w:szCs w:val="17"/>
                <w:lang w:eastAsia="zh-TW"/>
              </w:rPr>
              <w:t>數額）</w:t>
            </w:r>
          </w:p>
        </w:tc>
      </w:tr>
      <w:tr w:rsidR="007B417F" w:rsidRPr="00CA7301" w14:paraId="1DD08E07" w14:textId="77777777" w:rsidTr="000C010D">
        <w:tc>
          <w:tcPr>
            <w:tcW w:w="851" w:type="dxa"/>
            <w:tcBorders>
              <w:left w:val="nil"/>
            </w:tcBorders>
          </w:tcPr>
          <w:p w14:paraId="303D7755" w14:textId="77777777" w:rsidR="007B417F" w:rsidRPr="00CA7301" w:rsidRDefault="007B417F" w:rsidP="007B417F">
            <w:pPr>
              <w:snapToGrid w:val="0"/>
              <w:spacing w:before="40" w:after="40"/>
              <w:ind w:left="33"/>
              <w:rPr>
                <w:rFonts w:cs="Segoe UI"/>
                <w:sz w:val="17"/>
                <w:szCs w:val="17"/>
              </w:rPr>
            </w:pPr>
            <w:r w:rsidRPr="00CA7301">
              <w:rPr>
                <w:rFonts w:cs="Segoe UI"/>
                <w:sz w:val="17"/>
                <w:szCs w:val="17"/>
              </w:rPr>
              <w:t>4</w:t>
            </w:r>
          </w:p>
        </w:tc>
        <w:tc>
          <w:tcPr>
            <w:tcW w:w="4394" w:type="dxa"/>
          </w:tcPr>
          <w:p w14:paraId="4117D6F7" w14:textId="77777777" w:rsidR="007B417F" w:rsidRPr="00CA7301" w:rsidRDefault="007B417F" w:rsidP="007B417F">
            <w:pPr>
              <w:snapToGrid w:val="0"/>
              <w:spacing w:before="40" w:after="40"/>
              <w:ind w:left="34" w:rightChars="71" w:right="142"/>
              <w:rPr>
                <w:rFonts w:eastAsia="細明體" w:cs="Segoe UI"/>
                <w:sz w:val="17"/>
                <w:szCs w:val="17"/>
              </w:rPr>
            </w:pPr>
            <w:r w:rsidRPr="00CA7301">
              <w:rPr>
                <w:rFonts w:eastAsia="細明體" w:cs="Segoe UI"/>
                <w:sz w:val="17"/>
                <w:lang w:eastAsia="zh-TW"/>
              </w:rPr>
              <w:t>風險加權數額</w:t>
            </w:r>
            <w:r w:rsidRPr="00CA7301">
              <w:rPr>
                <w:rFonts w:eastAsia="細明體" w:cs="Segoe UI"/>
                <w:sz w:val="17"/>
                <w:szCs w:val="17"/>
                <w:lang w:eastAsia="zh-TW"/>
              </w:rPr>
              <w:t>總額</w:t>
            </w:r>
          </w:p>
        </w:tc>
        <w:tc>
          <w:tcPr>
            <w:tcW w:w="822" w:type="dxa"/>
          </w:tcPr>
          <w:p w14:paraId="4A9E8876" w14:textId="77777777" w:rsidR="007B417F" w:rsidRPr="00CA7301" w:rsidRDefault="007B417F" w:rsidP="007B417F">
            <w:pPr>
              <w:snapToGrid w:val="0"/>
              <w:spacing w:before="40" w:after="40"/>
              <w:rPr>
                <w:rFonts w:cs="Segoe UI"/>
                <w:sz w:val="17"/>
                <w:lang w:eastAsia="it-IT"/>
              </w:rPr>
            </w:pPr>
          </w:p>
        </w:tc>
        <w:tc>
          <w:tcPr>
            <w:tcW w:w="822" w:type="dxa"/>
          </w:tcPr>
          <w:p w14:paraId="3EE602B0" w14:textId="77777777" w:rsidR="007B417F" w:rsidRPr="00CA7301" w:rsidRDefault="007B417F" w:rsidP="007B417F">
            <w:pPr>
              <w:snapToGrid w:val="0"/>
              <w:spacing w:before="40" w:after="40"/>
              <w:rPr>
                <w:rFonts w:cs="Segoe UI"/>
                <w:sz w:val="17"/>
                <w:lang w:eastAsia="it-IT"/>
              </w:rPr>
            </w:pPr>
          </w:p>
        </w:tc>
        <w:tc>
          <w:tcPr>
            <w:tcW w:w="822" w:type="dxa"/>
          </w:tcPr>
          <w:p w14:paraId="19020264" w14:textId="77777777" w:rsidR="007B417F" w:rsidRPr="00CA7301" w:rsidRDefault="007B417F" w:rsidP="007B417F">
            <w:pPr>
              <w:snapToGrid w:val="0"/>
              <w:spacing w:before="40" w:after="40"/>
              <w:rPr>
                <w:rFonts w:cs="Segoe UI"/>
                <w:sz w:val="17"/>
                <w:lang w:eastAsia="it-IT"/>
              </w:rPr>
            </w:pPr>
          </w:p>
        </w:tc>
        <w:tc>
          <w:tcPr>
            <w:tcW w:w="822" w:type="dxa"/>
          </w:tcPr>
          <w:p w14:paraId="7D2271BE" w14:textId="77777777" w:rsidR="007B417F" w:rsidRPr="00CA7301" w:rsidRDefault="007B417F" w:rsidP="007B417F">
            <w:pPr>
              <w:snapToGrid w:val="0"/>
              <w:spacing w:before="40" w:after="40"/>
              <w:rPr>
                <w:rFonts w:cs="Segoe UI"/>
                <w:sz w:val="17"/>
                <w:lang w:eastAsia="it-IT"/>
              </w:rPr>
            </w:pPr>
          </w:p>
        </w:tc>
        <w:tc>
          <w:tcPr>
            <w:tcW w:w="823" w:type="dxa"/>
            <w:tcBorders>
              <w:right w:val="single" w:sz="4" w:space="0" w:color="auto"/>
            </w:tcBorders>
          </w:tcPr>
          <w:p w14:paraId="2D7287CD" w14:textId="77777777" w:rsidR="007B417F" w:rsidRPr="00CA7301" w:rsidRDefault="007B417F" w:rsidP="007B417F">
            <w:pPr>
              <w:snapToGrid w:val="0"/>
              <w:spacing w:before="40" w:after="40"/>
              <w:rPr>
                <w:rFonts w:cs="Segoe UI"/>
                <w:sz w:val="17"/>
                <w:lang w:eastAsia="it-IT"/>
              </w:rPr>
            </w:pPr>
          </w:p>
        </w:tc>
      </w:tr>
      <w:tr w:rsidR="00862626" w:rsidRPr="00CA7301" w14:paraId="064EE8EA" w14:textId="77777777" w:rsidTr="000C010D">
        <w:tc>
          <w:tcPr>
            <w:tcW w:w="851" w:type="dxa"/>
            <w:tcBorders>
              <w:left w:val="nil"/>
            </w:tcBorders>
          </w:tcPr>
          <w:p w14:paraId="64E5721D" w14:textId="77777777" w:rsidR="00862626" w:rsidRPr="00CA7301" w:rsidRDefault="00862626" w:rsidP="007B417F">
            <w:pPr>
              <w:snapToGrid w:val="0"/>
              <w:spacing w:before="40" w:after="40"/>
              <w:ind w:left="33"/>
              <w:rPr>
                <w:rFonts w:cs="Segoe UI"/>
                <w:sz w:val="17"/>
                <w:szCs w:val="17"/>
              </w:rPr>
            </w:pPr>
            <w:r>
              <w:rPr>
                <w:rFonts w:cs="Segoe UI"/>
                <w:sz w:val="17"/>
                <w:szCs w:val="17"/>
              </w:rPr>
              <w:t>4a</w:t>
            </w:r>
          </w:p>
        </w:tc>
        <w:tc>
          <w:tcPr>
            <w:tcW w:w="4394" w:type="dxa"/>
          </w:tcPr>
          <w:p w14:paraId="5157BEFE" w14:textId="77777777" w:rsidR="00862626" w:rsidRPr="00CA7301" w:rsidRDefault="00862626" w:rsidP="007B417F">
            <w:pPr>
              <w:snapToGrid w:val="0"/>
              <w:spacing w:before="40" w:after="40"/>
              <w:ind w:left="34" w:rightChars="71" w:right="142"/>
              <w:rPr>
                <w:rFonts w:eastAsia="細明體" w:cs="Segoe UI"/>
                <w:sz w:val="17"/>
                <w:lang w:eastAsia="zh-TW"/>
              </w:rPr>
            </w:pPr>
            <w:r w:rsidRPr="004B560F">
              <w:rPr>
                <w:rFonts w:eastAsia="細明體" w:cs="Segoe UI" w:hint="eastAsia"/>
                <w:sz w:val="17"/>
                <w:lang w:eastAsia="zh-TW"/>
              </w:rPr>
              <w:t>風險加權數額總額（下限前）</w:t>
            </w:r>
          </w:p>
        </w:tc>
        <w:tc>
          <w:tcPr>
            <w:tcW w:w="822" w:type="dxa"/>
          </w:tcPr>
          <w:p w14:paraId="2E46E4CD" w14:textId="77777777" w:rsidR="00862626" w:rsidRPr="00CA7301" w:rsidRDefault="00862626" w:rsidP="007B417F">
            <w:pPr>
              <w:snapToGrid w:val="0"/>
              <w:spacing w:before="40" w:after="40"/>
              <w:rPr>
                <w:rFonts w:cs="Segoe UI"/>
                <w:sz w:val="17"/>
                <w:lang w:eastAsia="it-IT"/>
              </w:rPr>
            </w:pPr>
          </w:p>
        </w:tc>
        <w:tc>
          <w:tcPr>
            <w:tcW w:w="822" w:type="dxa"/>
          </w:tcPr>
          <w:p w14:paraId="70C44DBC" w14:textId="77777777" w:rsidR="00862626" w:rsidRPr="00CA7301" w:rsidRDefault="00862626" w:rsidP="007B417F">
            <w:pPr>
              <w:snapToGrid w:val="0"/>
              <w:spacing w:before="40" w:after="40"/>
              <w:rPr>
                <w:rFonts w:cs="Segoe UI"/>
                <w:sz w:val="17"/>
                <w:lang w:eastAsia="it-IT"/>
              </w:rPr>
            </w:pPr>
          </w:p>
        </w:tc>
        <w:tc>
          <w:tcPr>
            <w:tcW w:w="822" w:type="dxa"/>
          </w:tcPr>
          <w:p w14:paraId="35E70727" w14:textId="77777777" w:rsidR="00862626" w:rsidRPr="00CA7301" w:rsidRDefault="00862626" w:rsidP="007B417F">
            <w:pPr>
              <w:snapToGrid w:val="0"/>
              <w:spacing w:before="40" w:after="40"/>
              <w:rPr>
                <w:rFonts w:cs="Segoe UI"/>
                <w:sz w:val="17"/>
                <w:lang w:eastAsia="it-IT"/>
              </w:rPr>
            </w:pPr>
          </w:p>
        </w:tc>
        <w:tc>
          <w:tcPr>
            <w:tcW w:w="822" w:type="dxa"/>
          </w:tcPr>
          <w:p w14:paraId="7B0A45B2" w14:textId="77777777" w:rsidR="00862626" w:rsidRPr="00CA7301" w:rsidRDefault="00862626" w:rsidP="007B417F">
            <w:pPr>
              <w:snapToGrid w:val="0"/>
              <w:spacing w:before="40" w:after="40"/>
              <w:rPr>
                <w:rFonts w:cs="Segoe UI"/>
                <w:sz w:val="17"/>
                <w:lang w:eastAsia="it-IT"/>
              </w:rPr>
            </w:pPr>
          </w:p>
        </w:tc>
        <w:tc>
          <w:tcPr>
            <w:tcW w:w="823" w:type="dxa"/>
            <w:tcBorders>
              <w:right w:val="single" w:sz="4" w:space="0" w:color="auto"/>
            </w:tcBorders>
          </w:tcPr>
          <w:p w14:paraId="5420B865" w14:textId="77777777" w:rsidR="00862626" w:rsidRPr="00CA7301" w:rsidRDefault="00862626" w:rsidP="007B417F">
            <w:pPr>
              <w:snapToGrid w:val="0"/>
              <w:spacing w:before="40" w:after="40"/>
              <w:rPr>
                <w:rFonts w:cs="Segoe UI"/>
                <w:sz w:val="17"/>
                <w:lang w:eastAsia="it-IT"/>
              </w:rPr>
            </w:pPr>
          </w:p>
        </w:tc>
      </w:tr>
      <w:tr w:rsidR="007B417F" w:rsidRPr="00CA7301" w14:paraId="18EED969" w14:textId="77777777" w:rsidTr="000C010D">
        <w:tc>
          <w:tcPr>
            <w:tcW w:w="851" w:type="dxa"/>
            <w:tcBorders>
              <w:left w:val="nil"/>
            </w:tcBorders>
            <w:shd w:val="clear" w:color="auto" w:fill="BFBFBF" w:themeFill="background1" w:themeFillShade="BF"/>
          </w:tcPr>
          <w:p w14:paraId="1C4A13E7" w14:textId="77777777" w:rsidR="007B417F" w:rsidRPr="00CA7301" w:rsidRDefault="007B417F" w:rsidP="007B417F">
            <w:pPr>
              <w:snapToGrid w:val="0"/>
              <w:spacing w:before="40" w:after="40"/>
              <w:ind w:left="57" w:rightChars="71" w:right="142"/>
              <w:rPr>
                <w:rFonts w:cs="Segoe UI"/>
                <w:sz w:val="17"/>
                <w:szCs w:val="17"/>
                <w:lang w:eastAsia="zh-TW"/>
              </w:rPr>
            </w:pPr>
          </w:p>
        </w:tc>
        <w:tc>
          <w:tcPr>
            <w:tcW w:w="8510" w:type="dxa"/>
            <w:gridSpan w:val="6"/>
            <w:tcBorders>
              <w:right w:val="single" w:sz="4" w:space="0" w:color="auto"/>
            </w:tcBorders>
            <w:shd w:val="clear" w:color="auto" w:fill="BFBFBF" w:themeFill="background1" w:themeFillShade="BF"/>
          </w:tcPr>
          <w:p w14:paraId="60EA55EA" w14:textId="77777777" w:rsidR="007B417F" w:rsidRPr="00CA7301" w:rsidRDefault="007B417F" w:rsidP="007B417F">
            <w:pPr>
              <w:snapToGrid w:val="0"/>
              <w:spacing w:before="40" w:after="40"/>
              <w:ind w:left="34" w:rightChars="71" w:right="142"/>
              <w:rPr>
                <w:rFonts w:cs="Segoe UI"/>
                <w:sz w:val="17"/>
                <w:szCs w:val="17"/>
                <w:lang w:eastAsia="zh-TW"/>
              </w:rPr>
            </w:pPr>
            <w:r w:rsidRPr="00CA7301">
              <w:rPr>
                <w:rFonts w:eastAsia="細明體" w:cs="Segoe UI"/>
                <w:b/>
                <w:sz w:val="17"/>
                <w:lang w:eastAsia="zh-TW"/>
              </w:rPr>
              <w:t>風險為本監管資本比率（以風險加權數額的百分率表示</w:t>
            </w:r>
            <w:r w:rsidRPr="00CA7301">
              <w:rPr>
                <w:rFonts w:eastAsia="細明體" w:cs="Segoe UI"/>
                <w:b/>
                <w:sz w:val="17"/>
                <w:szCs w:val="17"/>
                <w:lang w:eastAsia="zh-TW"/>
              </w:rPr>
              <w:t>）</w:t>
            </w:r>
          </w:p>
        </w:tc>
      </w:tr>
      <w:tr w:rsidR="007B417F" w:rsidRPr="00CA7301" w14:paraId="6FF37879" w14:textId="77777777" w:rsidTr="000C010D">
        <w:tc>
          <w:tcPr>
            <w:tcW w:w="851" w:type="dxa"/>
            <w:tcBorders>
              <w:left w:val="nil"/>
            </w:tcBorders>
          </w:tcPr>
          <w:p w14:paraId="1E175E19" w14:textId="77777777" w:rsidR="007B417F" w:rsidRPr="00CA7301" w:rsidRDefault="007B417F" w:rsidP="007B417F">
            <w:pPr>
              <w:snapToGrid w:val="0"/>
              <w:spacing w:before="40" w:after="40"/>
              <w:ind w:left="33"/>
              <w:rPr>
                <w:rFonts w:cs="Segoe UI"/>
                <w:sz w:val="17"/>
                <w:szCs w:val="17"/>
              </w:rPr>
            </w:pPr>
            <w:r w:rsidRPr="00CA7301">
              <w:rPr>
                <w:rFonts w:cs="Segoe UI"/>
                <w:sz w:val="17"/>
                <w:szCs w:val="17"/>
              </w:rPr>
              <w:t>5</w:t>
            </w:r>
            <w:r w:rsidR="00EF3219">
              <w:rPr>
                <w:rFonts w:asciiTheme="minorEastAsia" w:eastAsiaTheme="minorEastAsia" w:hAnsiTheme="minorEastAsia" w:cs="Segoe UI" w:hint="eastAsia"/>
                <w:sz w:val="17"/>
                <w:szCs w:val="17"/>
                <w:lang w:eastAsia="zh-HK"/>
              </w:rPr>
              <w:t>及</w:t>
            </w:r>
            <w:r w:rsidR="00EF3219">
              <w:rPr>
                <w:rFonts w:cs="Segoe UI"/>
                <w:sz w:val="17"/>
                <w:szCs w:val="17"/>
              </w:rPr>
              <w:t>5a</w:t>
            </w:r>
          </w:p>
        </w:tc>
        <w:tc>
          <w:tcPr>
            <w:tcW w:w="4394" w:type="dxa"/>
          </w:tcPr>
          <w:p w14:paraId="0181AD78" w14:textId="77777777" w:rsidR="007B417F" w:rsidRPr="00CA7301" w:rsidRDefault="007B417F" w:rsidP="007B417F">
            <w:pPr>
              <w:snapToGrid w:val="0"/>
              <w:spacing w:before="40" w:after="40"/>
              <w:ind w:left="34" w:rightChars="71" w:right="142"/>
              <w:rPr>
                <w:rFonts w:cs="Segoe UI"/>
                <w:sz w:val="17"/>
                <w:szCs w:val="17"/>
              </w:rPr>
            </w:pPr>
            <w:r w:rsidRPr="00CA7301">
              <w:rPr>
                <w:rFonts w:cs="Segoe UI"/>
                <w:sz w:val="17"/>
                <w:szCs w:val="17"/>
              </w:rPr>
              <w:t>CET1</w:t>
            </w:r>
            <w:r w:rsidRPr="00CA7301">
              <w:rPr>
                <w:rFonts w:eastAsia="細明體" w:cs="Segoe UI"/>
                <w:sz w:val="17"/>
                <w:szCs w:val="17"/>
                <w:lang w:eastAsia="zh-TW"/>
              </w:rPr>
              <w:t>比率</w:t>
            </w:r>
            <w:r w:rsidRPr="00CA7301">
              <w:rPr>
                <w:rFonts w:eastAsiaTheme="minorEastAsia" w:cs="Segoe UI"/>
                <w:sz w:val="17"/>
                <w:szCs w:val="17"/>
                <w:lang w:eastAsia="zh-TW"/>
              </w:rPr>
              <w:t xml:space="preserve"> </w:t>
            </w:r>
            <w:r w:rsidRPr="00CA7301">
              <w:rPr>
                <w:rFonts w:cs="Segoe UI"/>
                <w:sz w:val="17"/>
                <w:szCs w:val="17"/>
              </w:rPr>
              <w:t>(%)</w:t>
            </w:r>
          </w:p>
        </w:tc>
        <w:tc>
          <w:tcPr>
            <w:tcW w:w="822" w:type="dxa"/>
          </w:tcPr>
          <w:p w14:paraId="66E87389" w14:textId="77777777" w:rsidR="007B417F" w:rsidRPr="00CA7301" w:rsidRDefault="007B417F" w:rsidP="007B417F">
            <w:pPr>
              <w:snapToGrid w:val="0"/>
              <w:spacing w:before="40" w:after="40"/>
              <w:rPr>
                <w:rFonts w:cs="Segoe UI"/>
                <w:sz w:val="17"/>
                <w:lang w:eastAsia="it-IT"/>
              </w:rPr>
            </w:pPr>
          </w:p>
        </w:tc>
        <w:tc>
          <w:tcPr>
            <w:tcW w:w="822" w:type="dxa"/>
          </w:tcPr>
          <w:p w14:paraId="7EA54FA5" w14:textId="77777777" w:rsidR="007B417F" w:rsidRPr="00CA7301" w:rsidRDefault="007B417F" w:rsidP="007B417F">
            <w:pPr>
              <w:snapToGrid w:val="0"/>
              <w:spacing w:before="40" w:after="40"/>
              <w:rPr>
                <w:rFonts w:cs="Segoe UI"/>
                <w:sz w:val="17"/>
                <w:lang w:eastAsia="it-IT"/>
              </w:rPr>
            </w:pPr>
          </w:p>
        </w:tc>
        <w:tc>
          <w:tcPr>
            <w:tcW w:w="822" w:type="dxa"/>
          </w:tcPr>
          <w:p w14:paraId="26ED626E" w14:textId="77777777" w:rsidR="007B417F" w:rsidRPr="00CA7301" w:rsidRDefault="007B417F" w:rsidP="007B417F">
            <w:pPr>
              <w:snapToGrid w:val="0"/>
              <w:spacing w:before="40" w:after="40"/>
              <w:rPr>
                <w:rFonts w:cs="Segoe UI"/>
                <w:sz w:val="17"/>
                <w:lang w:eastAsia="it-IT"/>
              </w:rPr>
            </w:pPr>
          </w:p>
        </w:tc>
        <w:tc>
          <w:tcPr>
            <w:tcW w:w="822" w:type="dxa"/>
          </w:tcPr>
          <w:p w14:paraId="7BE5E89A" w14:textId="77777777" w:rsidR="007B417F" w:rsidRPr="00CA7301" w:rsidRDefault="007B417F" w:rsidP="007B417F">
            <w:pPr>
              <w:snapToGrid w:val="0"/>
              <w:spacing w:before="40" w:after="40"/>
              <w:rPr>
                <w:rFonts w:cs="Segoe UI"/>
                <w:sz w:val="17"/>
                <w:lang w:eastAsia="it-IT"/>
              </w:rPr>
            </w:pPr>
          </w:p>
        </w:tc>
        <w:tc>
          <w:tcPr>
            <w:tcW w:w="823" w:type="dxa"/>
            <w:tcBorders>
              <w:right w:val="single" w:sz="4" w:space="0" w:color="auto"/>
            </w:tcBorders>
          </w:tcPr>
          <w:p w14:paraId="3E19698F" w14:textId="77777777" w:rsidR="007B417F" w:rsidRPr="00CA7301" w:rsidRDefault="007B417F" w:rsidP="007B417F">
            <w:pPr>
              <w:snapToGrid w:val="0"/>
              <w:spacing w:before="40" w:after="40"/>
              <w:rPr>
                <w:rFonts w:cs="Segoe UI"/>
                <w:sz w:val="17"/>
                <w:lang w:eastAsia="it-IT"/>
              </w:rPr>
            </w:pPr>
          </w:p>
        </w:tc>
      </w:tr>
      <w:tr w:rsidR="00862626" w:rsidRPr="00CA7301" w14:paraId="50EC2862" w14:textId="77777777" w:rsidTr="000C010D">
        <w:tc>
          <w:tcPr>
            <w:tcW w:w="851" w:type="dxa"/>
            <w:tcBorders>
              <w:left w:val="nil"/>
            </w:tcBorders>
          </w:tcPr>
          <w:p w14:paraId="6A61BEE1" w14:textId="77777777" w:rsidR="00862626" w:rsidRPr="00CA7301" w:rsidRDefault="00862626" w:rsidP="00862626">
            <w:pPr>
              <w:snapToGrid w:val="0"/>
              <w:spacing w:before="40" w:after="40"/>
              <w:ind w:left="33"/>
              <w:rPr>
                <w:rFonts w:cs="Segoe UI"/>
                <w:sz w:val="17"/>
                <w:szCs w:val="17"/>
              </w:rPr>
            </w:pPr>
            <w:r>
              <w:rPr>
                <w:rFonts w:cs="Segoe UI"/>
                <w:sz w:val="17"/>
                <w:szCs w:val="17"/>
              </w:rPr>
              <w:t>5b</w:t>
            </w:r>
          </w:p>
        </w:tc>
        <w:tc>
          <w:tcPr>
            <w:tcW w:w="4394" w:type="dxa"/>
          </w:tcPr>
          <w:p w14:paraId="42E4A092" w14:textId="77777777" w:rsidR="00862626" w:rsidRPr="00CA7301" w:rsidRDefault="00862626" w:rsidP="00862626">
            <w:pPr>
              <w:snapToGrid w:val="0"/>
              <w:spacing w:before="40" w:after="40"/>
              <w:ind w:left="34" w:rightChars="71" w:right="142"/>
              <w:rPr>
                <w:rFonts w:cs="Segoe UI"/>
                <w:sz w:val="17"/>
                <w:szCs w:val="17"/>
              </w:rPr>
            </w:pPr>
            <w:r w:rsidRPr="00CA7301">
              <w:rPr>
                <w:rFonts w:cs="Segoe UI"/>
                <w:sz w:val="17"/>
                <w:szCs w:val="17"/>
              </w:rPr>
              <w:t>CET1</w:t>
            </w:r>
            <w:proofErr w:type="spellStart"/>
            <w:r w:rsidRPr="00CA7301">
              <w:rPr>
                <w:rFonts w:eastAsia="細明體" w:cs="Segoe UI"/>
                <w:sz w:val="17"/>
                <w:szCs w:val="17"/>
              </w:rPr>
              <w:t>比率</w:t>
            </w:r>
            <w:proofErr w:type="spellEnd"/>
            <w:r w:rsidRPr="00CA7301">
              <w:rPr>
                <w:rFonts w:cs="Segoe UI"/>
                <w:sz w:val="17"/>
                <w:szCs w:val="17"/>
              </w:rPr>
              <w:t xml:space="preserve"> (</w:t>
            </w:r>
            <w:proofErr w:type="gramStart"/>
            <w:r w:rsidRPr="00CA7301">
              <w:rPr>
                <w:rFonts w:cs="Segoe UI"/>
                <w:sz w:val="17"/>
                <w:szCs w:val="17"/>
              </w:rPr>
              <w:t>%)</w:t>
            </w:r>
            <w:r>
              <w:rPr>
                <w:rFonts w:eastAsia="細明體" w:cs="Segoe UI" w:hint="eastAsia"/>
                <w:sz w:val="17"/>
                <w:szCs w:val="17"/>
              </w:rPr>
              <w:t>（</w:t>
            </w:r>
            <w:proofErr w:type="gramEnd"/>
            <w:r>
              <w:rPr>
                <w:rFonts w:eastAsia="細明體" w:cs="Segoe UI" w:hint="eastAsia"/>
                <w:sz w:val="17"/>
                <w:szCs w:val="17"/>
                <w:lang w:eastAsia="zh-HK"/>
              </w:rPr>
              <w:t>下限前</w:t>
            </w:r>
            <w:proofErr w:type="spellStart"/>
            <w:r w:rsidRPr="00CA7301">
              <w:rPr>
                <w:rFonts w:eastAsia="細明體" w:cs="Segoe UI"/>
                <w:sz w:val="17"/>
                <w:szCs w:val="17"/>
              </w:rPr>
              <w:t>比率</w:t>
            </w:r>
            <w:proofErr w:type="spellEnd"/>
            <w:r>
              <w:rPr>
                <w:rFonts w:eastAsia="細明體" w:cs="Segoe UI" w:hint="eastAsia"/>
                <w:sz w:val="17"/>
                <w:szCs w:val="17"/>
              </w:rPr>
              <w:t>）</w:t>
            </w:r>
          </w:p>
        </w:tc>
        <w:tc>
          <w:tcPr>
            <w:tcW w:w="822" w:type="dxa"/>
          </w:tcPr>
          <w:p w14:paraId="57F0CAEB" w14:textId="77777777" w:rsidR="00862626" w:rsidRPr="00CA7301" w:rsidRDefault="00862626" w:rsidP="00862626">
            <w:pPr>
              <w:snapToGrid w:val="0"/>
              <w:spacing w:before="40" w:after="40"/>
              <w:rPr>
                <w:rFonts w:cs="Segoe UI"/>
                <w:sz w:val="17"/>
                <w:lang w:eastAsia="it-IT"/>
              </w:rPr>
            </w:pPr>
          </w:p>
        </w:tc>
        <w:tc>
          <w:tcPr>
            <w:tcW w:w="822" w:type="dxa"/>
          </w:tcPr>
          <w:p w14:paraId="4BA576F5" w14:textId="77777777" w:rsidR="00862626" w:rsidRPr="00CA7301" w:rsidRDefault="00862626" w:rsidP="00862626">
            <w:pPr>
              <w:snapToGrid w:val="0"/>
              <w:spacing w:before="40" w:after="40"/>
              <w:rPr>
                <w:rFonts w:cs="Segoe UI"/>
                <w:sz w:val="17"/>
                <w:lang w:eastAsia="it-IT"/>
              </w:rPr>
            </w:pPr>
          </w:p>
        </w:tc>
        <w:tc>
          <w:tcPr>
            <w:tcW w:w="822" w:type="dxa"/>
          </w:tcPr>
          <w:p w14:paraId="25D169D3" w14:textId="77777777" w:rsidR="00862626" w:rsidRPr="00CA7301" w:rsidRDefault="00862626" w:rsidP="00862626">
            <w:pPr>
              <w:snapToGrid w:val="0"/>
              <w:spacing w:before="40" w:after="40"/>
              <w:rPr>
                <w:rFonts w:cs="Segoe UI"/>
                <w:sz w:val="17"/>
                <w:lang w:eastAsia="it-IT"/>
              </w:rPr>
            </w:pPr>
          </w:p>
        </w:tc>
        <w:tc>
          <w:tcPr>
            <w:tcW w:w="822" w:type="dxa"/>
          </w:tcPr>
          <w:p w14:paraId="6DD58ECE"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34D455CB" w14:textId="77777777" w:rsidR="00862626" w:rsidRPr="00CA7301" w:rsidRDefault="00862626" w:rsidP="00862626">
            <w:pPr>
              <w:snapToGrid w:val="0"/>
              <w:spacing w:before="40" w:after="40"/>
              <w:rPr>
                <w:rFonts w:cs="Segoe UI"/>
                <w:sz w:val="17"/>
                <w:lang w:eastAsia="it-IT"/>
              </w:rPr>
            </w:pPr>
          </w:p>
        </w:tc>
      </w:tr>
      <w:tr w:rsidR="007B417F" w:rsidRPr="00CA7301" w14:paraId="71B0F01E" w14:textId="77777777" w:rsidTr="000C010D">
        <w:tc>
          <w:tcPr>
            <w:tcW w:w="851" w:type="dxa"/>
            <w:tcBorders>
              <w:left w:val="nil"/>
            </w:tcBorders>
          </w:tcPr>
          <w:p w14:paraId="0ED61710" w14:textId="77777777" w:rsidR="007B417F" w:rsidRPr="00CA7301" w:rsidRDefault="007B417F" w:rsidP="007B417F">
            <w:pPr>
              <w:snapToGrid w:val="0"/>
              <w:spacing w:before="40" w:after="40"/>
              <w:ind w:left="33"/>
              <w:rPr>
                <w:rFonts w:cs="Segoe UI"/>
                <w:sz w:val="17"/>
                <w:szCs w:val="17"/>
              </w:rPr>
            </w:pPr>
            <w:r w:rsidRPr="00CA7301">
              <w:rPr>
                <w:rFonts w:cs="Segoe UI"/>
                <w:sz w:val="17"/>
                <w:szCs w:val="17"/>
              </w:rPr>
              <w:t>6</w:t>
            </w:r>
            <w:r w:rsidR="00EF3219">
              <w:rPr>
                <w:rFonts w:asciiTheme="minorEastAsia" w:eastAsiaTheme="minorEastAsia" w:hAnsiTheme="minorEastAsia" w:cs="Segoe UI" w:hint="eastAsia"/>
                <w:sz w:val="17"/>
                <w:szCs w:val="17"/>
                <w:lang w:eastAsia="zh-HK"/>
              </w:rPr>
              <w:t>及</w:t>
            </w:r>
            <w:r w:rsidR="00EF3219">
              <w:rPr>
                <w:rFonts w:cs="Segoe UI"/>
                <w:sz w:val="17"/>
                <w:szCs w:val="17"/>
              </w:rPr>
              <w:t>6a</w:t>
            </w:r>
          </w:p>
        </w:tc>
        <w:tc>
          <w:tcPr>
            <w:tcW w:w="4394" w:type="dxa"/>
          </w:tcPr>
          <w:p w14:paraId="463F8406" w14:textId="77777777" w:rsidR="007B417F" w:rsidRPr="00CA7301" w:rsidRDefault="007B417F" w:rsidP="007B417F">
            <w:pPr>
              <w:snapToGrid w:val="0"/>
              <w:spacing w:before="40" w:after="40"/>
              <w:ind w:left="34" w:rightChars="71" w:right="142"/>
              <w:rPr>
                <w:rFonts w:cs="Segoe UI"/>
                <w:sz w:val="17"/>
                <w:szCs w:val="17"/>
              </w:rPr>
            </w:pPr>
            <w:r w:rsidRPr="00CA7301">
              <w:rPr>
                <w:rFonts w:eastAsia="細明體" w:cs="Segoe UI"/>
                <w:sz w:val="17"/>
                <w:szCs w:val="17"/>
                <w:lang w:eastAsia="zh-TW"/>
              </w:rPr>
              <w:t>一級比率</w:t>
            </w:r>
            <w:r w:rsidRPr="00CA7301">
              <w:rPr>
                <w:rFonts w:eastAsiaTheme="minorEastAsia" w:cs="Segoe UI"/>
                <w:sz w:val="17"/>
                <w:szCs w:val="17"/>
                <w:lang w:eastAsia="zh-TW"/>
              </w:rPr>
              <w:t xml:space="preserve"> </w:t>
            </w:r>
            <w:r w:rsidRPr="00CA7301">
              <w:rPr>
                <w:rFonts w:cs="Segoe UI"/>
                <w:sz w:val="17"/>
                <w:szCs w:val="17"/>
              </w:rPr>
              <w:t>(%)</w:t>
            </w:r>
          </w:p>
        </w:tc>
        <w:tc>
          <w:tcPr>
            <w:tcW w:w="822" w:type="dxa"/>
          </w:tcPr>
          <w:p w14:paraId="0DB8B166" w14:textId="77777777" w:rsidR="007B417F" w:rsidRPr="00CA7301" w:rsidRDefault="007B417F" w:rsidP="007B417F">
            <w:pPr>
              <w:snapToGrid w:val="0"/>
              <w:spacing w:before="40" w:after="40"/>
              <w:rPr>
                <w:rFonts w:cs="Segoe UI"/>
                <w:sz w:val="17"/>
                <w:lang w:eastAsia="it-IT"/>
              </w:rPr>
            </w:pPr>
          </w:p>
        </w:tc>
        <w:tc>
          <w:tcPr>
            <w:tcW w:w="822" w:type="dxa"/>
          </w:tcPr>
          <w:p w14:paraId="017A5A05" w14:textId="77777777" w:rsidR="007B417F" w:rsidRPr="00CA7301" w:rsidRDefault="007B417F" w:rsidP="007B417F">
            <w:pPr>
              <w:snapToGrid w:val="0"/>
              <w:spacing w:before="40" w:after="40"/>
              <w:rPr>
                <w:rFonts w:cs="Segoe UI"/>
                <w:sz w:val="17"/>
                <w:lang w:eastAsia="it-IT"/>
              </w:rPr>
            </w:pPr>
          </w:p>
        </w:tc>
        <w:tc>
          <w:tcPr>
            <w:tcW w:w="822" w:type="dxa"/>
          </w:tcPr>
          <w:p w14:paraId="4DDC1BA0" w14:textId="77777777" w:rsidR="007B417F" w:rsidRPr="00CA7301" w:rsidRDefault="007B417F" w:rsidP="007B417F">
            <w:pPr>
              <w:snapToGrid w:val="0"/>
              <w:spacing w:before="40" w:after="40"/>
              <w:rPr>
                <w:rFonts w:cs="Segoe UI"/>
                <w:sz w:val="17"/>
                <w:lang w:eastAsia="it-IT"/>
              </w:rPr>
            </w:pPr>
          </w:p>
        </w:tc>
        <w:tc>
          <w:tcPr>
            <w:tcW w:w="822" w:type="dxa"/>
          </w:tcPr>
          <w:p w14:paraId="101CB09B" w14:textId="77777777" w:rsidR="007B417F" w:rsidRPr="00CA7301" w:rsidRDefault="007B417F" w:rsidP="007B417F">
            <w:pPr>
              <w:snapToGrid w:val="0"/>
              <w:spacing w:before="40" w:after="40"/>
              <w:rPr>
                <w:rFonts w:cs="Segoe UI"/>
                <w:sz w:val="17"/>
                <w:lang w:eastAsia="it-IT"/>
              </w:rPr>
            </w:pPr>
          </w:p>
        </w:tc>
        <w:tc>
          <w:tcPr>
            <w:tcW w:w="823" w:type="dxa"/>
            <w:tcBorders>
              <w:right w:val="single" w:sz="4" w:space="0" w:color="auto"/>
            </w:tcBorders>
          </w:tcPr>
          <w:p w14:paraId="37AFE354" w14:textId="77777777" w:rsidR="007B417F" w:rsidRPr="00CA7301" w:rsidRDefault="007B417F" w:rsidP="007B417F">
            <w:pPr>
              <w:snapToGrid w:val="0"/>
              <w:spacing w:before="40" w:after="40"/>
              <w:rPr>
                <w:rFonts w:cs="Segoe UI"/>
                <w:sz w:val="17"/>
                <w:lang w:eastAsia="it-IT"/>
              </w:rPr>
            </w:pPr>
          </w:p>
        </w:tc>
      </w:tr>
      <w:tr w:rsidR="00862626" w:rsidRPr="00CA7301" w14:paraId="4FF261C3" w14:textId="77777777" w:rsidTr="000C010D">
        <w:tc>
          <w:tcPr>
            <w:tcW w:w="851" w:type="dxa"/>
            <w:tcBorders>
              <w:left w:val="nil"/>
            </w:tcBorders>
          </w:tcPr>
          <w:p w14:paraId="2BF8B09A" w14:textId="77777777" w:rsidR="00862626" w:rsidRPr="00CA7301" w:rsidRDefault="00862626" w:rsidP="00862626">
            <w:pPr>
              <w:snapToGrid w:val="0"/>
              <w:spacing w:before="40" w:after="40"/>
              <w:ind w:left="33"/>
              <w:rPr>
                <w:rFonts w:cs="Segoe UI"/>
                <w:sz w:val="17"/>
                <w:szCs w:val="17"/>
              </w:rPr>
            </w:pPr>
            <w:r>
              <w:rPr>
                <w:rFonts w:cs="Segoe UI"/>
                <w:sz w:val="17"/>
                <w:szCs w:val="17"/>
              </w:rPr>
              <w:t>6b</w:t>
            </w:r>
          </w:p>
        </w:tc>
        <w:tc>
          <w:tcPr>
            <w:tcW w:w="4394" w:type="dxa"/>
          </w:tcPr>
          <w:p w14:paraId="7E9BC79A" w14:textId="77777777" w:rsidR="00862626" w:rsidRPr="00CA7301" w:rsidRDefault="00862626" w:rsidP="00862626">
            <w:pPr>
              <w:snapToGrid w:val="0"/>
              <w:spacing w:before="40" w:after="40"/>
              <w:ind w:left="34" w:rightChars="71" w:right="142"/>
              <w:rPr>
                <w:rFonts w:eastAsia="細明體" w:cs="Segoe UI"/>
                <w:sz w:val="17"/>
                <w:szCs w:val="17"/>
                <w:lang w:eastAsia="zh-TW"/>
              </w:rPr>
            </w:pPr>
            <w:r w:rsidRPr="00CA7301">
              <w:rPr>
                <w:rFonts w:eastAsia="細明體" w:cs="Segoe UI"/>
                <w:sz w:val="17"/>
                <w:szCs w:val="17"/>
                <w:lang w:eastAsia="zh-TW"/>
              </w:rPr>
              <w:t>一級比率</w:t>
            </w:r>
            <w:r w:rsidRPr="00CA7301">
              <w:rPr>
                <w:rFonts w:cs="Segoe UI"/>
                <w:sz w:val="17"/>
                <w:szCs w:val="17"/>
                <w:lang w:eastAsia="zh-TW"/>
              </w:rPr>
              <w:t xml:space="preserve"> (%)</w:t>
            </w:r>
            <w:r>
              <w:rPr>
                <w:rFonts w:eastAsia="細明體" w:cs="Segoe UI" w:hint="eastAsia"/>
                <w:sz w:val="17"/>
                <w:szCs w:val="17"/>
                <w:lang w:eastAsia="zh-TW"/>
              </w:rPr>
              <w:t>（</w:t>
            </w:r>
            <w:r>
              <w:rPr>
                <w:rFonts w:eastAsia="細明體" w:cs="Segoe UI" w:hint="eastAsia"/>
                <w:sz w:val="17"/>
                <w:szCs w:val="17"/>
                <w:lang w:eastAsia="zh-HK"/>
              </w:rPr>
              <w:t>下限前</w:t>
            </w:r>
            <w:r w:rsidRPr="00CA7301">
              <w:rPr>
                <w:rFonts w:eastAsia="細明體" w:cs="Segoe UI"/>
                <w:sz w:val="17"/>
                <w:szCs w:val="17"/>
                <w:lang w:eastAsia="zh-TW"/>
              </w:rPr>
              <w:t>比率</w:t>
            </w:r>
            <w:r>
              <w:rPr>
                <w:rFonts w:eastAsia="細明體" w:cs="Segoe UI" w:hint="eastAsia"/>
                <w:sz w:val="17"/>
                <w:szCs w:val="17"/>
                <w:lang w:eastAsia="zh-TW"/>
              </w:rPr>
              <w:t>）</w:t>
            </w:r>
          </w:p>
        </w:tc>
        <w:tc>
          <w:tcPr>
            <w:tcW w:w="822" w:type="dxa"/>
          </w:tcPr>
          <w:p w14:paraId="39455FF9" w14:textId="77777777" w:rsidR="00862626" w:rsidRPr="00CA7301" w:rsidRDefault="00862626" w:rsidP="00862626">
            <w:pPr>
              <w:snapToGrid w:val="0"/>
              <w:spacing w:before="40" w:after="40"/>
              <w:rPr>
                <w:rFonts w:cs="Segoe UI"/>
                <w:sz w:val="17"/>
                <w:lang w:eastAsia="it-IT"/>
              </w:rPr>
            </w:pPr>
          </w:p>
        </w:tc>
        <w:tc>
          <w:tcPr>
            <w:tcW w:w="822" w:type="dxa"/>
          </w:tcPr>
          <w:p w14:paraId="357FA534" w14:textId="77777777" w:rsidR="00862626" w:rsidRPr="00CA7301" w:rsidRDefault="00862626" w:rsidP="00862626">
            <w:pPr>
              <w:snapToGrid w:val="0"/>
              <w:spacing w:before="40" w:after="40"/>
              <w:rPr>
                <w:rFonts w:cs="Segoe UI"/>
                <w:sz w:val="17"/>
                <w:lang w:eastAsia="it-IT"/>
              </w:rPr>
            </w:pPr>
          </w:p>
        </w:tc>
        <w:tc>
          <w:tcPr>
            <w:tcW w:w="822" w:type="dxa"/>
          </w:tcPr>
          <w:p w14:paraId="7CF19C3F" w14:textId="77777777" w:rsidR="00862626" w:rsidRPr="00CA7301" w:rsidRDefault="00862626" w:rsidP="00862626">
            <w:pPr>
              <w:snapToGrid w:val="0"/>
              <w:spacing w:before="40" w:after="40"/>
              <w:rPr>
                <w:rFonts w:cs="Segoe UI"/>
                <w:sz w:val="17"/>
                <w:lang w:eastAsia="it-IT"/>
              </w:rPr>
            </w:pPr>
          </w:p>
        </w:tc>
        <w:tc>
          <w:tcPr>
            <w:tcW w:w="822" w:type="dxa"/>
          </w:tcPr>
          <w:p w14:paraId="5C040D5A"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22812843" w14:textId="77777777" w:rsidR="00862626" w:rsidRPr="00CA7301" w:rsidRDefault="00862626" w:rsidP="00862626">
            <w:pPr>
              <w:snapToGrid w:val="0"/>
              <w:spacing w:before="40" w:after="40"/>
              <w:rPr>
                <w:rFonts w:cs="Segoe UI"/>
                <w:sz w:val="17"/>
                <w:lang w:eastAsia="it-IT"/>
              </w:rPr>
            </w:pPr>
          </w:p>
        </w:tc>
      </w:tr>
      <w:tr w:rsidR="00862626" w:rsidRPr="00CA7301" w14:paraId="3454D788" w14:textId="77777777" w:rsidTr="000C010D">
        <w:tc>
          <w:tcPr>
            <w:tcW w:w="851" w:type="dxa"/>
            <w:tcBorders>
              <w:left w:val="nil"/>
            </w:tcBorders>
          </w:tcPr>
          <w:p w14:paraId="209D645C"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7</w:t>
            </w:r>
            <w:r>
              <w:rPr>
                <w:rFonts w:asciiTheme="minorEastAsia" w:eastAsiaTheme="minorEastAsia" w:hAnsiTheme="minorEastAsia" w:cs="Segoe UI" w:hint="eastAsia"/>
                <w:sz w:val="17"/>
                <w:szCs w:val="17"/>
                <w:lang w:eastAsia="zh-HK"/>
              </w:rPr>
              <w:t>及</w:t>
            </w:r>
            <w:r>
              <w:rPr>
                <w:rFonts w:cs="Segoe UI"/>
                <w:sz w:val="17"/>
                <w:szCs w:val="17"/>
              </w:rPr>
              <w:t>7a</w:t>
            </w:r>
          </w:p>
        </w:tc>
        <w:tc>
          <w:tcPr>
            <w:tcW w:w="4394" w:type="dxa"/>
          </w:tcPr>
          <w:p w14:paraId="511FF430" w14:textId="77777777" w:rsidR="00862626" w:rsidRPr="00CA7301" w:rsidRDefault="00862626" w:rsidP="00862626">
            <w:pPr>
              <w:snapToGrid w:val="0"/>
              <w:spacing w:before="40" w:after="40"/>
              <w:ind w:left="34" w:rightChars="71" w:right="142"/>
              <w:rPr>
                <w:rFonts w:cs="Segoe UI"/>
                <w:sz w:val="17"/>
                <w:szCs w:val="17"/>
              </w:rPr>
            </w:pPr>
            <w:r w:rsidRPr="00CA7301">
              <w:rPr>
                <w:rFonts w:eastAsia="細明體" w:cs="Segoe UI"/>
                <w:sz w:val="17"/>
                <w:szCs w:val="17"/>
                <w:lang w:eastAsia="zh-TW"/>
              </w:rPr>
              <w:t>總資本比率</w:t>
            </w:r>
            <w:r w:rsidRPr="00CA7301">
              <w:rPr>
                <w:rFonts w:eastAsiaTheme="minorEastAsia" w:cs="Segoe UI"/>
                <w:sz w:val="17"/>
                <w:szCs w:val="17"/>
                <w:lang w:eastAsia="zh-TW"/>
              </w:rPr>
              <w:t xml:space="preserve"> </w:t>
            </w:r>
            <w:r w:rsidRPr="00CA7301">
              <w:rPr>
                <w:rFonts w:cs="Segoe UI"/>
                <w:sz w:val="17"/>
                <w:szCs w:val="17"/>
              </w:rPr>
              <w:t>(%)</w:t>
            </w:r>
          </w:p>
        </w:tc>
        <w:tc>
          <w:tcPr>
            <w:tcW w:w="822" w:type="dxa"/>
          </w:tcPr>
          <w:p w14:paraId="51E7BC50" w14:textId="77777777" w:rsidR="00862626" w:rsidRPr="00CA7301" w:rsidRDefault="00862626" w:rsidP="00862626">
            <w:pPr>
              <w:snapToGrid w:val="0"/>
              <w:spacing w:before="40" w:after="40"/>
              <w:rPr>
                <w:rFonts w:cs="Segoe UI"/>
                <w:sz w:val="17"/>
                <w:lang w:eastAsia="it-IT"/>
              </w:rPr>
            </w:pPr>
          </w:p>
        </w:tc>
        <w:tc>
          <w:tcPr>
            <w:tcW w:w="822" w:type="dxa"/>
          </w:tcPr>
          <w:p w14:paraId="423031F6" w14:textId="77777777" w:rsidR="00862626" w:rsidRPr="00CA7301" w:rsidRDefault="00862626" w:rsidP="00862626">
            <w:pPr>
              <w:snapToGrid w:val="0"/>
              <w:spacing w:before="40" w:after="40"/>
              <w:rPr>
                <w:rFonts w:cs="Segoe UI"/>
                <w:sz w:val="17"/>
                <w:lang w:eastAsia="it-IT"/>
              </w:rPr>
            </w:pPr>
          </w:p>
        </w:tc>
        <w:tc>
          <w:tcPr>
            <w:tcW w:w="822" w:type="dxa"/>
          </w:tcPr>
          <w:p w14:paraId="4DF98F98" w14:textId="77777777" w:rsidR="00862626" w:rsidRPr="00CA7301" w:rsidRDefault="00862626" w:rsidP="00862626">
            <w:pPr>
              <w:snapToGrid w:val="0"/>
              <w:spacing w:before="40" w:after="40"/>
              <w:rPr>
                <w:rFonts w:cs="Segoe UI"/>
                <w:sz w:val="17"/>
                <w:lang w:eastAsia="it-IT"/>
              </w:rPr>
            </w:pPr>
          </w:p>
        </w:tc>
        <w:tc>
          <w:tcPr>
            <w:tcW w:w="822" w:type="dxa"/>
          </w:tcPr>
          <w:p w14:paraId="7A06A344"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6BB25ADE" w14:textId="77777777" w:rsidR="00862626" w:rsidRPr="00CA7301" w:rsidRDefault="00862626" w:rsidP="00862626">
            <w:pPr>
              <w:snapToGrid w:val="0"/>
              <w:spacing w:before="40" w:after="40"/>
              <w:rPr>
                <w:rFonts w:cs="Segoe UI"/>
                <w:sz w:val="17"/>
                <w:lang w:eastAsia="it-IT"/>
              </w:rPr>
            </w:pPr>
          </w:p>
        </w:tc>
      </w:tr>
      <w:tr w:rsidR="00862626" w:rsidRPr="00CA7301" w14:paraId="37CB7341" w14:textId="77777777" w:rsidTr="000C010D">
        <w:tc>
          <w:tcPr>
            <w:tcW w:w="851" w:type="dxa"/>
            <w:tcBorders>
              <w:left w:val="nil"/>
            </w:tcBorders>
          </w:tcPr>
          <w:p w14:paraId="35DD5100" w14:textId="77777777" w:rsidR="00862626" w:rsidRPr="00CA7301" w:rsidRDefault="00862626" w:rsidP="00862626">
            <w:pPr>
              <w:snapToGrid w:val="0"/>
              <w:spacing w:before="40" w:after="40"/>
              <w:ind w:left="33"/>
              <w:rPr>
                <w:rFonts w:cs="Segoe UI"/>
                <w:sz w:val="17"/>
                <w:szCs w:val="17"/>
              </w:rPr>
            </w:pPr>
            <w:r>
              <w:rPr>
                <w:rFonts w:cs="Segoe UI"/>
                <w:sz w:val="17"/>
                <w:szCs w:val="17"/>
              </w:rPr>
              <w:t>7b</w:t>
            </w:r>
          </w:p>
        </w:tc>
        <w:tc>
          <w:tcPr>
            <w:tcW w:w="4394" w:type="dxa"/>
          </w:tcPr>
          <w:p w14:paraId="0679499D" w14:textId="77777777" w:rsidR="00862626" w:rsidRPr="00CA7301" w:rsidRDefault="00862626" w:rsidP="00862626">
            <w:pPr>
              <w:snapToGrid w:val="0"/>
              <w:spacing w:before="40" w:after="40"/>
              <w:ind w:left="34" w:rightChars="71" w:right="142"/>
              <w:rPr>
                <w:rFonts w:eastAsia="細明體" w:cs="Segoe UI"/>
                <w:sz w:val="17"/>
                <w:szCs w:val="17"/>
                <w:lang w:eastAsia="zh-TW"/>
              </w:rPr>
            </w:pPr>
            <w:r w:rsidRPr="00CA7301">
              <w:rPr>
                <w:rFonts w:eastAsia="細明體" w:cs="Segoe UI"/>
                <w:sz w:val="17"/>
                <w:szCs w:val="17"/>
                <w:lang w:eastAsia="zh-TW"/>
              </w:rPr>
              <w:t>總資本比率</w:t>
            </w:r>
            <w:r w:rsidRPr="00CA7301">
              <w:rPr>
                <w:rFonts w:cs="Segoe UI"/>
                <w:sz w:val="17"/>
                <w:szCs w:val="17"/>
                <w:lang w:eastAsia="zh-TW"/>
              </w:rPr>
              <w:t xml:space="preserve"> (%)</w:t>
            </w:r>
            <w:r>
              <w:rPr>
                <w:rFonts w:eastAsia="細明體" w:cs="Segoe UI" w:hint="eastAsia"/>
                <w:sz w:val="17"/>
                <w:szCs w:val="17"/>
                <w:lang w:eastAsia="zh-TW"/>
              </w:rPr>
              <w:t>（</w:t>
            </w:r>
            <w:r>
              <w:rPr>
                <w:rFonts w:eastAsia="細明體" w:cs="Segoe UI" w:hint="eastAsia"/>
                <w:sz w:val="17"/>
                <w:szCs w:val="17"/>
                <w:lang w:eastAsia="zh-HK"/>
              </w:rPr>
              <w:t>下限前</w:t>
            </w:r>
            <w:r w:rsidRPr="00CA7301">
              <w:rPr>
                <w:rFonts w:eastAsia="細明體" w:cs="Segoe UI"/>
                <w:sz w:val="17"/>
                <w:szCs w:val="17"/>
                <w:lang w:eastAsia="zh-TW"/>
              </w:rPr>
              <w:t>比率</w:t>
            </w:r>
            <w:r>
              <w:rPr>
                <w:rFonts w:eastAsia="細明體" w:cs="Segoe UI" w:hint="eastAsia"/>
                <w:sz w:val="17"/>
                <w:szCs w:val="17"/>
                <w:lang w:eastAsia="zh-TW"/>
              </w:rPr>
              <w:t>）</w:t>
            </w:r>
          </w:p>
        </w:tc>
        <w:tc>
          <w:tcPr>
            <w:tcW w:w="822" w:type="dxa"/>
          </w:tcPr>
          <w:p w14:paraId="7609D2FD" w14:textId="77777777" w:rsidR="00862626" w:rsidRPr="00CA7301" w:rsidRDefault="00862626" w:rsidP="00862626">
            <w:pPr>
              <w:snapToGrid w:val="0"/>
              <w:spacing w:before="40" w:after="40"/>
              <w:rPr>
                <w:rFonts w:cs="Segoe UI"/>
                <w:sz w:val="17"/>
                <w:lang w:eastAsia="it-IT"/>
              </w:rPr>
            </w:pPr>
          </w:p>
        </w:tc>
        <w:tc>
          <w:tcPr>
            <w:tcW w:w="822" w:type="dxa"/>
          </w:tcPr>
          <w:p w14:paraId="71F034A2" w14:textId="77777777" w:rsidR="00862626" w:rsidRPr="00CA7301" w:rsidRDefault="00862626" w:rsidP="00862626">
            <w:pPr>
              <w:snapToGrid w:val="0"/>
              <w:spacing w:before="40" w:after="40"/>
              <w:rPr>
                <w:rFonts w:cs="Segoe UI"/>
                <w:sz w:val="17"/>
                <w:lang w:eastAsia="it-IT"/>
              </w:rPr>
            </w:pPr>
          </w:p>
        </w:tc>
        <w:tc>
          <w:tcPr>
            <w:tcW w:w="822" w:type="dxa"/>
          </w:tcPr>
          <w:p w14:paraId="27202D74" w14:textId="77777777" w:rsidR="00862626" w:rsidRPr="00CA7301" w:rsidRDefault="00862626" w:rsidP="00862626">
            <w:pPr>
              <w:snapToGrid w:val="0"/>
              <w:spacing w:before="40" w:after="40"/>
              <w:rPr>
                <w:rFonts w:cs="Segoe UI"/>
                <w:sz w:val="17"/>
                <w:lang w:eastAsia="it-IT"/>
              </w:rPr>
            </w:pPr>
          </w:p>
        </w:tc>
        <w:tc>
          <w:tcPr>
            <w:tcW w:w="822" w:type="dxa"/>
          </w:tcPr>
          <w:p w14:paraId="187C85B2"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7C21CD3C" w14:textId="77777777" w:rsidR="00862626" w:rsidRPr="00CA7301" w:rsidRDefault="00862626" w:rsidP="00862626">
            <w:pPr>
              <w:snapToGrid w:val="0"/>
              <w:spacing w:before="40" w:after="40"/>
              <w:rPr>
                <w:rFonts w:cs="Segoe UI"/>
                <w:sz w:val="17"/>
                <w:lang w:eastAsia="it-IT"/>
              </w:rPr>
            </w:pPr>
          </w:p>
        </w:tc>
      </w:tr>
      <w:tr w:rsidR="00862626" w:rsidRPr="00CA7301" w14:paraId="407D4E5A" w14:textId="77777777" w:rsidTr="000C010D">
        <w:tc>
          <w:tcPr>
            <w:tcW w:w="851" w:type="dxa"/>
            <w:tcBorders>
              <w:left w:val="nil"/>
            </w:tcBorders>
            <w:shd w:val="clear" w:color="auto" w:fill="BFBFBF" w:themeFill="background1" w:themeFillShade="BF"/>
          </w:tcPr>
          <w:p w14:paraId="13115337" w14:textId="77777777" w:rsidR="00862626" w:rsidRPr="00CA7301" w:rsidRDefault="00862626" w:rsidP="00862626">
            <w:pPr>
              <w:snapToGrid w:val="0"/>
              <w:spacing w:before="40" w:after="40"/>
              <w:ind w:left="57" w:rightChars="71" w:right="142"/>
              <w:rPr>
                <w:rFonts w:cs="Segoe UI"/>
                <w:sz w:val="17"/>
                <w:szCs w:val="17"/>
                <w:lang w:eastAsia="zh-TW"/>
              </w:rPr>
            </w:pPr>
          </w:p>
        </w:tc>
        <w:tc>
          <w:tcPr>
            <w:tcW w:w="8510" w:type="dxa"/>
            <w:gridSpan w:val="6"/>
            <w:tcBorders>
              <w:right w:val="single" w:sz="4" w:space="0" w:color="auto"/>
            </w:tcBorders>
            <w:shd w:val="clear" w:color="auto" w:fill="BFBFBF" w:themeFill="background1" w:themeFillShade="BF"/>
          </w:tcPr>
          <w:p w14:paraId="1AB22D37" w14:textId="77777777" w:rsidR="00862626" w:rsidRPr="00CA7301" w:rsidRDefault="00862626" w:rsidP="00862626">
            <w:pPr>
              <w:snapToGrid w:val="0"/>
              <w:spacing w:before="40" w:after="40"/>
              <w:ind w:left="34" w:rightChars="71" w:right="142"/>
              <w:rPr>
                <w:rFonts w:cs="Segoe UI"/>
                <w:sz w:val="17"/>
                <w:szCs w:val="17"/>
                <w:lang w:eastAsia="zh-TW"/>
              </w:rPr>
            </w:pPr>
            <w:r w:rsidRPr="00CA7301">
              <w:rPr>
                <w:rFonts w:eastAsiaTheme="minorEastAsia" w:cs="Segoe UI"/>
                <w:b/>
                <w:sz w:val="17"/>
                <w:szCs w:val="17"/>
                <w:lang w:eastAsia="zh-TW"/>
              </w:rPr>
              <w:t>額外</w:t>
            </w:r>
            <w:r w:rsidRPr="00CA7301">
              <w:rPr>
                <w:rFonts w:cs="Segoe UI"/>
                <w:b/>
                <w:sz w:val="17"/>
                <w:szCs w:val="17"/>
                <w:lang w:eastAsia="zh-TW"/>
              </w:rPr>
              <w:t>CET1</w:t>
            </w:r>
            <w:r w:rsidRPr="00CA7301">
              <w:rPr>
                <w:rFonts w:eastAsia="細明體" w:cs="Segoe UI"/>
                <w:b/>
                <w:sz w:val="17"/>
                <w:lang w:eastAsia="zh-TW"/>
              </w:rPr>
              <w:t>緩衝要求（以風險加權數額的百分率表示</w:t>
            </w:r>
            <w:r w:rsidRPr="00CA7301">
              <w:rPr>
                <w:rFonts w:eastAsia="細明體" w:cs="Segoe UI"/>
                <w:b/>
                <w:sz w:val="17"/>
                <w:szCs w:val="17"/>
                <w:lang w:eastAsia="zh-TW"/>
              </w:rPr>
              <w:t>）</w:t>
            </w:r>
          </w:p>
        </w:tc>
      </w:tr>
      <w:tr w:rsidR="00862626" w:rsidRPr="00CA7301" w14:paraId="536D7BB6" w14:textId="77777777" w:rsidTr="000C010D">
        <w:tc>
          <w:tcPr>
            <w:tcW w:w="851" w:type="dxa"/>
            <w:tcBorders>
              <w:left w:val="nil"/>
            </w:tcBorders>
          </w:tcPr>
          <w:p w14:paraId="2233B574"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8</w:t>
            </w:r>
          </w:p>
        </w:tc>
        <w:tc>
          <w:tcPr>
            <w:tcW w:w="4394" w:type="dxa"/>
          </w:tcPr>
          <w:p w14:paraId="34C4E60D" w14:textId="77777777" w:rsidR="00862626" w:rsidRPr="00CA7301" w:rsidRDefault="00862626" w:rsidP="00862626">
            <w:pPr>
              <w:snapToGrid w:val="0"/>
              <w:spacing w:before="40" w:after="40"/>
              <w:ind w:left="34" w:rightChars="71" w:right="142"/>
              <w:rPr>
                <w:rFonts w:cs="Segoe UI"/>
                <w:sz w:val="17"/>
                <w:szCs w:val="17"/>
              </w:rPr>
            </w:pPr>
            <w:proofErr w:type="spellStart"/>
            <w:r w:rsidRPr="00CA7301">
              <w:rPr>
                <w:rFonts w:eastAsia="細明體" w:cs="Segoe UI"/>
                <w:sz w:val="17"/>
                <w:szCs w:val="17"/>
              </w:rPr>
              <w:t>防護緩衝資本要求</w:t>
            </w:r>
            <w:proofErr w:type="spellEnd"/>
            <w:r w:rsidRPr="00CA7301">
              <w:rPr>
                <w:rFonts w:cs="Segoe UI"/>
                <w:sz w:val="17"/>
                <w:szCs w:val="17"/>
              </w:rPr>
              <w:t xml:space="preserve"> (%)</w:t>
            </w:r>
          </w:p>
        </w:tc>
        <w:tc>
          <w:tcPr>
            <w:tcW w:w="822" w:type="dxa"/>
          </w:tcPr>
          <w:p w14:paraId="00BA626F" w14:textId="77777777" w:rsidR="00862626" w:rsidRPr="00CA7301" w:rsidRDefault="00862626" w:rsidP="00862626">
            <w:pPr>
              <w:snapToGrid w:val="0"/>
              <w:spacing w:before="40" w:after="40"/>
              <w:rPr>
                <w:rFonts w:cs="Segoe UI"/>
                <w:sz w:val="17"/>
                <w:lang w:eastAsia="it-IT"/>
              </w:rPr>
            </w:pPr>
          </w:p>
        </w:tc>
        <w:tc>
          <w:tcPr>
            <w:tcW w:w="822" w:type="dxa"/>
          </w:tcPr>
          <w:p w14:paraId="095EEA69" w14:textId="77777777" w:rsidR="00862626" w:rsidRPr="00CA7301" w:rsidRDefault="00862626" w:rsidP="00862626">
            <w:pPr>
              <w:snapToGrid w:val="0"/>
              <w:spacing w:before="40" w:after="40"/>
              <w:rPr>
                <w:rFonts w:cs="Segoe UI"/>
                <w:sz w:val="17"/>
                <w:lang w:eastAsia="it-IT"/>
              </w:rPr>
            </w:pPr>
          </w:p>
        </w:tc>
        <w:tc>
          <w:tcPr>
            <w:tcW w:w="822" w:type="dxa"/>
          </w:tcPr>
          <w:p w14:paraId="19536676" w14:textId="77777777" w:rsidR="00862626" w:rsidRPr="00CA7301" w:rsidRDefault="00862626" w:rsidP="00862626">
            <w:pPr>
              <w:snapToGrid w:val="0"/>
              <w:spacing w:before="40" w:after="40"/>
              <w:rPr>
                <w:rFonts w:cs="Segoe UI"/>
                <w:sz w:val="17"/>
                <w:lang w:eastAsia="it-IT"/>
              </w:rPr>
            </w:pPr>
          </w:p>
        </w:tc>
        <w:tc>
          <w:tcPr>
            <w:tcW w:w="822" w:type="dxa"/>
          </w:tcPr>
          <w:p w14:paraId="2F8E7135"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0699C028" w14:textId="77777777" w:rsidR="00862626" w:rsidRPr="00CA7301" w:rsidRDefault="00862626" w:rsidP="00862626">
            <w:pPr>
              <w:snapToGrid w:val="0"/>
              <w:spacing w:before="40" w:after="40"/>
              <w:rPr>
                <w:rFonts w:cs="Segoe UI"/>
                <w:sz w:val="17"/>
                <w:lang w:eastAsia="it-IT"/>
              </w:rPr>
            </w:pPr>
          </w:p>
        </w:tc>
      </w:tr>
      <w:tr w:rsidR="00862626" w:rsidRPr="00CA7301" w14:paraId="3437066D" w14:textId="77777777" w:rsidTr="000C010D">
        <w:tc>
          <w:tcPr>
            <w:tcW w:w="851" w:type="dxa"/>
            <w:tcBorders>
              <w:left w:val="nil"/>
            </w:tcBorders>
          </w:tcPr>
          <w:p w14:paraId="2A2FC7A7"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9</w:t>
            </w:r>
          </w:p>
        </w:tc>
        <w:tc>
          <w:tcPr>
            <w:tcW w:w="4394" w:type="dxa"/>
          </w:tcPr>
          <w:p w14:paraId="060B1B40" w14:textId="77777777" w:rsidR="00862626" w:rsidRPr="00CA7301" w:rsidRDefault="00862626" w:rsidP="00862626">
            <w:pPr>
              <w:snapToGrid w:val="0"/>
              <w:spacing w:before="40" w:after="40"/>
              <w:ind w:left="34" w:rightChars="71" w:right="142"/>
              <w:rPr>
                <w:rFonts w:cs="Segoe UI"/>
                <w:sz w:val="17"/>
                <w:szCs w:val="17"/>
              </w:rPr>
            </w:pPr>
            <w:proofErr w:type="spellStart"/>
            <w:r w:rsidRPr="00CA7301">
              <w:rPr>
                <w:rFonts w:eastAsia="細明體" w:cs="Segoe UI"/>
                <w:sz w:val="17"/>
                <w:szCs w:val="17"/>
              </w:rPr>
              <w:t>逆周期緩衝資本要求</w:t>
            </w:r>
            <w:proofErr w:type="spellEnd"/>
            <w:r w:rsidRPr="00CA7301">
              <w:rPr>
                <w:rFonts w:eastAsia="細明體" w:cs="Segoe UI"/>
                <w:sz w:val="17"/>
                <w:szCs w:val="17"/>
              </w:rPr>
              <w:t xml:space="preserve"> </w:t>
            </w:r>
            <w:r w:rsidRPr="00CA7301">
              <w:rPr>
                <w:rFonts w:cs="Segoe UI"/>
                <w:sz w:val="17"/>
                <w:szCs w:val="17"/>
              </w:rPr>
              <w:t>(%)</w:t>
            </w:r>
          </w:p>
        </w:tc>
        <w:tc>
          <w:tcPr>
            <w:tcW w:w="822" w:type="dxa"/>
          </w:tcPr>
          <w:p w14:paraId="732127F6" w14:textId="77777777" w:rsidR="00862626" w:rsidRPr="00CA7301" w:rsidRDefault="00862626" w:rsidP="00862626">
            <w:pPr>
              <w:snapToGrid w:val="0"/>
              <w:spacing w:before="40" w:after="40"/>
              <w:rPr>
                <w:rFonts w:cs="Segoe UI"/>
                <w:sz w:val="17"/>
                <w:lang w:eastAsia="it-IT"/>
              </w:rPr>
            </w:pPr>
          </w:p>
        </w:tc>
        <w:tc>
          <w:tcPr>
            <w:tcW w:w="822" w:type="dxa"/>
          </w:tcPr>
          <w:p w14:paraId="5A06EDAB" w14:textId="77777777" w:rsidR="00862626" w:rsidRPr="00CA7301" w:rsidRDefault="00862626" w:rsidP="00862626">
            <w:pPr>
              <w:snapToGrid w:val="0"/>
              <w:spacing w:before="40" w:after="40"/>
              <w:rPr>
                <w:rFonts w:cs="Segoe UI"/>
                <w:sz w:val="17"/>
                <w:lang w:eastAsia="it-IT"/>
              </w:rPr>
            </w:pPr>
          </w:p>
        </w:tc>
        <w:tc>
          <w:tcPr>
            <w:tcW w:w="822" w:type="dxa"/>
          </w:tcPr>
          <w:p w14:paraId="56D8A923" w14:textId="77777777" w:rsidR="00862626" w:rsidRPr="00CA7301" w:rsidRDefault="00862626" w:rsidP="00862626">
            <w:pPr>
              <w:snapToGrid w:val="0"/>
              <w:spacing w:before="40" w:after="40"/>
              <w:rPr>
                <w:rFonts w:cs="Segoe UI"/>
                <w:sz w:val="17"/>
                <w:lang w:eastAsia="it-IT"/>
              </w:rPr>
            </w:pPr>
          </w:p>
        </w:tc>
        <w:tc>
          <w:tcPr>
            <w:tcW w:w="822" w:type="dxa"/>
          </w:tcPr>
          <w:p w14:paraId="50DD92C2"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5F53FDA8" w14:textId="77777777" w:rsidR="00862626" w:rsidRPr="00CA7301" w:rsidRDefault="00862626" w:rsidP="00862626">
            <w:pPr>
              <w:snapToGrid w:val="0"/>
              <w:spacing w:before="40" w:after="40"/>
              <w:rPr>
                <w:rFonts w:cs="Segoe UI"/>
                <w:sz w:val="17"/>
                <w:lang w:eastAsia="it-IT"/>
              </w:rPr>
            </w:pPr>
          </w:p>
        </w:tc>
      </w:tr>
      <w:tr w:rsidR="00862626" w:rsidRPr="00CA7301" w14:paraId="180362DC" w14:textId="77777777" w:rsidTr="000C010D">
        <w:tc>
          <w:tcPr>
            <w:tcW w:w="851" w:type="dxa"/>
            <w:tcBorders>
              <w:left w:val="nil"/>
            </w:tcBorders>
          </w:tcPr>
          <w:p w14:paraId="3DFE48C2"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10</w:t>
            </w:r>
          </w:p>
        </w:tc>
        <w:tc>
          <w:tcPr>
            <w:tcW w:w="4394" w:type="dxa"/>
          </w:tcPr>
          <w:p w14:paraId="5F3A070D" w14:textId="77777777" w:rsidR="00862626" w:rsidRPr="00CA7301" w:rsidRDefault="00862626" w:rsidP="00862626">
            <w:pPr>
              <w:snapToGrid w:val="0"/>
              <w:spacing w:before="40" w:after="40"/>
              <w:ind w:left="34" w:rightChars="71" w:right="142"/>
              <w:rPr>
                <w:rFonts w:cs="Segoe UI"/>
                <w:sz w:val="17"/>
                <w:szCs w:val="17"/>
                <w:lang w:eastAsia="zh-TW"/>
              </w:rPr>
            </w:pPr>
            <w:r w:rsidRPr="00CA7301">
              <w:rPr>
                <w:rFonts w:eastAsia="細明體" w:cs="Segoe UI"/>
                <w:sz w:val="17"/>
                <w:szCs w:val="17"/>
                <w:lang w:eastAsia="zh-TW"/>
              </w:rPr>
              <w:t>較高吸收虧損能力要求</w:t>
            </w:r>
            <w:r w:rsidRPr="00CA7301">
              <w:rPr>
                <w:rFonts w:cs="Segoe UI"/>
                <w:sz w:val="17"/>
                <w:szCs w:val="17"/>
                <w:lang w:eastAsia="zh-TW"/>
              </w:rPr>
              <w:t xml:space="preserve"> (%)</w:t>
            </w:r>
            <w:r w:rsidRPr="00CA7301">
              <w:rPr>
                <w:rFonts w:eastAsia="細明體" w:cs="Segoe UI"/>
                <w:sz w:val="17"/>
                <w:szCs w:val="17"/>
                <w:lang w:eastAsia="zh-TW"/>
              </w:rPr>
              <w:t>（只適用於</w:t>
            </w:r>
            <w:r w:rsidRPr="00CA7301">
              <w:rPr>
                <w:rFonts w:cs="Segoe UI"/>
                <w:sz w:val="17"/>
                <w:szCs w:val="17"/>
                <w:lang w:eastAsia="zh-TW"/>
              </w:rPr>
              <w:t>G-SIB</w:t>
            </w:r>
            <w:r w:rsidRPr="00CA7301">
              <w:rPr>
                <w:rFonts w:eastAsia="細明體" w:cs="Segoe UI"/>
                <w:sz w:val="17"/>
                <w:szCs w:val="17"/>
                <w:lang w:eastAsia="zh-TW"/>
              </w:rPr>
              <w:t>或</w:t>
            </w:r>
            <w:r w:rsidRPr="00CA7301">
              <w:rPr>
                <w:rFonts w:cs="Segoe UI"/>
                <w:sz w:val="17"/>
                <w:szCs w:val="17"/>
                <w:lang w:eastAsia="zh-TW"/>
              </w:rPr>
              <w:t>D-SIB</w:t>
            </w:r>
            <w:r w:rsidRPr="00CA7301">
              <w:rPr>
                <w:rFonts w:eastAsia="細明體" w:cs="Segoe UI"/>
                <w:sz w:val="17"/>
                <w:szCs w:val="17"/>
                <w:lang w:eastAsia="zh-TW"/>
              </w:rPr>
              <w:t>）</w:t>
            </w:r>
          </w:p>
        </w:tc>
        <w:tc>
          <w:tcPr>
            <w:tcW w:w="822" w:type="dxa"/>
          </w:tcPr>
          <w:p w14:paraId="502D6FFD" w14:textId="77777777" w:rsidR="00862626" w:rsidRPr="00CA7301" w:rsidRDefault="00862626" w:rsidP="00862626">
            <w:pPr>
              <w:snapToGrid w:val="0"/>
              <w:spacing w:before="40" w:after="40"/>
              <w:rPr>
                <w:rFonts w:cs="Segoe UI"/>
                <w:sz w:val="17"/>
                <w:lang w:eastAsia="it-IT"/>
              </w:rPr>
            </w:pPr>
          </w:p>
        </w:tc>
        <w:tc>
          <w:tcPr>
            <w:tcW w:w="822" w:type="dxa"/>
          </w:tcPr>
          <w:p w14:paraId="7A2E16D2" w14:textId="77777777" w:rsidR="00862626" w:rsidRPr="00CA7301" w:rsidRDefault="00862626" w:rsidP="00862626">
            <w:pPr>
              <w:snapToGrid w:val="0"/>
              <w:spacing w:before="40" w:after="40"/>
              <w:rPr>
                <w:rFonts w:cs="Segoe UI"/>
                <w:sz w:val="17"/>
                <w:lang w:eastAsia="it-IT"/>
              </w:rPr>
            </w:pPr>
          </w:p>
        </w:tc>
        <w:tc>
          <w:tcPr>
            <w:tcW w:w="822" w:type="dxa"/>
          </w:tcPr>
          <w:p w14:paraId="552E754B" w14:textId="77777777" w:rsidR="00862626" w:rsidRPr="00CA7301" w:rsidRDefault="00862626" w:rsidP="00862626">
            <w:pPr>
              <w:snapToGrid w:val="0"/>
              <w:spacing w:before="40" w:after="40"/>
              <w:rPr>
                <w:rFonts w:cs="Segoe UI"/>
                <w:sz w:val="17"/>
                <w:lang w:eastAsia="it-IT"/>
              </w:rPr>
            </w:pPr>
          </w:p>
        </w:tc>
        <w:tc>
          <w:tcPr>
            <w:tcW w:w="822" w:type="dxa"/>
          </w:tcPr>
          <w:p w14:paraId="72569396"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7E68DD6C" w14:textId="77777777" w:rsidR="00862626" w:rsidRPr="00CA7301" w:rsidRDefault="00862626" w:rsidP="00862626">
            <w:pPr>
              <w:snapToGrid w:val="0"/>
              <w:spacing w:before="40" w:after="40"/>
              <w:rPr>
                <w:rFonts w:cs="Segoe UI"/>
                <w:sz w:val="17"/>
                <w:lang w:eastAsia="it-IT"/>
              </w:rPr>
            </w:pPr>
          </w:p>
        </w:tc>
      </w:tr>
      <w:tr w:rsidR="00862626" w:rsidRPr="00CA7301" w14:paraId="359B940D" w14:textId="77777777" w:rsidTr="000C010D">
        <w:tc>
          <w:tcPr>
            <w:tcW w:w="851" w:type="dxa"/>
            <w:tcBorders>
              <w:left w:val="nil"/>
            </w:tcBorders>
          </w:tcPr>
          <w:p w14:paraId="54F457AE"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11</w:t>
            </w:r>
          </w:p>
        </w:tc>
        <w:tc>
          <w:tcPr>
            <w:tcW w:w="4394" w:type="dxa"/>
          </w:tcPr>
          <w:p w14:paraId="3CD48C2C" w14:textId="77777777" w:rsidR="00862626" w:rsidRPr="00CA7301" w:rsidRDefault="00862626" w:rsidP="00862626">
            <w:pPr>
              <w:snapToGrid w:val="0"/>
              <w:spacing w:before="40" w:after="40"/>
              <w:ind w:left="34" w:rightChars="71" w:right="142"/>
              <w:rPr>
                <w:rFonts w:cs="Segoe UI"/>
                <w:sz w:val="17"/>
                <w:szCs w:val="17"/>
                <w:lang w:eastAsia="zh-TW"/>
              </w:rPr>
            </w:pPr>
            <w:r w:rsidRPr="00CA7301">
              <w:rPr>
                <w:rFonts w:eastAsia="細明體" w:cs="Segoe UI"/>
                <w:sz w:val="17"/>
                <w:szCs w:val="17"/>
                <w:lang w:eastAsia="zh-TW"/>
              </w:rPr>
              <w:t>認可機構特定的總</w:t>
            </w:r>
            <w:r w:rsidRPr="00CA7301">
              <w:rPr>
                <w:rFonts w:cs="Segoe UI"/>
                <w:sz w:val="17"/>
                <w:szCs w:val="17"/>
                <w:lang w:eastAsia="zh-TW"/>
              </w:rPr>
              <w:t>CET1</w:t>
            </w:r>
            <w:r w:rsidRPr="00CA7301">
              <w:rPr>
                <w:rFonts w:eastAsia="細明體" w:cs="Segoe UI"/>
                <w:sz w:val="17"/>
                <w:szCs w:val="17"/>
                <w:lang w:eastAsia="zh-TW"/>
              </w:rPr>
              <w:t>緩衝要求</w:t>
            </w:r>
            <w:r w:rsidRPr="00CA7301">
              <w:rPr>
                <w:rFonts w:eastAsiaTheme="minorEastAsia" w:cs="Segoe UI"/>
                <w:sz w:val="17"/>
                <w:szCs w:val="17"/>
                <w:lang w:eastAsia="zh-TW"/>
              </w:rPr>
              <w:t xml:space="preserve"> </w:t>
            </w:r>
            <w:r w:rsidRPr="00CA7301">
              <w:rPr>
                <w:rFonts w:cs="Segoe UI"/>
                <w:sz w:val="17"/>
                <w:szCs w:val="17"/>
                <w:lang w:eastAsia="zh-TW"/>
              </w:rPr>
              <w:t>(%)</w:t>
            </w:r>
          </w:p>
        </w:tc>
        <w:tc>
          <w:tcPr>
            <w:tcW w:w="822" w:type="dxa"/>
          </w:tcPr>
          <w:p w14:paraId="41124548" w14:textId="77777777" w:rsidR="00862626" w:rsidRPr="00CA7301" w:rsidRDefault="00862626" w:rsidP="00862626">
            <w:pPr>
              <w:snapToGrid w:val="0"/>
              <w:spacing w:before="40" w:after="40"/>
              <w:rPr>
                <w:rFonts w:cs="Segoe UI"/>
                <w:sz w:val="17"/>
                <w:lang w:eastAsia="it-IT"/>
              </w:rPr>
            </w:pPr>
          </w:p>
        </w:tc>
        <w:tc>
          <w:tcPr>
            <w:tcW w:w="822" w:type="dxa"/>
          </w:tcPr>
          <w:p w14:paraId="74F8B810" w14:textId="77777777" w:rsidR="00862626" w:rsidRPr="00CA7301" w:rsidRDefault="00862626" w:rsidP="00862626">
            <w:pPr>
              <w:snapToGrid w:val="0"/>
              <w:spacing w:before="40" w:after="40"/>
              <w:rPr>
                <w:rFonts w:cs="Segoe UI"/>
                <w:sz w:val="17"/>
                <w:lang w:eastAsia="it-IT"/>
              </w:rPr>
            </w:pPr>
          </w:p>
        </w:tc>
        <w:tc>
          <w:tcPr>
            <w:tcW w:w="822" w:type="dxa"/>
          </w:tcPr>
          <w:p w14:paraId="04BA4703" w14:textId="77777777" w:rsidR="00862626" w:rsidRPr="00CA7301" w:rsidRDefault="00862626" w:rsidP="00862626">
            <w:pPr>
              <w:snapToGrid w:val="0"/>
              <w:spacing w:before="40" w:after="40"/>
              <w:rPr>
                <w:rFonts w:cs="Segoe UI"/>
                <w:sz w:val="17"/>
                <w:lang w:eastAsia="it-IT"/>
              </w:rPr>
            </w:pPr>
          </w:p>
        </w:tc>
        <w:tc>
          <w:tcPr>
            <w:tcW w:w="822" w:type="dxa"/>
          </w:tcPr>
          <w:p w14:paraId="7942E1AD"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15D8B4C5" w14:textId="77777777" w:rsidR="00862626" w:rsidRPr="00CA7301" w:rsidRDefault="00862626" w:rsidP="00862626">
            <w:pPr>
              <w:snapToGrid w:val="0"/>
              <w:spacing w:before="40" w:after="40"/>
              <w:rPr>
                <w:rFonts w:cs="Segoe UI"/>
                <w:sz w:val="17"/>
                <w:lang w:eastAsia="it-IT"/>
              </w:rPr>
            </w:pPr>
          </w:p>
        </w:tc>
      </w:tr>
      <w:tr w:rsidR="00862626" w:rsidRPr="00CA7301" w14:paraId="6C4D07A0" w14:textId="77777777" w:rsidTr="000C010D">
        <w:tc>
          <w:tcPr>
            <w:tcW w:w="851" w:type="dxa"/>
            <w:tcBorders>
              <w:left w:val="nil"/>
            </w:tcBorders>
          </w:tcPr>
          <w:p w14:paraId="2C8B9030"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lastRenderedPageBreak/>
              <w:t>12</w:t>
            </w:r>
          </w:p>
        </w:tc>
        <w:tc>
          <w:tcPr>
            <w:tcW w:w="4394" w:type="dxa"/>
          </w:tcPr>
          <w:p w14:paraId="012756A3" w14:textId="77777777" w:rsidR="00862626" w:rsidRPr="00CA7301" w:rsidRDefault="00862626" w:rsidP="00862626">
            <w:pPr>
              <w:snapToGrid w:val="0"/>
              <w:spacing w:before="40" w:after="40"/>
              <w:ind w:left="34" w:rightChars="71" w:right="142"/>
              <w:rPr>
                <w:rFonts w:cs="Segoe UI"/>
                <w:sz w:val="17"/>
                <w:szCs w:val="17"/>
                <w:lang w:eastAsia="zh-TW"/>
              </w:rPr>
            </w:pPr>
            <w:r w:rsidRPr="00CA7301">
              <w:rPr>
                <w:rFonts w:eastAsia="細明體" w:cs="Segoe UI"/>
                <w:sz w:val="17"/>
                <w:szCs w:val="17"/>
                <w:lang w:eastAsia="zh-TW"/>
              </w:rPr>
              <w:t>符合認可機構的最低資本規定後可用的</w:t>
            </w:r>
            <w:r w:rsidRPr="00CA7301">
              <w:rPr>
                <w:rFonts w:cs="Segoe UI"/>
                <w:sz w:val="17"/>
                <w:szCs w:val="17"/>
                <w:lang w:eastAsia="zh-TW"/>
              </w:rPr>
              <w:t>CET1 (%)</w:t>
            </w:r>
          </w:p>
        </w:tc>
        <w:tc>
          <w:tcPr>
            <w:tcW w:w="822" w:type="dxa"/>
          </w:tcPr>
          <w:p w14:paraId="5D334C7B" w14:textId="77777777" w:rsidR="00862626" w:rsidRPr="00CA7301" w:rsidRDefault="00862626" w:rsidP="00862626">
            <w:pPr>
              <w:snapToGrid w:val="0"/>
              <w:spacing w:before="40" w:after="40"/>
              <w:rPr>
                <w:rFonts w:cs="Segoe UI"/>
                <w:sz w:val="17"/>
                <w:lang w:eastAsia="it-IT"/>
              </w:rPr>
            </w:pPr>
          </w:p>
        </w:tc>
        <w:tc>
          <w:tcPr>
            <w:tcW w:w="822" w:type="dxa"/>
          </w:tcPr>
          <w:p w14:paraId="1409FD67" w14:textId="77777777" w:rsidR="00862626" w:rsidRPr="00CA7301" w:rsidRDefault="00862626" w:rsidP="00862626">
            <w:pPr>
              <w:snapToGrid w:val="0"/>
              <w:spacing w:before="40" w:after="40"/>
              <w:rPr>
                <w:rFonts w:cs="Segoe UI"/>
                <w:sz w:val="17"/>
                <w:lang w:eastAsia="it-IT"/>
              </w:rPr>
            </w:pPr>
          </w:p>
        </w:tc>
        <w:tc>
          <w:tcPr>
            <w:tcW w:w="822" w:type="dxa"/>
          </w:tcPr>
          <w:p w14:paraId="5E4B1AE1" w14:textId="77777777" w:rsidR="00862626" w:rsidRPr="00CA7301" w:rsidRDefault="00862626" w:rsidP="00862626">
            <w:pPr>
              <w:snapToGrid w:val="0"/>
              <w:spacing w:before="40" w:after="40"/>
              <w:rPr>
                <w:rFonts w:cs="Segoe UI"/>
                <w:sz w:val="17"/>
                <w:lang w:eastAsia="it-IT"/>
              </w:rPr>
            </w:pPr>
          </w:p>
        </w:tc>
        <w:tc>
          <w:tcPr>
            <w:tcW w:w="822" w:type="dxa"/>
          </w:tcPr>
          <w:p w14:paraId="02530801"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4666AECF" w14:textId="77777777" w:rsidR="00862626" w:rsidRPr="00CA7301" w:rsidRDefault="00862626" w:rsidP="00862626">
            <w:pPr>
              <w:snapToGrid w:val="0"/>
              <w:spacing w:before="40" w:after="40"/>
              <w:rPr>
                <w:rFonts w:cs="Segoe UI"/>
                <w:sz w:val="17"/>
                <w:lang w:eastAsia="it-IT"/>
              </w:rPr>
            </w:pPr>
          </w:p>
        </w:tc>
      </w:tr>
      <w:tr w:rsidR="00862626" w:rsidRPr="00CA7301" w14:paraId="6B771CAC" w14:textId="77777777" w:rsidTr="000C010D">
        <w:tc>
          <w:tcPr>
            <w:tcW w:w="851" w:type="dxa"/>
            <w:tcBorders>
              <w:left w:val="nil"/>
            </w:tcBorders>
            <w:shd w:val="clear" w:color="auto" w:fill="BFBFBF" w:themeFill="background1" w:themeFillShade="BF"/>
          </w:tcPr>
          <w:p w14:paraId="622A8075" w14:textId="77777777" w:rsidR="00862626" w:rsidRPr="00CA7301" w:rsidRDefault="00862626" w:rsidP="00862626">
            <w:pPr>
              <w:snapToGrid w:val="0"/>
              <w:spacing w:before="40" w:after="40"/>
              <w:ind w:left="57" w:rightChars="71" w:right="142"/>
              <w:rPr>
                <w:rFonts w:cs="Segoe UI"/>
                <w:sz w:val="17"/>
                <w:szCs w:val="17"/>
                <w:lang w:eastAsia="zh-TW"/>
              </w:rPr>
            </w:pPr>
          </w:p>
        </w:tc>
        <w:tc>
          <w:tcPr>
            <w:tcW w:w="8510" w:type="dxa"/>
            <w:gridSpan w:val="6"/>
            <w:tcBorders>
              <w:right w:val="single" w:sz="4" w:space="0" w:color="auto"/>
            </w:tcBorders>
            <w:shd w:val="clear" w:color="auto" w:fill="BFBFBF" w:themeFill="background1" w:themeFillShade="BF"/>
          </w:tcPr>
          <w:p w14:paraId="138EE1BF" w14:textId="77777777" w:rsidR="00862626" w:rsidRPr="00CA7301" w:rsidRDefault="00862626" w:rsidP="00862626">
            <w:pPr>
              <w:snapToGrid w:val="0"/>
              <w:spacing w:before="40" w:after="40"/>
              <w:ind w:left="34" w:rightChars="71" w:right="142"/>
              <w:rPr>
                <w:rFonts w:eastAsia="細明體" w:cs="Segoe UI"/>
                <w:sz w:val="17"/>
                <w:szCs w:val="17"/>
                <w:lang w:eastAsia="zh-TW"/>
              </w:rPr>
            </w:pPr>
            <w:r w:rsidRPr="00CA7301">
              <w:rPr>
                <w:rFonts w:eastAsia="細明體" w:cs="Segoe UI"/>
                <w:b/>
                <w:sz w:val="17"/>
                <w:szCs w:val="17"/>
                <w:lang w:eastAsia="zh-TW"/>
              </w:rPr>
              <w:t>《巴塞爾協定三》槓桿比率</w:t>
            </w:r>
          </w:p>
        </w:tc>
      </w:tr>
      <w:tr w:rsidR="00862626" w:rsidRPr="00CA7301" w14:paraId="01457600" w14:textId="77777777" w:rsidTr="000C010D">
        <w:tc>
          <w:tcPr>
            <w:tcW w:w="851" w:type="dxa"/>
            <w:tcBorders>
              <w:left w:val="nil"/>
            </w:tcBorders>
          </w:tcPr>
          <w:p w14:paraId="5393ECD7"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13</w:t>
            </w:r>
          </w:p>
        </w:tc>
        <w:tc>
          <w:tcPr>
            <w:tcW w:w="4394" w:type="dxa"/>
          </w:tcPr>
          <w:p w14:paraId="6CF1E5C5" w14:textId="77777777" w:rsidR="00862626" w:rsidRPr="00CA7301" w:rsidRDefault="00862626" w:rsidP="00862626">
            <w:pPr>
              <w:snapToGrid w:val="0"/>
              <w:spacing w:before="40" w:after="40"/>
              <w:ind w:left="34" w:rightChars="71" w:right="142"/>
              <w:rPr>
                <w:rFonts w:eastAsia="細明體" w:cs="Segoe UI"/>
                <w:sz w:val="17"/>
                <w:szCs w:val="17"/>
                <w:lang w:eastAsia="zh-TW"/>
              </w:rPr>
            </w:pPr>
            <w:r w:rsidRPr="00CA7301">
              <w:rPr>
                <w:rFonts w:eastAsia="細明體" w:cs="Segoe UI"/>
                <w:sz w:val="17"/>
                <w:szCs w:val="17"/>
                <w:lang w:eastAsia="zh-TW"/>
              </w:rPr>
              <w:t>總槓桿比率風險承擔計量</w:t>
            </w:r>
          </w:p>
        </w:tc>
        <w:tc>
          <w:tcPr>
            <w:tcW w:w="822" w:type="dxa"/>
          </w:tcPr>
          <w:p w14:paraId="1708A577" w14:textId="77777777" w:rsidR="00862626" w:rsidRPr="00CA7301" w:rsidRDefault="00862626" w:rsidP="00862626">
            <w:pPr>
              <w:snapToGrid w:val="0"/>
              <w:spacing w:before="40" w:after="40"/>
              <w:rPr>
                <w:rFonts w:cs="Segoe UI"/>
                <w:sz w:val="17"/>
                <w:lang w:eastAsia="it-IT"/>
              </w:rPr>
            </w:pPr>
          </w:p>
        </w:tc>
        <w:tc>
          <w:tcPr>
            <w:tcW w:w="822" w:type="dxa"/>
          </w:tcPr>
          <w:p w14:paraId="41C0731D" w14:textId="77777777" w:rsidR="00862626" w:rsidRPr="00CA7301" w:rsidRDefault="00862626" w:rsidP="00862626">
            <w:pPr>
              <w:snapToGrid w:val="0"/>
              <w:spacing w:before="40" w:after="40"/>
              <w:rPr>
                <w:rFonts w:cs="Segoe UI"/>
                <w:sz w:val="17"/>
                <w:lang w:eastAsia="it-IT"/>
              </w:rPr>
            </w:pPr>
          </w:p>
        </w:tc>
        <w:tc>
          <w:tcPr>
            <w:tcW w:w="822" w:type="dxa"/>
          </w:tcPr>
          <w:p w14:paraId="0F0CF1CF" w14:textId="77777777" w:rsidR="00862626" w:rsidRPr="00CA7301" w:rsidRDefault="00862626" w:rsidP="00862626">
            <w:pPr>
              <w:snapToGrid w:val="0"/>
              <w:spacing w:before="40" w:after="40"/>
              <w:rPr>
                <w:rFonts w:cs="Segoe UI"/>
                <w:sz w:val="17"/>
                <w:lang w:eastAsia="it-IT"/>
              </w:rPr>
            </w:pPr>
          </w:p>
        </w:tc>
        <w:tc>
          <w:tcPr>
            <w:tcW w:w="822" w:type="dxa"/>
          </w:tcPr>
          <w:p w14:paraId="7EA5569B"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27F8724B" w14:textId="77777777" w:rsidR="00862626" w:rsidRPr="00CA7301" w:rsidRDefault="00862626" w:rsidP="00862626">
            <w:pPr>
              <w:snapToGrid w:val="0"/>
              <w:spacing w:before="40" w:after="40"/>
              <w:rPr>
                <w:rFonts w:cs="Segoe UI"/>
                <w:sz w:val="17"/>
                <w:lang w:eastAsia="it-IT"/>
              </w:rPr>
            </w:pPr>
          </w:p>
        </w:tc>
      </w:tr>
      <w:tr w:rsidR="00862626" w:rsidRPr="00CA7301" w14:paraId="19C0659C" w14:textId="77777777" w:rsidTr="000C010D">
        <w:tc>
          <w:tcPr>
            <w:tcW w:w="851" w:type="dxa"/>
            <w:tcBorders>
              <w:left w:val="nil"/>
            </w:tcBorders>
          </w:tcPr>
          <w:p w14:paraId="60CC8DCD" w14:textId="77777777" w:rsidR="00862626" w:rsidRPr="00CA7301" w:rsidRDefault="00862626" w:rsidP="00862626">
            <w:pPr>
              <w:snapToGrid w:val="0"/>
              <w:spacing w:before="40" w:after="40"/>
              <w:ind w:left="33"/>
              <w:rPr>
                <w:rFonts w:cs="Segoe UI"/>
                <w:sz w:val="17"/>
                <w:szCs w:val="17"/>
              </w:rPr>
            </w:pPr>
            <w:r>
              <w:rPr>
                <w:rFonts w:cs="Segoe UI"/>
                <w:sz w:val="17"/>
                <w:szCs w:val="17"/>
              </w:rPr>
              <w:t>13a</w:t>
            </w:r>
          </w:p>
        </w:tc>
        <w:tc>
          <w:tcPr>
            <w:tcW w:w="4394" w:type="dxa"/>
          </w:tcPr>
          <w:p w14:paraId="2268ED55" w14:textId="54CA6723" w:rsidR="00862626" w:rsidRPr="00CA7301" w:rsidRDefault="009D20C2" w:rsidP="00862626">
            <w:pPr>
              <w:snapToGrid w:val="0"/>
              <w:spacing w:before="40" w:after="40"/>
              <w:ind w:left="34" w:rightChars="71" w:right="142"/>
              <w:rPr>
                <w:rFonts w:eastAsia="細明體" w:cs="Segoe UI"/>
                <w:sz w:val="17"/>
                <w:szCs w:val="17"/>
                <w:lang w:eastAsia="zh-TW"/>
              </w:rPr>
            </w:pPr>
            <w:r>
              <w:rPr>
                <w:rFonts w:eastAsia="細明體" w:cs="Segoe UI" w:hint="eastAsia"/>
                <w:sz w:val="17"/>
                <w:szCs w:val="17"/>
                <w:lang w:eastAsia="zh-HK"/>
              </w:rPr>
              <w:t>以</w:t>
            </w:r>
            <w:r w:rsidR="00862626" w:rsidRPr="00A412EA">
              <w:rPr>
                <w:rFonts w:eastAsia="細明體" w:cs="Segoe UI" w:hint="eastAsia"/>
                <w:sz w:val="17"/>
                <w:szCs w:val="17"/>
                <w:lang w:eastAsia="zh-HK"/>
              </w:rPr>
              <w:t>證券融資交易</w:t>
            </w:r>
            <w:r w:rsidR="00862626">
              <w:rPr>
                <w:rFonts w:eastAsia="細明體" w:cs="Segoe UI" w:hint="eastAsia"/>
                <w:sz w:val="17"/>
                <w:szCs w:val="17"/>
                <w:lang w:eastAsia="zh-HK"/>
              </w:rPr>
              <w:t>(SFT)</w:t>
            </w:r>
            <w:r w:rsidR="00862626">
              <w:rPr>
                <w:rFonts w:eastAsia="細明體" w:cs="Segoe UI" w:hint="eastAsia"/>
                <w:sz w:val="17"/>
                <w:szCs w:val="17"/>
                <w:lang w:eastAsia="zh-HK"/>
              </w:rPr>
              <w:t>資產</w:t>
            </w:r>
            <w:r w:rsidR="00862626" w:rsidRPr="00A412EA">
              <w:rPr>
                <w:rFonts w:eastAsia="細明體" w:cs="Segoe UI" w:hint="eastAsia"/>
                <w:sz w:val="17"/>
                <w:szCs w:val="17"/>
                <w:lang w:eastAsia="zh-HK"/>
              </w:rPr>
              <w:t>總額</w:t>
            </w:r>
            <w:r>
              <w:rPr>
                <w:rFonts w:eastAsia="細明體" w:cs="Segoe UI" w:hint="eastAsia"/>
                <w:sz w:val="17"/>
                <w:szCs w:val="17"/>
                <w:lang w:eastAsia="zh-HK"/>
              </w:rPr>
              <w:t>平均值為基</w:t>
            </w:r>
            <w:r>
              <w:rPr>
                <w:rFonts w:eastAsia="細明體" w:cs="Segoe UI" w:hint="eastAsia"/>
                <w:sz w:val="17"/>
                <w:szCs w:val="17"/>
                <w:lang w:eastAsia="zh-TW"/>
              </w:rPr>
              <w:t>礎</w:t>
            </w:r>
            <w:r w:rsidR="00862626">
              <w:rPr>
                <w:rFonts w:eastAsia="細明體" w:cs="Segoe UI" w:hint="eastAsia"/>
                <w:sz w:val="17"/>
                <w:szCs w:val="17"/>
                <w:lang w:eastAsia="zh-HK"/>
              </w:rPr>
              <w:t>的</w:t>
            </w:r>
            <w:r w:rsidR="00862626">
              <w:rPr>
                <w:rFonts w:eastAsia="細明體" w:cs="Segoe UI" w:hint="eastAsia"/>
                <w:sz w:val="17"/>
                <w:szCs w:val="17"/>
                <w:lang w:eastAsia="zh-TW"/>
              </w:rPr>
              <w:t>槓桿比率風險承擔計量</w:t>
            </w:r>
          </w:p>
        </w:tc>
        <w:tc>
          <w:tcPr>
            <w:tcW w:w="822" w:type="dxa"/>
          </w:tcPr>
          <w:p w14:paraId="2E659E7C" w14:textId="77777777" w:rsidR="00862626" w:rsidRPr="00CA7301" w:rsidRDefault="00862626" w:rsidP="00862626">
            <w:pPr>
              <w:snapToGrid w:val="0"/>
              <w:spacing w:before="40" w:after="40"/>
              <w:rPr>
                <w:rFonts w:cs="Segoe UI"/>
                <w:sz w:val="17"/>
                <w:lang w:eastAsia="it-IT"/>
              </w:rPr>
            </w:pPr>
          </w:p>
        </w:tc>
        <w:tc>
          <w:tcPr>
            <w:tcW w:w="822" w:type="dxa"/>
          </w:tcPr>
          <w:p w14:paraId="0B7DD544" w14:textId="77777777" w:rsidR="00862626" w:rsidRPr="00CA7301" w:rsidRDefault="00862626" w:rsidP="00862626">
            <w:pPr>
              <w:snapToGrid w:val="0"/>
              <w:spacing w:before="40" w:after="40"/>
              <w:rPr>
                <w:rFonts w:cs="Segoe UI"/>
                <w:sz w:val="17"/>
                <w:lang w:eastAsia="it-IT"/>
              </w:rPr>
            </w:pPr>
          </w:p>
        </w:tc>
        <w:tc>
          <w:tcPr>
            <w:tcW w:w="822" w:type="dxa"/>
          </w:tcPr>
          <w:p w14:paraId="756B397D" w14:textId="77777777" w:rsidR="00862626" w:rsidRPr="00CA7301" w:rsidRDefault="00862626" w:rsidP="00862626">
            <w:pPr>
              <w:snapToGrid w:val="0"/>
              <w:spacing w:before="40" w:after="40"/>
              <w:rPr>
                <w:rFonts w:cs="Segoe UI"/>
                <w:sz w:val="17"/>
                <w:lang w:eastAsia="it-IT"/>
              </w:rPr>
            </w:pPr>
          </w:p>
        </w:tc>
        <w:tc>
          <w:tcPr>
            <w:tcW w:w="822" w:type="dxa"/>
          </w:tcPr>
          <w:p w14:paraId="2D895B8F"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098A4D33" w14:textId="77777777" w:rsidR="00862626" w:rsidRPr="00CA7301" w:rsidRDefault="00862626" w:rsidP="00862626">
            <w:pPr>
              <w:snapToGrid w:val="0"/>
              <w:spacing w:before="40" w:after="40"/>
              <w:rPr>
                <w:rFonts w:cs="Segoe UI"/>
                <w:sz w:val="17"/>
                <w:lang w:eastAsia="it-IT"/>
              </w:rPr>
            </w:pPr>
          </w:p>
        </w:tc>
      </w:tr>
      <w:tr w:rsidR="00862626" w:rsidRPr="00CA7301" w14:paraId="6267901A" w14:textId="77777777" w:rsidTr="000C010D">
        <w:tc>
          <w:tcPr>
            <w:tcW w:w="851" w:type="dxa"/>
            <w:tcBorders>
              <w:left w:val="nil"/>
            </w:tcBorders>
          </w:tcPr>
          <w:p w14:paraId="0506E179" w14:textId="17948D2E" w:rsidR="00862626" w:rsidRPr="00CA7301" w:rsidRDefault="00862626" w:rsidP="00862626">
            <w:pPr>
              <w:snapToGrid w:val="0"/>
              <w:spacing w:before="40" w:after="40"/>
              <w:ind w:left="33"/>
              <w:rPr>
                <w:rFonts w:cs="Segoe UI"/>
                <w:sz w:val="17"/>
                <w:szCs w:val="17"/>
              </w:rPr>
            </w:pPr>
            <w:r w:rsidRPr="00CA7301">
              <w:rPr>
                <w:rFonts w:cs="Segoe UI"/>
                <w:sz w:val="17"/>
                <w:szCs w:val="17"/>
              </w:rPr>
              <w:t>14</w:t>
            </w:r>
            <w:r>
              <w:rPr>
                <w:rFonts w:cs="Segoe UI" w:hint="eastAsia"/>
                <w:sz w:val="17"/>
                <w:szCs w:val="17"/>
              </w:rPr>
              <w:t>、14a</w:t>
            </w:r>
            <w:r>
              <w:rPr>
                <w:rFonts w:cs="Segoe UI" w:hint="eastAsia"/>
                <w:sz w:val="17"/>
                <w:szCs w:val="17"/>
                <w:lang w:eastAsia="zh-HK"/>
              </w:rPr>
              <w:t>及</w:t>
            </w:r>
            <w:r w:rsidDel="00F026FF">
              <w:rPr>
                <w:rFonts w:cs="Segoe UI" w:hint="eastAsia"/>
                <w:sz w:val="17"/>
                <w:szCs w:val="17"/>
                <w:lang w:eastAsia="zh-HK"/>
              </w:rPr>
              <w:t xml:space="preserve"> </w:t>
            </w:r>
            <w:r>
              <w:rPr>
                <w:rFonts w:cs="Segoe UI" w:hint="eastAsia"/>
                <w:sz w:val="17"/>
                <w:szCs w:val="17"/>
              </w:rPr>
              <w:t>14b</w:t>
            </w:r>
          </w:p>
        </w:tc>
        <w:tc>
          <w:tcPr>
            <w:tcW w:w="4394" w:type="dxa"/>
          </w:tcPr>
          <w:p w14:paraId="7404A397" w14:textId="714C5345" w:rsidR="00862626" w:rsidRPr="00CA7301" w:rsidRDefault="00862626" w:rsidP="001A78AC">
            <w:pPr>
              <w:snapToGrid w:val="0"/>
              <w:spacing w:before="40" w:after="40"/>
              <w:ind w:left="34" w:rightChars="71" w:right="142"/>
              <w:rPr>
                <w:rFonts w:cs="Segoe UI"/>
                <w:sz w:val="17"/>
                <w:szCs w:val="17"/>
              </w:rPr>
            </w:pPr>
            <w:r w:rsidRPr="00CA7301">
              <w:rPr>
                <w:rFonts w:eastAsia="細明體" w:cs="Segoe UI"/>
                <w:sz w:val="17"/>
                <w:szCs w:val="17"/>
                <w:lang w:eastAsia="zh-TW"/>
              </w:rPr>
              <w:t>槓桿比率</w:t>
            </w:r>
            <w:r w:rsidRPr="00CA7301">
              <w:rPr>
                <w:rFonts w:cs="Segoe UI"/>
                <w:sz w:val="17"/>
                <w:szCs w:val="17"/>
              </w:rPr>
              <w:t xml:space="preserve"> (%)</w:t>
            </w:r>
          </w:p>
        </w:tc>
        <w:tc>
          <w:tcPr>
            <w:tcW w:w="822" w:type="dxa"/>
          </w:tcPr>
          <w:p w14:paraId="7104C061" w14:textId="77777777" w:rsidR="00862626" w:rsidRPr="00CA7301" w:rsidRDefault="00862626" w:rsidP="00862626">
            <w:pPr>
              <w:snapToGrid w:val="0"/>
              <w:spacing w:before="40" w:after="40"/>
              <w:rPr>
                <w:rFonts w:cs="Segoe UI"/>
                <w:sz w:val="17"/>
                <w:lang w:eastAsia="it-IT"/>
              </w:rPr>
            </w:pPr>
          </w:p>
        </w:tc>
        <w:tc>
          <w:tcPr>
            <w:tcW w:w="822" w:type="dxa"/>
          </w:tcPr>
          <w:p w14:paraId="5E553210" w14:textId="77777777" w:rsidR="00862626" w:rsidRPr="00CA7301" w:rsidRDefault="00862626" w:rsidP="00862626">
            <w:pPr>
              <w:snapToGrid w:val="0"/>
              <w:spacing w:before="40" w:after="40"/>
              <w:rPr>
                <w:rFonts w:cs="Segoe UI"/>
                <w:sz w:val="17"/>
                <w:lang w:eastAsia="it-IT"/>
              </w:rPr>
            </w:pPr>
          </w:p>
        </w:tc>
        <w:tc>
          <w:tcPr>
            <w:tcW w:w="822" w:type="dxa"/>
          </w:tcPr>
          <w:p w14:paraId="056E6E27" w14:textId="77777777" w:rsidR="00862626" w:rsidRPr="00CA7301" w:rsidRDefault="00862626" w:rsidP="00862626">
            <w:pPr>
              <w:snapToGrid w:val="0"/>
              <w:spacing w:before="40" w:after="40"/>
              <w:rPr>
                <w:rFonts w:cs="Segoe UI"/>
                <w:sz w:val="17"/>
                <w:lang w:eastAsia="it-IT"/>
              </w:rPr>
            </w:pPr>
          </w:p>
        </w:tc>
        <w:tc>
          <w:tcPr>
            <w:tcW w:w="822" w:type="dxa"/>
          </w:tcPr>
          <w:p w14:paraId="78847594"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0C9F9D70" w14:textId="77777777" w:rsidR="00862626" w:rsidRPr="00CA7301" w:rsidRDefault="00862626" w:rsidP="00862626">
            <w:pPr>
              <w:snapToGrid w:val="0"/>
              <w:spacing w:before="40" w:after="40"/>
              <w:rPr>
                <w:rFonts w:cs="Segoe UI"/>
                <w:sz w:val="17"/>
                <w:lang w:eastAsia="it-IT"/>
              </w:rPr>
            </w:pPr>
          </w:p>
        </w:tc>
      </w:tr>
      <w:tr w:rsidR="00862626" w:rsidRPr="00CA7301" w14:paraId="7018E230" w14:textId="77777777" w:rsidTr="000C010D">
        <w:tc>
          <w:tcPr>
            <w:tcW w:w="851" w:type="dxa"/>
            <w:tcBorders>
              <w:left w:val="nil"/>
            </w:tcBorders>
          </w:tcPr>
          <w:p w14:paraId="3A101B0C" w14:textId="77777777" w:rsidR="00862626" w:rsidRPr="00CA7301" w:rsidRDefault="00862626" w:rsidP="00862626">
            <w:pPr>
              <w:snapToGrid w:val="0"/>
              <w:spacing w:before="40" w:after="40"/>
              <w:ind w:left="33"/>
              <w:rPr>
                <w:rFonts w:cs="Segoe UI"/>
                <w:sz w:val="17"/>
                <w:szCs w:val="17"/>
              </w:rPr>
            </w:pPr>
            <w:r>
              <w:rPr>
                <w:rFonts w:cs="Segoe UI"/>
                <w:sz w:val="17"/>
                <w:szCs w:val="17"/>
              </w:rPr>
              <w:t>14c</w:t>
            </w:r>
            <w:r w:rsidDel="00F026FF">
              <w:rPr>
                <w:rFonts w:cs="Segoe UI"/>
                <w:sz w:val="17"/>
                <w:szCs w:val="17"/>
              </w:rPr>
              <w:t xml:space="preserve"> </w:t>
            </w:r>
            <w:r>
              <w:rPr>
                <w:rFonts w:cs="Segoe UI" w:hint="eastAsia"/>
                <w:sz w:val="17"/>
                <w:szCs w:val="17"/>
                <w:lang w:eastAsia="zh-HK"/>
              </w:rPr>
              <w:t>及</w:t>
            </w:r>
            <w:r w:rsidDel="00F026FF">
              <w:rPr>
                <w:rFonts w:cs="Segoe UI" w:hint="eastAsia"/>
                <w:sz w:val="17"/>
                <w:szCs w:val="17"/>
                <w:lang w:eastAsia="zh-HK"/>
              </w:rPr>
              <w:t xml:space="preserve"> </w:t>
            </w:r>
            <w:r>
              <w:rPr>
                <w:rFonts w:cs="Segoe UI" w:hint="eastAsia"/>
                <w:sz w:val="17"/>
                <w:szCs w:val="17"/>
              </w:rPr>
              <w:t>14d</w:t>
            </w:r>
          </w:p>
        </w:tc>
        <w:tc>
          <w:tcPr>
            <w:tcW w:w="4394" w:type="dxa"/>
          </w:tcPr>
          <w:p w14:paraId="16EA80E4" w14:textId="60DC7437" w:rsidR="00862626" w:rsidRPr="00CA7301" w:rsidRDefault="009D20C2" w:rsidP="009D20C2">
            <w:pPr>
              <w:snapToGrid w:val="0"/>
              <w:spacing w:before="40" w:after="40"/>
              <w:ind w:left="34" w:rightChars="71" w:right="142"/>
              <w:rPr>
                <w:rFonts w:eastAsia="細明體" w:cs="Segoe UI"/>
                <w:sz w:val="17"/>
                <w:szCs w:val="17"/>
                <w:lang w:eastAsia="zh-TW"/>
              </w:rPr>
            </w:pPr>
            <w:r>
              <w:rPr>
                <w:rFonts w:eastAsia="細明體" w:cs="Segoe UI" w:hint="eastAsia"/>
                <w:sz w:val="17"/>
                <w:szCs w:val="17"/>
                <w:lang w:eastAsia="zh-HK"/>
              </w:rPr>
              <w:t>以</w:t>
            </w:r>
            <w:r w:rsidR="00862626">
              <w:rPr>
                <w:rFonts w:eastAsia="細明體" w:cs="Segoe UI" w:hint="eastAsia"/>
                <w:sz w:val="17"/>
                <w:szCs w:val="17"/>
                <w:lang w:eastAsia="zh-HK"/>
              </w:rPr>
              <w:t>S</w:t>
            </w:r>
            <w:r w:rsidR="00862626">
              <w:rPr>
                <w:rFonts w:eastAsia="細明體" w:cs="Segoe UI"/>
                <w:sz w:val="17"/>
                <w:szCs w:val="17"/>
                <w:lang w:eastAsia="zh-HK"/>
              </w:rPr>
              <w:t>FT</w:t>
            </w:r>
            <w:r w:rsidR="00862626">
              <w:rPr>
                <w:rFonts w:eastAsia="細明體" w:cs="Segoe UI" w:hint="eastAsia"/>
                <w:sz w:val="17"/>
                <w:szCs w:val="17"/>
                <w:lang w:eastAsia="zh-HK"/>
              </w:rPr>
              <w:t>資產</w:t>
            </w:r>
            <w:r w:rsidR="00862626" w:rsidRPr="00A412EA">
              <w:rPr>
                <w:rFonts w:eastAsia="細明體" w:cs="Segoe UI" w:hint="eastAsia"/>
                <w:sz w:val="17"/>
                <w:szCs w:val="17"/>
                <w:lang w:eastAsia="zh-HK"/>
              </w:rPr>
              <w:t>總額</w:t>
            </w:r>
            <w:r w:rsidR="00862626">
              <w:rPr>
                <w:rFonts w:eastAsia="細明體" w:cs="Segoe UI" w:hint="eastAsia"/>
                <w:sz w:val="17"/>
                <w:szCs w:val="17"/>
                <w:lang w:eastAsia="zh-HK"/>
              </w:rPr>
              <w:t>平均值</w:t>
            </w:r>
            <w:r>
              <w:rPr>
                <w:rFonts w:eastAsia="細明體" w:cs="Segoe UI" w:hint="eastAsia"/>
                <w:sz w:val="17"/>
                <w:szCs w:val="17"/>
                <w:lang w:eastAsia="zh-HK"/>
              </w:rPr>
              <w:t>為基</w:t>
            </w:r>
            <w:r>
              <w:rPr>
                <w:rFonts w:eastAsia="細明體" w:cs="Segoe UI" w:hint="eastAsia"/>
                <w:sz w:val="17"/>
                <w:szCs w:val="17"/>
                <w:lang w:eastAsia="zh-TW"/>
              </w:rPr>
              <w:t>礎</w:t>
            </w:r>
            <w:r w:rsidR="00862626">
              <w:rPr>
                <w:rFonts w:eastAsia="細明體" w:cs="Segoe UI" w:hint="eastAsia"/>
                <w:sz w:val="17"/>
                <w:szCs w:val="17"/>
                <w:lang w:eastAsia="zh-HK"/>
              </w:rPr>
              <w:t>的槓桿比率</w:t>
            </w:r>
            <w:r w:rsidR="00862626" w:rsidRPr="00CA7301">
              <w:rPr>
                <w:rFonts w:cs="Segoe UI"/>
                <w:sz w:val="17"/>
                <w:szCs w:val="17"/>
                <w:lang w:eastAsia="zh-TW"/>
              </w:rPr>
              <w:t xml:space="preserve"> (%)</w:t>
            </w:r>
            <w:r w:rsidR="00862626">
              <w:rPr>
                <w:rFonts w:cs="Segoe UI"/>
                <w:sz w:val="17"/>
                <w:szCs w:val="17"/>
                <w:lang w:eastAsia="zh-TW"/>
              </w:rPr>
              <w:t xml:space="preserve">   </w:t>
            </w:r>
          </w:p>
        </w:tc>
        <w:tc>
          <w:tcPr>
            <w:tcW w:w="822" w:type="dxa"/>
          </w:tcPr>
          <w:p w14:paraId="3D5F6306" w14:textId="77777777" w:rsidR="00862626" w:rsidRPr="00CA7301" w:rsidRDefault="00862626" w:rsidP="00862626">
            <w:pPr>
              <w:snapToGrid w:val="0"/>
              <w:spacing w:before="40" w:after="40"/>
              <w:rPr>
                <w:rFonts w:cs="Segoe UI"/>
                <w:sz w:val="17"/>
                <w:lang w:eastAsia="it-IT"/>
              </w:rPr>
            </w:pPr>
          </w:p>
        </w:tc>
        <w:tc>
          <w:tcPr>
            <w:tcW w:w="822" w:type="dxa"/>
          </w:tcPr>
          <w:p w14:paraId="0F66BFDD" w14:textId="77777777" w:rsidR="00862626" w:rsidRPr="00CA7301" w:rsidRDefault="00862626" w:rsidP="00862626">
            <w:pPr>
              <w:snapToGrid w:val="0"/>
              <w:spacing w:before="40" w:after="40"/>
              <w:rPr>
                <w:rFonts w:cs="Segoe UI"/>
                <w:sz w:val="17"/>
                <w:lang w:eastAsia="it-IT"/>
              </w:rPr>
            </w:pPr>
          </w:p>
        </w:tc>
        <w:tc>
          <w:tcPr>
            <w:tcW w:w="822" w:type="dxa"/>
          </w:tcPr>
          <w:p w14:paraId="73DB3D3A" w14:textId="77777777" w:rsidR="00862626" w:rsidRPr="00CA7301" w:rsidRDefault="00862626" w:rsidP="00862626">
            <w:pPr>
              <w:snapToGrid w:val="0"/>
              <w:spacing w:before="40" w:after="40"/>
              <w:rPr>
                <w:rFonts w:cs="Segoe UI"/>
                <w:sz w:val="17"/>
                <w:lang w:eastAsia="it-IT"/>
              </w:rPr>
            </w:pPr>
          </w:p>
        </w:tc>
        <w:tc>
          <w:tcPr>
            <w:tcW w:w="822" w:type="dxa"/>
          </w:tcPr>
          <w:p w14:paraId="3CC8BFE6"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7C76AEB2" w14:textId="77777777" w:rsidR="00862626" w:rsidRPr="00CA7301" w:rsidRDefault="00862626" w:rsidP="00862626">
            <w:pPr>
              <w:snapToGrid w:val="0"/>
              <w:spacing w:before="40" w:after="40"/>
              <w:rPr>
                <w:rFonts w:cs="Segoe UI"/>
                <w:sz w:val="17"/>
                <w:lang w:eastAsia="it-IT"/>
              </w:rPr>
            </w:pPr>
          </w:p>
        </w:tc>
      </w:tr>
      <w:tr w:rsidR="00862626" w:rsidRPr="00CA7301" w14:paraId="1BC1FBC4" w14:textId="77777777" w:rsidTr="000C010D">
        <w:tc>
          <w:tcPr>
            <w:tcW w:w="851" w:type="dxa"/>
            <w:tcBorders>
              <w:left w:val="nil"/>
            </w:tcBorders>
            <w:shd w:val="clear" w:color="auto" w:fill="BFBFBF" w:themeFill="background1" w:themeFillShade="BF"/>
          </w:tcPr>
          <w:p w14:paraId="05AA51A3" w14:textId="77777777" w:rsidR="00862626" w:rsidRPr="00CA7301" w:rsidRDefault="00862626" w:rsidP="00862626">
            <w:pPr>
              <w:snapToGrid w:val="0"/>
              <w:spacing w:before="40" w:after="40"/>
              <w:ind w:left="57" w:rightChars="71" w:right="142"/>
              <w:rPr>
                <w:rFonts w:cs="Segoe UI"/>
                <w:sz w:val="17"/>
                <w:szCs w:val="17"/>
                <w:lang w:eastAsia="zh-TW"/>
              </w:rPr>
            </w:pPr>
          </w:p>
        </w:tc>
        <w:tc>
          <w:tcPr>
            <w:tcW w:w="8510" w:type="dxa"/>
            <w:gridSpan w:val="6"/>
            <w:tcBorders>
              <w:right w:val="single" w:sz="4" w:space="0" w:color="auto"/>
            </w:tcBorders>
            <w:shd w:val="clear" w:color="auto" w:fill="BFBFBF" w:themeFill="background1" w:themeFillShade="BF"/>
          </w:tcPr>
          <w:p w14:paraId="720A99FA" w14:textId="77777777" w:rsidR="00862626" w:rsidRPr="00CA7301" w:rsidRDefault="00862626" w:rsidP="00862626">
            <w:pPr>
              <w:snapToGrid w:val="0"/>
              <w:spacing w:before="40" w:after="40"/>
              <w:ind w:left="34" w:rightChars="71" w:right="142"/>
              <w:rPr>
                <w:rFonts w:cs="Segoe UI"/>
                <w:b/>
                <w:sz w:val="17"/>
                <w:szCs w:val="17"/>
                <w:lang w:eastAsia="zh-TW"/>
              </w:rPr>
            </w:pPr>
            <w:r w:rsidRPr="00CA7301">
              <w:rPr>
                <w:rFonts w:eastAsia="細明體" w:cs="Segoe UI"/>
                <w:b/>
                <w:sz w:val="17"/>
                <w:lang w:eastAsia="zh-TW"/>
              </w:rPr>
              <w:t>流動性覆蓋比率</w:t>
            </w:r>
            <w:r w:rsidRPr="00CA7301">
              <w:rPr>
                <w:rFonts w:cs="Segoe UI"/>
                <w:b/>
                <w:sz w:val="17"/>
                <w:szCs w:val="17"/>
                <w:lang w:eastAsia="zh-TW"/>
              </w:rPr>
              <w:t xml:space="preserve">(LCR) / </w:t>
            </w:r>
            <w:r w:rsidRPr="00CA7301">
              <w:rPr>
                <w:rFonts w:eastAsia="細明體" w:cs="Segoe UI"/>
                <w:b/>
                <w:sz w:val="17"/>
                <w:lang w:eastAsia="zh-TW"/>
              </w:rPr>
              <w:t>流動性維持比率</w:t>
            </w:r>
            <w:r w:rsidRPr="00CA7301">
              <w:rPr>
                <w:rFonts w:cs="Segoe UI"/>
                <w:b/>
                <w:sz w:val="17"/>
                <w:szCs w:val="17"/>
                <w:lang w:eastAsia="zh-TW"/>
              </w:rPr>
              <w:t>(LMR)</w:t>
            </w:r>
          </w:p>
        </w:tc>
      </w:tr>
      <w:tr w:rsidR="00883F2A" w:rsidRPr="00CA7301" w14:paraId="7E1868BF" w14:textId="77777777" w:rsidTr="000C010D">
        <w:tc>
          <w:tcPr>
            <w:tcW w:w="851" w:type="dxa"/>
            <w:tcBorders>
              <w:left w:val="nil"/>
            </w:tcBorders>
            <w:shd w:val="clear" w:color="auto" w:fill="F2F2F2" w:themeFill="background1" w:themeFillShade="F2"/>
          </w:tcPr>
          <w:p w14:paraId="7BE45010" w14:textId="77777777" w:rsidR="00862626" w:rsidRPr="00CA7301" w:rsidRDefault="00862626" w:rsidP="00862626">
            <w:pPr>
              <w:snapToGrid w:val="0"/>
              <w:spacing w:before="40" w:after="40"/>
              <w:ind w:left="33"/>
              <w:rPr>
                <w:rFonts w:cs="Segoe UI"/>
                <w:sz w:val="17"/>
                <w:szCs w:val="17"/>
                <w:lang w:eastAsia="zh-TW"/>
              </w:rPr>
            </w:pPr>
          </w:p>
        </w:tc>
        <w:tc>
          <w:tcPr>
            <w:tcW w:w="4394" w:type="dxa"/>
            <w:shd w:val="clear" w:color="auto" w:fill="F2F2F2" w:themeFill="background1" w:themeFillShade="F2"/>
          </w:tcPr>
          <w:p w14:paraId="00E0690E" w14:textId="77777777" w:rsidR="00862626" w:rsidRPr="00CA7301" w:rsidRDefault="00862626" w:rsidP="00862626">
            <w:pPr>
              <w:snapToGrid w:val="0"/>
              <w:spacing w:before="40" w:after="40"/>
              <w:ind w:left="34" w:rightChars="71" w:right="142"/>
              <w:rPr>
                <w:rFonts w:eastAsia="細明體" w:cs="Segoe UI"/>
                <w:sz w:val="17"/>
                <w:szCs w:val="17"/>
              </w:rPr>
            </w:pPr>
            <w:r w:rsidRPr="00CA7301">
              <w:rPr>
                <w:rFonts w:eastAsia="細明體" w:cs="Segoe UI"/>
                <w:sz w:val="17"/>
                <w:szCs w:val="17"/>
                <w:lang w:eastAsia="zh-TW"/>
              </w:rPr>
              <w:t>只適用於第</w:t>
            </w:r>
            <w:r w:rsidRPr="00CA7301">
              <w:rPr>
                <w:rFonts w:eastAsia="細明體" w:cs="Segoe UI"/>
                <w:sz w:val="17"/>
                <w:szCs w:val="17"/>
                <w:lang w:eastAsia="zh-TW"/>
              </w:rPr>
              <w:t>1</w:t>
            </w:r>
            <w:r w:rsidRPr="00CA7301">
              <w:rPr>
                <w:rFonts w:eastAsia="細明體" w:cs="Segoe UI"/>
                <w:sz w:val="17"/>
                <w:szCs w:val="17"/>
                <w:lang w:eastAsia="zh-TW"/>
              </w:rPr>
              <w:t>類機構：</w:t>
            </w:r>
          </w:p>
        </w:tc>
        <w:tc>
          <w:tcPr>
            <w:tcW w:w="822" w:type="dxa"/>
            <w:shd w:val="clear" w:color="auto" w:fill="F2F2F2" w:themeFill="background1" w:themeFillShade="F2"/>
          </w:tcPr>
          <w:p w14:paraId="3C2AFFA6"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589E5AAC"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4E0955D8"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572F25BF"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shd w:val="clear" w:color="auto" w:fill="F2F2F2" w:themeFill="background1" w:themeFillShade="F2"/>
          </w:tcPr>
          <w:p w14:paraId="46C7E7E7" w14:textId="77777777" w:rsidR="00862626" w:rsidRPr="00CA7301" w:rsidRDefault="00862626" w:rsidP="00862626">
            <w:pPr>
              <w:snapToGrid w:val="0"/>
              <w:spacing w:before="40" w:after="40"/>
              <w:rPr>
                <w:rFonts w:cs="Segoe UI"/>
                <w:sz w:val="17"/>
                <w:lang w:eastAsia="it-IT"/>
              </w:rPr>
            </w:pPr>
          </w:p>
        </w:tc>
      </w:tr>
      <w:tr w:rsidR="00862626" w:rsidRPr="00CA7301" w14:paraId="3557E091" w14:textId="77777777" w:rsidTr="000C010D">
        <w:tc>
          <w:tcPr>
            <w:tcW w:w="851" w:type="dxa"/>
            <w:tcBorders>
              <w:left w:val="nil"/>
            </w:tcBorders>
          </w:tcPr>
          <w:p w14:paraId="097773CE"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15</w:t>
            </w:r>
          </w:p>
        </w:tc>
        <w:tc>
          <w:tcPr>
            <w:tcW w:w="4394" w:type="dxa"/>
          </w:tcPr>
          <w:p w14:paraId="46A26899" w14:textId="77777777" w:rsidR="00862626" w:rsidRPr="00CA7301" w:rsidRDefault="00862626" w:rsidP="00862626">
            <w:pPr>
              <w:snapToGrid w:val="0"/>
              <w:spacing w:before="40" w:after="40"/>
              <w:ind w:left="34" w:rightChars="71" w:right="142"/>
              <w:rPr>
                <w:rFonts w:eastAsia="細明體" w:cs="Segoe UI"/>
                <w:sz w:val="17"/>
                <w:szCs w:val="17"/>
                <w:lang w:eastAsia="zh-TW"/>
              </w:rPr>
            </w:pPr>
            <w:r w:rsidRPr="00CA7301">
              <w:rPr>
                <w:rFonts w:eastAsia="細明體" w:cs="Segoe UI"/>
                <w:sz w:val="17"/>
                <w:szCs w:val="17"/>
                <w:lang w:eastAsia="zh-TW"/>
              </w:rPr>
              <w:t>優質流動資產</w:t>
            </w:r>
            <w:r w:rsidRPr="00CA7301">
              <w:rPr>
                <w:rFonts w:eastAsia="細明體" w:cs="Segoe UI"/>
                <w:sz w:val="17"/>
                <w:szCs w:val="17"/>
                <w:lang w:eastAsia="zh-TW"/>
              </w:rPr>
              <w:t>(HQLA)</w:t>
            </w:r>
            <w:r w:rsidRPr="00CA7301">
              <w:rPr>
                <w:rFonts w:eastAsia="細明體" w:cs="Segoe UI"/>
                <w:sz w:val="17"/>
                <w:szCs w:val="17"/>
                <w:lang w:eastAsia="zh-TW"/>
              </w:rPr>
              <w:t>總額</w:t>
            </w:r>
          </w:p>
        </w:tc>
        <w:tc>
          <w:tcPr>
            <w:tcW w:w="822" w:type="dxa"/>
          </w:tcPr>
          <w:p w14:paraId="5F93895A" w14:textId="77777777" w:rsidR="00862626" w:rsidRPr="00CA7301" w:rsidRDefault="00862626" w:rsidP="00862626">
            <w:pPr>
              <w:snapToGrid w:val="0"/>
              <w:spacing w:before="40" w:after="40"/>
              <w:rPr>
                <w:rFonts w:cs="Segoe UI"/>
                <w:sz w:val="17"/>
                <w:lang w:eastAsia="it-IT"/>
              </w:rPr>
            </w:pPr>
          </w:p>
        </w:tc>
        <w:tc>
          <w:tcPr>
            <w:tcW w:w="822" w:type="dxa"/>
          </w:tcPr>
          <w:p w14:paraId="3A091E62" w14:textId="77777777" w:rsidR="00862626" w:rsidRPr="00CA7301" w:rsidRDefault="00862626" w:rsidP="00862626">
            <w:pPr>
              <w:snapToGrid w:val="0"/>
              <w:spacing w:before="40" w:after="40"/>
              <w:rPr>
                <w:rFonts w:cs="Segoe UI"/>
                <w:sz w:val="17"/>
                <w:lang w:eastAsia="it-IT"/>
              </w:rPr>
            </w:pPr>
          </w:p>
        </w:tc>
        <w:tc>
          <w:tcPr>
            <w:tcW w:w="822" w:type="dxa"/>
          </w:tcPr>
          <w:p w14:paraId="0ADF6388" w14:textId="77777777" w:rsidR="00862626" w:rsidRPr="00CA7301" w:rsidRDefault="00862626" w:rsidP="00862626">
            <w:pPr>
              <w:snapToGrid w:val="0"/>
              <w:spacing w:before="40" w:after="40"/>
              <w:rPr>
                <w:rFonts w:cs="Segoe UI"/>
                <w:sz w:val="17"/>
                <w:lang w:eastAsia="it-IT"/>
              </w:rPr>
            </w:pPr>
          </w:p>
        </w:tc>
        <w:tc>
          <w:tcPr>
            <w:tcW w:w="822" w:type="dxa"/>
          </w:tcPr>
          <w:p w14:paraId="36FA0849"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311CB4FB" w14:textId="77777777" w:rsidR="00862626" w:rsidRPr="00CA7301" w:rsidRDefault="00862626" w:rsidP="00862626">
            <w:pPr>
              <w:snapToGrid w:val="0"/>
              <w:spacing w:before="40" w:after="40"/>
              <w:rPr>
                <w:rFonts w:cs="Segoe UI"/>
                <w:sz w:val="17"/>
                <w:lang w:eastAsia="it-IT"/>
              </w:rPr>
            </w:pPr>
          </w:p>
        </w:tc>
      </w:tr>
      <w:tr w:rsidR="00862626" w:rsidRPr="00CA7301" w14:paraId="124AAEFA" w14:textId="77777777" w:rsidTr="000C010D">
        <w:tc>
          <w:tcPr>
            <w:tcW w:w="851" w:type="dxa"/>
            <w:tcBorders>
              <w:left w:val="nil"/>
            </w:tcBorders>
          </w:tcPr>
          <w:p w14:paraId="074EFD49"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16</w:t>
            </w:r>
          </w:p>
        </w:tc>
        <w:tc>
          <w:tcPr>
            <w:tcW w:w="4394" w:type="dxa"/>
          </w:tcPr>
          <w:p w14:paraId="7C578E7E" w14:textId="77777777" w:rsidR="00862626" w:rsidRPr="00CA7301" w:rsidRDefault="00862626" w:rsidP="00862626">
            <w:pPr>
              <w:snapToGrid w:val="0"/>
              <w:spacing w:before="40" w:after="40"/>
              <w:ind w:left="34" w:rightChars="71" w:right="142"/>
              <w:rPr>
                <w:rFonts w:eastAsia="細明體" w:cs="Segoe UI"/>
                <w:sz w:val="17"/>
                <w:szCs w:val="17"/>
              </w:rPr>
            </w:pPr>
            <w:proofErr w:type="spellStart"/>
            <w:r w:rsidRPr="00CA7301">
              <w:rPr>
                <w:rFonts w:eastAsia="細明體" w:cs="Segoe UI"/>
                <w:sz w:val="17"/>
                <w:szCs w:val="17"/>
              </w:rPr>
              <w:t>淨現金流出總額</w:t>
            </w:r>
            <w:proofErr w:type="spellEnd"/>
          </w:p>
        </w:tc>
        <w:tc>
          <w:tcPr>
            <w:tcW w:w="822" w:type="dxa"/>
          </w:tcPr>
          <w:p w14:paraId="460261B9" w14:textId="77777777" w:rsidR="00862626" w:rsidRPr="00CA7301" w:rsidRDefault="00862626" w:rsidP="00862626">
            <w:pPr>
              <w:snapToGrid w:val="0"/>
              <w:spacing w:before="40" w:after="40"/>
              <w:rPr>
                <w:rFonts w:cs="Segoe UI"/>
                <w:sz w:val="17"/>
                <w:lang w:eastAsia="it-IT"/>
              </w:rPr>
            </w:pPr>
          </w:p>
        </w:tc>
        <w:tc>
          <w:tcPr>
            <w:tcW w:w="822" w:type="dxa"/>
          </w:tcPr>
          <w:p w14:paraId="646BCA0D" w14:textId="77777777" w:rsidR="00862626" w:rsidRPr="00CA7301" w:rsidRDefault="00862626" w:rsidP="00862626">
            <w:pPr>
              <w:snapToGrid w:val="0"/>
              <w:spacing w:before="40" w:after="40"/>
              <w:rPr>
                <w:rFonts w:cs="Segoe UI"/>
                <w:sz w:val="17"/>
                <w:lang w:eastAsia="it-IT"/>
              </w:rPr>
            </w:pPr>
          </w:p>
        </w:tc>
        <w:tc>
          <w:tcPr>
            <w:tcW w:w="822" w:type="dxa"/>
          </w:tcPr>
          <w:p w14:paraId="16333861" w14:textId="77777777" w:rsidR="00862626" w:rsidRPr="00CA7301" w:rsidRDefault="00862626" w:rsidP="00862626">
            <w:pPr>
              <w:snapToGrid w:val="0"/>
              <w:spacing w:before="40" w:after="40"/>
              <w:rPr>
                <w:rFonts w:cs="Segoe UI"/>
                <w:sz w:val="17"/>
                <w:lang w:eastAsia="it-IT"/>
              </w:rPr>
            </w:pPr>
          </w:p>
        </w:tc>
        <w:tc>
          <w:tcPr>
            <w:tcW w:w="822" w:type="dxa"/>
          </w:tcPr>
          <w:p w14:paraId="4606AB0B"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08DC9B9E" w14:textId="77777777" w:rsidR="00862626" w:rsidRPr="00CA7301" w:rsidRDefault="00862626" w:rsidP="00862626">
            <w:pPr>
              <w:snapToGrid w:val="0"/>
              <w:spacing w:before="40" w:after="40"/>
              <w:rPr>
                <w:rFonts w:cs="Segoe UI"/>
                <w:sz w:val="17"/>
                <w:lang w:eastAsia="it-IT"/>
              </w:rPr>
            </w:pPr>
          </w:p>
        </w:tc>
      </w:tr>
      <w:tr w:rsidR="00862626" w:rsidRPr="00CA7301" w14:paraId="13ED9ABA" w14:textId="77777777" w:rsidTr="000C010D">
        <w:tc>
          <w:tcPr>
            <w:tcW w:w="851" w:type="dxa"/>
            <w:tcBorders>
              <w:left w:val="nil"/>
            </w:tcBorders>
          </w:tcPr>
          <w:p w14:paraId="56277799"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17</w:t>
            </w:r>
          </w:p>
        </w:tc>
        <w:tc>
          <w:tcPr>
            <w:tcW w:w="4394" w:type="dxa"/>
          </w:tcPr>
          <w:p w14:paraId="43240D10" w14:textId="77777777" w:rsidR="00862626" w:rsidRPr="00CA7301" w:rsidRDefault="00862626" w:rsidP="00862626">
            <w:pPr>
              <w:snapToGrid w:val="0"/>
              <w:spacing w:before="40" w:after="40"/>
              <w:ind w:left="34" w:rightChars="71" w:right="142"/>
              <w:rPr>
                <w:rFonts w:cs="Segoe UI"/>
                <w:sz w:val="17"/>
                <w:szCs w:val="17"/>
              </w:rPr>
            </w:pPr>
            <w:r w:rsidRPr="00CA7301">
              <w:rPr>
                <w:rFonts w:cs="Segoe UI"/>
                <w:sz w:val="17"/>
                <w:szCs w:val="17"/>
              </w:rPr>
              <w:t>LCR (%)</w:t>
            </w:r>
          </w:p>
        </w:tc>
        <w:tc>
          <w:tcPr>
            <w:tcW w:w="822" w:type="dxa"/>
          </w:tcPr>
          <w:p w14:paraId="5915E88A" w14:textId="77777777" w:rsidR="00862626" w:rsidRPr="00CA7301" w:rsidRDefault="00862626" w:rsidP="00862626">
            <w:pPr>
              <w:snapToGrid w:val="0"/>
              <w:spacing w:before="40" w:after="40"/>
              <w:rPr>
                <w:rFonts w:cs="Segoe UI"/>
                <w:sz w:val="17"/>
                <w:lang w:eastAsia="it-IT"/>
              </w:rPr>
            </w:pPr>
          </w:p>
        </w:tc>
        <w:tc>
          <w:tcPr>
            <w:tcW w:w="822" w:type="dxa"/>
          </w:tcPr>
          <w:p w14:paraId="3886EC25" w14:textId="77777777" w:rsidR="00862626" w:rsidRPr="00CA7301" w:rsidRDefault="00862626" w:rsidP="00862626">
            <w:pPr>
              <w:snapToGrid w:val="0"/>
              <w:spacing w:before="40" w:after="40"/>
              <w:rPr>
                <w:rFonts w:cs="Segoe UI"/>
                <w:sz w:val="17"/>
                <w:lang w:eastAsia="it-IT"/>
              </w:rPr>
            </w:pPr>
          </w:p>
        </w:tc>
        <w:tc>
          <w:tcPr>
            <w:tcW w:w="822" w:type="dxa"/>
          </w:tcPr>
          <w:p w14:paraId="2B1E2481" w14:textId="77777777" w:rsidR="00862626" w:rsidRPr="00CA7301" w:rsidRDefault="00862626" w:rsidP="00862626">
            <w:pPr>
              <w:snapToGrid w:val="0"/>
              <w:spacing w:before="40" w:after="40"/>
              <w:rPr>
                <w:rFonts w:cs="Segoe UI"/>
                <w:sz w:val="17"/>
                <w:lang w:eastAsia="it-IT"/>
              </w:rPr>
            </w:pPr>
          </w:p>
        </w:tc>
        <w:tc>
          <w:tcPr>
            <w:tcW w:w="822" w:type="dxa"/>
          </w:tcPr>
          <w:p w14:paraId="3E6B3344"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319A9FB4" w14:textId="77777777" w:rsidR="00862626" w:rsidRPr="00CA7301" w:rsidRDefault="00862626" w:rsidP="00862626">
            <w:pPr>
              <w:snapToGrid w:val="0"/>
              <w:spacing w:before="40" w:after="40"/>
              <w:rPr>
                <w:rFonts w:cs="Segoe UI"/>
                <w:sz w:val="17"/>
                <w:lang w:eastAsia="it-IT"/>
              </w:rPr>
            </w:pPr>
          </w:p>
        </w:tc>
      </w:tr>
      <w:tr w:rsidR="00883F2A" w:rsidRPr="00CA7301" w14:paraId="5F0DB72E" w14:textId="77777777" w:rsidTr="000C010D">
        <w:tc>
          <w:tcPr>
            <w:tcW w:w="851" w:type="dxa"/>
            <w:tcBorders>
              <w:left w:val="nil"/>
            </w:tcBorders>
            <w:shd w:val="clear" w:color="auto" w:fill="F2F2F2" w:themeFill="background1" w:themeFillShade="F2"/>
          </w:tcPr>
          <w:p w14:paraId="1D559F59" w14:textId="77777777" w:rsidR="00862626" w:rsidRPr="00CA7301" w:rsidRDefault="00862626" w:rsidP="00862626">
            <w:pPr>
              <w:snapToGrid w:val="0"/>
              <w:spacing w:before="40" w:after="40"/>
              <w:ind w:left="33"/>
              <w:rPr>
                <w:rFonts w:cs="Segoe UI"/>
                <w:sz w:val="17"/>
                <w:szCs w:val="17"/>
              </w:rPr>
            </w:pPr>
          </w:p>
        </w:tc>
        <w:tc>
          <w:tcPr>
            <w:tcW w:w="4394" w:type="dxa"/>
            <w:shd w:val="clear" w:color="auto" w:fill="F2F2F2" w:themeFill="background1" w:themeFillShade="F2"/>
          </w:tcPr>
          <w:p w14:paraId="78CEE1A2" w14:textId="77777777" w:rsidR="00862626" w:rsidRPr="00CA7301" w:rsidRDefault="00862626" w:rsidP="00862626">
            <w:pPr>
              <w:snapToGrid w:val="0"/>
              <w:spacing w:before="40" w:after="40"/>
              <w:ind w:left="34" w:rightChars="71" w:right="142"/>
              <w:rPr>
                <w:rFonts w:cs="Segoe UI"/>
                <w:sz w:val="17"/>
                <w:szCs w:val="17"/>
              </w:rPr>
            </w:pPr>
            <w:r w:rsidRPr="00CA7301">
              <w:rPr>
                <w:rFonts w:eastAsia="細明體" w:cs="Segoe UI"/>
                <w:sz w:val="17"/>
                <w:szCs w:val="17"/>
                <w:lang w:eastAsia="zh-TW"/>
              </w:rPr>
              <w:t>只適用於第</w:t>
            </w:r>
            <w:r w:rsidRPr="00CA7301">
              <w:rPr>
                <w:rFonts w:eastAsia="細明體" w:cs="Segoe UI"/>
                <w:sz w:val="17"/>
                <w:szCs w:val="17"/>
                <w:lang w:eastAsia="zh-TW"/>
              </w:rPr>
              <w:t>2</w:t>
            </w:r>
            <w:r w:rsidRPr="00CA7301">
              <w:rPr>
                <w:rFonts w:eastAsia="細明體" w:cs="Segoe UI"/>
                <w:sz w:val="17"/>
                <w:szCs w:val="17"/>
                <w:lang w:eastAsia="zh-TW"/>
              </w:rPr>
              <w:t>類機構：</w:t>
            </w:r>
          </w:p>
        </w:tc>
        <w:tc>
          <w:tcPr>
            <w:tcW w:w="822" w:type="dxa"/>
            <w:shd w:val="clear" w:color="auto" w:fill="F2F2F2" w:themeFill="background1" w:themeFillShade="F2"/>
          </w:tcPr>
          <w:p w14:paraId="33B30EEB"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77502C01"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59B50C03"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119AAD6D"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shd w:val="clear" w:color="auto" w:fill="F2F2F2" w:themeFill="background1" w:themeFillShade="F2"/>
          </w:tcPr>
          <w:p w14:paraId="75FBFC5F" w14:textId="77777777" w:rsidR="00862626" w:rsidRPr="00CA7301" w:rsidRDefault="00862626" w:rsidP="00862626">
            <w:pPr>
              <w:snapToGrid w:val="0"/>
              <w:spacing w:before="40" w:after="40"/>
              <w:rPr>
                <w:rFonts w:cs="Segoe UI"/>
                <w:sz w:val="17"/>
                <w:lang w:eastAsia="it-IT"/>
              </w:rPr>
            </w:pPr>
          </w:p>
        </w:tc>
      </w:tr>
      <w:tr w:rsidR="00862626" w:rsidRPr="00CA7301" w14:paraId="4DD507BF" w14:textId="77777777" w:rsidTr="000C010D">
        <w:tc>
          <w:tcPr>
            <w:tcW w:w="851" w:type="dxa"/>
            <w:tcBorders>
              <w:left w:val="nil"/>
            </w:tcBorders>
          </w:tcPr>
          <w:p w14:paraId="2C39447E"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17a</w:t>
            </w:r>
          </w:p>
        </w:tc>
        <w:tc>
          <w:tcPr>
            <w:tcW w:w="4394" w:type="dxa"/>
          </w:tcPr>
          <w:p w14:paraId="2C055504" w14:textId="77777777" w:rsidR="00862626" w:rsidRPr="00CA7301" w:rsidRDefault="00862626" w:rsidP="00862626">
            <w:pPr>
              <w:snapToGrid w:val="0"/>
              <w:spacing w:before="40" w:after="40"/>
              <w:ind w:left="34" w:rightChars="71" w:right="142"/>
              <w:rPr>
                <w:rFonts w:cs="Segoe UI"/>
                <w:sz w:val="17"/>
                <w:szCs w:val="17"/>
              </w:rPr>
            </w:pPr>
            <w:r w:rsidRPr="00CA7301">
              <w:rPr>
                <w:rFonts w:cs="Segoe UI"/>
                <w:sz w:val="17"/>
                <w:szCs w:val="17"/>
              </w:rPr>
              <w:t>LMR (%)</w:t>
            </w:r>
          </w:p>
        </w:tc>
        <w:tc>
          <w:tcPr>
            <w:tcW w:w="822" w:type="dxa"/>
          </w:tcPr>
          <w:p w14:paraId="639B399E" w14:textId="77777777" w:rsidR="00862626" w:rsidRPr="00CA7301" w:rsidRDefault="00862626" w:rsidP="00862626">
            <w:pPr>
              <w:snapToGrid w:val="0"/>
              <w:spacing w:before="40" w:after="40"/>
              <w:rPr>
                <w:rFonts w:cs="Segoe UI"/>
                <w:sz w:val="17"/>
                <w:lang w:eastAsia="it-IT"/>
              </w:rPr>
            </w:pPr>
          </w:p>
        </w:tc>
        <w:tc>
          <w:tcPr>
            <w:tcW w:w="822" w:type="dxa"/>
          </w:tcPr>
          <w:p w14:paraId="54FE40F5" w14:textId="77777777" w:rsidR="00862626" w:rsidRPr="00CA7301" w:rsidRDefault="00862626" w:rsidP="00862626">
            <w:pPr>
              <w:snapToGrid w:val="0"/>
              <w:spacing w:before="40" w:after="40"/>
              <w:rPr>
                <w:rFonts w:cs="Segoe UI"/>
                <w:sz w:val="17"/>
                <w:lang w:eastAsia="it-IT"/>
              </w:rPr>
            </w:pPr>
          </w:p>
        </w:tc>
        <w:tc>
          <w:tcPr>
            <w:tcW w:w="822" w:type="dxa"/>
          </w:tcPr>
          <w:p w14:paraId="390ED9AF" w14:textId="77777777" w:rsidR="00862626" w:rsidRPr="00CA7301" w:rsidRDefault="00862626" w:rsidP="00862626">
            <w:pPr>
              <w:snapToGrid w:val="0"/>
              <w:spacing w:before="40" w:after="40"/>
              <w:rPr>
                <w:rFonts w:cs="Segoe UI"/>
                <w:sz w:val="17"/>
                <w:lang w:eastAsia="it-IT"/>
              </w:rPr>
            </w:pPr>
          </w:p>
        </w:tc>
        <w:tc>
          <w:tcPr>
            <w:tcW w:w="822" w:type="dxa"/>
          </w:tcPr>
          <w:p w14:paraId="09C1F0E2"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7042CD90" w14:textId="77777777" w:rsidR="00862626" w:rsidRPr="00CA7301" w:rsidRDefault="00862626" w:rsidP="00862626">
            <w:pPr>
              <w:snapToGrid w:val="0"/>
              <w:spacing w:before="40" w:after="40"/>
              <w:rPr>
                <w:rFonts w:cs="Segoe UI"/>
                <w:sz w:val="17"/>
                <w:lang w:eastAsia="it-IT"/>
              </w:rPr>
            </w:pPr>
          </w:p>
        </w:tc>
      </w:tr>
      <w:tr w:rsidR="00862626" w:rsidRPr="00CA7301" w14:paraId="004A535A" w14:textId="77777777" w:rsidTr="000C010D">
        <w:tc>
          <w:tcPr>
            <w:tcW w:w="851" w:type="dxa"/>
            <w:tcBorders>
              <w:left w:val="nil"/>
            </w:tcBorders>
            <w:shd w:val="clear" w:color="auto" w:fill="BFBFBF" w:themeFill="background1" w:themeFillShade="BF"/>
          </w:tcPr>
          <w:p w14:paraId="0096FCBD" w14:textId="77777777" w:rsidR="00862626" w:rsidRPr="00CA7301" w:rsidRDefault="00862626" w:rsidP="00862626">
            <w:pPr>
              <w:snapToGrid w:val="0"/>
              <w:spacing w:before="40" w:after="40"/>
              <w:ind w:left="57" w:rightChars="71" w:right="142"/>
              <w:rPr>
                <w:rFonts w:cs="Segoe UI"/>
                <w:sz w:val="17"/>
                <w:szCs w:val="17"/>
              </w:rPr>
            </w:pPr>
          </w:p>
        </w:tc>
        <w:tc>
          <w:tcPr>
            <w:tcW w:w="8510" w:type="dxa"/>
            <w:gridSpan w:val="6"/>
            <w:tcBorders>
              <w:right w:val="single" w:sz="4" w:space="0" w:color="auto"/>
            </w:tcBorders>
            <w:shd w:val="clear" w:color="auto" w:fill="BFBFBF" w:themeFill="background1" w:themeFillShade="BF"/>
          </w:tcPr>
          <w:p w14:paraId="3B6A83AD" w14:textId="77777777" w:rsidR="00862626" w:rsidRPr="00CA7301" w:rsidRDefault="00862626" w:rsidP="00862626">
            <w:pPr>
              <w:snapToGrid w:val="0"/>
              <w:spacing w:before="40" w:after="40"/>
              <w:ind w:left="57" w:rightChars="71" w:right="142"/>
              <w:rPr>
                <w:rFonts w:cs="Segoe UI"/>
                <w:b/>
                <w:sz w:val="17"/>
                <w:szCs w:val="17"/>
                <w:lang w:eastAsia="zh-TW"/>
              </w:rPr>
            </w:pPr>
            <w:r w:rsidRPr="00CA7301">
              <w:rPr>
                <w:rFonts w:eastAsia="細明體" w:cs="Segoe UI"/>
                <w:b/>
                <w:sz w:val="17"/>
                <w:lang w:eastAsia="zh-TW"/>
              </w:rPr>
              <w:t>穩定資金淨額比率</w:t>
            </w:r>
            <w:r w:rsidRPr="00CA7301">
              <w:rPr>
                <w:rFonts w:cs="Segoe UI"/>
                <w:b/>
                <w:sz w:val="17"/>
                <w:szCs w:val="17"/>
                <w:lang w:eastAsia="zh-TW"/>
              </w:rPr>
              <w:t xml:space="preserve">(NSFR) / </w:t>
            </w:r>
            <w:r w:rsidRPr="00CA7301">
              <w:rPr>
                <w:rFonts w:eastAsia="細明體" w:cs="Segoe UI"/>
                <w:b/>
                <w:sz w:val="17"/>
                <w:szCs w:val="17"/>
                <w:lang w:eastAsia="zh-TW"/>
              </w:rPr>
              <w:t>核心資金比率</w:t>
            </w:r>
            <w:r w:rsidRPr="00CA7301">
              <w:rPr>
                <w:rFonts w:cs="Segoe UI"/>
                <w:b/>
                <w:sz w:val="17"/>
                <w:szCs w:val="17"/>
                <w:lang w:eastAsia="zh-TW"/>
              </w:rPr>
              <w:t>(CFR)</w:t>
            </w:r>
          </w:p>
        </w:tc>
      </w:tr>
      <w:tr w:rsidR="00883F2A" w:rsidRPr="00CA7301" w14:paraId="4508D75C" w14:textId="77777777" w:rsidTr="000C010D">
        <w:tc>
          <w:tcPr>
            <w:tcW w:w="851" w:type="dxa"/>
            <w:tcBorders>
              <w:left w:val="nil"/>
            </w:tcBorders>
            <w:shd w:val="clear" w:color="auto" w:fill="F2F2F2" w:themeFill="background1" w:themeFillShade="F2"/>
          </w:tcPr>
          <w:p w14:paraId="3E6C57EC" w14:textId="77777777" w:rsidR="00862626" w:rsidRPr="00CA7301" w:rsidRDefault="00862626" w:rsidP="00862626">
            <w:pPr>
              <w:snapToGrid w:val="0"/>
              <w:spacing w:before="40" w:after="40"/>
              <w:ind w:left="33"/>
              <w:rPr>
                <w:rFonts w:cs="Segoe UI"/>
                <w:sz w:val="17"/>
                <w:szCs w:val="17"/>
                <w:lang w:eastAsia="zh-TW"/>
              </w:rPr>
            </w:pPr>
          </w:p>
        </w:tc>
        <w:tc>
          <w:tcPr>
            <w:tcW w:w="4394" w:type="dxa"/>
            <w:shd w:val="clear" w:color="auto" w:fill="F2F2F2" w:themeFill="background1" w:themeFillShade="F2"/>
          </w:tcPr>
          <w:p w14:paraId="5D75C35D" w14:textId="77777777" w:rsidR="00862626" w:rsidRPr="00CA7301" w:rsidRDefault="00862626" w:rsidP="00862626">
            <w:pPr>
              <w:snapToGrid w:val="0"/>
              <w:spacing w:before="40" w:after="40"/>
              <w:ind w:left="34" w:rightChars="71" w:right="142"/>
              <w:rPr>
                <w:rFonts w:cs="Segoe UI"/>
                <w:sz w:val="17"/>
                <w:szCs w:val="17"/>
              </w:rPr>
            </w:pPr>
            <w:proofErr w:type="spellStart"/>
            <w:r w:rsidRPr="00CA7301">
              <w:rPr>
                <w:rFonts w:eastAsia="細明體" w:cs="Segoe UI"/>
                <w:sz w:val="17"/>
                <w:szCs w:val="17"/>
              </w:rPr>
              <w:t>只適用於第</w:t>
            </w:r>
            <w:proofErr w:type="spellEnd"/>
            <w:r w:rsidRPr="00CA7301">
              <w:rPr>
                <w:rFonts w:cs="Segoe UI"/>
                <w:sz w:val="17"/>
                <w:szCs w:val="17"/>
              </w:rPr>
              <w:t>1</w:t>
            </w:r>
            <w:proofErr w:type="spellStart"/>
            <w:r w:rsidRPr="00CA7301">
              <w:rPr>
                <w:rFonts w:eastAsia="細明體" w:cs="Segoe UI"/>
                <w:sz w:val="17"/>
                <w:szCs w:val="17"/>
              </w:rPr>
              <w:t>類機構</w:t>
            </w:r>
            <w:proofErr w:type="spellEnd"/>
            <w:r w:rsidRPr="00CA7301">
              <w:rPr>
                <w:rFonts w:eastAsia="細明體" w:cs="Segoe UI"/>
                <w:sz w:val="17"/>
                <w:szCs w:val="17"/>
              </w:rPr>
              <w:t>：</w:t>
            </w:r>
            <w:r w:rsidRPr="00CA7301">
              <w:rPr>
                <w:rFonts w:cs="Segoe UI"/>
                <w:sz w:val="17"/>
                <w:szCs w:val="17"/>
              </w:rPr>
              <w:t xml:space="preserve"> </w:t>
            </w:r>
          </w:p>
        </w:tc>
        <w:tc>
          <w:tcPr>
            <w:tcW w:w="822" w:type="dxa"/>
            <w:shd w:val="clear" w:color="auto" w:fill="F2F2F2" w:themeFill="background1" w:themeFillShade="F2"/>
          </w:tcPr>
          <w:p w14:paraId="09D4ABB8"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3ECC58A8"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40720251"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70CFBCBB"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shd w:val="clear" w:color="auto" w:fill="F2F2F2" w:themeFill="background1" w:themeFillShade="F2"/>
          </w:tcPr>
          <w:p w14:paraId="6C8853EF" w14:textId="77777777" w:rsidR="00862626" w:rsidRPr="00CA7301" w:rsidRDefault="00862626" w:rsidP="00862626">
            <w:pPr>
              <w:snapToGrid w:val="0"/>
              <w:spacing w:before="40" w:after="40"/>
              <w:rPr>
                <w:rFonts w:cs="Segoe UI"/>
                <w:sz w:val="17"/>
                <w:lang w:eastAsia="it-IT"/>
              </w:rPr>
            </w:pPr>
          </w:p>
        </w:tc>
      </w:tr>
      <w:tr w:rsidR="00862626" w:rsidRPr="00CA7301" w14:paraId="494EE59A" w14:textId="77777777" w:rsidTr="000C010D">
        <w:tc>
          <w:tcPr>
            <w:tcW w:w="851" w:type="dxa"/>
            <w:tcBorders>
              <w:left w:val="nil"/>
            </w:tcBorders>
          </w:tcPr>
          <w:p w14:paraId="7F3AAEAC"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18</w:t>
            </w:r>
          </w:p>
        </w:tc>
        <w:tc>
          <w:tcPr>
            <w:tcW w:w="4394" w:type="dxa"/>
          </w:tcPr>
          <w:p w14:paraId="094BFCEA" w14:textId="77777777" w:rsidR="00862626" w:rsidRPr="00CA7301" w:rsidRDefault="00862626" w:rsidP="00862626">
            <w:pPr>
              <w:snapToGrid w:val="0"/>
              <w:spacing w:before="40" w:after="40"/>
              <w:ind w:left="34" w:rightChars="71" w:right="142"/>
              <w:rPr>
                <w:rFonts w:eastAsia="細明體" w:cs="Segoe UI"/>
                <w:sz w:val="17"/>
                <w:szCs w:val="17"/>
              </w:rPr>
            </w:pPr>
            <w:proofErr w:type="spellStart"/>
            <w:r w:rsidRPr="00CA7301">
              <w:rPr>
                <w:rFonts w:eastAsia="細明體" w:cs="Segoe UI"/>
                <w:sz w:val="17"/>
                <w:szCs w:val="17"/>
              </w:rPr>
              <w:t>可用穩定資金總額</w:t>
            </w:r>
            <w:proofErr w:type="spellEnd"/>
          </w:p>
        </w:tc>
        <w:tc>
          <w:tcPr>
            <w:tcW w:w="822" w:type="dxa"/>
          </w:tcPr>
          <w:p w14:paraId="43325D5F" w14:textId="77777777" w:rsidR="00862626" w:rsidRPr="00CA7301" w:rsidRDefault="00862626" w:rsidP="00862626">
            <w:pPr>
              <w:snapToGrid w:val="0"/>
              <w:spacing w:before="40" w:after="40"/>
              <w:rPr>
                <w:rFonts w:cs="Segoe UI"/>
                <w:sz w:val="17"/>
                <w:lang w:eastAsia="it-IT"/>
              </w:rPr>
            </w:pPr>
          </w:p>
        </w:tc>
        <w:tc>
          <w:tcPr>
            <w:tcW w:w="822" w:type="dxa"/>
          </w:tcPr>
          <w:p w14:paraId="7E34E079" w14:textId="77777777" w:rsidR="00862626" w:rsidRPr="00CA7301" w:rsidRDefault="00862626" w:rsidP="00862626">
            <w:pPr>
              <w:snapToGrid w:val="0"/>
              <w:spacing w:before="40" w:after="40"/>
              <w:rPr>
                <w:rFonts w:cs="Segoe UI"/>
                <w:sz w:val="17"/>
                <w:lang w:eastAsia="it-IT"/>
              </w:rPr>
            </w:pPr>
          </w:p>
        </w:tc>
        <w:tc>
          <w:tcPr>
            <w:tcW w:w="822" w:type="dxa"/>
          </w:tcPr>
          <w:p w14:paraId="4D946F6D" w14:textId="77777777" w:rsidR="00862626" w:rsidRPr="00CA7301" w:rsidRDefault="00862626" w:rsidP="00862626">
            <w:pPr>
              <w:snapToGrid w:val="0"/>
              <w:spacing w:before="40" w:after="40"/>
              <w:rPr>
                <w:rFonts w:cs="Segoe UI"/>
                <w:sz w:val="17"/>
                <w:lang w:eastAsia="it-IT"/>
              </w:rPr>
            </w:pPr>
          </w:p>
        </w:tc>
        <w:tc>
          <w:tcPr>
            <w:tcW w:w="822" w:type="dxa"/>
          </w:tcPr>
          <w:p w14:paraId="528390F9"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1C5D7B46" w14:textId="77777777" w:rsidR="00862626" w:rsidRPr="00CA7301" w:rsidRDefault="00862626" w:rsidP="00862626">
            <w:pPr>
              <w:snapToGrid w:val="0"/>
              <w:spacing w:before="40" w:after="40"/>
              <w:rPr>
                <w:rFonts w:cs="Segoe UI"/>
                <w:sz w:val="17"/>
                <w:lang w:eastAsia="it-IT"/>
              </w:rPr>
            </w:pPr>
          </w:p>
        </w:tc>
      </w:tr>
      <w:tr w:rsidR="00862626" w:rsidRPr="00CA7301" w14:paraId="0FD4A83F" w14:textId="77777777" w:rsidTr="000C010D">
        <w:tc>
          <w:tcPr>
            <w:tcW w:w="851" w:type="dxa"/>
            <w:tcBorders>
              <w:left w:val="nil"/>
            </w:tcBorders>
          </w:tcPr>
          <w:p w14:paraId="72CB0F1F"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19</w:t>
            </w:r>
          </w:p>
        </w:tc>
        <w:tc>
          <w:tcPr>
            <w:tcW w:w="4394" w:type="dxa"/>
          </w:tcPr>
          <w:p w14:paraId="731011B8" w14:textId="77777777" w:rsidR="00862626" w:rsidRPr="00CA7301" w:rsidRDefault="00862626" w:rsidP="00862626">
            <w:pPr>
              <w:snapToGrid w:val="0"/>
              <w:spacing w:before="40" w:after="40"/>
              <w:ind w:left="34" w:rightChars="71" w:right="142"/>
              <w:rPr>
                <w:rFonts w:eastAsia="細明體" w:cs="Segoe UI"/>
                <w:sz w:val="17"/>
                <w:szCs w:val="17"/>
              </w:rPr>
            </w:pPr>
            <w:proofErr w:type="spellStart"/>
            <w:r w:rsidRPr="00CA7301">
              <w:rPr>
                <w:rFonts w:eastAsia="細明體" w:cs="Segoe UI"/>
                <w:sz w:val="17"/>
                <w:szCs w:val="17"/>
              </w:rPr>
              <w:t>所需穩定資金總額</w:t>
            </w:r>
            <w:proofErr w:type="spellEnd"/>
          </w:p>
        </w:tc>
        <w:tc>
          <w:tcPr>
            <w:tcW w:w="822" w:type="dxa"/>
          </w:tcPr>
          <w:p w14:paraId="4A84AA9E" w14:textId="77777777" w:rsidR="00862626" w:rsidRPr="00CA7301" w:rsidRDefault="00862626" w:rsidP="00862626">
            <w:pPr>
              <w:snapToGrid w:val="0"/>
              <w:spacing w:before="40" w:after="40"/>
              <w:rPr>
                <w:rFonts w:cs="Segoe UI"/>
                <w:sz w:val="17"/>
                <w:lang w:eastAsia="it-IT"/>
              </w:rPr>
            </w:pPr>
          </w:p>
        </w:tc>
        <w:tc>
          <w:tcPr>
            <w:tcW w:w="822" w:type="dxa"/>
          </w:tcPr>
          <w:p w14:paraId="5E924318" w14:textId="77777777" w:rsidR="00862626" w:rsidRPr="00CA7301" w:rsidRDefault="00862626" w:rsidP="00862626">
            <w:pPr>
              <w:snapToGrid w:val="0"/>
              <w:spacing w:before="40" w:after="40"/>
              <w:rPr>
                <w:rFonts w:cs="Segoe UI"/>
                <w:sz w:val="17"/>
                <w:lang w:eastAsia="it-IT"/>
              </w:rPr>
            </w:pPr>
          </w:p>
        </w:tc>
        <w:tc>
          <w:tcPr>
            <w:tcW w:w="822" w:type="dxa"/>
          </w:tcPr>
          <w:p w14:paraId="2C24C570" w14:textId="77777777" w:rsidR="00862626" w:rsidRPr="00CA7301" w:rsidRDefault="00862626" w:rsidP="00862626">
            <w:pPr>
              <w:snapToGrid w:val="0"/>
              <w:spacing w:before="40" w:after="40"/>
              <w:rPr>
                <w:rFonts w:cs="Segoe UI"/>
                <w:sz w:val="17"/>
                <w:lang w:eastAsia="it-IT"/>
              </w:rPr>
            </w:pPr>
          </w:p>
        </w:tc>
        <w:tc>
          <w:tcPr>
            <w:tcW w:w="822" w:type="dxa"/>
          </w:tcPr>
          <w:p w14:paraId="19B72BBD"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2315A12B" w14:textId="77777777" w:rsidR="00862626" w:rsidRPr="00CA7301" w:rsidRDefault="00862626" w:rsidP="00862626">
            <w:pPr>
              <w:snapToGrid w:val="0"/>
              <w:spacing w:before="40" w:after="40"/>
              <w:rPr>
                <w:rFonts w:cs="Segoe UI"/>
                <w:sz w:val="17"/>
                <w:lang w:eastAsia="it-IT"/>
              </w:rPr>
            </w:pPr>
          </w:p>
        </w:tc>
      </w:tr>
      <w:tr w:rsidR="00862626" w:rsidRPr="00CA7301" w14:paraId="4A0383D8" w14:textId="77777777" w:rsidTr="000C010D">
        <w:tc>
          <w:tcPr>
            <w:tcW w:w="851" w:type="dxa"/>
            <w:tcBorders>
              <w:left w:val="nil"/>
            </w:tcBorders>
          </w:tcPr>
          <w:p w14:paraId="6C472026"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20</w:t>
            </w:r>
          </w:p>
        </w:tc>
        <w:tc>
          <w:tcPr>
            <w:tcW w:w="4394" w:type="dxa"/>
          </w:tcPr>
          <w:p w14:paraId="7FA93289" w14:textId="77777777" w:rsidR="00862626" w:rsidRPr="00CA7301" w:rsidRDefault="00862626" w:rsidP="00862626">
            <w:pPr>
              <w:snapToGrid w:val="0"/>
              <w:spacing w:before="40" w:after="40"/>
              <w:ind w:left="34" w:rightChars="71" w:right="142"/>
              <w:rPr>
                <w:rFonts w:cs="Segoe UI"/>
                <w:sz w:val="17"/>
                <w:szCs w:val="17"/>
              </w:rPr>
            </w:pPr>
            <w:r w:rsidRPr="00CA7301">
              <w:rPr>
                <w:rFonts w:cs="Segoe UI"/>
                <w:sz w:val="17"/>
                <w:szCs w:val="17"/>
              </w:rPr>
              <w:t>NSFR (%)</w:t>
            </w:r>
          </w:p>
        </w:tc>
        <w:tc>
          <w:tcPr>
            <w:tcW w:w="822" w:type="dxa"/>
          </w:tcPr>
          <w:p w14:paraId="19049ECB" w14:textId="77777777" w:rsidR="00862626" w:rsidRPr="00CA7301" w:rsidRDefault="00862626" w:rsidP="00862626">
            <w:pPr>
              <w:snapToGrid w:val="0"/>
              <w:spacing w:before="40" w:after="40"/>
              <w:rPr>
                <w:rFonts w:cs="Segoe UI"/>
                <w:sz w:val="17"/>
                <w:lang w:eastAsia="it-IT"/>
              </w:rPr>
            </w:pPr>
          </w:p>
        </w:tc>
        <w:tc>
          <w:tcPr>
            <w:tcW w:w="822" w:type="dxa"/>
          </w:tcPr>
          <w:p w14:paraId="614C904F" w14:textId="77777777" w:rsidR="00862626" w:rsidRPr="00CA7301" w:rsidRDefault="00862626" w:rsidP="00862626">
            <w:pPr>
              <w:snapToGrid w:val="0"/>
              <w:spacing w:before="40" w:after="40"/>
              <w:rPr>
                <w:rFonts w:cs="Segoe UI"/>
                <w:sz w:val="17"/>
                <w:lang w:eastAsia="it-IT"/>
              </w:rPr>
            </w:pPr>
          </w:p>
        </w:tc>
        <w:tc>
          <w:tcPr>
            <w:tcW w:w="822" w:type="dxa"/>
          </w:tcPr>
          <w:p w14:paraId="51491A3D" w14:textId="77777777" w:rsidR="00862626" w:rsidRPr="00CA7301" w:rsidRDefault="00862626" w:rsidP="00862626">
            <w:pPr>
              <w:snapToGrid w:val="0"/>
              <w:spacing w:before="40" w:after="40"/>
              <w:rPr>
                <w:rFonts w:cs="Segoe UI"/>
                <w:sz w:val="17"/>
                <w:lang w:eastAsia="it-IT"/>
              </w:rPr>
            </w:pPr>
          </w:p>
        </w:tc>
        <w:tc>
          <w:tcPr>
            <w:tcW w:w="822" w:type="dxa"/>
          </w:tcPr>
          <w:p w14:paraId="7C807371"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66D9BBB9" w14:textId="77777777" w:rsidR="00862626" w:rsidRPr="00CA7301" w:rsidRDefault="00862626" w:rsidP="00862626">
            <w:pPr>
              <w:snapToGrid w:val="0"/>
              <w:spacing w:before="40" w:after="40"/>
              <w:rPr>
                <w:rFonts w:cs="Segoe UI"/>
                <w:sz w:val="17"/>
                <w:lang w:eastAsia="it-IT"/>
              </w:rPr>
            </w:pPr>
          </w:p>
        </w:tc>
      </w:tr>
      <w:tr w:rsidR="00883F2A" w:rsidRPr="00CA7301" w14:paraId="3F680CE7" w14:textId="77777777" w:rsidTr="000C010D">
        <w:tc>
          <w:tcPr>
            <w:tcW w:w="851" w:type="dxa"/>
            <w:tcBorders>
              <w:left w:val="nil"/>
            </w:tcBorders>
            <w:shd w:val="clear" w:color="auto" w:fill="F2F2F2" w:themeFill="background1" w:themeFillShade="F2"/>
          </w:tcPr>
          <w:p w14:paraId="03E5D4EE" w14:textId="77777777" w:rsidR="00862626" w:rsidRPr="00CA7301" w:rsidRDefault="00862626" w:rsidP="00862626">
            <w:pPr>
              <w:snapToGrid w:val="0"/>
              <w:spacing w:before="40" w:after="40"/>
              <w:ind w:left="33"/>
              <w:rPr>
                <w:rFonts w:cs="Segoe UI"/>
                <w:sz w:val="17"/>
                <w:szCs w:val="17"/>
              </w:rPr>
            </w:pPr>
          </w:p>
        </w:tc>
        <w:tc>
          <w:tcPr>
            <w:tcW w:w="4394" w:type="dxa"/>
            <w:shd w:val="clear" w:color="auto" w:fill="F2F2F2" w:themeFill="background1" w:themeFillShade="F2"/>
          </w:tcPr>
          <w:p w14:paraId="232671AC" w14:textId="77777777" w:rsidR="00862626" w:rsidRPr="00CA7301" w:rsidRDefault="00862626" w:rsidP="00862626">
            <w:pPr>
              <w:snapToGrid w:val="0"/>
              <w:spacing w:before="40" w:after="40"/>
              <w:ind w:left="34" w:rightChars="71" w:right="142"/>
              <w:rPr>
                <w:rFonts w:cs="Segoe UI"/>
                <w:sz w:val="17"/>
                <w:szCs w:val="17"/>
                <w:lang w:eastAsia="zh-TW"/>
              </w:rPr>
            </w:pPr>
            <w:r w:rsidRPr="00CA7301">
              <w:rPr>
                <w:rFonts w:eastAsia="細明體" w:cs="Segoe UI"/>
                <w:sz w:val="17"/>
                <w:szCs w:val="17"/>
                <w:lang w:eastAsia="zh-TW"/>
              </w:rPr>
              <w:t>只適用於第</w:t>
            </w:r>
            <w:r w:rsidRPr="00CA7301">
              <w:rPr>
                <w:rFonts w:cs="Segoe UI"/>
                <w:sz w:val="17"/>
                <w:szCs w:val="17"/>
                <w:lang w:eastAsia="zh-TW"/>
              </w:rPr>
              <w:t>2A</w:t>
            </w:r>
            <w:r w:rsidRPr="00CA7301">
              <w:rPr>
                <w:rFonts w:eastAsia="細明體" w:cs="Segoe UI"/>
                <w:sz w:val="17"/>
                <w:szCs w:val="17"/>
                <w:lang w:eastAsia="zh-TW"/>
              </w:rPr>
              <w:t>類機構：</w:t>
            </w:r>
          </w:p>
        </w:tc>
        <w:tc>
          <w:tcPr>
            <w:tcW w:w="822" w:type="dxa"/>
            <w:shd w:val="clear" w:color="auto" w:fill="F2F2F2" w:themeFill="background1" w:themeFillShade="F2"/>
          </w:tcPr>
          <w:p w14:paraId="14E3AAB4"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7D187F59"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2FDA6FDF" w14:textId="77777777" w:rsidR="00862626" w:rsidRPr="00CA7301" w:rsidRDefault="00862626" w:rsidP="00862626">
            <w:pPr>
              <w:snapToGrid w:val="0"/>
              <w:spacing w:before="40" w:after="40"/>
              <w:rPr>
                <w:rFonts w:cs="Segoe UI"/>
                <w:sz w:val="17"/>
                <w:lang w:eastAsia="it-IT"/>
              </w:rPr>
            </w:pPr>
          </w:p>
        </w:tc>
        <w:tc>
          <w:tcPr>
            <w:tcW w:w="822" w:type="dxa"/>
            <w:shd w:val="clear" w:color="auto" w:fill="F2F2F2" w:themeFill="background1" w:themeFillShade="F2"/>
          </w:tcPr>
          <w:p w14:paraId="6A027F46"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shd w:val="clear" w:color="auto" w:fill="F2F2F2" w:themeFill="background1" w:themeFillShade="F2"/>
          </w:tcPr>
          <w:p w14:paraId="7CD98248" w14:textId="77777777" w:rsidR="00862626" w:rsidRPr="00CA7301" w:rsidRDefault="00862626" w:rsidP="00862626">
            <w:pPr>
              <w:snapToGrid w:val="0"/>
              <w:spacing w:before="40" w:after="40"/>
              <w:rPr>
                <w:rFonts w:cs="Segoe UI"/>
                <w:sz w:val="17"/>
                <w:lang w:eastAsia="it-IT"/>
              </w:rPr>
            </w:pPr>
          </w:p>
        </w:tc>
      </w:tr>
      <w:tr w:rsidR="00862626" w:rsidRPr="00CA7301" w14:paraId="5E8D2428" w14:textId="77777777" w:rsidTr="000C010D">
        <w:tc>
          <w:tcPr>
            <w:tcW w:w="851" w:type="dxa"/>
            <w:tcBorders>
              <w:left w:val="nil"/>
            </w:tcBorders>
          </w:tcPr>
          <w:p w14:paraId="15C3C06E" w14:textId="77777777" w:rsidR="00862626" w:rsidRPr="00CA7301" w:rsidRDefault="00862626" w:rsidP="00862626">
            <w:pPr>
              <w:snapToGrid w:val="0"/>
              <w:spacing w:before="40" w:after="40"/>
              <w:ind w:left="33"/>
              <w:rPr>
                <w:rFonts w:cs="Segoe UI"/>
                <w:sz w:val="17"/>
                <w:szCs w:val="17"/>
              </w:rPr>
            </w:pPr>
            <w:r w:rsidRPr="00CA7301">
              <w:rPr>
                <w:rFonts w:cs="Segoe UI"/>
                <w:sz w:val="17"/>
                <w:szCs w:val="17"/>
              </w:rPr>
              <w:t>20a</w:t>
            </w:r>
          </w:p>
        </w:tc>
        <w:tc>
          <w:tcPr>
            <w:tcW w:w="4394" w:type="dxa"/>
          </w:tcPr>
          <w:p w14:paraId="11B9EC85" w14:textId="77777777" w:rsidR="00862626" w:rsidRPr="00CA7301" w:rsidRDefault="00862626" w:rsidP="00862626">
            <w:pPr>
              <w:snapToGrid w:val="0"/>
              <w:spacing w:before="40" w:after="40"/>
              <w:ind w:left="34" w:rightChars="71" w:right="142"/>
              <w:rPr>
                <w:rFonts w:cs="Segoe UI"/>
                <w:sz w:val="17"/>
                <w:szCs w:val="17"/>
              </w:rPr>
            </w:pPr>
            <w:r w:rsidRPr="00CA7301">
              <w:rPr>
                <w:rFonts w:cs="Segoe UI"/>
                <w:sz w:val="17"/>
                <w:szCs w:val="17"/>
              </w:rPr>
              <w:t>CFR (%)</w:t>
            </w:r>
          </w:p>
        </w:tc>
        <w:tc>
          <w:tcPr>
            <w:tcW w:w="822" w:type="dxa"/>
          </w:tcPr>
          <w:p w14:paraId="24B35268" w14:textId="77777777" w:rsidR="00862626" w:rsidRPr="00CA7301" w:rsidRDefault="00862626" w:rsidP="00862626">
            <w:pPr>
              <w:snapToGrid w:val="0"/>
              <w:spacing w:before="40" w:after="40"/>
              <w:rPr>
                <w:rFonts w:cs="Segoe UI"/>
                <w:sz w:val="17"/>
                <w:lang w:eastAsia="it-IT"/>
              </w:rPr>
            </w:pPr>
          </w:p>
        </w:tc>
        <w:tc>
          <w:tcPr>
            <w:tcW w:w="822" w:type="dxa"/>
          </w:tcPr>
          <w:p w14:paraId="0E6D1A14" w14:textId="77777777" w:rsidR="00862626" w:rsidRPr="00CA7301" w:rsidRDefault="00862626" w:rsidP="00862626">
            <w:pPr>
              <w:snapToGrid w:val="0"/>
              <w:spacing w:before="40" w:after="40"/>
              <w:rPr>
                <w:rFonts w:cs="Segoe UI"/>
                <w:sz w:val="17"/>
                <w:lang w:eastAsia="it-IT"/>
              </w:rPr>
            </w:pPr>
          </w:p>
        </w:tc>
        <w:tc>
          <w:tcPr>
            <w:tcW w:w="822" w:type="dxa"/>
          </w:tcPr>
          <w:p w14:paraId="0A8E30E2" w14:textId="77777777" w:rsidR="00862626" w:rsidRPr="00CA7301" w:rsidRDefault="00862626" w:rsidP="00862626">
            <w:pPr>
              <w:snapToGrid w:val="0"/>
              <w:spacing w:before="40" w:after="40"/>
              <w:rPr>
                <w:rFonts w:cs="Segoe UI"/>
                <w:sz w:val="17"/>
                <w:lang w:eastAsia="it-IT"/>
              </w:rPr>
            </w:pPr>
          </w:p>
        </w:tc>
        <w:tc>
          <w:tcPr>
            <w:tcW w:w="822" w:type="dxa"/>
          </w:tcPr>
          <w:p w14:paraId="0BF609BF" w14:textId="77777777" w:rsidR="00862626" w:rsidRPr="00CA7301" w:rsidRDefault="00862626" w:rsidP="00862626">
            <w:pPr>
              <w:snapToGrid w:val="0"/>
              <w:spacing w:before="40" w:after="40"/>
              <w:rPr>
                <w:rFonts w:cs="Segoe UI"/>
                <w:sz w:val="17"/>
                <w:lang w:eastAsia="it-IT"/>
              </w:rPr>
            </w:pPr>
          </w:p>
        </w:tc>
        <w:tc>
          <w:tcPr>
            <w:tcW w:w="823" w:type="dxa"/>
            <w:tcBorders>
              <w:right w:val="single" w:sz="4" w:space="0" w:color="auto"/>
            </w:tcBorders>
          </w:tcPr>
          <w:p w14:paraId="78E0AE56" w14:textId="77777777" w:rsidR="00862626" w:rsidRPr="00CA7301" w:rsidRDefault="00862626" w:rsidP="00862626">
            <w:pPr>
              <w:snapToGrid w:val="0"/>
              <w:spacing w:before="40" w:after="40"/>
              <w:rPr>
                <w:rFonts w:cs="Segoe UI"/>
                <w:sz w:val="17"/>
                <w:lang w:eastAsia="it-IT"/>
              </w:rPr>
            </w:pPr>
          </w:p>
        </w:tc>
      </w:tr>
    </w:tbl>
    <w:p w14:paraId="67B109BD" w14:textId="77777777" w:rsidR="007B417F" w:rsidRPr="00CA7301" w:rsidRDefault="007B417F" w:rsidP="007B417F">
      <w:pPr>
        <w:widowControl w:val="0"/>
        <w:rPr>
          <w:rFonts w:eastAsiaTheme="minorEastAsia" w:cs="Segoe UI"/>
          <w:kern w:val="2"/>
          <w:sz w:val="24"/>
          <w:szCs w:val="22"/>
          <w:lang w:eastAsia="zh-TW"/>
        </w:rPr>
      </w:pPr>
    </w:p>
    <w:tbl>
      <w:tblPr>
        <w:tblStyle w:val="TableGrid2"/>
        <w:tblW w:w="9356" w:type="dxa"/>
        <w:tblInd w:w="-459" w:type="dxa"/>
        <w:tblLook w:val="04A0" w:firstRow="1" w:lastRow="0" w:firstColumn="1" w:lastColumn="0" w:noHBand="0" w:noVBand="1"/>
      </w:tblPr>
      <w:tblGrid>
        <w:gridCol w:w="851"/>
        <w:gridCol w:w="8505"/>
      </w:tblGrid>
      <w:tr w:rsidR="007B417F" w:rsidRPr="00CA7301" w14:paraId="6FF36B9A" w14:textId="77777777" w:rsidTr="000C010D">
        <w:trPr>
          <w:tblHeader/>
        </w:trPr>
        <w:tc>
          <w:tcPr>
            <w:tcW w:w="9356" w:type="dxa"/>
            <w:gridSpan w:val="2"/>
            <w:shd w:val="clear" w:color="auto" w:fill="BFBFBF" w:themeFill="background1" w:themeFillShade="BF"/>
          </w:tcPr>
          <w:p w14:paraId="0DCF977E" w14:textId="77777777" w:rsidR="007B417F" w:rsidRPr="00CA7301" w:rsidRDefault="007B417F" w:rsidP="007B417F">
            <w:pPr>
              <w:widowControl w:val="0"/>
              <w:rPr>
                <w:rFonts w:eastAsiaTheme="minorEastAsia" w:cs="Segoe UI"/>
                <w:b/>
                <w:kern w:val="2"/>
                <w:sz w:val="17"/>
                <w:szCs w:val="17"/>
                <w:lang w:eastAsia="zh-TW"/>
              </w:rPr>
            </w:pPr>
            <w:proofErr w:type="gramStart"/>
            <w:r w:rsidRPr="00CA7301">
              <w:rPr>
                <w:rFonts w:eastAsiaTheme="minorEastAsia" w:cs="Segoe UI"/>
                <w:b/>
                <w:kern w:val="2"/>
                <w:sz w:val="17"/>
                <w:szCs w:val="17"/>
                <w:lang w:eastAsia="zh-TW"/>
              </w:rPr>
              <w:t>註</w:t>
            </w:r>
            <w:proofErr w:type="gramEnd"/>
            <w:r w:rsidRPr="00CA7301">
              <w:rPr>
                <w:rFonts w:eastAsiaTheme="minorEastAsia" w:cs="Segoe UI"/>
                <w:b/>
                <w:kern w:val="2"/>
                <w:sz w:val="17"/>
                <w:szCs w:val="17"/>
                <w:lang w:eastAsia="zh-TW"/>
              </w:rPr>
              <w:t>釋</w:t>
            </w:r>
          </w:p>
        </w:tc>
      </w:tr>
      <w:tr w:rsidR="007B417F" w:rsidRPr="00CA7301" w14:paraId="408949E7" w14:textId="77777777" w:rsidTr="000C010D">
        <w:tc>
          <w:tcPr>
            <w:tcW w:w="9356" w:type="dxa"/>
            <w:gridSpan w:val="2"/>
            <w:shd w:val="clear" w:color="auto" w:fill="F2F2F2" w:themeFill="background1" w:themeFillShade="F2"/>
          </w:tcPr>
          <w:p w14:paraId="6873E0F0" w14:textId="18237C79" w:rsidR="007B417F" w:rsidRPr="00CA7301" w:rsidRDefault="007B417F" w:rsidP="007B417F">
            <w:pPr>
              <w:widowControl w:val="0"/>
              <w:rPr>
                <w:rFonts w:eastAsiaTheme="minorEastAsia" w:cs="Segoe UI"/>
                <w:b/>
                <w:kern w:val="2"/>
                <w:sz w:val="17"/>
                <w:szCs w:val="17"/>
                <w:lang w:eastAsia="zh-TW"/>
              </w:rPr>
            </w:pPr>
            <w:r w:rsidRPr="00CA7301">
              <w:rPr>
                <w:rFonts w:eastAsiaTheme="minorEastAsia" w:cs="Segoe UI"/>
                <w:b/>
                <w:kern w:val="2"/>
                <w:sz w:val="17"/>
                <w:szCs w:val="17"/>
                <w:lang w:eastAsia="zh-TW"/>
              </w:rPr>
              <w:t>行</w:t>
            </w:r>
          </w:p>
        </w:tc>
      </w:tr>
      <w:tr w:rsidR="007B417F" w:rsidRPr="00CA7301" w14:paraId="4AE5AC21" w14:textId="77777777" w:rsidTr="000C010D">
        <w:tc>
          <w:tcPr>
            <w:tcW w:w="851" w:type="dxa"/>
          </w:tcPr>
          <w:p w14:paraId="6DE50047"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w:t>
            </w:r>
            <w:r w:rsidR="00C559A2">
              <w:rPr>
                <w:rFonts w:asciiTheme="minorEastAsia" w:eastAsiaTheme="minorEastAsia" w:hAnsiTheme="minorEastAsia" w:cs="Segoe UI" w:hint="eastAsia"/>
                <w:sz w:val="17"/>
                <w:szCs w:val="17"/>
                <w:lang w:eastAsia="zh-HK"/>
              </w:rPr>
              <w:t>及</w:t>
            </w:r>
            <w:r w:rsidR="00C559A2">
              <w:rPr>
                <w:rFonts w:eastAsiaTheme="minorEastAsia" w:cs="Segoe UI"/>
                <w:kern w:val="2"/>
                <w:sz w:val="17"/>
                <w:szCs w:val="17"/>
                <w:lang w:eastAsia="zh-TW"/>
              </w:rPr>
              <w:t>1a</w:t>
            </w:r>
          </w:p>
        </w:tc>
        <w:tc>
          <w:tcPr>
            <w:tcW w:w="8505" w:type="dxa"/>
          </w:tcPr>
          <w:p w14:paraId="05488A13" w14:textId="77777777" w:rsidR="007B417F" w:rsidRPr="00CA7301" w:rsidRDefault="007B417F" w:rsidP="007B417F">
            <w:pPr>
              <w:widowControl w:val="0"/>
              <w:autoSpaceDE w:val="0"/>
              <w:autoSpaceDN w:val="0"/>
              <w:adjustRightInd w:val="0"/>
              <w:jc w:val="both"/>
              <w:rPr>
                <w:rFonts w:eastAsiaTheme="minorEastAsia" w:cs="Segoe UI"/>
                <w:color w:val="000000"/>
                <w:sz w:val="17"/>
                <w:szCs w:val="17"/>
                <w:lang w:val="en-US" w:eastAsia="zh-TW"/>
              </w:rPr>
            </w:pPr>
            <w:r w:rsidRPr="00CA7301">
              <w:rPr>
                <w:rFonts w:eastAsiaTheme="minorEastAsia" w:cs="Segoe UI"/>
                <w:i/>
                <w:iCs/>
                <w:color w:val="000000"/>
                <w:sz w:val="17"/>
                <w:szCs w:val="17"/>
                <w:lang w:val="en-US" w:eastAsia="zh-TW"/>
              </w:rPr>
              <w:t>普通股權一級</w:t>
            </w:r>
            <w:r w:rsidRPr="00CA7301">
              <w:rPr>
                <w:rFonts w:eastAsiaTheme="minorEastAsia" w:cs="Segoe UI"/>
                <w:i/>
                <w:iCs/>
                <w:color w:val="000000"/>
                <w:sz w:val="17"/>
                <w:szCs w:val="17"/>
                <w:lang w:val="en-US" w:eastAsia="zh-TW"/>
              </w:rPr>
              <w:t xml:space="preserve"> (CET1)</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1</w:t>
            </w:r>
            <w:r w:rsidR="00C559A2">
              <w:rPr>
                <w:rFonts w:asciiTheme="minorEastAsia" w:eastAsiaTheme="minorEastAsia" w:hAnsiTheme="minorEastAsia" w:cs="Segoe UI" w:hint="eastAsia"/>
                <w:sz w:val="17"/>
                <w:szCs w:val="17"/>
                <w:lang w:eastAsia="zh-HK"/>
              </w:rPr>
              <w:t>及</w:t>
            </w:r>
            <w:r w:rsidR="00C559A2">
              <w:rPr>
                <w:rFonts w:eastAsiaTheme="minorEastAsia" w:cs="Segoe UI"/>
                <w:kern w:val="2"/>
                <w:sz w:val="17"/>
                <w:szCs w:val="17"/>
                <w:lang w:eastAsia="zh-TW"/>
              </w:rPr>
              <w:t>1a</w:t>
            </w:r>
            <w:r w:rsidRPr="00CA7301">
              <w:rPr>
                <w:rFonts w:eastAsiaTheme="minorEastAsia" w:cs="Segoe UI"/>
                <w:iCs/>
                <w:color w:val="000000"/>
                <w:sz w:val="17"/>
                <w:szCs w:val="17"/>
                <w:lang w:val="en-US" w:eastAsia="zh-TW"/>
              </w:rPr>
              <w:t>/</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[CC1: 29/a]</w:t>
            </w:r>
            <w:r w:rsidRPr="00CA7301">
              <w:rPr>
                <w:rFonts w:eastAsiaTheme="minorEastAsia" w:cs="Segoe UI"/>
                <w:iCs/>
                <w:color w:val="000000"/>
                <w:sz w:val="17"/>
                <w:szCs w:val="17"/>
                <w:lang w:val="en-US" w:eastAsia="zh-TW"/>
              </w:rPr>
              <w:t>的值。</w:t>
            </w:r>
          </w:p>
        </w:tc>
      </w:tr>
      <w:tr w:rsidR="007B417F" w:rsidRPr="00CA7301" w14:paraId="1FE7056A" w14:textId="77777777" w:rsidTr="000C010D">
        <w:tc>
          <w:tcPr>
            <w:tcW w:w="851" w:type="dxa"/>
          </w:tcPr>
          <w:p w14:paraId="680954CA" w14:textId="77777777" w:rsidR="007B417F" w:rsidRPr="00CA7301" w:rsidRDefault="007B417F" w:rsidP="007B417F">
            <w:pPr>
              <w:widowControl w:val="0"/>
              <w:rPr>
                <w:rFonts w:eastAsiaTheme="minorEastAsia" w:cs="Segoe UI"/>
                <w:kern w:val="2"/>
                <w:sz w:val="17"/>
                <w:szCs w:val="17"/>
                <w:lang w:val="en-US" w:eastAsia="zh-TW"/>
              </w:rPr>
            </w:pPr>
            <w:r w:rsidRPr="00CA7301">
              <w:rPr>
                <w:rFonts w:eastAsiaTheme="minorEastAsia" w:cs="Segoe UI"/>
                <w:kern w:val="2"/>
                <w:sz w:val="17"/>
                <w:szCs w:val="17"/>
                <w:lang w:val="en-US" w:eastAsia="zh-TW"/>
              </w:rPr>
              <w:t>2</w:t>
            </w:r>
            <w:r w:rsidR="00C559A2">
              <w:rPr>
                <w:rFonts w:asciiTheme="minorEastAsia" w:eastAsiaTheme="minorEastAsia" w:hAnsiTheme="minorEastAsia" w:cs="Segoe UI" w:hint="eastAsia"/>
                <w:sz w:val="17"/>
                <w:szCs w:val="17"/>
                <w:lang w:eastAsia="zh-HK"/>
              </w:rPr>
              <w:t>及</w:t>
            </w:r>
            <w:r w:rsidR="00C559A2">
              <w:rPr>
                <w:rFonts w:eastAsiaTheme="minorEastAsia" w:cs="Segoe UI"/>
                <w:kern w:val="2"/>
                <w:sz w:val="17"/>
                <w:szCs w:val="17"/>
                <w:lang w:val="en-US" w:eastAsia="zh-TW"/>
              </w:rPr>
              <w:t>2a</w:t>
            </w:r>
          </w:p>
        </w:tc>
        <w:tc>
          <w:tcPr>
            <w:tcW w:w="8505" w:type="dxa"/>
          </w:tcPr>
          <w:p w14:paraId="4906AB50" w14:textId="77777777" w:rsidR="007B417F" w:rsidRPr="00CA7301" w:rsidRDefault="007B417F" w:rsidP="00C559A2">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一級</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2</w:t>
            </w:r>
            <w:r w:rsidR="00C559A2">
              <w:rPr>
                <w:rFonts w:asciiTheme="minorEastAsia" w:eastAsiaTheme="minorEastAsia" w:hAnsiTheme="minorEastAsia" w:cs="Segoe UI" w:hint="eastAsia"/>
                <w:sz w:val="17"/>
                <w:szCs w:val="17"/>
                <w:lang w:eastAsia="zh-HK"/>
              </w:rPr>
              <w:t>及</w:t>
            </w:r>
            <w:r w:rsidR="00C559A2">
              <w:rPr>
                <w:rFonts w:eastAsiaTheme="minorEastAsia" w:cs="Segoe UI"/>
                <w:kern w:val="2"/>
                <w:sz w:val="17"/>
                <w:szCs w:val="17"/>
                <w:lang w:eastAsia="zh-TW"/>
              </w:rPr>
              <w:t>2a</w:t>
            </w:r>
            <w:r w:rsidRPr="00CA7301">
              <w:rPr>
                <w:rFonts w:eastAsiaTheme="minorEastAsia" w:cs="Segoe UI"/>
                <w:iCs/>
                <w:color w:val="000000"/>
                <w:sz w:val="17"/>
                <w:szCs w:val="17"/>
                <w:lang w:val="en-US" w:eastAsia="zh-TW"/>
              </w:rPr>
              <w:t>/</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[CC1: 45/a]</w:t>
            </w:r>
            <w:r w:rsidRPr="00CA7301">
              <w:rPr>
                <w:rFonts w:eastAsiaTheme="minorEastAsia" w:cs="Segoe UI"/>
                <w:iCs/>
                <w:color w:val="000000"/>
                <w:sz w:val="17"/>
                <w:szCs w:val="17"/>
                <w:lang w:val="en-US" w:eastAsia="zh-TW"/>
              </w:rPr>
              <w:t>的值。</w:t>
            </w:r>
          </w:p>
        </w:tc>
      </w:tr>
      <w:tr w:rsidR="007B417F" w:rsidRPr="00CA7301" w14:paraId="11E65B16" w14:textId="77777777" w:rsidTr="000C010D">
        <w:tc>
          <w:tcPr>
            <w:tcW w:w="851" w:type="dxa"/>
          </w:tcPr>
          <w:p w14:paraId="7CC775D1"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3</w:t>
            </w:r>
            <w:r w:rsidR="00C559A2">
              <w:rPr>
                <w:rFonts w:asciiTheme="minorEastAsia" w:eastAsiaTheme="minorEastAsia" w:hAnsiTheme="minorEastAsia" w:cs="Segoe UI" w:hint="eastAsia"/>
                <w:sz w:val="17"/>
                <w:szCs w:val="17"/>
                <w:lang w:eastAsia="zh-HK"/>
              </w:rPr>
              <w:t>及</w:t>
            </w:r>
            <w:r w:rsidR="00C559A2">
              <w:rPr>
                <w:rFonts w:eastAsiaTheme="minorEastAsia" w:cs="Segoe UI"/>
                <w:kern w:val="2"/>
                <w:sz w:val="17"/>
                <w:szCs w:val="17"/>
                <w:lang w:eastAsia="zh-TW"/>
              </w:rPr>
              <w:t>3a</w:t>
            </w:r>
          </w:p>
        </w:tc>
        <w:tc>
          <w:tcPr>
            <w:tcW w:w="8505" w:type="dxa"/>
          </w:tcPr>
          <w:p w14:paraId="0AFFC99E" w14:textId="77777777" w:rsidR="007B417F" w:rsidRPr="00CA7301" w:rsidRDefault="007B417F" w:rsidP="00C559A2">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eastAsia="zh-TW"/>
              </w:rPr>
              <w:t>總資本</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3</w:t>
            </w:r>
            <w:r w:rsidR="00C559A2">
              <w:rPr>
                <w:rFonts w:asciiTheme="minorEastAsia" w:eastAsiaTheme="minorEastAsia" w:hAnsiTheme="minorEastAsia" w:cs="Segoe UI" w:hint="eastAsia"/>
                <w:sz w:val="17"/>
                <w:szCs w:val="17"/>
                <w:lang w:eastAsia="zh-HK"/>
              </w:rPr>
              <w:t>及</w:t>
            </w:r>
            <w:r w:rsidR="00C559A2">
              <w:rPr>
                <w:rFonts w:eastAsiaTheme="minorEastAsia" w:cs="Segoe UI"/>
                <w:kern w:val="2"/>
                <w:sz w:val="17"/>
                <w:szCs w:val="17"/>
                <w:lang w:eastAsia="zh-TW"/>
              </w:rPr>
              <w:t>3a</w:t>
            </w:r>
            <w:r w:rsidRPr="00CA7301">
              <w:rPr>
                <w:rFonts w:eastAsiaTheme="minorEastAsia" w:cs="Segoe UI"/>
                <w:iCs/>
                <w:color w:val="000000"/>
                <w:sz w:val="17"/>
                <w:szCs w:val="17"/>
                <w:lang w:val="en-US" w:eastAsia="zh-TW"/>
              </w:rPr>
              <w:t>/</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[CC1: 59/a]</w:t>
            </w:r>
            <w:r w:rsidRPr="00CA7301">
              <w:rPr>
                <w:rFonts w:eastAsiaTheme="minorEastAsia" w:cs="Segoe UI"/>
                <w:iCs/>
                <w:color w:val="000000"/>
                <w:sz w:val="17"/>
                <w:szCs w:val="17"/>
                <w:lang w:val="en-US" w:eastAsia="zh-TW"/>
              </w:rPr>
              <w:t>的值。</w:t>
            </w:r>
          </w:p>
        </w:tc>
      </w:tr>
      <w:tr w:rsidR="007B417F" w:rsidRPr="00CA7301" w14:paraId="4BF71BC7" w14:textId="77777777" w:rsidTr="000C010D">
        <w:tc>
          <w:tcPr>
            <w:tcW w:w="851" w:type="dxa"/>
          </w:tcPr>
          <w:p w14:paraId="4D4126AB"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4</w:t>
            </w:r>
          </w:p>
        </w:tc>
        <w:tc>
          <w:tcPr>
            <w:tcW w:w="8505" w:type="dxa"/>
          </w:tcPr>
          <w:p w14:paraId="5775597E" w14:textId="77777777" w:rsidR="007B417F" w:rsidRPr="006A7F1C" w:rsidRDefault="006A7F1C" w:rsidP="007B417F">
            <w:pPr>
              <w:widowControl w:val="0"/>
              <w:autoSpaceDE w:val="0"/>
              <w:autoSpaceDN w:val="0"/>
              <w:adjustRightInd w:val="0"/>
              <w:jc w:val="both"/>
              <w:rPr>
                <w:rFonts w:asciiTheme="minorEastAsia" w:eastAsiaTheme="minorEastAsia" w:hAnsiTheme="minorEastAsia" w:cs="Segoe UI"/>
                <w:iCs/>
                <w:color w:val="000000"/>
                <w:sz w:val="17"/>
                <w:szCs w:val="17"/>
                <w:lang w:val="en-US" w:eastAsia="zh-TW"/>
              </w:rPr>
            </w:pPr>
            <w:proofErr w:type="spellStart"/>
            <w:r w:rsidRPr="006A7F1C">
              <w:rPr>
                <w:rFonts w:asciiTheme="minorEastAsia" w:eastAsiaTheme="minorEastAsia" w:hAnsiTheme="minorEastAsia" w:cs="Segoe UI"/>
                <w:i/>
                <w:sz w:val="17"/>
              </w:rPr>
              <w:t>風險加權數額</w:t>
            </w:r>
            <w:r w:rsidRPr="006A7F1C">
              <w:rPr>
                <w:rFonts w:asciiTheme="minorEastAsia" w:eastAsiaTheme="minorEastAsia" w:hAnsiTheme="minorEastAsia" w:cs="Segoe UI"/>
                <w:i/>
                <w:iCs/>
                <w:color w:val="000000"/>
                <w:sz w:val="17"/>
                <w:szCs w:val="17"/>
              </w:rPr>
              <w:t>總額</w:t>
            </w:r>
            <w:proofErr w:type="spellEnd"/>
            <w:r w:rsidRPr="006A7F1C">
              <w:rPr>
                <w:rFonts w:asciiTheme="minorEastAsia" w:eastAsiaTheme="minorEastAsia" w:hAnsiTheme="minorEastAsia" w:cs="Segoe UI"/>
                <w:iCs/>
                <w:color w:val="000000"/>
                <w:sz w:val="17"/>
                <w:szCs w:val="17"/>
              </w:rPr>
              <w:t>：</w:t>
            </w:r>
            <w:r w:rsidRPr="006A7F1C">
              <w:rPr>
                <w:rFonts w:eastAsiaTheme="minorEastAsia" w:cs="Segoe UI"/>
                <w:iCs/>
                <w:color w:val="000000"/>
                <w:sz w:val="17"/>
                <w:szCs w:val="17"/>
              </w:rPr>
              <w:t>[KM1:4/</w:t>
            </w:r>
            <w:proofErr w:type="gramStart"/>
            <w:r w:rsidRPr="006A7F1C">
              <w:rPr>
                <w:rFonts w:eastAsiaTheme="minorEastAsia" w:cs="Segoe UI"/>
                <w:iCs/>
                <w:color w:val="000000"/>
                <w:sz w:val="17"/>
                <w:szCs w:val="17"/>
              </w:rPr>
              <w:t>a]</w:t>
            </w:r>
            <w:r w:rsidRPr="006A7F1C">
              <w:rPr>
                <w:rFonts w:asciiTheme="minorEastAsia" w:eastAsiaTheme="minorEastAsia" w:hAnsiTheme="minorEastAsia" w:cs="Segoe UI" w:hint="eastAsia"/>
                <w:iCs/>
                <w:color w:val="000000"/>
                <w:sz w:val="17"/>
                <w:szCs w:val="17"/>
                <w:lang w:eastAsia="zh-HK"/>
              </w:rPr>
              <w:t>的值應相等於</w:t>
            </w:r>
            <w:proofErr w:type="gramEnd"/>
            <w:r w:rsidRPr="006A7F1C">
              <w:rPr>
                <w:rFonts w:eastAsiaTheme="minorEastAsia" w:cs="Segoe UI"/>
                <w:iCs/>
                <w:color w:val="000000"/>
                <w:sz w:val="17"/>
                <w:szCs w:val="17"/>
                <w:lang w:eastAsia="zh-HK"/>
              </w:rPr>
              <w:t>[OV1:29/a]</w:t>
            </w:r>
            <w:r w:rsidRPr="006A7F1C">
              <w:rPr>
                <w:rFonts w:asciiTheme="minorEastAsia" w:eastAsiaTheme="minorEastAsia" w:hAnsiTheme="minorEastAsia" w:cs="Segoe UI" w:hint="eastAsia"/>
                <w:iCs/>
                <w:color w:val="000000"/>
                <w:sz w:val="17"/>
                <w:szCs w:val="17"/>
                <w:lang w:eastAsia="zh-HK"/>
              </w:rPr>
              <w:t>的值</w:t>
            </w:r>
            <w:r w:rsidRPr="006A7F1C">
              <w:rPr>
                <w:rFonts w:asciiTheme="minorEastAsia" w:eastAsiaTheme="minorEastAsia" w:hAnsiTheme="minorEastAsia" w:cs="Segoe UI" w:hint="eastAsia"/>
                <w:iCs/>
                <w:color w:val="000000"/>
                <w:sz w:val="17"/>
                <w:szCs w:val="17"/>
              </w:rPr>
              <w:t>。</w:t>
            </w:r>
            <w:proofErr w:type="spellStart"/>
            <w:r w:rsidRPr="006A7F1C">
              <w:rPr>
                <w:rFonts w:asciiTheme="minorEastAsia" w:eastAsiaTheme="minorEastAsia" w:hAnsiTheme="minorEastAsia" w:cs="Segoe UI"/>
                <w:iCs/>
                <w:color w:val="000000"/>
                <w:sz w:val="17"/>
                <w:szCs w:val="17"/>
              </w:rPr>
              <w:t>就中期或周年報告期而言</w:t>
            </w:r>
            <w:proofErr w:type="spellEnd"/>
            <w:r w:rsidRPr="006A7F1C">
              <w:rPr>
                <w:rFonts w:asciiTheme="minorEastAsia" w:eastAsiaTheme="minorEastAsia" w:hAnsiTheme="minorEastAsia" w:cs="Segoe UI"/>
                <w:iCs/>
                <w:color w:val="000000"/>
                <w:sz w:val="17"/>
                <w:szCs w:val="17"/>
              </w:rPr>
              <w:t>，</w:t>
            </w:r>
            <w:r w:rsidRPr="006A7F1C">
              <w:rPr>
                <w:rFonts w:eastAsiaTheme="minorEastAsia" w:cs="Segoe UI"/>
                <w:iCs/>
                <w:color w:val="000000"/>
                <w:sz w:val="17"/>
                <w:szCs w:val="17"/>
              </w:rPr>
              <w:t>[KM1: 4/a]</w:t>
            </w:r>
            <w:proofErr w:type="spellStart"/>
            <w:r w:rsidRPr="006A7F1C">
              <w:rPr>
                <w:rFonts w:asciiTheme="minorEastAsia" w:eastAsiaTheme="minorEastAsia" w:hAnsiTheme="minorEastAsia" w:cs="Segoe UI"/>
                <w:iCs/>
                <w:color w:val="000000"/>
                <w:sz w:val="17"/>
                <w:szCs w:val="17"/>
              </w:rPr>
              <w:t>的值</w:t>
            </w:r>
            <w:proofErr w:type="spellEnd"/>
            <w:r w:rsidRPr="006A7F1C">
              <w:rPr>
                <w:rFonts w:asciiTheme="minorEastAsia" w:eastAsiaTheme="minorEastAsia" w:hAnsiTheme="minorEastAsia" w:cs="Segoe UI" w:hint="eastAsia"/>
                <w:iCs/>
                <w:color w:val="000000"/>
                <w:sz w:val="17"/>
                <w:szCs w:val="17"/>
                <w:lang w:eastAsia="zh-HK"/>
              </w:rPr>
              <w:t>亦</w:t>
            </w:r>
            <w:proofErr w:type="spellStart"/>
            <w:r w:rsidRPr="006A7F1C">
              <w:rPr>
                <w:rFonts w:asciiTheme="minorEastAsia" w:eastAsiaTheme="minorEastAsia" w:hAnsiTheme="minorEastAsia" w:cs="Segoe UI"/>
                <w:iCs/>
                <w:color w:val="000000"/>
                <w:sz w:val="17"/>
                <w:szCs w:val="17"/>
              </w:rPr>
              <w:t>應相等於</w:t>
            </w:r>
            <w:proofErr w:type="spellEnd"/>
            <w:r w:rsidRPr="006A7F1C">
              <w:rPr>
                <w:rFonts w:eastAsiaTheme="minorEastAsia" w:cs="Segoe UI"/>
                <w:iCs/>
                <w:color w:val="000000"/>
                <w:sz w:val="17"/>
                <w:szCs w:val="17"/>
              </w:rPr>
              <w:t>[CC1: 60/a]</w:t>
            </w:r>
            <w:proofErr w:type="spellStart"/>
            <w:r w:rsidRPr="006A7F1C">
              <w:rPr>
                <w:rFonts w:asciiTheme="minorEastAsia" w:eastAsiaTheme="minorEastAsia" w:hAnsiTheme="minorEastAsia" w:cs="Segoe UI" w:hint="eastAsia"/>
                <w:iCs/>
                <w:color w:val="000000"/>
                <w:sz w:val="17"/>
                <w:szCs w:val="17"/>
              </w:rPr>
              <w:t>的值</w:t>
            </w:r>
            <w:proofErr w:type="spellEnd"/>
            <w:r w:rsidRPr="006A7F1C">
              <w:rPr>
                <w:rFonts w:asciiTheme="minorEastAsia" w:eastAsiaTheme="minorEastAsia" w:hAnsiTheme="minorEastAsia" w:cs="Segoe UI" w:hint="eastAsia"/>
                <w:iCs/>
                <w:color w:val="000000"/>
                <w:sz w:val="17"/>
                <w:szCs w:val="17"/>
              </w:rPr>
              <w:t>。</w:t>
            </w:r>
          </w:p>
        </w:tc>
      </w:tr>
      <w:tr w:rsidR="00C559A2" w:rsidRPr="00CA7301" w14:paraId="4FCCE4E1" w14:textId="77777777" w:rsidTr="000C010D">
        <w:tc>
          <w:tcPr>
            <w:tcW w:w="851" w:type="dxa"/>
          </w:tcPr>
          <w:p w14:paraId="61F17570" w14:textId="77777777" w:rsidR="00C559A2" w:rsidRPr="00CA7301" w:rsidRDefault="006A7F1C" w:rsidP="007B417F">
            <w:pPr>
              <w:widowControl w:val="0"/>
              <w:rPr>
                <w:rFonts w:eastAsiaTheme="minorEastAsia" w:cs="Segoe UI"/>
                <w:kern w:val="2"/>
                <w:sz w:val="17"/>
                <w:szCs w:val="17"/>
                <w:lang w:eastAsia="zh-TW"/>
              </w:rPr>
            </w:pPr>
            <w:r>
              <w:rPr>
                <w:rFonts w:eastAsiaTheme="minorEastAsia" w:cs="Segoe UI"/>
                <w:kern w:val="2"/>
                <w:sz w:val="17"/>
                <w:szCs w:val="17"/>
                <w:lang w:eastAsia="zh-TW"/>
              </w:rPr>
              <w:t>4a</w:t>
            </w:r>
          </w:p>
        </w:tc>
        <w:tc>
          <w:tcPr>
            <w:tcW w:w="8505" w:type="dxa"/>
          </w:tcPr>
          <w:p w14:paraId="073322DB" w14:textId="3DAD1A0B" w:rsidR="00C559A2" w:rsidRPr="00CA7301" w:rsidRDefault="006A7F1C" w:rsidP="00C145D6">
            <w:pPr>
              <w:widowControl w:val="0"/>
              <w:autoSpaceDE w:val="0"/>
              <w:autoSpaceDN w:val="0"/>
              <w:adjustRightInd w:val="0"/>
              <w:jc w:val="both"/>
              <w:rPr>
                <w:rFonts w:eastAsia="細明體" w:cs="Segoe UI"/>
                <w:i/>
                <w:kern w:val="2"/>
                <w:sz w:val="17"/>
                <w:szCs w:val="22"/>
                <w:lang w:val="en-US" w:eastAsia="zh-TW"/>
              </w:rPr>
            </w:pPr>
            <w:r w:rsidRPr="006A7F1C">
              <w:rPr>
                <w:rFonts w:eastAsia="細明體" w:cs="Segoe UI" w:hint="eastAsia"/>
                <w:i/>
                <w:kern w:val="2"/>
                <w:sz w:val="17"/>
                <w:szCs w:val="22"/>
                <w:lang w:val="en-US" w:eastAsia="zh-TW"/>
              </w:rPr>
              <w:t>風險加權數額總額（下限前）</w:t>
            </w:r>
            <w:r w:rsidRPr="00217BE5">
              <w:rPr>
                <w:rFonts w:eastAsia="細明體" w:cs="Segoe UI" w:hint="eastAsia"/>
                <w:kern w:val="2"/>
                <w:sz w:val="17"/>
                <w:szCs w:val="22"/>
                <w:lang w:val="en-US" w:eastAsia="zh-TW"/>
              </w:rPr>
              <w:t>：所披露</w:t>
            </w:r>
            <w:r w:rsidR="009D20C2" w:rsidRPr="006A7F1C">
              <w:rPr>
                <w:rFonts w:asciiTheme="minorEastAsia" w:eastAsiaTheme="minorEastAsia" w:hAnsiTheme="minorEastAsia" w:cs="Segoe UI" w:hint="eastAsia"/>
                <w:iCs/>
                <w:color w:val="000000"/>
                <w:sz w:val="17"/>
                <w:szCs w:val="17"/>
                <w:lang w:eastAsia="zh-HK"/>
              </w:rPr>
              <w:t>的</w:t>
            </w:r>
            <w:r w:rsidRPr="00217BE5">
              <w:rPr>
                <w:rFonts w:eastAsia="細明體" w:cs="Segoe UI" w:hint="eastAsia"/>
                <w:kern w:val="2"/>
                <w:sz w:val="17"/>
                <w:szCs w:val="22"/>
                <w:lang w:val="en-US" w:eastAsia="zh-TW"/>
              </w:rPr>
              <w:t>數額</w:t>
            </w:r>
            <w:r w:rsidR="00AF7E1F" w:rsidRPr="006A7F1C">
              <w:rPr>
                <w:rFonts w:asciiTheme="minorEastAsia" w:eastAsiaTheme="minorEastAsia" w:hAnsiTheme="minorEastAsia" w:cs="Segoe UI"/>
                <w:iCs/>
                <w:color w:val="000000"/>
                <w:sz w:val="17"/>
                <w:szCs w:val="17"/>
                <w:lang w:eastAsia="zh-TW"/>
              </w:rPr>
              <w:t>應</w:t>
            </w:r>
            <w:r w:rsidR="009C54A9" w:rsidRPr="009C54A9">
              <w:rPr>
                <w:rFonts w:asciiTheme="minorEastAsia" w:eastAsiaTheme="minorEastAsia" w:hAnsiTheme="minorEastAsia" w:cs="Segoe UI" w:hint="eastAsia"/>
                <w:iCs/>
                <w:color w:val="000000"/>
                <w:sz w:val="17"/>
                <w:szCs w:val="17"/>
                <w:lang w:eastAsia="zh-TW"/>
              </w:rPr>
              <w:t>剔除</w:t>
            </w:r>
            <w:r w:rsidRPr="00217BE5">
              <w:rPr>
                <w:rFonts w:eastAsia="細明體" w:cs="Segoe UI" w:hint="eastAsia"/>
                <w:kern w:val="2"/>
                <w:sz w:val="17"/>
                <w:szCs w:val="22"/>
                <w:lang w:val="en-US" w:eastAsia="zh-TW"/>
              </w:rPr>
              <w:t>因應用出項下限而對風險加權數額總額作出的任何調整。</w:t>
            </w:r>
            <w:r w:rsidRPr="00217BE5">
              <w:rPr>
                <w:rFonts w:eastAsia="細明體" w:cs="Segoe UI"/>
                <w:kern w:val="2"/>
                <w:sz w:val="17"/>
                <w:szCs w:val="22"/>
                <w:lang w:val="en-US" w:eastAsia="zh-TW"/>
              </w:rPr>
              <w:t>[KM1:4a/</w:t>
            </w:r>
            <w:proofErr w:type="gramStart"/>
            <w:r w:rsidRPr="00217BE5">
              <w:rPr>
                <w:rFonts w:eastAsia="細明體" w:cs="Segoe UI"/>
                <w:kern w:val="2"/>
                <w:sz w:val="17"/>
                <w:szCs w:val="22"/>
                <w:lang w:val="en-US" w:eastAsia="zh-TW"/>
              </w:rPr>
              <w:t>a]</w:t>
            </w:r>
            <w:r w:rsidRPr="00217BE5">
              <w:rPr>
                <w:rFonts w:eastAsia="細明體" w:cs="Segoe UI" w:hint="eastAsia"/>
                <w:kern w:val="2"/>
                <w:sz w:val="17"/>
                <w:szCs w:val="22"/>
                <w:lang w:val="en-US" w:eastAsia="zh-TW"/>
              </w:rPr>
              <w:t>的值</w:t>
            </w:r>
            <w:r w:rsidR="00C145D6" w:rsidRPr="00CA7301">
              <w:rPr>
                <w:rFonts w:eastAsiaTheme="minorEastAsia" w:cs="Segoe UI"/>
                <w:iCs/>
                <w:color w:val="000000"/>
                <w:sz w:val="17"/>
                <w:szCs w:val="17"/>
                <w:lang w:val="en-US" w:eastAsia="zh-TW"/>
              </w:rPr>
              <w:t>應</w:t>
            </w:r>
            <w:r w:rsidRPr="00217BE5">
              <w:rPr>
                <w:rFonts w:eastAsia="細明體" w:cs="Segoe UI" w:hint="eastAsia"/>
                <w:kern w:val="2"/>
                <w:sz w:val="17"/>
                <w:szCs w:val="22"/>
                <w:lang w:val="en-US" w:eastAsia="zh-TW"/>
              </w:rPr>
              <w:t>相等於</w:t>
            </w:r>
            <w:proofErr w:type="gramEnd"/>
            <w:r w:rsidR="00C145D6" w:rsidRPr="00C145D6">
              <w:rPr>
                <w:rFonts w:eastAsia="細明體" w:cs="Segoe UI"/>
                <w:kern w:val="2"/>
                <w:sz w:val="17"/>
                <w:szCs w:val="22"/>
                <w:lang w:val="en-US" w:eastAsia="zh-TW"/>
              </w:rPr>
              <w:t xml:space="preserve"> ([OV1:29/a] </w:t>
            </w:r>
            <w:r w:rsidR="00AF7E1F">
              <w:rPr>
                <w:rFonts w:eastAsia="細明體" w:cs="Segoe UI" w:hint="eastAsia"/>
                <w:kern w:val="2"/>
                <w:sz w:val="17"/>
                <w:szCs w:val="22"/>
                <w:lang w:val="en-US" w:eastAsia="zh-HK"/>
              </w:rPr>
              <w:t>減</w:t>
            </w:r>
            <w:r w:rsidRPr="00217BE5">
              <w:rPr>
                <w:rFonts w:eastAsia="細明體" w:cs="Segoe UI"/>
                <w:kern w:val="2"/>
                <w:sz w:val="17"/>
                <w:szCs w:val="22"/>
                <w:lang w:val="en-US" w:eastAsia="zh-TW"/>
              </w:rPr>
              <w:t xml:space="preserve"> [OV1:27/a]) </w:t>
            </w:r>
            <w:r w:rsidR="00AF7E1F" w:rsidRPr="00AF7E1F">
              <w:rPr>
                <w:rFonts w:eastAsia="細明體" w:cs="Segoe UI" w:hint="eastAsia"/>
                <w:kern w:val="2"/>
                <w:sz w:val="17"/>
                <w:szCs w:val="22"/>
                <w:lang w:val="en-US" w:eastAsia="zh-TW"/>
              </w:rPr>
              <w:t>。無</w:t>
            </w:r>
            <w:r w:rsidR="00AF7E1F">
              <w:rPr>
                <w:rFonts w:eastAsiaTheme="minorEastAsia" w:cs="Segoe UI" w:hint="eastAsia"/>
                <w:iCs/>
                <w:color w:val="000000"/>
                <w:sz w:val="17"/>
                <w:szCs w:val="17"/>
                <w:lang w:val="en-US" w:eastAsia="zh-HK"/>
              </w:rPr>
              <w:t>須</w:t>
            </w:r>
            <w:r w:rsidRPr="00217BE5">
              <w:rPr>
                <w:rFonts w:eastAsia="細明體" w:cs="Segoe UI" w:hint="eastAsia"/>
                <w:kern w:val="2"/>
                <w:sz w:val="17"/>
                <w:szCs w:val="22"/>
                <w:lang w:val="en-US" w:eastAsia="zh-TW"/>
              </w:rPr>
              <w:t>應用出項下限規定的認可機構，可在第</w:t>
            </w:r>
            <w:r w:rsidRPr="00217BE5">
              <w:rPr>
                <w:rFonts w:eastAsia="細明體" w:cs="Segoe UI"/>
                <w:kern w:val="2"/>
                <w:sz w:val="17"/>
                <w:szCs w:val="22"/>
                <w:lang w:val="en-US" w:eastAsia="zh-TW"/>
              </w:rPr>
              <w:t>4</w:t>
            </w:r>
            <w:r w:rsidRPr="00217BE5">
              <w:rPr>
                <w:rFonts w:eastAsia="細明體" w:cs="Segoe UI" w:hint="eastAsia"/>
                <w:kern w:val="2"/>
                <w:sz w:val="17"/>
                <w:szCs w:val="22"/>
                <w:lang w:val="en-US" w:eastAsia="zh-TW"/>
              </w:rPr>
              <w:t>行及本行披露相同的值。</w:t>
            </w:r>
          </w:p>
        </w:tc>
      </w:tr>
      <w:tr w:rsidR="007B417F" w:rsidRPr="00CA7301" w14:paraId="35180E98" w14:textId="77777777" w:rsidTr="000C010D">
        <w:tc>
          <w:tcPr>
            <w:tcW w:w="851" w:type="dxa"/>
          </w:tcPr>
          <w:p w14:paraId="027563DC"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5</w:t>
            </w:r>
            <w:r w:rsidR="006A7F1C">
              <w:rPr>
                <w:rFonts w:asciiTheme="minorEastAsia" w:eastAsiaTheme="minorEastAsia" w:hAnsiTheme="minorEastAsia" w:cs="Segoe UI" w:hint="eastAsia"/>
                <w:sz w:val="17"/>
                <w:szCs w:val="17"/>
                <w:lang w:eastAsia="zh-HK"/>
              </w:rPr>
              <w:t>及</w:t>
            </w:r>
            <w:r w:rsidR="006A7F1C">
              <w:rPr>
                <w:rFonts w:eastAsiaTheme="minorEastAsia" w:cs="Segoe UI"/>
                <w:kern w:val="2"/>
                <w:sz w:val="17"/>
                <w:szCs w:val="17"/>
                <w:lang w:eastAsia="zh-TW"/>
              </w:rPr>
              <w:t>5a</w:t>
            </w:r>
          </w:p>
        </w:tc>
        <w:tc>
          <w:tcPr>
            <w:tcW w:w="8505" w:type="dxa"/>
          </w:tcPr>
          <w:p w14:paraId="6C849369"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CET1</w:t>
            </w:r>
            <w:r w:rsidRPr="00CA7301">
              <w:rPr>
                <w:rFonts w:eastAsiaTheme="minorEastAsia" w:cs="Segoe UI"/>
                <w:i/>
                <w:iCs/>
                <w:color w:val="000000"/>
                <w:sz w:val="17"/>
                <w:szCs w:val="17"/>
                <w:lang w:val="en-US" w:eastAsia="zh-TW"/>
              </w:rPr>
              <w:t>比率</w:t>
            </w:r>
            <w:r w:rsidRPr="00CA7301">
              <w:rPr>
                <w:rFonts w:eastAsiaTheme="minorEastAsia" w:cs="Segoe UI"/>
                <w:i/>
                <w:iCs/>
                <w:color w:val="000000"/>
                <w:sz w:val="17"/>
                <w:szCs w:val="17"/>
                <w:lang w:val="en-US" w:eastAsia="zh-TW"/>
              </w:rPr>
              <w:t xml:space="preserve"> (</w:t>
            </w:r>
            <w:proofErr w:type="gramStart"/>
            <w:r w:rsidRPr="00CA7301">
              <w:rPr>
                <w:rFonts w:eastAsiaTheme="minorEastAsia" w:cs="Segoe UI"/>
                <w:i/>
                <w:iCs/>
                <w:color w:val="000000"/>
                <w:sz w:val="17"/>
                <w:szCs w:val="17"/>
                <w:lang w:val="en-US" w:eastAsia="zh-TW"/>
              </w:rPr>
              <w:t>%)</w:t>
            </w:r>
            <w:r w:rsidRPr="00CA7301">
              <w:rPr>
                <w:rFonts w:eastAsiaTheme="minorEastAsia" w:cs="Segoe UI"/>
                <w:iCs/>
                <w:color w:val="000000"/>
                <w:sz w:val="17"/>
                <w:szCs w:val="17"/>
                <w:lang w:val="en-US" w:eastAsia="zh-TW"/>
              </w:rPr>
              <w:t>：</w:t>
            </w:r>
            <w:proofErr w:type="gramEnd"/>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5</w:t>
            </w:r>
            <w:r w:rsidR="006A7F1C">
              <w:rPr>
                <w:rFonts w:asciiTheme="minorEastAsia" w:eastAsiaTheme="minorEastAsia" w:hAnsiTheme="minorEastAsia" w:cs="Segoe UI" w:hint="eastAsia"/>
                <w:sz w:val="17"/>
                <w:szCs w:val="17"/>
                <w:lang w:eastAsia="zh-HK"/>
              </w:rPr>
              <w:t>及</w:t>
            </w:r>
            <w:r w:rsidR="006A7F1C">
              <w:rPr>
                <w:rFonts w:eastAsiaTheme="minorEastAsia" w:cs="Segoe UI"/>
                <w:kern w:val="2"/>
                <w:sz w:val="17"/>
                <w:szCs w:val="17"/>
                <w:lang w:eastAsia="zh-TW"/>
              </w:rPr>
              <w:t>5a</w:t>
            </w:r>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r w:rsidRPr="00CA7301">
              <w:rPr>
                <w:rFonts w:eastAsiaTheme="minorEastAsia" w:cs="Segoe UI"/>
                <w:iCs/>
                <w:color w:val="000000"/>
                <w:sz w:val="17"/>
                <w:szCs w:val="17"/>
                <w:lang w:val="en-US" w:eastAsia="zh-TW"/>
              </w:rPr>
              <w:t>[CC1: 61/a]</w:t>
            </w:r>
            <w:r w:rsidRPr="00CA7301">
              <w:rPr>
                <w:rFonts w:eastAsiaTheme="minorEastAsia" w:cs="Segoe UI"/>
                <w:iCs/>
                <w:color w:val="000000"/>
                <w:sz w:val="17"/>
                <w:szCs w:val="17"/>
                <w:lang w:val="en-US" w:eastAsia="zh-TW"/>
              </w:rPr>
              <w:t>的值。</w:t>
            </w:r>
          </w:p>
        </w:tc>
      </w:tr>
      <w:tr w:rsidR="006A7F1C" w:rsidRPr="00CA7301" w14:paraId="24C31280" w14:textId="77777777" w:rsidTr="000C010D">
        <w:tc>
          <w:tcPr>
            <w:tcW w:w="851" w:type="dxa"/>
          </w:tcPr>
          <w:p w14:paraId="76F4B9E7" w14:textId="77777777" w:rsidR="006A7F1C" w:rsidRPr="00CA7301" w:rsidRDefault="006A7F1C" w:rsidP="007B417F">
            <w:pPr>
              <w:widowControl w:val="0"/>
              <w:rPr>
                <w:rFonts w:eastAsiaTheme="minorEastAsia" w:cs="Segoe UI"/>
                <w:kern w:val="2"/>
                <w:sz w:val="17"/>
                <w:szCs w:val="17"/>
                <w:lang w:eastAsia="zh-TW"/>
              </w:rPr>
            </w:pPr>
            <w:r>
              <w:rPr>
                <w:rFonts w:eastAsiaTheme="minorEastAsia" w:cs="Segoe UI"/>
                <w:kern w:val="2"/>
                <w:sz w:val="17"/>
                <w:szCs w:val="17"/>
                <w:lang w:eastAsia="zh-TW"/>
              </w:rPr>
              <w:t>5b</w:t>
            </w:r>
          </w:p>
        </w:tc>
        <w:tc>
          <w:tcPr>
            <w:tcW w:w="8505" w:type="dxa"/>
          </w:tcPr>
          <w:p w14:paraId="258CC735" w14:textId="7CF05117" w:rsidR="006A7F1C" w:rsidRPr="00CA7301" w:rsidRDefault="00CA38A8" w:rsidP="009C54A9">
            <w:pPr>
              <w:widowControl w:val="0"/>
              <w:autoSpaceDE w:val="0"/>
              <w:autoSpaceDN w:val="0"/>
              <w:adjustRightInd w:val="0"/>
              <w:jc w:val="both"/>
              <w:rPr>
                <w:rFonts w:eastAsiaTheme="minorEastAsia" w:cs="Segoe UI"/>
                <w:i/>
                <w:iCs/>
                <w:color w:val="000000"/>
                <w:sz w:val="17"/>
                <w:szCs w:val="17"/>
                <w:lang w:val="en-US" w:eastAsia="zh-TW"/>
              </w:rPr>
            </w:pPr>
            <w:r w:rsidRPr="00CA38A8">
              <w:rPr>
                <w:rFonts w:eastAsiaTheme="minorEastAsia" w:cs="Segoe UI"/>
                <w:i/>
                <w:iCs/>
                <w:color w:val="000000"/>
                <w:sz w:val="17"/>
                <w:szCs w:val="17"/>
                <w:lang w:val="en-US" w:eastAsia="zh-TW"/>
              </w:rPr>
              <w:t>CET1</w:t>
            </w:r>
            <w:r w:rsidRPr="00CA38A8">
              <w:rPr>
                <w:rFonts w:eastAsiaTheme="minorEastAsia" w:cs="Segoe UI" w:hint="eastAsia"/>
                <w:i/>
                <w:iCs/>
                <w:color w:val="000000"/>
                <w:sz w:val="17"/>
                <w:szCs w:val="17"/>
                <w:lang w:val="en-US" w:eastAsia="zh-TW"/>
              </w:rPr>
              <w:t>比率</w:t>
            </w:r>
            <w:r w:rsidRPr="00CA38A8">
              <w:rPr>
                <w:rFonts w:eastAsiaTheme="minorEastAsia" w:cs="Segoe UI"/>
                <w:i/>
                <w:iCs/>
                <w:color w:val="000000"/>
                <w:sz w:val="17"/>
                <w:szCs w:val="17"/>
                <w:lang w:val="en-US" w:eastAsia="zh-TW"/>
              </w:rPr>
              <w:t xml:space="preserve"> (</w:t>
            </w:r>
            <w:proofErr w:type="gramStart"/>
            <w:r w:rsidRPr="00CA38A8">
              <w:rPr>
                <w:rFonts w:eastAsiaTheme="minorEastAsia" w:cs="Segoe UI"/>
                <w:i/>
                <w:iCs/>
                <w:color w:val="000000"/>
                <w:sz w:val="17"/>
                <w:szCs w:val="17"/>
                <w:lang w:val="en-US" w:eastAsia="zh-TW"/>
              </w:rPr>
              <w:t>%)</w:t>
            </w:r>
            <w:r w:rsidRPr="00CA38A8">
              <w:rPr>
                <w:rFonts w:eastAsiaTheme="minorEastAsia" w:cs="Segoe UI" w:hint="eastAsia"/>
                <w:i/>
                <w:iCs/>
                <w:color w:val="000000"/>
                <w:sz w:val="17"/>
                <w:szCs w:val="17"/>
                <w:lang w:val="en-US" w:eastAsia="zh-TW"/>
              </w:rPr>
              <w:t>（</w:t>
            </w:r>
            <w:proofErr w:type="gramEnd"/>
            <w:r w:rsidRPr="00CA38A8">
              <w:rPr>
                <w:rFonts w:eastAsiaTheme="minorEastAsia" w:cs="Segoe UI" w:hint="eastAsia"/>
                <w:i/>
                <w:iCs/>
                <w:color w:val="000000"/>
                <w:sz w:val="17"/>
                <w:szCs w:val="17"/>
                <w:lang w:val="en-US" w:eastAsia="zh-TW"/>
              </w:rPr>
              <w:t>下限前比率）</w:t>
            </w:r>
            <w:r w:rsidR="00AF7E1F" w:rsidRPr="00AF7E1F">
              <w:rPr>
                <w:rFonts w:eastAsiaTheme="minorEastAsia" w:cs="Segoe UI" w:hint="eastAsia"/>
                <w:iCs/>
                <w:color w:val="000000"/>
                <w:sz w:val="17"/>
                <w:szCs w:val="17"/>
                <w:lang w:val="en-US" w:eastAsia="zh-TW"/>
              </w:rPr>
              <w:t>：所披露比率</w:t>
            </w:r>
            <w:r w:rsidR="00AF7E1F" w:rsidRPr="006A7F1C">
              <w:rPr>
                <w:rFonts w:asciiTheme="minorEastAsia" w:eastAsiaTheme="minorEastAsia" w:hAnsiTheme="minorEastAsia" w:cs="Segoe UI"/>
                <w:iCs/>
                <w:color w:val="000000"/>
                <w:sz w:val="17"/>
                <w:szCs w:val="17"/>
                <w:lang w:eastAsia="zh-TW"/>
              </w:rPr>
              <w:t>應</w:t>
            </w:r>
            <w:r w:rsidR="009C54A9" w:rsidRPr="009C54A9">
              <w:rPr>
                <w:rFonts w:asciiTheme="minorEastAsia" w:eastAsiaTheme="minorEastAsia" w:hAnsiTheme="minorEastAsia" w:cs="Segoe UI" w:hint="eastAsia"/>
                <w:iCs/>
                <w:color w:val="000000"/>
                <w:sz w:val="17"/>
                <w:szCs w:val="17"/>
                <w:lang w:eastAsia="zh-TW"/>
              </w:rPr>
              <w:t>剔除</w:t>
            </w:r>
            <w:r w:rsidR="00AF7E1F" w:rsidRPr="00AF7E1F">
              <w:rPr>
                <w:rFonts w:eastAsiaTheme="minorEastAsia" w:cs="Segoe UI" w:hint="eastAsia"/>
                <w:iCs/>
                <w:color w:val="000000"/>
                <w:sz w:val="17"/>
                <w:szCs w:val="17"/>
                <w:lang w:val="en-US" w:eastAsia="zh-TW"/>
              </w:rPr>
              <w:t>出項下限在風險加權數額的計算中的影響。無</w:t>
            </w:r>
            <w:r w:rsidR="00AF7E1F">
              <w:rPr>
                <w:rFonts w:eastAsiaTheme="minorEastAsia" w:cs="Segoe UI" w:hint="eastAsia"/>
                <w:iCs/>
                <w:color w:val="000000"/>
                <w:sz w:val="17"/>
                <w:szCs w:val="17"/>
                <w:lang w:val="en-US" w:eastAsia="zh-HK"/>
              </w:rPr>
              <w:t>須</w:t>
            </w:r>
            <w:r w:rsidRPr="00217BE5">
              <w:rPr>
                <w:rFonts w:eastAsiaTheme="minorEastAsia" w:cs="Segoe UI" w:hint="eastAsia"/>
                <w:iCs/>
                <w:color w:val="000000"/>
                <w:sz w:val="17"/>
                <w:szCs w:val="17"/>
                <w:lang w:val="en-US" w:eastAsia="zh-TW"/>
              </w:rPr>
              <w:t>應用出項下限規定的認可機構，可在第</w:t>
            </w:r>
            <w:r w:rsidRPr="00217BE5">
              <w:rPr>
                <w:rFonts w:eastAsiaTheme="minorEastAsia" w:cs="Segoe UI"/>
                <w:iCs/>
                <w:color w:val="000000"/>
                <w:sz w:val="17"/>
                <w:szCs w:val="17"/>
                <w:lang w:val="en-US" w:eastAsia="zh-TW"/>
              </w:rPr>
              <w:t>5</w:t>
            </w:r>
            <w:r w:rsidRPr="00217BE5">
              <w:rPr>
                <w:rFonts w:eastAsiaTheme="minorEastAsia" w:cs="Segoe UI" w:hint="eastAsia"/>
                <w:iCs/>
                <w:color w:val="000000"/>
                <w:sz w:val="17"/>
                <w:szCs w:val="17"/>
                <w:lang w:val="en-US" w:eastAsia="zh-TW"/>
              </w:rPr>
              <w:t>及</w:t>
            </w:r>
            <w:r w:rsidRPr="00217BE5">
              <w:rPr>
                <w:rFonts w:eastAsiaTheme="minorEastAsia" w:cs="Segoe UI"/>
                <w:iCs/>
                <w:color w:val="000000"/>
                <w:sz w:val="17"/>
                <w:szCs w:val="17"/>
                <w:lang w:val="en-US" w:eastAsia="zh-TW"/>
              </w:rPr>
              <w:t>5a</w:t>
            </w:r>
            <w:r w:rsidRPr="00217BE5">
              <w:rPr>
                <w:rFonts w:eastAsiaTheme="minorEastAsia" w:cs="Segoe UI" w:hint="eastAsia"/>
                <w:iCs/>
                <w:color w:val="000000"/>
                <w:sz w:val="17"/>
                <w:szCs w:val="17"/>
                <w:lang w:val="en-US" w:eastAsia="zh-TW"/>
              </w:rPr>
              <w:t>行及本行披露相同的值。</w:t>
            </w:r>
          </w:p>
        </w:tc>
      </w:tr>
      <w:tr w:rsidR="007B417F" w:rsidRPr="00CA7301" w14:paraId="2EB86056" w14:textId="77777777" w:rsidTr="000C010D">
        <w:tc>
          <w:tcPr>
            <w:tcW w:w="851" w:type="dxa"/>
          </w:tcPr>
          <w:p w14:paraId="6AA96E99" w14:textId="412BBB2F"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6</w:t>
            </w:r>
            <w:r w:rsidR="00CA38A8">
              <w:rPr>
                <w:rFonts w:asciiTheme="minorEastAsia" w:eastAsiaTheme="minorEastAsia" w:hAnsiTheme="minorEastAsia" w:cs="Segoe UI" w:hint="eastAsia"/>
                <w:sz w:val="17"/>
                <w:szCs w:val="17"/>
                <w:lang w:eastAsia="zh-HK"/>
              </w:rPr>
              <w:t>及</w:t>
            </w:r>
            <w:r w:rsidR="00CA38A8">
              <w:rPr>
                <w:rFonts w:eastAsiaTheme="minorEastAsia" w:cs="Segoe UI"/>
                <w:kern w:val="2"/>
                <w:sz w:val="17"/>
                <w:szCs w:val="17"/>
                <w:lang w:eastAsia="zh-TW"/>
              </w:rPr>
              <w:t>6a</w:t>
            </w:r>
          </w:p>
        </w:tc>
        <w:tc>
          <w:tcPr>
            <w:tcW w:w="8505" w:type="dxa"/>
          </w:tcPr>
          <w:p w14:paraId="0104C2F8" w14:textId="4496953A"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一級比率</w:t>
            </w:r>
            <w:r w:rsidRPr="00CA7301">
              <w:rPr>
                <w:rFonts w:eastAsiaTheme="minorEastAsia" w:cs="Segoe UI"/>
                <w:i/>
                <w:iCs/>
                <w:color w:val="000000"/>
                <w:sz w:val="17"/>
                <w:szCs w:val="17"/>
                <w:lang w:val="en-US" w:eastAsia="zh-TW"/>
              </w:rPr>
              <w:t xml:space="preserve"> (%)</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6</w:t>
            </w:r>
            <w:r w:rsidR="00CA38A8">
              <w:rPr>
                <w:rFonts w:asciiTheme="minorEastAsia" w:eastAsiaTheme="minorEastAsia" w:hAnsiTheme="minorEastAsia" w:cs="Segoe UI" w:hint="eastAsia"/>
                <w:sz w:val="17"/>
                <w:szCs w:val="17"/>
                <w:lang w:eastAsia="zh-HK"/>
              </w:rPr>
              <w:t>及</w:t>
            </w:r>
            <w:r w:rsidR="00CA38A8">
              <w:rPr>
                <w:rFonts w:eastAsiaTheme="minorEastAsia" w:cs="Segoe UI"/>
                <w:kern w:val="2"/>
                <w:sz w:val="17"/>
                <w:szCs w:val="17"/>
                <w:lang w:eastAsia="zh-TW"/>
              </w:rPr>
              <w:t>6a</w:t>
            </w:r>
            <w:r w:rsidRPr="00CA7301">
              <w:rPr>
                <w:rFonts w:eastAsiaTheme="minorEastAsia" w:cs="Segoe UI"/>
                <w:iCs/>
                <w:color w:val="000000"/>
                <w:sz w:val="17"/>
                <w:szCs w:val="17"/>
                <w:lang w:val="en-US" w:eastAsia="zh-TW"/>
              </w:rPr>
              <w:t xml:space="preserve">/a] </w:t>
            </w:r>
            <w:proofErr w:type="gramStart"/>
            <w:r w:rsidRPr="00CA7301">
              <w:rPr>
                <w:rFonts w:eastAsiaTheme="minorEastAsia" w:cs="Segoe UI"/>
                <w:iCs/>
                <w:color w:val="000000"/>
                <w:sz w:val="17"/>
                <w:szCs w:val="17"/>
                <w:lang w:val="en-US" w:eastAsia="zh-TW"/>
              </w:rPr>
              <w:t>的值應相等於</w:t>
            </w:r>
            <w:r w:rsidRPr="00CA7301">
              <w:rPr>
                <w:rFonts w:eastAsiaTheme="minorEastAsia" w:cs="Segoe UI"/>
                <w:iCs/>
                <w:color w:val="000000"/>
                <w:sz w:val="17"/>
                <w:szCs w:val="17"/>
                <w:lang w:val="en-US" w:eastAsia="zh-TW"/>
              </w:rPr>
              <w:t>[</w:t>
            </w:r>
            <w:proofErr w:type="gramEnd"/>
            <w:r w:rsidRPr="00CA7301">
              <w:rPr>
                <w:rFonts w:eastAsiaTheme="minorEastAsia" w:cs="Segoe UI"/>
                <w:iCs/>
                <w:color w:val="000000"/>
                <w:sz w:val="17"/>
                <w:szCs w:val="17"/>
                <w:lang w:val="en-US" w:eastAsia="zh-TW"/>
              </w:rPr>
              <w:t>CC1: 62/a]</w:t>
            </w:r>
            <w:r w:rsidRPr="00CA7301">
              <w:rPr>
                <w:rFonts w:eastAsiaTheme="minorEastAsia" w:cs="Segoe UI"/>
                <w:iCs/>
                <w:color w:val="000000"/>
                <w:sz w:val="17"/>
                <w:szCs w:val="17"/>
                <w:lang w:val="en-US" w:eastAsia="zh-TW"/>
              </w:rPr>
              <w:t>的值。</w:t>
            </w:r>
          </w:p>
        </w:tc>
      </w:tr>
      <w:tr w:rsidR="00CA38A8" w:rsidRPr="00CA7301" w14:paraId="0D57F660" w14:textId="77777777" w:rsidTr="000C010D">
        <w:tc>
          <w:tcPr>
            <w:tcW w:w="851" w:type="dxa"/>
          </w:tcPr>
          <w:p w14:paraId="0534E70B" w14:textId="0DCE5E6B" w:rsidR="00CA38A8" w:rsidRPr="00CA7301" w:rsidRDefault="00CA38A8" w:rsidP="007B417F">
            <w:pPr>
              <w:widowControl w:val="0"/>
              <w:rPr>
                <w:rFonts w:eastAsiaTheme="minorEastAsia" w:cs="Segoe UI"/>
                <w:kern w:val="2"/>
                <w:sz w:val="17"/>
                <w:szCs w:val="17"/>
                <w:lang w:eastAsia="zh-TW"/>
              </w:rPr>
            </w:pPr>
            <w:r>
              <w:rPr>
                <w:rFonts w:eastAsiaTheme="minorEastAsia" w:cs="Segoe UI"/>
                <w:kern w:val="2"/>
                <w:sz w:val="17"/>
                <w:szCs w:val="17"/>
                <w:lang w:eastAsia="zh-TW"/>
              </w:rPr>
              <w:lastRenderedPageBreak/>
              <w:t>6b</w:t>
            </w:r>
          </w:p>
        </w:tc>
        <w:tc>
          <w:tcPr>
            <w:tcW w:w="8505" w:type="dxa"/>
          </w:tcPr>
          <w:p w14:paraId="59903BEE" w14:textId="60BF1D86" w:rsidR="00CA38A8" w:rsidRPr="00CA7301" w:rsidRDefault="00CA38A8" w:rsidP="00C145D6">
            <w:pPr>
              <w:widowControl w:val="0"/>
              <w:autoSpaceDE w:val="0"/>
              <w:autoSpaceDN w:val="0"/>
              <w:adjustRightInd w:val="0"/>
              <w:jc w:val="both"/>
              <w:rPr>
                <w:rFonts w:eastAsiaTheme="minorEastAsia" w:cs="Segoe UI"/>
                <w:i/>
                <w:iCs/>
                <w:color w:val="000000"/>
                <w:sz w:val="17"/>
                <w:szCs w:val="17"/>
                <w:lang w:val="en-US" w:eastAsia="zh-TW"/>
              </w:rPr>
            </w:pPr>
            <w:r w:rsidRPr="00CA38A8">
              <w:rPr>
                <w:rFonts w:eastAsiaTheme="minorEastAsia" w:cs="Segoe UI" w:hint="eastAsia"/>
                <w:i/>
                <w:iCs/>
                <w:color w:val="000000"/>
                <w:sz w:val="17"/>
                <w:szCs w:val="17"/>
                <w:lang w:val="en-US" w:eastAsia="zh-TW"/>
              </w:rPr>
              <w:t>一級比率</w:t>
            </w:r>
            <w:r w:rsidRPr="00CA38A8">
              <w:rPr>
                <w:rFonts w:eastAsiaTheme="minorEastAsia" w:cs="Segoe UI"/>
                <w:i/>
                <w:iCs/>
                <w:color w:val="000000"/>
                <w:sz w:val="17"/>
                <w:szCs w:val="17"/>
                <w:lang w:val="en-US" w:eastAsia="zh-TW"/>
              </w:rPr>
              <w:t xml:space="preserve"> (%)</w:t>
            </w:r>
            <w:r w:rsidRPr="00CA38A8">
              <w:rPr>
                <w:rFonts w:eastAsiaTheme="minorEastAsia" w:cs="Segoe UI" w:hint="eastAsia"/>
                <w:i/>
                <w:iCs/>
                <w:color w:val="000000"/>
                <w:sz w:val="17"/>
                <w:szCs w:val="17"/>
                <w:lang w:val="en-US" w:eastAsia="zh-TW"/>
              </w:rPr>
              <w:t>（下限前比率）</w:t>
            </w:r>
            <w:r w:rsidR="00AF7E1F" w:rsidRPr="00AF7E1F">
              <w:rPr>
                <w:rFonts w:eastAsiaTheme="minorEastAsia" w:cs="Segoe UI" w:hint="eastAsia"/>
                <w:iCs/>
                <w:color w:val="000000"/>
                <w:sz w:val="17"/>
                <w:szCs w:val="17"/>
                <w:lang w:val="en-US" w:eastAsia="zh-TW"/>
              </w:rPr>
              <w:t>：所披露比率</w:t>
            </w:r>
            <w:r w:rsidR="00AF7E1F" w:rsidRPr="006A7F1C">
              <w:rPr>
                <w:rFonts w:asciiTheme="minorEastAsia" w:eastAsiaTheme="minorEastAsia" w:hAnsiTheme="minorEastAsia" w:cs="Segoe UI"/>
                <w:iCs/>
                <w:color w:val="000000"/>
                <w:sz w:val="17"/>
                <w:szCs w:val="17"/>
                <w:lang w:eastAsia="zh-TW"/>
              </w:rPr>
              <w:t>應</w:t>
            </w:r>
            <w:r w:rsidR="009C54A9" w:rsidRPr="009C54A9">
              <w:rPr>
                <w:rFonts w:asciiTheme="minorEastAsia" w:eastAsiaTheme="minorEastAsia" w:hAnsiTheme="minorEastAsia" w:cs="Segoe UI" w:hint="eastAsia"/>
                <w:iCs/>
                <w:color w:val="000000"/>
                <w:sz w:val="17"/>
                <w:szCs w:val="17"/>
                <w:lang w:eastAsia="zh-TW"/>
              </w:rPr>
              <w:t>剔除</w:t>
            </w:r>
            <w:r w:rsidR="00AF7E1F" w:rsidRPr="00AF7E1F">
              <w:rPr>
                <w:rFonts w:eastAsiaTheme="minorEastAsia" w:cs="Segoe UI" w:hint="eastAsia"/>
                <w:iCs/>
                <w:color w:val="000000"/>
                <w:sz w:val="17"/>
                <w:szCs w:val="17"/>
                <w:lang w:val="en-US" w:eastAsia="zh-TW"/>
              </w:rPr>
              <w:t>出項下限在風險加權數額的計算中的影響。無</w:t>
            </w:r>
            <w:r w:rsidR="00AF7E1F">
              <w:rPr>
                <w:rFonts w:eastAsiaTheme="minorEastAsia" w:cs="Segoe UI" w:hint="eastAsia"/>
                <w:iCs/>
                <w:color w:val="000000"/>
                <w:sz w:val="17"/>
                <w:szCs w:val="17"/>
                <w:lang w:val="en-US" w:eastAsia="zh-HK"/>
              </w:rPr>
              <w:t>須</w:t>
            </w:r>
            <w:r w:rsidRPr="00217BE5">
              <w:rPr>
                <w:rFonts w:eastAsiaTheme="minorEastAsia" w:cs="Segoe UI" w:hint="eastAsia"/>
                <w:iCs/>
                <w:color w:val="000000"/>
                <w:sz w:val="17"/>
                <w:szCs w:val="17"/>
                <w:lang w:val="en-US" w:eastAsia="zh-TW"/>
              </w:rPr>
              <w:t>應用出項下限規定的認可機構，可在第</w:t>
            </w:r>
            <w:r w:rsidRPr="00217BE5">
              <w:rPr>
                <w:rFonts w:eastAsiaTheme="minorEastAsia" w:cs="Segoe UI"/>
                <w:iCs/>
                <w:color w:val="000000"/>
                <w:sz w:val="17"/>
                <w:szCs w:val="17"/>
                <w:lang w:val="en-US" w:eastAsia="zh-TW"/>
              </w:rPr>
              <w:t>6</w:t>
            </w:r>
            <w:r w:rsidRPr="00217BE5">
              <w:rPr>
                <w:rFonts w:eastAsiaTheme="minorEastAsia" w:cs="Segoe UI" w:hint="eastAsia"/>
                <w:iCs/>
                <w:color w:val="000000"/>
                <w:sz w:val="17"/>
                <w:szCs w:val="17"/>
                <w:lang w:val="en-US" w:eastAsia="zh-TW"/>
              </w:rPr>
              <w:t>及</w:t>
            </w:r>
            <w:r w:rsidRPr="00217BE5">
              <w:rPr>
                <w:rFonts w:eastAsiaTheme="minorEastAsia" w:cs="Segoe UI"/>
                <w:iCs/>
                <w:color w:val="000000"/>
                <w:sz w:val="17"/>
                <w:szCs w:val="17"/>
                <w:lang w:val="en-US" w:eastAsia="zh-TW"/>
              </w:rPr>
              <w:t>6a</w:t>
            </w:r>
            <w:r w:rsidRPr="00217BE5">
              <w:rPr>
                <w:rFonts w:eastAsiaTheme="minorEastAsia" w:cs="Segoe UI" w:hint="eastAsia"/>
                <w:iCs/>
                <w:color w:val="000000"/>
                <w:sz w:val="17"/>
                <w:szCs w:val="17"/>
                <w:lang w:val="en-US" w:eastAsia="zh-TW"/>
              </w:rPr>
              <w:t>行及本行披露相同的值。</w:t>
            </w:r>
          </w:p>
        </w:tc>
      </w:tr>
      <w:tr w:rsidR="007B417F" w:rsidRPr="00CA7301" w14:paraId="4D20E55C" w14:textId="77777777" w:rsidTr="000C010D">
        <w:tc>
          <w:tcPr>
            <w:tcW w:w="851" w:type="dxa"/>
          </w:tcPr>
          <w:p w14:paraId="72549E94" w14:textId="1C6FF935"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7</w:t>
            </w:r>
            <w:r w:rsidR="00822A93">
              <w:rPr>
                <w:rFonts w:asciiTheme="minorEastAsia" w:eastAsiaTheme="minorEastAsia" w:hAnsiTheme="minorEastAsia" w:cs="Segoe UI" w:hint="eastAsia"/>
                <w:sz w:val="17"/>
                <w:szCs w:val="17"/>
                <w:lang w:eastAsia="zh-HK"/>
              </w:rPr>
              <w:t>及</w:t>
            </w:r>
            <w:r w:rsidR="00822A93">
              <w:rPr>
                <w:rFonts w:eastAsiaTheme="minorEastAsia" w:cs="Segoe UI"/>
                <w:kern w:val="2"/>
                <w:sz w:val="17"/>
                <w:szCs w:val="17"/>
                <w:lang w:eastAsia="zh-TW"/>
              </w:rPr>
              <w:t>7a</w:t>
            </w:r>
          </w:p>
        </w:tc>
        <w:tc>
          <w:tcPr>
            <w:tcW w:w="8505" w:type="dxa"/>
          </w:tcPr>
          <w:p w14:paraId="33548938" w14:textId="7389B3FE" w:rsidR="007B417F" w:rsidRPr="00CA7301" w:rsidRDefault="007B417F" w:rsidP="00822A93">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總資本比率</w:t>
            </w:r>
            <w:r w:rsidRPr="00CA7301">
              <w:rPr>
                <w:rFonts w:eastAsiaTheme="minorEastAsia" w:cs="Segoe UI"/>
                <w:i/>
                <w:iCs/>
                <w:color w:val="000000"/>
                <w:sz w:val="17"/>
                <w:szCs w:val="17"/>
                <w:lang w:val="en-US" w:eastAsia="zh-TW"/>
              </w:rPr>
              <w:t xml:space="preserve"> (%)</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7</w:t>
            </w:r>
            <w:r w:rsidR="00822A93">
              <w:rPr>
                <w:rFonts w:asciiTheme="minorEastAsia" w:eastAsiaTheme="minorEastAsia" w:hAnsiTheme="minorEastAsia" w:cs="Segoe UI" w:hint="eastAsia"/>
                <w:sz w:val="17"/>
                <w:szCs w:val="17"/>
                <w:lang w:eastAsia="zh-HK"/>
              </w:rPr>
              <w:t>及</w:t>
            </w:r>
            <w:r w:rsidR="00822A93">
              <w:rPr>
                <w:rFonts w:eastAsiaTheme="minorEastAsia" w:cs="Segoe UI"/>
                <w:iCs/>
                <w:color w:val="000000"/>
                <w:sz w:val="17"/>
                <w:szCs w:val="17"/>
                <w:lang w:val="en-US" w:eastAsia="zh-TW"/>
              </w:rPr>
              <w:t>7a</w:t>
            </w:r>
            <w:r w:rsidRPr="00CA7301">
              <w:rPr>
                <w:rFonts w:eastAsiaTheme="minorEastAsia" w:cs="Segoe UI"/>
                <w:iCs/>
                <w:color w:val="000000"/>
                <w:sz w:val="17"/>
                <w:szCs w:val="17"/>
                <w:lang w:val="en-US" w:eastAsia="zh-TW"/>
              </w:rPr>
              <w:t xml:space="preserve">/a] </w:t>
            </w:r>
            <w:proofErr w:type="gramStart"/>
            <w:r w:rsidRPr="00CA7301">
              <w:rPr>
                <w:rFonts w:eastAsiaTheme="minorEastAsia" w:cs="Segoe UI"/>
                <w:iCs/>
                <w:color w:val="000000"/>
                <w:sz w:val="17"/>
                <w:szCs w:val="17"/>
                <w:lang w:val="en-US" w:eastAsia="zh-TW"/>
              </w:rPr>
              <w:t>的值應相等於</w:t>
            </w:r>
            <w:r w:rsidRPr="00CA7301">
              <w:rPr>
                <w:rFonts w:eastAsiaTheme="minorEastAsia" w:cs="Segoe UI"/>
                <w:iCs/>
                <w:color w:val="000000"/>
                <w:sz w:val="17"/>
                <w:szCs w:val="17"/>
                <w:lang w:val="en-US" w:eastAsia="zh-TW"/>
              </w:rPr>
              <w:t>[</w:t>
            </w:r>
            <w:proofErr w:type="gramEnd"/>
            <w:r w:rsidRPr="00CA7301">
              <w:rPr>
                <w:rFonts w:eastAsiaTheme="minorEastAsia" w:cs="Segoe UI"/>
                <w:iCs/>
                <w:color w:val="000000"/>
                <w:sz w:val="17"/>
                <w:szCs w:val="17"/>
                <w:lang w:val="en-US" w:eastAsia="zh-TW"/>
              </w:rPr>
              <w:t>CC1: 63/a]</w:t>
            </w:r>
            <w:r w:rsidRPr="00CA7301">
              <w:rPr>
                <w:rFonts w:eastAsiaTheme="minorEastAsia" w:cs="Segoe UI"/>
                <w:iCs/>
                <w:color w:val="000000"/>
                <w:sz w:val="17"/>
                <w:szCs w:val="17"/>
                <w:lang w:val="en-US" w:eastAsia="zh-TW"/>
              </w:rPr>
              <w:t>的值。</w:t>
            </w:r>
          </w:p>
        </w:tc>
      </w:tr>
      <w:tr w:rsidR="00AF3F63" w:rsidRPr="00CA7301" w14:paraId="1C46A39F" w14:textId="77777777" w:rsidTr="000C010D">
        <w:tc>
          <w:tcPr>
            <w:tcW w:w="851" w:type="dxa"/>
          </w:tcPr>
          <w:p w14:paraId="3B11FCE3" w14:textId="3273B566" w:rsidR="00AF3F63" w:rsidRPr="00CA7301" w:rsidRDefault="00AF3F63" w:rsidP="007B417F">
            <w:pPr>
              <w:widowControl w:val="0"/>
              <w:rPr>
                <w:rFonts w:eastAsiaTheme="minorEastAsia" w:cs="Segoe UI"/>
                <w:kern w:val="2"/>
                <w:sz w:val="17"/>
                <w:szCs w:val="17"/>
                <w:lang w:eastAsia="zh-TW"/>
              </w:rPr>
            </w:pPr>
            <w:r>
              <w:rPr>
                <w:rFonts w:eastAsiaTheme="minorEastAsia" w:cs="Segoe UI"/>
                <w:kern w:val="2"/>
                <w:sz w:val="17"/>
                <w:szCs w:val="17"/>
                <w:lang w:eastAsia="zh-TW"/>
              </w:rPr>
              <w:t>7b</w:t>
            </w:r>
          </w:p>
        </w:tc>
        <w:tc>
          <w:tcPr>
            <w:tcW w:w="8505" w:type="dxa"/>
          </w:tcPr>
          <w:p w14:paraId="3C1F6A87" w14:textId="3F08226E" w:rsidR="00AF3F63" w:rsidRPr="00CA7301" w:rsidRDefault="00AF3F63" w:rsidP="001C45CD">
            <w:pPr>
              <w:widowControl w:val="0"/>
              <w:autoSpaceDE w:val="0"/>
              <w:autoSpaceDN w:val="0"/>
              <w:adjustRightInd w:val="0"/>
              <w:jc w:val="both"/>
              <w:rPr>
                <w:rFonts w:eastAsiaTheme="minorEastAsia" w:cs="Segoe UI"/>
                <w:i/>
                <w:iCs/>
                <w:color w:val="000000"/>
                <w:sz w:val="17"/>
                <w:szCs w:val="17"/>
                <w:lang w:val="en-US" w:eastAsia="zh-TW"/>
              </w:rPr>
            </w:pPr>
            <w:r w:rsidRPr="00AF3F63">
              <w:rPr>
                <w:rFonts w:eastAsiaTheme="minorEastAsia" w:cs="Segoe UI" w:hint="eastAsia"/>
                <w:i/>
                <w:iCs/>
                <w:color w:val="000000"/>
                <w:sz w:val="17"/>
                <w:szCs w:val="17"/>
                <w:lang w:val="en-US" w:eastAsia="zh-TW"/>
              </w:rPr>
              <w:t>總資本比率</w:t>
            </w:r>
            <w:r w:rsidRPr="00AF3F63">
              <w:rPr>
                <w:rFonts w:eastAsiaTheme="minorEastAsia" w:cs="Segoe UI"/>
                <w:i/>
                <w:iCs/>
                <w:color w:val="000000"/>
                <w:sz w:val="17"/>
                <w:szCs w:val="17"/>
                <w:lang w:val="en-US" w:eastAsia="zh-TW"/>
              </w:rPr>
              <w:t xml:space="preserve"> (%)</w:t>
            </w:r>
            <w:r w:rsidRPr="00AF3F63">
              <w:rPr>
                <w:rFonts w:eastAsiaTheme="minorEastAsia" w:cs="Segoe UI" w:hint="eastAsia"/>
                <w:i/>
                <w:iCs/>
                <w:color w:val="000000"/>
                <w:sz w:val="17"/>
                <w:szCs w:val="17"/>
                <w:lang w:val="en-US" w:eastAsia="zh-TW"/>
              </w:rPr>
              <w:t>（下限前比率）</w:t>
            </w:r>
            <w:r w:rsidRPr="00217BE5">
              <w:rPr>
                <w:rFonts w:eastAsiaTheme="minorEastAsia" w:cs="Segoe UI" w:hint="eastAsia"/>
                <w:iCs/>
                <w:color w:val="000000"/>
                <w:sz w:val="17"/>
                <w:szCs w:val="17"/>
                <w:lang w:val="en-US" w:eastAsia="zh-TW"/>
              </w:rPr>
              <w:t>：所披露比率</w:t>
            </w:r>
            <w:r w:rsidR="00AF7E1F" w:rsidRPr="006A7F1C">
              <w:rPr>
                <w:rFonts w:asciiTheme="minorEastAsia" w:eastAsiaTheme="minorEastAsia" w:hAnsiTheme="minorEastAsia" w:cs="Segoe UI"/>
                <w:iCs/>
                <w:color w:val="000000"/>
                <w:sz w:val="17"/>
                <w:szCs w:val="17"/>
                <w:lang w:eastAsia="zh-TW"/>
              </w:rPr>
              <w:t>應</w:t>
            </w:r>
            <w:r w:rsidR="001C45CD" w:rsidRPr="001C45CD">
              <w:rPr>
                <w:rFonts w:asciiTheme="minorEastAsia" w:eastAsiaTheme="minorEastAsia" w:hAnsiTheme="minorEastAsia" w:cs="Segoe UI" w:hint="eastAsia"/>
                <w:iCs/>
                <w:color w:val="000000"/>
                <w:sz w:val="17"/>
                <w:szCs w:val="17"/>
                <w:lang w:eastAsia="zh-TW"/>
              </w:rPr>
              <w:t>剔除</w:t>
            </w:r>
            <w:r w:rsidR="00AF7E1F" w:rsidRPr="00AF7E1F">
              <w:rPr>
                <w:rFonts w:eastAsiaTheme="minorEastAsia" w:cs="Segoe UI" w:hint="eastAsia"/>
                <w:iCs/>
                <w:color w:val="000000"/>
                <w:sz w:val="17"/>
                <w:szCs w:val="17"/>
                <w:lang w:val="en-US" w:eastAsia="zh-TW"/>
              </w:rPr>
              <w:t>出項下限在風險加權數額的計算中的影響。無</w:t>
            </w:r>
            <w:r w:rsidR="00AF7E1F">
              <w:rPr>
                <w:rFonts w:eastAsiaTheme="minorEastAsia" w:cs="Segoe UI" w:hint="eastAsia"/>
                <w:iCs/>
                <w:color w:val="000000"/>
                <w:sz w:val="17"/>
                <w:szCs w:val="17"/>
                <w:lang w:val="en-US" w:eastAsia="zh-HK"/>
              </w:rPr>
              <w:t>須</w:t>
            </w:r>
            <w:r w:rsidRPr="00217BE5">
              <w:rPr>
                <w:rFonts w:eastAsiaTheme="minorEastAsia" w:cs="Segoe UI" w:hint="eastAsia"/>
                <w:iCs/>
                <w:color w:val="000000"/>
                <w:sz w:val="17"/>
                <w:szCs w:val="17"/>
                <w:lang w:val="en-US" w:eastAsia="zh-TW"/>
              </w:rPr>
              <w:t>應用出項下限規定的認可機構，可在第</w:t>
            </w:r>
            <w:r w:rsidRPr="00217BE5">
              <w:rPr>
                <w:rFonts w:eastAsiaTheme="minorEastAsia" w:cs="Segoe UI"/>
                <w:iCs/>
                <w:color w:val="000000"/>
                <w:sz w:val="17"/>
                <w:szCs w:val="17"/>
                <w:lang w:val="en-US" w:eastAsia="zh-TW"/>
              </w:rPr>
              <w:t>7</w:t>
            </w:r>
            <w:r w:rsidRPr="00217BE5">
              <w:rPr>
                <w:rFonts w:eastAsiaTheme="minorEastAsia" w:cs="Segoe UI" w:hint="eastAsia"/>
                <w:iCs/>
                <w:color w:val="000000"/>
                <w:sz w:val="17"/>
                <w:szCs w:val="17"/>
                <w:lang w:val="en-US" w:eastAsia="zh-TW"/>
              </w:rPr>
              <w:t>及</w:t>
            </w:r>
            <w:r w:rsidRPr="00217BE5">
              <w:rPr>
                <w:rFonts w:eastAsiaTheme="minorEastAsia" w:cs="Segoe UI"/>
                <w:iCs/>
                <w:color w:val="000000"/>
                <w:sz w:val="17"/>
                <w:szCs w:val="17"/>
                <w:lang w:val="en-US" w:eastAsia="zh-TW"/>
              </w:rPr>
              <w:t>7a</w:t>
            </w:r>
            <w:r w:rsidRPr="00217BE5">
              <w:rPr>
                <w:rFonts w:eastAsiaTheme="minorEastAsia" w:cs="Segoe UI" w:hint="eastAsia"/>
                <w:iCs/>
                <w:color w:val="000000"/>
                <w:sz w:val="17"/>
                <w:szCs w:val="17"/>
                <w:lang w:val="en-US" w:eastAsia="zh-TW"/>
              </w:rPr>
              <w:t>行及本行披露相同的值。</w:t>
            </w:r>
          </w:p>
        </w:tc>
      </w:tr>
      <w:tr w:rsidR="007B417F" w:rsidRPr="00CA7301" w14:paraId="556752D2" w14:textId="77777777" w:rsidTr="000C010D">
        <w:tc>
          <w:tcPr>
            <w:tcW w:w="851" w:type="dxa"/>
          </w:tcPr>
          <w:p w14:paraId="020BE739"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8</w:t>
            </w:r>
          </w:p>
        </w:tc>
        <w:tc>
          <w:tcPr>
            <w:tcW w:w="8505" w:type="dxa"/>
          </w:tcPr>
          <w:p w14:paraId="1DB21F4B"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eastAsia="zh-TW"/>
              </w:rPr>
              <w:t>防護緩衝資本要求</w:t>
            </w:r>
            <w:r w:rsidRPr="00CA7301">
              <w:rPr>
                <w:rFonts w:eastAsiaTheme="minorEastAsia" w:cs="Segoe UI"/>
                <w:i/>
                <w:iCs/>
                <w:color w:val="000000"/>
                <w:sz w:val="17"/>
                <w:szCs w:val="17"/>
                <w:lang w:val="en-US" w:eastAsia="zh-TW"/>
              </w:rPr>
              <w:t xml:space="preserve"> (%)</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8/</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[CC1: 65/a]</w:t>
            </w:r>
            <w:r w:rsidRPr="00CA7301">
              <w:rPr>
                <w:rFonts w:eastAsiaTheme="minorEastAsia" w:cs="Segoe UI"/>
                <w:iCs/>
                <w:color w:val="000000"/>
                <w:sz w:val="17"/>
                <w:szCs w:val="17"/>
                <w:lang w:val="en-US" w:eastAsia="zh-TW"/>
              </w:rPr>
              <w:t>的值。</w:t>
            </w:r>
          </w:p>
        </w:tc>
      </w:tr>
      <w:tr w:rsidR="007B417F" w:rsidRPr="00CA7301" w14:paraId="063BC6E0" w14:textId="77777777" w:rsidTr="000C010D">
        <w:tc>
          <w:tcPr>
            <w:tcW w:w="851" w:type="dxa"/>
          </w:tcPr>
          <w:p w14:paraId="77E11335"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9</w:t>
            </w:r>
          </w:p>
        </w:tc>
        <w:tc>
          <w:tcPr>
            <w:tcW w:w="8505" w:type="dxa"/>
          </w:tcPr>
          <w:p w14:paraId="10AADF0E"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逆周期緩衝資本要求</w:t>
            </w:r>
            <w:r w:rsidRPr="00CA7301">
              <w:rPr>
                <w:rFonts w:eastAsiaTheme="minorEastAsia" w:cs="Segoe UI"/>
                <w:i/>
                <w:iCs/>
                <w:color w:val="000000"/>
                <w:sz w:val="17"/>
                <w:szCs w:val="17"/>
                <w:lang w:val="en-US" w:eastAsia="zh-TW"/>
              </w:rPr>
              <w:t xml:space="preserve"> (%)</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9/</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[CC1: 66/a]</w:t>
            </w:r>
            <w:r w:rsidRPr="00CA7301">
              <w:rPr>
                <w:rFonts w:eastAsiaTheme="minorEastAsia" w:cs="Segoe UI"/>
                <w:iCs/>
                <w:color w:val="000000"/>
                <w:sz w:val="17"/>
                <w:szCs w:val="17"/>
                <w:lang w:val="en-US" w:eastAsia="zh-TW"/>
              </w:rPr>
              <w:t>的值。</w:t>
            </w:r>
          </w:p>
        </w:tc>
      </w:tr>
      <w:tr w:rsidR="007B417F" w:rsidRPr="00CA7301" w14:paraId="049C71E5" w14:textId="77777777" w:rsidTr="000C010D">
        <w:tc>
          <w:tcPr>
            <w:tcW w:w="851" w:type="dxa"/>
          </w:tcPr>
          <w:p w14:paraId="3E4927FD"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10</w:t>
            </w:r>
          </w:p>
        </w:tc>
        <w:tc>
          <w:tcPr>
            <w:tcW w:w="8505" w:type="dxa"/>
          </w:tcPr>
          <w:p w14:paraId="178FD99F"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較高吸收虧損能力要求</w:t>
            </w:r>
            <w:r w:rsidRPr="00CA7301">
              <w:rPr>
                <w:rFonts w:eastAsiaTheme="minorEastAsia" w:cs="Segoe UI"/>
                <w:i/>
                <w:iCs/>
                <w:color w:val="000000"/>
                <w:sz w:val="17"/>
                <w:szCs w:val="17"/>
                <w:lang w:val="en-US" w:eastAsia="zh-TW"/>
              </w:rPr>
              <w:t xml:space="preserve"> (%)</w:t>
            </w:r>
            <w:r w:rsidRPr="00CA7301">
              <w:rPr>
                <w:rFonts w:eastAsia="細明體" w:cs="Segoe UI"/>
                <w:i/>
                <w:sz w:val="17"/>
                <w:szCs w:val="17"/>
                <w:lang w:val="en-US" w:eastAsia="zh-TW"/>
              </w:rPr>
              <w:t>（</w:t>
            </w:r>
            <w:r w:rsidRPr="00CA7301">
              <w:rPr>
                <w:rFonts w:eastAsiaTheme="minorEastAsia" w:cs="Segoe UI"/>
                <w:i/>
                <w:iCs/>
                <w:color w:val="000000"/>
                <w:sz w:val="17"/>
                <w:szCs w:val="17"/>
                <w:lang w:val="en-US" w:eastAsia="zh-TW"/>
              </w:rPr>
              <w:t>只適用於</w:t>
            </w:r>
            <w:r w:rsidRPr="00CA7301">
              <w:rPr>
                <w:rFonts w:eastAsiaTheme="minorEastAsia" w:cs="Segoe UI"/>
                <w:i/>
                <w:iCs/>
                <w:color w:val="000000"/>
                <w:sz w:val="17"/>
                <w:szCs w:val="17"/>
                <w:lang w:val="en-US" w:eastAsia="zh-TW"/>
              </w:rPr>
              <w:t>G-SIB</w:t>
            </w:r>
            <w:r w:rsidRPr="00CA7301">
              <w:rPr>
                <w:rFonts w:eastAsiaTheme="minorEastAsia" w:cs="Segoe UI"/>
                <w:i/>
                <w:iCs/>
                <w:color w:val="000000"/>
                <w:sz w:val="17"/>
                <w:szCs w:val="17"/>
                <w:lang w:val="en-US" w:eastAsia="zh-TW"/>
              </w:rPr>
              <w:t>或</w:t>
            </w:r>
            <w:r w:rsidRPr="00CA7301">
              <w:rPr>
                <w:rFonts w:eastAsiaTheme="minorEastAsia" w:cs="Segoe UI"/>
                <w:i/>
                <w:iCs/>
                <w:color w:val="000000"/>
                <w:sz w:val="17"/>
                <w:szCs w:val="17"/>
                <w:lang w:val="en-US" w:eastAsia="zh-TW"/>
              </w:rPr>
              <w:t>D-SIB</w:t>
            </w:r>
            <w:r w:rsidRPr="00CA7301">
              <w:rPr>
                <w:rFonts w:eastAsia="細明體" w:cs="Segoe UI"/>
                <w:i/>
                <w:kern w:val="2"/>
                <w:sz w:val="17"/>
                <w:szCs w:val="17"/>
                <w:lang w:eastAsia="zh-TW"/>
              </w:rPr>
              <w:t>）</w:t>
            </w:r>
            <w:r w:rsidRPr="00CA7301">
              <w:rPr>
                <w:rFonts w:eastAsiaTheme="minorEastAsia" w:cs="Segoe UI"/>
                <w:iCs/>
                <w:color w:val="000000"/>
                <w:sz w:val="17"/>
                <w:szCs w:val="17"/>
                <w:lang w:val="en-US" w:eastAsia="zh-TW"/>
              </w:rPr>
              <w:t>：就中期或周年報告期而言，</w:t>
            </w:r>
            <w:r w:rsidRPr="00CA7301">
              <w:rPr>
                <w:rFonts w:eastAsiaTheme="minorEastAsia" w:cs="Segoe UI"/>
                <w:iCs/>
                <w:color w:val="000000"/>
                <w:sz w:val="17"/>
                <w:szCs w:val="17"/>
                <w:lang w:val="en-US" w:eastAsia="zh-TW"/>
              </w:rPr>
              <w:t>[KM1: 10/</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[CC1: 67/a]</w:t>
            </w:r>
            <w:r w:rsidRPr="00CA7301">
              <w:rPr>
                <w:rFonts w:eastAsiaTheme="minorEastAsia" w:cs="Segoe UI"/>
                <w:iCs/>
                <w:color w:val="000000"/>
                <w:sz w:val="17"/>
                <w:szCs w:val="17"/>
                <w:lang w:val="en-US" w:eastAsia="zh-TW"/>
              </w:rPr>
              <w:t>的值。</w:t>
            </w:r>
          </w:p>
        </w:tc>
      </w:tr>
      <w:tr w:rsidR="007B417F" w:rsidRPr="00CA7301" w14:paraId="30B83B65" w14:textId="77777777" w:rsidTr="000C010D">
        <w:tc>
          <w:tcPr>
            <w:tcW w:w="851" w:type="dxa"/>
          </w:tcPr>
          <w:p w14:paraId="00CA1C76"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11</w:t>
            </w:r>
          </w:p>
        </w:tc>
        <w:tc>
          <w:tcPr>
            <w:tcW w:w="8505" w:type="dxa"/>
          </w:tcPr>
          <w:p w14:paraId="64B28C2B"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認可機構特定的總</w:t>
            </w:r>
            <w:r w:rsidRPr="00CA7301">
              <w:rPr>
                <w:rFonts w:eastAsiaTheme="minorEastAsia" w:cs="Segoe UI"/>
                <w:i/>
                <w:iCs/>
                <w:color w:val="000000"/>
                <w:sz w:val="17"/>
                <w:szCs w:val="17"/>
                <w:lang w:val="en-US" w:eastAsia="zh-TW"/>
              </w:rPr>
              <w:t>CET1</w:t>
            </w:r>
            <w:r w:rsidRPr="00CA7301">
              <w:rPr>
                <w:rFonts w:eastAsiaTheme="minorEastAsia" w:cs="Segoe UI"/>
                <w:i/>
                <w:iCs/>
                <w:color w:val="000000"/>
                <w:sz w:val="17"/>
                <w:szCs w:val="17"/>
                <w:lang w:val="en-US" w:eastAsia="zh-TW"/>
              </w:rPr>
              <w:t>緩衝要求</w:t>
            </w:r>
            <w:r w:rsidRPr="00CA7301">
              <w:rPr>
                <w:rFonts w:eastAsiaTheme="minorEastAsia" w:cs="Segoe UI"/>
                <w:i/>
                <w:iCs/>
                <w:color w:val="000000"/>
                <w:sz w:val="17"/>
                <w:szCs w:val="17"/>
                <w:lang w:val="en-US" w:eastAsia="zh-TW"/>
              </w:rPr>
              <w:t xml:space="preserve"> (%)</w:t>
            </w:r>
            <w:r w:rsidRPr="00CA7301">
              <w:rPr>
                <w:rFonts w:eastAsiaTheme="minorEastAsia" w:cs="Segoe UI"/>
                <w:iCs/>
                <w:color w:val="000000"/>
                <w:sz w:val="17"/>
                <w:szCs w:val="17"/>
                <w:lang w:val="en-US" w:eastAsia="zh-TW"/>
              </w:rPr>
              <w:t>：相等於</w:t>
            </w:r>
            <w:r w:rsidRPr="00CA7301">
              <w:rPr>
                <w:rFonts w:eastAsiaTheme="minorEastAsia" w:cs="Segoe UI"/>
                <w:color w:val="000000"/>
                <w:sz w:val="17"/>
                <w:szCs w:val="17"/>
                <w:lang w:val="en-US" w:eastAsia="zh-TW"/>
              </w:rPr>
              <w:t>第</w:t>
            </w:r>
            <w:r w:rsidRPr="00CA7301">
              <w:rPr>
                <w:rFonts w:eastAsiaTheme="minorEastAsia" w:cs="Segoe UI"/>
                <w:iCs/>
                <w:color w:val="000000"/>
                <w:sz w:val="17"/>
                <w:szCs w:val="17"/>
                <w:lang w:val="en-US" w:eastAsia="zh-TW"/>
              </w:rPr>
              <w:t>8</w:t>
            </w:r>
            <w:r w:rsidRPr="00CA7301">
              <w:rPr>
                <w:rFonts w:eastAsiaTheme="minorEastAsia" w:cs="Segoe UI"/>
                <w:iCs/>
                <w:color w:val="000000"/>
                <w:sz w:val="17"/>
                <w:szCs w:val="17"/>
                <w:lang w:val="en-US" w:eastAsia="zh-TW"/>
              </w:rPr>
              <w:t>、</w:t>
            </w:r>
            <w:r w:rsidRPr="00CA7301">
              <w:rPr>
                <w:rFonts w:eastAsiaTheme="minorEastAsia" w:cs="Segoe UI"/>
                <w:iCs/>
                <w:color w:val="000000"/>
                <w:sz w:val="17"/>
                <w:szCs w:val="17"/>
                <w:lang w:val="en-US" w:eastAsia="zh-TW"/>
              </w:rPr>
              <w:t>9</w:t>
            </w:r>
            <w:r w:rsidRPr="00CA7301">
              <w:rPr>
                <w:rFonts w:eastAsiaTheme="minorEastAsia" w:cs="Segoe UI"/>
                <w:iCs/>
                <w:color w:val="000000"/>
                <w:sz w:val="17"/>
                <w:szCs w:val="17"/>
                <w:lang w:val="en-US" w:eastAsia="zh-TW"/>
              </w:rPr>
              <w:t>及</w:t>
            </w:r>
            <w:r w:rsidRPr="00CA7301">
              <w:rPr>
                <w:rFonts w:eastAsiaTheme="minorEastAsia" w:cs="Segoe UI"/>
                <w:iCs/>
                <w:color w:val="000000"/>
                <w:sz w:val="17"/>
                <w:szCs w:val="17"/>
                <w:lang w:val="en-US" w:eastAsia="zh-TW"/>
              </w:rPr>
              <w:t>10</w:t>
            </w:r>
            <w:r w:rsidRPr="00CA7301">
              <w:rPr>
                <w:rFonts w:eastAsiaTheme="minorEastAsia" w:cs="Segoe UI"/>
                <w:iCs/>
                <w:color w:val="000000"/>
                <w:sz w:val="17"/>
                <w:szCs w:val="17"/>
                <w:lang w:val="en-US" w:eastAsia="zh-TW"/>
              </w:rPr>
              <w:t>行的值的總和。</w:t>
            </w:r>
          </w:p>
        </w:tc>
      </w:tr>
      <w:tr w:rsidR="007B417F" w:rsidRPr="00CA7301" w14:paraId="0C3CD01E" w14:textId="77777777" w:rsidTr="000C010D">
        <w:tc>
          <w:tcPr>
            <w:tcW w:w="851" w:type="dxa"/>
          </w:tcPr>
          <w:p w14:paraId="26CB549B"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12</w:t>
            </w:r>
          </w:p>
        </w:tc>
        <w:tc>
          <w:tcPr>
            <w:tcW w:w="8505" w:type="dxa"/>
          </w:tcPr>
          <w:p w14:paraId="617979A6" w14:textId="0F9A2322" w:rsidR="007B417F" w:rsidRPr="00CA7301" w:rsidRDefault="007B417F" w:rsidP="007B417F">
            <w:pPr>
              <w:widowControl w:val="0"/>
              <w:autoSpaceDE w:val="0"/>
              <w:autoSpaceDN w:val="0"/>
              <w:adjustRightInd w:val="0"/>
              <w:jc w:val="both"/>
              <w:rPr>
                <w:rFonts w:eastAsiaTheme="minorEastAsia" w:cs="Segoe UI"/>
                <w:color w:val="000000"/>
                <w:sz w:val="17"/>
                <w:szCs w:val="17"/>
                <w:lang w:eastAsia="zh-TW"/>
              </w:rPr>
            </w:pPr>
            <w:r w:rsidRPr="00CA7301">
              <w:rPr>
                <w:rFonts w:eastAsiaTheme="minorEastAsia" w:cs="Segoe UI"/>
                <w:i/>
                <w:iCs/>
                <w:color w:val="000000"/>
                <w:sz w:val="17"/>
                <w:szCs w:val="17"/>
                <w:lang w:val="en-US" w:eastAsia="zh-TW"/>
              </w:rPr>
              <w:t>符合認可機構的最低資本規定後可用的</w:t>
            </w:r>
            <w:r w:rsidRPr="00CA7301">
              <w:rPr>
                <w:rFonts w:eastAsiaTheme="minorEastAsia" w:cs="Segoe UI"/>
                <w:i/>
                <w:iCs/>
                <w:color w:val="000000"/>
                <w:sz w:val="17"/>
                <w:szCs w:val="17"/>
                <w:lang w:val="en-US" w:eastAsia="zh-TW"/>
              </w:rPr>
              <w:t>CET1 (%)</w:t>
            </w:r>
            <w:r w:rsidRPr="00CA7301">
              <w:rPr>
                <w:rFonts w:eastAsiaTheme="minorEastAsia" w:cs="Segoe UI"/>
                <w:color w:val="000000"/>
                <w:sz w:val="17"/>
                <w:szCs w:val="17"/>
                <w:lang w:val="en-US" w:eastAsia="zh-TW"/>
              </w:rPr>
              <w:t>：這並非必然指</w:t>
            </w:r>
            <w:r w:rsidRPr="00CA7301">
              <w:rPr>
                <w:rFonts w:eastAsiaTheme="minorEastAsia" w:cs="Segoe UI"/>
                <w:kern w:val="2"/>
                <w:sz w:val="17"/>
                <w:szCs w:val="17"/>
                <w:lang w:eastAsia="zh-TW"/>
              </w:rPr>
              <w:t>CET1</w:t>
            </w:r>
            <w:r w:rsidRPr="00CA7301">
              <w:rPr>
                <w:rFonts w:eastAsiaTheme="minorEastAsia" w:cs="Segoe UI"/>
                <w:kern w:val="2"/>
                <w:sz w:val="17"/>
                <w:szCs w:val="17"/>
                <w:lang w:eastAsia="zh-TW"/>
              </w:rPr>
              <w:t>比</w:t>
            </w:r>
            <w:r w:rsidRPr="00CA7301">
              <w:rPr>
                <w:rFonts w:eastAsiaTheme="minorEastAsia" w:cs="Segoe UI"/>
                <w:color w:val="000000"/>
                <w:sz w:val="17"/>
                <w:szCs w:val="17"/>
                <w:lang w:val="en-US" w:eastAsia="zh-TW"/>
              </w:rPr>
              <w:t>率（第</w:t>
            </w:r>
            <w:r w:rsidRPr="00CA7301">
              <w:rPr>
                <w:rFonts w:eastAsiaTheme="minorEastAsia" w:cs="Segoe UI"/>
                <w:color w:val="000000"/>
                <w:sz w:val="17"/>
                <w:szCs w:val="17"/>
                <w:lang w:val="en-US" w:eastAsia="zh-TW"/>
              </w:rPr>
              <w:t>5</w:t>
            </w:r>
            <w:r w:rsidR="00AF3F63">
              <w:rPr>
                <w:rFonts w:asciiTheme="minorEastAsia" w:eastAsiaTheme="minorEastAsia" w:hAnsiTheme="minorEastAsia" w:cs="Segoe UI" w:hint="eastAsia"/>
                <w:sz w:val="17"/>
                <w:szCs w:val="17"/>
                <w:lang w:eastAsia="zh-HK"/>
              </w:rPr>
              <w:t>及</w:t>
            </w:r>
            <w:r w:rsidR="00AF3F63">
              <w:rPr>
                <w:rFonts w:eastAsiaTheme="minorEastAsia" w:cs="Segoe UI"/>
                <w:color w:val="000000"/>
                <w:sz w:val="17"/>
                <w:szCs w:val="17"/>
                <w:lang w:val="en-US" w:eastAsia="zh-TW"/>
              </w:rPr>
              <w:t>5a</w:t>
            </w:r>
            <w:r w:rsidRPr="00CA7301">
              <w:rPr>
                <w:rFonts w:eastAsiaTheme="minorEastAsia" w:cs="Segoe UI"/>
                <w:color w:val="000000"/>
                <w:sz w:val="17"/>
                <w:szCs w:val="17"/>
                <w:lang w:val="en-US" w:eastAsia="zh-TW"/>
              </w:rPr>
              <w:t>行）與《資本規則》第</w:t>
            </w:r>
            <w:r w:rsidRPr="00CA7301">
              <w:rPr>
                <w:rFonts w:eastAsiaTheme="minorEastAsia" w:cs="Segoe UI"/>
                <w:color w:val="000000"/>
                <w:sz w:val="17"/>
                <w:szCs w:val="17"/>
                <w:lang w:val="en-US" w:eastAsia="zh-TW"/>
              </w:rPr>
              <w:t>3B</w:t>
            </w:r>
            <w:r w:rsidRPr="00CA7301">
              <w:rPr>
                <w:rFonts w:eastAsiaTheme="minorEastAsia" w:cs="Segoe UI"/>
                <w:color w:val="000000"/>
                <w:sz w:val="17"/>
                <w:szCs w:val="17"/>
                <w:lang w:val="en-US" w:eastAsia="zh-TW"/>
              </w:rPr>
              <w:t>條所</w:t>
            </w:r>
            <w:r w:rsidRPr="00CA7301">
              <w:rPr>
                <w:rFonts w:eastAsiaTheme="minorEastAsia" w:cs="Segoe UI"/>
                <w:color w:val="000000"/>
                <w:sz w:val="17"/>
                <w:szCs w:val="17"/>
                <w:lang w:eastAsia="zh-TW"/>
              </w:rPr>
              <w:t>訂</w:t>
            </w:r>
            <w:r w:rsidRPr="00CA7301">
              <w:rPr>
                <w:rFonts w:eastAsiaTheme="minorEastAsia" w:cs="Segoe UI"/>
                <w:color w:val="000000"/>
                <w:sz w:val="17"/>
                <w:szCs w:val="17"/>
                <w:lang w:val="en-US" w:eastAsia="zh-TW"/>
              </w:rPr>
              <w:t>最低</w:t>
            </w:r>
            <w:r w:rsidRPr="00CA7301">
              <w:rPr>
                <w:rFonts w:eastAsiaTheme="minorEastAsia" w:cs="Segoe UI"/>
                <w:color w:val="000000"/>
                <w:sz w:val="17"/>
                <w:szCs w:val="17"/>
                <w:lang w:val="en-US" w:eastAsia="zh-TW"/>
              </w:rPr>
              <w:t>CET1</w:t>
            </w:r>
            <w:r w:rsidRPr="00CA7301">
              <w:rPr>
                <w:rFonts w:eastAsiaTheme="minorEastAsia" w:cs="Segoe UI"/>
                <w:color w:val="000000"/>
                <w:sz w:val="17"/>
                <w:szCs w:val="17"/>
                <w:lang w:val="en-US" w:eastAsia="zh-TW"/>
              </w:rPr>
              <w:t>規定</w:t>
            </w:r>
            <w:r w:rsidRPr="00CA7301">
              <w:rPr>
                <w:rFonts w:eastAsiaTheme="minorEastAsia" w:cs="Segoe UI"/>
                <w:color w:val="000000"/>
                <w:sz w:val="17"/>
                <w:szCs w:val="17"/>
                <w:lang w:val="en-US" w:eastAsia="zh-TW"/>
              </w:rPr>
              <w:t>4.5%</w:t>
            </w:r>
            <w:r w:rsidRPr="00CA7301">
              <w:rPr>
                <w:rFonts w:eastAsiaTheme="minorEastAsia" w:cs="Segoe UI"/>
                <w:color w:val="000000"/>
                <w:sz w:val="17"/>
                <w:szCs w:val="17"/>
                <w:lang w:val="en-US" w:eastAsia="zh-TW"/>
              </w:rPr>
              <w:t>相差的數額，因為認可機構或已使用</w:t>
            </w:r>
            <w:r w:rsidRPr="00CA7301">
              <w:rPr>
                <w:rFonts w:eastAsiaTheme="minorEastAsia" w:cs="Segoe UI"/>
                <w:color w:val="000000"/>
                <w:sz w:val="17"/>
                <w:szCs w:val="17"/>
                <w:lang w:val="en-US" w:eastAsia="zh-TW"/>
              </w:rPr>
              <w:t>CET1</w:t>
            </w:r>
            <w:r w:rsidRPr="00CA7301">
              <w:rPr>
                <w:rFonts w:eastAsiaTheme="minorEastAsia" w:cs="Segoe UI"/>
                <w:color w:val="000000"/>
                <w:sz w:val="17"/>
                <w:szCs w:val="17"/>
                <w:lang w:val="en-US" w:eastAsia="zh-TW"/>
              </w:rPr>
              <w:t>資本以符合一級及</w:t>
            </w:r>
            <w:r w:rsidRPr="00CA7301">
              <w:rPr>
                <w:rFonts w:eastAsiaTheme="minorEastAsia" w:cs="Segoe UI"/>
                <w:color w:val="000000"/>
                <w:sz w:val="17"/>
                <w:szCs w:val="17"/>
                <w:lang w:val="en-US" w:eastAsia="zh-TW"/>
              </w:rPr>
              <w:t>/</w:t>
            </w:r>
            <w:r w:rsidRPr="00CA7301">
              <w:rPr>
                <w:rFonts w:eastAsiaTheme="minorEastAsia" w:cs="Segoe UI"/>
                <w:color w:val="000000"/>
                <w:sz w:val="17"/>
                <w:szCs w:val="17"/>
                <w:lang w:val="en-US" w:eastAsia="zh-TW"/>
              </w:rPr>
              <w:t>或總資本的最低規定。</w:t>
            </w:r>
            <w:r w:rsidRPr="00CA7301">
              <w:rPr>
                <w:rFonts w:eastAsiaTheme="minorEastAsia" w:cs="Segoe UI"/>
                <w:iCs/>
                <w:color w:val="000000"/>
                <w:sz w:val="17"/>
                <w:szCs w:val="17"/>
                <w:lang w:val="en-US" w:eastAsia="zh-TW"/>
              </w:rPr>
              <w:t>就中期或周年報告期而言，</w:t>
            </w:r>
            <w:r w:rsidRPr="00CA7301">
              <w:rPr>
                <w:rFonts w:eastAsiaTheme="minorEastAsia" w:cs="Segoe UI"/>
                <w:color w:val="000000"/>
                <w:sz w:val="17"/>
                <w:szCs w:val="17"/>
                <w:lang w:val="en-US" w:eastAsia="zh-TW"/>
              </w:rPr>
              <w:t>[KM1: 12/</w:t>
            </w:r>
            <w:proofErr w:type="gramStart"/>
            <w:r w:rsidRPr="00CA7301">
              <w:rPr>
                <w:rFonts w:eastAsiaTheme="minorEastAsia" w:cs="Segoe UI"/>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color w:val="000000"/>
                <w:sz w:val="17"/>
                <w:szCs w:val="17"/>
                <w:lang w:val="en-US" w:eastAsia="zh-TW"/>
              </w:rPr>
              <w:t>[CC1: 68/a]</w:t>
            </w:r>
            <w:r w:rsidRPr="00CA7301">
              <w:rPr>
                <w:rFonts w:eastAsiaTheme="minorEastAsia" w:cs="Segoe UI"/>
                <w:iCs/>
                <w:color w:val="000000"/>
                <w:sz w:val="17"/>
                <w:szCs w:val="17"/>
                <w:lang w:val="en-US" w:eastAsia="zh-TW"/>
              </w:rPr>
              <w:t>的值。</w:t>
            </w:r>
          </w:p>
        </w:tc>
      </w:tr>
      <w:tr w:rsidR="007B417F" w:rsidRPr="00CA7301" w14:paraId="3EDA688A" w14:textId="77777777" w:rsidTr="000C010D">
        <w:tc>
          <w:tcPr>
            <w:tcW w:w="851" w:type="dxa"/>
          </w:tcPr>
          <w:p w14:paraId="1408B736"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13</w:t>
            </w:r>
          </w:p>
        </w:tc>
        <w:tc>
          <w:tcPr>
            <w:tcW w:w="8505" w:type="dxa"/>
          </w:tcPr>
          <w:p w14:paraId="2D6961D1" w14:textId="35CF948C" w:rsidR="007B417F" w:rsidRPr="00CA7301" w:rsidRDefault="007B417F" w:rsidP="001A78AC">
            <w:pPr>
              <w:widowControl w:val="0"/>
              <w:autoSpaceDE w:val="0"/>
              <w:autoSpaceDN w:val="0"/>
              <w:adjustRightInd w:val="0"/>
              <w:jc w:val="both"/>
              <w:rPr>
                <w:rFonts w:eastAsiaTheme="minorEastAsia" w:cs="Segoe UI"/>
                <w:color w:val="000000"/>
                <w:sz w:val="17"/>
                <w:szCs w:val="17"/>
                <w:lang w:val="en-US" w:eastAsia="zh-TW"/>
              </w:rPr>
            </w:pPr>
            <w:r w:rsidRPr="00CA7301">
              <w:rPr>
                <w:rFonts w:eastAsiaTheme="minorEastAsia" w:cs="Segoe UI"/>
                <w:i/>
                <w:iCs/>
                <w:color w:val="000000"/>
                <w:sz w:val="17"/>
                <w:szCs w:val="17"/>
                <w:lang w:val="en-US" w:eastAsia="zh-TW"/>
              </w:rPr>
              <w:t>總槓桿比率風險承擔計量</w:t>
            </w:r>
            <w:r w:rsidRPr="00CA7301">
              <w:rPr>
                <w:rFonts w:eastAsiaTheme="minorEastAsia" w:cs="Segoe UI"/>
                <w:color w:val="000000"/>
                <w:sz w:val="17"/>
                <w:szCs w:val="17"/>
                <w:lang w:val="en-US" w:eastAsia="zh-TW"/>
              </w:rPr>
              <w:t>：</w:t>
            </w:r>
            <w:r w:rsidR="001A78AC">
              <w:rPr>
                <w:rFonts w:eastAsiaTheme="minorEastAsia" w:cs="Segoe UI" w:hint="eastAsia"/>
                <w:color w:val="000000"/>
                <w:sz w:val="17"/>
                <w:szCs w:val="17"/>
                <w:lang w:val="en-US" w:eastAsia="zh-TW"/>
              </w:rPr>
              <w:t>應符合</w:t>
            </w:r>
            <w:r w:rsidRPr="00CA7301">
              <w:rPr>
                <w:rFonts w:eastAsiaTheme="minorEastAsia" w:cs="Segoe UI"/>
                <w:color w:val="000000"/>
                <w:sz w:val="17"/>
                <w:szCs w:val="17"/>
                <w:lang w:val="en-US" w:eastAsia="zh-TW"/>
              </w:rPr>
              <w:t>模版</w:t>
            </w:r>
            <w:r w:rsidRPr="00CA7301">
              <w:rPr>
                <w:rFonts w:eastAsiaTheme="minorEastAsia" w:cs="Segoe UI"/>
                <w:color w:val="000000"/>
                <w:sz w:val="17"/>
                <w:szCs w:val="17"/>
                <w:lang w:val="en-US" w:eastAsia="zh-TW"/>
              </w:rPr>
              <w:t>LR1</w:t>
            </w:r>
            <w:r w:rsidRPr="00CA7301">
              <w:rPr>
                <w:rFonts w:eastAsiaTheme="minorEastAsia" w:cs="Segoe UI"/>
                <w:color w:val="000000"/>
                <w:sz w:val="17"/>
                <w:szCs w:val="17"/>
                <w:lang w:val="en-US" w:eastAsia="zh-TW"/>
              </w:rPr>
              <w:t>及</w:t>
            </w:r>
            <w:r w:rsidRPr="00CA7301">
              <w:rPr>
                <w:rFonts w:eastAsiaTheme="minorEastAsia" w:cs="Segoe UI"/>
                <w:color w:val="000000"/>
                <w:sz w:val="17"/>
                <w:szCs w:val="17"/>
                <w:lang w:val="en-US" w:eastAsia="zh-TW"/>
              </w:rPr>
              <w:t>LR2</w:t>
            </w:r>
            <w:r w:rsidRPr="00CA7301">
              <w:rPr>
                <w:rFonts w:eastAsiaTheme="minorEastAsia" w:cs="Segoe UI"/>
                <w:color w:val="000000"/>
                <w:sz w:val="17"/>
                <w:szCs w:val="17"/>
                <w:lang w:val="en-US" w:eastAsia="zh-TW"/>
              </w:rPr>
              <w:t>所載的指明。</w:t>
            </w:r>
            <w:r w:rsidR="00D414B9" w:rsidRPr="00CA7301">
              <w:rPr>
                <w:rFonts w:eastAsiaTheme="minorEastAsia" w:cs="Segoe UI"/>
                <w:color w:val="000000"/>
                <w:sz w:val="17"/>
                <w:szCs w:val="17"/>
                <w:lang w:val="en-US" w:eastAsia="zh-TW"/>
              </w:rPr>
              <w:t xml:space="preserve"> </w:t>
            </w:r>
            <w:r w:rsidRPr="00CA7301">
              <w:rPr>
                <w:rFonts w:eastAsiaTheme="minorEastAsia" w:cs="Segoe UI"/>
                <w:color w:val="000000"/>
                <w:sz w:val="17"/>
                <w:szCs w:val="17"/>
                <w:lang w:val="en-US" w:eastAsia="zh-TW"/>
              </w:rPr>
              <w:t>[KM1: 13/</w:t>
            </w:r>
            <w:proofErr w:type="gramStart"/>
            <w:r w:rsidRPr="00CA7301">
              <w:rPr>
                <w:rFonts w:eastAsiaTheme="minorEastAsia" w:cs="Segoe UI"/>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color w:val="000000"/>
                <w:sz w:val="17"/>
                <w:szCs w:val="17"/>
                <w:lang w:val="en-US" w:eastAsia="zh-TW"/>
              </w:rPr>
              <w:t xml:space="preserve">[LR2: </w:t>
            </w:r>
            <w:r w:rsidR="00A271D4">
              <w:rPr>
                <w:rFonts w:eastAsiaTheme="minorEastAsia" w:cs="Segoe UI" w:hint="eastAsia"/>
                <w:color w:val="000000"/>
                <w:sz w:val="17"/>
                <w:szCs w:val="17"/>
                <w:lang w:val="en-US" w:eastAsia="zh-TW"/>
              </w:rPr>
              <w:t>24</w:t>
            </w:r>
            <w:r w:rsidRPr="00CA7301">
              <w:rPr>
                <w:rFonts w:eastAsiaTheme="minorEastAsia" w:cs="Segoe UI"/>
                <w:color w:val="000000"/>
                <w:sz w:val="17"/>
                <w:szCs w:val="17"/>
                <w:lang w:val="en-US" w:eastAsia="zh-TW"/>
              </w:rPr>
              <w:t>/a]</w:t>
            </w:r>
            <w:r w:rsidRPr="00CA7301">
              <w:rPr>
                <w:rFonts w:eastAsiaTheme="minorEastAsia" w:cs="Segoe UI"/>
                <w:iCs/>
                <w:color w:val="000000"/>
                <w:sz w:val="17"/>
                <w:szCs w:val="17"/>
                <w:lang w:val="en-US" w:eastAsia="zh-TW"/>
              </w:rPr>
              <w:t>的值。</w:t>
            </w:r>
          </w:p>
        </w:tc>
      </w:tr>
      <w:tr w:rsidR="001A78AC" w:rsidRPr="00CA7301" w14:paraId="692A5480" w14:textId="77777777" w:rsidTr="000C010D">
        <w:tc>
          <w:tcPr>
            <w:tcW w:w="851" w:type="dxa"/>
          </w:tcPr>
          <w:p w14:paraId="6126F09B" w14:textId="0735A773" w:rsidR="001A78AC" w:rsidRPr="00CA7301" w:rsidRDefault="001A78AC" w:rsidP="007B417F">
            <w:pPr>
              <w:widowControl w:val="0"/>
              <w:rPr>
                <w:rFonts w:eastAsiaTheme="minorEastAsia" w:cs="Segoe UI"/>
                <w:kern w:val="2"/>
                <w:sz w:val="17"/>
                <w:szCs w:val="17"/>
                <w:lang w:eastAsia="zh-TW"/>
              </w:rPr>
            </w:pPr>
            <w:r>
              <w:rPr>
                <w:rFonts w:eastAsiaTheme="minorEastAsia" w:cs="Segoe UI"/>
                <w:kern w:val="2"/>
                <w:sz w:val="17"/>
                <w:szCs w:val="17"/>
                <w:lang w:eastAsia="zh-TW"/>
              </w:rPr>
              <w:t>13a</w:t>
            </w:r>
          </w:p>
        </w:tc>
        <w:tc>
          <w:tcPr>
            <w:tcW w:w="8505" w:type="dxa"/>
          </w:tcPr>
          <w:p w14:paraId="2DE945DF" w14:textId="7EFDA48C" w:rsidR="001A78AC" w:rsidRPr="00CA7301" w:rsidRDefault="00AF7E1F" w:rsidP="001A78AC">
            <w:pPr>
              <w:widowControl w:val="0"/>
              <w:autoSpaceDE w:val="0"/>
              <w:autoSpaceDN w:val="0"/>
              <w:adjustRightInd w:val="0"/>
              <w:jc w:val="both"/>
              <w:rPr>
                <w:rFonts w:eastAsiaTheme="minorEastAsia" w:cs="Segoe UI"/>
                <w:i/>
                <w:iCs/>
                <w:color w:val="000000"/>
                <w:sz w:val="17"/>
                <w:szCs w:val="17"/>
                <w:lang w:val="en-US" w:eastAsia="zh-TW"/>
              </w:rPr>
            </w:pPr>
            <w:r>
              <w:rPr>
                <w:rFonts w:eastAsiaTheme="minorEastAsia" w:cs="Segoe UI" w:hint="eastAsia"/>
                <w:i/>
                <w:iCs/>
                <w:color w:val="000000"/>
                <w:sz w:val="17"/>
                <w:szCs w:val="17"/>
                <w:lang w:eastAsia="zh-HK"/>
              </w:rPr>
              <w:t>以</w:t>
            </w:r>
            <w:r w:rsidR="001A78AC" w:rsidRPr="001A78AC">
              <w:rPr>
                <w:rFonts w:eastAsiaTheme="minorEastAsia" w:cs="Segoe UI" w:hint="eastAsia"/>
                <w:i/>
                <w:iCs/>
                <w:color w:val="000000"/>
                <w:sz w:val="17"/>
                <w:szCs w:val="17"/>
                <w:lang w:val="en-US" w:eastAsia="zh-TW"/>
              </w:rPr>
              <w:t>證券融資交易</w:t>
            </w:r>
            <w:r w:rsidR="001A78AC" w:rsidRPr="001A78AC">
              <w:rPr>
                <w:rFonts w:eastAsiaTheme="minorEastAsia" w:cs="Segoe UI"/>
                <w:i/>
                <w:iCs/>
                <w:color w:val="000000"/>
                <w:sz w:val="17"/>
                <w:szCs w:val="17"/>
                <w:lang w:val="en-US" w:eastAsia="zh-TW"/>
              </w:rPr>
              <w:t>(SFT)</w:t>
            </w:r>
            <w:r>
              <w:rPr>
                <w:rFonts w:eastAsiaTheme="minorEastAsia" w:cs="Segoe UI" w:hint="eastAsia"/>
                <w:i/>
                <w:iCs/>
                <w:color w:val="000000"/>
                <w:sz w:val="17"/>
                <w:szCs w:val="17"/>
                <w:lang w:val="en-US" w:eastAsia="zh-TW"/>
              </w:rPr>
              <w:t>資產總額平均值</w:t>
            </w:r>
            <w:r w:rsidRPr="00217BE5">
              <w:rPr>
                <w:rFonts w:eastAsia="細明體" w:cs="Segoe UI" w:hint="eastAsia"/>
                <w:i/>
                <w:sz w:val="17"/>
                <w:szCs w:val="17"/>
                <w:lang w:eastAsia="zh-HK"/>
              </w:rPr>
              <w:t>為基</w:t>
            </w:r>
            <w:r w:rsidRPr="00217BE5">
              <w:rPr>
                <w:rFonts w:eastAsia="細明體" w:cs="Segoe UI" w:hint="eastAsia"/>
                <w:i/>
                <w:sz w:val="17"/>
                <w:szCs w:val="17"/>
                <w:lang w:eastAsia="zh-TW"/>
              </w:rPr>
              <w:t>礎</w:t>
            </w:r>
            <w:r w:rsidR="001A78AC" w:rsidRPr="001A78AC">
              <w:rPr>
                <w:rFonts w:eastAsiaTheme="minorEastAsia" w:cs="Segoe UI" w:hint="eastAsia"/>
                <w:i/>
                <w:iCs/>
                <w:color w:val="000000"/>
                <w:sz w:val="17"/>
                <w:szCs w:val="17"/>
                <w:lang w:val="en-US" w:eastAsia="zh-TW"/>
              </w:rPr>
              <w:t>的槓桿比率風險承擔計量</w:t>
            </w:r>
            <w:r w:rsidR="001A78AC" w:rsidRPr="00217BE5">
              <w:rPr>
                <w:rFonts w:eastAsiaTheme="minorEastAsia" w:cs="Segoe UI" w:hint="eastAsia"/>
                <w:iCs/>
                <w:color w:val="000000"/>
                <w:sz w:val="17"/>
                <w:szCs w:val="17"/>
                <w:lang w:val="en-US" w:eastAsia="zh-TW"/>
              </w:rPr>
              <w:t>：應符合模版</w:t>
            </w:r>
            <w:r w:rsidR="001A78AC" w:rsidRPr="00217BE5">
              <w:rPr>
                <w:rFonts w:eastAsiaTheme="minorEastAsia" w:cs="Segoe UI"/>
                <w:iCs/>
                <w:color w:val="000000"/>
                <w:sz w:val="17"/>
                <w:szCs w:val="17"/>
                <w:lang w:val="en-US" w:eastAsia="zh-TW"/>
              </w:rPr>
              <w:t>LR2</w:t>
            </w:r>
            <w:r w:rsidR="001A78AC" w:rsidRPr="00217BE5">
              <w:rPr>
                <w:rFonts w:eastAsiaTheme="minorEastAsia" w:cs="Segoe UI" w:hint="eastAsia"/>
                <w:iCs/>
                <w:color w:val="000000"/>
                <w:sz w:val="17"/>
                <w:szCs w:val="17"/>
                <w:lang w:val="en-US" w:eastAsia="zh-TW"/>
              </w:rPr>
              <w:t>所載的指明。</w:t>
            </w:r>
            <w:r w:rsidR="001A78AC" w:rsidRPr="00217BE5">
              <w:rPr>
                <w:rFonts w:eastAsiaTheme="minorEastAsia" w:cs="Segoe UI"/>
                <w:iCs/>
                <w:color w:val="000000"/>
                <w:sz w:val="17"/>
                <w:szCs w:val="17"/>
                <w:lang w:val="en-US" w:eastAsia="zh-TW"/>
              </w:rPr>
              <w:t>[KM1: 13a/</w:t>
            </w:r>
            <w:proofErr w:type="gramStart"/>
            <w:r w:rsidR="001A78AC" w:rsidRPr="00217BE5">
              <w:rPr>
                <w:rFonts w:eastAsiaTheme="minorEastAsia" w:cs="Segoe UI"/>
                <w:iCs/>
                <w:color w:val="000000"/>
                <w:sz w:val="17"/>
                <w:szCs w:val="17"/>
                <w:lang w:val="en-US" w:eastAsia="zh-TW"/>
              </w:rPr>
              <w:t>a]</w:t>
            </w:r>
            <w:r w:rsidR="001A78AC" w:rsidRPr="00217BE5">
              <w:rPr>
                <w:rFonts w:eastAsiaTheme="minorEastAsia" w:cs="Segoe UI" w:hint="eastAsia"/>
                <w:iCs/>
                <w:color w:val="000000"/>
                <w:sz w:val="17"/>
                <w:szCs w:val="17"/>
                <w:lang w:val="en-US" w:eastAsia="zh-TW"/>
              </w:rPr>
              <w:t>的值應相等於</w:t>
            </w:r>
            <w:proofErr w:type="gramEnd"/>
            <w:r w:rsidR="001A78AC" w:rsidRPr="00217BE5">
              <w:rPr>
                <w:rFonts w:eastAsiaTheme="minorEastAsia" w:cs="Segoe UI"/>
                <w:iCs/>
                <w:color w:val="000000"/>
                <w:sz w:val="17"/>
                <w:szCs w:val="17"/>
                <w:lang w:val="en-US" w:eastAsia="zh-TW"/>
              </w:rPr>
              <w:t>[LR2:30</w:t>
            </w:r>
            <w:r w:rsidR="001A78AC" w:rsidRPr="00217BE5">
              <w:rPr>
                <w:rFonts w:eastAsiaTheme="minorEastAsia" w:cs="Segoe UI" w:hint="eastAsia"/>
                <w:iCs/>
                <w:color w:val="000000"/>
                <w:sz w:val="17"/>
                <w:szCs w:val="17"/>
                <w:lang w:val="en-US" w:eastAsia="zh-TW"/>
              </w:rPr>
              <w:t>及</w:t>
            </w:r>
            <w:r w:rsidR="001A78AC" w:rsidRPr="00217BE5">
              <w:rPr>
                <w:rFonts w:eastAsiaTheme="minorEastAsia" w:cs="Segoe UI"/>
                <w:iCs/>
                <w:color w:val="000000"/>
                <w:sz w:val="17"/>
                <w:szCs w:val="17"/>
                <w:lang w:val="en-US" w:eastAsia="zh-TW"/>
              </w:rPr>
              <w:t>30a/a]</w:t>
            </w:r>
            <w:r w:rsidR="001A78AC" w:rsidRPr="00217BE5">
              <w:rPr>
                <w:rFonts w:eastAsiaTheme="minorEastAsia" w:cs="Segoe UI" w:hint="eastAsia"/>
                <w:iCs/>
                <w:color w:val="000000"/>
                <w:sz w:val="17"/>
                <w:szCs w:val="17"/>
                <w:lang w:val="en-US" w:eastAsia="zh-TW"/>
              </w:rPr>
              <w:t>的值。</w:t>
            </w:r>
          </w:p>
        </w:tc>
      </w:tr>
      <w:tr w:rsidR="007B417F" w:rsidRPr="00CA7301" w14:paraId="31F176D2" w14:textId="77777777" w:rsidTr="000C010D">
        <w:tc>
          <w:tcPr>
            <w:tcW w:w="851" w:type="dxa"/>
          </w:tcPr>
          <w:p w14:paraId="5BE95943" w14:textId="478C431C"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14</w:t>
            </w:r>
            <w:r w:rsidR="001A78AC" w:rsidRPr="001A78AC">
              <w:rPr>
                <w:rFonts w:eastAsiaTheme="minorEastAsia" w:cs="Segoe UI" w:hint="eastAsia"/>
                <w:kern w:val="2"/>
                <w:sz w:val="17"/>
                <w:szCs w:val="17"/>
                <w:lang w:eastAsia="zh-TW"/>
              </w:rPr>
              <w:t>、</w:t>
            </w:r>
            <w:r w:rsidR="001A78AC" w:rsidRPr="001A78AC">
              <w:rPr>
                <w:rFonts w:eastAsiaTheme="minorEastAsia" w:cs="Segoe UI"/>
                <w:kern w:val="2"/>
                <w:sz w:val="17"/>
                <w:szCs w:val="17"/>
                <w:lang w:eastAsia="zh-TW"/>
              </w:rPr>
              <w:t>14a</w:t>
            </w:r>
            <w:r w:rsidR="001A78AC" w:rsidRPr="004B560F">
              <w:rPr>
                <w:rFonts w:eastAsiaTheme="minorEastAsia" w:cs="Segoe UI" w:hint="eastAsia"/>
                <w:iCs/>
                <w:color w:val="000000"/>
                <w:sz w:val="17"/>
                <w:szCs w:val="17"/>
                <w:lang w:val="en-US" w:eastAsia="zh-TW"/>
              </w:rPr>
              <w:t>及</w:t>
            </w:r>
            <w:r w:rsidR="001A78AC">
              <w:rPr>
                <w:rFonts w:eastAsiaTheme="minorEastAsia" w:cs="Segoe UI"/>
                <w:kern w:val="2"/>
                <w:sz w:val="17"/>
                <w:szCs w:val="17"/>
                <w:lang w:eastAsia="zh-TW"/>
              </w:rPr>
              <w:t>14b</w:t>
            </w:r>
          </w:p>
        </w:tc>
        <w:tc>
          <w:tcPr>
            <w:tcW w:w="8505" w:type="dxa"/>
          </w:tcPr>
          <w:p w14:paraId="22124518" w14:textId="5BE3187F" w:rsidR="007B417F" w:rsidRPr="00CA7301" w:rsidRDefault="007B417F" w:rsidP="00CC1400">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槓桿比率</w:t>
            </w:r>
            <w:r w:rsidRPr="00CA7301">
              <w:rPr>
                <w:rFonts w:eastAsiaTheme="minorEastAsia" w:cs="Segoe UI"/>
                <w:i/>
                <w:iCs/>
                <w:color w:val="000000"/>
                <w:sz w:val="17"/>
                <w:szCs w:val="17"/>
                <w:lang w:val="en-US" w:eastAsia="zh-TW"/>
              </w:rPr>
              <w:t>(%)</w:t>
            </w:r>
            <w:r w:rsidRPr="00CA7301">
              <w:rPr>
                <w:rFonts w:eastAsiaTheme="minorEastAsia" w:cs="Segoe UI"/>
                <w:iCs/>
                <w:color w:val="000000"/>
                <w:sz w:val="17"/>
                <w:szCs w:val="17"/>
                <w:lang w:val="en-US" w:eastAsia="zh-TW"/>
              </w:rPr>
              <w:t>：</w:t>
            </w:r>
            <w:r w:rsidR="001C45CD" w:rsidRPr="001C45CD">
              <w:rPr>
                <w:rFonts w:eastAsiaTheme="minorEastAsia" w:cs="Segoe UI" w:hint="eastAsia"/>
                <w:iCs/>
                <w:color w:val="000000"/>
                <w:sz w:val="17"/>
                <w:szCs w:val="17"/>
                <w:lang w:val="en-US" w:eastAsia="zh-TW"/>
              </w:rPr>
              <w:t>香港並無行使酌情權，以容許從槓桿比率風險承擔計量中</w:t>
            </w:r>
            <w:proofErr w:type="gramStart"/>
            <w:r w:rsidR="00CC1400" w:rsidRPr="001C45CD">
              <w:rPr>
                <w:rFonts w:eastAsiaTheme="minorEastAsia" w:cs="Segoe UI" w:hint="eastAsia"/>
                <w:iCs/>
                <w:color w:val="000000"/>
                <w:sz w:val="17"/>
                <w:szCs w:val="17"/>
                <w:lang w:val="en-US" w:eastAsia="zh-TW"/>
              </w:rPr>
              <w:t>暫時</w:t>
            </w:r>
            <w:r w:rsidR="001C45CD" w:rsidRPr="001C45CD">
              <w:rPr>
                <w:rFonts w:eastAsiaTheme="minorEastAsia" w:cs="Segoe UI" w:hint="eastAsia"/>
                <w:iCs/>
                <w:color w:val="000000"/>
                <w:sz w:val="17"/>
                <w:szCs w:val="17"/>
                <w:lang w:val="en-US" w:eastAsia="zh-TW"/>
              </w:rPr>
              <w:t>豁除央行</w:t>
            </w:r>
            <w:proofErr w:type="gramEnd"/>
            <w:r w:rsidR="001C45CD" w:rsidRPr="001C45CD">
              <w:rPr>
                <w:rFonts w:eastAsiaTheme="minorEastAsia" w:cs="Segoe UI" w:hint="eastAsia"/>
                <w:iCs/>
                <w:color w:val="000000"/>
                <w:sz w:val="17"/>
                <w:szCs w:val="17"/>
                <w:lang w:val="en-US" w:eastAsia="zh-TW"/>
              </w:rPr>
              <w:t>儲備</w:t>
            </w:r>
            <w:r w:rsidR="001A78AC" w:rsidRPr="001A78AC">
              <w:rPr>
                <w:rFonts w:asciiTheme="majorEastAsia" w:eastAsiaTheme="majorEastAsia" w:hAnsiTheme="majorEastAsia" w:cs="Segoe UI" w:hint="eastAsia"/>
                <w:iCs/>
                <w:color w:val="000000"/>
                <w:sz w:val="17"/>
                <w:szCs w:val="17"/>
                <w:lang w:eastAsia="zh-HK"/>
              </w:rPr>
              <w:t>。所披露數額應</w:t>
            </w:r>
            <w:r w:rsidRPr="00CA7301">
              <w:rPr>
                <w:rFonts w:eastAsiaTheme="minorEastAsia" w:cs="Segoe UI"/>
                <w:iCs/>
                <w:color w:val="000000"/>
                <w:sz w:val="17"/>
                <w:szCs w:val="17"/>
                <w:lang w:val="en-US" w:eastAsia="zh-TW"/>
              </w:rPr>
              <w:t>為</w:t>
            </w:r>
            <w:r w:rsidRPr="00CA7301">
              <w:rPr>
                <w:rFonts w:eastAsiaTheme="minorEastAsia" w:cs="Segoe UI"/>
                <w:color w:val="000000"/>
                <w:sz w:val="17"/>
                <w:szCs w:val="17"/>
                <w:lang w:val="en-US" w:eastAsia="zh-TW"/>
              </w:rPr>
              <w:t>第</w:t>
            </w:r>
            <w:r w:rsidRPr="00CA7301">
              <w:rPr>
                <w:rFonts w:eastAsiaTheme="minorEastAsia" w:cs="Segoe UI"/>
                <w:iCs/>
                <w:color w:val="000000"/>
                <w:sz w:val="17"/>
                <w:szCs w:val="17"/>
                <w:lang w:val="en-US" w:eastAsia="zh-TW"/>
              </w:rPr>
              <w:t>2</w:t>
            </w:r>
            <w:r w:rsidR="001A78AC" w:rsidRPr="004B560F">
              <w:rPr>
                <w:rFonts w:eastAsiaTheme="minorEastAsia" w:cs="Segoe UI" w:hint="eastAsia"/>
                <w:iCs/>
                <w:color w:val="000000"/>
                <w:sz w:val="17"/>
                <w:szCs w:val="17"/>
                <w:lang w:val="en-US" w:eastAsia="zh-TW"/>
              </w:rPr>
              <w:t>及</w:t>
            </w:r>
            <w:r w:rsidR="001A78AC">
              <w:rPr>
                <w:rFonts w:eastAsiaTheme="minorEastAsia" w:cs="Segoe UI"/>
                <w:iCs/>
                <w:color w:val="000000"/>
                <w:sz w:val="17"/>
                <w:szCs w:val="17"/>
                <w:lang w:val="en-US" w:eastAsia="zh-TW"/>
              </w:rPr>
              <w:t>2a</w:t>
            </w:r>
            <w:r w:rsidRPr="00CA7301">
              <w:rPr>
                <w:rFonts w:eastAsiaTheme="minorEastAsia" w:cs="Segoe UI"/>
                <w:color w:val="000000"/>
                <w:sz w:val="17"/>
                <w:szCs w:val="17"/>
                <w:lang w:val="en-US" w:eastAsia="zh-TW"/>
              </w:rPr>
              <w:t>行</w:t>
            </w:r>
            <w:r w:rsidRPr="00CA7301">
              <w:rPr>
                <w:rFonts w:eastAsiaTheme="minorEastAsia" w:cs="Segoe UI"/>
                <w:iCs/>
                <w:color w:val="000000"/>
                <w:sz w:val="17"/>
                <w:szCs w:val="17"/>
                <w:lang w:val="en-US" w:eastAsia="zh-TW"/>
              </w:rPr>
              <w:t>所</w:t>
            </w:r>
            <w:r w:rsidRPr="00CA7301">
              <w:rPr>
                <w:rFonts w:eastAsiaTheme="minorEastAsia" w:cs="Segoe UI"/>
                <w:iCs/>
                <w:color w:val="000000"/>
                <w:sz w:val="17"/>
                <w:szCs w:val="17"/>
                <w:lang w:eastAsia="zh-TW"/>
              </w:rPr>
              <w:t>填</w:t>
            </w:r>
            <w:r w:rsidRPr="00CA7301">
              <w:rPr>
                <w:rFonts w:eastAsiaTheme="minorEastAsia" w:cs="Segoe UI"/>
                <w:iCs/>
                <w:color w:val="000000"/>
                <w:sz w:val="17"/>
                <w:szCs w:val="17"/>
                <w:lang w:val="en-US" w:eastAsia="zh-TW"/>
              </w:rPr>
              <w:t>報的值除以</w:t>
            </w:r>
            <w:r w:rsidRPr="00CA7301">
              <w:rPr>
                <w:rFonts w:eastAsiaTheme="minorEastAsia" w:cs="Segoe UI"/>
                <w:color w:val="000000"/>
                <w:sz w:val="17"/>
                <w:szCs w:val="17"/>
                <w:lang w:val="en-US" w:eastAsia="zh-TW"/>
              </w:rPr>
              <w:t>第</w:t>
            </w:r>
            <w:r w:rsidRPr="00CA7301">
              <w:rPr>
                <w:rFonts w:eastAsiaTheme="minorEastAsia" w:cs="Segoe UI"/>
                <w:iCs/>
                <w:color w:val="000000"/>
                <w:sz w:val="17"/>
                <w:szCs w:val="17"/>
                <w:lang w:val="en-US" w:eastAsia="zh-TW"/>
              </w:rPr>
              <w:t>13</w:t>
            </w:r>
            <w:r w:rsidRPr="00CA7301">
              <w:rPr>
                <w:rFonts w:eastAsiaTheme="minorEastAsia" w:cs="Segoe UI"/>
                <w:iCs/>
                <w:color w:val="000000"/>
                <w:sz w:val="17"/>
                <w:szCs w:val="17"/>
                <w:lang w:val="en-US" w:eastAsia="zh-TW"/>
              </w:rPr>
              <w:t>行所</w:t>
            </w:r>
            <w:r w:rsidRPr="00CA7301">
              <w:rPr>
                <w:rFonts w:eastAsiaTheme="minorEastAsia" w:cs="Segoe UI"/>
                <w:iCs/>
                <w:color w:val="000000"/>
                <w:sz w:val="17"/>
                <w:szCs w:val="17"/>
                <w:lang w:eastAsia="zh-TW"/>
              </w:rPr>
              <w:t>填</w:t>
            </w:r>
            <w:r w:rsidRPr="00CA7301">
              <w:rPr>
                <w:rFonts w:eastAsiaTheme="minorEastAsia" w:cs="Segoe UI"/>
                <w:iCs/>
                <w:color w:val="000000"/>
                <w:sz w:val="17"/>
                <w:szCs w:val="17"/>
                <w:lang w:val="en-US" w:eastAsia="zh-TW"/>
              </w:rPr>
              <w:t>報的值而得出，並以百分率表示。</w:t>
            </w:r>
            <w:r w:rsidRPr="00CA7301">
              <w:rPr>
                <w:rFonts w:eastAsiaTheme="minorEastAsia" w:cs="Segoe UI"/>
                <w:iCs/>
                <w:color w:val="000000"/>
                <w:sz w:val="17"/>
                <w:szCs w:val="17"/>
                <w:lang w:val="en-US" w:eastAsia="zh-TW"/>
              </w:rPr>
              <w:t>[KM1: 14</w:t>
            </w:r>
            <w:r w:rsidR="001A78AC" w:rsidRPr="001A78AC">
              <w:rPr>
                <w:rFonts w:eastAsiaTheme="minorEastAsia" w:cs="Segoe UI" w:hint="eastAsia"/>
                <w:kern w:val="2"/>
                <w:sz w:val="17"/>
                <w:szCs w:val="17"/>
                <w:lang w:eastAsia="zh-TW"/>
              </w:rPr>
              <w:t>、</w:t>
            </w:r>
            <w:r w:rsidR="001A78AC">
              <w:rPr>
                <w:rFonts w:eastAsiaTheme="minorEastAsia" w:cs="Segoe UI"/>
                <w:iCs/>
                <w:color w:val="000000"/>
                <w:sz w:val="17"/>
                <w:szCs w:val="17"/>
                <w:lang w:val="en-US" w:eastAsia="zh-TW"/>
              </w:rPr>
              <w:t>14a</w:t>
            </w:r>
            <w:r w:rsidR="001A78AC" w:rsidRPr="004B560F">
              <w:rPr>
                <w:rFonts w:eastAsiaTheme="minorEastAsia" w:cs="Segoe UI" w:hint="eastAsia"/>
                <w:iCs/>
                <w:color w:val="000000"/>
                <w:sz w:val="17"/>
                <w:szCs w:val="17"/>
                <w:lang w:val="en-US" w:eastAsia="zh-TW"/>
              </w:rPr>
              <w:t>及</w:t>
            </w:r>
            <w:r w:rsidR="001A78AC">
              <w:rPr>
                <w:rFonts w:eastAsiaTheme="minorEastAsia" w:cs="Segoe UI"/>
                <w:iCs/>
                <w:color w:val="000000"/>
                <w:sz w:val="17"/>
                <w:szCs w:val="17"/>
                <w:lang w:val="en-US" w:eastAsia="zh-TW"/>
              </w:rPr>
              <w:t>14b</w:t>
            </w:r>
            <w:r w:rsidRPr="00CA7301">
              <w:rPr>
                <w:rFonts w:eastAsiaTheme="minorEastAsia" w:cs="Segoe UI"/>
                <w:iCs/>
                <w:color w:val="000000"/>
                <w:sz w:val="17"/>
                <w:szCs w:val="17"/>
                <w:lang w:val="en-US" w:eastAsia="zh-TW"/>
              </w:rPr>
              <w:t>/</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 xml:space="preserve">[LR2: </w:t>
            </w:r>
            <w:r w:rsidR="00B46EA6" w:rsidRPr="00B46EA6">
              <w:rPr>
                <w:rFonts w:eastAsiaTheme="minorEastAsia" w:cs="Segoe UI"/>
                <w:iCs/>
                <w:color w:val="000000"/>
                <w:sz w:val="17"/>
                <w:szCs w:val="17"/>
                <w:lang w:val="en-US" w:eastAsia="zh-TW"/>
              </w:rPr>
              <w:t>25</w:t>
            </w:r>
            <w:r w:rsidR="00B46EA6" w:rsidRPr="00B46EA6">
              <w:rPr>
                <w:rFonts w:eastAsiaTheme="minorEastAsia" w:cs="Segoe UI" w:hint="eastAsia"/>
                <w:iCs/>
                <w:color w:val="000000"/>
                <w:sz w:val="17"/>
                <w:szCs w:val="17"/>
                <w:lang w:val="en-US" w:eastAsia="zh-TW"/>
              </w:rPr>
              <w:t>及</w:t>
            </w:r>
            <w:r w:rsidR="00B46EA6" w:rsidRPr="00B46EA6">
              <w:rPr>
                <w:rFonts w:eastAsiaTheme="minorEastAsia" w:cs="Segoe UI"/>
                <w:iCs/>
                <w:color w:val="000000"/>
                <w:sz w:val="17"/>
                <w:szCs w:val="17"/>
                <w:lang w:val="en-US" w:eastAsia="zh-TW"/>
              </w:rPr>
              <w:t>25a</w:t>
            </w:r>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w:t>
            </w:r>
          </w:p>
        </w:tc>
      </w:tr>
      <w:tr w:rsidR="006111C5" w:rsidRPr="00CA7301" w14:paraId="16176DBF" w14:textId="77777777" w:rsidTr="000C010D">
        <w:tc>
          <w:tcPr>
            <w:tcW w:w="851" w:type="dxa"/>
          </w:tcPr>
          <w:p w14:paraId="57E668F6" w14:textId="285E955A" w:rsidR="006111C5" w:rsidRPr="00CA7301" w:rsidRDefault="006111C5" w:rsidP="007B417F">
            <w:pPr>
              <w:widowControl w:val="0"/>
              <w:rPr>
                <w:rFonts w:eastAsiaTheme="minorEastAsia" w:cs="Segoe UI"/>
                <w:kern w:val="2"/>
                <w:sz w:val="17"/>
                <w:szCs w:val="17"/>
                <w:lang w:eastAsia="zh-TW"/>
              </w:rPr>
            </w:pPr>
            <w:r>
              <w:rPr>
                <w:rFonts w:eastAsiaTheme="minorEastAsia" w:cs="Segoe UI"/>
                <w:kern w:val="2"/>
                <w:sz w:val="17"/>
                <w:szCs w:val="17"/>
                <w:lang w:eastAsia="zh-TW"/>
              </w:rPr>
              <w:t>14c</w:t>
            </w:r>
            <w:r w:rsidRPr="004B560F">
              <w:rPr>
                <w:rFonts w:eastAsiaTheme="minorEastAsia" w:cs="Segoe UI" w:hint="eastAsia"/>
                <w:iCs/>
                <w:color w:val="000000"/>
                <w:sz w:val="17"/>
                <w:szCs w:val="17"/>
                <w:lang w:val="en-US" w:eastAsia="zh-TW"/>
              </w:rPr>
              <w:t>及</w:t>
            </w:r>
            <w:r>
              <w:rPr>
                <w:rFonts w:eastAsiaTheme="minorEastAsia" w:cs="Segoe UI"/>
                <w:kern w:val="2"/>
                <w:sz w:val="17"/>
                <w:szCs w:val="17"/>
                <w:lang w:eastAsia="zh-TW"/>
              </w:rPr>
              <w:t>14d</w:t>
            </w:r>
          </w:p>
        </w:tc>
        <w:tc>
          <w:tcPr>
            <w:tcW w:w="8505" w:type="dxa"/>
          </w:tcPr>
          <w:p w14:paraId="3D558D38" w14:textId="054AADCE" w:rsidR="006111C5" w:rsidRPr="00CA7301" w:rsidRDefault="00AF7E1F" w:rsidP="00CC1400">
            <w:pPr>
              <w:widowControl w:val="0"/>
              <w:autoSpaceDE w:val="0"/>
              <w:autoSpaceDN w:val="0"/>
              <w:adjustRightInd w:val="0"/>
              <w:jc w:val="both"/>
              <w:rPr>
                <w:rFonts w:eastAsiaTheme="minorEastAsia" w:cs="Segoe UI"/>
                <w:i/>
                <w:iCs/>
                <w:color w:val="000000"/>
                <w:sz w:val="17"/>
                <w:szCs w:val="17"/>
                <w:lang w:val="en-US" w:eastAsia="zh-TW"/>
              </w:rPr>
            </w:pPr>
            <w:r>
              <w:rPr>
                <w:rFonts w:eastAsiaTheme="minorEastAsia" w:cs="Segoe UI" w:hint="eastAsia"/>
                <w:i/>
                <w:iCs/>
                <w:color w:val="000000"/>
                <w:sz w:val="17"/>
                <w:szCs w:val="17"/>
                <w:lang w:eastAsia="zh-HK"/>
              </w:rPr>
              <w:t>以</w:t>
            </w:r>
            <w:r w:rsidR="006111C5" w:rsidRPr="006111C5">
              <w:rPr>
                <w:rFonts w:eastAsiaTheme="minorEastAsia" w:cs="Segoe UI"/>
                <w:i/>
                <w:iCs/>
                <w:color w:val="000000"/>
                <w:sz w:val="17"/>
                <w:szCs w:val="17"/>
                <w:lang w:val="en-US" w:eastAsia="zh-TW"/>
              </w:rPr>
              <w:t>SFT</w:t>
            </w:r>
            <w:r>
              <w:rPr>
                <w:rFonts w:eastAsiaTheme="minorEastAsia" w:cs="Segoe UI" w:hint="eastAsia"/>
                <w:i/>
                <w:iCs/>
                <w:color w:val="000000"/>
                <w:sz w:val="17"/>
                <w:szCs w:val="17"/>
                <w:lang w:val="en-US" w:eastAsia="zh-TW"/>
              </w:rPr>
              <w:t>資產總額平均值</w:t>
            </w:r>
            <w:r w:rsidRPr="00217BE5">
              <w:rPr>
                <w:rFonts w:eastAsia="細明體" w:cs="Segoe UI" w:hint="eastAsia"/>
                <w:i/>
                <w:sz w:val="17"/>
                <w:szCs w:val="17"/>
                <w:lang w:eastAsia="zh-HK"/>
              </w:rPr>
              <w:t>為基</w:t>
            </w:r>
            <w:r w:rsidRPr="00217BE5">
              <w:rPr>
                <w:rFonts w:eastAsia="細明體" w:cs="Segoe UI" w:hint="eastAsia"/>
                <w:i/>
                <w:sz w:val="17"/>
                <w:szCs w:val="17"/>
                <w:lang w:eastAsia="zh-TW"/>
              </w:rPr>
              <w:t>礎</w:t>
            </w:r>
            <w:r w:rsidR="006111C5" w:rsidRPr="006111C5">
              <w:rPr>
                <w:rFonts w:eastAsiaTheme="minorEastAsia" w:cs="Segoe UI" w:hint="eastAsia"/>
                <w:i/>
                <w:iCs/>
                <w:color w:val="000000"/>
                <w:sz w:val="17"/>
                <w:szCs w:val="17"/>
                <w:lang w:val="en-US" w:eastAsia="zh-TW"/>
              </w:rPr>
              <w:t>的槓桿比率</w:t>
            </w:r>
            <w:r w:rsidR="006111C5" w:rsidRPr="006111C5">
              <w:rPr>
                <w:rFonts w:eastAsiaTheme="minorEastAsia" w:cs="Segoe UI"/>
                <w:i/>
                <w:iCs/>
                <w:color w:val="000000"/>
                <w:sz w:val="17"/>
                <w:szCs w:val="17"/>
                <w:lang w:val="en-US" w:eastAsia="zh-TW"/>
              </w:rPr>
              <w:t xml:space="preserve"> (%)</w:t>
            </w:r>
            <w:r w:rsidR="006111C5" w:rsidRPr="00217BE5">
              <w:rPr>
                <w:rFonts w:eastAsiaTheme="minorEastAsia" w:cs="Segoe UI" w:hint="eastAsia"/>
                <w:iCs/>
                <w:color w:val="000000"/>
                <w:sz w:val="17"/>
                <w:szCs w:val="17"/>
                <w:lang w:val="en-US" w:eastAsia="zh-TW"/>
              </w:rPr>
              <w:t>：</w:t>
            </w:r>
            <w:r w:rsidR="001C45CD" w:rsidRPr="001C45CD">
              <w:rPr>
                <w:rFonts w:eastAsiaTheme="minorEastAsia" w:cs="Segoe UI" w:hint="eastAsia"/>
                <w:iCs/>
                <w:color w:val="000000"/>
                <w:sz w:val="17"/>
                <w:szCs w:val="17"/>
                <w:lang w:val="en-US" w:eastAsia="zh-TW"/>
              </w:rPr>
              <w:t>香港並無行使酌情權，以容許從槓桿比率風險承擔計量中</w:t>
            </w:r>
            <w:r w:rsidR="00CC1400" w:rsidRPr="001C45CD">
              <w:rPr>
                <w:rFonts w:eastAsiaTheme="minorEastAsia" w:cs="Segoe UI" w:hint="eastAsia"/>
                <w:iCs/>
                <w:color w:val="000000"/>
                <w:sz w:val="17"/>
                <w:szCs w:val="17"/>
                <w:lang w:val="en-US" w:eastAsia="zh-TW"/>
              </w:rPr>
              <w:t>暫時</w:t>
            </w:r>
            <w:r w:rsidR="001C45CD" w:rsidRPr="001C45CD">
              <w:rPr>
                <w:rFonts w:eastAsiaTheme="minorEastAsia" w:cs="Segoe UI" w:hint="eastAsia"/>
                <w:iCs/>
                <w:color w:val="000000"/>
                <w:sz w:val="17"/>
                <w:szCs w:val="17"/>
                <w:lang w:val="en-US" w:eastAsia="zh-TW"/>
              </w:rPr>
              <w:t>豁除央行儲備</w:t>
            </w:r>
            <w:r w:rsidR="006111C5" w:rsidRPr="00217BE5">
              <w:rPr>
                <w:rFonts w:eastAsiaTheme="minorEastAsia" w:cs="Segoe UI" w:hint="eastAsia"/>
                <w:iCs/>
                <w:color w:val="000000"/>
                <w:sz w:val="17"/>
                <w:szCs w:val="17"/>
                <w:lang w:val="en-US" w:eastAsia="zh-TW"/>
              </w:rPr>
              <w:t>。</w:t>
            </w:r>
            <w:r w:rsidR="006111C5" w:rsidRPr="00217BE5">
              <w:rPr>
                <w:rFonts w:eastAsiaTheme="minorEastAsia" w:cs="Segoe UI"/>
                <w:iCs/>
                <w:color w:val="000000"/>
                <w:sz w:val="17"/>
                <w:szCs w:val="17"/>
                <w:lang w:val="en-US" w:eastAsia="zh-TW"/>
              </w:rPr>
              <w:t xml:space="preserve"> [KM1: 14c</w:t>
            </w:r>
            <w:r w:rsidR="006111C5" w:rsidRPr="00217BE5">
              <w:rPr>
                <w:rFonts w:eastAsiaTheme="minorEastAsia" w:cs="Segoe UI" w:hint="eastAsia"/>
                <w:iCs/>
                <w:color w:val="000000"/>
                <w:sz w:val="17"/>
                <w:szCs w:val="17"/>
                <w:lang w:val="en-US" w:eastAsia="zh-TW"/>
              </w:rPr>
              <w:t>及</w:t>
            </w:r>
            <w:r w:rsidR="006111C5" w:rsidRPr="00217BE5">
              <w:rPr>
                <w:rFonts w:eastAsiaTheme="minorEastAsia" w:cs="Segoe UI"/>
                <w:iCs/>
                <w:color w:val="000000"/>
                <w:sz w:val="17"/>
                <w:szCs w:val="17"/>
                <w:lang w:val="en-US" w:eastAsia="zh-TW"/>
              </w:rPr>
              <w:t>14d/</w:t>
            </w:r>
            <w:proofErr w:type="gramStart"/>
            <w:r w:rsidR="006111C5" w:rsidRPr="00217BE5">
              <w:rPr>
                <w:rFonts w:eastAsiaTheme="minorEastAsia" w:cs="Segoe UI"/>
                <w:iCs/>
                <w:color w:val="000000"/>
                <w:sz w:val="17"/>
                <w:szCs w:val="17"/>
                <w:lang w:val="en-US" w:eastAsia="zh-TW"/>
              </w:rPr>
              <w:t>a]</w:t>
            </w:r>
            <w:r w:rsidR="006111C5" w:rsidRPr="00217BE5">
              <w:rPr>
                <w:rFonts w:eastAsiaTheme="minorEastAsia" w:cs="Segoe UI" w:hint="eastAsia"/>
                <w:iCs/>
                <w:color w:val="000000"/>
                <w:sz w:val="17"/>
                <w:szCs w:val="17"/>
                <w:lang w:val="en-US" w:eastAsia="zh-TW"/>
              </w:rPr>
              <w:t>的值應相等於</w:t>
            </w:r>
            <w:proofErr w:type="gramEnd"/>
            <w:r w:rsidR="006111C5" w:rsidRPr="00217BE5">
              <w:rPr>
                <w:rFonts w:eastAsiaTheme="minorEastAsia" w:cs="Segoe UI"/>
                <w:iCs/>
                <w:color w:val="000000"/>
                <w:sz w:val="17"/>
                <w:szCs w:val="17"/>
                <w:lang w:val="en-US" w:eastAsia="zh-TW"/>
              </w:rPr>
              <w:t>[LR2:31</w:t>
            </w:r>
            <w:r w:rsidR="006111C5" w:rsidRPr="00217BE5">
              <w:rPr>
                <w:rFonts w:eastAsiaTheme="minorEastAsia" w:cs="Segoe UI" w:hint="eastAsia"/>
                <w:iCs/>
                <w:color w:val="000000"/>
                <w:sz w:val="17"/>
                <w:szCs w:val="17"/>
                <w:lang w:val="en-US" w:eastAsia="zh-TW"/>
              </w:rPr>
              <w:t>及</w:t>
            </w:r>
            <w:r w:rsidR="006111C5" w:rsidRPr="00217BE5">
              <w:rPr>
                <w:rFonts w:eastAsiaTheme="minorEastAsia" w:cs="Segoe UI"/>
                <w:iCs/>
                <w:color w:val="000000"/>
                <w:sz w:val="17"/>
                <w:szCs w:val="17"/>
                <w:lang w:val="en-US" w:eastAsia="zh-TW"/>
              </w:rPr>
              <w:t>31a/a]</w:t>
            </w:r>
            <w:r w:rsidR="006111C5" w:rsidRPr="00217BE5">
              <w:rPr>
                <w:rFonts w:eastAsiaTheme="minorEastAsia" w:cs="Segoe UI" w:hint="eastAsia"/>
                <w:iCs/>
                <w:color w:val="000000"/>
                <w:sz w:val="17"/>
                <w:szCs w:val="17"/>
                <w:lang w:val="en-US" w:eastAsia="zh-TW"/>
              </w:rPr>
              <w:t>的值。</w:t>
            </w:r>
          </w:p>
        </w:tc>
      </w:tr>
      <w:tr w:rsidR="007B417F" w:rsidRPr="00CA7301" w14:paraId="70DC42EC" w14:textId="77777777" w:rsidTr="000C010D">
        <w:tc>
          <w:tcPr>
            <w:tcW w:w="851" w:type="dxa"/>
          </w:tcPr>
          <w:p w14:paraId="17682C9C" w14:textId="77777777" w:rsidR="007B417F" w:rsidRPr="00CA7301" w:rsidRDefault="007B417F" w:rsidP="007B417F">
            <w:pPr>
              <w:widowControl w:val="0"/>
              <w:jc w:val="both"/>
              <w:rPr>
                <w:rFonts w:eastAsiaTheme="minorEastAsia" w:cs="Segoe UI"/>
                <w:kern w:val="2"/>
                <w:sz w:val="17"/>
                <w:szCs w:val="17"/>
                <w:lang w:eastAsia="zh-TW"/>
              </w:rPr>
            </w:pPr>
            <w:r w:rsidRPr="00CA7301">
              <w:rPr>
                <w:rFonts w:eastAsiaTheme="minorEastAsia" w:cs="Segoe UI"/>
                <w:kern w:val="2"/>
                <w:sz w:val="17"/>
                <w:szCs w:val="17"/>
                <w:lang w:eastAsia="zh-TW"/>
              </w:rPr>
              <w:t>15</w:t>
            </w:r>
          </w:p>
        </w:tc>
        <w:tc>
          <w:tcPr>
            <w:tcW w:w="8505" w:type="dxa"/>
          </w:tcPr>
          <w:p w14:paraId="128419BE" w14:textId="77777777" w:rsidR="007B417F" w:rsidRPr="00CA7301" w:rsidRDefault="007B417F" w:rsidP="007B417F">
            <w:pPr>
              <w:widowControl w:val="0"/>
              <w:autoSpaceDE w:val="0"/>
              <w:autoSpaceDN w:val="0"/>
              <w:adjustRightInd w:val="0"/>
              <w:ind w:left="1"/>
              <w:jc w:val="both"/>
              <w:rPr>
                <w:rFonts w:eastAsiaTheme="minorEastAsia" w:cs="Segoe UI"/>
                <w:color w:val="000000"/>
                <w:sz w:val="17"/>
                <w:szCs w:val="17"/>
                <w:lang w:val="en-US" w:eastAsia="zh-TW"/>
              </w:rPr>
            </w:pPr>
            <w:r w:rsidRPr="00CA7301">
              <w:rPr>
                <w:rFonts w:eastAsiaTheme="minorEastAsia" w:cs="Segoe UI"/>
                <w:i/>
                <w:iCs/>
                <w:color w:val="000000"/>
                <w:sz w:val="17"/>
                <w:szCs w:val="17"/>
                <w:lang w:val="en-US" w:eastAsia="zh-TW"/>
              </w:rPr>
              <w:t>優質流動資產</w:t>
            </w:r>
            <w:r w:rsidRPr="00CA7301">
              <w:rPr>
                <w:rFonts w:eastAsiaTheme="minorEastAsia" w:cs="Segoe UI"/>
                <w:i/>
                <w:iCs/>
                <w:color w:val="000000"/>
                <w:sz w:val="17"/>
                <w:szCs w:val="17"/>
                <w:lang w:val="en-US" w:eastAsia="zh-TW"/>
              </w:rPr>
              <w:t>(HQLA)</w:t>
            </w:r>
            <w:r w:rsidRPr="00CA7301">
              <w:rPr>
                <w:rFonts w:eastAsiaTheme="minorEastAsia" w:cs="Segoe UI"/>
                <w:i/>
                <w:iCs/>
                <w:color w:val="000000"/>
                <w:sz w:val="17"/>
                <w:szCs w:val="17"/>
                <w:lang w:val="en-US" w:eastAsia="zh-TW"/>
              </w:rPr>
              <w:t>總額</w:t>
            </w:r>
            <w:r w:rsidRPr="00CA7301">
              <w:rPr>
                <w:rFonts w:eastAsiaTheme="minorEastAsia" w:cs="Segoe UI"/>
                <w:iCs/>
                <w:color w:val="000000"/>
                <w:sz w:val="17"/>
                <w:szCs w:val="17"/>
                <w:lang w:val="en-US" w:eastAsia="zh-TW"/>
              </w:rPr>
              <w:t>：被指定為第</w:t>
            </w:r>
            <w:r w:rsidRPr="00CA7301">
              <w:rPr>
                <w:rFonts w:eastAsiaTheme="minorEastAsia" w:cs="Segoe UI"/>
                <w:iCs/>
                <w:color w:val="000000"/>
                <w:sz w:val="17"/>
                <w:szCs w:val="17"/>
                <w:lang w:val="en-US" w:eastAsia="zh-TW"/>
              </w:rPr>
              <w:t>1</w:t>
            </w:r>
            <w:r w:rsidRPr="00CA7301">
              <w:rPr>
                <w:rFonts w:eastAsiaTheme="minorEastAsia" w:cs="Segoe UI"/>
                <w:iCs/>
                <w:color w:val="000000"/>
                <w:sz w:val="17"/>
                <w:szCs w:val="17"/>
                <w:lang w:val="en-US" w:eastAsia="zh-TW"/>
              </w:rPr>
              <w:t>類機構的認可機構應根據模版</w:t>
            </w:r>
            <w:r w:rsidRPr="00CA7301">
              <w:rPr>
                <w:rFonts w:eastAsiaTheme="minorEastAsia" w:cs="Segoe UI"/>
                <w:iCs/>
                <w:color w:val="000000"/>
                <w:sz w:val="17"/>
                <w:szCs w:val="17"/>
                <w:lang w:val="en-US" w:eastAsia="zh-TW"/>
              </w:rPr>
              <w:t>LIQ1</w:t>
            </w:r>
            <w:r w:rsidRPr="00CA7301">
              <w:rPr>
                <w:rFonts w:eastAsiaTheme="minorEastAsia" w:cs="Segoe UI"/>
                <w:iCs/>
                <w:color w:val="000000"/>
                <w:sz w:val="17"/>
                <w:szCs w:val="17"/>
                <w:lang w:val="en-US" w:eastAsia="zh-TW"/>
              </w:rPr>
              <w:t>所載的指明披露經調整總值。數據應</w:t>
            </w:r>
            <w:r w:rsidRPr="00CA7301">
              <w:rPr>
                <w:rFonts w:eastAsiaTheme="minorEastAsia" w:cs="Segoe UI"/>
                <w:iCs/>
                <w:color w:val="000000"/>
                <w:sz w:val="17"/>
                <w:szCs w:val="17"/>
                <w:lang w:eastAsia="zh-TW"/>
              </w:rPr>
              <w:t>為</w:t>
            </w:r>
            <w:r w:rsidRPr="00CA7301">
              <w:rPr>
                <w:rFonts w:eastAsiaTheme="minorEastAsia" w:cs="Segoe UI"/>
                <w:iCs/>
                <w:color w:val="000000"/>
                <w:sz w:val="17"/>
                <w:szCs w:val="17"/>
                <w:lang w:val="en-US" w:eastAsia="zh-TW"/>
              </w:rPr>
              <w:t>當季內所有工作日每日觀察數據的簡單平均數。</w:t>
            </w:r>
            <w:r w:rsidRPr="00CA7301">
              <w:rPr>
                <w:rFonts w:eastAsiaTheme="minorEastAsia" w:cs="Segoe UI"/>
                <w:iCs/>
                <w:color w:val="000000"/>
                <w:sz w:val="17"/>
                <w:szCs w:val="17"/>
                <w:lang w:val="en-US" w:eastAsia="zh-TW"/>
              </w:rPr>
              <w:t>[KM1: 15/</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[LIQ1: 21/b]</w:t>
            </w:r>
            <w:r w:rsidRPr="00CA7301">
              <w:rPr>
                <w:rFonts w:eastAsiaTheme="minorEastAsia" w:cs="Segoe UI"/>
                <w:iCs/>
                <w:color w:val="000000"/>
                <w:sz w:val="17"/>
                <w:szCs w:val="17"/>
                <w:lang w:val="en-US" w:eastAsia="zh-TW"/>
              </w:rPr>
              <w:t>的值。</w:t>
            </w:r>
          </w:p>
        </w:tc>
      </w:tr>
      <w:tr w:rsidR="007B417F" w:rsidRPr="00CA7301" w14:paraId="58D356D2" w14:textId="77777777" w:rsidTr="000C010D">
        <w:tc>
          <w:tcPr>
            <w:tcW w:w="851" w:type="dxa"/>
          </w:tcPr>
          <w:p w14:paraId="4D003AB7"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16</w:t>
            </w:r>
          </w:p>
        </w:tc>
        <w:tc>
          <w:tcPr>
            <w:tcW w:w="8505" w:type="dxa"/>
          </w:tcPr>
          <w:p w14:paraId="1CD95660" w14:textId="77777777" w:rsidR="007B417F" w:rsidRPr="00CA7301" w:rsidRDefault="007B417F" w:rsidP="007B417F">
            <w:pPr>
              <w:widowControl w:val="0"/>
              <w:autoSpaceDE w:val="0"/>
              <w:autoSpaceDN w:val="0"/>
              <w:adjustRightInd w:val="0"/>
              <w:jc w:val="both"/>
              <w:rPr>
                <w:rFonts w:eastAsiaTheme="minorEastAsia" w:cs="Segoe UI"/>
                <w:color w:val="000000"/>
                <w:sz w:val="17"/>
                <w:szCs w:val="17"/>
                <w:lang w:val="en-US" w:eastAsia="zh-TW"/>
              </w:rPr>
            </w:pPr>
            <w:r w:rsidRPr="00CA7301">
              <w:rPr>
                <w:rFonts w:eastAsiaTheme="minorEastAsia" w:cs="Segoe UI"/>
                <w:i/>
                <w:iCs/>
                <w:color w:val="000000"/>
                <w:sz w:val="17"/>
                <w:szCs w:val="17"/>
                <w:lang w:val="en-US" w:eastAsia="zh-TW"/>
              </w:rPr>
              <w:t>淨現金流出總額</w:t>
            </w:r>
            <w:r w:rsidRPr="00CA7301">
              <w:rPr>
                <w:rFonts w:eastAsiaTheme="minorEastAsia" w:cs="Segoe UI"/>
                <w:iCs/>
                <w:color w:val="000000"/>
                <w:sz w:val="17"/>
                <w:szCs w:val="17"/>
                <w:lang w:val="en-US" w:eastAsia="zh-TW"/>
              </w:rPr>
              <w:t>：被指定為第</w:t>
            </w:r>
            <w:r w:rsidRPr="00CA7301">
              <w:rPr>
                <w:rFonts w:eastAsiaTheme="minorEastAsia" w:cs="Segoe UI"/>
                <w:iCs/>
                <w:color w:val="000000"/>
                <w:sz w:val="17"/>
                <w:szCs w:val="17"/>
                <w:lang w:val="en-US" w:eastAsia="zh-TW"/>
              </w:rPr>
              <w:t>1</w:t>
            </w:r>
            <w:r w:rsidRPr="00CA7301">
              <w:rPr>
                <w:rFonts w:eastAsiaTheme="minorEastAsia" w:cs="Segoe UI"/>
                <w:iCs/>
                <w:color w:val="000000"/>
                <w:sz w:val="17"/>
                <w:szCs w:val="17"/>
                <w:lang w:val="en-US" w:eastAsia="zh-TW"/>
              </w:rPr>
              <w:t>類機構的認可機構應根據模版</w:t>
            </w:r>
            <w:r w:rsidRPr="00CA7301">
              <w:rPr>
                <w:rFonts w:eastAsiaTheme="minorEastAsia" w:cs="Segoe UI"/>
                <w:iCs/>
                <w:color w:val="000000"/>
                <w:sz w:val="17"/>
                <w:szCs w:val="17"/>
                <w:lang w:val="en-US" w:eastAsia="zh-TW"/>
              </w:rPr>
              <w:t>LIQ1</w:t>
            </w:r>
            <w:r w:rsidRPr="00CA7301">
              <w:rPr>
                <w:rFonts w:eastAsiaTheme="minorEastAsia" w:cs="Segoe UI"/>
                <w:iCs/>
                <w:color w:val="000000"/>
                <w:sz w:val="17"/>
                <w:szCs w:val="17"/>
                <w:lang w:val="en-US" w:eastAsia="zh-TW"/>
              </w:rPr>
              <w:t>所載的指明披露經調整總值。數據應</w:t>
            </w:r>
            <w:r w:rsidRPr="00CA7301">
              <w:rPr>
                <w:rFonts w:eastAsiaTheme="minorEastAsia" w:cs="Segoe UI"/>
                <w:iCs/>
                <w:color w:val="000000"/>
                <w:sz w:val="17"/>
                <w:szCs w:val="17"/>
                <w:lang w:eastAsia="zh-TW"/>
              </w:rPr>
              <w:t>為</w:t>
            </w:r>
            <w:r w:rsidRPr="00CA7301">
              <w:rPr>
                <w:rFonts w:eastAsiaTheme="minorEastAsia" w:cs="Segoe UI"/>
                <w:iCs/>
                <w:color w:val="000000"/>
                <w:sz w:val="17"/>
                <w:szCs w:val="17"/>
                <w:lang w:val="en-US" w:eastAsia="zh-TW"/>
              </w:rPr>
              <w:t>當季內所有工作日每日觀察數據的簡單平均數。</w:t>
            </w:r>
            <w:r w:rsidRPr="00CA7301">
              <w:rPr>
                <w:rFonts w:eastAsiaTheme="minorEastAsia" w:cs="Segoe UI"/>
                <w:color w:val="000000"/>
                <w:sz w:val="17"/>
                <w:szCs w:val="17"/>
                <w:lang w:val="en-US" w:eastAsia="zh-TW"/>
              </w:rPr>
              <w:t>[KM1: 16/</w:t>
            </w:r>
            <w:proofErr w:type="gramStart"/>
            <w:r w:rsidRPr="00CA7301">
              <w:rPr>
                <w:rFonts w:eastAsiaTheme="minorEastAsia" w:cs="Segoe UI"/>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color w:val="000000"/>
                <w:sz w:val="17"/>
                <w:szCs w:val="17"/>
                <w:lang w:val="en-US" w:eastAsia="zh-TW"/>
              </w:rPr>
              <w:t>[LIQ1: 22/b]</w:t>
            </w:r>
            <w:r w:rsidRPr="00CA7301">
              <w:rPr>
                <w:rFonts w:eastAsiaTheme="minorEastAsia" w:cs="Segoe UI"/>
                <w:iCs/>
                <w:color w:val="000000"/>
                <w:sz w:val="17"/>
                <w:szCs w:val="17"/>
                <w:lang w:val="en-US" w:eastAsia="zh-TW"/>
              </w:rPr>
              <w:t>的值</w:t>
            </w:r>
            <w:r w:rsidR="00A76E62" w:rsidRPr="00CA7301">
              <w:rPr>
                <w:rFonts w:eastAsiaTheme="minorEastAsia" w:cs="Segoe UI"/>
                <w:iCs/>
                <w:color w:val="000000"/>
                <w:sz w:val="17"/>
                <w:szCs w:val="17"/>
                <w:lang w:val="en-US" w:eastAsia="zh-TW"/>
              </w:rPr>
              <w:t>。</w:t>
            </w:r>
          </w:p>
        </w:tc>
      </w:tr>
      <w:tr w:rsidR="007B417F" w:rsidRPr="00CA7301" w14:paraId="5738880C" w14:textId="77777777" w:rsidTr="000C010D">
        <w:tc>
          <w:tcPr>
            <w:tcW w:w="851" w:type="dxa"/>
          </w:tcPr>
          <w:p w14:paraId="3EB6AE1A"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17</w:t>
            </w:r>
          </w:p>
        </w:tc>
        <w:tc>
          <w:tcPr>
            <w:tcW w:w="8505" w:type="dxa"/>
          </w:tcPr>
          <w:p w14:paraId="0141DFEF" w14:textId="322FAC2F"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LCR (</w:t>
            </w:r>
            <w:proofErr w:type="gramStart"/>
            <w:r w:rsidRPr="00CA7301">
              <w:rPr>
                <w:rFonts w:eastAsiaTheme="minorEastAsia" w:cs="Segoe UI"/>
                <w:i/>
                <w:iCs/>
                <w:color w:val="000000"/>
                <w:sz w:val="17"/>
                <w:szCs w:val="17"/>
                <w:lang w:val="en-US" w:eastAsia="zh-TW"/>
              </w:rPr>
              <w:t>%)</w:t>
            </w:r>
            <w:r w:rsidRPr="00CA7301">
              <w:rPr>
                <w:rFonts w:eastAsiaTheme="minorEastAsia" w:cs="Segoe UI"/>
                <w:iCs/>
                <w:color w:val="000000"/>
                <w:sz w:val="17"/>
                <w:szCs w:val="17"/>
                <w:lang w:val="en-US" w:eastAsia="zh-TW"/>
              </w:rPr>
              <w:t>：</w:t>
            </w:r>
            <w:proofErr w:type="gramEnd"/>
            <w:r w:rsidRPr="00CA7301">
              <w:rPr>
                <w:rFonts w:eastAsiaTheme="minorEastAsia" w:cs="Segoe UI"/>
                <w:iCs/>
                <w:color w:val="000000"/>
                <w:sz w:val="17"/>
                <w:szCs w:val="17"/>
                <w:lang w:val="en-US" w:eastAsia="zh-TW"/>
              </w:rPr>
              <w:t>[KM1: 17/a]</w:t>
            </w:r>
            <w:r w:rsidRPr="00CA7301">
              <w:rPr>
                <w:rFonts w:eastAsiaTheme="minorEastAsia" w:cs="Segoe UI"/>
                <w:iCs/>
                <w:color w:val="000000"/>
                <w:sz w:val="17"/>
                <w:szCs w:val="17"/>
                <w:lang w:val="en-US" w:eastAsia="zh-TW"/>
              </w:rPr>
              <w:t>的值應相等於</w:t>
            </w:r>
            <w:r w:rsidRPr="00CA7301">
              <w:rPr>
                <w:rFonts w:eastAsiaTheme="minorEastAsia" w:cs="Segoe UI"/>
                <w:iCs/>
                <w:color w:val="000000"/>
                <w:sz w:val="17"/>
                <w:szCs w:val="17"/>
                <w:lang w:val="en-US" w:eastAsia="zh-TW"/>
              </w:rPr>
              <w:t>[LIQ1: 23/b]</w:t>
            </w:r>
            <w:r w:rsidRPr="00CA7301">
              <w:rPr>
                <w:rFonts w:eastAsiaTheme="minorEastAsia" w:cs="Segoe UI"/>
                <w:iCs/>
                <w:color w:val="000000"/>
                <w:sz w:val="17"/>
                <w:szCs w:val="17"/>
                <w:lang w:val="en-US" w:eastAsia="zh-TW"/>
              </w:rPr>
              <w:t>的值。</w:t>
            </w:r>
          </w:p>
        </w:tc>
      </w:tr>
      <w:tr w:rsidR="007B417F" w:rsidRPr="00CA7301" w14:paraId="7725F658" w14:textId="77777777" w:rsidTr="000C010D">
        <w:tc>
          <w:tcPr>
            <w:tcW w:w="851" w:type="dxa"/>
          </w:tcPr>
          <w:p w14:paraId="2EC8255B"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17a</w:t>
            </w:r>
          </w:p>
        </w:tc>
        <w:tc>
          <w:tcPr>
            <w:tcW w:w="8505" w:type="dxa"/>
          </w:tcPr>
          <w:p w14:paraId="4F4DCFB3" w14:textId="77777777" w:rsidR="007B417F" w:rsidRPr="00CA7301" w:rsidRDefault="007B417F" w:rsidP="0071488C">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kern w:val="2"/>
                <w:sz w:val="17"/>
                <w:szCs w:val="17"/>
                <w:lang w:eastAsia="zh-TW"/>
              </w:rPr>
              <w:t>LMR (</w:t>
            </w:r>
            <w:proofErr w:type="gramStart"/>
            <w:r w:rsidRPr="00CA7301">
              <w:rPr>
                <w:rFonts w:eastAsiaTheme="minorEastAsia" w:cs="Segoe UI"/>
                <w:i/>
                <w:kern w:val="2"/>
                <w:sz w:val="17"/>
                <w:szCs w:val="17"/>
                <w:lang w:eastAsia="zh-TW"/>
              </w:rPr>
              <w:t>%)</w:t>
            </w:r>
            <w:r w:rsidRPr="00CA7301">
              <w:rPr>
                <w:rFonts w:eastAsiaTheme="minorEastAsia" w:cs="Segoe UI"/>
                <w:kern w:val="2"/>
                <w:sz w:val="17"/>
                <w:szCs w:val="17"/>
                <w:lang w:eastAsia="zh-TW"/>
              </w:rPr>
              <w:t>：</w:t>
            </w:r>
            <w:proofErr w:type="gramEnd"/>
            <w:r w:rsidRPr="00CA7301">
              <w:rPr>
                <w:rFonts w:eastAsiaTheme="minorEastAsia" w:cs="Segoe UI"/>
                <w:kern w:val="2"/>
                <w:sz w:val="17"/>
                <w:szCs w:val="17"/>
                <w:lang w:eastAsia="zh-TW"/>
              </w:rPr>
              <w:t>被指定為第</w:t>
            </w:r>
            <w:r w:rsidRPr="00CA7301">
              <w:rPr>
                <w:rFonts w:eastAsiaTheme="minorEastAsia" w:cs="Segoe UI"/>
                <w:kern w:val="2"/>
                <w:sz w:val="17"/>
                <w:szCs w:val="17"/>
                <w:lang w:eastAsia="zh-TW"/>
              </w:rPr>
              <w:t>2</w:t>
            </w:r>
            <w:r w:rsidRPr="00CA7301">
              <w:rPr>
                <w:rFonts w:eastAsiaTheme="minorEastAsia" w:cs="Segoe UI"/>
                <w:kern w:val="2"/>
                <w:sz w:val="17"/>
                <w:szCs w:val="17"/>
                <w:lang w:eastAsia="zh-TW"/>
              </w:rPr>
              <w:t>類機構的</w:t>
            </w:r>
            <w:r w:rsidRPr="00CA7301">
              <w:rPr>
                <w:rFonts w:eastAsiaTheme="minorEastAsia" w:cs="Segoe UI"/>
                <w:iCs/>
                <w:color w:val="000000"/>
                <w:sz w:val="17"/>
                <w:szCs w:val="17"/>
                <w:lang w:val="en-US" w:eastAsia="zh-TW"/>
              </w:rPr>
              <w:t>認可機構應在本行披露當季內</w:t>
            </w:r>
            <w:r w:rsidRPr="00CA7301">
              <w:rPr>
                <w:rFonts w:eastAsiaTheme="minorEastAsia" w:cs="Segoe UI"/>
                <w:iCs/>
                <w:color w:val="000000"/>
                <w:sz w:val="17"/>
                <w:szCs w:val="17"/>
                <w:lang w:val="en-US" w:eastAsia="zh-TW"/>
              </w:rPr>
              <w:t>3</w:t>
            </w:r>
            <w:r w:rsidRPr="00CA7301">
              <w:rPr>
                <w:rFonts w:eastAsiaTheme="minorEastAsia" w:cs="Segoe UI"/>
                <w:iCs/>
                <w:color w:val="000000"/>
                <w:sz w:val="17"/>
                <w:szCs w:val="17"/>
                <w:lang w:val="en-US" w:eastAsia="zh-TW"/>
              </w:rPr>
              <w:t>個</w:t>
            </w:r>
            <w:r w:rsidRPr="00CA7301">
              <w:rPr>
                <w:rFonts w:eastAsiaTheme="minorEastAsia" w:cs="Segoe UI"/>
                <w:iCs/>
                <w:color w:val="000000"/>
                <w:sz w:val="17"/>
                <w:szCs w:val="17"/>
                <w:lang w:eastAsia="zh-TW"/>
              </w:rPr>
              <w:t>公</w:t>
            </w:r>
            <w:r w:rsidRPr="00CA7301">
              <w:rPr>
                <w:rFonts w:eastAsiaTheme="minorEastAsia" w:cs="Segoe UI"/>
                <w:iCs/>
                <w:color w:val="000000"/>
                <w:sz w:val="17"/>
                <w:szCs w:val="17"/>
                <w:lang w:val="en-US" w:eastAsia="zh-TW"/>
              </w:rPr>
              <w:t>曆月的平均</w:t>
            </w:r>
            <w:r w:rsidRPr="00CA7301">
              <w:rPr>
                <w:rFonts w:eastAsiaTheme="minorEastAsia" w:cs="Segoe UI"/>
                <w:iCs/>
                <w:color w:val="000000"/>
                <w:sz w:val="17"/>
                <w:szCs w:val="17"/>
                <w:lang w:val="en-US" w:eastAsia="zh-TW"/>
              </w:rPr>
              <w:t>LMR</w:t>
            </w:r>
            <w:r w:rsidRPr="00CA7301">
              <w:rPr>
                <w:rFonts w:eastAsiaTheme="minorEastAsia" w:cs="Segoe UI"/>
                <w:iCs/>
                <w:color w:val="000000"/>
                <w:sz w:val="17"/>
                <w:szCs w:val="17"/>
                <w:lang w:val="en-US" w:eastAsia="zh-TW"/>
              </w:rPr>
              <w:t>的算術平均數。每個公曆月的平均</w:t>
            </w:r>
            <w:r w:rsidRPr="00CA7301">
              <w:rPr>
                <w:rFonts w:eastAsiaTheme="minorEastAsia" w:cs="Segoe UI"/>
                <w:iCs/>
                <w:color w:val="000000"/>
                <w:sz w:val="17"/>
                <w:szCs w:val="17"/>
                <w:lang w:val="en-US" w:eastAsia="zh-TW"/>
              </w:rPr>
              <w:t>LMR</w:t>
            </w:r>
            <w:r w:rsidRPr="00CA7301">
              <w:rPr>
                <w:rFonts w:eastAsiaTheme="minorEastAsia" w:cs="Segoe UI"/>
                <w:iCs/>
                <w:color w:val="000000"/>
                <w:sz w:val="17"/>
                <w:szCs w:val="17"/>
                <w:lang w:val="en-US" w:eastAsia="zh-TW"/>
              </w:rPr>
              <w:t>應為</w:t>
            </w:r>
            <w:r w:rsidR="00275E1B" w:rsidRPr="00CA7301">
              <w:rPr>
                <w:rFonts w:eastAsiaTheme="minorEastAsia" w:cs="Segoe UI"/>
                <w:iCs/>
                <w:color w:val="000000"/>
                <w:sz w:val="17"/>
                <w:szCs w:val="17"/>
                <w:lang w:val="en-US" w:eastAsia="zh-TW"/>
              </w:rPr>
              <w:t>就該</w:t>
            </w:r>
            <w:r w:rsidRPr="00CA7301">
              <w:rPr>
                <w:rFonts w:eastAsiaTheme="minorEastAsia" w:cs="Segoe UI"/>
                <w:iCs/>
                <w:color w:val="000000"/>
                <w:sz w:val="17"/>
                <w:szCs w:val="17"/>
                <w:lang w:val="en-US" w:eastAsia="zh-TW"/>
              </w:rPr>
              <w:t>報</w:t>
            </w:r>
            <w:r w:rsidR="0071488C" w:rsidRPr="00CA7301">
              <w:rPr>
                <w:rFonts w:eastAsiaTheme="minorEastAsia" w:cs="Segoe UI"/>
                <w:iCs/>
                <w:color w:val="000000"/>
                <w:sz w:val="17"/>
                <w:szCs w:val="17"/>
                <w:lang w:val="en-US" w:eastAsia="zh-TW"/>
              </w:rPr>
              <w:t>告</w:t>
            </w:r>
            <w:r w:rsidRPr="00CA7301">
              <w:rPr>
                <w:rFonts w:eastAsiaTheme="minorEastAsia" w:cs="Segoe UI"/>
                <w:iCs/>
                <w:color w:val="000000"/>
                <w:sz w:val="17"/>
                <w:szCs w:val="17"/>
                <w:lang w:val="en-US" w:eastAsia="zh-TW"/>
              </w:rPr>
              <w:t>月份</w:t>
            </w:r>
            <w:r w:rsidR="00E54643" w:rsidRPr="00CA7301">
              <w:rPr>
                <w:rFonts w:eastAsiaTheme="minorEastAsia" w:cs="Segoe UI"/>
                <w:iCs/>
                <w:color w:val="000000"/>
                <w:sz w:val="17"/>
                <w:szCs w:val="17"/>
                <w:lang w:val="en-US" w:eastAsia="zh-TW"/>
              </w:rPr>
              <w:t>呈</w:t>
            </w:r>
            <w:r w:rsidRPr="00CA7301">
              <w:rPr>
                <w:rFonts w:eastAsiaTheme="minorEastAsia" w:cs="Segoe UI"/>
                <w:iCs/>
                <w:color w:val="000000"/>
                <w:sz w:val="17"/>
                <w:szCs w:val="17"/>
                <w:lang w:val="en-US" w:eastAsia="zh-TW"/>
              </w:rPr>
              <w:t>交的「流動性狀況申報表」</w:t>
            </w:r>
            <w:r w:rsidRPr="00CA7301">
              <w:rPr>
                <w:rFonts w:eastAsiaTheme="minorEastAsia" w:cs="Segoe UI"/>
                <w:iCs/>
                <w:color w:val="000000"/>
                <w:sz w:val="17"/>
                <w:szCs w:val="17"/>
                <w:lang w:val="en-US" w:eastAsia="zh-TW"/>
              </w:rPr>
              <w:t>(MA(BS)1E)</w:t>
            </w:r>
            <w:r w:rsidR="00282C02" w:rsidRPr="00CA7301">
              <w:rPr>
                <w:rFonts w:eastAsiaTheme="minorEastAsia" w:cs="Segoe UI"/>
                <w:iCs/>
                <w:color w:val="000000"/>
                <w:sz w:val="17"/>
                <w:szCs w:val="17"/>
                <w:lang w:val="en-US" w:eastAsia="zh-TW"/>
              </w:rPr>
              <w:t>所</w:t>
            </w:r>
            <w:r w:rsidR="00282C02" w:rsidRPr="00CA7301">
              <w:rPr>
                <w:rFonts w:eastAsia="細明體" w:cs="Segoe UI"/>
                <w:sz w:val="17"/>
                <w:szCs w:val="17"/>
                <w:lang w:eastAsia="zh-TW"/>
              </w:rPr>
              <w:t>填報</w:t>
            </w:r>
            <w:r w:rsidRPr="00CA7301">
              <w:rPr>
                <w:rFonts w:eastAsiaTheme="minorEastAsia" w:cs="Segoe UI"/>
                <w:iCs/>
                <w:color w:val="000000"/>
                <w:sz w:val="17"/>
                <w:szCs w:val="17"/>
                <w:lang w:val="en-US" w:eastAsia="zh-TW"/>
              </w:rPr>
              <w:t>的數字。</w:t>
            </w:r>
          </w:p>
        </w:tc>
      </w:tr>
      <w:tr w:rsidR="007B417F" w:rsidRPr="00CA7301" w14:paraId="0A3DC783" w14:textId="77777777" w:rsidTr="000C010D">
        <w:tc>
          <w:tcPr>
            <w:tcW w:w="851" w:type="dxa"/>
          </w:tcPr>
          <w:p w14:paraId="06687287" w14:textId="77777777" w:rsidR="007B417F" w:rsidRPr="00CA7301" w:rsidRDefault="007B417F" w:rsidP="007B417F">
            <w:pPr>
              <w:widowControl w:val="0"/>
              <w:jc w:val="both"/>
              <w:rPr>
                <w:rFonts w:eastAsiaTheme="minorEastAsia" w:cs="Segoe UI"/>
                <w:kern w:val="2"/>
                <w:sz w:val="17"/>
                <w:szCs w:val="17"/>
                <w:lang w:eastAsia="zh-TW"/>
              </w:rPr>
            </w:pPr>
            <w:r w:rsidRPr="00CA7301">
              <w:rPr>
                <w:rFonts w:eastAsiaTheme="minorEastAsia" w:cs="Segoe UI"/>
                <w:kern w:val="2"/>
                <w:sz w:val="17"/>
                <w:szCs w:val="17"/>
                <w:lang w:eastAsia="zh-TW"/>
              </w:rPr>
              <w:t>18</w:t>
            </w:r>
          </w:p>
        </w:tc>
        <w:tc>
          <w:tcPr>
            <w:tcW w:w="8505" w:type="dxa"/>
          </w:tcPr>
          <w:p w14:paraId="6FFE4F86"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可用穩定資金總額</w:t>
            </w:r>
            <w:r w:rsidRPr="00CA7301">
              <w:rPr>
                <w:rFonts w:eastAsiaTheme="minorEastAsia" w:cs="Segoe UI"/>
                <w:iCs/>
                <w:color w:val="000000"/>
                <w:sz w:val="17"/>
                <w:szCs w:val="17"/>
                <w:lang w:val="en-US" w:eastAsia="zh-TW"/>
              </w:rPr>
              <w:t>：</w:t>
            </w:r>
            <w:r w:rsidRPr="00CA7301">
              <w:rPr>
                <w:rFonts w:eastAsiaTheme="minorEastAsia" w:cs="Segoe UI"/>
                <w:iCs/>
                <w:color w:val="000000"/>
                <w:sz w:val="17"/>
                <w:szCs w:val="17"/>
                <w:lang w:val="en-US" w:eastAsia="zh-TW"/>
              </w:rPr>
              <w:t>[KM1: 18/</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[LIQ2: 14/e]</w:t>
            </w:r>
            <w:r w:rsidRPr="00CA7301">
              <w:rPr>
                <w:rFonts w:eastAsiaTheme="minorEastAsia" w:cs="Segoe UI"/>
                <w:iCs/>
                <w:color w:val="000000"/>
                <w:sz w:val="17"/>
                <w:szCs w:val="17"/>
                <w:lang w:val="en-US" w:eastAsia="zh-TW"/>
              </w:rPr>
              <w:t>的值。</w:t>
            </w:r>
          </w:p>
        </w:tc>
      </w:tr>
      <w:tr w:rsidR="007B417F" w:rsidRPr="00CA7301" w14:paraId="70DFF5EE" w14:textId="77777777" w:rsidTr="000C010D">
        <w:tc>
          <w:tcPr>
            <w:tcW w:w="851" w:type="dxa"/>
          </w:tcPr>
          <w:p w14:paraId="7F1B9B91"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19</w:t>
            </w:r>
          </w:p>
        </w:tc>
        <w:tc>
          <w:tcPr>
            <w:tcW w:w="8505" w:type="dxa"/>
          </w:tcPr>
          <w:p w14:paraId="612C059B"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所需穩定資金總額</w:t>
            </w:r>
            <w:r w:rsidRPr="00CA7301">
              <w:rPr>
                <w:rFonts w:eastAsiaTheme="minorEastAsia" w:cs="Segoe UI"/>
                <w:iCs/>
                <w:color w:val="000000"/>
                <w:sz w:val="17"/>
                <w:szCs w:val="17"/>
                <w:lang w:val="en-US" w:eastAsia="zh-TW"/>
              </w:rPr>
              <w:t>：</w:t>
            </w:r>
            <w:r w:rsidRPr="00CA7301">
              <w:rPr>
                <w:rFonts w:eastAsiaTheme="minorEastAsia" w:cs="Segoe UI"/>
                <w:iCs/>
                <w:color w:val="000000"/>
                <w:sz w:val="17"/>
                <w:szCs w:val="17"/>
                <w:lang w:val="en-US" w:eastAsia="zh-TW"/>
              </w:rPr>
              <w:t>[KM1: 19/</w:t>
            </w:r>
            <w:proofErr w:type="gramStart"/>
            <w:r w:rsidRPr="00CA7301">
              <w:rPr>
                <w:rFonts w:eastAsiaTheme="minorEastAsia" w:cs="Segoe UI"/>
                <w:iCs/>
                <w:color w:val="000000"/>
                <w:sz w:val="17"/>
                <w:szCs w:val="17"/>
                <w:lang w:val="en-US" w:eastAsia="zh-TW"/>
              </w:rPr>
              <w:t>a]</w:t>
            </w:r>
            <w:r w:rsidRPr="00CA7301">
              <w:rPr>
                <w:rFonts w:eastAsiaTheme="minorEastAsia" w:cs="Segoe UI"/>
                <w:iCs/>
                <w:color w:val="000000"/>
                <w:sz w:val="17"/>
                <w:szCs w:val="17"/>
                <w:lang w:val="en-US" w:eastAsia="zh-TW"/>
              </w:rPr>
              <w:t>的值應相等於</w:t>
            </w:r>
            <w:proofErr w:type="gramEnd"/>
            <w:r w:rsidRPr="00CA7301">
              <w:rPr>
                <w:rFonts w:eastAsiaTheme="minorEastAsia" w:cs="Segoe UI"/>
                <w:iCs/>
                <w:color w:val="000000"/>
                <w:sz w:val="17"/>
                <w:szCs w:val="17"/>
                <w:lang w:val="en-US" w:eastAsia="zh-TW"/>
              </w:rPr>
              <w:t>[LIQ2: 33/e]</w:t>
            </w:r>
            <w:r w:rsidRPr="00CA7301">
              <w:rPr>
                <w:rFonts w:eastAsiaTheme="minorEastAsia" w:cs="Segoe UI"/>
                <w:iCs/>
                <w:color w:val="000000"/>
                <w:sz w:val="17"/>
                <w:szCs w:val="17"/>
                <w:lang w:val="en-US" w:eastAsia="zh-TW"/>
              </w:rPr>
              <w:t>的值。</w:t>
            </w:r>
          </w:p>
        </w:tc>
      </w:tr>
      <w:tr w:rsidR="007B417F" w:rsidRPr="00CA7301" w14:paraId="7EB05280" w14:textId="77777777" w:rsidTr="000C010D">
        <w:tc>
          <w:tcPr>
            <w:tcW w:w="851" w:type="dxa"/>
          </w:tcPr>
          <w:p w14:paraId="5AEA9782"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20</w:t>
            </w:r>
          </w:p>
        </w:tc>
        <w:tc>
          <w:tcPr>
            <w:tcW w:w="8505" w:type="dxa"/>
          </w:tcPr>
          <w:p w14:paraId="74C32D5E" w14:textId="77777777" w:rsidR="007B417F" w:rsidRPr="00CA7301" w:rsidRDefault="007B417F" w:rsidP="007B417F">
            <w:pPr>
              <w:widowControl w:val="0"/>
              <w:autoSpaceDE w:val="0"/>
              <w:autoSpaceDN w:val="0"/>
              <w:adjustRightInd w:val="0"/>
              <w:jc w:val="both"/>
              <w:rPr>
                <w:rFonts w:eastAsiaTheme="minorEastAsia" w:cs="Segoe UI"/>
                <w:iCs/>
                <w:color w:val="000000"/>
                <w:sz w:val="17"/>
                <w:szCs w:val="17"/>
                <w:lang w:val="en-US" w:eastAsia="zh-TW"/>
              </w:rPr>
            </w:pPr>
            <w:r w:rsidRPr="00CA7301">
              <w:rPr>
                <w:rFonts w:eastAsiaTheme="minorEastAsia" w:cs="Segoe UI"/>
                <w:i/>
                <w:iCs/>
                <w:color w:val="000000"/>
                <w:sz w:val="17"/>
                <w:szCs w:val="17"/>
                <w:lang w:val="en-US" w:eastAsia="zh-TW"/>
              </w:rPr>
              <w:t>NSFR (</w:t>
            </w:r>
            <w:proofErr w:type="gramStart"/>
            <w:r w:rsidRPr="00CA7301">
              <w:rPr>
                <w:rFonts w:eastAsiaTheme="minorEastAsia" w:cs="Segoe UI"/>
                <w:i/>
                <w:iCs/>
                <w:color w:val="000000"/>
                <w:sz w:val="17"/>
                <w:szCs w:val="17"/>
                <w:lang w:val="en-US" w:eastAsia="zh-TW"/>
              </w:rPr>
              <w:t>%)</w:t>
            </w:r>
            <w:r w:rsidRPr="00CA7301">
              <w:rPr>
                <w:rFonts w:eastAsiaTheme="minorEastAsia" w:cs="Segoe UI"/>
                <w:i/>
                <w:iCs/>
                <w:color w:val="000000"/>
                <w:sz w:val="17"/>
                <w:szCs w:val="17"/>
                <w:lang w:val="en-US" w:eastAsia="zh-TW"/>
              </w:rPr>
              <w:t>：</w:t>
            </w:r>
            <w:proofErr w:type="gramEnd"/>
            <w:r w:rsidRPr="00CA7301">
              <w:rPr>
                <w:rFonts w:eastAsiaTheme="minorEastAsia" w:cs="Segoe UI"/>
                <w:iCs/>
                <w:color w:val="000000"/>
                <w:sz w:val="17"/>
                <w:szCs w:val="17"/>
                <w:lang w:val="en-US" w:eastAsia="zh-TW"/>
              </w:rPr>
              <w:t>[KM1: 20/a]</w:t>
            </w:r>
            <w:r w:rsidRPr="00CA7301">
              <w:rPr>
                <w:rFonts w:eastAsiaTheme="minorEastAsia" w:cs="Segoe UI"/>
                <w:iCs/>
                <w:color w:val="000000"/>
                <w:sz w:val="17"/>
                <w:szCs w:val="17"/>
                <w:lang w:val="en-US" w:eastAsia="zh-TW"/>
              </w:rPr>
              <w:t>的值應相等於</w:t>
            </w:r>
            <w:r w:rsidRPr="00CA7301">
              <w:rPr>
                <w:rFonts w:eastAsiaTheme="minorEastAsia" w:cs="Segoe UI"/>
                <w:iCs/>
                <w:color w:val="000000"/>
                <w:sz w:val="17"/>
                <w:szCs w:val="17"/>
                <w:lang w:val="en-US" w:eastAsia="zh-TW"/>
              </w:rPr>
              <w:t>[LIQ2: 34/e]</w:t>
            </w:r>
            <w:r w:rsidRPr="00CA7301">
              <w:rPr>
                <w:rFonts w:eastAsiaTheme="minorEastAsia" w:cs="Segoe UI"/>
                <w:iCs/>
                <w:color w:val="000000"/>
                <w:sz w:val="17"/>
                <w:szCs w:val="17"/>
                <w:lang w:val="en-US" w:eastAsia="zh-TW"/>
              </w:rPr>
              <w:t>的值。</w:t>
            </w:r>
          </w:p>
        </w:tc>
      </w:tr>
      <w:tr w:rsidR="007B417F" w:rsidRPr="00CA7301" w14:paraId="0C96CDF3" w14:textId="77777777" w:rsidTr="000C010D">
        <w:tc>
          <w:tcPr>
            <w:tcW w:w="851" w:type="dxa"/>
          </w:tcPr>
          <w:p w14:paraId="4D59F34F" w14:textId="77777777" w:rsidR="007B417F" w:rsidRPr="00CA7301" w:rsidRDefault="007B417F" w:rsidP="007B417F">
            <w:pPr>
              <w:widowControl w:val="0"/>
              <w:rPr>
                <w:rFonts w:eastAsiaTheme="minorEastAsia" w:cs="Segoe UI"/>
                <w:kern w:val="2"/>
                <w:sz w:val="17"/>
                <w:szCs w:val="17"/>
                <w:lang w:eastAsia="zh-TW"/>
              </w:rPr>
            </w:pPr>
            <w:r w:rsidRPr="00CA7301">
              <w:rPr>
                <w:rFonts w:eastAsiaTheme="minorEastAsia" w:cs="Segoe UI"/>
                <w:kern w:val="2"/>
                <w:sz w:val="17"/>
                <w:szCs w:val="17"/>
                <w:lang w:eastAsia="zh-TW"/>
              </w:rPr>
              <w:t>20a</w:t>
            </w:r>
          </w:p>
        </w:tc>
        <w:tc>
          <w:tcPr>
            <w:tcW w:w="8505" w:type="dxa"/>
          </w:tcPr>
          <w:p w14:paraId="0ED7EC74" w14:textId="77777777" w:rsidR="007B417F" w:rsidRPr="00CA7301" w:rsidRDefault="007B417F" w:rsidP="007B417F">
            <w:pPr>
              <w:widowControl w:val="0"/>
              <w:autoSpaceDE w:val="0"/>
              <w:autoSpaceDN w:val="0"/>
              <w:adjustRightInd w:val="0"/>
              <w:jc w:val="both"/>
              <w:rPr>
                <w:rFonts w:cs="Segoe UI"/>
                <w:sz w:val="17"/>
                <w:szCs w:val="17"/>
                <w:highlight w:val="yellow"/>
                <w:lang w:eastAsia="zh-TW"/>
              </w:rPr>
            </w:pPr>
            <w:r w:rsidRPr="00CA7301">
              <w:rPr>
                <w:rFonts w:eastAsiaTheme="minorEastAsia" w:cs="Segoe UI"/>
                <w:i/>
                <w:iCs/>
                <w:color w:val="000000"/>
                <w:sz w:val="17"/>
                <w:szCs w:val="17"/>
                <w:lang w:val="en-US" w:eastAsia="zh-TW"/>
              </w:rPr>
              <w:t>CFR (</w:t>
            </w:r>
            <w:proofErr w:type="gramStart"/>
            <w:r w:rsidRPr="00CA7301">
              <w:rPr>
                <w:rFonts w:eastAsiaTheme="minorEastAsia" w:cs="Segoe UI"/>
                <w:i/>
                <w:iCs/>
                <w:color w:val="000000"/>
                <w:sz w:val="17"/>
                <w:szCs w:val="17"/>
                <w:lang w:val="en-US" w:eastAsia="zh-TW"/>
              </w:rPr>
              <w:t>%)</w:t>
            </w:r>
            <w:r w:rsidRPr="00CA7301">
              <w:rPr>
                <w:rFonts w:eastAsiaTheme="minorEastAsia" w:cs="Segoe UI"/>
                <w:iCs/>
                <w:color w:val="000000"/>
                <w:sz w:val="17"/>
                <w:szCs w:val="17"/>
                <w:lang w:val="en-US" w:eastAsia="zh-TW"/>
              </w:rPr>
              <w:t>：</w:t>
            </w:r>
            <w:proofErr w:type="gramEnd"/>
            <w:r w:rsidRPr="00CA7301">
              <w:rPr>
                <w:rFonts w:eastAsiaTheme="minorEastAsia" w:cs="Segoe UI"/>
                <w:iCs/>
                <w:color w:val="000000"/>
                <w:sz w:val="17"/>
                <w:szCs w:val="17"/>
                <w:lang w:val="en-US" w:eastAsia="zh-TW"/>
              </w:rPr>
              <w:t>被指定為第</w:t>
            </w:r>
            <w:r w:rsidRPr="00CA7301">
              <w:rPr>
                <w:rFonts w:eastAsiaTheme="minorEastAsia" w:cs="Segoe UI"/>
                <w:iCs/>
                <w:color w:val="000000"/>
                <w:sz w:val="17"/>
                <w:szCs w:val="17"/>
                <w:lang w:val="en-US" w:eastAsia="zh-TW"/>
              </w:rPr>
              <w:t>2A</w:t>
            </w:r>
            <w:r w:rsidRPr="00CA7301">
              <w:rPr>
                <w:rFonts w:eastAsiaTheme="minorEastAsia" w:cs="Segoe UI"/>
                <w:iCs/>
                <w:color w:val="000000"/>
                <w:sz w:val="17"/>
                <w:szCs w:val="17"/>
                <w:lang w:val="en-US" w:eastAsia="zh-TW"/>
              </w:rPr>
              <w:t>類機構的認可機構應在本行披露當季內</w:t>
            </w:r>
            <w:r w:rsidRPr="00CA7301">
              <w:rPr>
                <w:rFonts w:eastAsiaTheme="minorEastAsia" w:cs="Segoe UI"/>
                <w:iCs/>
                <w:color w:val="000000"/>
                <w:sz w:val="17"/>
                <w:szCs w:val="17"/>
                <w:lang w:val="en-US" w:eastAsia="zh-TW"/>
              </w:rPr>
              <w:t>3</w:t>
            </w:r>
            <w:r w:rsidRPr="00CA7301">
              <w:rPr>
                <w:rFonts w:eastAsiaTheme="minorEastAsia" w:cs="Segoe UI"/>
                <w:iCs/>
                <w:color w:val="000000"/>
                <w:sz w:val="17"/>
                <w:szCs w:val="17"/>
                <w:lang w:val="en-US" w:eastAsia="zh-TW"/>
              </w:rPr>
              <w:t>個公曆月的平均</w:t>
            </w:r>
            <w:r w:rsidRPr="00CA7301">
              <w:rPr>
                <w:rFonts w:eastAsiaTheme="minorEastAsia" w:cs="Segoe UI"/>
                <w:iCs/>
                <w:color w:val="000000"/>
                <w:sz w:val="17"/>
                <w:szCs w:val="17"/>
                <w:lang w:val="en-US" w:eastAsia="zh-TW"/>
              </w:rPr>
              <w:t>CFR</w:t>
            </w:r>
            <w:r w:rsidRPr="00CA7301">
              <w:rPr>
                <w:rFonts w:eastAsiaTheme="minorEastAsia" w:cs="Segoe UI"/>
                <w:iCs/>
                <w:color w:val="000000"/>
                <w:sz w:val="17"/>
                <w:szCs w:val="17"/>
                <w:lang w:val="en-US" w:eastAsia="zh-TW"/>
              </w:rPr>
              <w:t>的算術平均數。每個公曆月的平均</w:t>
            </w:r>
            <w:r w:rsidRPr="00CA7301">
              <w:rPr>
                <w:rFonts w:eastAsiaTheme="minorEastAsia" w:cs="Segoe UI"/>
                <w:iCs/>
                <w:color w:val="000000"/>
                <w:sz w:val="17"/>
                <w:szCs w:val="17"/>
                <w:lang w:val="en-US" w:eastAsia="zh-TW"/>
              </w:rPr>
              <w:t>CFR</w:t>
            </w:r>
            <w:r w:rsidRPr="00CA7301">
              <w:rPr>
                <w:rFonts w:eastAsiaTheme="minorEastAsia" w:cs="Segoe UI"/>
                <w:iCs/>
                <w:color w:val="000000"/>
                <w:sz w:val="17"/>
                <w:szCs w:val="17"/>
                <w:lang w:val="en-US" w:eastAsia="zh-TW"/>
              </w:rPr>
              <w:t>應為</w:t>
            </w:r>
            <w:r w:rsidR="0071488C" w:rsidRPr="00CA7301">
              <w:rPr>
                <w:rFonts w:eastAsiaTheme="minorEastAsia" w:cs="Segoe UI"/>
                <w:iCs/>
                <w:color w:val="000000"/>
                <w:sz w:val="17"/>
                <w:szCs w:val="17"/>
                <w:lang w:val="en-US" w:eastAsia="zh-TW"/>
              </w:rPr>
              <w:t>就該</w:t>
            </w:r>
            <w:r w:rsidR="00E54643" w:rsidRPr="00CA7301">
              <w:rPr>
                <w:rFonts w:eastAsiaTheme="minorEastAsia" w:cs="Segoe UI"/>
                <w:iCs/>
                <w:color w:val="000000"/>
                <w:sz w:val="17"/>
                <w:szCs w:val="17"/>
                <w:lang w:val="en-US" w:eastAsia="zh-TW"/>
              </w:rPr>
              <w:t>報</w:t>
            </w:r>
            <w:r w:rsidR="0071488C" w:rsidRPr="00CA7301">
              <w:rPr>
                <w:rFonts w:eastAsiaTheme="minorEastAsia" w:cs="Segoe UI"/>
                <w:iCs/>
                <w:color w:val="000000"/>
                <w:sz w:val="17"/>
                <w:szCs w:val="17"/>
                <w:lang w:val="en-US" w:eastAsia="zh-TW"/>
              </w:rPr>
              <w:t>告</w:t>
            </w:r>
            <w:r w:rsidR="00E54643" w:rsidRPr="00CA7301">
              <w:rPr>
                <w:rFonts w:eastAsiaTheme="minorEastAsia" w:cs="Segoe UI"/>
                <w:iCs/>
                <w:color w:val="000000"/>
                <w:sz w:val="17"/>
                <w:szCs w:val="17"/>
                <w:lang w:val="en-US" w:eastAsia="zh-TW"/>
              </w:rPr>
              <w:t>月份呈</w:t>
            </w:r>
            <w:r w:rsidRPr="00CA7301">
              <w:rPr>
                <w:rFonts w:eastAsiaTheme="minorEastAsia" w:cs="Segoe UI"/>
                <w:iCs/>
                <w:color w:val="000000"/>
                <w:sz w:val="17"/>
                <w:szCs w:val="17"/>
                <w:lang w:val="en-US" w:eastAsia="zh-TW"/>
              </w:rPr>
              <w:t>交的「穩定資金狀況申報表」</w:t>
            </w:r>
            <w:r w:rsidRPr="00CA7301">
              <w:rPr>
                <w:rFonts w:eastAsiaTheme="minorEastAsia" w:cs="Segoe UI"/>
                <w:iCs/>
                <w:color w:val="000000"/>
                <w:sz w:val="17"/>
                <w:szCs w:val="17"/>
                <w:lang w:val="en-US" w:eastAsia="zh-TW"/>
              </w:rPr>
              <w:t>(MA(BS)26)</w:t>
            </w:r>
            <w:r w:rsidR="00282C02" w:rsidRPr="00CA7301">
              <w:rPr>
                <w:rFonts w:eastAsiaTheme="minorEastAsia" w:cs="Segoe UI"/>
                <w:iCs/>
                <w:color w:val="000000"/>
                <w:sz w:val="17"/>
                <w:szCs w:val="17"/>
                <w:lang w:val="en-US" w:eastAsia="zh-TW"/>
              </w:rPr>
              <w:t>所</w:t>
            </w:r>
            <w:r w:rsidR="00282C02" w:rsidRPr="00CA7301">
              <w:rPr>
                <w:rFonts w:eastAsia="細明體" w:cs="Segoe UI"/>
                <w:sz w:val="17"/>
                <w:szCs w:val="17"/>
                <w:lang w:eastAsia="zh-TW"/>
              </w:rPr>
              <w:t>填報</w:t>
            </w:r>
            <w:r w:rsidRPr="00CA7301">
              <w:rPr>
                <w:rFonts w:eastAsiaTheme="minorEastAsia" w:cs="Segoe UI"/>
                <w:iCs/>
                <w:color w:val="000000"/>
                <w:sz w:val="17"/>
                <w:szCs w:val="17"/>
                <w:lang w:val="en-US" w:eastAsia="zh-TW"/>
              </w:rPr>
              <w:t>的數字。</w:t>
            </w:r>
          </w:p>
        </w:tc>
      </w:tr>
    </w:tbl>
    <w:p w14:paraId="10679269" w14:textId="77777777" w:rsidR="007B417F" w:rsidRPr="00CA7301" w:rsidRDefault="007B417F" w:rsidP="007B417F">
      <w:pPr>
        <w:widowControl w:val="0"/>
        <w:rPr>
          <w:rFonts w:eastAsiaTheme="minorEastAsia" w:cs="Segoe UI"/>
          <w:kern w:val="2"/>
          <w:sz w:val="24"/>
          <w:szCs w:val="22"/>
          <w:lang w:val="en-US" w:eastAsia="zh-TW"/>
        </w:rPr>
      </w:pPr>
    </w:p>
    <w:p w14:paraId="70688349" w14:textId="77777777" w:rsidR="007B417F" w:rsidRPr="00CA7301" w:rsidRDefault="007B417F">
      <w:pPr>
        <w:rPr>
          <w:rFonts w:cs="Segoe UI"/>
          <w:lang w:val="en-US" w:eastAsia="zh-TW"/>
        </w:rPr>
        <w:sectPr w:rsidR="007B417F" w:rsidRPr="00CA7301" w:rsidSect="00F62652">
          <w:footerReference w:type="default" r:id="rId15"/>
          <w:pgSz w:w="11906" w:h="16838"/>
          <w:pgMar w:top="1440" w:right="1800" w:bottom="1440" w:left="1800" w:header="851" w:footer="751" w:gutter="0"/>
          <w:cols w:space="425"/>
          <w:docGrid w:type="lines" w:linePitch="360"/>
        </w:sectPr>
      </w:pPr>
    </w:p>
    <w:p w14:paraId="0EFD68D6" w14:textId="47185E1A" w:rsidR="00EB4D73" w:rsidRPr="00EB4D73" w:rsidRDefault="00EB4D73" w:rsidP="00ED47B6">
      <w:pPr>
        <w:pStyle w:val="Heading2"/>
        <w:keepNext w:val="0"/>
        <w:suppressAutoHyphens w:val="0"/>
        <w:spacing w:before="40" w:line="240" w:lineRule="auto"/>
        <w:ind w:left="-454" w:firstLine="596"/>
        <w:rPr>
          <w:rFonts w:ascii="細明體" w:eastAsia="細明體" w:hAnsi="細明體"/>
          <w:b w:val="0"/>
          <w:bCs w:val="0"/>
          <w:sz w:val="22"/>
          <w:szCs w:val="20"/>
          <w:lang w:eastAsia="zh-TW"/>
        </w:rPr>
      </w:pPr>
      <w:r w:rsidRPr="00EB4D73">
        <w:rPr>
          <w:rFonts w:ascii="細明體" w:eastAsia="細明體" w:hAnsi="細明體" w:cs="微軟正黑體" w:hint="eastAsia"/>
          <w:b w:val="0"/>
          <w:bCs w:val="0"/>
          <w:sz w:val="22"/>
          <w:szCs w:val="20"/>
          <w:lang w:eastAsia="zh-TW"/>
        </w:rPr>
        <w:lastRenderedPageBreak/>
        <w:t>模版</w:t>
      </w:r>
      <w:r w:rsidRPr="00EB4D73">
        <w:rPr>
          <w:rFonts w:ascii="Segoe UI" w:eastAsia="細明體" w:hAnsi="Segoe UI" w:cs="Segoe UI"/>
          <w:b w:val="0"/>
          <w:bCs w:val="0"/>
          <w:sz w:val="22"/>
          <w:szCs w:val="20"/>
          <w:lang w:eastAsia="zh-TW"/>
        </w:rPr>
        <w:t>OV1</w:t>
      </w:r>
      <w:r w:rsidRPr="00EB4D73">
        <w:rPr>
          <w:rFonts w:ascii="細明體" w:eastAsia="細明體" w:hAnsi="細明體" w:cs="微軟正黑體" w:hint="eastAsia"/>
          <w:b w:val="0"/>
          <w:bCs w:val="0"/>
          <w:sz w:val="22"/>
          <w:szCs w:val="20"/>
          <w:lang w:eastAsia="zh-TW"/>
        </w:rPr>
        <w:t>：風險加權數額概</w:t>
      </w:r>
      <w:proofErr w:type="gramStart"/>
      <w:r w:rsidRPr="00EB4D73">
        <w:rPr>
          <w:rFonts w:ascii="細明體" w:eastAsia="細明體" w:hAnsi="細明體" w:cs="微軟正黑體" w:hint="eastAsia"/>
          <w:b w:val="0"/>
          <w:bCs w:val="0"/>
          <w:sz w:val="22"/>
          <w:szCs w:val="20"/>
          <w:lang w:eastAsia="zh-TW"/>
        </w:rPr>
        <w:t>覽</w:t>
      </w:r>
      <w:proofErr w:type="gramEnd"/>
    </w:p>
    <w:tbl>
      <w:tblPr>
        <w:tblW w:w="9242"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115"/>
      </w:tblGrid>
      <w:tr w:rsidR="007F6F6A" w:rsidRPr="00CA7301" w14:paraId="1D91C23C" w14:textId="77777777" w:rsidTr="00217BE5">
        <w:tc>
          <w:tcPr>
            <w:tcW w:w="2127" w:type="dxa"/>
          </w:tcPr>
          <w:p w14:paraId="02C01DD0" w14:textId="77777777" w:rsidR="007F6F6A" w:rsidRPr="00CA7301" w:rsidRDefault="007F6F6A" w:rsidP="007F6F6A">
            <w:pPr>
              <w:widowControl w:val="0"/>
              <w:rPr>
                <w:rFonts w:eastAsiaTheme="minorEastAsia" w:cs="Segoe UI"/>
                <w:b/>
                <w:kern w:val="2"/>
                <w:sz w:val="17"/>
                <w:szCs w:val="17"/>
                <w:lang w:val="en-US" w:eastAsia="zh-TW"/>
              </w:rPr>
            </w:pPr>
            <w:r w:rsidRPr="00CA7301">
              <w:rPr>
                <w:rFonts w:eastAsia="細明體" w:cs="Segoe UI"/>
                <w:b/>
                <w:kern w:val="2"/>
                <w:sz w:val="17"/>
                <w:szCs w:val="17"/>
                <w:lang w:val="en-US" w:eastAsia="zh-TW"/>
              </w:rPr>
              <w:t>目的：</w:t>
            </w:r>
          </w:p>
        </w:tc>
        <w:tc>
          <w:tcPr>
            <w:tcW w:w="7115" w:type="dxa"/>
          </w:tcPr>
          <w:p w14:paraId="1F4462DF" w14:textId="77777777" w:rsidR="007F6F6A" w:rsidRPr="00CA7301" w:rsidRDefault="007F6F6A" w:rsidP="007F6F6A">
            <w:pPr>
              <w:spacing w:before="40" w:after="40"/>
              <w:jc w:val="both"/>
              <w:rPr>
                <w:rFonts w:eastAsia="新細明體" w:cs="Segoe UI"/>
                <w:noProof/>
                <w:sz w:val="17"/>
                <w:lang w:eastAsia="zh-TW"/>
              </w:rPr>
            </w:pPr>
            <w:r w:rsidRPr="00CA7301">
              <w:rPr>
                <w:rFonts w:eastAsia="細明體" w:cs="Segoe UI"/>
                <w:kern w:val="2"/>
                <w:sz w:val="17"/>
                <w:szCs w:val="22"/>
                <w:lang w:val="en-US" w:eastAsia="zh-TW"/>
              </w:rPr>
              <w:t>藉提供風險加權數額的詳細細目分類，概述各類風險的資本規定。</w:t>
            </w:r>
          </w:p>
        </w:tc>
      </w:tr>
      <w:tr w:rsidR="007F6F6A" w:rsidRPr="00CA7301" w14:paraId="186034FD" w14:textId="77777777" w:rsidTr="00217BE5">
        <w:tc>
          <w:tcPr>
            <w:tcW w:w="2127" w:type="dxa"/>
          </w:tcPr>
          <w:p w14:paraId="7BD52B45" w14:textId="77777777" w:rsidR="007F6F6A" w:rsidRPr="00CA7301" w:rsidRDefault="007F6F6A" w:rsidP="007F6F6A">
            <w:pPr>
              <w:widowControl w:val="0"/>
              <w:rPr>
                <w:rFonts w:eastAsiaTheme="minorEastAsia" w:cs="Segoe UI"/>
                <w:b/>
                <w:kern w:val="2"/>
                <w:sz w:val="17"/>
                <w:szCs w:val="17"/>
                <w:lang w:val="en-US" w:eastAsia="zh-TW"/>
              </w:rPr>
            </w:pPr>
            <w:r w:rsidRPr="00CA7301">
              <w:rPr>
                <w:rFonts w:eastAsia="細明體" w:cs="Segoe UI"/>
                <w:b/>
                <w:kern w:val="2"/>
                <w:sz w:val="17"/>
                <w:szCs w:val="17"/>
                <w:lang w:val="en-US" w:eastAsia="zh-TW"/>
              </w:rPr>
              <w:t>適用範圍：</w:t>
            </w:r>
          </w:p>
        </w:tc>
        <w:tc>
          <w:tcPr>
            <w:tcW w:w="7115" w:type="dxa"/>
          </w:tcPr>
          <w:p w14:paraId="3BE9EE1A" w14:textId="77777777" w:rsidR="007F6F6A" w:rsidRPr="00CA7301" w:rsidRDefault="007F6F6A" w:rsidP="007F6F6A">
            <w:pPr>
              <w:spacing w:before="40" w:after="40"/>
              <w:jc w:val="both"/>
              <w:rPr>
                <w:rFonts w:eastAsia="新細明體" w:cs="Segoe UI"/>
                <w:b/>
                <w:sz w:val="17"/>
                <w:lang w:eastAsia="zh-TW"/>
              </w:rPr>
            </w:pPr>
            <w:r w:rsidRPr="00CA7301">
              <w:rPr>
                <w:rFonts w:eastAsia="新細明體" w:cs="Segoe UI"/>
                <w:sz w:val="17"/>
                <w:lang w:eastAsia="zh-TW"/>
              </w:rPr>
              <w:t>所有在香港成立</w:t>
            </w:r>
            <w:proofErr w:type="gramStart"/>
            <w:r w:rsidRPr="00CA7301">
              <w:rPr>
                <w:rFonts w:eastAsia="新細明體" w:cs="Segoe UI"/>
                <w:sz w:val="17"/>
                <w:lang w:eastAsia="zh-TW"/>
              </w:rPr>
              <w:t>為法團的</w:t>
            </w:r>
            <w:proofErr w:type="gramEnd"/>
            <w:r w:rsidRPr="00CA7301">
              <w:rPr>
                <w:rFonts w:eastAsia="新細明體" w:cs="Segoe UI"/>
                <w:sz w:val="17"/>
                <w:lang w:eastAsia="zh-TW"/>
              </w:rPr>
              <w:t>認可機構</w:t>
            </w:r>
            <w:proofErr w:type="gramStart"/>
            <w:r w:rsidRPr="00CA7301">
              <w:rPr>
                <w:rFonts w:eastAsia="新細明體" w:cs="Segoe UI"/>
                <w:sz w:val="17"/>
                <w:lang w:eastAsia="zh-TW"/>
              </w:rPr>
              <w:t>均須填報本模</w:t>
            </w:r>
            <w:proofErr w:type="gramEnd"/>
            <w:r w:rsidRPr="00CA7301">
              <w:rPr>
                <w:rFonts w:eastAsia="新細明體" w:cs="Segoe UI"/>
                <w:sz w:val="17"/>
                <w:lang w:eastAsia="zh-TW"/>
              </w:rPr>
              <w:t>版。</w:t>
            </w:r>
          </w:p>
        </w:tc>
      </w:tr>
      <w:tr w:rsidR="007F6F6A" w:rsidRPr="00CA7301" w14:paraId="43A90D37" w14:textId="77777777" w:rsidTr="00217BE5">
        <w:tc>
          <w:tcPr>
            <w:tcW w:w="2127" w:type="dxa"/>
          </w:tcPr>
          <w:p w14:paraId="3DDD83B6" w14:textId="77777777" w:rsidR="007F6F6A" w:rsidRPr="00CA7301" w:rsidRDefault="007F6F6A" w:rsidP="007F6F6A">
            <w:pPr>
              <w:widowControl w:val="0"/>
              <w:rPr>
                <w:rFonts w:eastAsiaTheme="minorEastAsia" w:cs="Segoe UI"/>
                <w:b/>
                <w:kern w:val="2"/>
                <w:sz w:val="17"/>
                <w:szCs w:val="17"/>
                <w:lang w:val="en-US" w:eastAsia="zh-TW"/>
              </w:rPr>
            </w:pPr>
            <w:r w:rsidRPr="00CA7301">
              <w:rPr>
                <w:rFonts w:eastAsia="細明體" w:cs="Segoe UI"/>
                <w:b/>
                <w:kern w:val="2"/>
                <w:sz w:val="17"/>
                <w:szCs w:val="17"/>
                <w:lang w:val="en-US" w:eastAsia="zh-TW"/>
              </w:rPr>
              <w:t>內容：</w:t>
            </w:r>
          </w:p>
        </w:tc>
        <w:tc>
          <w:tcPr>
            <w:tcW w:w="7115" w:type="dxa"/>
          </w:tcPr>
          <w:p w14:paraId="7612A0A0" w14:textId="77777777" w:rsidR="007F6F6A" w:rsidRPr="00CA7301" w:rsidRDefault="007F6F6A" w:rsidP="007F6F6A">
            <w:pPr>
              <w:spacing w:before="40" w:after="40"/>
              <w:jc w:val="both"/>
              <w:rPr>
                <w:rFonts w:eastAsia="新細明體" w:cs="Segoe UI"/>
                <w:b/>
                <w:sz w:val="17"/>
                <w:lang w:eastAsia="zh-TW"/>
              </w:rPr>
            </w:pPr>
            <w:r w:rsidRPr="00CA7301">
              <w:rPr>
                <w:rFonts w:eastAsia="新細明體" w:cs="Segoe UI"/>
                <w:sz w:val="17"/>
                <w:lang w:eastAsia="zh-TW"/>
              </w:rPr>
              <w:t>第一支柱框架下的</w:t>
            </w:r>
            <w:r w:rsidRPr="00CA7301">
              <w:rPr>
                <w:rFonts w:eastAsia="細明體" w:cs="Segoe UI"/>
                <w:kern w:val="2"/>
                <w:sz w:val="17"/>
                <w:szCs w:val="22"/>
                <w:lang w:val="en-US" w:eastAsia="zh-TW"/>
              </w:rPr>
              <w:t>風險加權數額</w:t>
            </w:r>
            <w:r w:rsidRPr="00CA7301">
              <w:rPr>
                <w:rFonts w:eastAsia="新細明體" w:cs="Segoe UI"/>
                <w:sz w:val="17"/>
                <w:lang w:eastAsia="zh-TW"/>
              </w:rPr>
              <w:t>及資本規定。</w:t>
            </w:r>
          </w:p>
        </w:tc>
      </w:tr>
      <w:tr w:rsidR="007F6F6A" w:rsidRPr="00CA7301" w14:paraId="271D8BC2" w14:textId="77777777" w:rsidTr="00217BE5">
        <w:tc>
          <w:tcPr>
            <w:tcW w:w="2127" w:type="dxa"/>
          </w:tcPr>
          <w:p w14:paraId="476CD0D2" w14:textId="77777777" w:rsidR="007F6F6A" w:rsidRPr="00CA7301" w:rsidRDefault="007F6F6A" w:rsidP="007F6F6A">
            <w:pPr>
              <w:widowControl w:val="0"/>
              <w:rPr>
                <w:rFonts w:eastAsiaTheme="minorEastAsia" w:cs="Segoe UI"/>
                <w:b/>
                <w:kern w:val="2"/>
                <w:sz w:val="17"/>
                <w:szCs w:val="17"/>
                <w:lang w:val="en-US" w:eastAsia="zh-TW"/>
              </w:rPr>
            </w:pPr>
            <w:r w:rsidRPr="00CA7301">
              <w:rPr>
                <w:rFonts w:eastAsia="細明體" w:cs="Segoe UI"/>
                <w:b/>
                <w:kern w:val="2"/>
                <w:sz w:val="17"/>
                <w:szCs w:val="17"/>
                <w:lang w:val="en-US" w:eastAsia="zh-TW"/>
              </w:rPr>
              <w:t>頻密程度：</w:t>
            </w:r>
          </w:p>
        </w:tc>
        <w:tc>
          <w:tcPr>
            <w:tcW w:w="7115" w:type="dxa"/>
          </w:tcPr>
          <w:p w14:paraId="3493D9F6" w14:textId="77777777" w:rsidR="007F6F6A" w:rsidRPr="00CA7301" w:rsidRDefault="007F6F6A" w:rsidP="007F6F6A">
            <w:pPr>
              <w:spacing w:before="40" w:after="40"/>
              <w:jc w:val="both"/>
              <w:rPr>
                <w:rFonts w:eastAsia="新細明體" w:cs="Segoe UI"/>
                <w:sz w:val="17"/>
                <w:lang w:eastAsia="en-GB"/>
              </w:rPr>
            </w:pPr>
            <w:r w:rsidRPr="00CA7301">
              <w:rPr>
                <w:rFonts w:eastAsia="新細明體" w:cs="Segoe UI"/>
                <w:sz w:val="17"/>
                <w:lang w:eastAsia="zh-TW"/>
              </w:rPr>
              <w:t>每季一次。</w:t>
            </w:r>
          </w:p>
        </w:tc>
      </w:tr>
      <w:tr w:rsidR="007F6F6A" w:rsidRPr="00CA7301" w14:paraId="272F7F6C" w14:textId="77777777" w:rsidTr="00217BE5">
        <w:tc>
          <w:tcPr>
            <w:tcW w:w="2127" w:type="dxa"/>
          </w:tcPr>
          <w:p w14:paraId="33875FB4" w14:textId="77777777" w:rsidR="007F6F6A" w:rsidRPr="00CA7301" w:rsidRDefault="007F6F6A" w:rsidP="007F6F6A">
            <w:pPr>
              <w:widowControl w:val="0"/>
              <w:rPr>
                <w:rFonts w:eastAsiaTheme="minorEastAsia" w:cs="Segoe UI"/>
                <w:b/>
                <w:kern w:val="2"/>
                <w:sz w:val="17"/>
                <w:szCs w:val="17"/>
                <w:lang w:val="en-US" w:eastAsia="zh-TW"/>
              </w:rPr>
            </w:pPr>
            <w:r w:rsidRPr="00CA7301">
              <w:rPr>
                <w:rFonts w:eastAsia="細明體" w:cs="Segoe UI"/>
                <w:b/>
                <w:kern w:val="2"/>
                <w:sz w:val="17"/>
                <w:szCs w:val="17"/>
                <w:lang w:val="en-US" w:eastAsia="zh-TW"/>
              </w:rPr>
              <w:t>格式：</w:t>
            </w:r>
          </w:p>
        </w:tc>
        <w:tc>
          <w:tcPr>
            <w:tcW w:w="7115" w:type="dxa"/>
          </w:tcPr>
          <w:p w14:paraId="6B6F4824" w14:textId="77777777" w:rsidR="007F6F6A" w:rsidRPr="00CA7301" w:rsidRDefault="007F6F6A" w:rsidP="007F6F6A">
            <w:pPr>
              <w:spacing w:before="40" w:after="40"/>
              <w:jc w:val="both"/>
              <w:rPr>
                <w:rFonts w:eastAsia="新細明體" w:cs="Segoe UI"/>
                <w:noProof/>
                <w:sz w:val="17"/>
                <w:lang w:eastAsia="en-GB"/>
              </w:rPr>
            </w:pPr>
            <w:r w:rsidRPr="00CA7301">
              <w:rPr>
                <w:rFonts w:eastAsia="新細明體" w:cs="Segoe UI"/>
                <w:sz w:val="17"/>
                <w:lang w:eastAsia="zh-TW"/>
              </w:rPr>
              <w:t>固定。</w:t>
            </w:r>
          </w:p>
        </w:tc>
      </w:tr>
      <w:tr w:rsidR="007F6F6A" w:rsidRPr="00CA7301" w14:paraId="0D3A1C48" w14:textId="77777777" w:rsidTr="00217BE5">
        <w:tc>
          <w:tcPr>
            <w:tcW w:w="2127" w:type="dxa"/>
          </w:tcPr>
          <w:p w14:paraId="64380CE7" w14:textId="77777777" w:rsidR="007F6F6A" w:rsidRPr="00CA7301" w:rsidRDefault="007F6F6A" w:rsidP="007F6F6A">
            <w:pPr>
              <w:widowControl w:val="0"/>
              <w:rPr>
                <w:rFonts w:eastAsiaTheme="minorEastAsia" w:cs="Segoe UI"/>
                <w:b/>
                <w:kern w:val="2"/>
                <w:sz w:val="17"/>
                <w:szCs w:val="17"/>
                <w:lang w:val="en-US" w:eastAsia="zh-TW"/>
              </w:rPr>
            </w:pPr>
            <w:proofErr w:type="spellStart"/>
            <w:r w:rsidRPr="00CA7301">
              <w:rPr>
                <w:rFonts w:eastAsia="細明體" w:cs="Segoe UI"/>
                <w:b/>
                <w:kern w:val="2"/>
                <w:sz w:val="17"/>
                <w:szCs w:val="17"/>
                <w:lang w:val="en-US" w:eastAsia="en-GB"/>
              </w:rPr>
              <w:t>附加說明</w:t>
            </w:r>
            <w:proofErr w:type="spellEnd"/>
            <w:r w:rsidRPr="00CA7301">
              <w:rPr>
                <w:rFonts w:eastAsia="細明體" w:cs="Segoe UI"/>
                <w:b/>
                <w:kern w:val="2"/>
                <w:sz w:val="17"/>
                <w:szCs w:val="17"/>
                <w:lang w:val="en-US" w:eastAsia="en-GB"/>
              </w:rPr>
              <w:t>：</w:t>
            </w:r>
          </w:p>
        </w:tc>
        <w:tc>
          <w:tcPr>
            <w:tcW w:w="7115" w:type="dxa"/>
          </w:tcPr>
          <w:p w14:paraId="5553DC5F" w14:textId="43E4AEC1" w:rsidR="007F6F6A" w:rsidRPr="00CA7301" w:rsidRDefault="007F6F6A" w:rsidP="00781FA3">
            <w:pPr>
              <w:spacing w:before="40" w:after="40"/>
              <w:jc w:val="both"/>
              <w:rPr>
                <w:rFonts w:eastAsia="新細明體" w:cs="Segoe UI"/>
                <w:noProof/>
                <w:sz w:val="17"/>
                <w:lang w:eastAsia="zh-TW"/>
              </w:rPr>
            </w:pPr>
            <w:r w:rsidRPr="00CA7301">
              <w:rPr>
                <w:rFonts w:eastAsia="細明體" w:cs="Segoe UI"/>
                <w:kern w:val="2"/>
                <w:sz w:val="17"/>
                <w:szCs w:val="22"/>
                <w:lang w:val="en-US" w:eastAsia="zh-TW"/>
              </w:rPr>
              <w:t>T</w:t>
            </w:r>
            <w:r w:rsidRPr="00CA7301">
              <w:rPr>
                <w:rFonts w:eastAsia="細明體" w:cs="Segoe UI"/>
                <w:kern w:val="2"/>
                <w:sz w:val="17"/>
                <w:szCs w:val="22"/>
                <w:lang w:val="en-US" w:eastAsia="zh-TW"/>
              </w:rPr>
              <w:t>及</w:t>
            </w:r>
            <w:r w:rsidRPr="00CA7301">
              <w:rPr>
                <w:rFonts w:eastAsia="細明體" w:cs="Segoe UI"/>
                <w:kern w:val="2"/>
                <w:sz w:val="17"/>
                <w:szCs w:val="22"/>
                <w:lang w:val="en-US" w:eastAsia="zh-TW"/>
              </w:rPr>
              <w:t>T-1</w:t>
            </w:r>
            <w:r w:rsidRPr="00CA7301">
              <w:rPr>
                <w:rFonts w:eastAsia="細明體" w:cs="Segoe UI"/>
                <w:kern w:val="2"/>
                <w:sz w:val="17"/>
                <w:szCs w:val="22"/>
                <w:lang w:val="en-US" w:eastAsia="zh-TW"/>
              </w:rPr>
              <w:t>報告期之間的差異如屬重大，認可機構應解釋引致該等差異的驅動因素。如</w:t>
            </w:r>
            <w:r w:rsidRPr="00CA7301">
              <w:rPr>
                <w:rFonts w:eastAsia="細明體" w:cs="Segoe UI"/>
                <w:kern w:val="2"/>
                <w:sz w:val="17"/>
                <w:szCs w:val="22"/>
                <w:lang w:val="en-US" w:eastAsia="zh-TW"/>
              </w:rPr>
              <w:t>(c)</w:t>
            </w:r>
            <w:r w:rsidRPr="00CA7301">
              <w:rPr>
                <w:rFonts w:eastAsia="細明體" w:cs="Segoe UI"/>
                <w:kern w:val="2"/>
                <w:sz w:val="17"/>
                <w:szCs w:val="22"/>
                <w:lang w:val="en-US" w:eastAsia="zh-TW"/>
              </w:rPr>
              <w:t>欄的資本規定並未與</w:t>
            </w:r>
            <w:r w:rsidRPr="00CA7301">
              <w:rPr>
                <w:rFonts w:eastAsia="細明體" w:cs="Segoe UI"/>
                <w:kern w:val="2"/>
                <w:sz w:val="17"/>
                <w:szCs w:val="22"/>
                <w:lang w:val="en-US" w:eastAsia="zh-TW"/>
              </w:rPr>
              <w:t>(a)</w:t>
            </w:r>
            <w:r w:rsidRPr="00CA7301">
              <w:rPr>
                <w:rFonts w:eastAsia="細明體" w:cs="Segoe UI"/>
                <w:kern w:val="2"/>
                <w:sz w:val="17"/>
                <w:szCs w:val="22"/>
                <w:lang w:val="en-US" w:eastAsia="zh-TW"/>
              </w:rPr>
              <w:t>欄的風險加權數額的</w:t>
            </w:r>
            <w:r w:rsidRPr="00CA7301">
              <w:rPr>
                <w:rFonts w:eastAsia="細明體" w:cs="Segoe UI"/>
                <w:kern w:val="2"/>
                <w:sz w:val="17"/>
                <w:szCs w:val="22"/>
                <w:lang w:val="en-US" w:eastAsia="zh-TW"/>
              </w:rPr>
              <w:t>8%</w:t>
            </w:r>
            <w:r w:rsidRPr="00CA7301">
              <w:rPr>
                <w:rFonts w:eastAsia="細明體" w:cs="Segoe UI"/>
                <w:kern w:val="2"/>
                <w:sz w:val="17"/>
                <w:szCs w:val="22"/>
                <w:lang w:val="en-US" w:eastAsia="zh-TW"/>
              </w:rPr>
              <w:t>相對應，認可機構亦應解釋所作出的調整。</w:t>
            </w:r>
          </w:p>
        </w:tc>
      </w:tr>
      <w:tr w:rsidR="007F6F6A" w:rsidRPr="00CA7301" w14:paraId="0777FD85" w14:textId="77777777" w:rsidTr="00217BE5">
        <w:trPr>
          <w:trHeight w:val="305"/>
        </w:trPr>
        <w:tc>
          <w:tcPr>
            <w:tcW w:w="2127" w:type="dxa"/>
          </w:tcPr>
          <w:p w14:paraId="095B9BA0" w14:textId="77777777" w:rsidR="007F6F6A" w:rsidRPr="00CA7301" w:rsidRDefault="007F6F6A" w:rsidP="007F6F6A">
            <w:pPr>
              <w:widowControl w:val="0"/>
              <w:rPr>
                <w:rFonts w:eastAsiaTheme="minorEastAsia" w:cs="Segoe UI"/>
                <w:b/>
                <w:kern w:val="2"/>
                <w:sz w:val="17"/>
                <w:szCs w:val="17"/>
                <w:lang w:val="en-US" w:eastAsia="zh-TW"/>
              </w:rPr>
            </w:pPr>
            <w:r w:rsidRPr="00CA7301">
              <w:rPr>
                <w:rFonts w:eastAsia="細明體" w:cs="Segoe UI"/>
                <w:b/>
                <w:kern w:val="2"/>
                <w:sz w:val="17"/>
                <w:szCs w:val="17"/>
                <w:lang w:val="en-US" w:eastAsia="zh-TW"/>
              </w:rPr>
              <w:t>《披露規則》相應條文：</w:t>
            </w:r>
          </w:p>
        </w:tc>
        <w:tc>
          <w:tcPr>
            <w:tcW w:w="7115" w:type="dxa"/>
          </w:tcPr>
          <w:p w14:paraId="1A6DF5B6" w14:textId="77777777" w:rsidR="007F6F6A" w:rsidRPr="00CA7301" w:rsidRDefault="007F6F6A" w:rsidP="007F6F6A">
            <w:pPr>
              <w:spacing w:before="40" w:after="40"/>
              <w:jc w:val="both"/>
              <w:rPr>
                <w:rFonts w:eastAsia="新細明體" w:cs="Segoe UI"/>
                <w:sz w:val="17"/>
                <w:szCs w:val="17"/>
                <w:lang w:eastAsia="en-GB"/>
              </w:rPr>
            </w:pPr>
            <w:r w:rsidRPr="00CA7301">
              <w:rPr>
                <w:rFonts w:eastAsia="新細明體" w:cs="Segoe UI"/>
                <w:sz w:val="17"/>
                <w:szCs w:val="17"/>
                <w:lang w:eastAsia="zh-TW"/>
              </w:rPr>
              <w:t>16C</w:t>
            </w:r>
          </w:p>
        </w:tc>
      </w:tr>
    </w:tbl>
    <w:p w14:paraId="214585D9" w14:textId="5D254605" w:rsidR="007F6F6A" w:rsidRDefault="007F6F6A" w:rsidP="007F6F6A">
      <w:pPr>
        <w:spacing w:before="120" w:after="120"/>
        <w:rPr>
          <w:rFonts w:cs="Segoe UI"/>
          <w:sz w:val="22"/>
        </w:rPr>
      </w:pPr>
    </w:p>
    <w:tbl>
      <w:tblPr>
        <w:tblW w:w="9214" w:type="dxa"/>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67"/>
        <w:gridCol w:w="5245"/>
        <w:gridCol w:w="921"/>
        <w:gridCol w:w="922"/>
        <w:gridCol w:w="1559"/>
      </w:tblGrid>
      <w:tr w:rsidR="00EB1E72" w:rsidRPr="00EB1E72" w14:paraId="2EB18B31" w14:textId="77777777" w:rsidTr="00217BE5">
        <w:trPr>
          <w:trHeight w:val="299"/>
          <w:tblHeader/>
        </w:trPr>
        <w:tc>
          <w:tcPr>
            <w:tcW w:w="567" w:type="dxa"/>
            <w:tcBorders>
              <w:top w:val="nil"/>
              <w:left w:val="nil"/>
              <w:bottom w:val="nil"/>
              <w:right w:val="nil"/>
            </w:tcBorders>
          </w:tcPr>
          <w:p w14:paraId="1626A522" w14:textId="77777777" w:rsidR="00EB1E72" w:rsidRPr="00EB1E72" w:rsidRDefault="00EB1E72" w:rsidP="00EB1E72">
            <w:pPr>
              <w:keepLines/>
              <w:widowControl w:val="0"/>
              <w:snapToGrid w:val="0"/>
              <w:spacing w:after="160" w:line="259" w:lineRule="auto"/>
              <w:rPr>
                <w:rFonts w:ascii="Calibri" w:eastAsia="新細明體" w:hAnsi="Calibri" w:cs="Segoe UI"/>
                <w:i/>
                <w:sz w:val="17"/>
                <w:szCs w:val="17"/>
                <w:lang w:eastAsia="en-GB"/>
              </w:rPr>
            </w:pPr>
          </w:p>
        </w:tc>
        <w:tc>
          <w:tcPr>
            <w:tcW w:w="5245" w:type="dxa"/>
            <w:tcBorders>
              <w:top w:val="nil"/>
              <w:left w:val="nil"/>
              <w:bottom w:val="nil"/>
              <w:right w:val="single" w:sz="4" w:space="0" w:color="auto"/>
            </w:tcBorders>
          </w:tcPr>
          <w:p w14:paraId="6399C298" w14:textId="77777777" w:rsidR="00EB1E72" w:rsidRPr="00EB1E72" w:rsidRDefault="00EB1E72" w:rsidP="00EB1E72">
            <w:pPr>
              <w:keepLines/>
              <w:widowControl w:val="0"/>
              <w:snapToGrid w:val="0"/>
              <w:spacing w:after="160" w:line="259" w:lineRule="auto"/>
              <w:rPr>
                <w:rFonts w:ascii="Calibri" w:eastAsia="新細明體" w:hAnsi="Calibri" w:cs="Segoe UI"/>
                <w:i/>
                <w:sz w:val="17"/>
                <w:szCs w:val="17"/>
                <w:lang w:eastAsia="en-GB"/>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1CCB38BB" w14:textId="77777777" w:rsidR="00EB1E72" w:rsidRPr="00EB1E72" w:rsidRDefault="00EB1E72" w:rsidP="002E57CE">
            <w:pPr>
              <w:keepLines/>
              <w:widowControl w:val="0"/>
              <w:snapToGrid w:val="0"/>
              <w:spacing w:before="40" w:after="40" w:line="259" w:lineRule="auto"/>
              <w:jc w:val="center"/>
              <w:rPr>
                <w:rFonts w:ascii="Calibri" w:eastAsia="新細明體" w:hAnsi="Calibri" w:cs="Segoe UI"/>
                <w:sz w:val="17"/>
                <w:szCs w:val="17"/>
                <w:lang w:eastAsia="en-GB"/>
              </w:rPr>
            </w:pPr>
            <w:r w:rsidRPr="00EB1E72">
              <w:rPr>
                <w:rFonts w:ascii="Calibri" w:eastAsia="新細明體" w:hAnsi="Calibri" w:cs="Segoe UI"/>
                <w:sz w:val="17"/>
                <w:szCs w:val="17"/>
                <w:lang w:eastAsia="en-GB"/>
              </w:rPr>
              <w:t>(a)</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14:paraId="3B4C2CE9" w14:textId="77777777" w:rsidR="00EB1E72" w:rsidRPr="00EB1E72" w:rsidRDefault="00EB1E72" w:rsidP="002E57CE">
            <w:pPr>
              <w:keepLines/>
              <w:widowControl w:val="0"/>
              <w:snapToGrid w:val="0"/>
              <w:spacing w:before="40" w:after="40" w:line="259" w:lineRule="auto"/>
              <w:jc w:val="center"/>
              <w:rPr>
                <w:rFonts w:ascii="Calibri" w:eastAsia="新細明體" w:hAnsi="Calibri" w:cs="Segoe UI"/>
                <w:sz w:val="17"/>
                <w:szCs w:val="17"/>
                <w:lang w:eastAsia="en-GB"/>
              </w:rPr>
            </w:pPr>
            <w:r w:rsidRPr="00EB1E72">
              <w:rPr>
                <w:rFonts w:ascii="Calibri" w:eastAsia="新細明體" w:hAnsi="Calibri" w:cs="Segoe UI"/>
                <w:sz w:val="17"/>
                <w:szCs w:val="17"/>
                <w:lang w:eastAsia="en-GB"/>
              </w:rPr>
              <w:t>(b)</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63AB5A" w14:textId="77777777" w:rsidR="00EB1E72" w:rsidRPr="00EB1E72" w:rsidRDefault="00EB1E72" w:rsidP="002E57CE">
            <w:pPr>
              <w:keepLines/>
              <w:widowControl w:val="0"/>
              <w:snapToGrid w:val="0"/>
              <w:spacing w:before="40" w:after="40" w:line="259" w:lineRule="auto"/>
              <w:jc w:val="center"/>
              <w:rPr>
                <w:rFonts w:ascii="Calibri" w:eastAsia="新細明體" w:hAnsi="Calibri" w:cs="Segoe UI"/>
                <w:sz w:val="17"/>
                <w:szCs w:val="17"/>
                <w:lang w:eastAsia="en-GB"/>
              </w:rPr>
            </w:pPr>
            <w:r w:rsidRPr="00EB1E72">
              <w:rPr>
                <w:rFonts w:ascii="Calibri" w:eastAsia="新細明體" w:hAnsi="Calibri" w:cs="Segoe UI"/>
                <w:sz w:val="17"/>
                <w:szCs w:val="17"/>
                <w:lang w:eastAsia="en-GB"/>
              </w:rPr>
              <w:t>(c)</w:t>
            </w:r>
          </w:p>
        </w:tc>
      </w:tr>
      <w:tr w:rsidR="00EB1E72" w:rsidRPr="00EB1E72" w14:paraId="2E12BC95" w14:textId="77777777" w:rsidTr="00217BE5">
        <w:trPr>
          <w:trHeight w:val="275"/>
          <w:tblHeader/>
        </w:trPr>
        <w:tc>
          <w:tcPr>
            <w:tcW w:w="567" w:type="dxa"/>
            <w:tcBorders>
              <w:top w:val="nil"/>
              <w:left w:val="nil"/>
              <w:bottom w:val="nil"/>
              <w:right w:val="nil"/>
            </w:tcBorders>
          </w:tcPr>
          <w:p w14:paraId="6C359510" w14:textId="77777777" w:rsidR="00EB1E72" w:rsidRPr="00EB1E72" w:rsidRDefault="00EB1E72" w:rsidP="00EB1E72">
            <w:pPr>
              <w:keepLines/>
              <w:widowControl w:val="0"/>
              <w:snapToGrid w:val="0"/>
              <w:spacing w:after="160" w:line="259" w:lineRule="auto"/>
              <w:rPr>
                <w:rFonts w:ascii="Calibri" w:eastAsia="新細明體" w:hAnsi="Calibri" w:cs="Segoe UI"/>
                <w:i/>
                <w:sz w:val="17"/>
                <w:szCs w:val="17"/>
                <w:lang w:eastAsia="en-GB"/>
              </w:rPr>
            </w:pPr>
          </w:p>
        </w:tc>
        <w:tc>
          <w:tcPr>
            <w:tcW w:w="5245" w:type="dxa"/>
            <w:vMerge w:val="restart"/>
            <w:tcBorders>
              <w:top w:val="nil"/>
              <w:left w:val="nil"/>
              <w:bottom w:val="single" w:sz="4" w:space="0" w:color="auto"/>
              <w:right w:val="single" w:sz="4" w:space="0" w:color="auto"/>
            </w:tcBorders>
          </w:tcPr>
          <w:p w14:paraId="5EA484D7" w14:textId="77777777" w:rsidR="00EB1E72" w:rsidRPr="00EB1E72" w:rsidRDefault="00EB1E72" w:rsidP="00EB1E72">
            <w:pPr>
              <w:keepLines/>
              <w:widowControl w:val="0"/>
              <w:snapToGrid w:val="0"/>
              <w:spacing w:after="160" w:line="259" w:lineRule="auto"/>
              <w:rPr>
                <w:rFonts w:ascii="Calibri" w:eastAsia="新細明體" w:hAnsi="Calibri" w:cs="Segoe UI"/>
                <w:i/>
                <w:noProof/>
                <w:sz w:val="17"/>
                <w:szCs w:val="17"/>
                <w:lang w:eastAsia="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891A06" w14:textId="77777777" w:rsidR="00EB1E72" w:rsidRPr="00EB1E72" w:rsidRDefault="00EB1E72" w:rsidP="00EB1E72">
            <w:pPr>
              <w:keepLines/>
              <w:widowControl w:val="0"/>
              <w:snapToGrid w:val="0"/>
              <w:spacing w:before="40" w:after="40" w:line="259" w:lineRule="auto"/>
              <w:jc w:val="center"/>
              <w:rPr>
                <w:rFonts w:ascii="Calibri" w:eastAsia="新細明體" w:hAnsi="Calibri" w:cs="Segoe UI"/>
                <w:noProof/>
                <w:sz w:val="17"/>
                <w:szCs w:val="17"/>
                <w:lang w:eastAsia="en-GB"/>
              </w:rPr>
            </w:pPr>
            <w:r w:rsidRPr="00EB1E72">
              <w:rPr>
                <w:rFonts w:ascii="Calibri" w:eastAsia="細明體" w:hAnsi="Calibri" w:cs="Segoe UI"/>
                <w:kern w:val="2"/>
                <w:sz w:val="17"/>
                <w:szCs w:val="22"/>
                <w:lang w:val="en-US" w:eastAsia="zh-TW"/>
              </w:rPr>
              <w:t>風險加權數額</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B843ED" w14:textId="77777777" w:rsidR="00EB1E72" w:rsidRPr="00EB1E72" w:rsidRDefault="00EB1E72" w:rsidP="00EB1E72">
            <w:pPr>
              <w:keepLines/>
              <w:widowControl w:val="0"/>
              <w:snapToGrid w:val="0"/>
              <w:spacing w:before="40" w:after="40" w:line="259" w:lineRule="auto"/>
              <w:jc w:val="center"/>
              <w:rPr>
                <w:rFonts w:ascii="Calibri" w:eastAsia="新細明體" w:hAnsi="Calibri" w:cs="Segoe UI"/>
                <w:noProof/>
                <w:spacing w:val="-20"/>
                <w:sz w:val="17"/>
                <w:szCs w:val="17"/>
                <w:lang w:eastAsia="en-GB"/>
              </w:rPr>
            </w:pPr>
            <w:r w:rsidRPr="00EB1E72">
              <w:rPr>
                <w:rFonts w:ascii="Calibri" w:eastAsia="新細明體" w:hAnsi="Calibri" w:cs="Segoe UI"/>
                <w:sz w:val="17"/>
                <w:szCs w:val="17"/>
                <w:lang w:eastAsia="zh-TW"/>
              </w:rPr>
              <w:t>最低資本規定</w:t>
            </w:r>
          </w:p>
        </w:tc>
      </w:tr>
      <w:tr w:rsidR="00EB1E72" w:rsidRPr="00EB1E72" w14:paraId="604DD01B" w14:textId="77777777" w:rsidTr="005C7CC8">
        <w:trPr>
          <w:trHeight w:val="245"/>
          <w:tblHeader/>
        </w:trPr>
        <w:tc>
          <w:tcPr>
            <w:tcW w:w="567" w:type="dxa"/>
            <w:tcBorders>
              <w:top w:val="nil"/>
              <w:left w:val="nil"/>
              <w:bottom w:val="single" w:sz="4" w:space="0" w:color="auto"/>
              <w:right w:val="nil"/>
            </w:tcBorders>
          </w:tcPr>
          <w:p w14:paraId="1FD95FBF" w14:textId="77777777" w:rsidR="00EB1E72" w:rsidRPr="00EB1E72" w:rsidRDefault="00EB1E72" w:rsidP="00EB1E72">
            <w:pPr>
              <w:keepLines/>
              <w:widowControl w:val="0"/>
              <w:snapToGrid w:val="0"/>
              <w:spacing w:after="160" w:line="259" w:lineRule="auto"/>
              <w:rPr>
                <w:rFonts w:ascii="Calibri" w:eastAsia="新細明體" w:hAnsi="Calibri" w:cs="Segoe UI"/>
                <w:i/>
                <w:sz w:val="17"/>
                <w:szCs w:val="17"/>
                <w:lang w:eastAsia="en-GB"/>
              </w:rPr>
            </w:pPr>
          </w:p>
        </w:tc>
        <w:tc>
          <w:tcPr>
            <w:tcW w:w="5245" w:type="dxa"/>
            <w:vMerge/>
            <w:tcBorders>
              <w:top w:val="single" w:sz="4" w:space="0" w:color="auto"/>
              <w:left w:val="nil"/>
              <w:bottom w:val="single" w:sz="4" w:space="0" w:color="auto"/>
              <w:right w:val="single" w:sz="4" w:space="0" w:color="auto"/>
            </w:tcBorders>
          </w:tcPr>
          <w:p w14:paraId="713ADE07" w14:textId="77777777" w:rsidR="00EB1E72" w:rsidRPr="00EB1E72" w:rsidRDefault="00EB1E72" w:rsidP="00EB1E72">
            <w:pPr>
              <w:keepLines/>
              <w:widowControl w:val="0"/>
              <w:snapToGrid w:val="0"/>
              <w:spacing w:after="160" w:line="259" w:lineRule="auto"/>
              <w:rPr>
                <w:rFonts w:ascii="Calibri" w:eastAsia="新細明體" w:hAnsi="Calibri" w:cs="Segoe UI"/>
                <w:i/>
                <w:sz w:val="17"/>
                <w:szCs w:val="17"/>
                <w:lang w:eastAsia="en-GB"/>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A64A2DB" w14:textId="77777777" w:rsidR="00EB1E72" w:rsidRPr="00EB1E72" w:rsidRDefault="00EB1E72" w:rsidP="005C7CC8">
            <w:pPr>
              <w:keepLines/>
              <w:widowControl w:val="0"/>
              <w:snapToGrid w:val="0"/>
              <w:spacing w:before="40" w:after="40" w:line="259" w:lineRule="auto"/>
              <w:jc w:val="center"/>
              <w:rPr>
                <w:rFonts w:ascii="Calibri" w:eastAsia="新細明體" w:hAnsi="Calibri" w:cs="Segoe UI"/>
                <w:sz w:val="17"/>
                <w:szCs w:val="17"/>
                <w:lang w:eastAsia="en-GB"/>
              </w:rPr>
            </w:pPr>
            <w:r w:rsidRPr="00EB1E72">
              <w:rPr>
                <w:rFonts w:ascii="Calibri" w:eastAsia="新細明體" w:hAnsi="Calibri" w:cs="Segoe UI"/>
                <w:sz w:val="17"/>
                <w:szCs w:val="17"/>
                <w:lang w:eastAsia="en-GB"/>
              </w:rPr>
              <w:t>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14:paraId="01C8B68E" w14:textId="77777777" w:rsidR="00EB1E72" w:rsidRPr="00EB1E72" w:rsidRDefault="00EB1E72" w:rsidP="005C7CC8">
            <w:pPr>
              <w:keepLines/>
              <w:widowControl w:val="0"/>
              <w:snapToGrid w:val="0"/>
              <w:spacing w:before="40" w:after="40" w:line="259" w:lineRule="auto"/>
              <w:jc w:val="center"/>
              <w:rPr>
                <w:rFonts w:ascii="Calibri" w:eastAsia="新細明體" w:hAnsi="Calibri" w:cs="Segoe UI"/>
                <w:noProof/>
                <w:sz w:val="17"/>
                <w:szCs w:val="17"/>
                <w:lang w:eastAsia="en-GB"/>
              </w:rPr>
            </w:pPr>
            <w:r w:rsidRPr="00EB1E72">
              <w:rPr>
                <w:rFonts w:ascii="Calibri" w:eastAsia="新細明體" w:hAnsi="Calibri" w:cs="Segoe UI"/>
                <w:sz w:val="17"/>
                <w:szCs w:val="17"/>
                <w:lang w:eastAsia="en-GB"/>
              </w:rPr>
              <w:t>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1016F8" w14:textId="77777777" w:rsidR="00EB1E72" w:rsidRPr="00EB1E72" w:rsidRDefault="00EB1E72" w:rsidP="005C7CC8">
            <w:pPr>
              <w:keepLines/>
              <w:widowControl w:val="0"/>
              <w:snapToGrid w:val="0"/>
              <w:spacing w:before="40" w:after="40" w:line="259" w:lineRule="auto"/>
              <w:jc w:val="center"/>
              <w:rPr>
                <w:rFonts w:ascii="Calibri" w:eastAsia="新細明體" w:hAnsi="Calibri" w:cs="Segoe UI"/>
                <w:noProof/>
                <w:sz w:val="17"/>
                <w:szCs w:val="17"/>
                <w:lang w:eastAsia="en-GB"/>
              </w:rPr>
            </w:pPr>
            <w:r w:rsidRPr="00EB1E72">
              <w:rPr>
                <w:rFonts w:ascii="Calibri" w:eastAsia="新細明體" w:hAnsi="Calibri" w:cs="Segoe UI"/>
                <w:noProof/>
                <w:sz w:val="17"/>
                <w:szCs w:val="17"/>
                <w:lang w:eastAsia="en-GB"/>
              </w:rPr>
              <w:t>T</w:t>
            </w:r>
          </w:p>
        </w:tc>
      </w:tr>
      <w:tr w:rsidR="00EB1E72" w:rsidRPr="00EB1E72" w14:paraId="38606506" w14:textId="77777777" w:rsidTr="00217BE5">
        <w:tc>
          <w:tcPr>
            <w:tcW w:w="567" w:type="dxa"/>
            <w:tcBorders>
              <w:top w:val="single" w:sz="4" w:space="0" w:color="auto"/>
              <w:left w:val="nil"/>
              <w:right w:val="single" w:sz="4" w:space="0" w:color="auto"/>
            </w:tcBorders>
          </w:tcPr>
          <w:p w14:paraId="24358C7E" w14:textId="77777777" w:rsidR="00EB1E72" w:rsidRPr="00EB1E72" w:rsidRDefault="00EB1E72" w:rsidP="00EB1E72">
            <w:pPr>
              <w:keepLines/>
              <w:widowControl w:val="0"/>
              <w:tabs>
                <w:tab w:val="left" w:pos="150"/>
                <w:tab w:val="left" w:pos="397"/>
                <w:tab w:val="left" w:pos="794"/>
                <w:tab w:val="left" w:pos="1191"/>
              </w:tabs>
              <w:snapToGrid w:val="0"/>
              <w:spacing w:before="20" w:after="20" w:line="259" w:lineRule="auto"/>
              <w:rPr>
                <w:rFonts w:ascii="Calibri" w:eastAsia="新細明體" w:hAnsi="Calibri" w:cs="Segoe UI"/>
                <w:sz w:val="17"/>
                <w:szCs w:val="17"/>
                <w:lang w:eastAsia="en-GB"/>
              </w:rPr>
            </w:pPr>
            <w:r w:rsidRPr="00EB1E72">
              <w:rPr>
                <w:rFonts w:ascii="Calibri" w:eastAsia="新細明體" w:hAnsi="Calibri" w:cs="Segoe UI"/>
                <w:sz w:val="17"/>
                <w:szCs w:val="17"/>
                <w:lang w:eastAsia="en-GB"/>
              </w:rPr>
              <w:t>1</w:t>
            </w:r>
          </w:p>
        </w:tc>
        <w:tc>
          <w:tcPr>
            <w:tcW w:w="5245" w:type="dxa"/>
            <w:tcBorders>
              <w:top w:val="single" w:sz="4" w:space="0" w:color="auto"/>
              <w:left w:val="single" w:sz="4" w:space="0" w:color="auto"/>
              <w:right w:val="single" w:sz="4" w:space="0" w:color="auto"/>
            </w:tcBorders>
          </w:tcPr>
          <w:p w14:paraId="355B8F8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noProof/>
                <w:sz w:val="17"/>
                <w:szCs w:val="17"/>
                <w:lang w:eastAsia="zh-TW"/>
              </w:rPr>
            </w:pPr>
            <w:r w:rsidRPr="00EB1E72">
              <w:rPr>
                <w:rFonts w:ascii="Calibri" w:eastAsia="細明體" w:hAnsi="Calibri" w:cs="Segoe UI"/>
                <w:sz w:val="17"/>
                <w:szCs w:val="17"/>
                <w:lang w:eastAsia="zh-TW"/>
              </w:rPr>
              <w:t>非證券化類別風險承擔的信用風險</w:t>
            </w:r>
          </w:p>
        </w:tc>
        <w:tc>
          <w:tcPr>
            <w:tcW w:w="921" w:type="dxa"/>
            <w:tcBorders>
              <w:top w:val="single" w:sz="4" w:space="0" w:color="auto"/>
              <w:left w:val="single" w:sz="4" w:space="0" w:color="auto"/>
              <w:bottom w:val="single" w:sz="4" w:space="0" w:color="BFBFBF"/>
              <w:right w:val="single" w:sz="4" w:space="0" w:color="auto"/>
            </w:tcBorders>
            <w:shd w:val="clear" w:color="auto" w:fill="FFFFFF"/>
          </w:tcPr>
          <w:p w14:paraId="149DC1A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auto"/>
              <w:left w:val="single" w:sz="4" w:space="0" w:color="auto"/>
              <w:bottom w:val="single" w:sz="4" w:space="0" w:color="BFBFBF"/>
              <w:right w:val="single" w:sz="4" w:space="0" w:color="auto"/>
            </w:tcBorders>
            <w:shd w:val="clear" w:color="auto" w:fill="FFFFFF"/>
          </w:tcPr>
          <w:p w14:paraId="031BD3F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5D9F03C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394F30D9" w14:textId="77777777" w:rsidTr="00217BE5">
        <w:tc>
          <w:tcPr>
            <w:tcW w:w="567" w:type="dxa"/>
            <w:tcBorders>
              <w:left w:val="nil"/>
              <w:right w:val="single" w:sz="4" w:space="0" w:color="auto"/>
            </w:tcBorders>
          </w:tcPr>
          <w:p w14:paraId="65107A7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r w:rsidRPr="00EB1E72">
              <w:rPr>
                <w:rFonts w:ascii="Calibri" w:eastAsia="新細明體" w:hAnsi="Calibri" w:cs="Segoe UI"/>
                <w:sz w:val="17"/>
                <w:szCs w:val="17"/>
                <w:lang w:eastAsia="en-GB"/>
              </w:rPr>
              <w:t>2</w:t>
            </w:r>
          </w:p>
        </w:tc>
        <w:tc>
          <w:tcPr>
            <w:tcW w:w="5245" w:type="dxa"/>
            <w:tcBorders>
              <w:left w:val="single" w:sz="4" w:space="0" w:color="auto"/>
              <w:right w:val="single" w:sz="4" w:space="0" w:color="auto"/>
            </w:tcBorders>
          </w:tcPr>
          <w:p w14:paraId="4436CE31"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STC</w:t>
            </w:r>
            <w:r w:rsidRPr="00EB1E72">
              <w:rPr>
                <w:rFonts w:ascii="Calibri" w:eastAsia="新細明體" w:hAnsi="Calibri" w:cs="Segoe UI"/>
                <w:sz w:val="17"/>
                <w:szCs w:val="17"/>
                <w:lang w:eastAsia="zh-TW"/>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0591190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A79D23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E83974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02FC27F2" w14:textId="77777777" w:rsidTr="00217BE5">
        <w:tc>
          <w:tcPr>
            <w:tcW w:w="567" w:type="dxa"/>
            <w:tcBorders>
              <w:left w:val="nil"/>
              <w:right w:val="single" w:sz="4" w:space="0" w:color="auto"/>
            </w:tcBorders>
          </w:tcPr>
          <w:p w14:paraId="2E11B53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r w:rsidRPr="00EB1E72">
              <w:rPr>
                <w:rFonts w:ascii="Calibri" w:eastAsia="新細明體" w:hAnsi="Calibri" w:cs="Segoe UI"/>
                <w:sz w:val="17"/>
                <w:szCs w:val="17"/>
                <w:lang w:eastAsia="en-GB"/>
              </w:rPr>
              <w:t>2a</w:t>
            </w:r>
          </w:p>
        </w:tc>
        <w:tc>
          <w:tcPr>
            <w:tcW w:w="5245" w:type="dxa"/>
            <w:tcBorders>
              <w:left w:val="single" w:sz="4" w:space="0" w:color="auto"/>
              <w:right w:val="single" w:sz="4" w:space="0" w:color="auto"/>
            </w:tcBorders>
          </w:tcPr>
          <w:p w14:paraId="78611A20"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BSC</w:t>
            </w:r>
            <w:r w:rsidRPr="00EB1E72">
              <w:rPr>
                <w:rFonts w:ascii="Calibri" w:eastAsia="新細明體" w:hAnsi="Calibri" w:cs="Segoe UI"/>
                <w:sz w:val="17"/>
                <w:szCs w:val="17"/>
                <w:lang w:eastAsia="zh-TW"/>
              </w:rPr>
              <w:t>計算法</w:t>
            </w:r>
            <w:r w:rsidRPr="00EB1E72">
              <w:rPr>
                <w:rFonts w:ascii="Calibri" w:eastAsia="新細明體" w:hAnsi="Calibri" w:cs="Segoe UI"/>
                <w:sz w:val="17"/>
                <w:szCs w:val="17"/>
                <w:lang w:eastAsia="zh-TW"/>
              </w:rPr>
              <w:t xml:space="preserve"> </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0342B1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C66201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4EA138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4FADCA63" w14:textId="77777777" w:rsidTr="00217BE5">
        <w:tc>
          <w:tcPr>
            <w:tcW w:w="567" w:type="dxa"/>
            <w:tcBorders>
              <w:left w:val="nil"/>
              <w:right w:val="single" w:sz="4" w:space="0" w:color="auto"/>
            </w:tcBorders>
          </w:tcPr>
          <w:p w14:paraId="1E9512B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r w:rsidRPr="00EB1E72">
              <w:rPr>
                <w:rFonts w:ascii="Calibri" w:eastAsia="新細明體" w:hAnsi="Calibri" w:cs="Segoe UI"/>
                <w:sz w:val="17"/>
                <w:szCs w:val="17"/>
                <w:lang w:eastAsia="en-GB"/>
              </w:rPr>
              <w:t>3</w:t>
            </w:r>
          </w:p>
        </w:tc>
        <w:tc>
          <w:tcPr>
            <w:tcW w:w="5245" w:type="dxa"/>
            <w:tcBorders>
              <w:left w:val="single" w:sz="4" w:space="0" w:color="auto"/>
              <w:right w:val="single" w:sz="4" w:space="0" w:color="auto"/>
            </w:tcBorders>
          </w:tcPr>
          <w:p w14:paraId="57FC6308"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其中基礎</w:t>
            </w:r>
            <w:r w:rsidRPr="00EB1E72">
              <w:rPr>
                <w:rFonts w:ascii="Calibri" w:eastAsia="新細明體" w:hAnsi="Calibri" w:cs="Segoe UI"/>
                <w:sz w:val="17"/>
                <w:szCs w:val="17"/>
                <w:lang w:eastAsia="zh-TW"/>
              </w:rPr>
              <w:t>IRB</w:t>
            </w:r>
            <w:r w:rsidRPr="00EB1E72">
              <w:rPr>
                <w:rFonts w:ascii="Calibri" w:eastAsia="新細明體" w:hAnsi="Calibri" w:cs="Segoe UI"/>
                <w:sz w:val="17"/>
                <w:szCs w:val="17"/>
                <w:lang w:eastAsia="zh-TW"/>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0870053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4C86057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C8CC6A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1BAA8A86" w14:textId="77777777" w:rsidTr="00217BE5">
        <w:tc>
          <w:tcPr>
            <w:tcW w:w="567" w:type="dxa"/>
            <w:tcBorders>
              <w:left w:val="nil"/>
              <w:right w:val="single" w:sz="4" w:space="0" w:color="auto"/>
            </w:tcBorders>
          </w:tcPr>
          <w:p w14:paraId="593A0A0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4</w:t>
            </w:r>
          </w:p>
        </w:tc>
        <w:tc>
          <w:tcPr>
            <w:tcW w:w="5245" w:type="dxa"/>
            <w:tcBorders>
              <w:left w:val="single" w:sz="4" w:space="0" w:color="auto"/>
              <w:right w:val="single" w:sz="4" w:space="0" w:color="auto"/>
            </w:tcBorders>
          </w:tcPr>
          <w:p w14:paraId="229EEAF6"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其中監管分類準則計算法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5A898F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001EF8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54F3B8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3AF54160" w14:textId="77777777" w:rsidTr="00217BE5">
        <w:tc>
          <w:tcPr>
            <w:tcW w:w="567" w:type="dxa"/>
            <w:tcBorders>
              <w:left w:val="nil"/>
              <w:right w:val="single" w:sz="4" w:space="0" w:color="auto"/>
            </w:tcBorders>
          </w:tcPr>
          <w:p w14:paraId="7890F52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5</w:t>
            </w:r>
          </w:p>
        </w:tc>
        <w:tc>
          <w:tcPr>
            <w:tcW w:w="5245" w:type="dxa"/>
            <w:tcBorders>
              <w:left w:val="single" w:sz="4" w:space="0" w:color="auto"/>
              <w:right w:val="single" w:sz="4" w:space="0" w:color="auto"/>
            </w:tcBorders>
          </w:tcPr>
          <w:p w14:paraId="6C1A5F31"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其中高級</w:t>
            </w:r>
            <w:r w:rsidRPr="00EB1E72">
              <w:rPr>
                <w:rFonts w:ascii="Calibri" w:eastAsia="新細明體" w:hAnsi="Calibri" w:cs="Segoe UI"/>
                <w:sz w:val="17"/>
                <w:szCs w:val="17"/>
                <w:lang w:eastAsia="zh-TW"/>
              </w:rPr>
              <w:t>IRB</w:t>
            </w:r>
            <w:r w:rsidRPr="00EB1E72">
              <w:rPr>
                <w:rFonts w:ascii="Calibri" w:eastAsia="新細明體" w:hAnsi="Calibri" w:cs="Segoe UI"/>
                <w:sz w:val="17"/>
                <w:szCs w:val="17"/>
                <w:lang w:eastAsia="zh-TW"/>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AC2BC4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BBDFC2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27E865C"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71BA973E" w14:textId="77777777" w:rsidTr="00217BE5">
        <w:tc>
          <w:tcPr>
            <w:tcW w:w="567" w:type="dxa"/>
            <w:tcBorders>
              <w:left w:val="nil"/>
              <w:right w:val="single" w:sz="4" w:space="0" w:color="auto"/>
            </w:tcBorders>
          </w:tcPr>
          <w:p w14:paraId="6DD9E46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TW"/>
              </w:rPr>
              <w:t>5</w:t>
            </w:r>
            <w:r w:rsidRPr="00EB1E72">
              <w:rPr>
                <w:rFonts w:ascii="Calibri" w:eastAsia="新細明體" w:hAnsi="Calibri" w:cs="Segoe UI"/>
                <w:sz w:val="17"/>
                <w:szCs w:val="17"/>
                <w:lang w:eastAsia="zh-TW"/>
              </w:rPr>
              <w:t>a</w:t>
            </w:r>
          </w:p>
        </w:tc>
        <w:tc>
          <w:tcPr>
            <w:tcW w:w="5245" w:type="dxa"/>
            <w:tcBorders>
              <w:left w:val="single" w:sz="4" w:space="0" w:color="auto"/>
              <w:right w:val="single" w:sz="4" w:space="0" w:color="auto"/>
            </w:tcBorders>
          </w:tcPr>
          <w:p w14:paraId="5B1D20A8"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TW"/>
              </w:rPr>
              <w:t>其中零售</w:t>
            </w:r>
            <w:r w:rsidRPr="00EB1E72">
              <w:rPr>
                <w:rFonts w:ascii="Calibri" w:eastAsia="新細明體" w:hAnsi="Calibri" w:cs="Segoe UI" w:hint="eastAsia"/>
                <w:sz w:val="17"/>
                <w:szCs w:val="17"/>
                <w:lang w:eastAsia="zh-TW"/>
              </w:rPr>
              <w:t>IRB</w:t>
            </w:r>
            <w:r w:rsidRPr="00EB1E72">
              <w:rPr>
                <w:rFonts w:ascii="Calibri" w:eastAsia="新細明體" w:hAnsi="Calibri" w:cs="Segoe UI" w:hint="eastAsia"/>
                <w:sz w:val="17"/>
                <w:szCs w:val="17"/>
                <w:lang w:eastAsia="zh-TW"/>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077ABF0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0AFE210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24665C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43034004" w14:textId="77777777" w:rsidTr="00217BE5">
        <w:tc>
          <w:tcPr>
            <w:tcW w:w="567" w:type="dxa"/>
            <w:tcBorders>
              <w:left w:val="nil"/>
              <w:right w:val="single" w:sz="4" w:space="0" w:color="auto"/>
            </w:tcBorders>
          </w:tcPr>
          <w:p w14:paraId="1E49289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5b</w:t>
            </w:r>
          </w:p>
        </w:tc>
        <w:tc>
          <w:tcPr>
            <w:tcW w:w="5245" w:type="dxa"/>
            <w:tcBorders>
              <w:left w:val="single" w:sz="4" w:space="0" w:color="auto"/>
              <w:right w:val="single" w:sz="4" w:space="0" w:color="auto"/>
            </w:tcBorders>
          </w:tcPr>
          <w:p w14:paraId="77A65D66"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HK"/>
              </w:rPr>
              <w:t>其中特定風險權重計算法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445A15A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4EFC99D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BA639C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B6247B" w:rsidRPr="00EB1E72" w14:paraId="7E1213AB" w14:textId="77777777" w:rsidTr="00217BE5">
        <w:tc>
          <w:tcPr>
            <w:tcW w:w="567" w:type="dxa"/>
            <w:tcBorders>
              <w:left w:val="nil"/>
              <w:right w:val="single" w:sz="4" w:space="0" w:color="auto"/>
            </w:tcBorders>
          </w:tcPr>
          <w:p w14:paraId="30B579AD" w14:textId="3B1C223E"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HK"/>
              </w:rPr>
            </w:pPr>
            <w:r w:rsidRPr="001177B0">
              <w:rPr>
                <w:rFonts w:ascii="Calibri" w:eastAsia="新細明體" w:hAnsi="Calibri" w:cs="Segoe UI"/>
                <w:sz w:val="17"/>
                <w:szCs w:val="17"/>
                <w:lang w:eastAsia="zh-HK"/>
              </w:rPr>
              <w:t>5c</w:t>
            </w:r>
          </w:p>
        </w:tc>
        <w:tc>
          <w:tcPr>
            <w:tcW w:w="5245" w:type="dxa"/>
            <w:tcBorders>
              <w:left w:val="single" w:sz="4" w:space="0" w:color="auto"/>
              <w:right w:val="single" w:sz="4" w:space="0" w:color="auto"/>
            </w:tcBorders>
          </w:tcPr>
          <w:p w14:paraId="3D09AE20" w14:textId="3162C04B" w:rsidR="00B6247B" w:rsidRPr="00EB1E72" w:rsidRDefault="00B6247B" w:rsidP="004C645E">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HK"/>
              </w:rPr>
            </w:pPr>
            <w:r w:rsidRPr="001177B0">
              <w:rPr>
                <w:rFonts w:ascii="Calibri" w:eastAsia="新細明體" w:hAnsi="Calibri" w:cs="Segoe UI" w:hint="eastAsia"/>
                <w:sz w:val="17"/>
                <w:szCs w:val="17"/>
                <w:lang w:eastAsia="zh-HK"/>
              </w:rPr>
              <w:t>其中</w:t>
            </w:r>
            <w:r w:rsidR="002C51F1" w:rsidRPr="002D62C7">
              <w:rPr>
                <w:rFonts w:ascii="Calibri" w:eastAsia="新細明體" w:hAnsi="Calibri" w:cs="Segoe UI" w:hint="eastAsia"/>
                <w:sz w:val="17"/>
                <w:szCs w:val="17"/>
                <w:lang w:eastAsia="zh-HK"/>
              </w:rPr>
              <w:t>根據</w:t>
            </w:r>
            <w:r w:rsidR="00EA60C0" w:rsidRPr="002D62C7">
              <w:rPr>
                <w:rFonts w:ascii="Calibri" w:eastAsia="新細明體" w:hAnsi="Calibri" w:cs="Segoe UI" w:hint="eastAsia"/>
                <w:sz w:val="17"/>
                <w:szCs w:val="17"/>
                <w:lang w:eastAsia="zh-HK"/>
              </w:rPr>
              <w:t>《</w:t>
            </w:r>
            <w:r w:rsidRPr="002D62C7">
              <w:rPr>
                <w:rFonts w:ascii="Calibri" w:eastAsia="新細明體" w:hAnsi="Calibri" w:cs="Segoe UI" w:hint="eastAsia"/>
                <w:sz w:val="17"/>
                <w:szCs w:val="17"/>
                <w:lang w:eastAsia="zh-HK"/>
              </w:rPr>
              <w:t>資本規則》第</w:t>
            </w:r>
            <w:r w:rsidRPr="002D62C7">
              <w:rPr>
                <w:rFonts w:ascii="Calibri" w:eastAsia="新細明體" w:hAnsi="Calibri" w:cs="Segoe UI"/>
                <w:sz w:val="17"/>
                <w:szCs w:val="17"/>
                <w:lang w:eastAsia="zh-HK"/>
              </w:rPr>
              <w:t>376</w:t>
            </w:r>
            <w:r w:rsidRPr="002D62C7">
              <w:rPr>
                <w:rFonts w:ascii="Calibri" w:eastAsia="新細明體" w:hAnsi="Calibri" w:cs="Segoe UI" w:hint="eastAsia"/>
                <w:sz w:val="17"/>
                <w:szCs w:val="17"/>
                <w:lang w:eastAsia="zh-HK"/>
              </w:rPr>
              <w:t>條及第</w:t>
            </w:r>
            <w:r w:rsidRPr="002D62C7">
              <w:rPr>
                <w:rFonts w:ascii="Calibri" w:eastAsia="新細明體" w:hAnsi="Calibri" w:cs="Segoe UI"/>
                <w:sz w:val="17"/>
                <w:szCs w:val="17"/>
                <w:lang w:eastAsia="zh-HK"/>
              </w:rPr>
              <w:t>12</w:t>
            </w:r>
            <w:r w:rsidRPr="002D62C7">
              <w:rPr>
                <w:rFonts w:ascii="Calibri" w:eastAsia="新細明體" w:hAnsi="Calibri" w:cs="Segoe UI" w:hint="eastAsia"/>
                <w:sz w:val="17"/>
                <w:szCs w:val="17"/>
                <w:lang w:eastAsia="zh-HK"/>
              </w:rPr>
              <w:t>部第</w:t>
            </w:r>
            <w:r w:rsidRPr="002D62C7">
              <w:rPr>
                <w:rFonts w:ascii="Calibri" w:eastAsia="新細明體" w:hAnsi="Calibri" w:cs="Segoe UI"/>
                <w:sz w:val="17"/>
                <w:szCs w:val="17"/>
                <w:lang w:eastAsia="zh-HK"/>
              </w:rPr>
              <w:t>5</w:t>
            </w:r>
            <w:r w:rsidRPr="002D62C7">
              <w:rPr>
                <w:rFonts w:ascii="Calibri" w:eastAsia="新細明體" w:hAnsi="Calibri" w:cs="Segoe UI" w:hint="eastAsia"/>
                <w:sz w:val="17"/>
                <w:szCs w:val="17"/>
                <w:lang w:eastAsia="zh-HK"/>
              </w:rPr>
              <w:t>、</w:t>
            </w:r>
            <w:r w:rsidRPr="002D62C7">
              <w:rPr>
                <w:rFonts w:ascii="Calibri" w:eastAsia="新細明體" w:hAnsi="Calibri" w:cs="Segoe UI"/>
                <w:sz w:val="17"/>
                <w:szCs w:val="17"/>
                <w:lang w:eastAsia="zh-HK"/>
              </w:rPr>
              <w:t>6</w:t>
            </w:r>
            <w:r w:rsidR="00012212" w:rsidRPr="002D62C7">
              <w:rPr>
                <w:rFonts w:ascii="Calibri" w:eastAsia="新細明體" w:hAnsi="Calibri" w:cs="Segoe UI" w:hint="eastAsia"/>
                <w:sz w:val="17"/>
                <w:szCs w:val="17"/>
                <w:lang w:eastAsia="zh-HK"/>
              </w:rPr>
              <w:t>及</w:t>
            </w:r>
            <w:r w:rsidRPr="002D62C7">
              <w:rPr>
                <w:rFonts w:ascii="Calibri" w:eastAsia="新細明體" w:hAnsi="Calibri" w:cs="Segoe UI"/>
                <w:sz w:val="17"/>
                <w:szCs w:val="17"/>
                <w:lang w:eastAsia="zh-HK"/>
              </w:rPr>
              <w:t>8</w:t>
            </w:r>
            <w:r w:rsidR="00012212" w:rsidRPr="002D62C7">
              <w:rPr>
                <w:rFonts w:ascii="Calibri" w:eastAsia="新細明體" w:hAnsi="Calibri" w:cs="Segoe UI" w:hint="eastAsia"/>
                <w:sz w:val="17"/>
                <w:szCs w:val="17"/>
                <w:lang w:eastAsia="zh-HK"/>
              </w:rPr>
              <w:t>分部計算</w:t>
            </w:r>
            <w:r w:rsidR="002C51F1" w:rsidRPr="002D62C7">
              <w:rPr>
                <w:rFonts w:ascii="Calibri" w:eastAsia="新細明體" w:hAnsi="Calibri" w:cs="Segoe UI" w:hint="eastAsia"/>
                <w:sz w:val="17"/>
                <w:szCs w:val="17"/>
                <w:lang w:eastAsia="zh-HK"/>
              </w:rPr>
              <w:t>的</w:t>
            </w:r>
            <w:r w:rsidR="00DD1000" w:rsidRPr="002D62C7">
              <w:rPr>
                <w:rFonts w:ascii="Calibri" w:eastAsia="新細明體" w:hAnsi="Calibri" w:cs="Segoe UI" w:hint="eastAsia"/>
                <w:sz w:val="17"/>
                <w:szCs w:val="17"/>
                <w:lang w:eastAsia="zh-HK"/>
              </w:rPr>
              <w:t>對</w:t>
            </w:r>
            <w:r w:rsidR="00012212" w:rsidRPr="002D62C7">
              <w:rPr>
                <w:rFonts w:ascii="Calibri" w:eastAsia="新細明體" w:hAnsi="Calibri" w:cs="Segoe UI" w:hint="eastAsia"/>
                <w:sz w:val="17"/>
                <w:szCs w:val="17"/>
                <w:lang w:eastAsia="zh-HK"/>
              </w:rPr>
              <w:t>信用風險</w:t>
            </w:r>
            <w:r w:rsidR="00EA36FA" w:rsidRPr="002D62C7">
              <w:rPr>
                <w:rFonts w:ascii="Calibri" w:eastAsia="新細明體" w:hAnsi="Calibri" w:cs="Segoe UI" w:hint="eastAsia"/>
                <w:sz w:val="17"/>
                <w:szCs w:val="17"/>
                <w:lang w:eastAsia="zh-HK"/>
              </w:rPr>
              <w:t>的加密資產</w:t>
            </w:r>
            <w:r w:rsidR="00EA36FA" w:rsidRPr="001177B0">
              <w:rPr>
                <w:rFonts w:ascii="Calibri" w:eastAsia="新細明體" w:hAnsi="Calibri" w:cs="Segoe UI" w:hint="eastAsia"/>
                <w:sz w:val="17"/>
                <w:szCs w:val="17"/>
                <w:lang w:eastAsia="zh-HK"/>
              </w:rPr>
              <w:t>風險承擔</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3769D805" w14:textId="77777777"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290FBD9" w14:textId="77777777"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F1AB156" w14:textId="77777777"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0635B081" w14:textId="77777777" w:rsidTr="00217BE5">
        <w:tc>
          <w:tcPr>
            <w:tcW w:w="567" w:type="dxa"/>
            <w:tcBorders>
              <w:left w:val="nil"/>
              <w:right w:val="single" w:sz="4" w:space="0" w:color="auto"/>
            </w:tcBorders>
          </w:tcPr>
          <w:p w14:paraId="6EBBA02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6</w:t>
            </w:r>
          </w:p>
        </w:tc>
        <w:tc>
          <w:tcPr>
            <w:tcW w:w="5245" w:type="dxa"/>
            <w:tcBorders>
              <w:left w:val="single" w:sz="4" w:space="0" w:color="auto"/>
              <w:right w:val="single" w:sz="4" w:space="0" w:color="auto"/>
            </w:tcBorders>
          </w:tcPr>
          <w:p w14:paraId="2EFD16E6" w14:textId="37110877" w:rsidR="00EB1E72" w:rsidRPr="002E57CE" w:rsidRDefault="00EB1E72" w:rsidP="00734EB3">
            <w:pPr>
              <w:keepLines/>
              <w:widowControl w:val="0"/>
              <w:tabs>
                <w:tab w:val="left" w:pos="397"/>
                <w:tab w:val="left" w:pos="794"/>
                <w:tab w:val="left" w:pos="1191"/>
              </w:tabs>
              <w:snapToGrid w:val="0"/>
              <w:spacing w:before="20" w:after="20" w:line="259" w:lineRule="auto"/>
              <w:rPr>
                <w:rFonts w:ascii="Calibri" w:eastAsia="細明體" w:hAnsi="Calibri" w:cs="Segoe UI"/>
                <w:noProof/>
                <w:sz w:val="17"/>
                <w:szCs w:val="17"/>
                <w:lang w:eastAsia="zh-TW"/>
              </w:rPr>
            </w:pPr>
            <w:r w:rsidRPr="00217BE5">
              <w:rPr>
                <w:rFonts w:ascii="Calibri" w:eastAsia="細明體" w:hAnsi="Calibri" w:cs="Segoe UI" w:hint="eastAsia"/>
                <w:sz w:val="17"/>
                <w:szCs w:val="17"/>
                <w:lang w:eastAsia="zh-TW"/>
              </w:rPr>
              <w:t>對手方</w:t>
            </w:r>
            <w:r w:rsidRPr="002E57CE">
              <w:rPr>
                <w:rFonts w:ascii="Calibri" w:eastAsia="細明體" w:hAnsi="Calibri" w:cs="Segoe UI" w:hint="eastAsia"/>
                <w:sz w:val="17"/>
                <w:szCs w:val="17"/>
                <w:lang w:eastAsia="zh-TW"/>
              </w:rPr>
              <w:t>信用</w:t>
            </w:r>
            <w:r w:rsidRPr="00217BE5">
              <w:rPr>
                <w:rFonts w:ascii="Calibri" w:eastAsia="細明體" w:hAnsi="Calibri" w:cs="Segoe UI" w:hint="eastAsia"/>
                <w:sz w:val="17"/>
                <w:szCs w:val="17"/>
                <w:lang w:eastAsia="zh-TW"/>
              </w:rPr>
              <w:t>風險</w:t>
            </w:r>
            <w:proofErr w:type="gramStart"/>
            <w:r w:rsidRPr="002E57CE">
              <w:rPr>
                <w:rFonts w:ascii="Calibri" w:eastAsia="細明體" w:hAnsi="Calibri" w:cs="Segoe UI"/>
                <w:sz w:val="17"/>
                <w:szCs w:val="17"/>
                <w:lang w:eastAsia="zh-TW"/>
              </w:rPr>
              <w:t>及違責基金</w:t>
            </w:r>
            <w:proofErr w:type="gramEnd"/>
            <w:r w:rsidRPr="002E57CE">
              <w:rPr>
                <w:rFonts w:ascii="Calibri" w:eastAsia="細明體" w:hAnsi="Calibri" w:cs="Segoe UI"/>
                <w:sz w:val="17"/>
                <w:szCs w:val="17"/>
                <w:lang w:eastAsia="zh-TW"/>
              </w:rPr>
              <w:t>承擔</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3E6437B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5BA503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7A4BEB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6303AAC3" w14:textId="77777777" w:rsidTr="00217BE5">
        <w:tc>
          <w:tcPr>
            <w:tcW w:w="567" w:type="dxa"/>
            <w:tcBorders>
              <w:left w:val="nil"/>
              <w:right w:val="single" w:sz="4" w:space="0" w:color="auto"/>
            </w:tcBorders>
          </w:tcPr>
          <w:p w14:paraId="54C0EA8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7</w:t>
            </w:r>
          </w:p>
        </w:tc>
        <w:tc>
          <w:tcPr>
            <w:tcW w:w="5245" w:type="dxa"/>
            <w:tcBorders>
              <w:left w:val="single" w:sz="4" w:space="0" w:color="auto"/>
              <w:right w:val="single" w:sz="4" w:space="0" w:color="auto"/>
            </w:tcBorders>
          </w:tcPr>
          <w:p w14:paraId="07F30B14"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SA-CCR</w:t>
            </w:r>
            <w:r w:rsidRPr="00EB1E72">
              <w:rPr>
                <w:rFonts w:ascii="Calibri" w:eastAsia="新細明體" w:hAnsi="Calibri" w:cs="Segoe UI"/>
                <w:sz w:val="17"/>
                <w:szCs w:val="17"/>
                <w:lang w:eastAsia="zh-TW"/>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11FCA84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4D167F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08F42D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1B3D16C3" w14:textId="77777777" w:rsidTr="00217BE5">
        <w:tc>
          <w:tcPr>
            <w:tcW w:w="567" w:type="dxa"/>
            <w:tcBorders>
              <w:left w:val="nil"/>
              <w:right w:val="single" w:sz="4" w:space="0" w:color="auto"/>
            </w:tcBorders>
          </w:tcPr>
          <w:p w14:paraId="1EBADC5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r w:rsidRPr="00EB1E72">
              <w:rPr>
                <w:rFonts w:ascii="Calibri" w:eastAsia="新細明體" w:hAnsi="Calibri" w:cs="Segoe UI"/>
                <w:sz w:val="17"/>
                <w:szCs w:val="17"/>
                <w:lang w:eastAsia="zh-TW"/>
              </w:rPr>
              <w:t>7</w:t>
            </w:r>
            <w:r w:rsidRPr="00EB1E72">
              <w:rPr>
                <w:rFonts w:ascii="Calibri" w:eastAsia="新細明體" w:hAnsi="Calibri" w:cs="Segoe UI"/>
                <w:sz w:val="17"/>
                <w:szCs w:val="17"/>
                <w:lang w:eastAsia="en-GB"/>
              </w:rPr>
              <w:t>a</w:t>
            </w:r>
          </w:p>
        </w:tc>
        <w:tc>
          <w:tcPr>
            <w:tcW w:w="5245" w:type="dxa"/>
            <w:tcBorders>
              <w:left w:val="single" w:sz="4" w:space="0" w:color="auto"/>
              <w:right w:val="single" w:sz="4" w:space="0" w:color="auto"/>
            </w:tcBorders>
          </w:tcPr>
          <w:p w14:paraId="01A31BB2"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其中現行風險承擔方法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96A305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9CD47A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343CDD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329BDA19" w14:textId="77777777" w:rsidTr="00217BE5">
        <w:tc>
          <w:tcPr>
            <w:tcW w:w="567" w:type="dxa"/>
            <w:tcBorders>
              <w:left w:val="nil"/>
              <w:right w:val="single" w:sz="4" w:space="0" w:color="auto"/>
            </w:tcBorders>
          </w:tcPr>
          <w:p w14:paraId="119F064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8</w:t>
            </w:r>
          </w:p>
        </w:tc>
        <w:tc>
          <w:tcPr>
            <w:tcW w:w="5245" w:type="dxa"/>
            <w:tcBorders>
              <w:left w:val="single" w:sz="4" w:space="0" w:color="auto"/>
              <w:right w:val="single" w:sz="4" w:space="0" w:color="auto"/>
            </w:tcBorders>
          </w:tcPr>
          <w:p w14:paraId="1CC026DD"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IMM(CCR)</w:t>
            </w:r>
            <w:r w:rsidRPr="00EB1E72">
              <w:rPr>
                <w:rFonts w:ascii="Calibri" w:eastAsia="新細明體" w:hAnsi="Calibri" w:cs="Segoe UI"/>
                <w:sz w:val="17"/>
                <w:szCs w:val="17"/>
                <w:lang w:eastAsia="zh-TW"/>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129F9CB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04AF2D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651FE7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B6247B" w:rsidRPr="00EB1E72" w14:paraId="3C085DE5" w14:textId="77777777" w:rsidTr="00217BE5">
        <w:tc>
          <w:tcPr>
            <w:tcW w:w="567" w:type="dxa"/>
            <w:tcBorders>
              <w:left w:val="nil"/>
              <w:right w:val="single" w:sz="4" w:space="0" w:color="auto"/>
            </w:tcBorders>
          </w:tcPr>
          <w:p w14:paraId="06F9D7EA" w14:textId="062F769A"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1177B0">
              <w:rPr>
                <w:rFonts w:ascii="Calibri" w:eastAsia="新細明體" w:hAnsi="Calibri" w:cs="Segoe UI"/>
                <w:sz w:val="17"/>
                <w:szCs w:val="17"/>
                <w:lang w:eastAsia="zh-TW"/>
              </w:rPr>
              <w:t>8a</w:t>
            </w:r>
          </w:p>
        </w:tc>
        <w:tc>
          <w:tcPr>
            <w:tcW w:w="5245" w:type="dxa"/>
            <w:tcBorders>
              <w:left w:val="single" w:sz="4" w:space="0" w:color="auto"/>
              <w:right w:val="single" w:sz="4" w:space="0" w:color="auto"/>
            </w:tcBorders>
          </w:tcPr>
          <w:p w14:paraId="39DCE182" w14:textId="32BAB2C7" w:rsidR="00B6247B" w:rsidRPr="0092586B" w:rsidRDefault="00B6247B" w:rsidP="00780135">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2F1C23">
              <w:rPr>
                <w:rFonts w:ascii="Calibri" w:eastAsia="新細明體" w:hAnsi="Calibri" w:cs="Segoe UI" w:hint="eastAsia"/>
                <w:sz w:val="17"/>
                <w:szCs w:val="17"/>
                <w:lang w:eastAsia="zh-TW"/>
              </w:rPr>
              <w:t>其中</w:t>
            </w:r>
            <w:r w:rsidR="00C84D84">
              <w:rPr>
                <w:rFonts w:ascii="Calibri" w:eastAsia="新細明體" w:hAnsi="Calibri" w:cs="Segoe UI" w:hint="eastAsia"/>
                <w:sz w:val="17"/>
                <w:szCs w:val="17"/>
                <w:lang w:eastAsia="zh-TW"/>
              </w:rPr>
              <w:t>適用於</w:t>
            </w:r>
            <w:r w:rsidRPr="002F1C23">
              <w:rPr>
                <w:rFonts w:ascii="Calibri" w:eastAsia="新細明體" w:hAnsi="Calibri" w:cs="Segoe UI" w:hint="eastAsia"/>
                <w:sz w:val="17"/>
                <w:szCs w:val="17"/>
                <w:lang w:eastAsia="zh-TW"/>
              </w:rPr>
              <w:t>第</w:t>
            </w:r>
            <w:r w:rsidRPr="002F1C23">
              <w:rPr>
                <w:rFonts w:ascii="Calibri" w:eastAsia="新細明體" w:hAnsi="Calibri" w:cs="Segoe UI"/>
                <w:sz w:val="17"/>
                <w:szCs w:val="17"/>
                <w:lang w:eastAsia="zh-TW"/>
              </w:rPr>
              <w:t>2b</w:t>
            </w:r>
            <w:r w:rsidR="00EA36FA">
              <w:rPr>
                <w:rFonts w:ascii="Calibri" w:eastAsia="新細明體" w:hAnsi="Calibri" w:cs="Segoe UI" w:hint="eastAsia"/>
                <w:sz w:val="17"/>
                <w:szCs w:val="17"/>
                <w:lang w:eastAsia="zh-TW"/>
              </w:rPr>
              <w:t>組</w:t>
            </w:r>
            <w:r w:rsidR="002F1C23" w:rsidRPr="002F1C23">
              <w:rPr>
                <w:rFonts w:ascii="Calibri" w:eastAsia="新細明體" w:hAnsi="Calibri" w:cs="Segoe UI" w:hint="eastAsia"/>
                <w:sz w:val="17"/>
                <w:szCs w:val="17"/>
                <w:lang w:eastAsia="zh-TW"/>
              </w:rPr>
              <w:t>加密資產衍生</w:t>
            </w:r>
            <w:r w:rsidR="002F1C23" w:rsidRPr="0092586B">
              <w:rPr>
                <w:rFonts w:ascii="Calibri" w:eastAsia="新細明體" w:hAnsi="Calibri" w:cs="Segoe UI" w:hint="eastAsia"/>
                <w:sz w:val="17"/>
                <w:szCs w:val="17"/>
                <w:lang w:eastAsia="zh-TW"/>
              </w:rPr>
              <w:t>工具</w:t>
            </w:r>
            <w:r w:rsidRPr="002F1C23">
              <w:rPr>
                <w:rFonts w:ascii="Calibri" w:eastAsia="新細明體" w:hAnsi="Calibri" w:cs="Segoe UI" w:hint="eastAsia"/>
                <w:sz w:val="17"/>
                <w:szCs w:val="17"/>
                <w:lang w:eastAsia="zh-TW"/>
              </w:rPr>
              <w:t>合約</w:t>
            </w:r>
            <w:r w:rsidR="00780135">
              <w:rPr>
                <w:rFonts w:ascii="Calibri" w:eastAsia="新細明體" w:hAnsi="Calibri" w:cs="Segoe UI" w:hint="eastAsia"/>
                <w:sz w:val="17"/>
                <w:szCs w:val="17"/>
                <w:lang w:eastAsia="zh-TW"/>
              </w:rPr>
              <w:t>的</w:t>
            </w:r>
            <w:r w:rsidRPr="002F1C23">
              <w:rPr>
                <w:rFonts w:ascii="Calibri" w:eastAsia="新細明體" w:hAnsi="Calibri" w:cs="Segoe UI" w:hint="eastAsia"/>
                <w:sz w:val="17"/>
                <w:szCs w:val="17"/>
                <w:lang w:eastAsia="zh-TW"/>
              </w:rPr>
              <w:t>方法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9C4063A" w14:textId="77777777"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02FBC49" w14:textId="77777777"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256EE7F" w14:textId="77777777" w:rsidR="00B6247B" w:rsidRPr="00EB1E72" w:rsidRDefault="00B6247B" w:rsidP="00B6247B">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69585F66" w14:textId="77777777" w:rsidTr="00217BE5">
        <w:tc>
          <w:tcPr>
            <w:tcW w:w="567" w:type="dxa"/>
            <w:tcBorders>
              <w:left w:val="nil"/>
              <w:right w:val="single" w:sz="4" w:space="0" w:color="auto"/>
            </w:tcBorders>
          </w:tcPr>
          <w:p w14:paraId="200AB3C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9</w:t>
            </w:r>
          </w:p>
        </w:tc>
        <w:tc>
          <w:tcPr>
            <w:tcW w:w="5245" w:type="dxa"/>
            <w:tcBorders>
              <w:left w:val="single" w:sz="4" w:space="0" w:color="auto"/>
              <w:right w:val="single" w:sz="4" w:space="0" w:color="auto"/>
            </w:tcBorders>
          </w:tcPr>
          <w:p w14:paraId="559F595E"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其中其他</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D344BF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3A52C38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424F85A"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3BA53E85" w14:textId="77777777" w:rsidTr="00217BE5">
        <w:trPr>
          <w:trHeight w:val="227"/>
        </w:trPr>
        <w:tc>
          <w:tcPr>
            <w:tcW w:w="567" w:type="dxa"/>
            <w:tcBorders>
              <w:left w:val="nil"/>
              <w:right w:val="single" w:sz="4" w:space="0" w:color="auto"/>
            </w:tcBorders>
          </w:tcPr>
          <w:p w14:paraId="7E50A99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10</w:t>
            </w:r>
          </w:p>
        </w:tc>
        <w:tc>
          <w:tcPr>
            <w:tcW w:w="5245" w:type="dxa"/>
            <w:tcBorders>
              <w:left w:val="single" w:sz="4" w:space="0" w:color="auto"/>
              <w:right w:val="single" w:sz="4" w:space="0" w:color="auto"/>
            </w:tcBorders>
          </w:tcPr>
          <w:p w14:paraId="7785ED8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細明體" w:hAnsi="Calibri" w:cs="Segoe UI"/>
                <w:sz w:val="17"/>
                <w:szCs w:val="17"/>
                <w:lang w:eastAsia="en-GB"/>
              </w:rPr>
            </w:pPr>
            <w:proofErr w:type="spellStart"/>
            <w:r w:rsidRPr="00EB1E72">
              <w:rPr>
                <w:rFonts w:ascii="Calibri" w:eastAsia="細明體" w:hAnsi="Calibri" w:cs="Segoe UI"/>
                <w:sz w:val="17"/>
                <w:szCs w:val="17"/>
                <w:lang w:eastAsia="en-GB"/>
              </w:rPr>
              <w:t>CVA</w:t>
            </w:r>
            <w:r w:rsidRPr="00EB1E72">
              <w:rPr>
                <w:rFonts w:ascii="Calibri" w:eastAsia="細明體" w:hAnsi="Calibri" w:cs="Segoe UI"/>
                <w:sz w:val="17"/>
                <w:szCs w:val="17"/>
                <w:lang w:eastAsia="en-GB"/>
              </w:rPr>
              <w:t>風險</w:t>
            </w:r>
            <w:proofErr w:type="spellEnd"/>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7F6236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68B89AF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D1D648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4CEFFF44" w14:textId="77777777" w:rsidTr="00217BE5">
        <w:tc>
          <w:tcPr>
            <w:tcW w:w="567" w:type="dxa"/>
            <w:tcBorders>
              <w:left w:val="nil"/>
              <w:right w:val="single" w:sz="4" w:space="0" w:color="auto"/>
            </w:tcBorders>
          </w:tcPr>
          <w:p w14:paraId="4D5C3AC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11</w:t>
            </w:r>
          </w:p>
        </w:tc>
        <w:tc>
          <w:tcPr>
            <w:tcW w:w="5245" w:type="dxa"/>
            <w:tcBorders>
              <w:left w:val="single" w:sz="4" w:space="0" w:color="auto"/>
              <w:right w:val="single" w:sz="4" w:space="0" w:color="auto"/>
            </w:tcBorders>
          </w:tcPr>
          <w:p w14:paraId="6646A7B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細明體" w:hAnsi="Calibri" w:cs="Segoe UI"/>
                <w:sz w:val="17"/>
                <w:szCs w:val="17"/>
                <w:lang w:eastAsia="zh-TW"/>
              </w:rPr>
              <w:t>簡單風險權重方法及內部模式方法下的</w:t>
            </w:r>
            <w:r w:rsidRPr="00EB1E72">
              <w:rPr>
                <w:rFonts w:ascii="Calibri" w:eastAsia="細明體" w:hAnsi="Calibri" w:cs="Segoe UI"/>
                <w:kern w:val="2"/>
                <w:sz w:val="17"/>
                <w:szCs w:val="17"/>
                <w:lang w:val="en-US" w:eastAsia="zh-TW"/>
              </w:rPr>
              <w:t>銀行帳內</w:t>
            </w:r>
            <w:r w:rsidRPr="00EB1E72">
              <w:rPr>
                <w:rFonts w:ascii="Calibri" w:eastAsia="細明體" w:hAnsi="Calibri" w:cs="Segoe UI"/>
                <w:sz w:val="17"/>
                <w:szCs w:val="17"/>
                <w:lang w:eastAsia="zh-TW"/>
              </w:rPr>
              <w:t>股權</w:t>
            </w:r>
            <w:r w:rsidRPr="00EB1E72">
              <w:rPr>
                <w:rFonts w:ascii="Calibri" w:eastAsia="新細明體" w:hAnsi="Calibri" w:cs="Segoe UI"/>
                <w:iCs/>
                <w:color w:val="000000"/>
                <w:sz w:val="17"/>
                <w:szCs w:val="17"/>
                <w:lang w:val="en-US" w:eastAsia="zh-TW"/>
              </w:rPr>
              <w:t>狀況</w:t>
            </w:r>
          </w:p>
        </w:tc>
        <w:tc>
          <w:tcPr>
            <w:tcW w:w="921" w:type="dxa"/>
            <w:tcBorders>
              <w:top w:val="single" w:sz="4" w:space="0" w:color="BFBFBF"/>
              <w:left w:val="single" w:sz="4" w:space="0" w:color="auto"/>
              <w:bottom w:val="single" w:sz="4" w:space="0" w:color="BFBFBF"/>
              <w:right w:val="single" w:sz="4" w:space="0" w:color="auto"/>
            </w:tcBorders>
            <w:shd w:val="clear" w:color="auto" w:fill="D9D9D9"/>
          </w:tcPr>
          <w:p w14:paraId="3F9C5099" w14:textId="1D60414B" w:rsidR="00EB1E72" w:rsidRPr="00EB1E72" w:rsidRDefault="002E57CE" w:rsidP="00EB1E72">
            <w:pPr>
              <w:keepLines/>
              <w:widowControl w:val="0"/>
              <w:tabs>
                <w:tab w:val="left" w:pos="397"/>
                <w:tab w:val="left" w:pos="794"/>
                <w:tab w:val="left" w:pos="1191"/>
              </w:tabs>
              <w:snapToGrid w:val="0"/>
              <w:spacing w:before="20" w:after="20" w:line="259" w:lineRule="auto"/>
              <w:jc w:val="center"/>
              <w:rPr>
                <w:rFonts w:ascii="Calibri" w:eastAsia="新細明體" w:hAnsi="Calibri" w:cs="Segoe UI"/>
                <w:sz w:val="17"/>
                <w:szCs w:val="17"/>
                <w:lang w:eastAsia="zh-TW"/>
              </w:rPr>
            </w:pPr>
            <w:r>
              <w:rPr>
                <w:rFonts w:ascii="Calibri" w:eastAsia="新細明體" w:hAnsi="Calibri" w:cs="Segoe UI"/>
                <w:sz w:val="17"/>
                <w:szCs w:val="17"/>
                <w:lang w:eastAsia="zh-HK"/>
              </w:rPr>
              <w:t>N</w:t>
            </w:r>
            <w:r w:rsidR="00EB1E72" w:rsidRPr="00EB1E72">
              <w:rPr>
                <w:rFonts w:ascii="Calibri" w:eastAsia="新細明體" w:hAnsi="Calibri" w:cs="Segoe UI"/>
                <w:sz w:val="17"/>
                <w:szCs w:val="17"/>
                <w:lang w:eastAsia="zh-HK"/>
              </w:rPr>
              <w:t>/A</w:t>
            </w:r>
          </w:p>
        </w:tc>
        <w:tc>
          <w:tcPr>
            <w:tcW w:w="922" w:type="dxa"/>
            <w:tcBorders>
              <w:top w:val="single" w:sz="4" w:space="0" w:color="BFBFBF"/>
              <w:left w:val="single" w:sz="4" w:space="0" w:color="auto"/>
              <w:bottom w:val="single" w:sz="4" w:space="0" w:color="BFBFBF"/>
              <w:right w:val="single" w:sz="4" w:space="0" w:color="auto"/>
            </w:tcBorders>
            <w:shd w:val="clear" w:color="auto" w:fill="D9D9D9"/>
          </w:tcPr>
          <w:p w14:paraId="6ACCDDDD" w14:textId="0C6DB8FF" w:rsidR="00EB1E72" w:rsidRPr="00EB1E72" w:rsidRDefault="002E57CE" w:rsidP="00EB1E72">
            <w:pPr>
              <w:keepLines/>
              <w:widowControl w:val="0"/>
              <w:tabs>
                <w:tab w:val="left" w:pos="397"/>
                <w:tab w:val="left" w:pos="794"/>
                <w:tab w:val="left" w:pos="1191"/>
              </w:tabs>
              <w:snapToGrid w:val="0"/>
              <w:spacing w:before="20" w:after="20" w:line="259" w:lineRule="auto"/>
              <w:jc w:val="center"/>
              <w:rPr>
                <w:rFonts w:ascii="Calibri" w:eastAsia="新細明體" w:hAnsi="Calibri" w:cs="Segoe UI"/>
                <w:sz w:val="17"/>
                <w:szCs w:val="17"/>
                <w:lang w:eastAsia="zh-TW"/>
              </w:rPr>
            </w:pPr>
            <w:r>
              <w:rPr>
                <w:rFonts w:ascii="Calibri" w:eastAsia="新細明體" w:hAnsi="Calibri" w:cs="Segoe UI"/>
                <w:sz w:val="17"/>
                <w:szCs w:val="17"/>
                <w:lang w:eastAsia="zh-HK"/>
              </w:rPr>
              <w:t>N</w:t>
            </w:r>
            <w:r w:rsidR="00EB1E72" w:rsidRPr="00EB1E72">
              <w:rPr>
                <w:rFonts w:ascii="Calibri" w:eastAsia="新細明體" w:hAnsi="Calibri" w:cs="Segoe UI"/>
                <w:sz w:val="17"/>
                <w:szCs w:val="17"/>
                <w:lang w:eastAsia="zh-HK"/>
              </w:rPr>
              <w:t>/A</w:t>
            </w: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506850C9" w14:textId="231B9D26" w:rsidR="00EB1E72" w:rsidRPr="00EB1E72" w:rsidRDefault="002E57CE" w:rsidP="00EB1E72">
            <w:pPr>
              <w:keepLines/>
              <w:widowControl w:val="0"/>
              <w:tabs>
                <w:tab w:val="left" w:pos="397"/>
                <w:tab w:val="left" w:pos="794"/>
                <w:tab w:val="left" w:pos="1191"/>
              </w:tabs>
              <w:snapToGrid w:val="0"/>
              <w:spacing w:before="20" w:after="20" w:line="259" w:lineRule="auto"/>
              <w:jc w:val="center"/>
              <w:rPr>
                <w:rFonts w:ascii="Calibri" w:eastAsia="新細明體" w:hAnsi="Calibri" w:cs="Segoe UI"/>
                <w:sz w:val="17"/>
                <w:szCs w:val="17"/>
                <w:lang w:eastAsia="zh-TW"/>
              </w:rPr>
            </w:pPr>
            <w:r>
              <w:rPr>
                <w:rFonts w:ascii="Calibri" w:eastAsia="新細明體" w:hAnsi="Calibri" w:cs="Segoe UI"/>
                <w:sz w:val="17"/>
                <w:szCs w:val="17"/>
                <w:lang w:eastAsia="zh-HK"/>
              </w:rPr>
              <w:t>N</w:t>
            </w:r>
            <w:r w:rsidR="00EB1E72" w:rsidRPr="00EB1E72">
              <w:rPr>
                <w:rFonts w:ascii="Calibri" w:eastAsia="新細明體" w:hAnsi="Calibri" w:cs="Segoe UI"/>
                <w:sz w:val="17"/>
                <w:szCs w:val="17"/>
                <w:lang w:eastAsia="zh-HK"/>
              </w:rPr>
              <w:t>/A</w:t>
            </w:r>
          </w:p>
        </w:tc>
      </w:tr>
      <w:tr w:rsidR="00EB1E72" w:rsidRPr="00EB1E72" w14:paraId="166291F6" w14:textId="77777777" w:rsidTr="00217BE5">
        <w:tc>
          <w:tcPr>
            <w:tcW w:w="567" w:type="dxa"/>
            <w:tcBorders>
              <w:top w:val="single" w:sz="4" w:space="0" w:color="BCBDBC"/>
              <w:left w:val="nil"/>
              <w:bottom w:val="single" w:sz="4" w:space="0" w:color="BCBDBC"/>
              <w:right w:val="single" w:sz="4" w:space="0" w:color="auto"/>
            </w:tcBorders>
          </w:tcPr>
          <w:p w14:paraId="2E20C22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12</w:t>
            </w:r>
          </w:p>
        </w:tc>
        <w:tc>
          <w:tcPr>
            <w:tcW w:w="5245" w:type="dxa"/>
            <w:tcBorders>
              <w:top w:val="single" w:sz="4" w:space="0" w:color="BCBDBC"/>
              <w:left w:val="single" w:sz="4" w:space="0" w:color="auto"/>
              <w:bottom w:val="single" w:sz="4" w:space="0" w:color="BCBDBC"/>
              <w:right w:val="single" w:sz="4" w:space="0" w:color="auto"/>
            </w:tcBorders>
          </w:tcPr>
          <w:p w14:paraId="39C4FB9B" w14:textId="237E9BB8"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細明體" w:hAnsi="Calibri" w:cs="Segoe UI"/>
                <w:sz w:val="17"/>
                <w:szCs w:val="17"/>
                <w:lang w:eastAsia="zh-TW"/>
              </w:rPr>
              <w:t>集體投資計劃</w:t>
            </w:r>
            <w:r w:rsidRPr="00EB1E72">
              <w:rPr>
                <w:rFonts w:ascii="Calibri" w:eastAsia="新細明體" w:hAnsi="Calibri" w:cs="Segoe UI"/>
                <w:sz w:val="17"/>
                <w:szCs w:val="17"/>
                <w:lang w:eastAsia="zh-TW"/>
              </w:rPr>
              <w:t>（</w:t>
            </w:r>
            <w:r w:rsidRPr="00EB1E72">
              <w:rPr>
                <w:rFonts w:ascii="Calibri" w:eastAsia="新細明體" w:hAnsi="Calibri" w:cs="Segoe UI" w:hint="eastAsia"/>
                <w:sz w:val="17"/>
                <w:szCs w:val="17"/>
                <w:lang w:eastAsia="zh-TW"/>
              </w:rPr>
              <w:t>CIS</w:t>
            </w:r>
            <w:r w:rsidRPr="00EB1E72">
              <w:rPr>
                <w:rFonts w:ascii="Calibri" w:eastAsia="新細明體" w:hAnsi="Calibri" w:cs="Segoe UI"/>
                <w:sz w:val="17"/>
                <w:szCs w:val="17"/>
                <w:lang w:eastAsia="zh-TW"/>
              </w:rPr>
              <w:t>）</w:t>
            </w:r>
            <w:r w:rsidRPr="00EB1E72">
              <w:rPr>
                <w:rFonts w:ascii="Calibri" w:eastAsia="細明體" w:hAnsi="Calibri" w:cs="Segoe UI"/>
                <w:sz w:val="17"/>
                <w:szCs w:val="17"/>
                <w:lang w:eastAsia="zh-TW"/>
              </w:rPr>
              <w:t>風險承擔</w:t>
            </w:r>
            <w:proofErr w:type="gramStart"/>
            <w:r w:rsidRPr="00EB1E72">
              <w:rPr>
                <w:rFonts w:ascii="細明體" w:eastAsia="細明體" w:hAnsi="細明體" w:cs="細明體" w:hint="eastAsia"/>
                <w:sz w:val="17"/>
                <w:szCs w:val="17"/>
                <w:lang w:eastAsia="zh-TW"/>
              </w:rPr>
              <w:t>──</w:t>
            </w:r>
            <w:proofErr w:type="gramEnd"/>
            <w:r w:rsidRPr="00EB1E72">
              <w:rPr>
                <w:rFonts w:ascii="Calibri" w:eastAsia="新細明體" w:hAnsi="Calibri" w:cs="Segoe UI" w:hint="eastAsia"/>
                <w:sz w:val="17"/>
                <w:szCs w:val="17"/>
                <w:lang w:eastAsia="zh-TW"/>
              </w:rPr>
              <w:t>透視計算法／</w:t>
            </w:r>
            <w:r w:rsidRPr="00EB1E72">
              <w:rPr>
                <w:rFonts w:ascii="Calibri" w:eastAsia="新細明體" w:hAnsi="Calibri" w:cs="Segoe UI"/>
                <w:sz w:val="17"/>
                <w:szCs w:val="17"/>
                <w:lang w:eastAsia="zh-TW"/>
              </w:rPr>
              <w:t>第三方計算法</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54F52DF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5CF05F1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C7C44A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5AE5A3B0" w14:textId="77777777" w:rsidTr="00217BE5">
        <w:tc>
          <w:tcPr>
            <w:tcW w:w="567" w:type="dxa"/>
            <w:tcBorders>
              <w:top w:val="single" w:sz="4" w:space="0" w:color="BCBDBC"/>
              <w:left w:val="nil"/>
              <w:bottom w:val="single" w:sz="4" w:space="0" w:color="BCBDBC"/>
              <w:right w:val="single" w:sz="4" w:space="0" w:color="auto"/>
            </w:tcBorders>
          </w:tcPr>
          <w:p w14:paraId="5E86554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13</w:t>
            </w:r>
          </w:p>
        </w:tc>
        <w:tc>
          <w:tcPr>
            <w:tcW w:w="5245" w:type="dxa"/>
            <w:tcBorders>
              <w:top w:val="single" w:sz="4" w:space="0" w:color="BCBDBC"/>
              <w:left w:val="single" w:sz="4" w:space="0" w:color="auto"/>
              <w:bottom w:val="single" w:sz="4" w:space="0" w:color="BCBDBC"/>
              <w:right w:val="single" w:sz="4" w:space="0" w:color="auto"/>
            </w:tcBorders>
          </w:tcPr>
          <w:p w14:paraId="628310A9" w14:textId="15FDAB8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細明體" w:hAnsi="Calibri" w:cs="Segoe UI" w:hint="eastAsia"/>
                <w:sz w:val="17"/>
                <w:szCs w:val="17"/>
                <w:lang w:eastAsia="zh-TW"/>
              </w:rPr>
              <w:t>CIS</w:t>
            </w:r>
            <w:r w:rsidRPr="00EB1E72">
              <w:rPr>
                <w:rFonts w:ascii="Calibri" w:eastAsia="細明體" w:hAnsi="Calibri" w:cs="Segoe UI"/>
                <w:sz w:val="17"/>
                <w:szCs w:val="17"/>
                <w:lang w:eastAsia="zh-TW"/>
              </w:rPr>
              <w:t>風險承擔</w:t>
            </w:r>
            <w:r w:rsidRPr="00EB1E72">
              <w:rPr>
                <w:rFonts w:ascii="細明體" w:eastAsia="細明體" w:hAnsi="細明體" w:cs="細明體" w:hint="eastAsia"/>
                <w:sz w:val="17"/>
                <w:szCs w:val="17"/>
                <w:lang w:eastAsia="zh-TW"/>
              </w:rPr>
              <w:t>──</w:t>
            </w:r>
            <w:r w:rsidRPr="00EB1E72">
              <w:rPr>
                <w:rFonts w:ascii="Calibri" w:eastAsia="新細明體" w:hAnsi="Calibri" w:cs="Segoe UI" w:hint="eastAsia"/>
                <w:sz w:val="17"/>
                <w:szCs w:val="17"/>
                <w:lang w:eastAsia="zh-TW"/>
              </w:rPr>
              <w:t>授權基準計算法</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59230B3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3073404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076068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56B1F7E0" w14:textId="77777777" w:rsidTr="00217BE5">
        <w:tc>
          <w:tcPr>
            <w:tcW w:w="567" w:type="dxa"/>
            <w:tcBorders>
              <w:top w:val="single" w:sz="4" w:space="0" w:color="BCBDBC"/>
              <w:left w:val="nil"/>
              <w:bottom w:val="single" w:sz="4" w:space="0" w:color="BCBDBC"/>
              <w:right w:val="single" w:sz="4" w:space="0" w:color="auto"/>
            </w:tcBorders>
          </w:tcPr>
          <w:p w14:paraId="36C582A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en-GB"/>
              </w:rPr>
              <w:t>14</w:t>
            </w:r>
          </w:p>
        </w:tc>
        <w:tc>
          <w:tcPr>
            <w:tcW w:w="5245" w:type="dxa"/>
            <w:tcBorders>
              <w:top w:val="single" w:sz="4" w:space="0" w:color="BCBDBC"/>
              <w:left w:val="single" w:sz="4" w:space="0" w:color="auto"/>
              <w:bottom w:val="single" w:sz="4" w:space="0" w:color="BCBDBC"/>
              <w:right w:val="single" w:sz="4" w:space="0" w:color="auto"/>
            </w:tcBorders>
          </w:tcPr>
          <w:p w14:paraId="5233550E" w14:textId="7DDBC65C"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細明體" w:hAnsi="Calibri" w:cs="Segoe UI" w:hint="eastAsia"/>
                <w:sz w:val="17"/>
                <w:szCs w:val="17"/>
                <w:lang w:eastAsia="zh-TW"/>
              </w:rPr>
              <w:t>CIS</w:t>
            </w:r>
            <w:r w:rsidRPr="00EB1E72">
              <w:rPr>
                <w:rFonts w:ascii="Calibri" w:eastAsia="細明體" w:hAnsi="Calibri" w:cs="Segoe UI"/>
                <w:sz w:val="17"/>
                <w:szCs w:val="17"/>
                <w:lang w:eastAsia="zh-TW"/>
              </w:rPr>
              <w:t>風險承擔</w:t>
            </w:r>
            <w:r w:rsidRPr="00EB1E72">
              <w:rPr>
                <w:rFonts w:ascii="細明體" w:eastAsia="細明體" w:hAnsi="細明體" w:cs="細明體" w:hint="eastAsia"/>
                <w:sz w:val="17"/>
                <w:szCs w:val="17"/>
                <w:lang w:eastAsia="zh-TW"/>
              </w:rPr>
              <w:t>──</w:t>
            </w:r>
            <w:r w:rsidRPr="00EB1E72">
              <w:rPr>
                <w:rFonts w:ascii="Calibri" w:eastAsia="新細明體" w:hAnsi="Calibri" w:cs="Segoe UI" w:hint="eastAsia"/>
                <w:sz w:val="17"/>
                <w:szCs w:val="17"/>
                <w:lang w:eastAsia="zh-TW"/>
              </w:rPr>
              <w:t>備選方法</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1652DFF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0467C7F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C6E835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218F1FF1" w14:textId="77777777" w:rsidTr="00217BE5">
        <w:tc>
          <w:tcPr>
            <w:tcW w:w="567" w:type="dxa"/>
            <w:tcBorders>
              <w:top w:val="single" w:sz="4" w:space="0" w:color="BCBDBC"/>
              <w:left w:val="nil"/>
              <w:bottom w:val="single" w:sz="4" w:space="0" w:color="BCBDBC"/>
              <w:right w:val="single" w:sz="4" w:space="0" w:color="auto"/>
            </w:tcBorders>
          </w:tcPr>
          <w:p w14:paraId="047F209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14a</w:t>
            </w:r>
          </w:p>
        </w:tc>
        <w:tc>
          <w:tcPr>
            <w:tcW w:w="5245" w:type="dxa"/>
            <w:tcBorders>
              <w:top w:val="single" w:sz="4" w:space="0" w:color="BCBDBC"/>
              <w:left w:val="single" w:sz="4" w:space="0" w:color="auto"/>
              <w:bottom w:val="single" w:sz="4" w:space="0" w:color="BCBDBC"/>
              <w:right w:val="single" w:sz="4" w:space="0" w:color="auto"/>
            </w:tcBorders>
          </w:tcPr>
          <w:p w14:paraId="1C12475B" w14:textId="28381D9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細明體" w:hAnsi="Calibri" w:cs="Segoe UI" w:hint="eastAsia"/>
                <w:sz w:val="17"/>
                <w:szCs w:val="17"/>
                <w:lang w:eastAsia="zh-TW"/>
              </w:rPr>
              <w:t>CIS</w:t>
            </w:r>
            <w:r w:rsidRPr="00EB1E72">
              <w:rPr>
                <w:rFonts w:ascii="Calibri" w:eastAsia="細明體" w:hAnsi="Calibri" w:cs="Segoe UI"/>
                <w:sz w:val="17"/>
                <w:szCs w:val="17"/>
                <w:lang w:eastAsia="zh-TW"/>
              </w:rPr>
              <w:t>風險承擔</w:t>
            </w:r>
            <w:r w:rsidRPr="00EB1E72">
              <w:rPr>
                <w:rFonts w:ascii="細明體" w:eastAsia="細明體" w:hAnsi="細明體" w:cs="細明體" w:hint="eastAsia"/>
                <w:sz w:val="17"/>
                <w:szCs w:val="17"/>
                <w:lang w:eastAsia="zh-TW"/>
              </w:rPr>
              <w:t>──</w:t>
            </w:r>
            <w:r w:rsidRPr="00EB1E72">
              <w:rPr>
                <w:rFonts w:ascii="Calibri" w:eastAsia="細明體" w:hAnsi="Calibri" w:cs="Segoe UI"/>
                <w:sz w:val="17"/>
                <w:szCs w:val="17"/>
                <w:lang w:eastAsia="zh-TW"/>
              </w:rPr>
              <w:t>混合使用計算法</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0448234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5E7D737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DC389E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6AA26B81" w14:textId="77777777" w:rsidTr="00217BE5">
        <w:tc>
          <w:tcPr>
            <w:tcW w:w="567" w:type="dxa"/>
            <w:tcBorders>
              <w:top w:val="single" w:sz="4" w:space="0" w:color="BCBDBC"/>
              <w:left w:val="nil"/>
              <w:bottom w:val="single" w:sz="4" w:space="0" w:color="BCBDBC"/>
              <w:right w:val="single" w:sz="4" w:space="0" w:color="auto"/>
            </w:tcBorders>
          </w:tcPr>
          <w:p w14:paraId="0AC9280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en-GB"/>
              </w:rPr>
              <w:t>1</w:t>
            </w:r>
            <w:r w:rsidRPr="00EB1E72">
              <w:rPr>
                <w:rFonts w:ascii="Calibri" w:eastAsia="新細明體" w:hAnsi="Calibri" w:cs="Segoe UI"/>
                <w:sz w:val="17"/>
                <w:szCs w:val="17"/>
                <w:lang w:eastAsia="zh-TW"/>
              </w:rPr>
              <w:t>5</w:t>
            </w:r>
          </w:p>
        </w:tc>
        <w:tc>
          <w:tcPr>
            <w:tcW w:w="5245" w:type="dxa"/>
            <w:tcBorders>
              <w:top w:val="single" w:sz="4" w:space="0" w:color="BCBDBC"/>
              <w:left w:val="single" w:sz="4" w:space="0" w:color="auto"/>
              <w:bottom w:val="single" w:sz="4" w:space="0" w:color="BCBDBC"/>
              <w:right w:val="single" w:sz="4" w:space="0" w:color="auto"/>
            </w:tcBorders>
          </w:tcPr>
          <w:p w14:paraId="62119FA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noProof/>
                <w:sz w:val="17"/>
                <w:szCs w:val="17"/>
                <w:lang w:eastAsia="en-GB"/>
              </w:rPr>
            </w:pPr>
            <w:proofErr w:type="gramStart"/>
            <w:r w:rsidRPr="00EB1E72">
              <w:rPr>
                <w:rFonts w:ascii="Calibri" w:eastAsia="新細明體" w:hAnsi="Calibri" w:cs="Segoe UI"/>
                <w:sz w:val="17"/>
                <w:szCs w:val="17"/>
                <w:lang w:eastAsia="zh-TW"/>
              </w:rPr>
              <w:t>交收風險</w:t>
            </w:r>
            <w:proofErr w:type="gramEnd"/>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5927E22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6A1CBDE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BAD18E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44219FFB" w14:textId="77777777" w:rsidTr="00217BE5">
        <w:tc>
          <w:tcPr>
            <w:tcW w:w="567" w:type="dxa"/>
            <w:tcBorders>
              <w:left w:val="nil"/>
              <w:right w:val="single" w:sz="4" w:space="0" w:color="auto"/>
            </w:tcBorders>
          </w:tcPr>
          <w:p w14:paraId="7403163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en-GB"/>
              </w:rPr>
              <w:t>1</w:t>
            </w:r>
            <w:r w:rsidRPr="00EB1E72">
              <w:rPr>
                <w:rFonts w:ascii="Calibri" w:eastAsia="新細明體" w:hAnsi="Calibri" w:cs="Segoe UI"/>
                <w:sz w:val="17"/>
                <w:szCs w:val="17"/>
                <w:lang w:eastAsia="zh-TW"/>
              </w:rPr>
              <w:t>6</w:t>
            </w:r>
          </w:p>
        </w:tc>
        <w:tc>
          <w:tcPr>
            <w:tcW w:w="5245" w:type="dxa"/>
            <w:tcBorders>
              <w:left w:val="single" w:sz="4" w:space="0" w:color="auto"/>
              <w:right w:val="single" w:sz="4" w:space="0" w:color="auto"/>
            </w:tcBorders>
          </w:tcPr>
          <w:p w14:paraId="3579355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noProof/>
                <w:sz w:val="17"/>
                <w:szCs w:val="17"/>
                <w:lang w:eastAsia="zh-TW"/>
              </w:rPr>
            </w:pPr>
            <w:r w:rsidRPr="00EB1E72">
              <w:rPr>
                <w:rFonts w:ascii="Calibri" w:eastAsia="新細明體" w:hAnsi="Calibri" w:cs="Segoe UI"/>
                <w:sz w:val="17"/>
                <w:szCs w:val="17"/>
                <w:lang w:eastAsia="zh-TW"/>
              </w:rPr>
              <w:t>銀行帳內的證券化類別風險承擔</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05FF5AB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3048D73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575D2B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66E7A088" w14:textId="77777777" w:rsidTr="00217BE5">
        <w:tc>
          <w:tcPr>
            <w:tcW w:w="567" w:type="dxa"/>
            <w:tcBorders>
              <w:left w:val="nil"/>
              <w:right w:val="single" w:sz="4" w:space="0" w:color="auto"/>
            </w:tcBorders>
          </w:tcPr>
          <w:p w14:paraId="5903306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en-GB"/>
              </w:rPr>
              <w:t>1</w:t>
            </w:r>
            <w:r w:rsidRPr="00EB1E72">
              <w:rPr>
                <w:rFonts w:ascii="Calibri" w:eastAsia="新細明體" w:hAnsi="Calibri" w:cs="Segoe UI"/>
                <w:sz w:val="17"/>
                <w:szCs w:val="17"/>
                <w:lang w:eastAsia="zh-TW"/>
              </w:rPr>
              <w:t>7</w:t>
            </w:r>
          </w:p>
        </w:tc>
        <w:tc>
          <w:tcPr>
            <w:tcW w:w="5245" w:type="dxa"/>
            <w:tcBorders>
              <w:left w:val="single" w:sz="4" w:space="0" w:color="auto"/>
              <w:right w:val="single" w:sz="4" w:space="0" w:color="auto"/>
            </w:tcBorders>
          </w:tcPr>
          <w:p w14:paraId="6A65DA67"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SEC-IRBA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078979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0D5BF3C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BA3685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34039FAF" w14:textId="77777777" w:rsidTr="00217BE5">
        <w:tc>
          <w:tcPr>
            <w:tcW w:w="567" w:type="dxa"/>
            <w:tcBorders>
              <w:left w:val="nil"/>
              <w:right w:val="single" w:sz="4" w:space="0" w:color="auto"/>
            </w:tcBorders>
          </w:tcPr>
          <w:p w14:paraId="5F067F0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en-GB"/>
              </w:rPr>
              <w:t>1</w:t>
            </w:r>
            <w:r w:rsidRPr="00EB1E72">
              <w:rPr>
                <w:rFonts w:ascii="Calibri" w:eastAsia="新細明體" w:hAnsi="Calibri" w:cs="Segoe UI"/>
                <w:sz w:val="17"/>
                <w:szCs w:val="17"/>
                <w:lang w:eastAsia="zh-TW"/>
              </w:rPr>
              <w:t>8</w:t>
            </w:r>
          </w:p>
        </w:tc>
        <w:tc>
          <w:tcPr>
            <w:tcW w:w="5245" w:type="dxa"/>
            <w:tcBorders>
              <w:left w:val="single" w:sz="4" w:space="0" w:color="auto"/>
              <w:right w:val="single" w:sz="4" w:space="0" w:color="auto"/>
            </w:tcBorders>
          </w:tcPr>
          <w:p w14:paraId="174553BE"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SEC-ERBA</w:t>
            </w:r>
            <w:r w:rsidRPr="00EB1E72">
              <w:rPr>
                <w:rFonts w:ascii="Calibri" w:eastAsia="新細明體" w:hAnsi="Calibri" w:cs="Segoe UI"/>
                <w:sz w:val="17"/>
                <w:szCs w:val="17"/>
                <w:lang w:eastAsia="zh-TW"/>
              </w:rPr>
              <w:t>（</w:t>
            </w:r>
            <w:r w:rsidRPr="00EB1E72">
              <w:rPr>
                <w:rFonts w:ascii="Calibri" w:eastAsia="新細明體" w:hAnsi="Calibri" w:cs="Segoe UI" w:hint="eastAsia"/>
                <w:sz w:val="17"/>
                <w:szCs w:val="17"/>
                <w:lang w:eastAsia="zh-TW"/>
              </w:rPr>
              <w:t>包括</w:t>
            </w:r>
            <w:r w:rsidRPr="00EB1E72">
              <w:rPr>
                <w:rFonts w:ascii="Calibri" w:eastAsia="新細明體" w:hAnsi="Calibri" w:cs="Segoe UI" w:hint="eastAsia"/>
                <w:sz w:val="17"/>
                <w:szCs w:val="17"/>
                <w:lang w:eastAsia="zh-TW"/>
              </w:rPr>
              <w:t>IAA</w:t>
            </w:r>
            <w:r w:rsidRPr="00EB1E72">
              <w:rPr>
                <w:rFonts w:ascii="Calibri" w:eastAsia="新細明體" w:hAnsi="Calibri" w:cs="Segoe UI"/>
                <w:sz w:val="17"/>
                <w:szCs w:val="17"/>
                <w:lang w:eastAsia="zh-TW"/>
              </w:rPr>
              <w:t>）</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9AA6C1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A00FCC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2ED488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3B0FD644" w14:textId="77777777" w:rsidTr="00217BE5">
        <w:tc>
          <w:tcPr>
            <w:tcW w:w="567" w:type="dxa"/>
            <w:tcBorders>
              <w:left w:val="nil"/>
              <w:right w:val="single" w:sz="4" w:space="0" w:color="auto"/>
            </w:tcBorders>
          </w:tcPr>
          <w:p w14:paraId="0A11CB1A"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en-GB"/>
              </w:rPr>
              <w:t>1</w:t>
            </w:r>
            <w:r w:rsidRPr="00EB1E72">
              <w:rPr>
                <w:rFonts w:ascii="Calibri" w:eastAsia="新細明體" w:hAnsi="Calibri" w:cs="Segoe UI"/>
                <w:sz w:val="17"/>
                <w:szCs w:val="17"/>
                <w:lang w:eastAsia="zh-TW"/>
              </w:rPr>
              <w:t>9</w:t>
            </w:r>
          </w:p>
        </w:tc>
        <w:tc>
          <w:tcPr>
            <w:tcW w:w="5245" w:type="dxa"/>
            <w:tcBorders>
              <w:left w:val="single" w:sz="4" w:space="0" w:color="auto"/>
              <w:right w:val="single" w:sz="4" w:space="0" w:color="auto"/>
            </w:tcBorders>
          </w:tcPr>
          <w:p w14:paraId="67A965B5"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SEC-SA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68AFB29C"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3763ED0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F89F88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349557C4" w14:textId="77777777" w:rsidTr="00217BE5">
        <w:tc>
          <w:tcPr>
            <w:tcW w:w="567" w:type="dxa"/>
            <w:tcBorders>
              <w:left w:val="nil"/>
              <w:right w:val="single" w:sz="4" w:space="0" w:color="auto"/>
            </w:tcBorders>
          </w:tcPr>
          <w:p w14:paraId="699BC14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19a</w:t>
            </w:r>
          </w:p>
        </w:tc>
        <w:tc>
          <w:tcPr>
            <w:tcW w:w="5245" w:type="dxa"/>
            <w:tcBorders>
              <w:left w:val="single" w:sz="4" w:space="0" w:color="auto"/>
              <w:right w:val="single" w:sz="4" w:space="0" w:color="auto"/>
            </w:tcBorders>
          </w:tcPr>
          <w:p w14:paraId="17527AB7"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SEC-FBA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23A819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98B5AA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2215A6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390A60AB" w14:textId="77777777" w:rsidTr="00217BE5">
        <w:tc>
          <w:tcPr>
            <w:tcW w:w="567" w:type="dxa"/>
            <w:tcBorders>
              <w:left w:val="nil"/>
              <w:right w:val="single" w:sz="4" w:space="0" w:color="auto"/>
            </w:tcBorders>
          </w:tcPr>
          <w:p w14:paraId="6054BED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20</w:t>
            </w:r>
          </w:p>
        </w:tc>
        <w:tc>
          <w:tcPr>
            <w:tcW w:w="5245" w:type="dxa"/>
            <w:tcBorders>
              <w:left w:val="single" w:sz="4" w:space="0" w:color="auto"/>
              <w:right w:val="single" w:sz="4" w:space="0" w:color="auto"/>
            </w:tcBorders>
          </w:tcPr>
          <w:p w14:paraId="2E2A004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noProof/>
                <w:sz w:val="17"/>
                <w:szCs w:val="17"/>
                <w:lang w:eastAsia="en-GB"/>
              </w:rPr>
            </w:pPr>
            <w:r w:rsidRPr="00EB1E72">
              <w:rPr>
                <w:rFonts w:ascii="Calibri" w:eastAsia="新細明體" w:hAnsi="Calibri" w:cs="Segoe UI"/>
                <w:sz w:val="17"/>
                <w:szCs w:val="17"/>
                <w:lang w:eastAsia="zh-TW"/>
              </w:rPr>
              <w:t>市場風險</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1C59197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1324E6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1F7C34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12EFF528" w14:textId="77777777" w:rsidTr="00217BE5">
        <w:tc>
          <w:tcPr>
            <w:tcW w:w="567" w:type="dxa"/>
            <w:tcBorders>
              <w:left w:val="nil"/>
              <w:right w:val="single" w:sz="4" w:space="0" w:color="auto"/>
            </w:tcBorders>
          </w:tcPr>
          <w:p w14:paraId="5E2B419B"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21</w:t>
            </w:r>
          </w:p>
        </w:tc>
        <w:tc>
          <w:tcPr>
            <w:tcW w:w="5245" w:type="dxa"/>
            <w:tcBorders>
              <w:left w:val="single" w:sz="4" w:space="0" w:color="auto"/>
              <w:right w:val="single" w:sz="4" w:space="0" w:color="auto"/>
            </w:tcBorders>
          </w:tcPr>
          <w:p w14:paraId="3C80CE12"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sz w:val="17"/>
                <w:szCs w:val="17"/>
                <w:lang w:eastAsia="zh-TW"/>
              </w:rPr>
              <w:t>STM</w:t>
            </w:r>
            <w:r w:rsidRPr="00EB1E72">
              <w:rPr>
                <w:rFonts w:ascii="Calibri" w:eastAsia="新細明體" w:hAnsi="Calibri" w:cs="Segoe UI"/>
                <w:sz w:val="17"/>
                <w:szCs w:val="17"/>
                <w:lang w:eastAsia="zh-TW"/>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346E5E8F"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092E5B8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2794F9C"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498F39CB" w14:textId="77777777" w:rsidTr="00217BE5">
        <w:tc>
          <w:tcPr>
            <w:tcW w:w="567" w:type="dxa"/>
            <w:tcBorders>
              <w:left w:val="nil"/>
              <w:right w:val="single" w:sz="4" w:space="0" w:color="auto"/>
            </w:tcBorders>
          </w:tcPr>
          <w:p w14:paraId="1A9CBF1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22</w:t>
            </w:r>
          </w:p>
        </w:tc>
        <w:tc>
          <w:tcPr>
            <w:tcW w:w="5245" w:type="dxa"/>
            <w:tcBorders>
              <w:left w:val="single" w:sz="4" w:space="0" w:color="auto"/>
              <w:right w:val="single" w:sz="4" w:space="0" w:color="auto"/>
            </w:tcBorders>
          </w:tcPr>
          <w:p w14:paraId="0A5AF095" w14:textId="5F0BFBEE" w:rsidR="00EB1E72" w:rsidRPr="00EB1E72" w:rsidRDefault="00EB1E72" w:rsidP="00734EB3">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新細明體" w:hAnsi="Calibri" w:cs="Segoe UI" w:hint="eastAsia"/>
                <w:sz w:val="17"/>
                <w:szCs w:val="17"/>
                <w:lang w:eastAsia="zh-TW"/>
              </w:rPr>
              <w:t>IMA</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5DCC2BD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7CBABB4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2AFB3B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58F61CB8" w14:textId="77777777" w:rsidTr="00217BE5">
        <w:tc>
          <w:tcPr>
            <w:tcW w:w="567" w:type="dxa"/>
            <w:tcBorders>
              <w:left w:val="nil"/>
              <w:right w:val="single" w:sz="4" w:space="0" w:color="auto"/>
            </w:tcBorders>
          </w:tcPr>
          <w:p w14:paraId="16A8FC5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22a</w:t>
            </w:r>
          </w:p>
        </w:tc>
        <w:tc>
          <w:tcPr>
            <w:tcW w:w="5245" w:type="dxa"/>
            <w:tcBorders>
              <w:left w:val="single" w:sz="4" w:space="0" w:color="auto"/>
              <w:right w:val="single" w:sz="4" w:space="0" w:color="auto"/>
            </w:tcBorders>
          </w:tcPr>
          <w:p w14:paraId="6BE43B30"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HK"/>
              </w:rPr>
              <w:t>其中</w:t>
            </w:r>
            <w:r w:rsidRPr="00EB1E72">
              <w:rPr>
                <w:rFonts w:ascii="Calibri" w:eastAsia="新細明體" w:hAnsi="Calibri" w:cs="Segoe UI"/>
                <w:sz w:val="17"/>
                <w:szCs w:val="17"/>
                <w:lang w:eastAsia="zh-HK"/>
              </w:rPr>
              <w:t>SSTM</w:t>
            </w:r>
            <w:r w:rsidRPr="00EB1E72">
              <w:rPr>
                <w:rFonts w:ascii="Calibri" w:eastAsia="新細明體" w:hAnsi="Calibri" w:cs="Segoe UI" w:hint="eastAsia"/>
                <w:sz w:val="17"/>
                <w:szCs w:val="17"/>
                <w:lang w:eastAsia="zh-HK"/>
              </w:rPr>
              <w:t>計算法</w:t>
            </w:r>
          </w:p>
        </w:tc>
        <w:tc>
          <w:tcPr>
            <w:tcW w:w="921" w:type="dxa"/>
            <w:tcBorders>
              <w:top w:val="single" w:sz="4" w:space="0" w:color="BFBFBF"/>
              <w:left w:val="single" w:sz="4" w:space="0" w:color="auto"/>
              <w:bottom w:val="single" w:sz="4" w:space="0" w:color="BFBFBF"/>
              <w:right w:val="single" w:sz="4" w:space="0" w:color="auto"/>
            </w:tcBorders>
            <w:shd w:val="clear" w:color="auto" w:fill="FFFFFF"/>
          </w:tcPr>
          <w:p w14:paraId="2DBF8E2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28BC853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34E96A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1C572B88" w14:textId="77777777" w:rsidTr="00217BE5">
        <w:tc>
          <w:tcPr>
            <w:tcW w:w="567" w:type="dxa"/>
            <w:tcBorders>
              <w:left w:val="nil"/>
              <w:right w:val="single" w:sz="4" w:space="0" w:color="auto"/>
            </w:tcBorders>
          </w:tcPr>
          <w:p w14:paraId="74B8A472"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23</w:t>
            </w:r>
          </w:p>
        </w:tc>
        <w:tc>
          <w:tcPr>
            <w:tcW w:w="5245" w:type="dxa"/>
            <w:tcBorders>
              <w:left w:val="single" w:sz="4" w:space="0" w:color="auto"/>
              <w:right w:val="single" w:sz="4" w:space="0" w:color="auto"/>
            </w:tcBorders>
          </w:tcPr>
          <w:p w14:paraId="6A898EF1" w14:textId="4BF6C491" w:rsidR="00EB1E72" w:rsidRPr="00EB1E72" w:rsidRDefault="000107CE" w:rsidP="00CA79D3">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val="en-US" w:eastAsia="zh-TW"/>
              </w:rPr>
            </w:pPr>
            <w:r w:rsidRPr="000107CE">
              <w:rPr>
                <w:rFonts w:ascii="Calibri" w:eastAsia="新細明體" w:hAnsi="Calibri" w:cs="Segoe UI" w:hint="eastAsia"/>
                <w:sz w:val="17"/>
                <w:szCs w:val="17"/>
                <w:lang w:eastAsia="zh-TW"/>
              </w:rPr>
              <w:t>在</w:t>
            </w:r>
            <w:r w:rsidR="00EB1E72" w:rsidRPr="00EB1E72">
              <w:rPr>
                <w:rFonts w:ascii="Calibri" w:eastAsia="新細明體" w:hAnsi="Calibri" w:cs="Segoe UI"/>
                <w:sz w:val="17"/>
                <w:szCs w:val="17"/>
                <w:lang w:eastAsia="zh-TW"/>
              </w:rPr>
              <w:t>交易帳與銀行帳之間</w:t>
            </w:r>
            <w:r w:rsidR="00EB1E72" w:rsidRPr="00EB1E72">
              <w:rPr>
                <w:rFonts w:ascii="Calibri" w:eastAsia="新細明體" w:hAnsi="Calibri" w:cs="Segoe UI" w:hint="eastAsia"/>
                <w:sz w:val="17"/>
                <w:szCs w:val="17"/>
                <w:lang w:eastAsia="zh-TW"/>
              </w:rPr>
              <w:t>調動</w:t>
            </w:r>
            <w:r w:rsidR="00EB1E72" w:rsidRPr="00EB1E72">
              <w:rPr>
                <w:rFonts w:ascii="Calibri" w:eastAsia="新細明體" w:hAnsi="Calibri" w:cs="Segoe UI"/>
                <w:sz w:val="17"/>
                <w:szCs w:val="17"/>
                <w:lang w:eastAsia="zh-TW"/>
              </w:rPr>
              <w:t>風險承擔的資本要求</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3A3D9230"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sz w:val="17"/>
                <w:szCs w:val="22"/>
                <w:lang w:val="en-US" w:eastAsia="zh-TW"/>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671DFEB9"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sz w:val="17"/>
                <w:szCs w:val="22"/>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4C1DD65"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sz w:val="17"/>
                <w:szCs w:val="22"/>
                <w:lang w:eastAsia="zh-TW"/>
              </w:rPr>
            </w:pPr>
          </w:p>
        </w:tc>
      </w:tr>
      <w:tr w:rsidR="00EB1E72" w:rsidRPr="00EB1E72" w14:paraId="035EDCEF" w14:textId="77777777" w:rsidTr="00217BE5">
        <w:tc>
          <w:tcPr>
            <w:tcW w:w="567" w:type="dxa"/>
            <w:tcBorders>
              <w:left w:val="nil"/>
              <w:right w:val="single" w:sz="4" w:space="0" w:color="auto"/>
            </w:tcBorders>
          </w:tcPr>
          <w:p w14:paraId="572DD0F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24</w:t>
            </w:r>
          </w:p>
        </w:tc>
        <w:tc>
          <w:tcPr>
            <w:tcW w:w="5245" w:type="dxa"/>
            <w:tcBorders>
              <w:left w:val="single" w:sz="4" w:space="0" w:color="auto"/>
              <w:right w:val="single" w:sz="4" w:space="0" w:color="auto"/>
            </w:tcBorders>
          </w:tcPr>
          <w:p w14:paraId="13B6049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noProof/>
                <w:sz w:val="17"/>
                <w:szCs w:val="17"/>
                <w:lang w:eastAsia="en-GB"/>
              </w:rPr>
            </w:pPr>
            <w:r w:rsidRPr="00EB1E72">
              <w:rPr>
                <w:rFonts w:ascii="Calibri" w:eastAsia="新細明體" w:hAnsi="Calibri" w:cs="Segoe UI"/>
                <w:sz w:val="17"/>
                <w:szCs w:val="17"/>
                <w:lang w:eastAsia="zh-TW"/>
              </w:rPr>
              <w:t>業務操作風險</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48DB20E5"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1989DDB1"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90A8360"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cs="Segoe UI"/>
                <w:sz w:val="17"/>
                <w:szCs w:val="17"/>
                <w:lang w:eastAsia="en-GB"/>
              </w:rPr>
            </w:pPr>
          </w:p>
        </w:tc>
      </w:tr>
      <w:tr w:rsidR="00EB1E72" w:rsidRPr="00EB1E72" w14:paraId="0498306A" w14:textId="77777777" w:rsidTr="00217BE5">
        <w:tc>
          <w:tcPr>
            <w:tcW w:w="567" w:type="dxa"/>
            <w:tcBorders>
              <w:left w:val="nil"/>
              <w:right w:val="single" w:sz="4" w:space="0" w:color="auto"/>
            </w:tcBorders>
          </w:tcPr>
          <w:p w14:paraId="694E753E"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TW"/>
              </w:rPr>
              <w:t>24a</w:t>
            </w:r>
          </w:p>
        </w:tc>
        <w:tc>
          <w:tcPr>
            <w:tcW w:w="5245" w:type="dxa"/>
            <w:tcBorders>
              <w:left w:val="single" w:sz="4" w:space="0" w:color="auto"/>
              <w:right w:val="single" w:sz="4" w:space="0" w:color="auto"/>
            </w:tcBorders>
          </w:tcPr>
          <w:p w14:paraId="01F4C31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TW"/>
              </w:rPr>
              <w:t>官方實體集中風險</w:t>
            </w:r>
          </w:p>
        </w:tc>
        <w:tc>
          <w:tcPr>
            <w:tcW w:w="921" w:type="dxa"/>
            <w:tcBorders>
              <w:top w:val="single" w:sz="4" w:space="0" w:color="BFBFBF"/>
              <w:left w:val="single" w:sz="4" w:space="0" w:color="auto"/>
              <w:bottom w:val="single" w:sz="4" w:space="0" w:color="BFBFBF"/>
              <w:right w:val="single" w:sz="4" w:space="0" w:color="auto"/>
            </w:tcBorders>
            <w:shd w:val="clear" w:color="auto" w:fill="auto"/>
          </w:tcPr>
          <w:p w14:paraId="25EDDF1E"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BFBFBF"/>
              <w:right w:val="single" w:sz="4" w:space="0" w:color="auto"/>
            </w:tcBorders>
            <w:shd w:val="clear" w:color="auto" w:fill="FFFFFF"/>
          </w:tcPr>
          <w:p w14:paraId="3195427D"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62495EB" w14:textId="77777777" w:rsidR="00EB1E72" w:rsidRPr="00EB1E72" w:rsidRDefault="00EB1E72" w:rsidP="00EB1E72">
            <w:pPr>
              <w:keepLines/>
              <w:widowControl w:val="0"/>
              <w:tabs>
                <w:tab w:val="decimal" w:pos="31"/>
              </w:tabs>
              <w:snapToGrid w:val="0"/>
              <w:spacing w:before="20" w:after="20" w:line="259" w:lineRule="auto"/>
              <w:rPr>
                <w:rFonts w:ascii="Calibri" w:eastAsia="新細明體" w:hAnsi="Calibri" w:cs="Segoe UI"/>
                <w:sz w:val="17"/>
                <w:szCs w:val="17"/>
                <w:lang w:eastAsia="en-GB"/>
              </w:rPr>
            </w:pPr>
          </w:p>
        </w:tc>
      </w:tr>
      <w:tr w:rsidR="00EB1E72" w:rsidRPr="00EB1E72" w14:paraId="5B9AABC2" w14:textId="77777777" w:rsidTr="00217BE5">
        <w:tc>
          <w:tcPr>
            <w:tcW w:w="567" w:type="dxa"/>
            <w:tcBorders>
              <w:left w:val="nil"/>
              <w:right w:val="single" w:sz="4" w:space="0" w:color="auto"/>
            </w:tcBorders>
          </w:tcPr>
          <w:p w14:paraId="5D86166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25</w:t>
            </w:r>
          </w:p>
        </w:tc>
        <w:tc>
          <w:tcPr>
            <w:tcW w:w="5245" w:type="dxa"/>
            <w:tcBorders>
              <w:left w:val="single" w:sz="4" w:space="0" w:color="auto"/>
              <w:bottom w:val="single" w:sz="4" w:space="0" w:color="BCBDBC"/>
              <w:right w:val="single" w:sz="4" w:space="0" w:color="auto"/>
            </w:tcBorders>
          </w:tcPr>
          <w:p w14:paraId="7C15E9E5"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低於扣減門檻的數額（</w:t>
            </w:r>
            <w:r w:rsidRPr="00EB1E72">
              <w:rPr>
                <w:rFonts w:ascii="Calibri" w:eastAsia="細明體" w:hAnsi="Calibri" w:cs="Segoe UI"/>
                <w:kern w:val="2"/>
                <w:sz w:val="17"/>
                <w:szCs w:val="17"/>
                <w:lang w:val="en-US" w:eastAsia="zh-TW"/>
              </w:rPr>
              <w:t>須計算</w:t>
            </w:r>
            <w:r w:rsidRPr="00EB1E72">
              <w:rPr>
                <w:rFonts w:ascii="Calibri" w:eastAsia="新細明體" w:hAnsi="Calibri" w:cs="Segoe UI"/>
                <w:sz w:val="17"/>
                <w:szCs w:val="17"/>
                <w:lang w:eastAsia="zh-TW"/>
              </w:rPr>
              <w:t>250%</w:t>
            </w:r>
            <w:r w:rsidRPr="00EB1E72">
              <w:rPr>
                <w:rFonts w:ascii="Calibri" w:eastAsia="新細明體" w:hAnsi="Calibri" w:cs="Segoe UI"/>
                <w:sz w:val="17"/>
                <w:szCs w:val="17"/>
                <w:lang w:eastAsia="zh-TW"/>
              </w:rPr>
              <w:t>風險權重）</w:t>
            </w:r>
          </w:p>
        </w:tc>
        <w:tc>
          <w:tcPr>
            <w:tcW w:w="921" w:type="dxa"/>
            <w:tcBorders>
              <w:left w:val="single" w:sz="4" w:space="0" w:color="auto"/>
              <w:bottom w:val="single" w:sz="4" w:space="0" w:color="BFBFBF"/>
              <w:right w:val="single" w:sz="4" w:space="0" w:color="auto"/>
            </w:tcBorders>
            <w:shd w:val="clear" w:color="auto" w:fill="auto"/>
          </w:tcPr>
          <w:p w14:paraId="6FBAE1C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left w:val="single" w:sz="4" w:space="0" w:color="auto"/>
              <w:bottom w:val="single" w:sz="4" w:space="0" w:color="BFBFBF"/>
              <w:right w:val="single" w:sz="4" w:space="0" w:color="auto"/>
            </w:tcBorders>
            <w:shd w:val="clear" w:color="auto" w:fill="FFFFFF"/>
          </w:tcPr>
          <w:p w14:paraId="6F74D5E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03FD35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2739A53D" w14:textId="77777777" w:rsidTr="00217BE5">
        <w:tc>
          <w:tcPr>
            <w:tcW w:w="567" w:type="dxa"/>
            <w:tcBorders>
              <w:left w:val="nil"/>
              <w:right w:val="single" w:sz="4" w:space="0" w:color="auto"/>
            </w:tcBorders>
          </w:tcPr>
          <w:p w14:paraId="57BC0984"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26</w:t>
            </w:r>
          </w:p>
        </w:tc>
        <w:tc>
          <w:tcPr>
            <w:tcW w:w="5245" w:type="dxa"/>
            <w:tcBorders>
              <w:left w:val="single" w:sz="4" w:space="0" w:color="auto"/>
              <w:bottom w:val="single" w:sz="4" w:space="0" w:color="BCBDBC"/>
              <w:right w:val="single" w:sz="4" w:space="0" w:color="auto"/>
            </w:tcBorders>
          </w:tcPr>
          <w:p w14:paraId="63C5F73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HK"/>
              </w:rPr>
              <w:t>應用出項下限水平</w:t>
            </w:r>
          </w:p>
        </w:tc>
        <w:tc>
          <w:tcPr>
            <w:tcW w:w="921" w:type="dxa"/>
            <w:tcBorders>
              <w:left w:val="single" w:sz="4" w:space="0" w:color="auto"/>
              <w:bottom w:val="single" w:sz="4" w:space="0" w:color="BFBFBF"/>
              <w:right w:val="single" w:sz="4" w:space="0" w:color="auto"/>
            </w:tcBorders>
            <w:shd w:val="clear" w:color="auto" w:fill="auto"/>
          </w:tcPr>
          <w:p w14:paraId="3CA94F1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left w:val="single" w:sz="4" w:space="0" w:color="auto"/>
              <w:bottom w:val="single" w:sz="4" w:space="0" w:color="BFBFBF"/>
              <w:right w:val="single" w:sz="4" w:space="0" w:color="auto"/>
            </w:tcBorders>
            <w:shd w:val="clear" w:color="auto" w:fill="FFFFFF"/>
          </w:tcPr>
          <w:p w14:paraId="464C375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74F2F1F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62234F41" w14:textId="77777777" w:rsidTr="00217BE5">
        <w:tc>
          <w:tcPr>
            <w:tcW w:w="567" w:type="dxa"/>
            <w:tcBorders>
              <w:left w:val="nil"/>
              <w:right w:val="single" w:sz="4" w:space="0" w:color="auto"/>
            </w:tcBorders>
          </w:tcPr>
          <w:p w14:paraId="6984EF99" w14:textId="2658F5EE" w:rsidR="00EB1E72" w:rsidRPr="00EB1E72" w:rsidRDefault="002E57CE" w:rsidP="002E57CE">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Pr>
                <w:rFonts w:ascii="Calibri" w:eastAsia="新細明體" w:hAnsi="Calibri" w:cs="Segoe UI"/>
                <w:sz w:val="17"/>
                <w:szCs w:val="17"/>
                <w:lang w:eastAsia="zh-TW"/>
              </w:rPr>
              <w:t>27</w:t>
            </w:r>
          </w:p>
        </w:tc>
        <w:tc>
          <w:tcPr>
            <w:tcW w:w="5245" w:type="dxa"/>
            <w:tcBorders>
              <w:left w:val="single" w:sz="4" w:space="0" w:color="auto"/>
              <w:bottom w:val="single" w:sz="4" w:space="0" w:color="BCBDBC"/>
              <w:right w:val="single" w:sz="4" w:space="0" w:color="auto"/>
            </w:tcBorders>
          </w:tcPr>
          <w:p w14:paraId="2BE8A3A4" w14:textId="42321658"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noProof/>
                <w:sz w:val="17"/>
                <w:szCs w:val="17"/>
                <w:lang w:eastAsia="zh-TW"/>
              </w:rPr>
            </w:pPr>
            <w:r w:rsidRPr="00EB1E72">
              <w:rPr>
                <w:rFonts w:ascii="Calibri" w:eastAsia="新細明體" w:hAnsi="Calibri" w:cs="Segoe UI"/>
                <w:sz w:val="17"/>
                <w:szCs w:val="17"/>
                <w:lang w:eastAsia="zh-TW"/>
              </w:rPr>
              <w:t>下限調整</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應用過渡上限前</w:t>
            </w:r>
            <w:r w:rsidRPr="00EB1E72">
              <w:rPr>
                <w:rFonts w:ascii="Calibri" w:eastAsia="新細明體" w:hAnsi="Calibri" w:cs="Segoe UI" w:hint="eastAsia"/>
                <w:sz w:val="17"/>
                <w:szCs w:val="17"/>
                <w:lang w:eastAsia="zh-TW"/>
              </w:rPr>
              <w:t>）</w:t>
            </w:r>
          </w:p>
        </w:tc>
        <w:tc>
          <w:tcPr>
            <w:tcW w:w="921" w:type="dxa"/>
            <w:tcBorders>
              <w:left w:val="single" w:sz="4" w:space="0" w:color="auto"/>
              <w:bottom w:val="single" w:sz="4" w:space="0" w:color="BFBFBF"/>
              <w:right w:val="single" w:sz="4" w:space="0" w:color="auto"/>
            </w:tcBorders>
            <w:shd w:val="clear" w:color="auto" w:fill="auto"/>
          </w:tcPr>
          <w:p w14:paraId="16DA830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left w:val="single" w:sz="4" w:space="0" w:color="auto"/>
              <w:bottom w:val="single" w:sz="4" w:space="0" w:color="BFBFBF"/>
              <w:right w:val="single" w:sz="4" w:space="0" w:color="auto"/>
            </w:tcBorders>
            <w:shd w:val="clear" w:color="auto" w:fill="FFFFFF"/>
          </w:tcPr>
          <w:p w14:paraId="57E06839"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570B28A6"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636AE8E3" w14:textId="77777777" w:rsidTr="00217BE5">
        <w:tc>
          <w:tcPr>
            <w:tcW w:w="567" w:type="dxa"/>
            <w:tcBorders>
              <w:left w:val="nil"/>
              <w:right w:val="single" w:sz="4" w:space="0" w:color="auto"/>
            </w:tcBorders>
          </w:tcPr>
          <w:p w14:paraId="7FA4607A"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hint="eastAsia"/>
                <w:sz w:val="17"/>
                <w:szCs w:val="17"/>
                <w:lang w:eastAsia="zh-TW"/>
              </w:rPr>
              <w:t>28</w:t>
            </w:r>
          </w:p>
        </w:tc>
        <w:tc>
          <w:tcPr>
            <w:tcW w:w="5245" w:type="dxa"/>
            <w:tcBorders>
              <w:left w:val="single" w:sz="4" w:space="0" w:color="auto"/>
              <w:bottom w:val="single" w:sz="4" w:space="0" w:color="BCBDBC"/>
              <w:right w:val="single" w:sz="4" w:space="0" w:color="auto"/>
            </w:tcBorders>
          </w:tcPr>
          <w:p w14:paraId="60162FCA" w14:textId="77777777" w:rsidR="00EB1E72" w:rsidRPr="00EB1E72" w:rsidDel="001A3B35"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下限調整</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應用過渡上限後</w:t>
            </w:r>
            <w:r w:rsidRPr="00EB1E72">
              <w:rPr>
                <w:rFonts w:ascii="Calibri" w:eastAsia="新細明體" w:hAnsi="Calibri" w:cs="Segoe UI" w:hint="eastAsia"/>
                <w:sz w:val="17"/>
                <w:szCs w:val="17"/>
                <w:lang w:eastAsia="zh-TW"/>
              </w:rPr>
              <w:t>）</w:t>
            </w:r>
          </w:p>
        </w:tc>
        <w:tc>
          <w:tcPr>
            <w:tcW w:w="921" w:type="dxa"/>
            <w:tcBorders>
              <w:left w:val="single" w:sz="4" w:space="0" w:color="auto"/>
              <w:bottom w:val="single" w:sz="4" w:space="0" w:color="BFBFBF"/>
              <w:right w:val="single" w:sz="4" w:space="0" w:color="auto"/>
            </w:tcBorders>
            <w:shd w:val="clear" w:color="auto" w:fill="D9D9D9"/>
          </w:tcPr>
          <w:p w14:paraId="4E3441CE" w14:textId="77777777" w:rsidR="00EB1E72" w:rsidRPr="00EB1E72" w:rsidRDefault="00EB1E72" w:rsidP="00EB1E72">
            <w:pPr>
              <w:keepLines/>
              <w:widowControl w:val="0"/>
              <w:tabs>
                <w:tab w:val="left" w:pos="397"/>
                <w:tab w:val="left" w:pos="794"/>
                <w:tab w:val="left" w:pos="1191"/>
              </w:tabs>
              <w:snapToGrid w:val="0"/>
              <w:spacing w:before="20" w:after="20" w:line="259" w:lineRule="auto"/>
              <w:jc w:val="center"/>
              <w:rPr>
                <w:rFonts w:ascii="Calibri" w:eastAsia="新細明體" w:hAnsi="Calibri" w:cs="Segoe UI"/>
                <w:sz w:val="17"/>
                <w:szCs w:val="17"/>
                <w:lang w:eastAsia="zh-TW"/>
              </w:rPr>
            </w:pPr>
            <w:r w:rsidRPr="00EB1E72">
              <w:rPr>
                <w:rFonts w:ascii="Calibri" w:eastAsia="新細明體" w:hAnsi="Calibri" w:cs="Segoe UI"/>
                <w:sz w:val="17"/>
                <w:szCs w:val="17"/>
                <w:lang w:eastAsia="en-GB"/>
              </w:rPr>
              <w:t>N/A</w:t>
            </w:r>
          </w:p>
        </w:tc>
        <w:tc>
          <w:tcPr>
            <w:tcW w:w="922" w:type="dxa"/>
            <w:tcBorders>
              <w:left w:val="single" w:sz="4" w:space="0" w:color="auto"/>
              <w:bottom w:val="single" w:sz="4" w:space="0" w:color="BFBFBF"/>
              <w:right w:val="single" w:sz="4" w:space="0" w:color="auto"/>
            </w:tcBorders>
            <w:shd w:val="clear" w:color="auto" w:fill="D9D9D9"/>
          </w:tcPr>
          <w:p w14:paraId="45CD6B7B" w14:textId="77777777" w:rsidR="00EB1E72" w:rsidRPr="00EB1E72" w:rsidRDefault="00EB1E72" w:rsidP="00EB1E72">
            <w:pPr>
              <w:keepLines/>
              <w:widowControl w:val="0"/>
              <w:tabs>
                <w:tab w:val="left" w:pos="397"/>
                <w:tab w:val="left" w:pos="794"/>
                <w:tab w:val="left" w:pos="1191"/>
              </w:tabs>
              <w:snapToGrid w:val="0"/>
              <w:spacing w:before="20" w:after="20" w:line="259" w:lineRule="auto"/>
              <w:jc w:val="center"/>
              <w:rPr>
                <w:rFonts w:ascii="Calibri" w:eastAsia="新細明體" w:hAnsi="Calibri" w:cs="Segoe UI"/>
                <w:sz w:val="17"/>
                <w:szCs w:val="17"/>
                <w:lang w:eastAsia="zh-TW"/>
              </w:rPr>
            </w:pPr>
            <w:r w:rsidRPr="00EB1E72">
              <w:rPr>
                <w:rFonts w:ascii="Calibri" w:eastAsia="新細明體" w:hAnsi="Calibri" w:cs="Segoe UI"/>
                <w:sz w:val="17"/>
                <w:szCs w:val="17"/>
                <w:lang w:eastAsia="en-GB"/>
              </w:rPr>
              <w:t>N/A</w:t>
            </w:r>
          </w:p>
        </w:tc>
        <w:tc>
          <w:tcPr>
            <w:tcW w:w="1559" w:type="dxa"/>
            <w:tcBorders>
              <w:top w:val="single" w:sz="4" w:space="0" w:color="BFBFBF"/>
              <w:left w:val="single" w:sz="4" w:space="0" w:color="auto"/>
              <w:bottom w:val="single" w:sz="4" w:space="0" w:color="BFBFBF"/>
              <w:right w:val="single" w:sz="4" w:space="0" w:color="auto"/>
            </w:tcBorders>
            <w:shd w:val="clear" w:color="auto" w:fill="D9D9D9"/>
          </w:tcPr>
          <w:p w14:paraId="74A119E2" w14:textId="77777777" w:rsidR="00EB1E72" w:rsidRPr="00EB1E72" w:rsidRDefault="00EB1E72" w:rsidP="00EB1E72">
            <w:pPr>
              <w:keepLines/>
              <w:widowControl w:val="0"/>
              <w:tabs>
                <w:tab w:val="left" w:pos="397"/>
                <w:tab w:val="left" w:pos="794"/>
                <w:tab w:val="left" w:pos="1191"/>
              </w:tabs>
              <w:snapToGrid w:val="0"/>
              <w:spacing w:before="20" w:after="20" w:line="259" w:lineRule="auto"/>
              <w:jc w:val="center"/>
              <w:rPr>
                <w:rFonts w:ascii="Calibri" w:eastAsia="新細明體" w:hAnsi="Calibri" w:cs="Segoe UI"/>
                <w:sz w:val="17"/>
                <w:szCs w:val="17"/>
                <w:lang w:eastAsia="zh-TW"/>
              </w:rPr>
            </w:pPr>
            <w:r w:rsidRPr="00EB1E72">
              <w:rPr>
                <w:rFonts w:ascii="Calibri" w:eastAsia="新細明體" w:hAnsi="Calibri" w:cs="Segoe UI"/>
                <w:sz w:val="17"/>
                <w:szCs w:val="17"/>
                <w:lang w:eastAsia="en-GB"/>
              </w:rPr>
              <w:t>N/A</w:t>
            </w:r>
          </w:p>
        </w:tc>
      </w:tr>
      <w:tr w:rsidR="00EB1E72" w:rsidRPr="00EB1E72" w14:paraId="0235D566" w14:textId="77777777" w:rsidTr="00217BE5">
        <w:tc>
          <w:tcPr>
            <w:tcW w:w="567" w:type="dxa"/>
            <w:tcBorders>
              <w:left w:val="nil"/>
              <w:right w:val="single" w:sz="4" w:space="0" w:color="auto"/>
            </w:tcBorders>
          </w:tcPr>
          <w:p w14:paraId="17753AFD" w14:textId="2ECA7EE6" w:rsidR="00EB1E72" w:rsidRPr="00EB1E72" w:rsidRDefault="002E57CE"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Pr>
                <w:rFonts w:ascii="Calibri" w:eastAsia="新細明體" w:hAnsi="Calibri" w:cs="Segoe UI"/>
                <w:sz w:val="17"/>
                <w:szCs w:val="17"/>
                <w:lang w:eastAsia="zh-TW"/>
              </w:rPr>
              <w:t>2</w:t>
            </w:r>
            <w:r w:rsidR="00EB1E72" w:rsidRPr="00EB1E72">
              <w:rPr>
                <w:rFonts w:ascii="Calibri" w:eastAsia="新細明體" w:hAnsi="Calibri" w:cs="Segoe UI" w:hint="eastAsia"/>
                <w:sz w:val="17"/>
                <w:szCs w:val="17"/>
                <w:lang w:eastAsia="zh-TW"/>
              </w:rPr>
              <w:t>8</w:t>
            </w:r>
            <w:r w:rsidR="00EB1E72" w:rsidRPr="00EB1E72">
              <w:rPr>
                <w:rFonts w:ascii="Calibri" w:eastAsia="新細明體" w:hAnsi="Calibri" w:cs="Segoe UI"/>
                <w:sz w:val="17"/>
                <w:szCs w:val="17"/>
                <w:lang w:eastAsia="zh-TW"/>
              </w:rPr>
              <w:t>a</w:t>
            </w:r>
          </w:p>
        </w:tc>
        <w:tc>
          <w:tcPr>
            <w:tcW w:w="5245" w:type="dxa"/>
            <w:tcBorders>
              <w:left w:val="single" w:sz="4" w:space="0" w:color="auto"/>
              <w:bottom w:val="single" w:sz="4" w:space="0" w:color="BCBDBC"/>
              <w:right w:val="single" w:sz="4" w:space="0" w:color="auto"/>
            </w:tcBorders>
          </w:tcPr>
          <w:p w14:paraId="0764AC51" w14:textId="77777777" w:rsidR="00EB1E72" w:rsidRPr="00641075" w:rsidRDefault="00EB1E72" w:rsidP="00EB1E72">
            <w:pPr>
              <w:keepLines/>
              <w:widowControl w:val="0"/>
              <w:tabs>
                <w:tab w:val="left" w:pos="397"/>
                <w:tab w:val="left" w:pos="794"/>
                <w:tab w:val="left" w:pos="1191"/>
              </w:tabs>
              <w:snapToGrid w:val="0"/>
              <w:spacing w:before="20" w:after="20" w:line="259" w:lineRule="auto"/>
              <w:rPr>
                <w:rFonts w:ascii="新細明體" w:eastAsia="新細明體" w:hAnsi="新細明體" w:cs="Segoe UI"/>
                <w:sz w:val="17"/>
                <w:szCs w:val="17"/>
                <w:lang w:eastAsia="en-GB"/>
              </w:rPr>
            </w:pPr>
            <w:r w:rsidRPr="00641075">
              <w:rPr>
                <w:rFonts w:ascii="新細明體" w:eastAsia="新細明體" w:hAnsi="新細明體" w:cs="Segoe UI"/>
                <w:kern w:val="2"/>
                <w:sz w:val="17"/>
                <w:szCs w:val="22"/>
                <w:lang w:val="en-US" w:eastAsia="zh-TW"/>
              </w:rPr>
              <w:t>風險加權數額扣減</w:t>
            </w:r>
          </w:p>
        </w:tc>
        <w:tc>
          <w:tcPr>
            <w:tcW w:w="921" w:type="dxa"/>
            <w:tcBorders>
              <w:left w:val="single" w:sz="4" w:space="0" w:color="auto"/>
              <w:bottom w:val="single" w:sz="4" w:space="0" w:color="BFBFBF"/>
              <w:right w:val="single" w:sz="4" w:space="0" w:color="auto"/>
            </w:tcBorders>
            <w:shd w:val="clear" w:color="auto" w:fill="auto"/>
          </w:tcPr>
          <w:p w14:paraId="3C335FF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left w:val="single" w:sz="4" w:space="0" w:color="auto"/>
              <w:bottom w:val="single" w:sz="4" w:space="0" w:color="BFBFBF"/>
              <w:right w:val="single" w:sz="4" w:space="0" w:color="auto"/>
            </w:tcBorders>
            <w:shd w:val="clear" w:color="auto" w:fill="FFFFFF"/>
          </w:tcPr>
          <w:p w14:paraId="19F4631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F8A283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6909F438" w14:textId="77777777" w:rsidTr="00217BE5">
        <w:tc>
          <w:tcPr>
            <w:tcW w:w="567" w:type="dxa"/>
            <w:tcBorders>
              <w:left w:val="nil"/>
              <w:right w:val="single" w:sz="4" w:space="0" w:color="auto"/>
            </w:tcBorders>
          </w:tcPr>
          <w:p w14:paraId="6648507E" w14:textId="3C8F4F4F" w:rsidR="00EB1E72" w:rsidRPr="00EB1E72" w:rsidRDefault="002E57CE"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Pr>
                <w:rFonts w:ascii="Calibri" w:eastAsia="新細明體" w:hAnsi="Calibri" w:cs="Segoe UI"/>
                <w:sz w:val="17"/>
                <w:szCs w:val="17"/>
                <w:lang w:eastAsia="zh-TW"/>
              </w:rPr>
              <w:t>2</w:t>
            </w:r>
            <w:r w:rsidR="00EB1E72" w:rsidRPr="00EB1E72">
              <w:rPr>
                <w:rFonts w:ascii="Calibri" w:eastAsia="新細明體" w:hAnsi="Calibri" w:cs="Segoe UI" w:hint="eastAsia"/>
                <w:sz w:val="17"/>
                <w:szCs w:val="17"/>
                <w:lang w:eastAsia="zh-TW"/>
              </w:rPr>
              <w:t>8</w:t>
            </w:r>
            <w:r w:rsidR="00EB1E72" w:rsidRPr="00EB1E72">
              <w:rPr>
                <w:rFonts w:ascii="Calibri" w:eastAsia="新細明體" w:hAnsi="Calibri" w:cs="Segoe UI"/>
                <w:sz w:val="17"/>
                <w:szCs w:val="17"/>
                <w:lang w:eastAsia="zh-TW"/>
              </w:rPr>
              <w:t>b</w:t>
            </w:r>
          </w:p>
        </w:tc>
        <w:tc>
          <w:tcPr>
            <w:tcW w:w="5245" w:type="dxa"/>
            <w:tcBorders>
              <w:left w:val="single" w:sz="4" w:space="0" w:color="auto"/>
              <w:bottom w:val="single" w:sz="4" w:space="0" w:color="BCBDBC"/>
              <w:right w:val="single" w:sz="4" w:space="0" w:color="auto"/>
            </w:tcBorders>
          </w:tcPr>
          <w:p w14:paraId="7F44D294"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細明體" w:hAnsi="Calibri" w:cs="Segoe UI"/>
                <w:kern w:val="2"/>
                <w:sz w:val="17"/>
                <w:szCs w:val="17"/>
                <w:lang w:val="en-US" w:eastAsia="zh-TW"/>
              </w:rPr>
              <w:t>不包括在</w:t>
            </w:r>
            <w:r w:rsidRPr="00EB1E72">
              <w:rPr>
                <w:rFonts w:ascii="Calibri" w:eastAsia="新細明體" w:hAnsi="Calibri" w:cs="Segoe UI"/>
                <w:sz w:val="17"/>
                <w:szCs w:val="17"/>
                <w:lang w:eastAsia="zh-TW"/>
              </w:rPr>
              <w:t>二級資本內的一般銀行業務風險監管儲備及集體準備金的部分</w:t>
            </w:r>
          </w:p>
        </w:tc>
        <w:tc>
          <w:tcPr>
            <w:tcW w:w="921" w:type="dxa"/>
            <w:tcBorders>
              <w:left w:val="single" w:sz="4" w:space="0" w:color="auto"/>
              <w:bottom w:val="single" w:sz="4" w:space="0" w:color="BFBFBF"/>
              <w:right w:val="single" w:sz="4" w:space="0" w:color="auto"/>
            </w:tcBorders>
            <w:shd w:val="clear" w:color="auto" w:fill="auto"/>
          </w:tcPr>
          <w:p w14:paraId="0E4F82B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left w:val="single" w:sz="4" w:space="0" w:color="auto"/>
              <w:bottom w:val="single" w:sz="4" w:space="0" w:color="BFBFBF"/>
              <w:right w:val="single" w:sz="4" w:space="0" w:color="auto"/>
            </w:tcBorders>
            <w:shd w:val="clear" w:color="auto" w:fill="FFFFFF"/>
          </w:tcPr>
          <w:p w14:paraId="1B55446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12EBCB3"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48DD0021" w14:textId="77777777" w:rsidTr="00217BE5">
        <w:tc>
          <w:tcPr>
            <w:tcW w:w="567" w:type="dxa"/>
            <w:tcBorders>
              <w:left w:val="nil"/>
              <w:right w:val="single" w:sz="4" w:space="0" w:color="auto"/>
            </w:tcBorders>
          </w:tcPr>
          <w:p w14:paraId="3DEAF657" w14:textId="6551367D" w:rsidR="00EB1E72" w:rsidRPr="00EB1E72" w:rsidRDefault="002E57CE"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Pr>
                <w:rFonts w:ascii="Calibri" w:eastAsia="新細明體" w:hAnsi="Calibri" w:cs="Segoe UI"/>
                <w:sz w:val="17"/>
                <w:szCs w:val="17"/>
                <w:lang w:eastAsia="zh-TW"/>
              </w:rPr>
              <w:t>2</w:t>
            </w:r>
            <w:r w:rsidR="00EB1E72" w:rsidRPr="00EB1E72">
              <w:rPr>
                <w:rFonts w:ascii="Calibri" w:eastAsia="新細明體" w:hAnsi="Calibri" w:cs="Segoe UI" w:hint="eastAsia"/>
                <w:sz w:val="17"/>
                <w:szCs w:val="17"/>
                <w:lang w:eastAsia="zh-TW"/>
              </w:rPr>
              <w:t>8</w:t>
            </w:r>
            <w:r w:rsidR="00EB1E72" w:rsidRPr="00EB1E72">
              <w:rPr>
                <w:rFonts w:ascii="Calibri" w:eastAsia="新細明體" w:hAnsi="Calibri" w:cs="Segoe UI"/>
                <w:sz w:val="17"/>
                <w:szCs w:val="17"/>
                <w:lang w:eastAsia="zh-TW"/>
              </w:rPr>
              <w:t>c</w:t>
            </w:r>
          </w:p>
        </w:tc>
        <w:tc>
          <w:tcPr>
            <w:tcW w:w="5245" w:type="dxa"/>
            <w:tcBorders>
              <w:left w:val="single" w:sz="4" w:space="0" w:color="auto"/>
              <w:bottom w:val="single" w:sz="4" w:space="0" w:color="BCBDBC"/>
              <w:right w:val="single" w:sz="4" w:space="0" w:color="auto"/>
            </w:tcBorders>
          </w:tcPr>
          <w:p w14:paraId="79F933F4" w14:textId="77777777" w:rsidR="00EB1E72" w:rsidRPr="00EB1E72" w:rsidRDefault="00EB1E72" w:rsidP="00EB1E72">
            <w:pPr>
              <w:keepLines/>
              <w:widowControl w:val="0"/>
              <w:tabs>
                <w:tab w:val="left" w:pos="397"/>
                <w:tab w:val="left" w:pos="794"/>
                <w:tab w:val="left" w:pos="1191"/>
              </w:tabs>
              <w:snapToGrid w:val="0"/>
              <w:spacing w:before="20" w:after="20" w:line="259" w:lineRule="auto"/>
              <w:ind w:leftChars="132" w:left="264"/>
              <w:rPr>
                <w:rFonts w:ascii="Calibri" w:eastAsia="新細明體" w:hAnsi="Calibri" w:cs="Segoe UI"/>
                <w:sz w:val="17"/>
                <w:szCs w:val="17"/>
                <w:lang w:eastAsia="zh-TW"/>
              </w:rPr>
            </w:pPr>
            <w:r w:rsidRPr="00EB1E72">
              <w:rPr>
                <w:rFonts w:ascii="Calibri" w:eastAsia="新細明體" w:hAnsi="Calibri" w:cs="Segoe UI"/>
                <w:sz w:val="17"/>
                <w:szCs w:val="17"/>
                <w:lang w:eastAsia="zh-TW"/>
              </w:rPr>
              <w:t>其中</w:t>
            </w:r>
            <w:r w:rsidRPr="00EB1E72">
              <w:rPr>
                <w:rFonts w:ascii="Calibri" w:eastAsia="細明體" w:hAnsi="Calibri" w:cs="Segoe UI"/>
                <w:kern w:val="2"/>
                <w:sz w:val="17"/>
                <w:szCs w:val="17"/>
                <w:lang w:val="en-US" w:eastAsia="zh-TW"/>
              </w:rPr>
              <w:t>不包括在</w:t>
            </w:r>
            <w:r w:rsidRPr="00EB1E72">
              <w:rPr>
                <w:rFonts w:ascii="Calibri" w:eastAsia="新細明體" w:hAnsi="Calibri" w:cs="Segoe UI"/>
                <w:sz w:val="17"/>
                <w:szCs w:val="17"/>
                <w:lang w:eastAsia="zh-TW"/>
              </w:rPr>
              <w:t>二級資本</w:t>
            </w:r>
            <w:r w:rsidRPr="00EB1E72">
              <w:rPr>
                <w:rFonts w:ascii="Calibri" w:eastAsia="細明體" w:hAnsi="Calibri" w:cs="Segoe UI"/>
                <w:kern w:val="2"/>
                <w:sz w:val="17"/>
                <w:szCs w:val="17"/>
                <w:lang w:val="en-US" w:eastAsia="zh-TW"/>
              </w:rPr>
              <w:t>內的</w:t>
            </w:r>
            <w:r w:rsidRPr="00EB1E72">
              <w:rPr>
                <w:rFonts w:ascii="Calibri" w:eastAsia="新細明體" w:hAnsi="Calibri" w:cs="Segoe UI"/>
                <w:sz w:val="17"/>
                <w:szCs w:val="17"/>
                <w:lang w:eastAsia="zh-TW"/>
              </w:rPr>
              <w:t>土地及建築物因價值重估而產生的累積公平價值收益的部分</w:t>
            </w:r>
          </w:p>
        </w:tc>
        <w:tc>
          <w:tcPr>
            <w:tcW w:w="921" w:type="dxa"/>
            <w:tcBorders>
              <w:left w:val="single" w:sz="4" w:space="0" w:color="auto"/>
              <w:bottom w:val="single" w:sz="4" w:space="0" w:color="BFBFBF"/>
              <w:right w:val="single" w:sz="4" w:space="0" w:color="auto"/>
            </w:tcBorders>
            <w:shd w:val="clear" w:color="auto" w:fill="auto"/>
          </w:tcPr>
          <w:p w14:paraId="684B1B5D"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922" w:type="dxa"/>
            <w:tcBorders>
              <w:left w:val="single" w:sz="4" w:space="0" w:color="auto"/>
              <w:bottom w:val="single" w:sz="4" w:space="0" w:color="BFBFBF"/>
              <w:right w:val="single" w:sz="4" w:space="0" w:color="auto"/>
            </w:tcBorders>
            <w:shd w:val="clear" w:color="auto" w:fill="FFFFFF"/>
          </w:tcPr>
          <w:p w14:paraId="2465A537"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A7FEE11"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p>
        </w:tc>
      </w:tr>
      <w:tr w:rsidR="00EB1E72" w:rsidRPr="00EB1E72" w14:paraId="53DA62DD" w14:textId="77777777" w:rsidTr="00217BE5">
        <w:trPr>
          <w:trHeight w:val="281"/>
        </w:trPr>
        <w:tc>
          <w:tcPr>
            <w:tcW w:w="567" w:type="dxa"/>
            <w:tcBorders>
              <w:left w:val="nil"/>
              <w:bottom w:val="single" w:sz="4" w:space="0" w:color="auto"/>
              <w:right w:val="single" w:sz="4" w:space="0" w:color="auto"/>
            </w:tcBorders>
          </w:tcPr>
          <w:p w14:paraId="615AD8CA" w14:textId="73123B9D" w:rsidR="00EB1E72" w:rsidRPr="00EB1E72" w:rsidRDefault="002E57CE" w:rsidP="002E57CE">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zh-TW"/>
              </w:rPr>
            </w:pPr>
            <w:r>
              <w:rPr>
                <w:rFonts w:ascii="Calibri" w:eastAsia="新細明體" w:hAnsi="Calibri" w:cs="Segoe UI"/>
                <w:sz w:val="17"/>
                <w:szCs w:val="17"/>
                <w:lang w:eastAsia="zh-TW"/>
              </w:rPr>
              <w:t>29</w:t>
            </w:r>
          </w:p>
        </w:tc>
        <w:tc>
          <w:tcPr>
            <w:tcW w:w="5245" w:type="dxa"/>
            <w:tcBorders>
              <w:left w:val="single" w:sz="4" w:space="0" w:color="auto"/>
              <w:bottom w:val="single" w:sz="4" w:space="0" w:color="auto"/>
              <w:right w:val="single" w:sz="4" w:space="0" w:color="auto"/>
            </w:tcBorders>
            <w:vAlign w:val="center"/>
          </w:tcPr>
          <w:p w14:paraId="753B9F50"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noProof/>
                <w:sz w:val="17"/>
                <w:szCs w:val="17"/>
                <w:lang w:eastAsia="en-GB"/>
              </w:rPr>
            </w:pPr>
            <w:r w:rsidRPr="00EB1E72">
              <w:rPr>
                <w:rFonts w:ascii="Calibri" w:eastAsia="新細明體" w:hAnsi="Calibri" w:cs="Segoe UI"/>
                <w:sz w:val="17"/>
                <w:szCs w:val="17"/>
                <w:lang w:eastAsia="zh-TW"/>
              </w:rPr>
              <w:t>總計</w:t>
            </w:r>
          </w:p>
        </w:tc>
        <w:tc>
          <w:tcPr>
            <w:tcW w:w="921" w:type="dxa"/>
            <w:tcBorders>
              <w:top w:val="single" w:sz="4" w:space="0" w:color="BFBFBF"/>
              <w:left w:val="single" w:sz="4" w:space="0" w:color="auto"/>
              <w:bottom w:val="single" w:sz="4" w:space="0" w:color="auto"/>
              <w:right w:val="single" w:sz="4" w:space="0" w:color="auto"/>
            </w:tcBorders>
            <w:shd w:val="clear" w:color="auto" w:fill="auto"/>
          </w:tcPr>
          <w:p w14:paraId="0B5BA96A"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922" w:type="dxa"/>
            <w:tcBorders>
              <w:top w:val="single" w:sz="4" w:space="0" w:color="BFBFBF"/>
              <w:left w:val="single" w:sz="4" w:space="0" w:color="auto"/>
              <w:bottom w:val="single" w:sz="4" w:space="0" w:color="auto"/>
              <w:right w:val="single" w:sz="4" w:space="0" w:color="auto"/>
            </w:tcBorders>
            <w:shd w:val="clear" w:color="auto" w:fill="FFFFFF"/>
          </w:tcPr>
          <w:p w14:paraId="567F09F8"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62AE4D5A" w14:textId="77777777" w:rsidR="00EB1E72" w:rsidRPr="00EB1E72" w:rsidRDefault="00EB1E72" w:rsidP="00EB1E72">
            <w:pPr>
              <w:keepLines/>
              <w:widowControl w:val="0"/>
              <w:tabs>
                <w:tab w:val="left" w:pos="397"/>
                <w:tab w:val="left" w:pos="794"/>
                <w:tab w:val="left" w:pos="1191"/>
              </w:tabs>
              <w:snapToGrid w:val="0"/>
              <w:spacing w:before="20" w:after="20" w:line="259" w:lineRule="auto"/>
              <w:rPr>
                <w:rFonts w:ascii="Calibri" w:eastAsia="新細明體" w:hAnsi="Calibri" w:cs="Segoe UI"/>
                <w:sz w:val="17"/>
                <w:szCs w:val="17"/>
                <w:lang w:eastAsia="en-GB"/>
              </w:rPr>
            </w:pPr>
          </w:p>
        </w:tc>
      </w:tr>
      <w:tr w:rsidR="00EB1E72" w:rsidRPr="00EB1E72" w14:paraId="274B499F" w14:textId="77777777" w:rsidTr="00217BE5">
        <w:trPr>
          <w:trHeight w:val="281"/>
        </w:trPr>
        <w:tc>
          <w:tcPr>
            <w:tcW w:w="9214" w:type="dxa"/>
            <w:gridSpan w:val="5"/>
            <w:tcBorders>
              <w:top w:val="single" w:sz="4" w:space="0" w:color="auto"/>
              <w:left w:val="nil"/>
              <w:bottom w:val="single" w:sz="4" w:space="0" w:color="auto"/>
              <w:right w:val="single" w:sz="4" w:space="0" w:color="auto"/>
            </w:tcBorders>
          </w:tcPr>
          <w:p w14:paraId="49F6FCF0" w14:textId="0F642BF4" w:rsidR="00894BC7" w:rsidRPr="001177B0" w:rsidRDefault="00894BC7" w:rsidP="00894BC7">
            <w:pPr>
              <w:keepLines/>
              <w:widowControl w:val="0"/>
              <w:tabs>
                <w:tab w:val="left" w:pos="397"/>
                <w:tab w:val="left" w:pos="794"/>
                <w:tab w:val="left" w:pos="1191"/>
              </w:tabs>
              <w:snapToGrid w:val="0"/>
              <w:spacing w:before="20" w:after="20" w:line="259" w:lineRule="auto"/>
              <w:rPr>
                <w:rFonts w:ascii="Calibri" w:eastAsia="新細明體" w:hAnsi="Calibri" w:cs="Segoe UI"/>
                <w:i/>
                <w:sz w:val="17"/>
                <w:szCs w:val="17"/>
                <w:lang w:eastAsia="zh-TW"/>
              </w:rPr>
            </w:pPr>
            <w:r w:rsidRPr="001177B0">
              <w:rPr>
                <w:rFonts w:ascii="Calibri" w:eastAsia="新細明體" w:hAnsi="Calibri" w:cs="Segoe UI" w:hint="eastAsia"/>
                <w:i/>
                <w:sz w:val="17"/>
                <w:szCs w:val="17"/>
                <w:lang w:eastAsia="zh-TW"/>
              </w:rPr>
              <w:t>注意事項</w:t>
            </w:r>
            <w:r w:rsidR="00D92F93">
              <w:rPr>
                <w:rFonts w:ascii="Calibri" w:eastAsia="新細明體" w:hAnsi="Calibri" w:cs="Segoe UI" w:hint="eastAsia"/>
                <w:i/>
                <w:sz w:val="17"/>
                <w:szCs w:val="17"/>
                <w:lang w:eastAsia="zh-HK"/>
              </w:rPr>
              <w:t>：</w:t>
            </w:r>
          </w:p>
          <w:p w14:paraId="5467A5AA" w14:textId="0BCBAC47" w:rsidR="00894BC7" w:rsidRPr="006B027C" w:rsidRDefault="007F3035" w:rsidP="00EF10B9">
            <w:pPr>
              <w:keepLines/>
              <w:widowControl w:val="0"/>
              <w:tabs>
                <w:tab w:val="left" w:pos="351"/>
                <w:tab w:val="left" w:pos="794"/>
              </w:tabs>
              <w:snapToGrid w:val="0"/>
              <w:spacing w:before="20" w:after="20" w:line="259" w:lineRule="auto"/>
              <w:ind w:left="351" w:hanging="351"/>
              <w:rPr>
                <w:rFonts w:ascii="Calibri" w:eastAsia="新細明體" w:hAnsi="Calibri" w:cs="Segoe UI"/>
                <w:iCs/>
                <w:sz w:val="17"/>
                <w:szCs w:val="17"/>
                <w:lang w:eastAsia="zh-TW"/>
              </w:rPr>
            </w:pPr>
            <w:r w:rsidRPr="006B027C">
              <w:rPr>
                <w:rFonts w:ascii="Calibri" w:eastAsia="新細明體" w:hAnsi="Calibri" w:cs="Segoe UI" w:hint="eastAsia"/>
                <w:iCs/>
                <w:sz w:val="17"/>
                <w:szCs w:val="17"/>
                <w:lang w:eastAsia="zh-TW"/>
              </w:rPr>
              <w:t>(</w:t>
            </w:r>
            <w:proofErr w:type="spellStart"/>
            <w:r w:rsidRPr="006B027C">
              <w:rPr>
                <w:rFonts w:eastAsia="新細明體" w:cs="Segoe UI" w:hint="eastAsia"/>
                <w:iCs/>
                <w:sz w:val="17"/>
                <w:szCs w:val="17"/>
                <w:lang w:eastAsia="zh-HK"/>
              </w:rPr>
              <w:t>i</w:t>
            </w:r>
            <w:proofErr w:type="spellEnd"/>
            <w:r w:rsidRPr="006B027C">
              <w:rPr>
                <w:rFonts w:ascii="Calibri" w:eastAsia="新細明體" w:hAnsi="Calibri" w:cs="Segoe UI" w:hint="eastAsia"/>
                <w:iCs/>
                <w:sz w:val="17"/>
                <w:szCs w:val="17"/>
                <w:lang w:eastAsia="zh-HK"/>
              </w:rPr>
              <w:t xml:space="preserve">)  </w:t>
            </w:r>
            <w:r w:rsidR="00894BC7" w:rsidRPr="006B027C">
              <w:rPr>
                <w:rFonts w:ascii="Calibri" w:eastAsia="新細明體" w:hAnsi="Calibri" w:cs="Segoe UI" w:hint="eastAsia"/>
                <w:iCs/>
                <w:sz w:val="17"/>
                <w:szCs w:val="17"/>
                <w:lang w:eastAsia="zh-TW"/>
              </w:rPr>
              <w:t>認可機構應將第</w:t>
            </w:r>
            <w:r w:rsidR="00894BC7" w:rsidRPr="006B027C">
              <w:rPr>
                <w:rFonts w:ascii="Calibri" w:eastAsia="新細明體" w:hAnsi="Calibri" w:cs="Segoe UI"/>
                <w:iCs/>
                <w:sz w:val="17"/>
                <w:szCs w:val="17"/>
                <w:lang w:eastAsia="zh-TW"/>
              </w:rPr>
              <w:t>1</w:t>
            </w:r>
            <w:r w:rsidR="00894BC7" w:rsidRPr="006B027C">
              <w:rPr>
                <w:rFonts w:ascii="Calibri" w:eastAsia="新細明體" w:hAnsi="Calibri" w:cs="Segoe UI" w:hint="eastAsia"/>
                <w:iCs/>
                <w:sz w:val="17"/>
                <w:szCs w:val="17"/>
                <w:lang w:eastAsia="zh-HK"/>
              </w:rPr>
              <w:t>組</w:t>
            </w:r>
            <w:r w:rsidR="00894BC7" w:rsidRPr="006B027C">
              <w:rPr>
                <w:rFonts w:ascii="Calibri" w:eastAsia="新細明體" w:hAnsi="Calibri" w:cs="Segoe UI" w:hint="eastAsia"/>
                <w:iCs/>
                <w:sz w:val="17"/>
                <w:szCs w:val="17"/>
                <w:lang w:eastAsia="zh-TW"/>
              </w:rPr>
              <w:t>加密資產風險承擔及第</w:t>
            </w:r>
            <w:r w:rsidR="00894BC7" w:rsidRPr="006B027C">
              <w:rPr>
                <w:rFonts w:ascii="Calibri" w:eastAsia="新細明體" w:hAnsi="Calibri" w:cs="Segoe UI"/>
                <w:iCs/>
                <w:sz w:val="17"/>
                <w:szCs w:val="17"/>
                <w:lang w:eastAsia="zh-TW"/>
              </w:rPr>
              <w:t>2</w:t>
            </w:r>
            <w:r w:rsidR="00894BC7" w:rsidRPr="006B027C">
              <w:rPr>
                <w:rFonts w:ascii="Calibri" w:eastAsia="新細明體" w:hAnsi="Calibri" w:cs="Segoe UI" w:hint="eastAsia"/>
                <w:iCs/>
                <w:sz w:val="17"/>
                <w:szCs w:val="17"/>
                <w:lang w:eastAsia="zh-HK"/>
              </w:rPr>
              <w:t>組</w:t>
            </w:r>
            <w:r w:rsidR="00894BC7" w:rsidRPr="006B027C">
              <w:rPr>
                <w:rFonts w:ascii="Calibri" w:eastAsia="新細明體" w:hAnsi="Calibri" w:cs="Segoe UI" w:hint="eastAsia"/>
                <w:iCs/>
                <w:sz w:val="17"/>
                <w:szCs w:val="17"/>
                <w:lang w:eastAsia="zh-TW"/>
              </w:rPr>
              <w:t>加密資產風險承擔，</w:t>
            </w:r>
            <w:r w:rsidR="00746542" w:rsidRPr="006B027C">
              <w:rPr>
                <w:rFonts w:ascii="Calibri" w:eastAsia="新細明體" w:hAnsi="Calibri" w:cs="Segoe UI" w:hint="eastAsia"/>
                <w:iCs/>
                <w:sz w:val="17"/>
                <w:szCs w:val="17"/>
                <w:lang w:eastAsia="zh-HK"/>
              </w:rPr>
              <w:t>納入</w:t>
            </w:r>
            <w:r w:rsidR="00746542" w:rsidRPr="006B027C">
              <w:rPr>
                <w:rFonts w:ascii="Calibri" w:eastAsia="新細明體" w:hAnsi="Calibri" w:cs="Segoe UI" w:hint="eastAsia"/>
                <w:iCs/>
                <w:sz w:val="17"/>
                <w:szCs w:val="17"/>
                <w:lang w:eastAsia="zh-TW"/>
              </w:rPr>
              <w:t>本模版的</w:t>
            </w:r>
            <w:r w:rsidR="00746542" w:rsidRPr="006B027C">
              <w:rPr>
                <w:rFonts w:ascii="Calibri" w:eastAsia="新細明體" w:hAnsi="Calibri" w:cs="Segoe UI" w:hint="eastAsia"/>
                <w:iCs/>
                <w:sz w:val="17"/>
                <w:szCs w:val="17"/>
                <w:lang w:eastAsia="zh-HK"/>
              </w:rPr>
              <w:t>所有</w:t>
            </w:r>
            <w:r w:rsidR="00746542" w:rsidRPr="006B027C">
              <w:rPr>
                <w:rFonts w:ascii="Calibri" w:eastAsia="新細明體" w:hAnsi="Calibri" w:cs="Segoe UI" w:hint="eastAsia"/>
                <w:iCs/>
                <w:sz w:val="17"/>
                <w:szCs w:val="17"/>
                <w:lang w:eastAsia="zh-TW"/>
              </w:rPr>
              <w:t>相關行</w:t>
            </w:r>
            <w:r w:rsidR="00746542" w:rsidRPr="006B027C">
              <w:rPr>
                <w:rFonts w:ascii="Calibri" w:eastAsia="新細明體" w:hAnsi="Calibri" w:cs="Segoe UI" w:hint="eastAsia"/>
                <w:iCs/>
                <w:sz w:val="17"/>
                <w:szCs w:val="17"/>
                <w:lang w:eastAsia="zh-HK"/>
              </w:rPr>
              <w:t>及</w:t>
            </w:r>
            <w:r w:rsidR="00746542" w:rsidRPr="006B027C">
              <w:rPr>
                <w:rFonts w:ascii="Calibri" w:eastAsia="新細明體" w:hAnsi="Calibri" w:cs="Segoe UI" w:hint="eastAsia"/>
                <w:iCs/>
                <w:sz w:val="17"/>
                <w:szCs w:val="17"/>
                <w:lang w:eastAsia="zh-TW"/>
              </w:rPr>
              <w:t>本披露方案</w:t>
            </w:r>
            <w:r w:rsidR="00746542" w:rsidRPr="006B027C">
              <w:rPr>
                <w:rFonts w:ascii="Calibri" w:eastAsia="新細明體" w:hAnsi="Calibri" w:cs="Segoe UI" w:hint="eastAsia"/>
                <w:iCs/>
                <w:sz w:val="17"/>
                <w:szCs w:val="17"/>
                <w:lang w:eastAsia="zh-HK"/>
              </w:rPr>
              <w:t>內其他</w:t>
            </w:r>
            <w:r w:rsidR="00746542" w:rsidRPr="006B027C">
              <w:rPr>
                <w:rFonts w:ascii="Calibri" w:eastAsia="新細明體" w:hAnsi="Calibri" w:cs="Segoe UI" w:hint="eastAsia"/>
                <w:iCs/>
                <w:sz w:val="17"/>
                <w:szCs w:val="17"/>
                <w:lang w:eastAsia="zh-TW"/>
              </w:rPr>
              <w:t>相關披露表及模版</w:t>
            </w:r>
            <w:r w:rsidR="00894BC7" w:rsidRPr="006B027C">
              <w:rPr>
                <w:rFonts w:ascii="Calibri" w:eastAsia="新細明體" w:hAnsi="Calibri" w:cs="Segoe UI" w:hint="eastAsia"/>
                <w:iCs/>
                <w:sz w:val="17"/>
                <w:szCs w:val="17"/>
                <w:lang w:eastAsia="zh-TW"/>
              </w:rPr>
              <w:t>（如適用）。</w:t>
            </w:r>
          </w:p>
        </w:tc>
      </w:tr>
    </w:tbl>
    <w:p w14:paraId="0E5418FB" w14:textId="3C11704E" w:rsidR="00EB1E72" w:rsidRPr="00387FC3" w:rsidRDefault="00DE58EA" w:rsidP="00D70E5B">
      <w:pPr>
        <w:spacing w:after="120" w:line="259" w:lineRule="auto"/>
        <w:rPr>
          <w:rFonts w:ascii="Calibri" w:eastAsia="SimSun" w:hAnsi="Calibri" w:cs="Segoe UI"/>
          <w:sz w:val="22"/>
          <w:szCs w:val="22"/>
          <w:lang w:eastAsia="zh-CN"/>
        </w:rPr>
      </w:pPr>
      <w:r>
        <w:rPr>
          <w:rFonts w:ascii="Calibri" w:eastAsia="新細明體" w:hAnsi="Calibri" w:cs="Segoe UI"/>
          <w:i/>
          <w:sz w:val="17"/>
          <w:szCs w:val="17"/>
          <w:lang w:eastAsia="zh-TW"/>
        </w:rPr>
        <w:t xml:space="preserve">  </w:t>
      </w:r>
      <w:r w:rsidR="00894BC7" w:rsidRPr="002F1C23">
        <w:rPr>
          <w:rFonts w:ascii="Calibri" w:eastAsia="新細明體" w:hAnsi="Calibri" w:cs="Segoe UI"/>
          <w:i/>
          <w:sz w:val="17"/>
          <w:szCs w:val="17"/>
          <w:lang w:eastAsia="zh-TW"/>
        </w:rPr>
        <w:t>N/A</w:t>
      </w:r>
      <w:r w:rsidR="00894BC7" w:rsidRPr="002F1C23">
        <w:rPr>
          <w:rFonts w:ascii="Calibri" w:eastAsia="新細明體" w:hAnsi="Calibri" w:cs="Segoe UI" w:hint="eastAsia"/>
          <w:i/>
          <w:sz w:val="17"/>
          <w:szCs w:val="17"/>
          <w:lang w:eastAsia="zh-TW"/>
        </w:rPr>
        <w:t>：不適用於香港</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9"/>
      </w:tblGrid>
      <w:tr w:rsidR="00EB1E72" w:rsidRPr="00EB1E72" w14:paraId="3020832F" w14:textId="77777777" w:rsidTr="00217BE5">
        <w:trPr>
          <w:tblHeader/>
        </w:trPr>
        <w:tc>
          <w:tcPr>
            <w:tcW w:w="9216" w:type="dxa"/>
            <w:gridSpan w:val="2"/>
            <w:shd w:val="clear" w:color="auto" w:fill="BFBFBF"/>
          </w:tcPr>
          <w:p w14:paraId="4B4EFBD9"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b/>
                <w:sz w:val="17"/>
                <w:szCs w:val="22"/>
                <w:lang w:eastAsia="zh-TW"/>
              </w:rPr>
            </w:pPr>
            <w:proofErr w:type="gramStart"/>
            <w:r w:rsidRPr="00EB1E72">
              <w:rPr>
                <w:rFonts w:ascii="Calibri" w:eastAsia="新細明體" w:hAnsi="Calibri" w:cs="Segoe UI"/>
                <w:b/>
                <w:sz w:val="17"/>
                <w:szCs w:val="22"/>
                <w:lang w:eastAsia="zh-TW"/>
              </w:rPr>
              <w:t>註</w:t>
            </w:r>
            <w:proofErr w:type="gramEnd"/>
            <w:r w:rsidRPr="00EB1E72">
              <w:rPr>
                <w:rFonts w:ascii="Calibri" w:eastAsia="新細明體" w:hAnsi="Calibri" w:cs="Segoe UI"/>
                <w:b/>
                <w:sz w:val="17"/>
                <w:szCs w:val="22"/>
                <w:lang w:eastAsia="zh-TW"/>
              </w:rPr>
              <w:t>釋</w:t>
            </w:r>
          </w:p>
        </w:tc>
      </w:tr>
      <w:tr w:rsidR="00EB1E72" w:rsidRPr="00EB1E72" w14:paraId="68CDDC3A" w14:textId="77777777" w:rsidTr="00217BE5">
        <w:trPr>
          <w:trHeight w:val="153"/>
        </w:trPr>
        <w:tc>
          <w:tcPr>
            <w:tcW w:w="9216" w:type="dxa"/>
            <w:gridSpan w:val="2"/>
            <w:shd w:val="clear" w:color="auto" w:fill="F2F2F2"/>
          </w:tcPr>
          <w:p w14:paraId="6A556342"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b/>
                <w:sz w:val="17"/>
                <w:szCs w:val="22"/>
                <w:lang w:eastAsia="zh-TW"/>
              </w:rPr>
            </w:pPr>
            <w:r w:rsidRPr="00EB1E72">
              <w:rPr>
                <w:rFonts w:ascii="Calibri" w:eastAsia="新細明體" w:hAnsi="Calibri" w:cs="Segoe UI"/>
                <w:b/>
                <w:sz w:val="17"/>
                <w:szCs w:val="22"/>
                <w:lang w:eastAsia="zh-TW"/>
              </w:rPr>
              <w:t>欄</w:t>
            </w:r>
          </w:p>
        </w:tc>
      </w:tr>
      <w:tr w:rsidR="00EB1E72" w:rsidRPr="00EB1E72" w14:paraId="3284D657" w14:textId="77777777" w:rsidTr="00217BE5">
        <w:tc>
          <w:tcPr>
            <w:tcW w:w="567" w:type="dxa"/>
            <w:shd w:val="clear" w:color="auto" w:fill="auto"/>
          </w:tcPr>
          <w:p w14:paraId="3C868393"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(a)</w:t>
            </w:r>
          </w:p>
        </w:tc>
        <w:tc>
          <w:tcPr>
            <w:tcW w:w="8649" w:type="dxa"/>
            <w:shd w:val="clear" w:color="auto" w:fill="auto"/>
          </w:tcPr>
          <w:p w14:paraId="0F726477"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細明體" w:hAnsi="Calibri" w:cs="Segoe UI"/>
                <w:i/>
                <w:kern w:val="2"/>
                <w:sz w:val="17"/>
                <w:szCs w:val="17"/>
                <w:lang w:val="en-US" w:eastAsia="zh-TW"/>
              </w:rPr>
              <w:t>風險加權數額</w:t>
            </w:r>
            <w:r w:rsidRPr="00EB1E72">
              <w:rPr>
                <w:rFonts w:ascii="Calibri" w:eastAsia="細明體" w:hAnsi="Calibri" w:cs="Segoe UI"/>
                <w:i/>
                <w:kern w:val="2"/>
                <w:sz w:val="17"/>
                <w:szCs w:val="17"/>
                <w:lang w:val="en-US" w:eastAsia="zh-TW"/>
              </w:rPr>
              <w:t xml:space="preserve"> (T)</w:t>
            </w:r>
            <w:r w:rsidRPr="00EB1E72">
              <w:rPr>
                <w:rFonts w:ascii="Calibri" w:eastAsia="細明體" w:hAnsi="Calibri" w:cs="Segoe UI"/>
                <w:kern w:val="2"/>
                <w:sz w:val="17"/>
                <w:szCs w:val="17"/>
                <w:lang w:val="en-US" w:eastAsia="zh-TW"/>
              </w:rPr>
              <w:t>：《資本規則》</w:t>
            </w:r>
            <w:proofErr w:type="gramStart"/>
            <w:r w:rsidRPr="00EB1E72">
              <w:rPr>
                <w:rFonts w:ascii="Calibri" w:eastAsia="細明體" w:hAnsi="Calibri" w:cs="Segoe UI"/>
                <w:kern w:val="2"/>
                <w:sz w:val="17"/>
                <w:szCs w:val="17"/>
                <w:lang w:val="en-US" w:eastAsia="zh-TW"/>
              </w:rPr>
              <w:t>所提述及</w:t>
            </w:r>
            <w:proofErr w:type="gramEnd"/>
            <w:r w:rsidRPr="00EB1E72">
              <w:rPr>
                <w:rFonts w:ascii="Calibri" w:eastAsia="細明體" w:hAnsi="Calibri" w:cs="Segoe UI"/>
                <w:kern w:val="2"/>
                <w:sz w:val="17"/>
                <w:szCs w:val="17"/>
                <w:lang w:val="en-US" w:eastAsia="zh-TW"/>
              </w:rPr>
              <w:t>按本文件其後各部分所填報的風險加權數額。如某計算法的輸出值為資本要求而非風險加權數額（例如市場風險及業務操作風險所使用的計算法），認可機構應將有關資本要求乘以</w:t>
            </w:r>
            <w:r w:rsidRPr="00EB1E72">
              <w:rPr>
                <w:rFonts w:ascii="Calibri" w:eastAsia="細明體" w:hAnsi="Calibri" w:cs="Segoe UI"/>
                <w:kern w:val="2"/>
                <w:sz w:val="17"/>
                <w:szCs w:val="17"/>
                <w:lang w:val="en-US" w:eastAsia="zh-TW"/>
              </w:rPr>
              <w:t>12.5</w:t>
            </w:r>
            <w:r w:rsidRPr="00EB1E72">
              <w:rPr>
                <w:rFonts w:ascii="Calibri" w:eastAsia="細明體" w:hAnsi="Calibri" w:cs="Segoe UI"/>
                <w:kern w:val="2"/>
                <w:sz w:val="17"/>
                <w:szCs w:val="17"/>
                <w:lang w:val="en-US" w:eastAsia="zh-TW"/>
              </w:rPr>
              <w:t>，以計算風險加權數額。</w:t>
            </w:r>
          </w:p>
        </w:tc>
      </w:tr>
      <w:tr w:rsidR="00EB1E72" w:rsidRPr="00EB1E72" w14:paraId="6C0B51E6" w14:textId="77777777" w:rsidTr="00217BE5">
        <w:trPr>
          <w:trHeight w:val="373"/>
        </w:trPr>
        <w:tc>
          <w:tcPr>
            <w:tcW w:w="567" w:type="dxa"/>
            <w:shd w:val="clear" w:color="auto" w:fill="auto"/>
          </w:tcPr>
          <w:p w14:paraId="2D1F886C"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en-GB"/>
              </w:rPr>
            </w:pPr>
            <w:r w:rsidRPr="00EB1E72">
              <w:rPr>
                <w:rFonts w:ascii="Calibri" w:eastAsia="新細明體" w:hAnsi="Calibri" w:cs="Segoe UI"/>
                <w:sz w:val="17"/>
                <w:szCs w:val="17"/>
                <w:lang w:eastAsia="en-GB"/>
              </w:rPr>
              <w:t>(b)</w:t>
            </w:r>
          </w:p>
        </w:tc>
        <w:tc>
          <w:tcPr>
            <w:tcW w:w="8649" w:type="dxa"/>
            <w:shd w:val="clear" w:color="auto" w:fill="auto"/>
          </w:tcPr>
          <w:p w14:paraId="2DC14F48"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細明體" w:hAnsi="Calibri" w:cs="Segoe UI"/>
                <w:i/>
                <w:kern w:val="2"/>
                <w:sz w:val="17"/>
                <w:szCs w:val="17"/>
                <w:lang w:val="en-US" w:eastAsia="zh-TW"/>
              </w:rPr>
              <w:t>風險加權數額</w:t>
            </w:r>
            <w:r w:rsidRPr="00EB1E72">
              <w:rPr>
                <w:rFonts w:ascii="Calibri" w:eastAsia="細明體" w:hAnsi="Calibri" w:cs="Segoe UI"/>
                <w:i/>
                <w:kern w:val="2"/>
                <w:sz w:val="17"/>
                <w:szCs w:val="17"/>
                <w:lang w:val="en-US" w:eastAsia="zh-TW"/>
              </w:rPr>
              <w:t xml:space="preserve"> (T-1)</w:t>
            </w:r>
            <w:r w:rsidRPr="00EB1E72">
              <w:rPr>
                <w:rFonts w:ascii="Calibri" w:eastAsia="細明體" w:hAnsi="Calibri" w:cs="Segoe UI"/>
                <w:kern w:val="2"/>
                <w:sz w:val="17"/>
                <w:szCs w:val="17"/>
                <w:lang w:val="en-US" w:eastAsia="zh-TW"/>
              </w:rPr>
              <w:t>：於上一個報告期（即上季度末）</w:t>
            </w:r>
            <w:proofErr w:type="gramStart"/>
            <w:r w:rsidRPr="00EB1E72">
              <w:rPr>
                <w:rFonts w:ascii="Calibri" w:eastAsia="細明體" w:hAnsi="Calibri" w:cs="Segoe UI"/>
                <w:kern w:val="2"/>
                <w:sz w:val="17"/>
                <w:szCs w:val="17"/>
                <w:lang w:val="en-US" w:eastAsia="zh-TW"/>
              </w:rPr>
              <w:t>在本模版</w:t>
            </w:r>
            <w:proofErr w:type="gramEnd"/>
            <w:r w:rsidRPr="00EB1E72">
              <w:rPr>
                <w:rFonts w:ascii="Calibri" w:eastAsia="細明體" w:hAnsi="Calibri" w:cs="Segoe UI"/>
                <w:kern w:val="2"/>
                <w:sz w:val="17"/>
                <w:szCs w:val="17"/>
                <w:lang w:val="en-US" w:eastAsia="zh-TW"/>
              </w:rPr>
              <w:t>填報的風險加權數額。</w:t>
            </w:r>
          </w:p>
        </w:tc>
      </w:tr>
      <w:tr w:rsidR="00EB1E72" w:rsidRPr="00EB1E72" w14:paraId="164A9889" w14:textId="77777777" w:rsidTr="00217BE5">
        <w:tc>
          <w:tcPr>
            <w:tcW w:w="567" w:type="dxa"/>
            <w:shd w:val="clear" w:color="auto" w:fill="auto"/>
          </w:tcPr>
          <w:p w14:paraId="0951CF1B"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en-GB"/>
              </w:rPr>
            </w:pPr>
            <w:r w:rsidRPr="00EB1E72">
              <w:rPr>
                <w:rFonts w:ascii="Calibri" w:eastAsia="新細明體" w:hAnsi="Calibri" w:cs="Segoe UI"/>
                <w:sz w:val="17"/>
                <w:szCs w:val="17"/>
                <w:lang w:eastAsia="en-GB"/>
              </w:rPr>
              <w:t>(c)</w:t>
            </w:r>
          </w:p>
        </w:tc>
        <w:tc>
          <w:tcPr>
            <w:tcW w:w="8649" w:type="dxa"/>
            <w:shd w:val="clear" w:color="auto" w:fill="auto"/>
          </w:tcPr>
          <w:p w14:paraId="2282FDAD" w14:textId="383D7C40"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細明體" w:hAnsi="Calibri" w:cs="Segoe UI"/>
                <w:i/>
                <w:kern w:val="2"/>
                <w:sz w:val="17"/>
                <w:szCs w:val="17"/>
                <w:lang w:val="en-US" w:eastAsia="zh-TW"/>
              </w:rPr>
              <w:t>最低資本規定</w:t>
            </w:r>
            <w:r w:rsidRPr="00EB1E72">
              <w:rPr>
                <w:rFonts w:ascii="Calibri" w:eastAsia="細明體" w:hAnsi="Calibri" w:cs="Segoe UI"/>
                <w:i/>
                <w:kern w:val="2"/>
                <w:sz w:val="17"/>
                <w:szCs w:val="17"/>
                <w:lang w:val="en-US" w:eastAsia="zh-TW"/>
              </w:rPr>
              <w:t xml:space="preserve"> (T)</w:t>
            </w:r>
            <w:r w:rsidRPr="00EB1E72">
              <w:rPr>
                <w:rFonts w:ascii="Calibri" w:eastAsia="細明體" w:hAnsi="Calibri" w:cs="Segoe UI"/>
                <w:kern w:val="2"/>
                <w:sz w:val="17"/>
                <w:szCs w:val="17"/>
                <w:lang w:val="en-US" w:eastAsia="zh-TW"/>
              </w:rPr>
              <w:t>：第一支柱資本規定，一般是按風險加權數額的</w:t>
            </w:r>
            <w:r w:rsidRPr="00EB1E72">
              <w:rPr>
                <w:rFonts w:ascii="Calibri" w:eastAsia="細明體" w:hAnsi="Calibri" w:cs="Segoe UI"/>
                <w:kern w:val="2"/>
                <w:sz w:val="17"/>
                <w:szCs w:val="17"/>
                <w:lang w:val="en-US" w:eastAsia="zh-TW"/>
              </w:rPr>
              <w:t>8%</w:t>
            </w:r>
            <w:r w:rsidRPr="00EB1E72">
              <w:rPr>
                <w:rFonts w:ascii="Calibri" w:eastAsia="細明體" w:hAnsi="Calibri" w:cs="Segoe UI"/>
                <w:kern w:val="2"/>
                <w:sz w:val="17"/>
                <w:szCs w:val="17"/>
                <w:lang w:val="en-US" w:eastAsia="zh-TW"/>
              </w:rPr>
              <w:t>計算。</w:t>
            </w:r>
          </w:p>
        </w:tc>
      </w:tr>
      <w:tr w:rsidR="00EB1E72" w:rsidRPr="00EB1E72" w14:paraId="637F9DD8" w14:textId="77777777" w:rsidTr="00217BE5">
        <w:tc>
          <w:tcPr>
            <w:tcW w:w="9216" w:type="dxa"/>
            <w:gridSpan w:val="2"/>
            <w:shd w:val="clear" w:color="auto" w:fill="F2F2F2"/>
          </w:tcPr>
          <w:p w14:paraId="46CA8C92"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b/>
                <w:sz w:val="17"/>
                <w:szCs w:val="22"/>
                <w:lang w:eastAsia="en-GB"/>
              </w:rPr>
            </w:pPr>
            <w:r w:rsidRPr="00EB1E72">
              <w:rPr>
                <w:rFonts w:ascii="Calibri" w:eastAsia="新細明體" w:hAnsi="Calibri" w:cs="Segoe UI"/>
                <w:b/>
                <w:sz w:val="17"/>
                <w:szCs w:val="22"/>
                <w:lang w:eastAsia="zh-TW"/>
              </w:rPr>
              <w:t>行</w:t>
            </w:r>
          </w:p>
        </w:tc>
      </w:tr>
      <w:tr w:rsidR="00EB1E72" w:rsidRPr="00EB1E72" w14:paraId="0FB718DB" w14:textId="77777777" w:rsidTr="00217BE5">
        <w:tc>
          <w:tcPr>
            <w:tcW w:w="567" w:type="dxa"/>
            <w:shd w:val="clear" w:color="auto" w:fill="auto"/>
          </w:tcPr>
          <w:p w14:paraId="31D75B62"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CN"/>
              </w:rPr>
              <w:t>1</w:t>
            </w:r>
          </w:p>
        </w:tc>
        <w:tc>
          <w:tcPr>
            <w:tcW w:w="8649" w:type="dxa"/>
            <w:shd w:val="clear" w:color="auto" w:fill="auto"/>
          </w:tcPr>
          <w:p w14:paraId="2DD9985E" w14:textId="1013125D" w:rsidR="00EB1E72" w:rsidRPr="00EB1E72" w:rsidRDefault="00EB1E72" w:rsidP="00B6247B">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細明體" w:hAnsi="Calibri" w:cs="Segoe UI"/>
                <w:i/>
                <w:kern w:val="2"/>
                <w:sz w:val="17"/>
                <w:szCs w:val="17"/>
                <w:lang w:val="en-US" w:eastAsia="zh-TW"/>
              </w:rPr>
              <w:t>非證券化類別風險承擔的信用風險</w:t>
            </w:r>
            <w:r w:rsidRPr="00EB1E72">
              <w:rPr>
                <w:rFonts w:ascii="Calibri" w:eastAsia="細明體" w:hAnsi="Calibri" w:cs="Segoe UI"/>
                <w:kern w:val="2"/>
                <w:sz w:val="17"/>
                <w:szCs w:val="17"/>
                <w:lang w:val="en-US" w:eastAsia="zh-TW"/>
              </w:rPr>
              <w:t>：按照信用風險框架在本</w:t>
            </w:r>
            <w:r w:rsidRPr="001177B0">
              <w:rPr>
                <w:rFonts w:ascii="Calibri" w:eastAsia="新細明體" w:hAnsi="Calibri" w:cs="Segoe UI"/>
                <w:sz w:val="17"/>
                <w:szCs w:val="17"/>
                <w:lang w:eastAsia="zh-TW"/>
              </w:rPr>
              <w:t>文件第</w:t>
            </w:r>
            <w:r w:rsidRPr="001177B0">
              <w:rPr>
                <w:rFonts w:ascii="Calibri" w:eastAsia="新細明體" w:hAnsi="Calibri" w:cs="Segoe UI"/>
                <w:sz w:val="17"/>
                <w:szCs w:val="17"/>
                <w:lang w:eastAsia="zh-TW"/>
              </w:rPr>
              <w:t>III</w:t>
            </w:r>
            <w:proofErr w:type="gramStart"/>
            <w:r w:rsidRPr="001177B0">
              <w:rPr>
                <w:rFonts w:ascii="Calibri" w:eastAsia="新細明體" w:hAnsi="Calibri" w:cs="Segoe UI"/>
                <w:sz w:val="17"/>
                <w:szCs w:val="17"/>
                <w:lang w:eastAsia="zh-TW"/>
              </w:rPr>
              <w:t>部</w:t>
            </w:r>
            <w:r w:rsidR="00B6247B" w:rsidRPr="002910BC">
              <w:rPr>
                <w:rFonts w:ascii="細明體" w:eastAsia="細明體" w:hAnsi="細明體" w:cs="Segoe UI" w:hint="eastAsia"/>
                <w:sz w:val="17"/>
                <w:szCs w:val="17"/>
                <w:lang w:eastAsia="zh-TW"/>
              </w:rPr>
              <w:t>和第</w:t>
            </w:r>
            <w:proofErr w:type="gramEnd"/>
            <w:r w:rsidR="00B6247B" w:rsidRPr="001177B0">
              <w:rPr>
                <w:rFonts w:ascii="Calibri" w:eastAsia="新細明體" w:hAnsi="Calibri" w:cs="Segoe UI"/>
                <w:sz w:val="17"/>
                <w:szCs w:val="17"/>
                <w:lang w:eastAsia="zh-TW"/>
              </w:rPr>
              <w:t>XII</w:t>
            </w:r>
            <w:r w:rsidR="00B6247B" w:rsidRPr="002910BC">
              <w:rPr>
                <w:rFonts w:ascii="細明體" w:eastAsia="細明體" w:hAnsi="細明體" w:cs="Segoe UI" w:hint="eastAsia"/>
                <w:sz w:val="17"/>
                <w:szCs w:val="17"/>
                <w:lang w:eastAsia="zh-TW"/>
              </w:rPr>
              <w:t>部</w:t>
            </w:r>
            <w:r w:rsidRPr="001177B0">
              <w:rPr>
                <w:rFonts w:ascii="Calibri" w:eastAsia="新細明體" w:hAnsi="Calibri" w:cs="Segoe UI"/>
                <w:sz w:val="17"/>
                <w:szCs w:val="17"/>
                <w:lang w:eastAsia="zh-TW"/>
              </w:rPr>
              <w:t>填報的風險</w:t>
            </w:r>
            <w:r w:rsidRPr="00EB1E72">
              <w:rPr>
                <w:rFonts w:ascii="Calibri" w:eastAsia="細明體" w:hAnsi="Calibri" w:cs="Segoe UI"/>
                <w:kern w:val="2"/>
                <w:sz w:val="17"/>
                <w:szCs w:val="17"/>
                <w:lang w:val="en-US" w:eastAsia="zh-TW"/>
              </w:rPr>
              <w:t>加權數額及資本規定。有關數額不包括</w:t>
            </w:r>
            <w:r w:rsidR="000107CE" w:rsidRPr="000107CE">
              <w:rPr>
                <w:rFonts w:ascii="Calibri" w:eastAsia="細明體" w:hAnsi="Calibri" w:cs="Segoe UI" w:hint="eastAsia"/>
                <w:kern w:val="2"/>
                <w:sz w:val="17"/>
                <w:szCs w:val="17"/>
                <w:lang w:val="en-US" w:eastAsia="zh-TW"/>
              </w:rPr>
              <w:t>由</w:t>
            </w:r>
            <w:r w:rsidRPr="00217BE5">
              <w:rPr>
                <w:rFonts w:ascii="Calibri" w:eastAsia="細明體" w:hAnsi="Calibri" w:cs="Segoe UI" w:hint="eastAsia"/>
                <w:kern w:val="2"/>
                <w:sz w:val="17"/>
                <w:szCs w:val="17"/>
                <w:lang w:val="en-US" w:eastAsia="zh-TW"/>
              </w:rPr>
              <w:t>對手方</w:t>
            </w:r>
            <w:r w:rsidRPr="00036A3A">
              <w:rPr>
                <w:rFonts w:ascii="Calibri" w:eastAsia="細明體" w:hAnsi="Calibri" w:cs="Segoe UI" w:hint="eastAsia"/>
                <w:kern w:val="2"/>
                <w:sz w:val="17"/>
                <w:szCs w:val="17"/>
                <w:lang w:val="en-US" w:eastAsia="zh-TW"/>
              </w:rPr>
              <w:t>信用</w:t>
            </w:r>
            <w:r w:rsidRPr="00217BE5">
              <w:rPr>
                <w:rFonts w:ascii="Calibri" w:eastAsia="細明體" w:hAnsi="Calibri" w:cs="Segoe UI" w:hint="eastAsia"/>
                <w:kern w:val="2"/>
                <w:sz w:val="17"/>
                <w:szCs w:val="17"/>
                <w:lang w:val="en-US" w:eastAsia="zh-TW"/>
              </w:rPr>
              <w:t>風險</w:t>
            </w:r>
            <w:proofErr w:type="gramStart"/>
            <w:r w:rsidRPr="00036A3A">
              <w:rPr>
                <w:rFonts w:ascii="Calibri" w:eastAsia="新細明體" w:hAnsi="Calibri" w:cs="Segoe UI"/>
                <w:sz w:val="17"/>
                <w:szCs w:val="17"/>
                <w:lang w:eastAsia="zh-TW"/>
              </w:rPr>
              <w:t>及違責基金</w:t>
            </w:r>
            <w:proofErr w:type="gramEnd"/>
            <w:r w:rsidRPr="00036A3A">
              <w:rPr>
                <w:rFonts w:ascii="Calibri" w:eastAsia="新細明體" w:hAnsi="Calibri" w:cs="Segoe UI"/>
                <w:sz w:val="17"/>
                <w:szCs w:val="17"/>
                <w:lang w:eastAsia="zh-TW"/>
              </w:rPr>
              <w:t>承</w:t>
            </w:r>
            <w:r w:rsidRPr="00EB1E72">
              <w:rPr>
                <w:rFonts w:ascii="Calibri" w:eastAsia="新細明體" w:hAnsi="Calibri" w:cs="Segoe UI"/>
                <w:sz w:val="17"/>
                <w:szCs w:val="17"/>
                <w:lang w:eastAsia="zh-TW"/>
              </w:rPr>
              <w:t>擔</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CVA</w:t>
            </w:r>
            <w:r w:rsidRPr="00EB1E72">
              <w:rPr>
                <w:rFonts w:ascii="Calibri" w:eastAsia="新細明體" w:hAnsi="Calibri" w:cs="Segoe UI"/>
                <w:sz w:val="17"/>
                <w:szCs w:val="17"/>
                <w:lang w:eastAsia="zh-TW"/>
              </w:rPr>
              <w:t>風險</w:t>
            </w:r>
            <w:r w:rsidRPr="00EB1E72">
              <w:rPr>
                <w:rFonts w:ascii="Calibri" w:eastAsia="細明體" w:hAnsi="Calibri" w:cs="Segoe UI"/>
                <w:kern w:val="2"/>
                <w:sz w:val="17"/>
                <w:szCs w:val="17"/>
                <w:lang w:val="en-US" w:eastAsia="zh-TW"/>
              </w:rPr>
              <w:t>、</w:t>
            </w:r>
            <w:r w:rsidRPr="00EB1E72">
              <w:rPr>
                <w:rFonts w:ascii="Calibri" w:eastAsia="細明體" w:hAnsi="Calibri" w:cs="Segoe UI" w:hint="eastAsia"/>
                <w:kern w:val="2"/>
                <w:sz w:val="17"/>
                <w:szCs w:val="17"/>
                <w:lang w:val="en-US" w:eastAsia="zh-TW"/>
              </w:rPr>
              <w:t>CIS</w:t>
            </w:r>
            <w:r w:rsidRPr="00EB1E72">
              <w:rPr>
                <w:rFonts w:ascii="Calibri" w:eastAsia="新細明體" w:hAnsi="Calibri" w:cs="Segoe UI"/>
                <w:sz w:val="17"/>
                <w:szCs w:val="17"/>
                <w:lang w:eastAsia="zh-TW"/>
              </w:rPr>
              <w:t>風險承擔</w:t>
            </w:r>
            <w:r w:rsidRPr="00EB1E72">
              <w:rPr>
                <w:rFonts w:ascii="Calibri" w:eastAsia="細明體" w:hAnsi="Calibri" w:cs="Segoe UI"/>
                <w:kern w:val="2"/>
                <w:sz w:val="17"/>
                <w:szCs w:val="17"/>
                <w:lang w:val="en-US" w:eastAsia="zh-TW"/>
              </w:rPr>
              <w:t>、</w:t>
            </w:r>
            <w:proofErr w:type="gramStart"/>
            <w:r w:rsidRPr="00EB1E72">
              <w:rPr>
                <w:rFonts w:ascii="Calibri" w:eastAsia="細明體" w:hAnsi="Calibri" w:cs="Segoe UI"/>
                <w:kern w:val="2"/>
                <w:sz w:val="17"/>
                <w:szCs w:val="17"/>
                <w:lang w:val="en-US" w:eastAsia="zh-TW"/>
              </w:rPr>
              <w:t>交收風險</w:t>
            </w:r>
            <w:proofErr w:type="gramEnd"/>
            <w:r w:rsidRPr="00EB1E72">
              <w:rPr>
                <w:rFonts w:ascii="Calibri" w:eastAsia="細明體" w:hAnsi="Calibri" w:cs="Segoe UI"/>
                <w:kern w:val="2"/>
                <w:sz w:val="17"/>
                <w:szCs w:val="17"/>
                <w:lang w:val="en-US" w:eastAsia="zh-TW"/>
              </w:rPr>
              <w:t>及證券化框架（例如銀行帳內的證券化類別風險承擔）</w:t>
            </w:r>
            <w:r w:rsidRPr="00EB1E72">
              <w:rPr>
                <w:rFonts w:ascii="Calibri" w:eastAsia="新細明體" w:hAnsi="Calibri" w:cs="Segoe UI"/>
                <w:sz w:val="17"/>
                <w:szCs w:val="17"/>
                <w:lang w:eastAsia="zh-TW"/>
              </w:rPr>
              <w:t>，</w:t>
            </w:r>
            <w:r w:rsidRPr="00EB1E72">
              <w:rPr>
                <w:rFonts w:ascii="Calibri" w:eastAsia="新細明體" w:hAnsi="Calibri" w:cs="Segoe UI" w:hint="eastAsia"/>
                <w:sz w:val="17"/>
                <w:szCs w:val="17"/>
                <w:lang w:eastAsia="zh-HK"/>
              </w:rPr>
              <w:t>以</w:t>
            </w:r>
            <w:r w:rsidRPr="00EB1E72">
              <w:rPr>
                <w:rFonts w:ascii="Calibri" w:eastAsia="新細明體" w:hAnsi="Calibri" w:cs="Segoe UI"/>
                <w:sz w:val="17"/>
                <w:szCs w:val="17"/>
                <w:lang w:eastAsia="zh-TW"/>
              </w:rPr>
              <w:t>及低於扣減門檻</w:t>
            </w:r>
            <w:r w:rsidR="007B5D5C" w:rsidRPr="007B5D5C">
              <w:rPr>
                <w:rFonts w:ascii="Calibri" w:eastAsia="新細明體" w:hAnsi="Calibri" w:cs="Segoe UI" w:hint="eastAsia"/>
                <w:sz w:val="17"/>
                <w:szCs w:val="17"/>
                <w:lang w:eastAsia="zh-TW"/>
              </w:rPr>
              <w:t>並</w:t>
            </w:r>
            <w:r w:rsidRPr="00EB1E72">
              <w:rPr>
                <w:rFonts w:ascii="Calibri" w:eastAsia="新細明體" w:hAnsi="Calibri" w:cs="Segoe UI" w:hint="eastAsia"/>
                <w:sz w:val="17"/>
                <w:szCs w:val="17"/>
                <w:lang w:eastAsia="zh-HK"/>
              </w:rPr>
              <w:t>須計算</w:t>
            </w:r>
            <w:r w:rsidRPr="00EB1E72">
              <w:rPr>
                <w:rFonts w:ascii="Calibri" w:eastAsia="新細明體" w:hAnsi="Calibri" w:cs="Segoe UI" w:hint="eastAsia"/>
                <w:sz w:val="17"/>
                <w:szCs w:val="17"/>
                <w:lang w:eastAsia="zh-TW"/>
              </w:rPr>
              <w:t>250%</w:t>
            </w:r>
            <w:r w:rsidRPr="00EB1E72">
              <w:rPr>
                <w:rFonts w:ascii="Calibri" w:eastAsia="新細明體" w:hAnsi="Calibri" w:cs="Segoe UI"/>
                <w:sz w:val="17"/>
                <w:szCs w:val="17"/>
                <w:lang w:eastAsia="zh-TW"/>
              </w:rPr>
              <w:t>風險權</w:t>
            </w:r>
            <w:r w:rsidRPr="00EB1E72">
              <w:rPr>
                <w:rFonts w:ascii="Calibri" w:eastAsia="新細明體" w:hAnsi="Calibri" w:cs="Segoe UI" w:hint="eastAsia"/>
                <w:sz w:val="17"/>
                <w:szCs w:val="17"/>
                <w:lang w:eastAsia="zh-HK"/>
              </w:rPr>
              <w:t>重</w:t>
            </w:r>
            <w:r w:rsidRPr="00EB1E72">
              <w:rPr>
                <w:rFonts w:ascii="Calibri" w:eastAsia="新細明體" w:hAnsi="Calibri" w:cs="Segoe UI"/>
                <w:sz w:val="17"/>
                <w:szCs w:val="17"/>
                <w:lang w:eastAsia="zh-TW"/>
              </w:rPr>
              <w:t>的數額</w:t>
            </w:r>
            <w:r w:rsidR="006357BB">
              <w:rPr>
                <w:rFonts w:ascii="Calibri" w:eastAsia="細明體" w:hAnsi="Calibri" w:cs="Segoe UI" w:hint="eastAsia"/>
                <w:kern w:val="2"/>
                <w:sz w:val="17"/>
                <w:szCs w:val="17"/>
                <w:lang w:val="en-US" w:eastAsia="zh-HK"/>
              </w:rPr>
              <w:t>所產生</w:t>
            </w:r>
            <w:r w:rsidR="006357BB" w:rsidRPr="00EB1E72">
              <w:rPr>
                <w:rFonts w:ascii="Calibri" w:eastAsia="細明體" w:hAnsi="Calibri" w:cs="Segoe UI" w:hint="eastAsia"/>
                <w:kern w:val="2"/>
                <w:sz w:val="17"/>
                <w:szCs w:val="17"/>
                <w:lang w:val="en-US" w:eastAsia="zh-HK"/>
              </w:rPr>
              <w:t>的風險加權數額及</w:t>
            </w:r>
            <w:r w:rsidR="006357BB" w:rsidRPr="00EB1E72">
              <w:rPr>
                <w:rFonts w:ascii="Calibri" w:eastAsia="細明體" w:hAnsi="Calibri" w:cs="Segoe UI"/>
                <w:kern w:val="2"/>
                <w:sz w:val="17"/>
                <w:szCs w:val="17"/>
                <w:lang w:val="en-US" w:eastAsia="zh-TW"/>
              </w:rPr>
              <w:t>資本規定</w:t>
            </w:r>
            <w:r w:rsidRPr="00EB1E72">
              <w:rPr>
                <w:rFonts w:ascii="Calibri" w:eastAsia="細明體" w:hAnsi="Calibri" w:cs="Segoe UI"/>
                <w:kern w:val="2"/>
                <w:sz w:val="17"/>
                <w:szCs w:val="17"/>
                <w:lang w:val="en-US" w:eastAsia="zh-TW"/>
              </w:rPr>
              <w:t>。</w:t>
            </w:r>
          </w:p>
        </w:tc>
      </w:tr>
      <w:tr w:rsidR="00EB1E72" w:rsidRPr="00EB1E72" w14:paraId="734E62A8" w14:textId="77777777" w:rsidTr="00217BE5">
        <w:tc>
          <w:tcPr>
            <w:tcW w:w="567" w:type="dxa"/>
            <w:shd w:val="clear" w:color="auto" w:fill="auto"/>
          </w:tcPr>
          <w:p w14:paraId="7E4140B4"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2</w:t>
            </w:r>
          </w:p>
        </w:tc>
        <w:tc>
          <w:tcPr>
            <w:tcW w:w="8649" w:type="dxa"/>
            <w:shd w:val="clear" w:color="auto" w:fill="auto"/>
          </w:tcPr>
          <w:p w14:paraId="285C2D9B" w14:textId="4DA68B0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STC</w:t>
            </w:r>
            <w:r w:rsidRPr="00EB1E72">
              <w:rPr>
                <w:rFonts w:ascii="Calibri" w:eastAsia="新細明體" w:hAnsi="Calibri" w:cs="Segoe UI"/>
                <w:i/>
                <w:sz w:val="17"/>
                <w:szCs w:val="17"/>
                <w:lang w:eastAsia="zh-TW"/>
              </w:rPr>
              <w:t>計算法</w:t>
            </w:r>
            <w:r w:rsidRPr="00EB1E72">
              <w:rPr>
                <w:rFonts w:ascii="Calibri" w:eastAsia="新細明體" w:hAnsi="Calibri" w:cs="Segoe UI"/>
                <w:sz w:val="17"/>
                <w:szCs w:val="17"/>
                <w:lang w:eastAsia="zh-TW"/>
              </w:rPr>
              <w:t>：根據《資本規則》使用</w:t>
            </w:r>
            <w:r w:rsidRPr="00EB1E72">
              <w:rPr>
                <w:rFonts w:ascii="Calibri" w:eastAsia="新細明體" w:hAnsi="Calibri" w:cs="Segoe UI"/>
                <w:sz w:val="17"/>
                <w:szCs w:val="17"/>
                <w:lang w:eastAsia="zh-TW"/>
              </w:rPr>
              <w:t>STC</w:t>
            </w:r>
            <w:r w:rsidRPr="00EB1E72">
              <w:rPr>
                <w:rFonts w:ascii="Calibri" w:eastAsia="新細明體" w:hAnsi="Calibri" w:cs="Segoe UI"/>
                <w:sz w:val="17"/>
                <w:szCs w:val="17"/>
                <w:lang w:eastAsia="zh-TW"/>
              </w:rPr>
              <w:t>計算法計算的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及資本規定。就中期或周年報告期而言，</w:t>
            </w:r>
            <w:r w:rsidRPr="00EB1E72">
              <w:rPr>
                <w:rFonts w:ascii="Calibri" w:eastAsia="新細明體" w:hAnsi="Calibri" w:cs="Segoe UI"/>
                <w:sz w:val="17"/>
                <w:szCs w:val="17"/>
                <w:lang w:eastAsia="zh-TW"/>
              </w:rPr>
              <w:t>[OV1: 2/</w:t>
            </w:r>
            <w:proofErr w:type="gramStart"/>
            <w:r w:rsidRPr="00EB1E72">
              <w:rPr>
                <w:rFonts w:ascii="Calibri" w:eastAsia="新細明體" w:hAnsi="Calibri" w:cs="Segoe UI"/>
                <w:sz w:val="17"/>
                <w:szCs w:val="17"/>
                <w:lang w:eastAsia="zh-TW"/>
              </w:rPr>
              <w:t>a]</w:t>
            </w:r>
            <w:r w:rsidRPr="00EB1E72">
              <w:rPr>
                <w:rFonts w:ascii="Calibri" w:eastAsia="新細明體" w:hAnsi="Calibri" w:cs="Segoe UI"/>
                <w:sz w:val="17"/>
                <w:szCs w:val="17"/>
                <w:lang w:eastAsia="zh-TW"/>
              </w:rPr>
              <w:t>的值應相等於</w:t>
            </w:r>
            <w:proofErr w:type="gramEnd"/>
            <w:r w:rsidRPr="00EB1E72">
              <w:rPr>
                <w:rFonts w:ascii="Calibri" w:eastAsia="新細明體" w:hAnsi="Calibri" w:cs="Segoe UI"/>
                <w:sz w:val="17"/>
                <w:szCs w:val="17"/>
                <w:lang w:eastAsia="zh-TW"/>
              </w:rPr>
              <w:t xml:space="preserve">[CR4(STC): </w:t>
            </w:r>
            <w:r w:rsidR="00FE1315">
              <w:rPr>
                <w:rFonts w:ascii="Calibri" w:eastAsia="新細明體" w:hAnsi="Calibri" w:cs="Segoe UI" w:hint="eastAsia"/>
                <w:sz w:val="17"/>
                <w:szCs w:val="17"/>
                <w:lang w:eastAsia="zh-TW"/>
              </w:rPr>
              <w:t>12</w:t>
            </w:r>
            <w:r w:rsidRPr="00EB1E72">
              <w:rPr>
                <w:rFonts w:ascii="Calibri" w:eastAsia="新細明體" w:hAnsi="Calibri" w:cs="Segoe UI"/>
                <w:sz w:val="17"/>
                <w:szCs w:val="17"/>
                <w:lang w:eastAsia="zh-TW"/>
              </w:rPr>
              <w:t>/e]</w:t>
            </w:r>
            <w:r w:rsidRPr="00EB1E72">
              <w:rPr>
                <w:rFonts w:ascii="Calibri" w:eastAsia="新細明體" w:hAnsi="Calibri" w:cs="Segoe UI"/>
                <w:sz w:val="17"/>
                <w:szCs w:val="17"/>
                <w:lang w:eastAsia="zh-TW"/>
              </w:rPr>
              <w:t>的值。</w:t>
            </w:r>
            <w:r w:rsidRPr="00EB1E72">
              <w:rPr>
                <w:rFonts w:ascii="Calibri" w:eastAsia="新細明體" w:hAnsi="Calibri" w:cs="Segoe UI"/>
                <w:sz w:val="17"/>
                <w:szCs w:val="17"/>
                <w:lang w:eastAsia="zh-TW"/>
              </w:rPr>
              <w:t xml:space="preserve"> </w:t>
            </w:r>
          </w:p>
        </w:tc>
      </w:tr>
      <w:tr w:rsidR="00EB1E72" w:rsidRPr="00EB1E72" w14:paraId="4C96F0B2" w14:textId="77777777" w:rsidTr="00217BE5">
        <w:tc>
          <w:tcPr>
            <w:tcW w:w="567" w:type="dxa"/>
            <w:shd w:val="clear" w:color="auto" w:fill="auto"/>
          </w:tcPr>
          <w:p w14:paraId="212BAE96"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2a</w:t>
            </w:r>
          </w:p>
        </w:tc>
        <w:tc>
          <w:tcPr>
            <w:tcW w:w="8649" w:type="dxa"/>
            <w:shd w:val="clear" w:color="auto" w:fill="auto"/>
          </w:tcPr>
          <w:p w14:paraId="23D5652B" w14:textId="1EA029F1"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BSC</w:t>
            </w:r>
            <w:r w:rsidRPr="00EB1E72">
              <w:rPr>
                <w:rFonts w:ascii="Calibri" w:eastAsia="新細明體" w:hAnsi="Calibri" w:cs="Segoe UI"/>
                <w:i/>
                <w:sz w:val="17"/>
                <w:szCs w:val="17"/>
                <w:lang w:eastAsia="zh-TW"/>
              </w:rPr>
              <w:t>計算法</w:t>
            </w:r>
            <w:r w:rsidRPr="00EB1E72">
              <w:rPr>
                <w:rFonts w:ascii="Calibri" w:eastAsia="新細明體" w:hAnsi="Calibri" w:cs="Segoe UI"/>
                <w:sz w:val="17"/>
                <w:szCs w:val="17"/>
                <w:lang w:eastAsia="zh-TW"/>
              </w:rPr>
              <w:t>：根據《資本規則》使用</w:t>
            </w:r>
            <w:r w:rsidRPr="00EB1E72">
              <w:rPr>
                <w:rFonts w:ascii="Calibri" w:eastAsia="新細明體" w:hAnsi="Calibri" w:cs="Segoe UI"/>
                <w:sz w:val="17"/>
                <w:szCs w:val="17"/>
                <w:lang w:eastAsia="zh-TW"/>
              </w:rPr>
              <w:t>BSC</w:t>
            </w:r>
            <w:r w:rsidRPr="00EB1E72">
              <w:rPr>
                <w:rFonts w:ascii="Calibri" w:eastAsia="新細明體" w:hAnsi="Calibri" w:cs="Segoe UI"/>
                <w:sz w:val="17"/>
                <w:szCs w:val="17"/>
                <w:lang w:eastAsia="zh-TW"/>
              </w:rPr>
              <w:t>計算法計算的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及資本規定。就中期或周年報告期而言，</w:t>
            </w:r>
            <w:r w:rsidRPr="00EB1E72">
              <w:rPr>
                <w:rFonts w:ascii="Calibri" w:eastAsia="新細明體" w:hAnsi="Calibri" w:cs="Segoe UI"/>
                <w:sz w:val="17"/>
                <w:szCs w:val="17"/>
                <w:lang w:eastAsia="zh-TW"/>
              </w:rPr>
              <w:t>[OV1: 2a/</w:t>
            </w:r>
            <w:proofErr w:type="gramStart"/>
            <w:r w:rsidRPr="00EB1E72">
              <w:rPr>
                <w:rFonts w:ascii="Calibri" w:eastAsia="新細明體" w:hAnsi="Calibri" w:cs="Segoe UI"/>
                <w:sz w:val="17"/>
                <w:szCs w:val="17"/>
                <w:lang w:eastAsia="zh-TW"/>
              </w:rPr>
              <w:t>a]</w:t>
            </w:r>
            <w:r w:rsidRPr="00EB1E72">
              <w:rPr>
                <w:rFonts w:ascii="Calibri" w:eastAsia="新細明體" w:hAnsi="Calibri" w:cs="Segoe UI"/>
                <w:sz w:val="17"/>
                <w:szCs w:val="17"/>
                <w:lang w:eastAsia="zh-TW"/>
              </w:rPr>
              <w:t>的值應相等於</w:t>
            </w:r>
            <w:proofErr w:type="gramEnd"/>
            <w:r w:rsidRPr="00EB1E72">
              <w:rPr>
                <w:rFonts w:ascii="Calibri" w:eastAsia="新細明體" w:hAnsi="Calibri" w:cs="Segoe UI"/>
                <w:sz w:val="17"/>
                <w:szCs w:val="17"/>
                <w:lang w:eastAsia="zh-TW"/>
              </w:rPr>
              <w:t xml:space="preserve">[CR4(BSC): </w:t>
            </w:r>
            <w:r w:rsidR="00FE1315">
              <w:rPr>
                <w:rFonts w:ascii="Calibri" w:eastAsia="新細明體" w:hAnsi="Calibri" w:cs="Segoe UI" w:hint="eastAsia"/>
                <w:sz w:val="17"/>
                <w:szCs w:val="17"/>
                <w:lang w:eastAsia="zh-TW"/>
              </w:rPr>
              <w:t>16</w:t>
            </w:r>
            <w:r w:rsidRPr="00EB1E72">
              <w:rPr>
                <w:rFonts w:ascii="Calibri" w:eastAsia="新細明體" w:hAnsi="Calibri" w:cs="Segoe UI"/>
                <w:sz w:val="17"/>
                <w:szCs w:val="17"/>
                <w:lang w:eastAsia="zh-TW"/>
              </w:rPr>
              <w:t>/e]</w:t>
            </w:r>
            <w:r w:rsidRPr="00EB1E72">
              <w:rPr>
                <w:rFonts w:ascii="Calibri" w:eastAsia="新細明體" w:hAnsi="Calibri" w:cs="Segoe UI"/>
                <w:sz w:val="17"/>
                <w:szCs w:val="17"/>
                <w:lang w:eastAsia="zh-TW"/>
              </w:rPr>
              <w:t>的值。</w:t>
            </w:r>
            <w:r w:rsidRPr="00EB1E72">
              <w:rPr>
                <w:rFonts w:ascii="Calibri" w:eastAsia="新細明體" w:hAnsi="Calibri" w:cs="Segoe UI"/>
                <w:sz w:val="17"/>
                <w:szCs w:val="17"/>
                <w:lang w:eastAsia="zh-TW"/>
              </w:rPr>
              <w:t xml:space="preserve"> </w:t>
            </w:r>
          </w:p>
        </w:tc>
      </w:tr>
      <w:tr w:rsidR="00EB1E72" w:rsidRPr="00EB1E72" w14:paraId="61D12A12" w14:textId="77777777" w:rsidTr="00217BE5">
        <w:tc>
          <w:tcPr>
            <w:tcW w:w="567" w:type="dxa"/>
            <w:shd w:val="clear" w:color="auto" w:fill="auto"/>
          </w:tcPr>
          <w:p w14:paraId="559CC0D8"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3</w:t>
            </w:r>
          </w:p>
        </w:tc>
        <w:tc>
          <w:tcPr>
            <w:tcW w:w="8649" w:type="dxa"/>
            <w:shd w:val="clear" w:color="auto" w:fill="auto"/>
          </w:tcPr>
          <w:p w14:paraId="799EF2AF" w14:textId="3C1CE54F" w:rsidR="00EB1E72" w:rsidRPr="00EB1E72" w:rsidRDefault="00EB1E72" w:rsidP="004A1740">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其中基礎</w:t>
            </w:r>
            <w:r w:rsidRPr="00EB1E72">
              <w:rPr>
                <w:rFonts w:ascii="Calibri" w:eastAsia="新細明體" w:hAnsi="Calibri" w:cs="Segoe UI"/>
                <w:i/>
                <w:sz w:val="17"/>
                <w:szCs w:val="17"/>
                <w:lang w:eastAsia="zh-TW"/>
              </w:rPr>
              <w:t>IRB</w:t>
            </w:r>
            <w:r w:rsidRPr="00EB1E72">
              <w:rPr>
                <w:rFonts w:ascii="Calibri" w:eastAsia="新細明體" w:hAnsi="Calibri" w:cs="Segoe UI"/>
                <w:i/>
                <w:sz w:val="17"/>
                <w:szCs w:val="17"/>
                <w:lang w:eastAsia="zh-TW"/>
              </w:rPr>
              <w:t>計算法</w:t>
            </w:r>
            <w:r w:rsidRPr="00EB1E72">
              <w:rPr>
                <w:rFonts w:ascii="Calibri" w:eastAsia="新細明體" w:hAnsi="Calibri" w:cs="Segoe UI"/>
                <w:sz w:val="17"/>
                <w:szCs w:val="17"/>
                <w:lang w:eastAsia="zh-TW"/>
              </w:rPr>
              <w:t>：就認可機構根據《資本規則》使用基礎</w:t>
            </w:r>
            <w:r w:rsidRPr="00EB1E72">
              <w:rPr>
                <w:rFonts w:ascii="Calibri" w:eastAsia="新細明體" w:hAnsi="Calibri" w:cs="Segoe UI"/>
                <w:sz w:val="17"/>
                <w:szCs w:val="17"/>
                <w:lang w:eastAsia="zh-TW"/>
              </w:rPr>
              <w:t>IRB</w:t>
            </w:r>
            <w:r w:rsidRPr="00EB1E72">
              <w:rPr>
                <w:rFonts w:ascii="Calibri" w:eastAsia="新細明體" w:hAnsi="Calibri" w:cs="Segoe UI"/>
                <w:sz w:val="17"/>
                <w:szCs w:val="17"/>
                <w:lang w:eastAsia="zh-TW"/>
              </w:rPr>
              <w:t>計算法計算信用風險而言的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及資本規定，不包括使用監管分類準則計算法計算的專門性借貸</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在第</w:t>
            </w:r>
            <w:r w:rsidRPr="00EB1E72">
              <w:rPr>
                <w:rFonts w:ascii="Calibri" w:eastAsia="新細明體" w:hAnsi="Calibri" w:cs="Segoe UI"/>
                <w:sz w:val="17"/>
                <w:szCs w:val="17"/>
                <w:lang w:eastAsia="zh-TW"/>
              </w:rPr>
              <w:t>4</w:t>
            </w:r>
            <w:r w:rsidRPr="00EB1E72">
              <w:rPr>
                <w:rFonts w:ascii="Calibri" w:eastAsia="新細明體" w:hAnsi="Calibri" w:cs="Segoe UI"/>
                <w:sz w:val="17"/>
                <w:szCs w:val="17"/>
                <w:lang w:eastAsia="zh-TW"/>
              </w:rPr>
              <w:t>行填報</w:t>
            </w:r>
            <w:r w:rsidRPr="00EB1E72">
              <w:rPr>
                <w:rFonts w:ascii="Calibri" w:eastAsia="細明體" w:hAnsi="Calibri" w:cs="Segoe UI"/>
                <w:kern w:val="2"/>
                <w:sz w:val="17"/>
                <w:szCs w:val="17"/>
                <w:lang w:val="en-US" w:eastAsia="zh-TW"/>
              </w:rPr>
              <w:t>）、零售</w:t>
            </w:r>
            <w:r w:rsidRPr="00EB1E72">
              <w:rPr>
                <w:rFonts w:ascii="Calibri" w:eastAsia="細明體" w:hAnsi="Calibri" w:cs="Segoe UI"/>
                <w:kern w:val="2"/>
                <w:sz w:val="17"/>
                <w:szCs w:val="17"/>
                <w:lang w:val="en-US" w:eastAsia="zh-TW"/>
              </w:rPr>
              <w:t>IRB</w:t>
            </w:r>
            <w:r w:rsidRPr="00EB1E72">
              <w:rPr>
                <w:rFonts w:ascii="Calibri" w:eastAsia="細明體" w:hAnsi="Calibri" w:cs="Segoe UI"/>
                <w:kern w:val="2"/>
                <w:sz w:val="17"/>
                <w:szCs w:val="17"/>
                <w:lang w:val="en-US" w:eastAsia="zh-TW"/>
              </w:rPr>
              <w:t>計算法下的零售風險承</w:t>
            </w:r>
            <w:r w:rsidRPr="00EB1E72">
              <w:rPr>
                <w:rFonts w:ascii="Calibri" w:eastAsia="新細明體" w:hAnsi="Calibri" w:cs="Segoe UI"/>
                <w:sz w:val="17"/>
                <w:szCs w:val="17"/>
                <w:lang w:eastAsia="zh-TW"/>
              </w:rPr>
              <w:t>擔</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在第</w:t>
            </w:r>
            <w:r w:rsidRPr="00EB1E72">
              <w:rPr>
                <w:rFonts w:ascii="Calibri" w:eastAsia="新細明體" w:hAnsi="Calibri" w:cs="Segoe UI" w:hint="eastAsia"/>
                <w:sz w:val="17"/>
                <w:szCs w:val="17"/>
                <w:lang w:eastAsia="zh-TW"/>
              </w:rPr>
              <w:t>5a</w:t>
            </w:r>
            <w:r w:rsidRPr="00EB1E72">
              <w:rPr>
                <w:rFonts w:ascii="Calibri" w:eastAsia="新細明體" w:hAnsi="Calibri" w:cs="Segoe UI"/>
                <w:sz w:val="17"/>
                <w:szCs w:val="17"/>
                <w:lang w:eastAsia="zh-TW"/>
              </w:rPr>
              <w:t>行填報</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及特定風險權重計算法下的其他風險承擔</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在第</w:t>
            </w:r>
            <w:r w:rsidRPr="00EB1E72">
              <w:rPr>
                <w:rFonts w:ascii="Calibri" w:eastAsia="新細明體" w:hAnsi="Calibri" w:cs="Segoe UI" w:hint="eastAsia"/>
                <w:sz w:val="17"/>
                <w:szCs w:val="17"/>
                <w:lang w:eastAsia="zh-TW"/>
              </w:rPr>
              <w:t>5</w:t>
            </w:r>
            <w:r w:rsidRPr="00EB1E72">
              <w:rPr>
                <w:rFonts w:ascii="Calibri" w:eastAsia="新細明體" w:hAnsi="Calibri" w:cs="Segoe UI"/>
                <w:sz w:val="17"/>
                <w:szCs w:val="17"/>
                <w:lang w:eastAsia="zh-TW"/>
              </w:rPr>
              <w:t>b</w:t>
            </w:r>
            <w:r w:rsidRPr="00EB1E72">
              <w:rPr>
                <w:rFonts w:ascii="Calibri" w:eastAsia="新細明體" w:hAnsi="Calibri" w:cs="Segoe UI"/>
                <w:sz w:val="17"/>
                <w:szCs w:val="17"/>
                <w:lang w:eastAsia="zh-TW"/>
              </w:rPr>
              <w:t>行填報</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w:t>
            </w:r>
            <w:r w:rsidR="005C26B2" w:rsidRPr="007A497C">
              <w:rPr>
                <w:rFonts w:ascii="Calibri" w:eastAsia="新細明體" w:hAnsi="Calibri" w:cs="Segoe UI"/>
                <w:sz w:val="17"/>
                <w:szCs w:val="17"/>
                <w:lang w:eastAsia="zh-TW"/>
              </w:rPr>
              <w:t>[OV1: 3</w:t>
            </w:r>
            <w:r w:rsidR="004A1740">
              <w:rPr>
                <w:rFonts w:ascii="Calibri" w:eastAsia="新細明體" w:hAnsi="Calibri" w:cs="Segoe UI"/>
                <w:sz w:val="17"/>
                <w:szCs w:val="17"/>
                <w:lang w:eastAsia="zh-TW"/>
              </w:rPr>
              <w:t>/</w:t>
            </w:r>
            <w:proofErr w:type="gramStart"/>
            <w:r w:rsidR="004A1740">
              <w:rPr>
                <w:rFonts w:ascii="Calibri" w:eastAsia="新細明體" w:hAnsi="Calibri" w:cs="Segoe UI"/>
                <w:sz w:val="17"/>
                <w:szCs w:val="17"/>
                <w:lang w:eastAsia="zh-TW"/>
              </w:rPr>
              <w:t>a]</w:t>
            </w:r>
            <w:r w:rsidR="004A1740" w:rsidRPr="00EB1E72">
              <w:rPr>
                <w:rFonts w:ascii="Calibri" w:eastAsia="新細明體" w:hAnsi="Calibri" w:cs="Segoe UI"/>
                <w:sz w:val="17"/>
                <w:szCs w:val="17"/>
                <w:lang w:eastAsia="zh-TW"/>
              </w:rPr>
              <w:t>、</w:t>
            </w:r>
            <w:proofErr w:type="gramEnd"/>
            <w:r w:rsidR="004A1740">
              <w:rPr>
                <w:rFonts w:ascii="Calibri" w:eastAsia="新細明體" w:hAnsi="Calibri" w:cs="Segoe UI"/>
                <w:sz w:val="17"/>
                <w:szCs w:val="17"/>
                <w:lang w:eastAsia="zh-TW"/>
              </w:rPr>
              <w:t>[OV1: 5/a]</w:t>
            </w:r>
            <w:r w:rsidR="004A1740" w:rsidRPr="00EB1E72">
              <w:rPr>
                <w:rFonts w:ascii="Calibri" w:eastAsia="新細明體" w:hAnsi="Calibri" w:cs="Segoe UI"/>
                <w:sz w:val="17"/>
                <w:szCs w:val="17"/>
                <w:lang w:eastAsia="zh-TW"/>
              </w:rPr>
              <w:t>及</w:t>
            </w:r>
            <w:r w:rsidR="005C26B2">
              <w:rPr>
                <w:rFonts w:ascii="Calibri" w:eastAsia="新細明體" w:hAnsi="Calibri" w:cs="Segoe UI"/>
                <w:sz w:val="17"/>
                <w:szCs w:val="17"/>
                <w:lang w:eastAsia="zh-TW"/>
              </w:rPr>
              <w:t>[OV1: 5a/a]</w:t>
            </w:r>
            <w:r w:rsidR="005C26B2" w:rsidRPr="00EB1E72">
              <w:rPr>
                <w:rFonts w:ascii="Calibri" w:eastAsia="新細明體" w:hAnsi="Calibri" w:cs="Segoe UI"/>
                <w:sz w:val="17"/>
                <w:szCs w:val="17"/>
                <w:lang w:eastAsia="zh-TW"/>
              </w:rPr>
              <w:t>的值的總和</w:t>
            </w:r>
            <w:r w:rsidR="005C26B2">
              <w:rPr>
                <w:rFonts w:ascii="Calibri" w:eastAsia="新細明體" w:hAnsi="Calibri" w:cs="Segoe UI" w:hint="eastAsia"/>
                <w:sz w:val="17"/>
                <w:szCs w:val="17"/>
                <w:lang w:eastAsia="zh-HK"/>
              </w:rPr>
              <w:t>應</w:t>
            </w:r>
            <w:r w:rsidR="005C26B2" w:rsidRPr="00EB1E72">
              <w:rPr>
                <w:rFonts w:ascii="Calibri" w:eastAsia="新細明體" w:hAnsi="Calibri" w:cs="Segoe UI"/>
                <w:sz w:val="17"/>
                <w:szCs w:val="17"/>
                <w:lang w:eastAsia="zh-TW"/>
              </w:rPr>
              <w:t>相等於</w:t>
            </w:r>
            <w:r w:rsidR="005C26B2" w:rsidRPr="007A497C">
              <w:rPr>
                <w:rFonts w:ascii="Calibri" w:eastAsia="新細明體" w:hAnsi="Calibri" w:cs="Segoe UI"/>
                <w:sz w:val="17"/>
                <w:szCs w:val="17"/>
                <w:lang w:eastAsia="zh-TW"/>
              </w:rPr>
              <w:t>[CR6</w:t>
            </w:r>
            <w:r w:rsidR="005C26B2" w:rsidRPr="004A1740">
              <w:rPr>
                <w:rFonts w:ascii="Calibri" w:eastAsia="新細明體" w:hAnsi="Calibri" w:cs="Segoe UI"/>
                <w:sz w:val="17"/>
                <w:szCs w:val="17"/>
                <w:lang w:eastAsia="zh-TW"/>
              </w:rPr>
              <w:t xml:space="preserve">: </w:t>
            </w:r>
            <w:r w:rsidR="004A1740" w:rsidRPr="002910BC">
              <w:rPr>
                <w:rFonts w:eastAsia="細明體" w:cs="Segoe UI" w:hint="eastAsia"/>
                <w:sz w:val="17"/>
                <w:szCs w:val="17"/>
                <w:lang w:eastAsia="ar-SA"/>
              </w:rPr>
              <w:t>總計</w:t>
            </w:r>
            <w:r w:rsidR="004A1740" w:rsidRPr="002910BC">
              <w:rPr>
                <w:rFonts w:ascii="Calibri" w:eastAsia="細明體" w:hAnsi="Calibri" w:cs="Segoe UI"/>
                <w:kern w:val="2"/>
                <w:sz w:val="17"/>
                <w:szCs w:val="17"/>
                <w:lang w:val="en-US" w:eastAsia="zh-TW"/>
              </w:rPr>
              <w:t>（</w:t>
            </w:r>
            <w:r w:rsidR="004A1740" w:rsidRPr="002910BC">
              <w:rPr>
                <w:rFonts w:eastAsia="細明體" w:cs="Segoe UI" w:hint="eastAsia"/>
                <w:sz w:val="17"/>
                <w:szCs w:val="17"/>
                <w:lang w:eastAsia="ar-SA"/>
              </w:rPr>
              <w:t>所有組合之和</w:t>
            </w:r>
            <w:r w:rsidR="004A1740" w:rsidRPr="002910BC">
              <w:rPr>
                <w:rFonts w:ascii="Calibri" w:eastAsia="細明體" w:hAnsi="Calibri" w:cs="Segoe UI"/>
                <w:kern w:val="2"/>
                <w:sz w:val="17"/>
                <w:szCs w:val="17"/>
                <w:lang w:val="en-US" w:eastAsia="zh-TW"/>
              </w:rPr>
              <w:t>）</w:t>
            </w:r>
            <w:r w:rsidR="005C26B2" w:rsidRPr="007A497C">
              <w:rPr>
                <w:rFonts w:ascii="Calibri" w:eastAsia="新細明體" w:hAnsi="Calibri" w:cs="Segoe UI"/>
                <w:sz w:val="17"/>
                <w:szCs w:val="17"/>
                <w:lang w:eastAsia="zh-TW"/>
              </w:rPr>
              <w:t>/</w:t>
            </w:r>
            <w:proofErr w:type="spellStart"/>
            <w:r w:rsidR="005C26B2" w:rsidRPr="007A497C">
              <w:rPr>
                <w:rFonts w:ascii="Calibri" w:eastAsia="新細明體" w:hAnsi="Calibri" w:cs="Segoe UI"/>
                <w:sz w:val="17"/>
                <w:szCs w:val="17"/>
                <w:lang w:eastAsia="zh-TW"/>
              </w:rPr>
              <w:t>i</w:t>
            </w:r>
            <w:proofErr w:type="spellEnd"/>
            <w:r w:rsidR="005C26B2" w:rsidRPr="007A497C">
              <w:rPr>
                <w:rFonts w:ascii="Calibri" w:eastAsia="新細明體" w:hAnsi="Calibri" w:cs="Segoe UI"/>
                <w:sz w:val="17"/>
                <w:szCs w:val="17"/>
                <w:lang w:eastAsia="zh-TW"/>
              </w:rPr>
              <w:t>]</w:t>
            </w:r>
            <w:r w:rsidR="00A0022F" w:rsidRPr="007D00CF">
              <w:rPr>
                <w:rFonts w:ascii="Calibri" w:eastAsia="新細明體" w:hAnsi="Calibri" w:cs="Segoe UI" w:hint="eastAsia"/>
                <w:sz w:val="17"/>
                <w:szCs w:val="17"/>
                <w:lang w:eastAsia="zh-TW"/>
              </w:rPr>
              <w:t>的總和</w:t>
            </w:r>
            <w:r w:rsidR="00D70E5B">
              <w:rPr>
                <w:rFonts w:ascii="Calibri" w:eastAsia="新細明體" w:hAnsi="Calibri" w:cs="Segoe UI" w:hint="eastAsia"/>
                <w:sz w:val="17"/>
                <w:szCs w:val="17"/>
                <w:lang w:eastAsia="zh-HK"/>
              </w:rPr>
              <w:t>。</w:t>
            </w:r>
          </w:p>
        </w:tc>
      </w:tr>
      <w:tr w:rsidR="00EB1E72" w:rsidRPr="00EB1E72" w14:paraId="778C2168" w14:textId="77777777" w:rsidTr="00217BE5">
        <w:tc>
          <w:tcPr>
            <w:tcW w:w="567" w:type="dxa"/>
            <w:shd w:val="clear" w:color="auto" w:fill="auto"/>
          </w:tcPr>
          <w:p w14:paraId="3047D02D"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TW"/>
              </w:rPr>
              <w:t>4</w:t>
            </w:r>
          </w:p>
        </w:tc>
        <w:tc>
          <w:tcPr>
            <w:tcW w:w="8649" w:type="dxa"/>
            <w:shd w:val="clear" w:color="auto" w:fill="auto"/>
          </w:tcPr>
          <w:p w14:paraId="4E0A2DCE"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其中監管分類準則計算法</w:t>
            </w:r>
            <w:r w:rsidRPr="00EB1E72">
              <w:rPr>
                <w:rFonts w:ascii="Calibri" w:eastAsia="新細明體" w:hAnsi="Calibri" w:cs="Segoe UI"/>
                <w:sz w:val="17"/>
                <w:szCs w:val="17"/>
                <w:lang w:eastAsia="zh-TW"/>
              </w:rPr>
              <w:t>：根據《資本規則》使用監管分類準則計算法計算的專門性借貸的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w:t>
            </w:r>
          </w:p>
        </w:tc>
      </w:tr>
      <w:tr w:rsidR="00EB1E72" w:rsidRPr="00EB1E72" w14:paraId="7BE9868F" w14:textId="77777777" w:rsidTr="00217BE5">
        <w:tc>
          <w:tcPr>
            <w:tcW w:w="567" w:type="dxa"/>
            <w:shd w:val="clear" w:color="auto" w:fill="auto"/>
          </w:tcPr>
          <w:p w14:paraId="55EA905C"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5</w:t>
            </w:r>
          </w:p>
        </w:tc>
        <w:tc>
          <w:tcPr>
            <w:tcW w:w="8649" w:type="dxa"/>
            <w:shd w:val="clear" w:color="auto" w:fill="auto"/>
          </w:tcPr>
          <w:p w14:paraId="22B103BF" w14:textId="1B23BC1D" w:rsidR="00EB1E72" w:rsidRPr="00EB1E72" w:rsidRDefault="00EB1E72" w:rsidP="00B95F64">
            <w:pPr>
              <w:keepLines/>
              <w:widowControl w:val="0"/>
              <w:tabs>
                <w:tab w:val="left" w:pos="150"/>
                <w:tab w:val="left" w:pos="397"/>
                <w:tab w:val="left" w:pos="794"/>
                <w:tab w:val="left" w:pos="1191"/>
              </w:tabs>
              <w:spacing w:before="40" w:after="40" w:line="259" w:lineRule="auto"/>
              <w:jc w:val="both"/>
              <w:rPr>
                <w:rFonts w:ascii="Calibri" w:eastAsia="細明體" w:hAnsi="Calibri" w:cs="Segoe UI"/>
                <w:kern w:val="2"/>
                <w:sz w:val="17"/>
                <w:szCs w:val="17"/>
                <w:lang w:eastAsia="zh-TW"/>
              </w:rPr>
            </w:pPr>
            <w:r w:rsidRPr="00EB1E72">
              <w:rPr>
                <w:rFonts w:ascii="Calibri" w:eastAsia="新細明體" w:hAnsi="Calibri" w:cs="Segoe UI"/>
                <w:i/>
                <w:sz w:val="17"/>
                <w:szCs w:val="17"/>
                <w:lang w:eastAsia="zh-TW"/>
              </w:rPr>
              <w:t>其中高級</w:t>
            </w:r>
            <w:r w:rsidRPr="00EB1E72">
              <w:rPr>
                <w:rFonts w:ascii="Calibri" w:eastAsia="新細明體" w:hAnsi="Calibri" w:cs="Segoe UI"/>
                <w:i/>
                <w:sz w:val="17"/>
                <w:szCs w:val="17"/>
                <w:lang w:eastAsia="zh-TW"/>
              </w:rPr>
              <w:t>IRB</w:t>
            </w:r>
            <w:r w:rsidRPr="00EB1E72">
              <w:rPr>
                <w:rFonts w:ascii="Calibri" w:eastAsia="新細明體" w:hAnsi="Calibri" w:cs="Segoe UI"/>
                <w:i/>
                <w:sz w:val="17"/>
                <w:szCs w:val="17"/>
                <w:lang w:eastAsia="zh-TW"/>
              </w:rPr>
              <w:t>計算法</w:t>
            </w:r>
            <w:r w:rsidRPr="00EB1E72">
              <w:rPr>
                <w:rFonts w:ascii="Calibri" w:eastAsia="新細明體" w:hAnsi="Calibri" w:cs="Segoe UI"/>
                <w:sz w:val="17"/>
                <w:szCs w:val="17"/>
                <w:lang w:eastAsia="zh-TW"/>
              </w:rPr>
              <w:t>：就認可機構根據《資本規則》使用高級</w:t>
            </w:r>
            <w:r w:rsidRPr="00EB1E72">
              <w:rPr>
                <w:rFonts w:ascii="Calibri" w:eastAsia="新細明體" w:hAnsi="Calibri" w:cs="Segoe UI"/>
                <w:sz w:val="17"/>
                <w:szCs w:val="17"/>
                <w:lang w:eastAsia="zh-TW"/>
              </w:rPr>
              <w:t>IRB</w:t>
            </w:r>
            <w:r w:rsidRPr="00EB1E72">
              <w:rPr>
                <w:rFonts w:ascii="Calibri" w:eastAsia="新細明體" w:hAnsi="Calibri" w:cs="Segoe UI"/>
                <w:sz w:val="17"/>
                <w:szCs w:val="17"/>
                <w:lang w:eastAsia="zh-TW"/>
              </w:rPr>
              <w:t>計算法計算信用風險而言的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及資本規定，不包括使用監管分類準則計算法計算的專門性借貸</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在第</w:t>
            </w:r>
            <w:r w:rsidRPr="00EB1E72">
              <w:rPr>
                <w:rFonts w:ascii="Calibri" w:eastAsia="新細明體" w:hAnsi="Calibri" w:cs="Segoe UI"/>
                <w:sz w:val="17"/>
                <w:szCs w:val="17"/>
                <w:lang w:eastAsia="zh-TW"/>
              </w:rPr>
              <w:t>4</w:t>
            </w:r>
            <w:r w:rsidRPr="00EB1E72">
              <w:rPr>
                <w:rFonts w:ascii="Calibri" w:eastAsia="新細明體" w:hAnsi="Calibri" w:cs="Segoe UI"/>
                <w:sz w:val="17"/>
                <w:szCs w:val="17"/>
                <w:lang w:eastAsia="zh-TW"/>
              </w:rPr>
              <w:t>行填報</w:t>
            </w:r>
            <w:r w:rsidRPr="00EB1E72">
              <w:rPr>
                <w:rFonts w:ascii="Calibri" w:eastAsia="細明體" w:hAnsi="Calibri" w:cs="Segoe UI"/>
                <w:kern w:val="2"/>
                <w:sz w:val="17"/>
                <w:szCs w:val="17"/>
                <w:lang w:val="en-US" w:eastAsia="zh-TW"/>
              </w:rPr>
              <w:t>）、零售</w:t>
            </w:r>
            <w:r w:rsidRPr="00EB1E72">
              <w:rPr>
                <w:rFonts w:ascii="Calibri" w:eastAsia="細明體" w:hAnsi="Calibri" w:cs="Segoe UI"/>
                <w:kern w:val="2"/>
                <w:sz w:val="17"/>
                <w:szCs w:val="17"/>
                <w:lang w:val="en-US" w:eastAsia="zh-TW"/>
              </w:rPr>
              <w:t>IRB</w:t>
            </w:r>
            <w:r w:rsidRPr="00EB1E72">
              <w:rPr>
                <w:rFonts w:ascii="Calibri" w:eastAsia="細明體" w:hAnsi="Calibri" w:cs="Segoe UI"/>
                <w:kern w:val="2"/>
                <w:sz w:val="17"/>
                <w:szCs w:val="17"/>
                <w:lang w:val="en-US" w:eastAsia="zh-TW"/>
              </w:rPr>
              <w:t>計算法下的零售風險承</w:t>
            </w:r>
            <w:r w:rsidRPr="00EB1E72">
              <w:rPr>
                <w:rFonts w:ascii="Calibri" w:eastAsia="新細明體" w:hAnsi="Calibri" w:cs="Segoe UI"/>
                <w:sz w:val="17"/>
                <w:szCs w:val="17"/>
                <w:lang w:eastAsia="zh-TW"/>
              </w:rPr>
              <w:t>擔</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在第</w:t>
            </w:r>
            <w:r w:rsidRPr="00EB1E72">
              <w:rPr>
                <w:rFonts w:ascii="Calibri" w:eastAsia="新細明體" w:hAnsi="Calibri" w:cs="Segoe UI" w:hint="eastAsia"/>
                <w:sz w:val="17"/>
                <w:szCs w:val="17"/>
                <w:lang w:eastAsia="zh-TW"/>
              </w:rPr>
              <w:t>5a</w:t>
            </w:r>
            <w:r w:rsidRPr="00EB1E72">
              <w:rPr>
                <w:rFonts w:ascii="Calibri" w:eastAsia="新細明體" w:hAnsi="Calibri" w:cs="Segoe UI"/>
                <w:sz w:val="17"/>
                <w:szCs w:val="17"/>
                <w:lang w:eastAsia="zh-TW"/>
              </w:rPr>
              <w:t>行填報</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及特定風險權重計算法下的其他風險承擔</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在第</w:t>
            </w:r>
            <w:r w:rsidRPr="00EB1E72">
              <w:rPr>
                <w:rFonts w:ascii="Calibri" w:eastAsia="新細明體" w:hAnsi="Calibri" w:cs="Segoe UI" w:hint="eastAsia"/>
                <w:sz w:val="17"/>
                <w:szCs w:val="17"/>
                <w:lang w:eastAsia="zh-TW"/>
              </w:rPr>
              <w:t>5</w:t>
            </w:r>
            <w:r w:rsidRPr="00EB1E72">
              <w:rPr>
                <w:rFonts w:ascii="Calibri" w:eastAsia="新細明體" w:hAnsi="Calibri" w:cs="Segoe UI"/>
                <w:sz w:val="17"/>
                <w:szCs w:val="17"/>
                <w:lang w:eastAsia="zh-TW"/>
              </w:rPr>
              <w:t>b</w:t>
            </w:r>
            <w:r w:rsidRPr="00EB1E72">
              <w:rPr>
                <w:rFonts w:ascii="Calibri" w:eastAsia="新細明體" w:hAnsi="Calibri" w:cs="Segoe UI"/>
                <w:sz w:val="17"/>
                <w:szCs w:val="17"/>
                <w:lang w:eastAsia="zh-TW"/>
              </w:rPr>
              <w:t>行填報</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w:t>
            </w:r>
            <w:r w:rsidR="004A1740" w:rsidRPr="007A497C">
              <w:rPr>
                <w:rFonts w:ascii="Calibri" w:eastAsia="新細明體" w:hAnsi="Calibri" w:cs="Segoe UI"/>
                <w:sz w:val="17"/>
                <w:szCs w:val="17"/>
                <w:lang w:eastAsia="zh-TW"/>
              </w:rPr>
              <w:t>[OV1: 3</w:t>
            </w:r>
            <w:r w:rsidR="004A1740">
              <w:rPr>
                <w:rFonts w:ascii="Calibri" w:eastAsia="新細明體" w:hAnsi="Calibri" w:cs="Segoe UI"/>
                <w:sz w:val="17"/>
                <w:szCs w:val="17"/>
                <w:lang w:eastAsia="zh-TW"/>
              </w:rPr>
              <w:t>/</w:t>
            </w:r>
            <w:proofErr w:type="gramStart"/>
            <w:r w:rsidR="004A1740">
              <w:rPr>
                <w:rFonts w:ascii="Calibri" w:eastAsia="新細明體" w:hAnsi="Calibri" w:cs="Segoe UI"/>
                <w:sz w:val="17"/>
                <w:szCs w:val="17"/>
                <w:lang w:eastAsia="zh-TW"/>
              </w:rPr>
              <w:t>a]</w:t>
            </w:r>
            <w:r w:rsidR="004A1740" w:rsidRPr="00EB1E72">
              <w:rPr>
                <w:rFonts w:ascii="Calibri" w:eastAsia="新細明體" w:hAnsi="Calibri" w:cs="Segoe UI"/>
                <w:sz w:val="17"/>
                <w:szCs w:val="17"/>
                <w:lang w:eastAsia="zh-TW"/>
              </w:rPr>
              <w:t>、</w:t>
            </w:r>
            <w:proofErr w:type="gramEnd"/>
            <w:r w:rsidR="004A1740">
              <w:rPr>
                <w:rFonts w:ascii="Calibri" w:eastAsia="新細明體" w:hAnsi="Calibri" w:cs="Segoe UI"/>
                <w:sz w:val="17"/>
                <w:szCs w:val="17"/>
                <w:lang w:eastAsia="zh-TW"/>
              </w:rPr>
              <w:t>[OV1: 5/a]</w:t>
            </w:r>
            <w:r w:rsidR="004A1740" w:rsidRPr="00EB1E72">
              <w:rPr>
                <w:rFonts w:ascii="Calibri" w:eastAsia="新細明體" w:hAnsi="Calibri" w:cs="Segoe UI"/>
                <w:sz w:val="17"/>
                <w:szCs w:val="17"/>
                <w:lang w:eastAsia="zh-TW"/>
              </w:rPr>
              <w:t>及</w:t>
            </w:r>
            <w:r w:rsidR="004A1740">
              <w:rPr>
                <w:rFonts w:ascii="Calibri" w:eastAsia="新細明體" w:hAnsi="Calibri" w:cs="Segoe UI"/>
                <w:sz w:val="17"/>
                <w:szCs w:val="17"/>
                <w:lang w:eastAsia="zh-TW"/>
              </w:rPr>
              <w:t>[OV1: 5a/a]</w:t>
            </w:r>
            <w:r w:rsidR="004A1740" w:rsidRPr="00EB1E72">
              <w:rPr>
                <w:rFonts w:ascii="Calibri" w:eastAsia="新細明體" w:hAnsi="Calibri" w:cs="Segoe UI"/>
                <w:sz w:val="17"/>
                <w:szCs w:val="17"/>
                <w:lang w:eastAsia="zh-TW"/>
              </w:rPr>
              <w:t>的值的總和</w:t>
            </w:r>
            <w:r w:rsidR="004A1740">
              <w:rPr>
                <w:rFonts w:ascii="Calibri" w:eastAsia="新細明體" w:hAnsi="Calibri" w:cs="Segoe UI" w:hint="eastAsia"/>
                <w:sz w:val="17"/>
                <w:szCs w:val="17"/>
                <w:lang w:eastAsia="zh-HK"/>
              </w:rPr>
              <w:t>應</w:t>
            </w:r>
            <w:r w:rsidR="004A1740" w:rsidRPr="00EB1E72">
              <w:rPr>
                <w:rFonts w:ascii="Calibri" w:eastAsia="新細明體" w:hAnsi="Calibri" w:cs="Segoe UI"/>
                <w:sz w:val="17"/>
                <w:szCs w:val="17"/>
                <w:lang w:eastAsia="zh-TW"/>
              </w:rPr>
              <w:t>相等於</w:t>
            </w:r>
            <w:r w:rsidR="004A1740" w:rsidRPr="007A497C">
              <w:rPr>
                <w:rFonts w:ascii="Calibri" w:eastAsia="新細明體" w:hAnsi="Calibri" w:cs="Segoe UI"/>
                <w:sz w:val="17"/>
                <w:szCs w:val="17"/>
                <w:lang w:eastAsia="zh-TW"/>
              </w:rPr>
              <w:t>[CR6</w:t>
            </w:r>
            <w:r w:rsidR="004A1740" w:rsidRPr="004A1740">
              <w:rPr>
                <w:rFonts w:ascii="Calibri" w:eastAsia="新細明體" w:hAnsi="Calibri" w:cs="Segoe UI"/>
                <w:sz w:val="17"/>
                <w:szCs w:val="17"/>
                <w:lang w:eastAsia="zh-TW"/>
              </w:rPr>
              <w:t xml:space="preserve">: </w:t>
            </w:r>
            <w:r w:rsidR="004A1740" w:rsidRPr="002910BC">
              <w:rPr>
                <w:rFonts w:eastAsia="細明體" w:cs="Segoe UI" w:hint="eastAsia"/>
                <w:sz w:val="17"/>
                <w:szCs w:val="17"/>
                <w:lang w:eastAsia="ar-SA"/>
              </w:rPr>
              <w:t>總計</w:t>
            </w:r>
            <w:r w:rsidR="004A1740" w:rsidRPr="002910BC">
              <w:rPr>
                <w:rFonts w:ascii="Calibri" w:eastAsia="細明體" w:hAnsi="Calibri" w:cs="Segoe UI"/>
                <w:kern w:val="2"/>
                <w:sz w:val="17"/>
                <w:szCs w:val="17"/>
                <w:lang w:val="en-US" w:eastAsia="zh-TW"/>
              </w:rPr>
              <w:t>（</w:t>
            </w:r>
            <w:r w:rsidR="004A1740" w:rsidRPr="002910BC">
              <w:rPr>
                <w:rFonts w:eastAsia="細明體" w:cs="Segoe UI" w:hint="eastAsia"/>
                <w:sz w:val="17"/>
                <w:szCs w:val="17"/>
                <w:lang w:eastAsia="ar-SA"/>
              </w:rPr>
              <w:t>所有組合之和</w:t>
            </w:r>
            <w:r w:rsidR="004A1740" w:rsidRPr="002910BC">
              <w:rPr>
                <w:rFonts w:ascii="Calibri" w:eastAsia="細明體" w:hAnsi="Calibri" w:cs="Segoe UI"/>
                <w:kern w:val="2"/>
                <w:sz w:val="17"/>
                <w:szCs w:val="17"/>
                <w:lang w:val="en-US" w:eastAsia="zh-TW"/>
              </w:rPr>
              <w:t>）</w:t>
            </w:r>
            <w:r w:rsidR="004A1740" w:rsidRPr="007A497C">
              <w:rPr>
                <w:rFonts w:ascii="Calibri" w:eastAsia="新細明體" w:hAnsi="Calibri" w:cs="Segoe UI"/>
                <w:sz w:val="17"/>
                <w:szCs w:val="17"/>
                <w:lang w:eastAsia="zh-TW"/>
              </w:rPr>
              <w:t>/</w:t>
            </w:r>
            <w:proofErr w:type="spellStart"/>
            <w:r w:rsidR="004A1740" w:rsidRPr="007A497C">
              <w:rPr>
                <w:rFonts w:ascii="Calibri" w:eastAsia="新細明體" w:hAnsi="Calibri" w:cs="Segoe UI"/>
                <w:sz w:val="17"/>
                <w:szCs w:val="17"/>
                <w:lang w:eastAsia="zh-TW"/>
              </w:rPr>
              <w:t>i</w:t>
            </w:r>
            <w:proofErr w:type="spellEnd"/>
            <w:r w:rsidR="004A1740" w:rsidRPr="007A497C">
              <w:rPr>
                <w:rFonts w:ascii="Calibri" w:eastAsia="新細明體" w:hAnsi="Calibri" w:cs="Segoe UI"/>
                <w:sz w:val="17"/>
                <w:szCs w:val="17"/>
                <w:lang w:eastAsia="zh-TW"/>
              </w:rPr>
              <w:t>]</w:t>
            </w:r>
            <w:r w:rsidR="00A0022F" w:rsidRPr="00AD55D9">
              <w:rPr>
                <w:rFonts w:ascii="Calibri" w:eastAsia="新細明體" w:hAnsi="Calibri" w:cs="Segoe UI" w:hint="eastAsia"/>
                <w:sz w:val="17"/>
                <w:szCs w:val="17"/>
                <w:lang w:eastAsia="zh-TW"/>
              </w:rPr>
              <w:t>的總和</w:t>
            </w:r>
            <w:r w:rsidR="00B95F64">
              <w:rPr>
                <w:rFonts w:ascii="Calibri" w:eastAsia="新細明體" w:hAnsi="Calibri" w:cs="Segoe UI" w:hint="eastAsia"/>
                <w:sz w:val="17"/>
                <w:szCs w:val="17"/>
                <w:lang w:eastAsia="zh-HK"/>
              </w:rPr>
              <w:t>。</w:t>
            </w:r>
          </w:p>
        </w:tc>
      </w:tr>
      <w:tr w:rsidR="00EB1E72" w:rsidRPr="00EB1E72" w14:paraId="28C6D273" w14:textId="77777777" w:rsidTr="00217BE5">
        <w:tc>
          <w:tcPr>
            <w:tcW w:w="567" w:type="dxa"/>
            <w:shd w:val="clear" w:color="auto" w:fill="auto"/>
          </w:tcPr>
          <w:p w14:paraId="48DC036D"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5a</w:t>
            </w:r>
          </w:p>
        </w:tc>
        <w:tc>
          <w:tcPr>
            <w:tcW w:w="8649" w:type="dxa"/>
            <w:shd w:val="clear" w:color="auto" w:fill="auto"/>
          </w:tcPr>
          <w:p w14:paraId="3B7C4098" w14:textId="2E40D552" w:rsidR="00EB1E72" w:rsidRPr="004A1740" w:rsidRDefault="00EB1E72" w:rsidP="00B95F64">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hint="eastAsia"/>
                <w:i/>
                <w:sz w:val="17"/>
                <w:szCs w:val="17"/>
                <w:lang w:eastAsia="zh-TW"/>
              </w:rPr>
              <w:t>其中零售</w:t>
            </w:r>
            <w:r w:rsidRPr="00EB1E72">
              <w:rPr>
                <w:rFonts w:ascii="Calibri" w:eastAsia="新細明體" w:hAnsi="Calibri" w:cs="Segoe UI" w:hint="eastAsia"/>
                <w:i/>
                <w:sz w:val="17"/>
                <w:szCs w:val="17"/>
                <w:lang w:eastAsia="zh-TW"/>
              </w:rPr>
              <w:t>IRB</w:t>
            </w:r>
            <w:r w:rsidRPr="00EB1E72">
              <w:rPr>
                <w:rFonts w:ascii="Calibri" w:eastAsia="新細明體" w:hAnsi="Calibri" w:cs="Segoe UI" w:hint="eastAsia"/>
                <w:i/>
                <w:sz w:val="17"/>
                <w:szCs w:val="17"/>
                <w:lang w:eastAsia="zh-TW"/>
              </w:rPr>
              <w:t>計算法</w:t>
            </w:r>
            <w:r w:rsidRPr="00EB1E72">
              <w:rPr>
                <w:rFonts w:ascii="Calibri" w:eastAsia="新細明體" w:hAnsi="Calibri" w:cs="Segoe UI" w:hint="eastAsia"/>
                <w:sz w:val="17"/>
                <w:szCs w:val="17"/>
                <w:lang w:eastAsia="zh-TW"/>
              </w:rPr>
              <w:t>：</w:t>
            </w:r>
            <w:r w:rsidR="00970DE9" w:rsidRPr="00EB1E72">
              <w:rPr>
                <w:rFonts w:ascii="Calibri" w:eastAsia="新細明體" w:hAnsi="Calibri" w:cs="Segoe UI"/>
                <w:sz w:val="17"/>
                <w:szCs w:val="17"/>
                <w:lang w:eastAsia="zh-TW"/>
              </w:rPr>
              <w:t>就認可機構</w:t>
            </w:r>
            <w:r w:rsidRPr="00EB1E72">
              <w:rPr>
                <w:rFonts w:ascii="Calibri" w:eastAsia="新細明體" w:hAnsi="Calibri" w:cs="Segoe UI"/>
                <w:sz w:val="17"/>
                <w:szCs w:val="17"/>
                <w:lang w:eastAsia="zh-TW"/>
              </w:rPr>
              <w:t>根據《資本規則》使用</w:t>
            </w:r>
            <w:r w:rsidRPr="00EB1E72">
              <w:rPr>
                <w:rFonts w:ascii="Calibri" w:eastAsia="新細明體" w:hAnsi="Calibri" w:cs="Segoe UI" w:hint="eastAsia"/>
                <w:sz w:val="17"/>
                <w:szCs w:val="17"/>
                <w:lang w:eastAsia="zh-HK"/>
              </w:rPr>
              <w:t>零售</w:t>
            </w:r>
            <w:r w:rsidRPr="00EB1E72">
              <w:rPr>
                <w:rFonts w:ascii="Calibri" w:eastAsia="新細明體" w:hAnsi="Calibri" w:cs="Segoe UI"/>
                <w:sz w:val="17"/>
                <w:szCs w:val="17"/>
                <w:lang w:eastAsia="zh-TW"/>
              </w:rPr>
              <w:t>IRB</w:t>
            </w:r>
            <w:r w:rsidRPr="00EB1E72">
              <w:rPr>
                <w:rFonts w:ascii="Calibri" w:eastAsia="新細明體" w:hAnsi="Calibri" w:cs="Segoe UI"/>
                <w:sz w:val="17"/>
                <w:szCs w:val="17"/>
                <w:lang w:eastAsia="zh-TW"/>
              </w:rPr>
              <w:t>計算法計算信用風險</w:t>
            </w:r>
            <w:r w:rsidR="00970DE9" w:rsidRPr="00EB1E72">
              <w:rPr>
                <w:rFonts w:ascii="Calibri" w:eastAsia="新細明體" w:hAnsi="Calibri" w:cs="Segoe UI"/>
                <w:sz w:val="17"/>
                <w:szCs w:val="17"/>
                <w:lang w:eastAsia="zh-TW"/>
              </w:rPr>
              <w:t>而言</w:t>
            </w:r>
            <w:r w:rsidRPr="00EB1E72">
              <w:rPr>
                <w:rFonts w:ascii="Calibri" w:eastAsia="新細明體" w:hAnsi="Calibri" w:cs="Segoe UI" w:hint="eastAsia"/>
                <w:sz w:val="17"/>
                <w:szCs w:val="17"/>
                <w:lang w:eastAsia="zh-HK"/>
              </w:rPr>
              <w:t>的</w:t>
            </w:r>
            <w:r w:rsidRPr="00EB1E72">
              <w:rPr>
                <w:rFonts w:ascii="Calibri" w:eastAsia="新細明體" w:hAnsi="Calibri" w:cs="Segoe UI"/>
                <w:sz w:val="17"/>
                <w:szCs w:val="17"/>
                <w:lang w:val="en-US" w:eastAsia="zh-TW"/>
              </w:rPr>
              <w:t>風險加權數額</w:t>
            </w:r>
            <w:r w:rsidRPr="00EB1E72">
              <w:rPr>
                <w:rFonts w:ascii="Calibri" w:eastAsia="新細明體" w:hAnsi="Calibri" w:cs="Segoe UI"/>
                <w:sz w:val="17"/>
                <w:szCs w:val="17"/>
                <w:lang w:eastAsia="zh-TW"/>
              </w:rPr>
              <w:t>及資本規定</w:t>
            </w:r>
            <w:r w:rsidRPr="00EB1E72">
              <w:rPr>
                <w:rFonts w:ascii="Calibri" w:eastAsia="新細明體" w:hAnsi="Calibri" w:cs="Segoe UI" w:hint="eastAsia"/>
                <w:sz w:val="17"/>
                <w:szCs w:val="17"/>
                <w:lang w:eastAsia="zh-TW"/>
              </w:rPr>
              <w:t>。</w:t>
            </w:r>
            <w:r w:rsidR="004A1740" w:rsidRPr="007A497C">
              <w:rPr>
                <w:rFonts w:ascii="Calibri" w:eastAsia="新細明體" w:hAnsi="Calibri" w:cs="Segoe UI"/>
                <w:sz w:val="17"/>
                <w:szCs w:val="17"/>
                <w:lang w:eastAsia="zh-TW"/>
              </w:rPr>
              <w:t>[OV1: 3</w:t>
            </w:r>
            <w:r w:rsidR="004A1740">
              <w:rPr>
                <w:rFonts w:ascii="Calibri" w:eastAsia="新細明體" w:hAnsi="Calibri" w:cs="Segoe UI"/>
                <w:sz w:val="17"/>
                <w:szCs w:val="17"/>
                <w:lang w:eastAsia="zh-TW"/>
              </w:rPr>
              <w:t>/</w:t>
            </w:r>
            <w:proofErr w:type="gramStart"/>
            <w:r w:rsidR="004A1740">
              <w:rPr>
                <w:rFonts w:ascii="Calibri" w:eastAsia="新細明體" w:hAnsi="Calibri" w:cs="Segoe UI"/>
                <w:sz w:val="17"/>
                <w:szCs w:val="17"/>
                <w:lang w:eastAsia="zh-TW"/>
              </w:rPr>
              <w:t>a]</w:t>
            </w:r>
            <w:r w:rsidR="004A1740" w:rsidRPr="00EB1E72">
              <w:rPr>
                <w:rFonts w:ascii="Calibri" w:eastAsia="新細明體" w:hAnsi="Calibri" w:cs="Segoe UI"/>
                <w:sz w:val="17"/>
                <w:szCs w:val="17"/>
                <w:lang w:eastAsia="zh-TW"/>
              </w:rPr>
              <w:t>、</w:t>
            </w:r>
            <w:proofErr w:type="gramEnd"/>
            <w:r w:rsidR="004A1740">
              <w:rPr>
                <w:rFonts w:ascii="Calibri" w:eastAsia="新細明體" w:hAnsi="Calibri" w:cs="Segoe UI"/>
                <w:sz w:val="17"/>
                <w:szCs w:val="17"/>
                <w:lang w:eastAsia="zh-TW"/>
              </w:rPr>
              <w:t>[OV1: 5/a]</w:t>
            </w:r>
            <w:r w:rsidR="004A1740" w:rsidRPr="00EB1E72">
              <w:rPr>
                <w:rFonts w:ascii="Calibri" w:eastAsia="新細明體" w:hAnsi="Calibri" w:cs="Segoe UI"/>
                <w:sz w:val="17"/>
                <w:szCs w:val="17"/>
                <w:lang w:eastAsia="zh-TW"/>
              </w:rPr>
              <w:t>及</w:t>
            </w:r>
            <w:r w:rsidR="004A1740">
              <w:rPr>
                <w:rFonts w:ascii="Calibri" w:eastAsia="新細明體" w:hAnsi="Calibri" w:cs="Segoe UI"/>
                <w:sz w:val="17"/>
                <w:szCs w:val="17"/>
                <w:lang w:eastAsia="zh-TW"/>
              </w:rPr>
              <w:t>[OV1: 5a/a]</w:t>
            </w:r>
            <w:r w:rsidR="004A1740" w:rsidRPr="00EB1E72">
              <w:rPr>
                <w:rFonts w:ascii="Calibri" w:eastAsia="新細明體" w:hAnsi="Calibri" w:cs="Segoe UI"/>
                <w:sz w:val="17"/>
                <w:szCs w:val="17"/>
                <w:lang w:eastAsia="zh-TW"/>
              </w:rPr>
              <w:t>的值的總和</w:t>
            </w:r>
            <w:r w:rsidR="004A1740">
              <w:rPr>
                <w:rFonts w:ascii="Calibri" w:eastAsia="新細明體" w:hAnsi="Calibri" w:cs="Segoe UI" w:hint="eastAsia"/>
                <w:sz w:val="17"/>
                <w:szCs w:val="17"/>
                <w:lang w:eastAsia="zh-HK"/>
              </w:rPr>
              <w:t>應</w:t>
            </w:r>
            <w:r w:rsidR="004A1740" w:rsidRPr="00EB1E72">
              <w:rPr>
                <w:rFonts w:ascii="Calibri" w:eastAsia="新細明體" w:hAnsi="Calibri" w:cs="Segoe UI"/>
                <w:sz w:val="17"/>
                <w:szCs w:val="17"/>
                <w:lang w:eastAsia="zh-TW"/>
              </w:rPr>
              <w:t>相等於</w:t>
            </w:r>
            <w:r w:rsidR="004A1740" w:rsidRPr="007A497C">
              <w:rPr>
                <w:rFonts w:ascii="Calibri" w:eastAsia="新細明體" w:hAnsi="Calibri" w:cs="Segoe UI"/>
                <w:sz w:val="17"/>
                <w:szCs w:val="17"/>
                <w:lang w:eastAsia="zh-TW"/>
              </w:rPr>
              <w:t>[CR6</w:t>
            </w:r>
            <w:r w:rsidR="004A1740" w:rsidRPr="004A1740">
              <w:rPr>
                <w:rFonts w:ascii="Calibri" w:eastAsia="新細明體" w:hAnsi="Calibri" w:cs="Segoe UI"/>
                <w:sz w:val="17"/>
                <w:szCs w:val="17"/>
                <w:lang w:eastAsia="zh-TW"/>
              </w:rPr>
              <w:t xml:space="preserve">: </w:t>
            </w:r>
            <w:r w:rsidR="004A1740" w:rsidRPr="002910BC">
              <w:rPr>
                <w:rFonts w:eastAsia="細明體" w:cs="Segoe UI" w:hint="eastAsia"/>
                <w:sz w:val="17"/>
                <w:szCs w:val="17"/>
                <w:lang w:eastAsia="ar-SA"/>
              </w:rPr>
              <w:t>總計</w:t>
            </w:r>
            <w:r w:rsidR="004A1740" w:rsidRPr="002910BC">
              <w:rPr>
                <w:rFonts w:ascii="Calibri" w:eastAsia="細明體" w:hAnsi="Calibri" w:cs="Segoe UI"/>
                <w:kern w:val="2"/>
                <w:sz w:val="17"/>
                <w:szCs w:val="17"/>
                <w:lang w:val="en-US" w:eastAsia="zh-TW"/>
              </w:rPr>
              <w:t>（</w:t>
            </w:r>
            <w:r w:rsidR="004A1740" w:rsidRPr="002910BC">
              <w:rPr>
                <w:rFonts w:eastAsia="細明體" w:cs="Segoe UI" w:hint="eastAsia"/>
                <w:sz w:val="17"/>
                <w:szCs w:val="17"/>
                <w:lang w:eastAsia="ar-SA"/>
              </w:rPr>
              <w:t>所有組合之和</w:t>
            </w:r>
            <w:r w:rsidR="004A1740" w:rsidRPr="002910BC">
              <w:rPr>
                <w:rFonts w:ascii="Calibri" w:eastAsia="細明體" w:hAnsi="Calibri" w:cs="Segoe UI"/>
                <w:kern w:val="2"/>
                <w:sz w:val="17"/>
                <w:szCs w:val="17"/>
                <w:lang w:val="en-US" w:eastAsia="zh-TW"/>
              </w:rPr>
              <w:t>）</w:t>
            </w:r>
            <w:r w:rsidR="004A1740" w:rsidRPr="007A497C">
              <w:rPr>
                <w:rFonts w:ascii="Calibri" w:eastAsia="新細明體" w:hAnsi="Calibri" w:cs="Segoe UI"/>
                <w:sz w:val="17"/>
                <w:szCs w:val="17"/>
                <w:lang w:eastAsia="zh-TW"/>
              </w:rPr>
              <w:t>/</w:t>
            </w:r>
            <w:proofErr w:type="spellStart"/>
            <w:r w:rsidR="004A1740" w:rsidRPr="007A497C">
              <w:rPr>
                <w:rFonts w:ascii="Calibri" w:eastAsia="新細明體" w:hAnsi="Calibri" w:cs="Segoe UI"/>
                <w:sz w:val="17"/>
                <w:szCs w:val="17"/>
                <w:lang w:eastAsia="zh-TW"/>
              </w:rPr>
              <w:t>i</w:t>
            </w:r>
            <w:proofErr w:type="spellEnd"/>
            <w:r w:rsidR="004A1740" w:rsidRPr="007A497C">
              <w:rPr>
                <w:rFonts w:ascii="Calibri" w:eastAsia="新細明體" w:hAnsi="Calibri" w:cs="Segoe UI"/>
                <w:sz w:val="17"/>
                <w:szCs w:val="17"/>
                <w:lang w:eastAsia="zh-TW"/>
              </w:rPr>
              <w:t>]</w:t>
            </w:r>
            <w:r w:rsidR="00A0022F" w:rsidRPr="00AD55D9">
              <w:rPr>
                <w:rFonts w:ascii="Calibri" w:eastAsia="新細明體" w:hAnsi="Calibri" w:cs="Segoe UI" w:hint="eastAsia"/>
                <w:sz w:val="17"/>
                <w:szCs w:val="17"/>
                <w:lang w:eastAsia="zh-TW"/>
              </w:rPr>
              <w:t>的總和</w:t>
            </w:r>
            <w:r w:rsidR="00B95F64">
              <w:rPr>
                <w:rFonts w:ascii="Calibri" w:eastAsia="新細明體" w:hAnsi="Calibri" w:cs="Segoe UI" w:hint="eastAsia"/>
                <w:sz w:val="17"/>
                <w:szCs w:val="17"/>
                <w:lang w:eastAsia="zh-HK"/>
              </w:rPr>
              <w:t>。</w:t>
            </w:r>
          </w:p>
        </w:tc>
      </w:tr>
      <w:tr w:rsidR="00EB1E72" w:rsidRPr="00EB1E72" w14:paraId="321F4181" w14:textId="77777777" w:rsidTr="00217BE5">
        <w:tc>
          <w:tcPr>
            <w:tcW w:w="567" w:type="dxa"/>
            <w:shd w:val="clear" w:color="auto" w:fill="auto"/>
          </w:tcPr>
          <w:p w14:paraId="6E844756"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val="en-US" w:eastAsia="zh-TW"/>
              </w:rPr>
              <w:t>5b</w:t>
            </w:r>
          </w:p>
        </w:tc>
        <w:tc>
          <w:tcPr>
            <w:tcW w:w="8649" w:type="dxa"/>
            <w:shd w:val="clear" w:color="auto" w:fill="auto"/>
          </w:tcPr>
          <w:p w14:paraId="63B1ABF8" w14:textId="2BAD38DE" w:rsidR="00EB1E72" w:rsidRPr="00EB1E72" w:rsidRDefault="00EB1E72" w:rsidP="00970DE9">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新細明體" w:hAnsi="Calibri" w:cs="Segoe UI" w:hint="eastAsia"/>
                <w:i/>
                <w:sz w:val="17"/>
                <w:szCs w:val="17"/>
                <w:lang w:eastAsia="zh-TW"/>
              </w:rPr>
              <w:t>其中特定風險權重計算法</w:t>
            </w:r>
            <w:r w:rsidRPr="00EB1E72">
              <w:rPr>
                <w:rFonts w:ascii="Calibri" w:eastAsia="新細明體" w:hAnsi="Calibri" w:cs="Segoe UI" w:hint="eastAsia"/>
                <w:sz w:val="17"/>
                <w:szCs w:val="17"/>
                <w:lang w:eastAsia="zh-TW"/>
              </w:rPr>
              <w:t>：</w:t>
            </w:r>
            <w:r w:rsidR="00970DE9" w:rsidRPr="00EB1E72">
              <w:rPr>
                <w:rFonts w:ascii="Calibri" w:eastAsia="新細明體" w:hAnsi="Calibri" w:cs="Segoe UI"/>
                <w:sz w:val="17"/>
                <w:szCs w:val="17"/>
                <w:lang w:eastAsia="zh-TW"/>
              </w:rPr>
              <w:t>就認可機構</w:t>
            </w:r>
            <w:r w:rsidRPr="00EB1E72">
              <w:rPr>
                <w:rFonts w:ascii="Calibri" w:eastAsia="新細明體" w:hAnsi="Calibri" w:cs="Segoe UI"/>
                <w:sz w:val="17"/>
                <w:szCs w:val="17"/>
                <w:lang w:eastAsia="zh-TW"/>
              </w:rPr>
              <w:t>根據《資本規則》使用</w:t>
            </w:r>
            <w:r w:rsidRPr="00EB1E72">
              <w:rPr>
                <w:rFonts w:ascii="Calibri" w:eastAsia="新細明體" w:hAnsi="Calibri" w:cs="Segoe UI" w:hint="eastAsia"/>
                <w:sz w:val="17"/>
                <w:szCs w:val="17"/>
                <w:lang w:eastAsia="zh-HK"/>
              </w:rPr>
              <w:t>特定風險權重計算法</w:t>
            </w:r>
            <w:r w:rsidRPr="00EB1E72">
              <w:rPr>
                <w:rFonts w:ascii="Calibri" w:eastAsia="新細明體" w:hAnsi="Calibri" w:cs="Segoe UI"/>
                <w:sz w:val="17"/>
                <w:szCs w:val="17"/>
                <w:lang w:eastAsia="zh-TW"/>
              </w:rPr>
              <w:t>計算信用風險</w:t>
            </w:r>
            <w:r w:rsidR="00970DE9" w:rsidRPr="00EB1E72">
              <w:rPr>
                <w:rFonts w:ascii="Calibri" w:eastAsia="新細明體" w:hAnsi="Calibri" w:cs="Segoe UI"/>
                <w:sz w:val="17"/>
                <w:szCs w:val="17"/>
                <w:lang w:eastAsia="zh-TW"/>
              </w:rPr>
              <w:t>而言</w:t>
            </w:r>
            <w:r w:rsidRPr="00EB1E72">
              <w:rPr>
                <w:rFonts w:ascii="Calibri" w:eastAsia="新細明體" w:hAnsi="Calibri" w:cs="Segoe UI" w:hint="eastAsia"/>
                <w:sz w:val="17"/>
                <w:szCs w:val="17"/>
                <w:lang w:eastAsia="zh-HK"/>
              </w:rPr>
              <w:t>的</w:t>
            </w:r>
            <w:r w:rsidRPr="00EB1E72">
              <w:rPr>
                <w:rFonts w:ascii="Calibri" w:eastAsia="新細明體" w:hAnsi="Calibri" w:cs="Segoe UI"/>
                <w:sz w:val="17"/>
                <w:szCs w:val="17"/>
                <w:lang w:val="en-US" w:eastAsia="zh-TW"/>
              </w:rPr>
              <w:t>風險加權數額</w:t>
            </w:r>
            <w:r w:rsidRPr="00EB1E72">
              <w:rPr>
                <w:rFonts w:ascii="Calibri" w:eastAsia="新細明體" w:hAnsi="Calibri" w:cs="Segoe UI"/>
                <w:sz w:val="17"/>
                <w:szCs w:val="17"/>
                <w:lang w:eastAsia="zh-TW"/>
              </w:rPr>
              <w:t>及資本規定</w:t>
            </w:r>
            <w:r w:rsidRPr="00EB1E72">
              <w:rPr>
                <w:rFonts w:ascii="Calibri" w:eastAsia="新細明體" w:hAnsi="Calibri" w:cs="Segoe UI" w:hint="eastAsia"/>
                <w:sz w:val="17"/>
                <w:szCs w:val="17"/>
                <w:lang w:eastAsia="zh-TW"/>
              </w:rPr>
              <w:t>。</w:t>
            </w:r>
          </w:p>
        </w:tc>
      </w:tr>
      <w:tr w:rsidR="00B6247B" w:rsidRPr="00EB1E72" w14:paraId="778E61A1" w14:textId="77777777" w:rsidTr="00217BE5">
        <w:tc>
          <w:tcPr>
            <w:tcW w:w="567" w:type="dxa"/>
            <w:shd w:val="clear" w:color="auto" w:fill="auto"/>
          </w:tcPr>
          <w:p w14:paraId="239E8AD0" w14:textId="24D8BA92" w:rsidR="00B6247B" w:rsidRPr="001177B0" w:rsidRDefault="00B6247B" w:rsidP="00B6247B">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1177B0">
              <w:rPr>
                <w:rFonts w:ascii="Calibri" w:eastAsia="新細明體" w:hAnsi="Calibri" w:cs="Segoe UI" w:hint="eastAsia"/>
                <w:i/>
                <w:sz w:val="17"/>
                <w:szCs w:val="17"/>
                <w:lang w:eastAsia="zh-TW"/>
              </w:rPr>
              <w:t>5c</w:t>
            </w:r>
          </w:p>
        </w:tc>
        <w:tc>
          <w:tcPr>
            <w:tcW w:w="8649" w:type="dxa"/>
            <w:shd w:val="clear" w:color="auto" w:fill="auto"/>
          </w:tcPr>
          <w:p w14:paraId="0DF35F3B" w14:textId="3F9CA6B5" w:rsidR="00B6247B" w:rsidRPr="00A36279" w:rsidRDefault="00BE29E3" w:rsidP="00B6247B">
            <w:pPr>
              <w:keepLines/>
              <w:widowControl w:val="0"/>
              <w:tabs>
                <w:tab w:val="left" w:pos="150"/>
                <w:tab w:val="left" w:pos="397"/>
                <w:tab w:val="left" w:pos="794"/>
                <w:tab w:val="left" w:pos="1191"/>
              </w:tabs>
              <w:spacing w:before="40" w:after="40" w:line="259" w:lineRule="auto"/>
              <w:jc w:val="both"/>
              <w:rPr>
                <w:rFonts w:ascii="Calibri" w:eastAsia="新細明體" w:hAnsi="Calibri" w:cs="Calibri"/>
                <w:sz w:val="17"/>
                <w:szCs w:val="17"/>
                <w:lang w:eastAsia="zh-TW"/>
              </w:rPr>
            </w:pPr>
            <w:r w:rsidRPr="00A36279">
              <w:rPr>
                <w:rFonts w:ascii="Calibri" w:eastAsia="新細明體" w:hAnsi="Calibri" w:cs="Calibri"/>
                <w:i/>
                <w:sz w:val="17"/>
                <w:szCs w:val="17"/>
                <w:lang w:eastAsia="zh-TW"/>
              </w:rPr>
              <w:t>其</w:t>
            </w:r>
            <w:r w:rsidRPr="003204B6">
              <w:rPr>
                <w:rFonts w:ascii="Calibri" w:eastAsia="新細明體" w:hAnsi="Calibri" w:cs="Calibri"/>
                <w:i/>
                <w:sz w:val="17"/>
                <w:szCs w:val="17"/>
                <w:lang w:eastAsia="zh-TW"/>
              </w:rPr>
              <w:t>中</w:t>
            </w:r>
            <w:r w:rsidR="002C51F1" w:rsidRPr="00C32CFA">
              <w:rPr>
                <w:rFonts w:ascii="Calibri" w:eastAsia="新細明體" w:hAnsi="Calibri" w:cs="Calibri"/>
                <w:i/>
                <w:sz w:val="17"/>
                <w:szCs w:val="17"/>
                <w:lang w:eastAsia="zh-HK"/>
              </w:rPr>
              <w:t>根據</w:t>
            </w:r>
            <w:r w:rsidRPr="003204B6">
              <w:rPr>
                <w:rFonts w:ascii="Calibri" w:eastAsia="新細明體" w:hAnsi="Calibri" w:cs="Calibri"/>
                <w:i/>
                <w:sz w:val="17"/>
                <w:szCs w:val="17"/>
                <w:lang w:eastAsia="zh-TW"/>
              </w:rPr>
              <w:t>《資本規則》第</w:t>
            </w:r>
            <w:r w:rsidRPr="003204B6">
              <w:rPr>
                <w:rFonts w:ascii="Calibri" w:eastAsia="新細明體" w:hAnsi="Calibri" w:cs="Calibri"/>
                <w:i/>
                <w:sz w:val="17"/>
                <w:szCs w:val="17"/>
                <w:lang w:eastAsia="zh-TW"/>
              </w:rPr>
              <w:t>376</w:t>
            </w:r>
            <w:r w:rsidRPr="003204B6">
              <w:rPr>
                <w:rFonts w:ascii="Calibri" w:eastAsia="新細明體" w:hAnsi="Calibri" w:cs="Calibri"/>
                <w:i/>
                <w:sz w:val="17"/>
                <w:szCs w:val="17"/>
                <w:lang w:eastAsia="zh-TW"/>
              </w:rPr>
              <w:t>條及第</w:t>
            </w:r>
            <w:r w:rsidRPr="003204B6">
              <w:rPr>
                <w:rFonts w:ascii="Calibri" w:eastAsia="新細明體" w:hAnsi="Calibri" w:cs="Calibri"/>
                <w:i/>
                <w:sz w:val="17"/>
                <w:szCs w:val="17"/>
                <w:lang w:eastAsia="zh-TW"/>
              </w:rPr>
              <w:t>12</w:t>
            </w:r>
            <w:r w:rsidRPr="003204B6">
              <w:rPr>
                <w:rFonts w:ascii="Calibri" w:eastAsia="新細明體" w:hAnsi="Calibri" w:cs="Calibri"/>
                <w:i/>
                <w:sz w:val="17"/>
                <w:szCs w:val="17"/>
                <w:lang w:eastAsia="zh-TW"/>
              </w:rPr>
              <w:t>部第</w:t>
            </w:r>
            <w:r w:rsidRPr="003204B6">
              <w:rPr>
                <w:rFonts w:ascii="Calibri" w:eastAsia="新細明體" w:hAnsi="Calibri" w:cs="Calibri"/>
                <w:i/>
                <w:sz w:val="17"/>
                <w:szCs w:val="17"/>
                <w:lang w:eastAsia="zh-TW"/>
              </w:rPr>
              <w:t>5</w:t>
            </w:r>
            <w:r w:rsidRPr="003204B6">
              <w:rPr>
                <w:rFonts w:ascii="Calibri" w:eastAsia="新細明體" w:hAnsi="Calibri" w:cs="Calibri"/>
                <w:i/>
                <w:sz w:val="17"/>
                <w:szCs w:val="17"/>
                <w:lang w:eastAsia="zh-TW"/>
              </w:rPr>
              <w:t>、</w:t>
            </w:r>
            <w:r w:rsidRPr="003204B6">
              <w:rPr>
                <w:rFonts w:ascii="Calibri" w:eastAsia="新細明體" w:hAnsi="Calibri" w:cs="Calibri"/>
                <w:i/>
                <w:sz w:val="17"/>
                <w:szCs w:val="17"/>
                <w:lang w:eastAsia="zh-TW"/>
              </w:rPr>
              <w:t>6</w:t>
            </w:r>
            <w:r w:rsidRPr="003204B6">
              <w:rPr>
                <w:rFonts w:ascii="Calibri" w:eastAsia="新細明體" w:hAnsi="Calibri" w:cs="Calibri"/>
                <w:i/>
                <w:sz w:val="17"/>
                <w:szCs w:val="17"/>
                <w:lang w:eastAsia="zh-TW"/>
              </w:rPr>
              <w:t>及</w:t>
            </w:r>
            <w:r w:rsidRPr="003204B6">
              <w:rPr>
                <w:rFonts w:ascii="Calibri" w:eastAsia="新細明體" w:hAnsi="Calibri" w:cs="Calibri"/>
                <w:i/>
                <w:sz w:val="17"/>
                <w:szCs w:val="17"/>
                <w:lang w:eastAsia="zh-TW"/>
              </w:rPr>
              <w:t>8</w:t>
            </w:r>
            <w:r w:rsidRPr="003204B6">
              <w:rPr>
                <w:rFonts w:ascii="Calibri" w:eastAsia="新細明體" w:hAnsi="Calibri" w:cs="Calibri"/>
                <w:i/>
                <w:sz w:val="17"/>
                <w:szCs w:val="17"/>
                <w:lang w:eastAsia="zh-TW"/>
              </w:rPr>
              <w:t>分部計算</w:t>
            </w:r>
            <w:r w:rsidR="002C51F1" w:rsidRPr="00C32CFA">
              <w:rPr>
                <w:rFonts w:ascii="Calibri" w:eastAsia="新細明體" w:hAnsi="Calibri" w:cs="Calibri"/>
                <w:i/>
                <w:sz w:val="17"/>
                <w:szCs w:val="17"/>
                <w:lang w:eastAsia="zh-HK"/>
              </w:rPr>
              <w:t>的</w:t>
            </w:r>
            <w:r w:rsidR="00DD1000" w:rsidRPr="003204B6">
              <w:rPr>
                <w:rFonts w:ascii="Calibri" w:eastAsia="新細明體" w:hAnsi="Calibri" w:cs="Calibri"/>
                <w:i/>
                <w:sz w:val="17"/>
                <w:szCs w:val="17"/>
                <w:lang w:eastAsia="zh-HK"/>
              </w:rPr>
              <w:t>對</w:t>
            </w:r>
            <w:r w:rsidRPr="003204B6">
              <w:rPr>
                <w:rFonts w:ascii="Calibri" w:eastAsia="新細明體" w:hAnsi="Calibri" w:cs="Calibri"/>
                <w:i/>
                <w:sz w:val="17"/>
                <w:szCs w:val="17"/>
                <w:lang w:eastAsia="zh-TW"/>
              </w:rPr>
              <w:t>信用風險的加密資產風險承擔</w:t>
            </w:r>
            <w:r w:rsidR="00B6247B" w:rsidRPr="00C32CFA">
              <w:rPr>
                <w:rFonts w:ascii="Calibri" w:eastAsia="新細明體" w:hAnsi="Calibri" w:cs="Calibri"/>
                <w:sz w:val="17"/>
                <w:szCs w:val="17"/>
                <w:lang w:eastAsia="zh-TW"/>
              </w:rPr>
              <w:t>：</w:t>
            </w:r>
            <w:r w:rsidR="00CB1CEA" w:rsidRPr="003204B6">
              <w:rPr>
                <w:rFonts w:ascii="Calibri" w:eastAsia="新細明體" w:hAnsi="Calibri" w:cs="Calibri"/>
                <w:sz w:val="17"/>
                <w:szCs w:val="17"/>
                <w:lang w:eastAsia="zh-TW"/>
              </w:rPr>
              <w:t>以下</w:t>
            </w:r>
            <w:r w:rsidR="00B6247B" w:rsidRPr="003204B6">
              <w:rPr>
                <w:rFonts w:ascii="Calibri" w:eastAsia="新細明體" w:hAnsi="Calibri" w:cs="Calibri"/>
                <w:sz w:val="17"/>
                <w:szCs w:val="17"/>
                <w:lang w:eastAsia="zh-TW"/>
              </w:rPr>
              <w:t>認可機構</w:t>
            </w:r>
            <w:r w:rsidR="00CB1CEA" w:rsidRPr="003204B6">
              <w:rPr>
                <w:rFonts w:ascii="Calibri" w:eastAsia="新細明體" w:hAnsi="Calibri" w:cs="Calibri"/>
                <w:sz w:val="17"/>
                <w:szCs w:val="17"/>
                <w:lang w:eastAsia="zh-HK"/>
              </w:rPr>
              <w:t>對</w:t>
            </w:r>
            <w:r w:rsidR="00EB727C" w:rsidRPr="00A36279">
              <w:rPr>
                <w:rFonts w:ascii="Calibri" w:eastAsia="新細明體" w:hAnsi="Calibri" w:cs="Calibri"/>
                <w:sz w:val="17"/>
                <w:szCs w:val="17"/>
                <w:lang w:eastAsia="zh-TW"/>
              </w:rPr>
              <w:t>信用風險的</w:t>
            </w:r>
            <w:r w:rsidR="006F51A3" w:rsidRPr="00A36279">
              <w:rPr>
                <w:rFonts w:ascii="Calibri" w:eastAsia="新細明體" w:hAnsi="Calibri" w:cs="Calibri"/>
                <w:sz w:val="17"/>
                <w:szCs w:val="17"/>
                <w:lang w:eastAsia="zh-TW"/>
              </w:rPr>
              <w:t>加密資產風險承擔的</w:t>
            </w:r>
            <w:r w:rsidR="00B6247B" w:rsidRPr="00A36279">
              <w:rPr>
                <w:rFonts w:ascii="Calibri" w:eastAsia="新細明體" w:hAnsi="Calibri" w:cs="Calibri"/>
                <w:sz w:val="17"/>
                <w:szCs w:val="17"/>
                <w:lang w:eastAsia="zh-TW"/>
              </w:rPr>
              <w:t>風險加權數額</w:t>
            </w:r>
            <w:r w:rsidR="00EB727C" w:rsidRPr="00A36279">
              <w:rPr>
                <w:rFonts w:ascii="Calibri" w:eastAsia="新細明體" w:hAnsi="Calibri" w:cs="Calibri"/>
                <w:sz w:val="17"/>
                <w:szCs w:val="17"/>
                <w:lang w:eastAsia="zh-TW"/>
              </w:rPr>
              <w:t>及資本規定</w:t>
            </w:r>
            <w:r w:rsidR="00B6247B" w:rsidRPr="00A36279">
              <w:rPr>
                <w:rFonts w:ascii="Calibri" w:eastAsia="新細明體" w:hAnsi="Calibri" w:cs="Calibri"/>
                <w:sz w:val="17"/>
                <w:szCs w:val="17"/>
                <w:lang w:eastAsia="zh-TW"/>
              </w:rPr>
              <w:t>：</w:t>
            </w:r>
          </w:p>
          <w:p w14:paraId="4C991567" w14:textId="6812C2F4" w:rsidR="00B6247B" w:rsidRPr="007030B1" w:rsidRDefault="008E64BD" w:rsidP="009E6E38">
            <w:pPr>
              <w:pStyle w:val="ListParagraph"/>
              <w:numPr>
                <w:ilvl w:val="0"/>
                <w:numId w:val="63"/>
              </w:numPr>
              <w:ind w:leftChars="0" w:left="349" w:hanging="349"/>
              <w:jc w:val="both"/>
              <w:rPr>
                <w:rFonts w:ascii="Calibri" w:eastAsia="新細明體" w:hAnsi="Calibri" w:cs="Calibri"/>
                <w:sz w:val="17"/>
                <w:szCs w:val="17"/>
                <w:lang w:eastAsia="zh-TW"/>
              </w:rPr>
            </w:pPr>
            <w:r w:rsidRPr="007030B1">
              <w:rPr>
                <w:rFonts w:eastAsiaTheme="minorEastAsia" w:cs="Segoe UI"/>
                <w:sz w:val="17"/>
                <w:szCs w:val="17"/>
                <w:lang w:eastAsia="zh-HK"/>
              </w:rPr>
              <w:t>就編配予交易帳的第</w:t>
            </w:r>
            <w:r w:rsidRPr="007030B1">
              <w:rPr>
                <w:rFonts w:eastAsiaTheme="minorEastAsia" w:cs="Segoe UI"/>
                <w:sz w:val="17"/>
                <w:szCs w:val="17"/>
                <w:lang w:eastAsia="zh-HK"/>
              </w:rPr>
              <w:t>1b</w:t>
            </w:r>
            <w:r w:rsidRPr="007030B1">
              <w:rPr>
                <w:rFonts w:eastAsiaTheme="minorEastAsia" w:cs="Segoe UI"/>
                <w:sz w:val="17"/>
                <w:szCs w:val="17"/>
                <w:lang w:eastAsia="zh-HK"/>
              </w:rPr>
              <w:t>組加密資產風險承擔，以及關乎屬穩定幣的第</w:t>
            </w:r>
            <w:r w:rsidRPr="007030B1">
              <w:rPr>
                <w:rFonts w:eastAsiaTheme="minorEastAsia" w:cs="Segoe UI"/>
                <w:sz w:val="17"/>
                <w:szCs w:val="17"/>
                <w:lang w:eastAsia="zh-HK"/>
              </w:rPr>
              <w:t>2a</w:t>
            </w:r>
            <w:r w:rsidRPr="007030B1">
              <w:rPr>
                <w:rFonts w:eastAsiaTheme="minorEastAsia" w:cs="Segoe UI"/>
                <w:sz w:val="17"/>
                <w:szCs w:val="17"/>
                <w:lang w:eastAsia="zh-HK"/>
              </w:rPr>
              <w:t>組加密資產的第</w:t>
            </w:r>
            <w:r w:rsidRPr="007030B1">
              <w:rPr>
                <w:rFonts w:eastAsiaTheme="minorEastAsia" w:cs="Segoe UI"/>
                <w:sz w:val="17"/>
                <w:szCs w:val="17"/>
                <w:lang w:eastAsia="zh-HK"/>
              </w:rPr>
              <w:t>2a</w:t>
            </w:r>
            <w:r w:rsidRPr="007030B1">
              <w:rPr>
                <w:rFonts w:eastAsiaTheme="minorEastAsia" w:cs="Segoe UI"/>
                <w:sz w:val="17"/>
                <w:szCs w:val="17"/>
                <w:lang w:eastAsia="zh-HK"/>
              </w:rPr>
              <w:t>組加密資產風險承擔</w:t>
            </w:r>
            <w:r w:rsidR="002C7931">
              <w:rPr>
                <w:rFonts w:eastAsiaTheme="minorEastAsia" w:cs="Segoe UI" w:hint="eastAsia"/>
                <w:sz w:val="17"/>
                <w:szCs w:val="17"/>
                <w:lang w:eastAsia="zh-HK"/>
              </w:rPr>
              <w:t>（</w:t>
            </w:r>
            <w:r w:rsidRPr="007030B1">
              <w:rPr>
                <w:rFonts w:eastAsiaTheme="minorEastAsia" w:cs="Segoe UI"/>
                <w:sz w:val="17"/>
                <w:szCs w:val="17"/>
                <w:lang w:eastAsia="zh-HK"/>
              </w:rPr>
              <w:t>分別根</w:t>
            </w:r>
            <w:r w:rsidRPr="007030B1">
              <w:rPr>
                <w:rFonts w:eastAsiaTheme="minorEastAsia" w:cs="Segoe UI"/>
                <w:sz w:val="17"/>
                <w:szCs w:val="17"/>
                <w:lang w:eastAsia="zh-TW"/>
              </w:rPr>
              <w:t>據</w:t>
            </w:r>
            <w:r w:rsidRPr="007030B1">
              <w:rPr>
                <w:rFonts w:eastAsiaTheme="minorEastAsia" w:cs="Segoe UI"/>
                <w:sz w:val="17"/>
                <w:szCs w:val="17"/>
                <w:lang w:eastAsia="zh-HK"/>
              </w:rPr>
              <w:t>《資本規則》第</w:t>
            </w:r>
            <w:r w:rsidRPr="007030B1">
              <w:rPr>
                <w:rFonts w:eastAsiaTheme="minorEastAsia" w:cs="Segoe UI"/>
                <w:sz w:val="17"/>
                <w:szCs w:val="17"/>
                <w:lang w:eastAsia="zh-HK"/>
              </w:rPr>
              <w:t>376</w:t>
            </w:r>
            <w:r w:rsidRPr="007030B1">
              <w:rPr>
                <w:rFonts w:eastAsiaTheme="minorEastAsia" w:cs="Segoe UI"/>
                <w:sz w:val="17"/>
                <w:szCs w:val="17"/>
                <w:lang w:eastAsia="zh-HK"/>
              </w:rPr>
              <w:t>及</w:t>
            </w:r>
            <w:r w:rsidRPr="007030B1">
              <w:rPr>
                <w:rFonts w:eastAsiaTheme="minorEastAsia" w:cs="Segoe UI"/>
                <w:sz w:val="17"/>
                <w:szCs w:val="17"/>
                <w:lang w:eastAsia="zh-HK"/>
              </w:rPr>
              <w:t>384</w:t>
            </w:r>
            <w:r w:rsidRPr="007030B1">
              <w:rPr>
                <w:rFonts w:eastAsiaTheme="minorEastAsia" w:cs="Segoe UI"/>
                <w:sz w:val="17"/>
                <w:szCs w:val="17"/>
                <w:lang w:eastAsia="zh-HK"/>
              </w:rPr>
              <w:t>條</w:t>
            </w:r>
            <w:r w:rsidRPr="007030B1">
              <w:rPr>
                <w:rFonts w:eastAsiaTheme="minorEastAsia" w:cs="Segoe UI"/>
                <w:sz w:val="17"/>
                <w:szCs w:val="17"/>
                <w:lang w:eastAsia="zh-TW"/>
              </w:rPr>
              <w:t>計算</w:t>
            </w:r>
            <w:r w:rsidR="002C7931">
              <w:rPr>
                <w:rFonts w:eastAsiaTheme="minorEastAsia" w:cs="Segoe UI" w:hint="eastAsia"/>
                <w:sz w:val="17"/>
                <w:szCs w:val="17"/>
                <w:lang w:eastAsia="zh-TW"/>
              </w:rPr>
              <w:t>）</w:t>
            </w:r>
            <w:r w:rsidRPr="007030B1">
              <w:rPr>
                <w:rFonts w:eastAsiaTheme="minorEastAsia" w:cs="Segoe UI"/>
                <w:sz w:val="17"/>
                <w:szCs w:val="17"/>
                <w:lang w:eastAsia="zh-HK"/>
              </w:rPr>
              <w:t>所產生的</w:t>
            </w:r>
            <w:r w:rsidRPr="007030B1">
              <w:rPr>
                <w:rFonts w:eastAsiaTheme="minorEastAsia" w:cs="Segoe UI"/>
                <w:sz w:val="17"/>
                <w:szCs w:val="17"/>
                <w:lang w:eastAsia="zh-TW"/>
              </w:rPr>
              <w:t>、</w:t>
            </w:r>
            <w:r w:rsidRPr="007030B1">
              <w:rPr>
                <w:rFonts w:ascii="Calibri" w:eastAsia="新細明體" w:hAnsi="Calibri" w:cs="Calibri"/>
                <w:sz w:val="17"/>
                <w:szCs w:val="17"/>
                <w:lang w:eastAsia="zh-HK"/>
              </w:rPr>
              <w:t>有</w:t>
            </w:r>
            <w:r w:rsidRPr="007030B1">
              <w:rPr>
                <w:rFonts w:eastAsiaTheme="minorEastAsia" w:cs="Segoe UI"/>
                <w:sz w:val="17"/>
                <w:szCs w:val="17"/>
                <w:lang w:eastAsia="zh-HK"/>
              </w:rPr>
              <w:t>關贖回人違責的風險以及中介人執行有關兌換職能時產生的風險</w:t>
            </w:r>
            <w:r w:rsidR="000526AD" w:rsidRPr="007030B1">
              <w:rPr>
                <w:rFonts w:ascii="Calibri" w:eastAsia="新細明體" w:hAnsi="Calibri" w:cs="Calibri"/>
                <w:sz w:val="17"/>
                <w:szCs w:val="17"/>
                <w:lang w:eastAsia="zh-TW"/>
              </w:rPr>
              <w:t>；</w:t>
            </w:r>
          </w:p>
          <w:p w14:paraId="27D6FF63" w14:textId="397E0C77" w:rsidR="00B6247B" w:rsidRPr="00A36279" w:rsidRDefault="00F0037D" w:rsidP="003204B6">
            <w:pPr>
              <w:pStyle w:val="ListParagraph"/>
              <w:numPr>
                <w:ilvl w:val="0"/>
                <w:numId w:val="63"/>
              </w:numPr>
              <w:ind w:leftChars="0" w:left="349" w:hanging="349"/>
              <w:jc w:val="both"/>
              <w:rPr>
                <w:rFonts w:ascii="Calibri" w:eastAsia="新細明體" w:hAnsi="Calibri" w:cs="Calibri"/>
                <w:sz w:val="17"/>
                <w:szCs w:val="17"/>
                <w:lang w:eastAsia="zh-TW"/>
              </w:rPr>
            </w:pPr>
            <w:r w:rsidRPr="00A36279">
              <w:rPr>
                <w:rFonts w:ascii="Calibri" w:eastAsia="新細明體" w:hAnsi="Calibri" w:cs="Calibri"/>
                <w:sz w:val="17"/>
                <w:szCs w:val="17"/>
                <w:lang w:eastAsia="zh-TW"/>
              </w:rPr>
              <w:t>按照《資本規則》第</w:t>
            </w:r>
            <w:r w:rsidR="00B6247B" w:rsidRPr="00A36279">
              <w:rPr>
                <w:rFonts w:ascii="Calibri" w:eastAsia="新細明體" w:hAnsi="Calibri" w:cs="Calibri"/>
                <w:sz w:val="17"/>
                <w:szCs w:val="17"/>
                <w:lang w:eastAsia="zh-TW"/>
              </w:rPr>
              <w:t>385</w:t>
            </w:r>
            <w:r w:rsidR="00B6247B" w:rsidRPr="00A36279">
              <w:rPr>
                <w:rFonts w:ascii="Calibri" w:eastAsia="新細明體" w:hAnsi="Calibri" w:cs="Calibri"/>
                <w:sz w:val="17"/>
                <w:szCs w:val="17"/>
                <w:lang w:eastAsia="zh-TW"/>
              </w:rPr>
              <w:t>條計算的</w:t>
            </w:r>
            <w:r w:rsidR="00012615" w:rsidRPr="00A36279">
              <w:rPr>
                <w:rFonts w:ascii="Calibri" w:eastAsia="新細明體" w:hAnsi="Calibri" w:cs="Calibri"/>
                <w:sz w:val="17"/>
                <w:szCs w:val="17"/>
                <w:lang w:eastAsia="zh-TW"/>
              </w:rPr>
              <w:t>第</w:t>
            </w:r>
            <w:r w:rsidR="00B6247B" w:rsidRPr="00A36279">
              <w:rPr>
                <w:rFonts w:ascii="Calibri" w:eastAsia="新細明體" w:hAnsi="Calibri" w:cs="Calibri"/>
                <w:sz w:val="17"/>
                <w:szCs w:val="17"/>
                <w:lang w:eastAsia="zh-TW"/>
              </w:rPr>
              <w:t>2b</w:t>
            </w:r>
            <w:r w:rsidR="00B6247B" w:rsidRPr="00A36279">
              <w:rPr>
                <w:rFonts w:ascii="Calibri" w:eastAsia="新細明體" w:hAnsi="Calibri" w:cs="Calibri"/>
                <w:sz w:val="17"/>
                <w:szCs w:val="17"/>
                <w:lang w:eastAsia="zh-TW"/>
              </w:rPr>
              <w:t>組加密資產風險承擔</w:t>
            </w:r>
            <w:r w:rsidR="00D86A47" w:rsidRPr="00A36279">
              <w:rPr>
                <w:rFonts w:ascii="Calibri" w:eastAsia="新細明體" w:hAnsi="Calibri" w:cs="Calibri"/>
                <w:sz w:val="17"/>
                <w:szCs w:val="17"/>
                <w:lang w:eastAsia="zh-TW"/>
              </w:rPr>
              <w:t>；</w:t>
            </w:r>
          </w:p>
          <w:p w14:paraId="7E10532D" w14:textId="01D5FF4B" w:rsidR="00B6247B" w:rsidRPr="00A36279" w:rsidRDefault="00B6247B" w:rsidP="003204B6">
            <w:pPr>
              <w:pStyle w:val="ListParagraph"/>
              <w:numPr>
                <w:ilvl w:val="0"/>
                <w:numId w:val="63"/>
              </w:numPr>
              <w:ind w:leftChars="0" w:left="349" w:hanging="349"/>
              <w:jc w:val="both"/>
              <w:rPr>
                <w:rFonts w:ascii="Calibri" w:eastAsia="新細明體" w:hAnsi="Calibri" w:cs="Calibri"/>
                <w:sz w:val="17"/>
                <w:szCs w:val="17"/>
                <w:lang w:eastAsia="zh-TW"/>
              </w:rPr>
            </w:pPr>
            <w:r w:rsidRPr="00A36279">
              <w:rPr>
                <w:rFonts w:ascii="Calibri" w:eastAsia="新細明體" w:hAnsi="Calibri" w:cs="Calibri"/>
                <w:sz w:val="17"/>
                <w:szCs w:val="17"/>
                <w:lang w:eastAsia="zh-TW"/>
              </w:rPr>
              <w:t>金融</w:t>
            </w:r>
            <w:r w:rsidRPr="008C1ECC">
              <w:rPr>
                <w:rFonts w:ascii="Calibri" w:eastAsia="新細明體" w:hAnsi="Calibri" w:cs="Calibri"/>
                <w:sz w:val="17"/>
                <w:szCs w:val="17"/>
                <w:lang w:eastAsia="zh-TW"/>
              </w:rPr>
              <w:t>管理</w:t>
            </w:r>
            <w:r w:rsidR="00012615" w:rsidRPr="008C1ECC">
              <w:rPr>
                <w:rFonts w:ascii="Calibri" w:eastAsia="新細明體" w:hAnsi="Calibri" w:cs="Calibri"/>
                <w:sz w:val="17"/>
                <w:szCs w:val="17"/>
                <w:lang w:eastAsia="zh-TW"/>
              </w:rPr>
              <w:t>專員</w:t>
            </w:r>
            <w:r w:rsidR="009319FA" w:rsidRPr="008C1ECC">
              <w:rPr>
                <w:rFonts w:ascii="Calibri" w:eastAsia="新細明體" w:hAnsi="Calibri" w:cs="Calibri"/>
                <w:sz w:val="17"/>
                <w:szCs w:val="17"/>
                <w:lang w:eastAsia="zh-HK"/>
              </w:rPr>
              <w:t>根</w:t>
            </w:r>
            <w:r w:rsidR="009319FA" w:rsidRPr="008C1ECC">
              <w:rPr>
                <w:rFonts w:ascii="Calibri" w:eastAsia="新細明體" w:hAnsi="Calibri" w:cs="Calibri"/>
                <w:sz w:val="17"/>
                <w:szCs w:val="17"/>
                <w:lang w:eastAsia="zh-TW"/>
              </w:rPr>
              <w:t>據</w:t>
            </w:r>
            <w:r w:rsidR="006B6DE7" w:rsidRPr="008C1ECC">
              <w:rPr>
                <w:rFonts w:ascii="Calibri" w:eastAsia="新細明體" w:hAnsi="Calibri" w:cs="Calibri"/>
                <w:sz w:val="17"/>
                <w:szCs w:val="17"/>
                <w:lang w:eastAsia="zh-TW"/>
              </w:rPr>
              <w:t>《資本規則》第</w:t>
            </w:r>
            <w:r w:rsidR="006B6DE7" w:rsidRPr="008C1ECC">
              <w:rPr>
                <w:rFonts w:ascii="Calibri" w:eastAsia="新細明體" w:hAnsi="Calibri" w:cs="Calibri"/>
                <w:sz w:val="17"/>
                <w:szCs w:val="17"/>
                <w:lang w:eastAsia="zh-TW"/>
              </w:rPr>
              <w:t>380</w:t>
            </w:r>
            <w:r w:rsidR="006B6DE7" w:rsidRPr="008C1ECC">
              <w:rPr>
                <w:rFonts w:ascii="Calibri" w:eastAsia="新細明體" w:hAnsi="Calibri" w:cs="Calibri"/>
                <w:sz w:val="17"/>
                <w:szCs w:val="17"/>
                <w:lang w:eastAsia="zh-TW"/>
              </w:rPr>
              <w:t>條</w:t>
            </w:r>
            <w:r w:rsidRPr="008C1ECC">
              <w:rPr>
                <w:rFonts w:ascii="Calibri" w:eastAsia="新細明體" w:hAnsi="Calibri" w:cs="Calibri"/>
                <w:sz w:val="17"/>
                <w:szCs w:val="17"/>
                <w:lang w:eastAsia="zh-TW"/>
              </w:rPr>
              <w:t>指</w:t>
            </w:r>
            <w:r w:rsidR="006B6DE7" w:rsidRPr="008C1ECC">
              <w:rPr>
                <w:rFonts w:ascii="Calibri" w:eastAsia="新細明體" w:hAnsi="Calibri" w:cs="Calibri"/>
                <w:sz w:val="17"/>
                <w:szCs w:val="17"/>
                <w:lang w:eastAsia="zh-HK"/>
              </w:rPr>
              <w:t>明的</w:t>
            </w:r>
            <w:r w:rsidR="006B6DE7" w:rsidRPr="008C1ECC">
              <w:rPr>
                <w:rFonts w:ascii="Calibri" w:eastAsia="新細明體" w:hAnsi="Calibri" w:cs="Calibri"/>
                <w:sz w:val="17"/>
                <w:szCs w:val="17"/>
                <w:lang w:eastAsia="zh-TW"/>
              </w:rPr>
              <w:t>、</w:t>
            </w:r>
            <w:r w:rsidR="00E04676" w:rsidRPr="008C1ECC">
              <w:rPr>
                <w:rFonts w:ascii="Calibri" w:eastAsia="新細明體" w:hAnsi="Calibri" w:cs="Calibri"/>
                <w:sz w:val="17"/>
                <w:szCs w:val="17"/>
                <w:lang w:eastAsia="zh-HK"/>
              </w:rPr>
              <w:t>有</w:t>
            </w:r>
            <w:r w:rsidR="009319FA" w:rsidRPr="00C32CFA">
              <w:rPr>
                <w:rFonts w:ascii="Calibri" w:eastAsia="新細明體" w:hAnsi="Calibri" w:cs="Calibri"/>
                <w:sz w:val="17"/>
                <w:szCs w:val="17"/>
                <w:lang w:eastAsia="zh-HK"/>
              </w:rPr>
              <w:t>關</w:t>
            </w:r>
            <w:r w:rsidR="006B6DE7" w:rsidRPr="008C1ECC">
              <w:rPr>
                <w:rFonts w:ascii="Calibri" w:eastAsia="新細明體" w:hAnsi="Calibri" w:cs="Calibri"/>
                <w:sz w:val="17"/>
                <w:szCs w:val="17"/>
                <w:lang w:eastAsia="zh-HK"/>
              </w:rPr>
              <w:t>編配予</w:t>
            </w:r>
            <w:r w:rsidRPr="008C1ECC">
              <w:rPr>
                <w:rFonts w:ascii="Calibri" w:eastAsia="新細明體" w:hAnsi="Calibri" w:cs="Calibri"/>
                <w:sz w:val="17"/>
                <w:szCs w:val="17"/>
                <w:lang w:eastAsia="zh-TW"/>
              </w:rPr>
              <w:t>銀行帳的第</w:t>
            </w:r>
            <w:r w:rsidR="009E56FC" w:rsidRPr="008C1ECC">
              <w:rPr>
                <w:rFonts w:ascii="Calibri" w:eastAsia="新細明體" w:hAnsi="Calibri" w:cs="Calibri"/>
                <w:sz w:val="17"/>
                <w:szCs w:val="17"/>
                <w:lang w:eastAsia="zh-TW"/>
              </w:rPr>
              <w:t>1</w:t>
            </w:r>
            <w:r w:rsidR="009E56FC" w:rsidRPr="008C1ECC">
              <w:rPr>
                <w:rFonts w:ascii="Calibri" w:eastAsia="新細明體" w:hAnsi="Calibri" w:cs="Calibri"/>
                <w:sz w:val="17"/>
                <w:szCs w:val="17"/>
                <w:lang w:val="en-US" w:eastAsia="zh-HK"/>
              </w:rPr>
              <w:t>組</w:t>
            </w:r>
            <w:r w:rsidRPr="008C1ECC">
              <w:rPr>
                <w:rFonts w:ascii="Calibri" w:eastAsia="新細明體" w:hAnsi="Calibri" w:cs="Calibri"/>
                <w:sz w:val="17"/>
                <w:szCs w:val="17"/>
                <w:lang w:eastAsia="zh-TW"/>
              </w:rPr>
              <w:t>加密資產風險承擔的基</w:t>
            </w:r>
            <w:r w:rsidR="007F2795" w:rsidRPr="008C1ECC">
              <w:rPr>
                <w:rFonts w:ascii="Calibri" w:eastAsia="新細明體" w:hAnsi="Calibri" w:cs="Calibri"/>
                <w:sz w:val="17"/>
                <w:szCs w:val="17"/>
                <w:lang w:eastAsia="zh-TW"/>
              </w:rPr>
              <w:t>建</w:t>
            </w:r>
            <w:r w:rsidRPr="008C1ECC">
              <w:rPr>
                <w:rFonts w:ascii="Calibri" w:eastAsia="新細明體" w:hAnsi="Calibri" w:cs="Calibri"/>
                <w:sz w:val="17"/>
                <w:szCs w:val="17"/>
                <w:lang w:eastAsia="zh-TW"/>
              </w:rPr>
              <w:t>風險附加</w:t>
            </w:r>
            <w:r w:rsidR="00FC33DA" w:rsidRPr="008C1ECC">
              <w:rPr>
                <w:rFonts w:ascii="Calibri" w:eastAsia="新細明體" w:hAnsi="Calibri" w:cs="Calibri"/>
                <w:sz w:val="17"/>
                <w:szCs w:val="17"/>
                <w:lang w:val="en-US" w:eastAsia="zh-HK"/>
              </w:rPr>
              <w:t>額</w:t>
            </w:r>
            <w:r w:rsidRPr="008C1ECC">
              <w:rPr>
                <w:rFonts w:ascii="Calibri" w:eastAsia="新細明體" w:hAnsi="Calibri" w:cs="Calibri"/>
                <w:sz w:val="17"/>
                <w:szCs w:val="17"/>
                <w:lang w:eastAsia="zh-TW"/>
              </w:rPr>
              <w:t>；及</w:t>
            </w:r>
          </w:p>
          <w:p w14:paraId="5353D9DC" w14:textId="1229629A" w:rsidR="00B6247B" w:rsidRPr="00A36279" w:rsidRDefault="007F2795" w:rsidP="003204B6">
            <w:pPr>
              <w:pStyle w:val="ListParagraph"/>
              <w:numPr>
                <w:ilvl w:val="0"/>
                <w:numId w:val="63"/>
              </w:numPr>
              <w:ind w:leftChars="0" w:left="349" w:hanging="349"/>
              <w:jc w:val="both"/>
              <w:rPr>
                <w:rFonts w:ascii="Calibri" w:eastAsia="新細明體" w:hAnsi="Calibri" w:cs="Calibri"/>
                <w:sz w:val="17"/>
                <w:szCs w:val="17"/>
                <w:lang w:eastAsia="zh-TW"/>
              </w:rPr>
            </w:pPr>
            <w:r w:rsidRPr="00A36279">
              <w:rPr>
                <w:rFonts w:ascii="Calibri" w:eastAsia="新細明體" w:hAnsi="Calibri" w:cs="Calibri"/>
                <w:sz w:val="17"/>
                <w:szCs w:val="17"/>
                <w:lang w:eastAsia="zh-TW"/>
              </w:rPr>
              <w:t>《資本規則》</w:t>
            </w:r>
            <w:proofErr w:type="gramStart"/>
            <w:r w:rsidR="00B6247B" w:rsidRPr="00A36279">
              <w:rPr>
                <w:rFonts w:ascii="Calibri" w:eastAsia="新細明體" w:hAnsi="Calibri" w:cs="Calibri"/>
                <w:sz w:val="17"/>
                <w:szCs w:val="17"/>
                <w:lang w:eastAsia="zh-TW"/>
              </w:rPr>
              <w:t>第</w:t>
            </w:r>
            <w:r w:rsidR="00B6247B" w:rsidRPr="00A36279">
              <w:rPr>
                <w:rFonts w:ascii="Calibri" w:eastAsia="新細明體" w:hAnsi="Calibri" w:cs="Calibri"/>
                <w:sz w:val="17"/>
                <w:szCs w:val="17"/>
                <w:lang w:eastAsia="zh-TW"/>
              </w:rPr>
              <w:t>388</w:t>
            </w:r>
            <w:r w:rsidRPr="00A36279">
              <w:rPr>
                <w:rFonts w:ascii="Calibri" w:eastAsia="新細明體" w:hAnsi="Calibri" w:cs="Calibri"/>
                <w:sz w:val="17"/>
                <w:szCs w:val="17"/>
                <w:lang w:eastAsia="zh-TW"/>
              </w:rPr>
              <w:t>條</w:t>
            </w:r>
            <w:r w:rsidR="00FC33DA" w:rsidRPr="00A36279">
              <w:rPr>
                <w:rFonts w:ascii="Calibri" w:eastAsia="新細明體" w:hAnsi="Calibri" w:cs="Calibri"/>
                <w:sz w:val="17"/>
                <w:szCs w:val="17"/>
                <w:lang w:eastAsia="zh-HK"/>
              </w:rPr>
              <w:t>提述</w:t>
            </w:r>
            <w:r w:rsidRPr="00A36279">
              <w:rPr>
                <w:rFonts w:ascii="Calibri" w:eastAsia="新細明體" w:hAnsi="Calibri" w:cs="Calibri"/>
                <w:sz w:val="17"/>
                <w:szCs w:val="17"/>
                <w:lang w:eastAsia="zh-TW"/>
              </w:rPr>
              <w:t>的</w:t>
            </w:r>
            <w:proofErr w:type="gramEnd"/>
            <w:r w:rsidRPr="00A36279">
              <w:rPr>
                <w:rFonts w:ascii="Calibri" w:eastAsia="新細明體" w:hAnsi="Calibri" w:cs="Calibri"/>
                <w:sz w:val="17"/>
                <w:szCs w:val="17"/>
                <w:lang w:eastAsia="zh-TW"/>
              </w:rPr>
              <w:t>第</w:t>
            </w:r>
            <w:r w:rsidR="00054F5A" w:rsidRPr="00A36279">
              <w:rPr>
                <w:rFonts w:ascii="Calibri" w:eastAsia="新細明體" w:hAnsi="Calibri" w:cs="Calibri"/>
                <w:sz w:val="17"/>
                <w:szCs w:val="17"/>
                <w:lang w:eastAsia="zh-TW"/>
              </w:rPr>
              <w:t>2</w:t>
            </w:r>
            <w:r w:rsidR="00054F5A" w:rsidRPr="00A36279">
              <w:rPr>
                <w:rFonts w:ascii="Calibri" w:eastAsia="新細明體" w:hAnsi="Calibri" w:cs="Calibri"/>
                <w:sz w:val="17"/>
                <w:szCs w:val="17"/>
                <w:lang w:eastAsia="zh-TW"/>
              </w:rPr>
              <w:t>組</w:t>
            </w:r>
            <w:r w:rsidRPr="00A36279">
              <w:rPr>
                <w:rFonts w:ascii="Calibri" w:eastAsia="新細明體" w:hAnsi="Calibri" w:cs="Calibri"/>
                <w:sz w:val="17"/>
                <w:szCs w:val="17"/>
                <w:lang w:eastAsia="zh-TW"/>
              </w:rPr>
              <w:t>加密資產</w:t>
            </w:r>
            <w:r w:rsidRPr="00A36279">
              <w:rPr>
                <w:rFonts w:ascii="Calibri" w:eastAsia="新細明體" w:hAnsi="Calibri" w:cs="Calibri"/>
                <w:sz w:val="17"/>
                <w:szCs w:val="17"/>
                <w:lang w:eastAsia="zh-HK"/>
              </w:rPr>
              <w:t>風險承擔的</w:t>
            </w:r>
            <w:r w:rsidR="00B6247B" w:rsidRPr="00A36279">
              <w:rPr>
                <w:rFonts w:ascii="Calibri" w:eastAsia="新細明體" w:hAnsi="Calibri" w:cs="Calibri"/>
                <w:sz w:val="17"/>
                <w:szCs w:val="17"/>
                <w:lang w:eastAsia="zh-HK"/>
              </w:rPr>
              <w:t>附加</w:t>
            </w:r>
            <w:r w:rsidR="00FC33DA" w:rsidRPr="00A36279">
              <w:rPr>
                <w:rFonts w:ascii="Calibri" w:eastAsia="新細明體" w:hAnsi="Calibri" w:cs="Calibri"/>
                <w:sz w:val="17"/>
                <w:szCs w:val="17"/>
                <w:lang w:eastAsia="zh-HK"/>
              </w:rPr>
              <w:t>額</w:t>
            </w:r>
            <w:r w:rsidR="00B6247B" w:rsidRPr="00A36279">
              <w:rPr>
                <w:rFonts w:ascii="Calibri" w:eastAsia="新細明體" w:hAnsi="Calibri" w:cs="Calibri"/>
                <w:sz w:val="17"/>
                <w:szCs w:val="17"/>
                <w:lang w:eastAsia="zh-TW"/>
              </w:rPr>
              <w:t>。</w:t>
            </w:r>
          </w:p>
          <w:p w14:paraId="14400862" w14:textId="1E373FBD" w:rsidR="00B6247B" w:rsidRPr="001177B0" w:rsidRDefault="00A05576" w:rsidP="00A05576">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A36279">
              <w:rPr>
                <w:rFonts w:ascii="Calibri" w:eastAsia="新細明體" w:hAnsi="Calibri" w:cs="Calibri"/>
                <w:kern w:val="2"/>
                <w:sz w:val="17"/>
                <w:szCs w:val="17"/>
                <w:lang w:val="en-US" w:eastAsia="zh-TW"/>
              </w:rPr>
              <w:t>為清楚起見</w:t>
            </w:r>
            <w:r w:rsidRPr="00A36279">
              <w:rPr>
                <w:rFonts w:ascii="Calibri" w:eastAsia="新細明體" w:hAnsi="Calibri" w:cs="Calibri"/>
                <w:sz w:val="17"/>
                <w:szCs w:val="17"/>
                <w:lang w:eastAsia="zh-TW"/>
              </w:rPr>
              <w:t>，</w:t>
            </w:r>
            <w:r w:rsidR="00B6247B" w:rsidRPr="00A36279">
              <w:rPr>
                <w:rFonts w:ascii="Calibri" w:eastAsia="新細明體" w:hAnsi="Calibri" w:cs="Calibri"/>
                <w:sz w:val="17"/>
                <w:szCs w:val="17"/>
                <w:lang w:eastAsia="zh-TW"/>
              </w:rPr>
              <w:t>本行所</w:t>
            </w:r>
            <w:r w:rsidR="00924790">
              <w:rPr>
                <w:rFonts w:ascii="Calibri" w:eastAsia="新細明體" w:hAnsi="Calibri" w:cs="Calibri" w:hint="eastAsia"/>
                <w:sz w:val="17"/>
                <w:szCs w:val="17"/>
                <w:lang w:eastAsia="zh-TW"/>
              </w:rPr>
              <w:t>填</w:t>
            </w:r>
            <w:r w:rsidR="00B6247B" w:rsidRPr="00A36279">
              <w:rPr>
                <w:rFonts w:ascii="Calibri" w:eastAsia="新細明體" w:hAnsi="Calibri" w:cs="Calibri"/>
                <w:sz w:val="17"/>
                <w:szCs w:val="17"/>
                <w:lang w:eastAsia="zh-TW"/>
              </w:rPr>
              <w:t>報的風險承擔將不會在第</w:t>
            </w:r>
            <w:r w:rsidR="00B6247B" w:rsidRPr="00A36279">
              <w:rPr>
                <w:rFonts w:ascii="Calibri" w:eastAsia="新細明體" w:hAnsi="Calibri" w:cs="Calibri"/>
                <w:sz w:val="17"/>
                <w:szCs w:val="17"/>
                <w:lang w:eastAsia="zh-TW"/>
              </w:rPr>
              <w:t>2</w:t>
            </w:r>
            <w:r w:rsidR="00B6247B" w:rsidRPr="00A36279">
              <w:rPr>
                <w:rFonts w:ascii="Calibri" w:eastAsia="新細明體" w:hAnsi="Calibri" w:cs="Calibri"/>
                <w:sz w:val="17"/>
                <w:szCs w:val="17"/>
                <w:lang w:eastAsia="zh-TW"/>
              </w:rPr>
              <w:t>至</w:t>
            </w:r>
            <w:r w:rsidR="00B6247B" w:rsidRPr="00A36279">
              <w:rPr>
                <w:rFonts w:ascii="Calibri" w:eastAsia="新細明體" w:hAnsi="Calibri" w:cs="Calibri"/>
                <w:sz w:val="17"/>
                <w:szCs w:val="17"/>
                <w:lang w:eastAsia="zh-TW"/>
              </w:rPr>
              <w:t>5b</w:t>
            </w:r>
            <w:r w:rsidR="00B6247B" w:rsidRPr="00A36279">
              <w:rPr>
                <w:rFonts w:ascii="Calibri" w:eastAsia="新細明體" w:hAnsi="Calibri" w:cs="Calibri"/>
                <w:sz w:val="17"/>
                <w:szCs w:val="17"/>
                <w:lang w:eastAsia="zh-TW"/>
              </w:rPr>
              <w:t>行中重複</w:t>
            </w:r>
            <w:r w:rsidR="007040BB">
              <w:rPr>
                <w:rFonts w:ascii="Calibri" w:eastAsia="新細明體" w:hAnsi="Calibri" w:cs="Calibri" w:hint="eastAsia"/>
                <w:sz w:val="17"/>
                <w:szCs w:val="17"/>
                <w:lang w:eastAsia="zh-TW"/>
              </w:rPr>
              <w:t>填</w:t>
            </w:r>
            <w:r w:rsidR="00B6247B" w:rsidRPr="00A36279">
              <w:rPr>
                <w:rFonts w:ascii="Calibri" w:eastAsia="新細明體" w:hAnsi="Calibri" w:cs="Calibri"/>
                <w:sz w:val="17"/>
                <w:szCs w:val="17"/>
                <w:lang w:eastAsia="zh-TW"/>
              </w:rPr>
              <w:t>報，反之亦然。</w:t>
            </w:r>
          </w:p>
        </w:tc>
      </w:tr>
      <w:tr w:rsidR="00EB1E72" w:rsidRPr="00EB1E72" w14:paraId="64B07512" w14:textId="77777777" w:rsidTr="00217BE5">
        <w:tc>
          <w:tcPr>
            <w:tcW w:w="567" w:type="dxa"/>
            <w:shd w:val="clear" w:color="auto" w:fill="auto"/>
          </w:tcPr>
          <w:p w14:paraId="7420C7BA"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TW"/>
              </w:rPr>
              <w:t>6</w:t>
            </w:r>
          </w:p>
        </w:tc>
        <w:tc>
          <w:tcPr>
            <w:tcW w:w="8649" w:type="dxa"/>
            <w:shd w:val="clear" w:color="auto" w:fill="auto"/>
          </w:tcPr>
          <w:p w14:paraId="289B30EB" w14:textId="354A5574" w:rsidR="00EB1E72" w:rsidRPr="00EB1E72" w:rsidRDefault="00EB1E72" w:rsidP="00734EB3">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217BE5">
              <w:rPr>
                <w:rFonts w:ascii="Calibri" w:eastAsia="新細明體" w:hAnsi="Calibri" w:cs="Segoe UI" w:hint="eastAsia"/>
                <w:i/>
                <w:sz w:val="17"/>
                <w:szCs w:val="17"/>
                <w:lang w:eastAsia="zh-TW"/>
              </w:rPr>
              <w:t>對手方</w:t>
            </w:r>
            <w:r w:rsidRPr="00D06F67">
              <w:rPr>
                <w:rFonts w:ascii="Calibri" w:eastAsia="新細明體" w:hAnsi="Calibri" w:cs="Segoe UI" w:hint="eastAsia"/>
                <w:i/>
                <w:sz w:val="17"/>
                <w:szCs w:val="17"/>
                <w:lang w:val="en-US" w:eastAsia="zh-TW"/>
              </w:rPr>
              <w:t>信用</w:t>
            </w:r>
            <w:r w:rsidRPr="00217BE5">
              <w:rPr>
                <w:rFonts w:ascii="Calibri" w:eastAsia="新細明體" w:hAnsi="Calibri" w:cs="Segoe UI" w:hint="eastAsia"/>
                <w:i/>
                <w:sz w:val="17"/>
                <w:szCs w:val="17"/>
                <w:lang w:eastAsia="zh-TW"/>
              </w:rPr>
              <w:t>風險</w:t>
            </w:r>
            <w:proofErr w:type="gramStart"/>
            <w:r w:rsidRPr="00D06F67">
              <w:rPr>
                <w:rFonts w:ascii="Calibri" w:eastAsia="新細明體" w:hAnsi="Calibri" w:cs="Segoe UI"/>
                <w:i/>
                <w:sz w:val="17"/>
                <w:szCs w:val="17"/>
                <w:lang w:eastAsia="zh-TW"/>
              </w:rPr>
              <w:t>及違責基金</w:t>
            </w:r>
            <w:proofErr w:type="gramEnd"/>
            <w:r w:rsidRPr="00D06F67">
              <w:rPr>
                <w:rFonts w:ascii="Calibri" w:eastAsia="新細明體" w:hAnsi="Calibri" w:cs="Segoe UI"/>
                <w:i/>
                <w:sz w:val="17"/>
                <w:szCs w:val="17"/>
                <w:lang w:eastAsia="zh-TW"/>
              </w:rPr>
              <w:t>承擔</w:t>
            </w:r>
            <w:r w:rsidRPr="00D06F67">
              <w:rPr>
                <w:rFonts w:ascii="Calibri" w:eastAsia="新細明體" w:hAnsi="Calibri" w:cs="Segoe UI"/>
                <w:sz w:val="17"/>
                <w:szCs w:val="17"/>
                <w:lang w:eastAsia="zh-TW"/>
              </w:rPr>
              <w:t>：在本文件第</w:t>
            </w:r>
            <w:r w:rsidRPr="00D06F67">
              <w:rPr>
                <w:rFonts w:ascii="Calibri" w:eastAsia="新細明體" w:hAnsi="Calibri" w:cs="Segoe UI"/>
                <w:sz w:val="17"/>
                <w:szCs w:val="17"/>
                <w:lang w:eastAsia="zh-TW"/>
              </w:rPr>
              <w:t>IV</w:t>
            </w:r>
            <w:proofErr w:type="gramStart"/>
            <w:r w:rsidRPr="00D06F67">
              <w:rPr>
                <w:rFonts w:ascii="Calibri" w:eastAsia="新細明體" w:hAnsi="Calibri" w:cs="Segoe UI"/>
                <w:sz w:val="17"/>
                <w:szCs w:val="17"/>
                <w:lang w:eastAsia="zh-TW"/>
              </w:rPr>
              <w:t>部內填報</w:t>
            </w:r>
            <w:proofErr w:type="gramEnd"/>
            <w:r w:rsidRPr="00D06F67">
              <w:rPr>
                <w:rFonts w:ascii="Calibri" w:eastAsia="新細明體" w:hAnsi="Calibri" w:cs="Segoe UI"/>
                <w:sz w:val="17"/>
                <w:szCs w:val="17"/>
                <w:lang w:eastAsia="zh-TW"/>
              </w:rPr>
              <w:t>的，</w:t>
            </w:r>
            <w:r w:rsidRPr="00D06F67">
              <w:rPr>
                <w:rFonts w:ascii="Calibri" w:eastAsia="新細明體" w:hAnsi="Calibri" w:cs="Segoe UI" w:hint="eastAsia"/>
                <w:sz w:val="17"/>
                <w:szCs w:val="17"/>
                <w:lang w:eastAsia="zh-HK"/>
              </w:rPr>
              <w:t>並</w:t>
            </w:r>
            <w:r w:rsidRPr="00D06F67">
              <w:rPr>
                <w:rFonts w:ascii="Calibri" w:eastAsia="新細明體" w:hAnsi="Calibri" w:cs="Segoe UI"/>
                <w:sz w:val="17"/>
                <w:szCs w:val="17"/>
                <w:lang w:eastAsia="zh-TW"/>
              </w:rPr>
              <w:t>按照《資本規則》計算的</w:t>
            </w:r>
            <w:r w:rsidRPr="00217BE5">
              <w:rPr>
                <w:rFonts w:ascii="Calibri" w:eastAsia="新細明體" w:hAnsi="Calibri" w:cs="Segoe UI" w:hint="eastAsia"/>
                <w:sz w:val="17"/>
                <w:szCs w:val="17"/>
                <w:lang w:eastAsia="zh-TW"/>
              </w:rPr>
              <w:t>對手方</w:t>
            </w:r>
            <w:r w:rsidRPr="00D06F67">
              <w:rPr>
                <w:rFonts w:ascii="Calibri" w:eastAsia="細明體" w:hAnsi="Calibri" w:cs="Segoe UI" w:hint="eastAsia"/>
                <w:kern w:val="2"/>
                <w:sz w:val="17"/>
                <w:szCs w:val="17"/>
                <w:lang w:val="en-US" w:eastAsia="zh-TW"/>
              </w:rPr>
              <w:t>信用</w:t>
            </w:r>
            <w:r w:rsidRPr="00217BE5">
              <w:rPr>
                <w:rFonts w:ascii="Calibri" w:eastAsia="新細明體" w:hAnsi="Calibri" w:cs="Segoe UI" w:hint="eastAsia"/>
                <w:sz w:val="17"/>
                <w:szCs w:val="17"/>
                <w:lang w:eastAsia="zh-TW"/>
              </w:rPr>
              <w:t>風險</w:t>
            </w:r>
            <w:r w:rsidRPr="00D06F67">
              <w:rPr>
                <w:rFonts w:ascii="Calibri" w:eastAsia="細明體" w:hAnsi="Calibri" w:cs="Segoe UI"/>
                <w:kern w:val="2"/>
                <w:sz w:val="17"/>
                <w:szCs w:val="17"/>
                <w:lang w:val="en-US" w:eastAsia="zh-TW"/>
              </w:rPr>
              <w:t>（</w:t>
            </w:r>
            <w:r w:rsidRPr="00D06F67">
              <w:rPr>
                <w:rFonts w:ascii="Calibri" w:eastAsia="新細明體" w:hAnsi="Calibri" w:cs="Segoe UI"/>
                <w:sz w:val="17"/>
                <w:szCs w:val="17"/>
                <w:lang w:eastAsia="zh-TW"/>
              </w:rPr>
              <w:t>包</w:t>
            </w:r>
            <w:r w:rsidRPr="00EB1E72">
              <w:rPr>
                <w:rFonts w:ascii="Calibri" w:eastAsia="新細明體" w:hAnsi="Calibri" w:cs="Segoe UI"/>
                <w:sz w:val="17"/>
                <w:szCs w:val="17"/>
                <w:lang w:eastAsia="zh-TW"/>
              </w:rPr>
              <w:t>括對</w:t>
            </w:r>
            <w:r w:rsidRPr="00EB1E72">
              <w:rPr>
                <w:rFonts w:ascii="Calibri" w:eastAsia="細明體" w:hAnsi="Calibri" w:cs="Segoe UI"/>
                <w:kern w:val="2"/>
                <w:sz w:val="17"/>
                <w:szCs w:val="17"/>
                <w:lang w:val="en-US" w:eastAsia="zh-TW"/>
              </w:rPr>
              <w:t>中央交易對手方</w:t>
            </w:r>
            <w:r w:rsidRPr="00EB1E72">
              <w:rPr>
                <w:rFonts w:ascii="Calibri" w:eastAsia="細明體" w:hAnsi="Calibri" w:cs="Segoe UI"/>
                <w:kern w:val="2"/>
                <w:sz w:val="17"/>
                <w:szCs w:val="17"/>
                <w:lang w:val="en-US" w:eastAsia="zh-TW"/>
              </w:rPr>
              <w:t>(</w:t>
            </w:r>
            <w:r w:rsidRPr="00EB1E72">
              <w:rPr>
                <w:rFonts w:ascii="Calibri" w:eastAsia="新細明體" w:hAnsi="Calibri" w:cs="Segoe UI"/>
                <w:sz w:val="17"/>
                <w:szCs w:val="17"/>
                <w:lang w:eastAsia="zh-TW"/>
              </w:rPr>
              <w:t>CCP)</w:t>
            </w:r>
            <w:r w:rsidRPr="00EB1E72">
              <w:rPr>
                <w:rFonts w:ascii="Calibri" w:eastAsia="新細明體" w:hAnsi="Calibri" w:cs="Segoe UI"/>
                <w:sz w:val="17"/>
                <w:szCs w:val="17"/>
                <w:lang w:eastAsia="zh-TW"/>
              </w:rPr>
              <w:t>的有關風險</w:t>
            </w:r>
            <w:r w:rsidRPr="00EB1E72">
              <w:rPr>
                <w:rFonts w:ascii="Calibri" w:eastAsia="細明體" w:hAnsi="Calibri" w:cs="Segoe UI"/>
                <w:kern w:val="2"/>
                <w:sz w:val="17"/>
                <w:szCs w:val="17"/>
                <w:lang w:val="en-US" w:eastAsia="zh-TW"/>
              </w:rPr>
              <w:t>）</w:t>
            </w:r>
            <w:proofErr w:type="gramStart"/>
            <w:r w:rsidRPr="00EB1E72">
              <w:rPr>
                <w:rFonts w:ascii="Calibri" w:eastAsia="新細明體" w:hAnsi="Calibri" w:cs="Segoe UI"/>
                <w:sz w:val="17"/>
                <w:szCs w:val="17"/>
                <w:lang w:eastAsia="zh-TW"/>
              </w:rPr>
              <w:t>及違責基金</w:t>
            </w:r>
            <w:proofErr w:type="gramEnd"/>
            <w:r w:rsidRPr="00EB1E72">
              <w:rPr>
                <w:rFonts w:ascii="Calibri" w:eastAsia="新細明體" w:hAnsi="Calibri" w:cs="Segoe UI"/>
                <w:sz w:val="17"/>
                <w:szCs w:val="17"/>
                <w:lang w:eastAsia="zh-TW"/>
              </w:rPr>
              <w:t>承擔的風險加權數額及資本規定。</w:t>
            </w:r>
            <w:r w:rsidRPr="00EB1E72">
              <w:rPr>
                <w:rFonts w:ascii="Calibri" w:eastAsia="新細明體" w:hAnsi="Calibri" w:cs="Segoe UI"/>
                <w:sz w:val="17"/>
                <w:szCs w:val="17"/>
                <w:lang w:eastAsia="zh-TW"/>
              </w:rPr>
              <w:t>[OV1:6/</w:t>
            </w:r>
            <w:proofErr w:type="gramStart"/>
            <w:r w:rsidRPr="00EB1E72">
              <w:rPr>
                <w:rFonts w:ascii="Calibri" w:eastAsia="新細明體" w:hAnsi="Calibri" w:cs="Segoe UI"/>
                <w:sz w:val="17"/>
                <w:szCs w:val="17"/>
                <w:lang w:eastAsia="zh-TW"/>
              </w:rPr>
              <w:t>a]</w:t>
            </w:r>
            <w:r w:rsidRPr="00EB1E72">
              <w:rPr>
                <w:rFonts w:ascii="Calibri" w:eastAsia="新細明體" w:hAnsi="Calibri" w:cs="Segoe UI"/>
                <w:sz w:val="17"/>
                <w:szCs w:val="17"/>
                <w:lang w:eastAsia="zh-TW"/>
              </w:rPr>
              <w:t>的值相等於</w:t>
            </w:r>
            <w:proofErr w:type="gramEnd"/>
            <w:r w:rsidRPr="00EB1E72">
              <w:rPr>
                <w:rFonts w:ascii="Calibri" w:eastAsia="新細明體" w:hAnsi="Calibri" w:cs="Segoe UI"/>
                <w:sz w:val="17"/>
                <w:szCs w:val="17"/>
                <w:lang w:eastAsia="zh-TW"/>
              </w:rPr>
              <w:t>[CCR1:6/f]</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[CCR8:1/b]</w:t>
            </w:r>
            <w:r w:rsidRPr="00EB1E72">
              <w:rPr>
                <w:rFonts w:ascii="Calibri" w:eastAsia="新細明體" w:hAnsi="Calibri" w:cs="Segoe UI"/>
                <w:sz w:val="17"/>
                <w:szCs w:val="17"/>
                <w:lang w:eastAsia="zh-TW"/>
              </w:rPr>
              <w:t>及</w:t>
            </w:r>
            <w:r w:rsidRPr="00EB1E72">
              <w:rPr>
                <w:rFonts w:ascii="Calibri" w:eastAsia="新細明體" w:hAnsi="Calibri" w:cs="Segoe UI"/>
                <w:sz w:val="17"/>
                <w:szCs w:val="17"/>
                <w:lang w:eastAsia="zh-TW"/>
              </w:rPr>
              <w:t>[CCR8:11/b]</w:t>
            </w:r>
            <w:r w:rsidRPr="00EB1E72">
              <w:rPr>
                <w:rFonts w:ascii="Calibri" w:eastAsia="新細明體" w:hAnsi="Calibri" w:cs="Segoe UI"/>
                <w:sz w:val="17"/>
                <w:szCs w:val="17"/>
                <w:lang w:eastAsia="zh-TW"/>
              </w:rPr>
              <w:t>的值的總和。</w:t>
            </w:r>
          </w:p>
        </w:tc>
      </w:tr>
      <w:tr w:rsidR="00EB1E72" w:rsidRPr="00EB1E72" w14:paraId="23C930CF" w14:textId="77777777" w:rsidTr="00217BE5">
        <w:tc>
          <w:tcPr>
            <w:tcW w:w="567" w:type="dxa"/>
            <w:shd w:val="clear" w:color="auto" w:fill="auto"/>
          </w:tcPr>
          <w:p w14:paraId="60881B3D"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TW"/>
              </w:rPr>
              <w:t>7</w:t>
            </w:r>
          </w:p>
        </w:tc>
        <w:tc>
          <w:tcPr>
            <w:tcW w:w="8649" w:type="dxa"/>
            <w:shd w:val="clear" w:color="auto" w:fill="auto"/>
          </w:tcPr>
          <w:p w14:paraId="6089DBFC" w14:textId="10363A20" w:rsidR="00EB1E72" w:rsidRPr="00EB1E72" w:rsidRDefault="00EB1E72" w:rsidP="00A05576">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SA-CCR</w:t>
            </w:r>
            <w:r w:rsidRPr="00EB1E72">
              <w:rPr>
                <w:rFonts w:ascii="Calibri" w:eastAsia="新細明體" w:hAnsi="Calibri" w:cs="Segoe UI" w:hint="eastAsia"/>
                <w:i/>
                <w:sz w:val="17"/>
                <w:szCs w:val="17"/>
                <w:lang w:eastAsia="zh-TW"/>
              </w:rPr>
              <w:t>計算法</w:t>
            </w:r>
            <w:r w:rsidRPr="00EB1E72">
              <w:rPr>
                <w:rFonts w:ascii="Calibri" w:eastAsia="新細明體" w:hAnsi="Calibri" w:cs="Segoe UI"/>
                <w:sz w:val="17"/>
                <w:szCs w:val="17"/>
                <w:lang w:eastAsia="zh-TW"/>
              </w:rPr>
              <w:t>：根據在</w:t>
            </w:r>
            <w:r w:rsidRPr="00EB1E72">
              <w:rPr>
                <w:rFonts w:ascii="Calibri" w:eastAsia="新細明體" w:hAnsi="Calibri" w:cs="Segoe UI"/>
                <w:sz w:val="17"/>
                <w:szCs w:val="17"/>
                <w:lang w:eastAsia="zh-TW"/>
              </w:rPr>
              <w:t>SA-CCR</w:t>
            </w:r>
            <w:r w:rsidRPr="00EB1E72">
              <w:rPr>
                <w:rFonts w:ascii="Calibri" w:eastAsia="新細明體" w:hAnsi="Calibri" w:cs="Segoe UI"/>
                <w:sz w:val="17"/>
                <w:szCs w:val="17"/>
                <w:lang w:eastAsia="zh-TW"/>
              </w:rPr>
              <w:t>計算法下計算</w:t>
            </w:r>
            <w:proofErr w:type="gramStart"/>
            <w:r w:rsidRPr="00EB1E72">
              <w:rPr>
                <w:rFonts w:ascii="Calibri" w:eastAsia="新細明體" w:hAnsi="Calibri" w:cs="Segoe UI"/>
                <w:sz w:val="17"/>
                <w:szCs w:val="17"/>
                <w:lang w:eastAsia="zh-TW"/>
              </w:rPr>
              <w:t>的違責風險</w:t>
            </w:r>
            <w:proofErr w:type="gramEnd"/>
            <w:r w:rsidRPr="00EB1E72">
              <w:rPr>
                <w:rFonts w:ascii="Calibri" w:eastAsia="新細明體" w:hAnsi="Calibri" w:cs="Segoe UI"/>
                <w:sz w:val="17"/>
                <w:szCs w:val="17"/>
                <w:lang w:eastAsia="zh-TW"/>
              </w:rPr>
              <w:t>的風險承擔的數額計算的風險加權數額</w:t>
            </w:r>
            <w:r w:rsidR="00BA4017" w:rsidRPr="00626A29">
              <w:rPr>
                <w:rFonts w:ascii="新細明體" w:eastAsia="新細明體" w:hAnsi="新細明體" w:cs="Segoe UI" w:hint="eastAsia"/>
                <w:sz w:val="17"/>
                <w:szCs w:val="17"/>
                <w:lang w:eastAsia="zh-TW"/>
              </w:rPr>
              <w:t>，</w:t>
            </w:r>
            <w:bookmarkStart w:id="0" w:name="_Hlk212195506"/>
            <w:r w:rsidR="00A14375">
              <w:rPr>
                <w:rFonts w:ascii="新細明體" w:eastAsia="新細明體" w:hAnsi="新細明體" w:cs="Segoe UI" w:hint="eastAsia"/>
                <w:sz w:val="17"/>
                <w:szCs w:val="17"/>
                <w:lang w:eastAsia="zh-TW"/>
              </w:rPr>
              <w:t>及</w:t>
            </w:r>
            <w:r w:rsidR="00BA4017" w:rsidRPr="00626A29">
              <w:rPr>
                <w:rFonts w:ascii="新細明體" w:eastAsia="新細明體" w:hAnsi="新細明體" w:cs="Segoe UI" w:hint="eastAsia"/>
                <w:sz w:val="17"/>
                <w:szCs w:val="17"/>
                <w:lang w:eastAsia="zh-TW"/>
              </w:rPr>
              <w:t>根據</w:t>
            </w:r>
            <w:bookmarkEnd w:id="0"/>
            <w:r w:rsidR="00BA4017" w:rsidRPr="00626A29">
              <w:rPr>
                <w:rFonts w:ascii="新細明體" w:eastAsia="新細明體" w:hAnsi="新細明體" w:cs="Segoe UI" w:hint="eastAsia"/>
                <w:sz w:val="17"/>
                <w:szCs w:val="17"/>
                <w:lang w:eastAsia="zh-TW"/>
              </w:rPr>
              <w:t>該</w:t>
            </w:r>
            <w:r w:rsidR="00BA4017" w:rsidRPr="00626A29">
              <w:rPr>
                <w:rFonts w:ascii="新細明體" w:eastAsia="新細明體" w:hAnsi="新細明體" w:cs="Segoe UI" w:hint="eastAsia"/>
                <w:kern w:val="2"/>
                <w:sz w:val="17"/>
                <w:szCs w:val="17"/>
                <w:lang w:val="en-US" w:eastAsia="zh-TW"/>
              </w:rPr>
              <w:t>風險加權數額</w:t>
            </w:r>
            <w:r w:rsidR="00BA4017" w:rsidRPr="00626A29">
              <w:rPr>
                <w:rFonts w:ascii="新細明體" w:eastAsia="新細明體" w:hAnsi="新細明體" w:cs="Segoe UI" w:hint="eastAsia"/>
                <w:sz w:val="17"/>
                <w:szCs w:val="17"/>
                <w:lang w:eastAsia="zh-TW"/>
              </w:rPr>
              <w:t>計算</w:t>
            </w:r>
            <w:r w:rsidR="00A03A20" w:rsidRPr="00FC4129">
              <w:rPr>
                <w:rFonts w:ascii="新細明體" w:eastAsia="新細明體" w:hAnsi="新細明體" w:cs="Segoe UI" w:hint="eastAsia"/>
                <w:sz w:val="17"/>
                <w:szCs w:val="17"/>
                <w:lang w:eastAsia="zh-TW"/>
              </w:rPr>
              <w:t>的</w:t>
            </w:r>
            <w:r w:rsidR="00BA4017" w:rsidRPr="00626A29">
              <w:rPr>
                <w:rFonts w:ascii="新細明體" w:eastAsia="新細明體" w:hAnsi="新細明體" w:cs="Segoe UI" w:hint="eastAsia"/>
                <w:sz w:val="17"/>
                <w:szCs w:val="17"/>
                <w:lang w:eastAsia="zh-TW"/>
              </w:rPr>
              <w:t>資本規定</w:t>
            </w:r>
            <w:r w:rsidR="00623D90" w:rsidRPr="00623D90">
              <w:rPr>
                <w:rFonts w:ascii="Calibri" w:eastAsia="新細明體" w:hAnsi="Calibri" w:cs="Segoe UI" w:hint="eastAsia"/>
                <w:sz w:val="17"/>
                <w:szCs w:val="17"/>
                <w:lang w:eastAsia="zh-TW"/>
              </w:rPr>
              <w:t>。</w:t>
            </w:r>
            <w:r w:rsidRPr="00EB1E72">
              <w:rPr>
                <w:rFonts w:ascii="Calibri" w:eastAsia="新細明體" w:hAnsi="Calibri" w:cs="Segoe UI"/>
                <w:sz w:val="17"/>
                <w:szCs w:val="17"/>
                <w:lang w:eastAsia="zh-TW"/>
              </w:rPr>
              <w:t xml:space="preserve">[OV1:7/a] </w:t>
            </w:r>
            <w:proofErr w:type="gramStart"/>
            <w:r w:rsidRPr="00EB1E72">
              <w:rPr>
                <w:rFonts w:ascii="Calibri" w:eastAsia="新細明體" w:hAnsi="Calibri" w:cs="Segoe UI"/>
                <w:sz w:val="17"/>
                <w:szCs w:val="17"/>
                <w:lang w:eastAsia="zh-TW"/>
              </w:rPr>
              <w:t>的值相等於</w:t>
            </w:r>
            <w:r w:rsidRPr="00EB1E72">
              <w:rPr>
                <w:rFonts w:ascii="Calibri" w:eastAsia="新細明體" w:hAnsi="Calibri" w:cs="Segoe UI"/>
                <w:sz w:val="17"/>
                <w:szCs w:val="17"/>
                <w:lang w:eastAsia="zh-TW"/>
              </w:rPr>
              <w:t>[</w:t>
            </w:r>
            <w:proofErr w:type="gramEnd"/>
            <w:r w:rsidRPr="00EB1E72">
              <w:rPr>
                <w:rFonts w:ascii="Calibri" w:eastAsia="新細明體" w:hAnsi="Calibri" w:cs="Segoe UI"/>
                <w:sz w:val="17"/>
                <w:szCs w:val="17"/>
                <w:lang w:eastAsia="zh-TW"/>
              </w:rPr>
              <w:t>CCR1:1/f]</w:t>
            </w:r>
            <w:r w:rsidRPr="00EB1E72">
              <w:rPr>
                <w:rFonts w:ascii="Calibri" w:eastAsia="新細明體" w:hAnsi="Calibri" w:cs="Segoe UI"/>
                <w:sz w:val="17"/>
                <w:szCs w:val="17"/>
                <w:lang w:eastAsia="zh-TW"/>
              </w:rPr>
              <w:t>的值。</w:t>
            </w:r>
          </w:p>
        </w:tc>
      </w:tr>
      <w:tr w:rsidR="00EB1E72" w:rsidRPr="00EB1E72" w14:paraId="2FF7ED80" w14:textId="77777777" w:rsidTr="00217BE5">
        <w:tc>
          <w:tcPr>
            <w:tcW w:w="567" w:type="dxa"/>
            <w:shd w:val="clear" w:color="auto" w:fill="auto"/>
          </w:tcPr>
          <w:p w14:paraId="78623C01"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CN"/>
              </w:rPr>
              <w:t>7</w:t>
            </w:r>
            <w:r w:rsidRPr="00EB1E72">
              <w:rPr>
                <w:rFonts w:ascii="Calibri" w:eastAsia="新細明體" w:hAnsi="Calibri" w:cs="Segoe UI"/>
                <w:sz w:val="17"/>
                <w:szCs w:val="17"/>
                <w:lang w:eastAsia="zh-TW"/>
              </w:rPr>
              <w:t>a</w:t>
            </w:r>
          </w:p>
        </w:tc>
        <w:tc>
          <w:tcPr>
            <w:tcW w:w="8649" w:type="dxa"/>
            <w:shd w:val="clear" w:color="auto" w:fill="auto"/>
          </w:tcPr>
          <w:p w14:paraId="6BA4E527" w14:textId="05F668BF" w:rsidR="00EB1E72" w:rsidRPr="00EB1E72" w:rsidRDefault="00EB1E72" w:rsidP="00422BB7">
            <w:pPr>
              <w:keepLines/>
              <w:widowControl w:val="0"/>
              <w:tabs>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新細明體" w:hAnsi="Calibri" w:cs="Segoe UI"/>
                <w:i/>
                <w:sz w:val="17"/>
                <w:szCs w:val="17"/>
                <w:lang w:eastAsia="zh-TW"/>
              </w:rPr>
              <w:t>其中</w:t>
            </w:r>
            <w:r w:rsidRPr="00EB1E72">
              <w:rPr>
                <w:rFonts w:ascii="Calibri" w:eastAsia="細明體" w:hAnsi="Calibri" w:cs="Segoe UI"/>
                <w:i/>
                <w:kern w:val="2"/>
                <w:sz w:val="17"/>
                <w:szCs w:val="17"/>
                <w:lang w:val="en-US" w:eastAsia="zh-TW"/>
              </w:rPr>
              <w:t>現行風險承擔方法</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的計算根據</w:t>
            </w:r>
            <w:r w:rsidRPr="00EB1E72">
              <w:rPr>
                <w:rFonts w:ascii="Calibri" w:eastAsia="細明體" w:hAnsi="Calibri" w:cs="Segoe UI"/>
                <w:kern w:val="2"/>
                <w:sz w:val="17"/>
                <w:szCs w:val="17"/>
                <w:lang w:val="en-US" w:eastAsia="zh-TW"/>
              </w:rPr>
              <w:t>現行風險承擔方法</w:t>
            </w:r>
            <w:r w:rsidRPr="00EB1E72">
              <w:rPr>
                <w:rFonts w:ascii="Calibri" w:eastAsia="新細明體" w:hAnsi="Calibri" w:cs="Segoe UI"/>
                <w:sz w:val="17"/>
                <w:szCs w:val="17"/>
                <w:lang w:eastAsia="zh-TW"/>
              </w:rPr>
              <w:t>計得</w:t>
            </w:r>
            <w:proofErr w:type="gramStart"/>
            <w:r w:rsidRPr="00EB1E72">
              <w:rPr>
                <w:rFonts w:ascii="Calibri" w:eastAsia="新細明體" w:hAnsi="Calibri" w:cs="Segoe UI"/>
                <w:sz w:val="17"/>
                <w:szCs w:val="17"/>
                <w:lang w:eastAsia="zh-TW"/>
              </w:rPr>
              <w:t>的違責風險</w:t>
            </w:r>
            <w:proofErr w:type="gramEnd"/>
            <w:r w:rsidRPr="00EB1E72">
              <w:rPr>
                <w:rFonts w:ascii="Calibri" w:eastAsia="新細明體" w:hAnsi="Calibri" w:cs="Segoe UI"/>
                <w:sz w:val="17"/>
                <w:szCs w:val="17"/>
                <w:lang w:eastAsia="zh-TW"/>
              </w:rPr>
              <w:t>的風險承擔的數額，</w:t>
            </w:r>
            <w:r w:rsidR="00A14375">
              <w:rPr>
                <w:rFonts w:ascii="新細明體" w:eastAsia="新細明體" w:hAnsi="新細明體" w:cs="Segoe UI" w:hint="eastAsia"/>
                <w:sz w:val="17"/>
                <w:szCs w:val="17"/>
                <w:lang w:eastAsia="zh-TW"/>
              </w:rPr>
              <w:t>及</w:t>
            </w:r>
            <w:r w:rsidRPr="00EB1E72">
              <w:rPr>
                <w:rFonts w:ascii="Calibri" w:eastAsia="新細明體" w:hAnsi="Calibri" w:cs="Segoe UI"/>
                <w:sz w:val="17"/>
                <w:szCs w:val="17"/>
                <w:lang w:eastAsia="zh-TW"/>
              </w:rPr>
              <w:t>根據該</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計算</w:t>
            </w:r>
            <w:r w:rsidR="00A03A20">
              <w:rPr>
                <w:rFonts w:ascii="Calibri" w:eastAsia="新細明體" w:hAnsi="Calibri" w:cs="Segoe UI" w:hint="eastAsia"/>
                <w:sz w:val="17"/>
                <w:szCs w:val="17"/>
                <w:lang w:eastAsia="zh-TW"/>
              </w:rPr>
              <w:t>的</w:t>
            </w:r>
            <w:r w:rsidRPr="00EB1E72">
              <w:rPr>
                <w:rFonts w:ascii="Calibri" w:eastAsia="新細明體" w:hAnsi="Calibri" w:cs="Segoe UI"/>
                <w:sz w:val="17"/>
                <w:szCs w:val="17"/>
                <w:lang w:eastAsia="zh-TW"/>
              </w:rPr>
              <w:t>資本規定。</w:t>
            </w:r>
            <w:r w:rsidRPr="00EB1E72">
              <w:rPr>
                <w:rFonts w:ascii="Calibri" w:eastAsia="新細明體" w:hAnsi="Calibri" w:cs="Segoe UI"/>
                <w:sz w:val="17"/>
                <w:szCs w:val="17"/>
                <w:lang w:eastAsia="zh-TW"/>
              </w:rPr>
              <w:t xml:space="preserve">[OV1:7a/a] </w:t>
            </w:r>
            <w:proofErr w:type="gramStart"/>
            <w:r w:rsidRPr="00EB1E72">
              <w:rPr>
                <w:rFonts w:ascii="Calibri" w:eastAsia="新細明體" w:hAnsi="Calibri" w:cs="Segoe UI"/>
                <w:sz w:val="17"/>
                <w:szCs w:val="17"/>
                <w:lang w:eastAsia="zh-TW"/>
              </w:rPr>
              <w:t>的值相等於</w:t>
            </w:r>
            <w:r w:rsidRPr="00EB1E72">
              <w:rPr>
                <w:rFonts w:ascii="Calibri" w:eastAsia="新細明體" w:hAnsi="Calibri" w:cs="Segoe UI"/>
                <w:sz w:val="17"/>
                <w:szCs w:val="17"/>
                <w:lang w:eastAsia="zh-TW"/>
              </w:rPr>
              <w:t>[</w:t>
            </w:r>
            <w:proofErr w:type="gramEnd"/>
            <w:r w:rsidRPr="00EB1E72">
              <w:rPr>
                <w:rFonts w:ascii="Calibri" w:eastAsia="新細明體" w:hAnsi="Calibri" w:cs="Segoe UI"/>
                <w:sz w:val="17"/>
                <w:szCs w:val="17"/>
                <w:lang w:eastAsia="zh-TW"/>
              </w:rPr>
              <w:t>CCR1:1a/f]</w:t>
            </w:r>
            <w:r w:rsidRPr="00EB1E72">
              <w:rPr>
                <w:rFonts w:ascii="Calibri" w:eastAsia="新細明體" w:hAnsi="Calibri" w:cs="Segoe UI"/>
                <w:sz w:val="17"/>
                <w:szCs w:val="17"/>
                <w:lang w:eastAsia="zh-TW"/>
              </w:rPr>
              <w:t>的值。</w:t>
            </w:r>
          </w:p>
        </w:tc>
      </w:tr>
      <w:tr w:rsidR="00EB1E72" w:rsidRPr="00EB1E72" w14:paraId="5E0680EA" w14:textId="77777777" w:rsidTr="00217BE5">
        <w:tc>
          <w:tcPr>
            <w:tcW w:w="567" w:type="dxa"/>
            <w:shd w:val="clear" w:color="auto" w:fill="auto"/>
          </w:tcPr>
          <w:p w14:paraId="555F035E"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CN"/>
              </w:rPr>
              <w:t>8</w:t>
            </w:r>
          </w:p>
        </w:tc>
        <w:tc>
          <w:tcPr>
            <w:tcW w:w="8649" w:type="dxa"/>
            <w:shd w:val="clear" w:color="auto" w:fill="auto"/>
          </w:tcPr>
          <w:p w14:paraId="39110C02" w14:textId="591D10F9" w:rsidR="00EB1E72" w:rsidRPr="00EB1E72" w:rsidRDefault="00EB1E72" w:rsidP="00EB1E72">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IMM(CCR)</w:t>
            </w:r>
            <w:r w:rsidRPr="00EB1E72">
              <w:rPr>
                <w:rFonts w:ascii="Calibri" w:eastAsia="新細明體" w:hAnsi="Calibri" w:cs="Segoe UI"/>
                <w:i/>
                <w:sz w:val="17"/>
                <w:szCs w:val="17"/>
                <w:lang w:eastAsia="zh-TW"/>
              </w:rPr>
              <w:t>計算法</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17"/>
                <w:lang w:val="en-US" w:eastAsia="zh-TW"/>
              </w:rPr>
              <w:t>風險加權數額的計算是根據</w:t>
            </w:r>
            <w:r w:rsidRPr="00EB1E72">
              <w:rPr>
                <w:rFonts w:ascii="Calibri" w:eastAsia="細明體" w:hAnsi="Calibri" w:cs="Segoe UI"/>
                <w:kern w:val="2"/>
                <w:sz w:val="17"/>
                <w:szCs w:val="17"/>
                <w:lang w:val="en-US" w:eastAsia="zh-TW"/>
              </w:rPr>
              <w:t>IMM(CCR)</w:t>
            </w:r>
            <w:proofErr w:type="gramStart"/>
            <w:r w:rsidRPr="00EB1E72">
              <w:rPr>
                <w:rFonts w:ascii="Calibri" w:eastAsia="細明體" w:hAnsi="Calibri" w:cs="Segoe UI"/>
                <w:kern w:val="2"/>
                <w:sz w:val="17"/>
                <w:szCs w:val="17"/>
                <w:lang w:val="en-US" w:eastAsia="zh-TW"/>
              </w:rPr>
              <w:t>計算法計得的違責風險</w:t>
            </w:r>
            <w:proofErr w:type="gramEnd"/>
            <w:r w:rsidRPr="00EB1E72">
              <w:rPr>
                <w:rFonts w:ascii="Calibri" w:eastAsia="細明體" w:hAnsi="Calibri" w:cs="Segoe UI"/>
                <w:kern w:val="2"/>
                <w:sz w:val="17"/>
                <w:szCs w:val="17"/>
                <w:lang w:val="en-US" w:eastAsia="zh-TW"/>
              </w:rPr>
              <w:t>的風險承擔的數額，</w:t>
            </w:r>
            <w:r w:rsidR="00A14375">
              <w:rPr>
                <w:rFonts w:ascii="新細明體" w:eastAsia="新細明體" w:hAnsi="新細明體" w:cs="Segoe UI" w:hint="eastAsia"/>
                <w:sz w:val="17"/>
                <w:szCs w:val="17"/>
                <w:lang w:eastAsia="zh-TW"/>
              </w:rPr>
              <w:t>及</w:t>
            </w:r>
            <w:r w:rsidRPr="00EB1E72">
              <w:rPr>
                <w:rFonts w:ascii="Calibri" w:eastAsia="細明體" w:hAnsi="Calibri" w:cs="Segoe UI"/>
                <w:kern w:val="2"/>
                <w:sz w:val="17"/>
                <w:szCs w:val="17"/>
                <w:lang w:val="en-US" w:eastAsia="zh-TW"/>
              </w:rPr>
              <w:t>根據該風險加權數額計算</w:t>
            </w:r>
            <w:r w:rsidR="00093FDE">
              <w:rPr>
                <w:rFonts w:ascii="Calibri" w:eastAsia="新細明體" w:hAnsi="Calibri" w:cs="Segoe UI" w:hint="eastAsia"/>
                <w:sz w:val="17"/>
                <w:szCs w:val="17"/>
                <w:lang w:eastAsia="zh-TW"/>
              </w:rPr>
              <w:t>的</w:t>
            </w:r>
            <w:r w:rsidRPr="00EB1E72">
              <w:rPr>
                <w:rFonts w:ascii="Calibri" w:eastAsia="細明體" w:hAnsi="Calibri" w:cs="Segoe UI"/>
                <w:kern w:val="2"/>
                <w:sz w:val="17"/>
                <w:szCs w:val="17"/>
                <w:lang w:val="en-US" w:eastAsia="zh-TW"/>
              </w:rPr>
              <w:t>資本規定。</w:t>
            </w:r>
            <w:r w:rsidRPr="00EB1E72">
              <w:rPr>
                <w:rFonts w:ascii="Calibri" w:eastAsia="新細明體" w:hAnsi="Calibri" w:cs="Segoe UI"/>
                <w:sz w:val="17"/>
                <w:szCs w:val="17"/>
                <w:lang w:eastAsia="zh-TW"/>
              </w:rPr>
              <w:t xml:space="preserve">[OV1:8/a] </w:t>
            </w:r>
            <w:proofErr w:type="gramStart"/>
            <w:r w:rsidRPr="00EB1E72">
              <w:rPr>
                <w:rFonts w:ascii="Calibri" w:eastAsia="新細明體" w:hAnsi="Calibri" w:cs="Segoe UI"/>
                <w:sz w:val="17"/>
                <w:szCs w:val="17"/>
                <w:lang w:eastAsia="zh-TW"/>
              </w:rPr>
              <w:t>的值相等於</w:t>
            </w:r>
            <w:r w:rsidRPr="00EB1E72">
              <w:rPr>
                <w:rFonts w:ascii="Calibri" w:eastAsia="新細明體" w:hAnsi="Calibri" w:cs="Segoe UI"/>
                <w:sz w:val="17"/>
                <w:szCs w:val="17"/>
                <w:lang w:eastAsia="zh-TW"/>
              </w:rPr>
              <w:t>[</w:t>
            </w:r>
            <w:proofErr w:type="gramEnd"/>
            <w:r w:rsidRPr="00EB1E72">
              <w:rPr>
                <w:rFonts w:ascii="Calibri" w:eastAsia="新細明體" w:hAnsi="Calibri" w:cs="Segoe UI"/>
                <w:sz w:val="17"/>
                <w:szCs w:val="17"/>
                <w:lang w:eastAsia="zh-TW"/>
              </w:rPr>
              <w:t>CCR1:2/f]</w:t>
            </w:r>
            <w:r w:rsidRPr="00EB1E72">
              <w:rPr>
                <w:rFonts w:ascii="Calibri" w:eastAsia="新細明體" w:hAnsi="Calibri" w:cs="Segoe UI"/>
                <w:sz w:val="17"/>
                <w:szCs w:val="17"/>
                <w:lang w:eastAsia="zh-TW"/>
              </w:rPr>
              <w:t>的值及</w:t>
            </w:r>
            <w:r w:rsidRPr="00EB1E72">
              <w:rPr>
                <w:rFonts w:ascii="Calibri" w:eastAsia="新細明體" w:hAnsi="Calibri" w:cs="Segoe UI"/>
                <w:sz w:val="17"/>
                <w:szCs w:val="17"/>
                <w:lang w:eastAsia="zh-TW"/>
              </w:rPr>
              <w:t>[CCR7:9/a]</w:t>
            </w:r>
            <w:r w:rsidRPr="00EB1E72">
              <w:rPr>
                <w:rFonts w:ascii="Calibri" w:eastAsia="新細明體" w:hAnsi="Calibri" w:cs="Segoe UI"/>
                <w:sz w:val="17"/>
                <w:szCs w:val="17"/>
                <w:lang w:eastAsia="zh-TW"/>
              </w:rPr>
              <w:t>的值。</w:t>
            </w:r>
          </w:p>
        </w:tc>
      </w:tr>
      <w:tr w:rsidR="00A930C9" w:rsidRPr="00EB1E72" w14:paraId="07BFC43A" w14:textId="77777777" w:rsidTr="00217BE5">
        <w:tc>
          <w:tcPr>
            <w:tcW w:w="567" w:type="dxa"/>
            <w:shd w:val="clear" w:color="auto" w:fill="auto"/>
          </w:tcPr>
          <w:p w14:paraId="581FD303" w14:textId="556886BC" w:rsidR="00A930C9" w:rsidRPr="00EA1663" w:rsidRDefault="003F6116" w:rsidP="00EB1E72">
            <w:pPr>
              <w:keepLines/>
              <w:widowControl w:val="0"/>
              <w:tabs>
                <w:tab w:val="left" w:pos="150"/>
                <w:tab w:val="left" w:pos="397"/>
                <w:tab w:val="left" w:pos="794"/>
                <w:tab w:val="left" w:pos="1191"/>
              </w:tabs>
              <w:spacing w:before="40" w:after="40" w:line="259" w:lineRule="auto"/>
              <w:rPr>
                <w:rFonts w:asciiTheme="minorHAnsi" w:eastAsia="新細明體" w:hAnsiTheme="minorHAnsi" w:cstheme="minorHAnsi"/>
                <w:sz w:val="17"/>
                <w:szCs w:val="17"/>
                <w:lang w:eastAsia="zh-CN"/>
              </w:rPr>
            </w:pPr>
            <w:r w:rsidRPr="00052EC2">
              <w:rPr>
                <w:rFonts w:ascii="Calibri" w:eastAsia="新細明體" w:hAnsi="Calibri" w:cs="Segoe UI" w:hint="eastAsia"/>
                <w:sz w:val="17"/>
                <w:szCs w:val="17"/>
                <w:lang w:eastAsia="zh-CN"/>
              </w:rPr>
              <w:t>8a</w:t>
            </w:r>
          </w:p>
        </w:tc>
        <w:tc>
          <w:tcPr>
            <w:tcW w:w="8649" w:type="dxa"/>
            <w:shd w:val="clear" w:color="auto" w:fill="auto"/>
          </w:tcPr>
          <w:p w14:paraId="57EF05D6" w14:textId="3BC21C44" w:rsidR="00A930C9" w:rsidRPr="00EB1E72" w:rsidRDefault="004047AC" w:rsidP="001410F5">
            <w:pPr>
              <w:keepLines/>
              <w:widowControl w:val="0"/>
              <w:tabs>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4047AC">
              <w:rPr>
                <w:rFonts w:ascii="Calibri" w:eastAsia="新細明體" w:hAnsi="Calibri" w:cs="Segoe UI" w:hint="eastAsia"/>
                <w:i/>
                <w:sz w:val="17"/>
                <w:szCs w:val="17"/>
                <w:lang w:eastAsia="zh-TW"/>
              </w:rPr>
              <w:t>其中</w:t>
            </w:r>
            <w:r w:rsidR="00C84D84" w:rsidRPr="00C84D84">
              <w:rPr>
                <w:rFonts w:ascii="Calibri" w:eastAsia="新細明體" w:hAnsi="Calibri" w:cs="Segoe UI" w:hint="eastAsia"/>
                <w:i/>
                <w:sz w:val="17"/>
                <w:szCs w:val="17"/>
                <w:lang w:eastAsia="zh-TW"/>
              </w:rPr>
              <w:t>適用於</w:t>
            </w:r>
            <w:r w:rsidRPr="004047AC">
              <w:rPr>
                <w:rFonts w:ascii="Calibri" w:eastAsia="新細明體" w:hAnsi="Calibri" w:cs="Segoe UI" w:hint="eastAsia"/>
                <w:i/>
                <w:sz w:val="17"/>
                <w:szCs w:val="17"/>
                <w:lang w:eastAsia="zh-TW"/>
              </w:rPr>
              <w:t>第</w:t>
            </w:r>
            <w:r w:rsidRPr="004047AC">
              <w:rPr>
                <w:rFonts w:ascii="Calibri" w:eastAsia="新細明體" w:hAnsi="Calibri" w:cs="Segoe UI"/>
                <w:i/>
                <w:sz w:val="17"/>
                <w:szCs w:val="17"/>
                <w:lang w:eastAsia="zh-TW"/>
              </w:rPr>
              <w:t>2b</w:t>
            </w:r>
            <w:r w:rsidRPr="004047AC">
              <w:rPr>
                <w:rFonts w:ascii="Calibri" w:eastAsia="新細明體" w:hAnsi="Calibri" w:cs="Segoe UI" w:hint="eastAsia"/>
                <w:i/>
                <w:sz w:val="17"/>
                <w:szCs w:val="17"/>
                <w:lang w:eastAsia="zh-TW"/>
              </w:rPr>
              <w:t>組加密資產衍生工具合約</w:t>
            </w:r>
            <w:r w:rsidR="00780135">
              <w:rPr>
                <w:rFonts w:ascii="Calibri" w:eastAsia="新細明體" w:hAnsi="Calibri" w:cs="Segoe UI" w:hint="eastAsia"/>
                <w:i/>
                <w:sz w:val="17"/>
                <w:szCs w:val="17"/>
                <w:lang w:eastAsia="zh-HK"/>
              </w:rPr>
              <w:t>的</w:t>
            </w:r>
            <w:r w:rsidRPr="004047AC">
              <w:rPr>
                <w:rFonts w:ascii="Calibri" w:eastAsia="新細明體" w:hAnsi="Calibri" w:cs="Segoe UI" w:hint="eastAsia"/>
                <w:i/>
                <w:sz w:val="17"/>
                <w:szCs w:val="17"/>
                <w:lang w:eastAsia="zh-TW"/>
              </w:rPr>
              <w:t>方法</w:t>
            </w:r>
            <w:r w:rsidRPr="00C32CFA">
              <w:rPr>
                <w:rFonts w:ascii="Calibri" w:eastAsia="新細明體" w:hAnsi="Calibri" w:cs="Segoe UI" w:hint="eastAsia"/>
                <w:sz w:val="17"/>
                <w:szCs w:val="17"/>
                <w:lang w:eastAsia="zh-TW"/>
              </w:rPr>
              <w:t>：</w:t>
            </w:r>
            <w:r w:rsidRPr="001437F0">
              <w:rPr>
                <w:rFonts w:ascii="新細明體" w:eastAsia="新細明體" w:hAnsi="新細明體" w:cs="Segoe UI" w:hint="eastAsia"/>
                <w:sz w:val="17"/>
                <w:szCs w:val="17"/>
                <w:lang w:eastAsia="zh-TW"/>
              </w:rPr>
              <w:t>風險加權數額</w:t>
            </w:r>
            <w:r w:rsidRPr="001437F0">
              <w:rPr>
                <w:rFonts w:ascii="新細明體" w:eastAsia="新細明體" w:hAnsi="新細明體" w:cs="Segoe UI"/>
                <w:kern w:val="2"/>
                <w:sz w:val="17"/>
                <w:szCs w:val="17"/>
                <w:lang w:val="en-US" w:eastAsia="zh-TW"/>
              </w:rPr>
              <w:t>的計算</w:t>
            </w:r>
            <w:r w:rsidRPr="001437F0">
              <w:rPr>
                <w:rFonts w:ascii="新細明體" w:eastAsia="新細明體" w:hAnsi="新細明體" w:cs="Segoe UI" w:hint="eastAsia"/>
                <w:sz w:val="17"/>
                <w:szCs w:val="17"/>
                <w:lang w:eastAsia="zh-TW"/>
              </w:rPr>
              <w:t>是</w:t>
            </w:r>
            <w:r w:rsidR="001410F5" w:rsidRPr="001437F0">
              <w:rPr>
                <w:rFonts w:ascii="新細明體" w:eastAsia="新細明體" w:hAnsi="新細明體" w:cs="Segoe UI"/>
                <w:kern w:val="2"/>
                <w:sz w:val="17"/>
                <w:szCs w:val="17"/>
                <w:lang w:val="en-US" w:eastAsia="zh-TW"/>
              </w:rPr>
              <w:t>根據</w:t>
            </w:r>
            <w:r w:rsidRPr="001437F0">
              <w:rPr>
                <w:rFonts w:ascii="新細明體" w:eastAsia="新細明體" w:hAnsi="新細明體" w:cs="Segoe UI" w:hint="eastAsia"/>
                <w:sz w:val="17"/>
                <w:szCs w:val="17"/>
                <w:lang w:eastAsia="zh-TW"/>
              </w:rPr>
              <w:t>按</w:t>
            </w:r>
            <w:r w:rsidRPr="004047AC">
              <w:rPr>
                <w:rFonts w:ascii="Calibri" w:eastAsia="新細明體" w:hAnsi="Calibri" w:cs="Segoe UI" w:hint="eastAsia"/>
                <w:sz w:val="17"/>
                <w:szCs w:val="17"/>
                <w:lang w:eastAsia="zh-TW"/>
              </w:rPr>
              <w:t>《資本規則》</w:t>
            </w:r>
            <w:bookmarkStart w:id="1" w:name="_Hlk212195042"/>
            <w:r w:rsidRPr="004047AC">
              <w:rPr>
                <w:rFonts w:ascii="Calibri" w:eastAsia="新細明體" w:hAnsi="Calibri" w:cs="Segoe UI" w:hint="eastAsia"/>
                <w:sz w:val="17"/>
                <w:szCs w:val="17"/>
                <w:lang w:eastAsia="zh-TW"/>
              </w:rPr>
              <w:t>第</w:t>
            </w:r>
            <w:r w:rsidRPr="004047AC">
              <w:rPr>
                <w:rFonts w:ascii="Calibri" w:eastAsia="新細明體" w:hAnsi="Calibri" w:cs="Segoe UI"/>
                <w:sz w:val="17"/>
                <w:szCs w:val="17"/>
                <w:lang w:eastAsia="zh-TW"/>
              </w:rPr>
              <w:t>377</w:t>
            </w:r>
            <w:r>
              <w:rPr>
                <w:rFonts w:ascii="Calibri" w:eastAsia="新細明體" w:hAnsi="Calibri" w:cs="Segoe UI" w:hint="eastAsia"/>
                <w:sz w:val="17"/>
                <w:szCs w:val="17"/>
                <w:lang w:eastAsia="zh-TW"/>
              </w:rPr>
              <w:t>條</w:t>
            </w:r>
            <w:r w:rsidR="00CB3682" w:rsidRPr="00CB3682">
              <w:rPr>
                <w:rFonts w:ascii="Calibri" w:eastAsia="新細明體" w:hAnsi="Calibri" w:cs="Segoe UI" w:hint="eastAsia"/>
                <w:sz w:val="17"/>
                <w:szCs w:val="17"/>
                <w:lang w:eastAsia="zh-TW"/>
              </w:rPr>
              <w:t>的方法計算的</w:t>
            </w:r>
            <w:r w:rsidR="00CB3682">
              <w:rPr>
                <w:rFonts w:ascii="Calibri" w:eastAsia="新細明體" w:hAnsi="Calibri" w:cs="Segoe UI" w:hint="eastAsia"/>
                <w:sz w:val="17"/>
                <w:szCs w:val="17"/>
                <w:lang w:eastAsia="zh-TW"/>
              </w:rPr>
              <w:t>、</w:t>
            </w:r>
            <w:r w:rsidRPr="004047AC">
              <w:rPr>
                <w:rFonts w:ascii="Calibri" w:eastAsia="新細明體" w:hAnsi="Calibri" w:cs="Segoe UI" w:hint="eastAsia"/>
                <w:sz w:val="17"/>
                <w:szCs w:val="17"/>
                <w:lang w:eastAsia="zh-TW"/>
              </w:rPr>
              <w:t>第</w:t>
            </w:r>
            <w:r w:rsidRPr="004047AC">
              <w:rPr>
                <w:rFonts w:ascii="Calibri" w:eastAsia="新細明體" w:hAnsi="Calibri" w:cs="Segoe UI"/>
                <w:sz w:val="17"/>
                <w:szCs w:val="17"/>
                <w:lang w:eastAsia="zh-TW"/>
              </w:rPr>
              <w:t>2b</w:t>
            </w:r>
            <w:r>
              <w:rPr>
                <w:rFonts w:ascii="Calibri" w:eastAsia="新細明體" w:hAnsi="Calibri" w:cs="Segoe UI" w:hint="eastAsia"/>
                <w:sz w:val="17"/>
                <w:szCs w:val="17"/>
                <w:lang w:val="en-US" w:eastAsia="zh-HK"/>
              </w:rPr>
              <w:t>組</w:t>
            </w:r>
            <w:r w:rsidRPr="004047AC">
              <w:rPr>
                <w:rFonts w:ascii="Calibri" w:eastAsia="新細明體" w:hAnsi="Calibri" w:cs="Segoe UI" w:hint="eastAsia"/>
                <w:sz w:val="17"/>
                <w:szCs w:val="17"/>
                <w:lang w:eastAsia="zh-TW"/>
              </w:rPr>
              <w:t>加密資產衍生工具合約</w:t>
            </w:r>
            <w:bookmarkEnd w:id="1"/>
            <w:proofErr w:type="gramStart"/>
            <w:r>
              <w:rPr>
                <w:rFonts w:ascii="Calibri" w:eastAsia="新細明體" w:hAnsi="Calibri" w:cs="Segoe UI" w:hint="eastAsia"/>
                <w:sz w:val="17"/>
                <w:szCs w:val="17"/>
                <w:lang w:eastAsia="zh-HK"/>
              </w:rPr>
              <w:t>的</w:t>
            </w:r>
            <w:r w:rsidRPr="004047AC">
              <w:rPr>
                <w:rFonts w:ascii="Calibri" w:eastAsia="新細明體" w:hAnsi="Calibri" w:cs="Segoe UI" w:hint="eastAsia"/>
                <w:sz w:val="17"/>
                <w:szCs w:val="17"/>
                <w:lang w:eastAsia="zh-TW"/>
              </w:rPr>
              <w:t>違責風險</w:t>
            </w:r>
            <w:proofErr w:type="gramEnd"/>
            <w:r w:rsidRPr="004047AC">
              <w:rPr>
                <w:rFonts w:ascii="Calibri" w:eastAsia="新細明體" w:hAnsi="Calibri" w:cs="Segoe UI" w:hint="eastAsia"/>
                <w:sz w:val="17"/>
                <w:szCs w:val="17"/>
                <w:lang w:eastAsia="zh-TW"/>
              </w:rPr>
              <w:t>的風險承擔</w:t>
            </w:r>
            <w:r w:rsidRPr="00EB1E72">
              <w:rPr>
                <w:rFonts w:ascii="Calibri" w:eastAsia="細明體" w:hAnsi="Calibri" w:cs="Segoe UI"/>
                <w:kern w:val="2"/>
                <w:sz w:val="17"/>
                <w:szCs w:val="17"/>
                <w:lang w:val="en-US" w:eastAsia="zh-TW"/>
              </w:rPr>
              <w:t>的</w:t>
            </w:r>
            <w:r w:rsidRPr="001437F0">
              <w:rPr>
                <w:rFonts w:ascii="新細明體" w:eastAsia="新細明體" w:hAnsi="新細明體" w:cs="Segoe UI"/>
                <w:kern w:val="2"/>
                <w:sz w:val="17"/>
                <w:szCs w:val="17"/>
                <w:lang w:val="en-US" w:eastAsia="zh-TW"/>
              </w:rPr>
              <w:t>數額</w:t>
            </w:r>
            <w:r w:rsidRPr="004047AC">
              <w:rPr>
                <w:rFonts w:ascii="Calibri" w:eastAsia="新細明體" w:hAnsi="Calibri" w:cs="Segoe UI" w:hint="eastAsia"/>
                <w:sz w:val="17"/>
                <w:szCs w:val="17"/>
                <w:lang w:eastAsia="zh-TW"/>
              </w:rPr>
              <w:t>，</w:t>
            </w:r>
            <w:r w:rsidR="00A14375">
              <w:rPr>
                <w:rFonts w:ascii="新細明體" w:eastAsia="新細明體" w:hAnsi="新細明體" w:cs="Segoe UI" w:hint="eastAsia"/>
                <w:sz w:val="17"/>
                <w:szCs w:val="17"/>
                <w:lang w:eastAsia="zh-TW"/>
              </w:rPr>
              <w:t>及</w:t>
            </w:r>
            <w:r w:rsidRPr="004047AC">
              <w:rPr>
                <w:rFonts w:ascii="Calibri" w:eastAsia="新細明體" w:hAnsi="Calibri" w:cs="Segoe UI" w:hint="eastAsia"/>
                <w:sz w:val="17"/>
                <w:szCs w:val="17"/>
                <w:lang w:eastAsia="zh-TW"/>
              </w:rPr>
              <w:t>根據該風險加權數額計算</w:t>
            </w:r>
            <w:r w:rsidR="00A03A20" w:rsidRPr="001437F0">
              <w:rPr>
                <w:rFonts w:ascii="新細明體" w:eastAsia="新細明體" w:hAnsi="新細明體" w:cs="Segoe UI"/>
                <w:kern w:val="2"/>
                <w:sz w:val="17"/>
                <w:szCs w:val="17"/>
                <w:lang w:val="en-US" w:eastAsia="zh-TW"/>
              </w:rPr>
              <w:t>的</w:t>
            </w:r>
            <w:r w:rsidRPr="004047AC">
              <w:rPr>
                <w:rFonts w:ascii="Calibri" w:eastAsia="新細明體" w:hAnsi="Calibri" w:cs="Segoe UI" w:hint="eastAsia"/>
                <w:sz w:val="17"/>
                <w:szCs w:val="17"/>
                <w:lang w:eastAsia="zh-TW"/>
              </w:rPr>
              <w:t>資本規定。</w:t>
            </w:r>
            <w:r w:rsidRPr="004047AC">
              <w:rPr>
                <w:rFonts w:ascii="Calibri" w:eastAsia="新細明體" w:hAnsi="Calibri" w:cs="Segoe UI"/>
                <w:sz w:val="17"/>
                <w:szCs w:val="17"/>
                <w:lang w:eastAsia="zh-TW"/>
              </w:rPr>
              <w:t>[OV1:8a/</w:t>
            </w:r>
            <w:proofErr w:type="gramStart"/>
            <w:r w:rsidRPr="004047AC">
              <w:rPr>
                <w:rFonts w:ascii="Calibri" w:eastAsia="新細明體" w:hAnsi="Calibri" w:cs="Segoe UI"/>
                <w:sz w:val="17"/>
                <w:szCs w:val="17"/>
                <w:lang w:eastAsia="zh-TW"/>
              </w:rPr>
              <w:t>a]</w:t>
            </w:r>
            <w:r w:rsidRPr="004047AC">
              <w:rPr>
                <w:rFonts w:ascii="Calibri" w:eastAsia="新細明體" w:hAnsi="Calibri" w:cs="Segoe UI" w:hint="eastAsia"/>
                <w:sz w:val="17"/>
                <w:szCs w:val="17"/>
                <w:lang w:eastAsia="zh-TW"/>
              </w:rPr>
              <w:t>的值相等於</w:t>
            </w:r>
            <w:proofErr w:type="gramEnd"/>
            <w:r w:rsidRPr="004047AC">
              <w:rPr>
                <w:rFonts w:ascii="Calibri" w:eastAsia="新細明體" w:hAnsi="Calibri" w:cs="Segoe UI"/>
                <w:sz w:val="17"/>
                <w:szCs w:val="17"/>
                <w:lang w:eastAsia="zh-TW"/>
              </w:rPr>
              <w:t>[CCR1:1b/f]</w:t>
            </w:r>
            <w:r w:rsidRPr="004047AC">
              <w:rPr>
                <w:rFonts w:ascii="Calibri" w:eastAsia="新細明體" w:hAnsi="Calibri" w:cs="Segoe UI" w:hint="eastAsia"/>
                <w:sz w:val="17"/>
                <w:szCs w:val="17"/>
                <w:lang w:eastAsia="zh-TW"/>
              </w:rPr>
              <w:t>的值。</w:t>
            </w:r>
          </w:p>
        </w:tc>
      </w:tr>
      <w:tr w:rsidR="00EB1E72" w:rsidRPr="00EB1E72" w14:paraId="0809914E" w14:textId="77777777" w:rsidTr="00217BE5">
        <w:tc>
          <w:tcPr>
            <w:tcW w:w="567" w:type="dxa"/>
            <w:shd w:val="clear" w:color="auto" w:fill="auto"/>
          </w:tcPr>
          <w:p w14:paraId="3A8C8932"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9</w:t>
            </w:r>
          </w:p>
        </w:tc>
        <w:tc>
          <w:tcPr>
            <w:tcW w:w="8649" w:type="dxa"/>
            <w:shd w:val="clear" w:color="auto" w:fill="auto"/>
          </w:tcPr>
          <w:p w14:paraId="22FABBF6" w14:textId="24282022" w:rsidR="00EB1E72" w:rsidRPr="00EB1E72" w:rsidRDefault="00EB1E72" w:rsidP="00966C90">
            <w:pPr>
              <w:keepLines/>
              <w:widowControl w:val="0"/>
              <w:spacing w:before="40" w:after="40"/>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其中其他</w:t>
            </w:r>
            <w:r w:rsidRPr="00EB1E72">
              <w:rPr>
                <w:rFonts w:ascii="Calibri" w:eastAsia="新細明體" w:hAnsi="Calibri" w:cs="Segoe UI"/>
                <w:sz w:val="17"/>
                <w:szCs w:val="17"/>
                <w:lang w:eastAsia="zh-TW"/>
              </w:rPr>
              <w:t>：在本文件第</w:t>
            </w:r>
            <w:r w:rsidRPr="00EB1E72">
              <w:rPr>
                <w:rFonts w:ascii="Calibri" w:eastAsia="新細明體" w:hAnsi="Calibri" w:cs="Segoe UI"/>
                <w:sz w:val="17"/>
                <w:szCs w:val="17"/>
                <w:lang w:eastAsia="zh-TW"/>
              </w:rPr>
              <w:t>IV</w:t>
            </w:r>
            <w:r w:rsidRPr="00EB1E72">
              <w:rPr>
                <w:rFonts w:ascii="Calibri" w:eastAsia="新細明體" w:hAnsi="Calibri" w:cs="Segoe UI"/>
                <w:sz w:val="17"/>
                <w:szCs w:val="17"/>
                <w:lang w:eastAsia="zh-TW"/>
              </w:rPr>
              <w:t>部填報，並按照《資本規則》使用</w:t>
            </w:r>
            <w:proofErr w:type="gramStart"/>
            <w:r w:rsidRPr="00EB1E72">
              <w:rPr>
                <w:rFonts w:ascii="Calibri" w:eastAsia="新細明體" w:hAnsi="Calibri" w:cs="Segoe UI"/>
                <w:sz w:val="17"/>
                <w:szCs w:val="17"/>
                <w:lang w:eastAsia="zh-TW"/>
              </w:rPr>
              <w:t>上列第</w:t>
            </w:r>
            <w:r w:rsidRPr="00EB1E72">
              <w:rPr>
                <w:rFonts w:ascii="Calibri" w:eastAsia="新細明體" w:hAnsi="Calibri" w:cs="Segoe UI"/>
                <w:sz w:val="17"/>
                <w:szCs w:val="17"/>
                <w:lang w:eastAsia="zh-TW"/>
              </w:rPr>
              <w:t>7</w:t>
            </w:r>
            <w:proofErr w:type="gramEnd"/>
            <w:r w:rsidRPr="00EB1E72">
              <w:rPr>
                <w:rFonts w:ascii="Calibri" w:eastAsia="新細明體" w:hAnsi="Calibri" w:cs="Segoe UI"/>
                <w:sz w:val="17"/>
                <w:szCs w:val="17"/>
                <w:lang w:eastAsia="zh-TW"/>
              </w:rPr>
              <w:t>至</w:t>
            </w:r>
            <w:r w:rsidRPr="00EB1E72">
              <w:rPr>
                <w:rFonts w:ascii="Calibri" w:eastAsia="新細明體" w:hAnsi="Calibri" w:cs="Segoe UI"/>
                <w:sz w:val="17"/>
                <w:szCs w:val="17"/>
                <w:lang w:eastAsia="zh-TW"/>
              </w:rPr>
              <w:t>8</w:t>
            </w:r>
            <w:r w:rsidR="00FB344D">
              <w:rPr>
                <w:rFonts w:ascii="Calibri" w:eastAsia="新細明體" w:hAnsi="Calibri" w:cs="Segoe UI"/>
                <w:sz w:val="17"/>
                <w:szCs w:val="17"/>
                <w:lang w:eastAsia="zh-TW"/>
              </w:rPr>
              <w:t>a</w:t>
            </w:r>
            <w:r w:rsidRPr="00EB1E72">
              <w:rPr>
                <w:rFonts w:ascii="Calibri" w:eastAsia="新細明體" w:hAnsi="Calibri" w:cs="Segoe UI"/>
                <w:sz w:val="17"/>
                <w:szCs w:val="17"/>
                <w:lang w:eastAsia="zh-TW"/>
              </w:rPr>
              <w:t>行所述以外的方法計算</w:t>
            </w:r>
            <w:r w:rsidRPr="00EB1E72">
              <w:rPr>
                <w:rFonts w:ascii="Calibri" w:eastAsia="新細明體" w:hAnsi="Calibri" w:cs="Segoe UI" w:hint="eastAsia"/>
                <w:sz w:val="17"/>
                <w:szCs w:val="17"/>
                <w:lang w:eastAsia="zh-HK"/>
              </w:rPr>
              <w:t>的</w:t>
            </w:r>
            <w:r w:rsidRPr="00EB1E72">
              <w:rPr>
                <w:rFonts w:ascii="Calibri" w:eastAsia="新細明體" w:hAnsi="Calibri" w:cs="Segoe UI"/>
                <w:sz w:val="17"/>
                <w:szCs w:val="17"/>
                <w:lang w:eastAsia="zh-TW"/>
              </w:rPr>
              <w:t>項目的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w:t>
            </w:r>
            <w:r w:rsidR="00734EB3" w:rsidRPr="00EB1E72">
              <w:rPr>
                <w:rFonts w:ascii="Calibri" w:eastAsia="新細明體" w:hAnsi="Calibri" w:cs="Segoe UI"/>
                <w:sz w:val="17"/>
                <w:szCs w:val="17"/>
                <w:lang w:eastAsia="zh-TW"/>
              </w:rPr>
              <w:t>。</w:t>
            </w:r>
          </w:p>
        </w:tc>
      </w:tr>
      <w:tr w:rsidR="00EB1E72" w:rsidRPr="00EB1E72" w14:paraId="69BA7A36" w14:textId="77777777" w:rsidTr="00217BE5">
        <w:tc>
          <w:tcPr>
            <w:tcW w:w="567" w:type="dxa"/>
            <w:shd w:val="clear" w:color="auto" w:fill="auto"/>
          </w:tcPr>
          <w:p w14:paraId="72181501"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10</w:t>
            </w:r>
          </w:p>
        </w:tc>
        <w:tc>
          <w:tcPr>
            <w:tcW w:w="8649" w:type="dxa"/>
            <w:shd w:val="clear" w:color="auto" w:fill="auto"/>
          </w:tcPr>
          <w:p w14:paraId="20EAC5FF" w14:textId="3878167C" w:rsidR="00EB1E72" w:rsidRPr="00EB1E72" w:rsidRDefault="00EB1E72" w:rsidP="00734EB3">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CVA</w:t>
            </w:r>
            <w:r w:rsidRPr="00EB1E72">
              <w:rPr>
                <w:rFonts w:ascii="Calibri" w:eastAsia="新細明體" w:hAnsi="Calibri" w:cs="Segoe UI"/>
                <w:i/>
                <w:sz w:val="17"/>
                <w:szCs w:val="17"/>
                <w:lang w:eastAsia="zh-TW"/>
              </w:rPr>
              <w:t>風險</w:t>
            </w:r>
            <w:r w:rsidRPr="00EB1E72">
              <w:rPr>
                <w:rFonts w:ascii="Calibri" w:eastAsia="新細明體" w:hAnsi="Calibri" w:cs="Segoe UI"/>
                <w:sz w:val="17"/>
                <w:szCs w:val="17"/>
                <w:lang w:eastAsia="zh-TW"/>
              </w:rPr>
              <w:t>：在本文件第</w:t>
            </w:r>
            <w:r w:rsidRPr="00EB1E72">
              <w:rPr>
                <w:rFonts w:ascii="Calibri" w:eastAsia="新細明體" w:hAnsi="Calibri" w:cs="Segoe UI"/>
                <w:sz w:val="17"/>
                <w:szCs w:val="17"/>
                <w:lang w:eastAsia="zh-TW"/>
              </w:rPr>
              <w:t>IVA</w:t>
            </w:r>
            <w:r w:rsidRPr="00EB1E72">
              <w:rPr>
                <w:rFonts w:ascii="Calibri" w:eastAsia="新細明體" w:hAnsi="Calibri" w:cs="Segoe UI"/>
                <w:sz w:val="17"/>
                <w:szCs w:val="17"/>
                <w:lang w:eastAsia="zh-TW"/>
              </w:rPr>
              <w:t>部填報的，按照《資本規則》計算的</w:t>
            </w:r>
            <w:r w:rsidRPr="00EB1E72">
              <w:rPr>
                <w:rFonts w:ascii="Calibri" w:eastAsia="新細明體" w:hAnsi="Calibri" w:cs="Segoe UI"/>
                <w:sz w:val="17"/>
                <w:szCs w:val="17"/>
                <w:lang w:eastAsia="zh-TW"/>
              </w:rPr>
              <w:t>CVA</w:t>
            </w:r>
            <w:r w:rsidRPr="00EB1E72">
              <w:rPr>
                <w:rFonts w:ascii="Calibri" w:eastAsia="新細明體" w:hAnsi="Calibri" w:cs="Segoe UI"/>
                <w:sz w:val="17"/>
                <w:szCs w:val="17"/>
                <w:lang w:eastAsia="zh-TW"/>
              </w:rPr>
              <w:t>的資本規定，以及</w:t>
            </w:r>
            <w:r w:rsidRPr="00EB1E72">
              <w:rPr>
                <w:rFonts w:ascii="Calibri" w:eastAsia="新細明體" w:hAnsi="Calibri" w:cs="Segoe UI"/>
                <w:sz w:val="17"/>
                <w:szCs w:val="17"/>
                <w:lang w:eastAsia="zh-TW"/>
              </w:rPr>
              <w:t>CVA</w:t>
            </w:r>
            <w:r w:rsidRPr="00EB1E72">
              <w:rPr>
                <w:rFonts w:ascii="Calibri" w:eastAsia="新細明體" w:hAnsi="Calibri" w:cs="Segoe UI"/>
                <w:sz w:val="17"/>
                <w:szCs w:val="17"/>
                <w:lang w:eastAsia="zh-TW"/>
              </w:rPr>
              <w:t>的對應</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w:t>
            </w:r>
          </w:p>
        </w:tc>
      </w:tr>
      <w:tr w:rsidR="00EB1E72" w:rsidRPr="00EB1E72" w14:paraId="53B163F2" w14:textId="77777777" w:rsidTr="00217BE5">
        <w:tc>
          <w:tcPr>
            <w:tcW w:w="567" w:type="dxa"/>
            <w:shd w:val="clear" w:color="auto" w:fill="auto"/>
          </w:tcPr>
          <w:p w14:paraId="31EF5AC3"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CN"/>
              </w:rPr>
              <w:t>11</w:t>
            </w:r>
          </w:p>
        </w:tc>
        <w:tc>
          <w:tcPr>
            <w:tcW w:w="8649" w:type="dxa"/>
            <w:shd w:val="clear" w:color="auto" w:fill="auto"/>
          </w:tcPr>
          <w:p w14:paraId="445388BC" w14:textId="42489C84" w:rsidR="00EB1E72" w:rsidRPr="00EB1E72" w:rsidRDefault="00EB1E72" w:rsidP="00B324E0">
            <w:pPr>
              <w:keepLines/>
              <w:widowControl w:val="0"/>
              <w:tabs>
                <w:tab w:val="left" w:pos="397"/>
                <w:tab w:val="left" w:pos="794"/>
                <w:tab w:val="left" w:pos="1191"/>
              </w:tabs>
              <w:spacing w:before="40" w:after="40" w:line="259" w:lineRule="auto"/>
              <w:jc w:val="both"/>
              <w:rPr>
                <w:rFonts w:ascii="Calibri" w:eastAsia="新細明體" w:hAnsi="Calibri" w:cs="Segoe UI"/>
                <w:noProof/>
                <w:sz w:val="17"/>
                <w:szCs w:val="17"/>
                <w:lang w:eastAsia="zh-TW"/>
              </w:rPr>
            </w:pPr>
            <w:r w:rsidRPr="00EB1E72">
              <w:rPr>
                <w:rFonts w:ascii="Calibri" w:eastAsia="新細明體" w:hAnsi="Calibri" w:cs="Segoe UI" w:hint="eastAsia"/>
                <w:sz w:val="17"/>
                <w:szCs w:val="17"/>
                <w:lang w:eastAsia="zh-HK"/>
              </w:rPr>
              <w:t>由於</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資本規則</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並無就</w:t>
            </w:r>
            <w:r w:rsidR="00422BB7" w:rsidRPr="00EB1E72">
              <w:rPr>
                <w:rFonts w:ascii="Calibri" w:eastAsia="新細明體" w:hAnsi="Calibri" w:cs="Segoe UI" w:hint="eastAsia"/>
                <w:sz w:val="17"/>
                <w:szCs w:val="17"/>
                <w:lang w:eastAsia="zh-HK"/>
              </w:rPr>
              <w:t>股權風險承擔</w:t>
            </w:r>
            <w:r w:rsidRPr="00EB1E72">
              <w:rPr>
                <w:rFonts w:ascii="Calibri" w:eastAsia="新細明體" w:hAnsi="Calibri" w:cs="Segoe UI" w:hint="eastAsia"/>
                <w:sz w:val="17"/>
                <w:szCs w:val="17"/>
                <w:lang w:eastAsia="zh-HK"/>
              </w:rPr>
              <w:t>使用</w:t>
            </w:r>
            <w:r w:rsidRPr="00EB1E72">
              <w:rPr>
                <w:rFonts w:ascii="Calibri" w:eastAsia="新細明體" w:hAnsi="Calibri" w:cs="Segoe UI" w:hint="eastAsia"/>
                <w:sz w:val="17"/>
                <w:szCs w:val="17"/>
                <w:lang w:eastAsia="zh-TW"/>
              </w:rPr>
              <w:t>IRB</w:t>
            </w:r>
            <w:r w:rsidRPr="00EB1E72">
              <w:rPr>
                <w:rFonts w:ascii="Calibri" w:eastAsia="新細明體" w:hAnsi="Calibri" w:cs="Segoe UI" w:hint="eastAsia"/>
                <w:sz w:val="17"/>
                <w:szCs w:val="17"/>
                <w:lang w:eastAsia="zh-HK"/>
              </w:rPr>
              <w:t>計算法</w:t>
            </w:r>
            <w:r w:rsidR="00422BB7">
              <w:rPr>
                <w:rFonts w:ascii="Calibri" w:eastAsia="新細明體" w:hAnsi="Calibri" w:cs="Segoe UI" w:hint="eastAsia"/>
                <w:sz w:val="17"/>
                <w:szCs w:val="17"/>
                <w:lang w:eastAsia="zh-HK"/>
              </w:rPr>
              <w:t>提供</w:t>
            </w:r>
            <w:r w:rsidRPr="00EB1E72">
              <w:rPr>
                <w:rFonts w:ascii="Calibri" w:eastAsia="新細明體" w:hAnsi="Calibri" w:cs="Segoe UI" w:hint="eastAsia"/>
                <w:sz w:val="17"/>
                <w:szCs w:val="17"/>
                <w:lang w:eastAsia="zh-HK"/>
              </w:rPr>
              <w:t>任何階段</w:t>
            </w:r>
            <w:r w:rsidR="00B324E0">
              <w:rPr>
                <w:rFonts w:ascii="Calibri" w:eastAsia="新細明體" w:hAnsi="Calibri" w:cs="Segoe UI" w:hint="eastAsia"/>
                <w:sz w:val="17"/>
                <w:szCs w:val="17"/>
                <w:lang w:eastAsia="zh-HK"/>
              </w:rPr>
              <w:t>性</w:t>
            </w:r>
            <w:r w:rsidRPr="00EB1E72">
              <w:rPr>
                <w:rFonts w:ascii="Calibri" w:eastAsia="新細明體" w:hAnsi="Calibri" w:cs="Segoe UI" w:hint="eastAsia"/>
                <w:sz w:val="17"/>
                <w:szCs w:val="17"/>
                <w:lang w:eastAsia="zh-HK"/>
              </w:rPr>
              <w:t>安排</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因此本行不適用於香港</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認可機構可在本行填報「不適用」或「</w:t>
            </w:r>
            <w:r w:rsidRPr="00EB1E72">
              <w:rPr>
                <w:rFonts w:ascii="Calibri" w:eastAsia="新細明體" w:hAnsi="Calibri" w:cs="Segoe UI" w:hint="eastAsia"/>
                <w:sz w:val="17"/>
                <w:szCs w:val="17"/>
                <w:lang w:eastAsia="zh-TW"/>
              </w:rPr>
              <w:t>N/A</w:t>
            </w:r>
            <w:r w:rsidRPr="00EB1E72">
              <w:rPr>
                <w:rFonts w:ascii="Calibri" w:eastAsia="新細明體" w:hAnsi="Calibri" w:cs="Segoe UI" w:hint="eastAsia"/>
                <w:sz w:val="17"/>
                <w:szCs w:val="17"/>
                <w:lang w:eastAsia="zh-HK"/>
              </w:rPr>
              <w:t>」</w:t>
            </w:r>
            <w:r w:rsidRPr="00EB1E72">
              <w:rPr>
                <w:rFonts w:ascii="Calibri" w:eastAsia="新細明體" w:hAnsi="Calibri" w:cs="Segoe UI" w:hint="eastAsia"/>
                <w:sz w:val="17"/>
                <w:szCs w:val="17"/>
                <w:lang w:eastAsia="zh-TW"/>
              </w:rPr>
              <w:t>。</w:t>
            </w:r>
          </w:p>
        </w:tc>
      </w:tr>
      <w:tr w:rsidR="00EB1E72" w:rsidRPr="00EB1E72" w14:paraId="40FE1EB5" w14:textId="77777777" w:rsidTr="00217BE5">
        <w:tc>
          <w:tcPr>
            <w:tcW w:w="567" w:type="dxa"/>
            <w:shd w:val="clear" w:color="auto" w:fill="auto"/>
          </w:tcPr>
          <w:p w14:paraId="575417F9"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12</w:t>
            </w:r>
          </w:p>
        </w:tc>
        <w:tc>
          <w:tcPr>
            <w:tcW w:w="8649" w:type="dxa"/>
            <w:shd w:val="clear" w:color="auto" w:fill="auto"/>
          </w:tcPr>
          <w:p w14:paraId="50289C39" w14:textId="56374C25" w:rsidR="00EB1E72" w:rsidRPr="00EB1E72" w:rsidRDefault="00EB1E72" w:rsidP="007B5D5C">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集體投資計劃</w:t>
            </w:r>
            <w:r w:rsidRPr="00966C90">
              <w:rPr>
                <w:rFonts w:ascii="Calibri" w:eastAsia="新細明體" w:hAnsi="Calibri" w:cs="Segoe UI" w:hint="eastAsia"/>
                <w:i/>
                <w:sz w:val="17"/>
                <w:szCs w:val="17"/>
                <w:lang w:eastAsia="zh-TW"/>
              </w:rPr>
              <w:t>（</w:t>
            </w:r>
            <w:r w:rsidRPr="00966C90">
              <w:rPr>
                <w:rFonts w:ascii="Calibri" w:eastAsia="新細明體" w:hAnsi="Calibri" w:cs="Segoe UI"/>
                <w:i/>
                <w:sz w:val="17"/>
                <w:szCs w:val="17"/>
                <w:lang w:eastAsia="zh-TW"/>
              </w:rPr>
              <w:t>CIS</w:t>
            </w:r>
            <w:r w:rsidRPr="00966C90">
              <w:rPr>
                <w:rFonts w:ascii="Calibri" w:eastAsia="新細明體" w:hAnsi="Calibri" w:cs="Segoe UI" w:hint="eastAsia"/>
                <w:i/>
                <w:sz w:val="17"/>
                <w:szCs w:val="17"/>
                <w:lang w:eastAsia="zh-TW"/>
              </w:rPr>
              <w:t>）</w:t>
            </w:r>
            <w:r w:rsidRPr="00EB1E72">
              <w:rPr>
                <w:rFonts w:ascii="Calibri" w:eastAsia="新細明體" w:hAnsi="Calibri" w:cs="Segoe UI"/>
                <w:i/>
                <w:sz w:val="17"/>
                <w:szCs w:val="17"/>
                <w:lang w:eastAsia="zh-TW"/>
              </w:rPr>
              <w:t>風險承擔</w:t>
            </w:r>
            <w:proofErr w:type="gramStart"/>
            <w:r w:rsidRPr="00EB1E72">
              <w:rPr>
                <w:rFonts w:ascii="細明體" w:eastAsia="細明體" w:hAnsi="細明體" w:cs="細明體" w:hint="eastAsia"/>
                <w:i/>
                <w:sz w:val="17"/>
                <w:szCs w:val="17"/>
                <w:lang w:eastAsia="zh-TW"/>
              </w:rPr>
              <w:t>──</w:t>
            </w:r>
            <w:proofErr w:type="gramEnd"/>
            <w:r w:rsidRPr="00EB1E72">
              <w:rPr>
                <w:rFonts w:ascii="Calibri" w:eastAsia="新細明體" w:hAnsi="Calibri" w:cs="Segoe UI" w:hint="eastAsia"/>
                <w:i/>
                <w:sz w:val="17"/>
                <w:szCs w:val="17"/>
                <w:lang w:eastAsia="zh-TW"/>
              </w:rPr>
              <w:t>透視計算法／</w:t>
            </w:r>
            <w:r w:rsidRPr="00EB1E72">
              <w:rPr>
                <w:rFonts w:ascii="Calibri" w:eastAsia="新細明體" w:hAnsi="Calibri" w:cs="Segoe UI"/>
                <w:i/>
                <w:sz w:val="17"/>
                <w:szCs w:val="17"/>
                <w:lang w:eastAsia="zh-TW"/>
              </w:rPr>
              <w:t>第三方計算法</w:t>
            </w:r>
            <w:r w:rsidRPr="00EB1E72">
              <w:rPr>
                <w:rFonts w:ascii="Calibri" w:eastAsia="新細明體" w:hAnsi="Calibri" w:cs="Segoe UI"/>
                <w:sz w:val="17"/>
                <w:szCs w:val="17"/>
                <w:lang w:eastAsia="zh-TW"/>
              </w:rPr>
              <w:t>：</w:t>
            </w:r>
            <w:r w:rsidR="007B5D5C" w:rsidRPr="007B5D5C">
              <w:rPr>
                <w:rFonts w:ascii="Calibri" w:eastAsia="新細明體" w:hAnsi="Calibri" w:cs="Segoe UI" w:hint="eastAsia"/>
                <w:sz w:val="17"/>
                <w:szCs w:val="17"/>
                <w:lang w:eastAsia="zh-TW"/>
              </w:rPr>
              <w:t>根據</w:t>
            </w:r>
            <w:r w:rsidRPr="00EB1E72">
              <w:rPr>
                <w:rFonts w:ascii="Calibri" w:eastAsia="新細明體" w:hAnsi="Calibri" w:cs="Segoe UI"/>
                <w:sz w:val="17"/>
                <w:szCs w:val="17"/>
                <w:lang w:eastAsia="zh-TW"/>
              </w:rPr>
              <w:t>《資本規則》</w:t>
            </w:r>
            <w:r w:rsidRPr="00EB1E72">
              <w:rPr>
                <w:rFonts w:ascii="Calibri" w:eastAsia="新細明體" w:hAnsi="Calibri" w:cs="Segoe UI" w:hint="eastAsia"/>
                <w:sz w:val="17"/>
                <w:szCs w:val="17"/>
                <w:lang w:eastAsia="zh-HK"/>
              </w:rPr>
              <w:t>第</w:t>
            </w:r>
            <w:r w:rsidRPr="00EB1E72">
              <w:rPr>
                <w:rFonts w:ascii="Calibri" w:eastAsia="新細明體" w:hAnsi="Calibri" w:cs="Segoe UI" w:hint="eastAsia"/>
                <w:sz w:val="17"/>
                <w:szCs w:val="17"/>
                <w:lang w:eastAsia="zh-TW"/>
              </w:rPr>
              <w:t>6B</w:t>
            </w:r>
            <w:r w:rsidRPr="00EB1E72">
              <w:rPr>
                <w:rFonts w:ascii="Calibri" w:eastAsia="新細明體" w:hAnsi="Calibri" w:cs="Segoe UI" w:hint="eastAsia"/>
                <w:sz w:val="17"/>
                <w:szCs w:val="17"/>
                <w:lang w:eastAsia="zh-HK"/>
              </w:rPr>
              <w:t>部</w:t>
            </w:r>
            <w:r w:rsidR="007B5D5C" w:rsidRPr="00EB1E72">
              <w:rPr>
                <w:rFonts w:ascii="Calibri" w:eastAsia="新細明體" w:hAnsi="Calibri" w:cs="Segoe UI" w:hint="eastAsia"/>
                <w:sz w:val="17"/>
                <w:szCs w:val="17"/>
                <w:lang w:eastAsia="zh-HK"/>
              </w:rPr>
              <w:t>使用</w:t>
            </w:r>
            <w:r w:rsidRPr="00EB1E72">
              <w:rPr>
                <w:rFonts w:ascii="Calibri" w:eastAsia="新細明體" w:hAnsi="Calibri" w:cs="Segoe UI" w:hint="eastAsia"/>
                <w:sz w:val="17"/>
                <w:szCs w:val="17"/>
                <w:lang w:eastAsia="zh-HK"/>
              </w:rPr>
              <w:t>透視計算法及／或第三方計算法計算的</w:t>
            </w:r>
            <w:r w:rsidRPr="00EB1E72">
              <w:rPr>
                <w:rFonts w:ascii="Calibri" w:eastAsia="新細明體" w:hAnsi="Calibri" w:cs="Segoe UI" w:hint="eastAsia"/>
                <w:sz w:val="17"/>
                <w:szCs w:val="17"/>
                <w:lang w:eastAsia="zh-TW"/>
              </w:rPr>
              <w:t>CIS</w:t>
            </w:r>
            <w:r w:rsidRPr="00EB1E72">
              <w:rPr>
                <w:rFonts w:ascii="Calibri" w:eastAsia="新細明體" w:hAnsi="Calibri" w:cs="Segoe UI" w:hint="eastAsia"/>
                <w:sz w:val="17"/>
                <w:szCs w:val="17"/>
                <w:lang w:eastAsia="zh-HK"/>
              </w:rPr>
              <w:t>的</w:t>
            </w:r>
            <w:r w:rsidRPr="00EB1E72">
              <w:rPr>
                <w:rFonts w:ascii="Calibri" w:eastAsia="新細明體" w:hAnsi="Calibri" w:cs="Segoe UI"/>
                <w:sz w:val="17"/>
                <w:szCs w:val="17"/>
                <w:lang w:val="en-US" w:eastAsia="zh-HK"/>
              </w:rPr>
              <w:t>風險加權數額</w:t>
            </w:r>
            <w:r w:rsidRPr="00EB1E72">
              <w:rPr>
                <w:rFonts w:ascii="Calibri" w:eastAsia="新細明體" w:hAnsi="Calibri" w:cs="Segoe UI"/>
                <w:sz w:val="17"/>
                <w:szCs w:val="17"/>
                <w:lang w:eastAsia="zh-HK"/>
              </w:rPr>
              <w:t>及資本規定</w:t>
            </w:r>
            <w:r w:rsidRPr="00EB1E72">
              <w:rPr>
                <w:rFonts w:ascii="Calibri" w:eastAsia="新細明體" w:hAnsi="Calibri" w:cs="Segoe UI"/>
                <w:sz w:val="17"/>
                <w:szCs w:val="17"/>
                <w:lang w:eastAsia="zh-TW"/>
              </w:rPr>
              <w:t>。</w:t>
            </w:r>
          </w:p>
        </w:tc>
      </w:tr>
      <w:tr w:rsidR="00EB1E72" w:rsidRPr="00EB1E72" w14:paraId="3ACC24CF" w14:textId="77777777" w:rsidTr="00217BE5">
        <w:tc>
          <w:tcPr>
            <w:tcW w:w="567" w:type="dxa"/>
            <w:shd w:val="clear" w:color="auto" w:fill="auto"/>
          </w:tcPr>
          <w:p w14:paraId="6FECE416"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13</w:t>
            </w:r>
          </w:p>
        </w:tc>
        <w:tc>
          <w:tcPr>
            <w:tcW w:w="8649" w:type="dxa"/>
            <w:shd w:val="clear" w:color="auto" w:fill="auto"/>
          </w:tcPr>
          <w:p w14:paraId="6DF71421" w14:textId="7BB0C60F" w:rsidR="00EB1E72" w:rsidRPr="00EB1E72" w:rsidRDefault="00EB1E72" w:rsidP="007B5D5C">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hint="eastAsia"/>
                <w:i/>
                <w:sz w:val="17"/>
                <w:szCs w:val="17"/>
                <w:lang w:eastAsia="zh-TW"/>
              </w:rPr>
              <w:t>CIS</w:t>
            </w:r>
            <w:r w:rsidRPr="00EB1E72">
              <w:rPr>
                <w:rFonts w:ascii="Calibri" w:eastAsia="新細明體" w:hAnsi="Calibri" w:cs="Segoe UI"/>
                <w:i/>
                <w:sz w:val="17"/>
                <w:szCs w:val="17"/>
                <w:lang w:eastAsia="zh-TW"/>
              </w:rPr>
              <w:t>風險承擔</w:t>
            </w:r>
            <w:r w:rsidRPr="00EB1E72">
              <w:rPr>
                <w:rFonts w:ascii="細明體" w:eastAsia="細明體" w:hAnsi="細明體" w:cs="細明體" w:hint="eastAsia"/>
                <w:i/>
                <w:sz w:val="17"/>
                <w:szCs w:val="17"/>
                <w:lang w:eastAsia="zh-TW"/>
              </w:rPr>
              <w:t>──</w:t>
            </w:r>
            <w:r w:rsidRPr="00EB1E72">
              <w:rPr>
                <w:rFonts w:ascii="Calibri" w:eastAsia="新細明體" w:hAnsi="Calibri" w:cs="Segoe UI" w:hint="eastAsia"/>
                <w:i/>
                <w:sz w:val="17"/>
                <w:szCs w:val="17"/>
                <w:lang w:eastAsia="zh-TW"/>
              </w:rPr>
              <w:t>授權基準計算法</w:t>
            </w:r>
            <w:r w:rsidRPr="00EB1E72">
              <w:rPr>
                <w:rFonts w:ascii="Calibri" w:eastAsia="新細明體" w:hAnsi="Calibri" w:cs="Segoe UI"/>
                <w:sz w:val="17"/>
                <w:szCs w:val="17"/>
                <w:lang w:eastAsia="zh-TW"/>
              </w:rPr>
              <w:t>：</w:t>
            </w:r>
            <w:r w:rsidR="007B5D5C" w:rsidRPr="007B5D5C">
              <w:rPr>
                <w:rFonts w:ascii="Calibri" w:eastAsia="新細明體" w:hAnsi="Calibri" w:cs="Segoe UI" w:hint="eastAsia"/>
                <w:sz w:val="17"/>
                <w:szCs w:val="17"/>
                <w:lang w:eastAsia="zh-TW"/>
              </w:rPr>
              <w:t>根據</w:t>
            </w:r>
            <w:r w:rsidRPr="00EB1E72">
              <w:rPr>
                <w:rFonts w:ascii="Calibri" w:eastAsia="新細明體" w:hAnsi="Calibri" w:cs="Segoe UI"/>
                <w:sz w:val="17"/>
                <w:szCs w:val="17"/>
                <w:lang w:eastAsia="zh-TW"/>
              </w:rPr>
              <w:t>《資本規則》</w:t>
            </w:r>
            <w:r w:rsidRPr="00EB1E72">
              <w:rPr>
                <w:rFonts w:ascii="Calibri" w:eastAsia="新細明體" w:hAnsi="Calibri" w:cs="Segoe UI" w:hint="eastAsia"/>
                <w:sz w:val="17"/>
                <w:szCs w:val="17"/>
                <w:lang w:eastAsia="zh-TW"/>
              </w:rPr>
              <w:t>第</w:t>
            </w:r>
            <w:r w:rsidRPr="00EB1E72">
              <w:rPr>
                <w:rFonts w:ascii="Calibri" w:eastAsia="新細明體" w:hAnsi="Calibri" w:cs="Segoe UI" w:hint="eastAsia"/>
                <w:sz w:val="17"/>
                <w:szCs w:val="17"/>
                <w:lang w:eastAsia="zh-TW"/>
              </w:rPr>
              <w:t>6B</w:t>
            </w:r>
            <w:r w:rsidRPr="00EB1E72">
              <w:rPr>
                <w:rFonts w:ascii="Calibri" w:eastAsia="新細明體" w:hAnsi="Calibri" w:cs="Segoe UI" w:hint="eastAsia"/>
                <w:sz w:val="17"/>
                <w:szCs w:val="17"/>
                <w:lang w:eastAsia="zh-TW"/>
              </w:rPr>
              <w:t>部</w:t>
            </w:r>
            <w:r w:rsidR="007B5D5C" w:rsidRPr="00EB1E72">
              <w:rPr>
                <w:rFonts w:ascii="Calibri" w:eastAsia="新細明體" w:hAnsi="Calibri" w:cs="Segoe UI" w:hint="eastAsia"/>
                <w:sz w:val="17"/>
                <w:szCs w:val="17"/>
                <w:lang w:eastAsia="zh-HK"/>
              </w:rPr>
              <w:t>使用</w:t>
            </w:r>
            <w:r w:rsidRPr="00966C90">
              <w:rPr>
                <w:rFonts w:ascii="Calibri" w:eastAsia="新細明體" w:hAnsi="Calibri" w:cs="Segoe UI" w:hint="eastAsia"/>
                <w:sz w:val="17"/>
                <w:szCs w:val="17"/>
                <w:lang w:eastAsia="zh-TW"/>
              </w:rPr>
              <w:t>授權基準計算法</w:t>
            </w:r>
            <w:r w:rsidRPr="00EB1E72">
              <w:rPr>
                <w:rFonts w:ascii="Calibri" w:eastAsia="新細明體" w:hAnsi="Calibri" w:cs="Segoe UI" w:hint="eastAsia"/>
                <w:sz w:val="17"/>
                <w:szCs w:val="17"/>
                <w:lang w:eastAsia="zh-TW"/>
              </w:rPr>
              <w:t>計</w:t>
            </w:r>
            <w:r w:rsidRPr="00EB1E72">
              <w:rPr>
                <w:rFonts w:ascii="Calibri" w:eastAsia="新細明體" w:hAnsi="Calibri" w:cs="Segoe UI" w:hint="eastAsia"/>
                <w:sz w:val="17"/>
                <w:szCs w:val="17"/>
                <w:lang w:eastAsia="zh-HK"/>
              </w:rPr>
              <w:t>算</w:t>
            </w:r>
            <w:r w:rsidRPr="00EB1E72">
              <w:rPr>
                <w:rFonts w:ascii="Calibri" w:eastAsia="新細明體" w:hAnsi="Calibri" w:cs="Segoe UI" w:hint="eastAsia"/>
                <w:sz w:val="17"/>
                <w:szCs w:val="17"/>
                <w:lang w:eastAsia="zh-TW"/>
              </w:rPr>
              <w:t>的</w:t>
            </w:r>
            <w:r w:rsidRPr="00EB1E72">
              <w:rPr>
                <w:rFonts w:ascii="Calibri" w:eastAsia="新細明體" w:hAnsi="Calibri" w:cs="Segoe UI" w:hint="eastAsia"/>
                <w:sz w:val="17"/>
                <w:szCs w:val="17"/>
                <w:lang w:eastAsia="zh-TW"/>
              </w:rPr>
              <w:t>CIS</w:t>
            </w:r>
            <w:r w:rsidRPr="00EB1E72">
              <w:rPr>
                <w:rFonts w:ascii="Calibri" w:eastAsia="新細明體" w:hAnsi="Calibri" w:cs="Segoe UI" w:hint="eastAsia"/>
                <w:sz w:val="17"/>
                <w:szCs w:val="17"/>
                <w:lang w:eastAsia="zh-TW"/>
              </w:rPr>
              <w:t>的</w:t>
            </w:r>
            <w:r w:rsidRPr="00EB1E72">
              <w:rPr>
                <w:rFonts w:ascii="Calibri" w:eastAsia="新細明體" w:hAnsi="Calibri" w:cs="Segoe UI"/>
                <w:sz w:val="17"/>
                <w:szCs w:val="17"/>
                <w:lang w:val="en-US" w:eastAsia="zh-TW"/>
              </w:rPr>
              <w:t>風險加權數額</w:t>
            </w:r>
            <w:r w:rsidRPr="00EB1E72">
              <w:rPr>
                <w:rFonts w:ascii="Calibri" w:eastAsia="新細明體" w:hAnsi="Calibri" w:cs="Segoe UI"/>
                <w:sz w:val="17"/>
                <w:szCs w:val="17"/>
                <w:lang w:eastAsia="zh-TW"/>
              </w:rPr>
              <w:t>及資本規定。</w:t>
            </w:r>
          </w:p>
        </w:tc>
      </w:tr>
      <w:tr w:rsidR="00EB1E72" w:rsidRPr="00EB1E72" w14:paraId="6E014D67" w14:textId="77777777" w:rsidTr="00217BE5">
        <w:tc>
          <w:tcPr>
            <w:tcW w:w="567" w:type="dxa"/>
            <w:shd w:val="clear" w:color="auto" w:fill="auto"/>
          </w:tcPr>
          <w:p w14:paraId="44ACE58D"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14</w:t>
            </w:r>
          </w:p>
        </w:tc>
        <w:tc>
          <w:tcPr>
            <w:tcW w:w="8649" w:type="dxa"/>
            <w:shd w:val="clear" w:color="auto" w:fill="auto"/>
          </w:tcPr>
          <w:p w14:paraId="37EF2F96" w14:textId="041A6CAB" w:rsidR="00EB1E72" w:rsidRPr="00EB1E72" w:rsidRDefault="00EB1E72" w:rsidP="007B5D5C">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hint="eastAsia"/>
                <w:i/>
                <w:sz w:val="17"/>
                <w:szCs w:val="17"/>
                <w:lang w:eastAsia="zh-TW"/>
              </w:rPr>
              <w:t>CIS</w:t>
            </w:r>
            <w:r w:rsidRPr="00EB1E72">
              <w:rPr>
                <w:rFonts w:ascii="Calibri" w:eastAsia="新細明體" w:hAnsi="Calibri" w:cs="Segoe UI"/>
                <w:i/>
                <w:sz w:val="17"/>
                <w:szCs w:val="17"/>
                <w:lang w:eastAsia="zh-TW"/>
              </w:rPr>
              <w:t>風險承擔</w:t>
            </w:r>
            <w:r w:rsidRPr="00EB1E72">
              <w:rPr>
                <w:rFonts w:ascii="細明體" w:eastAsia="細明體" w:hAnsi="細明體" w:cs="細明體" w:hint="eastAsia"/>
                <w:i/>
                <w:sz w:val="17"/>
                <w:szCs w:val="17"/>
                <w:lang w:eastAsia="zh-TW"/>
              </w:rPr>
              <w:t>──</w:t>
            </w:r>
            <w:r w:rsidRPr="00EB1E72">
              <w:rPr>
                <w:rFonts w:ascii="Calibri" w:eastAsia="新細明體" w:hAnsi="Calibri" w:cs="Segoe UI" w:hint="eastAsia"/>
                <w:i/>
                <w:sz w:val="17"/>
                <w:szCs w:val="17"/>
                <w:lang w:eastAsia="zh-TW"/>
              </w:rPr>
              <w:t>備選方法</w:t>
            </w:r>
            <w:r w:rsidRPr="00EB1E72">
              <w:rPr>
                <w:rFonts w:ascii="Calibri" w:eastAsia="新細明體" w:hAnsi="Calibri" w:cs="Segoe UI"/>
                <w:sz w:val="17"/>
                <w:szCs w:val="17"/>
                <w:lang w:eastAsia="zh-TW"/>
              </w:rPr>
              <w:t>：</w:t>
            </w:r>
            <w:r w:rsidR="007B5D5C" w:rsidRPr="007B5D5C">
              <w:rPr>
                <w:rFonts w:ascii="Calibri" w:eastAsia="新細明體" w:hAnsi="Calibri" w:cs="Segoe UI" w:hint="eastAsia"/>
                <w:sz w:val="17"/>
                <w:szCs w:val="17"/>
                <w:lang w:eastAsia="zh-TW"/>
              </w:rPr>
              <w:t>根據</w:t>
            </w:r>
            <w:r w:rsidRPr="00EB1E72">
              <w:rPr>
                <w:rFonts w:ascii="Calibri" w:eastAsia="新細明體" w:hAnsi="Calibri" w:cs="Segoe UI"/>
                <w:sz w:val="17"/>
                <w:szCs w:val="17"/>
                <w:lang w:eastAsia="zh-TW"/>
              </w:rPr>
              <w:t>《資本規則》</w:t>
            </w:r>
            <w:r w:rsidRPr="00EB1E72">
              <w:rPr>
                <w:rFonts w:ascii="Calibri" w:eastAsia="新細明體" w:hAnsi="Calibri" w:cs="Segoe UI" w:hint="eastAsia"/>
                <w:sz w:val="17"/>
                <w:szCs w:val="17"/>
                <w:lang w:eastAsia="zh-TW"/>
              </w:rPr>
              <w:t>第</w:t>
            </w:r>
            <w:r w:rsidRPr="00EB1E72">
              <w:rPr>
                <w:rFonts w:ascii="Calibri" w:eastAsia="新細明體" w:hAnsi="Calibri" w:cs="Segoe UI" w:hint="eastAsia"/>
                <w:sz w:val="17"/>
                <w:szCs w:val="17"/>
                <w:lang w:eastAsia="zh-TW"/>
              </w:rPr>
              <w:t>6B</w:t>
            </w:r>
            <w:r w:rsidRPr="00EB1E72">
              <w:rPr>
                <w:rFonts w:ascii="Calibri" w:eastAsia="新細明體" w:hAnsi="Calibri" w:cs="Segoe UI" w:hint="eastAsia"/>
                <w:sz w:val="17"/>
                <w:szCs w:val="17"/>
                <w:lang w:eastAsia="zh-TW"/>
              </w:rPr>
              <w:t>部</w:t>
            </w:r>
            <w:r w:rsidR="007B5D5C" w:rsidRPr="00EB1E72">
              <w:rPr>
                <w:rFonts w:ascii="Calibri" w:eastAsia="新細明體" w:hAnsi="Calibri" w:cs="Segoe UI" w:hint="eastAsia"/>
                <w:sz w:val="17"/>
                <w:szCs w:val="17"/>
                <w:lang w:eastAsia="zh-HK"/>
              </w:rPr>
              <w:t>使用</w:t>
            </w:r>
            <w:r w:rsidRPr="00EB1E72">
              <w:rPr>
                <w:rFonts w:ascii="Calibri" w:eastAsia="新細明體" w:hAnsi="Calibri" w:cs="Segoe UI" w:hint="eastAsia"/>
                <w:sz w:val="17"/>
                <w:szCs w:val="17"/>
                <w:lang w:eastAsia="zh-TW"/>
              </w:rPr>
              <w:t>備選方法</w:t>
            </w:r>
            <w:r w:rsidR="00B324E0" w:rsidRPr="00EB1E72">
              <w:rPr>
                <w:rFonts w:ascii="Calibri" w:eastAsia="新細明體" w:hAnsi="Calibri" w:cs="Segoe UI" w:hint="eastAsia"/>
                <w:sz w:val="17"/>
                <w:szCs w:val="17"/>
                <w:lang w:eastAsia="zh-TW"/>
              </w:rPr>
              <w:t>計</w:t>
            </w:r>
            <w:r w:rsidR="00B324E0" w:rsidRPr="00EB1E72">
              <w:rPr>
                <w:rFonts w:ascii="Calibri" w:eastAsia="新細明體" w:hAnsi="Calibri" w:cs="Segoe UI" w:hint="eastAsia"/>
                <w:sz w:val="17"/>
                <w:szCs w:val="17"/>
                <w:lang w:eastAsia="zh-HK"/>
              </w:rPr>
              <w:t>算</w:t>
            </w:r>
            <w:r w:rsidRPr="00EB1E72">
              <w:rPr>
                <w:rFonts w:ascii="Calibri" w:eastAsia="新細明體" w:hAnsi="Calibri" w:cs="Segoe UI" w:hint="eastAsia"/>
                <w:sz w:val="17"/>
                <w:szCs w:val="17"/>
                <w:lang w:eastAsia="zh-TW"/>
              </w:rPr>
              <w:t>的</w:t>
            </w:r>
            <w:r w:rsidRPr="00EB1E72">
              <w:rPr>
                <w:rFonts w:ascii="Calibri" w:eastAsia="新細明體" w:hAnsi="Calibri" w:cs="Segoe UI" w:hint="eastAsia"/>
                <w:sz w:val="17"/>
                <w:szCs w:val="17"/>
                <w:lang w:eastAsia="zh-TW"/>
              </w:rPr>
              <w:t>CIS</w:t>
            </w:r>
            <w:r w:rsidRPr="00EB1E72">
              <w:rPr>
                <w:rFonts w:ascii="Calibri" w:eastAsia="新細明體" w:hAnsi="Calibri" w:cs="Segoe UI" w:hint="eastAsia"/>
                <w:sz w:val="17"/>
                <w:szCs w:val="17"/>
                <w:lang w:eastAsia="zh-TW"/>
              </w:rPr>
              <w:t>的</w:t>
            </w:r>
            <w:r w:rsidRPr="00EB1E72">
              <w:rPr>
                <w:rFonts w:ascii="Calibri" w:eastAsia="新細明體" w:hAnsi="Calibri" w:cs="Segoe UI"/>
                <w:sz w:val="17"/>
                <w:szCs w:val="17"/>
                <w:lang w:val="en-US" w:eastAsia="zh-TW"/>
              </w:rPr>
              <w:t>風險加權數額</w:t>
            </w:r>
            <w:r w:rsidRPr="00EB1E72">
              <w:rPr>
                <w:rFonts w:ascii="Calibri" w:eastAsia="新細明體" w:hAnsi="Calibri" w:cs="Segoe UI"/>
                <w:sz w:val="17"/>
                <w:szCs w:val="17"/>
                <w:lang w:eastAsia="zh-TW"/>
              </w:rPr>
              <w:t>及資本規定。</w:t>
            </w:r>
          </w:p>
        </w:tc>
      </w:tr>
      <w:tr w:rsidR="00EB1E72" w:rsidRPr="00EB1E72" w14:paraId="46D9421A" w14:textId="77777777" w:rsidTr="00217BE5">
        <w:tc>
          <w:tcPr>
            <w:tcW w:w="567" w:type="dxa"/>
            <w:shd w:val="clear" w:color="auto" w:fill="auto"/>
          </w:tcPr>
          <w:p w14:paraId="4303664C"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14a</w:t>
            </w:r>
          </w:p>
        </w:tc>
        <w:tc>
          <w:tcPr>
            <w:tcW w:w="8649" w:type="dxa"/>
            <w:shd w:val="clear" w:color="auto" w:fill="auto"/>
          </w:tcPr>
          <w:p w14:paraId="74785171" w14:textId="4DF02476" w:rsidR="00EB1E72" w:rsidRPr="00EB1E72" w:rsidRDefault="00EB1E72" w:rsidP="005C79E3">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HK"/>
              </w:rPr>
            </w:pPr>
            <w:r w:rsidRPr="00EB1E72">
              <w:rPr>
                <w:rFonts w:ascii="Calibri" w:eastAsia="新細明體" w:hAnsi="Calibri" w:cs="Segoe UI" w:hint="eastAsia"/>
                <w:i/>
                <w:sz w:val="17"/>
                <w:szCs w:val="17"/>
                <w:lang w:eastAsia="zh-TW"/>
              </w:rPr>
              <w:t>CIS</w:t>
            </w:r>
            <w:r w:rsidRPr="00EB1E72">
              <w:rPr>
                <w:rFonts w:ascii="Calibri" w:eastAsia="新細明體" w:hAnsi="Calibri" w:cs="Segoe UI"/>
                <w:i/>
                <w:sz w:val="17"/>
                <w:szCs w:val="17"/>
                <w:lang w:eastAsia="zh-TW"/>
              </w:rPr>
              <w:t>風險承擔</w:t>
            </w:r>
            <w:r w:rsidRPr="00EB1E72">
              <w:rPr>
                <w:rFonts w:ascii="細明體" w:eastAsia="細明體" w:hAnsi="細明體" w:cs="細明體" w:hint="eastAsia"/>
                <w:i/>
                <w:sz w:val="17"/>
                <w:szCs w:val="17"/>
                <w:lang w:eastAsia="zh-TW"/>
              </w:rPr>
              <w:t>──</w:t>
            </w:r>
            <w:r w:rsidRPr="00EB1E72">
              <w:rPr>
                <w:rFonts w:ascii="Calibri" w:eastAsia="新細明體" w:hAnsi="Calibri" w:cs="Segoe UI"/>
                <w:i/>
                <w:sz w:val="17"/>
                <w:szCs w:val="17"/>
                <w:lang w:eastAsia="zh-TW"/>
              </w:rPr>
              <w:t>混合使用計算法</w:t>
            </w:r>
            <w:r w:rsidRPr="00EB1E72">
              <w:rPr>
                <w:rFonts w:ascii="Calibri" w:eastAsia="新細明體" w:hAnsi="Calibri" w:cs="Segoe UI"/>
                <w:sz w:val="17"/>
                <w:szCs w:val="17"/>
                <w:lang w:eastAsia="zh-TW"/>
              </w:rPr>
              <w:t>：</w:t>
            </w:r>
            <w:r w:rsidR="007B5D5C" w:rsidRPr="007B5D5C">
              <w:rPr>
                <w:rFonts w:ascii="Calibri" w:eastAsia="新細明體" w:hAnsi="Calibri" w:cs="Segoe UI" w:hint="eastAsia"/>
                <w:sz w:val="17"/>
                <w:szCs w:val="17"/>
                <w:lang w:eastAsia="zh-TW"/>
              </w:rPr>
              <w:t>根據</w:t>
            </w:r>
            <w:r w:rsidRPr="00EB1E72">
              <w:rPr>
                <w:rFonts w:ascii="Calibri" w:eastAsia="新細明體" w:hAnsi="Calibri" w:cs="Segoe UI"/>
                <w:sz w:val="17"/>
                <w:szCs w:val="17"/>
                <w:lang w:eastAsia="zh-TW"/>
              </w:rPr>
              <w:t>《資本規則》</w:t>
            </w:r>
            <w:r w:rsidRPr="00EB1E72">
              <w:rPr>
                <w:rFonts w:ascii="Calibri" w:eastAsia="新細明體" w:hAnsi="Calibri" w:cs="Segoe UI" w:hint="eastAsia"/>
                <w:sz w:val="17"/>
                <w:szCs w:val="17"/>
                <w:lang w:eastAsia="zh-TW"/>
              </w:rPr>
              <w:t>第</w:t>
            </w:r>
            <w:r w:rsidRPr="00EB1E72">
              <w:rPr>
                <w:rFonts w:ascii="Calibri" w:eastAsia="新細明體" w:hAnsi="Calibri" w:cs="Segoe UI" w:hint="eastAsia"/>
                <w:sz w:val="17"/>
                <w:szCs w:val="17"/>
                <w:lang w:eastAsia="zh-TW"/>
              </w:rPr>
              <w:t>6B</w:t>
            </w:r>
            <w:r w:rsidRPr="00EB1E72">
              <w:rPr>
                <w:rFonts w:ascii="Calibri" w:eastAsia="新細明體" w:hAnsi="Calibri" w:cs="Segoe UI" w:hint="eastAsia"/>
                <w:sz w:val="17"/>
                <w:szCs w:val="17"/>
                <w:lang w:eastAsia="zh-TW"/>
              </w:rPr>
              <w:t>部</w:t>
            </w:r>
            <w:r w:rsidRPr="00EB1E72">
              <w:rPr>
                <w:rFonts w:ascii="Calibri" w:eastAsia="新細明體" w:hAnsi="Calibri" w:cs="Segoe UI" w:hint="eastAsia"/>
                <w:sz w:val="17"/>
                <w:szCs w:val="17"/>
                <w:lang w:eastAsia="zh-HK"/>
              </w:rPr>
              <w:t>使用多於一種計算法</w:t>
            </w:r>
            <w:r w:rsidRPr="00EB1E72">
              <w:rPr>
                <w:rFonts w:ascii="Calibri" w:eastAsia="新細明體" w:hAnsi="Calibri" w:cs="Segoe UI" w:hint="eastAsia"/>
                <w:sz w:val="17"/>
                <w:szCs w:val="17"/>
                <w:lang w:eastAsia="zh-TW"/>
              </w:rPr>
              <w:t>計</w:t>
            </w:r>
            <w:r w:rsidRPr="00EB1E72">
              <w:rPr>
                <w:rFonts w:ascii="Calibri" w:eastAsia="新細明體" w:hAnsi="Calibri" w:cs="Segoe UI" w:hint="eastAsia"/>
                <w:sz w:val="17"/>
                <w:szCs w:val="17"/>
                <w:lang w:eastAsia="zh-HK"/>
              </w:rPr>
              <w:t>算</w:t>
            </w:r>
            <w:r w:rsidRPr="00EB1E72">
              <w:rPr>
                <w:rFonts w:ascii="Calibri" w:eastAsia="新細明體" w:hAnsi="Calibri" w:cs="Segoe UI" w:hint="eastAsia"/>
                <w:sz w:val="17"/>
                <w:szCs w:val="17"/>
                <w:lang w:eastAsia="zh-TW"/>
              </w:rPr>
              <w:t>的</w:t>
            </w:r>
            <w:r w:rsidRPr="00EB1E72">
              <w:rPr>
                <w:rFonts w:ascii="Calibri" w:eastAsia="新細明體" w:hAnsi="Calibri" w:cs="Segoe UI" w:hint="eastAsia"/>
                <w:sz w:val="17"/>
                <w:szCs w:val="17"/>
                <w:lang w:eastAsia="zh-TW"/>
              </w:rPr>
              <w:t>CIS</w:t>
            </w:r>
            <w:r w:rsidRPr="00EB1E72">
              <w:rPr>
                <w:rFonts w:ascii="Calibri" w:eastAsia="新細明體" w:hAnsi="Calibri" w:cs="Segoe UI" w:hint="eastAsia"/>
                <w:sz w:val="17"/>
                <w:szCs w:val="17"/>
                <w:lang w:eastAsia="zh-TW"/>
              </w:rPr>
              <w:t>的</w:t>
            </w:r>
            <w:r w:rsidRPr="00EB1E72">
              <w:rPr>
                <w:rFonts w:ascii="Calibri" w:eastAsia="新細明體" w:hAnsi="Calibri" w:cs="Segoe UI"/>
                <w:sz w:val="17"/>
                <w:szCs w:val="17"/>
                <w:lang w:val="en-US" w:eastAsia="zh-TW"/>
              </w:rPr>
              <w:t>風險加權數額</w:t>
            </w:r>
            <w:r w:rsidRPr="00EB1E72">
              <w:rPr>
                <w:rFonts w:ascii="Calibri" w:eastAsia="新細明體" w:hAnsi="Calibri" w:cs="Segoe UI"/>
                <w:sz w:val="17"/>
                <w:szCs w:val="17"/>
                <w:lang w:eastAsia="zh-TW"/>
              </w:rPr>
              <w:t>及資本規定。</w:t>
            </w:r>
            <w:r w:rsidRPr="00EB1E72">
              <w:rPr>
                <w:rFonts w:ascii="Calibri" w:eastAsia="新細明體" w:hAnsi="Calibri" w:cs="Segoe UI" w:hint="eastAsia"/>
                <w:sz w:val="17"/>
                <w:szCs w:val="17"/>
                <w:lang w:eastAsia="zh-HK"/>
              </w:rPr>
              <w:t>為</w:t>
            </w:r>
            <w:r w:rsidR="00053185">
              <w:rPr>
                <w:rFonts w:ascii="Calibri" w:eastAsia="新細明體" w:hAnsi="Calibri" w:cs="Segoe UI" w:hint="eastAsia"/>
                <w:sz w:val="17"/>
                <w:szCs w:val="17"/>
                <w:lang w:eastAsia="zh-HK"/>
              </w:rPr>
              <w:t>清</w:t>
            </w:r>
            <w:r w:rsidR="00053185">
              <w:rPr>
                <w:rFonts w:ascii="Calibri" w:eastAsia="新細明體" w:hAnsi="Calibri" w:cs="Segoe UI" w:hint="eastAsia"/>
                <w:sz w:val="17"/>
                <w:szCs w:val="17"/>
                <w:lang w:eastAsia="zh-TW"/>
              </w:rPr>
              <w:t>楚</w:t>
            </w:r>
            <w:r w:rsidRPr="00EB1E72">
              <w:rPr>
                <w:rFonts w:ascii="Calibri" w:eastAsia="新細明體" w:hAnsi="Calibri" w:cs="Segoe UI" w:hint="eastAsia"/>
                <w:sz w:val="17"/>
                <w:szCs w:val="17"/>
                <w:lang w:eastAsia="zh-HK"/>
              </w:rPr>
              <w:t>起見</w:t>
            </w:r>
            <w:r w:rsidRPr="00EB1E72">
              <w:rPr>
                <w:rFonts w:ascii="Calibri" w:eastAsia="新細明體" w:hAnsi="Calibri" w:cs="Segoe UI" w:hint="eastAsia"/>
                <w:sz w:val="17"/>
                <w:szCs w:val="17"/>
                <w:lang w:eastAsia="zh-TW"/>
              </w:rPr>
              <w:t>，</w:t>
            </w:r>
            <w:r w:rsidR="005C79E3">
              <w:rPr>
                <w:rFonts w:ascii="Calibri" w:eastAsia="新細明體" w:hAnsi="Calibri" w:cs="Segoe UI" w:hint="eastAsia"/>
                <w:sz w:val="17"/>
                <w:szCs w:val="17"/>
                <w:lang w:eastAsia="zh-HK"/>
              </w:rPr>
              <w:t>就</w:t>
            </w:r>
            <w:r w:rsidRPr="00EB1E72">
              <w:rPr>
                <w:rFonts w:ascii="Calibri" w:eastAsia="新細明體" w:hAnsi="Calibri" w:cs="Segoe UI" w:hint="eastAsia"/>
                <w:sz w:val="17"/>
                <w:szCs w:val="17"/>
                <w:lang w:eastAsia="zh-HK"/>
              </w:rPr>
              <w:t>僅</w:t>
            </w:r>
            <w:r w:rsidR="000F69E7" w:rsidRPr="00EB1E72">
              <w:rPr>
                <w:rFonts w:ascii="Calibri" w:eastAsia="新細明體" w:hAnsi="Calibri" w:cs="Segoe UI" w:hint="eastAsia"/>
                <w:sz w:val="17"/>
                <w:szCs w:val="17"/>
                <w:lang w:eastAsia="zh-HK"/>
              </w:rPr>
              <w:t>使用</w:t>
            </w:r>
            <w:r w:rsidRPr="00EB1E72">
              <w:rPr>
                <w:rFonts w:ascii="Calibri" w:eastAsia="新細明體" w:hAnsi="Calibri" w:cs="Segoe UI" w:hint="eastAsia"/>
                <w:sz w:val="17"/>
                <w:szCs w:val="17"/>
                <w:lang w:eastAsia="zh-HK"/>
              </w:rPr>
              <w:t>透視計算法及第三方計算法計算的</w:t>
            </w:r>
            <w:r w:rsidRPr="00EB1E72">
              <w:rPr>
                <w:rFonts w:ascii="Calibri" w:eastAsia="新細明體" w:hAnsi="Calibri" w:cs="Segoe UI" w:hint="eastAsia"/>
                <w:sz w:val="17"/>
                <w:szCs w:val="17"/>
                <w:lang w:eastAsia="zh-TW"/>
              </w:rPr>
              <w:t>CIS</w:t>
            </w:r>
            <w:r w:rsidRPr="00EB1E72">
              <w:rPr>
                <w:rFonts w:ascii="Calibri" w:eastAsia="新細明體" w:hAnsi="Calibri" w:cs="Segoe UI" w:hint="eastAsia"/>
                <w:sz w:val="17"/>
                <w:szCs w:val="17"/>
                <w:lang w:eastAsia="zh-HK"/>
              </w:rPr>
              <w:t>的</w:t>
            </w:r>
            <w:r w:rsidRPr="00EB1E72">
              <w:rPr>
                <w:rFonts w:ascii="Calibri" w:eastAsia="新細明體" w:hAnsi="Calibri" w:cs="Segoe UI"/>
                <w:sz w:val="17"/>
                <w:szCs w:val="17"/>
                <w:lang w:val="en-US" w:eastAsia="zh-HK"/>
              </w:rPr>
              <w:t>風險加權數額</w:t>
            </w:r>
            <w:r w:rsidRPr="00EB1E72">
              <w:rPr>
                <w:rFonts w:ascii="Calibri" w:eastAsia="新細明體" w:hAnsi="Calibri" w:cs="Segoe UI"/>
                <w:sz w:val="17"/>
                <w:szCs w:val="17"/>
                <w:lang w:eastAsia="zh-HK"/>
              </w:rPr>
              <w:t>及資本規定</w:t>
            </w:r>
            <w:r w:rsidR="005C79E3" w:rsidRPr="00EB1E72">
              <w:rPr>
                <w:rFonts w:ascii="Calibri" w:eastAsia="新細明體" w:hAnsi="Calibri" w:cs="Segoe UI"/>
                <w:sz w:val="17"/>
                <w:szCs w:val="17"/>
                <w:lang w:eastAsia="zh-TW"/>
              </w:rPr>
              <w:t>，</w:t>
            </w:r>
            <w:r w:rsidR="005C79E3">
              <w:rPr>
                <w:rFonts w:ascii="Calibri" w:eastAsia="新細明體" w:hAnsi="Calibri" w:cs="Segoe UI" w:hint="eastAsia"/>
                <w:sz w:val="17"/>
                <w:szCs w:val="17"/>
                <w:lang w:eastAsia="zh-HK"/>
              </w:rPr>
              <w:t>應</w:t>
            </w:r>
            <w:r w:rsidR="005C79E3" w:rsidRPr="00EB1E72">
              <w:rPr>
                <w:rFonts w:ascii="Calibri" w:eastAsia="新細明體" w:hAnsi="Calibri" w:cs="Segoe UI" w:hint="eastAsia"/>
                <w:sz w:val="17"/>
                <w:szCs w:val="17"/>
                <w:lang w:eastAsia="zh-HK"/>
              </w:rPr>
              <w:t>在第</w:t>
            </w:r>
            <w:r w:rsidR="005C79E3" w:rsidRPr="00EB1E72">
              <w:rPr>
                <w:rFonts w:ascii="Calibri" w:eastAsia="新細明體" w:hAnsi="Calibri" w:cs="Segoe UI" w:hint="eastAsia"/>
                <w:sz w:val="17"/>
                <w:szCs w:val="17"/>
                <w:lang w:eastAsia="zh-TW"/>
              </w:rPr>
              <w:t>12</w:t>
            </w:r>
            <w:r w:rsidR="005C79E3" w:rsidRPr="00EB1E72">
              <w:rPr>
                <w:rFonts w:ascii="Calibri" w:eastAsia="新細明體" w:hAnsi="Calibri" w:cs="Segoe UI" w:hint="eastAsia"/>
                <w:sz w:val="17"/>
                <w:szCs w:val="17"/>
                <w:lang w:eastAsia="zh-HK"/>
              </w:rPr>
              <w:t>行填報</w:t>
            </w:r>
            <w:r w:rsidRPr="00EB1E72">
              <w:rPr>
                <w:rFonts w:ascii="Calibri" w:eastAsia="新細明體" w:hAnsi="Calibri" w:cs="Segoe UI" w:hint="eastAsia"/>
                <w:sz w:val="17"/>
                <w:szCs w:val="17"/>
                <w:lang w:eastAsia="zh-TW"/>
              </w:rPr>
              <w:t>。</w:t>
            </w:r>
          </w:p>
        </w:tc>
      </w:tr>
      <w:tr w:rsidR="00EB1E72" w:rsidRPr="00EB1E72" w14:paraId="235C9193" w14:textId="77777777" w:rsidTr="00217BE5">
        <w:tc>
          <w:tcPr>
            <w:tcW w:w="567" w:type="dxa"/>
            <w:shd w:val="clear" w:color="auto" w:fill="auto"/>
          </w:tcPr>
          <w:p w14:paraId="17C9C893"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CN"/>
              </w:rPr>
              <w:t>15</w:t>
            </w:r>
          </w:p>
        </w:tc>
        <w:tc>
          <w:tcPr>
            <w:tcW w:w="8649" w:type="dxa"/>
            <w:shd w:val="clear" w:color="auto" w:fill="auto"/>
          </w:tcPr>
          <w:p w14:paraId="33205CCF"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proofErr w:type="gramStart"/>
            <w:r w:rsidRPr="00EB1E72">
              <w:rPr>
                <w:rFonts w:ascii="Calibri" w:eastAsia="新細明體" w:hAnsi="Calibri" w:cs="Segoe UI"/>
                <w:i/>
                <w:sz w:val="17"/>
                <w:szCs w:val="17"/>
                <w:lang w:eastAsia="zh-TW"/>
              </w:rPr>
              <w:t>交收風險</w:t>
            </w:r>
            <w:proofErr w:type="gramEnd"/>
            <w:r w:rsidRPr="00EB1E72">
              <w:rPr>
                <w:rFonts w:ascii="Calibri" w:eastAsia="新細明體" w:hAnsi="Calibri" w:cs="Segoe UI"/>
                <w:sz w:val="17"/>
                <w:szCs w:val="17"/>
                <w:lang w:eastAsia="zh-TW"/>
              </w:rPr>
              <w:t>：由以下項目引起的風險承擔的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w:t>
            </w:r>
          </w:p>
          <w:p w14:paraId="7B954DE2" w14:textId="058E2D06" w:rsidR="00EB1E72" w:rsidRPr="00EB1E72" w:rsidRDefault="00EB1E72" w:rsidP="00EB1E72">
            <w:pPr>
              <w:keepLines/>
              <w:widowControl w:val="0"/>
              <w:numPr>
                <w:ilvl w:val="0"/>
                <w:numId w:val="1"/>
              </w:numPr>
              <w:spacing w:before="40" w:after="40" w:line="259" w:lineRule="auto"/>
              <w:ind w:left="459" w:hanging="459"/>
              <w:jc w:val="both"/>
              <w:rPr>
                <w:rFonts w:ascii="Calibri" w:eastAsia="新細明體" w:hAnsi="Calibri" w:cs="Segoe UI"/>
                <w:sz w:val="17"/>
                <w:szCs w:val="17"/>
                <w:lang w:eastAsia="zh-TW"/>
              </w:rPr>
            </w:pPr>
            <w:proofErr w:type="gramStart"/>
            <w:r w:rsidRPr="00EB1E72">
              <w:rPr>
                <w:rFonts w:ascii="Calibri" w:eastAsia="新細明體" w:hAnsi="Calibri" w:cs="Segoe UI"/>
                <w:sz w:val="17"/>
                <w:szCs w:val="17"/>
                <w:lang w:eastAsia="zh-TW"/>
              </w:rPr>
              <w:t>以貨銀對付</w:t>
            </w:r>
            <w:proofErr w:type="gramEnd"/>
            <w:r w:rsidRPr="00EB1E72">
              <w:rPr>
                <w:rFonts w:ascii="Calibri" w:eastAsia="新細明體" w:hAnsi="Calibri" w:cs="Segoe UI"/>
                <w:sz w:val="17"/>
                <w:szCs w:val="17"/>
                <w:lang w:eastAsia="zh-TW"/>
              </w:rPr>
              <w:t>形式訂立的，</w:t>
            </w:r>
            <w:proofErr w:type="gramStart"/>
            <w:r w:rsidRPr="00EB1E72">
              <w:rPr>
                <w:rFonts w:ascii="Calibri" w:eastAsia="新細明體" w:hAnsi="Calibri" w:cs="Segoe UI"/>
                <w:sz w:val="17"/>
                <w:szCs w:val="17"/>
                <w:lang w:eastAsia="zh-TW"/>
              </w:rPr>
              <w:t>在交收日期</w:t>
            </w:r>
            <w:proofErr w:type="gramEnd"/>
            <w:r w:rsidRPr="00EB1E72">
              <w:rPr>
                <w:rFonts w:ascii="Calibri" w:eastAsia="新細明體" w:hAnsi="Calibri" w:cs="Segoe UI"/>
                <w:sz w:val="17"/>
                <w:szCs w:val="17"/>
                <w:lang w:eastAsia="zh-TW"/>
              </w:rPr>
              <w:t>後的</w:t>
            </w:r>
            <w:r w:rsidRPr="00EB1E72">
              <w:rPr>
                <w:rFonts w:ascii="Calibri" w:eastAsia="新細明體" w:hAnsi="Calibri" w:cs="Segoe UI"/>
                <w:sz w:val="17"/>
                <w:szCs w:val="17"/>
                <w:lang w:eastAsia="zh-TW"/>
              </w:rPr>
              <w:t>5</w:t>
            </w:r>
            <w:r w:rsidRPr="00EB1E72">
              <w:rPr>
                <w:rFonts w:ascii="Calibri" w:eastAsia="新細明體" w:hAnsi="Calibri" w:cs="Segoe UI"/>
                <w:sz w:val="17"/>
                <w:szCs w:val="17"/>
                <w:lang w:eastAsia="zh-TW"/>
              </w:rPr>
              <w:t>個或以上營業日仍</w:t>
            </w:r>
            <w:proofErr w:type="gramStart"/>
            <w:r w:rsidRPr="00EB1E72">
              <w:rPr>
                <w:rFonts w:ascii="Calibri" w:eastAsia="新細明體" w:hAnsi="Calibri" w:cs="Segoe UI"/>
                <w:sz w:val="17"/>
                <w:szCs w:val="17"/>
                <w:lang w:eastAsia="zh-TW"/>
              </w:rPr>
              <w:t>未交收的</w:t>
            </w:r>
            <w:proofErr w:type="gramEnd"/>
            <w:r w:rsidRPr="00EB1E72">
              <w:rPr>
                <w:rFonts w:ascii="Calibri" w:eastAsia="新細明體" w:hAnsi="Calibri" w:cs="Segoe UI"/>
                <w:sz w:val="17"/>
                <w:szCs w:val="17"/>
                <w:lang w:eastAsia="zh-TW"/>
              </w:rPr>
              <w:t>證券交易、</w:t>
            </w:r>
            <w:r w:rsidR="003F6116" w:rsidRPr="00F31A5B">
              <w:rPr>
                <w:rFonts w:ascii="Calibri" w:eastAsia="新細明體" w:hAnsi="Calibri" w:cs="Segoe UI" w:hint="eastAsia"/>
                <w:sz w:val="17"/>
                <w:szCs w:val="17"/>
                <w:lang w:eastAsia="zh-TW"/>
              </w:rPr>
              <w:t>加密資產</w:t>
            </w:r>
            <w:r w:rsidR="00D840DB" w:rsidRPr="00FC4129">
              <w:rPr>
                <w:rFonts w:ascii="Calibri" w:eastAsia="新細明體" w:hAnsi="Calibri" w:cs="Segoe UI" w:hint="eastAsia"/>
                <w:sz w:val="17"/>
                <w:szCs w:val="17"/>
                <w:lang w:eastAsia="zh-TW"/>
              </w:rPr>
              <w:t>交易</w:t>
            </w:r>
            <w:r w:rsidR="003F6116" w:rsidRPr="00F31A5B">
              <w:rPr>
                <w:rFonts w:ascii="Calibri" w:eastAsia="新細明體" w:hAnsi="Calibri" w:cs="Segoe UI" w:hint="eastAsia"/>
                <w:sz w:val="17"/>
                <w:szCs w:val="17"/>
                <w:lang w:eastAsia="zh-TW"/>
              </w:rPr>
              <w:t>、</w:t>
            </w:r>
            <w:r w:rsidRPr="00EB1E72">
              <w:rPr>
                <w:rFonts w:ascii="Calibri" w:eastAsia="新細明體" w:hAnsi="Calibri" w:cs="Segoe UI"/>
                <w:sz w:val="17"/>
                <w:szCs w:val="17"/>
                <w:lang w:eastAsia="zh-TW"/>
              </w:rPr>
              <w:t>外匯交易及商品交易，按照《資本規則》指明配予該等風險承擔的風險權重計算；</w:t>
            </w:r>
          </w:p>
          <w:p w14:paraId="29D9CB64" w14:textId="786768BE" w:rsidR="00EB1E72" w:rsidRPr="00EB1E72" w:rsidRDefault="00EB1E72" w:rsidP="00EB1E72">
            <w:pPr>
              <w:keepLines/>
              <w:widowControl w:val="0"/>
              <w:numPr>
                <w:ilvl w:val="0"/>
                <w:numId w:val="1"/>
              </w:numPr>
              <w:spacing w:before="40" w:after="40" w:line="259" w:lineRule="auto"/>
              <w:ind w:left="459" w:hanging="459"/>
              <w:jc w:val="both"/>
              <w:rPr>
                <w:rFonts w:ascii="Calibri" w:eastAsia="新細明體" w:hAnsi="Calibri" w:cs="Segoe UI"/>
                <w:sz w:val="17"/>
                <w:szCs w:val="17"/>
                <w:lang w:eastAsia="zh-TW"/>
              </w:rPr>
            </w:pPr>
            <w:r w:rsidRPr="00EB1E72">
              <w:rPr>
                <w:rFonts w:ascii="Calibri" w:eastAsia="新細明體" w:hAnsi="Calibri" w:cs="Segoe UI"/>
                <w:sz w:val="17"/>
                <w:szCs w:val="17"/>
                <w:lang w:eastAsia="zh-TW"/>
              </w:rPr>
              <w:t>以</w:t>
            </w:r>
            <w:proofErr w:type="gramStart"/>
            <w:r w:rsidRPr="00EB1E72">
              <w:rPr>
                <w:rFonts w:ascii="Calibri" w:eastAsia="新細明體" w:hAnsi="Calibri" w:cs="Segoe UI"/>
                <w:sz w:val="17"/>
                <w:szCs w:val="17"/>
                <w:lang w:eastAsia="zh-TW"/>
              </w:rPr>
              <w:t>非貨銀對付</w:t>
            </w:r>
            <w:proofErr w:type="gramEnd"/>
            <w:r w:rsidRPr="00EB1E72">
              <w:rPr>
                <w:rFonts w:ascii="Calibri" w:eastAsia="新細明體" w:hAnsi="Calibri" w:cs="Segoe UI"/>
                <w:sz w:val="17"/>
                <w:szCs w:val="17"/>
                <w:lang w:eastAsia="zh-TW"/>
              </w:rPr>
              <w:t>形式訂立的，</w:t>
            </w:r>
            <w:proofErr w:type="gramStart"/>
            <w:r w:rsidRPr="00EB1E72">
              <w:rPr>
                <w:rFonts w:ascii="Calibri" w:eastAsia="新細明體" w:hAnsi="Calibri" w:cs="Segoe UI"/>
                <w:sz w:val="17"/>
                <w:szCs w:val="17"/>
                <w:lang w:eastAsia="zh-TW"/>
              </w:rPr>
              <w:t>在交收日期</w:t>
            </w:r>
            <w:proofErr w:type="gramEnd"/>
            <w:r w:rsidRPr="00EB1E72">
              <w:rPr>
                <w:rFonts w:ascii="Calibri" w:eastAsia="新細明體" w:hAnsi="Calibri" w:cs="Segoe UI"/>
                <w:sz w:val="17"/>
                <w:szCs w:val="17"/>
                <w:lang w:eastAsia="zh-TW"/>
              </w:rPr>
              <w:t>後的</w:t>
            </w:r>
            <w:proofErr w:type="gramStart"/>
            <w:r w:rsidRPr="00EB1E72">
              <w:rPr>
                <w:rFonts w:ascii="Calibri" w:eastAsia="新細明體" w:hAnsi="Calibri" w:cs="Segoe UI"/>
                <w:sz w:val="17"/>
                <w:szCs w:val="17"/>
                <w:lang w:eastAsia="zh-TW"/>
              </w:rPr>
              <w:t>尚未交收的</w:t>
            </w:r>
            <w:proofErr w:type="gramEnd"/>
            <w:r w:rsidRPr="00EB1E72">
              <w:rPr>
                <w:rFonts w:ascii="Calibri" w:eastAsia="新細明體" w:hAnsi="Calibri" w:cs="Segoe UI"/>
                <w:sz w:val="17"/>
                <w:szCs w:val="17"/>
                <w:lang w:eastAsia="zh-TW"/>
              </w:rPr>
              <w:t>證券交易、</w:t>
            </w:r>
            <w:r w:rsidR="003F6116" w:rsidRPr="00F31A5B">
              <w:rPr>
                <w:rFonts w:ascii="Calibri" w:eastAsia="新細明體" w:hAnsi="Calibri" w:cs="Segoe UI" w:hint="eastAsia"/>
                <w:sz w:val="17"/>
                <w:szCs w:val="17"/>
                <w:lang w:eastAsia="zh-TW"/>
              </w:rPr>
              <w:t>加密資產</w:t>
            </w:r>
            <w:r w:rsidR="00D840DB" w:rsidRPr="00FC4129">
              <w:rPr>
                <w:rFonts w:ascii="Calibri" w:eastAsia="新細明體" w:hAnsi="Calibri" w:cs="Segoe UI" w:hint="eastAsia"/>
                <w:sz w:val="17"/>
                <w:szCs w:val="17"/>
                <w:lang w:eastAsia="zh-TW"/>
              </w:rPr>
              <w:t>交易</w:t>
            </w:r>
            <w:r w:rsidR="003F6116" w:rsidRPr="00F31A5B">
              <w:rPr>
                <w:rFonts w:ascii="Calibri" w:eastAsia="新細明體" w:hAnsi="Calibri" w:cs="Segoe UI" w:hint="eastAsia"/>
                <w:sz w:val="17"/>
                <w:szCs w:val="17"/>
                <w:lang w:eastAsia="zh-TW"/>
              </w:rPr>
              <w:t>、</w:t>
            </w:r>
            <w:r w:rsidRPr="00EB1E72">
              <w:rPr>
                <w:rFonts w:ascii="Calibri" w:eastAsia="新細明體" w:hAnsi="Calibri" w:cs="Segoe UI"/>
                <w:sz w:val="17"/>
                <w:szCs w:val="17"/>
                <w:lang w:eastAsia="zh-TW"/>
              </w:rPr>
              <w:t>外匯交易及商品交易，按照《資本規則》指明配予該等風險承擔的風險權重計算。</w:t>
            </w:r>
          </w:p>
        </w:tc>
      </w:tr>
      <w:tr w:rsidR="00EB1E72" w:rsidRPr="00EB1E72" w14:paraId="33A7B3B5" w14:textId="77777777" w:rsidTr="00217BE5">
        <w:tc>
          <w:tcPr>
            <w:tcW w:w="567" w:type="dxa"/>
            <w:shd w:val="clear" w:color="auto" w:fill="auto"/>
          </w:tcPr>
          <w:p w14:paraId="31496A80"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CN"/>
              </w:rPr>
              <w:t>16</w:t>
            </w:r>
          </w:p>
        </w:tc>
        <w:tc>
          <w:tcPr>
            <w:tcW w:w="8649" w:type="dxa"/>
            <w:shd w:val="clear" w:color="auto" w:fill="auto"/>
          </w:tcPr>
          <w:p w14:paraId="68878FE2" w14:textId="2FDB4116" w:rsidR="00EB1E72" w:rsidRPr="00EB1E72" w:rsidRDefault="00EB1E72" w:rsidP="00EB1E72">
            <w:pPr>
              <w:keepNext/>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銀行帳內的證券化類別風險承擔</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17"/>
                <w:lang w:val="en-US" w:eastAsia="zh-TW"/>
              </w:rPr>
              <w:t>有關數額對應適用於銀行帳內的證券化風險承擔的資本規定（本文件第</w:t>
            </w:r>
            <w:r w:rsidRPr="00EB1E72">
              <w:rPr>
                <w:rFonts w:ascii="Calibri" w:eastAsia="細明體" w:hAnsi="Calibri" w:cs="Segoe UI"/>
                <w:kern w:val="2"/>
                <w:sz w:val="17"/>
                <w:szCs w:val="17"/>
                <w:lang w:val="en-US" w:eastAsia="zh-TW"/>
              </w:rPr>
              <w:t>V</w:t>
            </w:r>
            <w:r w:rsidRPr="00EB1E72">
              <w:rPr>
                <w:rFonts w:ascii="Calibri" w:eastAsia="細明體" w:hAnsi="Calibri" w:cs="Segoe UI"/>
                <w:kern w:val="2"/>
                <w:sz w:val="17"/>
                <w:szCs w:val="17"/>
                <w:lang w:val="en-US" w:eastAsia="zh-TW"/>
              </w:rPr>
              <w:t>部）。風險加權數額應從有關資本規定得出（</w:t>
            </w:r>
            <w:r w:rsidRPr="00EB1E72">
              <w:rPr>
                <w:rFonts w:ascii="Calibri" w:eastAsia="新細明體" w:hAnsi="Calibri" w:cs="Segoe UI"/>
                <w:sz w:val="17"/>
                <w:szCs w:val="17"/>
                <w:lang w:eastAsia="zh-TW"/>
              </w:rPr>
              <w:t>包括《資本規則》指明的上限的影響</w:t>
            </w:r>
            <w:r w:rsidRPr="00EB1E72">
              <w:rPr>
                <w:rFonts w:ascii="Calibri" w:eastAsia="細明體" w:hAnsi="Calibri" w:cs="Segoe UI"/>
                <w:kern w:val="2"/>
                <w:sz w:val="17"/>
                <w:szCs w:val="17"/>
                <w:lang w:val="en-US" w:eastAsia="zh-TW"/>
              </w:rPr>
              <w:t>），這表示風險加權數額不一定有系統地</w:t>
            </w:r>
            <w:r w:rsidRPr="00EB1E72">
              <w:rPr>
                <w:rFonts w:ascii="Calibri" w:eastAsia="細明體" w:hAnsi="Calibri" w:cs="Segoe UI"/>
                <w:kern w:val="2"/>
                <w:sz w:val="17"/>
                <w:szCs w:val="22"/>
                <w:lang w:val="en-US" w:eastAsia="zh-TW"/>
              </w:rPr>
              <w:t>與</w:t>
            </w:r>
            <w:r w:rsidRPr="00EB1E72">
              <w:rPr>
                <w:rFonts w:ascii="Calibri" w:eastAsia="細明體" w:hAnsi="Calibri" w:cs="Segoe UI"/>
                <w:kern w:val="2"/>
                <w:sz w:val="17"/>
                <w:szCs w:val="17"/>
                <w:lang w:val="en-US" w:eastAsia="zh-TW"/>
              </w:rPr>
              <w:t>在模版</w:t>
            </w:r>
            <w:r w:rsidRPr="00EB1E72">
              <w:rPr>
                <w:rFonts w:ascii="Calibri" w:eastAsia="細明體" w:hAnsi="Calibri" w:cs="Segoe UI"/>
                <w:kern w:val="2"/>
                <w:sz w:val="17"/>
                <w:szCs w:val="17"/>
                <w:lang w:val="en-US" w:eastAsia="zh-TW"/>
              </w:rPr>
              <w:t>SEC3</w:t>
            </w:r>
            <w:r w:rsidRPr="00EB1E72">
              <w:rPr>
                <w:rFonts w:ascii="Calibri" w:eastAsia="細明體" w:hAnsi="Calibri" w:cs="Segoe UI"/>
                <w:kern w:val="2"/>
                <w:sz w:val="17"/>
                <w:szCs w:val="17"/>
                <w:lang w:val="en-US" w:eastAsia="zh-TW"/>
              </w:rPr>
              <w:t>及</w:t>
            </w:r>
            <w:r w:rsidRPr="00EB1E72">
              <w:rPr>
                <w:rFonts w:ascii="Calibri" w:eastAsia="細明體" w:hAnsi="Calibri" w:cs="Segoe UI"/>
                <w:kern w:val="2"/>
                <w:sz w:val="17"/>
                <w:szCs w:val="17"/>
                <w:lang w:val="en-US" w:eastAsia="zh-TW"/>
              </w:rPr>
              <w:t>SEC4</w:t>
            </w:r>
            <w:r w:rsidRPr="00EB1E72">
              <w:rPr>
                <w:rFonts w:ascii="Calibri" w:eastAsia="細明體" w:hAnsi="Calibri" w:cs="Segoe UI"/>
                <w:kern w:val="2"/>
                <w:sz w:val="17"/>
                <w:szCs w:val="17"/>
                <w:lang w:val="en-US" w:eastAsia="zh-TW"/>
              </w:rPr>
              <w:t>所填報的風險加權數額</w:t>
            </w:r>
            <w:r w:rsidRPr="00EB1E72">
              <w:rPr>
                <w:rFonts w:ascii="Calibri" w:eastAsia="細明體" w:hAnsi="Calibri" w:cs="Segoe UI"/>
                <w:kern w:val="2"/>
                <w:sz w:val="17"/>
                <w:szCs w:val="22"/>
                <w:lang w:val="en-US" w:eastAsia="zh-TW"/>
              </w:rPr>
              <w:t>相對應</w:t>
            </w:r>
            <w:r w:rsidRPr="00EB1E72">
              <w:rPr>
                <w:rFonts w:ascii="Calibri" w:eastAsia="細明體" w:hAnsi="Calibri" w:cs="Segoe UI"/>
                <w:kern w:val="2"/>
                <w:sz w:val="17"/>
                <w:szCs w:val="17"/>
                <w:lang w:val="en-US" w:eastAsia="zh-TW"/>
              </w:rPr>
              <w:t>（因該等風險加權數額並未加設上限）。</w:t>
            </w:r>
          </w:p>
        </w:tc>
      </w:tr>
      <w:tr w:rsidR="00EB1E72" w:rsidRPr="00EB1E72" w14:paraId="08838209" w14:textId="77777777" w:rsidTr="00217BE5">
        <w:tc>
          <w:tcPr>
            <w:tcW w:w="567" w:type="dxa"/>
            <w:shd w:val="clear" w:color="auto" w:fill="auto"/>
          </w:tcPr>
          <w:p w14:paraId="43A60217"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17</w:t>
            </w:r>
          </w:p>
        </w:tc>
        <w:tc>
          <w:tcPr>
            <w:tcW w:w="8649" w:type="dxa"/>
            <w:shd w:val="clear" w:color="auto" w:fill="auto"/>
          </w:tcPr>
          <w:p w14:paraId="52AB164E" w14:textId="77777777" w:rsidR="00EB1E72" w:rsidRPr="00EB1E72" w:rsidRDefault="00EB1E72" w:rsidP="00EB1E72">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val="en-US"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SEC-IRBA</w:t>
            </w:r>
            <w:r w:rsidRPr="00EB1E72">
              <w:rPr>
                <w:rFonts w:ascii="Calibri" w:eastAsia="新細明體" w:hAnsi="Calibri" w:cs="Segoe UI"/>
                <w:sz w:val="17"/>
                <w:szCs w:val="17"/>
                <w:lang w:eastAsia="zh-TW"/>
              </w:rPr>
              <w:t>：根據《資本規則》使用</w:t>
            </w:r>
            <w:r w:rsidRPr="00EB1E72">
              <w:rPr>
                <w:rFonts w:ascii="Calibri" w:eastAsia="新細明體" w:hAnsi="Calibri" w:cs="Segoe UI"/>
                <w:sz w:val="17"/>
                <w:szCs w:val="17"/>
                <w:lang w:eastAsia="zh-TW"/>
              </w:rPr>
              <w:t>SEC-IRBA</w:t>
            </w:r>
            <w:r w:rsidRPr="00EB1E72">
              <w:rPr>
                <w:rFonts w:ascii="Calibri" w:eastAsia="新細明體" w:hAnsi="Calibri" w:cs="Segoe UI"/>
                <w:sz w:val="17"/>
                <w:szCs w:val="17"/>
                <w:lang w:eastAsia="zh-TW"/>
              </w:rPr>
              <w:t>計算的</w:t>
            </w:r>
            <w:r w:rsidRPr="00EB1E72">
              <w:rPr>
                <w:rFonts w:ascii="Calibri" w:eastAsia="細明體" w:hAnsi="Calibri" w:cs="Segoe UI"/>
                <w:kern w:val="2"/>
                <w:sz w:val="17"/>
                <w:szCs w:val="17"/>
                <w:lang w:val="en-US" w:eastAsia="zh-TW"/>
              </w:rPr>
              <w:t>風險加權數額</w:t>
            </w:r>
            <w:r w:rsidRPr="00EB1E72">
              <w:rPr>
                <w:rFonts w:ascii="Calibri" w:eastAsia="新細明體" w:hAnsi="Calibri" w:cs="Segoe UI"/>
                <w:sz w:val="17"/>
                <w:szCs w:val="17"/>
                <w:lang w:eastAsia="zh-TW"/>
              </w:rPr>
              <w:t>及資本規定。</w:t>
            </w:r>
          </w:p>
        </w:tc>
      </w:tr>
      <w:tr w:rsidR="00EB1E72" w:rsidRPr="00EB1E72" w14:paraId="0DC75BDB" w14:textId="77777777" w:rsidTr="00217BE5">
        <w:tc>
          <w:tcPr>
            <w:tcW w:w="567" w:type="dxa"/>
            <w:shd w:val="clear" w:color="auto" w:fill="auto"/>
          </w:tcPr>
          <w:p w14:paraId="382042A0"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18</w:t>
            </w:r>
          </w:p>
        </w:tc>
        <w:tc>
          <w:tcPr>
            <w:tcW w:w="8649" w:type="dxa"/>
            <w:shd w:val="clear" w:color="auto" w:fill="auto"/>
          </w:tcPr>
          <w:p w14:paraId="48A8C62C" w14:textId="77777777" w:rsidR="00EB1E72" w:rsidRPr="00EB1E72" w:rsidRDefault="00EB1E72" w:rsidP="00EB1E72">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SEC-ERBA</w:t>
            </w:r>
            <w:r w:rsidRPr="00EB1E72">
              <w:rPr>
                <w:rFonts w:ascii="Calibri" w:eastAsia="新細明體" w:hAnsi="Calibri" w:cs="Segoe UI"/>
                <w:i/>
                <w:sz w:val="17"/>
                <w:szCs w:val="17"/>
                <w:lang w:eastAsia="zh-TW"/>
              </w:rPr>
              <w:t>（</w:t>
            </w:r>
            <w:r w:rsidRPr="00EB1E72">
              <w:rPr>
                <w:rFonts w:ascii="Calibri" w:eastAsia="新細明體" w:hAnsi="Calibri" w:cs="Segoe UI" w:hint="eastAsia"/>
                <w:i/>
                <w:sz w:val="17"/>
                <w:szCs w:val="17"/>
                <w:lang w:eastAsia="zh-TW"/>
              </w:rPr>
              <w:t>包括</w:t>
            </w:r>
            <w:r w:rsidRPr="00EB1E72">
              <w:rPr>
                <w:rFonts w:ascii="Calibri" w:eastAsia="新細明體" w:hAnsi="Calibri" w:cs="Segoe UI" w:hint="eastAsia"/>
                <w:i/>
                <w:sz w:val="17"/>
                <w:szCs w:val="17"/>
                <w:lang w:eastAsia="zh-TW"/>
              </w:rPr>
              <w:t>IAA</w:t>
            </w:r>
            <w:r w:rsidRPr="00EB1E72">
              <w:rPr>
                <w:rFonts w:ascii="Calibri" w:eastAsia="新細明體" w:hAnsi="Calibri" w:cs="Segoe UI"/>
                <w:i/>
                <w:sz w:val="17"/>
                <w:szCs w:val="17"/>
                <w:lang w:eastAsia="zh-TW"/>
              </w:rPr>
              <w:t>）</w:t>
            </w:r>
            <w:r w:rsidRPr="00EB1E72">
              <w:rPr>
                <w:rFonts w:ascii="Calibri" w:eastAsia="新細明體" w:hAnsi="Calibri" w:cs="Segoe UI"/>
                <w:sz w:val="17"/>
                <w:szCs w:val="17"/>
                <w:lang w:eastAsia="zh-TW"/>
              </w:rPr>
              <w:t>：根據《資本規則》使用</w:t>
            </w:r>
            <w:r w:rsidRPr="00EB1E72">
              <w:rPr>
                <w:rFonts w:ascii="Calibri" w:eastAsia="新細明體" w:hAnsi="Calibri" w:cs="Segoe UI"/>
                <w:sz w:val="17"/>
                <w:szCs w:val="17"/>
                <w:lang w:eastAsia="zh-TW"/>
              </w:rPr>
              <w:t>SEC-ERBA</w:t>
            </w:r>
            <w:r w:rsidRPr="00EB1E72">
              <w:rPr>
                <w:rFonts w:ascii="Calibri" w:eastAsia="新細明體" w:hAnsi="Calibri" w:cs="Segoe UI"/>
                <w:sz w:val="17"/>
                <w:szCs w:val="17"/>
                <w:lang w:eastAsia="zh-TW"/>
              </w:rPr>
              <w:t>計算的風險加權數額及資本規定</w:t>
            </w:r>
            <w:r w:rsidRPr="00EB1E72">
              <w:rPr>
                <w:rFonts w:ascii="Calibri" w:eastAsia="新細明體" w:hAnsi="Calibri" w:cs="Segoe UI" w:hint="eastAsia"/>
                <w:sz w:val="17"/>
                <w:szCs w:val="17"/>
                <w:lang w:eastAsia="zh-TW"/>
              </w:rPr>
              <w:t>（包括該等認可機構使用</w:t>
            </w:r>
            <w:r w:rsidRPr="00EB1E72">
              <w:rPr>
                <w:rFonts w:ascii="Calibri" w:eastAsia="新細明體" w:hAnsi="Calibri" w:cs="Segoe UI" w:hint="eastAsia"/>
                <w:sz w:val="17"/>
                <w:szCs w:val="17"/>
                <w:lang w:eastAsia="zh-TW"/>
              </w:rPr>
              <w:t>IAA</w:t>
            </w:r>
            <w:r w:rsidRPr="00EB1E72">
              <w:rPr>
                <w:rFonts w:ascii="Calibri" w:eastAsia="新細明體" w:hAnsi="Calibri" w:cs="Segoe UI" w:hint="eastAsia"/>
                <w:sz w:val="17"/>
                <w:szCs w:val="17"/>
                <w:lang w:eastAsia="zh-TW"/>
              </w:rPr>
              <w:t>斷定風險權重的風險承擔）</w:t>
            </w:r>
            <w:r w:rsidRPr="00EB1E72">
              <w:rPr>
                <w:rFonts w:ascii="Calibri" w:eastAsia="新細明體" w:hAnsi="Calibri" w:cs="Segoe UI"/>
                <w:sz w:val="17"/>
                <w:szCs w:val="17"/>
                <w:lang w:eastAsia="zh-TW"/>
              </w:rPr>
              <w:t>。</w:t>
            </w:r>
          </w:p>
        </w:tc>
      </w:tr>
      <w:tr w:rsidR="00EB1E72" w:rsidRPr="00EB1E72" w14:paraId="0E0B57FA" w14:textId="77777777" w:rsidTr="00217BE5">
        <w:tc>
          <w:tcPr>
            <w:tcW w:w="567" w:type="dxa"/>
            <w:shd w:val="clear" w:color="auto" w:fill="auto"/>
          </w:tcPr>
          <w:p w14:paraId="341B9A2E"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19</w:t>
            </w:r>
          </w:p>
        </w:tc>
        <w:tc>
          <w:tcPr>
            <w:tcW w:w="8649" w:type="dxa"/>
            <w:shd w:val="clear" w:color="auto" w:fill="auto"/>
          </w:tcPr>
          <w:p w14:paraId="21F6A457" w14:textId="77777777" w:rsidR="00EB1E72" w:rsidRPr="00EB1E72" w:rsidRDefault="00EB1E72" w:rsidP="00EB1E72">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SEC-SA</w:t>
            </w:r>
            <w:r w:rsidRPr="00EB1E72">
              <w:rPr>
                <w:rFonts w:ascii="Calibri" w:eastAsia="新細明體" w:hAnsi="Calibri" w:cs="Segoe UI"/>
                <w:sz w:val="17"/>
                <w:szCs w:val="17"/>
                <w:lang w:eastAsia="zh-TW"/>
              </w:rPr>
              <w:t>：根據《資本規則》使用</w:t>
            </w:r>
            <w:r w:rsidRPr="00EB1E72">
              <w:rPr>
                <w:rFonts w:ascii="Calibri" w:eastAsia="新細明體" w:hAnsi="Calibri" w:cs="Segoe UI"/>
                <w:sz w:val="17"/>
                <w:szCs w:val="17"/>
                <w:lang w:eastAsia="zh-TW"/>
              </w:rPr>
              <w:t>SEC-SA</w:t>
            </w:r>
            <w:r w:rsidRPr="00EB1E72">
              <w:rPr>
                <w:rFonts w:ascii="Calibri" w:eastAsia="新細明體" w:hAnsi="Calibri" w:cs="Segoe UI"/>
                <w:sz w:val="17"/>
                <w:szCs w:val="17"/>
                <w:lang w:eastAsia="zh-TW"/>
              </w:rPr>
              <w:t>計算的風險加權數額及資本規定。</w:t>
            </w:r>
          </w:p>
        </w:tc>
      </w:tr>
      <w:tr w:rsidR="00EB1E72" w:rsidRPr="00EB1E72" w14:paraId="737A0BA9" w14:textId="77777777" w:rsidTr="00217BE5">
        <w:tc>
          <w:tcPr>
            <w:tcW w:w="567" w:type="dxa"/>
            <w:shd w:val="clear" w:color="auto" w:fill="auto"/>
          </w:tcPr>
          <w:p w14:paraId="643AD867"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19a</w:t>
            </w:r>
          </w:p>
        </w:tc>
        <w:tc>
          <w:tcPr>
            <w:tcW w:w="8649" w:type="dxa"/>
            <w:shd w:val="clear" w:color="auto" w:fill="auto"/>
          </w:tcPr>
          <w:p w14:paraId="408CC54E"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其中</w:t>
            </w:r>
            <w:r w:rsidRPr="00EB1E72">
              <w:rPr>
                <w:rFonts w:ascii="Calibri" w:eastAsia="新細明體" w:hAnsi="Calibri" w:cs="Segoe UI"/>
                <w:i/>
                <w:sz w:val="17"/>
                <w:szCs w:val="17"/>
                <w:lang w:eastAsia="zh-TW"/>
              </w:rPr>
              <w:t>SEC-FBA</w:t>
            </w:r>
            <w:r w:rsidRPr="00EB1E72">
              <w:rPr>
                <w:rFonts w:ascii="Calibri" w:eastAsia="新細明體" w:hAnsi="Calibri" w:cs="Segoe UI"/>
                <w:sz w:val="17"/>
                <w:szCs w:val="17"/>
                <w:lang w:eastAsia="zh-TW"/>
              </w:rPr>
              <w:t>：根據《資本規則》使用</w:t>
            </w:r>
            <w:r w:rsidRPr="00EB1E72">
              <w:rPr>
                <w:rFonts w:ascii="Calibri" w:eastAsia="新細明體" w:hAnsi="Calibri" w:cs="Segoe UI"/>
                <w:sz w:val="17"/>
                <w:szCs w:val="17"/>
                <w:lang w:eastAsia="zh-TW"/>
              </w:rPr>
              <w:t>SEC-FBA</w:t>
            </w:r>
            <w:r w:rsidRPr="00EB1E72">
              <w:rPr>
                <w:rFonts w:ascii="Calibri" w:eastAsia="新細明體" w:hAnsi="Calibri" w:cs="Segoe UI"/>
                <w:sz w:val="17"/>
                <w:szCs w:val="17"/>
                <w:lang w:eastAsia="zh-TW"/>
              </w:rPr>
              <w:t>計算的風險加權數額及資本規定。</w:t>
            </w:r>
          </w:p>
        </w:tc>
      </w:tr>
      <w:tr w:rsidR="00EB1E72" w:rsidRPr="00EB1E72" w14:paraId="542FF160" w14:textId="77777777" w:rsidTr="00217BE5">
        <w:tc>
          <w:tcPr>
            <w:tcW w:w="567" w:type="dxa"/>
            <w:shd w:val="clear" w:color="auto" w:fill="auto"/>
          </w:tcPr>
          <w:p w14:paraId="2C1E59CB"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20</w:t>
            </w:r>
          </w:p>
        </w:tc>
        <w:tc>
          <w:tcPr>
            <w:tcW w:w="8649" w:type="dxa"/>
            <w:shd w:val="clear" w:color="auto" w:fill="auto"/>
          </w:tcPr>
          <w:p w14:paraId="23677CEA" w14:textId="11D5F34C" w:rsidR="00EB1E72" w:rsidRPr="00F31A5B" w:rsidRDefault="00EB1E72" w:rsidP="00337141">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C32CFA">
              <w:rPr>
                <w:rFonts w:ascii="Calibri" w:eastAsia="新細明體" w:hAnsi="Calibri" w:cs="Segoe UI"/>
                <w:i/>
                <w:sz w:val="17"/>
                <w:szCs w:val="17"/>
                <w:lang w:eastAsia="zh-TW"/>
              </w:rPr>
              <w:t>市場風險</w:t>
            </w:r>
            <w:r w:rsidRPr="00734EB3">
              <w:rPr>
                <w:rFonts w:ascii="Calibri" w:eastAsia="新細明體" w:hAnsi="Calibri" w:cs="Segoe UI"/>
                <w:sz w:val="17"/>
                <w:szCs w:val="17"/>
                <w:lang w:eastAsia="zh-TW"/>
              </w:rPr>
              <w:t>：與市場風險框架中的風險加權數額及資本規定對應的數額</w:t>
            </w:r>
            <w:r w:rsidRPr="00F31A5B">
              <w:rPr>
                <w:rFonts w:ascii="Calibri" w:eastAsia="新細明體" w:hAnsi="Calibri" w:cs="Segoe UI"/>
                <w:sz w:val="17"/>
                <w:szCs w:val="17"/>
                <w:lang w:eastAsia="zh-TW"/>
              </w:rPr>
              <w:t>（</w:t>
            </w:r>
            <w:r w:rsidRPr="00734EB3">
              <w:rPr>
                <w:rFonts w:ascii="Calibri" w:eastAsia="新細明體" w:hAnsi="Calibri" w:cs="Segoe UI"/>
                <w:sz w:val="17"/>
                <w:szCs w:val="17"/>
                <w:lang w:eastAsia="zh-TW"/>
              </w:rPr>
              <w:t>本文件第</w:t>
            </w:r>
            <w:r w:rsidRPr="00734EB3">
              <w:rPr>
                <w:rFonts w:ascii="Calibri" w:eastAsia="新細明體" w:hAnsi="Calibri" w:cs="Segoe UI"/>
                <w:sz w:val="17"/>
                <w:szCs w:val="17"/>
                <w:lang w:eastAsia="zh-TW"/>
              </w:rPr>
              <w:t>VI</w:t>
            </w:r>
            <w:r w:rsidRPr="00734EB3">
              <w:rPr>
                <w:rFonts w:ascii="Calibri" w:eastAsia="新細明體" w:hAnsi="Calibri" w:cs="Segoe UI"/>
                <w:sz w:val="17"/>
                <w:szCs w:val="17"/>
                <w:lang w:eastAsia="zh-TW"/>
              </w:rPr>
              <w:t>部</w:t>
            </w:r>
            <w:r w:rsidR="003F6116" w:rsidRPr="00F31A5B">
              <w:rPr>
                <w:rFonts w:ascii="Calibri" w:eastAsia="新細明體" w:hAnsi="Calibri" w:cs="Segoe UI" w:hint="eastAsia"/>
                <w:sz w:val="17"/>
                <w:szCs w:val="17"/>
                <w:lang w:eastAsia="zh-TW"/>
              </w:rPr>
              <w:t>和第</w:t>
            </w:r>
            <w:r w:rsidR="003F6116" w:rsidRPr="00F31A5B">
              <w:rPr>
                <w:rFonts w:ascii="Calibri" w:eastAsia="新細明體" w:hAnsi="Calibri" w:cs="Segoe UI" w:hint="eastAsia"/>
                <w:sz w:val="17"/>
                <w:szCs w:val="17"/>
                <w:lang w:eastAsia="zh-TW"/>
              </w:rPr>
              <w:t>XII</w:t>
            </w:r>
            <w:r w:rsidR="003F6116" w:rsidRPr="00F31A5B">
              <w:rPr>
                <w:rFonts w:ascii="Calibri" w:eastAsia="新細明體" w:hAnsi="Calibri" w:cs="Segoe UI" w:hint="eastAsia"/>
                <w:sz w:val="17"/>
                <w:szCs w:val="17"/>
                <w:lang w:eastAsia="zh-TW"/>
              </w:rPr>
              <w:t>部</w:t>
            </w:r>
            <w:r w:rsidRPr="00F31A5B">
              <w:rPr>
                <w:rFonts w:ascii="Calibri" w:eastAsia="新細明體" w:hAnsi="Calibri" w:cs="Segoe UI"/>
                <w:sz w:val="17"/>
                <w:szCs w:val="17"/>
                <w:lang w:eastAsia="zh-TW"/>
              </w:rPr>
              <w:t>）</w:t>
            </w:r>
            <w:r w:rsidRPr="00734EB3">
              <w:rPr>
                <w:rFonts w:ascii="Calibri" w:eastAsia="新細明體" w:hAnsi="Calibri" w:cs="Segoe UI"/>
                <w:sz w:val="17"/>
                <w:szCs w:val="17"/>
                <w:lang w:eastAsia="zh-TW"/>
              </w:rPr>
              <w:t>，其中亦包括</w:t>
            </w:r>
            <w:r w:rsidRPr="00F31A5B">
              <w:rPr>
                <w:rFonts w:ascii="Calibri" w:eastAsia="新細明體" w:hAnsi="Calibri" w:cs="Segoe UI"/>
                <w:sz w:val="17"/>
                <w:szCs w:val="17"/>
                <w:lang w:eastAsia="zh-TW"/>
              </w:rPr>
              <w:t>記入</w:t>
            </w:r>
            <w:r w:rsidRPr="00734EB3">
              <w:rPr>
                <w:rFonts w:ascii="Calibri" w:eastAsia="新細明體" w:hAnsi="Calibri" w:cs="Segoe UI"/>
                <w:sz w:val="17"/>
                <w:szCs w:val="17"/>
                <w:lang w:eastAsia="zh-TW"/>
              </w:rPr>
              <w:t>交易帳的證券化類別風險承擔的資本要求</w:t>
            </w:r>
            <w:r w:rsidR="00F2749F" w:rsidRPr="00F31A5B">
              <w:rPr>
                <w:rFonts w:ascii="Calibri" w:eastAsia="新細明體" w:hAnsi="Calibri" w:cs="Segoe UI" w:hint="eastAsia"/>
                <w:sz w:val="17"/>
                <w:szCs w:val="17"/>
                <w:lang w:eastAsia="zh-TW"/>
              </w:rPr>
              <w:t>和</w:t>
            </w:r>
            <w:r w:rsidR="001410F5">
              <w:rPr>
                <w:rFonts w:ascii="Calibri" w:eastAsia="新細明體" w:hAnsi="Calibri" w:cs="Segoe UI" w:hint="eastAsia"/>
                <w:sz w:val="17"/>
                <w:szCs w:val="17"/>
                <w:lang w:eastAsia="zh-HK"/>
              </w:rPr>
              <w:t>有關</w:t>
            </w:r>
            <w:r w:rsidR="00337141" w:rsidRPr="00F31A5B">
              <w:rPr>
                <w:rFonts w:ascii="Calibri" w:eastAsia="新細明體" w:hAnsi="Calibri" w:cs="Segoe UI" w:hint="eastAsia"/>
                <w:sz w:val="17"/>
                <w:szCs w:val="17"/>
                <w:lang w:eastAsia="zh-TW"/>
              </w:rPr>
              <w:t>編配予</w:t>
            </w:r>
            <w:r w:rsidR="00F2749F" w:rsidRPr="00F31A5B">
              <w:rPr>
                <w:rFonts w:ascii="Calibri" w:eastAsia="新細明體" w:hAnsi="Calibri" w:cs="Segoe UI" w:hint="eastAsia"/>
                <w:sz w:val="17"/>
                <w:szCs w:val="17"/>
                <w:lang w:eastAsia="zh-TW"/>
              </w:rPr>
              <w:t>交易帳的第</w:t>
            </w:r>
            <w:r w:rsidR="00F2749F" w:rsidRPr="00F31A5B">
              <w:rPr>
                <w:rFonts w:ascii="Calibri" w:eastAsia="新細明體" w:hAnsi="Calibri" w:cs="Segoe UI"/>
                <w:sz w:val="17"/>
                <w:szCs w:val="17"/>
                <w:lang w:eastAsia="zh-TW"/>
              </w:rPr>
              <w:t>1</w:t>
            </w:r>
            <w:r w:rsidR="00F2749F" w:rsidRPr="00F31A5B">
              <w:rPr>
                <w:rFonts w:ascii="Calibri" w:eastAsia="新細明體" w:hAnsi="Calibri" w:cs="Segoe UI" w:hint="eastAsia"/>
                <w:sz w:val="17"/>
                <w:szCs w:val="17"/>
                <w:lang w:eastAsia="zh-TW"/>
              </w:rPr>
              <w:t>組加密資產風險承擔的基建風險附加額</w:t>
            </w:r>
            <w:r w:rsidRPr="00734EB3">
              <w:rPr>
                <w:rFonts w:ascii="Calibri" w:eastAsia="新細明體" w:hAnsi="Calibri" w:cs="Segoe UI"/>
                <w:sz w:val="17"/>
                <w:szCs w:val="17"/>
                <w:lang w:eastAsia="zh-TW"/>
              </w:rPr>
              <w:t>，但不包括與受涵蓋</w:t>
            </w:r>
            <w:proofErr w:type="gramStart"/>
            <w:r w:rsidRPr="00734EB3">
              <w:rPr>
                <w:rFonts w:ascii="Calibri" w:eastAsia="新細明體" w:hAnsi="Calibri" w:cs="Segoe UI"/>
                <w:sz w:val="17"/>
                <w:szCs w:val="17"/>
                <w:lang w:eastAsia="zh-TW"/>
              </w:rPr>
              <w:t>持倉相</w:t>
            </w:r>
            <w:proofErr w:type="gramEnd"/>
            <w:r w:rsidRPr="00734EB3">
              <w:rPr>
                <w:rFonts w:ascii="Calibri" w:eastAsia="新細明體" w:hAnsi="Calibri" w:cs="Segoe UI"/>
                <w:sz w:val="17"/>
                <w:szCs w:val="17"/>
                <w:lang w:eastAsia="zh-TW"/>
              </w:rPr>
              <w:t>聯的</w:t>
            </w:r>
            <w:r w:rsidRPr="00966C90">
              <w:rPr>
                <w:rFonts w:ascii="Calibri" w:eastAsia="新細明體" w:hAnsi="Calibri" w:cs="Segoe UI" w:hint="eastAsia"/>
                <w:sz w:val="17"/>
                <w:szCs w:val="17"/>
                <w:lang w:eastAsia="zh-TW"/>
              </w:rPr>
              <w:t>對手方</w:t>
            </w:r>
            <w:r w:rsidRPr="00F31A5B">
              <w:rPr>
                <w:rFonts w:ascii="Calibri" w:eastAsia="新細明體" w:hAnsi="Calibri" w:cs="Segoe UI" w:hint="eastAsia"/>
                <w:sz w:val="17"/>
                <w:szCs w:val="17"/>
                <w:lang w:eastAsia="zh-TW"/>
              </w:rPr>
              <w:t>信用</w:t>
            </w:r>
            <w:r w:rsidRPr="00966C90">
              <w:rPr>
                <w:rFonts w:ascii="Calibri" w:eastAsia="新細明體" w:hAnsi="Calibri" w:cs="Segoe UI" w:hint="eastAsia"/>
                <w:sz w:val="17"/>
                <w:szCs w:val="17"/>
                <w:lang w:eastAsia="zh-TW"/>
              </w:rPr>
              <w:t>風險</w:t>
            </w:r>
            <w:r w:rsidRPr="00734EB3">
              <w:rPr>
                <w:rFonts w:ascii="Calibri" w:eastAsia="新細明體" w:hAnsi="Calibri" w:cs="Segoe UI"/>
                <w:sz w:val="17"/>
                <w:szCs w:val="17"/>
                <w:lang w:eastAsia="zh-TW"/>
              </w:rPr>
              <w:t>、</w:t>
            </w:r>
            <w:proofErr w:type="gramStart"/>
            <w:r w:rsidRPr="00734EB3">
              <w:rPr>
                <w:rFonts w:ascii="Calibri" w:eastAsia="新細明體" w:hAnsi="Calibri" w:cs="Segoe UI"/>
                <w:sz w:val="17"/>
                <w:szCs w:val="17"/>
                <w:lang w:eastAsia="zh-TW"/>
              </w:rPr>
              <w:t>違責基金</w:t>
            </w:r>
            <w:proofErr w:type="gramEnd"/>
            <w:r w:rsidRPr="00734EB3">
              <w:rPr>
                <w:rFonts w:ascii="Calibri" w:eastAsia="新細明體" w:hAnsi="Calibri" w:cs="Segoe UI"/>
                <w:sz w:val="17"/>
                <w:szCs w:val="17"/>
                <w:lang w:eastAsia="zh-TW"/>
              </w:rPr>
              <w:t>承擔及</w:t>
            </w:r>
            <w:r w:rsidRPr="00734EB3">
              <w:rPr>
                <w:rFonts w:ascii="Calibri" w:eastAsia="新細明體" w:hAnsi="Calibri" w:cs="Segoe UI"/>
                <w:sz w:val="17"/>
                <w:szCs w:val="17"/>
                <w:lang w:eastAsia="zh-TW"/>
              </w:rPr>
              <w:t>CVA</w:t>
            </w:r>
            <w:r w:rsidRPr="00734EB3">
              <w:rPr>
                <w:rFonts w:ascii="Calibri" w:eastAsia="新細明體" w:hAnsi="Calibri" w:cs="Segoe UI"/>
                <w:sz w:val="17"/>
                <w:szCs w:val="17"/>
                <w:lang w:eastAsia="zh-TW"/>
              </w:rPr>
              <w:t>風險的資本要求</w:t>
            </w:r>
            <w:r w:rsidRPr="00F31A5B">
              <w:rPr>
                <w:rFonts w:ascii="Calibri" w:eastAsia="新細明體" w:hAnsi="Calibri" w:cs="Segoe UI"/>
                <w:sz w:val="17"/>
                <w:szCs w:val="17"/>
                <w:lang w:eastAsia="zh-TW"/>
              </w:rPr>
              <w:t>（</w:t>
            </w:r>
            <w:r w:rsidRPr="00734EB3">
              <w:rPr>
                <w:rFonts w:ascii="Calibri" w:eastAsia="新細明體" w:hAnsi="Calibri" w:cs="Segoe UI"/>
                <w:sz w:val="17"/>
                <w:szCs w:val="17"/>
                <w:lang w:eastAsia="zh-TW"/>
              </w:rPr>
              <w:t>於本文件第</w:t>
            </w:r>
            <w:r w:rsidRPr="00734EB3">
              <w:rPr>
                <w:rFonts w:ascii="Calibri" w:eastAsia="新細明體" w:hAnsi="Calibri" w:cs="Segoe UI"/>
                <w:sz w:val="17"/>
                <w:szCs w:val="17"/>
                <w:lang w:eastAsia="zh-TW"/>
              </w:rPr>
              <w:t>IV</w:t>
            </w:r>
            <w:r w:rsidR="00F27618">
              <w:rPr>
                <w:rFonts w:ascii="Calibri" w:eastAsia="新細明體" w:hAnsi="Calibri" w:cs="Segoe UI" w:hint="eastAsia"/>
                <w:sz w:val="17"/>
                <w:szCs w:val="17"/>
                <w:lang w:eastAsia="zh-TW"/>
              </w:rPr>
              <w:t>及</w:t>
            </w:r>
            <w:r w:rsidR="000E107B" w:rsidRPr="00734EB3">
              <w:rPr>
                <w:rFonts w:ascii="Calibri" w:eastAsia="新細明體" w:hAnsi="Calibri" w:cs="Segoe UI"/>
                <w:sz w:val="17"/>
                <w:szCs w:val="17"/>
                <w:lang w:eastAsia="zh-TW"/>
              </w:rPr>
              <w:t>第</w:t>
            </w:r>
            <w:r w:rsidR="00F27618">
              <w:rPr>
                <w:rFonts w:ascii="Calibri" w:eastAsia="新細明體" w:hAnsi="Calibri" w:cs="Segoe UI" w:hint="eastAsia"/>
                <w:sz w:val="17"/>
                <w:szCs w:val="17"/>
                <w:lang w:eastAsia="zh-TW"/>
              </w:rPr>
              <w:t>IV</w:t>
            </w:r>
            <w:r w:rsidRPr="00734EB3">
              <w:rPr>
                <w:rFonts w:ascii="Calibri" w:eastAsia="新細明體" w:hAnsi="Calibri" w:cs="Segoe UI"/>
                <w:sz w:val="17"/>
                <w:szCs w:val="17"/>
                <w:lang w:eastAsia="zh-TW"/>
              </w:rPr>
              <w:t>A</w:t>
            </w:r>
            <w:r w:rsidRPr="00734EB3">
              <w:rPr>
                <w:rFonts w:ascii="Calibri" w:eastAsia="新細明體" w:hAnsi="Calibri" w:cs="Segoe UI"/>
                <w:sz w:val="17"/>
                <w:szCs w:val="17"/>
                <w:lang w:eastAsia="zh-TW"/>
              </w:rPr>
              <w:t>部及本模版第</w:t>
            </w:r>
            <w:r w:rsidRPr="00734EB3">
              <w:rPr>
                <w:rFonts w:ascii="Calibri" w:eastAsia="新細明體" w:hAnsi="Calibri" w:cs="Segoe UI"/>
                <w:sz w:val="17"/>
                <w:szCs w:val="17"/>
                <w:lang w:eastAsia="zh-TW"/>
              </w:rPr>
              <w:t>6</w:t>
            </w:r>
            <w:r w:rsidRPr="00734EB3">
              <w:rPr>
                <w:rFonts w:ascii="Calibri" w:eastAsia="新細明體" w:hAnsi="Calibri" w:cs="Segoe UI"/>
                <w:sz w:val="17"/>
                <w:szCs w:val="17"/>
                <w:lang w:eastAsia="zh-TW"/>
              </w:rPr>
              <w:t>及</w:t>
            </w:r>
            <w:r w:rsidRPr="00734EB3">
              <w:rPr>
                <w:rFonts w:ascii="Calibri" w:eastAsia="新細明體" w:hAnsi="Calibri" w:cs="Segoe UI"/>
                <w:sz w:val="17"/>
                <w:szCs w:val="17"/>
                <w:lang w:eastAsia="zh-TW"/>
              </w:rPr>
              <w:t>10</w:t>
            </w:r>
            <w:r w:rsidRPr="00734EB3">
              <w:rPr>
                <w:rFonts w:ascii="Calibri" w:eastAsia="新細明體" w:hAnsi="Calibri" w:cs="Segoe UI"/>
                <w:sz w:val="17"/>
                <w:szCs w:val="17"/>
                <w:lang w:eastAsia="zh-TW"/>
              </w:rPr>
              <w:t>行填報</w:t>
            </w:r>
            <w:r w:rsidRPr="00F31A5B">
              <w:rPr>
                <w:rFonts w:ascii="Calibri" w:eastAsia="新細明體" w:hAnsi="Calibri" w:cs="Segoe UI"/>
                <w:sz w:val="17"/>
                <w:szCs w:val="17"/>
                <w:lang w:eastAsia="zh-TW"/>
              </w:rPr>
              <w:t>）</w:t>
            </w:r>
            <w:r w:rsidRPr="00734EB3">
              <w:rPr>
                <w:rFonts w:ascii="Calibri" w:eastAsia="新細明體" w:hAnsi="Calibri" w:cs="Segoe UI"/>
                <w:sz w:val="17"/>
                <w:szCs w:val="17"/>
                <w:lang w:eastAsia="zh-TW"/>
              </w:rPr>
              <w:t>。認可機構應以市場風險資本規定乘以</w:t>
            </w:r>
            <w:r w:rsidRPr="00734EB3">
              <w:rPr>
                <w:rFonts w:ascii="Calibri" w:eastAsia="新細明體" w:hAnsi="Calibri" w:cs="Segoe UI"/>
                <w:sz w:val="17"/>
                <w:szCs w:val="17"/>
                <w:lang w:eastAsia="zh-TW"/>
              </w:rPr>
              <w:t>12.5</w:t>
            </w:r>
            <w:r w:rsidRPr="00734EB3">
              <w:rPr>
                <w:rFonts w:ascii="Calibri" w:eastAsia="新細明體" w:hAnsi="Calibri" w:cs="Segoe UI"/>
                <w:sz w:val="17"/>
                <w:szCs w:val="17"/>
                <w:lang w:eastAsia="zh-TW"/>
              </w:rPr>
              <w:t>的方式得出市場</w:t>
            </w:r>
            <w:proofErr w:type="gramStart"/>
            <w:r w:rsidRPr="00734EB3">
              <w:rPr>
                <w:rFonts w:ascii="Calibri" w:eastAsia="新細明體" w:hAnsi="Calibri" w:cs="Segoe UI"/>
                <w:sz w:val="17"/>
                <w:szCs w:val="17"/>
                <w:lang w:eastAsia="zh-TW"/>
              </w:rPr>
              <w:t>風險風險</w:t>
            </w:r>
            <w:proofErr w:type="gramEnd"/>
            <w:r w:rsidRPr="00734EB3">
              <w:rPr>
                <w:rFonts w:ascii="Calibri" w:eastAsia="新細明體" w:hAnsi="Calibri" w:cs="Segoe UI"/>
                <w:sz w:val="17"/>
                <w:szCs w:val="17"/>
                <w:lang w:eastAsia="zh-TW"/>
              </w:rPr>
              <w:t>加權數額。</w:t>
            </w:r>
          </w:p>
        </w:tc>
      </w:tr>
      <w:tr w:rsidR="00EB1E72" w:rsidRPr="00EB1E72" w14:paraId="240EB70A" w14:textId="77777777" w:rsidTr="00217BE5">
        <w:tc>
          <w:tcPr>
            <w:tcW w:w="567" w:type="dxa"/>
            <w:shd w:val="clear" w:color="auto" w:fill="auto"/>
          </w:tcPr>
          <w:p w14:paraId="4E4BDDF2"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sz w:val="17"/>
                <w:szCs w:val="17"/>
                <w:lang w:eastAsia="zh-CN"/>
              </w:rPr>
              <w:t>21</w:t>
            </w:r>
          </w:p>
        </w:tc>
        <w:tc>
          <w:tcPr>
            <w:tcW w:w="8649" w:type="dxa"/>
            <w:shd w:val="clear" w:color="auto" w:fill="auto"/>
          </w:tcPr>
          <w:p w14:paraId="4F8E603C" w14:textId="47839FF4" w:rsidR="00EB1E72" w:rsidRPr="00734EB3" w:rsidRDefault="00EB1E72" w:rsidP="00692C39">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734EB3">
              <w:rPr>
                <w:rFonts w:ascii="Calibri" w:eastAsia="新細明體" w:hAnsi="Calibri" w:cs="Segoe UI"/>
                <w:i/>
                <w:sz w:val="17"/>
                <w:szCs w:val="17"/>
                <w:lang w:eastAsia="zh-TW"/>
              </w:rPr>
              <w:t>其中</w:t>
            </w:r>
            <w:r w:rsidRPr="00734EB3">
              <w:rPr>
                <w:rFonts w:ascii="Calibri" w:eastAsia="新細明體" w:hAnsi="Calibri" w:cs="Segoe UI"/>
                <w:i/>
                <w:sz w:val="17"/>
                <w:szCs w:val="17"/>
                <w:lang w:eastAsia="zh-TW"/>
              </w:rPr>
              <w:t>STM</w:t>
            </w:r>
            <w:r w:rsidRPr="00734EB3">
              <w:rPr>
                <w:rFonts w:ascii="Calibri" w:eastAsia="新細明體" w:hAnsi="Calibri" w:cs="Segoe UI"/>
                <w:i/>
                <w:sz w:val="17"/>
                <w:szCs w:val="17"/>
                <w:lang w:eastAsia="zh-TW"/>
              </w:rPr>
              <w:t>計算法</w:t>
            </w:r>
            <w:r w:rsidRPr="00734EB3">
              <w:rPr>
                <w:rFonts w:ascii="Calibri" w:eastAsia="新細明體" w:hAnsi="Calibri" w:cs="Segoe UI"/>
                <w:sz w:val="17"/>
                <w:szCs w:val="17"/>
                <w:lang w:eastAsia="zh-TW"/>
              </w:rPr>
              <w:t>：</w:t>
            </w:r>
            <w:r w:rsidRPr="00734EB3">
              <w:rPr>
                <w:rFonts w:ascii="Calibri" w:eastAsia="細明體" w:hAnsi="Calibri" w:cs="Segoe UI"/>
                <w:kern w:val="2"/>
                <w:sz w:val="17"/>
                <w:szCs w:val="17"/>
                <w:lang w:val="en-US" w:eastAsia="zh-TW"/>
              </w:rPr>
              <w:t>使用《資本規則》下的</w:t>
            </w:r>
            <w:r w:rsidRPr="00734EB3">
              <w:rPr>
                <w:rFonts w:ascii="Calibri" w:eastAsia="細明體" w:hAnsi="Calibri" w:cs="Segoe UI"/>
                <w:kern w:val="2"/>
                <w:sz w:val="17"/>
                <w:szCs w:val="17"/>
                <w:lang w:val="en-US" w:eastAsia="zh-TW"/>
              </w:rPr>
              <w:t>STM</w:t>
            </w:r>
            <w:r w:rsidRPr="00734EB3">
              <w:rPr>
                <w:rFonts w:ascii="Calibri" w:eastAsia="細明體" w:hAnsi="Calibri" w:cs="Segoe UI"/>
                <w:kern w:val="2"/>
                <w:sz w:val="17"/>
                <w:szCs w:val="17"/>
                <w:lang w:val="en-US" w:eastAsia="zh-TW"/>
              </w:rPr>
              <w:t>計算法計算的風險加權數額及資本規定</w:t>
            </w:r>
            <w:r w:rsidRPr="00734EB3">
              <w:rPr>
                <w:rFonts w:ascii="Calibri" w:eastAsia="新細明體" w:hAnsi="Calibri" w:cs="Segoe UI"/>
                <w:sz w:val="17"/>
                <w:szCs w:val="17"/>
                <w:lang w:eastAsia="zh-TW"/>
              </w:rPr>
              <w:t>，包括</w:t>
            </w:r>
            <w:r w:rsidRPr="00734EB3">
              <w:rPr>
                <w:rFonts w:ascii="Calibri" w:eastAsia="細明體" w:hAnsi="Calibri" w:cs="Segoe UI"/>
                <w:kern w:val="2"/>
                <w:sz w:val="17"/>
                <w:szCs w:val="17"/>
                <w:lang w:val="en-US" w:eastAsia="zh-TW"/>
              </w:rPr>
              <w:t>記入</w:t>
            </w:r>
            <w:r w:rsidRPr="00734EB3">
              <w:rPr>
                <w:rFonts w:ascii="Calibri" w:eastAsia="新細明體" w:hAnsi="Calibri" w:cs="Segoe UI"/>
                <w:sz w:val="17"/>
                <w:szCs w:val="17"/>
                <w:lang w:eastAsia="zh-TW"/>
              </w:rPr>
              <w:t>交易帳的證券化類別風險承擔的資本要求</w:t>
            </w:r>
            <w:r w:rsidRPr="00734EB3">
              <w:rPr>
                <w:rFonts w:ascii="Calibri" w:eastAsia="細明體" w:hAnsi="Calibri" w:cs="Segoe UI"/>
                <w:kern w:val="2"/>
                <w:sz w:val="17"/>
                <w:szCs w:val="17"/>
                <w:lang w:val="en-US" w:eastAsia="zh-TW"/>
              </w:rPr>
              <w:t>。</w:t>
            </w:r>
            <w:r w:rsidR="00734EB3" w:rsidRPr="00734EB3">
              <w:rPr>
                <w:rFonts w:ascii="Calibri" w:eastAsia="細明體" w:hAnsi="Calibri" w:cs="Segoe UI" w:hint="eastAsia"/>
                <w:kern w:val="2"/>
                <w:sz w:val="17"/>
                <w:szCs w:val="17"/>
                <w:lang w:val="en-US" w:eastAsia="zh-TW"/>
              </w:rPr>
              <w:t>[OV1:21/</w:t>
            </w:r>
            <w:proofErr w:type="gramStart"/>
            <w:r w:rsidR="00734EB3" w:rsidRPr="00734EB3">
              <w:rPr>
                <w:rFonts w:ascii="Calibri" w:eastAsia="細明體" w:hAnsi="Calibri" w:cs="Segoe UI" w:hint="eastAsia"/>
                <w:kern w:val="2"/>
                <w:sz w:val="17"/>
                <w:szCs w:val="17"/>
                <w:lang w:val="en-US" w:eastAsia="zh-TW"/>
              </w:rPr>
              <w:t>c]</w:t>
            </w:r>
            <w:r w:rsidR="00734EB3" w:rsidRPr="00734EB3">
              <w:rPr>
                <w:rFonts w:ascii="Calibri" w:eastAsia="細明體" w:hAnsi="Calibri" w:cs="Segoe UI" w:hint="eastAsia"/>
                <w:kern w:val="2"/>
                <w:sz w:val="17"/>
                <w:szCs w:val="17"/>
                <w:lang w:val="en-US" w:eastAsia="zh-TW"/>
              </w:rPr>
              <w:t>的值相等於</w:t>
            </w:r>
            <w:proofErr w:type="gramEnd"/>
            <w:r w:rsidR="00734EB3" w:rsidRPr="00734EB3">
              <w:rPr>
                <w:rFonts w:ascii="Calibri" w:eastAsia="細明體" w:hAnsi="Calibri" w:cs="Segoe UI" w:hint="eastAsia"/>
                <w:kern w:val="2"/>
                <w:sz w:val="17"/>
                <w:szCs w:val="17"/>
                <w:lang w:val="en-US" w:eastAsia="zh-TW"/>
              </w:rPr>
              <w:t>[MR1:</w:t>
            </w:r>
            <w:r w:rsidR="00692C39" w:rsidRPr="00F31A5B">
              <w:rPr>
                <w:rFonts w:ascii="Calibri" w:eastAsia="細明體" w:hAnsi="Calibri" w:cs="Segoe UI" w:hint="eastAsia"/>
                <w:kern w:val="2"/>
                <w:sz w:val="17"/>
                <w:szCs w:val="17"/>
                <w:lang w:val="en-US" w:eastAsia="zh-TW"/>
              </w:rPr>
              <w:t>13</w:t>
            </w:r>
            <w:r w:rsidR="00734EB3" w:rsidRPr="00734EB3">
              <w:rPr>
                <w:rFonts w:ascii="Calibri" w:eastAsia="細明體" w:hAnsi="Calibri" w:cs="Segoe UI" w:hint="eastAsia"/>
                <w:kern w:val="2"/>
                <w:sz w:val="17"/>
                <w:szCs w:val="17"/>
                <w:lang w:val="en-US" w:eastAsia="zh-TW"/>
              </w:rPr>
              <w:t>/a]</w:t>
            </w:r>
            <w:r w:rsidR="00734EB3" w:rsidRPr="00734EB3">
              <w:rPr>
                <w:rFonts w:ascii="Calibri" w:eastAsia="細明體" w:hAnsi="Calibri" w:cs="Segoe UI" w:hint="eastAsia"/>
                <w:kern w:val="2"/>
                <w:sz w:val="17"/>
                <w:szCs w:val="17"/>
                <w:lang w:val="en-US" w:eastAsia="zh-TW"/>
              </w:rPr>
              <w:t>的值</w:t>
            </w:r>
            <w:r w:rsidRPr="00734EB3">
              <w:rPr>
                <w:rFonts w:ascii="Calibri" w:eastAsia="細明體" w:hAnsi="Calibri" w:cs="Segoe UI"/>
                <w:kern w:val="2"/>
                <w:sz w:val="17"/>
                <w:szCs w:val="17"/>
                <w:lang w:val="en-US" w:eastAsia="zh-TW"/>
              </w:rPr>
              <w:t>。</w:t>
            </w:r>
          </w:p>
        </w:tc>
      </w:tr>
      <w:tr w:rsidR="00EB1E72" w:rsidRPr="00EB1E72" w14:paraId="6EE4A829" w14:textId="77777777" w:rsidTr="00217BE5">
        <w:tc>
          <w:tcPr>
            <w:tcW w:w="567" w:type="dxa"/>
            <w:shd w:val="clear" w:color="auto" w:fill="auto"/>
          </w:tcPr>
          <w:p w14:paraId="6390BAEB"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22</w:t>
            </w:r>
          </w:p>
        </w:tc>
        <w:tc>
          <w:tcPr>
            <w:tcW w:w="8649" w:type="dxa"/>
            <w:shd w:val="clear" w:color="auto" w:fill="auto"/>
          </w:tcPr>
          <w:p w14:paraId="425FC3BB" w14:textId="3C71FAD3" w:rsidR="00EB1E72" w:rsidRPr="00734EB3" w:rsidRDefault="00EB1E72" w:rsidP="00734EB3">
            <w:pPr>
              <w:keepLines/>
              <w:widowControl w:val="0"/>
              <w:tabs>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734EB3">
              <w:rPr>
                <w:rFonts w:ascii="Calibri" w:eastAsia="新細明體" w:hAnsi="Calibri" w:cs="Segoe UI"/>
                <w:i/>
                <w:sz w:val="17"/>
                <w:szCs w:val="17"/>
                <w:lang w:eastAsia="zh-TW"/>
              </w:rPr>
              <w:t>其中</w:t>
            </w:r>
            <w:r w:rsidRPr="00734EB3">
              <w:rPr>
                <w:rFonts w:ascii="Calibri" w:eastAsia="新細明體" w:hAnsi="Calibri" w:cs="Segoe UI" w:hint="eastAsia"/>
                <w:i/>
                <w:sz w:val="17"/>
                <w:szCs w:val="17"/>
                <w:lang w:eastAsia="zh-TW"/>
              </w:rPr>
              <w:t>IMA</w:t>
            </w:r>
            <w:r w:rsidRPr="00734EB3">
              <w:rPr>
                <w:rFonts w:ascii="Calibri" w:eastAsia="新細明體" w:hAnsi="Calibri" w:cs="Segoe UI"/>
                <w:sz w:val="17"/>
                <w:szCs w:val="17"/>
                <w:lang w:eastAsia="zh-TW"/>
              </w:rPr>
              <w:t>：</w:t>
            </w:r>
            <w:r w:rsidRPr="00734EB3">
              <w:rPr>
                <w:rFonts w:ascii="Calibri" w:eastAsia="細明體" w:hAnsi="Calibri" w:cs="Segoe UI"/>
                <w:kern w:val="2"/>
                <w:sz w:val="17"/>
                <w:szCs w:val="17"/>
                <w:lang w:val="en-US" w:eastAsia="zh-TW"/>
              </w:rPr>
              <w:t>使用《資本規則》下的</w:t>
            </w:r>
            <w:r w:rsidRPr="00734EB3">
              <w:rPr>
                <w:rFonts w:ascii="Calibri" w:eastAsia="細明體" w:hAnsi="Calibri" w:cs="Segoe UI" w:hint="eastAsia"/>
                <w:kern w:val="2"/>
                <w:sz w:val="17"/>
                <w:szCs w:val="17"/>
                <w:lang w:val="en-US" w:eastAsia="zh-TW"/>
              </w:rPr>
              <w:t>IMA</w:t>
            </w:r>
            <w:r w:rsidRPr="00734EB3">
              <w:rPr>
                <w:rFonts w:ascii="Calibri" w:eastAsia="細明體" w:hAnsi="Calibri" w:cs="Segoe UI"/>
                <w:kern w:val="2"/>
                <w:sz w:val="17"/>
                <w:szCs w:val="17"/>
                <w:lang w:val="en-US" w:eastAsia="zh-TW"/>
              </w:rPr>
              <w:t>計算的風險加權數額及資本規定。</w:t>
            </w:r>
            <w:r w:rsidRPr="00734EB3" w:rsidDel="00D94B2B">
              <w:rPr>
                <w:rFonts w:ascii="Calibri" w:eastAsia="細明體" w:hAnsi="Calibri" w:cs="Segoe UI"/>
                <w:kern w:val="2"/>
                <w:sz w:val="17"/>
                <w:szCs w:val="17"/>
                <w:lang w:val="en-US" w:eastAsia="zh-TW"/>
              </w:rPr>
              <w:t xml:space="preserve"> </w:t>
            </w:r>
            <w:r w:rsidR="00734EB3" w:rsidRPr="00734EB3">
              <w:rPr>
                <w:rFonts w:ascii="Calibri" w:eastAsia="細明體" w:hAnsi="Calibri" w:cs="Segoe UI" w:hint="eastAsia"/>
                <w:kern w:val="2"/>
                <w:sz w:val="17"/>
                <w:szCs w:val="17"/>
                <w:lang w:val="en-US" w:eastAsia="zh-TW"/>
              </w:rPr>
              <w:t>[OV1:22/</w:t>
            </w:r>
            <w:proofErr w:type="gramStart"/>
            <w:r w:rsidR="00734EB3" w:rsidRPr="00734EB3">
              <w:rPr>
                <w:rFonts w:ascii="Calibri" w:eastAsia="細明體" w:hAnsi="Calibri" w:cs="Segoe UI" w:hint="eastAsia"/>
                <w:kern w:val="2"/>
                <w:sz w:val="17"/>
                <w:szCs w:val="17"/>
                <w:lang w:val="en-US" w:eastAsia="zh-TW"/>
              </w:rPr>
              <w:t>c]</w:t>
            </w:r>
            <w:r w:rsidR="00734EB3" w:rsidRPr="00734EB3">
              <w:rPr>
                <w:rFonts w:ascii="Calibri" w:eastAsia="細明體" w:hAnsi="Calibri" w:cs="Segoe UI" w:hint="eastAsia"/>
                <w:kern w:val="2"/>
                <w:sz w:val="17"/>
                <w:szCs w:val="17"/>
                <w:lang w:val="en-US" w:eastAsia="zh-TW"/>
              </w:rPr>
              <w:t>的值相等於</w:t>
            </w:r>
            <w:proofErr w:type="gramEnd"/>
            <w:r w:rsidR="00734EB3" w:rsidRPr="00734EB3">
              <w:rPr>
                <w:rFonts w:ascii="Calibri" w:eastAsia="細明體" w:hAnsi="Calibri" w:cs="Segoe UI" w:hint="eastAsia"/>
                <w:kern w:val="2"/>
                <w:sz w:val="17"/>
                <w:szCs w:val="17"/>
                <w:lang w:val="en-US" w:eastAsia="zh-TW"/>
              </w:rPr>
              <w:t>[MR2:16</w:t>
            </w:r>
            <w:r w:rsidR="00734EB3" w:rsidRPr="00734EB3">
              <w:rPr>
                <w:rFonts w:ascii="Calibri" w:eastAsia="細明體" w:hAnsi="Calibri" w:cs="Segoe UI" w:hint="eastAsia"/>
                <w:kern w:val="2"/>
                <w:sz w:val="17"/>
                <w:szCs w:val="17"/>
                <w:lang w:val="en-US" w:eastAsia="zh-TW"/>
              </w:rPr>
              <w:t>的值減</w:t>
            </w:r>
            <w:r w:rsidR="00734EB3" w:rsidRPr="00734EB3">
              <w:rPr>
                <w:rFonts w:ascii="Calibri" w:eastAsia="細明體" w:hAnsi="Calibri" w:cs="Segoe UI" w:hint="eastAsia"/>
                <w:kern w:val="2"/>
                <w:sz w:val="17"/>
                <w:szCs w:val="17"/>
                <w:lang w:val="en-US" w:eastAsia="zh-TW"/>
              </w:rPr>
              <w:t xml:space="preserve"> MR2:13</w:t>
            </w:r>
            <w:r w:rsidR="00734EB3" w:rsidRPr="00734EB3">
              <w:rPr>
                <w:rFonts w:ascii="Calibri" w:eastAsia="細明體" w:hAnsi="Calibri" w:cs="Segoe UI" w:hint="eastAsia"/>
                <w:kern w:val="2"/>
                <w:sz w:val="17"/>
                <w:szCs w:val="17"/>
                <w:lang w:val="en-US" w:eastAsia="zh-TW"/>
              </w:rPr>
              <w:t>的值</w:t>
            </w:r>
            <w:r w:rsidR="00734EB3" w:rsidRPr="00734EB3">
              <w:rPr>
                <w:rFonts w:ascii="Calibri" w:eastAsia="細明體" w:hAnsi="Calibri" w:cs="Segoe UI" w:hint="eastAsia"/>
                <w:kern w:val="2"/>
                <w:sz w:val="17"/>
                <w:szCs w:val="17"/>
                <w:lang w:val="en-US" w:eastAsia="zh-TW"/>
              </w:rPr>
              <w:t>]</w:t>
            </w:r>
            <w:r w:rsidRPr="00734EB3">
              <w:rPr>
                <w:rFonts w:ascii="Calibri" w:eastAsia="細明體" w:hAnsi="Calibri" w:cs="Segoe UI"/>
                <w:kern w:val="2"/>
                <w:sz w:val="17"/>
                <w:szCs w:val="17"/>
                <w:lang w:val="en-US" w:eastAsia="zh-TW"/>
              </w:rPr>
              <w:t>。</w:t>
            </w:r>
          </w:p>
        </w:tc>
      </w:tr>
      <w:tr w:rsidR="00EB1E72" w:rsidRPr="00EB1E72" w14:paraId="198345CD" w14:textId="77777777" w:rsidTr="00217BE5">
        <w:tc>
          <w:tcPr>
            <w:tcW w:w="567" w:type="dxa"/>
            <w:shd w:val="clear" w:color="auto" w:fill="auto"/>
          </w:tcPr>
          <w:p w14:paraId="551414D2"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22a</w:t>
            </w:r>
          </w:p>
        </w:tc>
        <w:tc>
          <w:tcPr>
            <w:tcW w:w="8649" w:type="dxa"/>
            <w:shd w:val="clear" w:color="auto" w:fill="auto"/>
          </w:tcPr>
          <w:p w14:paraId="7E6F93BA" w14:textId="66A04526" w:rsidR="00F27618" w:rsidRPr="00966C90" w:rsidRDefault="00EB1E72" w:rsidP="00EB1E72">
            <w:pPr>
              <w:keepLines/>
              <w:widowControl w:val="0"/>
              <w:tabs>
                <w:tab w:val="left" w:pos="397"/>
                <w:tab w:val="left" w:pos="794"/>
                <w:tab w:val="left" w:pos="1191"/>
              </w:tabs>
              <w:spacing w:before="40" w:after="40" w:line="259" w:lineRule="auto"/>
              <w:jc w:val="both"/>
              <w:rPr>
                <w:rFonts w:ascii="Calibri" w:eastAsia="細明體" w:hAnsi="Calibri" w:cs="Segoe UI"/>
                <w:kern w:val="2"/>
                <w:sz w:val="17"/>
                <w:szCs w:val="17"/>
                <w:lang w:val="en-US" w:eastAsia="zh-TW"/>
              </w:rPr>
            </w:pPr>
            <w:r w:rsidRPr="00734EB3">
              <w:rPr>
                <w:rFonts w:ascii="Calibri" w:eastAsia="新細明體" w:hAnsi="Calibri" w:cs="Segoe UI"/>
                <w:i/>
                <w:sz w:val="17"/>
                <w:szCs w:val="17"/>
                <w:lang w:eastAsia="zh-TW"/>
              </w:rPr>
              <w:t>其中</w:t>
            </w:r>
            <w:r w:rsidRPr="00734EB3">
              <w:rPr>
                <w:rFonts w:ascii="Calibri" w:eastAsia="新細明體" w:hAnsi="Calibri" w:cs="Segoe UI"/>
                <w:i/>
                <w:sz w:val="17"/>
                <w:szCs w:val="17"/>
                <w:lang w:eastAsia="zh-TW"/>
              </w:rPr>
              <w:t>SSTM</w:t>
            </w:r>
            <w:r w:rsidRPr="00734EB3">
              <w:rPr>
                <w:rFonts w:ascii="Calibri" w:eastAsia="新細明體" w:hAnsi="Calibri" w:cs="Segoe UI"/>
                <w:i/>
                <w:sz w:val="17"/>
                <w:szCs w:val="17"/>
                <w:lang w:eastAsia="zh-TW"/>
              </w:rPr>
              <w:t>計算法</w:t>
            </w:r>
            <w:r w:rsidRPr="00734EB3">
              <w:rPr>
                <w:rFonts w:ascii="Calibri" w:eastAsia="新細明體" w:hAnsi="Calibri" w:cs="Segoe UI"/>
                <w:sz w:val="17"/>
                <w:szCs w:val="17"/>
                <w:lang w:eastAsia="zh-TW"/>
              </w:rPr>
              <w:t>：</w:t>
            </w:r>
            <w:r w:rsidR="00F27618" w:rsidRPr="00EB1E72">
              <w:rPr>
                <w:rFonts w:ascii="Calibri" w:eastAsia="新細明體" w:hAnsi="Calibri" w:cs="Segoe UI"/>
                <w:sz w:val="17"/>
                <w:szCs w:val="17"/>
                <w:lang w:eastAsia="zh-TW"/>
              </w:rPr>
              <w:t>根據</w:t>
            </w:r>
            <w:r w:rsidRPr="00734EB3">
              <w:rPr>
                <w:rFonts w:ascii="Calibri" w:eastAsia="細明體" w:hAnsi="Calibri" w:cs="Segoe UI"/>
                <w:kern w:val="2"/>
                <w:sz w:val="17"/>
                <w:szCs w:val="17"/>
                <w:lang w:val="en-US" w:eastAsia="zh-TW"/>
              </w:rPr>
              <w:t>《資本規則》</w:t>
            </w:r>
            <w:r w:rsidR="00F27618" w:rsidRPr="00EB1E72">
              <w:rPr>
                <w:rFonts w:ascii="Calibri" w:eastAsia="新細明體" w:hAnsi="Calibri" w:cs="Segoe UI"/>
                <w:sz w:val="17"/>
                <w:szCs w:val="17"/>
                <w:lang w:eastAsia="zh-TW"/>
              </w:rPr>
              <w:t>使用</w:t>
            </w:r>
            <w:r w:rsidRPr="00734EB3">
              <w:rPr>
                <w:rFonts w:ascii="Calibri" w:eastAsia="細明體" w:hAnsi="Calibri" w:cs="Segoe UI"/>
                <w:kern w:val="2"/>
                <w:sz w:val="17"/>
                <w:szCs w:val="17"/>
                <w:lang w:val="en-US" w:eastAsia="zh-TW"/>
              </w:rPr>
              <w:t>SSTM</w:t>
            </w:r>
            <w:r w:rsidRPr="00734EB3">
              <w:rPr>
                <w:rFonts w:ascii="Calibri" w:eastAsia="細明體" w:hAnsi="Calibri" w:cs="Segoe UI"/>
                <w:kern w:val="2"/>
                <w:sz w:val="17"/>
                <w:szCs w:val="17"/>
                <w:lang w:val="en-US" w:eastAsia="zh-TW"/>
              </w:rPr>
              <w:t>計算法計算的風險加權數額及資本規定。</w:t>
            </w:r>
          </w:p>
        </w:tc>
      </w:tr>
      <w:tr w:rsidR="00EB1E72" w:rsidRPr="00EB1E72" w14:paraId="33E70E9D" w14:textId="77777777" w:rsidTr="00217BE5">
        <w:tc>
          <w:tcPr>
            <w:tcW w:w="567" w:type="dxa"/>
            <w:shd w:val="clear" w:color="auto" w:fill="auto"/>
          </w:tcPr>
          <w:p w14:paraId="5C198D6E"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TW"/>
              </w:rPr>
            </w:pPr>
            <w:r w:rsidRPr="00EB1E72">
              <w:rPr>
                <w:rFonts w:ascii="Calibri" w:eastAsia="新細明體" w:hAnsi="Calibri" w:cs="Segoe UI"/>
                <w:sz w:val="17"/>
                <w:szCs w:val="17"/>
                <w:lang w:eastAsia="zh-TW"/>
              </w:rPr>
              <w:t>23</w:t>
            </w:r>
          </w:p>
        </w:tc>
        <w:tc>
          <w:tcPr>
            <w:tcW w:w="8649" w:type="dxa"/>
            <w:shd w:val="clear" w:color="auto" w:fill="auto"/>
          </w:tcPr>
          <w:p w14:paraId="5B53AB7F" w14:textId="2960A49A" w:rsidR="00EB1E72" w:rsidRPr="00734EB3" w:rsidRDefault="00794163" w:rsidP="00794163">
            <w:pPr>
              <w:keepLines/>
              <w:widowControl w:val="0"/>
              <w:tabs>
                <w:tab w:val="left" w:pos="397"/>
                <w:tab w:val="left" w:pos="794"/>
                <w:tab w:val="left" w:pos="1191"/>
              </w:tabs>
              <w:spacing w:before="40" w:after="40" w:line="259" w:lineRule="auto"/>
              <w:jc w:val="both"/>
              <w:rPr>
                <w:rFonts w:ascii="Calibri" w:eastAsia="新細明體" w:hAnsi="Calibri"/>
                <w:sz w:val="17"/>
                <w:szCs w:val="22"/>
                <w:lang w:eastAsia="zh-TW"/>
              </w:rPr>
            </w:pPr>
            <w:r w:rsidRPr="00794163">
              <w:rPr>
                <w:rFonts w:ascii="Calibri" w:eastAsia="新細明體" w:hAnsi="Calibri" w:cs="Segoe UI" w:hint="eastAsia"/>
                <w:i/>
                <w:sz w:val="17"/>
                <w:szCs w:val="17"/>
                <w:lang w:eastAsia="zh-TW"/>
              </w:rPr>
              <w:t>在</w:t>
            </w:r>
            <w:r w:rsidR="00EB1E72" w:rsidRPr="00734EB3">
              <w:rPr>
                <w:rFonts w:ascii="Calibri" w:eastAsia="新細明體" w:hAnsi="Calibri" w:cs="Segoe UI"/>
                <w:i/>
                <w:sz w:val="17"/>
                <w:szCs w:val="17"/>
                <w:lang w:eastAsia="zh-TW"/>
              </w:rPr>
              <w:t>交易帳與銀行帳之間</w:t>
            </w:r>
            <w:r w:rsidR="00EB1E72" w:rsidRPr="00734EB3">
              <w:rPr>
                <w:rFonts w:ascii="Calibri" w:eastAsia="新細明體" w:hAnsi="Calibri" w:cs="Segoe UI" w:hint="eastAsia"/>
                <w:i/>
                <w:sz w:val="17"/>
                <w:szCs w:val="17"/>
                <w:lang w:eastAsia="zh-TW"/>
              </w:rPr>
              <w:t>調動</w:t>
            </w:r>
            <w:r w:rsidR="00EB1E72" w:rsidRPr="00734EB3">
              <w:rPr>
                <w:rFonts w:ascii="Calibri" w:eastAsia="新細明體" w:hAnsi="Calibri" w:cs="Segoe UI"/>
                <w:i/>
                <w:sz w:val="17"/>
                <w:szCs w:val="17"/>
                <w:lang w:eastAsia="zh-TW"/>
              </w:rPr>
              <w:t>風險承擔的資本要求</w:t>
            </w:r>
            <w:r w:rsidR="00EB1E72" w:rsidRPr="00734EB3">
              <w:rPr>
                <w:rFonts w:ascii="Calibri" w:eastAsia="新細明體" w:hAnsi="Calibri" w:cs="Segoe UI"/>
                <w:sz w:val="17"/>
                <w:szCs w:val="17"/>
                <w:lang w:eastAsia="zh-TW"/>
              </w:rPr>
              <w:t>：</w:t>
            </w:r>
            <w:r w:rsidRPr="00794163">
              <w:rPr>
                <w:rFonts w:ascii="Calibri" w:eastAsia="新細明體" w:hAnsi="Calibri" w:cs="Segoe UI" w:hint="eastAsia"/>
                <w:sz w:val="17"/>
                <w:szCs w:val="17"/>
                <w:lang w:eastAsia="zh-TW"/>
              </w:rPr>
              <w:t>根據《資本規則》的市場風險框架就下列情況對認可機構施加的尚餘累計資本附加要求：認可機構在初</w:t>
            </w:r>
            <w:proofErr w:type="gramStart"/>
            <w:r w:rsidRPr="00794163">
              <w:rPr>
                <w:rFonts w:ascii="Calibri" w:eastAsia="新細明體" w:hAnsi="Calibri" w:cs="Segoe UI" w:hint="eastAsia"/>
                <w:sz w:val="17"/>
                <w:szCs w:val="17"/>
                <w:lang w:eastAsia="zh-TW"/>
              </w:rPr>
              <w:t>始編配某</w:t>
            </w:r>
            <w:proofErr w:type="gramEnd"/>
            <w:r w:rsidRPr="00794163">
              <w:rPr>
                <w:rFonts w:ascii="Calibri" w:eastAsia="新細明體" w:hAnsi="Calibri" w:cs="Segoe UI" w:hint="eastAsia"/>
                <w:sz w:val="17"/>
                <w:szCs w:val="17"/>
                <w:lang w:eastAsia="zh-TW"/>
              </w:rPr>
              <w:t>工具後，在其交易帳及銀行帳之間調動該等工具，以致其總資本要求（包括銀行帳及交易帳）因而減少。該尚餘累計資本附加要求須計及就其在</w:t>
            </w:r>
            <w:proofErr w:type="gramStart"/>
            <w:r w:rsidRPr="00794163">
              <w:rPr>
                <w:rFonts w:ascii="Calibri" w:eastAsia="新細明體" w:hAnsi="Calibri" w:cs="Segoe UI" w:hint="eastAsia"/>
                <w:sz w:val="17"/>
                <w:szCs w:val="17"/>
                <w:lang w:eastAsia="zh-TW"/>
              </w:rPr>
              <w:t>有關持倉到期</w:t>
            </w:r>
            <w:proofErr w:type="gramEnd"/>
            <w:r w:rsidRPr="00794163">
              <w:rPr>
                <w:rFonts w:ascii="Calibri" w:eastAsia="新細明體" w:hAnsi="Calibri" w:cs="Segoe UI" w:hint="eastAsia"/>
                <w:sz w:val="17"/>
                <w:szCs w:val="17"/>
                <w:lang w:eastAsia="zh-TW"/>
              </w:rPr>
              <w:t>或屆滿時以金融管理專員同意的方式自然終止所作出的任何調整</w:t>
            </w:r>
            <w:r w:rsidR="00EB1E72" w:rsidRPr="00734EB3">
              <w:rPr>
                <w:rFonts w:ascii="Calibri" w:eastAsia="新細明體" w:hAnsi="Calibri" w:cs="Segoe UI" w:hint="eastAsia"/>
                <w:sz w:val="17"/>
                <w:szCs w:val="17"/>
                <w:lang w:eastAsia="zh-TW"/>
              </w:rPr>
              <w:t>。</w:t>
            </w:r>
          </w:p>
        </w:tc>
      </w:tr>
      <w:tr w:rsidR="00EB1E72" w:rsidRPr="00EB1E72" w14:paraId="30C29563" w14:textId="77777777" w:rsidTr="00217BE5">
        <w:tc>
          <w:tcPr>
            <w:tcW w:w="567" w:type="dxa"/>
            <w:shd w:val="clear" w:color="auto" w:fill="auto"/>
          </w:tcPr>
          <w:p w14:paraId="422870F4"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sidRPr="00EB1E72">
              <w:rPr>
                <w:rFonts w:ascii="Calibri" w:eastAsia="新細明體" w:hAnsi="Calibri" w:cs="Segoe UI"/>
                <w:sz w:val="17"/>
                <w:szCs w:val="17"/>
                <w:lang w:eastAsia="zh-CN"/>
              </w:rPr>
              <w:t>24</w:t>
            </w:r>
          </w:p>
        </w:tc>
        <w:tc>
          <w:tcPr>
            <w:tcW w:w="8649" w:type="dxa"/>
            <w:shd w:val="clear" w:color="auto" w:fill="auto"/>
          </w:tcPr>
          <w:p w14:paraId="24822B44"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業務操作風險</w:t>
            </w:r>
            <w:r w:rsidRPr="00EB1E72">
              <w:rPr>
                <w:rFonts w:ascii="Calibri" w:eastAsia="細明體" w:hAnsi="Calibri" w:cs="Segoe UI"/>
                <w:sz w:val="17"/>
                <w:szCs w:val="17"/>
                <w:lang w:eastAsia="zh-TW"/>
              </w:rPr>
              <w:t>：有關</w:t>
            </w:r>
            <w:r w:rsidRPr="00EB1E72">
              <w:rPr>
                <w:rFonts w:ascii="Calibri" w:eastAsia="新細明體" w:hAnsi="Calibri" w:cs="Segoe UI"/>
                <w:sz w:val="17"/>
                <w:szCs w:val="17"/>
                <w:lang w:eastAsia="zh-TW"/>
              </w:rPr>
              <w:t>數額對應《資本規則》指明的業務操作風險框架內的資本規定。</w:t>
            </w:r>
          </w:p>
        </w:tc>
      </w:tr>
      <w:tr w:rsidR="00EB1E72" w:rsidRPr="00EB1E72" w14:paraId="28CFDCC6" w14:textId="77777777" w:rsidTr="00217BE5">
        <w:tc>
          <w:tcPr>
            <w:tcW w:w="567" w:type="dxa"/>
            <w:shd w:val="clear" w:color="auto" w:fill="auto"/>
          </w:tcPr>
          <w:p w14:paraId="33E9CDF5"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hint="eastAsia"/>
                <w:sz w:val="17"/>
                <w:szCs w:val="17"/>
                <w:lang w:eastAsia="zh-CN"/>
              </w:rPr>
              <w:t>24a</w:t>
            </w:r>
          </w:p>
        </w:tc>
        <w:tc>
          <w:tcPr>
            <w:tcW w:w="8649" w:type="dxa"/>
            <w:shd w:val="clear" w:color="auto" w:fill="auto"/>
          </w:tcPr>
          <w:p w14:paraId="2B8F056C"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新細明體" w:hAnsi="Calibri" w:cs="Segoe UI" w:hint="eastAsia"/>
                <w:i/>
                <w:sz w:val="17"/>
                <w:szCs w:val="17"/>
                <w:lang w:eastAsia="zh-TW"/>
              </w:rPr>
              <w:t>官方實體集中風險</w:t>
            </w:r>
            <w:r w:rsidRPr="00EB1E72">
              <w:rPr>
                <w:rFonts w:ascii="Calibri" w:eastAsia="細明體" w:hAnsi="Calibri" w:cs="Segoe UI"/>
                <w:sz w:val="17"/>
                <w:szCs w:val="17"/>
                <w:lang w:eastAsia="zh-TW"/>
              </w:rPr>
              <w:t>：有關</w:t>
            </w:r>
            <w:r w:rsidRPr="00EB1E72">
              <w:rPr>
                <w:rFonts w:ascii="Calibri" w:eastAsia="新細明體" w:hAnsi="Calibri" w:cs="Segoe UI"/>
                <w:sz w:val="17"/>
                <w:szCs w:val="17"/>
                <w:lang w:eastAsia="zh-TW"/>
              </w:rPr>
              <w:t>數額對應《資本規則》指明的</w:t>
            </w:r>
            <w:r w:rsidRPr="00EB1E72">
              <w:rPr>
                <w:rFonts w:ascii="Calibri" w:eastAsia="新細明體" w:hAnsi="Calibri" w:cs="Segoe UI" w:hint="eastAsia"/>
                <w:sz w:val="17"/>
                <w:szCs w:val="17"/>
                <w:lang w:eastAsia="zh-TW"/>
              </w:rPr>
              <w:t>官方實體集中</w:t>
            </w:r>
            <w:r w:rsidRPr="00EB1E72">
              <w:rPr>
                <w:rFonts w:ascii="Calibri" w:eastAsia="新細明體" w:hAnsi="Calibri" w:cs="Segoe UI"/>
                <w:sz w:val="17"/>
                <w:szCs w:val="17"/>
                <w:lang w:eastAsia="zh-TW"/>
              </w:rPr>
              <w:t>風險框架內的資本規定。</w:t>
            </w:r>
          </w:p>
        </w:tc>
      </w:tr>
      <w:tr w:rsidR="00EB1E72" w:rsidRPr="00EB1E72" w14:paraId="1CFF9D46" w14:textId="77777777" w:rsidTr="00217BE5">
        <w:tc>
          <w:tcPr>
            <w:tcW w:w="567" w:type="dxa"/>
            <w:shd w:val="clear" w:color="auto" w:fill="auto"/>
          </w:tcPr>
          <w:p w14:paraId="495557EB"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25</w:t>
            </w:r>
          </w:p>
        </w:tc>
        <w:tc>
          <w:tcPr>
            <w:tcW w:w="8649" w:type="dxa"/>
            <w:shd w:val="clear" w:color="auto" w:fill="auto"/>
          </w:tcPr>
          <w:p w14:paraId="6A1AB0DA"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低於扣減門檻的數額</w:t>
            </w:r>
            <w:r w:rsidRPr="00EB1E72">
              <w:rPr>
                <w:rFonts w:ascii="Calibri" w:eastAsia="細明體" w:hAnsi="Calibri" w:cs="Segoe UI"/>
                <w:i/>
                <w:kern w:val="2"/>
                <w:sz w:val="17"/>
                <w:szCs w:val="17"/>
                <w:lang w:val="en-US" w:eastAsia="zh-TW"/>
              </w:rPr>
              <w:t>（</w:t>
            </w:r>
            <w:r w:rsidRPr="00EB1E72">
              <w:rPr>
                <w:rFonts w:ascii="Calibri" w:eastAsia="新細明體" w:hAnsi="Calibri" w:cs="Segoe UI"/>
                <w:i/>
                <w:sz w:val="17"/>
                <w:szCs w:val="17"/>
                <w:lang w:eastAsia="zh-TW"/>
              </w:rPr>
              <w:t>須計算</w:t>
            </w:r>
            <w:r w:rsidRPr="00EB1E72">
              <w:rPr>
                <w:rFonts w:ascii="Calibri" w:eastAsia="新細明體" w:hAnsi="Calibri" w:cs="Segoe UI"/>
                <w:i/>
                <w:sz w:val="17"/>
                <w:szCs w:val="17"/>
                <w:lang w:eastAsia="zh-TW"/>
              </w:rPr>
              <w:t>250%</w:t>
            </w:r>
            <w:r w:rsidRPr="00EB1E72">
              <w:rPr>
                <w:rFonts w:ascii="Calibri" w:eastAsia="新細明體" w:hAnsi="Calibri" w:cs="Segoe UI"/>
                <w:i/>
                <w:sz w:val="17"/>
                <w:szCs w:val="17"/>
                <w:lang w:eastAsia="zh-TW"/>
              </w:rPr>
              <w:t>風險權重</w:t>
            </w:r>
            <w:r w:rsidRPr="00EB1E72">
              <w:rPr>
                <w:rFonts w:ascii="Calibri" w:eastAsia="細明體" w:hAnsi="Calibri" w:cs="Segoe UI"/>
                <w:i/>
                <w:kern w:val="2"/>
                <w:sz w:val="17"/>
                <w:szCs w:val="17"/>
                <w:lang w:val="en-US" w:eastAsia="zh-TW"/>
              </w:rPr>
              <w:t>）</w:t>
            </w:r>
            <w:r w:rsidRPr="00EB1E72">
              <w:rPr>
                <w:rFonts w:ascii="Calibri" w:eastAsia="新細明體" w:hAnsi="Calibri" w:cs="Segoe UI"/>
                <w:sz w:val="17"/>
                <w:szCs w:val="17"/>
                <w:lang w:eastAsia="zh-TW"/>
              </w:rPr>
              <w:t>：有關數額與根據《資本規則》須計算</w:t>
            </w:r>
            <w:r w:rsidRPr="00EB1E72">
              <w:rPr>
                <w:rFonts w:ascii="Calibri" w:eastAsia="新細明體" w:hAnsi="Calibri" w:cs="Segoe UI"/>
                <w:sz w:val="17"/>
                <w:szCs w:val="17"/>
                <w:lang w:eastAsia="zh-TW"/>
              </w:rPr>
              <w:t>250%</w:t>
            </w:r>
            <w:r w:rsidRPr="00EB1E72">
              <w:rPr>
                <w:rFonts w:ascii="Calibri" w:eastAsia="新細明體" w:hAnsi="Calibri" w:cs="Segoe UI"/>
                <w:sz w:val="17"/>
                <w:szCs w:val="17"/>
                <w:lang w:eastAsia="zh-TW"/>
              </w:rPr>
              <w:t>風險權重的項目對應。</w:t>
            </w:r>
          </w:p>
        </w:tc>
      </w:tr>
      <w:tr w:rsidR="00EB1E72" w:rsidRPr="00EB1E72" w14:paraId="4818C9A9" w14:textId="77777777" w:rsidTr="00217BE5">
        <w:tc>
          <w:tcPr>
            <w:tcW w:w="567" w:type="dxa"/>
            <w:shd w:val="clear" w:color="auto" w:fill="auto"/>
          </w:tcPr>
          <w:p w14:paraId="1541467F"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TW"/>
              </w:rPr>
            </w:pPr>
            <w:r w:rsidRPr="00EB1E72">
              <w:rPr>
                <w:rFonts w:ascii="Calibri" w:eastAsia="新細明體" w:hAnsi="Calibri" w:cs="Segoe UI"/>
                <w:sz w:val="17"/>
                <w:szCs w:val="17"/>
                <w:lang w:eastAsia="zh-TW"/>
              </w:rPr>
              <w:t>26</w:t>
            </w:r>
          </w:p>
        </w:tc>
        <w:tc>
          <w:tcPr>
            <w:tcW w:w="8649" w:type="dxa"/>
            <w:shd w:val="clear" w:color="auto" w:fill="auto"/>
          </w:tcPr>
          <w:p w14:paraId="043A353B" w14:textId="47625573" w:rsidR="00EB1E72" w:rsidRPr="00EB1E72" w:rsidRDefault="00EB1E72" w:rsidP="00B978B6">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新細明體" w:hAnsi="Calibri" w:cs="Segoe UI" w:hint="eastAsia"/>
                <w:i/>
                <w:sz w:val="17"/>
                <w:szCs w:val="17"/>
                <w:lang w:eastAsia="zh-HK"/>
              </w:rPr>
              <w:t>應用出項下限水平</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認可機構在計算第</w:t>
            </w:r>
            <w:r w:rsidRPr="00EB1E72">
              <w:rPr>
                <w:rFonts w:ascii="Calibri" w:eastAsia="新細明體" w:hAnsi="Calibri" w:cs="Segoe UI" w:hint="eastAsia"/>
                <w:sz w:val="17"/>
                <w:szCs w:val="17"/>
                <w:lang w:eastAsia="zh-TW"/>
              </w:rPr>
              <w:t>27</w:t>
            </w:r>
            <w:r w:rsidRPr="00EB1E72">
              <w:rPr>
                <w:rFonts w:ascii="Calibri" w:eastAsia="新細明體" w:hAnsi="Calibri" w:cs="Segoe UI" w:hint="eastAsia"/>
                <w:sz w:val="17"/>
                <w:szCs w:val="17"/>
                <w:lang w:eastAsia="zh-HK"/>
              </w:rPr>
              <w:t>行的下限調整值時</w:t>
            </w:r>
            <w:r w:rsidR="00B649FB" w:rsidRPr="00794163">
              <w:rPr>
                <w:rFonts w:ascii="Calibri" w:eastAsia="新細明體" w:hAnsi="Calibri" w:cs="Segoe UI" w:hint="eastAsia"/>
                <w:sz w:val="17"/>
                <w:szCs w:val="17"/>
                <w:lang w:eastAsia="zh-TW"/>
              </w:rPr>
              <w:t>根據</w:t>
            </w:r>
            <w:r w:rsidRPr="00EB1E72">
              <w:rPr>
                <w:rFonts w:ascii="Calibri" w:eastAsia="新細明體" w:hAnsi="Calibri" w:cs="Segoe UI" w:hint="eastAsia"/>
                <w:sz w:val="17"/>
                <w:szCs w:val="17"/>
                <w:lang w:eastAsia="zh-HK"/>
              </w:rPr>
              <w:t>《資本規則》應用的出項下項水平</w:t>
            </w:r>
            <w:r w:rsidRPr="00EB1E72">
              <w:rPr>
                <w:rFonts w:ascii="Calibri" w:eastAsia="新細明體" w:hAnsi="Calibri" w:cs="Segoe UI" w:hint="eastAsia"/>
                <w:sz w:val="17"/>
                <w:szCs w:val="17"/>
                <w:lang w:eastAsia="zh-TW"/>
              </w:rPr>
              <w:t>（</w:t>
            </w:r>
            <w:r w:rsidRPr="00EB1E72">
              <w:rPr>
                <w:rFonts w:ascii="Calibri" w:eastAsia="新細明體" w:hAnsi="Calibri" w:cs="Segoe UI" w:hint="eastAsia"/>
                <w:sz w:val="17"/>
                <w:szCs w:val="17"/>
                <w:lang w:eastAsia="zh-HK"/>
              </w:rPr>
              <w:t>以百分比表示</w:t>
            </w:r>
            <w:r w:rsidRPr="00EB1E72">
              <w:rPr>
                <w:rFonts w:ascii="Calibri" w:eastAsia="新細明體" w:hAnsi="Calibri" w:cs="Segoe UI" w:hint="eastAsia"/>
                <w:sz w:val="17"/>
                <w:szCs w:val="17"/>
                <w:lang w:eastAsia="zh-TW"/>
              </w:rPr>
              <w:t>）。無</w:t>
            </w:r>
            <w:r w:rsidR="00C1603E">
              <w:rPr>
                <w:rFonts w:ascii="Calibri" w:eastAsia="新細明體" w:hAnsi="Calibri" w:cs="Segoe UI" w:hint="eastAsia"/>
                <w:sz w:val="17"/>
                <w:szCs w:val="17"/>
                <w:lang w:eastAsia="zh-HK"/>
              </w:rPr>
              <w:t>須</w:t>
            </w:r>
            <w:r w:rsidR="00B978B6">
              <w:rPr>
                <w:rFonts w:ascii="Calibri" w:eastAsia="新細明體" w:hAnsi="Calibri" w:cs="Segoe UI" w:hint="eastAsia"/>
                <w:sz w:val="17"/>
                <w:szCs w:val="17"/>
                <w:lang w:eastAsia="zh-HK"/>
              </w:rPr>
              <w:t>遵</w:t>
            </w:r>
            <w:r w:rsidR="00B978B6">
              <w:rPr>
                <w:rFonts w:ascii="Calibri" w:eastAsia="新細明體" w:hAnsi="Calibri" w:cs="Segoe UI" w:hint="eastAsia"/>
                <w:sz w:val="17"/>
                <w:szCs w:val="17"/>
                <w:lang w:eastAsia="zh-TW"/>
              </w:rPr>
              <w:t>守</w:t>
            </w:r>
            <w:r w:rsidRPr="00EB1E72">
              <w:rPr>
                <w:rFonts w:ascii="Calibri" w:eastAsia="新細明體" w:hAnsi="Calibri" w:cs="Segoe UI" w:hint="eastAsia"/>
                <w:sz w:val="17"/>
                <w:szCs w:val="17"/>
                <w:lang w:eastAsia="zh-TW"/>
              </w:rPr>
              <w:t>出項下限</w:t>
            </w:r>
            <w:r w:rsidRPr="00EB1E72">
              <w:rPr>
                <w:rFonts w:ascii="Calibri" w:eastAsia="新細明體" w:hAnsi="Calibri" w:cs="Segoe UI" w:hint="eastAsia"/>
                <w:sz w:val="17"/>
                <w:szCs w:val="17"/>
                <w:lang w:eastAsia="zh-HK"/>
              </w:rPr>
              <w:t>規定的</w:t>
            </w:r>
            <w:r w:rsidRPr="00EB1E72">
              <w:rPr>
                <w:rFonts w:ascii="Calibri" w:eastAsia="新細明體" w:hAnsi="Calibri" w:cs="Segoe UI" w:hint="eastAsia"/>
                <w:sz w:val="17"/>
                <w:szCs w:val="17"/>
                <w:lang w:eastAsia="zh-TW"/>
              </w:rPr>
              <w:t>認可機構，可在本行</w:t>
            </w:r>
            <w:r w:rsidRPr="00EB1E72">
              <w:rPr>
                <w:rFonts w:ascii="Calibri" w:eastAsia="新細明體" w:hAnsi="Calibri" w:cs="Segoe UI" w:hint="eastAsia"/>
                <w:sz w:val="17"/>
                <w:szCs w:val="17"/>
                <w:lang w:eastAsia="zh-HK"/>
              </w:rPr>
              <w:t>填報「不適用」或「</w:t>
            </w:r>
            <w:r w:rsidRPr="00EB1E72">
              <w:rPr>
                <w:rFonts w:ascii="Calibri" w:eastAsia="新細明體" w:hAnsi="Calibri" w:cs="Segoe UI" w:hint="eastAsia"/>
                <w:sz w:val="17"/>
                <w:szCs w:val="17"/>
                <w:lang w:eastAsia="zh-TW"/>
              </w:rPr>
              <w:t>N/A</w:t>
            </w:r>
            <w:r w:rsidRPr="00EB1E72">
              <w:rPr>
                <w:rFonts w:ascii="Calibri" w:eastAsia="新細明體" w:hAnsi="Calibri" w:cs="Segoe UI" w:hint="eastAsia"/>
                <w:sz w:val="17"/>
                <w:szCs w:val="17"/>
                <w:lang w:eastAsia="zh-TW"/>
              </w:rPr>
              <w:t>」。</w:t>
            </w:r>
          </w:p>
        </w:tc>
      </w:tr>
      <w:tr w:rsidR="00EB1E72" w:rsidRPr="00EB1E72" w14:paraId="3810D925" w14:textId="77777777" w:rsidTr="00217BE5">
        <w:tc>
          <w:tcPr>
            <w:tcW w:w="567" w:type="dxa"/>
            <w:shd w:val="clear" w:color="auto" w:fill="auto"/>
          </w:tcPr>
          <w:p w14:paraId="79FD3F31" w14:textId="7DFED1D4" w:rsidR="00EB1E72" w:rsidRPr="00EB1E72" w:rsidRDefault="0096724A" w:rsidP="0096724A">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Pr>
                <w:rFonts w:ascii="Calibri" w:eastAsia="新細明體" w:hAnsi="Calibri" w:cs="Segoe UI"/>
                <w:sz w:val="17"/>
                <w:szCs w:val="17"/>
                <w:lang w:eastAsia="zh-CN"/>
              </w:rPr>
              <w:t>27</w:t>
            </w:r>
          </w:p>
        </w:tc>
        <w:tc>
          <w:tcPr>
            <w:tcW w:w="8649" w:type="dxa"/>
            <w:shd w:val="clear" w:color="auto" w:fill="auto"/>
          </w:tcPr>
          <w:p w14:paraId="036E4319" w14:textId="4091E6D0" w:rsidR="00EB1E72" w:rsidRPr="00EB1E72" w:rsidRDefault="00EB1E72" w:rsidP="00B649FB">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新細明體" w:hAnsi="Calibri" w:cs="Segoe UI"/>
                <w:i/>
                <w:sz w:val="17"/>
                <w:szCs w:val="17"/>
                <w:lang w:eastAsia="zh-TW"/>
              </w:rPr>
              <w:t>下限調整</w:t>
            </w:r>
            <w:r w:rsidRPr="00EB1E72">
              <w:rPr>
                <w:rFonts w:ascii="Calibri" w:eastAsia="新細明體" w:hAnsi="Calibri" w:cs="Segoe UI" w:hint="eastAsia"/>
                <w:i/>
                <w:sz w:val="17"/>
                <w:szCs w:val="17"/>
                <w:lang w:eastAsia="zh-TW"/>
              </w:rPr>
              <w:t>（應用過渡上限</w:t>
            </w:r>
            <w:r w:rsidRPr="00EB1E72">
              <w:rPr>
                <w:rFonts w:ascii="Calibri" w:eastAsia="新細明體" w:hAnsi="Calibri" w:cs="Segoe UI" w:hint="eastAsia"/>
                <w:i/>
                <w:sz w:val="17"/>
                <w:szCs w:val="17"/>
                <w:lang w:eastAsia="zh-HK"/>
              </w:rPr>
              <w:t>前</w:t>
            </w:r>
            <w:r w:rsidRPr="00EB1E72">
              <w:rPr>
                <w:rFonts w:ascii="Calibri" w:eastAsia="新細明體" w:hAnsi="Calibri" w:cs="Segoe UI" w:hint="eastAsia"/>
                <w:i/>
                <w:sz w:val="17"/>
                <w:szCs w:val="17"/>
                <w:lang w:eastAsia="zh-TW"/>
              </w:rPr>
              <w:t>）</w:t>
            </w:r>
            <w:r w:rsidRPr="00EB1E72">
              <w:rPr>
                <w:rFonts w:ascii="Calibri" w:eastAsia="新細明體" w:hAnsi="Calibri" w:cs="Segoe UI" w:hint="eastAsia"/>
                <w:sz w:val="17"/>
                <w:szCs w:val="17"/>
                <w:lang w:eastAsia="zh-TW"/>
              </w:rPr>
              <w:t>：</w:t>
            </w:r>
            <w:r w:rsidR="00B649FB" w:rsidRPr="00B649FB">
              <w:rPr>
                <w:rFonts w:ascii="Calibri" w:eastAsia="新細明體" w:hAnsi="Calibri" w:cs="Segoe UI" w:hint="eastAsia"/>
                <w:sz w:val="17"/>
                <w:szCs w:val="17"/>
                <w:lang w:eastAsia="zh-TW"/>
              </w:rPr>
              <w:t>基於</w:t>
            </w:r>
            <w:r w:rsidRPr="00EB1E72">
              <w:rPr>
                <w:rFonts w:ascii="Calibri" w:eastAsia="細明體" w:hAnsi="Calibri" w:cs="Segoe UI" w:hint="eastAsia"/>
                <w:kern w:val="2"/>
                <w:sz w:val="17"/>
                <w:szCs w:val="17"/>
                <w:lang w:val="en-US" w:eastAsia="zh-HK"/>
              </w:rPr>
              <w:t>第</w:t>
            </w:r>
            <w:r w:rsidRPr="00EB1E72">
              <w:rPr>
                <w:rFonts w:ascii="Calibri" w:eastAsia="細明體" w:hAnsi="Calibri" w:cs="Segoe UI" w:hint="eastAsia"/>
                <w:kern w:val="2"/>
                <w:sz w:val="17"/>
                <w:szCs w:val="17"/>
                <w:lang w:val="en-US" w:eastAsia="zh-TW"/>
              </w:rPr>
              <w:t>26</w:t>
            </w:r>
            <w:r w:rsidRPr="00EB1E72">
              <w:rPr>
                <w:rFonts w:ascii="Calibri" w:eastAsia="細明體" w:hAnsi="Calibri" w:cs="Segoe UI" w:hint="eastAsia"/>
                <w:kern w:val="2"/>
                <w:sz w:val="17"/>
                <w:szCs w:val="17"/>
                <w:lang w:val="en-US" w:eastAsia="zh-HK"/>
              </w:rPr>
              <w:t>行應用出項下限水平所得的出項下限的影響</w:t>
            </w:r>
            <w:r w:rsidRPr="00EB1E72">
              <w:rPr>
                <w:rFonts w:ascii="Calibri" w:eastAsia="細明體" w:hAnsi="Calibri" w:cs="Segoe UI" w:hint="eastAsia"/>
                <w:kern w:val="2"/>
                <w:sz w:val="17"/>
                <w:szCs w:val="17"/>
                <w:lang w:val="en-US" w:eastAsia="zh-TW"/>
              </w:rPr>
              <w:t>，</w:t>
            </w:r>
            <w:r w:rsidR="00B649FB" w:rsidRPr="00B649FB">
              <w:rPr>
                <w:rFonts w:ascii="Calibri" w:eastAsia="細明體" w:hAnsi="Calibri" w:cs="Segoe UI" w:hint="eastAsia"/>
                <w:kern w:val="2"/>
                <w:sz w:val="17"/>
                <w:szCs w:val="17"/>
                <w:lang w:val="en-US" w:eastAsia="zh-TW"/>
              </w:rPr>
              <w:t>並按照所增加的風險加權數額來表示</w:t>
            </w:r>
            <w:r w:rsidRPr="00EB1E72">
              <w:rPr>
                <w:rFonts w:ascii="Calibri" w:eastAsia="細明體" w:hAnsi="Calibri" w:cs="Segoe UI" w:hint="eastAsia"/>
                <w:kern w:val="2"/>
                <w:sz w:val="17"/>
                <w:szCs w:val="17"/>
                <w:lang w:val="en-US" w:eastAsia="zh-TW"/>
              </w:rPr>
              <w:t>。</w:t>
            </w:r>
            <w:r w:rsidRPr="00EB1E72">
              <w:rPr>
                <w:rFonts w:ascii="Calibri" w:eastAsia="細明體" w:hAnsi="Calibri" w:cs="Segoe UI" w:hint="eastAsia"/>
                <w:kern w:val="2"/>
                <w:sz w:val="17"/>
                <w:szCs w:val="17"/>
                <w:lang w:eastAsia="zh-HK"/>
              </w:rPr>
              <w:t>為限制出項下限</w:t>
            </w:r>
            <w:r w:rsidR="00B978B6">
              <w:rPr>
                <w:rFonts w:ascii="Calibri" w:eastAsia="細明體" w:hAnsi="Calibri" w:cs="Segoe UI" w:hint="eastAsia"/>
                <w:kern w:val="2"/>
                <w:sz w:val="17"/>
                <w:szCs w:val="17"/>
                <w:lang w:eastAsia="zh-HK"/>
              </w:rPr>
              <w:t>的應用</w:t>
            </w:r>
            <w:r w:rsidRPr="00EB1E72">
              <w:rPr>
                <w:rFonts w:ascii="Calibri" w:eastAsia="細明體" w:hAnsi="Calibri" w:cs="Segoe UI" w:hint="eastAsia"/>
                <w:kern w:val="2"/>
                <w:sz w:val="17"/>
                <w:szCs w:val="17"/>
                <w:lang w:eastAsia="zh-HK"/>
              </w:rPr>
              <w:t>引致的風險加權數額的增加</w:t>
            </w:r>
            <w:r w:rsidR="00B978B6">
              <w:rPr>
                <w:rFonts w:ascii="Calibri" w:eastAsia="細明體" w:hAnsi="Calibri" w:cs="Segoe UI" w:hint="eastAsia"/>
                <w:kern w:val="2"/>
                <w:sz w:val="17"/>
                <w:szCs w:val="17"/>
                <w:lang w:eastAsia="zh-HK"/>
              </w:rPr>
              <w:t>所</w:t>
            </w:r>
            <w:r w:rsidRPr="00EB1E72">
              <w:rPr>
                <w:rFonts w:ascii="Calibri" w:eastAsia="細明體" w:hAnsi="Calibri" w:cs="Segoe UI" w:hint="eastAsia"/>
                <w:kern w:val="2"/>
                <w:sz w:val="17"/>
                <w:szCs w:val="17"/>
                <w:lang w:eastAsia="zh-HK"/>
              </w:rPr>
              <w:t>作的過渡上限不適用於香港</w:t>
            </w:r>
            <w:r w:rsidRPr="00EB1E72">
              <w:rPr>
                <w:rFonts w:ascii="Calibri" w:eastAsia="細明體" w:hAnsi="Calibri" w:cs="Segoe UI" w:hint="eastAsia"/>
                <w:kern w:val="2"/>
                <w:sz w:val="17"/>
                <w:szCs w:val="17"/>
                <w:lang w:eastAsia="zh-TW"/>
              </w:rPr>
              <w:t>。</w:t>
            </w:r>
          </w:p>
        </w:tc>
      </w:tr>
      <w:tr w:rsidR="00EB1E72" w:rsidRPr="00EB1E72" w14:paraId="0ED70DA6" w14:textId="77777777" w:rsidTr="00217BE5">
        <w:tc>
          <w:tcPr>
            <w:tcW w:w="567" w:type="dxa"/>
            <w:shd w:val="clear" w:color="auto" w:fill="auto"/>
          </w:tcPr>
          <w:p w14:paraId="796729B8" w14:textId="77777777" w:rsidR="00EB1E72" w:rsidRPr="00EB1E72" w:rsidRDefault="00EB1E72"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sidRPr="00EB1E72">
              <w:rPr>
                <w:rFonts w:ascii="Calibri" w:eastAsia="新細明體" w:hAnsi="Calibri" w:cs="Segoe UI" w:hint="eastAsia"/>
                <w:sz w:val="17"/>
                <w:szCs w:val="17"/>
                <w:lang w:eastAsia="zh-TW"/>
              </w:rPr>
              <w:t>28</w:t>
            </w:r>
          </w:p>
        </w:tc>
        <w:tc>
          <w:tcPr>
            <w:tcW w:w="8649" w:type="dxa"/>
            <w:shd w:val="clear" w:color="auto" w:fill="auto"/>
          </w:tcPr>
          <w:p w14:paraId="05B86A6A" w14:textId="3345B8C4"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HK"/>
              </w:rPr>
            </w:pPr>
            <w:r w:rsidRPr="00EB1E72">
              <w:rPr>
                <w:rFonts w:ascii="Calibri" w:eastAsia="新細明體" w:hAnsi="Calibri" w:cs="Segoe UI" w:hint="eastAsia"/>
                <w:sz w:val="17"/>
                <w:szCs w:val="17"/>
                <w:lang w:eastAsia="zh-HK"/>
              </w:rPr>
              <w:t>此行不適用於香港</w:t>
            </w:r>
            <w:r w:rsidRPr="00EB1E72">
              <w:rPr>
                <w:rFonts w:ascii="Calibri" w:eastAsia="新細明體" w:hAnsi="Calibri" w:cs="Segoe UI" w:hint="eastAsia"/>
                <w:sz w:val="17"/>
                <w:szCs w:val="17"/>
                <w:lang w:eastAsia="zh-TW"/>
              </w:rPr>
              <w:t>。</w:t>
            </w:r>
          </w:p>
        </w:tc>
      </w:tr>
      <w:tr w:rsidR="00EB1E72" w:rsidRPr="00EB1E72" w14:paraId="78AE579D" w14:textId="77777777" w:rsidTr="00217BE5">
        <w:tc>
          <w:tcPr>
            <w:tcW w:w="567" w:type="dxa"/>
            <w:shd w:val="clear" w:color="auto" w:fill="auto"/>
          </w:tcPr>
          <w:p w14:paraId="6B334210" w14:textId="037087E8" w:rsidR="00EB1E72" w:rsidRPr="00EB1E72" w:rsidRDefault="0096724A"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Pr>
                <w:rFonts w:ascii="Calibri" w:eastAsia="新細明體" w:hAnsi="Calibri" w:cs="Segoe UI"/>
                <w:sz w:val="17"/>
                <w:szCs w:val="17"/>
                <w:lang w:eastAsia="zh-CN"/>
              </w:rPr>
              <w:t>2</w:t>
            </w:r>
            <w:r w:rsidR="00EB1E72" w:rsidRPr="00EB1E72">
              <w:rPr>
                <w:rFonts w:ascii="Calibri" w:eastAsia="新細明體" w:hAnsi="Calibri" w:cs="Segoe UI" w:hint="eastAsia"/>
                <w:sz w:val="17"/>
                <w:szCs w:val="17"/>
                <w:lang w:eastAsia="zh-TW"/>
              </w:rPr>
              <w:t>8</w:t>
            </w:r>
            <w:r w:rsidR="00EB1E72" w:rsidRPr="00EB1E72">
              <w:rPr>
                <w:rFonts w:ascii="Calibri" w:eastAsia="新細明體" w:hAnsi="Calibri" w:cs="Segoe UI"/>
                <w:sz w:val="17"/>
                <w:szCs w:val="17"/>
                <w:lang w:eastAsia="zh-CN"/>
              </w:rPr>
              <w:t>a</w:t>
            </w:r>
          </w:p>
        </w:tc>
        <w:tc>
          <w:tcPr>
            <w:tcW w:w="8649" w:type="dxa"/>
            <w:shd w:val="clear" w:color="auto" w:fill="auto"/>
          </w:tcPr>
          <w:p w14:paraId="287A58D3" w14:textId="70F1C45F"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風險加權數額扣減</w:t>
            </w:r>
            <w:r w:rsidRPr="00EB1E72">
              <w:rPr>
                <w:rFonts w:ascii="Calibri" w:eastAsia="新細明體" w:hAnsi="Calibri" w:cs="Segoe UI"/>
                <w:sz w:val="17"/>
                <w:szCs w:val="17"/>
                <w:lang w:eastAsia="zh-TW"/>
              </w:rPr>
              <w:t>：為第</w:t>
            </w:r>
            <w:r w:rsidR="00B575B8">
              <w:rPr>
                <w:rFonts w:ascii="Calibri" w:eastAsia="新細明體" w:hAnsi="Calibri" w:cs="Segoe UI"/>
                <w:sz w:val="17"/>
                <w:szCs w:val="17"/>
                <w:lang w:eastAsia="zh-TW"/>
              </w:rPr>
              <w:t>2</w:t>
            </w:r>
            <w:r w:rsidRPr="00EB1E72">
              <w:rPr>
                <w:rFonts w:ascii="Calibri" w:eastAsia="新細明體" w:hAnsi="Calibri" w:cs="Segoe UI" w:hint="eastAsia"/>
                <w:sz w:val="17"/>
                <w:szCs w:val="17"/>
                <w:lang w:eastAsia="zh-TW"/>
              </w:rPr>
              <w:t>8</w:t>
            </w:r>
            <w:r w:rsidRPr="00EB1E72">
              <w:rPr>
                <w:rFonts w:ascii="Calibri" w:eastAsia="新細明體" w:hAnsi="Calibri" w:cs="Segoe UI"/>
                <w:sz w:val="17"/>
                <w:szCs w:val="17"/>
                <w:lang w:eastAsia="zh-TW"/>
              </w:rPr>
              <w:t>b</w:t>
            </w:r>
            <w:r w:rsidRPr="00EB1E72">
              <w:rPr>
                <w:rFonts w:ascii="Calibri" w:eastAsia="新細明體" w:hAnsi="Calibri" w:cs="Segoe UI"/>
                <w:sz w:val="17"/>
                <w:szCs w:val="17"/>
                <w:lang w:eastAsia="zh-TW"/>
              </w:rPr>
              <w:t>及</w:t>
            </w:r>
            <w:r w:rsidR="00B575B8">
              <w:rPr>
                <w:rFonts w:ascii="Calibri" w:eastAsia="新細明體" w:hAnsi="Calibri" w:cs="Segoe UI"/>
                <w:sz w:val="17"/>
                <w:szCs w:val="17"/>
                <w:lang w:eastAsia="zh-TW"/>
              </w:rPr>
              <w:t>2</w:t>
            </w:r>
            <w:r w:rsidRPr="00EB1E72">
              <w:rPr>
                <w:rFonts w:ascii="Calibri" w:eastAsia="新細明體" w:hAnsi="Calibri" w:cs="Segoe UI" w:hint="eastAsia"/>
                <w:sz w:val="17"/>
                <w:szCs w:val="17"/>
                <w:lang w:eastAsia="zh-TW"/>
              </w:rPr>
              <w:t>8</w:t>
            </w:r>
            <w:r w:rsidRPr="00EB1E72">
              <w:rPr>
                <w:rFonts w:ascii="Calibri" w:eastAsia="新細明體" w:hAnsi="Calibri" w:cs="Segoe UI"/>
                <w:sz w:val="17"/>
                <w:szCs w:val="17"/>
                <w:lang w:eastAsia="zh-TW"/>
              </w:rPr>
              <w:t>c</w:t>
            </w:r>
            <w:r w:rsidRPr="00EB1E72">
              <w:rPr>
                <w:rFonts w:ascii="Calibri" w:eastAsia="新細明體" w:hAnsi="Calibri" w:cs="Segoe UI"/>
                <w:sz w:val="17"/>
                <w:szCs w:val="17"/>
                <w:lang w:eastAsia="zh-TW"/>
              </w:rPr>
              <w:t>行的值的總和。</w:t>
            </w:r>
          </w:p>
        </w:tc>
      </w:tr>
      <w:tr w:rsidR="00EB1E72" w:rsidRPr="00EB1E72" w14:paraId="525F9A7C" w14:textId="77777777" w:rsidTr="00217BE5">
        <w:tc>
          <w:tcPr>
            <w:tcW w:w="567" w:type="dxa"/>
            <w:shd w:val="clear" w:color="auto" w:fill="auto"/>
          </w:tcPr>
          <w:p w14:paraId="53640E61" w14:textId="6778E2D8" w:rsidR="00EB1E72" w:rsidRPr="00EB1E72" w:rsidRDefault="0096724A" w:rsidP="00EB1E72">
            <w:pPr>
              <w:keepLines/>
              <w:widowControl w:val="0"/>
              <w:tabs>
                <w:tab w:val="left" w:pos="150"/>
                <w:tab w:val="left" w:pos="397"/>
                <w:tab w:val="left" w:pos="794"/>
                <w:tab w:val="left" w:pos="1191"/>
              </w:tabs>
              <w:spacing w:before="40" w:after="40" w:line="259" w:lineRule="auto"/>
              <w:rPr>
                <w:rFonts w:ascii="Calibri" w:eastAsia="新細明體" w:hAnsi="Calibri"/>
                <w:sz w:val="17"/>
                <w:szCs w:val="22"/>
                <w:lang w:eastAsia="zh-CN"/>
              </w:rPr>
            </w:pPr>
            <w:r>
              <w:rPr>
                <w:rFonts w:ascii="Calibri" w:eastAsia="新細明體" w:hAnsi="Calibri" w:cs="Segoe UI"/>
                <w:sz w:val="17"/>
                <w:szCs w:val="17"/>
                <w:lang w:eastAsia="zh-CN"/>
              </w:rPr>
              <w:t>2</w:t>
            </w:r>
            <w:r w:rsidR="00EB1E72" w:rsidRPr="00EB1E72">
              <w:rPr>
                <w:rFonts w:ascii="Calibri" w:eastAsia="新細明體" w:hAnsi="Calibri" w:cs="Segoe UI" w:hint="eastAsia"/>
                <w:sz w:val="17"/>
                <w:szCs w:val="17"/>
                <w:lang w:eastAsia="zh-TW"/>
              </w:rPr>
              <w:t>8</w:t>
            </w:r>
            <w:r w:rsidR="00EB1E72" w:rsidRPr="00EB1E72">
              <w:rPr>
                <w:rFonts w:ascii="Calibri" w:eastAsia="新細明體" w:hAnsi="Calibri" w:cs="Segoe UI"/>
                <w:sz w:val="17"/>
                <w:szCs w:val="17"/>
                <w:lang w:eastAsia="zh-CN"/>
              </w:rPr>
              <w:t>b</w:t>
            </w:r>
          </w:p>
        </w:tc>
        <w:tc>
          <w:tcPr>
            <w:tcW w:w="8649" w:type="dxa"/>
            <w:shd w:val="clear" w:color="auto" w:fill="auto"/>
          </w:tcPr>
          <w:p w14:paraId="40889241"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新細明體" w:hAnsi="Calibri" w:cs="Segoe UI"/>
                <w:i/>
                <w:sz w:val="17"/>
                <w:szCs w:val="17"/>
                <w:lang w:eastAsia="zh-TW"/>
              </w:rPr>
              <w:t>其中不包括在二級資本內的一般銀行業務風險監管儲備及集體準備金的部分</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22"/>
                <w:lang w:val="en-US" w:eastAsia="zh-TW"/>
              </w:rPr>
              <w:t>本</w:t>
            </w:r>
            <w:r w:rsidRPr="00EB1E72">
              <w:rPr>
                <w:rFonts w:ascii="Calibri" w:eastAsia="細明體" w:hAnsi="Calibri" w:cs="Segoe UI"/>
                <w:kern w:val="2"/>
                <w:sz w:val="17"/>
                <w:szCs w:val="17"/>
                <w:lang w:val="en-US" w:eastAsia="zh-TW"/>
              </w:rPr>
              <w:t>行</w:t>
            </w:r>
            <w:r w:rsidRPr="00EB1E72">
              <w:rPr>
                <w:rFonts w:ascii="Calibri" w:eastAsia="細明體" w:hAnsi="Calibri" w:cs="Segoe UI"/>
                <w:kern w:val="2"/>
                <w:sz w:val="17"/>
                <w:szCs w:val="22"/>
                <w:lang w:val="en-US" w:eastAsia="zh-TW"/>
              </w:rPr>
              <w:t>只適用於使用</w:t>
            </w:r>
            <w:r w:rsidRPr="00EB1E72">
              <w:rPr>
                <w:rFonts w:ascii="Calibri" w:eastAsia="細明體" w:hAnsi="Calibri" w:cs="Segoe UI"/>
                <w:kern w:val="2"/>
                <w:sz w:val="17"/>
                <w:szCs w:val="22"/>
                <w:lang w:val="en-US" w:eastAsia="zh-TW"/>
              </w:rPr>
              <w:t>STC</w:t>
            </w:r>
            <w:r w:rsidRPr="00EB1E72">
              <w:rPr>
                <w:rFonts w:ascii="Calibri" w:eastAsia="細明體" w:hAnsi="Calibri" w:cs="Segoe UI"/>
                <w:kern w:val="2"/>
                <w:sz w:val="17"/>
                <w:szCs w:val="17"/>
                <w:lang w:val="en-US" w:eastAsia="zh-TW"/>
              </w:rPr>
              <w:t>計算法、</w:t>
            </w:r>
            <w:r w:rsidRPr="00EB1E72">
              <w:rPr>
                <w:rFonts w:ascii="Calibri" w:eastAsia="細明體" w:hAnsi="Calibri" w:cs="Segoe UI"/>
                <w:kern w:val="2"/>
                <w:sz w:val="17"/>
                <w:szCs w:val="17"/>
                <w:lang w:val="en-US" w:eastAsia="zh-TW"/>
              </w:rPr>
              <w:t>BSC</w:t>
            </w:r>
            <w:r w:rsidRPr="00EB1E72">
              <w:rPr>
                <w:rFonts w:ascii="Calibri" w:eastAsia="細明體" w:hAnsi="Calibri" w:cs="Segoe UI"/>
                <w:kern w:val="2"/>
                <w:sz w:val="17"/>
                <w:szCs w:val="17"/>
                <w:lang w:val="en-US" w:eastAsia="zh-TW"/>
              </w:rPr>
              <w:t>計算法或</w:t>
            </w:r>
            <w:r w:rsidRPr="00EB1E72">
              <w:rPr>
                <w:rFonts w:ascii="Calibri" w:eastAsia="細明體" w:hAnsi="Calibri" w:cs="Segoe UI"/>
                <w:kern w:val="2"/>
                <w:sz w:val="17"/>
                <w:szCs w:val="17"/>
                <w:lang w:val="en-US" w:eastAsia="zh-TW"/>
              </w:rPr>
              <w:t>SEC-SA</w:t>
            </w:r>
            <w:r w:rsidRPr="00EB1E72">
              <w:rPr>
                <w:rFonts w:ascii="Calibri" w:eastAsia="細明體" w:hAnsi="Calibri" w:cs="Segoe UI"/>
                <w:kern w:val="2"/>
                <w:sz w:val="17"/>
                <w:szCs w:val="17"/>
                <w:lang w:val="en-US" w:eastAsia="zh-TW"/>
              </w:rPr>
              <w:t>、</w:t>
            </w:r>
            <w:r w:rsidRPr="00EB1E72">
              <w:rPr>
                <w:rFonts w:ascii="Calibri" w:eastAsia="細明體" w:hAnsi="Calibri" w:cs="Segoe UI"/>
                <w:kern w:val="2"/>
                <w:sz w:val="17"/>
                <w:szCs w:val="17"/>
                <w:lang w:val="en-US" w:eastAsia="zh-TW"/>
              </w:rPr>
              <w:t>SEC-ERBA</w:t>
            </w:r>
            <w:r w:rsidRPr="00EB1E72">
              <w:rPr>
                <w:rFonts w:ascii="Calibri" w:eastAsia="細明體" w:hAnsi="Calibri" w:cs="Segoe UI"/>
                <w:kern w:val="2"/>
                <w:sz w:val="17"/>
                <w:szCs w:val="17"/>
                <w:lang w:val="en-US" w:eastAsia="zh-TW"/>
              </w:rPr>
              <w:t>或</w:t>
            </w:r>
            <w:r w:rsidRPr="00EB1E72">
              <w:rPr>
                <w:rFonts w:ascii="Calibri" w:eastAsia="細明體" w:hAnsi="Calibri" w:cs="Segoe UI"/>
                <w:kern w:val="2"/>
                <w:sz w:val="17"/>
                <w:szCs w:val="17"/>
                <w:lang w:val="en-US" w:eastAsia="zh-TW"/>
              </w:rPr>
              <w:t>SEC-FBA</w:t>
            </w:r>
            <w:r w:rsidRPr="00EB1E72">
              <w:rPr>
                <w:rFonts w:ascii="Calibri" w:eastAsia="細明體" w:hAnsi="Calibri" w:cs="Segoe UI"/>
                <w:kern w:val="2"/>
                <w:sz w:val="17"/>
                <w:szCs w:val="22"/>
                <w:lang w:val="en-US" w:eastAsia="zh-TW"/>
              </w:rPr>
              <w:t>計算其全部或部分信用風險承擔的認可機構；</w:t>
            </w:r>
            <w:proofErr w:type="gramStart"/>
            <w:r w:rsidRPr="00EB1E72">
              <w:rPr>
                <w:rFonts w:ascii="Calibri" w:eastAsia="細明體" w:hAnsi="Calibri" w:cs="Segoe UI"/>
                <w:kern w:val="2"/>
                <w:sz w:val="17"/>
                <w:szCs w:val="22"/>
                <w:lang w:val="en-US" w:eastAsia="zh-TW"/>
              </w:rPr>
              <w:t>所提述的</w:t>
            </w:r>
            <w:proofErr w:type="gramEnd"/>
            <w:r w:rsidRPr="00EB1E72">
              <w:rPr>
                <w:rFonts w:ascii="Calibri" w:eastAsia="細明體" w:hAnsi="Calibri" w:cs="Segoe UI"/>
                <w:kern w:val="2"/>
                <w:sz w:val="17"/>
                <w:szCs w:val="22"/>
                <w:lang w:val="en-US" w:eastAsia="zh-TW"/>
              </w:rPr>
              <w:t>金額及其計算基礎與</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22"/>
                <w:lang w:val="en-US" w:eastAsia="zh-TW"/>
              </w:rPr>
              <w:t>資本充足比率申報表</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22"/>
                <w:lang w:val="en-US" w:eastAsia="zh-TW"/>
              </w:rPr>
              <w:t>MA(BS)3)</w:t>
            </w:r>
            <w:r w:rsidRPr="00EB1E72">
              <w:rPr>
                <w:rFonts w:ascii="Calibri" w:eastAsia="細明體" w:hAnsi="Calibri" w:cs="Segoe UI"/>
                <w:kern w:val="2"/>
                <w:sz w:val="17"/>
                <w:szCs w:val="22"/>
                <w:lang w:val="en-US" w:eastAsia="zh-TW"/>
              </w:rPr>
              <w:t>第</w:t>
            </w:r>
            <w:r w:rsidRPr="00EB1E72">
              <w:rPr>
                <w:rFonts w:ascii="Calibri" w:eastAsia="細明體" w:hAnsi="Calibri" w:cs="Segoe UI"/>
                <w:kern w:val="2"/>
                <w:sz w:val="17"/>
                <w:szCs w:val="22"/>
                <w:lang w:val="en-US" w:eastAsia="zh-TW"/>
              </w:rPr>
              <w:t>I</w:t>
            </w:r>
            <w:proofErr w:type="gramStart"/>
            <w:r w:rsidRPr="00EB1E72">
              <w:rPr>
                <w:rFonts w:ascii="Calibri" w:eastAsia="細明體" w:hAnsi="Calibri" w:cs="Segoe UI"/>
                <w:kern w:val="2"/>
                <w:sz w:val="17"/>
                <w:szCs w:val="22"/>
                <w:lang w:val="en-US" w:eastAsia="zh-TW"/>
              </w:rPr>
              <w:t>部第</w:t>
            </w:r>
            <w:proofErr w:type="gramEnd"/>
            <w:r w:rsidRPr="00EB1E72">
              <w:rPr>
                <w:rFonts w:ascii="Calibri" w:eastAsia="細明體" w:hAnsi="Calibri" w:cs="Segoe UI"/>
                <w:kern w:val="2"/>
                <w:sz w:val="17"/>
                <w:szCs w:val="22"/>
                <w:lang w:val="en-US" w:eastAsia="zh-TW"/>
              </w:rPr>
              <w:t>A</w:t>
            </w:r>
            <w:r w:rsidRPr="00EB1E72">
              <w:rPr>
                <w:rFonts w:ascii="Calibri" w:eastAsia="細明體" w:hAnsi="Calibri" w:cs="Segoe UI"/>
                <w:kern w:val="2"/>
                <w:sz w:val="17"/>
                <w:szCs w:val="22"/>
                <w:lang w:val="en-US" w:eastAsia="zh-TW"/>
              </w:rPr>
              <w:t>分部第</w:t>
            </w:r>
            <w:r w:rsidRPr="00EB1E72">
              <w:rPr>
                <w:rFonts w:ascii="Calibri" w:eastAsia="細明體" w:hAnsi="Calibri" w:cs="Segoe UI"/>
                <w:kern w:val="2"/>
                <w:sz w:val="17"/>
                <w:szCs w:val="22"/>
                <w:lang w:val="en-US" w:eastAsia="zh-TW"/>
              </w:rPr>
              <w:t>2.12(</w:t>
            </w:r>
            <w:proofErr w:type="spellStart"/>
            <w:r w:rsidRPr="00EB1E72">
              <w:rPr>
                <w:rFonts w:ascii="Calibri" w:eastAsia="細明體" w:hAnsi="Calibri" w:cs="Segoe UI"/>
                <w:kern w:val="2"/>
                <w:sz w:val="17"/>
                <w:szCs w:val="22"/>
                <w:lang w:val="en-US" w:eastAsia="zh-TW"/>
              </w:rPr>
              <w:t>i</w:t>
            </w:r>
            <w:proofErr w:type="spellEnd"/>
            <w:r w:rsidRPr="00EB1E72">
              <w:rPr>
                <w:rFonts w:ascii="Calibri" w:eastAsia="細明體" w:hAnsi="Calibri" w:cs="Segoe UI"/>
                <w:kern w:val="2"/>
                <w:sz w:val="17"/>
                <w:szCs w:val="22"/>
                <w:lang w:val="en-US" w:eastAsia="zh-TW"/>
              </w:rPr>
              <w:t>)</w:t>
            </w:r>
            <w:r w:rsidRPr="00EB1E72">
              <w:rPr>
                <w:rFonts w:ascii="Calibri" w:eastAsia="細明體" w:hAnsi="Calibri" w:cs="Segoe UI"/>
                <w:kern w:val="2"/>
                <w:sz w:val="17"/>
                <w:szCs w:val="22"/>
                <w:lang w:val="en-US" w:eastAsia="zh-TW"/>
              </w:rPr>
              <w:t>項所填報的相同。</w:t>
            </w:r>
          </w:p>
        </w:tc>
      </w:tr>
      <w:tr w:rsidR="00EB1E72" w:rsidRPr="00EB1E72" w14:paraId="7810E001" w14:textId="77777777" w:rsidTr="00217BE5">
        <w:tc>
          <w:tcPr>
            <w:tcW w:w="567" w:type="dxa"/>
            <w:shd w:val="clear" w:color="auto" w:fill="auto"/>
          </w:tcPr>
          <w:p w14:paraId="38B65CD7" w14:textId="4FB862E8" w:rsidR="00EB1E72" w:rsidRPr="00EB1E72" w:rsidRDefault="0096724A"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Pr>
                <w:rFonts w:ascii="Calibri" w:eastAsia="新細明體" w:hAnsi="Calibri" w:cs="Segoe UI"/>
                <w:sz w:val="17"/>
                <w:szCs w:val="17"/>
                <w:lang w:eastAsia="zh-TW"/>
              </w:rPr>
              <w:t>2</w:t>
            </w:r>
            <w:r w:rsidR="00EB1E72" w:rsidRPr="00EB1E72">
              <w:rPr>
                <w:rFonts w:ascii="Calibri" w:eastAsia="新細明體" w:hAnsi="Calibri" w:cs="Segoe UI" w:hint="eastAsia"/>
                <w:sz w:val="17"/>
                <w:szCs w:val="17"/>
                <w:lang w:eastAsia="zh-TW"/>
              </w:rPr>
              <w:t>8</w:t>
            </w:r>
            <w:r w:rsidR="00EB1E72" w:rsidRPr="00EB1E72">
              <w:rPr>
                <w:rFonts w:ascii="Calibri" w:eastAsia="新細明體" w:hAnsi="Calibri" w:cs="Segoe UI"/>
                <w:sz w:val="17"/>
                <w:szCs w:val="17"/>
                <w:lang w:eastAsia="zh-CN"/>
              </w:rPr>
              <w:t>c</w:t>
            </w:r>
          </w:p>
        </w:tc>
        <w:tc>
          <w:tcPr>
            <w:tcW w:w="8649" w:type="dxa"/>
            <w:shd w:val="clear" w:color="auto" w:fill="auto"/>
          </w:tcPr>
          <w:p w14:paraId="47147D1F" w14:textId="77777777" w:rsidR="00EB1E72" w:rsidRPr="00EB1E72" w:rsidRDefault="00EB1E72" w:rsidP="00EB1E72">
            <w:pPr>
              <w:keepLines/>
              <w:widowControl w:val="0"/>
              <w:tabs>
                <w:tab w:val="left" w:pos="150"/>
                <w:tab w:val="left" w:pos="397"/>
                <w:tab w:val="left" w:pos="794"/>
                <w:tab w:val="left" w:pos="1191"/>
              </w:tabs>
              <w:spacing w:before="40" w:after="40" w:line="259" w:lineRule="auto"/>
              <w:jc w:val="both"/>
              <w:rPr>
                <w:rFonts w:ascii="Calibri" w:eastAsia="新細明體" w:hAnsi="Calibri" w:cs="Segoe UI"/>
                <w:i/>
                <w:sz w:val="17"/>
                <w:szCs w:val="17"/>
                <w:lang w:eastAsia="zh-TW"/>
              </w:rPr>
            </w:pPr>
            <w:r w:rsidRPr="00EB1E72">
              <w:rPr>
                <w:rFonts w:ascii="Calibri" w:eastAsia="細明體" w:hAnsi="Calibri" w:cs="Segoe UI"/>
                <w:i/>
                <w:kern w:val="2"/>
                <w:sz w:val="17"/>
                <w:szCs w:val="17"/>
                <w:lang w:val="en-US" w:eastAsia="zh-TW"/>
              </w:rPr>
              <w:t>其中不包括在二級資本內的土地及建築物因價值重估而產生的累積公平價值收益的部分</w:t>
            </w:r>
            <w:r w:rsidRPr="00EB1E72">
              <w:rPr>
                <w:rFonts w:ascii="Calibri" w:eastAsia="細明體" w:hAnsi="Calibri" w:cs="Segoe UI"/>
                <w:kern w:val="2"/>
                <w:sz w:val="17"/>
                <w:szCs w:val="17"/>
                <w:lang w:val="en-US" w:eastAsia="zh-TW"/>
              </w:rPr>
              <w:t>：</w:t>
            </w:r>
            <w:proofErr w:type="gramStart"/>
            <w:r w:rsidRPr="00EB1E72">
              <w:rPr>
                <w:rFonts w:ascii="Calibri" w:eastAsia="細明體" w:hAnsi="Calibri" w:cs="Segoe UI"/>
                <w:kern w:val="2"/>
                <w:sz w:val="17"/>
                <w:szCs w:val="22"/>
                <w:lang w:val="en-US" w:eastAsia="zh-TW"/>
              </w:rPr>
              <w:t>所提述的</w:t>
            </w:r>
            <w:proofErr w:type="gramEnd"/>
            <w:r w:rsidRPr="00EB1E72">
              <w:rPr>
                <w:rFonts w:ascii="Calibri" w:eastAsia="細明體" w:hAnsi="Calibri" w:cs="Segoe UI"/>
                <w:kern w:val="2"/>
                <w:sz w:val="17"/>
                <w:szCs w:val="22"/>
                <w:lang w:val="en-US" w:eastAsia="zh-TW"/>
              </w:rPr>
              <w:t>金額及其計算基礎與</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22"/>
                <w:lang w:val="en-US" w:eastAsia="zh-TW"/>
              </w:rPr>
              <w:t>資本充足比率申報表</w:t>
            </w:r>
            <w:r w:rsidRPr="00EB1E72">
              <w:rPr>
                <w:rFonts w:ascii="Calibri" w:eastAsia="新細明體" w:hAnsi="Calibri" w:cs="Segoe UI"/>
                <w:sz w:val="17"/>
                <w:szCs w:val="17"/>
                <w:lang w:eastAsia="zh-TW"/>
              </w:rPr>
              <w:t>」</w:t>
            </w:r>
            <w:r w:rsidRPr="00EB1E72">
              <w:rPr>
                <w:rFonts w:ascii="Calibri" w:eastAsia="細明體" w:hAnsi="Calibri" w:cs="Segoe UI"/>
                <w:kern w:val="2"/>
                <w:sz w:val="17"/>
                <w:szCs w:val="22"/>
                <w:lang w:val="en-US" w:eastAsia="zh-TW"/>
              </w:rPr>
              <w:t>(MA(BS)3)</w:t>
            </w:r>
            <w:r w:rsidRPr="00EB1E72">
              <w:rPr>
                <w:rFonts w:ascii="Calibri" w:eastAsia="細明體" w:hAnsi="Calibri" w:cs="Segoe UI"/>
                <w:kern w:val="2"/>
                <w:sz w:val="17"/>
                <w:szCs w:val="22"/>
                <w:lang w:val="en-US" w:eastAsia="zh-TW"/>
              </w:rPr>
              <w:t>第</w:t>
            </w:r>
            <w:r w:rsidRPr="00EB1E72">
              <w:rPr>
                <w:rFonts w:ascii="Calibri" w:eastAsia="新細明體" w:hAnsi="Calibri" w:cs="Segoe UI"/>
                <w:sz w:val="17"/>
                <w:szCs w:val="17"/>
                <w:lang w:eastAsia="zh-TW"/>
              </w:rPr>
              <w:t>I</w:t>
            </w:r>
            <w:proofErr w:type="gramStart"/>
            <w:r w:rsidRPr="00EB1E72">
              <w:rPr>
                <w:rFonts w:ascii="Calibri" w:eastAsia="細明體" w:hAnsi="Calibri" w:cs="Segoe UI"/>
                <w:kern w:val="2"/>
                <w:sz w:val="17"/>
                <w:szCs w:val="22"/>
                <w:lang w:val="en-US" w:eastAsia="zh-TW"/>
              </w:rPr>
              <w:t>部第</w:t>
            </w:r>
            <w:proofErr w:type="gramEnd"/>
            <w:r w:rsidRPr="00EB1E72">
              <w:rPr>
                <w:rFonts w:ascii="Calibri" w:eastAsia="細明體" w:hAnsi="Calibri" w:cs="Segoe UI"/>
                <w:kern w:val="2"/>
                <w:sz w:val="17"/>
                <w:szCs w:val="22"/>
                <w:lang w:val="en-US" w:eastAsia="zh-TW"/>
              </w:rPr>
              <w:t>A</w:t>
            </w:r>
            <w:r w:rsidRPr="00EB1E72">
              <w:rPr>
                <w:rFonts w:ascii="Calibri" w:eastAsia="細明體" w:hAnsi="Calibri" w:cs="Segoe UI"/>
                <w:kern w:val="2"/>
                <w:sz w:val="17"/>
                <w:szCs w:val="22"/>
                <w:lang w:val="en-US" w:eastAsia="zh-TW"/>
              </w:rPr>
              <w:t>分部第</w:t>
            </w:r>
            <w:r w:rsidRPr="00EB1E72">
              <w:rPr>
                <w:rFonts w:ascii="Calibri" w:eastAsia="細明體" w:hAnsi="Calibri" w:cs="Segoe UI"/>
                <w:kern w:val="2"/>
                <w:sz w:val="17"/>
                <w:szCs w:val="22"/>
                <w:lang w:val="en-US" w:eastAsia="zh-TW"/>
              </w:rPr>
              <w:t>2.12(ii)</w:t>
            </w:r>
            <w:r w:rsidRPr="00EB1E72">
              <w:rPr>
                <w:rFonts w:ascii="Calibri" w:eastAsia="細明體" w:hAnsi="Calibri" w:cs="Segoe UI"/>
                <w:kern w:val="2"/>
                <w:sz w:val="17"/>
                <w:szCs w:val="22"/>
                <w:lang w:val="en-US" w:eastAsia="zh-TW"/>
              </w:rPr>
              <w:t>項所填報的相同。</w:t>
            </w:r>
          </w:p>
        </w:tc>
      </w:tr>
      <w:tr w:rsidR="00EB1E72" w:rsidRPr="00EB1E72" w14:paraId="0517FDF4" w14:textId="77777777" w:rsidTr="00217BE5">
        <w:tc>
          <w:tcPr>
            <w:tcW w:w="567" w:type="dxa"/>
            <w:shd w:val="clear" w:color="auto" w:fill="auto"/>
          </w:tcPr>
          <w:p w14:paraId="3A6E8D16" w14:textId="662F898E" w:rsidR="00EB1E72" w:rsidRPr="00EB1E72" w:rsidRDefault="0096724A" w:rsidP="00EB1E72">
            <w:pPr>
              <w:keepLines/>
              <w:widowControl w:val="0"/>
              <w:tabs>
                <w:tab w:val="left" w:pos="150"/>
                <w:tab w:val="left" w:pos="397"/>
                <w:tab w:val="left" w:pos="794"/>
                <w:tab w:val="left" w:pos="1191"/>
              </w:tabs>
              <w:spacing w:before="40" w:after="40" w:line="259" w:lineRule="auto"/>
              <w:rPr>
                <w:rFonts w:ascii="Calibri" w:eastAsia="新細明體" w:hAnsi="Calibri" w:cs="Segoe UI"/>
                <w:sz w:val="17"/>
                <w:szCs w:val="17"/>
                <w:lang w:eastAsia="zh-CN"/>
              </w:rPr>
            </w:pPr>
            <w:r>
              <w:rPr>
                <w:rFonts w:ascii="Calibri" w:eastAsia="新細明體" w:hAnsi="Calibri" w:cs="Segoe UI"/>
                <w:sz w:val="17"/>
                <w:szCs w:val="17"/>
                <w:lang w:eastAsia="zh-TW"/>
              </w:rPr>
              <w:t>2</w:t>
            </w:r>
            <w:r w:rsidR="00EB1E72" w:rsidRPr="00EB1E72">
              <w:rPr>
                <w:rFonts w:ascii="Calibri" w:eastAsia="新細明體" w:hAnsi="Calibri" w:cs="Segoe UI" w:hint="eastAsia"/>
                <w:sz w:val="17"/>
                <w:szCs w:val="17"/>
                <w:lang w:eastAsia="zh-TW"/>
              </w:rPr>
              <w:t>9</w:t>
            </w:r>
          </w:p>
        </w:tc>
        <w:tc>
          <w:tcPr>
            <w:tcW w:w="8649" w:type="dxa"/>
            <w:shd w:val="clear" w:color="auto" w:fill="auto"/>
          </w:tcPr>
          <w:p w14:paraId="3E274F3F" w14:textId="7231E567" w:rsidR="00EB1E72" w:rsidRPr="00EB1E72" w:rsidRDefault="00EB1E72" w:rsidP="0073283E">
            <w:pPr>
              <w:keepLines/>
              <w:widowControl w:val="0"/>
              <w:tabs>
                <w:tab w:val="left" w:pos="150"/>
                <w:tab w:val="left" w:pos="397"/>
                <w:tab w:val="left" w:pos="794"/>
                <w:tab w:val="left" w:pos="1191"/>
              </w:tabs>
              <w:spacing w:before="40" w:after="40" w:line="259" w:lineRule="auto"/>
              <w:jc w:val="both"/>
              <w:rPr>
                <w:rFonts w:ascii="Calibri" w:eastAsia="新細明體" w:hAnsi="Calibri" w:cs="Segoe UI"/>
                <w:sz w:val="17"/>
                <w:szCs w:val="17"/>
                <w:lang w:eastAsia="zh-TW"/>
              </w:rPr>
            </w:pPr>
            <w:r w:rsidRPr="00EB1E72">
              <w:rPr>
                <w:rFonts w:ascii="Calibri" w:eastAsia="新細明體" w:hAnsi="Calibri" w:cs="Segoe UI"/>
                <w:i/>
                <w:sz w:val="17"/>
                <w:szCs w:val="17"/>
                <w:lang w:eastAsia="zh-TW"/>
              </w:rPr>
              <w:t>總計</w:t>
            </w:r>
            <w:r w:rsidRPr="00EB1E72">
              <w:rPr>
                <w:rFonts w:ascii="Calibri" w:eastAsia="新細明體" w:hAnsi="Calibri" w:cs="Segoe UI"/>
                <w:sz w:val="17"/>
                <w:szCs w:val="17"/>
                <w:lang w:eastAsia="zh-TW"/>
              </w:rPr>
              <w:t>：相等於第</w:t>
            </w:r>
            <w:r w:rsidRPr="00EB1E72">
              <w:rPr>
                <w:rFonts w:ascii="Calibri" w:eastAsia="新細明體" w:hAnsi="Calibri" w:cs="Segoe UI"/>
                <w:sz w:val="17"/>
                <w:szCs w:val="17"/>
                <w:lang w:eastAsia="zh-TW"/>
              </w:rPr>
              <w:t>1</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6</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10</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12</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13</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14</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14a</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15</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16</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20</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23</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24</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2</w:t>
            </w:r>
            <w:r w:rsidRPr="00EB1E72">
              <w:rPr>
                <w:rFonts w:ascii="Calibri" w:eastAsia="新細明體" w:hAnsi="Calibri" w:cs="Segoe UI" w:hint="eastAsia"/>
                <w:sz w:val="17"/>
                <w:szCs w:val="17"/>
                <w:lang w:eastAsia="zh-TW"/>
              </w:rPr>
              <w:t>4a</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25</w:t>
            </w:r>
            <w:r w:rsidRPr="00EB1E72">
              <w:rPr>
                <w:rFonts w:ascii="Calibri" w:eastAsia="新細明體" w:hAnsi="Calibri" w:cs="Segoe UI" w:hint="eastAsia"/>
                <w:sz w:val="17"/>
                <w:szCs w:val="17"/>
                <w:lang w:eastAsia="zh-TW"/>
              </w:rPr>
              <w:t>及</w:t>
            </w:r>
            <w:r w:rsidRPr="00EB1E72">
              <w:rPr>
                <w:rFonts w:ascii="Calibri" w:eastAsia="新細明體" w:hAnsi="Calibri" w:cs="Segoe UI" w:hint="eastAsia"/>
                <w:sz w:val="17"/>
                <w:szCs w:val="17"/>
                <w:lang w:eastAsia="zh-TW"/>
              </w:rPr>
              <w:t>27</w:t>
            </w:r>
            <w:r w:rsidRPr="00EB1E72">
              <w:rPr>
                <w:rFonts w:ascii="Calibri" w:eastAsia="新細明體" w:hAnsi="Calibri" w:cs="Segoe UI"/>
                <w:sz w:val="17"/>
                <w:szCs w:val="17"/>
                <w:lang w:eastAsia="zh-TW"/>
              </w:rPr>
              <w:t>行的值的總和，</w:t>
            </w:r>
            <w:r w:rsidRPr="00EB1E72">
              <w:rPr>
                <w:rFonts w:ascii="Calibri" w:eastAsia="新細明體" w:hAnsi="Calibri" w:cs="Segoe UI" w:hint="eastAsia"/>
                <w:sz w:val="17"/>
                <w:szCs w:val="17"/>
                <w:lang w:eastAsia="zh-TW"/>
              </w:rPr>
              <w:t>減</w:t>
            </w:r>
            <w:r w:rsidRPr="00EB1E72">
              <w:rPr>
                <w:rFonts w:ascii="Calibri" w:eastAsia="新細明體" w:hAnsi="Calibri" w:cs="Segoe UI" w:hint="eastAsia"/>
                <w:sz w:val="17"/>
                <w:szCs w:val="17"/>
                <w:lang w:eastAsia="zh-HK"/>
              </w:rPr>
              <w:t>去</w:t>
            </w:r>
            <w:r w:rsidRPr="00EB1E72">
              <w:rPr>
                <w:rFonts w:ascii="Calibri" w:eastAsia="新細明體" w:hAnsi="Calibri" w:cs="Segoe UI" w:hint="eastAsia"/>
                <w:sz w:val="17"/>
                <w:szCs w:val="17"/>
                <w:lang w:eastAsia="zh-TW"/>
              </w:rPr>
              <w:t>第</w:t>
            </w:r>
            <w:r w:rsidR="0073283E">
              <w:rPr>
                <w:rFonts w:ascii="Calibri" w:eastAsia="新細明體" w:hAnsi="Calibri" w:cs="Segoe UI"/>
                <w:sz w:val="17"/>
                <w:szCs w:val="17"/>
                <w:lang w:eastAsia="zh-TW"/>
              </w:rPr>
              <w:t>28</w:t>
            </w:r>
            <w:r w:rsidRPr="00EB1E72">
              <w:rPr>
                <w:rFonts w:ascii="Calibri" w:eastAsia="新細明體" w:hAnsi="Calibri" w:cs="Segoe UI"/>
                <w:sz w:val="17"/>
                <w:szCs w:val="17"/>
                <w:lang w:eastAsia="zh-TW"/>
              </w:rPr>
              <w:t>a</w:t>
            </w:r>
            <w:r w:rsidRPr="00EB1E72">
              <w:rPr>
                <w:rFonts w:ascii="Calibri" w:eastAsia="新細明體" w:hAnsi="Calibri" w:cs="Segoe UI" w:hint="eastAsia"/>
                <w:sz w:val="17"/>
                <w:szCs w:val="17"/>
                <w:lang w:eastAsia="zh-TW"/>
              </w:rPr>
              <w:t>行的值</w:t>
            </w:r>
            <w:r w:rsidRPr="00EB1E72">
              <w:rPr>
                <w:rFonts w:ascii="Calibri" w:eastAsia="新細明體" w:hAnsi="Calibri" w:cs="Segoe UI"/>
                <w:sz w:val="17"/>
                <w:szCs w:val="17"/>
                <w:lang w:eastAsia="zh-TW"/>
              </w:rPr>
              <w:t>。</w:t>
            </w:r>
            <w:r w:rsidRPr="00EB1E72">
              <w:rPr>
                <w:rFonts w:ascii="Calibri" w:eastAsia="新細明體" w:hAnsi="Calibri" w:cs="Segoe UI"/>
                <w:sz w:val="17"/>
                <w:szCs w:val="17"/>
                <w:lang w:eastAsia="zh-TW"/>
              </w:rPr>
              <w:t xml:space="preserve"> </w:t>
            </w:r>
          </w:p>
        </w:tc>
      </w:tr>
    </w:tbl>
    <w:p w14:paraId="0C931AE7" w14:textId="77777777" w:rsidR="00EA36FA" w:rsidRDefault="00EA36FA" w:rsidP="001177B0">
      <w:pPr>
        <w:pStyle w:val="Heading1"/>
        <w:tabs>
          <w:tab w:val="clear" w:pos="794"/>
          <w:tab w:val="left" w:pos="426"/>
        </w:tabs>
        <w:suppressAutoHyphens/>
        <w:spacing w:before="0"/>
        <w:rPr>
          <w:rFonts w:eastAsia="細明體"/>
          <w:lang w:eastAsia="zh-TW"/>
        </w:rPr>
        <w:sectPr w:rsidR="00EA36FA" w:rsidSect="00EA36FA">
          <w:headerReference w:type="default" r:id="rId16"/>
          <w:footerReference w:type="default" r:id="rId17"/>
          <w:pgSz w:w="11906" w:h="16838"/>
          <w:pgMar w:top="1440" w:right="1276" w:bottom="1440" w:left="1276" w:header="720" w:footer="737" w:gutter="0"/>
          <w:cols w:space="720"/>
          <w:docGrid w:type="linesAndChars" w:linePitch="360"/>
        </w:sectPr>
      </w:pPr>
    </w:p>
    <w:p w14:paraId="2A4C1B58" w14:textId="2632F94F" w:rsidR="00F52F24" w:rsidRDefault="00F52F24" w:rsidP="001177B0">
      <w:pPr>
        <w:pStyle w:val="Heading1"/>
        <w:tabs>
          <w:tab w:val="clear" w:pos="794"/>
          <w:tab w:val="left" w:pos="426"/>
        </w:tabs>
        <w:suppressAutoHyphens/>
        <w:spacing w:before="0"/>
        <w:rPr>
          <w:rFonts w:eastAsia="細明體"/>
          <w:sz w:val="22"/>
          <w:lang w:eastAsia="zh-TW"/>
        </w:rPr>
      </w:pPr>
      <w:r>
        <w:rPr>
          <w:rFonts w:eastAsia="細明體" w:hint="eastAsia"/>
          <w:lang w:eastAsia="zh-TW"/>
        </w:rPr>
        <w:t>第</w:t>
      </w:r>
      <w:r>
        <w:rPr>
          <w:rFonts w:eastAsia="細明體"/>
          <w:lang w:eastAsia="zh-TW"/>
        </w:rPr>
        <w:t>II</w:t>
      </w:r>
      <w:r>
        <w:rPr>
          <w:rFonts w:eastAsia="細明體" w:hint="eastAsia"/>
          <w:lang w:eastAsia="zh-TW"/>
        </w:rPr>
        <w:t>部：財務報表與監管風險承擔的關連</w:t>
      </w:r>
    </w:p>
    <w:p w14:paraId="43CFCDC4" w14:textId="3DA34405" w:rsidR="00EB4D73" w:rsidRPr="00EB4D73" w:rsidRDefault="00EB4D73" w:rsidP="00EB4D73">
      <w:pPr>
        <w:pStyle w:val="Heading2"/>
        <w:keepNext w:val="0"/>
        <w:suppressAutoHyphens w:val="0"/>
        <w:spacing w:before="40" w:line="240" w:lineRule="auto"/>
        <w:ind w:left="-454" w:firstLine="596"/>
        <w:rPr>
          <w:rFonts w:ascii="細明體" w:eastAsia="細明體" w:hAnsi="細明體"/>
          <w:b w:val="0"/>
          <w:bCs w:val="0"/>
          <w:sz w:val="22"/>
          <w:szCs w:val="20"/>
          <w:lang w:eastAsia="zh-TW"/>
        </w:rPr>
      </w:pPr>
      <w:r w:rsidRPr="00EB4D73">
        <w:rPr>
          <w:rFonts w:ascii="細明體" w:eastAsia="細明體" w:hAnsi="細明體" w:cs="微軟正黑體" w:hint="eastAsia"/>
          <w:b w:val="0"/>
          <w:bCs w:val="0"/>
          <w:sz w:val="22"/>
          <w:szCs w:val="20"/>
          <w:lang w:eastAsia="zh-TW"/>
        </w:rPr>
        <w:t>模版</w:t>
      </w:r>
      <w:r w:rsidRPr="00EB4D73">
        <w:rPr>
          <w:rFonts w:ascii="Segoe UI" w:eastAsia="細明體" w:hAnsi="Segoe UI" w:cs="Segoe UI"/>
          <w:b w:val="0"/>
          <w:bCs w:val="0"/>
          <w:sz w:val="22"/>
          <w:szCs w:val="20"/>
          <w:lang w:eastAsia="zh-TW"/>
        </w:rPr>
        <w:t>LI1</w:t>
      </w:r>
      <w:r w:rsidRPr="00EB4D73">
        <w:rPr>
          <w:rFonts w:ascii="細明體" w:eastAsia="細明體" w:hAnsi="細明體" w:cs="微軟正黑體" w:hint="eastAsia"/>
          <w:b w:val="0"/>
          <w:bCs w:val="0"/>
          <w:sz w:val="22"/>
          <w:szCs w:val="20"/>
          <w:lang w:eastAsia="zh-TW"/>
        </w:rPr>
        <w:t>：會計與監管綜合範圍之間的差別及財務報表類別與監管風險類別的配對</w:t>
      </w:r>
    </w:p>
    <w:tbl>
      <w:tblPr>
        <w:tblW w:w="0" w:type="auto"/>
        <w:tblInd w:w="108" w:type="dxa"/>
        <w:tblLayout w:type="fixed"/>
        <w:tblLook w:val="0000" w:firstRow="0" w:lastRow="0" w:firstColumn="0" w:lastColumn="0" w:noHBand="0" w:noVBand="0"/>
      </w:tblPr>
      <w:tblGrid>
        <w:gridCol w:w="2127"/>
        <w:gridCol w:w="11765"/>
      </w:tblGrid>
      <w:tr w:rsidR="00F52F24" w14:paraId="42F1C890" w14:textId="77777777" w:rsidTr="00F52F24">
        <w:tc>
          <w:tcPr>
            <w:tcW w:w="2127" w:type="dxa"/>
            <w:tcBorders>
              <w:top w:val="single" w:sz="4" w:space="0" w:color="000000"/>
              <w:bottom w:val="single" w:sz="4" w:space="0" w:color="000000"/>
            </w:tcBorders>
            <w:shd w:val="clear" w:color="auto" w:fill="auto"/>
          </w:tcPr>
          <w:p w14:paraId="05D34B55" w14:textId="77777777" w:rsidR="00F52F24" w:rsidRDefault="00F52F24" w:rsidP="00F52F24">
            <w:pPr>
              <w:spacing w:before="40" w:after="40"/>
              <w:rPr>
                <w:rFonts w:eastAsia="細明體"/>
                <w:sz w:val="17"/>
                <w:szCs w:val="17"/>
              </w:rPr>
            </w:pPr>
            <w:proofErr w:type="spellStart"/>
            <w:r>
              <w:rPr>
                <w:rFonts w:eastAsia="細明體" w:hint="eastAsia"/>
                <w:b/>
                <w:sz w:val="17"/>
              </w:rPr>
              <w:t>目的</w:t>
            </w:r>
            <w:proofErr w:type="spellEnd"/>
            <w:r>
              <w:rPr>
                <w:rFonts w:eastAsia="細明體" w:hint="eastAsia"/>
                <w:b/>
                <w:sz w:val="17"/>
              </w:rPr>
              <w:t>：</w:t>
            </w:r>
            <w:r>
              <w:rPr>
                <w:rFonts w:eastAsia="細明體"/>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15FDC16A" w14:textId="77777777" w:rsidR="00F52F24" w:rsidRDefault="00F52F24" w:rsidP="00F52F24">
            <w:pPr>
              <w:spacing w:before="40" w:after="40"/>
              <w:jc w:val="both"/>
              <w:rPr>
                <w:lang w:eastAsia="zh-TW"/>
              </w:rPr>
            </w:pPr>
            <w:r>
              <w:rPr>
                <w:rFonts w:eastAsia="細明體" w:hint="eastAsia"/>
                <w:sz w:val="17"/>
                <w:szCs w:val="17"/>
                <w:lang w:eastAsia="zh-TW"/>
              </w:rPr>
              <w:t>提供資產及負債的資料，讓使用者</w:t>
            </w:r>
            <w:proofErr w:type="gramStart"/>
            <w:r>
              <w:rPr>
                <w:rFonts w:eastAsia="細明體" w:hint="eastAsia"/>
                <w:sz w:val="17"/>
                <w:szCs w:val="17"/>
                <w:lang w:eastAsia="zh-TW"/>
              </w:rPr>
              <w:t>能</w:t>
            </w:r>
            <w:r w:rsidRPr="00AE6BE6">
              <w:rPr>
                <w:rFonts w:eastAsia="細明體" w:hint="eastAsia"/>
                <w:sz w:val="17"/>
                <w:szCs w:val="17"/>
                <w:lang w:eastAsia="zh-TW"/>
              </w:rPr>
              <w:t>識辨</w:t>
            </w:r>
            <w:r>
              <w:rPr>
                <w:rFonts w:eastAsia="細明體" w:hint="eastAsia"/>
                <w:sz w:val="17"/>
                <w:szCs w:val="17"/>
                <w:lang w:eastAsia="zh-TW"/>
              </w:rPr>
              <w:t>會計</w:t>
            </w:r>
            <w:proofErr w:type="gramEnd"/>
            <w:r>
              <w:rPr>
                <w:rFonts w:eastAsia="細明體" w:hint="eastAsia"/>
                <w:sz w:val="17"/>
                <w:szCs w:val="17"/>
                <w:lang w:eastAsia="zh-TW"/>
              </w:rPr>
              <w:t>綜合範圍及監管綜合範圍之間的差別，並就基於會計綜合範圍</w:t>
            </w:r>
            <w:r w:rsidRPr="002B545E">
              <w:rPr>
                <w:rFonts w:eastAsia="細明體" w:hint="eastAsia"/>
                <w:sz w:val="17"/>
                <w:szCs w:val="17"/>
                <w:lang w:eastAsia="zh-TW"/>
              </w:rPr>
              <w:t>在</w:t>
            </w:r>
            <w:r>
              <w:rPr>
                <w:rFonts w:eastAsia="細明體" w:hint="eastAsia"/>
                <w:sz w:val="17"/>
                <w:szCs w:val="17"/>
                <w:lang w:eastAsia="zh-TW"/>
              </w:rPr>
              <w:t>財務報表報告的每項資產及負債，</w:t>
            </w:r>
            <w:r w:rsidRPr="002C6631">
              <w:rPr>
                <w:rFonts w:eastAsia="細明體" w:hint="eastAsia"/>
                <w:sz w:val="17"/>
                <w:szCs w:val="17"/>
                <w:lang w:eastAsia="zh-TW"/>
              </w:rPr>
              <w:t>按監管風險類別作出細目分類</w:t>
            </w:r>
            <w:r>
              <w:rPr>
                <w:rFonts w:eastAsia="細明體" w:hint="eastAsia"/>
                <w:sz w:val="17"/>
                <w:szCs w:val="17"/>
                <w:lang w:eastAsia="zh-TW"/>
              </w:rPr>
              <w:t>。</w:t>
            </w:r>
          </w:p>
        </w:tc>
      </w:tr>
      <w:tr w:rsidR="00F52F24" w14:paraId="0448D4EC" w14:textId="77777777" w:rsidTr="00F52F24">
        <w:tc>
          <w:tcPr>
            <w:tcW w:w="2127" w:type="dxa"/>
            <w:tcBorders>
              <w:top w:val="single" w:sz="4" w:space="0" w:color="000000"/>
              <w:bottom w:val="single" w:sz="4" w:space="0" w:color="000000"/>
            </w:tcBorders>
            <w:shd w:val="clear" w:color="auto" w:fill="auto"/>
          </w:tcPr>
          <w:p w14:paraId="50A819F9" w14:textId="77777777" w:rsidR="00F52F24" w:rsidRDefault="00F52F24" w:rsidP="00F52F24">
            <w:pPr>
              <w:spacing w:before="40" w:after="40"/>
              <w:rPr>
                <w:rFonts w:eastAsia="細明體"/>
                <w:szCs w:val="17"/>
              </w:rPr>
            </w:pPr>
            <w:proofErr w:type="spellStart"/>
            <w:r>
              <w:rPr>
                <w:rFonts w:eastAsia="細明體" w:hint="eastAsia"/>
                <w:b/>
                <w:sz w:val="17"/>
              </w:rPr>
              <w:t>適用範圍</w:t>
            </w:r>
            <w:proofErr w:type="spellEnd"/>
            <w:r>
              <w:rPr>
                <w:rFonts w:eastAsia="細明體" w:hint="eastAsia"/>
                <w:b/>
                <w:sz w:val="17"/>
              </w:rPr>
              <w:t>：</w:t>
            </w:r>
            <w:r>
              <w:rPr>
                <w:rFonts w:eastAsia="細明體"/>
                <w:b/>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5BF9413E" w14:textId="77777777" w:rsidR="00F52F24" w:rsidRDefault="00F52F24" w:rsidP="00F52F24">
            <w:pPr>
              <w:pStyle w:val="TableText"/>
              <w:jc w:val="both"/>
              <w:rPr>
                <w:lang w:eastAsia="zh-TW"/>
              </w:rPr>
            </w:pPr>
            <w:r>
              <w:rPr>
                <w:rFonts w:eastAsia="細明體" w:hint="eastAsia"/>
                <w:szCs w:val="17"/>
                <w:lang w:eastAsia="zh-TW"/>
              </w:rPr>
              <w:t>所有</w:t>
            </w:r>
            <w:r>
              <w:rPr>
                <w:rFonts w:eastAsia="細明體" w:hint="eastAsia"/>
                <w:lang w:eastAsia="zh-TW"/>
              </w:rPr>
              <w:t>在香港成立</w:t>
            </w:r>
            <w:proofErr w:type="gramStart"/>
            <w:r>
              <w:rPr>
                <w:rFonts w:eastAsia="細明體" w:hint="eastAsia"/>
                <w:lang w:eastAsia="zh-TW"/>
              </w:rPr>
              <w:t>為法團的</w:t>
            </w:r>
            <w:proofErr w:type="gramEnd"/>
            <w:r>
              <w:rPr>
                <w:rFonts w:eastAsia="細明體" w:hint="eastAsia"/>
                <w:lang w:eastAsia="zh-TW"/>
              </w:rPr>
              <w:t>認可機構</w:t>
            </w:r>
            <w:proofErr w:type="gramStart"/>
            <w:r>
              <w:rPr>
                <w:rFonts w:eastAsia="細明體" w:hint="eastAsia"/>
                <w:szCs w:val="17"/>
                <w:lang w:eastAsia="zh-TW"/>
              </w:rPr>
              <w:t>均須填報本模</w:t>
            </w:r>
            <w:proofErr w:type="gramEnd"/>
            <w:r>
              <w:rPr>
                <w:rFonts w:eastAsia="細明體" w:hint="eastAsia"/>
                <w:szCs w:val="17"/>
                <w:lang w:eastAsia="zh-TW"/>
              </w:rPr>
              <w:t>版。</w:t>
            </w:r>
          </w:p>
        </w:tc>
      </w:tr>
      <w:tr w:rsidR="00F52F24" w14:paraId="5B1E6F7D" w14:textId="77777777" w:rsidTr="00F52F24">
        <w:tc>
          <w:tcPr>
            <w:tcW w:w="2127" w:type="dxa"/>
            <w:tcBorders>
              <w:top w:val="single" w:sz="4" w:space="0" w:color="000000"/>
              <w:bottom w:val="single" w:sz="4" w:space="0" w:color="000000"/>
            </w:tcBorders>
            <w:shd w:val="clear" w:color="auto" w:fill="auto"/>
          </w:tcPr>
          <w:p w14:paraId="791D1CB3" w14:textId="77777777" w:rsidR="00F52F24" w:rsidRDefault="00F52F24" w:rsidP="00F52F24">
            <w:pPr>
              <w:spacing w:before="40" w:after="40"/>
              <w:rPr>
                <w:rFonts w:eastAsia="細明體"/>
                <w:szCs w:val="17"/>
              </w:rPr>
            </w:pPr>
            <w:proofErr w:type="spellStart"/>
            <w:r>
              <w:rPr>
                <w:rFonts w:eastAsia="細明體" w:hint="eastAsia"/>
                <w:b/>
                <w:sz w:val="17"/>
              </w:rPr>
              <w:t>內容</w:t>
            </w:r>
            <w:proofErr w:type="spellEnd"/>
            <w:r>
              <w:rPr>
                <w:rFonts w:eastAsia="細明體" w:hint="eastAsia"/>
                <w:b/>
                <w:sz w:val="17"/>
              </w:rPr>
              <w:t>：</w:t>
            </w:r>
            <w:r>
              <w:rPr>
                <w:rFonts w:eastAsia="細明體"/>
                <w:b/>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6CE2FD5B" w14:textId="77777777" w:rsidR="00F52F24" w:rsidRDefault="00F52F24" w:rsidP="00F52F24">
            <w:pPr>
              <w:pStyle w:val="TableText"/>
              <w:jc w:val="both"/>
              <w:rPr>
                <w:lang w:eastAsia="zh-TW"/>
              </w:rPr>
            </w:pPr>
            <w:proofErr w:type="gramStart"/>
            <w:r>
              <w:rPr>
                <w:rFonts w:eastAsia="細明體" w:hint="eastAsia"/>
                <w:szCs w:val="17"/>
                <w:lang w:eastAsia="zh-TW"/>
              </w:rPr>
              <w:t>帳面</w:t>
            </w:r>
            <w:proofErr w:type="gramEnd"/>
            <w:r>
              <w:rPr>
                <w:rFonts w:eastAsia="細明體" w:hint="eastAsia"/>
                <w:szCs w:val="17"/>
                <w:lang w:eastAsia="zh-TW"/>
              </w:rPr>
              <w:t>值（對應在財務報表所</w:t>
            </w:r>
            <w:proofErr w:type="gramStart"/>
            <w:r>
              <w:rPr>
                <w:rFonts w:eastAsia="細明體" w:hint="eastAsia"/>
                <w:szCs w:val="17"/>
                <w:lang w:eastAsia="zh-TW"/>
              </w:rPr>
              <w:t>匯</w:t>
            </w:r>
            <w:proofErr w:type="gramEnd"/>
            <w:r>
              <w:rPr>
                <w:rFonts w:eastAsia="細明體" w:hint="eastAsia"/>
                <w:szCs w:val="17"/>
                <w:lang w:eastAsia="zh-TW"/>
              </w:rPr>
              <w:t>報的值）</w:t>
            </w:r>
            <w:r>
              <w:rPr>
                <w:rFonts w:eastAsia="細明體"/>
                <w:lang w:eastAsia="zh-TW"/>
              </w:rPr>
              <w:t>。</w:t>
            </w:r>
          </w:p>
        </w:tc>
      </w:tr>
      <w:tr w:rsidR="00F52F24" w14:paraId="36616CF0" w14:textId="77777777" w:rsidTr="00F52F24">
        <w:tc>
          <w:tcPr>
            <w:tcW w:w="2127" w:type="dxa"/>
            <w:tcBorders>
              <w:top w:val="single" w:sz="4" w:space="0" w:color="000000"/>
              <w:bottom w:val="single" w:sz="4" w:space="0" w:color="000000"/>
            </w:tcBorders>
            <w:shd w:val="clear" w:color="auto" w:fill="auto"/>
          </w:tcPr>
          <w:p w14:paraId="39A7E9C0" w14:textId="77777777" w:rsidR="00F52F24" w:rsidRDefault="00F52F24" w:rsidP="00F52F24">
            <w:pPr>
              <w:spacing w:before="40" w:after="40"/>
              <w:rPr>
                <w:rFonts w:eastAsia="細明體"/>
                <w:szCs w:val="17"/>
              </w:rPr>
            </w:pPr>
            <w:proofErr w:type="spellStart"/>
            <w:r>
              <w:rPr>
                <w:rFonts w:eastAsia="細明體" w:hint="eastAsia"/>
                <w:b/>
                <w:sz w:val="17"/>
              </w:rPr>
              <w:t>頻密程度</w:t>
            </w:r>
            <w:proofErr w:type="spellEnd"/>
            <w:r>
              <w:rPr>
                <w:rFonts w:eastAsia="細明體" w:hint="eastAsia"/>
                <w:b/>
                <w:sz w:val="17"/>
              </w:rPr>
              <w:t>：</w:t>
            </w:r>
            <w:r>
              <w:rPr>
                <w:rFonts w:eastAsia="細明體"/>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79BF2E55" w14:textId="77777777" w:rsidR="00F52F24" w:rsidRDefault="00F52F24" w:rsidP="00F52F24">
            <w:pPr>
              <w:pStyle w:val="TableText"/>
              <w:jc w:val="both"/>
            </w:pPr>
            <w:proofErr w:type="spellStart"/>
            <w:r>
              <w:rPr>
                <w:rFonts w:eastAsia="細明體" w:hint="eastAsia"/>
                <w:szCs w:val="17"/>
              </w:rPr>
              <w:t>每年一次</w:t>
            </w:r>
            <w:proofErr w:type="spellEnd"/>
            <w:r>
              <w:rPr>
                <w:rFonts w:eastAsia="細明體"/>
              </w:rPr>
              <w:t>。</w:t>
            </w:r>
          </w:p>
        </w:tc>
      </w:tr>
      <w:tr w:rsidR="00F52F24" w14:paraId="3E209C46" w14:textId="77777777" w:rsidTr="00F52F24">
        <w:tc>
          <w:tcPr>
            <w:tcW w:w="2127" w:type="dxa"/>
            <w:tcBorders>
              <w:top w:val="single" w:sz="4" w:space="0" w:color="000000"/>
              <w:bottom w:val="single" w:sz="4" w:space="0" w:color="000000"/>
            </w:tcBorders>
            <w:shd w:val="clear" w:color="auto" w:fill="auto"/>
          </w:tcPr>
          <w:p w14:paraId="529D08FB" w14:textId="77777777" w:rsidR="00F52F24" w:rsidRDefault="00F52F24" w:rsidP="00F52F24">
            <w:pPr>
              <w:spacing w:before="40" w:after="40"/>
              <w:rPr>
                <w:rFonts w:eastAsia="細明體"/>
                <w:szCs w:val="17"/>
              </w:rPr>
            </w:pPr>
            <w:proofErr w:type="spellStart"/>
            <w:r>
              <w:rPr>
                <w:rFonts w:eastAsia="細明體" w:hint="eastAsia"/>
                <w:b/>
                <w:sz w:val="17"/>
              </w:rPr>
              <w:t>格式</w:t>
            </w:r>
            <w:proofErr w:type="spellEnd"/>
            <w:r>
              <w:rPr>
                <w:rFonts w:eastAsia="細明體" w:hint="eastAsia"/>
                <w:b/>
                <w:sz w:val="17"/>
              </w:rPr>
              <w:t>：</w:t>
            </w:r>
            <w:r>
              <w:rPr>
                <w:rFonts w:eastAsia="細明體"/>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6D6E5E32" w14:textId="77777777" w:rsidR="00F52F24" w:rsidRDefault="00F52F24" w:rsidP="00F52F24">
            <w:pPr>
              <w:pStyle w:val="TableText"/>
              <w:jc w:val="both"/>
              <w:rPr>
                <w:lang w:eastAsia="zh-TW"/>
              </w:rPr>
            </w:pPr>
            <w:r>
              <w:rPr>
                <w:rFonts w:eastAsia="細明體" w:hint="eastAsia"/>
                <w:szCs w:val="17"/>
                <w:lang w:eastAsia="zh-TW"/>
              </w:rPr>
              <w:t>非固定，但各行應與認可機構的財務報表的呈報方式一致。</w:t>
            </w:r>
          </w:p>
        </w:tc>
      </w:tr>
      <w:tr w:rsidR="00F52F24" w14:paraId="78C8756D" w14:textId="77777777" w:rsidTr="00F52F24">
        <w:tc>
          <w:tcPr>
            <w:tcW w:w="2127" w:type="dxa"/>
            <w:tcBorders>
              <w:top w:val="single" w:sz="4" w:space="0" w:color="000000"/>
              <w:bottom w:val="single" w:sz="4" w:space="0" w:color="000000"/>
            </w:tcBorders>
            <w:shd w:val="clear" w:color="auto" w:fill="auto"/>
          </w:tcPr>
          <w:p w14:paraId="041809DE" w14:textId="77777777" w:rsidR="00F52F24" w:rsidRDefault="00F52F24" w:rsidP="00F52F24">
            <w:pPr>
              <w:spacing w:before="40" w:after="40"/>
              <w:rPr>
                <w:rFonts w:eastAsia="細明體"/>
                <w:szCs w:val="17"/>
              </w:rPr>
            </w:pPr>
            <w:proofErr w:type="spellStart"/>
            <w:r>
              <w:rPr>
                <w:rFonts w:eastAsia="細明體" w:hint="eastAsia"/>
                <w:b/>
                <w:sz w:val="17"/>
                <w:szCs w:val="17"/>
              </w:rPr>
              <w:t>附加說明</w:t>
            </w:r>
            <w:proofErr w:type="spellEnd"/>
            <w:r>
              <w:rPr>
                <w:rFonts w:eastAsia="細明體" w:hint="eastAsia"/>
                <w:b/>
                <w:sz w:val="17"/>
                <w:szCs w:val="17"/>
              </w:rPr>
              <w:t>：</w:t>
            </w:r>
          </w:p>
        </w:tc>
        <w:tc>
          <w:tcPr>
            <w:tcW w:w="11765" w:type="dxa"/>
            <w:tcBorders>
              <w:top w:val="single" w:sz="4" w:space="0" w:color="000000"/>
              <w:left w:val="single" w:sz="4" w:space="0" w:color="000000"/>
              <w:bottom w:val="single" w:sz="4" w:space="0" w:color="000000"/>
            </w:tcBorders>
            <w:shd w:val="clear" w:color="auto" w:fill="auto"/>
          </w:tcPr>
          <w:p w14:paraId="293F345C" w14:textId="77777777" w:rsidR="00F52F24" w:rsidRDefault="00F52F24" w:rsidP="00F52F24">
            <w:pPr>
              <w:pStyle w:val="TableText"/>
              <w:jc w:val="both"/>
              <w:rPr>
                <w:lang w:eastAsia="zh-TW"/>
              </w:rPr>
            </w:pPr>
            <w:r>
              <w:rPr>
                <w:rFonts w:eastAsia="細明體" w:hint="eastAsia"/>
                <w:szCs w:val="17"/>
                <w:lang w:eastAsia="zh-TW"/>
              </w:rPr>
              <w:t>如表</w:t>
            </w:r>
            <w:r>
              <w:rPr>
                <w:rFonts w:eastAsia="細明體"/>
                <w:szCs w:val="17"/>
                <w:lang w:eastAsia="zh-TW"/>
              </w:rPr>
              <w:t>LIA</w:t>
            </w:r>
            <w:r>
              <w:rPr>
                <w:rFonts w:eastAsia="細明體" w:hint="eastAsia"/>
                <w:szCs w:val="17"/>
                <w:lang w:eastAsia="zh-TW"/>
              </w:rPr>
              <w:t>所載。認可機構應就須在多於一種風險類別</w:t>
            </w:r>
            <w:r>
              <w:rPr>
                <w:rFonts w:eastAsia="細明體"/>
                <w:szCs w:val="17"/>
                <w:lang w:eastAsia="zh-TW"/>
              </w:rPr>
              <w:t>計算</w:t>
            </w:r>
            <w:r>
              <w:rPr>
                <w:rFonts w:eastAsia="細明體" w:hint="eastAsia"/>
                <w:szCs w:val="17"/>
                <w:lang w:eastAsia="zh-TW"/>
              </w:rPr>
              <w:t>監管資本要求的項目，提供描述解釋。</w:t>
            </w:r>
            <w:r>
              <w:rPr>
                <w:rFonts w:eastAsia="細明體"/>
                <w:szCs w:val="17"/>
                <w:lang w:eastAsia="zh-TW"/>
              </w:rPr>
              <w:t xml:space="preserve"> </w:t>
            </w:r>
          </w:p>
        </w:tc>
      </w:tr>
      <w:tr w:rsidR="00F52F24" w14:paraId="6B0AA7A6" w14:textId="77777777" w:rsidTr="00F52F24">
        <w:tc>
          <w:tcPr>
            <w:tcW w:w="2127" w:type="dxa"/>
            <w:tcBorders>
              <w:top w:val="single" w:sz="4" w:space="0" w:color="000000"/>
              <w:bottom w:val="single" w:sz="4" w:space="0" w:color="000000"/>
            </w:tcBorders>
            <w:shd w:val="clear" w:color="auto" w:fill="auto"/>
          </w:tcPr>
          <w:p w14:paraId="3D4DC5CB" w14:textId="77777777" w:rsidR="00F52F24" w:rsidRDefault="00F52F24" w:rsidP="00F52F24">
            <w:pPr>
              <w:spacing w:before="40" w:after="40"/>
              <w:rPr>
                <w:rFonts w:eastAsia="細明體"/>
                <w:szCs w:val="17"/>
                <w:lang w:eastAsia="zh-TW"/>
              </w:rPr>
            </w:pPr>
            <w:r>
              <w:rPr>
                <w:rFonts w:eastAsia="細明體" w:hint="eastAsia"/>
                <w:b/>
                <w:sz w:val="17"/>
                <w:szCs w:val="17"/>
                <w:lang w:eastAsia="zh-TW"/>
              </w:rPr>
              <w:t>《披露規則》相應條文：</w:t>
            </w:r>
          </w:p>
        </w:tc>
        <w:tc>
          <w:tcPr>
            <w:tcW w:w="11765" w:type="dxa"/>
            <w:tcBorders>
              <w:top w:val="single" w:sz="4" w:space="0" w:color="000000"/>
              <w:left w:val="single" w:sz="4" w:space="0" w:color="000000"/>
              <w:bottom w:val="single" w:sz="4" w:space="0" w:color="000000"/>
            </w:tcBorders>
            <w:shd w:val="clear" w:color="auto" w:fill="auto"/>
          </w:tcPr>
          <w:p w14:paraId="6BA9C580" w14:textId="77777777" w:rsidR="00F52F24" w:rsidRDefault="00F52F24" w:rsidP="00F52F24">
            <w:pPr>
              <w:pStyle w:val="TableText"/>
              <w:jc w:val="both"/>
            </w:pPr>
            <w:r>
              <w:rPr>
                <w:rFonts w:eastAsia="細明體"/>
                <w:szCs w:val="17"/>
              </w:rPr>
              <w:t>16D</w:t>
            </w:r>
          </w:p>
        </w:tc>
      </w:tr>
    </w:tbl>
    <w:p w14:paraId="12CE77BB" w14:textId="77777777" w:rsidR="00F52F24" w:rsidRDefault="00F52F24" w:rsidP="00F52F24">
      <w:pPr>
        <w:spacing w:before="40" w:after="40"/>
        <w:rPr>
          <w:rFonts w:eastAsia="細明體"/>
        </w:rPr>
      </w:pPr>
    </w:p>
    <w:tbl>
      <w:tblPr>
        <w:tblW w:w="13912" w:type="dxa"/>
        <w:tblInd w:w="108" w:type="dxa"/>
        <w:tblLayout w:type="fixed"/>
        <w:tblLook w:val="0000" w:firstRow="0" w:lastRow="0" w:firstColumn="0" w:lastColumn="0" w:noHBand="0" w:noVBand="0"/>
      </w:tblPr>
      <w:tblGrid>
        <w:gridCol w:w="3119"/>
        <w:gridCol w:w="1417"/>
        <w:gridCol w:w="1418"/>
        <w:gridCol w:w="1587"/>
        <w:gridCol w:w="1588"/>
        <w:gridCol w:w="1587"/>
        <w:gridCol w:w="1588"/>
        <w:gridCol w:w="1608"/>
      </w:tblGrid>
      <w:tr w:rsidR="00F52F24" w14:paraId="77FBEE58" w14:textId="77777777" w:rsidTr="00F52F24">
        <w:trPr>
          <w:trHeight w:val="179"/>
          <w:tblHeader/>
        </w:trPr>
        <w:tc>
          <w:tcPr>
            <w:tcW w:w="3119" w:type="dxa"/>
            <w:shd w:val="clear" w:color="auto" w:fill="FFFFFF"/>
            <w:vAlign w:val="center"/>
          </w:tcPr>
          <w:p w14:paraId="15D3EE1E" w14:textId="77777777" w:rsidR="00F52F24" w:rsidRDefault="00F52F24" w:rsidP="00F52F24">
            <w:pPr>
              <w:snapToGrid w:val="0"/>
              <w:jc w:val="center"/>
              <w:rPr>
                <w:rFonts w:eastAsia="細明體"/>
                <w:sz w:val="17"/>
                <w:szCs w:val="17"/>
              </w:rPr>
            </w:pPr>
          </w:p>
        </w:tc>
        <w:tc>
          <w:tcPr>
            <w:tcW w:w="1417" w:type="dxa"/>
            <w:tcBorders>
              <w:top w:val="single" w:sz="4" w:space="0" w:color="000000"/>
              <w:left w:val="single" w:sz="4" w:space="0" w:color="000000"/>
              <w:bottom w:val="single" w:sz="4" w:space="0" w:color="000000"/>
            </w:tcBorders>
            <w:shd w:val="clear" w:color="auto" w:fill="FFFFFF"/>
            <w:vAlign w:val="center"/>
          </w:tcPr>
          <w:p w14:paraId="7E62BCAD" w14:textId="77777777" w:rsidR="00F52F24" w:rsidRDefault="00F52F24" w:rsidP="00F52F24">
            <w:pPr>
              <w:jc w:val="center"/>
              <w:rPr>
                <w:rFonts w:eastAsia="細明體"/>
                <w:sz w:val="17"/>
                <w:szCs w:val="17"/>
              </w:rPr>
            </w:pPr>
            <w:r>
              <w:rPr>
                <w:rFonts w:eastAsia="細明體"/>
                <w:sz w:val="17"/>
                <w:szCs w:val="17"/>
              </w:rPr>
              <w:t>(a)</w:t>
            </w:r>
          </w:p>
        </w:tc>
        <w:tc>
          <w:tcPr>
            <w:tcW w:w="1418" w:type="dxa"/>
            <w:tcBorders>
              <w:top w:val="single" w:sz="4" w:space="0" w:color="000000"/>
              <w:left w:val="single" w:sz="4" w:space="0" w:color="000000"/>
              <w:bottom w:val="single" w:sz="4" w:space="0" w:color="000000"/>
            </w:tcBorders>
            <w:shd w:val="clear" w:color="auto" w:fill="FFFFFF"/>
            <w:vAlign w:val="center"/>
          </w:tcPr>
          <w:p w14:paraId="2CED3980" w14:textId="77777777" w:rsidR="00F52F24" w:rsidRDefault="00F52F24" w:rsidP="00F52F24">
            <w:pPr>
              <w:jc w:val="center"/>
              <w:rPr>
                <w:rFonts w:eastAsia="細明體"/>
                <w:sz w:val="17"/>
              </w:rPr>
            </w:pPr>
            <w:r>
              <w:rPr>
                <w:rFonts w:eastAsia="細明體"/>
                <w:sz w:val="17"/>
                <w:szCs w:val="17"/>
              </w:rPr>
              <w:t>(b)</w:t>
            </w:r>
          </w:p>
        </w:tc>
        <w:tc>
          <w:tcPr>
            <w:tcW w:w="1587" w:type="dxa"/>
            <w:tcBorders>
              <w:top w:val="single" w:sz="4" w:space="0" w:color="000000"/>
              <w:left w:val="single" w:sz="4" w:space="0" w:color="000000"/>
              <w:bottom w:val="single" w:sz="4" w:space="0" w:color="000000"/>
            </w:tcBorders>
            <w:shd w:val="clear" w:color="auto" w:fill="FFFFFF"/>
            <w:vAlign w:val="center"/>
          </w:tcPr>
          <w:p w14:paraId="23C3B8B2" w14:textId="77777777" w:rsidR="00F52F24" w:rsidRDefault="00F52F24" w:rsidP="00F52F24">
            <w:pPr>
              <w:jc w:val="center"/>
              <w:rPr>
                <w:rFonts w:eastAsia="細明體"/>
                <w:sz w:val="17"/>
              </w:rPr>
            </w:pPr>
            <w:r>
              <w:rPr>
                <w:rFonts w:eastAsia="細明體"/>
                <w:sz w:val="17"/>
              </w:rPr>
              <w:t>(c)</w:t>
            </w:r>
          </w:p>
        </w:tc>
        <w:tc>
          <w:tcPr>
            <w:tcW w:w="1588" w:type="dxa"/>
            <w:tcBorders>
              <w:top w:val="single" w:sz="4" w:space="0" w:color="000000"/>
              <w:left w:val="single" w:sz="4" w:space="0" w:color="000000"/>
              <w:bottom w:val="single" w:sz="4" w:space="0" w:color="000000"/>
            </w:tcBorders>
            <w:shd w:val="clear" w:color="auto" w:fill="FFFFFF"/>
            <w:vAlign w:val="center"/>
          </w:tcPr>
          <w:p w14:paraId="26914C4C" w14:textId="77777777" w:rsidR="00F52F24" w:rsidRDefault="00F52F24" w:rsidP="00F52F24">
            <w:pPr>
              <w:jc w:val="center"/>
              <w:rPr>
                <w:rFonts w:eastAsia="細明體"/>
                <w:sz w:val="17"/>
              </w:rPr>
            </w:pPr>
            <w:r>
              <w:rPr>
                <w:rFonts w:eastAsia="細明體"/>
                <w:sz w:val="17"/>
              </w:rPr>
              <w:t>(d)</w:t>
            </w:r>
          </w:p>
        </w:tc>
        <w:tc>
          <w:tcPr>
            <w:tcW w:w="1587" w:type="dxa"/>
            <w:tcBorders>
              <w:top w:val="single" w:sz="4" w:space="0" w:color="000000"/>
              <w:left w:val="single" w:sz="4" w:space="0" w:color="000000"/>
              <w:bottom w:val="single" w:sz="4" w:space="0" w:color="000000"/>
            </w:tcBorders>
            <w:shd w:val="clear" w:color="auto" w:fill="FFFFFF"/>
            <w:vAlign w:val="center"/>
          </w:tcPr>
          <w:p w14:paraId="2F28CBF6" w14:textId="77777777" w:rsidR="00F52F24" w:rsidRDefault="00F52F24" w:rsidP="00F52F24">
            <w:pPr>
              <w:jc w:val="center"/>
              <w:rPr>
                <w:rFonts w:eastAsia="細明體"/>
                <w:sz w:val="17"/>
                <w:szCs w:val="17"/>
              </w:rPr>
            </w:pPr>
            <w:r>
              <w:rPr>
                <w:rFonts w:eastAsia="細明體"/>
                <w:sz w:val="17"/>
              </w:rPr>
              <w:t>(e)</w:t>
            </w:r>
          </w:p>
        </w:tc>
        <w:tc>
          <w:tcPr>
            <w:tcW w:w="1588" w:type="dxa"/>
            <w:tcBorders>
              <w:top w:val="single" w:sz="4" w:space="0" w:color="000000"/>
              <w:left w:val="single" w:sz="4" w:space="0" w:color="000000"/>
              <w:bottom w:val="single" w:sz="4" w:space="0" w:color="000000"/>
            </w:tcBorders>
            <w:shd w:val="clear" w:color="auto" w:fill="FFFFFF"/>
            <w:vAlign w:val="center"/>
          </w:tcPr>
          <w:p w14:paraId="4B2579BA" w14:textId="77777777" w:rsidR="00F52F24" w:rsidRDefault="00F52F24" w:rsidP="00F52F24">
            <w:pPr>
              <w:jc w:val="center"/>
              <w:rPr>
                <w:rFonts w:eastAsia="細明體"/>
                <w:sz w:val="17"/>
                <w:szCs w:val="17"/>
              </w:rPr>
            </w:pPr>
            <w:r>
              <w:rPr>
                <w:rFonts w:eastAsia="細明體"/>
                <w:sz w:val="17"/>
                <w:szCs w:val="17"/>
              </w:rPr>
              <w:t>(f)</w:t>
            </w:r>
          </w:p>
        </w:tc>
        <w:tc>
          <w:tcPr>
            <w:tcW w:w="16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BBAD8" w14:textId="77777777" w:rsidR="00F52F24" w:rsidRDefault="00F52F24" w:rsidP="00F52F24">
            <w:pPr>
              <w:tabs>
                <w:tab w:val="left" w:pos="658"/>
              </w:tabs>
              <w:jc w:val="center"/>
            </w:pPr>
            <w:r>
              <w:rPr>
                <w:rFonts w:eastAsia="細明體"/>
                <w:sz w:val="17"/>
                <w:szCs w:val="17"/>
              </w:rPr>
              <w:t>(g)</w:t>
            </w:r>
          </w:p>
        </w:tc>
      </w:tr>
      <w:tr w:rsidR="00F52F24" w14:paraId="762A4A57" w14:textId="77777777" w:rsidTr="00F52F24">
        <w:trPr>
          <w:trHeight w:val="161"/>
          <w:tblHeader/>
        </w:trPr>
        <w:tc>
          <w:tcPr>
            <w:tcW w:w="3119" w:type="dxa"/>
            <w:shd w:val="clear" w:color="auto" w:fill="FFFFFF"/>
            <w:vAlign w:val="bottom"/>
          </w:tcPr>
          <w:p w14:paraId="16F3AC2B" w14:textId="77777777" w:rsidR="00F52F24" w:rsidRDefault="00F52F24" w:rsidP="00F52F24">
            <w:pPr>
              <w:rPr>
                <w:rFonts w:eastAsia="細明體"/>
                <w:sz w:val="17"/>
                <w:szCs w:val="17"/>
              </w:rPr>
            </w:pPr>
            <w:r>
              <w:rPr>
                <w:rFonts w:eastAsia="細明體"/>
                <w:sz w:val="17"/>
                <w:szCs w:val="17"/>
              </w:rPr>
              <w:t xml:space="preserve"> </w:t>
            </w:r>
          </w:p>
        </w:tc>
        <w:tc>
          <w:tcPr>
            <w:tcW w:w="1417" w:type="dxa"/>
            <w:vMerge w:val="restart"/>
            <w:tcBorders>
              <w:top w:val="single" w:sz="4" w:space="0" w:color="000000"/>
              <w:left w:val="single" w:sz="4" w:space="0" w:color="000000"/>
              <w:bottom w:val="single" w:sz="4" w:space="0" w:color="C0C0C0"/>
            </w:tcBorders>
            <w:shd w:val="clear" w:color="auto" w:fill="FFFFFF"/>
            <w:vAlign w:val="center"/>
          </w:tcPr>
          <w:p w14:paraId="1D20AD63" w14:textId="77777777" w:rsidR="00F52F24" w:rsidRDefault="00F52F24" w:rsidP="00F52F24">
            <w:pPr>
              <w:snapToGrid w:val="0"/>
              <w:jc w:val="center"/>
              <w:rPr>
                <w:rFonts w:eastAsia="細明體"/>
                <w:sz w:val="17"/>
                <w:szCs w:val="17"/>
                <w:lang w:eastAsia="zh-TW"/>
              </w:rPr>
            </w:pPr>
            <w:r>
              <w:rPr>
                <w:rFonts w:eastAsia="細明體" w:hint="eastAsia"/>
                <w:sz w:val="17"/>
                <w:szCs w:val="17"/>
                <w:lang w:eastAsia="zh-TW"/>
              </w:rPr>
              <w:t>已發布的財務報表</w:t>
            </w:r>
            <w:proofErr w:type="gramStart"/>
            <w:r>
              <w:rPr>
                <w:rFonts w:eastAsia="細明體" w:hint="eastAsia"/>
                <w:sz w:val="17"/>
                <w:szCs w:val="17"/>
                <w:lang w:eastAsia="zh-TW"/>
              </w:rPr>
              <w:t>匯</w:t>
            </w:r>
            <w:proofErr w:type="gramEnd"/>
            <w:r>
              <w:rPr>
                <w:rFonts w:eastAsia="細明體" w:hint="eastAsia"/>
                <w:sz w:val="17"/>
                <w:szCs w:val="17"/>
                <w:lang w:eastAsia="zh-TW"/>
              </w:rPr>
              <w:t>報的</w:t>
            </w:r>
            <w:proofErr w:type="gramStart"/>
            <w:r>
              <w:rPr>
                <w:rFonts w:eastAsia="細明體" w:hint="eastAsia"/>
                <w:sz w:val="17"/>
                <w:szCs w:val="17"/>
                <w:lang w:eastAsia="zh-TW"/>
              </w:rPr>
              <w:t>帳面</w:t>
            </w:r>
            <w:proofErr w:type="gramEnd"/>
            <w:r>
              <w:rPr>
                <w:rFonts w:eastAsia="細明體" w:hint="eastAsia"/>
                <w:sz w:val="17"/>
                <w:szCs w:val="17"/>
                <w:lang w:eastAsia="zh-TW"/>
              </w:rPr>
              <w:t>值</w:t>
            </w:r>
          </w:p>
        </w:tc>
        <w:tc>
          <w:tcPr>
            <w:tcW w:w="1418" w:type="dxa"/>
            <w:vMerge w:val="restart"/>
            <w:tcBorders>
              <w:top w:val="single" w:sz="4" w:space="0" w:color="000000"/>
              <w:left w:val="single" w:sz="4" w:space="0" w:color="000000"/>
              <w:bottom w:val="single" w:sz="4" w:space="0" w:color="C0C0C0"/>
            </w:tcBorders>
            <w:shd w:val="clear" w:color="auto" w:fill="FFFFFF"/>
            <w:vAlign w:val="center"/>
          </w:tcPr>
          <w:p w14:paraId="09A8788C" w14:textId="77777777" w:rsidR="00F52F24" w:rsidRDefault="00F52F24" w:rsidP="00F52F24">
            <w:pPr>
              <w:snapToGrid w:val="0"/>
              <w:jc w:val="center"/>
              <w:rPr>
                <w:rFonts w:eastAsia="細明體"/>
                <w:sz w:val="17"/>
                <w:lang w:eastAsia="zh-TW"/>
              </w:rPr>
            </w:pPr>
            <w:r>
              <w:rPr>
                <w:rFonts w:eastAsia="細明體" w:hint="eastAsia"/>
                <w:sz w:val="17"/>
                <w:szCs w:val="17"/>
                <w:lang w:eastAsia="zh-TW"/>
              </w:rPr>
              <w:t>在監管綜合範圍下的</w:t>
            </w:r>
            <w:proofErr w:type="gramStart"/>
            <w:r>
              <w:rPr>
                <w:rFonts w:eastAsia="細明體" w:hint="eastAsia"/>
                <w:sz w:val="17"/>
                <w:szCs w:val="17"/>
                <w:lang w:eastAsia="zh-TW"/>
              </w:rPr>
              <w:t>帳面</w:t>
            </w:r>
            <w:proofErr w:type="gramEnd"/>
            <w:r>
              <w:rPr>
                <w:rFonts w:eastAsia="細明體" w:hint="eastAsia"/>
                <w:sz w:val="17"/>
                <w:szCs w:val="17"/>
                <w:lang w:eastAsia="zh-TW"/>
              </w:rPr>
              <w:t>值</w:t>
            </w:r>
          </w:p>
        </w:tc>
        <w:tc>
          <w:tcPr>
            <w:tcW w:w="795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F255493" w14:textId="77777777" w:rsidR="00F52F24" w:rsidRDefault="00F52F24" w:rsidP="00F52F24">
            <w:pPr>
              <w:snapToGrid w:val="0"/>
              <w:jc w:val="center"/>
            </w:pPr>
            <w:proofErr w:type="spellStart"/>
            <w:r>
              <w:rPr>
                <w:rFonts w:eastAsia="細明體" w:hint="eastAsia"/>
                <w:sz w:val="17"/>
              </w:rPr>
              <w:t>項目的帳面值</w:t>
            </w:r>
            <w:proofErr w:type="spellEnd"/>
            <w:r>
              <w:rPr>
                <w:rFonts w:eastAsia="細明體" w:hint="eastAsia"/>
                <w:sz w:val="17"/>
              </w:rPr>
              <w:t>：</w:t>
            </w:r>
          </w:p>
        </w:tc>
      </w:tr>
      <w:tr w:rsidR="00F52F24" w14:paraId="68B202C3" w14:textId="77777777" w:rsidTr="00F52F24">
        <w:trPr>
          <w:trHeight w:val="688"/>
          <w:tblHeader/>
        </w:trPr>
        <w:tc>
          <w:tcPr>
            <w:tcW w:w="3119" w:type="dxa"/>
            <w:tcBorders>
              <w:bottom w:val="single" w:sz="4" w:space="0" w:color="000000"/>
            </w:tcBorders>
            <w:shd w:val="clear" w:color="auto" w:fill="FFFFFF"/>
            <w:vAlign w:val="bottom"/>
          </w:tcPr>
          <w:p w14:paraId="4F72DB9F" w14:textId="77777777" w:rsidR="00F52F24" w:rsidRDefault="00F52F24" w:rsidP="00F52F24">
            <w:pPr>
              <w:snapToGrid w:val="0"/>
              <w:rPr>
                <w:rFonts w:eastAsia="細明體"/>
                <w:sz w:val="17"/>
                <w:szCs w:val="17"/>
              </w:rPr>
            </w:pPr>
          </w:p>
        </w:tc>
        <w:tc>
          <w:tcPr>
            <w:tcW w:w="1417" w:type="dxa"/>
            <w:vMerge/>
            <w:tcBorders>
              <w:top w:val="single" w:sz="4" w:space="0" w:color="C0C0C0"/>
              <w:left w:val="single" w:sz="4" w:space="0" w:color="000000"/>
              <w:bottom w:val="single" w:sz="4" w:space="0" w:color="000000"/>
            </w:tcBorders>
            <w:shd w:val="clear" w:color="auto" w:fill="FFFFFF"/>
            <w:vAlign w:val="bottom"/>
          </w:tcPr>
          <w:p w14:paraId="046051E2" w14:textId="77777777" w:rsidR="00F52F24" w:rsidRDefault="00F52F24" w:rsidP="00F52F24">
            <w:pPr>
              <w:snapToGrid w:val="0"/>
              <w:jc w:val="center"/>
              <w:rPr>
                <w:rFonts w:eastAsia="細明體"/>
                <w:sz w:val="17"/>
                <w:szCs w:val="17"/>
              </w:rPr>
            </w:pPr>
          </w:p>
        </w:tc>
        <w:tc>
          <w:tcPr>
            <w:tcW w:w="1418" w:type="dxa"/>
            <w:vMerge/>
            <w:tcBorders>
              <w:top w:val="single" w:sz="4" w:space="0" w:color="C0C0C0"/>
              <w:left w:val="single" w:sz="4" w:space="0" w:color="000000"/>
              <w:bottom w:val="single" w:sz="4" w:space="0" w:color="000000"/>
            </w:tcBorders>
            <w:shd w:val="clear" w:color="auto" w:fill="FFFFFF"/>
            <w:vAlign w:val="bottom"/>
          </w:tcPr>
          <w:p w14:paraId="7E320CE3" w14:textId="77777777" w:rsidR="00F52F24" w:rsidRDefault="00F52F24" w:rsidP="00F52F24">
            <w:pPr>
              <w:snapToGrid w:val="0"/>
              <w:jc w:val="center"/>
              <w:rPr>
                <w:rFonts w:eastAsia="細明體"/>
                <w:sz w:val="17"/>
                <w:szCs w:val="17"/>
              </w:rPr>
            </w:pPr>
          </w:p>
        </w:tc>
        <w:tc>
          <w:tcPr>
            <w:tcW w:w="1587" w:type="dxa"/>
            <w:tcBorders>
              <w:top w:val="single" w:sz="4" w:space="0" w:color="000000"/>
              <w:left w:val="single" w:sz="4" w:space="0" w:color="000000"/>
              <w:bottom w:val="single" w:sz="4" w:space="0" w:color="000000"/>
            </w:tcBorders>
            <w:shd w:val="clear" w:color="auto" w:fill="FFFFFF"/>
            <w:vAlign w:val="center"/>
          </w:tcPr>
          <w:p w14:paraId="61254CBC" w14:textId="77777777" w:rsidR="00F52F24" w:rsidRDefault="00F52F24" w:rsidP="00F52F24">
            <w:pPr>
              <w:snapToGrid w:val="0"/>
              <w:jc w:val="center"/>
              <w:rPr>
                <w:rFonts w:eastAsia="細明體"/>
                <w:sz w:val="17"/>
              </w:rPr>
            </w:pPr>
            <w:proofErr w:type="spellStart"/>
            <w:r>
              <w:rPr>
                <w:rFonts w:eastAsia="細明體" w:hint="eastAsia"/>
                <w:sz w:val="17"/>
              </w:rPr>
              <w:t>受信用風險框架規</w:t>
            </w:r>
            <w:r>
              <w:rPr>
                <w:rFonts w:eastAsia="細明體" w:hint="eastAsia"/>
                <w:sz w:val="17"/>
                <w:szCs w:val="17"/>
              </w:rPr>
              <w:t>限</w:t>
            </w:r>
            <w:proofErr w:type="spellEnd"/>
          </w:p>
        </w:tc>
        <w:tc>
          <w:tcPr>
            <w:tcW w:w="1588" w:type="dxa"/>
            <w:tcBorders>
              <w:top w:val="single" w:sz="4" w:space="0" w:color="000000"/>
              <w:left w:val="single" w:sz="4" w:space="0" w:color="000000"/>
              <w:bottom w:val="single" w:sz="4" w:space="0" w:color="000000"/>
            </w:tcBorders>
            <w:shd w:val="clear" w:color="auto" w:fill="FFFFFF"/>
            <w:vAlign w:val="center"/>
          </w:tcPr>
          <w:p w14:paraId="6EFDB444" w14:textId="77777777" w:rsidR="00F52F24" w:rsidRDefault="00F52F24" w:rsidP="00F52F24">
            <w:pPr>
              <w:snapToGrid w:val="0"/>
              <w:jc w:val="center"/>
              <w:rPr>
                <w:rFonts w:eastAsia="細明體"/>
                <w:sz w:val="17"/>
                <w:lang w:eastAsia="zh-TW"/>
              </w:rPr>
            </w:pPr>
            <w:r>
              <w:rPr>
                <w:rFonts w:eastAsia="細明體" w:hint="eastAsia"/>
                <w:sz w:val="17"/>
                <w:lang w:eastAsia="zh-TW"/>
              </w:rPr>
              <w:t>受對手方信用</w:t>
            </w:r>
          </w:p>
          <w:p w14:paraId="15F98B18" w14:textId="77777777" w:rsidR="00F52F24" w:rsidRDefault="00F52F24" w:rsidP="00F52F24">
            <w:pPr>
              <w:snapToGrid w:val="0"/>
              <w:jc w:val="center"/>
              <w:rPr>
                <w:rFonts w:eastAsia="細明體"/>
                <w:sz w:val="17"/>
                <w:lang w:eastAsia="zh-TW"/>
              </w:rPr>
            </w:pPr>
            <w:r>
              <w:rPr>
                <w:rFonts w:eastAsia="細明體" w:hint="eastAsia"/>
                <w:sz w:val="17"/>
                <w:lang w:eastAsia="zh-TW"/>
              </w:rPr>
              <w:t>風險框架</w:t>
            </w:r>
            <w:proofErr w:type="gramStart"/>
            <w:r>
              <w:rPr>
                <w:rFonts w:eastAsia="細明體" w:hint="eastAsia"/>
                <w:sz w:val="17"/>
                <w:lang w:eastAsia="zh-TW"/>
              </w:rPr>
              <w:t>規</w:t>
            </w:r>
            <w:proofErr w:type="gramEnd"/>
            <w:r>
              <w:rPr>
                <w:rFonts w:eastAsia="細明體" w:hint="eastAsia"/>
                <w:sz w:val="17"/>
                <w:szCs w:val="17"/>
                <w:lang w:eastAsia="zh-TW"/>
              </w:rPr>
              <w:t>限</w:t>
            </w:r>
          </w:p>
        </w:tc>
        <w:tc>
          <w:tcPr>
            <w:tcW w:w="1587" w:type="dxa"/>
            <w:tcBorders>
              <w:top w:val="single" w:sz="4" w:space="0" w:color="000000"/>
              <w:left w:val="single" w:sz="4" w:space="0" w:color="000000"/>
              <w:bottom w:val="single" w:sz="4" w:space="0" w:color="000000"/>
            </w:tcBorders>
            <w:shd w:val="clear" w:color="auto" w:fill="FFFFFF"/>
            <w:vAlign w:val="center"/>
          </w:tcPr>
          <w:p w14:paraId="2159CAE6" w14:textId="77777777" w:rsidR="00F52F24" w:rsidRDefault="00F52F24" w:rsidP="00F52F24">
            <w:pPr>
              <w:snapToGrid w:val="0"/>
              <w:jc w:val="center"/>
              <w:rPr>
                <w:rFonts w:eastAsia="細明體"/>
                <w:sz w:val="17"/>
              </w:rPr>
            </w:pPr>
            <w:proofErr w:type="spellStart"/>
            <w:r>
              <w:rPr>
                <w:rFonts w:eastAsia="細明體" w:hint="eastAsia"/>
                <w:sz w:val="17"/>
              </w:rPr>
              <w:t>受證券化框架規</w:t>
            </w:r>
            <w:r>
              <w:rPr>
                <w:rFonts w:eastAsia="細明體" w:hint="eastAsia"/>
                <w:sz w:val="17"/>
                <w:szCs w:val="17"/>
              </w:rPr>
              <w:t>限</w:t>
            </w:r>
            <w:proofErr w:type="spellEnd"/>
          </w:p>
        </w:tc>
        <w:tc>
          <w:tcPr>
            <w:tcW w:w="1588" w:type="dxa"/>
            <w:tcBorders>
              <w:top w:val="single" w:sz="4" w:space="0" w:color="C0C0C0"/>
              <w:left w:val="single" w:sz="4" w:space="0" w:color="000000"/>
              <w:bottom w:val="single" w:sz="4" w:space="0" w:color="000000"/>
            </w:tcBorders>
            <w:shd w:val="clear" w:color="auto" w:fill="FFFFFF"/>
            <w:vAlign w:val="center"/>
          </w:tcPr>
          <w:p w14:paraId="0CC98F5B" w14:textId="77777777" w:rsidR="00F52F24" w:rsidRDefault="00F52F24" w:rsidP="00F52F24">
            <w:pPr>
              <w:snapToGrid w:val="0"/>
              <w:jc w:val="center"/>
              <w:rPr>
                <w:rFonts w:eastAsia="細明體"/>
                <w:sz w:val="17"/>
              </w:rPr>
            </w:pPr>
            <w:proofErr w:type="spellStart"/>
            <w:r>
              <w:rPr>
                <w:rFonts w:eastAsia="細明體" w:hint="eastAsia"/>
                <w:sz w:val="17"/>
              </w:rPr>
              <w:t>受市場風險框架規</w:t>
            </w:r>
            <w:r>
              <w:rPr>
                <w:rFonts w:eastAsia="細明體" w:hint="eastAsia"/>
                <w:sz w:val="17"/>
                <w:szCs w:val="17"/>
              </w:rPr>
              <w:t>限</w:t>
            </w:r>
            <w:proofErr w:type="spellEnd"/>
            <w:r>
              <w:rPr>
                <w:rFonts w:eastAsia="細明體" w:hint="eastAsia"/>
                <w:sz w:val="17"/>
                <w:szCs w:val="17"/>
                <w:lang w:eastAsia="zh-TW"/>
              </w:rPr>
              <w:t>*</w:t>
            </w:r>
          </w:p>
        </w:tc>
        <w:tc>
          <w:tcPr>
            <w:tcW w:w="1608" w:type="dxa"/>
            <w:tcBorders>
              <w:top w:val="single" w:sz="4" w:space="0" w:color="C0C0C0"/>
              <w:left w:val="single" w:sz="4" w:space="0" w:color="000000"/>
              <w:bottom w:val="single" w:sz="4" w:space="0" w:color="000000"/>
              <w:right w:val="single" w:sz="4" w:space="0" w:color="000000"/>
            </w:tcBorders>
            <w:shd w:val="clear" w:color="auto" w:fill="FFFFFF"/>
            <w:vAlign w:val="center"/>
          </w:tcPr>
          <w:p w14:paraId="2B8D5992" w14:textId="77777777" w:rsidR="00F52F24" w:rsidRDefault="00F52F24" w:rsidP="00F52F24">
            <w:pPr>
              <w:snapToGrid w:val="0"/>
              <w:jc w:val="center"/>
              <w:rPr>
                <w:lang w:eastAsia="zh-TW"/>
              </w:rPr>
            </w:pPr>
            <w:r>
              <w:rPr>
                <w:rFonts w:eastAsia="細明體" w:hint="eastAsia"/>
                <w:sz w:val="17"/>
                <w:lang w:eastAsia="zh-TW"/>
              </w:rPr>
              <w:t>不受資本規定</w:t>
            </w:r>
            <w:proofErr w:type="gramStart"/>
            <w:r>
              <w:rPr>
                <w:rFonts w:eastAsia="細明體" w:hint="eastAsia"/>
                <w:sz w:val="17"/>
                <w:lang w:eastAsia="zh-TW"/>
              </w:rPr>
              <w:t>規</w:t>
            </w:r>
            <w:r>
              <w:rPr>
                <w:rFonts w:eastAsia="細明體" w:hint="eastAsia"/>
                <w:sz w:val="17"/>
                <w:szCs w:val="17"/>
                <w:lang w:eastAsia="zh-TW"/>
              </w:rPr>
              <w:t>限</w:t>
            </w:r>
            <w:r>
              <w:rPr>
                <w:rFonts w:eastAsia="細明體" w:hint="eastAsia"/>
                <w:sz w:val="17"/>
                <w:lang w:eastAsia="zh-TW"/>
              </w:rPr>
              <w:t>或</w:t>
            </w:r>
            <w:proofErr w:type="gramEnd"/>
            <w:r>
              <w:rPr>
                <w:rFonts w:eastAsia="細明體" w:hint="eastAsia"/>
                <w:sz w:val="17"/>
                <w:lang w:eastAsia="zh-TW"/>
              </w:rPr>
              <w:t>須從資本扣減</w:t>
            </w:r>
          </w:p>
        </w:tc>
      </w:tr>
      <w:tr w:rsidR="00F52F24" w14:paraId="103799FF" w14:textId="77777777" w:rsidTr="00F52F24">
        <w:trPr>
          <w:trHeight w:val="300"/>
        </w:trPr>
        <w:tc>
          <w:tcPr>
            <w:tcW w:w="3119" w:type="dxa"/>
            <w:tcBorders>
              <w:top w:val="single" w:sz="4" w:space="0" w:color="000000"/>
              <w:bottom w:val="single" w:sz="4" w:space="0" w:color="C0C0C0"/>
            </w:tcBorders>
            <w:shd w:val="clear" w:color="auto" w:fill="BFBFBF"/>
          </w:tcPr>
          <w:p w14:paraId="1020F30C" w14:textId="77777777" w:rsidR="00F52F24" w:rsidRDefault="00F52F24" w:rsidP="00F52F24">
            <w:pPr>
              <w:keepNext/>
              <w:snapToGrid w:val="0"/>
              <w:rPr>
                <w:rFonts w:eastAsia="細明體"/>
                <w:b/>
                <w:sz w:val="17"/>
                <w:szCs w:val="17"/>
              </w:rPr>
            </w:pPr>
            <w:proofErr w:type="spellStart"/>
            <w:r>
              <w:rPr>
                <w:rFonts w:eastAsia="細明體" w:hint="eastAsia"/>
                <w:b/>
                <w:sz w:val="17"/>
                <w:szCs w:val="17"/>
              </w:rPr>
              <w:t>資產</w:t>
            </w:r>
            <w:proofErr w:type="spellEnd"/>
          </w:p>
        </w:tc>
        <w:tc>
          <w:tcPr>
            <w:tcW w:w="1417" w:type="dxa"/>
            <w:tcBorders>
              <w:top w:val="single" w:sz="4" w:space="0" w:color="000000"/>
              <w:left w:val="single" w:sz="4" w:space="0" w:color="000000"/>
              <w:bottom w:val="single" w:sz="4" w:space="0" w:color="C0C0C0"/>
            </w:tcBorders>
            <w:shd w:val="clear" w:color="auto" w:fill="BFBFBF"/>
          </w:tcPr>
          <w:p w14:paraId="5B18BEAB" w14:textId="77777777" w:rsidR="00F52F24" w:rsidRDefault="00F52F24" w:rsidP="00F52F24">
            <w:pPr>
              <w:snapToGrid w:val="0"/>
              <w:rPr>
                <w:rFonts w:eastAsia="細明體"/>
                <w:b/>
                <w:sz w:val="17"/>
                <w:szCs w:val="17"/>
              </w:rPr>
            </w:pPr>
          </w:p>
        </w:tc>
        <w:tc>
          <w:tcPr>
            <w:tcW w:w="1418" w:type="dxa"/>
            <w:tcBorders>
              <w:top w:val="single" w:sz="4" w:space="0" w:color="000000"/>
              <w:left w:val="single" w:sz="4" w:space="0" w:color="000000"/>
              <w:bottom w:val="single" w:sz="4" w:space="0" w:color="C0C0C0"/>
            </w:tcBorders>
            <w:shd w:val="clear" w:color="auto" w:fill="BFBFBF"/>
          </w:tcPr>
          <w:p w14:paraId="5F577F82" w14:textId="77777777" w:rsidR="00F52F24" w:rsidRDefault="00F52F24" w:rsidP="00F52F24">
            <w:pPr>
              <w:snapToGrid w:val="0"/>
              <w:rPr>
                <w:rFonts w:eastAsia="細明體"/>
                <w:b/>
                <w:sz w:val="17"/>
                <w:szCs w:val="17"/>
              </w:rPr>
            </w:pPr>
          </w:p>
        </w:tc>
        <w:tc>
          <w:tcPr>
            <w:tcW w:w="1587" w:type="dxa"/>
            <w:tcBorders>
              <w:top w:val="single" w:sz="4" w:space="0" w:color="000000"/>
              <w:left w:val="single" w:sz="4" w:space="0" w:color="000000"/>
              <w:bottom w:val="single" w:sz="4" w:space="0" w:color="C0C0C0"/>
            </w:tcBorders>
            <w:shd w:val="clear" w:color="auto" w:fill="BFBFBF"/>
          </w:tcPr>
          <w:p w14:paraId="3AC392D1" w14:textId="77777777" w:rsidR="00F52F24" w:rsidRDefault="00F52F24" w:rsidP="00F52F24">
            <w:pPr>
              <w:snapToGrid w:val="0"/>
              <w:rPr>
                <w:rFonts w:eastAsia="細明體"/>
                <w:b/>
                <w:sz w:val="17"/>
                <w:szCs w:val="17"/>
              </w:rPr>
            </w:pPr>
          </w:p>
        </w:tc>
        <w:tc>
          <w:tcPr>
            <w:tcW w:w="1588" w:type="dxa"/>
            <w:tcBorders>
              <w:top w:val="single" w:sz="4" w:space="0" w:color="000000"/>
              <w:left w:val="single" w:sz="4" w:space="0" w:color="000000"/>
              <w:bottom w:val="single" w:sz="4" w:space="0" w:color="C0C0C0"/>
            </w:tcBorders>
            <w:shd w:val="clear" w:color="auto" w:fill="BFBFBF"/>
          </w:tcPr>
          <w:p w14:paraId="7BE427AD" w14:textId="77777777" w:rsidR="00F52F24" w:rsidRDefault="00F52F24" w:rsidP="00F52F24">
            <w:pPr>
              <w:snapToGrid w:val="0"/>
              <w:rPr>
                <w:rFonts w:eastAsia="細明體"/>
                <w:b/>
                <w:sz w:val="17"/>
                <w:szCs w:val="17"/>
              </w:rPr>
            </w:pPr>
          </w:p>
        </w:tc>
        <w:tc>
          <w:tcPr>
            <w:tcW w:w="1587" w:type="dxa"/>
            <w:tcBorders>
              <w:top w:val="single" w:sz="4" w:space="0" w:color="000000"/>
              <w:left w:val="single" w:sz="4" w:space="0" w:color="000000"/>
              <w:bottom w:val="single" w:sz="4" w:space="0" w:color="C0C0C0"/>
            </w:tcBorders>
            <w:shd w:val="clear" w:color="auto" w:fill="BFBFBF"/>
          </w:tcPr>
          <w:p w14:paraId="7AD30A2F" w14:textId="77777777" w:rsidR="00F52F24" w:rsidRDefault="00F52F24" w:rsidP="00F52F24">
            <w:pPr>
              <w:snapToGrid w:val="0"/>
              <w:rPr>
                <w:rFonts w:eastAsia="細明體"/>
                <w:b/>
                <w:sz w:val="17"/>
                <w:szCs w:val="17"/>
              </w:rPr>
            </w:pPr>
          </w:p>
        </w:tc>
        <w:tc>
          <w:tcPr>
            <w:tcW w:w="1588" w:type="dxa"/>
            <w:tcBorders>
              <w:top w:val="single" w:sz="4" w:space="0" w:color="000000"/>
              <w:left w:val="single" w:sz="4" w:space="0" w:color="000000"/>
              <w:bottom w:val="single" w:sz="4" w:space="0" w:color="C0C0C0"/>
            </w:tcBorders>
            <w:shd w:val="clear" w:color="auto" w:fill="BFBFBF"/>
          </w:tcPr>
          <w:p w14:paraId="0D3AB479" w14:textId="77777777" w:rsidR="00F52F24" w:rsidRDefault="00F52F24" w:rsidP="00F52F24">
            <w:pPr>
              <w:snapToGrid w:val="0"/>
              <w:rPr>
                <w:rFonts w:eastAsia="細明體"/>
                <w:b/>
                <w:sz w:val="17"/>
                <w:szCs w:val="17"/>
              </w:rPr>
            </w:pPr>
          </w:p>
        </w:tc>
        <w:tc>
          <w:tcPr>
            <w:tcW w:w="1608" w:type="dxa"/>
            <w:tcBorders>
              <w:top w:val="single" w:sz="4" w:space="0" w:color="000000"/>
              <w:left w:val="single" w:sz="4" w:space="0" w:color="000000"/>
              <w:bottom w:val="single" w:sz="4" w:space="0" w:color="C0C0C0"/>
              <w:right w:val="single" w:sz="4" w:space="0" w:color="000000"/>
            </w:tcBorders>
            <w:shd w:val="clear" w:color="auto" w:fill="BFBFBF"/>
          </w:tcPr>
          <w:p w14:paraId="202A4220" w14:textId="77777777" w:rsidR="00F52F24" w:rsidRDefault="00F52F24" w:rsidP="00F52F24">
            <w:pPr>
              <w:snapToGrid w:val="0"/>
              <w:rPr>
                <w:rFonts w:eastAsia="細明體"/>
                <w:b/>
                <w:sz w:val="17"/>
                <w:szCs w:val="17"/>
              </w:rPr>
            </w:pPr>
          </w:p>
        </w:tc>
      </w:tr>
      <w:tr w:rsidR="00F52F24" w14:paraId="210BCDFC" w14:textId="77777777" w:rsidTr="00F52F24">
        <w:trPr>
          <w:trHeight w:val="216"/>
        </w:trPr>
        <w:tc>
          <w:tcPr>
            <w:tcW w:w="3119" w:type="dxa"/>
            <w:tcBorders>
              <w:top w:val="single" w:sz="4" w:space="0" w:color="C0C0C0"/>
              <w:bottom w:val="single" w:sz="4" w:space="0" w:color="C0C0C0"/>
            </w:tcBorders>
            <w:shd w:val="clear" w:color="auto" w:fill="FFFFFF"/>
          </w:tcPr>
          <w:p w14:paraId="401B9358" w14:textId="77777777" w:rsidR="00F52F24" w:rsidRDefault="00F52F24" w:rsidP="00F52F24">
            <w:pPr>
              <w:snapToGrid w:val="0"/>
              <w:spacing w:before="20" w:after="20"/>
              <w:rPr>
                <w:rFonts w:eastAsia="細明體"/>
                <w:sz w:val="17"/>
                <w:szCs w:val="17"/>
                <w:lang w:eastAsia="zh-TW"/>
              </w:rPr>
            </w:pPr>
            <w:r>
              <w:rPr>
                <w:rFonts w:eastAsia="細明體" w:hint="eastAsia"/>
                <w:sz w:val="17"/>
                <w:szCs w:val="17"/>
                <w:lang w:eastAsia="zh-TW"/>
              </w:rPr>
              <w:t>現金及於中央銀行的</w:t>
            </w:r>
            <w:r w:rsidRPr="00EA71CA">
              <w:rPr>
                <w:rFonts w:eastAsia="細明體"/>
                <w:sz w:val="17"/>
                <w:szCs w:val="17"/>
                <w:lang w:eastAsia="zh-TW"/>
              </w:rPr>
              <w:t>餘款</w:t>
            </w:r>
            <w:r>
              <w:rPr>
                <w:rFonts w:eastAsia="細明體"/>
                <w:sz w:val="17"/>
                <w:szCs w:val="17"/>
                <w:lang w:eastAsia="zh-TW"/>
              </w:rPr>
              <w:t xml:space="preserve"> </w:t>
            </w:r>
          </w:p>
        </w:tc>
        <w:tc>
          <w:tcPr>
            <w:tcW w:w="1417" w:type="dxa"/>
            <w:tcBorders>
              <w:top w:val="single" w:sz="4" w:space="0" w:color="C0C0C0"/>
              <w:left w:val="single" w:sz="4" w:space="0" w:color="000000"/>
              <w:bottom w:val="single" w:sz="4" w:space="0" w:color="C0C0C0"/>
            </w:tcBorders>
            <w:shd w:val="clear" w:color="auto" w:fill="auto"/>
          </w:tcPr>
          <w:p w14:paraId="7CF06A49" w14:textId="77777777" w:rsidR="00F52F24" w:rsidRDefault="00F52F24" w:rsidP="00F52F24">
            <w:pPr>
              <w:snapToGrid w:val="0"/>
              <w:rPr>
                <w:rFonts w:eastAsia="細明體"/>
                <w:sz w:val="17"/>
                <w:szCs w:val="17"/>
                <w:lang w:eastAsia="zh-TW"/>
              </w:rPr>
            </w:pPr>
          </w:p>
        </w:tc>
        <w:tc>
          <w:tcPr>
            <w:tcW w:w="1418" w:type="dxa"/>
            <w:tcBorders>
              <w:top w:val="single" w:sz="4" w:space="0" w:color="C0C0C0"/>
              <w:left w:val="single" w:sz="4" w:space="0" w:color="000000"/>
              <w:bottom w:val="single" w:sz="4" w:space="0" w:color="C0C0C0"/>
            </w:tcBorders>
            <w:shd w:val="clear" w:color="auto" w:fill="auto"/>
          </w:tcPr>
          <w:p w14:paraId="2E2A7220"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2D68F5FD"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auto"/>
          </w:tcPr>
          <w:p w14:paraId="2EB1C5E0"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7500E97B"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FFFFFF"/>
          </w:tcPr>
          <w:p w14:paraId="3F09FBFC" w14:textId="77777777" w:rsidR="00F52F24" w:rsidRDefault="00F52F24" w:rsidP="00F52F24">
            <w:pPr>
              <w:snapToGrid w:val="0"/>
              <w:rPr>
                <w:rFonts w:eastAsia="細明體"/>
                <w:sz w:val="17"/>
                <w:szCs w:val="17"/>
                <w:lang w:eastAsia="zh-TW"/>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7D14C663" w14:textId="77777777" w:rsidR="00F52F24" w:rsidRDefault="00F52F24" w:rsidP="00F52F24">
            <w:pPr>
              <w:snapToGrid w:val="0"/>
              <w:rPr>
                <w:rFonts w:eastAsia="細明體"/>
                <w:sz w:val="17"/>
                <w:szCs w:val="17"/>
                <w:lang w:eastAsia="zh-TW"/>
              </w:rPr>
            </w:pPr>
          </w:p>
        </w:tc>
      </w:tr>
      <w:tr w:rsidR="00F52F24" w14:paraId="552FE754" w14:textId="77777777" w:rsidTr="00F52F24">
        <w:trPr>
          <w:trHeight w:val="216"/>
        </w:trPr>
        <w:tc>
          <w:tcPr>
            <w:tcW w:w="3119" w:type="dxa"/>
            <w:tcBorders>
              <w:top w:val="single" w:sz="4" w:space="0" w:color="C0C0C0"/>
              <w:bottom w:val="single" w:sz="4" w:space="0" w:color="C0C0C0"/>
            </w:tcBorders>
            <w:shd w:val="clear" w:color="auto" w:fill="FFFFFF"/>
          </w:tcPr>
          <w:p w14:paraId="5CEA0680" w14:textId="77777777" w:rsidR="00F52F24" w:rsidRDefault="00F52F24" w:rsidP="00F52F24">
            <w:pPr>
              <w:snapToGrid w:val="0"/>
              <w:spacing w:before="20" w:after="20"/>
              <w:rPr>
                <w:rFonts w:eastAsia="細明體"/>
                <w:sz w:val="17"/>
                <w:szCs w:val="17"/>
                <w:lang w:eastAsia="zh-TW"/>
              </w:rPr>
            </w:pPr>
            <w:r>
              <w:rPr>
                <w:rFonts w:eastAsia="細明體" w:hint="eastAsia"/>
                <w:sz w:val="17"/>
                <w:szCs w:val="17"/>
                <w:lang w:eastAsia="zh-TW"/>
              </w:rPr>
              <w:t>向其他銀行託收中的項目</w:t>
            </w:r>
          </w:p>
        </w:tc>
        <w:tc>
          <w:tcPr>
            <w:tcW w:w="1417" w:type="dxa"/>
            <w:tcBorders>
              <w:top w:val="single" w:sz="4" w:space="0" w:color="C0C0C0"/>
              <w:left w:val="single" w:sz="4" w:space="0" w:color="000000"/>
              <w:bottom w:val="single" w:sz="4" w:space="0" w:color="C0C0C0"/>
            </w:tcBorders>
            <w:shd w:val="clear" w:color="auto" w:fill="auto"/>
          </w:tcPr>
          <w:p w14:paraId="1908410E" w14:textId="77777777" w:rsidR="00F52F24" w:rsidRDefault="00F52F24" w:rsidP="00F52F24">
            <w:pPr>
              <w:snapToGrid w:val="0"/>
              <w:rPr>
                <w:rFonts w:eastAsia="細明體"/>
                <w:sz w:val="17"/>
                <w:szCs w:val="17"/>
                <w:lang w:eastAsia="zh-TW"/>
              </w:rPr>
            </w:pPr>
          </w:p>
        </w:tc>
        <w:tc>
          <w:tcPr>
            <w:tcW w:w="1418" w:type="dxa"/>
            <w:tcBorders>
              <w:top w:val="single" w:sz="4" w:space="0" w:color="C0C0C0"/>
              <w:left w:val="single" w:sz="4" w:space="0" w:color="000000"/>
              <w:bottom w:val="single" w:sz="4" w:space="0" w:color="C0C0C0"/>
            </w:tcBorders>
            <w:shd w:val="clear" w:color="auto" w:fill="auto"/>
          </w:tcPr>
          <w:p w14:paraId="6CB486C8"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64A3988C"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auto"/>
          </w:tcPr>
          <w:p w14:paraId="7320104B"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301DFA7E"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FFFFFF"/>
          </w:tcPr>
          <w:p w14:paraId="091F8752" w14:textId="77777777" w:rsidR="00F52F24" w:rsidRDefault="00F52F24" w:rsidP="00F52F24">
            <w:pPr>
              <w:snapToGrid w:val="0"/>
              <w:rPr>
                <w:rFonts w:eastAsia="細明體"/>
                <w:sz w:val="17"/>
                <w:szCs w:val="17"/>
                <w:lang w:eastAsia="zh-TW"/>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19971C93" w14:textId="77777777" w:rsidR="00F52F24" w:rsidRDefault="00F52F24" w:rsidP="00F52F24">
            <w:pPr>
              <w:snapToGrid w:val="0"/>
              <w:rPr>
                <w:rFonts w:eastAsia="細明體"/>
                <w:sz w:val="17"/>
                <w:szCs w:val="17"/>
                <w:lang w:eastAsia="zh-TW"/>
              </w:rPr>
            </w:pPr>
          </w:p>
        </w:tc>
      </w:tr>
      <w:tr w:rsidR="00F52F24" w14:paraId="3C297364" w14:textId="77777777" w:rsidTr="00F52F24">
        <w:trPr>
          <w:trHeight w:val="89"/>
        </w:trPr>
        <w:tc>
          <w:tcPr>
            <w:tcW w:w="3119" w:type="dxa"/>
            <w:tcBorders>
              <w:top w:val="single" w:sz="4" w:space="0" w:color="C0C0C0"/>
              <w:bottom w:val="single" w:sz="4" w:space="0" w:color="C0C0C0"/>
            </w:tcBorders>
            <w:shd w:val="clear" w:color="auto" w:fill="FFFFFF"/>
          </w:tcPr>
          <w:p w14:paraId="29CA56A3"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交易組合資產</w:t>
            </w:r>
            <w:proofErr w:type="spellEnd"/>
          </w:p>
        </w:tc>
        <w:tc>
          <w:tcPr>
            <w:tcW w:w="1417" w:type="dxa"/>
            <w:tcBorders>
              <w:top w:val="single" w:sz="4" w:space="0" w:color="C0C0C0"/>
              <w:left w:val="single" w:sz="4" w:space="0" w:color="000000"/>
              <w:bottom w:val="single" w:sz="4" w:space="0" w:color="C0C0C0"/>
            </w:tcBorders>
            <w:shd w:val="clear" w:color="auto" w:fill="auto"/>
          </w:tcPr>
          <w:p w14:paraId="526A6BE1"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57B96736"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7EB95F9A"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289580BF"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0A78E526"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5AFB9A66"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015F32B8" w14:textId="77777777" w:rsidR="00F52F24" w:rsidRDefault="00F52F24" w:rsidP="00F52F24">
            <w:pPr>
              <w:snapToGrid w:val="0"/>
              <w:rPr>
                <w:rFonts w:eastAsia="細明體"/>
                <w:sz w:val="17"/>
                <w:szCs w:val="17"/>
              </w:rPr>
            </w:pPr>
          </w:p>
        </w:tc>
      </w:tr>
      <w:tr w:rsidR="00F52F24" w14:paraId="16A2F572" w14:textId="77777777" w:rsidTr="00F52F24">
        <w:trPr>
          <w:trHeight w:val="216"/>
        </w:trPr>
        <w:tc>
          <w:tcPr>
            <w:tcW w:w="3119" w:type="dxa"/>
            <w:tcBorders>
              <w:top w:val="single" w:sz="4" w:space="0" w:color="C0C0C0"/>
              <w:bottom w:val="single" w:sz="4" w:space="0" w:color="C0C0C0"/>
            </w:tcBorders>
            <w:shd w:val="clear" w:color="auto" w:fill="FFFFFF"/>
          </w:tcPr>
          <w:p w14:paraId="1D3CA62A" w14:textId="77777777" w:rsidR="00F52F24" w:rsidRDefault="00F52F24" w:rsidP="00F52F24">
            <w:pPr>
              <w:snapToGrid w:val="0"/>
              <w:spacing w:before="20" w:after="20"/>
              <w:rPr>
                <w:rFonts w:eastAsia="細明體"/>
                <w:sz w:val="17"/>
                <w:szCs w:val="17"/>
                <w:lang w:eastAsia="zh-TW"/>
              </w:rPr>
            </w:pPr>
            <w:r w:rsidRPr="00701D7E">
              <w:rPr>
                <w:rFonts w:eastAsia="細明體" w:hint="eastAsia"/>
                <w:sz w:val="17"/>
                <w:szCs w:val="17"/>
                <w:lang w:eastAsia="zh-TW"/>
              </w:rPr>
              <w:t>指定為以</w:t>
            </w:r>
            <w:r>
              <w:rPr>
                <w:rFonts w:eastAsia="細明體" w:hint="eastAsia"/>
                <w:sz w:val="17"/>
                <w:szCs w:val="17"/>
                <w:lang w:eastAsia="zh-TW"/>
              </w:rPr>
              <w:t>公平價值列帳的金融資產</w:t>
            </w:r>
          </w:p>
        </w:tc>
        <w:tc>
          <w:tcPr>
            <w:tcW w:w="1417" w:type="dxa"/>
            <w:tcBorders>
              <w:top w:val="single" w:sz="4" w:space="0" w:color="C0C0C0"/>
              <w:left w:val="single" w:sz="4" w:space="0" w:color="000000"/>
              <w:bottom w:val="single" w:sz="4" w:space="0" w:color="C0C0C0"/>
            </w:tcBorders>
            <w:shd w:val="clear" w:color="auto" w:fill="auto"/>
          </w:tcPr>
          <w:p w14:paraId="3ABF483D" w14:textId="77777777" w:rsidR="00F52F24" w:rsidRDefault="00F52F24" w:rsidP="00F52F24">
            <w:pPr>
              <w:snapToGrid w:val="0"/>
              <w:rPr>
                <w:rFonts w:eastAsia="細明體"/>
                <w:sz w:val="17"/>
                <w:szCs w:val="17"/>
                <w:lang w:eastAsia="zh-TW"/>
              </w:rPr>
            </w:pPr>
          </w:p>
        </w:tc>
        <w:tc>
          <w:tcPr>
            <w:tcW w:w="1418" w:type="dxa"/>
            <w:tcBorders>
              <w:top w:val="single" w:sz="4" w:space="0" w:color="C0C0C0"/>
              <w:left w:val="single" w:sz="4" w:space="0" w:color="000000"/>
              <w:bottom w:val="single" w:sz="4" w:space="0" w:color="C0C0C0"/>
            </w:tcBorders>
            <w:shd w:val="clear" w:color="auto" w:fill="auto"/>
          </w:tcPr>
          <w:p w14:paraId="574321BA"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4571C70B"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auto"/>
          </w:tcPr>
          <w:p w14:paraId="38EDCF1B"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162F1E0C"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FFFFFF"/>
          </w:tcPr>
          <w:p w14:paraId="28A060AB" w14:textId="77777777" w:rsidR="00F52F24" w:rsidRDefault="00F52F24" w:rsidP="00F52F24">
            <w:pPr>
              <w:snapToGrid w:val="0"/>
              <w:rPr>
                <w:rFonts w:eastAsia="細明體"/>
                <w:sz w:val="17"/>
                <w:szCs w:val="17"/>
                <w:lang w:eastAsia="zh-TW"/>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2BA93D57" w14:textId="77777777" w:rsidR="00F52F24" w:rsidRDefault="00F52F24" w:rsidP="00F52F24">
            <w:pPr>
              <w:snapToGrid w:val="0"/>
              <w:rPr>
                <w:rFonts w:eastAsia="細明體"/>
                <w:sz w:val="17"/>
                <w:szCs w:val="17"/>
                <w:lang w:eastAsia="zh-TW"/>
              </w:rPr>
            </w:pPr>
          </w:p>
        </w:tc>
      </w:tr>
      <w:tr w:rsidR="00F52F24" w14:paraId="4AEEE263" w14:textId="77777777" w:rsidTr="00F52F24">
        <w:trPr>
          <w:trHeight w:val="216"/>
        </w:trPr>
        <w:tc>
          <w:tcPr>
            <w:tcW w:w="3119" w:type="dxa"/>
            <w:tcBorders>
              <w:top w:val="single" w:sz="4" w:space="0" w:color="C0C0C0"/>
              <w:bottom w:val="single" w:sz="4" w:space="0" w:color="C0C0C0"/>
            </w:tcBorders>
            <w:shd w:val="clear" w:color="auto" w:fill="FFFFFF"/>
          </w:tcPr>
          <w:p w14:paraId="04AECACB"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衍生金融工具</w:t>
            </w:r>
            <w:proofErr w:type="spellEnd"/>
          </w:p>
        </w:tc>
        <w:tc>
          <w:tcPr>
            <w:tcW w:w="1417" w:type="dxa"/>
            <w:tcBorders>
              <w:top w:val="single" w:sz="4" w:space="0" w:color="C0C0C0"/>
              <w:left w:val="single" w:sz="4" w:space="0" w:color="000000"/>
              <w:bottom w:val="single" w:sz="4" w:space="0" w:color="C0C0C0"/>
            </w:tcBorders>
            <w:shd w:val="clear" w:color="auto" w:fill="auto"/>
          </w:tcPr>
          <w:p w14:paraId="40A67FF3"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4E875B94"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39D10F7D"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244BF645"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11336FF7"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7D5B015C"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27503430" w14:textId="77777777" w:rsidR="00F52F24" w:rsidRDefault="00F52F24" w:rsidP="00F52F24">
            <w:pPr>
              <w:snapToGrid w:val="0"/>
              <w:rPr>
                <w:rFonts w:eastAsia="細明體"/>
                <w:sz w:val="17"/>
                <w:szCs w:val="17"/>
              </w:rPr>
            </w:pPr>
          </w:p>
        </w:tc>
      </w:tr>
      <w:tr w:rsidR="00F52F24" w14:paraId="177AF093" w14:textId="77777777" w:rsidTr="00F52F24">
        <w:trPr>
          <w:trHeight w:val="216"/>
        </w:trPr>
        <w:tc>
          <w:tcPr>
            <w:tcW w:w="3119" w:type="dxa"/>
            <w:tcBorders>
              <w:top w:val="single" w:sz="4" w:space="0" w:color="C0C0C0"/>
              <w:bottom w:val="single" w:sz="4" w:space="0" w:color="C0C0C0"/>
            </w:tcBorders>
            <w:shd w:val="clear" w:color="auto" w:fill="FFFFFF"/>
          </w:tcPr>
          <w:p w14:paraId="496FDEB5"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對銀行的貸款及放款</w:t>
            </w:r>
            <w:proofErr w:type="spellEnd"/>
          </w:p>
        </w:tc>
        <w:tc>
          <w:tcPr>
            <w:tcW w:w="1417" w:type="dxa"/>
            <w:tcBorders>
              <w:top w:val="single" w:sz="4" w:space="0" w:color="C0C0C0"/>
              <w:left w:val="single" w:sz="4" w:space="0" w:color="000000"/>
              <w:bottom w:val="single" w:sz="4" w:space="0" w:color="C0C0C0"/>
            </w:tcBorders>
            <w:shd w:val="clear" w:color="auto" w:fill="auto"/>
          </w:tcPr>
          <w:p w14:paraId="63BFB16D"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4C067D1C"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2FFA8532"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38D4A9D4"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5183FB9D"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4F588875"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1277C2DA" w14:textId="77777777" w:rsidR="00F52F24" w:rsidRDefault="00F52F24" w:rsidP="00F52F24">
            <w:pPr>
              <w:snapToGrid w:val="0"/>
              <w:rPr>
                <w:rFonts w:eastAsia="細明體"/>
                <w:sz w:val="17"/>
                <w:szCs w:val="17"/>
              </w:rPr>
            </w:pPr>
          </w:p>
        </w:tc>
      </w:tr>
      <w:tr w:rsidR="00F52F24" w14:paraId="61080C50" w14:textId="77777777" w:rsidTr="00F52F24">
        <w:trPr>
          <w:trHeight w:val="216"/>
        </w:trPr>
        <w:tc>
          <w:tcPr>
            <w:tcW w:w="3119" w:type="dxa"/>
            <w:tcBorders>
              <w:top w:val="single" w:sz="4" w:space="0" w:color="C0C0C0"/>
              <w:bottom w:val="single" w:sz="4" w:space="0" w:color="C0C0C0"/>
            </w:tcBorders>
            <w:shd w:val="clear" w:color="auto" w:fill="FFFFFF"/>
          </w:tcPr>
          <w:p w14:paraId="626C06E6"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對</w:t>
            </w:r>
            <w:r>
              <w:rPr>
                <w:rFonts w:eastAsia="細明體"/>
                <w:sz w:val="17"/>
                <w:szCs w:val="17"/>
              </w:rPr>
              <w:t>客戶的貸款及</w:t>
            </w:r>
            <w:r>
              <w:rPr>
                <w:rFonts w:eastAsia="細明體" w:hint="eastAsia"/>
                <w:sz w:val="17"/>
                <w:szCs w:val="17"/>
              </w:rPr>
              <w:t>放</w:t>
            </w:r>
            <w:r>
              <w:rPr>
                <w:rFonts w:eastAsia="細明體"/>
                <w:sz w:val="17"/>
                <w:szCs w:val="17"/>
              </w:rPr>
              <w:t>款</w:t>
            </w:r>
            <w:proofErr w:type="spellEnd"/>
          </w:p>
        </w:tc>
        <w:tc>
          <w:tcPr>
            <w:tcW w:w="1417" w:type="dxa"/>
            <w:tcBorders>
              <w:top w:val="single" w:sz="4" w:space="0" w:color="C0C0C0"/>
              <w:left w:val="single" w:sz="4" w:space="0" w:color="000000"/>
              <w:bottom w:val="single" w:sz="4" w:space="0" w:color="C0C0C0"/>
            </w:tcBorders>
            <w:shd w:val="clear" w:color="auto" w:fill="auto"/>
          </w:tcPr>
          <w:p w14:paraId="65519B0A"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06B5C7A5"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06B8C5D5"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798A3B64"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47156250"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1A6981FD"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5CAC821A" w14:textId="77777777" w:rsidR="00F52F24" w:rsidRDefault="00F52F24" w:rsidP="00F52F24">
            <w:pPr>
              <w:snapToGrid w:val="0"/>
              <w:rPr>
                <w:rFonts w:eastAsia="細明體"/>
                <w:sz w:val="17"/>
                <w:szCs w:val="17"/>
              </w:rPr>
            </w:pPr>
          </w:p>
        </w:tc>
      </w:tr>
      <w:tr w:rsidR="00F52F24" w14:paraId="4D0405D1" w14:textId="77777777" w:rsidTr="00F52F24">
        <w:trPr>
          <w:trHeight w:val="216"/>
        </w:trPr>
        <w:tc>
          <w:tcPr>
            <w:tcW w:w="3119" w:type="dxa"/>
            <w:tcBorders>
              <w:top w:val="single" w:sz="4" w:space="0" w:color="C0C0C0"/>
              <w:bottom w:val="single" w:sz="4" w:space="0" w:color="C0C0C0"/>
            </w:tcBorders>
            <w:shd w:val="clear" w:color="auto" w:fill="FFFFFF"/>
          </w:tcPr>
          <w:p w14:paraId="0CCD5659" w14:textId="77777777" w:rsidR="00F52F24" w:rsidRDefault="00F52F24" w:rsidP="00F52F24">
            <w:pPr>
              <w:snapToGrid w:val="0"/>
              <w:spacing w:before="20" w:after="20"/>
              <w:rPr>
                <w:rFonts w:eastAsia="細明體"/>
                <w:sz w:val="17"/>
                <w:szCs w:val="17"/>
                <w:lang w:eastAsia="zh-TW"/>
              </w:rPr>
            </w:pPr>
            <w:proofErr w:type="gramStart"/>
            <w:r>
              <w:rPr>
                <w:rFonts w:eastAsia="細明體" w:hint="eastAsia"/>
                <w:sz w:val="17"/>
                <w:szCs w:val="17"/>
                <w:lang w:eastAsia="zh-TW"/>
              </w:rPr>
              <w:t>逆回購</w:t>
            </w:r>
            <w:proofErr w:type="gramEnd"/>
            <w:r>
              <w:rPr>
                <w:rFonts w:eastAsia="細明體" w:hint="eastAsia"/>
                <w:sz w:val="17"/>
                <w:szCs w:val="17"/>
                <w:lang w:eastAsia="zh-TW"/>
              </w:rPr>
              <w:t>協議及其他</w:t>
            </w:r>
            <w:r w:rsidRPr="00EA71CA">
              <w:rPr>
                <w:rFonts w:eastAsia="細明體" w:hint="eastAsia"/>
                <w:sz w:val="17"/>
                <w:szCs w:val="17"/>
                <w:lang w:eastAsia="zh-TW"/>
              </w:rPr>
              <w:t>類</w:t>
            </w:r>
            <w:r>
              <w:rPr>
                <w:rFonts w:eastAsia="細明體" w:hint="eastAsia"/>
                <w:sz w:val="17"/>
                <w:szCs w:val="17"/>
                <w:lang w:eastAsia="zh-TW"/>
              </w:rPr>
              <w:t>似的有抵押貸款</w:t>
            </w:r>
          </w:p>
        </w:tc>
        <w:tc>
          <w:tcPr>
            <w:tcW w:w="1417" w:type="dxa"/>
            <w:tcBorders>
              <w:top w:val="single" w:sz="4" w:space="0" w:color="C0C0C0"/>
              <w:left w:val="single" w:sz="4" w:space="0" w:color="000000"/>
              <w:bottom w:val="single" w:sz="4" w:space="0" w:color="C0C0C0"/>
            </w:tcBorders>
            <w:shd w:val="clear" w:color="auto" w:fill="auto"/>
          </w:tcPr>
          <w:p w14:paraId="3C763C6B" w14:textId="77777777" w:rsidR="00F52F24" w:rsidRDefault="00F52F24" w:rsidP="00F52F24">
            <w:pPr>
              <w:snapToGrid w:val="0"/>
              <w:rPr>
                <w:rFonts w:eastAsia="細明體"/>
                <w:sz w:val="17"/>
                <w:szCs w:val="17"/>
                <w:lang w:eastAsia="zh-TW"/>
              </w:rPr>
            </w:pPr>
          </w:p>
        </w:tc>
        <w:tc>
          <w:tcPr>
            <w:tcW w:w="1418" w:type="dxa"/>
            <w:tcBorders>
              <w:top w:val="single" w:sz="4" w:space="0" w:color="C0C0C0"/>
              <w:left w:val="single" w:sz="4" w:space="0" w:color="000000"/>
              <w:bottom w:val="single" w:sz="4" w:space="0" w:color="C0C0C0"/>
            </w:tcBorders>
            <w:shd w:val="clear" w:color="auto" w:fill="auto"/>
          </w:tcPr>
          <w:p w14:paraId="1EF8B588"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4658E205"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auto"/>
          </w:tcPr>
          <w:p w14:paraId="5AE3BBD2"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6DA9579B"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FFFFFF"/>
          </w:tcPr>
          <w:p w14:paraId="1492B9DE" w14:textId="77777777" w:rsidR="00F52F24" w:rsidRDefault="00F52F24" w:rsidP="00F52F24">
            <w:pPr>
              <w:snapToGrid w:val="0"/>
              <w:rPr>
                <w:rFonts w:eastAsia="細明體"/>
                <w:sz w:val="17"/>
                <w:szCs w:val="17"/>
                <w:lang w:eastAsia="zh-TW"/>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5BF12422" w14:textId="77777777" w:rsidR="00F52F24" w:rsidRDefault="00F52F24" w:rsidP="00F52F24">
            <w:pPr>
              <w:snapToGrid w:val="0"/>
              <w:rPr>
                <w:rFonts w:eastAsia="細明體"/>
                <w:sz w:val="17"/>
                <w:szCs w:val="17"/>
                <w:lang w:eastAsia="zh-TW"/>
              </w:rPr>
            </w:pPr>
          </w:p>
        </w:tc>
      </w:tr>
      <w:tr w:rsidR="00F52F24" w14:paraId="4E9EC46D" w14:textId="77777777" w:rsidTr="00F52F24">
        <w:trPr>
          <w:trHeight w:val="216"/>
        </w:trPr>
        <w:tc>
          <w:tcPr>
            <w:tcW w:w="3119" w:type="dxa"/>
            <w:tcBorders>
              <w:top w:val="single" w:sz="4" w:space="0" w:color="C0C0C0"/>
              <w:bottom w:val="single" w:sz="4" w:space="0" w:color="C0C0C0"/>
            </w:tcBorders>
            <w:shd w:val="clear" w:color="auto" w:fill="FFFFFF"/>
          </w:tcPr>
          <w:p w14:paraId="2E5FF81F"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可供出售的金融投資</w:t>
            </w:r>
            <w:proofErr w:type="spellEnd"/>
          </w:p>
        </w:tc>
        <w:tc>
          <w:tcPr>
            <w:tcW w:w="1417" w:type="dxa"/>
            <w:tcBorders>
              <w:top w:val="single" w:sz="4" w:space="0" w:color="C0C0C0"/>
              <w:left w:val="single" w:sz="4" w:space="0" w:color="000000"/>
              <w:bottom w:val="single" w:sz="4" w:space="0" w:color="C0C0C0"/>
            </w:tcBorders>
            <w:shd w:val="clear" w:color="auto" w:fill="auto"/>
          </w:tcPr>
          <w:p w14:paraId="32BE84E5"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51FD118B"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7496DEDB"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5AF05DD6"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524CB255"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63624DAE"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4D4AEE24" w14:textId="77777777" w:rsidR="00F52F24" w:rsidRDefault="00F52F24" w:rsidP="00F52F24">
            <w:pPr>
              <w:snapToGrid w:val="0"/>
              <w:rPr>
                <w:rFonts w:eastAsia="細明體"/>
                <w:sz w:val="17"/>
                <w:szCs w:val="17"/>
              </w:rPr>
            </w:pPr>
          </w:p>
        </w:tc>
      </w:tr>
      <w:tr w:rsidR="00F52F24" w14:paraId="5D81E3BD" w14:textId="77777777" w:rsidTr="00F52F24">
        <w:trPr>
          <w:trHeight w:val="216"/>
        </w:trPr>
        <w:tc>
          <w:tcPr>
            <w:tcW w:w="3119" w:type="dxa"/>
            <w:tcBorders>
              <w:top w:val="single" w:sz="4" w:space="0" w:color="C0C0C0"/>
              <w:bottom w:val="single" w:sz="4" w:space="0" w:color="C0C0C0"/>
            </w:tcBorders>
            <w:shd w:val="clear" w:color="auto" w:fill="FFFFFF"/>
          </w:tcPr>
          <w:p w14:paraId="3BE27246" w14:textId="77777777" w:rsidR="00F52F24" w:rsidRDefault="00F52F24" w:rsidP="00F52F24">
            <w:pPr>
              <w:snapToGrid w:val="0"/>
              <w:spacing w:before="20" w:after="20"/>
              <w:rPr>
                <w:rFonts w:eastAsia="細明體"/>
                <w:sz w:val="17"/>
                <w:szCs w:val="17"/>
              </w:rPr>
            </w:pPr>
            <w:r>
              <w:rPr>
                <w:rFonts w:eastAsia="細明體"/>
                <w:sz w:val="17"/>
                <w:szCs w:val="17"/>
              </w:rPr>
              <w:t>….</w:t>
            </w:r>
          </w:p>
        </w:tc>
        <w:tc>
          <w:tcPr>
            <w:tcW w:w="1417" w:type="dxa"/>
            <w:tcBorders>
              <w:top w:val="single" w:sz="4" w:space="0" w:color="C0C0C0"/>
              <w:left w:val="single" w:sz="4" w:space="0" w:color="000000"/>
              <w:bottom w:val="single" w:sz="4" w:space="0" w:color="C0C0C0"/>
            </w:tcBorders>
            <w:shd w:val="clear" w:color="auto" w:fill="auto"/>
          </w:tcPr>
          <w:p w14:paraId="7946B7C0"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2904362A"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219EB503"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60930011"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02766D10"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1442ACF9"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5CF27BBD" w14:textId="77777777" w:rsidR="00F52F24" w:rsidRDefault="00F52F24" w:rsidP="00F52F24">
            <w:pPr>
              <w:snapToGrid w:val="0"/>
              <w:rPr>
                <w:rFonts w:eastAsia="細明體"/>
                <w:sz w:val="17"/>
                <w:szCs w:val="17"/>
              </w:rPr>
            </w:pPr>
          </w:p>
        </w:tc>
      </w:tr>
      <w:tr w:rsidR="00F52F24" w14:paraId="6E6D35D6" w14:textId="77777777" w:rsidTr="00F52F24">
        <w:trPr>
          <w:trHeight w:val="216"/>
        </w:trPr>
        <w:tc>
          <w:tcPr>
            <w:tcW w:w="3119" w:type="dxa"/>
            <w:tcBorders>
              <w:top w:val="single" w:sz="4" w:space="0" w:color="C0C0C0"/>
              <w:bottom w:val="single" w:sz="4" w:space="0" w:color="C0C0C0"/>
            </w:tcBorders>
            <w:shd w:val="clear" w:color="auto" w:fill="FFFFFF"/>
          </w:tcPr>
          <w:p w14:paraId="5B0AC0F2" w14:textId="77777777" w:rsidR="00F52F24" w:rsidRDefault="00F52F24" w:rsidP="00F52F24">
            <w:pPr>
              <w:snapToGrid w:val="0"/>
              <w:spacing w:before="20" w:after="20"/>
              <w:rPr>
                <w:rFonts w:eastAsia="細明體"/>
                <w:sz w:val="17"/>
                <w:szCs w:val="17"/>
                <w:lang w:eastAsia="zh-TW"/>
              </w:rPr>
            </w:pPr>
            <w:proofErr w:type="spellStart"/>
            <w:r>
              <w:rPr>
                <w:rFonts w:eastAsia="細明體" w:hint="eastAsia"/>
                <w:b/>
                <w:sz w:val="17"/>
                <w:szCs w:val="17"/>
              </w:rPr>
              <w:t>資產總額</w:t>
            </w:r>
            <w:proofErr w:type="spellEnd"/>
          </w:p>
        </w:tc>
        <w:tc>
          <w:tcPr>
            <w:tcW w:w="1417" w:type="dxa"/>
            <w:tcBorders>
              <w:top w:val="single" w:sz="4" w:space="0" w:color="C0C0C0"/>
              <w:left w:val="single" w:sz="4" w:space="0" w:color="000000"/>
              <w:bottom w:val="single" w:sz="4" w:space="0" w:color="C0C0C0"/>
            </w:tcBorders>
            <w:shd w:val="clear" w:color="auto" w:fill="auto"/>
          </w:tcPr>
          <w:p w14:paraId="4698E459" w14:textId="77777777" w:rsidR="00F52F24" w:rsidRDefault="00F52F24" w:rsidP="00F52F24">
            <w:pPr>
              <w:keepNext/>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727CFB67" w14:textId="77777777" w:rsidR="00F52F24" w:rsidRDefault="00F52F24" w:rsidP="00F52F24">
            <w:pPr>
              <w:keepNext/>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3FC58CCA" w14:textId="77777777" w:rsidR="00F52F24" w:rsidRDefault="00F52F24" w:rsidP="00F52F24">
            <w:pPr>
              <w:keepNext/>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18B6EA4A" w14:textId="77777777" w:rsidR="00F52F24" w:rsidRDefault="00F52F24" w:rsidP="00F52F24">
            <w:pPr>
              <w:keepNext/>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3C46E89B" w14:textId="77777777" w:rsidR="00F52F24" w:rsidRDefault="00F52F24" w:rsidP="00F52F24">
            <w:pPr>
              <w:keepNext/>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07566657" w14:textId="77777777" w:rsidR="00F52F24" w:rsidRDefault="00F52F24" w:rsidP="00F52F24">
            <w:pPr>
              <w:keepNext/>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18A0DDE4" w14:textId="77777777" w:rsidR="00F52F24" w:rsidRDefault="00F52F24" w:rsidP="00F52F24">
            <w:pPr>
              <w:keepNext/>
              <w:snapToGrid w:val="0"/>
              <w:rPr>
                <w:rFonts w:eastAsia="細明體"/>
                <w:sz w:val="17"/>
                <w:szCs w:val="17"/>
              </w:rPr>
            </w:pPr>
          </w:p>
        </w:tc>
      </w:tr>
      <w:tr w:rsidR="00F52F24" w14:paraId="194095A6" w14:textId="77777777" w:rsidTr="00F52F24">
        <w:trPr>
          <w:trHeight w:val="216"/>
        </w:trPr>
        <w:tc>
          <w:tcPr>
            <w:tcW w:w="3119" w:type="dxa"/>
            <w:tcBorders>
              <w:top w:val="single" w:sz="4" w:space="0" w:color="C0C0C0"/>
              <w:bottom w:val="single" w:sz="4" w:space="0" w:color="C0C0C0"/>
            </w:tcBorders>
            <w:shd w:val="clear" w:color="auto" w:fill="FFFFFF"/>
          </w:tcPr>
          <w:p w14:paraId="6EB753EB" w14:textId="77777777" w:rsidR="00F52F24" w:rsidRDefault="00F52F24" w:rsidP="00F52F24">
            <w:pPr>
              <w:snapToGrid w:val="0"/>
              <w:spacing w:before="20" w:after="20"/>
              <w:rPr>
                <w:rFonts w:eastAsia="細明體"/>
                <w:sz w:val="17"/>
                <w:szCs w:val="17"/>
              </w:rPr>
            </w:pPr>
          </w:p>
        </w:tc>
        <w:tc>
          <w:tcPr>
            <w:tcW w:w="1417" w:type="dxa"/>
            <w:tcBorders>
              <w:top w:val="single" w:sz="4" w:space="0" w:color="C0C0C0"/>
              <w:left w:val="single" w:sz="4" w:space="0" w:color="000000"/>
              <w:bottom w:val="single" w:sz="4" w:space="0" w:color="C0C0C0"/>
            </w:tcBorders>
            <w:shd w:val="clear" w:color="auto" w:fill="auto"/>
          </w:tcPr>
          <w:p w14:paraId="0A1B3DE9" w14:textId="77777777" w:rsidR="00F52F24" w:rsidRDefault="00F52F24" w:rsidP="00F52F24">
            <w:pPr>
              <w:keepNext/>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5222B789" w14:textId="77777777" w:rsidR="00F52F24" w:rsidRDefault="00F52F24" w:rsidP="00F52F24">
            <w:pPr>
              <w:keepNext/>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18E7DCD6" w14:textId="77777777" w:rsidR="00F52F24" w:rsidRDefault="00F52F24" w:rsidP="00F52F24">
            <w:pPr>
              <w:keepNext/>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120FBDF5" w14:textId="77777777" w:rsidR="00F52F24" w:rsidRDefault="00F52F24" w:rsidP="00F52F24">
            <w:pPr>
              <w:keepNext/>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00F72D09" w14:textId="77777777" w:rsidR="00F52F24" w:rsidRDefault="00F52F24" w:rsidP="00F52F24">
            <w:pPr>
              <w:keepNext/>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25875B42" w14:textId="77777777" w:rsidR="00F52F24" w:rsidRDefault="00F52F24" w:rsidP="00F52F24">
            <w:pPr>
              <w:keepNext/>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54C4B42A" w14:textId="77777777" w:rsidR="00F52F24" w:rsidRDefault="00F52F24" w:rsidP="00F52F24">
            <w:pPr>
              <w:keepNext/>
              <w:snapToGrid w:val="0"/>
              <w:rPr>
                <w:rFonts w:eastAsia="細明體"/>
                <w:sz w:val="17"/>
                <w:szCs w:val="17"/>
              </w:rPr>
            </w:pPr>
          </w:p>
        </w:tc>
      </w:tr>
      <w:tr w:rsidR="00F52F24" w14:paraId="5E59DA7D" w14:textId="77777777" w:rsidTr="00F52F24">
        <w:trPr>
          <w:trHeight w:val="327"/>
        </w:trPr>
        <w:tc>
          <w:tcPr>
            <w:tcW w:w="3119" w:type="dxa"/>
            <w:tcBorders>
              <w:top w:val="single" w:sz="4" w:space="0" w:color="C0C0C0"/>
              <w:bottom w:val="single" w:sz="4" w:space="0" w:color="C0C0C0"/>
            </w:tcBorders>
            <w:shd w:val="clear" w:color="auto" w:fill="BFBFBF"/>
          </w:tcPr>
          <w:p w14:paraId="5DB9D021" w14:textId="77777777" w:rsidR="00F52F24" w:rsidRDefault="00F52F24" w:rsidP="00F52F24">
            <w:pPr>
              <w:keepNext/>
              <w:snapToGrid w:val="0"/>
              <w:rPr>
                <w:rFonts w:eastAsia="細明體"/>
                <w:b/>
                <w:sz w:val="17"/>
                <w:szCs w:val="17"/>
              </w:rPr>
            </w:pPr>
            <w:proofErr w:type="spellStart"/>
            <w:r>
              <w:rPr>
                <w:rFonts w:eastAsia="細明體" w:hint="eastAsia"/>
                <w:b/>
                <w:sz w:val="17"/>
                <w:szCs w:val="17"/>
              </w:rPr>
              <w:t>負債</w:t>
            </w:r>
            <w:proofErr w:type="spellEnd"/>
          </w:p>
        </w:tc>
        <w:tc>
          <w:tcPr>
            <w:tcW w:w="1417" w:type="dxa"/>
            <w:tcBorders>
              <w:top w:val="single" w:sz="4" w:space="0" w:color="C0C0C0"/>
              <w:left w:val="single" w:sz="4" w:space="0" w:color="000000"/>
              <w:bottom w:val="single" w:sz="4" w:space="0" w:color="C0C0C0"/>
            </w:tcBorders>
            <w:shd w:val="clear" w:color="auto" w:fill="BFBFBF"/>
          </w:tcPr>
          <w:p w14:paraId="3C725F20" w14:textId="77777777" w:rsidR="00F52F24" w:rsidRDefault="00F52F24" w:rsidP="00F52F24">
            <w:pPr>
              <w:keepNext/>
              <w:snapToGrid w:val="0"/>
              <w:rPr>
                <w:rFonts w:eastAsia="細明體"/>
                <w:b/>
                <w:sz w:val="17"/>
                <w:szCs w:val="17"/>
              </w:rPr>
            </w:pPr>
          </w:p>
        </w:tc>
        <w:tc>
          <w:tcPr>
            <w:tcW w:w="1418" w:type="dxa"/>
            <w:tcBorders>
              <w:top w:val="single" w:sz="4" w:space="0" w:color="C0C0C0"/>
              <w:left w:val="single" w:sz="4" w:space="0" w:color="000000"/>
              <w:bottom w:val="single" w:sz="4" w:space="0" w:color="C0C0C0"/>
            </w:tcBorders>
            <w:shd w:val="clear" w:color="auto" w:fill="BFBFBF"/>
          </w:tcPr>
          <w:p w14:paraId="0AB82000" w14:textId="77777777" w:rsidR="00F52F24" w:rsidRDefault="00F52F24" w:rsidP="00F52F24">
            <w:pPr>
              <w:keepNext/>
              <w:snapToGrid w:val="0"/>
              <w:rPr>
                <w:rFonts w:eastAsia="細明體"/>
                <w:b/>
                <w:sz w:val="17"/>
                <w:szCs w:val="17"/>
              </w:rPr>
            </w:pPr>
          </w:p>
        </w:tc>
        <w:tc>
          <w:tcPr>
            <w:tcW w:w="1587" w:type="dxa"/>
            <w:tcBorders>
              <w:top w:val="single" w:sz="4" w:space="0" w:color="C0C0C0"/>
              <w:left w:val="single" w:sz="4" w:space="0" w:color="000000"/>
              <w:bottom w:val="single" w:sz="4" w:space="0" w:color="C0C0C0"/>
            </w:tcBorders>
            <w:shd w:val="clear" w:color="auto" w:fill="BFBFBF"/>
          </w:tcPr>
          <w:p w14:paraId="54B05D84" w14:textId="77777777" w:rsidR="00F52F24" w:rsidRDefault="00F52F24" w:rsidP="00F52F24">
            <w:pPr>
              <w:keepNext/>
              <w:snapToGrid w:val="0"/>
              <w:rPr>
                <w:rFonts w:eastAsia="細明體"/>
                <w:b/>
                <w:sz w:val="17"/>
                <w:szCs w:val="17"/>
              </w:rPr>
            </w:pPr>
          </w:p>
        </w:tc>
        <w:tc>
          <w:tcPr>
            <w:tcW w:w="1588" w:type="dxa"/>
            <w:tcBorders>
              <w:top w:val="single" w:sz="4" w:space="0" w:color="C0C0C0"/>
              <w:left w:val="single" w:sz="4" w:space="0" w:color="000000"/>
              <w:bottom w:val="single" w:sz="4" w:space="0" w:color="C0C0C0"/>
            </w:tcBorders>
            <w:shd w:val="clear" w:color="auto" w:fill="BFBFBF"/>
          </w:tcPr>
          <w:p w14:paraId="0D006FAA" w14:textId="77777777" w:rsidR="00F52F24" w:rsidRDefault="00F52F24" w:rsidP="00F52F24">
            <w:pPr>
              <w:keepNext/>
              <w:snapToGrid w:val="0"/>
              <w:rPr>
                <w:rFonts w:eastAsia="細明體"/>
                <w:b/>
                <w:sz w:val="17"/>
                <w:szCs w:val="17"/>
              </w:rPr>
            </w:pPr>
          </w:p>
        </w:tc>
        <w:tc>
          <w:tcPr>
            <w:tcW w:w="1587" w:type="dxa"/>
            <w:tcBorders>
              <w:top w:val="single" w:sz="4" w:space="0" w:color="C0C0C0"/>
              <w:left w:val="single" w:sz="4" w:space="0" w:color="000000"/>
              <w:bottom w:val="single" w:sz="4" w:space="0" w:color="C0C0C0"/>
            </w:tcBorders>
            <w:shd w:val="clear" w:color="auto" w:fill="BFBFBF"/>
          </w:tcPr>
          <w:p w14:paraId="64C89703" w14:textId="77777777" w:rsidR="00F52F24" w:rsidRDefault="00F52F24" w:rsidP="00F52F24">
            <w:pPr>
              <w:keepNext/>
              <w:snapToGrid w:val="0"/>
              <w:rPr>
                <w:rFonts w:eastAsia="細明體"/>
                <w:b/>
                <w:sz w:val="17"/>
                <w:szCs w:val="17"/>
              </w:rPr>
            </w:pPr>
          </w:p>
        </w:tc>
        <w:tc>
          <w:tcPr>
            <w:tcW w:w="1588" w:type="dxa"/>
            <w:tcBorders>
              <w:top w:val="single" w:sz="4" w:space="0" w:color="C0C0C0"/>
              <w:left w:val="single" w:sz="4" w:space="0" w:color="000000"/>
              <w:bottom w:val="single" w:sz="4" w:space="0" w:color="C0C0C0"/>
            </w:tcBorders>
            <w:shd w:val="clear" w:color="auto" w:fill="BFBFBF"/>
          </w:tcPr>
          <w:p w14:paraId="7E562826" w14:textId="77777777" w:rsidR="00F52F24" w:rsidRDefault="00F52F24" w:rsidP="00F52F24">
            <w:pPr>
              <w:keepNext/>
              <w:snapToGrid w:val="0"/>
              <w:rPr>
                <w:rFonts w:eastAsia="細明體"/>
                <w:b/>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BFBFBF"/>
          </w:tcPr>
          <w:p w14:paraId="4A4F46BF" w14:textId="77777777" w:rsidR="00F52F24" w:rsidRDefault="00F52F24" w:rsidP="00F52F24">
            <w:pPr>
              <w:keepNext/>
              <w:snapToGrid w:val="0"/>
              <w:rPr>
                <w:rFonts w:eastAsia="細明體"/>
                <w:b/>
                <w:sz w:val="17"/>
                <w:szCs w:val="17"/>
              </w:rPr>
            </w:pPr>
          </w:p>
        </w:tc>
      </w:tr>
      <w:tr w:rsidR="00F52F24" w14:paraId="1656E32E" w14:textId="77777777" w:rsidTr="00F52F24">
        <w:trPr>
          <w:trHeight w:val="216"/>
        </w:trPr>
        <w:tc>
          <w:tcPr>
            <w:tcW w:w="3119" w:type="dxa"/>
            <w:tcBorders>
              <w:top w:val="single" w:sz="4" w:space="0" w:color="C0C0C0"/>
              <w:bottom w:val="single" w:sz="4" w:space="0" w:color="C0C0C0"/>
            </w:tcBorders>
            <w:shd w:val="clear" w:color="auto" w:fill="FFFFFF"/>
          </w:tcPr>
          <w:p w14:paraId="381FC3BA"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尚欠銀行存款</w:t>
            </w:r>
            <w:proofErr w:type="spellEnd"/>
          </w:p>
        </w:tc>
        <w:tc>
          <w:tcPr>
            <w:tcW w:w="1417" w:type="dxa"/>
            <w:tcBorders>
              <w:top w:val="single" w:sz="4" w:space="0" w:color="C0C0C0"/>
              <w:left w:val="single" w:sz="4" w:space="0" w:color="000000"/>
              <w:bottom w:val="single" w:sz="4" w:space="0" w:color="C0C0C0"/>
            </w:tcBorders>
            <w:shd w:val="clear" w:color="auto" w:fill="auto"/>
          </w:tcPr>
          <w:p w14:paraId="35A49A00" w14:textId="77777777" w:rsidR="00F52F24" w:rsidRDefault="00F52F24" w:rsidP="00F52F24">
            <w:pPr>
              <w:keepNext/>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06B4CD44" w14:textId="77777777" w:rsidR="00F52F24" w:rsidRDefault="00F52F24" w:rsidP="00F52F24">
            <w:pPr>
              <w:keepNext/>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61336652" w14:textId="77777777" w:rsidR="00F52F24" w:rsidRDefault="00F52F24" w:rsidP="00F52F24">
            <w:pPr>
              <w:keepNext/>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0BE92F9C" w14:textId="77777777" w:rsidR="00F52F24" w:rsidRDefault="00F52F24" w:rsidP="00F52F24">
            <w:pPr>
              <w:keepNext/>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0BD422A8" w14:textId="77777777" w:rsidR="00F52F24" w:rsidRDefault="00F52F24" w:rsidP="00F52F24">
            <w:pPr>
              <w:keepNext/>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6442363C" w14:textId="77777777" w:rsidR="00F52F24" w:rsidRDefault="00F52F24" w:rsidP="00F52F24">
            <w:pPr>
              <w:keepNext/>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5B278645" w14:textId="77777777" w:rsidR="00F52F24" w:rsidRDefault="00F52F24" w:rsidP="00F52F24">
            <w:pPr>
              <w:keepNext/>
              <w:snapToGrid w:val="0"/>
              <w:rPr>
                <w:rFonts w:eastAsia="細明體"/>
                <w:sz w:val="17"/>
                <w:szCs w:val="17"/>
              </w:rPr>
            </w:pPr>
          </w:p>
        </w:tc>
      </w:tr>
      <w:tr w:rsidR="00F52F24" w14:paraId="10CB730F" w14:textId="77777777" w:rsidTr="00F52F24">
        <w:trPr>
          <w:trHeight w:val="216"/>
        </w:trPr>
        <w:tc>
          <w:tcPr>
            <w:tcW w:w="3119" w:type="dxa"/>
            <w:tcBorders>
              <w:top w:val="single" w:sz="4" w:space="0" w:color="C0C0C0"/>
              <w:bottom w:val="single" w:sz="4" w:space="0" w:color="C0C0C0"/>
            </w:tcBorders>
            <w:shd w:val="clear" w:color="auto" w:fill="FFFFFF"/>
          </w:tcPr>
          <w:p w14:paraId="1E561495" w14:textId="77777777" w:rsidR="00F52F24" w:rsidRDefault="00F52F24" w:rsidP="00F52F24">
            <w:pPr>
              <w:snapToGrid w:val="0"/>
              <w:spacing w:before="20" w:after="20"/>
              <w:rPr>
                <w:rFonts w:eastAsia="細明體"/>
                <w:sz w:val="17"/>
                <w:szCs w:val="17"/>
                <w:lang w:eastAsia="zh-TW"/>
              </w:rPr>
            </w:pPr>
            <w:r>
              <w:rPr>
                <w:rFonts w:eastAsia="細明體" w:hint="eastAsia"/>
                <w:sz w:val="17"/>
                <w:szCs w:val="17"/>
                <w:lang w:eastAsia="zh-TW"/>
              </w:rPr>
              <w:t>為其他銀行託收中的項目</w:t>
            </w:r>
          </w:p>
        </w:tc>
        <w:tc>
          <w:tcPr>
            <w:tcW w:w="1417" w:type="dxa"/>
            <w:tcBorders>
              <w:top w:val="single" w:sz="4" w:space="0" w:color="C0C0C0"/>
              <w:left w:val="single" w:sz="4" w:space="0" w:color="000000"/>
              <w:bottom w:val="single" w:sz="4" w:space="0" w:color="C0C0C0"/>
            </w:tcBorders>
            <w:shd w:val="clear" w:color="auto" w:fill="auto"/>
          </w:tcPr>
          <w:p w14:paraId="67606CCC" w14:textId="77777777" w:rsidR="00F52F24" w:rsidRDefault="00F52F24" w:rsidP="00F52F24">
            <w:pPr>
              <w:snapToGrid w:val="0"/>
              <w:rPr>
                <w:rFonts w:eastAsia="細明體"/>
                <w:sz w:val="17"/>
                <w:szCs w:val="17"/>
                <w:lang w:eastAsia="zh-TW"/>
              </w:rPr>
            </w:pPr>
          </w:p>
        </w:tc>
        <w:tc>
          <w:tcPr>
            <w:tcW w:w="1418" w:type="dxa"/>
            <w:tcBorders>
              <w:top w:val="single" w:sz="4" w:space="0" w:color="C0C0C0"/>
              <w:left w:val="single" w:sz="4" w:space="0" w:color="000000"/>
              <w:bottom w:val="single" w:sz="4" w:space="0" w:color="C0C0C0"/>
            </w:tcBorders>
            <w:shd w:val="clear" w:color="auto" w:fill="auto"/>
          </w:tcPr>
          <w:p w14:paraId="793AB1B0"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5BBF9623"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auto"/>
          </w:tcPr>
          <w:p w14:paraId="5FEF9774"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059215B6"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FFFFFF"/>
          </w:tcPr>
          <w:p w14:paraId="50578F0E" w14:textId="77777777" w:rsidR="00F52F24" w:rsidRDefault="00F52F24" w:rsidP="00F52F24">
            <w:pPr>
              <w:snapToGrid w:val="0"/>
              <w:rPr>
                <w:rFonts w:eastAsia="細明體"/>
                <w:sz w:val="17"/>
                <w:szCs w:val="17"/>
                <w:lang w:eastAsia="zh-TW"/>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4A17DECE" w14:textId="77777777" w:rsidR="00F52F24" w:rsidRDefault="00F52F24" w:rsidP="00F52F24">
            <w:pPr>
              <w:snapToGrid w:val="0"/>
              <w:rPr>
                <w:rFonts w:eastAsia="細明體"/>
                <w:sz w:val="17"/>
                <w:szCs w:val="17"/>
                <w:lang w:eastAsia="zh-TW"/>
              </w:rPr>
            </w:pPr>
          </w:p>
        </w:tc>
      </w:tr>
      <w:tr w:rsidR="00F52F24" w14:paraId="41A0F25A" w14:textId="77777777" w:rsidTr="00F52F24">
        <w:trPr>
          <w:trHeight w:val="216"/>
        </w:trPr>
        <w:tc>
          <w:tcPr>
            <w:tcW w:w="3119" w:type="dxa"/>
            <w:tcBorders>
              <w:top w:val="single" w:sz="4" w:space="0" w:color="C0C0C0"/>
              <w:bottom w:val="single" w:sz="4" w:space="0" w:color="C0C0C0"/>
            </w:tcBorders>
            <w:shd w:val="clear" w:color="auto" w:fill="FFFFFF"/>
          </w:tcPr>
          <w:p w14:paraId="6809C157"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客戶帳戶</w:t>
            </w:r>
            <w:proofErr w:type="spellEnd"/>
          </w:p>
        </w:tc>
        <w:tc>
          <w:tcPr>
            <w:tcW w:w="1417" w:type="dxa"/>
            <w:tcBorders>
              <w:top w:val="single" w:sz="4" w:space="0" w:color="C0C0C0"/>
              <w:left w:val="single" w:sz="4" w:space="0" w:color="000000"/>
              <w:bottom w:val="single" w:sz="4" w:space="0" w:color="C0C0C0"/>
            </w:tcBorders>
            <w:shd w:val="clear" w:color="auto" w:fill="auto"/>
          </w:tcPr>
          <w:p w14:paraId="594B1DF7"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31C97422"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1879094E"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7666BDB7"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5E890127"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48FE0FC2"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55AF501B" w14:textId="77777777" w:rsidR="00F52F24" w:rsidRDefault="00F52F24" w:rsidP="00F52F24">
            <w:pPr>
              <w:snapToGrid w:val="0"/>
              <w:rPr>
                <w:rFonts w:eastAsia="細明體"/>
                <w:sz w:val="17"/>
                <w:szCs w:val="17"/>
              </w:rPr>
            </w:pPr>
          </w:p>
        </w:tc>
      </w:tr>
      <w:tr w:rsidR="00F52F24" w14:paraId="574ABC1C" w14:textId="77777777" w:rsidTr="00F52F24">
        <w:trPr>
          <w:trHeight w:val="216"/>
        </w:trPr>
        <w:tc>
          <w:tcPr>
            <w:tcW w:w="3119" w:type="dxa"/>
            <w:tcBorders>
              <w:top w:val="single" w:sz="4" w:space="0" w:color="C0C0C0"/>
              <w:bottom w:val="single" w:sz="4" w:space="0" w:color="C0C0C0"/>
            </w:tcBorders>
            <w:shd w:val="clear" w:color="auto" w:fill="FFFFFF"/>
          </w:tcPr>
          <w:p w14:paraId="567E38AA" w14:textId="77777777" w:rsidR="00F52F24" w:rsidRDefault="00F52F24" w:rsidP="00F52F24">
            <w:pPr>
              <w:snapToGrid w:val="0"/>
              <w:spacing w:before="20" w:after="20"/>
              <w:rPr>
                <w:rFonts w:eastAsia="細明體"/>
                <w:sz w:val="17"/>
                <w:szCs w:val="17"/>
                <w:lang w:eastAsia="zh-TW"/>
              </w:rPr>
            </w:pPr>
            <w:r>
              <w:rPr>
                <w:rFonts w:eastAsia="細明體" w:hint="eastAsia"/>
                <w:sz w:val="17"/>
                <w:szCs w:val="17"/>
                <w:lang w:eastAsia="zh-TW"/>
              </w:rPr>
              <w:t>回購協議及其他類似的有抵押借款</w:t>
            </w:r>
          </w:p>
        </w:tc>
        <w:tc>
          <w:tcPr>
            <w:tcW w:w="1417" w:type="dxa"/>
            <w:tcBorders>
              <w:top w:val="single" w:sz="4" w:space="0" w:color="C0C0C0"/>
              <w:left w:val="single" w:sz="4" w:space="0" w:color="000000"/>
              <w:bottom w:val="single" w:sz="4" w:space="0" w:color="C0C0C0"/>
            </w:tcBorders>
            <w:shd w:val="clear" w:color="auto" w:fill="auto"/>
          </w:tcPr>
          <w:p w14:paraId="4350C705" w14:textId="77777777" w:rsidR="00F52F24" w:rsidRDefault="00F52F24" w:rsidP="00F52F24">
            <w:pPr>
              <w:snapToGrid w:val="0"/>
              <w:rPr>
                <w:rFonts w:eastAsia="細明體"/>
                <w:sz w:val="17"/>
                <w:szCs w:val="17"/>
                <w:lang w:eastAsia="zh-TW"/>
              </w:rPr>
            </w:pPr>
          </w:p>
        </w:tc>
        <w:tc>
          <w:tcPr>
            <w:tcW w:w="1418" w:type="dxa"/>
            <w:tcBorders>
              <w:top w:val="single" w:sz="4" w:space="0" w:color="C0C0C0"/>
              <w:left w:val="single" w:sz="4" w:space="0" w:color="000000"/>
              <w:bottom w:val="single" w:sz="4" w:space="0" w:color="C0C0C0"/>
            </w:tcBorders>
            <w:shd w:val="clear" w:color="auto" w:fill="auto"/>
          </w:tcPr>
          <w:p w14:paraId="0CEFEEED"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6BADA0FC"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auto"/>
          </w:tcPr>
          <w:p w14:paraId="7F05C7CC"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1BCEDED0"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FFFFFF"/>
          </w:tcPr>
          <w:p w14:paraId="6A469538" w14:textId="77777777" w:rsidR="00F52F24" w:rsidRDefault="00F52F24" w:rsidP="00F52F24">
            <w:pPr>
              <w:snapToGrid w:val="0"/>
              <w:rPr>
                <w:rFonts w:eastAsia="細明體"/>
                <w:sz w:val="17"/>
                <w:szCs w:val="17"/>
                <w:lang w:eastAsia="zh-TW"/>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30D7865F" w14:textId="77777777" w:rsidR="00F52F24" w:rsidRDefault="00F52F24" w:rsidP="00F52F24">
            <w:pPr>
              <w:snapToGrid w:val="0"/>
              <w:rPr>
                <w:rFonts w:eastAsia="細明體"/>
                <w:sz w:val="17"/>
                <w:szCs w:val="17"/>
                <w:lang w:eastAsia="zh-TW"/>
              </w:rPr>
            </w:pPr>
          </w:p>
        </w:tc>
      </w:tr>
      <w:tr w:rsidR="00F52F24" w14:paraId="17EE4E37" w14:textId="77777777" w:rsidTr="00F52F24">
        <w:trPr>
          <w:trHeight w:val="216"/>
        </w:trPr>
        <w:tc>
          <w:tcPr>
            <w:tcW w:w="3119" w:type="dxa"/>
            <w:tcBorders>
              <w:top w:val="single" w:sz="4" w:space="0" w:color="C0C0C0"/>
              <w:bottom w:val="single" w:sz="4" w:space="0" w:color="C0C0C0"/>
            </w:tcBorders>
            <w:shd w:val="clear" w:color="auto" w:fill="FFFFFF"/>
          </w:tcPr>
          <w:p w14:paraId="691F5097"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交易組合負債</w:t>
            </w:r>
            <w:proofErr w:type="spellEnd"/>
          </w:p>
        </w:tc>
        <w:tc>
          <w:tcPr>
            <w:tcW w:w="1417" w:type="dxa"/>
            <w:tcBorders>
              <w:top w:val="single" w:sz="4" w:space="0" w:color="C0C0C0"/>
              <w:left w:val="single" w:sz="4" w:space="0" w:color="000000"/>
              <w:bottom w:val="single" w:sz="4" w:space="0" w:color="C0C0C0"/>
            </w:tcBorders>
            <w:shd w:val="clear" w:color="auto" w:fill="auto"/>
          </w:tcPr>
          <w:p w14:paraId="7163A990"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176CEB0E"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488247BC"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4906D45C"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260D97D4"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728661A6"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285D2201" w14:textId="77777777" w:rsidR="00F52F24" w:rsidRDefault="00F52F24" w:rsidP="00F52F24">
            <w:pPr>
              <w:snapToGrid w:val="0"/>
              <w:rPr>
                <w:rFonts w:eastAsia="細明體"/>
                <w:sz w:val="17"/>
                <w:szCs w:val="17"/>
              </w:rPr>
            </w:pPr>
          </w:p>
        </w:tc>
      </w:tr>
      <w:tr w:rsidR="00F52F24" w14:paraId="14EB7401" w14:textId="77777777" w:rsidTr="00F52F24">
        <w:trPr>
          <w:trHeight w:val="216"/>
        </w:trPr>
        <w:tc>
          <w:tcPr>
            <w:tcW w:w="3119" w:type="dxa"/>
            <w:tcBorders>
              <w:top w:val="single" w:sz="4" w:space="0" w:color="C0C0C0"/>
              <w:bottom w:val="single" w:sz="4" w:space="0" w:color="C0C0C0"/>
            </w:tcBorders>
            <w:shd w:val="clear" w:color="auto" w:fill="FFFFFF"/>
          </w:tcPr>
          <w:p w14:paraId="2C3B6342" w14:textId="77777777" w:rsidR="00F52F24" w:rsidRDefault="00F52F24" w:rsidP="00F52F24">
            <w:pPr>
              <w:snapToGrid w:val="0"/>
              <w:spacing w:before="20" w:after="20"/>
              <w:rPr>
                <w:rFonts w:eastAsia="細明體"/>
                <w:sz w:val="17"/>
                <w:szCs w:val="17"/>
                <w:lang w:eastAsia="zh-TW"/>
              </w:rPr>
            </w:pPr>
            <w:r w:rsidRPr="00701D7E">
              <w:rPr>
                <w:rFonts w:eastAsia="細明體" w:hint="eastAsia"/>
                <w:sz w:val="17"/>
                <w:szCs w:val="17"/>
                <w:lang w:eastAsia="zh-TW"/>
              </w:rPr>
              <w:t>指定為以</w:t>
            </w:r>
            <w:r>
              <w:rPr>
                <w:rFonts w:eastAsia="細明體"/>
                <w:sz w:val="17"/>
                <w:szCs w:val="17"/>
                <w:lang w:eastAsia="zh-TW"/>
              </w:rPr>
              <w:t>公平價值列帳的金融負債</w:t>
            </w:r>
          </w:p>
        </w:tc>
        <w:tc>
          <w:tcPr>
            <w:tcW w:w="1417" w:type="dxa"/>
            <w:tcBorders>
              <w:top w:val="single" w:sz="4" w:space="0" w:color="C0C0C0"/>
              <w:left w:val="single" w:sz="4" w:space="0" w:color="000000"/>
              <w:bottom w:val="single" w:sz="4" w:space="0" w:color="C0C0C0"/>
            </w:tcBorders>
            <w:shd w:val="clear" w:color="auto" w:fill="auto"/>
          </w:tcPr>
          <w:p w14:paraId="7D5B9531" w14:textId="77777777" w:rsidR="00F52F24" w:rsidRDefault="00F52F24" w:rsidP="00F52F24">
            <w:pPr>
              <w:snapToGrid w:val="0"/>
              <w:rPr>
                <w:rFonts w:eastAsia="細明體"/>
                <w:sz w:val="17"/>
                <w:szCs w:val="17"/>
                <w:lang w:eastAsia="zh-TW"/>
              </w:rPr>
            </w:pPr>
          </w:p>
        </w:tc>
        <w:tc>
          <w:tcPr>
            <w:tcW w:w="1418" w:type="dxa"/>
            <w:tcBorders>
              <w:top w:val="single" w:sz="4" w:space="0" w:color="C0C0C0"/>
              <w:left w:val="single" w:sz="4" w:space="0" w:color="000000"/>
              <w:bottom w:val="single" w:sz="4" w:space="0" w:color="C0C0C0"/>
            </w:tcBorders>
            <w:shd w:val="clear" w:color="auto" w:fill="auto"/>
          </w:tcPr>
          <w:p w14:paraId="3D777E2C"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2C30441D"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auto"/>
          </w:tcPr>
          <w:p w14:paraId="52B1D61D" w14:textId="77777777" w:rsidR="00F52F24" w:rsidRDefault="00F52F24" w:rsidP="00F52F24">
            <w:pPr>
              <w:snapToGrid w:val="0"/>
              <w:rPr>
                <w:rFonts w:eastAsia="細明體"/>
                <w:sz w:val="17"/>
                <w:szCs w:val="17"/>
                <w:lang w:eastAsia="zh-TW"/>
              </w:rPr>
            </w:pPr>
          </w:p>
        </w:tc>
        <w:tc>
          <w:tcPr>
            <w:tcW w:w="1587" w:type="dxa"/>
            <w:tcBorders>
              <w:top w:val="single" w:sz="4" w:space="0" w:color="C0C0C0"/>
              <w:left w:val="single" w:sz="4" w:space="0" w:color="000000"/>
              <w:bottom w:val="single" w:sz="4" w:space="0" w:color="C0C0C0"/>
            </w:tcBorders>
            <w:shd w:val="clear" w:color="auto" w:fill="auto"/>
          </w:tcPr>
          <w:p w14:paraId="0B6FFE9D" w14:textId="77777777" w:rsidR="00F52F24" w:rsidRDefault="00F52F24" w:rsidP="00F52F24">
            <w:pPr>
              <w:snapToGrid w:val="0"/>
              <w:rPr>
                <w:rFonts w:eastAsia="細明體"/>
                <w:sz w:val="17"/>
                <w:szCs w:val="17"/>
                <w:lang w:eastAsia="zh-TW"/>
              </w:rPr>
            </w:pPr>
          </w:p>
        </w:tc>
        <w:tc>
          <w:tcPr>
            <w:tcW w:w="1588" w:type="dxa"/>
            <w:tcBorders>
              <w:top w:val="single" w:sz="4" w:space="0" w:color="C0C0C0"/>
              <w:left w:val="single" w:sz="4" w:space="0" w:color="000000"/>
              <w:bottom w:val="single" w:sz="4" w:space="0" w:color="C0C0C0"/>
            </w:tcBorders>
            <w:shd w:val="clear" w:color="auto" w:fill="FFFFFF"/>
          </w:tcPr>
          <w:p w14:paraId="62878BF9" w14:textId="77777777" w:rsidR="00F52F24" w:rsidRDefault="00F52F24" w:rsidP="00F52F24">
            <w:pPr>
              <w:snapToGrid w:val="0"/>
              <w:rPr>
                <w:rFonts w:eastAsia="細明體"/>
                <w:sz w:val="17"/>
                <w:szCs w:val="17"/>
                <w:lang w:eastAsia="zh-TW"/>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0511BF7B" w14:textId="77777777" w:rsidR="00F52F24" w:rsidRDefault="00F52F24" w:rsidP="00F52F24">
            <w:pPr>
              <w:snapToGrid w:val="0"/>
              <w:rPr>
                <w:rFonts w:eastAsia="細明體"/>
                <w:sz w:val="17"/>
                <w:szCs w:val="17"/>
                <w:lang w:eastAsia="zh-TW"/>
              </w:rPr>
            </w:pPr>
          </w:p>
        </w:tc>
      </w:tr>
      <w:tr w:rsidR="00F52F24" w14:paraId="6E557790" w14:textId="77777777" w:rsidTr="00F52F24">
        <w:trPr>
          <w:trHeight w:val="216"/>
        </w:trPr>
        <w:tc>
          <w:tcPr>
            <w:tcW w:w="3119" w:type="dxa"/>
            <w:tcBorders>
              <w:top w:val="single" w:sz="4" w:space="0" w:color="C0C0C0"/>
              <w:bottom w:val="single" w:sz="4" w:space="0" w:color="C0C0C0"/>
            </w:tcBorders>
            <w:shd w:val="clear" w:color="auto" w:fill="FFFFFF"/>
          </w:tcPr>
          <w:p w14:paraId="27CE052F" w14:textId="77777777" w:rsidR="00F52F24" w:rsidRDefault="00F52F24" w:rsidP="00F52F24">
            <w:pPr>
              <w:snapToGrid w:val="0"/>
              <w:spacing w:before="20" w:after="20"/>
              <w:rPr>
                <w:rFonts w:eastAsia="細明體"/>
                <w:sz w:val="17"/>
                <w:szCs w:val="17"/>
              </w:rPr>
            </w:pPr>
            <w:proofErr w:type="spellStart"/>
            <w:r>
              <w:rPr>
                <w:rFonts w:eastAsia="細明體" w:hint="eastAsia"/>
                <w:sz w:val="17"/>
                <w:szCs w:val="17"/>
              </w:rPr>
              <w:t>衍生金融工具</w:t>
            </w:r>
            <w:proofErr w:type="spellEnd"/>
          </w:p>
        </w:tc>
        <w:tc>
          <w:tcPr>
            <w:tcW w:w="1417" w:type="dxa"/>
            <w:tcBorders>
              <w:top w:val="single" w:sz="4" w:space="0" w:color="C0C0C0"/>
              <w:left w:val="single" w:sz="4" w:space="0" w:color="000000"/>
              <w:bottom w:val="single" w:sz="4" w:space="0" w:color="C0C0C0"/>
            </w:tcBorders>
            <w:shd w:val="clear" w:color="auto" w:fill="auto"/>
          </w:tcPr>
          <w:p w14:paraId="25A9A61B"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78561EF7"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1AEEDCAC"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58947E89"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53C7359F"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1C60E52A"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4C442BE9" w14:textId="77777777" w:rsidR="00F52F24" w:rsidRDefault="00F52F24" w:rsidP="00F52F24">
            <w:pPr>
              <w:snapToGrid w:val="0"/>
              <w:rPr>
                <w:rFonts w:eastAsia="細明體"/>
                <w:sz w:val="17"/>
                <w:szCs w:val="17"/>
              </w:rPr>
            </w:pPr>
          </w:p>
        </w:tc>
      </w:tr>
      <w:tr w:rsidR="00F52F24" w14:paraId="670FC8FF" w14:textId="77777777" w:rsidTr="00F52F24">
        <w:trPr>
          <w:trHeight w:val="216"/>
        </w:trPr>
        <w:tc>
          <w:tcPr>
            <w:tcW w:w="3119" w:type="dxa"/>
            <w:tcBorders>
              <w:top w:val="single" w:sz="4" w:space="0" w:color="C0C0C0"/>
              <w:bottom w:val="single" w:sz="4" w:space="0" w:color="C0C0C0"/>
            </w:tcBorders>
            <w:shd w:val="clear" w:color="auto" w:fill="FFFFFF"/>
          </w:tcPr>
          <w:p w14:paraId="5FD8BB0F" w14:textId="77777777" w:rsidR="00F52F24" w:rsidRDefault="00F52F24" w:rsidP="00F52F24">
            <w:pPr>
              <w:snapToGrid w:val="0"/>
              <w:spacing w:before="20" w:after="20"/>
              <w:rPr>
                <w:rFonts w:eastAsia="細明體"/>
                <w:sz w:val="17"/>
                <w:szCs w:val="17"/>
              </w:rPr>
            </w:pPr>
            <w:r>
              <w:rPr>
                <w:rFonts w:eastAsia="細明體"/>
                <w:sz w:val="17"/>
                <w:szCs w:val="17"/>
              </w:rPr>
              <w:t>….</w:t>
            </w:r>
          </w:p>
        </w:tc>
        <w:tc>
          <w:tcPr>
            <w:tcW w:w="1417" w:type="dxa"/>
            <w:tcBorders>
              <w:top w:val="single" w:sz="4" w:space="0" w:color="C0C0C0"/>
              <w:left w:val="single" w:sz="4" w:space="0" w:color="000000"/>
              <w:bottom w:val="single" w:sz="4" w:space="0" w:color="C0C0C0"/>
            </w:tcBorders>
            <w:shd w:val="clear" w:color="auto" w:fill="auto"/>
          </w:tcPr>
          <w:p w14:paraId="188D1015"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76AEC31A"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297FB59B"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2366CA36"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3968375C"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6E2091AC"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728157BC" w14:textId="77777777" w:rsidR="00F52F24" w:rsidRDefault="00F52F24" w:rsidP="00F52F24">
            <w:pPr>
              <w:snapToGrid w:val="0"/>
              <w:rPr>
                <w:rFonts w:eastAsia="細明體"/>
                <w:sz w:val="17"/>
                <w:szCs w:val="17"/>
              </w:rPr>
            </w:pPr>
          </w:p>
        </w:tc>
      </w:tr>
      <w:tr w:rsidR="00F52F24" w14:paraId="774F9D7B" w14:textId="77777777" w:rsidTr="00966C90">
        <w:trPr>
          <w:trHeight w:val="216"/>
        </w:trPr>
        <w:tc>
          <w:tcPr>
            <w:tcW w:w="3119" w:type="dxa"/>
            <w:tcBorders>
              <w:top w:val="single" w:sz="4" w:space="0" w:color="C0C0C0"/>
              <w:bottom w:val="single" w:sz="4" w:space="0" w:color="C0C0C0"/>
            </w:tcBorders>
            <w:shd w:val="clear" w:color="auto" w:fill="FFFFFF"/>
          </w:tcPr>
          <w:p w14:paraId="639EC8A9" w14:textId="77777777" w:rsidR="00F52F24" w:rsidRDefault="00F52F24" w:rsidP="00F52F24">
            <w:pPr>
              <w:snapToGrid w:val="0"/>
              <w:spacing w:before="20" w:after="20"/>
              <w:rPr>
                <w:rFonts w:eastAsia="細明體"/>
                <w:sz w:val="17"/>
                <w:szCs w:val="17"/>
              </w:rPr>
            </w:pPr>
            <w:proofErr w:type="spellStart"/>
            <w:r>
              <w:rPr>
                <w:rFonts w:eastAsia="細明體" w:hint="eastAsia"/>
                <w:b/>
                <w:sz w:val="17"/>
                <w:szCs w:val="17"/>
              </w:rPr>
              <w:t>負債總額</w:t>
            </w:r>
            <w:proofErr w:type="spellEnd"/>
          </w:p>
        </w:tc>
        <w:tc>
          <w:tcPr>
            <w:tcW w:w="1417" w:type="dxa"/>
            <w:tcBorders>
              <w:top w:val="single" w:sz="4" w:space="0" w:color="C0C0C0"/>
              <w:left w:val="single" w:sz="4" w:space="0" w:color="000000"/>
              <w:bottom w:val="single" w:sz="4" w:space="0" w:color="C0C0C0"/>
            </w:tcBorders>
            <w:shd w:val="clear" w:color="auto" w:fill="auto"/>
          </w:tcPr>
          <w:p w14:paraId="5D84D60E"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C0C0C0"/>
            </w:tcBorders>
            <w:shd w:val="clear" w:color="auto" w:fill="auto"/>
          </w:tcPr>
          <w:p w14:paraId="4C14CF0C"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5557D1C8"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auto"/>
          </w:tcPr>
          <w:p w14:paraId="2517B801"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C0C0C0"/>
            </w:tcBorders>
            <w:shd w:val="clear" w:color="auto" w:fill="auto"/>
          </w:tcPr>
          <w:p w14:paraId="19FAC9BE"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C0C0C0"/>
            </w:tcBorders>
            <w:shd w:val="clear" w:color="auto" w:fill="FFFFFF"/>
          </w:tcPr>
          <w:p w14:paraId="451A4D86"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C0C0C0"/>
              <w:right w:val="single" w:sz="4" w:space="0" w:color="000000"/>
            </w:tcBorders>
            <w:shd w:val="clear" w:color="auto" w:fill="FFFFFF"/>
          </w:tcPr>
          <w:p w14:paraId="1D1CDCCE" w14:textId="77777777" w:rsidR="00F52F24" w:rsidRDefault="00F52F24" w:rsidP="00F52F24">
            <w:pPr>
              <w:snapToGrid w:val="0"/>
              <w:rPr>
                <w:rFonts w:eastAsia="細明體"/>
                <w:sz w:val="17"/>
                <w:szCs w:val="17"/>
              </w:rPr>
            </w:pPr>
          </w:p>
        </w:tc>
      </w:tr>
      <w:tr w:rsidR="00F52F24" w14:paraId="7E4AF8B9" w14:textId="77777777" w:rsidTr="00966C90">
        <w:trPr>
          <w:trHeight w:val="216"/>
        </w:trPr>
        <w:tc>
          <w:tcPr>
            <w:tcW w:w="3119" w:type="dxa"/>
            <w:tcBorders>
              <w:top w:val="single" w:sz="4" w:space="0" w:color="C0C0C0"/>
              <w:bottom w:val="single" w:sz="4" w:space="0" w:color="auto"/>
            </w:tcBorders>
            <w:shd w:val="clear" w:color="auto" w:fill="FFFFFF"/>
          </w:tcPr>
          <w:p w14:paraId="44595EEF" w14:textId="77777777" w:rsidR="00F52F24" w:rsidRDefault="00F52F24" w:rsidP="00F52F24">
            <w:pPr>
              <w:snapToGrid w:val="0"/>
              <w:spacing w:before="20" w:after="20"/>
              <w:rPr>
                <w:rFonts w:eastAsia="細明體"/>
                <w:b/>
                <w:sz w:val="17"/>
                <w:szCs w:val="17"/>
              </w:rPr>
            </w:pPr>
          </w:p>
        </w:tc>
        <w:tc>
          <w:tcPr>
            <w:tcW w:w="1417" w:type="dxa"/>
            <w:tcBorders>
              <w:top w:val="single" w:sz="4" w:space="0" w:color="C0C0C0"/>
              <w:left w:val="single" w:sz="4" w:space="0" w:color="000000"/>
              <w:bottom w:val="single" w:sz="4" w:space="0" w:color="auto"/>
            </w:tcBorders>
            <w:shd w:val="clear" w:color="auto" w:fill="auto"/>
          </w:tcPr>
          <w:p w14:paraId="339BDC5A" w14:textId="77777777" w:rsidR="00F52F24" w:rsidRDefault="00F52F24" w:rsidP="00F52F24">
            <w:pPr>
              <w:snapToGrid w:val="0"/>
              <w:rPr>
                <w:rFonts w:eastAsia="細明體"/>
                <w:sz w:val="17"/>
                <w:szCs w:val="17"/>
              </w:rPr>
            </w:pPr>
          </w:p>
        </w:tc>
        <w:tc>
          <w:tcPr>
            <w:tcW w:w="1418" w:type="dxa"/>
            <w:tcBorders>
              <w:top w:val="single" w:sz="4" w:space="0" w:color="C0C0C0"/>
              <w:left w:val="single" w:sz="4" w:space="0" w:color="000000"/>
              <w:bottom w:val="single" w:sz="4" w:space="0" w:color="auto"/>
            </w:tcBorders>
            <w:shd w:val="clear" w:color="auto" w:fill="auto"/>
          </w:tcPr>
          <w:p w14:paraId="7D614740"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auto"/>
            </w:tcBorders>
            <w:shd w:val="clear" w:color="auto" w:fill="auto"/>
          </w:tcPr>
          <w:p w14:paraId="17F76B4C"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auto"/>
            </w:tcBorders>
            <w:shd w:val="clear" w:color="auto" w:fill="auto"/>
          </w:tcPr>
          <w:p w14:paraId="09DBFEA1" w14:textId="77777777" w:rsidR="00F52F24" w:rsidRDefault="00F52F24" w:rsidP="00F52F24">
            <w:pPr>
              <w:snapToGrid w:val="0"/>
              <w:rPr>
                <w:rFonts w:eastAsia="細明體"/>
                <w:sz w:val="17"/>
                <w:szCs w:val="17"/>
              </w:rPr>
            </w:pPr>
          </w:p>
        </w:tc>
        <w:tc>
          <w:tcPr>
            <w:tcW w:w="1587" w:type="dxa"/>
            <w:tcBorders>
              <w:top w:val="single" w:sz="4" w:space="0" w:color="C0C0C0"/>
              <w:left w:val="single" w:sz="4" w:space="0" w:color="000000"/>
              <w:bottom w:val="single" w:sz="4" w:space="0" w:color="auto"/>
            </w:tcBorders>
            <w:shd w:val="clear" w:color="auto" w:fill="auto"/>
          </w:tcPr>
          <w:p w14:paraId="57C42CEB" w14:textId="77777777" w:rsidR="00F52F24" w:rsidRDefault="00F52F24" w:rsidP="00F52F24">
            <w:pPr>
              <w:snapToGrid w:val="0"/>
              <w:rPr>
                <w:rFonts w:eastAsia="細明體"/>
                <w:sz w:val="17"/>
                <w:szCs w:val="17"/>
              </w:rPr>
            </w:pPr>
          </w:p>
        </w:tc>
        <w:tc>
          <w:tcPr>
            <w:tcW w:w="1588" w:type="dxa"/>
            <w:tcBorders>
              <w:top w:val="single" w:sz="4" w:space="0" w:color="C0C0C0"/>
              <w:left w:val="single" w:sz="4" w:space="0" w:color="000000"/>
              <w:bottom w:val="single" w:sz="4" w:space="0" w:color="auto"/>
            </w:tcBorders>
            <w:shd w:val="clear" w:color="auto" w:fill="FFFFFF"/>
          </w:tcPr>
          <w:p w14:paraId="1BFC29AF" w14:textId="77777777" w:rsidR="00F52F24" w:rsidRDefault="00F52F24" w:rsidP="00F52F24">
            <w:pPr>
              <w:snapToGrid w:val="0"/>
              <w:rPr>
                <w:rFonts w:eastAsia="細明體"/>
                <w:sz w:val="17"/>
                <w:szCs w:val="17"/>
              </w:rPr>
            </w:pPr>
          </w:p>
        </w:tc>
        <w:tc>
          <w:tcPr>
            <w:tcW w:w="1608" w:type="dxa"/>
            <w:tcBorders>
              <w:top w:val="single" w:sz="4" w:space="0" w:color="C0C0C0"/>
              <w:left w:val="single" w:sz="4" w:space="0" w:color="000000"/>
              <w:bottom w:val="single" w:sz="4" w:space="0" w:color="auto"/>
              <w:right w:val="single" w:sz="4" w:space="0" w:color="000000"/>
            </w:tcBorders>
            <w:shd w:val="clear" w:color="auto" w:fill="FFFFFF"/>
          </w:tcPr>
          <w:p w14:paraId="33D7F125" w14:textId="77777777" w:rsidR="00F52F24" w:rsidRDefault="00F52F24" w:rsidP="00F52F24">
            <w:pPr>
              <w:snapToGrid w:val="0"/>
              <w:rPr>
                <w:rFonts w:eastAsia="細明體"/>
                <w:sz w:val="17"/>
                <w:szCs w:val="17"/>
              </w:rPr>
            </w:pPr>
          </w:p>
        </w:tc>
      </w:tr>
      <w:tr w:rsidR="00F52F24" w14:paraId="0AEB8201" w14:textId="77777777" w:rsidTr="00966C90">
        <w:trPr>
          <w:trHeight w:val="216"/>
        </w:trPr>
        <w:tc>
          <w:tcPr>
            <w:tcW w:w="13912" w:type="dxa"/>
            <w:gridSpan w:val="8"/>
            <w:tcBorders>
              <w:top w:val="single" w:sz="4" w:space="0" w:color="auto"/>
              <w:bottom w:val="single" w:sz="4" w:space="0" w:color="000000"/>
              <w:right w:val="single" w:sz="4" w:space="0" w:color="000000"/>
            </w:tcBorders>
            <w:shd w:val="clear" w:color="auto" w:fill="FFFFFF"/>
          </w:tcPr>
          <w:p w14:paraId="1D34BAB5" w14:textId="23C3EF5B" w:rsidR="00F52F24" w:rsidRPr="00966C90" w:rsidRDefault="00F52F24" w:rsidP="00CA36B9">
            <w:pPr>
              <w:snapToGrid w:val="0"/>
              <w:rPr>
                <w:rFonts w:ascii="細明體" w:eastAsia="細明體" w:hAnsi="細明體"/>
                <w:sz w:val="17"/>
                <w:szCs w:val="17"/>
                <w:lang w:eastAsia="zh-TW"/>
              </w:rPr>
            </w:pPr>
            <w:r w:rsidRPr="00966C90">
              <w:rPr>
                <w:rFonts w:ascii="細明體" w:eastAsia="細明體" w:hAnsi="細明體" w:cs="Segoe UI"/>
                <w:sz w:val="17"/>
                <w:szCs w:val="17"/>
                <w:lang w:eastAsia="zh-TW"/>
              </w:rPr>
              <w:t xml:space="preserve">* </w:t>
            </w:r>
            <w:r w:rsidRPr="00966C90">
              <w:rPr>
                <w:rFonts w:ascii="細明體" w:eastAsia="細明體" w:hAnsi="細明體" w:cs="Segoe UI" w:hint="eastAsia"/>
                <w:sz w:val="17"/>
                <w:szCs w:val="17"/>
                <w:lang w:eastAsia="zh-HK"/>
              </w:rPr>
              <w:t>就本模版而言，</w:t>
            </w:r>
            <w:r w:rsidR="002E415E">
              <w:rPr>
                <w:rFonts w:eastAsia="細明體"/>
                <w:sz w:val="17"/>
                <w:szCs w:val="17"/>
                <w:lang w:eastAsia="zh-TW"/>
              </w:rPr>
              <w:t>(f)</w:t>
            </w:r>
            <w:r w:rsidRPr="00966C90">
              <w:rPr>
                <w:rFonts w:ascii="細明體" w:eastAsia="細明體" w:hAnsi="細明體" w:cs="Segoe UI" w:hint="eastAsia"/>
                <w:sz w:val="17"/>
                <w:szCs w:val="17"/>
                <w:lang w:eastAsia="zh-HK"/>
              </w:rPr>
              <w:t>欄亦包括</w:t>
            </w:r>
            <w:r w:rsidR="00DF4671">
              <w:rPr>
                <w:rFonts w:ascii="細明體" w:eastAsia="細明體" w:hAnsi="細明體" w:cs="Segoe UI" w:hint="eastAsia"/>
                <w:sz w:val="17"/>
                <w:szCs w:val="17"/>
                <w:lang w:eastAsia="zh-HK"/>
              </w:rPr>
              <w:t>受</w:t>
            </w:r>
            <w:r w:rsidR="002E415E">
              <w:rPr>
                <w:rFonts w:eastAsia="細明體"/>
                <w:sz w:val="17"/>
                <w:szCs w:val="17"/>
                <w:lang w:eastAsia="zh-TW"/>
              </w:rPr>
              <w:t>CVA</w:t>
            </w:r>
            <w:r w:rsidRPr="00966C90">
              <w:rPr>
                <w:rFonts w:ascii="細明體" w:eastAsia="細明體" w:hAnsi="細明體" w:cs="Segoe UI" w:hint="eastAsia"/>
                <w:sz w:val="17"/>
                <w:szCs w:val="17"/>
                <w:lang w:eastAsia="zh-HK"/>
              </w:rPr>
              <w:t>風險框架</w:t>
            </w:r>
            <w:r w:rsidR="00DF4671">
              <w:rPr>
                <w:rFonts w:ascii="細明體" w:eastAsia="細明體" w:hAnsi="細明體" w:cs="Segoe UI" w:hint="eastAsia"/>
                <w:sz w:val="17"/>
                <w:szCs w:val="17"/>
                <w:lang w:eastAsia="zh-HK"/>
              </w:rPr>
              <w:t>規限</w:t>
            </w:r>
            <w:r w:rsidRPr="00966C90">
              <w:rPr>
                <w:rFonts w:ascii="細明體" w:eastAsia="細明體" w:hAnsi="細明體" w:cs="Segoe UI" w:hint="eastAsia"/>
                <w:sz w:val="17"/>
                <w:szCs w:val="17"/>
                <w:lang w:eastAsia="zh-HK"/>
              </w:rPr>
              <w:t>的項目。</w:t>
            </w:r>
          </w:p>
        </w:tc>
      </w:tr>
    </w:tbl>
    <w:p w14:paraId="07E72873" w14:textId="77777777" w:rsidR="00F52F24" w:rsidRDefault="00F52F24" w:rsidP="00F52F24">
      <w:pPr>
        <w:spacing w:before="120" w:after="120"/>
        <w:rPr>
          <w:rFonts w:eastAsia="細明體"/>
          <w:lang w:eastAsia="zh-TW"/>
        </w:rPr>
      </w:pPr>
    </w:p>
    <w:tbl>
      <w:tblPr>
        <w:tblW w:w="0" w:type="auto"/>
        <w:tblInd w:w="108" w:type="dxa"/>
        <w:tblLayout w:type="fixed"/>
        <w:tblLook w:val="0000" w:firstRow="0" w:lastRow="0" w:firstColumn="0" w:lastColumn="0" w:noHBand="0" w:noVBand="0"/>
      </w:tblPr>
      <w:tblGrid>
        <w:gridCol w:w="851"/>
        <w:gridCol w:w="13203"/>
      </w:tblGrid>
      <w:tr w:rsidR="00F52F24" w14:paraId="19F59B9E" w14:textId="77777777" w:rsidTr="00F52F24">
        <w:trPr>
          <w:tblHeader/>
        </w:trPr>
        <w:tc>
          <w:tcPr>
            <w:tcW w:w="14054" w:type="dxa"/>
            <w:gridSpan w:val="2"/>
            <w:tcBorders>
              <w:top w:val="single" w:sz="4" w:space="0" w:color="000000"/>
              <w:left w:val="single" w:sz="4" w:space="0" w:color="000000"/>
              <w:bottom w:val="single" w:sz="4" w:space="0" w:color="000000"/>
              <w:right w:val="single" w:sz="4" w:space="0" w:color="000000"/>
            </w:tcBorders>
            <w:shd w:val="clear" w:color="auto" w:fill="BFBFBF"/>
          </w:tcPr>
          <w:p w14:paraId="4A076D36" w14:textId="77777777" w:rsidR="00F52F24" w:rsidRDefault="00F52F24" w:rsidP="00F52F24">
            <w:pPr>
              <w:pStyle w:val="TableNote"/>
              <w:keepNext/>
              <w:spacing w:before="40" w:after="40"/>
            </w:pPr>
            <w:proofErr w:type="spellStart"/>
            <w:r>
              <w:rPr>
                <w:rFonts w:eastAsia="細明體" w:hint="eastAsia"/>
                <w:b/>
                <w:sz w:val="17"/>
              </w:rPr>
              <w:t>註釋</w:t>
            </w:r>
            <w:proofErr w:type="spellEnd"/>
          </w:p>
        </w:tc>
      </w:tr>
      <w:tr w:rsidR="00F52F24" w14:paraId="3A1E5CB3" w14:textId="77777777" w:rsidTr="00F52F24">
        <w:trPr>
          <w:trHeight w:val="153"/>
          <w:tblHeader/>
        </w:trPr>
        <w:tc>
          <w:tcPr>
            <w:tcW w:w="140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E5FBE8F" w14:textId="77777777" w:rsidR="00F52F24" w:rsidRDefault="00F52F24" w:rsidP="00F52F24">
            <w:pPr>
              <w:pStyle w:val="TableNote"/>
              <w:keepNext/>
              <w:spacing w:before="40" w:after="40"/>
            </w:pPr>
            <w:r>
              <w:rPr>
                <w:rFonts w:eastAsia="細明體" w:hint="eastAsia"/>
                <w:b/>
                <w:sz w:val="17"/>
              </w:rPr>
              <w:t>欄</w:t>
            </w:r>
          </w:p>
        </w:tc>
      </w:tr>
      <w:tr w:rsidR="00F52F24" w14:paraId="27E7BCAE" w14:textId="77777777" w:rsidTr="00F52F24">
        <w:trPr>
          <w:tblHeader/>
        </w:trPr>
        <w:tc>
          <w:tcPr>
            <w:tcW w:w="851" w:type="dxa"/>
            <w:tcBorders>
              <w:top w:val="single" w:sz="4" w:space="0" w:color="000000"/>
              <w:left w:val="single" w:sz="4" w:space="0" w:color="000000"/>
              <w:bottom w:val="single" w:sz="4" w:space="0" w:color="000000"/>
            </w:tcBorders>
            <w:shd w:val="clear" w:color="auto" w:fill="auto"/>
          </w:tcPr>
          <w:p w14:paraId="39D71678" w14:textId="77777777" w:rsidR="00F52F24" w:rsidRDefault="00F52F24" w:rsidP="00F52F24">
            <w:pPr>
              <w:pStyle w:val="TableNote"/>
              <w:keepNext/>
              <w:spacing w:before="40" w:after="40"/>
              <w:rPr>
                <w:rFonts w:eastAsia="細明體"/>
                <w:i/>
                <w:sz w:val="17"/>
                <w:szCs w:val="17"/>
              </w:rPr>
            </w:pPr>
            <w:r>
              <w:rPr>
                <w:rFonts w:eastAsia="細明體"/>
                <w:sz w:val="17"/>
                <w:szCs w:val="17"/>
              </w:rPr>
              <w:t>(a)</w:t>
            </w:r>
            <w:r>
              <w:rPr>
                <w:rFonts w:eastAsia="細明體" w:hint="eastAsia"/>
                <w:sz w:val="17"/>
                <w:szCs w:val="17"/>
              </w:rPr>
              <w:t>及</w:t>
            </w:r>
            <w:r>
              <w:rPr>
                <w:rFonts w:eastAsia="細明體"/>
                <w:sz w:val="17"/>
                <w:szCs w:val="17"/>
              </w:rPr>
              <w:t>(b)</w:t>
            </w:r>
          </w:p>
        </w:tc>
        <w:tc>
          <w:tcPr>
            <w:tcW w:w="13203" w:type="dxa"/>
            <w:tcBorders>
              <w:top w:val="single" w:sz="4" w:space="0" w:color="000000"/>
              <w:left w:val="single" w:sz="4" w:space="0" w:color="000000"/>
              <w:bottom w:val="single" w:sz="4" w:space="0" w:color="000000"/>
              <w:right w:val="single" w:sz="4" w:space="0" w:color="000000"/>
            </w:tcBorders>
            <w:shd w:val="clear" w:color="auto" w:fill="auto"/>
          </w:tcPr>
          <w:p w14:paraId="0B85D276" w14:textId="77777777" w:rsidR="00F52F24" w:rsidRDefault="00F52F24" w:rsidP="00F52F24">
            <w:pPr>
              <w:pStyle w:val="TableNote"/>
              <w:keepNext/>
              <w:spacing w:before="40" w:after="40"/>
              <w:rPr>
                <w:lang w:eastAsia="zh-TW"/>
              </w:rPr>
            </w:pPr>
            <w:r w:rsidRPr="00B5462B">
              <w:rPr>
                <w:rFonts w:eastAsia="細明體" w:hint="eastAsia"/>
                <w:i/>
                <w:sz w:val="17"/>
                <w:szCs w:val="17"/>
                <w:lang w:eastAsia="zh-TW"/>
              </w:rPr>
              <w:t>已發布的財務報表</w:t>
            </w:r>
            <w:proofErr w:type="gramStart"/>
            <w:r w:rsidRPr="00B5462B">
              <w:rPr>
                <w:rFonts w:eastAsia="細明體" w:hint="eastAsia"/>
                <w:i/>
                <w:sz w:val="17"/>
                <w:szCs w:val="17"/>
                <w:lang w:eastAsia="zh-TW"/>
              </w:rPr>
              <w:t>匯</w:t>
            </w:r>
            <w:proofErr w:type="gramEnd"/>
            <w:r w:rsidRPr="00B5462B">
              <w:rPr>
                <w:rFonts w:eastAsia="細明體" w:hint="eastAsia"/>
                <w:i/>
                <w:sz w:val="17"/>
                <w:szCs w:val="17"/>
                <w:lang w:eastAsia="zh-TW"/>
              </w:rPr>
              <w:t>報的</w:t>
            </w:r>
            <w:proofErr w:type="gramStart"/>
            <w:r w:rsidRPr="00B5462B">
              <w:rPr>
                <w:rFonts w:eastAsia="細明體" w:hint="eastAsia"/>
                <w:i/>
                <w:sz w:val="17"/>
                <w:szCs w:val="17"/>
                <w:lang w:eastAsia="zh-TW"/>
              </w:rPr>
              <w:t>帳面</w:t>
            </w:r>
            <w:proofErr w:type="gramEnd"/>
            <w:r w:rsidRPr="00B5462B">
              <w:rPr>
                <w:rFonts w:eastAsia="細明體" w:hint="eastAsia"/>
                <w:i/>
                <w:sz w:val="17"/>
                <w:szCs w:val="17"/>
                <w:lang w:eastAsia="zh-TW"/>
              </w:rPr>
              <w:t>值</w:t>
            </w:r>
            <w:r>
              <w:rPr>
                <w:rFonts w:eastAsia="細明體"/>
                <w:i/>
                <w:sz w:val="17"/>
                <w:szCs w:val="17"/>
                <w:lang w:eastAsia="zh-TW"/>
              </w:rPr>
              <w:t>/</w:t>
            </w:r>
            <w:r>
              <w:rPr>
                <w:rFonts w:eastAsia="細明體" w:hint="eastAsia"/>
                <w:i/>
                <w:sz w:val="17"/>
                <w:szCs w:val="17"/>
                <w:lang w:eastAsia="zh-TW"/>
              </w:rPr>
              <w:t>在監管綜合範圍下的</w:t>
            </w:r>
            <w:proofErr w:type="gramStart"/>
            <w:r>
              <w:rPr>
                <w:rFonts w:eastAsia="細明體" w:hint="eastAsia"/>
                <w:i/>
                <w:sz w:val="17"/>
                <w:szCs w:val="17"/>
                <w:lang w:eastAsia="zh-TW"/>
              </w:rPr>
              <w:t>帳面</w:t>
            </w:r>
            <w:proofErr w:type="gramEnd"/>
            <w:r>
              <w:rPr>
                <w:rFonts w:eastAsia="細明體" w:hint="eastAsia"/>
                <w:i/>
                <w:sz w:val="17"/>
                <w:szCs w:val="17"/>
                <w:lang w:eastAsia="zh-TW"/>
              </w:rPr>
              <w:t>值</w:t>
            </w:r>
            <w:r>
              <w:rPr>
                <w:rFonts w:eastAsia="細明體"/>
                <w:sz w:val="17"/>
                <w:szCs w:val="17"/>
                <w:lang w:eastAsia="zh-TW"/>
              </w:rPr>
              <w:t>：</w:t>
            </w:r>
            <w:r>
              <w:rPr>
                <w:rFonts w:eastAsia="細明體" w:hint="eastAsia"/>
                <w:sz w:val="17"/>
                <w:szCs w:val="17"/>
                <w:lang w:eastAsia="zh-TW"/>
              </w:rPr>
              <w:t>如認可機構的會計綜合範圍及監管綜合範圍完全相同，應合併</w:t>
            </w:r>
            <w:r>
              <w:rPr>
                <w:rFonts w:eastAsia="細明體"/>
                <w:sz w:val="17"/>
                <w:szCs w:val="17"/>
                <w:lang w:eastAsia="zh-TW"/>
              </w:rPr>
              <w:t>(a)</w:t>
            </w:r>
            <w:r>
              <w:rPr>
                <w:rFonts w:eastAsia="細明體" w:hint="eastAsia"/>
                <w:sz w:val="17"/>
                <w:szCs w:val="17"/>
                <w:lang w:eastAsia="zh-TW"/>
              </w:rPr>
              <w:t>及</w:t>
            </w:r>
            <w:r>
              <w:rPr>
                <w:rFonts w:eastAsia="細明體"/>
                <w:sz w:val="17"/>
                <w:szCs w:val="17"/>
                <w:lang w:eastAsia="zh-TW"/>
              </w:rPr>
              <w:t>(b)</w:t>
            </w:r>
            <w:r>
              <w:rPr>
                <w:rFonts w:eastAsia="細明體" w:hint="eastAsia"/>
                <w:sz w:val="17"/>
                <w:szCs w:val="17"/>
                <w:lang w:eastAsia="zh-TW"/>
              </w:rPr>
              <w:t>欄並清楚披露此事實。</w:t>
            </w:r>
          </w:p>
        </w:tc>
      </w:tr>
      <w:tr w:rsidR="00F52F24" w14:paraId="4A7D9EB1" w14:textId="77777777" w:rsidTr="00F52F24">
        <w:trPr>
          <w:trHeight w:val="1389"/>
          <w:tblHeader/>
        </w:trPr>
        <w:tc>
          <w:tcPr>
            <w:tcW w:w="851" w:type="dxa"/>
            <w:tcBorders>
              <w:top w:val="single" w:sz="4" w:space="0" w:color="000000"/>
              <w:left w:val="single" w:sz="4" w:space="0" w:color="000000"/>
              <w:bottom w:val="single" w:sz="4" w:space="0" w:color="000000"/>
            </w:tcBorders>
            <w:shd w:val="clear" w:color="auto" w:fill="auto"/>
          </w:tcPr>
          <w:p w14:paraId="003E2174" w14:textId="77777777" w:rsidR="00F52F24" w:rsidRDefault="00F52F24" w:rsidP="00F52F24">
            <w:pPr>
              <w:pStyle w:val="TableNote"/>
              <w:keepNext/>
              <w:spacing w:before="40" w:after="40"/>
              <w:rPr>
                <w:rFonts w:eastAsia="細明體"/>
                <w:i/>
                <w:sz w:val="17"/>
                <w:szCs w:val="17"/>
              </w:rPr>
            </w:pPr>
            <w:r>
              <w:rPr>
                <w:rFonts w:eastAsia="細明體"/>
                <w:sz w:val="17"/>
                <w:szCs w:val="17"/>
              </w:rPr>
              <w:t>(c)</w:t>
            </w:r>
            <w:r>
              <w:rPr>
                <w:rFonts w:eastAsia="細明體" w:hint="eastAsia"/>
                <w:sz w:val="17"/>
                <w:szCs w:val="17"/>
              </w:rPr>
              <w:t>至</w:t>
            </w:r>
            <w:r>
              <w:rPr>
                <w:rFonts w:eastAsia="細明體"/>
                <w:sz w:val="17"/>
                <w:szCs w:val="17"/>
              </w:rPr>
              <w:t>(f)</w:t>
            </w:r>
          </w:p>
        </w:tc>
        <w:tc>
          <w:tcPr>
            <w:tcW w:w="13203" w:type="dxa"/>
            <w:tcBorders>
              <w:top w:val="single" w:sz="4" w:space="0" w:color="000000"/>
              <w:left w:val="single" w:sz="4" w:space="0" w:color="000000"/>
              <w:bottom w:val="single" w:sz="4" w:space="0" w:color="000000"/>
              <w:right w:val="single" w:sz="4" w:space="0" w:color="000000"/>
            </w:tcBorders>
            <w:shd w:val="clear" w:color="auto" w:fill="auto"/>
          </w:tcPr>
          <w:p w14:paraId="6A960221" w14:textId="77777777" w:rsidR="00F52F24" w:rsidRDefault="00F52F24" w:rsidP="00F52F24">
            <w:pPr>
              <w:pStyle w:val="TableNote"/>
              <w:keepNext/>
              <w:spacing w:before="40" w:after="40"/>
              <w:rPr>
                <w:rFonts w:eastAsia="細明體"/>
                <w:sz w:val="17"/>
                <w:szCs w:val="17"/>
                <w:lang w:eastAsia="zh-TW"/>
              </w:rPr>
            </w:pPr>
            <w:r>
              <w:rPr>
                <w:rFonts w:eastAsia="細明體" w:hint="eastAsia"/>
                <w:i/>
                <w:sz w:val="17"/>
                <w:szCs w:val="17"/>
                <w:lang w:eastAsia="zh-TW"/>
              </w:rPr>
              <w:t>項目的</w:t>
            </w:r>
            <w:proofErr w:type="gramStart"/>
            <w:r>
              <w:rPr>
                <w:rFonts w:eastAsia="細明體" w:hint="eastAsia"/>
                <w:i/>
                <w:sz w:val="17"/>
                <w:szCs w:val="17"/>
                <w:lang w:eastAsia="zh-TW"/>
              </w:rPr>
              <w:t>帳面</w:t>
            </w:r>
            <w:proofErr w:type="gramEnd"/>
            <w:r>
              <w:rPr>
                <w:rFonts w:eastAsia="細明體" w:hint="eastAsia"/>
                <w:i/>
                <w:sz w:val="17"/>
                <w:szCs w:val="17"/>
                <w:lang w:eastAsia="zh-TW"/>
              </w:rPr>
              <w:t>值</w:t>
            </w:r>
            <w:r>
              <w:rPr>
                <w:rFonts w:eastAsia="細明體" w:hint="eastAsia"/>
                <w:sz w:val="17"/>
                <w:szCs w:val="17"/>
                <w:lang w:eastAsia="zh-TW"/>
              </w:rPr>
              <w:t>：</w:t>
            </w:r>
            <w:r>
              <w:rPr>
                <w:rFonts w:eastAsia="細明體"/>
                <w:sz w:val="17"/>
                <w:szCs w:val="17"/>
                <w:lang w:eastAsia="zh-TW"/>
              </w:rPr>
              <w:t>(c)</w:t>
            </w:r>
            <w:r>
              <w:rPr>
                <w:rFonts w:eastAsia="細明體" w:hint="eastAsia"/>
                <w:sz w:val="17"/>
                <w:szCs w:val="17"/>
                <w:lang w:eastAsia="zh-TW"/>
              </w:rPr>
              <w:t>至</w:t>
            </w:r>
            <w:r>
              <w:rPr>
                <w:rFonts w:eastAsia="細明體"/>
                <w:sz w:val="17"/>
                <w:szCs w:val="17"/>
                <w:lang w:eastAsia="zh-TW"/>
              </w:rPr>
              <w:t>(f)</w:t>
            </w:r>
            <w:r>
              <w:rPr>
                <w:rFonts w:eastAsia="細明體" w:hint="eastAsia"/>
                <w:sz w:val="17"/>
                <w:szCs w:val="17"/>
                <w:lang w:eastAsia="zh-TW"/>
              </w:rPr>
              <w:t>欄的監管類別細目分類對應本文件其餘部分指明的細目分類</w:t>
            </w:r>
            <w:r>
              <w:rPr>
                <w:rFonts w:eastAsia="細明體"/>
                <w:sz w:val="17"/>
                <w:szCs w:val="17"/>
                <w:lang w:eastAsia="zh-TW"/>
              </w:rPr>
              <w:t>:</w:t>
            </w:r>
          </w:p>
          <w:p w14:paraId="17DCA587" w14:textId="177D9AA3" w:rsidR="00F52F24" w:rsidRDefault="00F52F24" w:rsidP="00D540EB">
            <w:pPr>
              <w:pStyle w:val="TableNote"/>
              <w:keepNext/>
              <w:numPr>
                <w:ilvl w:val="0"/>
                <w:numId w:val="32"/>
              </w:numPr>
              <w:suppressAutoHyphens/>
              <w:spacing w:before="40" w:after="40"/>
              <w:rPr>
                <w:rFonts w:eastAsia="細明體"/>
                <w:sz w:val="17"/>
                <w:szCs w:val="17"/>
                <w:lang w:eastAsia="zh-TW"/>
              </w:rPr>
            </w:pPr>
            <w:r>
              <w:rPr>
                <w:rFonts w:eastAsia="細明體"/>
                <w:sz w:val="17"/>
                <w:szCs w:val="17"/>
                <w:lang w:eastAsia="zh-TW"/>
              </w:rPr>
              <w:t>(c)</w:t>
            </w:r>
            <w:r>
              <w:rPr>
                <w:rFonts w:eastAsia="細明體" w:hint="eastAsia"/>
                <w:sz w:val="17"/>
                <w:szCs w:val="17"/>
                <w:lang w:eastAsia="zh-TW"/>
              </w:rPr>
              <w:t>欄對應第</w:t>
            </w:r>
            <w:r>
              <w:rPr>
                <w:rFonts w:eastAsia="細明體"/>
                <w:sz w:val="17"/>
                <w:szCs w:val="17"/>
                <w:lang w:eastAsia="zh-TW"/>
              </w:rPr>
              <w:t>III</w:t>
            </w:r>
            <w:r>
              <w:rPr>
                <w:rFonts w:eastAsia="細明體" w:hint="eastAsia"/>
                <w:sz w:val="17"/>
                <w:szCs w:val="17"/>
                <w:lang w:eastAsia="zh-TW"/>
              </w:rPr>
              <w:t>部</w:t>
            </w:r>
            <w:r w:rsidR="00F2749F" w:rsidRPr="003122E3">
              <w:rPr>
                <w:rFonts w:eastAsia="細明體" w:hint="eastAsia"/>
                <w:sz w:val="17"/>
                <w:szCs w:val="17"/>
                <w:lang w:eastAsia="zh-TW"/>
              </w:rPr>
              <w:t>和第</w:t>
            </w:r>
            <w:r w:rsidR="00F2749F" w:rsidRPr="003122E3">
              <w:rPr>
                <w:rFonts w:eastAsia="細明體" w:hint="eastAsia"/>
                <w:sz w:val="17"/>
                <w:szCs w:val="17"/>
                <w:lang w:eastAsia="zh-TW"/>
              </w:rPr>
              <w:t>XII</w:t>
            </w:r>
            <w:r w:rsidR="00F2749F" w:rsidRPr="003122E3">
              <w:rPr>
                <w:rFonts w:eastAsia="細明體" w:hint="eastAsia"/>
                <w:sz w:val="17"/>
                <w:szCs w:val="17"/>
                <w:lang w:eastAsia="zh-TW"/>
              </w:rPr>
              <w:t>部</w:t>
            </w:r>
            <w:r>
              <w:rPr>
                <w:rFonts w:eastAsia="細明體" w:hint="eastAsia"/>
                <w:sz w:val="17"/>
                <w:szCs w:val="17"/>
                <w:lang w:eastAsia="zh-TW"/>
              </w:rPr>
              <w:t>所填報</w:t>
            </w:r>
            <w:r>
              <w:rPr>
                <w:rFonts w:eastAsia="細明體"/>
                <w:sz w:val="17"/>
                <w:szCs w:val="17"/>
                <w:lang w:eastAsia="zh-TW"/>
              </w:rPr>
              <w:t>的項目</w:t>
            </w:r>
            <w:r>
              <w:rPr>
                <w:rFonts w:eastAsia="細明體" w:hint="eastAsia"/>
                <w:sz w:val="17"/>
                <w:szCs w:val="17"/>
                <w:lang w:eastAsia="zh-TW"/>
              </w:rPr>
              <w:t>（</w:t>
            </w:r>
            <w:r>
              <w:rPr>
                <w:rFonts w:eastAsia="細明體"/>
                <w:sz w:val="17"/>
                <w:szCs w:val="17"/>
                <w:lang w:eastAsia="zh-TW"/>
              </w:rPr>
              <w:t>表外項目</w:t>
            </w:r>
            <w:r>
              <w:rPr>
                <w:rFonts w:eastAsia="細明體" w:hint="eastAsia"/>
                <w:sz w:val="17"/>
                <w:szCs w:val="17"/>
                <w:lang w:eastAsia="zh-TW"/>
              </w:rPr>
              <w:t>除外）</w:t>
            </w:r>
            <w:r>
              <w:rPr>
                <w:rFonts w:eastAsia="細明體"/>
                <w:sz w:val="17"/>
                <w:szCs w:val="17"/>
                <w:lang w:eastAsia="zh-TW"/>
              </w:rPr>
              <w:t>的帳面值</w:t>
            </w:r>
            <w:r>
              <w:rPr>
                <w:rFonts w:eastAsia="細明體" w:hint="eastAsia"/>
                <w:sz w:val="17"/>
                <w:szCs w:val="17"/>
                <w:lang w:eastAsia="zh-TW"/>
              </w:rPr>
              <w:t>；</w:t>
            </w:r>
          </w:p>
          <w:p w14:paraId="06C6DF5F" w14:textId="77777777" w:rsidR="00F52F24" w:rsidRDefault="00F52F24" w:rsidP="00D540EB">
            <w:pPr>
              <w:pStyle w:val="TableNote"/>
              <w:keepNext/>
              <w:numPr>
                <w:ilvl w:val="0"/>
                <w:numId w:val="32"/>
              </w:numPr>
              <w:suppressAutoHyphens/>
              <w:spacing w:before="40" w:after="40"/>
              <w:rPr>
                <w:rFonts w:eastAsia="細明體"/>
                <w:sz w:val="17"/>
                <w:szCs w:val="17"/>
                <w:lang w:eastAsia="zh-TW"/>
              </w:rPr>
            </w:pPr>
            <w:r>
              <w:rPr>
                <w:rFonts w:eastAsia="細明體"/>
                <w:sz w:val="17"/>
                <w:szCs w:val="17"/>
                <w:lang w:eastAsia="zh-TW"/>
              </w:rPr>
              <w:t>(d)</w:t>
            </w:r>
            <w:r>
              <w:rPr>
                <w:rFonts w:eastAsia="細明體" w:hint="eastAsia"/>
                <w:sz w:val="17"/>
                <w:szCs w:val="17"/>
                <w:lang w:eastAsia="zh-TW"/>
              </w:rPr>
              <w:t>欄對應第</w:t>
            </w:r>
            <w:r>
              <w:rPr>
                <w:rFonts w:eastAsia="細明體"/>
                <w:sz w:val="17"/>
                <w:szCs w:val="17"/>
                <w:lang w:eastAsia="zh-TW"/>
              </w:rPr>
              <w:t>IV</w:t>
            </w:r>
            <w:r>
              <w:rPr>
                <w:rFonts w:eastAsia="細明體" w:hint="eastAsia"/>
                <w:sz w:val="17"/>
                <w:szCs w:val="17"/>
                <w:lang w:eastAsia="zh-TW"/>
              </w:rPr>
              <w:t>部所填報</w:t>
            </w:r>
            <w:r>
              <w:rPr>
                <w:rFonts w:eastAsia="細明體"/>
                <w:sz w:val="17"/>
                <w:szCs w:val="17"/>
                <w:lang w:eastAsia="zh-TW"/>
              </w:rPr>
              <w:t>的項目</w:t>
            </w:r>
            <w:r>
              <w:rPr>
                <w:rFonts w:eastAsia="細明體" w:hint="eastAsia"/>
                <w:sz w:val="17"/>
                <w:szCs w:val="17"/>
                <w:lang w:eastAsia="zh-TW"/>
              </w:rPr>
              <w:t>（</w:t>
            </w:r>
            <w:r>
              <w:rPr>
                <w:rFonts w:eastAsia="細明體"/>
                <w:sz w:val="17"/>
                <w:szCs w:val="17"/>
                <w:lang w:eastAsia="zh-TW"/>
              </w:rPr>
              <w:t>表外項目</w:t>
            </w:r>
            <w:r>
              <w:rPr>
                <w:rFonts w:eastAsia="細明體" w:hint="eastAsia"/>
                <w:sz w:val="17"/>
                <w:szCs w:val="17"/>
                <w:lang w:eastAsia="zh-TW"/>
              </w:rPr>
              <w:t>除外）</w:t>
            </w:r>
            <w:r>
              <w:rPr>
                <w:rFonts w:eastAsia="細明體"/>
                <w:sz w:val="17"/>
                <w:szCs w:val="17"/>
                <w:lang w:eastAsia="zh-TW"/>
              </w:rPr>
              <w:t>的帳面值</w:t>
            </w:r>
            <w:r>
              <w:rPr>
                <w:rFonts w:eastAsia="細明體" w:hint="eastAsia"/>
                <w:sz w:val="17"/>
                <w:szCs w:val="17"/>
                <w:lang w:eastAsia="zh-TW"/>
              </w:rPr>
              <w:t>；</w:t>
            </w:r>
          </w:p>
          <w:p w14:paraId="16740340" w14:textId="77777777" w:rsidR="00F52F24" w:rsidRDefault="00F52F24" w:rsidP="00D540EB">
            <w:pPr>
              <w:pStyle w:val="TableNote"/>
              <w:keepNext/>
              <w:numPr>
                <w:ilvl w:val="0"/>
                <w:numId w:val="32"/>
              </w:numPr>
              <w:suppressAutoHyphens/>
              <w:spacing w:before="40" w:after="40"/>
              <w:rPr>
                <w:rFonts w:eastAsia="細明體"/>
                <w:sz w:val="17"/>
                <w:szCs w:val="17"/>
                <w:lang w:eastAsia="zh-TW"/>
              </w:rPr>
            </w:pPr>
            <w:r>
              <w:rPr>
                <w:rFonts w:eastAsia="細明體"/>
                <w:sz w:val="17"/>
                <w:szCs w:val="17"/>
                <w:lang w:eastAsia="zh-TW"/>
              </w:rPr>
              <w:t>(e)</w:t>
            </w:r>
            <w:r>
              <w:rPr>
                <w:rFonts w:eastAsia="細明體" w:hint="eastAsia"/>
                <w:sz w:val="17"/>
                <w:szCs w:val="17"/>
                <w:lang w:eastAsia="zh-TW"/>
              </w:rPr>
              <w:t>欄對應第</w:t>
            </w:r>
            <w:r>
              <w:rPr>
                <w:rFonts w:eastAsia="細明體"/>
                <w:sz w:val="17"/>
                <w:szCs w:val="17"/>
                <w:lang w:eastAsia="zh-TW"/>
              </w:rPr>
              <w:t>V</w:t>
            </w:r>
            <w:r>
              <w:rPr>
                <w:rFonts w:eastAsia="細明體" w:hint="eastAsia"/>
                <w:sz w:val="17"/>
                <w:szCs w:val="17"/>
                <w:lang w:eastAsia="zh-TW"/>
              </w:rPr>
              <w:t>部所填報</w:t>
            </w:r>
            <w:r>
              <w:rPr>
                <w:rFonts w:eastAsia="細明體"/>
                <w:sz w:val="17"/>
                <w:szCs w:val="17"/>
                <w:lang w:eastAsia="zh-TW"/>
              </w:rPr>
              <w:t>的銀行帳內項目</w:t>
            </w:r>
            <w:r>
              <w:rPr>
                <w:rFonts w:eastAsia="細明體" w:hint="eastAsia"/>
                <w:sz w:val="17"/>
                <w:szCs w:val="17"/>
                <w:lang w:eastAsia="zh-TW"/>
              </w:rPr>
              <w:t>（</w:t>
            </w:r>
            <w:r>
              <w:rPr>
                <w:rFonts w:eastAsia="細明體"/>
                <w:sz w:val="17"/>
                <w:szCs w:val="17"/>
                <w:lang w:eastAsia="zh-TW"/>
              </w:rPr>
              <w:t>表外項目</w:t>
            </w:r>
            <w:r>
              <w:rPr>
                <w:rFonts w:eastAsia="細明體" w:hint="eastAsia"/>
                <w:sz w:val="17"/>
                <w:szCs w:val="17"/>
                <w:lang w:eastAsia="zh-TW"/>
              </w:rPr>
              <w:t>除外）</w:t>
            </w:r>
            <w:r>
              <w:rPr>
                <w:rFonts w:eastAsia="細明體"/>
                <w:sz w:val="17"/>
                <w:szCs w:val="17"/>
                <w:lang w:eastAsia="zh-TW"/>
              </w:rPr>
              <w:t>的帳面值</w:t>
            </w:r>
            <w:r>
              <w:rPr>
                <w:rFonts w:eastAsia="細明體" w:hint="eastAsia"/>
                <w:sz w:val="17"/>
                <w:szCs w:val="17"/>
                <w:lang w:eastAsia="zh-TW"/>
              </w:rPr>
              <w:t>；及</w:t>
            </w:r>
          </w:p>
          <w:p w14:paraId="7BAD6984" w14:textId="1F9C2371" w:rsidR="00F52F24" w:rsidRDefault="00F52F24" w:rsidP="00D540EB">
            <w:pPr>
              <w:pStyle w:val="TableNote"/>
              <w:keepNext/>
              <w:numPr>
                <w:ilvl w:val="0"/>
                <w:numId w:val="32"/>
              </w:numPr>
              <w:suppressAutoHyphens/>
              <w:spacing w:before="40" w:after="40"/>
              <w:rPr>
                <w:rFonts w:eastAsia="細明體"/>
                <w:sz w:val="17"/>
                <w:szCs w:val="17"/>
                <w:lang w:eastAsia="zh-TW"/>
              </w:rPr>
            </w:pPr>
            <w:r>
              <w:rPr>
                <w:rFonts w:eastAsia="細明體"/>
                <w:sz w:val="17"/>
                <w:szCs w:val="17"/>
                <w:lang w:eastAsia="zh-TW"/>
              </w:rPr>
              <w:t>(f)</w:t>
            </w:r>
            <w:r>
              <w:rPr>
                <w:rFonts w:eastAsia="細明體" w:hint="eastAsia"/>
                <w:sz w:val="17"/>
                <w:szCs w:val="17"/>
                <w:lang w:eastAsia="zh-TW"/>
              </w:rPr>
              <w:t>欄對應第</w:t>
            </w:r>
            <w:r>
              <w:rPr>
                <w:rFonts w:eastAsia="細明體"/>
                <w:sz w:val="17"/>
                <w:szCs w:val="17"/>
                <w:lang w:eastAsia="zh-TW"/>
              </w:rPr>
              <w:t>VI</w:t>
            </w:r>
            <w:r>
              <w:rPr>
                <w:rFonts w:eastAsia="細明體" w:hint="eastAsia"/>
                <w:sz w:val="17"/>
                <w:szCs w:val="17"/>
                <w:lang w:eastAsia="zh-TW"/>
              </w:rPr>
              <w:t>部</w:t>
            </w:r>
            <w:r w:rsidR="003122E3" w:rsidRPr="00EB1E72">
              <w:rPr>
                <w:rFonts w:ascii="Calibri" w:eastAsia="細明體" w:hAnsi="Calibri" w:cs="Segoe UI"/>
                <w:kern w:val="2"/>
                <w:sz w:val="17"/>
                <w:szCs w:val="17"/>
                <w:lang w:val="en-US" w:eastAsia="zh-TW"/>
              </w:rPr>
              <w:t>、</w:t>
            </w:r>
            <w:r w:rsidRPr="005A4B52">
              <w:rPr>
                <w:rFonts w:eastAsia="細明體" w:hint="eastAsia"/>
                <w:sz w:val="17"/>
                <w:szCs w:val="17"/>
                <w:lang w:eastAsia="zh-TW"/>
              </w:rPr>
              <w:t>第</w:t>
            </w:r>
            <w:r>
              <w:rPr>
                <w:rFonts w:eastAsia="細明體" w:hint="eastAsia"/>
                <w:sz w:val="17"/>
                <w:szCs w:val="17"/>
                <w:lang w:eastAsia="zh-TW"/>
              </w:rPr>
              <w:t>IVA</w:t>
            </w:r>
            <w:r w:rsidRPr="005A4B52">
              <w:rPr>
                <w:rFonts w:eastAsia="細明體" w:hint="eastAsia"/>
                <w:sz w:val="17"/>
                <w:szCs w:val="17"/>
                <w:lang w:eastAsia="zh-TW"/>
              </w:rPr>
              <w:t>部</w:t>
            </w:r>
            <w:r w:rsidR="00026916">
              <w:rPr>
                <w:rFonts w:eastAsia="細明體" w:hint="eastAsia"/>
                <w:sz w:val="17"/>
                <w:szCs w:val="17"/>
                <w:lang w:eastAsia="zh-HK"/>
              </w:rPr>
              <w:t>和</w:t>
            </w:r>
            <w:r w:rsidR="00F2749F" w:rsidRPr="003122E3">
              <w:rPr>
                <w:rFonts w:eastAsia="細明體" w:hint="eastAsia"/>
                <w:sz w:val="17"/>
                <w:szCs w:val="17"/>
                <w:lang w:eastAsia="zh-TW"/>
              </w:rPr>
              <w:t>第</w:t>
            </w:r>
            <w:r w:rsidR="00F2749F" w:rsidRPr="003122E3">
              <w:rPr>
                <w:rFonts w:eastAsia="細明體" w:hint="eastAsia"/>
                <w:sz w:val="17"/>
                <w:szCs w:val="17"/>
                <w:lang w:eastAsia="zh-TW"/>
              </w:rPr>
              <w:t>XII</w:t>
            </w:r>
            <w:r w:rsidR="00F2749F" w:rsidRPr="003122E3">
              <w:rPr>
                <w:rFonts w:eastAsia="細明體" w:hint="eastAsia"/>
                <w:sz w:val="17"/>
                <w:szCs w:val="17"/>
                <w:lang w:eastAsia="zh-TW"/>
              </w:rPr>
              <w:t>部</w:t>
            </w:r>
            <w:r>
              <w:rPr>
                <w:rFonts w:eastAsia="細明體" w:hint="eastAsia"/>
                <w:sz w:val="17"/>
                <w:szCs w:val="17"/>
                <w:lang w:eastAsia="zh-TW"/>
              </w:rPr>
              <w:t>所填報</w:t>
            </w:r>
            <w:r>
              <w:rPr>
                <w:rFonts w:eastAsia="細明體"/>
                <w:sz w:val="17"/>
                <w:szCs w:val="17"/>
                <w:lang w:eastAsia="zh-TW"/>
              </w:rPr>
              <w:t>的項目</w:t>
            </w:r>
            <w:r>
              <w:rPr>
                <w:rFonts w:eastAsia="細明體" w:hint="eastAsia"/>
                <w:sz w:val="17"/>
                <w:szCs w:val="17"/>
                <w:lang w:eastAsia="zh-TW"/>
              </w:rPr>
              <w:t>（表外項目除外）</w:t>
            </w:r>
            <w:r>
              <w:rPr>
                <w:rFonts w:eastAsia="細明體"/>
                <w:sz w:val="17"/>
                <w:szCs w:val="17"/>
                <w:lang w:eastAsia="zh-TW"/>
              </w:rPr>
              <w:t>的帳面值</w:t>
            </w:r>
            <w:r>
              <w:rPr>
                <w:rFonts w:eastAsia="細明體" w:hint="eastAsia"/>
                <w:sz w:val="17"/>
                <w:szCs w:val="17"/>
                <w:lang w:eastAsia="zh-TW"/>
              </w:rPr>
              <w:t>。</w:t>
            </w:r>
          </w:p>
          <w:p w14:paraId="46B5E0CB" w14:textId="3FADAD33" w:rsidR="00F52F24" w:rsidRDefault="00F52F24" w:rsidP="00F52F24">
            <w:pPr>
              <w:pStyle w:val="TableNote"/>
              <w:keepNext/>
              <w:spacing w:before="40" w:after="40"/>
              <w:rPr>
                <w:lang w:eastAsia="zh-TW"/>
              </w:rPr>
            </w:pPr>
            <w:r>
              <w:rPr>
                <w:rFonts w:eastAsia="細明體" w:hint="eastAsia"/>
                <w:sz w:val="17"/>
                <w:szCs w:val="17"/>
                <w:lang w:eastAsia="zh-TW"/>
              </w:rPr>
              <w:t>當</w:t>
            </w:r>
            <w:r>
              <w:rPr>
                <w:rFonts w:eastAsia="細明體"/>
                <w:sz w:val="17"/>
                <w:szCs w:val="17"/>
                <w:lang w:eastAsia="zh-TW"/>
              </w:rPr>
              <w:t>某單一項目</w:t>
            </w:r>
            <w:r>
              <w:rPr>
                <w:rFonts w:eastAsia="細明體" w:hint="eastAsia"/>
                <w:sz w:val="17"/>
                <w:szCs w:val="17"/>
                <w:lang w:eastAsia="zh-TW"/>
              </w:rPr>
              <w:t>在多於</w:t>
            </w:r>
            <w:r>
              <w:rPr>
                <w:rFonts w:eastAsia="細明體"/>
                <w:sz w:val="17"/>
                <w:szCs w:val="17"/>
                <w:lang w:eastAsia="zh-TW"/>
              </w:rPr>
              <w:t>一種風險類別</w:t>
            </w:r>
            <w:r>
              <w:rPr>
                <w:rFonts w:eastAsia="細明體" w:hint="eastAsia"/>
                <w:sz w:val="17"/>
                <w:szCs w:val="17"/>
                <w:lang w:eastAsia="zh-TW"/>
              </w:rPr>
              <w:t>的風險框架下</w:t>
            </w:r>
            <w:r w:rsidRPr="006655EF">
              <w:rPr>
                <w:rFonts w:eastAsia="細明體" w:hint="eastAsia"/>
                <w:sz w:val="17"/>
                <w:szCs w:val="17"/>
                <w:lang w:eastAsia="zh-TW"/>
              </w:rPr>
              <w:t>吸引</w:t>
            </w:r>
            <w:r>
              <w:rPr>
                <w:rFonts w:eastAsia="細明體"/>
                <w:sz w:val="17"/>
                <w:szCs w:val="17"/>
                <w:lang w:eastAsia="zh-TW"/>
              </w:rPr>
              <w:t>資本要求，</w:t>
            </w:r>
            <w:r>
              <w:rPr>
                <w:rFonts w:eastAsia="細明體" w:hint="eastAsia"/>
                <w:sz w:val="17"/>
                <w:szCs w:val="17"/>
                <w:lang w:eastAsia="zh-TW"/>
              </w:rPr>
              <w:t>應在所有相關風險類別的欄中填報</w:t>
            </w:r>
            <w:r>
              <w:rPr>
                <w:rFonts w:eastAsia="細明體"/>
                <w:sz w:val="17"/>
                <w:szCs w:val="17"/>
                <w:lang w:eastAsia="zh-TW"/>
              </w:rPr>
              <w:t>該項目</w:t>
            </w:r>
            <w:r>
              <w:rPr>
                <w:rFonts w:eastAsia="細明體" w:hint="eastAsia"/>
                <w:sz w:val="17"/>
                <w:szCs w:val="17"/>
                <w:lang w:eastAsia="zh-TW"/>
              </w:rPr>
              <w:t>。舉例來說，在監管交易帳持有的衍生工具合約所產生的資產</w:t>
            </w:r>
            <w:r>
              <w:rPr>
                <w:rFonts w:eastAsia="細明體"/>
                <w:sz w:val="17"/>
                <w:szCs w:val="17"/>
                <w:lang w:eastAsia="zh-TW"/>
              </w:rPr>
              <w:t>/</w:t>
            </w:r>
            <w:r>
              <w:rPr>
                <w:rFonts w:eastAsia="細明體" w:hint="eastAsia"/>
                <w:sz w:val="17"/>
                <w:szCs w:val="17"/>
                <w:lang w:eastAsia="zh-TW"/>
              </w:rPr>
              <w:t>負債同時與</w:t>
            </w:r>
            <w:r>
              <w:rPr>
                <w:rFonts w:eastAsia="細明體"/>
                <w:sz w:val="17"/>
                <w:szCs w:val="17"/>
                <w:lang w:eastAsia="zh-TW"/>
              </w:rPr>
              <w:t>(d)</w:t>
            </w:r>
            <w:r>
              <w:rPr>
                <w:rFonts w:eastAsia="細明體" w:hint="eastAsia"/>
                <w:sz w:val="17"/>
                <w:szCs w:val="17"/>
                <w:lang w:eastAsia="zh-TW"/>
              </w:rPr>
              <w:t>欄（</w:t>
            </w:r>
            <w:r>
              <w:rPr>
                <w:rFonts w:eastAsia="細明體"/>
                <w:sz w:val="17"/>
                <w:szCs w:val="17"/>
                <w:lang w:eastAsia="zh-TW"/>
              </w:rPr>
              <w:t>須</w:t>
            </w:r>
            <w:r w:rsidRPr="002902F9">
              <w:rPr>
                <w:rFonts w:eastAsia="細明體" w:hint="eastAsia"/>
                <w:sz w:val="17"/>
                <w:szCs w:val="17"/>
                <w:lang w:eastAsia="zh-TW"/>
              </w:rPr>
              <w:t>計算</w:t>
            </w:r>
            <w:r>
              <w:rPr>
                <w:rFonts w:eastAsia="細明體"/>
                <w:sz w:val="17"/>
                <w:szCs w:val="17"/>
                <w:lang w:eastAsia="zh-TW"/>
              </w:rPr>
              <w:t>違責風險的風險承擔的資本要求</w:t>
            </w:r>
            <w:r>
              <w:rPr>
                <w:rFonts w:eastAsia="細明體" w:hint="eastAsia"/>
                <w:sz w:val="17"/>
                <w:szCs w:val="17"/>
                <w:lang w:eastAsia="zh-TW"/>
              </w:rPr>
              <w:t>）</w:t>
            </w:r>
            <w:r>
              <w:rPr>
                <w:rFonts w:eastAsia="細明體"/>
                <w:sz w:val="17"/>
                <w:szCs w:val="17"/>
                <w:lang w:eastAsia="zh-TW"/>
              </w:rPr>
              <w:t>及</w:t>
            </w:r>
            <w:r>
              <w:rPr>
                <w:rFonts w:eastAsia="細明體"/>
                <w:sz w:val="17"/>
                <w:szCs w:val="17"/>
                <w:lang w:eastAsia="zh-TW"/>
              </w:rPr>
              <w:t>(f)</w:t>
            </w:r>
            <w:r>
              <w:rPr>
                <w:rFonts w:eastAsia="細明體"/>
                <w:sz w:val="17"/>
                <w:szCs w:val="17"/>
                <w:lang w:eastAsia="zh-TW"/>
              </w:rPr>
              <w:t>欄</w:t>
            </w:r>
            <w:r>
              <w:rPr>
                <w:rFonts w:eastAsia="細明體" w:hint="eastAsia"/>
                <w:sz w:val="17"/>
                <w:szCs w:val="17"/>
                <w:lang w:eastAsia="zh-TW"/>
              </w:rPr>
              <w:t>（</w:t>
            </w:r>
            <w:r>
              <w:rPr>
                <w:rFonts w:eastAsia="細明體"/>
                <w:sz w:val="17"/>
                <w:szCs w:val="17"/>
                <w:lang w:eastAsia="zh-TW"/>
              </w:rPr>
              <w:t>須</w:t>
            </w:r>
            <w:r w:rsidRPr="009F6C40">
              <w:rPr>
                <w:rFonts w:eastAsia="細明體" w:hint="eastAsia"/>
                <w:sz w:val="17"/>
                <w:szCs w:val="17"/>
                <w:lang w:eastAsia="zh-TW"/>
              </w:rPr>
              <w:t>計算</w:t>
            </w:r>
            <w:r>
              <w:rPr>
                <w:rFonts w:eastAsia="細明體"/>
                <w:sz w:val="17"/>
                <w:szCs w:val="17"/>
                <w:lang w:eastAsia="zh-TW"/>
              </w:rPr>
              <w:t>市場風險承擔的資本要求</w:t>
            </w:r>
            <w:r>
              <w:rPr>
                <w:rFonts w:eastAsia="細明體" w:hint="eastAsia"/>
                <w:sz w:val="17"/>
                <w:szCs w:val="17"/>
                <w:lang w:eastAsia="zh-TW"/>
              </w:rPr>
              <w:t>）的計算</w:t>
            </w:r>
            <w:r>
              <w:rPr>
                <w:rFonts w:eastAsia="細明體"/>
                <w:sz w:val="17"/>
                <w:szCs w:val="17"/>
                <w:lang w:eastAsia="zh-TW"/>
              </w:rPr>
              <w:t>相關，</w:t>
            </w:r>
            <w:r>
              <w:rPr>
                <w:rFonts w:eastAsia="細明體" w:hint="eastAsia"/>
                <w:sz w:val="17"/>
                <w:szCs w:val="17"/>
                <w:lang w:eastAsia="zh-TW"/>
              </w:rPr>
              <w:t>因此</w:t>
            </w:r>
            <w:r>
              <w:rPr>
                <w:rFonts w:eastAsia="細明體"/>
                <w:sz w:val="17"/>
                <w:szCs w:val="17"/>
                <w:lang w:eastAsia="zh-TW"/>
              </w:rPr>
              <w:t>(c)</w:t>
            </w:r>
            <w:r>
              <w:rPr>
                <w:rFonts w:eastAsia="細明體" w:hint="eastAsia"/>
                <w:sz w:val="17"/>
                <w:szCs w:val="17"/>
                <w:lang w:eastAsia="zh-TW"/>
              </w:rPr>
              <w:t>至</w:t>
            </w:r>
            <w:r>
              <w:rPr>
                <w:rFonts w:eastAsia="細明體"/>
                <w:sz w:val="17"/>
                <w:szCs w:val="17"/>
                <w:lang w:eastAsia="zh-TW"/>
              </w:rPr>
              <w:t>(g)</w:t>
            </w:r>
            <w:r>
              <w:rPr>
                <w:rFonts w:eastAsia="細明體"/>
                <w:sz w:val="17"/>
                <w:szCs w:val="17"/>
                <w:lang w:eastAsia="zh-TW"/>
              </w:rPr>
              <w:t>欄</w:t>
            </w:r>
            <w:r>
              <w:rPr>
                <w:rFonts w:eastAsia="細明體" w:hint="eastAsia"/>
                <w:sz w:val="17"/>
                <w:szCs w:val="17"/>
                <w:lang w:eastAsia="zh-TW"/>
              </w:rPr>
              <w:t>的值的和不一定相等於</w:t>
            </w:r>
            <w:r>
              <w:rPr>
                <w:rFonts w:eastAsia="細明體"/>
                <w:sz w:val="17"/>
                <w:szCs w:val="17"/>
                <w:lang w:eastAsia="zh-TW"/>
              </w:rPr>
              <w:t>(b)</w:t>
            </w:r>
            <w:r>
              <w:rPr>
                <w:rFonts w:eastAsia="細明體" w:hint="eastAsia"/>
                <w:sz w:val="17"/>
                <w:szCs w:val="17"/>
                <w:lang w:eastAsia="zh-TW"/>
              </w:rPr>
              <w:t>欄的值。</w:t>
            </w:r>
            <w:r w:rsidRPr="00E20CF7">
              <w:rPr>
                <w:rFonts w:eastAsia="細明體" w:hint="eastAsia"/>
                <w:sz w:val="17"/>
                <w:szCs w:val="17"/>
                <w:lang w:eastAsia="zh-TW"/>
              </w:rPr>
              <w:t>當</w:t>
            </w:r>
            <w:r>
              <w:rPr>
                <w:rFonts w:eastAsia="細明體" w:hint="eastAsia"/>
                <w:sz w:val="17"/>
                <w:szCs w:val="17"/>
                <w:lang w:eastAsia="zh-TW"/>
              </w:rPr>
              <w:t>某數額類似地出現雙重計算情況（</w:t>
            </w:r>
            <w:r>
              <w:rPr>
                <w:rFonts w:eastAsia="細明體"/>
                <w:sz w:val="17"/>
                <w:szCs w:val="17"/>
                <w:lang w:eastAsia="zh-TW"/>
              </w:rPr>
              <w:t>即同時在兩個或以上的欄中披露</w:t>
            </w:r>
            <w:r>
              <w:rPr>
                <w:rFonts w:eastAsia="細明體" w:hint="eastAsia"/>
                <w:sz w:val="17"/>
                <w:szCs w:val="17"/>
                <w:lang w:eastAsia="zh-TW"/>
              </w:rPr>
              <w:t>）</w:t>
            </w:r>
            <w:r>
              <w:rPr>
                <w:rFonts w:eastAsia="細明體"/>
                <w:sz w:val="17"/>
                <w:szCs w:val="17"/>
                <w:lang w:eastAsia="zh-TW"/>
              </w:rPr>
              <w:t>而引致</w:t>
            </w:r>
            <w:r>
              <w:rPr>
                <w:rFonts w:eastAsia="細明體"/>
                <w:sz w:val="17"/>
                <w:szCs w:val="17"/>
                <w:lang w:eastAsia="zh-TW"/>
              </w:rPr>
              <w:t>(b)</w:t>
            </w:r>
            <w:r>
              <w:rPr>
                <w:rFonts w:eastAsia="細明體"/>
                <w:sz w:val="17"/>
                <w:szCs w:val="17"/>
                <w:lang w:eastAsia="zh-TW"/>
              </w:rPr>
              <w:t>欄</w:t>
            </w:r>
            <w:r>
              <w:rPr>
                <w:rFonts w:eastAsia="細明體" w:hint="eastAsia"/>
                <w:sz w:val="17"/>
                <w:szCs w:val="17"/>
                <w:lang w:eastAsia="zh-TW"/>
              </w:rPr>
              <w:t>的值與</w:t>
            </w:r>
            <w:r>
              <w:rPr>
                <w:rFonts w:eastAsia="細明體"/>
                <w:sz w:val="17"/>
                <w:szCs w:val="17"/>
                <w:lang w:eastAsia="zh-TW"/>
              </w:rPr>
              <w:t>(c)</w:t>
            </w:r>
            <w:r>
              <w:rPr>
                <w:rFonts w:eastAsia="細明體" w:hint="eastAsia"/>
                <w:sz w:val="17"/>
                <w:szCs w:val="17"/>
                <w:lang w:eastAsia="zh-TW"/>
              </w:rPr>
              <w:t>至</w:t>
            </w:r>
            <w:r>
              <w:rPr>
                <w:rFonts w:eastAsia="細明體"/>
                <w:sz w:val="17"/>
                <w:szCs w:val="17"/>
                <w:lang w:eastAsia="zh-TW"/>
              </w:rPr>
              <w:t>(g)</w:t>
            </w:r>
            <w:r>
              <w:rPr>
                <w:rFonts w:eastAsia="細明體" w:hint="eastAsia"/>
                <w:sz w:val="17"/>
                <w:szCs w:val="17"/>
                <w:lang w:eastAsia="zh-TW"/>
              </w:rPr>
              <w:t>欄的值的</w:t>
            </w:r>
            <w:r w:rsidR="006C7DFD">
              <w:rPr>
                <w:rFonts w:eastAsia="細明體" w:hint="eastAsia"/>
                <w:sz w:val="17"/>
                <w:szCs w:val="17"/>
                <w:lang w:eastAsia="zh-HK"/>
              </w:rPr>
              <w:t>總</w:t>
            </w:r>
            <w:r>
              <w:rPr>
                <w:rFonts w:eastAsia="細明體" w:hint="eastAsia"/>
                <w:sz w:val="17"/>
                <w:szCs w:val="17"/>
                <w:lang w:eastAsia="zh-TW"/>
              </w:rPr>
              <w:t>和出現重大差異，認可機構應在附加說明中闡明有關原因。</w:t>
            </w:r>
          </w:p>
        </w:tc>
      </w:tr>
      <w:tr w:rsidR="00F52F24" w14:paraId="4733D4E0" w14:textId="77777777" w:rsidTr="00F52F24">
        <w:trPr>
          <w:trHeight w:val="321"/>
          <w:tblHeader/>
        </w:trPr>
        <w:tc>
          <w:tcPr>
            <w:tcW w:w="851" w:type="dxa"/>
            <w:tcBorders>
              <w:top w:val="single" w:sz="4" w:space="0" w:color="000000"/>
              <w:left w:val="single" w:sz="4" w:space="0" w:color="000000"/>
              <w:bottom w:val="single" w:sz="4" w:space="0" w:color="000000"/>
            </w:tcBorders>
            <w:shd w:val="clear" w:color="auto" w:fill="auto"/>
          </w:tcPr>
          <w:p w14:paraId="503DC910" w14:textId="77777777" w:rsidR="00F52F24" w:rsidRDefault="00F52F24" w:rsidP="00F52F24">
            <w:pPr>
              <w:pStyle w:val="TableNote"/>
              <w:keepNext/>
              <w:spacing w:before="40" w:after="40"/>
              <w:rPr>
                <w:rFonts w:eastAsia="細明體"/>
                <w:i/>
                <w:sz w:val="17"/>
                <w:szCs w:val="17"/>
              </w:rPr>
            </w:pPr>
            <w:r>
              <w:rPr>
                <w:rFonts w:eastAsia="細明體"/>
                <w:sz w:val="17"/>
                <w:szCs w:val="17"/>
              </w:rPr>
              <w:t>(g)</w:t>
            </w:r>
          </w:p>
        </w:tc>
        <w:tc>
          <w:tcPr>
            <w:tcW w:w="13203" w:type="dxa"/>
            <w:tcBorders>
              <w:top w:val="single" w:sz="4" w:space="0" w:color="000000"/>
              <w:left w:val="single" w:sz="4" w:space="0" w:color="000000"/>
              <w:bottom w:val="single" w:sz="4" w:space="0" w:color="000000"/>
              <w:right w:val="single" w:sz="4" w:space="0" w:color="000000"/>
            </w:tcBorders>
            <w:shd w:val="clear" w:color="auto" w:fill="auto"/>
          </w:tcPr>
          <w:p w14:paraId="6D573FB4" w14:textId="77777777" w:rsidR="00F52F24" w:rsidRDefault="00F52F24" w:rsidP="00F52F24">
            <w:pPr>
              <w:pStyle w:val="TableNote"/>
              <w:keepNext/>
              <w:spacing w:before="40" w:after="40"/>
              <w:rPr>
                <w:lang w:eastAsia="zh-TW"/>
              </w:rPr>
            </w:pPr>
            <w:r>
              <w:rPr>
                <w:rFonts w:eastAsia="細明體" w:hint="eastAsia"/>
                <w:i/>
                <w:sz w:val="17"/>
                <w:szCs w:val="17"/>
                <w:lang w:eastAsia="zh-TW"/>
              </w:rPr>
              <w:t>項目的</w:t>
            </w:r>
            <w:proofErr w:type="gramStart"/>
            <w:r>
              <w:rPr>
                <w:rFonts w:eastAsia="細明體" w:hint="eastAsia"/>
                <w:i/>
                <w:sz w:val="17"/>
                <w:szCs w:val="17"/>
                <w:lang w:eastAsia="zh-TW"/>
              </w:rPr>
              <w:t>帳面</w:t>
            </w:r>
            <w:proofErr w:type="gramEnd"/>
            <w:r>
              <w:rPr>
                <w:rFonts w:eastAsia="細明體" w:hint="eastAsia"/>
                <w:i/>
                <w:sz w:val="17"/>
                <w:szCs w:val="17"/>
                <w:lang w:eastAsia="zh-TW"/>
              </w:rPr>
              <w:t>值</w:t>
            </w:r>
            <w:proofErr w:type="gramStart"/>
            <w:r>
              <w:rPr>
                <w:rFonts w:eastAsia="細明體" w:hint="eastAsia"/>
                <w:i/>
                <w:sz w:val="17"/>
                <w:szCs w:val="17"/>
                <w:lang w:eastAsia="zh-TW"/>
              </w:rPr>
              <w:t>﹕</w:t>
            </w:r>
            <w:proofErr w:type="gramEnd"/>
            <w:r w:rsidRPr="00B5462B">
              <w:rPr>
                <w:rFonts w:eastAsia="細明體" w:hint="eastAsia"/>
                <w:i/>
                <w:sz w:val="17"/>
                <w:szCs w:val="17"/>
                <w:lang w:eastAsia="zh-TW"/>
              </w:rPr>
              <w:t>不受資本規定</w:t>
            </w:r>
            <w:proofErr w:type="gramStart"/>
            <w:r w:rsidRPr="00B5462B">
              <w:rPr>
                <w:rFonts w:eastAsia="細明體" w:hint="eastAsia"/>
                <w:i/>
                <w:sz w:val="17"/>
                <w:szCs w:val="17"/>
                <w:lang w:eastAsia="zh-TW"/>
              </w:rPr>
              <w:t>規限或</w:t>
            </w:r>
            <w:proofErr w:type="gramEnd"/>
            <w:r w:rsidRPr="006505E5">
              <w:rPr>
                <w:rFonts w:eastAsia="細明體" w:hint="eastAsia"/>
                <w:i/>
                <w:sz w:val="17"/>
                <w:szCs w:val="17"/>
                <w:lang w:eastAsia="zh-TW"/>
              </w:rPr>
              <w:t>須從</w:t>
            </w:r>
            <w:r w:rsidRPr="00B5462B">
              <w:rPr>
                <w:rFonts w:eastAsia="細明體" w:hint="eastAsia"/>
                <w:i/>
                <w:sz w:val="17"/>
                <w:szCs w:val="17"/>
                <w:lang w:eastAsia="zh-TW"/>
              </w:rPr>
              <w:t>資本扣減</w:t>
            </w:r>
            <w:r>
              <w:rPr>
                <w:rFonts w:eastAsia="細明體" w:hint="eastAsia"/>
                <w:sz w:val="17"/>
                <w:szCs w:val="17"/>
                <w:lang w:eastAsia="zh-TW"/>
              </w:rPr>
              <w:t>：</w:t>
            </w:r>
            <w:r>
              <w:rPr>
                <w:rFonts w:eastAsia="細明體"/>
                <w:sz w:val="17"/>
                <w:szCs w:val="17"/>
                <w:lang w:eastAsia="zh-TW"/>
              </w:rPr>
              <w:t>(g)</w:t>
            </w:r>
            <w:r>
              <w:rPr>
                <w:rFonts w:eastAsia="細明體" w:hint="eastAsia"/>
                <w:sz w:val="17"/>
                <w:szCs w:val="17"/>
                <w:lang w:eastAsia="zh-TW"/>
              </w:rPr>
              <w:t>欄包括根據《資本規則》</w:t>
            </w:r>
            <w:r w:rsidRPr="00777659">
              <w:rPr>
                <w:rFonts w:eastAsia="細明體" w:hint="eastAsia"/>
                <w:sz w:val="17"/>
                <w:szCs w:val="17"/>
                <w:lang w:eastAsia="zh-TW"/>
              </w:rPr>
              <w:t>不受資本規定規限</w:t>
            </w:r>
            <w:r>
              <w:rPr>
                <w:rFonts w:eastAsia="細明體"/>
                <w:sz w:val="17"/>
                <w:szCs w:val="17"/>
                <w:lang w:eastAsia="zh-TW"/>
              </w:rPr>
              <w:t>或</w:t>
            </w:r>
            <w:r w:rsidRPr="00573A89">
              <w:rPr>
                <w:rFonts w:eastAsia="細明體" w:hint="eastAsia"/>
                <w:sz w:val="17"/>
                <w:szCs w:val="17"/>
                <w:lang w:eastAsia="zh-TW"/>
              </w:rPr>
              <w:t>須從</w:t>
            </w:r>
            <w:r>
              <w:rPr>
                <w:rFonts w:eastAsia="細明體"/>
                <w:sz w:val="17"/>
                <w:szCs w:val="17"/>
                <w:lang w:eastAsia="zh-TW"/>
              </w:rPr>
              <w:t>監管</w:t>
            </w:r>
            <w:r w:rsidRPr="00777659">
              <w:rPr>
                <w:rFonts w:eastAsia="細明體" w:hint="eastAsia"/>
                <w:sz w:val="17"/>
                <w:szCs w:val="17"/>
                <w:lang w:eastAsia="zh-TW"/>
              </w:rPr>
              <w:t>資本扣減</w:t>
            </w:r>
            <w:r>
              <w:rPr>
                <w:rFonts w:eastAsia="細明體" w:hint="eastAsia"/>
                <w:sz w:val="17"/>
                <w:szCs w:val="17"/>
                <w:lang w:eastAsia="zh-TW"/>
              </w:rPr>
              <w:t>的項目</w:t>
            </w:r>
            <w:r>
              <w:rPr>
                <w:rFonts w:eastAsia="細明體"/>
                <w:sz w:val="17"/>
                <w:szCs w:val="17"/>
                <w:lang w:eastAsia="zh-TW"/>
              </w:rPr>
              <w:t>的數額。從認可機構的監管資本中扣減的</w:t>
            </w:r>
            <w:r w:rsidRPr="00344F29">
              <w:rPr>
                <w:rFonts w:eastAsia="細明體" w:hint="eastAsia"/>
                <w:sz w:val="17"/>
                <w:szCs w:val="17"/>
                <w:lang w:eastAsia="zh-TW"/>
              </w:rPr>
              <w:t>元素</w:t>
            </w:r>
            <w:r>
              <w:rPr>
                <w:rFonts w:eastAsia="細明體" w:hint="eastAsia"/>
                <w:sz w:val="17"/>
                <w:szCs w:val="17"/>
                <w:lang w:eastAsia="zh-TW"/>
              </w:rPr>
              <w:t>（例如商譽、無形資產、遞延稅項資產）應在計及適用的門檻水平後列入</w:t>
            </w:r>
            <w:r>
              <w:rPr>
                <w:rFonts w:eastAsia="細明體"/>
                <w:sz w:val="17"/>
                <w:szCs w:val="17"/>
                <w:lang w:eastAsia="zh-TW"/>
              </w:rPr>
              <w:t>(g)</w:t>
            </w:r>
            <w:r>
              <w:rPr>
                <w:rFonts w:eastAsia="細明體" w:hint="eastAsia"/>
                <w:sz w:val="17"/>
                <w:szCs w:val="17"/>
                <w:lang w:eastAsia="zh-TW"/>
              </w:rPr>
              <w:t>欄。</w:t>
            </w:r>
            <w:r>
              <w:rPr>
                <w:rFonts w:eastAsia="細明體"/>
                <w:sz w:val="17"/>
                <w:szCs w:val="17"/>
                <w:lang w:eastAsia="zh-TW"/>
              </w:rPr>
              <w:t xml:space="preserve"> </w:t>
            </w:r>
          </w:p>
        </w:tc>
      </w:tr>
      <w:tr w:rsidR="00F52F24" w14:paraId="367C5D7B" w14:textId="77777777" w:rsidTr="00F52F24">
        <w:trPr>
          <w:tblHeader/>
        </w:trPr>
        <w:tc>
          <w:tcPr>
            <w:tcW w:w="140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A7A7236" w14:textId="77777777" w:rsidR="00F52F24" w:rsidRDefault="00F52F24" w:rsidP="00F52F24">
            <w:pPr>
              <w:pStyle w:val="TableNote"/>
              <w:keepNext/>
              <w:spacing w:before="40" w:after="40"/>
            </w:pPr>
            <w:r>
              <w:rPr>
                <w:rFonts w:eastAsia="細明體" w:hint="eastAsia"/>
                <w:b/>
                <w:sz w:val="17"/>
              </w:rPr>
              <w:t>行</w:t>
            </w:r>
          </w:p>
        </w:tc>
      </w:tr>
      <w:tr w:rsidR="00F52F24" w14:paraId="4489E25C" w14:textId="77777777" w:rsidTr="00F52F24">
        <w:trPr>
          <w:trHeight w:val="249"/>
          <w:tblHeader/>
        </w:trPr>
        <w:tc>
          <w:tcPr>
            <w:tcW w:w="851" w:type="dxa"/>
            <w:tcBorders>
              <w:top w:val="single" w:sz="4" w:space="0" w:color="000000"/>
              <w:left w:val="single" w:sz="4" w:space="0" w:color="000000"/>
              <w:bottom w:val="single" w:sz="4" w:space="0" w:color="000000"/>
            </w:tcBorders>
            <w:shd w:val="clear" w:color="auto" w:fill="auto"/>
          </w:tcPr>
          <w:p w14:paraId="5C1B05AF" w14:textId="77777777" w:rsidR="00F52F24" w:rsidRDefault="00F52F24" w:rsidP="00F52F24">
            <w:pPr>
              <w:pStyle w:val="TableNote"/>
              <w:keepNext/>
              <w:spacing w:before="40" w:after="40"/>
              <w:rPr>
                <w:rFonts w:eastAsia="細明體"/>
                <w:sz w:val="17"/>
                <w:szCs w:val="17"/>
              </w:rPr>
            </w:pPr>
            <w:proofErr w:type="spellStart"/>
            <w:r>
              <w:rPr>
                <w:rFonts w:eastAsia="細明體" w:hint="eastAsia"/>
                <w:sz w:val="17"/>
                <w:szCs w:val="17"/>
              </w:rPr>
              <w:t>所有</w:t>
            </w:r>
            <w:proofErr w:type="spellEnd"/>
          </w:p>
        </w:tc>
        <w:tc>
          <w:tcPr>
            <w:tcW w:w="13203" w:type="dxa"/>
            <w:tcBorders>
              <w:top w:val="single" w:sz="4" w:space="0" w:color="000000"/>
              <w:left w:val="single" w:sz="4" w:space="0" w:color="000000"/>
              <w:bottom w:val="single" w:sz="4" w:space="0" w:color="000000"/>
              <w:right w:val="single" w:sz="4" w:space="0" w:color="000000"/>
            </w:tcBorders>
            <w:shd w:val="clear" w:color="auto" w:fill="auto"/>
          </w:tcPr>
          <w:p w14:paraId="13B5E7CA" w14:textId="77777777" w:rsidR="00F52F24" w:rsidRDefault="00F52F24" w:rsidP="00F52F24">
            <w:pPr>
              <w:pStyle w:val="TableNote"/>
              <w:keepNext/>
              <w:spacing w:before="40" w:after="40"/>
              <w:rPr>
                <w:lang w:eastAsia="zh-TW"/>
              </w:rPr>
            </w:pPr>
            <w:r>
              <w:rPr>
                <w:rFonts w:eastAsia="細明體" w:hint="eastAsia"/>
                <w:sz w:val="17"/>
                <w:szCs w:val="17"/>
                <w:lang w:eastAsia="zh-TW"/>
              </w:rPr>
              <w:t>各行應</w:t>
            </w:r>
            <w:proofErr w:type="gramStart"/>
            <w:r>
              <w:rPr>
                <w:rFonts w:eastAsia="細明體" w:hint="eastAsia"/>
                <w:sz w:val="17"/>
                <w:szCs w:val="17"/>
                <w:lang w:eastAsia="zh-TW"/>
              </w:rPr>
              <w:t>嚴格跟</w:t>
            </w:r>
            <w:proofErr w:type="gramEnd"/>
            <w:r>
              <w:rPr>
                <w:rFonts w:eastAsia="細明體" w:hint="eastAsia"/>
                <w:sz w:val="17"/>
                <w:szCs w:val="17"/>
                <w:lang w:eastAsia="zh-TW"/>
              </w:rPr>
              <w:t>從認可機構在其年終財務報表所</w:t>
            </w:r>
            <w:r>
              <w:rPr>
                <w:rFonts w:eastAsia="細明體"/>
                <w:sz w:val="17"/>
                <w:szCs w:val="17"/>
                <w:lang w:eastAsia="zh-TW"/>
              </w:rPr>
              <w:t>使</w:t>
            </w:r>
            <w:r>
              <w:rPr>
                <w:rFonts w:eastAsia="細明體" w:hint="eastAsia"/>
                <w:sz w:val="17"/>
                <w:szCs w:val="17"/>
                <w:lang w:eastAsia="zh-TW"/>
              </w:rPr>
              <w:t>用的資產負債表呈報方式。</w:t>
            </w:r>
          </w:p>
        </w:tc>
      </w:tr>
    </w:tbl>
    <w:p w14:paraId="22F59ACC" w14:textId="77777777" w:rsidR="00F52F24" w:rsidRDefault="00F52F24" w:rsidP="00F52F24">
      <w:pPr>
        <w:rPr>
          <w:lang w:eastAsia="zh-TW"/>
        </w:rPr>
      </w:pPr>
    </w:p>
    <w:p w14:paraId="43404AEB" w14:textId="77777777" w:rsidR="00F52F24" w:rsidRDefault="00F52F24" w:rsidP="00966C90">
      <w:pPr>
        <w:pStyle w:val="BodyText"/>
        <w:rPr>
          <w:rFonts w:eastAsia="細明體"/>
        </w:rPr>
      </w:pPr>
    </w:p>
    <w:p w14:paraId="42A9D13D" w14:textId="77777777" w:rsidR="00AA0DF0" w:rsidRDefault="00AA0DF0" w:rsidP="00F52F24">
      <w:pPr>
        <w:spacing w:before="120" w:after="120"/>
        <w:rPr>
          <w:rFonts w:eastAsia="細明體"/>
          <w:vanish/>
          <w:lang w:eastAsia="zh-TW"/>
        </w:rPr>
        <w:sectPr w:rsidR="00AA0DF0" w:rsidSect="00DD4D0D">
          <w:headerReference w:type="default" r:id="rId18"/>
          <w:footerReference w:type="default" r:id="rId19"/>
          <w:pgSz w:w="16838" w:h="11906" w:orient="landscape"/>
          <w:pgMar w:top="1276" w:right="1440" w:bottom="1276" w:left="1440" w:header="720" w:footer="737" w:gutter="0"/>
          <w:cols w:space="720"/>
          <w:docGrid w:type="linesAndChars" w:linePitch="360"/>
        </w:sectPr>
      </w:pPr>
    </w:p>
    <w:p w14:paraId="7FC18787" w14:textId="2B38D419" w:rsidR="00EB4D73" w:rsidRPr="00EB4D73" w:rsidRDefault="00EB4D73" w:rsidP="00ED47B6">
      <w:pPr>
        <w:pStyle w:val="Heading2"/>
        <w:keepNext w:val="0"/>
        <w:suppressAutoHyphens w:val="0"/>
        <w:spacing w:before="40" w:line="240" w:lineRule="auto"/>
        <w:ind w:left="142"/>
        <w:rPr>
          <w:rFonts w:ascii="細明體" w:eastAsia="細明體" w:hAnsi="細明體"/>
          <w:b w:val="0"/>
          <w:bCs w:val="0"/>
          <w:sz w:val="22"/>
          <w:szCs w:val="20"/>
          <w:lang w:eastAsia="zh-TW"/>
        </w:rPr>
      </w:pPr>
      <w:r w:rsidRPr="00EB4D73">
        <w:rPr>
          <w:rFonts w:ascii="細明體" w:eastAsia="細明體" w:hAnsi="細明體" w:cs="微軟正黑體" w:hint="eastAsia"/>
          <w:b w:val="0"/>
          <w:bCs w:val="0"/>
          <w:sz w:val="22"/>
          <w:szCs w:val="20"/>
          <w:lang w:eastAsia="zh-TW"/>
        </w:rPr>
        <w:t>模版</w:t>
      </w:r>
      <w:r w:rsidRPr="00EB4D73">
        <w:rPr>
          <w:rFonts w:ascii="Segoe UI" w:eastAsia="細明體" w:hAnsi="Segoe UI" w:cs="Segoe UI"/>
          <w:b w:val="0"/>
          <w:bCs w:val="0"/>
          <w:sz w:val="22"/>
          <w:szCs w:val="20"/>
          <w:lang w:eastAsia="zh-TW"/>
        </w:rPr>
        <w:t>LI2</w:t>
      </w:r>
      <w:r w:rsidRPr="00EB4D73">
        <w:rPr>
          <w:rFonts w:ascii="細明體" w:eastAsia="細明體" w:hAnsi="細明體" w:cs="微軟正黑體" w:hint="eastAsia"/>
          <w:b w:val="0"/>
          <w:bCs w:val="0"/>
          <w:sz w:val="22"/>
          <w:szCs w:val="20"/>
          <w:lang w:eastAsia="zh-TW"/>
        </w:rPr>
        <w:t>：監管風險承擔數額與財務報表中的</w:t>
      </w:r>
      <w:proofErr w:type="gramStart"/>
      <w:r w:rsidRPr="00EB4D73">
        <w:rPr>
          <w:rFonts w:ascii="細明體" w:eastAsia="細明體" w:hAnsi="細明體" w:cs="微軟正黑體" w:hint="eastAsia"/>
          <w:b w:val="0"/>
          <w:bCs w:val="0"/>
          <w:sz w:val="22"/>
          <w:szCs w:val="20"/>
          <w:lang w:eastAsia="zh-TW"/>
        </w:rPr>
        <w:t>帳面</w:t>
      </w:r>
      <w:proofErr w:type="gramEnd"/>
      <w:r w:rsidRPr="00EB4D73">
        <w:rPr>
          <w:rFonts w:ascii="細明體" w:eastAsia="細明體" w:hAnsi="細明體" w:cs="微軟正黑體" w:hint="eastAsia"/>
          <w:b w:val="0"/>
          <w:bCs w:val="0"/>
          <w:sz w:val="22"/>
          <w:szCs w:val="20"/>
          <w:lang w:eastAsia="zh-TW"/>
        </w:rPr>
        <w:t>值之間的差額的主要來源</w:t>
      </w:r>
    </w:p>
    <w:tbl>
      <w:tblPr>
        <w:tblW w:w="0" w:type="auto"/>
        <w:tblInd w:w="108" w:type="dxa"/>
        <w:tblLayout w:type="fixed"/>
        <w:tblLook w:val="0000" w:firstRow="0" w:lastRow="0" w:firstColumn="0" w:lastColumn="0" w:noHBand="0" w:noVBand="0"/>
      </w:tblPr>
      <w:tblGrid>
        <w:gridCol w:w="2127"/>
        <w:gridCol w:w="11765"/>
      </w:tblGrid>
      <w:tr w:rsidR="00B364EC" w14:paraId="307F721F" w14:textId="77777777" w:rsidTr="00B364EC">
        <w:tc>
          <w:tcPr>
            <w:tcW w:w="2127" w:type="dxa"/>
            <w:tcBorders>
              <w:top w:val="single" w:sz="4" w:space="0" w:color="000000"/>
              <w:bottom w:val="single" w:sz="4" w:space="0" w:color="000000"/>
            </w:tcBorders>
            <w:shd w:val="clear" w:color="auto" w:fill="auto"/>
          </w:tcPr>
          <w:p w14:paraId="07913456" w14:textId="77777777" w:rsidR="00B364EC" w:rsidRDefault="00B364EC" w:rsidP="00B364EC">
            <w:pPr>
              <w:spacing w:before="40" w:after="40"/>
              <w:rPr>
                <w:rFonts w:eastAsia="細明體"/>
              </w:rPr>
            </w:pPr>
            <w:proofErr w:type="spellStart"/>
            <w:r>
              <w:rPr>
                <w:rFonts w:eastAsia="細明體" w:hint="eastAsia"/>
                <w:b/>
                <w:sz w:val="17"/>
              </w:rPr>
              <w:t>目的</w:t>
            </w:r>
            <w:proofErr w:type="spellEnd"/>
            <w:r>
              <w:rPr>
                <w:rFonts w:eastAsia="細明體" w:hint="eastAsia"/>
                <w:b/>
                <w:sz w:val="17"/>
              </w:rPr>
              <w:t>：</w:t>
            </w:r>
            <w:r>
              <w:rPr>
                <w:rFonts w:eastAsia="細明體"/>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68917D43" w14:textId="77777777" w:rsidR="00B364EC" w:rsidRDefault="00B364EC" w:rsidP="00B364EC">
            <w:pPr>
              <w:pStyle w:val="TableText"/>
              <w:jc w:val="both"/>
              <w:rPr>
                <w:lang w:eastAsia="zh-TW"/>
              </w:rPr>
            </w:pPr>
            <w:r>
              <w:rPr>
                <w:rFonts w:eastAsia="細明體" w:hint="eastAsia"/>
                <w:lang w:eastAsia="zh-TW"/>
              </w:rPr>
              <w:t>基於監管綜合範圍，就資產及負債在財務報表中的</w:t>
            </w:r>
            <w:proofErr w:type="gramStart"/>
            <w:r>
              <w:rPr>
                <w:rFonts w:eastAsia="細明體" w:hint="eastAsia"/>
                <w:lang w:eastAsia="zh-TW"/>
              </w:rPr>
              <w:t>帳面</w:t>
            </w:r>
            <w:proofErr w:type="gramEnd"/>
            <w:r>
              <w:rPr>
                <w:rFonts w:eastAsia="細明體" w:hint="eastAsia"/>
                <w:lang w:eastAsia="zh-TW"/>
              </w:rPr>
              <w:t>值與用以計算監管資本的風險承擔數額之間的差額的主要來源，提供資料。</w:t>
            </w:r>
          </w:p>
        </w:tc>
      </w:tr>
      <w:tr w:rsidR="00B364EC" w14:paraId="5BD62176" w14:textId="77777777" w:rsidTr="00B364EC">
        <w:tc>
          <w:tcPr>
            <w:tcW w:w="2127" w:type="dxa"/>
            <w:tcBorders>
              <w:top w:val="single" w:sz="4" w:space="0" w:color="000000"/>
              <w:bottom w:val="single" w:sz="4" w:space="0" w:color="000000"/>
            </w:tcBorders>
            <w:shd w:val="clear" w:color="auto" w:fill="auto"/>
          </w:tcPr>
          <w:p w14:paraId="2449CFA1" w14:textId="77777777" w:rsidR="00B364EC" w:rsidRDefault="00B364EC" w:rsidP="00B364EC">
            <w:pPr>
              <w:spacing w:before="40" w:after="40"/>
              <w:rPr>
                <w:rFonts w:eastAsia="細明體"/>
              </w:rPr>
            </w:pPr>
            <w:proofErr w:type="spellStart"/>
            <w:r>
              <w:rPr>
                <w:rFonts w:eastAsia="細明體" w:hint="eastAsia"/>
                <w:b/>
                <w:sz w:val="17"/>
              </w:rPr>
              <w:t>適用範圍</w:t>
            </w:r>
            <w:proofErr w:type="spellEnd"/>
            <w:r>
              <w:rPr>
                <w:rFonts w:eastAsia="細明體" w:hint="eastAsia"/>
                <w:b/>
                <w:sz w:val="17"/>
              </w:rPr>
              <w:t>：</w:t>
            </w:r>
            <w:r>
              <w:rPr>
                <w:rFonts w:eastAsia="細明體"/>
                <w:b/>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3EAF0817" w14:textId="77777777" w:rsidR="00B364EC" w:rsidRDefault="00B364EC" w:rsidP="00B364EC">
            <w:pPr>
              <w:pStyle w:val="TableText"/>
              <w:jc w:val="both"/>
              <w:rPr>
                <w:lang w:eastAsia="zh-TW"/>
              </w:rPr>
            </w:pPr>
            <w:r>
              <w:rPr>
                <w:rFonts w:eastAsia="細明體" w:hint="eastAsia"/>
                <w:lang w:eastAsia="zh-TW"/>
              </w:rPr>
              <w:t>所有在香港成立</w:t>
            </w:r>
            <w:proofErr w:type="gramStart"/>
            <w:r>
              <w:rPr>
                <w:rFonts w:eastAsia="細明體" w:hint="eastAsia"/>
                <w:lang w:eastAsia="zh-TW"/>
              </w:rPr>
              <w:t>為法團的</w:t>
            </w:r>
            <w:proofErr w:type="gramEnd"/>
            <w:r>
              <w:rPr>
                <w:rFonts w:eastAsia="細明體" w:hint="eastAsia"/>
                <w:lang w:eastAsia="zh-TW"/>
              </w:rPr>
              <w:t>認可機構</w:t>
            </w:r>
            <w:proofErr w:type="gramStart"/>
            <w:r>
              <w:rPr>
                <w:rFonts w:eastAsia="細明體" w:hint="eastAsia"/>
                <w:lang w:eastAsia="zh-TW"/>
              </w:rPr>
              <w:t>均須填報本模</w:t>
            </w:r>
            <w:proofErr w:type="gramEnd"/>
            <w:r>
              <w:rPr>
                <w:rFonts w:eastAsia="細明體" w:hint="eastAsia"/>
                <w:lang w:eastAsia="zh-TW"/>
              </w:rPr>
              <w:t>版。</w:t>
            </w:r>
          </w:p>
        </w:tc>
      </w:tr>
      <w:tr w:rsidR="00B364EC" w14:paraId="1ED2FDE3" w14:textId="77777777" w:rsidTr="00B364EC">
        <w:tc>
          <w:tcPr>
            <w:tcW w:w="2127" w:type="dxa"/>
            <w:tcBorders>
              <w:top w:val="single" w:sz="4" w:space="0" w:color="000000"/>
              <w:bottom w:val="single" w:sz="4" w:space="0" w:color="000000"/>
            </w:tcBorders>
            <w:shd w:val="clear" w:color="auto" w:fill="auto"/>
          </w:tcPr>
          <w:p w14:paraId="40CE942B" w14:textId="77777777" w:rsidR="00B364EC" w:rsidRDefault="00B364EC" w:rsidP="00B364EC">
            <w:pPr>
              <w:spacing w:before="40" w:after="40"/>
              <w:rPr>
                <w:rFonts w:eastAsia="細明體"/>
              </w:rPr>
            </w:pPr>
            <w:proofErr w:type="spellStart"/>
            <w:r>
              <w:rPr>
                <w:rFonts w:eastAsia="細明體" w:hint="eastAsia"/>
                <w:b/>
                <w:sz w:val="17"/>
              </w:rPr>
              <w:t>內容</w:t>
            </w:r>
            <w:proofErr w:type="spellEnd"/>
            <w:r>
              <w:rPr>
                <w:rFonts w:eastAsia="細明體" w:hint="eastAsia"/>
                <w:b/>
                <w:sz w:val="17"/>
              </w:rPr>
              <w:t>：</w:t>
            </w:r>
            <w:r>
              <w:rPr>
                <w:rFonts w:eastAsia="細明體"/>
                <w:b/>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50170977" w14:textId="77777777" w:rsidR="00B364EC" w:rsidRPr="00777659" w:rsidRDefault="00B364EC" w:rsidP="00B364EC">
            <w:pPr>
              <w:pStyle w:val="TableText"/>
              <w:jc w:val="both"/>
              <w:rPr>
                <w:rFonts w:eastAsia="細明體"/>
                <w:lang w:eastAsia="zh-TW"/>
              </w:rPr>
            </w:pPr>
            <w:proofErr w:type="gramStart"/>
            <w:r>
              <w:rPr>
                <w:rFonts w:eastAsia="細明體" w:hint="eastAsia"/>
                <w:lang w:eastAsia="zh-TW"/>
              </w:rPr>
              <w:t>帳面</w:t>
            </w:r>
            <w:proofErr w:type="gramEnd"/>
            <w:r>
              <w:rPr>
                <w:rFonts w:eastAsia="細明體" w:hint="eastAsia"/>
                <w:lang w:eastAsia="zh-TW"/>
              </w:rPr>
              <w:t>值</w:t>
            </w:r>
            <w:proofErr w:type="gramStart"/>
            <w:r>
              <w:rPr>
                <w:rFonts w:eastAsia="細明體" w:hint="eastAsia"/>
                <w:szCs w:val="17"/>
                <w:lang w:eastAsia="zh-TW"/>
              </w:rPr>
              <w:t>（</w:t>
            </w:r>
            <w:proofErr w:type="gramEnd"/>
            <w:r>
              <w:rPr>
                <w:rFonts w:eastAsia="細明體" w:hint="eastAsia"/>
                <w:lang w:eastAsia="zh-TW"/>
              </w:rPr>
              <w:t>對應在財務報表所</w:t>
            </w:r>
            <w:r w:rsidRPr="00516971">
              <w:rPr>
                <w:rFonts w:eastAsia="細明體" w:hint="eastAsia"/>
                <w:lang w:eastAsia="zh-TW"/>
              </w:rPr>
              <w:t>載</w:t>
            </w:r>
            <w:r>
              <w:rPr>
                <w:rFonts w:eastAsia="細明體" w:hint="eastAsia"/>
                <w:lang w:eastAsia="zh-TW"/>
              </w:rPr>
              <w:t>但根據</w:t>
            </w:r>
            <w:r w:rsidRPr="00844083">
              <w:rPr>
                <w:rFonts w:eastAsia="細明體" w:hint="eastAsia"/>
                <w:lang w:eastAsia="zh-TW"/>
              </w:rPr>
              <w:t>監管綜合範圍</w:t>
            </w:r>
            <w:r>
              <w:rPr>
                <w:rFonts w:eastAsia="細明體" w:hint="eastAsia"/>
                <w:lang w:eastAsia="zh-TW"/>
              </w:rPr>
              <w:t>的值</w:t>
            </w:r>
            <w:proofErr w:type="gramStart"/>
            <w:r>
              <w:rPr>
                <w:rFonts w:eastAsia="細明體" w:hint="eastAsia"/>
                <w:szCs w:val="17"/>
                <w:lang w:eastAsia="zh-TW"/>
              </w:rPr>
              <w:t>（</w:t>
            </w:r>
            <w:proofErr w:type="gramEnd"/>
            <w:r>
              <w:rPr>
                <w:rFonts w:eastAsia="細明體" w:hint="eastAsia"/>
                <w:lang w:eastAsia="zh-TW"/>
              </w:rPr>
              <w:t>第</w:t>
            </w:r>
            <w:r>
              <w:rPr>
                <w:rFonts w:eastAsia="細明體"/>
                <w:lang w:eastAsia="zh-TW"/>
              </w:rPr>
              <w:t>1</w:t>
            </w:r>
            <w:r>
              <w:rPr>
                <w:rFonts w:eastAsia="細明體" w:hint="eastAsia"/>
                <w:lang w:eastAsia="zh-TW"/>
              </w:rPr>
              <w:t>至</w:t>
            </w:r>
            <w:r>
              <w:rPr>
                <w:rFonts w:eastAsia="細明體"/>
                <w:lang w:eastAsia="zh-TW"/>
              </w:rPr>
              <w:t>3</w:t>
            </w:r>
            <w:r>
              <w:rPr>
                <w:rFonts w:eastAsia="細明體" w:hint="eastAsia"/>
                <w:lang w:eastAsia="zh-TW"/>
              </w:rPr>
              <w:t>行</w:t>
            </w:r>
            <w:proofErr w:type="gramStart"/>
            <w:r>
              <w:rPr>
                <w:rFonts w:eastAsia="細明體" w:hint="eastAsia"/>
                <w:szCs w:val="17"/>
                <w:lang w:eastAsia="zh-TW"/>
              </w:rPr>
              <w:t>）</w:t>
            </w:r>
            <w:proofErr w:type="gramEnd"/>
            <w:r>
              <w:rPr>
                <w:rFonts w:eastAsia="細明體" w:hint="eastAsia"/>
                <w:szCs w:val="17"/>
                <w:lang w:eastAsia="zh-TW"/>
              </w:rPr>
              <w:t>，</w:t>
            </w:r>
            <w:r>
              <w:rPr>
                <w:rFonts w:eastAsia="細明體" w:hint="eastAsia"/>
                <w:lang w:eastAsia="zh-TW"/>
              </w:rPr>
              <w:t>及以監管風險承擔為目的所考慮的數額</w:t>
            </w:r>
            <w:r>
              <w:rPr>
                <w:rFonts w:eastAsia="細明體" w:hint="eastAsia"/>
                <w:szCs w:val="17"/>
                <w:lang w:eastAsia="zh-TW"/>
              </w:rPr>
              <w:t>（</w:t>
            </w:r>
            <w:r>
              <w:rPr>
                <w:rFonts w:eastAsia="細明體" w:hint="eastAsia"/>
                <w:lang w:eastAsia="zh-TW"/>
              </w:rPr>
              <w:t>第</w:t>
            </w:r>
            <w:r>
              <w:rPr>
                <w:rFonts w:eastAsia="細明體"/>
                <w:lang w:eastAsia="zh-TW"/>
              </w:rPr>
              <w:t>N</w:t>
            </w:r>
            <w:r>
              <w:rPr>
                <w:rFonts w:eastAsia="細明體" w:hint="eastAsia"/>
                <w:lang w:eastAsia="zh-TW"/>
              </w:rPr>
              <w:t>行</w:t>
            </w:r>
            <w:r>
              <w:rPr>
                <w:rFonts w:eastAsia="細明體" w:hint="eastAsia"/>
                <w:szCs w:val="17"/>
                <w:lang w:eastAsia="zh-TW"/>
              </w:rPr>
              <w:t>）</w:t>
            </w:r>
            <w:proofErr w:type="gramStart"/>
            <w:r>
              <w:rPr>
                <w:rFonts w:eastAsia="細明體" w:hint="eastAsia"/>
                <w:szCs w:val="17"/>
                <w:lang w:eastAsia="zh-TW"/>
              </w:rPr>
              <w:t>）</w:t>
            </w:r>
            <w:proofErr w:type="gramEnd"/>
            <w:r>
              <w:rPr>
                <w:rFonts w:eastAsia="細明體" w:hint="eastAsia"/>
                <w:lang w:eastAsia="zh-TW"/>
              </w:rPr>
              <w:t>。</w:t>
            </w:r>
          </w:p>
        </w:tc>
      </w:tr>
      <w:tr w:rsidR="00B364EC" w14:paraId="71DD1A83" w14:textId="77777777" w:rsidTr="00B364EC">
        <w:tc>
          <w:tcPr>
            <w:tcW w:w="2127" w:type="dxa"/>
            <w:tcBorders>
              <w:top w:val="single" w:sz="4" w:space="0" w:color="000000"/>
              <w:bottom w:val="single" w:sz="4" w:space="0" w:color="000000"/>
            </w:tcBorders>
            <w:shd w:val="clear" w:color="auto" w:fill="auto"/>
          </w:tcPr>
          <w:p w14:paraId="1F62B746" w14:textId="77777777" w:rsidR="00B364EC" w:rsidRDefault="00B364EC" w:rsidP="00B364EC">
            <w:pPr>
              <w:spacing w:before="40" w:after="40"/>
              <w:rPr>
                <w:rFonts w:eastAsia="細明體"/>
              </w:rPr>
            </w:pPr>
            <w:proofErr w:type="spellStart"/>
            <w:r>
              <w:rPr>
                <w:rFonts w:eastAsia="細明體" w:hint="eastAsia"/>
                <w:b/>
                <w:sz w:val="17"/>
              </w:rPr>
              <w:t>頻密程度</w:t>
            </w:r>
            <w:proofErr w:type="spellEnd"/>
            <w:r>
              <w:rPr>
                <w:rFonts w:eastAsia="細明體" w:hint="eastAsia"/>
                <w:b/>
                <w:sz w:val="17"/>
              </w:rPr>
              <w:t>：</w:t>
            </w:r>
            <w:r>
              <w:rPr>
                <w:rFonts w:eastAsia="細明體"/>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291DA8AF" w14:textId="77777777" w:rsidR="00B364EC" w:rsidRDefault="00B364EC" w:rsidP="00B364EC">
            <w:pPr>
              <w:pStyle w:val="TableText"/>
              <w:jc w:val="both"/>
            </w:pPr>
            <w:proofErr w:type="spellStart"/>
            <w:r>
              <w:rPr>
                <w:rFonts w:eastAsia="細明體" w:hint="eastAsia"/>
              </w:rPr>
              <w:t>每年一次</w:t>
            </w:r>
            <w:proofErr w:type="spellEnd"/>
            <w:r>
              <w:rPr>
                <w:rFonts w:eastAsia="細明體"/>
              </w:rPr>
              <w:t>。</w:t>
            </w:r>
          </w:p>
        </w:tc>
      </w:tr>
      <w:tr w:rsidR="00B364EC" w14:paraId="35B991FB" w14:textId="77777777" w:rsidTr="00B364EC">
        <w:tc>
          <w:tcPr>
            <w:tcW w:w="2127" w:type="dxa"/>
            <w:tcBorders>
              <w:top w:val="single" w:sz="4" w:space="0" w:color="000000"/>
              <w:bottom w:val="single" w:sz="4" w:space="0" w:color="000000"/>
            </w:tcBorders>
            <w:shd w:val="clear" w:color="auto" w:fill="auto"/>
          </w:tcPr>
          <w:p w14:paraId="4A4F04BB" w14:textId="77777777" w:rsidR="00B364EC" w:rsidRDefault="00B364EC" w:rsidP="00B364EC">
            <w:pPr>
              <w:spacing w:before="40" w:after="40"/>
              <w:rPr>
                <w:rFonts w:eastAsia="細明體"/>
              </w:rPr>
            </w:pPr>
            <w:proofErr w:type="spellStart"/>
            <w:r>
              <w:rPr>
                <w:rFonts w:eastAsia="細明體" w:hint="eastAsia"/>
                <w:b/>
                <w:sz w:val="17"/>
              </w:rPr>
              <w:t>格式</w:t>
            </w:r>
            <w:proofErr w:type="spellEnd"/>
            <w:r>
              <w:rPr>
                <w:rFonts w:eastAsia="細明體" w:hint="eastAsia"/>
                <w:b/>
                <w:sz w:val="17"/>
              </w:rPr>
              <w:t>：</w:t>
            </w:r>
            <w:r>
              <w:rPr>
                <w:rFonts w:eastAsia="細明體"/>
                <w:sz w:val="17"/>
              </w:rPr>
              <w:t xml:space="preserve"> </w:t>
            </w:r>
          </w:p>
        </w:tc>
        <w:tc>
          <w:tcPr>
            <w:tcW w:w="11765" w:type="dxa"/>
            <w:tcBorders>
              <w:top w:val="single" w:sz="4" w:space="0" w:color="000000"/>
              <w:left w:val="single" w:sz="4" w:space="0" w:color="000000"/>
              <w:bottom w:val="single" w:sz="4" w:space="0" w:color="000000"/>
            </w:tcBorders>
            <w:shd w:val="clear" w:color="auto" w:fill="auto"/>
          </w:tcPr>
          <w:p w14:paraId="54755E90" w14:textId="77777777" w:rsidR="00B364EC" w:rsidRDefault="00B364EC" w:rsidP="00B364EC">
            <w:pPr>
              <w:pStyle w:val="TableText"/>
              <w:jc w:val="both"/>
            </w:pPr>
            <w:proofErr w:type="spellStart"/>
            <w:r>
              <w:rPr>
                <w:rFonts w:eastAsia="細明體" w:hint="eastAsia"/>
              </w:rPr>
              <w:t>非固定</w:t>
            </w:r>
            <w:proofErr w:type="spellEnd"/>
            <w:r>
              <w:rPr>
                <w:rFonts w:eastAsia="細明體"/>
              </w:rPr>
              <w:t>。</w:t>
            </w:r>
          </w:p>
        </w:tc>
      </w:tr>
      <w:tr w:rsidR="00B364EC" w14:paraId="6F0B827B" w14:textId="77777777" w:rsidTr="00B364EC">
        <w:tc>
          <w:tcPr>
            <w:tcW w:w="2127" w:type="dxa"/>
            <w:tcBorders>
              <w:top w:val="single" w:sz="4" w:space="0" w:color="000000"/>
              <w:bottom w:val="single" w:sz="4" w:space="0" w:color="000000"/>
            </w:tcBorders>
            <w:shd w:val="clear" w:color="auto" w:fill="auto"/>
          </w:tcPr>
          <w:p w14:paraId="2B221198" w14:textId="77777777" w:rsidR="00B364EC" w:rsidRDefault="00B364EC" w:rsidP="00B364EC">
            <w:pPr>
              <w:spacing w:before="40" w:after="40"/>
              <w:rPr>
                <w:rFonts w:eastAsia="細明體"/>
              </w:rPr>
            </w:pPr>
            <w:proofErr w:type="spellStart"/>
            <w:r>
              <w:rPr>
                <w:rFonts w:eastAsia="細明體" w:hint="eastAsia"/>
                <w:b/>
                <w:sz w:val="17"/>
                <w:szCs w:val="17"/>
              </w:rPr>
              <w:t>附加說明</w:t>
            </w:r>
            <w:proofErr w:type="spellEnd"/>
            <w:r>
              <w:rPr>
                <w:rFonts w:eastAsia="細明體" w:hint="eastAsia"/>
                <w:b/>
                <w:sz w:val="17"/>
                <w:szCs w:val="17"/>
              </w:rPr>
              <w:t>：</w:t>
            </w:r>
          </w:p>
        </w:tc>
        <w:tc>
          <w:tcPr>
            <w:tcW w:w="11765" w:type="dxa"/>
            <w:tcBorders>
              <w:top w:val="single" w:sz="4" w:space="0" w:color="000000"/>
              <w:left w:val="single" w:sz="4" w:space="0" w:color="000000"/>
              <w:bottom w:val="single" w:sz="4" w:space="0" w:color="000000"/>
            </w:tcBorders>
            <w:shd w:val="clear" w:color="auto" w:fill="auto"/>
          </w:tcPr>
          <w:p w14:paraId="5509ABAA" w14:textId="77777777" w:rsidR="00B364EC" w:rsidRDefault="00B364EC" w:rsidP="00B364EC">
            <w:pPr>
              <w:pStyle w:val="TableText"/>
              <w:jc w:val="both"/>
            </w:pPr>
            <w:proofErr w:type="spellStart"/>
            <w:r>
              <w:rPr>
                <w:rFonts w:eastAsia="細明體" w:hint="eastAsia"/>
              </w:rPr>
              <w:t>如表</w:t>
            </w:r>
            <w:proofErr w:type="spellEnd"/>
            <w:r>
              <w:rPr>
                <w:rFonts w:eastAsia="細明體"/>
              </w:rPr>
              <w:t>LIA</w:t>
            </w:r>
            <w:proofErr w:type="spellStart"/>
            <w:r>
              <w:rPr>
                <w:rFonts w:eastAsia="細明體" w:hint="eastAsia"/>
              </w:rPr>
              <w:t>所載</w:t>
            </w:r>
            <w:proofErr w:type="spellEnd"/>
            <w:r>
              <w:rPr>
                <w:rFonts w:eastAsia="細明體" w:hint="eastAsia"/>
              </w:rPr>
              <w:t>。</w:t>
            </w:r>
          </w:p>
        </w:tc>
      </w:tr>
      <w:tr w:rsidR="00B364EC" w14:paraId="4E412B51" w14:textId="77777777" w:rsidTr="00B364EC">
        <w:tc>
          <w:tcPr>
            <w:tcW w:w="2127" w:type="dxa"/>
            <w:tcBorders>
              <w:top w:val="single" w:sz="4" w:space="0" w:color="000000"/>
              <w:bottom w:val="single" w:sz="4" w:space="0" w:color="000000"/>
            </w:tcBorders>
            <w:shd w:val="clear" w:color="auto" w:fill="auto"/>
          </w:tcPr>
          <w:p w14:paraId="27998DD7" w14:textId="77777777" w:rsidR="00B364EC" w:rsidRDefault="00B364EC" w:rsidP="00B364EC">
            <w:pPr>
              <w:spacing w:before="40" w:after="40"/>
              <w:rPr>
                <w:rFonts w:eastAsia="細明體"/>
                <w:lang w:eastAsia="zh-TW"/>
              </w:rPr>
            </w:pPr>
            <w:r>
              <w:rPr>
                <w:rFonts w:eastAsia="細明體" w:hint="eastAsia"/>
                <w:b/>
                <w:sz w:val="17"/>
                <w:szCs w:val="17"/>
                <w:lang w:eastAsia="zh-TW"/>
              </w:rPr>
              <w:t>《披露規則》相應條文：</w:t>
            </w:r>
          </w:p>
        </w:tc>
        <w:tc>
          <w:tcPr>
            <w:tcW w:w="11765" w:type="dxa"/>
            <w:tcBorders>
              <w:top w:val="single" w:sz="4" w:space="0" w:color="000000"/>
              <w:left w:val="single" w:sz="4" w:space="0" w:color="000000"/>
              <w:bottom w:val="single" w:sz="4" w:space="0" w:color="000000"/>
            </w:tcBorders>
            <w:shd w:val="clear" w:color="auto" w:fill="auto"/>
          </w:tcPr>
          <w:p w14:paraId="48E32CF9" w14:textId="77777777" w:rsidR="00B364EC" w:rsidRDefault="00B364EC" w:rsidP="00B364EC">
            <w:pPr>
              <w:pStyle w:val="TableText"/>
              <w:jc w:val="both"/>
            </w:pPr>
            <w:r>
              <w:rPr>
                <w:rFonts w:eastAsia="細明體"/>
              </w:rPr>
              <w:t>16E</w:t>
            </w:r>
          </w:p>
        </w:tc>
      </w:tr>
    </w:tbl>
    <w:p w14:paraId="35279A9E" w14:textId="77777777" w:rsidR="00B364EC" w:rsidRDefault="00B364EC" w:rsidP="00B364EC">
      <w:pPr>
        <w:spacing w:before="120" w:after="120"/>
        <w:rPr>
          <w:rFonts w:eastAsia="細明體"/>
        </w:rPr>
      </w:pPr>
    </w:p>
    <w:tbl>
      <w:tblPr>
        <w:tblW w:w="13912" w:type="dxa"/>
        <w:tblInd w:w="108" w:type="dxa"/>
        <w:tblLayout w:type="fixed"/>
        <w:tblLook w:val="0000" w:firstRow="0" w:lastRow="0" w:firstColumn="0" w:lastColumn="0" w:noHBand="0" w:noVBand="0"/>
      </w:tblPr>
      <w:tblGrid>
        <w:gridCol w:w="426"/>
        <w:gridCol w:w="4961"/>
        <w:gridCol w:w="1417"/>
        <w:gridCol w:w="1772"/>
        <w:gridCol w:w="1772"/>
        <w:gridCol w:w="1772"/>
        <w:gridCol w:w="1792"/>
      </w:tblGrid>
      <w:tr w:rsidR="00B364EC" w14:paraId="3F788B82" w14:textId="77777777" w:rsidTr="00B364EC">
        <w:trPr>
          <w:trHeight w:val="315"/>
          <w:tblHeader/>
        </w:trPr>
        <w:tc>
          <w:tcPr>
            <w:tcW w:w="426" w:type="dxa"/>
            <w:shd w:val="clear" w:color="auto" w:fill="FFFFFF"/>
          </w:tcPr>
          <w:p w14:paraId="4B637138" w14:textId="77777777" w:rsidR="00B364EC" w:rsidRDefault="00B364EC" w:rsidP="00B364EC">
            <w:pPr>
              <w:snapToGrid w:val="0"/>
              <w:jc w:val="center"/>
              <w:rPr>
                <w:rFonts w:eastAsia="細明體"/>
                <w:sz w:val="17"/>
              </w:rPr>
            </w:pPr>
          </w:p>
        </w:tc>
        <w:tc>
          <w:tcPr>
            <w:tcW w:w="4961" w:type="dxa"/>
            <w:shd w:val="clear" w:color="auto" w:fill="FFFFFF"/>
            <w:vAlign w:val="center"/>
          </w:tcPr>
          <w:p w14:paraId="40FB58AC" w14:textId="77777777" w:rsidR="00B364EC" w:rsidRDefault="00B364EC" w:rsidP="00B364EC">
            <w:pPr>
              <w:snapToGrid w:val="0"/>
              <w:jc w:val="center"/>
              <w:rPr>
                <w:rFonts w:eastAsia="細明體"/>
                <w:sz w:val="17"/>
              </w:rPr>
            </w:pPr>
          </w:p>
        </w:tc>
        <w:tc>
          <w:tcPr>
            <w:tcW w:w="1417" w:type="dxa"/>
            <w:tcBorders>
              <w:top w:val="single" w:sz="4" w:space="0" w:color="000000"/>
              <w:left w:val="single" w:sz="4" w:space="0" w:color="000000"/>
              <w:bottom w:val="single" w:sz="4" w:space="0" w:color="000000"/>
            </w:tcBorders>
            <w:shd w:val="clear" w:color="auto" w:fill="FFFFFF"/>
            <w:vAlign w:val="center"/>
          </w:tcPr>
          <w:p w14:paraId="05858479" w14:textId="77777777" w:rsidR="00B364EC" w:rsidRDefault="00B364EC" w:rsidP="00B364EC">
            <w:pPr>
              <w:snapToGrid w:val="0"/>
              <w:jc w:val="center"/>
              <w:rPr>
                <w:rFonts w:eastAsia="細明體"/>
                <w:sz w:val="17"/>
              </w:rPr>
            </w:pPr>
            <w:r>
              <w:rPr>
                <w:rFonts w:eastAsia="細明體"/>
                <w:sz w:val="17"/>
              </w:rPr>
              <w:t>(a)</w:t>
            </w:r>
          </w:p>
        </w:tc>
        <w:tc>
          <w:tcPr>
            <w:tcW w:w="1772" w:type="dxa"/>
            <w:tcBorders>
              <w:top w:val="single" w:sz="4" w:space="0" w:color="000000"/>
              <w:left w:val="single" w:sz="4" w:space="0" w:color="000000"/>
              <w:bottom w:val="single" w:sz="4" w:space="0" w:color="000000"/>
            </w:tcBorders>
            <w:shd w:val="clear" w:color="auto" w:fill="FFFFFF"/>
            <w:vAlign w:val="center"/>
          </w:tcPr>
          <w:p w14:paraId="6E37BC18" w14:textId="77777777" w:rsidR="00B364EC" w:rsidRDefault="00B364EC" w:rsidP="00B364EC">
            <w:pPr>
              <w:snapToGrid w:val="0"/>
              <w:jc w:val="center"/>
              <w:rPr>
                <w:rFonts w:eastAsia="細明體"/>
                <w:sz w:val="17"/>
              </w:rPr>
            </w:pPr>
            <w:r>
              <w:rPr>
                <w:rFonts w:eastAsia="細明體"/>
                <w:sz w:val="17"/>
              </w:rPr>
              <w:t>(b)</w:t>
            </w:r>
          </w:p>
        </w:tc>
        <w:tc>
          <w:tcPr>
            <w:tcW w:w="1772" w:type="dxa"/>
            <w:tcBorders>
              <w:top w:val="single" w:sz="4" w:space="0" w:color="000000"/>
              <w:left w:val="single" w:sz="4" w:space="0" w:color="000000"/>
              <w:bottom w:val="single" w:sz="4" w:space="0" w:color="000000"/>
            </w:tcBorders>
            <w:shd w:val="clear" w:color="auto" w:fill="FFFFFF"/>
            <w:vAlign w:val="center"/>
          </w:tcPr>
          <w:p w14:paraId="6B37D004" w14:textId="77777777" w:rsidR="00B364EC" w:rsidRDefault="00B364EC" w:rsidP="00B364EC">
            <w:pPr>
              <w:snapToGrid w:val="0"/>
              <w:jc w:val="center"/>
              <w:rPr>
                <w:rFonts w:eastAsia="細明體"/>
                <w:sz w:val="17"/>
              </w:rPr>
            </w:pPr>
            <w:r>
              <w:rPr>
                <w:rFonts w:eastAsia="細明體"/>
                <w:sz w:val="17"/>
              </w:rPr>
              <w:t>(c)</w:t>
            </w:r>
          </w:p>
        </w:tc>
        <w:tc>
          <w:tcPr>
            <w:tcW w:w="1772" w:type="dxa"/>
            <w:tcBorders>
              <w:top w:val="single" w:sz="4" w:space="0" w:color="000000"/>
              <w:left w:val="single" w:sz="4" w:space="0" w:color="000000"/>
              <w:bottom w:val="single" w:sz="4" w:space="0" w:color="000000"/>
            </w:tcBorders>
            <w:shd w:val="clear" w:color="auto" w:fill="FFFFFF"/>
            <w:vAlign w:val="center"/>
          </w:tcPr>
          <w:p w14:paraId="5734077D" w14:textId="77777777" w:rsidR="00B364EC" w:rsidRDefault="00B364EC" w:rsidP="00B364EC">
            <w:pPr>
              <w:snapToGrid w:val="0"/>
              <w:jc w:val="center"/>
              <w:rPr>
                <w:rFonts w:eastAsia="細明體"/>
                <w:sz w:val="17"/>
              </w:rPr>
            </w:pPr>
            <w:r>
              <w:rPr>
                <w:rFonts w:eastAsia="細明體"/>
                <w:sz w:val="17"/>
              </w:rPr>
              <w:t>(d)</w:t>
            </w:r>
          </w:p>
        </w:tc>
        <w:tc>
          <w:tcPr>
            <w:tcW w:w="17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01EC1" w14:textId="77777777" w:rsidR="00B364EC" w:rsidRDefault="00B364EC" w:rsidP="00B364EC">
            <w:pPr>
              <w:snapToGrid w:val="0"/>
              <w:jc w:val="center"/>
            </w:pPr>
            <w:r>
              <w:rPr>
                <w:rFonts w:eastAsia="細明體"/>
                <w:sz w:val="17"/>
              </w:rPr>
              <w:t>(e)</w:t>
            </w:r>
          </w:p>
        </w:tc>
      </w:tr>
      <w:tr w:rsidR="00B364EC" w14:paraId="11BF59BC" w14:textId="77777777" w:rsidTr="00B364EC">
        <w:trPr>
          <w:trHeight w:val="300"/>
          <w:tblHeader/>
        </w:trPr>
        <w:tc>
          <w:tcPr>
            <w:tcW w:w="426" w:type="dxa"/>
            <w:shd w:val="clear" w:color="auto" w:fill="FFFFFF"/>
          </w:tcPr>
          <w:p w14:paraId="0E8CD951" w14:textId="77777777" w:rsidR="00B364EC" w:rsidRDefault="00B364EC" w:rsidP="00B364EC">
            <w:pPr>
              <w:snapToGrid w:val="0"/>
              <w:rPr>
                <w:rFonts w:eastAsia="細明體"/>
                <w:sz w:val="17"/>
              </w:rPr>
            </w:pPr>
          </w:p>
        </w:tc>
        <w:tc>
          <w:tcPr>
            <w:tcW w:w="4961" w:type="dxa"/>
            <w:shd w:val="clear" w:color="auto" w:fill="FFFFFF"/>
            <w:vAlign w:val="bottom"/>
          </w:tcPr>
          <w:p w14:paraId="4C79AFCC" w14:textId="77777777" w:rsidR="00B364EC" w:rsidRDefault="00B364EC" w:rsidP="00B364EC">
            <w:pPr>
              <w:snapToGrid w:val="0"/>
              <w:rPr>
                <w:rFonts w:eastAsia="細明體"/>
                <w:sz w:val="17"/>
              </w:rPr>
            </w:pP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735A07DD" w14:textId="77777777" w:rsidR="00B364EC" w:rsidRDefault="00B364EC" w:rsidP="00B364EC">
            <w:pPr>
              <w:snapToGrid w:val="0"/>
              <w:jc w:val="center"/>
              <w:rPr>
                <w:rFonts w:eastAsia="細明體"/>
                <w:sz w:val="17"/>
                <w:szCs w:val="17"/>
              </w:rPr>
            </w:pPr>
            <w:proofErr w:type="spellStart"/>
            <w:r>
              <w:rPr>
                <w:rFonts w:eastAsia="細明體" w:hint="eastAsia"/>
                <w:sz w:val="17"/>
              </w:rPr>
              <w:t>總計</w:t>
            </w:r>
            <w:proofErr w:type="spellEnd"/>
          </w:p>
        </w:tc>
        <w:tc>
          <w:tcPr>
            <w:tcW w:w="710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FEC928F" w14:textId="77777777" w:rsidR="00B364EC" w:rsidRDefault="00B364EC" w:rsidP="00B364EC">
            <w:pPr>
              <w:snapToGrid w:val="0"/>
              <w:jc w:val="center"/>
              <w:rPr>
                <w:lang w:eastAsia="zh-TW"/>
              </w:rPr>
            </w:pPr>
            <w:r>
              <w:rPr>
                <w:rFonts w:eastAsia="細明體" w:hint="eastAsia"/>
                <w:sz w:val="17"/>
                <w:szCs w:val="17"/>
                <w:lang w:eastAsia="zh-TW"/>
              </w:rPr>
              <w:t>受</w:t>
            </w:r>
            <w:r>
              <w:rPr>
                <w:rFonts w:eastAsia="細明體" w:hint="eastAsia"/>
                <w:sz w:val="17"/>
                <w:lang w:eastAsia="zh-TW"/>
              </w:rPr>
              <w:t>以下框架</w:t>
            </w:r>
            <w:proofErr w:type="gramStart"/>
            <w:r>
              <w:rPr>
                <w:rFonts w:eastAsia="細明體" w:hint="eastAsia"/>
                <w:sz w:val="17"/>
                <w:lang w:eastAsia="zh-TW"/>
              </w:rPr>
              <w:t>規</w:t>
            </w:r>
            <w:proofErr w:type="gramEnd"/>
            <w:r>
              <w:rPr>
                <w:rFonts w:eastAsia="細明體" w:hint="eastAsia"/>
                <w:sz w:val="17"/>
                <w:szCs w:val="17"/>
                <w:lang w:eastAsia="zh-TW"/>
              </w:rPr>
              <w:t>限</w:t>
            </w:r>
            <w:r>
              <w:rPr>
                <w:rFonts w:eastAsia="細明體" w:hint="eastAsia"/>
                <w:sz w:val="17"/>
                <w:lang w:eastAsia="zh-TW"/>
              </w:rPr>
              <w:t>的項目：</w:t>
            </w:r>
          </w:p>
        </w:tc>
      </w:tr>
      <w:tr w:rsidR="00B364EC" w14:paraId="48770DF0" w14:textId="77777777" w:rsidTr="00B364EC">
        <w:trPr>
          <w:trHeight w:val="300"/>
          <w:tblHeader/>
        </w:trPr>
        <w:tc>
          <w:tcPr>
            <w:tcW w:w="426" w:type="dxa"/>
            <w:tcBorders>
              <w:bottom w:val="single" w:sz="4" w:space="0" w:color="000000"/>
            </w:tcBorders>
            <w:shd w:val="clear" w:color="auto" w:fill="FFFFFF"/>
          </w:tcPr>
          <w:p w14:paraId="74E23658" w14:textId="77777777" w:rsidR="00B364EC" w:rsidRDefault="00B364EC" w:rsidP="00B364EC">
            <w:pPr>
              <w:snapToGrid w:val="0"/>
              <w:jc w:val="center"/>
              <w:rPr>
                <w:rFonts w:eastAsia="細明體"/>
                <w:sz w:val="17"/>
                <w:lang w:eastAsia="zh-TW"/>
              </w:rPr>
            </w:pPr>
          </w:p>
        </w:tc>
        <w:tc>
          <w:tcPr>
            <w:tcW w:w="4961" w:type="dxa"/>
            <w:tcBorders>
              <w:bottom w:val="single" w:sz="4" w:space="0" w:color="000000"/>
            </w:tcBorders>
            <w:shd w:val="clear" w:color="auto" w:fill="FFFFFF"/>
            <w:vAlign w:val="center"/>
          </w:tcPr>
          <w:p w14:paraId="254BBEE3" w14:textId="77777777" w:rsidR="00B364EC" w:rsidRDefault="00B364EC" w:rsidP="00B364EC">
            <w:pPr>
              <w:snapToGrid w:val="0"/>
              <w:jc w:val="center"/>
              <w:rPr>
                <w:rFonts w:eastAsia="細明體"/>
                <w:sz w:val="17"/>
                <w:lang w:eastAsia="zh-TW"/>
              </w:rPr>
            </w:pPr>
          </w:p>
        </w:tc>
        <w:tc>
          <w:tcPr>
            <w:tcW w:w="1417" w:type="dxa"/>
            <w:vMerge/>
            <w:tcBorders>
              <w:top w:val="single" w:sz="4" w:space="0" w:color="000000"/>
              <w:left w:val="single" w:sz="4" w:space="0" w:color="000000"/>
              <w:bottom w:val="single" w:sz="4" w:space="0" w:color="000000"/>
            </w:tcBorders>
            <w:shd w:val="clear" w:color="auto" w:fill="FFFFFF"/>
            <w:vAlign w:val="center"/>
          </w:tcPr>
          <w:p w14:paraId="65E6DA1D" w14:textId="77777777" w:rsidR="00B364EC" w:rsidRDefault="00B364EC" w:rsidP="00B364EC">
            <w:pPr>
              <w:snapToGrid w:val="0"/>
              <w:jc w:val="center"/>
              <w:rPr>
                <w:rFonts w:eastAsia="細明體"/>
                <w:sz w:val="17"/>
                <w:lang w:eastAsia="zh-TW"/>
              </w:rPr>
            </w:pPr>
          </w:p>
        </w:tc>
        <w:tc>
          <w:tcPr>
            <w:tcW w:w="1772" w:type="dxa"/>
            <w:tcBorders>
              <w:top w:val="single" w:sz="4" w:space="0" w:color="000000"/>
              <w:left w:val="single" w:sz="4" w:space="0" w:color="000000"/>
              <w:bottom w:val="single" w:sz="4" w:space="0" w:color="000000"/>
            </w:tcBorders>
            <w:shd w:val="clear" w:color="auto" w:fill="FFFFFF"/>
            <w:vAlign w:val="center"/>
          </w:tcPr>
          <w:p w14:paraId="644A6798" w14:textId="77777777" w:rsidR="00B364EC" w:rsidRDefault="00B364EC" w:rsidP="00B364EC">
            <w:pPr>
              <w:snapToGrid w:val="0"/>
              <w:jc w:val="center"/>
              <w:rPr>
                <w:rFonts w:eastAsia="細明體"/>
                <w:sz w:val="17"/>
              </w:rPr>
            </w:pPr>
            <w:proofErr w:type="spellStart"/>
            <w:r>
              <w:rPr>
                <w:rFonts w:eastAsia="細明體" w:hint="eastAsia"/>
                <w:sz w:val="17"/>
              </w:rPr>
              <w:t>信用風險框架</w:t>
            </w:r>
            <w:proofErr w:type="spellEnd"/>
          </w:p>
        </w:tc>
        <w:tc>
          <w:tcPr>
            <w:tcW w:w="1772" w:type="dxa"/>
            <w:tcBorders>
              <w:top w:val="single" w:sz="4" w:space="0" w:color="000000"/>
              <w:left w:val="single" w:sz="4" w:space="0" w:color="000000"/>
              <w:bottom w:val="single" w:sz="4" w:space="0" w:color="000000"/>
            </w:tcBorders>
            <w:shd w:val="clear" w:color="auto" w:fill="FFFFFF"/>
            <w:vAlign w:val="center"/>
          </w:tcPr>
          <w:p w14:paraId="157522FD" w14:textId="77777777" w:rsidR="00B364EC" w:rsidRDefault="00B364EC" w:rsidP="00B364EC">
            <w:pPr>
              <w:snapToGrid w:val="0"/>
              <w:jc w:val="center"/>
              <w:rPr>
                <w:rFonts w:eastAsia="細明體"/>
                <w:sz w:val="17"/>
              </w:rPr>
            </w:pPr>
            <w:proofErr w:type="spellStart"/>
            <w:r>
              <w:rPr>
                <w:rFonts w:eastAsia="細明體" w:hint="eastAsia"/>
                <w:sz w:val="17"/>
              </w:rPr>
              <w:t>證券化框架</w:t>
            </w:r>
            <w:proofErr w:type="spellEnd"/>
          </w:p>
        </w:tc>
        <w:tc>
          <w:tcPr>
            <w:tcW w:w="1772" w:type="dxa"/>
            <w:tcBorders>
              <w:top w:val="single" w:sz="4" w:space="0" w:color="000000"/>
              <w:left w:val="single" w:sz="4" w:space="0" w:color="000000"/>
              <w:bottom w:val="single" w:sz="4" w:space="0" w:color="000000"/>
            </w:tcBorders>
            <w:shd w:val="clear" w:color="auto" w:fill="FFFFFF"/>
            <w:vAlign w:val="center"/>
          </w:tcPr>
          <w:p w14:paraId="49CC058C" w14:textId="77777777" w:rsidR="00B364EC" w:rsidRDefault="00B364EC" w:rsidP="00B364EC">
            <w:pPr>
              <w:snapToGrid w:val="0"/>
              <w:jc w:val="center"/>
              <w:rPr>
                <w:rFonts w:eastAsia="細明體"/>
                <w:sz w:val="17"/>
              </w:rPr>
            </w:pPr>
            <w:proofErr w:type="spellStart"/>
            <w:r>
              <w:rPr>
                <w:rFonts w:eastAsia="細明體" w:hint="eastAsia"/>
                <w:sz w:val="17"/>
              </w:rPr>
              <w:t>對手方信用風險框架</w:t>
            </w:r>
            <w:proofErr w:type="spellEnd"/>
          </w:p>
        </w:tc>
        <w:tc>
          <w:tcPr>
            <w:tcW w:w="17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DAA32" w14:textId="77777777" w:rsidR="00B364EC" w:rsidRDefault="00B364EC" w:rsidP="00B364EC">
            <w:pPr>
              <w:snapToGrid w:val="0"/>
              <w:jc w:val="center"/>
            </w:pPr>
            <w:proofErr w:type="spellStart"/>
            <w:r>
              <w:rPr>
                <w:rFonts w:eastAsia="細明體" w:hint="eastAsia"/>
                <w:sz w:val="17"/>
              </w:rPr>
              <w:t>市場風險框架</w:t>
            </w:r>
            <w:proofErr w:type="spellEnd"/>
            <w:r>
              <w:rPr>
                <w:rFonts w:eastAsia="細明體" w:hint="eastAsia"/>
                <w:sz w:val="17"/>
                <w:lang w:eastAsia="zh-TW"/>
              </w:rPr>
              <w:t>*</w:t>
            </w:r>
          </w:p>
        </w:tc>
      </w:tr>
      <w:tr w:rsidR="00B364EC" w14:paraId="55CF71AD" w14:textId="77777777" w:rsidTr="00B364EC">
        <w:trPr>
          <w:trHeight w:val="216"/>
        </w:trPr>
        <w:tc>
          <w:tcPr>
            <w:tcW w:w="426" w:type="dxa"/>
            <w:tcBorders>
              <w:top w:val="single" w:sz="4" w:space="0" w:color="000000"/>
              <w:bottom w:val="single" w:sz="4" w:space="0" w:color="C0C0C0"/>
            </w:tcBorders>
            <w:shd w:val="clear" w:color="auto" w:fill="FFFFFF"/>
          </w:tcPr>
          <w:p w14:paraId="1A5E9EDC" w14:textId="77777777" w:rsidR="00B364EC" w:rsidRDefault="00B364EC" w:rsidP="00B364EC">
            <w:pPr>
              <w:snapToGrid w:val="0"/>
              <w:spacing w:before="20" w:after="20"/>
              <w:rPr>
                <w:rFonts w:eastAsia="細明體"/>
                <w:b/>
                <w:sz w:val="17"/>
              </w:rPr>
            </w:pPr>
            <w:r>
              <w:rPr>
                <w:rFonts w:eastAsia="細明體"/>
                <w:b/>
                <w:sz w:val="17"/>
              </w:rPr>
              <w:t>1</w:t>
            </w:r>
          </w:p>
        </w:tc>
        <w:tc>
          <w:tcPr>
            <w:tcW w:w="4961" w:type="dxa"/>
            <w:tcBorders>
              <w:top w:val="single" w:sz="4" w:space="0" w:color="000000"/>
              <w:left w:val="single" w:sz="4" w:space="0" w:color="000000"/>
              <w:bottom w:val="single" w:sz="4" w:space="0" w:color="C0C0C0"/>
            </w:tcBorders>
            <w:shd w:val="clear" w:color="auto" w:fill="FFFFFF"/>
          </w:tcPr>
          <w:p w14:paraId="3B011C43" w14:textId="77777777" w:rsidR="00B364EC" w:rsidRDefault="00B364EC" w:rsidP="00B364EC">
            <w:pPr>
              <w:snapToGrid w:val="0"/>
              <w:spacing w:before="20" w:after="20"/>
              <w:rPr>
                <w:rFonts w:eastAsia="細明體"/>
                <w:sz w:val="17"/>
                <w:lang w:eastAsia="zh-TW"/>
              </w:rPr>
            </w:pPr>
            <w:r>
              <w:rPr>
                <w:rFonts w:eastAsia="細明體" w:hint="eastAsia"/>
                <w:b/>
                <w:sz w:val="17"/>
                <w:lang w:eastAsia="zh-TW"/>
              </w:rPr>
              <w:t>在監管綜合範圍下的資產</w:t>
            </w:r>
            <w:proofErr w:type="gramStart"/>
            <w:r>
              <w:rPr>
                <w:rFonts w:eastAsia="細明體" w:hint="eastAsia"/>
                <w:b/>
                <w:sz w:val="17"/>
                <w:lang w:eastAsia="zh-TW"/>
              </w:rPr>
              <w:t>帳面</w:t>
            </w:r>
            <w:proofErr w:type="gramEnd"/>
            <w:r>
              <w:rPr>
                <w:rFonts w:eastAsia="細明體" w:hint="eastAsia"/>
                <w:b/>
                <w:sz w:val="17"/>
                <w:lang w:eastAsia="zh-TW"/>
              </w:rPr>
              <w:t>值</w:t>
            </w:r>
            <w:r w:rsidRPr="00973246">
              <w:rPr>
                <w:rFonts w:eastAsia="細明體" w:hint="eastAsia"/>
                <w:b/>
                <w:sz w:val="17"/>
                <w:lang w:eastAsia="zh-TW"/>
              </w:rPr>
              <w:t>數額</w:t>
            </w:r>
            <w:r>
              <w:rPr>
                <w:rFonts w:eastAsia="細明體" w:hint="eastAsia"/>
                <w:b/>
                <w:sz w:val="17"/>
                <w:lang w:eastAsia="zh-TW"/>
              </w:rPr>
              <w:t>（按模版</w:t>
            </w:r>
            <w:r>
              <w:rPr>
                <w:rFonts w:eastAsia="細明體"/>
                <w:b/>
                <w:sz w:val="17"/>
                <w:lang w:eastAsia="zh-TW"/>
              </w:rPr>
              <w:t>LI1</w:t>
            </w:r>
            <w:r>
              <w:rPr>
                <w:rFonts w:eastAsia="細明體" w:hint="eastAsia"/>
                <w:b/>
                <w:sz w:val="17"/>
                <w:lang w:eastAsia="zh-TW"/>
              </w:rPr>
              <w:t>）</w:t>
            </w:r>
          </w:p>
        </w:tc>
        <w:tc>
          <w:tcPr>
            <w:tcW w:w="1417" w:type="dxa"/>
            <w:tcBorders>
              <w:top w:val="single" w:sz="4" w:space="0" w:color="000000"/>
              <w:left w:val="single" w:sz="4" w:space="0" w:color="000000"/>
              <w:bottom w:val="single" w:sz="4" w:space="0" w:color="C0C0C0"/>
            </w:tcBorders>
            <w:shd w:val="clear" w:color="auto" w:fill="auto"/>
          </w:tcPr>
          <w:p w14:paraId="34A614FA" w14:textId="77777777" w:rsidR="00B364EC" w:rsidRDefault="00B364EC" w:rsidP="00B364EC">
            <w:pPr>
              <w:snapToGrid w:val="0"/>
              <w:rPr>
                <w:rFonts w:eastAsia="細明體"/>
                <w:sz w:val="17"/>
                <w:lang w:eastAsia="zh-TW"/>
              </w:rPr>
            </w:pPr>
          </w:p>
        </w:tc>
        <w:tc>
          <w:tcPr>
            <w:tcW w:w="1772" w:type="dxa"/>
            <w:tcBorders>
              <w:top w:val="single" w:sz="4" w:space="0" w:color="000000"/>
              <w:left w:val="single" w:sz="4" w:space="0" w:color="000000"/>
              <w:bottom w:val="single" w:sz="4" w:space="0" w:color="C0C0C0"/>
            </w:tcBorders>
            <w:shd w:val="clear" w:color="auto" w:fill="auto"/>
            <w:vAlign w:val="bottom"/>
          </w:tcPr>
          <w:p w14:paraId="627F7E1B" w14:textId="77777777" w:rsidR="00B364EC" w:rsidRDefault="00B364EC" w:rsidP="00B364EC">
            <w:pPr>
              <w:snapToGrid w:val="0"/>
              <w:rPr>
                <w:rFonts w:eastAsia="細明體"/>
                <w:sz w:val="17"/>
                <w:lang w:eastAsia="zh-TW"/>
              </w:rPr>
            </w:pPr>
          </w:p>
        </w:tc>
        <w:tc>
          <w:tcPr>
            <w:tcW w:w="1772" w:type="dxa"/>
            <w:tcBorders>
              <w:top w:val="single" w:sz="4" w:space="0" w:color="000000"/>
              <w:left w:val="single" w:sz="4" w:space="0" w:color="000000"/>
              <w:bottom w:val="single" w:sz="4" w:space="0" w:color="C0C0C0"/>
            </w:tcBorders>
            <w:shd w:val="clear" w:color="auto" w:fill="auto"/>
            <w:vAlign w:val="bottom"/>
          </w:tcPr>
          <w:p w14:paraId="5015AFFE" w14:textId="77777777" w:rsidR="00B364EC" w:rsidRDefault="00B364EC" w:rsidP="00B364EC">
            <w:pPr>
              <w:snapToGrid w:val="0"/>
              <w:rPr>
                <w:rFonts w:eastAsia="細明體"/>
                <w:sz w:val="17"/>
                <w:lang w:eastAsia="zh-TW"/>
              </w:rPr>
            </w:pPr>
          </w:p>
        </w:tc>
        <w:tc>
          <w:tcPr>
            <w:tcW w:w="1772" w:type="dxa"/>
            <w:tcBorders>
              <w:top w:val="single" w:sz="4" w:space="0" w:color="000000"/>
              <w:left w:val="single" w:sz="4" w:space="0" w:color="000000"/>
              <w:bottom w:val="single" w:sz="4" w:space="0" w:color="C0C0C0"/>
            </w:tcBorders>
            <w:shd w:val="clear" w:color="auto" w:fill="auto"/>
            <w:vAlign w:val="bottom"/>
          </w:tcPr>
          <w:p w14:paraId="6B0D8979" w14:textId="77777777" w:rsidR="00B364EC" w:rsidRDefault="00B364EC" w:rsidP="00B364EC">
            <w:pPr>
              <w:snapToGrid w:val="0"/>
              <w:rPr>
                <w:rFonts w:eastAsia="細明體"/>
                <w:sz w:val="17"/>
                <w:lang w:eastAsia="zh-TW"/>
              </w:rPr>
            </w:pPr>
          </w:p>
        </w:tc>
        <w:tc>
          <w:tcPr>
            <w:tcW w:w="1792" w:type="dxa"/>
            <w:tcBorders>
              <w:top w:val="single" w:sz="4" w:space="0" w:color="000000"/>
              <w:left w:val="single" w:sz="4" w:space="0" w:color="000000"/>
              <w:bottom w:val="single" w:sz="4" w:space="0" w:color="C0C0C0"/>
              <w:right w:val="single" w:sz="4" w:space="0" w:color="000000"/>
            </w:tcBorders>
            <w:shd w:val="clear" w:color="auto" w:fill="FFFFFF"/>
            <w:vAlign w:val="bottom"/>
          </w:tcPr>
          <w:p w14:paraId="015FDDDF" w14:textId="77777777" w:rsidR="00B364EC" w:rsidRDefault="00B364EC" w:rsidP="00B364EC">
            <w:pPr>
              <w:snapToGrid w:val="0"/>
              <w:rPr>
                <w:rFonts w:eastAsia="細明體"/>
                <w:sz w:val="17"/>
                <w:lang w:eastAsia="zh-TW"/>
              </w:rPr>
            </w:pPr>
          </w:p>
        </w:tc>
      </w:tr>
      <w:tr w:rsidR="00B364EC" w14:paraId="7148A810" w14:textId="77777777" w:rsidTr="00B364EC">
        <w:trPr>
          <w:trHeight w:val="216"/>
        </w:trPr>
        <w:tc>
          <w:tcPr>
            <w:tcW w:w="426" w:type="dxa"/>
            <w:tcBorders>
              <w:top w:val="single" w:sz="4" w:space="0" w:color="C0C0C0"/>
              <w:bottom w:val="single" w:sz="4" w:space="0" w:color="C0C0C0"/>
            </w:tcBorders>
            <w:shd w:val="clear" w:color="auto" w:fill="FFFFFF"/>
          </w:tcPr>
          <w:p w14:paraId="1248E67F" w14:textId="77777777" w:rsidR="00B364EC" w:rsidRDefault="00B364EC" w:rsidP="00B364EC">
            <w:pPr>
              <w:snapToGrid w:val="0"/>
              <w:spacing w:before="20" w:after="20"/>
              <w:rPr>
                <w:rFonts w:eastAsia="細明體"/>
                <w:sz w:val="17"/>
              </w:rPr>
            </w:pPr>
            <w:r>
              <w:rPr>
                <w:rFonts w:eastAsia="細明體"/>
                <w:sz w:val="17"/>
              </w:rPr>
              <w:t>2</w:t>
            </w:r>
          </w:p>
        </w:tc>
        <w:tc>
          <w:tcPr>
            <w:tcW w:w="4961" w:type="dxa"/>
            <w:tcBorders>
              <w:top w:val="single" w:sz="4" w:space="0" w:color="C0C0C0"/>
              <w:left w:val="single" w:sz="4" w:space="0" w:color="000000"/>
              <w:bottom w:val="single" w:sz="4" w:space="0" w:color="C0C0C0"/>
            </w:tcBorders>
            <w:shd w:val="clear" w:color="auto" w:fill="FFFFFF"/>
          </w:tcPr>
          <w:p w14:paraId="11BF639E" w14:textId="77777777" w:rsidR="00B364EC" w:rsidRDefault="00B364EC" w:rsidP="00B364EC">
            <w:pPr>
              <w:snapToGrid w:val="0"/>
              <w:spacing w:before="20" w:after="20"/>
              <w:rPr>
                <w:rFonts w:eastAsia="細明體"/>
                <w:sz w:val="17"/>
                <w:lang w:eastAsia="zh-TW"/>
              </w:rPr>
            </w:pPr>
            <w:r>
              <w:rPr>
                <w:rFonts w:eastAsia="細明體" w:hint="eastAsia"/>
                <w:sz w:val="17"/>
                <w:lang w:eastAsia="zh-TW"/>
              </w:rPr>
              <w:t>在監管綜合範圍下的負債</w:t>
            </w:r>
            <w:proofErr w:type="gramStart"/>
            <w:r>
              <w:rPr>
                <w:rFonts w:eastAsia="細明體" w:hint="eastAsia"/>
                <w:sz w:val="17"/>
                <w:lang w:eastAsia="zh-TW"/>
              </w:rPr>
              <w:t>帳面</w:t>
            </w:r>
            <w:proofErr w:type="gramEnd"/>
            <w:r>
              <w:rPr>
                <w:rFonts w:eastAsia="細明體" w:hint="eastAsia"/>
                <w:sz w:val="17"/>
                <w:lang w:eastAsia="zh-TW"/>
              </w:rPr>
              <w:t>值</w:t>
            </w:r>
            <w:r w:rsidRPr="006C3E8E">
              <w:rPr>
                <w:rFonts w:eastAsia="細明體" w:hint="eastAsia"/>
                <w:sz w:val="17"/>
                <w:lang w:eastAsia="zh-TW"/>
              </w:rPr>
              <w:t>數額</w:t>
            </w:r>
            <w:r>
              <w:rPr>
                <w:rFonts w:eastAsia="細明體" w:hint="eastAsia"/>
                <w:sz w:val="17"/>
                <w:lang w:eastAsia="zh-TW"/>
              </w:rPr>
              <w:t>（按模版</w:t>
            </w:r>
            <w:r>
              <w:rPr>
                <w:rFonts w:eastAsia="細明體"/>
                <w:sz w:val="17"/>
                <w:lang w:eastAsia="zh-TW"/>
              </w:rPr>
              <w:t>LI1</w:t>
            </w:r>
            <w:r>
              <w:rPr>
                <w:rFonts w:eastAsia="細明體" w:hint="eastAsia"/>
                <w:sz w:val="17"/>
                <w:lang w:eastAsia="zh-TW"/>
              </w:rPr>
              <w:t>）</w:t>
            </w:r>
          </w:p>
        </w:tc>
        <w:tc>
          <w:tcPr>
            <w:tcW w:w="1417" w:type="dxa"/>
            <w:tcBorders>
              <w:top w:val="single" w:sz="4" w:space="0" w:color="C0C0C0"/>
              <w:left w:val="single" w:sz="4" w:space="0" w:color="000000"/>
              <w:bottom w:val="single" w:sz="4" w:space="0" w:color="C0C0C0"/>
            </w:tcBorders>
            <w:shd w:val="clear" w:color="auto" w:fill="auto"/>
          </w:tcPr>
          <w:p w14:paraId="765D50D4"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74F2CA33"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21440A07"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4A417FFD" w14:textId="77777777" w:rsidR="00B364EC" w:rsidRDefault="00B364EC" w:rsidP="00B364EC">
            <w:pPr>
              <w:snapToGrid w:val="0"/>
              <w:rPr>
                <w:rFonts w:eastAsia="細明體"/>
                <w:sz w:val="17"/>
                <w:lang w:eastAsia="zh-TW"/>
              </w:rPr>
            </w:pPr>
          </w:p>
        </w:tc>
        <w:tc>
          <w:tcPr>
            <w:tcW w:w="1792" w:type="dxa"/>
            <w:tcBorders>
              <w:top w:val="single" w:sz="4" w:space="0" w:color="C0C0C0"/>
              <w:left w:val="single" w:sz="4" w:space="0" w:color="000000"/>
              <w:bottom w:val="single" w:sz="4" w:space="0" w:color="C0C0C0"/>
              <w:right w:val="single" w:sz="4" w:space="0" w:color="000000"/>
            </w:tcBorders>
            <w:shd w:val="clear" w:color="auto" w:fill="FFFFFF"/>
            <w:vAlign w:val="bottom"/>
          </w:tcPr>
          <w:p w14:paraId="4DD7F7C2" w14:textId="77777777" w:rsidR="00B364EC" w:rsidRDefault="00B364EC" w:rsidP="00B364EC">
            <w:pPr>
              <w:snapToGrid w:val="0"/>
              <w:rPr>
                <w:rFonts w:eastAsia="細明體"/>
                <w:sz w:val="17"/>
                <w:lang w:eastAsia="zh-TW"/>
              </w:rPr>
            </w:pPr>
          </w:p>
        </w:tc>
      </w:tr>
      <w:tr w:rsidR="00B364EC" w14:paraId="67B25058" w14:textId="77777777" w:rsidTr="00B364EC">
        <w:trPr>
          <w:trHeight w:val="216"/>
        </w:trPr>
        <w:tc>
          <w:tcPr>
            <w:tcW w:w="426" w:type="dxa"/>
            <w:tcBorders>
              <w:top w:val="single" w:sz="4" w:space="0" w:color="C0C0C0"/>
              <w:bottom w:val="single" w:sz="4" w:space="0" w:color="C0C0C0"/>
            </w:tcBorders>
            <w:shd w:val="clear" w:color="auto" w:fill="FFFFFF"/>
          </w:tcPr>
          <w:p w14:paraId="0B645ECF" w14:textId="77777777" w:rsidR="00B364EC" w:rsidRDefault="00B364EC" w:rsidP="00B364EC">
            <w:pPr>
              <w:snapToGrid w:val="0"/>
              <w:spacing w:before="20" w:after="20"/>
              <w:rPr>
                <w:rFonts w:eastAsia="細明體"/>
                <w:sz w:val="17"/>
              </w:rPr>
            </w:pPr>
            <w:r>
              <w:rPr>
                <w:rFonts w:eastAsia="細明體"/>
                <w:sz w:val="17"/>
              </w:rPr>
              <w:t>3</w:t>
            </w:r>
          </w:p>
        </w:tc>
        <w:tc>
          <w:tcPr>
            <w:tcW w:w="4961" w:type="dxa"/>
            <w:tcBorders>
              <w:top w:val="single" w:sz="4" w:space="0" w:color="C0C0C0"/>
              <w:left w:val="single" w:sz="4" w:space="0" w:color="000000"/>
              <w:bottom w:val="single" w:sz="4" w:space="0" w:color="C0C0C0"/>
            </w:tcBorders>
            <w:shd w:val="clear" w:color="auto" w:fill="FFFFFF"/>
          </w:tcPr>
          <w:p w14:paraId="2495DB61" w14:textId="77777777" w:rsidR="00B364EC" w:rsidRDefault="00B364EC" w:rsidP="00B364EC">
            <w:pPr>
              <w:snapToGrid w:val="0"/>
              <w:spacing w:before="20" w:after="20"/>
              <w:rPr>
                <w:rFonts w:eastAsia="細明體"/>
                <w:sz w:val="17"/>
                <w:lang w:eastAsia="zh-TW"/>
              </w:rPr>
            </w:pPr>
            <w:r>
              <w:rPr>
                <w:rFonts w:eastAsia="細明體" w:hint="eastAsia"/>
                <w:sz w:val="17"/>
                <w:lang w:eastAsia="zh-TW"/>
              </w:rPr>
              <w:t>在監管綜合範圍下的總計淨額</w:t>
            </w:r>
          </w:p>
        </w:tc>
        <w:tc>
          <w:tcPr>
            <w:tcW w:w="1417" w:type="dxa"/>
            <w:tcBorders>
              <w:top w:val="single" w:sz="4" w:space="0" w:color="C0C0C0"/>
              <w:left w:val="single" w:sz="4" w:space="0" w:color="000000"/>
              <w:bottom w:val="single" w:sz="4" w:space="0" w:color="C0C0C0"/>
            </w:tcBorders>
            <w:shd w:val="clear" w:color="auto" w:fill="auto"/>
          </w:tcPr>
          <w:p w14:paraId="240DEA36"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44DEE884"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368AF40F"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0BC1B0B4" w14:textId="77777777" w:rsidR="00B364EC" w:rsidRDefault="00B364EC" w:rsidP="00B364EC">
            <w:pPr>
              <w:snapToGrid w:val="0"/>
              <w:rPr>
                <w:rFonts w:eastAsia="細明體"/>
                <w:sz w:val="17"/>
                <w:lang w:eastAsia="zh-TW"/>
              </w:rPr>
            </w:pPr>
          </w:p>
        </w:tc>
        <w:tc>
          <w:tcPr>
            <w:tcW w:w="1792" w:type="dxa"/>
            <w:tcBorders>
              <w:top w:val="single" w:sz="4" w:space="0" w:color="C0C0C0"/>
              <w:left w:val="single" w:sz="4" w:space="0" w:color="000000"/>
              <w:bottom w:val="single" w:sz="4" w:space="0" w:color="C0C0C0"/>
              <w:right w:val="single" w:sz="4" w:space="0" w:color="000000"/>
            </w:tcBorders>
            <w:shd w:val="clear" w:color="auto" w:fill="FFFFFF"/>
            <w:vAlign w:val="bottom"/>
          </w:tcPr>
          <w:p w14:paraId="20A4A749" w14:textId="77777777" w:rsidR="00B364EC" w:rsidRDefault="00B364EC" w:rsidP="00B364EC">
            <w:pPr>
              <w:snapToGrid w:val="0"/>
              <w:rPr>
                <w:rFonts w:eastAsia="細明體"/>
                <w:sz w:val="17"/>
                <w:lang w:eastAsia="zh-TW"/>
              </w:rPr>
            </w:pPr>
          </w:p>
        </w:tc>
      </w:tr>
      <w:tr w:rsidR="00B364EC" w14:paraId="2951135C" w14:textId="77777777" w:rsidTr="00966C90">
        <w:trPr>
          <w:trHeight w:val="216"/>
        </w:trPr>
        <w:tc>
          <w:tcPr>
            <w:tcW w:w="426" w:type="dxa"/>
            <w:tcBorders>
              <w:top w:val="single" w:sz="4" w:space="0" w:color="C0C0C0"/>
              <w:bottom w:val="single" w:sz="4" w:space="0" w:color="C0C0C0"/>
            </w:tcBorders>
            <w:shd w:val="clear" w:color="auto" w:fill="FFFFFF"/>
          </w:tcPr>
          <w:p w14:paraId="3EC11BFB" w14:textId="77777777" w:rsidR="00B364EC" w:rsidRDefault="00B364EC" w:rsidP="00B364EC">
            <w:pPr>
              <w:snapToGrid w:val="0"/>
              <w:spacing w:before="20" w:after="20"/>
              <w:rPr>
                <w:rFonts w:eastAsia="細明體"/>
                <w:sz w:val="17"/>
              </w:rPr>
            </w:pPr>
            <w:r>
              <w:rPr>
                <w:rFonts w:eastAsia="細明體"/>
                <w:sz w:val="17"/>
              </w:rPr>
              <w:t>4</w:t>
            </w:r>
          </w:p>
        </w:tc>
        <w:tc>
          <w:tcPr>
            <w:tcW w:w="4961" w:type="dxa"/>
            <w:tcBorders>
              <w:top w:val="single" w:sz="4" w:space="0" w:color="C0C0C0"/>
              <w:left w:val="single" w:sz="4" w:space="0" w:color="000000"/>
              <w:bottom w:val="single" w:sz="4" w:space="0" w:color="C0C0C0"/>
            </w:tcBorders>
            <w:shd w:val="clear" w:color="auto" w:fill="FFFFFF"/>
          </w:tcPr>
          <w:p w14:paraId="115B4820" w14:textId="77777777" w:rsidR="00B364EC" w:rsidRDefault="00B364EC" w:rsidP="00B364EC">
            <w:pPr>
              <w:snapToGrid w:val="0"/>
              <w:spacing w:before="20" w:after="20"/>
              <w:rPr>
                <w:rFonts w:eastAsia="細明體"/>
                <w:sz w:val="17"/>
              </w:rPr>
            </w:pPr>
            <w:proofErr w:type="spellStart"/>
            <w:r>
              <w:rPr>
                <w:rFonts w:eastAsia="細明體" w:hint="eastAsia"/>
                <w:sz w:val="17"/>
              </w:rPr>
              <w:t>資產負債表外數額</w:t>
            </w:r>
            <w:proofErr w:type="spellEnd"/>
          </w:p>
        </w:tc>
        <w:tc>
          <w:tcPr>
            <w:tcW w:w="1417" w:type="dxa"/>
            <w:tcBorders>
              <w:top w:val="single" w:sz="4" w:space="0" w:color="C0C0C0"/>
              <w:left w:val="single" w:sz="4" w:space="0" w:color="000000"/>
              <w:bottom w:val="single" w:sz="4" w:space="0" w:color="C0C0C0"/>
            </w:tcBorders>
            <w:shd w:val="clear" w:color="auto" w:fill="auto"/>
          </w:tcPr>
          <w:p w14:paraId="75EAA23A"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455E8A86"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56F50F78"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125F51CD" w14:textId="77777777" w:rsidR="00B364EC" w:rsidRDefault="00B364EC" w:rsidP="00B364EC">
            <w:pPr>
              <w:snapToGrid w:val="0"/>
              <w:rPr>
                <w:rFonts w:eastAsia="細明體"/>
                <w:sz w:val="17"/>
              </w:rPr>
            </w:pPr>
          </w:p>
        </w:tc>
        <w:tc>
          <w:tcPr>
            <w:tcW w:w="1792" w:type="dxa"/>
            <w:tcBorders>
              <w:top w:val="single" w:sz="4" w:space="0" w:color="C0C0C0"/>
              <w:left w:val="single" w:sz="4" w:space="0" w:color="000000"/>
              <w:bottom w:val="single" w:sz="4" w:space="0" w:color="C0C0C0"/>
              <w:right w:val="single" w:sz="4" w:space="0" w:color="000000"/>
            </w:tcBorders>
            <w:shd w:val="clear" w:color="auto" w:fill="BFBFBF" w:themeFill="background1" w:themeFillShade="BF"/>
            <w:vAlign w:val="bottom"/>
          </w:tcPr>
          <w:p w14:paraId="6DD1EBD4" w14:textId="77777777" w:rsidR="00B364EC" w:rsidRDefault="00B364EC" w:rsidP="00B364EC">
            <w:pPr>
              <w:snapToGrid w:val="0"/>
              <w:rPr>
                <w:rFonts w:eastAsia="細明體"/>
                <w:sz w:val="17"/>
              </w:rPr>
            </w:pPr>
          </w:p>
        </w:tc>
      </w:tr>
      <w:tr w:rsidR="00B364EC" w14:paraId="6C98ECCB" w14:textId="77777777" w:rsidTr="00966C90">
        <w:trPr>
          <w:trHeight w:val="216"/>
        </w:trPr>
        <w:tc>
          <w:tcPr>
            <w:tcW w:w="426" w:type="dxa"/>
            <w:tcBorders>
              <w:top w:val="single" w:sz="4" w:space="0" w:color="C0C0C0"/>
              <w:bottom w:val="single" w:sz="4" w:space="0" w:color="C0C0C0"/>
            </w:tcBorders>
            <w:shd w:val="clear" w:color="auto" w:fill="FFFFFF"/>
          </w:tcPr>
          <w:p w14:paraId="26608744" w14:textId="77777777" w:rsidR="00B364EC" w:rsidRPr="00910758" w:rsidRDefault="00B364EC" w:rsidP="00B364EC">
            <w:pPr>
              <w:snapToGrid w:val="0"/>
              <w:spacing w:before="20" w:after="20"/>
              <w:rPr>
                <w:rFonts w:eastAsia="細明體"/>
                <w:sz w:val="17"/>
              </w:rPr>
            </w:pPr>
            <w:r>
              <w:rPr>
                <w:rFonts w:eastAsia="細明體"/>
                <w:sz w:val="17"/>
              </w:rPr>
              <w:t>5</w:t>
            </w:r>
          </w:p>
        </w:tc>
        <w:tc>
          <w:tcPr>
            <w:tcW w:w="4961" w:type="dxa"/>
            <w:tcBorders>
              <w:top w:val="single" w:sz="4" w:space="0" w:color="C0C0C0"/>
              <w:left w:val="single" w:sz="4" w:space="0" w:color="000000"/>
              <w:bottom w:val="single" w:sz="4" w:space="0" w:color="C0C0C0"/>
            </w:tcBorders>
            <w:shd w:val="clear" w:color="auto" w:fill="FFFFFF"/>
          </w:tcPr>
          <w:p w14:paraId="6032032F" w14:textId="77777777" w:rsidR="00B364EC" w:rsidRDefault="00B364EC" w:rsidP="00B364EC">
            <w:pPr>
              <w:snapToGrid w:val="0"/>
              <w:spacing w:before="20" w:after="20"/>
              <w:rPr>
                <w:rFonts w:eastAsia="細明體"/>
                <w:sz w:val="17"/>
              </w:rPr>
            </w:pPr>
            <w:proofErr w:type="spellStart"/>
            <w:r>
              <w:rPr>
                <w:rFonts w:eastAsia="細明體" w:hint="eastAsia"/>
                <w:i/>
                <w:sz w:val="17"/>
              </w:rPr>
              <w:t>估值差額</w:t>
            </w:r>
            <w:proofErr w:type="spellEnd"/>
            <w:r>
              <w:rPr>
                <w:rFonts w:eastAsia="細明體"/>
                <w:i/>
                <w:sz w:val="17"/>
              </w:rPr>
              <w:t xml:space="preserve"> </w:t>
            </w:r>
          </w:p>
        </w:tc>
        <w:tc>
          <w:tcPr>
            <w:tcW w:w="1417" w:type="dxa"/>
            <w:tcBorders>
              <w:top w:val="single" w:sz="4" w:space="0" w:color="C0C0C0"/>
              <w:left w:val="single" w:sz="4" w:space="0" w:color="000000"/>
              <w:bottom w:val="single" w:sz="4" w:space="0" w:color="C0C0C0"/>
            </w:tcBorders>
            <w:shd w:val="clear" w:color="auto" w:fill="auto"/>
          </w:tcPr>
          <w:p w14:paraId="79B106D9"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1760BECD"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75847DA2"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76D4B4C5" w14:textId="77777777" w:rsidR="00B364EC" w:rsidRDefault="00B364EC" w:rsidP="00B364EC">
            <w:pPr>
              <w:snapToGrid w:val="0"/>
              <w:rPr>
                <w:rFonts w:eastAsia="細明體"/>
                <w:sz w:val="17"/>
              </w:rPr>
            </w:pPr>
          </w:p>
        </w:tc>
        <w:tc>
          <w:tcPr>
            <w:tcW w:w="1792" w:type="dxa"/>
            <w:tcBorders>
              <w:top w:val="single" w:sz="4" w:space="0" w:color="C0C0C0"/>
              <w:left w:val="single" w:sz="4" w:space="0" w:color="000000"/>
              <w:bottom w:val="single" w:sz="4" w:space="0" w:color="C0C0C0"/>
              <w:right w:val="single" w:sz="4" w:space="0" w:color="000000"/>
            </w:tcBorders>
            <w:shd w:val="clear" w:color="auto" w:fill="BFBFBF" w:themeFill="background1" w:themeFillShade="BF"/>
            <w:vAlign w:val="bottom"/>
          </w:tcPr>
          <w:p w14:paraId="5927F2C2" w14:textId="77777777" w:rsidR="00B364EC" w:rsidRDefault="00B364EC" w:rsidP="00B364EC">
            <w:pPr>
              <w:snapToGrid w:val="0"/>
              <w:rPr>
                <w:rFonts w:eastAsia="細明體"/>
                <w:sz w:val="17"/>
              </w:rPr>
            </w:pPr>
          </w:p>
        </w:tc>
      </w:tr>
      <w:tr w:rsidR="00B364EC" w14:paraId="032DB107" w14:textId="77777777" w:rsidTr="00966C90">
        <w:trPr>
          <w:trHeight w:val="216"/>
        </w:trPr>
        <w:tc>
          <w:tcPr>
            <w:tcW w:w="426" w:type="dxa"/>
            <w:tcBorders>
              <w:top w:val="single" w:sz="4" w:space="0" w:color="C0C0C0"/>
              <w:bottom w:val="single" w:sz="4" w:space="0" w:color="C0C0C0"/>
            </w:tcBorders>
            <w:shd w:val="clear" w:color="auto" w:fill="FFFFFF"/>
          </w:tcPr>
          <w:p w14:paraId="41C10C4D" w14:textId="77777777" w:rsidR="00B364EC" w:rsidRPr="00910758" w:rsidRDefault="00B364EC" w:rsidP="00B364EC">
            <w:pPr>
              <w:snapToGrid w:val="0"/>
              <w:spacing w:before="20" w:after="20"/>
              <w:rPr>
                <w:rFonts w:eastAsia="細明體"/>
                <w:sz w:val="17"/>
              </w:rPr>
            </w:pPr>
            <w:r>
              <w:rPr>
                <w:rFonts w:eastAsia="細明體"/>
                <w:sz w:val="17"/>
              </w:rPr>
              <w:t>6</w:t>
            </w:r>
          </w:p>
        </w:tc>
        <w:tc>
          <w:tcPr>
            <w:tcW w:w="4961" w:type="dxa"/>
            <w:tcBorders>
              <w:top w:val="single" w:sz="4" w:space="0" w:color="C0C0C0"/>
              <w:left w:val="single" w:sz="4" w:space="0" w:color="000000"/>
              <w:bottom w:val="single" w:sz="4" w:space="0" w:color="C0C0C0"/>
            </w:tcBorders>
            <w:shd w:val="clear" w:color="auto" w:fill="FFFFFF"/>
          </w:tcPr>
          <w:p w14:paraId="2601B6D2" w14:textId="77777777" w:rsidR="00B364EC" w:rsidRDefault="00B364EC" w:rsidP="00B364EC">
            <w:pPr>
              <w:snapToGrid w:val="0"/>
              <w:spacing w:before="20" w:after="20"/>
              <w:rPr>
                <w:rFonts w:eastAsia="細明體"/>
                <w:sz w:val="17"/>
                <w:lang w:eastAsia="zh-TW"/>
              </w:rPr>
            </w:pPr>
            <w:r>
              <w:rPr>
                <w:rFonts w:eastAsia="細明體" w:hint="eastAsia"/>
                <w:i/>
                <w:sz w:val="17"/>
                <w:lang w:eastAsia="zh-TW"/>
              </w:rPr>
              <w:t>因不同的淨額計算規則所引致的差額（已列入第</w:t>
            </w:r>
            <w:r>
              <w:rPr>
                <w:rFonts w:eastAsia="細明體"/>
                <w:i/>
                <w:sz w:val="17"/>
                <w:lang w:eastAsia="zh-TW"/>
              </w:rPr>
              <w:t>2</w:t>
            </w:r>
            <w:r>
              <w:rPr>
                <w:rFonts w:eastAsia="細明體" w:hint="eastAsia"/>
                <w:i/>
                <w:sz w:val="17"/>
                <w:lang w:eastAsia="zh-TW"/>
              </w:rPr>
              <w:t>行的差額除外）</w:t>
            </w:r>
          </w:p>
        </w:tc>
        <w:tc>
          <w:tcPr>
            <w:tcW w:w="1417" w:type="dxa"/>
            <w:tcBorders>
              <w:top w:val="single" w:sz="4" w:space="0" w:color="C0C0C0"/>
              <w:left w:val="single" w:sz="4" w:space="0" w:color="000000"/>
              <w:bottom w:val="single" w:sz="4" w:space="0" w:color="C0C0C0"/>
            </w:tcBorders>
            <w:shd w:val="clear" w:color="auto" w:fill="auto"/>
          </w:tcPr>
          <w:p w14:paraId="2ACF6FC1"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72FF144E"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3EBAE255"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2289A33C" w14:textId="77777777" w:rsidR="00B364EC" w:rsidRDefault="00B364EC" w:rsidP="00B364EC">
            <w:pPr>
              <w:snapToGrid w:val="0"/>
              <w:rPr>
                <w:rFonts w:eastAsia="細明體"/>
                <w:sz w:val="17"/>
                <w:lang w:eastAsia="zh-TW"/>
              </w:rPr>
            </w:pPr>
          </w:p>
        </w:tc>
        <w:tc>
          <w:tcPr>
            <w:tcW w:w="1792" w:type="dxa"/>
            <w:tcBorders>
              <w:top w:val="single" w:sz="4" w:space="0" w:color="C0C0C0"/>
              <w:left w:val="single" w:sz="4" w:space="0" w:color="000000"/>
              <w:bottom w:val="single" w:sz="4" w:space="0" w:color="C0C0C0"/>
              <w:right w:val="single" w:sz="4" w:space="0" w:color="000000"/>
            </w:tcBorders>
            <w:shd w:val="clear" w:color="auto" w:fill="BFBFBF" w:themeFill="background1" w:themeFillShade="BF"/>
            <w:vAlign w:val="bottom"/>
          </w:tcPr>
          <w:p w14:paraId="1547EBCC" w14:textId="77777777" w:rsidR="00B364EC" w:rsidRDefault="00B364EC" w:rsidP="00B364EC">
            <w:pPr>
              <w:snapToGrid w:val="0"/>
              <w:rPr>
                <w:rFonts w:eastAsia="細明體"/>
                <w:sz w:val="17"/>
                <w:lang w:eastAsia="zh-TW"/>
              </w:rPr>
            </w:pPr>
          </w:p>
        </w:tc>
      </w:tr>
      <w:tr w:rsidR="00B364EC" w14:paraId="2619FC5A" w14:textId="77777777" w:rsidTr="00966C90">
        <w:trPr>
          <w:trHeight w:val="216"/>
        </w:trPr>
        <w:tc>
          <w:tcPr>
            <w:tcW w:w="426" w:type="dxa"/>
            <w:tcBorders>
              <w:top w:val="single" w:sz="4" w:space="0" w:color="C0C0C0"/>
              <w:bottom w:val="single" w:sz="4" w:space="0" w:color="C0C0C0"/>
            </w:tcBorders>
            <w:shd w:val="clear" w:color="auto" w:fill="FFFFFF"/>
          </w:tcPr>
          <w:p w14:paraId="0AED0AB3" w14:textId="77777777" w:rsidR="00B364EC" w:rsidRPr="00910758" w:rsidRDefault="00B364EC" w:rsidP="00B364EC">
            <w:pPr>
              <w:snapToGrid w:val="0"/>
              <w:spacing w:before="20" w:after="20"/>
              <w:rPr>
                <w:rFonts w:eastAsia="細明體"/>
                <w:sz w:val="17"/>
              </w:rPr>
            </w:pPr>
            <w:r>
              <w:rPr>
                <w:rFonts w:eastAsia="細明體"/>
                <w:sz w:val="17"/>
              </w:rPr>
              <w:t>7</w:t>
            </w:r>
          </w:p>
        </w:tc>
        <w:tc>
          <w:tcPr>
            <w:tcW w:w="4961" w:type="dxa"/>
            <w:tcBorders>
              <w:top w:val="single" w:sz="4" w:space="0" w:color="C0C0C0"/>
              <w:left w:val="single" w:sz="4" w:space="0" w:color="000000"/>
              <w:bottom w:val="single" w:sz="4" w:space="0" w:color="C0C0C0"/>
            </w:tcBorders>
            <w:shd w:val="clear" w:color="auto" w:fill="FFFFFF"/>
          </w:tcPr>
          <w:p w14:paraId="42C02E80" w14:textId="77777777" w:rsidR="00B364EC" w:rsidRDefault="00B364EC" w:rsidP="00B364EC">
            <w:pPr>
              <w:snapToGrid w:val="0"/>
              <w:spacing w:before="20" w:after="20"/>
              <w:rPr>
                <w:rFonts w:eastAsia="細明體"/>
                <w:sz w:val="17"/>
                <w:lang w:eastAsia="zh-TW"/>
              </w:rPr>
            </w:pPr>
            <w:r>
              <w:rPr>
                <w:rFonts w:eastAsia="細明體" w:hint="eastAsia"/>
                <w:i/>
                <w:sz w:val="17"/>
                <w:lang w:eastAsia="zh-TW"/>
              </w:rPr>
              <w:t>因準備金的考慮所引致的差額</w:t>
            </w:r>
          </w:p>
        </w:tc>
        <w:tc>
          <w:tcPr>
            <w:tcW w:w="1417" w:type="dxa"/>
            <w:tcBorders>
              <w:top w:val="single" w:sz="4" w:space="0" w:color="C0C0C0"/>
              <w:left w:val="single" w:sz="4" w:space="0" w:color="000000"/>
              <w:bottom w:val="single" w:sz="4" w:space="0" w:color="C0C0C0"/>
            </w:tcBorders>
            <w:shd w:val="clear" w:color="auto" w:fill="auto"/>
          </w:tcPr>
          <w:p w14:paraId="61C4BB2E"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534DCAB2"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6A65F996"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6524D10C" w14:textId="77777777" w:rsidR="00B364EC" w:rsidRDefault="00B364EC" w:rsidP="00B364EC">
            <w:pPr>
              <w:snapToGrid w:val="0"/>
              <w:rPr>
                <w:rFonts w:eastAsia="細明體"/>
                <w:sz w:val="17"/>
                <w:lang w:eastAsia="zh-TW"/>
              </w:rPr>
            </w:pPr>
          </w:p>
        </w:tc>
        <w:tc>
          <w:tcPr>
            <w:tcW w:w="1792" w:type="dxa"/>
            <w:tcBorders>
              <w:top w:val="single" w:sz="4" w:space="0" w:color="C0C0C0"/>
              <w:left w:val="single" w:sz="4" w:space="0" w:color="000000"/>
              <w:bottom w:val="single" w:sz="4" w:space="0" w:color="C0C0C0"/>
              <w:right w:val="single" w:sz="4" w:space="0" w:color="000000"/>
            </w:tcBorders>
            <w:shd w:val="clear" w:color="auto" w:fill="BFBFBF" w:themeFill="background1" w:themeFillShade="BF"/>
            <w:vAlign w:val="bottom"/>
          </w:tcPr>
          <w:p w14:paraId="5074A63B" w14:textId="77777777" w:rsidR="00B364EC" w:rsidRDefault="00B364EC" w:rsidP="00B364EC">
            <w:pPr>
              <w:snapToGrid w:val="0"/>
              <w:rPr>
                <w:rFonts w:eastAsia="細明體"/>
                <w:sz w:val="17"/>
                <w:lang w:eastAsia="zh-TW"/>
              </w:rPr>
            </w:pPr>
          </w:p>
        </w:tc>
      </w:tr>
      <w:tr w:rsidR="00B364EC" w14:paraId="5D9A1492" w14:textId="77777777" w:rsidTr="00966C90">
        <w:trPr>
          <w:trHeight w:val="216"/>
        </w:trPr>
        <w:tc>
          <w:tcPr>
            <w:tcW w:w="426" w:type="dxa"/>
            <w:tcBorders>
              <w:top w:val="single" w:sz="4" w:space="0" w:color="C0C0C0"/>
              <w:bottom w:val="single" w:sz="4" w:space="0" w:color="C0C0C0"/>
            </w:tcBorders>
            <w:shd w:val="clear" w:color="auto" w:fill="FFFFFF"/>
          </w:tcPr>
          <w:p w14:paraId="4DF2D725" w14:textId="77777777" w:rsidR="00B364EC" w:rsidRDefault="00B364EC" w:rsidP="00B364EC">
            <w:pPr>
              <w:snapToGrid w:val="0"/>
              <w:spacing w:before="20" w:after="20"/>
              <w:rPr>
                <w:rFonts w:eastAsia="細明體"/>
                <w:i/>
                <w:sz w:val="17"/>
              </w:rPr>
            </w:pPr>
            <w:r>
              <w:rPr>
                <w:rFonts w:eastAsia="細明體"/>
                <w:sz w:val="17"/>
              </w:rPr>
              <w:t>8</w:t>
            </w:r>
          </w:p>
        </w:tc>
        <w:tc>
          <w:tcPr>
            <w:tcW w:w="4961" w:type="dxa"/>
            <w:tcBorders>
              <w:top w:val="single" w:sz="4" w:space="0" w:color="C0C0C0"/>
              <w:left w:val="single" w:sz="4" w:space="0" w:color="000000"/>
              <w:bottom w:val="single" w:sz="4" w:space="0" w:color="C0C0C0"/>
            </w:tcBorders>
            <w:shd w:val="clear" w:color="auto" w:fill="FFFFFF"/>
          </w:tcPr>
          <w:p w14:paraId="78348719" w14:textId="77777777" w:rsidR="00B364EC" w:rsidRDefault="00B364EC" w:rsidP="00B364EC">
            <w:pPr>
              <w:snapToGrid w:val="0"/>
              <w:spacing w:before="20" w:after="20"/>
              <w:rPr>
                <w:rFonts w:eastAsia="細明體"/>
                <w:sz w:val="17"/>
                <w:lang w:eastAsia="zh-TW"/>
              </w:rPr>
            </w:pPr>
            <w:r>
              <w:rPr>
                <w:rFonts w:eastAsia="細明體" w:hint="eastAsia"/>
                <w:i/>
                <w:sz w:val="17"/>
                <w:lang w:eastAsia="zh-TW"/>
              </w:rPr>
              <w:t>因審慎監管篩選調整所引致的差額</w:t>
            </w:r>
          </w:p>
        </w:tc>
        <w:tc>
          <w:tcPr>
            <w:tcW w:w="1417" w:type="dxa"/>
            <w:tcBorders>
              <w:top w:val="single" w:sz="4" w:space="0" w:color="C0C0C0"/>
              <w:left w:val="single" w:sz="4" w:space="0" w:color="000000"/>
              <w:bottom w:val="single" w:sz="4" w:space="0" w:color="C0C0C0"/>
            </w:tcBorders>
            <w:shd w:val="clear" w:color="auto" w:fill="auto"/>
          </w:tcPr>
          <w:p w14:paraId="122FB010"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4A821188"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7AE75F53"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C0C0C0"/>
            </w:tcBorders>
            <w:shd w:val="clear" w:color="auto" w:fill="auto"/>
            <w:vAlign w:val="bottom"/>
          </w:tcPr>
          <w:p w14:paraId="1940F9F3" w14:textId="77777777" w:rsidR="00B364EC" w:rsidRDefault="00B364EC" w:rsidP="00B364EC">
            <w:pPr>
              <w:snapToGrid w:val="0"/>
              <w:rPr>
                <w:rFonts w:eastAsia="細明體"/>
                <w:sz w:val="17"/>
                <w:lang w:eastAsia="zh-TW"/>
              </w:rPr>
            </w:pPr>
          </w:p>
        </w:tc>
        <w:tc>
          <w:tcPr>
            <w:tcW w:w="1792" w:type="dxa"/>
            <w:tcBorders>
              <w:top w:val="single" w:sz="4" w:space="0" w:color="C0C0C0"/>
              <w:left w:val="single" w:sz="4" w:space="0" w:color="000000"/>
              <w:bottom w:val="single" w:sz="4" w:space="0" w:color="C0C0C0"/>
              <w:right w:val="single" w:sz="4" w:space="0" w:color="000000"/>
            </w:tcBorders>
            <w:shd w:val="clear" w:color="auto" w:fill="BFBFBF" w:themeFill="background1" w:themeFillShade="BF"/>
            <w:vAlign w:val="bottom"/>
          </w:tcPr>
          <w:p w14:paraId="6CC1B06C" w14:textId="77777777" w:rsidR="00B364EC" w:rsidRDefault="00B364EC" w:rsidP="00B364EC">
            <w:pPr>
              <w:snapToGrid w:val="0"/>
              <w:rPr>
                <w:rFonts w:eastAsia="細明體"/>
                <w:sz w:val="17"/>
                <w:lang w:eastAsia="zh-TW"/>
              </w:rPr>
            </w:pPr>
          </w:p>
        </w:tc>
      </w:tr>
      <w:tr w:rsidR="00B364EC" w14:paraId="1D032ABB" w14:textId="77777777" w:rsidTr="00966C90">
        <w:trPr>
          <w:trHeight w:val="177"/>
        </w:trPr>
        <w:tc>
          <w:tcPr>
            <w:tcW w:w="426" w:type="dxa"/>
            <w:tcBorders>
              <w:top w:val="single" w:sz="4" w:space="0" w:color="C0C0C0"/>
              <w:bottom w:val="single" w:sz="4" w:space="0" w:color="C0C0C0"/>
            </w:tcBorders>
            <w:shd w:val="clear" w:color="auto" w:fill="FFFFFF"/>
          </w:tcPr>
          <w:p w14:paraId="7B141042" w14:textId="77777777" w:rsidR="00B364EC" w:rsidRDefault="00B364EC" w:rsidP="00B364EC">
            <w:pPr>
              <w:snapToGrid w:val="0"/>
              <w:rPr>
                <w:rFonts w:eastAsia="細明體"/>
                <w:sz w:val="17"/>
              </w:rPr>
            </w:pPr>
            <w:r>
              <w:rPr>
                <w:rFonts w:eastAsia="細明體"/>
                <w:sz w:val="17"/>
              </w:rPr>
              <w:t>⁞</w:t>
            </w:r>
          </w:p>
        </w:tc>
        <w:tc>
          <w:tcPr>
            <w:tcW w:w="4961" w:type="dxa"/>
            <w:tcBorders>
              <w:top w:val="single" w:sz="4" w:space="0" w:color="C0C0C0"/>
              <w:left w:val="single" w:sz="4" w:space="0" w:color="000000"/>
              <w:bottom w:val="single" w:sz="4" w:space="0" w:color="C0C0C0"/>
            </w:tcBorders>
            <w:shd w:val="clear" w:color="auto" w:fill="FFFFFF"/>
          </w:tcPr>
          <w:p w14:paraId="4BC0B168" w14:textId="77777777" w:rsidR="00B364EC" w:rsidRDefault="00B364EC" w:rsidP="00B364EC">
            <w:pPr>
              <w:snapToGrid w:val="0"/>
              <w:spacing w:before="20" w:after="20"/>
              <w:rPr>
                <w:rFonts w:eastAsia="細明體"/>
                <w:sz w:val="17"/>
              </w:rPr>
            </w:pPr>
            <w:r>
              <w:rPr>
                <w:rFonts w:eastAsia="細明體"/>
                <w:sz w:val="17"/>
              </w:rPr>
              <w:t xml:space="preserve">⁞ </w:t>
            </w:r>
          </w:p>
        </w:tc>
        <w:tc>
          <w:tcPr>
            <w:tcW w:w="1417" w:type="dxa"/>
            <w:tcBorders>
              <w:top w:val="single" w:sz="4" w:space="0" w:color="C0C0C0"/>
              <w:left w:val="single" w:sz="4" w:space="0" w:color="000000"/>
              <w:bottom w:val="single" w:sz="4" w:space="0" w:color="C0C0C0"/>
            </w:tcBorders>
            <w:shd w:val="clear" w:color="auto" w:fill="auto"/>
          </w:tcPr>
          <w:p w14:paraId="3A62BF51"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79526CC6"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6A23ECC6" w14:textId="77777777" w:rsidR="00B364EC" w:rsidRDefault="00B364EC" w:rsidP="00B364EC">
            <w:pPr>
              <w:snapToGrid w:val="0"/>
              <w:rPr>
                <w:rFonts w:eastAsia="細明體"/>
                <w:sz w:val="17"/>
              </w:rPr>
            </w:pPr>
          </w:p>
        </w:tc>
        <w:tc>
          <w:tcPr>
            <w:tcW w:w="1772" w:type="dxa"/>
            <w:tcBorders>
              <w:top w:val="single" w:sz="4" w:space="0" w:color="C0C0C0"/>
              <w:left w:val="single" w:sz="4" w:space="0" w:color="000000"/>
              <w:bottom w:val="single" w:sz="4" w:space="0" w:color="C0C0C0"/>
            </w:tcBorders>
            <w:shd w:val="clear" w:color="auto" w:fill="auto"/>
            <w:vAlign w:val="bottom"/>
          </w:tcPr>
          <w:p w14:paraId="7F3F6A14" w14:textId="77777777" w:rsidR="00B364EC" w:rsidRDefault="00B364EC" w:rsidP="00B364EC">
            <w:pPr>
              <w:snapToGrid w:val="0"/>
              <w:rPr>
                <w:rFonts w:eastAsia="細明體"/>
                <w:sz w:val="17"/>
              </w:rPr>
            </w:pPr>
          </w:p>
        </w:tc>
        <w:tc>
          <w:tcPr>
            <w:tcW w:w="1792" w:type="dxa"/>
            <w:tcBorders>
              <w:top w:val="single" w:sz="4" w:space="0" w:color="C0C0C0"/>
              <w:left w:val="single" w:sz="4" w:space="0" w:color="000000"/>
              <w:bottom w:val="single" w:sz="4" w:space="0" w:color="C0C0C0"/>
              <w:right w:val="single" w:sz="4" w:space="0" w:color="000000"/>
            </w:tcBorders>
            <w:shd w:val="clear" w:color="auto" w:fill="BFBFBF" w:themeFill="background1" w:themeFillShade="BF"/>
            <w:vAlign w:val="bottom"/>
          </w:tcPr>
          <w:p w14:paraId="3ED56EA9" w14:textId="77777777" w:rsidR="00B364EC" w:rsidRDefault="00B364EC" w:rsidP="00B364EC">
            <w:pPr>
              <w:snapToGrid w:val="0"/>
              <w:rPr>
                <w:rFonts w:eastAsia="細明體"/>
                <w:sz w:val="17"/>
              </w:rPr>
            </w:pPr>
          </w:p>
        </w:tc>
      </w:tr>
      <w:tr w:rsidR="00B364EC" w14:paraId="5E3660E2" w14:textId="77777777" w:rsidTr="00966C90">
        <w:trPr>
          <w:trHeight w:val="216"/>
        </w:trPr>
        <w:tc>
          <w:tcPr>
            <w:tcW w:w="426" w:type="dxa"/>
            <w:tcBorders>
              <w:top w:val="single" w:sz="4" w:space="0" w:color="C0C0C0"/>
              <w:bottom w:val="single" w:sz="4" w:space="0" w:color="auto"/>
            </w:tcBorders>
            <w:shd w:val="clear" w:color="auto" w:fill="FFFFFF"/>
          </w:tcPr>
          <w:p w14:paraId="1D8AF98A" w14:textId="77777777" w:rsidR="00B364EC" w:rsidRDefault="00B364EC" w:rsidP="00B364EC">
            <w:pPr>
              <w:snapToGrid w:val="0"/>
              <w:spacing w:before="20" w:after="20"/>
              <w:rPr>
                <w:rFonts w:eastAsia="細明體"/>
                <w:b/>
                <w:sz w:val="17"/>
              </w:rPr>
            </w:pPr>
            <w:r>
              <w:rPr>
                <w:rFonts w:eastAsia="細明體"/>
                <w:b/>
                <w:sz w:val="17"/>
              </w:rPr>
              <w:t>N</w:t>
            </w:r>
          </w:p>
        </w:tc>
        <w:tc>
          <w:tcPr>
            <w:tcW w:w="4961" w:type="dxa"/>
            <w:tcBorders>
              <w:top w:val="single" w:sz="4" w:space="0" w:color="C0C0C0"/>
              <w:left w:val="single" w:sz="4" w:space="0" w:color="000000"/>
              <w:bottom w:val="single" w:sz="4" w:space="0" w:color="auto"/>
            </w:tcBorders>
            <w:shd w:val="clear" w:color="auto" w:fill="FFFFFF"/>
          </w:tcPr>
          <w:p w14:paraId="7793E00C" w14:textId="77777777" w:rsidR="00B364EC" w:rsidRDefault="00B364EC" w:rsidP="00B364EC">
            <w:pPr>
              <w:snapToGrid w:val="0"/>
              <w:spacing w:before="20" w:after="20"/>
              <w:rPr>
                <w:rFonts w:eastAsia="細明體"/>
                <w:sz w:val="17"/>
                <w:lang w:eastAsia="zh-TW"/>
              </w:rPr>
            </w:pPr>
            <w:r>
              <w:rPr>
                <w:rFonts w:eastAsia="細明體" w:hint="eastAsia"/>
                <w:b/>
                <w:sz w:val="17"/>
                <w:lang w:eastAsia="zh-TW"/>
              </w:rPr>
              <w:t>以監管為目的所考慮的風險承擔數額</w:t>
            </w:r>
          </w:p>
        </w:tc>
        <w:tc>
          <w:tcPr>
            <w:tcW w:w="1417" w:type="dxa"/>
            <w:tcBorders>
              <w:top w:val="single" w:sz="4" w:space="0" w:color="C0C0C0"/>
              <w:left w:val="single" w:sz="4" w:space="0" w:color="000000"/>
              <w:bottom w:val="single" w:sz="4" w:space="0" w:color="auto"/>
            </w:tcBorders>
            <w:shd w:val="clear" w:color="auto" w:fill="auto"/>
          </w:tcPr>
          <w:p w14:paraId="7F07200C"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auto"/>
            </w:tcBorders>
            <w:shd w:val="clear" w:color="auto" w:fill="auto"/>
            <w:vAlign w:val="bottom"/>
          </w:tcPr>
          <w:p w14:paraId="4F655795"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auto"/>
            </w:tcBorders>
            <w:shd w:val="clear" w:color="auto" w:fill="auto"/>
            <w:vAlign w:val="bottom"/>
          </w:tcPr>
          <w:p w14:paraId="7DDDC644" w14:textId="77777777" w:rsidR="00B364EC" w:rsidRDefault="00B364EC" w:rsidP="00B364EC">
            <w:pPr>
              <w:snapToGrid w:val="0"/>
              <w:rPr>
                <w:rFonts w:eastAsia="細明體"/>
                <w:sz w:val="17"/>
                <w:lang w:eastAsia="zh-TW"/>
              </w:rPr>
            </w:pPr>
          </w:p>
        </w:tc>
        <w:tc>
          <w:tcPr>
            <w:tcW w:w="1772" w:type="dxa"/>
            <w:tcBorders>
              <w:top w:val="single" w:sz="4" w:space="0" w:color="C0C0C0"/>
              <w:left w:val="single" w:sz="4" w:space="0" w:color="000000"/>
              <w:bottom w:val="single" w:sz="4" w:space="0" w:color="auto"/>
            </w:tcBorders>
            <w:shd w:val="clear" w:color="auto" w:fill="auto"/>
            <w:vAlign w:val="bottom"/>
          </w:tcPr>
          <w:p w14:paraId="400C286C" w14:textId="77777777" w:rsidR="00B364EC" w:rsidRDefault="00B364EC" w:rsidP="00B364EC">
            <w:pPr>
              <w:snapToGrid w:val="0"/>
              <w:rPr>
                <w:rFonts w:eastAsia="細明體"/>
                <w:sz w:val="17"/>
                <w:lang w:eastAsia="zh-TW"/>
              </w:rPr>
            </w:pPr>
          </w:p>
        </w:tc>
        <w:tc>
          <w:tcPr>
            <w:tcW w:w="1792" w:type="dxa"/>
            <w:tcBorders>
              <w:top w:val="single" w:sz="4" w:space="0" w:color="C0C0C0"/>
              <w:left w:val="single" w:sz="4" w:space="0" w:color="000000"/>
              <w:bottom w:val="single" w:sz="4" w:space="0" w:color="auto"/>
              <w:right w:val="single" w:sz="4" w:space="0" w:color="000000"/>
            </w:tcBorders>
            <w:shd w:val="clear" w:color="auto" w:fill="BFBFBF" w:themeFill="background1" w:themeFillShade="BF"/>
            <w:vAlign w:val="bottom"/>
          </w:tcPr>
          <w:p w14:paraId="2D778BAE" w14:textId="77777777" w:rsidR="00B364EC" w:rsidRDefault="00B364EC" w:rsidP="00B364EC">
            <w:pPr>
              <w:snapToGrid w:val="0"/>
              <w:rPr>
                <w:rFonts w:eastAsia="細明體"/>
                <w:sz w:val="17"/>
                <w:lang w:eastAsia="zh-TW"/>
              </w:rPr>
            </w:pPr>
          </w:p>
        </w:tc>
      </w:tr>
      <w:tr w:rsidR="00B364EC" w14:paraId="2C0C5A60" w14:textId="77777777" w:rsidTr="00966C90">
        <w:trPr>
          <w:trHeight w:val="216"/>
        </w:trPr>
        <w:tc>
          <w:tcPr>
            <w:tcW w:w="13912" w:type="dxa"/>
            <w:gridSpan w:val="7"/>
            <w:tcBorders>
              <w:top w:val="single" w:sz="4" w:space="0" w:color="auto"/>
              <w:bottom w:val="single" w:sz="4" w:space="0" w:color="000000"/>
              <w:right w:val="single" w:sz="4" w:space="0" w:color="000000"/>
            </w:tcBorders>
            <w:shd w:val="clear" w:color="auto" w:fill="FFFFFF"/>
          </w:tcPr>
          <w:p w14:paraId="672FB3A9" w14:textId="2EFF412A" w:rsidR="00B364EC" w:rsidRDefault="00B364EC" w:rsidP="00B703DA">
            <w:pPr>
              <w:snapToGrid w:val="0"/>
              <w:rPr>
                <w:rFonts w:eastAsia="細明體"/>
                <w:sz w:val="17"/>
                <w:lang w:eastAsia="zh-TW"/>
              </w:rPr>
            </w:pPr>
            <w:r w:rsidRPr="001712CE">
              <w:rPr>
                <w:rFonts w:eastAsia="細明體"/>
                <w:sz w:val="17"/>
                <w:lang w:eastAsia="zh-TW"/>
              </w:rPr>
              <w:t xml:space="preserve">* </w:t>
            </w:r>
            <w:r w:rsidRPr="001712CE">
              <w:rPr>
                <w:rFonts w:eastAsia="細明體" w:hint="eastAsia"/>
                <w:sz w:val="17"/>
                <w:lang w:eastAsia="zh-TW"/>
              </w:rPr>
              <w:t>就</w:t>
            </w:r>
            <w:r>
              <w:rPr>
                <w:rFonts w:eastAsia="細明體" w:hint="eastAsia"/>
                <w:sz w:val="17"/>
                <w:lang w:eastAsia="zh-HK"/>
              </w:rPr>
              <w:t>本</w:t>
            </w:r>
            <w:r w:rsidRPr="001712CE">
              <w:rPr>
                <w:rFonts w:eastAsia="細明體" w:hint="eastAsia"/>
                <w:sz w:val="17"/>
                <w:lang w:eastAsia="zh-TW"/>
              </w:rPr>
              <w:t>模版而言，</w:t>
            </w:r>
            <w:r w:rsidRPr="001712CE">
              <w:rPr>
                <w:rFonts w:eastAsia="細明體"/>
                <w:sz w:val="17"/>
                <w:lang w:eastAsia="zh-TW"/>
              </w:rPr>
              <w:t>(</w:t>
            </w:r>
            <w:r>
              <w:rPr>
                <w:rFonts w:eastAsia="細明體"/>
                <w:sz w:val="17"/>
                <w:lang w:eastAsia="zh-TW"/>
              </w:rPr>
              <w:t>e</w:t>
            </w:r>
            <w:r w:rsidRPr="001712CE">
              <w:rPr>
                <w:rFonts w:eastAsia="細明體"/>
                <w:sz w:val="17"/>
                <w:lang w:eastAsia="zh-TW"/>
              </w:rPr>
              <w:t>)</w:t>
            </w:r>
            <w:r w:rsidRPr="001712CE">
              <w:rPr>
                <w:rFonts w:eastAsia="細明體" w:hint="eastAsia"/>
                <w:sz w:val="17"/>
                <w:lang w:eastAsia="zh-TW"/>
              </w:rPr>
              <w:t>欄亦</w:t>
            </w:r>
            <w:r w:rsidR="00B703DA" w:rsidRPr="00966C90">
              <w:rPr>
                <w:rFonts w:ascii="細明體" w:eastAsia="細明體" w:hAnsi="細明體" w:cs="Segoe UI" w:hint="eastAsia"/>
                <w:sz w:val="17"/>
                <w:szCs w:val="17"/>
                <w:lang w:eastAsia="zh-HK"/>
              </w:rPr>
              <w:t>包括</w:t>
            </w:r>
            <w:r w:rsidR="00B703DA">
              <w:rPr>
                <w:rFonts w:ascii="細明體" w:eastAsia="細明體" w:hAnsi="細明體" w:cs="Segoe UI" w:hint="eastAsia"/>
                <w:sz w:val="17"/>
                <w:szCs w:val="17"/>
                <w:lang w:eastAsia="zh-HK"/>
              </w:rPr>
              <w:t>受</w:t>
            </w:r>
            <w:r w:rsidR="00B703DA">
              <w:rPr>
                <w:rFonts w:eastAsia="細明體"/>
                <w:sz w:val="17"/>
                <w:szCs w:val="17"/>
                <w:lang w:eastAsia="zh-TW"/>
              </w:rPr>
              <w:t>CVA</w:t>
            </w:r>
            <w:r w:rsidR="00B703DA" w:rsidRPr="00966C90">
              <w:rPr>
                <w:rFonts w:ascii="細明體" w:eastAsia="細明體" w:hAnsi="細明體" w:cs="Segoe UI" w:hint="eastAsia"/>
                <w:sz w:val="17"/>
                <w:szCs w:val="17"/>
                <w:lang w:eastAsia="zh-HK"/>
              </w:rPr>
              <w:t>風險框架</w:t>
            </w:r>
            <w:r w:rsidR="00B703DA">
              <w:rPr>
                <w:rFonts w:ascii="細明體" w:eastAsia="細明體" w:hAnsi="細明體" w:cs="Segoe UI" w:hint="eastAsia"/>
                <w:sz w:val="17"/>
                <w:szCs w:val="17"/>
                <w:lang w:eastAsia="zh-HK"/>
              </w:rPr>
              <w:t>規限</w:t>
            </w:r>
            <w:r w:rsidR="00B703DA" w:rsidRPr="00966C90">
              <w:rPr>
                <w:rFonts w:ascii="細明體" w:eastAsia="細明體" w:hAnsi="細明體" w:cs="Segoe UI" w:hint="eastAsia"/>
                <w:sz w:val="17"/>
                <w:szCs w:val="17"/>
                <w:lang w:eastAsia="zh-HK"/>
              </w:rPr>
              <w:t>的項目</w:t>
            </w:r>
            <w:r w:rsidRPr="001712CE">
              <w:rPr>
                <w:rFonts w:eastAsia="細明體" w:hint="eastAsia"/>
                <w:sz w:val="17"/>
                <w:lang w:eastAsia="zh-TW"/>
              </w:rPr>
              <w:t>。</w:t>
            </w:r>
          </w:p>
        </w:tc>
      </w:tr>
    </w:tbl>
    <w:p w14:paraId="70F3D1A4" w14:textId="77777777" w:rsidR="00B364EC" w:rsidRDefault="00B364EC" w:rsidP="00B364EC">
      <w:pPr>
        <w:rPr>
          <w:vanish/>
          <w:lang w:eastAsia="zh-TW"/>
        </w:rPr>
      </w:pPr>
    </w:p>
    <w:p w14:paraId="3A07A16F" w14:textId="77777777" w:rsidR="00AA0DF0" w:rsidRPr="00AA0DF0" w:rsidRDefault="00AA0DF0" w:rsidP="00AA0DF0">
      <w:pPr>
        <w:spacing w:before="120" w:after="120" w:line="259" w:lineRule="auto"/>
        <w:rPr>
          <w:rFonts w:ascii="Calibri" w:eastAsia="細明體" w:hAnsi="Calibri"/>
          <w:sz w:val="22"/>
          <w:szCs w:val="22"/>
          <w:lang w:eastAsia="zh-TW"/>
        </w:rPr>
      </w:pPr>
    </w:p>
    <w:tbl>
      <w:tblPr>
        <w:tblW w:w="0" w:type="auto"/>
        <w:tblInd w:w="108" w:type="dxa"/>
        <w:tblLayout w:type="fixed"/>
        <w:tblLook w:val="0000" w:firstRow="0" w:lastRow="0" w:firstColumn="0" w:lastColumn="0" w:noHBand="0" w:noVBand="0"/>
      </w:tblPr>
      <w:tblGrid>
        <w:gridCol w:w="567"/>
        <w:gridCol w:w="13345"/>
      </w:tblGrid>
      <w:tr w:rsidR="00B364EC" w14:paraId="5559BE1D" w14:textId="77777777" w:rsidTr="00B364EC">
        <w:trPr>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6809A708" w14:textId="77777777" w:rsidR="00B364EC" w:rsidRDefault="00B364EC" w:rsidP="00B364EC">
            <w:pPr>
              <w:pStyle w:val="TableNote"/>
              <w:keepNext/>
              <w:spacing w:before="40" w:after="40"/>
            </w:pPr>
            <w:proofErr w:type="spellStart"/>
            <w:r>
              <w:rPr>
                <w:rFonts w:eastAsia="細明體" w:hint="eastAsia"/>
                <w:b/>
                <w:sz w:val="17"/>
              </w:rPr>
              <w:t>註釋</w:t>
            </w:r>
            <w:proofErr w:type="spellEnd"/>
          </w:p>
        </w:tc>
      </w:tr>
      <w:tr w:rsidR="00B364EC" w14:paraId="05CFFD8D" w14:textId="77777777" w:rsidTr="00B364EC">
        <w:trPr>
          <w:trHeight w:val="321"/>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EDF4110" w14:textId="77777777" w:rsidR="00B364EC" w:rsidRDefault="00B364EC" w:rsidP="00B364EC">
            <w:pPr>
              <w:pStyle w:val="TableNote"/>
              <w:keepNext/>
              <w:spacing w:before="40" w:after="40"/>
            </w:pPr>
            <w:r>
              <w:rPr>
                <w:rFonts w:eastAsia="細明體" w:hint="eastAsia"/>
                <w:b/>
                <w:sz w:val="17"/>
              </w:rPr>
              <w:t>欄</w:t>
            </w:r>
          </w:p>
        </w:tc>
      </w:tr>
      <w:tr w:rsidR="00B364EC" w14:paraId="7598976E" w14:textId="77777777" w:rsidTr="00B364EC">
        <w:tc>
          <w:tcPr>
            <w:tcW w:w="567" w:type="dxa"/>
            <w:tcBorders>
              <w:top w:val="single" w:sz="4" w:space="0" w:color="000000"/>
              <w:left w:val="single" w:sz="4" w:space="0" w:color="000000"/>
              <w:bottom w:val="single" w:sz="4" w:space="0" w:color="000000"/>
            </w:tcBorders>
            <w:shd w:val="clear" w:color="auto" w:fill="auto"/>
          </w:tcPr>
          <w:p w14:paraId="173EABB8" w14:textId="77777777" w:rsidR="00B364EC" w:rsidRDefault="00B364EC" w:rsidP="00B364EC">
            <w:pPr>
              <w:pStyle w:val="TableNote"/>
              <w:keepNext/>
              <w:spacing w:before="40" w:after="40"/>
              <w:rPr>
                <w:rFonts w:eastAsia="細明體"/>
                <w:i/>
                <w:sz w:val="17"/>
                <w:szCs w:val="17"/>
              </w:rPr>
            </w:pPr>
            <w:r>
              <w:rPr>
                <w:rFonts w:eastAsia="細明體"/>
                <w:sz w:val="17"/>
                <w:szCs w:val="17"/>
              </w:rPr>
              <w:t>(a)</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5A4E6CBC" w14:textId="77777777" w:rsidR="00B364EC" w:rsidRDefault="00B364EC" w:rsidP="00B364EC">
            <w:pPr>
              <w:pStyle w:val="TableNote"/>
              <w:keepNext/>
              <w:spacing w:before="40" w:after="40"/>
              <w:rPr>
                <w:rFonts w:eastAsia="細明體"/>
                <w:sz w:val="17"/>
                <w:lang w:eastAsia="zh-TW"/>
              </w:rPr>
            </w:pPr>
            <w:r>
              <w:rPr>
                <w:rFonts w:eastAsia="細明體" w:hint="eastAsia"/>
                <w:i/>
                <w:sz w:val="17"/>
                <w:szCs w:val="17"/>
                <w:lang w:eastAsia="zh-TW"/>
              </w:rPr>
              <w:t>總計：</w:t>
            </w:r>
            <w:r>
              <w:rPr>
                <w:rFonts w:eastAsia="細明體" w:hint="eastAsia"/>
                <w:sz w:val="17"/>
                <w:szCs w:val="17"/>
                <w:lang w:eastAsia="zh-TW"/>
              </w:rPr>
              <w:t>由於某些項目可能</w:t>
            </w:r>
            <w:r>
              <w:rPr>
                <w:rFonts w:eastAsia="細明體"/>
                <w:sz w:val="17"/>
                <w:szCs w:val="17"/>
                <w:lang w:eastAsia="zh-TW"/>
              </w:rPr>
              <w:t>須計算</w:t>
            </w:r>
            <w:r>
              <w:rPr>
                <w:rFonts w:eastAsia="細明體" w:hint="eastAsia"/>
                <w:sz w:val="17"/>
                <w:szCs w:val="17"/>
                <w:lang w:eastAsia="zh-TW"/>
              </w:rPr>
              <w:t>多於一種風險類別的監管資本要求，而本欄填報的數值亦可能包含了其他</w:t>
            </w:r>
            <w:r w:rsidRPr="005F1650">
              <w:rPr>
                <w:rFonts w:eastAsia="細明體" w:hint="eastAsia"/>
                <w:sz w:val="17"/>
                <w:szCs w:val="17"/>
                <w:lang w:eastAsia="zh-TW"/>
              </w:rPr>
              <w:t>不受資本規定</w:t>
            </w:r>
            <w:proofErr w:type="gramStart"/>
            <w:r w:rsidRPr="005F1650">
              <w:rPr>
                <w:rFonts w:eastAsia="細明體" w:hint="eastAsia"/>
                <w:sz w:val="17"/>
                <w:szCs w:val="17"/>
                <w:lang w:eastAsia="zh-TW"/>
              </w:rPr>
              <w:t>規限或</w:t>
            </w:r>
            <w:proofErr w:type="gramEnd"/>
            <w:r>
              <w:rPr>
                <w:rFonts w:eastAsia="細明體" w:hint="eastAsia"/>
                <w:sz w:val="17"/>
                <w:lang w:eastAsia="zh-TW"/>
              </w:rPr>
              <w:t>須從</w:t>
            </w:r>
            <w:r w:rsidRPr="005F1650">
              <w:rPr>
                <w:rFonts w:eastAsia="細明體" w:hint="eastAsia"/>
                <w:sz w:val="17"/>
                <w:szCs w:val="17"/>
                <w:lang w:eastAsia="zh-TW"/>
              </w:rPr>
              <w:t>資本扣減</w:t>
            </w:r>
            <w:r>
              <w:rPr>
                <w:rFonts w:eastAsia="細明體" w:hint="eastAsia"/>
                <w:sz w:val="17"/>
                <w:szCs w:val="17"/>
                <w:lang w:eastAsia="zh-TW"/>
              </w:rPr>
              <w:t>的項目，因此於</w:t>
            </w:r>
            <w:r>
              <w:rPr>
                <w:rFonts w:eastAsia="細明體"/>
                <w:sz w:val="17"/>
                <w:szCs w:val="17"/>
                <w:lang w:eastAsia="zh-TW"/>
              </w:rPr>
              <w:t>(a)</w:t>
            </w:r>
            <w:r>
              <w:rPr>
                <w:rFonts w:eastAsia="細明體" w:hint="eastAsia"/>
                <w:sz w:val="17"/>
                <w:szCs w:val="17"/>
                <w:lang w:eastAsia="zh-TW"/>
              </w:rPr>
              <w:t>欄所填報的值不一定相等於</w:t>
            </w:r>
            <w:r>
              <w:rPr>
                <w:rFonts w:eastAsia="細明體"/>
                <w:sz w:val="17"/>
                <w:szCs w:val="17"/>
                <w:lang w:eastAsia="zh-TW"/>
              </w:rPr>
              <w:t>(b)</w:t>
            </w:r>
            <w:r>
              <w:rPr>
                <w:rFonts w:eastAsia="細明體" w:hint="eastAsia"/>
                <w:sz w:val="17"/>
                <w:szCs w:val="17"/>
                <w:lang w:eastAsia="zh-TW"/>
              </w:rPr>
              <w:t>至</w:t>
            </w:r>
            <w:r>
              <w:rPr>
                <w:rFonts w:eastAsia="細明體"/>
                <w:sz w:val="17"/>
                <w:szCs w:val="17"/>
                <w:lang w:eastAsia="zh-TW"/>
              </w:rPr>
              <w:t>(e)</w:t>
            </w:r>
            <w:r>
              <w:rPr>
                <w:rFonts w:eastAsia="細明體" w:hint="eastAsia"/>
                <w:sz w:val="17"/>
                <w:szCs w:val="17"/>
                <w:lang w:eastAsia="zh-TW"/>
              </w:rPr>
              <w:t>欄的值的</w:t>
            </w:r>
            <w:proofErr w:type="gramStart"/>
            <w:r>
              <w:rPr>
                <w:rFonts w:eastAsia="細明體" w:hint="eastAsia"/>
                <w:sz w:val="17"/>
                <w:szCs w:val="17"/>
                <w:lang w:eastAsia="zh-TW"/>
              </w:rPr>
              <w:t>和</w:t>
            </w:r>
            <w:proofErr w:type="gramEnd"/>
            <w:r>
              <w:rPr>
                <w:rFonts w:eastAsia="細明體" w:hint="eastAsia"/>
                <w:sz w:val="17"/>
                <w:szCs w:val="17"/>
                <w:lang w:eastAsia="zh-TW"/>
              </w:rPr>
              <w:t>。</w:t>
            </w:r>
          </w:p>
          <w:p w14:paraId="0DAE5FA9" w14:textId="2A593249" w:rsidR="00B364EC" w:rsidRDefault="00B364EC" w:rsidP="00B364EC">
            <w:pPr>
              <w:pStyle w:val="BoxTitle"/>
              <w:spacing w:before="40" w:after="40"/>
            </w:pPr>
            <w:r>
              <w:rPr>
                <w:rFonts w:eastAsia="細明體" w:hint="eastAsia"/>
                <w:sz w:val="17"/>
              </w:rPr>
              <w:t>以下</w:t>
            </w:r>
            <w:r>
              <w:rPr>
                <w:rFonts w:eastAsia="細明體" w:hint="eastAsia"/>
                <w:color w:val="000000"/>
                <w:sz w:val="17"/>
                <w:szCs w:val="17"/>
              </w:rPr>
              <w:t>關連</w:t>
            </w:r>
            <w:r>
              <w:rPr>
                <w:rFonts w:eastAsia="細明體" w:hint="eastAsia"/>
                <w:color w:val="000000"/>
                <w:sz w:val="17"/>
              </w:rPr>
              <w:t>成</w:t>
            </w:r>
            <w:r>
              <w:rPr>
                <w:rFonts w:eastAsia="細明體" w:hint="eastAsia"/>
                <w:sz w:val="17"/>
              </w:rPr>
              <w:t>立：</w:t>
            </w:r>
            <w:r>
              <w:rPr>
                <w:rFonts w:eastAsia="細明體"/>
                <w:sz w:val="17"/>
              </w:rPr>
              <w:t xml:space="preserve"> LI2</w:t>
            </w:r>
            <w:r>
              <w:rPr>
                <w:rFonts w:eastAsia="細明體" w:hint="eastAsia"/>
                <w:sz w:val="17"/>
              </w:rPr>
              <w:t xml:space="preserve"> </w:t>
            </w:r>
            <w:r>
              <w:rPr>
                <w:rFonts w:eastAsia="細明體"/>
                <w:sz w:val="17"/>
              </w:rPr>
              <w:t>(a)</w:t>
            </w:r>
            <w:r>
              <w:rPr>
                <w:rFonts w:eastAsia="細明體" w:hint="eastAsia"/>
                <w:sz w:val="17"/>
              </w:rPr>
              <w:t>欄的值</w:t>
            </w:r>
            <w:r>
              <w:rPr>
                <w:rFonts w:eastAsia="細明體"/>
                <w:sz w:val="17"/>
              </w:rPr>
              <w:t xml:space="preserve"> = LI1 (b)</w:t>
            </w:r>
            <w:r>
              <w:rPr>
                <w:rFonts w:eastAsia="細明體" w:hint="eastAsia"/>
                <w:sz w:val="17"/>
              </w:rPr>
              <w:t>欄的值減</w:t>
            </w:r>
            <w:r>
              <w:rPr>
                <w:rFonts w:eastAsia="細明體"/>
                <w:sz w:val="17"/>
              </w:rPr>
              <w:t>LI1 (g)</w:t>
            </w:r>
            <w:r>
              <w:rPr>
                <w:rFonts w:eastAsia="細明體" w:hint="eastAsia"/>
                <w:sz w:val="17"/>
              </w:rPr>
              <w:t>欄的值</w:t>
            </w:r>
            <w:r w:rsidR="008556C4">
              <w:rPr>
                <w:rFonts w:eastAsia="細明體" w:hint="eastAsia"/>
                <w:sz w:val="17"/>
                <w:szCs w:val="17"/>
                <w:lang w:eastAsia="zh-TW"/>
              </w:rPr>
              <w:t>。</w:t>
            </w:r>
            <w:r>
              <w:rPr>
                <w:rFonts w:eastAsia="細明體"/>
                <w:sz w:val="17"/>
              </w:rPr>
              <w:t xml:space="preserve"> </w:t>
            </w:r>
          </w:p>
        </w:tc>
      </w:tr>
      <w:tr w:rsidR="00B364EC" w14:paraId="39A2B99A" w14:textId="77777777" w:rsidTr="00B364EC">
        <w:tc>
          <w:tcPr>
            <w:tcW w:w="567" w:type="dxa"/>
            <w:tcBorders>
              <w:top w:val="single" w:sz="4" w:space="0" w:color="000000"/>
              <w:left w:val="single" w:sz="4" w:space="0" w:color="000000"/>
              <w:bottom w:val="single" w:sz="4" w:space="0" w:color="000000"/>
            </w:tcBorders>
            <w:shd w:val="clear" w:color="auto" w:fill="auto"/>
          </w:tcPr>
          <w:p w14:paraId="79F64A46" w14:textId="77777777" w:rsidR="00B364EC" w:rsidRDefault="00B364EC" w:rsidP="00B364EC">
            <w:pPr>
              <w:pStyle w:val="TableNote"/>
              <w:keepNext/>
              <w:spacing w:before="40" w:after="40"/>
              <w:rPr>
                <w:rFonts w:eastAsia="細明體"/>
                <w:i/>
                <w:sz w:val="17"/>
                <w:szCs w:val="17"/>
              </w:rPr>
            </w:pPr>
            <w:r>
              <w:rPr>
                <w:rFonts w:eastAsia="細明體"/>
                <w:sz w:val="17"/>
                <w:szCs w:val="17"/>
              </w:rPr>
              <w:t>(b)</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788C4E3F" w14:textId="1537F1BC" w:rsidR="00B364EC" w:rsidRDefault="00B364EC" w:rsidP="00B364EC">
            <w:pPr>
              <w:pStyle w:val="TableNote"/>
              <w:keepNext/>
              <w:spacing w:before="40" w:after="40"/>
              <w:rPr>
                <w:lang w:eastAsia="zh-TW"/>
              </w:rPr>
            </w:pPr>
            <w:r>
              <w:rPr>
                <w:rFonts w:eastAsia="細明體" w:hint="eastAsia"/>
                <w:i/>
                <w:sz w:val="17"/>
                <w:szCs w:val="17"/>
                <w:lang w:eastAsia="zh-TW"/>
              </w:rPr>
              <w:t>受信用風險框架</w:t>
            </w:r>
            <w:proofErr w:type="gramStart"/>
            <w:r>
              <w:rPr>
                <w:rFonts w:eastAsia="細明體" w:hint="eastAsia"/>
                <w:i/>
                <w:sz w:val="17"/>
                <w:lang w:eastAsia="zh-TW"/>
              </w:rPr>
              <w:t>規</w:t>
            </w:r>
            <w:proofErr w:type="gramEnd"/>
            <w:r>
              <w:rPr>
                <w:rFonts w:eastAsia="細明體" w:hint="eastAsia"/>
                <w:i/>
                <w:sz w:val="17"/>
                <w:szCs w:val="17"/>
                <w:lang w:eastAsia="zh-TW"/>
              </w:rPr>
              <w:t>限的項目</w:t>
            </w:r>
            <w:r>
              <w:rPr>
                <w:rFonts w:eastAsia="細明體" w:hint="eastAsia"/>
                <w:sz w:val="17"/>
                <w:szCs w:val="17"/>
                <w:lang w:eastAsia="zh-TW"/>
              </w:rPr>
              <w:t>：在本文件第</w:t>
            </w:r>
            <w:r w:rsidRPr="00E67E76">
              <w:rPr>
                <w:rFonts w:eastAsia="細明體" w:cs="Segoe UI"/>
                <w:sz w:val="17"/>
                <w:szCs w:val="17"/>
                <w:lang w:eastAsia="zh-TW"/>
              </w:rPr>
              <w:t>III</w:t>
            </w:r>
            <w:proofErr w:type="gramStart"/>
            <w:r w:rsidRPr="00E67E76">
              <w:rPr>
                <w:rFonts w:eastAsia="細明體" w:cs="Segoe UI"/>
                <w:sz w:val="17"/>
                <w:szCs w:val="17"/>
                <w:lang w:eastAsia="zh-TW"/>
              </w:rPr>
              <w:t>部</w:t>
            </w:r>
            <w:r w:rsidR="00F2749F" w:rsidRPr="00E67E76">
              <w:rPr>
                <w:rFonts w:eastAsia="細明體" w:cs="Segoe UI"/>
                <w:sz w:val="17"/>
                <w:szCs w:val="17"/>
                <w:lang w:eastAsia="zh-TW"/>
              </w:rPr>
              <w:t>和第</w:t>
            </w:r>
            <w:proofErr w:type="gramEnd"/>
            <w:r w:rsidR="00F2749F" w:rsidRPr="00E67E76">
              <w:rPr>
                <w:rFonts w:eastAsia="細明體" w:cs="Segoe UI"/>
                <w:sz w:val="17"/>
                <w:szCs w:val="17"/>
                <w:lang w:eastAsia="zh-TW"/>
              </w:rPr>
              <w:t>XII</w:t>
            </w:r>
            <w:r w:rsidR="00F2749F" w:rsidRPr="00E67E76">
              <w:rPr>
                <w:rFonts w:eastAsia="細明體" w:cs="Segoe UI"/>
                <w:sz w:val="17"/>
                <w:szCs w:val="17"/>
                <w:lang w:eastAsia="zh-TW"/>
              </w:rPr>
              <w:t>部</w:t>
            </w:r>
            <w:r w:rsidRPr="00E67E76">
              <w:rPr>
                <w:rFonts w:eastAsia="細明體" w:cs="Segoe UI"/>
                <w:sz w:val="17"/>
                <w:szCs w:val="17"/>
                <w:lang w:eastAsia="zh-TW"/>
              </w:rPr>
              <w:t>填報的風險承擔。</w:t>
            </w:r>
          </w:p>
        </w:tc>
      </w:tr>
      <w:tr w:rsidR="00B364EC" w14:paraId="6A781C71" w14:textId="77777777" w:rsidTr="00B364EC">
        <w:tc>
          <w:tcPr>
            <w:tcW w:w="567" w:type="dxa"/>
            <w:tcBorders>
              <w:top w:val="single" w:sz="4" w:space="0" w:color="000000"/>
              <w:left w:val="single" w:sz="4" w:space="0" w:color="000000"/>
              <w:bottom w:val="single" w:sz="4" w:space="0" w:color="000000"/>
            </w:tcBorders>
            <w:shd w:val="clear" w:color="auto" w:fill="auto"/>
          </w:tcPr>
          <w:p w14:paraId="32B72662" w14:textId="77777777" w:rsidR="00B364EC" w:rsidRDefault="00B364EC" w:rsidP="00B364EC">
            <w:pPr>
              <w:pStyle w:val="TableNote"/>
              <w:keepNext/>
              <w:spacing w:before="40" w:after="40"/>
              <w:rPr>
                <w:rFonts w:eastAsia="細明體"/>
                <w:i/>
                <w:sz w:val="17"/>
                <w:szCs w:val="17"/>
              </w:rPr>
            </w:pPr>
            <w:r>
              <w:rPr>
                <w:rFonts w:eastAsia="細明體"/>
                <w:sz w:val="17"/>
                <w:szCs w:val="17"/>
              </w:rPr>
              <w:t>(c)</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3748447C" w14:textId="77777777" w:rsidR="00B364EC" w:rsidRDefault="00B364EC" w:rsidP="00B364EC">
            <w:pPr>
              <w:pStyle w:val="TableNote"/>
              <w:keepNext/>
              <w:spacing w:before="40" w:after="40"/>
              <w:rPr>
                <w:lang w:eastAsia="zh-TW"/>
              </w:rPr>
            </w:pPr>
            <w:r>
              <w:rPr>
                <w:rFonts w:eastAsia="細明體" w:hint="eastAsia"/>
                <w:i/>
                <w:sz w:val="17"/>
                <w:szCs w:val="17"/>
                <w:lang w:eastAsia="zh-TW"/>
              </w:rPr>
              <w:t>受證券化框架</w:t>
            </w:r>
            <w:proofErr w:type="gramStart"/>
            <w:r>
              <w:rPr>
                <w:rFonts w:eastAsia="細明體" w:hint="eastAsia"/>
                <w:i/>
                <w:sz w:val="17"/>
                <w:lang w:eastAsia="zh-TW"/>
              </w:rPr>
              <w:t>規</w:t>
            </w:r>
            <w:proofErr w:type="gramEnd"/>
            <w:r>
              <w:rPr>
                <w:rFonts w:eastAsia="細明體" w:hint="eastAsia"/>
                <w:i/>
                <w:sz w:val="17"/>
                <w:szCs w:val="17"/>
                <w:lang w:eastAsia="zh-TW"/>
              </w:rPr>
              <w:t>限的項目</w:t>
            </w:r>
            <w:r>
              <w:rPr>
                <w:rFonts w:eastAsia="細明體" w:hint="eastAsia"/>
                <w:sz w:val="17"/>
                <w:szCs w:val="17"/>
                <w:lang w:eastAsia="zh-TW"/>
              </w:rPr>
              <w:t>：在本文件第</w:t>
            </w:r>
            <w:r>
              <w:rPr>
                <w:rFonts w:eastAsia="細明體"/>
                <w:sz w:val="17"/>
                <w:szCs w:val="17"/>
                <w:lang w:eastAsia="zh-TW"/>
              </w:rPr>
              <w:t>V</w:t>
            </w:r>
            <w:r>
              <w:rPr>
                <w:rFonts w:eastAsia="細明體" w:hint="eastAsia"/>
                <w:sz w:val="17"/>
                <w:szCs w:val="17"/>
                <w:lang w:eastAsia="zh-TW"/>
              </w:rPr>
              <w:t>部填報的風險承擔。</w:t>
            </w:r>
          </w:p>
        </w:tc>
      </w:tr>
      <w:tr w:rsidR="00B364EC" w14:paraId="0F3D5099" w14:textId="77777777" w:rsidTr="00B364EC">
        <w:tc>
          <w:tcPr>
            <w:tcW w:w="567" w:type="dxa"/>
            <w:tcBorders>
              <w:top w:val="single" w:sz="4" w:space="0" w:color="000000"/>
              <w:left w:val="single" w:sz="4" w:space="0" w:color="000000"/>
              <w:bottom w:val="single" w:sz="4" w:space="0" w:color="000000"/>
            </w:tcBorders>
            <w:shd w:val="clear" w:color="auto" w:fill="auto"/>
          </w:tcPr>
          <w:p w14:paraId="1CE7FB43" w14:textId="77777777" w:rsidR="00B364EC" w:rsidRDefault="00B364EC" w:rsidP="00B364EC">
            <w:pPr>
              <w:pStyle w:val="TableNote"/>
              <w:keepNext/>
              <w:spacing w:before="40" w:after="40"/>
              <w:rPr>
                <w:rFonts w:eastAsia="細明體"/>
                <w:i/>
                <w:sz w:val="17"/>
                <w:szCs w:val="17"/>
              </w:rPr>
            </w:pPr>
            <w:r>
              <w:rPr>
                <w:rFonts w:eastAsia="細明體"/>
                <w:sz w:val="17"/>
                <w:szCs w:val="17"/>
              </w:rPr>
              <w:t>(d)</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0A9EF583" w14:textId="77777777" w:rsidR="00B364EC" w:rsidRDefault="00B364EC" w:rsidP="00B364EC">
            <w:pPr>
              <w:pStyle w:val="TableNote"/>
              <w:keepNext/>
              <w:spacing w:before="40" w:after="40"/>
              <w:rPr>
                <w:lang w:eastAsia="zh-TW"/>
              </w:rPr>
            </w:pPr>
            <w:r>
              <w:rPr>
                <w:rFonts w:eastAsia="細明體" w:hint="eastAsia"/>
                <w:i/>
                <w:sz w:val="17"/>
                <w:szCs w:val="17"/>
                <w:lang w:eastAsia="zh-TW"/>
              </w:rPr>
              <w:t>受對手方信用風險框架</w:t>
            </w:r>
            <w:proofErr w:type="gramStart"/>
            <w:r>
              <w:rPr>
                <w:rFonts w:eastAsia="細明體" w:hint="eastAsia"/>
                <w:i/>
                <w:sz w:val="17"/>
                <w:lang w:eastAsia="zh-TW"/>
              </w:rPr>
              <w:t>規</w:t>
            </w:r>
            <w:proofErr w:type="gramEnd"/>
            <w:r>
              <w:rPr>
                <w:rFonts w:eastAsia="細明體" w:hint="eastAsia"/>
                <w:i/>
                <w:sz w:val="17"/>
                <w:szCs w:val="17"/>
                <w:lang w:eastAsia="zh-TW"/>
              </w:rPr>
              <w:t>限的項目</w:t>
            </w:r>
            <w:r>
              <w:rPr>
                <w:rFonts w:eastAsia="細明體" w:hint="eastAsia"/>
                <w:sz w:val="17"/>
                <w:szCs w:val="17"/>
                <w:lang w:eastAsia="zh-TW"/>
              </w:rPr>
              <w:t>：在本文件第</w:t>
            </w:r>
            <w:r>
              <w:rPr>
                <w:rFonts w:eastAsia="細明體"/>
                <w:sz w:val="17"/>
                <w:szCs w:val="17"/>
                <w:lang w:eastAsia="zh-TW"/>
              </w:rPr>
              <w:t>IV</w:t>
            </w:r>
            <w:r>
              <w:rPr>
                <w:rFonts w:eastAsia="細明體" w:hint="eastAsia"/>
                <w:sz w:val="17"/>
                <w:szCs w:val="17"/>
                <w:lang w:eastAsia="zh-TW"/>
              </w:rPr>
              <w:t>部填報的風險承擔。</w:t>
            </w:r>
          </w:p>
        </w:tc>
      </w:tr>
      <w:tr w:rsidR="00B364EC" w14:paraId="58DD5321" w14:textId="77777777" w:rsidTr="00B364EC">
        <w:tc>
          <w:tcPr>
            <w:tcW w:w="567" w:type="dxa"/>
            <w:tcBorders>
              <w:top w:val="single" w:sz="4" w:space="0" w:color="000000"/>
              <w:left w:val="single" w:sz="4" w:space="0" w:color="000000"/>
              <w:bottom w:val="single" w:sz="4" w:space="0" w:color="000000"/>
            </w:tcBorders>
            <w:shd w:val="clear" w:color="auto" w:fill="auto"/>
          </w:tcPr>
          <w:p w14:paraId="3E49C54A" w14:textId="77777777" w:rsidR="00B364EC" w:rsidRDefault="00B364EC" w:rsidP="00B364EC">
            <w:pPr>
              <w:pStyle w:val="TableNote"/>
              <w:keepNext/>
              <w:spacing w:before="40" w:after="40"/>
              <w:rPr>
                <w:rFonts w:eastAsia="細明體"/>
                <w:i/>
                <w:sz w:val="17"/>
                <w:szCs w:val="17"/>
              </w:rPr>
            </w:pPr>
            <w:r>
              <w:rPr>
                <w:rFonts w:eastAsia="細明體"/>
                <w:sz w:val="17"/>
                <w:szCs w:val="17"/>
              </w:rPr>
              <w:t>(e)</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2F227B34" w14:textId="44086AAF" w:rsidR="00B364EC" w:rsidRDefault="00B364EC" w:rsidP="00B364EC">
            <w:pPr>
              <w:pStyle w:val="TableNote"/>
              <w:keepNext/>
              <w:spacing w:before="40" w:after="40"/>
              <w:rPr>
                <w:lang w:eastAsia="zh-TW"/>
              </w:rPr>
            </w:pPr>
            <w:r>
              <w:rPr>
                <w:rFonts w:eastAsia="細明體" w:hint="eastAsia"/>
                <w:i/>
                <w:sz w:val="17"/>
                <w:szCs w:val="17"/>
                <w:lang w:eastAsia="zh-TW"/>
              </w:rPr>
              <w:t>受市場風險框架</w:t>
            </w:r>
            <w:proofErr w:type="gramStart"/>
            <w:r>
              <w:rPr>
                <w:rFonts w:eastAsia="細明體" w:hint="eastAsia"/>
                <w:i/>
                <w:sz w:val="17"/>
                <w:lang w:eastAsia="zh-TW"/>
              </w:rPr>
              <w:t>規</w:t>
            </w:r>
            <w:proofErr w:type="gramEnd"/>
            <w:r>
              <w:rPr>
                <w:rFonts w:eastAsia="細明體" w:hint="eastAsia"/>
                <w:i/>
                <w:sz w:val="17"/>
                <w:szCs w:val="17"/>
                <w:lang w:eastAsia="zh-TW"/>
              </w:rPr>
              <w:t>限的項目</w:t>
            </w:r>
            <w:r>
              <w:rPr>
                <w:rFonts w:eastAsia="細明體" w:hint="eastAsia"/>
                <w:sz w:val="17"/>
                <w:szCs w:val="17"/>
                <w:lang w:eastAsia="zh-TW"/>
              </w:rPr>
              <w:t>：在本文件第</w:t>
            </w:r>
            <w:r>
              <w:rPr>
                <w:rFonts w:eastAsia="細明體"/>
                <w:sz w:val="17"/>
                <w:szCs w:val="17"/>
                <w:lang w:eastAsia="zh-TW"/>
              </w:rPr>
              <w:t>VI</w:t>
            </w:r>
            <w:r>
              <w:rPr>
                <w:rFonts w:eastAsia="細明體" w:hint="eastAsia"/>
                <w:sz w:val="17"/>
                <w:szCs w:val="17"/>
                <w:lang w:eastAsia="zh-TW"/>
              </w:rPr>
              <w:t>部</w:t>
            </w:r>
            <w:r w:rsidR="00F2749F" w:rsidRPr="00E67E76">
              <w:rPr>
                <w:rFonts w:eastAsia="細明體" w:hint="eastAsia"/>
                <w:sz w:val="17"/>
                <w:szCs w:val="17"/>
                <w:lang w:eastAsia="zh-TW"/>
              </w:rPr>
              <w:t>、</w:t>
            </w:r>
            <w:r w:rsidRPr="008F7AE0">
              <w:rPr>
                <w:rFonts w:eastAsia="細明體" w:hint="eastAsia"/>
                <w:sz w:val="17"/>
                <w:szCs w:val="17"/>
                <w:lang w:eastAsia="zh-TW"/>
              </w:rPr>
              <w:t>第</w:t>
            </w:r>
            <w:r w:rsidRPr="008F7AE0">
              <w:rPr>
                <w:rFonts w:eastAsia="細明體" w:hint="eastAsia"/>
                <w:sz w:val="17"/>
                <w:szCs w:val="17"/>
                <w:lang w:eastAsia="zh-TW"/>
              </w:rPr>
              <w:t>IVA</w:t>
            </w:r>
            <w:proofErr w:type="gramStart"/>
            <w:r w:rsidRPr="008F7AE0">
              <w:rPr>
                <w:rFonts w:eastAsia="細明體" w:hint="eastAsia"/>
                <w:sz w:val="17"/>
                <w:szCs w:val="17"/>
                <w:lang w:eastAsia="zh-TW"/>
              </w:rPr>
              <w:t>部</w:t>
            </w:r>
            <w:r w:rsidR="00F2749F" w:rsidRPr="00E67E76">
              <w:rPr>
                <w:rFonts w:eastAsia="細明體" w:hint="eastAsia"/>
                <w:sz w:val="17"/>
                <w:szCs w:val="17"/>
                <w:lang w:eastAsia="zh-TW"/>
              </w:rPr>
              <w:t>和第</w:t>
            </w:r>
            <w:proofErr w:type="gramEnd"/>
            <w:r w:rsidR="00F2749F" w:rsidRPr="00E67E76">
              <w:rPr>
                <w:rFonts w:eastAsia="細明體"/>
                <w:sz w:val="17"/>
                <w:szCs w:val="17"/>
                <w:lang w:eastAsia="zh-TW"/>
              </w:rPr>
              <w:t>XII</w:t>
            </w:r>
            <w:r w:rsidR="00F2749F" w:rsidRPr="00E67E76">
              <w:rPr>
                <w:rFonts w:eastAsia="細明體" w:hint="eastAsia"/>
                <w:sz w:val="17"/>
                <w:szCs w:val="17"/>
                <w:lang w:eastAsia="zh-TW"/>
              </w:rPr>
              <w:t>部</w:t>
            </w:r>
            <w:r>
              <w:rPr>
                <w:rFonts w:eastAsia="細明體" w:hint="eastAsia"/>
                <w:sz w:val="17"/>
                <w:szCs w:val="17"/>
                <w:lang w:eastAsia="zh-TW"/>
              </w:rPr>
              <w:t>填報的風險承擔。</w:t>
            </w:r>
          </w:p>
        </w:tc>
      </w:tr>
      <w:tr w:rsidR="00B364EC" w14:paraId="2FBE0A93" w14:textId="77777777" w:rsidTr="00B364EC">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CAFFA4" w14:textId="77777777" w:rsidR="00B364EC" w:rsidRDefault="00B364EC" w:rsidP="00B364EC">
            <w:pPr>
              <w:pStyle w:val="TableNote"/>
              <w:keepNext/>
              <w:spacing w:before="40" w:after="40"/>
            </w:pPr>
            <w:r>
              <w:rPr>
                <w:rFonts w:eastAsia="細明體" w:hint="eastAsia"/>
                <w:b/>
                <w:sz w:val="17"/>
              </w:rPr>
              <w:t>行</w:t>
            </w:r>
          </w:p>
        </w:tc>
      </w:tr>
      <w:tr w:rsidR="00B364EC" w14:paraId="4CA7B5E0" w14:textId="77777777" w:rsidTr="00B364EC">
        <w:tc>
          <w:tcPr>
            <w:tcW w:w="567" w:type="dxa"/>
            <w:tcBorders>
              <w:top w:val="single" w:sz="4" w:space="0" w:color="000000"/>
              <w:left w:val="single" w:sz="4" w:space="0" w:color="000000"/>
              <w:bottom w:val="single" w:sz="4" w:space="0" w:color="000000"/>
            </w:tcBorders>
            <w:shd w:val="clear" w:color="auto" w:fill="auto"/>
          </w:tcPr>
          <w:p w14:paraId="28A874A2" w14:textId="77777777" w:rsidR="00B364EC" w:rsidRDefault="00B364EC" w:rsidP="00B364EC">
            <w:pPr>
              <w:pStyle w:val="TableNote"/>
              <w:keepNext/>
              <w:spacing w:before="40" w:after="40"/>
              <w:rPr>
                <w:rFonts w:eastAsia="細明體"/>
                <w:i/>
                <w:sz w:val="17"/>
              </w:rPr>
            </w:pPr>
            <w:r>
              <w:rPr>
                <w:rFonts w:eastAsia="細明體"/>
                <w:sz w:val="17"/>
                <w:szCs w:val="17"/>
              </w:rPr>
              <w:t>1</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618F2C69" w14:textId="77777777" w:rsidR="00B364EC" w:rsidRDefault="00B364EC" w:rsidP="00B364EC">
            <w:pPr>
              <w:pStyle w:val="TableNote"/>
              <w:keepNext/>
              <w:spacing w:before="40" w:after="40"/>
              <w:rPr>
                <w:lang w:eastAsia="zh-TW"/>
              </w:rPr>
            </w:pPr>
            <w:r>
              <w:rPr>
                <w:rFonts w:eastAsia="細明體" w:hint="eastAsia"/>
                <w:i/>
                <w:sz w:val="17"/>
                <w:lang w:eastAsia="zh-TW"/>
              </w:rPr>
              <w:t>在監管綜合範圍下的資產</w:t>
            </w:r>
            <w:proofErr w:type="gramStart"/>
            <w:r>
              <w:rPr>
                <w:rFonts w:eastAsia="細明體" w:hint="eastAsia"/>
                <w:i/>
                <w:sz w:val="17"/>
                <w:lang w:eastAsia="zh-TW"/>
              </w:rPr>
              <w:t>帳面</w:t>
            </w:r>
            <w:proofErr w:type="gramEnd"/>
            <w:r>
              <w:rPr>
                <w:rFonts w:eastAsia="細明體" w:hint="eastAsia"/>
                <w:i/>
                <w:sz w:val="17"/>
                <w:lang w:eastAsia="zh-TW"/>
              </w:rPr>
              <w:t>值</w:t>
            </w:r>
            <w:r w:rsidRPr="00FC3627">
              <w:rPr>
                <w:rFonts w:eastAsia="細明體" w:hint="eastAsia"/>
                <w:i/>
                <w:sz w:val="17"/>
                <w:lang w:eastAsia="zh-TW"/>
              </w:rPr>
              <w:t>數額</w:t>
            </w:r>
            <w:r>
              <w:rPr>
                <w:rFonts w:eastAsia="細明體" w:hint="eastAsia"/>
                <w:i/>
                <w:sz w:val="17"/>
                <w:lang w:eastAsia="zh-TW"/>
              </w:rPr>
              <w:t>（按模版</w:t>
            </w:r>
            <w:r>
              <w:rPr>
                <w:rFonts w:eastAsia="細明體"/>
                <w:i/>
                <w:sz w:val="17"/>
                <w:lang w:eastAsia="zh-TW"/>
              </w:rPr>
              <w:t>LI1</w:t>
            </w:r>
            <w:r>
              <w:rPr>
                <w:rFonts w:eastAsia="細明體" w:hint="eastAsia"/>
                <w:i/>
                <w:sz w:val="17"/>
                <w:lang w:eastAsia="zh-TW"/>
              </w:rPr>
              <w:t>）</w:t>
            </w:r>
            <w:r>
              <w:rPr>
                <w:rFonts w:eastAsia="細明體" w:hint="eastAsia"/>
                <w:sz w:val="17"/>
                <w:lang w:eastAsia="zh-TW"/>
              </w:rPr>
              <w:t>：在</w:t>
            </w:r>
            <w:r>
              <w:rPr>
                <w:rFonts w:eastAsia="細明體" w:hint="eastAsia"/>
                <w:sz w:val="17"/>
                <w:szCs w:val="17"/>
                <w:lang w:eastAsia="zh-TW"/>
              </w:rPr>
              <w:t>本</w:t>
            </w:r>
            <w:r>
              <w:rPr>
                <w:rFonts w:eastAsia="細明體"/>
                <w:sz w:val="17"/>
                <w:szCs w:val="17"/>
                <w:lang w:eastAsia="zh-TW"/>
              </w:rPr>
              <w:t>行中</w:t>
            </w:r>
            <w:r>
              <w:rPr>
                <w:rFonts w:eastAsia="細明體"/>
                <w:sz w:val="17"/>
                <w:szCs w:val="17"/>
                <w:lang w:eastAsia="zh-TW"/>
              </w:rPr>
              <w:t>(b)</w:t>
            </w:r>
            <w:r>
              <w:rPr>
                <w:rFonts w:eastAsia="細明體" w:hint="eastAsia"/>
                <w:sz w:val="17"/>
                <w:szCs w:val="17"/>
                <w:lang w:eastAsia="zh-TW"/>
              </w:rPr>
              <w:t>至</w:t>
            </w:r>
            <w:r>
              <w:rPr>
                <w:rFonts w:eastAsia="細明體"/>
                <w:sz w:val="17"/>
                <w:szCs w:val="17"/>
                <w:lang w:eastAsia="zh-TW"/>
              </w:rPr>
              <w:t>(e)</w:t>
            </w:r>
            <w:r>
              <w:rPr>
                <w:rFonts w:eastAsia="細明體"/>
                <w:sz w:val="17"/>
                <w:szCs w:val="17"/>
                <w:lang w:eastAsia="zh-TW"/>
              </w:rPr>
              <w:t>欄</w:t>
            </w:r>
            <w:r>
              <w:rPr>
                <w:rFonts w:eastAsia="細明體" w:hint="eastAsia"/>
                <w:sz w:val="17"/>
                <w:szCs w:val="17"/>
                <w:lang w:eastAsia="zh-TW"/>
              </w:rPr>
              <w:t>填報的值，與模版</w:t>
            </w:r>
            <w:r>
              <w:rPr>
                <w:rFonts w:eastAsia="細明體"/>
                <w:sz w:val="17"/>
                <w:szCs w:val="17"/>
                <w:lang w:eastAsia="zh-TW"/>
              </w:rPr>
              <w:t>LI1</w:t>
            </w:r>
            <w:r>
              <w:rPr>
                <w:rFonts w:eastAsia="細明體" w:hint="eastAsia"/>
                <w:sz w:val="17"/>
                <w:szCs w:val="17"/>
                <w:lang w:eastAsia="zh-TW"/>
              </w:rPr>
              <w:t>內</w:t>
            </w:r>
            <w:r>
              <w:rPr>
                <w:rFonts w:eastAsia="細明體"/>
                <w:sz w:val="17"/>
                <w:szCs w:val="17"/>
                <w:lang w:eastAsia="zh-TW"/>
              </w:rPr>
              <w:t>「資產總額」行</w:t>
            </w:r>
            <w:r>
              <w:rPr>
                <w:rFonts w:eastAsia="細明體" w:hint="eastAsia"/>
                <w:sz w:val="17"/>
                <w:szCs w:val="17"/>
                <w:lang w:eastAsia="zh-TW"/>
              </w:rPr>
              <w:t>中</w:t>
            </w:r>
            <w:r>
              <w:rPr>
                <w:rFonts w:eastAsia="細明體"/>
                <w:sz w:val="17"/>
                <w:szCs w:val="17"/>
                <w:lang w:eastAsia="zh-TW"/>
              </w:rPr>
              <w:t>(c)</w:t>
            </w:r>
            <w:r>
              <w:rPr>
                <w:rFonts w:eastAsia="細明體" w:hint="eastAsia"/>
                <w:sz w:val="17"/>
                <w:szCs w:val="17"/>
                <w:lang w:eastAsia="zh-TW"/>
              </w:rPr>
              <w:t>至</w:t>
            </w:r>
            <w:r>
              <w:rPr>
                <w:rFonts w:eastAsia="細明體"/>
                <w:sz w:val="17"/>
                <w:szCs w:val="17"/>
                <w:lang w:eastAsia="zh-TW"/>
              </w:rPr>
              <w:t>(f)</w:t>
            </w:r>
            <w:r>
              <w:rPr>
                <w:rFonts w:eastAsia="細明體"/>
                <w:sz w:val="17"/>
                <w:szCs w:val="17"/>
                <w:lang w:eastAsia="zh-TW"/>
              </w:rPr>
              <w:t>欄</w:t>
            </w:r>
            <w:r>
              <w:rPr>
                <w:rFonts w:eastAsia="細明體" w:hint="eastAsia"/>
                <w:sz w:val="17"/>
                <w:szCs w:val="17"/>
                <w:lang w:eastAsia="zh-TW"/>
              </w:rPr>
              <w:t>所填報的值相對應。</w:t>
            </w:r>
          </w:p>
        </w:tc>
      </w:tr>
      <w:tr w:rsidR="00B364EC" w14:paraId="0DFE06A7" w14:textId="77777777" w:rsidTr="00B364EC">
        <w:tc>
          <w:tcPr>
            <w:tcW w:w="567" w:type="dxa"/>
            <w:tcBorders>
              <w:top w:val="single" w:sz="4" w:space="0" w:color="000000"/>
              <w:left w:val="single" w:sz="4" w:space="0" w:color="000000"/>
              <w:bottom w:val="single" w:sz="4" w:space="0" w:color="000000"/>
            </w:tcBorders>
            <w:shd w:val="clear" w:color="auto" w:fill="auto"/>
          </w:tcPr>
          <w:p w14:paraId="58F92445" w14:textId="77777777" w:rsidR="00B364EC" w:rsidRDefault="00B364EC" w:rsidP="00B364EC">
            <w:pPr>
              <w:pStyle w:val="TableNote"/>
              <w:keepNext/>
              <w:spacing w:before="40" w:after="40"/>
              <w:rPr>
                <w:rFonts w:eastAsia="細明體"/>
                <w:i/>
                <w:sz w:val="17"/>
              </w:rPr>
            </w:pPr>
            <w:r>
              <w:rPr>
                <w:rFonts w:eastAsia="細明體"/>
                <w:sz w:val="17"/>
                <w:szCs w:val="17"/>
              </w:rPr>
              <w:t>2</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68F1595C" w14:textId="039EAEA3" w:rsidR="00B364EC" w:rsidRDefault="00B364EC" w:rsidP="00B364EC">
            <w:pPr>
              <w:pStyle w:val="TableNote"/>
              <w:keepNext/>
              <w:spacing w:before="40" w:after="40"/>
              <w:rPr>
                <w:lang w:eastAsia="zh-TW"/>
              </w:rPr>
            </w:pPr>
            <w:r>
              <w:rPr>
                <w:rFonts w:eastAsia="細明體" w:hint="eastAsia"/>
                <w:i/>
                <w:sz w:val="17"/>
                <w:lang w:eastAsia="zh-TW"/>
              </w:rPr>
              <w:t>在監管綜合範圍下的負債</w:t>
            </w:r>
            <w:proofErr w:type="gramStart"/>
            <w:r>
              <w:rPr>
                <w:rFonts w:eastAsia="細明體" w:hint="eastAsia"/>
                <w:i/>
                <w:sz w:val="17"/>
                <w:lang w:eastAsia="zh-TW"/>
              </w:rPr>
              <w:t>帳面</w:t>
            </w:r>
            <w:proofErr w:type="gramEnd"/>
            <w:r>
              <w:rPr>
                <w:rFonts w:eastAsia="細明體" w:hint="eastAsia"/>
                <w:i/>
                <w:sz w:val="17"/>
                <w:lang w:eastAsia="zh-TW"/>
              </w:rPr>
              <w:t>值</w:t>
            </w:r>
            <w:r w:rsidRPr="00FC3627">
              <w:rPr>
                <w:rFonts w:eastAsia="細明體" w:hint="eastAsia"/>
                <w:i/>
                <w:sz w:val="17"/>
                <w:lang w:eastAsia="zh-TW"/>
              </w:rPr>
              <w:t>數額</w:t>
            </w:r>
            <w:r>
              <w:rPr>
                <w:rFonts w:eastAsia="細明體" w:hint="eastAsia"/>
                <w:i/>
                <w:sz w:val="17"/>
                <w:lang w:eastAsia="zh-TW"/>
              </w:rPr>
              <w:t>（按模版</w:t>
            </w:r>
            <w:r>
              <w:rPr>
                <w:rFonts w:eastAsia="細明體"/>
                <w:i/>
                <w:sz w:val="17"/>
                <w:lang w:eastAsia="zh-TW"/>
              </w:rPr>
              <w:t>LI1</w:t>
            </w:r>
            <w:r>
              <w:rPr>
                <w:rFonts w:eastAsia="細明體" w:hint="eastAsia"/>
                <w:i/>
                <w:sz w:val="17"/>
                <w:lang w:eastAsia="zh-TW"/>
              </w:rPr>
              <w:t>）</w:t>
            </w:r>
            <w:r>
              <w:rPr>
                <w:rFonts w:eastAsia="細明體" w:hint="eastAsia"/>
                <w:sz w:val="17"/>
                <w:lang w:eastAsia="zh-TW"/>
              </w:rPr>
              <w:t>：在</w:t>
            </w:r>
            <w:r>
              <w:rPr>
                <w:rFonts w:eastAsia="細明體" w:hint="eastAsia"/>
                <w:sz w:val="17"/>
                <w:szCs w:val="17"/>
                <w:lang w:eastAsia="zh-TW"/>
              </w:rPr>
              <w:t>本</w:t>
            </w:r>
            <w:r>
              <w:rPr>
                <w:rFonts w:eastAsia="細明體"/>
                <w:sz w:val="17"/>
                <w:szCs w:val="17"/>
                <w:lang w:eastAsia="zh-TW"/>
              </w:rPr>
              <w:t>行中</w:t>
            </w:r>
            <w:r>
              <w:rPr>
                <w:rFonts w:eastAsia="細明體"/>
                <w:sz w:val="17"/>
                <w:szCs w:val="17"/>
                <w:lang w:eastAsia="zh-TW"/>
              </w:rPr>
              <w:t>(b)</w:t>
            </w:r>
            <w:r>
              <w:rPr>
                <w:rFonts w:eastAsia="細明體" w:hint="eastAsia"/>
                <w:sz w:val="17"/>
                <w:szCs w:val="17"/>
                <w:lang w:eastAsia="zh-TW"/>
              </w:rPr>
              <w:t>至</w:t>
            </w:r>
            <w:r>
              <w:rPr>
                <w:rFonts w:eastAsia="細明體"/>
                <w:sz w:val="17"/>
                <w:szCs w:val="17"/>
                <w:lang w:eastAsia="zh-TW"/>
              </w:rPr>
              <w:t>(e)</w:t>
            </w:r>
            <w:r>
              <w:rPr>
                <w:rFonts w:eastAsia="細明體"/>
                <w:sz w:val="17"/>
                <w:szCs w:val="17"/>
                <w:lang w:eastAsia="zh-TW"/>
              </w:rPr>
              <w:t>欄</w:t>
            </w:r>
            <w:r>
              <w:rPr>
                <w:rFonts w:eastAsia="細明體" w:hint="eastAsia"/>
                <w:sz w:val="17"/>
                <w:szCs w:val="17"/>
                <w:lang w:eastAsia="zh-TW"/>
              </w:rPr>
              <w:t>填報的值，與模版</w:t>
            </w:r>
            <w:r>
              <w:rPr>
                <w:rFonts w:eastAsia="細明體"/>
                <w:sz w:val="17"/>
                <w:szCs w:val="17"/>
                <w:lang w:eastAsia="zh-TW"/>
              </w:rPr>
              <w:t>LI1</w:t>
            </w:r>
            <w:r>
              <w:rPr>
                <w:rFonts w:eastAsia="細明體" w:hint="eastAsia"/>
                <w:sz w:val="17"/>
                <w:szCs w:val="17"/>
                <w:lang w:eastAsia="zh-TW"/>
              </w:rPr>
              <w:t>內</w:t>
            </w:r>
            <w:r>
              <w:rPr>
                <w:rFonts w:eastAsia="細明體"/>
                <w:sz w:val="17"/>
                <w:szCs w:val="17"/>
                <w:lang w:eastAsia="zh-TW"/>
              </w:rPr>
              <w:t>「負債總額」行</w:t>
            </w:r>
            <w:r>
              <w:rPr>
                <w:rFonts w:eastAsia="細明體" w:hint="eastAsia"/>
                <w:sz w:val="17"/>
                <w:szCs w:val="17"/>
                <w:lang w:eastAsia="zh-TW"/>
              </w:rPr>
              <w:t>中</w:t>
            </w:r>
            <w:r>
              <w:rPr>
                <w:rFonts w:eastAsia="細明體"/>
                <w:sz w:val="17"/>
                <w:szCs w:val="17"/>
                <w:lang w:eastAsia="zh-TW"/>
              </w:rPr>
              <w:t>(c)</w:t>
            </w:r>
            <w:r>
              <w:rPr>
                <w:rFonts w:eastAsia="細明體" w:hint="eastAsia"/>
                <w:sz w:val="17"/>
                <w:szCs w:val="17"/>
                <w:lang w:eastAsia="zh-TW"/>
              </w:rPr>
              <w:t>至</w:t>
            </w:r>
            <w:r>
              <w:rPr>
                <w:rFonts w:eastAsia="細明體"/>
                <w:sz w:val="17"/>
                <w:szCs w:val="17"/>
                <w:lang w:eastAsia="zh-TW"/>
              </w:rPr>
              <w:t>(f)</w:t>
            </w:r>
            <w:r>
              <w:rPr>
                <w:rFonts w:eastAsia="細明體"/>
                <w:sz w:val="17"/>
                <w:szCs w:val="17"/>
                <w:lang w:eastAsia="zh-TW"/>
              </w:rPr>
              <w:t>欄</w:t>
            </w:r>
            <w:r>
              <w:rPr>
                <w:rFonts w:eastAsia="細明體" w:hint="eastAsia"/>
                <w:sz w:val="17"/>
                <w:szCs w:val="17"/>
                <w:lang w:eastAsia="zh-TW"/>
              </w:rPr>
              <w:t>所填報的值相對應。</w:t>
            </w:r>
          </w:p>
        </w:tc>
      </w:tr>
      <w:tr w:rsidR="00B364EC" w14:paraId="428C93D7" w14:textId="77777777" w:rsidTr="00B364EC">
        <w:tc>
          <w:tcPr>
            <w:tcW w:w="567" w:type="dxa"/>
            <w:tcBorders>
              <w:top w:val="single" w:sz="4" w:space="0" w:color="000000"/>
              <w:left w:val="single" w:sz="4" w:space="0" w:color="000000"/>
              <w:bottom w:val="single" w:sz="4" w:space="0" w:color="000000"/>
            </w:tcBorders>
            <w:shd w:val="clear" w:color="auto" w:fill="auto"/>
          </w:tcPr>
          <w:p w14:paraId="6551DB2E" w14:textId="77777777" w:rsidR="00B364EC" w:rsidRDefault="00B364EC" w:rsidP="00B364EC">
            <w:pPr>
              <w:pStyle w:val="TableNote"/>
              <w:keepNext/>
              <w:spacing w:before="40" w:after="40"/>
              <w:rPr>
                <w:rFonts w:eastAsia="細明體"/>
                <w:i/>
                <w:sz w:val="17"/>
              </w:rPr>
            </w:pPr>
            <w:r>
              <w:rPr>
                <w:rFonts w:eastAsia="細明體"/>
                <w:sz w:val="17"/>
                <w:szCs w:val="17"/>
              </w:rPr>
              <w:t>3</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10525B7D" w14:textId="63C9B192" w:rsidR="00B364EC" w:rsidRDefault="00B364EC" w:rsidP="00B364EC">
            <w:pPr>
              <w:pStyle w:val="TableNote"/>
              <w:keepNext/>
              <w:spacing w:before="40" w:after="40"/>
              <w:rPr>
                <w:lang w:eastAsia="zh-TW"/>
              </w:rPr>
            </w:pPr>
            <w:r>
              <w:rPr>
                <w:rFonts w:eastAsia="細明體" w:hint="eastAsia"/>
                <w:i/>
                <w:sz w:val="17"/>
                <w:lang w:eastAsia="zh-TW"/>
              </w:rPr>
              <w:t>在監管綜合範圍下的總計淨額</w:t>
            </w:r>
            <w:r>
              <w:rPr>
                <w:rFonts w:eastAsia="細明體" w:hint="eastAsia"/>
                <w:sz w:val="17"/>
                <w:lang w:eastAsia="zh-TW"/>
              </w:rPr>
              <w:t>：</w:t>
            </w:r>
            <w:r>
              <w:rPr>
                <w:rFonts w:eastAsia="細明體"/>
                <w:sz w:val="17"/>
                <w:szCs w:val="17"/>
                <w:lang w:eastAsia="zh-TW"/>
              </w:rPr>
              <w:t>所有</w:t>
            </w:r>
            <w:r>
              <w:rPr>
                <w:rFonts w:eastAsia="細明體" w:hint="eastAsia"/>
                <w:sz w:val="17"/>
                <w:lang w:eastAsia="zh-TW"/>
              </w:rPr>
              <w:t>在</w:t>
            </w:r>
            <w:r>
              <w:rPr>
                <w:rFonts w:eastAsia="細明體" w:hint="eastAsia"/>
                <w:sz w:val="17"/>
                <w:szCs w:val="17"/>
                <w:lang w:eastAsia="zh-TW"/>
              </w:rPr>
              <w:t>本</w:t>
            </w:r>
            <w:r>
              <w:rPr>
                <w:rFonts w:eastAsia="細明體"/>
                <w:sz w:val="17"/>
                <w:szCs w:val="17"/>
                <w:lang w:eastAsia="zh-TW"/>
              </w:rPr>
              <w:t>行內的</w:t>
            </w:r>
            <w:proofErr w:type="gramStart"/>
            <w:r>
              <w:rPr>
                <w:rFonts w:eastAsia="細明體"/>
                <w:sz w:val="17"/>
                <w:szCs w:val="17"/>
                <w:lang w:eastAsia="zh-TW"/>
              </w:rPr>
              <w:t>值均由</w:t>
            </w:r>
            <w:r>
              <w:rPr>
                <w:rFonts w:eastAsia="細明體" w:hint="eastAsia"/>
                <w:sz w:val="17"/>
                <w:szCs w:val="17"/>
                <w:lang w:eastAsia="zh-TW"/>
              </w:rPr>
              <w:t>第</w:t>
            </w:r>
            <w:r>
              <w:rPr>
                <w:rFonts w:eastAsia="細明體"/>
                <w:sz w:val="17"/>
                <w:szCs w:val="17"/>
                <w:lang w:eastAsia="zh-TW"/>
              </w:rPr>
              <w:t>1</w:t>
            </w:r>
            <w:proofErr w:type="gramEnd"/>
            <w:r>
              <w:rPr>
                <w:rFonts w:eastAsia="細明體" w:hint="eastAsia"/>
                <w:sz w:val="17"/>
                <w:szCs w:val="17"/>
                <w:lang w:eastAsia="zh-TW"/>
              </w:rPr>
              <w:t>及</w:t>
            </w:r>
            <w:r w:rsidR="007B1927">
              <w:rPr>
                <w:rFonts w:eastAsia="細明體" w:hint="eastAsia"/>
                <w:sz w:val="17"/>
                <w:szCs w:val="17"/>
                <w:lang w:eastAsia="zh-TW"/>
              </w:rPr>
              <w:t>第</w:t>
            </w:r>
            <w:r>
              <w:rPr>
                <w:rFonts w:eastAsia="細明體"/>
                <w:sz w:val="17"/>
                <w:szCs w:val="17"/>
                <w:lang w:eastAsia="zh-TW"/>
              </w:rPr>
              <w:t>2</w:t>
            </w:r>
            <w:r>
              <w:rPr>
                <w:rFonts w:eastAsia="細明體"/>
                <w:sz w:val="17"/>
                <w:szCs w:val="17"/>
                <w:lang w:eastAsia="zh-TW"/>
              </w:rPr>
              <w:t>行</w:t>
            </w:r>
            <w:r>
              <w:rPr>
                <w:rFonts w:eastAsia="細明體" w:hint="eastAsia"/>
                <w:sz w:val="17"/>
                <w:szCs w:val="17"/>
                <w:lang w:eastAsia="zh-TW"/>
              </w:rPr>
              <w:t>的</w:t>
            </w:r>
            <w:proofErr w:type="gramStart"/>
            <w:r>
              <w:rPr>
                <w:rFonts w:eastAsia="細明體" w:hint="eastAsia"/>
                <w:sz w:val="17"/>
                <w:szCs w:val="17"/>
                <w:lang w:eastAsia="zh-TW"/>
              </w:rPr>
              <w:t>相關值相減</w:t>
            </w:r>
            <w:proofErr w:type="gramEnd"/>
            <w:r>
              <w:rPr>
                <w:rFonts w:eastAsia="細明體" w:hint="eastAsia"/>
                <w:sz w:val="17"/>
                <w:szCs w:val="17"/>
                <w:lang w:eastAsia="zh-TW"/>
              </w:rPr>
              <w:t>而得。</w:t>
            </w:r>
          </w:p>
        </w:tc>
      </w:tr>
      <w:tr w:rsidR="00B364EC" w14:paraId="11B5D473" w14:textId="77777777" w:rsidTr="00B364EC">
        <w:tc>
          <w:tcPr>
            <w:tcW w:w="567" w:type="dxa"/>
            <w:tcBorders>
              <w:top w:val="single" w:sz="4" w:space="0" w:color="000000"/>
              <w:left w:val="single" w:sz="4" w:space="0" w:color="000000"/>
              <w:bottom w:val="single" w:sz="4" w:space="0" w:color="000000"/>
            </w:tcBorders>
            <w:shd w:val="clear" w:color="auto" w:fill="auto"/>
          </w:tcPr>
          <w:p w14:paraId="2610793F" w14:textId="77777777" w:rsidR="00B364EC" w:rsidRDefault="00B364EC" w:rsidP="00B364EC">
            <w:pPr>
              <w:pStyle w:val="TableNote"/>
              <w:keepNext/>
              <w:spacing w:before="40" w:after="40"/>
              <w:rPr>
                <w:rFonts w:eastAsia="細明體"/>
                <w:i/>
                <w:sz w:val="17"/>
                <w:szCs w:val="17"/>
              </w:rPr>
            </w:pPr>
            <w:r>
              <w:rPr>
                <w:rFonts w:eastAsia="細明體"/>
                <w:sz w:val="17"/>
                <w:szCs w:val="17"/>
              </w:rPr>
              <w:t>4</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61082D11" w14:textId="16F89C43" w:rsidR="00B364EC" w:rsidRDefault="00B364EC" w:rsidP="00B364EC">
            <w:pPr>
              <w:pStyle w:val="TableNote"/>
              <w:keepNext/>
              <w:spacing w:before="40" w:after="40"/>
              <w:rPr>
                <w:lang w:eastAsia="zh-TW"/>
              </w:rPr>
            </w:pPr>
            <w:r>
              <w:rPr>
                <w:rFonts w:eastAsia="細明體" w:hint="eastAsia"/>
                <w:i/>
                <w:sz w:val="17"/>
                <w:szCs w:val="17"/>
                <w:lang w:eastAsia="zh-TW"/>
              </w:rPr>
              <w:t>資產負債表外數額</w:t>
            </w:r>
            <w:r>
              <w:rPr>
                <w:rFonts w:eastAsia="細明體" w:hint="eastAsia"/>
                <w:sz w:val="17"/>
                <w:lang w:eastAsia="zh-TW"/>
              </w:rPr>
              <w:t>：</w:t>
            </w:r>
            <w:r>
              <w:rPr>
                <w:rFonts w:eastAsia="細明體"/>
                <w:sz w:val="17"/>
                <w:szCs w:val="17"/>
                <w:lang w:eastAsia="zh-TW"/>
              </w:rPr>
              <w:t>包括於</w:t>
            </w:r>
            <w:r>
              <w:rPr>
                <w:rFonts w:eastAsia="細明體"/>
                <w:sz w:val="17"/>
                <w:szCs w:val="17"/>
                <w:lang w:eastAsia="zh-TW"/>
              </w:rPr>
              <w:t>(a)</w:t>
            </w:r>
            <w:r>
              <w:rPr>
                <w:rFonts w:eastAsia="細明體"/>
                <w:sz w:val="17"/>
                <w:szCs w:val="17"/>
                <w:lang w:eastAsia="zh-TW"/>
              </w:rPr>
              <w:t>欄</w:t>
            </w:r>
            <w:r>
              <w:rPr>
                <w:rFonts w:eastAsia="細明體" w:hint="eastAsia"/>
                <w:sz w:val="17"/>
                <w:szCs w:val="17"/>
                <w:lang w:eastAsia="zh-TW"/>
              </w:rPr>
              <w:t>內計算</w:t>
            </w:r>
            <w:r>
              <w:rPr>
                <w:rFonts w:eastAsia="細明體" w:hint="eastAsia"/>
                <w:sz w:val="17"/>
                <w:szCs w:val="17"/>
                <w:lang w:eastAsia="zh-TW"/>
              </w:rPr>
              <w:t>CCF</w:t>
            </w:r>
            <w:r>
              <w:rPr>
                <w:rFonts w:eastAsia="細明體" w:hint="eastAsia"/>
                <w:sz w:val="17"/>
                <w:szCs w:val="17"/>
                <w:lang w:eastAsia="zh-TW"/>
              </w:rPr>
              <w:t>前的資產負債表外項目的原有風險承擔，及於</w:t>
            </w:r>
            <w:r>
              <w:rPr>
                <w:rFonts w:eastAsia="細明體"/>
                <w:sz w:val="17"/>
                <w:szCs w:val="17"/>
                <w:lang w:eastAsia="zh-TW"/>
              </w:rPr>
              <w:t>(b)</w:t>
            </w:r>
            <w:r>
              <w:rPr>
                <w:rFonts w:eastAsia="細明體" w:hint="eastAsia"/>
                <w:sz w:val="17"/>
                <w:szCs w:val="17"/>
                <w:lang w:eastAsia="zh-TW"/>
              </w:rPr>
              <w:t>至</w:t>
            </w:r>
            <w:r>
              <w:rPr>
                <w:rFonts w:eastAsia="細明體"/>
                <w:sz w:val="17"/>
                <w:szCs w:val="17"/>
                <w:lang w:eastAsia="zh-TW"/>
              </w:rPr>
              <w:t>(d)</w:t>
            </w:r>
            <w:r>
              <w:rPr>
                <w:rFonts w:eastAsia="細明體"/>
                <w:sz w:val="17"/>
                <w:szCs w:val="17"/>
                <w:lang w:eastAsia="zh-TW"/>
              </w:rPr>
              <w:t>欄</w:t>
            </w:r>
            <w:r>
              <w:rPr>
                <w:rFonts w:eastAsia="細明體" w:hint="eastAsia"/>
                <w:sz w:val="17"/>
                <w:szCs w:val="17"/>
                <w:lang w:eastAsia="zh-TW"/>
              </w:rPr>
              <w:t>內已計算</w:t>
            </w:r>
            <w:r>
              <w:rPr>
                <w:rFonts w:eastAsia="細明體" w:hint="eastAsia"/>
                <w:sz w:val="17"/>
                <w:szCs w:val="17"/>
                <w:lang w:eastAsia="zh-TW"/>
              </w:rPr>
              <w:t>CCF</w:t>
            </w:r>
            <w:r>
              <w:rPr>
                <w:rFonts w:eastAsia="細明體" w:hint="eastAsia"/>
                <w:sz w:val="17"/>
                <w:szCs w:val="17"/>
                <w:lang w:eastAsia="zh-TW"/>
              </w:rPr>
              <w:t>後（如屬有關）、受相關監管框架</w:t>
            </w:r>
            <w:proofErr w:type="gramStart"/>
            <w:r>
              <w:rPr>
                <w:rFonts w:eastAsia="細明體" w:hint="eastAsia"/>
                <w:sz w:val="17"/>
                <w:szCs w:val="17"/>
                <w:lang w:eastAsia="zh-TW"/>
              </w:rPr>
              <w:t>規</w:t>
            </w:r>
            <w:proofErr w:type="gramEnd"/>
            <w:r>
              <w:rPr>
                <w:rFonts w:eastAsia="細明體" w:hint="eastAsia"/>
                <w:sz w:val="17"/>
                <w:szCs w:val="17"/>
                <w:lang w:eastAsia="zh-TW"/>
              </w:rPr>
              <w:t>限的數額。</w:t>
            </w:r>
          </w:p>
        </w:tc>
      </w:tr>
      <w:tr w:rsidR="00B364EC" w14:paraId="7B82B0AB" w14:textId="77777777" w:rsidTr="00B364EC">
        <w:tc>
          <w:tcPr>
            <w:tcW w:w="567" w:type="dxa"/>
            <w:tcBorders>
              <w:top w:val="single" w:sz="4" w:space="0" w:color="000000"/>
              <w:left w:val="single" w:sz="4" w:space="0" w:color="000000"/>
              <w:bottom w:val="single" w:sz="4" w:space="0" w:color="000000"/>
            </w:tcBorders>
            <w:shd w:val="clear" w:color="auto" w:fill="auto"/>
          </w:tcPr>
          <w:p w14:paraId="07A3E924" w14:textId="5A8F7787" w:rsidR="00B364EC" w:rsidRDefault="00B364EC" w:rsidP="00B364EC">
            <w:pPr>
              <w:pStyle w:val="TableNote"/>
              <w:keepNext/>
              <w:spacing w:before="40" w:after="40"/>
              <w:rPr>
                <w:rFonts w:eastAsia="細明體"/>
                <w:sz w:val="17"/>
                <w:szCs w:val="17"/>
              </w:rPr>
            </w:pPr>
            <w:r>
              <w:rPr>
                <w:rFonts w:eastAsia="細明體"/>
                <w:sz w:val="17"/>
                <w:szCs w:val="17"/>
              </w:rPr>
              <w:t>5</w:t>
            </w:r>
            <w:r>
              <w:rPr>
                <w:rFonts w:eastAsia="細明體" w:hint="eastAsia"/>
                <w:sz w:val="17"/>
                <w:szCs w:val="17"/>
              </w:rPr>
              <w:t>至</w:t>
            </w:r>
            <w:r>
              <w:rPr>
                <w:rFonts w:eastAsia="細明體"/>
                <w:sz w:val="17"/>
                <w:szCs w:val="17"/>
              </w:rPr>
              <w:t>N-1</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3633C7BF" w14:textId="77777777" w:rsidR="00B364EC" w:rsidRDefault="00B364EC" w:rsidP="00B364EC">
            <w:pPr>
              <w:pStyle w:val="TableNote"/>
              <w:keepNext/>
              <w:spacing w:before="40" w:after="40"/>
              <w:rPr>
                <w:lang w:eastAsia="zh-TW"/>
              </w:rPr>
            </w:pPr>
            <w:r>
              <w:rPr>
                <w:rFonts w:eastAsia="細明體" w:hint="eastAsia"/>
                <w:sz w:val="17"/>
                <w:szCs w:val="17"/>
                <w:lang w:eastAsia="zh-TW"/>
              </w:rPr>
              <w:t>於上文第</w:t>
            </w:r>
            <w:r>
              <w:rPr>
                <w:rFonts w:eastAsia="細明體"/>
                <w:sz w:val="17"/>
                <w:szCs w:val="17"/>
                <w:lang w:eastAsia="zh-TW"/>
              </w:rPr>
              <w:t>5</w:t>
            </w:r>
            <w:r>
              <w:rPr>
                <w:rFonts w:eastAsia="細明體" w:hint="eastAsia"/>
                <w:sz w:val="17"/>
                <w:szCs w:val="17"/>
                <w:lang w:eastAsia="zh-TW"/>
              </w:rPr>
              <w:t>至</w:t>
            </w:r>
            <w:r>
              <w:rPr>
                <w:rFonts w:eastAsia="細明體"/>
                <w:sz w:val="17"/>
                <w:szCs w:val="17"/>
                <w:lang w:eastAsia="zh-TW"/>
              </w:rPr>
              <w:t>N-1</w:t>
            </w:r>
            <w:r>
              <w:rPr>
                <w:rFonts w:eastAsia="細明體"/>
                <w:sz w:val="17"/>
                <w:szCs w:val="17"/>
                <w:lang w:eastAsia="zh-TW"/>
              </w:rPr>
              <w:t>行</w:t>
            </w:r>
            <w:r>
              <w:rPr>
                <w:rFonts w:eastAsia="細明體" w:hint="eastAsia"/>
                <w:sz w:val="17"/>
                <w:szCs w:val="17"/>
                <w:lang w:eastAsia="zh-TW"/>
              </w:rPr>
              <w:t>所示的</w:t>
            </w:r>
            <w:r>
              <w:rPr>
                <w:rFonts w:eastAsia="細明體"/>
                <w:sz w:val="17"/>
                <w:szCs w:val="17"/>
                <w:lang w:eastAsia="zh-TW"/>
              </w:rPr>
              <w:t>標題僅供說明之用，認可機構應予以修訂，以說明引致其財務報表</w:t>
            </w:r>
            <w:proofErr w:type="gramStart"/>
            <w:r>
              <w:rPr>
                <w:rFonts w:eastAsia="細明體"/>
                <w:sz w:val="17"/>
                <w:szCs w:val="17"/>
                <w:lang w:eastAsia="zh-TW"/>
              </w:rPr>
              <w:t>帳面</w:t>
            </w:r>
            <w:proofErr w:type="gramEnd"/>
            <w:r>
              <w:rPr>
                <w:rFonts w:eastAsia="細明體"/>
                <w:sz w:val="17"/>
                <w:szCs w:val="17"/>
                <w:lang w:eastAsia="zh-TW"/>
              </w:rPr>
              <w:t>值與為監管目的而考慮的</w:t>
            </w:r>
            <w:r>
              <w:rPr>
                <w:rFonts w:eastAsia="細明體" w:hint="eastAsia"/>
                <w:sz w:val="17"/>
                <w:szCs w:val="17"/>
                <w:lang w:eastAsia="zh-TW"/>
              </w:rPr>
              <w:t>風險承擔</w:t>
            </w:r>
            <w:r>
              <w:rPr>
                <w:rFonts w:eastAsia="細明體"/>
                <w:sz w:val="17"/>
                <w:szCs w:val="17"/>
                <w:lang w:eastAsia="zh-TW"/>
              </w:rPr>
              <w:t>數額之間的差</w:t>
            </w:r>
            <w:r>
              <w:rPr>
                <w:rFonts w:eastAsia="細明體" w:hint="eastAsia"/>
                <w:sz w:val="17"/>
                <w:szCs w:val="17"/>
                <w:lang w:eastAsia="zh-TW"/>
              </w:rPr>
              <w:t>額</w:t>
            </w:r>
            <w:r>
              <w:rPr>
                <w:rFonts w:eastAsia="細明體"/>
                <w:sz w:val="17"/>
                <w:szCs w:val="17"/>
                <w:lang w:eastAsia="zh-TW"/>
              </w:rPr>
              <w:t>的最具參考價值</w:t>
            </w:r>
            <w:r>
              <w:rPr>
                <w:rFonts w:eastAsia="細明體" w:hint="eastAsia"/>
                <w:sz w:val="17"/>
                <w:szCs w:val="17"/>
                <w:lang w:eastAsia="zh-TW"/>
              </w:rPr>
              <w:t>的驅動</w:t>
            </w:r>
            <w:r>
              <w:rPr>
                <w:rFonts w:eastAsia="細明體"/>
                <w:sz w:val="17"/>
                <w:szCs w:val="17"/>
                <w:lang w:eastAsia="zh-TW"/>
              </w:rPr>
              <w:t>因素。</w:t>
            </w:r>
          </w:p>
        </w:tc>
      </w:tr>
      <w:tr w:rsidR="00B364EC" w14:paraId="000B7BB0" w14:textId="77777777" w:rsidTr="00B364EC">
        <w:tc>
          <w:tcPr>
            <w:tcW w:w="567" w:type="dxa"/>
            <w:tcBorders>
              <w:top w:val="single" w:sz="4" w:space="0" w:color="000000"/>
              <w:left w:val="single" w:sz="4" w:space="0" w:color="000000"/>
              <w:bottom w:val="single" w:sz="4" w:space="0" w:color="000000"/>
            </w:tcBorders>
            <w:shd w:val="clear" w:color="auto" w:fill="auto"/>
          </w:tcPr>
          <w:p w14:paraId="5FC0787F" w14:textId="77777777" w:rsidR="00B364EC" w:rsidRDefault="00B364EC" w:rsidP="00B364EC">
            <w:pPr>
              <w:pStyle w:val="TableNote"/>
              <w:keepNext/>
              <w:spacing w:before="40" w:after="40"/>
              <w:rPr>
                <w:rFonts w:eastAsia="細明體"/>
                <w:sz w:val="17"/>
                <w:szCs w:val="17"/>
              </w:rPr>
            </w:pPr>
            <w:r>
              <w:rPr>
                <w:rFonts w:eastAsia="細明體"/>
                <w:sz w:val="17"/>
                <w:szCs w:val="17"/>
              </w:rPr>
              <w:t>7</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75DB7B06" w14:textId="0D7E6167" w:rsidR="00B364EC" w:rsidRPr="00E67E76" w:rsidRDefault="00B364EC" w:rsidP="00F2749F">
            <w:pPr>
              <w:pStyle w:val="TableNote"/>
              <w:keepNext/>
              <w:spacing w:before="40" w:after="40"/>
              <w:rPr>
                <w:rFonts w:eastAsia="細明體" w:cs="Segoe UI"/>
                <w:sz w:val="17"/>
                <w:szCs w:val="17"/>
                <w:lang w:eastAsia="zh-TW"/>
              </w:rPr>
            </w:pPr>
            <w:r w:rsidRPr="00E67E76">
              <w:rPr>
                <w:rFonts w:eastAsia="細明體" w:cs="Segoe UI"/>
                <w:i/>
                <w:sz w:val="17"/>
                <w:lang w:eastAsia="zh-TW"/>
              </w:rPr>
              <w:t>因準備金的考慮所引致的差額：</w:t>
            </w:r>
            <w:r w:rsidRPr="00E67E76">
              <w:rPr>
                <w:rFonts w:eastAsia="細明體" w:cs="Segoe UI"/>
                <w:sz w:val="17"/>
                <w:lang w:eastAsia="zh-HK"/>
              </w:rPr>
              <w:t>第</w:t>
            </w:r>
            <w:r w:rsidRPr="00E67E76">
              <w:rPr>
                <w:rFonts w:eastAsia="細明體" w:cs="Segoe UI"/>
                <w:sz w:val="17"/>
                <w:lang w:eastAsia="zh-TW"/>
              </w:rPr>
              <w:t>1</w:t>
            </w:r>
            <w:r w:rsidRPr="00E67E76">
              <w:rPr>
                <w:rFonts w:eastAsia="細明體" w:cs="Segoe UI"/>
                <w:sz w:val="17"/>
                <w:lang w:eastAsia="zh-HK"/>
              </w:rPr>
              <w:t>行的風險承擔值為帳面值</w:t>
            </w:r>
            <w:r w:rsidRPr="00E67E76">
              <w:rPr>
                <w:rFonts w:eastAsia="細明體" w:cs="Segoe UI"/>
                <w:sz w:val="17"/>
                <w:lang w:eastAsia="zh-TW"/>
              </w:rPr>
              <w:t>，</w:t>
            </w:r>
            <w:r w:rsidRPr="00E67E76">
              <w:rPr>
                <w:rFonts w:eastAsia="細明體" w:cs="Segoe UI"/>
                <w:sz w:val="17"/>
                <w:lang w:eastAsia="zh-HK"/>
              </w:rPr>
              <w:t>因</w:t>
            </w:r>
            <w:r w:rsidRPr="00E67E76">
              <w:rPr>
                <w:rFonts w:eastAsia="細明體" w:cs="Segoe UI"/>
                <w:sz w:val="17"/>
                <w:lang w:eastAsia="zh-TW"/>
              </w:rPr>
              <w:t>此</w:t>
            </w:r>
            <w:r w:rsidRPr="00E67E76">
              <w:rPr>
                <w:rFonts w:eastAsia="細明體" w:cs="Segoe UI"/>
                <w:sz w:val="17"/>
                <w:lang w:eastAsia="zh-HK"/>
              </w:rPr>
              <w:t>已扣除準備金</w:t>
            </w:r>
            <w:r w:rsidRPr="00E67E76">
              <w:rPr>
                <w:rFonts w:eastAsia="細明體" w:cs="Segoe UI"/>
                <w:sz w:val="17"/>
                <w:lang w:eastAsia="zh-TW"/>
              </w:rPr>
              <w:t>（</w:t>
            </w:r>
            <w:r w:rsidRPr="00E67E76">
              <w:rPr>
                <w:rFonts w:eastAsia="細明體" w:cs="Segoe UI"/>
                <w:sz w:val="17"/>
                <w:lang w:eastAsia="zh-HK"/>
              </w:rPr>
              <w:t>即特定準備金及集體準備金</w:t>
            </w:r>
            <w:r w:rsidRPr="00E67E76">
              <w:rPr>
                <w:rFonts w:eastAsia="細明體" w:cs="Segoe UI"/>
                <w:sz w:val="17"/>
                <w:lang w:eastAsia="zh-TW"/>
              </w:rPr>
              <w:t>）。</w:t>
            </w:r>
            <w:r w:rsidRPr="00E67E76">
              <w:rPr>
                <w:rFonts w:eastAsia="細明體" w:cs="Segoe UI"/>
                <w:sz w:val="17"/>
                <w:szCs w:val="17"/>
                <w:lang w:eastAsia="zh-TW"/>
              </w:rPr>
              <w:t>然而，在</w:t>
            </w:r>
            <w:r w:rsidRPr="00E67E76">
              <w:rPr>
                <w:rFonts w:eastAsia="細明體" w:cs="Segoe UI"/>
                <w:sz w:val="17"/>
                <w:szCs w:val="17"/>
                <w:lang w:eastAsia="zh-TW"/>
              </w:rPr>
              <w:t>IRB</w:t>
            </w:r>
            <w:r w:rsidRPr="00E67E76">
              <w:rPr>
                <w:rFonts w:eastAsia="細明體" w:cs="Segoe UI"/>
                <w:sz w:val="17"/>
                <w:szCs w:val="17"/>
                <w:lang w:eastAsia="zh-TW"/>
              </w:rPr>
              <w:t>計算法下的風險承擔</w:t>
            </w:r>
            <w:proofErr w:type="gramStart"/>
            <w:r w:rsidRPr="00E67E76">
              <w:rPr>
                <w:rFonts w:eastAsia="細明體" w:cs="Segoe UI"/>
                <w:sz w:val="17"/>
                <w:szCs w:val="17"/>
                <w:lang w:eastAsia="zh-TW"/>
              </w:rPr>
              <w:t>是按</w:t>
            </w:r>
            <w:r w:rsidR="00B21EF1" w:rsidRPr="00E67E76">
              <w:rPr>
                <w:rFonts w:eastAsia="細明體" w:cs="Segoe UI"/>
                <w:sz w:val="17"/>
                <w:szCs w:val="17"/>
                <w:lang w:eastAsia="zh-TW"/>
              </w:rPr>
              <w:t>未扣除</w:t>
            </w:r>
            <w:proofErr w:type="gramEnd"/>
            <w:r w:rsidRPr="00E67E76">
              <w:rPr>
                <w:rFonts w:eastAsia="細明體" w:cs="Segoe UI"/>
                <w:sz w:val="17"/>
                <w:szCs w:val="17"/>
                <w:lang w:eastAsia="zh-TW"/>
              </w:rPr>
              <w:t>準備金</w:t>
            </w:r>
            <w:r w:rsidR="00B21EF1" w:rsidRPr="00E67E76">
              <w:rPr>
                <w:rFonts w:eastAsia="細明體" w:cs="Segoe UI"/>
                <w:sz w:val="17"/>
                <w:szCs w:val="17"/>
                <w:lang w:eastAsia="zh-TW"/>
              </w:rPr>
              <w:t>的</w:t>
            </w:r>
            <w:r w:rsidRPr="00E67E76">
              <w:rPr>
                <w:rFonts w:eastAsia="細明體" w:cs="Segoe UI"/>
                <w:sz w:val="17"/>
                <w:szCs w:val="17"/>
                <w:lang w:eastAsia="zh-TW"/>
              </w:rPr>
              <w:t>總額進行風險加權。因此，第</w:t>
            </w:r>
            <w:r w:rsidRPr="00E67E76">
              <w:rPr>
                <w:rFonts w:eastAsia="細明體" w:cs="Segoe UI"/>
                <w:sz w:val="17"/>
                <w:szCs w:val="17"/>
                <w:lang w:eastAsia="zh-TW"/>
              </w:rPr>
              <w:t>7</w:t>
            </w:r>
            <w:r w:rsidRPr="00E67E76">
              <w:rPr>
                <w:rFonts w:eastAsia="細明體" w:cs="Segoe UI"/>
                <w:sz w:val="17"/>
                <w:szCs w:val="17"/>
                <w:lang w:eastAsia="zh-TW"/>
              </w:rPr>
              <w:t>行是將集體及特定準備金重新</w:t>
            </w:r>
            <w:r w:rsidR="00B21EF1" w:rsidRPr="00E67E76">
              <w:rPr>
                <w:rFonts w:eastAsia="細明體" w:cs="Segoe UI"/>
                <w:sz w:val="17"/>
                <w:szCs w:val="17"/>
                <w:lang w:eastAsia="zh-TW"/>
              </w:rPr>
              <w:t>納</w:t>
            </w:r>
            <w:r w:rsidRPr="00E67E76">
              <w:rPr>
                <w:rFonts w:eastAsia="細明體" w:cs="Segoe UI"/>
                <w:sz w:val="17"/>
                <w:szCs w:val="17"/>
                <w:lang w:eastAsia="zh-TW"/>
              </w:rPr>
              <w:t>入</w:t>
            </w:r>
            <w:r w:rsidRPr="00E67E76">
              <w:rPr>
                <w:rFonts w:eastAsia="細明體" w:cs="Segoe UI"/>
                <w:sz w:val="17"/>
                <w:szCs w:val="17"/>
                <w:lang w:eastAsia="zh-TW"/>
              </w:rPr>
              <w:t>IRB</w:t>
            </w:r>
            <w:r w:rsidRPr="00E67E76">
              <w:rPr>
                <w:rFonts w:eastAsia="細明體" w:cs="Segoe UI"/>
                <w:sz w:val="17"/>
                <w:szCs w:val="17"/>
                <w:lang w:eastAsia="zh-TW"/>
              </w:rPr>
              <w:t>計算法</w:t>
            </w:r>
            <w:r w:rsidR="00B21EF1" w:rsidRPr="00E67E76">
              <w:rPr>
                <w:rFonts w:eastAsia="細明體" w:cs="Segoe UI"/>
                <w:sz w:val="17"/>
                <w:szCs w:val="17"/>
                <w:lang w:eastAsia="zh-TW"/>
              </w:rPr>
              <w:t>下</w:t>
            </w:r>
            <w:r w:rsidRPr="00E67E76">
              <w:rPr>
                <w:rFonts w:eastAsia="細明體" w:cs="Segoe UI"/>
                <w:sz w:val="17"/>
                <w:szCs w:val="17"/>
                <w:lang w:eastAsia="zh-TW"/>
              </w:rPr>
              <w:t>風險承擔的</w:t>
            </w:r>
            <w:proofErr w:type="gramStart"/>
            <w:r w:rsidRPr="00E67E76">
              <w:rPr>
                <w:rFonts w:eastAsia="細明體" w:cs="Segoe UI"/>
                <w:sz w:val="17"/>
                <w:szCs w:val="17"/>
                <w:lang w:eastAsia="zh-TW"/>
              </w:rPr>
              <w:t>帳面</w:t>
            </w:r>
            <w:proofErr w:type="gramEnd"/>
            <w:r w:rsidRPr="00E67E76">
              <w:rPr>
                <w:rFonts w:eastAsia="細明體" w:cs="Segoe UI"/>
                <w:sz w:val="17"/>
                <w:szCs w:val="17"/>
                <w:lang w:eastAsia="zh-TW"/>
              </w:rPr>
              <w:t>值</w:t>
            </w:r>
            <w:r w:rsidR="00B21EF1" w:rsidRPr="00E67E76">
              <w:rPr>
                <w:rFonts w:eastAsia="細明體" w:cs="Segoe UI"/>
                <w:sz w:val="17"/>
                <w:szCs w:val="17"/>
                <w:lang w:eastAsia="zh-TW"/>
              </w:rPr>
              <w:t>中</w:t>
            </w:r>
            <w:r w:rsidRPr="00E67E76">
              <w:rPr>
                <w:rFonts w:eastAsia="細明體" w:cs="Segoe UI"/>
                <w:sz w:val="17"/>
                <w:szCs w:val="17"/>
                <w:lang w:eastAsia="zh-TW"/>
              </w:rPr>
              <w:t>，</w:t>
            </w:r>
            <w:r w:rsidRPr="00E67E76">
              <w:rPr>
                <w:rFonts w:eastAsia="細明體" w:cs="Segoe UI"/>
                <w:sz w:val="17"/>
                <w:szCs w:val="17"/>
                <w:lang w:eastAsia="zh-HK"/>
              </w:rPr>
              <w:t>令該等風險承擔的</w:t>
            </w:r>
            <w:proofErr w:type="gramStart"/>
            <w:r w:rsidRPr="00E67E76">
              <w:rPr>
                <w:rFonts w:eastAsia="細明體" w:cs="Segoe UI"/>
                <w:sz w:val="17"/>
                <w:szCs w:val="17"/>
                <w:lang w:eastAsia="zh-HK"/>
              </w:rPr>
              <w:t>帳面</w:t>
            </w:r>
            <w:proofErr w:type="gramEnd"/>
            <w:r w:rsidRPr="00E67E76">
              <w:rPr>
                <w:rFonts w:eastAsia="細明體" w:cs="Segoe UI"/>
                <w:sz w:val="17"/>
                <w:szCs w:val="17"/>
                <w:lang w:eastAsia="zh-HK"/>
              </w:rPr>
              <w:t>值與其</w:t>
            </w:r>
            <w:r w:rsidRPr="00E67E76">
              <w:rPr>
                <w:rFonts w:eastAsia="細明體" w:cs="Segoe UI"/>
                <w:bCs/>
                <w:sz w:val="17"/>
                <w:szCs w:val="17"/>
                <w:lang w:eastAsia="zh-HK"/>
              </w:rPr>
              <w:t>監管風險承擔值一致</w:t>
            </w:r>
            <w:r w:rsidRPr="00E67E76">
              <w:rPr>
                <w:rFonts w:eastAsia="細明體" w:cs="Segoe UI"/>
                <w:bCs/>
                <w:sz w:val="17"/>
                <w:szCs w:val="17"/>
                <w:lang w:eastAsia="zh-TW"/>
              </w:rPr>
              <w:t>。</w:t>
            </w:r>
            <w:r w:rsidR="00466AFB" w:rsidRPr="00E67E76">
              <w:rPr>
                <w:rFonts w:eastAsia="細明體" w:cs="Segoe UI"/>
                <w:bCs/>
                <w:sz w:val="17"/>
                <w:szCs w:val="17"/>
                <w:lang w:eastAsia="zh-TW"/>
              </w:rPr>
              <w:t>第</w:t>
            </w:r>
            <w:r w:rsidR="00466AFB" w:rsidRPr="00E67E76">
              <w:rPr>
                <w:rFonts w:eastAsia="細明體" w:cs="Segoe UI"/>
                <w:bCs/>
                <w:sz w:val="17"/>
                <w:szCs w:val="17"/>
                <w:lang w:eastAsia="zh-TW"/>
              </w:rPr>
              <w:t>7</w:t>
            </w:r>
            <w:r w:rsidR="00466AFB" w:rsidRPr="00E67E76">
              <w:rPr>
                <w:rFonts w:eastAsia="細明體" w:cs="Segoe UI"/>
                <w:bCs/>
                <w:sz w:val="17"/>
                <w:szCs w:val="17"/>
                <w:lang w:eastAsia="zh-TW"/>
              </w:rPr>
              <w:t>行亦可包括在</w:t>
            </w:r>
            <w:r w:rsidR="00466AFB" w:rsidRPr="00E67E76">
              <w:rPr>
                <w:rFonts w:eastAsia="細明體" w:cs="Segoe UI"/>
                <w:bCs/>
                <w:sz w:val="17"/>
                <w:szCs w:val="17"/>
                <w:lang w:eastAsia="zh-TW"/>
              </w:rPr>
              <w:t>STC</w:t>
            </w:r>
            <w:r w:rsidR="00466AFB" w:rsidRPr="00E67E76">
              <w:rPr>
                <w:rFonts w:eastAsia="細明體" w:cs="Segoe UI"/>
                <w:bCs/>
                <w:sz w:val="17"/>
                <w:szCs w:val="17"/>
                <w:lang w:eastAsia="zh-TW"/>
              </w:rPr>
              <w:t>計算法下可能已從風險承擔的</w:t>
            </w:r>
            <w:proofErr w:type="gramStart"/>
            <w:r w:rsidR="00466AFB" w:rsidRPr="00E67E76">
              <w:rPr>
                <w:rFonts w:eastAsia="細明體" w:cs="Segoe UI"/>
                <w:bCs/>
                <w:sz w:val="17"/>
                <w:szCs w:val="17"/>
                <w:lang w:eastAsia="zh-TW"/>
              </w:rPr>
              <w:t>帳面</w:t>
            </w:r>
            <w:proofErr w:type="gramEnd"/>
            <w:r w:rsidR="00466AFB" w:rsidRPr="00E67E76">
              <w:rPr>
                <w:rFonts w:eastAsia="細明體" w:cs="Segoe UI"/>
                <w:bCs/>
                <w:sz w:val="17"/>
                <w:szCs w:val="17"/>
                <w:lang w:eastAsia="zh-TW"/>
              </w:rPr>
              <w:t>值中扣減的、合資格作為集體準備金的元素，因此需要將其重新納入該等風險承擔的監管風險承擔值中</w:t>
            </w:r>
            <w:r w:rsidRPr="00E67E76">
              <w:rPr>
                <w:rFonts w:eastAsia="細明體" w:cs="Segoe UI"/>
                <w:sz w:val="17"/>
                <w:szCs w:val="17"/>
                <w:lang w:eastAsia="zh-TW"/>
              </w:rPr>
              <w:t>。</w:t>
            </w:r>
            <w:r w:rsidRPr="00E67E76">
              <w:rPr>
                <w:rFonts w:eastAsia="細明體" w:cs="Segoe UI"/>
                <w:sz w:val="17"/>
                <w:szCs w:val="17"/>
                <w:lang w:eastAsia="zh-HK"/>
              </w:rPr>
              <w:t>會計準備金</w:t>
            </w:r>
            <w:r w:rsidR="00EA1EA6" w:rsidRPr="00E67E76">
              <w:rPr>
                <w:rFonts w:eastAsia="細明體" w:cs="Segoe UI"/>
                <w:sz w:val="17"/>
                <w:szCs w:val="17"/>
                <w:lang w:eastAsia="zh-HK"/>
              </w:rPr>
              <w:t>與</w:t>
            </w:r>
            <w:r w:rsidRPr="00E67E76">
              <w:rPr>
                <w:rFonts w:eastAsia="細明體" w:cs="Segoe UI"/>
                <w:sz w:val="17"/>
                <w:szCs w:val="17"/>
                <w:lang w:eastAsia="zh-HK"/>
              </w:rPr>
              <w:t>監管準備金之間會對</w:t>
            </w:r>
            <w:r w:rsidR="00567265" w:rsidRPr="00E67E76">
              <w:rPr>
                <w:rFonts w:eastAsia="細明體" w:cs="Segoe UI"/>
                <w:sz w:val="17"/>
                <w:szCs w:val="17"/>
                <w:lang w:eastAsia="zh-HK"/>
              </w:rPr>
              <w:t>以</w:t>
            </w:r>
            <w:r w:rsidRPr="00E67E76">
              <w:rPr>
                <w:rFonts w:eastAsia="細明體" w:cs="Segoe UI"/>
                <w:sz w:val="17"/>
                <w:szCs w:val="17"/>
                <w:lang w:eastAsia="zh-HK"/>
              </w:rPr>
              <w:t>監管</w:t>
            </w:r>
            <w:r w:rsidR="00466AFB" w:rsidRPr="00E67E76">
              <w:rPr>
                <w:rFonts w:eastAsia="細明體" w:cs="Segoe UI"/>
                <w:sz w:val="17"/>
                <w:szCs w:val="17"/>
                <w:lang w:eastAsia="zh-HK"/>
              </w:rPr>
              <w:t>為</w:t>
            </w:r>
            <w:r w:rsidRPr="00E67E76">
              <w:rPr>
                <w:rFonts w:eastAsia="細明體" w:cs="Segoe UI"/>
                <w:sz w:val="17"/>
                <w:szCs w:val="17"/>
                <w:lang w:eastAsia="zh-HK"/>
              </w:rPr>
              <w:t>目的</w:t>
            </w:r>
            <w:r w:rsidR="00567265" w:rsidRPr="00E67E76">
              <w:rPr>
                <w:rFonts w:eastAsia="細明體" w:cs="Segoe UI"/>
                <w:sz w:val="17"/>
                <w:szCs w:val="17"/>
                <w:lang w:eastAsia="zh-HK"/>
              </w:rPr>
              <w:t>所考</w:t>
            </w:r>
            <w:r w:rsidR="00567265" w:rsidRPr="00E67E76">
              <w:rPr>
                <w:rFonts w:eastAsia="細明體" w:cs="Segoe UI"/>
                <w:sz w:val="17"/>
                <w:szCs w:val="17"/>
                <w:lang w:eastAsia="zh-TW"/>
              </w:rPr>
              <w:t>慮</w:t>
            </w:r>
            <w:r w:rsidRPr="00E67E76">
              <w:rPr>
                <w:rFonts w:eastAsia="細明體" w:cs="Segoe UI"/>
                <w:sz w:val="17"/>
                <w:szCs w:val="17"/>
                <w:lang w:eastAsia="zh-HK"/>
              </w:rPr>
              <w:t>的風險承擔數額造成影響的任何差額</w:t>
            </w:r>
            <w:r w:rsidRPr="00E67E76">
              <w:rPr>
                <w:rFonts w:eastAsia="細明體" w:cs="Segoe UI"/>
                <w:sz w:val="17"/>
                <w:szCs w:val="17"/>
                <w:lang w:eastAsia="zh-TW"/>
              </w:rPr>
              <w:t>，</w:t>
            </w:r>
            <w:r w:rsidRPr="00E67E76">
              <w:rPr>
                <w:rFonts w:eastAsia="細明體" w:cs="Segoe UI"/>
                <w:sz w:val="17"/>
                <w:szCs w:val="17"/>
                <w:lang w:eastAsia="zh-HK"/>
              </w:rPr>
              <w:t>亦應包括在第</w:t>
            </w:r>
            <w:r w:rsidRPr="00E67E76">
              <w:rPr>
                <w:rFonts w:eastAsia="細明體" w:cs="Segoe UI"/>
                <w:sz w:val="17"/>
                <w:szCs w:val="17"/>
                <w:lang w:eastAsia="zh-TW"/>
              </w:rPr>
              <w:t>7</w:t>
            </w:r>
            <w:r w:rsidRPr="00E67E76">
              <w:rPr>
                <w:rFonts w:eastAsia="細明體" w:cs="Segoe UI"/>
                <w:sz w:val="17"/>
                <w:szCs w:val="17"/>
                <w:lang w:eastAsia="zh-HK"/>
              </w:rPr>
              <w:t>行</w:t>
            </w:r>
            <w:r w:rsidRPr="00E67E76">
              <w:rPr>
                <w:rFonts w:eastAsia="細明體" w:cs="Segoe UI"/>
                <w:sz w:val="17"/>
                <w:szCs w:val="17"/>
                <w:lang w:eastAsia="zh-TW"/>
              </w:rPr>
              <w:t>。</w:t>
            </w:r>
          </w:p>
        </w:tc>
      </w:tr>
      <w:tr w:rsidR="00B364EC" w14:paraId="2FA24E9B" w14:textId="77777777" w:rsidTr="00B364EC">
        <w:tc>
          <w:tcPr>
            <w:tcW w:w="567" w:type="dxa"/>
            <w:tcBorders>
              <w:top w:val="single" w:sz="4" w:space="0" w:color="000000"/>
              <w:left w:val="single" w:sz="4" w:space="0" w:color="000000"/>
              <w:bottom w:val="single" w:sz="4" w:space="0" w:color="000000"/>
            </w:tcBorders>
            <w:shd w:val="clear" w:color="auto" w:fill="auto"/>
          </w:tcPr>
          <w:p w14:paraId="5394AEA2" w14:textId="77777777" w:rsidR="00B364EC" w:rsidRDefault="00B364EC" w:rsidP="00B364EC">
            <w:pPr>
              <w:pStyle w:val="TableNote"/>
              <w:keepNext/>
              <w:rPr>
                <w:rFonts w:eastAsia="細明體"/>
                <w:i/>
                <w:sz w:val="17"/>
                <w:szCs w:val="17"/>
              </w:rPr>
            </w:pPr>
            <w:r>
              <w:rPr>
                <w:rFonts w:eastAsia="細明體"/>
                <w:sz w:val="17"/>
                <w:szCs w:val="17"/>
              </w:rPr>
              <w:t>N</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09FC5054" w14:textId="2DD2A0F7" w:rsidR="00B364EC" w:rsidRDefault="00B364EC" w:rsidP="00B364EC">
            <w:pPr>
              <w:pStyle w:val="TableNote"/>
              <w:keepNext/>
              <w:spacing w:before="40" w:after="40"/>
              <w:rPr>
                <w:lang w:eastAsia="zh-TW"/>
              </w:rPr>
            </w:pPr>
            <w:r w:rsidRPr="00625F14">
              <w:rPr>
                <w:rFonts w:eastAsia="細明體" w:hint="eastAsia"/>
                <w:i/>
                <w:sz w:val="17"/>
                <w:szCs w:val="17"/>
                <w:lang w:eastAsia="zh-TW"/>
              </w:rPr>
              <w:t>以</w:t>
            </w:r>
            <w:r>
              <w:rPr>
                <w:rFonts w:eastAsia="細明體" w:hint="eastAsia"/>
                <w:i/>
                <w:sz w:val="17"/>
                <w:szCs w:val="17"/>
                <w:lang w:eastAsia="zh-TW"/>
              </w:rPr>
              <w:t>監管</w:t>
            </w:r>
            <w:r w:rsidRPr="00063A27">
              <w:rPr>
                <w:rFonts w:eastAsia="細明體" w:hint="eastAsia"/>
                <w:i/>
                <w:sz w:val="17"/>
                <w:szCs w:val="17"/>
                <w:lang w:eastAsia="zh-TW"/>
              </w:rPr>
              <w:t>為</w:t>
            </w:r>
            <w:r>
              <w:rPr>
                <w:rFonts w:eastAsia="細明體" w:hint="eastAsia"/>
                <w:i/>
                <w:sz w:val="17"/>
                <w:szCs w:val="17"/>
                <w:lang w:eastAsia="zh-TW"/>
              </w:rPr>
              <w:t>目的</w:t>
            </w:r>
            <w:r w:rsidRPr="00063A27">
              <w:rPr>
                <w:rFonts w:eastAsia="細明體" w:hint="eastAsia"/>
                <w:i/>
                <w:sz w:val="17"/>
                <w:szCs w:val="17"/>
                <w:lang w:eastAsia="zh-TW"/>
              </w:rPr>
              <w:t>所</w:t>
            </w:r>
            <w:r>
              <w:rPr>
                <w:rFonts w:eastAsia="細明體" w:hint="eastAsia"/>
                <w:i/>
                <w:sz w:val="17"/>
                <w:szCs w:val="17"/>
                <w:lang w:eastAsia="zh-TW"/>
              </w:rPr>
              <w:t>考慮的風險承擔數</w:t>
            </w:r>
            <w:r>
              <w:rPr>
                <w:rFonts w:eastAsia="細明體"/>
                <w:i/>
                <w:sz w:val="17"/>
                <w:szCs w:val="17"/>
                <w:lang w:eastAsia="zh-TW"/>
              </w:rPr>
              <w:t>額</w:t>
            </w:r>
            <w:r>
              <w:rPr>
                <w:rFonts w:eastAsia="細明體" w:hint="eastAsia"/>
                <w:sz w:val="17"/>
                <w:szCs w:val="17"/>
                <w:lang w:eastAsia="zh-TW"/>
              </w:rPr>
              <w:t>：</w:t>
            </w:r>
            <w:proofErr w:type="gramStart"/>
            <w:r>
              <w:rPr>
                <w:rFonts w:eastAsia="細明體" w:hint="eastAsia"/>
                <w:sz w:val="17"/>
                <w:szCs w:val="17"/>
                <w:lang w:eastAsia="zh-TW"/>
              </w:rPr>
              <w:t>本</w:t>
            </w:r>
            <w:r>
              <w:rPr>
                <w:rFonts w:eastAsia="細明體"/>
                <w:sz w:val="17"/>
                <w:szCs w:val="17"/>
                <w:lang w:eastAsia="zh-TW"/>
              </w:rPr>
              <w:t>行</w:t>
            </w:r>
            <w:r>
              <w:rPr>
                <w:rFonts w:eastAsia="細明體" w:hint="eastAsia"/>
                <w:sz w:val="17"/>
                <w:szCs w:val="17"/>
                <w:lang w:eastAsia="zh-TW"/>
              </w:rPr>
              <w:t>呈示的</w:t>
            </w:r>
            <w:proofErr w:type="gramEnd"/>
            <w:r>
              <w:rPr>
                <w:rFonts w:eastAsia="細明體" w:hint="eastAsia"/>
                <w:sz w:val="17"/>
                <w:szCs w:val="17"/>
                <w:lang w:eastAsia="zh-TW"/>
              </w:rPr>
              <w:t>總額，</w:t>
            </w:r>
            <w:r>
              <w:rPr>
                <w:rFonts w:eastAsia="細明體"/>
                <w:sz w:val="17"/>
                <w:szCs w:val="17"/>
                <w:lang w:eastAsia="zh-TW"/>
              </w:rPr>
              <w:t>被視為每</w:t>
            </w:r>
            <w:proofErr w:type="gramStart"/>
            <w:r>
              <w:rPr>
                <w:rFonts w:eastAsia="細明體"/>
                <w:sz w:val="17"/>
                <w:szCs w:val="17"/>
                <w:lang w:eastAsia="zh-TW"/>
              </w:rPr>
              <w:t>個</w:t>
            </w:r>
            <w:proofErr w:type="gramEnd"/>
            <w:r>
              <w:rPr>
                <w:rFonts w:eastAsia="細明體"/>
                <w:sz w:val="17"/>
                <w:szCs w:val="17"/>
                <w:lang w:eastAsia="zh-TW"/>
              </w:rPr>
              <w:t>風險類別的風險加權數額計算的</w:t>
            </w:r>
            <w:r>
              <w:rPr>
                <w:rFonts w:eastAsia="細明體" w:hint="eastAsia"/>
                <w:sz w:val="17"/>
                <w:szCs w:val="17"/>
                <w:lang w:eastAsia="zh-TW"/>
              </w:rPr>
              <w:t>「起始點」（已</w:t>
            </w:r>
            <w:r w:rsidRPr="002126D8">
              <w:rPr>
                <w:rFonts w:eastAsia="細明體" w:hint="eastAsia"/>
                <w:sz w:val="17"/>
                <w:szCs w:val="17"/>
                <w:lang w:eastAsia="zh-TW"/>
              </w:rPr>
              <w:t>計算</w:t>
            </w:r>
            <w:r>
              <w:rPr>
                <w:rFonts w:eastAsia="細明體" w:hint="eastAsia"/>
                <w:sz w:val="17"/>
                <w:szCs w:val="17"/>
                <w:lang w:eastAsia="zh-TW"/>
              </w:rPr>
              <w:t>CCF</w:t>
            </w:r>
            <w:r>
              <w:rPr>
                <w:rFonts w:eastAsia="細明體" w:hint="eastAsia"/>
                <w:sz w:val="17"/>
                <w:szCs w:val="17"/>
                <w:lang w:eastAsia="zh-TW"/>
              </w:rPr>
              <w:t>及減低信用風險措施）。該總額：在信用風險框架下，應與</w:t>
            </w:r>
            <w:r>
              <w:rPr>
                <w:rFonts w:eastAsia="細明體"/>
                <w:sz w:val="17"/>
                <w:szCs w:val="17"/>
                <w:lang w:eastAsia="zh-TW"/>
              </w:rPr>
              <w:t>STC</w:t>
            </w:r>
            <w:r>
              <w:rPr>
                <w:rFonts w:eastAsia="細明體" w:hint="eastAsia"/>
                <w:sz w:val="17"/>
                <w:szCs w:val="17"/>
                <w:lang w:eastAsia="zh-TW"/>
              </w:rPr>
              <w:t>計算法或</w:t>
            </w:r>
            <w:r>
              <w:rPr>
                <w:rFonts w:eastAsia="細明體"/>
                <w:sz w:val="17"/>
                <w:szCs w:val="17"/>
                <w:lang w:eastAsia="zh-TW"/>
              </w:rPr>
              <w:t>BSC</w:t>
            </w:r>
            <w:r>
              <w:rPr>
                <w:rFonts w:eastAsia="細明體" w:hint="eastAsia"/>
                <w:sz w:val="17"/>
                <w:szCs w:val="17"/>
                <w:lang w:eastAsia="zh-TW"/>
              </w:rPr>
              <w:t>計算法中所運用的風險承擔數額，或與</w:t>
            </w:r>
            <w:r>
              <w:rPr>
                <w:rFonts w:eastAsia="細明體"/>
                <w:sz w:val="17"/>
                <w:szCs w:val="17"/>
                <w:lang w:eastAsia="zh-TW"/>
              </w:rPr>
              <w:t>IRB</w:t>
            </w:r>
            <w:r>
              <w:rPr>
                <w:rFonts w:eastAsia="細明體" w:hint="eastAsia"/>
                <w:sz w:val="17"/>
                <w:szCs w:val="17"/>
                <w:lang w:eastAsia="zh-TW"/>
              </w:rPr>
              <w:t>計算法</w:t>
            </w:r>
            <w:proofErr w:type="gramStart"/>
            <w:r>
              <w:rPr>
                <w:rFonts w:eastAsia="細明體" w:hint="eastAsia"/>
                <w:sz w:val="17"/>
                <w:szCs w:val="17"/>
                <w:lang w:eastAsia="zh-TW"/>
              </w:rPr>
              <w:t>中的違責風險</w:t>
            </w:r>
            <w:proofErr w:type="gramEnd"/>
            <w:r>
              <w:rPr>
                <w:rFonts w:eastAsia="細明體" w:hint="eastAsia"/>
                <w:sz w:val="17"/>
                <w:szCs w:val="17"/>
                <w:lang w:eastAsia="zh-TW"/>
              </w:rPr>
              <w:t>承擔相對應；在證券化框架下，與任何證券化類別風險承擔的風險承擔數額相對應；</w:t>
            </w:r>
            <w:r w:rsidR="00036C15">
              <w:rPr>
                <w:rFonts w:eastAsia="細明體" w:hint="eastAsia"/>
                <w:sz w:val="17"/>
                <w:szCs w:val="17"/>
                <w:lang w:eastAsia="zh-HK"/>
              </w:rPr>
              <w:t>及</w:t>
            </w:r>
            <w:r>
              <w:rPr>
                <w:rFonts w:eastAsia="細明體" w:hint="eastAsia"/>
                <w:sz w:val="17"/>
                <w:szCs w:val="17"/>
                <w:lang w:eastAsia="zh-TW"/>
              </w:rPr>
              <w:t>在對手方信用風險框架下，與違責風險的風險承擔</w:t>
            </w:r>
            <w:r>
              <w:rPr>
                <w:rFonts w:eastAsia="細明體" w:hint="eastAsia"/>
                <w:sz w:val="17"/>
                <w:szCs w:val="17"/>
                <w:lang w:eastAsia="zh-TW"/>
              </w:rPr>
              <w:t>(default risk</w:t>
            </w:r>
            <w:r>
              <w:rPr>
                <w:rFonts w:eastAsia="細明體"/>
                <w:sz w:val="17"/>
                <w:szCs w:val="17"/>
                <w:lang w:eastAsia="zh-TW"/>
              </w:rPr>
              <w:t xml:space="preserve"> exposure</w:t>
            </w:r>
            <w:r>
              <w:rPr>
                <w:rFonts w:eastAsia="細明體" w:hint="eastAsia"/>
                <w:sz w:val="17"/>
                <w:szCs w:val="17"/>
                <w:lang w:eastAsia="zh-TW"/>
              </w:rPr>
              <w:t>)</w:t>
            </w:r>
            <w:r>
              <w:rPr>
                <w:rFonts w:eastAsia="細明體" w:hint="eastAsia"/>
                <w:sz w:val="17"/>
                <w:szCs w:val="17"/>
                <w:lang w:eastAsia="zh-TW"/>
              </w:rPr>
              <w:t>或違責風險承擔</w:t>
            </w:r>
            <w:r>
              <w:rPr>
                <w:rFonts w:eastAsia="細明體" w:hint="eastAsia"/>
                <w:sz w:val="17"/>
                <w:szCs w:val="17"/>
                <w:lang w:eastAsia="zh-TW"/>
              </w:rPr>
              <w:t>(EAD)</w:t>
            </w:r>
            <w:r>
              <w:rPr>
                <w:rFonts w:eastAsia="細明體" w:hint="eastAsia"/>
                <w:sz w:val="17"/>
                <w:szCs w:val="17"/>
                <w:lang w:eastAsia="zh-TW"/>
              </w:rPr>
              <w:t>相對應。</w:t>
            </w:r>
          </w:p>
        </w:tc>
      </w:tr>
    </w:tbl>
    <w:p w14:paraId="07CCF818" w14:textId="259DEC42" w:rsidR="00AA0DF0" w:rsidRDefault="00AA0DF0" w:rsidP="00AA0DF0">
      <w:pPr>
        <w:spacing w:after="160" w:line="259" w:lineRule="auto"/>
        <w:rPr>
          <w:rFonts w:ascii="Calibri" w:eastAsia="新細明體" w:hAnsi="Calibri"/>
          <w:sz w:val="22"/>
          <w:szCs w:val="22"/>
          <w:lang w:eastAsia="zh-TW"/>
        </w:rPr>
      </w:pPr>
    </w:p>
    <w:p w14:paraId="6CFE9246" w14:textId="77777777" w:rsidR="00B364EC" w:rsidRDefault="00B364EC" w:rsidP="00AA0DF0">
      <w:pPr>
        <w:spacing w:after="160" w:line="259" w:lineRule="auto"/>
        <w:rPr>
          <w:rFonts w:ascii="Calibri" w:eastAsia="新細明體" w:hAnsi="Calibri"/>
          <w:sz w:val="22"/>
          <w:szCs w:val="22"/>
          <w:lang w:eastAsia="zh-TW"/>
        </w:rPr>
        <w:sectPr w:rsidR="00B364EC" w:rsidSect="00F52F24">
          <w:footerReference w:type="default" r:id="rId20"/>
          <w:pgSz w:w="16838" w:h="11906" w:orient="landscape"/>
          <w:pgMar w:top="1276" w:right="1440" w:bottom="1276" w:left="1440" w:header="720" w:footer="737" w:gutter="0"/>
          <w:cols w:space="720"/>
          <w:docGrid w:type="linesAndChars" w:linePitch="360"/>
        </w:sectPr>
      </w:pPr>
    </w:p>
    <w:p w14:paraId="5A0FEE8B" w14:textId="2D893785" w:rsidR="00EB4D73" w:rsidRPr="00EB4D73" w:rsidRDefault="00EB4D73" w:rsidP="00EB4D73">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EB4D73">
        <w:rPr>
          <w:rFonts w:ascii="細明體" w:eastAsia="細明體" w:hAnsi="細明體" w:cs="微軟正黑體" w:hint="eastAsia"/>
          <w:b w:val="0"/>
          <w:bCs w:val="0"/>
          <w:sz w:val="22"/>
          <w:szCs w:val="20"/>
          <w:lang w:eastAsia="zh-TW"/>
        </w:rPr>
        <w:t>表</w:t>
      </w:r>
      <w:r w:rsidRPr="00EB4D73">
        <w:rPr>
          <w:rFonts w:ascii="Segoe UI" w:eastAsia="Times New Roman" w:hAnsi="Segoe UI"/>
          <w:b w:val="0"/>
          <w:bCs w:val="0"/>
          <w:sz w:val="22"/>
          <w:szCs w:val="20"/>
          <w:lang w:eastAsia="zh-TW"/>
        </w:rPr>
        <w:t>LIA</w:t>
      </w:r>
      <w:r w:rsidRPr="00EB4D73">
        <w:rPr>
          <w:rFonts w:ascii="微軟正黑體" w:eastAsia="微軟正黑體" w:hAnsi="微軟正黑體" w:cs="微軟正黑體" w:hint="eastAsia"/>
          <w:b w:val="0"/>
          <w:bCs w:val="0"/>
          <w:sz w:val="22"/>
          <w:szCs w:val="20"/>
          <w:lang w:eastAsia="zh-TW"/>
        </w:rPr>
        <w:t>：</w:t>
      </w:r>
      <w:r w:rsidRPr="00EB4D73">
        <w:rPr>
          <w:rFonts w:ascii="細明體" w:eastAsia="細明體" w:hAnsi="細明體" w:cs="微軟正黑體" w:hint="eastAsia"/>
          <w:b w:val="0"/>
          <w:bCs w:val="0"/>
          <w:sz w:val="22"/>
          <w:szCs w:val="20"/>
          <w:lang w:eastAsia="zh-TW"/>
        </w:rPr>
        <w:t>會計與監管風險承擔數額之間的差額的解釋</w:t>
      </w:r>
    </w:p>
    <w:tbl>
      <w:tblPr>
        <w:tblW w:w="9248" w:type="dxa"/>
        <w:tblInd w:w="-459" w:type="dxa"/>
        <w:tblLayout w:type="fixed"/>
        <w:tblLook w:val="0000" w:firstRow="0" w:lastRow="0" w:firstColumn="0" w:lastColumn="0" w:noHBand="0" w:noVBand="0"/>
      </w:tblPr>
      <w:tblGrid>
        <w:gridCol w:w="2160"/>
        <w:gridCol w:w="7088"/>
      </w:tblGrid>
      <w:tr w:rsidR="00B364EC" w14:paraId="0648EF15" w14:textId="77777777" w:rsidTr="00B64781">
        <w:tc>
          <w:tcPr>
            <w:tcW w:w="2160" w:type="dxa"/>
            <w:tcBorders>
              <w:top w:val="single" w:sz="4" w:space="0" w:color="000000"/>
              <w:bottom w:val="single" w:sz="4" w:space="0" w:color="000000"/>
            </w:tcBorders>
            <w:shd w:val="clear" w:color="auto" w:fill="auto"/>
          </w:tcPr>
          <w:p w14:paraId="25EDB48B" w14:textId="77777777" w:rsidR="00B364EC" w:rsidRDefault="00B364EC" w:rsidP="00ED47B6">
            <w:pPr>
              <w:spacing w:after="40"/>
              <w:rPr>
                <w:rFonts w:eastAsia="細明體"/>
              </w:rPr>
            </w:pPr>
            <w:proofErr w:type="spellStart"/>
            <w:r>
              <w:rPr>
                <w:rFonts w:eastAsia="細明體" w:hint="eastAsia"/>
                <w:b/>
                <w:sz w:val="17"/>
              </w:rPr>
              <w:t>目的</w:t>
            </w:r>
            <w:proofErr w:type="spellEnd"/>
            <w:r>
              <w:rPr>
                <w:rFonts w:eastAsia="細明體" w:hint="eastAsia"/>
                <w:b/>
                <w:sz w:val="17"/>
              </w:rPr>
              <w:t>：</w:t>
            </w:r>
            <w:r>
              <w:rPr>
                <w:rFonts w:eastAsia="細明體"/>
                <w:sz w:val="17"/>
              </w:rPr>
              <w:t xml:space="preserve"> </w:t>
            </w:r>
          </w:p>
        </w:tc>
        <w:tc>
          <w:tcPr>
            <w:tcW w:w="7088" w:type="dxa"/>
            <w:tcBorders>
              <w:top w:val="single" w:sz="4" w:space="0" w:color="000000"/>
              <w:left w:val="single" w:sz="4" w:space="0" w:color="000000"/>
              <w:bottom w:val="single" w:sz="4" w:space="0" w:color="000000"/>
            </w:tcBorders>
            <w:shd w:val="clear" w:color="auto" w:fill="auto"/>
          </w:tcPr>
          <w:p w14:paraId="2B3408F8" w14:textId="77777777" w:rsidR="00B364EC" w:rsidRDefault="00B364EC" w:rsidP="00B364EC">
            <w:pPr>
              <w:pStyle w:val="TableText"/>
              <w:jc w:val="both"/>
              <w:rPr>
                <w:lang w:eastAsia="zh-TW"/>
              </w:rPr>
            </w:pPr>
            <w:r>
              <w:rPr>
                <w:rFonts w:eastAsia="細明體" w:hint="eastAsia"/>
                <w:lang w:eastAsia="zh-TW"/>
              </w:rPr>
              <w:t>提供在每</w:t>
            </w:r>
            <w:proofErr w:type="gramStart"/>
            <w:r>
              <w:rPr>
                <w:rFonts w:eastAsia="細明體" w:hint="eastAsia"/>
                <w:lang w:eastAsia="zh-TW"/>
              </w:rPr>
              <w:t>個</w:t>
            </w:r>
            <w:proofErr w:type="gramEnd"/>
            <w:r>
              <w:rPr>
                <w:rFonts w:eastAsia="細明體" w:hint="eastAsia"/>
                <w:lang w:eastAsia="zh-TW"/>
              </w:rPr>
              <w:t>風險框架下的會計</w:t>
            </w:r>
            <w:proofErr w:type="gramStart"/>
            <w:r>
              <w:rPr>
                <w:rFonts w:eastAsia="細明體" w:hint="eastAsia"/>
                <w:lang w:eastAsia="zh-TW"/>
              </w:rPr>
              <w:t>帳面</w:t>
            </w:r>
            <w:proofErr w:type="gramEnd"/>
            <w:r>
              <w:rPr>
                <w:rFonts w:eastAsia="細明體" w:hint="eastAsia"/>
                <w:lang w:eastAsia="zh-TW"/>
              </w:rPr>
              <w:t>值</w:t>
            </w:r>
            <w:r>
              <w:rPr>
                <w:rFonts w:eastAsia="細明體" w:hint="eastAsia"/>
                <w:szCs w:val="17"/>
                <w:lang w:eastAsia="zh-TW"/>
              </w:rPr>
              <w:t>（</w:t>
            </w:r>
            <w:r>
              <w:rPr>
                <w:rFonts w:eastAsia="細明體" w:hint="eastAsia"/>
                <w:lang w:eastAsia="zh-TW"/>
              </w:rPr>
              <w:t>如模版</w:t>
            </w:r>
            <w:r>
              <w:rPr>
                <w:rFonts w:eastAsia="細明體"/>
                <w:lang w:eastAsia="zh-TW"/>
              </w:rPr>
              <w:t>LI1</w:t>
            </w:r>
            <w:r>
              <w:rPr>
                <w:rFonts w:eastAsia="細明體" w:hint="eastAsia"/>
                <w:lang w:eastAsia="zh-TW"/>
              </w:rPr>
              <w:t>所界定</w:t>
            </w:r>
            <w:r>
              <w:rPr>
                <w:rFonts w:eastAsia="細明體" w:hint="eastAsia"/>
                <w:szCs w:val="17"/>
                <w:lang w:eastAsia="zh-TW"/>
              </w:rPr>
              <w:t>）</w:t>
            </w:r>
            <w:r>
              <w:rPr>
                <w:rFonts w:eastAsia="細明體" w:hint="eastAsia"/>
                <w:lang w:eastAsia="zh-TW"/>
              </w:rPr>
              <w:t>及以監管資本為目的而考慮的數額</w:t>
            </w:r>
            <w:r>
              <w:rPr>
                <w:rFonts w:eastAsia="細明體" w:hint="eastAsia"/>
                <w:szCs w:val="17"/>
                <w:lang w:eastAsia="zh-TW"/>
              </w:rPr>
              <w:t>（</w:t>
            </w:r>
            <w:r>
              <w:rPr>
                <w:rFonts w:eastAsia="細明體" w:hint="eastAsia"/>
                <w:lang w:eastAsia="zh-TW"/>
              </w:rPr>
              <w:t>如模版</w:t>
            </w:r>
            <w:r>
              <w:rPr>
                <w:rFonts w:eastAsia="細明體"/>
                <w:lang w:eastAsia="zh-TW"/>
              </w:rPr>
              <w:t>LI2</w:t>
            </w:r>
            <w:r>
              <w:rPr>
                <w:rFonts w:eastAsia="細明體" w:hint="eastAsia"/>
                <w:lang w:eastAsia="zh-TW"/>
              </w:rPr>
              <w:t>所界定</w:t>
            </w:r>
            <w:r>
              <w:rPr>
                <w:rFonts w:eastAsia="細明體" w:hint="eastAsia"/>
                <w:szCs w:val="17"/>
                <w:lang w:eastAsia="zh-TW"/>
              </w:rPr>
              <w:t>）</w:t>
            </w:r>
            <w:r>
              <w:rPr>
                <w:rFonts w:eastAsia="細明體" w:hint="eastAsia"/>
                <w:lang w:eastAsia="zh-TW"/>
              </w:rPr>
              <w:t>之間</w:t>
            </w:r>
            <w:r>
              <w:rPr>
                <w:rFonts w:eastAsia="細明體"/>
                <w:lang w:eastAsia="zh-TW"/>
              </w:rPr>
              <w:t>所觀察到</w:t>
            </w:r>
            <w:r>
              <w:rPr>
                <w:rFonts w:eastAsia="細明體" w:hint="eastAsia"/>
                <w:lang w:eastAsia="zh-TW"/>
              </w:rPr>
              <w:t>的差別的描述解釋。</w:t>
            </w:r>
          </w:p>
        </w:tc>
      </w:tr>
      <w:tr w:rsidR="00B364EC" w14:paraId="226EB7C9" w14:textId="77777777" w:rsidTr="00B64781">
        <w:tc>
          <w:tcPr>
            <w:tcW w:w="2160" w:type="dxa"/>
            <w:tcBorders>
              <w:top w:val="single" w:sz="4" w:space="0" w:color="000000"/>
              <w:bottom w:val="single" w:sz="4" w:space="0" w:color="000000"/>
            </w:tcBorders>
            <w:shd w:val="clear" w:color="auto" w:fill="auto"/>
          </w:tcPr>
          <w:p w14:paraId="3708BC11" w14:textId="77777777" w:rsidR="00B364EC" w:rsidRDefault="00B364EC" w:rsidP="00B364EC">
            <w:pPr>
              <w:spacing w:before="40" w:after="40"/>
              <w:rPr>
                <w:rFonts w:eastAsia="細明體"/>
                <w:sz w:val="17"/>
              </w:rPr>
            </w:pPr>
            <w:proofErr w:type="spellStart"/>
            <w:r>
              <w:rPr>
                <w:rFonts w:eastAsia="細明體" w:hint="eastAsia"/>
                <w:b/>
                <w:sz w:val="17"/>
              </w:rPr>
              <w:t>適用範圍</w:t>
            </w:r>
            <w:proofErr w:type="spellEnd"/>
            <w:r>
              <w:rPr>
                <w:rFonts w:eastAsia="細明體" w:hint="eastAsia"/>
                <w:b/>
                <w:sz w:val="17"/>
              </w:rPr>
              <w:t>：</w:t>
            </w:r>
            <w:r>
              <w:rPr>
                <w:rFonts w:eastAsia="細明體"/>
                <w:b/>
                <w:sz w:val="17"/>
              </w:rPr>
              <w:t xml:space="preserve"> </w:t>
            </w:r>
          </w:p>
        </w:tc>
        <w:tc>
          <w:tcPr>
            <w:tcW w:w="7088" w:type="dxa"/>
            <w:tcBorders>
              <w:top w:val="single" w:sz="4" w:space="0" w:color="000000"/>
              <w:left w:val="single" w:sz="4" w:space="0" w:color="000000"/>
              <w:bottom w:val="single" w:sz="4" w:space="0" w:color="000000"/>
            </w:tcBorders>
            <w:shd w:val="clear" w:color="auto" w:fill="auto"/>
          </w:tcPr>
          <w:p w14:paraId="65239DEF" w14:textId="77777777" w:rsidR="00B364EC" w:rsidRDefault="00B364EC" w:rsidP="00B364EC">
            <w:pPr>
              <w:spacing w:before="40" w:after="40"/>
              <w:jc w:val="both"/>
              <w:rPr>
                <w:lang w:eastAsia="zh-TW"/>
              </w:rPr>
            </w:pPr>
            <w:r>
              <w:rPr>
                <w:rFonts w:eastAsia="細明體" w:hint="eastAsia"/>
                <w:sz w:val="17"/>
                <w:lang w:eastAsia="zh-TW"/>
              </w:rPr>
              <w:t>所有在香港成立</w:t>
            </w:r>
            <w:proofErr w:type="gramStart"/>
            <w:r>
              <w:rPr>
                <w:rFonts w:eastAsia="細明體" w:hint="eastAsia"/>
                <w:sz w:val="17"/>
                <w:lang w:eastAsia="zh-TW"/>
              </w:rPr>
              <w:t>為法團的</w:t>
            </w:r>
            <w:proofErr w:type="gramEnd"/>
            <w:r>
              <w:rPr>
                <w:rFonts w:eastAsia="細明體" w:hint="eastAsia"/>
                <w:sz w:val="17"/>
                <w:lang w:eastAsia="zh-TW"/>
              </w:rPr>
              <w:t>認可</w:t>
            </w:r>
            <w:proofErr w:type="gramStart"/>
            <w:r>
              <w:rPr>
                <w:rFonts w:eastAsia="細明體" w:hint="eastAsia"/>
                <w:sz w:val="17"/>
                <w:lang w:eastAsia="zh-TW"/>
              </w:rPr>
              <w:t>機構均須填報</w:t>
            </w:r>
            <w:proofErr w:type="gramEnd"/>
            <w:r>
              <w:rPr>
                <w:rFonts w:eastAsia="細明體" w:hint="eastAsia"/>
                <w:sz w:val="17"/>
                <w:lang w:eastAsia="zh-TW"/>
              </w:rPr>
              <w:t>本表。</w:t>
            </w:r>
          </w:p>
        </w:tc>
      </w:tr>
      <w:tr w:rsidR="00B364EC" w14:paraId="4136C913" w14:textId="77777777" w:rsidTr="00B64781">
        <w:tc>
          <w:tcPr>
            <w:tcW w:w="2160" w:type="dxa"/>
            <w:tcBorders>
              <w:top w:val="single" w:sz="4" w:space="0" w:color="000000"/>
              <w:bottom w:val="single" w:sz="4" w:space="0" w:color="000000"/>
            </w:tcBorders>
            <w:shd w:val="clear" w:color="auto" w:fill="auto"/>
          </w:tcPr>
          <w:p w14:paraId="0C8D6B52" w14:textId="77777777" w:rsidR="00B364EC" w:rsidRDefault="00B364EC" w:rsidP="00B364EC">
            <w:pPr>
              <w:spacing w:before="40" w:after="40"/>
              <w:rPr>
                <w:rFonts w:eastAsia="細明體"/>
                <w:sz w:val="17"/>
              </w:rPr>
            </w:pPr>
            <w:proofErr w:type="spellStart"/>
            <w:r>
              <w:rPr>
                <w:rFonts w:eastAsia="細明體" w:hint="eastAsia"/>
                <w:b/>
                <w:sz w:val="17"/>
              </w:rPr>
              <w:t>內容</w:t>
            </w:r>
            <w:proofErr w:type="spellEnd"/>
            <w:r>
              <w:rPr>
                <w:rFonts w:eastAsia="細明體" w:hint="eastAsia"/>
                <w:b/>
                <w:sz w:val="17"/>
              </w:rPr>
              <w:t>：</w:t>
            </w:r>
            <w:r>
              <w:rPr>
                <w:rFonts w:eastAsia="細明體"/>
                <w:b/>
                <w:sz w:val="17"/>
              </w:rPr>
              <w:t xml:space="preserve"> </w:t>
            </w:r>
          </w:p>
        </w:tc>
        <w:tc>
          <w:tcPr>
            <w:tcW w:w="7088" w:type="dxa"/>
            <w:tcBorders>
              <w:top w:val="single" w:sz="4" w:space="0" w:color="000000"/>
              <w:left w:val="single" w:sz="4" w:space="0" w:color="000000"/>
              <w:bottom w:val="single" w:sz="4" w:space="0" w:color="000000"/>
            </w:tcBorders>
            <w:shd w:val="clear" w:color="auto" w:fill="auto"/>
          </w:tcPr>
          <w:p w14:paraId="285ADF57" w14:textId="77777777" w:rsidR="00B364EC" w:rsidRDefault="00B364EC" w:rsidP="00B364EC">
            <w:pPr>
              <w:spacing w:before="40" w:after="40"/>
              <w:jc w:val="both"/>
            </w:pPr>
            <w:proofErr w:type="spellStart"/>
            <w:r>
              <w:rPr>
                <w:rFonts w:eastAsia="細明體" w:hint="eastAsia"/>
                <w:sz w:val="17"/>
              </w:rPr>
              <w:t>描述資料</w:t>
            </w:r>
            <w:proofErr w:type="spellEnd"/>
            <w:r>
              <w:rPr>
                <w:rFonts w:eastAsia="細明體"/>
                <w:sz w:val="17"/>
              </w:rPr>
              <w:t>。</w:t>
            </w:r>
          </w:p>
        </w:tc>
      </w:tr>
      <w:tr w:rsidR="00B364EC" w14:paraId="3B63FC6B" w14:textId="77777777" w:rsidTr="00B64781">
        <w:tc>
          <w:tcPr>
            <w:tcW w:w="2160" w:type="dxa"/>
            <w:tcBorders>
              <w:top w:val="single" w:sz="4" w:space="0" w:color="000000"/>
              <w:bottom w:val="single" w:sz="4" w:space="0" w:color="000000"/>
            </w:tcBorders>
            <w:shd w:val="clear" w:color="auto" w:fill="auto"/>
          </w:tcPr>
          <w:p w14:paraId="6DCCA7C7" w14:textId="77777777" w:rsidR="00B364EC" w:rsidRDefault="00B364EC" w:rsidP="00B364EC">
            <w:pPr>
              <w:spacing w:before="40" w:after="40"/>
              <w:rPr>
                <w:rFonts w:eastAsia="細明體"/>
              </w:rPr>
            </w:pPr>
            <w:proofErr w:type="spellStart"/>
            <w:r>
              <w:rPr>
                <w:rFonts w:eastAsia="細明體" w:hint="eastAsia"/>
                <w:b/>
                <w:sz w:val="17"/>
              </w:rPr>
              <w:t>頻密程度</w:t>
            </w:r>
            <w:proofErr w:type="spellEnd"/>
            <w:r>
              <w:rPr>
                <w:rFonts w:eastAsia="細明體" w:hint="eastAsia"/>
                <w:b/>
                <w:sz w:val="17"/>
              </w:rPr>
              <w:t>：</w:t>
            </w:r>
            <w:r>
              <w:rPr>
                <w:rFonts w:eastAsia="細明體"/>
                <w:sz w:val="17"/>
              </w:rPr>
              <w:t xml:space="preserve"> </w:t>
            </w:r>
          </w:p>
        </w:tc>
        <w:tc>
          <w:tcPr>
            <w:tcW w:w="7088" w:type="dxa"/>
            <w:tcBorders>
              <w:top w:val="single" w:sz="4" w:space="0" w:color="000000"/>
              <w:left w:val="single" w:sz="4" w:space="0" w:color="000000"/>
              <w:bottom w:val="single" w:sz="4" w:space="0" w:color="000000"/>
            </w:tcBorders>
            <w:shd w:val="clear" w:color="auto" w:fill="auto"/>
          </w:tcPr>
          <w:p w14:paraId="5F4D813D" w14:textId="77777777" w:rsidR="00B364EC" w:rsidRDefault="00B364EC" w:rsidP="00B364EC">
            <w:pPr>
              <w:pStyle w:val="TableText"/>
              <w:jc w:val="both"/>
            </w:pPr>
            <w:proofErr w:type="spellStart"/>
            <w:r>
              <w:rPr>
                <w:rFonts w:eastAsia="細明體" w:hint="eastAsia"/>
              </w:rPr>
              <w:t>每年一次</w:t>
            </w:r>
            <w:proofErr w:type="spellEnd"/>
            <w:r>
              <w:rPr>
                <w:rFonts w:eastAsia="細明體"/>
              </w:rPr>
              <w:t>。</w:t>
            </w:r>
          </w:p>
        </w:tc>
      </w:tr>
      <w:tr w:rsidR="00B364EC" w14:paraId="422C3D09" w14:textId="77777777" w:rsidTr="00B64781">
        <w:tc>
          <w:tcPr>
            <w:tcW w:w="2160" w:type="dxa"/>
            <w:tcBorders>
              <w:top w:val="single" w:sz="4" w:space="0" w:color="000000"/>
              <w:bottom w:val="single" w:sz="4" w:space="0" w:color="000000"/>
            </w:tcBorders>
            <w:shd w:val="clear" w:color="auto" w:fill="auto"/>
          </w:tcPr>
          <w:p w14:paraId="05D766FF" w14:textId="77777777" w:rsidR="00B364EC" w:rsidRDefault="00B364EC" w:rsidP="00B364EC">
            <w:pPr>
              <w:spacing w:before="40" w:after="40"/>
              <w:rPr>
                <w:rFonts w:eastAsia="細明體"/>
              </w:rPr>
            </w:pPr>
            <w:proofErr w:type="spellStart"/>
            <w:r>
              <w:rPr>
                <w:rFonts w:eastAsia="細明體" w:hint="eastAsia"/>
                <w:b/>
                <w:sz w:val="17"/>
              </w:rPr>
              <w:t>格式</w:t>
            </w:r>
            <w:proofErr w:type="spellEnd"/>
            <w:r>
              <w:rPr>
                <w:rFonts w:eastAsia="細明體" w:hint="eastAsia"/>
                <w:b/>
                <w:sz w:val="17"/>
              </w:rPr>
              <w:t>：</w:t>
            </w:r>
            <w:r>
              <w:rPr>
                <w:rFonts w:eastAsia="細明體"/>
                <w:sz w:val="17"/>
              </w:rPr>
              <w:t xml:space="preserve"> </w:t>
            </w:r>
          </w:p>
        </w:tc>
        <w:tc>
          <w:tcPr>
            <w:tcW w:w="7088" w:type="dxa"/>
            <w:tcBorders>
              <w:top w:val="single" w:sz="4" w:space="0" w:color="000000"/>
              <w:left w:val="single" w:sz="4" w:space="0" w:color="000000"/>
              <w:bottom w:val="single" w:sz="4" w:space="0" w:color="000000"/>
            </w:tcBorders>
            <w:shd w:val="clear" w:color="auto" w:fill="auto"/>
          </w:tcPr>
          <w:p w14:paraId="3396FB1C" w14:textId="77777777" w:rsidR="00B364EC" w:rsidRDefault="00B364EC" w:rsidP="00B364EC">
            <w:pPr>
              <w:pStyle w:val="TableText"/>
              <w:jc w:val="both"/>
            </w:pPr>
            <w:proofErr w:type="spellStart"/>
            <w:r>
              <w:rPr>
                <w:rFonts w:eastAsia="細明體" w:hint="eastAsia"/>
              </w:rPr>
              <w:t>非固定</w:t>
            </w:r>
            <w:proofErr w:type="spellEnd"/>
            <w:r>
              <w:rPr>
                <w:rFonts w:eastAsia="細明體"/>
              </w:rPr>
              <w:t>。</w:t>
            </w:r>
          </w:p>
        </w:tc>
      </w:tr>
      <w:tr w:rsidR="00B364EC" w14:paraId="4FAA3022" w14:textId="77777777" w:rsidTr="00B64781">
        <w:tc>
          <w:tcPr>
            <w:tcW w:w="2160" w:type="dxa"/>
            <w:tcBorders>
              <w:top w:val="single" w:sz="4" w:space="0" w:color="000000"/>
              <w:bottom w:val="single" w:sz="4" w:space="0" w:color="000000"/>
            </w:tcBorders>
            <w:shd w:val="clear" w:color="auto" w:fill="auto"/>
          </w:tcPr>
          <w:p w14:paraId="362E5045" w14:textId="77777777" w:rsidR="00B364EC" w:rsidRDefault="00B364EC" w:rsidP="00B364EC">
            <w:pPr>
              <w:spacing w:before="40" w:after="40"/>
              <w:rPr>
                <w:rFonts w:eastAsia="細明體"/>
                <w:lang w:eastAsia="zh-TW"/>
              </w:rPr>
            </w:pPr>
            <w:r>
              <w:rPr>
                <w:rFonts w:eastAsia="細明體" w:hint="eastAsia"/>
                <w:b/>
                <w:sz w:val="17"/>
                <w:lang w:eastAsia="zh-TW"/>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29CA4447" w14:textId="77777777" w:rsidR="00B364EC" w:rsidRDefault="00B364EC" w:rsidP="00B364EC">
            <w:pPr>
              <w:pStyle w:val="TableText"/>
              <w:jc w:val="both"/>
            </w:pPr>
            <w:r>
              <w:rPr>
                <w:rFonts w:eastAsia="細明體"/>
              </w:rPr>
              <w:t>16F</w:t>
            </w:r>
          </w:p>
        </w:tc>
      </w:tr>
    </w:tbl>
    <w:p w14:paraId="4F05681C" w14:textId="77777777" w:rsidR="00B364EC" w:rsidRDefault="00B364EC" w:rsidP="00B364EC">
      <w:pPr>
        <w:spacing w:before="120" w:after="120"/>
        <w:rPr>
          <w:rFonts w:eastAsia="細明體"/>
        </w:rPr>
      </w:pPr>
    </w:p>
    <w:tbl>
      <w:tblPr>
        <w:tblW w:w="9286" w:type="dxa"/>
        <w:tblInd w:w="-497" w:type="dxa"/>
        <w:tblLayout w:type="fixed"/>
        <w:tblCellMar>
          <w:left w:w="70" w:type="dxa"/>
          <w:right w:w="70" w:type="dxa"/>
        </w:tblCellMar>
        <w:tblLook w:val="0000" w:firstRow="0" w:lastRow="0" w:firstColumn="0" w:lastColumn="0" w:noHBand="0" w:noVBand="0"/>
      </w:tblPr>
      <w:tblGrid>
        <w:gridCol w:w="370"/>
        <w:gridCol w:w="8916"/>
      </w:tblGrid>
      <w:tr w:rsidR="00B364EC" w14:paraId="19D67FB6" w14:textId="77777777" w:rsidTr="00B64781">
        <w:trPr>
          <w:trHeight w:val="448"/>
        </w:trPr>
        <w:tc>
          <w:tcPr>
            <w:tcW w:w="9286" w:type="dxa"/>
            <w:gridSpan w:val="2"/>
            <w:tcBorders>
              <w:top w:val="single" w:sz="4" w:space="0" w:color="000000"/>
              <w:bottom w:val="single" w:sz="4" w:space="0" w:color="000000"/>
            </w:tcBorders>
            <w:shd w:val="clear" w:color="auto" w:fill="auto"/>
          </w:tcPr>
          <w:p w14:paraId="1D77D942" w14:textId="77777777" w:rsidR="00B364EC" w:rsidRDefault="00B364EC" w:rsidP="00B364EC">
            <w:pPr>
              <w:pStyle w:val="TableText"/>
              <w:jc w:val="both"/>
              <w:rPr>
                <w:lang w:eastAsia="zh-TW"/>
              </w:rPr>
            </w:pPr>
            <w:r>
              <w:rPr>
                <w:rFonts w:eastAsia="細明體" w:hint="eastAsia"/>
                <w:lang w:eastAsia="zh-TW"/>
              </w:rPr>
              <w:t>認可機構應解釋在模版</w:t>
            </w:r>
            <w:r>
              <w:rPr>
                <w:rFonts w:eastAsia="細明體"/>
                <w:lang w:eastAsia="zh-TW"/>
              </w:rPr>
              <w:t>LI1</w:t>
            </w:r>
            <w:r>
              <w:rPr>
                <w:rFonts w:eastAsia="細明體" w:hint="eastAsia"/>
                <w:lang w:eastAsia="zh-TW"/>
              </w:rPr>
              <w:t>及</w:t>
            </w:r>
            <w:r>
              <w:rPr>
                <w:rFonts w:eastAsia="細明體"/>
                <w:lang w:eastAsia="zh-TW"/>
              </w:rPr>
              <w:t>LI2</w:t>
            </w:r>
            <w:r>
              <w:rPr>
                <w:rFonts w:eastAsia="細明體" w:hint="eastAsia"/>
                <w:lang w:eastAsia="zh-TW"/>
              </w:rPr>
              <w:t>所顯示的財務報表數額與監管風險承擔數額之間的差別的來源。認可機構尤其應：</w:t>
            </w:r>
          </w:p>
        </w:tc>
      </w:tr>
      <w:tr w:rsidR="00B364EC" w:rsidRPr="00EB61B2" w14:paraId="7F507DF9" w14:textId="77777777" w:rsidTr="00B64781">
        <w:trPr>
          <w:trHeight w:val="318"/>
        </w:trPr>
        <w:tc>
          <w:tcPr>
            <w:tcW w:w="370" w:type="dxa"/>
            <w:tcBorders>
              <w:top w:val="single" w:sz="4" w:space="0" w:color="000000"/>
              <w:bottom w:val="single" w:sz="4" w:space="0" w:color="000000"/>
            </w:tcBorders>
            <w:shd w:val="clear" w:color="auto" w:fill="auto"/>
          </w:tcPr>
          <w:p w14:paraId="54EE2E93" w14:textId="77777777" w:rsidR="00B364EC" w:rsidRDefault="00B364EC" w:rsidP="00B364EC">
            <w:pPr>
              <w:pStyle w:val="TableText"/>
              <w:rPr>
                <w:rFonts w:eastAsia="細明體"/>
              </w:rPr>
            </w:pPr>
            <w:r>
              <w:rPr>
                <w:rFonts w:eastAsia="細明體"/>
                <w:szCs w:val="17"/>
              </w:rPr>
              <w:t>(a)</w:t>
            </w:r>
          </w:p>
        </w:tc>
        <w:tc>
          <w:tcPr>
            <w:tcW w:w="8916" w:type="dxa"/>
            <w:tcBorders>
              <w:top w:val="single" w:sz="4" w:space="0" w:color="000000"/>
              <w:bottom w:val="single" w:sz="4" w:space="0" w:color="000000"/>
            </w:tcBorders>
            <w:shd w:val="clear" w:color="auto" w:fill="auto"/>
          </w:tcPr>
          <w:p w14:paraId="507DA5DA" w14:textId="77777777" w:rsidR="00B364EC" w:rsidRDefault="00B364EC" w:rsidP="00B364EC">
            <w:pPr>
              <w:pStyle w:val="TableText"/>
              <w:jc w:val="both"/>
              <w:rPr>
                <w:lang w:eastAsia="zh-TW"/>
              </w:rPr>
            </w:pPr>
            <w:r>
              <w:rPr>
                <w:rFonts w:eastAsia="細明體" w:hint="eastAsia"/>
                <w:lang w:eastAsia="zh-TW"/>
              </w:rPr>
              <w:t>解釋</w:t>
            </w:r>
            <w:proofErr w:type="gramStart"/>
            <w:r>
              <w:rPr>
                <w:rFonts w:eastAsia="細明體" w:hint="eastAsia"/>
                <w:lang w:eastAsia="zh-TW"/>
              </w:rPr>
              <w:t>引致模版</w:t>
            </w:r>
            <w:proofErr w:type="gramEnd"/>
            <w:r>
              <w:rPr>
                <w:rFonts w:eastAsia="細明體"/>
                <w:lang w:eastAsia="zh-TW"/>
              </w:rPr>
              <w:t>LI1 (a)</w:t>
            </w:r>
            <w:r>
              <w:rPr>
                <w:rFonts w:eastAsia="細明體" w:hint="eastAsia"/>
                <w:lang w:eastAsia="zh-TW"/>
              </w:rPr>
              <w:t>及</w:t>
            </w:r>
            <w:r>
              <w:rPr>
                <w:rFonts w:eastAsia="細明體"/>
                <w:lang w:eastAsia="zh-TW"/>
              </w:rPr>
              <w:t>(b)</w:t>
            </w:r>
            <w:r>
              <w:rPr>
                <w:rFonts w:eastAsia="細明體" w:hint="eastAsia"/>
                <w:lang w:eastAsia="zh-TW"/>
              </w:rPr>
              <w:t>欄的數額之間出現</w:t>
            </w:r>
            <w:r w:rsidRPr="00DD3A0F">
              <w:rPr>
                <w:rFonts w:eastAsia="細明體" w:hint="eastAsia"/>
                <w:lang w:eastAsia="zh-TW"/>
              </w:rPr>
              <w:t>的</w:t>
            </w:r>
            <w:r>
              <w:rPr>
                <w:rFonts w:eastAsia="細明體" w:hint="eastAsia"/>
                <w:lang w:eastAsia="zh-TW"/>
              </w:rPr>
              <w:t>任何重大差別的原因。</w:t>
            </w:r>
          </w:p>
        </w:tc>
      </w:tr>
      <w:tr w:rsidR="00B364EC" w:rsidRPr="00EB61B2" w14:paraId="41FAC745" w14:textId="77777777" w:rsidTr="00B64781">
        <w:trPr>
          <w:trHeight w:val="318"/>
        </w:trPr>
        <w:tc>
          <w:tcPr>
            <w:tcW w:w="370" w:type="dxa"/>
            <w:tcBorders>
              <w:top w:val="single" w:sz="4" w:space="0" w:color="000000"/>
              <w:bottom w:val="single" w:sz="4" w:space="0" w:color="000000"/>
            </w:tcBorders>
            <w:shd w:val="clear" w:color="auto" w:fill="auto"/>
          </w:tcPr>
          <w:p w14:paraId="4DFDBB3B" w14:textId="77777777" w:rsidR="00B364EC" w:rsidRDefault="00B364EC" w:rsidP="00B364EC">
            <w:pPr>
              <w:widowControl w:val="0"/>
              <w:spacing w:before="40" w:after="40"/>
              <w:rPr>
                <w:rFonts w:eastAsia="細明體"/>
              </w:rPr>
            </w:pPr>
            <w:r>
              <w:rPr>
                <w:rFonts w:eastAsia="細明體"/>
                <w:sz w:val="17"/>
                <w:szCs w:val="17"/>
              </w:rPr>
              <w:t>(b)</w:t>
            </w:r>
          </w:p>
        </w:tc>
        <w:tc>
          <w:tcPr>
            <w:tcW w:w="8916" w:type="dxa"/>
            <w:tcBorders>
              <w:top w:val="single" w:sz="4" w:space="0" w:color="000000"/>
              <w:bottom w:val="single" w:sz="4" w:space="0" w:color="000000"/>
            </w:tcBorders>
            <w:shd w:val="clear" w:color="auto" w:fill="auto"/>
          </w:tcPr>
          <w:p w14:paraId="1A04B75A" w14:textId="77777777" w:rsidR="00B364EC" w:rsidRDefault="00B364EC" w:rsidP="00B364EC">
            <w:pPr>
              <w:pStyle w:val="TableText"/>
              <w:jc w:val="both"/>
              <w:rPr>
                <w:lang w:eastAsia="zh-TW"/>
              </w:rPr>
            </w:pPr>
            <w:r>
              <w:rPr>
                <w:rFonts w:eastAsia="細明體" w:hint="eastAsia"/>
                <w:lang w:eastAsia="zh-TW"/>
              </w:rPr>
              <w:t>解釋</w:t>
            </w:r>
            <w:proofErr w:type="gramStart"/>
            <w:r>
              <w:rPr>
                <w:rFonts w:eastAsia="細明體" w:hint="eastAsia"/>
                <w:lang w:eastAsia="zh-TW"/>
              </w:rPr>
              <w:t>引致模版</w:t>
            </w:r>
            <w:proofErr w:type="gramEnd"/>
            <w:r>
              <w:rPr>
                <w:rFonts w:eastAsia="細明體"/>
                <w:lang w:eastAsia="zh-TW"/>
              </w:rPr>
              <w:t>LI2</w:t>
            </w:r>
            <w:r>
              <w:rPr>
                <w:rFonts w:eastAsia="細明體" w:hint="eastAsia"/>
                <w:lang w:eastAsia="zh-TW"/>
              </w:rPr>
              <w:t>中會計值與以監管為目的所考慮的數額之間的差別的主要驅動因素。</w:t>
            </w:r>
          </w:p>
        </w:tc>
      </w:tr>
      <w:tr w:rsidR="00B364EC" w14:paraId="11A8B935" w14:textId="77777777" w:rsidTr="00B64781">
        <w:trPr>
          <w:trHeight w:val="318"/>
        </w:trPr>
        <w:tc>
          <w:tcPr>
            <w:tcW w:w="370" w:type="dxa"/>
            <w:tcBorders>
              <w:top w:val="single" w:sz="4" w:space="0" w:color="000000"/>
              <w:bottom w:val="single" w:sz="4" w:space="0" w:color="000000"/>
            </w:tcBorders>
            <w:shd w:val="clear" w:color="auto" w:fill="auto"/>
          </w:tcPr>
          <w:p w14:paraId="4CBB7829" w14:textId="77777777" w:rsidR="00B364EC" w:rsidRDefault="00B364EC" w:rsidP="00B364EC">
            <w:pPr>
              <w:widowControl w:val="0"/>
              <w:spacing w:before="40" w:after="40"/>
              <w:rPr>
                <w:rFonts w:eastAsia="細明體"/>
              </w:rPr>
            </w:pPr>
            <w:r>
              <w:rPr>
                <w:rFonts w:eastAsia="細明體"/>
                <w:sz w:val="17"/>
                <w:szCs w:val="17"/>
              </w:rPr>
              <w:t>(c)</w:t>
            </w:r>
          </w:p>
        </w:tc>
        <w:tc>
          <w:tcPr>
            <w:tcW w:w="8916" w:type="dxa"/>
            <w:tcBorders>
              <w:top w:val="single" w:sz="4" w:space="0" w:color="000000"/>
              <w:bottom w:val="single" w:sz="4" w:space="0" w:color="000000"/>
            </w:tcBorders>
            <w:shd w:val="clear" w:color="auto" w:fill="auto"/>
          </w:tcPr>
          <w:p w14:paraId="4EFD8B6B" w14:textId="77777777" w:rsidR="00B364EC" w:rsidRDefault="00B364EC" w:rsidP="00B364EC">
            <w:pPr>
              <w:pStyle w:val="TableText"/>
              <w:jc w:val="both"/>
              <w:rPr>
                <w:rFonts w:eastAsia="細明體"/>
                <w:lang w:eastAsia="zh-TW"/>
              </w:rPr>
            </w:pPr>
            <w:r w:rsidRPr="005F1650">
              <w:rPr>
                <w:rFonts w:eastAsia="細明體" w:hint="eastAsia"/>
                <w:lang w:eastAsia="zh-TW"/>
              </w:rPr>
              <w:t>以實施審慎估值指引為目的而言，描述其確保估值估計屬審慎及可靠的系統及管控措施。認可機構應提供以下各項的</w:t>
            </w:r>
            <w:r w:rsidRPr="005F1650">
              <w:rPr>
                <w:rFonts w:eastAsia="細明體" w:hint="eastAsia"/>
                <w:szCs w:val="17"/>
                <w:lang w:eastAsia="zh-TW"/>
              </w:rPr>
              <w:t>描述</w:t>
            </w:r>
            <w:r>
              <w:rPr>
                <w:rFonts w:eastAsia="細明體" w:hint="eastAsia"/>
                <w:lang w:eastAsia="zh-TW"/>
              </w:rPr>
              <w:t>：</w:t>
            </w:r>
            <w:r>
              <w:rPr>
                <w:rFonts w:eastAsia="細明體"/>
                <w:lang w:eastAsia="zh-TW"/>
              </w:rPr>
              <w:t xml:space="preserve"> </w:t>
            </w:r>
          </w:p>
          <w:p w14:paraId="6FDA6F7F" w14:textId="77777777" w:rsidR="00B364EC" w:rsidRDefault="00B364EC" w:rsidP="00D540EB">
            <w:pPr>
              <w:pStyle w:val="TableText"/>
              <w:numPr>
                <w:ilvl w:val="0"/>
                <w:numId w:val="33"/>
              </w:numPr>
              <w:tabs>
                <w:tab w:val="left" w:pos="595"/>
              </w:tabs>
              <w:suppressAutoHyphens/>
              <w:ind w:left="595" w:hanging="595"/>
              <w:jc w:val="both"/>
              <w:rPr>
                <w:rFonts w:eastAsia="細明體"/>
                <w:lang w:eastAsia="zh-TW"/>
              </w:rPr>
            </w:pPr>
            <w:r>
              <w:rPr>
                <w:rFonts w:eastAsia="細明體" w:hint="eastAsia"/>
                <w:lang w:eastAsia="zh-TW"/>
              </w:rPr>
              <w:t>估值方法，包括按市價計值方法及按模式計值方法的使用程度的說明；</w:t>
            </w:r>
          </w:p>
          <w:p w14:paraId="29F43CFF" w14:textId="77777777" w:rsidR="00B364EC" w:rsidRDefault="00B364EC" w:rsidP="00D540EB">
            <w:pPr>
              <w:pStyle w:val="TableText"/>
              <w:numPr>
                <w:ilvl w:val="0"/>
                <w:numId w:val="33"/>
              </w:numPr>
              <w:tabs>
                <w:tab w:val="left" w:pos="595"/>
              </w:tabs>
              <w:suppressAutoHyphens/>
              <w:ind w:left="595" w:hanging="595"/>
              <w:jc w:val="both"/>
              <w:rPr>
                <w:rFonts w:eastAsia="細明體"/>
                <w:lang w:eastAsia="zh-TW"/>
              </w:rPr>
            </w:pPr>
            <w:r>
              <w:rPr>
                <w:rFonts w:eastAsia="細明體" w:hint="eastAsia"/>
                <w:lang w:eastAsia="zh-TW"/>
              </w:rPr>
              <w:t>獨立的價格核實程序；及</w:t>
            </w:r>
          </w:p>
          <w:p w14:paraId="19D4BECF" w14:textId="77777777" w:rsidR="00B364EC" w:rsidRDefault="00B364EC" w:rsidP="00D540EB">
            <w:pPr>
              <w:pStyle w:val="TableText"/>
              <w:numPr>
                <w:ilvl w:val="0"/>
                <w:numId w:val="33"/>
              </w:numPr>
              <w:tabs>
                <w:tab w:val="left" w:pos="595"/>
              </w:tabs>
              <w:suppressAutoHyphens/>
              <w:jc w:val="both"/>
              <w:rPr>
                <w:lang w:eastAsia="zh-TW"/>
              </w:rPr>
            </w:pPr>
            <w:r>
              <w:rPr>
                <w:rFonts w:eastAsia="細明體" w:hint="eastAsia"/>
                <w:lang w:eastAsia="zh-TW"/>
              </w:rPr>
              <w:t>考慮估值調整或儲備的程序，包括按</w:t>
            </w:r>
            <w:r w:rsidRPr="001051AB">
              <w:rPr>
                <w:rFonts w:eastAsia="細明體" w:hint="eastAsia"/>
                <w:lang w:eastAsia="zh-TW"/>
              </w:rPr>
              <w:t>金融</w:t>
            </w:r>
            <w:r>
              <w:rPr>
                <w:rFonts w:eastAsia="細明體" w:hint="eastAsia"/>
                <w:lang w:eastAsia="zh-TW"/>
              </w:rPr>
              <w:t>工具類別對</w:t>
            </w:r>
            <w:proofErr w:type="gramStart"/>
            <w:r>
              <w:rPr>
                <w:rFonts w:eastAsia="細明體" w:hint="eastAsia"/>
                <w:lang w:eastAsia="zh-TW"/>
              </w:rPr>
              <w:t>交易持倉進行</w:t>
            </w:r>
            <w:proofErr w:type="gramEnd"/>
            <w:r>
              <w:rPr>
                <w:rFonts w:eastAsia="細明體" w:hint="eastAsia"/>
                <w:lang w:eastAsia="zh-TW"/>
              </w:rPr>
              <w:t>估值的程序及方法的說明。</w:t>
            </w:r>
          </w:p>
        </w:tc>
      </w:tr>
      <w:tr w:rsidR="00B364EC" w14:paraId="4176D5E8" w14:textId="77777777" w:rsidTr="00B64781">
        <w:trPr>
          <w:trHeight w:val="318"/>
        </w:trPr>
        <w:tc>
          <w:tcPr>
            <w:tcW w:w="370" w:type="dxa"/>
            <w:tcBorders>
              <w:top w:val="single" w:sz="4" w:space="0" w:color="000000"/>
              <w:bottom w:val="single" w:sz="4" w:space="0" w:color="000000"/>
            </w:tcBorders>
            <w:shd w:val="clear" w:color="auto" w:fill="auto"/>
          </w:tcPr>
          <w:p w14:paraId="10D5EDF7" w14:textId="77777777" w:rsidR="00B364EC" w:rsidRDefault="00B364EC" w:rsidP="00B364EC">
            <w:pPr>
              <w:widowControl w:val="0"/>
              <w:spacing w:before="40" w:after="40"/>
              <w:rPr>
                <w:rFonts w:eastAsia="細明體"/>
                <w:sz w:val="17"/>
                <w:szCs w:val="17"/>
                <w:lang w:eastAsia="zh-TW"/>
              </w:rPr>
            </w:pPr>
            <w:r w:rsidRPr="00207588">
              <w:rPr>
                <w:rFonts w:eastAsia="細明體"/>
                <w:sz w:val="17"/>
                <w:szCs w:val="17"/>
                <w:lang w:eastAsia="zh-TW"/>
              </w:rPr>
              <w:t>(d)</w:t>
            </w:r>
          </w:p>
        </w:tc>
        <w:tc>
          <w:tcPr>
            <w:tcW w:w="8916" w:type="dxa"/>
            <w:tcBorders>
              <w:top w:val="single" w:sz="4" w:space="0" w:color="000000"/>
              <w:bottom w:val="single" w:sz="4" w:space="0" w:color="000000"/>
            </w:tcBorders>
            <w:shd w:val="clear" w:color="auto" w:fill="auto"/>
          </w:tcPr>
          <w:p w14:paraId="7A16C9AF" w14:textId="77777777" w:rsidR="00B364EC" w:rsidRPr="00207588" w:rsidRDefault="00B364EC" w:rsidP="00B364EC">
            <w:pPr>
              <w:pStyle w:val="TableText"/>
              <w:rPr>
                <w:rFonts w:eastAsia="細明體"/>
                <w:lang w:eastAsia="zh-TW"/>
              </w:rPr>
            </w:pPr>
            <w:r>
              <w:rPr>
                <w:rFonts w:eastAsia="細明體" w:hint="eastAsia"/>
                <w:lang w:eastAsia="zh-HK"/>
              </w:rPr>
              <w:t>認可機構如有保險附屬公司</w:t>
            </w:r>
            <w:r>
              <w:rPr>
                <w:rFonts w:eastAsia="細明體" w:hint="eastAsia"/>
                <w:lang w:eastAsia="zh-TW"/>
              </w:rPr>
              <w:t>，</w:t>
            </w:r>
            <w:r>
              <w:rPr>
                <w:rFonts w:eastAsia="細明體" w:hint="eastAsia"/>
                <w:lang w:eastAsia="zh-HK"/>
              </w:rPr>
              <w:t>必須披露</w:t>
            </w:r>
            <w:r>
              <w:rPr>
                <w:rFonts w:eastAsia="細明體" w:hint="eastAsia"/>
                <w:lang w:eastAsia="zh-TW"/>
              </w:rPr>
              <w:t>：</w:t>
            </w:r>
          </w:p>
          <w:p w14:paraId="57443E2D" w14:textId="2F16AE20" w:rsidR="00B364EC" w:rsidRPr="00207588" w:rsidRDefault="00B364EC" w:rsidP="00D540EB">
            <w:pPr>
              <w:pStyle w:val="TableText"/>
              <w:numPr>
                <w:ilvl w:val="0"/>
                <w:numId w:val="34"/>
              </w:numPr>
              <w:suppressAutoHyphens/>
              <w:ind w:left="553" w:hanging="568"/>
              <w:rPr>
                <w:rFonts w:eastAsia="細明體"/>
                <w:lang w:eastAsia="zh-TW"/>
              </w:rPr>
            </w:pPr>
            <w:r>
              <w:rPr>
                <w:rFonts w:eastAsia="細明體" w:hint="eastAsia"/>
                <w:lang w:eastAsia="zh-HK"/>
              </w:rPr>
              <w:t>在斷定認可機構所填報的資本情況時</w:t>
            </w:r>
            <w:r w:rsidR="009D20C2">
              <w:rPr>
                <w:rFonts w:eastAsia="細明體" w:hint="eastAsia"/>
                <w:lang w:eastAsia="zh-HK"/>
              </w:rPr>
              <w:t>對</w:t>
            </w:r>
            <w:r>
              <w:rPr>
                <w:rFonts w:eastAsia="細明體" w:hint="eastAsia"/>
                <w:lang w:eastAsia="zh-HK"/>
              </w:rPr>
              <w:t>保險實體所</w:t>
            </w:r>
            <w:r w:rsidR="00931632">
              <w:rPr>
                <w:rFonts w:eastAsia="細明體" w:hint="eastAsia"/>
                <w:lang w:eastAsia="zh-HK"/>
              </w:rPr>
              <w:t>使</w:t>
            </w:r>
            <w:r>
              <w:rPr>
                <w:rFonts w:eastAsia="細明體" w:hint="eastAsia"/>
                <w:lang w:eastAsia="zh-HK"/>
              </w:rPr>
              <w:t>用的當地監管</w:t>
            </w:r>
            <w:r w:rsidR="009D20C2">
              <w:rPr>
                <w:rFonts w:eastAsia="細明體" w:hint="eastAsia"/>
                <w:lang w:eastAsia="zh-HK"/>
              </w:rPr>
              <w:t>方</w:t>
            </w:r>
            <w:r>
              <w:rPr>
                <w:rFonts w:eastAsia="細明體" w:hint="eastAsia"/>
                <w:lang w:eastAsia="zh-HK"/>
              </w:rPr>
              <w:t>法</w:t>
            </w:r>
            <w:r>
              <w:rPr>
                <w:rFonts w:eastAsia="細明體" w:hint="eastAsia"/>
                <w:lang w:eastAsia="zh-TW"/>
              </w:rPr>
              <w:t>（</w:t>
            </w:r>
            <w:r>
              <w:rPr>
                <w:rFonts w:eastAsia="細明體" w:hint="eastAsia"/>
                <w:lang w:eastAsia="zh-HK"/>
              </w:rPr>
              <w:t>即</w:t>
            </w:r>
            <w:r w:rsidR="00A8666F" w:rsidRPr="00A8666F">
              <w:rPr>
                <w:rFonts w:eastAsia="細明體" w:hint="eastAsia"/>
                <w:lang w:eastAsia="zh-HK"/>
              </w:rPr>
              <w:t>對</w:t>
            </w:r>
            <w:r>
              <w:rPr>
                <w:rFonts w:eastAsia="細明體" w:hint="eastAsia"/>
                <w:lang w:eastAsia="zh-HK"/>
              </w:rPr>
              <w:t>保險附屬公司的投資</w:t>
            </w:r>
            <w:r w:rsidRPr="00952CC9">
              <w:rPr>
                <w:rFonts w:eastAsia="細明體" w:hint="eastAsia"/>
                <w:lang w:eastAsia="zh-HK"/>
              </w:rPr>
              <w:t>的</w:t>
            </w:r>
            <w:r>
              <w:rPr>
                <w:rFonts w:eastAsia="細明體" w:hint="eastAsia"/>
                <w:lang w:eastAsia="zh-HK"/>
              </w:rPr>
              <w:t>扣減</w:t>
            </w:r>
            <w:r>
              <w:rPr>
                <w:rFonts w:eastAsia="細明體" w:hint="eastAsia"/>
                <w:lang w:eastAsia="zh-TW"/>
              </w:rPr>
              <w:t>）；</w:t>
            </w:r>
            <w:r>
              <w:rPr>
                <w:rFonts w:eastAsia="細明體" w:hint="eastAsia"/>
                <w:lang w:eastAsia="zh-HK"/>
              </w:rPr>
              <w:t>及</w:t>
            </w:r>
          </w:p>
          <w:p w14:paraId="040B52DF" w14:textId="12E26537" w:rsidR="00B364EC" w:rsidRPr="005F1650" w:rsidRDefault="00B364EC" w:rsidP="00D540EB">
            <w:pPr>
              <w:pStyle w:val="TableText"/>
              <w:numPr>
                <w:ilvl w:val="0"/>
                <w:numId w:val="34"/>
              </w:numPr>
              <w:suppressAutoHyphens/>
              <w:ind w:left="557" w:hanging="568"/>
              <w:rPr>
                <w:rFonts w:eastAsia="細明體"/>
                <w:lang w:eastAsia="zh-TW"/>
              </w:rPr>
            </w:pPr>
            <w:r>
              <w:rPr>
                <w:rFonts w:eastAsia="細明體" w:hint="eastAsia"/>
                <w:lang w:eastAsia="zh-HK"/>
              </w:rPr>
              <w:t>在計算銀行的資本充足</w:t>
            </w:r>
            <w:r w:rsidR="009719A8">
              <w:rPr>
                <w:rFonts w:eastAsia="細明體" w:hint="eastAsia"/>
                <w:lang w:eastAsia="zh-HK"/>
              </w:rPr>
              <w:t>程</w:t>
            </w:r>
            <w:r>
              <w:rPr>
                <w:rFonts w:eastAsia="細明體" w:hint="eastAsia"/>
                <w:lang w:eastAsia="zh-HK"/>
              </w:rPr>
              <w:t>度時</w:t>
            </w:r>
            <w:r w:rsidR="00033632">
              <w:rPr>
                <w:rFonts w:eastAsia="細明體" w:hint="eastAsia"/>
                <w:lang w:eastAsia="zh-HK"/>
              </w:rPr>
              <w:t>確認的</w:t>
            </w:r>
            <w:r>
              <w:rPr>
                <w:rFonts w:eastAsia="細明體" w:hint="eastAsia"/>
                <w:lang w:eastAsia="zh-HK"/>
              </w:rPr>
              <w:t>保險附屬公司的任何超額資本</w:t>
            </w:r>
            <w:r>
              <w:rPr>
                <w:rFonts w:eastAsia="細明體" w:hint="eastAsia"/>
                <w:lang w:eastAsia="zh-TW"/>
              </w:rPr>
              <w:t>。</w:t>
            </w:r>
          </w:p>
        </w:tc>
      </w:tr>
    </w:tbl>
    <w:p w14:paraId="06F8F529" w14:textId="77777777" w:rsidR="00B364EC" w:rsidRDefault="00B364EC" w:rsidP="00B364EC">
      <w:pPr>
        <w:rPr>
          <w:rFonts w:eastAsia="細明體"/>
          <w:lang w:eastAsia="zh-TW"/>
        </w:rPr>
      </w:pPr>
    </w:p>
    <w:p w14:paraId="08D7D857" w14:textId="77777777" w:rsidR="00B364EC" w:rsidRDefault="00B364EC" w:rsidP="00B364EC">
      <w:pPr>
        <w:pStyle w:val="BodyTextIndent"/>
        <w:rPr>
          <w:lang w:eastAsia="zh-TW"/>
        </w:rPr>
        <w:sectPr w:rsidR="00B364EC" w:rsidSect="00B364EC">
          <w:footerReference w:type="default" r:id="rId21"/>
          <w:pgSz w:w="11906" w:h="16838"/>
          <w:pgMar w:top="1440" w:right="1797" w:bottom="1440" w:left="1797" w:header="720" w:footer="737" w:gutter="0"/>
          <w:cols w:space="720"/>
          <w:docGrid w:type="linesAndChars" w:linePitch="360"/>
        </w:sectPr>
      </w:pPr>
    </w:p>
    <w:p w14:paraId="1068A4B9" w14:textId="22D83439" w:rsidR="00EB4D73" w:rsidRPr="00EB4D73" w:rsidRDefault="00EB4D73" w:rsidP="00EB4D73">
      <w:pPr>
        <w:pStyle w:val="Heading2"/>
        <w:keepNext w:val="0"/>
        <w:suppressAutoHyphens w:val="0"/>
        <w:spacing w:before="40" w:line="240" w:lineRule="auto"/>
        <w:ind w:left="-454"/>
        <w:rPr>
          <w:rFonts w:ascii="細明體" w:eastAsia="細明體" w:hAnsi="細明體"/>
          <w:b w:val="0"/>
          <w:bCs w:val="0"/>
          <w:sz w:val="22"/>
          <w:szCs w:val="20"/>
          <w:lang w:eastAsia="zh-TW"/>
        </w:rPr>
      </w:pPr>
      <w:r w:rsidRPr="00EB4D73">
        <w:rPr>
          <w:rFonts w:ascii="細明體" w:eastAsia="細明體" w:hAnsi="細明體" w:cs="微軟正黑體" w:hint="eastAsia"/>
          <w:b w:val="0"/>
          <w:bCs w:val="0"/>
          <w:sz w:val="22"/>
          <w:szCs w:val="20"/>
          <w:lang w:eastAsia="zh-TW"/>
        </w:rPr>
        <w:t>模版</w:t>
      </w:r>
      <w:r w:rsidRPr="00EB4D73">
        <w:rPr>
          <w:rFonts w:ascii="Segoe UI" w:eastAsia="細明體" w:hAnsi="Segoe UI" w:cs="Segoe UI"/>
          <w:b w:val="0"/>
          <w:bCs w:val="0"/>
          <w:sz w:val="22"/>
          <w:szCs w:val="20"/>
          <w:lang w:eastAsia="zh-TW"/>
        </w:rPr>
        <w:t>PV1</w:t>
      </w:r>
      <w:r w:rsidRPr="00EB4D73">
        <w:rPr>
          <w:rFonts w:ascii="細明體" w:eastAsia="細明體" w:hAnsi="細明體" w:cs="微軟正黑體" w:hint="eastAsia"/>
          <w:b w:val="0"/>
          <w:bCs w:val="0"/>
          <w:sz w:val="22"/>
          <w:szCs w:val="20"/>
          <w:lang w:eastAsia="zh-TW"/>
        </w:rPr>
        <w:t>：審慎估值調整</w:t>
      </w:r>
    </w:p>
    <w:tbl>
      <w:tblPr>
        <w:tblW w:w="9242"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115"/>
      </w:tblGrid>
      <w:tr w:rsidR="00645EA1" w14:paraId="0F07CCE9" w14:textId="77777777" w:rsidTr="00645EA1">
        <w:tc>
          <w:tcPr>
            <w:tcW w:w="2127" w:type="dxa"/>
            <w:tcBorders>
              <w:top w:val="single" w:sz="4" w:space="0" w:color="auto"/>
              <w:left w:val="nil"/>
              <w:bottom w:val="single" w:sz="4" w:space="0" w:color="auto"/>
              <w:right w:val="single" w:sz="4" w:space="0" w:color="auto"/>
            </w:tcBorders>
            <w:hideMark/>
          </w:tcPr>
          <w:p w14:paraId="2D9E27B4" w14:textId="77777777" w:rsidR="00645EA1" w:rsidRDefault="00645EA1">
            <w:pPr>
              <w:widowControl w:val="0"/>
              <w:rPr>
                <w:rFonts w:eastAsiaTheme="minorEastAsia" w:cs="Segoe UI"/>
                <w:b/>
                <w:kern w:val="2"/>
                <w:sz w:val="17"/>
                <w:szCs w:val="17"/>
              </w:rPr>
            </w:pPr>
            <w:proofErr w:type="spellStart"/>
            <w:r>
              <w:rPr>
                <w:rFonts w:eastAsia="細明體" w:cs="Segoe UI" w:hint="eastAsia"/>
                <w:b/>
                <w:sz w:val="17"/>
                <w:szCs w:val="17"/>
              </w:rPr>
              <w:t>目的</w:t>
            </w:r>
            <w:proofErr w:type="spellEnd"/>
            <w:r>
              <w:rPr>
                <w:rFonts w:eastAsia="細明體" w:cs="Segoe UI" w:hint="eastAsia"/>
                <w:b/>
                <w:sz w:val="17"/>
                <w:szCs w:val="17"/>
              </w:rPr>
              <w:t>：</w:t>
            </w:r>
          </w:p>
        </w:tc>
        <w:tc>
          <w:tcPr>
            <w:tcW w:w="7115" w:type="dxa"/>
            <w:tcBorders>
              <w:top w:val="single" w:sz="4" w:space="0" w:color="auto"/>
              <w:left w:val="single" w:sz="4" w:space="0" w:color="auto"/>
              <w:bottom w:val="single" w:sz="4" w:space="0" w:color="auto"/>
              <w:right w:val="nil"/>
            </w:tcBorders>
            <w:hideMark/>
          </w:tcPr>
          <w:p w14:paraId="2765FF81" w14:textId="77777777" w:rsidR="00645EA1" w:rsidRDefault="00645EA1">
            <w:pPr>
              <w:spacing w:before="40" w:after="40"/>
              <w:jc w:val="both"/>
              <w:rPr>
                <w:rFonts w:eastAsia="新細明體" w:cs="Segoe UI"/>
                <w:noProof/>
                <w:sz w:val="17"/>
                <w:lang w:eastAsia="zh-TW"/>
              </w:rPr>
            </w:pPr>
            <w:r>
              <w:rPr>
                <w:rFonts w:eastAsia="新細明體" w:cs="Segoe UI" w:hint="eastAsia"/>
                <w:noProof/>
                <w:sz w:val="17"/>
                <w:lang w:eastAsia="zh-TW"/>
              </w:rPr>
              <w:t>提供有關估值調整的構成要素的詳細細目分類。</w:t>
            </w:r>
          </w:p>
        </w:tc>
      </w:tr>
      <w:tr w:rsidR="00645EA1" w14:paraId="3170E724" w14:textId="77777777" w:rsidTr="00645EA1">
        <w:tc>
          <w:tcPr>
            <w:tcW w:w="2127" w:type="dxa"/>
            <w:tcBorders>
              <w:top w:val="single" w:sz="4" w:space="0" w:color="auto"/>
              <w:left w:val="nil"/>
              <w:bottom w:val="single" w:sz="4" w:space="0" w:color="auto"/>
              <w:right w:val="single" w:sz="4" w:space="0" w:color="auto"/>
            </w:tcBorders>
            <w:hideMark/>
          </w:tcPr>
          <w:p w14:paraId="394CC057" w14:textId="77777777" w:rsidR="00645EA1" w:rsidRDefault="00645EA1">
            <w:pPr>
              <w:widowControl w:val="0"/>
              <w:rPr>
                <w:rFonts w:eastAsiaTheme="minorEastAsia" w:cs="Segoe UI"/>
                <w:b/>
                <w:kern w:val="2"/>
                <w:sz w:val="17"/>
                <w:szCs w:val="17"/>
              </w:rPr>
            </w:pPr>
            <w:proofErr w:type="spellStart"/>
            <w:r>
              <w:rPr>
                <w:rFonts w:eastAsia="細明體" w:cs="Segoe UI" w:hint="eastAsia"/>
                <w:b/>
                <w:sz w:val="17"/>
                <w:szCs w:val="17"/>
              </w:rPr>
              <w:t>適用範圍</w:t>
            </w:r>
            <w:proofErr w:type="spellEnd"/>
            <w:r>
              <w:rPr>
                <w:rFonts w:eastAsia="細明體" w:cs="Segoe UI" w:hint="eastAsia"/>
                <w:b/>
                <w:sz w:val="17"/>
                <w:szCs w:val="17"/>
              </w:rPr>
              <w:t>：</w:t>
            </w:r>
          </w:p>
        </w:tc>
        <w:tc>
          <w:tcPr>
            <w:tcW w:w="7115" w:type="dxa"/>
            <w:tcBorders>
              <w:top w:val="single" w:sz="4" w:space="0" w:color="auto"/>
              <w:left w:val="single" w:sz="4" w:space="0" w:color="auto"/>
              <w:bottom w:val="single" w:sz="4" w:space="0" w:color="auto"/>
              <w:right w:val="nil"/>
            </w:tcBorders>
            <w:hideMark/>
          </w:tcPr>
          <w:p w14:paraId="507B9E33" w14:textId="77777777" w:rsidR="00645EA1" w:rsidRDefault="00645EA1">
            <w:pPr>
              <w:tabs>
                <w:tab w:val="right" w:pos="6899"/>
              </w:tabs>
              <w:spacing w:before="40" w:after="40"/>
              <w:jc w:val="both"/>
              <w:rPr>
                <w:rFonts w:eastAsia="新細明體" w:cs="Segoe UI"/>
                <w:b/>
                <w:sz w:val="17"/>
                <w:lang w:eastAsia="zh-TW"/>
              </w:rPr>
            </w:pPr>
            <w:r>
              <w:rPr>
                <w:rFonts w:eastAsia="新細明體" w:cs="Segoe UI" w:hint="eastAsia"/>
                <w:sz w:val="17"/>
                <w:lang w:eastAsia="zh-TW"/>
              </w:rPr>
              <w:t>所有在香港成立</w:t>
            </w:r>
            <w:proofErr w:type="gramStart"/>
            <w:r>
              <w:rPr>
                <w:rFonts w:eastAsia="新細明體" w:cs="Segoe UI" w:hint="eastAsia"/>
                <w:sz w:val="17"/>
                <w:lang w:eastAsia="zh-TW"/>
              </w:rPr>
              <w:t>為法團的</w:t>
            </w:r>
            <w:proofErr w:type="gramEnd"/>
            <w:r>
              <w:rPr>
                <w:rFonts w:eastAsia="新細明體" w:cs="Segoe UI" w:hint="eastAsia"/>
                <w:sz w:val="17"/>
                <w:lang w:eastAsia="zh-TW"/>
              </w:rPr>
              <w:t>認可機構</w:t>
            </w:r>
            <w:proofErr w:type="gramStart"/>
            <w:r>
              <w:rPr>
                <w:rFonts w:eastAsia="新細明體" w:cs="Segoe UI" w:hint="eastAsia"/>
                <w:sz w:val="17"/>
                <w:lang w:eastAsia="zh-TW"/>
              </w:rPr>
              <w:t>均須填報本模</w:t>
            </w:r>
            <w:proofErr w:type="gramEnd"/>
            <w:r>
              <w:rPr>
                <w:rFonts w:eastAsia="新細明體" w:cs="Segoe UI" w:hint="eastAsia"/>
                <w:sz w:val="17"/>
                <w:lang w:eastAsia="zh-TW"/>
              </w:rPr>
              <w:t>版。</w:t>
            </w:r>
            <w:r>
              <w:rPr>
                <w:rFonts w:eastAsia="新細明體" w:cs="Segoe UI"/>
                <w:sz w:val="17"/>
                <w:lang w:eastAsia="zh-TW"/>
              </w:rPr>
              <w:t xml:space="preserve"> </w:t>
            </w:r>
            <w:r>
              <w:rPr>
                <w:rFonts w:eastAsia="新細明體" w:cs="Segoe UI"/>
                <w:sz w:val="17"/>
                <w:lang w:eastAsia="zh-TW"/>
              </w:rPr>
              <w:tab/>
            </w:r>
          </w:p>
        </w:tc>
      </w:tr>
      <w:tr w:rsidR="00645EA1" w14:paraId="1B4CB8F1" w14:textId="77777777" w:rsidTr="00645EA1">
        <w:tc>
          <w:tcPr>
            <w:tcW w:w="2127" w:type="dxa"/>
            <w:tcBorders>
              <w:top w:val="single" w:sz="4" w:space="0" w:color="auto"/>
              <w:left w:val="nil"/>
              <w:bottom w:val="single" w:sz="4" w:space="0" w:color="auto"/>
              <w:right w:val="single" w:sz="4" w:space="0" w:color="auto"/>
            </w:tcBorders>
            <w:hideMark/>
          </w:tcPr>
          <w:p w14:paraId="53601709" w14:textId="77777777" w:rsidR="00645EA1" w:rsidRDefault="00645EA1">
            <w:pPr>
              <w:widowControl w:val="0"/>
              <w:rPr>
                <w:rFonts w:eastAsiaTheme="minorEastAsia" w:cs="Segoe UI"/>
                <w:b/>
                <w:kern w:val="2"/>
                <w:sz w:val="17"/>
                <w:szCs w:val="17"/>
              </w:rPr>
            </w:pPr>
            <w:proofErr w:type="spellStart"/>
            <w:r>
              <w:rPr>
                <w:rFonts w:eastAsia="細明體" w:cs="Segoe UI" w:hint="eastAsia"/>
                <w:b/>
                <w:sz w:val="17"/>
                <w:szCs w:val="17"/>
              </w:rPr>
              <w:t>內容</w:t>
            </w:r>
            <w:proofErr w:type="spellEnd"/>
            <w:r>
              <w:rPr>
                <w:rFonts w:eastAsia="細明體" w:cs="Segoe UI" w:hint="eastAsia"/>
                <w:b/>
                <w:sz w:val="17"/>
                <w:szCs w:val="17"/>
              </w:rPr>
              <w:t>：</w:t>
            </w:r>
          </w:p>
        </w:tc>
        <w:tc>
          <w:tcPr>
            <w:tcW w:w="7115" w:type="dxa"/>
            <w:tcBorders>
              <w:top w:val="single" w:sz="4" w:space="0" w:color="auto"/>
              <w:left w:val="single" w:sz="4" w:space="0" w:color="auto"/>
              <w:bottom w:val="single" w:sz="4" w:space="0" w:color="auto"/>
              <w:right w:val="nil"/>
            </w:tcBorders>
            <w:hideMark/>
          </w:tcPr>
          <w:p w14:paraId="28608EA3" w14:textId="77777777" w:rsidR="00645EA1" w:rsidRDefault="00645EA1">
            <w:pPr>
              <w:spacing w:before="40" w:after="40"/>
              <w:jc w:val="both"/>
              <w:rPr>
                <w:rFonts w:eastAsia="新細明體" w:cs="Segoe UI"/>
                <w:sz w:val="17"/>
                <w:lang w:eastAsia="zh-TW"/>
              </w:rPr>
            </w:pPr>
            <w:r>
              <w:rPr>
                <w:rFonts w:eastAsia="新細明體" w:cs="Segoe UI" w:hint="eastAsia"/>
                <w:sz w:val="17"/>
                <w:lang w:eastAsia="zh-TW"/>
              </w:rPr>
              <w:t>認可機構為施行《資本規則》第</w:t>
            </w:r>
            <w:r>
              <w:rPr>
                <w:rFonts w:eastAsia="新細明體" w:cs="Segoe UI"/>
                <w:sz w:val="17"/>
                <w:lang w:eastAsia="zh-TW"/>
              </w:rPr>
              <w:t>4A</w:t>
            </w:r>
            <w:r>
              <w:rPr>
                <w:rFonts w:eastAsia="新細明體" w:cs="Segoe UI" w:hint="eastAsia"/>
                <w:sz w:val="17"/>
                <w:lang w:eastAsia="zh-TW"/>
              </w:rPr>
              <w:t>條而考慮及作出就按公平價值計量（按市價計值或按模式計值）的所有資產（包括非衍生及衍生工具）作出的估值調整。</w:t>
            </w:r>
          </w:p>
        </w:tc>
      </w:tr>
      <w:tr w:rsidR="00645EA1" w14:paraId="103B7B25" w14:textId="77777777" w:rsidTr="00645EA1">
        <w:tc>
          <w:tcPr>
            <w:tcW w:w="2127" w:type="dxa"/>
            <w:tcBorders>
              <w:top w:val="single" w:sz="4" w:space="0" w:color="auto"/>
              <w:left w:val="nil"/>
              <w:bottom w:val="single" w:sz="4" w:space="0" w:color="auto"/>
              <w:right w:val="single" w:sz="4" w:space="0" w:color="auto"/>
            </w:tcBorders>
            <w:hideMark/>
          </w:tcPr>
          <w:p w14:paraId="695FB217" w14:textId="77777777" w:rsidR="00645EA1" w:rsidRDefault="00645EA1">
            <w:pPr>
              <w:widowControl w:val="0"/>
              <w:rPr>
                <w:rFonts w:eastAsiaTheme="minorEastAsia" w:cs="Segoe UI"/>
                <w:b/>
                <w:kern w:val="2"/>
                <w:sz w:val="17"/>
                <w:szCs w:val="17"/>
              </w:rPr>
            </w:pPr>
            <w:proofErr w:type="spellStart"/>
            <w:r>
              <w:rPr>
                <w:rFonts w:eastAsia="細明體" w:cs="Segoe UI" w:hint="eastAsia"/>
                <w:b/>
                <w:sz w:val="17"/>
                <w:szCs w:val="17"/>
              </w:rPr>
              <w:t>頻密程度</w:t>
            </w:r>
            <w:proofErr w:type="spellEnd"/>
            <w:r>
              <w:rPr>
                <w:rFonts w:eastAsia="細明體" w:cs="Segoe UI" w:hint="eastAsia"/>
                <w:b/>
                <w:sz w:val="17"/>
                <w:szCs w:val="17"/>
              </w:rPr>
              <w:t>：</w:t>
            </w:r>
          </w:p>
        </w:tc>
        <w:tc>
          <w:tcPr>
            <w:tcW w:w="7115" w:type="dxa"/>
            <w:tcBorders>
              <w:top w:val="single" w:sz="4" w:space="0" w:color="auto"/>
              <w:left w:val="single" w:sz="4" w:space="0" w:color="auto"/>
              <w:bottom w:val="single" w:sz="4" w:space="0" w:color="auto"/>
              <w:right w:val="nil"/>
            </w:tcBorders>
            <w:hideMark/>
          </w:tcPr>
          <w:p w14:paraId="17401392" w14:textId="77777777" w:rsidR="00645EA1" w:rsidRDefault="00645EA1">
            <w:pPr>
              <w:spacing w:before="40" w:after="40"/>
              <w:jc w:val="both"/>
              <w:rPr>
                <w:rFonts w:eastAsia="新細明體" w:cs="Segoe UI"/>
                <w:sz w:val="17"/>
                <w:lang w:eastAsia="en-GB"/>
              </w:rPr>
            </w:pPr>
            <w:proofErr w:type="spellStart"/>
            <w:r>
              <w:rPr>
                <w:rFonts w:eastAsia="新細明體" w:cs="Segoe UI" w:hint="eastAsia"/>
                <w:sz w:val="17"/>
              </w:rPr>
              <w:t>每年一次</w:t>
            </w:r>
            <w:proofErr w:type="spellEnd"/>
            <w:r>
              <w:rPr>
                <w:rFonts w:eastAsia="新細明體" w:cs="Segoe UI" w:hint="eastAsia"/>
                <w:sz w:val="17"/>
              </w:rPr>
              <w:t>。</w:t>
            </w:r>
          </w:p>
        </w:tc>
      </w:tr>
      <w:tr w:rsidR="00645EA1" w14:paraId="0D24342B" w14:textId="77777777" w:rsidTr="00645EA1">
        <w:tc>
          <w:tcPr>
            <w:tcW w:w="2127" w:type="dxa"/>
            <w:tcBorders>
              <w:top w:val="single" w:sz="4" w:space="0" w:color="auto"/>
              <w:left w:val="nil"/>
              <w:bottom w:val="single" w:sz="4" w:space="0" w:color="auto"/>
              <w:right w:val="single" w:sz="4" w:space="0" w:color="auto"/>
            </w:tcBorders>
            <w:hideMark/>
          </w:tcPr>
          <w:p w14:paraId="54EFE945" w14:textId="77777777" w:rsidR="00645EA1" w:rsidRDefault="00645EA1">
            <w:pPr>
              <w:widowControl w:val="0"/>
              <w:rPr>
                <w:rFonts w:eastAsiaTheme="minorEastAsia" w:cs="Segoe UI"/>
                <w:b/>
                <w:kern w:val="2"/>
                <w:sz w:val="17"/>
                <w:szCs w:val="17"/>
              </w:rPr>
            </w:pPr>
            <w:proofErr w:type="spellStart"/>
            <w:r>
              <w:rPr>
                <w:rFonts w:eastAsia="細明體" w:cs="Segoe UI" w:hint="eastAsia"/>
                <w:b/>
                <w:sz w:val="17"/>
                <w:szCs w:val="17"/>
              </w:rPr>
              <w:t>格式</w:t>
            </w:r>
            <w:proofErr w:type="spellEnd"/>
            <w:r>
              <w:rPr>
                <w:rFonts w:eastAsia="細明體" w:cs="Segoe UI" w:hint="eastAsia"/>
                <w:b/>
                <w:sz w:val="17"/>
                <w:szCs w:val="17"/>
              </w:rPr>
              <w:t>：</w:t>
            </w:r>
          </w:p>
        </w:tc>
        <w:tc>
          <w:tcPr>
            <w:tcW w:w="7115" w:type="dxa"/>
            <w:tcBorders>
              <w:top w:val="single" w:sz="4" w:space="0" w:color="auto"/>
              <w:left w:val="single" w:sz="4" w:space="0" w:color="auto"/>
              <w:bottom w:val="single" w:sz="4" w:space="0" w:color="auto"/>
              <w:right w:val="nil"/>
            </w:tcBorders>
            <w:hideMark/>
          </w:tcPr>
          <w:p w14:paraId="12D4EA10" w14:textId="77777777" w:rsidR="00645EA1" w:rsidRDefault="00645EA1">
            <w:pPr>
              <w:spacing w:before="40" w:after="40"/>
              <w:jc w:val="both"/>
              <w:rPr>
                <w:rFonts w:eastAsia="新細明體" w:cs="Segoe UI"/>
                <w:sz w:val="17"/>
                <w:lang w:eastAsia="zh-TW"/>
              </w:rPr>
            </w:pPr>
            <w:r>
              <w:rPr>
                <w:rFonts w:eastAsia="新細明體" w:cs="Segoe UI" w:hint="eastAsia"/>
                <w:sz w:val="17"/>
                <w:lang w:eastAsia="zh-TW"/>
              </w:rPr>
              <w:t>固定。認可機構應在不適用的行填報「</w:t>
            </w:r>
            <w:r>
              <w:rPr>
                <w:rFonts w:eastAsia="新細明體" w:cs="Segoe UI"/>
                <w:sz w:val="17"/>
                <w:lang w:eastAsia="zh-TW"/>
              </w:rPr>
              <w:t>0</w:t>
            </w:r>
            <w:r>
              <w:rPr>
                <w:rFonts w:eastAsia="新細明體" w:cs="Segoe UI" w:hint="eastAsia"/>
                <w:sz w:val="17"/>
                <w:lang w:eastAsia="zh-TW"/>
              </w:rPr>
              <w:t>」，並在</w:t>
            </w:r>
            <w:r>
              <w:rPr>
                <w:rFonts w:eastAsia="細明體" w:cs="Segoe UI" w:hint="eastAsia"/>
                <w:sz w:val="17"/>
                <w:szCs w:val="17"/>
                <w:lang w:eastAsia="zh-TW"/>
              </w:rPr>
              <w:t>敘述評</w:t>
            </w:r>
            <w:proofErr w:type="gramStart"/>
            <w:r>
              <w:rPr>
                <w:rFonts w:eastAsia="細明體" w:cs="Segoe UI" w:hint="eastAsia"/>
                <w:sz w:val="17"/>
                <w:szCs w:val="17"/>
                <w:lang w:eastAsia="zh-TW"/>
              </w:rPr>
              <w:t>註</w:t>
            </w:r>
            <w:proofErr w:type="gramEnd"/>
            <w:r>
              <w:rPr>
                <w:rFonts w:eastAsia="新細明體" w:cs="Segoe UI" w:hint="eastAsia"/>
                <w:sz w:val="17"/>
                <w:lang w:eastAsia="zh-TW"/>
              </w:rPr>
              <w:t>說明該等行不適用的原因。</w:t>
            </w:r>
          </w:p>
        </w:tc>
      </w:tr>
      <w:tr w:rsidR="00645EA1" w14:paraId="0A29975E" w14:textId="77777777" w:rsidTr="00645EA1">
        <w:tc>
          <w:tcPr>
            <w:tcW w:w="2127" w:type="dxa"/>
            <w:tcBorders>
              <w:top w:val="single" w:sz="4" w:space="0" w:color="auto"/>
              <w:left w:val="nil"/>
              <w:bottom w:val="single" w:sz="4" w:space="0" w:color="auto"/>
              <w:right w:val="single" w:sz="4" w:space="0" w:color="auto"/>
            </w:tcBorders>
            <w:hideMark/>
          </w:tcPr>
          <w:p w14:paraId="40F20C9E" w14:textId="77777777" w:rsidR="00645EA1" w:rsidRDefault="00645EA1">
            <w:pPr>
              <w:widowControl w:val="0"/>
              <w:rPr>
                <w:rFonts w:eastAsiaTheme="minorEastAsia" w:cs="Segoe UI"/>
                <w:b/>
                <w:kern w:val="2"/>
                <w:sz w:val="17"/>
                <w:szCs w:val="17"/>
              </w:rPr>
            </w:pPr>
            <w:proofErr w:type="spellStart"/>
            <w:r>
              <w:rPr>
                <w:rFonts w:eastAsia="細明體" w:cs="Segoe UI" w:hint="eastAsia"/>
                <w:b/>
                <w:sz w:val="17"/>
                <w:szCs w:val="17"/>
              </w:rPr>
              <w:t>附加說明</w:t>
            </w:r>
            <w:proofErr w:type="spellEnd"/>
            <w:r>
              <w:rPr>
                <w:rFonts w:eastAsia="細明體" w:cs="Segoe UI" w:hint="eastAsia"/>
                <w:b/>
                <w:sz w:val="17"/>
                <w:szCs w:val="17"/>
              </w:rPr>
              <w:t>：</w:t>
            </w:r>
          </w:p>
        </w:tc>
        <w:tc>
          <w:tcPr>
            <w:tcW w:w="7115" w:type="dxa"/>
            <w:tcBorders>
              <w:top w:val="single" w:sz="4" w:space="0" w:color="auto"/>
              <w:left w:val="single" w:sz="4" w:space="0" w:color="auto"/>
              <w:bottom w:val="single" w:sz="4" w:space="0" w:color="auto"/>
              <w:right w:val="nil"/>
            </w:tcBorders>
            <w:hideMark/>
          </w:tcPr>
          <w:p w14:paraId="20DAEFAE" w14:textId="3A96BDDB" w:rsidR="00645EA1" w:rsidRDefault="00645EA1" w:rsidP="007C2358">
            <w:pPr>
              <w:spacing w:before="40" w:after="40"/>
              <w:jc w:val="both"/>
              <w:rPr>
                <w:rFonts w:eastAsia="新細明體" w:cs="Segoe UI"/>
                <w:sz w:val="17"/>
                <w:lang w:eastAsia="zh-TW"/>
              </w:rPr>
            </w:pPr>
            <w:r>
              <w:rPr>
                <w:rFonts w:eastAsia="新細明體" w:cs="Segoe UI" w:hint="eastAsia"/>
                <w:sz w:val="17"/>
                <w:szCs w:val="17"/>
                <w:lang w:eastAsia="zh-TW"/>
              </w:rPr>
              <w:t>認可機構應提供敘述評</w:t>
            </w:r>
            <w:proofErr w:type="gramStart"/>
            <w:r>
              <w:rPr>
                <w:rFonts w:eastAsia="新細明體" w:cs="Segoe UI" w:hint="eastAsia"/>
                <w:sz w:val="17"/>
                <w:szCs w:val="17"/>
                <w:lang w:eastAsia="zh-TW"/>
              </w:rPr>
              <w:t>註</w:t>
            </w:r>
            <w:proofErr w:type="gramEnd"/>
            <w:r>
              <w:rPr>
                <w:rFonts w:eastAsia="新細明體" w:cs="Segoe UI" w:hint="eastAsia"/>
                <w:sz w:val="17"/>
                <w:szCs w:val="17"/>
                <w:lang w:eastAsia="zh-TW"/>
              </w:rPr>
              <w:t>，闡明在報告期內的任何重大</w:t>
            </w:r>
            <w:r w:rsidR="007C2358" w:rsidRPr="007C2358">
              <w:rPr>
                <w:rFonts w:eastAsia="新細明體" w:cs="Segoe UI" w:hint="eastAsia"/>
                <w:sz w:val="17"/>
                <w:szCs w:val="17"/>
                <w:lang w:eastAsia="zh-TW"/>
              </w:rPr>
              <w:t>改</w:t>
            </w:r>
            <w:r>
              <w:rPr>
                <w:rFonts w:eastAsia="新細明體" w:cs="Segoe UI" w:hint="eastAsia"/>
                <w:sz w:val="17"/>
                <w:szCs w:val="17"/>
                <w:lang w:eastAsia="zh-TW"/>
              </w:rPr>
              <w:t>變及引致有關</w:t>
            </w:r>
            <w:r w:rsidR="007C2358" w:rsidRPr="007C2358">
              <w:rPr>
                <w:rFonts w:eastAsia="新細明體" w:cs="Segoe UI" w:hint="eastAsia"/>
                <w:sz w:val="17"/>
                <w:szCs w:val="17"/>
                <w:lang w:eastAsia="zh-TW"/>
              </w:rPr>
              <w:t>改</w:t>
            </w:r>
            <w:r>
              <w:rPr>
                <w:rFonts w:eastAsia="新細明體" w:cs="Segoe UI" w:hint="eastAsia"/>
                <w:sz w:val="17"/>
                <w:szCs w:val="17"/>
                <w:lang w:eastAsia="zh-TW"/>
              </w:rPr>
              <w:t>變的主要</w:t>
            </w:r>
            <w:r>
              <w:rPr>
                <w:rFonts w:eastAsia="細明體" w:cs="Segoe UI" w:hint="eastAsia"/>
                <w:sz w:val="17"/>
                <w:lang w:eastAsia="zh-TW"/>
              </w:rPr>
              <w:t>驅動因素</w:t>
            </w:r>
            <w:r>
              <w:rPr>
                <w:rFonts w:eastAsia="新細明體" w:cs="Segoe UI" w:hint="eastAsia"/>
                <w:sz w:val="17"/>
                <w:szCs w:val="17"/>
                <w:lang w:eastAsia="zh-TW"/>
              </w:rPr>
              <w:t>，以</w:t>
            </w:r>
            <w:proofErr w:type="gramStart"/>
            <w:r>
              <w:rPr>
                <w:rFonts w:eastAsia="新細明體" w:cs="Segoe UI" w:hint="eastAsia"/>
                <w:sz w:val="17"/>
                <w:szCs w:val="17"/>
                <w:lang w:eastAsia="zh-TW"/>
              </w:rPr>
              <w:t>補充本模版</w:t>
            </w:r>
            <w:proofErr w:type="gramEnd"/>
            <w:r>
              <w:rPr>
                <w:rFonts w:eastAsia="新細明體" w:cs="Segoe UI" w:hint="eastAsia"/>
                <w:sz w:val="17"/>
                <w:szCs w:val="17"/>
                <w:lang w:eastAsia="zh-TW"/>
              </w:rPr>
              <w:t>。認可機構尤其應提供有關第</w:t>
            </w:r>
            <w:r>
              <w:rPr>
                <w:rFonts w:eastAsia="新細明體" w:cs="Segoe UI"/>
                <w:sz w:val="17"/>
                <w:szCs w:val="17"/>
                <w:lang w:eastAsia="zh-TW"/>
              </w:rPr>
              <w:t>11</w:t>
            </w:r>
            <w:r>
              <w:rPr>
                <w:rFonts w:eastAsia="新細明體" w:cs="Segoe UI" w:hint="eastAsia"/>
                <w:sz w:val="17"/>
                <w:szCs w:val="17"/>
                <w:lang w:eastAsia="zh-TW"/>
              </w:rPr>
              <w:t>行</w:t>
            </w:r>
            <w:r>
              <w:rPr>
                <w:rFonts w:eastAsia="新細明體" w:cs="Segoe UI" w:hint="eastAsia"/>
                <w:noProof/>
                <w:sz w:val="17"/>
                <w:lang w:eastAsia="zh-TW"/>
              </w:rPr>
              <w:t>「其他調整」</w:t>
            </w:r>
            <w:r>
              <w:rPr>
                <w:rFonts w:eastAsia="新細明體" w:cs="Segoe UI" w:hint="eastAsia"/>
                <w:sz w:val="17"/>
                <w:lang w:eastAsia="zh-TW"/>
              </w:rPr>
              <w:t>（</w:t>
            </w:r>
            <w:r>
              <w:rPr>
                <w:rFonts w:eastAsia="新細明體" w:cs="Segoe UI" w:hint="eastAsia"/>
                <w:noProof/>
                <w:sz w:val="17"/>
                <w:lang w:eastAsia="zh-TW"/>
              </w:rPr>
              <w:t>如屬重大</w:t>
            </w:r>
            <w:r>
              <w:rPr>
                <w:rFonts w:eastAsia="新細明體" w:cs="Segoe UI" w:hint="eastAsia"/>
                <w:sz w:val="17"/>
                <w:lang w:eastAsia="zh-TW"/>
              </w:rPr>
              <w:t>）</w:t>
            </w:r>
            <w:r>
              <w:rPr>
                <w:rFonts w:eastAsia="新細明體" w:cs="Segoe UI" w:hint="eastAsia"/>
                <w:noProof/>
                <w:sz w:val="17"/>
                <w:lang w:eastAsia="zh-TW"/>
              </w:rPr>
              <w:t>的詳情，以及巴塞爾框架並未列出的有關調整的定義。認可機構亦應解釋所記錄的估值調整數額最高的金融工具類別。</w:t>
            </w:r>
          </w:p>
        </w:tc>
      </w:tr>
      <w:tr w:rsidR="00645EA1" w14:paraId="0EE105E8" w14:textId="77777777" w:rsidTr="00645EA1">
        <w:tc>
          <w:tcPr>
            <w:tcW w:w="2127" w:type="dxa"/>
            <w:tcBorders>
              <w:top w:val="single" w:sz="4" w:space="0" w:color="auto"/>
              <w:left w:val="nil"/>
              <w:bottom w:val="single" w:sz="4" w:space="0" w:color="auto"/>
              <w:right w:val="single" w:sz="4" w:space="0" w:color="auto"/>
            </w:tcBorders>
            <w:hideMark/>
          </w:tcPr>
          <w:p w14:paraId="78A0AA9E" w14:textId="77777777" w:rsidR="00645EA1" w:rsidRDefault="00645EA1">
            <w:pPr>
              <w:widowControl w:val="0"/>
              <w:rPr>
                <w:rFonts w:eastAsiaTheme="minorEastAsia" w:cs="Segoe UI"/>
                <w:b/>
                <w:kern w:val="2"/>
                <w:sz w:val="17"/>
                <w:szCs w:val="17"/>
                <w:lang w:eastAsia="zh-TW"/>
              </w:rPr>
            </w:pPr>
            <w:r>
              <w:rPr>
                <w:rFonts w:eastAsia="細明體" w:cs="Segoe UI" w:hint="eastAsia"/>
                <w:b/>
                <w:sz w:val="17"/>
                <w:szCs w:val="17"/>
                <w:lang w:eastAsia="zh-TW"/>
              </w:rPr>
              <w:t>《披露規則》相應條文：</w:t>
            </w:r>
          </w:p>
        </w:tc>
        <w:tc>
          <w:tcPr>
            <w:tcW w:w="7115" w:type="dxa"/>
            <w:tcBorders>
              <w:top w:val="single" w:sz="4" w:space="0" w:color="auto"/>
              <w:left w:val="single" w:sz="4" w:space="0" w:color="auto"/>
              <w:bottom w:val="single" w:sz="4" w:space="0" w:color="auto"/>
              <w:right w:val="nil"/>
            </w:tcBorders>
            <w:hideMark/>
          </w:tcPr>
          <w:p w14:paraId="46BE5573" w14:textId="77777777" w:rsidR="00645EA1" w:rsidRDefault="00645EA1">
            <w:pPr>
              <w:spacing w:before="40" w:after="40"/>
              <w:jc w:val="both"/>
              <w:rPr>
                <w:rFonts w:eastAsia="新細明體" w:cs="Segoe UI"/>
                <w:sz w:val="17"/>
                <w:szCs w:val="17"/>
              </w:rPr>
            </w:pPr>
            <w:r>
              <w:rPr>
                <w:rFonts w:eastAsia="新細明體" w:cs="Segoe UI"/>
                <w:sz w:val="17"/>
                <w:szCs w:val="17"/>
                <w:lang w:eastAsia="en-GB"/>
              </w:rPr>
              <w:t>16FA</w:t>
            </w:r>
          </w:p>
        </w:tc>
      </w:tr>
    </w:tbl>
    <w:p w14:paraId="69AC42B0" w14:textId="77777777" w:rsidR="0027008C" w:rsidRPr="00CA7301" w:rsidRDefault="0027008C">
      <w:pPr>
        <w:rPr>
          <w:rFonts w:cs="Segoe UI"/>
          <w:lang w:val="en-US" w:eastAsia="zh-TW"/>
        </w:rPr>
      </w:pPr>
    </w:p>
    <w:p w14:paraId="108736A1" w14:textId="77777777" w:rsidR="00D739A0" w:rsidRPr="00CA7301" w:rsidRDefault="00D739A0">
      <w:pPr>
        <w:rPr>
          <w:rFonts w:eastAsiaTheme="minorEastAsia" w:cs="Segoe UI"/>
          <w:lang w:val="en-US" w:eastAsia="zh-TW"/>
        </w:rPr>
      </w:pPr>
    </w:p>
    <w:tbl>
      <w:tblPr>
        <w:tblW w:w="9216" w:type="dxa"/>
        <w:tblInd w:w="-539" w:type="dxa"/>
        <w:tblLayout w:type="fixed"/>
        <w:tblCellMar>
          <w:left w:w="28" w:type="dxa"/>
          <w:right w:w="28" w:type="dxa"/>
        </w:tblCellMar>
        <w:tblLook w:val="04A0" w:firstRow="1" w:lastRow="0" w:firstColumn="1" w:lastColumn="0" w:noHBand="0" w:noVBand="1"/>
      </w:tblPr>
      <w:tblGrid>
        <w:gridCol w:w="326"/>
        <w:gridCol w:w="1953"/>
        <w:gridCol w:w="779"/>
        <w:gridCol w:w="778"/>
        <w:gridCol w:w="778"/>
        <w:gridCol w:w="778"/>
        <w:gridCol w:w="778"/>
        <w:gridCol w:w="778"/>
        <w:gridCol w:w="1134"/>
        <w:gridCol w:w="1134"/>
      </w:tblGrid>
      <w:tr w:rsidR="00645EA1" w14:paraId="12830D8A" w14:textId="77777777" w:rsidTr="00645EA1">
        <w:trPr>
          <w:trHeight w:val="283"/>
          <w:tblHeader/>
        </w:trPr>
        <w:tc>
          <w:tcPr>
            <w:tcW w:w="325" w:type="dxa"/>
            <w:noWrap/>
            <w:vAlign w:val="center"/>
            <w:hideMark/>
          </w:tcPr>
          <w:p w14:paraId="2E47660D" w14:textId="77777777" w:rsidR="00645EA1" w:rsidRDefault="00645EA1">
            <w:pPr>
              <w:rPr>
                <w:rFonts w:asciiTheme="minorHAnsi" w:eastAsia="新細明體" w:hAnsiTheme="minorHAnsi" w:cs="新細明體"/>
                <w:kern w:val="2"/>
                <w:sz w:val="24"/>
                <w:szCs w:val="22"/>
              </w:rPr>
            </w:pPr>
          </w:p>
        </w:tc>
        <w:tc>
          <w:tcPr>
            <w:tcW w:w="1952" w:type="dxa"/>
            <w:noWrap/>
            <w:vAlign w:val="center"/>
            <w:hideMark/>
          </w:tcPr>
          <w:p w14:paraId="0422D6F8" w14:textId="77777777" w:rsidR="00645EA1" w:rsidRDefault="00645EA1">
            <w:pPr>
              <w:rPr>
                <w:rFonts w:asciiTheme="minorHAnsi" w:eastAsia="新細明體" w:hAnsiTheme="minorHAnsi" w:cs="新細明體"/>
                <w:kern w:val="2"/>
                <w:sz w:val="24"/>
                <w:szCs w:val="22"/>
              </w:rPr>
            </w:pPr>
          </w:p>
        </w:tc>
        <w:tc>
          <w:tcPr>
            <w:tcW w:w="779" w:type="dxa"/>
            <w:tcBorders>
              <w:top w:val="single" w:sz="4" w:space="0" w:color="auto"/>
              <w:left w:val="single" w:sz="4" w:space="0" w:color="auto"/>
              <w:bottom w:val="single" w:sz="4" w:space="0" w:color="auto"/>
              <w:right w:val="single" w:sz="4" w:space="0" w:color="BFBFBF"/>
            </w:tcBorders>
            <w:vAlign w:val="center"/>
            <w:hideMark/>
          </w:tcPr>
          <w:p w14:paraId="479D9E31"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(a)</w:t>
            </w:r>
          </w:p>
        </w:tc>
        <w:tc>
          <w:tcPr>
            <w:tcW w:w="778" w:type="dxa"/>
            <w:tcBorders>
              <w:top w:val="single" w:sz="4" w:space="0" w:color="auto"/>
              <w:left w:val="nil"/>
              <w:bottom w:val="single" w:sz="4" w:space="0" w:color="auto"/>
              <w:right w:val="single" w:sz="4" w:space="0" w:color="BFBFBF"/>
            </w:tcBorders>
            <w:vAlign w:val="center"/>
            <w:hideMark/>
          </w:tcPr>
          <w:p w14:paraId="04CA9D30"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(b)</w:t>
            </w:r>
          </w:p>
        </w:tc>
        <w:tc>
          <w:tcPr>
            <w:tcW w:w="778" w:type="dxa"/>
            <w:tcBorders>
              <w:top w:val="single" w:sz="4" w:space="0" w:color="auto"/>
              <w:left w:val="nil"/>
              <w:bottom w:val="single" w:sz="4" w:space="0" w:color="auto"/>
              <w:right w:val="single" w:sz="4" w:space="0" w:color="BFBFBF"/>
            </w:tcBorders>
            <w:vAlign w:val="center"/>
            <w:hideMark/>
          </w:tcPr>
          <w:p w14:paraId="6BFCF6AD"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(c)</w:t>
            </w:r>
          </w:p>
        </w:tc>
        <w:tc>
          <w:tcPr>
            <w:tcW w:w="778" w:type="dxa"/>
            <w:tcBorders>
              <w:top w:val="single" w:sz="4" w:space="0" w:color="auto"/>
              <w:left w:val="nil"/>
              <w:bottom w:val="single" w:sz="4" w:space="0" w:color="auto"/>
              <w:right w:val="single" w:sz="4" w:space="0" w:color="BFBFBF"/>
            </w:tcBorders>
            <w:vAlign w:val="center"/>
            <w:hideMark/>
          </w:tcPr>
          <w:p w14:paraId="62904C8C"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(d)</w:t>
            </w:r>
          </w:p>
        </w:tc>
        <w:tc>
          <w:tcPr>
            <w:tcW w:w="778" w:type="dxa"/>
            <w:tcBorders>
              <w:top w:val="single" w:sz="4" w:space="0" w:color="auto"/>
              <w:left w:val="nil"/>
              <w:bottom w:val="single" w:sz="4" w:space="0" w:color="auto"/>
              <w:right w:val="single" w:sz="4" w:space="0" w:color="auto"/>
            </w:tcBorders>
            <w:vAlign w:val="center"/>
            <w:hideMark/>
          </w:tcPr>
          <w:p w14:paraId="54D580E2"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(e)</w:t>
            </w:r>
          </w:p>
        </w:tc>
        <w:tc>
          <w:tcPr>
            <w:tcW w:w="778" w:type="dxa"/>
            <w:tcBorders>
              <w:top w:val="single" w:sz="4" w:space="0" w:color="auto"/>
              <w:left w:val="nil"/>
              <w:bottom w:val="single" w:sz="4" w:space="0" w:color="auto"/>
              <w:right w:val="single" w:sz="4" w:space="0" w:color="auto"/>
            </w:tcBorders>
            <w:vAlign w:val="center"/>
            <w:hideMark/>
          </w:tcPr>
          <w:p w14:paraId="1DBE38C4" w14:textId="77777777" w:rsidR="00645EA1" w:rsidRPr="00952CC9" w:rsidRDefault="00645EA1">
            <w:pPr>
              <w:spacing w:line="200" w:lineRule="exact"/>
              <w:jc w:val="center"/>
              <w:rPr>
                <w:rFonts w:eastAsia="新細明體" w:cs="Segoe UI"/>
                <w:b/>
                <w:bCs/>
                <w:color w:val="000000"/>
                <w:sz w:val="17"/>
                <w:szCs w:val="17"/>
              </w:rPr>
            </w:pPr>
            <w:r w:rsidRPr="00952CC9">
              <w:rPr>
                <w:rFonts w:eastAsia="新細明體" w:cs="Segoe UI"/>
                <w:b/>
                <w:bCs/>
                <w:color w:val="000000"/>
                <w:sz w:val="17"/>
                <w:szCs w:val="17"/>
              </w:rPr>
              <w:t>(f)</w:t>
            </w:r>
          </w:p>
        </w:tc>
        <w:tc>
          <w:tcPr>
            <w:tcW w:w="1134" w:type="dxa"/>
            <w:tcBorders>
              <w:top w:val="single" w:sz="4" w:space="0" w:color="auto"/>
              <w:left w:val="nil"/>
              <w:bottom w:val="nil"/>
              <w:right w:val="single" w:sz="4" w:space="0" w:color="BFBFBF"/>
            </w:tcBorders>
            <w:vAlign w:val="center"/>
            <w:hideMark/>
          </w:tcPr>
          <w:p w14:paraId="259488CD"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(g)</w:t>
            </w:r>
          </w:p>
        </w:tc>
        <w:tc>
          <w:tcPr>
            <w:tcW w:w="1134" w:type="dxa"/>
            <w:tcBorders>
              <w:top w:val="single" w:sz="4" w:space="0" w:color="auto"/>
              <w:left w:val="nil"/>
              <w:bottom w:val="nil"/>
              <w:right w:val="single" w:sz="4" w:space="0" w:color="auto"/>
            </w:tcBorders>
            <w:vAlign w:val="center"/>
            <w:hideMark/>
          </w:tcPr>
          <w:p w14:paraId="4E50F2E5"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(h)</w:t>
            </w:r>
          </w:p>
        </w:tc>
      </w:tr>
      <w:tr w:rsidR="00645EA1" w14:paraId="3EB4F186" w14:textId="77777777" w:rsidTr="00645EA1">
        <w:trPr>
          <w:trHeight w:val="628"/>
          <w:tblHeader/>
        </w:trPr>
        <w:tc>
          <w:tcPr>
            <w:tcW w:w="325" w:type="dxa"/>
            <w:noWrap/>
            <w:vAlign w:val="center"/>
            <w:hideMark/>
          </w:tcPr>
          <w:p w14:paraId="48AB3283" w14:textId="77777777" w:rsidR="00645EA1" w:rsidRDefault="00645EA1">
            <w:pPr>
              <w:rPr>
                <w:rFonts w:asciiTheme="minorHAnsi" w:eastAsia="新細明體" w:hAnsiTheme="minorHAnsi" w:cs="新細明體"/>
                <w:kern w:val="2"/>
                <w:sz w:val="24"/>
                <w:szCs w:val="22"/>
              </w:rPr>
            </w:pPr>
          </w:p>
        </w:tc>
        <w:tc>
          <w:tcPr>
            <w:tcW w:w="1952" w:type="dxa"/>
            <w:noWrap/>
            <w:vAlign w:val="center"/>
            <w:hideMark/>
          </w:tcPr>
          <w:p w14:paraId="6ABD9B16" w14:textId="77777777" w:rsidR="00645EA1" w:rsidRDefault="00645EA1">
            <w:pPr>
              <w:rPr>
                <w:rFonts w:asciiTheme="minorHAnsi" w:eastAsia="新細明體" w:hAnsiTheme="minorHAnsi" w:cs="新細明體"/>
                <w:kern w:val="2"/>
                <w:sz w:val="24"/>
                <w:szCs w:val="22"/>
              </w:rPr>
            </w:pPr>
          </w:p>
        </w:tc>
        <w:tc>
          <w:tcPr>
            <w:tcW w:w="779" w:type="dxa"/>
            <w:tcBorders>
              <w:top w:val="nil"/>
              <w:left w:val="single" w:sz="4" w:space="0" w:color="auto"/>
              <w:bottom w:val="single" w:sz="4" w:space="0" w:color="auto"/>
              <w:right w:val="single" w:sz="4" w:space="0" w:color="BFBFBF"/>
            </w:tcBorders>
            <w:vAlign w:val="center"/>
            <w:hideMark/>
          </w:tcPr>
          <w:p w14:paraId="06F3907C" w14:textId="77777777" w:rsidR="00645EA1" w:rsidRDefault="00645EA1">
            <w:pPr>
              <w:widowControl w:val="0"/>
              <w:spacing w:line="200" w:lineRule="exact"/>
              <w:jc w:val="center"/>
              <w:rPr>
                <w:rFonts w:eastAsiaTheme="minorEastAsia" w:cs="Segoe UI"/>
                <w:kern w:val="2"/>
                <w:sz w:val="17"/>
                <w:szCs w:val="17"/>
              </w:rPr>
            </w:pPr>
            <w:proofErr w:type="spellStart"/>
            <w:r>
              <w:rPr>
                <w:rFonts w:ascii="細明體" w:eastAsia="細明體" w:hAnsi="細明體" w:cs="細明體" w:hint="eastAsia"/>
                <w:sz w:val="17"/>
                <w:szCs w:val="17"/>
              </w:rPr>
              <w:t>股權</w:t>
            </w:r>
            <w:proofErr w:type="spellEnd"/>
          </w:p>
        </w:tc>
        <w:tc>
          <w:tcPr>
            <w:tcW w:w="778" w:type="dxa"/>
            <w:tcBorders>
              <w:top w:val="nil"/>
              <w:left w:val="nil"/>
              <w:bottom w:val="single" w:sz="4" w:space="0" w:color="auto"/>
              <w:right w:val="single" w:sz="4" w:space="0" w:color="BFBFBF"/>
            </w:tcBorders>
            <w:vAlign w:val="center"/>
            <w:hideMark/>
          </w:tcPr>
          <w:p w14:paraId="48FA9154" w14:textId="77777777" w:rsidR="00645EA1" w:rsidRDefault="00645EA1">
            <w:pPr>
              <w:widowControl w:val="0"/>
              <w:spacing w:line="200" w:lineRule="exact"/>
              <w:jc w:val="center"/>
              <w:rPr>
                <w:rFonts w:eastAsiaTheme="minorEastAsia" w:cs="Segoe UI"/>
                <w:kern w:val="2"/>
                <w:sz w:val="17"/>
                <w:szCs w:val="17"/>
              </w:rPr>
            </w:pPr>
            <w:proofErr w:type="spellStart"/>
            <w:r>
              <w:rPr>
                <w:rFonts w:ascii="細明體" w:eastAsia="細明體" w:hAnsi="細明體" w:cs="細明體" w:hint="eastAsia"/>
                <w:sz w:val="17"/>
                <w:szCs w:val="17"/>
              </w:rPr>
              <w:t>利率</w:t>
            </w:r>
            <w:proofErr w:type="spellEnd"/>
          </w:p>
        </w:tc>
        <w:tc>
          <w:tcPr>
            <w:tcW w:w="778" w:type="dxa"/>
            <w:tcBorders>
              <w:top w:val="nil"/>
              <w:left w:val="nil"/>
              <w:bottom w:val="single" w:sz="4" w:space="0" w:color="auto"/>
              <w:right w:val="single" w:sz="4" w:space="0" w:color="BFBFBF"/>
            </w:tcBorders>
            <w:vAlign w:val="center"/>
            <w:hideMark/>
          </w:tcPr>
          <w:p w14:paraId="4FA62AC4" w14:textId="77777777" w:rsidR="00645EA1" w:rsidRDefault="00645EA1">
            <w:pPr>
              <w:widowControl w:val="0"/>
              <w:spacing w:line="200" w:lineRule="exact"/>
              <w:jc w:val="center"/>
              <w:rPr>
                <w:rFonts w:eastAsiaTheme="minorEastAsia" w:cs="Segoe UI"/>
                <w:kern w:val="2"/>
                <w:sz w:val="17"/>
                <w:szCs w:val="17"/>
              </w:rPr>
            </w:pPr>
            <w:proofErr w:type="spellStart"/>
            <w:r>
              <w:rPr>
                <w:rFonts w:ascii="細明體" w:eastAsia="細明體" w:hAnsi="細明體" w:cs="細明體" w:hint="eastAsia"/>
                <w:sz w:val="17"/>
                <w:szCs w:val="17"/>
              </w:rPr>
              <w:t>外匯</w:t>
            </w:r>
            <w:proofErr w:type="spellEnd"/>
          </w:p>
        </w:tc>
        <w:tc>
          <w:tcPr>
            <w:tcW w:w="778" w:type="dxa"/>
            <w:tcBorders>
              <w:top w:val="nil"/>
              <w:left w:val="nil"/>
              <w:bottom w:val="single" w:sz="4" w:space="0" w:color="auto"/>
              <w:right w:val="single" w:sz="4" w:space="0" w:color="BFBFBF"/>
            </w:tcBorders>
            <w:vAlign w:val="center"/>
            <w:hideMark/>
          </w:tcPr>
          <w:p w14:paraId="34C38695" w14:textId="77777777" w:rsidR="00645EA1" w:rsidRDefault="00645EA1">
            <w:pPr>
              <w:widowControl w:val="0"/>
              <w:spacing w:line="200" w:lineRule="exact"/>
              <w:jc w:val="center"/>
              <w:rPr>
                <w:rFonts w:eastAsiaTheme="minorEastAsia" w:cs="Segoe UI"/>
                <w:kern w:val="2"/>
                <w:sz w:val="17"/>
                <w:szCs w:val="17"/>
              </w:rPr>
            </w:pPr>
            <w:proofErr w:type="spellStart"/>
            <w:r>
              <w:rPr>
                <w:rFonts w:ascii="細明體" w:eastAsia="細明體" w:hAnsi="細明體" w:cs="細明體" w:hint="eastAsia"/>
                <w:sz w:val="17"/>
                <w:szCs w:val="17"/>
              </w:rPr>
              <w:t>信貸</w:t>
            </w:r>
            <w:proofErr w:type="spellEnd"/>
          </w:p>
        </w:tc>
        <w:tc>
          <w:tcPr>
            <w:tcW w:w="778" w:type="dxa"/>
            <w:tcBorders>
              <w:top w:val="nil"/>
              <w:left w:val="nil"/>
              <w:bottom w:val="single" w:sz="4" w:space="0" w:color="auto"/>
              <w:right w:val="single" w:sz="4" w:space="0" w:color="auto"/>
            </w:tcBorders>
            <w:vAlign w:val="center"/>
            <w:hideMark/>
          </w:tcPr>
          <w:p w14:paraId="4C0ED2C0" w14:textId="77777777" w:rsidR="00645EA1" w:rsidRDefault="00645EA1">
            <w:pPr>
              <w:widowControl w:val="0"/>
              <w:spacing w:line="200" w:lineRule="exact"/>
              <w:jc w:val="center"/>
              <w:rPr>
                <w:rFonts w:eastAsiaTheme="minorEastAsia" w:cs="Segoe UI"/>
                <w:kern w:val="2"/>
                <w:sz w:val="17"/>
                <w:szCs w:val="17"/>
              </w:rPr>
            </w:pPr>
            <w:proofErr w:type="spellStart"/>
            <w:r>
              <w:rPr>
                <w:rFonts w:ascii="細明體" w:eastAsia="細明體" w:hAnsi="細明體" w:cs="細明體" w:hint="eastAsia"/>
                <w:sz w:val="17"/>
                <w:szCs w:val="17"/>
              </w:rPr>
              <w:t>商品</w:t>
            </w:r>
            <w:proofErr w:type="spellEnd"/>
          </w:p>
        </w:tc>
        <w:tc>
          <w:tcPr>
            <w:tcW w:w="778" w:type="dxa"/>
            <w:tcBorders>
              <w:top w:val="nil"/>
              <w:left w:val="nil"/>
              <w:bottom w:val="single" w:sz="4" w:space="0" w:color="auto"/>
              <w:right w:val="single" w:sz="4" w:space="0" w:color="auto"/>
            </w:tcBorders>
            <w:vAlign w:val="center"/>
            <w:hideMark/>
          </w:tcPr>
          <w:p w14:paraId="6FB7FAAC" w14:textId="77777777" w:rsidR="00645EA1" w:rsidRPr="00952CC9" w:rsidRDefault="00645EA1">
            <w:pPr>
              <w:widowControl w:val="0"/>
              <w:spacing w:line="200" w:lineRule="exact"/>
              <w:jc w:val="center"/>
              <w:rPr>
                <w:rFonts w:eastAsiaTheme="minorEastAsia" w:cs="Segoe UI"/>
                <w:b/>
                <w:kern w:val="2"/>
                <w:sz w:val="17"/>
                <w:szCs w:val="17"/>
              </w:rPr>
            </w:pPr>
            <w:proofErr w:type="spellStart"/>
            <w:r w:rsidRPr="00952CC9">
              <w:rPr>
                <w:rFonts w:ascii="細明體" w:eastAsia="細明體" w:hAnsi="細明體" w:cs="細明體" w:hint="eastAsia"/>
                <w:b/>
                <w:sz w:val="17"/>
                <w:szCs w:val="17"/>
              </w:rPr>
              <w:t>總額</w:t>
            </w:r>
            <w:proofErr w:type="spellEnd"/>
          </w:p>
        </w:tc>
        <w:tc>
          <w:tcPr>
            <w:tcW w:w="1134" w:type="dxa"/>
            <w:tcBorders>
              <w:top w:val="single" w:sz="4" w:space="0" w:color="auto"/>
              <w:left w:val="nil"/>
              <w:bottom w:val="nil"/>
              <w:right w:val="single" w:sz="4" w:space="0" w:color="BFBFBF"/>
            </w:tcBorders>
            <w:vAlign w:val="center"/>
            <w:hideMark/>
          </w:tcPr>
          <w:p w14:paraId="00187A0C" w14:textId="77777777" w:rsidR="00645EA1" w:rsidRDefault="00645EA1">
            <w:pPr>
              <w:widowControl w:val="0"/>
              <w:spacing w:line="200" w:lineRule="exact"/>
              <w:jc w:val="center"/>
              <w:rPr>
                <w:rFonts w:eastAsiaTheme="minorEastAsia" w:cs="Segoe UI"/>
                <w:kern w:val="2"/>
                <w:sz w:val="17"/>
                <w:szCs w:val="17"/>
              </w:rPr>
            </w:pPr>
            <w:proofErr w:type="spellStart"/>
            <w:r>
              <w:rPr>
                <w:rFonts w:ascii="細明體" w:eastAsia="細明體" w:hAnsi="細明體" w:cs="細明體" w:hint="eastAsia"/>
                <w:sz w:val="17"/>
                <w:szCs w:val="17"/>
              </w:rPr>
              <w:t>其中</w:t>
            </w:r>
            <w:proofErr w:type="spellEnd"/>
            <w:r>
              <w:rPr>
                <w:rFonts w:ascii="細明體" w:eastAsia="細明體" w:hAnsi="細明體" w:cs="細明體" w:hint="eastAsia"/>
                <w:sz w:val="17"/>
                <w:szCs w:val="17"/>
              </w:rPr>
              <w:t>：</w:t>
            </w:r>
            <w:r>
              <w:rPr>
                <w:rFonts w:cs="Segoe UI"/>
                <w:sz w:val="17"/>
                <w:szCs w:val="17"/>
              </w:rPr>
              <w:br/>
            </w:r>
            <w:proofErr w:type="spellStart"/>
            <w:r>
              <w:rPr>
                <w:rFonts w:ascii="細明體" w:eastAsia="細明體" w:hAnsi="細明體" w:cs="細明體" w:hint="eastAsia"/>
                <w:sz w:val="17"/>
                <w:szCs w:val="17"/>
              </w:rPr>
              <w:t>交易帳份額</w:t>
            </w:r>
            <w:proofErr w:type="spellEnd"/>
          </w:p>
        </w:tc>
        <w:tc>
          <w:tcPr>
            <w:tcW w:w="1134" w:type="dxa"/>
            <w:tcBorders>
              <w:top w:val="single" w:sz="4" w:space="0" w:color="auto"/>
              <w:left w:val="nil"/>
              <w:bottom w:val="nil"/>
              <w:right w:val="single" w:sz="4" w:space="0" w:color="auto"/>
            </w:tcBorders>
            <w:vAlign w:val="center"/>
            <w:hideMark/>
          </w:tcPr>
          <w:p w14:paraId="460EBEA7" w14:textId="77777777" w:rsidR="00645EA1" w:rsidRDefault="00645EA1">
            <w:pPr>
              <w:widowControl w:val="0"/>
              <w:spacing w:line="200" w:lineRule="exact"/>
              <w:jc w:val="center"/>
              <w:rPr>
                <w:rFonts w:eastAsiaTheme="minorEastAsia" w:cs="Segoe UI"/>
                <w:kern w:val="2"/>
                <w:sz w:val="17"/>
                <w:szCs w:val="17"/>
              </w:rPr>
            </w:pPr>
            <w:proofErr w:type="spellStart"/>
            <w:r>
              <w:rPr>
                <w:rFonts w:ascii="細明體" w:eastAsia="細明體" w:hAnsi="細明體" w:cs="細明體" w:hint="eastAsia"/>
                <w:sz w:val="17"/>
                <w:szCs w:val="17"/>
              </w:rPr>
              <w:t>其中</w:t>
            </w:r>
            <w:proofErr w:type="spellEnd"/>
            <w:r>
              <w:rPr>
                <w:rFonts w:ascii="細明體" w:eastAsia="細明體" w:hAnsi="細明體" w:cs="細明體" w:hint="eastAsia"/>
                <w:sz w:val="17"/>
                <w:szCs w:val="17"/>
              </w:rPr>
              <w:t>：</w:t>
            </w:r>
            <w:r>
              <w:rPr>
                <w:rFonts w:cs="Segoe UI"/>
                <w:sz w:val="17"/>
                <w:szCs w:val="17"/>
              </w:rPr>
              <w:br/>
            </w:r>
            <w:proofErr w:type="spellStart"/>
            <w:r>
              <w:rPr>
                <w:rFonts w:ascii="細明體" w:eastAsia="細明體" w:hAnsi="細明體" w:cs="細明體" w:hint="eastAsia"/>
                <w:sz w:val="17"/>
                <w:szCs w:val="17"/>
              </w:rPr>
              <w:t>銀行帳份額</w:t>
            </w:r>
            <w:proofErr w:type="spellEnd"/>
          </w:p>
        </w:tc>
      </w:tr>
      <w:tr w:rsidR="001B39FD" w14:paraId="33D7CE66" w14:textId="77777777" w:rsidTr="00645EA1">
        <w:trPr>
          <w:trHeight w:val="284"/>
        </w:trPr>
        <w:tc>
          <w:tcPr>
            <w:tcW w:w="325" w:type="dxa"/>
            <w:tcBorders>
              <w:top w:val="single" w:sz="4" w:space="0" w:color="auto"/>
              <w:left w:val="nil"/>
              <w:bottom w:val="single" w:sz="4" w:space="0" w:color="auto"/>
              <w:right w:val="single" w:sz="4" w:space="0" w:color="auto"/>
            </w:tcBorders>
            <w:noWrap/>
            <w:vAlign w:val="center"/>
            <w:hideMark/>
          </w:tcPr>
          <w:p w14:paraId="3EA27586"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1</w:t>
            </w:r>
          </w:p>
        </w:tc>
        <w:tc>
          <w:tcPr>
            <w:tcW w:w="1952" w:type="dxa"/>
            <w:tcBorders>
              <w:top w:val="single" w:sz="4" w:space="0" w:color="auto"/>
              <w:left w:val="nil"/>
              <w:bottom w:val="single" w:sz="4" w:space="0" w:color="auto"/>
              <w:right w:val="single" w:sz="4" w:space="0" w:color="auto"/>
            </w:tcBorders>
            <w:vAlign w:val="center"/>
            <w:hideMark/>
          </w:tcPr>
          <w:p w14:paraId="79837955"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終止的不確定性，其中：</w:t>
            </w:r>
          </w:p>
        </w:tc>
        <w:tc>
          <w:tcPr>
            <w:tcW w:w="779" w:type="dxa"/>
            <w:tcBorders>
              <w:top w:val="nil"/>
              <w:left w:val="nil"/>
              <w:bottom w:val="single" w:sz="4" w:space="0" w:color="auto"/>
              <w:right w:val="single" w:sz="4" w:space="0" w:color="BFBFBF"/>
            </w:tcBorders>
            <w:noWrap/>
            <w:vAlign w:val="center"/>
            <w:hideMark/>
          </w:tcPr>
          <w:p w14:paraId="43D2A20C"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c>
          <w:tcPr>
            <w:tcW w:w="778" w:type="dxa"/>
            <w:tcBorders>
              <w:top w:val="nil"/>
              <w:left w:val="nil"/>
              <w:bottom w:val="single" w:sz="4" w:space="0" w:color="auto"/>
              <w:right w:val="single" w:sz="4" w:space="0" w:color="BFBFBF"/>
            </w:tcBorders>
            <w:noWrap/>
            <w:vAlign w:val="center"/>
            <w:hideMark/>
          </w:tcPr>
          <w:p w14:paraId="029F7D0E"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c>
          <w:tcPr>
            <w:tcW w:w="778" w:type="dxa"/>
            <w:tcBorders>
              <w:top w:val="nil"/>
              <w:left w:val="nil"/>
              <w:bottom w:val="single" w:sz="4" w:space="0" w:color="auto"/>
              <w:right w:val="single" w:sz="4" w:space="0" w:color="BFBFBF"/>
            </w:tcBorders>
            <w:noWrap/>
            <w:vAlign w:val="center"/>
            <w:hideMark/>
          </w:tcPr>
          <w:p w14:paraId="3B8D3BA2"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c>
          <w:tcPr>
            <w:tcW w:w="778" w:type="dxa"/>
            <w:tcBorders>
              <w:top w:val="nil"/>
              <w:left w:val="nil"/>
              <w:bottom w:val="single" w:sz="4" w:space="0" w:color="auto"/>
              <w:right w:val="single" w:sz="4" w:space="0" w:color="BFBFBF"/>
            </w:tcBorders>
            <w:noWrap/>
            <w:vAlign w:val="center"/>
            <w:hideMark/>
          </w:tcPr>
          <w:p w14:paraId="34357C83"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c>
          <w:tcPr>
            <w:tcW w:w="778" w:type="dxa"/>
            <w:tcBorders>
              <w:top w:val="nil"/>
              <w:left w:val="nil"/>
              <w:bottom w:val="single" w:sz="4" w:space="0" w:color="auto"/>
              <w:right w:val="single" w:sz="4" w:space="0" w:color="auto"/>
            </w:tcBorders>
            <w:noWrap/>
            <w:vAlign w:val="center"/>
            <w:hideMark/>
          </w:tcPr>
          <w:p w14:paraId="02F68316"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c>
          <w:tcPr>
            <w:tcW w:w="778" w:type="dxa"/>
            <w:tcBorders>
              <w:top w:val="nil"/>
              <w:left w:val="nil"/>
              <w:bottom w:val="single" w:sz="4" w:space="0" w:color="auto"/>
              <w:right w:val="single" w:sz="4" w:space="0" w:color="auto"/>
            </w:tcBorders>
            <w:noWrap/>
            <w:vAlign w:val="center"/>
            <w:hideMark/>
          </w:tcPr>
          <w:p w14:paraId="460FA022"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c>
          <w:tcPr>
            <w:tcW w:w="1134" w:type="dxa"/>
            <w:tcBorders>
              <w:top w:val="single" w:sz="4" w:space="0" w:color="auto"/>
              <w:left w:val="nil"/>
              <w:bottom w:val="single" w:sz="4" w:space="0" w:color="auto"/>
              <w:right w:val="single" w:sz="4" w:space="0" w:color="BFBFBF"/>
            </w:tcBorders>
            <w:noWrap/>
            <w:vAlign w:val="center"/>
            <w:hideMark/>
          </w:tcPr>
          <w:p w14:paraId="607F1A95"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072BBBFF" w14:textId="77777777" w:rsidR="00645EA1" w:rsidRDefault="00645EA1">
            <w:pPr>
              <w:spacing w:line="200" w:lineRule="exact"/>
              <w:rPr>
                <w:rFonts w:eastAsia="新細明體" w:cs="Segoe UI"/>
                <w:color w:val="000000"/>
                <w:sz w:val="17"/>
                <w:szCs w:val="17"/>
                <w:lang w:eastAsia="zh-TW"/>
              </w:rPr>
            </w:pPr>
            <w:r>
              <w:rPr>
                <w:rFonts w:eastAsia="新細明體" w:cs="Segoe UI" w:hint="eastAsia"/>
                <w:color w:val="000000"/>
                <w:sz w:val="17"/>
                <w:szCs w:val="17"/>
                <w:lang w:eastAsia="zh-TW"/>
              </w:rPr>
              <w:t xml:space="preserve">　</w:t>
            </w:r>
          </w:p>
        </w:tc>
      </w:tr>
      <w:tr w:rsidR="001B39FD" w14:paraId="4363F15C" w14:textId="77777777" w:rsidTr="00645EA1">
        <w:trPr>
          <w:trHeight w:val="284"/>
        </w:trPr>
        <w:tc>
          <w:tcPr>
            <w:tcW w:w="325" w:type="dxa"/>
            <w:tcBorders>
              <w:top w:val="single" w:sz="4" w:space="0" w:color="auto"/>
              <w:left w:val="nil"/>
              <w:bottom w:val="nil"/>
              <w:right w:val="single" w:sz="4" w:space="0" w:color="auto"/>
            </w:tcBorders>
            <w:noWrap/>
            <w:vAlign w:val="center"/>
            <w:hideMark/>
          </w:tcPr>
          <w:p w14:paraId="7915F1B3"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2</w:t>
            </w:r>
          </w:p>
        </w:tc>
        <w:tc>
          <w:tcPr>
            <w:tcW w:w="1952" w:type="dxa"/>
            <w:tcBorders>
              <w:top w:val="single" w:sz="4" w:space="0" w:color="auto"/>
              <w:left w:val="nil"/>
              <w:bottom w:val="single" w:sz="4" w:space="0" w:color="BFBFBF"/>
              <w:right w:val="single" w:sz="4" w:space="0" w:color="auto"/>
            </w:tcBorders>
            <w:vAlign w:val="center"/>
            <w:hideMark/>
          </w:tcPr>
          <w:p w14:paraId="59E64747" w14:textId="77777777" w:rsidR="00645EA1" w:rsidRDefault="00645EA1" w:rsidP="00645EA1">
            <w:pPr>
              <w:spacing w:line="200" w:lineRule="exact"/>
              <w:ind w:leftChars="142" w:left="284"/>
              <w:rPr>
                <w:rFonts w:eastAsia="新細明體" w:cs="Segoe UI"/>
                <w:i/>
                <w:iCs/>
                <w:color w:val="000000"/>
                <w:sz w:val="17"/>
                <w:szCs w:val="17"/>
              </w:rPr>
            </w:pPr>
            <w:proofErr w:type="spellStart"/>
            <w:r>
              <w:rPr>
                <w:rFonts w:eastAsia="新細明體" w:cs="Segoe UI" w:hint="eastAsia"/>
                <w:i/>
                <w:iCs/>
                <w:color w:val="000000"/>
                <w:sz w:val="17"/>
                <w:szCs w:val="17"/>
              </w:rPr>
              <w:t>中間市價</w:t>
            </w:r>
            <w:proofErr w:type="spellEnd"/>
          </w:p>
        </w:tc>
        <w:tc>
          <w:tcPr>
            <w:tcW w:w="779" w:type="dxa"/>
            <w:tcBorders>
              <w:top w:val="single" w:sz="4" w:space="0" w:color="auto"/>
              <w:left w:val="nil"/>
              <w:bottom w:val="single" w:sz="4" w:space="0" w:color="BFBFBF"/>
              <w:right w:val="single" w:sz="4" w:space="0" w:color="BFBFBF"/>
            </w:tcBorders>
            <w:noWrap/>
            <w:vAlign w:val="center"/>
            <w:hideMark/>
          </w:tcPr>
          <w:p w14:paraId="72495451"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BFBFBF"/>
            </w:tcBorders>
            <w:noWrap/>
            <w:vAlign w:val="center"/>
            <w:hideMark/>
          </w:tcPr>
          <w:p w14:paraId="0234AC5A"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BFBFBF"/>
            </w:tcBorders>
            <w:noWrap/>
            <w:vAlign w:val="center"/>
            <w:hideMark/>
          </w:tcPr>
          <w:p w14:paraId="39C4B52A"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BFBFBF"/>
            </w:tcBorders>
            <w:noWrap/>
            <w:vAlign w:val="center"/>
            <w:hideMark/>
          </w:tcPr>
          <w:p w14:paraId="4A66D624"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auto"/>
            </w:tcBorders>
            <w:noWrap/>
            <w:vAlign w:val="center"/>
            <w:hideMark/>
          </w:tcPr>
          <w:p w14:paraId="6631F14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auto"/>
            </w:tcBorders>
            <w:noWrap/>
            <w:vAlign w:val="center"/>
            <w:hideMark/>
          </w:tcPr>
          <w:p w14:paraId="25030917"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BFBFBF"/>
              <w:right w:val="single" w:sz="4" w:space="0" w:color="BFBFBF"/>
            </w:tcBorders>
            <w:noWrap/>
            <w:vAlign w:val="center"/>
            <w:hideMark/>
          </w:tcPr>
          <w:p w14:paraId="00808356"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BFBFBF"/>
              <w:right w:val="single" w:sz="4" w:space="0" w:color="auto"/>
            </w:tcBorders>
            <w:noWrap/>
            <w:vAlign w:val="center"/>
            <w:hideMark/>
          </w:tcPr>
          <w:p w14:paraId="5D3B34C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645EA1" w14:paraId="4ECD919E" w14:textId="77777777" w:rsidTr="00645EA1">
        <w:trPr>
          <w:trHeight w:val="284"/>
        </w:trPr>
        <w:tc>
          <w:tcPr>
            <w:tcW w:w="325" w:type="dxa"/>
            <w:tcBorders>
              <w:top w:val="single" w:sz="4" w:space="0" w:color="auto"/>
              <w:left w:val="nil"/>
              <w:bottom w:val="nil"/>
              <w:right w:val="single" w:sz="4" w:space="0" w:color="auto"/>
            </w:tcBorders>
            <w:noWrap/>
            <w:vAlign w:val="center"/>
            <w:hideMark/>
          </w:tcPr>
          <w:p w14:paraId="6C2F3787"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3</w:t>
            </w:r>
          </w:p>
        </w:tc>
        <w:tc>
          <w:tcPr>
            <w:tcW w:w="1952" w:type="dxa"/>
            <w:tcBorders>
              <w:top w:val="nil"/>
              <w:left w:val="nil"/>
              <w:bottom w:val="single" w:sz="4" w:space="0" w:color="BFBFBF"/>
              <w:right w:val="single" w:sz="4" w:space="0" w:color="auto"/>
            </w:tcBorders>
            <w:vAlign w:val="center"/>
            <w:hideMark/>
          </w:tcPr>
          <w:p w14:paraId="6A721F77" w14:textId="77777777" w:rsidR="00645EA1" w:rsidRDefault="00645EA1" w:rsidP="00645EA1">
            <w:pPr>
              <w:spacing w:line="200" w:lineRule="exact"/>
              <w:ind w:leftChars="142" w:left="284"/>
              <w:rPr>
                <w:rFonts w:eastAsia="新細明體" w:cs="Segoe UI"/>
                <w:i/>
                <w:iCs/>
                <w:color w:val="000000"/>
                <w:sz w:val="17"/>
                <w:szCs w:val="17"/>
              </w:rPr>
            </w:pPr>
            <w:proofErr w:type="spellStart"/>
            <w:r>
              <w:rPr>
                <w:rFonts w:eastAsia="新細明體" w:cs="Segoe UI" w:hint="eastAsia"/>
                <w:i/>
                <w:iCs/>
                <w:color w:val="000000"/>
                <w:sz w:val="17"/>
                <w:szCs w:val="17"/>
              </w:rPr>
              <w:t>終止成本</w:t>
            </w:r>
            <w:proofErr w:type="spellEnd"/>
          </w:p>
        </w:tc>
        <w:tc>
          <w:tcPr>
            <w:tcW w:w="779" w:type="dxa"/>
            <w:tcBorders>
              <w:top w:val="nil"/>
              <w:left w:val="nil"/>
              <w:bottom w:val="single" w:sz="4" w:space="0" w:color="BFBFBF"/>
              <w:right w:val="single" w:sz="4" w:space="0" w:color="BFBFBF"/>
            </w:tcBorders>
            <w:noWrap/>
            <w:vAlign w:val="center"/>
            <w:hideMark/>
          </w:tcPr>
          <w:p w14:paraId="372E07F3"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BFBFBF"/>
              <w:right w:val="single" w:sz="4" w:space="0" w:color="BFBFBF"/>
            </w:tcBorders>
            <w:noWrap/>
            <w:vAlign w:val="center"/>
            <w:hideMark/>
          </w:tcPr>
          <w:p w14:paraId="7BF3C87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BFBFBF"/>
              <w:right w:val="single" w:sz="4" w:space="0" w:color="BFBFBF"/>
            </w:tcBorders>
            <w:noWrap/>
            <w:vAlign w:val="center"/>
            <w:hideMark/>
          </w:tcPr>
          <w:p w14:paraId="525DAF14"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BFBFBF"/>
              <w:right w:val="single" w:sz="4" w:space="0" w:color="BFBFBF"/>
            </w:tcBorders>
            <w:noWrap/>
            <w:vAlign w:val="center"/>
            <w:hideMark/>
          </w:tcPr>
          <w:p w14:paraId="6F12813B"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BFBFBF"/>
              <w:right w:val="single" w:sz="4" w:space="0" w:color="auto"/>
            </w:tcBorders>
            <w:noWrap/>
            <w:vAlign w:val="center"/>
            <w:hideMark/>
          </w:tcPr>
          <w:p w14:paraId="33F4B503"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BFBFBF"/>
              <w:right w:val="single" w:sz="4" w:space="0" w:color="auto"/>
            </w:tcBorders>
            <w:noWrap/>
            <w:vAlign w:val="center"/>
            <w:hideMark/>
          </w:tcPr>
          <w:p w14:paraId="4DD1023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nil"/>
              <w:left w:val="nil"/>
              <w:bottom w:val="single" w:sz="4" w:space="0" w:color="BFBFBF"/>
              <w:right w:val="single" w:sz="4" w:space="0" w:color="BFBFBF"/>
            </w:tcBorders>
            <w:noWrap/>
            <w:vAlign w:val="center"/>
            <w:hideMark/>
          </w:tcPr>
          <w:p w14:paraId="664FC94E"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nil"/>
              <w:left w:val="nil"/>
              <w:bottom w:val="single" w:sz="4" w:space="0" w:color="BFBFBF"/>
              <w:right w:val="single" w:sz="4" w:space="0" w:color="auto"/>
            </w:tcBorders>
            <w:noWrap/>
            <w:vAlign w:val="center"/>
            <w:hideMark/>
          </w:tcPr>
          <w:p w14:paraId="1DEAABC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645EA1" w14:paraId="071A96FD" w14:textId="77777777" w:rsidTr="00645EA1">
        <w:trPr>
          <w:trHeight w:val="284"/>
        </w:trPr>
        <w:tc>
          <w:tcPr>
            <w:tcW w:w="325" w:type="dxa"/>
            <w:tcBorders>
              <w:top w:val="single" w:sz="4" w:space="0" w:color="auto"/>
              <w:left w:val="nil"/>
              <w:bottom w:val="single" w:sz="4" w:space="0" w:color="auto"/>
              <w:right w:val="single" w:sz="4" w:space="0" w:color="auto"/>
            </w:tcBorders>
            <w:noWrap/>
            <w:vAlign w:val="center"/>
            <w:hideMark/>
          </w:tcPr>
          <w:p w14:paraId="3F583271"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4</w:t>
            </w:r>
          </w:p>
        </w:tc>
        <w:tc>
          <w:tcPr>
            <w:tcW w:w="1952" w:type="dxa"/>
            <w:tcBorders>
              <w:top w:val="nil"/>
              <w:left w:val="nil"/>
              <w:bottom w:val="single" w:sz="4" w:space="0" w:color="auto"/>
              <w:right w:val="single" w:sz="4" w:space="0" w:color="auto"/>
            </w:tcBorders>
            <w:vAlign w:val="center"/>
            <w:hideMark/>
          </w:tcPr>
          <w:p w14:paraId="3593DCF0" w14:textId="77777777" w:rsidR="00645EA1" w:rsidRDefault="00645EA1" w:rsidP="00645EA1">
            <w:pPr>
              <w:spacing w:line="200" w:lineRule="exact"/>
              <w:ind w:leftChars="142" w:left="284"/>
              <w:rPr>
                <w:rFonts w:eastAsia="新細明體" w:cs="Segoe UI"/>
                <w:i/>
                <w:iCs/>
                <w:color w:val="000000"/>
                <w:sz w:val="17"/>
                <w:szCs w:val="17"/>
              </w:rPr>
            </w:pPr>
            <w:proofErr w:type="spellStart"/>
            <w:r>
              <w:rPr>
                <w:rFonts w:eastAsia="新細明體" w:cs="Segoe UI" w:hint="eastAsia"/>
                <w:i/>
                <w:iCs/>
                <w:color w:val="000000"/>
                <w:sz w:val="17"/>
                <w:szCs w:val="17"/>
              </w:rPr>
              <w:t>集中</w:t>
            </w:r>
            <w:proofErr w:type="spellEnd"/>
          </w:p>
        </w:tc>
        <w:tc>
          <w:tcPr>
            <w:tcW w:w="779" w:type="dxa"/>
            <w:tcBorders>
              <w:top w:val="nil"/>
              <w:left w:val="nil"/>
              <w:bottom w:val="single" w:sz="4" w:space="0" w:color="auto"/>
              <w:right w:val="single" w:sz="4" w:space="0" w:color="BFBFBF"/>
            </w:tcBorders>
            <w:noWrap/>
            <w:vAlign w:val="center"/>
            <w:hideMark/>
          </w:tcPr>
          <w:p w14:paraId="048FAC65"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auto"/>
              <w:right w:val="single" w:sz="4" w:space="0" w:color="BFBFBF"/>
            </w:tcBorders>
            <w:noWrap/>
            <w:vAlign w:val="center"/>
            <w:hideMark/>
          </w:tcPr>
          <w:p w14:paraId="16D563EE"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auto"/>
              <w:right w:val="single" w:sz="4" w:space="0" w:color="BFBFBF"/>
            </w:tcBorders>
            <w:noWrap/>
            <w:vAlign w:val="center"/>
            <w:hideMark/>
          </w:tcPr>
          <w:p w14:paraId="13674EA5"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auto"/>
              <w:right w:val="single" w:sz="4" w:space="0" w:color="BFBFBF"/>
            </w:tcBorders>
            <w:noWrap/>
            <w:vAlign w:val="center"/>
            <w:hideMark/>
          </w:tcPr>
          <w:p w14:paraId="7D40D7B8"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auto"/>
              <w:right w:val="single" w:sz="4" w:space="0" w:color="auto"/>
            </w:tcBorders>
            <w:noWrap/>
            <w:vAlign w:val="center"/>
            <w:hideMark/>
          </w:tcPr>
          <w:p w14:paraId="3BA0AE7F"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nil"/>
              <w:left w:val="nil"/>
              <w:bottom w:val="single" w:sz="4" w:space="0" w:color="auto"/>
              <w:right w:val="single" w:sz="4" w:space="0" w:color="auto"/>
            </w:tcBorders>
            <w:noWrap/>
            <w:vAlign w:val="center"/>
            <w:hideMark/>
          </w:tcPr>
          <w:p w14:paraId="1E531355"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nil"/>
              <w:left w:val="nil"/>
              <w:bottom w:val="single" w:sz="4" w:space="0" w:color="auto"/>
              <w:right w:val="single" w:sz="4" w:space="0" w:color="BFBFBF"/>
            </w:tcBorders>
            <w:noWrap/>
            <w:vAlign w:val="center"/>
            <w:hideMark/>
          </w:tcPr>
          <w:p w14:paraId="74196B8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nil"/>
              <w:left w:val="nil"/>
              <w:bottom w:val="single" w:sz="4" w:space="0" w:color="auto"/>
              <w:right w:val="single" w:sz="4" w:space="0" w:color="auto"/>
            </w:tcBorders>
            <w:noWrap/>
            <w:vAlign w:val="center"/>
            <w:hideMark/>
          </w:tcPr>
          <w:p w14:paraId="0E3E4CF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645EA1" w14:paraId="0165F5ED" w14:textId="77777777" w:rsidTr="00645EA1">
        <w:trPr>
          <w:trHeight w:val="284"/>
        </w:trPr>
        <w:tc>
          <w:tcPr>
            <w:tcW w:w="325" w:type="dxa"/>
            <w:tcBorders>
              <w:top w:val="single" w:sz="4" w:space="0" w:color="auto"/>
              <w:left w:val="nil"/>
              <w:bottom w:val="single" w:sz="4" w:space="0" w:color="auto"/>
              <w:right w:val="single" w:sz="4" w:space="0" w:color="auto"/>
            </w:tcBorders>
            <w:noWrap/>
            <w:vAlign w:val="center"/>
            <w:hideMark/>
          </w:tcPr>
          <w:p w14:paraId="221F2ECB"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5</w:t>
            </w:r>
          </w:p>
        </w:tc>
        <w:tc>
          <w:tcPr>
            <w:tcW w:w="1952" w:type="dxa"/>
            <w:tcBorders>
              <w:top w:val="single" w:sz="4" w:space="0" w:color="auto"/>
              <w:left w:val="nil"/>
              <w:bottom w:val="single" w:sz="4" w:space="0" w:color="auto"/>
              <w:right w:val="single" w:sz="4" w:space="0" w:color="auto"/>
            </w:tcBorders>
            <w:vAlign w:val="center"/>
            <w:hideMark/>
          </w:tcPr>
          <w:p w14:paraId="2152F525" w14:textId="77777777" w:rsidR="00645EA1" w:rsidRDefault="00645EA1">
            <w:pPr>
              <w:spacing w:line="200" w:lineRule="exact"/>
              <w:rPr>
                <w:rFonts w:eastAsia="新細明體" w:cs="Segoe UI"/>
                <w:color w:val="000000"/>
                <w:sz w:val="17"/>
                <w:szCs w:val="17"/>
              </w:rPr>
            </w:pPr>
            <w:proofErr w:type="spellStart"/>
            <w:r>
              <w:rPr>
                <w:rFonts w:eastAsia="新細明體" w:cs="Segoe UI" w:hint="eastAsia"/>
                <w:color w:val="000000"/>
                <w:sz w:val="17"/>
                <w:szCs w:val="17"/>
              </w:rPr>
              <w:t>提前終止</w:t>
            </w:r>
            <w:proofErr w:type="spellEnd"/>
          </w:p>
        </w:tc>
        <w:tc>
          <w:tcPr>
            <w:tcW w:w="779" w:type="dxa"/>
            <w:tcBorders>
              <w:top w:val="single" w:sz="4" w:space="0" w:color="auto"/>
              <w:left w:val="nil"/>
              <w:bottom w:val="single" w:sz="4" w:space="0" w:color="auto"/>
              <w:right w:val="single" w:sz="4" w:space="0" w:color="BFBFBF"/>
            </w:tcBorders>
            <w:noWrap/>
            <w:vAlign w:val="center"/>
            <w:hideMark/>
          </w:tcPr>
          <w:p w14:paraId="0693464A"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5AFC410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1A586418"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4C04B46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6B8A8CEA"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3D4CEC9C"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BFBFBF"/>
            </w:tcBorders>
            <w:noWrap/>
            <w:vAlign w:val="center"/>
            <w:hideMark/>
          </w:tcPr>
          <w:p w14:paraId="4B1E0366"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9753B04"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645EA1" w14:paraId="39497962" w14:textId="77777777" w:rsidTr="00645EA1">
        <w:trPr>
          <w:trHeight w:val="284"/>
        </w:trPr>
        <w:tc>
          <w:tcPr>
            <w:tcW w:w="325" w:type="dxa"/>
            <w:tcBorders>
              <w:top w:val="single" w:sz="4" w:space="0" w:color="auto"/>
              <w:left w:val="nil"/>
              <w:bottom w:val="single" w:sz="4" w:space="0" w:color="auto"/>
              <w:right w:val="single" w:sz="4" w:space="0" w:color="auto"/>
            </w:tcBorders>
            <w:noWrap/>
            <w:vAlign w:val="center"/>
            <w:hideMark/>
          </w:tcPr>
          <w:p w14:paraId="3F984709"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6</w:t>
            </w:r>
          </w:p>
        </w:tc>
        <w:tc>
          <w:tcPr>
            <w:tcW w:w="1952" w:type="dxa"/>
            <w:tcBorders>
              <w:top w:val="single" w:sz="4" w:space="0" w:color="auto"/>
              <w:left w:val="nil"/>
              <w:bottom w:val="single" w:sz="4" w:space="0" w:color="auto"/>
              <w:right w:val="single" w:sz="4" w:space="0" w:color="auto"/>
            </w:tcBorders>
            <w:vAlign w:val="center"/>
            <w:hideMark/>
          </w:tcPr>
          <w:p w14:paraId="4FE9F81D" w14:textId="77777777" w:rsidR="00645EA1" w:rsidRDefault="00645EA1">
            <w:pPr>
              <w:spacing w:line="200" w:lineRule="exact"/>
              <w:rPr>
                <w:rFonts w:eastAsia="新細明體" w:cs="Segoe UI"/>
                <w:color w:val="000000"/>
                <w:sz w:val="17"/>
                <w:szCs w:val="17"/>
              </w:rPr>
            </w:pPr>
            <w:proofErr w:type="spellStart"/>
            <w:r>
              <w:rPr>
                <w:rFonts w:eastAsia="新細明體" w:cs="Segoe UI" w:hint="eastAsia"/>
                <w:color w:val="000000"/>
                <w:sz w:val="17"/>
                <w:szCs w:val="17"/>
              </w:rPr>
              <w:t>模式風險</w:t>
            </w:r>
            <w:proofErr w:type="spellEnd"/>
          </w:p>
        </w:tc>
        <w:tc>
          <w:tcPr>
            <w:tcW w:w="779" w:type="dxa"/>
            <w:tcBorders>
              <w:top w:val="single" w:sz="4" w:space="0" w:color="auto"/>
              <w:left w:val="nil"/>
              <w:bottom w:val="single" w:sz="4" w:space="0" w:color="auto"/>
              <w:right w:val="single" w:sz="4" w:space="0" w:color="BFBFBF"/>
            </w:tcBorders>
            <w:noWrap/>
            <w:vAlign w:val="center"/>
            <w:hideMark/>
          </w:tcPr>
          <w:p w14:paraId="5DE05FA7"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03C271D3"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55954B3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5B72A90F"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58CC93DE"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3B51894F"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BFBFBF"/>
            </w:tcBorders>
            <w:noWrap/>
            <w:vAlign w:val="center"/>
            <w:hideMark/>
          </w:tcPr>
          <w:p w14:paraId="420D777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19ADBD7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1B39FD" w14:paraId="79239065" w14:textId="77777777" w:rsidTr="00645EA1">
        <w:trPr>
          <w:trHeight w:val="284"/>
        </w:trPr>
        <w:tc>
          <w:tcPr>
            <w:tcW w:w="325" w:type="dxa"/>
            <w:tcBorders>
              <w:top w:val="single" w:sz="4" w:space="0" w:color="auto"/>
              <w:left w:val="nil"/>
              <w:bottom w:val="nil"/>
              <w:right w:val="single" w:sz="4" w:space="0" w:color="auto"/>
            </w:tcBorders>
            <w:noWrap/>
            <w:vAlign w:val="center"/>
            <w:hideMark/>
          </w:tcPr>
          <w:p w14:paraId="52C27C91"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7</w:t>
            </w:r>
          </w:p>
        </w:tc>
        <w:tc>
          <w:tcPr>
            <w:tcW w:w="1952" w:type="dxa"/>
            <w:tcBorders>
              <w:top w:val="single" w:sz="4" w:space="0" w:color="auto"/>
              <w:left w:val="nil"/>
              <w:bottom w:val="single" w:sz="4" w:space="0" w:color="auto"/>
              <w:right w:val="single" w:sz="4" w:space="0" w:color="auto"/>
            </w:tcBorders>
            <w:vAlign w:val="center"/>
            <w:hideMark/>
          </w:tcPr>
          <w:p w14:paraId="0A31A9F6" w14:textId="77777777" w:rsidR="00645EA1" w:rsidRDefault="00645EA1">
            <w:pPr>
              <w:spacing w:line="200" w:lineRule="exact"/>
              <w:rPr>
                <w:rFonts w:eastAsia="新細明體" w:cs="Segoe UI"/>
                <w:color w:val="000000"/>
                <w:sz w:val="17"/>
                <w:szCs w:val="17"/>
              </w:rPr>
            </w:pPr>
            <w:proofErr w:type="spellStart"/>
            <w:r>
              <w:rPr>
                <w:rFonts w:eastAsia="新細明體" w:cs="Segoe UI" w:hint="eastAsia"/>
                <w:color w:val="000000"/>
                <w:sz w:val="17"/>
                <w:szCs w:val="17"/>
              </w:rPr>
              <w:t>業務操作風險</w:t>
            </w:r>
            <w:proofErr w:type="spellEnd"/>
          </w:p>
        </w:tc>
        <w:tc>
          <w:tcPr>
            <w:tcW w:w="779" w:type="dxa"/>
            <w:tcBorders>
              <w:top w:val="single" w:sz="4" w:space="0" w:color="auto"/>
              <w:left w:val="nil"/>
              <w:bottom w:val="single" w:sz="4" w:space="0" w:color="auto"/>
              <w:right w:val="single" w:sz="4" w:space="0" w:color="BFBFBF"/>
            </w:tcBorders>
            <w:noWrap/>
            <w:vAlign w:val="center"/>
            <w:hideMark/>
          </w:tcPr>
          <w:p w14:paraId="2E51E955"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177126BE"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6AE7F7B9"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601776F5"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7F3B6D7E"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25E46878"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BFBFBF"/>
            </w:tcBorders>
            <w:noWrap/>
            <w:vAlign w:val="center"/>
            <w:hideMark/>
          </w:tcPr>
          <w:p w14:paraId="46889A70"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0199822C"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883F2A" w14:paraId="44CF60F1" w14:textId="77777777" w:rsidTr="00645EA1">
        <w:trPr>
          <w:trHeight w:val="284"/>
        </w:trPr>
        <w:tc>
          <w:tcPr>
            <w:tcW w:w="325" w:type="dxa"/>
            <w:tcBorders>
              <w:top w:val="single" w:sz="4" w:space="0" w:color="auto"/>
              <w:left w:val="nil"/>
              <w:bottom w:val="nil"/>
              <w:right w:val="single" w:sz="4" w:space="0" w:color="auto"/>
            </w:tcBorders>
            <w:noWrap/>
            <w:vAlign w:val="center"/>
            <w:hideMark/>
          </w:tcPr>
          <w:p w14:paraId="64677EA8"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8</w:t>
            </w:r>
          </w:p>
        </w:tc>
        <w:tc>
          <w:tcPr>
            <w:tcW w:w="1952" w:type="dxa"/>
            <w:tcBorders>
              <w:top w:val="single" w:sz="4" w:space="0" w:color="auto"/>
              <w:left w:val="nil"/>
              <w:bottom w:val="single" w:sz="4" w:space="0" w:color="BFBFBF" w:themeColor="background1" w:themeShade="BF"/>
              <w:right w:val="single" w:sz="4" w:space="0" w:color="auto"/>
            </w:tcBorders>
            <w:vAlign w:val="center"/>
            <w:hideMark/>
          </w:tcPr>
          <w:p w14:paraId="7172E418" w14:textId="77777777" w:rsidR="00645EA1" w:rsidRDefault="00645EA1">
            <w:pPr>
              <w:spacing w:line="200" w:lineRule="exact"/>
              <w:rPr>
                <w:rFonts w:eastAsia="新細明體" w:cs="Segoe UI"/>
                <w:color w:val="000000"/>
                <w:sz w:val="17"/>
                <w:szCs w:val="17"/>
              </w:rPr>
            </w:pPr>
            <w:proofErr w:type="spellStart"/>
            <w:r>
              <w:rPr>
                <w:rFonts w:eastAsia="新細明體" w:cs="Segoe UI" w:hint="eastAsia"/>
                <w:color w:val="000000"/>
                <w:sz w:val="17"/>
                <w:szCs w:val="17"/>
              </w:rPr>
              <w:t>投資及資金成本</w:t>
            </w:r>
            <w:proofErr w:type="spellEnd"/>
          </w:p>
        </w:tc>
        <w:tc>
          <w:tcPr>
            <w:tcW w:w="779" w:type="dxa"/>
            <w:tcBorders>
              <w:top w:val="single" w:sz="4" w:space="0" w:color="auto"/>
              <w:left w:val="nil"/>
              <w:bottom w:val="single" w:sz="4" w:space="0" w:color="BFBFBF" w:themeColor="background1" w:themeShade="BF"/>
              <w:right w:val="single" w:sz="4" w:space="0" w:color="BFBFBF"/>
            </w:tcBorders>
            <w:shd w:val="clear" w:color="auto" w:fill="D9D9D9"/>
            <w:noWrap/>
            <w:vAlign w:val="center"/>
            <w:hideMark/>
          </w:tcPr>
          <w:p w14:paraId="5FA57097"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themeColor="background1" w:themeShade="BF"/>
              <w:right w:val="single" w:sz="4" w:space="0" w:color="BFBFBF"/>
            </w:tcBorders>
            <w:shd w:val="clear" w:color="auto" w:fill="D9D9D9"/>
            <w:noWrap/>
            <w:vAlign w:val="center"/>
            <w:hideMark/>
          </w:tcPr>
          <w:p w14:paraId="68DD4511"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themeColor="background1" w:themeShade="BF"/>
              <w:right w:val="single" w:sz="4" w:space="0" w:color="BFBFBF"/>
            </w:tcBorders>
            <w:shd w:val="clear" w:color="auto" w:fill="D9D9D9"/>
            <w:noWrap/>
            <w:vAlign w:val="center"/>
            <w:hideMark/>
          </w:tcPr>
          <w:p w14:paraId="0BAF92D1"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themeColor="background1" w:themeShade="BF"/>
              <w:right w:val="single" w:sz="4" w:space="0" w:color="BFBFBF"/>
            </w:tcBorders>
            <w:shd w:val="clear" w:color="auto" w:fill="D9D9D9"/>
            <w:noWrap/>
            <w:vAlign w:val="center"/>
            <w:hideMark/>
          </w:tcPr>
          <w:p w14:paraId="69A01625"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themeColor="background1" w:themeShade="BF"/>
              <w:right w:val="single" w:sz="4" w:space="0" w:color="auto"/>
            </w:tcBorders>
            <w:shd w:val="clear" w:color="auto" w:fill="D9D9D9"/>
            <w:noWrap/>
            <w:vAlign w:val="center"/>
            <w:hideMark/>
          </w:tcPr>
          <w:p w14:paraId="3D7E6873"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themeColor="background1" w:themeShade="BF"/>
              <w:right w:val="single" w:sz="4" w:space="0" w:color="auto"/>
            </w:tcBorders>
            <w:noWrap/>
            <w:vAlign w:val="center"/>
            <w:hideMark/>
          </w:tcPr>
          <w:p w14:paraId="3579E9E8"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BFBFBF" w:themeColor="background1" w:themeShade="BF"/>
              <w:right w:val="single" w:sz="4" w:space="0" w:color="BFBFBF"/>
            </w:tcBorders>
            <w:noWrap/>
            <w:vAlign w:val="center"/>
            <w:hideMark/>
          </w:tcPr>
          <w:p w14:paraId="210F32D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BFBFBF" w:themeColor="background1" w:themeShade="BF"/>
              <w:right w:val="single" w:sz="4" w:space="0" w:color="auto"/>
            </w:tcBorders>
            <w:noWrap/>
            <w:vAlign w:val="center"/>
            <w:hideMark/>
          </w:tcPr>
          <w:p w14:paraId="5F1F09FF" w14:textId="77777777" w:rsidR="00645EA1" w:rsidRDefault="00645EA1">
            <w:pPr>
              <w:rPr>
                <w:rFonts w:asciiTheme="minorHAnsi" w:eastAsia="新細明體" w:hAnsiTheme="minorHAnsi" w:cs="新細明體"/>
                <w:kern w:val="2"/>
                <w:sz w:val="24"/>
                <w:szCs w:val="22"/>
              </w:rPr>
            </w:pPr>
          </w:p>
        </w:tc>
      </w:tr>
      <w:tr w:rsidR="00883F2A" w14:paraId="3C5AC2DB" w14:textId="77777777" w:rsidTr="00645EA1">
        <w:trPr>
          <w:trHeight w:val="284"/>
        </w:trPr>
        <w:tc>
          <w:tcPr>
            <w:tcW w:w="325" w:type="dxa"/>
            <w:tcBorders>
              <w:top w:val="single" w:sz="4" w:space="0" w:color="auto"/>
              <w:left w:val="nil"/>
              <w:bottom w:val="nil"/>
              <w:right w:val="single" w:sz="4" w:space="0" w:color="auto"/>
            </w:tcBorders>
            <w:noWrap/>
            <w:vAlign w:val="center"/>
            <w:hideMark/>
          </w:tcPr>
          <w:p w14:paraId="62C6C734"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9</w:t>
            </w:r>
          </w:p>
        </w:tc>
        <w:tc>
          <w:tcPr>
            <w:tcW w:w="1952" w:type="dxa"/>
            <w:tcBorders>
              <w:top w:val="single" w:sz="4" w:space="0" w:color="auto"/>
              <w:left w:val="nil"/>
              <w:bottom w:val="single" w:sz="4" w:space="0" w:color="BFBFBF"/>
              <w:right w:val="single" w:sz="4" w:space="0" w:color="auto"/>
            </w:tcBorders>
            <w:vAlign w:val="center"/>
            <w:hideMark/>
          </w:tcPr>
          <w:p w14:paraId="7ED504EE" w14:textId="77777777" w:rsidR="00645EA1" w:rsidRDefault="00645EA1">
            <w:pPr>
              <w:spacing w:line="200" w:lineRule="exact"/>
              <w:rPr>
                <w:rFonts w:eastAsia="新細明體" w:cs="Segoe UI"/>
                <w:color w:val="000000"/>
                <w:sz w:val="17"/>
                <w:szCs w:val="17"/>
              </w:rPr>
            </w:pPr>
            <w:proofErr w:type="spellStart"/>
            <w:r>
              <w:rPr>
                <w:rFonts w:eastAsia="新細明體" w:cs="Segoe UI" w:hint="eastAsia"/>
                <w:color w:val="000000"/>
                <w:sz w:val="17"/>
                <w:szCs w:val="17"/>
              </w:rPr>
              <w:t>未賺取信用利差</w:t>
            </w:r>
            <w:proofErr w:type="spellEnd"/>
          </w:p>
        </w:tc>
        <w:tc>
          <w:tcPr>
            <w:tcW w:w="779" w:type="dxa"/>
            <w:tcBorders>
              <w:top w:val="single" w:sz="4" w:space="0" w:color="auto"/>
              <w:left w:val="nil"/>
              <w:bottom w:val="single" w:sz="4" w:space="0" w:color="BFBFBF"/>
              <w:right w:val="single" w:sz="4" w:space="0" w:color="BFBFBF"/>
            </w:tcBorders>
            <w:shd w:val="clear" w:color="auto" w:fill="D9D9D9"/>
            <w:noWrap/>
            <w:vAlign w:val="center"/>
            <w:hideMark/>
          </w:tcPr>
          <w:p w14:paraId="4D2B2601"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BFBFBF"/>
            </w:tcBorders>
            <w:shd w:val="clear" w:color="auto" w:fill="D9D9D9"/>
            <w:noWrap/>
            <w:vAlign w:val="center"/>
            <w:hideMark/>
          </w:tcPr>
          <w:p w14:paraId="0B5DE4D6"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BFBFBF"/>
            </w:tcBorders>
            <w:shd w:val="clear" w:color="auto" w:fill="D9D9D9"/>
            <w:noWrap/>
            <w:vAlign w:val="center"/>
            <w:hideMark/>
          </w:tcPr>
          <w:p w14:paraId="2C208B8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BFBFBF"/>
            </w:tcBorders>
            <w:shd w:val="clear" w:color="auto" w:fill="D9D9D9"/>
            <w:noWrap/>
            <w:vAlign w:val="center"/>
            <w:hideMark/>
          </w:tcPr>
          <w:p w14:paraId="7794C2AE"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auto"/>
            </w:tcBorders>
            <w:shd w:val="clear" w:color="auto" w:fill="D9D9D9"/>
            <w:noWrap/>
            <w:vAlign w:val="center"/>
            <w:hideMark/>
          </w:tcPr>
          <w:p w14:paraId="20FD7FDA"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BFBFBF"/>
              <w:right w:val="single" w:sz="4" w:space="0" w:color="auto"/>
            </w:tcBorders>
            <w:noWrap/>
            <w:vAlign w:val="center"/>
            <w:hideMark/>
          </w:tcPr>
          <w:p w14:paraId="381EA4B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BFBFBF"/>
              <w:right w:val="single" w:sz="4" w:space="0" w:color="BFBFBF"/>
            </w:tcBorders>
            <w:noWrap/>
            <w:vAlign w:val="center"/>
            <w:hideMark/>
          </w:tcPr>
          <w:p w14:paraId="0AA2B8A3"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BFBFBF"/>
              <w:right w:val="single" w:sz="4" w:space="0" w:color="auto"/>
            </w:tcBorders>
            <w:noWrap/>
            <w:vAlign w:val="center"/>
            <w:hideMark/>
          </w:tcPr>
          <w:p w14:paraId="1F91EDC1"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1B39FD" w14:paraId="3DDE0F07" w14:textId="77777777" w:rsidTr="00645EA1">
        <w:trPr>
          <w:trHeight w:val="284"/>
        </w:trPr>
        <w:tc>
          <w:tcPr>
            <w:tcW w:w="325" w:type="dxa"/>
            <w:tcBorders>
              <w:top w:val="single" w:sz="4" w:space="0" w:color="auto"/>
              <w:left w:val="nil"/>
              <w:bottom w:val="nil"/>
              <w:right w:val="single" w:sz="4" w:space="0" w:color="auto"/>
            </w:tcBorders>
            <w:noWrap/>
            <w:vAlign w:val="center"/>
            <w:hideMark/>
          </w:tcPr>
          <w:p w14:paraId="00F218D0"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10</w:t>
            </w:r>
          </w:p>
        </w:tc>
        <w:tc>
          <w:tcPr>
            <w:tcW w:w="1952" w:type="dxa"/>
            <w:tcBorders>
              <w:top w:val="single" w:sz="4" w:space="0" w:color="auto"/>
              <w:left w:val="nil"/>
              <w:bottom w:val="single" w:sz="4" w:space="0" w:color="BFBFBF"/>
              <w:right w:val="single" w:sz="4" w:space="0" w:color="auto"/>
            </w:tcBorders>
            <w:vAlign w:val="center"/>
            <w:hideMark/>
          </w:tcPr>
          <w:p w14:paraId="62AEA174" w14:textId="77777777" w:rsidR="00645EA1" w:rsidRDefault="00645EA1">
            <w:pPr>
              <w:spacing w:line="200" w:lineRule="exact"/>
              <w:rPr>
                <w:rFonts w:eastAsia="新細明體" w:cs="Segoe UI"/>
                <w:color w:val="000000"/>
                <w:sz w:val="17"/>
                <w:szCs w:val="17"/>
              </w:rPr>
            </w:pPr>
            <w:proofErr w:type="spellStart"/>
            <w:r>
              <w:rPr>
                <w:rFonts w:eastAsia="新細明體" w:cs="Segoe UI" w:hint="eastAsia"/>
                <w:color w:val="000000"/>
                <w:sz w:val="17"/>
                <w:szCs w:val="17"/>
              </w:rPr>
              <w:t>將來行政管理成本</w:t>
            </w:r>
            <w:proofErr w:type="spellEnd"/>
          </w:p>
        </w:tc>
        <w:tc>
          <w:tcPr>
            <w:tcW w:w="779" w:type="dxa"/>
            <w:tcBorders>
              <w:top w:val="single" w:sz="4" w:space="0" w:color="auto"/>
              <w:left w:val="nil"/>
              <w:bottom w:val="single" w:sz="4" w:space="0" w:color="auto"/>
              <w:right w:val="single" w:sz="4" w:space="0" w:color="BFBFBF"/>
            </w:tcBorders>
            <w:noWrap/>
            <w:vAlign w:val="center"/>
            <w:hideMark/>
          </w:tcPr>
          <w:p w14:paraId="6074BA54"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791D0FF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6AFB5731"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474CDD6C"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6AD7645B"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6431D504"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BFBFBF"/>
            </w:tcBorders>
            <w:noWrap/>
            <w:vAlign w:val="center"/>
            <w:hideMark/>
          </w:tcPr>
          <w:p w14:paraId="66C5F243"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BFBFBF"/>
              <w:right w:val="single" w:sz="4" w:space="0" w:color="auto"/>
            </w:tcBorders>
            <w:noWrap/>
            <w:vAlign w:val="center"/>
            <w:hideMark/>
          </w:tcPr>
          <w:p w14:paraId="52EBDF30"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1B39FD" w14:paraId="695C0630" w14:textId="77777777" w:rsidTr="00645EA1">
        <w:trPr>
          <w:trHeight w:val="284"/>
        </w:trPr>
        <w:tc>
          <w:tcPr>
            <w:tcW w:w="325" w:type="dxa"/>
            <w:tcBorders>
              <w:top w:val="single" w:sz="4" w:space="0" w:color="auto"/>
              <w:left w:val="nil"/>
              <w:bottom w:val="nil"/>
              <w:right w:val="single" w:sz="4" w:space="0" w:color="auto"/>
            </w:tcBorders>
            <w:noWrap/>
            <w:vAlign w:val="center"/>
            <w:hideMark/>
          </w:tcPr>
          <w:p w14:paraId="0AF34A2D" w14:textId="77777777" w:rsidR="00645EA1" w:rsidRDefault="00645EA1">
            <w:pPr>
              <w:spacing w:line="200" w:lineRule="exact"/>
              <w:jc w:val="center"/>
              <w:rPr>
                <w:rFonts w:eastAsia="新細明體" w:cs="Segoe UI"/>
                <w:color w:val="000000"/>
                <w:sz w:val="17"/>
                <w:szCs w:val="17"/>
              </w:rPr>
            </w:pPr>
            <w:r>
              <w:rPr>
                <w:rFonts w:eastAsia="新細明體" w:cs="Segoe UI"/>
                <w:color w:val="000000"/>
                <w:sz w:val="17"/>
                <w:szCs w:val="17"/>
              </w:rPr>
              <w:t>11</w:t>
            </w:r>
          </w:p>
        </w:tc>
        <w:tc>
          <w:tcPr>
            <w:tcW w:w="1952" w:type="dxa"/>
            <w:tcBorders>
              <w:top w:val="single" w:sz="4" w:space="0" w:color="auto"/>
              <w:left w:val="nil"/>
              <w:bottom w:val="single" w:sz="4" w:space="0" w:color="auto"/>
              <w:right w:val="single" w:sz="4" w:space="0" w:color="auto"/>
            </w:tcBorders>
            <w:vAlign w:val="center"/>
            <w:hideMark/>
          </w:tcPr>
          <w:p w14:paraId="32715087" w14:textId="77777777" w:rsidR="00645EA1" w:rsidRDefault="00645EA1">
            <w:pPr>
              <w:spacing w:line="200" w:lineRule="exact"/>
              <w:rPr>
                <w:rFonts w:eastAsia="新細明體" w:cs="Segoe UI"/>
                <w:color w:val="000000"/>
                <w:sz w:val="17"/>
                <w:szCs w:val="17"/>
              </w:rPr>
            </w:pPr>
            <w:proofErr w:type="spellStart"/>
            <w:r>
              <w:rPr>
                <w:rFonts w:eastAsia="新細明體" w:cs="Segoe UI" w:hint="eastAsia"/>
                <w:color w:val="000000"/>
                <w:sz w:val="17"/>
                <w:szCs w:val="17"/>
              </w:rPr>
              <w:t>其他調整</w:t>
            </w:r>
            <w:proofErr w:type="spellEnd"/>
          </w:p>
        </w:tc>
        <w:tc>
          <w:tcPr>
            <w:tcW w:w="779" w:type="dxa"/>
            <w:tcBorders>
              <w:top w:val="single" w:sz="4" w:space="0" w:color="auto"/>
              <w:left w:val="nil"/>
              <w:bottom w:val="single" w:sz="4" w:space="0" w:color="auto"/>
              <w:right w:val="single" w:sz="4" w:space="0" w:color="BFBFBF"/>
            </w:tcBorders>
            <w:noWrap/>
            <w:vAlign w:val="center"/>
            <w:hideMark/>
          </w:tcPr>
          <w:p w14:paraId="402B1D04"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5104F15A"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45ABEDC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6FCE9EB9"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64AC0376"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360DA135"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BFBFBF"/>
            </w:tcBorders>
            <w:noWrap/>
            <w:vAlign w:val="center"/>
            <w:hideMark/>
          </w:tcPr>
          <w:p w14:paraId="43EE31D7"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3FAD8CD"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r>
      <w:tr w:rsidR="00645EA1" w14:paraId="65ED0876" w14:textId="77777777" w:rsidTr="00645EA1">
        <w:trPr>
          <w:trHeight w:val="284"/>
        </w:trPr>
        <w:tc>
          <w:tcPr>
            <w:tcW w:w="325" w:type="dxa"/>
            <w:tcBorders>
              <w:top w:val="single" w:sz="4" w:space="0" w:color="auto"/>
              <w:left w:val="nil"/>
              <w:bottom w:val="single" w:sz="4" w:space="0" w:color="auto"/>
              <w:right w:val="single" w:sz="4" w:space="0" w:color="auto"/>
            </w:tcBorders>
            <w:noWrap/>
            <w:vAlign w:val="center"/>
            <w:hideMark/>
          </w:tcPr>
          <w:p w14:paraId="0A6657DA" w14:textId="77777777" w:rsidR="00645EA1" w:rsidRDefault="00645EA1">
            <w:pPr>
              <w:spacing w:line="200" w:lineRule="exact"/>
              <w:jc w:val="center"/>
              <w:rPr>
                <w:rFonts w:eastAsia="新細明體" w:cs="Segoe UI"/>
                <w:b/>
                <w:bCs/>
                <w:color w:val="000000"/>
                <w:sz w:val="17"/>
                <w:szCs w:val="17"/>
              </w:rPr>
            </w:pPr>
            <w:r>
              <w:rPr>
                <w:rFonts w:eastAsia="新細明體" w:cs="Segoe UI"/>
                <w:b/>
                <w:bCs/>
                <w:color w:val="000000"/>
                <w:sz w:val="17"/>
                <w:szCs w:val="17"/>
              </w:rPr>
              <w:t>12</w:t>
            </w:r>
          </w:p>
        </w:tc>
        <w:tc>
          <w:tcPr>
            <w:tcW w:w="1952" w:type="dxa"/>
            <w:tcBorders>
              <w:top w:val="single" w:sz="4" w:space="0" w:color="auto"/>
              <w:left w:val="nil"/>
              <w:bottom w:val="single" w:sz="4" w:space="0" w:color="auto"/>
              <w:right w:val="single" w:sz="4" w:space="0" w:color="auto"/>
            </w:tcBorders>
            <w:vAlign w:val="center"/>
            <w:hideMark/>
          </w:tcPr>
          <w:p w14:paraId="1344F5B4" w14:textId="77777777" w:rsidR="00645EA1" w:rsidRDefault="00645EA1">
            <w:pPr>
              <w:spacing w:line="200" w:lineRule="exact"/>
              <w:rPr>
                <w:rFonts w:eastAsia="新細明體" w:cs="Segoe UI"/>
                <w:b/>
                <w:bCs/>
                <w:color w:val="000000"/>
                <w:sz w:val="17"/>
                <w:szCs w:val="17"/>
              </w:rPr>
            </w:pPr>
            <w:proofErr w:type="spellStart"/>
            <w:r>
              <w:rPr>
                <w:rFonts w:eastAsia="新細明體" w:cs="Segoe UI" w:hint="eastAsia"/>
                <w:b/>
                <w:bCs/>
                <w:color w:val="000000"/>
                <w:sz w:val="17"/>
                <w:szCs w:val="17"/>
              </w:rPr>
              <w:t>調整總額</w:t>
            </w:r>
            <w:proofErr w:type="spellEnd"/>
          </w:p>
        </w:tc>
        <w:tc>
          <w:tcPr>
            <w:tcW w:w="779" w:type="dxa"/>
            <w:tcBorders>
              <w:top w:val="single" w:sz="4" w:space="0" w:color="auto"/>
              <w:left w:val="nil"/>
              <w:bottom w:val="single" w:sz="4" w:space="0" w:color="auto"/>
              <w:right w:val="single" w:sz="4" w:space="0" w:color="BFBFBF"/>
            </w:tcBorders>
            <w:noWrap/>
            <w:vAlign w:val="center"/>
            <w:hideMark/>
          </w:tcPr>
          <w:p w14:paraId="5792B402"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3210A4B7"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438BE137"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BFBFBF"/>
            </w:tcBorders>
            <w:noWrap/>
            <w:vAlign w:val="center"/>
            <w:hideMark/>
          </w:tcPr>
          <w:p w14:paraId="684BC190"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3D4D8F33"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778" w:type="dxa"/>
            <w:tcBorders>
              <w:top w:val="single" w:sz="4" w:space="0" w:color="auto"/>
              <w:left w:val="nil"/>
              <w:bottom w:val="single" w:sz="4" w:space="0" w:color="auto"/>
              <w:right w:val="single" w:sz="4" w:space="0" w:color="auto"/>
            </w:tcBorders>
            <w:noWrap/>
            <w:vAlign w:val="center"/>
            <w:hideMark/>
          </w:tcPr>
          <w:p w14:paraId="637B61DB"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BFBFBF"/>
            </w:tcBorders>
            <w:noWrap/>
            <w:vAlign w:val="center"/>
            <w:hideMark/>
          </w:tcPr>
          <w:p w14:paraId="0F65EF98" w14:textId="77777777" w:rsidR="00645EA1" w:rsidRDefault="00645EA1">
            <w:pPr>
              <w:spacing w:line="200" w:lineRule="exact"/>
              <w:rPr>
                <w:rFonts w:eastAsia="新細明體" w:cs="Segoe UI"/>
                <w:color w:val="000000"/>
                <w:sz w:val="17"/>
                <w:szCs w:val="17"/>
              </w:rPr>
            </w:pPr>
            <w:r>
              <w:rPr>
                <w:rFonts w:eastAsia="新細明體" w:cs="Segoe UI" w:hint="eastAsia"/>
                <w:color w:val="000000"/>
                <w:sz w:val="17"/>
                <w:szCs w:val="17"/>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4A5564F" w14:textId="77777777" w:rsidR="00645EA1" w:rsidRDefault="00645EA1">
            <w:pPr>
              <w:rPr>
                <w:rFonts w:asciiTheme="minorHAnsi" w:eastAsia="新細明體" w:hAnsiTheme="minorHAnsi" w:cs="新細明體"/>
                <w:kern w:val="2"/>
                <w:sz w:val="24"/>
                <w:szCs w:val="22"/>
              </w:rPr>
            </w:pPr>
          </w:p>
        </w:tc>
      </w:tr>
    </w:tbl>
    <w:p w14:paraId="516A890F" w14:textId="77777777" w:rsidR="00645EA1" w:rsidRDefault="00645EA1">
      <w:pPr>
        <w:rPr>
          <w:rFonts w:eastAsiaTheme="minorEastAsia" w:cs="Segoe UI"/>
          <w:lang w:val="en-US" w:eastAsia="zh-TW"/>
        </w:rPr>
      </w:pPr>
    </w:p>
    <w:p w14:paraId="7F18D764" w14:textId="77777777" w:rsidR="00645EA1" w:rsidRDefault="00645EA1">
      <w:pPr>
        <w:rPr>
          <w:rFonts w:eastAsiaTheme="minorEastAsia" w:cs="Segoe UI"/>
          <w:lang w:val="en-US" w:eastAsia="zh-TW"/>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645EA1" w14:paraId="265FA930" w14:textId="77777777" w:rsidTr="00645EA1">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70C1A73" w14:textId="77777777" w:rsidR="00645EA1" w:rsidRDefault="00645EA1">
            <w:pPr>
              <w:keepLines/>
              <w:widowControl w:val="0"/>
              <w:tabs>
                <w:tab w:val="left" w:pos="150"/>
                <w:tab w:val="left" w:pos="397"/>
                <w:tab w:val="left" w:pos="794"/>
                <w:tab w:val="left" w:pos="1191"/>
              </w:tabs>
              <w:spacing w:before="40" w:after="40"/>
              <w:rPr>
                <w:rFonts w:eastAsia="新細明體" w:cs="Segoe UI"/>
                <w:b/>
                <w:sz w:val="17"/>
                <w:lang w:eastAsia="en-GB"/>
              </w:rPr>
            </w:pPr>
            <w:proofErr w:type="spellStart"/>
            <w:r>
              <w:rPr>
                <w:rFonts w:eastAsia="新細明體" w:cs="Segoe UI" w:hint="eastAsia"/>
                <w:b/>
                <w:sz w:val="17"/>
              </w:rPr>
              <w:t>註釋</w:t>
            </w:r>
            <w:proofErr w:type="spellEnd"/>
          </w:p>
        </w:tc>
      </w:tr>
      <w:tr w:rsidR="00645EA1" w14:paraId="3E13DCD1" w14:textId="77777777" w:rsidTr="00645EA1">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EEA5035" w14:textId="77777777" w:rsidR="00645EA1" w:rsidRDefault="00645EA1">
            <w:pPr>
              <w:keepLines/>
              <w:widowControl w:val="0"/>
              <w:tabs>
                <w:tab w:val="left" w:pos="150"/>
                <w:tab w:val="left" w:pos="397"/>
                <w:tab w:val="left" w:pos="794"/>
                <w:tab w:val="left" w:pos="1191"/>
              </w:tabs>
              <w:spacing w:before="40" w:after="40"/>
              <w:rPr>
                <w:rFonts w:eastAsia="新細明體" w:cs="Segoe UI"/>
                <w:b/>
                <w:sz w:val="17"/>
                <w:lang w:eastAsia="en-GB"/>
              </w:rPr>
            </w:pPr>
            <w:r>
              <w:rPr>
                <w:rFonts w:eastAsia="新細明體" w:cs="Segoe UI" w:hint="eastAsia"/>
                <w:b/>
                <w:sz w:val="17"/>
              </w:rPr>
              <w:t>行</w:t>
            </w:r>
          </w:p>
        </w:tc>
      </w:tr>
      <w:tr w:rsidR="00645EA1" w14:paraId="105E77BC"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1B0B166B"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1</w:t>
            </w:r>
          </w:p>
        </w:tc>
        <w:tc>
          <w:tcPr>
            <w:tcW w:w="8647" w:type="dxa"/>
            <w:tcBorders>
              <w:top w:val="single" w:sz="4" w:space="0" w:color="auto"/>
              <w:left w:val="single" w:sz="4" w:space="0" w:color="auto"/>
              <w:bottom w:val="single" w:sz="4" w:space="0" w:color="auto"/>
              <w:right w:val="single" w:sz="4" w:space="0" w:color="auto"/>
            </w:tcBorders>
            <w:hideMark/>
          </w:tcPr>
          <w:p w14:paraId="1367CE35" w14:textId="77777777" w:rsidR="00645EA1" w:rsidRDefault="00645EA1">
            <w:pPr>
              <w:keepLines/>
              <w:widowControl w:val="0"/>
              <w:tabs>
                <w:tab w:val="left" w:pos="150"/>
                <w:tab w:val="left" w:pos="397"/>
                <w:tab w:val="left" w:pos="794"/>
                <w:tab w:val="left" w:pos="1191"/>
              </w:tabs>
              <w:spacing w:before="40" w:after="40"/>
              <w:jc w:val="both"/>
              <w:rPr>
                <w:rFonts w:eastAsiaTheme="minorEastAsia" w:cs="Segoe UI"/>
                <w:i/>
                <w:sz w:val="17"/>
                <w:szCs w:val="17"/>
                <w:lang w:eastAsia="zh-TW"/>
              </w:rPr>
            </w:pPr>
            <w:r>
              <w:rPr>
                <w:rFonts w:eastAsia="新細明體" w:cs="Segoe UI" w:hint="eastAsia"/>
                <w:i/>
                <w:color w:val="000000"/>
                <w:sz w:val="17"/>
                <w:szCs w:val="17"/>
                <w:lang w:eastAsia="zh-TW"/>
              </w:rPr>
              <w:t>終止的不確定性，其中</w:t>
            </w:r>
            <w:r>
              <w:rPr>
                <w:rFonts w:eastAsia="新細明體" w:cs="Segoe UI" w:hint="eastAsia"/>
                <w:color w:val="000000"/>
                <w:sz w:val="17"/>
                <w:szCs w:val="17"/>
                <w:lang w:eastAsia="zh-TW"/>
              </w:rPr>
              <w:t>：反映終止的不確定性的估值調整</w:t>
            </w:r>
            <w:r>
              <w:rPr>
                <w:rFonts w:ascii="細明體" w:eastAsia="細明體" w:hAnsi="細明體" w:cs="細明體" w:hint="eastAsia"/>
                <w:sz w:val="17"/>
                <w:szCs w:val="17"/>
                <w:lang w:eastAsia="zh-TW"/>
              </w:rPr>
              <w:t>，包括但不限於以下第</w:t>
            </w:r>
            <w:r>
              <w:rPr>
                <w:rFonts w:cs="Segoe UI"/>
                <w:sz w:val="17"/>
                <w:szCs w:val="17"/>
                <w:lang w:eastAsia="zh-TW"/>
              </w:rPr>
              <w:t>2</w:t>
            </w:r>
            <w:r>
              <w:rPr>
                <w:rFonts w:ascii="細明體" w:eastAsia="細明體" w:hAnsi="細明體" w:cs="細明體" w:hint="eastAsia"/>
                <w:sz w:val="17"/>
                <w:szCs w:val="17"/>
                <w:lang w:eastAsia="zh-TW"/>
              </w:rPr>
              <w:t>至</w:t>
            </w:r>
            <w:r>
              <w:rPr>
                <w:rFonts w:cs="Segoe UI"/>
                <w:sz w:val="17"/>
                <w:szCs w:val="17"/>
                <w:lang w:eastAsia="zh-TW"/>
              </w:rPr>
              <w:t>4</w:t>
            </w:r>
            <w:r>
              <w:rPr>
                <w:rFonts w:ascii="細明體" w:eastAsia="細明體" w:hAnsi="細明體" w:cs="細明體" w:hint="eastAsia"/>
                <w:sz w:val="17"/>
                <w:szCs w:val="17"/>
                <w:lang w:eastAsia="zh-TW"/>
              </w:rPr>
              <w:t>行所填報之</w:t>
            </w:r>
            <w:r>
              <w:rPr>
                <w:rFonts w:eastAsia="細明體" w:cs="Segoe UI" w:hint="eastAsia"/>
                <w:sz w:val="17"/>
                <w:szCs w:val="17"/>
                <w:lang w:eastAsia="zh-TW"/>
              </w:rPr>
              <w:t>項目</w:t>
            </w:r>
            <w:r>
              <w:rPr>
                <w:rFonts w:ascii="細明體" w:eastAsia="細明體" w:hAnsi="細明體" w:cs="細明體" w:hint="eastAsia"/>
                <w:sz w:val="17"/>
                <w:szCs w:val="17"/>
                <w:lang w:eastAsia="zh-TW"/>
              </w:rPr>
              <w:t>。</w:t>
            </w:r>
          </w:p>
        </w:tc>
      </w:tr>
      <w:tr w:rsidR="00645EA1" w14:paraId="601C3124"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13242EC8"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2</w:t>
            </w:r>
          </w:p>
        </w:tc>
        <w:tc>
          <w:tcPr>
            <w:tcW w:w="8647" w:type="dxa"/>
            <w:tcBorders>
              <w:top w:val="single" w:sz="4" w:space="0" w:color="auto"/>
              <w:left w:val="single" w:sz="4" w:space="0" w:color="auto"/>
              <w:bottom w:val="single" w:sz="4" w:space="0" w:color="auto"/>
              <w:right w:val="single" w:sz="4" w:space="0" w:color="auto"/>
            </w:tcBorders>
            <w:hideMark/>
          </w:tcPr>
          <w:p w14:paraId="6E236D12" w14:textId="77777777" w:rsidR="00645EA1" w:rsidRDefault="00645EA1">
            <w:pPr>
              <w:keepLines/>
              <w:widowControl w:val="0"/>
              <w:tabs>
                <w:tab w:val="left" w:pos="150"/>
                <w:tab w:val="left" w:pos="397"/>
                <w:tab w:val="left" w:pos="794"/>
                <w:tab w:val="left" w:pos="1191"/>
              </w:tabs>
              <w:spacing w:before="40" w:after="40"/>
              <w:jc w:val="both"/>
              <w:rPr>
                <w:rFonts w:eastAsiaTheme="minorEastAsia" w:cs="Segoe UI"/>
                <w:kern w:val="2"/>
                <w:sz w:val="17"/>
                <w:szCs w:val="17"/>
                <w:lang w:eastAsia="zh-TW"/>
              </w:rPr>
            </w:pPr>
            <w:r>
              <w:rPr>
                <w:rFonts w:ascii="細明體" w:eastAsia="細明體" w:hAnsi="細明體" w:cs="細明體" w:hint="eastAsia"/>
                <w:i/>
                <w:sz w:val="17"/>
                <w:szCs w:val="17"/>
                <w:lang w:eastAsia="zh-TW"/>
              </w:rPr>
              <w:t>中間市價</w:t>
            </w:r>
            <w:r>
              <w:rPr>
                <w:rFonts w:eastAsia="新細明體" w:cs="Segoe UI" w:hint="eastAsia"/>
                <w:color w:val="000000"/>
                <w:sz w:val="17"/>
                <w:szCs w:val="17"/>
                <w:lang w:eastAsia="zh-TW"/>
              </w:rPr>
              <w:t>：</w:t>
            </w:r>
            <w:r>
              <w:rPr>
                <w:rFonts w:ascii="細明體" w:eastAsia="細明體" w:hAnsi="細明體" w:cs="細明體" w:hint="eastAsia"/>
                <w:sz w:val="17"/>
                <w:szCs w:val="17"/>
                <w:lang w:eastAsia="zh-TW"/>
              </w:rPr>
              <w:t>考慮到由下述的可用市場數據得出的合理中間市價的範圍，而須為反映適當的審慎</w:t>
            </w:r>
            <w:r>
              <w:rPr>
                <w:rFonts w:eastAsia="新細明體" w:cs="Segoe UI" w:hint="eastAsia"/>
                <w:color w:val="000000"/>
                <w:sz w:val="17"/>
                <w:szCs w:val="17"/>
                <w:lang w:eastAsia="zh-TW"/>
              </w:rPr>
              <w:t>程度</w:t>
            </w:r>
            <w:r>
              <w:rPr>
                <w:rFonts w:ascii="細明體" w:eastAsia="細明體" w:hAnsi="細明體" w:cs="細明體" w:hint="eastAsia"/>
                <w:sz w:val="17"/>
                <w:szCs w:val="17"/>
                <w:lang w:eastAsia="zh-TW"/>
              </w:rPr>
              <w:t>作出的估值調整：有關工具或同等工具的價格，或相關估值模型中所使用的每</w:t>
            </w:r>
            <w:proofErr w:type="gramStart"/>
            <w:r>
              <w:rPr>
                <w:rFonts w:ascii="細明體" w:eastAsia="細明體" w:hAnsi="細明體" w:cs="細明體" w:hint="eastAsia"/>
                <w:sz w:val="17"/>
                <w:szCs w:val="17"/>
                <w:lang w:eastAsia="zh-TW"/>
              </w:rPr>
              <w:t>個</w:t>
            </w:r>
            <w:proofErr w:type="gramEnd"/>
            <w:r>
              <w:rPr>
                <w:rFonts w:ascii="細明體" w:eastAsia="細明體" w:hAnsi="細明體" w:cs="細明體" w:hint="eastAsia"/>
                <w:sz w:val="17"/>
                <w:szCs w:val="17"/>
                <w:lang w:eastAsia="zh-TW"/>
              </w:rPr>
              <w:t>估值進項（而該進項由工具價格校準而來）的可用市場數據。</w:t>
            </w:r>
          </w:p>
        </w:tc>
      </w:tr>
      <w:tr w:rsidR="00645EA1" w14:paraId="14ADEE55"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3496179B"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3</w:t>
            </w:r>
          </w:p>
        </w:tc>
        <w:tc>
          <w:tcPr>
            <w:tcW w:w="8647" w:type="dxa"/>
            <w:tcBorders>
              <w:top w:val="single" w:sz="4" w:space="0" w:color="auto"/>
              <w:left w:val="single" w:sz="4" w:space="0" w:color="auto"/>
              <w:bottom w:val="single" w:sz="4" w:space="0" w:color="auto"/>
              <w:right w:val="single" w:sz="4" w:space="0" w:color="auto"/>
            </w:tcBorders>
            <w:hideMark/>
          </w:tcPr>
          <w:p w14:paraId="7D1473DD" w14:textId="77777777" w:rsidR="00645EA1" w:rsidRDefault="00645EA1">
            <w:pPr>
              <w:keepLines/>
              <w:widowControl w:val="0"/>
              <w:tabs>
                <w:tab w:val="left" w:pos="150"/>
                <w:tab w:val="left" w:pos="397"/>
                <w:tab w:val="left" w:pos="794"/>
                <w:tab w:val="left" w:pos="1191"/>
              </w:tabs>
              <w:spacing w:before="40" w:after="40"/>
              <w:jc w:val="both"/>
              <w:rPr>
                <w:rFonts w:cs="Segoe UI"/>
                <w:sz w:val="17"/>
                <w:szCs w:val="17"/>
                <w:lang w:eastAsia="zh-TW"/>
              </w:rPr>
            </w:pPr>
            <w:r>
              <w:rPr>
                <w:rFonts w:ascii="細明體" w:eastAsia="細明體" w:hAnsi="細明體" w:cs="細明體" w:hint="eastAsia"/>
                <w:i/>
                <w:sz w:val="17"/>
                <w:szCs w:val="17"/>
                <w:lang w:eastAsia="zh-TW"/>
              </w:rPr>
              <w:t>終止成本</w:t>
            </w:r>
            <w:r>
              <w:rPr>
                <w:rFonts w:ascii="細明體" w:eastAsia="細明體" w:hAnsi="細明體" w:cs="細明體" w:hint="eastAsia"/>
                <w:sz w:val="17"/>
                <w:szCs w:val="17"/>
                <w:lang w:eastAsia="zh-TW"/>
              </w:rPr>
              <w:t>：</w:t>
            </w:r>
            <w:proofErr w:type="spellStart"/>
            <w:r>
              <w:rPr>
                <w:rFonts w:asciiTheme="minorEastAsia" w:hAnsiTheme="minorEastAsia" w:cs="Segoe UI" w:hint="eastAsia"/>
                <w:sz w:val="17"/>
                <w:szCs w:val="17"/>
                <w:lang w:eastAsia="zh-TW"/>
              </w:rPr>
              <w:t>計及</w:t>
            </w:r>
            <w:proofErr w:type="spellEnd"/>
            <w:r>
              <w:rPr>
                <w:rFonts w:ascii="細明體" w:eastAsia="細明體" w:hAnsi="細明體" w:cs="細明體" w:hint="eastAsia"/>
                <w:sz w:val="17"/>
                <w:szCs w:val="17"/>
                <w:lang w:eastAsia="zh-TW"/>
              </w:rPr>
              <w:t>估值所產生的持倉水平或未能反映有關持倉或組合的平倉價（例如該等估值按中間市價校準），並就此估值不確定性作出的估值調整。</w:t>
            </w:r>
          </w:p>
        </w:tc>
      </w:tr>
      <w:tr w:rsidR="00645EA1" w14:paraId="0E56C0DD"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6F9CEEE5"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4</w:t>
            </w:r>
          </w:p>
        </w:tc>
        <w:tc>
          <w:tcPr>
            <w:tcW w:w="8647" w:type="dxa"/>
            <w:tcBorders>
              <w:top w:val="single" w:sz="4" w:space="0" w:color="auto"/>
              <w:left w:val="single" w:sz="4" w:space="0" w:color="auto"/>
              <w:bottom w:val="single" w:sz="4" w:space="0" w:color="auto"/>
              <w:right w:val="single" w:sz="4" w:space="0" w:color="auto"/>
            </w:tcBorders>
            <w:hideMark/>
          </w:tcPr>
          <w:p w14:paraId="7285B3FC" w14:textId="77777777" w:rsidR="00645EA1" w:rsidRDefault="00645EA1">
            <w:pPr>
              <w:keepLines/>
              <w:widowControl w:val="0"/>
              <w:tabs>
                <w:tab w:val="left" w:pos="150"/>
                <w:tab w:val="left" w:pos="397"/>
                <w:tab w:val="left" w:pos="794"/>
                <w:tab w:val="left" w:pos="1191"/>
              </w:tabs>
              <w:spacing w:before="40" w:after="40"/>
              <w:jc w:val="both"/>
              <w:rPr>
                <w:rFonts w:cs="Segoe UI"/>
                <w:sz w:val="17"/>
                <w:szCs w:val="17"/>
                <w:lang w:eastAsia="zh-TW"/>
              </w:rPr>
            </w:pPr>
            <w:r>
              <w:rPr>
                <w:rFonts w:ascii="細明體" w:eastAsia="細明體" w:hAnsi="細明體" w:cs="細明體" w:hint="eastAsia"/>
                <w:i/>
                <w:sz w:val="17"/>
                <w:szCs w:val="17"/>
                <w:lang w:eastAsia="zh-TW"/>
              </w:rPr>
              <w:t>集中</w:t>
            </w:r>
            <w:r>
              <w:rPr>
                <w:rFonts w:ascii="細明體" w:eastAsia="細明體" w:hAnsi="細明體" w:cs="細明體" w:hint="eastAsia"/>
                <w:sz w:val="17"/>
                <w:szCs w:val="17"/>
                <w:lang w:eastAsia="zh-TW"/>
              </w:rPr>
              <w:t>：就相對用作計算估值</w:t>
            </w:r>
            <w:proofErr w:type="gramStart"/>
            <w:r>
              <w:rPr>
                <w:rFonts w:ascii="細明體" w:eastAsia="細明體" w:hAnsi="細明體" w:cs="細明體" w:hint="eastAsia"/>
                <w:sz w:val="17"/>
                <w:szCs w:val="17"/>
                <w:lang w:eastAsia="zh-TW"/>
              </w:rPr>
              <w:t>的持倉而言</w:t>
            </w:r>
            <w:proofErr w:type="gramEnd"/>
            <w:r>
              <w:rPr>
                <w:rFonts w:ascii="細明體" w:eastAsia="細明體" w:hAnsi="細明體" w:cs="細明體" w:hint="eastAsia"/>
                <w:sz w:val="17"/>
                <w:szCs w:val="17"/>
                <w:lang w:eastAsia="zh-TW"/>
              </w:rPr>
              <w:t>，為使規模較大的</w:t>
            </w:r>
            <w:proofErr w:type="gramStart"/>
            <w:r>
              <w:rPr>
                <w:rFonts w:ascii="細明體" w:eastAsia="細明體" w:hAnsi="細明體" w:cs="細明體" w:hint="eastAsia"/>
                <w:sz w:val="17"/>
                <w:szCs w:val="17"/>
                <w:lang w:eastAsia="zh-TW"/>
              </w:rPr>
              <w:t>持倉達</w:t>
            </w:r>
            <w:proofErr w:type="gramEnd"/>
            <w:r>
              <w:rPr>
                <w:rFonts w:ascii="細明體" w:eastAsia="細明體" w:hAnsi="細明體" w:cs="細明體" w:hint="eastAsia"/>
                <w:sz w:val="17"/>
                <w:szCs w:val="17"/>
                <w:lang w:eastAsia="zh-TW"/>
              </w:rPr>
              <w:t>致審慎的平倉價（即認可機構持有的合計持倉較正常交易額為大，或就應用於校準核心估值模式的價格或進項的可觀察報價或交易而言，持有的合計持倉較構成基準的持倉規模為大的情況）而須作出的估值調整（在市價及終止成本之上）。</w:t>
            </w:r>
          </w:p>
        </w:tc>
      </w:tr>
      <w:tr w:rsidR="00645EA1" w14:paraId="4372407A"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31318A92"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5</w:t>
            </w:r>
          </w:p>
        </w:tc>
        <w:tc>
          <w:tcPr>
            <w:tcW w:w="8647" w:type="dxa"/>
            <w:tcBorders>
              <w:top w:val="single" w:sz="4" w:space="0" w:color="auto"/>
              <w:left w:val="single" w:sz="4" w:space="0" w:color="auto"/>
              <w:bottom w:val="single" w:sz="4" w:space="0" w:color="auto"/>
              <w:right w:val="single" w:sz="4" w:space="0" w:color="auto"/>
            </w:tcBorders>
            <w:hideMark/>
          </w:tcPr>
          <w:p w14:paraId="549DC3ED" w14:textId="77777777" w:rsidR="00645EA1" w:rsidRDefault="00645EA1">
            <w:pPr>
              <w:keepLines/>
              <w:widowControl w:val="0"/>
              <w:tabs>
                <w:tab w:val="left" w:pos="150"/>
                <w:tab w:val="left" w:pos="397"/>
                <w:tab w:val="left" w:pos="794"/>
                <w:tab w:val="left" w:pos="1191"/>
              </w:tabs>
              <w:spacing w:before="40" w:after="40"/>
              <w:jc w:val="both"/>
              <w:rPr>
                <w:rFonts w:cs="Segoe UI"/>
                <w:i/>
                <w:sz w:val="17"/>
                <w:szCs w:val="17"/>
                <w:lang w:eastAsia="zh-TW"/>
              </w:rPr>
            </w:pPr>
            <w:r>
              <w:rPr>
                <w:rFonts w:ascii="細明體" w:eastAsia="細明體" w:hAnsi="細明體" w:cs="細明體" w:hint="eastAsia"/>
                <w:i/>
                <w:sz w:val="17"/>
                <w:szCs w:val="17"/>
                <w:lang w:eastAsia="zh-TW"/>
              </w:rPr>
              <w:t>提前終止</w:t>
            </w:r>
            <w:r>
              <w:rPr>
                <w:rFonts w:ascii="細明體" w:eastAsia="細明體" w:hAnsi="細明體" w:cs="細明體" w:hint="eastAsia"/>
                <w:sz w:val="17"/>
                <w:szCs w:val="17"/>
                <w:lang w:eastAsia="zh-TW"/>
              </w:rPr>
              <w:t>：為反映估值中因按合約或非按合約提前終止客戶交易而可能產生的潛在虧損而須作出的估值調整。</w:t>
            </w:r>
          </w:p>
        </w:tc>
      </w:tr>
      <w:tr w:rsidR="00645EA1" w14:paraId="3E7C0384"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112058F2"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6</w:t>
            </w:r>
          </w:p>
        </w:tc>
        <w:tc>
          <w:tcPr>
            <w:tcW w:w="8647" w:type="dxa"/>
            <w:tcBorders>
              <w:top w:val="single" w:sz="4" w:space="0" w:color="auto"/>
              <w:left w:val="single" w:sz="4" w:space="0" w:color="auto"/>
              <w:bottom w:val="single" w:sz="4" w:space="0" w:color="auto"/>
              <w:right w:val="single" w:sz="4" w:space="0" w:color="auto"/>
            </w:tcBorders>
            <w:hideMark/>
          </w:tcPr>
          <w:p w14:paraId="2101007A" w14:textId="77777777" w:rsidR="00645EA1" w:rsidRDefault="00645EA1">
            <w:pPr>
              <w:keepLines/>
              <w:widowControl w:val="0"/>
              <w:tabs>
                <w:tab w:val="left" w:pos="150"/>
                <w:tab w:val="left" w:pos="397"/>
                <w:tab w:val="left" w:pos="794"/>
                <w:tab w:val="left" w:pos="1191"/>
              </w:tabs>
              <w:spacing w:before="40" w:after="40"/>
              <w:jc w:val="both"/>
              <w:rPr>
                <w:rFonts w:cs="Segoe UI"/>
                <w:sz w:val="17"/>
                <w:szCs w:val="17"/>
                <w:lang w:eastAsia="zh-TW"/>
              </w:rPr>
            </w:pPr>
            <w:r>
              <w:rPr>
                <w:rFonts w:ascii="細明體" w:eastAsia="細明體" w:hAnsi="細明體" w:cs="細明體" w:hint="eastAsia"/>
                <w:i/>
                <w:sz w:val="17"/>
                <w:szCs w:val="17"/>
                <w:lang w:eastAsia="zh-TW"/>
              </w:rPr>
              <w:t>模式風險</w:t>
            </w:r>
            <w:r>
              <w:rPr>
                <w:rFonts w:ascii="細明體" w:eastAsia="細明體" w:hAnsi="細明體" w:cs="細明體" w:hint="eastAsia"/>
                <w:sz w:val="17"/>
                <w:szCs w:val="17"/>
                <w:lang w:eastAsia="zh-TW"/>
              </w:rPr>
              <w:t>：</w:t>
            </w:r>
            <w:proofErr w:type="spellStart"/>
            <w:r>
              <w:rPr>
                <w:rFonts w:asciiTheme="minorEastAsia" w:hAnsiTheme="minorEastAsia" w:cs="Segoe UI" w:hint="eastAsia"/>
                <w:sz w:val="17"/>
                <w:szCs w:val="17"/>
                <w:lang w:eastAsia="zh-TW"/>
              </w:rPr>
              <w:t>計及</w:t>
            </w:r>
            <w:proofErr w:type="spellEnd"/>
            <w:r>
              <w:rPr>
                <w:rFonts w:ascii="細明體" w:eastAsia="細明體" w:hAnsi="細明體" w:cs="細明體" w:hint="eastAsia"/>
                <w:sz w:val="17"/>
                <w:szCs w:val="17"/>
                <w:lang w:eastAsia="zh-TW"/>
              </w:rPr>
              <w:t>下述原因或引致估值模式風險而須作出的估值調整：</w:t>
            </w:r>
            <w:r>
              <w:rPr>
                <w:rFonts w:cs="Segoe UI"/>
                <w:sz w:val="17"/>
                <w:szCs w:val="17"/>
                <w:lang w:eastAsia="zh-TW"/>
              </w:rPr>
              <w:t>(</w:t>
            </w:r>
            <w:proofErr w:type="spellStart"/>
            <w:r>
              <w:rPr>
                <w:rFonts w:cs="Segoe UI"/>
                <w:sz w:val="17"/>
                <w:szCs w:val="17"/>
                <w:lang w:eastAsia="zh-TW"/>
              </w:rPr>
              <w:t>i</w:t>
            </w:r>
            <w:proofErr w:type="spellEnd"/>
            <w:r>
              <w:rPr>
                <w:rFonts w:cs="Segoe UI"/>
                <w:sz w:val="17"/>
                <w:szCs w:val="17"/>
                <w:lang w:eastAsia="zh-TW"/>
              </w:rPr>
              <w:t>)</w:t>
            </w:r>
            <w:r>
              <w:rPr>
                <w:rFonts w:ascii="細明體" w:eastAsia="細明體" w:hAnsi="細明體" w:cs="細明體" w:hint="eastAsia"/>
                <w:sz w:val="17"/>
                <w:szCs w:val="17"/>
                <w:lang w:eastAsia="zh-TW"/>
              </w:rPr>
              <w:t>第三支柱數據使用者採用一系列不同的模式或模式校準的可能情況；</w:t>
            </w:r>
            <w:r>
              <w:rPr>
                <w:rFonts w:cs="Segoe UI"/>
                <w:sz w:val="17"/>
                <w:szCs w:val="17"/>
                <w:lang w:eastAsia="zh-TW"/>
              </w:rPr>
              <w:t>(ii)</w:t>
            </w:r>
            <w:r>
              <w:rPr>
                <w:rFonts w:ascii="細明體" w:eastAsia="細明體" w:hAnsi="細明體" w:cs="細明體" w:hint="eastAsia"/>
                <w:sz w:val="17"/>
                <w:szCs w:val="17"/>
                <w:lang w:eastAsia="zh-TW"/>
              </w:rPr>
              <w:t>所估值的特定產品沒有確切的平倉價；</w:t>
            </w:r>
            <w:r>
              <w:rPr>
                <w:rFonts w:cs="Segoe UI"/>
                <w:sz w:val="17"/>
                <w:szCs w:val="17"/>
                <w:lang w:eastAsia="zh-TW"/>
              </w:rPr>
              <w:t>(iii)</w:t>
            </w:r>
            <w:r>
              <w:rPr>
                <w:rFonts w:ascii="細明體" w:eastAsia="細明體" w:hAnsi="細明體" w:cs="細明體" w:hint="eastAsia"/>
                <w:sz w:val="17"/>
                <w:szCs w:val="17"/>
                <w:lang w:eastAsia="zh-TW"/>
              </w:rPr>
              <w:t>使用不正確的估值方法；</w:t>
            </w:r>
            <w:r>
              <w:rPr>
                <w:rFonts w:cs="Segoe UI"/>
                <w:sz w:val="17"/>
                <w:szCs w:val="17"/>
                <w:lang w:eastAsia="zh-TW"/>
              </w:rPr>
              <w:t>(iv)</w:t>
            </w:r>
            <w:r>
              <w:rPr>
                <w:rFonts w:ascii="細明體" w:eastAsia="細明體" w:hAnsi="細明體" w:cs="細明體" w:hint="eastAsia"/>
                <w:sz w:val="17"/>
                <w:szCs w:val="17"/>
                <w:lang w:eastAsia="zh-TW"/>
              </w:rPr>
              <w:t>使用無法觀察及不正確校準參數的風險；或</w:t>
            </w:r>
            <w:r>
              <w:rPr>
                <w:rFonts w:cs="Segoe UI"/>
                <w:sz w:val="17"/>
                <w:szCs w:val="17"/>
                <w:lang w:eastAsia="zh-TW"/>
              </w:rPr>
              <w:t>(v)</w:t>
            </w:r>
            <w:r>
              <w:rPr>
                <w:rFonts w:ascii="細明體" w:eastAsia="細明體" w:hAnsi="細明體" w:cs="細明體" w:hint="eastAsia"/>
                <w:sz w:val="17"/>
                <w:szCs w:val="17"/>
                <w:lang w:eastAsia="zh-TW"/>
              </w:rPr>
              <w:t>核心估值模式未能涵蓋某些市場或產品因素的實況。</w:t>
            </w:r>
          </w:p>
        </w:tc>
      </w:tr>
      <w:tr w:rsidR="00645EA1" w14:paraId="5828CB78"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369FA576"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7</w:t>
            </w:r>
          </w:p>
        </w:tc>
        <w:tc>
          <w:tcPr>
            <w:tcW w:w="8647" w:type="dxa"/>
            <w:tcBorders>
              <w:top w:val="single" w:sz="4" w:space="0" w:color="auto"/>
              <w:left w:val="single" w:sz="4" w:space="0" w:color="auto"/>
              <w:bottom w:val="single" w:sz="4" w:space="0" w:color="auto"/>
              <w:right w:val="single" w:sz="4" w:space="0" w:color="auto"/>
            </w:tcBorders>
            <w:hideMark/>
          </w:tcPr>
          <w:p w14:paraId="259B76C9" w14:textId="77777777" w:rsidR="00645EA1" w:rsidRDefault="00645EA1">
            <w:pPr>
              <w:keepLines/>
              <w:widowControl w:val="0"/>
              <w:tabs>
                <w:tab w:val="left" w:pos="150"/>
                <w:tab w:val="left" w:pos="397"/>
                <w:tab w:val="left" w:pos="794"/>
                <w:tab w:val="left" w:pos="1191"/>
              </w:tabs>
              <w:spacing w:before="40" w:after="40"/>
              <w:jc w:val="both"/>
              <w:rPr>
                <w:rFonts w:cs="Segoe UI"/>
                <w:sz w:val="17"/>
                <w:szCs w:val="17"/>
                <w:lang w:eastAsia="zh-TW"/>
              </w:rPr>
            </w:pPr>
            <w:r>
              <w:rPr>
                <w:rFonts w:ascii="細明體" w:eastAsia="細明體" w:hAnsi="細明體" w:cs="細明體" w:hint="eastAsia"/>
                <w:i/>
                <w:sz w:val="17"/>
                <w:szCs w:val="17"/>
                <w:lang w:eastAsia="zh-TW"/>
              </w:rPr>
              <w:t>業務操作風險</w:t>
            </w:r>
            <w:r>
              <w:rPr>
                <w:rFonts w:ascii="細明體" w:eastAsia="細明體" w:hAnsi="細明體" w:cs="細明體" w:hint="eastAsia"/>
                <w:sz w:val="17"/>
                <w:szCs w:val="17"/>
                <w:lang w:eastAsia="zh-TW"/>
              </w:rPr>
              <w:t>：</w:t>
            </w:r>
            <w:proofErr w:type="spellStart"/>
            <w:r>
              <w:rPr>
                <w:rFonts w:asciiTheme="minorEastAsia" w:hAnsiTheme="minorEastAsia" w:cs="Segoe UI" w:hint="eastAsia"/>
                <w:sz w:val="17"/>
                <w:szCs w:val="17"/>
                <w:lang w:eastAsia="zh-TW"/>
              </w:rPr>
              <w:t>計及</w:t>
            </w:r>
            <w:proofErr w:type="spellEnd"/>
            <w:r>
              <w:rPr>
                <w:rFonts w:ascii="細明體" w:eastAsia="細明體" w:hAnsi="細明體" w:cs="細明體" w:hint="eastAsia"/>
                <w:sz w:val="17"/>
                <w:szCs w:val="17"/>
                <w:lang w:eastAsia="zh-TW"/>
              </w:rPr>
              <w:t>與估值過程相關的業務操作風險或產生潛在虧損而須作出的估值調整。</w:t>
            </w:r>
          </w:p>
        </w:tc>
      </w:tr>
      <w:tr w:rsidR="00645EA1" w14:paraId="68D9AF13"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30129B41"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8</w:t>
            </w:r>
          </w:p>
        </w:tc>
        <w:tc>
          <w:tcPr>
            <w:tcW w:w="8647" w:type="dxa"/>
            <w:tcBorders>
              <w:top w:val="single" w:sz="4" w:space="0" w:color="auto"/>
              <w:left w:val="single" w:sz="4" w:space="0" w:color="auto"/>
              <w:bottom w:val="single" w:sz="4" w:space="0" w:color="auto"/>
              <w:right w:val="single" w:sz="4" w:space="0" w:color="auto"/>
            </w:tcBorders>
            <w:hideMark/>
          </w:tcPr>
          <w:p w14:paraId="54DACC3A" w14:textId="77777777" w:rsidR="00645EA1" w:rsidRDefault="00645EA1">
            <w:pPr>
              <w:keepLines/>
              <w:widowControl w:val="0"/>
              <w:tabs>
                <w:tab w:val="left" w:pos="397"/>
                <w:tab w:val="left" w:pos="794"/>
                <w:tab w:val="left" w:pos="1191"/>
              </w:tabs>
              <w:spacing w:before="40" w:after="40"/>
              <w:jc w:val="both"/>
              <w:rPr>
                <w:rFonts w:cs="Segoe UI"/>
                <w:sz w:val="17"/>
                <w:szCs w:val="17"/>
                <w:lang w:eastAsia="zh-TW"/>
              </w:rPr>
            </w:pPr>
            <w:r>
              <w:rPr>
                <w:rFonts w:ascii="細明體" w:eastAsia="細明體" w:hAnsi="細明體" w:cs="細明體" w:hint="eastAsia"/>
                <w:i/>
                <w:sz w:val="17"/>
                <w:szCs w:val="17"/>
                <w:lang w:eastAsia="zh-TW"/>
              </w:rPr>
              <w:t>投資及資金成本</w:t>
            </w:r>
            <w:r>
              <w:rPr>
                <w:rFonts w:ascii="細明體" w:eastAsia="細明體" w:hAnsi="細明體" w:cs="細明體" w:hint="eastAsia"/>
                <w:sz w:val="17"/>
                <w:szCs w:val="17"/>
                <w:lang w:eastAsia="zh-TW"/>
              </w:rPr>
              <w:t>：因其他第三支柱數據使用者可能算入某</w:t>
            </w:r>
            <w:proofErr w:type="gramStart"/>
            <w:r>
              <w:rPr>
                <w:rFonts w:ascii="細明體" w:eastAsia="細明體" w:hAnsi="細明體" w:cs="細明體" w:hint="eastAsia"/>
                <w:sz w:val="17"/>
                <w:szCs w:val="17"/>
                <w:lang w:eastAsia="zh-TW"/>
              </w:rPr>
              <w:t>項持倉</w:t>
            </w:r>
            <w:proofErr w:type="gramEnd"/>
            <w:r>
              <w:rPr>
                <w:rFonts w:ascii="細明體" w:eastAsia="細明體" w:hAnsi="細明體" w:cs="細明體" w:hint="eastAsia"/>
                <w:sz w:val="17"/>
                <w:szCs w:val="17"/>
                <w:lang w:eastAsia="zh-TW"/>
              </w:rPr>
              <w:t>或組合的平倉價的資金成本，為反映當中或涉及估值不確定性而須作出的估值調整（包括有關衍生工具風險承擔的資金估值調整）。</w:t>
            </w:r>
          </w:p>
        </w:tc>
      </w:tr>
      <w:tr w:rsidR="00645EA1" w14:paraId="525CAC41"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021E5C39"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9</w:t>
            </w:r>
          </w:p>
        </w:tc>
        <w:tc>
          <w:tcPr>
            <w:tcW w:w="8647" w:type="dxa"/>
            <w:tcBorders>
              <w:top w:val="single" w:sz="4" w:space="0" w:color="auto"/>
              <w:left w:val="single" w:sz="4" w:space="0" w:color="auto"/>
              <w:bottom w:val="single" w:sz="4" w:space="0" w:color="auto"/>
              <w:right w:val="single" w:sz="4" w:space="0" w:color="auto"/>
            </w:tcBorders>
            <w:hideMark/>
          </w:tcPr>
          <w:p w14:paraId="61C4B4E5" w14:textId="77777777" w:rsidR="00645EA1" w:rsidRDefault="00645EA1">
            <w:pPr>
              <w:keepLines/>
              <w:widowControl w:val="0"/>
              <w:tabs>
                <w:tab w:val="left" w:pos="397"/>
                <w:tab w:val="left" w:pos="794"/>
                <w:tab w:val="left" w:pos="1191"/>
              </w:tabs>
              <w:spacing w:before="40" w:after="40"/>
              <w:jc w:val="both"/>
              <w:rPr>
                <w:rFonts w:cs="Segoe UI"/>
                <w:sz w:val="17"/>
                <w:szCs w:val="17"/>
                <w:lang w:eastAsia="zh-TW"/>
              </w:rPr>
            </w:pPr>
            <w:r>
              <w:rPr>
                <w:rFonts w:eastAsia="細明體" w:cs="Segoe UI" w:hint="eastAsia"/>
                <w:i/>
                <w:sz w:val="17"/>
                <w:szCs w:val="17"/>
                <w:lang w:eastAsia="zh-TW"/>
              </w:rPr>
              <w:t>未賺取信用利差</w:t>
            </w:r>
            <w:r>
              <w:rPr>
                <w:rFonts w:ascii="細明體" w:eastAsia="細明體" w:hAnsi="細明體" w:cs="細明體" w:hint="eastAsia"/>
                <w:sz w:val="17"/>
                <w:szCs w:val="17"/>
                <w:lang w:eastAsia="zh-TW"/>
              </w:rPr>
              <w:t>：</w:t>
            </w:r>
            <w:proofErr w:type="spellStart"/>
            <w:r>
              <w:rPr>
                <w:rFonts w:asciiTheme="minorEastAsia" w:hAnsiTheme="minorEastAsia" w:cs="Segoe UI" w:hint="eastAsia"/>
                <w:sz w:val="17"/>
                <w:szCs w:val="17"/>
                <w:lang w:eastAsia="zh-TW"/>
              </w:rPr>
              <w:t>計及</w:t>
            </w:r>
            <w:proofErr w:type="spellEnd"/>
            <w:r>
              <w:rPr>
                <w:rFonts w:ascii="細明體" w:eastAsia="細明體" w:hAnsi="細明體" w:cs="細明體" w:hint="eastAsia"/>
                <w:sz w:val="17"/>
                <w:szCs w:val="17"/>
                <w:lang w:eastAsia="zh-TW"/>
              </w:rPr>
              <w:t>調整的估值不確定性，並為使因衍生工具持倉對手方違責所引致的預期虧損現值得以反映而須作出的估值調整（包括</w:t>
            </w:r>
            <w:r>
              <w:rPr>
                <w:rFonts w:cs="Segoe UI"/>
                <w:sz w:val="17"/>
                <w:szCs w:val="17"/>
                <w:lang w:eastAsia="zh-TW"/>
              </w:rPr>
              <w:t>CVA</w:t>
            </w:r>
            <w:r>
              <w:rPr>
                <w:rFonts w:ascii="細明體" w:eastAsia="細明體" w:hAnsi="細明體" w:cs="細明體" w:hint="eastAsia"/>
                <w:sz w:val="17"/>
                <w:szCs w:val="17"/>
                <w:lang w:eastAsia="zh-TW"/>
              </w:rPr>
              <w:t>的估值不確定性）。</w:t>
            </w:r>
          </w:p>
        </w:tc>
      </w:tr>
      <w:tr w:rsidR="00645EA1" w14:paraId="4A057245"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48491C25"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10</w:t>
            </w:r>
          </w:p>
        </w:tc>
        <w:tc>
          <w:tcPr>
            <w:tcW w:w="8647" w:type="dxa"/>
            <w:tcBorders>
              <w:top w:val="single" w:sz="4" w:space="0" w:color="auto"/>
              <w:left w:val="single" w:sz="4" w:space="0" w:color="auto"/>
              <w:bottom w:val="single" w:sz="4" w:space="0" w:color="auto"/>
              <w:right w:val="single" w:sz="4" w:space="0" w:color="auto"/>
            </w:tcBorders>
            <w:hideMark/>
          </w:tcPr>
          <w:p w14:paraId="37C98BD0" w14:textId="77777777" w:rsidR="00645EA1" w:rsidRDefault="00645EA1">
            <w:pPr>
              <w:keepLines/>
              <w:widowControl w:val="0"/>
              <w:tabs>
                <w:tab w:val="left" w:pos="397"/>
                <w:tab w:val="left" w:pos="794"/>
                <w:tab w:val="left" w:pos="1191"/>
              </w:tabs>
              <w:spacing w:before="40" w:after="40"/>
              <w:jc w:val="both"/>
              <w:rPr>
                <w:rFonts w:cs="Segoe UI"/>
                <w:sz w:val="17"/>
                <w:szCs w:val="17"/>
                <w:lang w:eastAsia="zh-TW"/>
              </w:rPr>
            </w:pPr>
            <w:r>
              <w:rPr>
                <w:rFonts w:eastAsia="新細明體" w:cs="Segoe UI" w:hint="eastAsia"/>
                <w:i/>
                <w:color w:val="000000"/>
                <w:sz w:val="17"/>
                <w:szCs w:val="17"/>
                <w:lang w:eastAsia="zh-TW"/>
              </w:rPr>
              <w:t>將來</w:t>
            </w:r>
            <w:r>
              <w:rPr>
                <w:rFonts w:eastAsia="細明體" w:cs="Segoe UI" w:hint="eastAsia"/>
                <w:i/>
                <w:sz w:val="17"/>
                <w:szCs w:val="17"/>
                <w:lang w:eastAsia="zh-TW"/>
              </w:rPr>
              <w:t>行政管理成本</w:t>
            </w:r>
            <w:r>
              <w:rPr>
                <w:rFonts w:ascii="細明體" w:eastAsia="細明體" w:hAnsi="細明體" w:cs="細明體" w:hint="eastAsia"/>
                <w:sz w:val="17"/>
                <w:szCs w:val="17"/>
                <w:lang w:eastAsia="zh-TW"/>
              </w:rPr>
              <w:t>：</w:t>
            </w:r>
            <w:proofErr w:type="spellStart"/>
            <w:r>
              <w:rPr>
                <w:rFonts w:asciiTheme="minorEastAsia" w:hAnsiTheme="minorEastAsia" w:cs="Segoe UI" w:hint="eastAsia"/>
                <w:sz w:val="17"/>
                <w:szCs w:val="17"/>
                <w:lang w:eastAsia="zh-TW"/>
              </w:rPr>
              <w:t>計及</w:t>
            </w:r>
            <w:proofErr w:type="spellEnd"/>
            <w:r>
              <w:rPr>
                <w:rFonts w:ascii="細明體" w:eastAsia="細明體" w:hAnsi="細明體" w:cs="細明體" w:hint="eastAsia"/>
                <w:sz w:val="17"/>
                <w:szCs w:val="17"/>
                <w:lang w:eastAsia="zh-TW"/>
              </w:rPr>
              <w:t>在沒有應用直接平倉價為終止成本的有關風險承擔，為其在預期期限內的行政管理成本及</w:t>
            </w:r>
            <w:r>
              <w:rPr>
                <w:rFonts w:eastAsia="新細明體" w:cs="Segoe UI" w:hint="eastAsia"/>
                <w:color w:val="000000"/>
                <w:sz w:val="17"/>
                <w:szCs w:val="17"/>
                <w:lang w:eastAsia="zh-TW"/>
              </w:rPr>
              <w:t>將</w:t>
            </w:r>
            <w:r>
              <w:rPr>
                <w:rFonts w:ascii="細明體" w:eastAsia="細明體" w:hAnsi="細明體" w:cs="細明體" w:hint="eastAsia"/>
                <w:sz w:val="17"/>
                <w:szCs w:val="17"/>
                <w:lang w:eastAsia="zh-TW"/>
              </w:rPr>
              <w:t>來對沖成本而作出的估值調整。該等</w:t>
            </w:r>
            <w:r>
              <w:rPr>
                <w:rFonts w:eastAsia="新細明體" w:cs="Segoe UI" w:hint="eastAsia"/>
                <w:color w:val="000000"/>
                <w:sz w:val="17"/>
                <w:szCs w:val="17"/>
                <w:lang w:eastAsia="zh-TW"/>
              </w:rPr>
              <w:t>將</w:t>
            </w:r>
            <w:r>
              <w:rPr>
                <w:rFonts w:ascii="細明體" w:eastAsia="細明體" w:hAnsi="細明體" w:cs="細明體" w:hint="eastAsia"/>
                <w:sz w:val="17"/>
                <w:szCs w:val="17"/>
                <w:lang w:eastAsia="zh-TW"/>
              </w:rPr>
              <w:t>來行政管理成本（因有關組合或持倉所引致，但並未反映於核心估值模式或用作校準該模式的進項的價格者）的估值調整，應包含因組合內合約的對沖、行政管理及交收而產生的業務操作成本。</w:t>
            </w:r>
          </w:p>
        </w:tc>
      </w:tr>
      <w:tr w:rsidR="00645EA1" w14:paraId="6E7A788A"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4DFD9463"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11</w:t>
            </w:r>
          </w:p>
        </w:tc>
        <w:tc>
          <w:tcPr>
            <w:tcW w:w="8647" w:type="dxa"/>
            <w:tcBorders>
              <w:top w:val="single" w:sz="4" w:space="0" w:color="auto"/>
              <w:left w:val="single" w:sz="4" w:space="0" w:color="auto"/>
              <w:bottom w:val="single" w:sz="4" w:space="0" w:color="auto"/>
              <w:right w:val="single" w:sz="4" w:space="0" w:color="auto"/>
            </w:tcBorders>
            <w:hideMark/>
          </w:tcPr>
          <w:p w14:paraId="14327335" w14:textId="77777777" w:rsidR="00645EA1" w:rsidRDefault="00645EA1">
            <w:pPr>
              <w:keepLines/>
              <w:spacing w:before="40" w:after="40"/>
              <w:jc w:val="both"/>
              <w:rPr>
                <w:rFonts w:eastAsiaTheme="minorEastAsia" w:cs="Segoe UI"/>
                <w:noProof/>
                <w:sz w:val="17"/>
                <w:szCs w:val="17"/>
                <w:highlight w:val="yellow"/>
                <w:lang w:eastAsia="zh-TW"/>
              </w:rPr>
            </w:pPr>
            <w:r>
              <w:rPr>
                <w:rFonts w:ascii="細明體" w:eastAsia="細明體" w:hAnsi="細明體" w:cs="細明體" w:hint="eastAsia"/>
                <w:i/>
                <w:noProof/>
                <w:sz w:val="17"/>
                <w:szCs w:val="17"/>
                <w:lang w:eastAsia="zh-TW"/>
              </w:rPr>
              <w:t>其他調整</w:t>
            </w:r>
            <w:r>
              <w:rPr>
                <w:rFonts w:ascii="細明體" w:eastAsia="細明體" w:hAnsi="細明體" w:cs="細明體" w:hint="eastAsia"/>
                <w:sz w:val="17"/>
                <w:szCs w:val="17"/>
                <w:lang w:eastAsia="zh-TW"/>
              </w:rPr>
              <w:t>：</w:t>
            </w:r>
            <w:proofErr w:type="spellStart"/>
            <w:r>
              <w:rPr>
                <w:rFonts w:asciiTheme="minorEastAsia" w:hAnsiTheme="minorEastAsia" w:cs="Segoe UI" w:hint="eastAsia"/>
                <w:sz w:val="17"/>
                <w:szCs w:val="17"/>
                <w:lang w:eastAsia="zh-TW"/>
              </w:rPr>
              <w:t>計及</w:t>
            </w:r>
            <w:proofErr w:type="spellEnd"/>
            <w:r>
              <w:rPr>
                <w:rFonts w:ascii="細明體" w:eastAsia="細明體" w:hAnsi="細明體" w:cs="細明體" w:hint="eastAsia"/>
                <w:sz w:val="17"/>
                <w:szCs w:val="17"/>
                <w:lang w:eastAsia="zh-TW"/>
              </w:rPr>
              <w:t>會影響平倉價但並未包括在以上第</w:t>
            </w:r>
            <w:r>
              <w:rPr>
                <w:rFonts w:cs="Segoe UI"/>
                <w:sz w:val="17"/>
                <w:szCs w:val="17"/>
                <w:lang w:eastAsia="zh-TW"/>
              </w:rPr>
              <w:t>1</w:t>
            </w:r>
            <w:r>
              <w:rPr>
                <w:rFonts w:ascii="細明體" w:eastAsia="細明體" w:hAnsi="細明體" w:cs="細明體" w:hint="eastAsia"/>
                <w:sz w:val="17"/>
                <w:szCs w:val="17"/>
                <w:lang w:eastAsia="zh-TW"/>
              </w:rPr>
              <w:t>至</w:t>
            </w:r>
            <w:r>
              <w:rPr>
                <w:rFonts w:cs="Segoe UI"/>
                <w:sz w:val="17"/>
                <w:szCs w:val="17"/>
                <w:lang w:eastAsia="zh-TW"/>
              </w:rPr>
              <w:t>10</w:t>
            </w:r>
            <w:r>
              <w:rPr>
                <w:rFonts w:ascii="細明體" w:eastAsia="細明體" w:hAnsi="細明體" w:cs="細明體" w:hint="eastAsia"/>
                <w:sz w:val="17"/>
                <w:szCs w:val="17"/>
                <w:lang w:eastAsia="zh-TW"/>
              </w:rPr>
              <w:t>行所列類別內的其他因素而作出的估值調整。認可機構應在</w:t>
            </w:r>
            <w:r>
              <w:rPr>
                <w:rFonts w:eastAsia="細明體" w:cs="Segoe UI" w:hint="eastAsia"/>
                <w:sz w:val="17"/>
                <w:szCs w:val="17"/>
                <w:lang w:eastAsia="zh-TW"/>
              </w:rPr>
              <w:t>敘述評註</w:t>
            </w:r>
            <w:r>
              <w:rPr>
                <w:rFonts w:ascii="細明體" w:eastAsia="細明體" w:hAnsi="細明體" w:cs="細明體" w:hint="eastAsia"/>
                <w:sz w:val="17"/>
                <w:szCs w:val="17"/>
                <w:lang w:eastAsia="zh-TW"/>
              </w:rPr>
              <w:t>中披露該等因素，以補助在本模版所作的披露。</w:t>
            </w:r>
          </w:p>
        </w:tc>
      </w:tr>
      <w:tr w:rsidR="00645EA1" w14:paraId="65D8E0DF" w14:textId="77777777" w:rsidTr="00645EA1">
        <w:tc>
          <w:tcPr>
            <w:tcW w:w="567" w:type="dxa"/>
            <w:tcBorders>
              <w:top w:val="single" w:sz="4" w:space="0" w:color="auto"/>
              <w:left w:val="single" w:sz="4" w:space="0" w:color="auto"/>
              <w:bottom w:val="single" w:sz="4" w:space="0" w:color="auto"/>
              <w:right w:val="single" w:sz="4" w:space="0" w:color="auto"/>
            </w:tcBorders>
            <w:hideMark/>
          </w:tcPr>
          <w:p w14:paraId="6B6F407D" w14:textId="77777777" w:rsidR="00645EA1" w:rsidRDefault="00645EA1">
            <w:pPr>
              <w:keepLines/>
              <w:widowControl w:val="0"/>
              <w:tabs>
                <w:tab w:val="left" w:pos="150"/>
                <w:tab w:val="left" w:pos="397"/>
                <w:tab w:val="left" w:pos="794"/>
                <w:tab w:val="left" w:pos="1191"/>
              </w:tabs>
              <w:spacing w:before="40" w:after="40"/>
              <w:rPr>
                <w:rFonts w:cs="Segoe UI"/>
                <w:sz w:val="17"/>
                <w:szCs w:val="17"/>
              </w:rPr>
            </w:pPr>
            <w:r>
              <w:rPr>
                <w:rFonts w:cs="Segoe UI"/>
                <w:sz w:val="17"/>
                <w:szCs w:val="17"/>
              </w:rPr>
              <w:t>12</w:t>
            </w:r>
          </w:p>
        </w:tc>
        <w:tc>
          <w:tcPr>
            <w:tcW w:w="8647" w:type="dxa"/>
            <w:tcBorders>
              <w:top w:val="single" w:sz="4" w:space="0" w:color="auto"/>
              <w:left w:val="single" w:sz="4" w:space="0" w:color="auto"/>
              <w:bottom w:val="single" w:sz="4" w:space="0" w:color="auto"/>
              <w:right w:val="single" w:sz="4" w:space="0" w:color="auto"/>
            </w:tcBorders>
            <w:hideMark/>
          </w:tcPr>
          <w:p w14:paraId="2609ED14" w14:textId="77777777" w:rsidR="00645EA1" w:rsidRDefault="00645EA1">
            <w:pPr>
              <w:keepLines/>
              <w:spacing w:before="40" w:after="40"/>
              <w:jc w:val="both"/>
              <w:rPr>
                <w:rFonts w:cs="Segoe UI"/>
                <w:i/>
                <w:noProof/>
                <w:sz w:val="17"/>
                <w:szCs w:val="17"/>
              </w:rPr>
            </w:pPr>
            <w:r>
              <w:rPr>
                <w:rFonts w:ascii="細明體" w:eastAsia="細明體" w:hAnsi="細明體" w:cs="細明體" w:hint="eastAsia"/>
                <w:i/>
                <w:noProof/>
                <w:sz w:val="17"/>
                <w:szCs w:val="17"/>
              </w:rPr>
              <w:t>調整總額</w:t>
            </w:r>
            <w:r>
              <w:rPr>
                <w:rFonts w:ascii="細明體" w:eastAsia="細明體" w:hAnsi="細明體" w:cs="細明體" w:hint="eastAsia"/>
                <w:sz w:val="17"/>
                <w:szCs w:val="17"/>
              </w:rPr>
              <w:t>：</w:t>
            </w:r>
            <w:r>
              <w:rPr>
                <w:rFonts w:cs="Segoe UI"/>
                <w:sz w:val="17"/>
                <w:szCs w:val="17"/>
              </w:rPr>
              <w:t>[PV1:12/</w:t>
            </w:r>
            <w:proofErr w:type="gramStart"/>
            <w:r>
              <w:rPr>
                <w:rFonts w:cs="Segoe UI"/>
                <w:sz w:val="17"/>
                <w:szCs w:val="17"/>
              </w:rPr>
              <w:t>f]</w:t>
            </w:r>
            <w:proofErr w:type="spellStart"/>
            <w:r>
              <w:rPr>
                <w:rFonts w:ascii="細明體" w:eastAsia="細明體" w:hAnsi="細明體" w:cs="細明體" w:hint="eastAsia"/>
                <w:sz w:val="17"/>
                <w:szCs w:val="17"/>
              </w:rPr>
              <w:t>的值應相等於</w:t>
            </w:r>
            <w:proofErr w:type="spellEnd"/>
            <w:proofErr w:type="gramEnd"/>
            <w:r>
              <w:rPr>
                <w:rFonts w:cs="Segoe UI"/>
                <w:sz w:val="17"/>
                <w:szCs w:val="17"/>
              </w:rPr>
              <w:t>[CC1:7/a]</w:t>
            </w:r>
            <w:proofErr w:type="spellStart"/>
            <w:r>
              <w:rPr>
                <w:rFonts w:ascii="細明體" w:eastAsia="細明體" w:hAnsi="細明體" w:cs="細明體" w:hint="eastAsia"/>
                <w:sz w:val="17"/>
                <w:szCs w:val="17"/>
              </w:rPr>
              <w:t>的值</w:t>
            </w:r>
            <w:proofErr w:type="spellEnd"/>
            <w:r>
              <w:rPr>
                <w:rFonts w:ascii="細明體" w:eastAsia="細明體" w:hAnsi="細明體" w:cs="細明體" w:hint="eastAsia"/>
                <w:sz w:val="17"/>
                <w:szCs w:val="17"/>
              </w:rPr>
              <w:t>。</w:t>
            </w:r>
          </w:p>
        </w:tc>
      </w:tr>
    </w:tbl>
    <w:p w14:paraId="4C37A53A" w14:textId="77777777" w:rsidR="00645EA1" w:rsidRPr="00CA7301" w:rsidRDefault="00645EA1">
      <w:pPr>
        <w:rPr>
          <w:rFonts w:eastAsiaTheme="minorEastAsia" w:cs="Segoe UI"/>
          <w:lang w:val="en-US" w:eastAsia="zh-TW"/>
        </w:rPr>
        <w:sectPr w:rsidR="00645EA1" w:rsidRPr="00CA7301">
          <w:footerReference w:type="default" r:id="rId22"/>
          <w:pgSz w:w="11906" w:h="16838"/>
          <w:pgMar w:top="1440" w:right="1800" w:bottom="1440" w:left="1800" w:header="851" w:footer="992" w:gutter="0"/>
          <w:cols w:space="425"/>
          <w:docGrid w:type="lines" w:linePitch="360"/>
        </w:sectPr>
      </w:pPr>
    </w:p>
    <w:p w14:paraId="0DCA7039" w14:textId="77777777" w:rsidR="00CA1B87" w:rsidRPr="00CA7301" w:rsidRDefault="00CA1B87" w:rsidP="00CA1B87">
      <w:pPr>
        <w:keepNext/>
        <w:keepLines/>
        <w:tabs>
          <w:tab w:val="left" w:pos="426"/>
        </w:tabs>
        <w:spacing w:after="360"/>
        <w:ind w:leftChars="-283" w:left="-566"/>
        <w:outlineLvl w:val="0"/>
        <w:rPr>
          <w:rFonts w:cs="Segoe UI"/>
          <w:color w:val="AA322F"/>
          <w:sz w:val="28"/>
          <w:lang w:eastAsia="zh-TW"/>
        </w:rPr>
      </w:pPr>
      <w:r w:rsidRPr="00CA7301">
        <w:rPr>
          <w:rFonts w:eastAsiaTheme="minorEastAsia" w:cs="Segoe UI"/>
          <w:color w:val="AA322F"/>
          <w:sz w:val="28"/>
          <w:lang w:eastAsia="zh-TW"/>
        </w:rPr>
        <w:t>第</w:t>
      </w:r>
      <w:r w:rsidRPr="00CA7301">
        <w:rPr>
          <w:rFonts w:cs="Segoe UI"/>
          <w:color w:val="AA322F"/>
          <w:sz w:val="28"/>
          <w:lang w:eastAsia="zh-TW"/>
        </w:rPr>
        <w:t>IIA</w:t>
      </w:r>
      <w:r w:rsidRPr="00CA7301">
        <w:rPr>
          <w:rFonts w:eastAsiaTheme="minorEastAsia" w:cs="Segoe UI"/>
          <w:color w:val="AA322F"/>
          <w:sz w:val="28"/>
          <w:lang w:eastAsia="zh-TW"/>
        </w:rPr>
        <w:t>部：</w:t>
      </w:r>
      <w:bookmarkStart w:id="2" w:name="_Toc373220159"/>
      <w:bookmarkStart w:id="3" w:name="_Toc378352952"/>
      <w:r w:rsidRPr="00CA7301">
        <w:rPr>
          <w:rFonts w:eastAsiaTheme="minorEastAsia" w:cs="Segoe UI"/>
          <w:color w:val="AA322F"/>
          <w:sz w:val="28"/>
          <w:lang w:eastAsia="zh-TW"/>
        </w:rPr>
        <w:t>監管資本的組成</w:t>
      </w:r>
    </w:p>
    <w:p w14:paraId="0A5B0F80" w14:textId="49ECF318" w:rsidR="00EB4D73" w:rsidRPr="00EB4D73" w:rsidRDefault="00EB4D73" w:rsidP="00EB4D73">
      <w:pPr>
        <w:pStyle w:val="Heading2"/>
        <w:keepNext w:val="0"/>
        <w:suppressAutoHyphens w:val="0"/>
        <w:spacing w:before="40" w:line="240" w:lineRule="auto"/>
        <w:ind w:left="-454"/>
        <w:rPr>
          <w:rFonts w:ascii="細明體" w:eastAsia="細明體" w:hAnsi="細明體"/>
          <w:b w:val="0"/>
          <w:bCs w:val="0"/>
          <w:sz w:val="22"/>
          <w:szCs w:val="20"/>
          <w:lang w:eastAsia="zh-TW"/>
        </w:rPr>
      </w:pPr>
      <w:r w:rsidRPr="00EB4D73">
        <w:rPr>
          <w:rFonts w:ascii="細明體" w:eastAsia="細明體" w:hAnsi="細明體" w:cs="微軟正黑體" w:hint="eastAsia"/>
          <w:b w:val="0"/>
          <w:bCs w:val="0"/>
          <w:sz w:val="22"/>
          <w:szCs w:val="20"/>
          <w:lang w:eastAsia="zh-TW"/>
        </w:rPr>
        <w:t>模版</w:t>
      </w:r>
      <w:r w:rsidRPr="00EB4D73">
        <w:rPr>
          <w:rFonts w:ascii="Segoe UI" w:eastAsia="細明體" w:hAnsi="Segoe UI" w:cs="Segoe UI"/>
          <w:b w:val="0"/>
          <w:bCs w:val="0"/>
          <w:sz w:val="22"/>
          <w:szCs w:val="20"/>
          <w:lang w:eastAsia="zh-TW"/>
        </w:rPr>
        <w:t>CC1</w:t>
      </w:r>
      <w:r w:rsidRPr="00EB4D73">
        <w:rPr>
          <w:rFonts w:ascii="細明體" w:eastAsia="細明體" w:hAnsi="細明體" w:cs="微軟正黑體" w:hint="eastAsia"/>
          <w:b w:val="0"/>
          <w:bCs w:val="0"/>
          <w:sz w:val="22"/>
          <w:szCs w:val="20"/>
          <w:lang w:eastAsia="zh-TW"/>
        </w:rPr>
        <w:t>：監管資本的組成</w:t>
      </w:r>
    </w:p>
    <w:tbl>
      <w:tblPr>
        <w:tblW w:w="9106"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946"/>
      </w:tblGrid>
      <w:tr w:rsidR="00CA1B87" w:rsidRPr="00CA7301" w14:paraId="17DD024F" w14:textId="77777777" w:rsidTr="00B64781">
        <w:tc>
          <w:tcPr>
            <w:tcW w:w="2160" w:type="dxa"/>
          </w:tcPr>
          <w:bookmarkEnd w:id="2"/>
          <w:bookmarkEnd w:id="3"/>
          <w:p w14:paraId="5679CF85" w14:textId="77777777" w:rsidR="00CA1B87" w:rsidRPr="00CA7301" w:rsidRDefault="00CA1B87" w:rsidP="00CA1B87">
            <w:pPr>
              <w:spacing w:before="40" w:after="40"/>
              <w:rPr>
                <w:rFonts w:cs="Segoe UI"/>
                <w:noProof/>
                <w:sz w:val="17"/>
                <w:lang w:eastAsia="en-GB"/>
              </w:rPr>
            </w:pPr>
            <w:r w:rsidRPr="00CA7301">
              <w:rPr>
                <w:rFonts w:eastAsiaTheme="minorEastAsia" w:cs="Segoe UI"/>
                <w:b/>
                <w:sz w:val="17"/>
                <w:lang w:eastAsia="zh-TW"/>
              </w:rPr>
              <w:t>目的：</w:t>
            </w:r>
          </w:p>
        </w:tc>
        <w:tc>
          <w:tcPr>
            <w:tcW w:w="6946" w:type="dxa"/>
          </w:tcPr>
          <w:p w14:paraId="1A1AF95C" w14:textId="77777777" w:rsidR="00CA1B87" w:rsidRPr="00CA7301" w:rsidRDefault="00CA1B87" w:rsidP="00CA1B87">
            <w:pPr>
              <w:spacing w:before="40" w:after="40"/>
              <w:jc w:val="both"/>
              <w:rPr>
                <w:rFonts w:cs="Segoe UI"/>
                <w:sz w:val="17"/>
                <w:lang w:eastAsia="zh-TW"/>
              </w:rPr>
            </w:pPr>
            <w:r w:rsidRPr="00CA7301">
              <w:rPr>
                <w:rFonts w:eastAsiaTheme="minorEastAsia" w:cs="Segoe UI"/>
                <w:sz w:val="17"/>
                <w:lang w:eastAsia="zh-TW"/>
              </w:rPr>
              <w:t>提供總資本構成要素的細目分類。</w:t>
            </w:r>
          </w:p>
        </w:tc>
      </w:tr>
      <w:tr w:rsidR="00CA1B87" w:rsidRPr="00CA7301" w14:paraId="6554417F" w14:textId="77777777" w:rsidTr="00B64781">
        <w:tc>
          <w:tcPr>
            <w:tcW w:w="2160" w:type="dxa"/>
          </w:tcPr>
          <w:p w14:paraId="14AE59E8" w14:textId="77777777" w:rsidR="00CA1B87" w:rsidRPr="00CA7301" w:rsidRDefault="00CA1B87" w:rsidP="00CA1B87">
            <w:pPr>
              <w:spacing w:before="40" w:after="40"/>
              <w:rPr>
                <w:rFonts w:cs="Segoe UI"/>
                <w:b/>
                <w:sz w:val="17"/>
                <w:lang w:eastAsia="en-GB"/>
              </w:rPr>
            </w:pPr>
            <w:r w:rsidRPr="00CA7301">
              <w:rPr>
                <w:rFonts w:eastAsiaTheme="minorEastAsia" w:cs="Segoe UI"/>
                <w:b/>
                <w:sz w:val="17"/>
                <w:lang w:eastAsia="zh-TW"/>
              </w:rPr>
              <w:t>適用範圍：</w:t>
            </w:r>
          </w:p>
        </w:tc>
        <w:tc>
          <w:tcPr>
            <w:tcW w:w="6946" w:type="dxa"/>
          </w:tcPr>
          <w:p w14:paraId="7FBBDE83" w14:textId="77777777" w:rsidR="00CA1B87" w:rsidRPr="00CA7301" w:rsidRDefault="00CA1B87" w:rsidP="00CA1B87">
            <w:pPr>
              <w:spacing w:before="40" w:after="40"/>
              <w:jc w:val="both"/>
              <w:rPr>
                <w:rFonts w:eastAsiaTheme="minorEastAsia" w:cs="Segoe UI"/>
                <w:b/>
                <w:sz w:val="17"/>
                <w:lang w:val="en-US" w:eastAsia="zh-TW"/>
              </w:rPr>
            </w:pPr>
            <w:r w:rsidRPr="00CA7301">
              <w:rPr>
                <w:rFonts w:eastAsia="細明體" w:cs="Segoe UI"/>
                <w:sz w:val="17"/>
                <w:szCs w:val="17"/>
                <w:lang w:eastAsia="zh-TW"/>
              </w:rPr>
              <w:t>所有在香港成立</w:t>
            </w:r>
            <w:proofErr w:type="gramStart"/>
            <w:r w:rsidRPr="00CA7301">
              <w:rPr>
                <w:rFonts w:eastAsia="細明體" w:cs="Segoe UI"/>
                <w:sz w:val="17"/>
                <w:szCs w:val="17"/>
                <w:lang w:eastAsia="zh-TW"/>
              </w:rPr>
              <w:t>為法團的</w:t>
            </w:r>
            <w:proofErr w:type="gramEnd"/>
            <w:r w:rsidRPr="00CA7301">
              <w:rPr>
                <w:rFonts w:eastAsia="細明體" w:cs="Segoe UI"/>
                <w:sz w:val="17"/>
                <w:szCs w:val="17"/>
                <w:lang w:eastAsia="zh-TW"/>
              </w:rPr>
              <w:t>認可機構</w:t>
            </w:r>
            <w:proofErr w:type="gramStart"/>
            <w:r w:rsidRPr="00CA7301">
              <w:rPr>
                <w:rFonts w:eastAsia="細明體" w:cs="Segoe UI"/>
                <w:sz w:val="17"/>
                <w:szCs w:val="17"/>
                <w:lang w:eastAsia="zh-TW"/>
              </w:rPr>
              <w:t>均須填報本模</w:t>
            </w:r>
            <w:proofErr w:type="gramEnd"/>
            <w:r w:rsidRPr="00CA7301">
              <w:rPr>
                <w:rFonts w:eastAsia="細明體" w:cs="Segoe UI"/>
                <w:sz w:val="17"/>
                <w:szCs w:val="17"/>
                <w:lang w:eastAsia="zh-TW"/>
              </w:rPr>
              <w:t>版</w:t>
            </w:r>
            <w:r w:rsidRPr="00CA7301">
              <w:rPr>
                <w:rFonts w:eastAsiaTheme="minorEastAsia" w:cs="Segoe UI"/>
                <w:sz w:val="17"/>
                <w:szCs w:val="17"/>
                <w:lang w:eastAsia="zh-TW"/>
              </w:rPr>
              <w:t>。</w:t>
            </w:r>
          </w:p>
        </w:tc>
      </w:tr>
      <w:tr w:rsidR="00CA1B87" w:rsidRPr="00CA7301" w14:paraId="32765393" w14:textId="77777777" w:rsidTr="00B64781">
        <w:tc>
          <w:tcPr>
            <w:tcW w:w="2160" w:type="dxa"/>
          </w:tcPr>
          <w:p w14:paraId="6C61935B" w14:textId="77777777" w:rsidR="00CA1B87" w:rsidRPr="00CA7301" w:rsidRDefault="00CA1B87" w:rsidP="00CA1B87">
            <w:pPr>
              <w:spacing w:before="40" w:after="40"/>
              <w:rPr>
                <w:rFonts w:cs="Segoe UI"/>
                <w:b/>
                <w:sz w:val="17"/>
                <w:lang w:eastAsia="en-GB"/>
              </w:rPr>
            </w:pPr>
            <w:r w:rsidRPr="00CA7301">
              <w:rPr>
                <w:rFonts w:eastAsiaTheme="minorEastAsia" w:cs="Segoe UI"/>
                <w:b/>
                <w:sz w:val="17"/>
                <w:lang w:eastAsia="zh-TW"/>
              </w:rPr>
              <w:t>內容：</w:t>
            </w:r>
          </w:p>
        </w:tc>
        <w:tc>
          <w:tcPr>
            <w:tcW w:w="6946" w:type="dxa"/>
          </w:tcPr>
          <w:p w14:paraId="765EEB50" w14:textId="77777777" w:rsidR="00CA1B87" w:rsidRPr="00CA7301" w:rsidRDefault="00CA1B87" w:rsidP="00CA1B87">
            <w:pPr>
              <w:spacing w:before="40" w:after="40"/>
              <w:jc w:val="both"/>
              <w:rPr>
                <w:rFonts w:eastAsiaTheme="minorEastAsia" w:cs="Segoe UI"/>
                <w:sz w:val="17"/>
                <w:szCs w:val="17"/>
                <w:lang w:eastAsia="zh-TW"/>
              </w:rPr>
            </w:pPr>
            <w:r w:rsidRPr="00CA7301">
              <w:rPr>
                <w:rFonts w:eastAsiaTheme="minorEastAsia" w:cs="Segoe UI"/>
                <w:sz w:val="17"/>
                <w:szCs w:val="17"/>
                <w:lang w:eastAsia="zh-TW"/>
              </w:rPr>
              <w:t>根據監管綜合範圍作出的監管資本細目分類。認可機構就披露的報告日期（例如四月底、十月底）如有別於「資本充足比率申報表」</w:t>
            </w:r>
            <w:r w:rsidRPr="00CA7301">
              <w:rPr>
                <w:rFonts w:cs="Segoe UI"/>
                <w:sz w:val="17"/>
                <w:szCs w:val="17"/>
                <w:lang w:eastAsia="zh-TW"/>
              </w:rPr>
              <w:t>(MA(BS)3)</w:t>
            </w:r>
            <w:r w:rsidRPr="00CA7301">
              <w:rPr>
                <w:rFonts w:eastAsiaTheme="minorEastAsia" w:cs="Segoe UI"/>
                <w:sz w:val="17"/>
                <w:szCs w:val="17"/>
                <w:lang w:eastAsia="zh-TW"/>
              </w:rPr>
              <w:t xml:space="preserve"> </w:t>
            </w:r>
            <w:r w:rsidRPr="00CA7301">
              <w:rPr>
                <w:rFonts w:eastAsiaTheme="minorEastAsia" w:cs="Segoe UI"/>
                <w:sz w:val="17"/>
                <w:szCs w:val="17"/>
                <w:lang w:eastAsia="zh-TW"/>
              </w:rPr>
              <w:t>的</w:t>
            </w:r>
            <w:r w:rsidRPr="00CA7301">
              <w:rPr>
                <w:rFonts w:eastAsia="細明體" w:cs="Segoe UI"/>
                <w:sz w:val="17"/>
                <w:lang w:eastAsia="zh-TW"/>
              </w:rPr>
              <w:t>狀況日期</w:t>
            </w:r>
            <w:r w:rsidRPr="00CA7301">
              <w:rPr>
                <w:rFonts w:eastAsiaTheme="minorEastAsia" w:cs="Segoe UI"/>
                <w:sz w:val="17"/>
                <w:szCs w:val="17"/>
                <w:lang w:eastAsia="zh-TW"/>
              </w:rPr>
              <w:t>（即三月底、六月底、九月底、十二月底），認可機構應根據本身的報告日期</w:t>
            </w:r>
            <w:proofErr w:type="gramStart"/>
            <w:r w:rsidRPr="00CA7301">
              <w:rPr>
                <w:rFonts w:eastAsiaTheme="minorEastAsia" w:cs="Segoe UI"/>
                <w:sz w:val="17"/>
                <w:szCs w:val="17"/>
                <w:lang w:eastAsia="zh-TW"/>
              </w:rPr>
              <w:t>披露本模版</w:t>
            </w:r>
            <w:proofErr w:type="gramEnd"/>
            <w:r w:rsidRPr="00CA7301">
              <w:rPr>
                <w:rFonts w:eastAsiaTheme="minorEastAsia" w:cs="Segoe UI"/>
                <w:sz w:val="17"/>
                <w:szCs w:val="17"/>
                <w:lang w:eastAsia="zh-TW"/>
              </w:rPr>
              <w:t>。然而，在此情況下，</w:t>
            </w:r>
            <w:proofErr w:type="gramStart"/>
            <w:r w:rsidRPr="00CA7301">
              <w:rPr>
                <w:rFonts w:eastAsiaTheme="minorEastAsia" w:cs="Segoe UI"/>
                <w:sz w:val="17"/>
                <w:szCs w:val="17"/>
                <w:lang w:eastAsia="zh-TW"/>
              </w:rPr>
              <w:t>本模版</w:t>
            </w:r>
            <w:proofErr w:type="gramEnd"/>
            <w:r w:rsidRPr="00CA7301">
              <w:rPr>
                <w:rFonts w:eastAsiaTheme="minorEastAsia" w:cs="Segoe UI"/>
                <w:sz w:val="17"/>
                <w:szCs w:val="17"/>
                <w:lang w:eastAsia="zh-TW"/>
              </w:rPr>
              <w:t>所披露的數值的計算基</w:t>
            </w:r>
            <w:r w:rsidRPr="00CA7301">
              <w:rPr>
                <w:rFonts w:eastAsiaTheme="minorEastAsia" w:cs="Segoe UI"/>
                <w:sz w:val="17"/>
                <w:lang w:eastAsia="zh-TW"/>
              </w:rPr>
              <w:t>礎</w:t>
            </w:r>
            <w:r w:rsidRPr="00CA7301">
              <w:rPr>
                <w:rFonts w:eastAsiaTheme="minorEastAsia" w:cs="Segoe UI"/>
                <w:sz w:val="17"/>
                <w:szCs w:val="17"/>
                <w:lang w:eastAsia="zh-TW"/>
              </w:rPr>
              <w:t>應沿用</w:t>
            </w:r>
            <w:r w:rsidRPr="00CA7301">
              <w:rPr>
                <w:rFonts w:eastAsiaTheme="minorEastAsia" w:cs="Segoe UI"/>
                <w:sz w:val="17"/>
                <w:lang w:eastAsia="zh-TW"/>
              </w:rPr>
              <w:t>該</w:t>
            </w:r>
            <w:r w:rsidRPr="00CA7301">
              <w:rPr>
                <w:rFonts w:eastAsiaTheme="minorEastAsia" w:cs="Segoe UI"/>
                <w:sz w:val="17"/>
                <w:szCs w:val="17"/>
                <w:lang w:eastAsia="zh-TW"/>
              </w:rPr>
              <w:t>申報表所用的</w:t>
            </w:r>
            <w:r w:rsidRPr="00CA7301">
              <w:rPr>
                <w:rFonts w:eastAsiaTheme="minorEastAsia" w:cs="Segoe UI"/>
                <w:sz w:val="17"/>
                <w:lang w:eastAsia="zh-TW"/>
              </w:rPr>
              <w:t>相同</w:t>
            </w:r>
            <w:r w:rsidRPr="00CA7301">
              <w:rPr>
                <w:rFonts w:eastAsiaTheme="minorEastAsia" w:cs="Segoe UI"/>
                <w:sz w:val="17"/>
                <w:szCs w:val="17"/>
                <w:lang w:eastAsia="zh-TW"/>
              </w:rPr>
              <w:t>計算基</w:t>
            </w:r>
            <w:r w:rsidRPr="00CA7301">
              <w:rPr>
                <w:rFonts w:eastAsiaTheme="minorEastAsia" w:cs="Segoe UI"/>
                <w:sz w:val="17"/>
                <w:lang w:eastAsia="zh-TW"/>
              </w:rPr>
              <w:t>礎</w:t>
            </w:r>
            <w:r w:rsidRPr="00CA7301">
              <w:rPr>
                <w:rFonts w:eastAsiaTheme="minorEastAsia" w:cs="Segoe UI"/>
                <w:sz w:val="17"/>
                <w:szCs w:val="17"/>
                <w:lang w:eastAsia="zh-TW"/>
              </w:rPr>
              <w:t>。</w:t>
            </w:r>
          </w:p>
        </w:tc>
      </w:tr>
      <w:tr w:rsidR="00CA1B87" w:rsidRPr="00CA7301" w14:paraId="76503B4C" w14:textId="77777777" w:rsidTr="00B64781">
        <w:tc>
          <w:tcPr>
            <w:tcW w:w="2160" w:type="dxa"/>
          </w:tcPr>
          <w:p w14:paraId="0070FD75" w14:textId="77777777" w:rsidR="00CA1B87" w:rsidRPr="00CA7301" w:rsidRDefault="00CA1B87" w:rsidP="00CA1B87">
            <w:pPr>
              <w:spacing w:before="40" w:after="40"/>
              <w:rPr>
                <w:rFonts w:cs="Segoe UI"/>
                <w:sz w:val="17"/>
                <w:lang w:eastAsia="en-GB"/>
              </w:rPr>
            </w:pPr>
            <w:r w:rsidRPr="00CA7301">
              <w:rPr>
                <w:rFonts w:eastAsiaTheme="minorEastAsia" w:cs="Segoe UI"/>
                <w:b/>
                <w:sz w:val="17"/>
                <w:lang w:eastAsia="zh-TW"/>
              </w:rPr>
              <w:t>頻密程度：</w:t>
            </w:r>
          </w:p>
        </w:tc>
        <w:tc>
          <w:tcPr>
            <w:tcW w:w="6946" w:type="dxa"/>
          </w:tcPr>
          <w:p w14:paraId="09B816D2" w14:textId="77777777" w:rsidR="00CA1B87" w:rsidRPr="00CA7301" w:rsidRDefault="00CA1B87" w:rsidP="00CA1B87">
            <w:pPr>
              <w:spacing w:before="40" w:after="40"/>
              <w:jc w:val="both"/>
              <w:rPr>
                <w:rFonts w:cs="Segoe UI"/>
                <w:sz w:val="17"/>
                <w:lang w:eastAsia="en-GB"/>
              </w:rPr>
            </w:pPr>
            <w:r w:rsidRPr="00CA7301">
              <w:rPr>
                <w:rFonts w:eastAsiaTheme="minorEastAsia" w:cs="Segoe UI"/>
                <w:sz w:val="17"/>
                <w:lang w:eastAsia="zh-TW"/>
              </w:rPr>
              <w:t>每半年一次。</w:t>
            </w:r>
          </w:p>
        </w:tc>
      </w:tr>
      <w:tr w:rsidR="00CA1B87" w:rsidRPr="00CA7301" w14:paraId="05E66A1B" w14:textId="77777777" w:rsidTr="00B64781">
        <w:tc>
          <w:tcPr>
            <w:tcW w:w="2160" w:type="dxa"/>
          </w:tcPr>
          <w:p w14:paraId="7EFFC31C" w14:textId="77777777" w:rsidR="00CA1B87" w:rsidRPr="00CA7301" w:rsidRDefault="00CA1B87" w:rsidP="00CA1B87">
            <w:pPr>
              <w:spacing w:before="40" w:after="40"/>
              <w:rPr>
                <w:rFonts w:cs="Segoe UI"/>
                <w:sz w:val="17"/>
                <w:lang w:eastAsia="en-GB"/>
              </w:rPr>
            </w:pPr>
            <w:r w:rsidRPr="00CA7301">
              <w:rPr>
                <w:rFonts w:eastAsiaTheme="minorEastAsia" w:cs="Segoe UI"/>
                <w:b/>
                <w:sz w:val="17"/>
                <w:lang w:eastAsia="zh-TW"/>
              </w:rPr>
              <w:t>格式：</w:t>
            </w:r>
          </w:p>
        </w:tc>
        <w:tc>
          <w:tcPr>
            <w:tcW w:w="6946" w:type="dxa"/>
          </w:tcPr>
          <w:p w14:paraId="34ED125E" w14:textId="77777777" w:rsidR="00CA1B87" w:rsidRPr="003572E1" w:rsidRDefault="00CA1B87" w:rsidP="00464662">
            <w:pPr>
              <w:spacing w:before="40" w:after="40"/>
              <w:jc w:val="both"/>
              <w:rPr>
                <w:rFonts w:eastAsiaTheme="minorEastAsia" w:cs="Segoe UI"/>
                <w:sz w:val="17"/>
                <w:lang w:eastAsia="zh-TW"/>
              </w:rPr>
            </w:pPr>
            <w:r w:rsidRPr="00CA7301">
              <w:rPr>
                <w:rFonts w:eastAsiaTheme="minorEastAsia" w:cs="Segoe UI"/>
                <w:sz w:val="17"/>
                <w:lang w:eastAsia="zh-TW"/>
              </w:rPr>
              <w:t>固定。</w:t>
            </w:r>
            <w:r w:rsidR="00EC5799" w:rsidRPr="00CA7301">
              <w:rPr>
                <w:rFonts w:eastAsia="細明體" w:cs="Segoe UI"/>
                <w:sz w:val="17"/>
                <w:szCs w:val="17"/>
                <w:lang w:eastAsia="zh-TW"/>
              </w:rPr>
              <w:t>認可機構</w:t>
            </w:r>
            <w:r w:rsidR="00EC5799" w:rsidRPr="00EC5799">
              <w:rPr>
                <w:rFonts w:eastAsia="細明體" w:cs="Segoe UI" w:hint="eastAsia"/>
                <w:sz w:val="17"/>
                <w:szCs w:val="17"/>
                <w:lang w:eastAsia="zh-TW"/>
              </w:rPr>
              <w:t>不</w:t>
            </w:r>
            <w:r w:rsidR="00464662">
              <w:rPr>
                <w:rFonts w:eastAsia="細明體" w:cs="Segoe UI" w:hint="eastAsia"/>
                <w:sz w:val="17"/>
                <w:szCs w:val="17"/>
                <w:lang w:eastAsia="zh-TW"/>
              </w:rPr>
              <w:t>可</w:t>
            </w:r>
            <w:proofErr w:type="gramStart"/>
            <w:r w:rsidR="00EC5799">
              <w:rPr>
                <w:rFonts w:eastAsia="細明體" w:cs="Segoe UI" w:hint="eastAsia"/>
                <w:sz w:val="17"/>
                <w:szCs w:val="17"/>
                <w:lang w:eastAsia="zh-TW"/>
              </w:rPr>
              <w:t>就本</w:t>
            </w:r>
            <w:r w:rsidR="00EC5799" w:rsidRPr="00EC5799">
              <w:rPr>
                <w:rFonts w:eastAsia="細明體" w:cs="Segoe UI" w:hint="eastAsia"/>
                <w:sz w:val="17"/>
                <w:szCs w:val="17"/>
                <w:lang w:eastAsia="zh-TW"/>
              </w:rPr>
              <w:t>模版</w:t>
            </w:r>
            <w:proofErr w:type="gramEnd"/>
            <w:r w:rsidR="00EC5799">
              <w:rPr>
                <w:rFonts w:eastAsia="細明體" w:cs="Segoe UI" w:hint="eastAsia"/>
                <w:sz w:val="17"/>
                <w:szCs w:val="17"/>
                <w:lang w:eastAsia="zh-TW"/>
              </w:rPr>
              <w:t>作出</w:t>
            </w:r>
            <w:r w:rsidR="00464662">
              <w:rPr>
                <w:rFonts w:eastAsia="細明體" w:cs="Segoe UI" w:hint="eastAsia"/>
                <w:sz w:val="17"/>
                <w:szCs w:val="17"/>
                <w:lang w:eastAsia="zh-TW"/>
              </w:rPr>
              <w:t>任何行的</w:t>
            </w:r>
            <w:r w:rsidR="00EC5799" w:rsidRPr="00EC5799">
              <w:rPr>
                <w:rFonts w:eastAsia="細明體" w:cs="Segoe UI" w:hint="eastAsia"/>
                <w:sz w:val="17"/>
                <w:szCs w:val="17"/>
                <w:lang w:eastAsia="zh-TW"/>
              </w:rPr>
              <w:t>添加，刪除或定義</w:t>
            </w:r>
            <w:r w:rsidR="00464662" w:rsidRPr="00EC5799">
              <w:rPr>
                <w:rFonts w:eastAsia="細明體" w:cs="Segoe UI" w:hint="eastAsia"/>
                <w:sz w:val="17"/>
                <w:szCs w:val="17"/>
                <w:lang w:eastAsia="zh-TW"/>
              </w:rPr>
              <w:t>更改</w:t>
            </w:r>
            <w:r w:rsidR="00EC5799" w:rsidRPr="00CA7301">
              <w:rPr>
                <w:rFonts w:eastAsiaTheme="minorEastAsia" w:cs="Segoe UI"/>
                <w:sz w:val="17"/>
                <w:szCs w:val="17"/>
                <w:lang w:eastAsia="zh-TW"/>
              </w:rPr>
              <w:t>。</w:t>
            </w:r>
          </w:p>
        </w:tc>
      </w:tr>
      <w:tr w:rsidR="00CA1B87" w:rsidRPr="00CA7301" w14:paraId="2F4FDAA2" w14:textId="77777777" w:rsidTr="00B64781">
        <w:tc>
          <w:tcPr>
            <w:tcW w:w="2160" w:type="dxa"/>
          </w:tcPr>
          <w:p w14:paraId="73814BFF" w14:textId="77777777" w:rsidR="00CA1B87" w:rsidRPr="00CA7301" w:rsidRDefault="00CA1B87" w:rsidP="00CA1B87">
            <w:pPr>
              <w:spacing w:before="40" w:after="40"/>
              <w:rPr>
                <w:rFonts w:cs="Segoe UI"/>
                <w:b/>
                <w:sz w:val="17"/>
                <w:lang w:eastAsia="en-GB"/>
              </w:rPr>
            </w:pPr>
            <w:proofErr w:type="spellStart"/>
            <w:r w:rsidRPr="00CA7301">
              <w:rPr>
                <w:rFonts w:eastAsia="新細明體" w:cs="Segoe UI"/>
                <w:b/>
                <w:sz w:val="17"/>
                <w:szCs w:val="17"/>
                <w:lang w:eastAsia="en-GB"/>
              </w:rPr>
              <w:t>附加說明</w:t>
            </w:r>
            <w:proofErr w:type="spellEnd"/>
            <w:r w:rsidRPr="00CA7301">
              <w:rPr>
                <w:rFonts w:eastAsia="新細明體" w:cs="Segoe UI"/>
                <w:b/>
                <w:sz w:val="17"/>
                <w:szCs w:val="17"/>
                <w:lang w:eastAsia="en-GB"/>
              </w:rPr>
              <w:t>：</w:t>
            </w:r>
          </w:p>
        </w:tc>
        <w:tc>
          <w:tcPr>
            <w:tcW w:w="6946" w:type="dxa"/>
          </w:tcPr>
          <w:p w14:paraId="424D6CB3" w14:textId="0B3889ED" w:rsidR="00CA1B87" w:rsidRPr="00CA7301" w:rsidRDefault="00CA1B87" w:rsidP="007C2358">
            <w:pPr>
              <w:spacing w:before="40" w:after="40"/>
              <w:jc w:val="both"/>
              <w:rPr>
                <w:rFonts w:cs="Segoe UI"/>
                <w:noProof/>
                <w:sz w:val="17"/>
                <w:szCs w:val="17"/>
                <w:lang w:eastAsia="zh-TW"/>
              </w:rPr>
            </w:pPr>
            <w:r w:rsidRPr="00CA7301">
              <w:rPr>
                <w:rFonts w:eastAsia="細明體" w:cs="Segoe UI"/>
                <w:sz w:val="17"/>
                <w:szCs w:val="17"/>
                <w:lang w:eastAsia="zh-TW"/>
              </w:rPr>
              <w:t>認可機構應以敘述評</w:t>
            </w:r>
            <w:proofErr w:type="gramStart"/>
            <w:r w:rsidRPr="00CA7301">
              <w:rPr>
                <w:rFonts w:eastAsia="細明體" w:cs="Segoe UI"/>
                <w:sz w:val="17"/>
                <w:szCs w:val="17"/>
                <w:lang w:eastAsia="zh-TW"/>
              </w:rPr>
              <w:t>註</w:t>
            </w:r>
            <w:proofErr w:type="gramEnd"/>
            <w:r w:rsidRPr="00CA7301">
              <w:rPr>
                <w:rFonts w:eastAsia="細明體" w:cs="Segoe UI"/>
                <w:sz w:val="17"/>
                <w:szCs w:val="17"/>
                <w:lang w:eastAsia="zh-TW"/>
              </w:rPr>
              <w:t>，闡明在報告期內的任何重大</w:t>
            </w:r>
            <w:r w:rsidR="007C2358" w:rsidRPr="007C2358">
              <w:rPr>
                <w:rFonts w:eastAsia="細明體" w:cs="Segoe UI" w:hint="eastAsia"/>
                <w:sz w:val="17"/>
                <w:szCs w:val="17"/>
                <w:lang w:eastAsia="zh-TW"/>
              </w:rPr>
              <w:t>改</w:t>
            </w:r>
            <w:r w:rsidRPr="00CA7301">
              <w:rPr>
                <w:rFonts w:eastAsia="細明體" w:cs="Segoe UI"/>
                <w:sz w:val="17"/>
                <w:szCs w:val="17"/>
                <w:lang w:eastAsia="zh-TW"/>
              </w:rPr>
              <w:t>變及引致有關</w:t>
            </w:r>
            <w:r w:rsidR="007C2358" w:rsidRPr="007C2358">
              <w:rPr>
                <w:rFonts w:eastAsia="細明體" w:cs="Segoe UI" w:hint="eastAsia"/>
                <w:sz w:val="17"/>
                <w:szCs w:val="17"/>
                <w:lang w:eastAsia="zh-TW"/>
              </w:rPr>
              <w:t>改</w:t>
            </w:r>
            <w:r w:rsidRPr="00CA7301">
              <w:rPr>
                <w:rFonts w:eastAsia="細明體" w:cs="Segoe UI"/>
                <w:sz w:val="17"/>
                <w:szCs w:val="17"/>
                <w:lang w:eastAsia="zh-TW"/>
              </w:rPr>
              <w:t>變的主要</w:t>
            </w:r>
            <w:r w:rsidRPr="00CA7301">
              <w:rPr>
                <w:rFonts w:eastAsia="細明體" w:cs="Segoe UI"/>
                <w:noProof/>
                <w:sz w:val="17"/>
                <w:lang w:eastAsia="zh-TW"/>
              </w:rPr>
              <w:t>驅動</w:t>
            </w:r>
            <w:r w:rsidRPr="00CA7301">
              <w:rPr>
                <w:rFonts w:eastAsia="細明體" w:cs="Segoe UI"/>
                <w:sz w:val="17"/>
                <w:szCs w:val="17"/>
                <w:lang w:eastAsia="zh-TW"/>
              </w:rPr>
              <w:t>因素，以</w:t>
            </w:r>
            <w:proofErr w:type="gramStart"/>
            <w:r w:rsidRPr="00CA7301">
              <w:rPr>
                <w:rFonts w:eastAsia="細明體" w:cs="Segoe UI"/>
                <w:sz w:val="17"/>
                <w:szCs w:val="17"/>
                <w:lang w:eastAsia="zh-TW"/>
              </w:rPr>
              <w:t>補充本模版</w:t>
            </w:r>
            <w:proofErr w:type="gramEnd"/>
            <w:r w:rsidRPr="00CA7301">
              <w:rPr>
                <w:rFonts w:eastAsia="細明體" w:cs="Segoe UI"/>
                <w:sz w:val="17"/>
                <w:szCs w:val="17"/>
                <w:lang w:eastAsia="zh-TW"/>
              </w:rPr>
              <w:t>。</w:t>
            </w:r>
          </w:p>
        </w:tc>
      </w:tr>
      <w:tr w:rsidR="00CA1B87" w:rsidRPr="00CA7301" w14:paraId="1500B16A" w14:textId="77777777" w:rsidTr="00B64781">
        <w:tc>
          <w:tcPr>
            <w:tcW w:w="2160" w:type="dxa"/>
          </w:tcPr>
          <w:p w14:paraId="258336E5" w14:textId="77777777" w:rsidR="00CA1B87" w:rsidRPr="00CA7301" w:rsidRDefault="00CA1B87" w:rsidP="00CA1B87">
            <w:pPr>
              <w:spacing w:before="40" w:after="40"/>
              <w:rPr>
                <w:rFonts w:eastAsiaTheme="minorEastAsia" w:cs="Segoe UI"/>
                <w:b/>
                <w:sz w:val="17"/>
                <w:szCs w:val="17"/>
                <w:lang w:eastAsia="zh-TW"/>
              </w:rPr>
            </w:pPr>
            <w:r w:rsidRPr="00CA7301">
              <w:rPr>
                <w:rFonts w:eastAsiaTheme="minorEastAsia" w:cs="Segoe UI"/>
                <w:b/>
                <w:sz w:val="17"/>
                <w:szCs w:val="17"/>
                <w:lang w:eastAsia="zh-TW"/>
              </w:rPr>
              <w:t>《披露規則》相應條文：</w:t>
            </w:r>
          </w:p>
        </w:tc>
        <w:tc>
          <w:tcPr>
            <w:tcW w:w="6946" w:type="dxa"/>
          </w:tcPr>
          <w:p w14:paraId="35DDB1F4" w14:textId="77777777" w:rsidR="00CA1B87" w:rsidRPr="00CA7301" w:rsidRDefault="00CA1B87" w:rsidP="00CA1B87">
            <w:pPr>
              <w:spacing w:before="40" w:after="40"/>
              <w:jc w:val="both"/>
              <w:rPr>
                <w:rFonts w:cs="Segoe UI"/>
                <w:sz w:val="17"/>
                <w:szCs w:val="17"/>
                <w:lang w:eastAsia="en-GB"/>
              </w:rPr>
            </w:pPr>
            <w:r w:rsidRPr="00CA7301">
              <w:rPr>
                <w:rFonts w:cs="Segoe UI"/>
                <w:sz w:val="17"/>
                <w:szCs w:val="17"/>
                <w:lang w:eastAsia="en-GB"/>
              </w:rPr>
              <w:t xml:space="preserve">16FB </w:t>
            </w:r>
          </w:p>
        </w:tc>
      </w:tr>
    </w:tbl>
    <w:p w14:paraId="56A2E5D4" w14:textId="77777777" w:rsidR="00CA1B87" w:rsidRPr="00CA7301" w:rsidRDefault="00CA1B87" w:rsidP="00CA1B87">
      <w:pPr>
        <w:rPr>
          <w:rFonts w:cs="Segoe UI"/>
          <w:sz w:val="22"/>
        </w:rPr>
      </w:pP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70"/>
        <w:gridCol w:w="5951"/>
        <w:gridCol w:w="1276"/>
        <w:gridCol w:w="1417"/>
      </w:tblGrid>
      <w:tr w:rsidR="00CA1B87" w:rsidRPr="00CA7301" w14:paraId="5E02FA74" w14:textId="77777777" w:rsidTr="00F62652">
        <w:trPr>
          <w:trHeight w:val="324"/>
          <w:tblHeader/>
        </w:trPr>
        <w:tc>
          <w:tcPr>
            <w:tcW w:w="6521" w:type="dxa"/>
            <w:gridSpan w:val="2"/>
            <w:tcBorders>
              <w:top w:val="nil"/>
              <w:left w:val="nil"/>
              <w:bottom w:val="nil"/>
              <w:right w:val="single" w:sz="4" w:space="0" w:color="auto"/>
            </w:tcBorders>
            <w:vAlign w:val="center"/>
          </w:tcPr>
          <w:p w14:paraId="4257EA4E" w14:textId="77777777" w:rsidR="00CA1B87" w:rsidRPr="00CA7301" w:rsidRDefault="00CA1B87" w:rsidP="00CA1B87">
            <w:pPr>
              <w:widowControl w:val="0"/>
              <w:autoSpaceDE w:val="0"/>
              <w:autoSpaceDN w:val="0"/>
              <w:adjustRightInd w:val="0"/>
              <w:rPr>
                <w:rFonts w:eastAsiaTheme="minorEastAsia" w:cs="Segoe UI"/>
                <w:b/>
                <w:bCs/>
                <w:color w:val="000000"/>
                <w:lang w:val="en-US" w:eastAsia="zh-TW"/>
              </w:rPr>
            </w:pPr>
          </w:p>
        </w:tc>
        <w:tc>
          <w:tcPr>
            <w:tcW w:w="1276" w:type="dxa"/>
            <w:tcBorders>
              <w:top w:val="single" w:sz="6" w:space="0" w:color="auto"/>
              <w:left w:val="single" w:sz="6" w:space="0" w:color="auto"/>
              <w:bottom w:val="single" w:sz="6" w:space="0" w:color="auto"/>
              <w:right w:val="single" w:sz="6" w:space="0" w:color="auto"/>
            </w:tcBorders>
            <w:vAlign w:val="center"/>
          </w:tcPr>
          <w:p w14:paraId="41C48894" w14:textId="77777777" w:rsidR="00CA1B87" w:rsidRPr="00CA7301" w:rsidRDefault="00CA1B87" w:rsidP="00CA1B87">
            <w:pPr>
              <w:snapToGrid w:val="0"/>
              <w:spacing w:before="40" w:after="40"/>
              <w:jc w:val="center"/>
              <w:rPr>
                <w:rFonts w:cs="Segoe UI"/>
                <w:bCs/>
                <w:sz w:val="17"/>
                <w:lang w:eastAsia="it-IT"/>
              </w:rPr>
            </w:pPr>
            <w:r w:rsidRPr="00CA7301">
              <w:rPr>
                <w:rFonts w:cs="Segoe UI"/>
                <w:bCs/>
                <w:sz w:val="17"/>
                <w:lang w:eastAsia="it-IT"/>
              </w:rPr>
              <w:t>(a)</w:t>
            </w:r>
          </w:p>
        </w:tc>
        <w:tc>
          <w:tcPr>
            <w:tcW w:w="1417" w:type="dxa"/>
            <w:tcBorders>
              <w:top w:val="single" w:sz="6" w:space="0" w:color="auto"/>
              <w:left w:val="single" w:sz="6" w:space="0" w:color="auto"/>
              <w:bottom w:val="single" w:sz="6" w:space="0" w:color="auto"/>
              <w:right w:val="single" w:sz="4" w:space="0" w:color="auto"/>
            </w:tcBorders>
            <w:vAlign w:val="center"/>
          </w:tcPr>
          <w:p w14:paraId="2BB8723B" w14:textId="77777777" w:rsidR="00CA1B87" w:rsidRPr="00CA7301" w:rsidRDefault="00CA1B87" w:rsidP="00CA1B87">
            <w:pPr>
              <w:snapToGrid w:val="0"/>
              <w:spacing w:before="40" w:after="40"/>
              <w:jc w:val="center"/>
              <w:rPr>
                <w:rFonts w:cs="Segoe UI"/>
                <w:bCs/>
                <w:sz w:val="17"/>
                <w:lang w:eastAsia="it-IT"/>
              </w:rPr>
            </w:pPr>
            <w:r w:rsidRPr="00CA7301">
              <w:rPr>
                <w:rFonts w:cs="Segoe UI"/>
                <w:bCs/>
                <w:sz w:val="17"/>
                <w:lang w:eastAsia="it-IT"/>
              </w:rPr>
              <w:t>(b)</w:t>
            </w:r>
          </w:p>
        </w:tc>
      </w:tr>
      <w:tr w:rsidR="00CA1B87" w:rsidRPr="00CA7301" w14:paraId="65664160" w14:textId="77777777" w:rsidTr="00F62652">
        <w:trPr>
          <w:trHeight w:val="528"/>
          <w:tblHeader/>
        </w:trPr>
        <w:tc>
          <w:tcPr>
            <w:tcW w:w="6521" w:type="dxa"/>
            <w:gridSpan w:val="2"/>
            <w:tcBorders>
              <w:top w:val="nil"/>
              <w:left w:val="nil"/>
              <w:bottom w:val="single" w:sz="6" w:space="0" w:color="auto"/>
              <w:right w:val="single" w:sz="6" w:space="0" w:color="auto"/>
            </w:tcBorders>
            <w:vAlign w:val="center"/>
          </w:tcPr>
          <w:p w14:paraId="334F16BF" w14:textId="77777777" w:rsidR="00CA1B87" w:rsidRPr="00CA7301" w:rsidRDefault="00CA1B87" w:rsidP="00CA1B87">
            <w:pPr>
              <w:snapToGrid w:val="0"/>
              <w:spacing w:before="40" w:after="40"/>
              <w:rPr>
                <w:rFonts w:cs="Segoe UI"/>
                <w:sz w:val="17"/>
                <w:lang w:val="en-US" w:eastAsia="it-IT"/>
              </w:rPr>
            </w:pPr>
          </w:p>
        </w:tc>
        <w:tc>
          <w:tcPr>
            <w:tcW w:w="1276" w:type="dxa"/>
            <w:tcBorders>
              <w:top w:val="single" w:sz="6" w:space="0" w:color="auto"/>
              <w:left w:val="single" w:sz="6" w:space="0" w:color="auto"/>
              <w:bottom w:val="single" w:sz="6" w:space="0" w:color="auto"/>
              <w:right w:val="single" w:sz="6" w:space="0" w:color="auto"/>
            </w:tcBorders>
            <w:vAlign w:val="center"/>
          </w:tcPr>
          <w:p w14:paraId="7C2878B9" w14:textId="77777777" w:rsidR="00CA1B87" w:rsidRPr="00CA7301" w:rsidRDefault="00CA1B87" w:rsidP="00CA1B87">
            <w:pPr>
              <w:snapToGrid w:val="0"/>
              <w:spacing w:before="40" w:after="40"/>
              <w:ind w:left="57"/>
              <w:jc w:val="center"/>
              <w:rPr>
                <w:rFonts w:cs="Segoe UI"/>
                <w:b/>
                <w:sz w:val="17"/>
                <w:lang w:eastAsia="it-IT"/>
              </w:rPr>
            </w:pPr>
            <w:r w:rsidRPr="00CA7301">
              <w:rPr>
                <w:rFonts w:eastAsiaTheme="minorEastAsia" w:cs="Segoe UI"/>
                <w:b/>
                <w:sz w:val="17"/>
                <w:lang w:eastAsia="zh-TW"/>
              </w:rPr>
              <w:t>數額</w:t>
            </w:r>
          </w:p>
        </w:tc>
        <w:tc>
          <w:tcPr>
            <w:tcW w:w="1417" w:type="dxa"/>
            <w:tcBorders>
              <w:top w:val="single" w:sz="6" w:space="0" w:color="auto"/>
              <w:left w:val="single" w:sz="6" w:space="0" w:color="auto"/>
              <w:bottom w:val="single" w:sz="6" w:space="0" w:color="auto"/>
              <w:right w:val="single" w:sz="4" w:space="0" w:color="auto"/>
            </w:tcBorders>
            <w:vAlign w:val="center"/>
          </w:tcPr>
          <w:p w14:paraId="37AC3B28" w14:textId="77777777" w:rsidR="00CA1B87" w:rsidRPr="00CA7301" w:rsidRDefault="00CA1B87" w:rsidP="00CA1B87">
            <w:pPr>
              <w:snapToGrid w:val="0"/>
              <w:spacing w:before="40" w:after="40"/>
              <w:jc w:val="center"/>
              <w:rPr>
                <w:rFonts w:cs="Segoe UI"/>
                <w:b/>
                <w:sz w:val="17"/>
                <w:lang w:eastAsia="it-IT"/>
              </w:rPr>
            </w:pPr>
            <w:r w:rsidRPr="00CA7301">
              <w:rPr>
                <w:rFonts w:eastAsiaTheme="minorEastAsia" w:cs="Segoe UI"/>
                <w:b/>
                <w:sz w:val="17"/>
                <w:lang w:eastAsia="zh-TW"/>
              </w:rPr>
              <w:t>來源以監管綜合範圍下資產負債表的參考號數</w:t>
            </w:r>
            <w:r w:rsidRPr="00CA7301">
              <w:rPr>
                <w:rFonts w:eastAsiaTheme="minorEastAsia" w:cs="Segoe UI"/>
                <w:b/>
                <w:sz w:val="17"/>
                <w:lang w:eastAsia="zh-TW"/>
              </w:rPr>
              <w:t>/</w:t>
            </w:r>
            <w:r w:rsidRPr="00CA7301">
              <w:rPr>
                <w:rFonts w:eastAsiaTheme="minorEastAsia" w:cs="Segoe UI"/>
                <w:b/>
                <w:sz w:val="17"/>
                <w:lang w:eastAsia="zh-TW"/>
              </w:rPr>
              <w:t>字母為依據</w:t>
            </w:r>
          </w:p>
        </w:tc>
      </w:tr>
      <w:tr w:rsidR="00CA1B87" w:rsidRPr="00CA7301" w14:paraId="5B12E383" w14:textId="77777777" w:rsidTr="00F62652">
        <w:trPr>
          <w:cantSplit/>
          <w:trHeight w:val="285"/>
        </w:trPr>
        <w:tc>
          <w:tcPr>
            <w:tcW w:w="570" w:type="dxa"/>
            <w:tcBorders>
              <w:top w:val="single" w:sz="6" w:space="0" w:color="auto"/>
              <w:left w:val="nil"/>
              <w:bottom w:val="single" w:sz="6" w:space="0" w:color="BCBDBC"/>
              <w:right w:val="single" w:sz="4" w:space="0" w:color="auto"/>
            </w:tcBorders>
            <w:shd w:val="clear" w:color="auto" w:fill="A6A6A6" w:themeFill="background1" w:themeFillShade="A6"/>
          </w:tcPr>
          <w:p w14:paraId="1EE6E388" w14:textId="77777777" w:rsidR="00CA1B87" w:rsidRPr="00CA7301" w:rsidRDefault="00CA1B87" w:rsidP="00CA1B87">
            <w:pPr>
              <w:snapToGrid w:val="0"/>
              <w:spacing w:before="40" w:after="40"/>
              <w:ind w:left="417" w:rightChars="71" w:right="142"/>
              <w:rPr>
                <w:rFonts w:cs="Segoe UI"/>
                <w:b/>
                <w:sz w:val="17"/>
                <w:lang w:eastAsia="it-IT"/>
              </w:rPr>
            </w:pPr>
          </w:p>
        </w:tc>
        <w:tc>
          <w:tcPr>
            <w:tcW w:w="5951" w:type="dxa"/>
            <w:tcBorders>
              <w:top w:val="single" w:sz="6" w:space="0" w:color="auto"/>
              <w:left w:val="single" w:sz="4" w:space="0" w:color="auto"/>
              <w:bottom w:val="single" w:sz="6" w:space="0" w:color="BCBDBC"/>
              <w:right w:val="nil"/>
            </w:tcBorders>
            <w:shd w:val="clear" w:color="auto" w:fill="A6A6A6" w:themeFill="background1" w:themeFillShade="A6"/>
          </w:tcPr>
          <w:p w14:paraId="1AB3A237" w14:textId="77777777" w:rsidR="00CA1B87" w:rsidRPr="00CA7301" w:rsidRDefault="00CA1B87" w:rsidP="00CA1B87">
            <w:pPr>
              <w:snapToGrid w:val="0"/>
              <w:spacing w:before="40" w:after="40"/>
              <w:ind w:left="57" w:rightChars="71" w:right="142"/>
              <w:rPr>
                <w:rFonts w:cs="Segoe UI"/>
                <w:b/>
                <w:sz w:val="17"/>
                <w:lang w:eastAsia="it-IT"/>
              </w:rPr>
            </w:pPr>
            <w:r w:rsidRPr="00CA7301">
              <w:rPr>
                <w:rFonts w:eastAsia="新細明體" w:cs="Segoe UI"/>
                <w:b/>
                <w:sz w:val="17"/>
                <w:lang w:eastAsia="it-IT"/>
              </w:rPr>
              <w:t>普通股權一級</w:t>
            </w:r>
            <w:r w:rsidRPr="00CA7301">
              <w:rPr>
                <w:rFonts w:eastAsia="新細明體" w:cs="Segoe UI"/>
                <w:b/>
                <w:sz w:val="17"/>
                <w:lang w:eastAsia="zh-TW"/>
              </w:rPr>
              <w:t>(</w:t>
            </w:r>
            <w:r w:rsidRPr="00CA7301">
              <w:rPr>
                <w:rFonts w:cs="Segoe UI"/>
                <w:b/>
                <w:sz w:val="17"/>
                <w:lang w:eastAsia="it-IT"/>
              </w:rPr>
              <w:t>CET1</w:t>
            </w:r>
            <w:r w:rsidRPr="00CA7301">
              <w:rPr>
                <w:rFonts w:eastAsiaTheme="minorEastAsia" w:cs="Segoe UI"/>
                <w:b/>
                <w:sz w:val="17"/>
                <w:lang w:eastAsia="zh-TW"/>
              </w:rPr>
              <w:t>)</w:t>
            </w:r>
            <w:r w:rsidRPr="00CA7301">
              <w:rPr>
                <w:rFonts w:eastAsiaTheme="minorEastAsia" w:cs="Segoe UI"/>
                <w:b/>
                <w:sz w:val="17"/>
                <w:lang w:eastAsia="zh-TW"/>
              </w:rPr>
              <w:t>資本：票據及儲備</w:t>
            </w:r>
          </w:p>
        </w:tc>
        <w:tc>
          <w:tcPr>
            <w:tcW w:w="1276" w:type="dxa"/>
            <w:tcBorders>
              <w:top w:val="single" w:sz="6" w:space="0" w:color="auto"/>
              <w:left w:val="nil"/>
              <w:bottom w:val="single" w:sz="6" w:space="0" w:color="BCBDBC"/>
              <w:right w:val="nil"/>
            </w:tcBorders>
            <w:shd w:val="clear" w:color="auto" w:fill="A6A6A6" w:themeFill="background1" w:themeFillShade="A6"/>
          </w:tcPr>
          <w:p w14:paraId="7862C83B" w14:textId="77777777" w:rsidR="00CA1B87" w:rsidRPr="00CA7301" w:rsidRDefault="00CA1B87" w:rsidP="00CA1B87">
            <w:pPr>
              <w:snapToGrid w:val="0"/>
              <w:spacing w:before="40" w:after="40"/>
              <w:rPr>
                <w:rFonts w:cs="Segoe UI"/>
                <w:sz w:val="17"/>
                <w:lang w:eastAsia="it-IT"/>
              </w:rPr>
            </w:pPr>
          </w:p>
        </w:tc>
        <w:tc>
          <w:tcPr>
            <w:tcW w:w="1417" w:type="dxa"/>
            <w:tcBorders>
              <w:top w:val="single" w:sz="6" w:space="0" w:color="auto"/>
              <w:left w:val="nil"/>
              <w:bottom w:val="single" w:sz="6" w:space="0" w:color="BCBDBC"/>
              <w:right w:val="single" w:sz="4" w:space="0" w:color="auto"/>
            </w:tcBorders>
            <w:shd w:val="clear" w:color="auto" w:fill="A6A6A6" w:themeFill="background1" w:themeFillShade="A6"/>
          </w:tcPr>
          <w:p w14:paraId="00A87EBE" w14:textId="77777777" w:rsidR="00CA1B87" w:rsidRPr="00CA7301" w:rsidRDefault="00CA1B87" w:rsidP="00CA1B87">
            <w:pPr>
              <w:snapToGrid w:val="0"/>
              <w:spacing w:before="40" w:after="40"/>
              <w:jc w:val="center"/>
              <w:rPr>
                <w:rFonts w:cs="Segoe UI"/>
                <w:sz w:val="17"/>
                <w:lang w:eastAsia="it-IT"/>
              </w:rPr>
            </w:pPr>
          </w:p>
        </w:tc>
      </w:tr>
      <w:tr w:rsidR="00CA1B87" w:rsidRPr="00CA7301" w14:paraId="3040F306" w14:textId="77777777" w:rsidTr="00F62652">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7EAF0409"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1B3AC4B5" w14:textId="77777777" w:rsidR="00CA1B87" w:rsidRPr="00CA7301" w:rsidRDefault="00CA1B87" w:rsidP="00CA1B87">
            <w:pPr>
              <w:snapToGrid w:val="0"/>
              <w:spacing w:before="40" w:after="40"/>
              <w:ind w:left="57" w:rightChars="71" w:right="142"/>
              <w:rPr>
                <w:rFonts w:cs="Segoe UI"/>
                <w:sz w:val="17"/>
                <w:lang w:val="en-US" w:eastAsia="it-IT"/>
              </w:rPr>
            </w:pPr>
            <w:r w:rsidRPr="00CA7301">
              <w:rPr>
                <w:rFonts w:eastAsiaTheme="minorEastAsia" w:cs="Segoe UI"/>
                <w:sz w:val="17"/>
                <w:lang w:eastAsia="zh-TW"/>
              </w:rPr>
              <w:t>直接發行的合資格</w:t>
            </w:r>
            <w:r w:rsidRPr="00CA7301">
              <w:rPr>
                <w:rFonts w:cs="Segoe UI"/>
                <w:sz w:val="17"/>
                <w:lang w:eastAsia="it-IT"/>
              </w:rPr>
              <w:t>CET1</w:t>
            </w:r>
            <w:r w:rsidRPr="00CA7301">
              <w:rPr>
                <w:rFonts w:eastAsiaTheme="minorEastAsia" w:cs="Segoe UI"/>
                <w:sz w:val="17"/>
                <w:lang w:eastAsia="zh-TW"/>
              </w:rPr>
              <w:t>資本票據加</w:t>
            </w:r>
            <w:r w:rsidRPr="00CA7301">
              <w:rPr>
                <w:rFonts w:eastAsia="新細明體" w:cs="Segoe UI"/>
                <w:sz w:val="17"/>
                <w:lang w:eastAsia="it-IT"/>
              </w:rPr>
              <w:t>任何相關的股份溢價</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8991BE9"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64D09069" w14:textId="77777777" w:rsidR="00CA1B87" w:rsidRPr="00CA7301" w:rsidRDefault="00CA1B87" w:rsidP="00CA1B87">
            <w:pPr>
              <w:snapToGrid w:val="0"/>
              <w:spacing w:before="40" w:after="40"/>
              <w:jc w:val="center"/>
              <w:rPr>
                <w:rFonts w:cs="Segoe UI"/>
                <w:sz w:val="17"/>
                <w:lang w:eastAsia="it-IT"/>
              </w:rPr>
            </w:pPr>
            <w:r w:rsidRPr="00CA7301">
              <w:rPr>
                <w:rFonts w:cs="Segoe UI"/>
                <w:sz w:val="17"/>
                <w:lang w:eastAsia="it-IT"/>
              </w:rPr>
              <w:t>[e]</w:t>
            </w:r>
          </w:p>
        </w:tc>
      </w:tr>
      <w:tr w:rsidR="00CA1B87" w:rsidRPr="00CA7301" w14:paraId="351F6906" w14:textId="77777777" w:rsidTr="00F62652">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46B7EFB7"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197424B6"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保留溢利</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7B11CCE"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00AAD7A4" w14:textId="77777777" w:rsidR="00CA1B87" w:rsidRPr="00CA7301" w:rsidRDefault="00CA1B87" w:rsidP="00CA1B87">
            <w:pPr>
              <w:snapToGrid w:val="0"/>
              <w:spacing w:before="40" w:after="40"/>
              <w:jc w:val="center"/>
              <w:rPr>
                <w:rFonts w:cs="Segoe UI"/>
                <w:sz w:val="17"/>
                <w:lang w:eastAsia="it-IT"/>
              </w:rPr>
            </w:pPr>
          </w:p>
        </w:tc>
      </w:tr>
      <w:tr w:rsidR="00CA1B87" w:rsidRPr="00CA7301" w14:paraId="52586963" w14:textId="77777777" w:rsidTr="00F62652">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110CD8BC"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34E36333"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已披露儲備</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26174E2"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3FCDB9A9" w14:textId="77777777" w:rsidR="00CA1B87" w:rsidRPr="00CA7301" w:rsidRDefault="00CA1B87" w:rsidP="00CA1B87">
            <w:pPr>
              <w:snapToGrid w:val="0"/>
              <w:spacing w:before="40" w:after="40"/>
              <w:jc w:val="center"/>
              <w:rPr>
                <w:rFonts w:cs="Segoe UI"/>
                <w:sz w:val="17"/>
                <w:lang w:eastAsia="it-IT"/>
              </w:rPr>
            </w:pPr>
          </w:p>
        </w:tc>
      </w:tr>
      <w:tr w:rsidR="00CA1B87" w:rsidRPr="00CA7301" w14:paraId="6804D091" w14:textId="77777777" w:rsidTr="00F62652">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6DE5102D"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07AA8C75"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Theme="minorEastAsia" w:cs="Segoe UI"/>
                <w:sz w:val="17"/>
                <w:lang w:eastAsia="zh-TW"/>
              </w:rPr>
              <w:t>由綜合銀行附屬公司發行並由第三方持有的</w:t>
            </w:r>
            <w:r w:rsidRPr="00CA7301">
              <w:rPr>
                <w:rFonts w:eastAsiaTheme="minorEastAsia" w:cs="Segoe UI"/>
                <w:sz w:val="17"/>
                <w:lang w:eastAsia="zh-TW"/>
              </w:rPr>
              <w:t>CET1</w:t>
            </w:r>
            <w:r w:rsidRPr="00CA7301">
              <w:rPr>
                <w:rFonts w:eastAsiaTheme="minorEastAsia" w:cs="Segoe UI"/>
                <w:sz w:val="17"/>
                <w:lang w:eastAsia="zh-TW"/>
              </w:rPr>
              <w:t>資本票據產生的少數股東權益（可計入綜合集團</w:t>
            </w:r>
            <w:r w:rsidRPr="00CA7301">
              <w:rPr>
                <w:rFonts w:eastAsia="新細明體" w:cs="Segoe UI"/>
                <w:sz w:val="17"/>
                <w:lang w:eastAsia="it-IT"/>
              </w:rPr>
              <w:t>的</w:t>
            </w:r>
            <w:r w:rsidRPr="00CA7301">
              <w:rPr>
                <w:rFonts w:eastAsiaTheme="minorEastAsia" w:cs="Segoe UI"/>
                <w:sz w:val="17"/>
                <w:lang w:eastAsia="zh-TW"/>
              </w:rPr>
              <w:t>CET1</w:t>
            </w:r>
            <w:r w:rsidRPr="00CA7301">
              <w:rPr>
                <w:rFonts w:eastAsiaTheme="minorEastAsia" w:cs="Segoe UI"/>
                <w:sz w:val="17"/>
                <w:lang w:eastAsia="zh-TW"/>
              </w:rPr>
              <w:t>資本的數額）</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4DB0C97"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527EDD83" w14:textId="77777777" w:rsidR="00CA1B87" w:rsidRPr="00CA7301" w:rsidRDefault="00CA1B87" w:rsidP="00CA1B87">
            <w:pPr>
              <w:snapToGrid w:val="0"/>
              <w:spacing w:before="40" w:after="40"/>
              <w:jc w:val="center"/>
              <w:rPr>
                <w:rFonts w:cs="Segoe UI"/>
                <w:sz w:val="17"/>
                <w:lang w:eastAsia="it-IT"/>
              </w:rPr>
            </w:pPr>
          </w:p>
        </w:tc>
      </w:tr>
      <w:tr w:rsidR="00CA1B87" w:rsidRPr="00CA7301" w14:paraId="6B8104AF" w14:textId="77777777" w:rsidTr="00F62652">
        <w:trPr>
          <w:cantSplit/>
          <w:trHeight w:val="285"/>
        </w:trPr>
        <w:tc>
          <w:tcPr>
            <w:tcW w:w="570" w:type="dxa"/>
            <w:tcBorders>
              <w:top w:val="single" w:sz="6" w:space="0" w:color="auto"/>
              <w:left w:val="nil"/>
              <w:bottom w:val="single" w:sz="6" w:space="0" w:color="auto"/>
              <w:right w:val="single" w:sz="4" w:space="0" w:color="auto"/>
            </w:tcBorders>
            <w:shd w:val="clear" w:color="auto" w:fill="auto"/>
          </w:tcPr>
          <w:p w14:paraId="1BC22CAF"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6</w:t>
            </w:r>
          </w:p>
        </w:tc>
        <w:tc>
          <w:tcPr>
            <w:tcW w:w="5951"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338FF88" w14:textId="77777777" w:rsidR="00CA1B87" w:rsidRPr="00CA7301" w:rsidRDefault="00CA1B87" w:rsidP="00872976">
            <w:pPr>
              <w:snapToGrid w:val="0"/>
              <w:spacing w:before="40" w:after="40"/>
              <w:ind w:left="57" w:rightChars="71" w:right="142"/>
              <w:rPr>
                <w:rFonts w:cs="Segoe UI"/>
                <w:b/>
                <w:sz w:val="17"/>
                <w:lang w:eastAsia="it-IT"/>
              </w:rPr>
            </w:pPr>
            <w:r w:rsidRPr="00CA7301">
              <w:rPr>
                <w:rFonts w:eastAsia="新細明體" w:cs="Segoe UI"/>
                <w:b/>
                <w:sz w:val="17"/>
                <w:lang w:eastAsia="it-IT"/>
              </w:rPr>
              <w:t>監管</w:t>
            </w:r>
            <w:r w:rsidR="00872976" w:rsidRPr="00CA7301">
              <w:rPr>
                <w:rFonts w:eastAsia="新細明體" w:cs="Segoe UI"/>
                <w:b/>
                <w:sz w:val="17"/>
                <w:lang w:eastAsia="zh-TW"/>
              </w:rPr>
              <w:t>扣減</w:t>
            </w:r>
            <w:r w:rsidRPr="00CA7301">
              <w:rPr>
                <w:rFonts w:eastAsia="新細明體" w:cs="Segoe UI"/>
                <w:b/>
                <w:sz w:val="17"/>
                <w:lang w:eastAsia="it-IT"/>
              </w:rPr>
              <w:t>之前</w:t>
            </w:r>
            <w:r w:rsidRPr="00CA7301">
              <w:rPr>
                <w:rFonts w:eastAsia="新細明體" w:cs="Segoe UI"/>
                <w:b/>
                <w:sz w:val="17"/>
                <w:lang w:eastAsia="zh-TW"/>
              </w:rPr>
              <w:t>的</w:t>
            </w:r>
            <w:r w:rsidRPr="00CA7301">
              <w:rPr>
                <w:rFonts w:cs="Segoe UI"/>
                <w:b/>
                <w:sz w:val="17"/>
                <w:lang w:eastAsia="it-IT"/>
              </w:rPr>
              <w:t>CET1</w:t>
            </w:r>
            <w:r w:rsidRPr="00CA7301">
              <w:rPr>
                <w:rFonts w:eastAsiaTheme="minorEastAsia" w:cs="Segoe UI"/>
                <w:b/>
                <w:sz w:val="17"/>
                <w:lang w:eastAsia="zh-TW"/>
              </w:rPr>
              <w:t>資本</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CAFC299"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3DC93848" w14:textId="77777777" w:rsidR="00CA1B87" w:rsidRPr="00CA7301" w:rsidRDefault="00CA1B87" w:rsidP="00CA1B87">
            <w:pPr>
              <w:snapToGrid w:val="0"/>
              <w:spacing w:before="40" w:after="40"/>
              <w:jc w:val="center"/>
              <w:rPr>
                <w:rFonts w:cs="Segoe UI"/>
                <w:sz w:val="17"/>
                <w:lang w:eastAsia="it-IT"/>
              </w:rPr>
            </w:pPr>
          </w:p>
        </w:tc>
      </w:tr>
      <w:tr w:rsidR="00CA1B87" w:rsidRPr="00CA7301" w14:paraId="781B355F" w14:textId="77777777" w:rsidTr="00F62652">
        <w:trPr>
          <w:cantSplit/>
          <w:trHeight w:val="285"/>
        </w:trPr>
        <w:tc>
          <w:tcPr>
            <w:tcW w:w="570" w:type="dxa"/>
            <w:tcBorders>
              <w:top w:val="single" w:sz="6" w:space="0" w:color="auto"/>
              <w:left w:val="nil"/>
              <w:bottom w:val="single" w:sz="4" w:space="0" w:color="auto"/>
              <w:right w:val="single" w:sz="4" w:space="0" w:color="auto"/>
            </w:tcBorders>
            <w:shd w:val="clear" w:color="auto" w:fill="A6A6A6" w:themeFill="background1" w:themeFillShade="A6"/>
          </w:tcPr>
          <w:p w14:paraId="4F9DA84E" w14:textId="77777777" w:rsidR="00CA1B87" w:rsidRPr="00CA7301" w:rsidRDefault="00CA1B87" w:rsidP="00CA1B87">
            <w:pPr>
              <w:snapToGrid w:val="0"/>
              <w:spacing w:before="40" w:after="40"/>
              <w:ind w:left="417" w:rightChars="71" w:right="142"/>
              <w:rPr>
                <w:rFonts w:cs="Segoe UI"/>
                <w:b/>
                <w:sz w:val="17"/>
                <w:szCs w:val="17"/>
                <w:lang w:eastAsia="it-IT"/>
              </w:rPr>
            </w:pPr>
          </w:p>
        </w:tc>
        <w:tc>
          <w:tcPr>
            <w:tcW w:w="5951" w:type="dxa"/>
            <w:tcBorders>
              <w:top w:val="single" w:sz="6" w:space="0" w:color="auto"/>
              <w:left w:val="single" w:sz="4" w:space="0" w:color="auto"/>
              <w:bottom w:val="single" w:sz="4" w:space="0" w:color="auto"/>
              <w:right w:val="nil"/>
            </w:tcBorders>
            <w:shd w:val="clear" w:color="auto" w:fill="A6A6A6" w:themeFill="background1" w:themeFillShade="A6"/>
          </w:tcPr>
          <w:p w14:paraId="6E4EA68E" w14:textId="77777777" w:rsidR="00CA1B87" w:rsidRPr="00CA7301" w:rsidRDefault="00CA1B87" w:rsidP="00CA1B87">
            <w:pPr>
              <w:snapToGrid w:val="0"/>
              <w:spacing w:before="40" w:after="40"/>
              <w:ind w:left="57" w:rightChars="71" w:right="142"/>
              <w:rPr>
                <w:rFonts w:cs="Segoe UI"/>
                <w:b/>
                <w:sz w:val="17"/>
                <w:szCs w:val="17"/>
                <w:lang w:eastAsia="it-IT"/>
              </w:rPr>
            </w:pPr>
            <w:r w:rsidRPr="00CA7301">
              <w:rPr>
                <w:rFonts w:cs="Segoe UI"/>
                <w:b/>
                <w:sz w:val="17"/>
                <w:lang w:eastAsia="it-IT"/>
              </w:rPr>
              <w:t>CET1</w:t>
            </w:r>
            <w:r w:rsidRPr="00CA7301">
              <w:rPr>
                <w:rFonts w:eastAsiaTheme="minorEastAsia" w:cs="Segoe UI"/>
                <w:b/>
                <w:sz w:val="17"/>
                <w:lang w:eastAsia="zh-TW"/>
              </w:rPr>
              <w:t>資本：</w:t>
            </w:r>
            <w:r w:rsidRPr="00CA7301">
              <w:rPr>
                <w:rFonts w:eastAsia="新細明體" w:cs="Segoe UI"/>
                <w:b/>
                <w:sz w:val="17"/>
                <w:lang w:eastAsia="it-IT"/>
              </w:rPr>
              <w:t>監管</w:t>
            </w:r>
            <w:r w:rsidRPr="00CA7301">
              <w:rPr>
                <w:rFonts w:eastAsia="新細明體" w:cs="Segoe UI"/>
                <w:b/>
                <w:sz w:val="17"/>
                <w:lang w:eastAsia="zh-TW"/>
              </w:rPr>
              <w:t>扣減</w:t>
            </w:r>
          </w:p>
        </w:tc>
        <w:tc>
          <w:tcPr>
            <w:tcW w:w="1276" w:type="dxa"/>
            <w:tcBorders>
              <w:top w:val="single" w:sz="6" w:space="0" w:color="auto"/>
              <w:left w:val="nil"/>
              <w:bottom w:val="single" w:sz="4" w:space="0" w:color="auto"/>
              <w:right w:val="nil"/>
            </w:tcBorders>
            <w:shd w:val="clear" w:color="auto" w:fill="A6A6A6" w:themeFill="background1" w:themeFillShade="A6"/>
          </w:tcPr>
          <w:p w14:paraId="5A5876D7"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nil"/>
              <w:bottom w:val="single" w:sz="4" w:space="0" w:color="auto"/>
              <w:right w:val="single" w:sz="4" w:space="0" w:color="auto"/>
            </w:tcBorders>
            <w:shd w:val="clear" w:color="auto" w:fill="A6A6A6" w:themeFill="background1" w:themeFillShade="A6"/>
          </w:tcPr>
          <w:p w14:paraId="0ED40D9F" w14:textId="77777777" w:rsidR="00CA1B87" w:rsidRPr="00CA7301" w:rsidRDefault="00CA1B87" w:rsidP="00CA1B87">
            <w:pPr>
              <w:snapToGrid w:val="0"/>
              <w:spacing w:before="40" w:after="40"/>
              <w:jc w:val="center"/>
              <w:rPr>
                <w:rFonts w:cs="Segoe UI"/>
                <w:sz w:val="17"/>
                <w:lang w:eastAsia="it-IT"/>
              </w:rPr>
            </w:pPr>
          </w:p>
        </w:tc>
      </w:tr>
      <w:tr w:rsidR="00CA1B87" w:rsidRPr="00CA7301" w14:paraId="3999A43F"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46DB6896"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7</w:t>
            </w:r>
          </w:p>
        </w:tc>
        <w:tc>
          <w:tcPr>
            <w:tcW w:w="5951" w:type="dxa"/>
            <w:tcBorders>
              <w:top w:val="single" w:sz="6" w:space="0" w:color="auto"/>
              <w:left w:val="single" w:sz="4" w:space="0" w:color="auto"/>
              <w:bottom w:val="single" w:sz="6" w:space="0" w:color="auto"/>
              <w:right w:val="single" w:sz="6" w:space="0" w:color="auto"/>
            </w:tcBorders>
            <w:shd w:val="clear" w:color="auto" w:fill="auto"/>
          </w:tcPr>
          <w:p w14:paraId="6A480BB2" w14:textId="77777777" w:rsidR="00CA1B87" w:rsidRPr="00CA7301" w:rsidRDefault="00CA1B87" w:rsidP="00CA1B87">
            <w:pPr>
              <w:snapToGrid w:val="0"/>
              <w:spacing w:before="40" w:after="40"/>
              <w:ind w:left="57" w:rightChars="71" w:right="142"/>
              <w:rPr>
                <w:rFonts w:eastAsiaTheme="minorEastAsia" w:cs="Segoe UI"/>
                <w:sz w:val="17"/>
                <w:lang w:eastAsia="zh-TW"/>
              </w:rPr>
            </w:pPr>
            <w:r w:rsidRPr="00CA7301">
              <w:rPr>
                <w:rFonts w:eastAsia="新細明體" w:cs="Segoe UI"/>
                <w:sz w:val="17"/>
                <w:lang w:eastAsia="it-IT"/>
              </w:rPr>
              <w:t>估值調整</w:t>
            </w: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68F59742"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6" w:space="0" w:color="auto"/>
              <w:bottom w:val="single" w:sz="6" w:space="0" w:color="auto"/>
              <w:right w:val="single" w:sz="4" w:space="0" w:color="auto"/>
            </w:tcBorders>
            <w:shd w:val="clear" w:color="auto" w:fill="auto"/>
          </w:tcPr>
          <w:p w14:paraId="30B8B8E3" w14:textId="77777777" w:rsidR="00CA1B87" w:rsidRPr="00CA7301" w:rsidRDefault="00CA1B87" w:rsidP="00CA1B87">
            <w:pPr>
              <w:snapToGrid w:val="0"/>
              <w:spacing w:before="40" w:after="40"/>
              <w:jc w:val="center"/>
              <w:rPr>
                <w:rFonts w:cs="Segoe UI"/>
                <w:sz w:val="17"/>
                <w:lang w:eastAsia="it-IT"/>
              </w:rPr>
            </w:pPr>
          </w:p>
        </w:tc>
      </w:tr>
      <w:tr w:rsidR="00CA1B87" w:rsidRPr="00CA7301" w14:paraId="214A06C4"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63EDF2D"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8</w:t>
            </w:r>
          </w:p>
        </w:tc>
        <w:tc>
          <w:tcPr>
            <w:tcW w:w="5951" w:type="dxa"/>
            <w:tcBorders>
              <w:top w:val="single" w:sz="6" w:space="0" w:color="auto"/>
              <w:left w:val="single" w:sz="4" w:space="0" w:color="auto"/>
              <w:bottom w:val="single" w:sz="4" w:space="0" w:color="auto"/>
              <w:right w:val="single" w:sz="6" w:space="0" w:color="auto"/>
            </w:tcBorders>
            <w:shd w:val="clear" w:color="auto" w:fill="auto"/>
          </w:tcPr>
          <w:p w14:paraId="45049677" w14:textId="77777777" w:rsidR="00CA1B87" w:rsidRPr="00CA7301" w:rsidRDefault="00CA1B87" w:rsidP="00CA1B87">
            <w:pPr>
              <w:snapToGrid w:val="0"/>
              <w:spacing w:before="40" w:after="40"/>
              <w:ind w:left="57" w:rightChars="71" w:right="142"/>
              <w:rPr>
                <w:rFonts w:cs="Segoe UI"/>
                <w:sz w:val="17"/>
                <w:lang w:val="en-US" w:eastAsia="it-IT"/>
              </w:rPr>
            </w:pPr>
            <w:r w:rsidRPr="00CA7301">
              <w:rPr>
                <w:rFonts w:eastAsiaTheme="minorEastAsia" w:cs="Segoe UI"/>
                <w:sz w:val="17"/>
                <w:lang w:val="en-US" w:eastAsia="zh-TW"/>
              </w:rPr>
              <w:t>商譽</w:t>
            </w:r>
            <w:r w:rsidRPr="00CA7301">
              <w:rPr>
                <w:rFonts w:eastAsia="細明體" w:cs="Segoe UI"/>
                <w:sz w:val="17"/>
                <w:lang w:val="en-US" w:eastAsia="it-IT"/>
              </w:rPr>
              <w:t>（</w:t>
            </w:r>
            <w:r w:rsidRPr="00CA7301">
              <w:rPr>
                <w:rFonts w:eastAsiaTheme="minorEastAsia" w:cs="Segoe UI"/>
                <w:sz w:val="17"/>
                <w:lang w:val="en-US" w:eastAsia="zh-TW"/>
              </w:rPr>
              <w:t>已</w:t>
            </w:r>
            <w:r w:rsidRPr="00CA7301">
              <w:rPr>
                <w:rFonts w:eastAsia="新細明體" w:cs="Segoe UI"/>
                <w:sz w:val="17"/>
                <w:lang w:eastAsia="it-IT"/>
              </w:rPr>
              <w:t>扣除相聯</w:t>
            </w:r>
            <w:r w:rsidRPr="00CA7301">
              <w:rPr>
                <w:rFonts w:eastAsia="新細明體" w:cs="Segoe UI"/>
                <w:sz w:val="17"/>
                <w:lang w:eastAsia="zh-TW"/>
              </w:rPr>
              <w:t>的</w:t>
            </w:r>
            <w:r w:rsidRPr="00CA7301">
              <w:rPr>
                <w:rFonts w:eastAsia="新細明體" w:cs="Segoe UI"/>
                <w:sz w:val="17"/>
                <w:lang w:eastAsia="it-IT"/>
              </w:rPr>
              <w:t>遞延稅項負債</w:t>
            </w:r>
            <w:r w:rsidRPr="00CA7301">
              <w:rPr>
                <w:rFonts w:eastAsia="細明體" w:cs="Segoe UI"/>
                <w:sz w:val="17"/>
                <w:lang w:val="en-US" w:eastAsia="it-IT"/>
              </w:rPr>
              <w:t>）</w:t>
            </w:r>
          </w:p>
        </w:tc>
        <w:tc>
          <w:tcPr>
            <w:tcW w:w="1276" w:type="dxa"/>
            <w:tcBorders>
              <w:top w:val="single" w:sz="6" w:space="0" w:color="auto"/>
              <w:left w:val="single" w:sz="6" w:space="0" w:color="auto"/>
              <w:bottom w:val="single" w:sz="4" w:space="0" w:color="auto"/>
              <w:right w:val="single" w:sz="6" w:space="0" w:color="auto"/>
            </w:tcBorders>
            <w:shd w:val="clear" w:color="auto" w:fill="auto"/>
          </w:tcPr>
          <w:p w14:paraId="5C0D3A41"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4" w:space="0" w:color="auto"/>
              <w:right w:val="single" w:sz="4" w:space="0" w:color="auto"/>
            </w:tcBorders>
            <w:shd w:val="clear" w:color="auto" w:fill="auto"/>
          </w:tcPr>
          <w:p w14:paraId="0280C674" w14:textId="77777777" w:rsidR="00CA1B87" w:rsidRPr="00CA7301" w:rsidRDefault="00CA1B87" w:rsidP="00CA1B87">
            <w:pPr>
              <w:snapToGrid w:val="0"/>
              <w:spacing w:before="40" w:after="40"/>
              <w:jc w:val="center"/>
              <w:rPr>
                <w:rFonts w:cs="Segoe UI"/>
                <w:sz w:val="17"/>
                <w:lang w:eastAsia="it-IT"/>
              </w:rPr>
            </w:pPr>
            <w:r w:rsidRPr="00CA7301">
              <w:rPr>
                <w:rFonts w:cs="Segoe UI"/>
                <w:sz w:val="17"/>
                <w:lang w:eastAsia="it-IT"/>
              </w:rPr>
              <w:t xml:space="preserve">[a] </w:t>
            </w:r>
            <w:r w:rsidRPr="00CA7301">
              <w:rPr>
                <w:rFonts w:eastAsiaTheme="minorEastAsia" w:cs="Segoe UI"/>
                <w:sz w:val="17"/>
                <w:lang w:eastAsia="zh-TW"/>
              </w:rPr>
              <w:t>減</w:t>
            </w:r>
            <w:r w:rsidRPr="00CA7301">
              <w:rPr>
                <w:rFonts w:cs="Segoe UI"/>
                <w:sz w:val="17"/>
                <w:lang w:eastAsia="it-IT"/>
              </w:rPr>
              <w:t xml:space="preserve"> [</w:t>
            </w:r>
            <w:r w:rsidRPr="00CA7301">
              <w:rPr>
                <w:rFonts w:eastAsiaTheme="minorEastAsia" w:cs="Segoe UI"/>
                <w:sz w:val="17"/>
                <w:lang w:eastAsia="zh-TW"/>
              </w:rPr>
              <w:t>c</w:t>
            </w:r>
            <w:r w:rsidRPr="00CA7301">
              <w:rPr>
                <w:rFonts w:cs="Segoe UI"/>
                <w:sz w:val="17"/>
                <w:lang w:eastAsia="it-IT"/>
              </w:rPr>
              <w:t>]</w:t>
            </w:r>
          </w:p>
        </w:tc>
      </w:tr>
      <w:tr w:rsidR="00CA1B87" w:rsidRPr="00CA7301" w14:paraId="723B5E77"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FF250A4"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9</w:t>
            </w:r>
          </w:p>
        </w:tc>
        <w:tc>
          <w:tcPr>
            <w:tcW w:w="5951" w:type="dxa"/>
            <w:tcBorders>
              <w:top w:val="single" w:sz="4" w:space="0" w:color="auto"/>
              <w:left w:val="single" w:sz="4" w:space="0" w:color="auto"/>
              <w:bottom w:val="single" w:sz="4" w:space="0" w:color="auto"/>
              <w:right w:val="single" w:sz="6" w:space="0" w:color="auto"/>
            </w:tcBorders>
            <w:shd w:val="clear" w:color="auto" w:fill="auto"/>
          </w:tcPr>
          <w:p w14:paraId="7E0C8056"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zh-TW"/>
              </w:rPr>
              <w:t>其他無形資產（已</w:t>
            </w:r>
            <w:r w:rsidRPr="00CA7301">
              <w:rPr>
                <w:rFonts w:eastAsia="新細明體" w:cs="Segoe UI"/>
                <w:sz w:val="17"/>
                <w:lang w:eastAsia="it-IT"/>
              </w:rPr>
              <w:t>扣除相聯的遞延稅項負債</w:t>
            </w:r>
            <w:r w:rsidRPr="00CA7301">
              <w:rPr>
                <w:rFonts w:eastAsia="新細明體" w:cs="Segoe UI"/>
                <w:sz w:val="17"/>
                <w:lang w:eastAsia="zh-TW"/>
              </w:rPr>
              <w:t>）</w:t>
            </w: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40A45E80"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6" w:space="0" w:color="auto"/>
              <w:bottom w:val="single" w:sz="4" w:space="0" w:color="auto"/>
              <w:right w:val="single" w:sz="4" w:space="0" w:color="auto"/>
            </w:tcBorders>
            <w:shd w:val="clear" w:color="auto" w:fill="auto"/>
          </w:tcPr>
          <w:p w14:paraId="7CCA26B1" w14:textId="77777777" w:rsidR="00CA1B87" w:rsidRPr="00CA7301" w:rsidRDefault="00CA1B87" w:rsidP="00CA1B87">
            <w:pPr>
              <w:snapToGrid w:val="0"/>
              <w:spacing w:before="40" w:after="40"/>
              <w:jc w:val="center"/>
              <w:rPr>
                <w:rFonts w:cs="Segoe UI"/>
                <w:sz w:val="17"/>
                <w:lang w:eastAsia="it-IT"/>
              </w:rPr>
            </w:pPr>
            <w:r w:rsidRPr="00CA7301">
              <w:rPr>
                <w:rFonts w:cs="Segoe UI"/>
                <w:sz w:val="17"/>
                <w:lang w:eastAsia="it-IT"/>
              </w:rPr>
              <w:t xml:space="preserve">[b] </w:t>
            </w:r>
            <w:r w:rsidRPr="00CA7301">
              <w:rPr>
                <w:rFonts w:eastAsiaTheme="minorEastAsia" w:cs="Segoe UI"/>
                <w:sz w:val="17"/>
                <w:lang w:eastAsia="zh-TW"/>
              </w:rPr>
              <w:t>減</w:t>
            </w:r>
            <w:r w:rsidRPr="00CA7301">
              <w:rPr>
                <w:rFonts w:cs="Segoe UI"/>
                <w:sz w:val="17"/>
                <w:lang w:eastAsia="it-IT"/>
              </w:rPr>
              <w:t xml:space="preserve"> [</w:t>
            </w:r>
            <w:r w:rsidRPr="00CA7301">
              <w:rPr>
                <w:rFonts w:eastAsiaTheme="minorEastAsia" w:cs="Segoe UI"/>
                <w:sz w:val="17"/>
                <w:lang w:eastAsia="zh-TW"/>
              </w:rPr>
              <w:t>d</w:t>
            </w:r>
            <w:r w:rsidRPr="00CA7301">
              <w:rPr>
                <w:rFonts w:cs="Segoe UI"/>
                <w:sz w:val="17"/>
                <w:lang w:eastAsia="it-IT"/>
              </w:rPr>
              <w:t>]</w:t>
            </w:r>
          </w:p>
        </w:tc>
      </w:tr>
      <w:tr w:rsidR="00CA1B87" w:rsidRPr="00CA7301" w14:paraId="0172FF32"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AA3F955" w14:textId="77777777" w:rsidR="00CA1B87" w:rsidRPr="00CA7301" w:rsidRDefault="00CA1B87" w:rsidP="00CA1B87">
            <w:pPr>
              <w:snapToGrid w:val="0"/>
              <w:spacing w:before="40" w:after="40"/>
              <w:ind w:left="57"/>
              <w:rPr>
                <w:rFonts w:eastAsia="新細明體" w:cs="Segoe UI"/>
                <w:sz w:val="17"/>
                <w:szCs w:val="17"/>
                <w:lang w:eastAsia="zh-TW"/>
              </w:rPr>
            </w:pPr>
            <w:r w:rsidRPr="00CA7301">
              <w:rPr>
                <w:rFonts w:eastAsia="新細明體" w:cs="Segoe UI"/>
                <w:sz w:val="17"/>
                <w:szCs w:val="17"/>
                <w:lang w:eastAsia="en-GB"/>
              </w:rPr>
              <w:t>1</w:t>
            </w:r>
            <w:r w:rsidRPr="00CA7301">
              <w:rPr>
                <w:rFonts w:eastAsia="新細明體" w:cs="Segoe UI"/>
                <w:sz w:val="17"/>
                <w:szCs w:val="17"/>
                <w:lang w:eastAsia="zh-TW"/>
              </w:rPr>
              <w:t>0</w:t>
            </w:r>
          </w:p>
        </w:tc>
        <w:tc>
          <w:tcPr>
            <w:tcW w:w="5951" w:type="dxa"/>
            <w:tcBorders>
              <w:top w:val="single" w:sz="4" w:space="0" w:color="auto"/>
              <w:left w:val="single" w:sz="4" w:space="0" w:color="auto"/>
              <w:bottom w:val="single" w:sz="6" w:space="0" w:color="auto"/>
              <w:right w:val="single" w:sz="6" w:space="0" w:color="auto"/>
            </w:tcBorders>
            <w:shd w:val="clear" w:color="auto" w:fill="auto"/>
          </w:tcPr>
          <w:p w14:paraId="2FA126B2"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Theme="minorEastAsia" w:cs="Segoe UI"/>
                <w:sz w:val="17"/>
                <w:lang w:eastAsia="zh-TW"/>
              </w:rPr>
              <w:t>遞延稅項資產（</w:t>
            </w:r>
            <w:r w:rsidRPr="00CA7301">
              <w:rPr>
                <w:rFonts w:eastAsia="新細明體" w:cs="Segoe UI"/>
                <w:sz w:val="17"/>
                <w:lang w:eastAsia="zh-TW"/>
              </w:rPr>
              <w:t>已</w:t>
            </w:r>
            <w:r w:rsidRPr="00CA7301">
              <w:rPr>
                <w:rFonts w:eastAsia="新細明體" w:cs="Segoe UI"/>
                <w:sz w:val="17"/>
                <w:lang w:eastAsia="it-IT"/>
              </w:rPr>
              <w:t>扣除相聯</w:t>
            </w:r>
            <w:r w:rsidRPr="00CA7301">
              <w:rPr>
                <w:rFonts w:eastAsia="新細明體" w:cs="Segoe UI"/>
                <w:sz w:val="17"/>
                <w:lang w:eastAsia="zh-TW"/>
              </w:rPr>
              <w:t>的</w:t>
            </w:r>
            <w:r w:rsidRPr="00CA7301">
              <w:rPr>
                <w:rFonts w:eastAsia="新細明體" w:cs="Segoe UI"/>
                <w:sz w:val="17"/>
                <w:lang w:eastAsia="it-IT"/>
              </w:rPr>
              <w:t>遞延稅項負債</w:t>
            </w:r>
            <w:r w:rsidRPr="00CA7301">
              <w:rPr>
                <w:rFonts w:eastAsia="新細明體" w:cs="Segoe UI"/>
                <w:sz w:val="17"/>
                <w:lang w:eastAsia="zh-TW"/>
              </w:rPr>
              <w:t>）</w:t>
            </w: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545634F5"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6" w:space="0" w:color="auto"/>
              <w:bottom w:val="single" w:sz="6" w:space="0" w:color="auto"/>
              <w:right w:val="single" w:sz="4" w:space="0" w:color="auto"/>
            </w:tcBorders>
            <w:shd w:val="clear" w:color="auto" w:fill="auto"/>
          </w:tcPr>
          <w:p w14:paraId="0A3A80FC" w14:textId="77777777" w:rsidR="00CA1B87" w:rsidRPr="00CA7301" w:rsidRDefault="00CA1B87" w:rsidP="00CA1B87">
            <w:pPr>
              <w:snapToGrid w:val="0"/>
              <w:spacing w:before="40" w:after="40"/>
              <w:jc w:val="center"/>
              <w:rPr>
                <w:rFonts w:cs="Segoe UI"/>
                <w:sz w:val="17"/>
                <w:lang w:eastAsia="it-IT"/>
              </w:rPr>
            </w:pPr>
          </w:p>
        </w:tc>
      </w:tr>
      <w:tr w:rsidR="00CA1B87" w:rsidRPr="00CA7301" w14:paraId="010B7885"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3B4C4C2"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11</w:t>
            </w:r>
          </w:p>
        </w:tc>
        <w:tc>
          <w:tcPr>
            <w:tcW w:w="5951" w:type="dxa"/>
            <w:tcBorders>
              <w:top w:val="single" w:sz="6" w:space="0" w:color="auto"/>
              <w:left w:val="single" w:sz="4" w:space="0" w:color="auto"/>
              <w:bottom w:val="single" w:sz="4" w:space="0" w:color="auto"/>
              <w:right w:val="single" w:sz="6" w:space="0" w:color="auto"/>
            </w:tcBorders>
            <w:shd w:val="clear" w:color="auto" w:fill="auto"/>
          </w:tcPr>
          <w:p w14:paraId="38ED04AB" w14:textId="77777777" w:rsidR="00CA1B87" w:rsidRPr="00CA7301" w:rsidRDefault="00CA1B87" w:rsidP="00CA1B87">
            <w:pPr>
              <w:snapToGrid w:val="0"/>
              <w:spacing w:before="40" w:after="40"/>
              <w:ind w:left="57" w:rightChars="71" w:right="142"/>
              <w:rPr>
                <w:rFonts w:cs="Segoe UI"/>
                <w:sz w:val="17"/>
                <w:lang w:val="en-US" w:eastAsia="it-IT"/>
              </w:rPr>
            </w:pPr>
            <w:r w:rsidRPr="00CA7301">
              <w:rPr>
                <w:rFonts w:eastAsiaTheme="minorEastAsia" w:cs="Segoe UI"/>
                <w:sz w:val="17"/>
                <w:lang w:val="en-US" w:eastAsia="zh-TW"/>
              </w:rPr>
              <w:t>現金流對沖儲備</w:t>
            </w:r>
          </w:p>
        </w:tc>
        <w:tc>
          <w:tcPr>
            <w:tcW w:w="1276" w:type="dxa"/>
            <w:tcBorders>
              <w:top w:val="single" w:sz="6" w:space="0" w:color="auto"/>
              <w:left w:val="single" w:sz="6" w:space="0" w:color="auto"/>
              <w:bottom w:val="single" w:sz="4" w:space="0" w:color="auto"/>
              <w:right w:val="single" w:sz="6" w:space="0" w:color="auto"/>
            </w:tcBorders>
            <w:shd w:val="clear" w:color="auto" w:fill="auto"/>
          </w:tcPr>
          <w:p w14:paraId="77D8F051"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4" w:space="0" w:color="auto"/>
              <w:right w:val="single" w:sz="4" w:space="0" w:color="auto"/>
            </w:tcBorders>
            <w:shd w:val="clear" w:color="auto" w:fill="auto"/>
          </w:tcPr>
          <w:p w14:paraId="58885400" w14:textId="77777777" w:rsidR="00CA1B87" w:rsidRPr="00CA7301" w:rsidRDefault="00CA1B87" w:rsidP="00CA1B87">
            <w:pPr>
              <w:snapToGrid w:val="0"/>
              <w:spacing w:before="40" w:after="40"/>
              <w:jc w:val="center"/>
              <w:rPr>
                <w:rFonts w:cs="Segoe UI"/>
                <w:sz w:val="17"/>
                <w:lang w:eastAsia="it-IT"/>
              </w:rPr>
            </w:pPr>
          </w:p>
        </w:tc>
      </w:tr>
      <w:tr w:rsidR="00CA1B87" w:rsidRPr="00CA7301" w14:paraId="5A5B41FE" w14:textId="77777777" w:rsidTr="00F62652">
        <w:trPr>
          <w:cantSplit/>
          <w:trHeight w:val="340"/>
        </w:trPr>
        <w:tc>
          <w:tcPr>
            <w:tcW w:w="570" w:type="dxa"/>
            <w:tcBorders>
              <w:top w:val="single" w:sz="4" w:space="0" w:color="auto"/>
              <w:left w:val="nil"/>
              <w:bottom w:val="single" w:sz="4" w:space="0" w:color="auto"/>
              <w:right w:val="single" w:sz="6" w:space="0" w:color="auto"/>
            </w:tcBorders>
          </w:tcPr>
          <w:p w14:paraId="301B24BD"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12</w:t>
            </w:r>
          </w:p>
        </w:tc>
        <w:tc>
          <w:tcPr>
            <w:tcW w:w="5951" w:type="dxa"/>
            <w:tcBorders>
              <w:top w:val="single" w:sz="4" w:space="0" w:color="auto"/>
              <w:left w:val="single" w:sz="6" w:space="0" w:color="auto"/>
              <w:bottom w:val="single" w:sz="4" w:space="0" w:color="auto"/>
              <w:right w:val="single" w:sz="6" w:space="0" w:color="auto"/>
            </w:tcBorders>
          </w:tcPr>
          <w:p w14:paraId="1C5D36C3"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在</w:t>
            </w:r>
            <w:r w:rsidRPr="00CA7301">
              <w:rPr>
                <w:rFonts w:cs="Segoe UI"/>
                <w:sz w:val="17"/>
                <w:lang w:eastAsia="it-IT"/>
              </w:rPr>
              <w:t>IRB</w:t>
            </w:r>
            <w:r w:rsidRPr="00CA7301">
              <w:rPr>
                <w:rFonts w:eastAsia="新細明體" w:cs="Segoe UI"/>
                <w:sz w:val="17"/>
                <w:lang w:eastAsia="it-IT"/>
              </w:rPr>
              <w:t>計算法下</w:t>
            </w:r>
            <w:r w:rsidRPr="00CA7301">
              <w:rPr>
                <w:rFonts w:cs="Segoe UI"/>
                <w:sz w:val="17"/>
                <w:lang w:eastAsia="it-IT"/>
              </w:rPr>
              <w:t>EL</w:t>
            </w:r>
            <w:r w:rsidRPr="00CA7301">
              <w:rPr>
                <w:rFonts w:eastAsia="新細明體" w:cs="Segoe UI"/>
                <w:sz w:val="17"/>
                <w:lang w:eastAsia="it-IT"/>
              </w:rPr>
              <w:t>總額超出合資格準備金總額之數</w:t>
            </w:r>
          </w:p>
        </w:tc>
        <w:tc>
          <w:tcPr>
            <w:tcW w:w="1276" w:type="dxa"/>
            <w:tcBorders>
              <w:top w:val="single" w:sz="4" w:space="0" w:color="auto"/>
              <w:left w:val="single" w:sz="6" w:space="0" w:color="auto"/>
              <w:bottom w:val="single" w:sz="4" w:space="0" w:color="auto"/>
              <w:right w:val="single" w:sz="6" w:space="0" w:color="auto"/>
            </w:tcBorders>
          </w:tcPr>
          <w:p w14:paraId="3F0A9C7C"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6" w:space="0" w:color="auto"/>
              <w:bottom w:val="single" w:sz="4" w:space="0" w:color="auto"/>
              <w:right w:val="single" w:sz="4" w:space="0" w:color="auto"/>
            </w:tcBorders>
          </w:tcPr>
          <w:p w14:paraId="152227BD" w14:textId="77777777" w:rsidR="00CA1B87" w:rsidRPr="00CA7301" w:rsidRDefault="00CA1B87" w:rsidP="00CA1B87">
            <w:pPr>
              <w:snapToGrid w:val="0"/>
              <w:spacing w:before="40" w:after="40"/>
              <w:jc w:val="center"/>
              <w:rPr>
                <w:rFonts w:cs="Segoe UI"/>
                <w:sz w:val="17"/>
                <w:lang w:eastAsia="it-IT"/>
              </w:rPr>
            </w:pPr>
          </w:p>
        </w:tc>
      </w:tr>
      <w:tr w:rsidR="00CA1B87" w:rsidRPr="00CA7301" w14:paraId="4315C823" w14:textId="77777777" w:rsidTr="00F62652">
        <w:trPr>
          <w:cantSplit/>
        </w:trPr>
        <w:tc>
          <w:tcPr>
            <w:tcW w:w="570" w:type="dxa"/>
            <w:tcBorders>
              <w:top w:val="single" w:sz="4" w:space="0" w:color="auto"/>
              <w:left w:val="nil"/>
              <w:bottom w:val="single" w:sz="4" w:space="0" w:color="auto"/>
              <w:right w:val="single" w:sz="4" w:space="0" w:color="auto"/>
            </w:tcBorders>
            <w:shd w:val="clear" w:color="auto" w:fill="auto"/>
          </w:tcPr>
          <w:p w14:paraId="79FFA049"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13</w:t>
            </w:r>
          </w:p>
        </w:tc>
        <w:tc>
          <w:tcPr>
            <w:tcW w:w="5951" w:type="dxa"/>
            <w:tcBorders>
              <w:top w:val="single" w:sz="4" w:space="0" w:color="auto"/>
              <w:left w:val="single" w:sz="4" w:space="0" w:color="auto"/>
              <w:bottom w:val="single" w:sz="4" w:space="0" w:color="auto"/>
              <w:right w:val="single" w:sz="4" w:space="0" w:color="auto"/>
            </w:tcBorders>
          </w:tcPr>
          <w:p w14:paraId="5EB509C1"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由證券化交易產生的提升信用的純利息份額、出售收益及</w:t>
            </w:r>
            <w:r w:rsidRPr="00CA7301">
              <w:rPr>
                <w:rFonts w:eastAsia="新細明體" w:cs="Segoe UI"/>
                <w:sz w:val="17"/>
                <w:lang w:eastAsia="it-IT"/>
              </w:rPr>
              <w:t>CET1</w:t>
            </w:r>
            <w:r w:rsidRPr="00CA7301">
              <w:rPr>
                <w:rFonts w:eastAsia="新細明體" w:cs="Segoe UI"/>
                <w:sz w:val="17"/>
                <w:lang w:eastAsia="it-IT"/>
              </w:rPr>
              <w:t>資本的其他增加數額</w:t>
            </w:r>
          </w:p>
        </w:tc>
        <w:tc>
          <w:tcPr>
            <w:tcW w:w="1276" w:type="dxa"/>
            <w:tcBorders>
              <w:top w:val="single" w:sz="4" w:space="0" w:color="auto"/>
              <w:left w:val="single" w:sz="4" w:space="0" w:color="auto"/>
              <w:bottom w:val="single" w:sz="4" w:space="0" w:color="auto"/>
              <w:right w:val="single" w:sz="4" w:space="0" w:color="auto"/>
            </w:tcBorders>
          </w:tcPr>
          <w:p w14:paraId="6244070E"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tcPr>
          <w:p w14:paraId="66CF8B09" w14:textId="77777777" w:rsidR="00CA1B87" w:rsidRPr="00CA7301" w:rsidRDefault="00CA1B87" w:rsidP="00CA1B87">
            <w:pPr>
              <w:snapToGrid w:val="0"/>
              <w:spacing w:before="40" w:after="40"/>
              <w:jc w:val="center"/>
              <w:rPr>
                <w:rFonts w:cs="Segoe UI"/>
                <w:sz w:val="17"/>
                <w:lang w:eastAsia="it-IT"/>
              </w:rPr>
            </w:pPr>
          </w:p>
        </w:tc>
      </w:tr>
      <w:tr w:rsidR="00CA1B87" w:rsidRPr="00CA7301" w14:paraId="37B73F7F"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5ABC7D3"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14</w:t>
            </w:r>
          </w:p>
        </w:tc>
        <w:tc>
          <w:tcPr>
            <w:tcW w:w="5951" w:type="dxa"/>
            <w:tcBorders>
              <w:top w:val="single" w:sz="4" w:space="0" w:color="auto"/>
              <w:left w:val="single" w:sz="4" w:space="0" w:color="auto"/>
              <w:bottom w:val="single" w:sz="4" w:space="0" w:color="auto"/>
              <w:right w:val="single" w:sz="4" w:space="0" w:color="auto"/>
            </w:tcBorders>
            <w:shd w:val="clear" w:color="auto" w:fill="FFFFFF" w:themeFill="background1"/>
          </w:tcPr>
          <w:p w14:paraId="1A1DACB7"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按公平價值估值的負債因本身的信用風險變動所產生的損益</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77B1C2"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B520B" w14:textId="77777777" w:rsidR="00CA1B87" w:rsidRPr="00CA7301" w:rsidRDefault="00CA1B87" w:rsidP="00CA1B87">
            <w:pPr>
              <w:snapToGrid w:val="0"/>
              <w:spacing w:before="40" w:after="40"/>
              <w:jc w:val="center"/>
              <w:rPr>
                <w:rFonts w:cs="Segoe UI"/>
                <w:sz w:val="17"/>
                <w:lang w:eastAsia="it-IT"/>
              </w:rPr>
            </w:pPr>
          </w:p>
        </w:tc>
      </w:tr>
      <w:tr w:rsidR="00CA1B87" w:rsidRPr="00CA7301" w14:paraId="0A986709"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C0BBA44"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15</w:t>
            </w:r>
          </w:p>
        </w:tc>
        <w:tc>
          <w:tcPr>
            <w:tcW w:w="59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F56EFD"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界定利益的退休金基金淨資產</w:t>
            </w:r>
            <w:r w:rsidRPr="00CA7301">
              <w:rPr>
                <w:rFonts w:eastAsia="細明體" w:cs="Segoe UI"/>
                <w:sz w:val="17"/>
                <w:lang w:eastAsia="it-IT"/>
              </w:rPr>
              <w:t>（</w:t>
            </w:r>
            <w:r w:rsidRPr="00CA7301">
              <w:rPr>
                <w:rFonts w:eastAsia="新細明體" w:cs="Segoe UI"/>
                <w:sz w:val="17"/>
                <w:lang w:eastAsia="it-IT"/>
              </w:rPr>
              <w:t>已扣除相聯</w:t>
            </w:r>
            <w:r w:rsidRPr="00CA7301">
              <w:rPr>
                <w:rFonts w:eastAsia="新細明體" w:cs="Segoe UI"/>
                <w:sz w:val="17"/>
                <w:lang w:eastAsia="zh-TW"/>
              </w:rPr>
              <w:t>的</w:t>
            </w:r>
            <w:r w:rsidRPr="00CA7301">
              <w:rPr>
                <w:rFonts w:eastAsia="新細明體" w:cs="Segoe UI"/>
                <w:sz w:val="17"/>
                <w:lang w:eastAsia="it-IT"/>
              </w:rPr>
              <w:t>遞延稅項負債</w:t>
            </w:r>
            <w:r w:rsidRPr="00CA7301">
              <w:rPr>
                <w:rFonts w:eastAsia="細明體" w:cs="Segoe UI"/>
                <w:sz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AAFA0CC"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EB8977C" w14:textId="77777777" w:rsidR="00CA1B87" w:rsidRPr="00CA7301" w:rsidRDefault="00CA1B87" w:rsidP="00CA1B87">
            <w:pPr>
              <w:snapToGrid w:val="0"/>
              <w:spacing w:before="40" w:after="40"/>
              <w:jc w:val="center"/>
              <w:rPr>
                <w:rFonts w:cs="Segoe UI"/>
                <w:sz w:val="17"/>
                <w:lang w:eastAsia="it-IT"/>
              </w:rPr>
            </w:pPr>
          </w:p>
        </w:tc>
      </w:tr>
      <w:tr w:rsidR="00CA1B87" w:rsidRPr="00CA7301" w14:paraId="6148BAC3"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3B588D5"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16</w:t>
            </w:r>
          </w:p>
        </w:tc>
        <w:tc>
          <w:tcPr>
            <w:tcW w:w="59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4F0E93"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於機構本身的</w:t>
            </w:r>
            <w:r w:rsidRPr="00CA7301">
              <w:rPr>
                <w:rFonts w:cs="Segoe UI"/>
                <w:sz w:val="17"/>
                <w:lang w:eastAsia="it-IT"/>
              </w:rPr>
              <w:t>CET1</w:t>
            </w:r>
            <w:r w:rsidRPr="00CA7301">
              <w:rPr>
                <w:rFonts w:eastAsia="新細明體" w:cs="Segoe UI"/>
                <w:sz w:val="17"/>
                <w:lang w:eastAsia="it-IT"/>
              </w:rPr>
              <w:t>資本票據的投資</w:t>
            </w:r>
            <w:r w:rsidRPr="00CA7301">
              <w:rPr>
                <w:rFonts w:eastAsia="細明體" w:cs="Segoe UI"/>
                <w:sz w:val="17"/>
                <w:lang w:eastAsia="it-IT"/>
              </w:rPr>
              <w:t>（</w:t>
            </w:r>
            <w:r w:rsidRPr="00CA7301">
              <w:rPr>
                <w:rFonts w:eastAsia="新細明體" w:cs="Segoe UI"/>
                <w:sz w:val="17"/>
                <w:lang w:eastAsia="it-IT"/>
              </w:rPr>
              <w:t>若並未在所報告的資產負債表中從實繳資本中扣除</w:t>
            </w:r>
            <w:r w:rsidRPr="00CA7301">
              <w:rPr>
                <w:rFonts w:eastAsia="細明體" w:cs="Segoe UI"/>
                <w:sz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EEE3EA"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AA3890" w14:textId="77777777" w:rsidR="00CA1B87" w:rsidRPr="00CA7301" w:rsidRDefault="00CA1B87" w:rsidP="00CA1B87">
            <w:pPr>
              <w:snapToGrid w:val="0"/>
              <w:spacing w:before="40" w:after="40"/>
              <w:jc w:val="center"/>
              <w:rPr>
                <w:rFonts w:cs="Segoe UI"/>
                <w:sz w:val="17"/>
                <w:lang w:eastAsia="it-IT"/>
              </w:rPr>
            </w:pPr>
          </w:p>
        </w:tc>
      </w:tr>
      <w:tr w:rsidR="00CA1B87" w:rsidRPr="00CA7301" w14:paraId="780A5154"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E31AB7F"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17</w:t>
            </w:r>
          </w:p>
        </w:tc>
        <w:tc>
          <w:tcPr>
            <w:tcW w:w="5951" w:type="dxa"/>
            <w:tcBorders>
              <w:top w:val="single" w:sz="4" w:space="0" w:color="auto"/>
              <w:left w:val="single" w:sz="4" w:space="0" w:color="auto"/>
              <w:bottom w:val="single" w:sz="4" w:space="0" w:color="auto"/>
              <w:right w:val="single" w:sz="4" w:space="0" w:color="auto"/>
            </w:tcBorders>
            <w:shd w:val="clear" w:color="auto" w:fill="FFFFFF" w:themeFill="background1"/>
          </w:tcPr>
          <w:p w14:paraId="128D0D1E"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互相交叉持有的</w:t>
            </w:r>
            <w:r w:rsidRPr="00CA7301">
              <w:rPr>
                <w:rFonts w:cs="Segoe UI"/>
                <w:sz w:val="17"/>
                <w:lang w:eastAsia="it-IT"/>
              </w:rPr>
              <w:t>CET1</w:t>
            </w:r>
            <w:r w:rsidRPr="00CA7301">
              <w:rPr>
                <w:rFonts w:eastAsia="新細明體" w:cs="Segoe UI"/>
                <w:sz w:val="17"/>
                <w:lang w:eastAsia="it-IT"/>
              </w:rPr>
              <w:t>資本票據</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83CF38B"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57E573" w14:textId="77777777" w:rsidR="00CA1B87" w:rsidRPr="00CA7301" w:rsidRDefault="00CA1B87" w:rsidP="00CA1B87">
            <w:pPr>
              <w:snapToGrid w:val="0"/>
              <w:spacing w:before="40" w:after="40"/>
              <w:jc w:val="center"/>
              <w:rPr>
                <w:rFonts w:cs="Segoe UI"/>
                <w:sz w:val="17"/>
                <w:lang w:eastAsia="it-IT"/>
              </w:rPr>
            </w:pPr>
          </w:p>
        </w:tc>
      </w:tr>
      <w:tr w:rsidR="00CA1B87" w:rsidRPr="00CA7301" w14:paraId="1C8B0D1B"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EDEFA94"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18</w:t>
            </w:r>
          </w:p>
        </w:tc>
        <w:tc>
          <w:tcPr>
            <w:tcW w:w="59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3FCB5F" w14:textId="77777777" w:rsidR="00CA1B87" w:rsidRPr="00CA7301" w:rsidRDefault="00CA1B87" w:rsidP="00CA1B87">
            <w:pPr>
              <w:snapToGrid w:val="0"/>
              <w:spacing w:before="40" w:after="40"/>
              <w:ind w:left="57" w:rightChars="71" w:right="142"/>
              <w:rPr>
                <w:rFonts w:eastAsiaTheme="minorEastAsia" w:cs="Segoe UI"/>
                <w:sz w:val="17"/>
                <w:lang w:eastAsia="zh-TW"/>
              </w:rPr>
            </w:pPr>
            <w:r w:rsidRPr="00CA7301">
              <w:rPr>
                <w:rFonts w:eastAsia="新細明體" w:cs="Segoe UI"/>
                <w:sz w:val="17"/>
                <w:lang w:eastAsia="it-IT"/>
              </w:rPr>
              <w:t>於在監管綜合範圍以外的金融業實體發行的</w:t>
            </w:r>
            <w:r w:rsidRPr="00CA7301">
              <w:rPr>
                <w:rFonts w:cs="Segoe UI"/>
                <w:sz w:val="17"/>
                <w:lang w:eastAsia="it-IT"/>
              </w:rPr>
              <w:t>CET1</w:t>
            </w:r>
            <w:r w:rsidRPr="00CA7301">
              <w:rPr>
                <w:rFonts w:eastAsia="新細明體" w:cs="Segoe UI"/>
                <w:sz w:val="17"/>
                <w:lang w:eastAsia="it-IT"/>
              </w:rPr>
              <w:t>資本票據的非重大</w:t>
            </w:r>
            <w:r w:rsidR="00697865">
              <w:rPr>
                <w:rFonts w:eastAsia="新細明體" w:cs="Segoe UI" w:hint="eastAsia"/>
                <w:sz w:val="17"/>
                <w:lang w:eastAsia="zh-TW"/>
              </w:rPr>
              <w:t>LAC</w:t>
            </w:r>
            <w:r w:rsidRPr="00CA7301">
              <w:rPr>
                <w:rFonts w:eastAsia="新細明體" w:cs="Segoe UI"/>
                <w:sz w:val="17"/>
                <w:lang w:eastAsia="it-IT"/>
              </w:rPr>
              <w:t>投資</w:t>
            </w:r>
            <w:r w:rsidRPr="00CA7301">
              <w:rPr>
                <w:rFonts w:eastAsia="新細明體" w:cs="Segoe UI"/>
                <w:sz w:val="17"/>
                <w:lang w:eastAsia="zh-TW"/>
              </w:rPr>
              <w:t xml:space="preserve"> </w:t>
            </w:r>
            <w:r w:rsidRPr="00CA7301">
              <w:rPr>
                <w:rFonts w:eastAsia="新細明體" w:cs="Segoe UI"/>
                <w:sz w:val="17"/>
                <w:lang w:eastAsia="zh-TW"/>
              </w:rPr>
              <w:t>（</w:t>
            </w:r>
            <w:r w:rsidRPr="00CA7301">
              <w:rPr>
                <w:rFonts w:eastAsia="新細明體" w:cs="Segoe UI"/>
                <w:sz w:val="17"/>
                <w:lang w:eastAsia="it-IT"/>
              </w:rPr>
              <w:t>超出</w:t>
            </w:r>
            <w:r w:rsidRPr="00CA7301">
              <w:rPr>
                <w:rFonts w:cs="Segoe UI"/>
                <w:sz w:val="17"/>
                <w:lang w:eastAsia="it-IT"/>
              </w:rPr>
              <w:t>10%</w:t>
            </w:r>
            <w:r w:rsidRPr="00CA7301">
              <w:rPr>
                <w:rFonts w:eastAsia="新細明體" w:cs="Segoe UI"/>
                <w:sz w:val="17"/>
                <w:lang w:eastAsia="it-IT"/>
              </w:rPr>
              <w:t>門檻之數</w:t>
            </w:r>
            <w:r w:rsidRPr="00CA7301">
              <w:rPr>
                <w:rFonts w:eastAsia="細明體" w:cs="Segoe UI"/>
                <w:sz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69B98E"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03F59" w14:textId="77777777" w:rsidR="00CA1B87" w:rsidRPr="00CA7301" w:rsidRDefault="00CA1B87" w:rsidP="00CA1B87">
            <w:pPr>
              <w:snapToGrid w:val="0"/>
              <w:spacing w:before="40" w:after="40"/>
              <w:jc w:val="center"/>
              <w:rPr>
                <w:rFonts w:cs="Segoe UI"/>
                <w:sz w:val="17"/>
                <w:lang w:eastAsia="it-IT"/>
              </w:rPr>
            </w:pPr>
          </w:p>
        </w:tc>
      </w:tr>
      <w:tr w:rsidR="00CA1B87" w:rsidRPr="00CA7301" w14:paraId="37BDD951"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D827B22"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19</w:t>
            </w:r>
          </w:p>
        </w:tc>
        <w:tc>
          <w:tcPr>
            <w:tcW w:w="59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9547" w14:textId="77777777" w:rsidR="00CA1B87" w:rsidRPr="00CA7301" w:rsidRDefault="00CA1B87" w:rsidP="00697865">
            <w:pPr>
              <w:snapToGrid w:val="0"/>
              <w:spacing w:before="40" w:after="40"/>
              <w:ind w:left="57" w:rightChars="71" w:right="142"/>
              <w:rPr>
                <w:rFonts w:cs="Segoe UI"/>
                <w:sz w:val="17"/>
                <w:lang w:eastAsia="it-IT"/>
              </w:rPr>
            </w:pPr>
            <w:r w:rsidRPr="00CA7301">
              <w:rPr>
                <w:rFonts w:eastAsia="新細明體" w:cs="Segoe UI"/>
                <w:sz w:val="17"/>
                <w:lang w:eastAsia="it-IT"/>
              </w:rPr>
              <w:t>於在監管綜合範圍以外的金融業實體發行的</w:t>
            </w:r>
            <w:r w:rsidRPr="00CA7301">
              <w:rPr>
                <w:rFonts w:cs="Segoe UI"/>
                <w:sz w:val="17"/>
                <w:lang w:eastAsia="it-IT"/>
              </w:rPr>
              <w:t>CET1</w:t>
            </w:r>
            <w:r w:rsidRPr="00CA7301">
              <w:rPr>
                <w:rFonts w:eastAsia="新細明體" w:cs="Segoe UI"/>
                <w:sz w:val="17"/>
                <w:lang w:eastAsia="it-IT"/>
              </w:rPr>
              <w:t>資本票據的重大</w:t>
            </w:r>
            <w:r w:rsidR="00697865">
              <w:rPr>
                <w:rFonts w:eastAsia="新細明體" w:cs="Segoe UI" w:hint="eastAsia"/>
                <w:sz w:val="17"/>
                <w:lang w:eastAsia="zh-TW"/>
              </w:rPr>
              <w:t>LAC</w:t>
            </w:r>
            <w:r w:rsidRPr="00CA7301">
              <w:rPr>
                <w:rFonts w:eastAsia="新細明體" w:cs="Segoe UI"/>
                <w:sz w:val="17"/>
                <w:lang w:eastAsia="it-IT"/>
              </w:rPr>
              <w:t>投資</w:t>
            </w:r>
            <w:r w:rsidRPr="00CA7301">
              <w:rPr>
                <w:rFonts w:eastAsia="細明體" w:cs="Segoe UI"/>
                <w:sz w:val="17"/>
                <w:lang w:eastAsia="it-IT"/>
              </w:rPr>
              <w:t>（</w:t>
            </w:r>
            <w:r w:rsidRPr="00CA7301">
              <w:rPr>
                <w:rFonts w:eastAsia="新細明體" w:cs="Segoe UI"/>
                <w:sz w:val="17"/>
                <w:lang w:eastAsia="it-IT"/>
              </w:rPr>
              <w:t>超出</w:t>
            </w:r>
            <w:r w:rsidRPr="00CA7301">
              <w:rPr>
                <w:rFonts w:cs="Segoe UI"/>
                <w:sz w:val="17"/>
                <w:lang w:eastAsia="it-IT"/>
              </w:rPr>
              <w:t>10%</w:t>
            </w:r>
            <w:r w:rsidRPr="00CA7301">
              <w:rPr>
                <w:rFonts w:eastAsia="新細明體" w:cs="Segoe UI"/>
                <w:sz w:val="17"/>
                <w:lang w:eastAsia="it-IT"/>
              </w:rPr>
              <w:t>門檻之數</w:t>
            </w:r>
            <w:r w:rsidRPr="00CA7301">
              <w:rPr>
                <w:rFonts w:eastAsia="細明體" w:cs="Segoe UI"/>
                <w:sz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FD9B09"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184BB" w14:textId="77777777" w:rsidR="00CA1B87" w:rsidRPr="00CA7301" w:rsidRDefault="00CA1B87" w:rsidP="00CA1B87">
            <w:pPr>
              <w:snapToGrid w:val="0"/>
              <w:spacing w:before="40" w:after="40"/>
              <w:jc w:val="center"/>
              <w:rPr>
                <w:rFonts w:cs="Segoe UI"/>
                <w:sz w:val="17"/>
                <w:lang w:eastAsia="it-IT"/>
              </w:rPr>
            </w:pPr>
          </w:p>
        </w:tc>
      </w:tr>
      <w:tr w:rsidR="00CA1B87" w:rsidRPr="00CA7301" w14:paraId="03C78222"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946DB09"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20</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7E4D9D3E" w14:textId="77777777" w:rsidR="00CA1B87" w:rsidRPr="00CA7301" w:rsidDel="001C71B9"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按揭供款管理權</w:t>
            </w:r>
            <w:r w:rsidRPr="00CA7301">
              <w:rPr>
                <w:rFonts w:eastAsia="細明體" w:cs="Segoe UI"/>
                <w:sz w:val="17"/>
                <w:lang w:eastAsia="it-IT"/>
              </w:rPr>
              <w:t>（</w:t>
            </w:r>
            <w:r w:rsidRPr="00CA7301">
              <w:rPr>
                <w:rFonts w:eastAsia="新細明體" w:cs="Segoe UI"/>
                <w:sz w:val="17"/>
                <w:lang w:eastAsia="it-IT"/>
              </w:rPr>
              <w:t>已扣除相聯</w:t>
            </w:r>
            <w:r w:rsidRPr="00CA7301">
              <w:rPr>
                <w:rFonts w:eastAsia="新細明體" w:cs="Segoe UI"/>
                <w:sz w:val="17"/>
                <w:lang w:eastAsia="zh-TW"/>
              </w:rPr>
              <w:t>的</w:t>
            </w:r>
            <w:r w:rsidRPr="00CA7301">
              <w:rPr>
                <w:rFonts w:eastAsia="新細明體" w:cs="Segoe UI"/>
                <w:sz w:val="17"/>
                <w:lang w:eastAsia="it-IT"/>
              </w:rPr>
              <w:t>遞延稅項負債</w:t>
            </w:r>
            <w:r w:rsidRPr="00CA7301">
              <w:rPr>
                <w:rFonts w:eastAsia="細明體" w:cs="Segoe UI"/>
                <w:sz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2963D7A" w14:textId="77777777" w:rsidR="00CA1B87" w:rsidRPr="00CA7301" w:rsidRDefault="00CA1B87" w:rsidP="00CA1B87">
            <w:pPr>
              <w:snapToGrid w:val="0"/>
              <w:spacing w:before="40" w:after="40"/>
              <w:jc w:val="center"/>
              <w:rPr>
                <w:rFonts w:cs="Segoe UI"/>
                <w:sz w:val="17"/>
                <w:lang w:eastAsia="it-IT"/>
              </w:rPr>
            </w:pPr>
            <w:r w:rsidRPr="00CA7301">
              <w:rPr>
                <w:rFonts w:eastAsiaTheme="minorEastAsia" w:cs="Segoe UI"/>
                <w:sz w:val="17"/>
                <w:lang w:eastAsia="zh-TW"/>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8C11ECD"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CA1B87" w:rsidRPr="00CA7301" w14:paraId="6EF79A17"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7D80CCC"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21</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566FBBA9" w14:textId="77777777" w:rsidR="00CA1B87" w:rsidRPr="00CA7301" w:rsidRDefault="00CA1B87" w:rsidP="00CA1B87">
            <w:pPr>
              <w:snapToGrid w:val="0"/>
              <w:spacing w:before="40" w:after="40"/>
              <w:ind w:left="57" w:rightChars="71" w:right="142"/>
              <w:rPr>
                <w:rFonts w:cs="Segoe UI"/>
                <w:sz w:val="17"/>
                <w:lang w:val="en-US" w:eastAsia="it-IT"/>
              </w:rPr>
            </w:pPr>
            <w:r w:rsidRPr="00CA7301">
              <w:rPr>
                <w:rFonts w:eastAsia="新細明體" w:cs="Segoe UI"/>
                <w:sz w:val="17"/>
                <w:lang w:val="en-US" w:eastAsia="zh-TW"/>
              </w:rPr>
              <w:t>由</w:t>
            </w:r>
            <w:r w:rsidRPr="00CA7301">
              <w:rPr>
                <w:rFonts w:eastAsia="新細明體" w:cs="Segoe UI"/>
                <w:sz w:val="17"/>
                <w:lang w:val="en-US" w:eastAsia="it-IT"/>
              </w:rPr>
              <w:t>暫時性差異產生的遞延稅項資產</w:t>
            </w:r>
            <w:r w:rsidRPr="00CA7301">
              <w:rPr>
                <w:rFonts w:eastAsia="細明體" w:cs="Segoe UI"/>
                <w:sz w:val="17"/>
                <w:lang w:val="en-US" w:eastAsia="it-IT"/>
              </w:rPr>
              <w:t>（</w:t>
            </w:r>
            <w:r w:rsidRPr="00CA7301">
              <w:rPr>
                <w:rFonts w:eastAsia="新細明體" w:cs="Segoe UI"/>
                <w:sz w:val="17"/>
                <w:lang w:val="en-US" w:eastAsia="it-IT"/>
              </w:rPr>
              <w:t>已扣除相聯</w:t>
            </w:r>
            <w:r w:rsidRPr="00CA7301">
              <w:rPr>
                <w:rFonts w:eastAsia="新細明體" w:cs="Segoe UI"/>
                <w:sz w:val="17"/>
                <w:lang w:val="en-US" w:eastAsia="zh-TW"/>
              </w:rPr>
              <w:t>的</w:t>
            </w:r>
            <w:r w:rsidRPr="00CA7301">
              <w:rPr>
                <w:rFonts w:eastAsia="新細明體" w:cs="Segoe UI"/>
                <w:sz w:val="17"/>
                <w:lang w:val="en-US" w:eastAsia="it-IT"/>
              </w:rPr>
              <w:t>遞延稅項負債</w:t>
            </w:r>
            <w:r w:rsidRPr="00CA7301">
              <w:rPr>
                <w:rFonts w:eastAsia="細明體" w:cs="Segoe UI"/>
                <w:sz w:val="17"/>
                <w:lang w:val="en-US"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77F1C29"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2681B9A"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CA1B87" w:rsidRPr="00CA7301" w14:paraId="648883A7"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BDF5893"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22</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3255BF51" w14:textId="77777777" w:rsidR="00CA1B87" w:rsidRPr="00CA7301" w:rsidRDefault="00CA1B87" w:rsidP="00CA1B87">
            <w:pPr>
              <w:snapToGrid w:val="0"/>
              <w:spacing w:before="40" w:after="40"/>
              <w:ind w:left="57" w:rightChars="71" w:right="142"/>
              <w:rPr>
                <w:rFonts w:cs="Segoe UI"/>
                <w:sz w:val="17"/>
                <w:lang w:val="en-US" w:eastAsia="it-IT"/>
              </w:rPr>
            </w:pPr>
            <w:r w:rsidRPr="00CA7301">
              <w:rPr>
                <w:rFonts w:eastAsia="新細明體" w:cs="Segoe UI"/>
                <w:sz w:val="17"/>
                <w:lang w:val="en-US" w:eastAsia="it-IT"/>
              </w:rPr>
              <w:t>超出</w:t>
            </w:r>
            <w:r w:rsidRPr="00CA7301">
              <w:rPr>
                <w:rFonts w:cs="Segoe UI"/>
                <w:sz w:val="17"/>
                <w:lang w:val="en-US" w:eastAsia="it-IT"/>
              </w:rPr>
              <w:t>15%</w:t>
            </w:r>
            <w:r w:rsidRPr="00CA7301">
              <w:rPr>
                <w:rFonts w:eastAsia="新細明體" w:cs="Segoe UI"/>
                <w:sz w:val="17"/>
                <w:lang w:val="en-US" w:eastAsia="it-IT"/>
              </w:rPr>
              <w:t>門檻之數</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995DF2" w14:textId="77777777" w:rsidR="00CA1B87" w:rsidRPr="00CA7301" w:rsidRDefault="00CA1B87" w:rsidP="00CA1B87">
            <w:pPr>
              <w:snapToGrid w:val="0"/>
              <w:spacing w:before="40" w:after="40"/>
              <w:jc w:val="center"/>
              <w:rPr>
                <w:rFonts w:cs="Segoe UI"/>
                <w:sz w:val="17"/>
                <w:lang w:eastAsia="it-IT"/>
              </w:rPr>
            </w:pPr>
            <w:r w:rsidRPr="00CA7301">
              <w:rPr>
                <w:rFonts w:eastAsiaTheme="minorEastAsia" w:cs="Segoe UI"/>
                <w:sz w:val="17"/>
                <w:lang w:eastAsia="zh-TW"/>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B5C661"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CA1B87" w:rsidRPr="00CA7301" w14:paraId="2D95CD1B"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42F86CA"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23</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0E52ED85" w14:textId="77777777" w:rsidR="00CA1B87" w:rsidRPr="00CA7301" w:rsidRDefault="00CA1B87" w:rsidP="00CA1B87">
            <w:pPr>
              <w:snapToGrid w:val="0"/>
              <w:spacing w:before="40" w:after="40"/>
              <w:ind w:left="423" w:rightChars="71" w:right="142"/>
              <w:rPr>
                <w:rFonts w:cs="Segoe UI"/>
                <w:sz w:val="17"/>
                <w:lang w:eastAsia="it-IT"/>
              </w:rPr>
            </w:pPr>
            <w:r w:rsidRPr="00CA7301">
              <w:rPr>
                <w:rFonts w:eastAsia="新細明體" w:cs="Segoe UI"/>
                <w:sz w:val="17"/>
                <w:lang w:eastAsia="it-IT"/>
              </w:rPr>
              <w:t>其中：於金融業實體的普通股的重大投資</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6EBDA4"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96E0A82"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CA1B87" w:rsidRPr="00CA7301" w14:paraId="117DD024"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66EA6145"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24</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48A27373" w14:textId="77777777" w:rsidR="00CA1B87" w:rsidRPr="00CA7301" w:rsidRDefault="00CA1B87" w:rsidP="00CA1B87">
            <w:pPr>
              <w:snapToGrid w:val="0"/>
              <w:spacing w:before="40" w:after="40"/>
              <w:ind w:left="423" w:rightChars="71" w:right="142"/>
              <w:rPr>
                <w:rFonts w:cs="Segoe UI"/>
                <w:sz w:val="17"/>
                <w:lang w:eastAsia="it-IT"/>
              </w:rPr>
            </w:pPr>
            <w:r w:rsidRPr="00CA7301">
              <w:rPr>
                <w:rFonts w:eastAsia="新細明體" w:cs="Segoe UI"/>
                <w:sz w:val="17"/>
                <w:lang w:eastAsia="it-IT"/>
              </w:rPr>
              <w:t>其中：按揭供款管理權</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B33E563"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0F3BBF1"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CA1B87" w:rsidRPr="00CA7301" w14:paraId="0172F03F"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2A6A269"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25</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6DB16BDC" w14:textId="77777777" w:rsidR="00CA1B87" w:rsidRPr="00CA7301" w:rsidRDefault="00CA1B87" w:rsidP="00CA1B87">
            <w:pPr>
              <w:snapToGrid w:val="0"/>
              <w:spacing w:before="40" w:after="40"/>
              <w:ind w:left="423" w:rightChars="71" w:right="142"/>
              <w:rPr>
                <w:rFonts w:cs="Segoe UI"/>
                <w:sz w:val="17"/>
                <w:lang w:eastAsia="it-IT"/>
              </w:rPr>
            </w:pPr>
            <w:r w:rsidRPr="00CA7301">
              <w:rPr>
                <w:rFonts w:eastAsia="新細明體" w:cs="Segoe UI"/>
                <w:sz w:val="17"/>
                <w:lang w:eastAsia="it-IT"/>
              </w:rPr>
              <w:t>其中：由暫時性差異產生的遞延稅項資產</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A83CF55"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DB5C5D2" w14:textId="77777777" w:rsidR="00CA1B87" w:rsidRPr="00CA7301" w:rsidRDefault="00CA1B87"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CA1B87" w:rsidRPr="00CA7301" w14:paraId="72142155"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1774408"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4779A1A7"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適用於</w:t>
            </w:r>
            <w:r w:rsidRPr="00CA7301">
              <w:rPr>
                <w:rFonts w:cs="Segoe UI"/>
                <w:sz w:val="17"/>
                <w:lang w:eastAsia="it-IT"/>
              </w:rPr>
              <w:t>CET1</w:t>
            </w:r>
            <w:r w:rsidRPr="00CA7301">
              <w:rPr>
                <w:rFonts w:eastAsia="新細明體" w:cs="Segoe UI"/>
                <w:sz w:val="17"/>
                <w:lang w:eastAsia="it-IT"/>
              </w:rPr>
              <w:t>資本的司法管轄區特定監管調整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3B523C"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E7967" w14:textId="77777777" w:rsidR="00CA1B87" w:rsidRPr="00CA7301" w:rsidRDefault="00CA1B87" w:rsidP="00CA1B87">
            <w:pPr>
              <w:snapToGrid w:val="0"/>
              <w:spacing w:before="40" w:after="40"/>
              <w:jc w:val="center"/>
              <w:rPr>
                <w:rFonts w:cs="Segoe UI"/>
                <w:sz w:val="17"/>
                <w:lang w:eastAsia="it-IT"/>
              </w:rPr>
            </w:pPr>
          </w:p>
        </w:tc>
      </w:tr>
      <w:tr w:rsidR="00CA1B87" w:rsidRPr="00CA7301" w14:paraId="407D2E38"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94FAD92"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26a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50C27EE6"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因土地及建築物</w:t>
            </w:r>
            <w:r w:rsidRPr="00CA7301">
              <w:rPr>
                <w:rFonts w:eastAsia="細明體" w:cs="Segoe UI"/>
                <w:sz w:val="17"/>
                <w:lang w:eastAsia="it-IT"/>
              </w:rPr>
              <w:t>（</w:t>
            </w:r>
            <w:r w:rsidRPr="00CA7301">
              <w:rPr>
                <w:rFonts w:eastAsia="新細明體" w:cs="Segoe UI"/>
                <w:sz w:val="17"/>
                <w:lang w:eastAsia="it-IT"/>
              </w:rPr>
              <w:t>自用及投資用途</w:t>
            </w:r>
            <w:r w:rsidRPr="00CA7301">
              <w:rPr>
                <w:rFonts w:eastAsia="細明體" w:cs="Segoe UI"/>
                <w:sz w:val="17"/>
                <w:lang w:eastAsia="it-IT"/>
              </w:rPr>
              <w:t>）</w:t>
            </w:r>
            <w:r w:rsidRPr="00CA7301">
              <w:rPr>
                <w:rFonts w:eastAsiaTheme="minorEastAsia" w:cs="Segoe UI"/>
                <w:sz w:val="17"/>
                <w:lang w:eastAsia="zh-TW"/>
              </w:rPr>
              <w:t>進行</w:t>
            </w:r>
            <w:r w:rsidRPr="00CA7301">
              <w:rPr>
                <w:rFonts w:eastAsia="新細明體" w:cs="Segoe UI"/>
                <w:sz w:val="17"/>
                <w:lang w:eastAsia="it-IT"/>
              </w:rPr>
              <w:t>價值</w:t>
            </w:r>
            <w:r w:rsidRPr="00CA7301">
              <w:rPr>
                <w:rFonts w:eastAsia="新細明體" w:cs="Segoe UI"/>
                <w:sz w:val="17"/>
                <w:lang w:eastAsia="zh-TW"/>
              </w:rPr>
              <w:t>重估</w:t>
            </w:r>
            <w:r w:rsidRPr="00CA7301">
              <w:rPr>
                <w:rFonts w:eastAsia="新細明體" w:cs="Segoe UI"/>
                <w:sz w:val="17"/>
                <w:lang w:eastAsia="it-IT"/>
              </w:rPr>
              <w:t>而產生的累積公平價值收益</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8B149F"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A2F427" w14:textId="77777777" w:rsidR="00CA1B87" w:rsidRPr="00CA7301" w:rsidRDefault="00CA1B87" w:rsidP="00CA1B87">
            <w:pPr>
              <w:snapToGrid w:val="0"/>
              <w:spacing w:before="40" w:after="40"/>
              <w:jc w:val="center"/>
              <w:rPr>
                <w:rFonts w:cs="Segoe UI"/>
                <w:sz w:val="17"/>
                <w:lang w:eastAsia="it-IT"/>
              </w:rPr>
            </w:pPr>
          </w:p>
        </w:tc>
      </w:tr>
      <w:tr w:rsidR="00CA1B87" w:rsidRPr="00CA7301" w14:paraId="5C5173C9"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D630113"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26b</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A2D0180"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一般銀行業務風險監管儲備</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9F9645"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97D4" w14:textId="77777777" w:rsidR="00CA1B87" w:rsidRPr="00CA7301" w:rsidRDefault="00CA1B87" w:rsidP="00CA1B87">
            <w:pPr>
              <w:snapToGrid w:val="0"/>
              <w:spacing w:before="40" w:after="40"/>
              <w:jc w:val="center"/>
              <w:rPr>
                <w:rFonts w:cs="Segoe UI"/>
                <w:sz w:val="17"/>
                <w:lang w:eastAsia="it-IT"/>
              </w:rPr>
            </w:pPr>
          </w:p>
        </w:tc>
      </w:tr>
      <w:tr w:rsidR="00CA1B87" w:rsidRPr="00CA7301" w14:paraId="2FC56D7B"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3BD3C2B5"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26c</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45E167AE"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金融管理專員給予的通知所指明的證券化類別風險承擔</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535473"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DBC29A" w14:textId="77777777" w:rsidR="00CA1B87" w:rsidRPr="00CA7301" w:rsidRDefault="00CA1B87" w:rsidP="00CA1B87">
            <w:pPr>
              <w:snapToGrid w:val="0"/>
              <w:spacing w:before="40" w:after="40"/>
              <w:jc w:val="center"/>
              <w:rPr>
                <w:rFonts w:cs="Segoe UI"/>
                <w:sz w:val="17"/>
                <w:lang w:eastAsia="it-IT"/>
              </w:rPr>
            </w:pPr>
          </w:p>
        </w:tc>
      </w:tr>
      <w:tr w:rsidR="00CA1B87" w:rsidRPr="00CA7301" w14:paraId="214E830E"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4405D1DD"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26d</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2E50DE62"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因機構持有的土地及建築物低於已折舊的成本價值而產生的累積虧損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7019EF"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FD8D7" w14:textId="77777777" w:rsidR="00CA1B87" w:rsidRPr="00CA7301" w:rsidRDefault="00CA1B87" w:rsidP="00CA1B87">
            <w:pPr>
              <w:snapToGrid w:val="0"/>
              <w:spacing w:before="40" w:after="40"/>
              <w:jc w:val="center"/>
              <w:rPr>
                <w:rFonts w:cs="Segoe UI"/>
                <w:sz w:val="17"/>
                <w:lang w:eastAsia="it-IT"/>
              </w:rPr>
            </w:pPr>
          </w:p>
        </w:tc>
      </w:tr>
      <w:tr w:rsidR="00CA1B87" w:rsidRPr="00CA7301" w14:paraId="101B56A8"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C06667C"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26e</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C9677F0"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受規管非銀行附屬公司的資本短欠</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842AAC"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5E551" w14:textId="77777777" w:rsidR="00CA1B87" w:rsidRPr="00CA7301" w:rsidRDefault="00CA1B87" w:rsidP="00CA1B87">
            <w:pPr>
              <w:snapToGrid w:val="0"/>
              <w:spacing w:before="40" w:after="40"/>
              <w:jc w:val="center"/>
              <w:rPr>
                <w:rFonts w:cs="Segoe UI"/>
                <w:sz w:val="17"/>
                <w:lang w:eastAsia="it-IT"/>
              </w:rPr>
            </w:pPr>
          </w:p>
        </w:tc>
      </w:tr>
      <w:tr w:rsidR="00CA1B87" w:rsidRPr="00CA7301" w14:paraId="6F484744"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03D812D2"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26f</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356C714"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於在屬商業實體的有連繫公司中的資本投資</w:t>
            </w:r>
            <w:r w:rsidRPr="00CA7301">
              <w:rPr>
                <w:rFonts w:eastAsia="細明體" w:cs="Segoe UI"/>
                <w:sz w:val="17"/>
                <w:lang w:eastAsia="it-IT"/>
              </w:rPr>
              <w:t>（</w:t>
            </w:r>
            <w:r w:rsidRPr="00CA7301">
              <w:rPr>
                <w:rFonts w:eastAsia="新細明體" w:cs="Segoe UI"/>
                <w:sz w:val="17"/>
                <w:lang w:eastAsia="it-IT"/>
              </w:rPr>
              <w:t>超出申報機構資本基礎的</w:t>
            </w:r>
            <w:r w:rsidRPr="00CA7301">
              <w:rPr>
                <w:rFonts w:cs="Segoe UI"/>
                <w:sz w:val="17"/>
                <w:lang w:eastAsia="it-IT"/>
              </w:rPr>
              <w:t>15%</w:t>
            </w:r>
            <w:r w:rsidRPr="00CA7301">
              <w:rPr>
                <w:rFonts w:eastAsia="新細明體" w:cs="Segoe UI"/>
                <w:sz w:val="17"/>
                <w:lang w:eastAsia="it-IT"/>
              </w:rPr>
              <w:t>之數</w:t>
            </w:r>
            <w:r w:rsidRPr="00CA7301">
              <w:rPr>
                <w:rFonts w:eastAsia="細明體" w:cs="Segoe UI"/>
                <w:sz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31FF401"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E08481" w14:textId="77777777" w:rsidR="00CA1B87" w:rsidRPr="00CA7301" w:rsidRDefault="00CA1B87" w:rsidP="00CA1B87">
            <w:pPr>
              <w:snapToGrid w:val="0"/>
              <w:spacing w:before="40" w:after="40"/>
              <w:jc w:val="center"/>
              <w:rPr>
                <w:rFonts w:cs="Segoe UI"/>
                <w:sz w:val="17"/>
                <w:lang w:eastAsia="it-IT"/>
              </w:rPr>
            </w:pPr>
          </w:p>
        </w:tc>
      </w:tr>
      <w:tr w:rsidR="00CA1B87" w:rsidRPr="00CA7301" w14:paraId="2016668D"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42E2FCF4"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27</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90F0338"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因沒有充足的</w:t>
            </w:r>
            <w:r w:rsidRPr="00CA7301">
              <w:rPr>
                <w:rFonts w:cs="Segoe UI"/>
                <w:sz w:val="17"/>
                <w:lang w:eastAsia="it-IT"/>
              </w:rPr>
              <w:t>AT1</w:t>
            </w:r>
            <w:r w:rsidRPr="00CA7301">
              <w:rPr>
                <w:rFonts w:eastAsia="新細明體" w:cs="Segoe UI"/>
                <w:sz w:val="17"/>
                <w:lang w:eastAsia="it-IT"/>
              </w:rPr>
              <w:t>資本及二級資本以供扣除而須在</w:t>
            </w:r>
            <w:r w:rsidRPr="00CA7301">
              <w:rPr>
                <w:rFonts w:cs="Segoe UI"/>
                <w:sz w:val="17"/>
                <w:lang w:eastAsia="it-IT"/>
              </w:rPr>
              <w:t>CET1</w:t>
            </w:r>
            <w:r w:rsidRPr="00CA7301">
              <w:rPr>
                <w:rFonts w:eastAsia="新細明體" w:cs="Segoe UI"/>
                <w:sz w:val="17"/>
                <w:lang w:eastAsia="it-IT"/>
              </w:rPr>
              <w:t>資本扣除的監管扣減</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FB485E"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433DD" w14:textId="77777777" w:rsidR="00CA1B87" w:rsidRPr="00CA7301" w:rsidRDefault="00CA1B87" w:rsidP="00CA1B87">
            <w:pPr>
              <w:snapToGrid w:val="0"/>
              <w:spacing w:before="40" w:after="40"/>
              <w:jc w:val="center"/>
              <w:rPr>
                <w:rFonts w:cs="Segoe UI"/>
                <w:sz w:val="17"/>
                <w:lang w:eastAsia="it-IT"/>
              </w:rPr>
            </w:pPr>
          </w:p>
        </w:tc>
      </w:tr>
      <w:tr w:rsidR="00CA1B87" w:rsidRPr="00CA7301" w14:paraId="5C456C51"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1668EAB8"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28</w:t>
            </w:r>
          </w:p>
        </w:tc>
        <w:tc>
          <w:tcPr>
            <w:tcW w:w="5951" w:type="dxa"/>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520150DC" w14:textId="77777777" w:rsidR="00CA1B87" w:rsidRPr="00CA7301" w:rsidRDefault="00CA1B87" w:rsidP="00CA1B87">
            <w:pPr>
              <w:snapToGrid w:val="0"/>
              <w:spacing w:before="40" w:after="40"/>
              <w:ind w:left="57" w:rightChars="71" w:right="142"/>
              <w:rPr>
                <w:rFonts w:cs="Segoe UI"/>
                <w:b/>
                <w:sz w:val="17"/>
                <w:lang w:eastAsia="it-IT"/>
              </w:rPr>
            </w:pPr>
            <w:r w:rsidRPr="00CA7301">
              <w:rPr>
                <w:rFonts w:eastAsia="新細明體" w:cs="Segoe UI"/>
                <w:b/>
                <w:sz w:val="17"/>
                <w:lang w:eastAsia="it-IT"/>
              </w:rPr>
              <w:t>對</w:t>
            </w:r>
            <w:r w:rsidRPr="00CA7301">
              <w:rPr>
                <w:rFonts w:cs="Segoe UI"/>
                <w:b/>
                <w:sz w:val="17"/>
                <w:lang w:eastAsia="it-IT"/>
              </w:rPr>
              <w:t>CET1</w:t>
            </w:r>
            <w:r w:rsidRPr="00CA7301">
              <w:rPr>
                <w:rFonts w:eastAsia="新細明體" w:cs="Segoe UI"/>
                <w:b/>
                <w:sz w:val="17"/>
                <w:lang w:eastAsia="it-IT"/>
              </w:rPr>
              <w:t>資本的監管扣減總額</w:t>
            </w:r>
          </w:p>
        </w:tc>
        <w:tc>
          <w:tcPr>
            <w:tcW w:w="1276" w:type="dxa"/>
            <w:tcBorders>
              <w:top w:val="single" w:sz="4" w:space="0" w:color="auto"/>
              <w:left w:val="single" w:sz="4" w:space="0" w:color="auto"/>
              <w:bottom w:val="single" w:sz="18" w:space="0" w:color="auto"/>
              <w:right w:val="single" w:sz="4" w:space="0" w:color="auto"/>
            </w:tcBorders>
            <w:shd w:val="clear" w:color="auto" w:fill="FFFFFF" w:themeFill="background1"/>
          </w:tcPr>
          <w:p w14:paraId="1787F4B8"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5C406CB" w14:textId="77777777" w:rsidR="00CA1B87" w:rsidRPr="00CA7301" w:rsidRDefault="00CA1B87" w:rsidP="00CA1B87">
            <w:pPr>
              <w:snapToGrid w:val="0"/>
              <w:spacing w:before="40" w:after="40"/>
              <w:jc w:val="center"/>
              <w:rPr>
                <w:rFonts w:cs="Segoe UI"/>
                <w:sz w:val="17"/>
                <w:lang w:eastAsia="it-IT"/>
              </w:rPr>
            </w:pPr>
          </w:p>
        </w:tc>
      </w:tr>
      <w:tr w:rsidR="00CA1B87" w:rsidRPr="00CA7301" w14:paraId="01C1A4E6" w14:textId="77777777" w:rsidTr="00F62652">
        <w:trPr>
          <w:cantSplit/>
          <w:trHeight w:val="270"/>
        </w:trPr>
        <w:tc>
          <w:tcPr>
            <w:tcW w:w="570" w:type="dxa"/>
            <w:tcBorders>
              <w:top w:val="single" w:sz="4" w:space="0" w:color="auto"/>
              <w:left w:val="nil"/>
              <w:bottom w:val="single" w:sz="4" w:space="0" w:color="auto"/>
              <w:right w:val="single" w:sz="18" w:space="0" w:color="auto"/>
            </w:tcBorders>
            <w:shd w:val="clear" w:color="auto" w:fill="auto"/>
          </w:tcPr>
          <w:p w14:paraId="6E593FB5"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29</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0EDEC40" w14:textId="77777777" w:rsidR="00CA1B87" w:rsidRPr="00CA7301" w:rsidRDefault="00CA1B87" w:rsidP="00CA1B87">
            <w:pPr>
              <w:snapToGrid w:val="0"/>
              <w:spacing w:before="40" w:after="40"/>
              <w:ind w:left="57" w:rightChars="71" w:right="142"/>
              <w:rPr>
                <w:rFonts w:cs="Segoe UI"/>
                <w:b/>
                <w:sz w:val="17"/>
                <w:lang w:eastAsia="it-IT"/>
              </w:rPr>
            </w:pPr>
            <w:r w:rsidRPr="00CA7301">
              <w:rPr>
                <w:rFonts w:cs="Segoe UI"/>
                <w:b/>
                <w:sz w:val="17"/>
                <w:lang w:eastAsia="it-IT"/>
              </w:rPr>
              <w:t>CET1</w:t>
            </w:r>
            <w:r w:rsidRPr="00CA7301">
              <w:rPr>
                <w:rFonts w:eastAsia="新細明體" w:cs="Segoe UI"/>
                <w:b/>
                <w:sz w:val="17"/>
                <w:lang w:eastAsia="it-IT"/>
              </w:rPr>
              <w:t>資本</w:t>
            </w:r>
          </w:p>
        </w:tc>
        <w:tc>
          <w:tcPr>
            <w:tcW w:w="127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28D49DC"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FFFFFF" w:themeFill="background1"/>
          </w:tcPr>
          <w:p w14:paraId="31576B71" w14:textId="77777777" w:rsidR="00CA1B87" w:rsidRPr="00CA7301" w:rsidRDefault="00CA1B87" w:rsidP="00CA1B87">
            <w:pPr>
              <w:snapToGrid w:val="0"/>
              <w:spacing w:before="40" w:after="40"/>
              <w:jc w:val="center"/>
              <w:rPr>
                <w:rFonts w:cs="Segoe UI"/>
                <w:sz w:val="17"/>
                <w:lang w:eastAsia="it-IT"/>
              </w:rPr>
            </w:pPr>
          </w:p>
        </w:tc>
      </w:tr>
      <w:tr w:rsidR="00CA1B87" w:rsidRPr="00CA7301" w14:paraId="245E5B43"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6A6A6" w:themeFill="background1" w:themeFillShade="A6"/>
          </w:tcPr>
          <w:p w14:paraId="7CDFACAB" w14:textId="77777777" w:rsidR="00CA1B87" w:rsidRPr="00CA7301" w:rsidRDefault="00CA1B87" w:rsidP="00CA1B87">
            <w:pPr>
              <w:snapToGrid w:val="0"/>
              <w:spacing w:before="40" w:after="40"/>
              <w:ind w:left="57"/>
              <w:rPr>
                <w:rFonts w:cs="Segoe UI"/>
                <w:sz w:val="17"/>
                <w:szCs w:val="17"/>
                <w:lang w:eastAsia="en-GB"/>
              </w:rPr>
            </w:pPr>
          </w:p>
        </w:tc>
        <w:tc>
          <w:tcPr>
            <w:tcW w:w="5951" w:type="dxa"/>
            <w:tcBorders>
              <w:top w:val="single" w:sz="18" w:space="0" w:color="auto"/>
              <w:left w:val="single" w:sz="4" w:space="0" w:color="auto"/>
              <w:bottom w:val="single" w:sz="4" w:space="0" w:color="auto"/>
              <w:right w:val="single" w:sz="4" w:space="0" w:color="auto"/>
            </w:tcBorders>
            <w:shd w:val="clear" w:color="auto" w:fill="A6A6A6" w:themeFill="background1" w:themeFillShade="A6"/>
          </w:tcPr>
          <w:p w14:paraId="2BF02744" w14:textId="77777777" w:rsidR="00CA1B87" w:rsidRPr="00CA7301" w:rsidRDefault="00CA1B87" w:rsidP="00CA1B87">
            <w:pPr>
              <w:snapToGrid w:val="0"/>
              <w:spacing w:before="40" w:after="40"/>
              <w:ind w:left="57" w:rightChars="71" w:right="142"/>
              <w:rPr>
                <w:rFonts w:cs="Segoe UI"/>
                <w:b/>
                <w:sz w:val="17"/>
                <w:lang w:eastAsia="it-IT"/>
              </w:rPr>
            </w:pPr>
            <w:r w:rsidRPr="00CA7301">
              <w:rPr>
                <w:rFonts w:cs="Segoe UI"/>
                <w:b/>
                <w:sz w:val="17"/>
                <w:lang w:eastAsia="it-IT"/>
              </w:rPr>
              <w:t>AT1</w:t>
            </w:r>
            <w:r w:rsidRPr="00CA7301">
              <w:rPr>
                <w:rFonts w:eastAsia="新細明體" w:cs="Segoe UI"/>
                <w:b/>
                <w:sz w:val="17"/>
                <w:lang w:eastAsia="it-IT"/>
              </w:rPr>
              <w:t>資本：票據</w:t>
            </w:r>
          </w:p>
        </w:tc>
        <w:tc>
          <w:tcPr>
            <w:tcW w:w="1276" w:type="dxa"/>
            <w:tcBorders>
              <w:top w:val="single" w:sz="18" w:space="0" w:color="auto"/>
              <w:left w:val="single" w:sz="4" w:space="0" w:color="auto"/>
              <w:bottom w:val="single" w:sz="4" w:space="0" w:color="auto"/>
              <w:right w:val="single" w:sz="4" w:space="0" w:color="auto"/>
            </w:tcBorders>
            <w:shd w:val="clear" w:color="auto" w:fill="A6A6A6" w:themeFill="background1" w:themeFillShade="A6"/>
          </w:tcPr>
          <w:p w14:paraId="371F31F2"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CBED60" w14:textId="77777777" w:rsidR="00CA1B87" w:rsidRPr="00CA7301" w:rsidRDefault="00CA1B87" w:rsidP="00CA1B87">
            <w:pPr>
              <w:snapToGrid w:val="0"/>
              <w:spacing w:before="40" w:after="40"/>
              <w:jc w:val="center"/>
              <w:rPr>
                <w:rFonts w:cs="Segoe UI"/>
                <w:sz w:val="17"/>
                <w:lang w:eastAsia="it-IT"/>
              </w:rPr>
            </w:pPr>
          </w:p>
        </w:tc>
      </w:tr>
      <w:tr w:rsidR="00CA1B87" w:rsidRPr="00CA7301" w14:paraId="769ACA50"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2DFD595"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30</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0119077"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合資格</w:t>
            </w:r>
            <w:r w:rsidRPr="00CA7301">
              <w:rPr>
                <w:rFonts w:cs="Segoe UI"/>
                <w:sz w:val="17"/>
                <w:lang w:eastAsia="it-IT"/>
              </w:rPr>
              <w:t>AT1</w:t>
            </w:r>
            <w:r w:rsidRPr="00CA7301">
              <w:rPr>
                <w:rFonts w:eastAsia="新細明體" w:cs="Segoe UI"/>
                <w:sz w:val="17"/>
                <w:lang w:eastAsia="it-IT"/>
              </w:rPr>
              <w:t>資本票據加任何相關股份溢價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E00F2D"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B32B8E" w14:textId="77777777" w:rsidR="00CA1B87" w:rsidRPr="00CA7301" w:rsidRDefault="00CA1B87" w:rsidP="00CA1B87">
            <w:pPr>
              <w:snapToGrid w:val="0"/>
              <w:spacing w:before="40" w:after="40"/>
              <w:jc w:val="center"/>
              <w:rPr>
                <w:rFonts w:cs="Segoe UI"/>
                <w:sz w:val="17"/>
                <w:lang w:eastAsia="it-IT"/>
              </w:rPr>
            </w:pPr>
            <w:r w:rsidRPr="00CA7301">
              <w:rPr>
                <w:rFonts w:cs="Segoe UI"/>
                <w:sz w:val="17"/>
                <w:lang w:eastAsia="it-IT"/>
              </w:rPr>
              <w:t>[</w:t>
            </w:r>
            <w:r w:rsidRPr="00CA7301">
              <w:rPr>
                <w:rFonts w:eastAsiaTheme="minorEastAsia" w:cs="Segoe UI"/>
                <w:sz w:val="17"/>
                <w:lang w:eastAsia="zh-TW"/>
              </w:rPr>
              <w:t>f</w:t>
            </w:r>
            <w:r w:rsidRPr="00CA7301">
              <w:rPr>
                <w:rFonts w:cs="Segoe UI"/>
                <w:sz w:val="17"/>
                <w:lang w:eastAsia="it-IT"/>
              </w:rPr>
              <w:t>]</w:t>
            </w:r>
          </w:p>
        </w:tc>
      </w:tr>
      <w:tr w:rsidR="00CA1B87" w:rsidRPr="00CA7301" w14:paraId="2259460C"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2B505633"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31</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4407B52C" w14:textId="77777777" w:rsidR="00CA1B87" w:rsidRPr="00CA7301" w:rsidRDefault="00CA1B87" w:rsidP="00CA1B87">
            <w:pPr>
              <w:snapToGrid w:val="0"/>
              <w:spacing w:before="40" w:after="40"/>
              <w:ind w:left="423" w:rightChars="71" w:right="142"/>
              <w:rPr>
                <w:rFonts w:cs="Segoe UI"/>
                <w:sz w:val="17"/>
                <w:lang w:eastAsia="it-IT"/>
              </w:rPr>
            </w:pPr>
            <w:r w:rsidRPr="00CA7301">
              <w:rPr>
                <w:rFonts w:eastAsia="新細明體" w:cs="Segoe UI"/>
                <w:sz w:val="17"/>
                <w:lang w:eastAsia="it-IT"/>
              </w:rPr>
              <w:t>其中：根據適用會計準則列為股本類別</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BE403C"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B3232C" w14:textId="77777777" w:rsidR="00CA1B87" w:rsidRPr="00CA7301" w:rsidRDefault="00CA1B87" w:rsidP="00CA1B87">
            <w:pPr>
              <w:snapToGrid w:val="0"/>
              <w:spacing w:before="40" w:after="40"/>
              <w:jc w:val="center"/>
              <w:rPr>
                <w:rFonts w:cs="Segoe UI"/>
                <w:sz w:val="17"/>
                <w:lang w:eastAsia="it-IT"/>
              </w:rPr>
            </w:pPr>
          </w:p>
        </w:tc>
      </w:tr>
      <w:tr w:rsidR="00CA1B87" w:rsidRPr="00CA7301" w14:paraId="48B6793A"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5E105F6"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4AE92C6" w14:textId="77777777" w:rsidR="00CA1B87" w:rsidRPr="00CA7301" w:rsidRDefault="00CA1B87" w:rsidP="00CA1B87">
            <w:pPr>
              <w:snapToGrid w:val="0"/>
              <w:spacing w:before="40" w:after="40"/>
              <w:ind w:left="423" w:rightChars="71" w:right="142"/>
              <w:rPr>
                <w:rFonts w:cs="Segoe UI"/>
                <w:sz w:val="17"/>
                <w:lang w:eastAsia="it-IT"/>
              </w:rPr>
            </w:pPr>
            <w:r w:rsidRPr="00CA7301">
              <w:rPr>
                <w:rFonts w:eastAsia="新細明體" w:cs="Segoe UI"/>
                <w:sz w:val="17"/>
                <w:lang w:eastAsia="it-IT"/>
              </w:rPr>
              <w:t>其中：根據適用會計準則列為負債類別</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4178B1"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BFF211" w14:textId="77777777" w:rsidR="00CA1B87" w:rsidRPr="00CA7301" w:rsidRDefault="00CA1B87" w:rsidP="00CA1B87">
            <w:pPr>
              <w:snapToGrid w:val="0"/>
              <w:spacing w:before="40" w:after="40"/>
              <w:jc w:val="center"/>
              <w:rPr>
                <w:rFonts w:cs="Segoe UI"/>
                <w:sz w:val="17"/>
                <w:lang w:eastAsia="it-IT"/>
              </w:rPr>
            </w:pPr>
          </w:p>
        </w:tc>
      </w:tr>
      <w:tr w:rsidR="00CA1B87" w:rsidRPr="00CA7301" w14:paraId="7E8EA591"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5FB33091"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34</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85B1D76"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由綜合銀行附屬公司發行並由第三方持有的</w:t>
            </w:r>
            <w:r w:rsidRPr="00CA7301">
              <w:rPr>
                <w:rFonts w:cs="Segoe UI"/>
                <w:sz w:val="17"/>
                <w:lang w:eastAsia="it-IT"/>
              </w:rPr>
              <w:t>AT1</w:t>
            </w:r>
            <w:r w:rsidRPr="00CA7301">
              <w:rPr>
                <w:rFonts w:eastAsia="新細明體" w:cs="Segoe UI"/>
                <w:sz w:val="17"/>
                <w:lang w:eastAsia="it-IT"/>
              </w:rPr>
              <w:t>資本票據</w:t>
            </w:r>
            <w:r w:rsidRPr="00CA7301">
              <w:rPr>
                <w:rFonts w:eastAsia="細明體" w:cs="Segoe UI"/>
                <w:sz w:val="17"/>
                <w:lang w:eastAsia="it-IT"/>
              </w:rPr>
              <w:t>（</w:t>
            </w:r>
            <w:r w:rsidRPr="00CA7301">
              <w:rPr>
                <w:rFonts w:eastAsia="新細明體" w:cs="Segoe UI"/>
                <w:sz w:val="17"/>
                <w:lang w:eastAsia="it-IT"/>
              </w:rPr>
              <w:t>可計入綜合集團的</w:t>
            </w:r>
            <w:r w:rsidRPr="00CA7301">
              <w:rPr>
                <w:rFonts w:cs="Segoe UI"/>
                <w:sz w:val="17"/>
                <w:lang w:eastAsia="it-IT"/>
              </w:rPr>
              <w:t>AT1</w:t>
            </w:r>
            <w:r w:rsidRPr="00CA7301">
              <w:rPr>
                <w:rFonts w:eastAsia="新細明體" w:cs="Segoe UI"/>
                <w:sz w:val="17"/>
                <w:lang w:eastAsia="it-IT"/>
              </w:rPr>
              <w:t>資本的數額</w:t>
            </w:r>
            <w:r w:rsidRPr="00CA7301">
              <w:rPr>
                <w:rFonts w:eastAsia="細明體" w:cs="Segoe UI"/>
                <w:sz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A86428F"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B44A2E" w14:textId="77777777" w:rsidR="00CA1B87" w:rsidRPr="00CA7301" w:rsidRDefault="00CA1B87" w:rsidP="00CA1B87">
            <w:pPr>
              <w:snapToGrid w:val="0"/>
              <w:spacing w:before="40" w:after="40"/>
              <w:jc w:val="center"/>
              <w:rPr>
                <w:rFonts w:cs="Segoe UI"/>
                <w:sz w:val="17"/>
                <w:lang w:eastAsia="it-IT"/>
              </w:rPr>
            </w:pPr>
          </w:p>
        </w:tc>
      </w:tr>
      <w:tr w:rsidR="00CA1B87" w:rsidRPr="00CA7301" w14:paraId="4555797B" w14:textId="77777777" w:rsidTr="00F62652">
        <w:trPr>
          <w:cantSplit/>
          <w:trHeight w:val="270"/>
        </w:trPr>
        <w:tc>
          <w:tcPr>
            <w:tcW w:w="570" w:type="dxa"/>
            <w:tcBorders>
              <w:top w:val="single" w:sz="4" w:space="0" w:color="auto"/>
              <w:left w:val="nil"/>
              <w:bottom w:val="single" w:sz="4" w:space="0" w:color="auto"/>
              <w:right w:val="single" w:sz="4" w:space="0" w:color="auto"/>
            </w:tcBorders>
            <w:shd w:val="clear" w:color="auto" w:fill="auto"/>
          </w:tcPr>
          <w:p w14:paraId="7D4FED8B"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36</w:t>
            </w:r>
          </w:p>
        </w:tc>
        <w:tc>
          <w:tcPr>
            <w:tcW w:w="5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8E108" w14:textId="77777777" w:rsidR="00CA1B87" w:rsidRPr="00CA7301" w:rsidRDefault="00CA1B87" w:rsidP="00CA1B87">
            <w:pPr>
              <w:snapToGrid w:val="0"/>
              <w:spacing w:before="40" w:after="40"/>
              <w:ind w:left="57" w:rightChars="71" w:right="142"/>
              <w:rPr>
                <w:rFonts w:cs="Segoe UI"/>
                <w:b/>
                <w:sz w:val="17"/>
                <w:lang w:eastAsia="it-IT"/>
              </w:rPr>
            </w:pPr>
            <w:r w:rsidRPr="00CA7301">
              <w:rPr>
                <w:rFonts w:eastAsia="新細明體" w:cs="Segoe UI"/>
                <w:b/>
                <w:sz w:val="17"/>
                <w:lang w:eastAsia="it-IT"/>
              </w:rPr>
              <w:t>監管扣減之前的</w:t>
            </w:r>
            <w:r w:rsidRPr="00CA7301">
              <w:rPr>
                <w:rFonts w:cs="Segoe UI"/>
                <w:b/>
                <w:sz w:val="17"/>
                <w:lang w:eastAsia="it-IT"/>
              </w:rPr>
              <w:t>AT1</w:t>
            </w:r>
            <w:r w:rsidRPr="00CA7301">
              <w:rPr>
                <w:rFonts w:eastAsia="新細明體" w:cs="Segoe UI"/>
                <w:b/>
                <w:sz w:val="17"/>
                <w:lang w:eastAsia="it-IT"/>
              </w:rPr>
              <w:t>資本</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BDF3B5"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C3B2DB6" w14:textId="77777777" w:rsidR="00CA1B87" w:rsidRPr="00CA7301" w:rsidRDefault="00CA1B87" w:rsidP="00CA1B87">
            <w:pPr>
              <w:snapToGrid w:val="0"/>
              <w:spacing w:before="40" w:after="40"/>
              <w:jc w:val="center"/>
              <w:rPr>
                <w:rFonts w:cs="Segoe UI"/>
                <w:sz w:val="17"/>
                <w:lang w:eastAsia="it-IT"/>
              </w:rPr>
            </w:pPr>
          </w:p>
        </w:tc>
      </w:tr>
      <w:tr w:rsidR="00CA1B87" w:rsidRPr="00CA7301" w14:paraId="38A5900A" w14:textId="77777777" w:rsidTr="00F62652">
        <w:trPr>
          <w:cantSplit/>
          <w:trHeight w:val="270"/>
        </w:trPr>
        <w:tc>
          <w:tcPr>
            <w:tcW w:w="570" w:type="dxa"/>
            <w:tcBorders>
              <w:top w:val="single" w:sz="4" w:space="0" w:color="auto"/>
              <w:left w:val="nil"/>
              <w:bottom w:val="single" w:sz="6" w:space="0" w:color="auto"/>
              <w:right w:val="single" w:sz="4" w:space="0" w:color="auto"/>
            </w:tcBorders>
            <w:shd w:val="clear" w:color="auto" w:fill="A6A6A6" w:themeFill="background1" w:themeFillShade="A6"/>
          </w:tcPr>
          <w:p w14:paraId="7B223FC4" w14:textId="77777777" w:rsidR="00CA1B87" w:rsidRPr="00CA7301" w:rsidRDefault="00CA1B87" w:rsidP="00CA1B87">
            <w:pPr>
              <w:snapToGrid w:val="0"/>
              <w:spacing w:before="40" w:after="40"/>
              <w:ind w:rightChars="71" w:right="142"/>
              <w:rPr>
                <w:rFonts w:cs="Segoe UI"/>
                <w:b/>
                <w:bCs/>
                <w:sz w:val="17"/>
                <w:szCs w:val="17"/>
                <w:lang w:eastAsia="zh-TW"/>
              </w:rPr>
            </w:pPr>
          </w:p>
        </w:tc>
        <w:tc>
          <w:tcPr>
            <w:tcW w:w="5951" w:type="dxa"/>
            <w:tcBorders>
              <w:top w:val="single" w:sz="4" w:space="0" w:color="auto"/>
              <w:left w:val="single" w:sz="4" w:space="0" w:color="auto"/>
              <w:bottom w:val="single" w:sz="6" w:space="0" w:color="auto"/>
              <w:right w:val="nil"/>
            </w:tcBorders>
            <w:shd w:val="clear" w:color="auto" w:fill="A6A6A6" w:themeFill="background1" w:themeFillShade="A6"/>
          </w:tcPr>
          <w:p w14:paraId="6BF54B78" w14:textId="77777777" w:rsidR="00CA1B87" w:rsidRPr="00CA7301" w:rsidRDefault="00CA1B87" w:rsidP="00CA1B87">
            <w:pPr>
              <w:snapToGrid w:val="0"/>
              <w:spacing w:before="40" w:after="40"/>
              <w:ind w:left="57" w:rightChars="71" w:right="142"/>
              <w:rPr>
                <w:rFonts w:cs="Segoe UI"/>
                <w:b/>
                <w:bCs/>
                <w:sz w:val="17"/>
                <w:szCs w:val="17"/>
              </w:rPr>
            </w:pPr>
            <w:r w:rsidRPr="00CA7301">
              <w:rPr>
                <w:rFonts w:cs="Segoe UI"/>
                <w:b/>
                <w:sz w:val="17"/>
                <w:lang w:eastAsia="it-IT"/>
              </w:rPr>
              <w:t>AT1</w:t>
            </w:r>
            <w:r w:rsidRPr="00CA7301">
              <w:rPr>
                <w:rFonts w:eastAsia="新細明體" w:cs="Segoe UI"/>
                <w:b/>
                <w:sz w:val="17"/>
                <w:lang w:eastAsia="it-IT"/>
              </w:rPr>
              <w:t>資本：監管扣減</w:t>
            </w:r>
          </w:p>
        </w:tc>
        <w:tc>
          <w:tcPr>
            <w:tcW w:w="1276" w:type="dxa"/>
            <w:tcBorders>
              <w:top w:val="single" w:sz="4" w:space="0" w:color="auto"/>
              <w:left w:val="nil"/>
              <w:bottom w:val="single" w:sz="6" w:space="0" w:color="auto"/>
              <w:right w:val="nil"/>
            </w:tcBorders>
            <w:shd w:val="clear" w:color="auto" w:fill="A6A6A6" w:themeFill="background1" w:themeFillShade="A6"/>
          </w:tcPr>
          <w:p w14:paraId="3C5D31CE"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nil"/>
              <w:bottom w:val="single" w:sz="6" w:space="0" w:color="auto"/>
              <w:right w:val="single" w:sz="4" w:space="0" w:color="auto"/>
            </w:tcBorders>
            <w:shd w:val="clear" w:color="auto" w:fill="A6A6A6" w:themeFill="background1" w:themeFillShade="A6"/>
          </w:tcPr>
          <w:p w14:paraId="5E4C8560" w14:textId="77777777" w:rsidR="00CA1B87" w:rsidRPr="00CA7301" w:rsidRDefault="00CA1B87" w:rsidP="00CA1B87">
            <w:pPr>
              <w:snapToGrid w:val="0"/>
              <w:spacing w:before="40" w:after="40"/>
              <w:jc w:val="center"/>
              <w:rPr>
                <w:rFonts w:cs="Segoe UI"/>
                <w:sz w:val="17"/>
                <w:lang w:eastAsia="it-IT"/>
              </w:rPr>
            </w:pPr>
          </w:p>
        </w:tc>
      </w:tr>
      <w:tr w:rsidR="00CA1B87" w:rsidRPr="00CA7301" w14:paraId="7076A585" w14:textId="77777777" w:rsidTr="00F62652">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42939325"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37</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3280BF2B"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於機構本身的</w:t>
            </w:r>
            <w:r w:rsidRPr="00CA7301">
              <w:rPr>
                <w:rFonts w:cs="Segoe UI"/>
                <w:sz w:val="17"/>
                <w:lang w:eastAsia="it-IT"/>
              </w:rPr>
              <w:t>AT1</w:t>
            </w:r>
            <w:r w:rsidRPr="00CA7301">
              <w:rPr>
                <w:rFonts w:eastAsia="新細明體" w:cs="Segoe UI"/>
                <w:sz w:val="17"/>
                <w:lang w:eastAsia="it-IT"/>
              </w:rPr>
              <w:t>資本票據的投資</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1032AE77"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035BB68B" w14:textId="77777777" w:rsidR="00CA1B87" w:rsidRPr="00CA7301" w:rsidRDefault="00CA1B87" w:rsidP="00CA1B87">
            <w:pPr>
              <w:snapToGrid w:val="0"/>
              <w:spacing w:before="40" w:after="40"/>
              <w:jc w:val="center"/>
              <w:rPr>
                <w:rFonts w:cs="Segoe UI"/>
                <w:sz w:val="17"/>
                <w:lang w:eastAsia="it-IT"/>
              </w:rPr>
            </w:pPr>
          </w:p>
        </w:tc>
      </w:tr>
      <w:tr w:rsidR="00CA1B87" w:rsidRPr="00CA7301" w14:paraId="72EEE715" w14:textId="77777777" w:rsidTr="00F62652">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12B8D3E8"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38</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57A63708"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互相交叉持有</w:t>
            </w:r>
            <w:r w:rsidRPr="00CA7301">
              <w:rPr>
                <w:rFonts w:eastAsia="新細明體" w:cs="Segoe UI"/>
                <w:sz w:val="17"/>
                <w:lang w:eastAsia="zh-TW"/>
              </w:rPr>
              <w:t>的</w:t>
            </w:r>
            <w:r w:rsidRPr="00CA7301">
              <w:rPr>
                <w:rFonts w:cs="Segoe UI"/>
                <w:sz w:val="17"/>
                <w:lang w:eastAsia="it-IT"/>
              </w:rPr>
              <w:t>AT1</w:t>
            </w:r>
            <w:r w:rsidRPr="00CA7301">
              <w:rPr>
                <w:rFonts w:eastAsia="新細明體" w:cs="Segoe UI"/>
                <w:sz w:val="17"/>
                <w:lang w:eastAsia="it-IT"/>
              </w:rPr>
              <w:t>資本票據</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1E9A2040"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19D3F1C6" w14:textId="77777777" w:rsidR="00CA1B87" w:rsidRPr="00CA7301" w:rsidRDefault="00CA1B87" w:rsidP="00CA1B87">
            <w:pPr>
              <w:snapToGrid w:val="0"/>
              <w:spacing w:before="40" w:after="40"/>
              <w:jc w:val="center"/>
              <w:rPr>
                <w:rFonts w:cs="Segoe UI"/>
                <w:sz w:val="17"/>
                <w:lang w:eastAsia="it-IT"/>
              </w:rPr>
            </w:pPr>
          </w:p>
        </w:tc>
      </w:tr>
      <w:tr w:rsidR="00CA1B87" w:rsidRPr="00CA7301" w14:paraId="3FC8F322" w14:textId="77777777" w:rsidTr="00F62652">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52240CA2"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39</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4C05945E" w14:textId="77777777" w:rsidR="00CA1B87" w:rsidRPr="00CA7301" w:rsidRDefault="00CA1B87" w:rsidP="00697865">
            <w:pPr>
              <w:snapToGrid w:val="0"/>
              <w:spacing w:before="40" w:after="40"/>
              <w:ind w:left="57" w:rightChars="71" w:right="142"/>
              <w:rPr>
                <w:rFonts w:cs="Segoe UI"/>
                <w:sz w:val="17"/>
                <w:lang w:eastAsia="it-IT"/>
              </w:rPr>
            </w:pPr>
            <w:r w:rsidRPr="00CA7301">
              <w:rPr>
                <w:rFonts w:eastAsia="新細明體" w:cs="Segoe UI"/>
                <w:sz w:val="17"/>
                <w:lang w:eastAsia="it-IT"/>
              </w:rPr>
              <w:t>於</w:t>
            </w:r>
            <w:r w:rsidRPr="00CA7301">
              <w:rPr>
                <w:rFonts w:eastAsia="新細明體" w:cs="Segoe UI"/>
                <w:sz w:val="17"/>
                <w:lang w:eastAsia="zh-TW"/>
              </w:rPr>
              <w:t>在</w:t>
            </w:r>
            <w:r w:rsidRPr="00CA7301">
              <w:rPr>
                <w:rFonts w:eastAsia="新細明體" w:cs="Segoe UI"/>
                <w:sz w:val="17"/>
                <w:lang w:eastAsia="it-IT"/>
              </w:rPr>
              <w:t>監管綜</w:t>
            </w:r>
            <w:r w:rsidRPr="00CA7301">
              <w:rPr>
                <w:rFonts w:eastAsia="新細明體" w:cs="Segoe UI"/>
                <w:sz w:val="17"/>
                <w:lang w:eastAsia="zh-TW"/>
              </w:rPr>
              <w:t>合</w:t>
            </w:r>
            <w:r w:rsidRPr="00CA7301">
              <w:rPr>
                <w:rFonts w:eastAsia="新細明體" w:cs="Segoe UI"/>
                <w:sz w:val="17"/>
                <w:lang w:eastAsia="it-IT"/>
              </w:rPr>
              <w:t>範圍</w:t>
            </w:r>
            <w:r w:rsidRPr="00CA7301">
              <w:rPr>
                <w:rFonts w:eastAsia="新細明體" w:cs="Segoe UI"/>
                <w:sz w:val="17"/>
                <w:lang w:eastAsia="zh-TW"/>
              </w:rPr>
              <w:t>以</w:t>
            </w:r>
            <w:r w:rsidRPr="00CA7301">
              <w:rPr>
                <w:rFonts w:eastAsia="新細明體" w:cs="Segoe UI"/>
                <w:sz w:val="17"/>
                <w:lang w:eastAsia="it-IT"/>
              </w:rPr>
              <w:t>外的金融業實體發行的</w:t>
            </w:r>
            <w:r w:rsidRPr="00CA7301">
              <w:rPr>
                <w:rFonts w:cs="Segoe UI"/>
                <w:sz w:val="17"/>
                <w:lang w:eastAsia="it-IT"/>
              </w:rPr>
              <w:t>AT1</w:t>
            </w:r>
            <w:r w:rsidRPr="00CA7301">
              <w:rPr>
                <w:rFonts w:eastAsia="新細明體" w:cs="Segoe UI"/>
                <w:sz w:val="17"/>
                <w:lang w:eastAsia="it-IT"/>
              </w:rPr>
              <w:t>資本票據的非重大</w:t>
            </w:r>
            <w:r w:rsidR="00697865">
              <w:rPr>
                <w:rFonts w:eastAsia="新細明體" w:cs="Segoe UI" w:hint="eastAsia"/>
                <w:sz w:val="17"/>
                <w:lang w:eastAsia="zh-TW"/>
              </w:rPr>
              <w:t>LAC</w:t>
            </w:r>
            <w:r w:rsidRPr="00CA7301">
              <w:rPr>
                <w:rFonts w:eastAsia="新細明體" w:cs="Segoe UI"/>
                <w:sz w:val="17"/>
                <w:lang w:eastAsia="it-IT"/>
              </w:rPr>
              <w:t>投資</w:t>
            </w:r>
            <w:r w:rsidRPr="00CA7301">
              <w:rPr>
                <w:rFonts w:eastAsia="細明體" w:cs="Segoe UI"/>
                <w:sz w:val="17"/>
                <w:lang w:eastAsia="it-IT"/>
              </w:rPr>
              <w:t>（</w:t>
            </w:r>
            <w:r w:rsidRPr="00CA7301">
              <w:rPr>
                <w:rFonts w:eastAsia="新細明體" w:cs="Segoe UI"/>
                <w:sz w:val="17"/>
                <w:lang w:eastAsia="it-IT"/>
              </w:rPr>
              <w:t>超出</w:t>
            </w:r>
            <w:r w:rsidRPr="00CA7301">
              <w:rPr>
                <w:rFonts w:cs="Segoe UI"/>
                <w:sz w:val="17"/>
                <w:lang w:eastAsia="it-IT"/>
              </w:rPr>
              <w:t>10%</w:t>
            </w:r>
            <w:r w:rsidRPr="00CA7301">
              <w:rPr>
                <w:rFonts w:eastAsia="新細明體" w:cs="Segoe UI"/>
                <w:sz w:val="17"/>
                <w:lang w:eastAsia="it-IT"/>
              </w:rPr>
              <w:t>門檻之數</w:t>
            </w:r>
            <w:r w:rsidRPr="00CA7301">
              <w:rPr>
                <w:rFonts w:eastAsia="細明體" w:cs="Segoe UI"/>
                <w:sz w:val="17"/>
                <w:lang w:eastAsia="it-IT"/>
              </w:rPr>
              <w:t>）</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0D19BB1C"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2F2BD64C" w14:textId="77777777" w:rsidR="00CA1B87" w:rsidRPr="00CA7301" w:rsidRDefault="00CA1B87" w:rsidP="00CA1B87">
            <w:pPr>
              <w:snapToGrid w:val="0"/>
              <w:spacing w:before="40" w:after="40"/>
              <w:jc w:val="center"/>
              <w:rPr>
                <w:rFonts w:cs="Segoe UI"/>
                <w:sz w:val="17"/>
                <w:lang w:eastAsia="it-IT"/>
              </w:rPr>
            </w:pPr>
          </w:p>
        </w:tc>
      </w:tr>
      <w:tr w:rsidR="00CA1B87" w:rsidRPr="00CA7301" w14:paraId="39E82FDB" w14:textId="77777777" w:rsidTr="00F62652">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1B242ACF"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40</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558AF74D" w14:textId="77777777" w:rsidR="00CA1B87" w:rsidRPr="00CA7301" w:rsidRDefault="00CA1B87" w:rsidP="00697865">
            <w:pPr>
              <w:snapToGrid w:val="0"/>
              <w:spacing w:before="40" w:after="40"/>
              <w:ind w:left="57" w:rightChars="71" w:right="142"/>
              <w:rPr>
                <w:rFonts w:cs="Segoe UI"/>
                <w:sz w:val="17"/>
                <w:lang w:eastAsia="it-IT"/>
              </w:rPr>
            </w:pPr>
            <w:r w:rsidRPr="00CA7301">
              <w:rPr>
                <w:rFonts w:eastAsia="新細明體" w:cs="Segoe UI"/>
                <w:sz w:val="17"/>
                <w:lang w:eastAsia="it-IT"/>
              </w:rPr>
              <w:t>於</w:t>
            </w:r>
            <w:r w:rsidRPr="00CA7301">
              <w:rPr>
                <w:rFonts w:eastAsia="新細明體" w:cs="Segoe UI"/>
                <w:sz w:val="17"/>
                <w:lang w:eastAsia="zh-TW"/>
              </w:rPr>
              <w:t>在</w:t>
            </w:r>
            <w:r w:rsidRPr="00CA7301">
              <w:rPr>
                <w:rFonts w:eastAsia="新細明體" w:cs="Segoe UI"/>
                <w:sz w:val="17"/>
                <w:lang w:eastAsia="it-IT"/>
              </w:rPr>
              <w:t>監管綜</w:t>
            </w:r>
            <w:r w:rsidRPr="00CA7301">
              <w:rPr>
                <w:rFonts w:eastAsia="新細明體" w:cs="Segoe UI"/>
                <w:sz w:val="17"/>
                <w:lang w:eastAsia="zh-TW"/>
              </w:rPr>
              <w:t>合</w:t>
            </w:r>
            <w:r w:rsidRPr="00CA7301">
              <w:rPr>
                <w:rFonts w:eastAsia="新細明體" w:cs="Segoe UI"/>
                <w:sz w:val="17"/>
                <w:lang w:eastAsia="it-IT"/>
              </w:rPr>
              <w:t>範圍以外的金融業實體發行的</w:t>
            </w:r>
            <w:r w:rsidRPr="00CA7301">
              <w:rPr>
                <w:rFonts w:cs="Segoe UI"/>
                <w:sz w:val="17"/>
                <w:lang w:eastAsia="it-IT"/>
              </w:rPr>
              <w:t>AT1</w:t>
            </w:r>
            <w:r w:rsidRPr="00CA7301">
              <w:rPr>
                <w:rFonts w:eastAsia="新細明體" w:cs="Segoe UI"/>
                <w:sz w:val="17"/>
                <w:lang w:eastAsia="it-IT"/>
              </w:rPr>
              <w:t>資本票據的重大</w:t>
            </w:r>
            <w:r w:rsidR="00697865">
              <w:rPr>
                <w:rFonts w:eastAsia="新細明體" w:cs="Segoe UI" w:hint="eastAsia"/>
                <w:sz w:val="17"/>
                <w:lang w:eastAsia="zh-TW"/>
              </w:rPr>
              <w:t>LAC</w:t>
            </w:r>
            <w:r w:rsidRPr="00CA7301">
              <w:rPr>
                <w:rFonts w:eastAsia="新細明體" w:cs="Segoe UI"/>
                <w:sz w:val="17"/>
                <w:lang w:eastAsia="it-IT"/>
              </w:rPr>
              <w:t>投資</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4F3E3657"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20B77AA1" w14:textId="77777777" w:rsidR="00CA1B87" w:rsidRPr="00CA7301" w:rsidRDefault="00CA1B87" w:rsidP="00CA1B87">
            <w:pPr>
              <w:snapToGrid w:val="0"/>
              <w:spacing w:before="40" w:after="40"/>
              <w:jc w:val="center"/>
              <w:rPr>
                <w:rFonts w:cs="Segoe UI"/>
                <w:sz w:val="17"/>
                <w:lang w:eastAsia="it-IT"/>
              </w:rPr>
            </w:pPr>
          </w:p>
        </w:tc>
      </w:tr>
      <w:tr w:rsidR="00CA1B87" w:rsidRPr="00CA7301" w14:paraId="4EC4FE52" w14:textId="77777777" w:rsidTr="00F62652">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1B80B555"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41</w:t>
            </w:r>
          </w:p>
        </w:tc>
        <w:tc>
          <w:tcPr>
            <w:tcW w:w="5951" w:type="dxa"/>
            <w:tcBorders>
              <w:top w:val="single" w:sz="4" w:space="0" w:color="auto"/>
              <w:left w:val="single" w:sz="4" w:space="0" w:color="auto"/>
              <w:bottom w:val="single" w:sz="6" w:space="0" w:color="auto"/>
              <w:right w:val="single" w:sz="4" w:space="0" w:color="auto"/>
            </w:tcBorders>
            <w:shd w:val="clear" w:color="auto" w:fill="auto"/>
          </w:tcPr>
          <w:p w14:paraId="33B95060"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適用於</w:t>
            </w:r>
            <w:r w:rsidRPr="00CA7301">
              <w:rPr>
                <w:rFonts w:cs="Segoe UI"/>
                <w:sz w:val="17"/>
                <w:lang w:eastAsia="it-IT"/>
              </w:rPr>
              <w:t>AT1</w:t>
            </w:r>
            <w:r w:rsidRPr="00CA7301">
              <w:rPr>
                <w:rFonts w:eastAsia="新細明體" w:cs="Segoe UI"/>
                <w:sz w:val="17"/>
                <w:lang w:eastAsia="it-IT"/>
              </w:rPr>
              <w:t>資本的司法管轄區特定監管調整</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674D4C30"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1B70BB0F" w14:textId="77777777" w:rsidR="00CA1B87" w:rsidRPr="00CA7301" w:rsidRDefault="00CA1B87" w:rsidP="00CA1B87">
            <w:pPr>
              <w:snapToGrid w:val="0"/>
              <w:spacing w:before="40" w:after="40"/>
              <w:jc w:val="center"/>
              <w:rPr>
                <w:rFonts w:cs="Segoe UI"/>
                <w:sz w:val="17"/>
                <w:lang w:eastAsia="it-IT"/>
              </w:rPr>
            </w:pPr>
          </w:p>
        </w:tc>
      </w:tr>
      <w:tr w:rsidR="00CA1B87" w:rsidRPr="00CA7301" w14:paraId="4B0916D3" w14:textId="77777777" w:rsidTr="00F62652">
        <w:trPr>
          <w:cantSplit/>
          <w:trHeight w:val="270"/>
        </w:trPr>
        <w:tc>
          <w:tcPr>
            <w:tcW w:w="570" w:type="dxa"/>
            <w:tcBorders>
              <w:top w:val="single" w:sz="4" w:space="0" w:color="auto"/>
              <w:left w:val="nil"/>
              <w:bottom w:val="single" w:sz="6" w:space="0" w:color="auto"/>
              <w:right w:val="single" w:sz="4" w:space="0" w:color="auto"/>
            </w:tcBorders>
            <w:shd w:val="clear" w:color="auto" w:fill="auto"/>
          </w:tcPr>
          <w:p w14:paraId="765D81C1"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C47AD84" w14:textId="77777777" w:rsidR="00CA1B87" w:rsidRPr="00CA7301" w:rsidRDefault="00CA1B87" w:rsidP="00CA1B87">
            <w:pPr>
              <w:snapToGrid w:val="0"/>
              <w:spacing w:before="40" w:after="40"/>
              <w:ind w:left="57" w:rightChars="71" w:right="142"/>
              <w:rPr>
                <w:rFonts w:cs="Segoe UI"/>
                <w:sz w:val="17"/>
                <w:lang w:eastAsia="it-IT"/>
              </w:rPr>
            </w:pPr>
            <w:r w:rsidRPr="00CA7301">
              <w:rPr>
                <w:rFonts w:eastAsia="新細明體" w:cs="Segoe UI"/>
                <w:sz w:val="17"/>
                <w:lang w:eastAsia="it-IT"/>
              </w:rPr>
              <w:t>因沒有充足的二級資本以供扣除而須在</w:t>
            </w:r>
            <w:r w:rsidRPr="00CA7301">
              <w:rPr>
                <w:rFonts w:cs="Segoe UI"/>
                <w:sz w:val="17"/>
                <w:lang w:eastAsia="it-IT"/>
              </w:rPr>
              <w:t>AT1</w:t>
            </w:r>
            <w:r w:rsidRPr="00CA7301">
              <w:rPr>
                <w:rFonts w:eastAsia="新細明體" w:cs="Segoe UI"/>
                <w:sz w:val="17"/>
                <w:lang w:eastAsia="it-IT"/>
              </w:rPr>
              <w:t>資本扣除的監管扣減</w:t>
            </w:r>
          </w:p>
        </w:tc>
        <w:tc>
          <w:tcPr>
            <w:tcW w:w="1276" w:type="dxa"/>
            <w:tcBorders>
              <w:top w:val="single" w:sz="4" w:space="0" w:color="auto"/>
              <w:left w:val="single" w:sz="4" w:space="0" w:color="auto"/>
              <w:bottom w:val="single" w:sz="6" w:space="0" w:color="auto"/>
              <w:right w:val="single" w:sz="4" w:space="0" w:color="auto"/>
            </w:tcBorders>
            <w:shd w:val="clear" w:color="auto" w:fill="auto"/>
          </w:tcPr>
          <w:p w14:paraId="64D88A13"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4" w:space="0" w:color="auto"/>
              <w:left w:val="single" w:sz="4" w:space="0" w:color="auto"/>
              <w:bottom w:val="single" w:sz="6" w:space="0" w:color="auto"/>
              <w:right w:val="single" w:sz="4" w:space="0" w:color="auto"/>
            </w:tcBorders>
            <w:shd w:val="clear" w:color="auto" w:fill="auto"/>
          </w:tcPr>
          <w:p w14:paraId="6235F51C" w14:textId="77777777" w:rsidR="00CA1B87" w:rsidRPr="00CA7301" w:rsidRDefault="00CA1B87" w:rsidP="00CA1B87">
            <w:pPr>
              <w:snapToGrid w:val="0"/>
              <w:spacing w:before="40" w:after="40"/>
              <w:jc w:val="center"/>
              <w:rPr>
                <w:rFonts w:cs="Segoe UI"/>
                <w:sz w:val="17"/>
                <w:lang w:eastAsia="it-IT"/>
              </w:rPr>
            </w:pPr>
          </w:p>
        </w:tc>
      </w:tr>
      <w:tr w:rsidR="00CA1B87" w:rsidRPr="00CA7301" w14:paraId="21A971AE" w14:textId="77777777" w:rsidTr="00F62652">
        <w:trPr>
          <w:cantSplit/>
          <w:trHeight w:val="270"/>
        </w:trPr>
        <w:tc>
          <w:tcPr>
            <w:tcW w:w="570" w:type="dxa"/>
            <w:tcBorders>
              <w:top w:val="single" w:sz="6" w:space="0" w:color="auto"/>
              <w:left w:val="nil"/>
              <w:bottom w:val="single" w:sz="6" w:space="0" w:color="BCBDBC"/>
              <w:right w:val="single" w:sz="4" w:space="0" w:color="auto"/>
            </w:tcBorders>
          </w:tcPr>
          <w:p w14:paraId="36BD8CD2"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43</w:t>
            </w:r>
          </w:p>
        </w:tc>
        <w:tc>
          <w:tcPr>
            <w:tcW w:w="5951" w:type="dxa"/>
            <w:tcBorders>
              <w:top w:val="single" w:sz="4" w:space="0" w:color="auto"/>
              <w:left w:val="single" w:sz="4" w:space="0" w:color="auto"/>
              <w:bottom w:val="single" w:sz="18" w:space="0" w:color="auto"/>
              <w:right w:val="single" w:sz="6" w:space="0" w:color="auto"/>
            </w:tcBorders>
            <w:shd w:val="clear" w:color="auto" w:fill="D9D9D9" w:themeFill="background1" w:themeFillShade="D9"/>
          </w:tcPr>
          <w:p w14:paraId="20D02AE9" w14:textId="77777777" w:rsidR="00CA1B87" w:rsidRPr="00CA7301" w:rsidRDefault="00CA1B87" w:rsidP="00CA1B87">
            <w:pPr>
              <w:snapToGrid w:val="0"/>
              <w:spacing w:before="40" w:after="40"/>
              <w:ind w:left="57" w:rightChars="71" w:right="142"/>
              <w:rPr>
                <w:rFonts w:cs="Segoe UI"/>
                <w:b/>
                <w:sz w:val="17"/>
                <w:lang w:eastAsia="it-IT"/>
              </w:rPr>
            </w:pPr>
            <w:r w:rsidRPr="00CA7301">
              <w:rPr>
                <w:rFonts w:eastAsia="新細明體" w:cs="Segoe UI"/>
                <w:b/>
                <w:sz w:val="17"/>
                <w:lang w:eastAsia="it-IT"/>
              </w:rPr>
              <w:t>對</w:t>
            </w:r>
            <w:r w:rsidRPr="00CA7301">
              <w:rPr>
                <w:rFonts w:cs="Segoe UI"/>
                <w:b/>
                <w:sz w:val="17"/>
                <w:lang w:eastAsia="it-IT"/>
              </w:rPr>
              <w:t>AT1</w:t>
            </w:r>
            <w:r w:rsidRPr="00CA7301">
              <w:rPr>
                <w:rFonts w:eastAsia="新細明體" w:cs="Segoe UI"/>
                <w:b/>
                <w:sz w:val="17"/>
                <w:lang w:eastAsia="it-IT"/>
              </w:rPr>
              <w:t>資本的監管扣減總額</w:t>
            </w:r>
          </w:p>
        </w:tc>
        <w:tc>
          <w:tcPr>
            <w:tcW w:w="1276" w:type="dxa"/>
            <w:tcBorders>
              <w:top w:val="single" w:sz="6" w:space="0" w:color="auto"/>
              <w:left w:val="single" w:sz="6" w:space="0" w:color="auto"/>
              <w:bottom w:val="single" w:sz="18" w:space="0" w:color="auto"/>
              <w:right w:val="single" w:sz="6" w:space="0" w:color="auto"/>
            </w:tcBorders>
            <w:shd w:val="clear" w:color="auto" w:fill="auto"/>
          </w:tcPr>
          <w:p w14:paraId="6D0ADF38" w14:textId="77777777" w:rsidR="00CA1B87" w:rsidRPr="00CA7301" w:rsidRDefault="00CA1B87" w:rsidP="00CA1B87">
            <w:pPr>
              <w:snapToGrid w:val="0"/>
              <w:spacing w:before="40" w:after="40"/>
              <w:jc w:val="center"/>
              <w:rPr>
                <w:rFonts w:cs="Segoe UI"/>
                <w:sz w:val="17"/>
                <w:lang w:eastAsia="it-IT"/>
              </w:rPr>
            </w:pPr>
          </w:p>
        </w:tc>
        <w:tc>
          <w:tcPr>
            <w:tcW w:w="1417" w:type="dxa"/>
            <w:tcBorders>
              <w:top w:val="single" w:sz="6" w:space="0" w:color="auto"/>
              <w:left w:val="single" w:sz="6" w:space="0" w:color="auto"/>
              <w:bottom w:val="single" w:sz="6" w:space="0" w:color="auto"/>
              <w:right w:val="single" w:sz="4" w:space="0" w:color="auto"/>
            </w:tcBorders>
            <w:shd w:val="clear" w:color="auto" w:fill="auto"/>
          </w:tcPr>
          <w:p w14:paraId="5522587C" w14:textId="77777777" w:rsidR="00CA1B87" w:rsidRPr="00CA7301" w:rsidRDefault="00CA1B87" w:rsidP="00CA1B87">
            <w:pPr>
              <w:snapToGrid w:val="0"/>
              <w:spacing w:before="40" w:after="40"/>
              <w:jc w:val="center"/>
              <w:rPr>
                <w:rFonts w:cs="Segoe UI"/>
                <w:sz w:val="17"/>
                <w:lang w:eastAsia="it-IT"/>
              </w:rPr>
            </w:pPr>
          </w:p>
        </w:tc>
      </w:tr>
      <w:tr w:rsidR="00CA1B87" w:rsidRPr="00CA7301" w14:paraId="27D4F594" w14:textId="77777777" w:rsidTr="00F62652">
        <w:trPr>
          <w:cantSplit/>
          <w:trHeight w:val="270"/>
        </w:trPr>
        <w:tc>
          <w:tcPr>
            <w:tcW w:w="570" w:type="dxa"/>
            <w:tcBorders>
              <w:top w:val="single" w:sz="6" w:space="0" w:color="BCBDBC"/>
              <w:left w:val="nil"/>
              <w:bottom w:val="single" w:sz="6" w:space="0" w:color="BCBDBC"/>
              <w:right w:val="single" w:sz="18" w:space="0" w:color="auto"/>
            </w:tcBorders>
          </w:tcPr>
          <w:p w14:paraId="7C7AD183"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44</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EC47C5D" w14:textId="77777777" w:rsidR="00CA1B87" w:rsidRPr="00CA7301" w:rsidRDefault="00CA1B87" w:rsidP="00CA1B87">
            <w:pPr>
              <w:snapToGrid w:val="0"/>
              <w:spacing w:before="40" w:after="40"/>
              <w:ind w:left="57" w:rightChars="71" w:right="142"/>
              <w:rPr>
                <w:rFonts w:cs="Segoe UI"/>
                <w:b/>
                <w:sz w:val="17"/>
                <w:lang w:eastAsia="it-IT"/>
              </w:rPr>
            </w:pPr>
            <w:r w:rsidRPr="00CA7301">
              <w:rPr>
                <w:rFonts w:cs="Segoe UI"/>
                <w:b/>
                <w:sz w:val="17"/>
                <w:lang w:eastAsia="it-IT"/>
              </w:rPr>
              <w:t>AT1</w:t>
            </w:r>
            <w:r w:rsidRPr="00CA7301">
              <w:rPr>
                <w:rFonts w:eastAsiaTheme="minorEastAsia" w:cs="Segoe UI"/>
                <w:b/>
                <w:sz w:val="17"/>
                <w:lang w:eastAsia="zh-TW"/>
              </w:rPr>
              <w:t>資本</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22E3B34F"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6" w:space="0" w:color="auto"/>
              <w:left w:val="single" w:sz="18" w:space="0" w:color="auto"/>
              <w:bottom w:val="single" w:sz="6" w:space="0" w:color="auto"/>
              <w:right w:val="single" w:sz="4" w:space="0" w:color="auto"/>
            </w:tcBorders>
            <w:shd w:val="clear" w:color="auto" w:fill="auto"/>
          </w:tcPr>
          <w:p w14:paraId="1462A808" w14:textId="77777777" w:rsidR="00CA1B87" w:rsidRPr="00CA7301" w:rsidRDefault="00CA1B87" w:rsidP="00CA1B87">
            <w:pPr>
              <w:snapToGrid w:val="0"/>
              <w:spacing w:before="40" w:after="40"/>
              <w:jc w:val="center"/>
              <w:rPr>
                <w:rFonts w:cs="Segoe UI"/>
                <w:sz w:val="17"/>
                <w:lang w:eastAsia="it-IT"/>
              </w:rPr>
            </w:pPr>
          </w:p>
        </w:tc>
      </w:tr>
      <w:tr w:rsidR="00CA1B87" w:rsidRPr="00CA7301" w14:paraId="2B81B4C0" w14:textId="77777777" w:rsidTr="00F62652">
        <w:trPr>
          <w:cantSplit/>
          <w:trHeight w:val="270"/>
        </w:trPr>
        <w:tc>
          <w:tcPr>
            <w:tcW w:w="570" w:type="dxa"/>
            <w:tcBorders>
              <w:top w:val="single" w:sz="6" w:space="0" w:color="BCBDBC"/>
              <w:left w:val="nil"/>
              <w:bottom w:val="single" w:sz="6" w:space="0" w:color="BCBDBC"/>
              <w:right w:val="single" w:sz="18" w:space="0" w:color="auto"/>
            </w:tcBorders>
          </w:tcPr>
          <w:p w14:paraId="2FDDEADC"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45</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F87C752" w14:textId="77777777" w:rsidR="00CA1B87" w:rsidRPr="00CA7301" w:rsidRDefault="00CA1B87" w:rsidP="00CA1B87">
            <w:pPr>
              <w:snapToGrid w:val="0"/>
              <w:spacing w:before="40" w:after="40"/>
              <w:ind w:left="57" w:rightChars="71" w:right="142"/>
              <w:rPr>
                <w:rFonts w:cs="Segoe UI"/>
                <w:b/>
                <w:sz w:val="17"/>
                <w:lang w:eastAsia="it-IT"/>
              </w:rPr>
            </w:pPr>
            <w:r w:rsidRPr="00CA7301">
              <w:rPr>
                <w:rFonts w:eastAsia="新細明體" w:cs="Segoe UI"/>
                <w:b/>
                <w:sz w:val="17"/>
                <w:lang w:eastAsia="it-IT"/>
              </w:rPr>
              <w:t>一級資本</w:t>
            </w:r>
            <w:r w:rsidRPr="00CA7301">
              <w:rPr>
                <w:rFonts w:eastAsia="細明體" w:cs="Segoe UI"/>
                <w:b/>
                <w:sz w:val="17"/>
                <w:lang w:eastAsia="it-IT"/>
              </w:rPr>
              <w:t>（</w:t>
            </w:r>
            <w:r w:rsidRPr="00CA7301">
              <w:rPr>
                <w:rFonts w:eastAsia="新細明體" w:cs="Segoe UI"/>
                <w:b/>
                <w:sz w:val="17"/>
                <w:lang w:eastAsia="it-IT"/>
              </w:rPr>
              <w:t>一級資本</w:t>
            </w:r>
            <w:r w:rsidRPr="00CA7301">
              <w:rPr>
                <w:rFonts w:cs="Segoe UI"/>
                <w:b/>
                <w:sz w:val="17"/>
                <w:lang w:eastAsia="it-IT"/>
              </w:rPr>
              <w:t xml:space="preserve"> = CET1</w:t>
            </w:r>
            <w:r w:rsidRPr="00CA7301">
              <w:rPr>
                <w:rFonts w:eastAsia="新細明體" w:cs="Segoe UI"/>
                <w:b/>
                <w:sz w:val="17"/>
                <w:lang w:eastAsia="it-IT"/>
              </w:rPr>
              <w:t>資本</w:t>
            </w:r>
            <w:r w:rsidRPr="00CA7301">
              <w:rPr>
                <w:rFonts w:cs="Segoe UI"/>
                <w:b/>
                <w:sz w:val="17"/>
                <w:lang w:eastAsia="it-IT"/>
              </w:rPr>
              <w:t xml:space="preserve"> + AT1</w:t>
            </w:r>
            <w:r w:rsidRPr="00CA7301">
              <w:rPr>
                <w:rFonts w:eastAsia="新細明體" w:cs="Segoe UI"/>
                <w:b/>
                <w:sz w:val="17"/>
                <w:lang w:eastAsia="it-IT"/>
              </w:rPr>
              <w:t>資本</w:t>
            </w:r>
            <w:r w:rsidRPr="00CA7301">
              <w:rPr>
                <w:rFonts w:eastAsia="細明體" w:cs="Segoe UI"/>
                <w:b/>
                <w:sz w:val="17"/>
                <w:lang w:eastAsia="it-IT"/>
              </w:rPr>
              <w:t>）</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46F686FB"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6" w:space="0" w:color="auto"/>
              <w:left w:val="single" w:sz="18" w:space="0" w:color="auto"/>
              <w:bottom w:val="single" w:sz="6" w:space="0" w:color="auto"/>
              <w:right w:val="single" w:sz="4" w:space="0" w:color="auto"/>
            </w:tcBorders>
            <w:shd w:val="clear" w:color="auto" w:fill="auto"/>
          </w:tcPr>
          <w:p w14:paraId="7AA51E20" w14:textId="77777777" w:rsidR="00CA1B87" w:rsidRPr="00CA7301" w:rsidRDefault="00CA1B87" w:rsidP="00CA1B87">
            <w:pPr>
              <w:snapToGrid w:val="0"/>
              <w:spacing w:before="40" w:after="40"/>
              <w:jc w:val="center"/>
              <w:rPr>
                <w:rFonts w:cs="Segoe UI"/>
                <w:sz w:val="17"/>
                <w:lang w:eastAsia="it-IT"/>
              </w:rPr>
            </w:pPr>
          </w:p>
        </w:tc>
      </w:tr>
      <w:tr w:rsidR="00CA1B87" w:rsidRPr="00CA7301" w14:paraId="29F3265C"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29FFFECC" w14:textId="77777777" w:rsidR="00CA1B87" w:rsidRPr="00CA7301" w:rsidRDefault="00CA1B87" w:rsidP="00CA1B87">
            <w:pPr>
              <w:snapToGrid w:val="0"/>
              <w:spacing w:before="40" w:after="40"/>
              <w:ind w:left="417" w:rightChars="71" w:right="142"/>
              <w:rPr>
                <w:rFonts w:cs="Segoe UI"/>
                <w:b/>
                <w:sz w:val="17"/>
                <w:szCs w:val="17"/>
                <w:lang w:eastAsia="it-IT"/>
              </w:rPr>
            </w:pPr>
          </w:p>
        </w:tc>
        <w:tc>
          <w:tcPr>
            <w:tcW w:w="5951" w:type="dxa"/>
            <w:tcBorders>
              <w:top w:val="single" w:sz="18" w:space="0" w:color="auto"/>
              <w:left w:val="single" w:sz="4" w:space="0" w:color="auto"/>
              <w:bottom w:val="single" w:sz="4" w:space="0" w:color="auto"/>
              <w:right w:val="nil"/>
            </w:tcBorders>
            <w:shd w:val="clear" w:color="auto" w:fill="A6A6A6" w:themeFill="background1" w:themeFillShade="A6"/>
          </w:tcPr>
          <w:p w14:paraId="5CDE91CD" w14:textId="77777777" w:rsidR="00CA1B87" w:rsidRPr="00CA7301" w:rsidRDefault="00CA1B87"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二級資本：票據及準備金</w:t>
            </w:r>
          </w:p>
        </w:tc>
        <w:tc>
          <w:tcPr>
            <w:tcW w:w="1276" w:type="dxa"/>
            <w:tcBorders>
              <w:top w:val="single" w:sz="18" w:space="0" w:color="auto"/>
              <w:left w:val="nil"/>
              <w:bottom w:val="single" w:sz="4" w:space="0" w:color="auto"/>
              <w:right w:val="nil"/>
            </w:tcBorders>
            <w:shd w:val="clear" w:color="auto" w:fill="A6A6A6" w:themeFill="background1" w:themeFillShade="A6"/>
          </w:tcPr>
          <w:p w14:paraId="618C606E"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6" w:space="0" w:color="auto"/>
              <w:left w:val="nil"/>
              <w:bottom w:val="single" w:sz="4" w:space="0" w:color="auto"/>
              <w:right w:val="single" w:sz="6" w:space="0" w:color="auto"/>
            </w:tcBorders>
            <w:shd w:val="clear" w:color="auto" w:fill="A6A6A6" w:themeFill="background1" w:themeFillShade="A6"/>
          </w:tcPr>
          <w:p w14:paraId="615C3892" w14:textId="77777777" w:rsidR="00CA1B87" w:rsidRPr="00CA7301" w:rsidRDefault="00CA1B87" w:rsidP="00CA1B87">
            <w:pPr>
              <w:snapToGrid w:val="0"/>
              <w:spacing w:before="40" w:after="40"/>
              <w:jc w:val="center"/>
              <w:rPr>
                <w:rFonts w:cs="Segoe UI"/>
                <w:sz w:val="17"/>
                <w:lang w:eastAsia="it-IT"/>
              </w:rPr>
            </w:pPr>
          </w:p>
        </w:tc>
      </w:tr>
      <w:tr w:rsidR="00CA1B87" w:rsidRPr="00CA7301" w14:paraId="215208DF"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01371C8"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501081B" w14:textId="77777777" w:rsidR="00CA1B87" w:rsidRPr="00CA7301" w:rsidRDefault="00CA1B87"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合資格二級資本票據加任何相關股份溢價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A0D6CB"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5CDB33" w14:textId="77777777" w:rsidR="00CA1B87" w:rsidRPr="00CA7301" w:rsidRDefault="00CA1B87" w:rsidP="00CA1B87">
            <w:pPr>
              <w:snapToGrid w:val="0"/>
              <w:spacing w:before="40" w:after="40"/>
              <w:jc w:val="center"/>
              <w:rPr>
                <w:rFonts w:cs="Segoe UI"/>
                <w:sz w:val="17"/>
                <w:lang w:eastAsia="it-IT"/>
              </w:rPr>
            </w:pPr>
          </w:p>
        </w:tc>
      </w:tr>
      <w:tr w:rsidR="00CA1B87" w:rsidRPr="00CA7301" w14:paraId="6C5022F6"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8ABAD4F"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48</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0D24808D" w14:textId="77777777" w:rsidR="00CA1B87" w:rsidRPr="00CA7301" w:rsidRDefault="00CA1B87"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由綜合銀行附屬公司發行並由第三方持有的二級資本票據</w:t>
            </w:r>
            <w:r w:rsidRPr="00CA7301">
              <w:rPr>
                <w:rFonts w:eastAsia="細明體" w:cs="Segoe UI"/>
                <w:sz w:val="17"/>
                <w:szCs w:val="17"/>
                <w:lang w:eastAsia="it-IT"/>
              </w:rPr>
              <w:t>（</w:t>
            </w:r>
            <w:r w:rsidRPr="00CA7301">
              <w:rPr>
                <w:rFonts w:eastAsia="新細明體" w:cs="Segoe UI"/>
                <w:sz w:val="17"/>
                <w:szCs w:val="17"/>
                <w:lang w:eastAsia="it-IT"/>
              </w:rPr>
              <w:t>可計入綜合集團的二級資本的數額</w:t>
            </w:r>
            <w:r w:rsidRPr="00CA7301">
              <w:rPr>
                <w:rFonts w:eastAsia="細明體" w:cs="Segoe UI"/>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645453"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03C959" w14:textId="77777777" w:rsidR="00CA1B87" w:rsidRPr="00CA7301" w:rsidRDefault="00CA1B87" w:rsidP="00CA1B87">
            <w:pPr>
              <w:snapToGrid w:val="0"/>
              <w:spacing w:before="40" w:after="40"/>
              <w:jc w:val="center"/>
              <w:rPr>
                <w:rFonts w:cs="Segoe UI"/>
                <w:sz w:val="17"/>
                <w:lang w:eastAsia="it-IT"/>
              </w:rPr>
            </w:pPr>
          </w:p>
        </w:tc>
      </w:tr>
      <w:tr w:rsidR="00CA1B87" w:rsidRPr="00CA7301" w14:paraId="4AEAC7A6"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9333F29"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50</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2E0ADD04" w14:textId="77777777" w:rsidR="00CA1B87" w:rsidRPr="00CA7301" w:rsidRDefault="00CA1B87"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合資格計入二級資本的集體</w:t>
            </w:r>
            <w:r w:rsidRPr="00CA7301">
              <w:rPr>
                <w:rFonts w:eastAsia="新細明體" w:cs="Segoe UI"/>
                <w:sz w:val="17"/>
                <w:szCs w:val="17"/>
                <w:lang w:eastAsia="zh-TW"/>
              </w:rPr>
              <w:t>準備金</w:t>
            </w:r>
            <w:r w:rsidRPr="00CA7301">
              <w:rPr>
                <w:rFonts w:eastAsia="新細明體" w:cs="Segoe UI"/>
                <w:sz w:val="17"/>
                <w:szCs w:val="17"/>
                <w:lang w:eastAsia="it-IT"/>
              </w:rPr>
              <w:t>及一般銀行</w:t>
            </w:r>
            <w:r w:rsidRPr="00CA7301">
              <w:rPr>
                <w:rFonts w:eastAsia="新細明體" w:cs="Segoe UI"/>
                <w:sz w:val="17"/>
                <w:szCs w:val="17"/>
                <w:lang w:eastAsia="zh-TW"/>
              </w:rPr>
              <w:t>業務</w:t>
            </w:r>
            <w:r w:rsidRPr="00CA7301">
              <w:rPr>
                <w:rFonts w:eastAsia="新細明體" w:cs="Segoe UI"/>
                <w:sz w:val="17"/>
                <w:szCs w:val="17"/>
                <w:lang w:eastAsia="it-IT"/>
              </w:rPr>
              <w:t>風險監管儲備</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DA31D"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F7865E" w14:textId="77777777" w:rsidR="00CA1B87" w:rsidRPr="00CA7301" w:rsidRDefault="00CA1B87" w:rsidP="00CA1B87">
            <w:pPr>
              <w:snapToGrid w:val="0"/>
              <w:spacing w:before="40" w:after="40"/>
              <w:jc w:val="center"/>
              <w:rPr>
                <w:rFonts w:cs="Segoe UI"/>
                <w:sz w:val="17"/>
                <w:lang w:eastAsia="it-IT"/>
              </w:rPr>
            </w:pPr>
          </w:p>
        </w:tc>
      </w:tr>
      <w:tr w:rsidR="00CA1B87" w:rsidRPr="00CA7301" w14:paraId="68462B93"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BF9FCC1"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51</w:t>
            </w:r>
          </w:p>
        </w:tc>
        <w:tc>
          <w:tcPr>
            <w:tcW w:w="5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23C99" w14:textId="77777777" w:rsidR="00CA1B87" w:rsidRPr="00CA7301" w:rsidRDefault="00CA1B87"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監管扣減</w:t>
            </w:r>
            <w:r w:rsidRPr="00CA7301">
              <w:rPr>
                <w:rFonts w:eastAsia="新細明體" w:cs="Segoe UI"/>
                <w:b/>
                <w:sz w:val="17"/>
                <w:lang w:eastAsia="it-IT"/>
              </w:rPr>
              <w:t>之前</w:t>
            </w:r>
            <w:r w:rsidRPr="00CA7301">
              <w:rPr>
                <w:rFonts w:eastAsia="新細明體" w:cs="Segoe UI"/>
                <w:b/>
                <w:sz w:val="17"/>
                <w:szCs w:val="17"/>
                <w:lang w:eastAsia="it-IT"/>
              </w:rPr>
              <w:t>的二級資本</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BB942C"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30269E" w14:textId="77777777" w:rsidR="00CA1B87" w:rsidRPr="00CA7301" w:rsidRDefault="00CA1B87" w:rsidP="00CA1B87">
            <w:pPr>
              <w:snapToGrid w:val="0"/>
              <w:spacing w:before="40" w:after="40"/>
              <w:jc w:val="center"/>
              <w:rPr>
                <w:rFonts w:cs="Segoe UI"/>
                <w:sz w:val="17"/>
                <w:lang w:eastAsia="it-IT"/>
              </w:rPr>
            </w:pPr>
          </w:p>
        </w:tc>
      </w:tr>
      <w:tr w:rsidR="00CA1B87" w:rsidRPr="00CA7301" w14:paraId="3B6E5A7F"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67029EBC" w14:textId="77777777" w:rsidR="00CA1B87" w:rsidRPr="00CA7301" w:rsidRDefault="00CA1B87" w:rsidP="00CA1B87">
            <w:pPr>
              <w:snapToGrid w:val="0"/>
              <w:spacing w:before="40" w:after="40"/>
              <w:ind w:left="57"/>
              <w:rPr>
                <w:rFonts w:cs="Segoe UI"/>
                <w:sz w:val="17"/>
                <w:szCs w:val="17"/>
                <w:lang w:eastAsia="zh-TW"/>
              </w:rPr>
            </w:pPr>
          </w:p>
        </w:tc>
        <w:tc>
          <w:tcPr>
            <w:tcW w:w="59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90878F" w14:textId="77777777" w:rsidR="00CA1B87" w:rsidRPr="00CA7301" w:rsidRDefault="00CA1B87"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二級資本：監管扣減</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AD5D0E"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D7AF57" w14:textId="77777777" w:rsidR="00CA1B87" w:rsidRPr="00CA7301" w:rsidRDefault="00CA1B87" w:rsidP="00CA1B87">
            <w:pPr>
              <w:snapToGrid w:val="0"/>
              <w:spacing w:before="40" w:after="40"/>
              <w:jc w:val="center"/>
              <w:rPr>
                <w:rFonts w:cs="Segoe UI"/>
                <w:sz w:val="17"/>
                <w:lang w:eastAsia="it-IT"/>
              </w:rPr>
            </w:pPr>
          </w:p>
        </w:tc>
      </w:tr>
      <w:tr w:rsidR="00CA1B87" w:rsidRPr="00CA7301" w14:paraId="781AB862"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3929554"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9776D29" w14:textId="77777777" w:rsidR="00CA1B87" w:rsidRPr="00CA7301" w:rsidRDefault="00CA1B87"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於機構本身的二級資本票據的投資</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A3C031"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111336" w14:textId="77777777" w:rsidR="00CA1B87" w:rsidRPr="00CA7301" w:rsidRDefault="00CA1B87" w:rsidP="00CA1B87">
            <w:pPr>
              <w:snapToGrid w:val="0"/>
              <w:spacing w:before="40" w:after="40"/>
              <w:jc w:val="center"/>
              <w:rPr>
                <w:rFonts w:cs="Segoe UI"/>
                <w:sz w:val="17"/>
                <w:lang w:eastAsia="it-IT"/>
              </w:rPr>
            </w:pPr>
          </w:p>
        </w:tc>
      </w:tr>
      <w:tr w:rsidR="00CA1B87" w:rsidRPr="00CA7301" w14:paraId="155309C6"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4208987"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53</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5F48D8AE" w14:textId="77777777" w:rsidR="00CA1B87" w:rsidRPr="00CA7301" w:rsidRDefault="00CA1B87"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互相交叉持有的二級資本票據</w:t>
            </w:r>
            <w:r w:rsidR="00697865">
              <w:rPr>
                <w:rFonts w:eastAsia="新細明體" w:cs="Segoe UI" w:hint="eastAsia"/>
                <w:sz w:val="17"/>
                <w:szCs w:val="17"/>
                <w:lang w:eastAsia="zh-TW"/>
              </w:rPr>
              <w:t>及</w:t>
            </w:r>
            <w:r w:rsidR="00697865" w:rsidRPr="00697865">
              <w:rPr>
                <w:rFonts w:eastAsia="新細明體" w:cs="Segoe UI" w:hint="eastAsia"/>
                <w:sz w:val="17"/>
                <w:szCs w:val="17"/>
                <w:lang w:eastAsia="zh-TW"/>
              </w:rPr>
              <w:t>非資本</w:t>
            </w:r>
            <w:r w:rsidR="00697865" w:rsidRPr="00697865">
              <w:rPr>
                <w:rFonts w:eastAsia="新細明體" w:cs="Segoe UI"/>
                <w:sz w:val="17"/>
                <w:szCs w:val="17"/>
                <w:lang w:eastAsia="zh-TW"/>
              </w:rPr>
              <w:t>LAC</w:t>
            </w:r>
            <w:r w:rsidR="00697865" w:rsidRPr="00697865">
              <w:rPr>
                <w:rFonts w:eastAsia="新細明體" w:cs="Segoe UI" w:hint="eastAsia"/>
                <w:sz w:val="17"/>
                <w:szCs w:val="17"/>
                <w:lang w:eastAsia="zh-TW"/>
              </w:rPr>
              <w:t>負債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AD86D9"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1ADB13" w14:textId="77777777" w:rsidR="00CA1B87" w:rsidRPr="00CA7301" w:rsidRDefault="00CA1B87" w:rsidP="00CA1B87">
            <w:pPr>
              <w:snapToGrid w:val="0"/>
              <w:spacing w:before="40" w:after="40"/>
              <w:jc w:val="center"/>
              <w:rPr>
                <w:rFonts w:cs="Segoe UI"/>
                <w:sz w:val="17"/>
                <w:lang w:eastAsia="it-IT"/>
              </w:rPr>
            </w:pPr>
          </w:p>
        </w:tc>
      </w:tr>
      <w:tr w:rsidR="00CA1B87" w:rsidRPr="002F7E82" w14:paraId="6A761ECA"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DAAA84E"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54</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070774BB" w14:textId="77777777" w:rsidR="00CA1B87" w:rsidRPr="00CA7301" w:rsidRDefault="00CA1B87" w:rsidP="00E02528">
            <w:pPr>
              <w:snapToGrid w:val="0"/>
              <w:spacing w:before="40" w:after="40"/>
              <w:ind w:left="57" w:rightChars="71" w:right="142"/>
              <w:rPr>
                <w:rFonts w:cs="Segoe UI"/>
                <w:sz w:val="17"/>
                <w:szCs w:val="17"/>
                <w:lang w:eastAsia="zh-TW"/>
              </w:rPr>
            </w:pPr>
            <w:r w:rsidRPr="00CA7301">
              <w:rPr>
                <w:rFonts w:eastAsia="新細明體" w:cs="Segoe UI"/>
                <w:sz w:val="17"/>
                <w:lang w:eastAsia="it-IT"/>
              </w:rPr>
              <w:t>於</w:t>
            </w:r>
            <w:r w:rsidRPr="00CA7301">
              <w:rPr>
                <w:rFonts w:eastAsia="新細明體" w:cs="Segoe UI"/>
                <w:sz w:val="17"/>
                <w:szCs w:val="17"/>
                <w:lang w:eastAsia="zh-TW"/>
              </w:rPr>
              <w:t>在</w:t>
            </w:r>
            <w:r w:rsidRPr="00CA7301">
              <w:rPr>
                <w:rFonts w:eastAsia="新細明體" w:cs="Segoe UI"/>
                <w:sz w:val="17"/>
                <w:szCs w:val="17"/>
                <w:lang w:eastAsia="it-IT"/>
              </w:rPr>
              <w:t>監管綜合範圍以外的金融業實體發行的二級資本票據</w:t>
            </w:r>
            <w:r w:rsidR="00FF696D">
              <w:rPr>
                <w:rFonts w:eastAsia="新細明體" w:cs="Segoe UI" w:hint="eastAsia"/>
                <w:sz w:val="17"/>
                <w:szCs w:val="17"/>
                <w:lang w:eastAsia="zh-TW"/>
              </w:rPr>
              <w:t>及</w:t>
            </w:r>
            <w:r w:rsidR="00FF696D" w:rsidRPr="00697865">
              <w:rPr>
                <w:rFonts w:eastAsia="新細明體" w:cs="Segoe UI" w:hint="eastAsia"/>
                <w:sz w:val="17"/>
                <w:szCs w:val="17"/>
                <w:lang w:eastAsia="zh-TW"/>
              </w:rPr>
              <w:t>非資本</w:t>
            </w:r>
            <w:r w:rsidR="00FF696D" w:rsidRPr="00697865">
              <w:rPr>
                <w:rFonts w:eastAsia="新細明體" w:cs="Segoe UI"/>
                <w:sz w:val="17"/>
                <w:szCs w:val="17"/>
                <w:lang w:eastAsia="zh-TW"/>
              </w:rPr>
              <w:t>LAC</w:t>
            </w:r>
            <w:r w:rsidR="00FF696D" w:rsidRPr="00697865">
              <w:rPr>
                <w:rFonts w:eastAsia="新細明體" w:cs="Segoe UI" w:hint="eastAsia"/>
                <w:sz w:val="17"/>
                <w:szCs w:val="17"/>
                <w:lang w:eastAsia="zh-TW"/>
              </w:rPr>
              <w:t>負債</w:t>
            </w:r>
            <w:r w:rsidRPr="00CA7301">
              <w:rPr>
                <w:rFonts w:eastAsia="新細明體" w:cs="Segoe UI"/>
                <w:sz w:val="17"/>
                <w:szCs w:val="17"/>
                <w:lang w:eastAsia="it-IT"/>
              </w:rPr>
              <w:t>的非重大</w:t>
            </w:r>
            <w:r w:rsidR="00697865">
              <w:rPr>
                <w:rFonts w:eastAsia="新細明體" w:cs="Segoe UI" w:hint="eastAsia"/>
                <w:sz w:val="17"/>
                <w:szCs w:val="17"/>
                <w:lang w:eastAsia="zh-TW"/>
              </w:rPr>
              <w:t>LAC</w:t>
            </w:r>
            <w:r w:rsidRPr="00CA7301">
              <w:rPr>
                <w:rFonts w:eastAsia="新細明體" w:cs="Segoe UI"/>
                <w:sz w:val="17"/>
                <w:szCs w:val="17"/>
                <w:lang w:eastAsia="it-IT"/>
              </w:rPr>
              <w:t>投資</w:t>
            </w:r>
            <w:r w:rsidRPr="00CA7301">
              <w:rPr>
                <w:rFonts w:eastAsia="細明體" w:cs="Segoe UI"/>
                <w:sz w:val="17"/>
                <w:szCs w:val="17"/>
                <w:lang w:eastAsia="it-IT"/>
              </w:rPr>
              <w:t>（</w:t>
            </w:r>
            <w:r w:rsidRPr="00CA7301">
              <w:rPr>
                <w:rFonts w:eastAsia="新細明體" w:cs="Segoe UI"/>
                <w:sz w:val="17"/>
                <w:szCs w:val="17"/>
                <w:lang w:eastAsia="it-IT"/>
              </w:rPr>
              <w:t>超出</w:t>
            </w:r>
            <w:r w:rsidRPr="00CA7301">
              <w:rPr>
                <w:rFonts w:cs="Segoe UI"/>
                <w:sz w:val="17"/>
                <w:szCs w:val="17"/>
                <w:lang w:eastAsia="it-IT"/>
              </w:rPr>
              <w:t>10%</w:t>
            </w:r>
            <w:r w:rsidRPr="00CA7301">
              <w:rPr>
                <w:rFonts w:eastAsia="新細明體" w:cs="Segoe UI"/>
                <w:sz w:val="17"/>
                <w:szCs w:val="17"/>
                <w:lang w:eastAsia="it-IT"/>
              </w:rPr>
              <w:t>門檻</w:t>
            </w:r>
            <w:r w:rsidR="00697865">
              <w:rPr>
                <w:rFonts w:eastAsia="新細明體" w:cs="Segoe UI" w:hint="eastAsia"/>
                <w:sz w:val="17"/>
                <w:szCs w:val="17"/>
                <w:lang w:eastAsia="zh-TW"/>
              </w:rPr>
              <w:t>及</w:t>
            </w:r>
            <w:r w:rsidR="00E02528">
              <w:rPr>
                <w:rFonts w:eastAsia="新細明體" w:cs="Segoe UI" w:hint="eastAsia"/>
                <w:sz w:val="17"/>
                <w:szCs w:val="17"/>
                <w:lang w:eastAsia="zh-TW"/>
              </w:rPr>
              <w:t>（如適用）</w:t>
            </w:r>
            <w:r w:rsidR="00697865">
              <w:rPr>
                <w:rFonts w:eastAsia="新細明體" w:cs="Segoe UI" w:hint="eastAsia"/>
                <w:sz w:val="17"/>
                <w:szCs w:val="17"/>
                <w:lang w:eastAsia="zh-TW"/>
              </w:rPr>
              <w:t>5</w:t>
            </w:r>
            <w:r w:rsidR="00697865" w:rsidRPr="00CA7301">
              <w:rPr>
                <w:rFonts w:cs="Segoe UI"/>
                <w:sz w:val="17"/>
                <w:szCs w:val="17"/>
                <w:lang w:eastAsia="it-IT"/>
              </w:rPr>
              <w:t>%</w:t>
            </w:r>
            <w:r w:rsidR="00697865" w:rsidRPr="00CA7301">
              <w:rPr>
                <w:rFonts w:eastAsia="新細明體" w:cs="Segoe UI"/>
                <w:sz w:val="17"/>
                <w:szCs w:val="17"/>
                <w:lang w:eastAsia="it-IT"/>
              </w:rPr>
              <w:t>門檻</w:t>
            </w:r>
            <w:r w:rsidRPr="00CA7301">
              <w:rPr>
                <w:rFonts w:eastAsia="新細明體" w:cs="Segoe UI"/>
                <w:sz w:val="17"/>
                <w:szCs w:val="17"/>
                <w:lang w:eastAsia="it-IT"/>
              </w:rPr>
              <w:t>之數</w:t>
            </w:r>
            <w:r w:rsidRPr="00CA7301">
              <w:rPr>
                <w:rFonts w:eastAsia="細明體" w:cs="Segoe UI"/>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15ECD8"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2BFC2E" w14:textId="77777777" w:rsidR="00CA1B87" w:rsidRPr="00CA7301" w:rsidRDefault="00CA1B87" w:rsidP="00CA1B87">
            <w:pPr>
              <w:snapToGrid w:val="0"/>
              <w:spacing w:before="40" w:after="40"/>
              <w:jc w:val="center"/>
              <w:rPr>
                <w:rFonts w:cs="Segoe UI"/>
                <w:sz w:val="17"/>
                <w:lang w:eastAsia="it-IT"/>
              </w:rPr>
            </w:pPr>
          </w:p>
        </w:tc>
      </w:tr>
      <w:tr w:rsidR="002F7E82" w:rsidRPr="005758AB" w14:paraId="1B2BE42E"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5088206C" w14:textId="77777777" w:rsidR="002F7E82" w:rsidRPr="002F7E82" w:rsidRDefault="002F7E82" w:rsidP="00CA1B87">
            <w:pPr>
              <w:snapToGrid w:val="0"/>
              <w:spacing w:before="40" w:after="40"/>
              <w:ind w:left="57"/>
              <w:rPr>
                <w:rFonts w:eastAsiaTheme="minorEastAsia" w:cs="Segoe UI"/>
                <w:sz w:val="17"/>
                <w:szCs w:val="17"/>
                <w:lang w:eastAsia="zh-TW"/>
              </w:rPr>
            </w:pPr>
            <w:r w:rsidRPr="002F7E82">
              <w:rPr>
                <w:rFonts w:cs="Segoe UI" w:hint="eastAsia"/>
                <w:sz w:val="17"/>
                <w:szCs w:val="17"/>
                <w:lang w:eastAsia="en-GB"/>
              </w:rPr>
              <w:t>54a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1509E70" w14:textId="77777777" w:rsidR="002F7E82" w:rsidRPr="00CA7301" w:rsidRDefault="008E5015" w:rsidP="00D9266B">
            <w:pPr>
              <w:snapToGrid w:val="0"/>
              <w:spacing w:before="40" w:after="40"/>
              <w:ind w:left="57" w:rightChars="71" w:right="142"/>
              <w:rPr>
                <w:rFonts w:eastAsia="新細明體" w:cs="Segoe UI"/>
                <w:sz w:val="17"/>
                <w:lang w:eastAsia="it-IT"/>
              </w:rPr>
            </w:pPr>
            <w:r w:rsidRPr="00CA7301">
              <w:rPr>
                <w:rFonts w:eastAsia="新細明體" w:cs="Segoe UI"/>
                <w:sz w:val="17"/>
                <w:lang w:eastAsia="it-IT"/>
              </w:rPr>
              <w:t>於</w:t>
            </w:r>
            <w:r w:rsidRPr="00CA7301">
              <w:rPr>
                <w:rFonts w:eastAsia="新細明體" w:cs="Segoe UI"/>
                <w:sz w:val="17"/>
                <w:szCs w:val="17"/>
                <w:lang w:eastAsia="zh-TW"/>
              </w:rPr>
              <w:t>在</w:t>
            </w:r>
            <w:r w:rsidRPr="00CA7301">
              <w:rPr>
                <w:rFonts w:eastAsia="新細明體" w:cs="Segoe UI"/>
                <w:sz w:val="17"/>
                <w:szCs w:val="17"/>
                <w:lang w:eastAsia="it-IT"/>
              </w:rPr>
              <w:t>監管綜合範圍以外的金融業實體</w:t>
            </w:r>
            <w:r w:rsidR="001C6675">
              <w:rPr>
                <w:rFonts w:eastAsia="新細明體" w:cs="Segoe UI" w:hint="eastAsia"/>
                <w:sz w:val="17"/>
                <w:szCs w:val="17"/>
                <w:lang w:val="it-IT" w:eastAsia="zh-TW"/>
              </w:rPr>
              <w:t>的</w:t>
            </w:r>
            <w:r w:rsidRPr="00697865">
              <w:rPr>
                <w:rFonts w:eastAsia="新細明體" w:cs="Segoe UI" w:hint="eastAsia"/>
                <w:sz w:val="17"/>
                <w:szCs w:val="17"/>
                <w:lang w:eastAsia="zh-TW"/>
              </w:rPr>
              <w:t>非資本</w:t>
            </w:r>
            <w:r w:rsidRPr="00697865">
              <w:rPr>
                <w:rFonts w:eastAsia="新細明體" w:cs="Segoe UI"/>
                <w:sz w:val="17"/>
                <w:szCs w:val="17"/>
                <w:lang w:eastAsia="zh-TW"/>
              </w:rPr>
              <w:t>LAC</w:t>
            </w:r>
            <w:r w:rsidRPr="00697865">
              <w:rPr>
                <w:rFonts w:eastAsia="新細明體" w:cs="Segoe UI" w:hint="eastAsia"/>
                <w:sz w:val="17"/>
                <w:szCs w:val="17"/>
                <w:lang w:eastAsia="zh-TW"/>
              </w:rPr>
              <w:t>負債</w:t>
            </w:r>
            <w:r>
              <w:rPr>
                <w:rFonts w:eastAsia="新細明體" w:cs="Segoe UI" w:hint="eastAsia"/>
                <w:sz w:val="17"/>
                <w:szCs w:val="17"/>
                <w:lang w:eastAsia="zh-TW"/>
              </w:rPr>
              <w:t>的</w:t>
            </w:r>
            <w:r w:rsidRPr="00CA7301">
              <w:rPr>
                <w:rFonts w:eastAsia="新細明體" w:cs="Segoe UI"/>
                <w:sz w:val="17"/>
                <w:szCs w:val="17"/>
                <w:lang w:eastAsia="it-IT"/>
              </w:rPr>
              <w:t>非重大</w:t>
            </w:r>
            <w:r>
              <w:rPr>
                <w:rFonts w:eastAsia="新細明體" w:cs="Segoe UI" w:hint="eastAsia"/>
                <w:sz w:val="17"/>
                <w:szCs w:val="17"/>
                <w:lang w:eastAsia="zh-TW"/>
              </w:rPr>
              <w:t>LAC</w:t>
            </w:r>
            <w:r w:rsidRPr="00CA7301">
              <w:rPr>
                <w:rFonts w:eastAsia="新細明體" w:cs="Segoe UI"/>
                <w:sz w:val="17"/>
                <w:szCs w:val="17"/>
                <w:lang w:eastAsia="it-IT"/>
              </w:rPr>
              <w:t>投資</w:t>
            </w:r>
            <w:r w:rsidRPr="00CA7301">
              <w:rPr>
                <w:rFonts w:eastAsia="細明體" w:cs="Segoe UI"/>
                <w:sz w:val="17"/>
                <w:szCs w:val="17"/>
                <w:lang w:eastAsia="it-IT"/>
              </w:rPr>
              <w:t>（</w:t>
            </w:r>
            <w:r w:rsidR="002C68E5">
              <w:rPr>
                <w:rFonts w:eastAsia="細明體" w:cs="Segoe UI" w:hint="eastAsia"/>
                <w:sz w:val="17"/>
                <w:szCs w:val="17"/>
                <w:lang w:eastAsia="zh-TW"/>
              </w:rPr>
              <w:t>之前</w:t>
            </w:r>
            <w:r w:rsidR="00186097">
              <w:rPr>
                <w:rFonts w:eastAsia="細明體" w:cs="Segoe UI" w:hint="eastAsia"/>
                <w:sz w:val="17"/>
                <w:szCs w:val="17"/>
                <w:lang w:eastAsia="zh-TW"/>
              </w:rPr>
              <w:t>被</w:t>
            </w:r>
            <w:r w:rsidR="002C68E5">
              <w:rPr>
                <w:rFonts w:eastAsia="細明體" w:cs="Segoe UI" w:hint="eastAsia"/>
                <w:sz w:val="17"/>
                <w:szCs w:val="17"/>
                <w:lang w:eastAsia="zh-TW"/>
              </w:rPr>
              <w:t>指定</w:t>
            </w:r>
            <w:r w:rsidR="00186097">
              <w:rPr>
                <w:rFonts w:eastAsia="細明體" w:cs="Segoe UI" w:hint="eastAsia"/>
                <w:sz w:val="17"/>
                <w:szCs w:val="17"/>
                <w:lang w:eastAsia="zh-TW"/>
              </w:rPr>
              <w:t>為</w:t>
            </w:r>
            <w:r w:rsidR="00186097">
              <w:rPr>
                <w:rFonts w:eastAsia="新細明體" w:cs="Segoe UI" w:hint="eastAsia"/>
                <w:sz w:val="17"/>
                <w:szCs w:val="17"/>
                <w:lang w:eastAsia="zh-TW"/>
              </w:rPr>
              <w:t>屬</w:t>
            </w:r>
            <w:r w:rsidR="002C68E5">
              <w:rPr>
                <w:rFonts w:asciiTheme="minorEastAsia" w:eastAsiaTheme="minorEastAsia" w:hAnsiTheme="minorEastAsia" w:cs="Segoe UI" w:hint="eastAsia"/>
                <w:sz w:val="17"/>
                <w:szCs w:val="17"/>
                <w:lang w:eastAsia="zh-TW"/>
              </w:rPr>
              <w:t>5</w:t>
            </w:r>
            <w:r w:rsidRPr="00CA7301">
              <w:rPr>
                <w:rFonts w:cs="Segoe UI"/>
                <w:sz w:val="17"/>
                <w:szCs w:val="17"/>
                <w:lang w:eastAsia="it-IT"/>
              </w:rPr>
              <w:t>%</w:t>
            </w:r>
            <w:r w:rsidRPr="00CA7301">
              <w:rPr>
                <w:rFonts w:eastAsia="新細明體" w:cs="Segoe UI"/>
                <w:sz w:val="17"/>
                <w:szCs w:val="17"/>
                <w:lang w:eastAsia="it-IT"/>
              </w:rPr>
              <w:t>門檻</w:t>
            </w:r>
            <w:r w:rsidR="00186097">
              <w:rPr>
                <w:rFonts w:eastAsia="新細明體" w:cs="Segoe UI" w:hint="eastAsia"/>
                <w:sz w:val="17"/>
                <w:szCs w:val="17"/>
                <w:lang w:eastAsia="zh-TW"/>
              </w:rPr>
              <w:t>類別</w:t>
            </w:r>
            <w:r w:rsidR="002C68E5">
              <w:rPr>
                <w:rFonts w:eastAsia="新細明體" w:cs="Segoe UI" w:hint="eastAsia"/>
                <w:sz w:val="17"/>
                <w:szCs w:val="17"/>
                <w:lang w:eastAsia="zh-TW"/>
              </w:rPr>
              <w:t>但及後不再符合</w:t>
            </w:r>
            <w:r w:rsidR="00186097" w:rsidRPr="00CA7301">
              <w:rPr>
                <w:rFonts w:eastAsia="新細明體" w:cs="Segoe UI"/>
                <w:sz w:val="17"/>
                <w:szCs w:val="17"/>
                <w:lang w:eastAsia="it-IT"/>
              </w:rPr>
              <w:t>門檻</w:t>
            </w:r>
            <w:r w:rsidR="002C68E5">
              <w:rPr>
                <w:rFonts w:eastAsia="新細明體" w:cs="Segoe UI" w:hint="eastAsia"/>
                <w:sz w:val="17"/>
                <w:szCs w:val="17"/>
                <w:lang w:eastAsia="zh-TW"/>
              </w:rPr>
              <w:t>條件</w:t>
            </w:r>
            <w:r w:rsidRPr="00CA7301">
              <w:rPr>
                <w:rFonts w:eastAsia="新細明體" w:cs="Segoe UI"/>
                <w:sz w:val="17"/>
                <w:szCs w:val="17"/>
                <w:lang w:eastAsia="it-IT"/>
              </w:rPr>
              <w:t>之數</w:t>
            </w:r>
            <w:r w:rsidRPr="00CA7301">
              <w:rPr>
                <w:rFonts w:eastAsia="細明體" w:cs="Segoe UI"/>
                <w:sz w:val="17"/>
                <w:szCs w:val="17"/>
                <w:lang w:eastAsia="it-IT"/>
              </w:rPr>
              <w:t>）</w:t>
            </w:r>
            <w:r w:rsidR="004B2DC8">
              <w:rPr>
                <w:rFonts w:eastAsia="細明體" w:cs="Segoe UI" w:hint="eastAsia"/>
                <w:sz w:val="17"/>
                <w:szCs w:val="17"/>
                <w:lang w:eastAsia="zh-TW"/>
              </w:rPr>
              <w:t>（只適用</w:t>
            </w:r>
            <w:r w:rsidR="005758AB">
              <w:rPr>
                <w:rFonts w:eastAsia="細明體" w:cs="Segoe UI" w:hint="eastAsia"/>
                <w:sz w:val="17"/>
                <w:szCs w:val="17"/>
                <w:lang w:eastAsia="zh-TW"/>
              </w:rPr>
              <w:t>於在</w:t>
            </w:r>
            <w:r w:rsidR="004B2DC8">
              <w:rPr>
                <w:rFonts w:eastAsia="細明體" w:cs="Segoe UI" w:hint="eastAsia"/>
                <w:sz w:val="17"/>
                <w:szCs w:val="17"/>
                <w:lang w:eastAsia="zh-TW"/>
              </w:rPr>
              <w:t>《資本規則》</w:t>
            </w:r>
            <w:r w:rsidR="004B2DC8" w:rsidRPr="004B2DC8">
              <w:rPr>
                <w:rFonts w:eastAsia="細明體" w:cs="Segoe UI" w:hint="eastAsia"/>
                <w:sz w:val="17"/>
                <w:szCs w:val="17"/>
                <w:lang w:eastAsia="zh-TW"/>
              </w:rPr>
              <w:t>附表</w:t>
            </w:r>
            <w:r w:rsidR="004B2DC8">
              <w:rPr>
                <w:rFonts w:eastAsia="細明體" w:cs="Segoe UI" w:hint="eastAsia"/>
                <w:sz w:val="17"/>
                <w:szCs w:val="17"/>
                <w:lang w:eastAsia="zh-TW"/>
              </w:rPr>
              <w:t>4F</w:t>
            </w:r>
            <w:r w:rsidR="005758AB" w:rsidRPr="00CA7301">
              <w:rPr>
                <w:rFonts w:eastAsia="新細明體" w:cs="Segoe UI"/>
                <w:sz w:val="17"/>
                <w:szCs w:val="17"/>
                <w:lang w:eastAsia="zh-TW"/>
              </w:rPr>
              <w:t>第</w:t>
            </w:r>
            <w:r w:rsidR="005758AB" w:rsidRPr="005758AB">
              <w:rPr>
                <w:rFonts w:cs="Segoe UI" w:hint="eastAsia"/>
                <w:sz w:val="17"/>
                <w:szCs w:val="17"/>
                <w:lang w:eastAsia="zh-TW"/>
              </w:rPr>
              <w:t>2</w:t>
            </w:r>
            <w:r w:rsidR="005758AB" w:rsidRPr="00CA7301">
              <w:rPr>
                <w:rFonts w:cs="Segoe UI"/>
                <w:sz w:val="17"/>
                <w:szCs w:val="17"/>
                <w:lang w:eastAsia="zh-TW"/>
              </w:rPr>
              <w:t>(1)</w:t>
            </w:r>
            <w:r w:rsidR="005758AB" w:rsidRPr="00CA7301">
              <w:rPr>
                <w:rFonts w:eastAsia="新細明體" w:cs="Segoe UI"/>
                <w:sz w:val="17"/>
                <w:szCs w:val="17"/>
                <w:lang w:eastAsia="zh-TW"/>
              </w:rPr>
              <w:t>條</w:t>
            </w:r>
            <w:r w:rsidR="004B2DC8">
              <w:rPr>
                <w:rFonts w:eastAsia="細明體" w:cs="Segoe UI" w:hint="eastAsia"/>
                <w:sz w:val="17"/>
                <w:szCs w:val="17"/>
                <w:lang w:eastAsia="zh-TW"/>
              </w:rPr>
              <w:t>下被定義為「</w:t>
            </w:r>
            <w:r w:rsidR="002C68E5" w:rsidRPr="002C68E5">
              <w:rPr>
                <w:rFonts w:eastAsia="細明體" w:cs="Segoe UI" w:hint="eastAsia"/>
                <w:sz w:val="17"/>
                <w:szCs w:val="17"/>
                <w:lang w:eastAsia="it-IT"/>
              </w:rPr>
              <w:t>第</w:t>
            </w:r>
            <w:r w:rsidR="002C68E5" w:rsidRPr="002C68E5">
              <w:rPr>
                <w:rFonts w:eastAsia="細明體" w:cs="Segoe UI"/>
                <w:sz w:val="17"/>
                <w:szCs w:val="17"/>
                <w:lang w:eastAsia="it-IT"/>
              </w:rPr>
              <w:t>2</w:t>
            </w:r>
            <w:r w:rsidR="002C68E5" w:rsidRPr="002C68E5">
              <w:rPr>
                <w:rFonts w:eastAsia="細明體" w:cs="Segoe UI" w:hint="eastAsia"/>
                <w:sz w:val="17"/>
                <w:szCs w:val="17"/>
                <w:lang w:eastAsia="it-IT"/>
              </w:rPr>
              <w:t>條機構</w:t>
            </w:r>
            <w:r w:rsidR="004B2DC8">
              <w:rPr>
                <w:rFonts w:eastAsia="細明體" w:cs="Segoe UI" w:hint="eastAsia"/>
                <w:sz w:val="17"/>
                <w:szCs w:val="17"/>
                <w:lang w:eastAsia="zh-TW"/>
              </w:rPr>
              <w:t>」</w:t>
            </w:r>
            <w:r w:rsidR="005758AB">
              <w:rPr>
                <w:rFonts w:eastAsia="細明體" w:cs="Segoe UI" w:hint="eastAsia"/>
                <w:sz w:val="17"/>
                <w:szCs w:val="17"/>
                <w:lang w:eastAsia="zh-TW"/>
              </w:rPr>
              <w:t>者</w:t>
            </w:r>
            <w:r w:rsidR="004B2DC8">
              <w:rPr>
                <w:rFonts w:eastAsia="細明體" w:cs="Segoe UI" w:hint="eastAsia"/>
                <w:sz w:val="17"/>
                <w:szCs w:val="17"/>
                <w:lang w:eastAsia="zh-TW"/>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DAE1F0" w14:textId="77777777" w:rsidR="002F7E82" w:rsidRPr="00CA7301" w:rsidRDefault="002F7E8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1A9751" w14:textId="77777777" w:rsidR="002F7E82" w:rsidRPr="00CA7301" w:rsidRDefault="002F7E82" w:rsidP="00CA1B87">
            <w:pPr>
              <w:snapToGrid w:val="0"/>
              <w:spacing w:before="40" w:after="40"/>
              <w:jc w:val="center"/>
              <w:rPr>
                <w:rFonts w:cs="Segoe UI"/>
                <w:sz w:val="17"/>
                <w:lang w:eastAsia="it-IT"/>
              </w:rPr>
            </w:pPr>
          </w:p>
        </w:tc>
      </w:tr>
      <w:tr w:rsidR="00CA1B87" w:rsidRPr="005758AB" w14:paraId="7180AA14"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DDD85CF"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55</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66352E1" w14:textId="77777777" w:rsidR="00CA1B87" w:rsidRPr="00CA7301" w:rsidRDefault="00CA1B87" w:rsidP="005758AB">
            <w:pPr>
              <w:snapToGrid w:val="0"/>
              <w:spacing w:before="40" w:after="40"/>
              <w:ind w:left="57" w:rightChars="71" w:right="142"/>
              <w:rPr>
                <w:rFonts w:cs="Segoe UI"/>
                <w:sz w:val="17"/>
                <w:szCs w:val="17"/>
                <w:lang w:eastAsia="it-IT"/>
              </w:rPr>
            </w:pPr>
            <w:r w:rsidRPr="00CA7301">
              <w:rPr>
                <w:rFonts w:eastAsia="新細明體" w:cs="Segoe UI"/>
                <w:sz w:val="17"/>
                <w:lang w:eastAsia="it-IT"/>
              </w:rPr>
              <w:t>於</w:t>
            </w:r>
            <w:r w:rsidRPr="00CA7301">
              <w:rPr>
                <w:rFonts w:eastAsia="新細明體" w:cs="Segoe UI"/>
                <w:sz w:val="17"/>
                <w:szCs w:val="17"/>
                <w:lang w:eastAsia="it-IT"/>
              </w:rPr>
              <w:t>在監管綜合範圍以外的金融業實體發行的二級資本票據的重大</w:t>
            </w:r>
            <w:r w:rsidR="005758AB">
              <w:rPr>
                <w:rFonts w:eastAsia="新細明體" w:cs="Segoe UI" w:hint="eastAsia"/>
                <w:sz w:val="17"/>
                <w:szCs w:val="17"/>
                <w:lang w:eastAsia="zh-TW"/>
              </w:rPr>
              <w:t>LAC</w:t>
            </w:r>
            <w:r w:rsidRPr="00CA7301">
              <w:rPr>
                <w:rFonts w:eastAsia="新細明體" w:cs="Segoe UI"/>
                <w:sz w:val="17"/>
                <w:szCs w:val="17"/>
                <w:lang w:eastAsia="it-IT"/>
              </w:rPr>
              <w:t>投資</w:t>
            </w:r>
            <w:r w:rsidRPr="00CA7301">
              <w:rPr>
                <w:rFonts w:eastAsia="新細明體" w:cs="Segoe UI"/>
                <w:sz w:val="17"/>
                <w:szCs w:val="17"/>
                <w:lang w:eastAsia="zh-TW"/>
              </w:rPr>
              <w:t>（已扣除合資格短倉）</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6F652C"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88FDE3" w14:textId="77777777" w:rsidR="00CA1B87" w:rsidRPr="00CA7301" w:rsidRDefault="00CA1B87" w:rsidP="00CA1B87">
            <w:pPr>
              <w:snapToGrid w:val="0"/>
              <w:spacing w:before="40" w:after="40"/>
              <w:jc w:val="center"/>
              <w:rPr>
                <w:rFonts w:cs="Segoe UI"/>
                <w:sz w:val="17"/>
                <w:lang w:eastAsia="it-IT"/>
              </w:rPr>
            </w:pPr>
          </w:p>
        </w:tc>
      </w:tr>
      <w:tr w:rsidR="005758AB" w:rsidRPr="005758AB" w14:paraId="6B723C98"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009BF71" w14:textId="77777777" w:rsidR="005758AB" w:rsidRPr="00CA7301" w:rsidRDefault="005758AB" w:rsidP="00CA1B87">
            <w:pPr>
              <w:snapToGrid w:val="0"/>
              <w:spacing w:before="40" w:after="40"/>
              <w:ind w:left="57"/>
              <w:rPr>
                <w:rFonts w:cs="Segoe UI"/>
                <w:sz w:val="17"/>
                <w:szCs w:val="17"/>
                <w:lang w:eastAsia="en-GB"/>
              </w:rPr>
            </w:pPr>
            <w:r w:rsidRPr="002F7E82">
              <w:rPr>
                <w:rFonts w:cs="Segoe UI" w:hint="eastAsia"/>
                <w:sz w:val="17"/>
                <w:szCs w:val="17"/>
                <w:lang w:eastAsia="en-GB"/>
              </w:rPr>
              <w:t>55a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41024DC2" w14:textId="77777777" w:rsidR="005758AB" w:rsidRPr="00CA7301" w:rsidRDefault="006F46ED" w:rsidP="00D9266B">
            <w:pPr>
              <w:snapToGrid w:val="0"/>
              <w:spacing w:before="40" w:after="40"/>
              <w:ind w:left="57" w:rightChars="71" w:right="142"/>
              <w:rPr>
                <w:rFonts w:eastAsia="新細明體" w:cs="Segoe UI"/>
                <w:sz w:val="17"/>
                <w:lang w:eastAsia="it-IT"/>
              </w:rPr>
            </w:pPr>
            <w:r w:rsidRPr="00CA7301">
              <w:rPr>
                <w:rFonts w:eastAsia="新細明體" w:cs="Segoe UI"/>
                <w:sz w:val="17"/>
                <w:lang w:eastAsia="it-IT"/>
              </w:rPr>
              <w:t>於</w:t>
            </w:r>
            <w:r w:rsidRPr="00CA7301">
              <w:rPr>
                <w:rFonts w:eastAsia="新細明體" w:cs="Segoe UI"/>
                <w:sz w:val="17"/>
                <w:szCs w:val="17"/>
                <w:lang w:eastAsia="zh-TW"/>
              </w:rPr>
              <w:t>在</w:t>
            </w:r>
            <w:r w:rsidRPr="00CA7301">
              <w:rPr>
                <w:rFonts w:eastAsia="新細明體" w:cs="Segoe UI"/>
                <w:sz w:val="17"/>
                <w:szCs w:val="17"/>
                <w:lang w:eastAsia="it-IT"/>
              </w:rPr>
              <w:t>監管綜合範圍以外的金融業實體</w:t>
            </w:r>
            <w:r w:rsidRPr="00697865">
              <w:rPr>
                <w:rFonts w:eastAsia="新細明體" w:cs="Segoe UI" w:hint="eastAsia"/>
                <w:sz w:val="17"/>
                <w:szCs w:val="17"/>
                <w:lang w:eastAsia="zh-TW"/>
              </w:rPr>
              <w:t>非資本</w:t>
            </w:r>
            <w:r w:rsidRPr="00697865">
              <w:rPr>
                <w:rFonts w:eastAsia="新細明體" w:cs="Segoe UI"/>
                <w:sz w:val="17"/>
                <w:szCs w:val="17"/>
                <w:lang w:eastAsia="zh-TW"/>
              </w:rPr>
              <w:t>LAC</w:t>
            </w:r>
            <w:r w:rsidRPr="00697865">
              <w:rPr>
                <w:rFonts w:eastAsia="新細明體" w:cs="Segoe UI" w:hint="eastAsia"/>
                <w:sz w:val="17"/>
                <w:szCs w:val="17"/>
                <w:lang w:eastAsia="zh-TW"/>
              </w:rPr>
              <w:t>負債</w:t>
            </w:r>
            <w:r>
              <w:rPr>
                <w:rFonts w:eastAsia="新細明體" w:cs="Segoe UI" w:hint="eastAsia"/>
                <w:sz w:val="17"/>
                <w:szCs w:val="17"/>
                <w:lang w:eastAsia="zh-TW"/>
              </w:rPr>
              <w:t>的</w:t>
            </w:r>
            <w:r w:rsidRPr="00CA7301">
              <w:rPr>
                <w:rFonts w:eastAsia="新細明體" w:cs="Segoe UI"/>
                <w:sz w:val="17"/>
                <w:szCs w:val="17"/>
                <w:lang w:eastAsia="it-IT"/>
              </w:rPr>
              <w:t>重大</w:t>
            </w:r>
            <w:r>
              <w:rPr>
                <w:rFonts w:eastAsia="新細明體" w:cs="Segoe UI" w:hint="eastAsia"/>
                <w:sz w:val="17"/>
                <w:szCs w:val="17"/>
                <w:lang w:eastAsia="zh-TW"/>
              </w:rPr>
              <w:t>LAC</w:t>
            </w:r>
            <w:r w:rsidRPr="00CA7301">
              <w:rPr>
                <w:rFonts w:eastAsia="新細明體" w:cs="Segoe UI"/>
                <w:sz w:val="17"/>
                <w:szCs w:val="17"/>
                <w:lang w:eastAsia="it-IT"/>
              </w:rPr>
              <w:t>投資</w:t>
            </w:r>
            <w:r w:rsidRPr="00CA7301">
              <w:rPr>
                <w:rFonts w:eastAsia="細明體" w:cs="Segoe UI"/>
                <w:sz w:val="17"/>
                <w:szCs w:val="17"/>
                <w:lang w:eastAsia="it-IT"/>
              </w:rPr>
              <w:t>（</w:t>
            </w:r>
            <w:r w:rsidR="00654621" w:rsidRPr="00CA7301">
              <w:rPr>
                <w:rFonts w:eastAsia="新細明體" w:cs="Segoe UI"/>
                <w:sz w:val="17"/>
                <w:szCs w:val="17"/>
                <w:lang w:eastAsia="zh-TW"/>
              </w:rPr>
              <w:t>已</w:t>
            </w:r>
            <w:r w:rsidR="00176579">
              <w:rPr>
                <w:rFonts w:eastAsia="細明體" w:cs="Segoe UI" w:hint="eastAsia"/>
                <w:sz w:val="17"/>
                <w:szCs w:val="17"/>
                <w:lang w:eastAsia="zh-TW"/>
              </w:rPr>
              <w:t>扣除合資格</w:t>
            </w:r>
            <w:r w:rsidR="003E0C5D">
              <w:rPr>
                <w:rFonts w:eastAsia="細明體" w:cs="Segoe UI" w:hint="eastAsia"/>
                <w:sz w:val="17"/>
                <w:szCs w:val="17"/>
                <w:lang w:eastAsia="zh-TW"/>
              </w:rPr>
              <w:t>短倉</w:t>
            </w:r>
            <w:r w:rsidRPr="00CA7301">
              <w:rPr>
                <w:rFonts w:eastAsia="細明體" w:cs="Segoe UI"/>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6DE11F" w14:textId="77777777" w:rsidR="005758AB" w:rsidRPr="00CA7301" w:rsidRDefault="005758AB"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622D57" w14:textId="77777777" w:rsidR="005758AB" w:rsidRPr="00CA7301" w:rsidRDefault="005758AB" w:rsidP="00CA1B87">
            <w:pPr>
              <w:snapToGrid w:val="0"/>
              <w:spacing w:before="40" w:after="40"/>
              <w:jc w:val="center"/>
              <w:rPr>
                <w:rFonts w:cs="Segoe UI"/>
                <w:sz w:val="17"/>
                <w:lang w:eastAsia="it-IT"/>
              </w:rPr>
            </w:pPr>
          </w:p>
        </w:tc>
      </w:tr>
      <w:tr w:rsidR="00CA1B87" w:rsidRPr="00CA7301" w14:paraId="52CA285B"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88B72D4"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8C1002A" w14:textId="77777777" w:rsidR="00CA1B87" w:rsidRPr="00CA7301" w:rsidRDefault="00CA1B87"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適用於二級資本的司法管轄區特定監管調整</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301A3B"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6B3481" w14:textId="77777777" w:rsidR="00CA1B87" w:rsidRPr="00CA7301" w:rsidRDefault="00CA1B87" w:rsidP="00CA1B87">
            <w:pPr>
              <w:snapToGrid w:val="0"/>
              <w:spacing w:before="40" w:after="40"/>
              <w:jc w:val="center"/>
              <w:rPr>
                <w:rFonts w:cs="Segoe UI"/>
                <w:sz w:val="17"/>
                <w:lang w:eastAsia="it-IT"/>
              </w:rPr>
            </w:pPr>
          </w:p>
        </w:tc>
      </w:tr>
      <w:tr w:rsidR="00CA1B87" w:rsidRPr="00CA7301" w14:paraId="0DF7DD7B"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07B0FB0" w14:textId="77777777" w:rsidR="00CA1B87" w:rsidRPr="00CA7301" w:rsidRDefault="00CA1B87" w:rsidP="00CA1B87">
            <w:pPr>
              <w:snapToGrid w:val="0"/>
              <w:spacing w:before="40" w:after="40"/>
              <w:ind w:left="57"/>
              <w:rPr>
                <w:rFonts w:cs="Segoe UI"/>
                <w:sz w:val="17"/>
                <w:szCs w:val="17"/>
                <w:lang w:eastAsia="en-GB"/>
              </w:rPr>
            </w:pPr>
            <w:r w:rsidRPr="00CA7301">
              <w:rPr>
                <w:rFonts w:cs="Segoe UI"/>
                <w:sz w:val="17"/>
                <w:szCs w:val="17"/>
                <w:lang w:eastAsia="en-GB"/>
              </w:rPr>
              <w:t>56a</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C15AA9A" w14:textId="77777777" w:rsidR="00CA1B87" w:rsidRPr="00CA7301" w:rsidRDefault="00CA1B87"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加回合資格計入二級資本的因土地及建築物（自用及投資用途）進行價值重估而產生的累積公平價值收益</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3EC3B7" w14:textId="77777777" w:rsidR="00CA1B87" w:rsidRPr="00CA7301" w:rsidRDefault="00CA1B87"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E7215E" w14:textId="77777777" w:rsidR="00CA1B87" w:rsidRPr="00CA7301" w:rsidRDefault="00CA1B87" w:rsidP="00CA1B87">
            <w:pPr>
              <w:snapToGrid w:val="0"/>
              <w:spacing w:before="40" w:after="40"/>
              <w:jc w:val="center"/>
              <w:rPr>
                <w:rFonts w:cs="Segoe UI"/>
                <w:sz w:val="17"/>
                <w:lang w:eastAsia="it-IT"/>
              </w:rPr>
            </w:pPr>
          </w:p>
        </w:tc>
      </w:tr>
      <w:tr w:rsidR="00EC6012" w:rsidRPr="00CA7301" w14:paraId="00C1C140"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8F87259" w14:textId="77777777" w:rsidR="00EC6012" w:rsidRPr="00EC6012" w:rsidRDefault="00EC6012" w:rsidP="00CA1B87">
            <w:pPr>
              <w:snapToGrid w:val="0"/>
              <w:spacing w:before="40" w:after="40"/>
              <w:ind w:left="57"/>
              <w:rPr>
                <w:rFonts w:eastAsiaTheme="minorEastAsia" w:cs="Segoe UI"/>
                <w:sz w:val="17"/>
                <w:szCs w:val="17"/>
                <w:lang w:eastAsia="zh-TW"/>
              </w:rPr>
            </w:pPr>
            <w:r w:rsidRPr="002F7E82">
              <w:rPr>
                <w:rFonts w:cs="Segoe UI" w:hint="eastAsia"/>
                <w:sz w:val="17"/>
                <w:szCs w:val="17"/>
                <w:lang w:eastAsia="en-GB"/>
              </w:rPr>
              <w:t>5</w:t>
            </w:r>
            <w:r w:rsidRPr="00CA7301">
              <w:rPr>
                <w:rFonts w:cs="Segoe UI"/>
                <w:sz w:val="17"/>
                <w:szCs w:val="17"/>
                <w:lang w:eastAsia="en-GB"/>
              </w:rPr>
              <w:t>6</w:t>
            </w:r>
            <w:r w:rsidRPr="00EC6012">
              <w:rPr>
                <w:rFonts w:cs="Segoe UI" w:hint="eastAsia"/>
                <w:sz w:val="17"/>
                <w:szCs w:val="17"/>
                <w:lang w:eastAsia="en-GB"/>
              </w:rPr>
              <w:t>b</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6E47C926" w14:textId="77777777" w:rsidR="00EC6012" w:rsidRPr="00CA7301" w:rsidRDefault="00EC6012" w:rsidP="00DF59D2">
            <w:pPr>
              <w:snapToGrid w:val="0"/>
              <w:spacing w:before="40" w:after="40"/>
              <w:ind w:left="57" w:rightChars="71" w:right="142"/>
              <w:rPr>
                <w:rFonts w:eastAsia="新細明體" w:cs="Segoe UI"/>
                <w:sz w:val="17"/>
                <w:szCs w:val="17"/>
                <w:lang w:eastAsia="it-IT"/>
              </w:rPr>
            </w:pPr>
            <w:r>
              <w:rPr>
                <w:rFonts w:eastAsia="細明體" w:cs="Segoe UI" w:hint="eastAsia"/>
                <w:sz w:val="17"/>
                <w:szCs w:val="17"/>
                <w:lang w:eastAsia="zh-TW"/>
              </w:rPr>
              <w:t>按照《資本規則》</w:t>
            </w:r>
            <w:r w:rsidRPr="00CA7301">
              <w:rPr>
                <w:rFonts w:eastAsia="新細明體" w:cs="Segoe UI"/>
                <w:sz w:val="17"/>
                <w:szCs w:val="17"/>
                <w:lang w:eastAsia="zh-TW"/>
              </w:rPr>
              <w:t>第</w:t>
            </w:r>
            <w:r w:rsidRPr="002053FB">
              <w:rPr>
                <w:rFonts w:cs="Segoe UI" w:hint="eastAsia"/>
                <w:sz w:val="17"/>
                <w:szCs w:val="17"/>
                <w:lang w:eastAsia="zh-TW"/>
              </w:rPr>
              <w:t>48</w:t>
            </w:r>
            <w:r w:rsidRPr="00CA7301">
              <w:rPr>
                <w:rFonts w:cs="Segoe UI"/>
                <w:sz w:val="17"/>
                <w:szCs w:val="17"/>
                <w:lang w:eastAsia="zh-TW"/>
              </w:rPr>
              <w:t>(1)</w:t>
            </w:r>
            <w:r w:rsidRPr="002053FB">
              <w:rPr>
                <w:rFonts w:cs="Segoe UI" w:hint="eastAsia"/>
                <w:sz w:val="17"/>
                <w:szCs w:val="17"/>
                <w:lang w:eastAsia="zh-TW"/>
              </w:rPr>
              <w:t>(g)</w:t>
            </w:r>
            <w:r w:rsidRPr="00CA7301">
              <w:rPr>
                <w:rFonts w:eastAsia="新細明體" w:cs="Segoe UI"/>
                <w:sz w:val="17"/>
                <w:szCs w:val="17"/>
                <w:lang w:eastAsia="zh-TW"/>
              </w:rPr>
              <w:t>條</w:t>
            </w:r>
            <w:r>
              <w:rPr>
                <w:rFonts w:eastAsia="新細明體" w:cs="Segoe UI" w:hint="eastAsia"/>
                <w:sz w:val="17"/>
                <w:szCs w:val="17"/>
                <w:lang w:eastAsia="zh-TW"/>
              </w:rPr>
              <w:t>規定而</w:t>
            </w:r>
            <w:r>
              <w:rPr>
                <w:rFonts w:eastAsia="細明體" w:cs="Segoe UI" w:hint="eastAsia"/>
                <w:sz w:val="17"/>
                <w:szCs w:val="17"/>
                <w:lang w:eastAsia="zh-TW"/>
              </w:rPr>
              <w:t>須涵蓋，並</w:t>
            </w:r>
            <w:r>
              <w:rPr>
                <w:rFonts w:eastAsia="新細明體" w:cs="Segoe UI" w:hint="eastAsia"/>
                <w:sz w:val="17"/>
                <w:szCs w:val="17"/>
                <w:lang w:eastAsia="zh-TW"/>
              </w:rPr>
              <w:t>在</w:t>
            </w:r>
            <w:r w:rsidRPr="00CA7301">
              <w:rPr>
                <w:rFonts w:eastAsia="新細明體" w:cs="Segoe UI"/>
                <w:sz w:val="17"/>
                <w:szCs w:val="17"/>
                <w:lang w:eastAsia="it-IT"/>
              </w:rPr>
              <w:t>二級資本</w:t>
            </w:r>
            <w:r>
              <w:rPr>
                <w:rFonts w:eastAsia="新細明體" w:cs="Segoe UI" w:hint="eastAsia"/>
                <w:sz w:val="17"/>
                <w:szCs w:val="17"/>
                <w:lang w:eastAsia="zh-TW"/>
              </w:rPr>
              <w:t>扣除</w:t>
            </w:r>
            <w:r w:rsidRPr="00566AB2">
              <w:rPr>
                <w:rFonts w:eastAsia="新細明體" w:cs="Segoe UI" w:hint="eastAsia"/>
                <w:sz w:val="17"/>
                <w:szCs w:val="17"/>
                <w:lang w:eastAsia="zh-TW"/>
              </w:rPr>
              <w:t>的</w:t>
            </w:r>
            <w:r w:rsidRPr="00566AB2">
              <w:rPr>
                <w:rFonts w:eastAsia="新細明體" w:cs="Segoe UI"/>
                <w:sz w:val="17"/>
                <w:szCs w:val="17"/>
                <w:lang w:eastAsia="it-IT"/>
              </w:rPr>
              <w:t>監管扣減</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FCAAB8"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2E2EAF" w14:textId="77777777" w:rsidR="00EC6012" w:rsidRPr="00CA7301" w:rsidRDefault="00EC6012" w:rsidP="00CA1B87">
            <w:pPr>
              <w:snapToGrid w:val="0"/>
              <w:spacing w:before="40" w:after="40"/>
              <w:jc w:val="center"/>
              <w:rPr>
                <w:rFonts w:cs="Segoe UI"/>
                <w:sz w:val="17"/>
                <w:lang w:eastAsia="it-IT"/>
              </w:rPr>
            </w:pPr>
          </w:p>
        </w:tc>
      </w:tr>
      <w:tr w:rsidR="00EC6012" w:rsidRPr="00CA7301" w14:paraId="7C68B57C"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41F6747"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57</w:t>
            </w:r>
          </w:p>
        </w:tc>
        <w:tc>
          <w:tcPr>
            <w:tcW w:w="5951" w:type="dxa"/>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63C9DD04"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對二級資本的監管扣減總額</w:t>
            </w:r>
          </w:p>
        </w:tc>
        <w:tc>
          <w:tcPr>
            <w:tcW w:w="1276" w:type="dxa"/>
            <w:tcBorders>
              <w:top w:val="single" w:sz="4" w:space="0" w:color="auto"/>
              <w:left w:val="single" w:sz="4" w:space="0" w:color="auto"/>
              <w:bottom w:val="single" w:sz="18" w:space="0" w:color="auto"/>
              <w:right w:val="single" w:sz="4" w:space="0" w:color="auto"/>
            </w:tcBorders>
            <w:shd w:val="clear" w:color="auto" w:fill="auto"/>
          </w:tcPr>
          <w:p w14:paraId="5230E012"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10ED34" w14:textId="77777777" w:rsidR="00EC6012" w:rsidRPr="00CA7301" w:rsidRDefault="00EC6012" w:rsidP="00CA1B87">
            <w:pPr>
              <w:snapToGrid w:val="0"/>
              <w:spacing w:before="40" w:after="40"/>
              <w:jc w:val="center"/>
              <w:rPr>
                <w:rFonts w:cs="Segoe UI"/>
                <w:sz w:val="17"/>
                <w:lang w:eastAsia="it-IT"/>
              </w:rPr>
            </w:pPr>
          </w:p>
        </w:tc>
      </w:tr>
      <w:tr w:rsidR="00EC6012" w:rsidRPr="00CA7301" w14:paraId="49D22F6B"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58074ED5"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58</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B6813BA"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Theme="minorEastAsia" w:cs="Segoe UI"/>
                <w:b/>
                <w:sz w:val="17"/>
                <w:szCs w:val="17"/>
                <w:lang w:eastAsia="zh-TW"/>
              </w:rPr>
              <w:t>二級資本</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52C991F3"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19F0E6C7" w14:textId="77777777" w:rsidR="00EC6012" w:rsidRPr="00CA7301" w:rsidRDefault="00EC6012" w:rsidP="00CA1B87">
            <w:pPr>
              <w:snapToGrid w:val="0"/>
              <w:spacing w:before="40" w:after="40"/>
              <w:jc w:val="center"/>
              <w:rPr>
                <w:rFonts w:cs="Segoe UI"/>
                <w:sz w:val="17"/>
                <w:lang w:eastAsia="it-IT"/>
              </w:rPr>
            </w:pPr>
          </w:p>
        </w:tc>
      </w:tr>
      <w:tr w:rsidR="00EC6012" w:rsidRPr="00CA7301" w14:paraId="4BAC3EBB"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1F71EE85"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59</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0D82534"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zh-TW"/>
              </w:rPr>
              <w:t>監管</w:t>
            </w:r>
            <w:r w:rsidRPr="00CA7301">
              <w:rPr>
                <w:rFonts w:eastAsia="新細明體" w:cs="Segoe UI"/>
                <w:b/>
                <w:sz w:val="17"/>
                <w:szCs w:val="17"/>
                <w:lang w:eastAsia="it-IT"/>
              </w:rPr>
              <w:t>資本</w:t>
            </w:r>
            <w:r w:rsidRPr="00CA7301">
              <w:rPr>
                <w:rFonts w:eastAsia="新細明體" w:cs="Segoe UI"/>
                <w:b/>
                <w:sz w:val="17"/>
                <w:szCs w:val="17"/>
                <w:lang w:eastAsia="zh-TW"/>
              </w:rPr>
              <w:t>總額</w:t>
            </w:r>
            <w:r w:rsidRPr="00CA7301">
              <w:rPr>
                <w:rFonts w:eastAsia="細明體" w:cs="Segoe UI"/>
                <w:b/>
                <w:sz w:val="17"/>
                <w:szCs w:val="17"/>
                <w:lang w:eastAsia="it-IT"/>
              </w:rPr>
              <w:t>（</w:t>
            </w:r>
            <w:r w:rsidRPr="00CA7301">
              <w:rPr>
                <w:rFonts w:eastAsia="新細明體" w:cs="Segoe UI"/>
                <w:b/>
                <w:sz w:val="17"/>
                <w:szCs w:val="17"/>
                <w:lang w:eastAsia="it-IT"/>
              </w:rPr>
              <w:t>總資本</w:t>
            </w:r>
            <w:r w:rsidRPr="00CA7301">
              <w:rPr>
                <w:rFonts w:cs="Segoe UI"/>
                <w:b/>
                <w:sz w:val="17"/>
                <w:szCs w:val="17"/>
                <w:lang w:eastAsia="it-IT"/>
              </w:rPr>
              <w:t xml:space="preserve"> = </w:t>
            </w:r>
            <w:r w:rsidRPr="00CA7301">
              <w:rPr>
                <w:rFonts w:eastAsia="新細明體" w:cs="Segoe UI"/>
                <w:b/>
                <w:sz w:val="17"/>
                <w:szCs w:val="17"/>
                <w:lang w:eastAsia="it-IT"/>
              </w:rPr>
              <w:t>一級資本</w:t>
            </w:r>
            <w:r w:rsidRPr="00CA7301">
              <w:rPr>
                <w:rFonts w:cs="Segoe UI"/>
                <w:b/>
                <w:sz w:val="17"/>
                <w:szCs w:val="17"/>
                <w:lang w:eastAsia="it-IT"/>
              </w:rPr>
              <w:t xml:space="preserve"> + </w:t>
            </w:r>
            <w:r w:rsidRPr="00CA7301">
              <w:rPr>
                <w:rFonts w:eastAsia="新細明體" w:cs="Segoe UI"/>
                <w:b/>
                <w:sz w:val="17"/>
                <w:szCs w:val="17"/>
                <w:lang w:eastAsia="it-IT"/>
              </w:rPr>
              <w:t>二級資本</w:t>
            </w:r>
            <w:r w:rsidRPr="00CA7301">
              <w:rPr>
                <w:rFonts w:eastAsia="細明體" w:cs="Segoe UI"/>
                <w:b/>
                <w:sz w:val="17"/>
                <w:szCs w:val="17"/>
                <w:lang w:eastAsia="it-IT"/>
              </w:rPr>
              <w:t>）</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2F182145"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4BC124C4" w14:textId="77777777" w:rsidR="00EC6012" w:rsidRPr="00CA7301" w:rsidRDefault="00EC6012" w:rsidP="00CA1B87">
            <w:pPr>
              <w:snapToGrid w:val="0"/>
              <w:spacing w:before="40" w:after="40"/>
              <w:jc w:val="center"/>
              <w:rPr>
                <w:rFonts w:cs="Segoe UI"/>
                <w:sz w:val="17"/>
                <w:lang w:eastAsia="it-IT"/>
              </w:rPr>
            </w:pPr>
          </w:p>
        </w:tc>
      </w:tr>
      <w:tr w:rsidR="00EC6012" w:rsidRPr="00CA7301" w14:paraId="18A17110"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29EF695F"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60</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0AA2864"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風險加權</w:t>
            </w:r>
            <w:r w:rsidRPr="00CA7301">
              <w:rPr>
                <w:rFonts w:eastAsia="新細明體" w:cs="Segoe UI"/>
                <w:b/>
                <w:sz w:val="17"/>
                <w:szCs w:val="17"/>
                <w:lang w:eastAsia="zh-TW"/>
              </w:rPr>
              <w:t>數額</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ADC7E15"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77DDF232" w14:textId="77777777" w:rsidR="00EC6012" w:rsidRPr="00CA7301" w:rsidRDefault="00EC6012" w:rsidP="00CA1B87">
            <w:pPr>
              <w:snapToGrid w:val="0"/>
              <w:spacing w:before="40" w:after="40"/>
              <w:jc w:val="center"/>
              <w:rPr>
                <w:rFonts w:cs="Segoe UI"/>
                <w:sz w:val="17"/>
                <w:lang w:eastAsia="it-IT"/>
              </w:rPr>
            </w:pPr>
          </w:p>
        </w:tc>
      </w:tr>
      <w:tr w:rsidR="00EC6012" w:rsidRPr="00CA7301" w14:paraId="5649DB8C"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047B20E6" w14:textId="77777777" w:rsidR="00EC6012" w:rsidRPr="00CA7301" w:rsidRDefault="00EC6012" w:rsidP="00CA1B87">
            <w:pPr>
              <w:snapToGrid w:val="0"/>
              <w:spacing w:before="40" w:after="40"/>
              <w:ind w:left="57"/>
              <w:rPr>
                <w:rFonts w:cs="Segoe UI"/>
                <w:sz w:val="17"/>
                <w:szCs w:val="17"/>
                <w:lang w:eastAsia="en-GB"/>
              </w:rPr>
            </w:pPr>
          </w:p>
        </w:tc>
        <w:tc>
          <w:tcPr>
            <w:tcW w:w="5951" w:type="dxa"/>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02A9BFDF"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資本比率</w:t>
            </w:r>
            <w:r w:rsidRPr="00CA7301">
              <w:rPr>
                <w:rFonts w:eastAsia="細明體" w:cs="Segoe UI"/>
                <w:b/>
                <w:sz w:val="17"/>
                <w:szCs w:val="17"/>
                <w:lang w:eastAsia="it-IT"/>
              </w:rPr>
              <w:t>（</w:t>
            </w:r>
            <w:r w:rsidRPr="00CA7301">
              <w:rPr>
                <w:rFonts w:eastAsia="新細明體" w:cs="Segoe UI"/>
                <w:b/>
                <w:sz w:val="17"/>
                <w:szCs w:val="17"/>
                <w:lang w:eastAsia="it-IT"/>
              </w:rPr>
              <w:t>佔風險加權</w:t>
            </w:r>
            <w:r w:rsidRPr="00CA7301">
              <w:rPr>
                <w:rFonts w:eastAsia="細明體" w:cs="Segoe UI"/>
                <w:b/>
                <w:sz w:val="17"/>
                <w:lang w:eastAsia="zh-TW"/>
              </w:rPr>
              <w:t>數額</w:t>
            </w:r>
            <w:r w:rsidRPr="00CA7301">
              <w:rPr>
                <w:rFonts w:eastAsia="新細明體" w:cs="Segoe UI"/>
                <w:b/>
                <w:sz w:val="17"/>
                <w:szCs w:val="17"/>
                <w:lang w:eastAsia="it-IT"/>
              </w:rPr>
              <w:t>的百分比</w:t>
            </w:r>
            <w:r w:rsidRPr="00CA7301">
              <w:rPr>
                <w:rFonts w:eastAsia="細明體" w:cs="Segoe UI"/>
                <w:b/>
                <w:sz w:val="17"/>
                <w:szCs w:val="17"/>
                <w:lang w:eastAsia="it-IT"/>
              </w:rPr>
              <w:t>）</w:t>
            </w:r>
          </w:p>
        </w:tc>
        <w:tc>
          <w:tcPr>
            <w:tcW w:w="1276" w:type="dxa"/>
            <w:tcBorders>
              <w:top w:val="single" w:sz="18" w:space="0" w:color="auto"/>
              <w:left w:val="single" w:sz="4" w:space="0" w:color="auto"/>
              <w:bottom w:val="single" w:sz="18" w:space="0" w:color="auto"/>
              <w:right w:val="single" w:sz="4" w:space="0" w:color="auto"/>
            </w:tcBorders>
            <w:shd w:val="clear" w:color="auto" w:fill="A6A6A6" w:themeFill="background1" w:themeFillShade="A6"/>
          </w:tcPr>
          <w:p w14:paraId="453276D9"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063C73" w14:textId="77777777" w:rsidR="00EC6012" w:rsidRPr="00CA7301" w:rsidRDefault="00EC6012" w:rsidP="00CA1B87">
            <w:pPr>
              <w:snapToGrid w:val="0"/>
              <w:spacing w:before="40" w:after="40"/>
              <w:jc w:val="center"/>
              <w:rPr>
                <w:rFonts w:cs="Segoe UI"/>
                <w:sz w:val="17"/>
                <w:lang w:eastAsia="it-IT"/>
              </w:rPr>
            </w:pPr>
          </w:p>
        </w:tc>
      </w:tr>
      <w:tr w:rsidR="00EC6012" w:rsidRPr="00CA7301" w14:paraId="107AB0DC"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6A78668B"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61</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802D6C9"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cs="Segoe UI"/>
                <w:b/>
                <w:sz w:val="17"/>
                <w:szCs w:val="17"/>
                <w:lang w:eastAsia="it-IT"/>
              </w:rPr>
              <w:t>CET1</w:t>
            </w:r>
            <w:r w:rsidRPr="00CA7301">
              <w:rPr>
                <w:rFonts w:eastAsiaTheme="minorEastAsia" w:cs="Segoe UI"/>
                <w:b/>
                <w:sz w:val="17"/>
                <w:szCs w:val="17"/>
                <w:lang w:eastAsia="zh-TW"/>
              </w:rPr>
              <w:t>資本比率</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FF6B344"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0647EDCE" w14:textId="77777777" w:rsidR="00EC6012" w:rsidRPr="00CA7301" w:rsidRDefault="00EC6012" w:rsidP="00CA1B87">
            <w:pPr>
              <w:snapToGrid w:val="0"/>
              <w:spacing w:before="40" w:after="40"/>
              <w:jc w:val="center"/>
              <w:rPr>
                <w:rFonts w:cs="Segoe UI"/>
                <w:sz w:val="17"/>
                <w:lang w:eastAsia="it-IT"/>
              </w:rPr>
            </w:pPr>
          </w:p>
        </w:tc>
      </w:tr>
      <w:tr w:rsidR="00EC6012" w:rsidRPr="00CA7301" w14:paraId="62AAA524"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4DDFA42A"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62</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7A9BA99"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一級資本比率</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568432A"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6BE59C50" w14:textId="77777777" w:rsidR="00EC6012" w:rsidRPr="00CA7301" w:rsidRDefault="00EC6012" w:rsidP="00CA1B87">
            <w:pPr>
              <w:snapToGrid w:val="0"/>
              <w:spacing w:before="40" w:after="40"/>
              <w:jc w:val="center"/>
              <w:rPr>
                <w:rFonts w:cs="Segoe UI"/>
                <w:sz w:val="17"/>
                <w:lang w:eastAsia="it-IT"/>
              </w:rPr>
            </w:pPr>
          </w:p>
        </w:tc>
      </w:tr>
      <w:tr w:rsidR="00EC6012" w:rsidRPr="00CA7301" w14:paraId="4BE8391A"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478E4E7D"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63</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965E747"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Theme="minorEastAsia" w:cs="Segoe UI"/>
                <w:b/>
                <w:sz w:val="17"/>
                <w:szCs w:val="17"/>
                <w:lang w:eastAsia="zh-TW"/>
              </w:rPr>
              <w:t>總資本比率</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5666EC7"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15B495EC" w14:textId="77777777" w:rsidR="00EC6012" w:rsidRPr="00CA7301" w:rsidRDefault="00EC6012" w:rsidP="00CA1B87">
            <w:pPr>
              <w:snapToGrid w:val="0"/>
              <w:spacing w:before="40" w:after="40"/>
              <w:jc w:val="center"/>
              <w:rPr>
                <w:rFonts w:cs="Segoe UI"/>
                <w:sz w:val="17"/>
                <w:lang w:eastAsia="it-IT"/>
              </w:rPr>
            </w:pPr>
          </w:p>
        </w:tc>
      </w:tr>
      <w:tr w:rsidR="00EC6012" w:rsidRPr="00CA7301" w14:paraId="03A63B65"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26E38765"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64</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1CDE538" w14:textId="20D342BB"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機構特定緩衝資本</w:t>
            </w:r>
            <w:r w:rsidRPr="00CA7301">
              <w:rPr>
                <w:rFonts w:eastAsia="新細明體" w:cs="Segoe UI"/>
                <w:b/>
                <w:sz w:val="17"/>
                <w:szCs w:val="17"/>
                <w:lang w:eastAsia="zh-TW"/>
              </w:rPr>
              <w:t>要求</w:t>
            </w:r>
            <w:r w:rsidRPr="00CA7301">
              <w:rPr>
                <w:rFonts w:eastAsia="細明體" w:cs="Segoe UI"/>
                <w:b/>
                <w:sz w:val="17"/>
                <w:szCs w:val="17"/>
                <w:lang w:eastAsia="it-IT"/>
              </w:rPr>
              <w:t>（</w:t>
            </w:r>
            <w:r w:rsidRPr="00CA7301">
              <w:rPr>
                <w:rFonts w:eastAsia="新細明體" w:cs="Segoe UI"/>
                <w:b/>
                <w:sz w:val="17"/>
                <w:szCs w:val="17"/>
                <w:lang w:eastAsia="it-IT"/>
              </w:rPr>
              <w:t>防護緩衝資本比率加</w:t>
            </w:r>
            <w:r w:rsidRPr="00CA7301">
              <w:rPr>
                <w:rFonts w:eastAsia="新細明體" w:cs="Segoe UI"/>
                <w:b/>
                <w:sz w:val="17"/>
                <w:szCs w:val="17"/>
                <w:lang w:eastAsia="zh-TW"/>
              </w:rPr>
              <w:t>逆</w:t>
            </w:r>
            <w:r w:rsidRPr="00CA7301">
              <w:rPr>
                <w:rFonts w:eastAsia="新細明體" w:cs="Segoe UI"/>
                <w:b/>
                <w:sz w:val="17"/>
                <w:szCs w:val="17"/>
                <w:lang w:eastAsia="it-IT"/>
              </w:rPr>
              <w:t>周期緩衝資本比率加</w:t>
            </w:r>
            <w:r w:rsidRPr="00CA7301">
              <w:rPr>
                <w:rFonts w:eastAsia="新細明體" w:cs="Segoe UI"/>
                <w:b/>
                <w:sz w:val="17"/>
                <w:szCs w:val="17"/>
                <w:lang w:eastAsia="zh-TW"/>
              </w:rPr>
              <w:t>較高吸收虧損能力</w:t>
            </w:r>
            <w:r w:rsidRPr="00CA7301">
              <w:rPr>
                <w:rFonts w:eastAsia="新細明體" w:cs="Segoe UI"/>
                <w:b/>
                <w:sz w:val="17"/>
                <w:szCs w:val="17"/>
                <w:lang w:eastAsia="it-IT"/>
              </w:rPr>
              <w:t>比率</w:t>
            </w:r>
            <w:r w:rsidRPr="00CA7301">
              <w:rPr>
                <w:rFonts w:eastAsia="細明體" w:cs="Segoe UI"/>
                <w:b/>
                <w:sz w:val="17"/>
                <w:szCs w:val="17"/>
                <w:lang w:eastAsia="it-IT"/>
              </w:rPr>
              <w:t>）</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52DF394F"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58A66CBC" w14:textId="77777777" w:rsidR="00EC6012" w:rsidRPr="00CA7301" w:rsidRDefault="00EC6012" w:rsidP="00CA1B87">
            <w:pPr>
              <w:snapToGrid w:val="0"/>
              <w:spacing w:before="40" w:after="40"/>
              <w:jc w:val="center"/>
              <w:rPr>
                <w:rFonts w:cs="Segoe UI"/>
                <w:sz w:val="17"/>
                <w:lang w:eastAsia="it-IT"/>
              </w:rPr>
            </w:pPr>
          </w:p>
        </w:tc>
      </w:tr>
      <w:tr w:rsidR="00EC6012" w:rsidRPr="00CA7301" w14:paraId="39AF5DD4"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B415607"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65</w:t>
            </w:r>
          </w:p>
        </w:tc>
        <w:tc>
          <w:tcPr>
            <w:tcW w:w="5951" w:type="dxa"/>
            <w:tcBorders>
              <w:top w:val="single" w:sz="18" w:space="0" w:color="auto"/>
              <w:left w:val="single" w:sz="4" w:space="0" w:color="auto"/>
              <w:bottom w:val="single" w:sz="4" w:space="0" w:color="auto"/>
              <w:right w:val="single" w:sz="4" w:space="0" w:color="auto"/>
            </w:tcBorders>
            <w:shd w:val="clear" w:color="auto" w:fill="auto"/>
          </w:tcPr>
          <w:p w14:paraId="348E1732" w14:textId="77777777" w:rsidR="00EC6012" w:rsidRPr="00CA7301" w:rsidRDefault="00EC6012" w:rsidP="00CA1B87">
            <w:pPr>
              <w:snapToGrid w:val="0"/>
              <w:spacing w:before="40" w:after="40"/>
              <w:ind w:left="423" w:rightChars="71" w:right="142"/>
              <w:rPr>
                <w:rFonts w:cs="Segoe UI"/>
                <w:sz w:val="17"/>
                <w:szCs w:val="17"/>
                <w:lang w:eastAsia="it-IT"/>
              </w:rPr>
            </w:pPr>
            <w:r w:rsidRPr="00CA7301">
              <w:rPr>
                <w:rFonts w:eastAsia="新細明體" w:cs="Segoe UI"/>
                <w:sz w:val="17"/>
                <w:szCs w:val="17"/>
                <w:lang w:eastAsia="it-IT"/>
              </w:rPr>
              <w:t>其中：防護緩衝資本比率</w:t>
            </w:r>
            <w:r w:rsidRPr="00CA7301">
              <w:rPr>
                <w:rFonts w:eastAsiaTheme="minorEastAsia" w:cs="Segoe UI"/>
                <w:sz w:val="17"/>
                <w:szCs w:val="17"/>
                <w:lang w:eastAsia="zh-TW"/>
              </w:rPr>
              <w:t>要求</w:t>
            </w:r>
          </w:p>
        </w:tc>
        <w:tc>
          <w:tcPr>
            <w:tcW w:w="1276" w:type="dxa"/>
            <w:tcBorders>
              <w:top w:val="single" w:sz="18" w:space="0" w:color="auto"/>
              <w:left w:val="single" w:sz="4" w:space="0" w:color="auto"/>
              <w:bottom w:val="single" w:sz="4" w:space="0" w:color="auto"/>
              <w:right w:val="single" w:sz="4" w:space="0" w:color="auto"/>
            </w:tcBorders>
            <w:shd w:val="clear" w:color="auto" w:fill="auto"/>
          </w:tcPr>
          <w:p w14:paraId="4A1CAC09"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00AB10" w14:textId="77777777" w:rsidR="00EC6012" w:rsidRPr="00CA7301" w:rsidRDefault="00EC6012" w:rsidP="00CA1B87">
            <w:pPr>
              <w:snapToGrid w:val="0"/>
              <w:spacing w:before="40" w:after="40"/>
              <w:jc w:val="center"/>
              <w:rPr>
                <w:rFonts w:cs="Segoe UI"/>
                <w:sz w:val="17"/>
                <w:lang w:eastAsia="it-IT"/>
              </w:rPr>
            </w:pPr>
          </w:p>
        </w:tc>
      </w:tr>
      <w:tr w:rsidR="00EC6012" w:rsidRPr="00CA7301" w14:paraId="2E5659A4"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7AF5FC4"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DF99C33" w14:textId="77777777" w:rsidR="00EC6012" w:rsidRPr="00CA7301" w:rsidRDefault="00EC6012" w:rsidP="00CA1B87">
            <w:pPr>
              <w:snapToGrid w:val="0"/>
              <w:spacing w:before="40" w:after="40"/>
              <w:ind w:left="423" w:rightChars="71" w:right="142"/>
              <w:rPr>
                <w:rFonts w:cs="Segoe UI"/>
                <w:sz w:val="17"/>
                <w:szCs w:val="17"/>
                <w:lang w:eastAsia="it-IT"/>
              </w:rPr>
            </w:pPr>
            <w:r w:rsidRPr="00CA7301">
              <w:rPr>
                <w:rFonts w:eastAsia="新細明體" w:cs="Segoe UI"/>
                <w:sz w:val="17"/>
                <w:szCs w:val="17"/>
                <w:lang w:eastAsia="it-IT"/>
              </w:rPr>
              <w:t>其中：銀行特定</w:t>
            </w:r>
            <w:r w:rsidRPr="00CA7301">
              <w:rPr>
                <w:rFonts w:eastAsia="新細明體" w:cs="Segoe UI"/>
                <w:sz w:val="17"/>
                <w:szCs w:val="17"/>
                <w:lang w:eastAsia="zh-TW"/>
              </w:rPr>
              <w:t>逆</w:t>
            </w:r>
            <w:r w:rsidRPr="00CA7301">
              <w:rPr>
                <w:rFonts w:eastAsia="新細明體" w:cs="Segoe UI"/>
                <w:sz w:val="17"/>
                <w:szCs w:val="17"/>
                <w:lang w:eastAsia="it-IT"/>
              </w:rPr>
              <w:t>周期緩衝資本比率</w:t>
            </w:r>
            <w:r w:rsidRPr="00CA7301">
              <w:rPr>
                <w:rFonts w:eastAsiaTheme="minorEastAsia" w:cs="Segoe UI"/>
                <w:sz w:val="17"/>
                <w:szCs w:val="17"/>
                <w:lang w:eastAsia="zh-TW"/>
              </w:rPr>
              <w:t>要求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EA1AA2"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0C84FA" w14:textId="77777777" w:rsidR="00EC6012" w:rsidRPr="00CA7301" w:rsidRDefault="00EC6012" w:rsidP="00CA1B87">
            <w:pPr>
              <w:snapToGrid w:val="0"/>
              <w:spacing w:before="40" w:after="40"/>
              <w:jc w:val="center"/>
              <w:rPr>
                <w:rFonts w:cs="Segoe UI"/>
                <w:sz w:val="17"/>
                <w:lang w:eastAsia="it-IT"/>
              </w:rPr>
            </w:pPr>
          </w:p>
        </w:tc>
      </w:tr>
      <w:tr w:rsidR="00EC6012" w:rsidRPr="00CA7301" w14:paraId="615CCF43"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41B9B4DB"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67</w:t>
            </w:r>
          </w:p>
        </w:tc>
        <w:tc>
          <w:tcPr>
            <w:tcW w:w="5951" w:type="dxa"/>
            <w:tcBorders>
              <w:top w:val="single" w:sz="4" w:space="0" w:color="auto"/>
              <w:left w:val="single" w:sz="4" w:space="0" w:color="auto"/>
              <w:bottom w:val="single" w:sz="12" w:space="0" w:color="auto"/>
              <w:right w:val="single" w:sz="4" w:space="0" w:color="auto"/>
            </w:tcBorders>
            <w:shd w:val="clear" w:color="auto" w:fill="auto"/>
          </w:tcPr>
          <w:p w14:paraId="0C5C0BF4" w14:textId="77777777" w:rsidR="00EC6012" w:rsidRPr="00CA7301" w:rsidRDefault="00EC6012" w:rsidP="00CA1B87">
            <w:pPr>
              <w:snapToGrid w:val="0"/>
              <w:spacing w:before="40" w:after="40"/>
              <w:ind w:left="423" w:rightChars="71" w:right="142"/>
              <w:rPr>
                <w:rFonts w:cs="Segoe UI"/>
                <w:sz w:val="17"/>
                <w:szCs w:val="17"/>
                <w:lang w:eastAsia="it-IT"/>
              </w:rPr>
            </w:pPr>
            <w:r w:rsidRPr="00CA7301">
              <w:rPr>
                <w:rFonts w:eastAsiaTheme="minorEastAsia" w:cs="Segoe UI"/>
                <w:sz w:val="17"/>
                <w:szCs w:val="17"/>
                <w:lang w:eastAsia="zh-TW"/>
              </w:rPr>
              <w:t>其中：較高吸收虧損能力</w:t>
            </w:r>
            <w:r w:rsidRPr="00CA7301">
              <w:rPr>
                <w:rFonts w:eastAsia="新細明體" w:cs="Segoe UI"/>
                <w:sz w:val="17"/>
                <w:szCs w:val="17"/>
                <w:lang w:eastAsia="it-IT"/>
              </w:rPr>
              <w:t>比率</w:t>
            </w:r>
            <w:r w:rsidRPr="00CA7301">
              <w:rPr>
                <w:rFonts w:eastAsiaTheme="minorEastAsia" w:cs="Segoe UI"/>
                <w:sz w:val="17"/>
                <w:szCs w:val="17"/>
                <w:lang w:eastAsia="zh-TW"/>
              </w:rPr>
              <w:t>要求</w:t>
            </w: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424353AD"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EDEAFE" w14:textId="77777777" w:rsidR="00EC6012" w:rsidRPr="00CA7301" w:rsidRDefault="00EC6012" w:rsidP="00CA1B87">
            <w:pPr>
              <w:snapToGrid w:val="0"/>
              <w:spacing w:before="40" w:after="40"/>
              <w:jc w:val="center"/>
              <w:rPr>
                <w:rFonts w:cs="Segoe UI"/>
                <w:sz w:val="17"/>
                <w:lang w:eastAsia="it-IT"/>
              </w:rPr>
            </w:pPr>
          </w:p>
        </w:tc>
      </w:tr>
      <w:tr w:rsidR="00EC6012" w:rsidRPr="00CA7301" w14:paraId="34B338E0" w14:textId="77777777" w:rsidTr="00F62652">
        <w:trPr>
          <w:cantSplit/>
          <w:trHeight w:val="270"/>
        </w:trPr>
        <w:tc>
          <w:tcPr>
            <w:tcW w:w="570" w:type="dxa"/>
            <w:tcBorders>
              <w:top w:val="single" w:sz="6" w:space="0" w:color="auto"/>
              <w:left w:val="nil"/>
              <w:bottom w:val="single" w:sz="6" w:space="0" w:color="auto"/>
              <w:right w:val="single" w:sz="18" w:space="0" w:color="auto"/>
            </w:tcBorders>
            <w:shd w:val="clear" w:color="auto" w:fill="auto"/>
          </w:tcPr>
          <w:p w14:paraId="408837FF"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68</w:t>
            </w:r>
          </w:p>
        </w:tc>
        <w:tc>
          <w:tcPr>
            <w:tcW w:w="59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4D918BD" w14:textId="77777777" w:rsidR="00EC6012" w:rsidRPr="00CA7301" w:rsidRDefault="00EC6012" w:rsidP="00CA1B87">
            <w:pPr>
              <w:snapToGrid w:val="0"/>
              <w:spacing w:before="40" w:after="40"/>
              <w:ind w:left="57" w:rightChars="71" w:right="142"/>
              <w:rPr>
                <w:rFonts w:cs="Segoe UI"/>
                <w:sz w:val="17"/>
                <w:szCs w:val="17"/>
                <w:lang w:eastAsia="it-IT"/>
              </w:rPr>
            </w:pPr>
            <w:r w:rsidRPr="00CA7301">
              <w:rPr>
                <w:rFonts w:eastAsiaTheme="minorEastAsia" w:cs="Segoe UI"/>
                <w:sz w:val="17"/>
                <w:szCs w:val="17"/>
                <w:lang w:eastAsia="zh-TW"/>
              </w:rPr>
              <w:t>用作符合最低資本規定後可供運用的</w:t>
            </w:r>
            <w:r w:rsidRPr="00CA7301">
              <w:rPr>
                <w:rFonts w:cs="Segoe UI"/>
                <w:sz w:val="17"/>
                <w:szCs w:val="17"/>
                <w:lang w:eastAsia="it-IT"/>
              </w:rPr>
              <w:t>CET1</w:t>
            </w:r>
            <w:r w:rsidRPr="00CA7301">
              <w:rPr>
                <w:rFonts w:eastAsia="細明體" w:cs="Segoe UI"/>
                <w:sz w:val="17"/>
                <w:szCs w:val="17"/>
                <w:lang w:eastAsia="it-IT"/>
              </w:rPr>
              <w:t>（</w:t>
            </w:r>
            <w:proofErr w:type="gramStart"/>
            <w:r w:rsidRPr="00CA7301">
              <w:rPr>
                <w:rFonts w:eastAsiaTheme="minorEastAsia" w:cs="Segoe UI"/>
                <w:sz w:val="17"/>
                <w:szCs w:val="17"/>
                <w:lang w:eastAsia="zh-TW"/>
              </w:rPr>
              <w:t>佔</w:t>
            </w:r>
            <w:proofErr w:type="gramEnd"/>
            <w:r w:rsidRPr="00CA7301">
              <w:rPr>
                <w:rFonts w:eastAsia="新細明體" w:cs="Segoe UI"/>
                <w:sz w:val="17"/>
                <w:szCs w:val="17"/>
                <w:lang w:eastAsia="it-IT"/>
              </w:rPr>
              <w:t>風險加權</w:t>
            </w:r>
            <w:r w:rsidRPr="00CA7301">
              <w:rPr>
                <w:rFonts w:eastAsia="細明體" w:cs="Segoe UI"/>
                <w:sz w:val="17"/>
                <w:lang w:eastAsia="zh-TW"/>
              </w:rPr>
              <w:t>數額</w:t>
            </w:r>
            <w:r w:rsidRPr="00CA7301">
              <w:rPr>
                <w:rFonts w:eastAsiaTheme="minorEastAsia" w:cs="Segoe UI"/>
                <w:sz w:val="17"/>
                <w:szCs w:val="17"/>
                <w:lang w:eastAsia="zh-TW"/>
              </w:rPr>
              <w:t>的百分比）</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5796E21A"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18" w:space="0" w:color="auto"/>
              <w:bottom w:val="single" w:sz="4" w:space="0" w:color="auto"/>
              <w:right w:val="single" w:sz="4" w:space="0" w:color="auto"/>
            </w:tcBorders>
            <w:shd w:val="clear" w:color="auto" w:fill="auto"/>
          </w:tcPr>
          <w:p w14:paraId="526CD84F" w14:textId="77777777" w:rsidR="00EC6012" w:rsidRPr="00CA7301" w:rsidRDefault="00EC6012" w:rsidP="00CA1B87">
            <w:pPr>
              <w:snapToGrid w:val="0"/>
              <w:spacing w:before="40" w:after="40"/>
              <w:jc w:val="center"/>
              <w:rPr>
                <w:rFonts w:cs="Segoe UI"/>
                <w:sz w:val="17"/>
                <w:lang w:eastAsia="it-IT"/>
              </w:rPr>
            </w:pPr>
          </w:p>
        </w:tc>
      </w:tr>
      <w:tr w:rsidR="00EC6012" w:rsidRPr="00CA7301" w14:paraId="77DECE5D"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5A99AB9C" w14:textId="77777777" w:rsidR="00EC6012" w:rsidRPr="00CA7301" w:rsidRDefault="00EC6012" w:rsidP="00CA1B87">
            <w:pPr>
              <w:snapToGrid w:val="0"/>
              <w:spacing w:before="40" w:after="40"/>
              <w:ind w:left="57"/>
              <w:rPr>
                <w:rFonts w:cs="Segoe UI"/>
                <w:sz w:val="17"/>
                <w:szCs w:val="17"/>
                <w:lang w:eastAsia="zh-TW"/>
              </w:rPr>
            </w:pPr>
          </w:p>
        </w:tc>
        <w:tc>
          <w:tcPr>
            <w:tcW w:w="5951" w:type="dxa"/>
            <w:tcBorders>
              <w:top w:val="single" w:sz="18" w:space="0" w:color="auto"/>
              <w:left w:val="single" w:sz="4" w:space="0" w:color="auto"/>
              <w:bottom w:val="single" w:sz="4" w:space="0" w:color="auto"/>
              <w:right w:val="single" w:sz="4" w:space="0" w:color="auto"/>
            </w:tcBorders>
            <w:shd w:val="clear" w:color="auto" w:fill="A6A6A6" w:themeFill="background1" w:themeFillShade="A6"/>
          </w:tcPr>
          <w:p w14:paraId="54596F64"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司法管轄區最低比率</w:t>
            </w:r>
            <w:r w:rsidRPr="00CA7301">
              <w:rPr>
                <w:rFonts w:eastAsia="細明體" w:cs="Segoe UI"/>
                <w:b/>
                <w:sz w:val="17"/>
                <w:szCs w:val="17"/>
                <w:lang w:eastAsia="it-IT"/>
              </w:rPr>
              <w:t>（</w:t>
            </w:r>
            <w:r w:rsidRPr="00CA7301">
              <w:rPr>
                <w:rFonts w:eastAsia="新細明體" w:cs="Segoe UI"/>
                <w:b/>
                <w:sz w:val="17"/>
                <w:szCs w:val="17"/>
                <w:lang w:eastAsia="it-IT"/>
              </w:rPr>
              <w:t>若與《巴塞爾協定三》最低要求不同</w:t>
            </w:r>
            <w:r w:rsidRPr="00CA7301">
              <w:rPr>
                <w:rFonts w:eastAsia="細明體" w:cs="Segoe UI"/>
                <w:b/>
                <w:sz w:val="17"/>
                <w:szCs w:val="17"/>
                <w:lang w:eastAsia="it-IT"/>
              </w:rPr>
              <w:t>）</w:t>
            </w:r>
          </w:p>
        </w:tc>
        <w:tc>
          <w:tcPr>
            <w:tcW w:w="1276" w:type="dxa"/>
            <w:tcBorders>
              <w:top w:val="single" w:sz="18" w:space="0" w:color="auto"/>
              <w:left w:val="single" w:sz="4" w:space="0" w:color="auto"/>
              <w:bottom w:val="single" w:sz="4" w:space="0" w:color="auto"/>
              <w:right w:val="single" w:sz="4" w:space="0" w:color="auto"/>
            </w:tcBorders>
            <w:shd w:val="clear" w:color="auto" w:fill="A6A6A6" w:themeFill="background1" w:themeFillShade="A6"/>
          </w:tcPr>
          <w:p w14:paraId="06132281"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1F53CE" w14:textId="77777777" w:rsidR="00EC6012" w:rsidRPr="00CA7301" w:rsidRDefault="00EC6012" w:rsidP="00CA1B87">
            <w:pPr>
              <w:snapToGrid w:val="0"/>
              <w:spacing w:before="40" w:after="40"/>
              <w:jc w:val="center"/>
              <w:rPr>
                <w:rFonts w:cs="Segoe UI"/>
                <w:sz w:val="17"/>
                <w:lang w:eastAsia="it-IT"/>
              </w:rPr>
            </w:pPr>
          </w:p>
        </w:tc>
      </w:tr>
      <w:tr w:rsidR="00EC6012" w:rsidRPr="00CA7301" w14:paraId="269004FB"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399FBF65"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69</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407E580A" w14:textId="77777777" w:rsidR="00EC6012" w:rsidRPr="00CA7301" w:rsidRDefault="00EC6012"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司法管轄區</w:t>
            </w:r>
            <w:r w:rsidRPr="00CA7301">
              <w:rPr>
                <w:rFonts w:cs="Segoe UI"/>
                <w:sz w:val="17"/>
                <w:szCs w:val="17"/>
                <w:lang w:eastAsia="it-IT"/>
              </w:rPr>
              <w:t>CET1</w:t>
            </w:r>
            <w:r w:rsidRPr="00CA7301">
              <w:rPr>
                <w:rFonts w:eastAsia="新細明體" w:cs="Segoe UI"/>
                <w:sz w:val="17"/>
                <w:szCs w:val="17"/>
                <w:lang w:eastAsia="it-IT"/>
              </w:rPr>
              <w:t>最低比率</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A044303" w14:textId="77777777" w:rsidR="00EC6012" w:rsidRPr="00CA7301" w:rsidRDefault="00EC6012" w:rsidP="00CA1B87">
            <w:pPr>
              <w:snapToGrid w:val="0"/>
              <w:spacing w:before="40" w:after="40"/>
              <w:jc w:val="center"/>
              <w:rPr>
                <w:rFonts w:cs="Segoe UI"/>
                <w:sz w:val="17"/>
                <w:lang w:eastAsia="it-IT"/>
              </w:rPr>
            </w:pPr>
            <w:r w:rsidRPr="00CA7301">
              <w:rPr>
                <w:rFonts w:eastAsiaTheme="minorEastAsia" w:cs="Segoe UI"/>
                <w:sz w:val="17"/>
                <w:lang w:eastAsia="zh-TW"/>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08B9997"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EC6012" w:rsidRPr="00CA7301" w14:paraId="24AAA8F5"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E1BE3D3"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70</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0F002345" w14:textId="77777777" w:rsidR="00EC6012" w:rsidRPr="00CA7301" w:rsidRDefault="00EC6012"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司法管轄區一級資本最低比率</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55CD3C"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DAF2EFE"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EC6012" w:rsidRPr="00CA7301" w14:paraId="2CC6128E"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42207AF2"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71</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73197BBD" w14:textId="77777777" w:rsidR="00EC6012" w:rsidRPr="00CA7301" w:rsidRDefault="00EC6012"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司法管轄區總資本最低比率</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3ACFC18"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E4FF711"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EC6012" w:rsidRPr="00CA7301" w14:paraId="30A704C4"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45C2A116" w14:textId="77777777" w:rsidR="00EC6012" w:rsidRPr="00CA7301" w:rsidRDefault="00EC6012" w:rsidP="00CA1B87">
            <w:pPr>
              <w:snapToGrid w:val="0"/>
              <w:spacing w:before="40" w:after="40"/>
              <w:ind w:left="57"/>
              <w:rPr>
                <w:rFonts w:cs="Segoe UI"/>
                <w:sz w:val="17"/>
                <w:szCs w:val="17"/>
                <w:lang w:eastAsia="en-GB"/>
              </w:rPr>
            </w:pPr>
          </w:p>
        </w:tc>
        <w:tc>
          <w:tcPr>
            <w:tcW w:w="59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AA981E"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低於扣減門檻的數額</w:t>
            </w:r>
            <w:r w:rsidRPr="00CA7301">
              <w:rPr>
                <w:rFonts w:eastAsia="細明體" w:cs="Segoe UI"/>
                <w:b/>
                <w:sz w:val="17"/>
                <w:szCs w:val="17"/>
                <w:lang w:eastAsia="it-IT"/>
              </w:rPr>
              <w:t>（</w:t>
            </w:r>
            <w:r w:rsidRPr="00CA7301">
              <w:rPr>
                <w:rFonts w:eastAsia="新細明體" w:cs="Segoe UI"/>
                <w:b/>
                <w:sz w:val="17"/>
                <w:szCs w:val="17"/>
                <w:lang w:eastAsia="it-IT"/>
              </w:rPr>
              <w:t>風險加權</w:t>
            </w:r>
            <w:r w:rsidRPr="00CA7301">
              <w:rPr>
                <w:rFonts w:eastAsia="新細明體" w:cs="Segoe UI"/>
                <w:b/>
                <w:sz w:val="17"/>
                <w:szCs w:val="17"/>
                <w:lang w:eastAsia="zh-TW"/>
              </w:rPr>
              <w:t>前</w:t>
            </w:r>
            <w:r w:rsidRPr="00CA7301">
              <w:rPr>
                <w:rFonts w:eastAsia="細明體" w:cs="Segoe UI"/>
                <w:b/>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9A898B"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9B80BF" w14:textId="77777777" w:rsidR="00EC6012" w:rsidRPr="00CA7301" w:rsidRDefault="00EC6012" w:rsidP="00CA1B87">
            <w:pPr>
              <w:snapToGrid w:val="0"/>
              <w:spacing w:before="40" w:after="40"/>
              <w:jc w:val="center"/>
              <w:rPr>
                <w:rFonts w:cs="Segoe UI"/>
                <w:sz w:val="17"/>
                <w:lang w:eastAsia="it-IT"/>
              </w:rPr>
            </w:pPr>
          </w:p>
        </w:tc>
      </w:tr>
      <w:tr w:rsidR="00EC6012" w:rsidRPr="00CA7301" w14:paraId="33E7874B"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126EA3D4"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72</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398FC093" w14:textId="77777777" w:rsidR="00EC6012" w:rsidRPr="00CA7301" w:rsidRDefault="00EC6012" w:rsidP="00AC24A8">
            <w:pPr>
              <w:snapToGrid w:val="0"/>
              <w:spacing w:before="40" w:after="40"/>
              <w:ind w:left="57" w:rightChars="71" w:right="142"/>
              <w:rPr>
                <w:rFonts w:cs="Segoe UI"/>
                <w:sz w:val="17"/>
                <w:szCs w:val="17"/>
                <w:lang w:eastAsia="it-IT"/>
              </w:rPr>
            </w:pPr>
            <w:r w:rsidRPr="00CA7301">
              <w:rPr>
                <w:rFonts w:eastAsia="新細明體" w:cs="Segoe UI"/>
                <w:sz w:val="17"/>
                <w:lang w:eastAsia="it-IT"/>
              </w:rPr>
              <w:t>於</w:t>
            </w:r>
            <w:r w:rsidRPr="00CA7301">
              <w:rPr>
                <w:rFonts w:eastAsia="新細明體" w:cs="Segoe UI"/>
                <w:sz w:val="17"/>
                <w:szCs w:val="17"/>
                <w:lang w:eastAsia="it-IT"/>
              </w:rPr>
              <w:t>在監管綜合範圍以外的金融業實體發行的</w:t>
            </w:r>
            <w:r w:rsidRPr="00CA7301">
              <w:rPr>
                <w:rFonts w:cs="Segoe UI"/>
                <w:sz w:val="17"/>
                <w:szCs w:val="17"/>
                <w:lang w:eastAsia="it-IT"/>
              </w:rPr>
              <w:t>CET1</w:t>
            </w:r>
            <w:r w:rsidRPr="00CA7301">
              <w:rPr>
                <w:rFonts w:eastAsia="新細明體" w:cs="Segoe UI"/>
                <w:sz w:val="17"/>
                <w:szCs w:val="17"/>
                <w:lang w:eastAsia="it-IT"/>
              </w:rPr>
              <w:t>資本票據、</w:t>
            </w:r>
            <w:r w:rsidRPr="00CA7301">
              <w:rPr>
                <w:rFonts w:cs="Segoe UI"/>
                <w:sz w:val="17"/>
                <w:szCs w:val="17"/>
                <w:lang w:eastAsia="it-IT"/>
              </w:rPr>
              <w:t>AT1</w:t>
            </w:r>
            <w:r w:rsidRPr="00CA7301">
              <w:rPr>
                <w:rFonts w:eastAsia="新細明體" w:cs="Segoe UI"/>
                <w:sz w:val="17"/>
                <w:szCs w:val="17"/>
                <w:lang w:eastAsia="it-IT"/>
              </w:rPr>
              <w:t>資本票據及二級資本票據</w:t>
            </w:r>
            <w:r>
              <w:rPr>
                <w:rFonts w:eastAsia="新細明體" w:cs="Segoe UI" w:hint="eastAsia"/>
                <w:sz w:val="17"/>
                <w:szCs w:val="17"/>
                <w:lang w:eastAsia="zh-TW"/>
              </w:rPr>
              <w:t>以及</w:t>
            </w:r>
            <w:r w:rsidRPr="00697865">
              <w:rPr>
                <w:rFonts w:eastAsia="新細明體" w:cs="Segoe UI" w:hint="eastAsia"/>
                <w:sz w:val="17"/>
                <w:szCs w:val="17"/>
                <w:lang w:eastAsia="zh-TW"/>
              </w:rPr>
              <w:t>非資本</w:t>
            </w:r>
            <w:r w:rsidRPr="00697865">
              <w:rPr>
                <w:rFonts w:eastAsia="新細明體" w:cs="Segoe UI"/>
                <w:sz w:val="17"/>
                <w:szCs w:val="17"/>
                <w:lang w:eastAsia="zh-TW"/>
              </w:rPr>
              <w:t>LAC</w:t>
            </w:r>
            <w:r w:rsidRPr="00697865">
              <w:rPr>
                <w:rFonts w:eastAsia="新細明體" w:cs="Segoe UI" w:hint="eastAsia"/>
                <w:sz w:val="17"/>
                <w:szCs w:val="17"/>
                <w:lang w:eastAsia="zh-TW"/>
              </w:rPr>
              <w:t>負債</w:t>
            </w:r>
            <w:r w:rsidRPr="00CA7301">
              <w:rPr>
                <w:rFonts w:eastAsia="新細明體" w:cs="Segoe UI"/>
                <w:sz w:val="17"/>
                <w:szCs w:val="17"/>
                <w:lang w:eastAsia="it-IT"/>
              </w:rPr>
              <w:t>的非重大</w:t>
            </w:r>
            <w:r>
              <w:rPr>
                <w:rFonts w:eastAsia="新細明體" w:cs="Segoe UI" w:hint="eastAsia"/>
                <w:sz w:val="17"/>
                <w:szCs w:val="17"/>
                <w:lang w:eastAsia="zh-TW"/>
              </w:rPr>
              <w:t>LAC</w:t>
            </w:r>
            <w:r w:rsidRPr="00CA7301">
              <w:rPr>
                <w:rFonts w:eastAsia="新細明體" w:cs="Segoe UI"/>
                <w:sz w:val="17"/>
                <w:szCs w:val="17"/>
                <w:lang w:eastAsia="it-IT"/>
              </w:rPr>
              <w:t>投資</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DBA8F5"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EDABE0" w14:textId="77777777" w:rsidR="00EC6012" w:rsidRPr="00CA7301" w:rsidRDefault="00EC6012" w:rsidP="00CA1B87">
            <w:pPr>
              <w:snapToGrid w:val="0"/>
              <w:spacing w:before="40" w:after="40"/>
              <w:jc w:val="center"/>
              <w:rPr>
                <w:rFonts w:cs="Segoe UI"/>
                <w:sz w:val="17"/>
                <w:lang w:eastAsia="it-IT"/>
              </w:rPr>
            </w:pPr>
          </w:p>
        </w:tc>
      </w:tr>
      <w:tr w:rsidR="00EC6012" w:rsidRPr="00CA7301" w14:paraId="5507FC71"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543E16B2"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73</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6CF98B52" w14:textId="77777777" w:rsidR="00EC6012" w:rsidRPr="00CA7301" w:rsidRDefault="00EC6012" w:rsidP="004D45C6">
            <w:pPr>
              <w:snapToGrid w:val="0"/>
              <w:spacing w:before="40" w:after="40"/>
              <w:ind w:left="57" w:rightChars="71" w:right="142"/>
              <w:rPr>
                <w:rFonts w:cs="Segoe UI"/>
                <w:sz w:val="17"/>
                <w:szCs w:val="17"/>
                <w:lang w:eastAsia="it-IT"/>
              </w:rPr>
            </w:pPr>
            <w:r w:rsidRPr="00CA7301">
              <w:rPr>
                <w:rFonts w:eastAsia="新細明體" w:cs="Segoe UI"/>
                <w:sz w:val="17"/>
                <w:lang w:eastAsia="it-IT"/>
              </w:rPr>
              <w:t>於</w:t>
            </w:r>
            <w:r w:rsidRPr="00CA7301">
              <w:rPr>
                <w:rFonts w:eastAsia="新細明體" w:cs="Segoe UI"/>
                <w:sz w:val="17"/>
                <w:szCs w:val="17"/>
                <w:lang w:eastAsia="it-IT"/>
              </w:rPr>
              <w:t>在監管綜合範圍以外的金融業實體發行的</w:t>
            </w:r>
            <w:r w:rsidRPr="00CA7301">
              <w:rPr>
                <w:rFonts w:cs="Segoe UI"/>
                <w:sz w:val="17"/>
                <w:szCs w:val="17"/>
                <w:lang w:eastAsia="it-IT"/>
              </w:rPr>
              <w:t>CET1</w:t>
            </w:r>
            <w:r w:rsidRPr="00CA7301">
              <w:rPr>
                <w:rFonts w:eastAsia="新細明體" w:cs="Segoe UI"/>
                <w:sz w:val="17"/>
                <w:szCs w:val="17"/>
                <w:lang w:eastAsia="it-IT"/>
              </w:rPr>
              <w:t>資本票據的重大</w:t>
            </w:r>
            <w:r>
              <w:rPr>
                <w:rFonts w:eastAsia="新細明體" w:cs="Segoe UI" w:hint="eastAsia"/>
                <w:sz w:val="17"/>
                <w:szCs w:val="17"/>
                <w:lang w:eastAsia="zh-TW"/>
              </w:rPr>
              <w:t>LAC</w:t>
            </w:r>
            <w:r w:rsidRPr="00CA7301">
              <w:rPr>
                <w:rFonts w:eastAsia="新細明體" w:cs="Segoe UI"/>
                <w:sz w:val="17"/>
                <w:szCs w:val="17"/>
                <w:lang w:eastAsia="it-IT"/>
              </w:rPr>
              <w:t>投資</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62AEC4"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D77749" w14:textId="77777777" w:rsidR="00EC6012" w:rsidRPr="00CA7301" w:rsidRDefault="00EC6012" w:rsidP="00CA1B87">
            <w:pPr>
              <w:snapToGrid w:val="0"/>
              <w:spacing w:before="40" w:after="40"/>
              <w:jc w:val="center"/>
              <w:rPr>
                <w:rFonts w:cs="Segoe UI"/>
                <w:sz w:val="17"/>
                <w:lang w:eastAsia="it-IT"/>
              </w:rPr>
            </w:pPr>
          </w:p>
        </w:tc>
      </w:tr>
      <w:tr w:rsidR="00EC6012" w:rsidRPr="00CA7301" w14:paraId="52B7614F"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E6C5B7C"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74</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0DFE751F" w14:textId="77777777" w:rsidR="00EC6012" w:rsidRPr="00CA7301" w:rsidRDefault="00EC6012"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按揭供款管理權</w:t>
            </w:r>
            <w:r w:rsidRPr="00CA7301">
              <w:rPr>
                <w:rFonts w:eastAsia="細明體" w:cs="Segoe UI"/>
                <w:sz w:val="17"/>
                <w:szCs w:val="17"/>
                <w:lang w:eastAsia="it-IT"/>
              </w:rPr>
              <w:t>（</w:t>
            </w:r>
            <w:r w:rsidRPr="00CA7301">
              <w:rPr>
                <w:rFonts w:eastAsia="新細明體" w:cs="Segoe UI"/>
                <w:sz w:val="17"/>
                <w:szCs w:val="17"/>
                <w:lang w:eastAsia="it-IT"/>
              </w:rPr>
              <w:t>已扣除相聯</w:t>
            </w:r>
            <w:r w:rsidRPr="00CA7301">
              <w:rPr>
                <w:rFonts w:eastAsia="新細明體" w:cs="Segoe UI"/>
                <w:sz w:val="17"/>
                <w:szCs w:val="17"/>
                <w:lang w:eastAsia="zh-TW"/>
              </w:rPr>
              <w:t>的遞延</w:t>
            </w:r>
            <w:r w:rsidRPr="00CA7301">
              <w:rPr>
                <w:rFonts w:eastAsia="新細明體" w:cs="Segoe UI"/>
                <w:sz w:val="17"/>
                <w:szCs w:val="17"/>
                <w:lang w:eastAsia="it-IT"/>
              </w:rPr>
              <w:t>稅項負債</w:t>
            </w:r>
            <w:r w:rsidRPr="00CA7301">
              <w:rPr>
                <w:rFonts w:eastAsia="細明體" w:cs="Segoe UI"/>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5DFEE44" w14:textId="77777777" w:rsidR="00EC6012" w:rsidRPr="00CA7301" w:rsidRDefault="00EC6012" w:rsidP="00CA1B87">
            <w:pPr>
              <w:snapToGrid w:val="0"/>
              <w:spacing w:before="40" w:after="40"/>
              <w:jc w:val="center"/>
              <w:rPr>
                <w:rFonts w:cs="Segoe UI"/>
                <w:sz w:val="17"/>
                <w:lang w:eastAsia="it-IT"/>
              </w:rPr>
            </w:pPr>
            <w:r w:rsidRPr="00CA7301">
              <w:rPr>
                <w:rFonts w:eastAsiaTheme="minorEastAsia" w:cs="Segoe UI"/>
                <w:sz w:val="17"/>
                <w:lang w:eastAsia="zh-TW"/>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AC495E6"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EC6012" w:rsidRPr="00CA7301" w14:paraId="13C571D8"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601CFBD9" w14:textId="77777777" w:rsidR="00EC6012" w:rsidRPr="00CA7301" w:rsidRDefault="00EC6012" w:rsidP="00CA1B87">
            <w:pPr>
              <w:snapToGrid w:val="0"/>
              <w:spacing w:before="40" w:after="40"/>
              <w:ind w:left="57"/>
              <w:rPr>
                <w:rFonts w:cs="Segoe UI"/>
                <w:sz w:val="17"/>
                <w:szCs w:val="17"/>
                <w:lang w:eastAsia="en-GB"/>
              </w:rPr>
            </w:pPr>
            <w:r w:rsidRPr="00CA7301">
              <w:rPr>
                <w:rFonts w:cs="Segoe UI"/>
                <w:sz w:val="17"/>
                <w:szCs w:val="17"/>
                <w:lang w:eastAsia="en-GB"/>
              </w:rPr>
              <w:t>75</w:t>
            </w:r>
          </w:p>
        </w:tc>
        <w:tc>
          <w:tcPr>
            <w:tcW w:w="5951" w:type="dxa"/>
            <w:tcBorders>
              <w:top w:val="single" w:sz="4" w:space="0" w:color="auto"/>
              <w:left w:val="single" w:sz="4" w:space="0" w:color="auto"/>
              <w:bottom w:val="single" w:sz="4" w:space="0" w:color="auto"/>
              <w:right w:val="single" w:sz="4" w:space="0" w:color="auto"/>
            </w:tcBorders>
            <w:shd w:val="clear" w:color="auto" w:fill="FFFF00"/>
          </w:tcPr>
          <w:p w14:paraId="52F6A01A" w14:textId="77777777" w:rsidR="00EC6012" w:rsidRPr="00CA7301" w:rsidRDefault="00EC6012" w:rsidP="00CA1B87">
            <w:pPr>
              <w:snapToGrid w:val="0"/>
              <w:spacing w:before="40" w:after="40"/>
              <w:ind w:left="57" w:rightChars="71" w:right="142"/>
              <w:rPr>
                <w:rFonts w:cs="Segoe UI"/>
                <w:sz w:val="17"/>
                <w:szCs w:val="17"/>
                <w:lang w:eastAsia="it-IT"/>
              </w:rPr>
            </w:pPr>
            <w:r w:rsidRPr="00CA7301">
              <w:rPr>
                <w:rFonts w:eastAsia="新細明體" w:cs="Segoe UI"/>
                <w:sz w:val="17"/>
                <w:szCs w:val="17"/>
                <w:lang w:eastAsia="it-IT"/>
              </w:rPr>
              <w:t>由暫時性差異產生的遞延稅項資產</w:t>
            </w:r>
            <w:r w:rsidRPr="00CA7301">
              <w:rPr>
                <w:rFonts w:eastAsia="細明體" w:cs="Segoe UI"/>
                <w:sz w:val="17"/>
                <w:szCs w:val="17"/>
                <w:lang w:eastAsia="it-IT"/>
              </w:rPr>
              <w:t>（</w:t>
            </w:r>
            <w:r w:rsidRPr="00CA7301">
              <w:rPr>
                <w:rFonts w:eastAsia="新細明體" w:cs="Segoe UI"/>
                <w:sz w:val="17"/>
                <w:szCs w:val="17"/>
                <w:lang w:eastAsia="it-IT"/>
              </w:rPr>
              <w:t>已扣除相聯</w:t>
            </w:r>
            <w:r w:rsidRPr="00CA7301">
              <w:rPr>
                <w:rFonts w:eastAsia="新細明體" w:cs="Segoe UI"/>
                <w:sz w:val="17"/>
                <w:szCs w:val="17"/>
                <w:lang w:eastAsia="zh-TW"/>
              </w:rPr>
              <w:t>的</w:t>
            </w:r>
            <w:r w:rsidRPr="00CA7301">
              <w:rPr>
                <w:rFonts w:eastAsia="新細明體" w:cs="Segoe UI"/>
                <w:sz w:val="17"/>
                <w:szCs w:val="17"/>
                <w:lang w:eastAsia="it-IT"/>
              </w:rPr>
              <w:t>遞延稅項負債</w:t>
            </w:r>
            <w:r w:rsidRPr="00CA7301">
              <w:rPr>
                <w:rFonts w:eastAsia="細明體" w:cs="Segoe UI"/>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68F157"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6FF8607" w14:textId="77777777" w:rsidR="00EC6012" w:rsidRPr="00CA7301" w:rsidRDefault="00EC6012" w:rsidP="00CA1B87">
            <w:pPr>
              <w:snapToGrid w:val="0"/>
              <w:spacing w:before="40" w:after="40"/>
              <w:jc w:val="center"/>
              <w:rPr>
                <w:rFonts w:cs="Segoe UI"/>
                <w:sz w:val="17"/>
                <w:lang w:eastAsia="it-IT"/>
              </w:rPr>
            </w:pPr>
            <w:r w:rsidRPr="00CA7301">
              <w:rPr>
                <w:rFonts w:eastAsia="新細明體" w:cs="Segoe UI"/>
                <w:sz w:val="17"/>
                <w:lang w:eastAsia="it-IT"/>
              </w:rPr>
              <w:t>不適用</w:t>
            </w:r>
          </w:p>
        </w:tc>
      </w:tr>
      <w:tr w:rsidR="00EC6012" w:rsidRPr="00CA7301" w14:paraId="20B3CFDD"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6A6A6" w:themeFill="background1" w:themeFillShade="A6"/>
          </w:tcPr>
          <w:p w14:paraId="18AD20E5" w14:textId="77777777" w:rsidR="00EC6012" w:rsidRPr="00CA7301" w:rsidRDefault="00EC6012" w:rsidP="00CA1B87">
            <w:pPr>
              <w:snapToGrid w:val="0"/>
              <w:spacing w:before="40" w:after="40"/>
              <w:ind w:left="57"/>
              <w:rPr>
                <w:rFonts w:cs="Segoe UI"/>
                <w:sz w:val="17"/>
                <w:szCs w:val="17"/>
                <w:lang w:eastAsia="en-GB"/>
              </w:rPr>
            </w:pPr>
          </w:p>
        </w:tc>
        <w:tc>
          <w:tcPr>
            <w:tcW w:w="59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D3B839"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b/>
                <w:sz w:val="17"/>
                <w:szCs w:val="17"/>
                <w:lang w:eastAsia="it-IT"/>
              </w:rPr>
              <w:t>就計入二級資本的準備金的適用上限</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4F440B"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20B99" w14:textId="77777777" w:rsidR="00EC6012" w:rsidRPr="00CA7301" w:rsidRDefault="00EC6012" w:rsidP="00CA1B87">
            <w:pPr>
              <w:snapToGrid w:val="0"/>
              <w:spacing w:before="40" w:after="40"/>
              <w:jc w:val="center"/>
              <w:rPr>
                <w:rFonts w:cs="Segoe UI"/>
                <w:sz w:val="17"/>
                <w:lang w:eastAsia="it-IT"/>
              </w:rPr>
            </w:pPr>
          </w:p>
        </w:tc>
      </w:tr>
      <w:tr w:rsidR="00EC6012" w:rsidRPr="00CA7301" w14:paraId="153EE534"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D3A1E9D" w14:textId="77777777" w:rsidR="00EC6012" w:rsidRPr="00CA7301" w:rsidRDefault="00EC6012" w:rsidP="00CA1B87">
            <w:pPr>
              <w:snapToGrid w:val="0"/>
              <w:spacing w:before="40" w:after="40"/>
              <w:ind w:left="57"/>
              <w:rPr>
                <w:rFonts w:cs="Segoe UI"/>
                <w:sz w:val="17"/>
                <w:szCs w:val="17"/>
                <w:lang w:eastAsia="it-IT"/>
              </w:rPr>
            </w:pPr>
            <w:r w:rsidRPr="00CA7301">
              <w:rPr>
                <w:rFonts w:cs="Segoe UI"/>
                <w:sz w:val="17"/>
                <w:szCs w:val="17"/>
                <w:lang w:eastAsia="it-IT"/>
              </w:rPr>
              <w:t>76</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29B531E5" w14:textId="77777777" w:rsidR="00EC6012" w:rsidRPr="00CA7301" w:rsidRDefault="00EC6012" w:rsidP="00CA1B87">
            <w:pPr>
              <w:snapToGrid w:val="0"/>
              <w:spacing w:before="40" w:after="40"/>
              <w:ind w:left="57" w:rightChars="71" w:right="142"/>
              <w:rPr>
                <w:rFonts w:eastAsiaTheme="minorEastAsia" w:cs="Segoe UI"/>
                <w:sz w:val="17"/>
                <w:szCs w:val="17"/>
                <w:lang w:eastAsia="it-IT"/>
              </w:rPr>
            </w:pPr>
            <w:r w:rsidRPr="00CA7301">
              <w:rPr>
                <w:rFonts w:eastAsiaTheme="minorEastAsia" w:cs="Segoe UI"/>
                <w:sz w:val="17"/>
                <w:szCs w:val="17"/>
                <w:lang w:eastAsia="zh-TW"/>
              </w:rPr>
              <w:t>合資格計入二級資本的有關</w:t>
            </w:r>
            <w:r w:rsidRPr="00CA7301">
              <w:rPr>
                <w:rFonts w:cs="Segoe UI"/>
                <w:sz w:val="17"/>
                <w:szCs w:val="17"/>
                <w:lang w:eastAsia="it-IT"/>
              </w:rPr>
              <w:t xml:space="preserve">BSC </w:t>
            </w:r>
            <w:r w:rsidRPr="00CA7301">
              <w:rPr>
                <w:rFonts w:eastAsiaTheme="minorEastAsia" w:cs="Segoe UI"/>
                <w:sz w:val="17"/>
                <w:szCs w:val="17"/>
                <w:lang w:eastAsia="zh-TW"/>
              </w:rPr>
              <w:t>計算法或</w:t>
            </w:r>
            <w:r w:rsidRPr="00CA7301">
              <w:rPr>
                <w:rFonts w:cs="Segoe UI"/>
                <w:sz w:val="17"/>
                <w:szCs w:val="17"/>
                <w:lang w:eastAsia="it-IT"/>
              </w:rPr>
              <w:t>STC</w:t>
            </w:r>
            <w:r w:rsidRPr="00CA7301">
              <w:rPr>
                <w:rFonts w:eastAsiaTheme="minorEastAsia" w:cs="Segoe UI"/>
                <w:sz w:val="17"/>
                <w:szCs w:val="17"/>
                <w:lang w:eastAsia="zh-TW"/>
              </w:rPr>
              <w:t>計算法及</w:t>
            </w:r>
            <w:r w:rsidRPr="00CA7301">
              <w:rPr>
                <w:rFonts w:cs="Segoe UI"/>
                <w:sz w:val="17"/>
                <w:szCs w:val="17"/>
                <w:lang w:eastAsia="it-IT"/>
              </w:rPr>
              <w:t xml:space="preserve"> SEC-ERBA</w:t>
            </w:r>
            <w:r w:rsidRPr="00CA7301">
              <w:rPr>
                <w:rFonts w:eastAsiaTheme="minorEastAsia" w:cs="Segoe UI"/>
                <w:sz w:val="17"/>
                <w:szCs w:val="17"/>
                <w:lang w:eastAsia="zh-TW"/>
              </w:rPr>
              <w:t>、</w:t>
            </w:r>
            <w:r w:rsidRPr="00CA7301">
              <w:rPr>
                <w:rFonts w:cs="Segoe UI"/>
                <w:sz w:val="17"/>
                <w:szCs w:val="17"/>
                <w:lang w:eastAsia="it-IT"/>
              </w:rPr>
              <w:t xml:space="preserve">SEC-SA </w:t>
            </w:r>
            <w:r w:rsidRPr="00CA7301">
              <w:rPr>
                <w:rFonts w:eastAsiaTheme="minorEastAsia" w:cs="Segoe UI"/>
                <w:sz w:val="17"/>
                <w:szCs w:val="17"/>
                <w:lang w:eastAsia="zh-TW"/>
              </w:rPr>
              <w:t>及</w:t>
            </w:r>
            <w:r w:rsidRPr="00CA7301">
              <w:rPr>
                <w:rFonts w:cs="Segoe UI"/>
                <w:sz w:val="17"/>
                <w:szCs w:val="17"/>
                <w:lang w:eastAsia="it-IT"/>
              </w:rPr>
              <w:t xml:space="preserve"> SEC-FBA</w:t>
            </w:r>
            <w:r w:rsidRPr="00CA7301">
              <w:rPr>
                <w:rFonts w:eastAsiaTheme="minorEastAsia" w:cs="Segoe UI"/>
                <w:sz w:val="17"/>
                <w:szCs w:val="17"/>
                <w:lang w:eastAsia="zh-TW"/>
              </w:rPr>
              <w:t>下的準備金</w:t>
            </w:r>
            <w:r w:rsidRPr="00CA7301">
              <w:rPr>
                <w:rFonts w:eastAsia="細明體" w:cs="Segoe UI"/>
                <w:sz w:val="17"/>
                <w:szCs w:val="17"/>
                <w:lang w:eastAsia="it-IT"/>
              </w:rPr>
              <w:t>（</w:t>
            </w:r>
            <w:r w:rsidRPr="00CA7301">
              <w:rPr>
                <w:rFonts w:eastAsia="新細明體" w:cs="Segoe UI"/>
                <w:sz w:val="17"/>
                <w:szCs w:val="17"/>
                <w:lang w:eastAsia="it-IT"/>
              </w:rPr>
              <w:t>應用上限前</w:t>
            </w:r>
            <w:r w:rsidRPr="00CA7301">
              <w:rPr>
                <w:rFonts w:eastAsia="細明體" w:cs="Segoe UI"/>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7F543"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98C15E" w14:textId="77777777" w:rsidR="00EC6012" w:rsidRPr="00CA7301" w:rsidRDefault="00EC6012" w:rsidP="00CA1B87">
            <w:pPr>
              <w:snapToGrid w:val="0"/>
              <w:spacing w:before="40" w:after="40"/>
              <w:jc w:val="center"/>
              <w:rPr>
                <w:rFonts w:cs="Segoe UI"/>
                <w:sz w:val="17"/>
                <w:lang w:eastAsia="it-IT"/>
              </w:rPr>
            </w:pPr>
          </w:p>
        </w:tc>
      </w:tr>
      <w:tr w:rsidR="00EC6012" w:rsidRPr="00CA7301" w14:paraId="3B20DFC7"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28EBBC41" w14:textId="77777777" w:rsidR="00EC6012" w:rsidRPr="00CA7301" w:rsidRDefault="00EC6012" w:rsidP="00CA1B87">
            <w:pPr>
              <w:snapToGrid w:val="0"/>
              <w:spacing w:before="40" w:after="40"/>
              <w:ind w:left="57"/>
              <w:rPr>
                <w:rFonts w:cs="Segoe UI"/>
                <w:sz w:val="17"/>
                <w:szCs w:val="17"/>
                <w:lang w:eastAsia="it-IT"/>
              </w:rPr>
            </w:pPr>
            <w:r w:rsidRPr="00CA7301">
              <w:rPr>
                <w:rFonts w:cs="Segoe UI"/>
                <w:sz w:val="17"/>
                <w:szCs w:val="17"/>
                <w:lang w:eastAsia="it-IT"/>
              </w:rPr>
              <w:t>77</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76A1E493"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sz w:val="17"/>
                <w:szCs w:val="17"/>
                <w:lang w:eastAsia="it-IT"/>
              </w:rPr>
              <w:t>在</w:t>
            </w:r>
            <w:r w:rsidRPr="00CA7301">
              <w:rPr>
                <w:rFonts w:eastAsia="新細明體" w:cs="Segoe UI"/>
                <w:sz w:val="17"/>
                <w:szCs w:val="17"/>
                <w:lang w:eastAsia="it-IT"/>
              </w:rPr>
              <w:t>BSC</w:t>
            </w:r>
            <w:r w:rsidRPr="00CA7301">
              <w:rPr>
                <w:rFonts w:eastAsia="新細明體" w:cs="Segoe UI"/>
                <w:sz w:val="17"/>
                <w:szCs w:val="17"/>
                <w:lang w:eastAsia="it-IT"/>
              </w:rPr>
              <w:t>計算法</w:t>
            </w:r>
            <w:r w:rsidRPr="00CA7301">
              <w:rPr>
                <w:rFonts w:eastAsia="新細明體" w:cs="Segoe UI"/>
                <w:sz w:val="17"/>
                <w:szCs w:val="17"/>
                <w:lang w:eastAsia="zh-TW"/>
              </w:rPr>
              <w:t>或</w:t>
            </w:r>
            <w:r w:rsidRPr="00CA7301">
              <w:rPr>
                <w:rFonts w:eastAsia="新細明體" w:cs="Segoe UI"/>
                <w:sz w:val="17"/>
                <w:szCs w:val="17"/>
                <w:lang w:eastAsia="zh-TW"/>
              </w:rPr>
              <w:t>S</w:t>
            </w:r>
            <w:r w:rsidRPr="00CA7301">
              <w:rPr>
                <w:rFonts w:cs="Segoe UI"/>
                <w:sz w:val="17"/>
                <w:szCs w:val="17"/>
                <w:lang w:eastAsia="it-IT"/>
              </w:rPr>
              <w:t>TC</w:t>
            </w:r>
            <w:r w:rsidRPr="00CA7301">
              <w:rPr>
                <w:rFonts w:eastAsia="新細明體" w:cs="Segoe UI"/>
                <w:sz w:val="17"/>
                <w:szCs w:val="17"/>
                <w:lang w:eastAsia="it-IT"/>
              </w:rPr>
              <w:t>計算法</w:t>
            </w:r>
            <w:r w:rsidRPr="00CA7301">
              <w:rPr>
                <w:rFonts w:eastAsiaTheme="minorEastAsia" w:cs="Segoe UI"/>
                <w:sz w:val="17"/>
                <w:szCs w:val="17"/>
                <w:lang w:eastAsia="zh-TW"/>
              </w:rPr>
              <w:t>及</w:t>
            </w:r>
            <w:r w:rsidRPr="00CA7301">
              <w:rPr>
                <w:rFonts w:cs="Segoe UI"/>
                <w:sz w:val="17"/>
                <w:szCs w:val="17"/>
                <w:lang w:eastAsia="it-IT"/>
              </w:rPr>
              <w:t xml:space="preserve"> SEC-ERBA</w:t>
            </w:r>
            <w:r w:rsidRPr="00CA7301">
              <w:rPr>
                <w:rFonts w:eastAsiaTheme="minorEastAsia" w:cs="Segoe UI"/>
                <w:sz w:val="17"/>
                <w:szCs w:val="17"/>
                <w:lang w:eastAsia="zh-TW"/>
              </w:rPr>
              <w:t>、</w:t>
            </w:r>
            <w:r w:rsidRPr="00CA7301">
              <w:rPr>
                <w:rFonts w:cs="Segoe UI"/>
                <w:sz w:val="17"/>
                <w:szCs w:val="17"/>
                <w:lang w:eastAsia="it-IT"/>
              </w:rPr>
              <w:t xml:space="preserve">SEC-SA </w:t>
            </w:r>
            <w:r w:rsidRPr="00CA7301">
              <w:rPr>
                <w:rFonts w:eastAsiaTheme="minorEastAsia" w:cs="Segoe UI"/>
                <w:sz w:val="17"/>
                <w:szCs w:val="17"/>
                <w:lang w:eastAsia="zh-TW"/>
              </w:rPr>
              <w:t>及</w:t>
            </w:r>
            <w:r w:rsidRPr="00CA7301">
              <w:rPr>
                <w:rFonts w:cs="Segoe UI"/>
                <w:sz w:val="17"/>
                <w:szCs w:val="17"/>
                <w:lang w:eastAsia="it-IT"/>
              </w:rPr>
              <w:t xml:space="preserve"> SEC-FBA</w:t>
            </w:r>
            <w:r w:rsidRPr="00CA7301">
              <w:rPr>
                <w:rFonts w:eastAsia="新細明體" w:cs="Segoe UI"/>
                <w:sz w:val="17"/>
                <w:szCs w:val="17"/>
                <w:lang w:eastAsia="it-IT"/>
              </w:rPr>
              <w:t>下可計入二級資本的準備金上</w:t>
            </w:r>
            <w:r w:rsidRPr="00CA7301">
              <w:rPr>
                <w:rFonts w:eastAsia="新細明體" w:cs="Segoe UI"/>
                <w:sz w:val="17"/>
                <w:szCs w:val="17"/>
                <w:lang w:val="it-IT" w:eastAsia="zh-TW"/>
              </w:rPr>
              <w:t>限</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CAC8E0"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88FB62" w14:textId="77777777" w:rsidR="00EC6012" w:rsidRPr="00CA7301" w:rsidRDefault="00EC6012" w:rsidP="00CA1B87">
            <w:pPr>
              <w:snapToGrid w:val="0"/>
              <w:spacing w:before="40" w:after="40"/>
              <w:jc w:val="center"/>
              <w:rPr>
                <w:rFonts w:cs="Segoe UI"/>
                <w:sz w:val="17"/>
                <w:lang w:eastAsia="it-IT"/>
              </w:rPr>
            </w:pPr>
          </w:p>
        </w:tc>
      </w:tr>
      <w:tr w:rsidR="00EC6012" w:rsidRPr="00CA7301" w14:paraId="062BBB49"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7735B4D3" w14:textId="77777777" w:rsidR="00EC6012" w:rsidRPr="00CA7301" w:rsidRDefault="00EC6012" w:rsidP="00CA1B87">
            <w:pPr>
              <w:snapToGrid w:val="0"/>
              <w:spacing w:before="40" w:after="40"/>
              <w:ind w:left="57"/>
              <w:rPr>
                <w:rFonts w:cs="Segoe UI"/>
                <w:sz w:val="17"/>
                <w:szCs w:val="17"/>
                <w:lang w:eastAsia="it-IT"/>
              </w:rPr>
            </w:pPr>
            <w:r w:rsidRPr="00CA7301">
              <w:rPr>
                <w:rFonts w:cs="Segoe UI"/>
                <w:sz w:val="17"/>
                <w:szCs w:val="17"/>
                <w:lang w:eastAsia="it-IT"/>
              </w:rPr>
              <w:t>78</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6266F331" w14:textId="77777777" w:rsidR="00EC6012" w:rsidRPr="00CA7301" w:rsidRDefault="00EC6012" w:rsidP="00B64781">
            <w:pPr>
              <w:snapToGrid w:val="0"/>
              <w:spacing w:before="40" w:after="40"/>
              <w:ind w:left="57" w:rightChars="142" w:right="284"/>
              <w:rPr>
                <w:rFonts w:cs="Segoe UI"/>
                <w:b/>
                <w:sz w:val="17"/>
                <w:szCs w:val="17"/>
                <w:lang w:eastAsia="it-IT"/>
              </w:rPr>
            </w:pPr>
            <w:r w:rsidRPr="00CA7301">
              <w:rPr>
                <w:rFonts w:eastAsia="新細明體" w:cs="Segoe UI"/>
                <w:sz w:val="17"/>
                <w:szCs w:val="17"/>
                <w:lang w:eastAsia="it-IT"/>
              </w:rPr>
              <w:t>合資格計入二級資本</w:t>
            </w:r>
            <w:r w:rsidRPr="00CA7301">
              <w:rPr>
                <w:rFonts w:eastAsia="新細明體" w:cs="Segoe UI"/>
                <w:sz w:val="17"/>
                <w:szCs w:val="17"/>
                <w:lang w:eastAsia="zh-TW"/>
              </w:rPr>
              <w:t>的有關</w:t>
            </w:r>
            <w:r w:rsidRPr="00CA7301">
              <w:rPr>
                <w:rFonts w:cs="Segoe UI"/>
                <w:sz w:val="17"/>
                <w:szCs w:val="17"/>
                <w:lang w:eastAsia="it-IT"/>
              </w:rPr>
              <w:t>IRB</w:t>
            </w:r>
            <w:r w:rsidRPr="00CA7301">
              <w:rPr>
                <w:rFonts w:eastAsia="新細明體" w:cs="Segoe UI"/>
                <w:sz w:val="17"/>
                <w:szCs w:val="17"/>
                <w:lang w:eastAsia="it-IT"/>
              </w:rPr>
              <w:t>計算法</w:t>
            </w:r>
            <w:r w:rsidRPr="00CA7301">
              <w:rPr>
                <w:rFonts w:eastAsiaTheme="minorEastAsia" w:cs="Segoe UI"/>
                <w:sz w:val="17"/>
                <w:szCs w:val="17"/>
                <w:lang w:eastAsia="zh-TW"/>
              </w:rPr>
              <w:t>及</w:t>
            </w:r>
            <w:r w:rsidRPr="00CA7301">
              <w:rPr>
                <w:rFonts w:cs="Segoe UI"/>
                <w:sz w:val="17"/>
                <w:szCs w:val="17"/>
                <w:lang w:eastAsia="it-IT"/>
              </w:rPr>
              <w:t xml:space="preserve"> SEC-IRBA</w:t>
            </w:r>
            <w:r w:rsidRPr="00CA7301">
              <w:rPr>
                <w:rFonts w:eastAsia="新細明體" w:cs="Segoe UI"/>
                <w:sz w:val="17"/>
                <w:szCs w:val="17"/>
                <w:lang w:eastAsia="it-IT"/>
              </w:rPr>
              <w:t>下的準備金</w:t>
            </w:r>
            <w:r w:rsidRPr="00CA7301">
              <w:rPr>
                <w:rFonts w:eastAsia="細明體" w:cs="Segoe UI"/>
                <w:sz w:val="17"/>
                <w:szCs w:val="17"/>
                <w:lang w:eastAsia="it-IT"/>
              </w:rPr>
              <w:t>（</w:t>
            </w:r>
            <w:r w:rsidRPr="00CA7301">
              <w:rPr>
                <w:rFonts w:eastAsia="新細明體" w:cs="Segoe UI"/>
                <w:sz w:val="17"/>
                <w:szCs w:val="17"/>
                <w:lang w:eastAsia="it-IT"/>
              </w:rPr>
              <w:t>應用上限前</w:t>
            </w:r>
            <w:r w:rsidRPr="00CA7301">
              <w:rPr>
                <w:rFonts w:eastAsia="細明體" w:cs="Segoe UI"/>
                <w:sz w:val="17"/>
                <w:szCs w:val="17"/>
                <w:lang w:eastAsia="it-IT"/>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8C9869"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BFC66B" w14:textId="77777777" w:rsidR="00EC6012" w:rsidRPr="00CA7301" w:rsidRDefault="00EC6012" w:rsidP="00CA1B87">
            <w:pPr>
              <w:snapToGrid w:val="0"/>
              <w:spacing w:before="40" w:after="40"/>
              <w:jc w:val="center"/>
              <w:rPr>
                <w:rFonts w:cs="Segoe UI"/>
                <w:sz w:val="17"/>
                <w:lang w:eastAsia="it-IT"/>
              </w:rPr>
            </w:pPr>
          </w:p>
        </w:tc>
      </w:tr>
      <w:tr w:rsidR="00EC6012" w:rsidRPr="00CA7301" w14:paraId="70A71641" w14:textId="77777777" w:rsidTr="00F62652">
        <w:trPr>
          <w:cantSplit/>
          <w:trHeight w:val="270"/>
        </w:trPr>
        <w:tc>
          <w:tcPr>
            <w:tcW w:w="570" w:type="dxa"/>
            <w:tcBorders>
              <w:top w:val="single" w:sz="6" w:space="0" w:color="auto"/>
              <w:left w:val="nil"/>
              <w:bottom w:val="single" w:sz="6" w:space="0" w:color="auto"/>
              <w:right w:val="single" w:sz="4" w:space="0" w:color="auto"/>
            </w:tcBorders>
            <w:shd w:val="clear" w:color="auto" w:fill="auto"/>
          </w:tcPr>
          <w:p w14:paraId="56BC8CC6" w14:textId="77777777" w:rsidR="00EC6012" w:rsidRPr="00CA7301" w:rsidRDefault="00EC6012" w:rsidP="00CA1B87">
            <w:pPr>
              <w:snapToGrid w:val="0"/>
              <w:spacing w:before="40" w:after="40"/>
              <w:ind w:left="57"/>
              <w:rPr>
                <w:rFonts w:cs="Segoe UI"/>
                <w:sz w:val="17"/>
                <w:szCs w:val="17"/>
                <w:lang w:eastAsia="it-IT"/>
              </w:rPr>
            </w:pPr>
            <w:r w:rsidRPr="00CA7301">
              <w:rPr>
                <w:rFonts w:cs="Segoe UI"/>
                <w:sz w:val="17"/>
                <w:szCs w:val="17"/>
                <w:lang w:eastAsia="it-IT"/>
              </w:rPr>
              <w:t>79</w:t>
            </w:r>
          </w:p>
        </w:tc>
        <w:tc>
          <w:tcPr>
            <w:tcW w:w="5951" w:type="dxa"/>
            <w:tcBorders>
              <w:top w:val="single" w:sz="4" w:space="0" w:color="auto"/>
              <w:left w:val="single" w:sz="4" w:space="0" w:color="auto"/>
              <w:bottom w:val="single" w:sz="4" w:space="0" w:color="auto"/>
              <w:right w:val="single" w:sz="4" w:space="0" w:color="auto"/>
            </w:tcBorders>
            <w:shd w:val="clear" w:color="auto" w:fill="auto"/>
          </w:tcPr>
          <w:p w14:paraId="1A717D0C" w14:textId="77777777" w:rsidR="00EC6012" w:rsidRPr="00CA7301" w:rsidRDefault="00EC6012" w:rsidP="00CA1B87">
            <w:pPr>
              <w:snapToGrid w:val="0"/>
              <w:spacing w:before="40" w:after="40"/>
              <w:ind w:left="57" w:rightChars="71" w:right="142"/>
              <w:rPr>
                <w:rFonts w:cs="Segoe UI"/>
                <w:b/>
                <w:sz w:val="17"/>
                <w:szCs w:val="17"/>
                <w:lang w:eastAsia="it-IT"/>
              </w:rPr>
            </w:pPr>
            <w:r w:rsidRPr="00CA7301">
              <w:rPr>
                <w:rFonts w:eastAsia="新細明體" w:cs="Segoe UI"/>
                <w:sz w:val="17"/>
                <w:szCs w:val="17"/>
                <w:lang w:eastAsia="it-IT"/>
              </w:rPr>
              <w:t>在</w:t>
            </w:r>
            <w:r w:rsidRPr="00CA7301">
              <w:rPr>
                <w:rFonts w:cs="Segoe UI"/>
                <w:sz w:val="17"/>
                <w:szCs w:val="17"/>
                <w:lang w:eastAsia="it-IT"/>
              </w:rPr>
              <w:t>IRB</w:t>
            </w:r>
            <w:r w:rsidRPr="00CA7301">
              <w:rPr>
                <w:rFonts w:eastAsia="新細明體" w:cs="Segoe UI"/>
                <w:sz w:val="17"/>
                <w:szCs w:val="17"/>
                <w:lang w:eastAsia="it-IT"/>
              </w:rPr>
              <w:t>計算法</w:t>
            </w:r>
            <w:r w:rsidRPr="00CA7301">
              <w:rPr>
                <w:rFonts w:eastAsiaTheme="minorEastAsia" w:cs="Segoe UI"/>
                <w:sz w:val="17"/>
                <w:szCs w:val="17"/>
                <w:lang w:eastAsia="zh-TW"/>
              </w:rPr>
              <w:t>及</w:t>
            </w:r>
            <w:r w:rsidRPr="00CA7301">
              <w:rPr>
                <w:rFonts w:cs="Segoe UI"/>
                <w:sz w:val="17"/>
                <w:szCs w:val="17"/>
                <w:lang w:eastAsia="it-IT"/>
              </w:rPr>
              <w:t xml:space="preserve"> SEC-IRBA</w:t>
            </w:r>
            <w:r w:rsidRPr="00CA7301">
              <w:rPr>
                <w:rFonts w:eastAsia="新細明體" w:cs="Segoe UI"/>
                <w:sz w:val="17"/>
                <w:szCs w:val="17"/>
                <w:lang w:eastAsia="it-IT"/>
              </w:rPr>
              <w:t>下可計入二級資本中的準備金上限</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D6E52B" w14:textId="77777777" w:rsidR="00EC6012" w:rsidRPr="00CA7301" w:rsidRDefault="00EC6012" w:rsidP="00CA1B87">
            <w:pPr>
              <w:snapToGrid w:val="0"/>
              <w:spacing w:before="40" w:after="40"/>
              <w:ind w:left="57"/>
              <w:jc w:val="center"/>
              <w:rPr>
                <w:rFonts w:cs="Segoe UI"/>
                <w:sz w:val="17"/>
                <w:lang w:eastAsia="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2251C0" w14:textId="77777777" w:rsidR="00EC6012" w:rsidRPr="00CA7301" w:rsidRDefault="00EC6012" w:rsidP="00CA1B87">
            <w:pPr>
              <w:snapToGrid w:val="0"/>
              <w:spacing w:before="40" w:after="40"/>
              <w:jc w:val="center"/>
              <w:rPr>
                <w:rFonts w:cs="Segoe UI"/>
                <w:sz w:val="17"/>
                <w:lang w:eastAsia="it-IT"/>
              </w:rPr>
            </w:pPr>
          </w:p>
        </w:tc>
      </w:tr>
    </w:tbl>
    <w:tbl>
      <w:tblPr>
        <w:tblStyle w:val="TableGrid3"/>
        <w:tblW w:w="9214" w:type="dxa"/>
        <w:tblInd w:w="-567"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A1B87" w:rsidRPr="00CA7301" w14:paraId="23639E80" w14:textId="77777777" w:rsidTr="007A7B65">
        <w:trPr>
          <w:trHeight w:val="2820"/>
        </w:trPr>
        <w:tc>
          <w:tcPr>
            <w:tcW w:w="9214" w:type="dxa"/>
            <w:tcBorders>
              <w:bottom w:val="single" w:sz="8" w:space="0" w:color="auto"/>
              <w:right w:val="single" w:sz="4" w:space="0" w:color="auto"/>
            </w:tcBorders>
          </w:tcPr>
          <w:p w14:paraId="795F4FC2" w14:textId="77777777" w:rsidR="00CA1B87" w:rsidRPr="00CA7301" w:rsidRDefault="00CA1B87" w:rsidP="00CA1B87">
            <w:pPr>
              <w:snapToGrid w:val="0"/>
              <w:spacing w:before="40" w:after="40" w:line="240" w:lineRule="exact"/>
              <w:jc w:val="both"/>
              <w:rPr>
                <w:rFonts w:cs="Segoe UI"/>
                <w:i/>
                <w:sz w:val="17"/>
                <w:szCs w:val="17"/>
                <w:lang w:eastAsia="it-IT"/>
              </w:rPr>
            </w:pPr>
            <w:r w:rsidRPr="00CA7301">
              <w:rPr>
                <w:rFonts w:eastAsiaTheme="minorEastAsia" w:cs="Segoe UI"/>
                <w:i/>
                <w:sz w:val="17"/>
                <w:szCs w:val="17"/>
                <w:lang w:eastAsia="zh-TW"/>
              </w:rPr>
              <w:t>注意事項：</w:t>
            </w:r>
          </w:p>
          <w:p w14:paraId="507A6A72" w14:textId="77777777" w:rsidR="00CA1B87" w:rsidRPr="006B027C" w:rsidRDefault="00CA1B87" w:rsidP="00D540EB">
            <w:pPr>
              <w:widowControl w:val="0"/>
              <w:numPr>
                <w:ilvl w:val="0"/>
                <w:numId w:val="10"/>
              </w:numPr>
              <w:autoSpaceDE w:val="0"/>
              <w:autoSpaceDN w:val="0"/>
              <w:adjustRightInd w:val="0"/>
              <w:spacing w:after="60" w:line="240" w:lineRule="exact"/>
              <w:ind w:left="459" w:rightChars="71" w:right="142" w:hanging="459"/>
              <w:jc w:val="both"/>
              <w:rPr>
                <w:rFonts w:eastAsiaTheme="minorEastAsia" w:cs="Segoe UI"/>
                <w:iCs/>
                <w:sz w:val="17"/>
                <w:szCs w:val="17"/>
                <w:lang w:eastAsia="zh-TW"/>
              </w:rPr>
            </w:pPr>
            <w:r w:rsidRPr="006B027C">
              <w:rPr>
                <w:rFonts w:eastAsiaTheme="minorEastAsia" w:cs="Segoe UI"/>
                <w:iCs/>
                <w:sz w:val="17"/>
                <w:szCs w:val="17"/>
                <w:lang w:eastAsia="zh-TW"/>
              </w:rPr>
              <w:t>有陰影</w:t>
            </w:r>
            <w:proofErr w:type="gramStart"/>
            <w:r w:rsidRPr="006B027C">
              <w:rPr>
                <w:rFonts w:eastAsiaTheme="minorEastAsia" w:cs="Segoe UI"/>
                <w:iCs/>
                <w:sz w:val="17"/>
                <w:szCs w:val="17"/>
                <w:lang w:eastAsia="zh-TW"/>
              </w:rPr>
              <w:t>及有框的</w:t>
            </w:r>
            <w:proofErr w:type="gramEnd"/>
            <w:r w:rsidRPr="006B027C">
              <w:rPr>
                <w:rFonts w:eastAsiaTheme="minorEastAsia" w:cs="Segoe UI"/>
                <w:iCs/>
                <w:sz w:val="17"/>
                <w:szCs w:val="17"/>
                <w:lang w:eastAsia="zh-TW"/>
              </w:rPr>
              <w:t>行表示：</w:t>
            </w:r>
          </w:p>
          <w:p w14:paraId="035273E1" w14:textId="77777777" w:rsidR="00CA1B87" w:rsidRPr="006B027C" w:rsidRDefault="00CA1B87" w:rsidP="00D540EB">
            <w:pPr>
              <w:widowControl w:val="0"/>
              <w:numPr>
                <w:ilvl w:val="0"/>
                <w:numId w:val="11"/>
              </w:numPr>
              <w:autoSpaceDE w:val="0"/>
              <w:autoSpaceDN w:val="0"/>
              <w:adjustRightInd w:val="0"/>
              <w:spacing w:after="60" w:line="240" w:lineRule="exact"/>
              <w:ind w:left="743" w:rightChars="71" w:right="142" w:hanging="250"/>
              <w:jc w:val="both"/>
              <w:rPr>
                <w:rFonts w:cs="Segoe UI"/>
                <w:iCs/>
                <w:sz w:val="17"/>
                <w:szCs w:val="17"/>
                <w:lang w:eastAsia="it-IT"/>
              </w:rPr>
            </w:pPr>
            <w:r w:rsidRPr="006B027C">
              <w:rPr>
                <w:rFonts w:eastAsiaTheme="minorEastAsia" w:cs="Segoe UI"/>
                <w:iCs/>
                <w:sz w:val="17"/>
                <w:szCs w:val="17"/>
                <w:lang w:eastAsia="zh-TW"/>
              </w:rPr>
              <w:t>深灰色陰影的行顯示一個新部分開始，提供有關監管資本某組成項目的詳情；</w:t>
            </w:r>
          </w:p>
          <w:p w14:paraId="0D3437C3" w14:textId="77777777" w:rsidR="00CA1B87" w:rsidRPr="006B027C" w:rsidRDefault="00CA1B87" w:rsidP="00D540EB">
            <w:pPr>
              <w:widowControl w:val="0"/>
              <w:numPr>
                <w:ilvl w:val="0"/>
                <w:numId w:val="11"/>
              </w:numPr>
              <w:autoSpaceDE w:val="0"/>
              <w:autoSpaceDN w:val="0"/>
              <w:adjustRightInd w:val="0"/>
              <w:spacing w:after="60" w:line="240" w:lineRule="exact"/>
              <w:ind w:left="743" w:rightChars="71" w:right="142" w:hanging="250"/>
              <w:jc w:val="both"/>
              <w:rPr>
                <w:rFonts w:cs="Segoe UI"/>
                <w:iCs/>
                <w:sz w:val="17"/>
                <w:szCs w:val="17"/>
                <w:lang w:eastAsia="it-IT"/>
              </w:rPr>
            </w:pPr>
            <w:r w:rsidRPr="006B027C">
              <w:rPr>
                <w:rFonts w:eastAsiaTheme="minorEastAsia" w:cs="Segoe UI"/>
                <w:iCs/>
                <w:sz w:val="17"/>
                <w:szCs w:val="17"/>
                <w:lang w:eastAsia="zh-TW"/>
              </w:rPr>
              <w:t>淺灰色陰影</w:t>
            </w:r>
            <w:proofErr w:type="gramStart"/>
            <w:r w:rsidRPr="006B027C">
              <w:rPr>
                <w:rFonts w:eastAsiaTheme="minorEastAsia" w:cs="Segoe UI"/>
                <w:iCs/>
                <w:sz w:val="17"/>
                <w:szCs w:val="17"/>
                <w:lang w:eastAsia="zh-TW"/>
              </w:rPr>
              <w:t>沒有粗框的</w:t>
            </w:r>
            <w:proofErr w:type="gramEnd"/>
            <w:r w:rsidRPr="006B027C">
              <w:rPr>
                <w:rFonts w:eastAsiaTheme="minorEastAsia" w:cs="Segoe UI"/>
                <w:iCs/>
                <w:sz w:val="17"/>
                <w:szCs w:val="17"/>
                <w:lang w:eastAsia="zh-TW"/>
              </w:rPr>
              <w:t>行代表</w:t>
            </w:r>
            <w:r w:rsidRPr="006B027C">
              <w:rPr>
                <w:rFonts w:eastAsiaTheme="majorEastAsia" w:cs="Segoe UI"/>
                <w:iCs/>
                <w:color w:val="000000"/>
                <w:sz w:val="17"/>
                <w:szCs w:val="17"/>
                <w:lang w:eastAsia="zh-TW"/>
              </w:rPr>
              <w:t>其</w:t>
            </w:r>
            <w:r w:rsidRPr="006B027C">
              <w:rPr>
                <w:rFonts w:eastAsiaTheme="minorEastAsia" w:cs="Segoe UI"/>
                <w:iCs/>
                <w:sz w:val="17"/>
                <w:szCs w:val="17"/>
                <w:lang w:eastAsia="zh-TW"/>
              </w:rPr>
              <w:t>上的有關部分各方格相加的總和；</w:t>
            </w:r>
          </w:p>
          <w:p w14:paraId="274BF016" w14:textId="77777777" w:rsidR="00CA1B87" w:rsidRPr="006B027C" w:rsidRDefault="00CA1B87" w:rsidP="00D540EB">
            <w:pPr>
              <w:widowControl w:val="0"/>
              <w:numPr>
                <w:ilvl w:val="0"/>
                <w:numId w:val="11"/>
              </w:numPr>
              <w:autoSpaceDE w:val="0"/>
              <w:autoSpaceDN w:val="0"/>
              <w:adjustRightInd w:val="0"/>
              <w:spacing w:after="60" w:line="240" w:lineRule="exact"/>
              <w:ind w:left="743" w:rightChars="71" w:right="142" w:hanging="250"/>
              <w:jc w:val="both"/>
              <w:rPr>
                <w:rFonts w:cs="Segoe UI"/>
                <w:iCs/>
                <w:sz w:val="17"/>
                <w:szCs w:val="17"/>
                <w:lang w:eastAsia="it-IT"/>
              </w:rPr>
            </w:pPr>
            <w:r w:rsidRPr="006B027C">
              <w:rPr>
                <w:rFonts w:eastAsiaTheme="minorEastAsia" w:cs="Segoe UI"/>
                <w:iCs/>
                <w:sz w:val="17"/>
                <w:szCs w:val="17"/>
                <w:lang w:eastAsia="zh-TW"/>
              </w:rPr>
              <w:t>淺灰色陰影</w:t>
            </w:r>
            <w:proofErr w:type="gramStart"/>
            <w:r w:rsidRPr="006B027C">
              <w:rPr>
                <w:rFonts w:eastAsiaTheme="minorEastAsia" w:cs="Segoe UI"/>
                <w:iCs/>
                <w:sz w:val="17"/>
                <w:szCs w:val="17"/>
                <w:lang w:eastAsia="zh-TW"/>
              </w:rPr>
              <w:t>有粗框的</w:t>
            </w:r>
            <w:proofErr w:type="gramEnd"/>
            <w:r w:rsidRPr="006B027C">
              <w:rPr>
                <w:rFonts w:eastAsiaTheme="minorEastAsia" w:cs="Segoe UI"/>
                <w:iCs/>
                <w:sz w:val="17"/>
                <w:szCs w:val="17"/>
                <w:lang w:eastAsia="zh-TW"/>
              </w:rPr>
              <w:t>行表示監管資本的重要組成項目及有關監管資本比率；</w:t>
            </w:r>
          </w:p>
          <w:p w14:paraId="274647F6" w14:textId="77777777" w:rsidR="00CA1B87" w:rsidRPr="006B027C" w:rsidRDefault="00CA1B87" w:rsidP="00D540EB">
            <w:pPr>
              <w:widowControl w:val="0"/>
              <w:numPr>
                <w:ilvl w:val="0"/>
                <w:numId w:val="11"/>
              </w:numPr>
              <w:autoSpaceDE w:val="0"/>
              <w:autoSpaceDN w:val="0"/>
              <w:adjustRightInd w:val="0"/>
              <w:spacing w:after="60" w:line="240" w:lineRule="exact"/>
              <w:ind w:left="743" w:rightChars="71" w:right="142" w:hanging="250"/>
              <w:jc w:val="both"/>
              <w:rPr>
                <w:rFonts w:cs="Segoe UI"/>
                <w:iCs/>
                <w:sz w:val="17"/>
                <w:szCs w:val="17"/>
                <w:lang w:eastAsia="it-IT"/>
              </w:rPr>
            </w:pPr>
            <w:r w:rsidRPr="006B027C">
              <w:rPr>
                <w:rFonts w:eastAsiaTheme="minorEastAsia" w:cs="Segoe UI"/>
                <w:iCs/>
                <w:sz w:val="17"/>
                <w:szCs w:val="17"/>
                <w:lang w:eastAsia="zh-TW"/>
              </w:rPr>
              <w:t>黃色陰影的行代表有關項目不適用於香港。</w:t>
            </w:r>
          </w:p>
          <w:p w14:paraId="4E437A00" w14:textId="3E26D888" w:rsidR="00CA1B87" w:rsidRPr="006B027C" w:rsidRDefault="00CA1B87" w:rsidP="00D540EB">
            <w:pPr>
              <w:widowControl w:val="0"/>
              <w:numPr>
                <w:ilvl w:val="0"/>
                <w:numId w:val="10"/>
              </w:numPr>
              <w:autoSpaceDE w:val="0"/>
              <w:autoSpaceDN w:val="0"/>
              <w:adjustRightInd w:val="0"/>
              <w:spacing w:after="60" w:line="240" w:lineRule="exact"/>
              <w:ind w:left="459" w:rightChars="71" w:right="142" w:hanging="459"/>
              <w:jc w:val="both"/>
              <w:rPr>
                <w:rFonts w:eastAsiaTheme="minorEastAsia" w:cs="Segoe UI"/>
                <w:iCs/>
                <w:sz w:val="17"/>
                <w:szCs w:val="17"/>
                <w:lang w:eastAsia="zh-TW"/>
              </w:rPr>
            </w:pPr>
            <w:r w:rsidRPr="006B027C">
              <w:rPr>
                <w:rFonts w:eastAsiaTheme="minorEastAsia" w:cs="Segoe UI"/>
                <w:iCs/>
                <w:sz w:val="17"/>
                <w:szCs w:val="17"/>
                <w:lang w:eastAsia="zh-TW"/>
              </w:rPr>
              <w:t>模版</w:t>
            </w:r>
            <w:r w:rsidRPr="006B027C">
              <w:rPr>
                <w:rFonts w:eastAsiaTheme="minorEastAsia" w:cs="Segoe UI"/>
                <w:iCs/>
                <w:sz w:val="17"/>
                <w:szCs w:val="17"/>
                <w:lang w:eastAsia="zh-TW"/>
              </w:rPr>
              <w:t>CC2</w:t>
            </w:r>
            <w:r w:rsidRPr="006B027C">
              <w:rPr>
                <w:rFonts w:eastAsiaTheme="minorEastAsia" w:cs="Segoe UI"/>
                <w:iCs/>
                <w:sz w:val="17"/>
                <w:szCs w:val="17"/>
                <w:lang w:eastAsia="zh-TW"/>
              </w:rPr>
              <w:t>所載的對帳要求導致若干監管調整須要拆解。例如上述披露模版包括調整項目「商譽（已扣除相聯的遞延稅項負債）」。對帳要求將導致須披露此監管調整的</w:t>
            </w:r>
            <w:r w:rsidR="00F828C1" w:rsidRPr="006B027C">
              <w:rPr>
                <w:rFonts w:eastAsiaTheme="minorEastAsia" w:cs="Segoe UI"/>
                <w:iCs/>
                <w:sz w:val="17"/>
                <w:szCs w:val="17"/>
                <w:lang w:eastAsia="zh-TW"/>
              </w:rPr>
              <w:t>商譽</w:t>
            </w:r>
            <w:r w:rsidRPr="006B027C">
              <w:rPr>
                <w:rFonts w:eastAsiaTheme="minorEastAsia" w:cs="Segoe UI"/>
                <w:iCs/>
                <w:sz w:val="17"/>
                <w:szCs w:val="17"/>
                <w:lang w:eastAsia="zh-TW"/>
              </w:rPr>
              <w:t>組成</w:t>
            </w:r>
            <w:r w:rsidR="00F828C1" w:rsidRPr="006B027C">
              <w:rPr>
                <w:rFonts w:eastAsiaTheme="minorEastAsia" w:cs="Segoe UI"/>
                <w:iCs/>
                <w:sz w:val="17"/>
                <w:szCs w:val="17"/>
                <w:lang w:eastAsia="zh-TW"/>
              </w:rPr>
              <w:t>項目</w:t>
            </w:r>
            <w:r w:rsidRPr="006B027C">
              <w:rPr>
                <w:rFonts w:eastAsiaTheme="minorEastAsia" w:cs="Segoe UI"/>
                <w:iCs/>
                <w:sz w:val="17"/>
                <w:szCs w:val="17"/>
                <w:lang w:eastAsia="zh-TW"/>
              </w:rPr>
              <w:t>及相關的稅項負債</w:t>
            </w:r>
            <w:r w:rsidR="00F828C1" w:rsidRPr="006B027C">
              <w:rPr>
                <w:rFonts w:eastAsiaTheme="minorEastAsia" w:cs="Segoe UI"/>
                <w:iCs/>
                <w:sz w:val="17"/>
                <w:szCs w:val="17"/>
                <w:lang w:eastAsia="zh-TW"/>
              </w:rPr>
              <w:t>組成項目</w:t>
            </w:r>
            <w:r w:rsidRPr="006B027C">
              <w:rPr>
                <w:rFonts w:eastAsiaTheme="minorEastAsia" w:cs="Segoe UI"/>
                <w:iCs/>
                <w:sz w:val="17"/>
                <w:szCs w:val="17"/>
                <w:lang w:eastAsia="zh-TW"/>
              </w:rPr>
              <w:t>。</w:t>
            </w:r>
          </w:p>
          <w:p w14:paraId="0DAC3B17" w14:textId="77777777" w:rsidR="00CA1B87" w:rsidRPr="00CA7301" w:rsidRDefault="00CA1B87" w:rsidP="00D540EB">
            <w:pPr>
              <w:widowControl w:val="0"/>
              <w:numPr>
                <w:ilvl w:val="0"/>
                <w:numId w:val="10"/>
              </w:numPr>
              <w:autoSpaceDE w:val="0"/>
              <w:autoSpaceDN w:val="0"/>
              <w:adjustRightInd w:val="0"/>
              <w:spacing w:after="60" w:line="240" w:lineRule="exact"/>
              <w:ind w:left="459" w:rightChars="71" w:right="142" w:hanging="459"/>
              <w:jc w:val="both"/>
              <w:rPr>
                <w:rFonts w:cs="Segoe UI"/>
                <w:sz w:val="22"/>
                <w:lang w:eastAsia="zh-TW"/>
              </w:rPr>
            </w:pPr>
            <w:r w:rsidRPr="006B027C">
              <w:rPr>
                <w:rFonts w:eastAsiaTheme="minorEastAsia" w:cs="Segoe UI"/>
                <w:iCs/>
                <w:sz w:val="17"/>
                <w:szCs w:val="17"/>
                <w:lang w:eastAsia="zh-TW"/>
              </w:rPr>
              <w:t>《資本規則》採用的定義較《巴塞爾協定三》資本標準</w:t>
            </w:r>
            <w:proofErr w:type="gramStart"/>
            <w:r w:rsidRPr="006B027C">
              <w:rPr>
                <w:rFonts w:eastAsiaTheme="minorEastAsia" w:cs="Segoe UI"/>
                <w:iCs/>
                <w:sz w:val="17"/>
                <w:szCs w:val="17"/>
                <w:lang w:eastAsia="zh-TW"/>
              </w:rPr>
              <w:t>所載者更為</w:t>
            </w:r>
            <w:proofErr w:type="gramEnd"/>
            <w:r w:rsidRPr="006B027C">
              <w:rPr>
                <w:rFonts w:eastAsiaTheme="minorEastAsia" w:cs="Segoe UI"/>
                <w:iCs/>
                <w:sz w:val="17"/>
                <w:szCs w:val="17"/>
                <w:lang w:eastAsia="zh-TW"/>
              </w:rPr>
              <w:t>保守的相關項目在下文模版附註中披露。</w:t>
            </w:r>
          </w:p>
        </w:tc>
      </w:tr>
    </w:tbl>
    <w:p w14:paraId="3FC4505E" w14:textId="77777777" w:rsidR="00CA1B87" w:rsidRPr="00CA7301" w:rsidRDefault="00CA1B87" w:rsidP="000D4D78">
      <w:pPr>
        <w:spacing w:before="60" w:after="60" w:line="240" w:lineRule="exact"/>
        <w:ind w:leftChars="-283" w:left="-566"/>
        <w:rPr>
          <w:rFonts w:eastAsiaTheme="minorEastAsia" w:cs="Segoe UI"/>
          <w:sz w:val="22"/>
          <w:lang w:eastAsia="zh-TW"/>
        </w:rPr>
      </w:pPr>
    </w:p>
    <w:p w14:paraId="694C0501" w14:textId="4043E8D3" w:rsidR="00C91414" w:rsidRDefault="00C91414" w:rsidP="00CA1B87">
      <w:pPr>
        <w:spacing w:before="120" w:after="120"/>
        <w:ind w:leftChars="-283" w:left="-566"/>
        <w:rPr>
          <w:rFonts w:eastAsiaTheme="minorEastAsia" w:cs="Segoe UI"/>
          <w:sz w:val="22"/>
          <w:lang w:eastAsia="zh-TW"/>
        </w:rPr>
      </w:pPr>
      <w:r>
        <w:rPr>
          <w:rFonts w:eastAsiaTheme="minorEastAsia" w:cs="Segoe UI"/>
          <w:sz w:val="22"/>
          <w:lang w:eastAsia="zh-TW"/>
        </w:rPr>
        <w:br w:type="page"/>
      </w:r>
    </w:p>
    <w:p w14:paraId="69AF0A31" w14:textId="77777777" w:rsidR="00CA1B87" w:rsidRPr="00CA7301" w:rsidRDefault="00CA1B87" w:rsidP="00CA1B87">
      <w:pPr>
        <w:spacing w:before="120" w:after="120"/>
        <w:ind w:leftChars="-283" w:left="-566"/>
        <w:rPr>
          <w:rFonts w:cs="Segoe UI"/>
          <w:sz w:val="17"/>
          <w:szCs w:val="17"/>
          <w:u w:val="single"/>
        </w:rPr>
      </w:pPr>
      <w:r w:rsidRPr="00CA7301">
        <w:rPr>
          <w:rFonts w:eastAsiaTheme="minorEastAsia" w:cs="Segoe UI"/>
          <w:sz w:val="17"/>
          <w:szCs w:val="17"/>
          <w:u w:val="single"/>
          <w:lang w:eastAsia="zh-TW"/>
        </w:rPr>
        <w:t>模版附註</w:t>
      </w: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67"/>
        <w:gridCol w:w="6659"/>
        <w:gridCol w:w="994"/>
        <w:gridCol w:w="994"/>
      </w:tblGrid>
      <w:tr w:rsidR="00CA1B87" w:rsidRPr="00CA7301" w14:paraId="765255C9" w14:textId="77777777" w:rsidTr="00F62652">
        <w:trPr>
          <w:trHeight w:val="270"/>
          <w:tblHeader/>
        </w:trPr>
        <w:tc>
          <w:tcPr>
            <w:tcW w:w="567" w:type="dxa"/>
            <w:tcBorders>
              <w:top w:val="single" w:sz="6" w:space="0" w:color="auto"/>
              <w:left w:val="nil"/>
              <w:bottom w:val="single" w:sz="6" w:space="0" w:color="auto"/>
              <w:right w:val="single" w:sz="4" w:space="0" w:color="auto"/>
            </w:tcBorders>
            <w:shd w:val="clear" w:color="auto" w:fill="D9D9D9" w:themeFill="background1" w:themeFillShade="D9"/>
            <w:vAlign w:val="center"/>
          </w:tcPr>
          <w:p w14:paraId="7B26E120" w14:textId="77777777" w:rsidR="00CA1B87" w:rsidRPr="00CA7301" w:rsidRDefault="00CA1B87" w:rsidP="00CA1B87">
            <w:pPr>
              <w:snapToGrid w:val="0"/>
              <w:spacing w:before="40" w:after="40"/>
              <w:ind w:left="57"/>
              <w:rPr>
                <w:rFonts w:cs="Segoe UI"/>
                <w:b/>
                <w:sz w:val="17"/>
                <w:szCs w:val="17"/>
                <w:lang w:eastAsia="it-IT"/>
              </w:rPr>
            </w:pPr>
          </w:p>
        </w:tc>
        <w:tc>
          <w:tcPr>
            <w:tcW w:w="6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774F9" w14:textId="77777777" w:rsidR="00CA1B87" w:rsidRPr="00CA7301" w:rsidRDefault="00CA1B87" w:rsidP="00CA1B87">
            <w:pPr>
              <w:snapToGrid w:val="0"/>
              <w:spacing w:before="40" w:after="40"/>
              <w:ind w:left="57" w:rightChars="71" w:right="142"/>
              <w:rPr>
                <w:rFonts w:cs="Segoe UI"/>
                <w:b/>
                <w:sz w:val="17"/>
                <w:szCs w:val="17"/>
                <w:lang w:eastAsia="it-IT"/>
              </w:rPr>
            </w:pPr>
            <w:r w:rsidRPr="00CA7301">
              <w:rPr>
                <w:rFonts w:eastAsiaTheme="minorEastAsia" w:cs="Segoe UI"/>
                <w:b/>
                <w:sz w:val="17"/>
                <w:szCs w:val="17"/>
                <w:lang w:eastAsia="zh-TW"/>
              </w:rPr>
              <w:t>內容</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F411C" w14:textId="77777777" w:rsidR="00CA1B87" w:rsidRPr="00CA7301" w:rsidRDefault="00CA1B87" w:rsidP="00CA1B87">
            <w:pPr>
              <w:snapToGrid w:val="0"/>
              <w:spacing w:before="40" w:after="40"/>
              <w:ind w:left="4"/>
              <w:jc w:val="center"/>
              <w:rPr>
                <w:rFonts w:cs="Segoe UI"/>
                <w:b/>
                <w:sz w:val="17"/>
                <w:lang w:eastAsia="it-IT"/>
              </w:rPr>
            </w:pPr>
            <w:r w:rsidRPr="00CA7301">
              <w:rPr>
                <w:rFonts w:eastAsiaTheme="minorEastAsia" w:cs="Segoe UI"/>
                <w:b/>
                <w:sz w:val="17"/>
                <w:lang w:eastAsia="zh-TW"/>
              </w:rPr>
              <w:t>香港基準</w:t>
            </w: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1A20C" w14:textId="77777777" w:rsidR="00CA1B87" w:rsidRPr="00CA7301" w:rsidRDefault="00CA1B87" w:rsidP="00CA1B87">
            <w:pPr>
              <w:snapToGrid w:val="0"/>
              <w:spacing w:before="40" w:after="40"/>
              <w:jc w:val="center"/>
              <w:rPr>
                <w:rFonts w:cs="Segoe UI"/>
                <w:b/>
                <w:sz w:val="17"/>
                <w:lang w:eastAsia="it-IT"/>
              </w:rPr>
            </w:pPr>
            <w:r w:rsidRPr="00CA7301">
              <w:rPr>
                <w:rFonts w:eastAsiaTheme="minorEastAsia" w:cs="Segoe UI"/>
                <w:b/>
                <w:sz w:val="17"/>
                <w:lang w:eastAsia="zh-TW"/>
              </w:rPr>
              <w:t>《巴塞爾協定三》基準</w:t>
            </w:r>
          </w:p>
        </w:tc>
      </w:tr>
      <w:tr w:rsidR="00CA1B87" w:rsidRPr="00CA7301" w14:paraId="0179EAEB" w14:textId="77777777" w:rsidTr="00F62652">
        <w:trPr>
          <w:cantSplit/>
          <w:trHeight w:val="270"/>
        </w:trPr>
        <w:tc>
          <w:tcPr>
            <w:tcW w:w="567" w:type="dxa"/>
            <w:vMerge w:val="restart"/>
            <w:tcBorders>
              <w:top w:val="single" w:sz="6" w:space="0" w:color="auto"/>
              <w:left w:val="nil"/>
              <w:bottom w:val="single" w:sz="4" w:space="0" w:color="auto"/>
              <w:right w:val="single" w:sz="4" w:space="0" w:color="auto"/>
            </w:tcBorders>
            <w:shd w:val="clear" w:color="auto" w:fill="auto"/>
          </w:tcPr>
          <w:p w14:paraId="4FB1FF66" w14:textId="77777777" w:rsidR="00CA1B87" w:rsidRPr="00CA7301" w:rsidRDefault="00CA1B87" w:rsidP="00CA1B87">
            <w:pPr>
              <w:snapToGrid w:val="0"/>
              <w:spacing w:before="40" w:after="40"/>
              <w:ind w:left="57"/>
              <w:rPr>
                <w:rFonts w:cs="Segoe UI"/>
                <w:sz w:val="17"/>
                <w:szCs w:val="17"/>
                <w:lang w:eastAsia="it-IT"/>
              </w:rPr>
            </w:pPr>
            <w:r w:rsidRPr="00CA7301">
              <w:rPr>
                <w:rFonts w:cs="Segoe UI"/>
                <w:sz w:val="17"/>
                <w:szCs w:val="17"/>
                <w:lang w:eastAsia="it-IT"/>
              </w:rPr>
              <w:t>9</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A9FBDCC" w14:textId="77777777" w:rsidR="00CA1B87" w:rsidRPr="00CA7301" w:rsidRDefault="00CA1B87" w:rsidP="00CA1B87">
            <w:pPr>
              <w:snapToGrid w:val="0"/>
              <w:spacing w:before="40" w:after="40"/>
              <w:ind w:left="57"/>
              <w:rPr>
                <w:rFonts w:cs="Segoe UI"/>
                <w:b/>
                <w:sz w:val="17"/>
                <w:szCs w:val="17"/>
                <w:lang w:eastAsia="it-IT"/>
              </w:rPr>
            </w:pPr>
            <w:r w:rsidRPr="00CA7301">
              <w:rPr>
                <w:rFonts w:eastAsia="細明體" w:cs="Segoe UI"/>
                <w:b/>
                <w:sz w:val="17"/>
                <w:szCs w:val="17"/>
                <w:lang w:eastAsia="it-IT"/>
              </w:rPr>
              <w:t>其他無形資產（已扣除相聯的遞延稅項負債）</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141D4" w14:textId="77777777" w:rsidR="00CA1B87" w:rsidRPr="00CA7301" w:rsidRDefault="00CA1B87" w:rsidP="00CA1B87">
            <w:pPr>
              <w:snapToGrid w:val="0"/>
              <w:spacing w:before="40" w:after="40"/>
              <w:ind w:left="57"/>
              <w:rPr>
                <w:rFonts w:cs="Segoe UI"/>
                <w:sz w:val="17"/>
                <w:szCs w:val="17"/>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8752A2" w14:textId="77777777" w:rsidR="00CA1B87" w:rsidRPr="00CA7301" w:rsidRDefault="00CA1B87" w:rsidP="00CA1B87">
            <w:pPr>
              <w:snapToGrid w:val="0"/>
              <w:spacing w:before="40" w:after="40"/>
              <w:ind w:left="57"/>
              <w:rPr>
                <w:rFonts w:cs="Segoe UI"/>
                <w:sz w:val="17"/>
                <w:szCs w:val="17"/>
                <w:lang w:eastAsia="it-IT"/>
              </w:rPr>
            </w:pPr>
          </w:p>
        </w:tc>
      </w:tr>
      <w:tr w:rsidR="00CA1B87" w:rsidRPr="00CA7301" w14:paraId="3E847286" w14:textId="77777777" w:rsidTr="00F62652">
        <w:trPr>
          <w:cantSplit/>
          <w:trHeight w:val="270"/>
        </w:trPr>
        <w:tc>
          <w:tcPr>
            <w:tcW w:w="567" w:type="dxa"/>
            <w:vMerge/>
            <w:tcBorders>
              <w:top w:val="single" w:sz="6" w:space="0" w:color="BCBDBC"/>
              <w:left w:val="nil"/>
              <w:bottom w:val="single" w:sz="4" w:space="0" w:color="auto"/>
              <w:right w:val="single" w:sz="4" w:space="0" w:color="auto"/>
            </w:tcBorders>
            <w:shd w:val="clear" w:color="auto" w:fill="auto"/>
          </w:tcPr>
          <w:p w14:paraId="3D35F996" w14:textId="77777777" w:rsidR="00CA1B87" w:rsidRPr="00CA7301" w:rsidRDefault="00CA1B87" w:rsidP="00CA1B87">
            <w:pPr>
              <w:snapToGrid w:val="0"/>
              <w:spacing w:before="40" w:after="40"/>
              <w:ind w:left="57"/>
              <w:rPr>
                <w:rFonts w:cs="Segoe UI"/>
                <w:sz w:val="17"/>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AB4BC85" w14:textId="77777777" w:rsidR="00CA1B87" w:rsidRPr="00CA7301" w:rsidRDefault="00CA1B87" w:rsidP="00CA1B87">
            <w:pPr>
              <w:snapToGrid w:val="0"/>
              <w:spacing w:before="40" w:after="40"/>
              <w:ind w:left="57" w:rightChars="71" w:right="142"/>
              <w:jc w:val="both"/>
              <w:rPr>
                <w:rFonts w:cs="Segoe UI"/>
                <w:sz w:val="17"/>
                <w:szCs w:val="17"/>
                <w:u w:val="single"/>
                <w:lang w:eastAsia="it-IT"/>
              </w:rPr>
            </w:pPr>
            <w:r w:rsidRPr="00CA7301">
              <w:rPr>
                <w:rFonts w:eastAsiaTheme="minorEastAsia" w:cs="Segoe UI"/>
                <w:sz w:val="17"/>
                <w:u w:val="single"/>
                <w:lang w:eastAsia="zh-TW"/>
              </w:rPr>
              <w:t>解釋</w:t>
            </w:r>
          </w:p>
          <w:p w14:paraId="62B11521" w14:textId="77777777" w:rsidR="00CA1B87" w:rsidRPr="00CA7301" w:rsidRDefault="00CA1B87" w:rsidP="00CA1B87">
            <w:pPr>
              <w:snapToGrid w:val="0"/>
              <w:spacing w:before="40" w:after="40"/>
              <w:ind w:left="57" w:rightChars="71" w:right="142"/>
              <w:jc w:val="both"/>
              <w:rPr>
                <w:rFonts w:cs="Segoe UI"/>
                <w:sz w:val="17"/>
                <w:lang w:eastAsia="it-IT"/>
              </w:rPr>
            </w:pPr>
            <w:r w:rsidRPr="00CA7301">
              <w:rPr>
                <w:rFonts w:eastAsia="新細明體" w:cs="Segoe UI"/>
                <w:sz w:val="17"/>
                <w:szCs w:val="17"/>
                <w:lang w:eastAsia="it-IT"/>
              </w:rPr>
              <w:t>正如巴塞爾委員會發出的《巴塞爾協定三》文本（</w:t>
            </w:r>
            <w:r w:rsidRPr="00CA7301">
              <w:rPr>
                <w:rFonts w:eastAsia="新細明體" w:cs="Segoe UI"/>
                <w:sz w:val="17"/>
                <w:szCs w:val="17"/>
                <w:lang w:eastAsia="it-IT"/>
              </w:rPr>
              <w:t>2010</w:t>
            </w:r>
            <w:r w:rsidRPr="00CA7301">
              <w:rPr>
                <w:rFonts w:eastAsia="新細明體" w:cs="Segoe UI"/>
                <w:sz w:val="17"/>
                <w:szCs w:val="17"/>
                <w:lang w:eastAsia="it-IT"/>
              </w:rPr>
              <w:t>年</w:t>
            </w:r>
            <w:r w:rsidRPr="00CA7301">
              <w:rPr>
                <w:rFonts w:eastAsia="新細明體" w:cs="Segoe UI"/>
                <w:sz w:val="17"/>
                <w:szCs w:val="17"/>
                <w:lang w:eastAsia="it-IT"/>
              </w:rPr>
              <w:t>12</w:t>
            </w:r>
            <w:r w:rsidRPr="00CA7301">
              <w:rPr>
                <w:rFonts w:eastAsia="新細明體" w:cs="Segoe UI"/>
                <w:sz w:val="17"/>
                <w:szCs w:val="17"/>
                <w:lang w:eastAsia="it-IT"/>
              </w:rPr>
              <w:t>月）第</w:t>
            </w:r>
            <w:r w:rsidRPr="00CA7301">
              <w:rPr>
                <w:rFonts w:eastAsia="新細明體" w:cs="Segoe UI"/>
                <w:sz w:val="17"/>
                <w:szCs w:val="17"/>
                <w:lang w:eastAsia="it-IT"/>
              </w:rPr>
              <w:t>87</w:t>
            </w:r>
            <w:r w:rsidRPr="00CA7301">
              <w:rPr>
                <w:rFonts w:eastAsia="新細明體" w:cs="Segoe UI"/>
                <w:sz w:val="17"/>
                <w:szCs w:val="17"/>
                <w:lang w:eastAsia="it-IT"/>
              </w:rPr>
              <w:t>段所列載，按揭供款管理權可在</w:t>
            </w:r>
            <w:r w:rsidRPr="00CA7301">
              <w:rPr>
                <w:rFonts w:eastAsia="新細明體" w:cs="Segoe UI"/>
                <w:sz w:val="17"/>
                <w:szCs w:val="17"/>
                <w:lang w:eastAsia="it-IT"/>
              </w:rPr>
              <w:t>CET1</w:t>
            </w:r>
            <w:r w:rsidRPr="00CA7301">
              <w:rPr>
                <w:rFonts w:eastAsia="新細明體" w:cs="Segoe UI"/>
                <w:sz w:val="17"/>
                <w:szCs w:val="17"/>
                <w:lang w:eastAsia="it-IT"/>
              </w:rPr>
              <w:t>資本內予以有限度確認（並因此可從</w:t>
            </w:r>
            <w:r w:rsidRPr="00CA7301">
              <w:rPr>
                <w:rFonts w:eastAsia="新細明體" w:cs="Segoe UI"/>
                <w:sz w:val="17"/>
                <w:szCs w:val="17"/>
                <w:lang w:eastAsia="it-IT"/>
              </w:rPr>
              <w:t>CET1</w:t>
            </w:r>
            <w:r w:rsidRPr="00CA7301">
              <w:rPr>
                <w:rFonts w:eastAsia="新細明體" w:cs="Segoe UI"/>
                <w:sz w:val="17"/>
                <w:szCs w:val="17"/>
                <w:lang w:eastAsia="it-IT"/>
              </w:rPr>
              <w:t>資本的扣減中被豁除，但以指定門檻為限）。在香港，認可機構須遵循有關的會計處理方法，將按揭供款管理權列為在其財務報表所呈報的無形資產的一部分，並從</w:t>
            </w:r>
            <w:r w:rsidRPr="00CA7301">
              <w:rPr>
                <w:rFonts w:eastAsia="新細明體" w:cs="Segoe UI"/>
                <w:sz w:val="17"/>
                <w:szCs w:val="17"/>
                <w:lang w:eastAsia="it-IT"/>
              </w:rPr>
              <w:t>CET1</w:t>
            </w:r>
            <w:r w:rsidRPr="00CA7301">
              <w:rPr>
                <w:rFonts w:eastAsia="新細明體" w:cs="Segoe UI"/>
                <w:sz w:val="17"/>
                <w:szCs w:val="17"/>
                <w:lang w:eastAsia="it-IT"/>
              </w:rPr>
              <w:t>資本中全數扣減按揭供款管理權。因此，在</w:t>
            </w:r>
            <w:r w:rsidRPr="00CA7301">
              <w:rPr>
                <w:rFonts w:eastAsia="新細明體" w:cs="Segoe UI"/>
                <w:sz w:val="17"/>
                <w:szCs w:val="17"/>
                <w:lang w:eastAsia="zh-TW"/>
              </w:rPr>
              <w:t>第</w:t>
            </w:r>
            <w:r w:rsidRPr="00CA7301">
              <w:rPr>
                <w:rFonts w:eastAsia="新細明體" w:cs="Segoe UI"/>
                <w:sz w:val="17"/>
                <w:szCs w:val="17"/>
                <w:lang w:eastAsia="zh-TW"/>
              </w:rPr>
              <w:t>9</w:t>
            </w:r>
            <w:r w:rsidRPr="00CA7301">
              <w:rPr>
                <w:rFonts w:eastAsia="新細明體" w:cs="Segoe UI"/>
                <w:sz w:val="17"/>
                <w:szCs w:val="17"/>
                <w:lang w:eastAsia="zh-TW"/>
              </w:rPr>
              <w:t>行</w:t>
            </w:r>
            <w:r w:rsidRPr="00CA7301">
              <w:rPr>
                <w:rFonts w:eastAsia="新細明體" w:cs="Segoe UI"/>
                <w:sz w:val="17"/>
                <w:szCs w:val="17"/>
                <w:lang w:eastAsia="it-IT"/>
              </w:rPr>
              <w:t>所填報須</w:t>
            </w:r>
            <w:r w:rsidRPr="00CA7301">
              <w:rPr>
                <w:rFonts w:eastAsia="新細明體" w:cs="Segoe UI"/>
                <w:sz w:val="17"/>
                <w:szCs w:val="17"/>
                <w:lang w:eastAsia="zh-TW"/>
              </w:rPr>
              <w:t>予</w:t>
            </w:r>
            <w:r w:rsidRPr="00CA7301">
              <w:rPr>
                <w:rFonts w:eastAsia="新細明體" w:cs="Segoe UI"/>
                <w:sz w:val="17"/>
                <w:szCs w:val="17"/>
                <w:lang w:eastAsia="it-IT"/>
              </w:rPr>
              <w:t>扣減的數額可能會高於《巴塞爾協定三》規定須扣減的數額。在本格</w:t>
            </w:r>
            <w:r w:rsidRPr="00CA7301">
              <w:rPr>
                <w:rFonts w:eastAsia="新細明體" w:cs="Segoe UI"/>
                <w:sz w:val="17"/>
                <w:szCs w:val="17"/>
                <w:lang w:eastAsia="zh-TW"/>
              </w:rPr>
              <w:t>內</w:t>
            </w:r>
            <w:r w:rsidRPr="00CA7301">
              <w:rPr>
                <w:rFonts w:eastAsia="新細明體" w:cs="Segoe UI"/>
                <w:sz w:val="17"/>
                <w:szCs w:val="17"/>
                <w:lang w:eastAsia="it-IT"/>
              </w:rPr>
              <w:t>的「《巴塞爾協定三》基準」項下</w:t>
            </w:r>
            <w:r w:rsidRPr="00CA7301">
              <w:rPr>
                <w:rFonts w:eastAsia="新細明體" w:cs="Segoe UI"/>
                <w:sz w:val="17"/>
                <w:szCs w:val="17"/>
                <w:lang w:eastAsia="zh-TW"/>
              </w:rPr>
              <w:t>匯</w:t>
            </w:r>
            <w:r w:rsidRPr="00CA7301">
              <w:rPr>
                <w:rFonts w:eastAsia="新細明體" w:cs="Segoe UI"/>
                <w:sz w:val="17"/>
                <w:szCs w:val="17"/>
                <w:lang w:eastAsia="it-IT"/>
              </w:rPr>
              <w:t>報的數額為經調整的在</w:t>
            </w:r>
            <w:r w:rsidRPr="00CA7301">
              <w:rPr>
                <w:rFonts w:eastAsia="新細明體" w:cs="Segoe UI"/>
                <w:sz w:val="17"/>
                <w:szCs w:val="17"/>
                <w:lang w:eastAsia="zh-TW"/>
              </w:rPr>
              <w:t>第</w:t>
            </w:r>
            <w:r w:rsidRPr="00CA7301">
              <w:rPr>
                <w:rFonts w:eastAsia="新細明體" w:cs="Segoe UI"/>
                <w:sz w:val="17"/>
                <w:szCs w:val="17"/>
                <w:lang w:eastAsia="it-IT"/>
              </w:rPr>
              <w:t>9</w:t>
            </w:r>
            <w:r w:rsidRPr="00CA7301">
              <w:rPr>
                <w:rFonts w:eastAsia="新細明體" w:cs="Segoe UI"/>
                <w:sz w:val="17"/>
                <w:szCs w:val="17"/>
                <w:lang w:eastAsia="zh-TW"/>
              </w:rPr>
              <w:t>行</w:t>
            </w:r>
            <w:r w:rsidRPr="00CA7301">
              <w:rPr>
                <w:rFonts w:eastAsia="新細明體" w:cs="Segoe UI"/>
                <w:sz w:val="17"/>
                <w:szCs w:val="17"/>
                <w:lang w:eastAsia="it-IT"/>
              </w:rPr>
              <w:t>所</w:t>
            </w:r>
            <w:r w:rsidRPr="00CA7301">
              <w:rPr>
                <w:rFonts w:eastAsia="新細明體" w:cs="Segoe UI"/>
                <w:sz w:val="17"/>
                <w:szCs w:val="17"/>
                <w:lang w:eastAsia="zh-TW"/>
              </w:rPr>
              <w:t>匯</w:t>
            </w:r>
            <w:r w:rsidRPr="00CA7301">
              <w:rPr>
                <w:rFonts w:eastAsia="新細明體" w:cs="Segoe UI"/>
                <w:sz w:val="17"/>
                <w:szCs w:val="17"/>
                <w:lang w:eastAsia="it-IT"/>
              </w:rPr>
              <w:t>報的數額（即在「香港基準」項下</w:t>
            </w:r>
            <w:r w:rsidRPr="00CA7301">
              <w:rPr>
                <w:rFonts w:eastAsia="新細明體" w:cs="Segoe UI"/>
                <w:sz w:val="17"/>
                <w:szCs w:val="17"/>
                <w:lang w:eastAsia="zh-TW"/>
              </w:rPr>
              <w:t>填</w:t>
            </w:r>
            <w:r w:rsidRPr="00CA7301">
              <w:rPr>
                <w:rFonts w:eastAsia="新細明體" w:cs="Segoe UI"/>
                <w:sz w:val="17"/>
                <w:szCs w:val="17"/>
                <w:lang w:eastAsia="it-IT"/>
              </w:rPr>
              <w:t>報的數額），而調整方法是按須扣減的按揭供款管理權數額予以下調，並以不超過在《巴塞爾協定三》下就按揭供款管理權所定的</w:t>
            </w:r>
            <w:r w:rsidRPr="00CA7301">
              <w:rPr>
                <w:rFonts w:eastAsia="新細明體" w:cs="Segoe UI"/>
                <w:sz w:val="17"/>
                <w:szCs w:val="17"/>
                <w:lang w:eastAsia="it-IT"/>
              </w:rPr>
              <w:t>10%</w:t>
            </w:r>
            <w:r w:rsidRPr="00CA7301">
              <w:rPr>
                <w:rFonts w:eastAsia="新細明體" w:cs="Segoe UI"/>
                <w:sz w:val="17"/>
                <w:szCs w:val="17"/>
                <w:lang w:eastAsia="it-IT"/>
              </w:rPr>
              <w:t>門檻及就按揭供款管理權、由暫時性差異所產生的遞延稅項資產與於金融業實體發行的</w:t>
            </w:r>
            <w:r w:rsidRPr="00CA7301">
              <w:rPr>
                <w:rFonts w:eastAsia="新細明體" w:cs="Segoe UI"/>
                <w:sz w:val="17"/>
                <w:szCs w:val="17"/>
                <w:lang w:eastAsia="it-IT"/>
              </w:rPr>
              <w:t>CET1</w:t>
            </w:r>
            <w:r w:rsidRPr="00CA7301">
              <w:rPr>
                <w:rFonts w:eastAsia="新細明體" w:cs="Segoe UI"/>
                <w:sz w:val="17"/>
                <w:szCs w:val="17"/>
                <w:lang w:eastAsia="it-IT"/>
              </w:rPr>
              <w:t>資本票據的重大投資（不包括屬對有連繫公司的貸款、融通或其他信用風險承擔的投資）所定的</w:t>
            </w:r>
            <w:r w:rsidRPr="00CA7301">
              <w:rPr>
                <w:rFonts w:eastAsia="新細明體" w:cs="Segoe UI"/>
                <w:sz w:val="17"/>
                <w:szCs w:val="17"/>
                <w:lang w:eastAsia="it-IT"/>
              </w:rPr>
              <w:t>15%</w:t>
            </w:r>
            <w:r w:rsidRPr="00CA7301">
              <w:rPr>
                <w:rFonts w:eastAsia="新細明體" w:cs="Segoe UI"/>
                <w:sz w:val="17"/>
                <w:szCs w:val="17"/>
                <w:lang w:eastAsia="it-IT"/>
              </w:rPr>
              <w:t>整體門檻為限。</w:t>
            </w:r>
          </w:p>
        </w:tc>
      </w:tr>
      <w:tr w:rsidR="00CA1B87" w:rsidRPr="00CA7301" w14:paraId="369AAC0D" w14:textId="77777777" w:rsidTr="00F62652">
        <w:trPr>
          <w:cantSplit/>
          <w:trHeight w:val="270"/>
        </w:trPr>
        <w:tc>
          <w:tcPr>
            <w:tcW w:w="567" w:type="dxa"/>
            <w:vMerge w:val="restart"/>
            <w:tcBorders>
              <w:top w:val="single" w:sz="4" w:space="0" w:color="auto"/>
              <w:left w:val="nil"/>
              <w:right w:val="single" w:sz="4" w:space="0" w:color="auto"/>
            </w:tcBorders>
            <w:shd w:val="clear" w:color="auto" w:fill="auto"/>
          </w:tcPr>
          <w:p w14:paraId="7A2A48DB" w14:textId="77777777" w:rsidR="00CA1B87" w:rsidRPr="00CA7301" w:rsidRDefault="00CA1B87" w:rsidP="00CA1B87">
            <w:pPr>
              <w:snapToGrid w:val="0"/>
              <w:spacing w:before="40" w:after="40"/>
              <w:ind w:left="57"/>
              <w:rPr>
                <w:rFonts w:cs="Segoe UI"/>
                <w:sz w:val="17"/>
                <w:szCs w:val="17"/>
                <w:lang w:eastAsia="it-IT"/>
              </w:rPr>
            </w:pPr>
            <w:r w:rsidRPr="00CA7301">
              <w:rPr>
                <w:rFonts w:eastAsiaTheme="minorEastAsia" w:cs="Segoe UI"/>
                <w:sz w:val="17"/>
                <w:szCs w:val="17"/>
                <w:lang w:eastAsia="zh-TW"/>
              </w:rPr>
              <w:t>10</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39F304" w14:textId="77777777" w:rsidR="00CA1B87" w:rsidRPr="00CA7301" w:rsidRDefault="00CA1B87" w:rsidP="00CA1B87">
            <w:pPr>
              <w:snapToGrid w:val="0"/>
              <w:spacing w:before="40" w:after="40"/>
              <w:ind w:left="57" w:rightChars="71" w:right="142"/>
              <w:rPr>
                <w:rFonts w:eastAsia="新細明體" w:cs="Segoe UI"/>
                <w:b/>
                <w:sz w:val="17"/>
                <w:szCs w:val="17"/>
                <w:highlight w:val="cyan"/>
                <w:lang w:eastAsia="it-IT"/>
              </w:rPr>
            </w:pPr>
            <w:r w:rsidRPr="00CA7301">
              <w:rPr>
                <w:rFonts w:eastAsia="新細明體" w:cs="Segoe UI"/>
                <w:b/>
                <w:sz w:val="17"/>
                <w:szCs w:val="17"/>
                <w:lang w:eastAsia="it-IT"/>
              </w:rPr>
              <w:t>遞延稅項資產（已扣除相聯的遞延稅項負債）</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2CCB3A" w14:textId="77777777" w:rsidR="00CA1B87" w:rsidRPr="00CA7301" w:rsidRDefault="00CA1B87" w:rsidP="00CA1B87">
            <w:pPr>
              <w:snapToGrid w:val="0"/>
              <w:spacing w:before="40" w:after="40"/>
              <w:ind w:left="57"/>
              <w:jc w:val="center"/>
              <w:rPr>
                <w:rFonts w:cs="Segoe UI"/>
                <w:sz w:val="17"/>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7D43B1" w14:textId="77777777" w:rsidR="00CA1B87" w:rsidRPr="00CA7301" w:rsidRDefault="00CA1B87" w:rsidP="00CA1B87">
            <w:pPr>
              <w:snapToGrid w:val="0"/>
              <w:spacing w:before="40" w:after="40"/>
              <w:jc w:val="center"/>
              <w:rPr>
                <w:rFonts w:cs="Segoe UI"/>
                <w:sz w:val="17"/>
                <w:lang w:eastAsia="it-IT"/>
              </w:rPr>
            </w:pPr>
          </w:p>
        </w:tc>
      </w:tr>
      <w:tr w:rsidR="00CA1B87" w:rsidRPr="00CA7301" w14:paraId="75D6CC79" w14:textId="77777777" w:rsidTr="00F62652">
        <w:trPr>
          <w:cantSplit/>
          <w:trHeight w:val="270"/>
        </w:trPr>
        <w:tc>
          <w:tcPr>
            <w:tcW w:w="567" w:type="dxa"/>
            <w:vMerge/>
            <w:tcBorders>
              <w:left w:val="nil"/>
              <w:bottom w:val="single" w:sz="4" w:space="0" w:color="auto"/>
              <w:right w:val="single" w:sz="4" w:space="0" w:color="auto"/>
            </w:tcBorders>
            <w:shd w:val="clear" w:color="auto" w:fill="auto"/>
          </w:tcPr>
          <w:p w14:paraId="66C744E3" w14:textId="77777777" w:rsidR="00CA1B87" w:rsidRPr="00CA7301" w:rsidRDefault="00CA1B87" w:rsidP="00CA1B87">
            <w:pPr>
              <w:snapToGrid w:val="0"/>
              <w:spacing w:before="40" w:after="40"/>
              <w:ind w:left="57"/>
              <w:rPr>
                <w:rFonts w:cs="Segoe UI"/>
                <w:sz w:val="17"/>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05AAB453" w14:textId="77777777" w:rsidR="00CA1B87" w:rsidRPr="00CA7301" w:rsidRDefault="00CA1B87" w:rsidP="00CA1B87">
            <w:pPr>
              <w:snapToGrid w:val="0"/>
              <w:spacing w:before="40" w:after="40"/>
              <w:ind w:left="57" w:rightChars="71" w:right="142"/>
              <w:jc w:val="both"/>
              <w:rPr>
                <w:rFonts w:eastAsia="新細明體" w:cs="Segoe UI"/>
                <w:sz w:val="17"/>
                <w:szCs w:val="17"/>
                <w:u w:val="single"/>
                <w:lang w:eastAsia="it-IT"/>
              </w:rPr>
            </w:pPr>
            <w:r w:rsidRPr="00CA7301">
              <w:rPr>
                <w:rFonts w:eastAsia="新細明體" w:cs="Segoe UI"/>
                <w:sz w:val="17"/>
                <w:szCs w:val="17"/>
                <w:u w:val="single"/>
                <w:lang w:eastAsia="it-IT"/>
              </w:rPr>
              <w:t>解釋</w:t>
            </w:r>
          </w:p>
          <w:p w14:paraId="00D4914C" w14:textId="77777777" w:rsidR="00CA1B87" w:rsidRPr="00CA7301" w:rsidRDefault="00CA1B87" w:rsidP="00CA1B87">
            <w:pPr>
              <w:snapToGrid w:val="0"/>
              <w:spacing w:before="40" w:after="40"/>
              <w:ind w:left="57" w:rightChars="71" w:right="142"/>
              <w:jc w:val="both"/>
              <w:rPr>
                <w:rFonts w:eastAsia="新細明體" w:cs="Segoe UI"/>
                <w:sz w:val="17"/>
                <w:szCs w:val="17"/>
                <w:lang w:eastAsia="it-IT"/>
              </w:rPr>
            </w:pPr>
            <w:r w:rsidRPr="00CA7301">
              <w:rPr>
                <w:rFonts w:eastAsia="新細明體" w:cs="Segoe UI"/>
                <w:sz w:val="17"/>
                <w:szCs w:val="17"/>
                <w:lang w:eastAsia="it-IT"/>
              </w:rPr>
              <w:t>正如巴塞爾委員會發出的《巴塞爾協定三》文本（</w:t>
            </w:r>
            <w:r w:rsidRPr="00CA7301">
              <w:rPr>
                <w:rFonts w:eastAsia="新細明體" w:cs="Segoe UI"/>
                <w:sz w:val="17"/>
                <w:szCs w:val="17"/>
                <w:lang w:eastAsia="it-IT"/>
              </w:rPr>
              <w:t>2010</w:t>
            </w:r>
            <w:r w:rsidRPr="00CA7301">
              <w:rPr>
                <w:rFonts w:eastAsia="新細明體" w:cs="Segoe UI"/>
                <w:sz w:val="17"/>
                <w:szCs w:val="17"/>
                <w:lang w:eastAsia="it-IT"/>
              </w:rPr>
              <w:t>年</w:t>
            </w:r>
            <w:r w:rsidRPr="00CA7301">
              <w:rPr>
                <w:rFonts w:eastAsia="新細明體" w:cs="Segoe UI"/>
                <w:sz w:val="17"/>
                <w:szCs w:val="17"/>
                <w:lang w:eastAsia="it-IT"/>
              </w:rPr>
              <w:t>12</w:t>
            </w:r>
            <w:r w:rsidRPr="00CA7301">
              <w:rPr>
                <w:rFonts w:eastAsia="新細明體" w:cs="Segoe UI"/>
                <w:sz w:val="17"/>
                <w:szCs w:val="17"/>
                <w:lang w:eastAsia="it-IT"/>
              </w:rPr>
              <w:t>月）第</w:t>
            </w:r>
            <w:r w:rsidRPr="00CA7301">
              <w:rPr>
                <w:rFonts w:eastAsia="新細明體" w:cs="Segoe UI"/>
                <w:sz w:val="17"/>
                <w:szCs w:val="17"/>
                <w:lang w:eastAsia="it-IT"/>
              </w:rPr>
              <w:t>69</w:t>
            </w:r>
            <w:r w:rsidRPr="00CA7301">
              <w:rPr>
                <w:rFonts w:eastAsia="新細明體" w:cs="Segoe UI"/>
                <w:sz w:val="17"/>
                <w:szCs w:val="17"/>
                <w:lang w:eastAsia="it-IT"/>
              </w:rPr>
              <w:t>及</w:t>
            </w:r>
            <w:r w:rsidRPr="00CA7301">
              <w:rPr>
                <w:rFonts w:eastAsia="新細明體" w:cs="Segoe UI"/>
                <w:sz w:val="17"/>
                <w:szCs w:val="17"/>
                <w:lang w:eastAsia="it-IT"/>
              </w:rPr>
              <w:t>87</w:t>
            </w:r>
            <w:r w:rsidRPr="00CA7301">
              <w:rPr>
                <w:rFonts w:eastAsia="新細明體" w:cs="Segoe UI"/>
                <w:sz w:val="17"/>
                <w:szCs w:val="17"/>
                <w:lang w:eastAsia="it-IT"/>
              </w:rPr>
              <w:t>段所列載，視乎銀行予以實現的遞延稅項資產須予扣減，而與暫時性差異有關的遞延稅項資產則可</w:t>
            </w:r>
            <w:r w:rsidRPr="00CA7301">
              <w:rPr>
                <w:rFonts w:eastAsia="新細明體" w:cs="Segoe UI"/>
                <w:sz w:val="17"/>
                <w:szCs w:val="17"/>
                <w:lang w:eastAsia="zh-TW"/>
              </w:rPr>
              <w:t>在</w:t>
            </w:r>
            <w:r w:rsidRPr="00CA7301">
              <w:rPr>
                <w:rFonts w:eastAsia="新細明體" w:cs="Segoe UI"/>
                <w:sz w:val="17"/>
                <w:szCs w:val="17"/>
                <w:lang w:eastAsia="it-IT"/>
              </w:rPr>
              <w:t>CET1</w:t>
            </w:r>
            <w:r w:rsidRPr="00CA7301">
              <w:rPr>
                <w:rFonts w:eastAsia="新細明體" w:cs="Segoe UI"/>
                <w:sz w:val="17"/>
                <w:szCs w:val="17"/>
                <w:lang w:eastAsia="it-IT"/>
              </w:rPr>
              <w:t>資本內予以有限度確認（並因此可從</w:t>
            </w:r>
            <w:r w:rsidRPr="00CA7301">
              <w:rPr>
                <w:rFonts w:eastAsia="新細明體" w:cs="Segoe UI"/>
                <w:sz w:val="17"/>
                <w:szCs w:val="17"/>
                <w:lang w:eastAsia="it-IT"/>
              </w:rPr>
              <w:t>CET1</w:t>
            </w:r>
            <w:r w:rsidRPr="00CA7301">
              <w:rPr>
                <w:rFonts w:eastAsia="新細明體" w:cs="Segoe UI"/>
                <w:sz w:val="17"/>
                <w:szCs w:val="17"/>
                <w:lang w:eastAsia="it-IT"/>
              </w:rPr>
              <w:t>資本的扣減中被豁除，但以指定門檻為限）。在香港，不論有關資產的來源，認可機構須從</w:t>
            </w:r>
            <w:r w:rsidRPr="00CA7301">
              <w:rPr>
                <w:rFonts w:eastAsia="新細明體" w:cs="Segoe UI"/>
                <w:sz w:val="17"/>
                <w:szCs w:val="17"/>
                <w:lang w:eastAsia="it-IT"/>
              </w:rPr>
              <w:t>CET1</w:t>
            </w:r>
            <w:r w:rsidRPr="00CA7301">
              <w:rPr>
                <w:rFonts w:eastAsia="新細明體" w:cs="Segoe UI"/>
                <w:sz w:val="17"/>
                <w:szCs w:val="17"/>
                <w:lang w:eastAsia="it-IT"/>
              </w:rPr>
              <w:t>資本中全數扣減所有遞延稅項資產。因此，在</w:t>
            </w:r>
            <w:r w:rsidRPr="00CA7301">
              <w:rPr>
                <w:rFonts w:eastAsia="新細明體" w:cs="Segoe UI"/>
                <w:sz w:val="17"/>
                <w:szCs w:val="17"/>
                <w:lang w:eastAsia="zh-TW"/>
              </w:rPr>
              <w:t>第</w:t>
            </w:r>
            <w:r w:rsidRPr="00CA7301">
              <w:rPr>
                <w:rFonts w:eastAsia="新細明體" w:cs="Segoe UI"/>
                <w:sz w:val="17"/>
                <w:szCs w:val="17"/>
                <w:lang w:eastAsia="it-IT"/>
              </w:rPr>
              <w:t>10</w:t>
            </w:r>
            <w:r w:rsidRPr="00CA7301">
              <w:rPr>
                <w:rFonts w:eastAsia="新細明體" w:cs="Segoe UI"/>
                <w:sz w:val="17"/>
                <w:szCs w:val="17"/>
                <w:lang w:eastAsia="zh-TW"/>
              </w:rPr>
              <w:t>行</w:t>
            </w:r>
            <w:r w:rsidRPr="00CA7301">
              <w:rPr>
                <w:rFonts w:eastAsia="新細明體" w:cs="Segoe UI"/>
                <w:sz w:val="17"/>
                <w:szCs w:val="17"/>
                <w:lang w:eastAsia="it-IT"/>
              </w:rPr>
              <w:t>所填報須</w:t>
            </w:r>
            <w:r w:rsidRPr="00CA7301">
              <w:rPr>
                <w:rFonts w:eastAsia="新細明體" w:cs="Segoe UI"/>
                <w:sz w:val="17"/>
                <w:szCs w:val="17"/>
                <w:lang w:eastAsia="zh-TW"/>
              </w:rPr>
              <w:t>予</w:t>
            </w:r>
            <w:r w:rsidRPr="00CA7301">
              <w:rPr>
                <w:rFonts w:eastAsia="新細明體" w:cs="Segoe UI"/>
                <w:sz w:val="17"/>
                <w:szCs w:val="17"/>
                <w:lang w:eastAsia="it-IT"/>
              </w:rPr>
              <w:t>扣減的數額可能會高於《巴塞爾協定三》規定須扣減的數額。在本格</w:t>
            </w:r>
            <w:r w:rsidRPr="00CA7301">
              <w:rPr>
                <w:rFonts w:eastAsia="新細明體" w:cs="Segoe UI"/>
                <w:sz w:val="17"/>
                <w:szCs w:val="17"/>
                <w:lang w:eastAsia="zh-TW"/>
              </w:rPr>
              <w:t>內</w:t>
            </w:r>
            <w:r w:rsidRPr="00CA7301">
              <w:rPr>
                <w:rFonts w:eastAsia="新細明體" w:cs="Segoe UI"/>
                <w:sz w:val="17"/>
                <w:szCs w:val="17"/>
                <w:lang w:eastAsia="it-IT"/>
              </w:rPr>
              <w:t>的「《巴塞爾協定三》基準」項下</w:t>
            </w:r>
            <w:r w:rsidRPr="00CA7301">
              <w:rPr>
                <w:rFonts w:eastAsia="新細明體" w:cs="Segoe UI"/>
                <w:sz w:val="17"/>
                <w:szCs w:val="17"/>
                <w:lang w:eastAsia="zh-TW"/>
              </w:rPr>
              <w:t>匯</w:t>
            </w:r>
            <w:r w:rsidRPr="00CA7301">
              <w:rPr>
                <w:rFonts w:eastAsia="新細明體" w:cs="Segoe UI"/>
                <w:sz w:val="17"/>
                <w:szCs w:val="17"/>
                <w:lang w:eastAsia="it-IT"/>
              </w:rPr>
              <w:t>報的數額為經調整的在</w:t>
            </w:r>
            <w:r w:rsidRPr="00CA7301">
              <w:rPr>
                <w:rFonts w:eastAsia="新細明體" w:cs="Segoe UI"/>
                <w:sz w:val="17"/>
                <w:szCs w:val="17"/>
                <w:lang w:eastAsia="zh-TW"/>
              </w:rPr>
              <w:t>第</w:t>
            </w:r>
            <w:r w:rsidRPr="00CA7301">
              <w:rPr>
                <w:rFonts w:eastAsia="新細明體" w:cs="Segoe UI"/>
                <w:sz w:val="17"/>
                <w:szCs w:val="17"/>
                <w:lang w:eastAsia="it-IT"/>
              </w:rPr>
              <w:t>10</w:t>
            </w:r>
            <w:r w:rsidRPr="00CA7301">
              <w:rPr>
                <w:rFonts w:eastAsia="新細明體" w:cs="Segoe UI"/>
                <w:sz w:val="17"/>
                <w:szCs w:val="17"/>
                <w:lang w:eastAsia="zh-TW"/>
              </w:rPr>
              <w:t>行</w:t>
            </w:r>
            <w:r w:rsidRPr="00CA7301">
              <w:rPr>
                <w:rFonts w:eastAsia="新細明體" w:cs="Segoe UI"/>
                <w:sz w:val="17"/>
                <w:szCs w:val="17"/>
                <w:lang w:eastAsia="it-IT"/>
              </w:rPr>
              <w:t>所</w:t>
            </w:r>
            <w:r w:rsidRPr="00CA7301">
              <w:rPr>
                <w:rFonts w:eastAsia="新細明體" w:cs="Segoe UI"/>
                <w:sz w:val="17"/>
                <w:szCs w:val="17"/>
                <w:lang w:eastAsia="zh-TW"/>
              </w:rPr>
              <w:t>匯</w:t>
            </w:r>
            <w:r w:rsidRPr="00CA7301">
              <w:rPr>
                <w:rFonts w:eastAsia="新細明體" w:cs="Segoe UI"/>
                <w:sz w:val="17"/>
                <w:szCs w:val="17"/>
                <w:lang w:eastAsia="it-IT"/>
              </w:rPr>
              <w:t>報的數額為經調整的在第</w:t>
            </w:r>
            <w:r w:rsidRPr="00CA7301">
              <w:rPr>
                <w:rFonts w:eastAsia="新細明體" w:cs="Segoe UI"/>
                <w:sz w:val="17"/>
                <w:szCs w:val="17"/>
                <w:lang w:eastAsia="it-IT"/>
              </w:rPr>
              <w:t>10</w:t>
            </w:r>
            <w:r w:rsidRPr="00CA7301">
              <w:rPr>
                <w:rFonts w:eastAsia="新細明體" w:cs="Segoe UI"/>
                <w:sz w:val="17"/>
                <w:szCs w:val="17"/>
                <w:lang w:eastAsia="it-IT"/>
              </w:rPr>
              <w:t>行所匯報的數額（即在「香港基準」項下</w:t>
            </w:r>
            <w:r w:rsidRPr="00CA7301">
              <w:rPr>
                <w:rFonts w:eastAsia="新細明體" w:cs="Segoe UI"/>
                <w:sz w:val="17"/>
                <w:szCs w:val="17"/>
                <w:lang w:eastAsia="zh-TW"/>
              </w:rPr>
              <w:t>填</w:t>
            </w:r>
            <w:r w:rsidRPr="00CA7301">
              <w:rPr>
                <w:rFonts w:eastAsia="新細明體" w:cs="Segoe UI"/>
                <w:sz w:val="17"/>
                <w:szCs w:val="17"/>
                <w:lang w:eastAsia="it-IT"/>
              </w:rPr>
              <w:t>報的數額），而調整方法是按須扣減的與暫時性差異有關的遞延稅項資產數額予以下調，並以不超過在《巴塞爾協定三》下就暫時性差異所產生的遞延稅項資產所定的</w:t>
            </w:r>
            <w:r w:rsidRPr="00CA7301">
              <w:rPr>
                <w:rFonts w:eastAsia="新細明體" w:cs="Segoe UI"/>
                <w:sz w:val="17"/>
                <w:szCs w:val="17"/>
                <w:lang w:eastAsia="it-IT"/>
              </w:rPr>
              <w:t>10%</w:t>
            </w:r>
            <w:r w:rsidRPr="00CA7301">
              <w:rPr>
                <w:rFonts w:eastAsia="新細明體" w:cs="Segoe UI"/>
                <w:sz w:val="17"/>
                <w:szCs w:val="17"/>
                <w:lang w:eastAsia="it-IT"/>
              </w:rPr>
              <w:t>門檻及就按揭供款管理權、由暫時性差</w:t>
            </w:r>
            <w:r w:rsidRPr="00CA7301">
              <w:rPr>
                <w:rFonts w:eastAsia="新細明體" w:cs="Segoe UI"/>
                <w:sz w:val="17"/>
                <w:szCs w:val="17"/>
                <w:lang w:eastAsia="zh-TW"/>
              </w:rPr>
              <w:t>異</w:t>
            </w:r>
            <w:r w:rsidRPr="00CA7301">
              <w:rPr>
                <w:rFonts w:eastAsia="新細明體" w:cs="Segoe UI"/>
                <w:sz w:val="17"/>
                <w:szCs w:val="17"/>
                <w:lang w:eastAsia="it-IT"/>
              </w:rPr>
              <w:t>所產生的遞延稅項資產與於金融業實體發行的</w:t>
            </w:r>
            <w:r w:rsidRPr="00CA7301">
              <w:rPr>
                <w:rFonts w:eastAsia="新細明體" w:cs="Segoe UI"/>
                <w:sz w:val="17"/>
                <w:szCs w:val="17"/>
                <w:lang w:eastAsia="it-IT"/>
              </w:rPr>
              <w:t>CET1</w:t>
            </w:r>
            <w:r w:rsidRPr="00CA7301">
              <w:rPr>
                <w:rFonts w:eastAsia="新細明體" w:cs="Segoe UI"/>
                <w:sz w:val="17"/>
                <w:szCs w:val="17"/>
                <w:lang w:eastAsia="it-IT"/>
              </w:rPr>
              <w:t>資本票據的重大投資（不包括屬對有連繫公司的貸款、融通或其他信用風險承擔的投資）所定的整體</w:t>
            </w:r>
            <w:r w:rsidRPr="00CA7301">
              <w:rPr>
                <w:rFonts w:eastAsia="新細明體" w:cs="Segoe UI"/>
                <w:sz w:val="17"/>
                <w:szCs w:val="17"/>
                <w:lang w:eastAsia="it-IT"/>
              </w:rPr>
              <w:t>15%</w:t>
            </w:r>
            <w:r w:rsidRPr="00CA7301">
              <w:rPr>
                <w:rFonts w:eastAsia="新細明體" w:cs="Segoe UI"/>
                <w:sz w:val="17"/>
                <w:szCs w:val="17"/>
                <w:lang w:eastAsia="it-IT"/>
              </w:rPr>
              <w:t>門檻為限。</w:t>
            </w:r>
          </w:p>
        </w:tc>
      </w:tr>
      <w:tr w:rsidR="00CA1B87" w:rsidRPr="00CA7301" w14:paraId="32C92A1F" w14:textId="77777777" w:rsidTr="00F62652">
        <w:trPr>
          <w:cantSplit/>
          <w:trHeight w:val="270"/>
        </w:trPr>
        <w:tc>
          <w:tcPr>
            <w:tcW w:w="567" w:type="dxa"/>
            <w:vMerge w:val="restart"/>
            <w:tcBorders>
              <w:top w:val="single" w:sz="4" w:space="0" w:color="auto"/>
              <w:left w:val="nil"/>
              <w:bottom w:val="single" w:sz="6" w:space="0" w:color="auto"/>
              <w:right w:val="single" w:sz="4" w:space="0" w:color="auto"/>
            </w:tcBorders>
            <w:shd w:val="clear" w:color="auto" w:fill="auto"/>
          </w:tcPr>
          <w:p w14:paraId="4C6F432E" w14:textId="77777777" w:rsidR="00CA1B87" w:rsidRPr="00CA7301" w:rsidRDefault="00CA1B87" w:rsidP="00CA1B87">
            <w:pPr>
              <w:snapToGrid w:val="0"/>
              <w:spacing w:before="40" w:after="40"/>
              <w:ind w:left="57"/>
              <w:rPr>
                <w:rFonts w:cs="Segoe UI"/>
                <w:sz w:val="17"/>
                <w:szCs w:val="17"/>
                <w:lang w:eastAsia="it-IT"/>
              </w:rPr>
            </w:pPr>
            <w:r w:rsidRPr="00CA7301">
              <w:rPr>
                <w:rFonts w:cs="Segoe UI"/>
                <w:sz w:val="17"/>
                <w:szCs w:val="17"/>
                <w:lang w:eastAsia="it-IT"/>
              </w:rPr>
              <w:t>18</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3711F70" w14:textId="734DA6F4" w:rsidR="00CA1B87" w:rsidRPr="00CA7301" w:rsidRDefault="00382586" w:rsidP="00E02528">
            <w:pPr>
              <w:snapToGrid w:val="0"/>
              <w:spacing w:before="40" w:after="40"/>
              <w:ind w:left="57" w:rightChars="71" w:right="142"/>
              <w:rPr>
                <w:rFonts w:eastAsiaTheme="minorEastAsia" w:cs="Segoe UI"/>
                <w:b/>
                <w:sz w:val="17"/>
                <w:szCs w:val="17"/>
                <w:lang w:eastAsia="zh-TW"/>
              </w:rPr>
            </w:pPr>
            <w:r w:rsidRPr="00CA7301">
              <w:rPr>
                <w:rFonts w:eastAsia="新細明體" w:cs="Segoe UI"/>
                <w:b/>
                <w:sz w:val="17"/>
                <w:lang w:eastAsia="it-IT"/>
              </w:rPr>
              <w:t>於</w:t>
            </w:r>
            <w:r w:rsidR="00CA1B87" w:rsidRPr="00CA7301">
              <w:rPr>
                <w:rFonts w:eastAsia="新細明體" w:cs="Segoe UI"/>
                <w:b/>
                <w:sz w:val="17"/>
                <w:szCs w:val="17"/>
                <w:lang w:eastAsia="it-IT"/>
              </w:rPr>
              <w:t>在監管綜合範圍以外的金融業實體發行的</w:t>
            </w:r>
            <w:r w:rsidR="00CA1B87" w:rsidRPr="00CA7301">
              <w:rPr>
                <w:rFonts w:cs="Segoe UI"/>
                <w:b/>
                <w:sz w:val="17"/>
                <w:szCs w:val="17"/>
                <w:lang w:eastAsia="it-IT"/>
              </w:rPr>
              <w:t>CET1</w:t>
            </w:r>
            <w:r w:rsidR="00CA1B87" w:rsidRPr="00CA7301">
              <w:rPr>
                <w:rFonts w:eastAsia="新細明體" w:cs="Segoe UI"/>
                <w:b/>
                <w:sz w:val="17"/>
                <w:szCs w:val="17"/>
                <w:lang w:eastAsia="it-IT"/>
              </w:rPr>
              <w:t>資本票據的非重大</w:t>
            </w:r>
            <w:r w:rsidR="00E02528">
              <w:rPr>
                <w:rFonts w:eastAsia="新細明體" w:cs="Segoe UI" w:hint="eastAsia"/>
                <w:b/>
                <w:sz w:val="17"/>
                <w:szCs w:val="17"/>
                <w:lang w:eastAsia="zh-TW"/>
              </w:rPr>
              <w:t>LAC</w:t>
            </w:r>
            <w:r w:rsidR="00CA1B87" w:rsidRPr="00CA7301">
              <w:rPr>
                <w:rFonts w:eastAsia="新細明體" w:cs="Segoe UI"/>
                <w:b/>
                <w:sz w:val="17"/>
                <w:szCs w:val="17"/>
                <w:lang w:eastAsia="it-IT"/>
              </w:rPr>
              <w:t>投資</w:t>
            </w:r>
            <w:r w:rsidR="00CA1B87" w:rsidRPr="00CA7301">
              <w:rPr>
                <w:rFonts w:eastAsia="細明體" w:cs="Segoe UI"/>
                <w:b/>
                <w:sz w:val="17"/>
                <w:szCs w:val="17"/>
                <w:lang w:eastAsia="it-IT"/>
              </w:rPr>
              <w:t>（</w:t>
            </w:r>
            <w:r w:rsidR="00CA1B87" w:rsidRPr="00CA7301">
              <w:rPr>
                <w:rFonts w:eastAsia="新細明體" w:cs="Segoe UI"/>
                <w:b/>
                <w:sz w:val="17"/>
                <w:szCs w:val="17"/>
                <w:lang w:eastAsia="it-IT"/>
              </w:rPr>
              <w:t>超出</w:t>
            </w:r>
            <w:r w:rsidR="00CA1B87" w:rsidRPr="00CA7301">
              <w:rPr>
                <w:rFonts w:cs="Segoe UI"/>
                <w:b/>
                <w:sz w:val="17"/>
                <w:szCs w:val="17"/>
                <w:lang w:eastAsia="it-IT"/>
              </w:rPr>
              <w:t>10%</w:t>
            </w:r>
            <w:r w:rsidR="00CA1B87" w:rsidRPr="00CA7301">
              <w:rPr>
                <w:rFonts w:eastAsia="新細明體" w:cs="Segoe UI"/>
                <w:b/>
                <w:sz w:val="17"/>
                <w:szCs w:val="17"/>
                <w:lang w:eastAsia="it-IT"/>
              </w:rPr>
              <w:t>門檻之數</w:t>
            </w:r>
            <w:r w:rsidR="00CA1B87" w:rsidRPr="00CA7301">
              <w:rPr>
                <w:rFonts w:eastAsia="細明體" w:cs="Segoe UI"/>
                <w:b/>
                <w:sz w:val="17"/>
                <w:szCs w:val="17"/>
                <w:lang w:eastAsia="it-IT"/>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D002D4" w14:textId="77777777" w:rsidR="00CA1B87" w:rsidRPr="00CA7301" w:rsidRDefault="00CA1B87" w:rsidP="00CA1B87">
            <w:pPr>
              <w:snapToGrid w:val="0"/>
              <w:spacing w:before="40" w:after="40"/>
              <w:ind w:left="57"/>
              <w:jc w:val="center"/>
              <w:rPr>
                <w:rFonts w:cs="Segoe UI"/>
                <w:sz w:val="17"/>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92B27" w14:textId="77777777" w:rsidR="00CA1B87" w:rsidRPr="00CA7301" w:rsidRDefault="00CA1B87" w:rsidP="00CA1B87">
            <w:pPr>
              <w:snapToGrid w:val="0"/>
              <w:spacing w:before="40" w:after="40"/>
              <w:jc w:val="center"/>
              <w:rPr>
                <w:rFonts w:cs="Segoe UI"/>
                <w:sz w:val="17"/>
                <w:lang w:eastAsia="it-IT"/>
              </w:rPr>
            </w:pPr>
          </w:p>
        </w:tc>
      </w:tr>
      <w:tr w:rsidR="00CA1B87" w:rsidRPr="00CA7301" w14:paraId="77729ED2" w14:textId="77777777" w:rsidTr="00F62652">
        <w:trPr>
          <w:cantSplit/>
          <w:trHeight w:val="270"/>
        </w:trPr>
        <w:tc>
          <w:tcPr>
            <w:tcW w:w="567" w:type="dxa"/>
            <w:vMerge/>
            <w:tcBorders>
              <w:top w:val="single" w:sz="6" w:space="0" w:color="BCBDBC"/>
              <w:left w:val="nil"/>
              <w:bottom w:val="single" w:sz="6" w:space="0" w:color="auto"/>
              <w:right w:val="single" w:sz="4" w:space="0" w:color="auto"/>
            </w:tcBorders>
            <w:shd w:val="clear" w:color="auto" w:fill="auto"/>
          </w:tcPr>
          <w:p w14:paraId="6A61AE84" w14:textId="77777777" w:rsidR="00CA1B87" w:rsidRPr="00CA7301" w:rsidRDefault="00CA1B87" w:rsidP="00CA1B87">
            <w:pPr>
              <w:snapToGrid w:val="0"/>
              <w:spacing w:before="40" w:after="40"/>
              <w:ind w:left="57"/>
              <w:rPr>
                <w:rFonts w:cs="Segoe UI"/>
                <w:sz w:val="17"/>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4070F431" w14:textId="77777777" w:rsidR="00CA1B87" w:rsidRPr="00CA7301" w:rsidRDefault="00CA1B87" w:rsidP="00CA1B87">
            <w:pPr>
              <w:snapToGrid w:val="0"/>
              <w:spacing w:before="40" w:after="40"/>
              <w:ind w:left="57" w:rightChars="71" w:right="142"/>
              <w:jc w:val="both"/>
              <w:rPr>
                <w:rFonts w:cs="Segoe UI"/>
                <w:sz w:val="17"/>
                <w:szCs w:val="17"/>
                <w:u w:val="single"/>
                <w:lang w:eastAsia="it-IT"/>
              </w:rPr>
            </w:pPr>
            <w:r w:rsidRPr="00CA7301">
              <w:rPr>
                <w:rFonts w:eastAsiaTheme="minorEastAsia" w:cs="Segoe UI"/>
                <w:sz w:val="17"/>
                <w:u w:val="single"/>
                <w:lang w:eastAsia="zh-TW"/>
              </w:rPr>
              <w:t>解釋</w:t>
            </w:r>
          </w:p>
          <w:p w14:paraId="4854C767" w14:textId="77777777" w:rsidR="00CA1B87" w:rsidRPr="00CA7301" w:rsidRDefault="00CA1B87" w:rsidP="00E02528">
            <w:pPr>
              <w:snapToGrid w:val="0"/>
              <w:spacing w:before="40" w:after="40"/>
              <w:ind w:left="57" w:rightChars="71" w:right="142"/>
              <w:jc w:val="both"/>
              <w:rPr>
                <w:rFonts w:cs="Segoe UI"/>
                <w:sz w:val="17"/>
                <w:lang w:eastAsia="it-IT"/>
              </w:rPr>
            </w:pPr>
            <w:r w:rsidRPr="00CA7301">
              <w:rPr>
                <w:rFonts w:eastAsia="新細明體" w:cs="Segoe UI"/>
                <w:sz w:val="17"/>
                <w:szCs w:val="17"/>
                <w:lang w:eastAsia="it-IT"/>
              </w:rPr>
              <w:t>為斷定於金融業實體發行的</w:t>
            </w:r>
            <w:r w:rsidRPr="00CA7301">
              <w:rPr>
                <w:rFonts w:cs="Segoe UI"/>
                <w:sz w:val="17"/>
                <w:szCs w:val="17"/>
                <w:lang w:eastAsia="it-IT"/>
              </w:rPr>
              <w:t>CET1</w:t>
            </w:r>
            <w:r w:rsidRPr="00CA7301">
              <w:rPr>
                <w:rFonts w:eastAsia="新細明體" w:cs="Segoe UI"/>
                <w:sz w:val="17"/>
                <w:szCs w:val="17"/>
                <w:lang w:eastAsia="it-IT"/>
              </w:rPr>
              <w:t>資本票據的非重大</w:t>
            </w:r>
            <w:r w:rsidR="00E02528">
              <w:rPr>
                <w:rFonts w:eastAsia="新細明體" w:cs="Segoe UI" w:hint="eastAsia"/>
                <w:sz w:val="17"/>
                <w:szCs w:val="17"/>
                <w:lang w:eastAsia="zh-TW"/>
              </w:rPr>
              <w:t>LAC</w:t>
            </w:r>
            <w:r w:rsidRPr="00CA7301">
              <w:rPr>
                <w:rFonts w:eastAsia="新細明體" w:cs="Segoe UI"/>
                <w:sz w:val="17"/>
                <w:szCs w:val="17"/>
                <w:lang w:eastAsia="it-IT"/>
              </w:rPr>
              <w:t>投資總額，認可機構須計算其提供予其任何屬金融業實體的有連繫公司的任何數額的貸款、融通或其他信用風險承擔的</w:t>
            </w:r>
            <w:r w:rsidRPr="00CA7301">
              <w:rPr>
                <w:rFonts w:eastAsia="新細明體" w:cs="Segoe UI"/>
                <w:sz w:val="17"/>
                <w:szCs w:val="17"/>
                <w:lang w:eastAsia="zh-TW"/>
              </w:rPr>
              <w:t>合計</w:t>
            </w:r>
            <w:r w:rsidRPr="00CA7301">
              <w:rPr>
                <w:rFonts w:eastAsia="新細明體" w:cs="Segoe UI"/>
                <w:sz w:val="17"/>
                <w:szCs w:val="17"/>
                <w:lang w:eastAsia="it-IT"/>
              </w:rPr>
              <w:t>總額，就如該等貸款、融通或其他信用風險承擔為認可機構直接持有、間接持有或合成持有該金融業實體的資本票據一般，惟若認可機構能向金融管理專員證明並使其信納認可機構是在日常業務過程中作</w:t>
            </w:r>
            <w:r w:rsidRPr="00CA7301">
              <w:rPr>
                <w:rFonts w:eastAsia="新細明體" w:cs="Segoe UI"/>
                <w:sz w:val="17"/>
                <w:szCs w:val="17"/>
                <w:lang w:eastAsia="zh-TW"/>
              </w:rPr>
              <w:t>出</w:t>
            </w:r>
            <w:r w:rsidRPr="00CA7301">
              <w:rPr>
                <w:rFonts w:eastAsia="新細明體" w:cs="Segoe UI"/>
                <w:sz w:val="17"/>
                <w:szCs w:val="17"/>
                <w:lang w:eastAsia="it-IT"/>
              </w:rPr>
              <w:t>任何該等貸款、批出任何該等融通或引起任可該等其他信用風險承擔者則除外。因此，在</w:t>
            </w:r>
            <w:r w:rsidRPr="00CA7301">
              <w:rPr>
                <w:rFonts w:eastAsiaTheme="minorEastAsia" w:cs="Segoe UI"/>
                <w:sz w:val="17"/>
                <w:szCs w:val="17"/>
                <w:lang w:eastAsia="zh-TW"/>
              </w:rPr>
              <w:t>第</w:t>
            </w:r>
            <w:r w:rsidRPr="00CA7301">
              <w:rPr>
                <w:rFonts w:cs="Segoe UI"/>
                <w:sz w:val="17"/>
                <w:szCs w:val="17"/>
                <w:lang w:eastAsia="it-IT"/>
              </w:rPr>
              <w:t>18</w:t>
            </w:r>
            <w:r w:rsidRPr="00CA7301">
              <w:rPr>
                <w:rFonts w:eastAsiaTheme="minorEastAsia" w:cs="Segoe UI"/>
                <w:sz w:val="17"/>
                <w:szCs w:val="17"/>
                <w:lang w:eastAsia="zh-TW"/>
              </w:rPr>
              <w:t>行</w:t>
            </w:r>
            <w:r w:rsidRPr="00CA7301">
              <w:rPr>
                <w:rFonts w:eastAsia="新細明體" w:cs="Segoe UI"/>
                <w:sz w:val="17"/>
                <w:szCs w:val="17"/>
                <w:lang w:eastAsia="it-IT"/>
              </w:rPr>
              <w:t>所填報須</w:t>
            </w:r>
            <w:r w:rsidRPr="00CA7301">
              <w:rPr>
                <w:rFonts w:eastAsia="新細明體" w:cs="Segoe UI"/>
                <w:sz w:val="17"/>
                <w:szCs w:val="17"/>
                <w:lang w:eastAsia="zh-TW"/>
              </w:rPr>
              <w:t>予</w:t>
            </w:r>
            <w:r w:rsidRPr="00CA7301">
              <w:rPr>
                <w:rFonts w:eastAsia="新細明體" w:cs="Segoe UI"/>
                <w:sz w:val="17"/>
                <w:szCs w:val="17"/>
                <w:lang w:eastAsia="it-IT"/>
              </w:rPr>
              <w:t>扣減的數額可能會高於《巴塞爾協定三》規定須扣減的數額。在本格</w:t>
            </w:r>
            <w:r w:rsidRPr="00CA7301">
              <w:rPr>
                <w:rFonts w:eastAsia="新細明體" w:cs="Segoe UI"/>
                <w:sz w:val="17"/>
                <w:szCs w:val="17"/>
                <w:lang w:eastAsia="zh-TW"/>
              </w:rPr>
              <w:t>內</w:t>
            </w:r>
            <w:r w:rsidRPr="00CA7301">
              <w:rPr>
                <w:rFonts w:eastAsia="新細明體" w:cs="Segoe UI"/>
                <w:sz w:val="17"/>
                <w:szCs w:val="17"/>
                <w:lang w:eastAsia="it-IT"/>
              </w:rPr>
              <w:t>的「《巴塞爾協定三》基準」項下</w:t>
            </w:r>
            <w:r w:rsidRPr="00CA7301">
              <w:rPr>
                <w:rFonts w:eastAsia="新細明體" w:cs="Segoe UI"/>
                <w:sz w:val="17"/>
                <w:szCs w:val="17"/>
                <w:lang w:eastAsia="zh-TW"/>
              </w:rPr>
              <w:t>匯</w:t>
            </w:r>
            <w:r w:rsidRPr="00CA7301">
              <w:rPr>
                <w:rFonts w:eastAsia="新細明體" w:cs="Segoe UI"/>
                <w:sz w:val="17"/>
                <w:szCs w:val="17"/>
                <w:lang w:eastAsia="it-IT"/>
              </w:rPr>
              <w:t>報的數額為經調整的在</w:t>
            </w:r>
            <w:r w:rsidRPr="00CA7301">
              <w:rPr>
                <w:rFonts w:eastAsiaTheme="minorEastAsia" w:cs="Segoe UI"/>
                <w:sz w:val="17"/>
                <w:szCs w:val="17"/>
                <w:lang w:eastAsia="zh-TW"/>
              </w:rPr>
              <w:t>第</w:t>
            </w:r>
            <w:r w:rsidRPr="00CA7301">
              <w:rPr>
                <w:rFonts w:cs="Segoe UI"/>
                <w:sz w:val="17"/>
                <w:szCs w:val="17"/>
                <w:lang w:eastAsia="it-IT"/>
              </w:rPr>
              <w:t>18</w:t>
            </w:r>
            <w:r w:rsidRPr="00CA7301">
              <w:rPr>
                <w:rFonts w:eastAsiaTheme="minorEastAsia" w:cs="Segoe UI"/>
                <w:sz w:val="17"/>
                <w:szCs w:val="17"/>
                <w:lang w:eastAsia="zh-TW"/>
              </w:rPr>
              <w:t>行</w:t>
            </w:r>
            <w:r w:rsidRPr="00CA7301">
              <w:rPr>
                <w:rFonts w:eastAsia="新細明體" w:cs="Segoe UI"/>
                <w:sz w:val="17"/>
                <w:szCs w:val="17"/>
                <w:lang w:eastAsia="it-IT"/>
              </w:rPr>
              <w:t>所</w:t>
            </w:r>
            <w:r w:rsidRPr="00CA7301">
              <w:rPr>
                <w:rFonts w:eastAsia="新細明體" w:cs="Segoe UI"/>
                <w:sz w:val="17"/>
                <w:szCs w:val="17"/>
                <w:lang w:eastAsia="zh-TW"/>
              </w:rPr>
              <w:t>匯</w:t>
            </w:r>
            <w:r w:rsidRPr="00CA7301">
              <w:rPr>
                <w:rFonts w:eastAsia="新細明體" w:cs="Segoe UI"/>
                <w:sz w:val="17"/>
                <w:szCs w:val="17"/>
                <w:lang w:eastAsia="it-IT"/>
              </w:rPr>
              <w:t>報的數額</w:t>
            </w:r>
            <w:r w:rsidRPr="00CA7301">
              <w:rPr>
                <w:rFonts w:eastAsia="細明體" w:cs="Segoe UI"/>
                <w:sz w:val="17"/>
                <w:szCs w:val="17"/>
                <w:lang w:eastAsia="it-IT"/>
              </w:rPr>
              <w:t>（</w:t>
            </w:r>
            <w:r w:rsidRPr="00CA7301">
              <w:rPr>
                <w:rFonts w:eastAsia="新細明體" w:cs="Segoe UI"/>
                <w:sz w:val="17"/>
                <w:szCs w:val="17"/>
                <w:lang w:eastAsia="it-IT"/>
              </w:rPr>
              <w:t>即在「香港基準」項下</w:t>
            </w:r>
            <w:r w:rsidRPr="00CA7301">
              <w:rPr>
                <w:rFonts w:eastAsia="新細明體" w:cs="Segoe UI"/>
                <w:sz w:val="17"/>
                <w:szCs w:val="17"/>
                <w:lang w:eastAsia="zh-TW"/>
              </w:rPr>
              <w:t>填</w:t>
            </w:r>
            <w:r w:rsidRPr="00CA7301">
              <w:rPr>
                <w:rFonts w:eastAsia="新細明體" w:cs="Segoe UI"/>
                <w:sz w:val="17"/>
                <w:szCs w:val="17"/>
                <w:lang w:eastAsia="it-IT"/>
              </w:rPr>
              <w:t>報的數額</w:t>
            </w:r>
            <w:r w:rsidRPr="00CA7301">
              <w:rPr>
                <w:rFonts w:eastAsia="細明體" w:cs="Segoe UI"/>
                <w:sz w:val="17"/>
                <w:szCs w:val="17"/>
                <w:lang w:eastAsia="it-IT"/>
              </w:rPr>
              <w:t>）</w:t>
            </w:r>
            <w:r w:rsidRPr="00CA7301">
              <w:rPr>
                <w:rFonts w:eastAsia="新細明體" w:cs="Segoe UI"/>
                <w:sz w:val="17"/>
                <w:szCs w:val="17"/>
                <w:lang w:eastAsia="it-IT"/>
              </w:rPr>
              <w:t>，而調整方法是豁除在香港採用的方法下須</w:t>
            </w:r>
            <w:r w:rsidRPr="00CA7301">
              <w:rPr>
                <w:rFonts w:eastAsia="新細明體" w:cs="Segoe UI"/>
                <w:sz w:val="17"/>
                <w:szCs w:val="17"/>
                <w:lang w:eastAsia="zh-TW"/>
              </w:rPr>
              <w:t>予</w:t>
            </w:r>
            <w:r w:rsidRPr="00CA7301">
              <w:rPr>
                <w:rFonts w:eastAsia="新細明體" w:cs="Segoe UI"/>
                <w:sz w:val="17"/>
                <w:szCs w:val="17"/>
                <w:lang w:eastAsia="it-IT"/>
              </w:rPr>
              <w:t>扣減的認可機構對有連繫公司的貸款、融通或其他信用風險承擔的合計總額。</w:t>
            </w:r>
          </w:p>
        </w:tc>
      </w:tr>
      <w:tr w:rsidR="00CA1B87" w:rsidRPr="00CA7301" w14:paraId="053D506B" w14:textId="77777777" w:rsidTr="00F62652">
        <w:trPr>
          <w:cantSplit/>
          <w:trHeight w:val="270"/>
        </w:trPr>
        <w:tc>
          <w:tcPr>
            <w:tcW w:w="567" w:type="dxa"/>
            <w:vMerge w:val="restart"/>
            <w:tcBorders>
              <w:left w:val="nil"/>
              <w:right w:val="single" w:sz="4" w:space="0" w:color="auto"/>
            </w:tcBorders>
            <w:shd w:val="clear" w:color="auto" w:fill="auto"/>
          </w:tcPr>
          <w:p w14:paraId="0343C76B" w14:textId="77777777" w:rsidR="00CA1B87" w:rsidRPr="00CA7301" w:rsidRDefault="00CA1B87" w:rsidP="00CA1B87">
            <w:pPr>
              <w:snapToGrid w:val="0"/>
              <w:spacing w:before="40" w:after="40"/>
              <w:ind w:left="57"/>
              <w:rPr>
                <w:rFonts w:cs="Segoe UI"/>
                <w:sz w:val="17"/>
                <w:szCs w:val="17"/>
                <w:lang w:eastAsia="it-IT"/>
              </w:rPr>
            </w:pPr>
            <w:r w:rsidRPr="00CA7301">
              <w:rPr>
                <w:rFonts w:cs="Segoe UI"/>
                <w:sz w:val="17"/>
                <w:szCs w:val="17"/>
                <w:lang w:eastAsia="it-IT"/>
              </w:rPr>
              <w:t>19</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A46015A" w14:textId="77777777" w:rsidR="00CA1B87" w:rsidRPr="00CA7301" w:rsidRDefault="00382586" w:rsidP="00E02528">
            <w:pPr>
              <w:snapToGrid w:val="0"/>
              <w:spacing w:before="40" w:after="40"/>
              <w:ind w:left="57" w:rightChars="71" w:right="142"/>
              <w:rPr>
                <w:rFonts w:cs="Segoe UI"/>
                <w:b/>
                <w:sz w:val="17"/>
                <w:szCs w:val="17"/>
                <w:lang w:eastAsia="it-IT"/>
              </w:rPr>
            </w:pPr>
            <w:r w:rsidRPr="00CA7301">
              <w:rPr>
                <w:rFonts w:eastAsia="新細明體" w:cs="Segoe UI"/>
                <w:b/>
                <w:sz w:val="17"/>
                <w:lang w:eastAsia="it-IT"/>
              </w:rPr>
              <w:t>於</w:t>
            </w:r>
            <w:r w:rsidR="00CA1B87" w:rsidRPr="00CA7301">
              <w:rPr>
                <w:rFonts w:eastAsia="新細明體" w:cs="Segoe UI"/>
                <w:b/>
                <w:sz w:val="17"/>
                <w:szCs w:val="17"/>
                <w:lang w:eastAsia="it-IT"/>
              </w:rPr>
              <w:t>在監管綜合範圍以外的金融業實體發行的</w:t>
            </w:r>
            <w:r w:rsidR="00CA1B87" w:rsidRPr="00CA7301">
              <w:rPr>
                <w:rFonts w:cs="Segoe UI"/>
                <w:b/>
                <w:sz w:val="17"/>
                <w:szCs w:val="17"/>
                <w:lang w:eastAsia="it-IT"/>
              </w:rPr>
              <w:t>CET1</w:t>
            </w:r>
            <w:r w:rsidR="00CA1B87" w:rsidRPr="00CA7301">
              <w:rPr>
                <w:rFonts w:eastAsia="新細明體" w:cs="Segoe UI"/>
                <w:b/>
                <w:sz w:val="17"/>
                <w:szCs w:val="17"/>
                <w:lang w:eastAsia="it-IT"/>
              </w:rPr>
              <w:t>資本票據的重大</w:t>
            </w:r>
            <w:r w:rsidR="00E02528">
              <w:rPr>
                <w:rFonts w:eastAsia="新細明體" w:cs="Segoe UI" w:hint="eastAsia"/>
                <w:b/>
                <w:sz w:val="17"/>
                <w:szCs w:val="17"/>
                <w:lang w:eastAsia="zh-TW"/>
              </w:rPr>
              <w:t>LAC</w:t>
            </w:r>
            <w:r w:rsidR="00CA1B87" w:rsidRPr="00CA7301">
              <w:rPr>
                <w:rFonts w:eastAsia="新細明體" w:cs="Segoe UI"/>
                <w:b/>
                <w:sz w:val="17"/>
                <w:szCs w:val="17"/>
                <w:lang w:eastAsia="it-IT"/>
              </w:rPr>
              <w:t>投資</w:t>
            </w:r>
            <w:r w:rsidR="00CA1B87" w:rsidRPr="00CA7301">
              <w:rPr>
                <w:rFonts w:eastAsia="細明體" w:cs="Segoe UI"/>
                <w:b/>
                <w:sz w:val="17"/>
                <w:szCs w:val="17"/>
                <w:lang w:eastAsia="it-IT"/>
              </w:rPr>
              <w:t>（</w:t>
            </w:r>
            <w:r w:rsidR="00CA1B87" w:rsidRPr="00CA7301">
              <w:rPr>
                <w:rFonts w:eastAsia="新細明體" w:cs="Segoe UI"/>
                <w:b/>
                <w:sz w:val="17"/>
                <w:szCs w:val="17"/>
                <w:lang w:eastAsia="it-IT"/>
              </w:rPr>
              <w:t>超出</w:t>
            </w:r>
            <w:r w:rsidR="00CA1B87" w:rsidRPr="00CA7301">
              <w:rPr>
                <w:rFonts w:cs="Segoe UI"/>
                <w:b/>
                <w:sz w:val="17"/>
                <w:szCs w:val="17"/>
                <w:lang w:eastAsia="it-IT"/>
              </w:rPr>
              <w:t>10%</w:t>
            </w:r>
            <w:r w:rsidR="00CA1B87" w:rsidRPr="00CA7301">
              <w:rPr>
                <w:rFonts w:eastAsia="新細明體" w:cs="Segoe UI"/>
                <w:b/>
                <w:sz w:val="17"/>
                <w:szCs w:val="17"/>
                <w:lang w:eastAsia="it-IT"/>
              </w:rPr>
              <w:t>門檻之數</w:t>
            </w:r>
            <w:r w:rsidR="00CA1B87" w:rsidRPr="00CA7301">
              <w:rPr>
                <w:rFonts w:eastAsia="細明體" w:cs="Segoe UI"/>
                <w:b/>
                <w:sz w:val="17"/>
                <w:szCs w:val="17"/>
                <w:lang w:eastAsia="it-IT"/>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AEBD5A" w14:textId="77777777" w:rsidR="00CA1B87" w:rsidRPr="00CA7301" w:rsidRDefault="00CA1B87" w:rsidP="00CA1B87">
            <w:pPr>
              <w:snapToGrid w:val="0"/>
              <w:spacing w:before="40" w:after="40"/>
              <w:ind w:left="57" w:rightChars="71" w:right="142"/>
              <w:rPr>
                <w:rFonts w:cs="Segoe UI"/>
                <w:sz w:val="17"/>
                <w:u w:val="single"/>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A30681" w14:textId="77777777" w:rsidR="00CA1B87" w:rsidRPr="00CA7301" w:rsidRDefault="00CA1B87" w:rsidP="00CA1B87">
            <w:pPr>
              <w:snapToGrid w:val="0"/>
              <w:spacing w:before="40" w:after="40"/>
              <w:ind w:left="57" w:rightChars="71" w:right="142"/>
              <w:rPr>
                <w:rFonts w:cs="Segoe UI"/>
                <w:sz w:val="17"/>
                <w:u w:val="single"/>
                <w:lang w:eastAsia="it-IT"/>
              </w:rPr>
            </w:pPr>
          </w:p>
        </w:tc>
      </w:tr>
      <w:tr w:rsidR="00CA1B87" w:rsidRPr="00CA7301" w14:paraId="292F7123" w14:textId="77777777" w:rsidTr="00F62652">
        <w:trPr>
          <w:cantSplit/>
          <w:trHeight w:val="270"/>
        </w:trPr>
        <w:tc>
          <w:tcPr>
            <w:tcW w:w="567" w:type="dxa"/>
            <w:vMerge/>
            <w:tcBorders>
              <w:left w:val="nil"/>
              <w:bottom w:val="single" w:sz="6" w:space="0" w:color="auto"/>
              <w:right w:val="single" w:sz="4" w:space="0" w:color="auto"/>
            </w:tcBorders>
            <w:shd w:val="clear" w:color="auto" w:fill="auto"/>
          </w:tcPr>
          <w:p w14:paraId="1C42CC46" w14:textId="77777777" w:rsidR="00CA1B87" w:rsidRPr="00CA7301" w:rsidRDefault="00CA1B87" w:rsidP="00CA1B87">
            <w:pPr>
              <w:snapToGrid w:val="0"/>
              <w:spacing w:before="40" w:after="40"/>
              <w:ind w:left="57"/>
              <w:rPr>
                <w:rFonts w:cs="Segoe UI"/>
                <w:sz w:val="17"/>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49A36422" w14:textId="77777777" w:rsidR="00CA1B87" w:rsidRPr="00CA7301" w:rsidRDefault="00CA1B87" w:rsidP="00CA1B87">
            <w:pPr>
              <w:snapToGrid w:val="0"/>
              <w:spacing w:before="40" w:after="40"/>
              <w:ind w:left="57" w:rightChars="71" w:right="142"/>
              <w:jc w:val="both"/>
              <w:rPr>
                <w:rFonts w:cs="Segoe UI"/>
                <w:sz w:val="17"/>
                <w:u w:val="single"/>
                <w:lang w:eastAsia="it-IT"/>
              </w:rPr>
            </w:pPr>
            <w:r w:rsidRPr="00CA7301">
              <w:rPr>
                <w:rFonts w:eastAsiaTheme="minorEastAsia" w:cs="Segoe UI"/>
                <w:sz w:val="17"/>
                <w:szCs w:val="17"/>
                <w:u w:val="single"/>
                <w:lang w:eastAsia="zh-TW"/>
              </w:rPr>
              <w:t>解釋</w:t>
            </w:r>
          </w:p>
          <w:p w14:paraId="1C4549DD" w14:textId="77777777" w:rsidR="00CA1B87" w:rsidRPr="00CA7301" w:rsidRDefault="00CA1B87" w:rsidP="00CA1B87">
            <w:pPr>
              <w:snapToGrid w:val="0"/>
              <w:spacing w:before="40" w:after="40"/>
              <w:ind w:left="57" w:rightChars="71" w:right="142"/>
              <w:jc w:val="both"/>
              <w:rPr>
                <w:rFonts w:cs="Segoe UI"/>
                <w:sz w:val="17"/>
                <w:u w:val="single"/>
                <w:lang w:eastAsia="it-IT"/>
              </w:rPr>
            </w:pPr>
            <w:r w:rsidRPr="00CA7301">
              <w:rPr>
                <w:rFonts w:eastAsia="新細明體" w:cs="Segoe UI"/>
                <w:sz w:val="17"/>
                <w:szCs w:val="17"/>
                <w:lang w:eastAsia="it-IT"/>
              </w:rPr>
              <w:t>為斷定於金融業實體發行的</w:t>
            </w:r>
            <w:r w:rsidRPr="00CA7301">
              <w:rPr>
                <w:rFonts w:cs="Segoe UI"/>
                <w:sz w:val="17"/>
                <w:szCs w:val="17"/>
                <w:lang w:eastAsia="it-IT"/>
              </w:rPr>
              <w:t>CET1</w:t>
            </w:r>
            <w:r w:rsidRPr="00CA7301">
              <w:rPr>
                <w:rFonts w:eastAsia="新細明體" w:cs="Segoe UI"/>
                <w:sz w:val="17"/>
                <w:szCs w:val="17"/>
                <w:lang w:eastAsia="it-IT"/>
              </w:rPr>
              <w:t>資本票據的重大</w:t>
            </w:r>
            <w:r w:rsidR="00E02528">
              <w:rPr>
                <w:rFonts w:eastAsia="新細明體" w:cs="Segoe UI" w:hint="eastAsia"/>
                <w:sz w:val="17"/>
                <w:szCs w:val="17"/>
                <w:lang w:eastAsia="zh-TW"/>
              </w:rPr>
              <w:t>LAC</w:t>
            </w:r>
            <w:r w:rsidRPr="00CA7301">
              <w:rPr>
                <w:rFonts w:eastAsia="新細明體" w:cs="Segoe UI"/>
                <w:sz w:val="17"/>
                <w:szCs w:val="17"/>
                <w:lang w:eastAsia="it-IT"/>
              </w:rPr>
              <w:t>投資總額，認可機構須計算其提供予其任何屬金融業實體的有連繫公司的任何數額的貸款、融通或其他信用風險承擔的</w:t>
            </w:r>
            <w:r w:rsidRPr="00CA7301">
              <w:rPr>
                <w:rFonts w:eastAsia="新細明體" w:cs="Segoe UI"/>
                <w:sz w:val="17"/>
                <w:szCs w:val="17"/>
                <w:lang w:eastAsia="zh-TW"/>
              </w:rPr>
              <w:t>合計</w:t>
            </w:r>
            <w:r w:rsidRPr="00CA7301">
              <w:rPr>
                <w:rFonts w:eastAsia="新細明體" w:cs="Segoe UI"/>
                <w:sz w:val="17"/>
                <w:szCs w:val="17"/>
                <w:lang w:eastAsia="it-IT"/>
              </w:rPr>
              <w:t>總額，就如該等貸款、融通或其他信用風險承擔為認可機構直接持有、間接持有或合成持有該金融業實體的資本票據一般，惟若認可機構能向金融管理專員證明並使其信納認可機構是在日常業務過程中作</w:t>
            </w:r>
            <w:r w:rsidRPr="00CA7301">
              <w:rPr>
                <w:rFonts w:eastAsia="新細明體" w:cs="Segoe UI"/>
                <w:sz w:val="17"/>
                <w:szCs w:val="17"/>
                <w:lang w:eastAsia="zh-TW"/>
              </w:rPr>
              <w:t>出</w:t>
            </w:r>
            <w:r w:rsidRPr="00CA7301">
              <w:rPr>
                <w:rFonts w:eastAsia="新細明體" w:cs="Segoe UI"/>
                <w:sz w:val="17"/>
                <w:szCs w:val="17"/>
                <w:lang w:eastAsia="it-IT"/>
              </w:rPr>
              <w:t>任何該等貸款、批出任何該等融通或引起任可該等其他信用風險承擔者則除外。因此，在</w:t>
            </w:r>
            <w:r w:rsidRPr="00CA7301">
              <w:rPr>
                <w:rFonts w:eastAsiaTheme="minorEastAsia" w:cs="Segoe UI"/>
                <w:sz w:val="17"/>
                <w:szCs w:val="17"/>
                <w:lang w:eastAsia="zh-TW"/>
              </w:rPr>
              <w:t>第</w:t>
            </w:r>
            <w:r w:rsidRPr="00CA7301">
              <w:rPr>
                <w:rFonts w:eastAsia="新細明體" w:cs="Segoe UI"/>
                <w:sz w:val="17"/>
                <w:szCs w:val="17"/>
                <w:lang w:eastAsia="zh-TW"/>
              </w:rPr>
              <w:t>19</w:t>
            </w:r>
            <w:r w:rsidRPr="00CA7301">
              <w:rPr>
                <w:rFonts w:eastAsia="新細明體" w:cs="Segoe UI"/>
                <w:sz w:val="17"/>
                <w:szCs w:val="17"/>
                <w:lang w:eastAsia="zh-TW"/>
              </w:rPr>
              <w:t>行</w:t>
            </w:r>
            <w:r w:rsidRPr="00CA7301">
              <w:rPr>
                <w:rFonts w:eastAsia="新細明體" w:cs="Segoe UI"/>
                <w:sz w:val="17"/>
                <w:szCs w:val="17"/>
                <w:lang w:eastAsia="it-IT"/>
              </w:rPr>
              <w:t>所填報須</w:t>
            </w:r>
            <w:r w:rsidRPr="00CA7301">
              <w:rPr>
                <w:rFonts w:eastAsia="新細明體" w:cs="Segoe UI"/>
                <w:sz w:val="17"/>
                <w:szCs w:val="17"/>
                <w:lang w:eastAsia="zh-TW"/>
              </w:rPr>
              <w:t>予</w:t>
            </w:r>
            <w:r w:rsidRPr="00CA7301">
              <w:rPr>
                <w:rFonts w:eastAsia="新細明體" w:cs="Segoe UI"/>
                <w:sz w:val="17"/>
                <w:szCs w:val="17"/>
                <w:lang w:eastAsia="it-IT"/>
              </w:rPr>
              <w:t>扣減的數額可能會高於《巴塞爾協定三》規定須扣減的數額。在本格</w:t>
            </w:r>
            <w:r w:rsidRPr="00CA7301">
              <w:rPr>
                <w:rFonts w:eastAsia="新細明體" w:cs="Segoe UI"/>
                <w:sz w:val="17"/>
                <w:szCs w:val="17"/>
                <w:lang w:eastAsia="zh-TW"/>
              </w:rPr>
              <w:t>內</w:t>
            </w:r>
            <w:r w:rsidRPr="00CA7301">
              <w:rPr>
                <w:rFonts w:eastAsia="新細明體" w:cs="Segoe UI"/>
                <w:sz w:val="17"/>
                <w:szCs w:val="17"/>
                <w:lang w:eastAsia="it-IT"/>
              </w:rPr>
              <w:t>的「《巴塞爾協定三》基準」項下</w:t>
            </w:r>
            <w:r w:rsidRPr="00CA7301">
              <w:rPr>
                <w:rFonts w:eastAsia="新細明體" w:cs="Segoe UI"/>
                <w:sz w:val="17"/>
                <w:szCs w:val="17"/>
                <w:lang w:eastAsia="zh-TW"/>
              </w:rPr>
              <w:t>匯</w:t>
            </w:r>
            <w:r w:rsidRPr="00CA7301">
              <w:rPr>
                <w:rFonts w:eastAsia="新細明體" w:cs="Segoe UI"/>
                <w:sz w:val="17"/>
                <w:szCs w:val="17"/>
                <w:lang w:eastAsia="it-IT"/>
              </w:rPr>
              <w:t>報的數額為經調整的在</w:t>
            </w:r>
            <w:r w:rsidRPr="00CA7301">
              <w:rPr>
                <w:rFonts w:eastAsiaTheme="minorEastAsia" w:cs="Segoe UI"/>
                <w:sz w:val="17"/>
                <w:szCs w:val="17"/>
                <w:lang w:eastAsia="zh-TW"/>
              </w:rPr>
              <w:t>第</w:t>
            </w:r>
            <w:r w:rsidRPr="00CA7301">
              <w:rPr>
                <w:rFonts w:eastAsia="新細明體" w:cs="Segoe UI"/>
                <w:sz w:val="17"/>
                <w:szCs w:val="17"/>
                <w:lang w:eastAsia="zh-TW"/>
              </w:rPr>
              <w:t>19</w:t>
            </w:r>
            <w:r w:rsidRPr="00CA7301">
              <w:rPr>
                <w:rFonts w:eastAsia="新細明體" w:cs="Segoe UI"/>
                <w:sz w:val="17"/>
                <w:szCs w:val="17"/>
                <w:lang w:eastAsia="zh-TW"/>
              </w:rPr>
              <w:t>行</w:t>
            </w:r>
            <w:r w:rsidRPr="00CA7301">
              <w:rPr>
                <w:rFonts w:eastAsia="新細明體" w:cs="Segoe UI"/>
                <w:sz w:val="17"/>
                <w:szCs w:val="17"/>
                <w:lang w:eastAsia="it-IT"/>
              </w:rPr>
              <w:t>所</w:t>
            </w:r>
            <w:r w:rsidRPr="00CA7301">
              <w:rPr>
                <w:rFonts w:eastAsia="新細明體" w:cs="Segoe UI"/>
                <w:sz w:val="17"/>
                <w:szCs w:val="17"/>
                <w:lang w:eastAsia="zh-TW"/>
              </w:rPr>
              <w:t>匯</w:t>
            </w:r>
            <w:r w:rsidRPr="00CA7301">
              <w:rPr>
                <w:rFonts w:eastAsia="新細明體" w:cs="Segoe UI"/>
                <w:sz w:val="17"/>
                <w:szCs w:val="17"/>
                <w:lang w:eastAsia="it-IT"/>
              </w:rPr>
              <w:t>報的數額</w:t>
            </w:r>
            <w:r w:rsidRPr="00CA7301">
              <w:rPr>
                <w:rFonts w:eastAsia="細明體" w:cs="Segoe UI"/>
                <w:sz w:val="17"/>
                <w:szCs w:val="17"/>
                <w:lang w:eastAsia="it-IT"/>
              </w:rPr>
              <w:t>（</w:t>
            </w:r>
            <w:r w:rsidRPr="00CA7301">
              <w:rPr>
                <w:rFonts w:eastAsia="新細明體" w:cs="Segoe UI"/>
                <w:sz w:val="17"/>
                <w:szCs w:val="17"/>
                <w:lang w:eastAsia="it-IT"/>
              </w:rPr>
              <w:t>即在「香港基準」項下</w:t>
            </w:r>
            <w:r w:rsidRPr="00CA7301">
              <w:rPr>
                <w:rFonts w:eastAsia="新細明體" w:cs="Segoe UI"/>
                <w:sz w:val="17"/>
                <w:szCs w:val="17"/>
                <w:lang w:eastAsia="zh-TW"/>
              </w:rPr>
              <w:t>填</w:t>
            </w:r>
            <w:r w:rsidRPr="00CA7301">
              <w:rPr>
                <w:rFonts w:eastAsia="新細明體" w:cs="Segoe UI"/>
                <w:sz w:val="17"/>
                <w:szCs w:val="17"/>
                <w:lang w:eastAsia="it-IT"/>
              </w:rPr>
              <w:t>報的數額</w:t>
            </w:r>
            <w:r w:rsidRPr="00CA7301">
              <w:rPr>
                <w:rFonts w:eastAsia="細明體" w:cs="Segoe UI"/>
                <w:sz w:val="17"/>
                <w:szCs w:val="17"/>
                <w:lang w:eastAsia="it-IT"/>
              </w:rPr>
              <w:t>）</w:t>
            </w:r>
            <w:r w:rsidRPr="00CA7301">
              <w:rPr>
                <w:rFonts w:eastAsia="新細明體" w:cs="Segoe UI"/>
                <w:sz w:val="17"/>
                <w:szCs w:val="17"/>
                <w:lang w:eastAsia="it-IT"/>
              </w:rPr>
              <w:t>，而調整方法是豁除在香港採用的方法下須</w:t>
            </w:r>
            <w:r w:rsidRPr="00CA7301">
              <w:rPr>
                <w:rFonts w:eastAsia="新細明體" w:cs="Segoe UI"/>
                <w:sz w:val="17"/>
                <w:szCs w:val="17"/>
                <w:lang w:eastAsia="zh-TW"/>
              </w:rPr>
              <w:t>予</w:t>
            </w:r>
            <w:r w:rsidRPr="00CA7301">
              <w:rPr>
                <w:rFonts w:eastAsia="新細明體" w:cs="Segoe UI"/>
                <w:sz w:val="17"/>
                <w:szCs w:val="17"/>
                <w:lang w:eastAsia="it-IT"/>
              </w:rPr>
              <w:t>扣減的認可機構對有連繫公司的貸款、融通或其他信用風險承擔的合計總額。</w:t>
            </w:r>
          </w:p>
        </w:tc>
      </w:tr>
      <w:tr w:rsidR="00CA1B87" w:rsidRPr="00CA7301" w14:paraId="4A0C7A99" w14:textId="77777777" w:rsidTr="00F62652">
        <w:trPr>
          <w:cantSplit/>
          <w:trHeight w:val="270"/>
        </w:trPr>
        <w:tc>
          <w:tcPr>
            <w:tcW w:w="567" w:type="dxa"/>
            <w:vMerge w:val="restart"/>
            <w:tcBorders>
              <w:top w:val="single" w:sz="6" w:space="0" w:color="auto"/>
              <w:left w:val="nil"/>
              <w:right w:val="single" w:sz="4" w:space="0" w:color="auto"/>
            </w:tcBorders>
            <w:shd w:val="clear" w:color="auto" w:fill="auto"/>
          </w:tcPr>
          <w:p w14:paraId="1C141AFE" w14:textId="77777777" w:rsidR="00CA1B87" w:rsidRPr="00CA7301" w:rsidRDefault="00CA1B87" w:rsidP="00CA1B87">
            <w:pPr>
              <w:snapToGrid w:val="0"/>
              <w:spacing w:before="40" w:after="40"/>
              <w:ind w:left="57"/>
              <w:rPr>
                <w:rFonts w:cs="Segoe UI"/>
                <w:sz w:val="17"/>
                <w:szCs w:val="17"/>
                <w:lang w:eastAsia="it-IT"/>
              </w:rPr>
            </w:pPr>
            <w:r w:rsidRPr="00CA7301">
              <w:rPr>
                <w:rFonts w:cs="Segoe UI"/>
                <w:sz w:val="17"/>
                <w:szCs w:val="17"/>
                <w:lang w:eastAsia="it-IT"/>
              </w:rPr>
              <w:t>39</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A5C3C7E" w14:textId="77777777" w:rsidR="00CA1B87" w:rsidRPr="00CA7301" w:rsidRDefault="00F122CB" w:rsidP="00CA1B87">
            <w:pPr>
              <w:snapToGrid w:val="0"/>
              <w:spacing w:before="40" w:after="40"/>
              <w:ind w:left="57" w:rightChars="71" w:right="142"/>
              <w:rPr>
                <w:rFonts w:cs="Segoe UI"/>
                <w:b/>
                <w:sz w:val="17"/>
                <w:szCs w:val="17"/>
                <w:lang w:eastAsia="it-IT"/>
              </w:rPr>
            </w:pPr>
            <w:r w:rsidRPr="00CA7301">
              <w:rPr>
                <w:rFonts w:eastAsia="新細明體" w:cs="Segoe UI"/>
                <w:b/>
                <w:sz w:val="17"/>
                <w:lang w:eastAsia="it-IT"/>
              </w:rPr>
              <w:t>於</w:t>
            </w:r>
            <w:r w:rsidR="00CA1B87" w:rsidRPr="00CA7301">
              <w:rPr>
                <w:rFonts w:eastAsia="新細明體" w:cs="Segoe UI"/>
                <w:b/>
                <w:sz w:val="17"/>
                <w:szCs w:val="17"/>
                <w:lang w:eastAsia="zh-TW"/>
              </w:rPr>
              <w:t>在</w:t>
            </w:r>
            <w:r w:rsidR="00CA1B87" w:rsidRPr="00CA7301">
              <w:rPr>
                <w:rFonts w:eastAsia="新細明體" w:cs="Segoe UI"/>
                <w:b/>
                <w:sz w:val="17"/>
                <w:szCs w:val="17"/>
                <w:lang w:eastAsia="it-IT"/>
              </w:rPr>
              <w:t>監管綜合範圍以外的金融業實體發行的</w:t>
            </w:r>
            <w:r w:rsidR="00CA1B87" w:rsidRPr="00CA7301">
              <w:rPr>
                <w:rFonts w:cs="Segoe UI"/>
                <w:b/>
                <w:sz w:val="17"/>
                <w:szCs w:val="17"/>
                <w:lang w:eastAsia="it-IT"/>
              </w:rPr>
              <w:t>AT1</w:t>
            </w:r>
            <w:r w:rsidR="00CA1B87" w:rsidRPr="00CA7301">
              <w:rPr>
                <w:rFonts w:eastAsia="新細明體" w:cs="Segoe UI"/>
                <w:b/>
                <w:sz w:val="17"/>
                <w:szCs w:val="17"/>
                <w:lang w:eastAsia="it-IT"/>
              </w:rPr>
              <w:t>資本票據的非重大</w:t>
            </w:r>
            <w:r w:rsidR="00E02528">
              <w:rPr>
                <w:rFonts w:eastAsia="新細明體" w:cs="Segoe UI" w:hint="eastAsia"/>
                <w:b/>
                <w:sz w:val="17"/>
                <w:szCs w:val="17"/>
                <w:lang w:eastAsia="zh-TW"/>
              </w:rPr>
              <w:t>LAC</w:t>
            </w:r>
            <w:r w:rsidR="00CA1B87" w:rsidRPr="00CA7301">
              <w:rPr>
                <w:rFonts w:eastAsia="新細明體" w:cs="Segoe UI"/>
                <w:b/>
                <w:sz w:val="17"/>
                <w:szCs w:val="17"/>
                <w:lang w:eastAsia="it-IT"/>
              </w:rPr>
              <w:t>投資</w:t>
            </w:r>
            <w:r w:rsidR="00CA1B87" w:rsidRPr="00CA7301">
              <w:rPr>
                <w:rFonts w:eastAsia="細明體" w:cs="Segoe UI"/>
                <w:b/>
                <w:sz w:val="17"/>
                <w:szCs w:val="17"/>
                <w:lang w:eastAsia="it-IT"/>
              </w:rPr>
              <w:t>（</w:t>
            </w:r>
            <w:r w:rsidR="00CA1B87" w:rsidRPr="00CA7301">
              <w:rPr>
                <w:rFonts w:eastAsia="新細明體" w:cs="Segoe UI"/>
                <w:b/>
                <w:sz w:val="17"/>
                <w:szCs w:val="17"/>
                <w:lang w:eastAsia="it-IT"/>
              </w:rPr>
              <w:t>超出</w:t>
            </w:r>
            <w:r w:rsidR="00CA1B87" w:rsidRPr="00CA7301">
              <w:rPr>
                <w:rFonts w:cs="Segoe UI"/>
                <w:b/>
                <w:sz w:val="17"/>
                <w:szCs w:val="17"/>
                <w:lang w:eastAsia="it-IT"/>
              </w:rPr>
              <w:t>10%</w:t>
            </w:r>
            <w:r w:rsidR="00CA1B87" w:rsidRPr="00CA7301">
              <w:rPr>
                <w:rFonts w:eastAsia="新細明體" w:cs="Segoe UI"/>
                <w:b/>
                <w:sz w:val="17"/>
                <w:szCs w:val="17"/>
                <w:lang w:eastAsia="it-IT"/>
              </w:rPr>
              <w:t>門檻之數</w:t>
            </w:r>
            <w:r w:rsidR="00CA1B87" w:rsidRPr="00CA7301">
              <w:rPr>
                <w:rFonts w:eastAsia="細明體" w:cs="Segoe UI"/>
                <w:b/>
                <w:sz w:val="17"/>
                <w:szCs w:val="17"/>
                <w:lang w:eastAsia="it-IT"/>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898CC8" w14:textId="77777777" w:rsidR="00CA1B87" w:rsidRPr="00CA7301" w:rsidRDefault="00CA1B87" w:rsidP="00CA1B87">
            <w:pPr>
              <w:snapToGrid w:val="0"/>
              <w:spacing w:before="40" w:after="40"/>
              <w:ind w:left="57"/>
              <w:jc w:val="center"/>
              <w:rPr>
                <w:rFonts w:cs="Segoe UI"/>
                <w:sz w:val="17"/>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EABAC8" w14:textId="77777777" w:rsidR="00CA1B87" w:rsidRPr="00CA7301" w:rsidRDefault="00CA1B87" w:rsidP="00CA1B87">
            <w:pPr>
              <w:snapToGrid w:val="0"/>
              <w:spacing w:before="40" w:after="40"/>
              <w:jc w:val="center"/>
              <w:rPr>
                <w:rFonts w:cs="Segoe UI"/>
                <w:sz w:val="17"/>
                <w:lang w:eastAsia="it-IT"/>
              </w:rPr>
            </w:pPr>
          </w:p>
        </w:tc>
      </w:tr>
      <w:tr w:rsidR="00CA1B87" w:rsidRPr="00CA7301" w14:paraId="723241A3" w14:textId="77777777" w:rsidTr="00F62652">
        <w:trPr>
          <w:cantSplit/>
          <w:trHeight w:val="270"/>
        </w:trPr>
        <w:tc>
          <w:tcPr>
            <w:tcW w:w="567" w:type="dxa"/>
            <w:vMerge/>
            <w:tcBorders>
              <w:left w:val="nil"/>
              <w:bottom w:val="single" w:sz="6" w:space="0" w:color="auto"/>
              <w:right w:val="single" w:sz="4" w:space="0" w:color="auto"/>
            </w:tcBorders>
            <w:shd w:val="clear" w:color="auto" w:fill="auto"/>
          </w:tcPr>
          <w:p w14:paraId="5BC827CE" w14:textId="77777777" w:rsidR="00CA1B87" w:rsidRPr="00CA7301" w:rsidRDefault="00CA1B87" w:rsidP="00CA1B87">
            <w:pPr>
              <w:snapToGrid w:val="0"/>
              <w:spacing w:before="40" w:after="40"/>
              <w:ind w:left="57"/>
              <w:rPr>
                <w:rFonts w:cs="Segoe UI"/>
                <w:sz w:val="17"/>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8ABFD14" w14:textId="77777777" w:rsidR="00CA1B87" w:rsidRPr="00CA7301" w:rsidRDefault="00CA1B87" w:rsidP="00CA1B87">
            <w:pPr>
              <w:snapToGrid w:val="0"/>
              <w:spacing w:before="40" w:after="40"/>
              <w:ind w:left="57" w:rightChars="71" w:right="142"/>
              <w:jc w:val="both"/>
              <w:rPr>
                <w:rFonts w:cs="Segoe UI"/>
                <w:sz w:val="17"/>
                <w:lang w:eastAsia="it-IT"/>
              </w:rPr>
            </w:pPr>
            <w:r w:rsidRPr="00CA7301">
              <w:rPr>
                <w:rFonts w:eastAsiaTheme="minorEastAsia" w:cs="Segoe UI"/>
                <w:sz w:val="17"/>
                <w:szCs w:val="17"/>
                <w:u w:val="single"/>
                <w:lang w:eastAsia="zh-TW"/>
              </w:rPr>
              <w:t>解釋</w:t>
            </w:r>
          </w:p>
          <w:p w14:paraId="6918A9AD" w14:textId="77777777" w:rsidR="00CA1B87" w:rsidRPr="00CA7301" w:rsidRDefault="00CA1B87" w:rsidP="00E02528">
            <w:pPr>
              <w:snapToGrid w:val="0"/>
              <w:spacing w:before="40" w:after="40"/>
              <w:ind w:left="57" w:rightChars="71" w:right="142"/>
              <w:jc w:val="both"/>
              <w:rPr>
                <w:rFonts w:cs="Segoe UI"/>
                <w:sz w:val="17"/>
                <w:lang w:eastAsia="it-IT"/>
              </w:rPr>
            </w:pPr>
            <w:r w:rsidRPr="00CA7301">
              <w:rPr>
                <w:rFonts w:eastAsia="細明體" w:cs="Segoe UI"/>
                <w:sz w:val="17"/>
                <w:lang w:eastAsia="it-IT"/>
              </w:rPr>
              <w:t>為於計算資本基礎時考慮將提供予屬金融業實體的有連繫公司的貸款、融通或其他信用風險承擔視為</w:t>
            </w:r>
            <w:r w:rsidRPr="00CA7301">
              <w:rPr>
                <w:rFonts w:cs="Segoe UI"/>
                <w:sz w:val="17"/>
                <w:lang w:eastAsia="it-IT"/>
              </w:rPr>
              <w:t>CET1</w:t>
            </w:r>
            <w:r w:rsidRPr="00CA7301">
              <w:rPr>
                <w:rFonts w:eastAsia="細明體" w:cs="Segoe UI"/>
                <w:sz w:val="17"/>
                <w:lang w:eastAsia="it-IT"/>
              </w:rPr>
              <w:t>資本票據（見上文有關模版</w:t>
            </w:r>
            <w:r w:rsidRPr="00CA7301">
              <w:rPr>
                <w:rFonts w:eastAsiaTheme="minorEastAsia" w:cs="Segoe UI"/>
                <w:sz w:val="17"/>
                <w:lang w:eastAsia="zh-TW"/>
              </w:rPr>
              <w:t>第</w:t>
            </w:r>
            <w:r w:rsidRPr="00CA7301">
              <w:rPr>
                <w:rFonts w:eastAsia="細明體" w:cs="Segoe UI"/>
                <w:sz w:val="17"/>
                <w:lang w:eastAsia="zh-TW"/>
              </w:rPr>
              <w:t>18</w:t>
            </w:r>
            <w:r w:rsidRPr="00CA7301">
              <w:rPr>
                <w:rFonts w:eastAsia="細明體" w:cs="Segoe UI"/>
                <w:sz w:val="17"/>
                <w:lang w:eastAsia="zh-TW"/>
              </w:rPr>
              <w:t>行</w:t>
            </w:r>
            <w:r w:rsidRPr="00CA7301">
              <w:rPr>
                <w:rFonts w:eastAsia="細明體" w:cs="Segoe UI"/>
                <w:sz w:val="17"/>
                <w:lang w:eastAsia="it-IT"/>
              </w:rPr>
              <w:t>的附註）作出扣減的結果，將會令適用於在</w:t>
            </w:r>
            <w:r w:rsidRPr="00CA7301">
              <w:rPr>
                <w:rFonts w:cs="Segoe UI"/>
                <w:sz w:val="17"/>
                <w:lang w:eastAsia="it-IT"/>
              </w:rPr>
              <w:t>AT1</w:t>
            </w:r>
            <w:r w:rsidRPr="00CA7301">
              <w:rPr>
                <w:rFonts w:eastAsia="細明體" w:cs="Segoe UI"/>
                <w:sz w:val="17"/>
                <w:lang w:eastAsia="it-IT"/>
              </w:rPr>
              <w:t>資本票據的其他非重大</w:t>
            </w:r>
            <w:r w:rsidR="00E02528">
              <w:rPr>
                <w:rFonts w:eastAsia="細明體" w:cs="Segoe UI" w:hint="eastAsia"/>
                <w:sz w:val="17"/>
                <w:lang w:eastAsia="zh-TW"/>
              </w:rPr>
              <w:t>LAC</w:t>
            </w:r>
            <w:r w:rsidRPr="00CA7301">
              <w:rPr>
                <w:rFonts w:eastAsia="細明體" w:cs="Segoe UI"/>
                <w:sz w:val="17"/>
                <w:lang w:eastAsia="it-IT"/>
              </w:rPr>
              <w:t>投資的資本扣減的豁免門檻空間可能有所縮小。因此，在</w:t>
            </w:r>
            <w:r w:rsidRPr="00CA7301">
              <w:rPr>
                <w:rFonts w:eastAsia="細明體" w:cs="Segoe UI"/>
                <w:sz w:val="17"/>
                <w:lang w:eastAsia="zh-TW"/>
              </w:rPr>
              <w:t>第</w:t>
            </w:r>
            <w:r w:rsidRPr="00CA7301">
              <w:rPr>
                <w:rFonts w:cs="Segoe UI"/>
                <w:sz w:val="17"/>
                <w:lang w:eastAsia="it-IT"/>
              </w:rPr>
              <w:t>39</w:t>
            </w:r>
            <w:r w:rsidRPr="00CA7301">
              <w:rPr>
                <w:rFonts w:eastAsia="新細明體" w:cs="Segoe UI"/>
                <w:sz w:val="17"/>
                <w:szCs w:val="17"/>
                <w:lang w:eastAsia="zh-TW"/>
              </w:rPr>
              <w:t>行</w:t>
            </w:r>
            <w:r w:rsidRPr="00CA7301">
              <w:rPr>
                <w:rFonts w:eastAsia="細明體" w:cs="Segoe UI"/>
                <w:sz w:val="17"/>
                <w:lang w:eastAsia="it-IT"/>
              </w:rPr>
              <w:t>所填報須</w:t>
            </w:r>
            <w:r w:rsidRPr="00CA7301">
              <w:rPr>
                <w:rFonts w:eastAsia="細明體" w:cs="Segoe UI"/>
                <w:sz w:val="17"/>
                <w:lang w:eastAsia="zh-TW"/>
              </w:rPr>
              <w:t>予</w:t>
            </w:r>
            <w:r w:rsidRPr="00CA7301">
              <w:rPr>
                <w:rFonts w:eastAsia="細明體" w:cs="Segoe UI"/>
                <w:sz w:val="17"/>
                <w:lang w:eastAsia="it-IT"/>
              </w:rPr>
              <w:t>扣減的數額可能會高於《巴塞爾協定三》規定須扣減的數額。在本格</w:t>
            </w:r>
            <w:r w:rsidRPr="00CA7301">
              <w:rPr>
                <w:rFonts w:eastAsia="新細明體" w:cs="Segoe UI"/>
                <w:sz w:val="17"/>
                <w:szCs w:val="17"/>
                <w:lang w:eastAsia="zh-TW"/>
              </w:rPr>
              <w:t>內</w:t>
            </w:r>
            <w:r w:rsidRPr="00CA7301">
              <w:rPr>
                <w:rFonts w:eastAsia="新細明體" w:cs="Segoe UI"/>
                <w:sz w:val="17"/>
                <w:szCs w:val="17"/>
                <w:lang w:eastAsia="it-IT"/>
              </w:rPr>
              <w:t>的</w:t>
            </w:r>
            <w:r w:rsidRPr="00CA7301">
              <w:rPr>
                <w:rFonts w:eastAsia="細明體" w:cs="Segoe UI"/>
                <w:sz w:val="17"/>
                <w:lang w:eastAsia="it-IT"/>
              </w:rPr>
              <w:t>「《巴塞爾協定三》基準」項下</w:t>
            </w:r>
            <w:r w:rsidRPr="00CA7301">
              <w:rPr>
                <w:rFonts w:eastAsia="新細明體" w:cs="Segoe UI"/>
                <w:sz w:val="17"/>
                <w:szCs w:val="17"/>
                <w:lang w:eastAsia="zh-TW"/>
              </w:rPr>
              <w:t>匯</w:t>
            </w:r>
            <w:r w:rsidRPr="00CA7301">
              <w:rPr>
                <w:rFonts w:eastAsia="細明體" w:cs="Segoe UI"/>
                <w:sz w:val="17"/>
                <w:lang w:eastAsia="it-IT"/>
              </w:rPr>
              <w:t>報的數額為經調整的在</w:t>
            </w:r>
            <w:r w:rsidRPr="00CA7301">
              <w:rPr>
                <w:rFonts w:eastAsiaTheme="minorEastAsia" w:cs="Segoe UI"/>
                <w:sz w:val="17"/>
                <w:lang w:eastAsia="zh-TW"/>
              </w:rPr>
              <w:t>第</w:t>
            </w:r>
            <w:r w:rsidRPr="00CA7301">
              <w:rPr>
                <w:rFonts w:cs="Segoe UI"/>
                <w:sz w:val="17"/>
                <w:lang w:eastAsia="it-IT"/>
              </w:rPr>
              <w:t>39</w:t>
            </w:r>
            <w:r w:rsidRPr="00CA7301">
              <w:rPr>
                <w:rFonts w:eastAsia="新細明體" w:cs="Segoe UI"/>
                <w:sz w:val="17"/>
                <w:szCs w:val="17"/>
                <w:lang w:eastAsia="zh-TW"/>
              </w:rPr>
              <w:t>行</w:t>
            </w:r>
            <w:r w:rsidRPr="00CA7301">
              <w:rPr>
                <w:rFonts w:eastAsia="細明體" w:cs="Segoe UI"/>
                <w:sz w:val="17"/>
                <w:lang w:eastAsia="it-IT"/>
              </w:rPr>
              <w:t>所</w:t>
            </w:r>
            <w:r w:rsidRPr="00CA7301">
              <w:rPr>
                <w:rFonts w:eastAsia="新細明體" w:cs="Segoe UI"/>
                <w:sz w:val="17"/>
                <w:szCs w:val="17"/>
                <w:lang w:eastAsia="zh-TW"/>
              </w:rPr>
              <w:t>匯</w:t>
            </w:r>
            <w:r w:rsidRPr="00CA7301">
              <w:rPr>
                <w:rFonts w:eastAsia="細明體" w:cs="Segoe UI"/>
                <w:sz w:val="17"/>
                <w:lang w:eastAsia="it-IT"/>
              </w:rPr>
              <w:t>報的數額（即在「香港基準」項下</w:t>
            </w:r>
            <w:r w:rsidRPr="00CA7301">
              <w:rPr>
                <w:rFonts w:eastAsia="細明體" w:cs="Segoe UI"/>
                <w:sz w:val="17"/>
                <w:lang w:eastAsia="zh-TW"/>
              </w:rPr>
              <w:t>填</w:t>
            </w:r>
            <w:r w:rsidRPr="00CA7301">
              <w:rPr>
                <w:rFonts w:eastAsia="細明體" w:cs="Segoe UI"/>
                <w:sz w:val="17"/>
                <w:lang w:eastAsia="it-IT"/>
              </w:rPr>
              <w:t>報的數額），而調整方法是豁除在香港採用的方法下須</w:t>
            </w:r>
            <w:r w:rsidRPr="00CA7301">
              <w:rPr>
                <w:rFonts w:eastAsia="細明體" w:cs="Segoe UI"/>
                <w:sz w:val="17"/>
                <w:lang w:eastAsia="zh-TW"/>
              </w:rPr>
              <w:t>予</w:t>
            </w:r>
            <w:r w:rsidRPr="00CA7301">
              <w:rPr>
                <w:rFonts w:eastAsia="細明體" w:cs="Segoe UI"/>
                <w:sz w:val="17"/>
                <w:lang w:eastAsia="it-IT"/>
              </w:rPr>
              <w:t>扣減的認可機構對有連繫公司的貸款、融通或其他信用風險承擔的合計總額。</w:t>
            </w:r>
          </w:p>
        </w:tc>
      </w:tr>
      <w:tr w:rsidR="00CA1B87" w:rsidRPr="00CA7301" w14:paraId="2FDA8ABC" w14:textId="77777777" w:rsidTr="00F62652">
        <w:trPr>
          <w:cantSplit/>
          <w:trHeight w:val="270"/>
        </w:trPr>
        <w:tc>
          <w:tcPr>
            <w:tcW w:w="567" w:type="dxa"/>
            <w:vMerge w:val="restart"/>
            <w:tcBorders>
              <w:top w:val="single" w:sz="6" w:space="0" w:color="auto"/>
              <w:left w:val="nil"/>
              <w:right w:val="single" w:sz="4" w:space="0" w:color="auto"/>
            </w:tcBorders>
            <w:shd w:val="clear" w:color="auto" w:fill="auto"/>
          </w:tcPr>
          <w:p w14:paraId="0D0D0AB8" w14:textId="77777777" w:rsidR="00CA1B87" w:rsidRPr="00CA7301" w:rsidRDefault="00CA1B87" w:rsidP="00CA1B87">
            <w:pPr>
              <w:snapToGrid w:val="0"/>
              <w:spacing w:before="40" w:after="40"/>
              <w:ind w:left="57"/>
              <w:rPr>
                <w:rFonts w:cs="Segoe UI"/>
                <w:sz w:val="17"/>
                <w:szCs w:val="17"/>
                <w:lang w:eastAsia="it-IT"/>
              </w:rPr>
            </w:pPr>
            <w:r w:rsidRPr="00CA7301">
              <w:rPr>
                <w:rFonts w:cs="Segoe UI"/>
                <w:sz w:val="17"/>
                <w:szCs w:val="17"/>
                <w:lang w:eastAsia="it-IT"/>
              </w:rPr>
              <w:t>54</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860FC1A" w14:textId="77777777" w:rsidR="00CA1B87" w:rsidRPr="00CA7301" w:rsidRDefault="00F122CB" w:rsidP="00E02528">
            <w:pPr>
              <w:snapToGrid w:val="0"/>
              <w:spacing w:before="40" w:after="40"/>
              <w:ind w:left="57" w:rightChars="71" w:right="142"/>
              <w:rPr>
                <w:rFonts w:cs="Segoe UI"/>
                <w:b/>
                <w:sz w:val="17"/>
                <w:szCs w:val="17"/>
                <w:lang w:eastAsia="it-IT"/>
              </w:rPr>
            </w:pPr>
            <w:r w:rsidRPr="00CA7301">
              <w:rPr>
                <w:rFonts w:eastAsia="新細明體" w:cs="Segoe UI"/>
                <w:b/>
                <w:sz w:val="17"/>
                <w:lang w:eastAsia="it-IT"/>
              </w:rPr>
              <w:t>於</w:t>
            </w:r>
            <w:r w:rsidR="00CA1B87" w:rsidRPr="00CA7301">
              <w:rPr>
                <w:rFonts w:eastAsia="新細明體" w:cs="Segoe UI"/>
                <w:b/>
                <w:sz w:val="17"/>
                <w:szCs w:val="17"/>
                <w:lang w:eastAsia="zh-TW"/>
              </w:rPr>
              <w:t>在</w:t>
            </w:r>
            <w:r w:rsidR="00CA1B87" w:rsidRPr="00CA7301">
              <w:rPr>
                <w:rFonts w:eastAsia="新細明體" w:cs="Segoe UI"/>
                <w:b/>
                <w:sz w:val="17"/>
                <w:szCs w:val="17"/>
                <w:lang w:eastAsia="it-IT"/>
              </w:rPr>
              <w:t>監管綜合範圍以外的金融業實體發行的二級資本票據</w:t>
            </w:r>
            <w:r w:rsidR="00E02528" w:rsidRPr="00E02528">
              <w:rPr>
                <w:rFonts w:eastAsia="新細明體" w:cs="Segoe UI" w:hint="eastAsia"/>
                <w:b/>
                <w:sz w:val="17"/>
                <w:szCs w:val="17"/>
                <w:lang w:eastAsia="it-IT"/>
              </w:rPr>
              <w:t>及非資本</w:t>
            </w:r>
            <w:r w:rsidR="00E02528" w:rsidRPr="00E02528">
              <w:rPr>
                <w:rFonts w:eastAsia="新細明體" w:cs="Segoe UI"/>
                <w:b/>
                <w:sz w:val="17"/>
                <w:szCs w:val="17"/>
                <w:lang w:eastAsia="it-IT"/>
              </w:rPr>
              <w:t>LAC</w:t>
            </w:r>
            <w:r w:rsidR="00E02528" w:rsidRPr="00E02528">
              <w:rPr>
                <w:rFonts w:eastAsia="新細明體" w:cs="Segoe UI" w:hint="eastAsia"/>
                <w:b/>
                <w:sz w:val="17"/>
                <w:szCs w:val="17"/>
                <w:lang w:eastAsia="it-IT"/>
              </w:rPr>
              <w:t>負債</w:t>
            </w:r>
            <w:r w:rsidR="00CA1B87" w:rsidRPr="00CA7301">
              <w:rPr>
                <w:rFonts w:eastAsia="新細明體" w:cs="Segoe UI"/>
                <w:b/>
                <w:sz w:val="17"/>
                <w:szCs w:val="17"/>
                <w:lang w:eastAsia="it-IT"/>
              </w:rPr>
              <w:t>的非重大</w:t>
            </w:r>
            <w:r w:rsidR="00E02528">
              <w:rPr>
                <w:rFonts w:eastAsia="新細明體" w:cs="Segoe UI" w:hint="eastAsia"/>
                <w:b/>
                <w:sz w:val="17"/>
                <w:szCs w:val="17"/>
                <w:lang w:eastAsia="zh-TW"/>
              </w:rPr>
              <w:t>LAC</w:t>
            </w:r>
            <w:r w:rsidR="00CA1B87" w:rsidRPr="00CA7301">
              <w:rPr>
                <w:rFonts w:eastAsia="新細明體" w:cs="Segoe UI"/>
                <w:b/>
                <w:sz w:val="17"/>
                <w:szCs w:val="17"/>
                <w:lang w:eastAsia="it-IT"/>
              </w:rPr>
              <w:t>投資</w:t>
            </w:r>
            <w:r w:rsidR="00CA1B87" w:rsidRPr="00CA7301">
              <w:rPr>
                <w:rFonts w:eastAsia="細明體" w:cs="Segoe UI"/>
                <w:b/>
                <w:sz w:val="17"/>
                <w:szCs w:val="17"/>
                <w:lang w:eastAsia="it-IT"/>
              </w:rPr>
              <w:t>（</w:t>
            </w:r>
            <w:r w:rsidR="00CA1B87" w:rsidRPr="00CA7301">
              <w:rPr>
                <w:rFonts w:eastAsia="新細明體" w:cs="Segoe UI"/>
                <w:b/>
                <w:sz w:val="17"/>
                <w:szCs w:val="17"/>
                <w:lang w:eastAsia="it-IT"/>
              </w:rPr>
              <w:t>超出</w:t>
            </w:r>
            <w:r w:rsidR="00CA1B87" w:rsidRPr="00CA7301">
              <w:rPr>
                <w:rFonts w:cs="Segoe UI"/>
                <w:b/>
                <w:sz w:val="17"/>
                <w:szCs w:val="17"/>
                <w:lang w:eastAsia="it-IT"/>
              </w:rPr>
              <w:t>10%</w:t>
            </w:r>
            <w:r w:rsidR="00CA1B87" w:rsidRPr="00CA7301">
              <w:rPr>
                <w:rFonts w:eastAsia="新細明體" w:cs="Segoe UI"/>
                <w:b/>
                <w:sz w:val="17"/>
                <w:szCs w:val="17"/>
                <w:lang w:eastAsia="it-IT"/>
              </w:rPr>
              <w:t>門檻</w:t>
            </w:r>
            <w:r w:rsidR="00E02528" w:rsidRPr="00E02528">
              <w:rPr>
                <w:rFonts w:eastAsia="新細明體" w:cs="Segoe UI" w:hint="eastAsia"/>
                <w:b/>
                <w:sz w:val="17"/>
                <w:szCs w:val="17"/>
                <w:lang w:eastAsia="it-IT"/>
              </w:rPr>
              <w:t>及（如適用）</w:t>
            </w:r>
            <w:r w:rsidR="00E02528" w:rsidRPr="00E02528">
              <w:rPr>
                <w:rFonts w:eastAsia="新細明體" w:cs="Segoe UI"/>
                <w:b/>
                <w:sz w:val="17"/>
                <w:szCs w:val="17"/>
                <w:lang w:eastAsia="it-IT"/>
              </w:rPr>
              <w:t>5%</w:t>
            </w:r>
            <w:r w:rsidR="00E02528" w:rsidRPr="00E02528">
              <w:rPr>
                <w:rFonts w:eastAsia="新細明體" w:cs="Segoe UI" w:hint="eastAsia"/>
                <w:b/>
                <w:sz w:val="17"/>
                <w:szCs w:val="17"/>
                <w:lang w:eastAsia="it-IT"/>
              </w:rPr>
              <w:t>門檻</w:t>
            </w:r>
            <w:r w:rsidR="00CA1B87" w:rsidRPr="00CA7301">
              <w:rPr>
                <w:rFonts w:eastAsia="新細明體" w:cs="Segoe UI"/>
                <w:b/>
                <w:sz w:val="17"/>
                <w:szCs w:val="17"/>
                <w:lang w:eastAsia="it-IT"/>
              </w:rPr>
              <w:t>之數</w:t>
            </w:r>
            <w:r w:rsidR="00CA1B87" w:rsidRPr="00CA7301">
              <w:rPr>
                <w:rFonts w:eastAsia="細明體" w:cs="Segoe UI"/>
                <w:b/>
                <w:sz w:val="17"/>
                <w:szCs w:val="17"/>
                <w:lang w:eastAsia="it-IT"/>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44152" w14:textId="77777777" w:rsidR="00CA1B87" w:rsidRPr="00CA7301" w:rsidRDefault="00CA1B87" w:rsidP="00CA1B87">
            <w:pPr>
              <w:snapToGrid w:val="0"/>
              <w:spacing w:before="40" w:after="40"/>
              <w:ind w:left="57"/>
              <w:jc w:val="center"/>
              <w:rPr>
                <w:rFonts w:cs="Segoe UI"/>
                <w:sz w:val="17"/>
                <w:lang w:eastAsia="it-IT"/>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3AB264" w14:textId="77777777" w:rsidR="00CA1B87" w:rsidRPr="00CA7301" w:rsidRDefault="00CA1B87" w:rsidP="00CA1B87">
            <w:pPr>
              <w:snapToGrid w:val="0"/>
              <w:spacing w:before="40" w:after="40"/>
              <w:jc w:val="center"/>
              <w:rPr>
                <w:rFonts w:cs="Segoe UI"/>
                <w:sz w:val="17"/>
                <w:lang w:eastAsia="it-IT"/>
              </w:rPr>
            </w:pPr>
          </w:p>
        </w:tc>
      </w:tr>
      <w:tr w:rsidR="00CA1B87" w:rsidRPr="00CA7301" w14:paraId="64C49DA5" w14:textId="77777777" w:rsidTr="00DF7027">
        <w:trPr>
          <w:cantSplit/>
          <w:trHeight w:val="270"/>
        </w:trPr>
        <w:tc>
          <w:tcPr>
            <w:tcW w:w="567" w:type="dxa"/>
            <w:vMerge/>
            <w:tcBorders>
              <w:left w:val="nil"/>
              <w:bottom w:val="single" w:sz="4" w:space="0" w:color="auto"/>
              <w:right w:val="single" w:sz="4" w:space="0" w:color="auto"/>
            </w:tcBorders>
            <w:shd w:val="clear" w:color="auto" w:fill="auto"/>
          </w:tcPr>
          <w:p w14:paraId="6E09110E" w14:textId="77777777" w:rsidR="00CA1B87" w:rsidRPr="00CA7301" w:rsidRDefault="00CA1B87" w:rsidP="00CA1B87">
            <w:pPr>
              <w:snapToGrid w:val="0"/>
              <w:spacing w:before="40" w:after="40"/>
              <w:ind w:left="57"/>
              <w:rPr>
                <w:rFonts w:cs="Segoe UI"/>
                <w:sz w:val="17"/>
                <w:szCs w:val="17"/>
                <w:lang w:eastAsia="it-IT"/>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CE04037" w14:textId="77777777" w:rsidR="00CA1B87" w:rsidRPr="00CA7301" w:rsidRDefault="00CA1B87" w:rsidP="00CA1B87">
            <w:pPr>
              <w:snapToGrid w:val="0"/>
              <w:spacing w:before="40" w:after="40"/>
              <w:ind w:left="57" w:rightChars="71" w:right="142"/>
              <w:jc w:val="both"/>
              <w:rPr>
                <w:rFonts w:cs="Segoe UI"/>
                <w:sz w:val="17"/>
                <w:u w:val="single"/>
                <w:lang w:eastAsia="it-IT"/>
              </w:rPr>
            </w:pPr>
            <w:r w:rsidRPr="00CA7301">
              <w:rPr>
                <w:rFonts w:eastAsiaTheme="minorEastAsia" w:cs="Segoe UI"/>
                <w:sz w:val="17"/>
                <w:szCs w:val="17"/>
                <w:u w:val="single"/>
                <w:lang w:eastAsia="zh-TW"/>
              </w:rPr>
              <w:t>解釋</w:t>
            </w:r>
          </w:p>
          <w:p w14:paraId="720C812D" w14:textId="77777777" w:rsidR="00CA1B87" w:rsidRPr="00CA7301" w:rsidRDefault="00CA1B87" w:rsidP="00E02528">
            <w:pPr>
              <w:snapToGrid w:val="0"/>
              <w:spacing w:before="40" w:after="40"/>
              <w:ind w:left="57" w:rightChars="71" w:right="142"/>
              <w:jc w:val="both"/>
              <w:rPr>
                <w:rFonts w:cs="Segoe UI"/>
                <w:sz w:val="17"/>
                <w:lang w:eastAsia="it-IT"/>
              </w:rPr>
            </w:pPr>
            <w:r w:rsidRPr="00CA7301">
              <w:rPr>
                <w:rFonts w:eastAsia="新細明體" w:cs="Segoe UI"/>
                <w:sz w:val="17"/>
                <w:szCs w:val="17"/>
                <w:lang w:eastAsia="it-IT"/>
              </w:rPr>
              <w:t>為於計算資本基礎時考慮將提供予屬金融業實體的有連繫公司的貸款、融通或其他信用風險承擔視為</w:t>
            </w:r>
            <w:r w:rsidRPr="00CA7301">
              <w:rPr>
                <w:rFonts w:cs="Segoe UI"/>
                <w:sz w:val="17"/>
                <w:szCs w:val="17"/>
                <w:lang w:eastAsia="it-IT"/>
              </w:rPr>
              <w:t>CET1</w:t>
            </w:r>
            <w:r w:rsidRPr="00CA7301">
              <w:rPr>
                <w:rFonts w:eastAsia="新細明體" w:cs="Segoe UI"/>
                <w:sz w:val="17"/>
                <w:szCs w:val="17"/>
                <w:lang w:eastAsia="it-IT"/>
              </w:rPr>
              <w:t>資本票據</w:t>
            </w:r>
            <w:r w:rsidRPr="00CA7301">
              <w:rPr>
                <w:rFonts w:eastAsia="細明體" w:cs="Segoe UI"/>
                <w:sz w:val="17"/>
                <w:szCs w:val="17"/>
                <w:lang w:eastAsia="it-IT"/>
              </w:rPr>
              <w:t>（</w:t>
            </w:r>
            <w:r w:rsidRPr="00CA7301">
              <w:rPr>
                <w:rFonts w:eastAsia="新細明體" w:cs="Segoe UI"/>
                <w:sz w:val="17"/>
                <w:szCs w:val="17"/>
                <w:lang w:eastAsia="it-IT"/>
              </w:rPr>
              <w:t>見上文有關模版</w:t>
            </w:r>
            <w:r w:rsidRPr="00CA7301">
              <w:rPr>
                <w:rFonts w:eastAsiaTheme="minorEastAsia" w:cs="Segoe UI"/>
                <w:sz w:val="17"/>
                <w:szCs w:val="17"/>
                <w:lang w:eastAsia="zh-TW"/>
              </w:rPr>
              <w:t>第</w:t>
            </w:r>
            <w:r w:rsidRPr="00CA7301">
              <w:rPr>
                <w:rFonts w:cs="Segoe UI"/>
                <w:sz w:val="17"/>
                <w:szCs w:val="17"/>
                <w:lang w:eastAsia="it-IT"/>
              </w:rPr>
              <w:t>18</w:t>
            </w:r>
            <w:r w:rsidRPr="00CA7301">
              <w:rPr>
                <w:rFonts w:eastAsia="新細明體" w:cs="Segoe UI"/>
                <w:sz w:val="17"/>
                <w:szCs w:val="17"/>
                <w:lang w:eastAsia="zh-TW"/>
              </w:rPr>
              <w:t>行</w:t>
            </w:r>
            <w:r w:rsidRPr="00CA7301">
              <w:rPr>
                <w:rFonts w:eastAsia="新細明體" w:cs="Segoe UI"/>
                <w:sz w:val="17"/>
                <w:szCs w:val="17"/>
                <w:lang w:eastAsia="it-IT"/>
              </w:rPr>
              <w:t>的附註</w:t>
            </w:r>
            <w:r w:rsidRPr="00CA7301">
              <w:rPr>
                <w:rFonts w:eastAsia="細明體" w:cs="Segoe UI"/>
                <w:sz w:val="17"/>
                <w:szCs w:val="17"/>
                <w:lang w:eastAsia="it-IT"/>
              </w:rPr>
              <w:t>）</w:t>
            </w:r>
            <w:r w:rsidRPr="00CA7301">
              <w:rPr>
                <w:rFonts w:eastAsia="新細明體" w:cs="Segoe UI"/>
                <w:sz w:val="17"/>
                <w:szCs w:val="17"/>
                <w:lang w:eastAsia="it-IT"/>
              </w:rPr>
              <w:t>須作出扣減的結果，將會令適用於在二級資本票據</w:t>
            </w:r>
            <w:r w:rsidR="00654621" w:rsidRPr="00654621">
              <w:rPr>
                <w:rFonts w:eastAsia="新細明體" w:cs="Segoe UI" w:hint="eastAsia"/>
                <w:sz w:val="17"/>
                <w:szCs w:val="17"/>
                <w:lang w:eastAsia="it-IT"/>
              </w:rPr>
              <w:t>及非資本</w:t>
            </w:r>
            <w:r w:rsidR="00654621" w:rsidRPr="00654621">
              <w:rPr>
                <w:rFonts w:eastAsia="新細明體" w:cs="Segoe UI"/>
                <w:sz w:val="17"/>
                <w:szCs w:val="17"/>
                <w:lang w:eastAsia="it-IT"/>
              </w:rPr>
              <w:t>LAC</w:t>
            </w:r>
            <w:r w:rsidR="00654621" w:rsidRPr="00654621">
              <w:rPr>
                <w:rFonts w:eastAsia="新細明體" w:cs="Segoe UI" w:hint="eastAsia"/>
                <w:sz w:val="17"/>
                <w:szCs w:val="17"/>
                <w:lang w:eastAsia="it-IT"/>
              </w:rPr>
              <w:t>負債</w:t>
            </w:r>
            <w:r w:rsidRPr="00CA7301">
              <w:rPr>
                <w:rFonts w:eastAsia="新細明體" w:cs="Segoe UI"/>
                <w:sz w:val="17"/>
                <w:szCs w:val="17"/>
                <w:lang w:eastAsia="it-IT"/>
              </w:rPr>
              <w:t>的其他非重大</w:t>
            </w:r>
            <w:r w:rsidR="00E02528">
              <w:rPr>
                <w:rFonts w:eastAsia="新細明體" w:cs="Segoe UI" w:hint="eastAsia"/>
                <w:sz w:val="17"/>
                <w:szCs w:val="17"/>
                <w:lang w:eastAsia="zh-TW"/>
              </w:rPr>
              <w:t>LAC</w:t>
            </w:r>
            <w:r w:rsidRPr="00CA7301">
              <w:rPr>
                <w:rFonts w:eastAsia="新細明體" w:cs="Segoe UI"/>
                <w:sz w:val="17"/>
                <w:szCs w:val="17"/>
                <w:lang w:eastAsia="it-IT"/>
              </w:rPr>
              <w:t>投資的資本扣減的豁免門檻空間可能有所縮小。因此，在</w:t>
            </w:r>
            <w:r w:rsidRPr="00CA7301">
              <w:rPr>
                <w:rFonts w:eastAsiaTheme="minorEastAsia" w:cs="Segoe UI"/>
                <w:sz w:val="17"/>
                <w:szCs w:val="17"/>
                <w:lang w:eastAsia="zh-TW"/>
              </w:rPr>
              <w:t>第</w:t>
            </w:r>
            <w:r w:rsidRPr="00CA7301">
              <w:rPr>
                <w:rFonts w:cs="Segoe UI"/>
                <w:sz w:val="17"/>
                <w:szCs w:val="17"/>
                <w:lang w:eastAsia="it-IT"/>
              </w:rPr>
              <w:t>54</w:t>
            </w:r>
            <w:r w:rsidRPr="00CA7301">
              <w:rPr>
                <w:rFonts w:eastAsia="新細明體" w:cs="Segoe UI"/>
                <w:sz w:val="17"/>
                <w:szCs w:val="17"/>
                <w:lang w:eastAsia="zh-TW"/>
              </w:rPr>
              <w:t>行</w:t>
            </w:r>
            <w:r w:rsidRPr="00CA7301">
              <w:rPr>
                <w:rFonts w:eastAsia="新細明體" w:cs="Segoe UI"/>
                <w:sz w:val="17"/>
                <w:szCs w:val="17"/>
                <w:lang w:eastAsia="it-IT"/>
              </w:rPr>
              <w:t>所填報須予扣減的數額可能會高於《巴塞爾協定三》規定須扣減的數額。在本格</w:t>
            </w:r>
            <w:r w:rsidRPr="00CA7301">
              <w:rPr>
                <w:rFonts w:eastAsia="新細明體" w:cs="Segoe UI"/>
                <w:sz w:val="17"/>
                <w:szCs w:val="17"/>
                <w:lang w:eastAsia="zh-TW"/>
              </w:rPr>
              <w:t>內</w:t>
            </w:r>
            <w:r w:rsidRPr="00CA7301">
              <w:rPr>
                <w:rFonts w:eastAsia="新細明體" w:cs="Segoe UI"/>
                <w:sz w:val="17"/>
                <w:szCs w:val="17"/>
                <w:lang w:eastAsia="it-IT"/>
              </w:rPr>
              <w:t>的「《巴塞爾協定三》基準」項下</w:t>
            </w:r>
            <w:r w:rsidRPr="00CA7301">
              <w:rPr>
                <w:rFonts w:eastAsia="新細明體" w:cs="Segoe UI"/>
                <w:sz w:val="17"/>
                <w:szCs w:val="17"/>
                <w:lang w:eastAsia="zh-TW"/>
              </w:rPr>
              <w:t>匯</w:t>
            </w:r>
            <w:r w:rsidRPr="00CA7301">
              <w:rPr>
                <w:rFonts w:eastAsia="新細明體" w:cs="Segoe UI"/>
                <w:sz w:val="17"/>
                <w:szCs w:val="17"/>
                <w:lang w:eastAsia="it-IT"/>
              </w:rPr>
              <w:t>報的數額為經調整的在</w:t>
            </w:r>
            <w:r w:rsidRPr="00CA7301">
              <w:rPr>
                <w:rFonts w:eastAsiaTheme="minorEastAsia" w:cs="Segoe UI"/>
                <w:sz w:val="17"/>
                <w:szCs w:val="17"/>
                <w:lang w:eastAsia="zh-TW"/>
              </w:rPr>
              <w:t>第</w:t>
            </w:r>
            <w:r w:rsidRPr="00CA7301">
              <w:rPr>
                <w:rFonts w:cs="Segoe UI"/>
                <w:sz w:val="17"/>
                <w:szCs w:val="17"/>
                <w:lang w:eastAsia="it-IT"/>
              </w:rPr>
              <w:t>54</w:t>
            </w:r>
            <w:r w:rsidRPr="00CA7301">
              <w:rPr>
                <w:rFonts w:eastAsia="新細明體" w:cs="Segoe UI"/>
                <w:sz w:val="17"/>
                <w:szCs w:val="17"/>
                <w:lang w:eastAsia="zh-TW"/>
              </w:rPr>
              <w:t>行</w:t>
            </w:r>
            <w:r w:rsidRPr="00CA7301">
              <w:rPr>
                <w:rFonts w:eastAsia="新細明體" w:cs="Segoe UI"/>
                <w:sz w:val="17"/>
                <w:szCs w:val="17"/>
                <w:lang w:eastAsia="it-IT"/>
              </w:rPr>
              <w:t>所</w:t>
            </w:r>
            <w:r w:rsidRPr="00CA7301">
              <w:rPr>
                <w:rFonts w:eastAsia="新細明體" w:cs="Segoe UI"/>
                <w:sz w:val="17"/>
                <w:szCs w:val="17"/>
                <w:lang w:eastAsia="zh-TW"/>
              </w:rPr>
              <w:t>匯</w:t>
            </w:r>
            <w:r w:rsidRPr="00CA7301">
              <w:rPr>
                <w:rFonts w:eastAsia="新細明體" w:cs="Segoe UI"/>
                <w:sz w:val="17"/>
                <w:szCs w:val="17"/>
                <w:lang w:eastAsia="it-IT"/>
              </w:rPr>
              <w:t>報的數額</w:t>
            </w:r>
            <w:r w:rsidRPr="00CA7301">
              <w:rPr>
                <w:rFonts w:eastAsia="細明體" w:cs="Segoe UI"/>
                <w:sz w:val="17"/>
                <w:szCs w:val="17"/>
                <w:lang w:eastAsia="it-IT"/>
              </w:rPr>
              <w:t>（</w:t>
            </w:r>
            <w:r w:rsidRPr="00CA7301">
              <w:rPr>
                <w:rFonts w:eastAsia="新細明體" w:cs="Segoe UI"/>
                <w:sz w:val="17"/>
                <w:szCs w:val="17"/>
                <w:lang w:eastAsia="it-IT"/>
              </w:rPr>
              <w:t>即在「香港基準」項下</w:t>
            </w:r>
            <w:r w:rsidRPr="00CA7301">
              <w:rPr>
                <w:rFonts w:eastAsia="新細明體" w:cs="Segoe UI"/>
                <w:sz w:val="17"/>
                <w:szCs w:val="17"/>
                <w:lang w:eastAsia="zh-TW"/>
              </w:rPr>
              <w:t>填</w:t>
            </w:r>
            <w:r w:rsidRPr="00CA7301">
              <w:rPr>
                <w:rFonts w:eastAsia="新細明體" w:cs="Segoe UI"/>
                <w:sz w:val="17"/>
                <w:szCs w:val="17"/>
                <w:lang w:eastAsia="it-IT"/>
              </w:rPr>
              <w:t>報的數額</w:t>
            </w:r>
            <w:r w:rsidRPr="00CA7301">
              <w:rPr>
                <w:rFonts w:eastAsia="細明體" w:cs="Segoe UI"/>
                <w:sz w:val="17"/>
                <w:szCs w:val="17"/>
                <w:lang w:eastAsia="it-IT"/>
              </w:rPr>
              <w:t>）</w:t>
            </w:r>
            <w:r w:rsidRPr="00CA7301">
              <w:rPr>
                <w:rFonts w:eastAsia="新細明體" w:cs="Segoe UI"/>
                <w:sz w:val="17"/>
                <w:szCs w:val="17"/>
                <w:lang w:eastAsia="it-IT"/>
              </w:rPr>
              <w:t>，而調整方法是豁除在香港採用的方法下須</w:t>
            </w:r>
            <w:r w:rsidRPr="00CA7301">
              <w:rPr>
                <w:rFonts w:eastAsia="新細明體" w:cs="Segoe UI"/>
                <w:sz w:val="17"/>
                <w:szCs w:val="17"/>
                <w:lang w:eastAsia="zh-TW"/>
              </w:rPr>
              <w:t>予</w:t>
            </w:r>
            <w:r w:rsidRPr="00CA7301">
              <w:rPr>
                <w:rFonts w:eastAsia="新細明體" w:cs="Segoe UI"/>
                <w:sz w:val="17"/>
                <w:szCs w:val="17"/>
                <w:lang w:eastAsia="it-IT"/>
              </w:rPr>
              <w:t>扣減的認可機構對有連繫公司的貸款、融通或其他信用風險承擔的合計總額。</w:t>
            </w:r>
          </w:p>
        </w:tc>
      </w:tr>
      <w:tr w:rsidR="00CA1B87" w:rsidRPr="00CA7301" w14:paraId="03609CED" w14:textId="77777777" w:rsidTr="00DF7027">
        <w:tblPrEx>
          <w:tblBorders>
            <w:top w:val="single" w:sz="4" w:space="0" w:color="auto"/>
            <w:left w:val="none" w:sz="0" w:space="0" w:color="auto"/>
            <w:bottom w:val="single" w:sz="4" w:space="0" w:color="auto"/>
            <w:right w:val="single" w:sz="4" w:space="0" w:color="auto"/>
            <w:insideH w:val="none" w:sz="0" w:space="0" w:color="auto"/>
            <w:insideV w:val="none" w:sz="0" w:space="0" w:color="auto"/>
          </w:tblBorders>
        </w:tblPrEx>
        <w:trPr>
          <w:cantSplit/>
          <w:trHeight w:val="270"/>
        </w:trPr>
        <w:tc>
          <w:tcPr>
            <w:tcW w:w="9214" w:type="dxa"/>
            <w:gridSpan w:val="4"/>
            <w:shd w:val="clear" w:color="auto" w:fill="auto"/>
          </w:tcPr>
          <w:p w14:paraId="5230B4BD" w14:textId="77777777" w:rsidR="00DF7027" w:rsidRPr="00DF7027" w:rsidRDefault="00DF7027" w:rsidP="00DF7027">
            <w:pPr>
              <w:snapToGrid w:val="0"/>
              <w:spacing w:before="40" w:after="40"/>
              <w:ind w:left="-567" w:rightChars="-99" w:right="-198" w:firstLine="570"/>
              <w:jc w:val="both"/>
              <w:rPr>
                <w:rFonts w:eastAsiaTheme="minorEastAsia" w:cs="Segoe UI"/>
                <w:sz w:val="17"/>
                <w:szCs w:val="17"/>
                <w:lang w:eastAsia="zh-TW"/>
              </w:rPr>
            </w:pPr>
            <w:r w:rsidRPr="00DF7027">
              <w:rPr>
                <w:rFonts w:eastAsiaTheme="minorEastAsia" w:cs="Segoe UI" w:hint="eastAsia"/>
                <w:sz w:val="17"/>
                <w:szCs w:val="17"/>
                <w:lang w:eastAsia="zh-TW"/>
              </w:rPr>
              <w:t>備註：</w:t>
            </w:r>
          </w:p>
          <w:p w14:paraId="79F33C63" w14:textId="31928C14" w:rsidR="00CA1B87" w:rsidRPr="00CA7301" w:rsidRDefault="00DF7027" w:rsidP="00DF7027">
            <w:pPr>
              <w:snapToGrid w:val="0"/>
              <w:spacing w:before="40" w:after="40"/>
              <w:ind w:left="3" w:rightChars="67" w:right="134"/>
              <w:jc w:val="both"/>
              <w:rPr>
                <w:rFonts w:cs="Segoe UI"/>
                <w:sz w:val="17"/>
                <w:szCs w:val="17"/>
                <w:lang w:eastAsia="it-IT"/>
              </w:rPr>
            </w:pPr>
            <w:r w:rsidRPr="00DF7027">
              <w:rPr>
                <w:rFonts w:eastAsiaTheme="minorEastAsia" w:cs="Segoe UI" w:hint="eastAsia"/>
                <w:sz w:val="17"/>
                <w:szCs w:val="17"/>
                <w:lang w:eastAsia="zh-TW"/>
              </w:rPr>
              <w:t>上文提及</w:t>
            </w:r>
            <w:r w:rsidRPr="00DF7027">
              <w:rPr>
                <w:rFonts w:eastAsiaTheme="minorEastAsia" w:cs="Segoe UI"/>
                <w:sz w:val="17"/>
                <w:szCs w:val="17"/>
                <w:lang w:eastAsia="zh-TW"/>
              </w:rPr>
              <w:t>10%</w:t>
            </w:r>
            <w:r w:rsidRPr="00DF7027">
              <w:rPr>
                <w:rFonts w:eastAsiaTheme="minorEastAsia" w:cs="Segoe UI" w:hint="eastAsia"/>
                <w:sz w:val="17"/>
                <w:szCs w:val="17"/>
                <w:lang w:eastAsia="zh-TW"/>
              </w:rPr>
              <w:t>門檻及</w:t>
            </w:r>
            <w:r w:rsidRPr="00DF7027">
              <w:rPr>
                <w:rFonts w:eastAsiaTheme="minorEastAsia" w:cs="Segoe UI"/>
                <w:sz w:val="17"/>
                <w:szCs w:val="17"/>
                <w:lang w:eastAsia="zh-TW"/>
              </w:rPr>
              <w:t>5%</w:t>
            </w:r>
            <w:r w:rsidRPr="00DF7027">
              <w:rPr>
                <w:rFonts w:eastAsiaTheme="minorEastAsia" w:cs="Segoe UI" w:hint="eastAsia"/>
                <w:sz w:val="17"/>
                <w:szCs w:val="17"/>
                <w:lang w:eastAsia="zh-TW"/>
              </w:rPr>
              <w:t>門檻是以按照《資本規則》附表</w:t>
            </w:r>
            <w:r w:rsidRPr="00DF7027">
              <w:rPr>
                <w:rFonts w:eastAsiaTheme="minorEastAsia" w:cs="Segoe UI"/>
                <w:sz w:val="17"/>
                <w:szCs w:val="17"/>
                <w:lang w:eastAsia="zh-TW"/>
              </w:rPr>
              <w:t>4F</w:t>
            </w:r>
            <w:r w:rsidRPr="00DF7027">
              <w:rPr>
                <w:rFonts w:eastAsiaTheme="minorEastAsia" w:cs="Segoe UI" w:hint="eastAsia"/>
                <w:sz w:val="17"/>
                <w:szCs w:val="17"/>
                <w:lang w:eastAsia="zh-TW"/>
              </w:rPr>
              <w:t>所載的扣減方法斷定的</w:t>
            </w:r>
            <w:r w:rsidRPr="00DF7027">
              <w:rPr>
                <w:rFonts w:eastAsiaTheme="minorEastAsia" w:cs="Segoe UI"/>
                <w:sz w:val="17"/>
                <w:szCs w:val="17"/>
                <w:lang w:eastAsia="zh-TW"/>
              </w:rPr>
              <w:t>CET1</w:t>
            </w:r>
            <w:r w:rsidRPr="00DF7027">
              <w:rPr>
                <w:rFonts w:eastAsiaTheme="minorEastAsia" w:cs="Segoe UI" w:hint="eastAsia"/>
                <w:sz w:val="17"/>
                <w:szCs w:val="17"/>
                <w:lang w:eastAsia="zh-TW"/>
              </w:rPr>
              <w:t>資本數額為基礎計算而得。</w:t>
            </w:r>
            <w:r w:rsidRPr="00DF7027">
              <w:rPr>
                <w:rFonts w:eastAsiaTheme="minorEastAsia" w:cs="Segoe UI"/>
                <w:sz w:val="17"/>
                <w:szCs w:val="17"/>
                <w:lang w:eastAsia="zh-TW"/>
              </w:rPr>
              <w:t>15%</w:t>
            </w:r>
            <w:r w:rsidRPr="00DF7027">
              <w:rPr>
                <w:rFonts w:eastAsiaTheme="minorEastAsia" w:cs="Segoe UI" w:hint="eastAsia"/>
                <w:sz w:val="17"/>
                <w:szCs w:val="17"/>
                <w:lang w:eastAsia="zh-TW"/>
              </w:rPr>
              <w:t>門檻是指巴塞爾委員會發出的《巴塞爾協定三》文本（</w:t>
            </w:r>
            <w:r w:rsidRPr="00DF7027">
              <w:rPr>
                <w:rFonts w:eastAsiaTheme="minorEastAsia" w:cs="Segoe UI"/>
                <w:sz w:val="17"/>
                <w:szCs w:val="17"/>
                <w:lang w:eastAsia="zh-TW"/>
              </w:rPr>
              <w:t>2010</w:t>
            </w:r>
            <w:r w:rsidRPr="00DF7027">
              <w:rPr>
                <w:rFonts w:eastAsiaTheme="minorEastAsia" w:cs="Segoe UI" w:hint="eastAsia"/>
                <w:sz w:val="17"/>
                <w:szCs w:val="17"/>
                <w:lang w:eastAsia="zh-TW"/>
              </w:rPr>
              <w:t>年</w:t>
            </w:r>
            <w:r w:rsidRPr="00DF7027">
              <w:rPr>
                <w:rFonts w:eastAsiaTheme="minorEastAsia" w:cs="Segoe UI"/>
                <w:sz w:val="17"/>
                <w:szCs w:val="17"/>
                <w:lang w:eastAsia="zh-TW"/>
              </w:rPr>
              <w:t>12</w:t>
            </w:r>
            <w:r w:rsidRPr="00DF7027">
              <w:rPr>
                <w:rFonts w:eastAsiaTheme="minorEastAsia" w:cs="Segoe UI" w:hint="eastAsia"/>
                <w:sz w:val="17"/>
                <w:szCs w:val="17"/>
                <w:lang w:eastAsia="zh-TW"/>
              </w:rPr>
              <w:t>月）第</w:t>
            </w:r>
            <w:r w:rsidRPr="00DF7027">
              <w:rPr>
                <w:rFonts w:eastAsiaTheme="minorEastAsia" w:cs="Segoe UI"/>
                <w:sz w:val="17"/>
                <w:szCs w:val="17"/>
                <w:lang w:eastAsia="zh-TW"/>
              </w:rPr>
              <w:t>88</w:t>
            </w:r>
            <w:r w:rsidRPr="00DF7027">
              <w:rPr>
                <w:rFonts w:eastAsiaTheme="minorEastAsia" w:cs="Segoe UI" w:hint="eastAsia"/>
                <w:sz w:val="17"/>
                <w:szCs w:val="17"/>
                <w:lang w:eastAsia="zh-TW"/>
              </w:rPr>
              <w:t>段所述，對香港的制度沒有影響。</w:t>
            </w:r>
          </w:p>
        </w:tc>
      </w:tr>
    </w:tbl>
    <w:p w14:paraId="769517E8" w14:textId="77777777" w:rsidR="00DF7027" w:rsidRPr="00DF7027" w:rsidRDefault="00DF7027" w:rsidP="00DF7027">
      <w:pPr>
        <w:snapToGrid w:val="0"/>
        <w:spacing w:before="40" w:after="40"/>
        <w:ind w:left="-567" w:rightChars="-99" w:right="-198"/>
        <w:jc w:val="both"/>
        <w:rPr>
          <w:rFonts w:eastAsiaTheme="minorEastAsia" w:cs="Segoe UI"/>
          <w:sz w:val="17"/>
          <w:szCs w:val="17"/>
          <w:lang w:eastAsia="zh-TW"/>
        </w:rPr>
      </w:pPr>
    </w:p>
    <w:tbl>
      <w:tblPr>
        <w:tblStyle w:val="TableGrid3"/>
        <w:tblW w:w="9214" w:type="dxa"/>
        <w:tblInd w:w="-459" w:type="dxa"/>
        <w:tblLayout w:type="fixed"/>
        <w:tblLook w:val="04A0" w:firstRow="1" w:lastRow="0" w:firstColumn="1" w:lastColumn="0" w:noHBand="0" w:noVBand="1"/>
      </w:tblPr>
      <w:tblGrid>
        <w:gridCol w:w="551"/>
        <w:gridCol w:w="8663"/>
      </w:tblGrid>
      <w:tr w:rsidR="00CA1B87" w:rsidRPr="00CA7301" w14:paraId="1A9B7A24" w14:textId="77777777" w:rsidTr="00F62652">
        <w:trPr>
          <w:tblHeader/>
        </w:trPr>
        <w:tc>
          <w:tcPr>
            <w:tcW w:w="9214" w:type="dxa"/>
            <w:gridSpan w:val="2"/>
            <w:shd w:val="clear" w:color="auto" w:fill="BFBFBF" w:themeFill="background1" w:themeFillShade="BF"/>
          </w:tcPr>
          <w:p w14:paraId="02448B2A" w14:textId="77777777" w:rsidR="00CA1B87" w:rsidRPr="00CA7301" w:rsidRDefault="00CA1B87" w:rsidP="00CA1B87">
            <w:pPr>
              <w:spacing w:before="40" w:after="40"/>
              <w:jc w:val="both"/>
              <w:rPr>
                <w:rFonts w:eastAsiaTheme="minorEastAsia" w:cs="Segoe UI"/>
                <w:b/>
                <w:sz w:val="17"/>
                <w:szCs w:val="17"/>
                <w:lang w:eastAsia="en-GB"/>
              </w:rPr>
            </w:pPr>
            <w:proofErr w:type="gramStart"/>
            <w:r w:rsidRPr="00CA7301">
              <w:rPr>
                <w:rFonts w:eastAsiaTheme="minorEastAsia" w:cs="Segoe UI"/>
                <w:b/>
                <w:sz w:val="17"/>
                <w:szCs w:val="17"/>
                <w:lang w:eastAsia="zh-TW"/>
              </w:rPr>
              <w:t>註</w:t>
            </w:r>
            <w:proofErr w:type="gramEnd"/>
            <w:r w:rsidRPr="00CA7301">
              <w:rPr>
                <w:rFonts w:eastAsiaTheme="minorEastAsia" w:cs="Segoe UI"/>
                <w:b/>
                <w:sz w:val="17"/>
                <w:szCs w:val="17"/>
                <w:lang w:eastAsia="zh-TW"/>
              </w:rPr>
              <w:t>釋</w:t>
            </w:r>
          </w:p>
        </w:tc>
      </w:tr>
      <w:tr w:rsidR="00CA1B87" w:rsidRPr="00CA7301" w14:paraId="53CE4DBC" w14:textId="77777777" w:rsidTr="00F62652">
        <w:trPr>
          <w:trHeight w:val="153"/>
        </w:trPr>
        <w:tc>
          <w:tcPr>
            <w:tcW w:w="9214" w:type="dxa"/>
            <w:gridSpan w:val="2"/>
            <w:shd w:val="clear" w:color="auto" w:fill="F2F2F2" w:themeFill="background1" w:themeFillShade="F2"/>
          </w:tcPr>
          <w:p w14:paraId="59A96D2D" w14:textId="77777777" w:rsidR="00CA1B87" w:rsidRPr="00CA7301" w:rsidRDefault="00CA1B87" w:rsidP="00CA1B87">
            <w:pPr>
              <w:spacing w:before="40" w:after="40"/>
              <w:jc w:val="both"/>
              <w:rPr>
                <w:rFonts w:eastAsiaTheme="minorEastAsia" w:cs="Segoe UI"/>
                <w:b/>
                <w:sz w:val="17"/>
                <w:szCs w:val="17"/>
                <w:lang w:eastAsia="en-GB"/>
              </w:rPr>
            </w:pPr>
            <w:r w:rsidRPr="00CA7301">
              <w:rPr>
                <w:rFonts w:eastAsiaTheme="minorEastAsia" w:cs="Segoe UI"/>
                <w:b/>
                <w:sz w:val="17"/>
                <w:szCs w:val="17"/>
                <w:lang w:eastAsia="zh-TW"/>
              </w:rPr>
              <w:t>欄</w:t>
            </w:r>
          </w:p>
        </w:tc>
      </w:tr>
      <w:tr w:rsidR="00CA1B87" w:rsidRPr="00CA7301" w14:paraId="42C50ECB" w14:textId="77777777" w:rsidTr="00F62652">
        <w:tc>
          <w:tcPr>
            <w:tcW w:w="551" w:type="dxa"/>
          </w:tcPr>
          <w:p w14:paraId="2C88FED6"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(a)</w:t>
            </w:r>
          </w:p>
        </w:tc>
        <w:tc>
          <w:tcPr>
            <w:tcW w:w="8663" w:type="dxa"/>
          </w:tcPr>
          <w:p w14:paraId="1EA533E8" w14:textId="0D10F66C" w:rsidR="00CA1B87" w:rsidRPr="00CA7301" w:rsidRDefault="00CA1B87" w:rsidP="00CA1B87">
            <w:pPr>
              <w:keepNext/>
              <w:spacing w:before="40" w:after="40"/>
              <w:jc w:val="both"/>
              <w:rPr>
                <w:rFonts w:cs="Segoe UI"/>
                <w:sz w:val="17"/>
                <w:szCs w:val="17"/>
                <w:lang w:eastAsia="zh-TW"/>
              </w:rPr>
            </w:pPr>
            <w:r w:rsidRPr="00CA7301">
              <w:rPr>
                <w:rFonts w:eastAsiaTheme="minorEastAsia" w:cs="Segoe UI"/>
                <w:sz w:val="17"/>
                <w:szCs w:val="17"/>
                <w:lang w:eastAsia="zh-TW"/>
              </w:rPr>
              <w:t>除非認可機構為披露目的而貫徹使用另一種貨幣</w:t>
            </w:r>
            <w:r w:rsidR="00466AFB" w:rsidRPr="00466AFB">
              <w:rPr>
                <w:rFonts w:eastAsiaTheme="minorEastAsia" w:cs="Segoe UI" w:hint="eastAsia"/>
                <w:sz w:val="17"/>
                <w:szCs w:val="17"/>
                <w:lang w:eastAsia="zh-TW"/>
              </w:rPr>
              <w:t>填</w:t>
            </w:r>
            <w:r w:rsidRPr="00CA7301">
              <w:rPr>
                <w:rFonts w:eastAsiaTheme="minorEastAsia" w:cs="Segoe UI"/>
                <w:sz w:val="17"/>
                <w:szCs w:val="17"/>
                <w:lang w:eastAsia="zh-TW"/>
              </w:rPr>
              <w:t>報，否則所有數額應以港元</w:t>
            </w:r>
            <w:r w:rsidR="00466AFB" w:rsidRPr="00466AFB">
              <w:rPr>
                <w:rFonts w:eastAsiaTheme="minorEastAsia" w:cs="Segoe UI" w:hint="eastAsia"/>
                <w:sz w:val="17"/>
                <w:szCs w:val="17"/>
                <w:lang w:eastAsia="zh-TW"/>
              </w:rPr>
              <w:t>填</w:t>
            </w:r>
            <w:r w:rsidRPr="00CA7301">
              <w:rPr>
                <w:rFonts w:eastAsiaTheme="minorEastAsia" w:cs="Segoe UI"/>
                <w:sz w:val="17"/>
                <w:szCs w:val="17"/>
                <w:lang w:eastAsia="zh-TW"/>
              </w:rPr>
              <w:t>報。</w:t>
            </w:r>
          </w:p>
        </w:tc>
      </w:tr>
      <w:tr w:rsidR="00CA1B87" w:rsidRPr="00CA7301" w14:paraId="5EBED0C8" w14:textId="77777777" w:rsidTr="00F62652">
        <w:tc>
          <w:tcPr>
            <w:tcW w:w="551" w:type="dxa"/>
          </w:tcPr>
          <w:p w14:paraId="1CD54E7A"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(b)</w:t>
            </w:r>
          </w:p>
        </w:tc>
        <w:tc>
          <w:tcPr>
            <w:tcW w:w="8663" w:type="dxa"/>
          </w:tcPr>
          <w:p w14:paraId="3E3051CC" w14:textId="5FDA6668" w:rsidR="00CA1B87" w:rsidRPr="00CA7301" w:rsidRDefault="00CA1B87" w:rsidP="00D30460">
            <w:pPr>
              <w:keepNext/>
              <w:spacing w:before="40" w:after="40"/>
              <w:jc w:val="both"/>
              <w:rPr>
                <w:rFonts w:cs="Segoe UI"/>
                <w:sz w:val="17"/>
                <w:szCs w:val="17"/>
                <w:lang w:eastAsia="zh-TW"/>
              </w:rPr>
            </w:pPr>
            <w:r w:rsidRPr="00CA7301">
              <w:rPr>
                <w:rFonts w:eastAsiaTheme="minorEastAsia" w:cs="Segoe UI"/>
                <w:sz w:val="17"/>
                <w:szCs w:val="17"/>
                <w:lang w:eastAsia="zh-TW"/>
              </w:rPr>
              <w:t>認可機構須填報</w:t>
            </w:r>
            <w:r w:rsidRPr="00CA7301">
              <w:rPr>
                <w:rFonts w:cs="Segoe UI"/>
                <w:sz w:val="17"/>
                <w:szCs w:val="17"/>
                <w:lang w:eastAsia="zh-TW"/>
              </w:rPr>
              <w:t>(b)</w:t>
            </w:r>
            <w:r w:rsidRPr="00CA7301">
              <w:rPr>
                <w:rFonts w:eastAsiaTheme="minorEastAsia" w:cs="Segoe UI"/>
                <w:sz w:val="17"/>
                <w:szCs w:val="17"/>
                <w:lang w:eastAsia="zh-TW"/>
              </w:rPr>
              <w:t>欄，列明每</w:t>
            </w:r>
            <w:proofErr w:type="gramStart"/>
            <w:r w:rsidRPr="00CA7301">
              <w:rPr>
                <w:rFonts w:eastAsiaTheme="minorEastAsia" w:cs="Segoe UI"/>
                <w:sz w:val="17"/>
                <w:szCs w:val="17"/>
                <w:lang w:eastAsia="zh-TW"/>
              </w:rPr>
              <w:t>個</w:t>
            </w:r>
            <w:proofErr w:type="gramEnd"/>
            <w:r w:rsidRPr="00CA7301">
              <w:rPr>
                <w:rFonts w:eastAsiaTheme="minorEastAsia" w:cs="Segoe UI"/>
                <w:sz w:val="17"/>
                <w:szCs w:val="17"/>
                <w:lang w:eastAsia="zh-TW"/>
              </w:rPr>
              <w:t>主要進項的來源，並須與模版</w:t>
            </w:r>
            <w:r w:rsidRPr="00CA7301">
              <w:rPr>
                <w:rFonts w:cs="Segoe UI"/>
                <w:sz w:val="17"/>
                <w:szCs w:val="17"/>
                <w:lang w:eastAsia="zh-TW"/>
              </w:rPr>
              <w:t>CC2</w:t>
            </w:r>
            <w:r w:rsidRPr="00CA7301">
              <w:rPr>
                <w:rFonts w:eastAsiaTheme="minorEastAsia" w:cs="Segoe UI"/>
                <w:sz w:val="17"/>
                <w:szCs w:val="17"/>
                <w:lang w:eastAsia="zh-TW"/>
              </w:rPr>
              <w:t>的對應行交叉參照。這是</w:t>
            </w:r>
            <w:r w:rsidR="000D3270" w:rsidRPr="00CA7301">
              <w:rPr>
                <w:rFonts w:eastAsia="新細明體" w:cs="Segoe UI"/>
                <w:sz w:val="17"/>
                <w:szCs w:val="17"/>
                <w:lang w:eastAsia="zh-TW"/>
              </w:rPr>
              <w:t>巴塞爾</w:t>
            </w:r>
            <w:r w:rsidR="000D3270">
              <w:rPr>
                <w:rFonts w:eastAsia="新細明體" w:cs="Segoe UI" w:hint="eastAsia"/>
                <w:sz w:val="17"/>
                <w:szCs w:val="17"/>
                <w:lang w:eastAsia="zh-HK"/>
              </w:rPr>
              <w:t>框架</w:t>
            </w:r>
            <w:r w:rsidR="00466AFB" w:rsidRPr="00466AFB">
              <w:rPr>
                <w:rFonts w:eastAsia="新細明體" w:cs="Segoe UI" w:hint="eastAsia"/>
                <w:sz w:val="17"/>
                <w:szCs w:val="17"/>
                <w:lang w:eastAsia="zh-HK"/>
              </w:rPr>
              <w:t>第</w:t>
            </w:r>
            <w:r w:rsidR="000D3270">
              <w:rPr>
                <w:rFonts w:eastAsia="新細明體" w:cs="Segoe UI" w:hint="eastAsia"/>
                <w:sz w:val="17"/>
                <w:szCs w:val="17"/>
                <w:lang w:eastAsia="zh-TW"/>
              </w:rPr>
              <w:t>DIS25</w:t>
            </w:r>
            <w:r w:rsidR="00974805">
              <w:rPr>
                <w:rFonts w:eastAsia="新細明體" w:cs="Segoe UI" w:hint="eastAsia"/>
                <w:sz w:val="17"/>
                <w:szCs w:val="17"/>
                <w:lang w:eastAsia="zh-HK"/>
              </w:rPr>
              <w:t>章</w:t>
            </w:r>
            <w:r w:rsidRPr="00CA7301">
              <w:rPr>
                <w:rFonts w:eastAsiaTheme="minorEastAsia" w:cs="Segoe UI"/>
                <w:sz w:val="17"/>
                <w:szCs w:val="17"/>
                <w:lang w:eastAsia="zh-TW"/>
              </w:rPr>
              <w:t>所解釋的「三步</w:t>
            </w:r>
            <w:proofErr w:type="gramStart"/>
            <w:r w:rsidRPr="00CA7301">
              <w:rPr>
                <w:rFonts w:eastAsiaTheme="minorEastAsia" w:cs="Segoe UI"/>
                <w:sz w:val="17"/>
                <w:szCs w:val="17"/>
                <w:lang w:eastAsia="zh-TW"/>
              </w:rPr>
              <w:t>對帳法</w:t>
            </w:r>
            <w:proofErr w:type="gramEnd"/>
            <w:r w:rsidRPr="00CA7301">
              <w:rPr>
                <w:rFonts w:eastAsiaTheme="minorEastAsia" w:cs="Segoe UI"/>
                <w:sz w:val="17"/>
                <w:szCs w:val="17"/>
                <w:lang w:eastAsia="zh-TW"/>
              </w:rPr>
              <w:t>」</w:t>
            </w:r>
            <w:r w:rsidRPr="00CA7301">
              <w:rPr>
                <w:rFonts w:eastAsiaTheme="minorEastAsia" w:cs="Segoe UI"/>
                <w:sz w:val="17"/>
                <w:szCs w:val="17"/>
                <w:lang w:eastAsia="zh-TW"/>
              </w:rPr>
              <w:t>(three-step approach)</w:t>
            </w:r>
            <w:r w:rsidRPr="00CA7301">
              <w:rPr>
                <w:rFonts w:eastAsiaTheme="minorEastAsia" w:cs="Segoe UI"/>
                <w:sz w:val="17"/>
                <w:szCs w:val="17"/>
                <w:lang w:eastAsia="zh-TW"/>
              </w:rPr>
              <w:t>的第</w:t>
            </w:r>
            <w:r w:rsidRPr="00CA7301">
              <w:rPr>
                <w:rFonts w:eastAsiaTheme="minorEastAsia" w:cs="Segoe UI"/>
                <w:sz w:val="17"/>
                <w:szCs w:val="17"/>
                <w:lang w:eastAsia="zh-TW"/>
              </w:rPr>
              <w:t>3</w:t>
            </w:r>
            <w:r w:rsidRPr="00CA7301">
              <w:rPr>
                <w:rFonts w:eastAsiaTheme="minorEastAsia" w:cs="Segoe UI"/>
                <w:sz w:val="17"/>
                <w:szCs w:val="17"/>
                <w:lang w:eastAsia="zh-TW"/>
              </w:rPr>
              <w:t>步。</w:t>
            </w:r>
          </w:p>
        </w:tc>
      </w:tr>
      <w:tr w:rsidR="00CA1B87" w:rsidRPr="00CA7301" w14:paraId="482A3496" w14:textId="77777777" w:rsidTr="00F62652">
        <w:trPr>
          <w:trHeight w:val="373"/>
        </w:trPr>
        <w:tc>
          <w:tcPr>
            <w:tcW w:w="9214" w:type="dxa"/>
            <w:gridSpan w:val="2"/>
            <w:shd w:val="clear" w:color="auto" w:fill="F2F2F2" w:themeFill="background1" w:themeFillShade="F2"/>
          </w:tcPr>
          <w:p w14:paraId="595C620B" w14:textId="77777777" w:rsidR="00CA1B87" w:rsidRPr="00CA7301" w:rsidRDefault="00CA1B87" w:rsidP="00CA1B87">
            <w:pPr>
              <w:spacing w:before="40" w:after="40"/>
              <w:jc w:val="both"/>
              <w:rPr>
                <w:rFonts w:cs="Segoe UI"/>
                <w:i/>
                <w:sz w:val="17"/>
                <w:szCs w:val="17"/>
              </w:rPr>
            </w:pPr>
            <w:r w:rsidRPr="00CA7301">
              <w:rPr>
                <w:rFonts w:eastAsiaTheme="minorEastAsia" w:cs="Segoe UI"/>
                <w:b/>
                <w:sz w:val="17"/>
                <w:szCs w:val="17"/>
                <w:lang w:eastAsia="zh-TW"/>
              </w:rPr>
              <w:t>行</w:t>
            </w:r>
          </w:p>
        </w:tc>
      </w:tr>
      <w:tr w:rsidR="00CA1B87" w:rsidRPr="00CA7301" w14:paraId="0FFCC52C" w14:textId="77777777" w:rsidTr="00F62652">
        <w:trPr>
          <w:trHeight w:val="373"/>
        </w:trPr>
        <w:tc>
          <w:tcPr>
            <w:tcW w:w="551" w:type="dxa"/>
          </w:tcPr>
          <w:p w14:paraId="16302A3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w:t>
            </w:r>
          </w:p>
        </w:tc>
        <w:tc>
          <w:tcPr>
            <w:tcW w:w="8663" w:type="dxa"/>
          </w:tcPr>
          <w:p w14:paraId="50D17EDD"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認可機構發行符合《資本規則》附表</w:t>
            </w:r>
            <w:r w:rsidRPr="00CA7301">
              <w:rPr>
                <w:rFonts w:cs="Segoe UI"/>
                <w:sz w:val="17"/>
                <w:szCs w:val="17"/>
                <w:lang w:eastAsia="zh-TW"/>
              </w:rPr>
              <w:t>4A</w:t>
            </w:r>
            <w:r w:rsidRPr="00CA7301">
              <w:rPr>
                <w:rFonts w:eastAsia="新細明體" w:cs="Segoe UI"/>
                <w:sz w:val="17"/>
                <w:szCs w:val="17"/>
                <w:lang w:eastAsia="zh-TW"/>
              </w:rPr>
              <w:t>列載的</w:t>
            </w:r>
            <w:r w:rsidRPr="00CA7301">
              <w:rPr>
                <w:rFonts w:cs="Segoe UI"/>
                <w:sz w:val="17"/>
                <w:szCs w:val="17"/>
                <w:lang w:eastAsia="zh-TW"/>
              </w:rPr>
              <w:t>CET1</w:t>
            </w:r>
            <w:r w:rsidRPr="00CA7301">
              <w:rPr>
                <w:rFonts w:eastAsiaTheme="minorEastAsia" w:cs="Segoe UI"/>
                <w:sz w:val="17"/>
                <w:szCs w:val="17"/>
                <w:lang w:eastAsia="zh-TW"/>
              </w:rPr>
              <w:t>資本</w:t>
            </w:r>
            <w:r w:rsidRPr="00CA7301">
              <w:rPr>
                <w:rFonts w:eastAsia="新細明體" w:cs="Segoe UI"/>
                <w:sz w:val="17"/>
                <w:szCs w:val="17"/>
                <w:lang w:eastAsia="zh-TW"/>
              </w:rPr>
              <w:t>的所有合資格準則的票據。有關數額應為普通股（及任何相關股份溢價）及符合</w:t>
            </w:r>
            <w:proofErr w:type="gramStart"/>
            <w:r w:rsidRPr="00CA7301">
              <w:rPr>
                <w:rFonts w:eastAsia="新細明體" w:cs="Segoe UI"/>
                <w:sz w:val="17"/>
                <w:szCs w:val="17"/>
                <w:lang w:eastAsia="zh-TW"/>
              </w:rPr>
              <w:t>合</w:t>
            </w:r>
            <w:proofErr w:type="gramEnd"/>
            <w:r w:rsidRPr="00CA7301">
              <w:rPr>
                <w:rFonts w:eastAsia="新細明體" w:cs="Segoe UI"/>
                <w:sz w:val="17"/>
                <w:szCs w:val="17"/>
                <w:lang w:eastAsia="zh-TW"/>
              </w:rPr>
              <w:t>資格準則的其他資本票據（如屬非合股公司）兩者之</w:t>
            </w:r>
            <w:proofErr w:type="gramStart"/>
            <w:r w:rsidRPr="00CA7301">
              <w:rPr>
                <w:rFonts w:eastAsia="新細明體" w:cs="Segoe UI"/>
                <w:sz w:val="17"/>
                <w:szCs w:val="17"/>
                <w:lang w:eastAsia="zh-TW"/>
              </w:rPr>
              <w:t>和</w:t>
            </w:r>
            <w:proofErr w:type="gramEnd"/>
            <w:r w:rsidRPr="00CA7301">
              <w:rPr>
                <w:rFonts w:eastAsia="新細明體" w:cs="Segoe UI"/>
                <w:sz w:val="17"/>
                <w:szCs w:val="17"/>
                <w:lang w:eastAsia="zh-TW"/>
              </w:rPr>
              <w:t>。這個項目應扣除庫存股及</w:t>
            </w:r>
            <w:r w:rsidRPr="00CA7301">
              <w:rPr>
                <w:rFonts w:eastAsiaTheme="majorEastAsia" w:cs="Segoe UI"/>
                <w:color w:val="000000"/>
                <w:sz w:val="17"/>
                <w:szCs w:val="17"/>
                <w:lang w:eastAsia="zh-TW"/>
              </w:rPr>
              <w:t>其</w:t>
            </w:r>
            <w:r w:rsidRPr="00CA7301">
              <w:rPr>
                <w:rFonts w:eastAsia="新細明體" w:cs="Segoe UI"/>
                <w:sz w:val="17"/>
                <w:szCs w:val="17"/>
                <w:lang w:eastAsia="zh-TW"/>
              </w:rPr>
              <w:t>他於機構本身的股份的投資</w:t>
            </w:r>
            <w:r w:rsidRPr="00CA7301">
              <w:rPr>
                <w:rFonts w:eastAsia="新細明體" w:cs="Segoe UI"/>
                <w:sz w:val="15"/>
                <w:szCs w:val="17"/>
                <w:lang w:eastAsia="zh-TW"/>
              </w:rPr>
              <w:t>，</w:t>
            </w:r>
            <w:r w:rsidRPr="00CA7301">
              <w:rPr>
                <w:rFonts w:eastAsia="新細明體" w:cs="Segoe UI"/>
                <w:sz w:val="17"/>
                <w:szCs w:val="17"/>
                <w:lang w:eastAsia="zh-TW"/>
              </w:rPr>
              <w:t>但如該等投資已按照相關會計準則於資產負債表內撤銷確認則不在此限。其他實繳資本項目</w:t>
            </w:r>
            <w:proofErr w:type="gramStart"/>
            <w:r w:rsidRPr="00CA7301">
              <w:rPr>
                <w:rFonts w:eastAsia="新細明體" w:cs="Segoe UI"/>
                <w:sz w:val="17"/>
                <w:szCs w:val="17"/>
                <w:lang w:eastAsia="zh-TW"/>
              </w:rPr>
              <w:t>必須豁除</w:t>
            </w:r>
            <w:proofErr w:type="gramEnd"/>
            <w:r w:rsidRPr="00CA7301">
              <w:rPr>
                <w:rFonts w:eastAsia="新細明體" w:cs="Segoe UI"/>
                <w:sz w:val="17"/>
                <w:szCs w:val="17"/>
                <w:lang w:eastAsia="zh-TW"/>
              </w:rPr>
              <w:t>；所有少數股東權益亦</w:t>
            </w:r>
            <w:proofErr w:type="gramStart"/>
            <w:r w:rsidRPr="00CA7301">
              <w:rPr>
                <w:rFonts w:eastAsia="新細明體" w:cs="Segoe UI"/>
                <w:sz w:val="17"/>
                <w:szCs w:val="17"/>
                <w:lang w:eastAsia="zh-TW"/>
              </w:rPr>
              <w:t>必須豁除</w:t>
            </w:r>
            <w:proofErr w:type="gramEnd"/>
            <w:r w:rsidRPr="00CA7301">
              <w:rPr>
                <w:rFonts w:eastAsia="新細明體" w:cs="Segoe UI"/>
                <w:sz w:val="17"/>
                <w:szCs w:val="17"/>
                <w:lang w:eastAsia="zh-TW"/>
              </w:rPr>
              <w:t>。</w:t>
            </w:r>
          </w:p>
        </w:tc>
      </w:tr>
      <w:tr w:rsidR="00CA1B87" w:rsidRPr="00CA7301" w14:paraId="050B655D" w14:textId="77777777" w:rsidTr="00F62652">
        <w:trPr>
          <w:trHeight w:val="373"/>
        </w:trPr>
        <w:tc>
          <w:tcPr>
            <w:tcW w:w="551" w:type="dxa"/>
          </w:tcPr>
          <w:p w14:paraId="6F24D72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w:t>
            </w:r>
          </w:p>
        </w:tc>
        <w:tc>
          <w:tcPr>
            <w:tcW w:w="8663" w:type="dxa"/>
          </w:tcPr>
          <w:p w14:paraId="735E55B8" w14:textId="77777777" w:rsidR="00CA1B87" w:rsidRPr="00CA7301" w:rsidRDefault="00CA1B87" w:rsidP="00D414B9">
            <w:pPr>
              <w:keepNext/>
              <w:spacing w:before="40" w:after="40"/>
              <w:jc w:val="both"/>
              <w:rPr>
                <w:rFonts w:cs="Segoe UI"/>
                <w:sz w:val="17"/>
                <w:szCs w:val="17"/>
                <w:lang w:eastAsia="zh-TW"/>
              </w:rPr>
            </w:pPr>
            <w:r w:rsidRPr="00CA7301">
              <w:rPr>
                <w:rFonts w:eastAsia="新細明體" w:cs="Segoe UI"/>
                <w:sz w:val="17"/>
                <w:szCs w:val="17"/>
                <w:lang w:eastAsia="zh-TW"/>
              </w:rPr>
              <w:t>根據《資本規則》第</w:t>
            </w:r>
            <w:r w:rsidRPr="00CA7301">
              <w:rPr>
                <w:rFonts w:cs="Segoe UI"/>
                <w:sz w:val="17"/>
                <w:szCs w:val="17"/>
                <w:lang w:eastAsia="zh-TW"/>
              </w:rPr>
              <w:t>38(1)(c)</w:t>
            </w:r>
            <w:r w:rsidRPr="00CA7301">
              <w:rPr>
                <w:rFonts w:eastAsia="新細明體" w:cs="Segoe UI"/>
                <w:sz w:val="17"/>
                <w:szCs w:val="17"/>
                <w:lang w:eastAsia="zh-TW"/>
              </w:rPr>
              <w:t>條計算的所有監管扣減之前的</w:t>
            </w:r>
            <w:proofErr w:type="gramStart"/>
            <w:r w:rsidRPr="00CA7301">
              <w:rPr>
                <w:rFonts w:eastAsia="新細明體" w:cs="Segoe UI"/>
                <w:sz w:val="17"/>
                <w:szCs w:val="17"/>
                <w:lang w:eastAsia="zh-TW"/>
              </w:rPr>
              <w:t>保留溢利</w:t>
            </w:r>
            <w:proofErr w:type="gramEnd"/>
            <w:r w:rsidRPr="00CA7301">
              <w:rPr>
                <w:rFonts w:eastAsia="新細明體" w:cs="Segoe UI"/>
                <w:sz w:val="17"/>
                <w:szCs w:val="17"/>
                <w:lang w:eastAsia="zh-TW"/>
              </w:rPr>
              <w:t>。就中期披露而言，此</w:t>
            </w:r>
            <w:r w:rsidRPr="00CA7301">
              <w:rPr>
                <w:rFonts w:eastAsiaTheme="minorEastAsia" w:cs="Segoe UI"/>
                <w:sz w:val="17"/>
                <w:szCs w:val="17"/>
                <w:lang w:eastAsia="zh-TW"/>
              </w:rPr>
              <w:t>行</w:t>
            </w:r>
            <w:r w:rsidRPr="00CA7301">
              <w:rPr>
                <w:rFonts w:eastAsia="新細明體" w:cs="Segoe UI"/>
                <w:sz w:val="17"/>
                <w:szCs w:val="17"/>
                <w:lang w:eastAsia="zh-TW"/>
              </w:rPr>
              <w:t>應填報認可機構的中期財務報表所公布有關報</w:t>
            </w:r>
            <w:r w:rsidR="00D414B9" w:rsidRPr="00CA7301">
              <w:rPr>
                <w:rFonts w:eastAsia="新細明體" w:cs="Segoe UI"/>
                <w:sz w:val="17"/>
                <w:szCs w:val="17"/>
                <w:lang w:eastAsia="zh-TW"/>
              </w:rPr>
              <w:t>告</w:t>
            </w:r>
            <w:r w:rsidRPr="00CA7301">
              <w:rPr>
                <w:rFonts w:eastAsia="新細明體" w:cs="Segoe UI"/>
                <w:sz w:val="17"/>
                <w:szCs w:val="17"/>
                <w:lang w:eastAsia="zh-TW"/>
              </w:rPr>
              <w:t>期的盈利或虧損（亦因此須進行內部覆檢）；而就年度披露而言，此</w:t>
            </w:r>
            <w:r w:rsidRPr="00CA7301">
              <w:rPr>
                <w:rFonts w:eastAsiaTheme="minorEastAsia" w:cs="Segoe UI"/>
                <w:sz w:val="17"/>
                <w:szCs w:val="17"/>
                <w:lang w:eastAsia="zh-TW"/>
              </w:rPr>
              <w:t>行</w:t>
            </w:r>
            <w:r w:rsidRPr="00CA7301">
              <w:rPr>
                <w:rFonts w:eastAsia="新細明體" w:cs="Segoe UI"/>
                <w:sz w:val="17"/>
                <w:szCs w:val="17"/>
                <w:lang w:eastAsia="zh-TW"/>
              </w:rPr>
              <w:t>應填報其周年財務報表所公布的經審計盈利或虧損。股息按照適用會計準則予以移除，即在認可機構從其資產負債表移除股息時亦應從此</w:t>
            </w:r>
            <w:r w:rsidRPr="00CA7301">
              <w:rPr>
                <w:rFonts w:eastAsiaTheme="minorEastAsia" w:cs="Segoe UI"/>
                <w:sz w:val="17"/>
                <w:szCs w:val="17"/>
                <w:lang w:eastAsia="zh-TW"/>
              </w:rPr>
              <w:t>行</w:t>
            </w:r>
            <w:r w:rsidRPr="00CA7301">
              <w:rPr>
                <w:rFonts w:eastAsia="新細明體" w:cs="Segoe UI"/>
                <w:sz w:val="17"/>
                <w:szCs w:val="17"/>
                <w:lang w:eastAsia="zh-TW"/>
              </w:rPr>
              <w:t>移除有關股息。</w:t>
            </w:r>
          </w:p>
        </w:tc>
      </w:tr>
      <w:tr w:rsidR="00CA1B87" w:rsidRPr="00CA7301" w14:paraId="7FCCE1FB" w14:textId="77777777" w:rsidTr="00F62652">
        <w:trPr>
          <w:trHeight w:val="373"/>
        </w:trPr>
        <w:tc>
          <w:tcPr>
            <w:tcW w:w="551" w:type="dxa"/>
          </w:tcPr>
          <w:p w14:paraId="213C5B75"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w:t>
            </w:r>
          </w:p>
        </w:tc>
        <w:tc>
          <w:tcPr>
            <w:tcW w:w="8663" w:type="dxa"/>
          </w:tcPr>
          <w:p w14:paraId="238D5399"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所有監管調整之前的已披露儲備</w:t>
            </w:r>
            <w:r w:rsidRPr="00CA7301">
              <w:rPr>
                <w:rFonts w:eastAsia="細明體" w:cs="Segoe UI"/>
                <w:sz w:val="17"/>
                <w:szCs w:val="17"/>
                <w:lang w:eastAsia="zh-TW"/>
              </w:rPr>
              <w:t>（</w:t>
            </w:r>
            <w:r w:rsidRPr="00CA7301">
              <w:rPr>
                <w:rFonts w:eastAsia="新細明體" w:cs="Segoe UI"/>
                <w:sz w:val="17"/>
                <w:szCs w:val="17"/>
                <w:lang w:eastAsia="zh-TW"/>
              </w:rPr>
              <w:t>包括累計的其他全面收益</w:t>
            </w:r>
            <w:r w:rsidRPr="00CA7301">
              <w:rPr>
                <w:rFonts w:eastAsia="細明體" w:cs="Segoe UI"/>
                <w:sz w:val="17"/>
                <w:szCs w:val="17"/>
                <w:lang w:eastAsia="zh-TW"/>
              </w:rPr>
              <w:t>）</w:t>
            </w:r>
            <w:r w:rsidRPr="00CA7301">
              <w:rPr>
                <w:rFonts w:eastAsia="新細明體" w:cs="Segoe UI"/>
                <w:sz w:val="17"/>
                <w:szCs w:val="17"/>
                <w:lang w:eastAsia="zh-TW"/>
              </w:rPr>
              <w:t>。</w:t>
            </w:r>
          </w:p>
        </w:tc>
      </w:tr>
      <w:tr w:rsidR="00CA1B87" w:rsidRPr="00CA7301" w14:paraId="38C8313F" w14:textId="77777777" w:rsidTr="00F62652">
        <w:trPr>
          <w:trHeight w:val="373"/>
        </w:trPr>
        <w:tc>
          <w:tcPr>
            <w:tcW w:w="551" w:type="dxa"/>
          </w:tcPr>
          <w:p w14:paraId="41C7A190"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w:t>
            </w:r>
          </w:p>
        </w:tc>
        <w:tc>
          <w:tcPr>
            <w:tcW w:w="8663" w:type="dxa"/>
          </w:tcPr>
          <w:p w14:paraId="228DE649"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由綜合銀行附屬公司發行並由第三方持有的</w:t>
            </w:r>
            <w:r w:rsidRPr="00CA7301">
              <w:rPr>
                <w:rFonts w:cs="Segoe UI"/>
                <w:sz w:val="17"/>
                <w:szCs w:val="17"/>
                <w:lang w:eastAsia="zh-TW"/>
              </w:rPr>
              <w:t>CET1</w:t>
            </w:r>
            <w:r w:rsidRPr="00CA7301">
              <w:rPr>
                <w:rFonts w:eastAsia="新細明體" w:cs="Segoe UI"/>
                <w:sz w:val="17"/>
                <w:szCs w:val="17"/>
                <w:lang w:eastAsia="zh-TW"/>
              </w:rPr>
              <w:t>資本票據產生的少數股東權益。根據《資本規則》附表</w:t>
            </w:r>
            <w:r w:rsidRPr="00CA7301">
              <w:rPr>
                <w:rFonts w:cs="Segoe UI"/>
                <w:sz w:val="17"/>
                <w:szCs w:val="17"/>
                <w:lang w:eastAsia="zh-TW"/>
              </w:rPr>
              <w:t>4D</w:t>
            </w:r>
            <w:r w:rsidRPr="00CA7301">
              <w:rPr>
                <w:rFonts w:eastAsia="新細明體" w:cs="Segoe UI"/>
                <w:sz w:val="17"/>
                <w:szCs w:val="17"/>
                <w:lang w:eastAsia="zh-TW"/>
              </w:rPr>
              <w:t>的適用範圍，只應在此填報合資格計入綜合集團</w:t>
            </w:r>
            <w:r w:rsidRPr="00CA7301">
              <w:rPr>
                <w:rFonts w:cs="Segoe UI"/>
                <w:sz w:val="17"/>
                <w:szCs w:val="17"/>
                <w:lang w:eastAsia="zh-TW"/>
              </w:rPr>
              <w:t>CET1</w:t>
            </w:r>
            <w:r w:rsidRPr="00CA7301">
              <w:rPr>
                <w:rFonts w:eastAsia="新細明體" w:cs="Segoe UI"/>
                <w:sz w:val="17"/>
                <w:szCs w:val="17"/>
                <w:lang w:eastAsia="zh-TW"/>
              </w:rPr>
              <w:t>資本的數額。</w:t>
            </w:r>
          </w:p>
        </w:tc>
      </w:tr>
      <w:tr w:rsidR="00CA1B87" w:rsidRPr="00CA7301" w14:paraId="61574BA0" w14:textId="77777777" w:rsidTr="00F62652">
        <w:trPr>
          <w:trHeight w:val="373"/>
        </w:trPr>
        <w:tc>
          <w:tcPr>
            <w:tcW w:w="551" w:type="dxa"/>
          </w:tcPr>
          <w:p w14:paraId="73161699"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w:t>
            </w:r>
          </w:p>
        </w:tc>
        <w:tc>
          <w:tcPr>
            <w:tcW w:w="8663" w:type="dxa"/>
          </w:tcPr>
          <w:p w14:paraId="316DEE2F" w14:textId="4B051D08"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Theme="minorEastAsia" w:cs="Segoe UI"/>
                <w:sz w:val="17"/>
                <w:szCs w:val="17"/>
                <w:lang w:eastAsia="zh-TW"/>
              </w:rPr>
              <w:t>第</w:t>
            </w:r>
            <w:r w:rsidRPr="00CA7301">
              <w:rPr>
                <w:rFonts w:cs="Segoe UI"/>
                <w:sz w:val="17"/>
                <w:szCs w:val="17"/>
                <w:lang w:eastAsia="zh-TW"/>
              </w:rPr>
              <w:t>1</w:t>
            </w:r>
            <w:r w:rsidRPr="00CA7301">
              <w:rPr>
                <w:rFonts w:eastAsia="新細明體" w:cs="Segoe UI"/>
                <w:sz w:val="17"/>
                <w:szCs w:val="17"/>
                <w:lang w:eastAsia="zh-TW"/>
              </w:rPr>
              <w:t>至</w:t>
            </w:r>
            <w:r w:rsidRPr="00CA7301">
              <w:rPr>
                <w:rFonts w:cs="Segoe UI"/>
                <w:sz w:val="17"/>
                <w:szCs w:val="17"/>
                <w:lang w:eastAsia="zh-TW"/>
              </w:rPr>
              <w:t>5</w:t>
            </w:r>
            <w:r w:rsidRPr="00CA7301">
              <w:rPr>
                <w:rFonts w:eastAsia="新細明體" w:cs="Segoe UI"/>
                <w:sz w:val="17"/>
                <w:szCs w:val="17"/>
                <w:lang w:eastAsia="zh-TW"/>
              </w:rPr>
              <w:t>行相加的總和。</w:t>
            </w:r>
          </w:p>
        </w:tc>
      </w:tr>
      <w:tr w:rsidR="00CA1B87" w:rsidRPr="00CA7301" w14:paraId="41F6E8E2" w14:textId="77777777" w:rsidTr="00F62652">
        <w:trPr>
          <w:trHeight w:val="373"/>
        </w:trPr>
        <w:tc>
          <w:tcPr>
            <w:tcW w:w="551" w:type="dxa"/>
          </w:tcPr>
          <w:p w14:paraId="6CFD2F0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w:t>
            </w:r>
          </w:p>
        </w:tc>
        <w:tc>
          <w:tcPr>
            <w:tcW w:w="8663" w:type="dxa"/>
          </w:tcPr>
          <w:p w14:paraId="48034EE8" w14:textId="446B5F5F" w:rsidR="00CA1B87" w:rsidRPr="00CA7301" w:rsidRDefault="00CA1B87" w:rsidP="00F2749F">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根據《資本規則》第</w:t>
            </w:r>
            <w:r w:rsidRPr="00CA7301">
              <w:rPr>
                <w:rFonts w:cs="Segoe UI"/>
                <w:sz w:val="17"/>
                <w:szCs w:val="17"/>
                <w:lang w:eastAsia="zh-TW"/>
              </w:rPr>
              <w:t>43(1)(g)</w:t>
            </w:r>
            <w:r w:rsidRPr="00CA7301">
              <w:rPr>
                <w:rFonts w:eastAsia="新細明體" w:cs="Segoe UI"/>
                <w:sz w:val="17"/>
                <w:szCs w:val="17"/>
                <w:lang w:eastAsia="zh-TW"/>
              </w:rPr>
              <w:t>條及《監管政策手冊》</w:t>
            </w:r>
            <w:r w:rsidRPr="00CA7301">
              <w:rPr>
                <w:rFonts w:cs="Segoe UI"/>
                <w:sz w:val="17"/>
                <w:szCs w:val="17"/>
                <w:lang w:eastAsia="zh-TW"/>
              </w:rPr>
              <w:t>CA-S-10</w:t>
            </w:r>
            <w:r w:rsidRPr="00CA7301">
              <w:rPr>
                <w:rFonts w:eastAsiaTheme="minorEastAsia" w:cs="Segoe UI"/>
                <w:sz w:val="17"/>
                <w:szCs w:val="17"/>
                <w:lang w:eastAsia="zh-TW"/>
              </w:rPr>
              <w:t>章</w:t>
            </w:r>
            <w:r w:rsidRPr="00CA7301">
              <w:rPr>
                <w:rFonts w:eastAsia="新細明體" w:cs="Segoe UI"/>
                <w:sz w:val="17"/>
                <w:szCs w:val="17"/>
                <w:lang w:eastAsia="zh-TW"/>
              </w:rPr>
              <w:t>「公平價值估值方法」第</w:t>
            </w:r>
            <w:r w:rsidRPr="00CA7301">
              <w:rPr>
                <w:rFonts w:cs="Segoe UI"/>
                <w:sz w:val="17"/>
                <w:szCs w:val="17"/>
                <w:lang w:eastAsia="zh-TW"/>
              </w:rPr>
              <w:t>4.5</w:t>
            </w:r>
            <w:r w:rsidRPr="00CA7301">
              <w:rPr>
                <w:rFonts w:eastAsia="新細明體" w:cs="Segoe UI"/>
                <w:sz w:val="17"/>
                <w:szCs w:val="17"/>
                <w:lang w:eastAsia="zh-TW"/>
              </w:rPr>
              <w:t>段的規定作出的審慎估值調整。</w:t>
            </w:r>
          </w:p>
        </w:tc>
      </w:tr>
      <w:tr w:rsidR="00CA1B87" w:rsidRPr="00CA7301" w14:paraId="498E39CA" w14:textId="77777777" w:rsidTr="00F62652">
        <w:trPr>
          <w:trHeight w:val="373"/>
        </w:trPr>
        <w:tc>
          <w:tcPr>
            <w:tcW w:w="551" w:type="dxa"/>
          </w:tcPr>
          <w:p w14:paraId="3850EE55"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8</w:t>
            </w:r>
          </w:p>
        </w:tc>
        <w:tc>
          <w:tcPr>
            <w:tcW w:w="8663" w:type="dxa"/>
          </w:tcPr>
          <w:p w14:paraId="13D4109E"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43(1)(a)</w:t>
            </w:r>
            <w:r w:rsidRPr="00CA7301">
              <w:rPr>
                <w:rFonts w:eastAsia="新細明體" w:cs="Segoe UI"/>
                <w:sz w:val="17"/>
                <w:szCs w:val="17"/>
                <w:lang w:eastAsia="zh-TW"/>
              </w:rPr>
              <w:t>條</w:t>
            </w:r>
            <w:proofErr w:type="gramStart"/>
            <w:r w:rsidRPr="00CA7301">
              <w:rPr>
                <w:rFonts w:eastAsia="新細明體" w:cs="Segoe UI"/>
                <w:sz w:val="17"/>
                <w:szCs w:val="17"/>
                <w:lang w:eastAsia="zh-TW"/>
              </w:rPr>
              <w:t>所述已扣除</w:t>
            </w:r>
            <w:proofErr w:type="gramEnd"/>
            <w:r w:rsidRPr="00CA7301">
              <w:rPr>
                <w:rFonts w:eastAsia="新細明體" w:cs="Segoe UI"/>
                <w:sz w:val="17"/>
                <w:szCs w:val="17"/>
                <w:lang w:eastAsia="zh-TW"/>
              </w:rPr>
              <w:t>相聯的遞延稅項負債的商譽。</w:t>
            </w:r>
          </w:p>
        </w:tc>
      </w:tr>
      <w:tr w:rsidR="00CA1B87" w:rsidRPr="00CA7301" w14:paraId="2D3C781B" w14:textId="77777777" w:rsidTr="00F62652">
        <w:trPr>
          <w:trHeight w:val="373"/>
        </w:trPr>
        <w:tc>
          <w:tcPr>
            <w:tcW w:w="551" w:type="dxa"/>
          </w:tcPr>
          <w:p w14:paraId="704BE3A8"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9</w:t>
            </w:r>
          </w:p>
        </w:tc>
        <w:tc>
          <w:tcPr>
            <w:tcW w:w="8663" w:type="dxa"/>
          </w:tcPr>
          <w:p w14:paraId="2A6985BD" w14:textId="54DD0370" w:rsidR="00CA1B87" w:rsidRPr="00CA7301" w:rsidRDefault="00CA1B87" w:rsidP="00A91E7A">
            <w:pPr>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w:t>
            </w:r>
            <w:r w:rsidRPr="00CA7301">
              <w:rPr>
                <w:rFonts w:eastAsiaTheme="minorEastAsia" w:cs="Segoe UI"/>
                <w:sz w:val="17"/>
                <w:szCs w:val="17"/>
                <w:lang w:eastAsia="zh-TW"/>
              </w:rPr>
              <w:t>b</w:t>
            </w:r>
            <w:r w:rsidRPr="00CA7301">
              <w:rPr>
                <w:rFonts w:cs="Segoe UI"/>
                <w:sz w:val="17"/>
                <w:szCs w:val="17"/>
                <w:lang w:eastAsia="zh-TW"/>
              </w:rPr>
              <w:t>)</w:t>
            </w:r>
            <w:r w:rsidRPr="00CA7301">
              <w:rPr>
                <w:rFonts w:eastAsia="新細明體" w:cs="Segoe UI"/>
                <w:sz w:val="17"/>
                <w:szCs w:val="17"/>
                <w:lang w:eastAsia="zh-TW"/>
              </w:rPr>
              <w:t>條</w:t>
            </w:r>
            <w:proofErr w:type="gramStart"/>
            <w:r w:rsidRPr="00CA7301">
              <w:rPr>
                <w:rFonts w:eastAsia="新細明體" w:cs="Segoe UI"/>
                <w:sz w:val="17"/>
                <w:szCs w:val="17"/>
                <w:lang w:eastAsia="zh-TW"/>
              </w:rPr>
              <w:t>所述</w:t>
            </w:r>
            <w:r w:rsidR="00566584" w:rsidRPr="00CA7301">
              <w:rPr>
                <w:rFonts w:eastAsia="新細明體" w:cs="Segoe UI"/>
                <w:sz w:val="17"/>
                <w:szCs w:val="17"/>
                <w:lang w:eastAsia="zh-TW"/>
              </w:rPr>
              <w:t>已扣除</w:t>
            </w:r>
            <w:proofErr w:type="gramEnd"/>
            <w:r w:rsidR="00566584" w:rsidRPr="00CA7301">
              <w:rPr>
                <w:rFonts w:eastAsia="新細明體" w:cs="Segoe UI"/>
                <w:sz w:val="17"/>
                <w:szCs w:val="17"/>
                <w:lang w:eastAsia="zh-TW"/>
              </w:rPr>
              <w:t>相聯遞延稅項負債</w:t>
            </w:r>
            <w:r w:rsidRPr="00CA7301">
              <w:rPr>
                <w:rFonts w:eastAsia="新細明體" w:cs="Segoe UI"/>
                <w:sz w:val="17"/>
                <w:szCs w:val="17"/>
                <w:lang w:eastAsia="zh-TW"/>
              </w:rPr>
              <w:t>的</w:t>
            </w:r>
            <w:r w:rsidR="00B25BF4" w:rsidRPr="00CA7301">
              <w:rPr>
                <w:rFonts w:eastAsia="新細明體" w:cs="Segoe UI"/>
                <w:sz w:val="17"/>
                <w:szCs w:val="17"/>
                <w:lang w:eastAsia="zh-TW"/>
              </w:rPr>
              <w:t>其他無形資產</w:t>
            </w:r>
            <w:r w:rsidR="00975B34" w:rsidRPr="003122E3">
              <w:rPr>
                <w:rFonts w:eastAsia="新細明體" w:cs="Segoe UI" w:hint="eastAsia"/>
                <w:sz w:val="17"/>
                <w:szCs w:val="17"/>
                <w:lang w:eastAsia="zh-TW"/>
              </w:rPr>
              <w:t>，</w:t>
            </w:r>
            <w:r w:rsidR="003122E3">
              <w:rPr>
                <w:rFonts w:eastAsia="新細明體" w:cs="Segoe UI" w:hint="eastAsia"/>
                <w:sz w:val="17"/>
                <w:szCs w:val="17"/>
                <w:lang w:eastAsia="zh-HK"/>
              </w:rPr>
              <w:t>根</w:t>
            </w:r>
            <w:r w:rsidR="003122E3">
              <w:rPr>
                <w:rFonts w:eastAsia="新細明體" w:cs="Segoe UI" w:hint="eastAsia"/>
                <w:sz w:val="17"/>
                <w:szCs w:val="17"/>
                <w:lang w:eastAsia="zh-TW"/>
              </w:rPr>
              <w:t>據</w:t>
            </w:r>
            <w:r w:rsidR="003122E3">
              <w:rPr>
                <w:rFonts w:eastAsia="新細明體" w:cs="Segoe UI" w:hint="eastAsia"/>
                <w:sz w:val="17"/>
                <w:szCs w:val="17"/>
                <w:lang w:val="en-US" w:eastAsia="zh-HK"/>
              </w:rPr>
              <w:t>適用</w:t>
            </w:r>
            <w:r w:rsidR="00975B34" w:rsidRPr="003122E3">
              <w:rPr>
                <w:rFonts w:eastAsia="新細明體" w:cs="Segoe UI" w:hint="eastAsia"/>
                <w:sz w:val="17"/>
                <w:szCs w:val="17"/>
                <w:lang w:eastAsia="zh-TW"/>
              </w:rPr>
              <w:t>會計準則</w:t>
            </w:r>
            <w:r w:rsidR="00C01F37" w:rsidRPr="00A91E7A">
              <w:rPr>
                <w:rFonts w:eastAsia="新細明體" w:cs="Segoe UI" w:hint="eastAsia"/>
                <w:sz w:val="17"/>
                <w:szCs w:val="17"/>
                <w:lang w:eastAsia="zh-HK"/>
              </w:rPr>
              <w:t>獲</w:t>
            </w:r>
            <w:r w:rsidR="008D58AC" w:rsidRPr="00A91E7A">
              <w:rPr>
                <w:rFonts w:eastAsia="新細明體" w:cs="Segoe UI" w:hint="eastAsia"/>
                <w:sz w:val="17"/>
                <w:szCs w:val="17"/>
                <w:lang w:eastAsia="zh-TW"/>
              </w:rPr>
              <w:t>確</w:t>
            </w:r>
            <w:r w:rsidR="00975B34" w:rsidRPr="00A91E7A">
              <w:rPr>
                <w:rFonts w:eastAsia="新細明體" w:cs="Segoe UI" w:hint="eastAsia"/>
                <w:sz w:val="17"/>
                <w:szCs w:val="17"/>
                <w:lang w:eastAsia="zh-TW"/>
              </w:rPr>
              <w:t>認</w:t>
            </w:r>
            <w:r w:rsidR="00C01F37" w:rsidRPr="00A91E7A">
              <w:rPr>
                <w:rFonts w:eastAsia="新細明體" w:cs="Segoe UI" w:hint="eastAsia"/>
                <w:sz w:val="17"/>
                <w:szCs w:val="17"/>
                <w:lang w:val="en-US" w:eastAsia="zh-HK"/>
              </w:rPr>
              <w:t>為</w:t>
            </w:r>
            <w:r w:rsidR="00975B34" w:rsidRPr="00A91E7A">
              <w:rPr>
                <w:rFonts w:eastAsia="新細明體" w:cs="Segoe UI" w:hint="eastAsia"/>
                <w:sz w:val="17"/>
                <w:szCs w:val="17"/>
                <w:lang w:eastAsia="zh-TW"/>
              </w:rPr>
              <w:t>無</w:t>
            </w:r>
            <w:r w:rsidR="00975B34" w:rsidRPr="003122E3">
              <w:rPr>
                <w:rFonts w:eastAsia="新細明體" w:cs="Segoe UI" w:hint="eastAsia"/>
                <w:sz w:val="17"/>
                <w:szCs w:val="17"/>
                <w:lang w:eastAsia="zh-TW"/>
              </w:rPr>
              <w:t>形資產的加密資產風險承擔除外，但</w:t>
            </w:r>
            <w:r w:rsidRPr="00CA7301">
              <w:rPr>
                <w:rFonts w:eastAsia="新細明體" w:cs="Segoe UI"/>
                <w:sz w:val="17"/>
                <w:szCs w:val="17"/>
                <w:lang w:eastAsia="zh-TW"/>
              </w:rPr>
              <w:t>包括按</w:t>
            </w:r>
            <w:proofErr w:type="gramStart"/>
            <w:r w:rsidRPr="00CA7301">
              <w:rPr>
                <w:rFonts w:eastAsia="新細明體" w:cs="Segoe UI"/>
                <w:sz w:val="17"/>
                <w:szCs w:val="17"/>
                <w:lang w:eastAsia="zh-TW"/>
              </w:rPr>
              <w:t>揭供款</w:t>
            </w:r>
            <w:proofErr w:type="gramEnd"/>
            <w:r w:rsidRPr="00CA7301">
              <w:rPr>
                <w:rFonts w:eastAsia="新細明體" w:cs="Segoe UI"/>
                <w:sz w:val="17"/>
                <w:szCs w:val="17"/>
                <w:lang w:eastAsia="zh-TW"/>
              </w:rPr>
              <w:t>管理權。</w:t>
            </w:r>
          </w:p>
        </w:tc>
      </w:tr>
      <w:tr w:rsidR="00CA1B87" w:rsidRPr="00CA7301" w14:paraId="7D71207F" w14:textId="77777777" w:rsidTr="00F62652">
        <w:trPr>
          <w:trHeight w:val="373"/>
        </w:trPr>
        <w:tc>
          <w:tcPr>
            <w:tcW w:w="551" w:type="dxa"/>
          </w:tcPr>
          <w:p w14:paraId="03D8727D"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10</w:t>
            </w:r>
          </w:p>
        </w:tc>
        <w:tc>
          <w:tcPr>
            <w:tcW w:w="8663" w:type="dxa"/>
          </w:tcPr>
          <w:p w14:paraId="21ACCE40"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43(1)(d)</w:t>
            </w:r>
            <w:r w:rsidRPr="00CA7301">
              <w:rPr>
                <w:rFonts w:eastAsia="新細明體" w:cs="Segoe UI"/>
                <w:sz w:val="17"/>
                <w:szCs w:val="17"/>
                <w:lang w:eastAsia="zh-TW"/>
              </w:rPr>
              <w:t>條所述的已扣除相聯遞延稅項負債的遞延稅項資產，包括由暫時性差異產生的遞延稅項資產。</w:t>
            </w:r>
          </w:p>
        </w:tc>
      </w:tr>
      <w:tr w:rsidR="00CA1B87" w:rsidRPr="00CA7301" w14:paraId="52601E92" w14:textId="77777777" w:rsidTr="00F62652">
        <w:trPr>
          <w:trHeight w:val="373"/>
        </w:trPr>
        <w:tc>
          <w:tcPr>
            <w:tcW w:w="551" w:type="dxa"/>
          </w:tcPr>
          <w:p w14:paraId="77F8B1A1"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11</w:t>
            </w:r>
          </w:p>
        </w:tc>
        <w:tc>
          <w:tcPr>
            <w:tcW w:w="8663" w:type="dxa"/>
          </w:tcPr>
          <w:p w14:paraId="1AC35352"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38(2)(a)</w:t>
            </w:r>
            <w:r w:rsidRPr="00CA7301">
              <w:rPr>
                <w:rFonts w:eastAsia="新細明體" w:cs="Segoe UI"/>
                <w:sz w:val="17"/>
                <w:szCs w:val="17"/>
                <w:lang w:eastAsia="zh-TW"/>
              </w:rPr>
              <w:t>條所述的與在資產負債表內沒有按公平價值估值的金融工具的對沖有關的累積現金流對沖儲備</w:t>
            </w:r>
            <w:r w:rsidRPr="00CA7301">
              <w:rPr>
                <w:rFonts w:eastAsia="細明體" w:cs="Segoe UI"/>
                <w:sz w:val="17"/>
                <w:szCs w:val="17"/>
                <w:lang w:eastAsia="zh-TW"/>
              </w:rPr>
              <w:t>（</w:t>
            </w:r>
            <w:r w:rsidRPr="00CA7301">
              <w:rPr>
                <w:rFonts w:eastAsia="新細明體" w:cs="Segoe UI"/>
                <w:sz w:val="17"/>
                <w:szCs w:val="17"/>
                <w:lang w:eastAsia="zh-TW"/>
              </w:rPr>
              <w:t>包括預計的現金流</w:t>
            </w:r>
            <w:r w:rsidRPr="00CA7301">
              <w:rPr>
                <w:rFonts w:eastAsia="細明體" w:cs="Segoe UI"/>
                <w:sz w:val="17"/>
                <w:szCs w:val="17"/>
                <w:lang w:eastAsia="zh-TW"/>
              </w:rPr>
              <w:t>）</w:t>
            </w:r>
            <w:r w:rsidRPr="00CA7301">
              <w:rPr>
                <w:rFonts w:eastAsia="新細明體" w:cs="Segoe UI"/>
                <w:sz w:val="17"/>
                <w:szCs w:val="17"/>
                <w:lang w:eastAsia="zh-TW"/>
              </w:rPr>
              <w:t>。</w:t>
            </w:r>
          </w:p>
        </w:tc>
      </w:tr>
      <w:tr w:rsidR="00CA1B87" w:rsidRPr="00CA7301" w14:paraId="27C74185" w14:textId="77777777" w:rsidTr="00F62652">
        <w:trPr>
          <w:trHeight w:val="373"/>
        </w:trPr>
        <w:tc>
          <w:tcPr>
            <w:tcW w:w="551" w:type="dxa"/>
          </w:tcPr>
          <w:p w14:paraId="4C81A034"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12</w:t>
            </w:r>
          </w:p>
        </w:tc>
        <w:tc>
          <w:tcPr>
            <w:tcW w:w="8663" w:type="dxa"/>
          </w:tcPr>
          <w:p w14:paraId="23EBCA93" w14:textId="77777777" w:rsidR="00CA1B87" w:rsidRPr="00CA7301" w:rsidRDefault="00CA1B87" w:rsidP="00CA1B87">
            <w:pPr>
              <w:keepLines/>
              <w:widowControl w:val="0"/>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w:t>
            </w:r>
            <w:proofErr w:type="spellStart"/>
            <w:r w:rsidRPr="00CA7301">
              <w:rPr>
                <w:rFonts w:cs="Segoe UI"/>
                <w:sz w:val="17"/>
                <w:szCs w:val="17"/>
                <w:lang w:eastAsia="zh-TW"/>
              </w:rPr>
              <w:t>i</w:t>
            </w:r>
            <w:proofErr w:type="spellEnd"/>
            <w:r w:rsidRPr="00CA7301">
              <w:rPr>
                <w:rFonts w:cs="Segoe UI"/>
                <w:sz w:val="17"/>
                <w:szCs w:val="17"/>
                <w:lang w:eastAsia="zh-TW"/>
              </w:rPr>
              <w:t>)</w:t>
            </w:r>
            <w:r w:rsidRPr="00CA7301">
              <w:rPr>
                <w:rFonts w:eastAsia="新細明體" w:cs="Segoe UI"/>
                <w:sz w:val="17"/>
                <w:szCs w:val="17"/>
                <w:lang w:eastAsia="zh-TW"/>
              </w:rPr>
              <w:t>條所述在</w:t>
            </w:r>
            <w:r w:rsidRPr="00CA7301">
              <w:rPr>
                <w:rFonts w:cs="Segoe UI"/>
                <w:sz w:val="17"/>
                <w:szCs w:val="17"/>
                <w:lang w:eastAsia="zh-TW"/>
              </w:rPr>
              <w:t>IRB</w:t>
            </w:r>
            <w:r w:rsidRPr="00CA7301">
              <w:rPr>
                <w:rFonts w:eastAsia="新細明體" w:cs="Segoe UI"/>
                <w:sz w:val="17"/>
                <w:szCs w:val="17"/>
                <w:lang w:eastAsia="zh-TW"/>
              </w:rPr>
              <w:t>計算法下</w:t>
            </w:r>
            <w:r w:rsidRPr="00CA7301">
              <w:rPr>
                <w:rFonts w:cs="Segoe UI"/>
                <w:sz w:val="17"/>
                <w:szCs w:val="17"/>
                <w:lang w:eastAsia="zh-TW"/>
              </w:rPr>
              <w:t>EL</w:t>
            </w:r>
            <w:r w:rsidRPr="00CA7301">
              <w:rPr>
                <w:rFonts w:eastAsia="新細明體" w:cs="Segoe UI"/>
                <w:sz w:val="17"/>
                <w:szCs w:val="17"/>
                <w:lang w:eastAsia="zh-TW"/>
              </w:rPr>
              <w:t>總額超出合資格準備金總額之數。</w:t>
            </w:r>
          </w:p>
        </w:tc>
      </w:tr>
      <w:tr w:rsidR="00CA1B87" w:rsidRPr="00CA7301" w14:paraId="51D8C726" w14:textId="77777777" w:rsidTr="00F62652">
        <w:trPr>
          <w:trHeight w:val="373"/>
        </w:trPr>
        <w:tc>
          <w:tcPr>
            <w:tcW w:w="551" w:type="dxa"/>
          </w:tcPr>
          <w:p w14:paraId="2229562C"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13</w:t>
            </w:r>
          </w:p>
        </w:tc>
        <w:tc>
          <w:tcPr>
            <w:tcW w:w="8663" w:type="dxa"/>
          </w:tcPr>
          <w:p w14:paraId="26DB9B12"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43(1)(e)</w:t>
            </w:r>
            <w:r w:rsidRPr="00CA7301">
              <w:rPr>
                <w:rFonts w:eastAsia="新細明體" w:cs="Segoe UI"/>
                <w:sz w:val="17"/>
                <w:szCs w:val="17"/>
                <w:lang w:eastAsia="zh-TW"/>
              </w:rPr>
              <w:t>條</w:t>
            </w:r>
            <w:proofErr w:type="gramStart"/>
            <w:r w:rsidRPr="00CA7301">
              <w:rPr>
                <w:rFonts w:eastAsia="新細明體" w:cs="Segoe UI"/>
                <w:sz w:val="17"/>
                <w:szCs w:val="17"/>
                <w:lang w:eastAsia="zh-TW"/>
              </w:rPr>
              <w:t>所述因認可</w:t>
            </w:r>
            <w:proofErr w:type="gramEnd"/>
            <w:r w:rsidRPr="00CA7301">
              <w:rPr>
                <w:rFonts w:eastAsia="新細明體" w:cs="Segoe UI"/>
                <w:sz w:val="17"/>
                <w:szCs w:val="17"/>
                <w:lang w:eastAsia="zh-TW"/>
              </w:rPr>
              <w:t>機構擔任發起機構的證券化交易而產生的提升信用的純利息份額、出售收益及該機構的</w:t>
            </w:r>
            <w:r w:rsidRPr="00CA7301">
              <w:rPr>
                <w:rFonts w:eastAsia="新細明體" w:cs="Segoe UI"/>
                <w:sz w:val="17"/>
                <w:szCs w:val="17"/>
                <w:lang w:eastAsia="zh-TW"/>
              </w:rPr>
              <w:t>CET1</w:t>
            </w:r>
            <w:r w:rsidRPr="00CA7301">
              <w:rPr>
                <w:rFonts w:eastAsia="新細明體" w:cs="Segoe UI"/>
                <w:sz w:val="17"/>
                <w:szCs w:val="17"/>
                <w:lang w:eastAsia="zh-TW"/>
              </w:rPr>
              <w:t>資本的其他增加數額。</w:t>
            </w:r>
          </w:p>
        </w:tc>
      </w:tr>
      <w:tr w:rsidR="00CA1B87" w:rsidRPr="00CA7301" w14:paraId="3D43B5C0" w14:textId="77777777" w:rsidTr="00F62652">
        <w:trPr>
          <w:trHeight w:val="373"/>
        </w:trPr>
        <w:tc>
          <w:tcPr>
            <w:tcW w:w="551" w:type="dxa"/>
          </w:tcPr>
          <w:p w14:paraId="045CCCD5"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14</w:t>
            </w:r>
          </w:p>
        </w:tc>
        <w:tc>
          <w:tcPr>
            <w:tcW w:w="8663" w:type="dxa"/>
          </w:tcPr>
          <w:p w14:paraId="772ABA8D"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38(2)(b)</w:t>
            </w:r>
            <w:r w:rsidRPr="00CA7301">
              <w:rPr>
                <w:rFonts w:eastAsia="新細明體" w:cs="Segoe UI"/>
                <w:sz w:val="17"/>
                <w:szCs w:val="17"/>
                <w:lang w:eastAsia="zh-TW"/>
              </w:rPr>
              <w:t>條</w:t>
            </w:r>
            <w:proofErr w:type="gramStart"/>
            <w:r w:rsidRPr="00CA7301">
              <w:rPr>
                <w:rFonts w:eastAsia="新細明體" w:cs="Segoe UI"/>
                <w:sz w:val="17"/>
                <w:szCs w:val="17"/>
                <w:lang w:eastAsia="zh-TW"/>
              </w:rPr>
              <w:t>所述因認可</w:t>
            </w:r>
            <w:proofErr w:type="gramEnd"/>
            <w:r w:rsidRPr="00CA7301">
              <w:rPr>
                <w:rFonts w:eastAsia="新細明體" w:cs="Segoe UI"/>
                <w:sz w:val="17"/>
                <w:szCs w:val="17"/>
                <w:lang w:eastAsia="zh-TW"/>
              </w:rPr>
              <w:t>機構本身的信用風險變動而對其按公平價值估值的負債產生的損益，以及</w:t>
            </w:r>
            <w:r w:rsidR="00932AA4" w:rsidRPr="00CA7301">
              <w:rPr>
                <w:rFonts w:eastAsia="新細明體" w:cs="Segoe UI"/>
                <w:sz w:val="17"/>
                <w:szCs w:val="17"/>
                <w:lang w:eastAsia="zh-TW"/>
              </w:rPr>
              <w:t>《資本規則》</w:t>
            </w:r>
            <w:r w:rsidRPr="00CA7301">
              <w:rPr>
                <w:rFonts w:eastAsia="新細明體" w:cs="Segoe UI"/>
                <w:sz w:val="17"/>
                <w:szCs w:val="17"/>
                <w:lang w:eastAsia="zh-TW"/>
              </w:rPr>
              <w:t>第</w:t>
            </w:r>
            <w:r w:rsidRPr="00CA7301">
              <w:rPr>
                <w:rFonts w:cs="Segoe UI"/>
                <w:sz w:val="17"/>
                <w:szCs w:val="17"/>
                <w:lang w:eastAsia="zh-TW"/>
              </w:rPr>
              <w:t>43(1)(h)</w:t>
            </w:r>
            <w:r w:rsidRPr="00CA7301">
              <w:rPr>
                <w:rFonts w:eastAsia="新細明體" w:cs="Segoe UI"/>
                <w:sz w:val="17"/>
                <w:szCs w:val="17"/>
                <w:lang w:eastAsia="zh-TW"/>
              </w:rPr>
              <w:t>條</w:t>
            </w:r>
            <w:proofErr w:type="gramStart"/>
            <w:r w:rsidRPr="00CA7301">
              <w:rPr>
                <w:rFonts w:eastAsia="新細明體" w:cs="Segoe UI"/>
                <w:sz w:val="17"/>
                <w:szCs w:val="17"/>
                <w:lang w:eastAsia="zh-TW"/>
              </w:rPr>
              <w:t>所述就衍生</w:t>
            </w:r>
            <w:proofErr w:type="gramEnd"/>
            <w:r w:rsidRPr="00CA7301">
              <w:rPr>
                <w:rFonts w:eastAsia="新細明體" w:cs="Segoe UI"/>
                <w:sz w:val="17"/>
                <w:szCs w:val="17"/>
                <w:lang w:eastAsia="zh-TW"/>
              </w:rPr>
              <w:t>工具合約作出的債務估值調整。</w:t>
            </w:r>
          </w:p>
        </w:tc>
      </w:tr>
      <w:tr w:rsidR="00CA1B87" w:rsidRPr="00CA7301" w14:paraId="2E4E6ECC" w14:textId="77777777" w:rsidTr="00F62652">
        <w:trPr>
          <w:trHeight w:val="373"/>
        </w:trPr>
        <w:tc>
          <w:tcPr>
            <w:tcW w:w="551" w:type="dxa"/>
          </w:tcPr>
          <w:p w14:paraId="69A04A68"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15</w:t>
            </w:r>
          </w:p>
        </w:tc>
        <w:tc>
          <w:tcPr>
            <w:tcW w:w="8663" w:type="dxa"/>
          </w:tcPr>
          <w:p w14:paraId="455378CF"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43(1)(c)</w:t>
            </w:r>
            <w:r w:rsidRPr="00CA7301">
              <w:rPr>
                <w:rFonts w:eastAsia="新細明體" w:cs="Segoe UI"/>
                <w:sz w:val="17"/>
                <w:szCs w:val="17"/>
                <w:lang w:eastAsia="zh-TW"/>
              </w:rPr>
              <w:t>條所述的界定利益的退休金基金或計劃的淨資產（已扣除相聯的遞延稅項負債）。</w:t>
            </w:r>
          </w:p>
        </w:tc>
      </w:tr>
      <w:tr w:rsidR="00CA1B87" w:rsidRPr="00CA7301" w14:paraId="3528E87E" w14:textId="77777777" w:rsidTr="00F62652">
        <w:trPr>
          <w:trHeight w:val="373"/>
        </w:trPr>
        <w:tc>
          <w:tcPr>
            <w:tcW w:w="551" w:type="dxa"/>
          </w:tcPr>
          <w:p w14:paraId="11FD5A89"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16</w:t>
            </w:r>
          </w:p>
        </w:tc>
        <w:tc>
          <w:tcPr>
            <w:tcW w:w="8663" w:type="dxa"/>
          </w:tcPr>
          <w:p w14:paraId="3F86E5C1"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43(1)(l)</w:t>
            </w:r>
            <w:r w:rsidRPr="00CA7301">
              <w:rPr>
                <w:rFonts w:eastAsia="新細明體" w:cs="Segoe UI"/>
                <w:sz w:val="17"/>
                <w:szCs w:val="17"/>
                <w:lang w:eastAsia="zh-TW"/>
              </w:rPr>
              <w:t>條所述於機構本身的</w:t>
            </w:r>
            <w:r w:rsidRPr="00CA7301">
              <w:rPr>
                <w:rFonts w:cs="Segoe UI"/>
                <w:sz w:val="17"/>
                <w:szCs w:val="17"/>
                <w:lang w:eastAsia="zh-TW"/>
              </w:rPr>
              <w:t>CET1</w:t>
            </w:r>
            <w:r w:rsidRPr="00CA7301">
              <w:rPr>
                <w:rFonts w:eastAsia="新細明體" w:cs="Segoe UI"/>
                <w:sz w:val="17"/>
                <w:szCs w:val="17"/>
                <w:lang w:eastAsia="zh-TW"/>
              </w:rPr>
              <w:t>資本票據中的投資。</w:t>
            </w:r>
          </w:p>
        </w:tc>
      </w:tr>
      <w:tr w:rsidR="00CA1B87" w:rsidRPr="00CA7301" w14:paraId="5F7C373B" w14:textId="77777777" w:rsidTr="00F62652">
        <w:trPr>
          <w:trHeight w:val="373"/>
        </w:trPr>
        <w:tc>
          <w:tcPr>
            <w:tcW w:w="551" w:type="dxa"/>
          </w:tcPr>
          <w:p w14:paraId="7D6BF945"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17</w:t>
            </w:r>
          </w:p>
        </w:tc>
        <w:tc>
          <w:tcPr>
            <w:tcW w:w="8663" w:type="dxa"/>
          </w:tcPr>
          <w:p w14:paraId="3246C18E" w14:textId="77777777"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43(1)(m)</w:t>
            </w:r>
            <w:r w:rsidRPr="00CA7301">
              <w:rPr>
                <w:rFonts w:eastAsia="新細明體" w:cs="Segoe UI"/>
                <w:sz w:val="17"/>
                <w:szCs w:val="17"/>
                <w:lang w:eastAsia="zh-TW"/>
              </w:rPr>
              <w:t>條所述互相交叉持有的</w:t>
            </w:r>
            <w:r w:rsidRPr="00CA7301">
              <w:rPr>
                <w:rFonts w:cs="Segoe UI"/>
                <w:sz w:val="17"/>
                <w:szCs w:val="17"/>
                <w:lang w:eastAsia="zh-TW"/>
              </w:rPr>
              <w:t>CET1</w:t>
            </w:r>
            <w:r w:rsidRPr="00CA7301">
              <w:rPr>
                <w:rFonts w:eastAsia="新細明體" w:cs="Segoe UI"/>
                <w:sz w:val="17"/>
                <w:szCs w:val="17"/>
                <w:lang w:eastAsia="zh-TW"/>
              </w:rPr>
              <w:t>資本票據。</w:t>
            </w:r>
          </w:p>
        </w:tc>
      </w:tr>
      <w:tr w:rsidR="00CA1B87" w:rsidRPr="00CA7301" w14:paraId="17988844" w14:textId="77777777" w:rsidTr="00F62652">
        <w:trPr>
          <w:trHeight w:val="373"/>
        </w:trPr>
        <w:tc>
          <w:tcPr>
            <w:tcW w:w="551" w:type="dxa"/>
          </w:tcPr>
          <w:p w14:paraId="3B5FB9A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18</w:t>
            </w:r>
          </w:p>
        </w:tc>
        <w:tc>
          <w:tcPr>
            <w:tcW w:w="8663" w:type="dxa"/>
          </w:tcPr>
          <w:p w14:paraId="626353F3" w14:textId="094137C7" w:rsidR="00CA1B87" w:rsidRPr="00CA7301" w:rsidRDefault="00CA1B87" w:rsidP="00654621">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新細明體" w:cs="Segoe UI"/>
                <w:sz w:val="17"/>
                <w:szCs w:val="17"/>
                <w:lang w:eastAsia="zh-TW"/>
              </w:rPr>
              <w:t>在計及</w:t>
            </w:r>
            <w:r w:rsidRPr="00CA7301">
              <w:rPr>
                <w:rFonts w:eastAsia="新細明體" w:cs="Segoe UI"/>
                <w:sz w:val="17"/>
                <w:szCs w:val="17"/>
                <w:lang w:eastAsia="zh-TW"/>
              </w:rPr>
              <w:t>(</w:t>
            </w:r>
            <w:proofErr w:type="spellStart"/>
            <w:r w:rsidRPr="00CA7301">
              <w:rPr>
                <w:rFonts w:eastAsia="新細明體" w:cs="Segoe UI"/>
                <w:sz w:val="17"/>
                <w:szCs w:val="17"/>
                <w:lang w:eastAsia="zh-TW"/>
              </w:rPr>
              <w:t>i</w:t>
            </w:r>
            <w:proofErr w:type="spellEnd"/>
            <w:r w:rsidRPr="00CA7301">
              <w:rPr>
                <w:rFonts w:eastAsia="新細明體" w:cs="Segoe UI"/>
                <w:sz w:val="17"/>
                <w:szCs w:val="17"/>
                <w:lang w:eastAsia="zh-TW"/>
              </w:rPr>
              <w:t>)</w:t>
            </w:r>
            <w:r w:rsidR="004D13C8" w:rsidRPr="00CA7301">
              <w:rPr>
                <w:rFonts w:eastAsia="新細明體" w:cs="Segoe UI"/>
                <w:sz w:val="17"/>
                <w:szCs w:val="17"/>
                <w:lang w:eastAsia="zh-TW"/>
              </w:rPr>
              <w:t>根據《資本規則》第</w:t>
            </w:r>
            <w:r w:rsidRPr="00CA7301">
              <w:rPr>
                <w:rFonts w:eastAsia="新細明體" w:cs="Segoe UI"/>
                <w:sz w:val="17"/>
                <w:szCs w:val="17"/>
                <w:lang w:eastAsia="zh-TW"/>
              </w:rPr>
              <w:t>46(2)</w:t>
            </w:r>
            <w:r w:rsidRPr="00CA7301">
              <w:rPr>
                <w:rFonts w:eastAsia="新細明體" w:cs="Segoe UI"/>
                <w:sz w:val="17"/>
                <w:szCs w:val="17"/>
                <w:lang w:eastAsia="zh-TW"/>
              </w:rPr>
              <w:t>條為決定超出數額而須與本項合計的貸款、融通或其他信用風險承擔，以及</w:t>
            </w:r>
            <w:r w:rsidRPr="00CA7301">
              <w:rPr>
                <w:rFonts w:eastAsia="新細明體" w:cs="Segoe UI"/>
                <w:sz w:val="17"/>
                <w:szCs w:val="17"/>
                <w:lang w:eastAsia="zh-TW"/>
              </w:rPr>
              <w:t>(ii)</w:t>
            </w:r>
            <w:r w:rsidRPr="00CA7301">
              <w:rPr>
                <w:rFonts w:eastAsia="新細明體" w:cs="Segoe UI"/>
                <w:sz w:val="17"/>
                <w:szCs w:val="17"/>
                <w:lang w:eastAsia="zh-TW"/>
              </w:rPr>
              <w:t>根據《資本規則》第</w:t>
            </w:r>
            <w:r w:rsidRPr="00CA7301">
              <w:rPr>
                <w:rFonts w:eastAsia="新細明體" w:cs="Segoe UI"/>
                <w:sz w:val="17"/>
                <w:szCs w:val="17"/>
                <w:lang w:eastAsia="zh-TW"/>
              </w:rPr>
              <w:t>43(1)(o)</w:t>
            </w:r>
            <w:proofErr w:type="gramStart"/>
            <w:r w:rsidRPr="00CA7301">
              <w:rPr>
                <w:rFonts w:eastAsia="新細明體" w:cs="Segoe UI"/>
                <w:sz w:val="17"/>
                <w:szCs w:val="17"/>
                <w:lang w:eastAsia="zh-TW"/>
              </w:rPr>
              <w:t>條須從</w:t>
            </w:r>
            <w:proofErr w:type="gramEnd"/>
            <w:r w:rsidRPr="00CA7301">
              <w:rPr>
                <w:rFonts w:eastAsia="新細明體" w:cs="Segoe UI"/>
                <w:sz w:val="17"/>
                <w:szCs w:val="17"/>
                <w:lang w:eastAsia="zh-TW"/>
              </w:rPr>
              <w:t>CET1</w:t>
            </w:r>
            <w:r w:rsidRPr="00CA7301">
              <w:rPr>
                <w:rFonts w:eastAsia="新細明體" w:cs="Segoe UI"/>
                <w:sz w:val="17"/>
                <w:szCs w:val="17"/>
                <w:lang w:eastAsia="zh-TW"/>
              </w:rPr>
              <w:t>資本扣減，按照《資本規則》附表</w:t>
            </w:r>
            <w:r w:rsidRPr="00CA7301">
              <w:rPr>
                <w:rFonts w:eastAsia="新細明體" w:cs="Segoe UI"/>
                <w:sz w:val="17"/>
                <w:szCs w:val="17"/>
                <w:lang w:eastAsia="zh-TW"/>
              </w:rPr>
              <w:t>4F</w:t>
            </w:r>
            <w:r w:rsidRPr="00CA7301">
              <w:rPr>
                <w:rFonts w:eastAsia="新細明體" w:cs="Segoe UI"/>
                <w:sz w:val="17"/>
                <w:szCs w:val="17"/>
                <w:lang w:eastAsia="zh-TW"/>
              </w:rPr>
              <w:t>計算，超出</w:t>
            </w:r>
            <w:r w:rsidRPr="00CA7301">
              <w:rPr>
                <w:rFonts w:eastAsia="新細明體" w:cs="Segoe UI"/>
                <w:sz w:val="17"/>
                <w:szCs w:val="17"/>
                <w:lang w:eastAsia="zh-TW"/>
              </w:rPr>
              <w:t>10%</w:t>
            </w:r>
            <w:r w:rsidRPr="00CA7301">
              <w:rPr>
                <w:rFonts w:eastAsia="新細明體" w:cs="Segoe UI"/>
                <w:sz w:val="17"/>
                <w:szCs w:val="17"/>
                <w:lang w:eastAsia="zh-TW"/>
              </w:rPr>
              <w:t>門檻的於在綜合計算的監管範圍以外的金融業實體發行的</w:t>
            </w:r>
            <w:r w:rsidRPr="00CA7301">
              <w:rPr>
                <w:rFonts w:eastAsia="新細明體" w:cs="Segoe UI"/>
                <w:sz w:val="17"/>
                <w:szCs w:val="17"/>
                <w:lang w:eastAsia="zh-TW"/>
              </w:rPr>
              <w:t>CET1</w:t>
            </w:r>
            <w:r w:rsidRPr="00CA7301">
              <w:rPr>
                <w:rFonts w:eastAsia="新細明體" w:cs="Segoe UI"/>
                <w:sz w:val="17"/>
                <w:szCs w:val="17"/>
                <w:lang w:eastAsia="zh-TW"/>
              </w:rPr>
              <w:t>資本票據的非重大</w:t>
            </w:r>
            <w:r w:rsidR="00654621">
              <w:rPr>
                <w:rFonts w:eastAsia="新細明體" w:cs="Segoe UI" w:hint="eastAsia"/>
                <w:sz w:val="17"/>
                <w:szCs w:val="17"/>
                <w:lang w:eastAsia="zh-TW"/>
              </w:rPr>
              <w:t>LAC</w:t>
            </w:r>
            <w:r w:rsidRPr="00CA7301">
              <w:rPr>
                <w:rFonts w:eastAsia="新細明體" w:cs="Segoe UI"/>
                <w:sz w:val="17"/>
                <w:szCs w:val="17"/>
                <w:lang w:eastAsia="zh-TW"/>
              </w:rPr>
              <w:t>投資的數額。</w:t>
            </w:r>
          </w:p>
        </w:tc>
      </w:tr>
      <w:tr w:rsidR="00CA1B87" w:rsidRPr="00CA7301" w14:paraId="1486A211" w14:textId="77777777" w:rsidTr="00F62652">
        <w:trPr>
          <w:trHeight w:val="373"/>
        </w:trPr>
        <w:tc>
          <w:tcPr>
            <w:tcW w:w="551" w:type="dxa"/>
          </w:tcPr>
          <w:p w14:paraId="51B05D4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19</w:t>
            </w:r>
          </w:p>
        </w:tc>
        <w:tc>
          <w:tcPr>
            <w:tcW w:w="8663" w:type="dxa"/>
          </w:tcPr>
          <w:p w14:paraId="75F6B4E5" w14:textId="1291EDF0" w:rsidR="00CA1B87" w:rsidRPr="00CA7301" w:rsidRDefault="00CA1B87" w:rsidP="00654621">
            <w:pPr>
              <w:keepLines/>
              <w:widowControl w:val="0"/>
              <w:spacing w:before="40" w:after="40"/>
              <w:jc w:val="both"/>
              <w:rPr>
                <w:rFonts w:cs="Segoe UI"/>
                <w:sz w:val="17"/>
                <w:szCs w:val="17"/>
                <w:lang w:eastAsia="zh-TW"/>
              </w:rPr>
            </w:pPr>
            <w:r w:rsidRPr="00CA7301">
              <w:rPr>
                <w:rFonts w:eastAsia="細明體" w:cs="Segoe UI"/>
                <w:sz w:val="17"/>
                <w:szCs w:val="17"/>
                <w:lang w:eastAsia="zh-TW"/>
              </w:rPr>
              <w:t>在計及</w:t>
            </w:r>
            <w:r w:rsidRPr="00CA7301">
              <w:rPr>
                <w:rFonts w:cs="Segoe UI"/>
                <w:sz w:val="17"/>
                <w:szCs w:val="17"/>
                <w:lang w:eastAsia="zh-TW"/>
              </w:rPr>
              <w:t>(</w:t>
            </w:r>
            <w:proofErr w:type="spellStart"/>
            <w:r w:rsidRPr="00CA7301">
              <w:rPr>
                <w:rFonts w:cs="Segoe UI"/>
                <w:sz w:val="17"/>
                <w:szCs w:val="17"/>
                <w:lang w:eastAsia="zh-TW"/>
              </w:rPr>
              <w:t>i</w:t>
            </w:r>
            <w:proofErr w:type="spellEnd"/>
            <w:r w:rsidRPr="00CA7301">
              <w:rPr>
                <w:rFonts w:cs="Segoe UI"/>
                <w:sz w:val="17"/>
                <w:szCs w:val="17"/>
                <w:lang w:eastAsia="zh-TW"/>
              </w:rPr>
              <w:t>)</w:t>
            </w:r>
            <w:r w:rsidRPr="00CA7301">
              <w:rPr>
                <w:rFonts w:eastAsia="細明體" w:cs="Segoe UI"/>
                <w:sz w:val="17"/>
                <w:szCs w:val="17"/>
                <w:lang w:eastAsia="zh-TW"/>
              </w:rPr>
              <w:t>根據《資本規則》第</w:t>
            </w:r>
            <w:r w:rsidRPr="00CA7301">
              <w:rPr>
                <w:rFonts w:cs="Segoe UI"/>
                <w:sz w:val="17"/>
                <w:szCs w:val="17"/>
                <w:lang w:eastAsia="zh-TW"/>
              </w:rPr>
              <w:t>46(2)</w:t>
            </w:r>
            <w:r w:rsidRPr="00CA7301">
              <w:rPr>
                <w:rFonts w:eastAsia="細明體" w:cs="Segoe UI"/>
                <w:sz w:val="17"/>
                <w:szCs w:val="17"/>
                <w:lang w:eastAsia="zh-TW"/>
              </w:rPr>
              <w:t>條為決定超出數額而須與本項合計的貸款、融通或其他信用風險承擔，以及</w:t>
            </w:r>
            <w:r w:rsidRPr="00CA7301">
              <w:rPr>
                <w:rFonts w:cs="Segoe UI"/>
                <w:sz w:val="17"/>
                <w:szCs w:val="17"/>
                <w:lang w:eastAsia="zh-TW"/>
              </w:rPr>
              <w:t>(ii)</w:t>
            </w:r>
            <w:r w:rsidRPr="00CA7301">
              <w:rPr>
                <w:rFonts w:eastAsia="細明體" w:cs="Segoe UI"/>
                <w:sz w:val="17"/>
                <w:szCs w:val="17"/>
                <w:lang w:eastAsia="zh-TW"/>
              </w:rPr>
              <w:t>根據《資本規則》第</w:t>
            </w:r>
            <w:r w:rsidRPr="00CA7301">
              <w:rPr>
                <w:rFonts w:cs="Segoe UI"/>
                <w:sz w:val="17"/>
                <w:szCs w:val="17"/>
                <w:lang w:eastAsia="zh-TW"/>
              </w:rPr>
              <w:t>43(1)(p)</w:t>
            </w:r>
            <w:proofErr w:type="gramStart"/>
            <w:r w:rsidRPr="00CA7301">
              <w:rPr>
                <w:rFonts w:eastAsia="細明體" w:cs="Segoe UI"/>
                <w:sz w:val="17"/>
                <w:szCs w:val="17"/>
                <w:lang w:eastAsia="zh-TW"/>
              </w:rPr>
              <w:t>條須從</w:t>
            </w:r>
            <w:proofErr w:type="gramEnd"/>
            <w:r w:rsidRPr="00CA7301">
              <w:rPr>
                <w:rFonts w:cs="Segoe UI"/>
                <w:sz w:val="17"/>
                <w:szCs w:val="17"/>
                <w:lang w:eastAsia="zh-TW"/>
              </w:rPr>
              <w:t>CET1</w:t>
            </w:r>
            <w:r w:rsidRPr="00CA7301">
              <w:rPr>
                <w:rFonts w:eastAsia="細明體" w:cs="Segoe UI"/>
                <w:sz w:val="17"/>
                <w:szCs w:val="17"/>
                <w:lang w:eastAsia="zh-TW"/>
              </w:rPr>
              <w:t>資本扣減，按照《資本規則》附表</w:t>
            </w:r>
            <w:r w:rsidRPr="00CA7301">
              <w:rPr>
                <w:rFonts w:cs="Segoe UI"/>
                <w:sz w:val="17"/>
                <w:szCs w:val="17"/>
                <w:lang w:eastAsia="zh-TW"/>
              </w:rPr>
              <w:t>4G</w:t>
            </w:r>
            <w:r w:rsidRPr="00CA7301">
              <w:rPr>
                <w:rFonts w:eastAsia="細明體" w:cs="Segoe UI"/>
                <w:sz w:val="17"/>
                <w:szCs w:val="17"/>
                <w:lang w:eastAsia="zh-TW"/>
              </w:rPr>
              <w:t>計算，超出</w:t>
            </w:r>
            <w:r w:rsidRPr="00CA7301">
              <w:rPr>
                <w:rFonts w:cs="Segoe UI"/>
                <w:sz w:val="17"/>
                <w:szCs w:val="17"/>
                <w:lang w:eastAsia="zh-TW"/>
              </w:rPr>
              <w:t>10%</w:t>
            </w:r>
            <w:r w:rsidRPr="00CA7301">
              <w:rPr>
                <w:rFonts w:eastAsia="細明體" w:cs="Segoe UI"/>
                <w:sz w:val="17"/>
                <w:szCs w:val="17"/>
                <w:lang w:eastAsia="zh-TW"/>
              </w:rPr>
              <w:t>門檻的於在綜合計算的監管範圍以外的金融業實體發行的</w:t>
            </w:r>
            <w:r w:rsidRPr="00CA7301">
              <w:rPr>
                <w:rFonts w:cs="Segoe UI"/>
                <w:sz w:val="17"/>
                <w:szCs w:val="17"/>
                <w:lang w:eastAsia="zh-TW"/>
              </w:rPr>
              <w:t>CET1</w:t>
            </w:r>
            <w:r w:rsidRPr="00CA7301">
              <w:rPr>
                <w:rFonts w:eastAsia="細明體" w:cs="Segoe UI"/>
                <w:sz w:val="17"/>
                <w:szCs w:val="17"/>
                <w:lang w:eastAsia="zh-TW"/>
              </w:rPr>
              <w:t>資本票據的重大</w:t>
            </w:r>
            <w:r w:rsidR="00654621">
              <w:rPr>
                <w:rFonts w:eastAsia="細明體" w:cs="Segoe UI" w:hint="eastAsia"/>
                <w:sz w:val="17"/>
                <w:szCs w:val="17"/>
                <w:lang w:eastAsia="zh-TW"/>
              </w:rPr>
              <w:t>LAC</w:t>
            </w:r>
            <w:r w:rsidRPr="00CA7301">
              <w:rPr>
                <w:rFonts w:eastAsia="細明體" w:cs="Segoe UI"/>
                <w:sz w:val="17"/>
                <w:szCs w:val="17"/>
                <w:lang w:eastAsia="zh-TW"/>
              </w:rPr>
              <w:t>投資的數額。</w:t>
            </w:r>
          </w:p>
        </w:tc>
      </w:tr>
      <w:tr w:rsidR="00CA1B87" w:rsidRPr="00CA7301" w14:paraId="54224426" w14:textId="77777777" w:rsidTr="00F62652">
        <w:trPr>
          <w:trHeight w:val="373"/>
        </w:trPr>
        <w:tc>
          <w:tcPr>
            <w:tcW w:w="551" w:type="dxa"/>
          </w:tcPr>
          <w:p w14:paraId="0C0416C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20</w:t>
            </w:r>
          </w:p>
        </w:tc>
        <w:tc>
          <w:tcPr>
            <w:tcW w:w="8663" w:type="dxa"/>
            <w:shd w:val="clear" w:color="auto" w:fill="FFFF00"/>
          </w:tcPr>
          <w:p w14:paraId="13EBB242" w14:textId="0361D580" w:rsidR="00CA1B87" w:rsidRPr="00CA7301" w:rsidRDefault="00CA1B87" w:rsidP="00CA1B87">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Theme="minorEastAsia" w:cs="Segoe UI"/>
                <w:sz w:val="17"/>
                <w:szCs w:val="17"/>
                <w:lang w:eastAsia="zh-TW"/>
              </w:rPr>
              <w:t>此行不適用於香港。認可機構的資產負債表內任何數額的按</w:t>
            </w:r>
            <w:proofErr w:type="gramStart"/>
            <w:r w:rsidRPr="00CA7301">
              <w:rPr>
                <w:rFonts w:eastAsiaTheme="minorEastAsia" w:cs="Segoe UI"/>
                <w:sz w:val="17"/>
                <w:szCs w:val="17"/>
                <w:lang w:eastAsia="zh-TW"/>
              </w:rPr>
              <w:t>揭供款管理權均計</w:t>
            </w:r>
            <w:proofErr w:type="gramEnd"/>
            <w:r w:rsidRPr="00CA7301">
              <w:rPr>
                <w:rFonts w:eastAsiaTheme="minorEastAsia" w:cs="Segoe UI"/>
                <w:sz w:val="17"/>
                <w:szCs w:val="17"/>
                <w:lang w:eastAsia="zh-TW"/>
              </w:rPr>
              <w:t>入第</w:t>
            </w:r>
            <w:r w:rsidRPr="00CA7301">
              <w:rPr>
                <w:rFonts w:eastAsiaTheme="minorEastAsia" w:cs="Segoe UI"/>
                <w:sz w:val="17"/>
                <w:szCs w:val="17"/>
                <w:lang w:eastAsia="zh-TW"/>
              </w:rPr>
              <w:t>9</w:t>
            </w:r>
            <w:r w:rsidRPr="00CA7301">
              <w:rPr>
                <w:rFonts w:eastAsiaTheme="minorEastAsia" w:cs="Segoe UI"/>
                <w:sz w:val="17"/>
                <w:szCs w:val="17"/>
                <w:lang w:eastAsia="zh-TW"/>
              </w:rPr>
              <w:t>行（其他無形資產），並按照《資本規則》第</w:t>
            </w:r>
            <w:r w:rsidRPr="00CA7301">
              <w:rPr>
                <w:rFonts w:eastAsiaTheme="minorEastAsia" w:cs="Segoe UI"/>
                <w:sz w:val="17"/>
                <w:szCs w:val="17"/>
                <w:lang w:eastAsia="zh-TW"/>
              </w:rPr>
              <w:t>43(1)(b)</w:t>
            </w:r>
            <w:proofErr w:type="gramStart"/>
            <w:r w:rsidRPr="00CA7301">
              <w:rPr>
                <w:rFonts w:eastAsiaTheme="minorEastAsia" w:cs="Segoe UI"/>
                <w:sz w:val="17"/>
                <w:szCs w:val="17"/>
                <w:lang w:eastAsia="zh-TW"/>
              </w:rPr>
              <w:t>條作全數</w:t>
            </w:r>
            <w:proofErr w:type="gramEnd"/>
            <w:r w:rsidRPr="00CA7301">
              <w:rPr>
                <w:rFonts w:eastAsiaTheme="minorEastAsia" w:cs="Segoe UI"/>
                <w:sz w:val="17"/>
                <w:szCs w:val="17"/>
                <w:lang w:eastAsia="zh-TW"/>
              </w:rPr>
              <w:t>扣減。</w:t>
            </w:r>
          </w:p>
        </w:tc>
      </w:tr>
      <w:tr w:rsidR="00CA1B87" w:rsidRPr="00CA7301" w14:paraId="17526A2B" w14:textId="77777777" w:rsidTr="00F62652">
        <w:trPr>
          <w:trHeight w:val="373"/>
        </w:trPr>
        <w:tc>
          <w:tcPr>
            <w:tcW w:w="551" w:type="dxa"/>
          </w:tcPr>
          <w:p w14:paraId="419D4C28"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21</w:t>
            </w:r>
          </w:p>
        </w:tc>
        <w:tc>
          <w:tcPr>
            <w:tcW w:w="8663" w:type="dxa"/>
            <w:shd w:val="clear" w:color="auto" w:fill="FFFF00"/>
          </w:tcPr>
          <w:p w14:paraId="4A7F7904"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此行不適用於香港。認可機構的資產負債表內因暫時差異產生的任何數額的遞延稅項</w:t>
            </w:r>
            <w:proofErr w:type="gramStart"/>
            <w:r w:rsidRPr="00CA7301">
              <w:rPr>
                <w:rFonts w:eastAsiaTheme="minorEastAsia" w:cs="Segoe UI"/>
                <w:sz w:val="17"/>
                <w:szCs w:val="17"/>
                <w:lang w:eastAsia="zh-TW"/>
              </w:rPr>
              <w:t>資產均計入</w:t>
            </w:r>
            <w:proofErr w:type="gramEnd"/>
            <w:r w:rsidRPr="00CA7301">
              <w:rPr>
                <w:rFonts w:eastAsiaTheme="minorEastAsia" w:cs="Segoe UI"/>
                <w:sz w:val="17"/>
                <w:szCs w:val="17"/>
                <w:lang w:eastAsia="zh-TW"/>
              </w:rPr>
              <w:t>第</w:t>
            </w:r>
            <w:r w:rsidRPr="00CA7301">
              <w:rPr>
                <w:rFonts w:eastAsiaTheme="minorEastAsia" w:cs="Segoe UI"/>
                <w:sz w:val="17"/>
                <w:szCs w:val="17"/>
                <w:lang w:eastAsia="zh-TW"/>
              </w:rPr>
              <w:t>10</w:t>
            </w:r>
            <w:r w:rsidRPr="00CA7301">
              <w:rPr>
                <w:rFonts w:eastAsiaTheme="minorEastAsia" w:cs="Segoe UI"/>
                <w:sz w:val="17"/>
                <w:szCs w:val="17"/>
                <w:lang w:eastAsia="zh-TW"/>
              </w:rPr>
              <w:t>行（遞延稅項資產），並按照《資本規則》第</w:t>
            </w:r>
            <w:r w:rsidRPr="00CA7301">
              <w:rPr>
                <w:rFonts w:eastAsiaTheme="minorEastAsia" w:cs="Segoe UI"/>
                <w:sz w:val="17"/>
                <w:szCs w:val="17"/>
                <w:lang w:eastAsia="zh-TW"/>
              </w:rPr>
              <w:t>43(1)(d)</w:t>
            </w:r>
            <w:proofErr w:type="gramStart"/>
            <w:r w:rsidRPr="00CA7301">
              <w:rPr>
                <w:rFonts w:eastAsiaTheme="minorEastAsia" w:cs="Segoe UI"/>
                <w:sz w:val="17"/>
                <w:szCs w:val="17"/>
                <w:lang w:eastAsia="zh-TW"/>
              </w:rPr>
              <w:t>條作全數</w:t>
            </w:r>
            <w:proofErr w:type="gramEnd"/>
            <w:r w:rsidRPr="00CA7301">
              <w:rPr>
                <w:rFonts w:eastAsiaTheme="minorEastAsia" w:cs="Segoe UI"/>
                <w:sz w:val="17"/>
                <w:szCs w:val="17"/>
                <w:lang w:eastAsia="zh-TW"/>
              </w:rPr>
              <w:t>扣減。</w:t>
            </w:r>
          </w:p>
        </w:tc>
      </w:tr>
      <w:tr w:rsidR="00CA1B87" w:rsidRPr="00CA7301" w14:paraId="7888B222" w14:textId="77777777" w:rsidTr="00F62652">
        <w:trPr>
          <w:trHeight w:val="373"/>
        </w:trPr>
        <w:tc>
          <w:tcPr>
            <w:tcW w:w="551" w:type="dxa"/>
          </w:tcPr>
          <w:p w14:paraId="4FBFB3A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22</w:t>
            </w:r>
          </w:p>
        </w:tc>
        <w:tc>
          <w:tcPr>
            <w:tcW w:w="8663" w:type="dxa"/>
            <w:shd w:val="clear" w:color="auto" w:fill="FFFF00"/>
          </w:tcPr>
          <w:p w14:paraId="085D2608" w14:textId="77777777" w:rsidR="00CA1B87" w:rsidRPr="00CA7301" w:rsidRDefault="00CA1B87" w:rsidP="00CA7301">
            <w:pPr>
              <w:spacing w:before="40" w:after="40"/>
              <w:jc w:val="both"/>
              <w:rPr>
                <w:rFonts w:cs="Segoe UI"/>
                <w:sz w:val="17"/>
                <w:szCs w:val="17"/>
                <w:lang w:eastAsia="zh-TW"/>
              </w:rPr>
            </w:pPr>
            <w:r w:rsidRPr="00CA7301">
              <w:rPr>
                <w:rFonts w:eastAsiaTheme="minorEastAsia" w:cs="Segoe UI"/>
                <w:sz w:val="17"/>
                <w:szCs w:val="17"/>
                <w:lang w:eastAsia="zh-TW"/>
              </w:rPr>
              <w:t>按照《資本規則》，按</w:t>
            </w:r>
            <w:proofErr w:type="gramStart"/>
            <w:r w:rsidRPr="00CA7301">
              <w:rPr>
                <w:rFonts w:eastAsiaTheme="minorEastAsia" w:cs="Segoe UI"/>
                <w:sz w:val="17"/>
                <w:szCs w:val="17"/>
                <w:lang w:eastAsia="zh-TW"/>
              </w:rPr>
              <w:t>揭供款</w:t>
            </w:r>
            <w:proofErr w:type="gramEnd"/>
            <w:r w:rsidRPr="00CA7301">
              <w:rPr>
                <w:rFonts w:eastAsiaTheme="minorEastAsia" w:cs="Segoe UI"/>
                <w:sz w:val="17"/>
                <w:szCs w:val="17"/>
                <w:lang w:eastAsia="zh-TW"/>
              </w:rPr>
              <w:t>管理權及遞延稅項資產須予全數扣減，因此「</w:t>
            </w:r>
            <w:r w:rsidRPr="00CA7301">
              <w:rPr>
                <w:rFonts w:eastAsiaTheme="minorEastAsia" w:cs="Segoe UI"/>
                <w:sz w:val="17"/>
                <w:szCs w:val="17"/>
                <w:lang w:eastAsia="zh-TW"/>
              </w:rPr>
              <w:t>15%</w:t>
            </w:r>
            <w:r w:rsidRPr="00CA7301">
              <w:rPr>
                <w:rFonts w:eastAsiaTheme="minorEastAsia" w:cs="Segoe UI"/>
                <w:sz w:val="17"/>
                <w:szCs w:val="17"/>
                <w:lang w:eastAsia="zh-TW"/>
              </w:rPr>
              <w:t>門檻」不適用於香港，故無需理會此行。</w:t>
            </w:r>
          </w:p>
        </w:tc>
      </w:tr>
      <w:tr w:rsidR="00CA1B87" w:rsidRPr="00CA7301" w14:paraId="5F99EB6E" w14:textId="77777777" w:rsidTr="00F62652">
        <w:trPr>
          <w:trHeight w:val="373"/>
        </w:trPr>
        <w:tc>
          <w:tcPr>
            <w:tcW w:w="551" w:type="dxa"/>
          </w:tcPr>
          <w:p w14:paraId="2F26A928"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23</w:t>
            </w:r>
          </w:p>
        </w:tc>
        <w:tc>
          <w:tcPr>
            <w:tcW w:w="8663" w:type="dxa"/>
            <w:shd w:val="clear" w:color="auto" w:fill="FFFF00"/>
          </w:tcPr>
          <w:p w14:paraId="79341F19"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按照《資本規則》，按</w:t>
            </w:r>
            <w:proofErr w:type="gramStart"/>
            <w:r w:rsidRPr="00CA7301">
              <w:rPr>
                <w:rFonts w:eastAsiaTheme="minorEastAsia" w:cs="Segoe UI"/>
                <w:sz w:val="17"/>
                <w:szCs w:val="17"/>
                <w:lang w:eastAsia="zh-TW"/>
              </w:rPr>
              <w:t>揭供款</w:t>
            </w:r>
            <w:proofErr w:type="gramEnd"/>
            <w:r w:rsidRPr="00CA7301">
              <w:rPr>
                <w:rFonts w:eastAsiaTheme="minorEastAsia" w:cs="Segoe UI"/>
                <w:sz w:val="17"/>
                <w:szCs w:val="17"/>
                <w:lang w:eastAsia="zh-TW"/>
              </w:rPr>
              <w:t>管理權及遞延稅項資產須予全數扣減，因此「</w:t>
            </w:r>
            <w:r w:rsidRPr="00CA7301">
              <w:rPr>
                <w:rFonts w:eastAsiaTheme="minorEastAsia" w:cs="Segoe UI"/>
                <w:sz w:val="17"/>
                <w:szCs w:val="17"/>
                <w:lang w:eastAsia="zh-TW"/>
              </w:rPr>
              <w:t>15%</w:t>
            </w:r>
            <w:r w:rsidRPr="00CA7301">
              <w:rPr>
                <w:rFonts w:eastAsiaTheme="minorEastAsia" w:cs="Segoe UI"/>
                <w:sz w:val="17"/>
                <w:szCs w:val="17"/>
                <w:lang w:eastAsia="zh-TW"/>
              </w:rPr>
              <w:t>門檻」不適用於香港，故無需理會此行。</w:t>
            </w:r>
          </w:p>
        </w:tc>
      </w:tr>
      <w:tr w:rsidR="00CA1B87" w:rsidRPr="00CA7301" w14:paraId="42C494F7" w14:textId="77777777" w:rsidTr="00F62652">
        <w:trPr>
          <w:trHeight w:val="373"/>
        </w:trPr>
        <w:tc>
          <w:tcPr>
            <w:tcW w:w="551" w:type="dxa"/>
          </w:tcPr>
          <w:p w14:paraId="2EE9C3C9"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24</w:t>
            </w:r>
          </w:p>
        </w:tc>
        <w:tc>
          <w:tcPr>
            <w:tcW w:w="8663" w:type="dxa"/>
            <w:shd w:val="clear" w:color="auto" w:fill="FFFF00"/>
          </w:tcPr>
          <w:p w14:paraId="5908D447"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按照《資本規則》，按</w:t>
            </w:r>
            <w:proofErr w:type="gramStart"/>
            <w:r w:rsidRPr="00CA7301">
              <w:rPr>
                <w:rFonts w:eastAsiaTheme="minorEastAsia" w:cs="Segoe UI"/>
                <w:sz w:val="17"/>
                <w:szCs w:val="17"/>
                <w:lang w:eastAsia="zh-TW"/>
              </w:rPr>
              <w:t>揭供款</w:t>
            </w:r>
            <w:proofErr w:type="gramEnd"/>
            <w:r w:rsidRPr="00CA7301">
              <w:rPr>
                <w:rFonts w:eastAsiaTheme="minorEastAsia" w:cs="Segoe UI"/>
                <w:sz w:val="17"/>
                <w:szCs w:val="17"/>
                <w:lang w:eastAsia="zh-TW"/>
              </w:rPr>
              <w:t>管理權及遞延稅項資產須予全數扣減，因此「</w:t>
            </w:r>
            <w:r w:rsidRPr="00CA7301">
              <w:rPr>
                <w:rFonts w:eastAsiaTheme="minorEastAsia" w:cs="Segoe UI"/>
                <w:sz w:val="17"/>
                <w:szCs w:val="17"/>
                <w:lang w:eastAsia="zh-TW"/>
              </w:rPr>
              <w:t>15%</w:t>
            </w:r>
            <w:r w:rsidRPr="00CA7301">
              <w:rPr>
                <w:rFonts w:eastAsiaTheme="minorEastAsia" w:cs="Segoe UI"/>
                <w:sz w:val="17"/>
                <w:szCs w:val="17"/>
                <w:lang w:eastAsia="zh-TW"/>
              </w:rPr>
              <w:t>門檻」不適用於香港，故無需理會此行。</w:t>
            </w:r>
          </w:p>
        </w:tc>
      </w:tr>
      <w:tr w:rsidR="00CA1B87" w:rsidRPr="00CA7301" w14:paraId="6CB92813" w14:textId="77777777" w:rsidTr="00F62652">
        <w:trPr>
          <w:trHeight w:val="373"/>
        </w:trPr>
        <w:tc>
          <w:tcPr>
            <w:tcW w:w="551" w:type="dxa"/>
          </w:tcPr>
          <w:p w14:paraId="0A939429"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25</w:t>
            </w:r>
          </w:p>
        </w:tc>
        <w:tc>
          <w:tcPr>
            <w:tcW w:w="8663" w:type="dxa"/>
            <w:shd w:val="clear" w:color="auto" w:fill="FFFF00"/>
          </w:tcPr>
          <w:p w14:paraId="5AA7A6DC"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按照《資本規則》，按</w:t>
            </w:r>
            <w:proofErr w:type="gramStart"/>
            <w:r w:rsidRPr="00CA7301">
              <w:rPr>
                <w:rFonts w:eastAsiaTheme="minorEastAsia" w:cs="Segoe UI"/>
                <w:sz w:val="17"/>
                <w:szCs w:val="17"/>
                <w:lang w:eastAsia="zh-TW"/>
              </w:rPr>
              <w:t>揭供款</w:t>
            </w:r>
            <w:proofErr w:type="gramEnd"/>
            <w:r w:rsidRPr="00CA7301">
              <w:rPr>
                <w:rFonts w:eastAsiaTheme="minorEastAsia" w:cs="Segoe UI"/>
                <w:sz w:val="17"/>
                <w:szCs w:val="17"/>
                <w:lang w:eastAsia="zh-TW"/>
              </w:rPr>
              <w:t>管理權及遞延稅項資產須予全數扣減，因此「</w:t>
            </w:r>
            <w:r w:rsidRPr="00CA7301">
              <w:rPr>
                <w:rFonts w:eastAsiaTheme="minorEastAsia" w:cs="Segoe UI"/>
                <w:sz w:val="17"/>
                <w:szCs w:val="17"/>
                <w:lang w:eastAsia="zh-TW"/>
              </w:rPr>
              <w:t>15%</w:t>
            </w:r>
            <w:r w:rsidRPr="00CA7301">
              <w:rPr>
                <w:rFonts w:eastAsiaTheme="minorEastAsia" w:cs="Segoe UI"/>
                <w:sz w:val="17"/>
                <w:szCs w:val="17"/>
                <w:lang w:eastAsia="zh-TW"/>
              </w:rPr>
              <w:t>門檻」不適用於香港，故無需理會此行。</w:t>
            </w:r>
          </w:p>
        </w:tc>
      </w:tr>
      <w:tr w:rsidR="00CA1B87" w:rsidRPr="00CA7301" w14:paraId="566DD8C9" w14:textId="77777777" w:rsidTr="00F62652">
        <w:trPr>
          <w:trHeight w:val="373"/>
        </w:trPr>
        <w:tc>
          <w:tcPr>
            <w:tcW w:w="551" w:type="dxa"/>
          </w:tcPr>
          <w:p w14:paraId="16435F29"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26</w:t>
            </w:r>
          </w:p>
        </w:tc>
        <w:tc>
          <w:tcPr>
            <w:tcW w:w="8663" w:type="dxa"/>
          </w:tcPr>
          <w:p w14:paraId="31A65DEB" w14:textId="5B4843A6"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金融管理專員規定認可機構在《巴塞爾協定三》下須作出的調整以外對</w:t>
            </w:r>
            <w:r w:rsidRPr="00CA7301">
              <w:rPr>
                <w:rFonts w:cs="Segoe UI"/>
                <w:sz w:val="17"/>
                <w:szCs w:val="17"/>
                <w:lang w:eastAsia="zh-TW"/>
              </w:rPr>
              <w:t>CET1</w:t>
            </w:r>
            <w:r w:rsidRPr="00CA7301">
              <w:rPr>
                <w:rFonts w:eastAsia="新細明體" w:cs="Segoe UI"/>
                <w:sz w:val="17"/>
                <w:szCs w:val="17"/>
                <w:lang w:eastAsia="zh-TW"/>
              </w:rPr>
              <w:t>資本作出的特定監管調整，數額為第</w:t>
            </w:r>
            <w:r w:rsidRPr="00CA7301">
              <w:rPr>
                <w:rFonts w:cs="Segoe UI"/>
                <w:sz w:val="17"/>
                <w:szCs w:val="17"/>
                <w:lang w:eastAsia="zh-TW"/>
              </w:rPr>
              <w:t>26a</w:t>
            </w:r>
            <w:r w:rsidRPr="00CA7301">
              <w:rPr>
                <w:rFonts w:eastAsia="新細明體" w:cs="Segoe UI"/>
                <w:sz w:val="17"/>
                <w:szCs w:val="17"/>
                <w:lang w:eastAsia="zh-TW"/>
              </w:rPr>
              <w:t>至</w:t>
            </w:r>
            <w:r w:rsidRPr="00CA7301">
              <w:rPr>
                <w:rFonts w:cs="Segoe UI"/>
                <w:sz w:val="17"/>
                <w:szCs w:val="17"/>
                <w:lang w:eastAsia="zh-TW"/>
              </w:rPr>
              <w:t>26f</w:t>
            </w:r>
            <w:r w:rsidRPr="00CA7301">
              <w:rPr>
                <w:rFonts w:eastAsiaTheme="minorEastAsia" w:cs="Segoe UI"/>
                <w:sz w:val="17"/>
                <w:szCs w:val="17"/>
                <w:lang w:eastAsia="zh-TW"/>
              </w:rPr>
              <w:t>行</w:t>
            </w:r>
            <w:r w:rsidRPr="00CA7301">
              <w:rPr>
                <w:rFonts w:eastAsia="新細明體" w:cs="Segoe UI"/>
                <w:sz w:val="17"/>
                <w:szCs w:val="17"/>
                <w:lang w:eastAsia="zh-TW"/>
              </w:rPr>
              <w:t>及</w:t>
            </w:r>
            <w:r w:rsidRPr="00CA7301">
              <w:rPr>
                <w:rFonts w:eastAsiaTheme="minorEastAsia" w:cs="Segoe UI"/>
                <w:sz w:val="17"/>
                <w:szCs w:val="17"/>
                <w:lang w:eastAsia="zh-TW"/>
              </w:rPr>
              <w:t>第</w:t>
            </w:r>
            <w:r w:rsidRPr="00CA7301">
              <w:rPr>
                <w:rFonts w:cs="Segoe UI"/>
                <w:sz w:val="17"/>
                <w:szCs w:val="17"/>
                <w:lang w:eastAsia="zh-TW"/>
              </w:rPr>
              <w:t>26</w:t>
            </w:r>
            <w:r w:rsidRPr="00CA7301">
              <w:rPr>
                <w:rFonts w:eastAsia="新細明體" w:cs="Segoe UI"/>
                <w:sz w:val="17"/>
                <w:szCs w:val="17"/>
                <w:lang w:eastAsia="zh-TW"/>
              </w:rPr>
              <w:t>與</w:t>
            </w:r>
            <w:r w:rsidRPr="00CA7301">
              <w:rPr>
                <w:rFonts w:cs="Segoe UI"/>
                <w:sz w:val="17"/>
                <w:szCs w:val="17"/>
                <w:lang w:eastAsia="zh-TW"/>
              </w:rPr>
              <w:t>27</w:t>
            </w:r>
            <w:r w:rsidRPr="00CA7301">
              <w:rPr>
                <w:rFonts w:eastAsiaTheme="minorEastAsia" w:cs="Segoe UI"/>
                <w:sz w:val="17"/>
                <w:szCs w:val="17"/>
                <w:lang w:eastAsia="zh-TW"/>
              </w:rPr>
              <w:t>行</w:t>
            </w:r>
            <w:r w:rsidRPr="00CA7301">
              <w:rPr>
                <w:rFonts w:eastAsia="新細明體" w:cs="Segoe UI"/>
                <w:sz w:val="17"/>
                <w:szCs w:val="17"/>
                <w:lang w:eastAsia="zh-TW"/>
              </w:rPr>
              <w:t>之間插入的任何其他附加行</w:t>
            </w:r>
            <w:r w:rsidRPr="00CA7301">
              <w:rPr>
                <w:rFonts w:eastAsia="細明體" w:cs="Segoe UI"/>
                <w:sz w:val="17"/>
                <w:szCs w:val="17"/>
                <w:lang w:eastAsia="zh-TW"/>
              </w:rPr>
              <w:t>（</w:t>
            </w:r>
            <w:r w:rsidRPr="00CA7301">
              <w:rPr>
                <w:rFonts w:eastAsia="新細明體" w:cs="Segoe UI"/>
                <w:sz w:val="17"/>
                <w:szCs w:val="17"/>
                <w:lang w:eastAsia="zh-TW"/>
              </w:rPr>
              <w:t>如適用</w:t>
            </w:r>
            <w:r w:rsidRPr="00CA7301">
              <w:rPr>
                <w:rFonts w:eastAsia="細明體" w:cs="Segoe UI"/>
                <w:sz w:val="17"/>
                <w:szCs w:val="17"/>
                <w:lang w:eastAsia="zh-TW"/>
              </w:rPr>
              <w:t>）</w:t>
            </w:r>
            <w:r w:rsidRPr="00CA7301">
              <w:rPr>
                <w:rFonts w:eastAsiaTheme="minorEastAsia" w:cs="Segoe UI"/>
                <w:sz w:val="17"/>
                <w:szCs w:val="17"/>
                <w:lang w:eastAsia="zh-TW"/>
              </w:rPr>
              <w:t>的值</w:t>
            </w:r>
            <w:r w:rsidRPr="00CA7301">
              <w:rPr>
                <w:rFonts w:eastAsia="新細明體" w:cs="Segoe UI"/>
                <w:sz w:val="17"/>
                <w:szCs w:val="17"/>
                <w:lang w:eastAsia="zh-TW"/>
              </w:rPr>
              <w:t>相加的總和。</w:t>
            </w:r>
          </w:p>
        </w:tc>
      </w:tr>
      <w:tr w:rsidR="00CA1B87" w:rsidRPr="00CA7301" w14:paraId="7CA4BACD" w14:textId="77777777" w:rsidTr="00F62652">
        <w:trPr>
          <w:trHeight w:val="373"/>
        </w:trPr>
        <w:tc>
          <w:tcPr>
            <w:tcW w:w="551" w:type="dxa"/>
          </w:tcPr>
          <w:p w14:paraId="4F227DB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26a</w:t>
            </w:r>
          </w:p>
        </w:tc>
        <w:tc>
          <w:tcPr>
            <w:tcW w:w="8663" w:type="dxa"/>
          </w:tcPr>
          <w:p w14:paraId="793EE359"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38(2)(c)</w:t>
            </w:r>
            <w:r w:rsidRPr="00CA7301">
              <w:rPr>
                <w:rFonts w:eastAsia="新細明體" w:cs="Segoe UI"/>
                <w:sz w:val="17"/>
                <w:szCs w:val="17"/>
                <w:lang w:eastAsia="zh-TW"/>
              </w:rPr>
              <w:t>及</w:t>
            </w:r>
            <w:r w:rsidRPr="00CA7301">
              <w:rPr>
                <w:rFonts w:cs="Segoe UI"/>
                <w:sz w:val="17"/>
                <w:szCs w:val="17"/>
                <w:lang w:eastAsia="zh-TW"/>
              </w:rPr>
              <w:t>(d)</w:t>
            </w:r>
            <w:r w:rsidRPr="00CA7301">
              <w:rPr>
                <w:rFonts w:eastAsia="新細明體" w:cs="Segoe UI"/>
                <w:sz w:val="17"/>
                <w:szCs w:val="17"/>
                <w:lang w:eastAsia="zh-TW"/>
              </w:rPr>
              <w:t>條所述，因土地及建築物</w:t>
            </w:r>
            <w:r w:rsidRPr="00CA7301">
              <w:rPr>
                <w:rFonts w:eastAsia="細明體" w:cs="Segoe UI"/>
                <w:sz w:val="17"/>
                <w:szCs w:val="17"/>
                <w:lang w:eastAsia="zh-TW"/>
              </w:rPr>
              <w:t>（</w:t>
            </w:r>
            <w:r w:rsidRPr="00CA7301">
              <w:rPr>
                <w:rFonts w:eastAsia="新細明體" w:cs="Segoe UI"/>
                <w:sz w:val="17"/>
                <w:szCs w:val="17"/>
                <w:lang w:eastAsia="zh-TW"/>
              </w:rPr>
              <w:t>自用及投資用途</w:t>
            </w:r>
            <w:r w:rsidRPr="00CA7301">
              <w:rPr>
                <w:rFonts w:eastAsia="細明體" w:cs="Segoe UI"/>
                <w:sz w:val="17"/>
                <w:szCs w:val="17"/>
                <w:lang w:eastAsia="zh-TW"/>
              </w:rPr>
              <w:t>）</w:t>
            </w:r>
            <w:r w:rsidRPr="00CA7301">
              <w:rPr>
                <w:rFonts w:eastAsia="新細明體" w:cs="Segoe UI"/>
                <w:sz w:val="17"/>
                <w:szCs w:val="17"/>
                <w:lang w:eastAsia="zh-TW"/>
              </w:rPr>
              <w:t>進行價值重估而產生的累積公平價值收益。</w:t>
            </w:r>
          </w:p>
        </w:tc>
      </w:tr>
      <w:tr w:rsidR="00CA1B87" w:rsidRPr="00CA7301" w14:paraId="0FA63E59" w14:textId="77777777" w:rsidTr="00F62652">
        <w:trPr>
          <w:trHeight w:val="373"/>
        </w:trPr>
        <w:tc>
          <w:tcPr>
            <w:tcW w:w="551" w:type="dxa"/>
          </w:tcPr>
          <w:p w14:paraId="569F32D9"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26b</w:t>
            </w:r>
          </w:p>
        </w:tc>
        <w:tc>
          <w:tcPr>
            <w:tcW w:w="8663" w:type="dxa"/>
          </w:tcPr>
          <w:p w14:paraId="346E89B9"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38(2)(e)</w:t>
            </w:r>
            <w:r w:rsidRPr="00CA7301">
              <w:rPr>
                <w:rFonts w:eastAsia="新細明體" w:cs="Segoe UI"/>
                <w:sz w:val="17"/>
                <w:szCs w:val="17"/>
                <w:lang w:eastAsia="zh-TW"/>
              </w:rPr>
              <w:t>條所述的一般銀行業務風險監管儲備。</w:t>
            </w:r>
          </w:p>
        </w:tc>
      </w:tr>
      <w:tr w:rsidR="00CA1B87" w:rsidRPr="00CA7301" w14:paraId="4FDADE6F" w14:textId="77777777" w:rsidTr="00F62652">
        <w:trPr>
          <w:trHeight w:val="373"/>
        </w:trPr>
        <w:tc>
          <w:tcPr>
            <w:tcW w:w="551" w:type="dxa"/>
          </w:tcPr>
          <w:p w14:paraId="77B2A26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26c</w:t>
            </w:r>
          </w:p>
        </w:tc>
        <w:tc>
          <w:tcPr>
            <w:tcW w:w="8663" w:type="dxa"/>
          </w:tcPr>
          <w:p w14:paraId="1B0CA9CD"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43(1)(f)</w:t>
            </w:r>
            <w:r w:rsidRPr="00CA7301">
              <w:rPr>
                <w:rFonts w:eastAsia="新細明體" w:cs="Segoe UI"/>
                <w:sz w:val="17"/>
                <w:szCs w:val="17"/>
                <w:lang w:eastAsia="zh-TW"/>
              </w:rPr>
              <w:t>條所述金融管理專員給予的通知所指明的任何證券化類別風險承擔。</w:t>
            </w:r>
          </w:p>
        </w:tc>
      </w:tr>
      <w:tr w:rsidR="00CA1B87" w:rsidRPr="00CA7301" w14:paraId="46A28CD8" w14:textId="77777777" w:rsidTr="00F62652">
        <w:trPr>
          <w:trHeight w:val="373"/>
        </w:trPr>
        <w:tc>
          <w:tcPr>
            <w:tcW w:w="551" w:type="dxa"/>
          </w:tcPr>
          <w:p w14:paraId="1A9434AC"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26d</w:t>
            </w:r>
          </w:p>
        </w:tc>
        <w:tc>
          <w:tcPr>
            <w:tcW w:w="8663" w:type="dxa"/>
          </w:tcPr>
          <w:p w14:paraId="42B576FC"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43(1)(j)</w:t>
            </w:r>
            <w:r w:rsidRPr="00CA7301">
              <w:rPr>
                <w:rFonts w:eastAsia="新細明體" w:cs="Segoe UI"/>
                <w:sz w:val="17"/>
                <w:szCs w:val="17"/>
                <w:lang w:eastAsia="zh-TW"/>
              </w:rPr>
              <w:t>條</w:t>
            </w:r>
            <w:proofErr w:type="gramStart"/>
            <w:r w:rsidRPr="00CA7301">
              <w:rPr>
                <w:rFonts w:eastAsia="新細明體" w:cs="Segoe UI"/>
                <w:sz w:val="17"/>
                <w:szCs w:val="17"/>
                <w:lang w:eastAsia="zh-TW"/>
              </w:rPr>
              <w:t>所述因機構</w:t>
            </w:r>
            <w:proofErr w:type="gramEnd"/>
            <w:r w:rsidRPr="00CA7301">
              <w:rPr>
                <w:rFonts w:eastAsia="新細明體" w:cs="Segoe UI"/>
                <w:sz w:val="17"/>
                <w:szCs w:val="17"/>
                <w:lang w:eastAsia="zh-TW"/>
              </w:rPr>
              <w:t>持有的土地及建築物低於已折舊的成本價值而產生的任何累積虧損。</w:t>
            </w:r>
          </w:p>
        </w:tc>
      </w:tr>
      <w:tr w:rsidR="00CA1B87" w:rsidRPr="00CA7301" w14:paraId="7ECCFBC6" w14:textId="77777777" w:rsidTr="00F62652">
        <w:trPr>
          <w:trHeight w:val="373"/>
        </w:trPr>
        <w:tc>
          <w:tcPr>
            <w:tcW w:w="551" w:type="dxa"/>
          </w:tcPr>
          <w:p w14:paraId="65021880"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26e</w:t>
            </w:r>
          </w:p>
        </w:tc>
        <w:tc>
          <w:tcPr>
            <w:tcW w:w="8663" w:type="dxa"/>
          </w:tcPr>
          <w:p w14:paraId="1C72E522"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43(1)(k)</w:t>
            </w:r>
            <w:r w:rsidRPr="00CA7301">
              <w:rPr>
                <w:rFonts w:eastAsia="新細明體" w:cs="Segoe UI"/>
                <w:sz w:val="17"/>
                <w:szCs w:val="17"/>
                <w:lang w:eastAsia="zh-TW"/>
              </w:rPr>
              <w:t>條所述受</w:t>
            </w:r>
            <w:proofErr w:type="gramStart"/>
            <w:r w:rsidRPr="00CA7301">
              <w:rPr>
                <w:rFonts w:eastAsia="新細明體" w:cs="Segoe UI"/>
                <w:sz w:val="17"/>
                <w:szCs w:val="17"/>
                <w:lang w:eastAsia="zh-TW"/>
              </w:rPr>
              <w:t>規管非</w:t>
            </w:r>
            <w:proofErr w:type="gramEnd"/>
            <w:r w:rsidRPr="00CA7301">
              <w:rPr>
                <w:rFonts w:eastAsia="新細明體" w:cs="Segoe UI"/>
                <w:sz w:val="17"/>
                <w:szCs w:val="17"/>
                <w:lang w:eastAsia="zh-TW"/>
              </w:rPr>
              <w:t>銀行附屬公司的資本短欠。</w:t>
            </w:r>
          </w:p>
        </w:tc>
      </w:tr>
      <w:tr w:rsidR="00CA1B87" w:rsidRPr="00CA7301" w14:paraId="1A4368E8" w14:textId="77777777" w:rsidTr="00F62652">
        <w:trPr>
          <w:trHeight w:val="373"/>
        </w:trPr>
        <w:tc>
          <w:tcPr>
            <w:tcW w:w="551" w:type="dxa"/>
          </w:tcPr>
          <w:p w14:paraId="18E3E480"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26f</w:t>
            </w:r>
          </w:p>
        </w:tc>
        <w:tc>
          <w:tcPr>
            <w:tcW w:w="8663" w:type="dxa"/>
          </w:tcPr>
          <w:p w14:paraId="79C1C8DB"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超出認可機構的資本基礎</w:t>
            </w:r>
            <w:r w:rsidRPr="00CA7301">
              <w:rPr>
                <w:rFonts w:cs="Segoe UI"/>
                <w:sz w:val="17"/>
                <w:szCs w:val="17"/>
                <w:lang w:eastAsia="zh-TW"/>
              </w:rPr>
              <w:t>(</w:t>
            </w:r>
            <w:r w:rsidRPr="00CA7301">
              <w:rPr>
                <w:rFonts w:eastAsia="新細明體" w:cs="Segoe UI"/>
                <w:sz w:val="17"/>
                <w:szCs w:val="17"/>
                <w:lang w:eastAsia="zh-TW"/>
              </w:rPr>
              <w:t>按照《資本規則》第</w:t>
            </w:r>
            <w:r w:rsidRPr="00CA7301">
              <w:rPr>
                <w:rFonts w:cs="Segoe UI"/>
                <w:sz w:val="17"/>
                <w:szCs w:val="17"/>
                <w:lang w:eastAsia="zh-TW"/>
              </w:rPr>
              <w:t>43(1)(n)</w:t>
            </w:r>
            <w:r w:rsidRPr="00CA7301">
              <w:rPr>
                <w:rFonts w:eastAsia="新細明體" w:cs="Segoe UI"/>
                <w:sz w:val="17"/>
                <w:szCs w:val="17"/>
                <w:lang w:eastAsia="zh-TW"/>
              </w:rPr>
              <w:t>條機構於對上一個季度終結日在其資本充足比率申報表填報的數額</w:t>
            </w:r>
            <w:r w:rsidRPr="00CA7301">
              <w:rPr>
                <w:rFonts w:cs="Segoe UI"/>
                <w:sz w:val="17"/>
                <w:szCs w:val="17"/>
                <w:lang w:eastAsia="zh-TW"/>
              </w:rPr>
              <w:t>)15%</w:t>
            </w:r>
            <w:r w:rsidRPr="00CA7301">
              <w:rPr>
                <w:rFonts w:eastAsia="新細明體" w:cs="Segoe UI"/>
                <w:sz w:val="17"/>
                <w:szCs w:val="17"/>
                <w:lang w:eastAsia="zh-TW"/>
              </w:rPr>
              <w:t>的在有連</w:t>
            </w:r>
            <w:proofErr w:type="gramStart"/>
            <w:r w:rsidRPr="00CA7301">
              <w:rPr>
                <w:rFonts w:eastAsia="新細明體" w:cs="Segoe UI"/>
                <w:sz w:val="17"/>
                <w:szCs w:val="17"/>
                <w:lang w:eastAsia="zh-TW"/>
              </w:rPr>
              <w:t>繫</w:t>
            </w:r>
            <w:proofErr w:type="gramEnd"/>
            <w:r w:rsidRPr="00CA7301">
              <w:rPr>
                <w:rFonts w:eastAsia="新細明體" w:cs="Segoe UI"/>
                <w:sz w:val="17"/>
                <w:szCs w:val="17"/>
                <w:lang w:eastAsia="zh-TW"/>
              </w:rPr>
              <w:t>商業實體的任何資本投資總和，並計及《資本規則》第</w:t>
            </w:r>
            <w:r w:rsidRPr="00CA7301">
              <w:rPr>
                <w:rFonts w:cs="Segoe UI"/>
                <w:sz w:val="17"/>
                <w:szCs w:val="17"/>
                <w:lang w:eastAsia="zh-TW"/>
              </w:rPr>
              <w:t>46(1)</w:t>
            </w:r>
            <w:r w:rsidRPr="00CA7301">
              <w:rPr>
                <w:rFonts w:eastAsia="新細明體" w:cs="Segoe UI"/>
                <w:sz w:val="17"/>
                <w:szCs w:val="17"/>
                <w:lang w:eastAsia="zh-TW"/>
              </w:rPr>
              <w:t>條規定為決定須予扣減的超出數額而須與此項目合計的任何數額的貸款、融通或其他信用風險承擔。</w:t>
            </w:r>
          </w:p>
        </w:tc>
      </w:tr>
      <w:tr w:rsidR="00CA1B87" w:rsidRPr="00CA7301" w14:paraId="06D24A92" w14:textId="77777777" w:rsidTr="00F62652">
        <w:trPr>
          <w:trHeight w:val="373"/>
        </w:trPr>
        <w:tc>
          <w:tcPr>
            <w:tcW w:w="551" w:type="dxa"/>
          </w:tcPr>
          <w:p w14:paraId="271C3CC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27</w:t>
            </w:r>
          </w:p>
        </w:tc>
        <w:tc>
          <w:tcPr>
            <w:tcW w:w="8663" w:type="dxa"/>
          </w:tcPr>
          <w:p w14:paraId="0153CC53"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按照《資本規則》第</w:t>
            </w:r>
            <w:r w:rsidRPr="00CA7301">
              <w:rPr>
                <w:rFonts w:cs="Segoe UI"/>
                <w:sz w:val="17"/>
                <w:szCs w:val="17"/>
                <w:lang w:eastAsia="zh-TW"/>
              </w:rPr>
              <w:t>43(1)(r)</w:t>
            </w:r>
            <w:r w:rsidRPr="00CA7301">
              <w:rPr>
                <w:rFonts w:eastAsia="新細明體" w:cs="Segoe UI"/>
                <w:sz w:val="17"/>
                <w:szCs w:val="17"/>
                <w:lang w:eastAsia="zh-TW"/>
              </w:rPr>
              <w:t>條的規定，因沒有足夠的</w:t>
            </w:r>
            <w:r w:rsidRPr="00CA7301">
              <w:rPr>
                <w:rFonts w:cs="Segoe UI"/>
                <w:sz w:val="17"/>
                <w:szCs w:val="17"/>
                <w:lang w:eastAsia="zh-TW"/>
              </w:rPr>
              <w:t>AT1</w:t>
            </w:r>
            <w:r w:rsidRPr="00CA7301">
              <w:rPr>
                <w:rFonts w:eastAsiaTheme="minorEastAsia" w:cs="Segoe UI"/>
                <w:sz w:val="17"/>
                <w:szCs w:val="17"/>
                <w:lang w:eastAsia="zh-TW"/>
              </w:rPr>
              <w:t>資本</w:t>
            </w:r>
            <w:r w:rsidRPr="00CA7301">
              <w:rPr>
                <w:rFonts w:eastAsia="新細明體" w:cs="Segoe UI"/>
                <w:sz w:val="17"/>
                <w:szCs w:val="17"/>
                <w:lang w:eastAsia="zh-TW"/>
              </w:rPr>
              <w:t>以供扣除而須在</w:t>
            </w:r>
            <w:r w:rsidRPr="00CA7301">
              <w:rPr>
                <w:rFonts w:cs="Segoe UI"/>
                <w:sz w:val="17"/>
                <w:szCs w:val="17"/>
                <w:lang w:eastAsia="zh-TW"/>
              </w:rPr>
              <w:t>CET1</w:t>
            </w:r>
            <w:r w:rsidRPr="00CA7301">
              <w:rPr>
                <w:rFonts w:eastAsia="新細明體" w:cs="Segoe UI"/>
                <w:sz w:val="17"/>
                <w:szCs w:val="17"/>
                <w:lang w:eastAsia="zh-TW"/>
              </w:rPr>
              <w:t>資本扣除的監管扣減。如於</w:t>
            </w:r>
            <w:r w:rsidRPr="00CA7301">
              <w:rPr>
                <w:rFonts w:eastAsiaTheme="minorEastAsia" w:cs="Segoe UI"/>
                <w:sz w:val="17"/>
                <w:szCs w:val="17"/>
                <w:lang w:eastAsia="zh-TW"/>
              </w:rPr>
              <w:t>第</w:t>
            </w:r>
            <w:r w:rsidRPr="00CA7301">
              <w:rPr>
                <w:rFonts w:cs="Segoe UI"/>
                <w:sz w:val="17"/>
                <w:szCs w:val="17"/>
                <w:lang w:eastAsia="zh-TW"/>
              </w:rPr>
              <w:t>43</w:t>
            </w:r>
            <w:r w:rsidRPr="00CA7301">
              <w:rPr>
                <w:rFonts w:eastAsiaTheme="minorEastAsia" w:cs="Segoe UI"/>
                <w:sz w:val="17"/>
                <w:szCs w:val="17"/>
                <w:lang w:eastAsia="zh-TW"/>
              </w:rPr>
              <w:t>行</w:t>
            </w:r>
            <w:r w:rsidRPr="00CA7301">
              <w:rPr>
                <w:rFonts w:eastAsia="新細明體" w:cs="Segoe UI"/>
                <w:sz w:val="17"/>
                <w:szCs w:val="17"/>
                <w:lang w:eastAsia="zh-TW"/>
              </w:rPr>
              <w:t>所報的值大於在</w:t>
            </w:r>
            <w:r w:rsidRPr="00CA7301">
              <w:rPr>
                <w:rFonts w:eastAsiaTheme="minorEastAsia" w:cs="Segoe UI"/>
                <w:sz w:val="17"/>
                <w:szCs w:val="17"/>
                <w:lang w:eastAsia="zh-TW"/>
              </w:rPr>
              <w:t>第</w:t>
            </w:r>
            <w:r w:rsidRPr="00CA7301">
              <w:rPr>
                <w:rFonts w:cs="Segoe UI"/>
                <w:sz w:val="17"/>
                <w:szCs w:val="17"/>
                <w:lang w:eastAsia="zh-TW"/>
              </w:rPr>
              <w:t>36</w:t>
            </w:r>
            <w:r w:rsidRPr="00CA7301">
              <w:rPr>
                <w:rFonts w:eastAsiaTheme="minorEastAsia" w:cs="Segoe UI"/>
                <w:sz w:val="17"/>
                <w:szCs w:val="17"/>
                <w:lang w:eastAsia="zh-TW"/>
              </w:rPr>
              <w:t>行</w:t>
            </w:r>
            <w:r w:rsidRPr="00CA7301">
              <w:rPr>
                <w:rFonts w:eastAsia="新細明體" w:cs="Segoe UI"/>
                <w:sz w:val="17"/>
                <w:szCs w:val="17"/>
                <w:lang w:eastAsia="zh-TW"/>
              </w:rPr>
              <w:t>所報的數額，超出之數須在此行填報。</w:t>
            </w:r>
          </w:p>
        </w:tc>
      </w:tr>
      <w:tr w:rsidR="00CA1B87" w:rsidRPr="00CA7301" w14:paraId="1AF03B8A" w14:textId="77777777" w:rsidTr="00F62652">
        <w:trPr>
          <w:trHeight w:val="373"/>
        </w:trPr>
        <w:tc>
          <w:tcPr>
            <w:tcW w:w="551" w:type="dxa"/>
          </w:tcPr>
          <w:p w14:paraId="4C838247"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28</w:t>
            </w:r>
          </w:p>
        </w:tc>
        <w:tc>
          <w:tcPr>
            <w:tcW w:w="8663" w:type="dxa"/>
          </w:tcPr>
          <w:p w14:paraId="6C29CED2"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對</w:t>
            </w:r>
            <w:r w:rsidRPr="00CA7301">
              <w:rPr>
                <w:rFonts w:cs="Segoe UI"/>
                <w:sz w:val="17"/>
                <w:szCs w:val="17"/>
                <w:lang w:eastAsia="zh-TW"/>
              </w:rPr>
              <w:t>CET1</w:t>
            </w:r>
            <w:r w:rsidRPr="00CA7301">
              <w:rPr>
                <w:rFonts w:eastAsia="新細明體" w:cs="Segoe UI"/>
                <w:sz w:val="17"/>
                <w:szCs w:val="17"/>
                <w:lang w:eastAsia="zh-TW"/>
              </w:rPr>
              <w:t>資本的監管扣減總額，即</w:t>
            </w:r>
            <w:r w:rsidRPr="00CA7301">
              <w:rPr>
                <w:rFonts w:eastAsiaTheme="minorEastAsia" w:cs="Segoe UI"/>
                <w:sz w:val="17"/>
                <w:szCs w:val="17"/>
                <w:lang w:eastAsia="zh-TW"/>
              </w:rPr>
              <w:t>第</w:t>
            </w:r>
            <w:r w:rsidRPr="00CA7301">
              <w:rPr>
                <w:rFonts w:cs="Segoe UI"/>
                <w:sz w:val="17"/>
                <w:szCs w:val="17"/>
                <w:lang w:eastAsia="zh-TW"/>
              </w:rPr>
              <w:t>7</w:t>
            </w:r>
            <w:r w:rsidRPr="00CA7301">
              <w:rPr>
                <w:rFonts w:eastAsia="新細明體" w:cs="Segoe UI"/>
                <w:sz w:val="17"/>
                <w:szCs w:val="17"/>
                <w:lang w:eastAsia="zh-TW"/>
              </w:rPr>
              <w:t>至</w:t>
            </w:r>
            <w:r w:rsidRPr="00CA7301">
              <w:rPr>
                <w:rFonts w:cs="Segoe UI"/>
                <w:sz w:val="17"/>
                <w:szCs w:val="17"/>
                <w:lang w:eastAsia="zh-TW"/>
              </w:rPr>
              <w:t>19</w:t>
            </w:r>
            <w:r w:rsidRPr="00CA7301">
              <w:rPr>
                <w:rFonts w:eastAsiaTheme="minorEastAsia" w:cs="Segoe UI"/>
                <w:sz w:val="17"/>
                <w:szCs w:val="17"/>
                <w:lang w:eastAsia="zh-TW"/>
              </w:rPr>
              <w:t>行</w:t>
            </w:r>
            <w:r w:rsidRPr="00CA7301">
              <w:rPr>
                <w:rFonts w:eastAsia="新細明體" w:cs="Segoe UI"/>
                <w:sz w:val="17"/>
                <w:szCs w:val="17"/>
                <w:lang w:eastAsia="zh-TW"/>
              </w:rPr>
              <w:t>與</w:t>
            </w:r>
            <w:r w:rsidRPr="00CA7301">
              <w:rPr>
                <w:rFonts w:eastAsiaTheme="minorEastAsia" w:cs="Segoe UI"/>
                <w:sz w:val="17"/>
                <w:szCs w:val="17"/>
                <w:lang w:eastAsia="zh-TW"/>
              </w:rPr>
              <w:t>第</w:t>
            </w:r>
            <w:r w:rsidRPr="00CA7301">
              <w:rPr>
                <w:rFonts w:cs="Segoe UI"/>
                <w:sz w:val="17"/>
                <w:szCs w:val="17"/>
                <w:lang w:eastAsia="zh-TW"/>
              </w:rPr>
              <w:t>26</w:t>
            </w:r>
            <w:r w:rsidRPr="00CA7301">
              <w:rPr>
                <w:rFonts w:eastAsia="新細明體" w:cs="Segoe UI"/>
                <w:sz w:val="17"/>
                <w:szCs w:val="17"/>
                <w:lang w:eastAsia="zh-TW"/>
              </w:rPr>
              <w:t>及</w:t>
            </w:r>
            <w:r w:rsidRPr="00CA7301">
              <w:rPr>
                <w:rFonts w:cs="Segoe UI"/>
                <w:sz w:val="17"/>
                <w:szCs w:val="17"/>
                <w:lang w:eastAsia="zh-TW"/>
              </w:rPr>
              <w:t>27</w:t>
            </w:r>
            <w:r w:rsidRPr="00CA7301">
              <w:rPr>
                <w:rFonts w:eastAsiaTheme="minorEastAsia" w:cs="Segoe UI"/>
                <w:sz w:val="17"/>
                <w:szCs w:val="17"/>
                <w:lang w:eastAsia="zh-TW"/>
              </w:rPr>
              <w:t>行</w:t>
            </w:r>
            <w:r w:rsidRPr="00CA7301">
              <w:rPr>
                <w:rFonts w:eastAsia="新細明體" w:cs="Segoe UI"/>
                <w:sz w:val="17"/>
                <w:szCs w:val="17"/>
                <w:lang w:eastAsia="zh-TW"/>
              </w:rPr>
              <w:t>相加的總和。</w:t>
            </w:r>
          </w:p>
        </w:tc>
      </w:tr>
      <w:tr w:rsidR="00CA1B87" w:rsidRPr="00CA7301" w14:paraId="4E2CC48B" w14:textId="77777777" w:rsidTr="00F62652">
        <w:trPr>
          <w:trHeight w:val="373"/>
        </w:trPr>
        <w:tc>
          <w:tcPr>
            <w:tcW w:w="551" w:type="dxa"/>
          </w:tcPr>
          <w:p w14:paraId="0D28CA51"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29</w:t>
            </w:r>
          </w:p>
        </w:tc>
        <w:tc>
          <w:tcPr>
            <w:tcW w:w="8663" w:type="dxa"/>
          </w:tcPr>
          <w:p w14:paraId="70E64D34" w14:textId="77777777" w:rsidR="00CA1B87" w:rsidRPr="00CA7301" w:rsidRDefault="00CA1B87" w:rsidP="00CA1B87">
            <w:pPr>
              <w:spacing w:before="40" w:after="40"/>
              <w:jc w:val="both"/>
              <w:rPr>
                <w:rFonts w:cs="Segoe UI"/>
                <w:sz w:val="17"/>
                <w:szCs w:val="17"/>
                <w:lang w:eastAsia="zh-TW"/>
              </w:rPr>
            </w:pPr>
            <w:r w:rsidRPr="00CA7301">
              <w:rPr>
                <w:rFonts w:cs="Segoe UI"/>
                <w:sz w:val="17"/>
                <w:szCs w:val="17"/>
                <w:lang w:eastAsia="zh-TW"/>
              </w:rPr>
              <w:t>CET1</w:t>
            </w:r>
            <w:r w:rsidRPr="00CA7301">
              <w:rPr>
                <w:rFonts w:eastAsia="新細明體" w:cs="Segoe UI"/>
                <w:sz w:val="17"/>
                <w:szCs w:val="17"/>
                <w:lang w:eastAsia="zh-TW"/>
              </w:rPr>
              <w:t>資本，即</w:t>
            </w:r>
            <w:r w:rsidRPr="00CA7301">
              <w:rPr>
                <w:rFonts w:eastAsiaTheme="minorEastAsia" w:cs="Segoe UI"/>
                <w:sz w:val="17"/>
                <w:szCs w:val="17"/>
                <w:lang w:eastAsia="zh-TW"/>
              </w:rPr>
              <w:t>第</w:t>
            </w:r>
            <w:r w:rsidRPr="00CA7301">
              <w:rPr>
                <w:rFonts w:cs="Segoe UI"/>
                <w:sz w:val="17"/>
                <w:szCs w:val="17"/>
                <w:lang w:eastAsia="zh-TW"/>
              </w:rPr>
              <w:t>6</w:t>
            </w:r>
            <w:r w:rsidRPr="00CA7301">
              <w:rPr>
                <w:rFonts w:eastAsiaTheme="minorEastAsia" w:cs="Segoe UI"/>
                <w:sz w:val="17"/>
                <w:szCs w:val="17"/>
                <w:lang w:eastAsia="zh-TW"/>
              </w:rPr>
              <w:t>行</w:t>
            </w:r>
            <w:r w:rsidRPr="00CA7301">
              <w:rPr>
                <w:rFonts w:eastAsia="新細明體" w:cs="Segoe UI"/>
                <w:sz w:val="17"/>
                <w:szCs w:val="17"/>
                <w:lang w:eastAsia="zh-TW"/>
              </w:rPr>
              <w:t>減</w:t>
            </w:r>
            <w:r w:rsidRPr="00CA7301">
              <w:rPr>
                <w:rFonts w:eastAsiaTheme="minorEastAsia" w:cs="Segoe UI"/>
                <w:sz w:val="17"/>
                <w:szCs w:val="17"/>
                <w:lang w:eastAsia="zh-TW"/>
              </w:rPr>
              <w:t>第</w:t>
            </w:r>
            <w:r w:rsidRPr="00CA7301">
              <w:rPr>
                <w:rFonts w:cs="Segoe UI"/>
                <w:sz w:val="17"/>
                <w:szCs w:val="17"/>
                <w:lang w:eastAsia="zh-TW"/>
              </w:rPr>
              <w:t>28</w:t>
            </w:r>
            <w:r w:rsidRPr="00CA7301">
              <w:rPr>
                <w:rFonts w:eastAsiaTheme="minorEastAsia" w:cs="Segoe UI"/>
                <w:sz w:val="17"/>
                <w:szCs w:val="17"/>
                <w:lang w:eastAsia="zh-TW"/>
              </w:rPr>
              <w:t>行</w:t>
            </w:r>
            <w:r w:rsidRPr="00CA7301">
              <w:rPr>
                <w:rFonts w:eastAsia="新細明體" w:cs="Segoe UI"/>
                <w:sz w:val="17"/>
                <w:szCs w:val="17"/>
                <w:lang w:eastAsia="zh-TW"/>
              </w:rPr>
              <w:t>得出之數。</w:t>
            </w:r>
          </w:p>
        </w:tc>
      </w:tr>
      <w:tr w:rsidR="00CA1B87" w:rsidRPr="00CA7301" w14:paraId="18181B2E" w14:textId="77777777" w:rsidTr="00F62652">
        <w:trPr>
          <w:trHeight w:val="373"/>
        </w:trPr>
        <w:tc>
          <w:tcPr>
            <w:tcW w:w="551" w:type="dxa"/>
          </w:tcPr>
          <w:p w14:paraId="267CDDB1"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30</w:t>
            </w:r>
          </w:p>
        </w:tc>
        <w:tc>
          <w:tcPr>
            <w:tcW w:w="8663" w:type="dxa"/>
          </w:tcPr>
          <w:p w14:paraId="1F5196EF" w14:textId="0266295E" w:rsidR="00CA1B87" w:rsidRPr="00CA7301" w:rsidRDefault="00CA1B87" w:rsidP="000B7878">
            <w:pPr>
              <w:spacing w:before="40" w:after="40"/>
              <w:jc w:val="both"/>
              <w:rPr>
                <w:rFonts w:cs="Segoe UI"/>
                <w:sz w:val="17"/>
                <w:szCs w:val="17"/>
                <w:lang w:eastAsia="zh-TW"/>
              </w:rPr>
            </w:pPr>
            <w:r w:rsidRPr="00CA7301">
              <w:rPr>
                <w:rFonts w:eastAsia="新細明體" w:cs="Segoe UI"/>
                <w:sz w:val="17"/>
                <w:szCs w:val="17"/>
                <w:lang w:eastAsia="zh-TW"/>
              </w:rPr>
              <w:t>由認可機構發行、並符合《資本規則》附表</w:t>
            </w:r>
            <w:r w:rsidRPr="00CA7301">
              <w:rPr>
                <w:rFonts w:cs="Segoe UI"/>
                <w:sz w:val="17"/>
                <w:szCs w:val="17"/>
                <w:lang w:eastAsia="zh-TW"/>
              </w:rPr>
              <w:t>4B</w:t>
            </w:r>
            <w:r w:rsidRPr="00CA7301">
              <w:rPr>
                <w:rFonts w:eastAsia="新細明體" w:cs="Segoe UI"/>
                <w:sz w:val="17"/>
                <w:szCs w:val="17"/>
                <w:lang w:eastAsia="zh-TW"/>
              </w:rPr>
              <w:t>所載有關</w:t>
            </w:r>
            <w:r w:rsidRPr="00CA7301">
              <w:rPr>
                <w:rFonts w:cs="Segoe UI"/>
                <w:sz w:val="17"/>
                <w:szCs w:val="17"/>
                <w:lang w:eastAsia="zh-TW"/>
              </w:rPr>
              <w:t>AT1</w:t>
            </w:r>
            <w:r w:rsidRPr="00CA7301">
              <w:rPr>
                <w:rFonts w:eastAsia="新細明體" w:cs="Segoe UI"/>
                <w:sz w:val="17"/>
                <w:szCs w:val="17"/>
                <w:lang w:eastAsia="zh-TW"/>
              </w:rPr>
              <w:t>資本的所有合資格準則的票據，以及《資本規則》第</w:t>
            </w:r>
            <w:r w:rsidRPr="00CA7301">
              <w:rPr>
                <w:rFonts w:cs="Segoe UI"/>
                <w:sz w:val="17"/>
                <w:szCs w:val="17"/>
                <w:lang w:eastAsia="zh-TW"/>
              </w:rPr>
              <w:t>39(1)(b)</w:t>
            </w:r>
            <w:r w:rsidRPr="00CA7301">
              <w:rPr>
                <w:rFonts w:eastAsia="新細明體" w:cs="Segoe UI"/>
                <w:sz w:val="17"/>
                <w:szCs w:val="17"/>
                <w:lang w:eastAsia="zh-TW"/>
              </w:rPr>
              <w:t>條所述的任何相關股份溢</w:t>
            </w:r>
            <w:r w:rsidRPr="00E14D59">
              <w:rPr>
                <w:rFonts w:eastAsia="新細明體" w:cs="Segoe UI"/>
                <w:sz w:val="17"/>
                <w:szCs w:val="17"/>
                <w:lang w:eastAsia="zh-TW"/>
              </w:rPr>
              <w:t>價</w:t>
            </w:r>
            <w:r w:rsidR="00C01F37" w:rsidRPr="00E14D59">
              <w:rPr>
                <w:rFonts w:eastAsia="新細明體" w:cs="Segoe UI" w:hint="eastAsia"/>
                <w:sz w:val="17"/>
                <w:szCs w:val="17"/>
                <w:lang w:eastAsia="zh-TW"/>
              </w:rPr>
              <w:t>，</w:t>
            </w:r>
            <w:r w:rsidR="004E38B6" w:rsidRPr="00E14D59">
              <w:rPr>
                <w:rFonts w:eastAsia="新細明體" w:cs="Segoe UI" w:hint="eastAsia"/>
                <w:sz w:val="17"/>
                <w:szCs w:val="17"/>
                <w:lang w:eastAsia="zh-HK"/>
              </w:rPr>
              <w:t>但</w:t>
            </w:r>
            <w:r w:rsidR="009C59C3" w:rsidRPr="00E14D59">
              <w:rPr>
                <w:rFonts w:eastAsia="新細明體" w:cs="Segoe UI" w:hint="eastAsia"/>
                <w:sz w:val="17"/>
                <w:szCs w:val="17"/>
                <w:lang w:eastAsia="zh-HK"/>
              </w:rPr>
              <w:t>須</w:t>
            </w:r>
            <w:r w:rsidR="00EE51A9" w:rsidRPr="00E14D59">
              <w:rPr>
                <w:rFonts w:eastAsia="新細明體" w:cs="Segoe UI" w:hint="eastAsia"/>
                <w:sz w:val="17"/>
                <w:szCs w:val="17"/>
                <w:lang w:eastAsia="zh-TW"/>
              </w:rPr>
              <w:t>消</w:t>
            </w:r>
            <w:r w:rsidR="00F47258" w:rsidRPr="00E14D59">
              <w:rPr>
                <w:rFonts w:eastAsia="新細明體" w:cs="Segoe UI" w:hint="eastAsia"/>
                <w:sz w:val="17"/>
                <w:szCs w:val="17"/>
                <w:lang w:eastAsia="zh-TW"/>
              </w:rPr>
              <w:t>除</w:t>
            </w:r>
            <w:r w:rsidR="00DD719D" w:rsidRPr="00E14D59">
              <w:rPr>
                <w:rFonts w:eastAsia="新細明體" w:cs="Segoe UI" w:hint="eastAsia"/>
                <w:sz w:val="17"/>
                <w:szCs w:val="17"/>
                <w:lang w:eastAsia="zh-HK"/>
              </w:rPr>
              <w:t>就</w:t>
            </w:r>
            <w:r w:rsidR="009C59C3" w:rsidRPr="00E14D59">
              <w:rPr>
                <w:rFonts w:eastAsia="新細明體" w:cs="Segoe UI" w:hint="eastAsia"/>
                <w:sz w:val="17"/>
                <w:szCs w:val="17"/>
                <w:lang w:eastAsia="zh-HK"/>
              </w:rPr>
              <w:t>該等</w:t>
            </w:r>
            <w:r w:rsidR="00DD719D" w:rsidRPr="00E14D59">
              <w:rPr>
                <w:rFonts w:eastAsia="新細明體" w:cs="Segoe UI" w:hint="eastAsia"/>
                <w:sz w:val="17"/>
                <w:szCs w:val="17"/>
                <w:lang w:eastAsia="zh-TW"/>
              </w:rPr>
              <w:t>票據</w:t>
            </w:r>
            <w:r w:rsidR="004E48B2">
              <w:rPr>
                <w:rFonts w:eastAsia="新細明體" w:cs="Segoe UI" w:hint="eastAsia"/>
                <w:sz w:val="17"/>
                <w:szCs w:val="17"/>
                <w:lang w:eastAsia="zh-HK"/>
              </w:rPr>
              <w:t>，</w:t>
            </w:r>
            <w:r w:rsidR="00F47258" w:rsidRPr="00E14D59">
              <w:rPr>
                <w:rFonts w:eastAsia="新細明體" w:cs="Segoe UI" w:hint="eastAsia"/>
                <w:sz w:val="17"/>
                <w:szCs w:val="17"/>
                <w:lang w:eastAsia="zh-TW"/>
              </w:rPr>
              <w:t>因</w:t>
            </w:r>
            <w:r w:rsidR="009C59C3" w:rsidRPr="00E14D59">
              <w:rPr>
                <w:rFonts w:eastAsia="新細明體" w:cs="Segoe UI" w:hint="eastAsia"/>
                <w:sz w:val="17"/>
                <w:szCs w:val="17"/>
                <w:lang w:eastAsia="zh-TW"/>
              </w:rPr>
              <w:t>認可機構</w:t>
            </w:r>
            <w:r w:rsidR="00EE51A9" w:rsidRPr="00E14D59">
              <w:rPr>
                <w:rFonts w:eastAsia="新細明體" w:cs="Segoe UI" w:hint="eastAsia"/>
                <w:sz w:val="17"/>
                <w:szCs w:val="17"/>
                <w:lang w:eastAsia="zh-TW"/>
              </w:rPr>
              <w:t>本</w:t>
            </w:r>
            <w:r w:rsidR="00F47258" w:rsidRPr="00E14D59">
              <w:rPr>
                <w:rFonts w:eastAsia="新細明體" w:cs="Segoe UI" w:hint="eastAsia"/>
                <w:sz w:val="17"/>
                <w:szCs w:val="17"/>
                <w:lang w:eastAsia="zh-TW"/>
              </w:rPr>
              <w:t>身信用風險變動</w:t>
            </w:r>
            <w:r w:rsidR="000D2BF0" w:rsidRPr="00E14D59">
              <w:rPr>
                <w:rFonts w:eastAsia="新細明體" w:cs="Segoe UI" w:hint="eastAsia"/>
                <w:sz w:val="17"/>
                <w:szCs w:val="17"/>
                <w:lang w:eastAsia="zh-HK"/>
              </w:rPr>
              <w:t>而</w:t>
            </w:r>
            <w:r w:rsidR="00F47258" w:rsidRPr="00E14D59">
              <w:rPr>
                <w:rFonts w:eastAsia="新細明體" w:cs="Segoe UI" w:hint="eastAsia"/>
                <w:sz w:val="17"/>
                <w:szCs w:val="17"/>
                <w:lang w:eastAsia="zh-TW"/>
              </w:rPr>
              <w:t>產生的</w:t>
            </w:r>
            <w:r w:rsidR="004337F2">
              <w:rPr>
                <w:rFonts w:eastAsia="新細明體" w:cs="Segoe UI" w:hint="eastAsia"/>
                <w:sz w:val="17"/>
                <w:szCs w:val="17"/>
                <w:lang w:eastAsia="zh-TW"/>
              </w:rPr>
              <w:t>任何</w:t>
            </w:r>
            <w:r w:rsidR="00F47258" w:rsidRPr="00E14D59">
              <w:rPr>
                <w:rFonts w:eastAsia="新細明體" w:cs="Segoe UI" w:hint="eastAsia"/>
                <w:sz w:val="17"/>
                <w:szCs w:val="17"/>
                <w:lang w:eastAsia="zh-TW"/>
              </w:rPr>
              <w:t>公平價值損益（如《資本規則》第</w:t>
            </w:r>
            <w:r w:rsidR="00F47258" w:rsidRPr="00E14D59">
              <w:rPr>
                <w:rFonts w:eastAsia="新細明體" w:cs="Segoe UI"/>
                <w:sz w:val="17"/>
                <w:szCs w:val="17"/>
                <w:lang w:eastAsia="zh-TW"/>
              </w:rPr>
              <w:t>38(2)(b)</w:t>
            </w:r>
            <w:r w:rsidR="00F47258" w:rsidRPr="00E14D59">
              <w:rPr>
                <w:rFonts w:eastAsia="新細明體" w:cs="Segoe UI" w:hint="eastAsia"/>
                <w:sz w:val="17"/>
                <w:szCs w:val="17"/>
                <w:lang w:eastAsia="zh-TW"/>
              </w:rPr>
              <w:t>條所述並已計入第</w:t>
            </w:r>
            <w:r w:rsidR="00F47258" w:rsidRPr="00E14D59">
              <w:rPr>
                <w:rFonts w:eastAsia="新細明體" w:cs="Segoe UI"/>
                <w:sz w:val="17"/>
                <w:szCs w:val="17"/>
                <w:lang w:eastAsia="zh-TW"/>
              </w:rPr>
              <w:t>14</w:t>
            </w:r>
            <w:r w:rsidR="00F47258" w:rsidRPr="00E14D59">
              <w:rPr>
                <w:rFonts w:eastAsia="新細明體" w:cs="Segoe UI" w:hint="eastAsia"/>
                <w:sz w:val="17"/>
                <w:szCs w:val="17"/>
                <w:lang w:eastAsia="zh-TW"/>
              </w:rPr>
              <w:t>行）</w:t>
            </w:r>
            <w:r w:rsidRPr="00E14D59">
              <w:rPr>
                <w:rFonts w:eastAsia="新細明體" w:cs="Segoe UI"/>
                <w:sz w:val="17"/>
                <w:szCs w:val="17"/>
                <w:lang w:eastAsia="zh-TW"/>
              </w:rPr>
              <w:t>。綜合集團附屬公司發</w:t>
            </w:r>
            <w:r w:rsidRPr="00CA7301">
              <w:rPr>
                <w:rFonts w:eastAsia="新細明體" w:cs="Segoe UI"/>
                <w:sz w:val="17"/>
                <w:szCs w:val="17"/>
                <w:lang w:eastAsia="zh-TW"/>
              </w:rPr>
              <w:t>行的所有票據應從此</w:t>
            </w:r>
            <w:proofErr w:type="gramStart"/>
            <w:r w:rsidRPr="00CA7301">
              <w:rPr>
                <w:rFonts w:eastAsia="新細明體" w:cs="Segoe UI"/>
                <w:sz w:val="17"/>
                <w:szCs w:val="17"/>
                <w:lang w:eastAsia="zh-TW"/>
              </w:rPr>
              <w:t>行豁除</w:t>
            </w:r>
            <w:proofErr w:type="gramEnd"/>
            <w:r w:rsidRPr="00CA7301">
              <w:rPr>
                <w:rFonts w:eastAsia="新細明體" w:cs="Segoe UI"/>
                <w:sz w:val="17"/>
                <w:szCs w:val="17"/>
                <w:lang w:eastAsia="zh-TW"/>
              </w:rPr>
              <w:t>。然而，如</w:t>
            </w:r>
            <w:r w:rsidRPr="00CA7301">
              <w:rPr>
                <w:rFonts w:cs="Segoe UI"/>
                <w:sz w:val="17"/>
                <w:szCs w:val="17"/>
                <w:lang w:eastAsia="zh-TW"/>
              </w:rPr>
              <w:t>AT1</w:t>
            </w:r>
            <w:r w:rsidRPr="00CA7301">
              <w:rPr>
                <w:rFonts w:eastAsia="新細明體" w:cs="Segoe UI"/>
                <w:sz w:val="17"/>
                <w:szCs w:val="17"/>
                <w:lang w:eastAsia="zh-TW"/>
              </w:rPr>
              <w:t>資本票據是透過該機構的特定目的工具發行，只有在其符合《資本規則》第</w:t>
            </w:r>
            <w:r w:rsidRPr="00CA7301">
              <w:rPr>
                <w:rFonts w:cs="Segoe UI"/>
                <w:sz w:val="17"/>
                <w:szCs w:val="17"/>
                <w:lang w:eastAsia="zh-TW"/>
              </w:rPr>
              <w:t>39(3)</w:t>
            </w:r>
            <w:r w:rsidRPr="00CA7301">
              <w:rPr>
                <w:rFonts w:eastAsia="新細明體" w:cs="Segoe UI"/>
                <w:sz w:val="17"/>
                <w:szCs w:val="17"/>
                <w:lang w:eastAsia="zh-TW"/>
              </w:rPr>
              <w:t>條及附表</w:t>
            </w:r>
            <w:r w:rsidRPr="00CA7301">
              <w:rPr>
                <w:rFonts w:cs="Segoe UI"/>
                <w:sz w:val="17"/>
                <w:szCs w:val="17"/>
                <w:lang w:eastAsia="zh-TW"/>
              </w:rPr>
              <w:t>4B</w:t>
            </w:r>
            <w:r w:rsidRPr="00CA7301">
              <w:rPr>
                <w:rFonts w:eastAsia="新細明體" w:cs="Segoe UI"/>
                <w:sz w:val="17"/>
                <w:szCs w:val="17"/>
                <w:lang w:eastAsia="zh-TW"/>
              </w:rPr>
              <w:t>所列載的規定方可將該等資本票據計入此行。</w:t>
            </w:r>
          </w:p>
        </w:tc>
      </w:tr>
      <w:tr w:rsidR="00CA1B87" w:rsidRPr="00CA7301" w14:paraId="58E0727F" w14:textId="77777777" w:rsidTr="00F62652">
        <w:trPr>
          <w:trHeight w:val="373"/>
        </w:trPr>
        <w:tc>
          <w:tcPr>
            <w:tcW w:w="551" w:type="dxa"/>
          </w:tcPr>
          <w:p w14:paraId="6FD76AB5"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31</w:t>
            </w:r>
          </w:p>
        </w:tc>
        <w:tc>
          <w:tcPr>
            <w:tcW w:w="8663" w:type="dxa"/>
          </w:tcPr>
          <w:p w14:paraId="36258808"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在</w:t>
            </w:r>
            <w:r w:rsidRPr="00CA7301">
              <w:rPr>
                <w:rFonts w:eastAsiaTheme="minorEastAsia" w:cs="Segoe UI"/>
                <w:sz w:val="17"/>
                <w:szCs w:val="17"/>
                <w:lang w:eastAsia="zh-TW"/>
              </w:rPr>
              <w:t>第</w:t>
            </w:r>
            <w:r w:rsidRPr="00CA7301">
              <w:rPr>
                <w:rFonts w:cs="Segoe UI"/>
                <w:sz w:val="17"/>
                <w:szCs w:val="17"/>
                <w:lang w:eastAsia="zh-TW"/>
              </w:rPr>
              <w:t>30</w:t>
            </w:r>
            <w:r w:rsidRPr="00CA7301">
              <w:rPr>
                <w:rFonts w:eastAsiaTheme="minorEastAsia" w:cs="Segoe UI"/>
                <w:sz w:val="17"/>
                <w:szCs w:val="17"/>
                <w:lang w:eastAsia="zh-TW"/>
              </w:rPr>
              <w:t>行</w:t>
            </w:r>
            <w:r w:rsidRPr="00CA7301">
              <w:rPr>
                <w:rFonts w:eastAsia="新細明體" w:cs="Segoe UI"/>
                <w:sz w:val="17"/>
                <w:szCs w:val="17"/>
                <w:lang w:eastAsia="zh-TW"/>
              </w:rPr>
              <w:t>中根據適用會計準則列為股本類別的票據的數額。</w:t>
            </w:r>
          </w:p>
        </w:tc>
      </w:tr>
      <w:tr w:rsidR="00CA1B87" w:rsidRPr="00CA7301" w14:paraId="38405540" w14:textId="77777777" w:rsidTr="00F62652">
        <w:trPr>
          <w:trHeight w:val="373"/>
        </w:trPr>
        <w:tc>
          <w:tcPr>
            <w:tcW w:w="551" w:type="dxa"/>
          </w:tcPr>
          <w:p w14:paraId="359558F0"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32</w:t>
            </w:r>
          </w:p>
        </w:tc>
        <w:tc>
          <w:tcPr>
            <w:tcW w:w="8663" w:type="dxa"/>
          </w:tcPr>
          <w:p w14:paraId="3D81D11F"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在</w:t>
            </w:r>
            <w:r w:rsidRPr="00CA7301">
              <w:rPr>
                <w:rFonts w:eastAsiaTheme="minorEastAsia" w:cs="Segoe UI"/>
                <w:sz w:val="17"/>
                <w:szCs w:val="17"/>
                <w:lang w:eastAsia="zh-TW"/>
              </w:rPr>
              <w:t>第</w:t>
            </w:r>
            <w:r w:rsidRPr="00CA7301">
              <w:rPr>
                <w:rFonts w:cs="Segoe UI"/>
                <w:sz w:val="17"/>
                <w:szCs w:val="17"/>
                <w:lang w:eastAsia="zh-TW"/>
              </w:rPr>
              <w:t>30</w:t>
            </w:r>
            <w:r w:rsidRPr="00CA7301">
              <w:rPr>
                <w:rFonts w:eastAsiaTheme="minorEastAsia" w:cs="Segoe UI"/>
                <w:sz w:val="17"/>
                <w:szCs w:val="17"/>
                <w:lang w:eastAsia="zh-TW"/>
              </w:rPr>
              <w:t>行</w:t>
            </w:r>
            <w:r w:rsidRPr="00CA7301">
              <w:rPr>
                <w:rFonts w:eastAsia="新細明體" w:cs="Segoe UI"/>
                <w:sz w:val="17"/>
                <w:szCs w:val="17"/>
                <w:lang w:eastAsia="zh-TW"/>
              </w:rPr>
              <w:t>中根據適用會計準則列為負債類別的票據的數額。</w:t>
            </w:r>
          </w:p>
        </w:tc>
      </w:tr>
      <w:tr w:rsidR="00CA1B87" w:rsidRPr="00CA7301" w14:paraId="3FBBC7AD" w14:textId="77777777" w:rsidTr="00F62652">
        <w:trPr>
          <w:trHeight w:val="373"/>
        </w:trPr>
        <w:tc>
          <w:tcPr>
            <w:tcW w:w="551" w:type="dxa"/>
          </w:tcPr>
          <w:p w14:paraId="130A6E62"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34</w:t>
            </w:r>
          </w:p>
        </w:tc>
        <w:tc>
          <w:tcPr>
            <w:tcW w:w="8663" w:type="dxa"/>
          </w:tcPr>
          <w:p w14:paraId="12396A9D" w14:textId="5882BC63"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按照《資本規則》附表</w:t>
            </w:r>
            <w:r w:rsidRPr="00CA7301">
              <w:rPr>
                <w:rFonts w:cs="Segoe UI"/>
                <w:sz w:val="17"/>
                <w:szCs w:val="17"/>
                <w:lang w:eastAsia="zh-TW"/>
              </w:rPr>
              <w:t>4D</w:t>
            </w:r>
            <w:r w:rsidRPr="00CA7301">
              <w:rPr>
                <w:rFonts w:eastAsia="新細明體" w:cs="Segoe UI"/>
                <w:sz w:val="17"/>
                <w:szCs w:val="17"/>
                <w:lang w:eastAsia="zh-TW"/>
              </w:rPr>
              <w:t>可計入綜合</w:t>
            </w:r>
            <w:r w:rsidRPr="00CA7301">
              <w:rPr>
                <w:rFonts w:cs="Segoe UI"/>
                <w:sz w:val="17"/>
                <w:szCs w:val="17"/>
                <w:lang w:eastAsia="zh-TW"/>
              </w:rPr>
              <w:t>AT1</w:t>
            </w:r>
            <w:r w:rsidRPr="00CA7301">
              <w:rPr>
                <w:rFonts w:eastAsia="新細明體" w:cs="Segoe UI"/>
                <w:sz w:val="17"/>
                <w:szCs w:val="17"/>
                <w:lang w:eastAsia="zh-TW"/>
              </w:rPr>
              <w:t>資本的由綜合銀行附屬公司發行並由第三方持有的資本票據的適用數額。</w:t>
            </w:r>
          </w:p>
        </w:tc>
      </w:tr>
      <w:tr w:rsidR="00CA1B87" w:rsidRPr="00CA7301" w14:paraId="6575B80D" w14:textId="77777777" w:rsidTr="00F62652">
        <w:trPr>
          <w:trHeight w:val="373"/>
        </w:trPr>
        <w:tc>
          <w:tcPr>
            <w:tcW w:w="551" w:type="dxa"/>
          </w:tcPr>
          <w:p w14:paraId="26EF44A1"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36</w:t>
            </w:r>
          </w:p>
        </w:tc>
        <w:tc>
          <w:tcPr>
            <w:tcW w:w="8663" w:type="dxa"/>
          </w:tcPr>
          <w:p w14:paraId="44289F57" w14:textId="49FA6DA5"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第</w:t>
            </w:r>
            <w:r w:rsidRPr="00CA7301">
              <w:rPr>
                <w:rFonts w:cs="Segoe UI"/>
                <w:sz w:val="17"/>
                <w:szCs w:val="17"/>
                <w:lang w:eastAsia="zh-TW"/>
              </w:rPr>
              <w:t>30</w:t>
            </w:r>
            <w:r w:rsidRPr="00CA7301">
              <w:rPr>
                <w:rFonts w:eastAsia="新細明體" w:cs="Segoe UI"/>
                <w:sz w:val="17"/>
                <w:szCs w:val="17"/>
                <w:lang w:eastAsia="zh-TW"/>
              </w:rPr>
              <w:t>及</w:t>
            </w:r>
            <w:r w:rsidRPr="00CA7301">
              <w:rPr>
                <w:rFonts w:cs="Segoe UI"/>
                <w:sz w:val="17"/>
                <w:szCs w:val="17"/>
                <w:lang w:eastAsia="zh-TW"/>
              </w:rPr>
              <w:t>34</w:t>
            </w:r>
            <w:r w:rsidRPr="00CA7301">
              <w:rPr>
                <w:rFonts w:eastAsiaTheme="minorEastAsia" w:cs="Segoe UI"/>
                <w:sz w:val="17"/>
                <w:szCs w:val="17"/>
                <w:lang w:eastAsia="zh-TW"/>
              </w:rPr>
              <w:t>行</w:t>
            </w:r>
            <w:r w:rsidRPr="00CA7301">
              <w:rPr>
                <w:rFonts w:eastAsia="新細明體" w:cs="Segoe UI"/>
                <w:sz w:val="17"/>
                <w:szCs w:val="17"/>
                <w:lang w:eastAsia="zh-TW"/>
              </w:rPr>
              <w:t>相加的總和。</w:t>
            </w:r>
          </w:p>
        </w:tc>
      </w:tr>
      <w:tr w:rsidR="00CA1B87" w:rsidRPr="00CA7301" w14:paraId="4A862B7A" w14:textId="77777777" w:rsidTr="00F62652">
        <w:trPr>
          <w:trHeight w:val="373"/>
        </w:trPr>
        <w:tc>
          <w:tcPr>
            <w:tcW w:w="551" w:type="dxa"/>
          </w:tcPr>
          <w:p w14:paraId="7022B6B1"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37</w:t>
            </w:r>
          </w:p>
        </w:tc>
        <w:tc>
          <w:tcPr>
            <w:tcW w:w="8663" w:type="dxa"/>
          </w:tcPr>
          <w:p w14:paraId="7EC79AAF" w14:textId="77777777" w:rsidR="00CA1B87" w:rsidRPr="00CA7301" w:rsidRDefault="00CA1B87" w:rsidP="00CA1B87">
            <w:pPr>
              <w:spacing w:before="40" w:after="40"/>
              <w:jc w:val="both"/>
              <w:rPr>
                <w:rFonts w:cs="Segoe UI"/>
                <w:sz w:val="17"/>
                <w:szCs w:val="17"/>
              </w:rPr>
            </w:pPr>
            <w:r w:rsidRPr="00CA7301">
              <w:rPr>
                <w:rFonts w:eastAsia="新細明體" w:cs="Segoe UI"/>
                <w:sz w:val="17"/>
                <w:szCs w:val="17"/>
                <w:lang w:eastAsia="zh-TW"/>
              </w:rPr>
              <w:t>《資本規則》第</w:t>
            </w:r>
            <w:r w:rsidRPr="00CA7301">
              <w:rPr>
                <w:rFonts w:cs="Segoe UI"/>
                <w:sz w:val="17"/>
                <w:szCs w:val="17"/>
                <w:lang w:eastAsia="zh-TW"/>
              </w:rPr>
              <w:t>47(1)(a)</w:t>
            </w:r>
            <w:r w:rsidRPr="00CA7301">
              <w:rPr>
                <w:rFonts w:eastAsia="新細明體" w:cs="Segoe UI"/>
                <w:sz w:val="17"/>
                <w:szCs w:val="17"/>
                <w:lang w:eastAsia="zh-TW"/>
              </w:rPr>
              <w:t>條所述於認可機構本身的</w:t>
            </w:r>
            <w:r w:rsidRPr="00CA7301">
              <w:rPr>
                <w:rFonts w:cs="Segoe UI"/>
                <w:sz w:val="17"/>
                <w:szCs w:val="17"/>
                <w:lang w:eastAsia="zh-TW"/>
              </w:rPr>
              <w:t>AT1</w:t>
            </w:r>
            <w:r w:rsidRPr="00CA7301">
              <w:rPr>
                <w:rFonts w:eastAsia="新細明體" w:cs="Segoe UI"/>
                <w:sz w:val="17"/>
                <w:szCs w:val="17"/>
                <w:lang w:eastAsia="zh-TW"/>
              </w:rPr>
              <w:t>資本票據的投資。</w:t>
            </w:r>
            <w:r w:rsidRPr="00CA7301">
              <w:rPr>
                <w:rFonts w:cs="Segoe UI"/>
                <w:sz w:val="17"/>
                <w:szCs w:val="17"/>
              </w:rPr>
              <w:t>.</w:t>
            </w:r>
          </w:p>
        </w:tc>
      </w:tr>
      <w:tr w:rsidR="00CA1B87" w:rsidRPr="00CA7301" w14:paraId="6719B790" w14:textId="77777777" w:rsidTr="00F62652">
        <w:trPr>
          <w:trHeight w:val="373"/>
        </w:trPr>
        <w:tc>
          <w:tcPr>
            <w:tcW w:w="551" w:type="dxa"/>
          </w:tcPr>
          <w:p w14:paraId="183EC38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38</w:t>
            </w:r>
          </w:p>
        </w:tc>
        <w:tc>
          <w:tcPr>
            <w:tcW w:w="8663" w:type="dxa"/>
          </w:tcPr>
          <w:p w14:paraId="3AE10F6E"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47(1)(b)</w:t>
            </w:r>
            <w:r w:rsidRPr="00CA7301">
              <w:rPr>
                <w:rFonts w:eastAsia="新細明體" w:cs="Segoe UI"/>
                <w:sz w:val="17"/>
                <w:szCs w:val="17"/>
                <w:lang w:eastAsia="zh-TW"/>
              </w:rPr>
              <w:t>條所述互相交叉持有的</w:t>
            </w:r>
            <w:r w:rsidRPr="00CA7301">
              <w:rPr>
                <w:rFonts w:cs="Segoe UI"/>
                <w:sz w:val="17"/>
                <w:szCs w:val="17"/>
                <w:lang w:eastAsia="zh-TW"/>
              </w:rPr>
              <w:t>AT1</w:t>
            </w:r>
            <w:r w:rsidRPr="00CA7301">
              <w:rPr>
                <w:rFonts w:eastAsia="新細明體" w:cs="Segoe UI"/>
                <w:sz w:val="17"/>
                <w:szCs w:val="17"/>
                <w:lang w:eastAsia="zh-TW"/>
              </w:rPr>
              <w:t>資本票據。</w:t>
            </w:r>
          </w:p>
        </w:tc>
      </w:tr>
      <w:tr w:rsidR="00CA1B87" w:rsidRPr="00CA7301" w14:paraId="24F540F8" w14:textId="77777777" w:rsidTr="00F62652">
        <w:trPr>
          <w:trHeight w:val="373"/>
        </w:trPr>
        <w:tc>
          <w:tcPr>
            <w:tcW w:w="551" w:type="dxa"/>
          </w:tcPr>
          <w:p w14:paraId="60A40FE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39</w:t>
            </w:r>
          </w:p>
        </w:tc>
        <w:tc>
          <w:tcPr>
            <w:tcW w:w="8663" w:type="dxa"/>
          </w:tcPr>
          <w:p w14:paraId="11026BFB" w14:textId="77777777" w:rsidR="00CA1B87" w:rsidRPr="00CA7301" w:rsidRDefault="00CA1B87" w:rsidP="00654621">
            <w:pPr>
              <w:spacing w:before="40" w:after="40"/>
              <w:jc w:val="both"/>
              <w:rPr>
                <w:rFonts w:cs="Segoe UI"/>
                <w:sz w:val="17"/>
                <w:szCs w:val="17"/>
                <w:lang w:eastAsia="zh-TW"/>
              </w:rPr>
            </w:pPr>
            <w:r w:rsidRPr="00CA7301">
              <w:rPr>
                <w:rFonts w:eastAsia="新細明體" w:cs="Segoe UI"/>
                <w:sz w:val="17"/>
                <w:szCs w:val="17"/>
                <w:lang w:eastAsia="zh-TW"/>
              </w:rPr>
              <w:t>按照《資本規則》第</w:t>
            </w:r>
            <w:r w:rsidRPr="00CA7301">
              <w:rPr>
                <w:rFonts w:eastAsia="新細明體" w:cs="Segoe UI"/>
                <w:sz w:val="17"/>
                <w:szCs w:val="17"/>
                <w:lang w:eastAsia="zh-TW"/>
              </w:rPr>
              <w:t>47(1)(c)</w:t>
            </w:r>
            <w:r w:rsidRPr="00CA7301">
              <w:rPr>
                <w:rFonts w:eastAsia="新細明體" w:cs="Segoe UI"/>
                <w:sz w:val="17"/>
                <w:szCs w:val="17"/>
                <w:lang w:eastAsia="zh-TW"/>
              </w:rPr>
              <w:t>條從</w:t>
            </w:r>
            <w:r w:rsidRPr="00CA7301">
              <w:rPr>
                <w:rFonts w:eastAsia="新細明體" w:cs="Segoe UI"/>
                <w:sz w:val="17"/>
                <w:szCs w:val="17"/>
                <w:lang w:eastAsia="zh-TW"/>
              </w:rPr>
              <w:t>AT1</w:t>
            </w:r>
            <w:r w:rsidRPr="00CA7301">
              <w:rPr>
                <w:rFonts w:eastAsia="新細明體" w:cs="Segoe UI"/>
                <w:sz w:val="17"/>
                <w:szCs w:val="17"/>
                <w:lang w:eastAsia="zh-TW"/>
              </w:rPr>
              <w:t>資本扣減根據附表</w:t>
            </w:r>
            <w:r w:rsidRPr="00CA7301">
              <w:rPr>
                <w:rFonts w:eastAsia="新細明體" w:cs="Segoe UI"/>
                <w:sz w:val="17"/>
                <w:szCs w:val="17"/>
                <w:lang w:eastAsia="zh-TW"/>
              </w:rPr>
              <w:t>4F</w:t>
            </w:r>
            <w:r w:rsidRPr="00CA7301">
              <w:rPr>
                <w:rFonts w:eastAsia="新細明體" w:cs="Segoe UI"/>
                <w:sz w:val="17"/>
                <w:szCs w:val="17"/>
                <w:lang w:eastAsia="zh-TW"/>
              </w:rPr>
              <w:t>所述超出於</w:t>
            </w:r>
            <w:r w:rsidRPr="00CA7301">
              <w:rPr>
                <w:rFonts w:eastAsia="新細明體" w:cs="Segoe UI"/>
                <w:sz w:val="17"/>
                <w:szCs w:val="17"/>
                <w:lang w:eastAsia="zh-TW"/>
              </w:rPr>
              <w:t>10%</w:t>
            </w:r>
            <w:r w:rsidRPr="00CA7301">
              <w:rPr>
                <w:rFonts w:eastAsia="新細明體" w:cs="Segoe UI"/>
                <w:sz w:val="17"/>
                <w:szCs w:val="17"/>
                <w:lang w:eastAsia="zh-TW"/>
              </w:rPr>
              <w:t>門檻的於在監管綜合計算的範圍以外的金融業實體發行的</w:t>
            </w:r>
            <w:r w:rsidRPr="00CA7301">
              <w:rPr>
                <w:rFonts w:eastAsia="新細明體" w:cs="Segoe UI"/>
                <w:sz w:val="17"/>
                <w:szCs w:val="17"/>
                <w:lang w:eastAsia="zh-TW"/>
              </w:rPr>
              <w:t>AT1</w:t>
            </w:r>
            <w:r w:rsidRPr="00CA7301">
              <w:rPr>
                <w:rFonts w:eastAsia="新細明體" w:cs="Segoe UI"/>
                <w:sz w:val="17"/>
                <w:szCs w:val="17"/>
                <w:lang w:eastAsia="zh-TW"/>
              </w:rPr>
              <w:t>資本票據的非重大</w:t>
            </w:r>
            <w:r w:rsidR="00654621">
              <w:rPr>
                <w:rFonts w:eastAsia="新細明體" w:cs="Segoe UI" w:hint="eastAsia"/>
                <w:sz w:val="17"/>
                <w:szCs w:val="17"/>
                <w:lang w:eastAsia="zh-TW"/>
              </w:rPr>
              <w:t>LAC</w:t>
            </w:r>
            <w:r w:rsidRPr="00CA7301">
              <w:rPr>
                <w:rFonts w:eastAsia="新細明體" w:cs="Segoe UI"/>
                <w:sz w:val="17"/>
                <w:szCs w:val="17"/>
                <w:lang w:eastAsia="zh-TW"/>
              </w:rPr>
              <w:t>投資。</w:t>
            </w:r>
          </w:p>
        </w:tc>
      </w:tr>
      <w:tr w:rsidR="00CA1B87" w:rsidRPr="00CA7301" w14:paraId="4A5A90BD" w14:textId="77777777" w:rsidTr="00F62652">
        <w:trPr>
          <w:trHeight w:val="373"/>
        </w:trPr>
        <w:tc>
          <w:tcPr>
            <w:tcW w:w="551" w:type="dxa"/>
          </w:tcPr>
          <w:p w14:paraId="6FCA3A31"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40</w:t>
            </w:r>
          </w:p>
        </w:tc>
        <w:tc>
          <w:tcPr>
            <w:tcW w:w="8663" w:type="dxa"/>
          </w:tcPr>
          <w:p w14:paraId="3C274A4F" w14:textId="56378C47" w:rsidR="00CA1B87" w:rsidRPr="00CA7301" w:rsidRDefault="00CA1B87" w:rsidP="00654621">
            <w:pPr>
              <w:spacing w:before="40" w:after="40"/>
              <w:jc w:val="both"/>
              <w:rPr>
                <w:rFonts w:cs="Segoe UI"/>
                <w:sz w:val="17"/>
                <w:szCs w:val="17"/>
                <w:lang w:eastAsia="zh-TW"/>
              </w:rPr>
            </w:pPr>
            <w:r w:rsidRPr="00CA7301">
              <w:rPr>
                <w:rFonts w:eastAsia="新細明體" w:cs="Segoe UI"/>
                <w:sz w:val="17"/>
                <w:szCs w:val="17"/>
                <w:lang w:eastAsia="zh-TW"/>
              </w:rPr>
              <w:t>按照《資本規則》第</w:t>
            </w:r>
            <w:r w:rsidRPr="00CA7301">
              <w:rPr>
                <w:rFonts w:cs="Segoe UI"/>
                <w:sz w:val="17"/>
                <w:szCs w:val="17"/>
                <w:lang w:eastAsia="zh-TW"/>
              </w:rPr>
              <w:t>47(1)(d)</w:t>
            </w:r>
            <w:proofErr w:type="gramStart"/>
            <w:r w:rsidRPr="00CA7301">
              <w:rPr>
                <w:rFonts w:eastAsia="新細明體" w:cs="Segoe UI"/>
                <w:sz w:val="17"/>
                <w:szCs w:val="17"/>
                <w:lang w:eastAsia="zh-TW"/>
              </w:rPr>
              <w:t>條須從</w:t>
            </w:r>
            <w:proofErr w:type="gramEnd"/>
            <w:r w:rsidRPr="00CA7301">
              <w:rPr>
                <w:rFonts w:cs="Segoe UI"/>
                <w:sz w:val="17"/>
                <w:szCs w:val="17"/>
                <w:lang w:eastAsia="zh-TW"/>
              </w:rPr>
              <w:t>AT1</w:t>
            </w:r>
            <w:r w:rsidRPr="00CA7301">
              <w:rPr>
                <w:rFonts w:eastAsia="新細明體" w:cs="Segoe UI"/>
                <w:sz w:val="17"/>
                <w:szCs w:val="17"/>
                <w:lang w:eastAsia="zh-TW"/>
              </w:rPr>
              <w:t>資本扣減於在監管綜合計算的範圍以外的金融業實體發行的</w:t>
            </w:r>
            <w:r w:rsidRPr="00CA7301">
              <w:rPr>
                <w:rFonts w:cs="Segoe UI"/>
                <w:sz w:val="17"/>
                <w:szCs w:val="17"/>
                <w:lang w:eastAsia="zh-TW"/>
              </w:rPr>
              <w:t>AT1</w:t>
            </w:r>
            <w:r w:rsidRPr="00CA7301">
              <w:rPr>
                <w:rFonts w:eastAsia="新細明體" w:cs="Segoe UI"/>
                <w:sz w:val="17"/>
                <w:szCs w:val="17"/>
                <w:lang w:eastAsia="zh-TW"/>
              </w:rPr>
              <w:t>資本票據的重大</w:t>
            </w:r>
            <w:r w:rsidR="00654621">
              <w:rPr>
                <w:rFonts w:eastAsia="新細明體" w:cs="Segoe UI" w:hint="eastAsia"/>
                <w:sz w:val="17"/>
                <w:szCs w:val="17"/>
                <w:lang w:eastAsia="zh-TW"/>
              </w:rPr>
              <w:t>LAC</w:t>
            </w:r>
            <w:r w:rsidRPr="00CA7301">
              <w:rPr>
                <w:rFonts w:eastAsia="新細明體" w:cs="Segoe UI"/>
                <w:sz w:val="17"/>
                <w:szCs w:val="17"/>
                <w:lang w:eastAsia="zh-TW"/>
              </w:rPr>
              <w:t>投資。</w:t>
            </w:r>
          </w:p>
        </w:tc>
      </w:tr>
      <w:tr w:rsidR="00CA1B87" w:rsidRPr="00CA7301" w14:paraId="7D04636D" w14:textId="77777777" w:rsidTr="00F62652">
        <w:trPr>
          <w:trHeight w:val="373"/>
        </w:trPr>
        <w:tc>
          <w:tcPr>
            <w:tcW w:w="551" w:type="dxa"/>
          </w:tcPr>
          <w:p w14:paraId="0F6F8CE9"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41</w:t>
            </w:r>
          </w:p>
        </w:tc>
        <w:tc>
          <w:tcPr>
            <w:tcW w:w="8663" w:type="dxa"/>
          </w:tcPr>
          <w:p w14:paraId="457D8FD9" w14:textId="2C0D56F0"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金融管理專員規定認可機構在《巴塞爾協定三》下須作出的調整以外對</w:t>
            </w:r>
            <w:r w:rsidRPr="00CA7301">
              <w:rPr>
                <w:rFonts w:cs="Segoe UI"/>
                <w:sz w:val="17"/>
                <w:szCs w:val="17"/>
                <w:lang w:eastAsia="zh-TW"/>
              </w:rPr>
              <w:t>AT1</w:t>
            </w:r>
            <w:r w:rsidRPr="00CA7301">
              <w:rPr>
                <w:rFonts w:eastAsia="新細明體" w:cs="Segoe UI"/>
                <w:sz w:val="17"/>
                <w:szCs w:val="17"/>
                <w:lang w:eastAsia="zh-TW"/>
              </w:rPr>
              <w:t>資本作出的特定監管調整，數額為在</w:t>
            </w:r>
            <w:r w:rsidRPr="00CA7301">
              <w:rPr>
                <w:rFonts w:eastAsiaTheme="minorEastAsia" w:cs="Segoe UI"/>
                <w:sz w:val="17"/>
                <w:szCs w:val="17"/>
                <w:lang w:eastAsia="zh-TW"/>
              </w:rPr>
              <w:t>第</w:t>
            </w:r>
            <w:r w:rsidRPr="00CA7301">
              <w:rPr>
                <w:rFonts w:cs="Segoe UI"/>
                <w:sz w:val="17"/>
                <w:szCs w:val="17"/>
                <w:lang w:eastAsia="zh-TW"/>
              </w:rPr>
              <w:t>41</w:t>
            </w:r>
            <w:r w:rsidRPr="00CA7301">
              <w:rPr>
                <w:rFonts w:eastAsia="新細明體" w:cs="Segoe UI"/>
                <w:sz w:val="17"/>
                <w:szCs w:val="17"/>
                <w:lang w:eastAsia="zh-TW"/>
              </w:rPr>
              <w:t>與</w:t>
            </w:r>
            <w:r w:rsidRPr="00CA7301">
              <w:rPr>
                <w:rFonts w:cs="Segoe UI"/>
                <w:sz w:val="17"/>
                <w:szCs w:val="17"/>
                <w:lang w:eastAsia="zh-TW"/>
              </w:rPr>
              <w:t>42</w:t>
            </w:r>
            <w:r w:rsidRPr="00CA7301">
              <w:rPr>
                <w:rFonts w:eastAsiaTheme="minorEastAsia" w:cs="Segoe UI"/>
                <w:sz w:val="17"/>
                <w:szCs w:val="17"/>
                <w:lang w:eastAsia="zh-TW"/>
              </w:rPr>
              <w:t>行</w:t>
            </w:r>
            <w:r w:rsidRPr="00CA7301">
              <w:rPr>
                <w:rFonts w:eastAsia="新細明體" w:cs="Segoe UI"/>
                <w:sz w:val="17"/>
                <w:szCs w:val="17"/>
                <w:lang w:eastAsia="zh-TW"/>
              </w:rPr>
              <w:t>之間插入的任何其他新行</w:t>
            </w:r>
            <w:r w:rsidRPr="00CA7301">
              <w:rPr>
                <w:rFonts w:eastAsia="細明體" w:cs="Segoe UI"/>
                <w:sz w:val="17"/>
                <w:szCs w:val="17"/>
                <w:lang w:eastAsia="zh-TW"/>
              </w:rPr>
              <w:t>（</w:t>
            </w:r>
            <w:r w:rsidRPr="00CA7301">
              <w:rPr>
                <w:rFonts w:eastAsia="新細明體" w:cs="Segoe UI"/>
                <w:sz w:val="17"/>
                <w:szCs w:val="17"/>
                <w:lang w:eastAsia="zh-TW"/>
              </w:rPr>
              <w:t>如適用</w:t>
            </w:r>
            <w:r w:rsidRPr="00CA7301">
              <w:rPr>
                <w:rFonts w:eastAsia="細明體" w:cs="Segoe UI"/>
                <w:sz w:val="17"/>
                <w:szCs w:val="17"/>
                <w:lang w:eastAsia="zh-TW"/>
              </w:rPr>
              <w:t>）</w:t>
            </w:r>
            <w:r w:rsidRPr="00CA7301">
              <w:rPr>
                <w:rFonts w:eastAsiaTheme="minorEastAsia" w:cs="Segoe UI"/>
                <w:sz w:val="17"/>
                <w:szCs w:val="17"/>
                <w:lang w:eastAsia="zh-TW"/>
              </w:rPr>
              <w:t>的值</w:t>
            </w:r>
            <w:r w:rsidRPr="00CA7301">
              <w:rPr>
                <w:rFonts w:eastAsia="新細明體" w:cs="Segoe UI"/>
                <w:sz w:val="17"/>
                <w:szCs w:val="17"/>
                <w:lang w:eastAsia="zh-TW"/>
              </w:rPr>
              <w:t>相加的總和。</w:t>
            </w:r>
          </w:p>
        </w:tc>
      </w:tr>
      <w:tr w:rsidR="00CA1B87" w:rsidRPr="00CA7301" w14:paraId="157E53E4" w14:textId="77777777" w:rsidTr="00F62652">
        <w:trPr>
          <w:trHeight w:val="373"/>
        </w:trPr>
        <w:tc>
          <w:tcPr>
            <w:tcW w:w="551" w:type="dxa"/>
          </w:tcPr>
          <w:p w14:paraId="2C674682"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42</w:t>
            </w:r>
          </w:p>
        </w:tc>
        <w:tc>
          <w:tcPr>
            <w:tcW w:w="8663" w:type="dxa"/>
          </w:tcPr>
          <w:p w14:paraId="1108B116" w14:textId="16CCF22F"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根據《資本規則》第</w:t>
            </w:r>
            <w:r w:rsidRPr="00CA7301">
              <w:rPr>
                <w:rFonts w:cs="Segoe UI"/>
                <w:sz w:val="17"/>
                <w:szCs w:val="17"/>
                <w:lang w:eastAsia="zh-TW"/>
              </w:rPr>
              <w:t>47(1)(g)</w:t>
            </w:r>
            <w:r w:rsidRPr="00CA7301">
              <w:rPr>
                <w:rFonts w:eastAsia="新細明體" w:cs="Segoe UI"/>
                <w:sz w:val="17"/>
                <w:szCs w:val="17"/>
                <w:lang w:eastAsia="zh-TW"/>
              </w:rPr>
              <w:t>條的規定，因沒有充足的二級資本以供扣除而須在</w:t>
            </w:r>
            <w:r w:rsidRPr="00CA7301">
              <w:rPr>
                <w:rFonts w:cs="Segoe UI"/>
                <w:sz w:val="17"/>
                <w:szCs w:val="17"/>
                <w:lang w:eastAsia="zh-TW"/>
              </w:rPr>
              <w:t>AT1</w:t>
            </w:r>
            <w:r w:rsidRPr="00CA7301">
              <w:rPr>
                <w:rFonts w:eastAsia="新細明體" w:cs="Segoe UI"/>
                <w:sz w:val="17"/>
                <w:szCs w:val="17"/>
                <w:lang w:eastAsia="zh-TW"/>
              </w:rPr>
              <w:t>資本扣除的監管扣減。如於</w:t>
            </w:r>
            <w:r w:rsidRPr="00CA7301">
              <w:rPr>
                <w:rFonts w:eastAsiaTheme="minorEastAsia" w:cs="Segoe UI"/>
                <w:sz w:val="17"/>
                <w:szCs w:val="17"/>
                <w:lang w:eastAsia="zh-TW"/>
              </w:rPr>
              <w:t>第</w:t>
            </w:r>
            <w:r w:rsidRPr="00CA7301">
              <w:rPr>
                <w:rFonts w:cs="Segoe UI"/>
                <w:sz w:val="17"/>
                <w:szCs w:val="17"/>
                <w:lang w:eastAsia="zh-TW"/>
              </w:rPr>
              <w:t>57</w:t>
            </w:r>
            <w:r w:rsidRPr="00CA7301">
              <w:rPr>
                <w:rFonts w:eastAsiaTheme="minorEastAsia" w:cs="Segoe UI"/>
                <w:sz w:val="17"/>
                <w:szCs w:val="17"/>
                <w:lang w:eastAsia="zh-TW"/>
              </w:rPr>
              <w:t>行</w:t>
            </w:r>
            <w:r w:rsidRPr="00CA7301">
              <w:rPr>
                <w:rFonts w:eastAsia="新細明體" w:cs="Segoe UI"/>
                <w:sz w:val="17"/>
                <w:szCs w:val="17"/>
                <w:lang w:eastAsia="zh-TW"/>
              </w:rPr>
              <w:t>所報的值大於在</w:t>
            </w:r>
            <w:r w:rsidRPr="00CA7301">
              <w:rPr>
                <w:rFonts w:eastAsiaTheme="minorEastAsia" w:cs="Segoe UI"/>
                <w:sz w:val="17"/>
                <w:szCs w:val="17"/>
                <w:lang w:eastAsia="zh-TW"/>
              </w:rPr>
              <w:t>第</w:t>
            </w:r>
            <w:r w:rsidRPr="00CA7301">
              <w:rPr>
                <w:rFonts w:cs="Segoe UI"/>
                <w:sz w:val="17"/>
                <w:szCs w:val="17"/>
                <w:lang w:eastAsia="zh-TW"/>
              </w:rPr>
              <w:t>51</w:t>
            </w:r>
            <w:r w:rsidRPr="00CA7301">
              <w:rPr>
                <w:rFonts w:eastAsiaTheme="minorEastAsia" w:cs="Segoe UI"/>
                <w:sz w:val="17"/>
                <w:szCs w:val="17"/>
                <w:lang w:eastAsia="zh-TW"/>
              </w:rPr>
              <w:t>行</w:t>
            </w:r>
            <w:r w:rsidRPr="00CA7301">
              <w:rPr>
                <w:rFonts w:eastAsia="新細明體" w:cs="Segoe UI"/>
                <w:sz w:val="17"/>
                <w:szCs w:val="17"/>
                <w:lang w:eastAsia="zh-TW"/>
              </w:rPr>
              <w:t>所報的值，超出之數須在此行填報。</w:t>
            </w:r>
          </w:p>
        </w:tc>
      </w:tr>
      <w:tr w:rsidR="00CA1B87" w:rsidRPr="00CA7301" w14:paraId="5ACD7E04" w14:textId="77777777" w:rsidTr="00F62652">
        <w:trPr>
          <w:trHeight w:val="373"/>
        </w:trPr>
        <w:tc>
          <w:tcPr>
            <w:tcW w:w="551" w:type="dxa"/>
          </w:tcPr>
          <w:p w14:paraId="2A64FC77"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43</w:t>
            </w:r>
          </w:p>
        </w:tc>
        <w:tc>
          <w:tcPr>
            <w:tcW w:w="8663" w:type="dxa"/>
          </w:tcPr>
          <w:p w14:paraId="7F362244"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第</w:t>
            </w:r>
            <w:r w:rsidRPr="00CA7301">
              <w:rPr>
                <w:rFonts w:cs="Segoe UI"/>
                <w:sz w:val="17"/>
                <w:szCs w:val="17"/>
                <w:lang w:eastAsia="zh-TW"/>
              </w:rPr>
              <w:t>37</w:t>
            </w:r>
            <w:r w:rsidRPr="00CA7301">
              <w:rPr>
                <w:rFonts w:eastAsia="新細明體" w:cs="Segoe UI"/>
                <w:sz w:val="17"/>
                <w:szCs w:val="17"/>
                <w:lang w:eastAsia="zh-TW"/>
              </w:rPr>
              <w:t>至</w:t>
            </w:r>
            <w:r w:rsidRPr="00CA7301">
              <w:rPr>
                <w:rFonts w:cs="Segoe UI"/>
                <w:sz w:val="17"/>
                <w:szCs w:val="17"/>
                <w:lang w:eastAsia="zh-TW"/>
              </w:rPr>
              <w:t>40</w:t>
            </w:r>
            <w:r w:rsidRPr="00CA7301">
              <w:rPr>
                <w:rFonts w:eastAsiaTheme="minorEastAsia" w:cs="Segoe UI"/>
                <w:sz w:val="17"/>
                <w:szCs w:val="17"/>
                <w:lang w:eastAsia="zh-TW"/>
              </w:rPr>
              <w:t>、</w:t>
            </w:r>
            <w:r w:rsidRPr="00CA7301">
              <w:rPr>
                <w:rFonts w:cs="Segoe UI"/>
                <w:sz w:val="17"/>
                <w:szCs w:val="17"/>
                <w:lang w:eastAsia="zh-TW"/>
              </w:rPr>
              <w:t>41</w:t>
            </w:r>
            <w:r w:rsidRPr="00CA7301">
              <w:rPr>
                <w:rFonts w:eastAsiaTheme="minorEastAsia" w:cs="Segoe UI"/>
                <w:sz w:val="17"/>
                <w:szCs w:val="17"/>
                <w:lang w:eastAsia="zh-TW"/>
              </w:rPr>
              <w:t>（</w:t>
            </w:r>
            <w:r w:rsidRPr="00CA7301">
              <w:rPr>
                <w:rFonts w:eastAsia="新細明體" w:cs="Segoe UI"/>
                <w:sz w:val="17"/>
                <w:szCs w:val="17"/>
                <w:lang w:eastAsia="zh-TW"/>
              </w:rPr>
              <w:t>如適用</w:t>
            </w:r>
            <w:r w:rsidRPr="00CA7301">
              <w:rPr>
                <w:rFonts w:eastAsia="細明體" w:cs="Segoe UI"/>
                <w:sz w:val="17"/>
                <w:szCs w:val="17"/>
                <w:lang w:eastAsia="zh-TW"/>
              </w:rPr>
              <w:t>）</w:t>
            </w:r>
            <w:r w:rsidRPr="00CA7301">
              <w:rPr>
                <w:rFonts w:eastAsia="新細明體" w:cs="Segoe UI"/>
                <w:sz w:val="17"/>
                <w:szCs w:val="17"/>
                <w:lang w:eastAsia="zh-TW"/>
              </w:rPr>
              <w:t>及</w:t>
            </w:r>
            <w:r w:rsidRPr="00CA7301">
              <w:rPr>
                <w:rFonts w:cs="Segoe UI"/>
                <w:sz w:val="17"/>
                <w:szCs w:val="17"/>
                <w:lang w:eastAsia="zh-TW"/>
              </w:rPr>
              <w:t>42</w:t>
            </w:r>
            <w:r w:rsidRPr="00CA7301">
              <w:rPr>
                <w:rFonts w:eastAsiaTheme="minorEastAsia" w:cs="Segoe UI"/>
                <w:sz w:val="17"/>
                <w:szCs w:val="17"/>
                <w:lang w:eastAsia="zh-TW"/>
              </w:rPr>
              <w:t>行</w:t>
            </w:r>
            <w:r w:rsidRPr="00CA7301">
              <w:rPr>
                <w:rFonts w:eastAsia="新細明體" w:cs="Segoe UI"/>
                <w:sz w:val="17"/>
                <w:szCs w:val="17"/>
                <w:lang w:eastAsia="zh-TW"/>
              </w:rPr>
              <w:t>相加的總和。</w:t>
            </w:r>
          </w:p>
        </w:tc>
      </w:tr>
      <w:tr w:rsidR="00CA1B87" w:rsidRPr="00CA7301" w14:paraId="44EEB925" w14:textId="77777777" w:rsidTr="00F62652">
        <w:trPr>
          <w:trHeight w:val="373"/>
        </w:trPr>
        <w:tc>
          <w:tcPr>
            <w:tcW w:w="551" w:type="dxa"/>
          </w:tcPr>
          <w:p w14:paraId="18684E46"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44</w:t>
            </w:r>
          </w:p>
        </w:tc>
        <w:tc>
          <w:tcPr>
            <w:tcW w:w="8663" w:type="dxa"/>
          </w:tcPr>
          <w:p w14:paraId="748F9FB4" w14:textId="77777777" w:rsidR="00CA1B87" w:rsidRPr="00CA7301" w:rsidRDefault="00CA1B87" w:rsidP="00CA1B87">
            <w:pPr>
              <w:spacing w:before="40" w:after="40"/>
              <w:jc w:val="both"/>
              <w:rPr>
                <w:rFonts w:cs="Segoe UI"/>
                <w:sz w:val="17"/>
                <w:szCs w:val="17"/>
                <w:lang w:eastAsia="zh-TW"/>
              </w:rPr>
            </w:pPr>
            <w:r w:rsidRPr="00CA7301">
              <w:rPr>
                <w:rFonts w:cs="Segoe UI"/>
                <w:sz w:val="17"/>
                <w:szCs w:val="17"/>
                <w:lang w:eastAsia="zh-TW"/>
              </w:rPr>
              <w:t>AT1</w:t>
            </w:r>
            <w:r w:rsidRPr="00CA7301">
              <w:rPr>
                <w:rFonts w:eastAsia="細明體" w:cs="Segoe UI"/>
                <w:sz w:val="17"/>
                <w:szCs w:val="17"/>
                <w:lang w:eastAsia="zh-TW"/>
              </w:rPr>
              <w:t>資本，即</w:t>
            </w:r>
            <w:r w:rsidRPr="00CA7301">
              <w:rPr>
                <w:rFonts w:eastAsiaTheme="minorEastAsia" w:cs="Segoe UI"/>
                <w:sz w:val="17"/>
                <w:szCs w:val="17"/>
                <w:lang w:eastAsia="zh-TW"/>
              </w:rPr>
              <w:t>第</w:t>
            </w:r>
            <w:r w:rsidRPr="00CA7301">
              <w:rPr>
                <w:rFonts w:cs="Segoe UI"/>
                <w:sz w:val="17"/>
                <w:szCs w:val="17"/>
                <w:lang w:eastAsia="zh-TW"/>
              </w:rPr>
              <w:t>36</w:t>
            </w:r>
            <w:r w:rsidRPr="00CA7301">
              <w:rPr>
                <w:rFonts w:eastAsiaTheme="minorEastAsia" w:cs="Segoe UI"/>
                <w:sz w:val="17"/>
                <w:szCs w:val="17"/>
                <w:lang w:eastAsia="zh-TW"/>
              </w:rPr>
              <w:t>行</w:t>
            </w:r>
            <w:r w:rsidRPr="00CA7301">
              <w:rPr>
                <w:rFonts w:eastAsia="細明體" w:cs="Segoe UI"/>
                <w:sz w:val="17"/>
                <w:szCs w:val="17"/>
                <w:lang w:eastAsia="zh-TW"/>
              </w:rPr>
              <w:t>減</w:t>
            </w:r>
            <w:r w:rsidRPr="00CA7301">
              <w:rPr>
                <w:rFonts w:eastAsiaTheme="minorEastAsia" w:cs="Segoe UI"/>
                <w:sz w:val="17"/>
                <w:szCs w:val="17"/>
                <w:lang w:eastAsia="zh-TW"/>
              </w:rPr>
              <w:t>第</w:t>
            </w:r>
            <w:r w:rsidRPr="00CA7301">
              <w:rPr>
                <w:rFonts w:cs="Segoe UI"/>
                <w:sz w:val="17"/>
                <w:szCs w:val="17"/>
                <w:lang w:eastAsia="zh-TW"/>
              </w:rPr>
              <w:t>43</w:t>
            </w:r>
            <w:r w:rsidRPr="00CA7301">
              <w:rPr>
                <w:rFonts w:eastAsiaTheme="minorEastAsia" w:cs="Segoe UI"/>
                <w:sz w:val="17"/>
                <w:szCs w:val="17"/>
                <w:lang w:eastAsia="zh-TW"/>
              </w:rPr>
              <w:t>行</w:t>
            </w:r>
            <w:r w:rsidRPr="00CA7301">
              <w:rPr>
                <w:rFonts w:eastAsia="細明體" w:cs="Segoe UI"/>
                <w:sz w:val="17"/>
                <w:szCs w:val="17"/>
                <w:lang w:eastAsia="zh-TW"/>
              </w:rPr>
              <w:t>的值得出之數。如於</w:t>
            </w:r>
            <w:r w:rsidRPr="00CA7301">
              <w:rPr>
                <w:rFonts w:eastAsiaTheme="minorEastAsia" w:cs="Segoe UI"/>
                <w:sz w:val="17"/>
                <w:szCs w:val="17"/>
                <w:lang w:eastAsia="zh-TW"/>
              </w:rPr>
              <w:t>第</w:t>
            </w:r>
            <w:r w:rsidRPr="00CA7301">
              <w:rPr>
                <w:rFonts w:cs="Segoe UI"/>
                <w:sz w:val="17"/>
                <w:szCs w:val="17"/>
                <w:lang w:eastAsia="zh-TW"/>
              </w:rPr>
              <w:t>43</w:t>
            </w:r>
            <w:r w:rsidRPr="00CA7301">
              <w:rPr>
                <w:rFonts w:eastAsiaTheme="minorEastAsia" w:cs="Segoe UI"/>
                <w:sz w:val="17"/>
                <w:szCs w:val="17"/>
                <w:lang w:eastAsia="zh-TW"/>
              </w:rPr>
              <w:t>行</w:t>
            </w:r>
            <w:r w:rsidRPr="00CA7301">
              <w:rPr>
                <w:rFonts w:eastAsia="細明體" w:cs="Segoe UI"/>
                <w:sz w:val="17"/>
                <w:szCs w:val="17"/>
                <w:lang w:eastAsia="zh-TW"/>
              </w:rPr>
              <w:t>所報的數額大於在</w:t>
            </w:r>
            <w:r w:rsidRPr="00CA7301">
              <w:rPr>
                <w:rFonts w:eastAsiaTheme="minorEastAsia" w:cs="Segoe UI"/>
                <w:sz w:val="17"/>
                <w:szCs w:val="17"/>
                <w:lang w:eastAsia="zh-TW"/>
              </w:rPr>
              <w:t>第</w:t>
            </w:r>
            <w:r w:rsidRPr="00CA7301">
              <w:rPr>
                <w:rFonts w:cs="Segoe UI"/>
                <w:sz w:val="17"/>
                <w:szCs w:val="17"/>
                <w:lang w:eastAsia="zh-TW"/>
              </w:rPr>
              <w:t>36</w:t>
            </w:r>
            <w:r w:rsidRPr="00CA7301">
              <w:rPr>
                <w:rFonts w:eastAsiaTheme="minorEastAsia" w:cs="Segoe UI"/>
                <w:sz w:val="17"/>
                <w:szCs w:val="17"/>
                <w:lang w:eastAsia="zh-TW"/>
              </w:rPr>
              <w:t>行</w:t>
            </w:r>
            <w:r w:rsidRPr="00CA7301">
              <w:rPr>
                <w:rFonts w:eastAsia="細明體" w:cs="Segoe UI"/>
                <w:sz w:val="17"/>
                <w:szCs w:val="17"/>
                <w:lang w:eastAsia="zh-TW"/>
              </w:rPr>
              <w:t>所報的值，超出之數須</w:t>
            </w:r>
            <w:r w:rsidRPr="00CA7301">
              <w:rPr>
                <w:rFonts w:eastAsia="新細明體" w:cs="Segoe UI"/>
                <w:sz w:val="17"/>
                <w:szCs w:val="17"/>
                <w:lang w:eastAsia="zh-TW"/>
              </w:rPr>
              <w:t>填報</w:t>
            </w:r>
            <w:r w:rsidRPr="00CA7301">
              <w:rPr>
                <w:rFonts w:eastAsiaTheme="minorEastAsia" w:cs="Segoe UI"/>
                <w:sz w:val="17"/>
                <w:szCs w:val="17"/>
                <w:lang w:eastAsia="zh-TW"/>
              </w:rPr>
              <w:t>第</w:t>
            </w:r>
            <w:r w:rsidRPr="00CA7301">
              <w:rPr>
                <w:rFonts w:cs="Segoe UI"/>
                <w:sz w:val="17"/>
                <w:szCs w:val="17"/>
                <w:lang w:eastAsia="zh-TW"/>
              </w:rPr>
              <w:t>27</w:t>
            </w:r>
            <w:r w:rsidRPr="00CA7301">
              <w:rPr>
                <w:rFonts w:eastAsiaTheme="minorEastAsia" w:cs="Segoe UI"/>
                <w:sz w:val="17"/>
                <w:szCs w:val="17"/>
                <w:lang w:eastAsia="zh-TW"/>
              </w:rPr>
              <w:t>行</w:t>
            </w:r>
            <w:r w:rsidRPr="00CA7301">
              <w:rPr>
                <w:rFonts w:eastAsia="細明體" w:cs="Segoe UI"/>
                <w:sz w:val="17"/>
                <w:szCs w:val="17"/>
                <w:lang w:eastAsia="zh-TW"/>
              </w:rPr>
              <w:t>，並在此行填報零。</w:t>
            </w:r>
          </w:p>
        </w:tc>
      </w:tr>
      <w:tr w:rsidR="00CA1B87" w:rsidRPr="00CA7301" w14:paraId="1A05AB23" w14:textId="77777777" w:rsidTr="00F62652">
        <w:trPr>
          <w:trHeight w:val="373"/>
        </w:trPr>
        <w:tc>
          <w:tcPr>
            <w:tcW w:w="551" w:type="dxa"/>
          </w:tcPr>
          <w:p w14:paraId="1541AAEB"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45</w:t>
            </w:r>
          </w:p>
        </w:tc>
        <w:tc>
          <w:tcPr>
            <w:tcW w:w="8663" w:type="dxa"/>
          </w:tcPr>
          <w:p w14:paraId="1346B11F"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一級資本，即</w:t>
            </w:r>
            <w:r w:rsidRPr="00CA7301">
              <w:rPr>
                <w:rFonts w:eastAsiaTheme="minorEastAsia" w:cs="Segoe UI"/>
                <w:sz w:val="17"/>
                <w:szCs w:val="17"/>
                <w:lang w:eastAsia="zh-TW"/>
              </w:rPr>
              <w:t>第</w:t>
            </w:r>
            <w:r w:rsidRPr="00CA7301">
              <w:rPr>
                <w:rFonts w:cs="Segoe UI"/>
                <w:sz w:val="17"/>
                <w:szCs w:val="17"/>
                <w:lang w:eastAsia="zh-TW"/>
              </w:rPr>
              <w:t>29</w:t>
            </w:r>
            <w:r w:rsidRPr="00CA7301">
              <w:rPr>
                <w:rFonts w:eastAsiaTheme="minorEastAsia" w:cs="Segoe UI"/>
                <w:sz w:val="17"/>
                <w:szCs w:val="17"/>
                <w:lang w:eastAsia="zh-TW"/>
              </w:rPr>
              <w:t>行</w:t>
            </w:r>
            <w:r w:rsidRPr="00CA7301">
              <w:rPr>
                <w:rFonts w:eastAsia="新細明體" w:cs="Segoe UI"/>
                <w:sz w:val="17"/>
                <w:szCs w:val="17"/>
                <w:lang w:eastAsia="zh-TW"/>
              </w:rPr>
              <w:t>及</w:t>
            </w:r>
            <w:r w:rsidRPr="00CA7301">
              <w:rPr>
                <w:rFonts w:eastAsiaTheme="minorEastAsia" w:cs="Segoe UI"/>
                <w:sz w:val="17"/>
                <w:szCs w:val="17"/>
                <w:lang w:eastAsia="zh-TW"/>
              </w:rPr>
              <w:t>第</w:t>
            </w:r>
            <w:r w:rsidRPr="00CA7301">
              <w:rPr>
                <w:rFonts w:cs="Segoe UI"/>
                <w:sz w:val="17"/>
                <w:szCs w:val="17"/>
                <w:lang w:eastAsia="zh-TW"/>
              </w:rPr>
              <w:t>44</w:t>
            </w:r>
            <w:r w:rsidRPr="00CA7301">
              <w:rPr>
                <w:rFonts w:eastAsiaTheme="minorEastAsia" w:cs="Segoe UI"/>
                <w:sz w:val="17"/>
                <w:szCs w:val="17"/>
                <w:lang w:eastAsia="zh-TW"/>
              </w:rPr>
              <w:t>行</w:t>
            </w:r>
            <w:r w:rsidRPr="00CA7301">
              <w:rPr>
                <w:rFonts w:eastAsia="新細明體" w:cs="Segoe UI"/>
                <w:sz w:val="17"/>
                <w:szCs w:val="17"/>
                <w:lang w:eastAsia="zh-TW"/>
              </w:rPr>
              <w:t>相加之數。</w:t>
            </w:r>
          </w:p>
        </w:tc>
      </w:tr>
      <w:tr w:rsidR="00CA1B87" w:rsidRPr="00CA7301" w14:paraId="2602AEE5" w14:textId="77777777" w:rsidTr="00F62652">
        <w:trPr>
          <w:trHeight w:val="373"/>
        </w:trPr>
        <w:tc>
          <w:tcPr>
            <w:tcW w:w="551" w:type="dxa"/>
          </w:tcPr>
          <w:p w14:paraId="66830C05"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46</w:t>
            </w:r>
          </w:p>
        </w:tc>
        <w:tc>
          <w:tcPr>
            <w:tcW w:w="8663" w:type="dxa"/>
          </w:tcPr>
          <w:p w14:paraId="4C70FF65" w14:textId="3CD2D98C" w:rsidR="00CA1B87" w:rsidRPr="00CA7301" w:rsidRDefault="00CA1B87" w:rsidP="003D0B25">
            <w:pPr>
              <w:spacing w:before="40" w:after="40"/>
              <w:jc w:val="both"/>
              <w:rPr>
                <w:rFonts w:cs="Segoe UI"/>
                <w:sz w:val="17"/>
                <w:szCs w:val="17"/>
                <w:lang w:eastAsia="zh-TW"/>
              </w:rPr>
            </w:pPr>
            <w:r w:rsidRPr="00CA7301">
              <w:rPr>
                <w:rFonts w:eastAsia="新細明體" w:cs="Segoe UI"/>
                <w:sz w:val="17"/>
                <w:szCs w:val="17"/>
                <w:lang w:eastAsia="zh-TW"/>
              </w:rPr>
              <w:t>認可機構發行符合《資本規則》附表</w:t>
            </w:r>
            <w:r w:rsidRPr="00CA7301">
              <w:rPr>
                <w:rFonts w:cs="Segoe UI"/>
                <w:sz w:val="17"/>
                <w:szCs w:val="17"/>
                <w:lang w:eastAsia="zh-TW"/>
              </w:rPr>
              <w:t>4C</w:t>
            </w:r>
            <w:r w:rsidRPr="00CA7301">
              <w:rPr>
                <w:rFonts w:eastAsia="新細明體" w:cs="Segoe UI"/>
                <w:sz w:val="17"/>
                <w:szCs w:val="17"/>
                <w:lang w:eastAsia="zh-TW"/>
              </w:rPr>
              <w:t>所載有關二級資本的所有合資格準則的票據，以及《資本</w:t>
            </w:r>
            <w:r w:rsidRPr="003D0B25">
              <w:rPr>
                <w:rFonts w:eastAsia="新細明體" w:cs="Segoe UI"/>
                <w:sz w:val="17"/>
                <w:szCs w:val="17"/>
                <w:lang w:eastAsia="zh-TW"/>
              </w:rPr>
              <w:t>規則》第</w:t>
            </w:r>
            <w:r w:rsidRPr="003D0B25">
              <w:rPr>
                <w:rFonts w:cs="Segoe UI"/>
                <w:sz w:val="17"/>
                <w:szCs w:val="17"/>
                <w:lang w:eastAsia="zh-TW"/>
              </w:rPr>
              <w:t>40(1)(b)</w:t>
            </w:r>
            <w:r w:rsidRPr="003D0B25">
              <w:rPr>
                <w:rFonts w:eastAsia="新細明體" w:cs="Segoe UI"/>
                <w:sz w:val="17"/>
                <w:szCs w:val="17"/>
                <w:lang w:eastAsia="zh-TW"/>
              </w:rPr>
              <w:t>條所述的任何相關股份溢價</w:t>
            </w:r>
            <w:r w:rsidR="00EE51A9" w:rsidRPr="003D0B25">
              <w:rPr>
                <w:rFonts w:eastAsia="新細明體" w:cs="Segoe UI"/>
                <w:sz w:val="17"/>
                <w:szCs w:val="17"/>
                <w:lang w:eastAsia="zh-TW"/>
              </w:rPr>
              <w:t>，</w:t>
            </w:r>
            <w:r w:rsidR="002A6F4C" w:rsidRPr="00E14D59">
              <w:rPr>
                <w:rFonts w:eastAsia="新細明體" w:cs="Segoe UI" w:hint="eastAsia"/>
                <w:sz w:val="17"/>
                <w:szCs w:val="17"/>
                <w:lang w:eastAsia="zh-HK"/>
              </w:rPr>
              <w:t>但須</w:t>
            </w:r>
            <w:r w:rsidR="002A6F4C" w:rsidRPr="00E14D59">
              <w:rPr>
                <w:rFonts w:eastAsia="新細明體" w:cs="Segoe UI" w:hint="eastAsia"/>
                <w:sz w:val="17"/>
                <w:szCs w:val="17"/>
                <w:lang w:eastAsia="zh-TW"/>
              </w:rPr>
              <w:t>消除</w:t>
            </w:r>
            <w:r w:rsidR="002A6F4C" w:rsidRPr="00E14D59">
              <w:rPr>
                <w:rFonts w:eastAsia="新細明體" w:cs="Segoe UI" w:hint="eastAsia"/>
                <w:sz w:val="17"/>
                <w:szCs w:val="17"/>
                <w:lang w:eastAsia="zh-HK"/>
              </w:rPr>
              <w:t>就該等</w:t>
            </w:r>
            <w:r w:rsidR="002A6F4C" w:rsidRPr="00E14D59">
              <w:rPr>
                <w:rFonts w:eastAsia="新細明體" w:cs="Segoe UI" w:hint="eastAsia"/>
                <w:sz w:val="17"/>
                <w:szCs w:val="17"/>
                <w:lang w:eastAsia="zh-TW"/>
              </w:rPr>
              <w:t>票據</w:t>
            </w:r>
            <w:r w:rsidR="002A6F4C">
              <w:rPr>
                <w:rFonts w:eastAsia="新細明體" w:cs="Segoe UI" w:hint="eastAsia"/>
                <w:sz w:val="17"/>
                <w:szCs w:val="17"/>
                <w:lang w:eastAsia="zh-HK"/>
              </w:rPr>
              <w:t>，</w:t>
            </w:r>
            <w:r w:rsidR="002A6F4C" w:rsidRPr="00E14D59">
              <w:rPr>
                <w:rFonts w:eastAsia="新細明體" w:cs="Segoe UI" w:hint="eastAsia"/>
                <w:sz w:val="17"/>
                <w:szCs w:val="17"/>
                <w:lang w:eastAsia="zh-TW"/>
              </w:rPr>
              <w:t>因認可機構本身信用風險變動</w:t>
            </w:r>
            <w:r w:rsidR="002A6F4C" w:rsidRPr="00E14D59">
              <w:rPr>
                <w:rFonts w:eastAsia="新細明體" w:cs="Segoe UI" w:hint="eastAsia"/>
                <w:sz w:val="17"/>
                <w:szCs w:val="17"/>
                <w:lang w:eastAsia="zh-HK"/>
              </w:rPr>
              <w:t>而</w:t>
            </w:r>
            <w:r w:rsidR="002A6F4C" w:rsidRPr="00E14D59">
              <w:rPr>
                <w:rFonts w:eastAsia="新細明體" w:cs="Segoe UI" w:hint="eastAsia"/>
                <w:sz w:val="17"/>
                <w:szCs w:val="17"/>
                <w:lang w:eastAsia="zh-TW"/>
              </w:rPr>
              <w:t>產生的</w:t>
            </w:r>
            <w:r w:rsidR="002A6F4C">
              <w:rPr>
                <w:rFonts w:eastAsia="新細明體" w:cs="Segoe UI" w:hint="eastAsia"/>
                <w:sz w:val="17"/>
                <w:szCs w:val="17"/>
                <w:lang w:eastAsia="zh-TW"/>
              </w:rPr>
              <w:t>任何</w:t>
            </w:r>
            <w:r w:rsidR="002A6F4C" w:rsidRPr="00E14D59">
              <w:rPr>
                <w:rFonts w:eastAsia="新細明體" w:cs="Segoe UI" w:hint="eastAsia"/>
                <w:sz w:val="17"/>
                <w:szCs w:val="17"/>
                <w:lang w:eastAsia="zh-TW"/>
              </w:rPr>
              <w:t>公平價值損益（如《資本規則》第</w:t>
            </w:r>
            <w:r w:rsidR="002A6F4C" w:rsidRPr="00E14D59">
              <w:rPr>
                <w:rFonts w:eastAsia="新細明體" w:cs="Segoe UI"/>
                <w:sz w:val="17"/>
                <w:szCs w:val="17"/>
                <w:lang w:eastAsia="zh-TW"/>
              </w:rPr>
              <w:t>38(2)(b)</w:t>
            </w:r>
            <w:r w:rsidR="002A6F4C" w:rsidRPr="00E14D59">
              <w:rPr>
                <w:rFonts w:eastAsia="新細明體" w:cs="Segoe UI" w:hint="eastAsia"/>
                <w:sz w:val="17"/>
                <w:szCs w:val="17"/>
                <w:lang w:eastAsia="zh-TW"/>
              </w:rPr>
              <w:t>條所述並已計入第</w:t>
            </w:r>
            <w:r w:rsidR="002A6F4C" w:rsidRPr="00E14D59">
              <w:rPr>
                <w:rFonts w:eastAsia="新細明體" w:cs="Segoe UI"/>
                <w:sz w:val="17"/>
                <w:szCs w:val="17"/>
                <w:lang w:eastAsia="zh-TW"/>
              </w:rPr>
              <w:t>14</w:t>
            </w:r>
            <w:r w:rsidR="002A6F4C" w:rsidRPr="00E14D59">
              <w:rPr>
                <w:rFonts w:eastAsia="新細明體" w:cs="Segoe UI" w:hint="eastAsia"/>
                <w:sz w:val="17"/>
                <w:szCs w:val="17"/>
                <w:lang w:eastAsia="zh-TW"/>
              </w:rPr>
              <w:t>行）</w:t>
            </w:r>
            <w:r w:rsidRPr="003D0B25">
              <w:rPr>
                <w:rFonts w:eastAsia="新細明體" w:cs="Segoe UI" w:hint="eastAsia"/>
                <w:sz w:val="17"/>
                <w:szCs w:val="17"/>
                <w:lang w:eastAsia="zh-TW"/>
              </w:rPr>
              <w:t>。</w:t>
            </w:r>
            <w:r w:rsidRPr="00CA7301">
              <w:rPr>
                <w:rFonts w:eastAsia="新細明體" w:cs="Segoe UI"/>
                <w:sz w:val="17"/>
                <w:szCs w:val="17"/>
                <w:lang w:eastAsia="zh-TW"/>
              </w:rPr>
              <w:t>綜合集團附屬公司發行的所有票據應從此</w:t>
            </w:r>
            <w:proofErr w:type="gramStart"/>
            <w:r w:rsidRPr="00CA7301">
              <w:rPr>
                <w:rFonts w:eastAsia="新細明體" w:cs="Segoe UI"/>
                <w:sz w:val="17"/>
                <w:szCs w:val="17"/>
                <w:lang w:eastAsia="zh-TW"/>
              </w:rPr>
              <w:t>行豁除</w:t>
            </w:r>
            <w:proofErr w:type="gramEnd"/>
            <w:r w:rsidRPr="00CA7301">
              <w:rPr>
                <w:rFonts w:eastAsia="新細明體" w:cs="Segoe UI"/>
                <w:sz w:val="17"/>
                <w:szCs w:val="17"/>
                <w:lang w:eastAsia="zh-TW"/>
              </w:rPr>
              <w:t>。然而，如二級資本票據是透過機構的特定目的工具發行，只有在其符合《資本規則》第</w:t>
            </w:r>
            <w:r w:rsidRPr="00CA7301">
              <w:rPr>
                <w:rFonts w:eastAsia="新細明體" w:cs="Segoe UI"/>
                <w:sz w:val="17"/>
                <w:szCs w:val="17"/>
                <w:lang w:eastAsia="zh-TW"/>
              </w:rPr>
              <w:t>40(3)</w:t>
            </w:r>
            <w:r w:rsidRPr="00CA7301">
              <w:rPr>
                <w:rFonts w:eastAsia="新細明體" w:cs="Segoe UI"/>
                <w:sz w:val="17"/>
                <w:szCs w:val="17"/>
                <w:lang w:eastAsia="zh-TW"/>
              </w:rPr>
              <w:t>條及附表</w:t>
            </w:r>
            <w:r w:rsidRPr="00CA7301">
              <w:rPr>
                <w:rFonts w:eastAsia="新細明體" w:cs="Segoe UI"/>
                <w:sz w:val="17"/>
                <w:szCs w:val="17"/>
                <w:lang w:eastAsia="zh-TW"/>
              </w:rPr>
              <w:t>4C</w:t>
            </w:r>
            <w:r w:rsidRPr="00CA7301">
              <w:rPr>
                <w:rFonts w:eastAsia="新細明體" w:cs="Segoe UI"/>
                <w:sz w:val="17"/>
                <w:szCs w:val="17"/>
                <w:lang w:eastAsia="zh-TW"/>
              </w:rPr>
              <w:t>所列載的規定方可將該等資本票據計入此行。</w:t>
            </w:r>
          </w:p>
        </w:tc>
      </w:tr>
      <w:tr w:rsidR="00CA1B87" w:rsidRPr="00CA7301" w14:paraId="54F8FC44" w14:textId="77777777" w:rsidTr="00F62652">
        <w:trPr>
          <w:trHeight w:val="373"/>
        </w:trPr>
        <w:tc>
          <w:tcPr>
            <w:tcW w:w="551" w:type="dxa"/>
          </w:tcPr>
          <w:p w14:paraId="7A74BB5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48</w:t>
            </w:r>
          </w:p>
        </w:tc>
        <w:tc>
          <w:tcPr>
            <w:tcW w:w="8663" w:type="dxa"/>
          </w:tcPr>
          <w:p w14:paraId="6B4519BB"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按照《資本規則》附表</w:t>
            </w:r>
            <w:r w:rsidRPr="00CA7301">
              <w:rPr>
                <w:rFonts w:cs="Segoe UI"/>
                <w:sz w:val="17"/>
                <w:szCs w:val="17"/>
                <w:lang w:eastAsia="zh-TW"/>
              </w:rPr>
              <w:t xml:space="preserve"> 4D</w:t>
            </w:r>
            <w:r w:rsidRPr="00CA7301">
              <w:rPr>
                <w:rFonts w:eastAsia="新細明體" w:cs="Segoe UI"/>
                <w:sz w:val="17"/>
                <w:szCs w:val="17"/>
                <w:lang w:eastAsia="zh-TW"/>
              </w:rPr>
              <w:t>可計入綜合二級資本的由綜合銀行附屬公司發行並由第三方持有的資本票據的適用數額。</w:t>
            </w:r>
          </w:p>
        </w:tc>
      </w:tr>
      <w:tr w:rsidR="00CA1B87" w:rsidRPr="00CA7301" w14:paraId="03422C3C" w14:textId="77777777" w:rsidTr="00F62652">
        <w:trPr>
          <w:trHeight w:val="373"/>
        </w:trPr>
        <w:tc>
          <w:tcPr>
            <w:tcW w:w="551" w:type="dxa"/>
          </w:tcPr>
          <w:p w14:paraId="4FF5FF44"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50</w:t>
            </w:r>
          </w:p>
        </w:tc>
        <w:tc>
          <w:tcPr>
            <w:tcW w:w="8663" w:type="dxa"/>
          </w:tcPr>
          <w:p w14:paraId="2B4EA5FA"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按照《資本規則》第</w:t>
            </w:r>
            <w:r w:rsidRPr="00CA7301">
              <w:rPr>
                <w:rFonts w:cs="Segoe UI"/>
                <w:sz w:val="17"/>
                <w:szCs w:val="17"/>
                <w:lang w:eastAsia="zh-TW"/>
              </w:rPr>
              <w:t>42</w:t>
            </w:r>
            <w:r w:rsidRPr="00CA7301">
              <w:rPr>
                <w:rFonts w:eastAsia="新細明體" w:cs="Segoe UI"/>
                <w:sz w:val="17"/>
                <w:szCs w:val="17"/>
                <w:lang w:eastAsia="zh-TW"/>
              </w:rPr>
              <w:t>條計算的，可計入二級資本有關</w:t>
            </w:r>
            <w:r w:rsidRPr="00CA7301">
              <w:rPr>
                <w:rFonts w:cs="Segoe UI"/>
                <w:sz w:val="17"/>
                <w:szCs w:val="17"/>
                <w:lang w:eastAsia="zh-TW"/>
              </w:rPr>
              <w:t>BSC</w:t>
            </w:r>
            <w:r w:rsidRPr="00CA7301">
              <w:rPr>
                <w:rFonts w:eastAsia="新細明體" w:cs="Segoe UI"/>
                <w:sz w:val="17"/>
                <w:szCs w:val="17"/>
                <w:lang w:eastAsia="zh-TW"/>
              </w:rPr>
              <w:t>計算法或</w:t>
            </w:r>
            <w:r w:rsidRPr="00CA7301">
              <w:rPr>
                <w:rFonts w:cs="Segoe UI"/>
                <w:sz w:val="17"/>
                <w:szCs w:val="17"/>
                <w:lang w:eastAsia="zh-TW"/>
              </w:rPr>
              <w:t>STC</w:t>
            </w:r>
            <w:r w:rsidRPr="00CA7301">
              <w:rPr>
                <w:rFonts w:eastAsia="新細明體" w:cs="Segoe UI"/>
                <w:sz w:val="17"/>
                <w:szCs w:val="17"/>
                <w:lang w:eastAsia="zh-TW"/>
              </w:rPr>
              <w:t>計算法及</w:t>
            </w:r>
            <w:r w:rsidRPr="00CA7301">
              <w:rPr>
                <w:rFonts w:cs="Segoe UI"/>
                <w:sz w:val="17"/>
                <w:szCs w:val="17"/>
                <w:lang w:eastAsia="zh-TW"/>
              </w:rPr>
              <w:t>SEC-ERBA</w:t>
            </w:r>
            <w:r w:rsidRPr="00CA7301">
              <w:rPr>
                <w:rFonts w:eastAsiaTheme="minorEastAsia" w:cs="Segoe UI"/>
                <w:sz w:val="17"/>
                <w:szCs w:val="17"/>
                <w:lang w:eastAsia="zh-TW"/>
              </w:rPr>
              <w:t>、</w:t>
            </w:r>
            <w:r w:rsidRPr="00CA7301">
              <w:rPr>
                <w:rFonts w:cs="Segoe UI"/>
                <w:sz w:val="17"/>
                <w:szCs w:val="17"/>
                <w:lang w:eastAsia="zh-TW"/>
              </w:rPr>
              <w:t>SEC-SA</w:t>
            </w:r>
            <w:r w:rsidRPr="00CA7301">
              <w:rPr>
                <w:rFonts w:eastAsiaTheme="minorEastAsia" w:cs="Segoe UI"/>
                <w:sz w:val="17"/>
                <w:szCs w:val="17"/>
                <w:lang w:eastAsia="zh-TW"/>
              </w:rPr>
              <w:t>及</w:t>
            </w:r>
            <w:r w:rsidRPr="00CA7301">
              <w:rPr>
                <w:rFonts w:cs="Segoe UI"/>
                <w:sz w:val="17"/>
                <w:szCs w:val="17"/>
                <w:lang w:eastAsia="zh-TW"/>
              </w:rPr>
              <w:t xml:space="preserve"> SEC-FBA</w:t>
            </w:r>
            <w:r w:rsidRPr="00CA7301">
              <w:rPr>
                <w:rFonts w:eastAsia="新細明體" w:cs="Segoe UI"/>
                <w:sz w:val="17"/>
                <w:szCs w:val="17"/>
                <w:lang w:eastAsia="zh-TW"/>
              </w:rPr>
              <w:t>的一般銀行業務風險監管儲備及集體準備金；以</w:t>
            </w:r>
            <w:r w:rsidRPr="00CA7301">
              <w:rPr>
                <w:rFonts w:cs="Segoe UI"/>
                <w:sz w:val="17"/>
                <w:szCs w:val="17"/>
                <w:lang w:eastAsia="zh-TW"/>
              </w:rPr>
              <w:t>IRB</w:t>
            </w:r>
            <w:r w:rsidRPr="00CA7301">
              <w:rPr>
                <w:rFonts w:eastAsia="新細明體" w:cs="Segoe UI"/>
                <w:sz w:val="17"/>
                <w:szCs w:val="17"/>
                <w:lang w:eastAsia="zh-TW"/>
              </w:rPr>
              <w:t>計算法計算的風險承擔的超額準備金，以及機構分配予</w:t>
            </w:r>
            <w:r w:rsidRPr="00CA7301">
              <w:rPr>
                <w:rFonts w:cs="Segoe UI"/>
                <w:sz w:val="17"/>
                <w:szCs w:val="17"/>
                <w:lang w:eastAsia="zh-TW"/>
              </w:rPr>
              <w:t>SEC-IRBA</w:t>
            </w:r>
            <w:r w:rsidRPr="00CA7301">
              <w:rPr>
                <w:rFonts w:eastAsia="新細明體" w:cs="Segoe UI"/>
                <w:sz w:val="17"/>
                <w:szCs w:val="17"/>
                <w:lang w:eastAsia="zh-TW"/>
              </w:rPr>
              <w:t>的一般銀行業務風險監管儲備及集體準備金總額的部分的合計總額。</w:t>
            </w:r>
          </w:p>
        </w:tc>
      </w:tr>
      <w:tr w:rsidR="00CA1B87" w:rsidRPr="00CA7301" w14:paraId="04CE08EB" w14:textId="77777777" w:rsidTr="00F62652">
        <w:trPr>
          <w:trHeight w:val="373"/>
        </w:trPr>
        <w:tc>
          <w:tcPr>
            <w:tcW w:w="551" w:type="dxa"/>
          </w:tcPr>
          <w:p w14:paraId="1CA7A70E"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51</w:t>
            </w:r>
          </w:p>
        </w:tc>
        <w:tc>
          <w:tcPr>
            <w:tcW w:w="8663" w:type="dxa"/>
          </w:tcPr>
          <w:p w14:paraId="66C092D6" w14:textId="53457F59"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第</w:t>
            </w:r>
            <w:r w:rsidRPr="00CA7301">
              <w:rPr>
                <w:rFonts w:cs="Segoe UI"/>
                <w:sz w:val="17"/>
                <w:szCs w:val="17"/>
                <w:lang w:eastAsia="zh-TW"/>
              </w:rPr>
              <w:t>46</w:t>
            </w:r>
            <w:r w:rsidR="00292EB6" w:rsidRPr="00292EB6">
              <w:rPr>
                <w:rFonts w:ascii="微軟正黑體" w:eastAsia="微軟正黑體" w:hAnsi="微軟正黑體" w:cs="微軟正黑體" w:hint="eastAsia"/>
                <w:sz w:val="17"/>
                <w:szCs w:val="17"/>
                <w:lang w:eastAsia="zh-TW"/>
              </w:rPr>
              <w:t>、</w:t>
            </w:r>
            <w:r w:rsidRPr="00CA7301">
              <w:rPr>
                <w:rFonts w:cs="Segoe UI"/>
                <w:sz w:val="17"/>
                <w:szCs w:val="17"/>
                <w:lang w:eastAsia="zh-TW"/>
              </w:rPr>
              <w:t>48</w:t>
            </w:r>
            <w:r w:rsidRPr="00CA7301">
              <w:rPr>
                <w:rFonts w:eastAsia="新細明體" w:cs="Segoe UI"/>
                <w:sz w:val="17"/>
                <w:szCs w:val="17"/>
                <w:lang w:eastAsia="zh-TW"/>
              </w:rPr>
              <w:t>及</w:t>
            </w:r>
            <w:r w:rsidRPr="00CA7301">
              <w:rPr>
                <w:rFonts w:cs="Segoe UI"/>
                <w:sz w:val="17"/>
                <w:szCs w:val="17"/>
                <w:lang w:eastAsia="zh-TW"/>
              </w:rPr>
              <w:t>50</w:t>
            </w:r>
            <w:r w:rsidRPr="00CA7301">
              <w:rPr>
                <w:rFonts w:eastAsiaTheme="minorEastAsia" w:cs="Segoe UI"/>
                <w:sz w:val="17"/>
                <w:szCs w:val="17"/>
                <w:lang w:eastAsia="zh-TW"/>
              </w:rPr>
              <w:t>行</w:t>
            </w:r>
            <w:r w:rsidRPr="00CA7301">
              <w:rPr>
                <w:rFonts w:eastAsia="新細明體" w:cs="Segoe UI"/>
                <w:sz w:val="17"/>
                <w:szCs w:val="17"/>
                <w:lang w:eastAsia="zh-TW"/>
              </w:rPr>
              <w:t>相加的總和。</w:t>
            </w:r>
          </w:p>
        </w:tc>
      </w:tr>
      <w:tr w:rsidR="00CA1B87" w:rsidRPr="00CA7301" w14:paraId="0EC743E7" w14:textId="77777777" w:rsidTr="00F62652">
        <w:trPr>
          <w:trHeight w:val="373"/>
        </w:trPr>
        <w:tc>
          <w:tcPr>
            <w:tcW w:w="551" w:type="dxa"/>
          </w:tcPr>
          <w:p w14:paraId="6F38C56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52</w:t>
            </w:r>
          </w:p>
        </w:tc>
        <w:tc>
          <w:tcPr>
            <w:tcW w:w="8663" w:type="dxa"/>
          </w:tcPr>
          <w:p w14:paraId="6FFB17A7"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48(1)(a)</w:t>
            </w:r>
            <w:r w:rsidRPr="00CA7301">
              <w:rPr>
                <w:rFonts w:eastAsia="新細明體" w:cs="Segoe UI"/>
                <w:sz w:val="17"/>
                <w:szCs w:val="17"/>
                <w:lang w:eastAsia="zh-TW"/>
              </w:rPr>
              <w:t>條所述於機構本身的二級資本票據的投資。</w:t>
            </w:r>
          </w:p>
        </w:tc>
      </w:tr>
      <w:tr w:rsidR="00CA1B87" w:rsidRPr="00CA7301" w14:paraId="4A5E75BD" w14:textId="77777777" w:rsidTr="00F62652">
        <w:trPr>
          <w:trHeight w:val="373"/>
        </w:trPr>
        <w:tc>
          <w:tcPr>
            <w:tcW w:w="551" w:type="dxa"/>
          </w:tcPr>
          <w:p w14:paraId="0D84AD7E"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53</w:t>
            </w:r>
          </w:p>
        </w:tc>
        <w:tc>
          <w:tcPr>
            <w:tcW w:w="8663" w:type="dxa"/>
          </w:tcPr>
          <w:p w14:paraId="36007392"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《資本規則》第</w:t>
            </w:r>
            <w:r w:rsidRPr="00CA7301">
              <w:rPr>
                <w:rFonts w:cs="Segoe UI"/>
                <w:sz w:val="17"/>
                <w:szCs w:val="17"/>
                <w:lang w:eastAsia="zh-TW"/>
              </w:rPr>
              <w:t>48(1)(b)</w:t>
            </w:r>
            <w:r w:rsidRPr="00CA7301">
              <w:rPr>
                <w:rFonts w:eastAsia="新細明體" w:cs="Segoe UI"/>
                <w:sz w:val="17"/>
                <w:szCs w:val="17"/>
                <w:lang w:eastAsia="zh-TW"/>
              </w:rPr>
              <w:t>條所述互相交叉持有的二級資本票據</w:t>
            </w:r>
            <w:r w:rsidR="00654621">
              <w:rPr>
                <w:rFonts w:eastAsia="新細明體" w:cs="Segoe UI" w:hint="eastAsia"/>
                <w:sz w:val="17"/>
                <w:szCs w:val="17"/>
                <w:lang w:eastAsia="zh-TW"/>
              </w:rPr>
              <w:t>及</w:t>
            </w:r>
            <w:r w:rsidR="00654621" w:rsidRPr="00697865">
              <w:rPr>
                <w:rFonts w:eastAsia="新細明體" w:cs="Segoe UI" w:hint="eastAsia"/>
                <w:sz w:val="17"/>
                <w:szCs w:val="17"/>
                <w:lang w:eastAsia="zh-TW"/>
              </w:rPr>
              <w:t>非資本</w:t>
            </w:r>
            <w:r w:rsidR="00654621" w:rsidRPr="00697865">
              <w:rPr>
                <w:rFonts w:eastAsia="新細明體" w:cs="Segoe UI"/>
                <w:sz w:val="17"/>
                <w:szCs w:val="17"/>
                <w:lang w:eastAsia="zh-TW"/>
              </w:rPr>
              <w:t>LAC</w:t>
            </w:r>
            <w:r w:rsidR="00654621" w:rsidRPr="00697865">
              <w:rPr>
                <w:rFonts w:eastAsia="新細明體" w:cs="Segoe UI" w:hint="eastAsia"/>
                <w:sz w:val="17"/>
                <w:szCs w:val="17"/>
                <w:lang w:eastAsia="zh-TW"/>
              </w:rPr>
              <w:t>負債</w:t>
            </w:r>
            <w:r w:rsidRPr="00CA7301">
              <w:rPr>
                <w:rFonts w:eastAsia="新細明體" w:cs="Segoe UI"/>
                <w:sz w:val="17"/>
                <w:szCs w:val="17"/>
                <w:lang w:eastAsia="zh-TW"/>
              </w:rPr>
              <w:t>。</w:t>
            </w:r>
          </w:p>
        </w:tc>
      </w:tr>
      <w:tr w:rsidR="00CA1B87" w:rsidRPr="00CA7301" w14:paraId="21A5CC26" w14:textId="77777777" w:rsidTr="00F62652">
        <w:trPr>
          <w:trHeight w:val="373"/>
        </w:trPr>
        <w:tc>
          <w:tcPr>
            <w:tcW w:w="551" w:type="dxa"/>
          </w:tcPr>
          <w:p w14:paraId="24D7BB5D"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54</w:t>
            </w:r>
          </w:p>
        </w:tc>
        <w:tc>
          <w:tcPr>
            <w:tcW w:w="8663" w:type="dxa"/>
          </w:tcPr>
          <w:p w14:paraId="033BA140" w14:textId="77777777" w:rsidR="00CA1B87" w:rsidRPr="00CA7301" w:rsidRDefault="00CA1B87" w:rsidP="001E2BEC">
            <w:pPr>
              <w:spacing w:before="40" w:after="40"/>
              <w:jc w:val="both"/>
              <w:rPr>
                <w:rFonts w:cs="Segoe UI"/>
                <w:sz w:val="17"/>
                <w:szCs w:val="17"/>
                <w:lang w:eastAsia="zh-TW"/>
              </w:rPr>
            </w:pPr>
            <w:r w:rsidRPr="00CA7301">
              <w:rPr>
                <w:rFonts w:eastAsia="新細明體" w:cs="Segoe UI"/>
                <w:sz w:val="17"/>
                <w:szCs w:val="17"/>
                <w:lang w:eastAsia="zh-TW"/>
              </w:rPr>
              <w:t>按照《資本規則》第</w:t>
            </w:r>
            <w:r w:rsidRPr="00CA7301">
              <w:rPr>
                <w:rFonts w:cs="Segoe UI"/>
                <w:sz w:val="17"/>
                <w:szCs w:val="17"/>
                <w:lang w:eastAsia="zh-TW"/>
              </w:rPr>
              <w:t>4</w:t>
            </w:r>
            <w:r w:rsidRPr="00CA7301">
              <w:rPr>
                <w:rFonts w:eastAsiaTheme="minorEastAsia" w:cs="Segoe UI"/>
                <w:sz w:val="17"/>
                <w:szCs w:val="17"/>
                <w:lang w:eastAsia="zh-TW"/>
              </w:rPr>
              <w:t>8</w:t>
            </w:r>
            <w:r w:rsidRPr="00CA7301">
              <w:rPr>
                <w:rFonts w:cs="Segoe UI"/>
                <w:sz w:val="17"/>
                <w:szCs w:val="17"/>
                <w:lang w:eastAsia="zh-TW"/>
              </w:rPr>
              <w:t>(1)(c)</w:t>
            </w:r>
            <w:proofErr w:type="gramStart"/>
            <w:r w:rsidRPr="00CA7301">
              <w:rPr>
                <w:rFonts w:eastAsia="新細明體" w:cs="Segoe UI"/>
                <w:sz w:val="17"/>
                <w:szCs w:val="17"/>
                <w:lang w:eastAsia="zh-TW"/>
              </w:rPr>
              <w:t>條須從</w:t>
            </w:r>
            <w:proofErr w:type="gramEnd"/>
            <w:r w:rsidRPr="00CA7301">
              <w:rPr>
                <w:rFonts w:eastAsiaTheme="minorEastAsia" w:cs="Segoe UI"/>
                <w:sz w:val="17"/>
                <w:szCs w:val="17"/>
                <w:lang w:eastAsia="zh-TW"/>
              </w:rPr>
              <w:t>二級</w:t>
            </w:r>
            <w:r w:rsidRPr="00CA7301">
              <w:rPr>
                <w:rFonts w:eastAsia="新細明體" w:cs="Segoe UI"/>
                <w:sz w:val="17"/>
                <w:szCs w:val="17"/>
                <w:lang w:eastAsia="zh-TW"/>
              </w:rPr>
              <w:t>資本扣減</w:t>
            </w:r>
            <w:r w:rsidR="001E2BEC">
              <w:rPr>
                <w:rFonts w:eastAsia="新細明體" w:cs="Segoe UI" w:hint="eastAsia"/>
                <w:sz w:val="17"/>
                <w:szCs w:val="17"/>
                <w:lang w:eastAsia="zh-TW"/>
              </w:rPr>
              <w:t>，並</w:t>
            </w:r>
            <w:r w:rsidRPr="00CA7301">
              <w:rPr>
                <w:rFonts w:eastAsia="新細明體" w:cs="Segoe UI"/>
                <w:sz w:val="17"/>
                <w:szCs w:val="17"/>
                <w:lang w:eastAsia="zh-TW"/>
              </w:rPr>
              <w:t>根據附表</w:t>
            </w:r>
            <w:r w:rsidRPr="00CA7301">
              <w:rPr>
                <w:rFonts w:cs="Segoe UI"/>
                <w:sz w:val="17"/>
                <w:szCs w:val="17"/>
                <w:lang w:eastAsia="zh-TW"/>
              </w:rPr>
              <w:t>4F</w:t>
            </w:r>
            <w:r w:rsidRPr="00CA7301">
              <w:rPr>
                <w:rFonts w:eastAsia="新細明體" w:cs="Segoe UI"/>
                <w:sz w:val="17"/>
                <w:szCs w:val="17"/>
                <w:lang w:eastAsia="zh-TW"/>
              </w:rPr>
              <w:t>所述超出於</w:t>
            </w:r>
            <w:r w:rsidRPr="00CA7301">
              <w:rPr>
                <w:rFonts w:cs="Segoe UI"/>
                <w:sz w:val="17"/>
                <w:szCs w:val="17"/>
                <w:lang w:eastAsia="zh-TW"/>
              </w:rPr>
              <w:t>10%</w:t>
            </w:r>
            <w:r w:rsidRPr="00CA7301">
              <w:rPr>
                <w:rFonts w:eastAsia="新細明體" w:cs="Segoe UI"/>
                <w:sz w:val="17"/>
                <w:szCs w:val="17"/>
                <w:lang w:eastAsia="zh-TW"/>
              </w:rPr>
              <w:t>門檻的於在監管綜合計算的範圍以外的金融業實體發行的</w:t>
            </w:r>
            <w:r w:rsidRPr="00CA7301">
              <w:rPr>
                <w:rFonts w:eastAsiaTheme="minorEastAsia" w:cs="Segoe UI"/>
                <w:sz w:val="17"/>
                <w:szCs w:val="17"/>
                <w:lang w:eastAsia="zh-TW"/>
              </w:rPr>
              <w:t>二級</w:t>
            </w:r>
            <w:r w:rsidRPr="00CA7301">
              <w:rPr>
                <w:rFonts w:eastAsia="新細明體" w:cs="Segoe UI"/>
                <w:sz w:val="17"/>
                <w:szCs w:val="17"/>
                <w:lang w:eastAsia="zh-TW"/>
              </w:rPr>
              <w:t>資本票據</w:t>
            </w:r>
            <w:r w:rsidR="007F7971">
              <w:rPr>
                <w:rFonts w:eastAsia="新細明體" w:cs="Segoe UI" w:hint="eastAsia"/>
                <w:sz w:val="17"/>
                <w:szCs w:val="17"/>
                <w:lang w:eastAsia="zh-TW"/>
              </w:rPr>
              <w:t>及</w:t>
            </w:r>
            <w:r w:rsidR="007F7971" w:rsidRPr="00697865">
              <w:rPr>
                <w:rFonts w:eastAsia="新細明體" w:cs="Segoe UI" w:hint="eastAsia"/>
                <w:sz w:val="17"/>
                <w:szCs w:val="17"/>
                <w:lang w:eastAsia="zh-TW"/>
              </w:rPr>
              <w:t>非資本</w:t>
            </w:r>
            <w:r w:rsidR="007F7971" w:rsidRPr="00697865">
              <w:rPr>
                <w:rFonts w:eastAsia="新細明體" w:cs="Segoe UI"/>
                <w:sz w:val="17"/>
                <w:szCs w:val="17"/>
                <w:lang w:eastAsia="zh-TW"/>
              </w:rPr>
              <w:t>LAC</w:t>
            </w:r>
            <w:r w:rsidR="007F7971" w:rsidRPr="00697865">
              <w:rPr>
                <w:rFonts w:eastAsia="新細明體" w:cs="Segoe UI" w:hint="eastAsia"/>
                <w:sz w:val="17"/>
                <w:szCs w:val="17"/>
                <w:lang w:eastAsia="zh-TW"/>
              </w:rPr>
              <w:t>負債</w:t>
            </w:r>
            <w:r w:rsidRPr="00CA7301">
              <w:rPr>
                <w:rFonts w:eastAsia="新細明體" w:cs="Segoe UI"/>
                <w:sz w:val="17"/>
                <w:szCs w:val="17"/>
                <w:lang w:eastAsia="zh-TW"/>
              </w:rPr>
              <w:t>的非重大</w:t>
            </w:r>
            <w:r w:rsidR="007F7971">
              <w:rPr>
                <w:rFonts w:eastAsia="新細明體" w:cs="Segoe UI" w:hint="eastAsia"/>
                <w:sz w:val="17"/>
                <w:szCs w:val="17"/>
                <w:lang w:eastAsia="zh-TW"/>
              </w:rPr>
              <w:t>LAC</w:t>
            </w:r>
            <w:r w:rsidRPr="00CA7301">
              <w:rPr>
                <w:rFonts w:eastAsia="新細明體" w:cs="Segoe UI"/>
                <w:sz w:val="17"/>
                <w:szCs w:val="17"/>
                <w:lang w:eastAsia="zh-TW"/>
              </w:rPr>
              <w:t>投資</w:t>
            </w:r>
            <w:r w:rsidR="00BA7D25" w:rsidRPr="00CA7301">
              <w:rPr>
                <w:rFonts w:eastAsia="新細明體" w:cs="Segoe UI"/>
                <w:sz w:val="17"/>
                <w:szCs w:val="17"/>
                <w:lang w:eastAsia="zh-TW"/>
              </w:rPr>
              <w:t>的數額</w:t>
            </w:r>
            <w:r w:rsidR="0057723B">
              <w:rPr>
                <w:rFonts w:eastAsia="新細明體" w:cs="Segoe UI" w:hint="eastAsia"/>
                <w:sz w:val="17"/>
                <w:szCs w:val="17"/>
                <w:lang w:eastAsia="zh-TW"/>
              </w:rPr>
              <w:t>（</w:t>
            </w:r>
            <w:r w:rsidR="00654621" w:rsidRPr="00CA7301">
              <w:rPr>
                <w:rFonts w:eastAsia="新細明體" w:cs="Segoe UI"/>
                <w:sz w:val="17"/>
                <w:szCs w:val="17"/>
                <w:lang w:eastAsia="zh-TW"/>
              </w:rPr>
              <w:t>已</w:t>
            </w:r>
            <w:r w:rsidRPr="00CA7301">
              <w:rPr>
                <w:rFonts w:eastAsiaTheme="majorEastAsia" w:cs="Segoe UI"/>
                <w:sz w:val="17"/>
                <w:szCs w:val="17"/>
                <w:lang w:eastAsia="zh-TW"/>
              </w:rPr>
              <w:t>扣除合資格短倉</w:t>
            </w:r>
            <w:r w:rsidR="0057723B">
              <w:rPr>
                <w:rFonts w:eastAsiaTheme="majorEastAsia" w:cs="Segoe UI" w:hint="eastAsia"/>
                <w:sz w:val="17"/>
                <w:szCs w:val="17"/>
                <w:lang w:eastAsia="zh-TW"/>
              </w:rPr>
              <w:t>）</w:t>
            </w:r>
            <w:r w:rsidR="00BA69A6" w:rsidRPr="00FA0E77">
              <w:rPr>
                <w:rFonts w:eastAsiaTheme="majorEastAsia" w:cs="Segoe UI" w:hint="eastAsia"/>
                <w:sz w:val="17"/>
                <w:szCs w:val="17"/>
                <w:lang w:eastAsia="zh-TW"/>
              </w:rPr>
              <w:t>，</w:t>
            </w:r>
            <w:r w:rsidR="001E2BEC" w:rsidRPr="00FA0E77">
              <w:rPr>
                <w:rFonts w:eastAsia="新細明體" w:cs="Segoe UI" w:hint="eastAsia"/>
                <w:sz w:val="17"/>
                <w:szCs w:val="17"/>
                <w:lang w:eastAsia="zh-TW"/>
              </w:rPr>
              <w:t>及（如適用）</w:t>
            </w:r>
            <w:r w:rsidR="00BA7D25">
              <w:rPr>
                <w:rFonts w:eastAsia="新細明體" w:cs="Segoe UI" w:hint="eastAsia"/>
                <w:sz w:val="17"/>
                <w:szCs w:val="17"/>
                <w:lang w:eastAsia="zh-TW"/>
              </w:rPr>
              <w:t>對該等實體的</w:t>
            </w:r>
            <w:r w:rsidR="001E2BEC" w:rsidRPr="00FA0E77">
              <w:rPr>
                <w:rFonts w:eastAsia="新細明體" w:cs="Segoe UI" w:hint="eastAsia"/>
                <w:sz w:val="17"/>
                <w:szCs w:val="17"/>
                <w:lang w:eastAsia="zh-TW"/>
              </w:rPr>
              <w:t>非資本</w:t>
            </w:r>
            <w:r w:rsidR="001E2BEC" w:rsidRPr="00FA0E77">
              <w:rPr>
                <w:rFonts w:eastAsia="新細明體" w:cs="Segoe UI"/>
                <w:sz w:val="17"/>
                <w:szCs w:val="17"/>
                <w:lang w:eastAsia="zh-TW"/>
              </w:rPr>
              <w:t>LAC</w:t>
            </w:r>
            <w:r w:rsidR="001E2BEC" w:rsidRPr="00FA0E77">
              <w:rPr>
                <w:rFonts w:eastAsia="新細明體" w:cs="Segoe UI" w:hint="eastAsia"/>
                <w:sz w:val="17"/>
                <w:szCs w:val="17"/>
                <w:lang w:eastAsia="zh-TW"/>
              </w:rPr>
              <w:t>負債總長倉</w:t>
            </w:r>
            <w:r w:rsidR="001E2BEC" w:rsidRPr="00FA0E77">
              <w:rPr>
                <w:rFonts w:eastAsia="新細明體" w:cs="Segoe UI"/>
                <w:sz w:val="17"/>
                <w:szCs w:val="17"/>
                <w:lang w:eastAsia="zh-TW"/>
              </w:rPr>
              <w:t>超出於</w:t>
            </w:r>
            <w:r w:rsidR="001E2BEC" w:rsidRPr="00FA0E77">
              <w:rPr>
                <w:rFonts w:eastAsia="新細明體" w:cs="Segoe UI" w:hint="eastAsia"/>
                <w:sz w:val="17"/>
                <w:szCs w:val="17"/>
                <w:lang w:eastAsia="zh-TW"/>
              </w:rPr>
              <w:t>5</w:t>
            </w:r>
            <w:r w:rsidR="001E2BEC" w:rsidRPr="00FA0E77">
              <w:rPr>
                <w:rFonts w:cs="Segoe UI"/>
                <w:sz w:val="17"/>
                <w:szCs w:val="17"/>
                <w:lang w:eastAsia="zh-TW"/>
              </w:rPr>
              <w:t>%</w:t>
            </w:r>
            <w:r w:rsidR="001E2BEC" w:rsidRPr="00FA0E77">
              <w:rPr>
                <w:rFonts w:eastAsia="新細明體" w:cs="Segoe UI"/>
                <w:sz w:val="17"/>
                <w:szCs w:val="17"/>
                <w:lang w:eastAsia="zh-TW"/>
              </w:rPr>
              <w:t>門檻</w:t>
            </w:r>
            <w:r w:rsidR="00BA69A6" w:rsidRPr="00FA0E77">
              <w:rPr>
                <w:rFonts w:eastAsia="新細明體" w:cs="Segoe UI" w:hint="eastAsia"/>
                <w:sz w:val="17"/>
                <w:szCs w:val="17"/>
                <w:lang w:eastAsia="zh-TW"/>
              </w:rPr>
              <w:t>之數</w:t>
            </w:r>
            <w:r w:rsidRPr="00FA0E77">
              <w:rPr>
                <w:rFonts w:eastAsia="新細明體" w:cs="Segoe UI"/>
                <w:sz w:val="17"/>
                <w:szCs w:val="17"/>
                <w:lang w:eastAsia="zh-TW"/>
              </w:rPr>
              <w:t>。</w:t>
            </w:r>
          </w:p>
        </w:tc>
      </w:tr>
      <w:tr w:rsidR="0057723B" w:rsidRPr="00CA7301" w14:paraId="1ECA6692" w14:textId="77777777" w:rsidTr="00F62652">
        <w:trPr>
          <w:trHeight w:val="373"/>
        </w:trPr>
        <w:tc>
          <w:tcPr>
            <w:tcW w:w="551" w:type="dxa"/>
          </w:tcPr>
          <w:p w14:paraId="7095949D" w14:textId="77777777" w:rsidR="0057723B" w:rsidRPr="0057723B" w:rsidRDefault="0057723B" w:rsidP="00CA1B87">
            <w:pPr>
              <w:keepLines/>
              <w:widowControl w:val="0"/>
              <w:tabs>
                <w:tab w:val="left" w:pos="150"/>
                <w:tab w:val="left" w:pos="397"/>
                <w:tab w:val="left" w:pos="794"/>
                <w:tab w:val="left" w:pos="1191"/>
              </w:tabs>
              <w:spacing w:before="40" w:after="40"/>
              <w:rPr>
                <w:rFonts w:cs="Segoe UI"/>
                <w:sz w:val="17"/>
                <w:szCs w:val="17"/>
                <w:lang w:eastAsia="en-GB"/>
              </w:rPr>
            </w:pPr>
            <w:r w:rsidRPr="0057723B">
              <w:rPr>
                <w:sz w:val="17"/>
                <w:szCs w:val="17"/>
                <w:lang w:eastAsia="en-GB"/>
              </w:rPr>
              <w:t>54a</w:t>
            </w:r>
          </w:p>
        </w:tc>
        <w:tc>
          <w:tcPr>
            <w:tcW w:w="8663" w:type="dxa"/>
          </w:tcPr>
          <w:p w14:paraId="35732E77" w14:textId="77777777" w:rsidR="00FA0E77" w:rsidRPr="00CA7301" w:rsidRDefault="008027BA" w:rsidP="00B040DD">
            <w:pPr>
              <w:spacing w:before="40" w:after="40"/>
              <w:jc w:val="both"/>
              <w:rPr>
                <w:rFonts w:eastAsia="新細明體" w:cs="Segoe UI"/>
                <w:sz w:val="17"/>
                <w:szCs w:val="17"/>
                <w:lang w:eastAsia="zh-TW"/>
              </w:rPr>
            </w:pPr>
            <w:r w:rsidRPr="008027BA">
              <w:rPr>
                <w:rFonts w:eastAsia="新細明體" w:cs="Segoe UI" w:hint="eastAsia"/>
                <w:sz w:val="17"/>
                <w:szCs w:val="17"/>
                <w:lang w:eastAsia="zh-TW"/>
              </w:rPr>
              <w:t>之前</w:t>
            </w:r>
            <w:r w:rsidR="00FA0E77">
              <w:rPr>
                <w:rFonts w:eastAsia="新細明體" w:cs="Segoe UI" w:hint="eastAsia"/>
                <w:sz w:val="17"/>
                <w:szCs w:val="17"/>
                <w:lang w:eastAsia="zh-TW"/>
              </w:rPr>
              <w:t>被</w:t>
            </w:r>
            <w:r w:rsidRPr="008027BA">
              <w:rPr>
                <w:rFonts w:eastAsia="新細明體" w:cs="Segoe UI" w:hint="eastAsia"/>
                <w:sz w:val="17"/>
                <w:szCs w:val="17"/>
                <w:lang w:eastAsia="zh-TW"/>
              </w:rPr>
              <w:t>指定</w:t>
            </w:r>
            <w:r w:rsidR="00BA7D25">
              <w:rPr>
                <w:rFonts w:eastAsia="新細明體" w:cs="Segoe UI" w:hint="eastAsia"/>
                <w:sz w:val="17"/>
                <w:szCs w:val="17"/>
                <w:lang w:eastAsia="zh-TW"/>
              </w:rPr>
              <w:t>為</w:t>
            </w:r>
            <w:r w:rsidR="00186097">
              <w:rPr>
                <w:rFonts w:eastAsia="新細明體" w:cs="Segoe UI" w:hint="eastAsia"/>
                <w:sz w:val="17"/>
                <w:szCs w:val="17"/>
                <w:lang w:eastAsia="zh-TW"/>
              </w:rPr>
              <w:t>屬</w:t>
            </w:r>
            <w:r w:rsidRPr="008027BA">
              <w:rPr>
                <w:rFonts w:eastAsia="新細明體" w:cs="Segoe UI"/>
                <w:sz w:val="17"/>
                <w:szCs w:val="17"/>
                <w:lang w:eastAsia="zh-TW"/>
              </w:rPr>
              <w:t>5%</w:t>
            </w:r>
            <w:r>
              <w:rPr>
                <w:rFonts w:eastAsia="新細明體" w:cs="Segoe UI" w:hint="eastAsia"/>
                <w:sz w:val="17"/>
                <w:szCs w:val="17"/>
                <w:lang w:eastAsia="zh-TW"/>
              </w:rPr>
              <w:t>門檻</w:t>
            </w:r>
            <w:r w:rsidR="0012484E" w:rsidRPr="0012484E">
              <w:rPr>
                <w:rFonts w:eastAsia="新細明體" w:cs="Segoe UI" w:hint="eastAsia"/>
                <w:sz w:val="17"/>
                <w:szCs w:val="17"/>
                <w:lang w:eastAsia="zh-TW"/>
              </w:rPr>
              <w:t>類別</w:t>
            </w:r>
            <w:r>
              <w:rPr>
                <w:rFonts w:eastAsia="新細明體" w:cs="Segoe UI" w:hint="eastAsia"/>
                <w:sz w:val="17"/>
                <w:szCs w:val="17"/>
                <w:lang w:eastAsia="zh-TW"/>
              </w:rPr>
              <w:t>但及後不再符合</w:t>
            </w:r>
            <w:r w:rsidRPr="00CA7301">
              <w:rPr>
                <w:rFonts w:eastAsia="新細明體" w:cs="Segoe UI"/>
                <w:sz w:val="17"/>
                <w:szCs w:val="17"/>
                <w:lang w:eastAsia="zh-TW"/>
              </w:rPr>
              <w:t>《資本規則》附表</w:t>
            </w:r>
            <w:r w:rsidRPr="00CA7301">
              <w:rPr>
                <w:rFonts w:cs="Segoe UI"/>
                <w:sz w:val="17"/>
                <w:szCs w:val="17"/>
                <w:lang w:eastAsia="zh-TW"/>
              </w:rPr>
              <w:t>4F</w:t>
            </w:r>
            <w:r w:rsidRPr="00CA7301">
              <w:rPr>
                <w:rFonts w:eastAsia="新細明體" w:cs="Segoe UI"/>
                <w:sz w:val="17"/>
                <w:szCs w:val="17"/>
                <w:lang w:eastAsia="zh-TW"/>
              </w:rPr>
              <w:t>所</w:t>
            </w:r>
            <w:r w:rsidRPr="008027BA">
              <w:rPr>
                <w:rFonts w:eastAsia="新細明體" w:cs="Segoe UI" w:hint="eastAsia"/>
                <w:sz w:val="17"/>
                <w:szCs w:val="17"/>
                <w:lang w:eastAsia="zh-TW"/>
              </w:rPr>
              <w:t>指定</w:t>
            </w:r>
            <w:r>
              <w:rPr>
                <w:rFonts w:eastAsia="新細明體" w:cs="Segoe UI" w:hint="eastAsia"/>
                <w:sz w:val="17"/>
                <w:szCs w:val="17"/>
                <w:lang w:eastAsia="zh-TW"/>
              </w:rPr>
              <w:t>的</w:t>
            </w:r>
            <w:r w:rsidR="0012484E" w:rsidRPr="0012484E">
              <w:rPr>
                <w:rFonts w:eastAsia="新細明體" w:cs="Segoe UI" w:hint="eastAsia"/>
                <w:sz w:val="17"/>
                <w:szCs w:val="17"/>
                <w:lang w:eastAsia="zh-TW"/>
              </w:rPr>
              <w:t>門檻</w:t>
            </w:r>
            <w:r>
              <w:rPr>
                <w:rFonts w:eastAsia="新細明體" w:cs="Segoe UI" w:hint="eastAsia"/>
                <w:sz w:val="17"/>
                <w:szCs w:val="17"/>
                <w:lang w:eastAsia="zh-TW"/>
              </w:rPr>
              <w:t>條件</w:t>
            </w:r>
            <w:r w:rsidR="00B91EE8">
              <w:rPr>
                <w:rFonts w:eastAsia="新細明體" w:cs="Segoe UI" w:hint="eastAsia"/>
                <w:sz w:val="17"/>
                <w:szCs w:val="17"/>
                <w:lang w:eastAsia="zh-TW"/>
              </w:rPr>
              <w:t>、</w:t>
            </w:r>
            <w:r w:rsidRPr="00CA7301">
              <w:rPr>
                <w:rFonts w:eastAsia="新細明體" w:cs="Segoe UI"/>
                <w:sz w:val="17"/>
                <w:szCs w:val="17"/>
                <w:lang w:eastAsia="zh-TW"/>
              </w:rPr>
              <w:t>於在監管綜合計算的範圍以外的金融業實體</w:t>
            </w:r>
            <w:r w:rsidRPr="00697865">
              <w:rPr>
                <w:rFonts w:eastAsia="新細明體" w:cs="Segoe UI" w:hint="eastAsia"/>
                <w:sz w:val="17"/>
                <w:szCs w:val="17"/>
                <w:lang w:eastAsia="zh-TW"/>
              </w:rPr>
              <w:t>非資本</w:t>
            </w:r>
            <w:r w:rsidRPr="00697865">
              <w:rPr>
                <w:rFonts w:eastAsia="新細明體" w:cs="Segoe UI"/>
                <w:sz w:val="17"/>
                <w:szCs w:val="17"/>
                <w:lang w:eastAsia="zh-TW"/>
              </w:rPr>
              <w:t>LAC</w:t>
            </w:r>
            <w:r w:rsidRPr="00697865">
              <w:rPr>
                <w:rFonts w:eastAsia="新細明體" w:cs="Segoe UI" w:hint="eastAsia"/>
                <w:sz w:val="17"/>
                <w:szCs w:val="17"/>
                <w:lang w:eastAsia="zh-TW"/>
              </w:rPr>
              <w:t>負債</w:t>
            </w:r>
            <w:r w:rsidRPr="00CA7301">
              <w:rPr>
                <w:rFonts w:eastAsia="新細明體" w:cs="Segoe UI"/>
                <w:sz w:val="17"/>
                <w:szCs w:val="17"/>
                <w:lang w:eastAsia="zh-TW"/>
              </w:rPr>
              <w:t>的非重大</w:t>
            </w:r>
            <w:r>
              <w:rPr>
                <w:rFonts w:eastAsia="新細明體" w:cs="Segoe UI" w:hint="eastAsia"/>
                <w:sz w:val="17"/>
                <w:szCs w:val="17"/>
                <w:lang w:eastAsia="zh-TW"/>
              </w:rPr>
              <w:t>LAC</w:t>
            </w:r>
            <w:r w:rsidRPr="00CA7301">
              <w:rPr>
                <w:rFonts w:eastAsia="新細明體" w:cs="Segoe UI"/>
                <w:sz w:val="17"/>
                <w:szCs w:val="17"/>
                <w:lang w:eastAsia="zh-TW"/>
              </w:rPr>
              <w:t>投資</w:t>
            </w:r>
            <w:r w:rsidR="00B040DD" w:rsidRPr="00CA7301">
              <w:rPr>
                <w:rFonts w:eastAsia="新細明體" w:cs="Segoe UI"/>
                <w:sz w:val="17"/>
                <w:szCs w:val="17"/>
                <w:lang w:eastAsia="zh-TW"/>
              </w:rPr>
              <w:t>的數額</w:t>
            </w:r>
            <w:r w:rsidR="00F847DD">
              <w:rPr>
                <w:rFonts w:eastAsiaTheme="minorEastAsia" w:cs="Segoe UI" w:hint="eastAsia"/>
                <w:sz w:val="17"/>
                <w:szCs w:val="17"/>
                <w:lang w:eastAsia="zh-TW"/>
              </w:rPr>
              <w:t>，</w:t>
            </w:r>
            <w:r w:rsidR="00FA0E77">
              <w:rPr>
                <w:rFonts w:eastAsiaTheme="minorEastAsia" w:cs="Segoe UI" w:hint="eastAsia"/>
                <w:sz w:val="17"/>
                <w:szCs w:val="17"/>
                <w:lang w:eastAsia="zh-TW"/>
              </w:rPr>
              <w:t>並</w:t>
            </w:r>
            <w:r w:rsidR="00B040DD">
              <w:rPr>
                <w:rFonts w:eastAsia="新細明體" w:cs="Segoe UI" w:hint="eastAsia"/>
                <w:sz w:val="17"/>
                <w:szCs w:val="17"/>
                <w:lang w:eastAsia="zh-TW"/>
              </w:rPr>
              <w:t>且該</w:t>
            </w:r>
            <w:r w:rsidR="00B040DD" w:rsidRPr="00CA7301">
              <w:rPr>
                <w:rFonts w:eastAsia="新細明體" w:cs="Segoe UI"/>
                <w:sz w:val="17"/>
                <w:szCs w:val="17"/>
                <w:lang w:eastAsia="zh-TW"/>
              </w:rPr>
              <w:t>數額</w:t>
            </w:r>
            <w:r w:rsidR="00FA0E77">
              <w:rPr>
                <w:rFonts w:eastAsiaTheme="minorEastAsia" w:cs="Segoe UI" w:hint="eastAsia"/>
                <w:sz w:val="17"/>
                <w:szCs w:val="17"/>
                <w:lang w:eastAsia="zh-TW"/>
              </w:rPr>
              <w:t>以總長倉</w:t>
            </w:r>
            <w:r w:rsidR="00B91EE8">
              <w:rPr>
                <w:rFonts w:eastAsiaTheme="minorEastAsia" w:cs="Segoe UI" w:hint="eastAsia"/>
                <w:sz w:val="17"/>
                <w:szCs w:val="17"/>
                <w:lang w:eastAsia="zh-TW"/>
              </w:rPr>
              <w:t>為</w:t>
            </w:r>
            <w:r w:rsidR="00B040DD">
              <w:rPr>
                <w:rFonts w:eastAsiaTheme="minorEastAsia" w:cs="Segoe UI"/>
                <w:sz w:val="17"/>
                <w:szCs w:val="17"/>
                <w:lang w:eastAsia="zh-TW"/>
              </w:rPr>
              <w:t>計</w:t>
            </w:r>
            <w:r w:rsidR="00B040DD">
              <w:rPr>
                <w:rFonts w:eastAsiaTheme="minorEastAsia" w:cs="Segoe UI" w:hint="eastAsia"/>
                <w:sz w:val="17"/>
                <w:szCs w:val="17"/>
                <w:lang w:eastAsia="zh-TW"/>
              </w:rPr>
              <w:t>算</w:t>
            </w:r>
            <w:r w:rsidR="00FA0E77">
              <w:rPr>
                <w:rFonts w:eastAsiaTheme="minorEastAsia" w:cs="Segoe UI" w:hint="eastAsia"/>
                <w:sz w:val="17"/>
                <w:szCs w:val="17"/>
                <w:lang w:eastAsia="zh-TW"/>
              </w:rPr>
              <w:t>基礎</w:t>
            </w:r>
            <w:r w:rsidR="00B91EE8">
              <w:rPr>
                <w:rFonts w:eastAsiaTheme="minorEastAsia" w:cs="Segoe UI" w:hint="eastAsia"/>
                <w:sz w:val="17"/>
                <w:szCs w:val="17"/>
                <w:lang w:eastAsia="zh-TW"/>
              </w:rPr>
              <w:t>。此行</w:t>
            </w:r>
            <w:r w:rsidR="00B91EE8" w:rsidRPr="00B91EE8">
              <w:rPr>
                <w:rFonts w:eastAsiaTheme="minorEastAsia" w:cs="Segoe UI" w:hint="eastAsia"/>
                <w:sz w:val="17"/>
                <w:szCs w:val="17"/>
                <w:lang w:eastAsia="zh-TW"/>
              </w:rPr>
              <w:t>只適用於「第</w:t>
            </w:r>
            <w:r w:rsidR="00B91EE8" w:rsidRPr="00B91EE8">
              <w:rPr>
                <w:rFonts w:eastAsiaTheme="minorEastAsia" w:cs="Segoe UI"/>
                <w:sz w:val="17"/>
                <w:szCs w:val="17"/>
                <w:lang w:eastAsia="zh-TW"/>
              </w:rPr>
              <w:t>2</w:t>
            </w:r>
            <w:r w:rsidR="00B91EE8" w:rsidRPr="00B91EE8">
              <w:rPr>
                <w:rFonts w:eastAsiaTheme="minorEastAsia" w:cs="Segoe UI" w:hint="eastAsia"/>
                <w:sz w:val="17"/>
                <w:szCs w:val="17"/>
                <w:lang w:eastAsia="zh-TW"/>
              </w:rPr>
              <w:t>條機構」</w:t>
            </w:r>
            <w:r w:rsidR="00B91EE8">
              <w:rPr>
                <w:rFonts w:eastAsiaTheme="minorEastAsia" w:cs="Segoe UI" w:hint="eastAsia"/>
                <w:sz w:val="17"/>
                <w:szCs w:val="17"/>
                <w:lang w:eastAsia="zh-TW"/>
              </w:rPr>
              <w:t>（按</w:t>
            </w:r>
            <w:r w:rsidR="00B91EE8" w:rsidRPr="00B91EE8">
              <w:rPr>
                <w:rFonts w:eastAsiaTheme="minorEastAsia" w:cs="Segoe UI" w:hint="eastAsia"/>
                <w:sz w:val="17"/>
                <w:szCs w:val="17"/>
                <w:lang w:eastAsia="zh-TW"/>
              </w:rPr>
              <w:t>《資本規則》附表</w:t>
            </w:r>
            <w:r w:rsidR="00B91EE8" w:rsidRPr="00B91EE8">
              <w:rPr>
                <w:rFonts w:eastAsiaTheme="minorEastAsia" w:cs="Segoe UI"/>
                <w:sz w:val="17"/>
                <w:szCs w:val="17"/>
                <w:lang w:eastAsia="zh-TW"/>
              </w:rPr>
              <w:t>4F</w:t>
            </w:r>
            <w:r w:rsidR="00B91EE8" w:rsidRPr="00B91EE8">
              <w:rPr>
                <w:rFonts w:eastAsiaTheme="minorEastAsia" w:cs="Segoe UI" w:hint="eastAsia"/>
                <w:sz w:val="17"/>
                <w:szCs w:val="17"/>
                <w:lang w:eastAsia="zh-TW"/>
              </w:rPr>
              <w:t>第</w:t>
            </w:r>
            <w:r w:rsidR="00B91EE8" w:rsidRPr="00B91EE8">
              <w:rPr>
                <w:rFonts w:eastAsiaTheme="minorEastAsia" w:cs="Segoe UI"/>
                <w:sz w:val="17"/>
                <w:szCs w:val="17"/>
                <w:lang w:eastAsia="zh-TW"/>
              </w:rPr>
              <w:t>2</w:t>
            </w:r>
            <w:r w:rsidR="00B91EE8" w:rsidRPr="00B91EE8">
              <w:rPr>
                <w:rFonts w:eastAsiaTheme="minorEastAsia" w:cs="Segoe UI" w:hint="eastAsia"/>
                <w:sz w:val="17"/>
                <w:szCs w:val="17"/>
                <w:lang w:eastAsia="zh-TW"/>
              </w:rPr>
              <w:t>條</w:t>
            </w:r>
            <w:r w:rsidR="00B91EE8">
              <w:rPr>
                <w:rFonts w:eastAsiaTheme="minorEastAsia" w:cs="Segoe UI" w:hint="eastAsia"/>
                <w:sz w:val="17"/>
                <w:szCs w:val="17"/>
                <w:lang w:eastAsia="zh-TW"/>
              </w:rPr>
              <w:t>的</w:t>
            </w:r>
            <w:r w:rsidR="00B91EE8" w:rsidRPr="00B91EE8">
              <w:rPr>
                <w:rFonts w:eastAsiaTheme="minorEastAsia" w:cs="Segoe UI" w:hint="eastAsia"/>
                <w:sz w:val="17"/>
                <w:szCs w:val="17"/>
                <w:lang w:eastAsia="zh-TW"/>
              </w:rPr>
              <w:t>定義</w:t>
            </w:r>
            <w:r w:rsidR="00B91EE8">
              <w:rPr>
                <w:rFonts w:eastAsiaTheme="minorEastAsia" w:cs="Segoe UI" w:hint="eastAsia"/>
                <w:sz w:val="17"/>
                <w:szCs w:val="17"/>
                <w:lang w:eastAsia="zh-TW"/>
              </w:rPr>
              <w:t>），並且</w:t>
            </w:r>
            <w:r w:rsidR="00B91EE8">
              <w:rPr>
                <w:rFonts w:eastAsia="新細明體" w:cs="Segoe UI" w:hint="eastAsia"/>
                <w:sz w:val="17"/>
                <w:szCs w:val="17"/>
                <w:lang w:eastAsia="zh-TW"/>
              </w:rPr>
              <w:t>被</w:t>
            </w:r>
            <w:r w:rsidR="00B91EE8" w:rsidRPr="008027BA">
              <w:rPr>
                <w:rFonts w:eastAsia="新細明體" w:cs="Segoe UI" w:hint="eastAsia"/>
                <w:sz w:val="17"/>
                <w:szCs w:val="17"/>
                <w:lang w:eastAsia="zh-TW"/>
              </w:rPr>
              <w:t>指定</w:t>
            </w:r>
            <w:r w:rsidR="00B040DD">
              <w:rPr>
                <w:rFonts w:eastAsia="新細明體" w:cs="Segoe UI" w:hint="eastAsia"/>
                <w:sz w:val="17"/>
                <w:szCs w:val="17"/>
                <w:lang w:eastAsia="zh-TW"/>
              </w:rPr>
              <w:t>為</w:t>
            </w:r>
            <w:r w:rsidR="00B91EE8">
              <w:rPr>
                <w:rFonts w:eastAsia="新細明體" w:cs="Segoe UI" w:hint="eastAsia"/>
                <w:sz w:val="17"/>
                <w:szCs w:val="17"/>
                <w:lang w:eastAsia="zh-TW"/>
              </w:rPr>
              <w:t>屬該門檻</w:t>
            </w:r>
            <w:r w:rsidR="0012484E" w:rsidRPr="0012484E">
              <w:rPr>
                <w:rFonts w:eastAsia="新細明體" w:cs="Segoe UI" w:hint="eastAsia"/>
                <w:sz w:val="17"/>
                <w:szCs w:val="17"/>
                <w:lang w:eastAsia="zh-TW"/>
              </w:rPr>
              <w:t>類別</w:t>
            </w:r>
            <w:r w:rsidR="00186097">
              <w:rPr>
                <w:rFonts w:eastAsia="新細明體" w:cs="Segoe UI" w:hint="eastAsia"/>
                <w:sz w:val="17"/>
                <w:szCs w:val="17"/>
                <w:lang w:eastAsia="zh-TW"/>
              </w:rPr>
              <w:t>而</w:t>
            </w:r>
            <w:r w:rsidR="00B91EE8">
              <w:rPr>
                <w:rFonts w:eastAsia="新細明體" w:cs="Segoe UI" w:hint="eastAsia"/>
                <w:sz w:val="17"/>
                <w:szCs w:val="17"/>
                <w:lang w:eastAsia="zh-TW"/>
              </w:rPr>
              <w:t>不可</w:t>
            </w:r>
            <w:r w:rsidR="00186097">
              <w:rPr>
                <w:rFonts w:eastAsia="新細明體" w:cs="Segoe UI" w:hint="eastAsia"/>
                <w:sz w:val="17"/>
                <w:szCs w:val="17"/>
                <w:lang w:eastAsia="zh-TW"/>
              </w:rPr>
              <w:t>隨後</w:t>
            </w:r>
            <w:r w:rsidR="00B040DD">
              <w:rPr>
                <w:rFonts w:eastAsia="新細明體" w:cs="Segoe UI" w:hint="eastAsia"/>
                <w:sz w:val="17"/>
                <w:szCs w:val="17"/>
                <w:lang w:eastAsia="zh-TW"/>
              </w:rPr>
              <w:t>回</w:t>
            </w:r>
            <w:r w:rsidR="00186097">
              <w:rPr>
                <w:rFonts w:eastAsia="新細明體" w:cs="Segoe UI" w:hint="eastAsia"/>
                <w:sz w:val="17"/>
                <w:szCs w:val="17"/>
                <w:lang w:eastAsia="zh-TW"/>
              </w:rPr>
              <w:t>撥</w:t>
            </w:r>
            <w:r w:rsidR="0012484E">
              <w:rPr>
                <w:rFonts w:eastAsia="新細明體" w:cs="Segoe UI" w:hint="eastAsia"/>
                <w:sz w:val="17"/>
                <w:szCs w:val="17"/>
                <w:lang w:eastAsia="zh-TW"/>
              </w:rPr>
              <w:t>至</w:t>
            </w:r>
            <w:r w:rsidR="00186097">
              <w:rPr>
                <w:rFonts w:eastAsia="新細明體" w:cs="Segoe UI" w:hint="eastAsia"/>
                <w:sz w:val="17"/>
                <w:szCs w:val="17"/>
                <w:lang w:eastAsia="zh-TW"/>
              </w:rPr>
              <w:t>10</w:t>
            </w:r>
            <w:r w:rsidR="00186097" w:rsidRPr="008027BA">
              <w:rPr>
                <w:rFonts w:eastAsia="新細明體" w:cs="Segoe UI"/>
                <w:sz w:val="17"/>
                <w:szCs w:val="17"/>
                <w:lang w:eastAsia="zh-TW"/>
              </w:rPr>
              <w:t>%</w:t>
            </w:r>
            <w:r w:rsidR="00186097">
              <w:rPr>
                <w:rFonts w:eastAsia="新細明體" w:cs="Segoe UI" w:hint="eastAsia"/>
                <w:sz w:val="17"/>
                <w:szCs w:val="17"/>
                <w:lang w:eastAsia="zh-TW"/>
              </w:rPr>
              <w:t>門檻</w:t>
            </w:r>
            <w:r w:rsidR="0012484E" w:rsidRPr="0012484E">
              <w:rPr>
                <w:rFonts w:eastAsia="新細明體" w:cs="Segoe UI" w:hint="eastAsia"/>
                <w:sz w:val="17"/>
                <w:szCs w:val="17"/>
                <w:lang w:eastAsia="zh-TW"/>
              </w:rPr>
              <w:t>類別</w:t>
            </w:r>
            <w:r w:rsidR="00186097">
              <w:rPr>
                <w:rFonts w:eastAsia="新細明體" w:cs="Segoe UI" w:hint="eastAsia"/>
                <w:sz w:val="17"/>
                <w:szCs w:val="17"/>
                <w:lang w:eastAsia="zh-TW"/>
              </w:rPr>
              <w:t>之</w:t>
            </w:r>
            <w:r w:rsidR="00186097">
              <w:rPr>
                <w:rFonts w:eastAsiaTheme="minorEastAsia" w:cs="Segoe UI" w:hint="eastAsia"/>
                <w:sz w:val="17"/>
                <w:szCs w:val="17"/>
                <w:lang w:eastAsia="zh-TW"/>
              </w:rPr>
              <w:t>數</w:t>
            </w:r>
            <w:r w:rsidR="00186097">
              <w:rPr>
                <w:rFonts w:eastAsia="新細明體" w:cs="Segoe UI" w:hint="eastAsia"/>
                <w:sz w:val="17"/>
                <w:szCs w:val="17"/>
                <w:lang w:eastAsia="zh-TW"/>
              </w:rPr>
              <w:t>。</w:t>
            </w:r>
            <w:r w:rsidR="00B2114D">
              <w:rPr>
                <w:rFonts w:eastAsiaTheme="minorEastAsia" w:cs="Segoe UI" w:hint="eastAsia"/>
                <w:sz w:val="17"/>
                <w:szCs w:val="17"/>
                <w:lang w:eastAsia="zh-TW"/>
              </w:rPr>
              <w:t>此行不</w:t>
            </w:r>
            <w:r w:rsidR="00B2114D" w:rsidRPr="00B91EE8">
              <w:rPr>
                <w:rFonts w:eastAsiaTheme="minorEastAsia" w:cs="Segoe UI" w:hint="eastAsia"/>
                <w:sz w:val="17"/>
                <w:szCs w:val="17"/>
                <w:lang w:eastAsia="zh-TW"/>
              </w:rPr>
              <w:t>適用於「第</w:t>
            </w:r>
            <w:r w:rsidR="00B2114D">
              <w:rPr>
                <w:rFonts w:eastAsiaTheme="minorEastAsia" w:cs="Segoe UI" w:hint="eastAsia"/>
                <w:sz w:val="17"/>
                <w:szCs w:val="17"/>
                <w:lang w:eastAsia="zh-TW"/>
              </w:rPr>
              <w:t>3</w:t>
            </w:r>
            <w:r w:rsidR="00B2114D" w:rsidRPr="00B91EE8">
              <w:rPr>
                <w:rFonts w:eastAsiaTheme="minorEastAsia" w:cs="Segoe UI" w:hint="eastAsia"/>
                <w:sz w:val="17"/>
                <w:szCs w:val="17"/>
                <w:lang w:eastAsia="zh-TW"/>
              </w:rPr>
              <w:t>條機構」</w:t>
            </w:r>
            <w:r w:rsidR="00B2114D">
              <w:rPr>
                <w:rFonts w:eastAsiaTheme="minorEastAsia" w:cs="Segoe UI" w:hint="eastAsia"/>
                <w:sz w:val="17"/>
                <w:szCs w:val="17"/>
                <w:lang w:eastAsia="zh-TW"/>
              </w:rPr>
              <w:t>（按</w:t>
            </w:r>
            <w:r w:rsidR="00B2114D" w:rsidRPr="00B91EE8">
              <w:rPr>
                <w:rFonts w:eastAsiaTheme="minorEastAsia" w:cs="Segoe UI" w:hint="eastAsia"/>
                <w:sz w:val="17"/>
                <w:szCs w:val="17"/>
                <w:lang w:eastAsia="zh-TW"/>
              </w:rPr>
              <w:t>《資本規則》附表</w:t>
            </w:r>
            <w:r w:rsidR="00B2114D" w:rsidRPr="00B91EE8">
              <w:rPr>
                <w:rFonts w:eastAsiaTheme="minorEastAsia" w:cs="Segoe UI"/>
                <w:sz w:val="17"/>
                <w:szCs w:val="17"/>
                <w:lang w:eastAsia="zh-TW"/>
              </w:rPr>
              <w:t>4F</w:t>
            </w:r>
            <w:r w:rsidR="00B2114D" w:rsidRPr="00B91EE8">
              <w:rPr>
                <w:rFonts w:eastAsiaTheme="minorEastAsia" w:cs="Segoe UI" w:hint="eastAsia"/>
                <w:sz w:val="17"/>
                <w:szCs w:val="17"/>
                <w:lang w:eastAsia="zh-TW"/>
              </w:rPr>
              <w:t>第</w:t>
            </w:r>
            <w:r w:rsidR="00B2114D">
              <w:rPr>
                <w:rFonts w:eastAsiaTheme="minorEastAsia" w:cs="Segoe UI" w:hint="eastAsia"/>
                <w:sz w:val="17"/>
                <w:szCs w:val="17"/>
                <w:lang w:eastAsia="zh-TW"/>
              </w:rPr>
              <w:t>3</w:t>
            </w:r>
            <w:r w:rsidR="00B2114D" w:rsidRPr="00B91EE8">
              <w:rPr>
                <w:rFonts w:eastAsiaTheme="minorEastAsia" w:cs="Segoe UI" w:hint="eastAsia"/>
                <w:sz w:val="17"/>
                <w:szCs w:val="17"/>
                <w:lang w:eastAsia="zh-TW"/>
              </w:rPr>
              <w:t>條</w:t>
            </w:r>
            <w:r w:rsidR="00B2114D">
              <w:rPr>
                <w:rFonts w:eastAsiaTheme="minorEastAsia" w:cs="Segoe UI" w:hint="eastAsia"/>
                <w:sz w:val="17"/>
                <w:szCs w:val="17"/>
                <w:lang w:eastAsia="zh-TW"/>
              </w:rPr>
              <w:t>的</w:t>
            </w:r>
            <w:r w:rsidR="00B2114D" w:rsidRPr="00B91EE8">
              <w:rPr>
                <w:rFonts w:eastAsiaTheme="minorEastAsia" w:cs="Segoe UI" w:hint="eastAsia"/>
                <w:sz w:val="17"/>
                <w:szCs w:val="17"/>
                <w:lang w:eastAsia="zh-TW"/>
              </w:rPr>
              <w:t>定義</w:t>
            </w:r>
            <w:r w:rsidR="00B2114D">
              <w:rPr>
                <w:rFonts w:eastAsiaTheme="minorEastAsia" w:cs="Segoe UI" w:hint="eastAsia"/>
                <w:sz w:val="17"/>
                <w:szCs w:val="17"/>
                <w:lang w:eastAsia="zh-TW"/>
              </w:rPr>
              <w:t>），因</w:t>
            </w:r>
            <w:r w:rsidR="00B2114D">
              <w:rPr>
                <w:rFonts w:eastAsia="新細明體" w:cs="Segoe UI" w:hint="eastAsia"/>
                <w:sz w:val="17"/>
                <w:szCs w:val="17"/>
                <w:lang w:eastAsia="zh-TW"/>
              </w:rPr>
              <w:t>該等</w:t>
            </w:r>
            <w:r w:rsidR="00B2114D" w:rsidRPr="008027BA">
              <w:rPr>
                <w:rFonts w:eastAsia="新細明體" w:cs="Segoe UI"/>
                <w:sz w:val="17"/>
                <w:szCs w:val="17"/>
                <w:lang w:eastAsia="zh-TW"/>
              </w:rPr>
              <w:t>5%</w:t>
            </w:r>
            <w:r w:rsidR="00B2114D">
              <w:rPr>
                <w:rFonts w:eastAsia="新細明體" w:cs="Segoe UI" w:hint="eastAsia"/>
                <w:sz w:val="17"/>
                <w:szCs w:val="17"/>
                <w:lang w:eastAsia="zh-TW"/>
              </w:rPr>
              <w:t>門檻</w:t>
            </w:r>
            <w:r w:rsidR="00637517">
              <w:rPr>
                <w:rFonts w:eastAsia="新細明體" w:cs="Segoe UI" w:hint="eastAsia"/>
                <w:sz w:val="17"/>
                <w:szCs w:val="17"/>
                <w:lang w:eastAsia="zh-TW"/>
              </w:rPr>
              <w:t>使用</w:t>
            </w:r>
            <w:r w:rsidR="00B2114D">
              <w:rPr>
                <w:rFonts w:eastAsia="新細明體" w:cs="Segoe UI" w:hint="eastAsia"/>
                <w:sz w:val="17"/>
                <w:szCs w:val="17"/>
                <w:lang w:eastAsia="zh-TW"/>
              </w:rPr>
              <w:t>條件對</w:t>
            </w:r>
            <w:r w:rsidR="00B2114D">
              <w:rPr>
                <w:rFonts w:eastAsiaTheme="minorEastAsia" w:cs="Segoe UI" w:hint="eastAsia"/>
                <w:sz w:val="17"/>
                <w:szCs w:val="17"/>
                <w:lang w:eastAsia="zh-TW"/>
              </w:rPr>
              <w:t>此</w:t>
            </w:r>
            <w:r w:rsidR="00B2114D">
              <w:rPr>
                <w:rFonts w:eastAsia="新細明體" w:cs="Segoe UI" w:hint="eastAsia"/>
                <w:sz w:val="17"/>
                <w:szCs w:val="17"/>
                <w:lang w:eastAsia="zh-TW"/>
              </w:rPr>
              <w:t>類</w:t>
            </w:r>
            <w:r w:rsidR="00B2114D" w:rsidRPr="00B91EE8">
              <w:rPr>
                <w:rFonts w:eastAsiaTheme="minorEastAsia" w:cs="Segoe UI" w:hint="eastAsia"/>
                <w:sz w:val="17"/>
                <w:szCs w:val="17"/>
                <w:lang w:eastAsia="zh-TW"/>
              </w:rPr>
              <w:t>機構</w:t>
            </w:r>
            <w:r w:rsidR="00B2114D">
              <w:rPr>
                <w:rFonts w:eastAsiaTheme="minorEastAsia" w:cs="Segoe UI" w:hint="eastAsia"/>
                <w:sz w:val="17"/>
                <w:szCs w:val="17"/>
                <w:lang w:eastAsia="zh-TW"/>
              </w:rPr>
              <w:t>不</w:t>
            </w:r>
            <w:r w:rsidR="00B2114D" w:rsidRPr="00B91EE8">
              <w:rPr>
                <w:rFonts w:eastAsiaTheme="minorEastAsia" w:cs="Segoe UI" w:hint="eastAsia"/>
                <w:sz w:val="17"/>
                <w:szCs w:val="17"/>
                <w:lang w:eastAsia="zh-TW"/>
              </w:rPr>
              <w:t>適用</w:t>
            </w:r>
            <w:r w:rsidR="00B2114D">
              <w:rPr>
                <w:rFonts w:eastAsiaTheme="minorEastAsia" w:cs="Segoe UI" w:hint="eastAsia"/>
                <w:sz w:val="17"/>
                <w:szCs w:val="17"/>
                <w:lang w:eastAsia="zh-TW"/>
              </w:rPr>
              <w:t>。</w:t>
            </w:r>
          </w:p>
        </w:tc>
      </w:tr>
      <w:tr w:rsidR="00CA1B87" w:rsidRPr="00CA7301" w14:paraId="76E38901" w14:textId="77777777" w:rsidTr="00F62652">
        <w:trPr>
          <w:trHeight w:val="373"/>
        </w:trPr>
        <w:tc>
          <w:tcPr>
            <w:tcW w:w="551" w:type="dxa"/>
          </w:tcPr>
          <w:p w14:paraId="55CDB2A0"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55</w:t>
            </w:r>
          </w:p>
        </w:tc>
        <w:tc>
          <w:tcPr>
            <w:tcW w:w="8663" w:type="dxa"/>
          </w:tcPr>
          <w:p w14:paraId="4F4A77D2" w14:textId="2C336382" w:rsidR="00CA1B87" w:rsidRPr="00CA7301" w:rsidRDefault="00CA1B87" w:rsidP="0057723B">
            <w:pPr>
              <w:spacing w:before="40" w:after="40"/>
              <w:jc w:val="both"/>
              <w:rPr>
                <w:rFonts w:cs="Segoe UI"/>
                <w:sz w:val="17"/>
                <w:szCs w:val="17"/>
                <w:lang w:eastAsia="zh-TW"/>
              </w:rPr>
            </w:pPr>
            <w:r w:rsidRPr="00CA7301">
              <w:rPr>
                <w:rFonts w:eastAsia="新細明體" w:cs="Segoe UI"/>
                <w:sz w:val="17"/>
                <w:szCs w:val="17"/>
                <w:lang w:eastAsia="zh-TW"/>
              </w:rPr>
              <w:t>按照《資本規則》第</w:t>
            </w:r>
            <w:r w:rsidRPr="00CA7301">
              <w:rPr>
                <w:rFonts w:cs="Segoe UI"/>
                <w:sz w:val="17"/>
                <w:szCs w:val="17"/>
                <w:lang w:eastAsia="zh-TW"/>
              </w:rPr>
              <w:t>48(1)(d)</w:t>
            </w:r>
            <w:proofErr w:type="gramStart"/>
            <w:r w:rsidRPr="00CA7301">
              <w:rPr>
                <w:rFonts w:eastAsia="新細明體" w:cs="Segoe UI"/>
                <w:sz w:val="17"/>
                <w:szCs w:val="17"/>
                <w:lang w:eastAsia="zh-TW"/>
              </w:rPr>
              <w:t>條須從</w:t>
            </w:r>
            <w:proofErr w:type="gramEnd"/>
            <w:r w:rsidRPr="00CA7301">
              <w:rPr>
                <w:rFonts w:eastAsia="新細明體" w:cs="Segoe UI"/>
                <w:sz w:val="17"/>
                <w:szCs w:val="17"/>
                <w:lang w:eastAsia="zh-TW"/>
              </w:rPr>
              <w:t>二級資本扣減於在監管綜合計算的範圍以外的金融業實體發行的二級資本票據的重大</w:t>
            </w:r>
            <w:r w:rsidR="0057723B">
              <w:rPr>
                <w:rFonts w:eastAsia="新細明體" w:cs="Segoe UI" w:hint="eastAsia"/>
                <w:sz w:val="17"/>
                <w:szCs w:val="17"/>
                <w:lang w:eastAsia="zh-TW"/>
              </w:rPr>
              <w:t>LAC</w:t>
            </w:r>
            <w:r w:rsidRPr="00CA7301">
              <w:rPr>
                <w:rFonts w:eastAsia="新細明體" w:cs="Segoe UI"/>
                <w:sz w:val="17"/>
                <w:szCs w:val="17"/>
                <w:lang w:eastAsia="zh-TW"/>
              </w:rPr>
              <w:t>投資的數額</w:t>
            </w:r>
            <w:r w:rsidR="0057723B">
              <w:rPr>
                <w:rFonts w:eastAsia="新細明體" w:cs="Segoe UI" w:hint="eastAsia"/>
                <w:sz w:val="17"/>
                <w:szCs w:val="17"/>
                <w:lang w:eastAsia="zh-TW"/>
              </w:rPr>
              <w:t>（</w:t>
            </w:r>
            <w:r w:rsidR="0057723B" w:rsidRPr="00CA7301">
              <w:rPr>
                <w:rFonts w:eastAsia="新細明體" w:cs="Segoe UI"/>
                <w:sz w:val="17"/>
                <w:szCs w:val="17"/>
                <w:lang w:eastAsia="zh-TW"/>
              </w:rPr>
              <w:t>已</w:t>
            </w:r>
            <w:r w:rsidRPr="00CA7301">
              <w:rPr>
                <w:rFonts w:eastAsia="新細明體" w:cs="Segoe UI"/>
                <w:sz w:val="17"/>
                <w:szCs w:val="17"/>
                <w:lang w:eastAsia="zh-TW"/>
              </w:rPr>
              <w:t>扣除合資格短倉</w:t>
            </w:r>
            <w:r w:rsidR="0057723B">
              <w:rPr>
                <w:rFonts w:eastAsiaTheme="majorEastAsia" w:cs="Segoe UI" w:hint="eastAsia"/>
                <w:sz w:val="17"/>
                <w:szCs w:val="17"/>
                <w:lang w:eastAsia="zh-TW"/>
              </w:rPr>
              <w:t>）</w:t>
            </w:r>
            <w:r w:rsidRPr="00CA7301">
              <w:rPr>
                <w:rFonts w:eastAsia="新細明體" w:cs="Segoe UI"/>
                <w:sz w:val="17"/>
                <w:szCs w:val="17"/>
                <w:lang w:eastAsia="zh-TW"/>
              </w:rPr>
              <w:t>。</w:t>
            </w:r>
          </w:p>
        </w:tc>
      </w:tr>
      <w:tr w:rsidR="0057723B" w:rsidRPr="00CA7301" w14:paraId="17B169F7" w14:textId="77777777" w:rsidTr="00F62652">
        <w:trPr>
          <w:trHeight w:val="373"/>
        </w:trPr>
        <w:tc>
          <w:tcPr>
            <w:tcW w:w="551" w:type="dxa"/>
          </w:tcPr>
          <w:p w14:paraId="120BE3C7" w14:textId="77777777" w:rsidR="0057723B" w:rsidRPr="0057723B" w:rsidRDefault="0057723B" w:rsidP="00CA1B87">
            <w:pPr>
              <w:keepLines/>
              <w:widowControl w:val="0"/>
              <w:tabs>
                <w:tab w:val="left" w:pos="150"/>
                <w:tab w:val="left" w:pos="397"/>
                <w:tab w:val="left" w:pos="794"/>
                <w:tab w:val="left" w:pos="1191"/>
              </w:tabs>
              <w:spacing w:before="40" w:after="40"/>
              <w:rPr>
                <w:sz w:val="17"/>
                <w:szCs w:val="17"/>
                <w:lang w:eastAsia="en-GB"/>
              </w:rPr>
            </w:pPr>
            <w:r w:rsidRPr="0057723B">
              <w:rPr>
                <w:sz w:val="17"/>
                <w:szCs w:val="17"/>
                <w:lang w:eastAsia="en-GB"/>
              </w:rPr>
              <w:t>55a</w:t>
            </w:r>
          </w:p>
        </w:tc>
        <w:tc>
          <w:tcPr>
            <w:tcW w:w="8663" w:type="dxa"/>
          </w:tcPr>
          <w:p w14:paraId="6D2DF8DF" w14:textId="77777777" w:rsidR="0057723B" w:rsidRPr="00CA7301" w:rsidRDefault="000E78BA" w:rsidP="00335A81">
            <w:pPr>
              <w:spacing w:before="40" w:after="40"/>
              <w:jc w:val="both"/>
              <w:rPr>
                <w:rFonts w:eastAsia="新細明體" w:cs="Segoe UI"/>
                <w:sz w:val="17"/>
                <w:szCs w:val="17"/>
                <w:lang w:eastAsia="zh-TW"/>
              </w:rPr>
            </w:pPr>
            <w:r w:rsidRPr="00CA7301">
              <w:rPr>
                <w:rFonts w:eastAsia="新細明體" w:cs="Segoe UI"/>
                <w:sz w:val="17"/>
                <w:szCs w:val="17"/>
                <w:lang w:eastAsia="zh-TW"/>
              </w:rPr>
              <w:t>按照《資本規則》第</w:t>
            </w:r>
            <w:r w:rsidRPr="00CA7301">
              <w:rPr>
                <w:rFonts w:cs="Segoe UI"/>
                <w:sz w:val="17"/>
                <w:szCs w:val="17"/>
                <w:lang w:eastAsia="zh-TW"/>
              </w:rPr>
              <w:t>48(1)(d)</w:t>
            </w:r>
            <w:proofErr w:type="gramStart"/>
            <w:r w:rsidRPr="00CA7301">
              <w:rPr>
                <w:rFonts w:eastAsia="新細明體" w:cs="Segoe UI"/>
                <w:sz w:val="17"/>
                <w:szCs w:val="17"/>
                <w:lang w:eastAsia="zh-TW"/>
              </w:rPr>
              <w:t>條須從</w:t>
            </w:r>
            <w:proofErr w:type="gramEnd"/>
            <w:r w:rsidRPr="00CA7301">
              <w:rPr>
                <w:rFonts w:eastAsia="新細明體" w:cs="Segoe UI"/>
                <w:sz w:val="17"/>
                <w:szCs w:val="17"/>
                <w:lang w:eastAsia="zh-TW"/>
              </w:rPr>
              <w:t>二級資本扣減</w:t>
            </w:r>
            <w:r>
              <w:rPr>
                <w:rFonts w:eastAsia="新細明體" w:cs="Segoe UI" w:hint="eastAsia"/>
                <w:sz w:val="17"/>
                <w:szCs w:val="17"/>
                <w:lang w:eastAsia="zh-TW"/>
              </w:rPr>
              <w:t>，並</w:t>
            </w:r>
            <w:r w:rsidRPr="00CA7301">
              <w:rPr>
                <w:rFonts w:eastAsia="新細明體" w:cs="Segoe UI"/>
                <w:sz w:val="17"/>
                <w:szCs w:val="17"/>
                <w:lang w:eastAsia="zh-TW"/>
              </w:rPr>
              <w:t>於在監管綜合計算的範圍以外的金融業實體</w:t>
            </w:r>
            <w:r w:rsidRPr="00697865">
              <w:rPr>
                <w:rFonts w:eastAsia="新細明體" w:cs="Segoe UI" w:hint="eastAsia"/>
                <w:sz w:val="17"/>
                <w:szCs w:val="17"/>
                <w:lang w:eastAsia="zh-TW"/>
              </w:rPr>
              <w:t>非資本</w:t>
            </w:r>
            <w:r w:rsidRPr="00697865">
              <w:rPr>
                <w:rFonts w:eastAsia="新細明體" w:cs="Segoe UI"/>
                <w:sz w:val="17"/>
                <w:szCs w:val="17"/>
                <w:lang w:eastAsia="zh-TW"/>
              </w:rPr>
              <w:t>LAC</w:t>
            </w:r>
            <w:r w:rsidRPr="00697865">
              <w:rPr>
                <w:rFonts w:eastAsia="新細明體" w:cs="Segoe UI" w:hint="eastAsia"/>
                <w:sz w:val="17"/>
                <w:szCs w:val="17"/>
                <w:lang w:eastAsia="zh-TW"/>
              </w:rPr>
              <w:t>負債</w:t>
            </w:r>
            <w:r w:rsidRPr="00CA7301">
              <w:rPr>
                <w:rFonts w:eastAsia="新細明體" w:cs="Segoe UI"/>
                <w:sz w:val="17"/>
                <w:szCs w:val="17"/>
                <w:lang w:eastAsia="zh-TW"/>
              </w:rPr>
              <w:t>的重大</w:t>
            </w:r>
            <w:r>
              <w:rPr>
                <w:rFonts w:eastAsia="新細明體" w:cs="Segoe UI" w:hint="eastAsia"/>
                <w:sz w:val="17"/>
                <w:szCs w:val="17"/>
                <w:lang w:eastAsia="zh-TW"/>
              </w:rPr>
              <w:t>LAC</w:t>
            </w:r>
            <w:r w:rsidRPr="00CA7301">
              <w:rPr>
                <w:rFonts w:eastAsia="新細明體" w:cs="Segoe UI"/>
                <w:sz w:val="17"/>
                <w:szCs w:val="17"/>
                <w:lang w:eastAsia="zh-TW"/>
              </w:rPr>
              <w:t>投資的數額</w:t>
            </w:r>
            <w:r>
              <w:rPr>
                <w:rFonts w:eastAsia="新細明體" w:cs="Segoe UI" w:hint="eastAsia"/>
                <w:sz w:val="17"/>
                <w:szCs w:val="17"/>
                <w:lang w:eastAsia="zh-TW"/>
              </w:rPr>
              <w:t>（</w:t>
            </w:r>
            <w:r w:rsidRPr="00CA7301">
              <w:rPr>
                <w:rFonts w:eastAsia="新細明體" w:cs="Segoe UI"/>
                <w:sz w:val="17"/>
                <w:szCs w:val="17"/>
                <w:lang w:eastAsia="zh-TW"/>
              </w:rPr>
              <w:t>已扣除合資格短倉</w:t>
            </w:r>
            <w:r>
              <w:rPr>
                <w:rFonts w:eastAsiaTheme="majorEastAsia" w:cs="Segoe UI" w:hint="eastAsia"/>
                <w:sz w:val="17"/>
                <w:szCs w:val="17"/>
                <w:lang w:eastAsia="zh-TW"/>
              </w:rPr>
              <w:t>）</w:t>
            </w:r>
            <w:r w:rsidRPr="00CA7301">
              <w:rPr>
                <w:rFonts w:eastAsia="新細明體" w:cs="Segoe UI"/>
                <w:sz w:val="17"/>
                <w:szCs w:val="17"/>
                <w:lang w:eastAsia="zh-TW"/>
              </w:rPr>
              <w:t>。</w:t>
            </w:r>
          </w:p>
        </w:tc>
      </w:tr>
      <w:tr w:rsidR="00CA1B87" w:rsidRPr="00CA7301" w14:paraId="3A940320" w14:textId="77777777" w:rsidTr="00F62652">
        <w:trPr>
          <w:trHeight w:val="373"/>
        </w:trPr>
        <w:tc>
          <w:tcPr>
            <w:tcW w:w="551" w:type="dxa"/>
          </w:tcPr>
          <w:p w14:paraId="0C3AF26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56</w:t>
            </w:r>
          </w:p>
        </w:tc>
        <w:tc>
          <w:tcPr>
            <w:tcW w:w="8663" w:type="dxa"/>
          </w:tcPr>
          <w:p w14:paraId="4C7188A5"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金融管理專員規定認可機構在《巴塞爾協定三》下須作出的最低調整以外對二級資本作出的特定監管調整，數額為在</w:t>
            </w:r>
            <w:r w:rsidRPr="00CA7301">
              <w:rPr>
                <w:rFonts w:eastAsiaTheme="minorEastAsia" w:cs="Segoe UI"/>
                <w:sz w:val="17"/>
                <w:szCs w:val="17"/>
                <w:lang w:eastAsia="zh-TW"/>
              </w:rPr>
              <w:t>第</w:t>
            </w:r>
            <w:r w:rsidRPr="00CA7301">
              <w:rPr>
                <w:rFonts w:cs="Segoe UI"/>
                <w:sz w:val="17"/>
                <w:szCs w:val="17"/>
                <w:lang w:eastAsia="zh-TW"/>
              </w:rPr>
              <w:t>56</w:t>
            </w:r>
            <w:r w:rsidRPr="00CA7301">
              <w:rPr>
                <w:rFonts w:eastAsia="新細明體" w:cs="Segoe UI"/>
                <w:sz w:val="17"/>
                <w:szCs w:val="17"/>
                <w:lang w:eastAsia="zh-TW"/>
              </w:rPr>
              <w:t>與</w:t>
            </w:r>
            <w:r w:rsidRPr="00CA7301">
              <w:rPr>
                <w:rFonts w:cs="Segoe UI"/>
                <w:sz w:val="17"/>
                <w:szCs w:val="17"/>
                <w:lang w:eastAsia="zh-TW"/>
              </w:rPr>
              <w:t>57</w:t>
            </w:r>
            <w:r w:rsidRPr="00CA7301">
              <w:rPr>
                <w:rFonts w:eastAsiaTheme="minorEastAsia" w:cs="Segoe UI"/>
                <w:sz w:val="17"/>
                <w:szCs w:val="17"/>
                <w:lang w:eastAsia="zh-TW"/>
              </w:rPr>
              <w:t>行</w:t>
            </w:r>
            <w:r w:rsidRPr="00CA7301">
              <w:rPr>
                <w:rFonts w:eastAsia="新細明體" w:cs="Segoe UI"/>
                <w:sz w:val="17"/>
                <w:szCs w:val="17"/>
                <w:lang w:eastAsia="zh-TW"/>
              </w:rPr>
              <w:t>之間插入的任何其他新行</w:t>
            </w:r>
            <w:r w:rsidRPr="00CA7301">
              <w:rPr>
                <w:rFonts w:eastAsia="細明體" w:cs="Segoe UI"/>
                <w:sz w:val="17"/>
                <w:szCs w:val="17"/>
                <w:lang w:eastAsia="zh-TW"/>
              </w:rPr>
              <w:t>（</w:t>
            </w:r>
            <w:r w:rsidRPr="00CA7301">
              <w:rPr>
                <w:rFonts w:eastAsia="新細明體" w:cs="Segoe UI"/>
                <w:sz w:val="17"/>
                <w:szCs w:val="17"/>
                <w:lang w:eastAsia="zh-TW"/>
              </w:rPr>
              <w:t>如適用</w:t>
            </w:r>
            <w:r w:rsidRPr="00CA7301">
              <w:rPr>
                <w:rFonts w:eastAsia="細明體" w:cs="Segoe UI"/>
                <w:sz w:val="17"/>
                <w:szCs w:val="17"/>
                <w:lang w:eastAsia="zh-TW"/>
              </w:rPr>
              <w:t>）</w:t>
            </w:r>
            <w:r w:rsidRPr="00CA7301">
              <w:rPr>
                <w:rFonts w:eastAsia="新細明體" w:cs="Segoe UI"/>
                <w:sz w:val="17"/>
                <w:szCs w:val="17"/>
                <w:lang w:eastAsia="zh-TW"/>
              </w:rPr>
              <w:t>相加的總和。</w:t>
            </w:r>
          </w:p>
        </w:tc>
      </w:tr>
      <w:tr w:rsidR="00CA1B87" w:rsidRPr="00CA7301" w14:paraId="40D41A61" w14:textId="77777777" w:rsidTr="00F62652">
        <w:trPr>
          <w:trHeight w:val="373"/>
        </w:trPr>
        <w:tc>
          <w:tcPr>
            <w:tcW w:w="551" w:type="dxa"/>
          </w:tcPr>
          <w:p w14:paraId="5B48ACA7"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56a</w:t>
            </w:r>
          </w:p>
        </w:tc>
        <w:tc>
          <w:tcPr>
            <w:tcW w:w="8663" w:type="dxa"/>
          </w:tcPr>
          <w:p w14:paraId="0E146E32"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根據《資本規則》第</w:t>
            </w:r>
            <w:r w:rsidRPr="00CA7301">
              <w:rPr>
                <w:rFonts w:cs="Segoe UI"/>
                <w:sz w:val="17"/>
                <w:szCs w:val="17"/>
                <w:lang w:eastAsia="zh-TW"/>
              </w:rPr>
              <w:t>40(1)(d)</w:t>
            </w:r>
            <w:r w:rsidRPr="00CA7301">
              <w:rPr>
                <w:rFonts w:eastAsia="新細明體" w:cs="Segoe UI"/>
                <w:sz w:val="17"/>
                <w:szCs w:val="17"/>
                <w:lang w:eastAsia="zh-TW"/>
              </w:rPr>
              <w:t>條可計入</w:t>
            </w:r>
            <w:r w:rsidRPr="00CA7301">
              <w:rPr>
                <w:rFonts w:cs="Segoe UI"/>
                <w:sz w:val="17"/>
                <w:szCs w:val="17"/>
                <w:lang w:eastAsia="zh-TW"/>
              </w:rPr>
              <w:t>/</w:t>
            </w:r>
            <w:proofErr w:type="gramStart"/>
            <w:r w:rsidRPr="00CA7301">
              <w:rPr>
                <w:rFonts w:eastAsia="新細明體" w:cs="Segoe UI"/>
                <w:sz w:val="17"/>
                <w:szCs w:val="17"/>
                <w:lang w:eastAsia="zh-TW"/>
              </w:rPr>
              <w:t>加回成為</w:t>
            </w:r>
            <w:proofErr w:type="gramEnd"/>
            <w:r w:rsidRPr="00CA7301">
              <w:rPr>
                <w:rFonts w:eastAsia="新細明體" w:cs="Segoe UI"/>
                <w:sz w:val="17"/>
                <w:szCs w:val="17"/>
                <w:lang w:eastAsia="zh-TW"/>
              </w:rPr>
              <w:t>二級資本的物業價值重估儲備的部分</w:t>
            </w:r>
            <w:r w:rsidRPr="00CA7301">
              <w:rPr>
                <w:rFonts w:eastAsia="細明體" w:cs="Segoe UI"/>
                <w:sz w:val="17"/>
                <w:szCs w:val="17"/>
                <w:lang w:eastAsia="zh-TW"/>
              </w:rPr>
              <w:t>（</w:t>
            </w:r>
            <w:r w:rsidRPr="00CA7301">
              <w:rPr>
                <w:rFonts w:eastAsia="新細明體" w:cs="Segoe UI"/>
                <w:sz w:val="17"/>
                <w:szCs w:val="17"/>
                <w:lang w:eastAsia="zh-TW"/>
              </w:rPr>
              <w:t>即</w:t>
            </w:r>
            <w:r w:rsidRPr="00CA7301">
              <w:rPr>
                <w:rFonts w:cs="Segoe UI"/>
                <w:sz w:val="17"/>
                <w:szCs w:val="17"/>
                <w:lang w:eastAsia="zh-TW"/>
              </w:rPr>
              <w:t>45%</w:t>
            </w:r>
            <w:r w:rsidRPr="00CA7301">
              <w:rPr>
                <w:rFonts w:eastAsia="細明體" w:cs="Segoe UI"/>
                <w:sz w:val="17"/>
                <w:szCs w:val="17"/>
                <w:lang w:eastAsia="zh-TW"/>
              </w:rPr>
              <w:t>）</w:t>
            </w:r>
            <w:r w:rsidRPr="00CA7301">
              <w:rPr>
                <w:rFonts w:eastAsia="新細明體" w:cs="Segoe UI"/>
                <w:sz w:val="17"/>
                <w:szCs w:val="17"/>
                <w:lang w:eastAsia="zh-TW"/>
              </w:rPr>
              <w:t>。這個項目會產生減少對二級資本的監管扣減的效應，並須以負數填報。</w:t>
            </w:r>
          </w:p>
        </w:tc>
      </w:tr>
      <w:tr w:rsidR="0057723B" w:rsidRPr="00CA7301" w14:paraId="6DB2ADE9" w14:textId="77777777" w:rsidTr="00F62652">
        <w:trPr>
          <w:trHeight w:val="373"/>
        </w:trPr>
        <w:tc>
          <w:tcPr>
            <w:tcW w:w="551" w:type="dxa"/>
          </w:tcPr>
          <w:p w14:paraId="2404C725" w14:textId="77777777" w:rsidR="0057723B" w:rsidRPr="0057723B" w:rsidRDefault="0057723B" w:rsidP="00CA1B87">
            <w:pPr>
              <w:keepLines/>
              <w:widowControl w:val="0"/>
              <w:tabs>
                <w:tab w:val="left" w:pos="150"/>
                <w:tab w:val="left" w:pos="397"/>
                <w:tab w:val="left" w:pos="794"/>
                <w:tab w:val="left" w:pos="1191"/>
              </w:tabs>
              <w:spacing w:before="40" w:after="40"/>
              <w:rPr>
                <w:sz w:val="17"/>
                <w:szCs w:val="17"/>
                <w:lang w:eastAsia="en-GB"/>
              </w:rPr>
            </w:pPr>
            <w:r w:rsidRPr="0057723B">
              <w:rPr>
                <w:sz w:val="17"/>
                <w:szCs w:val="17"/>
                <w:lang w:eastAsia="en-GB"/>
              </w:rPr>
              <w:t>5</w:t>
            </w:r>
            <w:r w:rsidRPr="000E78BA">
              <w:rPr>
                <w:rFonts w:cs="Segoe UI"/>
                <w:sz w:val="17"/>
                <w:szCs w:val="17"/>
                <w:lang w:eastAsia="zh-TW"/>
              </w:rPr>
              <w:t>6b</w:t>
            </w:r>
          </w:p>
        </w:tc>
        <w:tc>
          <w:tcPr>
            <w:tcW w:w="8663" w:type="dxa"/>
          </w:tcPr>
          <w:p w14:paraId="665889FD" w14:textId="77777777" w:rsidR="00CD53D3" w:rsidRPr="00CA7301" w:rsidRDefault="00684576" w:rsidP="00C42BE0">
            <w:pPr>
              <w:spacing w:before="40" w:after="40"/>
              <w:jc w:val="both"/>
              <w:rPr>
                <w:rFonts w:eastAsia="新細明體" w:cs="Segoe UI"/>
                <w:sz w:val="17"/>
                <w:szCs w:val="17"/>
                <w:lang w:eastAsia="zh-TW"/>
              </w:rPr>
            </w:pPr>
            <w:r>
              <w:rPr>
                <w:rFonts w:eastAsia="新細明體" w:cs="Segoe UI" w:hint="eastAsia"/>
                <w:sz w:val="17"/>
                <w:szCs w:val="17"/>
                <w:lang w:eastAsia="zh-TW"/>
              </w:rPr>
              <w:t>就維持</w:t>
            </w:r>
            <w:r w:rsidRPr="00684576">
              <w:rPr>
                <w:rFonts w:eastAsia="新細明體" w:cs="Segoe UI" w:hint="eastAsia"/>
                <w:sz w:val="17"/>
                <w:szCs w:val="17"/>
                <w:lang w:eastAsia="zh-TW"/>
              </w:rPr>
              <w:t>非資本</w:t>
            </w:r>
            <w:r w:rsidRPr="00684576">
              <w:rPr>
                <w:rFonts w:eastAsia="新細明體" w:cs="Segoe UI"/>
                <w:sz w:val="17"/>
                <w:szCs w:val="17"/>
                <w:lang w:eastAsia="zh-TW"/>
              </w:rPr>
              <w:t>LAC</w:t>
            </w:r>
            <w:r w:rsidRPr="00684576">
              <w:rPr>
                <w:rFonts w:eastAsia="新細明體" w:cs="Segoe UI" w:hint="eastAsia"/>
                <w:sz w:val="17"/>
                <w:szCs w:val="17"/>
                <w:lang w:eastAsia="zh-TW"/>
              </w:rPr>
              <w:t>債務資源</w:t>
            </w:r>
            <w:r w:rsidR="00CD53D3">
              <w:rPr>
                <w:rFonts w:eastAsia="新細明體" w:cs="Segoe UI" w:hint="eastAsia"/>
                <w:sz w:val="17"/>
                <w:szCs w:val="17"/>
                <w:lang w:eastAsia="zh-TW"/>
              </w:rPr>
              <w:t>的機構而言，</w:t>
            </w:r>
            <w:r w:rsidR="00DB6D27" w:rsidRPr="00CA7301">
              <w:rPr>
                <w:rFonts w:eastAsia="新細明體" w:cs="Segoe UI"/>
                <w:sz w:val="17"/>
                <w:szCs w:val="17"/>
                <w:lang w:eastAsia="zh-TW"/>
              </w:rPr>
              <w:t>認可機構</w:t>
            </w:r>
            <w:r w:rsidR="00CD53D3">
              <w:rPr>
                <w:rFonts w:eastAsia="新細明體" w:cs="Segoe UI" w:hint="eastAsia"/>
                <w:sz w:val="17"/>
                <w:szCs w:val="17"/>
                <w:lang w:eastAsia="zh-TW"/>
              </w:rPr>
              <w:t>持有</w:t>
            </w:r>
            <w:r w:rsidR="00DB6D27" w:rsidRPr="00DB6D27">
              <w:rPr>
                <w:rFonts w:eastAsia="新細明體" w:cs="Segoe UI" w:hint="eastAsia"/>
                <w:sz w:val="17"/>
                <w:szCs w:val="17"/>
                <w:lang w:eastAsia="zh-TW"/>
              </w:rPr>
              <w:t>屬</w:t>
            </w:r>
            <w:r w:rsidR="00766820" w:rsidRPr="00CA7301">
              <w:rPr>
                <w:rFonts w:eastAsia="新細明體" w:cs="Segoe UI"/>
                <w:sz w:val="17"/>
                <w:szCs w:val="17"/>
                <w:lang w:eastAsia="zh-TW"/>
              </w:rPr>
              <w:t>《資本規則》</w:t>
            </w:r>
            <w:r w:rsidR="00DB6D27" w:rsidRPr="00DB6D27">
              <w:rPr>
                <w:rFonts w:eastAsia="新細明體" w:cs="Segoe UI" w:hint="eastAsia"/>
                <w:sz w:val="17"/>
                <w:szCs w:val="17"/>
                <w:lang w:eastAsia="zh-TW"/>
              </w:rPr>
              <w:t>第</w:t>
            </w:r>
            <w:r w:rsidR="00DB6D27" w:rsidRPr="00DB6D27">
              <w:rPr>
                <w:rFonts w:eastAsia="新細明體" w:cs="Segoe UI"/>
                <w:sz w:val="17"/>
                <w:szCs w:val="17"/>
                <w:lang w:eastAsia="zh-TW"/>
              </w:rPr>
              <w:t>48</w:t>
            </w:r>
            <w:r w:rsidR="00DB6D27" w:rsidRPr="00CA7301">
              <w:rPr>
                <w:rFonts w:cs="Segoe UI"/>
                <w:sz w:val="17"/>
                <w:szCs w:val="17"/>
                <w:lang w:eastAsia="zh-TW"/>
              </w:rPr>
              <w:t>(1)(</w:t>
            </w:r>
            <w:r w:rsidR="00DB6D27" w:rsidRPr="00DB6D27">
              <w:rPr>
                <w:rFonts w:cs="Segoe UI" w:hint="eastAsia"/>
                <w:sz w:val="17"/>
                <w:szCs w:val="17"/>
                <w:lang w:eastAsia="zh-TW"/>
              </w:rPr>
              <w:t>g</w:t>
            </w:r>
            <w:r w:rsidR="00DB6D27" w:rsidRPr="00CA7301">
              <w:rPr>
                <w:rFonts w:cs="Segoe UI"/>
                <w:sz w:val="17"/>
                <w:szCs w:val="17"/>
                <w:lang w:eastAsia="zh-TW"/>
              </w:rPr>
              <w:t>)</w:t>
            </w:r>
            <w:r w:rsidR="00DB6D27" w:rsidRPr="00DB6D27">
              <w:rPr>
                <w:rFonts w:eastAsia="新細明體" w:cs="Segoe UI" w:hint="eastAsia"/>
                <w:sz w:val="17"/>
                <w:szCs w:val="17"/>
                <w:lang w:eastAsia="zh-TW"/>
              </w:rPr>
              <w:t>條所描述</w:t>
            </w:r>
            <w:r w:rsidR="00DB6D27">
              <w:rPr>
                <w:rFonts w:eastAsia="新細明體" w:cs="Segoe UI" w:hint="eastAsia"/>
                <w:sz w:val="17"/>
                <w:szCs w:val="17"/>
                <w:lang w:eastAsia="zh-TW"/>
              </w:rPr>
              <w:t>的</w:t>
            </w:r>
            <w:r w:rsidR="00DB6D27" w:rsidRPr="00697865">
              <w:rPr>
                <w:rFonts w:eastAsia="新細明體" w:cs="Segoe UI" w:hint="eastAsia"/>
                <w:sz w:val="17"/>
                <w:szCs w:val="17"/>
                <w:lang w:eastAsia="zh-TW"/>
              </w:rPr>
              <w:t>非資本</w:t>
            </w:r>
            <w:r w:rsidR="00DB6D27" w:rsidRPr="00697865">
              <w:rPr>
                <w:rFonts w:eastAsia="新細明體" w:cs="Segoe UI"/>
                <w:sz w:val="17"/>
                <w:szCs w:val="17"/>
                <w:lang w:eastAsia="zh-TW"/>
              </w:rPr>
              <w:t>LAC</w:t>
            </w:r>
            <w:r w:rsidR="00DB6D27" w:rsidRPr="00697865">
              <w:rPr>
                <w:rFonts w:eastAsia="新細明體" w:cs="Segoe UI" w:hint="eastAsia"/>
                <w:sz w:val="17"/>
                <w:szCs w:val="17"/>
                <w:lang w:eastAsia="zh-TW"/>
              </w:rPr>
              <w:t>負債</w:t>
            </w:r>
            <w:r w:rsidR="00DB6D27">
              <w:rPr>
                <w:rFonts w:eastAsia="新細明體" w:cs="Segoe UI" w:hint="eastAsia"/>
                <w:sz w:val="17"/>
                <w:szCs w:val="17"/>
                <w:lang w:eastAsia="zh-TW"/>
              </w:rPr>
              <w:t>的總</w:t>
            </w:r>
            <w:r w:rsidR="00641AD4" w:rsidRPr="00CA7301">
              <w:rPr>
                <w:rFonts w:eastAsia="新細明體" w:cs="Segoe UI"/>
                <w:sz w:val="17"/>
                <w:szCs w:val="17"/>
                <w:lang w:eastAsia="zh-TW"/>
              </w:rPr>
              <w:t>額</w:t>
            </w:r>
            <w:r w:rsidR="00DB6D27">
              <w:rPr>
                <w:rFonts w:eastAsia="新細明體" w:cs="Segoe UI" w:hint="eastAsia"/>
                <w:sz w:val="17"/>
                <w:szCs w:val="17"/>
                <w:lang w:eastAsia="zh-TW"/>
              </w:rPr>
              <w:t>超出該</w:t>
            </w:r>
            <w:r w:rsidR="00DB6D27" w:rsidRPr="00CA7301">
              <w:rPr>
                <w:rFonts w:eastAsia="新細明體" w:cs="Segoe UI"/>
                <w:sz w:val="17"/>
                <w:szCs w:val="17"/>
                <w:lang w:eastAsia="zh-TW"/>
              </w:rPr>
              <w:t>機構</w:t>
            </w:r>
            <w:r w:rsidR="00DB6D27">
              <w:rPr>
                <w:rFonts w:eastAsia="新細明體" w:cs="Segoe UI" w:hint="eastAsia"/>
                <w:sz w:val="17"/>
                <w:szCs w:val="17"/>
                <w:lang w:eastAsia="zh-TW"/>
              </w:rPr>
              <w:t>的</w:t>
            </w:r>
            <w:r w:rsidR="00DB6D27" w:rsidRPr="00684576">
              <w:rPr>
                <w:rFonts w:eastAsia="新細明體" w:cs="Segoe UI" w:hint="eastAsia"/>
                <w:sz w:val="17"/>
                <w:szCs w:val="17"/>
                <w:lang w:eastAsia="zh-TW"/>
              </w:rPr>
              <w:t>非資本</w:t>
            </w:r>
            <w:r w:rsidR="00DB6D27" w:rsidRPr="00684576">
              <w:rPr>
                <w:rFonts w:eastAsia="新細明體" w:cs="Segoe UI"/>
                <w:sz w:val="17"/>
                <w:szCs w:val="17"/>
                <w:lang w:eastAsia="zh-TW"/>
              </w:rPr>
              <w:t>LAC</w:t>
            </w:r>
            <w:r w:rsidR="00DB6D27" w:rsidRPr="00684576">
              <w:rPr>
                <w:rFonts w:eastAsia="新細明體" w:cs="Segoe UI" w:hint="eastAsia"/>
                <w:sz w:val="17"/>
                <w:szCs w:val="17"/>
                <w:lang w:eastAsia="zh-TW"/>
              </w:rPr>
              <w:t>債務資源</w:t>
            </w:r>
            <w:r w:rsidR="00C42BE0">
              <w:rPr>
                <w:rFonts w:eastAsia="新細明體" w:cs="Segoe UI" w:hint="eastAsia"/>
                <w:sz w:val="17"/>
                <w:szCs w:val="17"/>
                <w:lang w:eastAsia="zh-TW"/>
              </w:rPr>
              <w:t>之數，</w:t>
            </w:r>
            <w:r w:rsidR="00DB6D27">
              <w:rPr>
                <w:rFonts w:eastAsia="新細明體" w:cs="Segoe UI" w:hint="eastAsia"/>
                <w:sz w:val="17"/>
                <w:szCs w:val="17"/>
                <w:lang w:eastAsia="zh-TW"/>
              </w:rPr>
              <w:t>或就並沒有維持</w:t>
            </w:r>
            <w:r w:rsidR="00DB6D27" w:rsidRPr="00684576">
              <w:rPr>
                <w:rFonts w:eastAsia="新細明體" w:cs="Segoe UI" w:hint="eastAsia"/>
                <w:sz w:val="17"/>
                <w:szCs w:val="17"/>
                <w:lang w:eastAsia="zh-TW"/>
              </w:rPr>
              <w:t>非資本</w:t>
            </w:r>
            <w:r w:rsidR="00DB6D27" w:rsidRPr="00684576">
              <w:rPr>
                <w:rFonts w:eastAsia="新細明體" w:cs="Segoe UI"/>
                <w:sz w:val="17"/>
                <w:szCs w:val="17"/>
                <w:lang w:eastAsia="zh-TW"/>
              </w:rPr>
              <w:t>LAC</w:t>
            </w:r>
            <w:r w:rsidR="00DB6D27" w:rsidRPr="00684576">
              <w:rPr>
                <w:rFonts w:eastAsia="新細明體" w:cs="Segoe UI" w:hint="eastAsia"/>
                <w:sz w:val="17"/>
                <w:szCs w:val="17"/>
                <w:lang w:eastAsia="zh-TW"/>
              </w:rPr>
              <w:t>債務資源</w:t>
            </w:r>
            <w:r w:rsidR="00DB6D27">
              <w:rPr>
                <w:rFonts w:eastAsia="新細明體" w:cs="Segoe UI" w:hint="eastAsia"/>
                <w:sz w:val="17"/>
                <w:szCs w:val="17"/>
                <w:lang w:eastAsia="zh-TW"/>
              </w:rPr>
              <w:t>的機構而言，</w:t>
            </w:r>
            <w:r w:rsidR="00C42BE0">
              <w:rPr>
                <w:rFonts w:eastAsia="新細明體" w:cs="Segoe UI" w:hint="eastAsia"/>
                <w:sz w:val="17"/>
                <w:szCs w:val="17"/>
                <w:lang w:eastAsia="zh-TW"/>
              </w:rPr>
              <w:t>該</w:t>
            </w:r>
            <w:r w:rsidR="00DB6D27" w:rsidRPr="00CA7301">
              <w:rPr>
                <w:rFonts w:eastAsia="新細明體" w:cs="Segoe UI"/>
                <w:sz w:val="17"/>
                <w:szCs w:val="17"/>
                <w:lang w:eastAsia="zh-TW"/>
              </w:rPr>
              <w:t>機構</w:t>
            </w:r>
            <w:r w:rsidR="00DB6D27">
              <w:rPr>
                <w:rFonts w:eastAsia="新細明體" w:cs="Segoe UI" w:hint="eastAsia"/>
                <w:sz w:val="17"/>
                <w:szCs w:val="17"/>
                <w:lang w:eastAsia="zh-TW"/>
              </w:rPr>
              <w:t>持有</w:t>
            </w:r>
            <w:r w:rsidR="00DB6D27" w:rsidRPr="00DB6D27">
              <w:rPr>
                <w:rFonts w:eastAsia="新細明體" w:cs="Segoe UI" w:hint="eastAsia"/>
                <w:sz w:val="17"/>
                <w:szCs w:val="17"/>
                <w:lang w:eastAsia="zh-TW"/>
              </w:rPr>
              <w:t>屬</w:t>
            </w:r>
            <w:r w:rsidR="00766820" w:rsidRPr="00CA7301">
              <w:rPr>
                <w:rFonts w:eastAsia="新細明體" w:cs="Segoe UI"/>
                <w:sz w:val="17"/>
                <w:szCs w:val="17"/>
                <w:lang w:eastAsia="zh-TW"/>
              </w:rPr>
              <w:t>《資本規則》</w:t>
            </w:r>
            <w:r w:rsidR="00DB6D27" w:rsidRPr="00DB6D27">
              <w:rPr>
                <w:rFonts w:eastAsia="新細明體" w:cs="Segoe UI" w:hint="eastAsia"/>
                <w:sz w:val="17"/>
                <w:szCs w:val="17"/>
                <w:lang w:eastAsia="zh-TW"/>
              </w:rPr>
              <w:t>第</w:t>
            </w:r>
            <w:r w:rsidR="00DB6D27" w:rsidRPr="00DB6D27">
              <w:rPr>
                <w:rFonts w:eastAsia="新細明體" w:cs="Segoe UI"/>
                <w:sz w:val="17"/>
                <w:szCs w:val="17"/>
                <w:lang w:eastAsia="zh-TW"/>
              </w:rPr>
              <w:t>48</w:t>
            </w:r>
            <w:r w:rsidR="00DB6D27" w:rsidRPr="00CA7301">
              <w:rPr>
                <w:rFonts w:cs="Segoe UI"/>
                <w:sz w:val="17"/>
                <w:szCs w:val="17"/>
                <w:lang w:eastAsia="zh-TW"/>
              </w:rPr>
              <w:t>(1)(</w:t>
            </w:r>
            <w:r w:rsidR="00DB6D27" w:rsidRPr="00DB6D27">
              <w:rPr>
                <w:rFonts w:cs="Segoe UI" w:hint="eastAsia"/>
                <w:sz w:val="17"/>
                <w:szCs w:val="17"/>
                <w:lang w:eastAsia="zh-TW"/>
              </w:rPr>
              <w:t>g</w:t>
            </w:r>
            <w:r w:rsidR="00DB6D27" w:rsidRPr="00CA7301">
              <w:rPr>
                <w:rFonts w:cs="Segoe UI"/>
                <w:sz w:val="17"/>
                <w:szCs w:val="17"/>
                <w:lang w:eastAsia="zh-TW"/>
              </w:rPr>
              <w:t>)</w:t>
            </w:r>
            <w:r w:rsidR="00DB6D27" w:rsidRPr="00DB6D27">
              <w:rPr>
                <w:rFonts w:eastAsia="新細明體" w:cs="Segoe UI" w:hint="eastAsia"/>
                <w:sz w:val="17"/>
                <w:szCs w:val="17"/>
                <w:lang w:eastAsia="zh-TW"/>
              </w:rPr>
              <w:t>條所描述</w:t>
            </w:r>
            <w:r w:rsidR="00DB6D27">
              <w:rPr>
                <w:rFonts w:eastAsia="新細明體" w:cs="Segoe UI" w:hint="eastAsia"/>
                <w:sz w:val="17"/>
                <w:szCs w:val="17"/>
                <w:lang w:eastAsia="zh-TW"/>
              </w:rPr>
              <w:t>的</w:t>
            </w:r>
            <w:r w:rsidR="00DB6D27" w:rsidRPr="00697865">
              <w:rPr>
                <w:rFonts w:eastAsia="新細明體" w:cs="Segoe UI" w:hint="eastAsia"/>
                <w:sz w:val="17"/>
                <w:szCs w:val="17"/>
                <w:lang w:eastAsia="zh-TW"/>
              </w:rPr>
              <w:t>非資本</w:t>
            </w:r>
            <w:r w:rsidR="00DB6D27" w:rsidRPr="00697865">
              <w:rPr>
                <w:rFonts w:eastAsia="新細明體" w:cs="Segoe UI"/>
                <w:sz w:val="17"/>
                <w:szCs w:val="17"/>
                <w:lang w:eastAsia="zh-TW"/>
              </w:rPr>
              <w:t>LAC</w:t>
            </w:r>
            <w:r w:rsidR="00DB6D27" w:rsidRPr="00697865">
              <w:rPr>
                <w:rFonts w:eastAsia="新細明體" w:cs="Segoe UI" w:hint="eastAsia"/>
                <w:sz w:val="17"/>
                <w:szCs w:val="17"/>
                <w:lang w:eastAsia="zh-TW"/>
              </w:rPr>
              <w:t>負債</w:t>
            </w:r>
            <w:r w:rsidR="00DB6D27">
              <w:rPr>
                <w:rFonts w:eastAsia="新細明體" w:cs="Segoe UI" w:hint="eastAsia"/>
                <w:sz w:val="17"/>
                <w:szCs w:val="17"/>
                <w:lang w:eastAsia="zh-TW"/>
              </w:rPr>
              <w:t>的總</w:t>
            </w:r>
            <w:r w:rsidR="00DB6D27" w:rsidRPr="00CA7301">
              <w:rPr>
                <w:rFonts w:eastAsia="新細明體" w:cs="Segoe UI"/>
                <w:sz w:val="17"/>
                <w:szCs w:val="17"/>
                <w:lang w:eastAsia="zh-TW"/>
              </w:rPr>
              <w:t>額</w:t>
            </w:r>
            <w:r w:rsidR="00C42BE0">
              <w:rPr>
                <w:rFonts w:eastAsia="新細明體" w:cs="Segoe UI" w:hint="eastAsia"/>
                <w:sz w:val="17"/>
                <w:szCs w:val="17"/>
                <w:lang w:eastAsia="zh-TW"/>
              </w:rPr>
              <w:t>。</w:t>
            </w:r>
          </w:p>
        </w:tc>
      </w:tr>
      <w:tr w:rsidR="00CA1B87" w:rsidRPr="00CA7301" w14:paraId="0FA10BBE" w14:textId="77777777" w:rsidTr="00F62652">
        <w:trPr>
          <w:trHeight w:val="373"/>
        </w:trPr>
        <w:tc>
          <w:tcPr>
            <w:tcW w:w="551" w:type="dxa"/>
          </w:tcPr>
          <w:p w14:paraId="7AC6BF46"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57</w:t>
            </w:r>
          </w:p>
        </w:tc>
        <w:tc>
          <w:tcPr>
            <w:tcW w:w="8663" w:type="dxa"/>
          </w:tcPr>
          <w:p w14:paraId="35A4D58B" w14:textId="3DD9D1A7" w:rsidR="00CA1B87" w:rsidRPr="00CA7301" w:rsidRDefault="00CA1B87" w:rsidP="00407C40">
            <w:pPr>
              <w:spacing w:before="40" w:after="40"/>
              <w:jc w:val="both"/>
              <w:rPr>
                <w:rFonts w:cs="Segoe UI"/>
                <w:sz w:val="17"/>
                <w:szCs w:val="17"/>
                <w:lang w:eastAsia="zh-TW"/>
              </w:rPr>
            </w:pPr>
            <w:r w:rsidRPr="00CA7301">
              <w:rPr>
                <w:rFonts w:eastAsiaTheme="minorEastAsia" w:cs="Segoe UI"/>
                <w:sz w:val="17"/>
                <w:szCs w:val="17"/>
                <w:lang w:eastAsia="zh-TW"/>
              </w:rPr>
              <w:t>第</w:t>
            </w:r>
            <w:r w:rsidRPr="00CA7301">
              <w:rPr>
                <w:rFonts w:cs="Segoe UI"/>
                <w:sz w:val="17"/>
                <w:szCs w:val="17"/>
                <w:lang w:eastAsia="zh-TW"/>
              </w:rPr>
              <w:t>52</w:t>
            </w:r>
            <w:r w:rsidRPr="00CA7301">
              <w:rPr>
                <w:rFonts w:eastAsia="新細明體" w:cs="Segoe UI"/>
                <w:sz w:val="17"/>
                <w:szCs w:val="17"/>
                <w:lang w:eastAsia="zh-TW"/>
              </w:rPr>
              <w:t>至</w:t>
            </w:r>
            <w:r w:rsidRPr="00CA7301">
              <w:rPr>
                <w:rFonts w:cs="Segoe UI"/>
                <w:sz w:val="17"/>
                <w:szCs w:val="17"/>
                <w:lang w:eastAsia="zh-TW"/>
              </w:rPr>
              <w:t>56</w:t>
            </w:r>
            <w:r w:rsidRPr="00CA7301">
              <w:rPr>
                <w:rFonts w:eastAsiaTheme="minorEastAsia" w:cs="Segoe UI"/>
                <w:sz w:val="17"/>
                <w:szCs w:val="17"/>
                <w:lang w:eastAsia="zh-TW"/>
              </w:rPr>
              <w:t>行</w:t>
            </w:r>
            <w:r w:rsidRPr="00CA7301">
              <w:rPr>
                <w:rFonts w:eastAsia="新細明體" w:cs="Segoe UI"/>
                <w:sz w:val="17"/>
                <w:szCs w:val="17"/>
                <w:lang w:eastAsia="zh-TW"/>
              </w:rPr>
              <w:t>相加的總和。</w:t>
            </w:r>
          </w:p>
        </w:tc>
      </w:tr>
      <w:tr w:rsidR="00CA1B87" w:rsidRPr="00CA7301" w14:paraId="05E0AE8D" w14:textId="77777777" w:rsidTr="00F62652">
        <w:trPr>
          <w:trHeight w:val="373"/>
        </w:trPr>
        <w:tc>
          <w:tcPr>
            <w:tcW w:w="551" w:type="dxa"/>
          </w:tcPr>
          <w:p w14:paraId="304C2E1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58</w:t>
            </w:r>
          </w:p>
        </w:tc>
        <w:tc>
          <w:tcPr>
            <w:tcW w:w="8663" w:type="dxa"/>
          </w:tcPr>
          <w:p w14:paraId="75923AA4"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二級資本，即</w:t>
            </w:r>
            <w:r w:rsidRPr="00CA7301">
              <w:rPr>
                <w:rFonts w:eastAsiaTheme="minorEastAsia" w:cs="Segoe UI"/>
                <w:sz w:val="17"/>
                <w:szCs w:val="17"/>
                <w:lang w:eastAsia="zh-TW"/>
              </w:rPr>
              <w:t>第</w:t>
            </w:r>
            <w:r w:rsidRPr="00CA7301">
              <w:rPr>
                <w:rFonts w:cs="Segoe UI"/>
                <w:sz w:val="17"/>
                <w:szCs w:val="17"/>
                <w:lang w:eastAsia="zh-TW"/>
              </w:rPr>
              <w:t>51</w:t>
            </w:r>
            <w:r w:rsidRPr="00CA7301">
              <w:rPr>
                <w:rFonts w:eastAsiaTheme="minorEastAsia" w:cs="Segoe UI"/>
                <w:sz w:val="17"/>
                <w:szCs w:val="17"/>
                <w:lang w:eastAsia="zh-TW"/>
              </w:rPr>
              <w:t>行</w:t>
            </w:r>
            <w:r w:rsidRPr="00CA7301">
              <w:rPr>
                <w:rFonts w:eastAsia="新細明體" w:cs="Segoe UI"/>
                <w:sz w:val="17"/>
                <w:szCs w:val="17"/>
                <w:lang w:eastAsia="zh-TW"/>
              </w:rPr>
              <w:t>減</w:t>
            </w:r>
            <w:r w:rsidRPr="00CA7301">
              <w:rPr>
                <w:rFonts w:eastAsiaTheme="minorEastAsia" w:cs="Segoe UI"/>
                <w:sz w:val="17"/>
                <w:szCs w:val="17"/>
                <w:lang w:eastAsia="zh-TW"/>
              </w:rPr>
              <w:t>第</w:t>
            </w:r>
            <w:r w:rsidRPr="00CA7301">
              <w:rPr>
                <w:rFonts w:cs="Segoe UI"/>
                <w:sz w:val="17"/>
                <w:szCs w:val="17"/>
                <w:lang w:eastAsia="zh-TW"/>
              </w:rPr>
              <w:t>57</w:t>
            </w:r>
            <w:r w:rsidRPr="00CA7301">
              <w:rPr>
                <w:rFonts w:eastAsiaTheme="minorEastAsia" w:cs="Segoe UI"/>
                <w:sz w:val="17"/>
                <w:szCs w:val="17"/>
                <w:lang w:eastAsia="zh-TW"/>
              </w:rPr>
              <w:t>行</w:t>
            </w:r>
            <w:r w:rsidRPr="00CA7301">
              <w:rPr>
                <w:rFonts w:eastAsia="新細明體" w:cs="Segoe UI"/>
                <w:sz w:val="17"/>
                <w:szCs w:val="17"/>
                <w:lang w:eastAsia="zh-TW"/>
              </w:rPr>
              <w:t>得出之數。如於</w:t>
            </w:r>
            <w:r w:rsidRPr="00CA7301">
              <w:rPr>
                <w:rFonts w:eastAsiaTheme="minorEastAsia" w:cs="Segoe UI"/>
                <w:sz w:val="17"/>
                <w:szCs w:val="17"/>
                <w:lang w:eastAsia="zh-TW"/>
              </w:rPr>
              <w:t>第</w:t>
            </w:r>
            <w:r w:rsidRPr="00CA7301">
              <w:rPr>
                <w:rFonts w:cs="Segoe UI"/>
                <w:sz w:val="17"/>
                <w:szCs w:val="17"/>
                <w:lang w:eastAsia="zh-TW"/>
              </w:rPr>
              <w:t>57</w:t>
            </w:r>
            <w:r w:rsidRPr="00CA7301">
              <w:rPr>
                <w:rFonts w:eastAsiaTheme="minorEastAsia" w:cs="Segoe UI"/>
                <w:sz w:val="17"/>
                <w:szCs w:val="17"/>
                <w:lang w:eastAsia="zh-TW"/>
              </w:rPr>
              <w:t>行</w:t>
            </w:r>
            <w:r w:rsidRPr="00CA7301">
              <w:rPr>
                <w:rFonts w:eastAsia="新細明體" w:cs="Segoe UI"/>
                <w:sz w:val="17"/>
                <w:szCs w:val="17"/>
                <w:lang w:eastAsia="zh-TW"/>
              </w:rPr>
              <w:t>所報的數額大於在</w:t>
            </w:r>
            <w:r w:rsidRPr="00CA7301">
              <w:rPr>
                <w:rFonts w:eastAsiaTheme="minorEastAsia" w:cs="Segoe UI"/>
                <w:sz w:val="17"/>
                <w:szCs w:val="17"/>
                <w:lang w:eastAsia="zh-TW"/>
              </w:rPr>
              <w:t>第</w:t>
            </w:r>
            <w:r w:rsidRPr="00CA7301">
              <w:rPr>
                <w:rFonts w:cs="Segoe UI"/>
                <w:sz w:val="17"/>
                <w:szCs w:val="17"/>
                <w:lang w:eastAsia="zh-TW"/>
              </w:rPr>
              <w:t>51</w:t>
            </w:r>
            <w:r w:rsidRPr="00CA7301">
              <w:rPr>
                <w:rFonts w:eastAsiaTheme="minorEastAsia" w:cs="Segoe UI"/>
                <w:sz w:val="17"/>
                <w:szCs w:val="17"/>
                <w:lang w:eastAsia="zh-TW"/>
              </w:rPr>
              <w:t>行</w:t>
            </w:r>
            <w:r w:rsidRPr="00CA7301">
              <w:rPr>
                <w:rFonts w:eastAsia="新細明體" w:cs="Segoe UI"/>
                <w:sz w:val="17"/>
                <w:szCs w:val="17"/>
                <w:lang w:eastAsia="zh-TW"/>
              </w:rPr>
              <w:t>所報的數額，超出之數須</w:t>
            </w:r>
            <w:r w:rsidRPr="00CA7301">
              <w:rPr>
                <w:rFonts w:eastAsia="細明體" w:cs="Segoe UI"/>
                <w:sz w:val="17"/>
                <w:szCs w:val="17"/>
                <w:lang w:eastAsia="zh-TW"/>
              </w:rPr>
              <w:t>填報於</w:t>
            </w:r>
            <w:r w:rsidRPr="00CA7301">
              <w:rPr>
                <w:rFonts w:eastAsia="新細明體" w:cs="Segoe UI"/>
                <w:sz w:val="17"/>
                <w:szCs w:val="17"/>
                <w:lang w:eastAsia="zh-TW"/>
              </w:rPr>
              <w:t>第</w:t>
            </w:r>
            <w:r w:rsidRPr="00CA7301">
              <w:rPr>
                <w:rFonts w:cs="Segoe UI"/>
                <w:sz w:val="17"/>
                <w:szCs w:val="17"/>
                <w:lang w:eastAsia="zh-TW"/>
              </w:rPr>
              <w:t>42</w:t>
            </w:r>
            <w:r w:rsidRPr="00CA7301">
              <w:rPr>
                <w:rFonts w:eastAsiaTheme="minorEastAsia" w:cs="Segoe UI"/>
                <w:sz w:val="17"/>
                <w:szCs w:val="17"/>
                <w:lang w:eastAsia="zh-TW"/>
              </w:rPr>
              <w:t>行</w:t>
            </w:r>
            <w:r w:rsidRPr="00CA7301">
              <w:rPr>
                <w:rFonts w:eastAsia="新細明體" w:cs="Segoe UI"/>
                <w:sz w:val="17"/>
                <w:szCs w:val="17"/>
                <w:lang w:eastAsia="zh-TW"/>
              </w:rPr>
              <w:t>，並須在此行填報零。</w:t>
            </w:r>
          </w:p>
        </w:tc>
      </w:tr>
      <w:tr w:rsidR="00CA1B87" w:rsidRPr="00CA7301" w14:paraId="7ACD603A" w14:textId="77777777" w:rsidTr="00F62652">
        <w:trPr>
          <w:trHeight w:val="373"/>
        </w:trPr>
        <w:tc>
          <w:tcPr>
            <w:tcW w:w="551" w:type="dxa"/>
          </w:tcPr>
          <w:p w14:paraId="17950C3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59</w:t>
            </w:r>
          </w:p>
        </w:tc>
        <w:tc>
          <w:tcPr>
            <w:tcW w:w="8663" w:type="dxa"/>
          </w:tcPr>
          <w:p w14:paraId="4C01C41D" w14:textId="4A7D3476"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總資本，即</w:t>
            </w:r>
            <w:r w:rsidRPr="00CA7301">
              <w:rPr>
                <w:rFonts w:eastAsiaTheme="minorEastAsia" w:cs="Segoe UI"/>
                <w:sz w:val="17"/>
                <w:szCs w:val="17"/>
                <w:lang w:eastAsia="zh-TW"/>
              </w:rPr>
              <w:t>第</w:t>
            </w:r>
            <w:r w:rsidRPr="00CA7301">
              <w:rPr>
                <w:rFonts w:cs="Segoe UI"/>
                <w:sz w:val="17"/>
                <w:szCs w:val="17"/>
                <w:lang w:eastAsia="zh-TW"/>
              </w:rPr>
              <w:t>45</w:t>
            </w:r>
            <w:r w:rsidRPr="00CA7301">
              <w:rPr>
                <w:rFonts w:eastAsiaTheme="minorEastAsia" w:cs="Segoe UI"/>
                <w:sz w:val="17"/>
                <w:szCs w:val="17"/>
                <w:lang w:eastAsia="zh-TW"/>
              </w:rPr>
              <w:t>行</w:t>
            </w:r>
            <w:r w:rsidRPr="00CA7301">
              <w:rPr>
                <w:rFonts w:eastAsia="新細明體" w:cs="Segoe UI"/>
                <w:sz w:val="17"/>
                <w:szCs w:val="17"/>
                <w:lang w:eastAsia="zh-TW"/>
              </w:rPr>
              <w:t>及</w:t>
            </w:r>
            <w:r w:rsidRPr="00CA7301">
              <w:rPr>
                <w:rFonts w:eastAsiaTheme="minorEastAsia" w:cs="Segoe UI"/>
                <w:sz w:val="17"/>
                <w:szCs w:val="17"/>
                <w:lang w:eastAsia="zh-TW"/>
              </w:rPr>
              <w:t>第</w:t>
            </w:r>
            <w:r w:rsidRPr="00CA7301">
              <w:rPr>
                <w:rFonts w:cs="Segoe UI"/>
                <w:sz w:val="17"/>
                <w:szCs w:val="17"/>
                <w:lang w:eastAsia="zh-TW"/>
              </w:rPr>
              <w:t>58</w:t>
            </w:r>
            <w:r w:rsidRPr="00CA7301">
              <w:rPr>
                <w:rFonts w:eastAsiaTheme="minorEastAsia" w:cs="Segoe UI"/>
                <w:sz w:val="17"/>
                <w:szCs w:val="17"/>
                <w:lang w:eastAsia="zh-TW"/>
              </w:rPr>
              <w:t>行</w:t>
            </w:r>
            <w:r w:rsidRPr="00CA7301">
              <w:rPr>
                <w:rFonts w:eastAsia="新細明體" w:cs="Segoe UI"/>
                <w:sz w:val="17"/>
                <w:szCs w:val="17"/>
                <w:lang w:eastAsia="zh-TW"/>
              </w:rPr>
              <w:t>相加的總和。</w:t>
            </w:r>
          </w:p>
        </w:tc>
      </w:tr>
      <w:tr w:rsidR="00CA1B87" w:rsidRPr="00CA7301" w14:paraId="06D98ADA" w14:textId="77777777" w:rsidTr="00F62652">
        <w:trPr>
          <w:trHeight w:val="373"/>
        </w:trPr>
        <w:tc>
          <w:tcPr>
            <w:tcW w:w="551" w:type="dxa"/>
          </w:tcPr>
          <w:p w14:paraId="33F18D27"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60</w:t>
            </w:r>
          </w:p>
        </w:tc>
        <w:tc>
          <w:tcPr>
            <w:tcW w:w="8663" w:type="dxa"/>
          </w:tcPr>
          <w:p w14:paraId="54C0E337"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認可機構的風險加權</w:t>
            </w:r>
            <w:r w:rsidRPr="00CA7301">
              <w:rPr>
                <w:rFonts w:eastAsia="新細明體" w:cs="Segoe UI"/>
                <w:sz w:val="17"/>
                <w:szCs w:val="17"/>
                <w:lang w:eastAsia="zh-TW"/>
              </w:rPr>
              <w:t>數額</w:t>
            </w:r>
            <w:r w:rsidRPr="00CA7301">
              <w:rPr>
                <w:rFonts w:eastAsiaTheme="minorEastAsia" w:cs="Segoe UI"/>
                <w:sz w:val="17"/>
                <w:szCs w:val="17"/>
                <w:lang w:eastAsia="zh-TW"/>
              </w:rPr>
              <w:t>總</w:t>
            </w:r>
            <w:r w:rsidRPr="00CA7301">
              <w:rPr>
                <w:rFonts w:eastAsia="新細明體" w:cs="Segoe UI"/>
                <w:sz w:val="17"/>
                <w:szCs w:val="17"/>
                <w:lang w:eastAsia="zh-TW"/>
              </w:rPr>
              <w:t>額</w:t>
            </w:r>
            <w:r w:rsidRPr="00CA7301">
              <w:rPr>
                <w:rFonts w:eastAsiaTheme="minorEastAsia" w:cs="Segoe UI"/>
                <w:sz w:val="17"/>
                <w:szCs w:val="17"/>
                <w:lang w:eastAsia="zh-TW"/>
              </w:rPr>
              <w:t>。</w:t>
            </w:r>
          </w:p>
        </w:tc>
      </w:tr>
      <w:tr w:rsidR="00CA1B87" w:rsidRPr="00CA7301" w14:paraId="504A7AF4" w14:textId="77777777" w:rsidTr="00F62652">
        <w:trPr>
          <w:trHeight w:val="373"/>
        </w:trPr>
        <w:tc>
          <w:tcPr>
            <w:tcW w:w="551" w:type="dxa"/>
          </w:tcPr>
          <w:p w14:paraId="62B086D0"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61</w:t>
            </w:r>
          </w:p>
        </w:tc>
        <w:tc>
          <w:tcPr>
            <w:tcW w:w="8663" w:type="dxa"/>
          </w:tcPr>
          <w:p w14:paraId="2930CD8E" w14:textId="77777777" w:rsidR="00CA1B87" w:rsidRPr="00CA7301" w:rsidRDefault="00CA1B87" w:rsidP="00CA1B87">
            <w:pPr>
              <w:spacing w:before="40" w:after="40"/>
              <w:jc w:val="both"/>
              <w:rPr>
                <w:rFonts w:cs="Segoe UI"/>
                <w:sz w:val="17"/>
                <w:szCs w:val="17"/>
                <w:lang w:eastAsia="zh-TW"/>
              </w:rPr>
            </w:pPr>
            <w:r w:rsidRPr="00CA7301">
              <w:rPr>
                <w:rFonts w:cs="Segoe UI"/>
                <w:sz w:val="17"/>
                <w:szCs w:val="17"/>
                <w:lang w:eastAsia="zh-TW"/>
              </w:rPr>
              <w:t>CET1</w:t>
            </w:r>
            <w:r w:rsidRPr="00CA7301">
              <w:rPr>
                <w:rFonts w:eastAsia="細明體" w:cs="Segoe UI"/>
                <w:sz w:val="17"/>
                <w:szCs w:val="17"/>
                <w:lang w:eastAsia="zh-TW"/>
              </w:rPr>
              <w:t>資本比率（為佔</w:t>
            </w:r>
            <w:r w:rsidRPr="00CA7301">
              <w:rPr>
                <w:rFonts w:eastAsia="細明體" w:cs="Segoe UI"/>
                <w:sz w:val="17"/>
                <w:szCs w:val="17"/>
                <w:lang w:eastAsia="zh-TW"/>
              </w:rPr>
              <w:t>RWA</w:t>
            </w:r>
            <w:r w:rsidRPr="00CA7301">
              <w:rPr>
                <w:rFonts w:eastAsia="細明體" w:cs="Segoe UI"/>
                <w:sz w:val="17"/>
                <w:szCs w:val="17"/>
                <w:lang w:eastAsia="zh-TW"/>
              </w:rPr>
              <w:t>的百分比），以</w:t>
            </w:r>
            <w:r w:rsidRPr="00CA7301">
              <w:rPr>
                <w:rFonts w:eastAsiaTheme="minorEastAsia" w:cs="Segoe UI"/>
                <w:sz w:val="17"/>
                <w:szCs w:val="17"/>
                <w:lang w:eastAsia="zh-TW"/>
              </w:rPr>
              <w:t>第</w:t>
            </w:r>
            <w:r w:rsidRPr="00CA7301">
              <w:rPr>
                <w:rFonts w:cs="Segoe UI"/>
                <w:sz w:val="17"/>
                <w:szCs w:val="17"/>
                <w:lang w:eastAsia="zh-TW"/>
              </w:rPr>
              <w:t>29</w:t>
            </w:r>
            <w:r w:rsidRPr="00CA7301">
              <w:rPr>
                <w:rFonts w:eastAsiaTheme="minorEastAsia" w:cs="Segoe UI"/>
                <w:sz w:val="17"/>
                <w:szCs w:val="17"/>
                <w:lang w:eastAsia="zh-TW"/>
              </w:rPr>
              <w:t>行</w:t>
            </w:r>
            <w:r w:rsidRPr="00CA7301">
              <w:rPr>
                <w:rFonts w:eastAsia="細明體" w:cs="Segoe UI"/>
                <w:sz w:val="17"/>
                <w:szCs w:val="17"/>
                <w:lang w:eastAsia="zh-TW"/>
              </w:rPr>
              <w:t>除以</w:t>
            </w:r>
            <w:r w:rsidRPr="00CA7301">
              <w:rPr>
                <w:rFonts w:eastAsiaTheme="minorEastAsia" w:cs="Segoe UI"/>
                <w:sz w:val="17"/>
                <w:szCs w:val="17"/>
                <w:lang w:eastAsia="zh-TW"/>
              </w:rPr>
              <w:t>第</w:t>
            </w:r>
            <w:r w:rsidRPr="00CA7301">
              <w:rPr>
                <w:rFonts w:cs="Segoe UI"/>
                <w:sz w:val="17"/>
                <w:szCs w:val="17"/>
                <w:lang w:eastAsia="zh-TW"/>
              </w:rPr>
              <w:t>60</w:t>
            </w:r>
            <w:r w:rsidRPr="00CA7301">
              <w:rPr>
                <w:rFonts w:eastAsiaTheme="minorEastAsia" w:cs="Segoe UI"/>
                <w:sz w:val="17"/>
                <w:szCs w:val="17"/>
                <w:lang w:eastAsia="zh-TW"/>
              </w:rPr>
              <w:t>行</w:t>
            </w:r>
            <w:r w:rsidRPr="00CA7301">
              <w:rPr>
                <w:rFonts w:eastAsia="細明體" w:cs="Segoe UI"/>
                <w:sz w:val="17"/>
                <w:szCs w:val="17"/>
                <w:lang w:eastAsia="zh-TW"/>
              </w:rPr>
              <w:t>計算（以百分比表示）。</w:t>
            </w:r>
          </w:p>
        </w:tc>
      </w:tr>
      <w:tr w:rsidR="00CA1B87" w:rsidRPr="00CA7301" w14:paraId="2AEAD292" w14:textId="77777777" w:rsidTr="00F62652">
        <w:trPr>
          <w:trHeight w:val="373"/>
        </w:trPr>
        <w:tc>
          <w:tcPr>
            <w:tcW w:w="551" w:type="dxa"/>
          </w:tcPr>
          <w:p w14:paraId="545BCF96"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62</w:t>
            </w:r>
          </w:p>
        </w:tc>
        <w:tc>
          <w:tcPr>
            <w:tcW w:w="8663" w:type="dxa"/>
          </w:tcPr>
          <w:p w14:paraId="61378B60"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一級資本比率</w:t>
            </w:r>
            <w:r w:rsidRPr="00CA7301">
              <w:rPr>
                <w:rFonts w:eastAsia="細明體" w:cs="Segoe UI"/>
                <w:sz w:val="17"/>
                <w:szCs w:val="17"/>
                <w:lang w:eastAsia="zh-TW"/>
              </w:rPr>
              <w:t>（</w:t>
            </w:r>
            <w:r w:rsidRPr="00CA7301">
              <w:rPr>
                <w:rFonts w:eastAsia="新細明體" w:cs="Segoe UI"/>
                <w:sz w:val="17"/>
                <w:szCs w:val="17"/>
                <w:lang w:eastAsia="zh-TW"/>
              </w:rPr>
              <w:t>為</w:t>
            </w:r>
            <w:proofErr w:type="gramStart"/>
            <w:r w:rsidRPr="00CA7301">
              <w:rPr>
                <w:rFonts w:eastAsia="新細明體" w:cs="Segoe UI"/>
                <w:sz w:val="17"/>
                <w:szCs w:val="17"/>
                <w:lang w:eastAsia="zh-TW"/>
              </w:rPr>
              <w:t>佔</w:t>
            </w:r>
            <w:proofErr w:type="gramEnd"/>
            <w:r w:rsidRPr="00CA7301">
              <w:rPr>
                <w:rFonts w:eastAsia="新細明體" w:cs="Segoe UI"/>
                <w:sz w:val="17"/>
                <w:szCs w:val="17"/>
                <w:lang w:eastAsia="zh-TW"/>
              </w:rPr>
              <w:t>RWA</w:t>
            </w:r>
            <w:r w:rsidRPr="00CA7301">
              <w:rPr>
                <w:rFonts w:eastAsia="新細明體" w:cs="Segoe UI"/>
                <w:sz w:val="17"/>
                <w:szCs w:val="17"/>
                <w:lang w:eastAsia="zh-TW"/>
              </w:rPr>
              <w:t>的百分比</w:t>
            </w:r>
            <w:r w:rsidRPr="00CA7301">
              <w:rPr>
                <w:rFonts w:eastAsia="細明體" w:cs="Segoe UI"/>
                <w:sz w:val="17"/>
                <w:szCs w:val="17"/>
                <w:lang w:eastAsia="zh-TW"/>
              </w:rPr>
              <w:t>）</w:t>
            </w:r>
            <w:r w:rsidRPr="00CA7301">
              <w:rPr>
                <w:rFonts w:eastAsia="新細明體" w:cs="Segoe UI"/>
                <w:sz w:val="17"/>
                <w:szCs w:val="17"/>
                <w:lang w:eastAsia="zh-TW"/>
              </w:rPr>
              <w:t>，以</w:t>
            </w:r>
            <w:r w:rsidRPr="00CA7301">
              <w:rPr>
                <w:rFonts w:eastAsiaTheme="minorEastAsia" w:cs="Segoe UI"/>
                <w:sz w:val="17"/>
                <w:szCs w:val="17"/>
                <w:lang w:eastAsia="zh-TW"/>
              </w:rPr>
              <w:t>第</w:t>
            </w:r>
            <w:r w:rsidRPr="00CA7301">
              <w:rPr>
                <w:rFonts w:cs="Segoe UI"/>
                <w:sz w:val="17"/>
                <w:szCs w:val="17"/>
                <w:lang w:eastAsia="zh-TW"/>
              </w:rPr>
              <w:t>45</w:t>
            </w:r>
            <w:r w:rsidRPr="00CA7301">
              <w:rPr>
                <w:rFonts w:eastAsiaTheme="minorEastAsia" w:cs="Segoe UI"/>
                <w:sz w:val="17"/>
                <w:szCs w:val="17"/>
                <w:lang w:eastAsia="zh-TW"/>
              </w:rPr>
              <w:t>行</w:t>
            </w:r>
            <w:r w:rsidRPr="00CA7301">
              <w:rPr>
                <w:rFonts w:eastAsia="新細明體" w:cs="Segoe UI"/>
                <w:sz w:val="17"/>
                <w:szCs w:val="17"/>
                <w:lang w:eastAsia="zh-TW"/>
              </w:rPr>
              <w:t>除以</w:t>
            </w:r>
            <w:r w:rsidRPr="00CA7301">
              <w:rPr>
                <w:rFonts w:eastAsiaTheme="minorEastAsia" w:cs="Segoe UI"/>
                <w:sz w:val="17"/>
                <w:szCs w:val="17"/>
                <w:lang w:eastAsia="zh-TW"/>
              </w:rPr>
              <w:t>第</w:t>
            </w:r>
            <w:r w:rsidRPr="00CA7301">
              <w:rPr>
                <w:rFonts w:cs="Segoe UI"/>
                <w:sz w:val="17"/>
                <w:szCs w:val="17"/>
                <w:lang w:eastAsia="zh-TW"/>
              </w:rPr>
              <w:t>60</w:t>
            </w:r>
            <w:r w:rsidRPr="00CA7301">
              <w:rPr>
                <w:rFonts w:eastAsiaTheme="minorEastAsia" w:cs="Segoe UI"/>
                <w:sz w:val="17"/>
                <w:szCs w:val="17"/>
                <w:lang w:eastAsia="zh-TW"/>
              </w:rPr>
              <w:t>行</w:t>
            </w:r>
            <w:r w:rsidRPr="00CA7301">
              <w:rPr>
                <w:rFonts w:eastAsia="新細明體" w:cs="Segoe UI"/>
                <w:sz w:val="17"/>
                <w:szCs w:val="17"/>
                <w:lang w:eastAsia="zh-TW"/>
              </w:rPr>
              <w:t>計算</w:t>
            </w:r>
            <w:r w:rsidRPr="00CA7301">
              <w:rPr>
                <w:rFonts w:eastAsia="細明體" w:cs="Segoe UI"/>
                <w:sz w:val="17"/>
                <w:szCs w:val="17"/>
                <w:lang w:eastAsia="zh-TW"/>
              </w:rPr>
              <w:t>（</w:t>
            </w:r>
            <w:r w:rsidRPr="00CA7301">
              <w:rPr>
                <w:rFonts w:eastAsia="新細明體" w:cs="Segoe UI"/>
                <w:sz w:val="17"/>
                <w:szCs w:val="17"/>
                <w:lang w:eastAsia="zh-TW"/>
              </w:rPr>
              <w:t>以百分比表示</w:t>
            </w:r>
            <w:r w:rsidRPr="00CA7301">
              <w:rPr>
                <w:rFonts w:eastAsia="細明體" w:cs="Segoe UI"/>
                <w:sz w:val="17"/>
                <w:szCs w:val="17"/>
                <w:lang w:eastAsia="zh-TW"/>
              </w:rPr>
              <w:t>）</w:t>
            </w:r>
            <w:r w:rsidRPr="00CA7301">
              <w:rPr>
                <w:rFonts w:eastAsia="新細明體" w:cs="Segoe UI"/>
                <w:sz w:val="17"/>
                <w:szCs w:val="17"/>
                <w:lang w:eastAsia="zh-TW"/>
              </w:rPr>
              <w:t>。</w:t>
            </w:r>
          </w:p>
        </w:tc>
      </w:tr>
      <w:tr w:rsidR="00CA1B87" w:rsidRPr="00CA7301" w14:paraId="492A6C05" w14:textId="77777777" w:rsidTr="00F62652">
        <w:trPr>
          <w:trHeight w:val="373"/>
        </w:trPr>
        <w:tc>
          <w:tcPr>
            <w:tcW w:w="551" w:type="dxa"/>
          </w:tcPr>
          <w:p w14:paraId="0D9CE5B6"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63</w:t>
            </w:r>
          </w:p>
        </w:tc>
        <w:tc>
          <w:tcPr>
            <w:tcW w:w="8663" w:type="dxa"/>
          </w:tcPr>
          <w:p w14:paraId="57253335"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總資本比率</w:t>
            </w:r>
            <w:r w:rsidRPr="00CA7301">
              <w:rPr>
                <w:rFonts w:eastAsia="細明體" w:cs="Segoe UI"/>
                <w:sz w:val="17"/>
                <w:szCs w:val="17"/>
                <w:lang w:eastAsia="zh-TW"/>
              </w:rPr>
              <w:t>（</w:t>
            </w:r>
            <w:r w:rsidRPr="00CA7301">
              <w:rPr>
                <w:rFonts w:eastAsia="新細明體" w:cs="Segoe UI"/>
                <w:sz w:val="17"/>
                <w:szCs w:val="17"/>
                <w:lang w:eastAsia="zh-TW"/>
              </w:rPr>
              <w:t>為</w:t>
            </w:r>
            <w:proofErr w:type="gramStart"/>
            <w:r w:rsidRPr="00CA7301">
              <w:rPr>
                <w:rFonts w:eastAsia="新細明體" w:cs="Segoe UI"/>
                <w:sz w:val="17"/>
                <w:szCs w:val="17"/>
                <w:lang w:eastAsia="zh-TW"/>
              </w:rPr>
              <w:t>佔</w:t>
            </w:r>
            <w:proofErr w:type="gramEnd"/>
            <w:r w:rsidRPr="00CA7301">
              <w:rPr>
                <w:rFonts w:eastAsia="新細明體" w:cs="Segoe UI"/>
                <w:sz w:val="17"/>
                <w:szCs w:val="17"/>
                <w:lang w:eastAsia="zh-TW"/>
              </w:rPr>
              <w:t>RWA</w:t>
            </w:r>
            <w:r w:rsidRPr="00CA7301">
              <w:rPr>
                <w:rFonts w:eastAsia="新細明體" w:cs="Segoe UI"/>
                <w:sz w:val="17"/>
                <w:szCs w:val="17"/>
                <w:lang w:eastAsia="zh-TW"/>
              </w:rPr>
              <w:t>的百分比</w:t>
            </w:r>
            <w:r w:rsidRPr="00CA7301">
              <w:rPr>
                <w:rFonts w:eastAsia="細明體" w:cs="Segoe UI"/>
                <w:sz w:val="17"/>
                <w:szCs w:val="17"/>
                <w:lang w:eastAsia="zh-TW"/>
              </w:rPr>
              <w:t>）</w:t>
            </w:r>
            <w:r w:rsidRPr="00CA7301">
              <w:rPr>
                <w:rFonts w:eastAsia="新細明體" w:cs="Segoe UI"/>
                <w:sz w:val="17"/>
                <w:szCs w:val="17"/>
                <w:lang w:eastAsia="zh-TW"/>
              </w:rPr>
              <w:t>，以</w:t>
            </w:r>
            <w:r w:rsidRPr="00CA7301">
              <w:rPr>
                <w:rFonts w:eastAsiaTheme="minorEastAsia" w:cs="Segoe UI"/>
                <w:sz w:val="17"/>
                <w:szCs w:val="17"/>
                <w:lang w:eastAsia="zh-TW"/>
              </w:rPr>
              <w:t>第</w:t>
            </w:r>
            <w:r w:rsidRPr="00CA7301">
              <w:rPr>
                <w:rFonts w:cs="Segoe UI"/>
                <w:sz w:val="17"/>
                <w:szCs w:val="17"/>
                <w:lang w:eastAsia="zh-TW"/>
              </w:rPr>
              <w:t>59</w:t>
            </w:r>
            <w:r w:rsidRPr="00CA7301">
              <w:rPr>
                <w:rFonts w:eastAsiaTheme="minorEastAsia" w:cs="Segoe UI"/>
                <w:sz w:val="17"/>
                <w:szCs w:val="17"/>
                <w:lang w:eastAsia="zh-TW"/>
              </w:rPr>
              <w:t>行</w:t>
            </w:r>
            <w:r w:rsidRPr="00CA7301">
              <w:rPr>
                <w:rFonts w:eastAsia="新細明體" w:cs="Segoe UI"/>
                <w:sz w:val="17"/>
                <w:szCs w:val="17"/>
                <w:lang w:eastAsia="zh-TW"/>
              </w:rPr>
              <w:t>除以</w:t>
            </w:r>
            <w:r w:rsidRPr="00CA7301">
              <w:rPr>
                <w:rFonts w:eastAsiaTheme="minorEastAsia" w:cs="Segoe UI"/>
                <w:sz w:val="17"/>
                <w:szCs w:val="17"/>
                <w:lang w:eastAsia="zh-TW"/>
              </w:rPr>
              <w:t>第</w:t>
            </w:r>
            <w:r w:rsidRPr="00CA7301">
              <w:rPr>
                <w:rFonts w:cs="Segoe UI"/>
                <w:sz w:val="17"/>
                <w:szCs w:val="17"/>
                <w:lang w:eastAsia="zh-TW"/>
              </w:rPr>
              <w:t>60</w:t>
            </w:r>
            <w:r w:rsidRPr="00CA7301">
              <w:rPr>
                <w:rFonts w:eastAsiaTheme="minorEastAsia" w:cs="Segoe UI"/>
                <w:sz w:val="17"/>
                <w:szCs w:val="17"/>
                <w:lang w:eastAsia="zh-TW"/>
              </w:rPr>
              <w:t>行</w:t>
            </w:r>
            <w:r w:rsidRPr="00CA7301">
              <w:rPr>
                <w:rFonts w:eastAsia="新細明體" w:cs="Segoe UI"/>
                <w:sz w:val="17"/>
                <w:szCs w:val="17"/>
                <w:lang w:eastAsia="zh-TW"/>
              </w:rPr>
              <w:t>計算</w:t>
            </w:r>
            <w:r w:rsidRPr="00CA7301">
              <w:rPr>
                <w:rFonts w:eastAsia="細明體" w:cs="Segoe UI"/>
                <w:sz w:val="17"/>
                <w:szCs w:val="17"/>
                <w:lang w:eastAsia="zh-TW"/>
              </w:rPr>
              <w:t>（</w:t>
            </w:r>
            <w:r w:rsidRPr="00CA7301">
              <w:rPr>
                <w:rFonts w:eastAsia="新細明體" w:cs="Segoe UI"/>
                <w:sz w:val="17"/>
                <w:szCs w:val="17"/>
                <w:lang w:eastAsia="zh-TW"/>
              </w:rPr>
              <w:t>以百分比表示</w:t>
            </w:r>
            <w:r w:rsidRPr="00CA7301">
              <w:rPr>
                <w:rFonts w:eastAsia="細明體" w:cs="Segoe UI"/>
                <w:sz w:val="17"/>
                <w:szCs w:val="17"/>
                <w:lang w:eastAsia="zh-TW"/>
              </w:rPr>
              <w:t>）</w:t>
            </w:r>
            <w:r w:rsidRPr="00CA7301">
              <w:rPr>
                <w:rFonts w:eastAsia="新細明體" w:cs="Segoe UI"/>
                <w:sz w:val="17"/>
                <w:szCs w:val="17"/>
                <w:lang w:eastAsia="zh-TW"/>
              </w:rPr>
              <w:t>。</w:t>
            </w:r>
          </w:p>
        </w:tc>
      </w:tr>
      <w:tr w:rsidR="00CA1B87" w:rsidRPr="00CA7301" w14:paraId="130FFC4E" w14:textId="77777777" w:rsidTr="00F62652">
        <w:trPr>
          <w:trHeight w:val="373"/>
        </w:trPr>
        <w:tc>
          <w:tcPr>
            <w:tcW w:w="551" w:type="dxa"/>
          </w:tcPr>
          <w:p w14:paraId="7B7EC7A4"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64</w:t>
            </w:r>
          </w:p>
        </w:tc>
        <w:tc>
          <w:tcPr>
            <w:tcW w:w="8663" w:type="dxa"/>
          </w:tcPr>
          <w:p w14:paraId="49BDD7E3"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機構特定緩衝資本</w:t>
            </w:r>
            <w:r w:rsidRPr="00CA7301">
              <w:rPr>
                <w:rFonts w:eastAsia="新細明體" w:cs="Segoe UI"/>
                <w:sz w:val="17"/>
                <w:szCs w:val="17"/>
                <w:lang w:eastAsia="it-IT"/>
              </w:rPr>
              <w:t>比率</w:t>
            </w:r>
            <w:r w:rsidRPr="00CA7301">
              <w:rPr>
                <w:rFonts w:eastAsiaTheme="minorEastAsia" w:cs="Segoe UI"/>
                <w:sz w:val="17"/>
                <w:szCs w:val="17"/>
                <w:lang w:eastAsia="zh-TW"/>
              </w:rPr>
              <w:t>要求</w:t>
            </w:r>
            <w:r w:rsidRPr="00CA7301">
              <w:rPr>
                <w:rFonts w:eastAsia="細明體" w:cs="Segoe UI"/>
                <w:sz w:val="17"/>
                <w:szCs w:val="17"/>
                <w:lang w:eastAsia="zh-TW"/>
              </w:rPr>
              <w:t>（</w:t>
            </w:r>
            <w:r w:rsidRPr="00CA7301">
              <w:rPr>
                <w:rFonts w:eastAsiaTheme="minorEastAsia" w:cs="Segoe UI"/>
                <w:sz w:val="17"/>
                <w:szCs w:val="17"/>
                <w:lang w:eastAsia="zh-TW"/>
              </w:rPr>
              <w:t>即防護緩衝資本</w:t>
            </w:r>
            <w:r w:rsidRPr="00CA7301">
              <w:rPr>
                <w:rFonts w:eastAsiaTheme="minorEastAsia" w:cs="Segoe UI"/>
                <w:sz w:val="17"/>
                <w:szCs w:val="17"/>
                <w:lang w:eastAsia="zh-TW"/>
              </w:rPr>
              <w:t>(CB)</w:t>
            </w:r>
            <w:r w:rsidRPr="00CA7301">
              <w:rPr>
                <w:rFonts w:eastAsiaTheme="minorEastAsia" w:cs="Segoe UI"/>
                <w:sz w:val="17"/>
                <w:szCs w:val="17"/>
                <w:lang w:eastAsia="zh-TW"/>
              </w:rPr>
              <w:t>、任何逆周期緩衝資本</w:t>
            </w:r>
            <w:r w:rsidRPr="00CA7301">
              <w:rPr>
                <w:rFonts w:eastAsia="新細明體" w:cs="Segoe UI"/>
                <w:sz w:val="17"/>
                <w:szCs w:val="17"/>
                <w:lang w:eastAsia="it-IT"/>
              </w:rPr>
              <w:t>比率</w:t>
            </w:r>
            <w:r w:rsidRPr="00CA7301">
              <w:rPr>
                <w:rFonts w:cs="Segoe UI"/>
                <w:sz w:val="17"/>
                <w:szCs w:val="17"/>
                <w:lang w:eastAsia="zh-TW"/>
              </w:rPr>
              <w:t>(</w:t>
            </w:r>
            <w:proofErr w:type="spellStart"/>
            <w:r w:rsidRPr="00CA7301">
              <w:rPr>
                <w:rFonts w:cs="Segoe UI"/>
                <w:sz w:val="17"/>
                <w:szCs w:val="17"/>
                <w:lang w:eastAsia="zh-TW"/>
              </w:rPr>
              <w:t>CCyB</w:t>
            </w:r>
            <w:proofErr w:type="spellEnd"/>
            <w:r w:rsidRPr="00CA7301">
              <w:rPr>
                <w:rFonts w:cs="Segoe UI"/>
                <w:sz w:val="17"/>
                <w:szCs w:val="17"/>
                <w:lang w:eastAsia="zh-TW"/>
              </w:rPr>
              <w:t>)</w:t>
            </w:r>
            <w:r w:rsidRPr="00CA7301">
              <w:rPr>
                <w:rFonts w:eastAsiaTheme="minorEastAsia" w:cs="Segoe UI"/>
                <w:sz w:val="17"/>
                <w:szCs w:val="17"/>
                <w:lang w:eastAsia="zh-TW"/>
              </w:rPr>
              <w:t>及任何較高吸收虧損能力</w:t>
            </w:r>
            <w:r w:rsidRPr="00CA7301">
              <w:rPr>
                <w:rFonts w:eastAsia="新細明體" w:cs="Segoe UI"/>
                <w:sz w:val="17"/>
                <w:szCs w:val="17"/>
                <w:lang w:eastAsia="it-IT"/>
              </w:rPr>
              <w:t>比率</w:t>
            </w:r>
            <w:r w:rsidRPr="00CA7301">
              <w:rPr>
                <w:rFonts w:cs="Segoe UI"/>
                <w:sz w:val="17"/>
                <w:szCs w:val="17"/>
                <w:lang w:eastAsia="zh-TW"/>
              </w:rPr>
              <w:t>(HLA)</w:t>
            </w:r>
            <w:r w:rsidRPr="00CA7301">
              <w:rPr>
                <w:rFonts w:eastAsiaTheme="minorEastAsia" w:cs="Segoe UI"/>
                <w:sz w:val="17"/>
                <w:szCs w:val="17"/>
                <w:lang w:eastAsia="zh-TW"/>
              </w:rPr>
              <w:t>要求，全部以</w:t>
            </w:r>
            <w:proofErr w:type="gramStart"/>
            <w:r w:rsidRPr="00CA7301">
              <w:rPr>
                <w:rFonts w:eastAsiaTheme="minorEastAsia" w:cs="Segoe UI"/>
                <w:sz w:val="17"/>
                <w:szCs w:val="17"/>
                <w:lang w:eastAsia="zh-TW"/>
              </w:rPr>
              <w:t>佔</w:t>
            </w:r>
            <w:proofErr w:type="gramEnd"/>
            <w:r w:rsidRPr="00CA7301">
              <w:rPr>
                <w:rFonts w:eastAsiaTheme="minorEastAsia" w:cs="Segoe UI"/>
                <w:sz w:val="17"/>
                <w:szCs w:val="17"/>
                <w:lang w:eastAsia="zh-TW"/>
              </w:rPr>
              <w:t>RWA</w:t>
            </w:r>
            <w:r w:rsidRPr="00CA7301">
              <w:rPr>
                <w:rFonts w:eastAsiaTheme="minorEastAsia" w:cs="Segoe UI"/>
                <w:sz w:val="17"/>
                <w:szCs w:val="17"/>
                <w:lang w:eastAsia="zh-TW"/>
              </w:rPr>
              <w:t>的百分比表示</w:t>
            </w:r>
            <w:r w:rsidRPr="00CA7301">
              <w:rPr>
                <w:rFonts w:eastAsia="細明體" w:cs="Segoe UI"/>
                <w:sz w:val="17"/>
                <w:szCs w:val="17"/>
                <w:lang w:eastAsia="zh-TW"/>
              </w:rPr>
              <w:t>）</w:t>
            </w:r>
            <w:r w:rsidRPr="00CA7301">
              <w:rPr>
                <w:rFonts w:eastAsiaTheme="minorEastAsia" w:cs="Segoe UI"/>
                <w:sz w:val="17"/>
                <w:szCs w:val="17"/>
                <w:lang w:eastAsia="zh-TW"/>
              </w:rPr>
              <w:t>。該要求</w:t>
            </w:r>
            <w:r w:rsidRPr="00CA7301">
              <w:rPr>
                <w:rFonts w:eastAsia="新細明體" w:cs="Segoe UI"/>
                <w:sz w:val="17"/>
                <w:szCs w:val="17"/>
                <w:lang w:eastAsia="zh-TW"/>
              </w:rPr>
              <w:t>根據</w:t>
            </w:r>
            <w:r w:rsidRPr="00CA7301">
              <w:rPr>
                <w:rFonts w:eastAsiaTheme="minorEastAsia" w:cs="Segoe UI"/>
                <w:sz w:val="17"/>
                <w:szCs w:val="17"/>
                <w:lang w:eastAsia="zh-TW"/>
              </w:rPr>
              <w:t>《資本規則》第</w:t>
            </w:r>
            <w:r w:rsidRPr="00CA7301">
              <w:rPr>
                <w:rFonts w:cs="Segoe UI"/>
                <w:sz w:val="17"/>
                <w:szCs w:val="17"/>
                <w:lang w:eastAsia="zh-TW"/>
              </w:rPr>
              <w:t>3M</w:t>
            </w:r>
            <w:r w:rsidRPr="00CA7301">
              <w:rPr>
                <w:rFonts w:eastAsiaTheme="minorEastAsia" w:cs="Segoe UI"/>
                <w:sz w:val="17"/>
                <w:szCs w:val="17"/>
                <w:lang w:eastAsia="zh-TW"/>
              </w:rPr>
              <w:t>條</w:t>
            </w:r>
            <w:r w:rsidRPr="00CA7301">
              <w:rPr>
                <w:rFonts w:eastAsia="細明體" w:cs="Segoe UI"/>
                <w:sz w:val="17"/>
                <w:szCs w:val="17"/>
                <w:lang w:eastAsia="zh-TW"/>
              </w:rPr>
              <w:t>指明</w:t>
            </w:r>
            <w:r w:rsidRPr="00CA7301">
              <w:rPr>
                <w:rFonts w:eastAsiaTheme="minorEastAsia" w:cs="Segoe UI"/>
                <w:sz w:val="17"/>
                <w:szCs w:val="17"/>
                <w:lang w:eastAsia="zh-TW"/>
              </w:rPr>
              <w:t>水平計算</w:t>
            </w:r>
            <w:r w:rsidRPr="00CA7301">
              <w:rPr>
                <w:rFonts w:cs="Segoe UI"/>
                <w:sz w:val="17"/>
                <w:szCs w:val="17"/>
                <w:lang w:eastAsia="zh-TW"/>
              </w:rPr>
              <w:t>CB</w:t>
            </w:r>
            <w:r w:rsidRPr="00CA7301">
              <w:rPr>
                <w:rFonts w:eastAsiaTheme="minorEastAsia" w:cs="Segoe UI"/>
                <w:sz w:val="17"/>
                <w:szCs w:val="17"/>
                <w:lang w:eastAsia="zh-TW"/>
              </w:rPr>
              <w:t>要求，加上機構特定</w:t>
            </w:r>
            <w:proofErr w:type="spellStart"/>
            <w:r w:rsidRPr="00CA7301">
              <w:rPr>
                <w:rFonts w:cs="Segoe UI"/>
                <w:sz w:val="17"/>
                <w:szCs w:val="17"/>
                <w:lang w:eastAsia="zh-TW"/>
              </w:rPr>
              <w:t>CCyB</w:t>
            </w:r>
            <w:proofErr w:type="spellEnd"/>
            <w:r w:rsidRPr="00CA7301">
              <w:rPr>
                <w:rFonts w:eastAsiaTheme="minorEastAsia" w:cs="Segoe UI"/>
                <w:sz w:val="17"/>
                <w:szCs w:val="17"/>
                <w:lang w:eastAsia="zh-TW"/>
              </w:rPr>
              <w:t>要求及機構特定</w:t>
            </w:r>
            <w:r w:rsidRPr="00CA7301">
              <w:rPr>
                <w:rFonts w:cs="Segoe UI"/>
                <w:sz w:val="17"/>
                <w:szCs w:val="17"/>
                <w:lang w:eastAsia="zh-TW"/>
              </w:rPr>
              <w:t>HLA</w:t>
            </w:r>
            <w:r w:rsidRPr="00CA7301">
              <w:rPr>
                <w:rFonts w:eastAsiaTheme="minorEastAsia" w:cs="Segoe UI"/>
                <w:sz w:val="17"/>
                <w:szCs w:val="17"/>
                <w:lang w:eastAsia="zh-TW"/>
              </w:rPr>
              <w:t>要求。</w:t>
            </w:r>
          </w:p>
        </w:tc>
      </w:tr>
      <w:tr w:rsidR="00CA1B87" w:rsidRPr="00CA7301" w14:paraId="5778923C" w14:textId="77777777" w:rsidTr="00F62652">
        <w:trPr>
          <w:trHeight w:val="373"/>
        </w:trPr>
        <w:tc>
          <w:tcPr>
            <w:tcW w:w="551" w:type="dxa"/>
          </w:tcPr>
          <w:p w14:paraId="674EF1D5"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65</w:t>
            </w:r>
          </w:p>
        </w:tc>
        <w:tc>
          <w:tcPr>
            <w:tcW w:w="8663" w:type="dxa"/>
          </w:tcPr>
          <w:p w14:paraId="5AA06CBE"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在</w:t>
            </w:r>
            <w:r w:rsidRPr="00CA7301">
              <w:rPr>
                <w:rFonts w:eastAsiaTheme="minorEastAsia" w:cs="Segoe UI"/>
                <w:sz w:val="17"/>
                <w:szCs w:val="17"/>
                <w:lang w:eastAsia="zh-TW"/>
              </w:rPr>
              <w:t>第</w:t>
            </w:r>
            <w:r w:rsidRPr="00CA7301">
              <w:rPr>
                <w:rFonts w:cs="Segoe UI"/>
                <w:sz w:val="17"/>
                <w:szCs w:val="17"/>
                <w:lang w:eastAsia="zh-TW"/>
              </w:rPr>
              <w:t>64</w:t>
            </w:r>
            <w:r w:rsidRPr="00CA7301">
              <w:rPr>
                <w:rFonts w:eastAsiaTheme="minorEastAsia" w:cs="Segoe UI"/>
                <w:sz w:val="17"/>
                <w:szCs w:val="17"/>
                <w:lang w:eastAsia="zh-TW"/>
              </w:rPr>
              <w:t>行</w:t>
            </w:r>
            <w:r w:rsidRPr="00CA7301">
              <w:rPr>
                <w:rFonts w:eastAsia="新細明體" w:cs="Segoe UI"/>
                <w:sz w:val="17"/>
                <w:szCs w:val="17"/>
                <w:lang w:eastAsia="zh-TW"/>
              </w:rPr>
              <w:t>填報有關</w:t>
            </w:r>
            <w:r w:rsidRPr="00CA7301">
              <w:rPr>
                <w:rFonts w:eastAsia="新細明體" w:cs="Segoe UI"/>
                <w:sz w:val="17"/>
                <w:szCs w:val="17"/>
                <w:lang w:eastAsia="zh-TW"/>
              </w:rPr>
              <w:t>CB</w:t>
            </w:r>
            <w:r w:rsidRPr="00CA7301">
              <w:rPr>
                <w:rFonts w:eastAsia="新細明體" w:cs="Segoe UI"/>
                <w:sz w:val="17"/>
                <w:szCs w:val="17"/>
                <w:lang w:eastAsia="zh-TW"/>
              </w:rPr>
              <w:t>規定的數額</w:t>
            </w:r>
            <w:r w:rsidRPr="00CA7301">
              <w:rPr>
                <w:rFonts w:eastAsia="細明體" w:cs="Segoe UI"/>
                <w:sz w:val="17"/>
                <w:szCs w:val="17"/>
                <w:lang w:eastAsia="zh-TW"/>
              </w:rPr>
              <w:t>（</w:t>
            </w:r>
            <w:r w:rsidRPr="00CA7301">
              <w:rPr>
                <w:rFonts w:eastAsia="新細明體" w:cs="Segoe UI"/>
                <w:sz w:val="17"/>
                <w:szCs w:val="17"/>
                <w:lang w:eastAsia="zh-TW"/>
              </w:rPr>
              <w:t>以</w:t>
            </w:r>
            <w:proofErr w:type="gramStart"/>
            <w:r w:rsidRPr="00CA7301">
              <w:rPr>
                <w:rFonts w:eastAsia="新細明體" w:cs="Segoe UI"/>
                <w:sz w:val="17"/>
                <w:szCs w:val="17"/>
                <w:lang w:eastAsia="zh-TW"/>
              </w:rPr>
              <w:t>佔</w:t>
            </w:r>
            <w:proofErr w:type="gramEnd"/>
            <w:r w:rsidRPr="00CA7301">
              <w:rPr>
                <w:rFonts w:eastAsia="新細明體" w:cs="Segoe UI"/>
                <w:sz w:val="17"/>
                <w:szCs w:val="17"/>
                <w:lang w:eastAsia="zh-TW"/>
              </w:rPr>
              <w:t>RWA</w:t>
            </w:r>
            <w:r w:rsidRPr="00CA7301">
              <w:rPr>
                <w:rFonts w:eastAsia="新細明體" w:cs="Segoe UI"/>
                <w:sz w:val="17"/>
                <w:szCs w:val="17"/>
                <w:lang w:eastAsia="zh-TW"/>
              </w:rPr>
              <w:t>的百分比表示</w:t>
            </w:r>
            <w:r w:rsidRPr="00CA7301">
              <w:rPr>
                <w:rFonts w:eastAsia="細明體" w:cs="Segoe UI"/>
                <w:sz w:val="17"/>
                <w:szCs w:val="17"/>
                <w:lang w:eastAsia="zh-TW"/>
              </w:rPr>
              <w:t>）（</w:t>
            </w:r>
            <w:r w:rsidRPr="00CA7301">
              <w:rPr>
                <w:rFonts w:eastAsia="新細明體" w:cs="Segoe UI"/>
                <w:sz w:val="17"/>
                <w:szCs w:val="17"/>
                <w:lang w:eastAsia="zh-TW"/>
              </w:rPr>
              <w:t>即填報</w:t>
            </w:r>
            <w:r w:rsidRPr="00CA7301">
              <w:rPr>
                <w:rFonts w:eastAsiaTheme="minorEastAsia" w:cs="Segoe UI"/>
                <w:sz w:val="17"/>
                <w:szCs w:val="17"/>
                <w:lang w:eastAsia="zh-TW"/>
              </w:rPr>
              <w:t>《資本規則》第</w:t>
            </w:r>
            <w:r w:rsidRPr="00CA7301">
              <w:rPr>
                <w:rFonts w:cs="Segoe UI"/>
                <w:sz w:val="17"/>
                <w:szCs w:val="17"/>
                <w:lang w:eastAsia="zh-TW"/>
              </w:rPr>
              <w:t>3M</w:t>
            </w:r>
            <w:r w:rsidRPr="00CA7301">
              <w:rPr>
                <w:rFonts w:eastAsiaTheme="minorEastAsia" w:cs="Segoe UI"/>
                <w:sz w:val="17"/>
                <w:szCs w:val="17"/>
                <w:lang w:eastAsia="zh-TW"/>
              </w:rPr>
              <w:t>條</w:t>
            </w:r>
            <w:r w:rsidRPr="00CA7301">
              <w:rPr>
                <w:rFonts w:eastAsia="細明體" w:cs="Segoe UI"/>
                <w:sz w:val="17"/>
                <w:szCs w:val="17"/>
                <w:lang w:eastAsia="zh-TW"/>
              </w:rPr>
              <w:t>指明的水平）</w:t>
            </w:r>
            <w:r w:rsidRPr="00CA7301">
              <w:rPr>
                <w:rFonts w:eastAsia="新細明體" w:cs="Segoe UI"/>
                <w:sz w:val="17"/>
                <w:szCs w:val="17"/>
                <w:lang w:eastAsia="zh-TW"/>
              </w:rPr>
              <w:t>。</w:t>
            </w:r>
          </w:p>
        </w:tc>
      </w:tr>
      <w:tr w:rsidR="00CA1B87" w:rsidRPr="00CA7301" w14:paraId="6BB5C70A" w14:textId="77777777" w:rsidTr="00F62652">
        <w:trPr>
          <w:trHeight w:val="373"/>
        </w:trPr>
        <w:tc>
          <w:tcPr>
            <w:tcW w:w="551" w:type="dxa"/>
          </w:tcPr>
          <w:p w14:paraId="478EE02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66</w:t>
            </w:r>
          </w:p>
        </w:tc>
        <w:tc>
          <w:tcPr>
            <w:tcW w:w="8663" w:type="dxa"/>
          </w:tcPr>
          <w:p w14:paraId="4F397E79"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在</w:t>
            </w:r>
            <w:r w:rsidRPr="00CA7301">
              <w:rPr>
                <w:rFonts w:eastAsiaTheme="minorEastAsia" w:cs="Segoe UI"/>
                <w:sz w:val="17"/>
                <w:szCs w:val="17"/>
                <w:lang w:eastAsia="zh-TW"/>
              </w:rPr>
              <w:t>第</w:t>
            </w:r>
            <w:r w:rsidRPr="00CA7301">
              <w:rPr>
                <w:rFonts w:cs="Segoe UI"/>
                <w:sz w:val="17"/>
                <w:szCs w:val="17"/>
                <w:lang w:eastAsia="zh-TW"/>
              </w:rPr>
              <w:t>64</w:t>
            </w:r>
            <w:r w:rsidRPr="00CA7301">
              <w:rPr>
                <w:rFonts w:eastAsiaTheme="minorEastAsia" w:cs="Segoe UI"/>
                <w:sz w:val="17"/>
                <w:szCs w:val="17"/>
                <w:lang w:eastAsia="zh-TW"/>
              </w:rPr>
              <w:t>行</w:t>
            </w:r>
            <w:r w:rsidRPr="00CA7301">
              <w:rPr>
                <w:rFonts w:eastAsia="新細明體" w:cs="Segoe UI"/>
                <w:sz w:val="17"/>
                <w:szCs w:val="17"/>
                <w:lang w:eastAsia="zh-TW"/>
              </w:rPr>
              <w:t>填報有關機構特定</w:t>
            </w:r>
            <w:proofErr w:type="spellStart"/>
            <w:r w:rsidRPr="00CA7301">
              <w:rPr>
                <w:rFonts w:cs="Segoe UI"/>
                <w:sz w:val="17"/>
                <w:szCs w:val="17"/>
                <w:lang w:eastAsia="zh-TW"/>
              </w:rPr>
              <w:t>CCyB</w:t>
            </w:r>
            <w:proofErr w:type="spellEnd"/>
            <w:r w:rsidRPr="00CA7301">
              <w:rPr>
                <w:rFonts w:eastAsiaTheme="minorEastAsia" w:cs="Segoe UI"/>
                <w:sz w:val="17"/>
                <w:szCs w:val="17"/>
                <w:lang w:eastAsia="zh-TW"/>
              </w:rPr>
              <w:t>規定</w:t>
            </w:r>
            <w:r w:rsidRPr="00CA7301">
              <w:rPr>
                <w:rFonts w:eastAsia="新細明體" w:cs="Segoe UI"/>
                <w:sz w:val="17"/>
                <w:szCs w:val="17"/>
                <w:lang w:eastAsia="zh-TW"/>
              </w:rPr>
              <w:t>的數額</w:t>
            </w:r>
            <w:r w:rsidRPr="00CA7301">
              <w:rPr>
                <w:rFonts w:eastAsia="細明體" w:cs="Segoe UI"/>
                <w:sz w:val="17"/>
                <w:szCs w:val="17"/>
                <w:lang w:eastAsia="zh-TW"/>
              </w:rPr>
              <w:t>（</w:t>
            </w:r>
            <w:r w:rsidRPr="00CA7301">
              <w:rPr>
                <w:rFonts w:eastAsiaTheme="minorEastAsia" w:cs="Segoe UI"/>
                <w:sz w:val="17"/>
                <w:szCs w:val="17"/>
                <w:lang w:eastAsia="zh-TW"/>
              </w:rPr>
              <w:t>相等於在模版</w:t>
            </w:r>
            <w:r w:rsidRPr="00CA7301">
              <w:rPr>
                <w:rFonts w:cs="Segoe UI"/>
                <w:sz w:val="17"/>
                <w:szCs w:val="17"/>
                <w:lang w:eastAsia="zh-TW"/>
              </w:rPr>
              <w:t>CCyB1</w:t>
            </w:r>
            <w:r w:rsidRPr="00CA7301">
              <w:rPr>
                <w:rFonts w:eastAsiaTheme="minorEastAsia" w:cs="Segoe UI"/>
                <w:sz w:val="17"/>
                <w:szCs w:val="17"/>
                <w:lang w:eastAsia="zh-TW"/>
              </w:rPr>
              <w:t>方格</w:t>
            </w:r>
            <w:r w:rsidRPr="00CA7301">
              <w:rPr>
                <w:rFonts w:cs="Segoe UI"/>
                <w:sz w:val="17"/>
                <w:szCs w:val="17"/>
                <w:lang w:eastAsia="zh-TW"/>
              </w:rPr>
              <w:t>N+2/d</w:t>
            </w:r>
            <w:r w:rsidRPr="00CA7301">
              <w:rPr>
                <w:rFonts w:eastAsiaTheme="minorEastAsia" w:cs="Segoe UI"/>
                <w:sz w:val="17"/>
                <w:szCs w:val="17"/>
                <w:lang w:eastAsia="zh-TW"/>
              </w:rPr>
              <w:t>填報的值）。</w:t>
            </w:r>
          </w:p>
        </w:tc>
      </w:tr>
      <w:tr w:rsidR="00CA1B87" w:rsidRPr="00CA7301" w14:paraId="222352C8" w14:textId="77777777" w:rsidTr="00F62652">
        <w:trPr>
          <w:trHeight w:val="373"/>
        </w:trPr>
        <w:tc>
          <w:tcPr>
            <w:tcW w:w="551" w:type="dxa"/>
          </w:tcPr>
          <w:p w14:paraId="37A1B7BB"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67</w:t>
            </w:r>
          </w:p>
        </w:tc>
        <w:tc>
          <w:tcPr>
            <w:tcW w:w="8663" w:type="dxa"/>
          </w:tcPr>
          <w:p w14:paraId="52124664"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在</w:t>
            </w:r>
            <w:r w:rsidRPr="00CA7301">
              <w:rPr>
                <w:rFonts w:eastAsiaTheme="minorEastAsia" w:cs="Segoe UI"/>
                <w:sz w:val="17"/>
                <w:szCs w:val="17"/>
                <w:lang w:eastAsia="zh-TW"/>
              </w:rPr>
              <w:t>第</w:t>
            </w:r>
            <w:r w:rsidRPr="00CA7301">
              <w:rPr>
                <w:rFonts w:cs="Segoe UI"/>
                <w:sz w:val="17"/>
                <w:szCs w:val="17"/>
                <w:lang w:eastAsia="zh-TW"/>
              </w:rPr>
              <w:t>64</w:t>
            </w:r>
            <w:r w:rsidRPr="00CA7301">
              <w:rPr>
                <w:rFonts w:eastAsiaTheme="minorEastAsia" w:cs="Segoe UI"/>
                <w:sz w:val="17"/>
                <w:szCs w:val="17"/>
                <w:lang w:eastAsia="zh-TW"/>
              </w:rPr>
              <w:t>行</w:t>
            </w:r>
            <w:r w:rsidRPr="00CA7301">
              <w:rPr>
                <w:rFonts w:eastAsia="新細明體" w:cs="Segoe UI"/>
                <w:sz w:val="17"/>
                <w:szCs w:val="17"/>
                <w:lang w:eastAsia="zh-TW"/>
              </w:rPr>
              <w:t>填報有關適用於認可機構的任何</w:t>
            </w:r>
            <w:r w:rsidRPr="00CA7301">
              <w:rPr>
                <w:rFonts w:eastAsia="新細明體" w:cs="Segoe UI"/>
                <w:sz w:val="17"/>
                <w:szCs w:val="17"/>
                <w:lang w:eastAsia="zh-TW"/>
              </w:rPr>
              <w:t>HLA</w:t>
            </w:r>
            <w:r w:rsidRPr="00CA7301">
              <w:rPr>
                <w:rFonts w:eastAsia="新細明體" w:cs="Segoe UI"/>
                <w:sz w:val="17"/>
                <w:szCs w:val="17"/>
                <w:lang w:eastAsia="zh-TW"/>
              </w:rPr>
              <w:t>規定的數額</w:t>
            </w:r>
            <w:r w:rsidRPr="00CA7301">
              <w:rPr>
                <w:rFonts w:eastAsia="細明體" w:cs="Segoe UI"/>
                <w:sz w:val="17"/>
                <w:szCs w:val="17"/>
                <w:lang w:eastAsia="zh-TW"/>
              </w:rPr>
              <w:t>（</w:t>
            </w:r>
            <w:r w:rsidRPr="00CA7301">
              <w:rPr>
                <w:rFonts w:eastAsia="新細明體" w:cs="Segoe UI"/>
                <w:sz w:val="17"/>
                <w:szCs w:val="17"/>
                <w:lang w:eastAsia="zh-TW"/>
              </w:rPr>
              <w:t>以</w:t>
            </w:r>
            <w:proofErr w:type="gramStart"/>
            <w:r w:rsidRPr="00CA7301">
              <w:rPr>
                <w:rFonts w:eastAsia="新細明體" w:cs="Segoe UI"/>
                <w:sz w:val="17"/>
                <w:szCs w:val="17"/>
                <w:lang w:eastAsia="zh-TW"/>
              </w:rPr>
              <w:t>佔</w:t>
            </w:r>
            <w:proofErr w:type="gramEnd"/>
            <w:r w:rsidRPr="00CA7301">
              <w:rPr>
                <w:rFonts w:eastAsia="新細明體" w:cs="Segoe UI"/>
                <w:sz w:val="17"/>
                <w:szCs w:val="17"/>
                <w:lang w:eastAsia="zh-TW"/>
              </w:rPr>
              <w:t>RWA</w:t>
            </w:r>
            <w:r w:rsidRPr="00CA7301">
              <w:rPr>
                <w:rFonts w:eastAsia="新細明體" w:cs="Segoe UI"/>
                <w:sz w:val="17"/>
                <w:szCs w:val="17"/>
                <w:lang w:eastAsia="zh-TW"/>
              </w:rPr>
              <w:t>的百分比表示</w:t>
            </w:r>
            <w:r w:rsidRPr="00CA7301">
              <w:rPr>
                <w:rFonts w:eastAsia="細明體" w:cs="Segoe UI"/>
                <w:sz w:val="17"/>
                <w:szCs w:val="17"/>
                <w:lang w:eastAsia="zh-TW"/>
              </w:rPr>
              <w:t>）</w:t>
            </w:r>
            <w:r w:rsidRPr="00CA7301">
              <w:rPr>
                <w:rFonts w:eastAsia="新細明體" w:cs="Segoe UI"/>
                <w:sz w:val="17"/>
                <w:szCs w:val="17"/>
                <w:lang w:eastAsia="zh-TW"/>
              </w:rPr>
              <w:t>。認可機構應填報適用於其作為具全球系統重要性銀行或具本地系統重要性銀行的</w:t>
            </w:r>
            <w:r w:rsidRPr="00CA7301">
              <w:rPr>
                <w:rFonts w:cs="Segoe UI"/>
                <w:sz w:val="17"/>
                <w:szCs w:val="17"/>
                <w:lang w:eastAsia="zh-TW"/>
              </w:rPr>
              <w:t>HLA</w:t>
            </w:r>
            <w:r w:rsidRPr="00CA7301">
              <w:rPr>
                <w:rFonts w:eastAsiaTheme="minorEastAsia" w:cs="Segoe UI"/>
                <w:sz w:val="17"/>
                <w:szCs w:val="17"/>
                <w:lang w:eastAsia="zh-TW"/>
              </w:rPr>
              <w:t>規定，以較高者為</w:t>
            </w:r>
            <w:proofErr w:type="gramStart"/>
            <w:r w:rsidRPr="00CA7301">
              <w:rPr>
                <w:rFonts w:eastAsiaTheme="minorEastAsia" w:cs="Segoe UI"/>
                <w:sz w:val="17"/>
                <w:szCs w:val="17"/>
                <w:lang w:eastAsia="zh-TW"/>
              </w:rPr>
              <w:t>準</w:t>
            </w:r>
            <w:proofErr w:type="gramEnd"/>
            <w:r w:rsidRPr="00CA7301">
              <w:rPr>
                <w:rFonts w:eastAsiaTheme="minorEastAsia" w:cs="Segoe UI"/>
                <w:sz w:val="17"/>
                <w:szCs w:val="17"/>
                <w:lang w:eastAsia="zh-TW"/>
              </w:rPr>
              <w:t>。</w:t>
            </w:r>
          </w:p>
        </w:tc>
      </w:tr>
      <w:tr w:rsidR="00CA1B87" w:rsidRPr="00CA7301" w14:paraId="5EF04FC2" w14:textId="77777777" w:rsidTr="00F62652">
        <w:trPr>
          <w:trHeight w:val="373"/>
        </w:trPr>
        <w:tc>
          <w:tcPr>
            <w:tcW w:w="551" w:type="dxa"/>
          </w:tcPr>
          <w:p w14:paraId="402B7E13"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68</w:t>
            </w:r>
          </w:p>
        </w:tc>
        <w:tc>
          <w:tcPr>
            <w:tcW w:w="8663" w:type="dxa"/>
          </w:tcPr>
          <w:p w14:paraId="5F907A50"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在符合認可機構的最低資本規定後剩餘的</w:t>
            </w:r>
            <w:r w:rsidRPr="00CA7301">
              <w:rPr>
                <w:rFonts w:cs="Segoe UI"/>
                <w:sz w:val="17"/>
                <w:szCs w:val="17"/>
                <w:lang w:eastAsia="zh-TW"/>
              </w:rPr>
              <w:t>CET1</w:t>
            </w:r>
            <w:r w:rsidRPr="00CA7301">
              <w:rPr>
                <w:rFonts w:eastAsiaTheme="minorEastAsia" w:cs="Segoe UI"/>
                <w:sz w:val="17"/>
                <w:szCs w:val="17"/>
                <w:lang w:eastAsia="zh-TW"/>
              </w:rPr>
              <w:t>資本</w:t>
            </w:r>
            <w:r w:rsidRPr="00CA7301">
              <w:rPr>
                <w:rFonts w:eastAsia="細明體" w:cs="Segoe UI"/>
                <w:sz w:val="17"/>
                <w:szCs w:val="17"/>
                <w:lang w:eastAsia="zh-TW"/>
              </w:rPr>
              <w:t>（</w:t>
            </w:r>
            <w:r w:rsidRPr="00CA7301">
              <w:rPr>
                <w:rFonts w:eastAsiaTheme="minorEastAsia" w:cs="Segoe UI"/>
                <w:sz w:val="17"/>
                <w:szCs w:val="17"/>
                <w:lang w:eastAsia="zh-TW"/>
              </w:rPr>
              <w:t>以</w:t>
            </w:r>
            <w:proofErr w:type="gramStart"/>
            <w:r w:rsidRPr="00CA7301">
              <w:rPr>
                <w:rFonts w:eastAsiaTheme="minorEastAsia" w:cs="Segoe UI"/>
                <w:sz w:val="17"/>
                <w:szCs w:val="17"/>
                <w:lang w:eastAsia="zh-TW"/>
              </w:rPr>
              <w:t>佔</w:t>
            </w:r>
            <w:proofErr w:type="gramEnd"/>
            <w:r w:rsidRPr="00CA7301">
              <w:rPr>
                <w:rFonts w:eastAsiaTheme="minorEastAsia" w:cs="Segoe UI"/>
                <w:sz w:val="17"/>
                <w:szCs w:val="17"/>
                <w:lang w:eastAsia="zh-TW"/>
              </w:rPr>
              <w:t>RWA</w:t>
            </w:r>
            <w:r w:rsidRPr="00CA7301">
              <w:rPr>
                <w:rFonts w:eastAsiaTheme="minorEastAsia" w:cs="Segoe UI"/>
                <w:sz w:val="17"/>
                <w:szCs w:val="17"/>
                <w:lang w:eastAsia="zh-TW"/>
              </w:rPr>
              <w:t>的百分比表示</w:t>
            </w:r>
            <w:r w:rsidRPr="00CA7301">
              <w:rPr>
                <w:rFonts w:eastAsia="細明體" w:cs="Segoe UI"/>
                <w:sz w:val="17"/>
                <w:szCs w:val="17"/>
                <w:lang w:eastAsia="zh-TW"/>
              </w:rPr>
              <w:t>）</w:t>
            </w:r>
            <w:r w:rsidRPr="00CA7301">
              <w:rPr>
                <w:rFonts w:eastAsiaTheme="minorEastAsia" w:cs="Segoe UI"/>
                <w:sz w:val="17"/>
                <w:szCs w:val="17"/>
                <w:lang w:eastAsia="zh-TW"/>
              </w:rPr>
              <w:t>；計算方法為以</w:t>
            </w:r>
            <w:r w:rsidRPr="00CA7301">
              <w:rPr>
                <w:rFonts w:cs="Segoe UI"/>
                <w:sz w:val="17"/>
                <w:szCs w:val="17"/>
                <w:lang w:eastAsia="zh-TW"/>
              </w:rPr>
              <w:t>CET1</w:t>
            </w:r>
            <w:r w:rsidRPr="00CA7301">
              <w:rPr>
                <w:rFonts w:eastAsiaTheme="minorEastAsia" w:cs="Segoe UI"/>
                <w:sz w:val="17"/>
                <w:szCs w:val="17"/>
                <w:lang w:eastAsia="zh-TW"/>
              </w:rPr>
              <w:t>資本比率</w:t>
            </w:r>
            <w:r w:rsidRPr="00CA7301">
              <w:rPr>
                <w:rFonts w:eastAsia="細明體" w:cs="Segoe UI"/>
                <w:sz w:val="17"/>
                <w:szCs w:val="17"/>
                <w:lang w:eastAsia="zh-TW"/>
              </w:rPr>
              <w:t>（</w:t>
            </w:r>
            <w:r w:rsidRPr="00CA7301">
              <w:rPr>
                <w:rFonts w:eastAsiaTheme="minorEastAsia" w:cs="Segoe UI"/>
                <w:sz w:val="17"/>
                <w:szCs w:val="17"/>
                <w:lang w:eastAsia="zh-TW"/>
              </w:rPr>
              <w:t>第</w:t>
            </w:r>
            <w:r w:rsidRPr="00CA7301">
              <w:rPr>
                <w:rFonts w:cs="Segoe UI"/>
                <w:sz w:val="17"/>
                <w:szCs w:val="17"/>
                <w:lang w:eastAsia="zh-TW"/>
              </w:rPr>
              <w:t>61</w:t>
            </w:r>
            <w:r w:rsidRPr="00CA7301">
              <w:rPr>
                <w:rFonts w:eastAsiaTheme="minorEastAsia" w:cs="Segoe UI"/>
                <w:sz w:val="17"/>
                <w:szCs w:val="17"/>
                <w:lang w:eastAsia="zh-TW"/>
              </w:rPr>
              <w:t>行</w:t>
            </w:r>
            <w:r w:rsidRPr="00CA7301">
              <w:rPr>
                <w:rFonts w:eastAsia="細明體" w:cs="Segoe UI"/>
                <w:sz w:val="17"/>
                <w:szCs w:val="17"/>
                <w:lang w:eastAsia="zh-TW"/>
              </w:rPr>
              <w:t>）</w:t>
            </w:r>
            <w:r w:rsidRPr="00CA7301">
              <w:rPr>
                <w:rFonts w:eastAsiaTheme="minorEastAsia" w:cs="Segoe UI"/>
                <w:sz w:val="17"/>
                <w:szCs w:val="17"/>
                <w:lang w:eastAsia="zh-TW"/>
              </w:rPr>
              <w:t>減去以下各項比率相加的總和：</w:t>
            </w:r>
            <w:r w:rsidRPr="00CA7301">
              <w:rPr>
                <w:rFonts w:cs="Segoe UI"/>
                <w:sz w:val="17"/>
                <w:szCs w:val="17"/>
                <w:lang w:eastAsia="zh-TW"/>
              </w:rPr>
              <w:t>(</w:t>
            </w:r>
            <w:proofErr w:type="spellStart"/>
            <w:r w:rsidRPr="00CA7301">
              <w:rPr>
                <w:rFonts w:cs="Segoe UI"/>
                <w:sz w:val="17"/>
                <w:szCs w:val="17"/>
                <w:lang w:eastAsia="zh-TW"/>
              </w:rPr>
              <w:t>i</w:t>
            </w:r>
            <w:proofErr w:type="spellEnd"/>
            <w:r w:rsidRPr="00CA7301">
              <w:rPr>
                <w:rFonts w:cs="Segoe UI"/>
                <w:sz w:val="17"/>
                <w:szCs w:val="17"/>
                <w:lang w:eastAsia="zh-TW"/>
              </w:rPr>
              <w:t>)</w:t>
            </w:r>
            <w:r w:rsidRPr="00CA7301">
              <w:rPr>
                <w:rFonts w:eastAsiaTheme="minorEastAsia" w:cs="Segoe UI"/>
                <w:sz w:val="17"/>
                <w:szCs w:val="17"/>
                <w:lang w:eastAsia="zh-TW"/>
              </w:rPr>
              <w:t>《資本規則》第</w:t>
            </w:r>
            <w:r w:rsidRPr="00CA7301">
              <w:rPr>
                <w:rFonts w:cs="Segoe UI"/>
                <w:sz w:val="17"/>
                <w:szCs w:val="17"/>
                <w:lang w:eastAsia="zh-TW"/>
              </w:rPr>
              <w:t>3B</w:t>
            </w:r>
            <w:r w:rsidRPr="00CA7301">
              <w:rPr>
                <w:rFonts w:eastAsiaTheme="minorEastAsia" w:cs="Segoe UI"/>
                <w:sz w:val="17"/>
                <w:szCs w:val="17"/>
                <w:lang w:eastAsia="zh-TW"/>
              </w:rPr>
              <w:t>條規定的</w:t>
            </w:r>
            <w:r w:rsidRPr="00CA7301">
              <w:rPr>
                <w:rFonts w:cs="Segoe UI"/>
                <w:sz w:val="17"/>
                <w:szCs w:val="17"/>
                <w:lang w:eastAsia="zh-TW"/>
              </w:rPr>
              <w:t>4.5%</w:t>
            </w:r>
            <w:r w:rsidRPr="00CA7301">
              <w:rPr>
                <w:rFonts w:eastAsiaTheme="minorEastAsia" w:cs="Segoe UI"/>
                <w:sz w:val="17"/>
                <w:szCs w:val="17"/>
                <w:lang w:eastAsia="zh-TW"/>
              </w:rPr>
              <w:t>最低</w:t>
            </w:r>
            <w:r w:rsidRPr="00CA7301">
              <w:rPr>
                <w:rFonts w:cs="Segoe UI"/>
                <w:sz w:val="17"/>
                <w:szCs w:val="17"/>
                <w:lang w:eastAsia="zh-TW"/>
              </w:rPr>
              <w:t>CET1</w:t>
            </w:r>
            <w:r w:rsidRPr="00CA7301">
              <w:rPr>
                <w:rFonts w:eastAsiaTheme="minorEastAsia" w:cs="Segoe UI"/>
                <w:sz w:val="17"/>
                <w:szCs w:val="17"/>
                <w:lang w:eastAsia="zh-TW"/>
              </w:rPr>
              <w:t>資本比率；以及</w:t>
            </w:r>
            <w:r w:rsidRPr="00CA7301">
              <w:rPr>
                <w:rFonts w:cs="Segoe UI"/>
                <w:sz w:val="17"/>
                <w:szCs w:val="17"/>
                <w:lang w:eastAsia="zh-TW"/>
              </w:rPr>
              <w:t>(ii)</w:t>
            </w:r>
            <w:r w:rsidRPr="00CA7301">
              <w:rPr>
                <w:rFonts w:eastAsiaTheme="minorEastAsia" w:cs="Segoe UI"/>
                <w:sz w:val="17"/>
                <w:szCs w:val="17"/>
                <w:lang w:eastAsia="zh-TW"/>
              </w:rPr>
              <w:t>為符合《資本規則》第</w:t>
            </w:r>
            <w:r w:rsidRPr="00CA7301">
              <w:rPr>
                <w:rFonts w:cs="Segoe UI"/>
                <w:sz w:val="17"/>
                <w:szCs w:val="17"/>
                <w:lang w:eastAsia="zh-TW"/>
              </w:rPr>
              <w:t>43(1)(</w:t>
            </w:r>
            <w:proofErr w:type="gramStart"/>
            <w:r w:rsidRPr="00CA7301">
              <w:rPr>
                <w:rFonts w:cs="Segoe UI"/>
                <w:sz w:val="17"/>
                <w:szCs w:val="17"/>
                <w:lang w:eastAsia="zh-TW"/>
              </w:rPr>
              <w:t>r)</w:t>
            </w:r>
            <w:r w:rsidRPr="00CA7301">
              <w:rPr>
                <w:rFonts w:eastAsiaTheme="minorEastAsia" w:cs="Segoe UI"/>
                <w:sz w:val="17"/>
                <w:szCs w:val="17"/>
                <w:lang w:eastAsia="zh-TW"/>
              </w:rPr>
              <w:t>及</w:t>
            </w:r>
            <w:proofErr w:type="gramEnd"/>
            <w:r w:rsidRPr="00CA7301">
              <w:rPr>
                <w:rFonts w:cs="Segoe UI"/>
                <w:sz w:val="17"/>
                <w:szCs w:val="17"/>
                <w:lang w:eastAsia="zh-TW"/>
              </w:rPr>
              <w:t>47(1)(g)</w:t>
            </w:r>
            <w:r w:rsidRPr="00CA7301">
              <w:rPr>
                <w:rFonts w:eastAsiaTheme="minorEastAsia" w:cs="Segoe UI"/>
                <w:sz w:val="17"/>
                <w:szCs w:val="17"/>
                <w:lang w:eastAsia="zh-TW"/>
              </w:rPr>
              <w:t>條規定的最低一級及總資本比率所須的任何其他</w:t>
            </w:r>
            <w:r w:rsidRPr="00CA7301">
              <w:rPr>
                <w:rFonts w:cs="Segoe UI"/>
                <w:sz w:val="17"/>
                <w:szCs w:val="17"/>
                <w:lang w:eastAsia="zh-TW"/>
              </w:rPr>
              <w:t>CET1</w:t>
            </w:r>
            <w:r w:rsidRPr="00CA7301">
              <w:rPr>
                <w:rFonts w:eastAsiaTheme="minorEastAsia" w:cs="Segoe UI"/>
                <w:sz w:val="17"/>
                <w:szCs w:val="17"/>
                <w:lang w:eastAsia="zh-TW"/>
              </w:rPr>
              <w:t>資本。</w:t>
            </w:r>
          </w:p>
          <w:p w14:paraId="44B13FFB" w14:textId="386887AA" w:rsidR="00CA1B87" w:rsidRPr="00CA7301" w:rsidRDefault="00CA1B87" w:rsidP="00CA1B87">
            <w:pPr>
              <w:spacing w:before="40" w:after="40"/>
              <w:jc w:val="both"/>
              <w:rPr>
                <w:rFonts w:eastAsiaTheme="minorEastAsia" w:cs="Segoe UI"/>
                <w:sz w:val="17"/>
                <w:szCs w:val="17"/>
                <w:lang w:eastAsia="zh-TW"/>
              </w:rPr>
            </w:pPr>
            <w:r w:rsidRPr="00CA7301">
              <w:rPr>
                <w:rFonts w:eastAsiaTheme="minorEastAsia" w:cs="Segoe UI"/>
                <w:sz w:val="17"/>
                <w:szCs w:val="17"/>
                <w:lang w:eastAsia="zh-TW"/>
              </w:rPr>
              <w:t>例如某認可機構有</w:t>
            </w:r>
            <w:r w:rsidRPr="00CA7301">
              <w:rPr>
                <w:rFonts w:cs="Segoe UI"/>
                <w:sz w:val="17"/>
                <w:szCs w:val="17"/>
                <w:lang w:eastAsia="zh-TW"/>
              </w:rPr>
              <w:t>100</w:t>
            </w:r>
            <w:r w:rsidRPr="00CA7301">
              <w:rPr>
                <w:rFonts w:eastAsia="新細明體" w:cs="Segoe UI"/>
                <w:sz w:val="17"/>
                <w:szCs w:val="17"/>
                <w:lang w:eastAsia="zh-TW"/>
              </w:rPr>
              <w:t>單位</w:t>
            </w:r>
            <w:r w:rsidRPr="00CA7301">
              <w:rPr>
                <w:rFonts w:eastAsiaTheme="minorEastAsia" w:cs="Segoe UI"/>
                <w:sz w:val="17"/>
                <w:szCs w:val="17"/>
                <w:lang w:eastAsia="zh-TW"/>
              </w:rPr>
              <w:t>的</w:t>
            </w:r>
            <w:r w:rsidRPr="00CA7301">
              <w:rPr>
                <w:rFonts w:cs="Segoe UI"/>
                <w:sz w:val="17"/>
                <w:szCs w:val="17"/>
                <w:lang w:eastAsia="zh-TW"/>
              </w:rPr>
              <w:t>RWA</w:t>
            </w:r>
            <w:r w:rsidRPr="00CA7301">
              <w:rPr>
                <w:rFonts w:eastAsiaTheme="minorEastAsia" w:cs="Segoe UI"/>
                <w:sz w:val="17"/>
                <w:szCs w:val="17"/>
                <w:lang w:eastAsia="zh-TW"/>
              </w:rPr>
              <w:t>、</w:t>
            </w:r>
            <w:r w:rsidRPr="00CA7301">
              <w:rPr>
                <w:rFonts w:cs="Segoe UI"/>
                <w:sz w:val="17"/>
                <w:szCs w:val="17"/>
                <w:lang w:eastAsia="zh-TW"/>
              </w:rPr>
              <w:t>10</w:t>
            </w:r>
            <w:r w:rsidRPr="00CA7301">
              <w:rPr>
                <w:rFonts w:eastAsia="新細明體" w:cs="Segoe UI"/>
                <w:sz w:val="17"/>
                <w:szCs w:val="17"/>
                <w:lang w:eastAsia="zh-TW"/>
              </w:rPr>
              <w:t>單位</w:t>
            </w:r>
            <w:r w:rsidRPr="00CA7301">
              <w:rPr>
                <w:rFonts w:eastAsiaTheme="minorEastAsia" w:cs="Segoe UI"/>
                <w:sz w:val="17"/>
                <w:szCs w:val="17"/>
                <w:lang w:eastAsia="zh-TW"/>
              </w:rPr>
              <w:t>的</w:t>
            </w:r>
            <w:r w:rsidRPr="00CA7301">
              <w:rPr>
                <w:rFonts w:cs="Segoe UI"/>
                <w:sz w:val="17"/>
                <w:szCs w:val="17"/>
                <w:lang w:eastAsia="zh-TW"/>
              </w:rPr>
              <w:t>CET1</w:t>
            </w:r>
            <w:r w:rsidRPr="00CA7301">
              <w:rPr>
                <w:rFonts w:eastAsiaTheme="minorEastAsia" w:cs="Segoe UI"/>
                <w:sz w:val="17"/>
                <w:szCs w:val="17"/>
                <w:lang w:eastAsia="zh-TW"/>
              </w:rPr>
              <w:t>資本、</w:t>
            </w:r>
            <w:r w:rsidRPr="00CA7301">
              <w:rPr>
                <w:rFonts w:cs="Segoe UI"/>
                <w:sz w:val="17"/>
                <w:szCs w:val="17"/>
                <w:lang w:eastAsia="zh-TW"/>
              </w:rPr>
              <w:t>1.5</w:t>
            </w:r>
            <w:r w:rsidRPr="00CA7301">
              <w:rPr>
                <w:rFonts w:eastAsia="新細明體" w:cs="Segoe UI"/>
                <w:sz w:val="17"/>
                <w:szCs w:val="17"/>
                <w:lang w:eastAsia="zh-TW"/>
              </w:rPr>
              <w:t>單位</w:t>
            </w:r>
            <w:r w:rsidRPr="00CA7301">
              <w:rPr>
                <w:rFonts w:eastAsiaTheme="minorEastAsia" w:cs="Segoe UI"/>
                <w:sz w:val="17"/>
                <w:szCs w:val="17"/>
                <w:lang w:eastAsia="zh-TW"/>
              </w:rPr>
              <w:t>的</w:t>
            </w:r>
            <w:r w:rsidRPr="00CA7301">
              <w:rPr>
                <w:rFonts w:cs="Segoe UI"/>
                <w:sz w:val="17"/>
                <w:szCs w:val="17"/>
                <w:lang w:eastAsia="zh-TW"/>
              </w:rPr>
              <w:t>AT1</w:t>
            </w:r>
            <w:r w:rsidRPr="00CA7301">
              <w:rPr>
                <w:rFonts w:eastAsiaTheme="minorEastAsia" w:cs="Segoe UI"/>
                <w:sz w:val="17"/>
                <w:szCs w:val="17"/>
                <w:lang w:eastAsia="zh-TW"/>
              </w:rPr>
              <w:t>資本，但沒有二級資本。由於該機構沒有任何二級資本，因此須以其</w:t>
            </w:r>
            <w:r w:rsidRPr="00CA7301">
              <w:rPr>
                <w:rFonts w:cs="Segoe UI"/>
                <w:sz w:val="17"/>
                <w:szCs w:val="17"/>
                <w:lang w:eastAsia="zh-TW"/>
              </w:rPr>
              <w:t>CET1</w:t>
            </w:r>
            <w:r w:rsidRPr="00CA7301">
              <w:rPr>
                <w:rFonts w:eastAsiaTheme="minorEastAsia" w:cs="Segoe UI"/>
                <w:sz w:val="17"/>
                <w:szCs w:val="17"/>
                <w:lang w:eastAsia="zh-TW"/>
              </w:rPr>
              <w:t>資本符合</w:t>
            </w:r>
            <w:r w:rsidRPr="00CA7301">
              <w:rPr>
                <w:rFonts w:cs="Segoe UI"/>
                <w:sz w:val="17"/>
                <w:szCs w:val="17"/>
                <w:lang w:eastAsia="zh-TW"/>
              </w:rPr>
              <w:t>8%</w:t>
            </w:r>
            <w:r w:rsidRPr="00CA7301">
              <w:rPr>
                <w:rFonts w:eastAsiaTheme="minorEastAsia" w:cs="Segoe UI"/>
                <w:sz w:val="17"/>
                <w:szCs w:val="17"/>
                <w:lang w:eastAsia="zh-TW"/>
              </w:rPr>
              <w:t>的最低資本規定。剩餘可用作符合其他規定</w:t>
            </w:r>
            <w:r w:rsidRPr="00CA7301">
              <w:rPr>
                <w:rFonts w:eastAsia="細明體" w:cs="Segoe UI"/>
                <w:sz w:val="17"/>
                <w:szCs w:val="17"/>
                <w:lang w:eastAsia="zh-TW"/>
              </w:rPr>
              <w:t>（</w:t>
            </w:r>
            <w:r w:rsidRPr="00CA7301">
              <w:rPr>
                <w:rFonts w:eastAsiaTheme="minorEastAsia" w:cs="Segoe UI"/>
                <w:sz w:val="17"/>
                <w:szCs w:val="17"/>
                <w:lang w:eastAsia="zh-TW"/>
              </w:rPr>
              <w:t>可能包括第二支柱或緩衝資本規定</w:t>
            </w:r>
            <w:r w:rsidRPr="00CA7301">
              <w:rPr>
                <w:rFonts w:eastAsia="細明體" w:cs="Segoe UI"/>
                <w:sz w:val="17"/>
                <w:szCs w:val="17"/>
                <w:lang w:eastAsia="zh-TW"/>
              </w:rPr>
              <w:t>）</w:t>
            </w:r>
            <w:r w:rsidRPr="00CA7301">
              <w:rPr>
                <w:rFonts w:eastAsiaTheme="minorEastAsia" w:cs="Segoe UI"/>
                <w:sz w:val="17"/>
                <w:szCs w:val="17"/>
                <w:lang w:eastAsia="zh-TW"/>
              </w:rPr>
              <w:t>的淨</w:t>
            </w:r>
            <w:r w:rsidRPr="00CA7301">
              <w:rPr>
                <w:rFonts w:cs="Segoe UI"/>
                <w:sz w:val="17"/>
                <w:szCs w:val="17"/>
                <w:lang w:eastAsia="zh-TW"/>
              </w:rPr>
              <w:t>CET1</w:t>
            </w:r>
            <w:r w:rsidRPr="00CA7301">
              <w:rPr>
                <w:rFonts w:eastAsiaTheme="minorEastAsia" w:cs="Segoe UI"/>
                <w:sz w:val="17"/>
                <w:szCs w:val="17"/>
                <w:lang w:eastAsia="zh-TW"/>
              </w:rPr>
              <w:t>資本將會為</w:t>
            </w:r>
            <w:r w:rsidRPr="00CA7301">
              <w:rPr>
                <w:rFonts w:cs="Segoe UI"/>
                <w:sz w:val="17"/>
                <w:szCs w:val="17"/>
                <w:lang w:eastAsia="zh-TW"/>
              </w:rPr>
              <w:t xml:space="preserve">10 </w:t>
            </w:r>
            <w:r w:rsidRPr="00CA7301">
              <w:rPr>
                <w:rFonts w:eastAsiaTheme="minorEastAsia" w:cs="Segoe UI"/>
                <w:sz w:val="17"/>
                <w:szCs w:val="17"/>
                <w:lang w:eastAsia="zh-TW"/>
              </w:rPr>
              <w:t xml:space="preserve">- </w:t>
            </w:r>
            <w:r w:rsidRPr="00CA7301">
              <w:rPr>
                <w:rFonts w:cs="Segoe UI"/>
                <w:sz w:val="17"/>
                <w:szCs w:val="17"/>
                <w:lang w:eastAsia="zh-TW"/>
              </w:rPr>
              <w:t xml:space="preserve">4.5 </w:t>
            </w:r>
            <w:r w:rsidRPr="00CA7301">
              <w:rPr>
                <w:rFonts w:eastAsiaTheme="minorEastAsia" w:cs="Segoe UI"/>
                <w:sz w:val="17"/>
                <w:szCs w:val="17"/>
                <w:lang w:eastAsia="zh-TW"/>
              </w:rPr>
              <w:t>-</w:t>
            </w:r>
            <w:r w:rsidRPr="00CA7301">
              <w:rPr>
                <w:rFonts w:cs="Segoe UI"/>
                <w:sz w:val="17"/>
                <w:szCs w:val="17"/>
                <w:lang w:eastAsia="zh-TW"/>
              </w:rPr>
              <w:t xml:space="preserve"> 2 = 3.5</w:t>
            </w:r>
            <w:r w:rsidRPr="00CA7301">
              <w:rPr>
                <w:rFonts w:eastAsiaTheme="minorEastAsia" w:cs="Segoe UI"/>
                <w:sz w:val="17"/>
                <w:szCs w:val="17"/>
                <w:lang w:eastAsia="zh-TW"/>
              </w:rPr>
              <w:t>。</w:t>
            </w:r>
          </w:p>
        </w:tc>
      </w:tr>
      <w:tr w:rsidR="00CA1B87" w:rsidRPr="00CA7301" w14:paraId="2E4EC1F1" w14:textId="77777777" w:rsidTr="00F62652">
        <w:trPr>
          <w:trHeight w:val="373"/>
        </w:trPr>
        <w:tc>
          <w:tcPr>
            <w:tcW w:w="551" w:type="dxa"/>
          </w:tcPr>
          <w:p w14:paraId="44309B92"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69</w:t>
            </w:r>
          </w:p>
        </w:tc>
        <w:tc>
          <w:tcPr>
            <w:tcW w:w="8663" w:type="dxa"/>
            <w:shd w:val="clear" w:color="auto" w:fill="FFFF00"/>
          </w:tcPr>
          <w:p w14:paraId="17CCFE91" w14:textId="1D295010"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香港規定有</w:t>
            </w:r>
            <w:r w:rsidRPr="00CA7301">
              <w:rPr>
                <w:rFonts w:eastAsia="新細明體" w:cs="Segoe UI"/>
                <w:sz w:val="17"/>
                <w:szCs w:val="17"/>
                <w:lang w:eastAsia="zh-TW"/>
              </w:rPr>
              <w:t>關</w:t>
            </w:r>
            <w:r w:rsidRPr="00CA7301">
              <w:rPr>
                <w:rFonts w:eastAsiaTheme="minorEastAsia" w:cs="Segoe UI"/>
                <w:sz w:val="17"/>
                <w:szCs w:val="17"/>
                <w:lang w:eastAsia="zh-TW"/>
              </w:rPr>
              <w:t>CET1</w:t>
            </w:r>
            <w:r w:rsidRPr="00CA7301">
              <w:rPr>
                <w:rFonts w:eastAsiaTheme="minorEastAsia" w:cs="Segoe UI"/>
                <w:sz w:val="17"/>
                <w:szCs w:val="17"/>
                <w:lang w:eastAsia="zh-TW"/>
              </w:rPr>
              <w:t>資本比率與《巴塞爾協定三》相同，故此行不適用於香港。</w:t>
            </w:r>
          </w:p>
        </w:tc>
      </w:tr>
      <w:tr w:rsidR="00CA1B87" w:rsidRPr="00CA7301" w14:paraId="6973DDAB" w14:textId="77777777" w:rsidTr="00F62652">
        <w:trPr>
          <w:trHeight w:val="373"/>
        </w:trPr>
        <w:tc>
          <w:tcPr>
            <w:tcW w:w="551" w:type="dxa"/>
          </w:tcPr>
          <w:p w14:paraId="1E72F60C"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70</w:t>
            </w:r>
          </w:p>
        </w:tc>
        <w:tc>
          <w:tcPr>
            <w:tcW w:w="8663" w:type="dxa"/>
            <w:shd w:val="clear" w:color="auto" w:fill="FFFF00"/>
          </w:tcPr>
          <w:p w14:paraId="3B55E661"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香港規定有</w:t>
            </w:r>
            <w:r w:rsidRPr="00CA7301">
              <w:rPr>
                <w:rFonts w:eastAsia="新細明體" w:cs="Segoe UI"/>
                <w:sz w:val="17"/>
                <w:szCs w:val="17"/>
                <w:lang w:eastAsia="zh-TW"/>
              </w:rPr>
              <w:t>關</w:t>
            </w:r>
            <w:r w:rsidRPr="00CA7301">
              <w:rPr>
                <w:rFonts w:eastAsiaTheme="minorEastAsia" w:cs="Segoe UI"/>
                <w:sz w:val="17"/>
                <w:szCs w:val="17"/>
                <w:lang w:eastAsia="zh-TW"/>
              </w:rPr>
              <w:t>一級資本比率與《巴塞爾協定三》相同，故此行不適用於香港。</w:t>
            </w:r>
          </w:p>
        </w:tc>
      </w:tr>
      <w:tr w:rsidR="00CA1B87" w:rsidRPr="00CA7301" w14:paraId="470F6C79" w14:textId="77777777" w:rsidTr="00F62652">
        <w:trPr>
          <w:trHeight w:val="373"/>
        </w:trPr>
        <w:tc>
          <w:tcPr>
            <w:tcW w:w="551" w:type="dxa"/>
          </w:tcPr>
          <w:p w14:paraId="1D0BDF6F"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71</w:t>
            </w:r>
          </w:p>
        </w:tc>
        <w:tc>
          <w:tcPr>
            <w:tcW w:w="8663" w:type="dxa"/>
            <w:shd w:val="clear" w:color="auto" w:fill="FFFF00"/>
          </w:tcPr>
          <w:p w14:paraId="6B8777E5" w14:textId="77777777" w:rsidR="00CA1B87" w:rsidRPr="00CA7301" w:rsidRDefault="00CA1B87" w:rsidP="00CA1B87">
            <w:pPr>
              <w:spacing w:before="40" w:after="40"/>
              <w:jc w:val="both"/>
              <w:rPr>
                <w:rFonts w:cs="Segoe UI"/>
                <w:sz w:val="17"/>
                <w:szCs w:val="17"/>
                <w:lang w:eastAsia="zh-TW"/>
              </w:rPr>
            </w:pPr>
            <w:r w:rsidRPr="00CA7301">
              <w:rPr>
                <w:rFonts w:eastAsiaTheme="minorEastAsia" w:cs="Segoe UI"/>
                <w:sz w:val="17"/>
                <w:szCs w:val="17"/>
                <w:lang w:eastAsia="zh-TW"/>
              </w:rPr>
              <w:t>香港規定有</w:t>
            </w:r>
            <w:r w:rsidRPr="00CA7301">
              <w:rPr>
                <w:rFonts w:eastAsia="新細明體" w:cs="Segoe UI"/>
                <w:sz w:val="17"/>
                <w:szCs w:val="17"/>
                <w:lang w:eastAsia="zh-TW"/>
              </w:rPr>
              <w:t>關</w:t>
            </w:r>
            <w:r w:rsidRPr="00CA7301">
              <w:rPr>
                <w:rFonts w:eastAsiaTheme="minorEastAsia" w:cs="Segoe UI"/>
                <w:sz w:val="17"/>
                <w:szCs w:val="17"/>
                <w:lang w:eastAsia="zh-TW"/>
              </w:rPr>
              <w:t>總資本比率與《巴塞爾協定三》相同，故此行不適用於香港。</w:t>
            </w:r>
          </w:p>
        </w:tc>
      </w:tr>
      <w:tr w:rsidR="00CA1B87" w:rsidRPr="00CA7301" w14:paraId="43B1D516" w14:textId="77777777" w:rsidTr="00F62652">
        <w:trPr>
          <w:trHeight w:val="373"/>
        </w:trPr>
        <w:tc>
          <w:tcPr>
            <w:tcW w:w="551" w:type="dxa"/>
          </w:tcPr>
          <w:p w14:paraId="35C14788"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72</w:t>
            </w:r>
          </w:p>
        </w:tc>
        <w:tc>
          <w:tcPr>
            <w:tcW w:w="8663" w:type="dxa"/>
          </w:tcPr>
          <w:p w14:paraId="52E2039F" w14:textId="77777777" w:rsidR="00CA1B87" w:rsidRPr="00CA7301" w:rsidRDefault="00CA1B87" w:rsidP="00C42BE0">
            <w:pPr>
              <w:spacing w:before="40" w:after="40"/>
              <w:jc w:val="both"/>
              <w:rPr>
                <w:rFonts w:cs="Segoe UI"/>
                <w:sz w:val="17"/>
                <w:szCs w:val="17"/>
                <w:lang w:eastAsia="zh-TW"/>
              </w:rPr>
            </w:pPr>
            <w:r w:rsidRPr="00CA7301">
              <w:rPr>
                <w:rFonts w:eastAsia="新細明體" w:cs="Segoe UI"/>
                <w:sz w:val="17"/>
                <w:szCs w:val="17"/>
                <w:lang w:eastAsia="zh-TW"/>
              </w:rPr>
              <w:t>並未於第</w:t>
            </w:r>
            <w:r w:rsidRPr="00CA7301">
              <w:rPr>
                <w:rFonts w:cs="Segoe UI"/>
                <w:sz w:val="17"/>
                <w:szCs w:val="17"/>
                <w:lang w:eastAsia="zh-TW"/>
              </w:rPr>
              <w:t>18</w:t>
            </w:r>
            <w:r w:rsidRPr="00CA7301">
              <w:rPr>
                <w:rFonts w:eastAsiaTheme="minorEastAsia" w:cs="Segoe UI"/>
                <w:sz w:val="17"/>
                <w:szCs w:val="17"/>
                <w:lang w:eastAsia="zh-TW"/>
              </w:rPr>
              <w:t>、</w:t>
            </w:r>
            <w:r w:rsidRPr="00CA7301">
              <w:rPr>
                <w:rFonts w:cs="Segoe UI"/>
                <w:sz w:val="17"/>
                <w:szCs w:val="17"/>
                <w:lang w:eastAsia="zh-TW"/>
              </w:rPr>
              <w:t>39</w:t>
            </w:r>
            <w:r w:rsidRPr="00CA7301">
              <w:rPr>
                <w:rFonts w:eastAsiaTheme="minorEastAsia" w:cs="Segoe UI"/>
                <w:sz w:val="17"/>
                <w:szCs w:val="17"/>
                <w:lang w:eastAsia="zh-TW"/>
              </w:rPr>
              <w:t>及</w:t>
            </w:r>
            <w:r w:rsidRPr="00CA7301">
              <w:rPr>
                <w:rFonts w:cs="Segoe UI"/>
                <w:sz w:val="17"/>
                <w:szCs w:val="17"/>
                <w:lang w:eastAsia="zh-TW"/>
              </w:rPr>
              <w:t>54</w:t>
            </w:r>
            <w:r w:rsidRPr="00CA7301">
              <w:rPr>
                <w:rFonts w:eastAsiaTheme="minorEastAsia" w:cs="Segoe UI"/>
                <w:sz w:val="17"/>
                <w:szCs w:val="17"/>
                <w:lang w:eastAsia="zh-TW"/>
              </w:rPr>
              <w:t>行填報的、對由</w:t>
            </w:r>
            <w:r w:rsidRPr="00CA7301">
              <w:rPr>
                <w:rFonts w:eastAsia="新細明體" w:cs="Segoe UI"/>
                <w:sz w:val="17"/>
                <w:szCs w:val="17"/>
                <w:lang w:eastAsia="zh-TW"/>
              </w:rPr>
              <w:t>在監管綜合範圍以外的金融業實體發行的</w:t>
            </w:r>
            <w:r w:rsidRPr="00CA7301">
              <w:rPr>
                <w:rFonts w:cs="Segoe UI"/>
                <w:sz w:val="17"/>
                <w:szCs w:val="17"/>
                <w:lang w:eastAsia="zh-TW"/>
              </w:rPr>
              <w:t>CET1</w:t>
            </w:r>
            <w:r w:rsidRPr="00CA7301">
              <w:rPr>
                <w:rFonts w:eastAsia="新細明體" w:cs="Segoe UI"/>
                <w:sz w:val="17"/>
                <w:szCs w:val="17"/>
                <w:lang w:eastAsia="zh-TW"/>
              </w:rPr>
              <w:t>資本票據、</w:t>
            </w:r>
            <w:r w:rsidRPr="00CA7301">
              <w:rPr>
                <w:rFonts w:cs="Segoe UI"/>
                <w:sz w:val="17"/>
                <w:szCs w:val="17"/>
                <w:lang w:eastAsia="zh-TW"/>
              </w:rPr>
              <w:t>AT1</w:t>
            </w:r>
            <w:r w:rsidRPr="00CA7301">
              <w:rPr>
                <w:rFonts w:eastAsia="新細明體" w:cs="Segoe UI"/>
                <w:sz w:val="17"/>
                <w:szCs w:val="17"/>
                <w:lang w:eastAsia="zh-TW"/>
              </w:rPr>
              <w:t>資本票據</w:t>
            </w:r>
            <w:r w:rsidR="00C42BE0">
              <w:rPr>
                <w:rFonts w:eastAsia="新細明體" w:cs="Segoe UI" w:hint="eastAsia"/>
                <w:sz w:val="17"/>
                <w:szCs w:val="17"/>
                <w:lang w:eastAsia="zh-TW"/>
              </w:rPr>
              <w:t>、</w:t>
            </w:r>
            <w:r w:rsidRPr="00CA7301">
              <w:rPr>
                <w:rFonts w:eastAsia="新細明體" w:cs="Segoe UI"/>
                <w:sz w:val="17"/>
                <w:szCs w:val="17"/>
                <w:lang w:eastAsia="zh-TW"/>
              </w:rPr>
              <w:t>二級資本票據</w:t>
            </w:r>
            <w:r w:rsidR="00C42BE0" w:rsidRPr="00CA7301">
              <w:rPr>
                <w:rFonts w:eastAsia="新細明體" w:cs="Segoe UI"/>
                <w:sz w:val="17"/>
                <w:szCs w:val="17"/>
                <w:lang w:eastAsia="zh-TW"/>
              </w:rPr>
              <w:t>及</w:t>
            </w:r>
            <w:r w:rsidR="00C42BE0" w:rsidRPr="00697865">
              <w:rPr>
                <w:rFonts w:eastAsia="新細明體" w:cs="Segoe UI" w:hint="eastAsia"/>
                <w:sz w:val="17"/>
                <w:szCs w:val="17"/>
                <w:lang w:eastAsia="zh-TW"/>
              </w:rPr>
              <w:t>非資本</w:t>
            </w:r>
            <w:r w:rsidR="00C42BE0" w:rsidRPr="00697865">
              <w:rPr>
                <w:rFonts w:eastAsia="新細明體" w:cs="Segoe UI"/>
                <w:sz w:val="17"/>
                <w:szCs w:val="17"/>
                <w:lang w:eastAsia="zh-TW"/>
              </w:rPr>
              <w:t>LAC</w:t>
            </w:r>
            <w:r w:rsidR="00C42BE0" w:rsidRPr="00697865">
              <w:rPr>
                <w:rFonts w:eastAsia="新細明體" w:cs="Segoe UI" w:hint="eastAsia"/>
                <w:sz w:val="17"/>
                <w:szCs w:val="17"/>
                <w:lang w:eastAsia="zh-TW"/>
              </w:rPr>
              <w:t>負債</w:t>
            </w:r>
            <w:r w:rsidRPr="00CA7301">
              <w:rPr>
                <w:rFonts w:eastAsia="新細明體" w:cs="Segoe UI"/>
                <w:sz w:val="17"/>
                <w:szCs w:val="17"/>
                <w:lang w:eastAsia="zh-TW"/>
              </w:rPr>
              <w:t>的非重大</w:t>
            </w:r>
            <w:r w:rsidR="00C42BE0">
              <w:rPr>
                <w:rFonts w:eastAsia="新細明體" w:cs="Segoe UI" w:hint="eastAsia"/>
                <w:sz w:val="17"/>
                <w:szCs w:val="17"/>
                <w:lang w:eastAsia="zh-TW"/>
              </w:rPr>
              <w:t>LAC</w:t>
            </w:r>
            <w:r w:rsidRPr="00CA7301">
              <w:rPr>
                <w:rFonts w:eastAsia="新細明體" w:cs="Segoe UI"/>
                <w:sz w:val="17"/>
                <w:szCs w:val="17"/>
                <w:lang w:eastAsia="zh-TW"/>
              </w:rPr>
              <w:t>投資</w:t>
            </w:r>
            <w:r w:rsidRPr="00CA7301">
              <w:rPr>
                <w:rFonts w:eastAsiaTheme="minorEastAsia" w:cs="Segoe UI"/>
                <w:sz w:val="17"/>
                <w:szCs w:val="17"/>
                <w:lang w:eastAsia="zh-TW"/>
              </w:rPr>
              <w:t>。</w:t>
            </w:r>
          </w:p>
        </w:tc>
      </w:tr>
      <w:tr w:rsidR="00CA1B87" w:rsidRPr="00CA7301" w14:paraId="22C14F38" w14:textId="77777777" w:rsidTr="00F62652">
        <w:trPr>
          <w:trHeight w:val="373"/>
        </w:trPr>
        <w:tc>
          <w:tcPr>
            <w:tcW w:w="551" w:type="dxa"/>
          </w:tcPr>
          <w:p w14:paraId="18487D2B"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73</w:t>
            </w:r>
          </w:p>
        </w:tc>
        <w:tc>
          <w:tcPr>
            <w:tcW w:w="8663" w:type="dxa"/>
          </w:tcPr>
          <w:p w14:paraId="2FF69BBC" w14:textId="77777777" w:rsidR="00CA1B87" w:rsidRPr="00CA7301" w:rsidRDefault="00CA1B87" w:rsidP="00C42BE0">
            <w:pPr>
              <w:spacing w:before="40" w:after="40"/>
              <w:jc w:val="both"/>
              <w:rPr>
                <w:rFonts w:cs="Segoe UI"/>
                <w:sz w:val="17"/>
                <w:szCs w:val="17"/>
                <w:lang w:eastAsia="zh-TW"/>
              </w:rPr>
            </w:pPr>
            <w:r w:rsidRPr="00CA7301">
              <w:rPr>
                <w:rFonts w:eastAsia="新細明體" w:cs="Segoe UI"/>
                <w:sz w:val="17"/>
                <w:szCs w:val="17"/>
                <w:lang w:eastAsia="zh-TW"/>
              </w:rPr>
              <w:t>並未於</w:t>
            </w:r>
            <w:r w:rsidRPr="00CA7301">
              <w:rPr>
                <w:rFonts w:eastAsiaTheme="minorEastAsia" w:cs="Segoe UI"/>
                <w:sz w:val="17"/>
                <w:szCs w:val="17"/>
                <w:lang w:eastAsia="zh-TW"/>
              </w:rPr>
              <w:t>第</w:t>
            </w:r>
            <w:r w:rsidRPr="00CA7301">
              <w:rPr>
                <w:rFonts w:cs="Segoe UI"/>
                <w:sz w:val="17"/>
                <w:szCs w:val="17"/>
                <w:lang w:eastAsia="zh-TW"/>
              </w:rPr>
              <w:t>19</w:t>
            </w:r>
            <w:r w:rsidRPr="00CA7301">
              <w:rPr>
                <w:rFonts w:eastAsiaTheme="minorEastAsia" w:cs="Segoe UI"/>
                <w:sz w:val="17"/>
                <w:szCs w:val="17"/>
                <w:lang w:eastAsia="zh-TW"/>
              </w:rPr>
              <w:t>及</w:t>
            </w:r>
            <w:r w:rsidRPr="00CA7301">
              <w:rPr>
                <w:rFonts w:cs="Segoe UI"/>
                <w:sz w:val="17"/>
                <w:szCs w:val="17"/>
                <w:lang w:eastAsia="zh-TW"/>
              </w:rPr>
              <w:t>23</w:t>
            </w:r>
            <w:r w:rsidRPr="00CA7301">
              <w:rPr>
                <w:rFonts w:eastAsiaTheme="minorEastAsia" w:cs="Segoe UI"/>
                <w:sz w:val="17"/>
                <w:szCs w:val="17"/>
                <w:lang w:eastAsia="zh-TW"/>
              </w:rPr>
              <w:t>行填報的、對由</w:t>
            </w:r>
            <w:r w:rsidRPr="00CA7301">
              <w:rPr>
                <w:rFonts w:eastAsia="新細明體" w:cs="Segoe UI"/>
                <w:sz w:val="17"/>
                <w:szCs w:val="17"/>
                <w:lang w:eastAsia="zh-TW"/>
              </w:rPr>
              <w:t>在監管綜合範圍以外的金融業實體發行的</w:t>
            </w:r>
            <w:r w:rsidRPr="00CA7301">
              <w:rPr>
                <w:rFonts w:cs="Segoe UI"/>
                <w:sz w:val="17"/>
                <w:szCs w:val="17"/>
                <w:lang w:eastAsia="zh-TW"/>
              </w:rPr>
              <w:t>CET1</w:t>
            </w:r>
            <w:r w:rsidRPr="00CA7301">
              <w:rPr>
                <w:rFonts w:eastAsia="新細明體" w:cs="Segoe UI"/>
                <w:sz w:val="17"/>
                <w:szCs w:val="17"/>
                <w:lang w:eastAsia="zh-TW"/>
              </w:rPr>
              <w:t>資本票據的重大</w:t>
            </w:r>
            <w:r w:rsidR="00C42BE0">
              <w:rPr>
                <w:rFonts w:eastAsia="新細明體" w:cs="Segoe UI" w:hint="eastAsia"/>
                <w:sz w:val="17"/>
                <w:szCs w:val="17"/>
                <w:lang w:eastAsia="zh-TW"/>
              </w:rPr>
              <w:t>LAC</w:t>
            </w:r>
            <w:r w:rsidRPr="00CA7301">
              <w:rPr>
                <w:rFonts w:eastAsia="新細明體" w:cs="Segoe UI"/>
                <w:sz w:val="17"/>
                <w:szCs w:val="17"/>
                <w:lang w:eastAsia="zh-TW"/>
              </w:rPr>
              <w:t>投資</w:t>
            </w:r>
            <w:r w:rsidRPr="00CA7301">
              <w:rPr>
                <w:rFonts w:eastAsiaTheme="minorEastAsia" w:cs="Segoe UI"/>
                <w:sz w:val="17"/>
                <w:szCs w:val="17"/>
                <w:lang w:eastAsia="zh-TW"/>
              </w:rPr>
              <w:t>。</w:t>
            </w:r>
            <w:r w:rsidRPr="00CA7301">
              <w:rPr>
                <w:rFonts w:cs="Segoe UI"/>
                <w:sz w:val="17"/>
                <w:szCs w:val="17"/>
                <w:lang w:eastAsia="zh-TW"/>
              </w:rPr>
              <w:t xml:space="preserve"> </w:t>
            </w:r>
          </w:p>
        </w:tc>
      </w:tr>
      <w:tr w:rsidR="00CA1B87" w:rsidRPr="00CA7301" w14:paraId="59C37D6A" w14:textId="77777777" w:rsidTr="00F62652">
        <w:trPr>
          <w:trHeight w:val="373"/>
        </w:trPr>
        <w:tc>
          <w:tcPr>
            <w:tcW w:w="551" w:type="dxa"/>
          </w:tcPr>
          <w:p w14:paraId="6D08DB9A"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74</w:t>
            </w:r>
          </w:p>
        </w:tc>
        <w:tc>
          <w:tcPr>
            <w:tcW w:w="8663" w:type="dxa"/>
            <w:shd w:val="clear" w:color="auto" w:fill="FFFF00"/>
          </w:tcPr>
          <w:p w14:paraId="07DD8EFF"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由於按</w:t>
            </w:r>
            <w:proofErr w:type="gramStart"/>
            <w:r w:rsidRPr="00CA7301">
              <w:rPr>
                <w:rFonts w:eastAsia="新細明體" w:cs="Segoe UI"/>
                <w:sz w:val="17"/>
                <w:szCs w:val="17"/>
                <w:lang w:eastAsia="zh-TW"/>
              </w:rPr>
              <w:t>揭供款</w:t>
            </w:r>
            <w:proofErr w:type="gramEnd"/>
            <w:r w:rsidRPr="00CA7301">
              <w:rPr>
                <w:rFonts w:eastAsia="新細明體" w:cs="Segoe UI"/>
                <w:sz w:val="17"/>
                <w:szCs w:val="17"/>
                <w:lang w:eastAsia="zh-TW"/>
              </w:rPr>
              <w:t>管理權須予全數扣減，因此</w:t>
            </w:r>
            <w:proofErr w:type="gramStart"/>
            <w:r w:rsidRPr="00CA7301">
              <w:rPr>
                <w:rFonts w:eastAsia="新細明體" w:cs="Segoe UI"/>
                <w:sz w:val="17"/>
                <w:szCs w:val="17"/>
                <w:lang w:eastAsia="zh-TW"/>
              </w:rPr>
              <w:t>此</w:t>
            </w:r>
            <w:proofErr w:type="gramEnd"/>
            <w:r w:rsidRPr="00CA7301">
              <w:rPr>
                <w:rFonts w:eastAsia="新細明體" w:cs="Segoe UI"/>
                <w:sz w:val="17"/>
                <w:szCs w:val="17"/>
                <w:lang w:eastAsia="zh-TW"/>
              </w:rPr>
              <w:t>行不適用於香港。請參閱</w:t>
            </w:r>
            <w:r w:rsidRPr="00CA7301">
              <w:rPr>
                <w:rFonts w:eastAsiaTheme="minorEastAsia" w:cs="Segoe UI"/>
                <w:sz w:val="17"/>
                <w:szCs w:val="17"/>
                <w:lang w:eastAsia="zh-TW"/>
              </w:rPr>
              <w:t>第</w:t>
            </w:r>
            <w:r w:rsidRPr="00CA7301">
              <w:rPr>
                <w:rFonts w:cs="Segoe UI"/>
                <w:sz w:val="17"/>
                <w:szCs w:val="17"/>
                <w:lang w:eastAsia="zh-TW"/>
              </w:rPr>
              <w:t>20</w:t>
            </w:r>
            <w:r w:rsidRPr="00CA7301">
              <w:rPr>
                <w:rFonts w:eastAsiaTheme="minorEastAsia" w:cs="Segoe UI"/>
                <w:sz w:val="17"/>
                <w:szCs w:val="17"/>
                <w:lang w:eastAsia="zh-TW"/>
              </w:rPr>
              <w:t>行。</w:t>
            </w:r>
          </w:p>
        </w:tc>
      </w:tr>
      <w:tr w:rsidR="00CA1B87" w:rsidRPr="00CA7301" w14:paraId="50411CDE" w14:textId="77777777" w:rsidTr="00F62652">
        <w:trPr>
          <w:trHeight w:val="373"/>
        </w:trPr>
        <w:tc>
          <w:tcPr>
            <w:tcW w:w="551" w:type="dxa"/>
          </w:tcPr>
          <w:p w14:paraId="3BAF2EDD"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75</w:t>
            </w:r>
          </w:p>
        </w:tc>
        <w:tc>
          <w:tcPr>
            <w:tcW w:w="8663" w:type="dxa"/>
            <w:shd w:val="clear" w:color="auto" w:fill="FFFF00"/>
          </w:tcPr>
          <w:p w14:paraId="4AA5A894"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由於遞延稅項資產須予全數扣減，因此</w:t>
            </w:r>
            <w:proofErr w:type="gramStart"/>
            <w:r w:rsidRPr="00CA7301">
              <w:rPr>
                <w:rFonts w:eastAsia="新細明體" w:cs="Segoe UI"/>
                <w:sz w:val="17"/>
                <w:szCs w:val="17"/>
                <w:lang w:eastAsia="zh-TW"/>
              </w:rPr>
              <w:t>此</w:t>
            </w:r>
            <w:proofErr w:type="gramEnd"/>
            <w:r w:rsidRPr="00CA7301">
              <w:rPr>
                <w:rFonts w:eastAsia="新細明體" w:cs="Segoe UI"/>
                <w:sz w:val="17"/>
                <w:szCs w:val="17"/>
                <w:lang w:eastAsia="zh-TW"/>
              </w:rPr>
              <w:t>行不適用於香港。請參閱</w:t>
            </w:r>
            <w:r w:rsidRPr="00CA7301">
              <w:rPr>
                <w:rFonts w:eastAsiaTheme="minorEastAsia" w:cs="Segoe UI"/>
                <w:sz w:val="17"/>
                <w:szCs w:val="17"/>
                <w:lang w:eastAsia="zh-TW"/>
              </w:rPr>
              <w:t>第</w:t>
            </w:r>
            <w:r w:rsidRPr="00CA7301">
              <w:rPr>
                <w:rFonts w:cs="Segoe UI"/>
                <w:sz w:val="17"/>
                <w:szCs w:val="17"/>
                <w:lang w:eastAsia="zh-TW"/>
              </w:rPr>
              <w:t>21</w:t>
            </w:r>
            <w:r w:rsidRPr="00CA7301">
              <w:rPr>
                <w:rFonts w:eastAsiaTheme="minorEastAsia" w:cs="Segoe UI"/>
                <w:sz w:val="17"/>
                <w:szCs w:val="17"/>
                <w:lang w:eastAsia="zh-TW"/>
              </w:rPr>
              <w:t>行。</w:t>
            </w:r>
          </w:p>
        </w:tc>
      </w:tr>
      <w:tr w:rsidR="00CA1B87" w:rsidRPr="00CA7301" w14:paraId="242815AB" w14:textId="77777777" w:rsidTr="00F62652">
        <w:trPr>
          <w:trHeight w:val="373"/>
        </w:trPr>
        <w:tc>
          <w:tcPr>
            <w:tcW w:w="551" w:type="dxa"/>
          </w:tcPr>
          <w:p w14:paraId="6CFD4816"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76</w:t>
            </w:r>
          </w:p>
        </w:tc>
        <w:tc>
          <w:tcPr>
            <w:tcW w:w="8663" w:type="dxa"/>
          </w:tcPr>
          <w:p w14:paraId="4BC37338"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在應用上限前，認可機構按照《資本規則》第</w:t>
            </w:r>
            <w:r w:rsidRPr="00CA7301">
              <w:rPr>
                <w:rFonts w:cs="Segoe UI"/>
                <w:sz w:val="17"/>
                <w:szCs w:val="17"/>
                <w:lang w:eastAsia="zh-TW"/>
              </w:rPr>
              <w:t>42(1)</w:t>
            </w:r>
            <w:r w:rsidRPr="00CA7301">
              <w:rPr>
                <w:rFonts w:eastAsia="新細明體" w:cs="Segoe UI"/>
                <w:sz w:val="17"/>
                <w:szCs w:val="17"/>
                <w:lang w:eastAsia="zh-TW"/>
              </w:rPr>
              <w:t>或</w:t>
            </w:r>
            <w:r w:rsidRPr="00CA7301">
              <w:rPr>
                <w:rFonts w:cs="Segoe UI"/>
                <w:sz w:val="17"/>
                <w:szCs w:val="17"/>
                <w:lang w:eastAsia="zh-TW"/>
              </w:rPr>
              <w:t>42(2)</w:t>
            </w:r>
            <w:r w:rsidRPr="00CA7301">
              <w:rPr>
                <w:rFonts w:eastAsia="新細明體" w:cs="Segoe UI"/>
                <w:sz w:val="17"/>
                <w:szCs w:val="17"/>
                <w:lang w:eastAsia="zh-TW"/>
              </w:rPr>
              <w:t>條</w:t>
            </w:r>
            <w:r w:rsidRPr="00CA7301">
              <w:rPr>
                <w:rFonts w:eastAsia="細明體" w:cs="Segoe UI"/>
                <w:sz w:val="17"/>
                <w:szCs w:val="17"/>
                <w:lang w:eastAsia="zh-TW"/>
              </w:rPr>
              <w:t>（</w:t>
            </w:r>
            <w:r w:rsidRPr="00CA7301">
              <w:rPr>
                <w:rFonts w:eastAsia="新細明體" w:cs="Segoe UI"/>
                <w:sz w:val="17"/>
                <w:szCs w:val="17"/>
                <w:lang w:eastAsia="zh-TW"/>
              </w:rPr>
              <w:t>以適用者為</w:t>
            </w:r>
            <w:proofErr w:type="gramStart"/>
            <w:r w:rsidRPr="00CA7301">
              <w:rPr>
                <w:rFonts w:eastAsia="新細明體" w:cs="Segoe UI"/>
                <w:sz w:val="17"/>
                <w:szCs w:val="17"/>
                <w:lang w:eastAsia="zh-TW"/>
              </w:rPr>
              <w:t>準</w:t>
            </w:r>
            <w:proofErr w:type="gramEnd"/>
            <w:r w:rsidRPr="00CA7301">
              <w:rPr>
                <w:rFonts w:eastAsia="細明體" w:cs="Segoe UI"/>
                <w:sz w:val="17"/>
                <w:szCs w:val="17"/>
                <w:lang w:eastAsia="zh-TW"/>
              </w:rPr>
              <w:t>）</w:t>
            </w:r>
            <w:r w:rsidRPr="00CA7301">
              <w:rPr>
                <w:rFonts w:eastAsia="新細明體" w:cs="Segoe UI"/>
                <w:sz w:val="17"/>
                <w:szCs w:val="17"/>
                <w:lang w:eastAsia="zh-TW"/>
              </w:rPr>
              <w:t>合資格計算入二級資本、並有關</w:t>
            </w:r>
            <w:r w:rsidRPr="00CA7301">
              <w:rPr>
                <w:rFonts w:cs="Segoe UI"/>
                <w:sz w:val="17"/>
                <w:szCs w:val="17"/>
                <w:lang w:eastAsia="zh-TW"/>
              </w:rPr>
              <w:t>BSC</w:t>
            </w:r>
            <w:r w:rsidRPr="00CA7301">
              <w:rPr>
                <w:rFonts w:eastAsia="新細明體" w:cs="Segoe UI"/>
                <w:sz w:val="17"/>
                <w:szCs w:val="17"/>
                <w:lang w:eastAsia="zh-TW"/>
              </w:rPr>
              <w:t>計算法、</w:t>
            </w:r>
            <w:r w:rsidRPr="00CA7301">
              <w:rPr>
                <w:rFonts w:cs="Segoe UI"/>
                <w:sz w:val="17"/>
                <w:szCs w:val="17"/>
                <w:lang w:eastAsia="zh-TW"/>
              </w:rPr>
              <w:t>STC</w:t>
            </w:r>
            <w:r w:rsidRPr="00CA7301">
              <w:rPr>
                <w:rFonts w:eastAsia="新細明體" w:cs="Segoe UI"/>
                <w:sz w:val="17"/>
                <w:szCs w:val="17"/>
                <w:lang w:eastAsia="zh-TW"/>
              </w:rPr>
              <w:t>計算法以及</w:t>
            </w:r>
            <w:r w:rsidRPr="00CA7301">
              <w:rPr>
                <w:rFonts w:cs="Segoe UI"/>
                <w:sz w:val="17"/>
                <w:szCs w:val="17"/>
                <w:lang w:eastAsia="zh-TW"/>
              </w:rPr>
              <w:t>SEC-ERBA</w:t>
            </w:r>
            <w:r w:rsidRPr="00CA7301">
              <w:rPr>
                <w:rFonts w:eastAsiaTheme="minorEastAsia" w:cs="Segoe UI"/>
                <w:sz w:val="17"/>
                <w:szCs w:val="17"/>
                <w:lang w:eastAsia="zh-TW"/>
              </w:rPr>
              <w:t>、</w:t>
            </w:r>
            <w:r w:rsidRPr="00CA7301">
              <w:rPr>
                <w:rFonts w:cs="Segoe UI"/>
                <w:sz w:val="17"/>
                <w:szCs w:val="17"/>
                <w:lang w:eastAsia="zh-TW"/>
              </w:rPr>
              <w:t>SEC-SA</w:t>
            </w:r>
            <w:r w:rsidRPr="00CA7301">
              <w:rPr>
                <w:rFonts w:eastAsiaTheme="minorEastAsia" w:cs="Segoe UI"/>
                <w:sz w:val="17"/>
                <w:szCs w:val="17"/>
                <w:lang w:eastAsia="zh-TW"/>
              </w:rPr>
              <w:t>及</w:t>
            </w:r>
            <w:r w:rsidRPr="00CA7301">
              <w:rPr>
                <w:rFonts w:cs="Segoe UI"/>
                <w:sz w:val="17"/>
                <w:szCs w:val="17"/>
                <w:lang w:eastAsia="zh-TW"/>
              </w:rPr>
              <w:t>SEC-FBA</w:t>
            </w:r>
            <w:r w:rsidRPr="00CA7301">
              <w:rPr>
                <w:rFonts w:eastAsia="新細明體" w:cs="Segoe UI"/>
                <w:sz w:val="17"/>
                <w:szCs w:val="17"/>
                <w:lang w:eastAsia="zh-TW"/>
              </w:rPr>
              <w:t>下</w:t>
            </w:r>
            <w:r w:rsidRPr="00CA7301">
              <w:rPr>
                <w:rFonts w:eastAsiaTheme="minorEastAsia" w:cs="Segoe UI"/>
                <w:sz w:val="17"/>
                <w:szCs w:val="17"/>
                <w:lang w:eastAsia="zh-TW"/>
              </w:rPr>
              <w:t>的</w:t>
            </w:r>
            <w:r w:rsidRPr="00CA7301">
              <w:rPr>
                <w:rFonts w:eastAsia="新細明體" w:cs="Segoe UI"/>
                <w:sz w:val="17"/>
                <w:szCs w:val="17"/>
                <w:lang w:eastAsia="zh-TW"/>
              </w:rPr>
              <w:t>一般銀行業務風險監管儲備及為第一及第二階段信用減值</w:t>
            </w:r>
            <w:proofErr w:type="gramStart"/>
            <w:r w:rsidRPr="00CA7301">
              <w:rPr>
                <w:rFonts w:eastAsia="新細明體" w:cs="Segoe UI"/>
                <w:sz w:val="17"/>
                <w:szCs w:val="17"/>
                <w:lang w:eastAsia="zh-TW"/>
              </w:rPr>
              <w:t>提撥</w:t>
            </w:r>
            <w:proofErr w:type="gramEnd"/>
            <w:r w:rsidRPr="00CA7301">
              <w:rPr>
                <w:rFonts w:eastAsia="新細明體" w:cs="Segoe UI"/>
                <w:sz w:val="17"/>
                <w:szCs w:val="17"/>
                <w:lang w:eastAsia="zh-TW"/>
              </w:rPr>
              <w:t>的準備金。</w:t>
            </w:r>
          </w:p>
        </w:tc>
      </w:tr>
      <w:tr w:rsidR="00CA1B87" w:rsidRPr="00CA7301" w14:paraId="1E53FA21" w14:textId="77777777" w:rsidTr="00F62652">
        <w:trPr>
          <w:trHeight w:val="373"/>
        </w:trPr>
        <w:tc>
          <w:tcPr>
            <w:tcW w:w="551" w:type="dxa"/>
          </w:tcPr>
          <w:p w14:paraId="30D4114C"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77</w:t>
            </w:r>
          </w:p>
        </w:tc>
        <w:tc>
          <w:tcPr>
            <w:tcW w:w="8663" w:type="dxa"/>
          </w:tcPr>
          <w:p w14:paraId="52A851B9"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認可機構按照《資本規則》第</w:t>
            </w:r>
            <w:r w:rsidRPr="00CA7301">
              <w:rPr>
                <w:rFonts w:cs="Segoe UI"/>
                <w:sz w:val="17"/>
                <w:szCs w:val="17"/>
                <w:lang w:eastAsia="zh-TW"/>
              </w:rPr>
              <w:t>42(1)</w:t>
            </w:r>
            <w:r w:rsidRPr="00CA7301">
              <w:rPr>
                <w:rFonts w:eastAsia="新細明體" w:cs="Segoe UI"/>
                <w:sz w:val="17"/>
                <w:szCs w:val="17"/>
                <w:lang w:eastAsia="zh-TW"/>
              </w:rPr>
              <w:t>或</w:t>
            </w:r>
            <w:r w:rsidRPr="00CA7301">
              <w:rPr>
                <w:rFonts w:cs="Segoe UI"/>
                <w:sz w:val="17"/>
                <w:szCs w:val="17"/>
                <w:lang w:eastAsia="zh-TW"/>
              </w:rPr>
              <w:t>42(2)</w:t>
            </w:r>
            <w:r w:rsidRPr="00CA7301">
              <w:rPr>
                <w:rFonts w:eastAsia="新細明體" w:cs="Segoe UI"/>
                <w:sz w:val="17"/>
                <w:szCs w:val="17"/>
                <w:lang w:eastAsia="zh-TW"/>
              </w:rPr>
              <w:t>條</w:t>
            </w:r>
            <w:r w:rsidRPr="00CA7301">
              <w:rPr>
                <w:rFonts w:eastAsia="細明體" w:cs="Segoe UI"/>
                <w:sz w:val="17"/>
                <w:szCs w:val="17"/>
                <w:lang w:eastAsia="zh-TW"/>
              </w:rPr>
              <w:t>（</w:t>
            </w:r>
            <w:r w:rsidRPr="00CA7301">
              <w:rPr>
                <w:rFonts w:eastAsia="新細明體" w:cs="Segoe UI"/>
                <w:sz w:val="17"/>
                <w:szCs w:val="17"/>
                <w:lang w:eastAsia="zh-TW"/>
              </w:rPr>
              <w:t>以適用者為</w:t>
            </w:r>
            <w:proofErr w:type="gramStart"/>
            <w:r w:rsidRPr="00CA7301">
              <w:rPr>
                <w:rFonts w:eastAsia="新細明體" w:cs="Segoe UI"/>
                <w:sz w:val="17"/>
                <w:szCs w:val="17"/>
                <w:lang w:eastAsia="zh-TW"/>
              </w:rPr>
              <w:t>準</w:t>
            </w:r>
            <w:proofErr w:type="gramEnd"/>
            <w:r w:rsidRPr="00CA7301">
              <w:rPr>
                <w:rFonts w:eastAsia="細明體" w:cs="Segoe UI"/>
                <w:sz w:val="17"/>
                <w:szCs w:val="17"/>
                <w:lang w:eastAsia="zh-TW"/>
              </w:rPr>
              <w:t>）</w:t>
            </w:r>
            <w:r w:rsidRPr="00CA7301">
              <w:rPr>
                <w:rFonts w:eastAsia="新細明體" w:cs="Segoe UI"/>
                <w:sz w:val="17"/>
                <w:szCs w:val="17"/>
                <w:lang w:eastAsia="zh-TW"/>
              </w:rPr>
              <w:t>可計算入二級資本、並有關</w:t>
            </w:r>
            <w:r w:rsidRPr="00CA7301">
              <w:rPr>
                <w:rFonts w:cs="Segoe UI"/>
                <w:sz w:val="17"/>
                <w:szCs w:val="17"/>
                <w:lang w:eastAsia="zh-TW"/>
              </w:rPr>
              <w:t>BSC</w:t>
            </w:r>
            <w:r w:rsidRPr="00CA7301">
              <w:rPr>
                <w:rFonts w:eastAsia="新細明體" w:cs="Segoe UI"/>
                <w:sz w:val="17"/>
                <w:szCs w:val="17"/>
                <w:lang w:eastAsia="zh-TW"/>
              </w:rPr>
              <w:t>計算法、</w:t>
            </w:r>
            <w:r w:rsidRPr="00CA7301">
              <w:rPr>
                <w:rFonts w:cs="Segoe UI"/>
                <w:sz w:val="17"/>
                <w:szCs w:val="17"/>
                <w:lang w:eastAsia="zh-TW"/>
              </w:rPr>
              <w:t>STC</w:t>
            </w:r>
            <w:r w:rsidRPr="00CA7301">
              <w:rPr>
                <w:rFonts w:eastAsia="新細明體" w:cs="Segoe UI"/>
                <w:sz w:val="17"/>
                <w:szCs w:val="17"/>
                <w:lang w:eastAsia="zh-TW"/>
              </w:rPr>
              <w:t>計算法以及</w:t>
            </w:r>
            <w:r w:rsidRPr="00CA7301">
              <w:rPr>
                <w:rFonts w:cs="Segoe UI"/>
                <w:sz w:val="17"/>
                <w:szCs w:val="17"/>
                <w:lang w:eastAsia="zh-TW"/>
              </w:rPr>
              <w:t>SEC-ERBA</w:t>
            </w:r>
            <w:r w:rsidRPr="00CA7301">
              <w:rPr>
                <w:rFonts w:eastAsia="新細明體" w:cs="Segoe UI"/>
                <w:sz w:val="17"/>
                <w:szCs w:val="17"/>
                <w:lang w:eastAsia="zh-TW"/>
              </w:rPr>
              <w:t>、</w:t>
            </w:r>
            <w:r w:rsidRPr="00CA7301">
              <w:rPr>
                <w:rFonts w:cs="Segoe UI"/>
                <w:sz w:val="17"/>
                <w:szCs w:val="17"/>
                <w:lang w:eastAsia="zh-TW"/>
              </w:rPr>
              <w:t>SEC-SA</w:t>
            </w:r>
            <w:r w:rsidRPr="00CA7301">
              <w:rPr>
                <w:rFonts w:eastAsia="新細明體" w:cs="Segoe UI"/>
                <w:sz w:val="17"/>
                <w:szCs w:val="17"/>
                <w:lang w:eastAsia="zh-TW"/>
              </w:rPr>
              <w:t>及</w:t>
            </w:r>
            <w:r w:rsidRPr="00CA7301">
              <w:rPr>
                <w:rFonts w:cs="Segoe UI"/>
                <w:sz w:val="17"/>
                <w:szCs w:val="17"/>
                <w:lang w:eastAsia="zh-TW"/>
              </w:rPr>
              <w:t>SEC-FBA</w:t>
            </w:r>
            <w:r w:rsidRPr="00CA7301">
              <w:rPr>
                <w:rFonts w:eastAsia="新細明體" w:cs="Segoe UI"/>
                <w:sz w:val="17"/>
                <w:szCs w:val="17"/>
                <w:lang w:eastAsia="zh-TW"/>
              </w:rPr>
              <w:t>下的一般銀行業務風險監管儲備及為第一及第二階段信用減值</w:t>
            </w:r>
            <w:proofErr w:type="gramStart"/>
            <w:r w:rsidRPr="00CA7301">
              <w:rPr>
                <w:rFonts w:eastAsia="新細明體" w:cs="Segoe UI"/>
                <w:sz w:val="17"/>
                <w:szCs w:val="17"/>
                <w:lang w:eastAsia="zh-TW"/>
              </w:rPr>
              <w:t>提撥</w:t>
            </w:r>
            <w:proofErr w:type="gramEnd"/>
            <w:r w:rsidRPr="00CA7301">
              <w:rPr>
                <w:rFonts w:eastAsia="新細明體" w:cs="Segoe UI"/>
                <w:sz w:val="17"/>
                <w:szCs w:val="17"/>
                <w:lang w:eastAsia="zh-TW"/>
              </w:rPr>
              <w:t>的準備金的上限。</w:t>
            </w:r>
          </w:p>
        </w:tc>
      </w:tr>
      <w:tr w:rsidR="00CA1B87" w:rsidRPr="00CA7301" w14:paraId="2331DBD1" w14:textId="77777777" w:rsidTr="00F62652">
        <w:trPr>
          <w:trHeight w:val="373"/>
        </w:trPr>
        <w:tc>
          <w:tcPr>
            <w:tcW w:w="551" w:type="dxa"/>
          </w:tcPr>
          <w:p w14:paraId="16AF8840"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78</w:t>
            </w:r>
          </w:p>
        </w:tc>
        <w:tc>
          <w:tcPr>
            <w:tcW w:w="8663" w:type="dxa"/>
          </w:tcPr>
          <w:p w14:paraId="670AC4EE"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在應用上限前，認可機構按照《資本規則》第</w:t>
            </w:r>
            <w:r w:rsidRPr="00CA7301">
              <w:rPr>
                <w:rFonts w:cs="Segoe UI"/>
                <w:sz w:val="17"/>
                <w:szCs w:val="17"/>
                <w:lang w:eastAsia="zh-TW"/>
              </w:rPr>
              <w:t>42(2)</w:t>
            </w:r>
            <w:r w:rsidRPr="00CA7301">
              <w:rPr>
                <w:rFonts w:eastAsia="新細明體" w:cs="Segoe UI"/>
                <w:sz w:val="17"/>
                <w:szCs w:val="17"/>
                <w:lang w:eastAsia="zh-TW"/>
              </w:rPr>
              <w:t>、</w:t>
            </w:r>
            <w:r w:rsidRPr="00CA7301">
              <w:rPr>
                <w:rFonts w:cs="Segoe UI"/>
                <w:sz w:val="17"/>
                <w:szCs w:val="17"/>
                <w:lang w:eastAsia="zh-TW"/>
              </w:rPr>
              <w:t>(3)</w:t>
            </w:r>
            <w:r w:rsidRPr="00CA7301">
              <w:rPr>
                <w:rFonts w:eastAsia="新細明體" w:cs="Segoe UI"/>
                <w:sz w:val="17"/>
                <w:szCs w:val="17"/>
                <w:lang w:eastAsia="zh-TW"/>
              </w:rPr>
              <w:t>及</w:t>
            </w:r>
            <w:r w:rsidRPr="00CA7301">
              <w:rPr>
                <w:rFonts w:cs="Segoe UI"/>
                <w:sz w:val="17"/>
                <w:szCs w:val="17"/>
                <w:lang w:eastAsia="zh-TW"/>
              </w:rPr>
              <w:t>(4)</w:t>
            </w:r>
            <w:r w:rsidRPr="00CA7301">
              <w:rPr>
                <w:rFonts w:eastAsia="新細明體" w:cs="Segoe UI"/>
                <w:sz w:val="17"/>
                <w:szCs w:val="17"/>
                <w:lang w:eastAsia="zh-TW"/>
              </w:rPr>
              <w:t>條可計算入二級資本、並以</w:t>
            </w:r>
            <w:r w:rsidRPr="00CA7301">
              <w:rPr>
                <w:rFonts w:cs="Segoe UI"/>
                <w:sz w:val="17"/>
                <w:szCs w:val="17"/>
                <w:lang w:eastAsia="zh-TW"/>
              </w:rPr>
              <w:t>IRB</w:t>
            </w:r>
            <w:r w:rsidRPr="00CA7301">
              <w:rPr>
                <w:rFonts w:eastAsia="新細明體" w:cs="Segoe UI"/>
                <w:sz w:val="17"/>
                <w:szCs w:val="17"/>
                <w:lang w:eastAsia="zh-TW"/>
              </w:rPr>
              <w:t>計算法計算的風險承擔的超額準備金及分配予</w:t>
            </w:r>
            <w:r w:rsidRPr="00CA7301">
              <w:rPr>
                <w:rFonts w:cs="Segoe UI"/>
                <w:sz w:val="17"/>
                <w:szCs w:val="17"/>
                <w:lang w:eastAsia="zh-TW"/>
              </w:rPr>
              <w:t>SEC-IRBA</w:t>
            </w:r>
            <w:r w:rsidRPr="00CA7301">
              <w:rPr>
                <w:rFonts w:eastAsia="新細明體" w:cs="Segoe UI"/>
                <w:sz w:val="17"/>
                <w:szCs w:val="17"/>
                <w:lang w:eastAsia="zh-TW"/>
              </w:rPr>
              <w:t>的一般銀行業務風險監管儲備及為第一及第二階段信用減值</w:t>
            </w:r>
            <w:proofErr w:type="gramStart"/>
            <w:r w:rsidRPr="00CA7301">
              <w:rPr>
                <w:rFonts w:eastAsia="新細明體" w:cs="Segoe UI"/>
                <w:sz w:val="17"/>
                <w:szCs w:val="17"/>
                <w:lang w:eastAsia="zh-TW"/>
              </w:rPr>
              <w:t>提撥</w:t>
            </w:r>
            <w:proofErr w:type="gramEnd"/>
            <w:r w:rsidRPr="00CA7301">
              <w:rPr>
                <w:rFonts w:eastAsia="新細明體" w:cs="Segoe UI"/>
                <w:sz w:val="17"/>
                <w:szCs w:val="17"/>
                <w:lang w:eastAsia="zh-TW"/>
              </w:rPr>
              <w:t>的準備金總額的部分相加的總和。</w:t>
            </w:r>
          </w:p>
        </w:tc>
      </w:tr>
      <w:tr w:rsidR="00CA1B87" w:rsidRPr="00CA7301" w14:paraId="7CE57D36" w14:textId="77777777" w:rsidTr="00F62652">
        <w:trPr>
          <w:trHeight w:val="373"/>
        </w:trPr>
        <w:tc>
          <w:tcPr>
            <w:tcW w:w="551" w:type="dxa"/>
          </w:tcPr>
          <w:p w14:paraId="4ACAB658" w14:textId="77777777" w:rsidR="00CA1B87" w:rsidRPr="00CA7301" w:rsidRDefault="00CA1B87" w:rsidP="00CA1B87">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79</w:t>
            </w:r>
          </w:p>
        </w:tc>
        <w:tc>
          <w:tcPr>
            <w:tcW w:w="8663" w:type="dxa"/>
          </w:tcPr>
          <w:p w14:paraId="5DC22A81" w14:textId="77777777" w:rsidR="00CA1B87" w:rsidRPr="00CA7301" w:rsidRDefault="00CA1B87" w:rsidP="00CA1B87">
            <w:pPr>
              <w:spacing w:before="40" w:after="40"/>
              <w:jc w:val="both"/>
              <w:rPr>
                <w:rFonts w:cs="Segoe UI"/>
                <w:sz w:val="17"/>
                <w:szCs w:val="17"/>
                <w:lang w:eastAsia="zh-TW"/>
              </w:rPr>
            </w:pPr>
            <w:r w:rsidRPr="00CA7301">
              <w:rPr>
                <w:rFonts w:eastAsia="新細明體" w:cs="Segoe UI"/>
                <w:sz w:val="17"/>
                <w:szCs w:val="17"/>
                <w:lang w:eastAsia="zh-TW"/>
              </w:rPr>
              <w:t>認可機構按照《資本規則》第</w:t>
            </w:r>
            <w:r w:rsidRPr="00CA7301">
              <w:rPr>
                <w:rFonts w:eastAsia="新細明體" w:cs="Segoe UI"/>
                <w:sz w:val="17"/>
                <w:szCs w:val="17"/>
                <w:lang w:eastAsia="zh-TW"/>
              </w:rPr>
              <w:t>42(2)</w:t>
            </w:r>
            <w:r w:rsidRPr="00CA7301">
              <w:rPr>
                <w:rFonts w:eastAsia="新細明體" w:cs="Segoe UI"/>
                <w:sz w:val="17"/>
                <w:szCs w:val="17"/>
                <w:lang w:eastAsia="zh-TW"/>
              </w:rPr>
              <w:t>、</w:t>
            </w:r>
            <w:r w:rsidRPr="00CA7301">
              <w:rPr>
                <w:rFonts w:eastAsia="新細明體" w:cs="Segoe UI"/>
                <w:sz w:val="17"/>
                <w:szCs w:val="17"/>
                <w:lang w:eastAsia="zh-TW"/>
              </w:rPr>
              <w:t>(3)</w:t>
            </w:r>
            <w:r w:rsidRPr="00CA7301">
              <w:rPr>
                <w:rFonts w:eastAsia="新細明體" w:cs="Segoe UI"/>
                <w:sz w:val="17"/>
                <w:szCs w:val="17"/>
                <w:lang w:eastAsia="zh-TW"/>
              </w:rPr>
              <w:t>及</w:t>
            </w:r>
            <w:r w:rsidRPr="00CA7301">
              <w:rPr>
                <w:rFonts w:eastAsia="新細明體" w:cs="Segoe UI"/>
                <w:sz w:val="17"/>
                <w:szCs w:val="17"/>
                <w:lang w:eastAsia="zh-TW"/>
              </w:rPr>
              <w:t>(4)</w:t>
            </w:r>
            <w:r w:rsidRPr="00CA7301">
              <w:rPr>
                <w:rFonts w:eastAsia="新細明體" w:cs="Segoe UI"/>
                <w:sz w:val="17"/>
                <w:szCs w:val="17"/>
                <w:lang w:eastAsia="zh-TW"/>
              </w:rPr>
              <w:t>條可計算入二級資本、並以</w:t>
            </w:r>
            <w:r w:rsidRPr="00CA7301">
              <w:rPr>
                <w:rFonts w:eastAsia="新細明體" w:cs="Segoe UI"/>
                <w:sz w:val="17"/>
                <w:szCs w:val="17"/>
                <w:lang w:eastAsia="zh-TW"/>
              </w:rPr>
              <w:t>IRB</w:t>
            </w:r>
            <w:r w:rsidRPr="00CA7301">
              <w:rPr>
                <w:rFonts w:eastAsia="新細明體" w:cs="Segoe UI"/>
                <w:sz w:val="17"/>
                <w:szCs w:val="17"/>
                <w:lang w:eastAsia="zh-TW"/>
              </w:rPr>
              <w:t>計算法計算的風險承擔的超額準備金及分配予</w:t>
            </w:r>
            <w:r w:rsidRPr="00CA7301">
              <w:rPr>
                <w:rFonts w:cs="Segoe UI"/>
                <w:sz w:val="17"/>
                <w:szCs w:val="17"/>
                <w:lang w:eastAsia="zh-TW"/>
              </w:rPr>
              <w:t>SEC-IRBA</w:t>
            </w:r>
            <w:r w:rsidRPr="00CA7301">
              <w:rPr>
                <w:rFonts w:eastAsia="新細明體" w:cs="Segoe UI"/>
                <w:sz w:val="17"/>
                <w:szCs w:val="17"/>
                <w:lang w:eastAsia="zh-TW"/>
              </w:rPr>
              <w:t>的一般銀行業務風險監管儲備總額及為第一及第二階段信用減值</w:t>
            </w:r>
            <w:proofErr w:type="gramStart"/>
            <w:r w:rsidRPr="00CA7301">
              <w:rPr>
                <w:rFonts w:eastAsia="新細明體" w:cs="Segoe UI"/>
                <w:sz w:val="17"/>
                <w:szCs w:val="17"/>
                <w:lang w:eastAsia="zh-TW"/>
              </w:rPr>
              <w:t>提撥</w:t>
            </w:r>
            <w:proofErr w:type="gramEnd"/>
            <w:r w:rsidRPr="00CA7301">
              <w:rPr>
                <w:rFonts w:eastAsia="新細明體" w:cs="Segoe UI"/>
                <w:sz w:val="17"/>
                <w:szCs w:val="17"/>
                <w:lang w:eastAsia="zh-TW"/>
              </w:rPr>
              <w:t>的準備金的部分相加的總和的上限。</w:t>
            </w:r>
          </w:p>
        </w:tc>
      </w:tr>
    </w:tbl>
    <w:p w14:paraId="31209E56" w14:textId="77777777" w:rsidR="00CA1B87" w:rsidRPr="00CA7301" w:rsidRDefault="00CA1B87" w:rsidP="00CA1B87">
      <w:pPr>
        <w:spacing w:before="120" w:after="120"/>
        <w:rPr>
          <w:rFonts w:cs="Segoe UI"/>
          <w:sz w:val="22"/>
          <w:lang w:eastAsia="zh-TW"/>
        </w:rPr>
      </w:pPr>
    </w:p>
    <w:p w14:paraId="4B671046" w14:textId="77777777" w:rsidR="00CA1B87" w:rsidRPr="00CA7301" w:rsidRDefault="00CA1B87">
      <w:pPr>
        <w:rPr>
          <w:rFonts w:eastAsiaTheme="minorEastAsia" w:cs="Segoe UI"/>
          <w:lang w:eastAsia="zh-TW"/>
        </w:rPr>
        <w:sectPr w:rsidR="00CA1B87" w:rsidRPr="00CA7301">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425"/>
          <w:docGrid w:type="lines" w:linePitch="360"/>
        </w:sectPr>
      </w:pPr>
    </w:p>
    <w:p w14:paraId="369004D3" w14:textId="7323BE46" w:rsidR="00EB4D73" w:rsidRPr="00EB4D73" w:rsidRDefault="00EB4D73" w:rsidP="00EB4D73">
      <w:pPr>
        <w:pStyle w:val="Heading2"/>
        <w:keepNext w:val="0"/>
        <w:suppressAutoHyphens w:val="0"/>
        <w:spacing w:before="40" w:line="240" w:lineRule="auto"/>
        <w:ind w:left="-454"/>
        <w:rPr>
          <w:rFonts w:ascii="細明體" w:eastAsia="細明體" w:hAnsi="細明體"/>
          <w:b w:val="0"/>
          <w:bCs w:val="0"/>
          <w:sz w:val="22"/>
          <w:szCs w:val="20"/>
          <w:lang w:eastAsia="zh-TW"/>
        </w:rPr>
      </w:pPr>
      <w:r w:rsidRPr="00EB4D73">
        <w:rPr>
          <w:rFonts w:ascii="細明體" w:eastAsia="細明體" w:hAnsi="細明體" w:cs="微軟正黑體" w:hint="eastAsia"/>
          <w:b w:val="0"/>
          <w:bCs w:val="0"/>
          <w:sz w:val="22"/>
          <w:szCs w:val="20"/>
          <w:lang w:eastAsia="zh-TW"/>
        </w:rPr>
        <w:t>模版</w:t>
      </w:r>
      <w:r w:rsidRPr="00EB4D73">
        <w:rPr>
          <w:rFonts w:ascii="Segoe UI" w:eastAsia="細明體" w:hAnsi="Segoe UI" w:cs="Segoe UI"/>
          <w:b w:val="0"/>
          <w:bCs w:val="0"/>
          <w:sz w:val="22"/>
          <w:szCs w:val="20"/>
          <w:lang w:eastAsia="zh-TW"/>
        </w:rPr>
        <w:t>CC2</w:t>
      </w:r>
      <w:r w:rsidRPr="00EB4D73">
        <w:rPr>
          <w:rFonts w:ascii="細明體" w:eastAsia="細明體" w:hAnsi="細明體" w:cs="微軟正黑體" w:hint="eastAsia"/>
          <w:b w:val="0"/>
          <w:bCs w:val="0"/>
          <w:sz w:val="22"/>
          <w:szCs w:val="20"/>
          <w:lang w:eastAsia="zh-TW"/>
        </w:rPr>
        <w:t>：監管資本與資產負債表的對帳</w:t>
      </w:r>
    </w:p>
    <w:tbl>
      <w:tblPr>
        <w:tblW w:w="9106"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946"/>
      </w:tblGrid>
      <w:tr w:rsidR="009B09FD" w:rsidRPr="00CA7301" w14:paraId="1A9D41EF" w14:textId="77777777" w:rsidTr="00A97B9C">
        <w:tc>
          <w:tcPr>
            <w:tcW w:w="2160" w:type="dxa"/>
          </w:tcPr>
          <w:p w14:paraId="0D15B01F" w14:textId="77777777" w:rsidR="009B09FD" w:rsidRPr="00CA7301" w:rsidRDefault="009B09FD" w:rsidP="009B09FD">
            <w:pPr>
              <w:spacing w:before="40" w:after="40"/>
              <w:rPr>
                <w:rFonts w:cs="Segoe UI"/>
                <w:noProof/>
                <w:sz w:val="17"/>
                <w:lang w:eastAsia="en-GB"/>
              </w:rPr>
            </w:pPr>
            <w:r w:rsidRPr="00CA7301">
              <w:rPr>
                <w:rFonts w:eastAsiaTheme="minorEastAsia" w:cs="Segoe UI"/>
                <w:b/>
                <w:sz w:val="17"/>
                <w:lang w:eastAsia="zh-TW"/>
              </w:rPr>
              <w:t>目的：</w:t>
            </w:r>
          </w:p>
        </w:tc>
        <w:tc>
          <w:tcPr>
            <w:tcW w:w="6946" w:type="dxa"/>
          </w:tcPr>
          <w:p w14:paraId="14123C3A" w14:textId="77777777" w:rsidR="009B09FD" w:rsidRPr="00CA7301" w:rsidRDefault="009B09FD" w:rsidP="009B09FD">
            <w:pPr>
              <w:spacing w:before="40" w:after="40"/>
              <w:jc w:val="both"/>
              <w:rPr>
                <w:rFonts w:cs="Segoe UI"/>
                <w:sz w:val="17"/>
                <w:lang w:eastAsia="zh-TW"/>
              </w:rPr>
            </w:pPr>
            <w:r w:rsidRPr="00CA7301">
              <w:rPr>
                <w:rFonts w:eastAsiaTheme="minorEastAsia" w:cs="Segoe UI"/>
                <w:sz w:val="17"/>
                <w:lang w:eastAsia="zh-TW"/>
              </w:rPr>
              <w:t>讓第三支柱數據使用者辨別會計綜合範圍與監管綜合範圍兩者的分別，以及顯示認可機構公布的財務報表中的資產負債表與監管資本組成披露模版（模版</w:t>
            </w:r>
            <w:r w:rsidRPr="00CA7301">
              <w:rPr>
                <w:rFonts w:cs="Segoe UI"/>
                <w:sz w:val="17"/>
                <w:lang w:eastAsia="zh-TW"/>
              </w:rPr>
              <w:t>CC1</w:t>
            </w:r>
            <w:r w:rsidRPr="00CA7301">
              <w:rPr>
                <w:rFonts w:eastAsiaTheme="minorEastAsia" w:cs="Segoe UI"/>
                <w:sz w:val="17"/>
                <w:lang w:eastAsia="zh-TW"/>
              </w:rPr>
              <w:t>）所載數字的聯繫。</w:t>
            </w:r>
          </w:p>
        </w:tc>
      </w:tr>
      <w:tr w:rsidR="009B09FD" w:rsidRPr="00CA7301" w14:paraId="39B93D61" w14:textId="77777777" w:rsidTr="00A97B9C">
        <w:tc>
          <w:tcPr>
            <w:tcW w:w="2160" w:type="dxa"/>
          </w:tcPr>
          <w:p w14:paraId="1DF71E88" w14:textId="77777777" w:rsidR="009B09FD" w:rsidRPr="00CA7301" w:rsidRDefault="009B09FD" w:rsidP="009B09FD">
            <w:pPr>
              <w:spacing w:before="40" w:after="40"/>
              <w:rPr>
                <w:rFonts w:cs="Segoe UI"/>
                <w:b/>
                <w:sz w:val="17"/>
                <w:lang w:eastAsia="en-GB"/>
              </w:rPr>
            </w:pPr>
            <w:r w:rsidRPr="00CA7301">
              <w:rPr>
                <w:rFonts w:eastAsiaTheme="minorEastAsia" w:cs="Segoe UI"/>
                <w:b/>
                <w:sz w:val="17"/>
                <w:lang w:eastAsia="zh-TW"/>
              </w:rPr>
              <w:t>適用範圍：</w:t>
            </w:r>
          </w:p>
        </w:tc>
        <w:tc>
          <w:tcPr>
            <w:tcW w:w="6946" w:type="dxa"/>
          </w:tcPr>
          <w:p w14:paraId="2C5AFD6E" w14:textId="77777777" w:rsidR="009B09FD" w:rsidRPr="00CA7301" w:rsidRDefault="009B09FD" w:rsidP="009B09FD">
            <w:pPr>
              <w:spacing w:before="40" w:after="40"/>
              <w:jc w:val="both"/>
              <w:rPr>
                <w:rFonts w:cs="Segoe UI"/>
                <w:sz w:val="17"/>
                <w:lang w:eastAsia="zh-TW"/>
              </w:rPr>
            </w:pPr>
            <w:r w:rsidRPr="00CA7301">
              <w:rPr>
                <w:rFonts w:eastAsia="細明體" w:cs="Segoe UI"/>
                <w:sz w:val="17"/>
                <w:lang w:eastAsia="zh-TW"/>
              </w:rPr>
              <w:t>所有在香港成立</w:t>
            </w:r>
            <w:proofErr w:type="gramStart"/>
            <w:r w:rsidRPr="00CA7301">
              <w:rPr>
                <w:rFonts w:eastAsia="細明體" w:cs="Segoe UI"/>
                <w:sz w:val="17"/>
                <w:lang w:eastAsia="zh-TW"/>
              </w:rPr>
              <w:t>為法團的</w:t>
            </w:r>
            <w:proofErr w:type="gramEnd"/>
            <w:r w:rsidRPr="00CA7301">
              <w:rPr>
                <w:rFonts w:eastAsia="細明體" w:cs="Segoe UI"/>
                <w:sz w:val="17"/>
                <w:lang w:eastAsia="zh-TW"/>
              </w:rPr>
              <w:t>認可</w:t>
            </w:r>
            <w:proofErr w:type="gramStart"/>
            <w:r w:rsidRPr="00CA7301">
              <w:rPr>
                <w:rFonts w:eastAsia="細明體" w:cs="Segoe UI"/>
                <w:sz w:val="17"/>
                <w:lang w:eastAsia="zh-TW"/>
              </w:rPr>
              <w:t>機構均須填報</w:t>
            </w:r>
            <w:proofErr w:type="gramEnd"/>
            <w:r w:rsidRPr="00CA7301">
              <w:rPr>
                <w:rFonts w:eastAsia="細明體" w:cs="Segoe UI"/>
                <w:sz w:val="17"/>
                <w:lang w:eastAsia="zh-TW"/>
              </w:rPr>
              <w:t>本表</w:t>
            </w:r>
            <w:r w:rsidRPr="00CA7301">
              <w:rPr>
                <w:rFonts w:eastAsiaTheme="minorEastAsia" w:cs="Segoe UI"/>
                <w:sz w:val="17"/>
                <w:lang w:eastAsia="zh-TW"/>
              </w:rPr>
              <w:t>。</w:t>
            </w:r>
          </w:p>
        </w:tc>
      </w:tr>
      <w:tr w:rsidR="009B09FD" w:rsidRPr="00CA7301" w14:paraId="5028A9C0" w14:textId="77777777" w:rsidTr="00A97B9C">
        <w:tc>
          <w:tcPr>
            <w:tcW w:w="2160" w:type="dxa"/>
          </w:tcPr>
          <w:p w14:paraId="1274729B" w14:textId="77777777" w:rsidR="009B09FD" w:rsidRPr="00CA7301" w:rsidRDefault="009B09FD" w:rsidP="009B09FD">
            <w:pPr>
              <w:spacing w:before="40" w:after="40"/>
              <w:rPr>
                <w:rFonts w:cs="Segoe UI"/>
                <w:b/>
                <w:sz w:val="17"/>
                <w:lang w:eastAsia="en-GB"/>
              </w:rPr>
            </w:pPr>
            <w:r w:rsidRPr="00CA7301">
              <w:rPr>
                <w:rFonts w:eastAsiaTheme="minorEastAsia" w:cs="Segoe UI"/>
                <w:b/>
                <w:sz w:val="17"/>
                <w:lang w:eastAsia="zh-TW"/>
              </w:rPr>
              <w:t>內容：</w:t>
            </w:r>
          </w:p>
        </w:tc>
        <w:tc>
          <w:tcPr>
            <w:tcW w:w="6946" w:type="dxa"/>
          </w:tcPr>
          <w:p w14:paraId="185D58E9" w14:textId="77777777" w:rsidR="009B09FD" w:rsidRPr="00CA7301" w:rsidRDefault="009B09FD" w:rsidP="009B09FD">
            <w:pPr>
              <w:spacing w:before="40" w:after="40"/>
              <w:jc w:val="both"/>
              <w:rPr>
                <w:rFonts w:cs="Segoe UI"/>
                <w:sz w:val="17"/>
                <w:szCs w:val="17"/>
                <w:lang w:eastAsia="zh-TW"/>
              </w:rPr>
            </w:pPr>
            <w:proofErr w:type="gramStart"/>
            <w:r w:rsidRPr="00CA7301">
              <w:rPr>
                <w:rFonts w:eastAsiaTheme="minorEastAsia" w:cs="Segoe UI"/>
                <w:sz w:val="17"/>
                <w:lang w:eastAsia="zh-TW"/>
              </w:rPr>
              <w:t>帳面</w:t>
            </w:r>
            <w:proofErr w:type="gramEnd"/>
            <w:r w:rsidRPr="00CA7301">
              <w:rPr>
                <w:rFonts w:eastAsiaTheme="minorEastAsia" w:cs="Segoe UI"/>
                <w:sz w:val="17"/>
                <w:lang w:eastAsia="zh-TW"/>
              </w:rPr>
              <w:t>值（對應在財務報表所報的數值）。認可機構就披露的報告日期（例如四月底、十月底）如有別於「資本充足比率申報表」</w:t>
            </w:r>
            <w:r w:rsidRPr="00CA7301">
              <w:rPr>
                <w:rFonts w:eastAsiaTheme="minorEastAsia" w:cs="Segoe UI"/>
                <w:sz w:val="17"/>
                <w:lang w:eastAsia="zh-TW"/>
              </w:rPr>
              <w:t>(MA(BS)3)</w:t>
            </w:r>
            <w:r w:rsidRPr="00CA7301">
              <w:rPr>
                <w:rFonts w:eastAsiaTheme="minorEastAsia" w:cs="Segoe UI"/>
                <w:sz w:val="17"/>
                <w:lang w:eastAsia="zh-TW"/>
              </w:rPr>
              <w:t>的狀況日期（即三月底、六月底、九月底、十二月底），認可機構應根據本身的報告日期</w:t>
            </w:r>
            <w:proofErr w:type="gramStart"/>
            <w:r w:rsidRPr="00CA7301">
              <w:rPr>
                <w:rFonts w:eastAsiaTheme="minorEastAsia" w:cs="Segoe UI"/>
                <w:sz w:val="17"/>
                <w:szCs w:val="17"/>
                <w:lang w:eastAsia="zh-TW"/>
              </w:rPr>
              <w:t>披露</w:t>
            </w:r>
            <w:r w:rsidRPr="00CA7301">
              <w:rPr>
                <w:rFonts w:eastAsiaTheme="minorEastAsia" w:cs="Segoe UI"/>
                <w:sz w:val="17"/>
                <w:lang w:eastAsia="zh-TW"/>
              </w:rPr>
              <w:t>本模版</w:t>
            </w:r>
            <w:proofErr w:type="gramEnd"/>
            <w:r w:rsidRPr="00CA7301">
              <w:rPr>
                <w:rFonts w:eastAsiaTheme="minorEastAsia" w:cs="Segoe UI"/>
                <w:sz w:val="17"/>
                <w:lang w:eastAsia="zh-TW"/>
              </w:rPr>
              <w:t>。然而，在此情況下，</w:t>
            </w:r>
            <w:proofErr w:type="gramStart"/>
            <w:r w:rsidRPr="00CA7301">
              <w:rPr>
                <w:rFonts w:eastAsiaTheme="minorEastAsia" w:cs="Segoe UI"/>
                <w:sz w:val="17"/>
                <w:lang w:eastAsia="zh-TW"/>
              </w:rPr>
              <w:t>本模版</w:t>
            </w:r>
            <w:proofErr w:type="gramEnd"/>
            <w:r w:rsidRPr="00CA7301">
              <w:rPr>
                <w:rFonts w:eastAsiaTheme="minorEastAsia" w:cs="Segoe UI"/>
                <w:sz w:val="17"/>
                <w:lang w:eastAsia="zh-TW"/>
              </w:rPr>
              <w:t>所披露的數值的計算基礎應</w:t>
            </w:r>
            <w:r w:rsidRPr="00CA7301">
              <w:rPr>
                <w:rFonts w:eastAsiaTheme="minorEastAsia" w:cs="Segoe UI"/>
                <w:sz w:val="17"/>
                <w:szCs w:val="17"/>
                <w:lang w:eastAsia="zh-TW"/>
              </w:rPr>
              <w:t>沿用</w:t>
            </w:r>
            <w:r w:rsidRPr="00CA7301">
              <w:rPr>
                <w:rFonts w:eastAsiaTheme="minorEastAsia" w:cs="Segoe UI"/>
                <w:sz w:val="17"/>
                <w:lang w:eastAsia="zh-TW"/>
              </w:rPr>
              <w:t>該申報表所用的相同計算基礎。</w:t>
            </w:r>
          </w:p>
        </w:tc>
      </w:tr>
      <w:tr w:rsidR="009B09FD" w:rsidRPr="00CA7301" w14:paraId="2BE77755" w14:textId="77777777" w:rsidTr="00A97B9C">
        <w:tc>
          <w:tcPr>
            <w:tcW w:w="2160" w:type="dxa"/>
          </w:tcPr>
          <w:p w14:paraId="4305130D" w14:textId="77777777" w:rsidR="009B09FD" w:rsidRPr="00CA7301" w:rsidRDefault="009B09FD" w:rsidP="009B09FD">
            <w:pPr>
              <w:spacing w:before="40" w:after="40"/>
              <w:rPr>
                <w:rFonts w:cs="Segoe UI"/>
                <w:sz w:val="17"/>
                <w:lang w:eastAsia="en-GB"/>
              </w:rPr>
            </w:pPr>
            <w:r w:rsidRPr="00CA7301">
              <w:rPr>
                <w:rFonts w:eastAsiaTheme="minorEastAsia" w:cs="Segoe UI"/>
                <w:b/>
                <w:sz w:val="17"/>
                <w:lang w:eastAsia="zh-TW"/>
              </w:rPr>
              <w:t>頻密程度：</w:t>
            </w:r>
          </w:p>
        </w:tc>
        <w:tc>
          <w:tcPr>
            <w:tcW w:w="6946" w:type="dxa"/>
          </w:tcPr>
          <w:p w14:paraId="34B8AD92" w14:textId="77777777" w:rsidR="009B09FD" w:rsidRPr="00CA7301" w:rsidRDefault="009B09FD" w:rsidP="009B09FD">
            <w:pPr>
              <w:spacing w:before="40" w:after="40"/>
              <w:jc w:val="both"/>
              <w:rPr>
                <w:rFonts w:cs="Segoe UI"/>
                <w:sz w:val="17"/>
                <w:lang w:eastAsia="en-GB"/>
              </w:rPr>
            </w:pPr>
            <w:r w:rsidRPr="00CA7301">
              <w:rPr>
                <w:rFonts w:eastAsiaTheme="minorEastAsia" w:cs="Segoe UI"/>
                <w:sz w:val="17"/>
                <w:lang w:eastAsia="zh-TW"/>
              </w:rPr>
              <w:t>每半年一次。</w:t>
            </w:r>
          </w:p>
        </w:tc>
      </w:tr>
      <w:tr w:rsidR="009B09FD" w:rsidRPr="00CA7301" w14:paraId="231A89BE" w14:textId="77777777" w:rsidTr="00A97B9C">
        <w:tc>
          <w:tcPr>
            <w:tcW w:w="2160" w:type="dxa"/>
          </w:tcPr>
          <w:p w14:paraId="69D9C1AE" w14:textId="77777777" w:rsidR="009B09FD" w:rsidRPr="00CA7301" w:rsidRDefault="009B09FD" w:rsidP="009B09FD">
            <w:pPr>
              <w:spacing w:before="40" w:after="40"/>
              <w:rPr>
                <w:rFonts w:cs="Segoe UI"/>
                <w:sz w:val="17"/>
                <w:lang w:eastAsia="en-GB"/>
              </w:rPr>
            </w:pPr>
            <w:r w:rsidRPr="00CA7301">
              <w:rPr>
                <w:rFonts w:eastAsiaTheme="minorEastAsia" w:cs="Segoe UI"/>
                <w:b/>
                <w:sz w:val="17"/>
                <w:lang w:eastAsia="zh-TW"/>
              </w:rPr>
              <w:t>格式：</w:t>
            </w:r>
          </w:p>
        </w:tc>
        <w:tc>
          <w:tcPr>
            <w:tcW w:w="6946" w:type="dxa"/>
          </w:tcPr>
          <w:p w14:paraId="61E82D31" w14:textId="77777777" w:rsidR="009B09FD" w:rsidRPr="00CA7301" w:rsidRDefault="009B09FD" w:rsidP="009B09FD">
            <w:pPr>
              <w:spacing w:before="40" w:after="40"/>
              <w:jc w:val="both"/>
              <w:rPr>
                <w:rFonts w:cs="Segoe UI"/>
                <w:sz w:val="17"/>
                <w:lang w:eastAsia="zh-TW"/>
              </w:rPr>
            </w:pPr>
            <w:r w:rsidRPr="00CA7301">
              <w:rPr>
                <w:rFonts w:eastAsiaTheme="minorEastAsia" w:cs="Segoe UI"/>
                <w:sz w:val="17"/>
                <w:lang w:eastAsia="zh-TW"/>
              </w:rPr>
              <w:t>非固定（但各行應與資產負債表的呈列方式一致）。</w:t>
            </w:r>
          </w:p>
        </w:tc>
      </w:tr>
      <w:tr w:rsidR="009B09FD" w:rsidRPr="00CA7301" w14:paraId="0F9A4E60" w14:textId="77777777" w:rsidTr="00A97B9C">
        <w:tc>
          <w:tcPr>
            <w:tcW w:w="2160" w:type="dxa"/>
          </w:tcPr>
          <w:p w14:paraId="4C2308CD" w14:textId="77777777" w:rsidR="009B09FD" w:rsidRPr="00CA7301" w:rsidRDefault="009B09FD" w:rsidP="009B09FD">
            <w:pPr>
              <w:spacing w:before="40" w:after="40"/>
              <w:rPr>
                <w:rFonts w:cs="Segoe UI"/>
                <w:b/>
                <w:sz w:val="17"/>
                <w:lang w:eastAsia="en-GB"/>
              </w:rPr>
            </w:pPr>
            <w:proofErr w:type="spellStart"/>
            <w:r w:rsidRPr="00CA7301">
              <w:rPr>
                <w:rFonts w:eastAsiaTheme="minorEastAsia" w:cs="Segoe UI"/>
                <w:b/>
                <w:sz w:val="17"/>
                <w:szCs w:val="17"/>
                <w:lang w:eastAsia="en-GB"/>
              </w:rPr>
              <w:t>附加說明</w:t>
            </w:r>
            <w:proofErr w:type="spellEnd"/>
            <w:r w:rsidRPr="00CA7301">
              <w:rPr>
                <w:rFonts w:eastAsiaTheme="minorEastAsia" w:cs="Segoe UI"/>
                <w:b/>
                <w:sz w:val="17"/>
                <w:szCs w:val="17"/>
                <w:lang w:eastAsia="en-GB"/>
              </w:rPr>
              <w:t>：</w:t>
            </w:r>
          </w:p>
        </w:tc>
        <w:tc>
          <w:tcPr>
            <w:tcW w:w="6946" w:type="dxa"/>
          </w:tcPr>
          <w:p w14:paraId="771584F3" w14:textId="5E29D540" w:rsidR="009B09FD" w:rsidRPr="00CA7301" w:rsidRDefault="009B09FD" w:rsidP="006218BA">
            <w:pPr>
              <w:spacing w:before="40" w:after="40"/>
              <w:jc w:val="both"/>
              <w:rPr>
                <w:rFonts w:cs="Segoe UI"/>
                <w:sz w:val="17"/>
                <w:lang w:eastAsia="zh-TW"/>
              </w:rPr>
            </w:pPr>
            <w:r w:rsidRPr="00CA7301">
              <w:rPr>
                <w:rFonts w:eastAsia="細明體" w:cs="Segoe UI"/>
                <w:sz w:val="17"/>
                <w:lang w:eastAsia="zh-TW"/>
              </w:rPr>
              <w:t>認可機構應</w:t>
            </w:r>
            <w:r w:rsidRPr="00CA7301">
              <w:rPr>
                <w:rFonts w:eastAsia="細明體" w:cs="Segoe UI"/>
                <w:sz w:val="17"/>
                <w:szCs w:val="17"/>
                <w:lang w:eastAsia="zh-TW"/>
              </w:rPr>
              <w:t>以敘述評</w:t>
            </w:r>
            <w:proofErr w:type="gramStart"/>
            <w:r w:rsidRPr="00CA7301">
              <w:rPr>
                <w:rFonts w:eastAsia="細明體" w:cs="Segoe UI"/>
                <w:sz w:val="17"/>
                <w:szCs w:val="17"/>
                <w:lang w:eastAsia="zh-TW"/>
              </w:rPr>
              <w:t>註</w:t>
            </w:r>
            <w:proofErr w:type="gramEnd"/>
            <w:r w:rsidRPr="00CA7301">
              <w:rPr>
                <w:rFonts w:eastAsia="細明體" w:cs="Segoe UI"/>
                <w:sz w:val="17"/>
                <w:lang w:eastAsia="zh-TW"/>
              </w:rPr>
              <w:t>，</w:t>
            </w:r>
            <w:r w:rsidRPr="00CA7301">
              <w:rPr>
                <w:rFonts w:eastAsia="細明體" w:cs="Segoe UI"/>
                <w:sz w:val="17"/>
                <w:szCs w:val="17"/>
                <w:lang w:eastAsia="zh-TW"/>
              </w:rPr>
              <w:t>闡明</w:t>
            </w:r>
            <w:r w:rsidRPr="00CA7301">
              <w:rPr>
                <w:rFonts w:eastAsia="細明體" w:cs="Segoe UI"/>
                <w:sz w:val="17"/>
                <w:lang w:eastAsia="zh-TW"/>
              </w:rPr>
              <w:t>在報告期內擴大資產負債表項目的任何重大</w:t>
            </w:r>
            <w:r w:rsidR="006218BA" w:rsidRPr="006218BA">
              <w:rPr>
                <w:rFonts w:eastAsia="細明體" w:cs="Segoe UI" w:hint="eastAsia"/>
                <w:sz w:val="17"/>
                <w:lang w:eastAsia="zh-TW"/>
              </w:rPr>
              <w:t>改</w:t>
            </w:r>
            <w:r w:rsidRPr="00CA7301">
              <w:rPr>
                <w:rFonts w:eastAsia="細明體" w:cs="Segoe UI"/>
                <w:sz w:val="17"/>
                <w:lang w:eastAsia="zh-TW"/>
              </w:rPr>
              <w:t>變及引致有關</w:t>
            </w:r>
            <w:r w:rsidR="006218BA" w:rsidRPr="006218BA">
              <w:rPr>
                <w:rFonts w:eastAsia="細明體" w:cs="Segoe UI" w:hint="eastAsia"/>
                <w:sz w:val="17"/>
                <w:lang w:eastAsia="zh-TW"/>
              </w:rPr>
              <w:t>改</w:t>
            </w:r>
            <w:r w:rsidRPr="00CA7301">
              <w:rPr>
                <w:rFonts w:eastAsia="細明體" w:cs="Segoe UI"/>
                <w:sz w:val="17"/>
                <w:lang w:eastAsia="zh-TW"/>
              </w:rPr>
              <w:t>變的主要</w:t>
            </w:r>
            <w:r w:rsidRPr="00CA7301">
              <w:rPr>
                <w:rFonts w:eastAsia="細明體" w:cs="Segoe UI"/>
                <w:noProof/>
                <w:sz w:val="17"/>
                <w:lang w:eastAsia="zh-TW"/>
              </w:rPr>
              <w:t>驅動</w:t>
            </w:r>
            <w:r w:rsidRPr="00CA7301">
              <w:rPr>
                <w:rFonts w:eastAsia="細明體" w:cs="Segoe UI"/>
                <w:sz w:val="17"/>
                <w:lang w:eastAsia="zh-TW"/>
              </w:rPr>
              <w:t>因素，以</w:t>
            </w:r>
            <w:proofErr w:type="gramStart"/>
            <w:r w:rsidRPr="00CA7301">
              <w:rPr>
                <w:rFonts w:eastAsia="細明體" w:cs="Segoe UI"/>
                <w:sz w:val="17"/>
                <w:lang w:eastAsia="zh-TW"/>
              </w:rPr>
              <w:t>補充本模版</w:t>
            </w:r>
            <w:proofErr w:type="gramEnd"/>
            <w:r w:rsidRPr="00CA7301">
              <w:rPr>
                <w:rFonts w:eastAsia="細明體" w:cs="Segoe UI"/>
                <w:sz w:val="17"/>
                <w:lang w:eastAsia="zh-TW"/>
              </w:rPr>
              <w:t>。其他資產負債表項目的重大</w:t>
            </w:r>
            <w:r w:rsidR="006218BA" w:rsidRPr="006218BA">
              <w:rPr>
                <w:rFonts w:eastAsia="細明體" w:cs="Segoe UI" w:hint="eastAsia"/>
                <w:sz w:val="17"/>
                <w:lang w:eastAsia="zh-TW"/>
              </w:rPr>
              <w:t>改</w:t>
            </w:r>
            <w:r w:rsidRPr="00CA7301">
              <w:rPr>
                <w:rFonts w:eastAsia="細明體" w:cs="Segoe UI"/>
                <w:sz w:val="17"/>
                <w:lang w:eastAsia="zh-TW"/>
              </w:rPr>
              <w:t>變的敍述評註載於表</w:t>
            </w:r>
            <w:r w:rsidRPr="00CA7301">
              <w:rPr>
                <w:rFonts w:cs="Segoe UI"/>
                <w:sz w:val="17"/>
                <w:lang w:eastAsia="zh-TW"/>
              </w:rPr>
              <w:t>LIA</w:t>
            </w:r>
            <w:r w:rsidRPr="00CA7301">
              <w:rPr>
                <w:rFonts w:eastAsiaTheme="minorEastAsia" w:cs="Segoe UI"/>
                <w:sz w:val="17"/>
                <w:lang w:eastAsia="zh-TW"/>
              </w:rPr>
              <w:t>。</w:t>
            </w:r>
          </w:p>
        </w:tc>
      </w:tr>
      <w:tr w:rsidR="009B09FD" w:rsidRPr="00CA7301" w14:paraId="1C4AD069" w14:textId="77777777" w:rsidTr="00A97B9C">
        <w:tc>
          <w:tcPr>
            <w:tcW w:w="2160" w:type="dxa"/>
          </w:tcPr>
          <w:p w14:paraId="2DBD6229" w14:textId="77777777" w:rsidR="009B09FD" w:rsidRPr="00CA7301" w:rsidRDefault="009B09FD" w:rsidP="009B09FD">
            <w:pPr>
              <w:spacing w:before="40" w:after="40"/>
              <w:rPr>
                <w:rFonts w:eastAsiaTheme="minorEastAsia" w:cs="Segoe UI"/>
                <w:b/>
                <w:sz w:val="17"/>
                <w:szCs w:val="17"/>
                <w:lang w:eastAsia="zh-TW"/>
              </w:rPr>
            </w:pPr>
            <w:r w:rsidRPr="00CA7301">
              <w:rPr>
                <w:rFonts w:eastAsiaTheme="minorEastAsia" w:cs="Segoe UI"/>
                <w:b/>
                <w:sz w:val="17"/>
                <w:szCs w:val="17"/>
                <w:lang w:eastAsia="zh-TW"/>
              </w:rPr>
              <w:t>《披露規則》相應條文：</w:t>
            </w:r>
          </w:p>
        </w:tc>
        <w:tc>
          <w:tcPr>
            <w:tcW w:w="6946" w:type="dxa"/>
          </w:tcPr>
          <w:p w14:paraId="556B9BF4" w14:textId="77777777" w:rsidR="009B09FD" w:rsidRPr="00CA7301" w:rsidRDefault="009B09FD" w:rsidP="009B09FD">
            <w:pPr>
              <w:spacing w:before="40" w:after="40"/>
              <w:jc w:val="both"/>
              <w:rPr>
                <w:rFonts w:eastAsiaTheme="minorEastAsia" w:cs="Segoe UI"/>
                <w:sz w:val="17"/>
                <w:szCs w:val="17"/>
                <w:lang w:eastAsia="zh-TW"/>
              </w:rPr>
            </w:pPr>
            <w:r w:rsidRPr="00CA7301">
              <w:rPr>
                <w:rFonts w:eastAsiaTheme="minorEastAsia" w:cs="Segoe UI"/>
                <w:sz w:val="17"/>
                <w:szCs w:val="17"/>
                <w:lang w:eastAsia="zh-TW"/>
              </w:rPr>
              <w:t>16FC</w:t>
            </w:r>
            <w:r w:rsidRPr="00CA7301">
              <w:rPr>
                <w:rFonts w:cs="Segoe UI"/>
                <w:sz w:val="17"/>
                <w:szCs w:val="17"/>
                <w:lang w:eastAsia="en-GB"/>
              </w:rPr>
              <w:t xml:space="preserve"> </w:t>
            </w:r>
          </w:p>
        </w:tc>
      </w:tr>
    </w:tbl>
    <w:p w14:paraId="7D2A0DC7" w14:textId="77777777" w:rsidR="009B09FD" w:rsidRPr="00CA7301" w:rsidRDefault="009B09FD" w:rsidP="009B09FD">
      <w:pPr>
        <w:rPr>
          <w:rFonts w:cs="Segoe UI"/>
          <w:sz w:val="22"/>
        </w:rPr>
      </w:pPr>
    </w:p>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4820"/>
        <w:gridCol w:w="1701"/>
        <w:gridCol w:w="1701"/>
        <w:gridCol w:w="992"/>
      </w:tblGrid>
      <w:tr w:rsidR="009B09FD" w:rsidRPr="00CA7301" w14:paraId="28D414BA" w14:textId="77777777" w:rsidTr="00F62652">
        <w:trPr>
          <w:trHeight w:val="48"/>
          <w:tblHeader/>
        </w:trPr>
        <w:tc>
          <w:tcPr>
            <w:tcW w:w="4820" w:type="dxa"/>
            <w:tcBorders>
              <w:top w:val="nil"/>
              <w:left w:val="nil"/>
              <w:bottom w:val="nil"/>
              <w:right w:val="single" w:sz="4" w:space="0" w:color="auto"/>
            </w:tcBorders>
            <w:vAlign w:val="center"/>
          </w:tcPr>
          <w:p w14:paraId="515F8FFE" w14:textId="77777777" w:rsidR="009B09FD" w:rsidRPr="00CA7301" w:rsidRDefault="009B09FD" w:rsidP="009B09FD">
            <w:pPr>
              <w:widowControl w:val="0"/>
              <w:autoSpaceDE w:val="0"/>
              <w:autoSpaceDN w:val="0"/>
              <w:adjustRightInd w:val="0"/>
              <w:rPr>
                <w:rFonts w:eastAsiaTheme="minorEastAsia" w:cs="Segoe UI"/>
                <w:b/>
                <w:bCs/>
                <w:color w:val="000000"/>
                <w:lang w:val="en-US" w:eastAsia="zh-TW"/>
              </w:rPr>
            </w:pPr>
          </w:p>
        </w:tc>
        <w:tc>
          <w:tcPr>
            <w:tcW w:w="1701" w:type="dxa"/>
            <w:tcBorders>
              <w:top w:val="single" w:sz="4" w:space="0" w:color="auto"/>
              <w:left w:val="nil"/>
              <w:bottom w:val="single" w:sz="4" w:space="0" w:color="auto"/>
              <w:right w:val="single" w:sz="4" w:space="0" w:color="auto"/>
            </w:tcBorders>
            <w:vAlign w:val="center"/>
          </w:tcPr>
          <w:p w14:paraId="5A23D11F" w14:textId="77777777" w:rsidR="009B09FD" w:rsidRPr="00CA7301" w:rsidRDefault="009B09FD" w:rsidP="009B09FD">
            <w:pPr>
              <w:snapToGrid w:val="0"/>
              <w:spacing w:before="40" w:after="40"/>
              <w:jc w:val="center"/>
              <w:rPr>
                <w:rFonts w:cs="Segoe UI"/>
                <w:bCs/>
                <w:sz w:val="17"/>
                <w:lang w:eastAsia="it-IT"/>
              </w:rPr>
            </w:pPr>
            <w:r w:rsidRPr="00CA7301">
              <w:rPr>
                <w:rFonts w:cs="Segoe UI"/>
                <w:bCs/>
                <w:sz w:val="17"/>
                <w:lang w:eastAsia="it-IT"/>
              </w:rPr>
              <w:t>(a)</w:t>
            </w:r>
          </w:p>
        </w:tc>
        <w:tc>
          <w:tcPr>
            <w:tcW w:w="1701" w:type="dxa"/>
            <w:tcBorders>
              <w:top w:val="single" w:sz="6" w:space="0" w:color="auto"/>
              <w:left w:val="single" w:sz="6" w:space="0" w:color="auto"/>
              <w:bottom w:val="single" w:sz="6" w:space="0" w:color="auto"/>
              <w:right w:val="single" w:sz="6" w:space="0" w:color="auto"/>
            </w:tcBorders>
            <w:vAlign w:val="center"/>
          </w:tcPr>
          <w:p w14:paraId="2B1A87E7" w14:textId="77777777" w:rsidR="009B09FD" w:rsidRPr="00CA7301" w:rsidRDefault="009B09FD" w:rsidP="009B09FD">
            <w:pPr>
              <w:snapToGrid w:val="0"/>
              <w:spacing w:before="40" w:after="40"/>
              <w:jc w:val="center"/>
              <w:rPr>
                <w:rFonts w:cs="Segoe UI"/>
                <w:bCs/>
                <w:sz w:val="17"/>
                <w:lang w:eastAsia="it-IT"/>
              </w:rPr>
            </w:pPr>
            <w:r w:rsidRPr="00CA7301">
              <w:rPr>
                <w:rFonts w:cs="Segoe UI"/>
                <w:bCs/>
                <w:sz w:val="17"/>
                <w:lang w:eastAsia="it-IT"/>
              </w:rPr>
              <w:t>(b)</w:t>
            </w:r>
          </w:p>
        </w:tc>
        <w:tc>
          <w:tcPr>
            <w:tcW w:w="992" w:type="dxa"/>
            <w:tcBorders>
              <w:top w:val="single" w:sz="6" w:space="0" w:color="auto"/>
              <w:left w:val="single" w:sz="6" w:space="0" w:color="auto"/>
              <w:bottom w:val="single" w:sz="6" w:space="0" w:color="auto"/>
              <w:right w:val="single" w:sz="4" w:space="0" w:color="auto"/>
            </w:tcBorders>
            <w:vAlign w:val="center"/>
          </w:tcPr>
          <w:p w14:paraId="33DC6323" w14:textId="77777777" w:rsidR="009B09FD" w:rsidRPr="00CA7301" w:rsidRDefault="009B09FD" w:rsidP="009B09FD">
            <w:pPr>
              <w:snapToGrid w:val="0"/>
              <w:spacing w:before="40" w:after="40"/>
              <w:jc w:val="center"/>
              <w:rPr>
                <w:rFonts w:cs="Segoe UI"/>
                <w:bCs/>
                <w:sz w:val="17"/>
                <w:lang w:eastAsia="it-IT"/>
              </w:rPr>
            </w:pPr>
            <w:r w:rsidRPr="00CA7301">
              <w:rPr>
                <w:rFonts w:cs="Segoe UI"/>
                <w:bCs/>
                <w:sz w:val="17"/>
                <w:lang w:eastAsia="it-IT"/>
              </w:rPr>
              <w:t>(c)</w:t>
            </w:r>
          </w:p>
        </w:tc>
      </w:tr>
      <w:tr w:rsidR="009B09FD" w:rsidRPr="00CA7301" w14:paraId="719D907C" w14:textId="77777777" w:rsidTr="00F62652">
        <w:trPr>
          <w:trHeight w:val="528"/>
          <w:tblHeader/>
        </w:trPr>
        <w:tc>
          <w:tcPr>
            <w:tcW w:w="4820" w:type="dxa"/>
            <w:tcBorders>
              <w:top w:val="nil"/>
              <w:left w:val="nil"/>
              <w:bottom w:val="single" w:sz="6" w:space="0" w:color="auto"/>
              <w:right w:val="single" w:sz="4" w:space="0" w:color="auto"/>
            </w:tcBorders>
            <w:vAlign w:val="center"/>
          </w:tcPr>
          <w:p w14:paraId="6B2BE355" w14:textId="77777777" w:rsidR="009B09FD" w:rsidRPr="00CA7301" w:rsidRDefault="009B09FD" w:rsidP="009B09FD">
            <w:pPr>
              <w:snapToGrid w:val="0"/>
              <w:spacing w:before="40" w:after="40"/>
              <w:rPr>
                <w:rFonts w:cs="Segoe UI"/>
                <w:sz w:val="17"/>
                <w:lang w:val="en-US" w:eastAsia="it-IT"/>
              </w:rPr>
            </w:pPr>
          </w:p>
        </w:tc>
        <w:tc>
          <w:tcPr>
            <w:tcW w:w="1701" w:type="dxa"/>
            <w:tcBorders>
              <w:top w:val="single" w:sz="4" w:space="0" w:color="auto"/>
              <w:left w:val="single" w:sz="4" w:space="0" w:color="auto"/>
              <w:bottom w:val="single" w:sz="6" w:space="0" w:color="auto"/>
              <w:right w:val="single" w:sz="6" w:space="0" w:color="auto"/>
            </w:tcBorders>
            <w:vAlign w:val="center"/>
          </w:tcPr>
          <w:p w14:paraId="0DBD23D3" w14:textId="77777777" w:rsidR="009B09FD" w:rsidRPr="00CA7301" w:rsidRDefault="009B09FD" w:rsidP="009B09FD">
            <w:pPr>
              <w:snapToGrid w:val="0"/>
              <w:spacing w:before="40" w:after="40"/>
              <w:ind w:left="57"/>
              <w:jc w:val="center"/>
              <w:rPr>
                <w:rFonts w:cs="Segoe UI"/>
                <w:b/>
                <w:sz w:val="17"/>
                <w:lang w:eastAsia="it-IT"/>
              </w:rPr>
            </w:pPr>
            <w:r w:rsidRPr="00CA7301">
              <w:rPr>
                <w:rFonts w:eastAsiaTheme="minorEastAsia" w:cs="Segoe UI"/>
                <w:b/>
                <w:sz w:val="17"/>
                <w:lang w:eastAsia="zh-TW"/>
              </w:rPr>
              <w:t>已發布財務報表中的資產負債表</w:t>
            </w:r>
          </w:p>
          <w:p w14:paraId="2C141784" w14:textId="77777777" w:rsidR="009B09FD" w:rsidRPr="00CA7301" w:rsidRDefault="009B09FD" w:rsidP="009B09FD">
            <w:pPr>
              <w:snapToGrid w:val="0"/>
              <w:spacing w:before="40" w:after="40"/>
              <w:ind w:left="57"/>
              <w:jc w:val="center"/>
              <w:rPr>
                <w:rFonts w:cs="Segoe UI"/>
                <w:sz w:val="17"/>
                <w:lang w:eastAsia="it-IT"/>
              </w:rPr>
            </w:pPr>
            <w:r w:rsidRPr="00CA7301">
              <w:rPr>
                <w:rFonts w:eastAsiaTheme="minorEastAsia" w:cs="Segoe UI"/>
                <w:sz w:val="17"/>
                <w:lang w:eastAsia="zh-TW"/>
              </w:rPr>
              <w:t>（期末）</w:t>
            </w:r>
          </w:p>
        </w:tc>
        <w:tc>
          <w:tcPr>
            <w:tcW w:w="1701" w:type="dxa"/>
            <w:tcBorders>
              <w:top w:val="single" w:sz="6" w:space="0" w:color="auto"/>
              <w:left w:val="single" w:sz="6" w:space="0" w:color="auto"/>
              <w:bottom w:val="single" w:sz="6" w:space="0" w:color="auto"/>
              <w:right w:val="single" w:sz="6" w:space="0" w:color="auto"/>
            </w:tcBorders>
            <w:vAlign w:val="center"/>
          </w:tcPr>
          <w:p w14:paraId="19D6EFD5" w14:textId="77777777" w:rsidR="009B09FD" w:rsidRPr="00CA7301" w:rsidRDefault="009B09FD" w:rsidP="009B09FD">
            <w:pPr>
              <w:snapToGrid w:val="0"/>
              <w:spacing w:before="40" w:after="40"/>
              <w:ind w:left="57"/>
              <w:jc w:val="center"/>
              <w:rPr>
                <w:rFonts w:cs="Segoe UI"/>
                <w:b/>
                <w:sz w:val="17"/>
                <w:lang w:eastAsia="it-IT"/>
              </w:rPr>
            </w:pPr>
            <w:r w:rsidRPr="00CA7301">
              <w:rPr>
                <w:rFonts w:eastAsia="細明體" w:cs="Segoe UI"/>
                <w:b/>
                <w:sz w:val="17"/>
                <w:lang w:eastAsia="zh-TW"/>
              </w:rPr>
              <w:t>在</w:t>
            </w:r>
            <w:r w:rsidRPr="00CA7301">
              <w:rPr>
                <w:rFonts w:eastAsia="細明體" w:cs="Segoe UI"/>
                <w:b/>
                <w:sz w:val="17"/>
                <w:lang w:eastAsia="it-IT"/>
              </w:rPr>
              <w:t>監管綜合範圍</w:t>
            </w:r>
            <w:r w:rsidRPr="00CA7301">
              <w:rPr>
                <w:rFonts w:eastAsia="細明體" w:cs="Segoe UI"/>
                <w:b/>
                <w:sz w:val="17"/>
                <w:lang w:eastAsia="zh-TW"/>
              </w:rPr>
              <w:t>下</w:t>
            </w:r>
          </w:p>
          <w:p w14:paraId="65BB7FCA" w14:textId="77777777" w:rsidR="009B09FD" w:rsidRPr="00CA7301" w:rsidRDefault="009B09FD" w:rsidP="009B09FD">
            <w:pPr>
              <w:snapToGrid w:val="0"/>
              <w:spacing w:before="40" w:after="40"/>
              <w:ind w:left="57"/>
              <w:jc w:val="center"/>
              <w:rPr>
                <w:rFonts w:cs="Segoe UI"/>
                <w:sz w:val="17"/>
                <w:lang w:eastAsia="it-IT"/>
              </w:rPr>
            </w:pPr>
            <w:r w:rsidRPr="00CA7301">
              <w:rPr>
                <w:rFonts w:eastAsiaTheme="minorEastAsia" w:cs="Segoe UI"/>
                <w:sz w:val="17"/>
                <w:lang w:eastAsia="zh-TW"/>
              </w:rPr>
              <w:t>（期末）</w:t>
            </w:r>
          </w:p>
        </w:tc>
        <w:tc>
          <w:tcPr>
            <w:tcW w:w="992" w:type="dxa"/>
            <w:tcBorders>
              <w:top w:val="single" w:sz="6" w:space="0" w:color="auto"/>
              <w:left w:val="single" w:sz="6" w:space="0" w:color="auto"/>
              <w:bottom w:val="single" w:sz="6" w:space="0" w:color="auto"/>
              <w:right w:val="single" w:sz="4" w:space="0" w:color="auto"/>
            </w:tcBorders>
            <w:vAlign w:val="center"/>
          </w:tcPr>
          <w:p w14:paraId="6522582D" w14:textId="77777777" w:rsidR="009B09FD" w:rsidRPr="00CA7301" w:rsidRDefault="009B09FD" w:rsidP="009B09FD">
            <w:pPr>
              <w:snapToGrid w:val="0"/>
              <w:spacing w:before="40" w:after="40"/>
              <w:ind w:left="57"/>
              <w:jc w:val="center"/>
              <w:rPr>
                <w:rFonts w:cs="Segoe UI"/>
                <w:b/>
                <w:sz w:val="17"/>
                <w:lang w:eastAsia="it-IT"/>
              </w:rPr>
            </w:pPr>
            <w:r w:rsidRPr="00CA7301">
              <w:rPr>
                <w:rFonts w:eastAsiaTheme="minorEastAsia" w:cs="Segoe UI"/>
                <w:b/>
                <w:sz w:val="17"/>
                <w:lang w:eastAsia="zh-TW"/>
              </w:rPr>
              <w:t>參照</w:t>
            </w:r>
          </w:p>
        </w:tc>
      </w:tr>
      <w:tr w:rsidR="009B09FD" w:rsidRPr="00CA7301" w14:paraId="1AEF5D7A" w14:textId="77777777" w:rsidTr="00F62652">
        <w:trPr>
          <w:cantSplit/>
          <w:trHeight w:val="285"/>
        </w:trPr>
        <w:tc>
          <w:tcPr>
            <w:tcW w:w="4820" w:type="dxa"/>
            <w:tcBorders>
              <w:top w:val="single" w:sz="6" w:space="0" w:color="auto"/>
              <w:left w:val="nil"/>
              <w:bottom w:val="single" w:sz="6" w:space="0" w:color="BCBDBC"/>
              <w:right w:val="nil"/>
            </w:tcBorders>
            <w:shd w:val="clear" w:color="auto" w:fill="A6A6A6" w:themeFill="background1" w:themeFillShade="A6"/>
          </w:tcPr>
          <w:p w14:paraId="44BCD298" w14:textId="77777777" w:rsidR="009B09FD" w:rsidRPr="00CA7301" w:rsidRDefault="009B09FD" w:rsidP="009B09FD">
            <w:pPr>
              <w:snapToGrid w:val="0"/>
              <w:spacing w:before="40" w:after="40"/>
              <w:ind w:left="57"/>
              <w:rPr>
                <w:rFonts w:cs="Segoe UI"/>
                <w:b/>
                <w:sz w:val="17"/>
                <w:lang w:eastAsia="it-IT"/>
              </w:rPr>
            </w:pPr>
            <w:r w:rsidRPr="00CA7301">
              <w:rPr>
                <w:rFonts w:eastAsiaTheme="minorEastAsia" w:cs="Segoe UI"/>
                <w:b/>
                <w:sz w:val="17"/>
                <w:lang w:eastAsia="zh-TW"/>
              </w:rPr>
              <w:t>資產</w:t>
            </w:r>
          </w:p>
        </w:tc>
        <w:tc>
          <w:tcPr>
            <w:tcW w:w="1701" w:type="dxa"/>
            <w:tcBorders>
              <w:top w:val="single" w:sz="6" w:space="0" w:color="auto"/>
              <w:left w:val="nil"/>
              <w:bottom w:val="single" w:sz="6" w:space="0" w:color="BCBDBC"/>
              <w:right w:val="nil"/>
            </w:tcBorders>
            <w:shd w:val="clear" w:color="auto" w:fill="A6A6A6" w:themeFill="background1" w:themeFillShade="A6"/>
          </w:tcPr>
          <w:p w14:paraId="1AE7DA47" w14:textId="77777777" w:rsidR="009B09FD" w:rsidRPr="00CA7301" w:rsidRDefault="009B09FD" w:rsidP="009B09FD">
            <w:pPr>
              <w:snapToGrid w:val="0"/>
              <w:spacing w:before="40" w:after="40"/>
              <w:ind w:left="57" w:rightChars="71" w:right="142"/>
              <w:rPr>
                <w:rFonts w:cs="Segoe UI"/>
                <w:b/>
                <w:sz w:val="17"/>
                <w:lang w:eastAsia="it-IT"/>
              </w:rPr>
            </w:pPr>
          </w:p>
        </w:tc>
        <w:tc>
          <w:tcPr>
            <w:tcW w:w="1701" w:type="dxa"/>
            <w:tcBorders>
              <w:top w:val="single" w:sz="6" w:space="0" w:color="auto"/>
              <w:left w:val="nil"/>
              <w:bottom w:val="single" w:sz="6" w:space="0" w:color="BCBDBC"/>
              <w:right w:val="nil"/>
            </w:tcBorders>
            <w:shd w:val="clear" w:color="auto" w:fill="A6A6A6" w:themeFill="background1" w:themeFillShade="A6"/>
          </w:tcPr>
          <w:p w14:paraId="4BAD8D17" w14:textId="77777777" w:rsidR="009B09FD" w:rsidRPr="00CA7301" w:rsidRDefault="009B09FD" w:rsidP="009B09FD">
            <w:pPr>
              <w:snapToGrid w:val="0"/>
              <w:spacing w:before="40" w:after="40"/>
              <w:rPr>
                <w:rFonts w:cs="Segoe UI"/>
                <w:sz w:val="17"/>
                <w:lang w:eastAsia="it-IT"/>
              </w:rPr>
            </w:pPr>
          </w:p>
        </w:tc>
        <w:tc>
          <w:tcPr>
            <w:tcW w:w="992" w:type="dxa"/>
            <w:tcBorders>
              <w:top w:val="single" w:sz="6" w:space="0" w:color="auto"/>
              <w:left w:val="nil"/>
              <w:bottom w:val="single" w:sz="6" w:space="0" w:color="BCBDBC"/>
              <w:right w:val="single" w:sz="4" w:space="0" w:color="auto"/>
            </w:tcBorders>
            <w:shd w:val="clear" w:color="auto" w:fill="A6A6A6" w:themeFill="background1" w:themeFillShade="A6"/>
          </w:tcPr>
          <w:p w14:paraId="5C0A8724" w14:textId="77777777" w:rsidR="009B09FD" w:rsidRPr="00CA7301" w:rsidRDefault="009B09FD" w:rsidP="009B09FD">
            <w:pPr>
              <w:snapToGrid w:val="0"/>
              <w:spacing w:before="40" w:after="40"/>
              <w:jc w:val="center"/>
              <w:rPr>
                <w:rFonts w:cs="Segoe UI"/>
                <w:sz w:val="17"/>
                <w:lang w:eastAsia="it-IT"/>
              </w:rPr>
            </w:pPr>
          </w:p>
        </w:tc>
      </w:tr>
      <w:tr w:rsidR="009B09FD" w:rsidRPr="00CA7301" w14:paraId="1CB501EE"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6BE1CC49"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現金及於中央銀行結</w:t>
            </w:r>
            <w:r w:rsidRPr="00CA7301">
              <w:rPr>
                <w:rFonts w:eastAsia="細明體" w:cs="Segoe UI"/>
                <w:sz w:val="17"/>
                <w:lang w:eastAsia="zh-TW"/>
              </w:rPr>
              <w:t>存</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50670AD9" w14:textId="77777777" w:rsidR="009B09FD" w:rsidRPr="00CA7301" w:rsidRDefault="009B09FD" w:rsidP="009B09FD">
            <w:pPr>
              <w:snapToGrid w:val="0"/>
              <w:spacing w:before="40" w:after="40"/>
              <w:ind w:left="57" w:rightChars="71" w:right="142"/>
              <w:rPr>
                <w:rFonts w:cs="Segoe UI"/>
                <w:sz w:val="17"/>
                <w:lang w:val="en-US"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C180A44"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614E879A" w14:textId="77777777" w:rsidR="009B09FD" w:rsidRPr="00CA7301" w:rsidRDefault="009B09FD" w:rsidP="009B09FD">
            <w:pPr>
              <w:snapToGrid w:val="0"/>
              <w:spacing w:before="40" w:after="40"/>
              <w:jc w:val="center"/>
              <w:rPr>
                <w:rFonts w:cs="Segoe UI"/>
                <w:sz w:val="17"/>
                <w:lang w:eastAsia="it-IT"/>
              </w:rPr>
            </w:pPr>
          </w:p>
        </w:tc>
      </w:tr>
      <w:tr w:rsidR="009B09FD" w:rsidRPr="00CA7301" w14:paraId="79F3C5AB"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6717B8E9" w14:textId="77777777" w:rsidR="009B09FD" w:rsidRPr="00CA7301" w:rsidRDefault="009B09FD" w:rsidP="009B09FD">
            <w:pPr>
              <w:snapToGrid w:val="0"/>
              <w:spacing w:before="40" w:after="40"/>
              <w:ind w:left="57"/>
              <w:rPr>
                <w:rFonts w:cs="Segoe UI"/>
                <w:sz w:val="17"/>
                <w:szCs w:val="17"/>
                <w:lang w:eastAsia="zh-TW"/>
              </w:rPr>
            </w:pPr>
            <w:r w:rsidRPr="00CA7301">
              <w:rPr>
                <w:rFonts w:eastAsia="細明體" w:cs="Segoe UI"/>
                <w:sz w:val="17"/>
                <w:szCs w:val="17"/>
                <w:lang w:eastAsia="zh-TW"/>
              </w:rPr>
              <w:t>向其他銀行託收中之項目</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141DBE5B"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41C5843"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5E72ECD0" w14:textId="77777777" w:rsidR="009B09FD" w:rsidRPr="00CA7301" w:rsidRDefault="009B09FD" w:rsidP="009B09FD">
            <w:pPr>
              <w:snapToGrid w:val="0"/>
              <w:spacing w:before="40" w:after="40"/>
              <w:jc w:val="center"/>
              <w:rPr>
                <w:rFonts w:cs="Segoe UI"/>
                <w:sz w:val="17"/>
                <w:lang w:eastAsia="it-IT"/>
              </w:rPr>
            </w:pPr>
          </w:p>
        </w:tc>
      </w:tr>
      <w:tr w:rsidR="009B09FD" w:rsidRPr="00CA7301" w14:paraId="0320DB3C"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17F336B9"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交易用途組合資產</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68870596"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EEE360B"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339C02B6" w14:textId="77777777" w:rsidR="009B09FD" w:rsidRPr="00CA7301" w:rsidRDefault="009B09FD" w:rsidP="009B09FD">
            <w:pPr>
              <w:snapToGrid w:val="0"/>
              <w:spacing w:before="40" w:after="40"/>
              <w:jc w:val="center"/>
              <w:rPr>
                <w:rFonts w:cs="Segoe UI"/>
                <w:sz w:val="17"/>
                <w:lang w:eastAsia="it-IT"/>
              </w:rPr>
            </w:pPr>
          </w:p>
        </w:tc>
      </w:tr>
      <w:tr w:rsidR="009B09FD" w:rsidRPr="00CA7301" w14:paraId="499716AA"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1E873B7B"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指定按公平價值列帳的金融資產</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45019761"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9194FD5"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0B18984A" w14:textId="77777777" w:rsidR="009B09FD" w:rsidRPr="00CA7301" w:rsidRDefault="009B09FD" w:rsidP="009B09FD">
            <w:pPr>
              <w:snapToGrid w:val="0"/>
              <w:spacing w:before="40" w:after="40"/>
              <w:jc w:val="center"/>
              <w:rPr>
                <w:rFonts w:cs="Segoe UI"/>
                <w:sz w:val="17"/>
                <w:lang w:eastAsia="it-IT"/>
              </w:rPr>
            </w:pPr>
          </w:p>
        </w:tc>
      </w:tr>
      <w:tr w:rsidR="009B09FD" w:rsidRPr="00CA7301" w14:paraId="7EAD87F8"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444D520C"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衍生金融工具</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65516B7A"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F950E58"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14543CCF" w14:textId="77777777" w:rsidR="009B09FD" w:rsidRPr="00CA7301" w:rsidRDefault="009B09FD" w:rsidP="009B09FD">
            <w:pPr>
              <w:snapToGrid w:val="0"/>
              <w:spacing w:before="40" w:after="40"/>
              <w:jc w:val="center"/>
              <w:rPr>
                <w:rFonts w:cs="Segoe UI"/>
                <w:sz w:val="17"/>
                <w:lang w:eastAsia="it-IT"/>
              </w:rPr>
            </w:pPr>
          </w:p>
        </w:tc>
      </w:tr>
      <w:tr w:rsidR="009B09FD" w:rsidRPr="00CA7301" w14:paraId="2430F575"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62462CD4"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對銀行的貸款及放款</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3932A50C"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6F283A4"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00B112F5" w14:textId="77777777" w:rsidR="009B09FD" w:rsidRPr="00CA7301" w:rsidRDefault="009B09FD" w:rsidP="009B09FD">
            <w:pPr>
              <w:snapToGrid w:val="0"/>
              <w:spacing w:before="40" w:after="40"/>
              <w:jc w:val="center"/>
              <w:rPr>
                <w:rFonts w:cs="Segoe UI"/>
                <w:sz w:val="17"/>
                <w:lang w:eastAsia="it-IT"/>
              </w:rPr>
            </w:pPr>
          </w:p>
        </w:tc>
      </w:tr>
      <w:tr w:rsidR="009B09FD" w:rsidRPr="00CA7301" w14:paraId="20478BB9"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054542AE"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對客戶的貸款及放款</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4D1BBC87"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C1C68CA"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28ECD22B" w14:textId="77777777" w:rsidR="009B09FD" w:rsidRPr="00CA7301" w:rsidRDefault="009B09FD" w:rsidP="009B09FD">
            <w:pPr>
              <w:snapToGrid w:val="0"/>
              <w:spacing w:before="40" w:after="40"/>
              <w:jc w:val="center"/>
              <w:rPr>
                <w:rFonts w:cs="Segoe UI"/>
                <w:sz w:val="17"/>
                <w:lang w:eastAsia="it-IT"/>
              </w:rPr>
            </w:pPr>
          </w:p>
        </w:tc>
      </w:tr>
      <w:tr w:rsidR="009B09FD" w:rsidRPr="00CA7301" w14:paraId="07F06B74"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73C7F259"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逆向回購協議及其他類似的有抵押貸款</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58A93EBC"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FD89C9E"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63FD4FEF" w14:textId="77777777" w:rsidR="009B09FD" w:rsidRPr="00CA7301" w:rsidRDefault="009B09FD" w:rsidP="009B09FD">
            <w:pPr>
              <w:snapToGrid w:val="0"/>
              <w:spacing w:before="40" w:after="40"/>
              <w:jc w:val="center"/>
              <w:rPr>
                <w:rFonts w:cs="Segoe UI"/>
                <w:sz w:val="17"/>
                <w:lang w:eastAsia="it-IT"/>
              </w:rPr>
            </w:pPr>
          </w:p>
        </w:tc>
      </w:tr>
      <w:tr w:rsidR="009B09FD" w:rsidRPr="00CA7301" w14:paraId="18B79A2D"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D56FCA3"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按公允值計入其他全面收益的金融投資</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7D26B53B"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103853B"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0F1AF863" w14:textId="77777777" w:rsidR="009B09FD" w:rsidRPr="00CA7301" w:rsidRDefault="009B09FD" w:rsidP="009B09FD">
            <w:pPr>
              <w:snapToGrid w:val="0"/>
              <w:spacing w:before="40" w:after="40"/>
              <w:jc w:val="center"/>
              <w:rPr>
                <w:rFonts w:cs="Segoe UI"/>
                <w:sz w:val="17"/>
                <w:lang w:eastAsia="it-IT"/>
              </w:rPr>
            </w:pPr>
          </w:p>
        </w:tc>
      </w:tr>
      <w:tr w:rsidR="009B09FD" w:rsidRPr="00CA7301" w14:paraId="16FA0CB2"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56A26A44"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本期及遞延稅項資產</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2FD39C34"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41C4723"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2BE1F829" w14:textId="77777777" w:rsidR="009B09FD" w:rsidRPr="00CA7301" w:rsidRDefault="009B09FD" w:rsidP="009B09FD">
            <w:pPr>
              <w:snapToGrid w:val="0"/>
              <w:spacing w:before="40" w:after="40"/>
              <w:jc w:val="center"/>
              <w:rPr>
                <w:rFonts w:cs="Segoe UI"/>
                <w:sz w:val="17"/>
                <w:lang w:eastAsia="it-IT"/>
              </w:rPr>
            </w:pPr>
          </w:p>
        </w:tc>
      </w:tr>
      <w:tr w:rsidR="009B09FD" w:rsidRPr="00CA7301" w14:paraId="15DBCB68"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11C5CD4D"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提前還款、累計收入及其他資產</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6C61C522"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DD49219"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5EF5C6E3" w14:textId="77777777" w:rsidR="009B09FD" w:rsidRPr="00CA7301" w:rsidRDefault="009B09FD" w:rsidP="009B09FD">
            <w:pPr>
              <w:snapToGrid w:val="0"/>
              <w:spacing w:before="40" w:after="40"/>
              <w:jc w:val="center"/>
              <w:rPr>
                <w:rFonts w:cs="Segoe UI"/>
                <w:sz w:val="17"/>
                <w:lang w:eastAsia="it-IT"/>
              </w:rPr>
            </w:pPr>
          </w:p>
        </w:tc>
      </w:tr>
      <w:tr w:rsidR="009B09FD" w:rsidRPr="00CA7301" w14:paraId="4A1A3E57"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C171F90"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於聯營及合營公司的投資</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0E22956E"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FCB66B0"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192F63F4" w14:textId="77777777" w:rsidR="009B09FD" w:rsidRPr="00CA7301" w:rsidRDefault="009B09FD" w:rsidP="009B09FD">
            <w:pPr>
              <w:snapToGrid w:val="0"/>
              <w:spacing w:before="40" w:after="40"/>
              <w:jc w:val="center"/>
              <w:rPr>
                <w:rFonts w:cs="Segoe UI"/>
                <w:sz w:val="17"/>
                <w:lang w:eastAsia="it-IT"/>
              </w:rPr>
            </w:pPr>
          </w:p>
        </w:tc>
      </w:tr>
      <w:tr w:rsidR="009B09FD" w:rsidRPr="00CA7301" w14:paraId="309FF4E8"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6BD65A02"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商譽及無形資產</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1947E6BB"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66B4BE7"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0D4BD10F" w14:textId="77777777" w:rsidR="009B09FD" w:rsidRPr="00CA7301" w:rsidRDefault="009B09FD" w:rsidP="009B09FD">
            <w:pPr>
              <w:snapToGrid w:val="0"/>
              <w:spacing w:before="40" w:after="40"/>
              <w:jc w:val="center"/>
              <w:rPr>
                <w:rFonts w:cs="Segoe UI"/>
                <w:sz w:val="17"/>
                <w:lang w:eastAsia="it-IT"/>
              </w:rPr>
            </w:pPr>
          </w:p>
        </w:tc>
      </w:tr>
      <w:tr w:rsidR="009B09FD" w:rsidRPr="00CA7301" w14:paraId="59BF7D4B"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03833490" w14:textId="77777777" w:rsidR="009B09FD" w:rsidRPr="00CA7301" w:rsidRDefault="009B09FD" w:rsidP="009B09FD">
            <w:pPr>
              <w:snapToGrid w:val="0"/>
              <w:spacing w:before="40" w:after="40"/>
              <w:ind w:leftChars="29" w:left="425" w:hangingChars="216" w:hanging="367"/>
              <w:rPr>
                <w:rFonts w:cs="Segoe UI"/>
                <w:sz w:val="17"/>
                <w:szCs w:val="17"/>
                <w:lang w:eastAsia="en-GB"/>
              </w:rPr>
            </w:pPr>
            <w:r w:rsidRPr="00CA7301">
              <w:rPr>
                <w:rFonts w:cs="Segoe UI"/>
                <w:sz w:val="17"/>
                <w:szCs w:val="17"/>
                <w:lang w:eastAsia="en-GB"/>
              </w:rPr>
              <w:tab/>
            </w:r>
            <w:r w:rsidRPr="00CA7301">
              <w:rPr>
                <w:rFonts w:eastAsiaTheme="minorEastAsia" w:cs="Segoe UI"/>
                <w:sz w:val="17"/>
                <w:szCs w:val="17"/>
                <w:lang w:eastAsia="zh-TW"/>
              </w:rPr>
              <w:t>其中：商譽</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5B842857"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0C7C00"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11FE0982" w14:textId="77777777" w:rsidR="009B09FD" w:rsidRPr="00CA7301" w:rsidRDefault="009B09FD" w:rsidP="009B09FD">
            <w:pPr>
              <w:snapToGrid w:val="0"/>
              <w:spacing w:before="40" w:after="40"/>
              <w:jc w:val="center"/>
              <w:rPr>
                <w:rFonts w:cs="Segoe UI"/>
                <w:sz w:val="17"/>
                <w:lang w:eastAsia="it-IT"/>
              </w:rPr>
            </w:pPr>
            <w:r w:rsidRPr="00CA7301">
              <w:rPr>
                <w:rFonts w:cs="Segoe UI"/>
                <w:sz w:val="17"/>
                <w:lang w:eastAsia="it-IT"/>
              </w:rPr>
              <w:t>[a]</w:t>
            </w:r>
          </w:p>
        </w:tc>
      </w:tr>
      <w:tr w:rsidR="009B09FD" w:rsidRPr="00CA7301" w14:paraId="180BB6AC"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22368183" w14:textId="77777777" w:rsidR="009B09FD" w:rsidRPr="00CA7301" w:rsidRDefault="009B09FD" w:rsidP="009B09FD">
            <w:pPr>
              <w:snapToGrid w:val="0"/>
              <w:spacing w:before="40" w:after="40"/>
              <w:ind w:leftChars="29" w:left="425" w:hangingChars="216" w:hanging="367"/>
              <w:rPr>
                <w:rFonts w:cs="Segoe UI"/>
                <w:sz w:val="17"/>
                <w:szCs w:val="17"/>
                <w:lang w:eastAsia="zh-TW"/>
              </w:rPr>
            </w:pPr>
            <w:r w:rsidRPr="00CA7301">
              <w:rPr>
                <w:rFonts w:cs="Segoe UI"/>
                <w:sz w:val="17"/>
                <w:szCs w:val="17"/>
                <w:lang w:eastAsia="en-GB"/>
              </w:rPr>
              <w:tab/>
            </w:r>
            <w:r w:rsidRPr="00CA7301">
              <w:rPr>
                <w:rFonts w:eastAsiaTheme="minorEastAsia" w:cs="Segoe UI"/>
                <w:sz w:val="17"/>
                <w:szCs w:val="17"/>
                <w:lang w:eastAsia="zh-TW"/>
              </w:rPr>
              <w:t>其中：其他無形資產</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20133B36"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CD33813"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6E1ADFE1" w14:textId="77777777" w:rsidR="009B09FD" w:rsidRPr="00CA7301" w:rsidRDefault="009B09FD" w:rsidP="009B09FD">
            <w:pPr>
              <w:snapToGrid w:val="0"/>
              <w:spacing w:before="40" w:after="40"/>
              <w:jc w:val="center"/>
              <w:rPr>
                <w:rFonts w:cs="Segoe UI"/>
                <w:sz w:val="17"/>
                <w:lang w:eastAsia="it-IT"/>
              </w:rPr>
            </w:pPr>
            <w:r w:rsidRPr="00CA7301">
              <w:rPr>
                <w:rFonts w:cs="Segoe UI"/>
                <w:sz w:val="17"/>
                <w:lang w:eastAsia="it-IT"/>
              </w:rPr>
              <w:t>[b]</w:t>
            </w:r>
          </w:p>
        </w:tc>
      </w:tr>
      <w:tr w:rsidR="009B09FD" w:rsidRPr="00CA7301" w14:paraId="6CCBD6BA"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146BA8BF"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物業、機器及設備</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01356D13"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9A62287"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758790D3" w14:textId="77777777" w:rsidR="009B09FD" w:rsidRPr="00CA7301" w:rsidRDefault="009B09FD" w:rsidP="009B09FD">
            <w:pPr>
              <w:snapToGrid w:val="0"/>
              <w:spacing w:before="40" w:after="40"/>
              <w:jc w:val="center"/>
              <w:rPr>
                <w:rFonts w:cs="Segoe UI"/>
                <w:sz w:val="17"/>
                <w:lang w:eastAsia="it-IT"/>
              </w:rPr>
            </w:pPr>
          </w:p>
        </w:tc>
      </w:tr>
      <w:tr w:rsidR="009B09FD" w:rsidRPr="00CA7301" w14:paraId="46B7E973" w14:textId="77777777" w:rsidTr="00F62652">
        <w:trPr>
          <w:cantSplit/>
          <w:trHeight w:val="285"/>
        </w:trPr>
        <w:tc>
          <w:tcPr>
            <w:tcW w:w="4820" w:type="dxa"/>
            <w:tcBorders>
              <w:top w:val="single" w:sz="6" w:space="0" w:color="auto"/>
              <w:left w:val="nil"/>
              <w:bottom w:val="single" w:sz="6" w:space="0" w:color="auto"/>
              <w:right w:val="single" w:sz="4" w:space="0" w:color="auto"/>
            </w:tcBorders>
            <w:shd w:val="clear" w:color="auto" w:fill="auto"/>
          </w:tcPr>
          <w:p w14:paraId="62F982F2" w14:textId="77777777" w:rsidR="009B09FD" w:rsidRPr="00CA7301" w:rsidRDefault="009B09FD" w:rsidP="009B09FD">
            <w:pPr>
              <w:snapToGrid w:val="0"/>
              <w:spacing w:before="40" w:after="40"/>
              <w:ind w:left="57"/>
              <w:rPr>
                <w:rFonts w:cs="Segoe UI"/>
                <w:b/>
                <w:sz w:val="17"/>
                <w:szCs w:val="17"/>
                <w:lang w:eastAsia="en-GB"/>
              </w:rPr>
            </w:pPr>
            <w:r w:rsidRPr="00CA7301">
              <w:rPr>
                <w:rFonts w:eastAsiaTheme="minorEastAsia" w:cs="Segoe UI"/>
                <w:b/>
                <w:sz w:val="17"/>
                <w:szCs w:val="17"/>
                <w:lang w:eastAsia="zh-TW"/>
              </w:rPr>
              <w:t>資產總額</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192174FA"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3916659"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6" w:space="0" w:color="auto"/>
              <w:right w:val="single" w:sz="4" w:space="0" w:color="auto"/>
            </w:tcBorders>
            <w:shd w:val="clear" w:color="auto" w:fill="auto"/>
          </w:tcPr>
          <w:p w14:paraId="6C1041C4" w14:textId="77777777" w:rsidR="009B09FD" w:rsidRPr="00CA7301" w:rsidRDefault="009B09FD" w:rsidP="009B09FD">
            <w:pPr>
              <w:snapToGrid w:val="0"/>
              <w:spacing w:before="40" w:after="40"/>
              <w:jc w:val="center"/>
              <w:rPr>
                <w:rFonts w:cs="Segoe UI"/>
                <w:sz w:val="17"/>
                <w:lang w:eastAsia="it-IT"/>
              </w:rPr>
            </w:pPr>
          </w:p>
        </w:tc>
      </w:tr>
      <w:tr w:rsidR="009B09FD" w:rsidRPr="00CA7301" w14:paraId="69EE90B1" w14:textId="77777777" w:rsidTr="00F62652">
        <w:trPr>
          <w:cantSplit/>
          <w:trHeight w:val="285"/>
        </w:trPr>
        <w:tc>
          <w:tcPr>
            <w:tcW w:w="4820" w:type="dxa"/>
            <w:tcBorders>
              <w:top w:val="single" w:sz="6" w:space="0" w:color="auto"/>
              <w:left w:val="nil"/>
              <w:bottom w:val="single" w:sz="4" w:space="0" w:color="auto"/>
              <w:right w:val="nil"/>
            </w:tcBorders>
            <w:shd w:val="clear" w:color="auto" w:fill="A6A6A6" w:themeFill="background1" w:themeFillShade="A6"/>
          </w:tcPr>
          <w:p w14:paraId="1883B453" w14:textId="77777777" w:rsidR="009B09FD" w:rsidRPr="00CA7301" w:rsidRDefault="009B09FD" w:rsidP="009B09FD">
            <w:pPr>
              <w:snapToGrid w:val="0"/>
              <w:spacing w:before="40" w:after="40"/>
              <w:ind w:left="57"/>
              <w:rPr>
                <w:rFonts w:cs="Segoe UI"/>
                <w:b/>
                <w:sz w:val="17"/>
                <w:szCs w:val="17"/>
                <w:lang w:eastAsia="it-IT"/>
              </w:rPr>
            </w:pPr>
            <w:r w:rsidRPr="00CA7301">
              <w:rPr>
                <w:rFonts w:eastAsiaTheme="minorEastAsia" w:cs="Segoe UI"/>
                <w:b/>
                <w:sz w:val="17"/>
                <w:lang w:eastAsia="zh-TW"/>
              </w:rPr>
              <w:t>負債</w:t>
            </w:r>
          </w:p>
        </w:tc>
        <w:tc>
          <w:tcPr>
            <w:tcW w:w="1701" w:type="dxa"/>
            <w:tcBorders>
              <w:top w:val="single" w:sz="6" w:space="0" w:color="auto"/>
              <w:left w:val="nil"/>
              <w:bottom w:val="single" w:sz="4" w:space="0" w:color="auto"/>
              <w:right w:val="nil"/>
            </w:tcBorders>
            <w:shd w:val="clear" w:color="auto" w:fill="A6A6A6" w:themeFill="background1" w:themeFillShade="A6"/>
          </w:tcPr>
          <w:p w14:paraId="0FA99BF0" w14:textId="77777777" w:rsidR="009B09FD" w:rsidRPr="00CA7301" w:rsidRDefault="009B09FD" w:rsidP="009B09FD">
            <w:pPr>
              <w:snapToGrid w:val="0"/>
              <w:spacing w:before="40" w:after="40"/>
              <w:ind w:left="57" w:rightChars="71" w:right="142"/>
              <w:rPr>
                <w:rFonts w:cs="Segoe UI"/>
                <w:b/>
                <w:sz w:val="17"/>
                <w:szCs w:val="17"/>
                <w:lang w:eastAsia="it-IT"/>
              </w:rPr>
            </w:pPr>
          </w:p>
        </w:tc>
        <w:tc>
          <w:tcPr>
            <w:tcW w:w="1701" w:type="dxa"/>
            <w:tcBorders>
              <w:top w:val="single" w:sz="6" w:space="0" w:color="auto"/>
              <w:left w:val="nil"/>
              <w:bottom w:val="single" w:sz="4" w:space="0" w:color="auto"/>
              <w:right w:val="nil"/>
            </w:tcBorders>
            <w:shd w:val="clear" w:color="auto" w:fill="A6A6A6" w:themeFill="background1" w:themeFillShade="A6"/>
          </w:tcPr>
          <w:p w14:paraId="78CFFA1C"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nil"/>
              <w:bottom w:val="single" w:sz="4" w:space="0" w:color="auto"/>
              <w:right w:val="single" w:sz="4" w:space="0" w:color="auto"/>
            </w:tcBorders>
            <w:shd w:val="clear" w:color="auto" w:fill="A6A6A6" w:themeFill="background1" w:themeFillShade="A6"/>
          </w:tcPr>
          <w:p w14:paraId="5DBAFFA7" w14:textId="77777777" w:rsidR="009B09FD" w:rsidRPr="00CA7301" w:rsidRDefault="009B09FD" w:rsidP="009B09FD">
            <w:pPr>
              <w:snapToGrid w:val="0"/>
              <w:spacing w:before="40" w:after="40"/>
              <w:jc w:val="center"/>
              <w:rPr>
                <w:rFonts w:cs="Segoe UI"/>
                <w:sz w:val="17"/>
                <w:lang w:eastAsia="it-IT"/>
              </w:rPr>
            </w:pPr>
          </w:p>
        </w:tc>
      </w:tr>
      <w:tr w:rsidR="009B09FD" w:rsidRPr="00CA7301" w14:paraId="44905B1C"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0031CD24"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來自銀行的存款</w:t>
            </w:r>
          </w:p>
        </w:tc>
        <w:tc>
          <w:tcPr>
            <w:tcW w:w="1701" w:type="dxa"/>
            <w:tcBorders>
              <w:top w:val="single" w:sz="6" w:space="0" w:color="auto"/>
              <w:left w:val="single" w:sz="4" w:space="0" w:color="auto"/>
              <w:bottom w:val="single" w:sz="6" w:space="0" w:color="auto"/>
              <w:right w:val="single" w:sz="6" w:space="0" w:color="auto"/>
            </w:tcBorders>
            <w:shd w:val="clear" w:color="auto" w:fill="auto"/>
          </w:tcPr>
          <w:p w14:paraId="119794B4"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7F3080D3"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6" w:space="0" w:color="auto"/>
              <w:bottom w:val="single" w:sz="6" w:space="0" w:color="auto"/>
              <w:right w:val="single" w:sz="4" w:space="0" w:color="auto"/>
            </w:tcBorders>
            <w:shd w:val="clear" w:color="auto" w:fill="auto"/>
          </w:tcPr>
          <w:p w14:paraId="02CB1925" w14:textId="77777777" w:rsidR="009B09FD" w:rsidRPr="00CA7301" w:rsidRDefault="009B09FD" w:rsidP="009B09FD">
            <w:pPr>
              <w:snapToGrid w:val="0"/>
              <w:spacing w:before="40" w:after="40"/>
              <w:jc w:val="center"/>
              <w:rPr>
                <w:rFonts w:cs="Segoe UI"/>
                <w:sz w:val="17"/>
                <w:lang w:eastAsia="it-IT"/>
              </w:rPr>
            </w:pPr>
          </w:p>
        </w:tc>
      </w:tr>
      <w:tr w:rsidR="009B09FD" w:rsidRPr="00CA7301" w14:paraId="24317ED5"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710423A1" w14:textId="77777777" w:rsidR="009B09FD" w:rsidRPr="00CA7301" w:rsidRDefault="009B09FD" w:rsidP="009B09FD">
            <w:pPr>
              <w:snapToGrid w:val="0"/>
              <w:spacing w:before="40" w:after="40"/>
              <w:ind w:left="57"/>
              <w:rPr>
                <w:rFonts w:cs="Segoe UI"/>
                <w:sz w:val="17"/>
                <w:szCs w:val="17"/>
                <w:lang w:eastAsia="zh-TW"/>
              </w:rPr>
            </w:pPr>
            <w:r w:rsidRPr="00CA7301">
              <w:rPr>
                <w:rFonts w:eastAsia="細明體" w:cs="Segoe UI"/>
                <w:sz w:val="17"/>
                <w:szCs w:val="17"/>
                <w:lang w:eastAsia="zh-TW"/>
              </w:rPr>
              <w:t>其他銀行委託託收中之項目</w:t>
            </w:r>
          </w:p>
        </w:tc>
        <w:tc>
          <w:tcPr>
            <w:tcW w:w="1701" w:type="dxa"/>
            <w:tcBorders>
              <w:top w:val="single" w:sz="6" w:space="0" w:color="auto"/>
              <w:left w:val="single" w:sz="4" w:space="0" w:color="auto"/>
              <w:bottom w:val="single" w:sz="4" w:space="0" w:color="auto"/>
              <w:right w:val="single" w:sz="6" w:space="0" w:color="auto"/>
            </w:tcBorders>
            <w:shd w:val="clear" w:color="auto" w:fill="auto"/>
          </w:tcPr>
          <w:p w14:paraId="46D7BBE4" w14:textId="77777777" w:rsidR="009B09FD" w:rsidRPr="00CA7301" w:rsidRDefault="009B09FD" w:rsidP="009B09FD">
            <w:pPr>
              <w:snapToGrid w:val="0"/>
              <w:spacing w:before="40" w:after="40"/>
              <w:ind w:left="57" w:rightChars="71" w:right="142"/>
              <w:rPr>
                <w:rFonts w:cs="Segoe UI"/>
                <w:sz w:val="17"/>
                <w:lang w:val="en-US" w:eastAsia="it-IT"/>
              </w:rPr>
            </w:pPr>
          </w:p>
        </w:tc>
        <w:tc>
          <w:tcPr>
            <w:tcW w:w="1701" w:type="dxa"/>
            <w:tcBorders>
              <w:top w:val="single" w:sz="6" w:space="0" w:color="auto"/>
              <w:left w:val="single" w:sz="6" w:space="0" w:color="auto"/>
              <w:bottom w:val="single" w:sz="4" w:space="0" w:color="auto"/>
              <w:right w:val="single" w:sz="6" w:space="0" w:color="auto"/>
            </w:tcBorders>
            <w:shd w:val="clear" w:color="auto" w:fill="auto"/>
          </w:tcPr>
          <w:p w14:paraId="5D5002F3" w14:textId="77777777" w:rsidR="009B09FD" w:rsidRPr="00CA7301" w:rsidRDefault="009B09FD" w:rsidP="009B09FD">
            <w:pPr>
              <w:snapToGrid w:val="0"/>
              <w:spacing w:before="40" w:after="40"/>
              <w:rPr>
                <w:rFonts w:eastAsiaTheme="minorEastAsia" w:cs="Segoe UI"/>
                <w:sz w:val="17"/>
                <w:lang w:eastAsia="zh-TW"/>
              </w:rPr>
            </w:pPr>
          </w:p>
        </w:tc>
        <w:tc>
          <w:tcPr>
            <w:tcW w:w="992" w:type="dxa"/>
            <w:tcBorders>
              <w:top w:val="single" w:sz="6" w:space="0" w:color="auto"/>
              <w:left w:val="single" w:sz="6" w:space="0" w:color="auto"/>
              <w:bottom w:val="single" w:sz="4" w:space="0" w:color="auto"/>
              <w:right w:val="single" w:sz="4" w:space="0" w:color="auto"/>
            </w:tcBorders>
            <w:shd w:val="clear" w:color="auto" w:fill="auto"/>
          </w:tcPr>
          <w:p w14:paraId="618E1E69" w14:textId="77777777" w:rsidR="009B09FD" w:rsidRPr="00CA7301" w:rsidRDefault="009B09FD" w:rsidP="009B09FD">
            <w:pPr>
              <w:snapToGrid w:val="0"/>
              <w:spacing w:before="40" w:after="40"/>
              <w:jc w:val="center"/>
              <w:rPr>
                <w:rFonts w:cs="Segoe UI"/>
                <w:sz w:val="17"/>
                <w:lang w:eastAsia="it-IT"/>
              </w:rPr>
            </w:pPr>
          </w:p>
        </w:tc>
      </w:tr>
      <w:tr w:rsidR="009B09FD" w:rsidRPr="00CA7301" w14:paraId="36AEBBBF"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19DB7F4F"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客戶帳戶</w:t>
            </w:r>
          </w:p>
        </w:tc>
        <w:tc>
          <w:tcPr>
            <w:tcW w:w="1701" w:type="dxa"/>
            <w:tcBorders>
              <w:top w:val="single" w:sz="4" w:space="0" w:color="auto"/>
              <w:left w:val="single" w:sz="4" w:space="0" w:color="auto"/>
              <w:bottom w:val="single" w:sz="4" w:space="0" w:color="auto"/>
              <w:right w:val="single" w:sz="6" w:space="0" w:color="auto"/>
            </w:tcBorders>
            <w:shd w:val="clear" w:color="auto" w:fill="auto"/>
          </w:tcPr>
          <w:p w14:paraId="14AFA995"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32096F3A"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6" w:space="0" w:color="auto"/>
              <w:bottom w:val="single" w:sz="4" w:space="0" w:color="auto"/>
              <w:right w:val="single" w:sz="4" w:space="0" w:color="auto"/>
            </w:tcBorders>
            <w:shd w:val="clear" w:color="auto" w:fill="auto"/>
          </w:tcPr>
          <w:p w14:paraId="2EFCE375" w14:textId="77777777" w:rsidR="009B09FD" w:rsidRPr="00CA7301" w:rsidRDefault="009B09FD" w:rsidP="009B09FD">
            <w:pPr>
              <w:snapToGrid w:val="0"/>
              <w:spacing w:before="40" w:after="40"/>
              <w:jc w:val="center"/>
              <w:rPr>
                <w:rFonts w:cs="Segoe UI"/>
                <w:sz w:val="17"/>
                <w:lang w:eastAsia="it-IT"/>
              </w:rPr>
            </w:pPr>
          </w:p>
        </w:tc>
      </w:tr>
      <w:tr w:rsidR="009B09FD" w:rsidRPr="00CA7301" w14:paraId="40DE8F6E"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686569B9"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回購協議及其他類似的有抵押借款</w:t>
            </w:r>
          </w:p>
        </w:tc>
        <w:tc>
          <w:tcPr>
            <w:tcW w:w="1701" w:type="dxa"/>
            <w:tcBorders>
              <w:top w:val="single" w:sz="4" w:space="0" w:color="auto"/>
              <w:left w:val="single" w:sz="4" w:space="0" w:color="auto"/>
              <w:bottom w:val="single" w:sz="6" w:space="0" w:color="auto"/>
              <w:right w:val="single" w:sz="6" w:space="0" w:color="auto"/>
            </w:tcBorders>
            <w:shd w:val="clear" w:color="auto" w:fill="auto"/>
          </w:tcPr>
          <w:p w14:paraId="1595C829"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2E2C7A3A"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6" w:space="0" w:color="auto"/>
              <w:bottom w:val="single" w:sz="6" w:space="0" w:color="auto"/>
              <w:right w:val="single" w:sz="4" w:space="0" w:color="auto"/>
            </w:tcBorders>
            <w:shd w:val="clear" w:color="auto" w:fill="auto"/>
          </w:tcPr>
          <w:p w14:paraId="7B59D8C9" w14:textId="77777777" w:rsidR="009B09FD" w:rsidRPr="00CA7301" w:rsidRDefault="009B09FD" w:rsidP="009B09FD">
            <w:pPr>
              <w:snapToGrid w:val="0"/>
              <w:spacing w:before="40" w:after="40"/>
              <w:jc w:val="center"/>
              <w:rPr>
                <w:rFonts w:cs="Segoe UI"/>
                <w:sz w:val="17"/>
                <w:lang w:eastAsia="it-IT"/>
              </w:rPr>
            </w:pPr>
          </w:p>
        </w:tc>
      </w:tr>
      <w:tr w:rsidR="009B09FD" w:rsidRPr="00CA7301" w14:paraId="414F79E0"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353144E8"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交易用途組合負債</w:t>
            </w:r>
          </w:p>
        </w:tc>
        <w:tc>
          <w:tcPr>
            <w:tcW w:w="1701" w:type="dxa"/>
            <w:tcBorders>
              <w:top w:val="single" w:sz="6" w:space="0" w:color="auto"/>
              <w:left w:val="single" w:sz="4" w:space="0" w:color="auto"/>
              <w:bottom w:val="single" w:sz="4" w:space="0" w:color="auto"/>
              <w:right w:val="single" w:sz="6" w:space="0" w:color="auto"/>
            </w:tcBorders>
            <w:shd w:val="clear" w:color="auto" w:fill="auto"/>
          </w:tcPr>
          <w:p w14:paraId="3E2D38DF" w14:textId="77777777" w:rsidR="009B09FD" w:rsidRPr="00CA7301" w:rsidRDefault="009B09FD" w:rsidP="009B09FD">
            <w:pPr>
              <w:snapToGrid w:val="0"/>
              <w:spacing w:before="40" w:after="40"/>
              <w:ind w:left="57" w:rightChars="71" w:right="142"/>
              <w:rPr>
                <w:rFonts w:cs="Segoe UI"/>
                <w:sz w:val="17"/>
                <w:lang w:val="en-US" w:eastAsia="it-IT"/>
              </w:rPr>
            </w:pPr>
          </w:p>
        </w:tc>
        <w:tc>
          <w:tcPr>
            <w:tcW w:w="1701" w:type="dxa"/>
            <w:tcBorders>
              <w:top w:val="single" w:sz="6" w:space="0" w:color="auto"/>
              <w:left w:val="single" w:sz="6" w:space="0" w:color="auto"/>
              <w:bottom w:val="single" w:sz="4" w:space="0" w:color="auto"/>
              <w:right w:val="single" w:sz="6" w:space="0" w:color="auto"/>
            </w:tcBorders>
            <w:shd w:val="clear" w:color="auto" w:fill="auto"/>
          </w:tcPr>
          <w:p w14:paraId="67EB8C84"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6" w:space="0" w:color="auto"/>
              <w:left w:val="single" w:sz="6" w:space="0" w:color="auto"/>
              <w:bottom w:val="single" w:sz="4" w:space="0" w:color="auto"/>
              <w:right w:val="single" w:sz="4" w:space="0" w:color="auto"/>
            </w:tcBorders>
            <w:shd w:val="clear" w:color="auto" w:fill="auto"/>
          </w:tcPr>
          <w:p w14:paraId="527A850F" w14:textId="77777777" w:rsidR="009B09FD" w:rsidRPr="00CA7301" w:rsidRDefault="009B09FD" w:rsidP="009B09FD">
            <w:pPr>
              <w:snapToGrid w:val="0"/>
              <w:spacing w:before="40" w:after="40"/>
              <w:jc w:val="center"/>
              <w:rPr>
                <w:rFonts w:cs="Segoe UI"/>
                <w:sz w:val="17"/>
                <w:lang w:eastAsia="it-IT"/>
              </w:rPr>
            </w:pPr>
          </w:p>
        </w:tc>
      </w:tr>
      <w:tr w:rsidR="009B09FD" w:rsidRPr="00CA7301" w14:paraId="0152100E" w14:textId="77777777" w:rsidTr="00F62652">
        <w:trPr>
          <w:cantSplit/>
          <w:trHeight w:val="340"/>
        </w:trPr>
        <w:tc>
          <w:tcPr>
            <w:tcW w:w="4820" w:type="dxa"/>
            <w:tcBorders>
              <w:top w:val="single" w:sz="4" w:space="0" w:color="auto"/>
              <w:left w:val="nil"/>
              <w:bottom w:val="single" w:sz="4" w:space="0" w:color="auto"/>
              <w:right w:val="single" w:sz="6" w:space="0" w:color="auto"/>
            </w:tcBorders>
          </w:tcPr>
          <w:p w14:paraId="21034FA8"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指定按公平價值列帳的金融負債</w:t>
            </w:r>
          </w:p>
        </w:tc>
        <w:tc>
          <w:tcPr>
            <w:tcW w:w="1701" w:type="dxa"/>
            <w:tcBorders>
              <w:top w:val="single" w:sz="4" w:space="0" w:color="auto"/>
              <w:left w:val="single" w:sz="6" w:space="0" w:color="auto"/>
              <w:bottom w:val="single" w:sz="4" w:space="0" w:color="auto"/>
              <w:right w:val="single" w:sz="6" w:space="0" w:color="auto"/>
            </w:tcBorders>
          </w:tcPr>
          <w:p w14:paraId="1713AC3C"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6" w:space="0" w:color="auto"/>
              <w:bottom w:val="single" w:sz="4" w:space="0" w:color="auto"/>
              <w:right w:val="single" w:sz="6" w:space="0" w:color="auto"/>
            </w:tcBorders>
          </w:tcPr>
          <w:p w14:paraId="68C34938"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6" w:space="0" w:color="auto"/>
              <w:bottom w:val="single" w:sz="4" w:space="0" w:color="auto"/>
              <w:right w:val="single" w:sz="4" w:space="0" w:color="auto"/>
            </w:tcBorders>
          </w:tcPr>
          <w:p w14:paraId="26DCD7DD" w14:textId="77777777" w:rsidR="009B09FD" w:rsidRPr="00CA7301" w:rsidRDefault="009B09FD" w:rsidP="009B09FD">
            <w:pPr>
              <w:snapToGrid w:val="0"/>
              <w:spacing w:before="40" w:after="40"/>
              <w:jc w:val="center"/>
              <w:rPr>
                <w:rFonts w:cs="Segoe UI"/>
                <w:sz w:val="17"/>
                <w:lang w:eastAsia="it-IT"/>
              </w:rPr>
            </w:pPr>
          </w:p>
        </w:tc>
      </w:tr>
      <w:tr w:rsidR="009B09FD" w:rsidRPr="00CA7301" w14:paraId="4BD7BBBD" w14:textId="77777777" w:rsidTr="00F62652">
        <w:trPr>
          <w:cantSplit/>
        </w:trPr>
        <w:tc>
          <w:tcPr>
            <w:tcW w:w="4820" w:type="dxa"/>
            <w:tcBorders>
              <w:top w:val="single" w:sz="4" w:space="0" w:color="auto"/>
              <w:left w:val="nil"/>
              <w:bottom w:val="single" w:sz="4" w:space="0" w:color="auto"/>
              <w:right w:val="single" w:sz="4" w:space="0" w:color="auto"/>
            </w:tcBorders>
            <w:shd w:val="clear" w:color="auto" w:fill="auto"/>
          </w:tcPr>
          <w:p w14:paraId="443EA999"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衍生金融工具</w:t>
            </w:r>
          </w:p>
        </w:tc>
        <w:tc>
          <w:tcPr>
            <w:tcW w:w="1701" w:type="dxa"/>
            <w:tcBorders>
              <w:top w:val="single" w:sz="4" w:space="0" w:color="auto"/>
              <w:left w:val="single" w:sz="4" w:space="0" w:color="auto"/>
              <w:bottom w:val="single" w:sz="4" w:space="0" w:color="auto"/>
              <w:right w:val="single" w:sz="4" w:space="0" w:color="auto"/>
            </w:tcBorders>
          </w:tcPr>
          <w:p w14:paraId="32FD3B7C"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tcPr>
          <w:p w14:paraId="37DFCE60"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tcPr>
          <w:p w14:paraId="1FFD19E9" w14:textId="77777777" w:rsidR="009B09FD" w:rsidRPr="00CA7301" w:rsidRDefault="009B09FD" w:rsidP="009B09FD">
            <w:pPr>
              <w:snapToGrid w:val="0"/>
              <w:spacing w:before="40" w:after="40"/>
              <w:jc w:val="center"/>
              <w:rPr>
                <w:rFonts w:cs="Segoe UI"/>
                <w:sz w:val="17"/>
                <w:lang w:eastAsia="it-IT"/>
              </w:rPr>
            </w:pPr>
          </w:p>
        </w:tc>
      </w:tr>
      <w:tr w:rsidR="009B09FD" w:rsidRPr="00CA7301" w14:paraId="1F999AF2"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2E4A0F10"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已發行債務證券</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30A4A3"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28FA86"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1FC371" w14:textId="77777777" w:rsidR="009B09FD" w:rsidRPr="00CA7301" w:rsidRDefault="009B09FD" w:rsidP="009B09FD">
            <w:pPr>
              <w:snapToGrid w:val="0"/>
              <w:spacing w:before="40" w:after="40"/>
              <w:jc w:val="center"/>
              <w:rPr>
                <w:rFonts w:cs="Segoe UI"/>
                <w:sz w:val="17"/>
                <w:lang w:eastAsia="it-IT"/>
              </w:rPr>
            </w:pPr>
          </w:p>
        </w:tc>
      </w:tr>
      <w:tr w:rsidR="009B09FD" w:rsidRPr="00CA7301" w14:paraId="569B2B42"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62DA0809" w14:textId="77777777" w:rsidR="009B09FD" w:rsidRPr="00CA7301" w:rsidRDefault="009B09FD" w:rsidP="009B09FD">
            <w:pPr>
              <w:snapToGrid w:val="0"/>
              <w:spacing w:before="40" w:after="40"/>
              <w:ind w:left="57"/>
              <w:rPr>
                <w:rFonts w:cs="Segoe UI"/>
                <w:sz w:val="17"/>
                <w:szCs w:val="17"/>
                <w:lang w:eastAsia="zh-TW"/>
              </w:rPr>
            </w:pPr>
            <w:r w:rsidRPr="00CA7301">
              <w:rPr>
                <w:rFonts w:eastAsiaTheme="minorEastAsia" w:cs="Segoe UI"/>
                <w:sz w:val="17"/>
                <w:szCs w:val="17"/>
                <w:lang w:eastAsia="zh-TW"/>
              </w:rPr>
              <w:t>累計項目、遞延收入及其他負債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731E1B"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56CDAC"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51D0D7C" w14:textId="77777777" w:rsidR="009B09FD" w:rsidRPr="00CA7301" w:rsidRDefault="009B09FD" w:rsidP="009B09FD">
            <w:pPr>
              <w:snapToGrid w:val="0"/>
              <w:spacing w:before="40" w:after="40"/>
              <w:jc w:val="center"/>
              <w:rPr>
                <w:rFonts w:cs="Segoe UI"/>
                <w:sz w:val="17"/>
                <w:lang w:eastAsia="it-IT"/>
              </w:rPr>
            </w:pPr>
          </w:p>
        </w:tc>
      </w:tr>
      <w:tr w:rsidR="009B09FD" w:rsidRPr="00CA7301" w14:paraId="759138D1"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19D75B52"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本期及遞延稅項負債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D7122E"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E17428"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320FB4" w14:textId="77777777" w:rsidR="009B09FD" w:rsidRPr="00CA7301" w:rsidRDefault="009B09FD" w:rsidP="009B09FD">
            <w:pPr>
              <w:snapToGrid w:val="0"/>
              <w:spacing w:before="40" w:after="40"/>
              <w:jc w:val="center"/>
              <w:rPr>
                <w:rFonts w:cs="Segoe UI"/>
                <w:sz w:val="17"/>
                <w:lang w:eastAsia="it-IT"/>
              </w:rPr>
            </w:pPr>
          </w:p>
        </w:tc>
      </w:tr>
      <w:tr w:rsidR="009B09FD" w:rsidRPr="00CA7301" w14:paraId="7F52D5A6"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5F3D8E41" w14:textId="77777777" w:rsidR="009B09FD" w:rsidRPr="00CA7301" w:rsidRDefault="009B09FD" w:rsidP="009B09FD">
            <w:pPr>
              <w:snapToGrid w:val="0"/>
              <w:spacing w:before="40" w:after="40"/>
              <w:ind w:leftChars="29" w:left="425" w:hangingChars="216" w:hanging="367"/>
              <w:rPr>
                <w:rFonts w:cs="Segoe UI"/>
                <w:sz w:val="17"/>
                <w:szCs w:val="17"/>
                <w:lang w:eastAsia="zh-TW"/>
              </w:rPr>
            </w:pPr>
            <w:r w:rsidRPr="00CA7301">
              <w:rPr>
                <w:rFonts w:cs="Segoe UI"/>
                <w:sz w:val="17"/>
                <w:szCs w:val="17"/>
                <w:lang w:eastAsia="zh-TW"/>
              </w:rPr>
              <w:tab/>
            </w:r>
            <w:r w:rsidRPr="00CA7301">
              <w:rPr>
                <w:rFonts w:eastAsiaTheme="minorEastAsia" w:cs="Segoe UI"/>
                <w:sz w:val="17"/>
                <w:szCs w:val="17"/>
                <w:lang w:eastAsia="zh-TW"/>
              </w:rPr>
              <w:t>其中：有關商譽的遞延稅項負債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8735D8"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297E53"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34B5" w14:textId="77777777" w:rsidR="009B09FD" w:rsidRPr="00CA7301" w:rsidRDefault="009B09FD" w:rsidP="009B09FD">
            <w:pPr>
              <w:snapToGrid w:val="0"/>
              <w:spacing w:before="40" w:after="40"/>
              <w:jc w:val="center"/>
              <w:rPr>
                <w:rFonts w:cs="Segoe UI"/>
                <w:sz w:val="17"/>
                <w:szCs w:val="17"/>
                <w:lang w:eastAsia="en-GB"/>
              </w:rPr>
            </w:pPr>
            <w:r w:rsidRPr="00CA7301">
              <w:rPr>
                <w:rFonts w:cs="Segoe UI"/>
                <w:sz w:val="17"/>
                <w:szCs w:val="17"/>
                <w:lang w:eastAsia="en-GB"/>
              </w:rPr>
              <w:t>[c]</w:t>
            </w:r>
          </w:p>
        </w:tc>
      </w:tr>
      <w:tr w:rsidR="009B09FD" w:rsidRPr="00CA7301" w14:paraId="52C706B7"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27DB2F9A" w14:textId="77777777" w:rsidR="009B09FD" w:rsidRPr="00CA7301" w:rsidRDefault="009B09FD" w:rsidP="009B09FD">
            <w:pPr>
              <w:snapToGrid w:val="0"/>
              <w:spacing w:before="40" w:after="40"/>
              <w:ind w:leftChars="29" w:left="425" w:hangingChars="216" w:hanging="367"/>
              <w:rPr>
                <w:rFonts w:cs="Segoe UI"/>
                <w:sz w:val="17"/>
                <w:szCs w:val="17"/>
                <w:lang w:eastAsia="zh-TW"/>
              </w:rPr>
            </w:pPr>
            <w:r w:rsidRPr="00CA7301">
              <w:rPr>
                <w:rFonts w:cs="Segoe UI"/>
                <w:sz w:val="17"/>
                <w:szCs w:val="17"/>
                <w:lang w:eastAsia="zh-TW"/>
              </w:rPr>
              <w:tab/>
            </w:r>
            <w:r w:rsidRPr="00CA7301">
              <w:rPr>
                <w:rFonts w:eastAsiaTheme="minorEastAsia" w:cs="Segoe UI"/>
                <w:sz w:val="17"/>
                <w:szCs w:val="17"/>
                <w:lang w:eastAsia="zh-TW"/>
              </w:rPr>
              <w:t>其中：有關無形資產的遞延稅項負債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BDE8CF"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991A13"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8A32AD" w14:textId="77777777" w:rsidR="009B09FD" w:rsidRPr="00CA7301" w:rsidRDefault="009B09FD" w:rsidP="009B09FD">
            <w:pPr>
              <w:snapToGrid w:val="0"/>
              <w:spacing w:before="40" w:after="40"/>
              <w:jc w:val="center"/>
              <w:rPr>
                <w:rFonts w:cs="Segoe UI"/>
                <w:sz w:val="17"/>
                <w:szCs w:val="17"/>
                <w:lang w:eastAsia="en-GB"/>
              </w:rPr>
            </w:pPr>
            <w:r w:rsidRPr="00CA7301">
              <w:rPr>
                <w:rFonts w:cs="Segoe UI"/>
                <w:sz w:val="17"/>
                <w:szCs w:val="17"/>
                <w:lang w:eastAsia="en-GB"/>
              </w:rPr>
              <w:t>[d]</w:t>
            </w:r>
          </w:p>
        </w:tc>
      </w:tr>
      <w:tr w:rsidR="009B09FD" w:rsidRPr="00CA7301" w14:paraId="055ADE71"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38597B97" w14:textId="77777777" w:rsidR="009B09FD" w:rsidRPr="00CA7301" w:rsidRDefault="009B09FD" w:rsidP="009B09FD">
            <w:pPr>
              <w:snapToGrid w:val="0"/>
              <w:spacing w:before="40" w:after="40"/>
              <w:ind w:left="57"/>
              <w:rPr>
                <w:rFonts w:cs="Segoe UI"/>
                <w:sz w:val="17"/>
                <w:szCs w:val="17"/>
                <w:lang w:eastAsia="en-GB"/>
              </w:rPr>
            </w:pPr>
            <w:proofErr w:type="gramStart"/>
            <w:r w:rsidRPr="00CA7301">
              <w:rPr>
                <w:rFonts w:eastAsiaTheme="minorEastAsia" w:cs="Segoe UI"/>
                <w:sz w:val="17"/>
                <w:szCs w:val="17"/>
                <w:lang w:eastAsia="zh-TW"/>
              </w:rPr>
              <w:t>後償負債</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E712EA" w14:textId="77777777" w:rsidR="009B09FD" w:rsidRPr="00CA7301" w:rsidDel="001C71B9"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CD8AA7"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4CF4DF" w14:textId="77777777" w:rsidR="009B09FD" w:rsidRPr="00CA7301" w:rsidRDefault="009B09FD" w:rsidP="009B09FD">
            <w:pPr>
              <w:snapToGrid w:val="0"/>
              <w:spacing w:before="40" w:after="40"/>
              <w:jc w:val="center"/>
              <w:rPr>
                <w:rFonts w:cs="Segoe UI"/>
                <w:sz w:val="17"/>
                <w:lang w:eastAsia="it-IT"/>
              </w:rPr>
            </w:pPr>
          </w:p>
        </w:tc>
      </w:tr>
      <w:tr w:rsidR="009B09FD" w:rsidRPr="00CA7301" w14:paraId="642B4AD4"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0A1436D9"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準備金</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88D33C"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1C8BAC"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272E62" w14:textId="77777777" w:rsidR="009B09FD" w:rsidRPr="00CA7301" w:rsidRDefault="009B09FD" w:rsidP="009B09FD">
            <w:pPr>
              <w:snapToGrid w:val="0"/>
              <w:spacing w:before="40" w:after="40"/>
              <w:jc w:val="center"/>
              <w:rPr>
                <w:rFonts w:cs="Segoe UI"/>
                <w:sz w:val="17"/>
                <w:lang w:eastAsia="it-IT"/>
              </w:rPr>
            </w:pPr>
          </w:p>
        </w:tc>
      </w:tr>
      <w:tr w:rsidR="009B09FD" w:rsidRPr="00CA7301" w14:paraId="0BB2F16C"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6BE29023"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退休福利負債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088D8"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4EC9AC"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810E" w14:textId="77777777" w:rsidR="009B09FD" w:rsidRPr="00CA7301" w:rsidRDefault="009B09FD" w:rsidP="009B09FD">
            <w:pPr>
              <w:snapToGrid w:val="0"/>
              <w:spacing w:before="40" w:after="40"/>
              <w:jc w:val="center"/>
              <w:rPr>
                <w:rFonts w:cs="Segoe UI"/>
                <w:sz w:val="17"/>
                <w:lang w:eastAsia="it-IT"/>
              </w:rPr>
            </w:pPr>
          </w:p>
        </w:tc>
      </w:tr>
      <w:tr w:rsidR="009B09FD" w:rsidRPr="00CA7301" w14:paraId="570BD51D"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6AE46F1C" w14:textId="77777777" w:rsidR="009B09FD" w:rsidRPr="00CA7301" w:rsidRDefault="009B09FD" w:rsidP="009B09FD">
            <w:pPr>
              <w:snapToGrid w:val="0"/>
              <w:spacing w:before="40" w:after="40"/>
              <w:ind w:left="57"/>
              <w:rPr>
                <w:rFonts w:cs="Segoe UI"/>
                <w:b/>
                <w:sz w:val="17"/>
                <w:szCs w:val="17"/>
                <w:lang w:eastAsia="en-GB"/>
              </w:rPr>
            </w:pPr>
            <w:r w:rsidRPr="00CA7301">
              <w:rPr>
                <w:rFonts w:eastAsiaTheme="minorEastAsia" w:cs="Segoe UI"/>
                <w:b/>
                <w:sz w:val="17"/>
                <w:szCs w:val="17"/>
                <w:lang w:eastAsia="zh-TW"/>
              </w:rPr>
              <w:t>負債總額</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876BD3"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51CC"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48ED846" w14:textId="77777777" w:rsidR="009B09FD" w:rsidRPr="00CA7301" w:rsidRDefault="009B09FD" w:rsidP="009B09FD">
            <w:pPr>
              <w:snapToGrid w:val="0"/>
              <w:spacing w:before="40" w:after="40"/>
              <w:jc w:val="center"/>
              <w:rPr>
                <w:rFonts w:cs="Segoe UI"/>
                <w:sz w:val="17"/>
                <w:lang w:eastAsia="it-IT"/>
              </w:rPr>
            </w:pPr>
          </w:p>
        </w:tc>
      </w:tr>
      <w:tr w:rsidR="009B09FD" w:rsidRPr="00CA7301" w14:paraId="02D9305A" w14:textId="77777777" w:rsidTr="00F62652">
        <w:trPr>
          <w:cantSplit/>
          <w:trHeight w:val="270"/>
        </w:trPr>
        <w:tc>
          <w:tcPr>
            <w:tcW w:w="4820" w:type="dxa"/>
            <w:tcBorders>
              <w:top w:val="single" w:sz="4" w:space="0" w:color="auto"/>
              <w:left w:val="nil"/>
              <w:bottom w:val="single" w:sz="4" w:space="0" w:color="auto"/>
              <w:right w:val="nil"/>
            </w:tcBorders>
            <w:shd w:val="clear" w:color="auto" w:fill="A6A6A6" w:themeFill="background1" w:themeFillShade="A6"/>
          </w:tcPr>
          <w:p w14:paraId="7BFB91A6" w14:textId="77777777" w:rsidR="009B09FD" w:rsidRPr="00CA7301" w:rsidRDefault="009B09FD" w:rsidP="009B09FD">
            <w:pPr>
              <w:snapToGrid w:val="0"/>
              <w:spacing w:before="40" w:after="40"/>
              <w:ind w:left="57"/>
              <w:rPr>
                <w:rFonts w:cs="Segoe UI"/>
                <w:b/>
                <w:sz w:val="17"/>
                <w:szCs w:val="17"/>
                <w:lang w:eastAsia="en-GB"/>
              </w:rPr>
            </w:pPr>
            <w:r w:rsidRPr="00CA7301">
              <w:rPr>
                <w:rFonts w:eastAsiaTheme="minorEastAsia" w:cs="Segoe UI"/>
                <w:b/>
                <w:sz w:val="17"/>
                <w:szCs w:val="17"/>
                <w:lang w:eastAsia="zh-TW"/>
              </w:rPr>
              <w:t>股東資金</w:t>
            </w:r>
          </w:p>
        </w:tc>
        <w:tc>
          <w:tcPr>
            <w:tcW w:w="1701" w:type="dxa"/>
            <w:tcBorders>
              <w:top w:val="single" w:sz="4" w:space="0" w:color="auto"/>
              <w:left w:val="nil"/>
              <w:bottom w:val="single" w:sz="4" w:space="0" w:color="auto"/>
              <w:right w:val="nil"/>
            </w:tcBorders>
            <w:shd w:val="clear" w:color="auto" w:fill="A6A6A6" w:themeFill="background1" w:themeFillShade="A6"/>
          </w:tcPr>
          <w:p w14:paraId="7D0F7E85" w14:textId="77777777" w:rsidR="009B09FD" w:rsidRPr="00CA7301" w:rsidRDefault="009B09FD" w:rsidP="009B09FD">
            <w:pPr>
              <w:snapToGrid w:val="0"/>
              <w:spacing w:before="40" w:after="40"/>
              <w:ind w:left="57" w:rightChars="71" w:right="142"/>
              <w:rPr>
                <w:rFonts w:cs="Segoe UI"/>
                <w:b/>
                <w:sz w:val="17"/>
                <w:lang w:eastAsia="it-IT"/>
              </w:rPr>
            </w:pPr>
          </w:p>
        </w:tc>
        <w:tc>
          <w:tcPr>
            <w:tcW w:w="1701" w:type="dxa"/>
            <w:tcBorders>
              <w:top w:val="single" w:sz="4" w:space="0" w:color="auto"/>
              <w:left w:val="nil"/>
              <w:bottom w:val="single" w:sz="4" w:space="0" w:color="auto"/>
              <w:right w:val="nil"/>
            </w:tcBorders>
            <w:shd w:val="clear" w:color="auto" w:fill="A6A6A6" w:themeFill="background1" w:themeFillShade="A6"/>
          </w:tcPr>
          <w:p w14:paraId="56759FD6"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nil"/>
              <w:bottom w:val="single" w:sz="4" w:space="0" w:color="auto"/>
              <w:right w:val="single" w:sz="4" w:space="0" w:color="auto"/>
            </w:tcBorders>
            <w:shd w:val="clear" w:color="auto" w:fill="A6A6A6" w:themeFill="background1" w:themeFillShade="A6"/>
          </w:tcPr>
          <w:p w14:paraId="7981C7C1" w14:textId="77777777" w:rsidR="009B09FD" w:rsidRPr="00CA7301" w:rsidRDefault="009B09FD" w:rsidP="009B09FD">
            <w:pPr>
              <w:snapToGrid w:val="0"/>
              <w:spacing w:before="40" w:after="40"/>
              <w:jc w:val="center"/>
              <w:rPr>
                <w:rFonts w:cs="Segoe UI"/>
                <w:sz w:val="17"/>
                <w:lang w:eastAsia="it-IT"/>
              </w:rPr>
            </w:pPr>
          </w:p>
        </w:tc>
      </w:tr>
      <w:tr w:rsidR="009B09FD" w:rsidRPr="00CA7301" w14:paraId="2DAE03DE"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61209C46"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已繳足股本</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181062"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39601C"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8EA37" w14:textId="77777777" w:rsidR="009B09FD" w:rsidRPr="00CA7301" w:rsidRDefault="009B09FD" w:rsidP="009B09FD">
            <w:pPr>
              <w:snapToGrid w:val="0"/>
              <w:spacing w:before="40" w:after="40"/>
              <w:jc w:val="center"/>
              <w:rPr>
                <w:rFonts w:cs="Segoe UI"/>
                <w:sz w:val="17"/>
                <w:lang w:eastAsia="it-IT"/>
              </w:rPr>
            </w:pPr>
          </w:p>
        </w:tc>
      </w:tr>
      <w:tr w:rsidR="009B09FD" w:rsidRPr="00CA7301" w14:paraId="043180D6"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07D724DB" w14:textId="77777777" w:rsidR="009B09FD" w:rsidRPr="00CA7301" w:rsidRDefault="009B09FD" w:rsidP="009B09FD">
            <w:pPr>
              <w:snapToGrid w:val="0"/>
              <w:spacing w:before="40" w:after="40"/>
              <w:ind w:leftChars="29" w:left="425" w:hangingChars="216" w:hanging="367"/>
              <w:rPr>
                <w:rFonts w:cs="Segoe UI"/>
                <w:sz w:val="17"/>
                <w:szCs w:val="17"/>
                <w:lang w:eastAsia="zh-TW"/>
              </w:rPr>
            </w:pPr>
            <w:r w:rsidRPr="00CA7301">
              <w:rPr>
                <w:rFonts w:cs="Segoe UI"/>
                <w:sz w:val="17"/>
                <w:szCs w:val="17"/>
                <w:lang w:eastAsia="zh-TW"/>
              </w:rPr>
              <w:tab/>
            </w:r>
            <w:r w:rsidRPr="00CA7301">
              <w:rPr>
                <w:rFonts w:eastAsiaTheme="minorEastAsia" w:cs="Segoe UI"/>
                <w:sz w:val="17"/>
                <w:szCs w:val="17"/>
                <w:lang w:eastAsia="zh-TW"/>
              </w:rPr>
              <w:t>其中：合資格作為</w:t>
            </w:r>
            <w:r w:rsidRPr="00CA7301">
              <w:rPr>
                <w:rFonts w:cs="Segoe UI"/>
                <w:sz w:val="17"/>
                <w:szCs w:val="17"/>
                <w:lang w:eastAsia="zh-TW"/>
              </w:rPr>
              <w:t>CET1</w:t>
            </w:r>
            <w:r w:rsidRPr="00CA7301">
              <w:rPr>
                <w:rFonts w:eastAsiaTheme="minorEastAsia" w:cs="Segoe UI"/>
                <w:sz w:val="17"/>
                <w:szCs w:val="17"/>
                <w:lang w:eastAsia="zh-TW"/>
              </w:rPr>
              <w:t>資本的數額</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ADAACA"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7E014B"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046207" w14:textId="77777777" w:rsidR="009B09FD" w:rsidRPr="00CA7301" w:rsidRDefault="009B09FD" w:rsidP="009B09FD">
            <w:pPr>
              <w:snapToGrid w:val="0"/>
              <w:spacing w:before="40" w:after="40"/>
              <w:jc w:val="center"/>
              <w:rPr>
                <w:rFonts w:cs="Segoe UI"/>
                <w:sz w:val="17"/>
                <w:lang w:eastAsia="it-IT"/>
              </w:rPr>
            </w:pPr>
            <w:r w:rsidRPr="00CA7301">
              <w:rPr>
                <w:rFonts w:cs="Segoe UI"/>
                <w:sz w:val="17"/>
                <w:lang w:eastAsia="it-IT"/>
              </w:rPr>
              <w:t>[e]</w:t>
            </w:r>
          </w:p>
        </w:tc>
      </w:tr>
      <w:tr w:rsidR="009B09FD" w:rsidRPr="00CA7301" w14:paraId="5EC2A2EE"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7A28407F" w14:textId="77777777" w:rsidR="009B09FD" w:rsidRPr="00CA7301" w:rsidRDefault="009B09FD" w:rsidP="009B09FD">
            <w:pPr>
              <w:snapToGrid w:val="0"/>
              <w:spacing w:before="40" w:after="40"/>
              <w:ind w:leftChars="29" w:left="425" w:hangingChars="216" w:hanging="367"/>
              <w:rPr>
                <w:rFonts w:cs="Segoe UI"/>
                <w:sz w:val="17"/>
                <w:szCs w:val="17"/>
                <w:lang w:eastAsia="zh-TW"/>
              </w:rPr>
            </w:pPr>
            <w:r w:rsidRPr="00CA7301">
              <w:rPr>
                <w:rFonts w:cs="Segoe UI"/>
                <w:sz w:val="17"/>
                <w:szCs w:val="17"/>
                <w:lang w:eastAsia="zh-TW"/>
              </w:rPr>
              <w:tab/>
            </w:r>
            <w:r w:rsidRPr="00CA7301">
              <w:rPr>
                <w:rFonts w:eastAsiaTheme="minorEastAsia" w:cs="Segoe UI"/>
                <w:sz w:val="17"/>
                <w:szCs w:val="17"/>
                <w:lang w:eastAsia="zh-TW"/>
              </w:rPr>
              <w:t>其中：合資格作為</w:t>
            </w:r>
            <w:r w:rsidRPr="00CA7301">
              <w:rPr>
                <w:rFonts w:cs="Segoe UI"/>
                <w:sz w:val="17"/>
                <w:szCs w:val="17"/>
                <w:lang w:eastAsia="zh-TW"/>
              </w:rPr>
              <w:t>AT1</w:t>
            </w:r>
            <w:r w:rsidRPr="00CA7301">
              <w:rPr>
                <w:rFonts w:eastAsiaTheme="minorEastAsia" w:cs="Segoe UI"/>
                <w:sz w:val="17"/>
                <w:szCs w:val="17"/>
                <w:lang w:eastAsia="zh-TW"/>
              </w:rPr>
              <w:t>資本的數額</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3F2F29"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012ECF"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78DE" w14:textId="77777777" w:rsidR="009B09FD" w:rsidRPr="00CA7301" w:rsidRDefault="009B09FD" w:rsidP="009B09FD">
            <w:pPr>
              <w:snapToGrid w:val="0"/>
              <w:spacing w:before="40" w:after="40"/>
              <w:jc w:val="center"/>
              <w:rPr>
                <w:rFonts w:cs="Segoe UI"/>
                <w:sz w:val="17"/>
                <w:lang w:eastAsia="it-IT"/>
              </w:rPr>
            </w:pPr>
            <w:r w:rsidRPr="00CA7301">
              <w:rPr>
                <w:rFonts w:cs="Segoe UI"/>
                <w:sz w:val="17"/>
                <w:lang w:eastAsia="it-IT"/>
              </w:rPr>
              <w:t>[f]</w:t>
            </w:r>
          </w:p>
        </w:tc>
      </w:tr>
      <w:tr w:rsidR="009B09FD" w:rsidRPr="00CA7301" w14:paraId="0B567C26"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6BF16CD5" w14:textId="77777777" w:rsidR="009B09FD" w:rsidRPr="00CA7301" w:rsidRDefault="009B09FD" w:rsidP="009B09FD">
            <w:pPr>
              <w:snapToGrid w:val="0"/>
              <w:spacing w:before="40" w:after="40"/>
              <w:ind w:left="57"/>
              <w:rPr>
                <w:rFonts w:cs="Segoe UI"/>
                <w:sz w:val="17"/>
                <w:szCs w:val="17"/>
                <w:lang w:eastAsia="en-GB"/>
              </w:rPr>
            </w:pPr>
            <w:proofErr w:type="gramStart"/>
            <w:r w:rsidRPr="00CA7301">
              <w:rPr>
                <w:rFonts w:eastAsiaTheme="minorEastAsia" w:cs="Segoe UI"/>
                <w:sz w:val="17"/>
                <w:szCs w:val="17"/>
                <w:lang w:eastAsia="zh-TW"/>
              </w:rPr>
              <w:t>保留溢利</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9288F"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C5AF1F"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DC0271" w14:textId="77777777" w:rsidR="009B09FD" w:rsidRPr="00CA7301" w:rsidRDefault="009B09FD" w:rsidP="009B09FD">
            <w:pPr>
              <w:snapToGrid w:val="0"/>
              <w:spacing w:before="40" w:after="40"/>
              <w:jc w:val="center"/>
              <w:rPr>
                <w:rFonts w:cs="Segoe UI"/>
                <w:sz w:val="17"/>
                <w:lang w:eastAsia="it-IT"/>
              </w:rPr>
            </w:pPr>
          </w:p>
        </w:tc>
      </w:tr>
      <w:tr w:rsidR="009B09FD" w:rsidRPr="00CA7301" w14:paraId="4B9CCC3E" w14:textId="77777777" w:rsidTr="00F62652">
        <w:trPr>
          <w:cantSplit/>
          <w:trHeight w:val="270"/>
        </w:trPr>
        <w:tc>
          <w:tcPr>
            <w:tcW w:w="4820" w:type="dxa"/>
            <w:tcBorders>
              <w:top w:val="single" w:sz="4" w:space="0" w:color="auto"/>
              <w:left w:val="nil"/>
              <w:bottom w:val="single" w:sz="4" w:space="0" w:color="auto"/>
              <w:right w:val="single" w:sz="4" w:space="0" w:color="auto"/>
            </w:tcBorders>
            <w:shd w:val="clear" w:color="auto" w:fill="auto"/>
          </w:tcPr>
          <w:p w14:paraId="0FE58224" w14:textId="77777777" w:rsidR="009B09FD" w:rsidRPr="00CA7301" w:rsidRDefault="009B09FD" w:rsidP="009B09FD">
            <w:pPr>
              <w:snapToGrid w:val="0"/>
              <w:spacing w:before="40" w:after="40"/>
              <w:ind w:left="57"/>
              <w:rPr>
                <w:rFonts w:cs="Segoe UI"/>
                <w:sz w:val="17"/>
                <w:szCs w:val="17"/>
                <w:lang w:eastAsia="en-GB"/>
              </w:rPr>
            </w:pPr>
            <w:r w:rsidRPr="00CA7301">
              <w:rPr>
                <w:rFonts w:eastAsiaTheme="minorEastAsia" w:cs="Segoe UI"/>
                <w:sz w:val="17"/>
                <w:szCs w:val="17"/>
                <w:lang w:eastAsia="zh-TW"/>
              </w:rPr>
              <w:t>累積其他全面收益</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BE6BBA" w14:textId="77777777" w:rsidR="009B09FD" w:rsidRPr="00CA7301" w:rsidRDefault="009B09FD" w:rsidP="009B09FD">
            <w:pPr>
              <w:snapToGrid w:val="0"/>
              <w:spacing w:before="40" w:after="40"/>
              <w:ind w:left="57" w:rightChars="71" w:right="142"/>
              <w:rPr>
                <w:rFonts w:cs="Segoe UI"/>
                <w:sz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37B7CF" w14:textId="77777777" w:rsidR="009B09FD" w:rsidRPr="00CA7301" w:rsidRDefault="009B09FD" w:rsidP="009B09FD">
            <w:pPr>
              <w:snapToGrid w:val="0"/>
              <w:spacing w:before="40" w:after="40"/>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932FC8" w14:textId="77777777" w:rsidR="009B09FD" w:rsidRPr="00CA7301" w:rsidRDefault="009B09FD" w:rsidP="009B09FD">
            <w:pPr>
              <w:snapToGrid w:val="0"/>
              <w:spacing w:before="40" w:after="40"/>
              <w:jc w:val="center"/>
              <w:rPr>
                <w:rFonts w:cs="Segoe UI"/>
                <w:sz w:val="17"/>
                <w:lang w:eastAsia="it-IT"/>
              </w:rPr>
            </w:pPr>
          </w:p>
        </w:tc>
      </w:tr>
      <w:tr w:rsidR="009B09FD" w:rsidRPr="00CA7301" w14:paraId="02D99C1D" w14:textId="77777777" w:rsidTr="00F62652">
        <w:trPr>
          <w:cantSplit/>
          <w:trHeight w:val="270"/>
        </w:trPr>
        <w:tc>
          <w:tcPr>
            <w:tcW w:w="4820" w:type="dxa"/>
            <w:tcBorders>
              <w:top w:val="single" w:sz="6" w:space="0" w:color="auto"/>
              <w:left w:val="nil"/>
              <w:bottom w:val="single" w:sz="6" w:space="0" w:color="auto"/>
              <w:right w:val="single" w:sz="4" w:space="0" w:color="auto"/>
            </w:tcBorders>
            <w:shd w:val="clear" w:color="auto" w:fill="auto"/>
          </w:tcPr>
          <w:p w14:paraId="59545664" w14:textId="77777777" w:rsidR="009B09FD" w:rsidRPr="00CA7301" w:rsidRDefault="009B09FD" w:rsidP="009B09FD">
            <w:pPr>
              <w:snapToGrid w:val="0"/>
              <w:spacing w:before="40" w:after="40"/>
              <w:ind w:left="57"/>
              <w:rPr>
                <w:rFonts w:cs="Segoe UI"/>
                <w:b/>
                <w:sz w:val="17"/>
                <w:szCs w:val="17"/>
                <w:lang w:eastAsia="it-IT"/>
              </w:rPr>
            </w:pPr>
            <w:r w:rsidRPr="00CA7301">
              <w:rPr>
                <w:rFonts w:eastAsiaTheme="minorEastAsia" w:cs="Segoe UI"/>
                <w:b/>
                <w:sz w:val="17"/>
                <w:szCs w:val="17"/>
                <w:lang w:eastAsia="zh-TW"/>
              </w:rPr>
              <w:t>股東資金總額</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831B70" w14:textId="77777777" w:rsidR="009B09FD" w:rsidRPr="00CA7301" w:rsidRDefault="009B09FD" w:rsidP="009B09FD">
            <w:pPr>
              <w:snapToGrid w:val="0"/>
              <w:spacing w:before="40" w:after="40"/>
              <w:ind w:left="57" w:rightChars="71" w:right="142"/>
              <w:rPr>
                <w:rFonts w:cs="Segoe UI"/>
                <w:sz w:val="17"/>
                <w:szCs w:val="17"/>
                <w:lang w:eastAsia="it-I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C05AC0" w14:textId="77777777" w:rsidR="009B09FD" w:rsidRPr="00CA7301" w:rsidRDefault="009B09FD" w:rsidP="009B09FD">
            <w:pPr>
              <w:snapToGrid w:val="0"/>
              <w:spacing w:before="40" w:after="40"/>
              <w:ind w:left="57"/>
              <w:jc w:val="center"/>
              <w:rPr>
                <w:rFonts w:cs="Segoe UI"/>
                <w:sz w:val="17"/>
                <w:lang w:eastAsia="it-I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64108" w14:textId="77777777" w:rsidR="009B09FD" w:rsidRPr="00CA7301" w:rsidRDefault="009B09FD" w:rsidP="009B09FD">
            <w:pPr>
              <w:snapToGrid w:val="0"/>
              <w:spacing w:before="40" w:after="40"/>
              <w:jc w:val="center"/>
              <w:rPr>
                <w:rFonts w:cs="Segoe UI"/>
                <w:sz w:val="17"/>
                <w:lang w:eastAsia="it-IT"/>
              </w:rPr>
            </w:pPr>
          </w:p>
        </w:tc>
      </w:tr>
    </w:tbl>
    <w:p w14:paraId="7146AD98" w14:textId="78F5B520" w:rsidR="009B09FD" w:rsidRDefault="009B09FD" w:rsidP="009B09FD">
      <w:pPr>
        <w:spacing w:before="120" w:after="120"/>
        <w:ind w:leftChars="-283" w:left="-566"/>
        <w:rPr>
          <w:rFonts w:cs="Segoe UI"/>
          <w:sz w:val="22"/>
        </w:rPr>
      </w:pPr>
    </w:p>
    <w:p w14:paraId="053282CA" w14:textId="77777777" w:rsidR="006A72EC" w:rsidRPr="00CA7301" w:rsidRDefault="006A72EC" w:rsidP="009B09FD">
      <w:pPr>
        <w:spacing w:before="120" w:after="120"/>
        <w:ind w:leftChars="-283" w:left="-566"/>
        <w:rPr>
          <w:rFonts w:cs="Segoe UI"/>
          <w:sz w:val="22"/>
        </w:rPr>
      </w:pPr>
    </w:p>
    <w:tbl>
      <w:tblPr>
        <w:tblStyle w:val="TableGrid4"/>
        <w:tblW w:w="9214" w:type="dxa"/>
        <w:tblInd w:w="-459" w:type="dxa"/>
        <w:tblLook w:val="04A0" w:firstRow="1" w:lastRow="0" w:firstColumn="1" w:lastColumn="0" w:noHBand="0" w:noVBand="1"/>
      </w:tblPr>
      <w:tblGrid>
        <w:gridCol w:w="709"/>
        <w:gridCol w:w="8505"/>
      </w:tblGrid>
      <w:tr w:rsidR="009B09FD" w:rsidRPr="00CA7301" w14:paraId="7536D66D" w14:textId="77777777" w:rsidTr="00F62652">
        <w:trPr>
          <w:tblHeader/>
        </w:trPr>
        <w:tc>
          <w:tcPr>
            <w:tcW w:w="9214" w:type="dxa"/>
            <w:gridSpan w:val="2"/>
            <w:shd w:val="clear" w:color="auto" w:fill="BFBFBF" w:themeFill="background1" w:themeFillShade="BF"/>
          </w:tcPr>
          <w:p w14:paraId="3F7E8EBE" w14:textId="77777777" w:rsidR="009B09FD" w:rsidRPr="00CA7301" w:rsidRDefault="009B09FD" w:rsidP="009B09FD">
            <w:pPr>
              <w:spacing w:before="40" w:after="40"/>
              <w:jc w:val="both"/>
              <w:rPr>
                <w:rFonts w:eastAsiaTheme="minorEastAsia" w:cs="Segoe UI"/>
                <w:b/>
                <w:sz w:val="17"/>
                <w:szCs w:val="17"/>
                <w:lang w:eastAsia="en-GB"/>
              </w:rPr>
            </w:pPr>
            <w:proofErr w:type="gramStart"/>
            <w:r w:rsidRPr="00CA7301">
              <w:rPr>
                <w:rFonts w:eastAsiaTheme="minorEastAsia" w:cs="Segoe UI"/>
                <w:b/>
                <w:sz w:val="17"/>
                <w:szCs w:val="17"/>
                <w:lang w:eastAsia="zh-TW"/>
              </w:rPr>
              <w:t>註</w:t>
            </w:r>
            <w:proofErr w:type="gramEnd"/>
            <w:r w:rsidRPr="00CA7301">
              <w:rPr>
                <w:rFonts w:eastAsiaTheme="minorEastAsia" w:cs="Segoe UI"/>
                <w:b/>
                <w:sz w:val="17"/>
                <w:szCs w:val="17"/>
                <w:lang w:eastAsia="zh-TW"/>
              </w:rPr>
              <w:t>釋</w:t>
            </w:r>
          </w:p>
        </w:tc>
      </w:tr>
      <w:tr w:rsidR="009B09FD" w:rsidRPr="00CA7301" w14:paraId="7E15CA49" w14:textId="77777777" w:rsidTr="00F62652">
        <w:trPr>
          <w:trHeight w:val="153"/>
        </w:trPr>
        <w:tc>
          <w:tcPr>
            <w:tcW w:w="9214" w:type="dxa"/>
            <w:gridSpan w:val="2"/>
            <w:shd w:val="clear" w:color="auto" w:fill="F2F2F2" w:themeFill="background1" w:themeFillShade="F2"/>
          </w:tcPr>
          <w:p w14:paraId="53CD17C5" w14:textId="77777777" w:rsidR="009B09FD" w:rsidRPr="00CA7301" w:rsidRDefault="009B09FD" w:rsidP="009B09FD">
            <w:pPr>
              <w:spacing w:before="40" w:after="40"/>
              <w:jc w:val="both"/>
              <w:rPr>
                <w:rFonts w:eastAsiaTheme="minorEastAsia" w:cs="Segoe UI"/>
                <w:b/>
                <w:sz w:val="17"/>
                <w:szCs w:val="17"/>
                <w:lang w:eastAsia="en-GB"/>
              </w:rPr>
            </w:pPr>
            <w:r w:rsidRPr="00CA7301">
              <w:rPr>
                <w:rFonts w:eastAsiaTheme="minorEastAsia" w:cs="Segoe UI"/>
                <w:b/>
                <w:sz w:val="17"/>
                <w:szCs w:val="17"/>
                <w:lang w:eastAsia="zh-TW"/>
              </w:rPr>
              <w:t>欄</w:t>
            </w:r>
          </w:p>
        </w:tc>
      </w:tr>
      <w:tr w:rsidR="009B09FD" w:rsidRPr="00CA7301" w14:paraId="55DF8BE2" w14:textId="77777777" w:rsidTr="006A72EC">
        <w:trPr>
          <w:trHeight w:val="2453"/>
        </w:trPr>
        <w:tc>
          <w:tcPr>
            <w:tcW w:w="709" w:type="dxa"/>
          </w:tcPr>
          <w:p w14:paraId="24FE5E0A" w14:textId="77777777" w:rsidR="009B09FD" w:rsidRPr="00CA7301" w:rsidRDefault="009B09FD" w:rsidP="009B09FD">
            <w:pPr>
              <w:keepLines/>
              <w:widowControl w:val="0"/>
              <w:tabs>
                <w:tab w:val="left" w:pos="1191"/>
              </w:tabs>
              <w:spacing w:before="40" w:after="40"/>
              <w:ind w:rightChars="-54" w:right="-108"/>
              <w:rPr>
                <w:rFonts w:cs="Segoe UI"/>
                <w:sz w:val="17"/>
                <w:szCs w:val="17"/>
                <w:lang w:eastAsia="en-GB"/>
              </w:rPr>
            </w:pPr>
            <w:r w:rsidRPr="00CA7301">
              <w:rPr>
                <w:rFonts w:cs="Segoe UI"/>
                <w:sz w:val="17"/>
                <w:szCs w:val="17"/>
                <w:lang w:eastAsia="en-GB"/>
              </w:rPr>
              <w:t>(a)</w:t>
            </w:r>
            <w:r w:rsidRPr="00CA7301">
              <w:rPr>
                <w:rFonts w:eastAsiaTheme="minorEastAsia" w:cs="Segoe UI"/>
                <w:sz w:val="17"/>
                <w:szCs w:val="17"/>
                <w:lang w:eastAsia="zh-TW"/>
              </w:rPr>
              <w:t>及</w:t>
            </w:r>
            <w:r w:rsidRPr="00CA7301">
              <w:rPr>
                <w:rFonts w:cs="Segoe UI"/>
                <w:sz w:val="17"/>
                <w:szCs w:val="17"/>
                <w:lang w:eastAsia="en-GB"/>
              </w:rPr>
              <w:t>(b)</w:t>
            </w:r>
          </w:p>
        </w:tc>
        <w:tc>
          <w:tcPr>
            <w:tcW w:w="8505" w:type="dxa"/>
          </w:tcPr>
          <w:p w14:paraId="4D6A6180" w14:textId="0F1A9AF8" w:rsidR="009B09FD" w:rsidRPr="00CA7301" w:rsidRDefault="009B09FD" w:rsidP="009B09FD">
            <w:pPr>
              <w:keepNext/>
              <w:spacing w:before="40" w:after="40"/>
              <w:jc w:val="both"/>
              <w:rPr>
                <w:rFonts w:cs="Segoe UI"/>
                <w:sz w:val="17"/>
                <w:szCs w:val="17"/>
                <w:lang w:eastAsia="zh-TW"/>
              </w:rPr>
            </w:pPr>
            <w:r w:rsidRPr="00CA7301">
              <w:rPr>
                <w:rFonts w:eastAsiaTheme="minorEastAsia" w:cs="Segoe UI"/>
                <w:sz w:val="17"/>
                <w:szCs w:val="17"/>
                <w:lang w:eastAsia="zh-TW"/>
              </w:rPr>
              <w:t>認可機構應採用其已發布財務報表中的資產負債表數字（在</w:t>
            </w:r>
            <w:r w:rsidRPr="00CA7301">
              <w:rPr>
                <w:rFonts w:cs="Segoe UI"/>
                <w:sz w:val="17"/>
                <w:szCs w:val="17"/>
                <w:lang w:eastAsia="zh-TW"/>
              </w:rPr>
              <w:t>(a)</w:t>
            </w:r>
            <w:r w:rsidRPr="00CA7301">
              <w:rPr>
                <w:rFonts w:eastAsia="細明體" w:cs="Segoe UI"/>
                <w:sz w:val="17"/>
                <w:szCs w:val="17"/>
                <w:lang w:eastAsia="zh-TW"/>
              </w:rPr>
              <w:t>欄</w:t>
            </w:r>
            <w:r w:rsidRPr="00CA7301">
              <w:rPr>
                <w:rFonts w:eastAsiaTheme="minorEastAsia" w:cs="Segoe UI"/>
                <w:sz w:val="17"/>
                <w:szCs w:val="17"/>
                <w:lang w:eastAsia="zh-TW"/>
              </w:rPr>
              <w:t>填報），並填報已應用監管綜合範圍後的數字（在</w:t>
            </w:r>
            <w:r w:rsidRPr="00CA7301">
              <w:rPr>
                <w:rFonts w:cs="Segoe UI"/>
                <w:sz w:val="17"/>
                <w:szCs w:val="17"/>
                <w:lang w:eastAsia="zh-TW"/>
              </w:rPr>
              <w:t>(b)</w:t>
            </w:r>
            <w:r w:rsidRPr="00CA7301">
              <w:rPr>
                <w:rFonts w:eastAsia="細明體" w:cs="Segoe UI"/>
                <w:sz w:val="17"/>
                <w:szCs w:val="17"/>
                <w:lang w:eastAsia="zh-TW"/>
              </w:rPr>
              <w:t>欄</w:t>
            </w:r>
            <w:r w:rsidRPr="00CA7301">
              <w:rPr>
                <w:rFonts w:eastAsiaTheme="minorEastAsia" w:cs="Segoe UI"/>
                <w:sz w:val="17"/>
                <w:szCs w:val="17"/>
                <w:lang w:eastAsia="zh-TW"/>
              </w:rPr>
              <w:t>填報）。這是</w:t>
            </w:r>
            <w:r w:rsidR="008A4D81" w:rsidRPr="00CA7301">
              <w:rPr>
                <w:rFonts w:eastAsia="新細明體" w:cs="Segoe UI"/>
                <w:sz w:val="17"/>
                <w:szCs w:val="17"/>
                <w:lang w:eastAsia="zh-TW"/>
              </w:rPr>
              <w:t>巴塞爾</w:t>
            </w:r>
            <w:r w:rsidR="008A4D81">
              <w:rPr>
                <w:rFonts w:eastAsia="新細明體" w:cs="Segoe UI" w:hint="eastAsia"/>
                <w:sz w:val="17"/>
                <w:szCs w:val="17"/>
                <w:lang w:eastAsia="zh-HK"/>
              </w:rPr>
              <w:t>框架</w:t>
            </w:r>
            <w:r w:rsidR="00466AFB" w:rsidRPr="00466AFB">
              <w:rPr>
                <w:rFonts w:eastAsia="新細明體" w:cs="Segoe UI" w:hint="eastAsia"/>
                <w:sz w:val="17"/>
                <w:szCs w:val="17"/>
                <w:lang w:eastAsia="zh-HK"/>
              </w:rPr>
              <w:t>第</w:t>
            </w:r>
            <w:r w:rsidR="008A4D81">
              <w:rPr>
                <w:rFonts w:eastAsia="新細明體" w:cs="Segoe UI" w:hint="eastAsia"/>
                <w:sz w:val="17"/>
                <w:szCs w:val="17"/>
                <w:lang w:eastAsia="zh-TW"/>
              </w:rPr>
              <w:t>DIS25</w:t>
            </w:r>
            <w:r w:rsidR="00974805">
              <w:rPr>
                <w:rFonts w:eastAsia="新細明體" w:cs="Segoe UI" w:hint="eastAsia"/>
                <w:sz w:val="17"/>
                <w:szCs w:val="17"/>
                <w:lang w:eastAsia="zh-HK"/>
              </w:rPr>
              <w:t>章</w:t>
            </w:r>
            <w:r w:rsidRPr="00CA7301">
              <w:rPr>
                <w:rFonts w:eastAsiaTheme="minorEastAsia" w:cs="Segoe UI"/>
                <w:sz w:val="17"/>
                <w:szCs w:val="17"/>
                <w:lang w:eastAsia="zh-TW"/>
              </w:rPr>
              <w:t>所解釋的「三步</w:t>
            </w:r>
            <w:proofErr w:type="gramStart"/>
            <w:r w:rsidRPr="00CA7301">
              <w:rPr>
                <w:rFonts w:eastAsiaTheme="minorEastAsia" w:cs="Segoe UI"/>
                <w:sz w:val="17"/>
                <w:szCs w:val="17"/>
                <w:lang w:eastAsia="zh-TW"/>
              </w:rPr>
              <w:t>對帳法</w:t>
            </w:r>
            <w:proofErr w:type="gramEnd"/>
            <w:r w:rsidRPr="00CA7301">
              <w:rPr>
                <w:rFonts w:eastAsiaTheme="minorEastAsia" w:cs="Segoe UI"/>
                <w:sz w:val="17"/>
                <w:szCs w:val="17"/>
                <w:lang w:eastAsia="zh-TW"/>
              </w:rPr>
              <w:t>」</w:t>
            </w:r>
            <w:r w:rsidRPr="00CA7301">
              <w:rPr>
                <w:rFonts w:eastAsiaTheme="minorEastAsia" w:cs="Segoe UI"/>
                <w:sz w:val="17"/>
                <w:szCs w:val="17"/>
                <w:lang w:eastAsia="zh-TW"/>
              </w:rPr>
              <w:t>(three-step approach)</w:t>
            </w:r>
            <w:r w:rsidRPr="00CA7301">
              <w:rPr>
                <w:rFonts w:eastAsiaTheme="minorEastAsia" w:cs="Segoe UI"/>
                <w:sz w:val="17"/>
                <w:szCs w:val="17"/>
                <w:lang w:eastAsia="zh-TW"/>
              </w:rPr>
              <w:t>的第</w:t>
            </w:r>
            <w:r w:rsidRPr="00CA7301">
              <w:rPr>
                <w:rFonts w:eastAsiaTheme="minorEastAsia" w:cs="Segoe UI"/>
                <w:sz w:val="17"/>
                <w:szCs w:val="17"/>
                <w:lang w:eastAsia="zh-TW"/>
              </w:rPr>
              <w:t>1</w:t>
            </w:r>
            <w:r w:rsidRPr="00CA7301">
              <w:rPr>
                <w:rFonts w:eastAsiaTheme="minorEastAsia" w:cs="Segoe UI"/>
                <w:sz w:val="17"/>
                <w:szCs w:val="17"/>
                <w:lang w:eastAsia="zh-TW"/>
              </w:rPr>
              <w:t>步。</w:t>
            </w:r>
            <w:r w:rsidRPr="00CA7301">
              <w:rPr>
                <w:rFonts w:cs="Segoe UI"/>
                <w:sz w:val="17"/>
                <w:szCs w:val="17"/>
                <w:lang w:eastAsia="zh-TW"/>
              </w:rPr>
              <w:t xml:space="preserve"> </w:t>
            </w:r>
          </w:p>
          <w:p w14:paraId="052B4A5D" w14:textId="77777777" w:rsidR="009B09FD" w:rsidRPr="00CA7301" w:rsidRDefault="009B09FD" w:rsidP="009B09FD">
            <w:pPr>
              <w:keepNext/>
              <w:spacing w:before="40" w:after="40"/>
              <w:jc w:val="both"/>
              <w:rPr>
                <w:rFonts w:cs="Segoe UI"/>
                <w:sz w:val="17"/>
                <w:szCs w:val="17"/>
                <w:lang w:eastAsia="zh-TW"/>
              </w:rPr>
            </w:pPr>
            <w:r w:rsidRPr="00CA7301">
              <w:rPr>
                <w:rFonts w:eastAsiaTheme="minorEastAsia" w:cs="Segoe UI"/>
                <w:sz w:val="17"/>
                <w:szCs w:val="17"/>
                <w:lang w:eastAsia="zh-TW"/>
              </w:rPr>
              <w:t>如在監管綜合範圍下資產負債表的某些行並不在已發布財務報表內，認可機構應加入有關行，並在</w:t>
            </w:r>
            <w:r w:rsidRPr="00CA7301">
              <w:rPr>
                <w:rFonts w:cs="Segoe UI"/>
                <w:sz w:val="17"/>
                <w:szCs w:val="17"/>
                <w:lang w:eastAsia="zh-TW"/>
              </w:rPr>
              <w:t>(a)</w:t>
            </w:r>
            <w:r w:rsidRPr="00CA7301">
              <w:rPr>
                <w:rFonts w:eastAsia="細明體" w:cs="Segoe UI"/>
                <w:sz w:val="17"/>
                <w:szCs w:val="17"/>
                <w:lang w:eastAsia="zh-TW"/>
              </w:rPr>
              <w:t>欄</w:t>
            </w:r>
            <w:r w:rsidRPr="00CA7301">
              <w:rPr>
                <w:rFonts w:eastAsiaTheme="minorEastAsia" w:cs="Segoe UI"/>
                <w:sz w:val="17"/>
                <w:szCs w:val="17"/>
                <w:lang w:eastAsia="zh-TW"/>
              </w:rPr>
              <w:t>填報零。</w:t>
            </w:r>
          </w:p>
          <w:p w14:paraId="68D0839C" w14:textId="77777777" w:rsidR="009B09FD" w:rsidRPr="00CA7301" w:rsidRDefault="009B09FD" w:rsidP="009B09FD">
            <w:pPr>
              <w:keepNext/>
              <w:spacing w:before="40" w:after="40"/>
              <w:jc w:val="both"/>
              <w:rPr>
                <w:rFonts w:cs="Segoe UI"/>
                <w:sz w:val="17"/>
                <w:szCs w:val="17"/>
                <w:lang w:eastAsia="zh-TW"/>
              </w:rPr>
            </w:pPr>
            <w:r w:rsidRPr="00CA7301">
              <w:rPr>
                <w:rFonts w:eastAsiaTheme="minorEastAsia" w:cs="Segoe UI"/>
                <w:sz w:val="17"/>
                <w:szCs w:val="17"/>
                <w:lang w:eastAsia="zh-TW"/>
              </w:rPr>
              <w:t>如認可機構的會計綜合範圍與監管綜合範圍完全相同，</w:t>
            </w:r>
            <w:r w:rsidRPr="00CA7301">
              <w:rPr>
                <w:rFonts w:cs="Segoe UI"/>
                <w:sz w:val="17"/>
                <w:szCs w:val="17"/>
                <w:lang w:eastAsia="zh-TW"/>
              </w:rPr>
              <w:t>(a)</w:t>
            </w:r>
            <w:r w:rsidRPr="00CA7301">
              <w:rPr>
                <w:rFonts w:eastAsiaTheme="minorEastAsia" w:cs="Segoe UI"/>
                <w:sz w:val="17"/>
                <w:szCs w:val="17"/>
                <w:lang w:eastAsia="zh-TW"/>
              </w:rPr>
              <w:t>及</w:t>
            </w:r>
            <w:r w:rsidRPr="00CA7301">
              <w:rPr>
                <w:rFonts w:cs="Segoe UI"/>
                <w:sz w:val="17"/>
                <w:szCs w:val="17"/>
                <w:lang w:eastAsia="zh-TW"/>
              </w:rPr>
              <w:t>(b)</w:t>
            </w:r>
            <w:r w:rsidRPr="00CA7301">
              <w:rPr>
                <w:rFonts w:eastAsiaTheme="minorEastAsia" w:cs="Segoe UI"/>
                <w:sz w:val="17"/>
                <w:szCs w:val="17"/>
                <w:lang w:eastAsia="zh-TW"/>
              </w:rPr>
              <w:t>欄應合併，並應清楚披露此事實。</w:t>
            </w:r>
          </w:p>
          <w:p w14:paraId="2255EFDC" w14:textId="77777777" w:rsidR="009B09FD" w:rsidRPr="00CA7301" w:rsidRDefault="009B09FD" w:rsidP="009B09FD">
            <w:pPr>
              <w:spacing w:before="40" w:after="40"/>
              <w:jc w:val="both"/>
              <w:rPr>
                <w:rFonts w:cs="Segoe UI"/>
                <w:sz w:val="17"/>
                <w:szCs w:val="17"/>
                <w:lang w:eastAsia="zh-TW"/>
              </w:rPr>
            </w:pPr>
            <w:r w:rsidRPr="00CA7301">
              <w:rPr>
                <w:rFonts w:eastAsiaTheme="minorEastAsia" w:cs="Segoe UI"/>
                <w:sz w:val="17"/>
                <w:szCs w:val="17"/>
                <w:lang w:eastAsia="zh-TW"/>
              </w:rPr>
              <w:t>在擴大資產負債表前（即在進行「三步對帳法」的第</w:t>
            </w:r>
            <w:r w:rsidRPr="00CA7301">
              <w:rPr>
                <w:rFonts w:eastAsiaTheme="minorEastAsia" w:cs="Segoe UI"/>
                <w:sz w:val="17"/>
                <w:szCs w:val="17"/>
                <w:lang w:eastAsia="zh-TW"/>
              </w:rPr>
              <w:t>2</w:t>
            </w:r>
            <w:r w:rsidRPr="00CA7301">
              <w:rPr>
                <w:rFonts w:eastAsiaTheme="minorEastAsia" w:cs="Segoe UI"/>
                <w:sz w:val="17"/>
                <w:szCs w:val="17"/>
                <w:lang w:eastAsia="zh-TW"/>
              </w:rPr>
              <w:t>步前），</w:t>
            </w:r>
            <w:proofErr w:type="gramStart"/>
            <w:r w:rsidRPr="00CA7301">
              <w:rPr>
                <w:rFonts w:eastAsiaTheme="minorEastAsia" w:cs="Segoe UI"/>
                <w:sz w:val="17"/>
                <w:szCs w:val="17"/>
                <w:lang w:eastAsia="zh-TW"/>
              </w:rPr>
              <w:t>本模版</w:t>
            </w:r>
            <w:proofErr w:type="gramEnd"/>
            <w:r w:rsidRPr="00CA7301">
              <w:rPr>
                <w:rFonts w:cs="Segoe UI"/>
                <w:sz w:val="17"/>
                <w:szCs w:val="17"/>
                <w:lang w:eastAsia="zh-TW"/>
              </w:rPr>
              <w:t>(a)</w:t>
            </w:r>
            <w:r w:rsidRPr="00CA7301">
              <w:rPr>
                <w:rFonts w:eastAsiaTheme="minorEastAsia" w:cs="Segoe UI"/>
                <w:sz w:val="17"/>
                <w:szCs w:val="17"/>
                <w:lang w:eastAsia="zh-TW"/>
              </w:rPr>
              <w:t>及</w:t>
            </w:r>
            <w:r w:rsidRPr="00CA7301">
              <w:rPr>
                <w:rFonts w:cs="Segoe UI"/>
                <w:sz w:val="17"/>
                <w:szCs w:val="17"/>
                <w:lang w:eastAsia="zh-TW"/>
              </w:rPr>
              <w:t>(b</w:t>
            </w:r>
            <w:r w:rsidRPr="00CA7301">
              <w:rPr>
                <w:rFonts w:eastAsiaTheme="minorEastAsia" w:cs="Segoe UI"/>
                <w:sz w:val="17"/>
                <w:szCs w:val="17"/>
                <w:lang w:eastAsia="zh-TW"/>
              </w:rPr>
              <w:t>)</w:t>
            </w:r>
            <w:r w:rsidRPr="00CA7301">
              <w:rPr>
                <w:rFonts w:eastAsiaTheme="minorEastAsia" w:cs="Segoe UI"/>
                <w:sz w:val="17"/>
                <w:szCs w:val="17"/>
                <w:lang w:eastAsia="zh-TW"/>
              </w:rPr>
              <w:t>欄的值應與模版</w:t>
            </w:r>
            <w:r w:rsidRPr="00CA7301">
              <w:rPr>
                <w:rFonts w:cs="Segoe UI"/>
                <w:sz w:val="17"/>
                <w:szCs w:val="17"/>
                <w:lang w:eastAsia="zh-TW"/>
              </w:rPr>
              <w:t>LI1(a)</w:t>
            </w:r>
            <w:r w:rsidRPr="00CA7301">
              <w:rPr>
                <w:rFonts w:eastAsiaTheme="minorEastAsia" w:cs="Segoe UI"/>
                <w:sz w:val="17"/>
                <w:szCs w:val="17"/>
                <w:lang w:eastAsia="zh-TW"/>
              </w:rPr>
              <w:t>及</w:t>
            </w:r>
            <w:r w:rsidRPr="00CA7301">
              <w:rPr>
                <w:rFonts w:cs="Segoe UI"/>
                <w:sz w:val="17"/>
                <w:szCs w:val="17"/>
                <w:lang w:eastAsia="zh-TW"/>
              </w:rPr>
              <w:t>(b)</w:t>
            </w:r>
            <w:r w:rsidRPr="00CA7301">
              <w:rPr>
                <w:rFonts w:eastAsiaTheme="minorEastAsia" w:cs="Segoe UI"/>
                <w:sz w:val="17"/>
                <w:szCs w:val="17"/>
                <w:lang w:eastAsia="zh-TW"/>
              </w:rPr>
              <w:t>欄的值完全相同。</w:t>
            </w:r>
          </w:p>
        </w:tc>
      </w:tr>
      <w:tr w:rsidR="009B09FD" w:rsidRPr="00CA7301" w14:paraId="6604C82A" w14:textId="77777777" w:rsidTr="006A72EC">
        <w:trPr>
          <w:trHeight w:val="942"/>
        </w:trPr>
        <w:tc>
          <w:tcPr>
            <w:tcW w:w="709" w:type="dxa"/>
          </w:tcPr>
          <w:p w14:paraId="7C064972" w14:textId="77777777" w:rsidR="009B09FD" w:rsidRPr="00CA7301" w:rsidRDefault="009B09FD" w:rsidP="009B09FD">
            <w:pPr>
              <w:keepLines/>
              <w:widowControl w:val="0"/>
              <w:tabs>
                <w:tab w:val="left" w:pos="1191"/>
              </w:tabs>
              <w:spacing w:before="40" w:after="40"/>
              <w:ind w:rightChars="-54" w:right="-108"/>
              <w:rPr>
                <w:rFonts w:cs="Segoe UI"/>
                <w:sz w:val="17"/>
                <w:szCs w:val="17"/>
                <w:lang w:eastAsia="en-GB"/>
              </w:rPr>
            </w:pPr>
            <w:r w:rsidRPr="00CA7301">
              <w:rPr>
                <w:rFonts w:cs="Segoe UI"/>
                <w:sz w:val="17"/>
                <w:szCs w:val="17"/>
                <w:lang w:eastAsia="en-GB"/>
              </w:rPr>
              <w:t>(c)</w:t>
            </w:r>
          </w:p>
        </w:tc>
        <w:tc>
          <w:tcPr>
            <w:tcW w:w="8505" w:type="dxa"/>
          </w:tcPr>
          <w:p w14:paraId="33E784BB" w14:textId="7523F2CC" w:rsidR="006A72EC" w:rsidRDefault="009B09FD" w:rsidP="008E4D55">
            <w:pPr>
              <w:keepNext/>
              <w:spacing w:before="40" w:after="40"/>
              <w:jc w:val="both"/>
              <w:rPr>
                <w:rFonts w:eastAsiaTheme="minorEastAsia" w:cs="Segoe UI"/>
                <w:sz w:val="17"/>
                <w:szCs w:val="17"/>
                <w:lang w:eastAsia="zh-TW"/>
              </w:rPr>
            </w:pPr>
            <w:r w:rsidRPr="00CA7301">
              <w:rPr>
                <w:rFonts w:eastAsiaTheme="minorEastAsia" w:cs="Segoe UI"/>
                <w:sz w:val="17"/>
                <w:szCs w:val="17"/>
                <w:lang w:eastAsia="zh-TW"/>
              </w:rPr>
              <w:t>認可機構應按照</w:t>
            </w:r>
            <w:r w:rsidR="008E4D55" w:rsidRPr="00CA7301">
              <w:rPr>
                <w:rFonts w:eastAsia="新細明體" w:cs="Segoe UI"/>
                <w:sz w:val="17"/>
                <w:szCs w:val="17"/>
                <w:lang w:eastAsia="zh-TW"/>
              </w:rPr>
              <w:t>巴塞爾</w:t>
            </w:r>
            <w:r w:rsidR="008E4D55">
              <w:rPr>
                <w:rFonts w:eastAsia="新細明體" w:cs="Segoe UI" w:hint="eastAsia"/>
                <w:sz w:val="17"/>
                <w:szCs w:val="17"/>
                <w:lang w:eastAsia="zh-HK"/>
              </w:rPr>
              <w:t>框架</w:t>
            </w:r>
            <w:r w:rsidR="00466AFB" w:rsidRPr="00466AFB">
              <w:rPr>
                <w:rFonts w:eastAsia="新細明體" w:cs="Segoe UI" w:hint="eastAsia"/>
                <w:sz w:val="17"/>
                <w:szCs w:val="17"/>
                <w:lang w:eastAsia="zh-HK"/>
              </w:rPr>
              <w:t>第</w:t>
            </w:r>
            <w:r w:rsidR="008E4D55">
              <w:rPr>
                <w:rFonts w:eastAsia="新細明體" w:cs="Segoe UI" w:hint="eastAsia"/>
                <w:sz w:val="17"/>
                <w:szCs w:val="17"/>
                <w:lang w:eastAsia="zh-TW"/>
              </w:rPr>
              <w:t>DIS25</w:t>
            </w:r>
            <w:r w:rsidR="00974805">
              <w:rPr>
                <w:rFonts w:eastAsia="新細明體" w:cs="Segoe UI" w:hint="eastAsia"/>
                <w:sz w:val="17"/>
                <w:szCs w:val="17"/>
                <w:lang w:eastAsia="zh-HK"/>
              </w:rPr>
              <w:t>章</w:t>
            </w:r>
            <w:r w:rsidRPr="00CA7301">
              <w:rPr>
                <w:rFonts w:eastAsiaTheme="minorEastAsia" w:cs="Segoe UI"/>
                <w:sz w:val="17"/>
                <w:szCs w:val="17"/>
                <w:lang w:eastAsia="zh-TW"/>
              </w:rPr>
              <w:t>所解釋的「三步</w:t>
            </w:r>
            <w:proofErr w:type="gramStart"/>
            <w:r w:rsidRPr="00CA7301">
              <w:rPr>
                <w:rFonts w:eastAsiaTheme="minorEastAsia" w:cs="Segoe UI"/>
                <w:sz w:val="17"/>
                <w:szCs w:val="17"/>
                <w:lang w:eastAsia="zh-TW"/>
              </w:rPr>
              <w:t>對帳法</w:t>
            </w:r>
            <w:proofErr w:type="gramEnd"/>
            <w:r w:rsidRPr="00CA7301">
              <w:rPr>
                <w:rFonts w:eastAsiaTheme="minorEastAsia" w:cs="Segoe UI"/>
                <w:sz w:val="17"/>
                <w:szCs w:val="17"/>
                <w:lang w:eastAsia="zh-TW"/>
              </w:rPr>
              <w:t>」的第</w:t>
            </w:r>
            <w:r w:rsidRPr="00CA7301">
              <w:rPr>
                <w:rFonts w:eastAsiaTheme="minorEastAsia" w:cs="Segoe UI"/>
                <w:sz w:val="17"/>
                <w:szCs w:val="17"/>
                <w:lang w:eastAsia="zh-TW"/>
              </w:rPr>
              <w:t>3</w:t>
            </w:r>
            <w:r w:rsidRPr="00CA7301">
              <w:rPr>
                <w:rFonts w:eastAsiaTheme="minorEastAsia" w:cs="Segoe UI"/>
                <w:sz w:val="17"/>
                <w:szCs w:val="17"/>
                <w:lang w:eastAsia="zh-TW"/>
              </w:rPr>
              <w:t>步，利用於本欄所填報的參考編號</w:t>
            </w:r>
            <w:r w:rsidRPr="00CA7301">
              <w:rPr>
                <w:rFonts w:eastAsiaTheme="minorEastAsia" w:cs="Segoe UI"/>
                <w:sz w:val="17"/>
                <w:szCs w:val="17"/>
                <w:lang w:eastAsia="zh-TW"/>
              </w:rPr>
              <w:t>/</w:t>
            </w:r>
            <w:r w:rsidRPr="00CA7301">
              <w:rPr>
                <w:rFonts w:eastAsiaTheme="minorEastAsia" w:cs="Segoe UI"/>
                <w:sz w:val="17"/>
                <w:szCs w:val="17"/>
                <w:lang w:eastAsia="zh-TW"/>
              </w:rPr>
              <w:t>字母，將經擴大資產負債表的數字與模版</w:t>
            </w:r>
            <w:r w:rsidRPr="00CA7301">
              <w:rPr>
                <w:rFonts w:cs="Segoe UI"/>
                <w:sz w:val="17"/>
                <w:szCs w:val="17"/>
                <w:lang w:eastAsia="zh-TW"/>
              </w:rPr>
              <w:t>CC1</w:t>
            </w:r>
            <w:r w:rsidRPr="00CA7301">
              <w:rPr>
                <w:rFonts w:eastAsiaTheme="minorEastAsia" w:cs="Segoe UI"/>
                <w:sz w:val="17"/>
                <w:szCs w:val="17"/>
                <w:lang w:eastAsia="zh-TW"/>
              </w:rPr>
              <w:t>內</w:t>
            </w:r>
            <w:r w:rsidRPr="00CA7301">
              <w:rPr>
                <w:rFonts w:cs="Segoe UI"/>
                <w:sz w:val="17"/>
                <w:szCs w:val="17"/>
                <w:lang w:eastAsia="zh-TW"/>
              </w:rPr>
              <w:t>(b)</w:t>
            </w:r>
            <w:r w:rsidRPr="00CA7301">
              <w:rPr>
                <w:rFonts w:eastAsiaTheme="minorEastAsia" w:cs="Segoe UI"/>
                <w:sz w:val="17"/>
                <w:szCs w:val="17"/>
                <w:lang w:eastAsia="zh-TW"/>
              </w:rPr>
              <w:t>欄的對應項目作交叉參照。</w:t>
            </w:r>
          </w:p>
          <w:p w14:paraId="183C8D48" w14:textId="3426145A" w:rsidR="00663064" w:rsidRPr="006A72EC" w:rsidRDefault="00663064" w:rsidP="008E4D55">
            <w:pPr>
              <w:keepNext/>
              <w:spacing w:before="40" w:after="40"/>
              <w:jc w:val="both"/>
              <w:rPr>
                <w:rFonts w:eastAsiaTheme="minorEastAsia" w:cs="Segoe UI"/>
                <w:sz w:val="17"/>
                <w:szCs w:val="17"/>
                <w:lang w:eastAsia="zh-TW"/>
              </w:rPr>
            </w:pPr>
          </w:p>
        </w:tc>
      </w:tr>
      <w:tr w:rsidR="009B09FD" w:rsidRPr="00CA7301" w14:paraId="2398567D" w14:textId="77777777" w:rsidTr="00F62652">
        <w:trPr>
          <w:trHeight w:val="373"/>
        </w:trPr>
        <w:tc>
          <w:tcPr>
            <w:tcW w:w="9214" w:type="dxa"/>
            <w:gridSpan w:val="2"/>
            <w:shd w:val="clear" w:color="auto" w:fill="F2F2F2" w:themeFill="background1" w:themeFillShade="F2"/>
          </w:tcPr>
          <w:p w14:paraId="607FD842" w14:textId="77777777" w:rsidR="009B09FD" w:rsidRPr="00CA7301" w:rsidRDefault="009B09FD" w:rsidP="009B09FD">
            <w:pPr>
              <w:spacing w:before="40" w:after="40"/>
              <w:jc w:val="both"/>
              <w:rPr>
                <w:rFonts w:cs="Segoe UI"/>
                <w:i/>
                <w:sz w:val="17"/>
                <w:szCs w:val="17"/>
              </w:rPr>
            </w:pPr>
            <w:r w:rsidRPr="00CA7301">
              <w:rPr>
                <w:rFonts w:eastAsiaTheme="minorEastAsia" w:cs="Segoe UI"/>
                <w:b/>
                <w:sz w:val="17"/>
                <w:szCs w:val="17"/>
                <w:lang w:eastAsia="zh-TW"/>
              </w:rPr>
              <w:t>行</w:t>
            </w:r>
          </w:p>
        </w:tc>
      </w:tr>
      <w:tr w:rsidR="009B09FD" w:rsidRPr="00CA7301" w14:paraId="376D2917" w14:textId="77777777" w:rsidTr="00F62652">
        <w:trPr>
          <w:trHeight w:val="373"/>
        </w:trPr>
        <w:tc>
          <w:tcPr>
            <w:tcW w:w="709" w:type="dxa"/>
          </w:tcPr>
          <w:p w14:paraId="263AAC37" w14:textId="77777777" w:rsidR="009B09FD" w:rsidRPr="00CA7301" w:rsidRDefault="009B09FD" w:rsidP="009B09FD">
            <w:pPr>
              <w:keepLines/>
              <w:widowControl w:val="0"/>
              <w:tabs>
                <w:tab w:val="left" w:pos="1191"/>
              </w:tabs>
              <w:spacing w:before="40" w:after="40"/>
              <w:ind w:rightChars="-54" w:right="-108"/>
              <w:rPr>
                <w:rFonts w:cs="Segoe UI"/>
                <w:sz w:val="17"/>
                <w:szCs w:val="17"/>
                <w:lang w:eastAsia="en-GB"/>
              </w:rPr>
            </w:pPr>
            <w:r w:rsidRPr="00CA7301">
              <w:rPr>
                <w:rFonts w:eastAsiaTheme="minorEastAsia" w:cs="Segoe UI"/>
                <w:sz w:val="17"/>
                <w:szCs w:val="17"/>
                <w:lang w:eastAsia="zh-TW"/>
              </w:rPr>
              <w:t>全部</w:t>
            </w:r>
          </w:p>
        </w:tc>
        <w:tc>
          <w:tcPr>
            <w:tcW w:w="8505" w:type="dxa"/>
          </w:tcPr>
          <w:p w14:paraId="33ED734D" w14:textId="499BD6D7" w:rsidR="009B09FD" w:rsidRPr="00CA7301" w:rsidRDefault="009B09FD" w:rsidP="00F02071">
            <w:pPr>
              <w:keepNext/>
              <w:spacing w:before="40" w:after="40"/>
              <w:jc w:val="both"/>
              <w:rPr>
                <w:rFonts w:cs="Segoe UI"/>
                <w:sz w:val="17"/>
                <w:szCs w:val="17"/>
                <w:lang w:eastAsia="zh-TW"/>
              </w:rPr>
            </w:pPr>
            <w:proofErr w:type="gramStart"/>
            <w:r w:rsidRPr="00CA7301">
              <w:rPr>
                <w:rFonts w:eastAsiaTheme="minorEastAsia" w:cs="Segoe UI"/>
                <w:sz w:val="17"/>
                <w:szCs w:val="17"/>
                <w:lang w:eastAsia="zh-TW"/>
              </w:rPr>
              <w:t>本模版</w:t>
            </w:r>
            <w:proofErr w:type="gramEnd"/>
            <w:r w:rsidRPr="00CA7301">
              <w:rPr>
                <w:rFonts w:eastAsiaTheme="minorEastAsia" w:cs="Segoe UI"/>
                <w:sz w:val="17"/>
                <w:szCs w:val="17"/>
                <w:lang w:eastAsia="zh-TW"/>
              </w:rPr>
              <w:t>的行應遵循認可機構在其財務報表中的資產</w:t>
            </w:r>
            <w:proofErr w:type="gramStart"/>
            <w:r w:rsidRPr="00CA7301">
              <w:rPr>
                <w:rFonts w:eastAsiaTheme="minorEastAsia" w:cs="Segoe UI"/>
                <w:sz w:val="17"/>
                <w:szCs w:val="17"/>
                <w:lang w:eastAsia="zh-TW"/>
              </w:rPr>
              <w:t>負債表呈列</w:t>
            </w:r>
            <w:proofErr w:type="gramEnd"/>
            <w:r w:rsidRPr="00CA7301">
              <w:rPr>
                <w:rFonts w:eastAsiaTheme="minorEastAsia" w:cs="Segoe UI"/>
                <w:sz w:val="17"/>
                <w:szCs w:val="17"/>
                <w:lang w:eastAsia="zh-TW"/>
              </w:rPr>
              <w:t>方式，並且認可機構須在此基礎上擴大資產負債表，以辨別在模版</w:t>
            </w:r>
            <w:r w:rsidRPr="00CA7301">
              <w:rPr>
                <w:rFonts w:cs="Segoe UI"/>
                <w:sz w:val="17"/>
                <w:szCs w:val="17"/>
                <w:lang w:eastAsia="zh-TW"/>
              </w:rPr>
              <w:t>CC1</w:t>
            </w:r>
            <w:r w:rsidRPr="00CA7301">
              <w:rPr>
                <w:rFonts w:eastAsiaTheme="minorEastAsia" w:cs="Segoe UI"/>
                <w:sz w:val="17"/>
                <w:szCs w:val="17"/>
                <w:lang w:eastAsia="zh-TW"/>
              </w:rPr>
              <w:t>披露的所有項目（即</w:t>
            </w:r>
            <w:r w:rsidR="00F02071" w:rsidRPr="00CA7301">
              <w:rPr>
                <w:rFonts w:eastAsia="新細明體" w:cs="Segoe UI"/>
                <w:sz w:val="17"/>
                <w:szCs w:val="17"/>
                <w:lang w:eastAsia="zh-TW"/>
              </w:rPr>
              <w:t>巴塞爾</w:t>
            </w:r>
            <w:r w:rsidR="00F02071">
              <w:rPr>
                <w:rFonts w:eastAsia="新細明體" w:cs="Segoe UI" w:hint="eastAsia"/>
                <w:sz w:val="17"/>
                <w:szCs w:val="17"/>
                <w:lang w:eastAsia="zh-HK"/>
              </w:rPr>
              <w:t>框架</w:t>
            </w:r>
            <w:r w:rsidR="00466AFB" w:rsidRPr="00466AFB">
              <w:rPr>
                <w:rFonts w:eastAsia="新細明體" w:cs="Segoe UI" w:hint="eastAsia"/>
                <w:sz w:val="17"/>
                <w:szCs w:val="17"/>
                <w:lang w:eastAsia="zh-HK"/>
              </w:rPr>
              <w:t>第</w:t>
            </w:r>
            <w:r w:rsidR="00F02071">
              <w:rPr>
                <w:rFonts w:eastAsia="新細明體" w:cs="Segoe UI" w:hint="eastAsia"/>
                <w:sz w:val="17"/>
                <w:szCs w:val="17"/>
                <w:lang w:eastAsia="zh-TW"/>
              </w:rPr>
              <w:t>DIS25</w:t>
            </w:r>
            <w:r w:rsidR="00974805">
              <w:rPr>
                <w:rFonts w:eastAsia="新細明體" w:cs="Segoe UI" w:hint="eastAsia"/>
                <w:sz w:val="17"/>
                <w:szCs w:val="17"/>
                <w:lang w:eastAsia="zh-HK"/>
              </w:rPr>
              <w:t>章</w:t>
            </w:r>
            <w:r w:rsidRPr="00CA7301">
              <w:rPr>
                <w:rFonts w:eastAsia="細明體" w:cs="Segoe UI"/>
                <w:sz w:val="17"/>
                <w:szCs w:val="17"/>
                <w:lang w:eastAsia="zh-TW"/>
              </w:rPr>
              <w:t>所</w:t>
            </w:r>
            <w:r w:rsidRPr="00CA7301">
              <w:rPr>
                <w:rFonts w:eastAsiaTheme="minorEastAsia" w:cs="Segoe UI"/>
                <w:sz w:val="17"/>
                <w:szCs w:val="17"/>
                <w:lang w:eastAsia="zh-TW"/>
              </w:rPr>
              <w:t>解</w:t>
            </w:r>
            <w:r w:rsidRPr="00CA7301">
              <w:rPr>
                <w:rFonts w:eastAsia="細明體" w:cs="Segoe UI"/>
                <w:sz w:val="17"/>
                <w:szCs w:val="17"/>
                <w:lang w:eastAsia="zh-TW"/>
              </w:rPr>
              <w:t>釋的</w:t>
            </w:r>
            <w:r w:rsidRPr="00CA7301">
              <w:rPr>
                <w:rFonts w:eastAsiaTheme="minorEastAsia" w:cs="Segoe UI"/>
                <w:sz w:val="17"/>
                <w:szCs w:val="17"/>
                <w:lang w:eastAsia="zh-TW"/>
              </w:rPr>
              <w:t>「三步對帳法」</w:t>
            </w:r>
            <w:r w:rsidRPr="00CA7301">
              <w:rPr>
                <w:rFonts w:eastAsia="細明體" w:cs="Segoe UI"/>
                <w:sz w:val="17"/>
                <w:szCs w:val="17"/>
                <w:lang w:eastAsia="zh-TW"/>
              </w:rPr>
              <w:t>的第</w:t>
            </w:r>
            <w:r w:rsidRPr="00CA7301">
              <w:rPr>
                <w:rFonts w:eastAsia="細明體" w:cs="Segoe UI"/>
                <w:sz w:val="17"/>
                <w:szCs w:val="17"/>
                <w:lang w:eastAsia="zh-TW"/>
              </w:rPr>
              <w:t>2</w:t>
            </w:r>
            <w:r w:rsidRPr="00CA7301">
              <w:rPr>
                <w:rFonts w:eastAsia="細明體" w:cs="Segoe UI"/>
                <w:sz w:val="17"/>
                <w:szCs w:val="17"/>
                <w:lang w:eastAsia="zh-TW"/>
              </w:rPr>
              <w:t>步</w:t>
            </w:r>
            <w:r w:rsidRPr="00CA7301">
              <w:rPr>
                <w:rFonts w:eastAsiaTheme="minorEastAsia" w:cs="Segoe UI"/>
                <w:sz w:val="17"/>
                <w:szCs w:val="17"/>
                <w:lang w:eastAsia="zh-TW"/>
              </w:rPr>
              <w:t>）。以上所列（即第</w:t>
            </w:r>
            <w:r w:rsidRPr="00CA7301">
              <w:rPr>
                <w:rFonts w:cs="Segoe UI"/>
                <w:sz w:val="17"/>
                <w:szCs w:val="17"/>
                <w:lang w:eastAsia="zh-TW"/>
              </w:rPr>
              <w:t>[a]</w:t>
            </w:r>
            <w:r w:rsidRPr="00CA7301">
              <w:rPr>
                <w:rFonts w:eastAsiaTheme="minorEastAsia" w:cs="Segoe UI"/>
                <w:sz w:val="17"/>
                <w:szCs w:val="17"/>
                <w:lang w:eastAsia="zh-TW"/>
              </w:rPr>
              <w:t>至</w:t>
            </w:r>
            <w:r w:rsidRPr="00CA7301">
              <w:rPr>
                <w:rFonts w:cs="Segoe UI"/>
                <w:sz w:val="17"/>
                <w:szCs w:val="17"/>
                <w:lang w:eastAsia="zh-TW"/>
              </w:rPr>
              <w:t>[f]</w:t>
            </w:r>
            <w:r w:rsidRPr="00CA7301">
              <w:rPr>
                <w:rFonts w:eastAsiaTheme="minorEastAsia" w:cs="Segoe UI"/>
                <w:sz w:val="17"/>
                <w:szCs w:val="17"/>
                <w:lang w:eastAsia="zh-TW"/>
              </w:rPr>
              <w:t>項）為就某銀行集團或須擴大的項目舉例。披露內容應與認可機構資產負債表的複雜程度相當。每</w:t>
            </w:r>
            <w:proofErr w:type="gramStart"/>
            <w:r w:rsidRPr="00CA7301">
              <w:rPr>
                <w:rFonts w:eastAsiaTheme="minorEastAsia" w:cs="Segoe UI"/>
                <w:sz w:val="17"/>
                <w:szCs w:val="17"/>
                <w:lang w:eastAsia="zh-TW"/>
              </w:rPr>
              <w:t>個</w:t>
            </w:r>
            <w:proofErr w:type="gramEnd"/>
            <w:r w:rsidRPr="00CA7301">
              <w:rPr>
                <w:rFonts w:eastAsiaTheme="minorEastAsia" w:cs="Segoe UI"/>
                <w:sz w:val="17"/>
                <w:szCs w:val="17"/>
                <w:lang w:eastAsia="zh-TW"/>
              </w:rPr>
              <w:t>與模版</w:t>
            </w:r>
            <w:r w:rsidRPr="00CA7301">
              <w:rPr>
                <w:rFonts w:cs="Segoe UI"/>
                <w:sz w:val="17"/>
                <w:szCs w:val="17"/>
                <w:lang w:eastAsia="zh-TW"/>
              </w:rPr>
              <w:t>CC1</w:t>
            </w:r>
            <w:r w:rsidRPr="00CA7301">
              <w:rPr>
                <w:rFonts w:eastAsiaTheme="minorEastAsia" w:cs="Segoe UI"/>
                <w:sz w:val="17"/>
                <w:szCs w:val="17"/>
                <w:lang w:eastAsia="zh-TW"/>
              </w:rPr>
              <w:t>內</w:t>
            </w:r>
            <w:r w:rsidRPr="00CA7301">
              <w:rPr>
                <w:rFonts w:cs="Segoe UI"/>
                <w:sz w:val="17"/>
                <w:szCs w:val="17"/>
                <w:lang w:eastAsia="zh-TW"/>
              </w:rPr>
              <w:t>(b)</w:t>
            </w:r>
            <w:r w:rsidRPr="00CA7301">
              <w:rPr>
                <w:rFonts w:eastAsiaTheme="minorEastAsia" w:cs="Segoe UI"/>
                <w:sz w:val="17"/>
                <w:szCs w:val="17"/>
                <w:lang w:eastAsia="zh-TW"/>
              </w:rPr>
              <w:t>欄對應作交叉參照的項目，</w:t>
            </w:r>
            <w:proofErr w:type="gramStart"/>
            <w:r w:rsidRPr="00CA7301">
              <w:rPr>
                <w:rFonts w:eastAsiaTheme="minorEastAsia" w:cs="Segoe UI"/>
                <w:sz w:val="17"/>
                <w:szCs w:val="17"/>
                <w:lang w:eastAsia="zh-TW"/>
              </w:rPr>
              <w:t>均應在</w:t>
            </w:r>
            <w:proofErr w:type="gramEnd"/>
            <w:r w:rsidRPr="00CA7301">
              <w:rPr>
                <w:rFonts w:eastAsiaTheme="minorEastAsia" w:cs="Segoe UI"/>
                <w:sz w:val="17"/>
                <w:szCs w:val="17"/>
                <w:lang w:eastAsia="zh-TW"/>
              </w:rPr>
              <w:t>(c)</w:t>
            </w:r>
            <w:r w:rsidRPr="00CA7301">
              <w:rPr>
                <w:rFonts w:eastAsiaTheme="minorEastAsia" w:cs="Segoe UI"/>
                <w:sz w:val="17"/>
                <w:szCs w:val="17"/>
                <w:lang w:eastAsia="zh-TW"/>
              </w:rPr>
              <w:t>欄內賦予參考編號</w:t>
            </w:r>
            <w:r w:rsidRPr="00CA7301">
              <w:rPr>
                <w:rFonts w:eastAsiaTheme="minorEastAsia" w:cs="Segoe UI"/>
                <w:sz w:val="17"/>
                <w:szCs w:val="17"/>
                <w:lang w:eastAsia="zh-TW"/>
              </w:rPr>
              <w:t>/</w:t>
            </w:r>
            <w:r w:rsidRPr="00CA7301">
              <w:rPr>
                <w:rFonts w:eastAsiaTheme="minorEastAsia" w:cs="Segoe UI"/>
                <w:sz w:val="17"/>
                <w:szCs w:val="17"/>
                <w:lang w:eastAsia="zh-TW"/>
              </w:rPr>
              <w:t>字母。</w:t>
            </w:r>
          </w:p>
        </w:tc>
      </w:tr>
    </w:tbl>
    <w:p w14:paraId="71CE2235" w14:textId="77777777" w:rsidR="009B09FD" w:rsidRPr="00CA7301" w:rsidRDefault="009B09FD" w:rsidP="009B09FD">
      <w:pPr>
        <w:spacing w:before="120" w:after="120"/>
        <w:rPr>
          <w:rFonts w:cs="Segoe UI"/>
          <w:sz w:val="22"/>
          <w:lang w:eastAsia="zh-TW"/>
        </w:rPr>
      </w:pPr>
    </w:p>
    <w:p w14:paraId="0C0336B4" w14:textId="77777777" w:rsidR="009B09FD" w:rsidRPr="00CA7301" w:rsidRDefault="009B09FD">
      <w:pPr>
        <w:rPr>
          <w:rFonts w:eastAsiaTheme="minorEastAsia" w:cs="Segoe UI"/>
          <w:lang w:eastAsia="zh-TW"/>
        </w:rPr>
        <w:sectPr w:rsidR="009B09FD" w:rsidRPr="00CA7301">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851" w:footer="992" w:gutter="0"/>
          <w:cols w:space="425"/>
          <w:docGrid w:type="lines" w:linePitch="360"/>
        </w:sectPr>
      </w:pPr>
    </w:p>
    <w:p w14:paraId="173AA759" w14:textId="1B65C539" w:rsidR="00EB4D73" w:rsidRPr="00ED47B6" w:rsidRDefault="00EB4D73" w:rsidP="00EB4D73">
      <w:pPr>
        <w:pStyle w:val="Heading2"/>
        <w:keepNext w:val="0"/>
        <w:suppressAutoHyphens w:val="0"/>
        <w:spacing w:before="40" w:line="240" w:lineRule="auto"/>
        <w:ind w:left="-454"/>
        <w:rPr>
          <w:rFonts w:ascii="細明體" w:eastAsia="細明體" w:hAnsi="細明體" w:cs="微軟正黑體"/>
          <w:b w:val="0"/>
          <w:bCs w:val="0"/>
          <w:sz w:val="22"/>
          <w:szCs w:val="20"/>
          <w:lang w:eastAsia="zh-TW"/>
        </w:rPr>
      </w:pPr>
      <w:r w:rsidRPr="00ED47B6">
        <w:rPr>
          <w:rFonts w:ascii="細明體" w:eastAsia="細明體" w:hAnsi="細明體" w:cs="微軟正黑體" w:hint="eastAsia"/>
          <w:b w:val="0"/>
          <w:bCs w:val="0"/>
          <w:sz w:val="22"/>
          <w:szCs w:val="20"/>
          <w:lang w:eastAsia="zh-TW"/>
        </w:rPr>
        <w:t>表</w:t>
      </w:r>
      <w:r w:rsidRPr="00ED47B6">
        <w:rPr>
          <w:rFonts w:ascii="Segoe UI" w:eastAsia="細明體" w:hAnsi="Segoe UI" w:cs="Segoe UI"/>
          <w:b w:val="0"/>
          <w:bCs w:val="0"/>
          <w:sz w:val="22"/>
          <w:szCs w:val="20"/>
          <w:lang w:eastAsia="zh-TW"/>
        </w:rPr>
        <w:t>CCA</w:t>
      </w:r>
      <w:r w:rsidRPr="00ED47B6">
        <w:rPr>
          <w:rFonts w:ascii="細明體" w:eastAsia="細明體" w:hAnsi="細明體" w:cs="微軟正黑體" w:hint="eastAsia"/>
          <w:b w:val="0"/>
          <w:bCs w:val="0"/>
          <w:sz w:val="22"/>
          <w:szCs w:val="20"/>
          <w:lang w:eastAsia="zh-TW"/>
        </w:rPr>
        <w:t>：監管資本票據的主要特點</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3F73B0" w:rsidRPr="00CA7301" w14:paraId="7983B9A0" w14:textId="77777777" w:rsidTr="0029639E">
        <w:tc>
          <w:tcPr>
            <w:tcW w:w="2160" w:type="dxa"/>
          </w:tcPr>
          <w:p w14:paraId="1D9A28A7" w14:textId="77777777" w:rsidR="003F73B0" w:rsidRPr="00CA7301" w:rsidRDefault="003F73B0" w:rsidP="003F73B0">
            <w:pPr>
              <w:spacing w:before="40" w:after="40"/>
              <w:rPr>
                <w:rFonts w:cs="Segoe UI"/>
                <w:noProof/>
                <w:sz w:val="17"/>
                <w:lang w:eastAsia="en-GB"/>
              </w:rPr>
            </w:pPr>
            <w:r w:rsidRPr="00CA7301">
              <w:rPr>
                <w:rFonts w:eastAsiaTheme="minorEastAsia" w:cs="Segoe UI"/>
                <w:b/>
                <w:sz w:val="17"/>
                <w:lang w:eastAsia="zh-TW"/>
              </w:rPr>
              <w:t>目的：</w:t>
            </w:r>
          </w:p>
        </w:tc>
        <w:tc>
          <w:tcPr>
            <w:tcW w:w="7088" w:type="dxa"/>
          </w:tcPr>
          <w:p w14:paraId="3E16533A" w14:textId="77777777" w:rsidR="003F73B0" w:rsidRPr="00CA7301" w:rsidRDefault="003F73B0" w:rsidP="003F73B0">
            <w:pPr>
              <w:spacing w:before="40" w:after="40"/>
              <w:jc w:val="both"/>
              <w:rPr>
                <w:rFonts w:eastAsiaTheme="minorEastAsia" w:cs="Segoe UI"/>
                <w:sz w:val="17"/>
                <w:lang w:eastAsia="zh-TW"/>
              </w:rPr>
            </w:pPr>
            <w:r w:rsidRPr="00CA7301">
              <w:rPr>
                <w:rFonts w:eastAsiaTheme="minorEastAsia" w:cs="Segoe UI"/>
                <w:sz w:val="17"/>
                <w:szCs w:val="17"/>
                <w:lang w:eastAsia="zh-TW"/>
              </w:rPr>
              <w:t>提供有關計入作為認可機構監管資本一部分（如適用）的</w:t>
            </w:r>
            <w:r w:rsidRPr="00CA7301">
              <w:rPr>
                <w:rFonts w:eastAsia="新細明體" w:cs="Segoe UI"/>
                <w:sz w:val="17"/>
                <w:lang w:eastAsia="it-IT"/>
              </w:rPr>
              <w:t>普通股權一級</w:t>
            </w:r>
            <w:r w:rsidRPr="00CA7301">
              <w:rPr>
                <w:rFonts w:eastAsia="細明體" w:cs="Segoe UI"/>
                <w:sz w:val="17"/>
                <w:szCs w:val="17"/>
                <w:lang w:eastAsia="zh-TW"/>
              </w:rPr>
              <w:t>資本票據、額外一級資本票據及二級資本票據的主要特點的描述。</w:t>
            </w:r>
          </w:p>
        </w:tc>
      </w:tr>
      <w:tr w:rsidR="003F73B0" w:rsidRPr="00CA7301" w14:paraId="7B7FE1E7" w14:textId="77777777" w:rsidTr="0029639E">
        <w:tc>
          <w:tcPr>
            <w:tcW w:w="2160" w:type="dxa"/>
          </w:tcPr>
          <w:p w14:paraId="4D751BFF" w14:textId="77777777" w:rsidR="003F73B0" w:rsidRPr="00CA7301" w:rsidRDefault="003F73B0" w:rsidP="003F73B0">
            <w:pPr>
              <w:spacing w:before="40" w:after="40"/>
              <w:rPr>
                <w:rFonts w:cs="Segoe UI"/>
                <w:b/>
                <w:sz w:val="17"/>
                <w:lang w:eastAsia="en-GB"/>
              </w:rPr>
            </w:pPr>
            <w:r w:rsidRPr="00CA7301">
              <w:rPr>
                <w:rFonts w:eastAsiaTheme="minorEastAsia" w:cs="Segoe UI"/>
                <w:b/>
                <w:sz w:val="17"/>
                <w:lang w:eastAsia="zh-TW"/>
              </w:rPr>
              <w:t>適用範圍：</w:t>
            </w:r>
          </w:p>
        </w:tc>
        <w:tc>
          <w:tcPr>
            <w:tcW w:w="7088" w:type="dxa"/>
          </w:tcPr>
          <w:p w14:paraId="20BFDCA1" w14:textId="77777777" w:rsidR="003F73B0" w:rsidRPr="00CA7301" w:rsidRDefault="003F73B0" w:rsidP="003F73B0">
            <w:pPr>
              <w:spacing w:before="40" w:after="40"/>
              <w:jc w:val="both"/>
              <w:rPr>
                <w:rFonts w:cs="Segoe UI"/>
                <w:sz w:val="17"/>
                <w:szCs w:val="17"/>
                <w:lang w:eastAsia="zh-TW"/>
              </w:rPr>
            </w:pPr>
            <w:r w:rsidRPr="00CA7301">
              <w:rPr>
                <w:rFonts w:eastAsia="新細明體" w:cs="Segoe UI"/>
                <w:sz w:val="17"/>
                <w:lang w:eastAsia="zh-TW"/>
              </w:rPr>
              <w:t>所有在香港成立</w:t>
            </w:r>
            <w:proofErr w:type="gramStart"/>
            <w:r w:rsidRPr="00CA7301">
              <w:rPr>
                <w:rFonts w:eastAsia="新細明體" w:cs="Segoe UI"/>
                <w:sz w:val="17"/>
                <w:lang w:eastAsia="zh-TW"/>
              </w:rPr>
              <w:t>為法團的</w:t>
            </w:r>
            <w:proofErr w:type="gramEnd"/>
            <w:r w:rsidRPr="00CA7301">
              <w:rPr>
                <w:rFonts w:eastAsia="新細明體" w:cs="Segoe UI"/>
                <w:sz w:val="17"/>
                <w:lang w:eastAsia="zh-TW"/>
              </w:rPr>
              <w:t>認可</w:t>
            </w:r>
            <w:proofErr w:type="gramStart"/>
            <w:r w:rsidRPr="00CA7301">
              <w:rPr>
                <w:rFonts w:eastAsia="新細明體" w:cs="Segoe UI"/>
                <w:sz w:val="17"/>
                <w:lang w:eastAsia="zh-TW"/>
              </w:rPr>
              <w:t>機構均須填報</w:t>
            </w:r>
            <w:proofErr w:type="gramEnd"/>
            <w:r w:rsidRPr="00CA7301">
              <w:rPr>
                <w:rFonts w:eastAsia="新細明體" w:cs="Segoe UI"/>
                <w:sz w:val="17"/>
                <w:lang w:eastAsia="zh-TW"/>
              </w:rPr>
              <w:t>本表。</w:t>
            </w:r>
          </w:p>
        </w:tc>
      </w:tr>
      <w:tr w:rsidR="003F73B0" w:rsidRPr="00CA7301" w14:paraId="3046BF39" w14:textId="77777777" w:rsidTr="0029639E">
        <w:tc>
          <w:tcPr>
            <w:tcW w:w="2160" w:type="dxa"/>
          </w:tcPr>
          <w:p w14:paraId="740A5DD1" w14:textId="77777777" w:rsidR="003F73B0" w:rsidRPr="00CA7301" w:rsidRDefault="003F73B0" w:rsidP="003F73B0">
            <w:pPr>
              <w:spacing w:before="40" w:after="40"/>
              <w:rPr>
                <w:rFonts w:cs="Segoe UI"/>
                <w:b/>
                <w:sz w:val="17"/>
                <w:lang w:eastAsia="en-GB"/>
              </w:rPr>
            </w:pPr>
            <w:r w:rsidRPr="00CA7301">
              <w:rPr>
                <w:rFonts w:eastAsiaTheme="minorEastAsia" w:cs="Segoe UI"/>
                <w:b/>
                <w:sz w:val="17"/>
                <w:lang w:eastAsia="zh-TW"/>
              </w:rPr>
              <w:t>內容：</w:t>
            </w:r>
          </w:p>
        </w:tc>
        <w:tc>
          <w:tcPr>
            <w:tcW w:w="7088" w:type="dxa"/>
          </w:tcPr>
          <w:p w14:paraId="4CBE015A" w14:textId="77777777" w:rsidR="003F73B0" w:rsidRPr="00CA7301" w:rsidRDefault="003F73B0" w:rsidP="003F73B0">
            <w:pPr>
              <w:spacing w:before="40" w:after="40"/>
              <w:jc w:val="both"/>
              <w:rPr>
                <w:rFonts w:cs="Segoe UI"/>
                <w:sz w:val="17"/>
                <w:lang w:eastAsia="zh-TW"/>
              </w:rPr>
            </w:pPr>
            <w:r w:rsidRPr="00CA7301">
              <w:rPr>
                <w:rFonts w:eastAsia="細明體" w:cs="Segoe UI"/>
                <w:sz w:val="17"/>
                <w:lang w:eastAsia="zh-TW"/>
              </w:rPr>
              <w:t>描述資料及量化資料。</w:t>
            </w:r>
          </w:p>
        </w:tc>
      </w:tr>
      <w:tr w:rsidR="003F73B0" w:rsidRPr="00CA7301" w14:paraId="6C3DA4E8" w14:textId="77777777" w:rsidTr="0029639E">
        <w:tc>
          <w:tcPr>
            <w:tcW w:w="2160" w:type="dxa"/>
          </w:tcPr>
          <w:p w14:paraId="2522CC45" w14:textId="77777777" w:rsidR="003F73B0" w:rsidRPr="00CA7301" w:rsidRDefault="003F73B0" w:rsidP="003F73B0">
            <w:pPr>
              <w:spacing w:before="40" w:after="40"/>
              <w:rPr>
                <w:rFonts w:cs="Segoe UI"/>
                <w:sz w:val="17"/>
                <w:lang w:eastAsia="en-GB"/>
              </w:rPr>
            </w:pPr>
            <w:proofErr w:type="spellStart"/>
            <w:r w:rsidRPr="00CA7301">
              <w:rPr>
                <w:rFonts w:eastAsia="細明體" w:cs="Segoe UI"/>
                <w:b/>
                <w:sz w:val="17"/>
              </w:rPr>
              <w:t>頻密程度</w:t>
            </w:r>
            <w:proofErr w:type="spellEnd"/>
            <w:r w:rsidRPr="00CA7301">
              <w:rPr>
                <w:rFonts w:eastAsia="細明體" w:cs="Segoe UI"/>
                <w:b/>
                <w:sz w:val="17"/>
              </w:rPr>
              <w:t>：</w:t>
            </w:r>
          </w:p>
        </w:tc>
        <w:tc>
          <w:tcPr>
            <w:tcW w:w="7088" w:type="dxa"/>
          </w:tcPr>
          <w:p w14:paraId="43032F62" w14:textId="7A8DC0E1" w:rsidR="003F73B0" w:rsidRPr="00CA7301" w:rsidRDefault="003F73B0" w:rsidP="00292EB6">
            <w:pPr>
              <w:spacing w:before="40" w:after="40"/>
              <w:jc w:val="both"/>
              <w:rPr>
                <w:rFonts w:cs="Segoe UI"/>
                <w:sz w:val="17"/>
                <w:lang w:eastAsia="zh-TW"/>
              </w:rPr>
            </w:pPr>
            <w:r w:rsidRPr="00CA7301">
              <w:rPr>
                <w:rFonts w:eastAsiaTheme="minorEastAsia" w:cs="Segoe UI"/>
                <w:sz w:val="17"/>
                <w:lang w:eastAsia="zh-TW"/>
              </w:rPr>
              <w:t>每半年一次。本表應上載於認可機構的互聯網網站（或如獲得金融管理專員批准，上載於</w:t>
            </w:r>
            <w:r w:rsidR="00292EB6" w:rsidRPr="001C68A0">
              <w:rPr>
                <w:rFonts w:asciiTheme="minorEastAsia" w:eastAsiaTheme="minorEastAsia" w:hAnsiTheme="minorEastAsia" w:cs="Segoe UI" w:hint="eastAsia"/>
                <w:sz w:val="17"/>
                <w:szCs w:val="17"/>
                <w:lang w:eastAsia="zh-TW"/>
              </w:rPr>
              <w:t>其控權公司</w:t>
            </w:r>
            <w:r w:rsidRPr="001C68A0">
              <w:rPr>
                <w:rFonts w:asciiTheme="minorEastAsia" w:eastAsiaTheme="minorEastAsia" w:hAnsiTheme="minorEastAsia" w:cs="Segoe UI" w:hint="eastAsia"/>
                <w:sz w:val="17"/>
                <w:szCs w:val="17"/>
                <w:lang w:eastAsia="zh-TW"/>
              </w:rPr>
              <w:t>的</w:t>
            </w:r>
            <w:r w:rsidRPr="00CA7301">
              <w:rPr>
                <w:rFonts w:eastAsiaTheme="minorEastAsia" w:cs="Segoe UI"/>
                <w:sz w:val="17"/>
                <w:lang w:eastAsia="zh-TW"/>
              </w:rPr>
              <w:t>互聯網網站）。每當有資本票據被發行或被償還，或有資本票據被計入或剔出認可機構的資本基礎，以及每當相關票據被贖回、轉換或降低價值，或其性質有任何其他重大改變，均應予以更新。認可機構應於每份披露聲明中載入網頁連結，以接通於對上一個期內的發行資料。</w:t>
            </w:r>
          </w:p>
        </w:tc>
      </w:tr>
      <w:tr w:rsidR="003F73B0" w:rsidRPr="00CA7301" w14:paraId="476ED897" w14:textId="77777777" w:rsidTr="0029639E">
        <w:tc>
          <w:tcPr>
            <w:tcW w:w="2160" w:type="dxa"/>
          </w:tcPr>
          <w:p w14:paraId="13EC3E1D" w14:textId="77777777" w:rsidR="003F73B0" w:rsidRPr="00CA7301" w:rsidRDefault="003F73B0" w:rsidP="003F73B0">
            <w:pPr>
              <w:spacing w:before="40" w:after="40"/>
              <w:rPr>
                <w:rFonts w:cs="Segoe UI"/>
                <w:sz w:val="17"/>
                <w:lang w:eastAsia="en-GB"/>
              </w:rPr>
            </w:pPr>
            <w:r w:rsidRPr="00CA7301">
              <w:rPr>
                <w:rFonts w:eastAsiaTheme="minorEastAsia" w:cs="Segoe UI"/>
                <w:b/>
                <w:sz w:val="17"/>
                <w:lang w:eastAsia="zh-TW"/>
              </w:rPr>
              <w:t>格式：</w:t>
            </w:r>
          </w:p>
        </w:tc>
        <w:tc>
          <w:tcPr>
            <w:tcW w:w="7088" w:type="dxa"/>
          </w:tcPr>
          <w:p w14:paraId="69178C50" w14:textId="77777777" w:rsidR="003F73B0" w:rsidRPr="00CA7301" w:rsidRDefault="003F73B0" w:rsidP="003F73B0">
            <w:pPr>
              <w:spacing w:before="40" w:after="40"/>
              <w:jc w:val="both"/>
              <w:rPr>
                <w:rFonts w:cs="Segoe UI"/>
                <w:sz w:val="17"/>
                <w:lang w:eastAsia="en-GB"/>
              </w:rPr>
            </w:pPr>
            <w:r w:rsidRPr="00CA7301">
              <w:rPr>
                <w:rFonts w:eastAsiaTheme="minorEastAsia" w:cs="Segoe UI"/>
                <w:sz w:val="17"/>
                <w:lang w:eastAsia="zh-TW"/>
              </w:rPr>
              <w:t>非固定。</w:t>
            </w:r>
          </w:p>
        </w:tc>
      </w:tr>
      <w:tr w:rsidR="003F73B0" w:rsidRPr="00CA7301" w14:paraId="7A71C81A" w14:textId="77777777" w:rsidTr="0029639E">
        <w:tc>
          <w:tcPr>
            <w:tcW w:w="2160" w:type="dxa"/>
          </w:tcPr>
          <w:p w14:paraId="0277F88B" w14:textId="77777777" w:rsidR="003F73B0" w:rsidRPr="00CA7301" w:rsidRDefault="003F73B0" w:rsidP="003F73B0">
            <w:pPr>
              <w:spacing w:before="40" w:after="40"/>
              <w:rPr>
                <w:rFonts w:cs="Segoe UI"/>
                <w:szCs w:val="17"/>
              </w:rPr>
            </w:pPr>
            <w:r w:rsidRPr="00CA7301">
              <w:rPr>
                <w:rFonts w:eastAsiaTheme="minorEastAsia" w:cs="Segoe UI"/>
                <w:b/>
                <w:sz w:val="17"/>
                <w:lang w:eastAsia="zh-TW"/>
              </w:rPr>
              <w:t>附加說明：</w:t>
            </w:r>
          </w:p>
        </w:tc>
        <w:tc>
          <w:tcPr>
            <w:tcW w:w="7088" w:type="dxa"/>
          </w:tcPr>
          <w:p w14:paraId="4F869E3F" w14:textId="77777777" w:rsidR="003F73B0" w:rsidRPr="00CA7301" w:rsidRDefault="003F73B0" w:rsidP="003F73B0">
            <w:pPr>
              <w:spacing w:before="40" w:after="40"/>
              <w:jc w:val="both"/>
              <w:rPr>
                <w:rFonts w:cs="Segoe UI"/>
                <w:sz w:val="17"/>
                <w:lang w:eastAsia="zh-TW"/>
              </w:rPr>
            </w:pPr>
            <w:r w:rsidRPr="00CA7301">
              <w:rPr>
                <w:rFonts w:eastAsiaTheme="minorEastAsia" w:cs="Segoe UI"/>
                <w:sz w:val="17"/>
                <w:lang w:eastAsia="zh-TW"/>
              </w:rPr>
              <w:t>計入認可機構監管資本內所有票據的</w:t>
            </w:r>
            <w:r w:rsidRPr="00CA7301">
              <w:rPr>
                <w:rFonts w:eastAsia="細明體" w:cs="Segoe UI"/>
                <w:sz w:val="17"/>
                <w:lang w:eastAsia="zh-TW"/>
              </w:rPr>
              <w:t>全部條款及條件，</w:t>
            </w:r>
            <w:proofErr w:type="gramStart"/>
            <w:r w:rsidRPr="00CA7301">
              <w:rPr>
                <w:rFonts w:eastAsia="細明體" w:cs="Segoe UI"/>
                <w:sz w:val="17"/>
                <w:lang w:eastAsia="zh-TW"/>
              </w:rPr>
              <w:t>均應載</w:t>
            </w:r>
            <w:proofErr w:type="gramEnd"/>
            <w:r w:rsidRPr="00CA7301">
              <w:rPr>
                <w:rFonts w:eastAsia="細明體" w:cs="Segoe UI"/>
                <w:sz w:val="17"/>
                <w:lang w:eastAsia="zh-TW"/>
              </w:rPr>
              <w:t>於其互聯網</w:t>
            </w:r>
            <w:r w:rsidRPr="00CA7301">
              <w:rPr>
                <w:rFonts w:eastAsiaTheme="minorEastAsia" w:cs="Segoe UI"/>
                <w:sz w:val="17"/>
                <w:lang w:eastAsia="zh-TW"/>
              </w:rPr>
              <w:t>網站</w:t>
            </w:r>
            <w:r w:rsidRPr="00CA7301">
              <w:rPr>
                <w:rFonts w:eastAsia="細明體" w:cs="Segoe UI"/>
                <w:sz w:val="17"/>
                <w:lang w:eastAsia="zh-TW"/>
              </w:rPr>
              <w:t>。</w:t>
            </w:r>
          </w:p>
        </w:tc>
      </w:tr>
      <w:tr w:rsidR="003F73B0" w:rsidRPr="00CA7301" w14:paraId="313A9AE0" w14:textId="77777777" w:rsidTr="0029639E">
        <w:tc>
          <w:tcPr>
            <w:tcW w:w="2160" w:type="dxa"/>
          </w:tcPr>
          <w:p w14:paraId="7A168FE4" w14:textId="77777777" w:rsidR="003F73B0" w:rsidRPr="00CA7301" w:rsidRDefault="003F73B0" w:rsidP="003F73B0">
            <w:pPr>
              <w:spacing w:before="40" w:after="40"/>
              <w:rPr>
                <w:rFonts w:cs="Segoe UI"/>
                <w:b/>
                <w:sz w:val="17"/>
                <w:lang w:eastAsia="zh-TW"/>
              </w:rPr>
            </w:pPr>
            <w:r w:rsidRPr="00CA7301">
              <w:rPr>
                <w:rFonts w:eastAsia="細明體" w:cs="Segoe UI"/>
                <w:b/>
                <w:sz w:val="17"/>
                <w:lang w:eastAsia="zh-TW"/>
              </w:rPr>
              <w:t>《披露規則》相應條文：</w:t>
            </w:r>
          </w:p>
        </w:tc>
        <w:tc>
          <w:tcPr>
            <w:tcW w:w="7088" w:type="dxa"/>
          </w:tcPr>
          <w:p w14:paraId="4E9B272C" w14:textId="77777777" w:rsidR="003F73B0" w:rsidRPr="00CA7301" w:rsidRDefault="003F73B0" w:rsidP="003F73B0">
            <w:pPr>
              <w:spacing w:before="40" w:after="40"/>
              <w:jc w:val="both"/>
              <w:rPr>
                <w:rFonts w:eastAsiaTheme="minorEastAsia" w:cs="Segoe UI"/>
                <w:sz w:val="17"/>
                <w:lang w:eastAsia="zh-TW"/>
              </w:rPr>
            </w:pPr>
            <w:r w:rsidRPr="00CA7301">
              <w:rPr>
                <w:rFonts w:eastAsiaTheme="minorEastAsia" w:cs="Segoe UI"/>
                <w:sz w:val="17"/>
                <w:lang w:eastAsia="zh-TW"/>
              </w:rPr>
              <w:t>16FE</w:t>
            </w:r>
          </w:p>
        </w:tc>
      </w:tr>
    </w:tbl>
    <w:p w14:paraId="30545FB0" w14:textId="77777777" w:rsidR="003F73B0" w:rsidRPr="00CA7301" w:rsidRDefault="003F73B0" w:rsidP="003F73B0">
      <w:pPr>
        <w:rPr>
          <w:rFonts w:cs="Segoe UI"/>
        </w:rPr>
      </w:pPr>
    </w:p>
    <w:tbl>
      <w:tblPr>
        <w:tblStyle w:val="TableGrid5"/>
        <w:tblW w:w="9214" w:type="dxa"/>
        <w:tblInd w:w="-459" w:type="dxa"/>
        <w:tblBorders>
          <w:left w:val="none" w:sz="0" w:space="0" w:color="auto"/>
          <w:right w:val="none" w:sz="0" w:space="0" w:color="auto"/>
        </w:tblBorders>
        <w:tblLook w:val="04A0" w:firstRow="1" w:lastRow="0" w:firstColumn="1" w:lastColumn="0" w:noHBand="0" w:noVBand="1"/>
      </w:tblPr>
      <w:tblGrid>
        <w:gridCol w:w="486"/>
        <w:gridCol w:w="6471"/>
        <w:gridCol w:w="2257"/>
      </w:tblGrid>
      <w:tr w:rsidR="003F73B0" w:rsidRPr="00CA7301" w14:paraId="4BD14CC7" w14:textId="77777777" w:rsidTr="00877D8D">
        <w:trPr>
          <w:trHeight w:val="203"/>
          <w:tblHeader/>
        </w:trPr>
        <w:tc>
          <w:tcPr>
            <w:tcW w:w="486" w:type="dxa"/>
            <w:tcBorders>
              <w:top w:val="nil"/>
              <w:bottom w:val="nil"/>
              <w:right w:val="nil"/>
            </w:tcBorders>
          </w:tcPr>
          <w:p w14:paraId="2FE7B463" w14:textId="77777777" w:rsidR="003F73B0" w:rsidRPr="00CA7301" w:rsidRDefault="003F73B0" w:rsidP="003F73B0">
            <w:pPr>
              <w:rPr>
                <w:rFonts w:cs="Segoe UI"/>
                <w:sz w:val="17"/>
                <w:szCs w:val="17"/>
              </w:rPr>
            </w:pPr>
          </w:p>
        </w:tc>
        <w:tc>
          <w:tcPr>
            <w:tcW w:w="6471" w:type="dxa"/>
            <w:tcBorders>
              <w:top w:val="nil"/>
              <w:left w:val="nil"/>
              <w:bottom w:val="nil"/>
            </w:tcBorders>
          </w:tcPr>
          <w:p w14:paraId="66FFFE72" w14:textId="77777777" w:rsidR="003F73B0" w:rsidRPr="00CA7301" w:rsidRDefault="003F73B0" w:rsidP="003F73B0">
            <w:pPr>
              <w:rPr>
                <w:rFonts w:cs="Segoe UI"/>
                <w:sz w:val="17"/>
                <w:szCs w:val="17"/>
              </w:rPr>
            </w:pPr>
          </w:p>
        </w:tc>
        <w:tc>
          <w:tcPr>
            <w:tcW w:w="2257" w:type="dxa"/>
            <w:tcBorders>
              <w:top w:val="single" w:sz="4" w:space="0" w:color="auto"/>
              <w:right w:val="single" w:sz="4" w:space="0" w:color="auto"/>
            </w:tcBorders>
            <w:vAlign w:val="center"/>
          </w:tcPr>
          <w:p w14:paraId="05D15C5F" w14:textId="77777777" w:rsidR="003F73B0" w:rsidRPr="00CA7301" w:rsidRDefault="003F73B0" w:rsidP="003F73B0">
            <w:pPr>
              <w:snapToGrid w:val="0"/>
              <w:spacing w:before="40" w:after="40"/>
              <w:jc w:val="center"/>
              <w:rPr>
                <w:rFonts w:cs="Segoe UI"/>
                <w:sz w:val="17"/>
                <w:szCs w:val="17"/>
              </w:rPr>
            </w:pPr>
            <w:r w:rsidRPr="00CA7301">
              <w:rPr>
                <w:rFonts w:cs="Segoe UI"/>
                <w:sz w:val="17"/>
                <w:szCs w:val="17"/>
              </w:rPr>
              <w:t>(a)</w:t>
            </w:r>
          </w:p>
        </w:tc>
      </w:tr>
      <w:tr w:rsidR="003F73B0" w:rsidRPr="00CA7301" w14:paraId="36D86B58" w14:textId="77777777" w:rsidTr="00877D8D">
        <w:trPr>
          <w:tblHeader/>
        </w:trPr>
        <w:tc>
          <w:tcPr>
            <w:tcW w:w="486" w:type="dxa"/>
            <w:tcBorders>
              <w:top w:val="nil"/>
              <w:right w:val="nil"/>
            </w:tcBorders>
          </w:tcPr>
          <w:p w14:paraId="377B44D6" w14:textId="77777777" w:rsidR="003F73B0" w:rsidRPr="00CA7301" w:rsidRDefault="003F73B0" w:rsidP="003F73B0">
            <w:pPr>
              <w:rPr>
                <w:rFonts w:cs="Segoe UI"/>
                <w:sz w:val="17"/>
                <w:szCs w:val="17"/>
              </w:rPr>
            </w:pPr>
          </w:p>
        </w:tc>
        <w:tc>
          <w:tcPr>
            <w:tcW w:w="6471" w:type="dxa"/>
            <w:tcBorders>
              <w:top w:val="nil"/>
              <w:left w:val="nil"/>
            </w:tcBorders>
          </w:tcPr>
          <w:p w14:paraId="0F0C97B8" w14:textId="77777777" w:rsidR="003F73B0" w:rsidRPr="00CA7301" w:rsidRDefault="003F73B0" w:rsidP="003F73B0">
            <w:pPr>
              <w:rPr>
                <w:rFonts w:cs="Segoe UI"/>
                <w:sz w:val="17"/>
                <w:szCs w:val="17"/>
              </w:rPr>
            </w:pPr>
          </w:p>
        </w:tc>
        <w:tc>
          <w:tcPr>
            <w:tcW w:w="2257" w:type="dxa"/>
            <w:tcBorders>
              <w:right w:val="single" w:sz="4" w:space="0" w:color="auto"/>
            </w:tcBorders>
          </w:tcPr>
          <w:p w14:paraId="71251661" w14:textId="77777777" w:rsidR="003F73B0" w:rsidRPr="00CA7301" w:rsidRDefault="003F73B0" w:rsidP="003F73B0">
            <w:pPr>
              <w:snapToGrid w:val="0"/>
              <w:spacing w:before="40" w:after="40"/>
              <w:jc w:val="center"/>
              <w:rPr>
                <w:rFonts w:cs="Segoe UI"/>
                <w:b/>
                <w:sz w:val="17"/>
                <w:szCs w:val="17"/>
              </w:rPr>
            </w:pPr>
            <w:proofErr w:type="spellStart"/>
            <w:r w:rsidRPr="00CA7301">
              <w:rPr>
                <w:rFonts w:eastAsia="細明體" w:cs="Segoe UI"/>
                <w:b/>
                <w:sz w:val="17"/>
                <w:szCs w:val="17"/>
              </w:rPr>
              <w:t>量化資料</w:t>
            </w:r>
            <w:proofErr w:type="spellEnd"/>
            <w:r w:rsidRPr="00CA7301">
              <w:rPr>
                <w:rFonts w:eastAsia="細明體" w:cs="Segoe UI"/>
                <w:b/>
                <w:sz w:val="17"/>
                <w:szCs w:val="17"/>
                <w:lang w:eastAsia="zh-TW"/>
              </w:rPr>
              <w:t xml:space="preserve"> / </w:t>
            </w:r>
            <w:proofErr w:type="spellStart"/>
            <w:r w:rsidRPr="00CA7301">
              <w:rPr>
                <w:rFonts w:eastAsia="細明體" w:cs="Segoe UI"/>
                <w:b/>
                <w:sz w:val="17"/>
                <w:szCs w:val="17"/>
              </w:rPr>
              <w:t>描述資料</w:t>
            </w:r>
            <w:proofErr w:type="spellEnd"/>
          </w:p>
        </w:tc>
      </w:tr>
      <w:tr w:rsidR="003F73B0" w:rsidRPr="00CA7301" w14:paraId="0E9DDDA8" w14:textId="77777777" w:rsidTr="00877D8D">
        <w:tc>
          <w:tcPr>
            <w:tcW w:w="486" w:type="dxa"/>
          </w:tcPr>
          <w:p w14:paraId="279ADC39" w14:textId="77777777" w:rsidR="003F73B0" w:rsidRPr="00CA7301" w:rsidRDefault="003F73B0" w:rsidP="003F73B0">
            <w:pPr>
              <w:rPr>
                <w:rFonts w:cs="Segoe UI"/>
                <w:sz w:val="17"/>
                <w:szCs w:val="17"/>
              </w:rPr>
            </w:pPr>
            <w:r w:rsidRPr="00CA7301">
              <w:rPr>
                <w:rFonts w:cs="Segoe UI"/>
                <w:sz w:val="17"/>
                <w:szCs w:val="17"/>
              </w:rPr>
              <w:t>1</w:t>
            </w:r>
          </w:p>
        </w:tc>
        <w:tc>
          <w:tcPr>
            <w:tcW w:w="6471" w:type="dxa"/>
          </w:tcPr>
          <w:p w14:paraId="7AFF3498" w14:textId="77777777" w:rsidR="003F73B0" w:rsidRPr="00CA7301" w:rsidRDefault="003F73B0" w:rsidP="003F73B0">
            <w:pPr>
              <w:rPr>
                <w:rFonts w:cs="Segoe UI"/>
                <w:sz w:val="17"/>
                <w:szCs w:val="17"/>
              </w:rPr>
            </w:pPr>
            <w:proofErr w:type="spellStart"/>
            <w:r w:rsidRPr="00CA7301">
              <w:rPr>
                <w:rFonts w:eastAsia="細明體" w:cs="Segoe UI"/>
                <w:sz w:val="17"/>
                <w:szCs w:val="17"/>
              </w:rPr>
              <w:t>發行人</w:t>
            </w:r>
            <w:proofErr w:type="spellEnd"/>
          </w:p>
        </w:tc>
        <w:tc>
          <w:tcPr>
            <w:tcW w:w="2257" w:type="dxa"/>
            <w:tcBorders>
              <w:right w:val="single" w:sz="4" w:space="0" w:color="auto"/>
            </w:tcBorders>
          </w:tcPr>
          <w:p w14:paraId="2B91ACC5" w14:textId="77777777" w:rsidR="003F73B0" w:rsidRPr="00CA7301" w:rsidRDefault="003F73B0" w:rsidP="003F73B0">
            <w:pPr>
              <w:rPr>
                <w:rFonts w:cs="Segoe UI"/>
                <w:sz w:val="17"/>
                <w:szCs w:val="17"/>
              </w:rPr>
            </w:pPr>
          </w:p>
        </w:tc>
      </w:tr>
      <w:tr w:rsidR="003F73B0" w:rsidRPr="00CA7301" w14:paraId="3A5483AD" w14:textId="77777777" w:rsidTr="00877D8D">
        <w:tc>
          <w:tcPr>
            <w:tcW w:w="486" w:type="dxa"/>
          </w:tcPr>
          <w:p w14:paraId="594D3292" w14:textId="77777777" w:rsidR="003F73B0" w:rsidRPr="00CA7301" w:rsidRDefault="003F73B0" w:rsidP="003F73B0">
            <w:pPr>
              <w:rPr>
                <w:rFonts w:cs="Segoe UI"/>
                <w:sz w:val="17"/>
                <w:szCs w:val="17"/>
              </w:rPr>
            </w:pPr>
            <w:r w:rsidRPr="00CA7301">
              <w:rPr>
                <w:rFonts w:cs="Segoe UI"/>
                <w:sz w:val="17"/>
                <w:szCs w:val="17"/>
              </w:rPr>
              <w:t>2</w:t>
            </w:r>
          </w:p>
        </w:tc>
        <w:tc>
          <w:tcPr>
            <w:tcW w:w="6471" w:type="dxa"/>
          </w:tcPr>
          <w:p w14:paraId="019A0241" w14:textId="77777777" w:rsidR="003F73B0" w:rsidRPr="00CA7301" w:rsidRDefault="003F73B0" w:rsidP="003F73B0">
            <w:pPr>
              <w:rPr>
                <w:rFonts w:cs="Segoe UI"/>
                <w:sz w:val="17"/>
                <w:szCs w:val="17"/>
                <w:lang w:eastAsia="zh-TW"/>
              </w:rPr>
            </w:pPr>
            <w:r w:rsidRPr="00CA7301">
              <w:rPr>
                <w:rFonts w:eastAsia="細明體" w:cs="Segoe UI"/>
                <w:sz w:val="17"/>
                <w:szCs w:val="17"/>
                <w:lang w:eastAsia="zh-TW"/>
              </w:rPr>
              <w:t>獨有識別碼</w:t>
            </w:r>
            <w:r w:rsidRPr="00CA7301">
              <w:rPr>
                <w:rFonts w:eastAsiaTheme="minorEastAsia" w:cs="Segoe UI"/>
                <w:sz w:val="17"/>
                <w:szCs w:val="17"/>
                <w:lang w:eastAsia="zh-TW"/>
              </w:rPr>
              <w:t>（</w:t>
            </w:r>
            <w:r w:rsidRPr="00CA7301">
              <w:rPr>
                <w:rFonts w:eastAsia="細明體" w:cs="Segoe UI"/>
                <w:sz w:val="17"/>
                <w:szCs w:val="17"/>
                <w:lang w:eastAsia="zh-TW"/>
              </w:rPr>
              <w:t>如</w:t>
            </w:r>
            <w:r w:rsidRPr="00CA7301">
              <w:rPr>
                <w:rFonts w:cs="Segoe UI"/>
                <w:sz w:val="17"/>
                <w:szCs w:val="17"/>
                <w:lang w:eastAsia="zh-TW"/>
              </w:rPr>
              <w:t>CUSIP</w:t>
            </w:r>
            <w:r w:rsidRPr="00CA7301">
              <w:rPr>
                <w:rFonts w:eastAsia="細明體" w:cs="Segoe UI"/>
                <w:sz w:val="17"/>
                <w:szCs w:val="17"/>
                <w:lang w:eastAsia="zh-TW"/>
              </w:rPr>
              <w:t>、</w:t>
            </w:r>
            <w:r w:rsidRPr="00CA7301">
              <w:rPr>
                <w:rFonts w:cs="Segoe UI"/>
                <w:sz w:val="17"/>
                <w:szCs w:val="17"/>
                <w:lang w:eastAsia="zh-TW"/>
              </w:rPr>
              <w:t>ISIN</w:t>
            </w:r>
            <w:r w:rsidRPr="00CA7301">
              <w:rPr>
                <w:rFonts w:eastAsia="細明體" w:cs="Segoe UI"/>
                <w:sz w:val="17"/>
                <w:szCs w:val="17"/>
                <w:lang w:eastAsia="zh-TW"/>
              </w:rPr>
              <w:t>或</w:t>
            </w:r>
            <w:r w:rsidRPr="00CA7301">
              <w:rPr>
                <w:rFonts w:cs="Segoe UI"/>
                <w:sz w:val="17"/>
                <w:szCs w:val="17"/>
                <w:lang w:eastAsia="zh-TW"/>
              </w:rPr>
              <w:t>Bloomberg</w:t>
            </w:r>
            <w:r w:rsidRPr="00CA7301">
              <w:rPr>
                <w:rFonts w:eastAsia="細明體" w:cs="Segoe UI"/>
                <w:sz w:val="17"/>
                <w:szCs w:val="17"/>
                <w:lang w:eastAsia="zh-TW"/>
              </w:rPr>
              <w:t>對私人配售的識別碼</w:t>
            </w:r>
            <w:r w:rsidRPr="00CA7301">
              <w:rPr>
                <w:rFonts w:eastAsiaTheme="minorEastAsia" w:cs="Segoe UI"/>
                <w:sz w:val="17"/>
                <w:szCs w:val="17"/>
                <w:lang w:eastAsia="zh-TW"/>
              </w:rPr>
              <w:t>）</w:t>
            </w:r>
          </w:p>
        </w:tc>
        <w:tc>
          <w:tcPr>
            <w:tcW w:w="2257" w:type="dxa"/>
            <w:tcBorders>
              <w:right w:val="single" w:sz="4" w:space="0" w:color="auto"/>
            </w:tcBorders>
          </w:tcPr>
          <w:p w14:paraId="0C552AB8" w14:textId="77777777" w:rsidR="003F73B0" w:rsidRPr="00CA7301" w:rsidRDefault="003F73B0" w:rsidP="003F73B0">
            <w:pPr>
              <w:rPr>
                <w:rFonts w:cs="Segoe UI"/>
                <w:sz w:val="17"/>
                <w:szCs w:val="17"/>
                <w:lang w:eastAsia="zh-TW"/>
              </w:rPr>
            </w:pPr>
          </w:p>
        </w:tc>
      </w:tr>
      <w:tr w:rsidR="003F73B0" w:rsidRPr="00CA7301" w14:paraId="0D9B50F3" w14:textId="77777777" w:rsidTr="00877D8D">
        <w:tc>
          <w:tcPr>
            <w:tcW w:w="486" w:type="dxa"/>
          </w:tcPr>
          <w:p w14:paraId="574C56FB" w14:textId="77777777" w:rsidR="003F73B0" w:rsidRPr="00CA7301" w:rsidRDefault="003F73B0" w:rsidP="003F73B0">
            <w:pPr>
              <w:rPr>
                <w:rFonts w:cs="Segoe UI"/>
                <w:sz w:val="17"/>
                <w:szCs w:val="17"/>
              </w:rPr>
            </w:pPr>
            <w:r w:rsidRPr="00CA7301">
              <w:rPr>
                <w:rFonts w:cs="Segoe UI"/>
                <w:sz w:val="17"/>
                <w:szCs w:val="17"/>
              </w:rPr>
              <w:t>3</w:t>
            </w:r>
          </w:p>
        </w:tc>
        <w:tc>
          <w:tcPr>
            <w:tcW w:w="6471" w:type="dxa"/>
          </w:tcPr>
          <w:p w14:paraId="26B1B626" w14:textId="77777777" w:rsidR="003F73B0" w:rsidRPr="00CA7301" w:rsidRDefault="003F73B0" w:rsidP="003F73B0">
            <w:pPr>
              <w:rPr>
                <w:rFonts w:cs="Segoe UI"/>
                <w:sz w:val="17"/>
                <w:szCs w:val="17"/>
              </w:rPr>
            </w:pPr>
            <w:proofErr w:type="spellStart"/>
            <w:r w:rsidRPr="00CA7301">
              <w:rPr>
                <w:rFonts w:eastAsia="細明體" w:cs="Segoe UI"/>
                <w:sz w:val="17"/>
                <w:szCs w:val="17"/>
              </w:rPr>
              <w:t>票據的管限法律</w:t>
            </w:r>
            <w:proofErr w:type="spellEnd"/>
          </w:p>
        </w:tc>
        <w:tc>
          <w:tcPr>
            <w:tcW w:w="2257" w:type="dxa"/>
            <w:tcBorders>
              <w:right w:val="single" w:sz="4" w:space="0" w:color="auto"/>
            </w:tcBorders>
          </w:tcPr>
          <w:p w14:paraId="0AA596EA" w14:textId="77777777" w:rsidR="003F73B0" w:rsidRPr="00CA7301" w:rsidRDefault="003F73B0" w:rsidP="003F73B0">
            <w:pPr>
              <w:rPr>
                <w:rFonts w:cs="Segoe UI"/>
                <w:sz w:val="17"/>
                <w:szCs w:val="17"/>
              </w:rPr>
            </w:pPr>
          </w:p>
        </w:tc>
      </w:tr>
      <w:tr w:rsidR="003F73B0" w:rsidRPr="00CA7301" w14:paraId="6097D826" w14:textId="77777777" w:rsidTr="00877D8D">
        <w:tc>
          <w:tcPr>
            <w:tcW w:w="486" w:type="dxa"/>
            <w:shd w:val="clear" w:color="auto" w:fill="auto"/>
          </w:tcPr>
          <w:p w14:paraId="1A7D27C3" w14:textId="77777777" w:rsidR="003F73B0" w:rsidRPr="00CA7301" w:rsidRDefault="003F73B0" w:rsidP="003F73B0">
            <w:pPr>
              <w:rPr>
                <w:rFonts w:cs="Segoe UI"/>
                <w:sz w:val="17"/>
                <w:szCs w:val="17"/>
              </w:rPr>
            </w:pPr>
          </w:p>
        </w:tc>
        <w:tc>
          <w:tcPr>
            <w:tcW w:w="6471" w:type="dxa"/>
            <w:shd w:val="clear" w:color="auto" w:fill="auto"/>
          </w:tcPr>
          <w:p w14:paraId="4E6B2121" w14:textId="77777777" w:rsidR="003F73B0" w:rsidRPr="00CA7301" w:rsidRDefault="003F73B0" w:rsidP="003F73B0">
            <w:pPr>
              <w:rPr>
                <w:rFonts w:cs="Segoe UI"/>
                <w:i/>
                <w:sz w:val="17"/>
                <w:szCs w:val="17"/>
              </w:rPr>
            </w:pPr>
            <w:proofErr w:type="spellStart"/>
            <w:r w:rsidRPr="00CA7301">
              <w:rPr>
                <w:rFonts w:eastAsia="細明體" w:cs="Segoe UI"/>
                <w:i/>
                <w:sz w:val="17"/>
                <w:szCs w:val="17"/>
              </w:rPr>
              <w:t>監管處理方法</w:t>
            </w:r>
            <w:proofErr w:type="spellEnd"/>
          </w:p>
        </w:tc>
        <w:tc>
          <w:tcPr>
            <w:tcW w:w="2257" w:type="dxa"/>
            <w:tcBorders>
              <w:right w:val="single" w:sz="4" w:space="0" w:color="auto"/>
            </w:tcBorders>
            <w:shd w:val="clear" w:color="auto" w:fill="auto"/>
          </w:tcPr>
          <w:p w14:paraId="7EE2DF27" w14:textId="77777777" w:rsidR="003F73B0" w:rsidRPr="00CA7301" w:rsidRDefault="003F73B0" w:rsidP="003F73B0">
            <w:pPr>
              <w:rPr>
                <w:rFonts w:cs="Segoe UI"/>
                <w:sz w:val="17"/>
                <w:szCs w:val="17"/>
              </w:rPr>
            </w:pPr>
          </w:p>
        </w:tc>
      </w:tr>
      <w:tr w:rsidR="003F73B0" w:rsidRPr="00CA7301" w14:paraId="7BED7363" w14:textId="77777777" w:rsidTr="00B0477A">
        <w:tc>
          <w:tcPr>
            <w:tcW w:w="486" w:type="dxa"/>
          </w:tcPr>
          <w:p w14:paraId="3C4C02BF" w14:textId="77777777" w:rsidR="003F73B0" w:rsidRPr="00CA7301" w:rsidRDefault="003F73B0" w:rsidP="003F73B0">
            <w:pPr>
              <w:rPr>
                <w:rFonts w:cs="Segoe UI"/>
                <w:sz w:val="17"/>
                <w:szCs w:val="17"/>
              </w:rPr>
            </w:pPr>
            <w:r w:rsidRPr="00CA7301">
              <w:rPr>
                <w:rFonts w:cs="Segoe UI"/>
                <w:sz w:val="17"/>
                <w:szCs w:val="17"/>
              </w:rPr>
              <w:t>4</w:t>
            </w:r>
          </w:p>
        </w:tc>
        <w:tc>
          <w:tcPr>
            <w:tcW w:w="6471" w:type="dxa"/>
          </w:tcPr>
          <w:p w14:paraId="4B12242A" w14:textId="2B2D8295" w:rsidR="003F73B0" w:rsidRPr="00CA7301" w:rsidRDefault="003F73B0" w:rsidP="001D1285">
            <w:pPr>
              <w:ind w:leftChars="165" w:left="330"/>
              <w:rPr>
                <w:rFonts w:cs="Segoe UI"/>
                <w:sz w:val="17"/>
                <w:szCs w:val="17"/>
                <w:lang w:eastAsia="zh-TW"/>
              </w:rPr>
            </w:pPr>
            <w:r w:rsidRPr="00CA7301">
              <w:rPr>
                <w:rFonts w:eastAsia="細明體" w:cs="Segoe UI"/>
                <w:sz w:val="17"/>
                <w:szCs w:val="17"/>
                <w:lang w:eastAsia="zh-TW"/>
              </w:rPr>
              <w:t>《巴塞爾協定三》過渡期規則</w:t>
            </w:r>
          </w:p>
        </w:tc>
        <w:tc>
          <w:tcPr>
            <w:tcW w:w="2257" w:type="dxa"/>
            <w:tcBorders>
              <w:right w:val="single" w:sz="4" w:space="0" w:color="auto"/>
            </w:tcBorders>
            <w:shd w:val="clear" w:color="auto" w:fill="D9D9D9" w:themeFill="background1" w:themeFillShade="D9"/>
          </w:tcPr>
          <w:p w14:paraId="120243BD" w14:textId="7858EF00" w:rsidR="003F73B0" w:rsidRPr="00B0477A" w:rsidRDefault="001D1285" w:rsidP="00B0477A">
            <w:pPr>
              <w:jc w:val="center"/>
              <w:rPr>
                <w:rFonts w:ascii="細明體" w:eastAsia="細明體" w:hAnsi="細明體" w:cs="Segoe UI"/>
                <w:sz w:val="17"/>
                <w:szCs w:val="17"/>
                <w:lang w:eastAsia="zh-TW"/>
              </w:rPr>
            </w:pPr>
            <w:r w:rsidRPr="00B0477A">
              <w:rPr>
                <w:rFonts w:ascii="細明體" w:eastAsia="細明體" w:hAnsi="細明體" w:cs="微軟正黑體" w:hint="eastAsia"/>
                <w:sz w:val="17"/>
                <w:szCs w:val="17"/>
                <w:lang w:eastAsia="zh-TW"/>
              </w:rPr>
              <w:t>不適用</w:t>
            </w:r>
          </w:p>
        </w:tc>
      </w:tr>
      <w:tr w:rsidR="003F73B0" w:rsidRPr="00CA7301" w14:paraId="6A56B3E7" w14:textId="77777777" w:rsidTr="00877D8D">
        <w:tc>
          <w:tcPr>
            <w:tcW w:w="486" w:type="dxa"/>
          </w:tcPr>
          <w:p w14:paraId="5F7092FA" w14:textId="77777777" w:rsidR="003F73B0" w:rsidRPr="00CA7301" w:rsidRDefault="003F73B0" w:rsidP="003F73B0">
            <w:pPr>
              <w:rPr>
                <w:rFonts w:cs="Segoe UI"/>
                <w:sz w:val="17"/>
                <w:szCs w:val="17"/>
              </w:rPr>
            </w:pPr>
            <w:r w:rsidRPr="00CA7301">
              <w:rPr>
                <w:rFonts w:cs="Segoe UI"/>
                <w:sz w:val="17"/>
                <w:szCs w:val="17"/>
              </w:rPr>
              <w:t>5</w:t>
            </w:r>
          </w:p>
        </w:tc>
        <w:tc>
          <w:tcPr>
            <w:tcW w:w="6471" w:type="dxa"/>
          </w:tcPr>
          <w:p w14:paraId="7CC35DF4" w14:textId="1E02C1FE" w:rsidR="003F73B0" w:rsidRPr="00CA7301" w:rsidRDefault="003F73B0" w:rsidP="001D1285">
            <w:pPr>
              <w:ind w:leftChars="165" w:left="330"/>
              <w:rPr>
                <w:rFonts w:cs="Segoe UI"/>
                <w:sz w:val="17"/>
                <w:szCs w:val="17"/>
                <w:lang w:eastAsia="zh-TW"/>
              </w:rPr>
            </w:pPr>
            <w:r w:rsidRPr="00CA7301">
              <w:rPr>
                <w:rFonts w:eastAsia="細明體" w:cs="Segoe UI"/>
                <w:sz w:val="17"/>
                <w:szCs w:val="17"/>
                <w:lang w:eastAsia="zh-TW"/>
              </w:rPr>
              <w:t>《巴塞爾協定三》</w:t>
            </w:r>
            <w:r w:rsidRPr="0050380D">
              <w:rPr>
                <w:rFonts w:eastAsia="細明體" w:cs="Segoe UI"/>
                <w:sz w:val="17"/>
                <w:szCs w:val="17"/>
                <w:lang w:eastAsia="zh-TW"/>
              </w:rPr>
              <w:t>規</w:t>
            </w:r>
            <w:r w:rsidRPr="00CA7301">
              <w:rPr>
                <w:rFonts w:eastAsia="細明體" w:cs="Segoe UI"/>
                <w:sz w:val="17"/>
                <w:szCs w:val="17"/>
                <w:lang w:eastAsia="zh-TW"/>
              </w:rPr>
              <w:t>則</w:t>
            </w:r>
          </w:p>
        </w:tc>
        <w:tc>
          <w:tcPr>
            <w:tcW w:w="2257" w:type="dxa"/>
            <w:tcBorders>
              <w:right w:val="single" w:sz="4" w:space="0" w:color="auto"/>
            </w:tcBorders>
          </w:tcPr>
          <w:p w14:paraId="6DF85160" w14:textId="77777777" w:rsidR="003F73B0" w:rsidRPr="00CA7301" w:rsidRDefault="003F73B0" w:rsidP="003F73B0">
            <w:pPr>
              <w:rPr>
                <w:rFonts w:cs="Segoe UI"/>
                <w:sz w:val="17"/>
                <w:szCs w:val="17"/>
                <w:lang w:eastAsia="zh-TW"/>
              </w:rPr>
            </w:pPr>
          </w:p>
        </w:tc>
      </w:tr>
      <w:tr w:rsidR="003F73B0" w:rsidRPr="00CA7301" w14:paraId="127C387D" w14:textId="77777777" w:rsidTr="00877D8D">
        <w:tc>
          <w:tcPr>
            <w:tcW w:w="486" w:type="dxa"/>
          </w:tcPr>
          <w:p w14:paraId="1B4091A4" w14:textId="77777777" w:rsidR="003F73B0" w:rsidRPr="00CA7301" w:rsidRDefault="003F73B0" w:rsidP="003F73B0">
            <w:pPr>
              <w:rPr>
                <w:rFonts w:cs="Segoe UI"/>
                <w:sz w:val="17"/>
                <w:szCs w:val="17"/>
              </w:rPr>
            </w:pPr>
            <w:r w:rsidRPr="00CA7301">
              <w:rPr>
                <w:rFonts w:cs="Segoe UI"/>
                <w:sz w:val="17"/>
                <w:szCs w:val="17"/>
              </w:rPr>
              <w:t>6</w:t>
            </w:r>
          </w:p>
        </w:tc>
        <w:tc>
          <w:tcPr>
            <w:tcW w:w="6471" w:type="dxa"/>
          </w:tcPr>
          <w:p w14:paraId="17200990"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可計入單獨</w:t>
            </w:r>
            <w:r w:rsidRPr="00CA7301">
              <w:rPr>
                <w:rFonts w:eastAsia="細明體" w:cs="Segoe UI"/>
                <w:sz w:val="17"/>
                <w:szCs w:val="17"/>
                <w:lang w:eastAsia="zh-TW"/>
              </w:rPr>
              <w:t xml:space="preserve"> </w:t>
            </w:r>
            <w:r w:rsidRPr="00CA7301">
              <w:rPr>
                <w:rFonts w:cs="Segoe UI"/>
                <w:sz w:val="17"/>
                <w:szCs w:val="17"/>
                <w:lang w:eastAsia="zh-TW"/>
              </w:rPr>
              <w:t>/</w:t>
            </w:r>
            <w:r w:rsidRPr="00CA7301">
              <w:rPr>
                <w:rFonts w:eastAsiaTheme="minorEastAsia" w:cs="Segoe UI"/>
                <w:sz w:val="17"/>
                <w:szCs w:val="17"/>
                <w:lang w:eastAsia="zh-TW"/>
              </w:rPr>
              <w:t xml:space="preserve"> </w:t>
            </w:r>
            <w:r w:rsidRPr="00CA7301">
              <w:rPr>
                <w:rFonts w:eastAsia="細明體" w:cs="Segoe UI"/>
                <w:sz w:val="17"/>
                <w:szCs w:val="17"/>
                <w:lang w:eastAsia="zh-TW"/>
              </w:rPr>
              <w:t>集團</w:t>
            </w:r>
            <w:r w:rsidRPr="00CA7301">
              <w:rPr>
                <w:rFonts w:eastAsia="細明體" w:cs="Segoe UI"/>
                <w:sz w:val="17"/>
                <w:szCs w:val="17"/>
                <w:lang w:eastAsia="zh-TW"/>
              </w:rPr>
              <w:t xml:space="preserve"> </w:t>
            </w:r>
            <w:r w:rsidRPr="00CA7301">
              <w:rPr>
                <w:rFonts w:cs="Segoe UI"/>
                <w:sz w:val="17"/>
                <w:szCs w:val="17"/>
                <w:lang w:eastAsia="zh-TW"/>
              </w:rPr>
              <w:t>/</w:t>
            </w:r>
            <w:r w:rsidRPr="00CA7301">
              <w:rPr>
                <w:rFonts w:eastAsiaTheme="minorEastAsia" w:cs="Segoe UI"/>
                <w:sz w:val="17"/>
                <w:szCs w:val="17"/>
                <w:lang w:eastAsia="zh-TW"/>
              </w:rPr>
              <w:t xml:space="preserve"> </w:t>
            </w:r>
            <w:r w:rsidRPr="00CA7301">
              <w:rPr>
                <w:rFonts w:eastAsia="細明體" w:cs="Segoe UI"/>
                <w:sz w:val="17"/>
                <w:szCs w:val="17"/>
                <w:lang w:eastAsia="zh-TW"/>
              </w:rPr>
              <w:t>單獨及集團基礎</w:t>
            </w:r>
          </w:p>
        </w:tc>
        <w:tc>
          <w:tcPr>
            <w:tcW w:w="2257" w:type="dxa"/>
            <w:tcBorders>
              <w:right w:val="single" w:sz="4" w:space="0" w:color="auto"/>
            </w:tcBorders>
          </w:tcPr>
          <w:p w14:paraId="431B89A4" w14:textId="77777777" w:rsidR="003F73B0" w:rsidRPr="00CA7301" w:rsidRDefault="003F73B0" w:rsidP="003F73B0">
            <w:pPr>
              <w:rPr>
                <w:rFonts w:cs="Segoe UI"/>
                <w:sz w:val="17"/>
                <w:szCs w:val="17"/>
                <w:lang w:eastAsia="zh-TW"/>
              </w:rPr>
            </w:pPr>
          </w:p>
        </w:tc>
      </w:tr>
      <w:tr w:rsidR="003F73B0" w:rsidRPr="00CA7301" w14:paraId="53C6A9F1" w14:textId="77777777" w:rsidTr="00877D8D">
        <w:tc>
          <w:tcPr>
            <w:tcW w:w="486" w:type="dxa"/>
          </w:tcPr>
          <w:p w14:paraId="428FDA11" w14:textId="77777777" w:rsidR="003F73B0" w:rsidRPr="00CA7301" w:rsidRDefault="003F73B0" w:rsidP="003F73B0">
            <w:pPr>
              <w:rPr>
                <w:rFonts w:cs="Segoe UI"/>
                <w:sz w:val="17"/>
                <w:szCs w:val="17"/>
              </w:rPr>
            </w:pPr>
            <w:r w:rsidRPr="00CA7301">
              <w:rPr>
                <w:rFonts w:cs="Segoe UI"/>
                <w:sz w:val="17"/>
                <w:szCs w:val="17"/>
              </w:rPr>
              <w:t>7</w:t>
            </w:r>
          </w:p>
        </w:tc>
        <w:tc>
          <w:tcPr>
            <w:tcW w:w="6471" w:type="dxa"/>
          </w:tcPr>
          <w:p w14:paraId="23ADA308"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票據類別</w:t>
            </w:r>
            <w:r w:rsidRPr="00CA7301">
              <w:rPr>
                <w:rFonts w:eastAsiaTheme="minorEastAsia" w:cs="Segoe UI"/>
                <w:sz w:val="17"/>
                <w:szCs w:val="17"/>
                <w:lang w:eastAsia="zh-TW"/>
              </w:rPr>
              <w:t>（</w:t>
            </w:r>
            <w:r w:rsidRPr="00CA7301">
              <w:rPr>
                <w:rFonts w:eastAsia="細明體" w:cs="Segoe UI"/>
                <w:sz w:val="17"/>
                <w:szCs w:val="17"/>
                <w:lang w:eastAsia="zh-TW"/>
              </w:rPr>
              <w:t>由各地區自行指明</w:t>
            </w:r>
            <w:r w:rsidRPr="00CA7301">
              <w:rPr>
                <w:rFonts w:eastAsiaTheme="minorEastAsia" w:cs="Segoe UI"/>
                <w:sz w:val="17"/>
                <w:szCs w:val="17"/>
                <w:lang w:eastAsia="zh-TW"/>
              </w:rPr>
              <w:t>）</w:t>
            </w:r>
          </w:p>
        </w:tc>
        <w:tc>
          <w:tcPr>
            <w:tcW w:w="2257" w:type="dxa"/>
            <w:tcBorders>
              <w:right w:val="single" w:sz="4" w:space="0" w:color="auto"/>
            </w:tcBorders>
          </w:tcPr>
          <w:p w14:paraId="5754301D" w14:textId="77777777" w:rsidR="003F73B0" w:rsidRPr="00CA7301" w:rsidRDefault="003F73B0" w:rsidP="003F73B0">
            <w:pPr>
              <w:rPr>
                <w:rFonts w:cs="Segoe UI"/>
                <w:sz w:val="17"/>
                <w:szCs w:val="17"/>
                <w:lang w:eastAsia="zh-TW"/>
              </w:rPr>
            </w:pPr>
          </w:p>
        </w:tc>
      </w:tr>
      <w:tr w:rsidR="003F73B0" w:rsidRPr="00CA7301" w14:paraId="0A487758" w14:textId="77777777" w:rsidTr="00877D8D">
        <w:tc>
          <w:tcPr>
            <w:tcW w:w="486" w:type="dxa"/>
          </w:tcPr>
          <w:p w14:paraId="0772617D" w14:textId="77777777" w:rsidR="003F73B0" w:rsidRPr="00CA7301" w:rsidRDefault="003F73B0" w:rsidP="003F73B0">
            <w:pPr>
              <w:rPr>
                <w:rFonts w:cs="Segoe UI"/>
                <w:sz w:val="17"/>
                <w:szCs w:val="17"/>
              </w:rPr>
            </w:pPr>
            <w:r w:rsidRPr="00CA7301">
              <w:rPr>
                <w:rFonts w:cs="Segoe UI"/>
                <w:sz w:val="17"/>
                <w:szCs w:val="17"/>
              </w:rPr>
              <w:t>8</w:t>
            </w:r>
          </w:p>
        </w:tc>
        <w:tc>
          <w:tcPr>
            <w:tcW w:w="6471" w:type="dxa"/>
          </w:tcPr>
          <w:p w14:paraId="4A12B135" w14:textId="77777777" w:rsidR="003F73B0" w:rsidRPr="00CA7301" w:rsidRDefault="003F73B0" w:rsidP="003F73B0">
            <w:pPr>
              <w:spacing w:line="60" w:lineRule="atLeast"/>
              <w:rPr>
                <w:rFonts w:cs="Segoe UI"/>
                <w:sz w:val="17"/>
                <w:szCs w:val="17"/>
                <w:lang w:eastAsia="zh-TW"/>
              </w:rPr>
            </w:pPr>
            <w:r w:rsidRPr="00CA7301">
              <w:rPr>
                <w:rFonts w:eastAsia="細明體" w:cs="Segoe UI"/>
                <w:sz w:val="17"/>
                <w:szCs w:val="17"/>
                <w:lang w:eastAsia="zh-TW"/>
              </w:rPr>
              <w:t>在監管資本的確認數額</w:t>
            </w:r>
            <w:r w:rsidRPr="00CA7301">
              <w:rPr>
                <w:rFonts w:eastAsiaTheme="minorEastAsia" w:cs="Segoe UI"/>
                <w:sz w:val="17"/>
                <w:szCs w:val="17"/>
                <w:lang w:eastAsia="zh-TW"/>
              </w:rPr>
              <w:t>（</w:t>
            </w:r>
            <w:r w:rsidRPr="00CA7301">
              <w:rPr>
                <w:rFonts w:eastAsia="細明體" w:cs="Segoe UI"/>
                <w:sz w:val="17"/>
                <w:szCs w:val="17"/>
                <w:lang w:eastAsia="zh-TW"/>
              </w:rPr>
              <w:t>以有關貨幣百萬計，於最近的報告日期</w:t>
            </w:r>
            <w:r w:rsidRPr="00CA7301">
              <w:rPr>
                <w:rFonts w:eastAsiaTheme="minorEastAsia" w:cs="Segoe UI"/>
                <w:sz w:val="17"/>
                <w:szCs w:val="17"/>
                <w:lang w:eastAsia="zh-TW"/>
              </w:rPr>
              <w:t>）</w:t>
            </w:r>
          </w:p>
        </w:tc>
        <w:tc>
          <w:tcPr>
            <w:tcW w:w="2257" w:type="dxa"/>
            <w:tcBorders>
              <w:right w:val="single" w:sz="4" w:space="0" w:color="auto"/>
            </w:tcBorders>
          </w:tcPr>
          <w:p w14:paraId="4A250BF4" w14:textId="77777777" w:rsidR="003F73B0" w:rsidRPr="00CA7301" w:rsidRDefault="003F73B0" w:rsidP="003F73B0">
            <w:pPr>
              <w:rPr>
                <w:rFonts w:cs="Segoe UI"/>
                <w:sz w:val="17"/>
                <w:szCs w:val="17"/>
                <w:lang w:eastAsia="zh-TW"/>
              </w:rPr>
            </w:pPr>
          </w:p>
        </w:tc>
      </w:tr>
      <w:tr w:rsidR="003F73B0" w:rsidRPr="00CA7301" w14:paraId="66FE8C61" w14:textId="77777777" w:rsidTr="00877D8D">
        <w:trPr>
          <w:trHeight w:val="205"/>
        </w:trPr>
        <w:tc>
          <w:tcPr>
            <w:tcW w:w="486" w:type="dxa"/>
          </w:tcPr>
          <w:p w14:paraId="19172D6F" w14:textId="77777777" w:rsidR="003F73B0" w:rsidRPr="00CA7301" w:rsidRDefault="003F73B0" w:rsidP="003F73B0">
            <w:pPr>
              <w:rPr>
                <w:rFonts w:cs="Segoe UI"/>
                <w:sz w:val="17"/>
                <w:szCs w:val="17"/>
              </w:rPr>
            </w:pPr>
            <w:r w:rsidRPr="00CA7301">
              <w:rPr>
                <w:rFonts w:cs="Segoe UI"/>
                <w:sz w:val="17"/>
                <w:szCs w:val="17"/>
              </w:rPr>
              <w:t>9</w:t>
            </w:r>
          </w:p>
        </w:tc>
        <w:tc>
          <w:tcPr>
            <w:tcW w:w="6471" w:type="dxa"/>
          </w:tcPr>
          <w:p w14:paraId="2936B339" w14:textId="77777777" w:rsidR="003F73B0" w:rsidRPr="00CA7301" w:rsidRDefault="003F73B0" w:rsidP="003F73B0">
            <w:pPr>
              <w:rPr>
                <w:rFonts w:cs="Segoe UI"/>
                <w:sz w:val="17"/>
                <w:szCs w:val="17"/>
                <w:lang w:eastAsia="zh-TW"/>
              </w:rPr>
            </w:pPr>
            <w:r w:rsidRPr="00CA7301">
              <w:rPr>
                <w:rFonts w:eastAsia="細明體" w:cs="Segoe UI"/>
                <w:sz w:val="17"/>
                <w:szCs w:val="17"/>
                <w:lang w:eastAsia="zh-TW"/>
              </w:rPr>
              <w:t>票據面值</w:t>
            </w:r>
          </w:p>
        </w:tc>
        <w:tc>
          <w:tcPr>
            <w:tcW w:w="2257" w:type="dxa"/>
            <w:tcBorders>
              <w:right w:val="single" w:sz="4" w:space="0" w:color="auto"/>
            </w:tcBorders>
          </w:tcPr>
          <w:p w14:paraId="32865884" w14:textId="77777777" w:rsidR="003F73B0" w:rsidRPr="00CA7301" w:rsidRDefault="003F73B0" w:rsidP="003F73B0">
            <w:pPr>
              <w:rPr>
                <w:rFonts w:cs="Segoe UI"/>
                <w:sz w:val="17"/>
                <w:szCs w:val="17"/>
                <w:lang w:eastAsia="zh-TW"/>
              </w:rPr>
            </w:pPr>
          </w:p>
        </w:tc>
      </w:tr>
      <w:tr w:rsidR="003F73B0" w:rsidRPr="00CA7301" w14:paraId="2A79F361" w14:textId="77777777" w:rsidTr="00877D8D">
        <w:tc>
          <w:tcPr>
            <w:tcW w:w="486" w:type="dxa"/>
          </w:tcPr>
          <w:p w14:paraId="4E5C4991" w14:textId="77777777" w:rsidR="003F73B0" w:rsidRPr="00CA7301" w:rsidRDefault="003F73B0" w:rsidP="003F73B0">
            <w:pPr>
              <w:rPr>
                <w:rFonts w:cs="Segoe UI"/>
                <w:sz w:val="17"/>
                <w:szCs w:val="17"/>
              </w:rPr>
            </w:pPr>
            <w:r w:rsidRPr="00CA7301">
              <w:rPr>
                <w:rFonts w:cs="Segoe UI"/>
                <w:sz w:val="17"/>
                <w:szCs w:val="17"/>
              </w:rPr>
              <w:t>10</w:t>
            </w:r>
          </w:p>
        </w:tc>
        <w:tc>
          <w:tcPr>
            <w:tcW w:w="6471" w:type="dxa"/>
          </w:tcPr>
          <w:p w14:paraId="457F21D5" w14:textId="77777777" w:rsidR="003F73B0" w:rsidRPr="00CA7301" w:rsidRDefault="003F73B0" w:rsidP="003F73B0">
            <w:pPr>
              <w:rPr>
                <w:rFonts w:cs="Segoe UI"/>
                <w:sz w:val="17"/>
                <w:szCs w:val="17"/>
              </w:rPr>
            </w:pPr>
            <w:r w:rsidRPr="00CA7301">
              <w:rPr>
                <w:rFonts w:eastAsia="細明體" w:cs="Segoe UI"/>
                <w:sz w:val="17"/>
                <w:szCs w:val="17"/>
                <w:lang w:eastAsia="zh-TW"/>
              </w:rPr>
              <w:t>會計分類</w:t>
            </w:r>
          </w:p>
        </w:tc>
        <w:tc>
          <w:tcPr>
            <w:tcW w:w="2257" w:type="dxa"/>
            <w:tcBorders>
              <w:right w:val="single" w:sz="4" w:space="0" w:color="auto"/>
            </w:tcBorders>
          </w:tcPr>
          <w:p w14:paraId="3941C045" w14:textId="77777777" w:rsidR="003F73B0" w:rsidRPr="00CA7301" w:rsidRDefault="003F73B0" w:rsidP="003F73B0">
            <w:pPr>
              <w:rPr>
                <w:rFonts w:cs="Segoe UI"/>
                <w:sz w:val="17"/>
                <w:szCs w:val="17"/>
              </w:rPr>
            </w:pPr>
          </w:p>
        </w:tc>
      </w:tr>
      <w:tr w:rsidR="003F73B0" w:rsidRPr="00CA7301" w14:paraId="098B1749" w14:textId="77777777" w:rsidTr="00877D8D">
        <w:tc>
          <w:tcPr>
            <w:tcW w:w="486" w:type="dxa"/>
          </w:tcPr>
          <w:p w14:paraId="237AA1B0" w14:textId="77777777" w:rsidR="003F73B0" w:rsidRPr="00CA7301" w:rsidRDefault="003F73B0" w:rsidP="003F73B0">
            <w:pPr>
              <w:rPr>
                <w:rFonts w:cs="Segoe UI"/>
                <w:sz w:val="17"/>
                <w:szCs w:val="17"/>
              </w:rPr>
            </w:pPr>
            <w:r w:rsidRPr="00CA7301">
              <w:rPr>
                <w:rFonts w:cs="Segoe UI"/>
                <w:sz w:val="17"/>
                <w:szCs w:val="17"/>
              </w:rPr>
              <w:t>11</w:t>
            </w:r>
          </w:p>
        </w:tc>
        <w:tc>
          <w:tcPr>
            <w:tcW w:w="6471" w:type="dxa"/>
          </w:tcPr>
          <w:p w14:paraId="3299A16C" w14:textId="77777777" w:rsidR="003F73B0" w:rsidRPr="00CA7301" w:rsidRDefault="003F73B0" w:rsidP="003F73B0">
            <w:pPr>
              <w:rPr>
                <w:rFonts w:cs="Segoe UI"/>
                <w:sz w:val="17"/>
                <w:szCs w:val="17"/>
              </w:rPr>
            </w:pPr>
            <w:r w:rsidRPr="00CA7301">
              <w:rPr>
                <w:rFonts w:eastAsia="細明體" w:cs="Segoe UI"/>
                <w:sz w:val="17"/>
                <w:szCs w:val="17"/>
                <w:lang w:eastAsia="zh-TW"/>
              </w:rPr>
              <w:t>最初發行日期</w:t>
            </w:r>
          </w:p>
        </w:tc>
        <w:tc>
          <w:tcPr>
            <w:tcW w:w="2257" w:type="dxa"/>
            <w:tcBorders>
              <w:right w:val="single" w:sz="4" w:space="0" w:color="auto"/>
            </w:tcBorders>
          </w:tcPr>
          <w:p w14:paraId="4AD286D3" w14:textId="77777777" w:rsidR="003F73B0" w:rsidRPr="00CA7301" w:rsidRDefault="003F73B0" w:rsidP="003F73B0">
            <w:pPr>
              <w:rPr>
                <w:rFonts w:cs="Segoe UI"/>
                <w:sz w:val="17"/>
                <w:szCs w:val="17"/>
              </w:rPr>
            </w:pPr>
          </w:p>
        </w:tc>
      </w:tr>
      <w:tr w:rsidR="003F73B0" w:rsidRPr="00CA7301" w14:paraId="04A0A5AA" w14:textId="77777777" w:rsidTr="00877D8D">
        <w:tc>
          <w:tcPr>
            <w:tcW w:w="486" w:type="dxa"/>
          </w:tcPr>
          <w:p w14:paraId="3808FBB3" w14:textId="77777777" w:rsidR="003F73B0" w:rsidRPr="00CA7301" w:rsidRDefault="003F73B0" w:rsidP="003F73B0">
            <w:pPr>
              <w:rPr>
                <w:rFonts w:cs="Segoe UI"/>
                <w:sz w:val="17"/>
                <w:szCs w:val="17"/>
              </w:rPr>
            </w:pPr>
            <w:r w:rsidRPr="00CA7301">
              <w:rPr>
                <w:rFonts w:cs="Segoe UI"/>
                <w:sz w:val="17"/>
                <w:szCs w:val="17"/>
              </w:rPr>
              <w:t>12</w:t>
            </w:r>
          </w:p>
        </w:tc>
        <w:tc>
          <w:tcPr>
            <w:tcW w:w="6471" w:type="dxa"/>
          </w:tcPr>
          <w:p w14:paraId="4BACD400" w14:textId="77777777" w:rsidR="003F73B0" w:rsidRPr="00CA7301" w:rsidRDefault="003F73B0" w:rsidP="003F73B0">
            <w:pPr>
              <w:rPr>
                <w:rFonts w:cs="Segoe UI"/>
                <w:sz w:val="17"/>
                <w:szCs w:val="17"/>
              </w:rPr>
            </w:pPr>
            <w:r w:rsidRPr="00CA7301">
              <w:rPr>
                <w:rFonts w:eastAsia="細明體" w:cs="Segoe UI"/>
                <w:sz w:val="17"/>
                <w:szCs w:val="17"/>
                <w:lang w:eastAsia="zh-TW"/>
              </w:rPr>
              <w:t>永久性或設定期限</w:t>
            </w:r>
          </w:p>
        </w:tc>
        <w:tc>
          <w:tcPr>
            <w:tcW w:w="2257" w:type="dxa"/>
            <w:tcBorders>
              <w:right w:val="single" w:sz="4" w:space="0" w:color="auto"/>
            </w:tcBorders>
          </w:tcPr>
          <w:p w14:paraId="404DD2E6" w14:textId="77777777" w:rsidR="003F73B0" w:rsidRPr="00CA7301" w:rsidRDefault="003F73B0" w:rsidP="003F73B0">
            <w:pPr>
              <w:rPr>
                <w:rFonts w:cs="Segoe UI"/>
                <w:sz w:val="17"/>
                <w:szCs w:val="17"/>
              </w:rPr>
            </w:pPr>
          </w:p>
        </w:tc>
      </w:tr>
      <w:tr w:rsidR="003F73B0" w:rsidRPr="00CA7301" w14:paraId="292C10C9" w14:textId="77777777" w:rsidTr="00877D8D">
        <w:tc>
          <w:tcPr>
            <w:tcW w:w="486" w:type="dxa"/>
          </w:tcPr>
          <w:p w14:paraId="220011A6" w14:textId="77777777" w:rsidR="003F73B0" w:rsidRPr="00CA7301" w:rsidRDefault="003F73B0" w:rsidP="003F73B0">
            <w:pPr>
              <w:rPr>
                <w:rFonts w:cs="Segoe UI"/>
                <w:sz w:val="17"/>
                <w:szCs w:val="17"/>
              </w:rPr>
            </w:pPr>
            <w:r w:rsidRPr="00CA7301">
              <w:rPr>
                <w:rFonts w:cs="Segoe UI"/>
                <w:sz w:val="17"/>
                <w:szCs w:val="17"/>
              </w:rPr>
              <w:t>13</w:t>
            </w:r>
          </w:p>
        </w:tc>
        <w:tc>
          <w:tcPr>
            <w:tcW w:w="6471" w:type="dxa"/>
          </w:tcPr>
          <w:p w14:paraId="77B1CB31" w14:textId="77777777" w:rsidR="003F73B0" w:rsidRPr="00CA7301" w:rsidRDefault="003F73B0" w:rsidP="003F73B0">
            <w:pPr>
              <w:ind w:leftChars="165" w:left="330"/>
              <w:rPr>
                <w:rFonts w:cs="Segoe UI"/>
                <w:sz w:val="17"/>
                <w:szCs w:val="17"/>
                <w:lang w:eastAsia="zh-TW"/>
              </w:rPr>
            </w:pPr>
            <w:proofErr w:type="spellStart"/>
            <w:r w:rsidRPr="00CA7301">
              <w:rPr>
                <w:rFonts w:eastAsia="細明體" w:cs="Segoe UI"/>
                <w:sz w:val="17"/>
                <w:szCs w:val="17"/>
              </w:rPr>
              <w:t>原訂到期日</w:t>
            </w:r>
            <w:proofErr w:type="spellEnd"/>
          </w:p>
        </w:tc>
        <w:tc>
          <w:tcPr>
            <w:tcW w:w="2257" w:type="dxa"/>
            <w:tcBorders>
              <w:right w:val="single" w:sz="4" w:space="0" w:color="auto"/>
            </w:tcBorders>
          </w:tcPr>
          <w:p w14:paraId="7ACD1859" w14:textId="77777777" w:rsidR="003F73B0" w:rsidRPr="00CA7301" w:rsidRDefault="003F73B0" w:rsidP="003F73B0">
            <w:pPr>
              <w:rPr>
                <w:rFonts w:cs="Segoe UI"/>
                <w:sz w:val="17"/>
                <w:szCs w:val="17"/>
                <w:lang w:eastAsia="zh-TW"/>
              </w:rPr>
            </w:pPr>
          </w:p>
        </w:tc>
      </w:tr>
      <w:tr w:rsidR="003F73B0" w:rsidRPr="00CA7301" w14:paraId="2EEAD8D2" w14:textId="77777777" w:rsidTr="00877D8D">
        <w:tc>
          <w:tcPr>
            <w:tcW w:w="486" w:type="dxa"/>
          </w:tcPr>
          <w:p w14:paraId="1A8CABA4" w14:textId="77777777" w:rsidR="003F73B0" w:rsidRPr="00CA7301" w:rsidRDefault="003F73B0" w:rsidP="003F73B0">
            <w:pPr>
              <w:rPr>
                <w:rFonts w:cs="Segoe UI"/>
                <w:sz w:val="17"/>
                <w:szCs w:val="17"/>
              </w:rPr>
            </w:pPr>
            <w:r w:rsidRPr="00CA7301">
              <w:rPr>
                <w:rFonts w:cs="Segoe UI"/>
                <w:sz w:val="17"/>
                <w:szCs w:val="17"/>
              </w:rPr>
              <w:t>14</w:t>
            </w:r>
          </w:p>
        </w:tc>
        <w:tc>
          <w:tcPr>
            <w:tcW w:w="6471" w:type="dxa"/>
          </w:tcPr>
          <w:p w14:paraId="21A16408" w14:textId="77777777" w:rsidR="003F73B0" w:rsidRPr="00CA7301" w:rsidRDefault="003F73B0" w:rsidP="003F73B0">
            <w:pPr>
              <w:rPr>
                <w:rFonts w:cs="Segoe UI"/>
                <w:sz w:val="17"/>
                <w:szCs w:val="17"/>
                <w:lang w:eastAsia="zh-TW"/>
              </w:rPr>
            </w:pPr>
            <w:r w:rsidRPr="00CA7301">
              <w:rPr>
                <w:rFonts w:eastAsia="細明體" w:cs="Segoe UI"/>
                <w:sz w:val="17"/>
                <w:szCs w:val="17"/>
                <w:lang w:eastAsia="zh-TW"/>
              </w:rPr>
              <w:t>須獲監管當局事先批准的發行人贖回權</w:t>
            </w:r>
          </w:p>
        </w:tc>
        <w:tc>
          <w:tcPr>
            <w:tcW w:w="2257" w:type="dxa"/>
            <w:tcBorders>
              <w:right w:val="single" w:sz="4" w:space="0" w:color="auto"/>
            </w:tcBorders>
          </w:tcPr>
          <w:p w14:paraId="47875C40" w14:textId="77777777" w:rsidR="003F73B0" w:rsidRPr="00CA7301" w:rsidRDefault="003F73B0" w:rsidP="003F73B0">
            <w:pPr>
              <w:rPr>
                <w:rFonts w:cs="Segoe UI"/>
                <w:sz w:val="17"/>
                <w:szCs w:val="17"/>
                <w:lang w:eastAsia="zh-TW"/>
              </w:rPr>
            </w:pPr>
          </w:p>
        </w:tc>
      </w:tr>
      <w:tr w:rsidR="003F73B0" w:rsidRPr="00CA7301" w14:paraId="49973272" w14:textId="77777777" w:rsidTr="00877D8D">
        <w:tc>
          <w:tcPr>
            <w:tcW w:w="486" w:type="dxa"/>
          </w:tcPr>
          <w:p w14:paraId="028CB467" w14:textId="77777777" w:rsidR="003F73B0" w:rsidRPr="00CA7301" w:rsidRDefault="003F73B0" w:rsidP="003F73B0">
            <w:pPr>
              <w:rPr>
                <w:rFonts w:cs="Segoe UI"/>
                <w:sz w:val="17"/>
                <w:szCs w:val="17"/>
              </w:rPr>
            </w:pPr>
            <w:r w:rsidRPr="00CA7301">
              <w:rPr>
                <w:rFonts w:cs="Segoe UI"/>
                <w:sz w:val="17"/>
                <w:szCs w:val="17"/>
              </w:rPr>
              <w:t>15</w:t>
            </w:r>
          </w:p>
        </w:tc>
        <w:tc>
          <w:tcPr>
            <w:tcW w:w="6471" w:type="dxa"/>
          </w:tcPr>
          <w:p w14:paraId="6AF18B2A"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可選擇可贖回日、或有可贖回日，以及可贖回數額</w:t>
            </w:r>
          </w:p>
        </w:tc>
        <w:tc>
          <w:tcPr>
            <w:tcW w:w="2257" w:type="dxa"/>
            <w:tcBorders>
              <w:right w:val="single" w:sz="4" w:space="0" w:color="auto"/>
            </w:tcBorders>
          </w:tcPr>
          <w:p w14:paraId="4F74A97E" w14:textId="77777777" w:rsidR="003F73B0" w:rsidRPr="00CA7301" w:rsidRDefault="003F73B0" w:rsidP="003F73B0">
            <w:pPr>
              <w:rPr>
                <w:rFonts w:cs="Segoe UI"/>
                <w:sz w:val="17"/>
                <w:szCs w:val="17"/>
                <w:lang w:eastAsia="zh-TW"/>
              </w:rPr>
            </w:pPr>
          </w:p>
        </w:tc>
      </w:tr>
      <w:tr w:rsidR="003F73B0" w:rsidRPr="00CA7301" w14:paraId="467D53B2" w14:textId="77777777" w:rsidTr="00877D8D">
        <w:tc>
          <w:tcPr>
            <w:tcW w:w="486" w:type="dxa"/>
          </w:tcPr>
          <w:p w14:paraId="487719ED" w14:textId="77777777" w:rsidR="003F73B0" w:rsidRPr="00CA7301" w:rsidRDefault="003F73B0" w:rsidP="003F73B0">
            <w:pPr>
              <w:rPr>
                <w:rFonts w:cs="Segoe UI"/>
                <w:sz w:val="17"/>
                <w:szCs w:val="17"/>
              </w:rPr>
            </w:pPr>
            <w:r w:rsidRPr="00CA7301">
              <w:rPr>
                <w:rFonts w:cs="Segoe UI"/>
                <w:sz w:val="17"/>
                <w:szCs w:val="17"/>
              </w:rPr>
              <w:t>16</w:t>
            </w:r>
          </w:p>
        </w:tc>
        <w:tc>
          <w:tcPr>
            <w:tcW w:w="6471" w:type="dxa"/>
          </w:tcPr>
          <w:p w14:paraId="1C2A8320"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後續可贖回日</w:t>
            </w:r>
            <w:r w:rsidRPr="00CA7301">
              <w:rPr>
                <w:rFonts w:eastAsiaTheme="minorEastAsia" w:cs="Segoe UI"/>
                <w:sz w:val="17"/>
                <w:szCs w:val="17"/>
                <w:lang w:eastAsia="zh-TW"/>
              </w:rPr>
              <w:t>（如</w:t>
            </w:r>
            <w:r w:rsidRPr="00CA7301">
              <w:rPr>
                <w:rFonts w:eastAsia="細明體" w:cs="Segoe UI"/>
                <w:sz w:val="17"/>
                <w:szCs w:val="17"/>
                <w:lang w:eastAsia="zh-TW"/>
              </w:rPr>
              <w:t>適用</w:t>
            </w:r>
            <w:r w:rsidRPr="00CA7301">
              <w:rPr>
                <w:rFonts w:eastAsiaTheme="minorEastAsia" w:cs="Segoe UI"/>
                <w:sz w:val="17"/>
                <w:szCs w:val="17"/>
                <w:lang w:eastAsia="zh-TW"/>
              </w:rPr>
              <w:t>）</w:t>
            </w:r>
          </w:p>
        </w:tc>
        <w:tc>
          <w:tcPr>
            <w:tcW w:w="2257" w:type="dxa"/>
            <w:tcBorders>
              <w:right w:val="single" w:sz="4" w:space="0" w:color="auto"/>
            </w:tcBorders>
          </w:tcPr>
          <w:p w14:paraId="25F516ED" w14:textId="77777777" w:rsidR="003F73B0" w:rsidRPr="00CA7301" w:rsidRDefault="003F73B0" w:rsidP="003F73B0">
            <w:pPr>
              <w:rPr>
                <w:rFonts w:cs="Segoe UI"/>
                <w:sz w:val="17"/>
                <w:szCs w:val="17"/>
                <w:lang w:eastAsia="zh-TW"/>
              </w:rPr>
            </w:pPr>
          </w:p>
        </w:tc>
      </w:tr>
      <w:tr w:rsidR="003F73B0" w:rsidRPr="00CA7301" w14:paraId="398D630C" w14:textId="77777777" w:rsidTr="00877D8D">
        <w:tc>
          <w:tcPr>
            <w:tcW w:w="486" w:type="dxa"/>
            <w:shd w:val="clear" w:color="auto" w:fill="auto"/>
          </w:tcPr>
          <w:p w14:paraId="5100A616" w14:textId="77777777" w:rsidR="003F73B0" w:rsidRPr="00CA7301" w:rsidRDefault="003F73B0" w:rsidP="003F73B0">
            <w:pPr>
              <w:rPr>
                <w:rFonts w:cs="Segoe UI"/>
                <w:sz w:val="17"/>
                <w:szCs w:val="17"/>
                <w:lang w:eastAsia="zh-TW"/>
              </w:rPr>
            </w:pPr>
          </w:p>
        </w:tc>
        <w:tc>
          <w:tcPr>
            <w:tcW w:w="6471" w:type="dxa"/>
            <w:shd w:val="clear" w:color="auto" w:fill="auto"/>
          </w:tcPr>
          <w:p w14:paraId="20F06C57" w14:textId="77777777" w:rsidR="003F73B0" w:rsidRPr="00CA7301" w:rsidRDefault="003F73B0" w:rsidP="003F73B0">
            <w:pPr>
              <w:rPr>
                <w:rFonts w:cs="Segoe UI"/>
                <w:i/>
                <w:sz w:val="17"/>
                <w:szCs w:val="17"/>
              </w:rPr>
            </w:pPr>
            <w:proofErr w:type="spellStart"/>
            <w:r w:rsidRPr="00CA7301">
              <w:rPr>
                <w:rFonts w:eastAsia="細明體" w:cs="Segoe UI"/>
                <w:i/>
                <w:sz w:val="17"/>
                <w:szCs w:val="17"/>
              </w:rPr>
              <w:t>票息</w:t>
            </w:r>
            <w:proofErr w:type="spellEnd"/>
            <w:r w:rsidRPr="00CA7301">
              <w:rPr>
                <w:rFonts w:cs="Segoe UI"/>
                <w:i/>
                <w:sz w:val="17"/>
                <w:szCs w:val="17"/>
              </w:rPr>
              <w:t xml:space="preserve"> / </w:t>
            </w:r>
            <w:proofErr w:type="spellStart"/>
            <w:r w:rsidRPr="00CA7301">
              <w:rPr>
                <w:rFonts w:eastAsia="細明體" w:cs="Segoe UI"/>
                <w:i/>
                <w:sz w:val="17"/>
                <w:szCs w:val="17"/>
              </w:rPr>
              <w:t>股息</w:t>
            </w:r>
            <w:proofErr w:type="spellEnd"/>
          </w:p>
        </w:tc>
        <w:tc>
          <w:tcPr>
            <w:tcW w:w="2257" w:type="dxa"/>
            <w:tcBorders>
              <w:right w:val="single" w:sz="4" w:space="0" w:color="auto"/>
            </w:tcBorders>
            <w:shd w:val="clear" w:color="auto" w:fill="auto"/>
          </w:tcPr>
          <w:p w14:paraId="427910FC" w14:textId="77777777" w:rsidR="003F73B0" w:rsidRPr="00CA7301" w:rsidRDefault="003F73B0" w:rsidP="003F73B0">
            <w:pPr>
              <w:rPr>
                <w:rFonts w:cs="Segoe UI"/>
                <w:sz w:val="17"/>
                <w:szCs w:val="17"/>
              </w:rPr>
            </w:pPr>
          </w:p>
        </w:tc>
      </w:tr>
      <w:tr w:rsidR="003F73B0" w:rsidRPr="00CA7301" w14:paraId="16F966FB" w14:textId="77777777" w:rsidTr="00877D8D">
        <w:tc>
          <w:tcPr>
            <w:tcW w:w="486" w:type="dxa"/>
          </w:tcPr>
          <w:p w14:paraId="001D927D" w14:textId="77777777" w:rsidR="003F73B0" w:rsidRPr="00CA7301" w:rsidRDefault="003F73B0" w:rsidP="003F73B0">
            <w:pPr>
              <w:rPr>
                <w:rFonts w:cs="Segoe UI"/>
                <w:sz w:val="17"/>
                <w:szCs w:val="17"/>
              </w:rPr>
            </w:pPr>
            <w:r w:rsidRPr="00CA7301">
              <w:rPr>
                <w:rFonts w:cs="Segoe UI"/>
                <w:sz w:val="17"/>
                <w:szCs w:val="17"/>
              </w:rPr>
              <w:t>17</w:t>
            </w:r>
          </w:p>
        </w:tc>
        <w:tc>
          <w:tcPr>
            <w:tcW w:w="6471" w:type="dxa"/>
          </w:tcPr>
          <w:p w14:paraId="098971B2" w14:textId="77777777" w:rsidR="003F73B0" w:rsidRPr="00CA7301" w:rsidRDefault="003F73B0" w:rsidP="003F73B0">
            <w:pPr>
              <w:ind w:leftChars="165" w:left="330"/>
              <w:rPr>
                <w:rFonts w:cs="Segoe UI"/>
                <w:sz w:val="17"/>
                <w:szCs w:val="17"/>
              </w:rPr>
            </w:pPr>
            <w:proofErr w:type="spellStart"/>
            <w:r w:rsidRPr="00CA7301">
              <w:rPr>
                <w:rFonts w:eastAsia="細明體" w:cs="Segoe UI"/>
                <w:sz w:val="17"/>
                <w:szCs w:val="17"/>
              </w:rPr>
              <w:t>固定或浮動股息</w:t>
            </w:r>
            <w:proofErr w:type="spellEnd"/>
            <w:r w:rsidRPr="00CA7301">
              <w:rPr>
                <w:rFonts w:cs="Segoe UI"/>
                <w:sz w:val="17"/>
                <w:szCs w:val="17"/>
              </w:rPr>
              <w:t xml:space="preserve"> / </w:t>
            </w:r>
            <w:proofErr w:type="spellStart"/>
            <w:r w:rsidRPr="00CA7301">
              <w:rPr>
                <w:rFonts w:eastAsia="細明體" w:cs="Segoe UI"/>
                <w:sz w:val="17"/>
                <w:szCs w:val="17"/>
              </w:rPr>
              <w:t>票息</w:t>
            </w:r>
            <w:proofErr w:type="spellEnd"/>
          </w:p>
        </w:tc>
        <w:tc>
          <w:tcPr>
            <w:tcW w:w="2257" w:type="dxa"/>
            <w:tcBorders>
              <w:right w:val="single" w:sz="4" w:space="0" w:color="auto"/>
            </w:tcBorders>
          </w:tcPr>
          <w:p w14:paraId="78DB7A8D" w14:textId="77777777" w:rsidR="003F73B0" w:rsidRPr="00CA7301" w:rsidRDefault="003F73B0" w:rsidP="003F73B0">
            <w:pPr>
              <w:rPr>
                <w:rFonts w:cs="Segoe UI"/>
                <w:sz w:val="17"/>
                <w:szCs w:val="17"/>
              </w:rPr>
            </w:pPr>
          </w:p>
        </w:tc>
      </w:tr>
      <w:tr w:rsidR="003F73B0" w:rsidRPr="00CA7301" w14:paraId="007C55A5" w14:textId="77777777" w:rsidTr="00877D8D">
        <w:tc>
          <w:tcPr>
            <w:tcW w:w="486" w:type="dxa"/>
          </w:tcPr>
          <w:p w14:paraId="78F067CC" w14:textId="77777777" w:rsidR="003F73B0" w:rsidRPr="00CA7301" w:rsidRDefault="003F73B0" w:rsidP="003F73B0">
            <w:pPr>
              <w:rPr>
                <w:rFonts w:cs="Segoe UI"/>
                <w:sz w:val="17"/>
                <w:szCs w:val="17"/>
              </w:rPr>
            </w:pPr>
            <w:r w:rsidRPr="00CA7301">
              <w:rPr>
                <w:rFonts w:cs="Segoe UI"/>
                <w:sz w:val="17"/>
                <w:szCs w:val="17"/>
              </w:rPr>
              <w:t>18</w:t>
            </w:r>
          </w:p>
        </w:tc>
        <w:tc>
          <w:tcPr>
            <w:tcW w:w="6471" w:type="dxa"/>
          </w:tcPr>
          <w:p w14:paraId="39CAFB4A"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票息率及任何相關指數</w:t>
            </w:r>
          </w:p>
        </w:tc>
        <w:tc>
          <w:tcPr>
            <w:tcW w:w="2257" w:type="dxa"/>
            <w:tcBorders>
              <w:right w:val="single" w:sz="4" w:space="0" w:color="auto"/>
            </w:tcBorders>
          </w:tcPr>
          <w:p w14:paraId="3B171B3A" w14:textId="77777777" w:rsidR="003F73B0" w:rsidRPr="00CA7301" w:rsidRDefault="003F73B0" w:rsidP="003F73B0">
            <w:pPr>
              <w:rPr>
                <w:rFonts w:cs="Segoe UI"/>
                <w:sz w:val="17"/>
                <w:szCs w:val="17"/>
                <w:lang w:eastAsia="zh-TW"/>
              </w:rPr>
            </w:pPr>
          </w:p>
        </w:tc>
      </w:tr>
      <w:tr w:rsidR="003F73B0" w:rsidRPr="00CA7301" w14:paraId="1F8E4D1A" w14:textId="77777777" w:rsidTr="00877D8D">
        <w:tc>
          <w:tcPr>
            <w:tcW w:w="486" w:type="dxa"/>
          </w:tcPr>
          <w:p w14:paraId="3CEE38B0" w14:textId="77777777" w:rsidR="003F73B0" w:rsidRPr="00CA7301" w:rsidRDefault="003F73B0" w:rsidP="003F73B0">
            <w:pPr>
              <w:rPr>
                <w:rFonts w:cs="Segoe UI"/>
                <w:sz w:val="17"/>
                <w:szCs w:val="17"/>
              </w:rPr>
            </w:pPr>
            <w:r w:rsidRPr="00CA7301">
              <w:rPr>
                <w:rFonts w:cs="Segoe UI"/>
                <w:sz w:val="17"/>
                <w:szCs w:val="17"/>
              </w:rPr>
              <w:t>19</w:t>
            </w:r>
          </w:p>
        </w:tc>
        <w:tc>
          <w:tcPr>
            <w:tcW w:w="6471" w:type="dxa"/>
          </w:tcPr>
          <w:p w14:paraId="1A01960D"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有停止派發股息的機制</w:t>
            </w:r>
          </w:p>
        </w:tc>
        <w:tc>
          <w:tcPr>
            <w:tcW w:w="2257" w:type="dxa"/>
            <w:tcBorders>
              <w:right w:val="single" w:sz="4" w:space="0" w:color="auto"/>
            </w:tcBorders>
          </w:tcPr>
          <w:p w14:paraId="49E6350F" w14:textId="77777777" w:rsidR="003F73B0" w:rsidRPr="00CA7301" w:rsidRDefault="003F73B0" w:rsidP="003F73B0">
            <w:pPr>
              <w:rPr>
                <w:rFonts w:cs="Segoe UI"/>
                <w:sz w:val="17"/>
                <w:szCs w:val="17"/>
                <w:lang w:eastAsia="zh-TW"/>
              </w:rPr>
            </w:pPr>
          </w:p>
        </w:tc>
      </w:tr>
      <w:tr w:rsidR="003F73B0" w:rsidRPr="00CA7301" w14:paraId="798BBA2A" w14:textId="77777777" w:rsidTr="00877D8D">
        <w:tc>
          <w:tcPr>
            <w:tcW w:w="486" w:type="dxa"/>
          </w:tcPr>
          <w:p w14:paraId="3130B151" w14:textId="77777777" w:rsidR="003F73B0" w:rsidRPr="00CA7301" w:rsidRDefault="003F73B0" w:rsidP="003F73B0">
            <w:pPr>
              <w:rPr>
                <w:rFonts w:cs="Segoe UI"/>
                <w:sz w:val="17"/>
                <w:szCs w:val="17"/>
              </w:rPr>
            </w:pPr>
            <w:r w:rsidRPr="00CA7301">
              <w:rPr>
                <w:rFonts w:cs="Segoe UI"/>
                <w:sz w:val="17"/>
                <w:szCs w:val="17"/>
              </w:rPr>
              <w:t>20</w:t>
            </w:r>
          </w:p>
        </w:tc>
        <w:tc>
          <w:tcPr>
            <w:tcW w:w="6471" w:type="dxa"/>
          </w:tcPr>
          <w:p w14:paraId="340F4638"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全部酌情、部分酌情，或強制</w:t>
            </w:r>
          </w:p>
        </w:tc>
        <w:tc>
          <w:tcPr>
            <w:tcW w:w="2257" w:type="dxa"/>
            <w:tcBorders>
              <w:right w:val="single" w:sz="4" w:space="0" w:color="auto"/>
            </w:tcBorders>
          </w:tcPr>
          <w:p w14:paraId="4905AB5C" w14:textId="77777777" w:rsidR="003F73B0" w:rsidRPr="00CA7301" w:rsidRDefault="003F73B0" w:rsidP="003F73B0">
            <w:pPr>
              <w:rPr>
                <w:rFonts w:cs="Segoe UI"/>
                <w:sz w:val="17"/>
                <w:szCs w:val="17"/>
                <w:lang w:eastAsia="zh-TW"/>
              </w:rPr>
            </w:pPr>
          </w:p>
        </w:tc>
      </w:tr>
      <w:tr w:rsidR="003F73B0" w:rsidRPr="00CA7301" w14:paraId="5928DFD4" w14:textId="77777777" w:rsidTr="00877D8D">
        <w:tc>
          <w:tcPr>
            <w:tcW w:w="486" w:type="dxa"/>
          </w:tcPr>
          <w:p w14:paraId="0071E3FC" w14:textId="77777777" w:rsidR="003F73B0" w:rsidRPr="00CA7301" w:rsidRDefault="003F73B0" w:rsidP="003F73B0">
            <w:pPr>
              <w:rPr>
                <w:rFonts w:cs="Segoe UI"/>
                <w:sz w:val="17"/>
                <w:szCs w:val="17"/>
              </w:rPr>
            </w:pPr>
            <w:r w:rsidRPr="00CA7301">
              <w:rPr>
                <w:rFonts w:cs="Segoe UI"/>
                <w:sz w:val="17"/>
                <w:szCs w:val="17"/>
              </w:rPr>
              <w:t>21</w:t>
            </w:r>
          </w:p>
        </w:tc>
        <w:tc>
          <w:tcPr>
            <w:tcW w:w="6471" w:type="dxa"/>
          </w:tcPr>
          <w:p w14:paraId="2C43DE70"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設有遞升息率或其他贖回誘因</w:t>
            </w:r>
          </w:p>
        </w:tc>
        <w:tc>
          <w:tcPr>
            <w:tcW w:w="2257" w:type="dxa"/>
            <w:tcBorders>
              <w:right w:val="single" w:sz="4" w:space="0" w:color="auto"/>
            </w:tcBorders>
          </w:tcPr>
          <w:p w14:paraId="42B948C1" w14:textId="77777777" w:rsidR="003F73B0" w:rsidRPr="00CA7301" w:rsidRDefault="003F73B0" w:rsidP="003F73B0">
            <w:pPr>
              <w:rPr>
                <w:rFonts w:cs="Segoe UI"/>
                <w:sz w:val="17"/>
                <w:szCs w:val="17"/>
                <w:lang w:eastAsia="zh-TW"/>
              </w:rPr>
            </w:pPr>
          </w:p>
        </w:tc>
      </w:tr>
      <w:tr w:rsidR="003F73B0" w:rsidRPr="00CA7301" w14:paraId="5B3351F2" w14:textId="77777777" w:rsidTr="00877D8D">
        <w:tc>
          <w:tcPr>
            <w:tcW w:w="486" w:type="dxa"/>
          </w:tcPr>
          <w:p w14:paraId="101FA3BB" w14:textId="77777777" w:rsidR="003F73B0" w:rsidRPr="00CA7301" w:rsidRDefault="003F73B0" w:rsidP="003F73B0">
            <w:pPr>
              <w:rPr>
                <w:rFonts w:cs="Segoe UI"/>
                <w:sz w:val="17"/>
                <w:szCs w:val="17"/>
              </w:rPr>
            </w:pPr>
            <w:r w:rsidRPr="00CA7301">
              <w:rPr>
                <w:rFonts w:cs="Segoe UI"/>
                <w:sz w:val="17"/>
                <w:szCs w:val="17"/>
              </w:rPr>
              <w:t>22</w:t>
            </w:r>
          </w:p>
        </w:tc>
        <w:tc>
          <w:tcPr>
            <w:tcW w:w="6471" w:type="dxa"/>
          </w:tcPr>
          <w:p w14:paraId="28D8FD00" w14:textId="77777777" w:rsidR="003F73B0" w:rsidRPr="00CA7301" w:rsidRDefault="003F73B0" w:rsidP="003F73B0">
            <w:pPr>
              <w:ind w:leftChars="165" w:left="330"/>
              <w:rPr>
                <w:rFonts w:cs="Segoe UI"/>
                <w:sz w:val="17"/>
                <w:szCs w:val="17"/>
              </w:rPr>
            </w:pPr>
            <w:proofErr w:type="spellStart"/>
            <w:r w:rsidRPr="00CA7301">
              <w:rPr>
                <w:rFonts w:eastAsia="細明體" w:cs="Segoe UI"/>
                <w:sz w:val="17"/>
                <w:szCs w:val="17"/>
              </w:rPr>
              <w:t>非累計或累計</w:t>
            </w:r>
            <w:proofErr w:type="spellEnd"/>
          </w:p>
        </w:tc>
        <w:tc>
          <w:tcPr>
            <w:tcW w:w="2257" w:type="dxa"/>
            <w:tcBorders>
              <w:right w:val="single" w:sz="4" w:space="0" w:color="auto"/>
            </w:tcBorders>
          </w:tcPr>
          <w:p w14:paraId="276EA817" w14:textId="77777777" w:rsidR="003F73B0" w:rsidRPr="00CA7301" w:rsidRDefault="003F73B0" w:rsidP="003F73B0">
            <w:pPr>
              <w:rPr>
                <w:rFonts w:cs="Segoe UI"/>
                <w:sz w:val="17"/>
                <w:szCs w:val="17"/>
              </w:rPr>
            </w:pPr>
          </w:p>
        </w:tc>
      </w:tr>
      <w:tr w:rsidR="003F73B0" w:rsidRPr="00CA7301" w14:paraId="4482EC73" w14:textId="77777777" w:rsidTr="00877D8D">
        <w:tc>
          <w:tcPr>
            <w:tcW w:w="486" w:type="dxa"/>
          </w:tcPr>
          <w:p w14:paraId="5ADB97B7" w14:textId="77777777" w:rsidR="003F73B0" w:rsidRPr="00CA7301" w:rsidRDefault="003F73B0" w:rsidP="003F73B0">
            <w:pPr>
              <w:rPr>
                <w:rFonts w:cs="Segoe UI"/>
                <w:sz w:val="17"/>
                <w:szCs w:val="17"/>
              </w:rPr>
            </w:pPr>
            <w:r w:rsidRPr="00CA7301">
              <w:rPr>
                <w:rFonts w:cs="Segoe UI"/>
                <w:sz w:val="17"/>
                <w:szCs w:val="17"/>
              </w:rPr>
              <w:t>23</w:t>
            </w:r>
          </w:p>
        </w:tc>
        <w:tc>
          <w:tcPr>
            <w:tcW w:w="6471" w:type="dxa"/>
          </w:tcPr>
          <w:p w14:paraId="3558296A" w14:textId="77777777" w:rsidR="003F73B0" w:rsidRPr="00CA7301" w:rsidRDefault="003F73B0" w:rsidP="003F73B0">
            <w:pPr>
              <w:rPr>
                <w:rFonts w:cs="Segoe UI"/>
                <w:sz w:val="17"/>
                <w:szCs w:val="17"/>
              </w:rPr>
            </w:pPr>
            <w:proofErr w:type="spellStart"/>
            <w:r w:rsidRPr="00CA7301">
              <w:rPr>
                <w:rFonts w:eastAsia="細明體" w:cs="Segoe UI"/>
                <w:sz w:val="17"/>
                <w:szCs w:val="17"/>
              </w:rPr>
              <w:t>可轉換或不可轉換</w:t>
            </w:r>
            <w:proofErr w:type="spellEnd"/>
          </w:p>
        </w:tc>
        <w:tc>
          <w:tcPr>
            <w:tcW w:w="2257" w:type="dxa"/>
            <w:tcBorders>
              <w:right w:val="single" w:sz="4" w:space="0" w:color="auto"/>
            </w:tcBorders>
          </w:tcPr>
          <w:p w14:paraId="12398A7F" w14:textId="77777777" w:rsidR="003F73B0" w:rsidRPr="00CA7301" w:rsidRDefault="003F73B0" w:rsidP="003F73B0">
            <w:pPr>
              <w:rPr>
                <w:rFonts w:cs="Segoe UI"/>
                <w:sz w:val="17"/>
                <w:szCs w:val="17"/>
              </w:rPr>
            </w:pPr>
          </w:p>
        </w:tc>
      </w:tr>
      <w:tr w:rsidR="003F73B0" w:rsidRPr="00CA7301" w14:paraId="10DED9E2" w14:textId="77777777" w:rsidTr="00877D8D">
        <w:tc>
          <w:tcPr>
            <w:tcW w:w="486" w:type="dxa"/>
          </w:tcPr>
          <w:p w14:paraId="6DB5C819" w14:textId="77777777" w:rsidR="003F73B0" w:rsidRPr="00CA7301" w:rsidRDefault="003F73B0" w:rsidP="003F73B0">
            <w:pPr>
              <w:rPr>
                <w:rFonts w:cs="Segoe UI"/>
                <w:sz w:val="17"/>
                <w:szCs w:val="17"/>
              </w:rPr>
            </w:pPr>
            <w:r w:rsidRPr="00CA7301">
              <w:rPr>
                <w:rFonts w:cs="Segoe UI"/>
                <w:sz w:val="17"/>
                <w:szCs w:val="17"/>
              </w:rPr>
              <w:t>24</w:t>
            </w:r>
          </w:p>
        </w:tc>
        <w:tc>
          <w:tcPr>
            <w:tcW w:w="6471" w:type="dxa"/>
          </w:tcPr>
          <w:p w14:paraId="71CA5C7E"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若可轉換，轉換觸發事件</w:t>
            </w:r>
          </w:p>
        </w:tc>
        <w:tc>
          <w:tcPr>
            <w:tcW w:w="2257" w:type="dxa"/>
            <w:tcBorders>
              <w:right w:val="single" w:sz="4" w:space="0" w:color="auto"/>
            </w:tcBorders>
          </w:tcPr>
          <w:p w14:paraId="7B4B3FE3" w14:textId="77777777" w:rsidR="003F73B0" w:rsidRPr="00CA7301" w:rsidRDefault="003F73B0" w:rsidP="003F73B0">
            <w:pPr>
              <w:rPr>
                <w:rFonts w:cs="Segoe UI"/>
                <w:sz w:val="17"/>
                <w:szCs w:val="17"/>
                <w:lang w:eastAsia="zh-TW"/>
              </w:rPr>
            </w:pPr>
          </w:p>
        </w:tc>
      </w:tr>
      <w:tr w:rsidR="003F73B0" w:rsidRPr="00CA7301" w14:paraId="2816C29D" w14:textId="77777777" w:rsidTr="00877D8D">
        <w:tc>
          <w:tcPr>
            <w:tcW w:w="486" w:type="dxa"/>
          </w:tcPr>
          <w:p w14:paraId="505974AA" w14:textId="77777777" w:rsidR="003F73B0" w:rsidRPr="00CA7301" w:rsidRDefault="003F73B0" w:rsidP="003F73B0">
            <w:pPr>
              <w:rPr>
                <w:rFonts w:cs="Segoe UI"/>
                <w:sz w:val="17"/>
                <w:szCs w:val="17"/>
              </w:rPr>
            </w:pPr>
            <w:r w:rsidRPr="00CA7301">
              <w:rPr>
                <w:rFonts w:cs="Segoe UI"/>
                <w:sz w:val="17"/>
                <w:szCs w:val="17"/>
              </w:rPr>
              <w:t>25</w:t>
            </w:r>
          </w:p>
        </w:tc>
        <w:tc>
          <w:tcPr>
            <w:tcW w:w="6471" w:type="dxa"/>
          </w:tcPr>
          <w:p w14:paraId="12DD7521"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若可轉換，全部或部分</w:t>
            </w:r>
          </w:p>
        </w:tc>
        <w:tc>
          <w:tcPr>
            <w:tcW w:w="2257" w:type="dxa"/>
            <w:tcBorders>
              <w:right w:val="single" w:sz="4" w:space="0" w:color="auto"/>
            </w:tcBorders>
          </w:tcPr>
          <w:p w14:paraId="54E31E85" w14:textId="77777777" w:rsidR="003F73B0" w:rsidRPr="00CA7301" w:rsidRDefault="003F73B0" w:rsidP="003F73B0">
            <w:pPr>
              <w:rPr>
                <w:rFonts w:cs="Segoe UI"/>
                <w:sz w:val="17"/>
                <w:szCs w:val="17"/>
                <w:lang w:eastAsia="zh-TW"/>
              </w:rPr>
            </w:pPr>
          </w:p>
        </w:tc>
      </w:tr>
      <w:tr w:rsidR="003F73B0" w:rsidRPr="00CA7301" w14:paraId="25704118" w14:textId="77777777" w:rsidTr="00877D8D">
        <w:tc>
          <w:tcPr>
            <w:tcW w:w="486" w:type="dxa"/>
          </w:tcPr>
          <w:p w14:paraId="0C34C2E7" w14:textId="77777777" w:rsidR="003F73B0" w:rsidRPr="00CA7301" w:rsidRDefault="003F73B0" w:rsidP="003F73B0">
            <w:pPr>
              <w:rPr>
                <w:rFonts w:cs="Segoe UI"/>
                <w:sz w:val="17"/>
                <w:szCs w:val="17"/>
              </w:rPr>
            </w:pPr>
            <w:r w:rsidRPr="00CA7301">
              <w:rPr>
                <w:rFonts w:cs="Segoe UI"/>
                <w:sz w:val="17"/>
                <w:szCs w:val="17"/>
              </w:rPr>
              <w:t>26</w:t>
            </w:r>
          </w:p>
        </w:tc>
        <w:tc>
          <w:tcPr>
            <w:tcW w:w="6471" w:type="dxa"/>
          </w:tcPr>
          <w:p w14:paraId="5F25BE6E" w14:textId="77777777" w:rsidR="003F73B0" w:rsidRPr="00CA7301" w:rsidRDefault="003F73B0" w:rsidP="003F73B0">
            <w:pPr>
              <w:ind w:leftChars="165" w:left="330"/>
              <w:rPr>
                <w:rFonts w:cs="Segoe UI"/>
                <w:sz w:val="17"/>
                <w:szCs w:val="17"/>
              </w:rPr>
            </w:pPr>
            <w:proofErr w:type="spellStart"/>
            <w:r w:rsidRPr="00CA7301">
              <w:rPr>
                <w:rFonts w:eastAsia="細明體" w:cs="Segoe UI"/>
                <w:sz w:val="17"/>
                <w:szCs w:val="17"/>
              </w:rPr>
              <w:t>若可轉換，轉換比率</w:t>
            </w:r>
            <w:proofErr w:type="spellEnd"/>
          </w:p>
        </w:tc>
        <w:tc>
          <w:tcPr>
            <w:tcW w:w="2257" w:type="dxa"/>
            <w:tcBorders>
              <w:right w:val="single" w:sz="4" w:space="0" w:color="auto"/>
            </w:tcBorders>
          </w:tcPr>
          <w:p w14:paraId="460769BD" w14:textId="77777777" w:rsidR="003F73B0" w:rsidRPr="00CA7301" w:rsidRDefault="003F73B0" w:rsidP="003F73B0">
            <w:pPr>
              <w:rPr>
                <w:rFonts w:cs="Segoe UI"/>
                <w:sz w:val="17"/>
                <w:szCs w:val="17"/>
              </w:rPr>
            </w:pPr>
          </w:p>
        </w:tc>
      </w:tr>
      <w:tr w:rsidR="003F73B0" w:rsidRPr="00CA7301" w14:paraId="26391A64" w14:textId="77777777" w:rsidTr="00877D8D">
        <w:tc>
          <w:tcPr>
            <w:tcW w:w="486" w:type="dxa"/>
          </w:tcPr>
          <w:p w14:paraId="5E7DE97E" w14:textId="77777777" w:rsidR="003F73B0" w:rsidRPr="00CA7301" w:rsidRDefault="003F73B0" w:rsidP="003F73B0">
            <w:pPr>
              <w:rPr>
                <w:rFonts w:cs="Segoe UI"/>
                <w:sz w:val="17"/>
                <w:szCs w:val="17"/>
              </w:rPr>
            </w:pPr>
            <w:r w:rsidRPr="00CA7301">
              <w:rPr>
                <w:rFonts w:cs="Segoe UI"/>
                <w:sz w:val="17"/>
                <w:szCs w:val="17"/>
              </w:rPr>
              <w:t>27</w:t>
            </w:r>
          </w:p>
        </w:tc>
        <w:tc>
          <w:tcPr>
            <w:tcW w:w="6471" w:type="dxa"/>
          </w:tcPr>
          <w:p w14:paraId="1F737452"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若可轉換，強制或可選擇性轉換</w:t>
            </w:r>
          </w:p>
        </w:tc>
        <w:tc>
          <w:tcPr>
            <w:tcW w:w="2257" w:type="dxa"/>
            <w:tcBorders>
              <w:right w:val="single" w:sz="4" w:space="0" w:color="auto"/>
            </w:tcBorders>
          </w:tcPr>
          <w:p w14:paraId="2B4236B2" w14:textId="77777777" w:rsidR="003F73B0" w:rsidRPr="00CA7301" w:rsidRDefault="003F73B0" w:rsidP="003F73B0">
            <w:pPr>
              <w:rPr>
                <w:rFonts w:cs="Segoe UI"/>
                <w:sz w:val="17"/>
                <w:szCs w:val="17"/>
                <w:lang w:eastAsia="zh-TW"/>
              </w:rPr>
            </w:pPr>
          </w:p>
        </w:tc>
      </w:tr>
      <w:tr w:rsidR="003F73B0" w:rsidRPr="00CA7301" w14:paraId="3C7F2FF1" w14:textId="77777777" w:rsidTr="00877D8D">
        <w:tc>
          <w:tcPr>
            <w:tcW w:w="486" w:type="dxa"/>
          </w:tcPr>
          <w:p w14:paraId="77B62BFE" w14:textId="77777777" w:rsidR="003F73B0" w:rsidRPr="00CA7301" w:rsidRDefault="003F73B0" w:rsidP="003F73B0">
            <w:pPr>
              <w:rPr>
                <w:rFonts w:cs="Segoe UI"/>
                <w:sz w:val="17"/>
                <w:szCs w:val="17"/>
              </w:rPr>
            </w:pPr>
            <w:r w:rsidRPr="00CA7301">
              <w:rPr>
                <w:rFonts w:cs="Segoe UI"/>
                <w:sz w:val="17"/>
                <w:szCs w:val="17"/>
              </w:rPr>
              <w:t>28</w:t>
            </w:r>
          </w:p>
        </w:tc>
        <w:tc>
          <w:tcPr>
            <w:tcW w:w="6471" w:type="dxa"/>
          </w:tcPr>
          <w:p w14:paraId="22C29BEC"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若可轉換，指明轉換後的票據類別</w:t>
            </w:r>
          </w:p>
        </w:tc>
        <w:tc>
          <w:tcPr>
            <w:tcW w:w="2257" w:type="dxa"/>
            <w:tcBorders>
              <w:right w:val="single" w:sz="4" w:space="0" w:color="auto"/>
            </w:tcBorders>
          </w:tcPr>
          <w:p w14:paraId="1EE46EE6" w14:textId="77777777" w:rsidR="003F73B0" w:rsidRPr="00CA7301" w:rsidRDefault="003F73B0" w:rsidP="003F73B0">
            <w:pPr>
              <w:rPr>
                <w:rFonts w:cs="Segoe UI"/>
                <w:sz w:val="17"/>
                <w:szCs w:val="17"/>
                <w:lang w:eastAsia="zh-TW"/>
              </w:rPr>
            </w:pPr>
          </w:p>
        </w:tc>
      </w:tr>
      <w:tr w:rsidR="003F73B0" w:rsidRPr="00CA7301" w14:paraId="366FE8A9" w14:textId="77777777" w:rsidTr="00877D8D">
        <w:tc>
          <w:tcPr>
            <w:tcW w:w="486" w:type="dxa"/>
          </w:tcPr>
          <w:p w14:paraId="765F07D7" w14:textId="77777777" w:rsidR="003F73B0" w:rsidRPr="00CA7301" w:rsidRDefault="003F73B0" w:rsidP="003F73B0">
            <w:pPr>
              <w:rPr>
                <w:rFonts w:cs="Segoe UI"/>
                <w:sz w:val="17"/>
                <w:szCs w:val="17"/>
              </w:rPr>
            </w:pPr>
            <w:r w:rsidRPr="00CA7301">
              <w:rPr>
                <w:rFonts w:cs="Segoe UI"/>
                <w:sz w:val="17"/>
                <w:szCs w:val="17"/>
              </w:rPr>
              <w:t>29</w:t>
            </w:r>
          </w:p>
        </w:tc>
        <w:tc>
          <w:tcPr>
            <w:tcW w:w="6471" w:type="dxa"/>
          </w:tcPr>
          <w:p w14:paraId="36BCB466" w14:textId="77777777" w:rsidR="003F73B0" w:rsidRPr="00CA7301" w:rsidRDefault="003F73B0" w:rsidP="003F73B0">
            <w:pPr>
              <w:ind w:leftChars="165" w:left="330"/>
              <w:rPr>
                <w:rFonts w:cs="Segoe UI"/>
                <w:sz w:val="17"/>
                <w:szCs w:val="17"/>
                <w:lang w:eastAsia="zh-TW"/>
              </w:rPr>
            </w:pPr>
            <w:r w:rsidRPr="00CA7301">
              <w:rPr>
                <w:rFonts w:eastAsia="細明體" w:cs="Segoe UI"/>
                <w:sz w:val="17"/>
                <w:szCs w:val="17"/>
                <w:lang w:eastAsia="zh-TW"/>
              </w:rPr>
              <w:t>若可轉換，指明轉換後的票據發行人</w:t>
            </w:r>
          </w:p>
        </w:tc>
        <w:tc>
          <w:tcPr>
            <w:tcW w:w="2257" w:type="dxa"/>
            <w:tcBorders>
              <w:right w:val="single" w:sz="4" w:space="0" w:color="auto"/>
            </w:tcBorders>
          </w:tcPr>
          <w:p w14:paraId="0061791C" w14:textId="77777777" w:rsidR="003F73B0" w:rsidRPr="00CA7301" w:rsidRDefault="003F73B0" w:rsidP="003F73B0">
            <w:pPr>
              <w:rPr>
                <w:rFonts w:cs="Segoe UI"/>
                <w:sz w:val="17"/>
                <w:szCs w:val="17"/>
                <w:lang w:eastAsia="zh-TW"/>
              </w:rPr>
            </w:pPr>
          </w:p>
        </w:tc>
      </w:tr>
      <w:tr w:rsidR="003F73B0" w:rsidRPr="00CA7301" w14:paraId="56AB573B" w14:textId="77777777" w:rsidTr="00877D8D">
        <w:tc>
          <w:tcPr>
            <w:tcW w:w="486" w:type="dxa"/>
          </w:tcPr>
          <w:p w14:paraId="7E3D6BCA" w14:textId="77777777" w:rsidR="003F73B0" w:rsidRPr="00CA7301" w:rsidRDefault="003F73B0" w:rsidP="003F73B0">
            <w:pPr>
              <w:rPr>
                <w:rFonts w:cs="Segoe UI"/>
                <w:sz w:val="17"/>
                <w:szCs w:val="17"/>
              </w:rPr>
            </w:pPr>
            <w:r w:rsidRPr="00CA7301">
              <w:rPr>
                <w:rFonts w:cs="Segoe UI"/>
                <w:sz w:val="17"/>
                <w:szCs w:val="17"/>
              </w:rPr>
              <w:t>30</w:t>
            </w:r>
          </w:p>
        </w:tc>
        <w:tc>
          <w:tcPr>
            <w:tcW w:w="6471" w:type="dxa"/>
          </w:tcPr>
          <w:p w14:paraId="155D2F27" w14:textId="77777777" w:rsidR="003F73B0" w:rsidRPr="00CA7301" w:rsidRDefault="003F73B0" w:rsidP="003F73B0">
            <w:pPr>
              <w:rPr>
                <w:rFonts w:cs="Segoe UI"/>
                <w:sz w:val="17"/>
                <w:szCs w:val="17"/>
              </w:rPr>
            </w:pPr>
            <w:proofErr w:type="spellStart"/>
            <w:r w:rsidRPr="00CA7301">
              <w:rPr>
                <w:rFonts w:eastAsia="細明體" w:cs="Segoe UI"/>
                <w:sz w:val="17"/>
                <w:szCs w:val="17"/>
              </w:rPr>
              <w:t>減值特點</w:t>
            </w:r>
            <w:proofErr w:type="spellEnd"/>
          </w:p>
        </w:tc>
        <w:tc>
          <w:tcPr>
            <w:tcW w:w="2257" w:type="dxa"/>
            <w:tcBorders>
              <w:right w:val="single" w:sz="4" w:space="0" w:color="auto"/>
            </w:tcBorders>
          </w:tcPr>
          <w:p w14:paraId="32E6ADEE" w14:textId="77777777" w:rsidR="003F73B0" w:rsidRPr="00CA7301" w:rsidRDefault="003F73B0" w:rsidP="003F73B0">
            <w:pPr>
              <w:rPr>
                <w:rFonts w:cs="Segoe UI"/>
                <w:sz w:val="17"/>
                <w:szCs w:val="17"/>
              </w:rPr>
            </w:pPr>
          </w:p>
        </w:tc>
      </w:tr>
      <w:tr w:rsidR="003F73B0" w:rsidRPr="00CA7301" w14:paraId="440150AC" w14:textId="77777777" w:rsidTr="00877D8D">
        <w:tc>
          <w:tcPr>
            <w:tcW w:w="486" w:type="dxa"/>
          </w:tcPr>
          <w:p w14:paraId="063E4F20" w14:textId="77777777" w:rsidR="003F73B0" w:rsidRPr="00CA7301" w:rsidRDefault="003F73B0" w:rsidP="003F73B0">
            <w:pPr>
              <w:rPr>
                <w:rFonts w:cs="Segoe UI"/>
                <w:sz w:val="17"/>
                <w:szCs w:val="17"/>
              </w:rPr>
            </w:pPr>
            <w:r w:rsidRPr="00CA7301">
              <w:rPr>
                <w:rFonts w:cs="Segoe UI"/>
                <w:sz w:val="17"/>
                <w:szCs w:val="17"/>
              </w:rPr>
              <w:t>31</w:t>
            </w:r>
          </w:p>
        </w:tc>
        <w:tc>
          <w:tcPr>
            <w:tcW w:w="6471" w:type="dxa"/>
          </w:tcPr>
          <w:p w14:paraId="1F6E2631" w14:textId="77777777" w:rsidR="003F73B0" w:rsidRPr="00CA7301" w:rsidRDefault="003F73B0" w:rsidP="003F73B0">
            <w:pPr>
              <w:ind w:leftChars="165" w:left="330"/>
              <w:rPr>
                <w:rFonts w:cs="Segoe UI"/>
                <w:sz w:val="17"/>
                <w:szCs w:val="17"/>
                <w:lang w:eastAsia="zh-TW"/>
              </w:rPr>
            </w:pPr>
            <w:proofErr w:type="gramStart"/>
            <w:r w:rsidRPr="00CA7301">
              <w:rPr>
                <w:rFonts w:eastAsia="細明體" w:cs="Segoe UI"/>
                <w:sz w:val="17"/>
                <w:szCs w:val="17"/>
                <w:lang w:eastAsia="zh-TW"/>
              </w:rPr>
              <w:t>若減值，減值</w:t>
            </w:r>
            <w:proofErr w:type="gramEnd"/>
            <w:r w:rsidRPr="00CA7301">
              <w:rPr>
                <w:rFonts w:eastAsia="細明體" w:cs="Segoe UI"/>
                <w:sz w:val="17"/>
                <w:szCs w:val="17"/>
                <w:lang w:eastAsia="zh-TW"/>
              </w:rPr>
              <w:t>的觸發點</w:t>
            </w:r>
          </w:p>
        </w:tc>
        <w:tc>
          <w:tcPr>
            <w:tcW w:w="2257" w:type="dxa"/>
            <w:tcBorders>
              <w:right w:val="single" w:sz="4" w:space="0" w:color="auto"/>
            </w:tcBorders>
          </w:tcPr>
          <w:p w14:paraId="5FBBD5AE" w14:textId="77777777" w:rsidR="003F73B0" w:rsidRPr="00CA7301" w:rsidRDefault="003F73B0" w:rsidP="003F73B0">
            <w:pPr>
              <w:rPr>
                <w:rFonts w:cs="Segoe UI"/>
                <w:sz w:val="17"/>
                <w:szCs w:val="17"/>
                <w:lang w:eastAsia="zh-TW"/>
              </w:rPr>
            </w:pPr>
          </w:p>
        </w:tc>
      </w:tr>
      <w:tr w:rsidR="003F73B0" w:rsidRPr="00CA7301" w14:paraId="13E9BFB1" w14:textId="77777777" w:rsidTr="00877D8D">
        <w:tc>
          <w:tcPr>
            <w:tcW w:w="486" w:type="dxa"/>
          </w:tcPr>
          <w:p w14:paraId="0180B5DF" w14:textId="77777777" w:rsidR="003F73B0" w:rsidRPr="00CA7301" w:rsidRDefault="003F73B0" w:rsidP="003F73B0">
            <w:pPr>
              <w:rPr>
                <w:rFonts w:cs="Segoe UI"/>
                <w:sz w:val="17"/>
                <w:szCs w:val="17"/>
              </w:rPr>
            </w:pPr>
            <w:r w:rsidRPr="00CA7301">
              <w:rPr>
                <w:rFonts w:cs="Segoe UI"/>
                <w:sz w:val="17"/>
                <w:szCs w:val="17"/>
              </w:rPr>
              <w:t>32</w:t>
            </w:r>
          </w:p>
        </w:tc>
        <w:tc>
          <w:tcPr>
            <w:tcW w:w="6471" w:type="dxa"/>
          </w:tcPr>
          <w:p w14:paraId="41CDE841" w14:textId="77777777" w:rsidR="003F73B0" w:rsidRPr="00CA7301" w:rsidRDefault="003F73B0" w:rsidP="003F73B0">
            <w:pPr>
              <w:ind w:leftChars="165" w:left="330"/>
              <w:rPr>
                <w:rFonts w:cs="Segoe UI"/>
                <w:sz w:val="17"/>
                <w:szCs w:val="17"/>
              </w:rPr>
            </w:pPr>
            <w:proofErr w:type="spellStart"/>
            <w:r w:rsidRPr="00CA7301">
              <w:rPr>
                <w:rFonts w:eastAsia="細明體" w:cs="Segoe UI"/>
                <w:sz w:val="17"/>
                <w:szCs w:val="17"/>
              </w:rPr>
              <w:t>若減值，全部或部分</w:t>
            </w:r>
            <w:proofErr w:type="spellEnd"/>
          </w:p>
        </w:tc>
        <w:tc>
          <w:tcPr>
            <w:tcW w:w="2257" w:type="dxa"/>
            <w:tcBorders>
              <w:right w:val="single" w:sz="4" w:space="0" w:color="auto"/>
            </w:tcBorders>
          </w:tcPr>
          <w:p w14:paraId="1353E0F5" w14:textId="77777777" w:rsidR="003F73B0" w:rsidRPr="00CA7301" w:rsidRDefault="003F73B0" w:rsidP="003F73B0">
            <w:pPr>
              <w:rPr>
                <w:rFonts w:cs="Segoe UI"/>
                <w:sz w:val="17"/>
                <w:szCs w:val="17"/>
              </w:rPr>
            </w:pPr>
          </w:p>
        </w:tc>
      </w:tr>
      <w:tr w:rsidR="003F73B0" w:rsidRPr="00CA7301" w14:paraId="4D10F4FB" w14:textId="77777777" w:rsidTr="00877D8D">
        <w:tc>
          <w:tcPr>
            <w:tcW w:w="486" w:type="dxa"/>
          </w:tcPr>
          <w:p w14:paraId="096BB4FB" w14:textId="77777777" w:rsidR="003F73B0" w:rsidRPr="00CA7301" w:rsidRDefault="003F73B0" w:rsidP="003F73B0">
            <w:pPr>
              <w:rPr>
                <w:rFonts w:cs="Segoe UI"/>
                <w:sz w:val="17"/>
                <w:szCs w:val="17"/>
              </w:rPr>
            </w:pPr>
            <w:r w:rsidRPr="00CA7301">
              <w:rPr>
                <w:rFonts w:cs="Segoe UI"/>
                <w:sz w:val="17"/>
                <w:szCs w:val="17"/>
              </w:rPr>
              <w:t>33</w:t>
            </w:r>
          </w:p>
        </w:tc>
        <w:tc>
          <w:tcPr>
            <w:tcW w:w="6471" w:type="dxa"/>
          </w:tcPr>
          <w:p w14:paraId="040AC632" w14:textId="77777777" w:rsidR="003F73B0" w:rsidRPr="00CA7301" w:rsidRDefault="003F73B0" w:rsidP="003F73B0">
            <w:pPr>
              <w:ind w:leftChars="165" w:left="330"/>
              <w:rPr>
                <w:rFonts w:cs="Segoe UI"/>
                <w:sz w:val="17"/>
                <w:szCs w:val="17"/>
                <w:lang w:eastAsia="zh-TW"/>
              </w:rPr>
            </w:pPr>
            <w:proofErr w:type="gramStart"/>
            <w:r w:rsidRPr="00CA7301">
              <w:rPr>
                <w:rFonts w:eastAsia="細明體" w:cs="Segoe UI"/>
                <w:sz w:val="17"/>
                <w:szCs w:val="17"/>
                <w:lang w:eastAsia="zh-TW"/>
              </w:rPr>
              <w:t>若減值</w:t>
            </w:r>
            <w:proofErr w:type="gramEnd"/>
            <w:r w:rsidRPr="00CA7301">
              <w:rPr>
                <w:rFonts w:eastAsia="細明體" w:cs="Segoe UI"/>
                <w:sz w:val="17"/>
                <w:szCs w:val="17"/>
                <w:lang w:eastAsia="zh-TW"/>
              </w:rPr>
              <w:t>，永久或臨時性質</w:t>
            </w:r>
          </w:p>
        </w:tc>
        <w:tc>
          <w:tcPr>
            <w:tcW w:w="2257" w:type="dxa"/>
            <w:tcBorders>
              <w:right w:val="single" w:sz="4" w:space="0" w:color="auto"/>
            </w:tcBorders>
          </w:tcPr>
          <w:p w14:paraId="2C622ACE" w14:textId="77777777" w:rsidR="003F73B0" w:rsidRPr="00CA7301" w:rsidRDefault="003F73B0" w:rsidP="003F73B0">
            <w:pPr>
              <w:rPr>
                <w:rFonts w:cs="Segoe UI"/>
                <w:sz w:val="17"/>
                <w:szCs w:val="17"/>
                <w:lang w:eastAsia="zh-TW"/>
              </w:rPr>
            </w:pPr>
          </w:p>
        </w:tc>
      </w:tr>
      <w:tr w:rsidR="003F73B0" w:rsidRPr="00CA7301" w14:paraId="4C6CA0E4" w14:textId="77777777" w:rsidTr="00877D8D">
        <w:tc>
          <w:tcPr>
            <w:tcW w:w="486" w:type="dxa"/>
          </w:tcPr>
          <w:p w14:paraId="1E931A5A" w14:textId="77777777" w:rsidR="003F73B0" w:rsidRPr="00CA7301" w:rsidRDefault="003F73B0" w:rsidP="003F73B0">
            <w:pPr>
              <w:rPr>
                <w:rFonts w:cs="Segoe UI"/>
                <w:sz w:val="17"/>
                <w:szCs w:val="17"/>
              </w:rPr>
            </w:pPr>
            <w:r w:rsidRPr="00CA7301">
              <w:rPr>
                <w:rFonts w:cs="Segoe UI"/>
                <w:sz w:val="17"/>
                <w:szCs w:val="17"/>
              </w:rPr>
              <w:t>34</w:t>
            </w:r>
          </w:p>
        </w:tc>
        <w:tc>
          <w:tcPr>
            <w:tcW w:w="6471" w:type="dxa"/>
          </w:tcPr>
          <w:p w14:paraId="0C66A805" w14:textId="77777777" w:rsidR="003F73B0" w:rsidRPr="00CA7301" w:rsidRDefault="003F73B0" w:rsidP="003F73B0">
            <w:pPr>
              <w:ind w:leftChars="378" w:left="756"/>
              <w:rPr>
                <w:rFonts w:cs="Segoe UI"/>
                <w:sz w:val="17"/>
                <w:szCs w:val="17"/>
                <w:lang w:eastAsia="zh-TW"/>
              </w:rPr>
            </w:pPr>
            <w:r w:rsidRPr="00CA7301">
              <w:rPr>
                <w:rFonts w:eastAsia="細明體" w:cs="Segoe UI"/>
                <w:sz w:val="17"/>
                <w:szCs w:val="17"/>
                <w:lang w:eastAsia="zh-TW"/>
              </w:rPr>
              <w:t>若屬</w:t>
            </w:r>
            <w:proofErr w:type="gramStart"/>
            <w:r w:rsidRPr="00CA7301">
              <w:rPr>
                <w:rFonts w:eastAsia="細明體" w:cs="Segoe UI"/>
                <w:sz w:val="17"/>
                <w:szCs w:val="17"/>
                <w:lang w:eastAsia="zh-TW"/>
              </w:rPr>
              <w:t>臨時減值</w:t>
            </w:r>
            <w:proofErr w:type="gramEnd"/>
            <w:r w:rsidRPr="00CA7301">
              <w:rPr>
                <w:rFonts w:eastAsia="細明體" w:cs="Segoe UI"/>
                <w:sz w:val="17"/>
                <w:szCs w:val="17"/>
                <w:lang w:eastAsia="zh-TW"/>
              </w:rPr>
              <w:t>，說明債務回復機制</w:t>
            </w:r>
          </w:p>
        </w:tc>
        <w:tc>
          <w:tcPr>
            <w:tcW w:w="2257" w:type="dxa"/>
            <w:tcBorders>
              <w:right w:val="single" w:sz="4" w:space="0" w:color="auto"/>
            </w:tcBorders>
          </w:tcPr>
          <w:p w14:paraId="59487991" w14:textId="77777777" w:rsidR="003F73B0" w:rsidRPr="00CA7301" w:rsidRDefault="003F73B0" w:rsidP="003F73B0">
            <w:pPr>
              <w:rPr>
                <w:rFonts w:cs="Segoe UI"/>
                <w:sz w:val="17"/>
                <w:szCs w:val="17"/>
                <w:lang w:eastAsia="zh-TW"/>
              </w:rPr>
            </w:pPr>
          </w:p>
        </w:tc>
      </w:tr>
      <w:tr w:rsidR="003F73B0" w:rsidRPr="00CA7301" w14:paraId="16CE0A77" w14:textId="77777777" w:rsidTr="00877D8D">
        <w:tc>
          <w:tcPr>
            <w:tcW w:w="486" w:type="dxa"/>
          </w:tcPr>
          <w:p w14:paraId="7E653646" w14:textId="77777777" w:rsidR="003F73B0" w:rsidRPr="00CA7301" w:rsidRDefault="003F73B0" w:rsidP="003F73B0">
            <w:pPr>
              <w:rPr>
                <w:rFonts w:cs="Segoe UI"/>
                <w:sz w:val="17"/>
                <w:szCs w:val="17"/>
              </w:rPr>
            </w:pPr>
            <w:r w:rsidRPr="00CA7301">
              <w:rPr>
                <w:rFonts w:cs="Segoe UI"/>
                <w:sz w:val="17"/>
                <w:szCs w:val="17"/>
              </w:rPr>
              <w:t>35</w:t>
            </w:r>
          </w:p>
        </w:tc>
        <w:tc>
          <w:tcPr>
            <w:tcW w:w="6471" w:type="dxa"/>
          </w:tcPr>
          <w:p w14:paraId="0BE00768"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清盤時在償還優次級別中的位置</w:t>
            </w:r>
            <w:r w:rsidRPr="00CA7301">
              <w:rPr>
                <w:rFonts w:eastAsiaTheme="minorEastAsia" w:cs="Segoe UI"/>
                <w:sz w:val="17"/>
                <w:szCs w:val="17"/>
                <w:lang w:eastAsia="zh-TW"/>
              </w:rPr>
              <w:t>（</w:t>
            </w:r>
            <w:r w:rsidRPr="00CA7301">
              <w:rPr>
                <w:rFonts w:eastAsia="細明體" w:cs="Segoe UI"/>
                <w:sz w:val="17"/>
                <w:szCs w:val="17"/>
                <w:lang w:eastAsia="zh-TW"/>
              </w:rPr>
              <w:t>指明相關法律實體無力償債時在償權人等級中緊接較其優先</w:t>
            </w:r>
            <w:proofErr w:type="gramStart"/>
            <w:r w:rsidRPr="00CA7301">
              <w:rPr>
                <w:rFonts w:eastAsia="細明體" w:cs="Segoe UI"/>
                <w:sz w:val="17"/>
                <w:szCs w:val="17"/>
                <w:lang w:eastAsia="zh-TW"/>
              </w:rPr>
              <w:t>的票據的票據</w:t>
            </w:r>
            <w:proofErr w:type="gramEnd"/>
            <w:r w:rsidRPr="00CA7301">
              <w:rPr>
                <w:rFonts w:eastAsia="細明體" w:cs="Segoe UI"/>
                <w:sz w:val="17"/>
                <w:szCs w:val="17"/>
                <w:lang w:eastAsia="zh-TW"/>
              </w:rPr>
              <w:t>類別）</w:t>
            </w:r>
          </w:p>
        </w:tc>
        <w:tc>
          <w:tcPr>
            <w:tcW w:w="2257" w:type="dxa"/>
            <w:tcBorders>
              <w:right w:val="single" w:sz="4" w:space="0" w:color="auto"/>
            </w:tcBorders>
          </w:tcPr>
          <w:p w14:paraId="2C88CA85" w14:textId="77777777" w:rsidR="003F73B0" w:rsidRPr="00CA7301" w:rsidRDefault="003F73B0" w:rsidP="003F73B0">
            <w:pPr>
              <w:rPr>
                <w:rFonts w:cs="Segoe UI"/>
                <w:sz w:val="17"/>
                <w:szCs w:val="17"/>
                <w:lang w:eastAsia="zh-TW"/>
              </w:rPr>
            </w:pPr>
          </w:p>
        </w:tc>
      </w:tr>
      <w:tr w:rsidR="003F73B0" w:rsidRPr="00CA7301" w14:paraId="56DCB416" w14:textId="77777777" w:rsidTr="00B0477A">
        <w:tc>
          <w:tcPr>
            <w:tcW w:w="486" w:type="dxa"/>
          </w:tcPr>
          <w:p w14:paraId="797428E8" w14:textId="77777777" w:rsidR="003F73B0" w:rsidRPr="00CA7301" w:rsidRDefault="003F73B0" w:rsidP="003F73B0">
            <w:pPr>
              <w:rPr>
                <w:rFonts w:cs="Segoe UI"/>
                <w:sz w:val="17"/>
                <w:szCs w:val="17"/>
              </w:rPr>
            </w:pPr>
            <w:r w:rsidRPr="00CA7301">
              <w:rPr>
                <w:rFonts w:cs="Segoe UI"/>
                <w:sz w:val="17"/>
                <w:szCs w:val="17"/>
              </w:rPr>
              <w:t>36</w:t>
            </w:r>
          </w:p>
        </w:tc>
        <w:tc>
          <w:tcPr>
            <w:tcW w:w="6471" w:type="dxa"/>
          </w:tcPr>
          <w:p w14:paraId="78523687" w14:textId="77777777" w:rsidR="003F73B0" w:rsidRPr="00CA7301" w:rsidRDefault="003F73B0" w:rsidP="003F73B0">
            <w:pPr>
              <w:rPr>
                <w:rFonts w:cs="Segoe UI"/>
                <w:sz w:val="17"/>
                <w:szCs w:val="17"/>
              </w:rPr>
            </w:pPr>
            <w:proofErr w:type="spellStart"/>
            <w:r w:rsidRPr="00CA7301">
              <w:rPr>
                <w:rFonts w:eastAsia="細明體" w:cs="Segoe UI"/>
                <w:sz w:val="17"/>
                <w:szCs w:val="17"/>
              </w:rPr>
              <w:t>可過渡的不合規特點</w:t>
            </w:r>
            <w:proofErr w:type="spellEnd"/>
          </w:p>
        </w:tc>
        <w:tc>
          <w:tcPr>
            <w:tcW w:w="2257" w:type="dxa"/>
            <w:tcBorders>
              <w:right w:val="single" w:sz="4" w:space="0" w:color="auto"/>
            </w:tcBorders>
            <w:shd w:val="clear" w:color="auto" w:fill="D9D9D9" w:themeFill="background1" w:themeFillShade="D9"/>
          </w:tcPr>
          <w:p w14:paraId="0502C8C4" w14:textId="71731769" w:rsidR="003F73B0" w:rsidRPr="00B0477A" w:rsidRDefault="001D1285" w:rsidP="00B0477A">
            <w:pPr>
              <w:jc w:val="center"/>
              <w:rPr>
                <w:rFonts w:ascii="細明體" w:eastAsia="細明體" w:hAnsi="細明體" w:cs="Segoe UI"/>
                <w:sz w:val="17"/>
                <w:szCs w:val="17"/>
              </w:rPr>
            </w:pPr>
            <w:r w:rsidRPr="00B0477A">
              <w:rPr>
                <w:rFonts w:ascii="細明體" w:eastAsia="細明體" w:hAnsi="細明體" w:cs="微軟正黑體" w:hint="eastAsia"/>
                <w:sz w:val="17"/>
                <w:szCs w:val="17"/>
                <w:lang w:eastAsia="zh-TW"/>
              </w:rPr>
              <w:t>不適用</w:t>
            </w:r>
          </w:p>
        </w:tc>
      </w:tr>
      <w:tr w:rsidR="003F73B0" w:rsidRPr="00CA7301" w14:paraId="0F1D9028" w14:textId="77777777" w:rsidTr="00B0477A">
        <w:tc>
          <w:tcPr>
            <w:tcW w:w="486" w:type="dxa"/>
          </w:tcPr>
          <w:p w14:paraId="6BF58243" w14:textId="77777777" w:rsidR="003F73B0" w:rsidRPr="00CA7301" w:rsidRDefault="003F73B0" w:rsidP="003F73B0">
            <w:pPr>
              <w:rPr>
                <w:rFonts w:cs="Segoe UI"/>
                <w:sz w:val="17"/>
                <w:szCs w:val="17"/>
              </w:rPr>
            </w:pPr>
            <w:r w:rsidRPr="00CA7301">
              <w:rPr>
                <w:rFonts w:cs="Segoe UI"/>
                <w:sz w:val="17"/>
                <w:szCs w:val="17"/>
              </w:rPr>
              <w:t>37</w:t>
            </w:r>
          </w:p>
        </w:tc>
        <w:tc>
          <w:tcPr>
            <w:tcW w:w="6471" w:type="dxa"/>
          </w:tcPr>
          <w:p w14:paraId="44932F1D" w14:textId="77777777" w:rsidR="003F73B0" w:rsidRPr="00CA7301" w:rsidRDefault="003F73B0" w:rsidP="003F73B0">
            <w:pPr>
              <w:rPr>
                <w:rFonts w:cs="Segoe UI"/>
                <w:sz w:val="17"/>
                <w:szCs w:val="17"/>
                <w:lang w:eastAsia="zh-TW"/>
              </w:rPr>
            </w:pPr>
            <w:r w:rsidRPr="00CA7301">
              <w:rPr>
                <w:rFonts w:eastAsia="細明體" w:cs="Segoe UI"/>
                <w:sz w:val="17"/>
                <w:szCs w:val="17"/>
                <w:lang w:eastAsia="zh-TW"/>
              </w:rPr>
              <w:t>如是，指明不合</w:t>
            </w:r>
            <w:proofErr w:type="gramStart"/>
            <w:r w:rsidRPr="00CA7301">
              <w:rPr>
                <w:rFonts w:eastAsia="細明體" w:cs="Segoe UI"/>
                <w:sz w:val="17"/>
                <w:szCs w:val="17"/>
                <w:lang w:eastAsia="zh-TW"/>
              </w:rPr>
              <w:t>規</w:t>
            </w:r>
            <w:proofErr w:type="gramEnd"/>
            <w:r w:rsidRPr="00CA7301">
              <w:rPr>
                <w:rFonts w:eastAsia="細明體" w:cs="Segoe UI"/>
                <w:sz w:val="17"/>
                <w:szCs w:val="17"/>
                <w:lang w:eastAsia="zh-TW"/>
              </w:rPr>
              <w:t>特點</w:t>
            </w:r>
          </w:p>
        </w:tc>
        <w:tc>
          <w:tcPr>
            <w:tcW w:w="2257" w:type="dxa"/>
            <w:tcBorders>
              <w:right w:val="single" w:sz="4" w:space="0" w:color="auto"/>
            </w:tcBorders>
            <w:shd w:val="clear" w:color="auto" w:fill="D9D9D9" w:themeFill="background1" w:themeFillShade="D9"/>
          </w:tcPr>
          <w:p w14:paraId="5D833F3B" w14:textId="251FFD02" w:rsidR="003F73B0" w:rsidRPr="00B0477A" w:rsidRDefault="001D1285" w:rsidP="00B0477A">
            <w:pPr>
              <w:jc w:val="center"/>
              <w:rPr>
                <w:rFonts w:ascii="細明體" w:eastAsia="細明體" w:hAnsi="細明體" w:cs="Segoe UI"/>
                <w:sz w:val="17"/>
                <w:szCs w:val="17"/>
                <w:lang w:eastAsia="zh-TW"/>
              </w:rPr>
            </w:pPr>
            <w:r w:rsidRPr="00B0477A">
              <w:rPr>
                <w:rFonts w:ascii="細明體" w:eastAsia="細明體" w:hAnsi="細明體" w:cs="微軟正黑體" w:hint="eastAsia"/>
                <w:sz w:val="17"/>
                <w:szCs w:val="17"/>
                <w:lang w:eastAsia="zh-TW"/>
              </w:rPr>
              <w:t>不適用</w:t>
            </w:r>
          </w:p>
        </w:tc>
      </w:tr>
      <w:tr w:rsidR="003F73B0" w:rsidRPr="00CA7301" w14:paraId="70CA15BC" w14:textId="77777777" w:rsidTr="00877D8D">
        <w:tc>
          <w:tcPr>
            <w:tcW w:w="9214" w:type="dxa"/>
            <w:gridSpan w:val="3"/>
            <w:tcBorders>
              <w:right w:val="single" w:sz="4" w:space="0" w:color="auto"/>
            </w:tcBorders>
          </w:tcPr>
          <w:p w14:paraId="7C2FFA36" w14:textId="77777777" w:rsidR="003F73B0" w:rsidRPr="00CA7301" w:rsidRDefault="003F73B0" w:rsidP="003F73B0">
            <w:pPr>
              <w:snapToGrid w:val="0"/>
              <w:spacing w:before="40" w:after="40" w:line="240" w:lineRule="exact"/>
              <w:ind w:leftChars="-54" w:left="-108"/>
              <w:jc w:val="both"/>
              <w:rPr>
                <w:rFonts w:cs="Segoe UI"/>
                <w:i/>
                <w:sz w:val="17"/>
                <w:szCs w:val="17"/>
                <w:lang w:eastAsia="it-IT"/>
              </w:rPr>
            </w:pPr>
            <w:r w:rsidRPr="00CA7301">
              <w:rPr>
                <w:rFonts w:eastAsiaTheme="minorEastAsia" w:cs="Segoe UI"/>
                <w:i/>
                <w:sz w:val="17"/>
                <w:szCs w:val="17"/>
                <w:lang w:eastAsia="zh-TW"/>
              </w:rPr>
              <w:t>注意事項：</w:t>
            </w:r>
          </w:p>
          <w:p w14:paraId="579EE5D9" w14:textId="6AD8F80D" w:rsidR="003F73B0" w:rsidRPr="006B027C" w:rsidRDefault="003F73B0" w:rsidP="00D540EB">
            <w:pPr>
              <w:numPr>
                <w:ilvl w:val="0"/>
                <w:numId w:val="13"/>
              </w:numPr>
              <w:spacing w:after="60" w:line="240" w:lineRule="exact"/>
              <w:ind w:left="317" w:hanging="425"/>
              <w:jc w:val="both"/>
              <w:rPr>
                <w:rFonts w:cs="Segoe UI"/>
                <w:iCs/>
                <w:sz w:val="17"/>
                <w:szCs w:val="17"/>
                <w:lang w:eastAsia="zh-TW"/>
              </w:rPr>
            </w:pPr>
            <w:r w:rsidRPr="006B027C">
              <w:rPr>
                <w:rFonts w:eastAsiaTheme="minorEastAsia" w:cs="Segoe UI"/>
                <w:iCs/>
                <w:sz w:val="17"/>
                <w:szCs w:val="17"/>
                <w:lang w:eastAsia="zh-TW"/>
              </w:rPr>
              <w:t>認可機構應</w:t>
            </w:r>
            <w:r w:rsidR="00466AFB" w:rsidRPr="006B027C">
              <w:rPr>
                <w:rFonts w:eastAsiaTheme="minorEastAsia" w:cs="Segoe UI" w:hint="eastAsia"/>
                <w:iCs/>
                <w:sz w:val="17"/>
                <w:szCs w:val="17"/>
                <w:lang w:eastAsia="zh-HK"/>
              </w:rPr>
              <w:t>填</w:t>
            </w:r>
            <w:r w:rsidRPr="006B027C">
              <w:rPr>
                <w:rFonts w:eastAsiaTheme="minorEastAsia" w:cs="Segoe UI"/>
                <w:iCs/>
                <w:sz w:val="17"/>
                <w:szCs w:val="17"/>
                <w:lang w:eastAsia="zh-TW"/>
              </w:rPr>
              <w:t>報每項</w:t>
            </w:r>
            <w:proofErr w:type="gramStart"/>
            <w:r w:rsidRPr="006B027C">
              <w:rPr>
                <w:rFonts w:eastAsiaTheme="minorEastAsia" w:cs="Segoe UI"/>
                <w:iCs/>
                <w:sz w:val="17"/>
                <w:szCs w:val="17"/>
                <w:lang w:eastAsia="zh-TW"/>
              </w:rPr>
              <w:t>未償</w:t>
            </w:r>
            <w:proofErr w:type="gramEnd"/>
            <w:r w:rsidRPr="006B027C">
              <w:rPr>
                <w:rFonts w:eastAsiaTheme="minorEastAsia" w:cs="Segoe UI"/>
                <w:iCs/>
                <w:sz w:val="17"/>
                <w:szCs w:val="17"/>
                <w:lang w:eastAsia="zh-TW"/>
              </w:rPr>
              <w:t>還監管資本票據的主要特點。若有項目不適用於某特定資本票據，應輸入「不適用」。</w:t>
            </w:r>
          </w:p>
          <w:p w14:paraId="05E495F8" w14:textId="20B0EF34" w:rsidR="003F73B0" w:rsidRPr="006B027C" w:rsidRDefault="003F73B0" w:rsidP="00D540EB">
            <w:pPr>
              <w:numPr>
                <w:ilvl w:val="0"/>
                <w:numId w:val="13"/>
              </w:numPr>
              <w:spacing w:after="60" w:line="240" w:lineRule="exact"/>
              <w:ind w:left="317" w:hanging="425"/>
              <w:jc w:val="both"/>
              <w:rPr>
                <w:rFonts w:cs="Segoe UI"/>
                <w:iCs/>
                <w:sz w:val="17"/>
                <w:szCs w:val="17"/>
                <w:lang w:eastAsia="zh-TW"/>
              </w:rPr>
            </w:pPr>
            <w:r w:rsidRPr="006B027C">
              <w:rPr>
                <w:rFonts w:eastAsiaTheme="minorEastAsia" w:cs="Segoe UI"/>
                <w:iCs/>
                <w:sz w:val="17"/>
                <w:szCs w:val="17"/>
                <w:lang w:eastAsia="zh-TW"/>
              </w:rPr>
              <w:t>為提供載明</w:t>
            </w:r>
            <w:r w:rsidRPr="006B027C">
              <w:rPr>
                <w:rFonts w:eastAsia="細明體" w:cs="Segoe UI"/>
                <w:iCs/>
                <w:sz w:val="17"/>
                <w:szCs w:val="17"/>
                <w:lang w:eastAsia="zh-TW"/>
              </w:rPr>
              <w:t>其銀行集團所有監管資本票據的摘要資料</w:t>
            </w:r>
            <w:r w:rsidRPr="006B027C">
              <w:rPr>
                <w:rFonts w:eastAsiaTheme="minorEastAsia" w:cs="Segoe UI"/>
                <w:iCs/>
                <w:sz w:val="17"/>
                <w:szCs w:val="17"/>
                <w:lang w:eastAsia="zh-TW"/>
              </w:rPr>
              <w:t>的</w:t>
            </w:r>
            <w:r w:rsidRPr="006B027C">
              <w:rPr>
                <w:rFonts w:eastAsia="細明體" w:cs="Segoe UI"/>
                <w:iCs/>
                <w:sz w:val="17"/>
                <w:szCs w:val="17"/>
                <w:lang w:eastAsia="zh-TW"/>
              </w:rPr>
              <w:t>「主要特點報告」，認可機構應</w:t>
            </w:r>
            <w:proofErr w:type="gramStart"/>
            <w:r w:rsidRPr="006B027C">
              <w:rPr>
                <w:rFonts w:eastAsia="細明體" w:cs="Segoe UI"/>
                <w:iCs/>
                <w:sz w:val="17"/>
                <w:szCs w:val="17"/>
                <w:lang w:eastAsia="zh-TW"/>
              </w:rPr>
              <w:t>在本模版</w:t>
            </w:r>
            <w:proofErr w:type="gramEnd"/>
            <w:r w:rsidRPr="006B027C">
              <w:rPr>
                <w:rFonts w:eastAsia="細明體" w:cs="Segoe UI"/>
                <w:iCs/>
                <w:sz w:val="17"/>
                <w:szCs w:val="17"/>
                <w:lang w:eastAsia="zh-TW"/>
              </w:rPr>
              <w:t>內各以獨立一欄（即自行增設</w:t>
            </w:r>
            <w:r w:rsidRPr="006B027C">
              <w:rPr>
                <w:rFonts w:eastAsia="細明體" w:cs="Segoe UI"/>
                <w:iCs/>
                <w:sz w:val="17"/>
                <w:szCs w:val="17"/>
                <w:lang w:eastAsia="zh-TW"/>
              </w:rPr>
              <w:t>(b)</w:t>
            </w:r>
            <w:r w:rsidRPr="006B027C">
              <w:rPr>
                <w:rFonts w:eastAsia="細明體" w:cs="Segoe UI"/>
                <w:iCs/>
                <w:sz w:val="17"/>
                <w:szCs w:val="17"/>
                <w:lang w:eastAsia="zh-TW"/>
              </w:rPr>
              <w:t>欄、</w:t>
            </w:r>
            <w:r w:rsidRPr="006B027C" w:rsidDel="00187614">
              <w:rPr>
                <w:rFonts w:eastAsia="細明體" w:cs="Segoe UI"/>
                <w:iCs/>
                <w:sz w:val="17"/>
                <w:szCs w:val="17"/>
                <w:lang w:eastAsia="zh-TW"/>
              </w:rPr>
              <w:t xml:space="preserve"> </w:t>
            </w:r>
            <w:r w:rsidRPr="006B027C">
              <w:rPr>
                <w:rFonts w:eastAsia="細明體" w:cs="Segoe UI"/>
                <w:iCs/>
                <w:sz w:val="17"/>
                <w:szCs w:val="17"/>
                <w:lang w:eastAsia="zh-TW"/>
              </w:rPr>
              <w:t>(c)</w:t>
            </w:r>
            <w:r w:rsidRPr="006B027C">
              <w:rPr>
                <w:rFonts w:eastAsia="細明體" w:cs="Segoe UI"/>
                <w:iCs/>
                <w:sz w:val="17"/>
                <w:szCs w:val="17"/>
                <w:lang w:eastAsia="zh-TW"/>
              </w:rPr>
              <w:t>欄等）</w:t>
            </w:r>
            <w:r w:rsidR="00466AFB" w:rsidRPr="006B027C">
              <w:rPr>
                <w:rFonts w:eastAsiaTheme="minorEastAsia" w:cs="Segoe UI" w:hint="eastAsia"/>
                <w:iCs/>
                <w:sz w:val="17"/>
                <w:szCs w:val="17"/>
                <w:lang w:eastAsia="zh-HK"/>
              </w:rPr>
              <w:t>填</w:t>
            </w:r>
            <w:r w:rsidRPr="006B027C">
              <w:rPr>
                <w:rFonts w:eastAsia="細明體" w:cs="Segoe UI"/>
                <w:iCs/>
                <w:sz w:val="17"/>
                <w:szCs w:val="17"/>
                <w:lang w:eastAsia="zh-TW"/>
              </w:rPr>
              <w:t>報每項票據（包括普通股）。</w:t>
            </w:r>
          </w:p>
          <w:p w14:paraId="2D5A004B" w14:textId="77777777" w:rsidR="003F73B0" w:rsidRPr="00CA7301" w:rsidRDefault="003F73B0" w:rsidP="00D540EB">
            <w:pPr>
              <w:numPr>
                <w:ilvl w:val="0"/>
                <w:numId w:val="13"/>
              </w:numPr>
              <w:spacing w:after="60" w:line="240" w:lineRule="exact"/>
              <w:ind w:left="317" w:hanging="425"/>
              <w:jc w:val="both"/>
              <w:rPr>
                <w:rFonts w:cs="Segoe UI"/>
                <w:sz w:val="17"/>
                <w:szCs w:val="17"/>
                <w:lang w:eastAsia="zh-TW"/>
              </w:rPr>
            </w:pPr>
            <w:r w:rsidRPr="006B027C">
              <w:rPr>
                <w:rFonts w:eastAsiaTheme="minorEastAsia" w:cs="Segoe UI"/>
                <w:iCs/>
                <w:sz w:val="17"/>
                <w:szCs w:val="17"/>
                <w:lang w:eastAsia="zh-TW"/>
              </w:rPr>
              <w:t>如適用，認可機構應從清單選出一個標準選項，作為某特定單元格的進項。下表詳細解釋每</w:t>
            </w:r>
            <w:proofErr w:type="gramStart"/>
            <w:r w:rsidRPr="006B027C">
              <w:rPr>
                <w:rFonts w:eastAsiaTheme="minorEastAsia" w:cs="Segoe UI"/>
                <w:iCs/>
                <w:sz w:val="17"/>
                <w:szCs w:val="17"/>
                <w:lang w:eastAsia="zh-TW"/>
              </w:rPr>
              <w:t>個</w:t>
            </w:r>
            <w:proofErr w:type="gramEnd"/>
            <w:r w:rsidRPr="006B027C">
              <w:rPr>
                <w:rFonts w:eastAsiaTheme="minorEastAsia" w:cs="Segoe UI"/>
                <w:iCs/>
                <w:sz w:val="17"/>
                <w:szCs w:val="17"/>
                <w:lang w:eastAsia="zh-TW"/>
              </w:rPr>
              <w:t>單元格的申報規定及（如適用）認可機構為某特定</w:t>
            </w:r>
            <w:proofErr w:type="gramStart"/>
            <w:r w:rsidRPr="006B027C">
              <w:rPr>
                <w:rFonts w:eastAsiaTheme="minorEastAsia" w:cs="Segoe UI"/>
                <w:iCs/>
                <w:sz w:val="17"/>
                <w:szCs w:val="17"/>
                <w:lang w:eastAsia="zh-TW"/>
              </w:rPr>
              <w:t>單元格須選</w:t>
            </w:r>
            <w:proofErr w:type="gramEnd"/>
            <w:r w:rsidRPr="006B027C">
              <w:rPr>
                <w:rFonts w:eastAsiaTheme="minorEastAsia" w:cs="Segoe UI"/>
                <w:iCs/>
                <w:sz w:val="17"/>
                <w:szCs w:val="17"/>
                <w:lang w:eastAsia="zh-TW"/>
              </w:rPr>
              <w:t>填的標準選項清單。</w:t>
            </w:r>
          </w:p>
        </w:tc>
      </w:tr>
    </w:tbl>
    <w:p w14:paraId="13B0BAFF" w14:textId="77777777" w:rsidR="003F73B0" w:rsidRPr="00CA7301" w:rsidRDefault="003F73B0" w:rsidP="003F73B0">
      <w:pPr>
        <w:rPr>
          <w:rFonts w:cs="Segoe UI"/>
          <w:lang w:eastAsia="zh-TW"/>
        </w:rPr>
      </w:pPr>
    </w:p>
    <w:tbl>
      <w:tblPr>
        <w:tblStyle w:val="TableGrid5"/>
        <w:tblW w:w="9214" w:type="dxa"/>
        <w:tblInd w:w="-459" w:type="dxa"/>
        <w:tblLook w:val="04A0" w:firstRow="1" w:lastRow="0" w:firstColumn="1" w:lastColumn="0" w:noHBand="0" w:noVBand="1"/>
      </w:tblPr>
      <w:tblGrid>
        <w:gridCol w:w="486"/>
        <w:gridCol w:w="8728"/>
      </w:tblGrid>
      <w:tr w:rsidR="003F73B0" w:rsidRPr="00CA7301" w14:paraId="3FED3B61" w14:textId="77777777" w:rsidTr="00877D8D">
        <w:trPr>
          <w:tblHeader/>
        </w:trPr>
        <w:tc>
          <w:tcPr>
            <w:tcW w:w="9214" w:type="dxa"/>
            <w:gridSpan w:val="2"/>
            <w:shd w:val="clear" w:color="auto" w:fill="BFBFBF" w:themeFill="background1" w:themeFillShade="BF"/>
          </w:tcPr>
          <w:p w14:paraId="7E02791D" w14:textId="77777777" w:rsidR="003F73B0" w:rsidRPr="00CA7301" w:rsidRDefault="003F73B0" w:rsidP="003F73B0">
            <w:pPr>
              <w:keepNext/>
              <w:spacing w:before="40" w:after="40"/>
              <w:jc w:val="both"/>
              <w:rPr>
                <w:rFonts w:eastAsia="新細明體" w:cs="Segoe UI"/>
                <w:b/>
                <w:sz w:val="17"/>
                <w:lang w:eastAsia="en-GB"/>
              </w:rPr>
            </w:pPr>
            <w:proofErr w:type="spellStart"/>
            <w:r w:rsidRPr="00CA7301">
              <w:rPr>
                <w:rFonts w:eastAsia="新細明體" w:cs="Segoe UI"/>
                <w:b/>
                <w:sz w:val="17"/>
                <w:lang w:eastAsia="en-GB"/>
              </w:rPr>
              <w:t>註釋</w:t>
            </w:r>
            <w:proofErr w:type="spellEnd"/>
          </w:p>
        </w:tc>
      </w:tr>
      <w:tr w:rsidR="003F73B0" w:rsidRPr="00CA7301" w14:paraId="613087CC" w14:textId="77777777" w:rsidTr="00877D8D">
        <w:tc>
          <w:tcPr>
            <w:tcW w:w="9214" w:type="dxa"/>
            <w:gridSpan w:val="2"/>
            <w:shd w:val="clear" w:color="auto" w:fill="F2F2F2" w:themeFill="background1" w:themeFillShade="F2"/>
          </w:tcPr>
          <w:p w14:paraId="0B0BDD2C" w14:textId="77777777" w:rsidR="003F73B0" w:rsidRPr="00CA7301" w:rsidRDefault="003F73B0" w:rsidP="003F73B0">
            <w:pPr>
              <w:keepNext/>
              <w:spacing w:before="40" w:after="40"/>
              <w:jc w:val="both"/>
              <w:rPr>
                <w:rFonts w:eastAsia="新細明體" w:cs="Segoe UI"/>
                <w:b/>
                <w:sz w:val="17"/>
                <w:lang w:eastAsia="zh-TW"/>
              </w:rPr>
            </w:pPr>
            <w:r w:rsidRPr="00CA7301">
              <w:rPr>
                <w:rFonts w:eastAsia="新細明體" w:cs="Segoe UI"/>
                <w:b/>
                <w:sz w:val="17"/>
                <w:lang w:eastAsia="en-GB"/>
              </w:rPr>
              <w:t>行</w:t>
            </w:r>
          </w:p>
        </w:tc>
      </w:tr>
      <w:tr w:rsidR="003F73B0" w:rsidRPr="00CA7301" w14:paraId="7E4ACFAC" w14:textId="77777777" w:rsidTr="00877D8D">
        <w:tc>
          <w:tcPr>
            <w:tcW w:w="486" w:type="dxa"/>
          </w:tcPr>
          <w:p w14:paraId="1DD67A66" w14:textId="77777777" w:rsidR="003F73B0" w:rsidRPr="00CA7301" w:rsidRDefault="003F73B0" w:rsidP="003F73B0">
            <w:pPr>
              <w:rPr>
                <w:rFonts w:cs="Segoe UI"/>
                <w:sz w:val="17"/>
                <w:szCs w:val="17"/>
              </w:rPr>
            </w:pPr>
            <w:r w:rsidRPr="00CA7301">
              <w:rPr>
                <w:rFonts w:cs="Segoe UI"/>
                <w:sz w:val="17"/>
                <w:szCs w:val="17"/>
              </w:rPr>
              <w:t>1</w:t>
            </w:r>
          </w:p>
        </w:tc>
        <w:tc>
          <w:tcPr>
            <w:tcW w:w="8728" w:type="dxa"/>
          </w:tcPr>
          <w:p w14:paraId="48225400" w14:textId="77777777" w:rsidR="003F73B0" w:rsidRPr="00CA7301" w:rsidRDefault="003F73B0" w:rsidP="003F73B0">
            <w:pPr>
              <w:jc w:val="both"/>
              <w:rPr>
                <w:rFonts w:cs="Segoe UI"/>
                <w:sz w:val="17"/>
                <w:lang w:eastAsia="zh-TW"/>
              </w:rPr>
            </w:pPr>
            <w:r w:rsidRPr="00CA7301">
              <w:rPr>
                <w:rFonts w:eastAsia="細明體" w:cs="Segoe UI"/>
                <w:i/>
                <w:sz w:val="17"/>
                <w:lang w:eastAsia="zh-TW"/>
              </w:rPr>
              <w:t>發行人</w:t>
            </w:r>
            <w:r w:rsidRPr="00CA7301">
              <w:rPr>
                <w:rFonts w:eastAsia="細明體" w:cs="Segoe UI"/>
                <w:sz w:val="17"/>
                <w:lang w:eastAsia="zh-TW"/>
              </w:rPr>
              <w:t>：作為票據發行人的法律實體。</w:t>
            </w:r>
          </w:p>
          <w:p w14:paraId="67FD5FA3" w14:textId="77777777" w:rsidR="003F73B0" w:rsidRPr="00CA7301" w:rsidRDefault="003F73B0" w:rsidP="003F73B0">
            <w:pPr>
              <w:jc w:val="both"/>
              <w:rPr>
                <w:rFonts w:cs="Segoe UI"/>
                <w:sz w:val="17"/>
                <w:szCs w:val="17"/>
                <w:lang w:eastAsia="zh-TW"/>
              </w:rPr>
            </w:pPr>
            <w:r w:rsidRPr="00CA7301">
              <w:rPr>
                <w:rFonts w:eastAsia="細明體" w:cs="Segoe UI"/>
                <w:i/>
                <w:sz w:val="17"/>
                <w:lang w:eastAsia="zh-TW"/>
              </w:rPr>
              <w:t>自由填寫內容</w:t>
            </w:r>
          </w:p>
        </w:tc>
      </w:tr>
      <w:tr w:rsidR="003F73B0" w:rsidRPr="00CA7301" w14:paraId="4AD468B1" w14:textId="77777777" w:rsidTr="00877D8D">
        <w:tc>
          <w:tcPr>
            <w:tcW w:w="486" w:type="dxa"/>
          </w:tcPr>
          <w:p w14:paraId="170DE310" w14:textId="77777777" w:rsidR="003F73B0" w:rsidRPr="00CA7301" w:rsidRDefault="003F73B0" w:rsidP="003F73B0">
            <w:pPr>
              <w:rPr>
                <w:rFonts w:cs="Segoe UI"/>
                <w:sz w:val="17"/>
                <w:szCs w:val="17"/>
              </w:rPr>
            </w:pPr>
            <w:r w:rsidRPr="00CA7301">
              <w:rPr>
                <w:rFonts w:cs="Segoe UI"/>
                <w:sz w:val="17"/>
                <w:szCs w:val="17"/>
              </w:rPr>
              <w:t>2</w:t>
            </w:r>
          </w:p>
        </w:tc>
        <w:tc>
          <w:tcPr>
            <w:tcW w:w="8728" w:type="dxa"/>
          </w:tcPr>
          <w:p w14:paraId="0ACC8DBF"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獨有識別碼</w:t>
            </w:r>
            <w:r w:rsidRPr="00CA7301">
              <w:rPr>
                <w:rFonts w:eastAsiaTheme="minorEastAsia" w:cs="Segoe UI"/>
                <w:i/>
                <w:sz w:val="17"/>
                <w:szCs w:val="17"/>
                <w:lang w:eastAsia="zh-TW"/>
              </w:rPr>
              <w:t>（例</w:t>
            </w:r>
            <w:r w:rsidRPr="00CA7301">
              <w:rPr>
                <w:rFonts w:eastAsia="細明體" w:cs="Segoe UI"/>
                <w:i/>
                <w:sz w:val="17"/>
                <w:szCs w:val="17"/>
                <w:lang w:eastAsia="zh-TW"/>
              </w:rPr>
              <w:t>如</w:t>
            </w:r>
            <w:r w:rsidRPr="00CA7301">
              <w:rPr>
                <w:rFonts w:cs="Segoe UI"/>
                <w:i/>
                <w:sz w:val="17"/>
                <w:szCs w:val="17"/>
                <w:lang w:eastAsia="zh-TW"/>
              </w:rPr>
              <w:t>CUSIP</w:t>
            </w:r>
            <w:r w:rsidRPr="00CA7301">
              <w:rPr>
                <w:rFonts w:eastAsia="細明體" w:cs="Segoe UI"/>
                <w:i/>
                <w:sz w:val="17"/>
                <w:szCs w:val="17"/>
                <w:lang w:eastAsia="zh-TW"/>
              </w:rPr>
              <w:t>、</w:t>
            </w:r>
            <w:r w:rsidRPr="00CA7301">
              <w:rPr>
                <w:rFonts w:cs="Segoe UI"/>
                <w:i/>
                <w:sz w:val="17"/>
                <w:szCs w:val="17"/>
                <w:lang w:eastAsia="zh-TW"/>
              </w:rPr>
              <w:t>ISIN</w:t>
            </w:r>
            <w:r w:rsidRPr="00CA7301">
              <w:rPr>
                <w:rFonts w:eastAsia="細明體" w:cs="Segoe UI"/>
                <w:i/>
                <w:sz w:val="17"/>
                <w:szCs w:val="17"/>
                <w:lang w:eastAsia="zh-TW"/>
              </w:rPr>
              <w:t>或</w:t>
            </w:r>
            <w:r w:rsidRPr="00CA7301">
              <w:rPr>
                <w:rFonts w:cs="Segoe UI"/>
                <w:i/>
                <w:sz w:val="17"/>
                <w:szCs w:val="17"/>
                <w:lang w:eastAsia="zh-TW"/>
              </w:rPr>
              <w:t>Bloomberg</w:t>
            </w:r>
            <w:r w:rsidRPr="00CA7301">
              <w:rPr>
                <w:rFonts w:eastAsia="細明體" w:cs="Segoe UI"/>
                <w:i/>
                <w:sz w:val="17"/>
                <w:szCs w:val="17"/>
                <w:lang w:eastAsia="zh-TW"/>
              </w:rPr>
              <w:t>對私人配售的識別碼</w:t>
            </w:r>
            <w:r w:rsidRPr="00CA7301">
              <w:rPr>
                <w:rFonts w:eastAsiaTheme="minorEastAsia" w:cs="Segoe UI"/>
                <w:i/>
                <w:sz w:val="17"/>
                <w:szCs w:val="17"/>
                <w:lang w:eastAsia="zh-TW"/>
              </w:rPr>
              <w:t>）</w:t>
            </w:r>
          </w:p>
          <w:p w14:paraId="64667CF3" w14:textId="77777777" w:rsidR="003F73B0" w:rsidRPr="00CA7301" w:rsidRDefault="003F73B0" w:rsidP="003F73B0">
            <w:pPr>
              <w:jc w:val="both"/>
              <w:rPr>
                <w:rFonts w:cs="Segoe UI"/>
                <w:sz w:val="17"/>
                <w:szCs w:val="17"/>
              </w:rPr>
            </w:pPr>
            <w:proofErr w:type="spellStart"/>
            <w:r w:rsidRPr="00CA7301">
              <w:rPr>
                <w:rFonts w:eastAsia="細明體" w:cs="Segoe UI"/>
                <w:i/>
                <w:sz w:val="17"/>
                <w:lang w:eastAsia="en-GB"/>
              </w:rPr>
              <w:t>自由填寫內容</w:t>
            </w:r>
            <w:proofErr w:type="spellEnd"/>
          </w:p>
        </w:tc>
      </w:tr>
      <w:tr w:rsidR="003F73B0" w:rsidRPr="00CA7301" w14:paraId="04B9BA39" w14:textId="77777777" w:rsidTr="00877D8D">
        <w:tc>
          <w:tcPr>
            <w:tcW w:w="486" w:type="dxa"/>
          </w:tcPr>
          <w:p w14:paraId="51C13627" w14:textId="77777777" w:rsidR="003F73B0" w:rsidRPr="00CA7301" w:rsidRDefault="003F73B0" w:rsidP="003F73B0">
            <w:pPr>
              <w:rPr>
                <w:rFonts w:cs="Segoe UI"/>
                <w:sz w:val="17"/>
                <w:szCs w:val="17"/>
              </w:rPr>
            </w:pPr>
            <w:r w:rsidRPr="00CA7301">
              <w:rPr>
                <w:rFonts w:cs="Segoe UI"/>
                <w:sz w:val="17"/>
                <w:szCs w:val="17"/>
              </w:rPr>
              <w:t>3</w:t>
            </w:r>
          </w:p>
        </w:tc>
        <w:tc>
          <w:tcPr>
            <w:tcW w:w="8728" w:type="dxa"/>
          </w:tcPr>
          <w:p w14:paraId="7C474690"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指明票據</w:t>
            </w:r>
            <w:proofErr w:type="gramStart"/>
            <w:r w:rsidRPr="00CA7301">
              <w:rPr>
                <w:rFonts w:eastAsia="細明體" w:cs="Segoe UI"/>
                <w:i/>
                <w:sz w:val="17"/>
                <w:szCs w:val="17"/>
                <w:lang w:eastAsia="zh-TW"/>
              </w:rPr>
              <w:t>的管限法律</w:t>
            </w:r>
            <w:proofErr w:type="gramEnd"/>
          </w:p>
          <w:p w14:paraId="556AFEB1" w14:textId="77777777" w:rsidR="003F73B0" w:rsidRPr="00CA7301" w:rsidRDefault="003F73B0" w:rsidP="003F73B0">
            <w:pPr>
              <w:jc w:val="both"/>
              <w:rPr>
                <w:rFonts w:cs="Segoe UI"/>
                <w:sz w:val="17"/>
                <w:szCs w:val="17"/>
                <w:lang w:eastAsia="zh-TW"/>
              </w:rPr>
            </w:pPr>
            <w:r w:rsidRPr="00CA7301">
              <w:rPr>
                <w:rFonts w:eastAsia="細明體" w:cs="Segoe UI"/>
                <w:i/>
                <w:sz w:val="17"/>
                <w:lang w:eastAsia="zh-TW"/>
              </w:rPr>
              <w:t>自由填寫內容</w:t>
            </w:r>
          </w:p>
        </w:tc>
      </w:tr>
      <w:tr w:rsidR="003F73B0" w:rsidRPr="00CA7301" w14:paraId="549EE4FA" w14:textId="77777777" w:rsidTr="00877D8D">
        <w:tc>
          <w:tcPr>
            <w:tcW w:w="486" w:type="dxa"/>
          </w:tcPr>
          <w:p w14:paraId="6429E217" w14:textId="50680DB2" w:rsidR="003F73B0" w:rsidRPr="00CA7301" w:rsidRDefault="003F73B0" w:rsidP="003F73B0">
            <w:pPr>
              <w:rPr>
                <w:rFonts w:cs="Segoe UI"/>
                <w:sz w:val="17"/>
                <w:szCs w:val="17"/>
                <w:lang w:eastAsia="zh-TW"/>
              </w:rPr>
            </w:pPr>
            <w:r w:rsidRPr="00CA7301">
              <w:rPr>
                <w:rFonts w:cs="Segoe UI"/>
                <w:sz w:val="17"/>
                <w:szCs w:val="17"/>
                <w:lang w:eastAsia="zh-TW"/>
              </w:rPr>
              <w:t>4</w:t>
            </w:r>
          </w:p>
        </w:tc>
        <w:tc>
          <w:tcPr>
            <w:tcW w:w="8728" w:type="dxa"/>
          </w:tcPr>
          <w:p w14:paraId="0B2990A6" w14:textId="464E5C7B" w:rsidR="003F73B0" w:rsidRPr="00CA7301" w:rsidRDefault="009C5A87" w:rsidP="003F73B0">
            <w:pPr>
              <w:jc w:val="both"/>
              <w:rPr>
                <w:rFonts w:cs="Segoe UI"/>
                <w:i/>
                <w:sz w:val="17"/>
                <w:szCs w:val="17"/>
                <w:lang w:eastAsia="zh-TW"/>
              </w:rPr>
            </w:pPr>
            <w:r w:rsidRPr="009C5A87">
              <w:rPr>
                <w:rFonts w:eastAsia="細明體" w:cs="Segoe UI" w:hint="eastAsia"/>
                <w:sz w:val="17"/>
                <w:szCs w:val="17"/>
                <w:lang w:eastAsia="zh-TW"/>
              </w:rPr>
              <w:t>這一行已過時，不再適用。</w:t>
            </w:r>
          </w:p>
        </w:tc>
      </w:tr>
      <w:tr w:rsidR="003F73B0" w:rsidRPr="00CA7301" w14:paraId="2AC212C1" w14:textId="77777777" w:rsidTr="00877D8D">
        <w:tc>
          <w:tcPr>
            <w:tcW w:w="486" w:type="dxa"/>
          </w:tcPr>
          <w:p w14:paraId="6EC33F42" w14:textId="77777777" w:rsidR="003F73B0" w:rsidRPr="00CA7301" w:rsidRDefault="003F73B0" w:rsidP="003F73B0">
            <w:pPr>
              <w:rPr>
                <w:rFonts w:cs="Segoe UI"/>
                <w:sz w:val="17"/>
                <w:szCs w:val="17"/>
              </w:rPr>
            </w:pPr>
            <w:r w:rsidRPr="00CA7301">
              <w:rPr>
                <w:rFonts w:cs="Segoe UI"/>
                <w:sz w:val="17"/>
                <w:szCs w:val="17"/>
              </w:rPr>
              <w:t>5</w:t>
            </w:r>
          </w:p>
        </w:tc>
        <w:tc>
          <w:tcPr>
            <w:tcW w:w="8728" w:type="dxa"/>
          </w:tcPr>
          <w:p w14:paraId="535EAB28" w14:textId="425DD0B3"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指明監管資本處理</w:t>
            </w:r>
            <w:r w:rsidRPr="00CA7301">
              <w:rPr>
                <w:rFonts w:eastAsiaTheme="minorEastAsia" w:cs="Segoe UI"/>
                <w:sz w:val="17"/>
                <w:szCs w:val="17"/>
                <w:lang w:eastAsia="zh-TW"/>
              </w:rPr>
              <w:t>。</w:t>
            </w:r>
          </w:p>
          <w:p w14:paraId="71D8F1D3" w14:textId="0F3A5B68"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普通股權一級</w:t>
            </w:r>
            <w:r w:rsidRPr="00CA7301">
              <w:rPr>
                <w:rFonts w:cs="Segoe UI"/>
                <w:i/>
                <w:sz w:val="17"/>
                <w:szCs w:val="17"/>
                <w:lang w:eastAsia="zh-TW"/>
              </w:rPr>
              <w:t>] [</w:t>
            </w:r>
            <w:r w:rsidRPr="00CA7301">
              <w:rPr>
                <w:rFonts w:eastAsia="細明體" w:cs="Segoe UI"/>
                <w:i/>
                <w:sz w:val="17"/>
                <w:szCs w:val="17"/>
                <w:lang w:eastAsia="zh-TW"/>
              </w:rPr>
              <w:t>額外一級</w:t>
            </w:r>
            <w:r w:rsidRPr="00CA7301">
              <w:rPr>
                <w:rFonts w:cs="Segoe UI"/>
                <w:i/>
                <w:sz w:val="17"/>
                <w:szCs w:val="17"/>
                <w:lang w:eastAsia="zh-TW"/>
              </w:rPr>
              <w:t>] [</w:t>
            </w:r>
            <w:r w:rsidRPr="00CA7301">
              <w:rPr>
                <w:rFonts w:eastAsia="細明體" w:cs="Segoe UI"/>
                <w:i/>
                <w:sz w:val="17"/>
                <w:szCs w:val="17"/>
                <w:lang w:eastAsia="zh-TW"/>
              </w:rPr>
              <w:t>二級</w:t>
            </w:r>
            <w:r w:rsidRPr="00CA7301">
              <w:rPr>
                <w:rFonts w:cs="Segoe UI"/>
                <w:i/>
                <w:sz w:val="17"/>
                <w:szCs w:val="17"/>
                <w:lang w:eastAsia="zh-TW"/>
              </w:rPr>
              <w:t>]</w:t>
            </w:r>
          </w:p>
        </w:tc>
      </w:tr>
      <w:tr w:rsidR="003F73B0" w:rsidRPr="00CA7301" w14:paraId="6CEB24B1" w14:textId="77777777" w:rsidTr="00877D8D">
        <w:tc>
          <w:tcPr>
            <w:tcW w:w="486" w:type="dxa"/>
          </w:tcPr>
          <w:p w14:paraId="72564D8D" w14:textId="77777777" w:rsidR="003F73B0" w:rsidRPr="00CA7301" w:rsidRDefault="003F73B0" w:rsidP="003F73B0">
            <w:pPr>
              <w:rPr>
                <w:rFonts w:cs="Segoe UI"/>
                <w:sz w:val="17"/>
                <w:szCs w:val="17"/>
              </w:rPr>
            </w:pPr>
            <w:r w:rsidRPr="00CA7301">
              <w:rPr>
                <w:rFonts w:cs="Segoe UI"/>
                <w:sz w:val="17"/>
                <w:szCs w:val="17"/>
              </w:rPr>
              <w:t>6</w:t>
            </w:r>
          </w:p>
        </w:tc>
        <w:tc>
          <w:tcPr>
            <w:tcW w:w="8728" w:type="dxa"/>
          </w:tcPr>
          <w:p w14:paraId="73EA1973" w14:textId="7037D73D"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指明票據按照集團內哪</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基礎計入資本。單獨基礎包括單獨</w:t>
            </w:r>
            <w:proofErr w:type="gramStart"/>
            <w:r w:rsidR="009E462F" w:rsidRPr="00CA7301">
              <w:rPr>
                <w:rFonts w:ascii="細明體" w:eastAsia="細明體" w:hAnsi="細明體" w:cs="細明體" w:hint="eastAsia"/>
                <w:i/>
                <w:sz w:val="17"/>
                <w:szCs w:val="17"/>
                <w:lang w:eastAsia="zh-TW"/>
              </w:rPr>
              <w:t>─</w:t>
            </w:r>
            <w:proofErr w:type="gramEnd"/>
            <w:r w:rsidRPr="00CA7301">
              <w:rPr>
                <w:rFonts w:eastAsia="細明體" w:cs="Segoe UI"/>
                <w:sz w:val="17"/>
                <w:szCs w:val="17"/>
                <w:lang w:eastAsia="zh-TW"/>
              </w:rPr>
              <w:t>綜合基礎</w:t>
            </w:r>
            <w:r w:rsidRPr="00CA7301">
              <w:rPr>
                <w:rFonts w:eastAsiaTheme="minorEastAsia" w:cs="Segoe UI"/>
                <w:sz w:val="17"/>
                <w:szCs w:val="17"/>
                <w:lang w:eastAsia="zh-TW"/>
              </w:rPr>
              <w:t>。</w:t>
            </w:r>
          </w:p>
          <w:p w14:paraId="76DF3B19"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單獨</w:t>
            </w:r>
            <w:r w:rsidRPr="00CA7301">
              <w:rPr>
                <w:rFonts w:cs="Segoe UI"/>
                <w:i/>
                <w:sz w:val="17"/>
                <w:szCs w:val="17"/>
                <w:lang w:eastAsia="zh-TW"/>
              </w:rPr>
              <w:t>] [</w:t>
            </w:r>
            <w:r w:rsidRPr="00CA7301">
              <w:rPr>
                <w:rFonts w:eastAsia="細明體" w:cs="Segoe UI"/>
                <w:i/>
                <w:sz w:val="17"/>
                <w:szCs w:val="17"/>
                <w:lang w:eastAsia="zh-TW"/>
              </w:rPr>
              <w:t>集團</w:t>
            </w:r>
            <w:r w:rsidRPr="00CA7301">
              <w:rPr>
                <w:rFonts w:cs="Segoe UI"/>
                <w:i/>
                <w:sz w:val="17"/>
                <w:szCs w:val="17"/>
                <w:lang w:eastAsia="zh-TW"/>
              </w:rPr>
              <w:t>] [</w:t>
            </w:r>
            <w:r w:rsidRPr="00CA7301">
              <w:rPr>
                <w:rFonts w:eastAsia="細明體" w:cs="Segoe UI"/>
                <w:i/>
                <w:sz w:val="17"/>
                <w:szCs w:val="17"/>
                <w:lang w:eastAsia="zh-TW"/>
              </w:rPr>
              <w:t>單獨及集團</w:t>
            </w:r>
            <w:r w:rsidRPr="00CA7301">
              <w:rPr>
                <w:rFonts w:cs="Segoe UI"/>
                <w:i/>
                <w:sz w:val="17"/>
                <w:szCs w:val="17"/>
                <w:lang w:eastAsia="zh-TW"/>
              </w:rPr>
              <w:t>]</w:t>
            </w:r>
          </w:p>
        </w:tc>
      </w:tr>
      <w:tr w:rsidR="003F73B0" w:rsidRPr="00CA7301" w14:paraId="12BB8229" w14:textId="77777777" w:rsidTr="00877D8D">
        <w:tc>
          <w:tcPr>
            <w:tcW w:w="486" w:type="dxa"/>
          </w:tcPr>
          <w:p w14:paraId="13EB88D3" w14:textId="77777777" w:rsidR="003F73B0" w:rsidRPr="00CA7301" w:rsidRDefault="003F73B0" w:rsidP="003F73B0">
            <w:pPr>
              <w:rPr>
                <w:rFonts w:cs="Segoe UI"/>
                <w:sz w:val="17"/>
                <w:szCs w:val="17"/>
              </w:rPr>
            </w:pPr>
            <w:r w:rsidRPr="00CA7301">
              <w:rPr>
                <w:rFonts w:cs="Segoe UI"/>
                <w:sz w:val="17"/>
                <w:szCs w:val="17"/>
              </w:rPr>
              <w:t>7</w:t>
            </w:r>
          </w:p>
        </w:tc>
        <w:tc>
          <w:tcPr>
            <w:tcW w:w="8728" w:type="dxa"/>
          </w:tcPr>
          <w:p w14:paraId="4DECB721" w14:textId="4CD1558F"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指明不同地區訂明的票據類別。有助更仔細了解特點。</w:t>
            </w:r>
          </w:p>
          <w:p w14:paraId="0D3A5AD6"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普通股</w:t>
            </w:r>
            <w:r w:rsidRPr="00CA7301">
              <w:rPr>
                <w:rFonts w:cs="Segoe UI"/>
                <w:i/>
                <w:sz w:val="17"/>
                <w:szCs w:val="17"/>
                <w:lang w:eastAsia="zh-TW"/>
              </w:rPr>
              <w:t>] [</w:t>
            </w:r>
            <w:r w:rsidRPr="00CA7301">
              <w:rPr>
                <w:rFonts w:eastAsia="細明體" w:cs="Segoe UI"/>
                <w:i/>
                <w:sz w:val="17"/>
                <w:szCs w:val="17"/>
                <w:lang w:eastAsia="zh-TW"/>
              </w:rPr>
              <w:t>永久非累積優先股</w:t>
            </w:r>
            <w:r w:rsidRPr="00CA7301">
              <w:rPr>
                <w:rFonts w:cs="Segoe UI"/>
                <w:i/>
                <w:sz w:val="17"/>
                <w:szCs w:val="17"/>
                <w:lang w:eastAsia="zh-TW"/>
              </w:rPr>
              <w:t>] [</w:t>
            </w:r>
            <w:r w:rsidRPr="00CA7301">
              <w:rPr>
                <w:rFonts w:eastAsia="細明體" w:cs="Segoe UI"/>
                <w:i/>
                <w:sz w:val="17"/>
                <w:szCs w:val="17"/>
                <w:lang w:eastAsia="zh-TW"/>
              </w:rPr>
              <w:t>永久債務票據</w:t>
            </w:r>
            <w:r w:rsidRPr="00CA7301">
              <w:rPr>
                <w:rFonts w:cs="Segoe UI"/>
                <w:i/>
                <w:sz w:val="17"/>
                <w:szCs w:val="17"/>
                <w:lang w:eastAsia="zh-TW"/>
              </w:rPr>
              <w:t>] [</w:t>
            </w:r>
            <w:r w:rsidRPr="00CA7301">
              <w:rPr>
                <w:rFonts w:eastAsia="細明體" w:cs="Segoe UI"/>
                <w:i/>
                <w:sz w:val="17"/>
                <w:szCs w:val="17"/>
                <w:lang w:eastAsia="zh-TW"/>
              </w:rPr>
              <w:t>永久累積優先股</w:t>
            </w:r>
            <w:r w:rsidRPr="00CA7301">
              <w:rPr>
                <w:rFonts w:cs="Segoe UI"/>
                <w:i/>
                <w:sz w:val="17"/>
                <w:szCs w:val="17"/>
                <w:lang w:eastAsia="zh-TW"/>
              </w:rPr>
              <w:t>] [</w:t>
            </w:r>
            <w:r w:rsidRPr="00CA7301">
              <w:rPr>
                <w:rFonts w:eastAsia="細明體" w:cs="Segoe UI"/>
                <w:i/>
                <w:sz w:val="17"/>
                <w:szCs w:val="17"/>
                <w:lang w:eastAsia="zh-TW"/>
              </w:rPr>
              <w:t>可贖回非累積優先股</w:t>
            </w:r>
            <w:r w:rsidRPr="00CA7301">
              <w:rPr>
                <w:rFonts w:cs="Segoe UI"/>
                <w:i/>
                <w:sz w:val="17"/>
                <w:szCs w:val="17"/>
                <w:lang w:eastAsia="zh-TW"/>
              </w:rPr>
              <w:t>] [</w:t>
            </w:r>
            <w:r w:rsidRPr="00CA7301">
              <w:rPr>
                <w:rFonts w:eastAsia="細明體" w:cs="Segoe UI"/>
                <w:i/>
                <w:sz w:val="17"/>
                <w:szCs w:val="17"/>
                <w:lang w:eastAsia="zh-TW"/>
              </w:rPr>
              <w:t>可贖回累積優先股</w:t>
            </w:r>
            <w:r w:rsidRPr="00CA7301">
              <w:rPr>
                <w:rFonts w:cs="Segoe UI"/>
                <w:i/>
                <w:sz w:val="17"/>
                <w:szCs w:val="17"/>
                <w:lang w:eastAsia="zh-TW"/>
              </w:rPr>
              <w:t>] [</w:t>
            </w:r>
            <w:r w:rsidRPr="00CA7301">
              <w:rPr>
                <w:rFonts w:eastAsia="細明體" w:cs="Segoe UI"/>
                <w:i/>
                <w:sz w:val="17"/>
                <w:szCs w:val="17"/>
                <w:lang w:eastAsia="zh-TW"/>
              </w:rPr>
              <w:t>其他二級資本票據</w:t>
            </w:r>
            <w:r w:rsidRPr="00CA7301">
              <w:rPr>
                <w:rFonts w:cs="Segoe UI"/>
                <w:i/>
                <w:sz w:val="17"/>
                <w:szCs w:val="17"/>
                <w:lang w:eastAsia="zh-TW"/>
              </w:rPr>
              <w:t>] [</w:t>
            </w:r>
            <w:r w:rsidRPr="00CA7301">
              <w:rPr>
                <w:rFonts w:eastAsia="細明體" w:cs="Segoe UI"/>
                <w:i/>
                <w:sz w:val="17"/>
                <w:szCs w:val="17"/>
                <w:lang w:eastAsia="zh-TW"/>
              </w:rPr>
              <w:t>其他：請註明</w:t>
            </w:r>
            <w:r w:rsidRPr="00CA7301">
              <w:rPr>
                <w:rFonts w:eastAsia="細明體" w:cs="Segoe UI"/>
                <w:i/>
                <w:sz w:val="17"/>
                <w:szCs w:val="17"/>
                <w:lang w:eastAsia="zh-TW"/>
              </w:rPr>
              <w:t>]</w:t>
            </w:r>
          </w:p>
        </w:tc>
      </w:tr>
      <w:tr w:rsidR="003F73B0" w:rsidRPr="00CA7301" w14:paraId="6312FF4A" w14:textId="77777777" w:rsidTr="00877D8D">
        <w:tc>
          <w:tcPr>
            <w:tcW w:w="486" w:type="dxa"/>
          </w:tcPr>
          <w:p w14:paraId="3E7D1E22" w14:textId="77777777" w:rsidR="003F73B0" w:rsidRPr="00CA7301" w:rsidRDefault="003F73B0" w:rsidP="003F73B0">
            <w:pPr>
              <w:rPr>
                <w:rFonts w:cs="Segoe UI"/>
                <w:sz w:val="17"/>
                <w:szCs w:val="17"/>
              </w:rPr>
            </w:pPr>
            <w:r w:rsidRPr="00CA7301">
              <w:rPr>
                <w:rFonts w:cs="Segoe UI"/>
                <w:sz w:val="17"/>
                <w:szCs w:val="17"/>
              </w:rPr>
              <w:t>8</w:t>
            </w:r>
          </w:p>
        </w:tc>
        <w:tc>
          <w:tcPr>
            <w:tcW w:w="8728" w:type="dxa"/>
          </w:tcPr>
          <w:p w14:paraId="3CFBDCB8" w14:textId="55B2AEA1" w:rsidR="00974805" w:rsidRPr="00CA7301" w:rsidRDefault="003F73B0" w:rsidP="00AB5392">
            <w:pPr>
              <w:jc w:val="both"/>
              <w:rPr>
                <w:rFonts w:cs="Segoe UI"/>
                <w:sz w:val="17"/>
                <w:szCs w:val="17"/>
                <w:lang w:eastAsia="zh-TW"/>
              </w:rPr>
            </w:pPr>
            <w:r w:rsidRPr="00CA7301">
              <w:rPr>
                <w:rFonts w:eastAsia="細明體" w:cs="Segoe UI"/>
                <w:sz w:val="17"/>
                <w:szCs w:val="17"/>
                <w:lang w:eastAsia="zh-TW"/>
              </w:rPr>
              <w:t>指明在監管資本中的確認數額。</w:t>
            </w:r>
          </w:p>
          <w:p w14:paraId="6DA80D4C"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自由填寫內容</w:t>
            </w:r>
          </w:p>
        </w:tc>
      </w:tr>
      <w:tr w:rsidR="003F73B0" w:rsidRPr="00CA7301" w14:paraId="05475D55" w14:textId="77777777" w:rsidTr="00877D8D">
        <w:tc>
          <w:tcPr>
            <w:tcW w:w="486" w:type="dxa"/>
          </w:tcPr>
          <w:p w14:paraId="6AD89C43" w14:textId="77777777" w:rsidR="003F73B0" w:rsidRPr="00CA7301" w:rsidRDefault="003F73B0" w:rsidP="003F73B0">
            <w:pPr>
              <w:rPr>
                <w:rFonts w:cs="Segoe UI"/>
                <w:sz w:val="17"/>
                <w:szCs w:val="17"/>
              </w:rPr>
            </w:pPr>
            <w:r w:rsidRPr="00CA7301">
              <w:rPr>
                <w:rFonts w:cs="Segoe UI"/>
                <w:sz w:val="17"/>
                <w:szCs w:val="17"/>
              </w:rPr>
              <w:t>9</w:t>
            </w:r>
          </w:p>
        </w:tc>
        <w:tc>
          <w:tcPr>
            <w:tcW w:w="8728" w:type="dxa"/>
          </w:tcPr>
          <w:p w14:paraId="12EFA324" w14:textId="77777777" w:rsidR="003F73B0" w:rsidRPr="00CA7301" w:rsidRDefault="003F73B0" w:rsidP="003F73B0">
            <w:pPr>
              <w:jc w:val="both"/>
              <w:rPr>
                <w:rFonts w:cs="Segoe UI"/>
                <w:i/>
                <w:sz w:val="17"/>
                <w:szCs w:val="17"/>
                <w:lang w:eastAsia="zh-TW"/>
              </w:rPr>
            </w:pPr>
            <w:r w:rsidRPr="00CA7301">
              <w:rPr>
                <w:rFonts w:eastAsiaTheme="minorEastAsia" w:cs="Segoe UI"/>
                <w:i/>
                <w:sz w:val="17"/>
                <w:szCs w:val="17"/>
                <w:lang w:eastAsia="zh-TW"/>
              </w:rPr>
              <w:t>票據面值</w:t>
            </w:r>
          </w:p>
          <w:p w14:paraId="0E5245AB"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自由填寫內容</w:t>
            </w:r>
          </w:p>
        </w:tc>
      </w:tr>
      <w:tr w:rsidR="003F73B0" w:rsidRPr="00CA7301" w14:paraId="5DC563E4" w14:textId="77777777" w:rsidTr="00877D8D">
        <w:tc>
          <w:tcPr>
            <w:tcW w:w="486" w:type="dxa"/>
          </w:tcPr>
          <w:p w14:paraId="1DD43FCD" w14:textId="77777777" w:rsidR="003F73B0" w:rsidRPr="00CA7301" w:rsidRDefault="003F73B0" w:rsidP="003F73B0">
            <w:pPr>
              <w:rPr>
                <w:rFonts w:cs="Segoe UI"/>
                <w:sz w:val="17"/>
                <w:szCs w:val="17"/>
              </w:rPr>
            </w:pPr>
            <w:r w:rsidRPr="00CA7301">
              <w:rPr>
                <w:rFonts w:cs="Segoe UI"/>
                <w:sz w:val="17"/>
                <w:szCs w:val="17"/>
              </w:rPr>
              <w:t>10</w:t>
            </w:r>
          </w:p>
        </w:tc>
        <w:tc>
          <w:tcPr>
            <w:tcW w:w="8728" w:type="dxa"/>
          </w:tcPr>
          <w:p w14:paraId="72A05E9B"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指明會計分類。這有助評估吸收虧損的能力。</w:t>
            </w:r>
          </w:p>
          <w:p w14:paraId="0D5A56EC"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股東股本</w:t>
            </w:r>
            <w:r w:rsidRPr="00CA7301">
              <w:rPr>
                <w:rFonts w:cs="Segoe UI"/>
                <w:i/>
                <w:sz w:val="17"/>
                <w:szCs w:val="17"/>
                <w:lang w:eastAsia="zh-TW"/>
              </w:rPr>
              <w:t>] [</w:t>
            </w:r>
            <w:r w:rsidRPr="00CA7301">
              <w:rPr>
                <w:rFonts w:eastAsia="細明體" w:cs="Segoe UI"/>
                <w:i/>
                <w:sz w:val="17"/>
                <w:szCs w:val="17"/>
                <w:lang w:eastAsia="zh-TW"/>
              </w:rPr>
              <w:t>負債</w:t>
            </w:r>
            <w:r w:rsidRPr="00CA7301">
              <w:rPr>
                <w:rFonts w:ascii="細明體" w:eastAsia="細明體" w:hAnsi="細明體" w:cs="細明體" w:hint="eastAsia"/>
                <w:i/>
                <w:sz w:val="17"/>
                <w:szCs w:val="17"/>
                <w:lang w:eastAsia="zh-TW"/>
              </w:rPr>
              <w:t>──</w:t>
            </w:r>
            <w:r w:rsidRPr="00CA7301">
              <w:rPr>
                <w:rFonts w:eastAsia="細明體" w:cs="Segoe UI"/>
                <w:i/>
                <w:sz w:val="17"/>
                <w:szCs w:val="17"/>
                <w:lang w:eastAsia="zh-TW"/>
              </w:rPr>
              <w:t>攤銷成本</w:t>
            </w:r>
            <w:r w:rsidRPr="00CA7301">
              <w:rPr>
                <w:rFonts w:cs="Segoe UI"/>
                <w:i/>
                <w:sz w:val="17"/>
                <w:szCs w:val="17"/>
                <w:lang w:eastAsia="zh-TW"/>
              </w:rPr>
              <w:t>] [</w:t>
            </w:r>
            <w:r w:rsidRPr="00CA7301">
              <w:rPr>
                <w:rFonts w:eastAsia="細明體" w:cs="Segoe UI"/>
                <w:i/>
                <w:sz w:val="17"/>
                <w:szCs w:val="17"/>
                <w:lang w:eastAsia="zh-TW"/>
              </w:rPr>
              <w:t>負債</w:t>
            </w:r>
            <w:r w:rsidRPr="00CA7301">
              <w:rPr>
                <w:rFonts w:ascii="細明體" w:eastAsia="細明體" w:hAnsi="細明體" w:cs="細明體" w:hint="eastAsia"/>
                <w:i/>
                <w:sz w:val="17"/>
                <w:szCs w:val="17"/>
                <w:lang w:eastAsia="zh-TW"/>
              </w:rPr>
              <w:t>──</w:t>
            </w:r>
            <w:proofErr w:type="gramStart"/>
            <w:r w:rsidRPr="00CA7301">
              <w:rPr>
                <w:rFonts w:eastAsia="細明體" w:cs="Segoe UI"/>
                <w:i/>
                <w:sz w:val="17"/>
                <w:szCs w:val="17"/>
                <w:lang w:eastAsia="zh-TW"/>
              </w:rPr>
              <w:t>公平價值選擇</w:t>
            </w:r>
            <w:r w:rsidRPr="00CA7301">
              <w:rPr>
                <w:rFonts w:cs="Segoe UI"/>
                <w:i/>
                <w:sz w:val="17"/>
                <w:szCs w:val="17"/>
                <w:lang w:eastAsia="zh-TW"/>
              </w:rPr>
              <w:t>][</w:t>
            </w:r>
            <w:proofErr w:type="gramEnd"/>
            <w:r w:rsidRPr="00CA7301">
              <w:rPr>
                <w:rFonts w:eastAsia="細明體" w:cs="Segoe UI"/>
                <w:i/>
                <w:sz w:val="17"/>
                <w:szCs w:val="17"/>
                <w:lang w:eastAsia="zh-TW"/>
              </w:rPr>
              <w:t>在綜合附屬公司的非控制權益</w:t>
            </w:r>
            <w:r w:rsidRPr="00CA7301">
              <w:rPr>
                <w:rFonts w:cs="Segoe UI"/>
                <w:i/>
                <w:sz w:val="17"/>
                <w:szCs w:val="17"/>
                <w:lang w:eastAsia="zh-TW"/>
              </w:rPr>
              <w:t xml:space="preserve">] </w:t>
            </w:r>
          </w:p>
        </w:tc>
      </w:tr>
      <w:tr w:rsidR="003F73B0" w:rsidRPr="00CA7301" w14:paraId="4873C57F" w14:textId="77777777" w:rsidTr="00877D8D">
        <w:tc>
          <w:tcPr>
            <w:tcW w:w="486" w:type="dxa"/>
          </w:tcPr>
          <w:p w14:paraId="7895F898" w14:textId="77777777" w:rsidR="003F73B0" w:rsidRPr="00CA7301" w:rsidRDefault="003F73B0" w:rsidP="003F73B0">
            <w:pPr>
              <w:rPr>
                <w:rFonts w:cs="Segoe UI"/>
                <w:sz w:val="17"/>
                <w:szCs w:val="17"/>
              </w:rPr>
            </w:pPr>
            <w:r w:rsidRPr="00CA7301">
              <w:rPr>
                <w:rFonts w:cs="Segoe UI"/>
                <w:sz w:val="17"/>
                <w:szCs w:val="17"/>
              </w:rPr>
              <w:t>11</w:t>
            </w:r>
          </w:p>
        </w:tc>
        <w:tc>
          <w:tcPr>
            <w:tcW w:w="8728" w:type="dxa"/>
          </w:tcPr>
          <w:p w14:paraId="2C6EC619" w14:textId="77777777" w:rsidR="003F73B0" w:rsidRPr="00CA7301" w:rsidRDefault="003F73B0" w:rsidP="003F73B0">
            <w:pPr>
              <w:jc w:val="both"/>
              <w:rPr>
                <w:rFonts w:cs="Segoe UI"/>
                <w:i/>
                <w:sz w:val="17"/>
                <w:szCs w:val="17"/>
                <w:lang w:eastAsia="zh-TW"/>
              </w:rPr>
            </w:pPr>
            <w:r w:rsidRPr="00CA7301">
              <w:rPr>
                <w:rFonts w:eastAsia="細明體" w:cs="Segoe UI"/>
                <w:sz w:val="17"/>
                <w:szCs w:val="17"/>
                <w:lang w:eastAsia="zh-TW"/>
              </w:rPr>
              <w:t>指明發行日期。</w:t>
            </w:r>
          </w:p>
          <w:p w14:paraId="30B26FB2" w14:textId="77777777" w:rsidR="003F73B0" w:rsidRPr="00CA7301" w:rsidRDefault="003F73B0" w:rsidP="003F73B0">
            <w:pPr>
              <w:jc w:val="both"/>
              <w:rPr>
                <w:rFonts w:cs="Segoe UI"/>
                <w:sz w:val="17"/>
                <w:szCs w:val="17"/>
                <w:lang w:eastAsia="zh-TW"/>
              </w:rPr>
            </w:pPr>
            <w:r w:rsidRPr="00CA7301">
              <w:rPr>
                <w:rFonts w:eastAsia="細明體" w:cs="Segoe UI"/>
                <w:i/>
                <w:sz w:val="17"/>
                <w:szCs w:val="17"/>
                <w:lang w:eastAsia="zh-TW"/>
              </w:rPr>
              <w:t>自由填寫內容</w:t>
            </w:r>
          </w:p>
        </w:tc>
      </w:tr>
      <w:tr w:rsidR="003F73B0" w:rsidRPr="00CA7301" w14:paraId="024B287F" w14:textId="77777777" w:rsidTr="00877D8D">
        <w:tc>
          <w:tcPr>
            <w:tcW w:w="486" w:type="dxa"/>
          </w:tcPr>
          <w:p w14:paraId="1C6C7E11" w14:textId="77777777" w:rsidR="003F73B0" w:rsidRPr="00CA7301" w:rsidRDefault="003F73B0" w:rsidP="003F73B0">
            <w:pPr>
              <w:rPr>
                <w:rFonts w:cs="Segoe UI"/>
                <w:sz w:val="17"/>
                <w:szCs w:val="17"/>
              </w:rPr>
            </w:pPr>
            <w:r w:rsidRPr="00CA7301">
              <w:rPr>
                <w:rFonts w:cs="Segoe UI"/>
                <w:sz w:val="17"/>
                <w:szCs w:val="17"/>
              </w:rPr>
              <w:t>12</w:t>
            </w:r>
          </w:p>
        </w:tc>
        <w:tc>
          <w:tcPr>
            <w:tcW w:w="8728" w:type="dxa"/>
          </w:tcPr>
          <w:p w14:paraId="092D1F5B" w14:textId="77777777" w:rsidR="003F73B0" w:rsidRPr="00CA7301" w:rsidRDefault="003F73B0" w:rsidP="003F73B0">
            <w:pPr>
              <w:jc w:val="both"/>
              <w:rPr>
                <w:rFonts w:cs="Segoe UI"/>
                <w:i/>
                <w:sz w:val="17"/>
                <w:szCs w:val="17"/>
                <w:lang w:eastAsia="zh-TW"/>
              </w:rPr>
            </w:pPr>
            <w:r w:rsidRPr="00CA7301">
              <w:rPr>
                <w:rFonts w:eastAsia="細明體" w:cs="Segoe UI"/>
                <w:sz w:val="17"/>
                <w:szCs w:val="17"/>
                <w:lang w:eastAsia="zh-TW"/>
              </w:rPr>
              <w:t>指明設定期限或永久性。</w:t>
            </w:r>
          </w:p>
          <w:p w14:paraId="23189CFC"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輸入</w:t>
            </w:r>
            <w:proofErr w:type="spellEnd"/>
            <w:r w:rsidRPr="00CA7301">
              <w:rPr>
                <w:rFonts w:eastAsia="細明體" w:cs="Segoe UI"/>
                <w:i/>
                <w:sz w:val="17"/>
                <w:szCs w:val="17"/>
              </w:rPr>
              <w:t>：</w:t>
            </w:r>
            <w:r w:rsidRPr="00CA7301">
              <w:rPr>
                <w:rFonts w:cs="Segoe UI"/>
                <w:i/>
                <w:sz w:val="17"/>
                <w:szCs w:val="17"/>
              </w:rPr>
              <w:t>[</w:t>
            </w:r>
            <w:proofErr w:type="spellStart"/>
            <w:r w:rsidRPr="00CA7301">
              <w:rPr>
                <w:rFonts w:eastAsia="細明體" w:cs="Segoe UI"/>
                <w:i/>
                <w:sz w:val="17"/>
                <w:szCs w:val="17"/>
              </w:rPr>
              <w:t>永久</w:t>
            </w:r>
            <w:proofErr w:type="spellEnd"/>
            <w:r w:rsidRPr="00CA7301">
              <w:rPr>
                <w:rFonts w:cs="Segoe UI"/>
                <w:i/>
                <w:sz w:val="17"/>
                <w:szCs w:val="17"/>
              </w:rPr>
              <w:t>] [</w:t>
            </w:r>
            <w:proofErr w:type="spellStart"/>
            <w:r w:rsidRPr="00CA7301">
              <w:rPr>
                <w:rFonts w:eastAsia="細明體" w:cs="Segoe UI"/>
                <w:i/>
                <w:sz w:val="17"/>
                <w:szCs w:val="17"/>
              </w:rPr>
              <w:t>設定期限</w:t>
            </w:r>
            <w:proofErr w:type="spellEnd"/>
            <w:r w:rsidRPr="00CA7301">
              <w:rPr>
                <w:rFonts w:cs="Segoe UI"/>
                <w:i/>
                <w:sz w:val="17"/>
                <w:szCs w:val="17"/>
              </w:rPr>
              <w:t>]</w:t>
            </w:r>
          </w:p>
        </w:tc>
      </w:tr>
      <w:tr w:rsidR="003F73B0" w:rsidRPr="00CA7301" w14:paraId="15D332D5" w14:textId="77777777" w:rsidTr="00877D8D">
        <w:tc>
          <w:tcPr>
            <w:tcW w:w="486" w:type="dxa"/>
          </w:tcPr>
          <w:p w14:paraId="185D456A" w14:textId="77777777" w:rsidR="003F73B0" w:rsidRPr="00CA7301" w:rsidRDefault="003F73B0" w:rsidP="003F73B0">
            <w:pPr>
              <w:rPr>
                <w:rFonts w:cs="Segoe UI"/>
                <w:sz w:val="17"/>
                <w:szCs w:val="17"/>
              </w:rPr>
            </w:pPr>
            <w:r w:rsidRPr="00CA7301">
              <w:rPr>
                <w:rFonts w:cs="Segoe UI"/>
                <w:sz w:val="17"/>
                <w:szCs w:val="17"/>
              </w:rPr>
              <w:t>13</w:t>
            </w:r>
          </w:p>
        </w:tc>
        <w:tc>
          <w:tcPr>
            <w:tcW w:w="8728" w:type="dxa"/>
          </w:tcPr>
          <w:p w14:paraId="4D3CAC9B"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如屬設定期限票據，指明原訂到期日</w:t>
            </w:r>
            <w:proofErr w:type="gramStart"/>
            <w:r w:rsidRPr="00CA7301">
              <w:rPr>
                <w:rFonts w:eastAsiaTheme="minorEastAsia" w:cs="Segoe UI"/>
                <w:sz w:val="17"/>
                <w:szCs w:val="17"/>
                <w:lang w:eastAsia="zh-TW"/>
              </w:rPr>
              <w:t>（</w:t>
            </w:r>
            <w:proofErr w:type="gramEnd"/>
            <w:r w:rsidRPr="00CA7301">
              <w:rPr>
                <w:rFonts w:eastAsia="細明體" w:cs="Segoe UI"/>
                <w:sz w:val="17"/>
                <w:szCs w:val="17"/>
                <w:lang w:eastAsia="zh-TW"/>
              </w:rPr>
              <w:t>註明：日、月、年</w:t>
            </w:r>
            <w:proofErr w:type="gramStart"/>
            <w:r w:rsidRPr="00CA7301">
              <w:rPr>
                <w:rFonts w:eastAsiaTheme="minorEastAsia" w:cs="Segoe UI"/>
                <w:sz w:val="17"/>
                <w:szCs w:val="17"/>
                <w:lang w:eastAsia="zh-TW"/>
              </w:rPr>
              <w:t>）</w:t>
            </w:r>
            <w:proofErr w:type="gramEnd"/>
            <w:r w:rsidRPr="00CA7301">
              <w:rPr>
                <w:rFonts w:eastAsia="細明體" w:cs="Segoe UI"/>
                <w:sz w:val="17"/>
                <w:szCs w:val="17"/>
                <w:lang w:eastAsia="zh-TW"/>
              </w:rPr>
              <w:t>；如屬永久票據，則輸入「無期限」。</w:t>
            </w:r>
          </w:p>
          <w:p w14:paraId="2BB69086"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自由填寫內容</w:t>
            </w:r>
            <w:proofErr w:type="spellEnd"/>
          </w:p>
        </w:tc>
      </w:tr>
      <w:tr w:rsidR="003F73B0" w:rsidRPr="00CA7301" w14:paraId="710E9EB7" w14:textId="77777777" w:rsidTr="00877D8D">
        <w:tc>
          <w:tcPr>
            <w:tcW w:w="486" w:type="dxa"/>
          </w:tcPr>
          <w:p w14:paraId="6251DA29" w14:textId="77777777" w:rsidR="003F73B0" w:rsidRPr="00CA7301" w:rsidRDefault="003F73B0" w:rsidP="003F73B0">
            <w:pPr>
              <w:rPr>
                <w:rFonts w:cs="Segoe UI"/>
                <w:sz w:val="17"/>
                <w:szCs w:val="17"/>
              </w:rPr>
            </w:pPr>
            <w:r w:rsidRPr="00CA7301">
              <w:rPr>
                <w:rFonts w:cs="Segoe UI"/>
                <w:sz w:val="17"/>
                <w:szCs w:val="17"/>
              </w:rPr>
              <w:t>14</w:t>
            </w:r>
          </w:p>
        </w:tc>
        <w:tc>
          <w:tcPr>
            <w:tcW w:w="8728" w:type="dxa"/>
          </w:tcPr>
          <w:p w14:paraId="792B4D5A" w14:textId="77777777" w:rsidR="003F73B0" w:rsidRPr="00CA7301" w:rsidRDefault="003F73B0" w:rsidP="003F73B0">
            <w:pPr>
              <w:rPr>
                <w:rFonts w:eastAsia="....?" w:cs="Segoe UI"/>
                <w:color w:val="000000"/>
                <w:sz w:val="24"/>
                <w:szCs w:val="24"/>
                <w:lang w:val="en-US" w:eastAsia="zh-TW"/>
              </w:rPr>
            </w:pPr>
            <w:r w:rsidRPr="00CA7301">
              <w:rPr>
                <w:rFonts w:eastAsia="細明體" w:cs="Segoe UI"/>
                <w:sz w:val="17"/>
                <w:szCs w:val="17"/>
                <w:lang w:eastAsia="zh-TW"/>
              </w:rPr>
              <w:t>指明是否設有發行人贖回權。</w:t>
            </w:r>
          </w:p>
          <w:p w14:paraId="0D437C92"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Theme="minorEastAsia" w:cs="Segoe UI"/>
                <w:i/>
                <w:sz w:val="17"/>
                <w:szCs w:val="17"/>
                <w:lang w:eastAsia="zh-TW"/>
              </w:rPr>
              <w:t>是</w:t>
            </w:r>
            <w:r w:rsidRPr="00CA7301">
              <w:rPr>
                <w:rFonts w:cs="Segoe UI"/>
                <w:i/>
                <w:sz w:val="17"/>
                <w:szCs w:val="17"/>
                <w:lang w:eastAsia="zh-TW"/>
              </w:rPr>
              <w:t>]</w:t>
            </w:r>
            <w:r w:rsidRPr="00CA7301">
              <w:rPr>
                <w:rFonts w:eastAsiaTheme="minorEastAsia" w:cs="Segoe UI"/>
                <w:i/>
                <w:sz w:val="17"/>
                <w:szCs w:val="17"/>
                <w:lang w:eastAsia="zh-TW"/>
              </w:rPr>
              <w:t xml:space="preserve"> [</w:t>
            </w:r>
            <w:r w:rsidRPr="00CA7301">
              <w:rPr>
                <w:rFonts w:eastAsiaTheme="minorEastAsia" w:cs="Segoe UI"/>
                <w:i/>
                <w:sz w:val="17"/>
                <w:szCs w:val="17"/>
                <w:lang w:eastAsia="zh-TW"/>
              </w:rPr>
              <w:t>否</w:t>
            </w:r>
            <w:r w:rsidRPr="00CA7301">
              <w:rPr>
                <w:rFonts w:cs="Segoe UI"/>
                <w:i/>
                <w:sz w:val="17"/>
                <w:szCs w:val="17"/>
                <w:lang w:eastAsia="zh-TW"/>
              </w:rPr>
              <w:t>]</w:t>
            </w:r>
          </w:p>
        </w:tc>
      </w:tr>
      <w:tr w:rsidR="003F73B0" w:rsidRPr="00CA7301" w14:paraId="3FD31964" w14:textId="77777777" w:rsidTr="00877D8D">
        <w:tc>
          <w:tcPr>
            <w:tcW w:w="486" w:type="dxa"/>
          </w:tcPr>
          <w:p w14:paraId="58EBBCBA" w14:textId="77777777" w:rsidR="003F73B0" w:rsidRPr="00CA7301" w:rsidRDefault="003F73B0" w:rsidP="003F73B0">
            <w:pPr>
              <w:rPr>
                <w:rFonts w:cs="Segoe UI"/>
                <w:sz w:val="17"/>
                <w:szCs w:val="17"/>
              </w:rPr>
            </w:pPr>
            <w:r w:rsidRPr="00CA7301">
              <w:rPr>
                <w:rFonts w:cs="Segoe UI"/>
                <w:sz w:val="17"/>
                <w:szCs w:val="17"/>
              </w:rPr>
              <w:t>15</w:t>
            </w:r>
          </w:p>
        </w:tc>
        <w:tc>
          <w:tcPr>
            <w:tcW w:w="8728" w:type="dxa"/>
          </w:tcPr>
          <w:p w14:paraId="66B41B49"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如屬設有發行人贖回權的票據，</w:t>
            </w:r>
            <w:r w:rsidRPr="00CA7301">
              <w:rPr>
                <w:rFonts w:cs="Segoe UI"/>
                <w:sz w:val="17"/>
                <w:szCs w:val="17"/>
                <w:lang w:eastAsia="zh-TW"/>
              </w:rPr>
              <w:t>(</w:t>
            </w:r>
            <w:proofErr w:type="spellStart"/>
            <w:r w:rsidRPr="00CA7301">
              <w:rPr>
                <w:rFonts w:cs="Segoe UI"/>
                <w:sz w:val="17"/>
                <w:szCs w:val="17"/>
                <w:lang w:eastAsia="zh-TW"/>
              </w:rPr>
              <w:t>i</w:t>
            </w:r>
            <w:proofErr w:type="spellEnd"/>
            <w:r w:rsidRPr="00CA7301">
              <w:rPr>
                <w:rFonts w:cs="Segoe UI"/>
                <w:sz w:val="17"/>
                <w:szCs w:val="17"/>
                <w:lang w:eastAsia="zh-TW"/>
              </w:rPr>
              <w:t>)</w:t>
            </w:r>
            <w:r w:rsidRPr="00CA7301">
              <w:rPr>
                <w:rFonts w:eastAsiaTheme="minorEastAsia" w:cs="Segoe UI"/>
                <w:sz w:val="17"/>
                <w:szCs w:val="17"/>
                <w:lang w:eastAsia="zh-TW"/>
              </w:rPr>
              <w:t xml:space="preserve"> </w:t>
            </w:r>
            <w:r w:rsidRPr="00CA7301">
              <w:rPr>
                <w:rFonts w:eastAsiaTheme="minorEastAsia" w:cs="Segoe UI"/>
                <w:sz w:val="17"/>
                <w:szCs w:val="17"/>
                <w:lang w:eastAsia="zh-TW"/>
              </w:rPr>
              <w:t>而</w:t>
            </w:r>
            <w:r w:rsidRPr="00CA7301">
              <w:rPr>
                <w:rFonts w:eastAsia="細明體" w:cs="Segoe UI"/>
                <w:sz w:val="17"/>
                <w:szCs w:val="17"/>
                <w:lang w:eastAsia="zh-TW"/>
              </w:rPr>
              <w:t>該票據的贖回權適用於某特定日期</w:t>
            </w:r>
            <w:r w:rsidRPr="00CA7301">
              <w:rPr>
                <w:rFonts w:cs="Segoe UI"/>
                <w:sz w:val="17"/>
                <w:szCs w:val="17"/>
                <w:lang w:eastAsia="zh-TW"/>
              </w:rPr>
              <w:t>(</w:t>
            </w:r>
            <w:r w:rsidRPr="00CA7301">
              <w:rPr>
                <w:rFonts w:eastAsia="細明體" w:cs="Segoe UI"/>
                <w:sz w:val="17"/>
                <w:szCs w:val="17"/>
                <w:lang w:eastAsia="zh-TW"/>
              </w:rPr>
              <w:t>註明：日、月、年</w:t>
            </w:r>
            <w:r w:rsidRPr="00CA7301">
              <w:rPr>
                <w:rFonts w:cs="Segoe UI"/>
                <w:sz w:val="17"/>
                <w:szCs w:val="17"/>
                <w:lang w:eastAsia="zh-TW"/>
              </w:rPr>
              <w:t>)</w:t>
            </w:r>
            <w:r w:rsidRPr="00CA7301">
              <w:rPr>
                <w:rFonts w:eastAsia="細明體" w:cs="Segoe UI"/>
                <w:sz w:val="17"/>
                <w:szCs w:val="17"/>
                <w:lang w:eastAsia="zh-TW"/>
              </w:rPr>
              <w:t>，指明首</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可贖回日；</w:t>
            </w:r>
            <w:r w:rsidRPr="00CA7301">
              <w:rPr>
                <w:rFonts w:cs="Segoe UI"/>
                <w:sz w:val="17"/>
                <w:szCs w:val="17"/>
                <w:lang w:eastAsia="zh-TW"/>
              </w:rPr>
              <w:t xml:space="preserve">(ii) </w:t>
            </w:r>
            <w:r w:rsidRPr="00CA7301">
              <w:rPr>
                <w:rFonts w:eastAsiaTheme="minorEastAsia" w:cs="Segoe UI"/>
                <w:sz w:val="17"/>
                <w:szCs w:val="17"/>
                <w:lang w:eastAsia="zh-TW"/>
              </w:rPr>
              <w:t>指明</w:t>
            </w:r>
            <w:r w:rsidRPr="00CA7301">
              <w:rPr>
                <w:rFonts w:eastAsia="細明體" w:cs="Segoe UI"/>
                <w:sz w:val="17"/>
                <w:szCs w:val="17"/>
                <w:lang w:eastAsia="zh-TW"/>
              </w:rPr>
              <w:t>該票據是否設有稅務及</w:t>
            </w:r>
            <w:r w:rsidRPr="00CA7301">
              <w:rPr>
                <w:rFonts w:cs="Segoe UI"/>
                <w:sz w:val="17"/>
                <w:szCs w:val="17"/>
                <w:lang w:eastAsia="zh-TW"/>
              </w:rPr>
              <w:t xml:space="preserve"> / </w:t>
            </w:r>
            <w:r w:rsidRPr="00CA7301">
              <w:rPr>
                <w:rFonts w:eastAsia="細明體" w:cs="Segoe UI"/>
                <w:sz w:val="17"/>
                <w:szCs w:val="17"/>
                <w:lang w:eastAsia="zh-TW"/>
              </w:rPr>
              <w:t>或監管事項贖回權；及</w:t>
            </w:r>
            <w:r w:rsidRPr="00CA7301">
              <w:rPr>
                <w:rFonts w:cs="Segoe UI"/>
                <w:sz w:val="17"/>
                <w:szCs w:val="17"/>
                <w:lang w:eastAsia="zh-TW"/>
              </w:rPr>
              <w:t>(iii)</w:t>
            </w:r>
            <w:r w:rsidRPr="00CA7301">
              <w:rPr>
                <w:rFonts w:eastAsia="細明體" w:cs="Segoe UI"/>
                <w:sz w:val="17"/>
                <w:szCs w:val="17"/>
                <w:lang w:eastAsia="zh-TW"/>
              </w:rPr>
              <w:t>贖回價格。</w:t>
            </w:r>
          </w:p>
          <w:p w14:paraId="2687B90E"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自由填寫內容</w:t>
            </w:r>
            <w:proofErr w:type="spellEnd"/>
          </w:p>
        </w:tc>
      </w:tr>
      <w:tr w:rsidR="003F73B0" w:rsidRPr="00CA7301" w14:paraId="57050C9A" w14:textId="77777777" w:rsidTr="00877D8D">
        <w:tc>
          <w:tcPr>
            <w:tcW w:w="486" w:type="dxa"/>
          </w:tcPr>
          <w:p w14:paraId="2081D9DC" w14:textId="77777777" w:rsidR="003F73B0" w:rsidRPr="00CA7301" w:rsidRDefault="003F73B0" w:rsidP="003F73B0">
            <w:pPr>
              <w:rPr>
                <w:rFonts w:cs="Segoe UI"/>
                <w:sz w:val="17"/>
                <w:szCs w:val="17"/>
              </w:rPr>
            </w:pPr>
            <w:r w:rsidRPr="00CA7301">
              <w:rPr>
                <w:rFonts w:cs="Segoe UI"/>
                <w:sz w:val="17"/>
                <w:szCs w:val="17"/>
              </w:rPr>
              <w:t>16</w:t>
            </w:r>
          </w:p>
        </w:tc>
        <w:tc>
          <w:tcPr>
            <w:tcW w:w="8728" w:type="dxa"/>
          </w:tcPr>
          <w:p w14:paraId="308FA02B"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指明是否設有後續可贖回日及該等贖回日期的頻率（如適用</w:t>
            </w:r>
            <w:r w:rsidRPr="00CA7301">
              <w:rPr>
                <w:rFonts w:eastAsiaTheme="minorEastAsia" w:cs="Segoe UI"/>
                <w:sz w:val="17"/>
                <w:szCs w:val="17"/>
                <w:lang w:eastAsia="zh-TW"/>
              </w:rPr>
              <w:t>）</w:t>
            </w:r>
            <w:r w:rsidRPr="00CA7301">
              <w:rPr>
                <w:rFonts w:eastAsia="細明體" w:cs="Segoe UI"/>
                <w:sz w:val="17"/>
                <w:szCs w:val="17"/>
                <w:lang w:eastAsia="zh-TW"/>
              </w:rPr>
              <w:t>。</w:t>
            </w:r>
          </w:p>
          <w:p w14:paraId="110063E5"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自由填寫內容</w:t>
            </w:r>
          </w:p>
        </w:tc>
      </w:tr>
      <w:tr w:rsidR="003F73B0" w:rsidRPr="00CA7301" w14:paraId="59889391" w14:textId="77777777" w:rsidTr="00877D8D">
        <w:tc>
          <w:tcPr>
            <w:tcW w:w="486" w:type="dxa"/>
          </w:tcPr>
          <w:p w14:paraId="77C14390" w14:textId="77777777" w:rsidR="003F73B0" w:rsidRPr="00CA7301" w:rsidRDefault="003F73B0" w:rsidP="003F73B0">
            <w:pPr>
              <w:rPr>
                <w:rFonts w:cs="Segoe UI"/>
                <w:sz w:val="17"/>
                <w:szCs w:val="17"/>
              </w:rPr>
            </w:pPr>
            <w:r w:rsidRPr="00CA7301">
              <w:rPr>
                <w:rFonts w:cs="Segoe UI"/>
                <w:sz w:val="17"/>
                <w:szCs w:val="17"/>
              </w:rPr>
              <w:t>17</w:t>
            </w:r>
          </w:p>
        </w:tc>
        <w:tc>
          <w:tcPr>
            <w:tcW w:w="8728" w:type="dxa"/>
          </w:tcPr>
          <w:p w14:paraId="4C49E06D"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指明票息</w:t>
            </w:r>
            <w:r w:rsidRPr="00CA7301">
              <w:rPr>
                <w:rFonts w:cs="Segoe UI"/>
                <w:sz w:val="17"/>
                <w:szCs w:val="17"/>
                <w:lang w:eastAsia="zh-TW"/>
              </w:rPr>
              <w:t xml:space="preserve"> / </w:t>
            </w:r>
            <w:r w:rsidRPr="00CA7301">
              <w:rPr>
                <w:rFonts w:eastAsia="細明體" w:cs="Segoe UI"/>
                <w:sz w:val="17"/>
                <w:szCs w:val="17"/>
                <w:lang w:eastAsia="zh-TW"/>
              </w:rPr>
              <w:t>股息</w:t>
            </w:r>
            <w:r w:rsidRPr="00CA7301">
              <w:rPr>
                <w:rFonts w:eastAsiaTheme="minorEastAsia" w:cs="Segoe UI"/>
                <w:sz w:val="17"/>
                <w:szCs w:val="17"/>
                <w:lang w:eastAsia="zh-TW"/>
              </w:rPr>
              <w:t>是否</w:t>
            </w:r>
            <w:r w:rsidRPr="00CA7301">
              <w:rPr>
                <w:rFonts w:eastAsia="細明體" w:cs="Segoe UI"/>
                <w:sz w:val="17"/>
                <w:szCs w:val="17"/>
                <w:lang w:eastAsia="zh-TW"/>
              </w:rPr>
              <w:t xml:space="preserve"> </w:t>
            </w:r>
            <w:r w:rsidRPr="00CA7301">
              <w:rPr>
                <w:rFonts w:cs="Segoe UI"/>
                <w:sz w:val="17"/>
                <w:szCs w:val="17"/>
                <w:lang w:eastAsia="zh-TW"/>
              </w:rPr>
              <w:t>(</w:t>
            </w:r>
            <w:proofErr w:type="spellStart"/>
            <w:r w:rsidRPr="00CA7301">
              <w:rPr>
                <w:rFonts w:cs="Segoe UI"/>
                <w:sz w:val="17"/>
                <w:szCs w:val="17"/>
                <w:lang w:eastAsia="zh-TW"/>
              </w:rPr>
              <w:t>i</w:t>
            </w:r>
            <w:proofErr w:type="spellEnd"/>
            <w:r w:rsidRPr="00CA7301">
              <w:rPr>
                <w:rFonts w:cs="Segoe UI"/>
                <w:sz w:val="17"/>
                <w:szCs w:val="17"/>
                <w:lang w:eastAsia="zh-TW"/>
              </w:rPr>
              <w:t>)</w:t>
            </w:r>
            <w:r w:rsidRPr="00CA7301">
              <w:rPr>
                <w:rFonts w:eastAsiaTheme="minorEastAsia" w:cs="Segoe UI"/>
                <w:sz w:val="17"/>
                <w:szCs w:val="17"/>
                <w:lang w:eastAsia="zh-TW"/>
              </w:rPr>
              <w:t xml:space="preserve"> </w:t>
            </w:r>
            <w:r w:rsidRPr="00CA7301">
              <w:rPr>
                <w:rFonts w:eastAsia="細明體" w:cs="Segoe UI"/>
                <w:sz w:val="17"/>
                <w:szCs w:val="17"/>
                <w:lang w:eastAsia="zh-TW"/>
              </w:rPr>
              <w:t>在票據有效期內為固定；</w:t>
            </w:r>
            <w:r w:rsidRPr="00CA7301">
              <w:rPr>
                <w:rFonts w:cs="Segoe UI"/>
                <w:sz w:val="17"/>
                <w:szCs w:val="17"/>
                <w:lang w:eastAsia="zh-TW"/>
              </w:rPr>
              <w:t xml:space="preserve">(ii) </w:t>
            </w:r>
            <w:r w:rsidRPr="00CA7301">
              <w:rPr>
                <w:rFonts w:eastAsia="細明體" w:cs="Segoe UI"/>
                <w:sz w:val="17"/>
                <w:szCs w:val="17"/>
                <w:lang w:eastAsia="zh-TW"/>
              </w:rPr>
              <w:t>在票據有效期內為浮動；</w:t>
            </w:r>
            <w:r w:rsidRPr="00CA7301">
              <w:rPr>
                <w:rFonts w:cs="Segoe UI"/>
                <w:sz w:val="17"/>
                <w:szCs w:val="17"/>
                <w:lang w:eastAsia="zh-TW"/>
              </w:rPr>
              <w:t xml:space="preserve">(iii) </w:t>
            </w:r>
            <w:r w:rsidRPr="00CA7301">
              <w:rPr>
                <w:rFonts w:eastAsia="細明體" w:cs="Segoe UI"/>
                <w:sz w:val="17"/>
                <w:szCs w:val="17"/>
                <w:lang w:eastAsia="zh-TW"/>
              </w:rPr>
              <w:t>現時固定但日後變為浮動；或</w:t>
            </w:r>
            <w:r w:rsidRPr="00CA7301">
              <w:rPr>
                <w:rFonts w:eastAsia="細明體" w:cs="Segoe UI"/>
                <w:sz w:val="17"/>
                <w:szCs w:val="17"/>
                <w:lang w:eastAsia="zh-TW"/>
              </w:rPr>
              <w:t xml:space="preserve"> </w:t>
            </w:r>
            <w:r w:rsidRPr="00CA7301">
              <w:rPr>
                <w:rFonts w:cs="Segoe UI"/>
                <w:sz w:val="17"/>
                <w:szCs w:val="17"/>
                <w:lang w:eastAsia="zh-TW"/>
              </w:rPr>
              <w:t xml:space="preserve">(iv) </w:t>
            </w:r>
            <w:r w:rsidRPr="00CA7301">
              <w:rPr>
                <w:rFonts w:eastAsiaTheme="minorEastAsia" w:cs="Segoe UI"/>
                <w:sz w:val="17"/>
                <w:szCs w:val="17"/>
                <w:lang w:eastAsia="zh-TW"/>
              </w:rPr>
              <w:t>現時</w:t>
            </w:r>
            <w:r w:rsidRPr="00CA7301">
              <w:rPr>
                <w:rFonts w:eastAsia="細明體" w:cs="Segoe UI"/>
                <w:sz w:val="17"/>
                <w:szCs w:val="17"/>
                <w:lang w:eastAsia="zh-TW"/>
              </w:rPr>
              <w:t>浮動但日後變為固定。</w:t>
            </w:r>
          </w:p>
          <w:p w14:paraId="49338BD7" w14:textId="77777777" w:rsidR="003F73B0" w:rsidRPr="00CA7301" w:rsidRDefault="003F73B0" w:rsidP="003F73B0">
            <w:pPr>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固定</w:t>
            </w:r>
            <w:r w:rsidRPr="00CA7301">
              <w:rPr>
                <w:rFonts w:cs="Segoe UI"/>
                <w:i/>
                <w:sz w:val="17"/>
                <w:szCs w:val="17"/>
                <w:lang w:eastAsia="zh-TW"/>
              </w:rPr>
              <w:t>]</w:t>
            </w:r>
            <w:r w:rsidRPr="00CA7301">
              <w:rPr>
                <w:rFonts w:eastAsia="細明體" w:cs="Segoe UI"/>
                <w:i/>
                <w:sz w:val="17"/>
                <w:szCs w:val="17"/>
                <w:lang w:eastAsia="zh-TW"/>
              </w:rPr>
              <w:t>、</w:t>
            </w:r>
            <w:r w:rsidRPr="00CA7301">
              <w:rPr>
                <w:rFonts w:cs="Segoe UI"/>
                <w:i/>
                <w:sz w:val="17"/>
                <w:szCs w:val="17"/>
                <w:lang w:eastAsia="zh-TW"/>
              </w:rPr>
              <w:t xml:space="preserve"> [</w:t>
            </w:r>
            <w:r w:rsidRPr="00CA7301">
              <w:rPr>
                <w:rFonts w:eastAsia="細明體" w:cs="Segoe UI"/>
                <w:i/>
                <w:sz w:val="17"/>
                <w:szCs w:val="17"/>
                <w:lang w:eastAsia="zh-TW"/>
              </w:rPr>
              <w:t>浮動</w:t>
            </w:r>
            <w:r w:rsidRPr="00CA7301">
              <w:rPr>
                <w:rFonts w:cs="Segoe UI"/>
                <w:i/>
                <w:sz w:val="17"/>
                <w:szCs w:val="17"/>
                <w:lang w:eastAsia="zh-TW"/>
              </w:rPr>
              <w:t>]</w:t>
            </w:r>
            <w:r w:rsidRPr="00CA7301">
              <w:rPr>
                <w:rFonts w:eastAsia="細明體" w:cs="Segoe UI"/>
                <w:i/>
                <w:sz w:val="17"/>
                <w:szCs w:val="17"/>
                <w:lang w:eastAsia="zh-TW"/>
              </w:rPr>
              <w:t>、</w:t>
            </w:r>
            <w:r w:rsidRPr="00CA7301">
              <w:rPr>
                <w:rFonts w:cs="Segoe UI"/>
                <w:i/>
                <w:sz w:val="17"/>
                <w:szCs w:val="17"/>
                <w:lang w:eastAsia="zh-TW"/>
              </w:rPr>
              <w:t xml:space="preserve"> [</w:t>
            </w:r>
            <w:r w:rsidRPr="00CA7301">
              <w:rPr>
                <w:rFonts w:eastAsia="細明體" w:cs="Segoe UI"/>
                <w:i/>
                <w:sz w:val="17"/>
                <w:szCs w:val="17"/>
                <w:lang w:eastAsia="zh-TW"/>
              </w:rPr>
              <w:t>固定變為浮動</w:t>
            </w:r>
            <w:r w:rsidRPr="00CA7301">
              <w:rPr>
                <w:rFonts w:cs="Segoe UI"/>
                <w:i/>
                <w:sz w:val="17"/>
                <w:szCs w:val="17"/>
                <w:lang w:eastAsia="zh-TW"/>
              </w:rPr>
              <w:t>]</w:t>
            </w:r>
            <w:r w:rsidRPr="00CA7301">
              <w:rPr>
                <w:rFonts w:eastAsia="細明體" w:cs="Segoe UI"/>
                <w:i/>
                <w:sz w:val="17"/>
                <w:szCs w:val="17"/>
                <w:lang w:eastAsia="zh-TW"/>
              </w:rPr>
              <w:t>、</w:t>
            </w:r>
            <w:r w:rsidRPr="00CA7301">
              <w:rPr>
                <w:rFonts w:cs="Segoe UI"/>
                <w:i/>
                <w:sz w:val="17"/>
                <w:szCs w:val="17"/>
                <w:lang w:eastAsia="zh-TW"/>
              </w:rPr>
              <w:t xml:space="preserve"> [</w:t>
            </w:r>
            <w:r w:rsidRPr="00CA7301">
              <w:rPr>
                <w:rFonts w:eastAsia="細明體" w:cs="Segoe UI"/>
                <w:i/>
                <w:sz w:val="17"/>
                <w:szCs w:val="17"/>
                <w:lang w:eastAsia="zh-TW"/>
              </w:rPr>
              <w:t>浮動變為固定</w:t>
            </w:r>
            <w:r w:rsidRPr="00CA7301">
              <w:rPr>
                <w:rFonts w:cs="Segoe UI"/>
                <w:i/>
                <w:sz w:val="17"/>
                <w:szCs w:val="17"/>
                <w:lang w:eastAsia="zh-TW"/>
              </w:rPr>
              <w:t>]</w:t>
            </w:r>
          </w:p>
        </w:tc>
      </w:tr>
      <w:tr w:rsidR="003F73B0" w:rsidRPr="00CA7301" w14:paraId="5A61742F" w14:textId="77777777" w:rsidTr="00877D8D">
        <w:tc>
          <w:tcPr>
            <w:tcW w:w="486" w:type="dxa"/>
          </w:tcPr>
          <w:p w14:paraId="6792010F" w14:textId="77777777" w:rsidR="003F73B0" w:rsidRPr="00CA7301" w:rsidRDefault="003F73B0" w:rsidP="003F73B0">
            <w:pPr>
              <w:rPr>
                <w:rFonts w:cs="Segoe UI"/>
                <w:sz w:val="17"/>
                <w:szCs w:val="17"/>
              </w:rPr>
            </w:pPr>
            <w:r w:rsidRPr="00CA7301">
              <w:rPr>
                <w:rFonts w:cs="Segoe UI"/>
                <w:sz w:val="17"/>
                <w:szCs w:val="17"/>
              </w:rPr>
              <w:t>18</w:t>
            </w:r>
          </w:p>
        </w:tc>
        <w:tc>
          <w:tcPr>
            <w:tcW w:w="8728" w:type="dxa"/>
          </w:tcPr>
          <w:p w14:paraId="673F7F0E"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指明票據的票息率，以及作為票息</w:t>
            </w:r>
            <w:r w:rsidRPr="00CA7301">
              <w:rPr>
                <w:rFonts w:cs="Segoe UI"/>
                <w:sz w:val="17"/>
                <w:szCs w:val="17"/>
                <w:lang w:eastAsia="zh-TW"/>
              </w:rPr>
              <w:t xml:space="preserve"> / </w:t>
            </w:r>
            <w:r w:rsidRPr="00CA7301">
              <w:rPr>
                <w:rFonts w:eastAsia="細明體" w:cs="Segoe UI"/>
                <w:sz w:val="17"/>
                <w:szCs w:val="17"/>
                <w:lang w:eastAsia="zh-TW"/>
              </w:rPr>
              <w:t>股息率參考的任何相關指數。</w:t>
            </w:r>
          </w:p>
          <w:p w14:paraId="09FA176D"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自由填寫內容</w:t>
            </w:r>
          </w:p>
        </w:tc>
      </w:tr>
      <w:tr w:rsidR="003F73B0" w:rsidRPr="00CA7301" w14:paraId="7E0F878A" w14:textId="77777777" w:rsidTr="00877D8D">
        <w:tc>
          <w:tcPr>
            <w:tcW w:w="486" w:type="dxa"/>
          </w:tcPr>
          <w:p w14:paraId="67B302C4" w14:textId="77777777" w:rsidR="003F73B0" w:rsidRPr="00CA7301" w:rsidRDefault="003F73B0" w:rsidP="003F73B0">
            <w:pPr>
              <w:rPr>
                <w:rFonts w:cs="Segoe UI"/>
                <w:sz w:val="17"/>
                <w:szCs w:val="17"/>
              </w:rPr>
            </w:pPr>
            <w:r w:rsidRPr="00CA7301">
              <w:rPr>
                <w:rFonts w:cs="Segoe UI"/>
                <w:sz w:val="17"/>
                <w:szCs w:val="17"/>
              </w:rPr>
              <w:t>19</w:t>
            </w:r>
          </w:p>
        </w:tc>
        <w:tc>
          <w:tcPr>
            <w:tcW w:w="8728" w:type="dxa"/>
          </w:tcPr>
          <w:p w14:paraId="597E1548"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指明是否在不支付票據票息或股息則會停止派發普通股股息</w:t>
            </w:r>
            <w:r w:rsidRPr="00CA7301">
              <w:rPr>
                <w:rFonts w:eastAsiaTheme="minorEastAsia" w:cs="Segoe UI"/>
                <w:sz w:val="17"/>
                <w:szCs w:val="17"/>
                <w:lang w:eastAsia="zh-TW"/>
              </w:rPr>
              <w:t>（</w:t>
            </w:r>
            <w:r w:rsidRPr="00CA7301">
              <w:rPr>
                <w:rFonts w:eastAsia="細明體" w:cs="Segoe UI"/>
                <w:sz w:val="17"/>
                <w:szCs w:val="17"/>
                <w:lang w:eastAsia="zh-TW"/>
              </w:rPr>
              <w:t>即是否設有停止派發股息的機制</w:t>
            </w:r>
            <w:r w:rsidRPr="00CA7301">
              <w:rPr>
                <w:rFonts w:eastAsiaTheme="minorEastAsia" w:cs="Segoe UI"/>
                <w:sz w:val="17"/>
                <w:szCs w:val="17"/>
                <w:lang w:eastAsia="zh-TW"/>
              </w:rPr>
              <w:t>）</w:t>
            </w:r>
          </w:p>
          <w:p w14:paraId="55036391"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輸入</w:t>
            </w:r>
            <w:proofErr w:type="spellEnd"/>
            <w:r w:rsidRPr="00CA7301">
              <w:rPr>
                <w:rFonts w:eastAsia="細明體" w:cs="Segoe UI"/>
                <w:i/>
                <w:sz w:val="17"/>
                <w:szCs w:val="17"/>
              </w:rPr>
              <w:t>：</w:t>
            </w:r>
            <w:r w:rsidRPr="00CA7301">
              <w:rPr>
                <w:rFonts w:cs="Segoe UI"/>
                <w:i/>
                <w:sz w:val="17"/>
                <w:szCs w:val="17"/>
              </w:rPr>
              <w:t xml:space="preserve"> [</w:t>
            </w:r>
            <w:r w:rsidRPr="00CA7301">
              <w:rPr>
                <w:rFonts w:eastAsia="細明體" w:cs="Segoe UI"/>
                <w:i/>
                <w:sz w:val="17"/>
                <w:szCs w:val="17"/>
              </w:rPr>
              <w:t>有</w:t>
            </w:r>
            <w:r w:rsidRPr="00CA7301">
              <w:rPr>
                <w:rFonts w:cs="Segoe UI"/>
                <w:i/>
                <w:sz w:val="17"/>
                <w:szCs w:val="17"/>
              </w:rPr>
              <w:t>] [</w:t>
            </w:r>
            <w:proofErr w:type="spellStart"/>
            <w:r w:rsidRPr="00CA7301">
              <w:rPr>
                <w:rFonts w:eastAsia="細明體" w:cs="Segoe UI"/>
                <w:i/>
                <w:sz w:val="17"/>
                <w:szCs w:val="17"/>
              </w:rPr>
              <w:t>沒有</w:t>
            </w:r>
            <w:proofErr w:type="spellEnd"/>
            <w:r w:rsidRPr="00CA7301">
              <w:rPr>
                <w:rFonts w:cs="Segoe UI"/>
                <w:i/>
                <w:sz w:val="17"/>
                <w:szCs w:val="17"/>
              </w:rPr>
              <w:t xml:space="preserve">] </w:t>
            </w:r>
          </w:p>
        </w:tc>
      </w:tr>
      <w:tr w:rsidR="003F73B0" w:rsidRPr="00CA7301" w14:paraId="6DA124CB" w14:textId="77777777" w:rsidTr="00877D8D">
        <w:tc>
          <w:tcPr>
            <w:tcW w:w="486" w:type="dxa"/>
          </w:tcPr>
          <w:p w14:paraId="34CFBF7B" w14:textId="77777777" w:rsidR="003F73B0" w:rsidRPr="00CA7301" w:rsidRDefault="003F73B0" w:rsidP="003F73B0">
            <w:pPr>
              <w:rPr>
                <w:rFonts w:cs="Segoe UI"/>
                <w:sz w:val="17"/>
                <w:szCs w:val="17"/>
              </w:rPr>
            </w:pPr>
            <w:r w:rsidRPr="00CA7301">
              <w:rPr>
                <w:rFonts w:cs="Segoe UI"/>
                <w:sz w:val="17"/>
                <w:szCs w:val="17"/>
              </w:rPr>
              <w:t>20</w:t>
            </w:r>
          </w:p>
        </w:tc>
        <w:tc>
          <w:tcPr>
            <w:tcW w:w="8728" w:type="dxa"/>
          </w:tcPr>
          <w:p w14:paraId="20F19F63"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指明發行人是否</w:t>
            </w:r>
            <w:r w:rsidRPr="00CA7301">
              <w:rPr>
                <w:rFonts w:eastAsia="細明體" w:cs="Segoe UI"/>
                <w:sz w:val="17"/>
                <w:szCs w:val="17"/>
                <w:lang w:eastAsia="zh-TW"/>
              </w:rPr>
              <w:t xml:space="preserve"> (</w:t>
            </w:r>
            <w:proofErr w:type="spellStart"/>
            <w:r w:rsidRPr="00CA7301">
              <w:rPr>
                <w:rFonts w:eastAsia="細明體" w:cs="Segoe UI"/>
                <w:sz w:val="17"/>
                <w:szCs w:val="17"/>
                <w:lang w:eastAsia="zh-TW"/>
              </w:rPr>
              <w:t>i</w:t>
            </w:r>
            <w:proofErr w:type="spellEnd"/>
            <w:r w:rsidRPr="00CA7301">
              <w:rPr>
                <w:rFonts w:eastAsia="細明體" w:cs="Segoe UI"/>
                <w:sz w:val="17"/>
                <w:szCs w:val="17"/>
                <w:lang w:eastAsia="zh-TW"/>
              </w:rPr>
              <w:t xml:space="preserve">) </w:t>
            </w:r>
            <w:r w:rsidRPr="00CA7301">
              <w:rPr>
                <w:rFonts w:eastAsia="細明體" w:cs="Segoe UI"/>
                <w:sz w:val="17"/>
                <w:szCs w:val="17"/>
                <w:lang w:eastAsia="zh-TW"/>
              </w:rPr>
              <w:t>掌有全權酌情權；</w:t>
            </w:r>
            <w:r w:rsidRPr="00CA7301">
              <w:rPr>
                <w:rFonts w:eastAsia="細明體" w:cs="Segoe UI"/>
                <w:sz w:val="17"/>
                <w:szCs w:val="17"/>
                <w:lang w:eastAsia="zh-TW"/>
              </w:rPr>
              <w:t xml:space="preserve">(ii) </w:t>
            </w:r>
            <w:r w:rsidRPr="00CA7301">
              <w:rPr>
                <w:rFonts w:eastAsia="細明體" w:cs="Segoe UI"/>
                <w:sz w:val="17"/>
                <w:szCs w:val="17"/>
                <w:lang w:eastAsia="zh-TW"/>
              </w:rPr>
              <w:t>部分酌情權；或</w:t>
            </w:r>
            <w:r w:rsidRPr="00CA7301">
              <w:rPr>
                <w:rFonts w:eastAsia="細明體" w:cs="Segoe UI"/>
                <w:sz w:val="17"/>
                <w:szCs w:val="17"/>
                <w:lang w:eastAsia="zh-TW"/>
              </w:rPr>
              <w:t xml:space="preserve">(iii) </w:t>
            </w:r>
            <w:r w:rsidRPr="00CA7301">
              <w:rPr>
                <w:rFonts w:eastAsia="細明體" w:cs="Segoe UI"/>
                <w:sz w:val="17"/>
                <w:szCs w:val="17"/>
                <w:lang w:eastAsia="zh-TW"/>
              </w:rPr>
              <w:t>沒有酌情權決定是否支付票息</w:t>
            </w:r>
            <w:r w:rsidRPr="00CA7301">
              <w:rPr>
                <w:rFonts w:cs="Segoe UI"/>
                <w:sz w:val="17"/>
                <w:szCs w:val="17"/>
                <w:lang w:eastAsia="zh-TW"/>
              </w:rPr>
              <w:t xml:space="preserve"> / </w:t>
            </w:r>
            <w:r w:rsidRPr="00CA7301">
              <w:rPr>
                <w:rFonts w:eastAsia="細明體" w:cs="Segoe UI"/>
                <w:sz w:val="17"/>
                <w:szCs w:val="17"/>
                <w:lang w:eastAsia="zh-TW"/>
              </w:rPr>
              <w:t>股息。如認可機構在任何情況下均掌有全權酌情權取消支付票息</w:t>
            </w:r>
            <w:r w:rsidRPr="00CA7301">
              <w:rPr>
                <w:rFonts w:cs="Segoe UI"/>
                <w:sz w:val="17"/>
                <w:szCs w:val="17"/>
                <w:lang w:eastAsia="zh-TW"/>
              </w:rPr>
              <w:t xml:space="preserve"> / </w:t>
            </w:r>
            <w:r w:rsidRPr="00CA7301">
              <w:rPr>
                <w:rFonts w:eastAsia="細明體" w:cs="Segoe UI"/>
                <w:sz w:val="17"/>
                <w:szCs w:val="17"/>
                <w:lang w:eastAsia="zh-TW"/>
              </w:rPr>
              <w:t>股息，則應選填「全權酌情權」</w:t>
            </w:r>
            <w:r w:rsidRPr="00CA7301">
              <w:rPr>
                <w:rFonts w:eastAsiaTheme="minorEastAsia" w:cs="Segoe UI"/>
                <w:sz w:val="17"/>
                <w:szCs w:val="17"/>
                <w:lang w:eastAsia="zh-TW"/>
              </w:rPr>
              <w:t>（</w:t>
            </w:r>
            <w:r w:rsidRPr="00CA7301">
              <w:rPr>
                <w:rFonts w:eastAsia="細明體" w:cs="Segoe UI"/>
                <w:sz w:val="17"/>
                <w:szCs w:val="17"/>
                <w:lang w:eastAsia="zh-TW"/>
              </w:rPr>
              <w:t>包括當設有停止派發股息的機制但無法阻止認可機構取消有關票據的支付</w:t>
            </w:r>
            <w:r w:rsidRPr="00CA7301">
              <w:rPr>
                <w:rFonts w:eastAsiaTheme="minorEastAsia" w:cs="Segoe UI"/>
                <w:sz w:val="17"/>
                <w:szCs w:val="17"/>
                <w:lang w:eastAsia="zh-TW"/>
              </w:rPr>
              <w:t>）</w:t>
            </w:r>
            <w:r w:rsidRPr="00CA7301">
              <w:rPr>
                <w:rFonts w:eastAsia="細明體" w:cs="Segoe UI"/>
                <w:sz w:val="17"/>
                <w:szCs w:val="17"/>
                <w:lang w:eastAsia="zh-TW"/>
              </w:rPr>
              <w:t>。如認可機構須符合某些條件才可取消有關票據的支付（如資本低於某特定水平</w:t>
            </w:r>
            <w:r w:rsidRPr="00CA7301">
              <w:rPr>
                <w:rFonts w:eastAsiaTheme="minorEastAsia" w:cs="Segoe UI"/>
                <w:sz w:val="17"/>
                <w:szCs w:val="17"/>
                <w:lang w:eastAsia="zh-TW"/>
              </w:rPr>
              <w:t>）</w:t>
            </w:r>
            <w:r w:rsidRPr="00CA7301">
              <w:rPr>
                <w:rFonts w:eastAsia="細明體" w:cs="Segoe UI"/>
                <w:sz w:val="17"/>
                <w:szCs w:val="17"/>
                <w:lang w:eastAsia="zh-TW"/>
              </w:rPr>
              <w:t>，則應選填「部分酌情權」。如認可機構無法在破產範圍以外取消有關票據的支付，則應選填「強制」。</w:t>
            </w:r>
          </w:p>
          <w:p w14:paraId="707C5A4D"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全權酌情權</w:t>
            </w:r>
            <w:r w:rsidRPr="00CA7301">
              <w:rPr>
                <w:rFonts w:cs="Segoe UI"/>
                <w:i/>
                <w:sz w:val="17"/>
                <w:szCs w:val="17"/>
                <w:lang w:eastAsia="zh-TW"/>
              </w:rPr>
              <w:t>] [</w:t>
            </w:r>
            <w:r w:rsidRPr="00CA7301">
              <w:rPr>
                <w:rFonts w:eastAsia="細明體" w:cs="Segoe UI"/>
                <w:i/>
                <w:sz w:val="17"/>
                <w:szCs w:val="17"/>
                <w:lang w:eastAsia="zh-TW"/>
              </w:rPr>
              <w:t>部分酌情權</w:t>
            </w:r>
            <w:r w:rsidRPr="00CA7301">
              <w:rPr>
                <w:rFonts w:cs="Segoe UI"/>
                <w:i/>
                <w:sz w:val="17"/>
                <w:szCs w:val="17"/>
                <w:lang w:eastAsia="zh-TW"/>
              </w:rPr>
              <w:t>] [</w:t>
            </w:r>
            <w:r w:rsidRPr="00CA7301">
              <w:rPr>
                <w:rFonts w:eastAsia="細明體" w:cs="Segoe UI"/>
                <w:i/>
                <w:sz w:val="17"/>
                <w:szCs w:val="17"/>
                <w:lang w:eastAsia="zh-TW"/>
              </w:rPr>
              <w:t>強制</w:t>
            </w:r>
            <w:r w:rsidRPr="00CA7301">
              <w:rPr>
                <w:rFonts w:cs="Segoe UI"/>
                <w:i/>
                <w:sz w:val="17"/>
                <w:szCs w:val="17"/>
                <w:lang w:eastAsia="zh-TW"/>
              </w:rPr>
              <w:t>]</w:t>
            </w:r>
          </w:p>
        </w:tc>
      </w:tr>
      <w:tr w:rsidR="003F73B0" w:rsidRPr="00CA7301" w14:paraId="31D8C967" w14:textId="77777777" w:rsidTr="00877D8D">
        <w:tc>
          <w:tcPr>
            <w:tcW w:w="486" w:type="dxa"/>
          </w:tcPr>
          <w:p w14:paraId="5A0D8471" w14:textId="77777777" w:rsidR="003F73B0" w:rsidRPr="00CA7301" w:rsidRDefault="003F73B0" w:rsidP="003F73B0">
            <w:pPr>
              <w:rPr>
                <w:rFonts w:cs="Segoe UI"/>
                <w:sz w:val="17"/>
                <w:szCs w:val="17"/>
              </w:rPr>
            </w:pPr>
            <w:r w:rsidRPr="00CA7301">
              <w:rPr>
                <w:rFonts w:cs="Segoe UI"/>
                <w:sz w:val="17"/>
                <w:szCs w:val="17"/>
              </w:rPr>
              <w:t>21</w:t>
            </w:r>
          </w:p>
        </w:tc>
        <w:tc>
          <w:tcPr>
            <w:tcW w:w="8728" w:type="dxa"/>
          </w:tcPr>
          <w:p w14:paraId="539ED744"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指明是否設有遞升息率或其他贖回誘因。</w:t>
            </w:r>
          </w:p>
          <w:p w14:paraId="0FB51AFB"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輸入</w:t>
            </w:r>
            <w:proofErr w:type="spellEnd"/>
            <w:r w:rsidRPr="00CA7301">
              <w:rPr>
                <w:rFonts w:eastAsia="細明體" w:cs="Segoe UI"/>
                <w:i/>
                <w:sz w:val="17"/>
                <w:szCs w:val="17"/>
              </w:rPr>
              <w:t>：</w:t>
            </w:r>
            <w:r w:rsidRPr="00CA7301">
              <w:rPr>
                <w:rFonts w:cs="Segoe UI"/>
                <w:i/>
                <w:sz w:val="17"/>
                <w:szCs w:val="17"/>
              </w:rPr>
              <w:t>[</w:t>
            </w:r>
            <w:r w:rsidRPr="00CA7301">
              <w:rPr>
                <w:rFonts w:eastAsia="細明體" w:cs="Segoe UI"/>
                <w:i/>
                <w:sz w:val="17"/>
                <w:szCs w:val="17"/>
              </w:rPr>
              <w:t>有</w:t>
            </w:r>
            <w:r w:rsidRPr="00CA7301">
              <w:rPr>
                <w:rFonts w:cs="Segoe UI"/>
                <w:i/>
                <w:sz w:val="17"/>
                <w:szCs w:val="17"/>
              </w:rPr>
              <w:t>] [</w:t>
            </w:r>
            <w:proofErr w:type="spellStart"/>
            <w:r w:rsidRPr="00CA7301">
              <w:rPr>
                <w:rFonts w:eastAsia="細明體" w:cs="Segoe UI"/>
                <w:i/>
                <w:sz w:val="17"/>
                <w:szCs w:val="17"/>
              </w:rPr>
              <w:t>沒有</w:t>
            </w:r>
            <w:proofErr w:type="spellEnd"/>
            <w:r w:rsidRPr="00CA7301">
              <w:rPr>
                <w:rFonts w:cs="Segoe UI"/>
                <w:i/>
                <w:sz w:val="17"/>
                <w:szCs w:val="17"/>
              </w:rPr>
              <w:t xml:space="preserve">] </w:t>
            </w:r>
          </w:p>
        </w:tc>
      </w:tr>
      <w:tr w:rsidR="003F73B0" w:rsidRPr="00CA7301" w14:paraId="5EC8F0E1" w14:textId="77777777" w:rsidTr="00877D8D">
        <w:tc>
          <w:tcPr>
            <w:tcW w:w="486" w:type="dxa"/>
          </w:tcPr>
          <w:p w14:paraId="64B3536D" w14:textId="77777777" w:rsidR="003F73B0" w:rsidRPr="00CA7301" w:rsidRDefault="003F73B0" w:rsidP="003F73B0">
            <w:pPr>
              <w:rPr>
                <w:rFonts w:cs="Segoe UI"/>
                <w:sz w:val="17"/>
                <w:szCs w:val="17"/>
              </w:rPr>
            </w:pPr>
            <w:r w:rsidRPr="00CA7301">
              <w:rPr>
                <w:rFonts w:cs="Segoe UI"/>
                <w:sz w:val="17"/>
                <w:szCs w:val="17"/>
              </w:rPr>
              <w:t>22</w:t>
            </w:r>
          </w:p>
        </w:tc>
        <w:tc>
          <w:tcPr>
            <w:tcW w:w="8728" w:type="dxa"/>
          </w:tcPr>
          <w:p w14:paraId="4E9462B9"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指明股息</w:t>
            </w:r>
            <w:r w:rsidRPr="00CA7301">
              <w:rPr>
                <w:rFonts w:cs="Segoe UI"/>
                <w:sz w:val="17"/>
                <w:szCs w:val="17"/>
                <w:lang w:eastAsia="zh-TW"/>
              </w:rPr>
              <w:t xml:space="preserve"> / </w:t>
            </w:r>
            <w:r w:rsidRPr="00CA7301">
              <w:rPr>
                <w:rFonts w:eastAsia="細明體" w:cs="Segoe UI"/>
                <w:sz w:val="17"/>
                <w:szCs w:val="17"/>
                <w:lang w:eastAsia="zh-TW"/>
              </w:rPr>
              <w:t>票息是累積或非累積。</w:t>
            </w:r>
          </w:p>
          <w:p w14:paraId="2D9C4327"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輸入</w:t>
            </w:r>
            <w:proofErr w:type="spellEnd"/>
            <w:r w:rsidRPr="00CA7301">
              <w:rPr>
                <w:rFonts w:eastAsia="細明體" w:cs="Segoe UI"/>
                <w:i/>
                <w:sz w:val="17"/>
                <w:szCs w:val="17"/>
              </w:rPr>
              <w:t>：</w:t>
            </w:r>
            <w:r w:rsidRPr="00CA7301">
              <w:rPr>
                <w:rFonts w:cs="Segoe UI"/>
                <w:i/>
                <w:sz w:val="17"/>
                <w:szCs w:val="17"/>
              </w:rPr>
              <w:t>[</w:t>
            </w:r>
            <w:proofErr w:type="spellStart"/>
            <w:r w:rsidRPr="00CA7301">
              <w:rPr>
                <w:rFonts w:eastAsia="細明體" w:cs="Segoe UI"/>
                <w:i/>
                <w:sz w:val="17"/>
                <w:szCs w:val="17"/>
              </w:rPr>
              <w:t>非累積</w:t>
            </w:r>
            <w:proofErr w:type="spellEnd"/>
            <w:r w:rsidRPr="00CA7301">
              <w:rPr>
                <w:rFonts w:cs="Segoe UI"/>
                <w:i/>
                <w:sz w:val="17"/>
                <w:szCs w:val="17"/>
              </w:rPr>
              <w:t>] [</w:t>
            </w:r>
            <w:proofErr w:type="spellStart"/>
            <w:r w:rsidRPr="00CA7301">
              <w:rPr>
                <w:rFonts w:eastAsia="細明體" w:cs="Segoe UI"/>
                <w:i/>
                <w:sz w:val="17"/>
                <w:szCs w:val="17"/>
              </w:rPr>
              <w:t>累積</w:t>
            </w:r>
            <w:proofErr w:type="spellEnd"/>
            <w:r w:rsidRPr="00CA7301">
              <w:rPr>
                <w:rFonts w:cs="Segoe UI"/>
                <w:i/>
                <w:sz w:val="17"/>
                <w:szCs w:val="17"/>
              </w:rPr>
              <w:t xml:space="preserve">] </w:t>
            </w:r>
          </w:p>
        </w:tc>
      </w:tr>
      <w:tr w:rsidR="003F73B0" w:rsidRPr="00CA7301" w14:paraId="60059283" w14:textId="77777777" w:rsidTr="00877D8D">
        <w:tc>
          <w:tcPr>
            <w:tcW w:w="486" w:type="dxa"/>
          </w:tcPr>
          <w:p w14:paraId="5DCDCD0A" w14:textId="77777777" w:rsidR="003F73B0" w:rsidRPr="00CA7301" w:rsidRDefault="003F73B0" w:rsidP="003F73B0">
            <w:pPr>
              <w:rPr>
                <w:rFonts w:cs="Segoe UI"/>
                <w:sz w:val="17"/>
                <w:szCs w:val="17"/>
              </w:rPr>
            </w:pPr>
            <w:r w:rsidRPr="00CA7301">
              <w:rPr>
                <w:rFonts w:cs="Segoe UI"/>
                <w:sz w:val="17"/>
                <w:szCs w:val="17"/>
              </w:rPr>
              <w:t>23</w:t>
            </w:r>
          </w:p>
        </w:tc>
        <w:tc>
          <w:tcPr>
            <w:tcW w:w="8728" w:type="dxa"/>
          </w:tcPr>
          <w:p w14:paraId="3B3FE8A7" w14:textId="642EC424" w:rsidR="003F73B0" w:rsidRPr="001C68A0" w:rsidRDefault="003F73B0" w:rsidP="003F73B0">
            <w:pPr>
              <w:jc w:val="both"/>
              <w:rPr>
                <w:rFonts w:eastAsia="細明體" w:cs="Segoe UI"/>
                <w:sz w:val="17"/>
                <w:szCs w:val="17"/>
                <w:lang w:eastAsia="zh-TW"/>
              </w:rPr>
            </w:pPr>
            <w:r w:rsidRPr="001C68A0">
              <w:rPr>
                <w:rFonts w:eastAsia="細明體" w:cs="Segoe UI" w:hint="eastAsia"/>
                <w:i/>
                <w:sz w:val="17"/>
                <w:szCs w:val="17"/>
                <w:lang w:eastAsia="zh-TW"/>
              </w:rPr>
              <w:t>可轉換或不可轉換</w:t>
            </w:r>
            <w:proofErr w:type="gramStart"/>
            <w:r w:rsidRPr="00CA7301">
              <w:rPr>
                <w:rFonts w:eastAsia="細明體" w:cs="Segoe UI"/>
                <w:sz w:val="17"/>
                <w:szCs w:val="17"/>
                <w:lang w:eastAsia="zh-TW"/>
              </w:rPr>
              <w:t>﹕</w:t>
            </w:r>
            <w:proofErr w:type="gramEnd"/>
            <w:r w:rsidR="00974805">
              <w:rPr>
                <w:rFonts w:eastAsia="細明體" w:cs="Segoe UI" w:hint="eastAsia"/>
                <w:sz w:val="17"/>
                <w:szCs w:val="17"/>
                <w:lang w:eastAsia="zh-HK"/>
              </w:rPr>
              <w:t>在</w:t>
            </w:r>
            <w:r w:rsidR="00B4328C">
              <w:rPr>
                <w:rFonts w:eastAsia="細明體" w:cs="Segoe UI" w:hint="eastAsia"/>
                <w:sz w:val="17"/>
                <w:szCs w:val="17"/>
                <w:lang w:eastAsia="zh-TW"/>
              </w:rPr>
              <w:t>未有考慮</w:t>
            </w:r>
            <w:r w:rsidR="00974805" w:rsidRPr="00AB5392">
              <w:rPr>
                <w:rFonts w:eastAsia="細明體" w:cs="Segoe UI" w:hint="eastAsia"/>
                <w:sz w:val="17"/>
                <w:szCs w:val="17"/>
                <w:lang w:eastAsia="zh-TW"/>
              </w:rPr>
              <w:t>潛在</w:t>
            </w:r>
            <w:r w:rsidR="00974805">
              <w:rPr>
                <w:rFonts w:eastAsia="細明體" w:cs="Segoe UI" w:hint="eastAsia"/>
                <w:sz w:val="17"/>
                <w:szCs w:val="17"/>
                <w:lang w:eastAsia="zh-TW"/>
              </w:rPr>
              <w:t>行使</w:t>
            </w:r>
            <w:r w:rsidR="00AB5392" w:rsidRPr="00AB5392">
              <w:rPr>
                <w:rFonts w:eastAsia="細明體" w:cs="Segoe UI" w:hint="eastAsia"/>
                <w:sz w:val="17"/>
                <w:szCs w:val="17"/>
                <w:lang w:eastAsia="zh-TW"/>
              </w:rPr>
              <w:t>《金融機構（處置機制）條例》</w:t>
            </w:r>
            <w:r w:rsidR="00974805">
              <w:rPr>
                <w:rFonts w:eastAsia="細明體" w:cs="Segoe UI" w:hint="eastAsia"/>
                <w:sz w:val="17"/>
                <w:szCs w:val="17"/>
                <w:lang w:eastAsia="zh-HK"/>
              </w:rPr>
              <w:t>中的</w:t>
            </w:r>
            <w:r w:rsidR="00AB5392" w:rsidRPr="00AB5392">
              <w:rPr>
                <w:rFonts w:eastAsia="細明體" w:cs="Segoe UI" w:hint="eastAsia"/>
                <w:sz w:val="17"/>
                <w:szCs w:val="17"/>
                <w:lang w:eastAsia="zh-TW"/>
              </w:rPr>
              <w:t>權力</w:t>
            </w:r>
            <w:r w:rsidR="00974805">
              <w:rPr>
                <w:rFonts w:eastAsia="細明體" w:cs="Segoe UI" w:hint="eastAsia"/>
                <w:sz w:val="17"/>
                <w:szCs w:val="17"/>
                <w:lang w:eastAsia="zh-HK"/>
              </w:rPr>
              <w:t>可能帶來</w:t>
            </w:r>
            <w:r w:rsidR="00AB5392" w:rsidRPr="00AB5392">
              <w:rPr>
                <w:rFonts w:eastAsia="細明體" w:cs="Segoe UI" w:hint="eastAsia"/>
                <w:sz w:val="17"/>
                <w:szCs w:val="17"/>
                <w:lang w:eastAsia="zh-TW"/>
              </w:rPr>
              <w:t>的影響</w:t>
            </w:r>
            <w:r w:rsidR="009A3498">
              <w:rPr>
                <w:rFonts w:eastAsia="細明體" w:cs="Segoe UI" w:hint="eastAsia"/>
                <w:sz w:val="17"/>
                <w:szCs w:val="17"/>
                <w:lang w:eastAsia="zh-HK"/>
              </w:rPr>
              <w:t>下</w:t>
            </w:r>
            <w:r w:rsidR="00974805" w:rsidRPr="00CA7301">
              <w:rPr>
                <w:rFonts w:eastAsia="細明體" w:cs="Segoe UI"/>
                <w:sz w:val="17"/>
                <w:szCs w:val="17"/>
                <w:lang w:eastAsia="zh-TW"/>
              </w:rPr>
              <w:t>，</w:t>
            </w:r>
            <w:r w:rsidR="00974805">
              <w:rPr>
                <w:rFonts w:eastAsia="細明體" w:cs="Segoe UI" w:hint="eastAsia"/>
                <w:sz w:val="17"/>
                <w:szCs w:val="17"/>
                <w:lang w:eastAsia="zh-HK"/>
              </w:rPr>
              <w:t>指明票</w:t>
            </w:r>
            <w:r w:rsidR="00974805">
              <w:rPr>
                <w:rFonts w:eastAsia="細明體" w:cs="Segoe UI" w:hint="eastAsia"/>
                <w:sz w:val="17"/>
                <w:szCs w:val="17"/>
                <w:lang w:eastAsia="zh-TW"/>
              </w:rPr>
              <w:t>據</w:t>
            </w:r>
            <w:r w:rsidRPr="00CA7301">
              <w:rPr>
                <w:rFonts w:eastAsia="細明體" w:cs="Segoe UI"/>
                <w:sz w:val="17"/>
                <w:szCs w:val="17"/>
                <w:lang w:eastAsia="zh-TW"/>
              </w:rPr>
              <w:t>是否可以轉換</w:t>
            </w:r>
            <w:r w:rsidR="00AB5392" w:rsidRPr="00AB5392">
              <w:rPr>
                <w:rFonts w:eastAsia="細明體" w:cs="Segoe UI" w:hint="eastAsia"/>
                <w:sz w:val="17"/>
                <w:szCs w:val="17"/>
                <w:lang w:eastAsia="zh-TW"/>
              </w:rPr>
              <w:t>。然而</w:t>
            </w:r>
            <w:r w:rsidR="00AB5392" w:rsidRPr="00CA7301">
              <w:rPr>
                <w:rFonts w:eastAsia="細明體" w:cs="Segoe UI"/>
                <w:sz w:val="17"/>
                <w:szCs w:val="17"/>
                <w:lang w:eastAsia="zh-TW"/>
              </w:rPr>
              <w:t>，</w:t>
            </w:r>
            <w:r w:rsidR="006232C7">
              <w:rPr>
                <w:rFonts w:eastAsia="細明體" w:cs="Segoe UI" w:hint="eastAsia"/>
                <w:sz w:val="17"/>
                <w:szCs w:val="17"/>
                <w:lang w:eastAsia="zh-TW"/>
              </w:rPr>
              <w:t>如果該</w:t>
            </w:r>
            <w:r w:rsidR="006232C7" w:rsidRPr="00CA7301">
              <w:rPr>
                <w:rFonts w:eastAsia="細明體" w:cs="Segoe UI"/>
                <w:sz w:val="17"/>
                <w:szCs w:val="17"/>
                <w:lang w:eastAsia="zh-TW"/>
              </w:rPr>
              <w:t>票據</w:t>
            </w:r>
            <w:r w:rsidR="009A3498">
              <w:rPr>
                <w:rFonts w:eastAsia="細明體" w:cs="Segoe UI" w:hint="eastAsia"/>
                <w:sz w:val="17"/>
                <w:szCs w:val="17"/>
                <w:lang w:eastAsia="zh-TW"/>
              </w:rPr>
              <w:t>的條款及</w:t>
            </w:r>
            <w:r w:rsidR="009A3498">
              <w:rPr>
                <w:rFonts w:eastAsia="細明體" w:cs="Segoe UI" w:hint="eastAsia"/>
                <w:sz w:val="17"/>
                <w:szCs w:val="17"/>
                <w:lang w:eastAsia="zh-HK"/>
              </w:rPr>
              <w:t>條件</w:t>
            </w:r>
            <w:r w:rsidR="00974805">
              <w:rPr>
                <w:rFonts w:eastAsia="細明體" w:cs="Segoe UI" w:hint="eastAsia"/>
                <w:sz w:val="17"/>
                <w:szCs w:val="17"/>
                <w:lang w:eastAsia="zh-HK"/>
              </w:rPr>
              <w:t>包</w:t>
            </w:r>
            <w:r w:rsidR="008F0A42" w:rsidRPr="008F0A42">
              <w:rPr>
                <w:rFonts w:eastAsia="細明體" w:cs="Segoe UI" w:hint="eastAsia"/>
                <w:sz w:val="17"/>
                <w:szCs w:val="17"/>
                <w:lang w:eastAsia="zh-TW"/>
              </w:rPr>
              <w:t>含</w:t>
            </w:r>
            <w:r w:rsidR="006232C7" w:rsidRPr="00CA7301">
              <w:rPr>
                <w:rFonts w:eastAsia="細明體" w:cs="Segoe UI"/>
                <w:sz w:val="17"/>
                <w:szCs w:val="17"/>
                <w:lang w:eastAsia="zh-TW"/>
              </w:rPr>
              <w:t>票據</w:t>
            </w:r>
            <w:r w:rsidR="00974805">
              <w:rPr>
                <w:rFonts w:eastAsia="細明體" w:cs="Segoe UI" w:hint="eastAsia"/>
                <w:sz w:val="17"/>
                <w:szCs w:val="17"/>
                <w:lang w:eastAsia="zh-TW"/>
              </w:rPr>
              <w:t>的持有</w:t>
            </w:r>
            <w:r w:rsidR="00974805">
              <w:rPr>
                <w:rFonts w:eastAsia="細明體" w:cs="Segoe UI" w:hint="eastAsia"/>
                <w:sz w:val="17"/>
                <w:szCs w:val="17"/>
                <w:lang w:eastAsia="zh-HK"/>
              </w:rPr>
              <w:t>人確</w:t>
            </w:r>
            <w:r w:rsidR="00974805">
              <w:rPr>
                <w:rFonts w:eastAsia="細明體" w:cs="Segoe UI" w:hint="eastAsia"/>
                <w:sz w:val="17"/>
                <w:szCs w:val="17"/>
                <w:lang w:eastAsia="zh-TW"/>
              </w:rPr>
              <w:t>認並同意受</w:t>
            </w:r>
            <w:r w:rsidR="00974805">
              <w:rPr>
                <w:rFonts w:eastAsia="細明體" w:cs="Segoe UI" w:hint="eastAsia"/>
                <w:sz w:val="17"/>
                <w:szCs w:val="17"/>
                <w:lang w:eastAsia="zh-HK"/>
              </w:rPr>
              <w:t>該</w:t>
            </w:r>
            <w:r w:rsidR="00AB5392">
              <w:rPr>
                <w:rFonts w:eastAsia="細明體" w:cs="Segoe UI" w:hint="eastAsia"/>
                <w:sz w:val="17"/>
                <w:szCs w:val="17"/>
                <w:lang w:eastAsia="zh-TW"/>
              </w:rPr>
              <w:t>些權力約束</w:t>
            </w:r>
            <w:r w:rsidR="00974805">
              <w:rPr>
                <w:rFonts w:eastAsia="細明體" w:cs="Segoe UI" w:hint="eastAsia"/>
                <w:sz w:val="17"/>
                <w:szCs w:val="17"/>
                <w:lang w:eastAsia="zh-HK"/>
              </w:rPr>
              <w:t>的條文</w:t>
            </w:r>
            <w:r w:rsidR="00AD25D0" w:rsidRPr="00CA7301">
              <w:rPr>
                <w:rFonts w:eastAsia="細明體" w:cs="Segoe UI"/>
                <w:sz w:val="17"/>
                <w:szCs w:val="17"/>
                <w:lang w:eastAsia="zh-TW"/>
              </w:rPr>
              <w:t>，</w:t>
            </w:r>
            <w:r w:rsidR="00AD25D0" w:rsidRPr="00AB5392">
              <w:rPr>
                <w:rFonts w:eastAsia="細明體" w:cs="Segoe UI" w:hint="eastAsia"/>
                <w:sz w:val="17"/>
                <w:szCs w:val="17"/>
                <w:lang w:eastAsia="zh-TW"/>
              </w:rPr>
              <w:t>認可機構亦應在本行內披露</w:t>
            </w:r>
            <w:r w:rsidR="00AD25D0" w:rsidRPr="00CA7301">
              <w:rPr>
                <w:rFonts w:eastAsia="細明體" w:cs="Segoe UI"/>
                <w:sz w:val="17"/>
                <w:szCs w:val="17"/>
                <w:lang w:eastAsia="zh-TW"/>
              </w:rPr>
              <w:t>，</w:t>
            </w:r>
            <w:r w:rsidR="00974805" w:rsidRPr="00CA7301">
              <w:rPr>
                <w:rFonts w:eastAsia="細明體" w:cs="Segoe UI"/>
                <w:sz w:val="17"/>
                <w:szCs w:val="17"/>
                <w:lang w:eastAsia="zh-TW"/>
              </w:rPr>
              <w:t>（</w:t>
            </w:r>
            <w:r w:rsidR="00AD25D0" w:rsidRPr="00AB5392">
              <w:rPr>
                <w:rFonts w:eastAsia="細明體" w:cs="Segoe UI" w:hint="eastAsia"/>
                <w:sz w:val="17"/>
                <w:szCs w:val="17"/>
                <w:lang w:eastAsia="zh-TW"/>
              </w:rPr>
              <w:t>例如以</w:t>
            </w:r>
            <w:r w:rsidR="00AD25D0" w:rsidRPr="00AD25D0">
              <w:rPr>
                <w:rFonts w:eastAsia="細明體" w:cs="Segoe UI" w:hint="eastAsia"/>
                <w:sz w:val="17"/>
                <w:szCs w:val="17"/>
                <w:lang w:eastAsia="zh-TW"/>
              </w:rPr>
              <w:t>備註</w:t>
            </w:r>
            <w:r w:rsidR="00AD25D0" w:rsidRPr="00AB5392">
              <w:rPr>
                <w:rFonts w:eastAsia="細明體" w:cs="Segoe UI" w:hint="eastAsia"/>
                <w:sz w:val="17"/>
                <w:szCs w:val="17"/>
                <w:lang w:eastAsia="zh-TW"/>
              </w:rPr>
              <w:t>的形式</w:t>
            </w:r>
            <w:r w:rsidR="00974805" w:rsidRPr="00CA7301">
              <w:rPr>
                <w:rFonts w:eastAsiaTheme="minorEastAsia" w:cs="Segoe UI"/>
                <w:sz w:val="17"/>
                <w:szCs w:val="17"/>
                <w:lang w:eastAsia="zh-TW"/>
              </w:rPr>
              <w:t>）</w:t>
            </w:r>
            <w:r w:rsidRPr="00CA7301">
              <w:rPr>
                <w:rFonts w:eastAsia="細明體" w:cs="Segoe UI"/>
                <w:sz w:val="17"/>
                <w:szCs w:val="17"/>
                <w:lang w:eastAsia="zh-TW"/>
              </w:rPr>
              <w:t>。</w:t>
            </w:r>
          </w:p>
          <w:p w14:paraId="1DCD175A"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可以轉換</w:t>
            </w:r>
            <w:r w:rsidRPr="00CA7301">
              <w:rPr>
                <w:rFonts w:cs="Segoe UI"/>
                <w:i/>
                <w:sz w:val="17"/>
                <w:szCs w:val="17"/>
                <w:lang w:eastAsia="zh-TW"/>
              </w:rPr>
              <w:t>] [</w:t>
            </w:r>
            <w:r w:rsidRPr="00CA7301">
              <w:rPr>
                <w:rFonts w:eastAsia="細明體" w:cs="Segoe UI"/>
                <w:i/>
                <w:sz w:val="17"/>
                <w:szCs w:val="17"/>
                <w:lang w:eastAsia="zh-TW"/>
              </w:rPr>
              <w:t>不可以轉換</w:t>
            </w:r>
            <w:r w:rsidRPr="00CA7301">
              <w:rPr>
                <w:rFonts w:eastAsia="細明體" w:cs="Segoe UI"/>
                <w:i/>
                <w:sz w:val="17"/>
                <w:szCs w:val="17"/>
                <w:lang w:eastAsia="zh-TW"/>
              </w:rPr>
              <w:t>]</w:t>
            </w:r>
          </w:p>
        </w:tc>
      </w:tr>
      <w:tr w:rsidR="003F73B0" w:rsidRPr="00CA7301" w14:paraId="137E0755" w14:textId="77777777" w:rsidTr="00877D8D">
        <w:tc>
          <w:tcPr>
            <w:tcW w:w="486" w:type="dxa"/>
          </w:tcPr>
          <w:p w14:paraId="50D29BFB" w14:textId="77777777" w:rsidR="003F73B0" w:rsidRPr="00CA7301" w:rsidRDefault="003F73B0" w:rsidP="003F73B0">
            <w:pPr>
              <w:rPr>
                <w:rFonts w:cs="Segoe UI"/>
                <w:sz w:val="17"/>
                <w:szCs w:val="17"/>
              </w:rPr>
            </w:pPr>
            <w:r w:rsidRPr="00CA7301">
              <w:rPr>
                <w:rFonts w:cs="Segoe UI"/>
                <w:sz w:val="17"/>
                <w:szCs w:val="17"/>
              </w:rPr>
              <w:t>24</w:t>
            </w:r>
          </w:p>
        </w:tc>
        <w:tc>
          <w:tcPr>
            <w:tcW w:w="8728" w:type="dxa"/>
          </w:tcPr>
          <w:p w14:paraId="3AB6D7B5" w14:textId="77777777" w:rsidR="003F73B0" w:rsidRPr="00CA7301" w:rsidRDefault="003F73B0" w:rsidP="003F73B0">
            <w:pPr>
              <w:jc w:val="both"/>
              <w:rPr>
                <w:rFonts w:eastAsiaTheme="minorEastAsia" w:cs="Segoe UI"/>
                <w:sz w:val="17"/>
                <w:szCs w:val="17"/>
                <w:lang w:eastAsia="zh-TW"/>
              </w:rPr>
            </w:pPr>
            <w:r w:rsidRPr="00CA7301">
              <w:rPr>
                <w:rFonts w:eastAsia="細明體" w:cs="Segoe UI"/>
                <w:sz w:val="17"/>
                <w:szCs w:val="17"/>
                <w:lang w:eastAsia="zh-TW"/>
              </w:rPr>
              <w:t>指明轉換票據的條件，包括陷入不可持續營運。如一</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或以上監管當局可以觸發轉換，應註明該等監管當局的名稱，並逐一指明每</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監管當局觸發轉換的法律基礎是否源自票據合約條款（即合約方法</w:t>
            </w:r>
            <w:r w:rsidRPr="00CA7301">
              <w:rPr>
                <w:rFonts w:eastAsiaTheme="minorEastAsia" w:cs="Segoe UI"/>
                <w:sz w:val="17"/>
                <w:szCs w:val="17"/>
                <w:lang w:eastAsia="zh-TW"/>
              </w:rPr>
              <w:t>）</w:t>
            </w:r>
            <w:r w:rsidRPr="00CA7301">
              <w:rPr>
                <w:rFonts w:eastAsia="細明體" w:cs="Segoe UI"/>
                <w:sz w:val="17"/>
                <w:szCs w:val="17"/>
                <w:lang w:eastAsia="zh-TW"/>
              </w:rPr>
              <w:t>或法定條列（即法定方法</w:t>
            </w:r>
            <w:r w:rsidRPr="00CA7301">
              <w:rPr>
                <w:rFonts w:eastAsiaTheme="minorEastAsia" w:cs="Segoe UI"/>
                <w:sz w:val="17"/>
                <w:szCs w:val="17"/>
                <w:lang w:eastAsia="zh-TW"/>
              </w:rPr>
              <w:t>）</w:t>
            </w:r>
            <w:r w:rsidRPr="00CA7301">
              <w:rPr>
                <w:rFonts w:eastAsia="細明體" w:cs="Segoe UI"/>
                <w:sz w:val="17"/>
                <w:szCs w:val="17"/>
                <w:lang w:eastAsia="zh-TW"/>
              </w:rPr>
              <w:t>。</w:t>
            </w:r>
            <w:r w:rsidRPr="00CA7301">
              <w:rPr>
                <w:rFonts w:cs="Segoe UI"/>
                <w:sz w:val="17"/>
                <w:szCs w:val="17"/>
                <w:lang w:eastAsia="zh-TW"/>
              </w:rPr>
              <w:cr/>
            </w:r>
            <w:r w:rsidRPr="00CA7301">
              <w:rPr>
                <w:rFonts w:eastAsiaTheme="minorEastAsia" w:cs="Segoe UI"/>
                <w:sz w:val="17"/>
                <w:szCs w:val="17"/>
                <w:lang w:eastAsia="zh-TW"/>
              </w:rPr>
              <w:br/>
            </w:r>
            <w:r w:rsidRPr="00CA7301">
              <w:rPr>
                <w:rFonts w:eastAsia="細明體" w:cs="Segoe UI"/>
                <w:i/>
                <w:sz w:val="17"/>
                <w:szCs w:val="17"/>
                <w:lang w:eastAsia="zh-TW"/>
              </w:rPr>
              <w:t>自由填寫內容</w:t>
            </w:r>
            <w:r w:rsidRPr="00CA7301">
              <w:rPr>
                <w:rFonts w:cs="Segoe UI"/>
                <w:i/>
                <w:sz w:val="17"/>
                <w:szCs w:val="17"/>
                <w:lang w:eastAsia="zh-TW"/>
              </w:rPr>
              <w:t>.</w:t>
            </w:r>
          </w:p>
        </w:tc>
      </w:tr>
      <w:tr w:rsidR="003F73B0" w:rsidRPr="00CA7301" w14:paraId="4E575E7B" w14:textId="77777777" w:rsidTr="00877D8D">
        <w:tc>
          <w:tcPr>
            <w:tcW w:w="486" w:type="dxa"/>
          </w:tcPr>
          <w:p w14:paraId="64EC13C8" w14:textId="77777777" w:rsidR="003F73B0" w:rsidRPr="00CA7301" w:rsidRDefault="003F73B0" w:rsidP="003F73B0">
            <w:pPr>
              <w:rPr>
                <w:rFonts w:cs="Segoe UI"/>
                <w:sz w:val="17"/>
                <w:szCs w:val="17"/>
              </w:rPr>
            </w:pPr>
            <w:r w:rsidRPr="00CA7301">
              <w:rPr>
                <w:rFonts w:cs="Segoe UI"/>
                <w:sz w:val="17"/>
                <w:szCs w:val="17"/>
              </w:rPr>
              <w:t>25</w:t>
            </w:r>
          </w:p>
        </w:tc>
        <w:tc>
          <w:tcPr>
            <w:tcW w:w="8728" w:type="dxa"/>
          </w:tcPr>
          <w:p w14:paraId="4FBFB992"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就每項轉換觸發事件逐一指明有關票據：</w:t>
            </w:r>
            <w:r w:rsidRPr="00CA7301">
              <w:rPr>
                <w:rFonts w:cs="Segoe UI"/>
                <w:sz w:val="17"/>
                <w:szCs w:val="17"/>
                <w:lang w:eastAsia="zh-TW"/>
              </w:rPr>
              <w:t>(</w:t>
            </w:r>
            <w:proofErr w:type="spellStart"/>
            <w:r w:rsidRPr="00CA7301">
              <w:rPr>
                <w:rFonts w:cs="Segoe UI"/>
                <w:sz w:val="17"/>
                <w:szCs w:val="17"/>
                <w:lang w:eastAsia="zh-TW"/>
              </w:rPr>
              <w:t>i</w:t>
            </w:r>
            <w:proofErr w:type="spellEnd"/>
            <w:r w:rsidRPr="00CA7301">
              <w:rPr>
                <w:rFonts w:cs="Segoe UI"/>
                <w:sz w:val="17"/>
                <w:szCs w:val="17"/>
                <w:lang w:eastAsia="zh-TW"/>
              </w:rPr>
              <w:t xml:space="preserve">) </w:t>
            </w:r>
            <w:r w:rsidRPr="00CA7301">
              <w:rPr>
                <w:rFonts w:eastAsia="細明體" w:cs="Segoe UI"/>
                <w:sz w:val="17"/>
                <w:szCs w:val="17"/>
                <w:lang w:eastAsia="zh-TW"/>
              </w:rPr>
              <w:t>任何時候均全部轉換；</w:t>
            </w:r>
            <w:r w:rsidRPr="00CA7301">
              <w:rPr>
                <w:rFonts w:cs="Segoe UI"/>
                <w:sz w:val="17"/>
                <w:szCs w:val="17"/>
                <w:lang w:eastAsia="zh-TW"/>
              </w:rPr>
              <w:t xml:space="preserve">(ii) </w:t>
            </w:r>
            <w:r w:rsidRPr="00CA7301">
              <w:rPr>
                <w:rFonts w:eastAsia="細明體" w:cs="Segoe UI"/>
                <w:sz w:val="17"/>
                <w:szCs w:val="17"/>
                <w:lang w:eastAsia="zh-TW"/>
              </w:rPr>
              <w:t>可全部或部分轉換；或</w:t>
            </w:r>
            <w:r w:rsidRPr="00CA7301">
              <w:rPr>
                <w:rFonts w:cs="Segoe UI"/>
                <w:sz w:val="17"/>
                <w:szCs w:val="17"/>
                <w:lang w:eastAsia="zh-TW"/>
              </w:rPr>
              <w:t xml:space="preserve"> (iii) </w:t>
            </w:r>
            <w:r w:rsidRPr="00CA7301">
              <w:rPr>
                <w:rFonts w:eastAsia="細明體" w:cs="Segoe UI"/>
                <w:sz w:val="17"/>
                <w:szCs w:val="17"/>
                <w:lang w:eastAsia="zh-TW"/>
              </w:rPr>
              <w:t>任何時候均部分轉換。</w:t>
            </w:r>
          </w:p>
          <w:p w14:paraId="093EEEAF" w14:textId="77777777" w:rsidR="003F73B0" w:rsidRPr="00CA7301" w:rsidRDefault="003F73B0" w:rsidP="003F73B0">
            <w:pPr>
              <w:jc w:val="both"/>
              <w:rPr>
                <w:rFonts w:eastAsiaTheme="minorEastAsia" w:cs="Segoe UI"/>
                <w:i/>
                <w:sz w:val="17"/>
                <w:szCs w:val="17"/>
                <w:highlight w:val="yellow"/>
                <w:lang w:eastAsia="zh-TW"/>
              </w:rPr>
            </w:pPr>
            <w:r w:rsidRPr="00CA7301">
              <w:rPr>
                <w:rFonts w:eastAsia="細明體" w:cs="Segoe UI"/>
                <w:i/>
                <w:sz w:val="17"/>
                <w:szCs w:val="17"/>
                <w:lang w:eastAsia="zh-TW"/>
              </w:rPr>
              <w:t>按以上三者之</w:t>
            </w:r>
            <w:proofErr w:type="gramStart"/>
            <w:r w:rsidRPr="00CA7301">
              <w:rPr>
                <w:rFonts w:eastAsia="細明體" w:cs="Segoe UI"/>
                <w:i/>
                <w:sz w:val="17"/>
                <w:szCs w:val="17"/>
                <w:lang w:eastAsia="zh-TW"/>
              </w:rPr>
              <w:t>一</w:t>
            </w:r>
            <w:proofErr w:type="gramEnd"/>
            <w:r w:rsidRPr="00CA7301">
              <w:rPr>
                <w:rFonts w:eastAsia="細明體" w:cs="Segoe UI"/>
                <w:i/>
                <w:sz w:val="17"/>
                <w:szCs w:val="17"/>
                <w:lang w:eastAsia="zh-TW"/>
              </w:rPr>
              <w:t>自由填寫內容</w:t>
            </w:r>
          </w:p>
        </w:tc>
      </w:tr>
      <w:tr w:rsidR="003F73B0" w:rsidRPr="00CA7301" w14:paraId="4A5315CD" w14:textId="77777777" w:rsidTr="00877D8D">
        <w:tc>
          <w:tcPr>
            <w:tcW w:w="486" w:type="dxa"/>
          </w:tcPr>
          <w:p w14:paraId="08D06349" w14:textId="77777777" w:rsidR="003F73B0" w:rsidRPr="00CA7301" w:rsidRDefault="003F73B0" w:rsidP="003F73B0">
            <w:pPr>
              <w:rPr>
                <w:rFonts w:cs="Segoe UI"/>
                <w:sz w:val="17"/>
                <w:szCs w:val="17"/>
              </w:rPr>
            </w:pPr>
            <w:r w:rsidRPr="00CA7301">
              <w:rPr>
                <w:rFonts w:cs="Segoe UI"/>
                <w:sz w:val="17"/>
                <w:szCs w:val="17"/>
              </w:rPr>
              <w:t>26</w:t>
            </w:r>
          </w:p>
        </w:tc>
        <w:tc>
          <w:tcPr>
            <w:tcW w:w="8728" w:type="dxa"/>
          </w:tcPr>
          <w:p w14:paraId="3D7DAFC0"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指明轉換至彌補虧損能力較高票據的比率。</w:t>
            </w:r>
          </w:p>
          <w:p w14:paraId="19CC367D"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自由填寫內容</w:t>
            </w:r>
          </w:p>
        </w:tc>
      </w:tr>
      <w:tr w:rsidR="003F73B0" w:rsidRPr="00CA7301" w14:paraId="22F545EF" w14:textId="77777777" w:rsidTr="00877D8D">
        <w:tc>
          <w:tcPr>
            <w:tcW w:w="486" w:type="dxa"/>
          </w:tcPr>
          <w:p w14:paraId="707842BF" w14:textId="77777777" w:rsidR="003F73B0" w:rsidRPr="00CA7301" w:rsidRDefault="003F73B0" w:rsidP="003F73B0">
            <w:pPr>
              <w:rPr>
                <w:rFonts w:cs="Segoe UI"/>
                <w:sz w:val="17"/>
                <w:szCs w:val="17"/>
              </w:rPr>
            </w:pPr>
            <w:r w:rsidRPr="00CA7301">
              <w:rPr>
                <w:rFonts w:cs="Segoe UI"/>
                <w:sz w:val="17"/>
                <w:szCs w:val="17"/>
              </w:rPr>
              <w:t>27</w:t>
            </w:r>
          </w:p>
        </w:tc>
        <w:tc>
          <w:tcPr>
            <w:tcW w:w="8728" w:type="dxa"/>
          </w:tcPr>
          <w:p w14:paraId="50A57B18"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就可轉換票據而言，指明強制或選擇性轉換。</w:t>
            </w:r>
          </w:p>
          <w:p w14:paraId="77701C29"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強制</w:t>
            </w:r>
            <w:r w:rsidRPr="00CA7301">
              <w:rPr>
                <w:rFonts w:cs="Segoe UI"/>
                <w:i/>
                <w:sz w:val="17"/>
                <w:szCs w:val="17"/>
                <w:lang w:eastAsia="zh-TW"/>
              </w:rPr>
              <w:t>] [</w:t>
            </w:r>
            <w:r w:rsidRPr="00CA7301">
              <w:rPr>
                <w:rFonts w:eastAsia="細明體" w:cs="Segoe UI"/>
                <w:i/>
                <w:sz w:val="17"/>
                <w:szCs w:val="17"/>
                <w:lang w:eastAsia="zh-TW"/>
              </w:rPr>
              <w:t>選擇性</w:t>
            </w:r>
            <w:r w:rsidRPr="00CA7301">
              <w:rPr>
                <w:rFonts w:cs="Segoe UI"/>
                <w:i/>
                <w:sz w:val="17"/>
                <w:szCs w:val="17"/>
                <w:lang w:eastAsia="zh-TW"/>
              </w:rPr>
              <w:t>] [</w:t>
            </w:r>
            <w:r w:rsidRPr="00CA7301">
              <w:rPr>
                <w:rFonts w:eastAsia="細明體" w:cs="Segoe UI"/>
                <w:i/>
                <w:sz w:val="17"/>
                <w:szCs w:val="17"/>
                <w:lang w:eastAsia="zh-TW"/>
              </w:rPr>
              <w:t>不適用</w:t>
            </w:r>
            <w:r w:rsidRPr="00CA7301">
              <w:rPr>
                <w:rFonts w:cs="Segoe UI"/>
                <w:i/>
                <w:sz w:val="17"/>
                <w:szCs w:val="17"/>
                <w:lang w:eastAsia="zh-TW"/>
              </w:rPr>
              <w:t>]</w:t>
            </w:r>
          </w:p>
        </w:tc>
      </w:tr>
      <w:tr w:rsidR="003F73B0" w:rsidRPr="00CA7301" w14:paraId="10D7D989" w14:textId="77777777" w:rsidTr="00877D8D">
        <w:tc>
          <w:tcPr>
            <w:tcW w:w="486" w:type="dxa"/>
          </w:tcPr>
          <w:p w14:paraId="3688B12D" w14:textId="77777777" w:rsidR="003F73B0" w:rsidRPr="00CA7301" w:rsidRDefault="003F73B0" w:rsidP="003F73B0">
            <w:pPr>
              <w:rPr>
                <w:rFonts w:cs="Segoe UI"/>
                <w:sz w:val="17"/>
                <w:szCs w:val="17"/>
              </w:rPr>
            </w:pPr>
            <w:r w:rsidRPr="00CA7301">
              <w:rPr>
                <w:rFonts w:cs="Segoe UI"/>
                <w:sz w:val="17"/>
                <w:szCs w:val="17"/>
              </w:rPr>
              <w:t>28</w:t>
            </w:r>
          </w:p>
        </w:tc>
        <w:tc>
          <w:tcPr>
            <w:tcW w:w="8728" w:type="dxa"/>
          </w:tcPr>
          <w:p w14:paraId="3501CC89"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就可轉換票據而言，指明轉換後的票據類別。</w:t>
            </w:r>
          </w:p>
          <w:p w14:paraId="21107EA9"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普通股權一級資本</w:t>
            </w:r>
            <w:r w:rsidRPr="00CA7301">
              <w:rPr>
                <w:rFonts w:cs="Segoe UI"/>
                <w:i/>
                <w:sz w:val="17"/>
                <w:szCs w:val="17"/>
                <w:lang w:eastAsia="zh-TW"/>
              </w:rPr>
              <w:t>] [</w:t>
            </w:r>
            <w:r w:rsidRPr="00CA7301">
              <w:rPr>
                <w:rFonts w:eastAsia="細明體" w:cs="Segoe UI"/>
                <w:i/>
                <w:sz w:val="17"/>
                <w:szCs w:val="17"/>
                <w:lang w:eastAsia="zh-TW"/>
              </w:rPr>
              <w:t>額外一級資本</w:t>
            </w:r>
            <w:r w:rsidRPr="00CA7301">
              <w:rPr>
                <w:rFonts w:cs="Segoe UI"/>
                <w:i/>
                <w:sz w:val="17"/>
                <w:szCs w:val="17"/>
                <w:lang w:eastAsia="zh-TW"/>
              </w:rPr>
              <w:t>] [</w:t>
            </w:r>
            <w:r w:rsidRPr="00CA7301">
              <w:rPr>
                <w:rFonts w:eastAsia="細明體" w:cs="Segoe UI"/>
                <w:i/>
                <w:sz w:val="17"/>
                <w:szCs w:val="17"/>
                <w:lang w:eastAsia="zh-TW"/>
              </w:rPr>
              <w:t>二級資本</w:t>
            </w:r>
            <w:r w:rsidRPr="00CA7301">
              <w:rPr>
                <w:rFonts w:cs="Segoe UI"/>
                <w:i/>
                <w:sz w:val="17"/>
                <w:szCs w:val="17"/>
                <w:lang w:eastAsia="zh-TW"/>
              </w:rPr>
              <w:t>] [</w:t>
            </w:r>
            <w:r w:rsidRPr="00CA7301">
              <w:rPr>
                <w:rFonts w:eastAsia="細明體" w:cs="Segoe UI"/>
                <w:i/>
                <w:sz w:val="17"/>
                <w:szCs w:val="17"/>
                <w:lang w:eastAsia="zh-TW"/>
              </w:rPr>
              <w:t>其他：請指明</w:t>
            </w:r>
            <w:r w:rsidRPr="00CA7301">
              <w:rPr>
                <w:rFonts w:cs="Segoe UI"/>
                <w:i/>
                <w:sz w:val="17"/>
                <w:szCs w:val="17"/>
                <w:lang w:eastAsia="zh-TW"/>
              </w:rPr>
              <w:t>]</w:t>
            </w:r>
          </w:p>
        </w:tc>
      </w:tr>
      <w:tr w:rsidR="003F73B0" w:rsidRPr="00CA7301" w14:paraId="077E771F" w14:textId="77777777" w:rsidTr="00877D8D">
        <w:tc>
          <w:tcPr>
            <w:tcW w:w="486" w:type="dxa"/>
          </w:tcPr>
          <w:p w14:paraId="43C122D4" w14:textId="77777777" w:rsidR="003F73B0" w:rsidRPr="00CA7301" w:rsidRDefault="003F73B0" w:rsidP="003F73B0">
            <w:pPr>
              <w:rPr>
                <w:rFonts w:cs="Segoe UI"/>
                <w:sz w:val="17"/>
                <w:szCs w:val="17"/>
              </w:rPr>
            </w:pPr>
            <w:r w:rsidRPr="00CA7301">
              <w:rPr>
                <w:rFonts w:cs="Segoe UI"/>
                <w:sz w:val="17"/>
                <w:szCs w:val="17"/>
              </w:rPr>
              <w:t>29</w:t>
            </w:r>
          </w:p>
        </w:tc>
        <w:tc>
          <w:tcPr>
            <w:tcW w:w="8728" w:type="dxa"/>
          </w:tcPr>
          <w:p w14:paraId="6361F27C"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若屬可轉換，指明轉換後的票據的發行人。</w:t>
            </w:r>
          </w:p>
          <w:p w14:paraId="3FA06639"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自由填寫內容</w:t>
            </w:r>
            <w:proofErr w:type="spellEnd"/>
          </w:p>
        </w:tc>
      </w:tr>
      <w:tr w:rsidR="003F73B0" w:rsidRPr="00CA7301" w14:paraId="6A797880" w14:textId="77777777" w:rsidTr="00877D8D">
        <w:tc>
          <w:tcPr>
            <w:tcW w:w="486" w:type="dxa"/>
          </w:tcPr>
          <w:p w14:paraId="19AC8EA5" w14:textId="77777777" w:rsidR="003F73B0" w:rsidRPr="00CA7301" w:rsidRDefault="003F73B0" w:rsidP="003F73B0">
            <w:pPr>
              <w:rPr>
                <w:rFonts w:cs="Segoe UI"/>
                <w:sz w:val="17"/>
                <w:szCs w:val="17"/>
              </w:rPr>
            </w:pPr>
            <w:r w:rsidRPr="00CA7301">
              <w:rPr>
                <w:rFonts w:cs="Segoe UI"/>
                <w:sz w:val="17"/>
                <w:szCs w:val="17"/>
              </w:rPr>
              <w:t>30</w:t>
            </w:r>
          </w:p>
        </w:tc>
        <w:tc>
          <w:tcPr>
            <w:tcW w:w="8728" w:type="dxa"/>
          </w:tcPr>
          <w:p w14:paraId="0BE91421" w14:textId="2CF21D39" w:rsidR="003F73B0" w:rsidRPr="001C68A0" w:rsidRDefault="00740AEA" w:rsidP="003F73B0">
            <w:pPr>
              <w:jc w:val="both"/>
              <w:rPr>
                <w:rFonts w:eastAsia="細明體" w:cs="Segoe UI"/>
                <w:sz w:val="17"/>
                <w:szCs w:val="17"/>
                <w:lang w:eastAsia="zh-TW"/>
              </w:rPr>
            </w:pPr>
            <w:r>
              <w:rPr>
                <w:rFonts w:eastAsia="細明體" w:cs="Segoe UI" w:hint="eastAsia"/>
                <w:sz w:val="17"/>
                <w:szCs w:val="17"/>
                <w:lang w:eastAsia="zh-HK"/>
              </w:rPr>
              <w:t>在</w:t>
            </w:r>
            <w:r w:rsidR="00B4328C">
              <w:rPr>
                <w:rFonts w:eastAsia="細明體" w:cs="Segoe UI" w:hint="eastAsia"/>
                <w:sz w:val="17"/>
                <w:szCs w:val="17"/>
                <w:lang w:eastAsia="zh-TW"/>
              </w:rPr>
              <w:t>未有考慮</w:t>
            </w:r>
            <w:r w:rsidRPr="00AB5392">
              <w:rPr>
                <w:rFonts w:eastAsia="細明體" w:cs="Segoe UI" w:hint="eastAsia"/>
                <w:sz w:val="17"/>
                <w:szCs w:val="17"/>
                <w:lang w:eastAsia="zh-TW"/>
              </w:rPr>
              <w:t>潛在</w:t>
            </w:r>
            <w:r>
              <w:rPr>
                <w:rFonts w:eastAsia="細明體" w:cs="Segoe UI" w:hint="eastAsia"/>
                <w:sz w:val="17"/>
                <w:szCs w:val="17"/>
                <w:lang w:eastAsia="zh-TW"/>
              </w:rPr>
              <w:t>行使</w:t>
            </w:r>
            <w:r w:rsidR="00B4328C" w:rsidRPr="00AB5392">
              <w:rPr>
                <w:rFonts w:eastAsia="細明體" w:cs="Segoe UI" w:hint="eastAsia"/>
                <w:sz w:val="17"/>
                <w:szCs w:val="17"/>
                <w:lang w:eastAsia="zh-TW"/>
              </w:rPr>
              <w:t>《金融機構（處置機制）條例》</w:t>
            </w:r>
            <w:r>
              <w:rPr>
                <w:rFonts w:eastAsia="細明體" w:cs="Segoe UI" w:hint="eastAsia"/>
                <w:sz w:val="17"/>
                <w:szCs w:val="17"/>
                <w:lang w:eastAsia="zh-HK"/>
              </w:rPr>
              <w:t>中的</w:t>
            </w:r>
            <w:r w:rsidRPr="00AB5392">
              <w:rPr>
                <w:rFonts w:eastAsia="細明體" w:cs="Segoe UI" w:hint="eastAsia"/>
                <w:sz w:val="17"/>
                <w:szCs w:val="17"/>
                <w:lang w:eastAsia="zh-TW"/>
              </w:rPr>
              <w:t>權力</w:t>
            </w:r>
            <w:r>
              <w:rPr>
                <w:rFonts w:eastAsia="細明體" w:cs="Segoe UI" w:hint="eastAsia"/>
                <w:sz w:val="17"/>
                <w:szCs w:val="17"/>
                <w:lang w:eastAsia="zh-HK"/>
              </w:rPr>
              <w:t>可能帶來</w:t>
            </w:r>
            <w:r w:rsidR="00B4328C" w:rsidRPr="00AB5392">
              <w:rPr>
                <w:rFonts w:eastAsia="細明體" w:cs="Segoe UI" w:hint="eastAsia"/>
                <w:sz w:val="17"/>
                <w:szCs w:val="17"/>
                <w:lang w:eastAsia="zh-TW"/>
              </w:rPr>
              <w:t>的影響</w:t>
            </w:r>
            <w:r w:rsidR="00B4328C">
              <w:rPr>
                <w:rFonts w:eastAsia="細明體" w:cs="Segoe UI" w:hint="eastAsia"/>
                <w:sz w:val="17"/>
                <w:szCs w:val="17"/>
                <w:lang w:eastAsia="zh-HK"/>
              </w:rPr>
              <w:t>下</w:t>
            </w:r>
            <w:r w:rsidRPr="00CA7301">
              <w:rPr>
                <w:rFonts w:eastAsia="細明體" w:cs="Segoe UI"/>
                <w:sz w:val="17"/>
                <w:szCs w:val="17"/>
                <w:lang w:eastAsia="zh-TW"/>
              </w:rPr>
              <w:t>，</w:t>
            </w:r>
            <w:r w:rsidR="003F73B0" w:rsidRPr="00CA7301">
              <w:rPr>
                <w:rFonts w:eastAsia="細明體" w:cs="Segoe UI"/>
                <w:sz w:val="17"/>
                <w:szCs w:val="17"/>
                <w:lang w:eastAsia="zh-TW"/>
              </w:rPr>
              <w:t>指明是否設有減值特點。</w:t>
            </w:r>
            <w:r w:rsidR="00B4328C" w:rsidRPr="00AB5392">
              <w:rPr>
                <w:rFonts w:eastAsia="細明體" w:cs="Segoe UI" w:hint="eastAsia"/>
                <w:sz w:val="17"/>
                <w:szCs w:val="17"/>
                <w:lang w:eastAsia="zh-TW"/>
              </w:rPr>
              <w:t>然而</w:t>
            </w:r>
            <w:r w:rsidR="00B4328C" w:rsidRPr="00CA7301">
              <w:rPr>
                <w:rFonts w:eastAsia="細明體" w:cs="Segoe UI"/>
                <w:sz w:val="17"/>
                <w:szCs w:val="17"/>
                <w:lang w:eastAsia="zh-TW"/>
              </w:rPr>
              <w:t>，</w:t>
            </w:r>
            <w:r w:rsidR="00B4328C">
              <w:rPr>
                <w:rFonts w:eastAsia="細明體" w:cs="Segoe UI" w:hint="eastAsia"/>
                <w:sz w:val="17"/>
                <w:szCs w:val="17"/>
                <w:lang w:eastAsia="zh-TW"/>
              </w:rPr>
              <w:t>如果該</w:t>
            </w:r>
            <w:r w:rsidR="00B4328C" w:rsidRPr="00CA7301">
              <w:rPr>
                <w:rFonts w:eastAsia="細明體" w:cs="Segoe UI"/>
                <w:sz w:val="17"/>
                <w:szCs w:val="17"/>
                <w:lang w:eastAsia="zh-TW"/>
              </w:rPr>
              <w:t>票據</w:t>
            </w:r>
            <w:r w:rsidR="00B4328C">
              <w:rPr>
                <w:rFonts w:eastAsia="細明體" w:cs="Segoe UI" w:hint="eastAsia"/>
                <w:sz w:val="17"/>
                <w:szCs w:val="17"/>
                <w:lang w:eastAsia="zh-TW"/>
              </w:rPr>
              <w:t>的條款及</w:t>
            </w:r>
            <w:r w:rsidR="00B4328C">
              <w:rPr>
                <w:rFonts w:eastAsia="細明體" w:cs="Segoe UI" w:hint="eastAsia"/>
                <w:sz w:val="17"/>
                <w:szCs w:val="17"/>
                <w:lang w:eastAsia="zh-HK"/>
              </w:rPr>
              <w:t>條件</w:t>
            </w:r>
            <w:r w:rsidR="008F0A42">
              <w:rPr>
                <w:rFonts w:eastAsia="細明體" w:cs="Segoe UI" w:hint="eastAsia"/>
                <w:sz w:val="17"/>
                <w:szCs w:val="17"/>
                <w:lang w:eastAsia="zh-HK"/>
              </w:rPr>
              <w:t>包</w:t>
            </w:r>
            <w:r w:rsidR="008F0A42" w:rsidRPr="008F0A42">
              <w:rPr>
                <w:rFonts w:eastAsia="細明體" w:cs="Segoe UI" w:hint="eastAsia"/>
                <w:sz w:val="17"/>
                <w:szCs w:val="17"/>
                <w:lang w:eastAsia="zh-HK"/>
              </w:rPr>
              <w:t>含</w:t>
            </w:r>
            <w:r w:rsidR="00B4328C" w:rsidRPr="00CA7301">
              <w:rPr>
                <w:rFonts w:eastAsia="細明體" w:cs="Segoe UI"/>
                <w:sz w:val="17"/>
                <w:szCs w:val="17"/>
                <w:lang w:eastAsia="zh-TW"/>
              </w:rPr>
              <w:t>票據</w:t>
            </w:r>
            <w:r>
              <w:rPr>
                <w:rFonts w:eastAsia="細明體" w:cs="Segoe UI" w:hint="eastAsia"/>
                <w:sz w:val="17"/>
                <w:szCs w:val="17"/>
                <w:lang w:eastAsia="zh-TW"/>
              </w:rPr>
              <w:t>的持有</w:t>
            </w:r>
            <w:r>
              <w:rPr>
                <w:rFonts w:eastAsia="細明體" w:cs="Segoe UI" w:hint="eastAsia"/>
                <w:sz w:val="17"/>
                <w:szCs w:val="17"/>
                <w:lang w:eastAsia="zh-HK"/>
              </w:rPr>
              <w:t>人確</w:t>
            </w:r>
            <w:r>
              <w:rPr>
                <w:rFonts w:eastAsia="細明體" w:cs="Segoe UI" w:hint="eastAsia"/>
                <w:sz w:val="17"/>
                <w:szCs w:val="17"/>
                <w:lang w:eastAsia="zh-TW"/>
              </w:rPr>
              <w:t>認並同意受</w:t>
            </w:r>
            <w:r>
              <w:rPr>
                <w:rFonts w:eastAsia="細明體" w:cs="Segoe UI" w:hint="eastAsia"/>
                <w:sz w:val="17"/>
                <w:szCs w:val="17"/>
                <w:lang w:eastAsia="zh-HK"/>
              </w:rPr>
              <w:t>該</w:t>
            </w:r>
            <w:r w:rsidR="00B4328C">
              <w:rPr>
                <w:rFonts w:eastAsia="細明體" w:cs="Segoe UI" w:hint="eastAsia"/>
                <w:sz w:val="17"/>
                <w:szCs w:val="17"/>
                <w:lang w:eastAsia="zh-TW"/>
              </w:rPr>
              <w:t>些權力約束</w:t>
            </w:r>
            <w:r>
              <w:rPr>
                <w:rFonts w:eastAsia="細明體" w:cs="Segoe UI" w:hint="eastAsia"/>
                <w:sz w:val="17"/>
                <w:szCs w:val="17"/>
                <w:lang w:eastAsia="zh-HK"/>
              </w:rPr>
              <w:t>的條文</w:t>
            </w:r>
            <w:r w:rsidR="00B4328C" w:rsidRPr="00CA7301">
              <w:rPr>
                <w:rFonts w:eastAsia="細明體" w:cs="Segoe UI"/>
                <w:sz w:val="17"/>
                <w:szCs w:val="17"/>
                <w:lang w:eastAsia="zh-TW"/>
              </w:rPr>
              <w:t>，</w:t>
            </w:r>
            <w:r w:rsidR="00B4328C" w:rsidRPr="00AB5392">
              <w:rPr>
                <w:rFonts w:eastAsia="細明體" w:cs="Segoe UI" w:hint="eastAsia"/>
                <w:sz w:val="17"/>
                <w:szCs w:val="17"/>
                <w:lang w:eastAsia="zh-TW"/>
              </w:rPr>
              <w:t>認可機構亦應在本行內披露</w:t>
            </w:r>
            <w:r w:rsidR="00170411" w:rsidRPr="00CA7301">
              <w:rPr>
                <w:rFonts w:eastAsiaTheme="minorEastAsia" w:cs="Segoe UI"/>
                <w:sz w:val="17"/>
                <w:szCs w:val="17"/>
                <w:lang w:eastAsia="zh-TW"/>
              </w:rPr>
              <w:t>（</w:t>
            </w:r>
            <w:r w:rsidR="00B4328C" w:rsidRPr="00AB5392">
              <w:rPr>
                <w:rFonts w:eastAsia="細明體" w:cs="Segoe UI" w:hint="eastAsia"/>
                <w:sz w:val="17"/>
                <w:szCs w:val="17"/>
                <w:lang w:eastAsia="zh-TW"/>
              </w:rPr>
              <w:t>例如以</w:t>
            </w:r>
            <w:r w:rsidR="00B4328C" w:rsidRPr="00AD25D0">
              <w:rPr>
                <w:rFonts w:eastAsia="細明體" w:cs="Segoe UI" w:hint="eastAsia"/>
                <w:sz w:val="17"/>
                <w:szCs w:val="17"/>
                <w:lang w:eastAsia="zh-TW"/>
              </w:rPr>
              <w:t>備註</w:t>
            </w:r>
            <w:r w:rsidR="00B4328C" w:rsidRPr="00AB5392">
              <w:rPr>
                <w:rFonts w:eastAsia="細明體" w:cs="Segoe UI" w:hint="eastAsia"/>
                <w:sz w:val="17"/>
                <w:szCs w:val="17"/>
                <w:lang w:eastAsia="zh-TW"/>
              </w:rPr>
              <w:t>的形式</w:t>
            </w:r>
            <w:r w:rsidR="00170411" w:rsidRPr="00CA7301">
              <w:rPr>
                <w:rFonts w:eastAsiaTheme="minorEastAsia" w:cs="Segoe UI"/>
                <w:sz w:val="17"/>
                <w:szCs w:val="17"/>
                <w:lang w:eastAsia="zh-TW"/>
              </w:rPr>
              <w:t>）</w:t>
            </w:r>
            <w:r w:rsidR="00B4328C" w:rsidRPr="00CA7301">
              <w:rPr>
                <w:rFonts w:eastAsia="細明體" w:cs="Segoe UI"/>
                <w:sz w:val="17"/>
                <w:szCs w:val="17"/>
                <w:lang w:eastAsia="zh-TW"/>
              </w:rPr>
              <w:t>。</w:t>
            </w:r>
          </w:p>
          <w:p w14:paraId="07B5F4B5"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輸入</w:t>
            </w:r>
            <w:proofErr w:type="spellEnd"/>
            <w:r w:rsidRPr="00CA7301">
              <w:rPr>
                <w:rFonts w:eastAsia="細明體" w:cs="Segoe UI"/>
                <w:i/>
                <w:sz w:val="17"/>
                <w:szCs w:val="17"/>
              </w:rPr>
              <w:t>：</w:t>
            </w:r>
            <w:r w:rsidRPr="00CA7301">
              <w:rPr>
                <w:rFonts w:cs="Segoe UI"/>
                <w:i/>
                <w:sz w:val="17"/>
                <w:szCs w:val="17"/>
              </w:rPr>
              <w:t>[</w:t>
            </w:r>
            <w:r w:rsidRPr="00CA7301">
              <w:rPr>
                <w:rFonts w:eastAsia="細明體" w:cs="Segoe UI"/>
                <w:i/>
                <w:sz w:val="17"/>
                <w:szCs w:val="17"/>
              </w:rPr>
              <w:t>有</w:t>
            </w:r>
            <w:r w:rsidRPr="00CA7301">
              <w:rPr>
                <w:rFonts w:cs="Segoe UI"/>
                <w:i/>
                <w:sz w:val="17"/>
                <w:szCs w:val="17"/>
              </w:rPr>
              <w:t>] [</w:t>
            </w:r>
            <w:proofErr w:type="spellStart"/>
            <w:r w:rsidRPr="00CA7301">
              <w:rPr>
                <w:rFonts w:eastAsia="細明體" w:cs="Segoe UI"/>
                <w:i/>
                <w:sz w:val="17"/>
                <w:szCs w:val="17"/>
              </w:rPr>
              <w:t>沒有</w:t>
            </w:r>
            <w:proofErr w:type="spellEnd"/>
            <w:r w:rsidRPr="00CA7301">
              <w:rPr>
                <w:rFonts w:cs="Segoe UI"/>
                <w:i/>
                <w:sz w:val="17"/>
                <w:szCs w:val="17"/>
              </w:rPr>
              <w:t xml:space="preserve">] </w:t>
            </w:r>
          </w:p>
        </w:tc>
      </w:tr>
      <w:tr w:rsidR="003F73B0" w:rsidRPr="00CA7301" w14:paraId="1164FB34" w14:textId="77777777" w:rsidTr="00877D8D">
        <w:tc>
          <w:tcPr>
            <w:tcW w:w="486" w:type="dxa"/>
          </w:tcPr>
          <w:p w14:paraId="5110C1E8" w14:textId="77777777" w:rsidR="003F73B0" w:rsidRPr="00CA7301" w:rsidRDefault="003F73B0" w:rsidP="003F73B0">
            <w:pPr>
              <w:rPr>
                <w:rFonts w:cs="Segoe UI"/>
                <w:sz w:val="17"/>
                <w:szCs w:val="17"/>
              </w:rPr>
            </w:pPr>
            <w:r w:rsidRPr="00CA7301">
              <w:rPr>
                <w:rFonts w:cs="Segoe UI"/>
                <w:sz w:val="17"/>
                <w:szCs w:val="17"/>
              </w:rPr>
              <w:t>31</w:t>
            </w:r>
          </w:p>
        </w:tc>
        <w:tc>
          <w:tcPr>
            <w:tcW w:w="8728" w:type="dxa"/>
          </w:tcPr>
          <w:p w14:paraId="0AEBC158" w14:textId="42E23D97" w:rsidR="003F73B0" w:rsidRPr="00CA7301" w:rsidRDefault="003F73B0" w:rsidP="003F73B0">
            <w:pPr>
              <w:jc w:val="both"/>
              <w:rPr>
                <w:rFonts w:eastAsiaTheme="minorEastAsia" w:cs="Segoe UI"/>
                <w:sz w:val="17"/>
                <w:szCs w:val="17"/>
                <w:lang w:eastAsia="zh-TW"/>
              </w:rPr>
            </w:pPr>
            <w:r w:rsidRPr="00CA7301">
              <w:rPr>
                <w:rFonts w:eastAsia="細明體" w:cs="Segoe UI"/>
                <w:sz w:val="17"/>
                <w:szCs w:val="17"/>
                <w:lang w:eastAsia="zh-TW"/>
              </w:rPr>
              <w:t>指明</w:t>
            </w:r>
            <w:proofErr w:type="gramStart"/>
            <w:r w:rsidRPr="00CA7301">
              <w:rPr>
                <w:rFonts w:eastAsia="細明體" w:cs="Segoe UI"/>
                <w:sz w:val="17"/>
                <w:szCs w:val="17"/>
                <w:lang w:eastAsia="zh-TW"/>
              </w:rPr>
              <w:t>出現減值的</w:t>
            </w:r>
            <w:proofErr w:type="gramEnd"/>
            <w:r w:rsidRPr="00CA7301">
              <w:rPr>
                <w:rFonts w:eastAsia="細明體" w:cs="Segoe UI"/>
                <w:sz w:val="17"/>
                <w:szCs w:val="17"/>
                <w:lang w:eastAsia="zh-TW"/>
              </w:rPr>
              <w:t>觸發點，包括陷入不可持續營運。如一</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或以上監管當局可以</w:t>
            </w:r>
            <w:proofErr w:type="gramStart"/>
            <w:r w:rsidRPr="00CA7301">
              <w:rPr>
                <w:rFonts w:eastAsia="細明體" w:cs="Segoe UI"/>
                <w:sz w:val="17"/>
                <w:szCs w:val="17"/>
                <w:lang w:eastAsia="zh-TW"/>
              </w:rPr>
              <w:t>觸發減值</w:t>
            </w:r>
            <w:proofErr w:type="gramEnd"/>
            <w:r w:rsidRPr="00CA7301">
              <w:rPr>
                <w:rFonts w:eastAsia="細明體" w:cs="Segoe UI"/>
                <w:sz w:val="17"/>
                <w:szCs w:val="17"/>
                <w:lang w:eastAsia="zh-TW"/>
              </w:rPr>
              <w:t>，應註明該等監管當局的名稱，並逐一指明每</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監管當局</w:t>
            </w:r>
            <w:proofErr w:type="gramStart"/>
            <w:r w:rsidRPr="00CA7301">
              <w:rPr>
                <w:rFonts w:eastAsia="細明體" w:cs="Segoe UI"/>
                <w:sz w:val="17"/>
                <w:szCs w:val="17"/>
                <w:lang w:eastAsia="zh-TW"/>
              </w:rPr>
              <w:t>觸發減值的</w:t>
            </w:r>
            <w:proofErr w:type="gramEnd"/>
            <w:r w:rsidRPr="00CA7301">
              <w:rPr>
                <w:rFonts w:eastAsia="細明體" w:cs="Segoe UI"/>
                <w:sz w:val="17"/>
                <w:szCs w:val="17"/>
                <w:lang w:eastAsia="zh-TW"/>
              </w:rPr>
              <w:t>法律基礎是否源自票據合約條款</w:t>
            </w:r>
            <w:r w:rsidRPr="00CA7301">
              <w:rPr>
                <w:rFonts w:eastAsiaTheme="minorEastAsia" w:cs="Segoe UI"/>
                <w:sz w:val="17"/>
                <w:szCs w:val="17"/>
                <w:lang w:eastAsia="zh-TW"/>
              </w:rPr>
              <w:t>（</w:t>
            </w:r>
            <w:r w:rsidRPr="00CA7301">
              <w:rPr>
                <w:rFonts w:eastAsia="細明體" w:cs="Segoe UI"/>
                <w:sz w:val="17"/>
                <w:szCs w:val="17"/>
                <w:lang w:eastAsia="zh-TW"/>
              </w:rPr>
              <w:t>即合約方法</w:t>
            </w:r>
            <w:r w:rsidRPr="00CA7301">
              <w:rPr>
                <w:rFonts w:eastAsiaTheme="minorEastAsia" w:cs="Segoe UI"/>
                <w:sz w:val="17"/>
                <w:szCs w:val="17"/>
                <w:lang w:eastAsia="zh-TW"/>
              </w:rPr>
              <w:t>）</w:t>
            </w:r>
            <w:r w:rsidRPr="00CA7301">
              <w:rPr>
                <w:rFonts w:eastAsia="細明體" w:cs="Segoe UI"/>
                <w:sz w:val="17"/>
                <w:szCs w:val="17"/>
                <w:lang w:eastAsia="zh-TW"/>
              </w:rPr>
              <w:t>或法定條列</w:t>
            </w:r>
            <w:r w:rsidRPr="00CA7301">
              <w:rPr>
                <w:rFonts w:eastAsiaTheme="minorEastAsia" w:cs="Segoe UI"/>
                <w:sz w:val="17"/>
                <w:szCs w:val="17"/>
                <w:lang w:eastAsia="zh-TW"/>
              </w:rPr>
              <w:t>（</w:t>
            </w:r>
            <w:r w:rsidRPr="00CA7301">
              <w:rPr>
                <w:rFonts w:eastAsia="細明體" w:cs="Segoe UI"/>
                <w:sz w:val="17"/>
                <w:szCs w:val="17"/>
                <w:lang w:eastAsia="zh-TW"/>
              </w:rPr>
              <w:t>即法定方法</w:t>
            </w:r>
            <w:r w:rsidRPr="00CA7301">
              <w:rPr>
                <w:rFonts w:eastAsiaTheme="minorEastAsia" w:cs="Segoe UI"/>
                <w:sz w:val="17"/>
                <w:szCs w:val="17"/>
                <w:lang w:eastAsia="zh-TW"/>
              </w:rPr>
              <w:t>）</w:t>
            </w:r>
            <w:r w:rsidRPr="00CA7301">
              <w:rPr>
                <w:rFonts w:eastAsia="細明體" w:cs="Segoe UI"/>
                <w:sz w:val="17"/>
                <w:szCs w:val="17"/>
                <w:lang w:eastAsia="zh-TW"/>
              </w:rPr>
              <w:t>。</w:t>
            </w:r>
            <w:r w:rsidRPr="00CA7301">
              <w:rPr>
                <w:rFonts w:eastAsiaTheme="minorEastAsia" w:cs="Segoe UI"/>
                <w:sz w:val="17"/>
                <w:szCs w:val="17"/>
                <w:lang w:eastAsia="zh-TW"/>
              </w:rPr>
              <w:br/>
            </w:r>
            <w:r w:rsidRPr="00CA7301">
              <w:rPr>
                <w:rFonts w:eastAsia="細明體" w:cs="Segoe UI"/>
                <w:i/>
                <w:sz w:val="17"/>
                <w:szCs w:val="17"/>
                <w:lang w:eastAsia="zh-TW"/>
              </w:rPr>
              <w:t>自由填寫內容</w:t>
            </w:r>
          </w:p>
        </w:tc>
      </w:tr>
      <w:tr w:rsidR="003F73B0" w:rsidRPr="00CA7301" w14:paraId="1E3CA617" w14:textId="77777777" w:rsidTr="00877D8D">
        <w:tc>
          <w:tcPr>
            <w:tcW w:w="486" w:type="dxa"/>
          </w:tcPr>
          <w:p w14:paraId="6A05B023" w14:textId="77777777" w:rsidR="003F73B0" w:rsidRPr="00CA7301" w:rsidRDefault="003F73B0" w:rsidP="003F73B0">
            <w:pPr>
              <w:rPr>
                <w:rFonts w:cs="Segoe UI"/>
                <w:sz w:val="17"/>
                <w:szCs w:val="17"/>
              </w:rPr>
            </w:pPr>
            <w:r w:rsidRPr="00CA7301">
              <w:rPr>
                <w:rFonts w:cs="Segoe UI"/>
                <w:sz w:val="17"/>
                <w:szCs w:val="17"/>
              </w:rPr>
              <w:t>32</w:t>
            </w:r>
          </w:p>
        </w:tc>
        <w:tc>
          <w:tcPr>
            <w:tcW w:w="8728" w:type="dxa"/>
          </w:tcPr>
          <w:p w14:paraId="77431C08"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就每</w:t>
            </w:r>
            <w:proofErr w:type="gramStart"/>
            <w:r w:rsidRPr="00CA7301">
              <w:rPr>
                <w:rFonts w:eastAsia="細明體" w:cs="Segoe UI"/>
                <w:sz w:val="17"/>
                <w:szCs w:val="17"/>
                <w:lang w:eastAsia="zh-TW"/>
              </w:rPr>
              <w:t>項減值觸發</w:t>
            </w:r>
            <w:proofErr w:type="gramEnd"/>
            <w:r w:rsidRPr="00CA7301">
              <w:rPr>
                <w:rFonts w:eastAsia="細明體" w:cs="Segoe UI"/>
                <w:sz w:val="17"/>
                <w:szCs w:val="17"/>
                <w:lang w:eastAsia="zh-TW"/>
              </w:rPr>
              <w:t>點逐一指明有關票據：</w:t>
            </w:r>
            <w:r w:rsidRPr="00CA7301">
              <w:rPr>
                <w:rFonts w:cs="Segoe UI"/>
                <w:sz w:val="17"/>
                <w:szCs w:val="17"/>
                <w:lang w:eastAsia="zh-TW"/>
              </w:rPr>
              <w:t>(</w:t>
            </w:r>
            <w:proofErr w:type="spellStart"/>
            <w:r w:rsidRPr="00CA7301">
              <w:rPr>
                <w:rFonts w:cs="Segoe UI"/>
                <w:sz w:val="17"/>
                <w:szCs w:val="17"/>
                <w:lang w:eastAsia="zh-TW"/>
              </w:rPr>
              <w:t>i</w:t>
            </w:r>
            <w:proofErr w:type="spellEnd"/>
            <w:r w:rsidRPr="00CA7301">
              <w:rPr>
                <w:rFonts w:cs="Segoe UI"/>
                <w:sz w:val="17"/>
                <w:szCs w:val="17"/>
                <w:lang w:eastAsia="zh-TW"/>
              </w:rPr>
              <w:t xml:space="preserve">) </w:t>
            </w:r>
            <w:r w:rsidRPr="00CA7301">
              <w:rPr>
                <w:rFonts w:eastAsia="細明體" w:cs="Segoe UI"/>
                <w:sz w:val="17"/>
                <w:szCs w:val="17"/>
                <w:lang w:eastAsia="zh-TW"/>
              </w:rPr>
              <w:t>任何時候均全部減值；</w:t>
            </w:r>
            <w:r w:rsidRPr="00CA7301">
              <w:rPr>
                <w:rFonts w:cs="Segoe UI"/>
                <w:sz w:val="17"/>
                <w:szCs w:val="17"/>
                <w:lang w:eastAsia="zh-TW"/>
              </w:rPr>
              <w:t xml:space="preserve">(ii) </w:t>
            </w:r>
            <w:r w:rsidRPr="00CA7301">
              <w:rPr>
                <w:rFonts w:eastAsia="細明體" w:cs="Segoe UI"/>
                <w:sz w:val="17"/>
                <w:szCs w:val="17"/>
                <w:lang w:eastAsia="zh-TW"/>
              </w:rPr>
              <w:t>可部分減值；或</w:t>
            </w:r>
            <w:r w:rsidRPr="00CA7301">
              <w:rPr>
                <w:rFonts w:cs="Segoe UI"/>
                <w:sz w:val="17"/>
                <w:szCs w:val="17"/>
                <w:lang w:eastAsia="zh-TW"/>
              </w:rPr>
              <w:t xml:space="preserve"> (iii) </w:t>
            </w:r>
            <w:r w:rsidRPr="00CA7301">
              <w:rPr>
                <w:rFonts w:eastAsia="細明體" w:cs="Segoe UI"/>
                <w:sz w:val="17"/>
                <w:szCs w:val="17"/>
                <w:lang w:eastAsia="zh-TW"/>
              </w:rPr>
              <w:t>任何時候均部分減值。</w:t>
            </w:r>
            <w:r w:rsidRPr="00CA7301">
              <w:rPr>
                <w:rFonts w:cs="Segoe UI"/>
                <w:sz w:val="17"/>
                <w:szCs w:val="17"/>
                <w:lang w:eastAsia="zh-TW"/>
              </w:rPr>
              <w:t xml:space="preserve">  </w:t>
            </w:r>
          </w:p>
          <w:p w14:paraId="64975FA2"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按以上三者之</w:t>
            </w:r>
            <w:proofErr w:type="gramStart"/>
            <w:r w:rsidRPr="00CA7301">
              <w:rPr>
                <w:rFonts w:eastAsia="細明體" w:cs="Segoe UI"/>
                <w:i/>
                <w:sz w:val="17"/>
                <w:szCs w:val="17"/>
                <w:lang w:eastAsia="zh-TW"/>
              </w:rPr>
              <w:t>一</w:t>
            </w:r>
            <w:proofErr w:type="gramEnd"/>
            <w:r w:rsidRPr="00CA7301">
              <w:rPr>
                <w:rFonts w:eastAsia="細明體" w:cs="Segoe UI"/>
                <w:i/>
                <w:sz w:val="17"/>
                <w:szCs w:val="17"/>
                <w:lang w:eastAsia="zh-TW"/>
              </w:rPr>
              <w:t>自由填寫內容</w:t>
            </w:r>
          </w:p>
        </w:tc>
      </w:tr>
      <w:tr w:rsidR="003F73B0" w:rsidRPr="00CA7301" w14:paraId="706D1502" w14:textId="77777777" w:rsidTr="00877D8D">
        <w:tc>
          <w:tcPr>
            <w:tcW w:w="486" w:type="dxa"/>
          </w:tcPr>
          <w:p w14:paraId="17BC8AD6" w14:textId="77777777" w:rsidR="003F73B0" w:rsidRPr="00CA7301" w:rsidRDefault="003F73B0" w:rsidP="003F73B0">
            <w:pPr>
              <w:rPr>
                <w:rFonts w:cs="Segoe UI"/>
                <w:sz w:val="17"/>
                <w:szCs w:val="17"/>
              </w:rPr>
            </w:pPr>
            <w:r w:rsidRPr="00CA7301">
              <w:rPr>
                <w:rFonts w:cs="Segoe UI"/>
                <w:sz w:val="17"/>
                <w:szCs w:val="17"/>
              </w:rPr>
              <w:t>33</w:t>
            </w:r>
          </w:p>
        </w:tc>
        <w:tc>
          <w:tcPr>
            <w:tcW w:w="8728" w:type="dxa"/>
          </w:tcPr>
          <w:p w14:paraId="3726FC59"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就</w:t>
            </w:r>
            <w:proofErr w:type="gramStart"/>
            <w:r w:rsidRPr="00CA7301">
              <w:rPr>
                <w:rFonts w:eastAsia="細明體" w:cs="Segoe UI"/>
                <w:sz w:val="17"/>
                <w:szCs w:val="17"/>
                <w:lang w:eastAsia="zh-TW"/>
              </w:rPr>
              <w:t>票據減值而言</w:t>
            </w:r>
            <w:proofErr w:type="gramEnd"/>
            <w:r w:rsidRPr="00CA7301">
              <w:rPr>
                <w:rFonts w:eastAsia="細明體" w:cs="Segoe UI"/>
                <w:sz w:val="17"/>
                <w:szCs w:val="17"/>
                <w:lang w:eastAsia="zh-TW"/>
              </w:rPr>
              <w:t>，指明</w:t>
            </w:r>
            <w:proofErr w:type="gramStart"/>
            <w:r w:rsidRPr="00CA7301">
              <w:rPr>
                <w:rFonts w:eastAsia="細明體" w:cs="Segoe UI"/>
                <w:sz w:val="17"/>
                <w:szCs w:val="17"/>
                <w:lang w:eastAsia="zh-TW"/>
              </w:rPr>
              <w:t>減值屬</w:t>
            </w:r>
            <w:proofErr w:type="gramEnd"/>
            <w:r w:rsidRPr="00CA7301">
              <w:rPr>
                <w:rFonts w:eastAsia="細明體" w:cs="Segoe UI"/>
                <w:sz w:val="17"/>
                <w:szCs w:val="17"/>
                <w:lang w:eastAsia="zh-TW"/>
              </w:rPr>
              <w:t>永久或臨時性質。</w:t>
            </w:r>
          </w:p>
          <w:p w14:paraId="6DABBC8B"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輸入：</w:t>
            </w:r>
            <w:r w:rsidRPr="00CA7301">
              <w:rPr>
                <w:rFonts w:cs="Segoe UI"/>
                <w:i/>
                <w:sz w:val="17"/>
                <w:szCs w:val="17"/>
                <w:lang w:eastAsia="zh-TW"/>
              </w:rPr>
              <w:t>[</w:t>
            </w:r>
            <w:r w:rsidRPr="00CA7301">
              <w:rPr>
                <w:rFonts w:eastAsia="細明體" w:cs="Segoe UI"/>
                <w:i/>
                <w:sz w:val="17"/>
                <w:szCs w:val="17"/>
                <w:lang w:eastAsia="zh-TW"/>
              </w:rPr>
              <w:t>永久</w:t>
            </w:r>
            <w:r w:rsidRPr="00CA7301">
              <w:rPr>
                <w:rFonts w:cs="Segoe UI"/>
                <w:i/>
                <w:sz w:val="17"/>
                <w:szCs w:val="17"/>
                <w:lang w:eastAsia="zh-TW"/>
              </w:rPr>
              <w:t>] [</w:t>
            </w:r>
            <w:r w:rsidRPr="00CA7301">
              <w:rPr>
                <w:rFonts w:eastAsia="細明體" w:cs="Segoe UI"/>
                <w:i/>
                <w:sz w:val="17"/>
                <w:szCs w:val="17"/>
                <w:lang w:eastAsia="zh-TW"/>
              </w:rPr>
              <w:t>臨時</w:t>
            </w:r>
            <w:r w:rsidRPr="00CA7301">
              <w:rPr>
                <w:rFonts w:cs="Segoe UI"/>
                <w:i/>
                <w:sz w:val="17"/>
                <w:szCs w:val="17"/>
                <w:lang w:eastAsia="zh-TW"/>
              </w:rPr>
              <w:t>] [</w:t>
            </w:r>
            <w:r w:rsidRPr="00CA7301">
              <w:rPr>
                <w:rFonts w:eastAsia="細明體" w:cs="Segoe UI"/>
                <w:i/>
                <w:sz w:val="17"/>
                <w:szCs w:val="17"/>
                <w:lang w:eastAsia="zh-TW"/>
              </w:rPr>
              <w:t>不適用</w:t>
            </w:r>
            <w:r w:rsidRPr="00CA7301">
              <w:rPr>
                <w:rFonts w:cs="Segoe UI"/>
                <w:i/>
                <w:sz w:val="17"/>
                <w:szCs w:val="17"/>
                <w:lang w:eastAsia="zh-TW"/>
              </w:rPr>
              <w:t xml:space="preserve">] </w:t>
            </w:r>
          </w:p>
        </w:tc>
      </w:tr>
      <w:tr w:rsidR="003F73B0" w:rsidRPr="00CA7301" w14:paraId="7103825D" w14:textId="77777777" w:rsidTr="00877D8D">
        <w:tc>
          <w:tcPr>
            <w:tcW w:w="486" w:type="dxa"/>
          </w:tcPr>
          <w:p w14:paraId="23CBD8F3" w14:textId="77777777" w:rsidR="003F73B0" w:rsidRPr="00CA7301" w:rsidRDefault="003F73B0" w:rsidP="003F73B0">
            <w:pPr>
              <w:rPr>
                <w:rFonts w:cs="Segoe UI"/>
                <w:sz w:val="17"/>
                <w:szCs w:val="17"/>
              </w:rPr>
            </w:pPr>
            <w:r w:rsidRPr="00CA7301">
              <w:rPr>
                <w:rFonts w:cs="Segoe UI"/>
                <w:sz w:val="17"/>
                <w:szCs w:val="17"/>
              </w:rPr>
              <w:t>34</w:t>
            </w:r>
          </w:p>
        </w:tc>
        <w:tc>
          <w:tcPr>
            <w:tcW w:w="8728" w:type="dxa"/>
          </w:tcPr>
          <w:p w14:paraId="5E4EB96B" w14:textId="77777777" w:rsidR="003F73B0" w:rsidRPr="00CA7301" w:rsidRDefault="003F73B0" w:rsidP="003F73B0">
            <w:pPr>
              <w:jc w:val="both"/>
              <w:rPr>
                <w:rFonts w:cs="Segoe UI"/>
                <w:sz w:val="17"/>
                <w:szCs w:val="17"/>
                <w:lang w:eastAsia="zh-TW"/>
              </w:rPr>
            </w:pPr>
            <w:r w:rsidRPr="00CA7301">
              <w:rPr>
                <w:rFonts w:eastAsia="細明體" w:cs="Segoe UI"/>
                <w:sz w:val="17"/>
                <w:szCs w:val="17"/>
                <w:lang w:eastAsia="zh-TW"/>
              </w:rPr>
              <w:t>就</w:t>
            </w:r>
            <w:proofErr w:type="gramStart"/>
            <w:r w:rsidRPr="00CA7301">
              <w:rPr>
                <w:rFonts w:eastAsia="細明體" w:cs="Segoe UI"/>
                <w:sz w:val="17"/>
                <w:szCs w:val="17"/>
                <w:lang w:eastAsia="zh-TW"/>
              </w:rPr>
              <w:t>臨時減值的</w:t>
            </w:r>
            <w:proofErr w:type="gramEnd"/>
            <w:r w:rsidRPr="00CA7301">
              <w:rPr>
                <w:rFonts w:eastAsia="細明體" w:cs="Segoe UI"/>
                <w:sz w:val="17"/>
                <w:szCs w:val="17"/>
                <w:lang w:eastAsia="zh-TW"/>
              </w:rPr>
              <w:t>票據而言，說明債務回復機制。由於香港不容許債務回復，因此不適用。</w:t>
            </w:r>
          </w:p>
          <w:p w14:paraId="0D2C213B" w14:textId="77777777" w:rsidR="003F73B0" w:rsidRPr="00CA7301" w:rsidRDefault="003F73B0" w:rsidP="003F73B0">
            <w:pPr>
              <w:jc w:val="both"/>
              <w:rPr>
                <w:rFonts w:cs="Segoe UI"/>
                <w:i/>
                <w:sz w:val="17"/>
                <w:szCs w:val="17"/>
              </w:rPr>
            </w:pPr>
            <w:proofErr w:type="spellStart"/>
            <w:r w:rsidRPr="00CA7301">
              <w:rPr>
                <w:rFonts w:eastAsia="細明體" w:cs="Segoe UI"/>
                <w:i/>
                <w:sz w:val="17"/>
                <w:szCs w:val="17"/>
              </w:rPr>
              <w:t>輸入</w:t>
            </w:r>
            <w:proofErr w:type="spellEnd"/>
            <w:r w:rsidRPr="00CA7301">
              <w:rPr>
                <w:rFonts w:eastAsia="細明體" w:cs="Segoe UI"/>
                <w:i/>
                <w:sz w:val="17"/>
                <w:szCs w:val="17"/>
              </w:rPr>
              <w:t>：</w:t>
            </w:r>
            <w:r w:rsidRPr="00CA7301">
              <w:rPr>
                <w:rFonts w:cs="Segoe UI"/>
                <w:i/>
                <w:sz w:val="17"/>
                <w:szCs w:val="17"/>
              </w:rPr>
              <w:t>[</w:t>
            </w:r>
            <w:proofErr w:type="spellStart"/>
            <w:r w:rsidRPr="00CA7301">
              <w:rPr>
                <w:rFonts w:eastAsia="細明體" w:cs="Segoe UI"/>
                <w:i/>
                <w:sz w:val="17"/>
                <w:szCs w:val="17"/>
              </w:rPr>
              <w:t>不適用</w:t>
            </w:r>
            <w:proofErr w:type="spellEnd"/>
            <w:r w:rsidRPr="00CA7301">
              <w:rPr>
                <w:rFonts w:cs="Segoe UI"/>
                <w:i/>
                <w:sz w:val="17"/>
                <w:szCs w:val="17"/>
              </w:rPr>
              <w:t>]</w:t>
            </w:r>
          </w:p>
        </w:tc>
      </w:tr>
      <w:tr w:rsidR="003F73B0" w:rsidRPr="00CA7301" w14:paraId="2F06C19E" w14:textId="77777777" w:rsidTr="00877D8D">
        <w:tc>
          <w:tcPr>
            <w:tcW w:w="486" w:type="dxa"/>
          </w:tcPr>
          <w:p w14:paraId="2EAD10E3" w14:textId="77777777" w:rsidR="003F73B0" w:rsidRPr="00CA7301" w:rsidRDefault="003F73B0" w:rsidP="003F73B0">
            <w:pPr>
              <w:rPr>
                <w:rFonts w:cs="Segoe UI"/>
                <w:sz w:val="17"/>
                <w:szCs w:val="17"/>
              </w:rPr>
            </w:pPr>
            <w:r w:rsidRPr="00CA7301">
              <w:rPr>
                <w:rFonts w:cs="Segoe UI"/>
                <w:sz w:val="17"/>
                <w:szCs w:val="17"/>
              </w:rPr>
              <w:t>35</w:t>
            </w:r>
          </w:p>
        </w:tc>
        <w:tc>
          <w:tcPr>
            <w:tcW w:w="8728" w:type="dxa"/>
          </w:tcPr>
          <w:p w14:paraId="406DABE8" w14:textId="77777777" w:rsidR="003F73B0" w:rsidRPr="00CA7301" w:rsidRDefault="003F73B0" w:rsidP="003F73B0">
            <w:pPr>
              <w:jc w:val="both"/>
              <w:rPr>
                <w:rFonts w:eastAsia="細明體" w:cs="Segoe UI"/>
                <w:sz w:val="17"/>
                <w:szCs w:val="17"/>
                <w:lang w:eastAsia="zh-TW"/>
              </w:rPr>
            </w:pPr>
            <w:r w:rsidRPr="00CA7301">
              <w:rPr>
                <w:rFonts w:eastAsia="細明體" w:cs="Segoe UI"/>
                <w:sz w:val="17"/>
                <w:szCs w:val="17"/>
                <w:lang w:eastAsia="zh-TW"/>
              </w:rPr>
              <w:t>指明緊接較其優先的票據。如適用，認可機構應指明在已填妥主要特點模版中緊接較其優先的票據所屬欄號數。</w:t>
            </w:r>
          </w:p>
          <w:p w14:paraId="4A68BC25" w14:textId="77777777" w:rsidR="003F73B0" w:rsidRPr="00CA7301" w:rsidRDefault="003F73B0" w:rsidP="003F73B0">
            <w:pPr>
              <w:jc w:val="both"/>
              <w:rPr>
                <w:rFonts w:cs="Segoe UI"/>
                <w:i/>
                <w:sz w:val="17"/>
                <w:szCs w:val="17"/>
                <w:lang w:eastAsia="zh-TW"/>
              </w:rPr>
            </w:pPr>
            <w:r w:rsidRPr="00CA7301">
              <w:rPr>
                <w:rFonts w:eastAsia="細明體" w:cs="Segoe UI"/>
                <w:i/>
                <w:sz w:val="17"/>
                <w:szCs w:val="17"/>
                <w:lang w:eastAsia="zh-TW"/>
              </w:rPr>
              <w:t>自由填寫內容</w:t>
            </w:r>
          </w:p>
        </w:tc>
      </w:tr>
      <w:tr w:rsidR="00947AEC" w:rsidRPr="00CA7301" w14:paraId="6DCA8ED3" w14:textId="77777777" w:rsidTr="00B10B11">
        <w:tc>
          <w:tcPr>
            <w:tcW w:w="486" w:type="dxa"/>
          </w:tcPr>
          <w:p w14:paraId="6D3883BF" w14:textId="77777777" w:rsidR="00947AEC" w:rsidRPr="00CA7301" w:rsidRDefault="00947AEC" w:rsidP="00B10B11">
            <w:pPr>
              <w:rPr>
                <w:rFonts w:cs="Segoe UI"/>
                <w:sz w:val="17"/>
                <w:szCs w:val="17"/>
              </w:rPr>
            </w:pPr>
            <w:r w:rsidRPr="00CA7301">
              <w:rPr>
                <w:rFonts w:cs="Segoe UI"/>
                <w:sz w:val="17"/>
                <w:szCs w:val="17"/>
              </w:rPr>
              <w:t>36</w:t>
            </w:r>
          </w:p>
        </w:tc>
        <w:tc>
          <w:tcPr>
            <w:tcW w:w="8728" w:type="dxa"/>
          </w:tcPr>
          <w:p w14:paraId="5BA1EB3E" w14:textId="394D7148" w:rsidR="00947AEC" w:rsidRPr="00CA7301" w:rsidRDefault="009344D5" w:rsidP="00B10B11">
            <w:pPr>
              <w:jc w:val="both"/>
              <w:rPr>
                <w:rFonts w:cs="Segoe UI"/>
                <w:i/>
                <w:sz w:val="17"/>
                <w:szCs w:val="17"/>
                <w:lang w:eastAsia="zh-TW"/>
              </w:rPr>
            </w:pPr>
            <w:r w:rsidRPr="009C5A87">
              <w:rPr>
                <w:rFonts w:eastAsia="細明體" w:cs="Segoe UI" w:hint="eastAsia"/>
                <w:sz w:val="17"/>
                <w:szCs w:val="17"/>
                <w:lang w:eastAsia="zh-TW"/>
              </w:rPr>
              <w:t>這一行已過時，不再適用。</w:t>
            </w:r>
          </w:p>
        </w:tc>
      </w:tr>
      <w:tr w:rsidR="00947AEC" w:rsidRPr="00CA7301" w14:paraId="740B19F8" w14:textId="77777777" w:rsidTr="00B10B11">
        <w:tc>
          <w:tcPr>
            <w:tcW w:w="486" w:type="dxa"/>
          </w:tcPr>
          <w:p w14:paraId="0ED624AC" w14:textId="77777777" w:rsidR="00947AEC" w:rsidRPr="00CA7301" w:rsidRDefault="00947AEC" w:rsidP="00B10B11">
            <w:pPr>
              <w:rPr>
                <w:rFonts w:cs="Segoe UI"/>
                <w:sz w:val="17"/>
                <w:szCs w:val="17"/>
              </w:rPr>
            </w:pPr>
            <w:r w:rsidRPr="00CA7301">
              <w:rPr>
                <w:rFonts w:cs="Segoe UI"/>
                <w:sz w:val="17"/>
                <w:szCs w:val="17"/>
              </w:rPr>
              <w:t>37</w:t>
            </w:r>
          </w:p>
        </w:tc>
        <w:tc>
          <w:tcPr>
            <w:tcW w:w="8728" w:type="dxa"/>
          </w:tcPr>
          <w:p w14:paraId="4C08434F" w14:textId="084C00F4" w:rsidR="00947AEC" w:rsidRPr="00CA7301" w:rsidRDefault="009344D5" w:rsidP="00B10B11">
            <w:pPr>
              <w:jc w:val="both"/>
              <w:rPr>
                <w:rFonts w:cs="Segoe UI"/>
                <w:i/>
                <w:sz w:val="17"/>
                <w:szCs w:val="17"/>
                <w:lang w:eastAsia="zh-TW"/>
              </w:rPr>
            </w:pPr>
            <w:r w:rsidRPr="009C5A87">
              <w:rPr>
                <w:rFonts w:eastAsia="細明體" w:cs="Segoe UI" w:hint="eastAsia"/>
                <w:sz w:val="17"/>
                <w:szCs w:val="17"/>
                <w:lang w:eastAsia="zh-TW"/>
              </w:rPr>
              <w:t>這一行已過時，不再適用。</w:t>
            </w:r>
          </w:p>
        </w:tc>
      </w:tr>
    </w:tbl>
    <w:p w14:paraId="42EF8437" w14:textId="77777777" w:rsidR="003F73B0" w:rsidRPr="00CA7301" w:rsidRDefault="003F73B0" w:rsidP="003F73B0">
      <w:pPr>
        <w:ind w:leftChars="-283" w:left="-566"/>
        <w:rPr>
          <w:rFonts w:cs="Segoe UI"/>
          <w:lang w:eastAsia="zh-TW"/>
        </w:rPr>
      </w:pPr>
    </w:p>
    <w:p w14:paraId="79AFF87C" w14:textId="77777777" w:rsidR="00350754" w:rsidRPr="00CA7301" w:rsidRDefault="00350754">
      <w:pPr>
        <w:rPr>
          <w:rFonts w:eastAsiaTheme="minorEastAsia" w:cs="Segoe UI"/>
          <w:lang w:eastAsia="zh-TW"/>
        </w:rPr>
        <w:sectPr w:rsidR="00350754" w:rsidRPr="00CA7301">
          <w:footerReference w:type="default" r:id="rId35"/>
          <w:pgSz w:w="11906" w:h="16838"/>
          <w:pgMar w:top="1440" w:right="1800" w:bottom="1440" w:left="1800" w:header="851" w:footer="992" w:gutter="0"/>
          <w:cols w:space="425"/>
          <w:docGrid w:type="lines" w:linePitch="360"/>
        </w:sectPr>
      </w:pPr>
    </w:p>
    <w:p w14:paraId="6EDCAA53" w14:textId="77777777" w:rsidR="00350754" w:rsidRPr="00CA7301" w:rsidRDefault="00350754" w:rsidP="00350754">
      <w:pPr>
        <w:keepNext/>
        <w:keepLines/>
        <w:tabs>
          <w:tab w:val="left" w:pos="426"/>
        </w:tabs>
        <w:spacing w:after="360"/>
        <w:ind w:leftChars="-283" w:left="-566"/>
        <w:outlineLvl w:val="0"/>
        <w:rPr>
          <w:rFonts w:cs="Segoe UI"/>
          <w:color w:val="AA322F"/>
          <w:sz w:val="28"/>
          <w:lang w:eastAsia="zh-TW"/>
        </w:rPr>
      </w:pPr>
      <w:r w:rsidRPr="00CA7301">
        <w:rPr>
          <w:rFonts w:eastAsiaTheme="minorEastAsia" w:cs="Segoe UI"/>
          <w:color w:val="AA322F"/>
          <w:sz w:val="28"/>
          <w:lang w:eastAsia="zh-TW"/>
        </w:rPr>
        <w:t>第</w:t>
      </w:r>
      <w:r w:rsidRPr="00CA7301">
        <w:rPr>
          <w:rFonts w:cs="Segoe UI"/>
          <w:color w:val="AA322F"/>
          <w:sz w:val="28"/>
          <w:lang w:eastAsia="zh-TW"/>
        </w:rPr>
        <w:t>IIB</w:t>
      </w:r>
      <w:r w:rsidR="001E4BF5" w:rsidRPr="00CA7301">
        <w:rPr>
          <w:rFonts w:eastAsiaTheme="minorEastAsia" w:cs="Segoe UI"/>
          <w:color w:val="AA322F"/>
          <w:sz w:val="28"/>
          <w:lang w:eastAsia="zh-TW"/>
        </w:rPr>
        <w:t>部：宏觀審慎監管</w:t>
      </w:r>
      <w:r w:rsidR="001E4BF5" w:rsidRPr="00CA7301">
        <w:rPr>
          <w:rFonts w:eastAsiaTheme="minorEastAsia" w:cs="Segoe UI"/>
          <w:color w:val="AA322F"/>
          <w:sz w:val="28"/>
          <w:lang w:val="en-US" w:eastAsia="zh-TW"/>
        </w:rPr>
        <w:t>措施</w:t>
      </w:r>
    </w:p>
    <w:p w14:paraId="06DC8434" w14:textId="412D7AC4" w:rsidR="00C506A5" w:rsidRPr="00ED47B6" w:rsidRDefault="00C506A5" w:rsidP="00C506A5">
      <w:pPr>
        <w:pStyle w:val="Heading2"/>
        <w:keepNext w:val="0"/>
        <w:suppressAutoHyphens w:val="0"/>
        <w:spacing w:before="40" w:line="240" w:lineRule="auto"/>
        <w:ind w:left="-454"/>
        <w:rPr>
          <w:rFonts w:ascii="細明體" w:eastAsia="細明體" w:hAnsi="細明體" w:cs="微軟正黑體"/>
          <w:b w:val="0"/>
          <w:bCs w:val="0"/>
          <w:sz w:val="22"/>
          <w:szCs w:val="20"/>
          <w:lang w:eastAsia="en-US"/>
        </w:rPr>
      </w:pPr>
      <w:proofErr w:type="spellStart"/>
      <w:r w:rsidRPr="00ED47B6">
        <w:rPr>
          <w:rFonts w:ascii="細明體" w:eastAsia="細明體" w:hAnsi="細明體" w:cs="微軟正黑體"/>
          <w:b w:val="0"/>
          <w:bCs w:val="0"/>
          <w:sz w:val="22"/>
          <w:szCs w:val="20"/>
          <w:lang w:eastAsia="en-US"/>
        </w:rPr>
        <w:t>模版</w:t>
      </w:r>
      <w:proofErr w:type="spellEnd"/>
      <w:r w:rsidRPr="00ED47B6">
        <w:rPr>
          <w:rFonts w:ascii="Segoe UI" w:eastAsia="細明體" w:hAnsi="Segoe UI" w:cs="Segoe UI"/>
          <w:b w:val="0"/>
          <w:bCs w:val="0"/>
          <w:sz w:val="22"/>
          <w:szCs w:val="20"/>
          <w:lang w:eastAsia="en-US"/>
        </w:rPr>
        <w:t>GSIB1</w:t>
      </w:r>
      <w:r w:rsidRPr="00ED47B6">
        <w:rPr>
          <w:rFonts w:ascii="細明體" w:eastAsia="細明體" w:hAnsi="細明體" w:cs="微軟正黑體" w:hint="eastAsia"/>
          <w:b w:val="0"/>
          <w:bCs w:val="0"/>
          <w:sz w:val="22"/>
          <w:szCs w:val="20"/>
          <w:lang w:eastAsia="en-US"/>
        </w:rPr>
        <w:t>：</w:t>
      </w:r>
      <w:r w:rsidRPr="00ED47B6">
        <w:rPr>
          <w:rFonts w:ascii="Segoe UI" w:eastAsia="細明體" w:hAnsi="Segoe UI" w:cs="Segoe UI"/>
          <w:b w:val="0"/>
          <w:bCs w:val="0"/>
          <w:sz w:val="22"/>
          <w:szCs w:val="20"/>
          <w:lang w:eastAsia="en-US"/>
        </w:rPr>
        <w:t>G-SIB</w:t>
      </w:r>
      <w:proofErr w:type="spellStart"/>
      <w:r w:rsidRPr="00C506A5">
        <w:rPr>
          <w:rFonts w:ascii="細明體" w:eastAsia="細明體" w:hAnsi="細明體" w:cs="微軟正黑體" w:hint="eastAsia"/>
          <w:b w:val="0"/>
          <w:bCs w:val="0"/>
          <w:sz w:val="22"/>
          <w:szCs w:val="20"/>
          <w:lang w:eastAsia="en-US"/>
        </w:rPr>
        <w:t>指標</w:t>
      </w:r>
      <w:proofErr w:type="spellEnd"/>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645EA1" w14:paraId="0C1B8F1D" w14:textId="77777777" w:rsidTr="0029639E">
        <w:tc>
          <w:tcPr>
            <w:tcW w:w="2160" w:type="dxa"/>
            <w:tcBorders>
              <w:top w:val="single" w:sz="4" w:space="0" w:color="auto"/>
              <w:left w:val="nil"/>
              <w:bottom w:val="single" w:sz="4" w:space="0" w:color="auto"/>
              <w:right w:val="single" w:sz="4" w:space="0" w:color="auto"/>
            </w:tcBorders>
            <w:hideMark/>
          </w:tcPr>
          <w:p w14:paraId="32F945D0" w14:textId="77777777" w:rsidR="00645EA1" w:rsidRDefault="00645EA1">
            <w:pPr>
              <w:rPr>
                <w:rFonts w:cs="Segoe UI"/>
                <w:b/>
                <w:kern w:val="2"/>
                <w:sz w:val="17"/>
                <w:szCs w:val="17"/>
              </w:rPr>
            </w:pPr>
            <w:proofErr w:type="spellStart"/>
            <w:r>
              <w:rPr>
                <w:rFonts w:eastAsia="細明體" w:cs="Segoe UI" w:hint="eastAsia"/>
                <w:b/>
                <w:kern w:val="2"/>
                <w:sz w:val="17"/>
                <w:szCs w:val="17"/>
                <w:lang w:val="en-US"/>
              </w:rPr>
              <w:t>目的</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1FF81A74" w14:textId="77777777" w:rsidR="00645EA1" w:rsidRDefault="00645EA1">
            <w:pPr>
              <w:spacing w:before="40" w:after="40"/>
              <w:jc w:val="both"/>
              <w:rPr>
                <w:rFonts w:cs="Segoe UI"/>
                <w:kern w:val="2"/>
                <w:sz w:val="17"/>
                <w:szCs w:val="17"/>
                <w:lang w:eastAsia="zh-TW"/>
              </w:rPr>
            </w:pPr>
            <w:r>
              <w:rPr>
                <w:rFonts w:eastAsiaTheme="minorEastAsia" w:cs="Segoe UI" w:hint="eastAsia"/>
                <w:kern w:val="2"/>
                <w:sz w:val="17"/>
                <w:lang w:eastAsia="zh-TW"/>
              </w:rPr>
              <w:t>概</w:t>
            </w:r>
            <w:proofErr w:type="gramStart"/>
            <w:r>
              <w:rPr>
                <w:rFonts w:eastAsiaTheme="minorEastAsia" w:cs="Segoe UI" w:hint="eastAsia"/>
                <w:kern w:val="2"/>
                <w:sz w:val="17"/>
                <w:lang w:eastAsia="zh-TW"/>
              </w:rPr>
              <w:t>覽</w:t>
            </w:r>
            <w:proofErr w:type="gramEnd"/>
            <w:r>
              <w:rPr>
                <w:rFonts w:eastAsiaTheme="minorEastAsia" w:cs="Segoe UI" w:hint="eastAsia"/>
                <w:kern w:val="2"/>
                <w:sz w:val="17"/>
                <w:lang w:eastAsia="zh-TW"/>
              </w:rPr>
              <w:t>有關具全球系統重要性認可機構</w:t>
            </w:r>
            <w:r>
              <w:rPr>
                <w:rFonts w:eastAsiaTheme="minorEastAsia" w:cs="Segoe UI"/>
                <w:kern w:val="2"/>
                <w:sz w:val="17"/>
                <w:lang w:eastAsia="zh-TW"/>
              </w:rPr>
              <w:t>(G-SIB)</w:t>
            </w:r>
            <w:r>
              <w:rPr>
                <w:rFonts w:eastAsiaTheme="minorEastAsia" w:cs="Segoe UI" w:hint="eastAsia"/>
                <w:kern w:val="2"/>
                <w:sz w:val="17"/>
                <w:lang w:eastAsia="zh-TW"/>
              </w:rPr>
              <w:t>指標。</w:t>
            </w:r>
          </w:p>
        </w:tc>
      </w:tr>
      <w:tr w:rsidR="00645EA1" w14:paraId="0DB3A5F7" w14:textId="77777777" w:rsidTr="0029639E">
        <w:tc>
          <w:tcPr>
            <w:tcW w:w="2160" w:type="dxa"/>
            <w:tcBorders>
              <w:top w:val="single" w:sz="4" w:space="0" w:color="auto"/>
              <w:left w:val="nil"/>
              <w:bottom w:val="single" w:sz="4" w:space="0" w:color="auto"/>
              <w:right w:val="single" w:sz="4" w:space="0" w:color="auto"/>
            </w:tcBorders>
            <w:hideMark/>
          </w:tcPr>
          <w:p w14:paraId="184DFD24" w14:textId="77777777" w:rsidR="00645EA1" w:rsidRDefault="00645EA1">
            <w:pPr>
              <w:rPr>
                <w:rFonts w:cs="Segoe UI"/>
                <w:b/>
                <w:kern w:val="2"/>
                <w:sz w:val="17"/>
                <w:szCs w:val="17"/>
              </w:rPr>
            </w:pPr>
            <w:proofErr w:type="spellStart"/>
            <w:r>
              <w:rPr>
                <w:rFonts w:eastAsia="細明體" w:cs="Segoe UI" w:hint="eastAsia"/>
                <w:b/>
                <w:kern w:val="2"/>
                <w:sz w:val="17"/>
                <w:szCs w:val="17"/>
                <w:lang w:val="en-US"/>
              </w:rPr>
              <w:t>適用範圍</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02F50B00" w14:textId="41558F9D" w:rsidR="00645EA1" w:rsidRDefault="00645EA1" w:rsidP="00B5422B">
            <w:pPr>
              <w:spacing w:before="40" w:after="40"/>
              <w:jc w:val="both"/>
              <w:rPr>
                <w:rFonts w:cs="Segoe UI"/>
                <w:kern w:val="2"/>
                <w:sz w:val="17"/>
                <w:szCs w:val="17"/>
                <w:lang w:eastAsia="zh-TW"/>
              </w:rPr>
            </w:pPr>
            <w:r>
              <w:rPr>
                <w:rFonts w:eastAsiaTheme="minorEastAsia" w:cs="Segoe UI" w:hint="eastAsia"/>
                <w:kern w:val="2"/>
                <w:sz w:val="17"/>
                <w:lang w:eastAsia="zh-TW"/>
              </w:rPr>
              <w:t>在香港成立</w:t>
            </w:r>
            <w:proofErr w:type="gramStart"/>
            <w:r>
              <w:rPr>
                <w:rFonts w:eastAsiaTheme="minorEastAsia" w:cs="Segoe UI" w:hint="eastAsia"/>
                <w:kern w:val="2"/>
                <w:sz w:val="17"/>
                <w:lang w:eastAsia="zh-TW"/>
              </w:rPr>
              <w:t>為法團並</w:t>
            </w:r>
            <w:proofErr w:type="gramEnd"/>
            <w:r>
              <w:rPr>
                <w:rFonts w:eastAsiaTheme="minorEastAsia" w:cs="Segoe UI" w:hint="eastAsia"/>
                <w:kern w:val="2"/>
                <w:sz w:val="17"/>
                <w:lang w:eastAsia="zh-TW"/>
              </w:rPr>
              <w:t>在現行周年報告期或現行周年報告期的對上一個周年報告期被</w:t>
            </w:r>
            <w:r>
              <w:rPr>
                <w:rFonts w:asciiTheme="minorEastAsia" w:eastAsiaTheme="minorEastAsia" w:hAnsiTheme="minorEastAsia" w:cs="Segoe UI" w:hint="eastAsia"/>
                <w:kern w:val="2"/>
                <w:sz w:val="17"/>
                <w:szCs w:val="17"/>
                <w:lang w:eastAsia="zh-TW"/>
              </w:rPr>
              <w:t>定</w:t>
            </w:r>
            <w:r>
              <w:rPr>
                <w:rFonts w:eastAsiaTheme="minorEastAsia" w:cs="Segoe UI" w:hint="eastAsia"/>
                <w:kern w:val="2"/>
                <w:sz w:val="17"/>
                <w:lang w:eastAsia="zh-TW"/>
              </w:rPr>
              <w:t>為</w:t>
            </w:r>
            <w:r>
              <w:rPr>
                <w:rFonts w:eastAsiaTheme="minorEastAsia" w:cs="Segoe UI"/>
                <w:kern w:val="2"/>
                <w:sz w:val="17"/>
                <w:lang w:eastAsia="zh-TW"/>
              </w:rPr>
              <w:t>G-SIB</w:t>
            </w:r>
            <w:r>
              <w:rPr>
                <w:rStyle w:val="FootnoteReference"/>
                <w:rFonts w:eastAsiaTheme="minorEastAsia" w:cs="Segoe UI"/>
                <w:kern w:val="2"/>
                <w:sz w:val="17"/>
                <w:lang w:eastAsia="en-GB"/>
              </w:rPr>
              <w:footnoteReference w:id="4"/>
            </w:r>
            <w:r>
              <w:rPr>
                <w:rFonts w:eastAsiaTheme="minorEastAsia" w:cs="Segoe UI" w:hint="eastAsia"/>
                <w:kern w:val="2"/>
                <w:sz w:val="17"/>
                <w:lang w:eastAsia="zh-TW"/>
              </w:rPr>
              <w:t>的認可機構，或被金融管理專員指示須作出有關披露的認可機構，</w:t>
            </w:r>
            <w:proofErr w:type="gramStart"/>
            <w:r>
              <w:rPr>
                <w:rFonts w:eastAsiaTheme="minorEastAsia" w:cs="Segoe UI" w:hint="eastAsia"/>
                <w:kern w:val="2"/>
                <w:sz w:val="17"/>
                <w:lang w:eastAsia="zh-TW"/>
              </w:rPr>
              <w:t>均須填報本模</w:t>
            </w:r>
            <w:proofErr w:type="gramEnd"/>
            <w:r>
              <w:rPr>
                <w:rFonts w:eastAsiaTheme="minorEastAsia" w:cs="Segoe UI" w:hint="eastAsia"/>
                <w:kern w:val="2"/>
                <w:sz w:val="17"/>
                <w:lang w:eastAsia="zh-TW"/>
              </w:rPr>
              <w:t>版。如認可機構或（如適用）其綜合集團</w:t>
            </w:r>
            <w:r w:rsidR="00B5422B">
              <w:rPr>
                <w:rFonts w:eastAsiaTheme="minorEastAsia" w:cs="Segoe UI" w:hint="eastAsia"/>
                <w:kern w:val="2"/>
                <w:sz w:val="17"/>
                <w:lang w:eastAsia="zh-TW"/>
              </w:rPr>
              <w:t>及</w:t>
            </w:r>
            <w:r w:rsidR="00B5422B">
              <w:rPr>
                <w:rFonts w:eastAsiaTheme="minorEastAsia" w:cs="Segoe UI" w:hint="eastAsia"/>
                <w:kern w:val="2"/>
                <w:sz w:val="17"/>
                <w:lang w:eastAsia="zh-HK"/>
              </w:rPr>
              <w:t>該機</w:t>
            </w:r>
            <w:r w:rsidR="00B5422B">
              <w:rPr>
                <w:rFonts w:eastAsiaTheme="minorEastAsia" w:cs="Segoe UI" w:hint="eastAsia"/>
                <w:kern w:val="2"/>
                <w:sz w:val="17"/>
                <w:lang w:eastAsia="zh-TW"/>
              </w:rPr>
              <w:t>構</w:t>
            </w:r>
            <w:r w:rsidR="00B5422B">
              <w:rPr>
                <w:rFonts w:eastAsiaTheme="minorEastAsia" w:cs="Segoe UI" w:hint="eastAsia"/>
                <w:kern w:val="2"/>
                <w:sz w:val="17"/>
                <w:lang w:eastAsia="zh-HK"/>
              </w:rPr>
              <w:t>任何不包括在</w:t>
            </w:r>
            <w:r w:rsidR="00BA629D">
              <w:rPr>
                <w:rFonts w:eastAsiaTheme="minorEastAsia" w:cs="Segoe UI" w:hint="eastAsia"/>
                <w:kern w:val="2"/>
                <w:sz w:val="17"/>
                <w:lang w:eastAsia="zh-HK"/>
              </w:rPr>
              <w:t>綜合</w:t>
            </w:r>
            <w:r w:rsidR="00BA629D">
              <w:rPr>
                <w:rFonts w:eastAsiaTheme="minorEastAsia" w:cs="Segoe UI" w:hint="eastAsia"/>
                <w:kern w:val="2"/>
                <w:sz w:val="17"/>
                <w:lang w:eastAsia="zh-TW"/>
              </w:rPr>
              <w:t>集團但屬保險</w:t>
            </w:r>
            <w:r w:rsidR="00BA629D">
              <w:rPr>
                <w:rFonts w:eastAsiaTheme="minorEastAsia" w:cs="Segoe UI" w:hint="eastAsia"/>
                <w:kern w:val="2"/>
                <w:sz w:val="17"/>
                <w:lang w:eastAsia="zh-HK"/>
              </w:rPr>
              <w:t>商號</w:t>
            </w:r>
            <w:r w:rsidR="00B5422B">
              <w:rPr>
                <w:rFonts w:eastAsiaTheme="minorEastAsia" w:cs="Segoe UI" w:hint="eastAsia"/>
                <w:kern w:val="2"/>
                <w:sz w:val="17"/>
                <w:lang w:eastAsia="zh-TW"/>
              </w:rPr>
              <w:t>的</w:t>
            </w:r>
            <w:r w:rsidR="00BA629D" w:rsidRPr="00BA629D">
              <w:rPr>
                <w:rFonts w:eastAsiaTheme="minorEastAsia" w:cs="Segoe UI" w:hint="eastAsia"/>
                <w:kern w:val="2"/>
                <w:sz w:val="17"/>
                <w:lang w:eastAsia="zh-TW"/>
              </w:rPr>
              <w:t>附屬公司</w:t>
            </w:r>
            <w:r>
              <w:rPr>
                <w:rFonts w:eastAsiaTheme="minorEastAsia" w:cs="Segoe UI" w:hint="eastAsia"/>
                <w:kern w:val="2"/>
                <w:sz w:val="17"/>
                <w:lang w:eastAsia="zh-TW"/>
              </w:rPr>
              <w:t>在現行周年報告期</w:t>
            </w:r>
            <w:r w:rsidR="0034540E">
              <w:rPr>
                <w:rFonts w:eastAsiaTheme="minorEastAsia" w:cs="Segoe UI" w:hint="eastAsia"/>
                <w:kern w:val="2"/>
                <w:sz w:val="17"/>
                <w:lang w:eastAsia="zh-HK"/>
              </w:rPr>
              <w:t>對上</w:t>
            </w:r>
            <w:r>
              <w:rPr>
                <w:rFonts w:eastAsiaTheme="minorEastAsia" w:cs="Segoe UI" w:hint="eastAsia"/>
                <w:kern w:val="2"/>
                <w:sz w:val="17"/>
                <w:lang w:eastAsia="zh-TW"/>
              </w:rPr>
              <w:t>的</w:t>
            </w:r>
            <w:r>
              <w:rPr>
                <w:rFonts w:eastAsiaTheme="minorEastAsia" w:cs="Segoe UI"/>
                <w:kern w:val="2"/>
                <w:sz w:val="17"/>
                <w:lang w:eastAsia="zh-TW"/>
              </w:rPr>
              <w:t>12</w:t>
            </w:r>
            <w:r>
              <w:rPr>
                <w:rFonts w:eastAsiaTheme="minorEastAsia" w:cs="Segoe UI" w:hint="eastAsia"/>
                <w:kern w:val="2"/>
                <w:sz w:val="17"/>
                <w:lang w:eastAsia="zh-TW"/>
              </w:rPr>
              <w:t>月</w:t>
            </w:r>
            <w:r>
              <w:rPr>
                <w:rFonts w:eastAsiaTheme="minorEastAsia" w:cs="Segoe UI"/>
                <w:kern w:val="2"/>
                <w:sz w:val="17"/>
                <w:lang w:eastAsia="zh-TW"/>
              </w:rPr>
              <w:t>31</w:t>
            </w:r>
            <w:r>
              <w:rPr>
                <w:rFonts w:eastAsiaTheme="minorEastAsia" w:cs="Segoe UI" w:hint="eastAsia"/>
                <w:kern w:val="2"/>
                <w:sz w:val="17"/>
                <w:lang w:eastAsia="zh-TW"/>
              </w:rPr>
              <w:t>日有超逾</w:t>
            </w:r>
            <w:r>
              <w:rPr>
                <w:rFonts w:eastAsiaTheme="minorEastAsia" w:cs="Segoe UI"/>
                <w:kern w:val="2"/>
                <w:sz w:val="17"/>
                <w:lang w:eastAsia="zh-TW"/>
              </w:rPr>
              <w:t>2,000</w:t>
            </w:r>
            <w:r>
              <w:rPr>
                <w:rFonts w:eastAsiaTheme="minorEastAsia" w:cs="Segoe UI" w:hint="eastAsia"/>
                <w:kern w:val="2"/>
                <w:sz w:val="17"/>
                <w:lang w:eastAsia="zh-TW"/>
              </w:rPr>
              <w:t>億</w:t>
            </w:r>
            <w:proofErr w:type="gramStart"/>
            <w:r>
              <w:rPr>
                <w:rFonts w:eastAsiaTheme="minorEastAsia" w:cs="Segoe UI" w:hint="eastAsia"/>
                <w:kern w:val="2"/>
                <w:sz w:val="17"/>
                <w:lang w:eastAsia="zh-TW"/>
              </w:rPr>
              <w:t>歐羅或等值</w:t>
            </w:r>
            <w:proofErr w:type="gramEnd"/>
            <w:r>
              <w:rPr>
                <w:rFonts w:eastAsiaTheme="minorEastAsia" w:cs="Segoe UI" w:hint="eastAsia"/>
                <w:kern w:val="2"/>
                <w:sz w:val="17"/>
                <w:lang w:eastAsia="zh-TW"/>
              </w:rPr>
              <w:t>款額</w:t>
            </w:r>
            <w:r>
              <w:rPr>
                <w:rStyle w:val="FootnoteReference"/>
                <w:rFonts w:eastAsiaTheme="minorEastAsia" w:cs="Segoe UI"/>
                <w:kern w:val="2"/>
                <w:sz w:val="17"/>
                <w:lang w:eastAsia="en-GB"/>
              </w:rPr>
              <w:footnoteReference w:id="5"/>
            </w:r>
            <w:r w:rsidR="00B5422B">
              <w:rPr>
                <w:rFonts w:eastAsiaTheme="minorEastAsia" w:cs="Segoe UI" w:hint="eastAsia"/>
                <w:kern w:val="2"/>
                <w:sz w:val="17"/>
                <w:lang w:eastAsia="zh-TW"/>
              </w:rPr>
              <w:t>的槓桿比率風險承擔計量</w:t>
            </w:r>
            <w:r>
              <w:rPr>
                <w:rFonts w:eastAsiaTheme="minorEastAsia" w:cs="Segoe UI" w:hint="eastAsia"/>
                <w:kern w:val="2"/>
                <w:sz w:val="17"/>
                <w:lang w:eastAsia="zh-TW"/>
              </w:rPr>
              <w:t>，或認可機構被視為一旦不可持續營運，會對全球金融體系的有效運作及穩定造成重大</w:t>
            </w:r>
            <w:r w:rsidR="00B5422B">
              <w:rPr>
                <w:rFonts w:eastAsiaTheme="minorEastAsia" w:cs="Segoe UI" w:hint="eastAsia"/>
                <w:kern w:val="2"/>
                <w:sz w:val="17"/>
                <w:lang w:eastAsia="zh-HK"/>
              </w:rPr>
              <w:t>衝</w:t>
            </w:r>
            <w:r w:rsidR="00B5422B">
              <w:rPr>
                <w:rFonts w:eastAsiaTheme="minorEastAsia" w:cs="Segoe UI" w:hint="eastAsia"/>
                <w:kern w:val="2"/>
                <w:sz w:val="17"/>
                <w:lang w:eastAsia="zh-TW"/>
              </w:rPr>
              <w:t>擊</w:t>
            </w:r>
            <w:r>
              <w:rPr>
                <w:rFonts w:eastAsiaTheme="minorEastAsia" w:cs="Segoe UI" w:hint="eastAsia"/>
                <w:kern w:val="2"/>
                <w:sz w:val="17"/>
                <w:lang w:eastAsia="zh-TW"/>
              </w:rPr>
              <w:t>，則金融管理專員可對有關認可機構作出</w:t>
            </w:r>
            <w:r w:rsidR="00B5422B">
              <w:rPr>
                <w:rFonts w:eastAsiaTheme="minorEastAsia" w:cs="Segoe UI" w:hint="eastAsia"/>
                <w:kern w:val="2"/>
                <w:sz w:val="17"/>
                <w:lang w:eastAsia="zh-HK"/>
              </w:rPr>
              <w:t>該</w:t>
            </w:r>
            <w:r>
              <w:rPr>
                <w:rFonts w:eastAsiaTheme="minorEastAsia" w:cs="Segoe UI" w:hint="eastAsia"/>
                <w:kern w:val="2"/>
                <w:sz w:val="17"/>
                <w:lang w:eastAsia="zh-TW"/>
              </w:rPr>
              <w:t>指示。</w:t>
            </w:r>
          </w:p>
        </w:tc>
      </w:tr>
      <w:tr w:rsidR="00645EA1" w14:paraId="2D572E6B" w14:textId="77777777" w:rsidTr="0029639E">
        <w:tc>
          <w:tcPr>
            <w:tcW w:w="2160" w:type="dxa"/>
            <w:tcBorders>
              <w:top w:val="single" w:sz="4" w:space="0" w:color="auto"/>
              <w:left w:val="nil"/>
              <w:bottom w:val="single" w:sz="4" w:space="0" w:color="auto"/>
              <w:right w:val="single" w:sz="4" w:space="0" w:color="auto"/>
            </w:tcBorders>
            <w:hideMark/>
          </w:tcPr>
          <w:p w14:paraId="3FF2B998" w14:textId="77777777" w:rsidR="00645EA1" w:rsidRDefault="00645EA1">
            <w:pPr>
              <w:rPr>
                <w:rFonts w:cs="Segoe UI"/>
                <w:b/>
                <w:kern w:val="2"/>
                <w:sz w:val="17"/>
                <w:szCs w:val="17"/>
              </w:rPr>
            </w:pPr>
            <w:proofErr w:type="spellStart"/>
            <w:r>
              <w:rPr>
                <w:rFonts w:eastAsia="細明體" w:cs="Segoe UI" w:hint="eastAsia"/>
                <w:b/>
                <w:kern w:val="2"/>
                <w:sz w:val="17"/>
                <w:szCs w:val="17"/>
                <w:lang w:val="en-US"/>
              </w:rPr>
              <w:t>內容</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5DC6C3EC" w14:textId="0A736363" w:rsidR="00645EA1" w:rsidRDefault="00645EA1" w:rsidP="009344D5">
            <w:pPr>
              <w:spacing w:before="40" w:after="40"/>
              <w:jc w:val="both"/>
              <w:rPr>
                <w:rFonts w:cs="Segoe UI"/>
                <w:kern w:val="2"/>
                <w:sz w:val="17"/>
                <w:szCs w:val="17"/>
                <w:lang w:eastAsia="zh-TW"/>
              </w:rPr>
            </w:pPr>
            <w:r>
              <w:rPr>
                <w:rFonts w:asciiTheme="minorEastAsia" w:eastAsiaTheme="minorEastAsia" w:hAnsiTheme="minorEastAsia" w:cs="Courier" w:hint="eastAsia"/>
                <w:color w:val="000000"/>
                <w:kern w:val="2"/>
                <w:sz w:val="17"/>
                <w:szCs w:val="17"/>
                <w:lang w:eastAsia="zh-TW"/>
              </w:rPr>
              <w:t>最少</w:t>
            </w:r>
            <w:r>
              <w:rPr>
                <w:rFonts w:asciiTheme="minorEastAsia" w:eastAsiaTheme="minorEastAsia" w:hAnsiTheme="minorEastAsia" w:cs="Segoe UI" w:hint="eastAsia"/>
                <w:kern w:val="2"/>
                <w:sz w:val="17"/>
                <w:szCs w:val="17"/>
                <w:lang w:eastAsia="zh-TW"/>
              </w:rPr>
              <w:t>包括在</w:t>
            </w:r>
            <w:r>
              <w:rPr>
                <w:rFonts w:cs="Segoe UI"/>
                <w:kern w:val="2"/>
                <w:sz w:val="17"/>
                <w:szCs w:val="17"/>
                <w:lang w:eastAsia="zh-TW"/>
              </w:rPr>
              <w:t>G-SIB</w:t>
            </w:r>
            <w:r>
              <w:rPr>
                <w:rFonts w:eastAsiaTheme="minorEastAsia" w:cs="Segoe UI" w:hint="eastAsia"/>
                <w:kern w:val="2"/>
                <w:sz w:val="17"/>
                <w:szCs w:val="17"/>
                <w:lang w:eastAsia="zh-TW"/>
              </w:rPr>
              <w:t>框架的評估方法中所使用的</w:t>
            </w:r>
            <w:r w:rsidR="009344D5">
              <w:rPr>
                <w:rFonts w:eastAsiaTheme="minorEastAsia" w:cs="Segoe UI"/>
                <w:kern w:val="2"/>
                <w:sz w:val="17"/>
                <w:szCs w:val="17"/>
                <w:lang w:eastAsia="zh-TW"/>
              </w:rPr>
              <w:t>13</w:t>
            </w:r>
            <w:r>
              <w:rPr>
                <w:rFonts w:eastAsiaTheme="minorEastAsia" w:cs="Segoe UI" w:hint="eastAsia"/>
                <w:kern w:val="2"/>
                <w:sz w:val="17"/>
                <w:szCs w:val="17"/>
                <w:lang w:eastAsia="zh-TW"/>
              </w:rPr>
              <w:t>項指標</w:t>
            </w:r>
            <w:r w:rsidR="009344D5">
              <w:rPr>
                <w:rFonts w:eastAsiaTheme="minorEastAsia" w:cs="Segoe UI" w:hint="eastAsia"/>
                <w:kern w:val="2"/>
                <w:sz w:val="17"/>
                <w:lang w:eastAsia="zh-TW"/>
              </w:rPr>
              <w:t>（</w:t>
            </w:r>
            <w:r w:rsidR="009344D5" w:rsidRPr="009344D5">
              <w:rPr>
                <w:rFonts w:eastAsiaTheme="minorEastAsia" w:cs="Segoe UI" w:hint="eastAsia"/>
                <w:kern w:val="2"/>
                <w:sz w:val="17"/>
                <w:szCs w:val="17"/>
                <w:lang w:eastAsia="zh-TW"/>
              </w:rPr>
              <w:t>包括交易量指標下的兩個子指標，即</w:t>
            </w:r>
            <w:r w:rsidR="002F2348">
              <w:rPr>
                <w:rFonts w:eastAsiaTheme="minorEastAsia" w:cs="Segoe UI" w:hint="eastAsia"/>
                <w:kern w:val="2"/>
                <w:sz w:val="17"/>
                <w:szCs w:val="17"/>
                <w:lang w:eastAsia="zh-TW"/>
              </w:rPr>
              <w:t xml:space="preserve"> </w:t>
            </w:r>
            <w:r w:rsidR="009344D5" w:rsidRPr="009344D5">
              <w:rPr>
                <w:rFonts w:eastAsiaTheme="minorEastAsia" w:cs="Segoe UI"/>
                <w:kern w:val="2"/>
                <w:sz w:val="17"/>
                <w:szCs w:val="17"/>
                <w:lang w:eastAsia="zh-TW"/>
              </w:rPr>
              <w:t>(</w:t>
            </w:r>
            <w:proofErr w:type="spellStart"/>
            <w:r w:rsidR="009344D5" w:rsidRPr="009344D5">
              <w:rPr>
                <w:rFonts w:eastAsiaTheme="minorEastAsia" w:cs="Segoe UI"/>
                <w:kern w:val="2"/>
                <w:sz w:val="17"/>
                <w:szCs w:val="17"/>
                <w:lang w:eastAsia="zh-TW"/>
              </w:rPr>
              <w:t>i</w:t>
            </w:r>
            <w:proofErr w:type="spellEnd"/>
            <w:r w:rsidR="009344D5" w:rsidRPr="009344D5">
              <w:rPr>
                <w:rFonts w:eastAsiaTheme="minorEastAsia" w:cs="Segoe UI"/>
                <w:kern w:val="2"/>
                <w:sz w:val="17"/>
                <w:szCs w:val="17"/>
                <w:lang w:eastAsia="zh-TW"/>
              </w:rPr>
              <w:t>)</w:t>
            </w:r>
            <w:r w:rsidR="002F2348">
              <w:rPr>
                <w:rFonts w:eastAsiaTheme="minorEastAsia" w:cs="Segoe UI"/>
                <w:kern w:val="2"/>
                <w:sz w:val="17"/>
                <w:szCs w:val="17"/>
                <w:lang w:eastAsia="zh-TW"/>
              </w:rPr>
              <w:t xml:space="preserve"> </w:t>
            </w:r>
            <w:r w:rsidR="00BA629D">
              <w:rPr>
                <w:rFonts w:eastAsiaTheme="minorEastAsia" w:cs="Segoe UI" w:hint="eastAsia"/>
                <w:kern w:val="2"/>
                <w:sz w:val="17"/>
                <w:szCs w:val="17"/>
                <w:lang w:eastAsia="zh-HK"/>
              </w:rPr>
              <w:t>定息工具</w:t>
            </w:r>
            <w:r w:rsidR="00BA629D">
              <w:rPr>
                <w:rFonts w:eastAsiaTheme="minorEastAsia" w:cs="Segoe UI" w:hint="eastAsia"/>
                <w:kern w:val="2"/>
                <w:sz w:val="17"/>
                <w:szCs w:val="17"/>
                <w:lang w:eastAsia="zh-TW"/>
              </w:rPr>
              <w:t>的交易量</w:t>
            </w:r>
            <w:r w:rsidR="009344D5" w:rsidRPr="009344D5">
              <w:rPr>
                <w:rFonts w:eastAsiaTheme="minorEastAsia" w:cs="Segoe UI" w:hint="eastAsia"/>
                <w:kern w:val="2"/>
                <w:sz w:val="17"/>
                <w:szCs w:val="17"/>
                <w:lang w:eastAsia="zh-TW"/>
              </w:rPr>
              <w:t>和</w:t>
            </w:r>
            <w:r w:rsidR="002F2348">
              <w:rPr>
                <w:rFonts w:eastAsiaTheme="minorEastAsia" w:cs="Segoe UI" w:hint="eastAsia"/>
                <w:kern w:val="2"/>
                <w:sz w:val="17"/>
                <w:szCs w:val="17"/>
                <w:lang w:eastAsia="zh-TW"/>
              </w:rPr>
              <w:t xml:space="preserve"> </w:t>
            </w:r>
            <w:r w:rsidR="009344D5" w:rsidRPr="009344D5">
              <w:rPr>
                <w:rFonts w:eastAsiaTheme="minorEastAsia" w:cs="Segoe UI"/>
                <w:kern w:val="2"/>
                <w:sz w:val="17"/>
                <w:szCs w:val="17"/>
                <w:lang w:eastAsia="zh-TW"/>
              </w:rPr>
              <w:t>(ii)</w:t>
            </w:r>
            <w:r w:rsidR="002F2348">
              <w:rPr>
                <w:rFonts w:eastAsiaTheme="minorEastAsia" w:cs="Segoe UI"/>
                <w:kern w:val="2"/>
                <w:sz w:val="17"/>
                <w:szCs w:val="17"/>
                <w:lang w:eastAsia="zh-TW"/>
              </w:rPr>
              <w:t xml:space="preserve"> </w:t>
            </w:r>
            <w:r w:rsidR="00BD2BA4">
              <w:rPr>
                <w:rFonts w:eastAsiaTheme="minorEastAsia" w:cs="Segoe UI" w:hint="eastAsia"/>
                <w:kern w:val="2"/>
                <w:sz w:val="17"/>
                <w:szCs w:val="17"/>
                <w:lang w:eastAsia="zh-TW"/>
              </w:rPr>
              <w:t>股</w:t>
            </w:r>
            <w:r w:rsidR="00B5422B">
              <w:rPr>
                <w:rFonts w:eastAsiaTheme="minorEastAsia" w:cs="Segoe UI" w:hint="eastAsia"/>
                <w:kern w:val="2"/>
                <w:sz w:val="17"/>
                <w:szCs w:val="17"/>
                <w:lang w:eastAsia="zh-HK"/>
              </w:rPr>
              <w:t>票</w:t>
            </w:r>
            <w:r w:rsidR="009344D5" w:rsidRPr="009344D5">
              <w:rPr>
                <w:rFonts w:eastAsiaTheme="minorEastAsia" w:cs="Segoe UI" w:hint="eastAsia"/>
                <w:kern w:val="2"/>
                <w:sz w:val="17"/>
                <w:szCs w:val="17"/>
                <w:lang w:eastAsia="zh-TW"/>
              </w:rPr>
              <w:t>和其他證券的交易量</w:t>
            </w:r>
            <w:r w:rsidR="009344D5">
              <w:rPr>
                <w:rFonts w:eastAsiaTheme="minorEastAsia" w:cs="Segoe UI" w:hint="eastAsia"/>
                <w:kern w:val="2"/>
                <w:sz w:val="17"/>
                <w:lang w:eastAsia="zh-TW"/>
              </w:rPr>
              <w:t>）</w:t>
            </w:r>
            <w:r>
              <w:rPr>
                <w:rFonts w:eastAsiaTheme="minorEastAsia" w:cs="Segoe UI" w:hint="eastAsia"/>
                <w:kern w:val="2"/>
                <w:sz w:val="17"/>
                <w:szCs w:val="17"/>
                <w:lang w:eastAsia="zh-TW"/>
              </w:rPr>
              <w:t>。</w:t>
            </w:r>
          </w:p>
        </w:tc>
      </w:tr>
      <w:tr w:rsidR="00645EA1" w14:paraId="1D1D82A6" w14:textId="77777777" w:rsidTr="0029639E">
        <w:tc>
          <w:tcPr>
            <w:tcW w:w="2160" w:type="dxa"/>
            <w:tcBorders>
              <w:top w:val="single" w:sz="4" w:space="0" w:color="auto"/>
              <w:left w:val="nil"/>
              <w:bottom w:val="single" w:sz="4" w:space="0" w:color="auto"/>
              <w:right w:val="single" w:sz="4" w:space="0" w:color="auto"/>
            </w:tcBorders>
            <w:hideMark/>
          </w:tcPr>
          <w:p w14:paraId="049C981D" w14:textId="77777777" w:rsidR="00645EA1" w:rsidRDefault="00645EA1">
            <w:pPr>
              <w:rPr>
                <w:rFonts w:cs="Segoe UI"/>
                <w:b/>
                <w:kern w:val="2"/>
                <w:sz w:val="17"/>
                <w:szCs w:val="17"/>
              </w:rPr>
            </w:pPr>
            <w:proofErr w:type="spellStart"/>
            <w:r>
              <w:rPr>
                <w:rFonts w:eastAsia="細明體" w:cs="Segoe UI" w:hint="eastAsia"/>
                <w:b/>
                <w:kern w:val="2"/>
                <w:sz w:val="17"/>
                <w:szCs w:val="17"/>
                <w:lang w:val="en-US"/>
              </w:rPr>
              <w:t>頻密程度</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068450D4" w14:textId="77777777" w:rsidR="00645EA1" w:rsidRDefault="00645EA1">
            <w:pPr>
              <w:pStyle w:val="TableText"/>
              <w:jc w:val="both"/>
              <w:rPr>
                <w:rFonts w:eastAsiaTheme="minorEastAsia" w:cs="Segoe UI"/>
                <w:kern w:val="2"/>
                <w:szCs w:val="17"/>
                <w:lang w:eastAsia="zh-TW"/>
              </w:rPr>
            </w:pPr>
            <w:r>
              <w:rPr>
                <w:rFonts w:eastAsiaTheme="minorEastAsia" w:cs="Segoe UI" w:hint="eastAsia"/>
                <w:kern w:val="2"/>
                <w:szCs w:val="17"/>
                <w:lang w:eastAsia="zh-TW"/>
              </w:rPr>
              <w:t>每年一次，或當</w:t>
            </w:r>
            <w:r>
              <w:rPr>
                <w:rFonts w:cs="Segoe UI"/>
                <w:kern w:val="2"/>
                <w:szCs w:val="17"/>
                <w:lang w:eastAsia="zh-TW"/>
              </w:rPr>
              <w:t>G-SIB</w:t>
            </w:r>
            <w:r>
              <w:rPr>
                <w:rFonts w:eastAsiaTheme="minorEastAsia" w:cs="Segoe UI" w:hint="eastAsia"/>
                <w:kern w:val="2"/>
                <w:szCs w:val="17"/>
                <w:lang w:eastAsia="zh-TW"/>
              </w:rPr>
              <w:t>在金融管理專員認為有須要時或在自願情況下重申數據，以反映提交予巴塞爾委員會的最終數據。當</w:t>
            </w:r>
            <w:r>
              <w:rPr>
                <w:rFonts w:cs="Segoe UI"/>
                <w:kern w:val="2"/>
                <w:szCs w:val="17"/>
                <w:lang w:eastAsia="zh-TW"/>
              </w:rPr>
              <w:t>G-SIB</w:t>
            </w:r>
            <w:r>
              <w:rPr>
                <w:rFonts w:eastAsiaTheme="minorEastAsia" w:cs="Segoe UI" w:hint="eastAsia"/>
                <w:kern w:val="2"/>
                <w:szCs w:val="17"/>
                <w:lang w:eastAsia="zh-TW"/>
              </w:rPr>
              <w:t>財政年度並非於</w:t>
            </w:r>
            <w:r>
              <w:rPr>
                <w:rFonts w:eastAsiaTheme="minorEastAsia" w:cs="Segoe UI"/>
                <w:kern w:val="2"/>
                <w:szCs w:val="17"/>
                <w:lang w:eastAsia="zh-TW"/>
              </w:rPr>
              <w:t>12</w:t>
            </w:r>
            <w:r>
              <w:rPr>
                <w:rFonts w:eastAsiaTheme="minorEastAsia" w:cs="Segoe UI" w:hint="eastAsia"/>
                <w:kern w:val="2"/>
                <w:szCs w:val="17"/>
                <w:lang w:eastAsia="zh-TW"/>
              </w:rPr>
              <w:t>月</w:t>
            </w:r>
            <w:r>
              <w:rPr>
                <w:rFonts w:eastAsiaTheme="minorEastAsia" w:cs="Segoe UI"/>
                <w:kern w:val="2"/>
                <w:szCs w:val="17"/>
                <w:lang w:eastAsia="zh-TW"/>
              </w:rPr>
              <w:t>31</w:t>
            </w:r>
            <w:r>
              <w:rPr>
                <w:rFonts w:eastAsiaTheme="minorEastAsia" w:cs="Segoe UI" w:hint="eastAsia"/>
                <w:kern w:val="2"/>
                <w:szCs w:val="17"/>
                <w:lang w:eastAsia="zh-TW"/>
              </w:rPr>
              <w:t>日結束，金融管理專員或容許有關</w:t>
            </w:r>
            <w:r>
              <w:rPr>
                <w:rFonts w:cs="Segoe UI"/>
                <w:kern w:val="2"/>
                <w:szCs w:val="17"/>
                <w:lang w:eastAsia="zh-TW"/>
              </w:rPr>
              <w:t>G-SIB</w:t>
            </w:r>
            <w:r>
              <w:rPr>
                <w:rFonts w:eastAsiaTheme="minorEastAsia" w:cs="Segoe UI" w:hint="eastAsia"/>
                <w:kern w:val="2"/>
                <w:szCs w:val="17"/>
                <w:lang w:eastAsia="zh-TW"/>
              </w:rPr>
              <w:t>根據其於</w:t>
            </w:r>
            <w:r>
              <w:rPr>
                <w:rFonts w:eastAsiaTheme="minorEastAsia" w:cs="Segoe UI"/>
                <w:kern w:val="2"/>
                <w:szCs w:val="17"/>
                <w:lang w:eastAsia="zh-TW"/>
              </w:rPr>
              <w:t>12</w:t>
            </w:r>
            <w:r>
              <w:rPr>
                <w:rFonts w:eastAsiaTheme="minorEastAsia" w:cs="Segoe UI" w:hint="eastAsia"/>
                <w:kern w:val="2"/>
                <w:szCs w:val="17"/>
                <w:lang w:eastAsia="zh-TW"/>
              </w:rPr>
              <w:t>月</w:t>
            </w:r>
            <w:r>
              <w:rPr>
                <w:rFonts w:eastAsiaTheme="minorEastAsia" w:cs="Segoe UI"/>
                <w:kern w:val="2"/>
                <w:szCs w:val="17"/>
                <w:lang w:eastAsia="zh-TW"/>
              </w:rPr>
              <w:t>31</w:t>
            </w:r>
            <w:r>
              <w:rPr>
                <w:rFonts w:eastAsiaTheme="minorEastAsia" w:cs="Segoe UI" w:hint="eastAsia"/>
                <w:kern w:val="2"/>
                <w:szCs w:val="17"/>
                <w:lang w:eastAsia="zh-TW"/>
              </w:rPr>
              <w:t>日的狀況填報指標值，惟有關</w:t>
            </w:r>
            <w:r>
              <w:rPr>
                <w:rFonts w:eastAsiaTheme="minorEastAsia" w:cs="Segoe UI"/>
                <w:kern w:val="2"/>
                <w:szCs w:val="17"/>
                <w:lang w:eastAsia="zh-TW"/>
              </w:rPr>
              <w:t>G-SIB</w:t>
            </w:r>
            <w:r>
              <w:rPr>
                <w:rFonts w:eastAsiaTheme="minorEastAsia" w:cs="Segoe UI" w:hint="eastAsia"/>
                <w:kern w:val="2"/>
                <w:szCs w:val="17"/>
                <w:lang w:eastAsia="zh-TW"/>
              </w:rPr>
              <w:t>的周年披露報表內須</w:t>
            </w:r>
            <w:proofErr w:type="gramStart"/>
            <w:r>
              <w:rPr>
                <w:rFonts w:eastAsiaTheme="minorEastAsia" w:cs="Segoe UI" w:hint="eastAsia"/>
                <w:kern w:val="2"/>
                <w:szCs w:val="17"/>
                <w:lang w:eastAsia="zh-TW"/>
              </w:rPr>
              <w:t>包含本模版</w:t>
            </w:r>
            <w:proofErr w:type="gramEnd"/>
            <w:r>
              <w:rPr>
                <w:rFonts w:eastAsiaTheme="minorEastAsia" w:cs="Segoe UI" w:hint="eastAsia"/>
                <w:kern w:val="2"/>
                <w:szCs w:val="17"/>
                <w:lang w:eastAsia="zh-TW"/>
              </w:rPr>
              <w:t>。</w:t>
            </w:r>
          </w:p>
        </w:tc>
      </w:tr>
      <w:tr w:rsidR="00645EA1" w14:paraId="6119D0C8" w14:textId="77777777" w:rsidTr="0029639E">
        <w:tc>
          <w:tcPr>
            <w:tcW w:w="2160" w:type="dxa"/>
            <w:tcBorders>
              <w:top w:val="single" w:sz="4" w:space="0" w:color="auto"/>
              <w:left w:val="nil"/>
              <w:bottom w:val="single" w:sz="4" w:space="0" w:color="auto"/>
              <w:right w:val="single" w:sz="4" w:space="0" w:color="auto"/>
            </w:tcBorders>
            <w:hideMark/>
          </w:tcPr>
          <w:p w14:paraId="1029E589" w14:textId="77777777" w:rsidR="00645EA1" w:rsidRDefault="00645EA1">
            <w:pPr>
              <w:rPr>
                <w:rFonts w:cs="Segoe UI"/>
                <w:b/>
                <w:kern w:val="2"/>
                <w:sz w:val="17"/>
                <w:szCs w:val="17"/>
              </w:rPr>
            </w:pPr>
            <w:proofErr w:type="spellStart"/>
            <w:r>
              <w:rPr>
                <w:rFonts w:eastAsia="細明體" w:cs="Segoe UI" w:hint="eastAsia"/>
                <w:b/>
                <w:kern w:val="2"/>
                <w:sz w:val="17"/>
                <w:szCs w:val="17"/>
                <w:lang w:val="en-US"/>
              </w:rPr>
              <w:t>格式</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32577A55" w14:textId="77777777" w:rsidR="00645EA1" w:rsidRDefault="00645EA1">
            <w:pPr>
              <w:pStyle w:val="TableText"/>
              <w:jc w:val="both"/>
              <w:rPr>
                <w:rFonts w:cs="Segoe UI"/>
                <w:kern w:val="2"/>
                <w:szCs w:val="17"/>
                <w:lang w:eastAsia="zh-TW"/>
              </w:rPr>
            </w:pPr>
            <w:r>
              <w:rPr>
                <w:rFonts w:eastAsiaTheme="minorEastAsia" w:cs="Segoe UI" w:hint="eastAsia"/>
                <w:kern w:val="2"/>
                <w:lang w:eastAsia="zh-TW"/>
              </w:rPr>
              <w:t>非固定。所披露資料</w:t>
            </w:r>
            <w:r>
              <w:rPr>
                <w:rFonts w:eastAsiaTheme="minorEastAsia" w:cs="Segoe UI" w:hint="eastAsia"/>
                <w:kern w:val="2"/>
                <w:szCs w:val="17"/>
                <w:lang w:eastAsia="zh-TW"/>
              </w:rPr>
              <w:t>須</w:t>
            </w:r>
            <w:r>
              <w:rPr>
                <w:rFonts w:eastAsiaTheme="minorEastAsia" w:cs="Segoe UI" w:hint="eastAsia"/>
                <w:kern w:val="2"/>
                <w:lang w:eastAsia="zh-TW"/>
              </w:rPr>
              <w:t>與提交予金融管理專員和</w:t>
            </w:r>
            <w:proofErr w:type="gramStart"/>
            <w:r>
              <w:rPr>
                <w:rFonts w:eastAsiaTheme="minorEastAsia" w:cs="Segoe UI" w:hint="eastAsia"/>
                <w:kern w:val="2"/>
                <w:lang w:eastAsia="zh-TW"/>
              </w:rPr>
              <w:t>及</w:t>
            </w:r>
            <w:proofErr w:type="gramEnd"/>
            <w:r>
              <w:rPr>
                <w:rFonts w:eastAsiaTheme="minorEastAsia" w:cs="Segoe UI" w:hint="eastAsia"/>
                <w:kern w:val="2"/>
                <w:lang w:eastAsia="zh-TW"/>
              </w:rPr>
              <w:t>後再</w:t>
            </w:r>
            <w:r>
              <w:rPr>
                <w:rFonts w:eastAsiaTheme="minorEastAsia" w:cs="Segoe UI" w:hint="eastAsia"/>
                <w:kern w:val="2"/>
                <w:szCs w:val="17"/>
                <w:lang w:eastAsia="zh-TW"/>
              </w:rPr>
              <w:t>轉交予巴塞爾委員會作</w:t>
            </w:r>
            <w:r>
              <w:rPr>
                <w:rFonts w:eastAsiaTheme="minorEastAsia" w:cs="Segoe UI" w:hint="eastAsia"/>
                <w:kern w:val="2"/>
                <w:lang w:eastAsia="zh-TW"/>
              </w:rPr>
              <w:t>為評估及識別</w:t>
            </w:r>
            <w:r>
              <w:rPr>
                <w:rFonts w:cs="Segoe UI"/>
                <w:kern w:val="2"/>
                <w:szCs w:val="17"/>
                <w:lang w:eastAsia="zh-TW"/>
              </w:rPr>
              <w:t>G-SIB</w:t>
            </w:r>
            <w:r>
              <w:rPr>
                <w:rFonts w:eastAsiaTheme="minorEastAsia" w:cs="Segoe UI" w:hint="eastAsia"/>
                <w:kern w:val="2"/>
                <w:szCs w:val="17"/>
                <w:lang w:eastAsia="zh-TW"/>
              </w:rPr>
              <w:t>而每年收集</w:t>
            </w:r>
            <w:r>
              <w:rPr>
                <w:rFonts w:eastAsiaTheme="minorEastAsia" w:cs="Segoe UI" w:hint="eastAsia"/>
                <w:kern w:val="2"/>
                <w:lang w:eastAsia="zh-TW"/>
              </w:rPr>
              <w:t>的數據完全一致。</w:t>
            </w:r>
            <w:r>
              <w:rPr>
                <w:rFonts w:cs="Segoe UI"/>
                <w:kern w:val="2"/>
                <w:szCs w:val="17"/>
                <w:lang w:eastAsia="zh-TW"/>
              </w:rPr>
              <w:t xml:space="preserve"> </w:t>
            </w:r>
          </w:p>
          <w:p w14:paraId="60FCE63E" w14:textId="77777777" w:rsidR="00645EA1" w:rsidRDefault="00645EA1">
            <w:pPr>
              <w:pStyle w:val="TableText"/>
              <w:jc w:val="both"/>
              <w:rPr>
                <w:rFonts w:cs="Segoe UI"/>
                <w:kern w:val="2"/>
                <w:lang w:eastAsia="zh-TW"/>
              </w:rPr>
            </w:pPr>
            <w:r>
              <w:rPr>
                <w:rFonts w:eastAsiaTheme="minorEastAsia" w:cs="Segoe UI" w:hint="eastAsia"/>
                <w:kern w:val="2"/>
                <w:szCs w:val="17"/>
                <w:lang w:eastAsia="zh-TW"/>
              </w:rPr>
              <w:t>每類披露項目應遵照巴塞爾委員會數據中心就</w:t>
            </w:r>
            <w:r>
              <w:rPr>
                <w:rFonts w:cs="Segoe UI"/>
                <w:kern w:val="2"/>
                <w:szCs w:val="17"/>
                <w:lang w:eastAsia="zh-TW"/>
              </w:rPr>
              <w:t>G-SIB</w:t>
            </w:r>
            <w:r>
              <w:rPr>
                <w:rFonts w:eastAsiaTheme="minorEastAsia" w:cs="Segoe UI" w:hint="eastAsia"/>
                <w:kern w:val="2"/>
                <w:szCs w:val="17"/>
                <w:lang w:eastAsia="zh-TW"/>
              </w:rPr>
              <w:t>報告數據的有關指示，或按金融理專員所規定而作出。</w:t>
            </w:r>
            <w:r>
              <w:rPr>
                <w:rStyle w:val="FootnoteReference"/>
                <w:rFonts w:cs="Segoe UI"/>
                <w:kern w:val="2"/>
                <w:szCs w:val="17"/>
              </w:rPr>
              <w:footnoteReference w:id="6"/>
            </w:r>
          </w:p>
        </w:tc>
      </w:tr>
      <w:tr w:rsidR="00645EA1" w14:paraId="4B867D1E" w14:textId="77777777" w:rsidTr="0029639E">
        <w:tc>
          <w:tcPr>
            <w:tcW w:w="2160" w:type="dxa"/>
            <w:tcBorders>
              <w:top w:val="single" w:sz="4" w:space="0" w:color="auto"/>
              <w:left w:val="nil"/>
              <w:bottom w:val="single" w:sz="4" w:space="0" w:color="auto"/>
              <w:right w:val="single" w:sz="4" w:space="0" w:color="auto"/>
            </w:tcBorders>
            <w:hideMark/>
          </w:tcPr>
          <w:p w14:paraId="366B76F4" w14:textId="77777777" w:rsidR="00645EA1" w:rsidRDefault="00645EA1">
            <w:pPr>
              <w:rPr>
                <w:rFonts w:cs="Segoe UI"/>
                <w:b/>
                <w:kern w:val="2"/>
                <w:sz w:val="17"/>
                <w:szCs w:val="17"/>
              </w:rPr>
            </w:pPr>
            <w:proofErr w:type="spellStart"/>
            <w:r>
              <w:rPr>
                <w:rFonts w:eastAsia="細明體" w:cs="Segoe UI" w:hint="eastAsia"/>
                <w:b/>
                <w:kern w:val="2"/>
                <w:sz w:val="17"/>
                <w:szCs w:val="17"/>
                <w:lang w:val="en-US"/>
              </w:rPr>
              <w:t>附加說明</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53BF3080" w14:textId="1EE99AFA" w:rsidR="00645EA1" w:rsidRDefault="00645EA1">
            <w:pPr>
              <w:spacing w:before="40" w:after="40"/>
              <w:jc w:val="both"/>
              <w:rPr>
                <w:rFonts w:cs="Segoe UI"/>
                <w:kern w:val="2"/>
                <w:sz w:val="17"/>
                <w:szCs w:val="17"/>
                <w:lang w:eastAsia="zh-TW"/>
              </w:rPr>
            </w:pPr>
            <w:r>
              <w:rPr>
                <w:rFonts w:cs="Segoe UI"/>
                <w:kern w:val="2"/>
                <w:sz w:val="17"/>
                <w:szCs w:val="17"/>
                <w:lang w:eastAsia="zh-TW"/>
              </w:rPr>
              <w:t>G-SIB</w:t>
            </w:r>
            <w:r>
              <w:rPr>
                <w:rFonts w:eastAsiaTheme="minorEastAsia" w:cs="Segoe UI" w:hint="eastAsia"/>
                <w:kern w:val="2"/>
                <w:sz w:val="17"/>
                <w:szCs w:val="17"/>
                <w:lang w:eastAsia="zh-TW"/>
              </w:rPr>
              <w:t>應註明所填報資料的周年參考日期及首次公開披露的日期，並應加入有關上一次</w:t>
            </w:r>
            <w:r>
              <w:rPr>
                <w:rFonts w:cs="Segoe UI"/>
                <w:kern w:val="2"/>
                <w:sz w:val="17"/>
                <w:szCs w:val="17"/>
                <w:lang w:eastAsia="zh-TW"/>
              </w:rPr>
              <w:t>G-SIB</w:t>
            </w:r>
            <w:r>
              <w:rPr>
                <w:rFonts w:eastAsiaTheme="minorEastAsia" w:cs="Segoe UI" w:hint="eastAsia"/>
                <w:kern w:val="2"/>
                <w:sz w:val="17"/>
                <w:szCs w:val="17"/>
                <w:lang w:eastAsia="zh-TW"/>
              </w:rPr>
              <w:t>評估工作</w:t>
            </w:r>
            <w:r w:rsidR="00214FA9">
              <w:rPr>
                <w:rFonts w:eastAsiaTheme="minorEastAsia" w:cs="Segoe UI" w:hint="eastAsia"/>
                <w:kern w:val="2"/>
                <w:sz w:val="17"/>
                <w:szCs w:val="17"/>
                <w:lang w:eastAsia="zh-HK"/>
              </w:rPr>
              <w:t>之</w:t>
            </w:r>
            <w:r w:rsidR="00202871">
              <w:rPr>
                <w:rFonts w:eastAsiaTheme="minorEastAsia" w:cs="Segoe UI" w:hint="eastAsia"/>
                <w:kern w:val="2"/>
                <w:sz w:val="17"/>
                <w:szCs w:val="17"/>
                <w:lang w:eastAsia="zh-TW"/>
              </w:rPr>
              <w:t>披露</w:t>
            </w:r>
            <w:r>
              <w:rPr>
                <w:rFonts w:eastAsiaTheme="minorEastAsia" w:cs="Segoe UI" w:hint="eastAsia"/>
                <w:kern w:val="2"/>
                <w:sz w:val="17"/>
                <w:szCs w:val="17"/>
                <w:lang w:eastAsia="zh-TW"/>
              </w:rPr>
              <w:t>的網頁連結。</w:t>
            </w:r>
          </w:p>
          <w:p w14:paraId="68B491BD" w14:textId="77777777" w:rsidR="00645EA1" w:rsidRDefault="00645EA1">
            <w:pPr>
              <w:spacing w:before="40" w:after="40"/>
              <w:jc w:val="both"/>
              <w:rPr>
                <w:rFonts w:cs="Segoe UI"/>
                <w:kern w:val="2"/>
                <w:sz w:val="17"/>
                <w:szCs w:val="17"/>
                <w:lang w:eastAsia="zh-TW"/>
              </w:rPr>
            </w:pPr>
            <w:r>
              <w:rPr>
                <w:rFonts w:eastAsiaTheme="minorEastAsia" w:cs="Segoe UI" w:hint="eastAsia"/>
                <w:kern w:val="2"/>
                <w:sz w:val="17"/>
                <w:szCs w:val="17"/>
                <w:lang w:eastAsia="zh-TW"/>
              </w:rPr>
              <w:t>為理解量化數據，</w:t>
            </w:r>
            <w:r>
              <w:rPr>
                <w:rFonts w:cs="Segoe UI"/>
                <w:kern w:val="2"/>
                <w:sz w:val="17"/>
                <w:szCs w:val="17"/>
                <w:lang w:eastAsia="zh-TW"/>
              </w:rPr>
              <w:t>G-SIB</w:t>
            </w:r>
            <w:r>
              <w:rPr>
                <w:rFonts w:eastAsiaTheme="minorEastAsia" w:cs="Segoe UI" w:hint="eastAsia"/>
                <w:kern w:val="2"/>
                <w:sz w:val="17"/>
                <w:szCs w:val="17"/>
                <w:lang w:eastAsia="zh-TW"/>
              </w:rPr>
              <w:t>應</w:t>
            </w:r>
            <w:r>
              <w:rPr>
                <w:rFonts w:eastAsia="細明體" w:cs="Segoe UI" w:hint="eastAsia"/>
                <w:kern w:val="2"/>
                <w:sz w:val="17"/>
                <w:szCs w:val="17"/>
                <w:lang w:eastAsia="zh-TW"/>
              </w:rPr>
              <w:t>作出敘述評</w:t>
            </w:r>
            <w:proofErr w:type="gramStart"/>
            <w:r>
              <w:rPr>
                <w:rFonts w:eastAsia="細明體" w:cs="Segoe UI" w:hint="eastAsia"/>
                <w:kern w:val="2"/>
                <w:sz w:val="17"/>
                <w:szCs w:val="17"/>
                <w:lang w:eastAsia="zh-TW"/>
              </w:rPr>
              <w:t>註</w:t>
            </w:r>
            <w:proofErr w:type="gramEnd"/>
            <w:r>
              <w:rPr>
                <w:rFonts w:eastAsiaTheme="minorEastAsia" w:cs="Segoe UI" w:hint="eastAsia"/>
                <w:kern w:val="2"/>
                <w:sz w:val="17"/>
                <w:szCs w:val="17"/>
                <w:lang w:eastAsia="zh-TW"/>
              </w:rPr>
              <w:t>以</w:t>
            </w:r>
            <w:proofErr w:type="gramStart"/>
            <w:r>
              <w:rPr>
                <w:rFonts w:eastAsiaTheme="minorEastAsia" w:cs="Segoe UI" w:hint="eastAsia"/>
                <w:kern w:val="2"/>
                <w:sz w:val="17"/>
                <w:szCs w:val="17"/>
                <w:lang w:eastAsia="zh-TW"/>
              </w:rPr>
              <w:t>補充本模版</w:t>
            </w:r>
            <w:proofErr w:type="gramEnd"/>
            <w:r>
              <w:rPr>
                <w:rFonts w:eastAsia="細明體" w:cs="Segoe UI" w:hint="eastAsia"/>
                <w:kern w:val="2"/>
                <w:sz w:val="17"/>
                <w:szCs w:val="17"/>
                <w:lang w:eastAsia="zh-TW"/>
              </w:rPr>
              <w:t>，評</w:t>
            </w:r>
            <w:proofErr w:type="gramStart"/>
            <w:r>
              <w:rPr>
                <w:rFonts w:eastAsia="細明體" w:cs="Segoe UI" w:hint="eastAsia"/>
                <w:kern w:val="2"/>
                <w:sz w:val="17"/>
                <w:szCs w:val="17"/>
                <w:lang w:eastAsia="zh-TW"/>
              </w:rPr>
              <w:t>註</w:t>
            </w:r>
            <w:proofErr w:type="gramEnd"/>
            <w:r>
              <w:rPr>
                <w:rFonts w:eastAsiaTheme="minorEastAsia" w:cs="Segoe UI" w:hint="eastAsia"/>
                <w:kern w:val="2"/>
                <w:sz w:val="17"/>
                <w:szCs w:val="17"/>
                <w:lang w:eastAsia="zh-TW"/>
              </w:rPr>
              <w:t>應</w:t>
            </w:r>
            <w:r>
              <w:rPr>
                <w:rFonts w:asciiTheme="minorEastAsia" w:eastAsiaTheme="minorEastAsia" w:hAnsiTheme="minorEastAsia" w:cs="Courier" w:hint="eastAsia"/>
                <w:color w:val="000000"/>
                <w:kern w:val="2"/>
                <w:sz w:val="17"/>
                <w:szCs w:val="17"/>
                <w:lang w:val="en-US" w:eastAsia="zh-TW"/>
              </w:rPr>
              <w:t>闡述</w:t>
            </w:r>
            <w:r>
              <w:rPr>
                <w:rFonts w:asciiTheme="minorEastAsia" w:eastAsiaTheme="minorEastAsia" w:hAnsiTheme="minorEastAsia" w:cs="Segoe UI" w:hint="eastAsia"/>
                <w:kern w:val="2"/>
                <w:sz w:val="17"/>
                <w:szCs w:val="17"/>
                <w:lang w:eastAsia="zh-TW"/>
              </w:rPr>
              <w:t>相關</w:t>
            </w:r>
            <w:r>
              <w:rPr>
                <w:rFonts w:asciiTheme="minorEastAsia" w:eastAsiaTheme="minorEastAsia" w:hAnsiTheme="minorEastAsia" w:cs="Courier" w:hint="eastAsia"/>
                <w:color w:val="000000"/>
                <w:kern w:val="2"/>
                <w:sz w:val="17"/>
                <w:szCs w:val="17"/>
                <w:lang w:val="en-US" w:eastAsia="zh-TW"/>
              </w:rPr>
              <w:t>量化數據</w:t>
            </w:r>
            <w:r>
              <w:rPr>
                <w:rFonts w:eastAsiaTheme="minorEastAsia" w:cs="Segoe UI" w:hint="eastAsia"/>
                <w:kern w:val="2"/>
                <w:sz w:val="17"/>
                <w:szCs w:val="17"/>
                <w:lang w:eastAsia="zh-TW"/>
              </w:rPr>
              <w:t>被視為必要</w:t>
            </w:r>
            <w:r>
              <w:rPr>
                <w:rFonts w:asciiTheme="minorEastAsia" w:eastAsiaTheme="minorEastAsia" w:hAnsiTheme="minorEastAsia" w:cs="Courier" w:hint="eastAsia"/>
                <w:color w:val="000000"/>
                <w:kern w:val="2"/>
                <w:sz w:val="17"/>
                <w:szCs w:val="17"/>
                <w:lang w:val="en-US" w:eastAsia="zh-TW"/>
              </w:rPr>
              <w:t>的特性</w:t>
            </w:r>
            <w:r>
              <w:rPr>
                <w:rFonts w:eastAsiaTheme="minorEastAsia" w:cs="Segoe UI" w:hint="eastAsia"/>
                <w:kern w:val="2"/>
                <w:sz w:val="17"/>
                <w:szCs w:val="17"/>
                <w:lang w:eastAsia="zh-TW"/>
              </w:rPr>
              <w:t>。有關資料應包括</w:t>
            </w:r>
            <w:r>
              <w:rPr>
                <w:rFonts w:asciiTheme="minorEastAsia" w:eastAsiaTheme="minorEastAsia" w:hAnsiTheme="minorEastAsia" w:cs="Segoe UI" w:hint="eastAsia"/>
                <w:kern w:val="2"/>
                <w:sz w:val="17"/>
                <w:szCs w:val="17"/>
                <w:lang w:eastAsia="zh-TW"/>
              </w:rPr>
              <w:t>解釋</w:t>
            </w:r>
            <w:r>
              <w:rPr>
                <w:rFonts w:eastAsiaTheme="minorEastAsia" w:cs="Segoe UI" w:hint="eastAsia"/>
                <w:kern w:val="2"/>
                <w:sz w:val="17"/>
                <w:szCs w:val="17"/>
                <w:lang w:eastAsia="zh-TW"/>
              </w:rPr>
              <w:t>估計的使用並簡短說明所用方法、填報數據</w:t>
            </w:r>
            <w:r>
              <w:rPr>
                <w:rFonts w:asciiTheme="minorEastAsia" w:eastAsiaTheme="minorEastAsia" w:hAnsiTheme="minorEastAsia" w:cs="細明體" w:hint="eastAsia"/>
                <w:kern w:val="2"/>
                <w:sz w:val="17"/>
                <w:szCs w:val="17"/>
                <w:lang w:eastAsia="zh-HK"/>
              </w:rPr>
              <w:t>中所</w:t>
            </w:r>
            <w:r>
              <w:rPr>
                <w:rFonts w:eastAsiaTheme="minorEastAsia" w:cs="Segoe UI" w:hint="eastAsia"/>
                <w:kern w:val="2"/>
                <w:sz w:val="17"/>
                <w:szCs w:val="17"/>
                <w:lang w:eastAsia="zh-TW"/>
              </w:rPr>
              <w:t>涉及的合併或實體的法律結構的修訂、</w:t>
            </w:r>
            <w:r>
              <w:rPr>
                <w:rFonts w:cs="Segoe UI"/>
                <w:kern w:val="2"/>
                <w:sz w:val="17"/>
                <w:szCs w:val="17"/>
                <w:lang w:eastAsia="zh-TW"/>
              </w:rPr>
              <w:t>G-SIB</w:t>
            </w:r>
            <w:r>
              <w:rPr>
                <w:rFonts w:eastAsiaTheme="minorEastAsia" w:cs="Segoe UI" w:hint="eastAsia"/>
                <w:kern w:val="2"/>
                <w:sz w:val="17"/>
                <w:szCs w:val="17"/>
                <w:lang w:eastAsia="zh-TW"/>
              </w:rPr>
              <w:t>獲配予的組別及</w:t>
            </w:r>
            <w:r>
              <w:rPr>
                <w:rFonts w:eastAsiaTheme="minorEastAsia" w:cs="Segoe UI"/>
                <w:kern w:val="2"/>
                <w:sz w:val="17"/>
                <w:szCs w:val="17"/>
                <w:lang w:eastAsia="zh-TW"/>
              </w:rPr>
              <w:t>HLA</w:t>
            </w:r>
            <w:r>
              <w:rPr>
                <w:rFonts w:eastAsiaTheme="minorEastAsia" w:cs="Segoe UI" w:hint="eastAsia"/>
                <w:kern w:val="2"/>
                <w:sz w:val="17"/>
                <w:szCs w:val="17"/>
                <w:lang w:eastAsia="zh-TW"/>
              </w:rPr>
              <w:t>規定的變動，或</w:t>
            </w:r>
            <w:proofErr w:type="gramStart"/>
            <w:r>
              <w:rPr>
                <w:rFonts w:eastAsiaTheme="minorEastAsia" w:cs="Segoe UI" w:hint="eastAsia"/>
                <w:kern w:val="2"/>
                <w:sz w:val="17"/>
                <w:szCs w:val="17"/>
                <w:lang w:eastAsia="zh-TW"/>
              </w:rPr>
              <w:t>提述巴</w:t>
            </w:r>
            <w:proofErr w:type="gramEnd"/>
            <w:r>
              <w:rPr>
                <w:rFonts w:eastAsiaTheme="minorEastAsia" w:cs="Segoe UI" w:hint="eastAsia"/>
                <w:kern w:val="2"/>
                <w:sz w:val="17"/>
                <w:szCs w:val="17"/>
                <w:lang w:eastAsia="zh-TW"/>
              </w:rPr>
              <w:t>塞爾委員會就有關分母、截算分數及組別的數據網站。</w:t>
            </w:r>
          </w:p>
          <w:p w14:paraId="7247E76F" w14:textId="77777777" w:rsidR="00645EA1" w:rsidRDefault="00645EA1">
            <w:pPr>
              <w:spacing w:before="40" w:after="40"/>
              <w:jc w:val="both"/>
              <w:rPr>
                <w:rFonts w:cs="Segoe UI"/>
                <w:kern w:val="2"/>
                <w:sz w:val="17"/>
                <w:szCs w:val="17"/>
                <w:lang w:eastAsia="zh-TW"/>
              </w:rPr>
            </w:pPr>
            <w:r>
              <w:rPr>
                <w:rFonts w:eastAsiaTheme="minorEastAsia" w:cs="Segoe UI" w:hint="eastAsia"/>
                <w:kern w:val="2"/>
                <w:sz w:val="17"/>
                <w:szCs w:val="17"/>
                <w:lang w:eastAsia="zh-TW"/>
              </w:rPr>
              <w:t>不論模版</w:t>
            </w:r>
            <w:r>
              <w:rPr>
                <w:rFonts w:cs="Segoe UI"/>
                <w:kern w:val="2"/>
                <w:sz w:val="17"/>
                <w:szCs w:val="17"/>
                <w:lang w:eastAsia="zh-TW"/>
              </w:rPr>
              <w:t>GSIB1</w:t>
            </w:r>
            <w:r>
              <w:rPr>
                <w:rFonts w:eastAsiaTheme="minorEastAsia" w:cs="Segoe UI" w:hint="eastAsia"/>
                <w:kern w:val="2"/>
                <w:sz w:val="17"/>
                <w:szCs w:val="17"/>
                <w:lang w:eastAsia="zh-TW"/>
              </w:rPr>
              <w:t>是否包括在周年第三支柱報告內，</w:t>
            </w:r>
            <w:r>
              <w:rPr>
                <w:rFonts w:cs="Segoe UI"/>
                <w:kern w:val="2"/>
                <w:sz w:val="17"/>
                <w:szCs w:val="17"/>
                <w:lang w:eastAsia="zh-TW"/>
              </w:rPr>
              <w:t>G-SIB</w:t>
            </w:r>
            <w:r>
              <w:rPr>
                <w:rFonts w:eastAsiaTheme="minorEastAsia" w:cs="Segoe UI" w:hint="eastAsia"/>
                <w:kern w:val="2"/>
                <w:sz w:val="17"/>
                <w:szCs w:val="17"/>
                <w:lang w:eastAsia="zh-TW"/>
              </w:rPr>
              <w:t>的周年及中期披露報表，</w:t>
            </w:r>
            <w:proofErr w:type="gramStart"/>
            <w:r>
              <w:rPr>
                <w:rFonts w:eastAsiaTheme="minorEastAsia" w:cs="Segoe UI" w:hint="eastAsia"/>
                <w:kern w:val="2"/>
                <w:sz w:val="17"/>
                <w:szCs w:val="17"/>
                <w:lang w:eastAsia="zh-TW"/>
              </w:rPr>
              <w:t>均應包含</w:t>
            </w:r>
            <w:proofErr w:type="gramEnd"/>
            <w:r>
              <w:rPr>
                <w:rFonts w:eastAsiaTheme="minorEastAsia" w:cs="Segoe UI" w:hint="eastAsia"/>
                <w:kern w:val="2"/>
                <w:sz w:val="17"/>
                <w:szCs w:val="17"/>
                <w:lang w:eastAsia="zh-TW"/>
              </w:rPr>
              <w:t>其置有現行報告期及以往報告期所作的披露模版</w:t>
            </w:r>
            <w:r>
              <w:rPr>
                <w:rFonts w:cs="Segoe UI"/>
                <w:kern w:val="2"/>
                <w:sz w:val="17"/>
                <w:szCs w:val="17"/>
                <w:lang w:eastAsia="zh-TW"/>
              </w:rPr>
              <w:t>GSIB1</w:t>
            </w:r>
            <w:r>
              <w:rPr>
                <w:rFonts w:eastAsiaTheme="minorEastAsia" w:cs="Segoe UI" w:hint="eastAsia"/>
                <w:kern w:val="2"/>
                <w:sz w:val="17"/>
                <w:szCs w:val="17"/>
                <w:lang w:eastAsia="zh-TW"/>
              </w:rPr>
              <w:t>的網站</w:t>
            </w:r>
            <w:proofErr w:type="gramStart"/>
            <w:r>
              <w:rPr>
                <w:rFonts w:eastAsiaTheme="minorEastAsia" w:cs="Segoe UI" w:hint="eastAsia"/>
                <w:kern w:val="2"/>
                <w:sz w:val="17"/>
                <w:szCs w:val="17"/>
                <w:lang w:eastAsia="zh-TW"/>
              </w:rPr>
              <w:t>的提述</w:t>
            </w:r>
            <w:proofErr w:type="gramEnd"/>
            <w:r>
              <w:rPr>
                <w:rFonts w:eastAsiaTheme="minorEastAsia" w:cs="Segoe UI" w:hint="eastAsia"/>
                <w:kern w:val="2"/>
                <w:sz w:val="17"/>
                <w:szCs w:val="17"/>
                <w:lang w:eastAsia="zh-TW"/>
              </w:rPr>
              <w:t>。</w:t>
            </w:r>
          </w:p>
        </w:tc>
      </w:tr>
      <w:tr w:rsidR="00645EA1" w14:paraId="165BDAD6" w14:textId="77777777" w:rsidTr="0029639E">
        <w:tc>
          <w:tcPr>
            <w:tcW w:w="2160" w:type="dxa"/>
            <w:tcBorders>
              <w:top w:val="single" w:sz="4" w:space="0" w:color="auto"/>
              <w:left w:val="nil"/>
              <w:bottom w:val="single" w:sz="4" w:space="0" w:color="auto"/>
              <w:right w:val="single" w:sz="4" w:space="0" w:color="auto"/>
            </w:tcBorders>
            <w:hideMark/>
          </w:tcPr>
          <w:p w14:paraId="017AC20B" w14:textId="77777777" w:rsidR="00645EA1" w:rsidRDefault="00645EA1">
            <w:pPr>
              <w:rPr>
                <w:rFonts w:cs="Segoe UI"/>
                <w:b/>
                <w:kern w:val="2"/>
                <w:sz w:val="17"/>
                <w:szCs w:val="17"/>
                <w:lang w:eastAsia="zh-TW"/>
              </w:rPr>
            </w:pPr>
            <w:r>
              <w:rPr>
                <w:rFonts w:eastAsia="細明體" w:cs="Segoe UI" w:hint="eastAsia"/>
                <w:b/>
                <w:kern w:val="2"/>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hideMark/>
          </w:tcPr>
          <w:p w14:paraId="5D72C0D0" w14:textId="77777777" w:rsidR="00645EA1" w:rsidRDefault="00645EA1">
            <w:pPr>
              <w:pStyle w:val="TableText"/>
              <w:jc w:val="both"/>
              <w:rPr>
                <w:rFonts w:cs="Segoe UI"/>
                <w:kern w:val="2"/>
                <w:szCs w:val="17"/>
                <w:lang w:eastAsia="en-GB"/>
              </w:rPr>
            </w:pPr>
            <w:r>
              <w:rPr>
                <w:rFonts w:eastAsiaTheme="minorEastAsia" w:cs="Segoe UI"/>
                <w:kern w:val="2"/>
                <w:szCs w:val="17"/>
                <w:lang w:eastAsia="zh-TW"/>
              </w:rPr>
              <w:t>16FF</w:t>
            </w:r>
            <w:r>
              <w:rPr>
                <w:rFonts w:cs="Segoe UI"/>
                <w:kern w:val="2"/>
                <w:szCs w:val="17"/>
                <w:lang w:eastAsia="en-GB"/>
              </w:rPr>
              <w:t xml:space="preserve"> </w:t>
            </w:r>
          </w:p>
        </w:tc>
      </w:tr>
    </w:tbl>
    <w:p w14:paraId="5CE6F891" w14:textId="6D41B4EB" w:rsidR="00BD2BA4" w:rsidRDefault="00BD2BA4" w:rsidP="00350754">
      <w:pPr>
        <w:rPr>
          <w:rFonts w:eastAsiaTheme="minorEastAsia" w:cs="Segoe UI"/>
          <w:lang w:val="en-US" w:eastAsia="zh-TW"/>
        </w:rPr>
      </w:pPr>
      <w:r>
        <w:rPr>
          <w:rFonts w:eastAsiaTheme="minorEastAsia" w:cs="Segoe UI"/>
          <w:lang w:val="en-US" w:eastAsia="zh-TW"/>
        </w:rPr>
        <w:br w:type="page"/>
      </w:r>
    </w:p>
    <w:tbl>
      <w:tblPr>
        <w:tblW w:w="9216"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71"/>
        <w:gridCol w:w="2691"/>
        <w:gridCol w:w="4820"/>
        <w:gridCol w:w="1134"/>
      </w:tblGrid>
      <w:tr w:rsidR="00645EA1" w14:paraId="53FCA82A" w14:textId="77777777" w:rsidTr="00BD2BA4">
        <w:trPr>
          <w:cantSplit/>
          <w:trHeight w:val="249"/>
          <w:tblHeader/>
        </w:trPr>
        <w:tc>
          <w:tcPr>
            <w:tcW w:w="571" w:type="dxa"/>
            <w:tcBorders>
              <w:top w:val="nil"/>
              <w:left w:val="nil"/>
              <w:bottom w:val="single" w:sz="4" w:space="0" w:color="auto"/>
              <w:right w:val="nil"/>
            </w:tcBorders>
          </w:tcPr>
          <w:p w14:paraId="23DAAEB1" w14:textId="77777777" w:rsidR="00645EA1" w:rsidRDefault="00645EA1">
            <w:pPr>
              <w:pStyle w:val="TableText"/>
              <w:snapToGrid w:val="0"/>
              <w:rPr>
                <w:rFonts w:cs="Segoe UI"/>
                <w:kern w:val="2"/>
                <w:lang w:eastAsia="en-GB"/>
              </w:rPr>
            </w:pPr>
          </w:p>
        </w:tc>
        <w:tc>
          <w:tcPr>
            <w:tcW w:w="2691" w:type="dxa"/>
            <w:tcBorders>
              <w:top w:val="nil"/>
              <w:left w:val="nil"/>
              <w:bottom w:val="single" w:sz="4" w:space="0" w:color="auto"/>
              <w:right w:val="nil"/>
            </w:tcBorders>
            <w:vAlign w:val="center"/>
          </w:tcPr>
          <w:p w14:paraId="176C71E1" w14:textId="77777777" w:rsidR="00645EA1" w:rsidRDefault="00645EA1">
            <w:pPr>
              <w:pStyle w:val="TableText"/>
              <w:snapToGrid w:val="0"/>
              <w:rPr>
                <w:rFonts w:cs="Segoe UI"/>
                <w:kern w:val="2"/>
                <w:lang w:eastAsia="en-GB"/>
              </w:rPr>
            </w:pPr>
          </w:p>
        </w:tc>
        <w:tc>
          <w:tcPr>
            <w:tcW w:w="4820" w:type="dxa"/>
            <w:tcBorders>
              <w:top w:val="nil"/>
              <w:left w:val="nil"/>
              <w:bottom w:val="single" w:sz="4" w:space="0" w:color="auto"/>
              <w:right w:val="single" w:sz="4" w:space="0" w:color="auto"/>
            </w:tcBorders>
            <w:vAlign w:val="center"/>
          </w:tcPr>
          <w:p w14:paraId="36597358" w14:textId="77777777" w:rsidR="00645EA1" w:rsidRDefault="00645EA1">
            <w:pPr>
              <w:pStyle w:val="TableText"/>
              <w:snapToGrid w:val="0"/>
              <w:rPr>
                <w:rFonts w:cs="Segoe UI"/>
                <w:kern w:val="2"/>
                <w:lang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AAD010" w14:textId="77777777" w:rsidR="00645EA1" w:rsidRDefault="00645EA1">
            <w:pPr>
              <w:pStyle w:val="TableText"/>
              <w:snapToGrid w:val="0"/>
              <w:jc w:val="center"/>
              <w:rPr>
                <w:rFonts w:cs="Segoe UI"/>
                <w:bCs/>
                <w:kern w:val="2"/>
                <w:szCs w:val="17"/>
                <w:lang w:eastAsia="it-IT"/>
              </w:rPr>
            </w:pPr>
            <w:r>
              <w:rPr>
                <w:rFonts w:cs="Segoe UI"/>
                <w:bCs/>
                <w:kern w:val="2"/>
                <w:szCs w:val="17"/>
                <w:lang w:eastAsia="it-IT"/>
              </w:rPr>
              <w:t>(a)</w:t>
            </w:r>
          </w:p>
        </w:tc>
      </w:tr>
      <w:tr w:rsidR="001B39FD" w14:paraId="46E51AEA" w14:textId="77777777" w:rsidTr="00BD2BA4">
        <w:trPr>
          <w:cantSplit/>
          <w:tblHeader/>
        </w:trPr>
        <w:tc>
          <w:tcPr>
            <w:tcW w:w="571" w:type="dxa"/>
            <w:tcBorders>
              <w:top w:val="single" w:sz="4" w:space="0" w:color="auto"/>
              <w:left w:val="nil"/>
              <w:bottom w:val="single" w:sz="4" w:space="0" w:color="auto"/>
              <w:right w:val="single" w:sz="4" w:space="0" w:color="auto"/>
            </w:tcBorders>
          </w:tcPr>
          <w:p w14:paraId="1ECC2F7F" w14:textId="77777777" w:rsidR="00645EA1" w:rsidRDefault="00645EA1">
            <w:pPr>
              <w:pStyle w:val="TableText"/>
              <w:snapToGrid w:val="0"/>
              <w:rPr>
                <w:rFonts w:cs="Segoe UI"/>
                <w:b/>
                <w:kern w:val="2"/>
                <w:lang w:eastAsia="en-GB"/>
              </w:rPr>
            </w:pPr>
          </w:p>
        </w:tc>
        <w:tc>
          <w:tcPr>
            <w:tcW w:w="2691" w:type="dxa"/>
            <w:tcBorders>
              <w:top w:val="single" w:sz="4" w:space="0" w:color="auto"/>
              <w:left w:val="single" w:sz="4" w:space="0" w:color="auto"/>
              <w:bottom w:val="single" w:sz="4" w:space="0" w:color="auto"/>
              <w:right w:val="single" w:sz="4" w:space="0" w:color="auto"/>
            </w:tcBorders>
            <w:hideMark/>
          </w:tcPr>
          <w:p w14:paraId="1A46E59E" w14:textId="77777777" w:rsidR="00645EA1" w:rsidRDefault="00645EA1">
            <w:pPr>
              <w:pStyle w:val="TableText"/>
              <w:snapToGrid w:val="0"/>
              <w:rPr>
                <w:rFonts w:cs="Segoe UI"/>
                <w:b/>
                <w:kern w:val="2"/>
                <w:lang w:eastAsia="en-GB"/>
              </w:rPr>
            </w:pPr>
            <w:r>
              <w:rPr>
                <w:rFonts w:eastAsiaTheme="minorEastAsia" w:cs="Segoe UI" w:hint="eastAsia"/>
                <w:b/>
                <w:kern w:val="2"/>
                <w:lang w:eastAsia="zh-TW"/>
              </w:rPr>
              <w:t>類別</w:t>
            </w:r>
          </w:p>
        </w:tc>
        <w:tc>
          <w:tcPr>
            <w:tcW w:w="4820" w:type="dxa"/>
            <w:tcBorders>
              <w:top w:val="single" w:sz="4" w:space="0" w:color="auto"/>
              <w:left w:val="nil"/>
              <w:bottom w:val="single" w:sz="4" w:space="0" w:color="auto"/>
              <w:right w:val="single" w:sz="4" w:space="0" w:color="auto"/>
            </w:tcBorders>
            <w:hideMark/>
          </w:tcPr>
          <w:p w14:paraId="2CE3A701" w14:textId="77777777" w:rsidR="00645EA1" w:rsidRDefault="00645EA1">
            <w:pPr>
              <w:pStyle w:val="TableText"/>
              <w:snapToGrid w:val="0"/>
              <w:rPr>
                <w:rFonts w:cs="Segoe UI"/>
                <w:b/>
                <w:kern w:val="2"/>
                <w:szCs w:val="17"/>
                <w:lang w:val="en-US" w:eastAsia="en-GB"/>
              </w:rPr>
            </w:pPr>
            <w:r>
              <w:rPr>
                <w:rFonts w:eastAsiaTheme="minorEastAsia" w:cs="Segoe UI" w:hint="eastAsia"/>
                <w:b/>
                <w:kern w:val="2"/>
                <w:szCs w:val="17"/>
                <w:lang w:val="en-US" w:eastAsia="zh-TW"/>
              </w:rPr>
              <w:t>個別指標</w:t>
            </w:r>
          </w:p>
        </w:tc>
        <w:tc>
          <w:tcPr>
            <w:tcW w:w="1134" w:type="dxa"/>
            <w:tcBorders>
              <w:top w:val="single" w:sz="4" w:space="0" w:color="auto"/>
              <w:left w:val="single" w:sz="4" w:space="0" w:color="auto"/>
              <w:bottom w:val="single" w:sz="4" w:space="0" w:color="auto"/>
              <w:right w:val="single" w:sz="4" w:space="0" w:color="auto"/>
            </w:tcBorders>
            <w:hideMark/>
          </w:tcPr>
          <w:p w14:paraId="348AAB94" w14:textId="77777777" w:rsidR="00645EA1" w:rsidRDefault="00645EA1">
            <w:pPr>
              <w:pStyle w:val="TableText"/>
              <w:snapToGrid w:val="0"/>
              <w:jc w:val="center"/>
              <w:rPr>
                <w:rFonts w:cs="Segoe UI"/>
                <w:b/>
                <w:kern w:val="2"/>
                <w:szCs w:val="17"/>
              </w:rPr>
            </w:pPr>
            <w:r>
              <w:rPr>
                <w:rFonts w:eastAsiaTheme="minorEastAsia" w:cs="Segoe UI" w:hint="eastAsia"/>
                <w:b/>
                <w:kern w:val="2"/>
                <w:szCs w:val="17"/>
                <w:lang w:eastAsia="zh-TW"/>
              </w:rPr>
              <w:t>值</w:t>
            </w:r>
          </w:p>
        </w:tc>
      </w:tr>
      <w:tr w:rsidR="00645EA1" w14:paraId="41E3C119" w14:textId="77777777" w:rsidTr="00BD2BA4">
        <w:trPr>
          <w:cantSplit/>
        </w:trPr>
        <w:tc>
          <w:tcPr>
            <w:tcW w:w="571" w:type="dxa"/>
            <w:tcBorders>
              <w:top w:val="single" w:sz="4" w:space="0" w:color="auto"/>
              <w:left w:val="nil"/>
              <w:bottom w:val="single" w:sz="4" w:space="0" w:color="D9D9D9" w:themeColor="background1" w:themeShade="D9"/>
              <w:right w:val="single" w:sz="4" w:space="0" w:color="auto"/>
            </w:tcBorders>
            <w:hideMark/>
          </w:tcPr>
          <w:p w14:paraId="5E466E27" w14:textId="77777777" w:rsidR="00645EA1" w:rsidRDefault="00645EA1">
            <w:pPr>
              <w:pStyle w:val="TableText"/>
              <w:snapToGrid w:val="0"/>
              <w:rPr>
                <w:rFonts w:cs="Segoe UI"/>
                <w:kern w:val="2"/>
                <w:lang w:eastAsia="en-GB"/>
              </w:rPr>
            </w:pPr>
            <w:r>
              <w:rPr>
                <w:rFonts w:cs="Segoe UI"/>
                <w:kern w:val="2"/>
                <w:lang w:eastAsia="en-GB"/>
              </w:rPr>
              <w:t>1</w:t>
            </w:r>
          </w:p>
        </w:tc>
        <w:tc>
          <w:tcPr>
            <w:tcW w:w="2691" w:type="dxa"/>
            <w:vMerge w:val="restart"/>
            <w:tcBorders>
              <w:top w:val="single" w:sz="4" w:space="0" w:color="auto"/>
              <w:left w:val="single" w:sz="4" w:space="0" w:color="auto"/>
              <w:bottom w:val="dotted" w:sz="4" w:space="0" w:color="auto"/>
              <w:right w:val="single" w:sz="4" w:space="0" w:color="auto"/>
            </w:tcBorders>
            <w:hideMark/>
          </w:tcPr>
          <w:p w14:paraId="4EFCC4A1" w14:textId="77777777" w:rsidR="00645EA1" w:rsidRDefault="00645EA1">
            <w:pPr>
              <w:pStyle w:val="TableText"/>
              <w:snapToGrid w:val="0"/>
              <w:rPr>
                <w:rFonts w:cs="Segoe UI"/>
                <w:kern w:val="2"/>
                <w:szCs w:val="17"/>
                <w:lang w:eastAsia="en-GB"/>
              </w:rPr>
            </w:pPr>
            <w:proofErr w:type="spellStart"/>
            <w:r>
              <w:rPr>
                <w:rFonts w:eastAsia="細明體" w:cs="Segoe UI" w:hint="eastAsia"/>
                <w:kern w:val="2"/>
                <w:szCs w:val="17"/>
                <w:lang w:eastAsia="en-GB"/>
              </w:rPr>
              <w:t>跨司法管轄區活動</w:t>
            </w:r>
            <w:proofErr w:type="spellEnd"/>
          </w:p>
        </w:tc>
        <w:tc>
          <w:tcPr>
            <w:tcW w:w="4820" w:type="dxa"/>
            <w:tcBorders>
              <w:top w:val="single" w:sz="4" w:space="0" w:color="auto"/>
              <w:left w:val="single" w:sz="4" w:space="0" w:color="auto"/>
              <w:bottom w:val="single" w:sz="4" w:space="0" w:color="D9D9D9" w:themeColor="background1" w:themeShade="D9"/>
              <w:right w:val="single" w:sz="4" w:space="0" w:color="auto"/>
            </w:tcBorders>
            <w:hideMark/>
          </w:tcPr>
          <w:p w14:paraId="521034FF" w14:textId="77777777" w:rsidR="00645EA1" w:rsidRDefault="00645EA1">
            <w:pPr>
              <w:pStyle w:val="TableText"/>
              <w:snapToGrid w:val="0"/>
              <w:rPr>
                <w:rFonts w:cs="Segoe UI"/>
                <w:kern w:val="2"/>
                <w:szCs w:val="17"/>
                <w:lang w:eastAsia="en-GB"/>
              </w:rPr>
            </w:pPr>
            <w:proofErr w:type="spellStart"/>
            <w:r>
              <w:rPr>
                <w:rFonts w:eastAsia="細明體" w:cs="Segoe UI" w:hint="eastAsia"/>
                <w:kern w:val="2"/>
                <w:szCs w:val="17"/>
                <w:lang w:eastAsia="en-GB"/>
              </w:rPr>
              <w:t>跨司法管轄區</w:t>
            </w:r>
            <w:proofErr w:type="spellEnd"/>
            <w:r>
              <w:rPr>
                <w:rFonts w:eastAsia="細明體" w:cs="Segoe UI" w:hint="eastAsia"/>
                <w:kern w:val="2"/>
                <w:szCs w:val="17"/>
                <w:lang w:eastAsia="zh-TW"/>
              </w:rPr>
              <w:t>債權</w:t>
            </w:r>
          </w:p>
        </w:tc>
        <w:tc>
          <w:tcPr>
            <w:tcW w:w="1134" w:type="dxa"/>
            <w:tcBorders>
              <w:top w:val="single" w:sz="4" w:space="0" w:color="auto"/>
              <w:left w:val="single" w:sz="4" w:space="0" w:color="auto"/>
              <w:bottom w:val="single" w:sz="4" w:space="0" w:color="D9D9D9" w:themeColor="background1" w:themeShade="D9"/>
              <w:right w:val="single" w:sz="4" w:space="0" w:color="auto"/>
            </w:tcBorders>
            <w:vAlign w:val="center"/>
          </w:tcPr>
          <w:p w14:paraId="52CDF2AD" w14:textId="77777777" w:rsidR="00645EA1" w:rsidRDefault="00645EA1">
            <w:pPr>
              <w:pStyle w:val="TableText"/>
              <w:snapToGrid w:val="0"/>
              <w:rPr>
                <w:rFonts w:cs="Segoe UI"/>
                <w:kern w:val="2"/>
                <w:szCs w:val="17"/>
                <w:lang w:eastAsia="en-GB"/>
              </w:rPr>
            </w:pPr>
          </w:p>
        </w:tc>
      </w:tr>
      <w:tr w:rsidR="00645EA1" w14:paraId="4A030474" w14:textId="77777777" w:rsidTr="00BD2BA4">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5973A549" w14:textId="77777777" w:rsidR="00645EA1" w:rsidRDefault="00645EA1">
            <w:pPr>
              <w:pStyle w:val="TableText"/>
              <w:snapToGrid w:val="0"/>
              <w:rPr>
                <w:rFonts w:cs="Segoe UI"/>
                <w:kern w:val="2"/>
                <w:lang w:eastAsia="en-GB"/>
              </w:rPr>
            </w:pPr>
            <w:r>
              <w:rPr>
                <w:rFonts w:cs="Segoe UI"/>
                <w:kern w:val="2"/>
                <w:lang w:eastAsia="en-GB"/>
              </w:rPr>
              <w:t>2</w:t>
            </w:r>
          </w:p>
        </w:tc>
        <w:tc>
          <w:tcPr>
            <w:tcW w:w="2691" w:type="dxa"/>
            <w:vMerge/>
            <w:tcBorders>
              <w:top w:val="single" w:sz="4" w:space="0" w:color="auto"/>
              <w:left w:val="single" w:sz="4" w:space="0" w:color="auto"/>
              <w:bottom w:val="dotted" w:sz="4" w:space="0" w:color="auto"/>
              <w:right w:val="single" w:sz="4" w:space="0" w:color="auto"/>
            </w:tcBorders>
            <w:vAlign w:val="center"/>
            <w:hideMark/>
          </w:tcPr>
          <w:p w14:paraId="4498CD1E" w14:textId="77777777" w:rsidR="00645EA1" w:rsidRDefault="00645EA1">
            <w:pPr>
              <w:rPr>
                <w:rFonts w:cs="Segoe UI"/>
                <w:kern w:val="2"/>
                <w:sz w:val="17"/>
                <w:szCs w:val="17"/>
                <w:lang w:eastAsia="en-GB"/>
              </w:rPr>
            </w:pPr>
          </w:p>
        </w:tc>
        <w:tc>
          <w:tcPr>
            <w:tcW w:w="4820" w:type="dxa"/>
            <w:tcBorders>
              <w:top w:val="single" w:sz="4" w:space="0" w:color="D9D9D9" w:themeColor="background1" w:themeShade="D9"/>
              <w:left w:val="single" w:sz="4" w:space="0" w:color="auto"/>
              <w:bottom w:val="dotted" w:sz="4" w:space="0" w:color="auto"/>
              <w:right w:val="single" w:sz="4" w:space="0" w:color="auto"/>
            </w:tcBorders>
            <w:hideMark/>
          </w:tcPr>
          <w:p w14:paraId="3501CB72" w14:textId="77777777" w:rsidR="00645EA1" w:rsidRDefault="00645EA1">
            <w:pPr>
              <w:pStyle w:val="TableText"/>
              <w:snapToGrid w:val="0"/>
              <w:rPr>
                <w:rFonts w:cs="Segoe UI"/>
                <w:kern w:val="2"/>
                <w:szCs w:val="17"/>
                <w:lang w:eastAsia="en-GB"/>
              </w:rPr>
            </w:pPr>
            <w:r>
              <w:rPr>
                <w:rFonts w:eastAsiaTheme="minorEastAsia" w:cs="Segoe UI" w:hint="eastAsia"/>
                <w:kern w:val="2"/>
                <w:szCs w:val="17"/>
                <w:lang w:eastAsia="zh-TW"/>
              </w:rPr>
              <w:t>跨司法管轄區負債</w:t>
            </w:r>
          </w:p>
        </w:tc>
        <w:tc>
          <w:tcPr>
            <w:tcW w:w="1134" w:type="dxa"/>
            <w:tcBorders>
              <w:top w:val="single" w:sz="4" w:space="0" w:color="D9D9D9" w:themeColor="background1" w:themeShade="D9"/>
              <w:left w:val="single" w:sz="4" w:space="0" w:color="auto"/>
              <w:bottom w:val="dotted" w:sz="4" w:space="0" w:color="auto"/>
              <w:right w:val="single" w:sz="4" w:space="0" w:color="auto"/>
            </w:tcBorders>
            <w:vAlign w:val="center"/>
          </w:tcPr>
          <w:p w14:paraId="20E69C33" w14:textId="77777777" w:rsidR="00645EA1" w:rsidRDefault="00645EA1">
            <w:pPr>
              <w:pStyle w:val="TableText"/>
              <w:snapToGrid w:val="0"/>
              <w:rPr>
                <w:rFonts w:cs="Segoe UI"/>
                <w:kern w:val="2"/>
                <w:szCs w:val="17"/>
                <w:lang w:eastAsia="en-GB"/>
              </w:rPr>
            </w:pPr>
          </w:p>
        </w:tc>
      </w:tr>
      <w:tr w:rsidR="00645EA1" w14:paraId="33716143" w14:textId="77777777" w:rsidTr="00BD2BA4">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70CEAB42" w14:textId="77777777" w:rsidR="00645EA1" w:rsidRDefault="00645EA1">
            <w:pPr>
              <w:pStyle w:val="TableText"/>
              <w:snapToGrid w:val="0"/>
              <w:rPr>
                <w:rFonts w:cs="Segoe UI"/>
                <w:kern w:val="2"/>
                <w:lang w:eastAsia="en-GB"/>
              </w:rPr>
            </w:pPr>
            <w:r>
              <w:rPr>
                <w:rFonts w:cs="Segoe UI"/>
                <w:kern w:val="2"/>
                <w:lang w:eastAsia="en-GB"/>
              </w:rPr>
              <w:t>3</w:t>
            </w:r>
          </w:p>
        </w:tc>
        <w:tc>
          <w:tcPr>
            <w:tcW w:w="2691" w:type="dxa"/>
            <w:tcBorders>
              <w:top w:val="dotted" w:sz="4" w:space="0" w:color="auto"/>
              <w:left w:val="single" w:sz="4" w:space="0" w:color="auto"/>
              <w:bottom w:val="dotted" w:sz="4" w:space="0" w:color="auto"/>
              <w:right w:val="single" w:sz="4" w:space="0" w:color="auto"/>
            </w:tcBorders>
            <w:hideMark/>
          </w:tcPr>
          <w:p w14:paraId="438CEA01" w14:textId="77777777" w:rsidR="00645EA1" w:rsidRDefault="00645EA1" w:rsidP="00645EA1">
            <w:pPr>
              <w:pStyle w:val="TableText"/>
              <w:snapToGrid w:val="0"/>
              <w:ind w:left="177" w:hangingChars="104" w:hanging="177"/>
              <w:rPr>
                <w:rFonts w:cs="Segoe UI"/>
                <w:kern w:val="2"/>
                <w:szCs w:val="17"/>
              </w:rPr>
            </w:pPr>
            <w:r>
              <w:rPr>
                <w:rFonts w:eastAsiaTheme="minorEastAsia" w:cs="Segoe UI" w:hint="eastAsia"/>
                <w:kern w:val="2"/>
                <w:szCs w:val="17"/>
                <w:lang w:eastAsia="zh-TW"/>
              </w:rPr>
              <w:t>規模</w:t>
            </w:r>
          </w:p>
        </w:tc>
        <w:tc>
          <w:tcPr>
            <w:tcW w:w="4820" w:type="dxa"/>
            <w:tcBorders>
              <w:top w:val="dotted" w:sz="4" w:space="0" w:color="auto"/>
              <w:left w:val="single" w:sz="4" w:space="0" w:color="auto"/>
              <w:bottom w:val="dotted" w:sz="4" w:space="0" w:color="auto"/>
              <w:right w:val="single" w:sz="4" w:space="0" w:color="auto"/>
            </w:tcBorders>
            <w:hideMark/>
          </w:tcPr>
          <w:p w14:paraId="0FF9F8EA" w14:textId="1FF23728" w:rsidR="00645EA1" w:rsidRDefault="00645EA1">
            <w:pPr>
              <w:pStyle w:val="TableText"/>
              <w:snapToGrid w:val="0"/>
              <w:rPr>
                <w:rFonts w:cs="Segoe UI"/>
                <w:kern w:val="2"/>
                <w:szCs w:val="17"/>
                <w:lang w:eastAsia="en-GB"/>
              </w:rPr>
            </w:pPr>
            <w:r>
              <w:rPr>
                <w:rFonts w:eastAsiaTheme="minorEastAsia" w:cs="Segoe UI" w:hint="eastAsia"/>
                <w:kern w:val="2"/>
                <w:szCs w:val="17"/>
                <w:lang w:eastAsia="zh-TW"/>
              </w:rPr>
              <w:t>風險承擔總額</w:t>
            </w:r>
            <w:r w:rsidR="00BD2BA4">
              <w:rPr>
                <w:rFonts w:eastAsiaTheme="minorEastAsia" w:cs="Segoe UI" w:hint="eastAsia"/>
                <w:kern w:val="2"/>
                <w:szCs w:val="17"/>
                <w:lang w:eastAsia="zh-TW"/>
              </w:rPr>
              <w:t>*</w:t>
            </w:r>
          </w:p>
        </w:tc>
        <w:tc>
          <w:tcPr>
            <w:tcW w:w="1134" w:type="dxa"/>
            <w:tcBorders>
              <w:top w:val="dotted" w:sz="4" w:space="0" w:color="auto"/>
              <w:left w:val="single" w:sz="4" w:space="0" w:color="auto"/>
              <w:bottom w:val="dotted" w:sz="4" w:space="0" w:color="auto"/>
              <w:right w:val="single" w:sz="4" w:space="0" w:color="auto"/>
            </w:tcBorders>
          </w:tcPr>
          <w:p w14:paraId="03CEE69A" w14:textId="77777777" w:rsidR="00645EA1" w:rsidRDefault="00645EA1">
            <w:pPr>
              <w:pStyle w:val="TableText"/>
              <w:snapToGrid w:val="0"/>
              <w:rPr>
                <w:rFonts w:cs="Segoe UI"/>
                <w:kern w:val="2"/>
                <w:szCs w:val="17"/>
                <w:lang w:eastAsia="en-GB"/>
              </w:rPr>
            </w:pPr>
          </w:p>
        </w:tc>
      </w:tr>
      <w:tr w:rsidR="00645EA1" w14:paraId="6288A534" w14:textId="77777777" w:rsidTr="00BD2BA4">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1FAD0D7A" w14:textId="77777777" w:rsidR="00645EA1" w:rsidRDefault="00645EA1">
            <w:pPr>
              <w:pStyle w:val="TableText"/>
              <w:snapToGrid w:val="0"/>
              <w:rPr>
                <w:rFonts w:cs="Segoe UI"/>
                <w:kern w:val="2"/>
                <w:lang w:eastAsia="en-GB"/>
              </w:rPr>
            </w:pPr>
            <w:r>
              <w:rPr>
                <w:rFonts w:cs="Segoe UI"/>
                <w:kern w:val="2"/>
                <w:lang w:eastAsia="en-GB"/>
              </w:rPr>
              <w:t>4</w:t>
            </w:r>
          </w:p>
        </w:tc>
        <w:tc>
          <w:tcPr>
            <w:tcW w:w="2691" w:type="dxa"/>
            <w:vMerge w:val="restart"/>
            <w:tcBorders>
              <w:top w:val="dotted" w:sz="4" w:space="0" w:color="auto"/>
              <w:left w:val="single" w:sz="4" w:space="0" w:color="auto"/>
              <w:bottom w:val="dotted" w:sz="4" w:space="0" w:color="auto"/>
              <w:right w:val="single" w:sz="4" w:space="0" w:color="auto"/>
            </w:tcBorders>
            <w:hideMark/>
          </w:tcPr>
          <w:p w14:paraId="4CEAB565" w14:textId="77777777" w:rsidR="00645EA1" w:rsidRDefault="00645EA1">
            <w:pPr>
              <w:pStyle w:val="TableText"/>
              <w:snapToGrid w:val="0"/>
              <w:rPr>
                <w:rFonts w:cs="Segoe UI"/>
                <w:kern w:val="2"/>
                <w:szCs w:val="17"/>
                <w:lang w:eastAsia="zh-TW"/>
              </w:rPr>
            </w:pPr>
            <w:r>
              <w:rPr>
                <w:rFonts w:eastAsiaTheme="minorEastAsia" w:cs="Segoe UI" w:hint="eastAsia"/>
                <w:kern w:val="2"/>
                <w:szCs w:val="17"/>
                <w:lang w:eastAsia="zh-TW"/>
              </w:rPr>
              <w:t>與其他金融機構的互相關連性</w:t>
            </w:r>
          </w:p>
        </w:tc>
        <w:tc>
          <w:tcPr>
            <w:tcW w:w="4820" w:type="dxa"/>
            <w:tcBorders>
              <w:top w:val="dotted" w:sz="4" w:space="0" w:color="auto"/>
              <w:left w:val="single" w:sz="4" w:space="0" w:color="auto"/>
              <w:bottom w:val="single" w:sz="4" w:space="0" w:color="D9D9D9" w:themeColor="background1" w:themeShade="D9"/>
              <w:right w:val="single" w:sz="4" w:space="0" w:color="auto"/>
            </w:tcBorders>
            <w:hideMark/>
          </w:tcPr>
          <w:p w14:paraId="633DC6BF" w14:textId="79041592" w:rsidR="00645EA1" w:rsidRDefault="00645EA1">
            <w:pPr>
              <w:pStyle w:val="TableText"/>
              <w:snapToGrid w:val="0"/>
              <w:rPr>
                <w:rFonts w:cs="Segoe UI"/>
                <w:kern w:val="2"/>
                <w:szCs w:val="17"/>
                <w:lang w:eastAsia="en-GB"/>
              </w:rPr>
            </w:pPr>
            <w:r>
              <w:rPr>
                <w:rFonts w:eastAsiaTheme="minorEastAsia" w:cs="Segoe UI" w:hint="eastAsia"/>
                <w:kern w:val="2"/>
                <w:szCs w:val="17"/>
                <w:lang w:eastAsia="zh-TW"/>
              </w:rPr>
              <w:t>金融體系內資產</w:t>
            </w:r>
            <w:r w:rsidR="00BD2BA4">
              <w:rPr>
                <w:rFonts w:eastAsiaTheme="minorEastAsia" w:cs="Segoe UI" w:hint="eastAsia"/>
                <w:kern w:val="2"/>
                <w:szCs w:val="17"/>
                <w:lang w:eastAsia="zh-TW"/>
              </w:rPr>
              <w:t>*</w:t>
            </w:r>
          </w:p>
        </w:tc>
        <w:tc>
          <w:tcPr>
            <w:tcW w:w="1134" w:type="dxa"/>
            <w:tcBorders>
              <w:top w:val="dotted" w:sz="4" w:space="0" w:color="auto"/>
              <w:left w:val="single" w:sz="4" w:space="0" w:color="auto"/>
              <w:bottom w:val="single" w:sz="4" w:space="0" w:color="D9D9D9" w:themeColor="background1" w:themeShade="D9"/>
              <w:right w:val="single" w:sz="4" w:space="0" w:color="auto"/>
            </w:tcBorders>
          </w:tcPr>
          <w:p w14:paraId="53FE6C2C" w14:textId="77777777" w:rsidR="00645EA1" w:rsidRDefault="00645EA1">
            <w:pPr>
              <w:pStyle w:val="TableText"/>
              <w:snapToGrid w:val="0"/>
              <w:rPr>
                <w:rFonts w:cs="Segoe UI"/>
                <w:kern w:val="2"/>
                <w:szCs w:val="17"/>
                <w:lang w:eastAsia="en-GB"/>
              </w:rPr>
            </w:pPr>
          </w:p>
        </w:tc>
      </w:tr>
      <w:tr w:rsidR="00645EA1" w14:paraId="2805C71B" w14:textId="77777777" w:rsidTr="00BD2BA4">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2F36B833" w14:textId="77777777" w:rsidR="00645EA1" w:rsidRDefault="00645EA1">
            <w:pPr>
              <w:pStyle w:val="TableText"/>
              <w:snapToGrid w:val="0"/>
              <w:rPr>
                <w:rFonts w:cs="Segoe UI"/>
                <w:kern w:val="2"/>
                <w:lang w:eastAsia="en-GB"/>
              </w:rPr>
            </w:pPr>
            <w:r>
              <w:rPr>
                <w:rFonts w:cs="Segoe UI"/>
                <w:kern w:val="2"/>
                <w:lang w:eastAsia="en-GB"/>
              </w:rPr>
              <w:t>5</w:t>
            </w:r>
          </w:p>
        </w:tc>
        <w:tc>
          <w:tcPr>
            <w:tcW w:w="2691" w:type="dxa"/>
            <w:vMerge/>
            <w:tcBorders>
              <w:top w:val="dotted" w:sz="4" w:space="0" w:color="auto"/>
              <w:left w:val="single" w:sz="4" w:space="0" w:color="auto"/>
              <w:bottom w:val="dotted" w:sz="4" w:space="0" w:color="auto"/>
              <w:right w:val="single" w:sz="4" w:space="0" w:color="auto"/>
            </w:tcBorders>
            <w:vAlign w:val="center"/>
            <w:hideMark/>
          </w:tcPr>
          <w:p w14:paraId="61453D1D" w14:textId="77777777" w:rsidR="00645EA1" w:rsidRDefault="00645EA1">
            <w:pPr>
              <w:rPr>
                <w:rFonts w:cs="Segoe UI"/>
                <w:kern w:val="2"/>
                <w:sz w:val="17"/>
                <w:szCs w:val="17"/>
                <w:lang w:eastAsia="zh-TW"/>
              </w:rPr>
            </w:pPr>
          </w:p>
        </w:tc>
        <w:tc>
          <w:tcPr>
            <w:tcW w:w="48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8467167" w14:textId="52903CE7" w:rsidR="00645EA1" w:rsidRDefault="00645EA1">
            <w:pPr>
              <w:pStyle w:val="TableText"/>
              <w:snapToGrid w:val="0"/>
              <w:rPr>
                <w:rFonts w:cs="Segoe UI"/>
                <w:kern w:val="2"/>
                <w:szCs w:val="17"/>
                <w:lang w:eastAsia="en-GB"/>
              </w:rPr>
            </w:pPr>
            <w:r>
              <w:rPr>
                <w:rFonts w:eastAsiaTheme="minorEastAsia" w:cs="Segoe UI" w:hint="eastAsia"/>
                <w:kern w:val="2"/>
                <w:szCs w:val="17"/>
                <w:lang w:eastAsia="zh-TW"/>
              </w:rPr>
              <w:t>金融體系內負債</w:t>
            </w:r>
            <w:r w:rsidR="00BD2BA4">
              <w:rPr>
                <w:rFonts w:eastAsiaTheme="minorEastAsia" w:cs="Segoe UI" w:hint="eastAsia"/>
                <w:kern w:val="2"/>
                <w:szCs w:val="17"/>
                <w:lang w:eastAsia="zh-TW"/>
              </w:rPr>
              <w:t>*</w:t>
            </w:r>
          </w:p>
        </w:tc>
        <w:tc>
          <w:tcPr>
            <w:tcW w:w="1134"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1795D87" w14:textId="77777777" w:rsidR="00645EA1" w:rsidRDefault="00645EA1">
            <w:pPr>
              <w:pStyle w:val="TableText"/>
              <w:snapToGrid w:val="0"/>
              <w:rPr>
                <w:rFonts w:cs="Segoe UI"/>
                <w:kern w:val="2"/>
                <w:szCs w:val="17"/>
                <w:lang w:eastAsia="en-GB"/>
              </w:rPr>
            </w:pPr>
          </w:p>
        </w:tc>
      </w:tr>
      <w:tr w:rsidR="00645EA1" w14:paraId="2DE436F3" w14:textId="77777777" w:rsidTr="00BD2BA4">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00B42018" w14:textId="77777777" w:rsidR="00645EA1" w:rsidRDefault="00645EA1">
            <w:pPr>
              <w:pStyle w:val="TableText"/>
              <w:snapToGrid w:val="0"/>
              <w:rPr>
                <w:rFonts w:cs="Segoe UI"/>
                <w:kern w:val="2"/>
                <w:lang w:eastAsia="en-GB"/>
              </w:rPr>
            </w:pPr>
            <w:r>
              <w:rPr>
                <w:rFonts w:cs="Segoe UI"/>
                <w:kern w:val="2"/>
                <w:lang w:eastAsia="en-GB"/>
              </w:rPr>
              <w:t>6</w:t>
            </w:r>
          </w:p>
        </w:tc>
        <w:tc>
          <w:tcPr>
            <w:tcW w:w="2691" w:type="dxa"/>
            <w:vMerge/>
            <w:tcBorders>
              <w:top w:val="dotted" w:sz="4" w:space="0" w:color="auto"/>
              <w:left w:val="single" w:sz="4" w:space="0" w:color="auto"/>
              <w:bottom w:val="dotted" w:sz="4" w:space="0" w:color="auto"/>
              <w:right w:val="single" w:sz="4" w:space="0" w:color="auto"/>
            </w:tcBorders>
            <w:vAlign w:val="center"/>
            <w:hideMark/>
          </w:tcPr>
          <w:p w14:paraId="193FEA10" w14:textId="77777777" w:rsidR="00645EA1" w:rsidRDefault="00645EA1">
            <w:pPr>
              <w:rPr>
                <w:rFonts w:cs="Segoe UI"/>
                <w:kern w:val="2"/>
                <w:sz w:val="17"/>
                <w:szCs w:val="17"/>
                <w:lang w:eastAsia="zh-TW"/>
              </w:rPr>
            </w:pPr>
          </w:p>
        </w:tc>
        <w:tc>
          <w:tcPr>
            <w:tcW w:w="4820" w:type="dxa"/>
            <w:tcBorders>
              <w:top w:val="single" w:sz="4" w:space="0" w:color="D9D9D9" w:themeColor="background1" w:themeShade="D9"/>
              <w:left w:val="single" w:sz="4" w:space="0" w:color="auto"/>
              <w:bottom w:val="dotted" w:sz="4" w:space="0" w:color="auto"/>
              <w:right w:val="single" w:sz="4" w:space="0" w:color="auto"/>
            </w:tcBorders>
            <w:hideMark/>
          </w:tcPr>
          <w:p w14:paraId="44031F86" w14:textId="048DDFBF" w:rsidR="00645EA1" w:rsidRDefault="00645EA1">
            <w:pPr>
              <w:pStyle w:val="TableText"/>
              <w:snapToGrid w:val="0"/>
              <w:rPr>
                <w:rFonts w:cs="Segoe UI"/>
                <w:kern w:val="2"/>
                <w:szCs w:val="17"/>
                <w:lang w:eastAsia="zh-TW"/>
              </w:rPr>
            </w:pPr>
            <w:proofErr w:type="gramStart"/>
            <w:r>
              <w:rPr>
                <w:rFonts w:eastAsiaTheme="minorEastAsia" w:cs="Segoe UI" w:hint="eastAsia"/>
                <w:kern w:val="2"/>
                <w:szCs w:val="17"/>
                <w:lang w:eastAsia="zh-TW"/>
              </w:rPr>
              <w:t>未償</w:t>
            </w:r>
            <w:proofErr w:type="gramEnd"/>
            <w:r>
              <w:rPr>
                <w:rFonts w:eastAsiaTheme="minorEastAsia" w:cs="Segoe UI" w:hint="eastAsia"/>
                <w:kern w:val="2"/>
                <w:szCs w:val="17"/>
                <w:lang w:eastAsia="zh-TW"/>
              </w:rPr>
              <w:t>還證券</w:t>
            </w:r>
            <w:r w:rsidR="00BD2BA4">
              <w:rPr>
                <w:rFonts w:eastAsiaTheme="minorEastAsia" w:cs="Segoe UI" w:hint="eastAsia"/>
                <w:kern w:val="2"/>
                <w:szCs w:val="17"/>
                <w:lang w:eastAsia="zh-TW"/>
              </w:rPr>
              <w:t>*</w:t>
            </w:r>
          </w:p>
        </w:tc>
        <w:tc>
          <w:tcPr>
            <w:tcW w:w="1134" w:type="dxa"/>
            <w:tcBorders>
              <w:top w:val="single" w:sz="4" w:space="0" w:color="D9D9D9" w:themeColor="background1" w:themeShade="D9"/>
              <w:left w:val="single" w:sz="4" w:space="0" w:color="auto"/>
              <w:bottom w:val="dotted" w:sz="4" w:space="0" w:color="auto"/>
              <w:right w:val="single" w:sz="4" w:space="0" w:color="auto"/>
            </w:tcBorders>
          </w:tcPr>
          <w:p w14:paraId="46DD2BC0" w14:textId="77777777" w:rsidR="00645EA1" w:rsidRDefault="00645EA1">
            <w:pPr>
              <w:pStyle w:val="TableText"/>
              <w:snapToGrid w:val="0"/>
              <w:rPr>
                <w:rFonts w:cs="Segoe UI"/>
                <w:kern w:val="2"/>
                <w:szCs w:val="17"/>
                <w:lang w:eastAsia="zh-TW"/>
              </w:rPr>
            </w:pPr>
          </w:p>
        </w:tc>
      </w:tr>
      <w:tr w:rsidR="00BD2BA4" w14:paraId="00842258" w14:textId="77777777" w:rsidTr="00E65A1E">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271CC5B8" w14:textId="77777777" w:rsidR="00BD2BA4" w:rsidRDefault="00BD2BA4">
            <w:pPr>
              <w:pStyle w:val="TableText"/>
              <w:snapToGrid w:val="0"/>
              <w:rPr>
                <w:rFonts w:cs="Segoe UI"/>
                <w:kern w:val="2"/>
                <w:lang w:eastAsia="zh-TW"/>
              </w:rPr>
            </w:pPr>
            <w:r>
              <w:rPr>
                <w:rFonts w:cs="Segoe UI"/>
                <w:kern w:val="2"/>
                <w:lang w:eastAsia="zh-TW"/>
              </w:rPr>
              <w:t>7</w:t>
            </w:r>
          </w:p>
        </w:tc>
        <w:tc>
          <w:tcPr>
            <w:tcW w:w="2691" w:type="dxa"/>
            <w:vMerge w:val="restart"/>
            <w:tcBorders>
              <w:top w:val="dotted" w:sz="4" w:space="0" w:color="auto"/>
              <w:left w:val="single" w:sz="4" w:space="0" w:color="auto"/>
              <w:right w:val="single" w:sz="4" w:space="0" w:color="auto"/>
            </w:tcBorders>
            <w:hideMark/>
          </w:tcPr>
          <w:p w14:paraId="15D9FB96" w14:textId="77777777" w:rsidR="00BD2BA4" w:rsidRDefault="00BD2BA4">
            <w:pPr>
              <w:pStyle w:val="TableText"/>
              <w:snapToGrid w:val="0"/>
              <w:rPr>
                <w:rFonts w:cs="Segoe UI"/>
                <w:kern w:val="2"/>
                <w:szCs w:val="17"/>
                <w:lang w:eastAsia="zh-TW"/>
              </w:rPr>
            </w:pPr>
            <w:r>
              <w:rPr>
                <w:rFonts w:eastAsia="細明體" w:cs="Segoe UI" w:hint="eastAsia"/>
                <w:kern w:val="2"/>
                <w:szCs w:val="17"/>
                <w:lang w:eastAsia="zh-TW"/>
              </w:rPr>
              <w:t>可取代性</w:t>
            </w:r>
            <w:r>
              <w:rPr>
                <w:rFonts w:cs="Segoe UI"/>
                <w:kern w:val="2"/>
                <w:szCs w:val="17"/>
                <w:lang w:eastAsia="zh-TW"/>
              </w:rPr>
              <w:t xml:space="preserve"> / </w:t>
            </w:r>
            <w:r>
              <w:rPr>
                <w:rFonts w:eastAsiaTheme="minorEastAsia" w:cs="Segoe UI" w:hint="eastAsia"/>
                <w:kern w:val="2"/>
                <w:szCs w:val="17"/>
                <w:lang w:eastAsia="zh-TW"/>
              </w:rPr>
              <w:t>金融機構基礎設施</w:t>
            </w:r>
          </w:p>
        </w:tc>
        <w:tc>
          <w:tcPr>
            <w:tcW w:w="4820" w:type="dxa"/>
            <w:tcBorders>
              <w:top w:val="dotted" w:sz="4" w:space="0" w:color="auto"/>
              <w:left w:val="single" w:sz="4" w:space="0" w:color="auto"/>
              <w:bottom w:val="single" w:sz="4" w:space="0" w:color="D9D9D9" w:themeColor="background1" w:themeShade="D9"/>
              <w:right w:val="single" w:sz="4" w:space="0" w:color="auto"/>
            </w:tcBorders>
            <w:hideMark/>
          </w:tcPr>
          <w:p w14:paraId="669577DD" w14:textId="77777777" w:rsidR="00BD2BA4" w:rsidRDefault="00BD2BA4">
            <w:pPr>
              <w:pStyle w:val="TableText"/>
              <w:snapToGrid w:val="0"/>
              <w:rPr>
                <w:rFonts w:cs="Segoe UI"/>
                <w:kern w:val="2"/>
                <w:szCs w:val="17"/>
                <w:lang w:eastAsia="zh-TW"/>
              </w:rPr>
            </w:pPr>
            <w:r>
              <w:rPr>
                <w:rFonts w:eastAsiaTheme="minorEastAsia" w:cs="Segoe UI" w:hint="eastAsia"/>
                <w:kern w:val="2"/>
                <w:szCs w:val="17"/>
                <w:lang w:eastAsia="zh-TW"/>
              </w:rPr>
              <w:t>託管資產</w:t>
            </w:r>
          </w:p>
        </w:tc>
        <w:tc>
          <w:tcPr>
            <w:tcW w:w="1134" w:type="dxa"/>
            <w:tcBorders>
              <w:top w:val="dotted" w:sz="4" w:space="0" w:color="auto"/>
              <w:left w:val="single" w:sz="4" w:space="0" w:color="auto"/>
              <w:bottom w:val="single" w:sz="4" w:space="0" w:color="D9D9D9" w:themeColor="background1" w:themeShade="D9"/>
              <w:right w:val="single" w:sz="4" w:space="0" w:color="auto"/>
            </w:tcBorders>
          </w:tcPr>
          <w:p w14:paraId="0F245957" w14:textId="77777777" w:rsidR="00BD2BA4" w:rsidRDefault="00BD2BA4">
            <w:pPr>
              <w:pStyle w:val="TableText"/>
              <w:snapToGrid w:val="0"/>
              <w:rPr>
                <w:rFonts w:cs="Segoe UI"/>
                <w:kern w:val="2"/>
                <w:szCs w:val="17"/>
                <w:lang w:eastAsia="zh-TW"/>
              </w:rPr>
            </w:pPr>
          </w:p>
        </w:tc>
      </w:tr>
      <w:tr w:rsidR="00BD2BA4" w14:paraId="3AF21E6A" w14:textId="77777777" w:rsidTr="00E65A1E">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6826453C" w14:textId="77777777" w:rsidR="00BD2BA4" w:rsidRDefault="00BD2BA4">
            <w:pPr>
              <w:pStyle w:val="TableText"/>
              <w:snapToGrid w:val="0"/>
              <w:rPr>
                <w:rFonts w:cs="Segoe UI"/>
                <w:kern w:val="2"/>
                <w:lang w:eastAsia="zh-TW"/>
              </w:rPr>
            </w:pPr>
            <w:r>
              <w:rPr>
                <w:rFonts w:cs="Segoe UI"/>
                <w:kern w:val="2"/>
                <w:lang w:eastAsia="zh-TW"/>
              </w:rPr>
              <w:t>8</w:t>
            </w:r>
          </w:p>
        </w:tc>
        <w:tc>
          <w:tcPr>
            <w:tcW w:w="2691" w:type="dxa"/>
            <w:vMerge/>
            <w:tcBorders>
              <w:left w:val="single" w:sz="4" w:space="0" w:color="auto"/>
              <w:right w:val="single" w:sz="4" w:space="0" w:color="auto"/>
            </w:tcBorders>
            <w:vAlign w:val="center"/>
            <w:hideMark/>
          </w:tcPr>
          <w:p w14:paraId="1F3B02A4" w14:textId="77777777" w:rsidR="00BD2BA4" w:rsidRDefault="00BD2BA4">
            <w:pPr>
              <w:rPr>
                <w:rFonts w:cs="Segoe UI"/>
                <w:kern w:val="2"/>
                <w:sz w:val="17"/>
                <w:szCs w:val="17"/>
                <w:lang w:eastAsia="zh-TW"/>
              </w:rPr>
            </w:pPr>
          </w:p>
        </w:tc>
        <w:tc>
          <w:tcPr>
            <w:tcW w:w="48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5E1057A" w14:textId="77777777" w:rsidR="00BD2BA4" w:rsidRDefault="00BD2BA4">
            <w:pPr>
              <w:pStyle w:val="TableText"/>
              <w:snapToGrid w:val="0"/>
              <w:rPr>
                <w:rFonts w:cs="Segoe UI"/>
                <w:kern w:val="2"/>
                <w:szCs w:val="17"/>
                <w:lang w:eastAsia="zh-TW"/>
              </w:rPr>
            </w:pPr>
            <w:r>
              <w:rPr>
                <w:rFonts w:eastAsiaTheme="minorEastAsia" w:cs="Segoe UI" w:hint="eastAsia"/>
                <w:kern w:val="2"/>
                <w:szCs w:val="17"/>
                <w:lang w:eastAsia="zh-TW"/>
              </w:rPr>
              <w:t>支付活動</w:t>
            </w:r>
          </w:p>
        </w:tc>
        <w:tc>
          <w:tcPr>
            <w:tcW w:w="1134"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149BE021" w14:textId="77777777" w:rsidR="00BD2BA4" w:rsidRDefault="00BD2BA4">
            <w:pPr>
              <w:pStyle w:val="TableText"/>
              <w:snapToGrid w:val="0"/>
              <w:rPr>
                <w:rFonts w:cs="Segoe UI"/>
                <w:kern w:val="2"/>
                <w:szCs w:val="17"/>
                <w:lang w:eastAsia="zh-TW"/>
              </w:rPr>
            </w:pPr>
          </w:p>
        </w:tc>
      </w:tr>
      <w:tr w:rsidR="00BD2BA4" w14:paraId="22E243F3" w14:textId="77777777" w:rsidTr="00E65A1E">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7585ACD5" w14:textId="77777777" w:rsidR="00BD2BA4" w:rsidRDefault="00BD2BA4">
            <w:pPr>
              <w:pStyle w:val="TableText"/>
              <w:snapToGrid w:val="0"/>
              <w:rPr>
                <w:rFonts w:cs="Segoe UI"/>
                <w:kern w:val="2"/>
                <w:lang w:eastAsia="zh-TW"/>
              </w:rPr>
            </w:pPr>
            <w:r>
              <w:rPr>
                <w:rFonts w:cs="Segoe UI"/>
                <w:kern w:val="2"/>
                <w:lang w:eastAsia="zh-TW"/>
              </w:rPr>
              <w:t>9</w:t>
            </w:r>
          </w:p>
        </w:tc>
        <w:tc>
          <w:tcPr>
            <w:tcW w:w="2691" w:type="dxa"/>
            <w:vMerge/>
            <w:tcBorders>
              <w:left w:val="single" w:sz="4" w:space="0" w:color="auto"/>
              <w:right w:val="single" w:sz="4" w:space="0" w:color="auto"/>
            </w:tcBorders>
            <w:vAlign w:val="center"/>
            <w:hideMark/>
          </w:tcPr>
          <w:p w14:paraId="24446FE6" w14:textId="77777777" w:rsidR="00BD2BA4" w:rsidRDefault="00BD2BA4">
            <w:pPr>
              <w:rPr>
                <w:rFonts w:cs="Segoe UI"/>
                <w:kern w:val="2"/>
                <w:sz w:val="17"/>
                <w:szCs w:val="17"/>
                <w:lang w:eastAsia="zh-TW"/>
              </w:rPr>
            </w:pPr>
          </w:p>
        </w:tc>
        <w:tc>
          <w:tcPr>
            <w:tcW w:w="4820" w:type="dxa"/>
            <w:tcBorders>
              <w:top w:val="single" w:sz="4" w:space="0" w:color="D9D9D9" w:themeColor="background1" w:themeShade="D9"/>
              <w:left w:val="single" w:sz="4" w:space="0" w:color="auto"/>
              <w:bottom w:val="dotted" w:sz="4" w:space="0" w:color="auto"/>
              <w:right w:val="single" w:sz="4" w:space="0" w:color="auto"/>
            </w:tcBorders>
            <w:hideMark/>
          </w:tcPr>
          <w:p w14:paraId="7085A298" w14:textId="77777777" w:rsidR="00BD2BA4" w:rsidRDefault="00BD2BA4">
            <w:pPr>
              <w:pStyle w:val="TableText"/>
              <w:snapToGrid w:val="0"/>
              <w:rPr>
                <w:rFonts w:cs="Segoe UI"/>
                <w:kern w:val="2"/>
                <w:szCs w:val="17"/>
                <w:lang w:eastAsia="zh-TW"/>
              </w:rPr>
            </w:pPr>
            <w:r>
              <w:rPr>
                <w:rFonts w:eastAsiaTheme="minorEastAsia" w:cs="Segoe UI" w:hint="eastAsia"/>
                <w:kern w:val="2"/>
                <w:szCs w:val="17"/>
                <w:lang w:eastAsia="zh-TW"/>
              </w:rPr>
              <w:t>債券及股票市場包銷交易</w:t>
            </w:r>
          </w:p>
        </w:tc>
        <w:tc>
          <w:tcPr>
            <w:tcW w:w="1134" w:type="dxa"/>
            <w:tcBorders>
              <w:top w:val="single" w:sz="4" w:space="0" w:color="D9D9D9" w:themeColor="background1" w:themeShade="D9"/>
              <w:left w:val="single" w:sz="4" w:space="0" w:color="auto"/>
              <w:bottom w:val="dotted" w:sz="4" w:space="0" w:color="auto"/>
              <w:right w:val="single" w:sz="4" w:space="0" w:color="auto"/>
            </w:tcBorders>
          </w:tcPr>
          <w:p w14:paraId="51BB8B77" w14:textId="77777777" w:rsidR="00BD2BA4" w:rsidRDefault="00BD2BA4">
            <w:pPr>
              <w:pStyle w:val="TableText"/>
              <w:snapToGrid w:val="0"/>
              <w:rPr>
                <w:rFonts w:cs="Segoe UI"/>
                <w:kern w:val="2"/>
                <w:szCs w:val="17"/>
                <w:lang w:eastAsia="zh-TW"/>
              </w:rPr>
            </w:pPr>
          </w:p>
        </w:tc>
      </w:tr>
      <w:tr w:rsidR="00BD2BA4" w14:paraId="2BD98BC0" w14:textId="77777777" w:rsidTr="00E65A1E">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tcPr>
          <w:p w14:paraId="45A4B92A" w14:textId="0E2447A1" w:rsidR="00BD2BA4" w:rsidRPr="00BD2BA4" w:rsidRDefault="00BD2BA4">
            <w:pPr>
              <w:pStyle w:val="TableText"/>
              <w:snapToGrid w:val="0"/>
              <w:rPr>
                <w:rFonts w:cs="Segoe UI"/>
                <w:kern w:val="2"/>
                <w:lang w:eastAsia="zh-TW"/>
              </w:rPr>
            </w:pPr>
            <w:r>
              <w:rPr>
                <w:rFonts w:eastAsiaTheme="minorEastAsia" w:cs="Segoe UI" w:hint="eastAsia"/>
                <w:kern w:val="2"/>
                <w:lang w:eastAsia="zh-TW"/>
              </w:rPr>
              <w:t>10</w:t>
            </w:r>
            <w:r>
              <w:rPr>
                <w:rFonts w:eastAsiaTheme="minorEastAsia" w:cs="Segoe UI"/>
                <w:kern w:val="2"/>
                <w:lang w:eastAsia="zh-TW"/>
              </w:rPr>
              <w:t>a</w:t>
            </w:r>
          </w:p>
        </w:tc>
        <w:tc>
          <w:tcPr>
            <w:tcW w:w="2691" w:type="dxa"/>
            <w:vMerge/>
            <w:tcBorders>
              <w:left w:val="single" w:sz="4" w:space="0" w:color="auto"/>
              <w:right w:val="single" w:sz="4" w:space="0" w:color="auto"/>
            </w:tcBorders>
            <w:vAlign w:val="center"/>
          </w:tcPr>
          <w:p w14:paraId="5B605646" w14:textId="77777777" w:rsidR="00BD2BA4" w:rsidRDefault="00BD2BA4">
            <w:pPr>
              <w:rPr>
                <w:rFonts w:cs="Segoe UI"/>
                <w:kern w:val="2"/>
                <w:sz w:val="17"/>
                <w:szCs w:val="17"/>
                <w:lang w:eastAsia="zh-TW"/>
              </w:rPr>
            </w:pPr>
          </w:p>
        </w:tc>
        <w:tc>
          <w:tcPr>
            <w:tcW w:w="4820" w:type="dxa"/>
            <w:tcBorders>
              <w:top w:val="single" w:sz="4" w:space="0" w:color="D9D9D9" w:themeColor="background1" w:themeShade="D9"/>
              <w:left w:val="single" w:sz="4" w:space="0" w:color="auto"/>
              <w:bottom w:val="dotted" w:sz="4" w:space="0" w:color="auto"/>
              <w:right w:val="single" w:sz="4" w:space="0" w:color="auto"/>
            </w:tcBorders>
          </w:tcPr>
          <w:p w14:paraId="19DAA95A" w14:textId="0E3BA3DE" w:rsidR="00BD2BA4" w:rsidRDefault="00BD2BA4" w:rsidP="00BD2BA4">
            <w:pPr>
              <w:pStyle w:val="TableText"/>
              <w:snapToGrid w:val="0"/>
              <w:rPr>
                <w:rFonts w:eastAsiaTheme="minorEastAsia" w:cs="Segoe UI"/>
                <w:kern w:val="2"/>
                <w:szCs w:val="17"/>
                <w:lang w:eastAsia="zh-TW"/>
              </w:rPr>
            </w:pPr>
            <w:r>
              <w:rPr>
                <w:rFonts w:eastAsiaTheme="minorEastAsia" w:cs="Segoe UI" w:hint="eastAsia"/>
                <w:kern w:val="2"/>
                <w:szCs w:val="17"/>
                <w:lang w:eastAsia="zh-HK"/>
              </w:rPr>
              <w:t>定息工具</w:t>
            </w:r>
            <w:r>
              <w:rPr>
                <w:rFonts w:eastAsiaTheme="minorEastAsia" w:cs="Segoe UI" w:hint="eastAsia"/>
                <w:kern w:val="2"/>
                <w:szCs w:val="17"/>
                <w:lang w:eastAsia="zh-TW"/>
              </w:rPr>
              <w:t>的交易量</w:t>
            </w:r>
          </w:p>
        </w:tc>
        <w:tc>
          <w:tcPr>
            <w:tcW w:w="1134" w:type="dxa"/>
            <w:tcBorders>
              <w:top w:val="single" w:sz="4" w:space="0" w:color="D9D9D9" w:themeColor="background1" w:themeShade="D9"/>
              <w:left w:val="single" w:sz="4" w:space="0" w:color="auto"/>
              <w:bottom w:val="dotted" w:sz="4" w:space="0" w:color="auto"/>
              <w:right w:val="single" w:sz="4" w:space="0" w:color="auto"/>
            </w:tcBorders>
          </w:tcPr>
          <w:p w14:paraId="749FA713" w14:textId="77777777" w:rsidR="00BD2BA4" w:rsidRDefault="00BD2BA4">
            <w:pPr>
              <w:pStyle w:val="TableText"/>
              <w:snapToGrid w:val="0"/>
              <w:rPr>
                <w:rFonts w:cs="Segoe UI"/>
                <w:kern w:val="2"/>
                <w:szCs w:val="17"/>
                <w:lang w:eastAsia="zh-TW"/>
              </w:rPr>
            </w:pPr>
          </w:p>
        </w:tc>
      </w:tr>
      <w:tr w:rsidR="00BD2BA4" w14:paraId="35246CCE" w14:textId="77777777" w:rsidTr="00E65A1E">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tcPr>
          <w:p w14:paraId="17F61963" w14:textId="251ACD06" w:rsidR="00BD2BA4" w:rsidRDefault="00BD2BA4">
            <w:pPr>
              <w:pStyle w:val="TableText"/>
              <w:snapToGrid w:val="0"/>
              <w:rPr>
                <w:rFonts w:cs="Segoe UI"/>
                <w:kern w:val="2"/>
                <w:lang w:eastAsia="zh-TW"/>
              </w:rPr>
            </w:pPr>
            <w:r>
              <w:rPr>
                <w:rFonts w:eastAsiaTheme="minorEastAsia" w:cs="Segoe UI" w:hint="eastAsia"/>
                <w:kern w:val="2"/>
                <w:lang w:eastAsia="zh-TW"/>
              </w:rPr>
              <w:t>10</w:t>
            </w:r>
            <w:r>
              <w:rPr>
                <w:rFonts w:eastAsiaTheme="minorEastAsia" w:cs="Segoe UI"/>
                <w:kern w:val="2"/>
                <w:lang w:eastAsia="zh-TW"/>
              </w:rPr>
              <w:t>b</w:t>
            </w:r>
          </w:p>
        </w:tc>
        <w:tc>
          <w:tcPr>
            <w:tcW w:w="2691" w:type="dxa"/>
            <w:vMerge/>
            <w:tcBorders>
              <w:left w:val="single" w:sz="4" w:space="0" w:color="auto"/>
              <w:bottom w:val="dotted" w:sz="4" w:space="0" w:color="auto"/>
              <w:right w:val="single" w:sz="4" w:space="0" w:color="auto"/>
            </w:tcBorders>
            <w:vAlign w:val="center"/>
          </w:tcPr>
          <w:p w14:paraId="573898E5" w14:textId="77777777" w:rsidR="00BD2BA4" w:rsidRDefault="00BD2BA4">
            <w:pPr>
              <w:rPr>
                <w:rFonts w:cs="Segoe UI"/>
                <w:kern w:val="2"/>
                <w:sz w:val="17"/>
                <w:szCs w:val="17"/>
                <w:lang w:eastAsia="zh-TW"/>
              </w:rPr>
            </w:pPr>
          </w:p>
        </w:tc>
        <w:tc>
          <w:tcPr>
            <w:tcW w:w="4820" w:type="dxa"/>
            <w:tcBorders>
              <w:top w:val="single" w:sz="4" w:space="0" w:color="D9D9D9" w:themeColor="background1" w:themeShade="D9"/>
              <w:left w:val="single" w:sz="4" w:space="0" w:color="auto"/>
              <w:bottom w:val="dotted" w:sz="4" w:space="0" w:color="auto"/>
              <w:right w:val="single" w:sz="4" w:space="0" w:color="auto"/>
            </w:tcBorders>
          </w:tcPr>
          <w:p w14:paraId="314E704B" w14:textId="5F077B68" w:rsidR="00BD2BA4" w:rsidRDefault="00BD2BA4">
            <w:pPr>
              <w:pStyle w:val="TableText"/>
              <w:snapToGrid w:val="0"/>
              <w:rPr>
                <w:rFonts w:eastAsiaTheme="minorEastAsia" w:cs="Segoe UI"/>
                <w:kern w:val="2"/>
                <w:szCs w:val="17"/>
                <w:lang w:eastAsia="zh-TW"/>
              </w:rPr>
            </w:pPr>
            <w:r>
              <w:rPr>
                <w:rFonts w:eastAsiaTheme="minorEastAsia" w:cs="Segoe UI" w:hint="eastAsia"/>
                <w:kern w:val="2"/>
                <w:szCs w:val="17"/>
                <w:lang w:eastAsia="zh-TW"/>
              </w:rPr>
              <w:t>股</w:t>
            </w:r>
            <w:r w:rsidR="00B5422B">
              <w:rPr>
                <w:rFonts w:eastAsiaTheme="minorEastAsia" w:cs="Segoe UI" w:hint="eastAsia"/>
                <w:kern w:val="2"/>
                <w:szCs w:val="17"/>
                <w:lang w:eastAsia="zh-HK"/>
              </w:rPr>
              <w:t>票</w:t>
            </w:r>
            <w:r w:rsidRPr="009344D5">
              <w:rPr>
                <w:rFonts w:eastAsiaTheme="minorEastAsia" w:cs="Segoe UI" w:hint="eastAsia"/>
                <w:kern w:val="2"/>
                <w:szCs w:val="17"/>
                <w:lang w:eastAsia="zh-TW"/>
              </w:rPr>
              <w:t>和其他證券的交易量</w:t>
            </w:r>
          </w:p>
        </w:tc>
        <w:tc>
          <w:tcPr>
            <w:tcW w:w="1134" w:type="dxa"/>
            <w:tcBorders>
              <w:top w:val="single" w:sz="4" w:space="0" w:color="D9D9D9" w:themeColor="background1" w:themeShade="D9"/>
              <w:left w:val="single" w:sz="4" w:space="0" w:color="auto"/>
              <w:bottom w:val="dotted" w:sz="4" w:space="0" w:color="auto"/>
              <w:right w:val="single" w:sz="4" w:space="0" w:color="auto"/>
            </w:tcBorders>
          </w:tcPr>
          <w:p w14:paraId="2936C4B0" w14:textId="77777777" w:rsidR="00BD2BA4" w:rsidRDefault="00BD2BA4">
            <w:pPr>
              <w:pStyle w:val="TableText"/>
              <w:snapToGrid w:val="0"/>
              <w:rPr>
                <w:rFonts w:cs="Segoe UI"/>
                <w:kern w:val="2"/>
                <w:szCs w:val="17"/>
                <w:lang w:eastAsia="zh-TW"/>
              </w:rPr>
            </w:pPr>
          </w:p>
        </w:tc>
      </w:tr>
      <w:tr w:rsidR="00645EA1" w14:paraId="3976245A" w14:textId="77777777" w:rsidTr="00BD2BA4">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5D559472" w14:textId="07B88F48" w:rsidR="00645EA1" w:rsidRDefault="00BD2BA4">
            <w:pPr>
              <w:pStyle w:val="TableText"/>
              <w:snapToGrid w:val="0"/>
              <w:rPr>
                <w:rFonts w:cs="Segoe UI"/>
                <w:kern w:val="2"/>
                <w:lang w:eastAsia="zh-TW"/>
              </w:rPr>
            </w:pPr>
            <w:r>
              <w:rPr>
                <w:rFonts w:cs="Segoe UI"/>
                <w:kern w:val="2"/>
                <w:lang w:eastAsia="zh-TW"/>
              </w:rPr>
              <w:t>11</w:t>
            </w:r>
          </w:p>
        </w:tc>
        <w:tc>
          <w:tcPr>
            <w:tcW w:w="2691" w:type="dxa"/>
            <w:vMerge w:val="restart"/>
            <w:tcBorders>
              <w:top w:val="dotted" w:sz="4" w:space="0" w:color="auto"/>
              <w:left w:val="single" w:sz="4" w:space="0" w:color="auto"/>
              <w:bottom w:val="single" w:sz="4" w:space="0" w:color="auto"/>
              <w:right w:val="single" w:sz="4" w:space="0" w:color="auto"/>
            </w:tcBorders>
            <w:hideMark/>
          </w:tcPr>
          <w:p w14:paraId="372CCB15" w14:textId="77777777" w:rsidR="00645EA1" w:rsidRDefault="00645EA1">
            <w:pPr>
              <w:pStyle w:val="TableText"/>
              <w:snapToGrid w:val="0"/>
              <w:rPr>
                <w:rFonts w:cs="Segoe UI"/>
                <w:kern w:val="2"/>
                <w:szCs w:val="17"/>
                <w:lang w:eastAsia="zh-TW"/>
              </w:rPr>
            </w:pPr>
            <w:r>
              <w:rPr>
                <w:rFonts w:eastAsiaTheme="minorEastAsia" w:cs="Segoe UI" w:hint="eastAsia"/>
                <w:kern w:val="2"/>
                <w:szCs w:val="17"/>
                <w:lang w:eastAsia="zh-TW"/>
              </w:rPr>
              <w:t>複雜性</w:t>
            </w:r>
          </w:p>
        </w:tc>
        <w:tc>
          <w:tcPr>
            <w:tcW w:w="4820" w:type="dxa"/>
            <w:tcBorders>
              <w:top w:val="dotted" w:sz="4" w:space="0" w:color="auto"/>
              <w:left w:val="single" w:sz="4" w:space="0" w:color="auto"/>
              <w:bottom w:val="single" w:sz="4" w:space="0" w:color="D9D9D9" w:themeColor="background1" w:themeShade="D9"/>
              <w:right w:val="single" w:sz="4" w:space="0" w:color="auto"/>
            </w:tcBorders>
            <w:hideMark/>
          </w:tcPr>
          <w:p w14:paraId="4C77AD29" w14:textId="68138958" w:rsidR="00645EA1" w:rsidRDefault="00645EA1">
            <w:pPr>
              <w:pStyle w:val="TableText"/>
              <w:snapToGrid w:val="0"/>
              <w:rPr>
                <w:rFonts w:cs="Segoe UI"/>
                <w:kern w:val="2"/>
                <w:szCs w:val="17"/>
                <w:lang w:eastAsia="zh-TW"/>
              </w:rPr>
            </w:pPr>
            <w:r>
              <w:rPr>
                <w:rFonts w:eastAsiaTheme="minorEastAsia" w:cs="Segoe UI" w:hint="eastAsia"/>
                <w:kern w:val="2"/>
                <w:szCs w:val="17"/>
                <w:lang w:eastAsia="zh-TW"/>
              </w:rPr>
              <w:t>場外衍生工具名義數額</w:t>
            </w:r>
            <w:r w:rsidR="00BD2BA4">
              <w:rPr>
                <w:rFonts w:eastAsiaTheme="minorEastAsia" w:cs="Segoe UI" w:hint="eastAsia"/>
                <w:kern w:val="2"/>
                <w:szCs w:val="17"/>
                <w:lang w:eastAsia="zh-TW"/>
              </w:rPr>
              <w:t>*</w:t>
            </w:r>
          </w:p>
        </w:tc>
        <w:tc>
          <w:tcPr>
            <w:tcW w:w="1134" w:type="dxa"/>
            <w:tcBorders>
              <w:top w:val="dotted" w:sz="4" w:space="0" w:color="auto"/>
              <w:left w:val="single" w:sz="4" w:space="0" w:color="auto"/>
              <w:bottom w:val="single" w:sz="4" w:space="0" w:color="D9D9D9" w:themeColor="background1" w:themeShade="D9"/>
              <w:right w:val="single" w:sz="4" w:space="0" w:color="auto"/>
            </w:tcBorders>
          </w:tcPr>
          <w:p w14:paraId="263AD124" w14:textId="77777777" w:rsidR="00645EA1" w:rsidRDefault="00645EA1">
            <w:pPr>
              <w:pStyle w:val="TableText"/>
              <w:snapToGrid w:val="0"/>
              <w:rPr>
                <w:rFonts w:cs="Segoe UI"/>
                <w:kern w:val="2"/>
                <w:szCs w:val="17"/>
                <w:lang w:eastAsia="zh-TW"/>
              </w:rPr>
            </w:pPr>
          </w:p>
        </w:tc>
      </w:tr>
      <w:tr w:rsidR="00645EA1" w14:paraId="4C64CC03" w14:textId="77777777" w:rsidTr="00BD2BA4">
        <w:trPr>
          <w:cantSplit/>
        </w:trPr>
        <w:tc>
          <w:tcPr>
            <w:tcW w:w="571" w:type="dxa"/>
            <w:tcBorders>
              <w:top w:val="single" w:sz="4" w:space="0" w:color="D9D9D9" w:themeColor="background1" w:themeShade="D9"/>
              <w:left w:val="nil"/>
              <w:bottom w:val="single" w:sz="4" w:space="0" w:color="D9D9D9" w:themeColor="background1" w:themeShade="D9"/>
              <w:right w:val="single" w:sz="4" w:space="0" w:color="auto"/>
            </w:tcBorders>
            <w:hideMark/>
          </w:tcPr>
          <w:p w14:paraId="045D551C" w14:textId="4E5D671E" w:rsidR="00645EA1" w:rsidRDefault="00BD2BA4">
            <w:pPr>
              <w:pStyle w:val="TableText"/>
              <w:snapToGrid w:val="0"/>
              <w:rPr>
                <w:rFonts w:cs="Segoe UI"/>
                <w:kern w:val="2"/>
                <w:lang w:eastAsia="zh-TW"/>
              </w:rPr>
            </w:pPr>
            <w:r>
              <w:rPr>
                <w:rFonts w:cs="Segoe UI"/>
                <w:kern w:val="2"/>
                <w:lang w:eastAsia="zh-TW"/>
              </w:rPr>
              <w:t>12</w:t>
            </w:r>
          </w:p>
        </w:tc>
        <w:tc>
          <w:tcPr>
            <w:tcW w:w="2691" w:type="dxa"/>
            <w:vMerge/>
            <w:tcBorders>
              <w:top w:val="dotted" w:sz="4" w:space="0" w:color="auto"/>
              <w:left w:val="single" w:sz="4" w:space="0" w:color="auto"/>
              <w:bottom w:val="single" w:sz="4" w:space="0" w:color="auto"/>
              <w:right w:val="single" w:sz="4" w:space="0" w:color="auto"/>
            </w:tcBorders>
            <w:vAlign w:val="center"/>
            <w:hideMark/>
          </w:tcPr>
          <w:p w14:paraId="0B96C06F" w14:textId="77777777" w:rsidR="00645EA1" w:rsidRDefault="00645EA1">
            <w:pPr>
              <w:rPr>
                <w:rFonts w:cs="Segoe UI"/>
                <w:kern w:val="2"/>
                <w:sz w:val="17"/>
                <w:szCs w:val="17"/>
                <w:lang w:eastAsia="zh-TW"/>
              </w:rPr>
            </w:pPr>
          </w:p>
        </w:tc>
        <w:tc>
          <w:tcPr>
            <w:tcW w:w="48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1610AB6" w14:textId="7C978A0B" w:rsidR="00645EA1" w:rsidRDefault="00645EA1">
            <w:pPr>
              <w:pStyle w:val="TableText"/>
              <w:snapToGrid w:val="0"/>
              <w:rPr>
                <w:rFonts w:cs="Segoe UI"/>
                <w:kern w:val="2"/>
                <w:szCs w:val="17"/>
                <w:lang w:eastAsia="zh-TW"/>
              </w:rPr>
            </w:pPr>
            <w:r>
              <w:rPr>
                <w:rFonts w:eastAsiaTheme="minorEastAsia" w:cs="Segoe UI" w:hint="eastAsia"/>
                <w:kern w:val="2"/>
                <w:szCs w:val="17"/>
                <w:lang w:eastAsia="zh-TW"/>
              </w:rPr>
              <w:t>第</w:t>
            </w:r>
            <w:r>
              <w:rPr>
                <w:rFonts w:cs="Segoe UI"/>
                <w:kern w:val="2"/>
                <w:szCs w:val="17"/>
                <w:lang w:eastAsia="zh-TW"/>
              </w:rPr>
              <w:t>3</w:t>
            </w:r>
            <w:r>
              <w:rPr>
                <w:rFonts w:eastAsiaTheme="minorEastAsia" w:cs="Segoe UI" w:hint="eastAsia"/>
                <w:kern w:val="2"/>
                <w:szCs w:val="17"/>
                <w:lang w:eastAsia="zh-TW"/>
              </w:rPr>
              <w:t>級資產</w:t>
            </w:r>
            <w:r w:rsidR="00BD2BA4">
              <w:rPr>
                <w:rFonts w:eastAsiaTheme="minorEastAsia" w:cs="Segoe UI" w:hint="eastAsia"/>
                <w:kern w:val="2"/>
                <w:szCs w:val="17"/>
                <w:lang w:eastAsia="zh-TW"/>
              </w:rPr>
              <w:t>*</w:t>
            </w:r>
          </w:p>
        </w:tc>
        <w:tc>
          <w:tcPr>
            <w:tcW w:w="1134"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2E4BE48" w14:textId="77777777" w:rsidR="00645EA1" w:rsidRDefault="00645EA1">
            <w:pPr>
              <w:pStyle w:val="TableText"/>
              <w:snapToGrid w:val="0"/>
              <w:rPr>
                <w:rFonts w:cs="Segoe UI"/>
                <w:kern w:val="2"/>
                <w:szCs w:val="17"/>
                <w:lang w:eastAsia="zh-TW"/>
              </w:rPr>
            </w:pPr>
          </w:p>
        </w:tc>
      </w:tr>
      <w:tr w:rsidR="00645EA1" w14:paraId="39B218F9" w14:textId="77777777" w:rsidTr="00034CB4">
        <w:trPr>
          <w:cantSplit/>
        </w:trPr>
        <w:tc>
          <w:tcPr>
            <w:tcW w:w="571" w:type="dxa"/>
            <w:tcBorders>
              <w:top w:val="single" w:sz="4" w:space="0" w:color="D9D9D9" w:themeColor="background1" w:themeShade="D9"/>
              <w:left w:val="nil"/>
              <w:bottom w:val="single" w:sz="4" w:space="0" w:color="auto"/>
              <w:right w:val="single" w:sz="4" w:space="0" w:color="auto"/>
            </w:tcBorders>
            <w:hideMark/>
          </w:tcPr>
          <w:p w14:paraId="51F372AB" w14:textId="7049B8F2" w:rsidR="00645EA1" w:rsidRDefault="00BD2BA4">
            <w:pPr>
              <w:pStyle w:val="TableText"/>
              <w:snapToGrid w:val="0"/>
              <w:rPr>
                <w:rFonts w:cs="Segoe UI"/>
                <w:kern w:val="2"/>
                <w:lang w:eastAsia="zh-TW"/>
              </w:rPr>
            </w:pPr>
            <w:r>
              <w:rPr>
                <w:rFonts w:cs="Segoe UI"/>
                <w:kern w:val="2"/>
                <w:lang w:eastAsia="zh-TW"/>
              </w:rPr>
              <w:t>13</w:t>
            </w:r>
          </w:p>
        </w:tc>
        <w:tc>
          <w:tcPr>
            <w:tcW w:w="2691" w:type="dxa"/>
            <w:vMerge/>
            <w:tcBorders>
              <w:top w:val="dotted" w:sz="4" w:space="0" w:color="auto"/>
              <w:left w:val="single" w:sz="4" w:space="0" w:color="auto"/>
              <w:bottom w:val="single" w:sz="4" w:space="0" w:color="auto"/>
              <w:right w:val="single" w:sz="4" w:space="0" w:color="auto"/>
            </w:tcBorders>
            <w:vAlign w:val="center"/>
            <w:hideMark/>
          </w:tcPr>
          <w:p w14:paraId="0382F353" w14:textId="77777777" w:rsidR="00645EA1" w:rsidRDefault="00645EA1">
            <w:pPr>
              <w:rPr>
                <w:rFonts w:cs="Segoe UI"/>
                <w:kern w:val="2"/>
                <w:sz w:val="17"/>
                <w:szCs w:val="17"/>
                <w:lang w:eastAsia="zh-TW"/>
              </w:rPr>
            </w:pPr>
          </w:p>
        </w:tc>
        <w:tc>
          <w:tcPr>
            <w:tcW w:w="4820" w:type="dxa"/>
            <w:tcBorders>
              <w:top w:val="single" w:sz="4" w:space="0" w:color="D9D9D9" w:themeColor="background1" w:themeShade="D9"/>
              <w:left w:val="single" w:sz="4" w:space="0" w:color="auto"/>
              <w:bottom w:val="single" w:sz="4" w:space="0" w:color="auto"/>
              <w:right w:val="single" w:sz="4" w:space="0" w:color="auto"/>
            </w:tcBorders>
            <w:hideMark/>
          </w:tcPr>
          <w:p w14:paraId="51BD6B87" w14:textId="77777777" w:rsidR="00645EA1" w:rsidRDefault="00645EA1">
            <w:pPr>
              <w:pStyle w:val="TableText"/>
              <w:snapToGrid w:val="0"/>
              <w:rPr>
                <w:rFonts w:eastAsiaTheme="minorEastAsia" w:cs="Segoe UI"/>
                <w:kern w:val="2"/>
                <w:szCs w:val="17"/>
                <w:lang w:eastAsia="zh-TW"/>
              </w:rPr>
            </w:pPr>
            <w:r>
              <w:rPr>
                <w:rFonts w:eastAsiaTheme="minorEastAsia" w:cs="Segoe UI" w:hint="eastAsia"/>
                <w:kern w:val="2"/>
                <w:szCs w:val="17"/>
                <w:lang w:eastAsia="zh-TW"/>
              </w:rPr>
              <w:t>交易用途證券及通過其他全面收益用公平價值計量之證券</w:t>
            </w:r>
          </w:p>
        </w:tc>
        <w:tc>
          <w:tcPr>
            <w:tcW w:w="1134" w:type="dxa"/>
            <w:tcBorders>
              <w:top w:val="single" w:sz="4" w:space="0" w:color="D9D9D9" w:themeColor="background1" w:themeShade="D9"/>
              <w:left w:val="single" w:sz="4" w:space="0" w:color="auto"/>
              <w:bottom w:val="single" w:sz="4" w:space="0" w:color="auto"/>
              <w:right w:val="single" w:sz="4" w:space="0" w:color="auto"/>
            </w:tcBorders>
          </w:tcPr>
          <w:p w14:paraId="6AD2F29B" w14:textId="77777777" w:rsidR="00645EA1" w:rsidRDefault="00645EA1">
            <w:pPr>
              <w:pStyle w:val="TableText"/>
              <w:snapToGrid w:val="0"/>
              <w:rPr>
                <w:rFonts w:cs="Segoe UI"/>
                <w:kern w:val="2"/>
                <w:szCs w:val="17"/>
                <w:lang w:eastAsia="zh-TW"/>
              </w:rPr>
            </w:pPr>
          </w:p>
        </w:tc>
      </w:tr>
      <w:tr w:rsidR="00214FA9" w14:paraId="30CA834F" w14:textId="77777777" w:rsidTr="00034CB4">
        <w:trPr>
          <w:cantSplit/>
        </w:trPr>
        <w:tc>
          <w:tcPr>
            <w:tcW w:w="9216" w:type="dxa"/>
            <w:gridSpan w:val="4"/>
            <w:tcBorders>
              <w:top w:val="single" w:sz="4" w:space="0" w:color="auto"/>
              <w:left w:val="nil"/>
              <w:bottom w:val="single" w:sz="4" w:space="0" w:color="auto"/>
              <w:right w:val="single" w:sz="4" w:space="0" w:color="auto"/>
            </w:tcBorders>
          </w:tcPr>
          <w:p w14:paraId="181B598A" w14:textId="77777777" w:rsidR="00434E03" w:rsidRPr="00CA7301" w:rsidRDefault="00434E03" w:rsidP="00434E03">
            <w:pPr>
              <w:snapToGrid w:val="0"/>
              <w:spacing w:before="40" w:after="40" w:line="240" w:lineRule="exact"/>
              <w:jc w:val="both"/>
              <w:rPr>
                <w:rFonts w:cs="Segoe UI"/>
                <w:i/>
                <w:sz w:val="17"/>
                <w:szCs w:val="17"/>
                <w:lang w:eastAsia="it-IT"/>
              </w:rPr>
            </w:pPr>
            <w:r w:rsidRPr="00CA7301">
              <w:rPr>
                <w:rFonts w:eastAsiaTheme="minorEastAsia" w:cs="Segoe UI"/>
                <w:i/>
                <w:sz w:val="17"/>
                <w:szCs w:val="17"/>
                <w:lang w:eastAsia="zh-TW"/>
              </w:rPr>
              <w:t>注意事項：</w:t>
            </w:r>
          </w:p>
          <w:p w14:paraId="331B1391" w14:textId="20E53578" w:rsidR="00214FA9" w:rsidRPr="006B027C" w:rsidRDefault="00434E03" w:rsidP="00B620DA">
            <w:pPr>
              <w:pStyle w:val="TableText"/>
              <w:snapToGrid w:val="0"/>
              <w:rPr>
                <w:rFonts w:cs="Segoe UI"/>
                <w:iCs/>
                <w:kern w:val="2"/>
                <w:szCs w:val="17"/>
                <w:lang w:eastAsia="zh-TW"/>
              </w:rPr>
            </w:pPr>
            <w:r w:rsidRPr="006B027C">
              <w:rPr>
                <w:rFonts w:eastAsiaTheme="minorEastAsia" w:cs="Segoe UI" w:hint="eastAsia"/>
                <w:iCs/>
                <w:szCs w:val="17"/>
                <w:lang w:eastAsia="zh-TW"/>
              </w:rPr>
              <w:t>(</w:t>
            </w:r>
            <w:proofErr w:type="spellStart"/>
            <w:r w:rsidRPr="006B027C">
              <w:rPr>
                <w:rFonts w:eastAsiaTheme="minorEastAsia" w:cs="Segoe UI" w:hint="eastAsia"/>
                <w:iCs/>
                <w:szCs w:val="17"/>
                <w:lang w:eastAsia="zh-TW"/>
              </w:rPr>
              <w:t>i</w:t>
            </w:r>
            <w:proofErr w:type="spellEnd"/>
            <w:r w:rsidRPr="006B027C">
              <w:rPr>
                <w:rFonts w:eastAsiaTheme="minorEastAsia" w:cs="Segoe UI"/>
                <w:iCs/>
                <w:szCs w:val="17"/>
                <w:lang w:eastAsia="zh-TW"/>
              </w:rPr>
              <w:t xml:space="preserve">) </w:t>
            </w:r>
            <w:r w:rsidR="00B620DA" w:rsidRPr="006B027C">
              <w:rPr>
                <w:rFonts w:eastAsiaTheme="minorEastAsia" w:cs="Segoe UI" w:hint="eastAsia"/>
                <w:iCs/>
                <w:szCs w:val="17"/>
                <w:lang w:eastAsia="zh-TW"/>
              </w:rPr>
              <w:t>加「</w:t>
            </w:r>
            <w:r w:rsidR="00B620DA" w:rsidRPr="006B027C">
              <w:rPr>
                <w:rFonts w:eastAsiaTheme="minorEastAsia" w:cs="Segoe UI"/>
                <w:iCs/>
                <w:szCs w:val="17"/>
                <w:lang w:eastAsia="zh-TW"/>
              </w:rPr>
              <w:t>*</w:t>
            </w:r>
            <w:r w:rsidR="00B620DA" w:rsidRPr="006B027C">
              <w:rPr>
                <w:rFonts w:eastAsiaTheme="minorEastAsia" w:cs="Segoe UI" w:hint="eastAsia"/>
                <w:iCs/>
                <w:szCs w:val="17"/>
                <w:lang w:eastAsia="zh-TW"/>
              </w:rPr>
              <w:t>」符號的項目</w:t>
            </w:r>
            <w:r w:rsidR="0081085D" w:rsidRPr="006B027C">
              <w:rPr>
                <w:rFonts w:eastAsiaTheme="minorEastAsia" w:cs="Segoe UI" w:hint="eastAsia"/>
                <w:iCs/>
                <w:szCs w:val="17"/>
                <w:lang w:eastAsia="zh-HK"/>
              </w:rPr>
              <w:t>的</w:t>
            </w:r>
            <w:r w:rsidR="00B5422B" w:rsidRPr="006B027C">
              <w:rPr>
                <w:rFonts w:eastAsiaTheme="minorEastAsia" w:cs="Segoe UI" w:hint="eastAsia"/>
                <w:iCs/>
                <w:szCs w:val="17"/>
                <w:lang w:eastAsia="zh-TW"/>
              </w:rPr>
              <w:t>綜合</w:t>
            </w:r>
            <w:r w:rsidR="00B620DA" w:rsidRPr="006B027C">
              <w:rPr>
                <w:rFonts w:eastAsiaTheme="minorEastAsia" w:cs="Segoe UI" w:hint="eastAsia"/>
                <w:iCs/>
                <w:szCs w:val="17"/>
                <w:lang w:eastAsia="zh-TW"/>
              </w:rPr>
              <w:t>範圍</w:t>
            </w:r>
            <w:r w:rsidR="00B620DA" w:rsidRPr="006B027C">
              <w:rPr>
                <w:rFonts w:eastAsiaTheme="minorEastAsia" w:cs="Segoe UI" w:hint="eastAsia"/>
                <w:iCs/>
                <w:szCs w:val="17"/>
                <w:lang w:eastAsia="zh-HK"/>
              </w:rPr>
              <w:t>延</w:t>
            </w:r>
            <w:r w:rsidR="00B620DA" w:rsidRPr="006B027C">
              <w:rPr>
                <w:rFonts w:eastAsiaTheme="minorEastAsia" w:cs="Segoe UI" w:hint="eastAsia"/>
                <w:iCs/>
                <w:szCs w:val="17"/>
                <w:lang w:eastAsia="zh-TW"/>
              </w:rPr>
              <w:t>伸</w:t>
            </w:r>
            <w:r w:rsidR="00B620DA" w:rsidRPr="006B027C">
              <w:rPr>
                <w:rFonts w:eastAsiaTheme="minorEastAsia" w:cs="Segoe UI" w:hint="eastAsia"/>
                <w:iCs/>
                <w:szCs w:val="17"/>
                <w:lang w:eastAsia="zh-HK"/>
              </w:rPr>
              <w:t>至包括</w:t>
            </w:r>
            <w:r w:rsidR="00B620DA" w:rsidRPr="006B027C">
              <w:rPr>
                <w:rFonts w:eastAsiaTheme="minorEastAsia" w:cs="Segoe UI" w:hint="eastAsia"/>
                <w:iCs/>
                <w:kern w:val="2"/>
                <w:lang w:eastAsia="zh-TW"/>
              </w:rPr>
              <w:t>屬保險</w:t>
            </w:r>
            <w:r w:rsidR="00B620DA" w:rsidRPr="006B027C">
              <w:rPr>
                <w:rFonts w:eastAsiaTheme="minorEastAsia" w:cs="Segoe UI" w:hint="eastAsia"/>
                <w:iCs/>
                <w:kern w:val="2"/>
                <w:lang w:eastAsia="zh-HK"/>
              </w:rPr>
              <w:t>商號</w:t>
            </w:r>
            <w:r w:rsidR="0081085D" w:rsidRPr="006B027C">
              <w:rPr>
                <w:rFonts w:eastAsiaTheme="minorEastAsia" w:cs="Segoe UI" w:hint="eastAsia"/>
                <w:iCs/>
                <w:kern w:val="2"/>
                <w:lang w:eastAsia="zh-TW"/>
              </w:rPr>
              <w:t>的</w:t>
            </w:r>
            <w:r w:rsidR="00B620DA" w:rsidRPr="006B027C">
              <w:rPr>
                <w:rFonts w:eastAsiaTheme="minorEastAsia" w:cs="Segoe UI" w:hint="eastAsia"/>
                <w:iCs/>
                <w:kern w:val="2"/>
                <w:lang w:eastAsia="zh-TW"/>
              </w:rPr>
              <w:t>附屬公司</w:t>
            </w:r>
            <w:r w:rsidR="00B620DA" w:rsidRPr="006B027C">
              <w:rPr>
                <w:rFonts w:eastAsiaTheme="minorEastAsia" w:cs="Segoe UI" w:hint="eastAsia"/>
                <w:iCs/>
                <w:szCs w:val="17"/>
                <w:lang w:eastAsia="zh-TW"/>
              </w:rPr>
              <w:t>。</w:t>
            </w:r>
          </w:p>
        </w:tc>
      </w:tr>
    </w:tbl>
    <w:p w14:paraId="0074DB42" w14:textId="77777777" w:rsidR="00645EA1" w:rsidRDefault="00645EA1" w:rsidP="00350754">
      <w:pPr>
        <w:rPr>
          <w:rFonts w:eastAsiaTheme="minorEastAsia" w:cs="Segoe UI"/>
          <w:lang w:val="en-US" w:eastAsia="zh-TW"/>
        </w:rPr>
      </w:pPr>
    </w:p>
    <w:tbl>
      <w:tblPr>
        <w:tblStyle w:val="TableGrid"/>
        <w:tblW w:w="9214" w:type="dxa"/>
        <w:tblInd w:w="-459" w:type="dxa"/>
        <w:tblLook w:val="04A0" w:firstRow="1" w:lastRow="0" w:firstColumn="1" w:lastColumn="0" w:noHBand="0" w:noVBand="1"/>
      </w:tblPr>
      <w:tblGrid>
        <w:gridCol w:w="9214"/>
      </w:tblGrid>
      <w:tr w:rsidR="00645EA1" w14:paraId="518574D3" w14:textId="77777777" w:rsidTr="00645EA1">
        <w:trPr>
          <w:tblHeader/>
        </w:trPr>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0C1B71" w14:textId="77777777" w:rsidR="00645EA1" w:rsidRDefault="00645EA1">
            <w:pPr>
              <w:spacing w:before="40" w:after="40"/>
              <w:jc w:val="both"/>
              <w:rPr>
                <w:rFonts w:eastAsiaTheme="minorEastAsia" w:cs="Segoe UI"/>
                <w:b/>
                <w:sz w:val="17"/>
                <w:szCs w:val="17"/>
                <w:lang w:eastAsia="zh-TW"/>
              </w:rPr>
            </w:pPr>
            <w:proofErr w:type="gramStart"/>
            <w:r>
              <w:rPr>
                <w:rFonts w:eastAsiaTheme="minorEastAsia" w:cs="Segoe UI" w:hint="eastAsia"/>
                <w:b/>
                <w:sz w:val="17"/>
                <w:szCs w:val="17"/>
                <w:lang w:eastAsia="zh-TW"/>
              </w:rPr>
              <w:t>註</w:t>
            </w:r>
            <w:proofErr w:type="gramEnd"/>
            <w:r>
              <w:rPr>
                <w:rFonts w:eastAsiaTheme="minorEastAsia" w:cs="Segoe UI" w:hint="eastAsia"/>
                <w:b/>
                <w:sz w:val="17"/>
                <w:szCs w:val="17"/>
                <w:lang w:eastAsia="zh-TW"/>
              </w:rPr>
              <w:t>釋</w:t>
            </w:r>
          </w:p>
        </w:tc>
      </w:tr>
      <w:tr w:rsidR="00645EA1" w14:paraId="28F7CA2C" w14:textId="77777777" w:rsidTr="00645EA1">
        <w:trPr>
          <w:trHeight w:val="153"/>
        </w:trPr>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DF9F88" w14:textId="77777777" w:rsidR="00645EA1" w:rsidRDefault="00645EA1">
            <w:pPr>
              <w:spacing w:before="40" w:after="40"/>
              <w:jc w:val="both"/>
              <w:rPr>
                <w:rFonts w:eastAsiaTheme="minorEastAsia" w:cs="Segoe UI"/>
                <w:b/>
                <w:sz w:val="17"/>
                <w:szCs w:val="17"/>
                <w:lang w:eastAsia="en-GB"/>
              </w:rPr>
            </w:pPr>
            <w:r>
              <w:rPr>
                <w:rFonts w:eastAsiaTheme="minorEastAsia" w:cs="Segoe UI" w:hint="eastAsia"/>
                <w:b/>
                <w:sz w:val="17"/>
                <w:szCs w:val="17"/>
                <w:lang w:eastAsia="zh-TW"/>
              </w:rPr>
              <w:t>欄及行</w:t>
            </w:r>
          </w:p>
        </w:tc>
      </w:tr>
      <w:tr w:rsidR="00645EA1" w14:paraId="22173554" w14:textId="77777777" w:rsidTr="00645EA1">
        <w:tc>
          <w:tcPr>
            <w:tcW w:w="9214" w:type="dxa"/>
            <w:tcBorders>
              <w:top w:val="single" w:sz="4" w:space="0" w:color="auto"/>
              <w:left w:val="single" w:sz="4" w:space="0" w:color="auto"/>
              <w:bottom w:val="single" w:sz="4" w:space="0" w:color="auto"/>
              <w:right w:val="single" w:sz="4" w:space="0" w:color="auto"/>
            </w:tcBorders>
            <w:hideMark/>
          </w:tcPr>
          <w:p w14:paraId="4513C271" w14:textId="77777777" w:rsidR="00645EA1" w:rsidRDefault="00645EA1">
            <w:pPr>
              <w:pStyle w:val="TableText"/>
              <w:keepNext/>
              <w:jc w:val="both"/>
              <w:rPr>
                <w:rFonts w:eastAsiaTheme="minorEastAsia" w:cs="Segoe UI"/>
                <w:szCs w:val="17"/>
                <w:lang w:eastAsia="zh-TW"/>
              </w:rPr>
            </w:pPr>
            <w:r>
              <w:rPr>
                <w:rFonts w:eastAsiaTheme="minorEastAsia" w:cs="Segoe UI" w:hint="eastAsia"/>
                <w:szCs w:val="17"/>
                <w:lang w:eastAsia="zh-TW"/>
              </w:rPr>
              <w:t>基於巴塞爾委員會識別</w:t>
            </w:r>
            <w:r>
              <w:rPr>
                <w:rFonts w:cs="Segoe UI"/>
                <w:szCs w:val="17"/>
                <w:lang w:eastAsia="zh-TW"/>
              </w:rPr>
              <w:t>G-SIB</w:t>
            </w:r>
            <w:r>
              <w:rPr>
                <w:rFonts w:eastAsiaTheme="minorEastAsia" w:cs="Segoe UI" w:hint="eastAsia"/>
                <w:szCs w:val="17"/>
                <w:lang w:eastAsia="zh-TW"/>
              </w:rPr>
              <w:t>工作</w:t>
            </w:r>
            <w:r>
              <w:rPr>
                <w:rFonts w:asciiTheme="minorEastAsia" w:eastAsiaTheme="minorEastAsia" w:hAnsiTheme="minorEastAsia" w:hint="eastAsia"/>
                <w:lang w:eastAsia="zh-TW"/>
              </w:rPr>
              <w:t>，</w:t>
            </w:r>
            <w:proofErr w:type="gramStart"/>
            <w:r>
              <w:rPr>
                <w:rFonts w:eastAsiaTheme="minorEastAsia" w:cs="Segoe UI" w:hint="eastAsia"/>
                <w:szCs w:val="17"/>
                <w:lang w:eastAsia="zh-TW"/>
              </w:rPr>
              <w:t>本模版</w:t>
            </w:r>
            <w:proofErr w:type="gramEnd"/>
            <w:r>
              <w:rPr>
                <w:rFonts w:eastAsiaTheme="minorEastAsia" w:cs="Segoe UI" w:hint="eastAsia"/>
                <w:szCs w:val="17"/>
                <w:lang w:eastAsia="zh-TW"/>
              </w:rPr>
              <w:t>應按照披露參考日期生效的相應的行的指示及定義而填報。詳見國際結算銀行網站：</w:t>
            </w:r>
            <w:r>
              <w:rPr>
                <w:rFonts w:cs="Segoe UI"/>
                <w:szCs w:val="17"/>
                <w:lang w:eastAsia="zh-TW"/>
              </w:rPr>
              <w:t xml:space="preserve"> </w:t>
            </w:r>
            <w:hyperlink r:id="rId36" w:history="1">
              <w:r>
                <w:rPr>
                  <w:rStyle w:val="Hyperlink"/>
                  <w:rFonts w:cs="Segoe UI"/>
                  <w:color w:val="0000FF"/>
                  <w:szCs w:val="17"/>
                  <w:lang w:eastAsia="zh-TW"/>
                </w:rPr>
                <w:t>http://www.bis.org/bcbs/gsib/reporting_instructions.htm</w:t>
              </w:r>
            </w:hyperlink>
            <w:r>
              <w:rPr>
                <w:rFonts w:eastAsiaTheme="minorEastAsia" w:cs="Segoe UI" w:hint="eastAsia"/>
                <w:szCs w:val="17"/>
                <w:lang w:eastAsia="zh-TW"/>
              </w:rPr>
              <w:t>。</w:t>
            </w:r>
          </w:p>
        </w:tc>
      </w:tr>
    </w:tbl>
    <w:p w14:paraId="6F65ADE8" w14:textId="77777777" w:rsidR="00645EA1" w:rsidRPr="00645EA1" w:rsidRDefault="00645EA1" w:rsidP="00350754">
      <w:pPr>
        <w:rPr>
          <w:rFonts w:eastAsiaTheme="minorEastAsia" w:cs="Segoe UI"/>
          <w:lang w:val="en-US" w:eastAsia="zh-TW"/>
        </w:rPr>
      </w:pPr>
    </w:p>
    <w:p w14:paraId="2ACD87AE" w14:textId="77777777" w:rsidR="00350754" w:rsidRPr="00CA7301" w:rsidRDefault="00350754">
      <w:pPr>
        <w:rPr>
          <w:rFonts w:eastAsiaTheme="minorEastAsia" w:cs="Segoe UI"/>
          <w:lang w:eastAsia="zh-TW"/>
        </w:rPr>
        <w:sectPr w:rsidR="00350754" w:rsidRPr="00CA7301">
          <w:headerReference w:type="default" r:id="rId37"/>
          <w:footerReference w:type="default" r:id="rId38"/>
          <w:pgSz w:w="11906" w:h="16838"/>
          <w:pgMar w:top="1440" w:right="1800" w:bottom="1440" w:left="1800" w:header="851" w:footer="992" w:gutter="0"/>
          <w:cols w:space="425"/>
          <w:docGrid w:type="lines" w:linePitch="360"/>
        </w:sectPr>
      </w:pPr>
    </w:p>
    <w:p w14:paraId="3EED99B5" w14:textId="2B3C427D" w:rsidR="00C506A5" w:rsidRPr="00C506A5" w:rsidRDefault="00C506A5" w:rsidP="00C506A5">
      <w:pPr>
        <w:pStyle w:val="Heading2"/>
        <w:keepNext w:val="0"/>
        <w:suppressAutoHyphens w:val="0"/>
        <w:spacing w:before="40" w:line="240" w:lineRule="auto"/>
        <w:ind w:left="-454"/>
        <w:rPr>
          <w:rFonts w:ascii="細明體" w:eastAsia="細明體" w:hAnsi="細明體"/>
          <w:b w:val="0"/>
          <w:bCs w:val="0"/>
          <w:sz w:val="22"/>
          <w:szCs w:val="20"/>
          <w:lang w:eastAsia="zh-TW"/>
        </w:rPr>
      </w:pPr>
      <w:r w:rsidRPr="00C506A5">
        <w:rPr>
          <w:rFonts w:ascii="細明體" w:eastAsia="細明體" w:hAnsi="細明體" w:cs="微軟正黑體" w:hint="eastAsia"/>
          <w:b w:val="0"/>
          <w:bCs w:val="0"/>
          <w:sz w:val="22"/>
          <w:szCs w:val="20"/>
          <w:lang w:eastAsia="zh-TW"/>
        </w:rPr>
        <w:t>模版</w:t>
      </w:r>
      <w:r w:rsidRPr="00C506A5">
        <w:rPr>
          <w:rFonts w:ascii="Segoe UI" w:eastAsia="細明體" w:hAnsi="Segoe UI" w:cs="Segoe UI"/>
          <w:b w:val="0"/>
          <w:bCs w:val="0"/>
          <w:sz w:val="22"/>
          <w:szCs w:val="20"/>
          <w:lang w:eastAsia="zh-TW"/>
        </w:rPr>
        <w:t>CCyB1</w:t>
      </w:r>
      <w:r w:rsidRPr="00C506A5">
        <w:rPr>
          <w:rFonts w:ascii="細明體" w:eastAsia="細明體" w:hAnsi="細明體" w:cs="微軟正黑體" w:hint="eastAsia"/>
          <w:b w:val="0"/>
          <w:bCs w:val="0"/>
          <w:sz w:val="22"/>
          <w:szCs w:val="20"/>
          <w:lang w:eastAsia="zh-TW"/>
        </w:rPr>
        <w:t>：用於逆周期緩衝資本</w:t>
      </w:r>
      <w:r w:rsidRPr="00C506A5">
        <w:rPr>
          <w:rFonts w:ascii="細明體" w:eastAsia="細明體" w:hAnsi="細明體" w:cs="Segoe UI"/>
          <w:b w:val="0"/>
          <w:sz w:val="22"/>
          <w:szCs w:val="22"/>
          <w:lang w:eastAsia="zh-TW"/>
        </w:rPr>
        <w:t>（</w:t>
      </w:r>
      <w:proofErr w:type="spellStart"/>
      <w:r w:rsidRPr="00C506A5">
        <w:rPr>
          <w:rFonts w:ascii="Segoe UI" w:eastAsia="細明體" w:hAnsi="Segoe UI" w:cs="Segoe UI"/>
          <w:b w:val="0"/>
          <w:bCs w:val="0"/>
          <w:sz w:val="22"/>
          <w:szCs w:val="22"/>
          <w:lang w:eastAsia="zh-TW"/>
        </w:rPr>
        <w:t>CCyB</w:t>
      </w:r>
      <w:proofErr w:type="spellEnd"/>
      <w:r w:rsidRPr="00C506A5">
        <w:rPr>
          <w:rFonts w:ascii="細明體" w:eastAsia="細明體" w:hAnsi="細明體" w:cs="Segoe UI"/>
          <w:b w:val="0"/>
          <w:sz w:val="22"/>
          <w:szCs w:val="22"/>
          <w:lang w:eastAsia="zh-TW"/>
        </w:rPr>
        <w:t>）</w:t>
      </w:r>
      <w:r w:rsidRPr="00C506A5">
        <w:rPr>
          <w:rFonts w:ascii="細明體" w:eastAsia="細明體" w:hAnsi="細明體" w:cs="微軟正黑體" w:hint="eastAsia"/>
          <w:b w:val="0"/>
          <w:bCs w:val="0"/>
          <w:sz w:val="22"/>
          <w:szCs w:val="22"/>
          <w:lang w:eastAsia="zh-TW"/>
        </w:rPr>
        <w:t>的信用</w:t>
      </w:r>
      <w:r w:rsidRPr="00C506A5">
        <w:rPr>
          <w:rFonts w:ascii="細明體" w:eastAsia="細明體" w:hAnsi="細明體" w:cs="微軟正黑體" w:hint="eastAsia"/>
          <w:b w:val="0"/>
          <w:bCs w:val="0"/>
          <w:sz w:val="22"/>
          <w:szCs w:val="20"/>
          <w:lang w:eastAsia="zh-TW"/>
        </w:rPr>
        <w:t>風險承擔的地域分佈</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4F56FF" w:rsidRPr="00CA7301" w14:paraId="3767C307" w14:textId="77777777" w:rsidTr="0029639E">
        <w:tc>
          <w:tcPr>
            <w:tcW w:w="2160" w:type="dxa"/>
          </w:tcPr>
          <w:p w14:paraId="2CAF0405" w14:textId="77777777" w:rsidR="004F56FF" w:rsidRPr="00CA7301" w:rsidRDefault="004F56FF" w:rsidP="004F56FF">
            <w:pPr>
              <w:spacing w:before="40" w:after="40"/>
              <w:rPr>
                <w:rFonts w:cs="Segoe UI"/>
                <w:noProof/>
                <w:sz w:val="17"/>
                <w:lang w:eastAsia="en-GB"/>
              </w:rPr>
            </w:pPr>
            <w:r w:rsidRPr="00CA7301">
              <w:rPr>
                <w:rFonts w:eastAsiaTheme="minorEastAsia" w:cs="Segoe UI"/>
                <w:b/>
                <w:sz w:val="17"/>
                <w:lang w:eastAsia="zh-TW"/>
              </w:rPr>
              <w:t>目的：</w:t>
            </w:r>
          </w:p>
        </w:tc>
        <w:tc>
          <w:tcPr>
            <w:tcW w:w="7088" w:type="dxa"/>
          </w:tcPr>
          <w:p w14:paraId="5139F48E" w14:textId="57490DF4" w:rsidR="004F56FF" w:rsidRPr="00CA7301" w:rsidRDefault="004F56FF" w:rsidP="00C506A5">
            <w:pPr>
              <w:spacing w:before="40" w:after="40"/>
              <w:jc w:val="both"/>
              <w:rPr>
                <w:rFonts w:cs="Segoe UI"/>
                <w:sz w:val="17"/>
                <w:szCs w:val="17"/>
                <w:lang w:eastAsia="zh-TW"/>
              </w:rPr>
            </w:pPr>
            <w:r w:rsidRPr="00CA7301">
              <w:rPr>
                <w:rFonts w:eastAsiaTheme="minorEastAsia" w:cs="Segoe UI"/>
                <w:sz w:val="17"/>
                <w:lang w:eastAsia="zh-TW"/>
              </w:rPr>
              <w:t>提供與計算認可機構的</w:t>
            </w:r>
            <w:r w:rsidRPr="00CA7301">
              <w:rPr>
                <w:rFonts w:eastAsia="新細明體" w:cs="Segoe UI"/>
                <w:sz w:val="17"/>
                <w:szCs w:val="17"/>
                <w:lang w:eastAsia="zh-TW"/>
              </w:rPr>
              <w:t>逆周期緩衝資本</w:t>
            </w:r>
            <w:r w:rsidRPr="00CA7301">
              <w:rPr>
                <w:rFonts w:eastAsiaTheme="minorEastAsia" w:cs="Segoe UI"/>
                <w:sz w:val="17"/>
                <w:szCs w:val="17"/>
                <w:lang w:eastAsia="zh-TW"/>
              </w:rPr>
              <w:t>比率有關的私人機構信用風險承擔的地域分</w:t>
            </w:r>
            <w:r w:rsidR="00C506A5">
              <w:rPr>
                <w:rFonts w:eastAsiaTheme="minorEastAsia" w:cs="Segoe UI" w:hint="eastAsia"/>
                <w:sz w:val="17"/>
                <w:szCs w:val="17"/>
                <w:lang w:eastAsia="zh-HK"/>
              </w:rPr>
              <w:t>佈</w:t>
            </w:r>
            <w:r w:rsidRPr="00CA7301">
              <w:rPr>
                <w:rFonts w:eastAsiaTheme="minorEastAsia" w:cs="Segoe UI"/>
                <w:sz w:val="17"/>
                <w:szCs w:val="17"/>
                <w:lang w:eastAsia="zh-TW"/>
              </w:rPr>
              <w:t>概要</w:t>
            </w:r>
            <w:r w:rsidRPr="00CA7301">
              <w:rPr>
                <w:rFonts w:eastAsiaTheme="minorEastAsia" w:cs="Segoe UI"/>
                <w:sz w:val="17"/>
                <w:lang w:eastAsia="zh-TW"/>
              </w:rPr>
              <w:t>。</w:t>
            </w:r>
          </w:p>
        </w:tc>
      </w:tr>
      <w:tr w:rsidR="004F56FF" w:rsidRPr="00CA7301" w14:paraId="68BE383D" w14:textId="77777777" w:rsidTr="0029639E">
        <w:tc>
          <w:tcPr>
            <w:tcW w:w="2160" w:type="dxa"/>
          </w:tcPr>
          <w:p w14:paraId="22B1BC69" w14:textId="77777777" w:rsidR="004F56FF" w:rsidRPr="00CA7301" w:rsidRDefault="004F56FF" w:rsidP="004F56FF">
            <w:pPr>
              <w:spacing w:before="40" w:after="40"/>
              <w:rPr>
                <w:rFonts w:cs="Segoe UI"/>
                <w:b/>
                <w:sz w:val="17"/>
                <w:lang w:eastAsia="en-GB"/>
              </w:rPr>
            </w:pPr>
            <w:r w:rsidRPr="00CA7301">
              <w:rPr>
                <w:rFonts w:eastAsiaTheme="minorEastAsia" w:cs="Segoe UI"/>
                <w:b/>
                <w:sz w:val="17"/>
                <w:lang w:eastAsia="zh-TW"/>
              </w:rPr>
              <w:t>適用範圍：</w:t>
            </w:r>
          </w:p>
        </w:tc>
        <w:tc>
          <w:tcPr>
            <w:tcW w:w="7088" w:type="dxa"/>
          </w:tcPr>
          <w:p w14:paraId="1795CBF5" w14:textId="7E6958D5" w:rsidR="004F56FF" w:rsidRPr="00CA7301" w:rsidRDefault="004F56FF" w:rsidP="009C69C0">
            <w:pPr>
              <w:spacing w:before="40" w:after="40"/>
              <w:jc w:val="both"/>
              <w:rPr>
                <w:rFonts w:eastAsiaTheme="minorEastAsia" w:cs="Segoe UI"/>
                <w:sz w:val="17"/>
                <w:lang w:eastAsia="zh-TW"/>
              </w:rPr>
            </w:pPr>
            <w:r w:rsidRPr="00CA7301">
              <w:rPr>
                <w:rFonts w:eastAsiaTheme="minorEastAsia" w:cs="Segoe UI"/>
                <w:sz w:val="17"/>
                <w:lang w:eastAsia="zh-TW"/>
              </w:rPr>
              <w:t>所有在香港成立</w:t>
            </w:r>
            <w:proofErr w:type="gramStart"/>
            <w:r w:rsidRPr="00CA7301">
              <w:rPr>
                <w:rFonts w:eastAsiaTheme="minorEastAsia" w:cs="Segoe UI"/>
                <w:sz w:val="17"/>
                <w:lang w:eastAsia="zh-TW"/>
              </w:rPr>
              <w:t>為法團的</w:t>
            </w:r>
            <w:proofErr w:type="gramEnd"/>
            <w:r w:rsidR="00E735EA" w:rsidRPr="00E735EA">
              <w:rPr>
                <w:rFonts w:eastAsiaTheme="minorEastAsia" w:cs="Segoe UI" w:hint="eastAsia"/>
                <w:sz w:val="17"/>
                <w:lang w:eastAsia="zh-TW"/>
              </w:rPr>
              <w:t>、</w:t>
            </w:r>
            <w:r w:rsidRPr="00CA7301">
              <w:rPr>
                <w:rFonts w:eastAsiaTheme="minorEastAsia" w:cs="Segoe UI"/>
                <w:sz w:val="17"/>
                <w:lang w:eastAsia="zh-TW"/>
              </w:rPr>
              <w:t>並須遵守逆周期緩衝資本規定（</w:t>
            </w:r>
            <w:r w:rsidR="00B5422B">
              <w:rPr>
                <w:rFonts w:eastAsiaTheme="minorEastAsia" w:cs="Segoe UI" w:hint="eastAsia"/>
                <w:sz w:val="17"/>
                <w:lang w:eastAsia="zh-HK"/>
              </w:rPr>
              <w:t>以</w:t>
            </w:r>
            <w:r w:rsidR="009C69C0">
              <w:rPr>
                <w:rFonts w:eastAsiaTheme="minorEastAsia" w:cs="Segoe UI" w:hint="eastAsia"/>
                <w:sz w:val="17"/>
                <w:lang w:eastAsia="zh-HK"/>
              </w:rPr>
              <w:t>所</w:t>
            </w:r>
            <w:r w:rsidRPr="00CA7301">
              <w:rPr>
                <w:rFonts w:eastAsiaTheme="minorEastAsia" w:cs="Segoe UI"/>
                <w:sz w:val="17"/>
                <w:lang w:eastAsia="zh-TW"/>
              </w:rPr>
              <w:t>持有須遵守符合巴塞爾委員會標準的逆周期緩衝資本規定</w:t>
            </w:r>
            <w:r w:rsidR="000D0C63">
              <w:rPr>
                <w:rFonts w:eastAsiaTheme="minorEastAsia" w:cs="Segoe UI" w:hint="eastAsia"/>
                <w:sz w:val="17"/>
                <w:lang w:eastAsia="zh-HK"/>
              </w:rPr>
              <w:t>的私人機</w:t>
            </w:r>
            <w:r w:rsidR="000D0C63">
              <w:rPr>
                <w:rFonts w:eastAsiaTheme="minorEastAsia" w:cs="Segoe UI" w:hint="eastAsia"/>
                <w:sz w:val="17"/>
                <w:lang w:eastAsia="zh-TW"/>
              </w:rPr>
              <w:t>構</w:t>
            </w:r>
            <w:r w:rsidR="000D0C63" w:rsidRPr="00CA7301">
              <w:rPr>
                <w:rFonts w:eastAsiaTheme="minorEastAsia" w:cs="Segoe UI"/>
                <w:sz w:val="17"/>
                <w:lang w:eastAsia="zh-TW"/>
              </w:rPr>
              <w:t>信用風險承擔</w:t>
            </w:r>
            <w:r w:rsidR="000D0C63">
              <w:rPr>
                <w:rFonts w:eastAsiaTheme="minorEastAsia" w:cs="Segoe UI" w:hint="eastAsia"/>
                <w:sz w:val="17"/>
                <w:lang w:eastAsia="zh-HK"/>
              </w:rPr>
              <w:t>所在</w:t>
            </w:r>
            <w:r w:rsidRPr="00CA7301">
              <w:rPr>
                <w:rFonts w:eastAsiaTheme="minorEastAsia" w:cs="Segoe UI"/>
                <w:sz w:val="17"/>
                <w:lang w:eastAsia="zh-TW"/>
              </w:rPr>
              <w:t>的司法管轄區</w:t>
            </w:r>
            <w:r w:rsidR="00B5422B">
              <w:rPr>
                <w:rFonts w:eastAsiaTheme="minorEastAsia" w:cs="Segoe UI" w:hint="eastAsia"/>
                <w:sz w:val="17"/>
                <w:lang w:eastAsia="zh-HK"/>
              </w:rPr>
              <w:t>作基</w:t>
            </w:r>
            <w:r w:rsidR="00B5422B">
              <w:rPr>
                <w:rFonts w:eastAsiaTheme="minorEastAsia" w:cs="Segoe UI" w:hint="eastAsia"/>
                <w:sz w:val="17"/>
                <w:lang w:eastAsia="zh-TW"/>
              </w:rPr>
              <w:t>礎</w:t>
            </w:r>
            <w:r w:rsidRPr="00CA7301">
              <w:rPr>
                <w:rFonts w:eastAsiaTheme="minorEastAsia" w:cs="Segoe UI"/>
                <w:sz w:val="17"/>
                <w:lang w:eastAsia="zh-TW"/>
              </w:rPr>
              <w:t>）的認可機構，</w:t>
            </w:r>
            <w:proofErr w:type="gramStart"/>
            <w:r w:rsidRPr="00CA7301">
              <w:rPr>
                <w:rFonts w:eastAsiaTheme="minorEastAsia" w:cs="Segoe UI"/>
                <w:sz w:val="17"/>
                <w:lang w:eastAsia="zh-TW"/>
              </w:rPr>
              <w:t>均須填報本模</w:t>
            </w:r>
            <w:proofErr w:type="gramEnd"/>
            <w:r w:rsidRPr="00CA7301">
              <w:rPr>
                <w:rFonts w:eastAsiaTheme="minorEastAsia" w:cs="Segoe UI"/>
                <w:sz w:val="17"/>
                <w:lang w:eastAsia="zh-TW"/>
              </w:rPr>
              <w:t>版。認可機構在持有對某（些）司法管轄區的風險承擔而該司法管轄區的適用</w:t>
            </w:r>
            <w:proofErr w:type="spellStart"/>
            <w:r w:rsidRPr="00CA7301">
              <w:rPr>
                <w:rFonts w:eastAsiaTheme="minorEastAsia" w:cs="Segoe UI"/>
                <w:sz w:val="17"/>
                <w:lang w:eastAsia="zh-TW"/>
              </w:rPr>
              <w:t>JCCyB</w:t>
            </w:r>
            <w:proofErr w:type="spellEnd"/>
            <w:r w:rsidRPr="00CA7301">
              <w:rPr>
                <w:rFonts w:eastAsiaTheme="minorEastAsia" w:cs="Segoe UI"/>
                <w:sz w:val="17"/>
                <w:lang w:eastAsia="zh-TW"/>
              </w:rPr>
              <w:t>比率大於零，才須</w:t>
            </w:r>
            <w:proofErr w:type="gramStart"/>
            <w:r w:rsidRPr="00CA7301">
              <w:rPr>
                <w:rFonts w:eastAsiaTheme="minorEastAsia" w:cs="Segoe UI"/>
                <w:sz w:val="17"/>
                <w:lang w:eastAsia="zh-TW"/>
              </w:rPr>
              <w:t>填報本模版</w:t>
            </w:r>
            <w:proofErr w:type="gramEnd"/>
            <w:r w:rsidRPr="00CA7301">
              <w:rPr>
                <w:rFonts w:eastAsiaTheme="minorEastAsia" w:cs="Segoe UI"/>
                <w:sz w:val="17"/>
                <w:lang w:eastAsia="zh-TW"/>
              </w:rPr>
              <w:t>。</w:t>
            </w:r>
          </w:p>
        </w:tc>
      </w:tr>
      <w:tr w:rsidR="004F56FF" w:rsidRPr="00CA7301" w14:paraId="7066DAF2" w14:textId="77777777" w:rsidTr="0029639E">
        <w:tc>
          <w:tcPr>
            <w:tcW w:w="2160" w:type="dxa"/>
          </w:tcPr>
          <w:p w14:paraId="64806BE0" w14:textId="77777777" w:rsidR="004F56FF" w:rsidRPr="00CA7301" w:rsidRDefault="004F56FF" w:rsidP="004F56FF">
            <w:pPr>
              <w:spacing w:before="40" w:after="40"/>
              <w:rPr>
                <w:rFonts w:cs="Segoe UI"/>
                <w:b/>
                <w:sz w:val="17"/>
                <w:lang w:eastAsia="en-GB"/>
              </w:rPr>
            </w:pPr>
            <w:r w:rsidRPr="00CA7301">
              <w:rPr>
                <w:rFonts w:eastAsiaTheme="minorEastAsia" w:cs="Segoe UI"/>
                <w:b/>
                <w:sz w:val="17"/>
                <w:lang w:eastAsia="zh-TW"/>
              </w:rPr>
              <w:t>內容：</w:t>
            </w:r>
          </w:p>
        </w:tc>
        <w:tc>
          <w:tcPr>
            <w:tcW w:w="7088" w:type="dxa"/>
          </w:tcPr>
          <w:p w14:paraId="2DB769E9" w14:textId="77777777" w:rsidR="004F56FF" w:rsidRPr="00CA7301" w:rsidRDefault="004F56FF" w:rsidP="004F56FF">
            <w:pPr>
              <w:spacing w:before="40" w:after="40"/>
              <w:jc w:val="both"/>
              <w:rPr>
                <w:rFonts w:eastAsiaTheme="minorEastAsia" w:cs="Segoe UI"/>
                <w:sz w:val="17"/>
                <w:lang w:eastAsia="zh-TW"/>
              </w:rPr>
            </w:pPr>
            <w:r w:rsidRPr="00CA7301">
              <w:rPr>
                <w:rFonts w:eastAsiaTheme="minorEastAsia" w:cs="Segoe UI"/>
                <w:sz w:val="17"/>
                <w:lang w:eastAsia="zh-TW"/>
              </w:rPr>
              <w:t>計算認可機構的逆周期緩衝資本比率所必須的私人機構信用風險承擔及其他有關進項。認可機構就披露的報告日期（例如四月底、十月底）如有別於「逆周期緩衝資本季度申報表」</w:t>
            </w:r>
            <w:r w:rsidRPr="00CA7301">
              <w:rPr>
                <w:rFonts w:eastAsiaTheme="minorEastAsia" w:cs="Segoe UI"/>
                <w:sz w:val="17"/>
                <w:lang w:eastAsia="zh-TW"/>
              </w:rPr>
              <w:t>(MA(BS)25)</w:t>
            </w:r>
            <w:r w:rsidRPr="00CA7301">
              <w:rPr>
                <w:rFonts w:eastAsiaTheme="minorEastAsia" w:cs="Segoe UI"/>
                <w:sz w:val="17"/>
                <w:lang w:eastAsia="zh-TW"/>
              </w:rPr>
              <w:t>的狀況日期（即三月底、六月底、九月底、十二月底），認可機構應根據本身的報告日期</w:t>
            </w:r>
            <w:proofErr w:type="gramStart"/>
            <w:r w:rsidRPr="00CA7301">
              <w:rPr>
                <w:rFonts w:eastAsiaTheme="minorEastAsia" w:cs="Segoe UI"/>
                <w:sz w:val="17"/>
                <w:lang w:eastAsia="zh-TW"/>
              </w:rPr>
              <w:t>披露本模版</w:t>
            </w:r>
            <w:proofErr w:type="gramEnd"/>
            <w:r w:rsidRPr="00CA7301">
              <w:rPr>
                <w:rFonts w:eastAsiaTheme="minorEastAsia" w:cs="Segoe UI"/>
                <w:sz w:val="17"/>
                <w:lang w:eastAsia="zh-TW"/>
              </w:rPr>
              <w:t>。然而，在此情況下，</w:t>
            </w:r>
            <w:proofErr w:type="gramStart"/>
            <w:r w:rsidRPr="00CA7301">
              <w:rPr>
                <w:rFonts w:eastAsiaTheme="minorEastAsia" w:cs="Segoe UI"/>
                <w:sz w:val="17"/>
                <w:lang w:eastAsia="zh-TW"/>
              </w:rPr>
              <w:t>在本模版</w:t>
            </w:r>
            <w:proofErr w:type="gramEnd"/>
            <w:r w:rsidRPr="00CA7301">
              <w:rPr>
                <w:rFonts w:eastAsiaTheme="minorEastAsia" w:cs="Segoe UI"/>
                <w:sz w:val="17"/>
                <w:lang w:eastAsia="zh-TW"/>
              </w:rPr>
              <w:t>所披露的數值的計算基礎應沿用該申報表所用的相同計算基礎。</w:t>
            </w:r>
          </w:p>
        </w:tc>
      </w:tr>
      <w:tr w:rsidR="004F56FF" w:rsidRPr="00CA7301" w14:paraId="2FF7E3B0" w14:textId="77777777" w:rsidTr="0029639E">
        <w:tc>
          <w:tcPr>
            <w:tcW w:w="2160" w:type="dxa"/>
          </w:tcPr>
          <w:p w14:paraId="34EA64CF" w14:textId="77777777" w:rsidR="004F56FF" w:rsidRPr="00CA7301" w:rsidRDefault="004F56FF" w:rsidP="004F56FF">
            <w:pPr>
              <w:spacing w:before="40" w:after="40"/>
              <w:rPr>
                <w:rFonts w:cs="Segoe UI"/>
                <w:sz w:val="17"/>
                <w:lang w:eastAsia="en-GB"/>
              </w:rPr>
            </w:pPr>
            <w:proofErr w:type="spellStart"/>
            <w:r w:rsidRPr="00CA7301">
              <w:rPr>
                <w:rFonts w:eastAsia="細明體" w:cs="Segoe UI"/>
                <w:b/>
                <w:sz w:val="17"/>
                <w:szCs w:val="17"/>
              </w:rPr>
              <w:t>頻密程度</w:t>
            </w:r>
            <w:proofErr w:type="spellEnd"/>
            <w:r w:rsidRPr="00CA7301">
              <w:rPr>
                <w:rFonts w:eastAsia="細明體" w:cs="Segoe UI"/>
                <w:b/>
                <w:sz w:val="17"/>
                <w:szCs w:val="17"/>
              </w:rPr>
              <w:t>：</w:t>
            </w:r>
          </w:p>
        </w:tc>
        <w:tc>
          <w:tcPr>
            <w:tcW w:w="7088" w:type="dxa"/>
          </w:tcPr>
          <w:p w14:paraId="1F2A2C72" w14:textId="77777777" w:rsidR="004F56FF" w:rsidRPr="00CA7301" w:rsidRDefault="004F56FF" w:rsidP="004F56FF">
            <w:pPr>
              <w:spacing w:before="40" w:after="40"/>
              <w:jc w:val="both"/>
              <w:rPr>
                <w:rFonts w:eastAsiaTheme="minorEastAsia" w:cs="Segoe UI"/>
                <w:sz w:val="17"/>
                <w:lang w:eastAsia="en-GB"/>
              </w:rPr>
            </w:pPr>
            <w:r w:rsidRPr="00CA7301">
              <w:rPr>
                <w:rFonts w:eastAsiaTheme="minorEastAsia" w:cs="Segoe UI"/>
                <w:sz w:val="17"/>
                <w:lang w:eastAsia="zh-TW"/>
              </w:rPr>
              <w:t>每半年一次。</w:t>
            </w:r>
          </w:p>
        </w:tc>
      </w:tr>
      <w:tr w:rsidR="004F56FF" w:rsidRPr="00CA7301" w14:paraId="1B46F765" w14:textId="77777777" w:rsidTr="0029639E">
        <w:tc>
          <w:tcPr>
            <w:tcW w:w="2160" w:type="dxa"/>
          </w:tcPr>
          <w:p w14:paraId="53E69B59" w14:textId="77777777" w:rsidR="004F56FF" w:rsidRPr="00CA7301" w:rsidRDefault="004F56FF" w:rsidP="004F56FF">
            <w:pPr>
              <w:spacing w:before="40" w:after="40"/>
              <w:rPr>
                <w:rFonts w:cs="Segoe UI"/>
                <w:sz w:val="17"/>
                <w:lang w:eastAsia="en-GB"/>
              </w:rPr>
            </w:pPr>
            <w:r w:rsidRPr="00CA7301">
              <w:rPr>
                <w:rFonts w:eastAsiaTheme="minorEastAsia" w:cs="Segoe UI"/>
                <w:b/>
                <w:sz w:val="17"/>
                <w:lang w:eastAsia="zh-TW"/>
              </w:rPr>
              <w:t>格式：</w:t>
            </w:r>
          </w:p>
        </w:tc>
        <w:tc>
          <w:tcPr>
            <w:tcW w:w="7088" w:type="dxa"/>
          </w:tcPr>
          <w:p w14:paraId="50E278F4" w14:textId="77777777" w:rsidR="004F56FF" w:rsidRPr="00CA7301" w:rsidRDefault="004F56FF" w:rsidP="004F56FF">
            <w:pPr>
              <w:spacing w:before="40" w:after="40"/>
              <w:jc w:val="both"/>
              <w:rPr>
                <w:rFonts w:cs="Segoe UI"/>
                <w:sz w:val="17"/>
                <w:szCs w:val="17"/>
                <w:lang w:eastAsia="zh-TW"/>
              </w:rPr>
            </w:pPr>
            <w:r w:rsidRPr="00CA7301">
              <w:rPr>
                <w:rFonts w:eastAsiaTheme="minorEastAsia" w:cs="Segoe UI"/>
                <w:sz w:val="17"/>
                <w:lang w:eastAsia="zh-TW"/>
              </w:rPr>
              <w:t>第</w:t>
            </w:r>
            <w:r w:rsidRPr="00CA7301">
              <w:rPr>
                <w:rFonts w:eastAsiaTheme="minorEastAsia" w:cs="Segoe UI"/>
                <w:sz w:val="17"/>
                <w:lang w:eastAsia="zh-TW"/>
              </w:rPr>
              <w:t>1</w:t>
            </w:r>
            <w:r w:rsidRPr="00CA7301">
              <w:rPr>
                <w:rFonts w:eastAsiaTheme="minorEastAsia" w:cs="Segoe UI"/>
                <w:sz w:val="17"/>
                <w:lang w:eastAsia="zh-TW"/>
              </w:rPr>
              <w:t>至</w:t>
            </w:r>
            <w:r w:rsidRPr="00CA7301">
              <w:rPr>
                <w:rFonts w:eastAsiaTheme="minorEastAsia" w:cs="Segoe UI"/>
                <w:sz w:val="17"/>
                <w:lang w:eastAsia="zh-TW"/>
              </w:rPr>
              <w:t>N</w:t>
            </w:r>
            <w:r w:rsidRPr="00CA7301">
              <w:rPr>
                <w:rFonts w:eastAsiaTheme="minorEastAsia" w:cs="Segoe UI"/>
                <w:sz w:val="17"/>
                <w:lang w:eastAsia="zh-TW"/>
              </w:rPr>
              <w:t>行非固定（以顧及認可機構有私人機構信用風險承擔且適用</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比率並非為零</w:t>
            </w:r>
            <w:r w:rsidRPr="00CA7301">
              <w:rPr>
                <w:rFonts w:eastAsiaTheme="minorEastAsia" w:cs="Segoe UI"/>
                <w:sz w:val="17"/>
                <w:lang w:eastAsia="zh-TW"/>
              </w:rPr>
              <w:t>的司法管轄區的數目</w:t>
            </w:r>
            <w:r w:rsidRPr="00CA7301">
              <w:rPr>
                <w:rFonts w:eastAsiaTheme="minorEastAsia" w:cs="Segoe UI"/>
                <w:sz w:val="17"/>
                <w:szCs w:val="17"/>
                <w:lang w:eastAsia="zh-TW"/>
              </w:rPr>
              <w:t>）。</w:t>
            </w:r>
            <w:r w:rsidRPr="00CA7301">
              <w:rPr>
                <w:rFonts w:eastAsiaTheme="minorEastAsia" w:cs="Segoe UI"/>
                <w:sz w:val="17"/>
                <w:lang w:eastAsia="zh-TW"/>
              </w:rPr>
              <w:t>第</w:t>
            </w:r>
            <w:r w:rsidRPr="00CA7301">
              <w:rPr>
                <w:rFonts w:eastAsiaTheme="minorEastAsia" w:cs="Segoe UI"/>
                <w:sz w:val="17"/>
                <w:lang w:eastAsia="zh-TW"/>
              </w:rPr>
              <w:t>N+1</w:t>
            </w:r>
            <w:r w:rsidRPr="00CA7301">
              <w:rPr>
                <w:rFonts w:eastAsiaTheme="minorEastAsia" w:cs="Segoe UI"/>
                <w:sz w:val="17"/>
                <w:lang w:eastAsia="zh-TW"/>
              </w:rPr>
              <w:t>、</w:t>
            </w:r>
            <w:r w:rsidRPr="00CA7301">
              <w:rPr>
                <w:rFonts w:eastAsiaTheme="minorEastAsia" w:cs="Segoe UI"/>
                <w:sz w:val="17"/>
                <w:lang w:eastAsia="zh-TW"/>
              </w:rPr>
              <w:t>N+2</w:t>
            </w:r>
            <w:r w:rsidRPr="00CA7301">
              <w:rPr>
                <w:rFonts w:eastAsiaTheme="minorEastAsia" w:cs="Segoe UI"/>
                <w:sz w:val="17"/>
                <w:lang w:eastAsia="zh-TW"/>
              </w:rPr>
              <w:t>行</w:t>
            </w:r>
            <w:proofErr w:type="gramStart"/>
            <w:r w:rsidRPr="00CA7301">
              <w:rPr>
                <w:rFonts w:eastAsiaTheme="minorEastAsia" w:cs="Segoe UI"/>
                <w:sz w:val="17"/>
                <w:lang w:eastAsia="zh-TW"/>
              </w:rPr>
              <w:t>及欄固定</w:t>
            </w:r>
            <w:proofErr w:type="gramEnd"/>
            <w:r w:rsidRPr="00CA7301">
              <w:rPr>
                <w:rFonts w:eastAsiaTheme="minorEastAsia" w:cs="Segoe UI"/>
                <w:sz w:val="17"/>
                <w:lang w:eastAsia="zh-TW"/>
              </w:rPr>
              <w:t>。</w:t>
            </w:r>
            <w:r w:rsidRPr="00CA7301">
              <w:rPr>
                <w:rFonts w:eastAsiaTheme="minorEastAsia" w:cs="Segoe UI"/>
                <w:sz w:val="17"/>
                <w:lang w:eastAsia="zh-TW"/>
              </w:rPr>
              <w:t xml:space="preserve"> </w:t>
            </w:r>
          </w:p>
        </w:tc>
      </w:tr>
      <w:tr w:rsidR="004F56FF" w:rsidRPr="00CA7301" w14:paraId="3FC301FE" w14:textId="77777777" w:rsidTr="0029639E">
        <w:tc>
          <w:tcPr>
            <w:tcW w:w="2160" w:type="dxa"/>
          </w:tcPr>
          <w:p w14:paraId="0C8D8D80" w14:textId="77777777" w:rsidR="004F56FF" w:rsidRPr="00CA7301" w:rsidRDefault="004F56FF" w:rsidP="004F56FF">
            <w:pPr>
              <w:spacing w:before="40" w:after="40"/>
              <w:rPr>
                <w:rFonts w:cs="Segoe UI"/>
                <w:b/>
                <w:sz w:val="17"/>
                <w:lang w:eastAsia="en-GB"/>
              </w:rPr>
            </w:pPr>
            <w:proofErr w:type="spellStart"/>
            <w:r w:rsidRPr="00CA7301">
              <w:rPr>
                <w:rFonts w:eastAsiaTheme="minorEastAsia" w:cs="Segoe UI"/>
                <w:b/>
                <w:sz w:val="17"/>
                <w:szCs w:val="17"/>
                <w:lang w:eastAsia="en-GB"/>
              </w:rPr>
              <w:t>附加說明</w:t>
            </w:r>
            <w:proofErr w:type="spellEnd"/>
            <w:r w:rsidRPr="00CA7301">
              <w:rPr>
                <w:rFonts w:eastAsiaTheme="minorEastAsia" w:cs="Segoe UI"/>
                <w:b/>
                <w:sz w:val="17"/>
                <w:szCs w:val="17"/>
                <w:lang w:eastAsia="en-GB"/>
              </w:rPr>
              <w:t>：</w:t>
            </w:r>
          </w:p>
        </w:tc>
        <w:tc>
          <w:tcPr>
            <w:tcW w:w="7088" w:type="dxa"/>
          </w:tcPr>
          <w:p w14:paraId="2D7A16A2" w14:textId="2A81D5A5" w:rsidR="004F56FF" w:rsidRPr="00CA7301" w:rsidRDefault="004F56FF" w:rsidP="004F56FF">
            <w:pPr>
              <w:spacing w:before="40" w:after="40"/>
              <w:jc w:val="both"/>
              <w:rPr>
                <w:rFonts w:eastAsiaTheme="minorEastAsia" w:cs="Segoe UI"/>
                <w:sz w:val="17"/>
                <w:szCs w:val="17"/>
                <w:lang w:val="en-US" w:eastAsia="zh-TW"/>
              </w:rPr>
            </w:pPr>
            <w:proofErr w:type="gramStart"/>
            <w:r w:rsidRPr="00CA7301">
              <w:rPr>
                <w:rFonts w:eastAsiaTheme="minorEastAsia" w:cs="Segoe UI"/>
                <w:sz w:val="17"/>
                <w:szCs w:val="17"/>
                <w:lang w:eastAsia="zh-TW"/>
              </w:rPr>
              <w:t>就</w:t>
            </w:r>
            <w:r w:rsidRPr="00CA7301">
              <w:rPr>
                <w:rFonts w:eastAsiaTheme="minorEastAsia" w:cs="Segoe UI"/>
                <w:sz w:val="17"/>
                <w:lang w:eastAsia="zh-TW"/>
              </w:rPr>
              <w:t>逆周期</w:t>
            </w:r>
            <w:proofErr w:type="gramEnd"/>
            <w:r w:rsidRPr="00CA7301">
              <w:rPr>
                <w:rFonts w:eastAsiaTheme="minorEastAsia" w:cs="Segoe UI"/>
                <w:sz w:val="17"/>
                <w:lang w:eastAsia="zh-TW"/>
              </w:rPr>
              <w:t>緩衝資本</w:t>
            </w:r>
            <w:r w:rsidRPr="00CA7301">
              <w:rPr>
                <w:rFonts w:eastAsiaTheme="minorEastAsia" w:cs="Segoe UI"/>
                <w:sz w:val="17"/>
                <w:szCs w:val="17"/>
                <w:lang w:eastAsia="zh-TW"/>
              </w:rPr>
              <w:t>的目的而言，認可機構在可能情況下應按「最終風險」基礎運用風險承擔。認可機構應披露所用的地域分</w:t>
            </w:r>
            <w:r w:rsidR="00C506A5">
              <w:rPr>
                <w:rFonts w:eastAsiaTheme="minorEastAsia" w:cs="Segoe UI" w:hint="eastAsia"/>
                <w:sz w:val="17"/>
                <w:szCs w:val="17"/>
                <w:lang w:eastAsia="zh-HK"/>
              </w:rPr>
              <w:t>佈</w:t>
            </w:r>
            <w:r w:rsidRPr="00CA7301">
              <w:rPr>
                <w:rFonts w:eastAsiaTheme="minorEastAsia" w:cs="Segoe UI"/>
                <w:sz w:val="17"/>
                <w:szCs w:val="17"/>
                <w:lang w:eastAsia="zh-TW"/>
              </w:rPr>
              <w:t>方法，以及闡釋沒有採用最終風險方法為分配基準的特殊司法管轄區或風險承擔類別。</w:t>
            </w:r>
            <w:r w:rsidRPr="00CA7301">
              <w:rPr>
                <w:rFonts w:cs="Segoe UI"/>
                <w:sz w:val="17"/>
                <w:szCs w:val="17"/>
                <w:vertAlign w:val="superscript"/>
              </w:rPr>
              <w:footnoteReference w:id="7"/>
            </w:r>
            <w:r w:rsidRPr="00CA7301">
              <w:rPr>
                <w:rFonts w:eastAsiaTheme="minorEastAsia" w:cs="Segoe UI"/>
                <w:sz w:val="17"/>
                <w:szCs w:val="17"/>
                <w:lang w:eastAsia="zh-TW"/>
              </w:rPr>
              <w:t xml:space="preserve"> </w:t>
            </w:r>
            <w:r w:rsidRPr="00CA7301">
              <w:rPr>
                <w:rFonts w:eastAsiaTheme="minorEastAsia" w:cs="Segoe UI"/>
                <w:sz w:val="17"/>
                <w:szCs w:val="17"/>
                <w:lang w:eastAsia="zh-TW"/>
              </w:rPr>
              <w:t>認可機構應提供有關引致</w:t>
            </w:r>
            <w:r w:rsidRPr="00CA7301">
              <w:rPr>
                <w:rFonts w:eastAsia="細明體" w:cs="Segoe UI"/>
                <w:sz w:val="17"/>
                <w:lang w:eastAsia="zh-TW"/>
              </w:rPr>
              <w:t>風險加權數額</w:t>
            </w:r>
            <w:r w:rsidRPr="00CA7301">
              <w:rPr>
                <w:rFonts w:eastAsiaTheme="minorEastAsia" w:cs="Segoe UI"/>
                <w:sz w:val="17"/>
                <w:szCs w:val="17"/>
                <w:lang w:eastAsia="zh-TW"/>
              </w:rPr>
              <w:t>及適用</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比率出現變動的主要</w:t>
            </w:r>
            <w:r w:rsidRPr="00CA7301">
              <w:rPr>
                <w:rFonts w:eastAsia="細明體" w:cs="Segoe UI"/>
                <w:noProof/>
                <w:sz w:val="17"/>
                <w:lang w:eastAsia="zh-TW"/>
              </w:rPr>
              <w:t>驅動</w:t>
            </w:r>
            <w:r w:rsidRPr="00CA7301">
              <w:rPr>
                <w:rFonts w:eastAsiaTheme="minorEastAsia" w:cs="Segoe UI"/>
                <w:sz w:val="17"/>
                <w:szCs w:val="17"/>
                <w:lang w:eastAsia="zh-TW"/>
              </w:rPr>
              <w:t>因素的資料概要。</w:t>
            </w:r>
            <w:r w:rsidRPr="00CA7301">
              <w:rPr>
                <w:rFonts w:cs="Segoe UI"/>
                <w:sz w:val="17"/>
                <w:szCs w:val="17"/>
                <w:lang w:eastAsia="zh-TW"/>
              </w:rPr>
              <w:t xml:space="preserve"> </w:t>
            </w:r>
          </w:p>
        </w:tc>
      </w:tr>
      <w:tr w:rsidR="004F56FF" w:rsidRPr="00CA7301" w14:paraId="2DAE1F66" w14:textId="77777777" w:rsidTr="0029639E">
        <w:tc>
          <w:tcPr>
            <w:tcW w:w="2160" w:type="dxa"/>
          </w:tcPr>
          <w:p w14:paraId="37304F81" w14:textId="77777777" w:rsidR="004F56FF" w:rsidRPr="00CA7301" w:rsidRDefault="004F56FF" w:rsidP="004F56FF">
            <w:pPr>
              <w:spacing w:before="40" w:after="40"/>
              <w:rPr>
                <w:rFonts w:eastAsiaTheme="minorEastAsia" w:cs="Segoe UI"/>
                <w:b/>
                <w:sz w:val="17"/>
                <w:szCs w:val="17"/>
                <w:lang w:eastAsia="zh-TW"/>
              </w:rPr>
            </w:pPr>
            <w:r w:rsidRPr="00CA7301">
              <w:rPr>
                <w:rFonts w:eastAsiaTheme="minorEastAsia" w:cs="Segoe UI"/>
                <w:b/>
                <w:sz w:val="17"/>
                <w:szCs w:val="17"/>
                <w:lang w:eastAsia="zh-TW"/>
              </w:rPr>
              <w:t>《披露規則》相應條文：</w:t>
            </w:r>
          </w:p>
        </w:tc>
        <w:tc>
          <w:tcPr>
            <w:tcW w:w="7088" w:type="dxa"/>
          </w:tcPr>
          <w:p w14:paraId="5366E6B9" w14:textId="77777777" w:rsidR="004F56FF" w:rsidRPr="00CA7301" w:rsidRDefault="004F56FF" w:rsidP="004F56FF">
            <w:pPr>
              <w:spacing w:before="40" w:after="40"/>
              <w:jc w:val="both"/>
              <w:rPr>
                <w:rFonts w:eastAsiaTheme="minorEastAsia" w:cs="Segoe UI"/>
                <w:sz w:val="17"/>
                <w:szCs w:val="17"/>
                <w:lang w:eastAsia="zh-TW"/>
              </w:rPr>
            </w:pPr>
            <w:r w:rsidRPr="00CA7301">
              <w:rPr>
                <w:rFonts w:eastAsiaTheme="minorEastAsia" w:cs="Segoe UI"/>
                <w:sz w:val="17"/>
                <w:szCs w:val="17"/>
                <w:lang w:eastAsia="zh-TW"/>
              </w:rPr>
              <w:t>16FG</w:t>
            </w:r>
          </w:p>
        </w:tc>
      </w:tr>
    </w:tbl>
    <w:p w14:paraId="0BF75DE1" w14:textId="77777777" w:rsidR="004F56FF" w:rsidRPr="00CA7301" w:rsidRDefault="004F56FF" w:rsidP="004F56FF">
      <w:pPr>
        <w:spacing w:before="120" w:after="120"/>
        <w:rPr>
          <w:rFonts w:cs="Segoe UI"/>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993"/>
        <w:gridCol w:w="2126"/>
        <w:gridCol w:w="1523"/>
        <w:gridCol w:w="1524"/>
        <w:gridCol w:w="1524"/>
        <w:gridCol w:w="1524"/>
      </w:tblGrid>
      <w:tr w:rsidR="001B39FD" w:rsidRPr="00CA7301" w14:paraId="6D9FED6B" w14:textId="77777777" w:rsidTr="0063145F">
        <w:trPr>
          <w:cantSplit/>
          <w:trHeight w:val="107"/>
          <w:tblHeader/>
        </w:trPr>
        <w:tc>
          <w:tcPr>
            <w:tcW w:w="993" w:type="dxa"/>
            <w:tcBorders>
              <w:top w:val="nil"/>
              <w:left w:val="nil"/>
              <w:bottom w:val="nil"/>
              <w:right w:val="nil"/>
            </w:tcBorders>
          </w:tcPr>
          <w:p w14:paraId="2BD941B4" w14:textId="77777777" w:rsidR="004F56FF" w:rsidRPr="00CA7301" w:rsidRDefault="004F56FF" w:rsidP="004F56FF">
            <w:pPr>
              <w:snapToGrid w:val="0"/>
              <w:spacing w:before="40" w:after="40"/>
              <w:rPr>
                <w:rFonts w:cs="Segoe UI"/>
                <w:sz w:val="17"/>
                <w:lang w:eastAsia="en-GB"/>
              </w:rPr>
            </w:pPr>
          </w:p>
        </w:tc>
        <w:tc>
          <w:tcPr>
            <w:tcW w:w="2126" w:type="dxa"/>
            <w:tcBorders>
              <w:top w:val="nil"/>
              <w:left w:val="nil"/>
              <w:bottom w:val="single" w:sz="4" w:space="0" w:color="auto"/>
              <w:right w:val="single" w:sz="4" w:space="0" w:color="auto"/>
            </w:tcBorders>
            <w:vAlign w:val="center"/>
          </w:tcPr>
          <w:p w14:paraId="48BA5C60" w14:textId="77777777" w:rsidR="004F56FF" w:rsidRPr="00CA7301" w:rsidRDefault="004F56FF" w:rsidP="004F56FF">
            <w:pPr>
              <w:snapToGrid w:val="0"/>
              <w:spacing w:before="40" w:after="40"/>
              <w:rPr>
                <w:rFonts w:cs="Segoe UI"/>
                <w:bCs/>
                <w:sz w:val="17"/>
                <w:szCs w:val="17"/>
                <w:lang w:eastAsia="it-IT"/>
              </w:rPr>
            </w:pPr>
          </w:p>
        </w:tc>
        <w:tc>
          <w:tcPr>
            <w:tcW w:w="1523" w:type="dxa"/>
            <w:tcBorders>
              <w:top w:val="single" w:sz="4" w:space="0" w:color="auto"/>
              <w:left w:val="single" w:sz="4" w:space="0" w:color="auto"/>
              <w:bottom w:val="single" w:sz="4" w:space="0" w:color="auto"/>
              <w:right w:val="single" w:sz="4" w:space="0" w:color="auto"/>
            </w:tcBorders>
            <w:vAlign w:val="center"/>
          </w:tcPr>
          <w:p w14:paraId="30769B61" w14:textId="77777777" w:rsidR="004F56FF" w:rsidRPr="00CA7301" w:rsidRDefault="004F56FF" w:rsidP="004F56FF">
            <w:pPr>
              <w:spacing w:before="120" w:after="60" w:line="100" w:lineRule="exact"/>
              <w:jc w:val="center"/>
              <w:rPr>
                <w:rFonts w:cs="Segoe UI"/>
                <w:bCs/>
                <w:sz w:val="17"/>
                <w:szCs w:val="17"/>
                <w:lang w:eastAsia="it-IT"/>
              </w:rPr>
            </w:pPr>
            <w:r w:rsidRPr="00CA7301">
              <w:rPr>
                <w:rFonts w:cs="Segoe UI"/>
                <w:bCs/>
                <w:sz w:val="17"/>
                <w:szCs w:val="17"/>
                <w:lang w:eastAsia="it-IT"/>
              </w:rPr>
              <w:t>(a)</w:t>
            </w:r>
          </w:p>
        </w:tc>
        <w:tc>
          <w:tcPr>
            <w:tcW w:w="1524" w:type="dxa"/>
            <w:tcBorders>
              <w:top w:val="single" w:sz="4" w:space="0" w:color="auto"/>
              <w:left w:val="nil"/>
              <w:bottom w:val="single" w:sz="4" w:space="0" w:color="auto"/>
              <w:right w:val="single" w:sz="4" w:space="0" w:color="auto"/>
            </w:tcBorders>
            <w:vAlign w:val="center"/>
          </w:tcPr>
          <w:p w14:paraId="51339D2C" w14:textId="77777777" w:rsidR="004F56FF" w:rsidRPr="00CA7301" w:rsidRDefault="004F56FF" w:rsidP="004F56FF">
            <w:pPr>
              <w:spacing w:before="120" w:after="60" w:line="100" w:lineRule="exact"/>
              <w:jc w:val="center"/>
              <w:rPr>
                <w:rFonts w:cs="Segoe UI"/>
                <w:bCs/>
                <w:sz w:val="17"/>
                <w:szCs w:val="17"/>
                <w:lang w:eastAsia="it-IT"/>
              </w:rPr>
            </w:pPr>
            <w:r w:rsidRPr="00CA7301">
              <w:rPr>
                <w:rFonts w:cs="Segoe UI"/>
                <w:bCs/>
                <w:sz w:val="17"/>
                <w:szCs w:val="17"/>
                <w:lang w:eastAsia="it-IT"/>
              </w:rPr>
              <w:t>(c)</w:t>
            </w:r>
          </w:p>
        </w:tc>
        <w:tc>
          <w:tcPr>
            <w:tcW w:w="1524" w:type="dxa"/>
            <w:tcBorders>
              <w:top w:val="single" w:sz="4" w:space="0" w:color="auto"/>
              <w:left w:val="nil"/>
              <w:bottom w:val="single" w:sz="4" w:space="0" w:color="auto"/>
              <w:right w:val="single" w:sz="4" w:space="0" w:color="auto"/>
            </w:tcBorders>
            <w:vAlign w:val="center"/>
          </w:tcPr>
          <w:p w14:paraId="44217F05" w14:textId="77777777" w:rsidR="004F56FF" w:rsidRPr="00CA7301" w:rsidRDefault="004F56FF" w:rsidP="004F56FF">
            <w:pPr>
              <w:spacing w:before="120" w:after="60" w:line="100" w:lineRule="exact"/>
              <w:jc w:val="center"/>
              <w:rPr>
                <w:rFonts w:cs="Segoe UI"/>
                <w:bCs/>
                <w:sz w:val="17"/>
                <w:szCs w:val="17"/>
                <w:lang w:eastAsia="it-IT"/>
              </w:rPr>
            </w:pPr>
            <w:r w:rsidRPr="00CA7301">
              <w:rPr>
                <w:rFonts w:cs="Segoe UI"/>
                <w:bCs/>
                <w:sz w:val="17"/>
                <w:szCs w:val="17"/>
                <w:lang w:eastAsia="it-IT"/>
              </w:rPr>
              <w:t>(d)</w:t>
            </w:r>
          </w:p>
        </w:tc>
        <w:tc>
          <w:tcPr>
            <w:tcW w:w="1524" w:type="dxa"/>
            <w:tcBorders>
              <w:top w:val="single" w:sz="4" w:space="0" w:color="auto"/>
              <w:left w:val="single" w:sz="4" w:space="0" w:color="auto"/>
              <w:bottom w:val="single" w:sz="4" w:space="0" w:color="auto"/>
              <w:right w:val="single" w:sz="4" w:space="0" w:color="auto"/>
            </w:tcBorders>
            <w:vAlign w:val="center"/>
          </w:tcPr>
          <w:p w14:paraId="5412BB15" w14:textId="77777777" w:rsidR="004F56FF" w:rsidRPr="00CA7301" w:rsidRDefault="004F56FF" w:rsidP="004F56FF">
            <w:pPr>
              <w:spacing w:before="120" w:after="60" w:line="100" w:lineRule="exact"/>
              <w:jc w:val="center"/>
              <w:rPr>
                <w:rFonts w:cs="Segoe UI"/>
                <w:bCs/>
                <w:sz w:val="17"/>
                <w:szCs w:val="17"/>
                <w:lang w:eastAsia="it-IT"/>
              </w:rPr>
            </w:pPr>
            <w:r w:rsidRPr="00CA7301">
              <w:rPr>
                <w:rFonts w:cs="Segoe UI"/>
                <w:bCs/>
                <w:sz w:val="17"/>
                <w:szCs w:val="17"/>
                <w:lang w:eastAsia="it-IT"/>
              </w:rPr>
              <w:t>(e)</w:t>
            </w:r>
          </w:p>
        </w:tc>
      </w:tr>
      <w:tr w:rsidR="001B39FD" w:rsidRPr="00CA7301" w14:paraId="6EC4BCEC" w14:textId="77777777" w:rsidTr="0063145F">
        <w:trPr>
          <w:cantSplit/>
          <w:tblHeader/>
        </w:trPr>
        <w:tc>
          <w:tcPr>
            <w:tcW w:w="993" w:type="dxa"/>
            <w:tcBorders>
              <w:top w:val="nil"/>
              <w:left w:val="nil"/>
              <w:bottom w:val="single" w:sz="4" w:space="0" w:color="auto"/>
              <w:right w:val="single" w:sz="4" w:space="0" w:color="auto"/>
            </w:tcBorders>
            <w:vAlign w:val="center"/>
          </w:tcPr>
          <w:p w14:paraId="2B640514" w14:textId="77777777" w:rsidR="004F56FF" w:rsidRPr="00CA7301" w:rsidRDefault="004F56FF" w:rsidP="004F56FF">
            <w:pPr>
              <w:snapToGrid w:val="0"/>
              <w:spacing w:before="40" w:after="40"/>
              <w:jc w:val="center"/>
              <w:rPr>
                <w:rFonts w:cs="Segoe UI"/>
                <w:b/>
                <w:sz w:val="17"/>
                <w:lang w:eastAsia="en-GB"/>
              </w:rPr>
            </w:pPr>
          </w:p>
        </w:tc>
        <w:tc>
          <w:tcPr>
            <w:tcW w:w="2126" w:type="dxa"/>
            <w:tcBorders>
              <w:top w:val="single" w:sz="4" w:space="0" w:color="auto"/>
              <w:left w:val="single" w:sz="4" w:space="0" w:color="auto"/>
              <w:bottom w:val="single" w:sz="4" w:space="0" w:color="auto"/>
              <w:right w:val="single" w:sz="4" w:space="0" w:color="auto"/>
            </w:tcBorders>
            <w:vAlign w:val="center"/>
          </w:tcPr>
          <w:p w14:paraId="372396A0" w14:textId="77777777" w:rsidR="004F56FF" w:rsidRPr="00CA7301" w:rsidRDefault="004F56FF" w:rsidP="004F56FF">
            <w:pPr>
              <w:snapToGrid w:val="0"/>
              <w:spacing w:before="40" w:after="40"/>
              <w:jc w:val="center"/>
              <w:rPr>
                <w:rFonts w:eastAsiaTheme="minorEastAsia" w:cs="Segoe UI"/>
                <w:b/>
                <w:sz w:val="17"/>
                <w:lang w:eastAsia="zh-TW"/>
              </w:rPr>
            </w:pPr>
            <w:r w:rsidRPr="00CA7301">
              <w:rPr>
                <w:rFonts w:eastAsiaTheme="minorEastAsia" w:cs="Segoe UI"/>
                <w:b/>
                <w:sz w:val="17"/>
                <w:lang w:eastAsia="zh-TW"/>
              </w:rPr>
              <w:t>按司法管轄區</w:t>
            </w:r>
            <w:r w:rsidRPr="00CA7301">
              <w:rPr>
                <w:rFonts w:cs="Segoe UI"/>
                <w:b/>
                <w:sz w:val="17"/>
                <w:lang w:eastAsia="zh-TW"/>
              </w:rPr>
              <w:t>(J)</w:t>
            </w:r>
            <w:r w:rsidRPr="00CA7301">
              <w:rPr>
                <w:rFonts w:eastAsiaTheme="minorEastAsia" w:cs="Segoe UI"/>
                <w:b/>
                <w:sz w:val="17"/>
                <w:lang w:eastAsia="zh-TW"/>
              </w:rPr>
              <w:t>列出的</w:t>
            </w:r>
          </w:p>
          <w:p w14:paraId="6B56411A" w14:textId="51EDF4EE" w:rsidR="004F56FF" w:rsidRPr="00CA7301" w:rsidRDefault="004F56FF" w:rsidP="004F56FF">
            <w:pPr>
              <w:snapToGrid w:val="0"/>
              <w:spacing w:before="40" w:after="40"/>
              <w:jc w:val="center"/>
              <w:rPr>
                <w:rFonts w:eastAsiaTheme="minorEastAsia" w:cs="Segoe UI"/>
                <w:b/>
                <w:sz w:val="17"/>
                <w:lang w:eastAsia="zh-TW"/>
              </w:rPr>
            </w:pPr>
            <w:r w:rsidRPr="00CA7301">
              <w:rPr>
                <w:rFonts w:eastAsiaTheme="minorEastAsia" w:cs="Segoe UI"/>
                <w:b/>
                <w:sz w:val="17"/>
                <w:lang w:eastAsia="zh-TW"/>
              </w:rPr>
              <w:t>地</w:t>
            </w:r>
            <w:r w:rsidRPr="00CA7301">
              <w:rPr>
                <w:rFonts w:eastAsia="細明體" w:cs="Segoe UI"/>
                <w:b/>
                <w:sz w:val="17"/>
                <w:lang w:eastAsia="zh-TW"/>
              </w:rPr>
              <w:t>域</w:t>
            </w:r>
            <w:r w:rsidRPr="00CA7301">
              <w:rPr>
                <w:rFonts w:eastAsia="新細明體" w:cs="Segoe UI"/>
                <w:b/>
                <w:sz w:val="17"/>
                <w:lang w:eastAsia="zh-TW"/>
              </w:rPr>
              <w:t>分</w:t>
            </w:r>
            <w:r w:rsidR="00C506A5" w:rsidRPr="00C506A5">
              <w:rPr>
                <w:rFonts w:eastAsiaTheme="minorEastAsia" w:cs="Segoe UI" w:hint="eastAsia"/>
                <w:b/>
                <w:sz w:val="17"/>
                <w:szCs w:val="17"/>
                <w:lang w:eastAsia="zh-HK"/>
              </w:rPr>
              <w:t>佈</w:t>
            </w:r>
          </w:p>
        </w:tc>
        <w:tc>
          <w:tcPr>
            <w:tcW w:w="1523" w:type="dxa"/>
            <w:tcBorders>
              <w:top w:val="single" w:sz="4" w:space="0" w:color="auto"/>
              <w:left w:val="nil"/>
              <w:bottom w:val="single" w:sz="4" w:space="0" w:color="auto"/>
              <w:right w:val="single" w:sz="4" w:space="0" w:color="auto"/>
            </w:tcBorders>
            <w:vAlign w:val="center"/>
          </w:tcPr>
          <w:p w14:paraId="670C7F80" w14:textId="77777777" w:rsidR="004F56FF" w:rsidRPr="00CA7301" w:rsidRDefault="004F56FF" w:rsidP="004F56FF">
            <w:pPr>
              <w:snapToGrid w:val="0"/>
              <w:spacing w:before="40" w:after="40"/>
              <w:jc w:val="center"/>
              <w:rPr>
                <w:rFonts w:cs="Segoe UI"/>
                <w:b/>
                <w:sz w:val="17"/>
                <w:szCs w:val="17"/>
                <w:lang w:val="en-US" w:eastAsia="zh-TW"/>
              </w:rPr>
            </w:pPr>
            <w:r w:rsidRPr="00CA7301">
              <w:rPr>
                <w:rFonts w:eastAsiaTheme="minorEastAsia" w:cs="Segoe UI"/>
                <w:b/>
                <w:sz w:val="17"/>
                <w:szCs w:val="17"/>
                <w:lang w:val="en-US" w:eastAsia="zh-TW"/>
              </w:rPr>
              <w:t>當時生效的適用</w:t>
            </w:r>
            <w:proofErr w:type="spellStart"/>
            <w:r w:rsidRPr="00CA7301">
              <w:rPr>
                <w:rFonts w:cs="Segoe UI"/>
                <w:b/>
                <w:sz w:val="17"/>
                <w:szCs w:val="17"/>
                <w:lang w:val="en-US" w:eastAsia="zh-TW"/>
              </w:rPr>
              <w:t>JCCyB</w:t>
            </w:r>
            <w:proofErr w:type="spellEnd"/>
            <w:r w:rsidRPr="00CA7301">
              <w:rPr>
                <w:rFonts w:eastAsiaTheme="minorEastAsia" w:cs="Segoe UI"/>
                <w:b/>
                <w:sz w:val="17"/>
                <w:szCs w:val="17"/>
                <w:lang w:val="en-US" w:eastAsia="zh-TW"/>
              </w:rPr>
              <w:t>比率</w:t>
            </w:r>
            <w:r w:rsidRPr="00CA7301">
              <w:rPr>
                <w:rFonts w:cs="Segoe UI"/>
                <w:b/>
                <w:sz w:val="17"/>
                <w:szCs w:val="17"/>
                <w:lang w:val="en-US" w:eastAsia="zh-TW"/>
              </w:rPr>
              <w:t>(%)</w:t>
            </w:r>
          </w:p>
        </w:tc>
        <w:tc>
          <w:tcPr>
            <w:tcW w:w="1524" w:type="dxa"/>
            <w:tcBorders>
              <w:top w:val="single" w:sz="4" w:space="0" w:color="auto"/>
              <w:left w:val="nil"/>
              <w:bottom w:val="single" w:sz="4" w:space="0" w:color="auto"/>
              <w:right w:val="single" w:sz="4" w:space="0" w:color="auto"/>
            </w:tcBorders>
            <w:vAlign w:val="center"/>
          </w:tcPr>
          <w:p w14:paraId="6584317B" w14:textId="77777777" w:rsidR="004F56FF" w:rsidRPr="00CA7301" w:rsidRDefault="004F56FF" w:rsidP="004F56FF">
            <w:pPr>
              <w:snapToGrid w:val="0"/>
              <w:spacing w:before="40" w:after="40"/>
              <w:jc w:val="center"/>
              <w:rPr>
                <w:rFonts w:cs="Segoe UI"/>
                <w:b/>
                <w:sz w:val="17"/>
                <w:szCs w:val="17"/>
                <w:lang w:val="en-US" w:eastAsia="zh-TW"/>
              </w:rPr>
            </w:pPr>
            <w:r w:rsidRPr="00CA7301">
              <w:rPr>
                <w:rFonts w:eastAsiaTheme="minorEastAsia" w:cs="Segoe UI"/>
                <w:b/>
                <w:sz w:val="17"/>
                <w:szCs w:val="17"/>
                <w:lang w:val="en-US" w:eastAsia="zh-TW"/>
              </w:rPr>
              <w:t>用作計算</w:t>
            </w:r>
            <w:r w:rsidRPr="00CA7301">
              <w:rPr>
                <w:rFonts w:eastAsiaTheme="minorEastAsia" w:cs="Segoe UI"/>
                <w:b/>
                <w:sz w:val="17"/>
                <w:lang w:eastAsia="zh-TW"/>
              </w:rPr>
              <w:t>逆周期緩衝資本</w:t>
            </w:r>
            <w:r w:rsidRPr="00CA7301">
              <w:rPr>
                <w:rFonts w:eastAsiaTheme="minorEastAsia" w:cs="Segoe UI"/>
                <w:b/>
                <w:sz w:val="17"/>
                <w:szCs w:val="17"/>
                <w:lang w:val="en-US" w:eastAsia="zh-TW"/>
              </w:rPr>
              <w:t>比率的</w:t>
            </w:r>
            <w:r w:rsidRPr="00CA7301">
              <w:rPr>
                <w:rFonts w:eastAsia="細明體" w:cs="Segoe UI"/>
                <w:b/>
                <w:sz w:val="17"/>
                <w:lang w:eastAsia="zh-TW"/>
              </w:rPr>
              <w:t>風險加權數額</w:t>
            </w:r>
            <w:r w:rsidRPr="00CA7301">
              <w:rPr>
                <w:rFonts w:cs="Segoe UI"/>
                <w:b/>
                <w:sz w:val="17"/>
                <w:szCs w:val="17"/>
                <w:lang w:val="en-US" w:eastAsia="zh-TW"/>
              </w:rPr>
              <w:t xml:space="preserve"> </w:t>
            </w:r>
          </w:p>
        </w:tc>
        <w:tc>
          <w:tcPr>
            <w:tcW w:w="1524" w:type="dxa"/>
            <w:tcBorders>
              <w:top w:val="single" w:sz="4" w:space="0" w:color="auto"/>
              <w:left w:val="nil"/>
              <w:bottom w:val="single" w:sz="4" w:space="0" w:color="auto"/>
              <w:right w:val="single" w:sz="4" w:space="0" w:color="auto"/>
            </w:tcBorders>
            <w:vAlign w:val="center"/>
          </w:tcPr>
          <w:p w14:paraId="1B6B2FAD" w14:textId="77777777" w:rsidR="004F56FF" w:rsidRPr="00CA7301" w:rsidRDefault="004F56FF" w:rsidP="004F56FF">
            <w:pPr>
              <w:snapToGrid w:val="0"/>
              <w:spacing w:before="40" w:after="40"/>
              <w:jc w:val="center"/>
              <w:rPr>
                <w:rFonts w:cs="Segoe UI"/>
                <w:b/>
                <w:sz w:val="17"/>
                <w:szCs w:val="17"/>
                <w:lang w:val="en-US" w:eastAsia="zh-TW"/>
              </w:rPr>
            </w:pPr>
            <w:r w:rsidRPr="00CA7301">
              <w:rPr>
                <w:rFonts w:eastAsiaTheme="minorEastAsia" w:cs="Segoe UI"/>
                <w:b/>
                <w:sz w:val="17"/>
                <w:szCs w:val="17"/>
                <w:lang w:val="en-US" w:eastAsia="zh-TW"/>
              </w:rPr>
              <w:t>認可機構</w:t>
            </w:r>
            <w:proofErr w:type="gramStart"/>
            <w:r w:rsidRPr="00CA7301">
              <w:rPr>
                <w:rFonts w:eastAsiaTheme="minorEastAsia" w:cs="Segoe UI"/>
                <w:b/>
                <w:sz w:val="17"/>
                <w:szCs w:val="17"/>
                <w:lang w:val="en-US" w:eastAsia="zh-TW"/>
              </w:rPr>
              <w:t>特定</w:t>
            </w:r>
            <w:r w:rsidRPr="00CA7301">
              <w:rPr>
                <w:rFonts w:eastAsiaTheme="minorEastAsia" w:cs="Segoe UI"/>
                <w:b/>
                <w:sz w:val="17"/>
                <w:lang w:eastAsia="zh-TW"/>
              </w:rPr>
              <w:t>逆</w:t>
            </w:r>
            <w:proofErr w:type="gramEnd"/>
            <w:r w:rsidRPr="00CA7301">
              <w:rPr>
                <w:rFonts w:eastAsiaTheme="minorEastAsia" w:cs="Segoe UI"/>
                <w:b/>
                <w:sz w:val="17"/>
                <w:lang w:eastAsia="zh-TW"/>
              </w:rPr>
              <w:t>周期緩衝資本</w:t>
            </w:r>
            <w:r w:rsidRPr="00CA7301">
              <w:rPr>
                <w:rFonts w:eastAsiaTheme="minorEastAsia" w:cs="Segoe UI"/>
                <w:b/>
                <w:sz w:val="17"/>
                <w:szCs w:val="17"/>
                <w:lang w:val="en-US" w:eastAsia="zh-TW"/>
              </w:rPr>
              <w:t>比率</w:t>
            </w:r>
            <w:r w:rsidRPr="00CA7301">
              <w:rPr>
                <w:rFonts w:cs="Segoe UI"/>
                <w:b/>
                <w:sz w:val="17"/>
                <w:szCs w:val="17"/>
                <w:lang w:val="en-US" w:eastAsia="zh-TW"/>
              </w:rPr>
              <w:t>(%)</w:t>
            </w:r>
          </w:p>
        </w:tc>
        <w:tc>
          <w:tcPr>
            <w:tcW w:w="1524" w:type="dxa"/>
            <w:tcBorders>
              <w:top w:val="single" w:sz="4" w:space="0" w:color="auto"/>
              <w:left w:val="single" w:sz="4" w:space="0" w:color="auto"/>
              <w:bottom w:val="single" w:sz="4" w:space="0" w:color="auto"/>
              <w:right w:val="single" w:sz="4" w:space="0" w:color="auto"/>
            </w:tcBorders>
            <w:vAlign w:val="center"/>
          </w:tcPr>
          <w:p w14:paraId="7A10BA37" w14:textId="77777777" w:rsidR="004F56FF" w:rsidRPr="00CA7301" w:rsidRDefault="004F56FF" w:rsidP="004F56FF">
            <w:pPr>
              <w:snapToGrid w:val="0"/>
              <w:spacing w:before="40" w:after="40"/>
              <w:jc w:val="center"/>
              <w:rPr>
                <w:rFonts w:cs="Segoe UI"/>
                <w:b/>
                <w:sz w:val="17"/>
                <w:szCs w:val="17"/>
              </w:rPr>
            </w:pPr>
            <w:r w:rsidRPr="00CA7301">
              <w:rPr>
                <w:rFonts w:eastAsiaTheme="minorEastAsia" w:cs="Segoe UI"/>
                <w:b/>
                <w:sz w:val="17"/>
                <w:lang w:eastAsia="zh-TW"/>
              </w:rPr>
              <w:t>逆周期緩衝資本</w:t>
            </w:r>
            <w:r w:rsidRPr="00CA7301">
              <w:rPr>
                <w:rFonts w:eastAsiaTheme="minorEastAsia" w:cs="Segoe UI"/>
                <w:b/>
                <w:sz w:val="17"/>
                <w:szCs w:val="17"/>
                <w:lang w:eastAsia="zh-TW"/>
              </w:rPr>
              <w:t>數額</w:t>
            </w:r>
          </w:p>
        </w:tc>
      </w:tr>
      <w:tr w:rsidR="001B39FD" w:rsidRPr="00CA7301" w14:paraId="2EA6EC3E" w14:textId="77777777" w:rsidTr="00877D8D">
        <w:trPr>
          <w:cantSplit/>
        </w:trPr>
        <w:tc>
          <w:tcPr>
            <w:tcW w:w="993" w:type="dxa"/>
            <w:tcBorders>
              <w:top w:val="single" w:sz="4" w:space="0" w:color="auto"/>
              <w:left w:val="nil"/>
              <w:bottom w:val="single" w:sz="4" w:space="0" w:color="D9D9D9" w:themeColor="background1" w:themeShade="D9"/>
              <w:right w:val="single" w:sz="4" w:space="0" w:color="auto"/>
            </w:tcBorders>
            <w:shd w:val="clear" w:color="auto" w:fill="auto"/>
          </w:tcPr>
          <w:p w14:paraId="0C90AE23" w14:textId="77777777" w:rsidR="004F56FF" w:rsidRPr="00CA7301" w:rsidRDefault="004F56FF" w:rsidP="004F56FF">
            <w:pPr>
              <w:snapToGrid w:val="0"/>
              <w:spacing w:before="40" w:after="40"/>
              <w:rPr>
                <w:rFonts w:cs="Segoe UI"/>
                <w:sz w:val="17"/>
                <w:lang w:eastAsia="en-GB"/>
              </w:rPr>
            </w:pPr>
            <w:r w:rsidRPr="00CA7301">
              <w:rPr>
                <w:rFonts w:cs="Segoe UI"/>
                <w:sz w:val="17"/>
                <w:lang w:eastAsia="en-GB"/>
              </w:rPr>
              <w:t>1</w:t>
            </w:r>
          </w:p>
        </w:tc>
        <w:tc>
          <w:tcPr>
            <w:tcW w:w="2126" w:type="dxa"/>
            <w:tcBorders>
              <w:top w:val="single" w:sz="4" w:space="0" w:color="auto"/>
              <w:left w:val="single" w:sz="4" w:space="0" w:color="auto"/>
              <w:bottom w:val="single" w:sz="4" w:space="0" w:color="D9D9D9" w:themeColor="background1" w:themeShade="D9"/>
              <w:right w:val="single" w:sz="4" w:space="0" w:color="auto"/>
            </w:tcBorders>
            <w:shd w:val="clear" w:color="auto" w:fill="auto"/>
          </w:tcPr>
          <w:p w14:paraId="257526B2" w14:textId="77777777" w:rsidR="004F56FF" w:rsidRPr="00CA7301" w:rsidRDefault="004F56FF" w:rsidP="004F56FF">
            <w:pPr>
              <w:snapToGrid w:val="0"/>
              <w:spacing w:before="40" w:after="40"/>
              <w:rPr>
                <w:rFonts w:cs="Segoe UI"/>
                <w:sz w:val="17"/>
                <w:szCs w:val="17"/>
                <w:lang w:eastAsia="en-GB"/>
              </w:rPr>
            </w:pPr>
            <w:proofErr w:type="spellStart"/>
            <w:r w:rsidRPr="00CA7301">
              <w:rPr>
                <w:rFonts w:eastAsia="細明體" w:cs="Segoe UI"/>
                <w:sz w:val="17"/>
                <w:szCs w:val="17"/>
                <w:lang w:eastAsia="en-GB"/>
              </w:rPr>
              <w:t>香港特區</w:t>
            </w:r>
            <w:proofErr w:type="spellEnd"/>
          </w:p>
        </w:tc>
        <w:tc>
          <w:tcPr>
            <w:tcW w:w="1523" w:type="dxa"/>
            <w:tcBorders>
              <w:top w:val="single" w:sz="4" w:space="0" w:color="auto"/>
              <w:left w:val="single" w:sz="4" w:space="0" w:color="auto"/>
              <w:bottom w:val="single" w:sz="4" w:space="0" w:color="D9D9D9" w:themeColor="background1" w:themeShade="D9"/>
              <w:right w:val="single" w:sz="4" w:space="0" w:color="auto"/>
            </w:tcBorders>
            <w:shd w:val="clear" w:color="auto" w:fill="auto"/>
          </w:tcPr>
          <w:p w14:paraId="1A5A3410"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D9D9D9" w:themeColor="background1" w:themeShade="D9"/>
              <w:right w:val="single" w:sz="4" w:space="0" w:color="auto"/>
            </w:tcBorders>
            <w:shd w:val="clear" w:color="auto" w:fill="auto"/>
          </w:tcPr>
          <w:p w14:paraId="118C0289"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808080" w:themeColor="background1" w:themeShade="80"/>
              <w:right w:val="single" w:sz="4" w:space="0" w:color="auto"/>
            </w:tcBorders>
            <w:shd w:val="clear" w:color="auto" w:fill="808080" w:themeFill="background1" w:themeFillShade="80"/>
          </w:tcPr>
          <w:p w14:paraId="434A0881"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0A350253" w14:textId="77777777" w:rsidR="004F56FF" w:rsidRPr="00CA7301" w:rsidRDefault="004F56FF" w:rsidP="004F56FF">
            <w:pPr>
              <w:snapToGrid w:val="0"/>
              <w:spacing w:before="40" w:after="40"/>
              <w:rPr>
                <w:rFonts w:cs="Segoe UI"/>
                <w:sz w:val="17"/>
                <w:szCs w:val="17"/>
                <w:lang w:eastAsia="en-GB"/>
              </w:rPr>
            </w:pPr>
          </w:p>
        </w:tc>
      </w:tr>
      <w:tr w:rsidR="001B39FD" w:rsidRPr="00CA7301" w14:paraId="7275D99E" w14:textId="77777777" w:rsidTr="00877D8D">
        <w:trPr>
          <w:cantSplit/>
        </w:trPr>
        <w:tc>
          <w:tcPr>
            <w:tcW w:w="99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tcPr>
          <w:p w14:paraId="54C1C1F1" w14:textId="77777777" w:rsidR="004F56FF" w:rsidRPr="00CA7301" w:rsidRDefault="004F56FF" w:rsidP="004F56FF">
            <w:pPr>
              <w:snapToGrid w:val="0"/>
              <w:spacing w:before="40" w:after="40"/>
              <w:rPr>
                <w:rFonts w:cs="Segoe UI"/>
                <w:sz w:val="17"/>
                <w:lang w:eastAsia="en-GB"/>
              </w:rPr>
            </w:pPr>
            <w:r w:rsidRPr="00CA7301">
              <w:rPr>
                <w:rFonts w:cs="Segoe UI"/>
                <w:sz w:val="17"/>
                <w:lang w:eastAsia="en-GB"/>
              </w:rPr>
              <w:t>2</w:t>
            </w:r>
          </w:p>
        </w:tc>
        <w:tc>
          <w:tcPr>
            <w:tcW w:w="21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283A15F7" w14:textId="77777777" w:rsidR="004F56FF" w:rsidRPr="00CA7301" w:rsidRDefault="004F56FF" w:rsidP="004F56FF">
            <w:pPr>
              <w:snapToGrid w:val="0"/>
              <w:spacing w:before="40" w:after="40"/>
              <w:rPr>
                <w:rFonts w:cs="Segoe UI"/>
                <w:sz w:val="17"/>
                <w:szCs w:val="17"/>
                <w:lang w:eastAsia="en-GB"/>
              </w:rPr>
            </w:pPr>
            <w:proofErr w:type="spellStart"/>
            <w:r w:rsidRPr="00CA7301">
              <w:rPr>
                <w:rFonts w:eastAsia="細明體" w:cs="Segoe UI"/>
                <w:sz w:val="17"/>
                <w:szCs w:val="17"/>
                <w:lang w:eastAsia="en-GB"/>
              </w:rPr>
              <w:t>中國內地</w:t>
            </w:r>
            <w:proofErr w:type="spellEnd"/>
          </w:p>
        </w:tc>
        <w:tc>
          <w:tcPr>
            <w:tcW w:w="152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Pr>
          <w:p w14:paraId="57696F48"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Pr>
          <w:p w14:paraId="02DF1319"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tcPr>
          <w:p w14:paraId="42EC55D0"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7FA4DB16" w14:textId="77777777" w:rsidR="004F56FF" w:rsidRPr="00CA7301" w:rsidRDefault="004F56FF" w:rsidP="004F56FF">
            <w:pPr>
              <w:snapToGrid w:val="0"/>
              <w:spacing w:before="40" w:after="40"/>
              <w:rPr>
                <w:rFonts w:cs="Segoe UI"/>
                <w:sz w:val="17"/>
                <w:szCs w:val="17"/>
                <w:lang w:eastAsia="en-GB"/>
              </w:rPr>
            </w:pPr>
          </w:p>
        </w:tc>
      </w:tr>
      <w:tr w:rsidR="001B39FD" w:rsidRPr="00CA7301" w14:paraId="4D862A56" w14:textId="77777777" w:rsidTr="00877D8D">
        <w:trPr>
          <w:cantSplit/>
        </w:trPr>
        <w:tc>
          <w:tcPr>
            <w:tcW w:w="99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tcPr>
          <w:p w14:paraId="2E2A81B4" w14:textId="77777777" w:rsidR="004F56FF" w:rsidRPr="00CA7301" w:rsidRDefault="004F56FF" w:rsidP="004F56FF">
            <w:pPr>
              <w:snapToGrid w:val="0"/>
              <w:spacing w:before="40" w:after="40"/>
              <w:rPr>
                <w:rFonts w:cs="Segoe UI"/>
                <w:sz w:val="17"/>
                <w:lang w:eastAsia="en-GB"/>
              </w:rPr>
            </w:pPr>
            <w:r w:rsidRPr="00CA7301">
              <w:rPr>
                <w:rFonts w:cs="Segoe UI"/>
                <w:sz w:val="17"/>
                <w:lang w:eastAsia="en-GB"/>
              </w:rPr>
              <w:t>3</w:t>
            </w:r>
          </w:p>
        </w:tc>
        <w:tc>
          <w:tcPr>
            <w:tcW w:w="21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2FBEA13F" w14:textId="77777777" w:rsidR="004F56FF" w:rsidRPr="00CA7301" w:rsidRDefault="004F56FF" w:rsidP="004F56FF">
            <w:pPr>
              <w:snapToGrid w:val="0"/>
              <w:spacing w:before="40" w:after="40"/>
              <w:rPr>
                <w:rFonts w:cs="Segoe UI"/>
                <w:sz w:val="17"/>
                <w:szCs w:val="17"/>
                <w:lang w:eastAsia="en-GB"/>
              </w:rPr>
            </w:pPr>
            <w:r w:rsidRPr="00CA7301">
              <w:rPr>
                <w:rFonts w:eastAsiaTheme="minorEastAsia" w:cs="Segoe UI"/>
                <w:sz w:val="17"/>
                <w:szCs w:val="17"/>
                <w:lang w:eastAsia="zh-TW"/>
              </w:rPr>
              <w:t>國家</w:t>
            </w:r>
            <w:r w:rsidRPr="00CA7301">
              <w:rPr>
                <w:rFonts w:cs="Segoe UI"/>
                <w:sz w:val="17"/>
                <w:szCs w:val="17"/>
                <w:lang w:eastAsia="en-GB"/>
              </w:rPr>
              <w:t>/</w:t>
            </w:r>
            <w:r w:rsidRPr="00CA7301">
              <w:rPr>
                <w:rFonts w:eastAsiaTheme="minorEastAsia" w:cs="Segoe UI"/>
                <w:sz w:val="17"/>
                <w:szCs w:val="17"/>
                <w:lang w:eastAsia="zh-TW"/>
              </w:rPr>
              <w:t>司法管轄區</w:t>
            </w:r>
            <w:r w:rsidRPr="00CA7301">
              <w:rPr>
                <w:rFonts w:cs="Segoe UI"/>
                <w:sz w:val="17"/>
                <w:szCs w:val="17"/>
                <w:lang w:eastAsia="en-GB"/>
              </w:rPr>
              <w:t>3</w:t>
            </w:r>
          </w:p>
        </w:tc>
        <w:tc>
          <w:tcPr>
            <w:tcW w:w="152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Pr>
          <w:p w14:paraId="3F3CB2F9"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Pr>
          <w:p w14:paraId="16AAC011"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tcPr>
          <w:p w14:paraId="2F971C33"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5321AA11" w14:textId="77777777" w:rsidR="004F56FF" w:rsidRPr="00CA7301" w:rsidRDefault="004F56FF" w:rsidP="004F56FF">
            <w:pPr>
              <w:snapToGrid w:val="0"/>
              <w:spacing w:before="40" w:after="40"/>
              <w:rPr>
                <w:rFonts w:cs="Segoe UI"/>
                <w:sz w:val="17"/>
                <w:szCs w:val="17"/>
                <w:lang w:eastAsia="en-GB"/>
              </w:rPr>
            </w:pPr>
          </w:p>
        </w:tc>
      </w:tr>
      <w:tr w:rsidR="001B39FD" w:rsidRPr="00CA7301" w14:paraId="5930A259" w14:textId="77777777" w:rsidTr="00877D8D">
        <w:trPr>
          <w:cantSplit/>
        </w:trPr>
        <w:tc>
          <w:tcPr>
            <w:tcW w:w="99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center"/>
          </w:tcPr>
          <w:p w14:paraId="2F130F1E" w14:textId="77777777" w:rsidR="004F56FF" w:rsidRPr="00CA7301" w:rsidRDefault="004F56FF" w:rsidP="004F56FF">
            <w:pPr>
              <w:snapToGrid w:val="0"/>
              <w:contextualSpacing/>
              <w:rPr>
                <w:rFonts w:cs="Segoe UI"/>
                <w:sz w:val="17"/>
                <w:lang w:eastAsia="en-GB"/>
              </w:rPr>
            </w:pPr>
            <w:r w:rsidRPr="00CA7301">
              <w:rPr>
                <w:rFonts w:cs="Segoe UI"/>
                <w:sz w:val="17"/>
                <w:lang w:eastAsia="en-GB"/>
              </w:rPr>
              <w:t>⁞</w:t>
            </w:r>
          </w:p>
        </w:tc>
        <w:tc>
          <w:tcPr>
            <w:tcW w:w="21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0937BEA1" w14:textId="77777777" w:rsidR="004F56FF" w:rsidRPr="00CA7301" w:rsidRDefault="004F56FF" w:rsidP="004F56FF">
            <w:pPr>
              <w:snapToGrid w:val="0"/>
              <w:contextualSpacing/>
              <w:rPr>
                <w:rFonts w:cs="Segoe UI"/>
                <w:sz w:val="17"/>
                <w:lang w:eastAsia="en-GB"/>
              </w:rPr>
            </w:pPr>
            <w:r w:rsidRPr="00CA7301">
              <w:rPr>
                <w:rFonts w:cs="Segoe UI"/>
                <w:sz w:val="17"/>
                <w:lang w:eastAsia="en-GB"/>
              </w:rPr>
              <w:t xml:space="preserve">⁞ </w:t>
            </w:r>
          </w:p>
        </w:tc>
        <w:tc>
          <w:tcPr>
            <w:tcW w:w="152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Pr>
          <w:p w14:paraId="3A98D9F7"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Pr>
          <w:p w14:paraId="14EEAA68"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tcPr>
          <w:p w14:paraId="230C0ACF"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2007756D" w14:textId="77777777" w:rsidR="004F56FF" w:rsidRPr="00CA7301" w:rsidRDefault="004F56FF" w:rsidP="004F56FF">
            <w:pPr>
              <w:snapToGrid w:val="0"/>
              <w:spacing w:before="40" w:after="40"/>
              <w:rPr>
                <w:rFonts w:cs="Segoe UI"/>
                <w:sz w:val="17"/>
                <w:szCs w:val="17"/>
                <w:lang w:eastAsia="en-GB"/>
              </w:rPr>
            </w:pPr>
          </w:p>
        </w:tc>
      </w:tr>
      <w:tr w:rsidR="00883F2A" w:rsidRPr="00CA7301" w14:paraId="39E3F8CB" w14:textId="77777777" w:rsidTr="00877D8D">
        <w:trPr>
          <w:cantSplit/>
        </w:trPr>
        <w:tc>
          <w:tcPr>
            <w:tcW w:w="993" w:type="dxa"/>
            <w:tcBorders>
              <w:top w:val="single" w:sz="4" w:space="0" w:color="D9D9D9" w:themeColor="background1" w:themeShade="D9"/>
              <w:left w:val="nil"/>
              <w:bottom w:val="single" w:sz="4" w:space="0" w:color="auto"/>
              <w:right w:val="single" w:sz="4" w:space="0" w:color="auto"/>
            </w:tcBorders>
            <w:shd w:val="clear" w:color="auto" w:fill="auto"/>
          </w:tcPr>
          <w:p w14:paraId="39D122AC" w14:textId="77777777" w:rsidR="004F56FF" w:rsidRPr="00CA7301" w:rsidRDefault="004F56FF" w:rsidP="004F56FF">
            <w:pPr>
              <w:snapToGrid w:val="0"/>
              <w:spacing w:before="40" w:after="40"/>
              <w:rPr>
                <w:rFonts w:cs="Segoe UI"/>
                <w:sz w:val="17"/>
                <w:lang w:eastAsia="en-GB"/>
              </w:rPr>
            </w:pPr>
            <w:r w:rsidRPr="00CA7301">
              <w:rPr>
                <w:rFonts w:cs="Segoe UI"/>
                <w:sz w:val="17"/>
                <w:lang w:eastAsia="en-GB"/>
              </w:rPr>
              <w:t>N</w:t>
            </w:r>
          </w:p>
        </w:tc>
        <w:tc>
          <w:tcPr>
            <w:tcW w:w="2126" w:type="dxa"/>
            <w:tcBorders>
              <w:top w:val="single" w:sz="4" w:space="0" w:color="D9D9D9" w:themeColor="background1" w:themeShade="D9"/>
              <w:left w:val="single" w:sz="4" w:space="0" w:color="auto"/>
              <w:bottom w:val="single" w:sz="4" w:space="0" w:color="auto"/>
              <w:right w:val="single" w:sz="4" w:space="0" w:color="auto"/>
            </w:tcBorders>
            <w:shd w:val="clear" w:color="auto" w:fill="auto"/>
            <w:vAlign w:val="center"/>
          </w:tcPr>
          <w:p w14:paraId="272C015E" w14:textId="77777777" w:rsidR="004F56FF" w:rsidRPr="00CA7301" w:rsidRDefault="004F56FF" w:rsidP="004F56FF">
            <w:pPr>
              <w:snapToGrid w:val="0"/>
              <w:spacing w:before="40" w:after="40"/>
              <w:rPr>
                <w:rFonts w:cs="Segoe UI"/>
                <w:sz w:val="17"/>
                <w:szCs w:val="17"/>
                <w:lang w:eastAsia="en-GB"/>
              </w:rPr>
            </w:pPr>
            <w:r w:rsidRPr="00CA7301">
              <w:rPr>
                <w:rFonts w:eastAsiaTheme="minorEastAsia" w:cs="Segoe UI"/>
                <w:sz w:val="17"/>
                <w:szCs w:val="17"/>
                <w:lang w:eastAsia="zh-TW"/>
              </w:rPr>
              <w:t>國家</w:t>
            </w:r>
            <w:r w:rsidRPr="00CA7301">
              <w:rPr>
                <w:rFonts w:cs="Segoe UI"/>
                <w:sz w:val="17"/>
                <w:szCs w:val="17"/>
                <w:lang w:eastAsia="en-GB"/>
              </w:rPr>
              <w:t>/</w:t>
            </w:r>
            <w:r w:rsidRPr="00CA7301">
              <w:rPr>
                <w:rFonts w:eastAsiaTheme="minorEastAsia" w:cs="Segoe UI"/>
                <w:sz w:val="17"/>
                <w:szCs w:val="17"/>
                <w:lang w:eastAsia="zh-TW"/>
              </w:rPr>
              <w:t>司法管轄區</w:t>
            </w:r>
            <w:r w:rsidRPr="00CA7301">
              <w:rPr>
                <w:rFonts w:cs="Segoe UI"/>
                <w:sz w:val="17"/>
                <w:szCs w:val="17"/>
                <w:lang w:eastAsia="en-GB"/>
              </w:rPr>
              <w:t>N</w:t>
            </w:r>
          </w:p>
        </w:tc>
        <w:tc>
          <w:tcPr>
            <w:tcW w:w="1523" w:type="dxa"/>
            <w:tcBorders>
              <w:top w:val="single" w:sz="4" w:space="0" w:color="D9D9D9" w:themeColor="background1" w:themeShade="D9"/>
              <w:left w:val="single" w:sz="4" w:space="0" w:color="auto"/>
              <w:bottom w:val="single" w:sz="4" w:space="0" w:color="auto"/>
              <w:right w:val="single" w:sz="4" w:space="0" w:color="auto"/>
            </w:tcBorders>
            <w:shd w:val="clear" w:color="auto" w:fill="auto"/>
          </w:tcPr>
          <w:p w14:paraId="5E3D47AB"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D9D9D9" w:themeColor="background1" w:themeShade="D9"/>
              <w:left w:val="single" w:sz="4" w:space="0" w:color="auto"/>
              <w:bottom w:val="single" w:sz="4" w:space="0" w:color="auto"/>
              <w:right w:val="single" w:sz="4" w:space="0" w:color="auto"/>
            </w:tcBorders>
            <w:shd w:val="clear" w:color="auto" w:fill="auto"/>
          </w:tcPr>
          <w:p w14:paraId="6FF340C3"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auto"/>
              <w:right w:val="single" w:sz="4" w:space="0" w:color="auto"/>
            </w:tcBorders>
            <w:shd w:val="clear" w:color="auto" w:fill="808080" w:themeFill="background1" w:themeFillShade="80"/>
          </w:tcPr>
          <w:p w14:paraId="62086A48"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808080" w:themeColor="background1" w:themeShade="80"/>
              <w:left w:val="single" w:sz="4" w:space="0" w:color="auto"/>
              <w:bottom w:val="single" w:sz="4" w:space="0" w:color="auto"/>
              <w:right w:val="single" w:sz="4" w:space="0" w:color="auto"/>
            </w:tcBorders>
            <w:shd w:val="clear" w:color="auto" w:fill="808080" w:themeFill="background1" w:themeFillShade="80"/>
            <w:vAlign w:val="center"/>
          </w:tcPr>
          <w:p w14:paraId="77E2264B" w14:textId="77777777" w:rsidR="004F56FF" w:rsidRPr="00CA7301" w:rsidRDefault="004F56FF" w:rsidP="004F56FF">
            <w:pPr>
              <w:snapToGrid w:val="0"/>
              <w:spacing w:before="40" w:after="40"/>
              <w:rPr>
                <w:rFonts w:cs="Segoe UI"/>
                <w:sz w:val="17"/>
                <w:szCs w:val="17"/>
                <w:lang w:eastAsia="en-GB"/>
              </w:rPr>
            </w:pPr>
          </w:p>
        </w:tc>
      </w:tr>
      <w:tr w:rsidR="00883F2A" w:rsidRPr="00CA7301" w14:paraId="1ED99809" w14:textId="77777777" w:rsidTr="00877D8D">
        <w:trPr>
          <w:cantSplit/>
        </w:trPr>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79CC4CCC" w14:textId="77777777" w:rsidR="004F56FF" w:rsidRPr="00CA7301" w:rsidRDefault="004F56FF" w:rsidP="004F56FF">
            <w:pPr>
              <w:snapToGrid w:val="0"/>
              <w:spacing w:before="40" w:after="40"/>
              <w:rPr>
                <w:rFonts w:cs="Segoe UI"/>
                <w:sz w:val="17"/>
                <w:lang w:eastAsia="en-GB"/>
              </w:rPr>
            </w:pPr>
            <w:r w:rsidRPr="00CA7301">
              <w:rPr>
                <w:rFonts w:cs="Segoe UI"/>
                <w:sz w:val="17"/>
                <w:lang w:eastAsia="en-GB"/>
              </w:rPr>
              <w:t>N+1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B3222" w14:textId="77777777" w:rsidR="004F56FF" w:rsidRPr="00CA7301" w:rsidRDefault="004F56FF" w:rsidP="004F56FF">
            <w:pPr>
              <w:snapToGrid w:val="0"/>
              <w:spacing w:before="40" w:after="40"/>
              <w:rPr>
                <w:rFonts w:cs="Segoe UI"/>
                <w:sz w:val="17"/>
                <w:szCs w:val="17"/>
                <w:lang w:eastAsia="en-GB"/>
              </w:rPr>
            </w:pPr>
            <w:r w:rsidRPr="00CA7301">
              <w:rPr>
                <w:rFonts w:eastAsiaTheme="minorEastAsia" w:cs="Segoe UI"/>
                <w:sz w:val="17"/>
                <w:szCs w:val="17"/>
                <w:lang w:eastAsia="zh-TW"/>
              </w:rPr>
              <w:t>總和</w:t>
            </w:r>
          </w:p>
        </w:tc>
        <w:tc>
          <w:tcPr>
            <w:tcW w:w="15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AF1E4B"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2829D1DA"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7647148"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35AD63D" w14:textId="77777777" w:rsidR="004F56FF" w:rsidRPr="00CA7301" w:rsidRDefault="004F56FF" w:rsidP="004F56FF">
            <w:pPr>
              <w:snapToGrid w:val="0"/>
              <w:spacing w:before="40" w:after="40"/>
              <w:rPr>
                <w:rFonts w:cs="Segoe UI"/>
                <w:sz w:val="17"/>
                <w:szCs w:val="17"/>
                <w:lang w:eastAsia="en-GB"/>
              </w:rPr>
            </w:pPr>
          </w:p>
        </w:tc>
      </w:tr>
      <w:tr w:rsidR="00883F2A" w:rsidRPr="00CA7301" w14:paraId="55721E0E" w14:textId="77777777" w:rsidTr="00877D8D">
        <w:trPr>
          <w:cantSplit/>
        </w:trPr>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1CAA5BC0" w14:textId="77777777" w:rsidR="004F56FF" w:rsidRPr="00CA7301" w:rsidRDefault="004F56FF" w:rsidP="004F56FF">
            <w:pPr>
              <w:snapToGrid w:val="0"/>
              <w:spacing w:before="40" w:after="40"/>
              <w:rPr>
                <w:rFonts w:cs="Segoe UI"/>
                <w:sz w:val="17"/>
                <w:lang w:eastAsia="en-GB"/>
              </w:rPr>
            </w:pPr>
            <w:r w:rsidRPr="00CA7301">
              <w:rPr>
                <w:rFonts w:cs="Segoe UI"/>
                <w:sz w:val="17"/>
                <w:lang w:eastAsia="en-GB"/>
              </w:rPr>
              <w:t>N+2</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E9D5B" w14:textId="77777777" w:rsidR="004F56FF" w:rsidRPr="00CA7301" w:rsidRDefault="004F56FF" w:rsidP="004F56FF">
            <w:pPr>
              <w:snapToGrid w:val="0"/>
              <w:spacing w:before="40" w:after="40"/>
              <w:rPr>
                <w:rFonts w:cs="Segoe UI"/>
                <w:sz w:val="17"/>
                <w:szCs w:val="17"/>
                <w:lang w:eastAsia="en-GB"/>
              </w:rPr>
            </w:pPr>
            <w:r w:rsidRPr="00CA7301">
              <w:rPr>
                <w:rFonts w:eastAsiaTheme="minorEastAsia" w:cs="Segoe UI"/>
                <w:sz w:val="17"/>
                <w:szCs w:val="17"/>
                <w:lang w:eastAsia="zh-TW"/>
              </w:rPr>
              <w:t>總計</w:t>
            </w:r>
          </w:p>
        </w:tc>
        <w:tc>
          <w:tcPr>
            <w:tcW w:w="15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78646"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7D26F994"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5B418DE9" w14:textId="77777777" w:rsidR="004F56FF" w:rsidRPr="00CA7301" w:rsidRDefault="004F56FF" w:rsidP="004F56FF">
            <w:pPr>
              <w:snapToGrid w:val="0"/>
              <w:spacing w:before="40" w:after="40"/>
              <w:rPr>
                <w:rFonts w:cs="Segoe UI"/>
                <w:sz w:val="17"/>
                <w:szCs w:val="17"/>
                <w:lang w:eastAsia="en-GB"/>
              </w:rPr>
            </w:pP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7CEE1A41" w14:textId="77777777" w:rsidR="004F56FF" w:rsidRPr="00CA7301" w:rsidRDefault="004F56FF" w:rsidP="004F56FF">
            <w:pPr>
              <w:snapToGrid w:val="0"/>
              <w:spacing w:before="40" w:after="40"/>
              <w:rPr>
                <w:rFonts w:cs="Segoe UI"/>
                <w:sz w:val="17"/>
                <w:szCs w:val="17"/>
                <w:lang w:eastAsia="en-GB"/>
              </w:rPr>
            </w:pPr>
          </w:p>
        </w:tc>
      </w:tr>
      <w:tr w:rsidR="004F56FF" w:rsidRPr="00CA7301" w14:paraId="3AED0669" w14:textId="77777777" w:rsidTr="00877D8D">
        <w:trPr>
          <w:cantSplit/>
        </w:trPr>
        <w:tc>
          <w:tcPr>
            <w:tcW w:w="9214" w:type="dxa"/>
            <w:gridSpan w:val="6"/>
            <w:tcBorders>
              <w:top w:val="single" w:sz="4" w:space="0" w:color="auto"/>
              <w:left w:val="nil"/>
              <w:bottom w:val="single" w:sz="4" w:space="0" w:color="auto"/>
              <w:right w:val="single" w:sz="4" w:space="0" w:color="auto"/>
            </w:tcBorders>
            <w:shd w:val="clear" w:color="auto" w:fill="auto"/>
          </w:tcPr>
          <w:p w14:paraId="15F7F567" w14:textId="77777777" w:rsidR="004F56FF" w:rsidRPr="00CA7301" w:rsidRDefault="004F56FF" w:rsidP="004F56FF">
            <w:pPr>
              <w:snapToGrid w:val="0"/>
              <w:spacing w:before="40" w:after="40" w:line="240" w:lineRule="exact"/>
              <w:jc w:val="both"/>
              <w:rPr>
                <w:rFonts w:cs="Segoe UI"/>
                <w:i/>
                <w:sz w:val="17"/>
                <w:szCs w:val="17"/>
                <w:lang w:eastAsia="it-IT"/>
              </w:rPr>
            </w:pPr>
            <w:r w:rsidRPr="00CA7301">
              <w:rPr>
                <w:rFonts w:eastAsiaTheme="minorEastAsia" w:cs="Segoe UI"/>
                <w:i/>
                <w:sz w:val="17"/>
                <w:szCs w:val="17"/>
                <w:lang w:eastAsia="zh-TW"/>
              </w:rPr>
              <w:t>注意事項：</w:t>
            </w:r>
          </w:p>
          <w:p w14:paraId="648E1CA0" w14:textId="30DA2E12" w:rsidR="004F56FF" w:rsidRPr="006B027C" w:rsidRDefault="004F56FF" w:rsidP="00D540EB">
            <w:pPr>
              <w:numPr>
                <w:ilvl w:val="0"/>
                <w:numId w:val="14"/>
              </w:numPr>
              <w:snapToGrid w:val="0"/>
              <w:spacing w:before="40" w:after="40"/>
              <w:ind w:left="317" w:hanging="317"/>
              <w:jc w:val="both"/>
              <w:rPr>
                <w:rFonts w:cs="Segoe UI"/>
                <w:iCs/>
                <w:sz w:val="17"/>
                <w:szCs w:val="17"/>
                <w:lang w:eastAsia="zh-TW"/>
              </w:rPr>
            </w:pPr>
            <w:r w:rsidRPr="006B027C">
              <w:rPr>
                <w:rFonts w:eastAsiaTheme="minorEastAsia" w:cs="Segoe UI"/>
                <w:iCs/>
                <w:sz w:val="17"/>
                <w:szCs w:val="17"/>
                <w:lang w:eastAsia="zh-TW"/>
              </w:rPr>
              <w:t>深灰色陰影項目（即第</w:t>
            </w:r>
            <w:r w:rsidR="009B0FB2" w:rsidRPr="006B027C">
              <w:rPr>
                <w:rFonts w:cs="Segoe UI"/>
                <w:iCs/>
                <w:sz w:val="17"/>
                <w:szCs w:val="17"/>
                <w:lang w:eastAsia="it-IT"/>
              </w:rPr>
              <w:t>1</w:t>
            </w:r>
            <w:r w:rsidRPr="006B027C">
              <w:rPr>
                <w:rFonts w:eastAsiaTheme="minorEastAsia" w:cs="Segoe UI"/>
                <w:iCs/>
                <w:sz w:val="17"/>
                <w:szCs w:val="17"/>
                <w:lang w:eastAsia="zh-TW"/>
              </w:rPr>
              <w:t>至</w:t>
            </w:r>
            <w:r w:rsidRPr="006B027C">
              <w:rPr>
                <w:rFonts w:cs="Segoe UI"/>
                <w:iCs/>
                <w:sz w:val="17"/>
                <w:szCs w:val="17"/>
                <w:lang w:eastAsia="it-IT"/>
              </w:rPr>
              <w:t>N+1</w:t>
            </w:r>
            <w:r w:rsidRPr="006B027C">
              <w:rPr>
                <w:rFonts w:eastAsiaTheme="minorEastAsia" w:cs="Segoe UI"/>
                <w:iCs/>
                <w:sz w:val="17"/>
                <w:szCs w:val="17"/>
                <w:lang w:eastAsia="zh-TW"/>
              </w:rPr>
              <w:t>行內的</w:t>
            </w:r>
            <w:r w:rsidRPr="006B027C">
              <w:rPr>
                <w:rFonts w:cs="Segoe UI"/>
                <w:iCs/>
                <w:sz w:val="17"/>
                <w:szCs w:val="17"/>
                <w:lang w:eastAsia="it-IT"/>
              </w:rPr>
              <w:t>(d)</w:t>
            </w:r>
            <w:r w:rsidRPr="006B027C">
              <w:rPr>
                <w:rFonts w:eastAsiaTheme="minorEastAsia" w:cs="Segoe UI"/>
                <w:iCs/>
                <w:sz w:val="17"/>
                <w:szCs w:val="17"/>
                <w:lang w:eastAsia="zh-TW"/>
              </w:rPr>
              <w:t>及</w:t>
            </w:r>
            <w:r w:rsidRPr="006B027C">
              <w:rPr>
                <w:rFonts w:cs="Segoe UI"/>
                <w:iCs/>
                <w:sz w:val="17"/>
                <w:szCs w:val="17"/>
                <w:lang w:eastAsia="it-IT"/>
              </w:rPr>
              <w:t>(e)</w:t>
            </w:r>
            <w:r w:rsidRPr="006B027C">
              <w:rPr>
                <w:rFonts w:eastAsia="新細明體" w:cs="Segoe UI"/>
                <w:iCs/>
                <w:sz w:val="17"/>
                <w:szCs w:val="17"/>
                <w:lang w:eastAsia="it-IT"/>
              </w:rPr>
              <w:t>欄</w:t>
            </w:r>
            <w:r w:rsidRPr="006B027C">
              <w:rPr>
                <w:rFonts w:eastAsiaTheme="minorEastAsia" w:cs="Segoe UI"/>
                <w:iCs/>
                <w:sz w:val="17"/>
                <w:szCs w:val="17"/>
                <w:lang w:eastAsia="zh-TW"/>
              </w:rPr>
              <w:t>、方格</w:t>
            </w:r>
            <w:r w:rsidRPr="006B027C">
              <w:rPr>
                <w:rFonts w:cs="Segoe UI"/>
                <w:iCs/>
                <w:sz w:val="17"/>
                <w:szCs w:val="17"/>
                <w:lang w:eastAsia="it-IT"/>
              </w:rPr>
              <w:t>N+1/a</w:t>
            </w:r>
            <w:r w:rsidRPr="006B027C">
              <w:rPr>
                <w:rFonts w:eastAsiaTheme="minorEastAsia" w:cs="Segoe UI"/>
                <w:iCs/>
                <w:sz w:val="17"/>
                <w:szCs w:val="17"/>
                <w:lang w:eastAsia="zh-TW"/>
              </w:rPr>
              <w:t>及</w:t>
            </w:r>
            <w:r w:rsidRPr="006B027C">
              <w:rPr>
                <w:rFonts w:cs="Segoe UI"/>
                <w:iCs/>
                <w:sz w:val="17"/>
                <w:szCs w:val="17"/>
                <w:lang w:eastAsia="it-IT"/>
              </w:rPr>
              <w:t>N+2/a</w:t>
            </w:r>
            <w:r w:rsidRPr="006B027C">
              <w:rPr>
                <w:rFonts w:eastAsiaTheme="minorEastAsia" w:cs="Segoe UI"/>
                <w:iCs/>
                <w:sz w:val="17"/>
                <w:szCs w:val="17"/>
                <w:lang w:eastAsia="zh-TW"/>
              </w:rPr>
              <w:t>）無須作出披露。</w:t>
            </w:r>
          </w:p>
        </w:tc>
      </w:tr>
    </w:tbl>
    <w:p w14:paraId="321BAD48" w14:textId="77777777" w:rsidR="004F56FF" w:rsidRPr="00CA7301" w:rsidRDefault="004F56FF" w:rsidP="004F56FF">
      <w:pPr>
        <w:spacing w:before="120" w:after="120"/>
        <w:ind w:leftChars="-283" w:left="-566"/>
        <w:rPr>
          <w:rFonts w:eastAsiaTheme="minorEastAsia" w:cs="Segoe UI"/>
          <w:sz w:val="22"/>
          <w:lang w:eastAsia="zh-TW"/>
        </w:rPr>
      </w:pPr>
    </w:p>
    <w:p w14:paraId="6AD37367" w14:textId="77777777" w:rsidR="004F56FF" w:rsidRPr="00CA7301" w:rsidRDefault="004F56FF" w:rsidP="004F56FF">
      <w:pPr>
        <w:spacing w:before="120" w:after="120"/>
        <w:ind w:leftChars="-283" w:left="-566"/>
        <w:rPr>
          <w:rFonts w:eastAsiaTheme="minorEastAsia" w:cs="Segoe UI"/>
          <w:sz w:val="22"/>
          <w:lang w:eastAsia="zh-TW"/>
        </w:rPr>
      </w:pPr>
    </w:p>
    <w:tbl>
      <w:tblPr>
        <w:tblStyle w:val="TableGrid6"/>
        <w:tblW w:w="9214" w:type="dxa"/>
        <w:tblInd w:w="-459" w:type="dxa"/>
        <w:tblLayout w:type="fixed"/>
        <w:tblLook w:val="04A0" w:firstRow="1" w:lastRow="0" w:firstColumn="1" w:lastColumn="0" w:noHBand="0" w:noVBand="1"/>
      </w:tblPr>
      <w:tblGrid>
        <w:gridCol w:w="993"/>
        <w:gridCol w:w="8221"/>
      </w:tblGrid>
      <w:tr w:rsidR="004F56FF" w:rsidRPr="00CA7301" w14:paraId="7336023B" w14:textId="77777777" w:rsidTr="00877D8D">
        <w:trPr>
          <w:tblHeader/>
        </w:trPr>
        <w:tc>
          <w:tcPr>
            <w:tcW w:w="9214" w:type="dxa"/>
            <w:gridSpan w:val="2"/>
            <w:shd w:val="clear" w:color="auto" w:fill="BFBFBF" w:themeFill="background1" w:themeFillShade="BF"/>
          </w:tcPr>
          <w:p w14:paraId="4CFF24DD" w14:textId="77777777" w:rsidR="004F56FF" w:rsidRPr="00CA7301" w:rsidRDefault="004F56FF" w:rsidP="004F56FF">
            <w:pPr>
              <w:spacing w:before="40" w:after="40"/>
              <w:jc w:val="both"/>
              <w:rPr>
                <w:rFonts w:eastAsiaTheme="minorEastAsia" w:cs="Segoe UI"/>
                <w:b/>
                <w:sz w:val="17"/>
                <w:szCs w:val="17"/>
                <w:lang w:eastAsia="en-GB"/>
              </w:rPr>
            </w:pPr>
            <w:proofErr w:type="gramStart"/>
            <w:r w:rsidRPr="00CA7301">
              <w:rPr>
                <w:rFonts w:eastAsiaTheme="minorEastAsia" w:cs="Segoe UI"/>
                <w:b/>
                <w:sz w:val="17"/>
                <w:szCs w:val="17"/>
                <w:lang w:eastAsia="zh-TW"/>
              </w:rPr>
              <w:t>註</w:t>
            </w:r>
            <w:proofErr w:type="gramEnd"/>
            <w:r w:rsidRPr="00CA7301">
              <w:rPr>
                <w:rFonts w:eastAsiaTheme="minorEastAsia" w:cs="Segoe UI"/>
                <w:b/>
                <w:sz w:val="17"/>
                <w:szCs w:val="17"/>
                <w:lang w:eastAsia="zh-TW"/>
              </w:rPr>
              <w:t>釋</w:t>
            </w:r>
          </w:p>
        </w:tc>
      </w:tr>
      <w:tr w:rsidR="004F56FF" w:rsidRPr="00CA7301" w14:paraId="01C91896" w14:textId="77777777" w:rsidTr="00877D8D">
        <w:trPr>
          <w:trHeight w:val="153"/>
        </w:trPr>
        <w:tc>
          <w:tcPr>
            <w:tcW w:w="9214" w:type="dxa"/>
            <w:gridSpan w:val="2"/>
            <w:shd w:val="clear" w:color="auto" w:fill="F2F2F2" w:themeFill="background1" w:themeFillShade="F2"/>
          </w:tcPr>
          <w:p w14:paraId="7A008A5D" w14:textId="77777777" w:rsidR="004F56FF" w:rsidRPr="00CA7301" w:rsidRDefault="004F56FF" w:rsidP="004F56FF">
            <w:pPr>
              <w:spacing w:before="40" w:after="40"/>
              <w:jc w:val="both"/>
              <w:rPr>
                <w:rFonts w:eastAsiaTheme="minorEastAsia" w:cs="Segoe UI"/>
                <w:b/>
                <w:sz w:val="17"/>
                <w:szCs w:val="17"/>
                <w:lang w:eastAsia="en-GB"/>
              </w:rPr>
            </w:pPr>
            <w:r w:rsidRPr="00CA7301">
              <w:rPr>
                <w:rFonts w:eastAsiaTheme="minorEastAsia" w:cs="Segoe UI"/>
                <w:b/>
                <w:sz w:val="17"/>
                <w:szCs w:val="17"/>
                <w:lang w:eastAsia="zh-TW"/>
              </w:rPr>
              <w:t>欄</w:t>
            </w:r>
          </w:p>
        </w:tc>
      </w:tr>
      <w:tr w:rsidR="004F56FF" w:rsidRPr="00CA7301" w14:paraId="35315048" w14:textId="77777777" w:rsidTr="00877D8D">
        <w:tc>
          <w:tcPr>
            <w:tcW w:w="993" w:type="dxa"/>
          </w:tcPr>
          <w:p w14:paraId="1AC0DD47" w14:textId="77777777" w:rsidR="004F56FF" w:rsidRPr="00CA7301" w:rsidRDefault="004F56FF" w:rsidP="004F56FF">
            <w:pPr>
              <w:keepLines/>
              <w:widowControl w:val="0"/>
              <w:tabs>
                <w:tab w:val="left" w:pos="150"/>
                <w:tab w:val="left" w:pos="397"/>
                <w:tab w:val="left" w:pos="1191"/>
              </w:tabs>
              <w:spacing w:before="40" w:after="40"/>
              <w:ind w:rightChars="-54" w:right="-108"/>
              <w:rPr>
                <w:rFonts w:cs="Segoe UI"/>
                <w:sz w:val="17"/>
                <w:szCs w:val="17"/>
                <w:lang w:eastAsia="en-GB"/>
              </w:rPr>
            </w:pPr>
            <w:r w:rsidRPr="00CA7301">
              <w:rPr>
                <w:rFonts w:eastAsiaTheme="minorEastAsia" w:cs="Segoe UI"/>
                <w:sz w:val="17"/>
                <w:szCs w:val="17"/>
                <w:lang w:eastAsia="zh-TW"/>
              </w:rPr>
              <w:t>司法管轄區</w:t>
            </w:r>
            <w:r w:rsidRPr="00CA7301">
              <w:rPr>
                <w:rFonts w:cs="Segoe UI"/>
                <w:sz w:val="17"/>
                <w:szCs w:val="17"/>
                <w:lang w:eastAsia="en-GB"/>
              </w:rPr>
              <w:t xml:space="preserve"> (J)</w:t>
            </w:r>
          </w:p>
        </w:tc>
        <w:tc>
          <w:tcPr>
            <w:tcW w:w="8221" w:type="dxa"/>
          </w:tcPr>
          <w:p w14:paraId="73F5BBC4" w14:textId="77777777" w:rsidR="004F56FF" w:rsidRPr="00CA7301" w:rsidRDefault="004F56FF" w:rsidP="004F56FF">
            <w:pPr>
              <w:keepNext/>
              <w:spacing w:before="40" w:after="40"/>
              <w:jc w:val="both"/>
              <w:rPr>
                <w:rFonts w:eastAsiaTheme="minorEastAsia" w:cs="Segoe UI"/>
                <w:sz w:val="17"/>
                <w:szCs w:val="17"/>
                <w:lang w:eastAsia="zh-TW"/>
              </w:rPr>
            </w:pPr>
            <w:r w:rsidRPr="00CA7301">
              <w:rPr>
                <w:rFonts w:eastAsiaTheme="minorEastAsia" w:cs="Segoe UI"/>
                <w:sz w:val="17"/>
                <w:szCs w:val="17"/>
                <w:lang w:eastAsia="zh-TW"/>
              </w:rPr>
              <w:t>在本欄填報認可機構就報告期的終結日有私人機構信用風險承擔（《資本規則》第</w:t>
            </w:r>
            <w:r w:rsidRPr="00CA7301">
              <w:rPr>
                <w:rFonts w:cs="Segoe UI"/>
                <w:sz w:val="17"/>
                <w:szCs w:val="17"/>
                <w:lang w:eastAsia="zh-TW"/>
              </w:rPr>
              <w:t>3N</w:t>
            </w:r>
            <w:r w:rsidRPr="00CA7301">
              <w:rPr>
                <w:rFonts w:eastAsiaTheme="minorEastAsia" w:cs="Segoe UI"/>
                <w:sz w:val="17"/>
                <w:szCs w:val="17"/>
                <w:lang w:eastAsia="zh-TW"/>
              </w:rPr>
              <w:t>條所界定者），而適用</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比率（《資本規則》所指的含義）大於零的司法管轄區名稱，每一行填報一個司法管轄區，首先為香港特區（第</w:t>
            </w:r>
            <w:r w:rsidRPr="00CA7301">
              <w:rPr>
                <w:rFonts w:cs="Segoe UI"/>
                <w:sz w:val="17"/>
                <w:szCs w:val="17"/>
                <w:lang w:eastAsia="zh-TW"/>
              </w:rPr>
              <w:t>1</w:t>
            </w:r>
            <w:r w:rsidRPr="00CA7301">
              <w:rPr>
                <w:rFonts w:eastAsiaTheme="minorEastAsia" w:cs="Segoe UI"/>
                <w:sz w:val="17"/>
                <w:szCs w:val="17"/>
                <w:lang w:eastAsia="zh-TW"/>
              </w:rPr>
              <w:t>行），其次為中國內地（第</w:t>
            </w:r>
            <w:r w:rsidRPr="00CA7301">
              <w:rPr>
                <w:rFonts w:cs="Segoe UI"/>
                <w:sz w:val="17"/>
                <w:szCs w:val="17"/>
                <w:lang w:eastAsia="zh-TW"/>
              </w:rPr>
              <w:t>2</w:t>
            </w:r>
            <w:r w:rsidRPr="00CA7301">
              <w:rPr>
                <w:rFonts w:eastAsiaTheme="minorEastAsia" w:cs="Segoe UI"/>
                <w:sz w:val="17"/>
                <w:szCs w:val="17"/>
                <w:lang w:eastAsia="zh-TW"/>
              </w:rPr>
              <w:t>行），其後按有關司法管轄區英文名稱的字母順序列出。</w:t>
            </w:r>
          </w:p>
        </w:tc>
      </w:tr>
      <w:tr w:rsidR="004F56FF" w:rsidRPr="00CA7301" w14:paraId="3790D8B4" w14:textId="77777777" w:rsidTr="00877D8D">
        <w:tc>
          <w:tcPr>
            <w:tcW w:w="993" w:type="dxa"/>
          </w:tcPr>
          <w:p w14:paraId="3FE19A38" w14:textId="77777777" w:rsidR="004F56FF" w:rsidRPr="00CA7301" w:rsidRDefault="004F56FF" w:rsidP="004F56FF">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(a)</w:t>
            </w:r>
          </w:p>
        </w:tc>
        <w:tc>
          <w:tcPr>
            <w:tcW w:w="8221" w:type="dxa"/>
          </w:tcPr>
          <w:p w14:paraId="4CE63BCC" w14:textId="77777777" w:rsidR="004F56FF" w:rsidRPr="00CA7301" w:rsidRDefault="004F56FF" w:rsidP="004F56FF">
            <w:pPr>
              <w:keepNext/>
              <w:spacing w:before="40" w:after="40"/>
              <w:jc w:val="both"/>
              <w:rPr>
                <w:rFonts w:eastAsiaTheme="minorEastAsia" w:cs="Segoe UI"/>
                <w:sz w:val="17"/>
                <w:szCs w:val="17"/>
                <w:lang w:eastAsia="zh-TW"/>
              </w:rPr>
            </w:pPr>
            <w:r w:rsidRPr="00CA7301">
              <w:rPr>
                <w:rFonts w:eastAsia="細明體" w:cs="Segoe UI"/>
                <w:i/>
                <w:sz w:val="17"/>
                <w:szCs w:val="17"/>
                <w:lang w:val="en-US" w:eastAsia="zh-TW"/>
              </w:rPr>
              <w:t>當時生效的適用</w:t>
            </w:r>
            <w:proofErr w:type="spellStart"/>
            <w:r w:rsidRPr="00CA7301">
              <w:rPr>
                <w:rFonts w:cs="Segoe UI"/>
                <w:i/>
                <w:sz w:val="17"/>
                <w:szCs w:val="17"/>
                <w:lang w:val="en-US" w:eastAsia="zh-TW"/>
              </w:rPr>
              <w:t>JCCyB</w:t>
            </w:r>
            <w:proofErr w:type="spellEnd"/>
            <w:r w:rsidRPr="00CA7301">
              <w:rPr>
                <w:rFonts w:eastAsia="細明體" w:cs="Segoe UI"/>
                <w:i/>
                <w:sz w:val="17"/>
                <w:szCs w:val="17"/>
                <w:lang w:val="en-US" w:eastAsia="zh-TW"/>
              </w:rPr>
              <w:t>比率</w:t>
            </w:r>
            <w:r w:rsidRPr="00CA7301">
              <w:rPr>
                <w:rFonts w:cs="Segoe UI"/>
                <w:i/>
                <w:sz w:val="17"/>
                <w:szCs w:val="17"/>
                <w:lang w:val="en-US" w:eastAsia="zh-TW"/>
              </w:rPr>
              <w:t>(%)</w:t>
            </w:r>
            <w:r w:rsidRPr="00CA7301">
              <w:rPr>
                <w:rFonts w:eastAsiaTheme="minorEastAsia" w:cs="Segoe UI"/>
                <w:sz w:val="17"/>
                <w:szCs w:val="17"/>
                <w:lang w:val="en-US" w:eastAsia="zh-TW"/>
              </w:rPr>
              <w:t>：</w:t>
            </w:r>
            <w:r w:rsidRPr="00CA7301">
              <w:rPr>
                <w:rFonts w:eastAsiaTheme="minorEastAsia" w:cs="Segoe UI"/>
                <w:sz w:val="17"/>
                <w:szCs w:val="17"/>
                <w:lang w:eastAsia="zh-TW"/>
              </w:rPr>
              <w:t>在此欄的每一行內，填報在「司法管轄區</w:t>
            </w:r>
            <w:r w:rsidRPr="00CA7301">
              <w:rPr>
                <w:rFonts w:eastAsiaTheme="minorEastAsia" w:cs="Segoe UI"/>
                <w:sz w:val="17"/>
                <w:szCs w:val="17"/>
                <w:lang w:eastAsia="zh-TW"/>
              </w:rPr>
              <w:t xml:space="preserve"> (J)</w:t>
            </w:r>
            <w:r w:rsidRPr="00CA7301">
              <w:rPr>
                <w:rFonts w:eastAsiaTheme="minorEastAsia" w:cs="Segoe UI"/>
                <w:sz w:val="17"/>
                <w:szCs w:val="17"/>
                <w:lang w:eastAsia="zh-TW"/>
              </w:rPr>
              <w:t>」欄所填報的每</w:t>
            </w:r>
            <w:proofErr w:type="gramStart"/>
            <w:r w:rsidRPr="00CA7301">
              <w:rPr>
                <w:rFonts w:eastAsiaTheme="minorEastAsia" w:cs="Segoe UI"/>
                <w:sz w:val="17"/>
                <w:szCs w:val="17"/>
                <w:lang w:eastAsia="zh-TW"/>
              </w:rPr>
              <w:t>個</w:t>
            </w:r>
            <w:proofErr w:type="gramEnd"/>
            <w:r w:rsidRPr="00CA7301">
              <w:rPr>
                <w:rFonts w:eastAsiaTheme="minorEastAsia" w:cs="Segoe UI"/>
                <w:sz w:val="17"/>
                <w:szCs w:val="17"/>
                <w:lang w:eastAsia="zh-TW"/>
              </w:rPr>
              <w:t>有關司法管轄區的適用</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比率。認可機構不應填報有關國家當局設定、但於報告日期尚未於相關司法管轄區適用的</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比率（預先公布比率）。</w:t>
            </w:r>
          </w:p>
        </w:tc>
      </w:tr>
      <w:tr w:rsidR="004F56FF" w:rsidRPr="00CA7301" w14:paraId="0E66F444" w14:textId="77777777" w:rsidTr="00877D8D">
        <w:tc>
          <w:tcPr>
            <w:tcW w:w="993" w:type="dxa"/>
          </w:tcPr>
          <w:p w14:paraId="4AD631D4" w14:textId="77777777" w:rsidR="004F56FF" w:rsidRPr="00CA7301" w:rsidRDefault="004F56FF" w:rsidP="004F56FF">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(c)</w:t>
            </w:r>
          </w:p>
        </w:tc>
        <w:tc>
          <w:tcPr>
            <w:tcW w:w="8221" w:type="dxa"/>
          </w:tcPr>
          <w:p w14:paraId="164273F3" w14:textId="77777777" w:rsidR="004F56FF" w:rsidRPr="00CA7301" w:rsidRDefault="004F56FF" w:rsidP="004F56FF">
            <w:pPr>
              <w:spacing w:before="40" w:after="40"/>
              <w:jc w:val="both"/>
              <w:rPr>
                <w:rFonts w:eastAsiaTheme="minorEastAsia" w:cs="Segoe UI"/>
                <w:sz w:val="17"/>
                <w:szCs w:val="17"/>
                <w:lang w:eastAsia="zh-TW"/>
              </w:rPr>
            </w:pPr>
            <w:r w:rsidRPr="00CA7301">
              <w:rPr>
                <w:rFonts w:eastAsia="新細明體" w:cs="Segoe UI"/>
                <w:i/>
                <w:sz w:val="17"/>
                <w:szCs w:val="17"/>
                <w:lang w:val="en-US" w:eastAsia="zh-TW"/>
              </w:rPr>
              <w:t>用作計算</w:t>
            </w:r>
            <w:r w:rsidRPr="00CA7301">
              <w:rPr>
                <w:rFonts w:eastAsiaTheme="minorEastAsia" w:cs="Segoe UI"/>
                <w:i/>
                <w:sz w:val="17"/>
                <w:lang w:eastAsia="zh-TW"/>
              </w:rPr>
              <w:t>逆周期緩衝資本</w:t>
            </w:r>
            <w:r w:rsidRPr="00CA7301">
              <w:rPr>
                <w:rFonts w:eastAsia="新細明體" w:cs="Segoe UI"/>
                <w:i/>
                <w:sz w:val="17"/>
                <w:szCs w:val="17"/>
                <w:lang w:val="en-US" w:eastAsia="zh-TW"/>
              </w:rPr>
              <w:t>比率的</w:t>
            </w:r>
            <w:r w:rsidRPr="00CA7301">
              <w:rPr>
                <w:rFonts w:eastAsia="細明體" w:cs="Segoe UI"/>
                <w:i/>
                <w:sz w:val="17"/>
                <w:lang w:eastAsia="zh-TW"/>
              </w:rPr>
              <w:t>風險加權數額</w:t>
            </w:r>
            <w:r w:rsidRPr="00CA7301">
              <w:rPr>
                <w:rFonts w:eastAsiaTheme="minorEastAsia" w:cs="Segoe UI"/>
                <w:sz w:val="17"/>
                <w:szCs w:val="17"/>
                <w:lang w:eastAsia="zh-TW"/>
              </w:rPr>
              <w:t>：在此欄的第</w:t>
            </w:r>
            <w:r w:rsidRPr="00CA7301">
              <w:rPr>
                <w:rFonts w:cs="Segoe UI"/>
                <w:sz w:val="17"/>
                <w:szCs w:val="17"/>
                <w:lang w:eastAsia="zh-TW"/>
              </w:rPr>
              <w:t>1</w:t>
            </w:r>
            <w:r w:rsidRPr="00CA7301">
              <w:rPr>
                <w:rFonts w:eastAsiaTheme="minorEastAsia" w:cs="Segoe UI"/>
                <w:sz w:val="17"/>
                <w:szCs w:val="17"/>
                <w:lang w:eastAsia="zh-TW"/>
              </w:rPr>
              <w:t>至</w:t>
            </w:r>
            <w:r w:rsidRPr="00CA7301">
              <w:rPr>
                <w:rFonts w:cs="Segoe UI"/>
                <w:sz w:val="17"/>
                <w:szCs w:val="17"/>
                <w:lang w:eastAsia="zh-TW"/>
              </w:rPr>
              <w:t>N</w:t>
            </w:r>
            <w:r w:rsidRPr="00CA7301">
              <w:rPr>
                <w:rFonts w:eastAsiaTheme="minorEastAsia" w:cs="Segoe UI"/>
                <w:sz w:val="17"/>
                <w:szCs w:val="17"/>
                <w:lang w:eastAsia="zh-TW"/>
              </w:rPr>
              <w:t>行內，填報與認可機構對「司法管轄區</w:t>
            </w:r>
            <w:r w:rsidRPr="00CA7301">
              <w:rPr>
                <w:rFonts w:eastAsiaTheme="minorEastAsia" w:cs="Segoe UI"/>
                <w:sz w:val="17"/>
                <w:szCs w:val="17"/>
                <w:lang w:eastAsia="zh-TW"/>
              </w:rPr>
              <w:t xml:space="preserve"> (J)</w:t>
            </w:r>
            <w:r w:rsidRPr="00CA7301">
              <w:rPr>
                <w:rFonts w:eastAsiaTheme="minorEastAsia" w:cs="Segoe UI"/>
                <w:sz w:val="17"/>
                <w:szCs w:val="17"/>
                <w:lang w:eastAsia="zh-TW"/>
              </w:rPr>
              <w:t>」欄所列的司法管轄區的私人機構信用風險承擔相關的信用風險及市場風險的</w:t>
            </w:r>
            <w:r w:rsidRPr="00CA7301">
              <w:rPr>
                <w:rFonts w:eastAsia="細明體" w:cs="Segoe UI"/>
                <w:sz w:val="17"/>
                <w:lang w:eastAsia="zh-TW"/>
              </w:rPr>
              <w:t>風險加權數額</w:t>
            </w:r>
            <w:r w:rsidRPr="00CA7301">
              <w:rPr>
                <w:rFonts w:eastAsiaTheme="minorEastAsia" w:cs="Segoe UI"/>
                <w:sz w:val="17"/>
                <w:szCs w:val="17"/>
                <w:lang w:eastAsia="zh-TW"/>
              </w:rPr>
              <w:t>的總和，計算方法按《資本規則》第</w:t>
            </w:r>
            <w:r w:rsidRPr="00CA7301">
              <w:rPr>
                <w:rFonts w:cs="Segoe UI"/>
                <w:sz w:val="17"/>
                <w:szCs w:val="17"/>
                <w:lang w:eastAsia="zh-TW"/>
              </w:rPr>
              <w:t>3O(1)</w:t>
            </w:r>
            <w:r w:rsidRPr="00CA7301">
              <w:rPr>
                <w:rFonts w:eastAsiaTheme="minorEastAsia" w:cs="Segoe UI"/>
                <w:sz w:val="17"/>
                <w:szCs w:val="17"/>
                <w:lang w:eastAsia="zh-TW"/>
              </w:rPr>
              <w:t>條指明計算</w:t>
            </w:r>
            <w:proofErr w:type="spellStart"/>
            <w:r w:rsidRPr="00CA7301">
              <w:rPr>
                <w:rFonts w:cs="Segoe UI"/>
                <w:sz w:val="17"/>
                <w:szCs w:val="17"/>
                <w:lang w:eastAsia="zh-TW"/>
              </w:rPr>
              <w:t>RWA</w:t>
            </w:r>
            <w:r w:rsidRPr="00CA7301">
              <w:rPr>
                <w:rFonts w:cs="Segoe UI"/>
                <w:sz w:val="14"/>
                <w:szCs w:val="17"/>
                <w:lang w:eastAsia="zh-TW"/>
              </w:rPr>
              <w:t>j</w:t>
            </w:r>
            <w:proofErr w:type="spellEnd"/>
            <w:r w:rsidRPr="00CA7301">
              <w:rPr>
                <w:rFonts w:eastAsiaTheme="minorEastAsia" w:cs="Segoe UI"/>
                <w:sz w:val="17"/>
                <w:szCs w:val="17"/>
                <w:lang w:eastAsia="zh-TW"/>
              </w:rPr>
              <w:t>的方法，並參考金管局《監管政策手冊》</w:t>
            </w:r>
            <w:r w:rsidRPr="00CA7301">
              <w:rPr>
                <w:rFonts w:cs="Segoe UI"/>
                <w:sz w:val="17"/>
                <w:szCs w:val="17"/>
                <w:lang w:eastAsia="zh-TW"/>
              </w:rPr>
              <w:t>CA-B-3</w:t>
            </w:r>
            <w:r w:rsidRPr="00CA7301">
              <w:rPr>
                <w:rFonts w:eastAsiaTheme="minorEastAsia" w:cs="Segoe UI"/>
                <w:sz w:val="17"/>
                <w:szCs w:val="17"/>
                <w:lang w:eastAsia="zh-TW"/>
              </w:rPr>
              <w:t>章「逆周期緩衝資本</w:t>
            </w:r>
            <w:proofErr w:type="gramStart"/>
            <w:r w:rsidRPr="00CA7301">
              <w:rPr>
                <w:rFonts w:ascii="細明體" w:eastAsia="細明體" w:hAnsi="細明體" w:cs="細明體" w:hint="eastAsia"/>
                <w:sz w:val="17"/>
                <w:szCs w:val="17"/>
                <w:lang w:eastAsia="zh-TW"/>
              </w:rPr>
              <w:t>──</w:t>
            </w:r>
            <w:proofErr w:type="gramEnd"/>
            <w:r w:rsidRPr="00CA7301">
              <w:rPr>
                <w:rFonts w:eastAsiaTheme="minorEastAsia" w:cs="Segoe UI"/>
                <w:sz w:val="17"/>
                <w:szCs w:val="17"/>
                <w:lang w:eastAsia="zh-TW"/>
              </w:rPr>
              <w:t>私人機構信用風險承擔的地理分配」內就斷定私人機構信用風險承擔的承擔義務人所處的地理位置而提供的指引。</w:t>
            </w:r>
          </w:p>
        </w:tc>
      </w:tr>
      <w:tr w:rsidR="004F56FF" w:rsidRPr="00CA7301" w14:paraId="42AE5558" w14:textId="77777777" w:rsidTr="00877D8D">
        <w:trPr>
          <w:trHeight w:val="373"/>
        </w:trPr>
        <w:tc>
          <w:tcPr>
            <w:tcW w:w="993" w:type="dxa"/>
          </w:tcPr>
          <w:p w14:paraId="1EB59704" w14:textId="77777777" w:rsidR="004F56FF" w:rsidRPr="00CA7301" w:rsidRDefault="004F56FF" w:rsidP="004F56FF">
            <w:pPr>
              <w:keepLines/>
              <w:widowControl w:val="0"/>
              <w:tabs>
                <w:tab w:val="left" w:pos="150"/>
                <w:tab w:val="left" w:pos="397"/>
                <w:tab w:val="left" w:pos="794"/>
                <w:tab w:val="left" w:pos="1191"/>
              </w:tabs>
              <w:spacing w:before="40" w:after="40"/>
              <w:ind w:rightChars="-54" w:right="-108"/>
              <w:rPr>
                <w:rFonts w:cs="Segoe UI"/>
                <w:sz w:val="17"/>
                <w:szCs w:val="17"/>
                <w:lang w:eastAsia="en-GB"/>
              </w:rPr>
            </w:pPr>
            <w:r w:rsidRPr="00CA7301">
              <w:rPr>
                <w:rFonts w:cs="Segoe UI"/>
                <w:sz w:val="17"/>
                <w:szCs w:val="17"/>
                <w:lang w:eastAsia="en-GB"/>
              </w:rPr>
              <w:t>(d)</w:t>
            </w:r>
          </w:p>
        </w:tc>
        <w:tc>
          <w:tcPr>
            <w:tcW w:w="8221" w:type="dxa"/>
          </w:tcPr>
          <w:p w14:paraId="376F44C7" w14:textId="77777777" w:rsidR="004F56FF" w:rsidRPr="00CA7301" w:rsidRDefault="004F56FF" w:rsidP="004F56FF">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Theme="minorEastAsia" w:cs="Segoe UI"/>
                <w:i/>
                <w:sz w:val="17"/>
                <w:szCs w:val="17"/>
                <w:lang w:val="en-US" w:eastAsia="zh-TW"/>
              </w:rPr>
              <w:t>認可機構</w:t>
            </w:r>
            <w:proofErr w:type="gramStart"/>
            <w:r w:rsidRPr="00CA7301">
              <w:rPr>
                <w:rFonts w:eastAsiaTheme="minorEastAsia" w:cs="Segoe UI"/>
                <w:i/>
                <w:sz w:val="17"/>
                <w:szCs w:val="17"/>
                <w:lang w:val="en-US" w:eastAsia="zh-TW"/>
              </w:rPr>
              <w:t>特定</w:t>
            </w:r>
            <w:r w:rsidRPr="00CA7301">
              <w:rPr>
                <w:rFonts w:eastAsiaTheme="minorEastAsia" w:cs="Segoe UI"/>
                <w:i/>
                <w:sz w:val="17"/>
                <w:lang w:eastAsia="zh-TW"/>
              </w:rPr>
              <w:t>逆</w:t>
            </w:r>
            <w:proofErr w:type="gramEnd"/>
            <w:r w:rsidRPr="00CA7301">
              <w:rPr>
                <w:rFonts w:eastAsiaTheme="minorEastAsia" w:cs="Segoe UI"/>
                <w:i/>
                <w:sz w:val="17"/>
                <w:lang w:eastAsia="zh-TW"/>
              </w:rPr>
              <w:t>周期緩衝資本</w:t>
            </w:r>
            <w:r w:rsidRPr="00CA7301">
              <w:rPr>
                <w:rFonts w:eastAsiaTheme="minorEastAsia" w:cs="Segoe UI"/>
                <w:i/>
                <w:sz w:val="17"/>
                <w:szCs w:val="17"/>
                <w:lang w:val="en-US" w:eastAsia="zh-TW"/>
              </w:rPr>
              <w:t>比率</w:t>
            </w:r>
            <w:r w:rsidRPr="00CA7301">
              <w:rPr>
                <w:rFonts w:cs="Segoe UI"/>
                <w:i/>
                <w:sz w:val="17"/>
                <w:szCs w:val="17"/>
                <w:lang w:val="en-US" w:eastAsia="zh-TW"/>
              </w:rPr>
              <w:t>(%)</w:t>
            </w:r>
            <w:r w:rsidRPr="00CA7301">
              <w:rPr>
                <w:rFonts w:eastAsiaTheme="minorEastAsia" w:cs="Segoe UI"/>
                <w:sz w:val="17"/>
                <w:szCs w:val="17"/>
                <w:lang w:eastAsia="zh-TW"/>
              </w:rPr>
              <w:t>：在方格</w:t>
            </w:r>
            <w:r w:rsidRPr="00CA7301">
              <w:rPr>
                <w:rFonts w:cs="Segoe UI"/>
                <w:sz w:val="17"/>
                <w:szCs w:val="17"/>
                <w:lang w:eastAsia="zh-TW"/>
              </w:rPr>
              <w:t>[CCyB1: N+2/</w:t>
            </w:r>
            <w:proofErr w:type="gramStart"/>
            <w:r w:rsidRPr="00CA7301">
              <w:rPr>
                <w:rFonts w:cs="Segoe UI"/>
                <w:sz w:val="17"/>
                <w:szCs w:val="17"/>
                <w:lang w:eastAsia="zh-TW"/>
              </w:rPr>
              <w:t>d]</w:t>
            </w:r>
            <w:r w:rsidRPr="00CA7301">
              <w:rPr>
                <w:rFonts w:eastAsiaTheme="minorEastAsia" w:cs="Segoe UI"/>
                <w:sz w:val="17"/>
                <w:szCs w:val="17"/>
                <w:lang w:eastAsia="zh-TW"/>
              </w:rPr>
              <w:t>填報認可機構特定</w:t>
            </w:r>
            <w:r w:rsidRPr="00CA7301">
              <w:rPr>
                <w:rFonts w:eastAsiaTheme="minorEastAsia" w:cs="Segoe UI"/>
                <w:sz w:val="17"/>
                <w:lang w:eastAsia="zh-TW"/>
              </w:rPr>
              <w:t>逆周期緩衝資本</w:t>
            </w:r>
            <w:r w:rsidRPr="00CA7301">
              <w:rPr>
                <w:rFonts w:eastAsiaTheme="minorEastAsia" w:cs="Segoe UI"/>
                <w:sz w:val="17"/>
                <w:szCs w:val="17"/>
                <w:lang w:eastAsia="zh-TW"/>
              </w:rPr>
              <w:t>比率</w:t>
            </w:r>
            <w:proofErr w:type="gramEnd"/>
            <w:r w:rsidRPr="00CA7301">
              <w:rPr>
                <w:rFonts w:eastAsiaTheme="minorEastAsia" w:cs="Segoe UI"/>
                <w:sz w:val="17"/>
                <w:szCs w:val="17"/>
                <w:lang w:eastAsia="zh-TW"/>
              </w:rPr>
              <w:t>（以百分比表示）。有關比率應相等於在方格</w:t>
            </w:r>
            <w:r w:rsidRPr="00CA7301">
              <w:rPr>
                <w:rFonts w:eastAsiaTheme="minorEastAsia" w:cs="Segoe UI"/>
                <w:sz w:val="17"/>
                <w:szCs w:val="17"/>
                <w:lang w:eastAsia="zh-TW"/>
              </w:rPr>
              <w:t>[KM1: 9/a]</w:t>
            </w:r>
            <w:r w:rsidRPr="00CA7301">
              <w:rPr>
                <w:rFonts w:eastAsiaTheme="minorEastAsia" w:cs="Segoe UI"/>
                <w:sz w:val="17"/>
                <w:szCs w:val="17"/>
                <w:lang w:eastAsia="zh-TW"/>
              </w:rPr>
              <w:t>填報的機構特定</w:t>
            </w:r>
            <w:r w:rsidRPr="00CA7301">
              <w:rPr>
                <w:rFonts w:eastAsiaTheme="minorEastAsia" w:cs="Segoe UI"/>
                <w:sz w:val="17"/>
                <w:lang w:eastAsia="zh-TW"/>
              </w:rPr>
              <w:t>逆周期緩衝資本</w:t>
            </w:r>
            <w:r w:rsidRPr="00CA7301">
              <w:rPr>
                <w:rFonts w:eastAsiaTheme="minorEastAsia" w:cs="Segoe UI"/>
                <w:sz w:val="17"/>
                <w:szCs w:val="17"/>
                <w:lang w:eastAsia="zh-TW"/>
              </w:rPr>
              <w:t>規定，並與《資本規則》第</w:t>
            </w:r>
            <w:r w:rsidRPr="00CA7301">
              <w:rPr>
                <w:rFonts w:cs="Segoe UI"/>
                <w:sz w:val="17"/>
                <w:szCs w:val="17"/>
                <w:lang w:eastAsia="zh-TW"/>
              </w:rPr>
              <w:t>3O(1)</w:t>
            </w:r>
            <w:r w:rsidRPr="00CA7301">
              <w:rPr>
                <w:rFonts w:eastAsiaTheme="minorEastAsia" w:cs="Segoe UI"/>
                <w:sz w:val="17"/>
                <w:szCs w:val="17"/>
                <w:lang w:eastAsia="zh-TW"/>
              </w:rPr>
              <w:t>條公式</w:t>
            </w:r>
            <w:r w:rsidRPr="00CA7301">
              <w:rPr>
                <w:rFonts w:cs="Segoe UI"/>
                <w:sz w:val="17"/>
                <w:szCs w:val="17"/>
                <w:lang w:eastAsia="zh-TW"/>
              </w:rPr>
              <w:t>1A</w:t>
            </w:r>
            <w:r w:rsidRPr="00CA7301">
              <w:rPr>
                <w:rFonts w:eastAsiaTheme="minorEastAsia" w:cs="Segoe UI"/>
                <w:sz w:val="17"/>
                <w:szCs w:val="17"/>
                <w:lang w:eastAsia="zh-TW"/>
              </w:rPr>
              <w:t>所計算的</w:t>
            </w:r>
            <w:r w:rsidRPr="00CA7301">
              <w:rPr>
                <w:rFonts w:eastAsiaTheme="minorEastAsia" w:cs="Segoe UI"/>
                <w:sz w:val="17"/>
                <w:lang w:eastAsia="zh-TW"/>
              </w:rPr>
              <w:t>逆周期緩衝資本</w:t>
            </w:r>
            <w:r w:rsidRPr="00CA7301">
              <w:rPr>
                <w:rFonts w:eastAsiaTheme="minorEastAsia" w:cs="Segoe UI"/>
                <w:sz w:val="17"/>
                <w:szCs w:val="17"/>
                <w:lang w:eastAsia="zh-TW"/>
              </w:rPr>
              <w:t>比率對應。</w:t>
            </w:r>
          </w:p>
        </w:tc>
      </w:tr>
      <w:tr w:rsidR="004F56FF" w:rsidRPr="00CA7301" w14:paraId="57C88F11" w14:textId="77777777" w:rsidTr="00877D8D">
        <w:trPr>
          <w:trHeight w:val="373"/>
        </w:trPr>
        <w:tc>
          <w:tcPr>
            <w:tcW w:w="993" w:type="dxa"/>
          </w:tcPr>
          <w:p w14:paraId="350CDCA6" w14:textId="77777777" w:rsidR="004F56FF" w:rsidRPr="00CA7301" w:rsidRDefault="004F56FF" w:rsidP="004F56FF">
            <w:pPr>
              <w:keepLines/>
              <w:widowControl w:val="0"/>
              <w:tabs>
                <w:tab w:val="left" w:pos="150"/>
                <w:tab w:val="left" w:pos="397"/>
                <w:tab w:val="left" w:pos="794"/>
                <w:tab w:val="left" w:pos="1191"/>
              </w:tabs>
              <w:spacing w:before="40" w:after="40"/>
              <w:ind w:rightChars="-54" w:right="-108"/>
              <w:rPr>
                <w:rFonts w:cs="Segoe UI"/>
                <w:sz w:val="17"/>
                <w:szCs w:val="17"/>
                <w:lang w:eastAsia="en-GB"/>
              </w:rPr>
            </w:pPr>
            <w:r w:rsidRPr="00CA7301">
              <w:rPr>
                <w:rFonts w:cs="Segoe UI"/>
                <w:sz w:val="17"/>
                <w:szCs w:val="17"/>
                <w:lang w:eastAsia="en-GB"/>
              </w:rPr>
              <w:t>(e)</w:t>
            </w:r>
          </w:p>
        </w:tc>
        <w:tc>
          <w:tcPr>
            <w:tcW w:w="8221" w:type="dxa"/>
          </w:tcPr>
          <w:p w14:paraId="49799150" w14:textId="77777777" w:rsidR="004F56FF" w:rsidRPr="00CA7301" w:rsidRDefault="004F56FF" w:rsidP="004F56FF">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Theme="minorEastAsia" w:cs="Segoe UI"/>
                <w:i/>
                <w:sz w:val="17"/>
                <w:lang w:eastAsia="zh-TW"/>
              </w:rPr>
              <w:t>逆周期緩衝資本</w:t>
            </w:r>
            <w:r w:rsidRPr="00CA7301">
              <w:rPr>
                <w:rFonts w:eastAsiaTheme="minorEastAsia" w:cs="Segoe UI"/>
                <w:i/>
                <w:sz w:val="17"/>
                <w:szCs w:val="17"/>
                <w:lang w:val="en-US" w:eastAsia="zh-TW"/>
              </w:rPr>
              <w:t>數額</w:t>
            </w:r>
            <w:r w:rsidRPr="00CA7301">
              <w:rPr>
                <w:rFonts w:eastAsiaTheme="minorEastAsia" w:cs="Segoe UI"/>
                <w:sz w:val="17"/>
                <w:szCs w:val="17"/>
                <w:lang w:eastAsia="zh-TW"/>
              </w:rPr>
              <w:t>：於方格</w:t>
            </w:r>
            <w:r w:rsidRPr="00CA7301">
              <w:rPr>
                <w:rFonts w:cs="Segoe UI"/>
                <w:sz w:val="17"/>
                <w:szCs w:val="17"/>
                <w:lang w:eastAsia="zh-TW"/>
              </w:rPr>
              <w:t>[CCyB1: N+2/</w:t>
            </w:r>
            <w:proofErr w:type="gramStart"/>
            <w:r w:rsidRPr="00CA7301">
              <w:rPr>
                <w:rFonts w:cs="Segoe UI"/>
                <w:sz w:val="17"/>
                <w:szCs w:val="17"/>
                <w:lang w:eastAsia="zh-TW"/>
              </w:rPr>
              <w:t>e]</w:t>
            </w:r>
            <w:r w:rsidRPr="00CA7301">
              <w:rPr>
                <w:rFonts w:eastAsiaTheme="minorEastAsia" w:cs="Segoe UI"/>
                <w:sz w:val="17"/>
                <w:szCs w:val="17"/>
                <w:lang w:eastAsia="zh-TW"/>
              </w:rPr>
              <w:t>填報認可機構的最低</w:t>
            </w:r>
            <w:r w:rsidRPr="00CA7301">
              <w:rPr>
                <w:rFonts w:eastAsiaTheme="minorEastAsia" w:cs="Segoe UI"/>
                <w:sz w:val="17"/>
                <w:lang w:eastAsia="zh-TW"/>
              </w:rPr>
              <w:t>逆周期緩衝資本</w:t>
            </w:r>
            <w:r w:rsidRPr="00CA7301">
              <w:rPr>
                <w:rFonts w:eastAsiaTheme="minorEastAsia" w:cs="Segoe UI"/>
                <w:sz w:val="17"/>
                <w:szCs w:val="17"/>
                <w:lang w:eastAsia="zh-TW"/>
              </w:rPr>
              <w:t>規定的數額</w:t>
            </w:r>
            <w:proofErr w:type="gramEnd"/>
            <w:r w:rsidRPr="00CA7301">
              <w:rPr>
                <w:rFonts w:eastAsiaTheme="minorEastAsia" w:cs="Segoe UI"/>
                <w:sz w:val="17"/>
                <w:szCs w:val="17"/>
                <w:lang w:eastAsia="zh-TW"/>
              </w:rPr>
              <w:t>，其計算方法是方格</w:t>
            </w:r>
            <w:r w:rsidRPr="00CA7301">
              <w:rPr>
                <w:rFonts w:eastAsiaTheme="minorEastAsia" w:cs="Segoe UI"/>
                <w:sz w:val="17"/>
                <w:szCs w:val="17"/>
                <w:lang w:eastAsia="zh-TW"/>
              </w:rPr>
              <w:t>[CCyB1: N+2/d]</w:t>
            </w:r>
            <w:r w:rsidRPr="00CA7301">
              <w:rPr>
                <w:rFonts w:eastAsiaTheme="minorEastAsia" w:cs="Segoe UI"/>
                <w:sz w:val="17"/>
                <w:szCs w:val="17"/>
                <w:lang w:eastAsia="zh-TW"/>
              </w:rPr>
              <w:t>的值與認可機構的</w:t>
            </w:r>
            <w:r w:rsidRPr="00CA7301">
              <w:rPr>
                <w:rFonts w:eastAsia="細明體" w:cs="Segoe UI"/>
                <w:sz w:val="17"/>
                <w:lang w:eastAsia="zh-TW"/>
              </w:rPr>
              <w:t>風險加權數額</w:t>
            </w:r>
            <w:r w:rsidRPr="00CA7301">
              <w:rPr>
                <w:rFonts w:eastAsiaTheme="minorEastAsia" w:cs="Segoe UI"/>
                <w:sz w:val="17"/>
                <w:szCs w:val="17"/>
                <w:lang w:eastAsia="zh-TW"/>
              </w:rPr>
              <w:t>總額相乘的積。</w:t>
            </w:r>
          </w:p>
        </w:tc>
      </w:tr>
      <w:tr w:rsidR="004F56FF" w:rsidRPr="00CA7301" w14:paraId="66FA49F4" w14:textId="77777777" w:rsidTr="00877D8D">
        <w:trPr>
          <w:trHeight w:val="373"/>
        </w:trPr>
        <w:tc>
          <w:tcPr>
            <w:tcW w:w="9214" w:type="dxa"/>
            <w:gridSpan w:val="2"/>
            <w:shd w:val="clear" w:color="auto" w:fill="F2F2F2" w:themeFill="background1" w:themeFillShade="F2"/>
          </w:tcPr>
          <w:p w14:paraId="44255352" w14:textId="77777777" w:rsidR="004F56FF" w:rsidRPr="00CA7301" w:rsidRDefault="004F56FF" w:rsidP="004F56FF">
            <w:pPr>
              <w:spacing w:before="40" w:after="40"/>
              <w:jc w:val="both"/>
              <w:rPr>
                <w:rFonts w:cs="Segoe UI"/>
                <w:i/>
                <w:sz w:val="17"/>
                <w:szCs w:val="17"/>
              </w:rPr>
            </w:pPr>
            <w:r w:rsidRPr="00CA7301">
              <w:rPr>
                <w:rFonts w:eastAsiaTheme="minorEastAsia" w:cs="Segoe UI"/>
                <w:b/>
                <w:sz w:val="17"/>
                <w:szCs w:val="17"/>
                <w:lang w:eastAsia="zh-TW"/>
              </w:rPr>
              <w:t>行</w:t>
            </w:r>
          </w:p>
        </w:tc>
      </w:tr>
      <w:tr w:rsidR="004F56FF" w:rsidRPr="00CA7301" w14:paraId="5462A6EB" w14:textId="77777777" w:rsidTr="00877D8D">
        <w:trPr>
          <w:trHeight w:val="373"/>
        </w:trPr>
        <w:tc>
          <w:tcPr>
            <w:tcW w:w="993" w:type="dxa"/>
          </w:tcPr>
          <w:p w14:paraId="2AF3F553" w14:textId="77777777" w:rsidR="004F56FF" w:rsidRPr="00CA7301" w:rsidRDefault="004F56FF" w:rsidP="004F56FF">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w:t>
            </w:r>
            <w:r w:rsidRPr="00CA7301">
              <w:rPr>
                <w:rFonts w:eastAsiaTheme="minorEastAsia" w:cs="Segoe UI"/>
                <w:sz w:val="17"/>
                <w:szCs w:val="17"/>
                <w:lang w:eastAsia="zh-TW"/>
              </w:rPr>
              <w:t>至</w:t>
            </w:r>
            <w:r w:rsidRPr="00CA7301">
              <w:rPr>
                <w:rFonts w:cs="Segoe UI"/>
                <w:sz w:val="17"/>
                <w:szCs w:val="17"/>
                <w:lang w:eastAsia="en-GB"/>
              </w:rPr>
              <w:t xml:space="preserve"> N</w:t>
            </w:r>
          </w:p>
        </w:tc>
        <w:tc>
          <w:tcPr>
            <w:tcW w:w="8221" w:type="dxa"/>
          </w:tcPr>
          <w:p w14:paraId="6C174944" w14:textId="77777777" w:rsidR="004F56FF" w:rsidRPr="00CA7301" w:rsidRDefault="004F56FF" w:rsidP="004F56FF">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Theme="minorEastAsia" w:cs="Segoe UI"/>
                <w:sz w:val="17"/>
                <w:szCs w:val="17"/>
                <w:lang w:eastAsia="zh-TW"/>
              </w:rPr>
              <w:t>只填報適用</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w:t>
            </w:r>
            <w:r w:rsidRPr="00CA7301">
              <w:rPr>
                <w:rFonts w:eastAsiaTheme="minorEastAsia" w:cs="Segoe UI"/>
                <w:sz w:val="17"/>
                <w:szCs w:val="17"/>
                <w:u w:val="single"/>
                <w:lang w:eastAsia="zh-TW"/>
              </w:rPr>
              <w:t>並非為零</w:t>
            </w:r>
            <w:r w:rsidRPr="00CA7301">
              <w:rPr>
                <w:rFonts w:eastAsiaTheme="minorEastAsia" w:cs="Segoe UI"/>
                <w:sz w:val="17"/>
                <w:szCs w:val="17"/>
                <w:lang w:eastAsia="zh-TW"/>
              </w:rPr>
              <w:t>的司法管轄區的資料。</w:t>
            </w:r>
          </w:p>
        </w:tc>
      </w:tr>
      <w:tr w:rsidR="004F56FF" w:rsidRPr="00CA7301" w14:paraId="4317CA78" w14:textId="77777777" w:rsidTr="00877D8D">
        <w:trPr>
          <w:trHeight w:val="373"/>
        </w:trPr>
        <w:tc>
          <w:tcPr>
            <w:tcW w:w="993" w:type="dxa"/>
          </w:tcPr>
          <w:p w14:paraId="67AA70E4" w14:textId="77777777" w:rsidR="004F56FF" w:rsidRPr="00CA7301" w:rsidRDefault="004F56FF" w:rsidP="004F56FF">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N+1</w:t>
            </w:r>
          </w:p>
        </w:tc>
        <w:tc>
          <w:tcPr>
            <w:tcW w:w="8221" w:type="dxa"/>
          </w:tcPr>
          <w:p w14:paraId="10B9CDC5" w14:textId="77777777" w:rsidR="004F56FF" w:rsidRPr="00CA7301" w:rsidRDefault="004F56FF" w:rsidP="004F56FF">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Theme="minorEastAsia" w:cs="Segoe UI"/>
                <w:i/>
                <w:sz w:val="17"/>
                <w:szCs w:val="17"/>
                <w:lang w:eastAsia="zh-TW"/>
              </w:rPr>
              <w:t>總和：</w:t>
            </w:r>
            <w:r w:rsidRPr="00CA7301">
              <w:rPr>
                <w:rFonts w:cs="Segoe UI"/>
                <w:sz w:val="17"/>
                <w:szCs w:val="17"/>
                <w:lang w:eastAsia="zh-TW"/>
              </w:rPr>
              <w:t>(c)</w:t>
            </w:r>
            <w:r w:rsidRPr="00CA7301">
              <w:rPr>
                <w:rFonts w:eastAsia="新細明體" w:cs="Segoe UI"/>
                <w:sz w:val="17"/>
                <w:szCs w:val="17"/>
                <w:lang w:eastAsia="zh-TW"/>
              </w:rPr>
              <w:t>欄</w:t>
            </w:r>
            <w:r w:rsidRPr="00CA7301">
              <w:rPr>
                <w:rFonts w:eastAsiaTheme="minorEastAsia" w:cs="Segoe UI"/>
                <w:sz w:val="17"/>
                <w:szCs w:val="17"/>
                <w:lang w:eastAsia="zh-TW"/>
              </w:rPr>
              <w:t>下的第</w:t>
            </w:r>
            <w:r w:rsidRPr="00CA7301">
              <w:rPr>
                <w:rFonts w:cs="Segoe UI"/>
                <w:sz w:val="17"/>
                <w:szCs w:val="17"/>
                <w:lang w:eastAsia="zh-TW"/>
              </w:rPr>
              <w:t>1</w:t>
            </w:r>
            <w:r w:rsidRPr="00CA7301">
              <w:rPr>
                <w:rFonts w:eastAsiaTheme="minorEastAsia" w:cs="Segoe UI"/>
                <w:sz w:val="17"/>
                <w:szCs w:val="17"/>
                <w:lang w:eastAsia="zh-TW"/>
              </w:rPr>
              <w:t>至</w:t>
            </w:r>
            <w:r w:rsidRPr="00CA7301">
              <w:rPr>
                <w:rFonts w:cs="Segoe UI"/>
                <w:sz w:val="17"/>
                <w:szCs w:val="17"/>
                <w:lang w:eastAsia="zh-TW"/>
              </w:rPr>
              <w:t>N</w:t>
            </w:r>
            <w:r w:rsidRPr="00CA7301">
              <w:rPr>
                <w:rFonts w:eastAsia="新細明體" w:cs="Segoe UI"/>
                <w:sz w:val="17"/>
                <w:szCs w:val="17"/>
                <w:lang w:eastAsia="zh-TW"/>
              </w:rPr>
              <w:t>行</w:t>
            </w:r>
            <w:r w:rsidRPr="00CA7301">
              <w:rPr>
                <w:rFonts w:eastAsiaTheme="minorEastAsia" w:cs="Segoe UI"/>
                <w:sz w:val="17"/>
                <w:szCs w:val="17"/>
                <w:lang w:eastAsia="zh-TW"/>
              </w:rPr>
              <w:t>的值相加的總和。</w:t>
            </w:r>
          </w:p>
        </w:tc>
      </w:tr>
      <w:tr w:rsidR="004F56FF" w:rsidRPr="00CA7301" w14:paraId="1EFB6FEC" w14:textId="77777777" w:rsidTr="00877D8D">
        <w:trPr>
          <w:trHeight w:val="373"/>
        </w:trPr>
        <w:tc>
          <w:tcPr>
            <w:tcW w:w="993" w:type="dxa"/>
          </w:tcPr>
          <w:p w14:paraId="02BF3783" w14:textId="77777777" w:rsidR="004F56FF" w:rsidRPr="00CA7301" w:rsidRDefault="004F56FF" w:rsidP="004F56FF">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N+2</w:t>
            </w:r>
          </w:p>
        </w:tc>
        <w:tc>
          <w:tcPr>
            <w:tcW w:w="8221" w:type="dxa"/>
          </w:tcPr>
          <w:p w14:paraId="7CC14EDD" w14:textId="3D2639B0" w:rsidR="004F56FF" w:rsidRPr="00CA7301" w:rsidRDefault="004F56FF" w:rsidP="004F56FF">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Theme="minorEastAsia" w:cs="Segoe UI"/>
                <w:i/>
                <w:sz w:val="17"/>
                <w:szCs w:val="17"/>
                <w:lang w:eastAsia="zh-TW"/>
              </w:rPr>
              <w:t>總</w:t>
            </w:r>
            <w:r w:rsidR="00E3607E">
              <w:rPr>
                <w:rFonts w:eastAsiaTheme="minorEastAsia" w:cs="Segoe UI" w:hint="eastAsia"/>
                <w:i/>
                <w:sz w:val="17"/>
                <w:szCs w:val="17"/>
                <w:lang w:eastAsia="zh-HK"/>
              </w:rPr>
              <w:t>計</w:t>
            </w:r>
            <w:r w:rsidRPr="00CA7301">
              <w:rPr>
                <w:rFonts w:eastAsiaTheme="minorEastAsia" w:cs="Segoe UI"/>
                <w:i/>
                <w:sz w:val="17"/>
                <w:szCs w:val="17"/>
                <w:lang w:eastAsia="zh-TW"/>
              </w:rPr>
              <w:t>：</w:t>
            </w:r>
            <w:r w:rsidRPr="00CA7301">
              <w:rPr>
                <w:rFonts w:eastAsiaTheme="minorEastAsia" w:cs="Segoe UI"/>
                <w:sz w:val="17"/>
                <w:szCs w:val="17"/>
                <w:lang w:eastAsia="zh-TW"/>
              </w:rPr>
              <w:t>（</w:t>
            </w:r>
            <w:r w:rsidRPr="00CA7301">
              <w:rPr>
                <w:rFonts w:cs="Segoe UI"/>
                <w:sz w:val="17"/>
                <w:szCs w:val="17"/>
                <w:lang w:eastAsia="zh-TW"/>
              </w:rPr>
              <w:t>(c)</w:t>
            </w:r>
            <w:r w:rsidRPr="00CA7301">
              <w:rPr>
                <w:rFonts w:eastAsia="新細明體" w:cs="Segoe UI"/>
                <w:sz w:val="17"/>
                <w:szCs w:val="17"/>
                <w:lang w:eastAsia="zh-TW"/>
              </w:rPr>
              <w:t>欄</w:t>
            </w:r>
            <w:r w:rsidRPr="00CA7301">
              <w:rPr>
                <w:rFonts w:eastAsiaTheme="minorEastAsia" w:cs="Segoe UI"/>
                <w:sz w:val="17"/>
                <w:szCs w:val="17"/>
                <w:lang w:eastAsia="zh-TW"/>
              </w:rPr>
              <w:t>）認可機構持有私人機構信用風險承擔的所有司法管轄區（包括並無適用</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比率或適用</w:t>
            </w:r>
            <w:proofErr w:type="spellStart"/>
            <w:r w:rsidRPr="00CA7301">
              <w:rPr>
                <w:rFonts w:cs="Segoe UI"/>
                <w:sz w:val="17"/>
                <w:szCs w:val="17"/>
                <w:lang w:eastAsia="zh-TW"/>
              </w:rPr>
              <w:t>JCCyB</w:t>
            </w:r>
            <w:proofErr w:type="spellEnd"/>
            <w:r w:rsidRPr="00CA7301">
              <w:rPr>
                <w:rFonts w:eastAsiaTheme="minorEastAsia" w:cs="Segoe UI"/>
                <w:sz w:val="17"/>
                <w:szCs w:val="17"/>
                <w:lang w:eastAsia="zh-TW"/>
              </w:rPr>
              <w:t>比率設於零的司法管轄區）的</w:t>
            </w:r>
            <w:r w:rsidRPr="00CA7301">
              <w:rPr>
                <w:rFonts w:eastAsia="細明體" w:cs="Segoe UI"/>
                <w:sz w:val="17"/>
                <w:lang w:eastAsia="zh-TW"/>
              </w:rPr>
              <w:t>風險加權數額</w:t>
            </w:r>
            <w:r w:rsidRPr="00CA7301">
              <w:rPr>
                <w:rFonts w:eastAsiaTheme="minorEastAsia" w:cs="Segoe UI"/>
                <w:sz w:val="17"/>
                <w:szCs w:val="17"/>
                <w:lang w:eastAsia="zh-TW"/>
              </w:rPr>
              <w:t>合計總和。</w:t>
            </w:r>
          </w:p>
        </w:tc>
      </w:tr>
    </w:tbl>
    <w:p w14:paraId="2F01700D" w14:textId="77777777" w:rsidR="004F56FF" w:rsidRPr="00CA7301" w:rsidRDefault="004F56FF" w:rsidP="004F56FF">
      <w:pPr>
        <w:spacing w:before="120" w:after="120"/>
        <w:rPr>
          <w:rFonts w:eastAsiaTheme="minorEastAsia" w:cs="Segoe UI"/>
          <w:sz w:val="22"/>
          <w:lang w:eastAsia="zh-TW"/>
        </w:rPr>
      </w:pPr>
    </w:p>
    <w:p w14:paraId="653468DB" w14:textId="77777777" w:rsidR="002472EC" w:rsidRPr="00CA7301" w:rsidRDefault="002472EC">
      <w:pPr>
        <w:rPr>
          <w:rFonts w:eastAsiaTheme="minorEastAsia" w:cs="Segoe UI"/>
          <w:lang w:eastAsia="zh-TW"/>
        </w:rPr>
        <w:sectPr w:rsidR="002472EC" w:rsidRPr="00CA7301">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1800" w:header="851" w:footer="992" w:gutter="0"/>
          <w:cols w:space="425"/>
          <w:docGrid w:type="lines" w:linePitch="360"/>
        </w:sectPr>
      </w:pPr>
    </w:p>
    <w:p w14:paraId="26A77400" w14:textId="77777777" w:rsidR="002472EC" w:rsidRPr="00CA7301" w:rsidRDefault="002472EC" w:rsidP="002472EC">
      <w:pPr>
        <w:keepNext/>
        <w:keepLines/>
        <w:tabs>
          <w:tab w:val="left" w:pos="426"/>
        </w:tabs>
        <w:spacing w:after="360"/>
        <w:ind w:leftChars="-283" w:left="-566"/>
        <w:outlineLvl w:val="0"/>
        <w:rPr>
          <w:rFonts w:cs="Segoe UI"/>
          <w:color w:val="AA322F"/>
          <w:sz w:val="28"/>
          <w:lang w:eastAsia="zh-TW"/>
        </w:rPr>
      </w:pPr>
      <w:r w:rsidRPr="00CA7301">
        <w:rPr>
          <w:rFonts w:eastAsiaTheme="minorEastAsia" w:cs="Segoe UI"/>
          <w:color w:val="AA322F"/>
          <w:sz w:val="28"/>
          <w:lang w:eastAsia="zh-TW"/>
        </w:rPr>
        <w:t>第</w:t>
      </w:r>
      <w:r w:rsidRPr="00CA7301">
        <w:rPr>
          <w:rFonts w:eastAsiaTheme="minorEastAsia" w:cs="Segoe UI"/>
          <w:color w:val="AA322F"/>
          <w:sz w:val="28"/>
          <w:lang w:eastAsia="zh-TW"/>
        </w:rPr>
        <w:t>IIC</w:t>
      </w:r>
      <w:r w:rsidRPr="00CA7301">
        <w:rPr>
          <w:rFonts w:eastAsiaTheme="minorEastAsia" w:cs="Segoe UI"/>
          <w:color w:val="AA322F"/>
          <w:sz w:val="28"/>
          <w:lang w:eastAsia="zh-TW"/>
        </w:rPr>
        <w:t>部：槓桿比率</w:t>
      </w:r>
    </w:p>
    <w:p w14:paraId="18A4D0F4" w14:textId="27F1E217" w:rsidR="000E16F5" w:rsidRPr="000E16F5" w:rsidRDefault="000E16F5" w:rsidP="000E62DB">
      <w:pPr>
        <w:pStyle w:val="Heading2"/>
        <w:keepNext w:val="0"/>
        <w:suppressAutoHyphens w:val="0"/>
        <w:spacing w:before="40" w:line="240" w:lineRule="auto"/>
        <w:ind w:left="-454"/>
        <w:rPr>
          <w:rFonts w:ascii="細明體" w:eastAsia="細明體" w:hAnsi="細明體"/>
          <w:b w:val="0"/>
          <w:bCs w:val="0"/>
          <w:sz w:val="22"/>
          <w:szCs w:val="20"/>
          <w:lang w:eastAsia="zh-TW"/>
        </w:rPr>
      </w:pPr>
      <w:r w:rsidRPr="000E16F5">
        <w:rPr>
          <w:rFonts w:ascii="細明體" w:eastAsia="細明體" w:hAnsi="細明體" w:cs="微軟正黑體" w:hint="eastAsia"/>
          <w:b w:val="0"/>
          <w:bCs w:val="0"/>
          <w:sz w:val="22"/>
          <w:szCs w:val="20"/>
          <w:lang w:eastAsia="zh-TW"/>
        </w:rPr>
        <w:t>模版</w:t>
      </w:r>
      <w:r w:rsidRPr="000E16F5">
        <w:rPr>
          <w:rFonts w:ascii="Segoe UI" w:eastAsia="細明體" w:hAnsi="Segoe UI" w:cs="Segoe UI"/>
          <w:b w:val="0"/>
          <w:bCs w:val="0"/>
          <w:sz w:val="22"/>
          <w:szCs w:val="20"/>
          <w:lang w:eastAsia="zh-TW"/>
        </w:rPr>
        <w:t>LR1</w:t>
      </w:r>
      <w:r w:rsidRPr="000E16F5">
        <w:rPr>
          <w:rFonts w:ascii="細明體" w:eastAsia="細明體" w:hAnsi="細明體" w:cs="微軟正黑體" w:hint="eastAsia"/>
          <w:b w:val="0"/>
          <w:bCs w:val="0"/>
          <w:sz w:val="22"/>
          <w:szCs w:val="20"/>
          <w:lang w:eastAsia="zh-TW"/>
        </w:rPr>
        <w:t>：會計資產對槓桿比率風險承擔計量的比較摘要</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2472EC" w:rsidRPr="00CA7301" w14:paraId="395E95E6" w14:textId="77777777" w:rsidTr="0029639E">
        <w:tc>
          <w:tcPr>
            <w:tcW w:w="2160" w:type="dxa"/>
          </w:tcPr>
          <w:p w14:paraId="690EAE37" w14:textId="77777777" w:rsidR="002472EC" w:rsidRPr="00CA7301" w:rsidRDefault="002472EC" w:rsidP="002472EC">
            <w:pPr>
              <w:spacing w:before="40" w:after="40"/>
              <w:rPr>
                <w:rFonts w:cs="Segoe UI"/>
                <w:noProof/>
                <w:sz w:val="17"/>
                <w:lang w:eastAsia="en-GB"/>
              </w:rPr>
            </w:pPr>
            <w:r w:rsidRPr="00CA7301">
              <w:rPr>
                <w:rFonts w:eastAsiaTheme="minorEastAsia" w:cs="Segoe UI"/>
                <w:b/>
                <w:sz w:val="17"/>
                <w:lang w:eastAsia="zh-TW"/>
              </w:rPr>
              <w:t>目的：</w:t>
            </w:r>
          </w:p>
        </w:tc>
        <w:tc>
          <w:tcPr>
            <w:tcW w:w="7088" w:type="dxa"/>
          </w:tcPr>
          <w:p w14:paraId="733E5562" w14:textId="77777777" w:rsidR="002472EC" w:rsidRPr="00CA7301" w:rsidRDefault="002472EC" w:rsidP="002472EC">
            <w:pPr>
              <w:spacing w:before="40" w:after="40"/>
              <w:jc w:val="both"/>
              <w:rPr>
                <w:rFonts w:cs="Segoe UI"/>
                <w:sz w:val="17"/>
                <w:szCs w:val="17"/>
                <w:lang w:eastAsia="zh-TW"/>
              </w:rPr>
            </w:pPr>
            <w:bookmarkStart w:id="4" w:name="_Toc404082833"/>
            <w:r w:rsidRPr="00CA7301">
              <w:rPr>
                <w:rFonts w:eastAsiaTheme="minorEastAsia" w:cs="Segoe UI"/>
                <w:sz w:val="17"/>
                <w:lang w:eastAsia="zh-TW"/>
              </w:rPr>
              <w:t>將已發布財務報表內（如有）的資產總額與槓桿比率風險承擔計量對帳</w:t>
            </w:r>
            <w:bookmarkEnd w:id="4"/>
            <w:r w:rsidRPr="00CA7301">
              <w:rPr>
                <w:rFonts w:eastAsiaTheme="minorEastAsia" w:cs="Segoe UI"/>
                <w:sz w:val="17"/>
                <w:lang w:eastAsia="zh-TW"/>
              </w:rPr>
              <w:t>。</w:t>
            </w:r>
          </w:p>
        </w:tc>
      </w:tr>
      <w:tr w:rsidR="002472EC" w:rsidRPr="00CA7301" w14:paraId="267CB774" w14:textId="77777777" w:rsidTr="0029639E">
        <w:tc>
          <w:tcPr>
            <w:tcW w:w="2160" w:type="dxa"/>
          </w:tcPr>
          <w:p w14:paraId="7CA977C9" w14:textId="77777777" w:rsidR="002472EC" w:rsidRPr="00CA7301" w:rsidRDefault="002472EC" w:rsidP="002472EC">
            <w:pPr>
              <w:spacing w:before="40" w:after="40"/>
              <w:rPr>
                <w:rFonts w:cs="Segoe UI"/>
                <w:b/>
                <w:sz w:val="17"/>
                <w:lang w:eastAsia="en-GB"/>
              </w:rPr>
            </w:pPr>
            <w:r w:rsidRPr="00CA7301">
              <w:rPr>
                <w:rFonts w:eastAsiaTheme="minorEastAsia" w:cs="Segoe UI"/>
                <w:b/>
                <w:sz w:val="17"/>
                <w:lang w:eastAsia="zh-TW"/>
              </w:rPr>
              <w:t>適用範圍：</w:t>
            </w:r>
          </w:p>
        </w:tc>
        <w:tc>
          <w:tcPr>
            <w:tcW w:w="7088" w:type="dxa"/>
          </w:tcPr>
          <w:p w14:paraId="0C65550E" w14:textId="7E7FE3E9" w:rsidR="002472EC" w:rsidRPr="00CA7301" w:rsidRDefault="001D1285" w:rsidP="002472EC">
            <w:pPr>
              <w:spacing w:before="40" w:after="40"/>
              <w:jc w:val="both"/>
              <w:rPr>
                <w:rFonts w:cs="Segoe UI"/>
                <w:sz w:val="17"/>
                <w:szCs w:val="17"/>
                <w:lang w:eastAsia="zh-TW"/>
              </w:rPr>
            </w:pPr>
            <w:r w:rsidRPr="001D1285">
              <w:rPr>
                <w:rFonts w:ascii="Calibri" w:eastAsia="細明體" w:hAnsi="Calibri" w:cs="Segoe UI"/>
                <w:sz w:val="17"/>
                <w:szCs w:val="17"/>
                <w:lang w:eastAsia="zh-TW"/>
              </w:rPr>
              <w:t>所有</w:t>
            </w:r>
            <w:r w:rsidRPr="001D1285">
              <w:rPr>
                <w:rFonts w:ascii="Calibri" w:eastAsia="新細明體" w:hAnsi="Calibri" w:cs="Segoe UI"/>
                <w:sz w:val="17"/>
                <w:szCs w:val="22"/>
                <w:lang w:eastAsia="zh-TW"/>
              </w:rPr>
              <w:t>在香港成立</w:t>
            </w:r>
            <w:proofErr w:type="gramStart"/>
            <w:r w:rsidRPr="001D1285">
              <w:rPr>
                <w:rFonts w:ascii="Calibri" w:eastAsia="新細明體" w:hAnsi="Calibri" w:cs="Segoe UI"/>
                <w:sz w:val="17"/>
                <w:szCs w:val="22"/>
                <w:lang w:eastAsia="zh-TW"/>
              </w:rPr>
              <w:t>為法團的</w:t>
            </w:r>
            <w:proofErr w:type="gramEnd"/>
            <w:r w:rsidRPr="001D1285">
              <w:rPr>
                <w:rFonts w:ascii="Calibri" w:eastAsia="新細明體" w:hAnsi="Calibri" w:cs="Segoe UI"/>
                <w:sz w:val="17"/>
                <w:szCs w:val="22"/>
                <w:lang w:eastAsia="zh-TW"/>
              </w:rPr>
              <w:t>認可</w:t>
            </w:r>
            <w:proofErr w:type="gramStart"/>
            <w:r w:rsidRPr="001D1285">
              <w:rPr>
                <w:rFonts w:ascii="Calibri" w:eastAsia="新細明體" w:hAnsi="Calibri" w:cs="Segoe UI"/>
                <w:sz w:val="17"/>
                <w:szCs w:val="22"/>
                <w:lang w:eastAsia="zh-TW"/>
              </w:rPr>
              <w:t>機構均須填報</w:t>
            </w:r>
            <w:proofErr w:type="gramEnd"/>
            <w:r w:rsidRPr="001D1285">
              <w:rPr>
                <w:rFonts w:ascii="Calibri" w:eastAsia="新細明體" w:hAnsi="Calibri" w:cs="Segoe UI"/>
                <w:sz w:val="17"/>
                <w:szCs w:val="22"/>
                <w:lang w:eastAsia="zh-TW"/>
              </w:rPr>
              <w:t>本表。</w:t>
            </w:r>
            <w:r w:rsidRPr="001D1285">
              <w:rPr>
                <w:rFonts w:ascii="Calibri" w:eastAsia="細明體" w:hAnsi="Calibri" w:cs="Segoe UI"/>
                <w:sz w:val="17"/>
                <w:szCs w:val="17"/>
                <w:lang w:eastAsia="zh-TW"/>
              </w:rPr>
              <w:t>槓桿比率框</w:t>
            </w:r>
            <w:r w:rsidRPr="001D1285">
              <w:rPr>
                <w:rFonts w:ascii="Calibri" w:eastAsia="新細明體" w:hAnsi="Calibri" w:cs="Segoe UI"/>
                <w:sz w:val="17"/>
                <w:szCs w:val="17"/>
                <w:lang w:eastAsia="zh-TW"/>
              </w:rPr>
              <w:t>架應依循與資本</w:t>
            </w:r>
            <w:r w:rsidRPr="001D1285">
              <w:rPr>
                <w:rFonts w:ascii="Calibri" w:eastAsia="新細明體" w:hAnsi="Calibri" w:cs="Segoe UI" w:hint="eastAsia"/>
                <w:sz w:val="17"/>
                <w:szCs w:val="17"/>
                <w:lang w:eastAsia="zh-TW"/>
              </w:rPr>
              <w:t>充足</w:t>
            </w:r>
            <w:r w:rsidRPr="001D1285">
              <w:rPr>
                <w:rFonts w:ascii="Calibri" w:eastAsia="細明體" w:hAnsi="Calibri" w:cs="Segoe UI"/>
                <w:sz w:val="17"/>
                <w:szCs w:val="17"/>
                <w:lang w:eastAsia="zh-TW"/>
              </w:rPr>
              <w:t>框</w:t>
            </w:r>
            <w:r w:rsidRPr="001D1285">
              <w:rPr>
                <w:rFonts w:ascii="Calibri" w:eastAsia="新細明體" w:hAnsi="Calibri" w:cs="Segoe UI"/>
                <w:sz w:val="17"/>
                <w:szCs w:val="17"/>
                <w:lang w:eastAsia="zh-TW"/>
              </w:rPr>
              <w:t>架相同的監管綜合範圍</w:t>
            </w:r>
            <w:r w:rsidRPr="001D1285">
              <w:rPr>
                <w:rFonts w:ascii="Calibri" w:eastAsia="新細明體" w:hAnsi="Calibri" w:cs="Segoe UI"/>
                <w:sz w:val="17"/>
                <w:szCs w:val="22"/>
                <w:lang w:eastAsia="zh-TW"/>
              </w:rPr>
              <w:t>（</w:t>
            </w:r>
            <w:r w:rsidRPr="001D1285">
              <w:rPr>
                <w:rFonts w:ascii="Calibri" w:eastAsia="新細明體" w:hAnsi="Calibri" w:cs="Segoe UI"/>
                <w:sz w:val="17"/>
                <w:szCs w:val="17"/>
                <w:lang w:eastAsia="zh-TW"/>
              </w:rPr>
              <w:t>即按照金融管理專員在</w:t>
            </w:r>
            <w:r w:rsidRPr="001D1285">
              <w:rPr>
                <w:rFonts w:ascii="Calibri" w:eastAsia="細明體" w:hAnsi="Calibri" w:cs="Segoe UI"/>
                <w:sz w:val="17"/>
                <w:szCs w:val="17"/>
                <w:lang w:eastAsia="zh-TW"/>
              </w:rPr>
              <w:t>《資本規則》第</w:t>
            </w:r>
            <w:r w:rsidRPr="001D1285">
              <w:rPr>
                <w:rFonts w:ascii="Calibri" w:eastAsia="新細明體" w:hAnsi="Calibri" w:cs="Segoe UI"/>
                <w:sz w:val="17"/>
                <w:szCs w:val="17"/>
                <w:lang w:eastAsia="zh-TW"/>
              </w:rPr>
              <w:t>3C</w:t>
            </w:r>
            <w:r w:rsidRPr="001D1285">
              <w:rPr>
                <w:rFonts w:ascii="Calibri" w:eastAsia="新細明體" w:hAnsi="Calibri" w:cs="Segoe UI"/>
                <w:sz w:val="17"/>
                <w:szCs w:val="17"/>
                <w:lang w:eastAsia="zh-TW"/>
              </w:rPr>
              <w:t>條下指明的單獨基礎、單獨</w:t>
            </w:r>
            <w:proofErr w:type="gramStart"/>
            <w:r w:rsidR="003F2C6C" w:rsidRPr="00CA7301">
              <w:rPr>
                <w:rFonts w:ascii="細明體" w:eastAsia="細明體" w:hAnsi="細明體" w:cs="細明體" w:hint="eastAsia"/>
                <w:i/>
                <w:sz w:val="17"/>
                <w:szCs w:val="17"/>
                <w:lang w:eastAsia="zh-TW"/>
              </w:rPr>
              <w:t>─</w:t>
            </w:r>
            <w:proofErr w:type="gramEnd"/>
            <w:r w:rsidRPr="001D1285">
              <w:rPr>
                <w:rFonts w:ascii="Calibri" w:eastAsia="新細明體" w:hAnsi="Calibri" w:cs="Segoe UI"/>
                <w:sz w:val="17"/>
                <w:szCs w:val="17"/>
                <w:lang w:eastAsia="zh-TW"/>
              </w:rPr>
              <w:t>綜合基礎，及</w:t>
            </w:r>
            <w:r w:rsidRPr="001D1285">
              <w:rPr>
                <w:rFonts w:ascii="Calibri" w:eastAsia="新細明體" w:hAnsi="Calibri" w:cs="Segoe UI"/>
                <w:sz w:val="17"/>
                <w:szCs w:val="17"/>
                <w:lang w:eastAsia="zh-TW"/>
              </w:rPr>
              <w:t xml:space="preserve"> / </w:t>
            </w:r>
            <w:r w:rsidRPr="001D1285">
              <w:rPr>
                <w:rFonts w:ascii="Calibri" w:eastAsia="新細明體" w:hAnsi="Calibri" w:cs="Segoe UI"/>
                <w:sz w:val="17"/>
                <w:szCs w:val="17"/>
                <w:lang w:eastAsia="zh-TW"/>
              </w:rPr>
              <w:t>或綜合基礎</w:t>
            </w:r>
            <w:r w:rsidRPr="001D1285">
              <w:rPr>
                <w:rFonts w:ascii="Calibri" w:eastAsia="新細明體" w:hAnsi="Calibri" w:cs="Segoe UI"/>
                <w:sz w:val="17"/>
                <w:szCs w:val="22"/>
                <w:lang w:eastAsia="zh-TW"/>
              </w:rPr>
              <w:t>）</w:t>
            </w:r>
            <w:r w:rsidRPr="001D1285">
              <w:rPr>
                <w:rFonts w:ascii="Calibri" w:eastAsia="新細明體" w:hAnsi="Calibri" w:cs="Segoe UI"/>
                <w:sz w:val="17"/>
                <w:szCs w:val="17"/>
                <w:lang w:eastAsia="zh-TW"/>
              </w:rPr>
              <w:t>。</w:t>
            </w:r>
          </w:p>
        </w:tc>
      </w:tr>
      <w:tr w:rsidR="002472EC" w:rsidRPr="00CA7301" w14:paraId="7F3E7A2D" w14:textId="77777777" w:rsidTr="0029639E">
        <w:tc>
          <w:tcPr>
            <w:tcW w:w="2160" w:type="dxa"/>
          </w:tcPr>
          <w:p w14:paraId="1996ADEA" w14:textId="77777777" w:rsidR="002472EC" w:rsidRPr="00CA7301" w:rsidRDefault="002472EC" w:rsidP="002472EC">
            <w:pPr>
              <w:spacing w:before="40" w:after="40"/>
              <w:rPr>
                <w:rFonts w:cs="Segoe UI"/>
                <w:b/>
                <w:sz w:val="17"/>
                <w:lang w:eastAsia="en-GB"/>
              </w:rPr>
            </w:pPr>
            <w:r w:rsidRPr="00CA7301">
              <w:rPr>
                <w:rFonts w:eastAsiaTheme="minorEastAsia" w:cs="Segoe UI"/>
                <w:b/>
                <w:sz w:val="17"/>
                <w:lang w:eastAsia="zh-TW"/>
              </w:rPr>
              <w:t>內容：</w:t>
            </w:r>
          </w:p>
        </w:tc>
        <w:tc>
          <w:tcPr>
            <w:tcW w:w="7088" w:type="dxa"/>
          </w:tcPr>
          <w:p w14:paraId="449ABC81" w14:textId="77777777" w:rsidR="002472EC" w:rsidRPr="00CA7301" w:rsidRDefault="002472EC" w:rsidP="002472EC">
            <w:pPr>
              <w:spacing w:before="40" w:after="40"/>
              <w:jc w:val="both"/>
              <w:rPr>
                <w:rFonts w:eastAsiaTheme="minorEastAsia" w:cs="Segoe UI"/>
                <w:sz w:val="17"/>
                <w:szCs w:val="17"/>
                <w:lang w:eastAsia="zh-TW"/>
              </w:rPr>
            </w:pPr>
            <w:r w:rsidRPr="00CA7301">
              <w:rPr>
                <w:rFonts w:eastAsiaTheme="minorEastAsia" w:cs="Segoe UI"/>
                <w:sz w:val="17"/>
                <w:szCs w:val="17"/>
                <w:lang w:eastAsia="zh-TW"/>
              </w:rPr>
              <w:t>量化資料。</w:t>
            </w:r>
            <w:r w:rsidRPr="00CA7301">
              <w:rPr>
                <w:rFonts w:eastAsia="細明體" w:cs="Segoe UI"/>
                <w:sz w:val="17"/>
                <w:szCs w:val="17"/>
                <w:lang w:eastAsia="zh-TW"/>
              </w:rPr>
              <w:t>認可機構就披露的報告日期</w:t>
            </w:r>
            <w:r w:rsidRPr="00CA7301">
              <w:rPr>
                <w:rFonts w:eastAsiaTheme="minorEastAsia" w:cs="Segoe UI"/>
                <w:sz w:val="17"/>
                <w:lang w:eastAsia="zh-TW"/>
              </w:rPr>
              <w:t>（</w:t>
            </w:r>
            <w:r w:rsidRPr="00CA7301">
              <w:rPr>
                <w:rFonts w:eastAsia="細明體" w:cs="Segoe UI"/>
                <w:sz w:val="17"/>
                <w:szCs w:val="17"/>
                <w:lang w:eastAsia="zh-TW"/>
              </w:rPr>
              <w:t>例如四月底、十月底</w:t>
            </w:r>
            <w:r w:rsidRPr="00CA7301">
              <w:rPr>
                <w:rFonts w:eastAsiaTheme="minorEastAsia" w:cs="Segoe UI"/>
                <w:sz w:val="17"/>
                <w:lang w:eastAsia="zh-TW"/>
              </w:rPr>
              <w:t>）</w:t>
            </w:r>
            <w:r w:rsidRPr="00CA7301">
              <w:rPr>
                <w:rFonts w:eastAsiaTheme="minorEastAsia" w:cs="Segoe UI"/>
                <w:sz w:val="17"/>
                <w:szCs w:val="17"/>
                <w:lang w:eastAsia="zh-TW"/>
              </w:rPr>
              <w:t>如</w:t>
            </w:r>
            <w:r w:rsidRPr="00CA7301">
              <w:rPr>
                <w:rFonts w:eastAsia="細明體" w:cs="Segoe UI"/>
                <w:sz w:val="17"/>
                <w:szCs w:val="17"/>
                <w:lang w:eastAsia="zh-TW"/>
              </w:rPr>
              <w:t>有別於「槓桿比率申報表」</w:t>
            </w:r>
            <w:r w:rsidRPr="00CA7301">
              <w:rPr>
                <w:rFonts w:cs="Segoe UI"/>
                <w:sz w:val="17"/>
                <w:szCs w:val="17"/>
                <w:lang w:eastAsia="zh-TW"/>
              </w:rPr>
              <w:t xml:space="preserve"> (MA(BS)27)</w:t>
            </w:r>
            <w:r w:rsidRPr="00CA7301">
              <w:rPr>
                <w:rFonts w:eastAsiaTheme="minorEastAsia" w:cs="Segoe UI"/>
                <w:sz w:val="17"/>
                <w:szCs w:val="17"/>
                <w:lang w:eastAsia="zh-TW"/>
              </w:rPr>
              <w:t>的狀況日期</w:t>
            </w:r>
            <w:r w:rsidRPr="00CA7301">
              <w:rPr>
                <w:rFonts w:eastAsiaTheme="minorEastAsia" w:cs="Segoe UI"/>
                <w:sz w:val="17"/>
                <w:lang w:eastAsia="zh-TW"/>
              </w:rPr>
              <w:t>（</w:t>
            </w:r>
            <w:r w:rsidRPr="00CA7301">
              <w:rPr>
                <w:rFonts w:eastAsiaTheme="minorEastAsia" w:cs="Segoe UI"/>
                <w:sz w:val="17"/>
                <w:szCs w:val="17"/>
                <w:lang w:eastAsia="zh-TW"/>
              </w:rPr>
              <w:t>即三月底、六月底、九月底、十二月底</w:t>
            </w:r>
            <w:r w:rsidRPr="00CA7301">
              <w:rPr>
                <w:rFonts w:eastAsiaTheme="minorEastAsia" w:cs="Segoe UI"/>
                <w:sz w:val="17"/>
                <w:lang w:eastAsia="zh-TW"/>
              </w:rPr>
              <w:t>）</w:t>
            </w:r>
            <w:r w:rsidRPr="00CA7301">
              <w:rPr>
                <w:rFonts w:eastAsiaTheme="minorEastAsia" w:cs="Segoe UI"/>
                <w:sz w:val="17"/>
                <w:szCs w:val="17"/>
                <w:lang w:eastAsia="zh-TW"/>
              </w:rPr>
              <w:t>，</w:t>
            </w:r>
            <w:r w:rsidRPr="00CA7301">
              <w:rPr>
                <w:rFonts w:eastAsia="細明體" w:cs="Segoe UI"/>
                <w:sz w:val="17"/>
                <w:szCs w:val="17"/>
                <w:lang w:eastAsia="zh-TW"/>
              </w:rPr>
              <w:t>認可機構</w:t>
            </w:r>
            <w:r w:rsidRPr="00CA7301">
              <w:rPr>
                <w:rFonts w:eastAsiaTheme="minorEastAsia" w:cs="Segoe UI"/>
                <w:sz w:val="17"/>
                <w:szCs w:val="17"/>
                <w:lang w:eastAsia="zh-TW"/>
              </w:rPr>
              <w:t>應根據本身的報告日期</w:t>
            </w:r>
            <w:proofErr w:type="gramStart"/>
            <w:r w:rsidRPr="00CA7301">
              <w:rPr>
                <w:rFonts w:eastAsiaTheme="minorEastAsia" w:cs="Segoe UI"/>
                <w:sz w:val="17"/>
                <w:szCs w:val="17"/>
                <w:lang w:eastAsia="zh-TW"/>
              </w:rPr>
              <w:t>披露本模版</w:t>
            </w:r>
            <w:proofErr w:type="gramEnd"/>
            <w:r w:rsidRPr="00CA7301">
              <w:rPr>
                <w:rFonts w:eastAsiaTheme="minorEastAsia" w:cs="Segoe UI"/>
                <w:sz w:val="17"/>
                <w:szCs w:val="17"/>
                <w:lang w:eastAsia="zh-TW"/>
              </w:rPr>
              <w:t>。然而，在此情況下，</w:t>
            </w:r>
            <w:proofErr w:type="gramStart"/>
            <w:r w:rsidRPr="00CA7301">
              <w:rPr>
                <w:rFonts w:eastAsiaTheme="minorEastAsia" w:cs="Segoe UI"/>
                <w:sz w:val="17"/>
                <w:szCs w:val="17"/>
                <w:lang w:eastAsia="zh-TW"/>
              </w:rPr>
              <w:t>本模版</w:t>
            </w:r>
            <w:proofErr w:type="gramEnd"/>
            <w:r w:rsidRPr="00CA7301">
              <w:rPr>
                <w:rFonts w:eastAsiaTheme="minorEastAsia" w:cs="Segoe UI"/>
                <w:sz w:val="17"/>
                <w:szCs w:val="17"/>
                <w:lang w:eastAsia="zh-TW"/>
              </w:rPr>
              <w:t>所披露的數值的計算基礎應沿用</w:t>
            </w:r>
            <w:r w:rsidRPr="00CA7301">
              <w:rPr>
                <w:rFonts w:eastAsiaTheme="minorEastAsia" w:cs="Segoe UI"/>
                <w:sz w:val="17"/>
                <w:lang w:eastAsia="zh-TW"/>
              </w:rPr>
              <w:t>該</w:t>
            </w:r>
            <w:r w:rsidRPr="00CA7301">
              <w:rPr>
                <w:rFonts w:eastAsiaTheme="minorEastAsia" w:cs="Segoe UI"/>
                <w:sz w:val="17"/>
                <w:szCs w:val="17"/>
                <w:lang w:eastAsia="zh-TW"/>
              </w:rPr>
              <w:t>申報表所用的相同計算基礎。</w:t>
            </w:r>
          </w:p>
        </w:tc>
      </w:tr>
      <w:tr w:rsidR="002472EC" w:rsidRPr="00CA7301" w14:paraId="1D8AEF92" w14:textId="77777777" w:rsidTr="0029639E">
        <w:tc>
          <w:tcPr>
            <w:tcW w:w="2160" w:type="dxa"/>
          </w:tcPr>
          <w:p w14:paraId="1AE1FDF8" w14:textId="77777777" w:rsidR="002472EC" w:rsidRPr="00CA7301" w:rsidRDefault="002472EC" w:rsidP="002472EC">
            <w:pPr>
              <w:spacing w:before="40" w:after="40"/>
              <w:rPr>
                <w:rFonts w:cs="Segoe UI"/>
                <w:sz w:val="17"/>
                <w:lang w:eastAsia="en-GB"/>
              </w:rPr>
            </w:pPr>
            <w:r w:rsidRPr="00CA7301">
              <w:rPr>
                <w:rFonts w:eastAsiaTheme="minorEastAsia" w:cs="Segoe UI"/>
                <w:b/>
                <w:sz w:val="17"/>
                <w:lang w:eastAsia="zh-TW"/>
              </w:rPr>
              <w:t>頻密程度：</w:t>
            </w:r>
          </w:p>
        </w:tc>
        <w:tc>
          <w:tcPr>
            <w:tcW w:w="7088" w:type="dxa"/>
          </w:tcPr>
          <w:p w14:paraId="6AD8E30A" w14:textId="77777777" w:rsidR="002472EC" w:rsidRPr="00CA7301" w:rsidRDefault="002472EC" w:rsidP="002472EC">
            <w:pPr>
              <w:spacing w:before="40" w:after="40"/>
              <w:jc w:val="both"/>
              <w:rPr>
                <w:rFonts w:eastAsiaTheme="minorEastAsia" w:cs="Segoe UI"/>
                <w:sz w:val="17"/>
                <w:szCs w:val="17"/>
                <w:lang w:eastAsia="zh-TW"/>
              </w:rPr>
            </w:pPr>
            <w:r w:rsidRPr="00CA7301">
              <w:rPr>
                <w:rFonts w:eastAsiaTheme="minorEastAsia" w:cs="Segoe UI"/>
                <w:sz w:val="17"/>
                <w:szCs w:val="17"/>
                <w:lang w:eastAsia="zh-TW"/>
              </w:rPr>
              <w:t>每半年一次。</w:t>
            </w:r>
          </w:p>
        </w:tc>
      </w:tr>
      <w:tr w:rsidR="002472EC" w:rsidRPr="00CA7301" w14:paraId="11BFAE0C" w14:textId="77777777" w:rsidTr="0029639E">
        <w:tc>
          <w:tcPr>
            <w:tcW w:w="2160" w:type="dxa"/>
          </w:tcPr>
          <w:p w14:paraId="76156E1B" w14:textId="77777777" w:rsidR="002472EC" w:rsidRPr="00CA7301" w:rsidRDefault="002472EC" w:rsidP="002472EC">
            <w:pPr>
              <w:spacing w:before="40" w:after="40"/>
              <w:rPr>
                <w:rFonts w:cs="Segoe UI"/>
                <w:sz w:val="17"/>
                <w:lang w:eastAsia="en-GB"/>
              </w:rPr>
            </w:pPr>
            <w:r w:rsidRPr="00CA7301">
              <w:rPr>
                <w:rFonts w:eastAsiaTheme="minorEastAsia" w:cs="Segoe UI"/>
                <w:b/>
                <w:sz w:val="17"/>
                <w:lang w:eastAsia="zh-TW"/>
              </w:rPr>
              <w:t>格式：</w:t>
            </w:r>
          </w:p>
        </w:tc>
        <w:tc>
          <w:tcPr>
            <w:tcW w:w="7088" w:type="dxa"/>
          </w:tcPr>
          <w:p w14:paraId="2F2DF93F" w14:textId="77777777" w:rsidR="002472EC" w:rsidRPr="00CA7301" w:rsidRDefault="002472EC" w:rsidP="002472EC">
            <w:pPr>
              <w:spacing w:before="40" w:after="40"/>
              <w:jc w:val="both"/>
              <w:rPr>
                <w:rFonts w:cs="Segoe UI"/>
                <w:sz w:val="17"/>
                <w:lang w:eastAsia="en-GB"/>
              </w:rPr>
            </w:pPr>
            <w:r w:rsidRPr="00CA7301">
              <w:rPr>
                <w:rFonts w:eastAsiaTheme="minorEastAsia" w:cs="Segoe UI"/>
                <w:sz w:val="17"/>
                <w:lang w:eastAsia="zh-TW"/>
              </w:rPr>
              <w:t>固定。</w:t>
            </w:r>
          </w:p>
        </w:tc>
      </w:tr>
      <w:tr w:rsidR="002472EC" w:rsidRPr="00CA7301" w14:paraId="30A95A62" w14:textId="77777777" w:rsidTr="0029639E">
        <w:tc>
          <w:tcPr>
            <w:tcW w:w="2160" w:type="dxa"/>
          </w:tcPr>
          <w:p w14:paraId="0184B2C4" w14:textId="77777777" w:rsidR="002472EC" w:rsidRPr="00CA7301" w:rsidRDefault="002472EC" w:rsidP="002472EC">
            <w:pPr>
              <w:spacing w:before="40" w:after="40"/>
              <w:rPr>
                <w:rFonts w:cs="Segoe UI"/>
                <w:szCs w:val="17"/>
              </w:rPr>
            </w:pPr>
            <w:r w:rsidRPr="00CA7301">
              <w:rPr>
                <w:rFonts w:eastAsiaTheme="minorEastAsia" w:cs="Segoe UI"/>
                <w:b/>
                <w:sz w:val="17"/>
                <w:lang w:eastAsia="zh-TW"/>
              </w:rPr>
              <w:t>附加說明：</w:t>
            </w:r>
          </w:p>
        </w:tc>
        <w:tc>
          <w:tcPr>
            <w:tcW w:w="7088" w:type="dxa"/>
          </w:tcPr>
          <w:p w14:paraId="5ACAC9B7" w14:textId="08FE3D84" w:rsidR="002472EC" w:rsidRPr="00CA7301" w:rsidRDefault="001D1285" w:rsidP="00C4753E">
            <w:pPr>
              <w:spacing w:before="40" w:after="40"/>
              <w:jc w:val="both"/>
              <w:rPr>
                <w:rFonts w:cs="Segoe UI"/>
                <w:sz w:val="17"/>
                <w:szCs w:val="17"/>
                <w:lang w:eastAsia="zh-TW"/>
              </w:rPr>
            </w:pPr>
            <w:r w:rsidRPr="001D1285">
              <w:rPr>
                <w:rFonts w:ascii="Calibri" w:eastAsia="細明體" w:hAnsi="Calibri" w:cs="Segoe UI"/>
                <w:sz w:val="17"/>
                <w:szCs w:val="17"/>
                <w:lang w:eastAsia="zh-TW"/>
              </w:rPr>
              <w:t>認可機構應披露及詳細說明在</w:t>
            </w:r>
            <w:r w:rsidRPr="001D1285">
              <w:rPr>
                <w:rFonts w:ascii="Calibri" w:eastAsia="新細明體" w:hAnsi="Calibri" w:cs="Segoe UI" w:hint="eastAsia"/>
                <w:sz w:val="17"/>
                <w:szCs w:val="17"/>
                <w:lang w:eastAsia="zh-HK"/>
              </w:rPr>
              <w:t>其</w:t>
            </w:r>
            <w:r w:rsidRPr="001D1285">
              <w:rPr>
                <w:rFonts w:ascii="Calibri" w:eastAsia="細明體" w:hAnsi="Calibri" w:cs="Segoe UI"/>
                <w:sz w:val="17"/>
                <w:szCs w:val="17"/>
                <w:lang w:eastAsia="zh-TW"/>
              </w:rPr>
              <w:t>財務報表內申報的資產負債表資產總額</w:t>
            </w:r>
            <w:r w:rsidR="00157615" w:rsidRPr="001D1285">
              <w:rPr>
                <w:rFonts w:ascii="Calibri" w:eastAsia="新細明體" w:hAnsi="Calibri" w:cs="Segoe UI"/>
                <w:sz w:val="17"/>
                <w:szCs w:val="17"/>
                <w:lang w:eastAsia="zh-TW"/>
              </w:rPr>
              <w:t>與</w:t>
            </w:r>
            <w:r w:rsidRPr="001D1285">
              <w:rPr>
                <w:rFonts w:ascii="Calibri" w:eastAsia="新細明體" w:hAnsi="Calibri" w:cs="Segoe UI" w:hint="eastAsia"/>
                <w:sz w:val="17"/>
                <w:szCs w:val="17"/>
                <w:lang w:eastAsia="zh-HK"/>
              </w:rPr>
              <w:t>槓</w:t>
            </w:r>
            <w:r w:rsidRPr="001D1285">
              <w:rPr>
                <w:rFonts w:ascii="Calibri" w:eastAsia="新細明體" w:hAnsi="Calibri" w:cs="Segoe UI" w:hint="eastAsia"/>
                <w:sz w:val="17"/>
                <w:szCs w:val="17"/>
                <w:lang w:eastAsia="zh-TW"/>
              </w:rPr>
              <w:t>桿</w:t>
            </w:r>
            <w:r w:rsidRPr="001D1285">
              <w:rPr>
                <w:rFonts w:ascii="Calibri" w:eastAsia="新細明體" w:hAnsi="Calibri" w:cs="Segoe UI" w:hint="eastAsia"/>
                <w:sz w:val="17"/>
                <w:szCs w:val="17"/>
                <w:lang w:eastAsia="zh-HK"/>
              </w:rPr>
              <w:t>比率風險承擔計量</w:t>
            </w:r>
            <w:r w:rsidR="00061FED" w:rsidRPr="00061FED">
              <w:rPr>
                <w:rFonts w:ascii="Calibri" w:eastAsia="新細明體" w:hAnsi="Calibri" w:cs="Segoe UI" w:hint="eastAsia"/>
                <w:sz w:val="17"/>
                <w:szCs w:val="17"/>
                <w:lang w:eastAsia="zh-HK"/>
              </w:rPr>
              <w:t>的重大差別的來源。</w:t>
            </w:r>
          </w:p>
        </w:tc>
      </w:tr>
      <w:tr w:rsidR="002472EC" w:rsidRPr="00CA7301" w14:paraId="77EA064D" w14:textId="77777777" w:rsidTr="0029639E">
        <w:tc>
          <w:tcPr>
            <w:tcW w:w="2160" w:type="dxa"/>
          </w:tcPr>
          <w:p w14:paraId="6BFD2BEE" w14:textId="77777777" w:rsidR="002472EC" w:rsidRPr="00CA7301" w:rsidRDefault="002472EC" w:rsidP="002472EC">
            <w:pPr>
              <w:spacing w:before="40" w:after="40"/>
              <w:rPr>
                <w:rFonts w:cs="Segoe UI"/>
                <w:b/>
                <w:sz w:val="17"/>
                <w:lang w:eastAsia="zh-TW"/>
              </w:rPr>
            </w:pPr>
            <w:r w:rsidRPr="00CA7301">
              <w:rPr>
                <w:rFonts w:eastAsia="細明體" w:cs="Segoe UI"/>
                <w:b/>
                <w:sz w:val="17"/>
                <w:lang w:eastAsia="zh-TW"/>
              </w:rPr>
              <w:t>《披露規則》相應條文：</w:t>
            </w:r>
          </w:p>
        </w:tc>
        <w:tc>
          <w:tcPr>
            <w:tcW w:w="7088" w:type="dxa"/>
          </w:tcPr>
          <w:p w14:paraId="6A8B2A7E" w14:textId="77777777" w:rsidR="002472EC" w:rsidRPr="00CA7301" w:rsidRDefault="002472EC" w:rsidP="002472EC">
            <w:pPr>
              <w:spacing w:before="40" w:after="40"/>
              <w:jc w:val="both"/>
              <w:rPr>
                <w:rFonts w:eastAsiaTheme="minorEastAsia" w:cs="Segoe UI"/>
                <w:sz w:val="17"/>
                <w:szCs w:val="17"/>
                <w:lang w:eastAsia="zh-TW"/>
              </w:rPr>
            </w:pPr>
            <w:r w:rsidRPr="00CA7301">
              <w:rPr>
                <w:rFonts w:eastAsiaTheme="minorEastAsia" w:cs="Segoe UI"/>
                <w:sz w:val="17"/>
                <w:szCs w:val="17"/>
                <w:lang w:eastAsia="zh-TW"/>
              </w:rPr>
              <w:t>16FH</w:t>
            </w:r>
          </w:p>
        </w:tc>
      </w:tr>
    </w:tbl>
    <w:p w14:paraId="7899AD71" w14:textId="77777777" w:rsidR="001D1285" w:rsidRPr="001D1285" w:rsidRDefault="001D1285" w:rsidP="001D1285">
      <w:pPr>
        <w:spacing w:before="120" w:after="120" w:line="259" w:lineRule="auto"/>
        <w:rPr>
          <w:rFonts w:ascii="Calibri" w:eastAsia="新細明體" w:hAnsi="Calibri" w:cs="Segoe UI"/>
          <w:sz w:val="22"/>
          <w:szCs w:val="22"/>
          <w:lang w:eastAsia="zh-CN"/>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71"/>
        <w:gridCol w:w="6942"/>
        <w:gridCol w:w="1701"/>
      </w:tblGrid>
      <w:tr w:rsidR="001D1285" w:rsidRPr="001D1285" w14:paraId="355CC4EB" w14:textId="77777777" w:rsidTr="00792E2D">
        <w:trPr>
          <w:cantSplit/>
          <w:trHeight w:val="249"/>
        </w:trPr>
        <w:tc>
          <w:tcPr>
            <w:tcW w:w="571" w:type="dxa"/>
            <w:tcBorders>
              <w:top w:val="nil"/>
              <w:left w:val="nil"/>
              <w:bottom w:val="single" w:sz="4" w:space="0" w:color="auto"/>
              <w:right w:val="nil"/>
            </w:tcBorders>
          </w:tcPr>
          <w:p w14:paraId="3A9FC1A9" w14:textId="77777777" w:rsidR="001D1285" w:rsidRPr="001D1285" w:rsidRDefault="001D1285" w:rsidP="001D1285">
            <w:pPr>
              <w:snapToGrid w:val="0"/>
              <w:spacing w:before="40" w:after="40" w:line="259" w:lineRule="auto"/>
              <w:rPr>
                <w:rFonts w:ascii="Calibri" w:eastAsia="新細明體" w:hAnsi="Calibri" w:cs="Segoe UI"/>
                <w:sz w:val="17"/>
                <w:szCs w:val="22"/>
                <w:lang w:eastAsia="en-GB"/>
              </w:rPr>
            </w:pPr>
          </w:p>
        </w:tc>
        <w:tc>
          <w:tcPr>
            <w:tcW w:w="6942" w:type="dxa"/>
            <w:tcBorders>
              <w:top w:val="nil"/>
              <w:left w:val="nil"/>
              <w:bottom w:val="single" w:sz="4" w:space="0" w:color="auto"/>
              <w:right w:val="single" w:sz="4" w:space="0" w:color="auto"/>
            </w:tcBorders>
            <w:vAlign w:val="center"/>
          </w:tcPr>
          <w:p w14:paraId="1DD542BE" w14:textId="77777777" w:rsidR="001D1285" w:rsidRPr="001D1285" w:rsidRDefault="001D1285" w:rsidP="001D1285">
            <w:pPr>
              <w:snapToGrid w:val="0"/>
              <w:spacing w:before="40" w:after="40" w:line="259" w:lineRule="auto"/>
              <w:rPr>
                <w:rFonts w:ascii="Calibri" w:eastAsia="新細明體" w:hAnsi="Calibri" w:cs="Segoe UI"/>
                <w:sz w:val="17"/>
                <w:szCs w:val="22"/>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196E3E67" w14:textId="77777777" w:rsidR="001D1285" w:rsidRPr="001D1285" w:rsidRDefault="001D1285" w:rsidP="001D1285">
            <w:pPr>
              <w:snapToGrid w:val="0"/>
              <w:spacing w:before="40" w:after="40" w:line="259" w:lineRule="auto"/>
              <w:jc w:val="center"/>
              <w:rPr>
                <w:rFonts w:ascii="Calibri" w:eastAsia="新細明體" w:hAnsi="Calibri" w:cs="Segoe UI"/>
                <w:bCs/>
                <w:sz w:val="17"/>
                <w:szCs w:val="17"/>
                <w:lang w:eastAsia="it-IT"/>
              </w:rPr>
            </w:pPr>
            <w:r w:rsidRPr="001D1285">
              <w:rPr>
                <w:rFonts w:ascii="Calibri" w:eastAsia="新細明體" w:hAnsi="Calibri" w:cs="Segoe UI"/>
                <w:bCs/>
                <w:sz w:val="17"/>
                <w:szCs w:val="17"/>
                <w:lang w:eastAsia="it-IT"/>
              </w:rPr>
              <w:t>(a)</w:t>
            </w:r>
          </w:p>
        </w:tc>
      </w:tr>
      <w:tr w:rsidR="001D1285" w:rsidRPr="001D1285" w14:paraId="06383C05" w14:textId="77777777" w:rsidTr="00792E2D">
        <w:trPr>
          <w:cantSplit/>
        </w:trPr>
        <w:tc>
          <w:tcPr>
            <w:tcW w:w="571" w:type="dxa"/>
            <w:tcBorders>
              <w:top w:val="single" w:sz="4" w:space="0" w:color="auto"/>
              <w:left w:val="nil"/>
              <w:bottom w:val="single" w:sz="4" w:space="0" w:color="auto"/>
              <w:right w:val="single" w:sz="4" w:space="0" w:color="auto"/>
            </w:tcBorders>
          </w:tcPr>
          <w:p w14:paraId="42FB3A7F" w14:textId="77777777" w:rsidR="001D1285" w:rsidRPr="001D1285" w:rsidRDefault="001D1285" w:rsidP="001D1285">
            <w:pPr>
              <w:snapToGrid w:val="0"/>
              <w:spacing w:before="40" w:after="40" w:line="259" w:lineRule="auto"/>
              <w:rPr>
                <w:rFonts w:ascii="Calibri" w:eastAsia="新細明體" w:hAnsi="Calibri" w:cs="Segoe UI"/>
                <w:b/>
                <w:sz w:val="17"/>
                <w:szCs w:val="22"/>
                <w:lang w:eastAsia="en-GB"/>
              </w:rPr>
            </w:pPr>
          </w:p>
        </w:tc>
        <w:tc>
          <w:tcPr>
            <w:tcW w:w="6942" w:type="dxa"/>
            <w:tcBorders>
              <w:top w:val="single" w:sz="4" w:space="0" w:color="auto"/>
              <w:left w:val="nil"/>
              <w:bottom w:val="single" w:sz="4" w:space="0" w:color="auto"/>
              <w:right w:val="single" w:sz="4" w:space="0" w:color="auto"/>
            </w:tcBorders>
          </w:tcPr>
          <w:p w14:paraId="3AFFECC9" w14:textId="77777777" w:rsidR="001D1285" w:rsidRPr="001D1285" w:rsidRDefault="001D1285" w:rsidP="001D1285">
            <w:pPr>
              <w:snapToGrid w:val="0"/>
              <w:spacing w:before="40" w:after="40" w:line="259" w:lineRule="auto"/>
              <w:rPr>
                <w:rFonts w:ascii="Calibri" w:eastAsia="新細明體" w:hAnsi="Calibri" w:cs="Segoe UI"/>
                <w:b/>
                <w:sz w:val="17"/>
                <w:szCs w:val="17"/>
                <w:lang w:val="en-US" w:eastAsia="en-GB"/>
              </w:rPr>
            </w:pPr>
            <w:r w:rsidRPr="001D1285">
              <w:rPr>
                <w:rFonts w:ascii="Calibri" w:eastAsia="新細明體" w:hAnsi="Calibri" w:cs="Segoe UI"/>
                <w:b/>
                <w:sz w:val="17"/>
                <w:szCs w:val="17"/>
                <w:lang w:val="en-US" w:eastAsia="zh-TW"/>
              </w:rPr>
              <w:t>項目</w:t>
            </w:r>
          </w:p>
        </w:tc>
        <w:tc>
          <w:tcPr>
            <w:tcW w:w="1701" w:type="dxa"/>
            <w:tcBorders>
              <w:top w:val="single" w:sz="4" w:space="0" w:color="auto"/>
              <w:left w:val="single" w:sz="4" w:space="0" w:color="auto"/>
              <w:bottom w:val="single" w:sz="4" w:space="0" w:color="auto"/>
              <w:right w:val="single" w:sz="4" w:space="0" w:color="auto"/>
            </w:tcBorders>
          </w:tcPr>
          <w:p w14:paraId="072B9BE9" w14:textId="77777777" w:rsidR="001D1285" w:rsidRPr="001D1285" w:rsidRDefault="001D1285" w:rsidP="001D1285">
            <w:pPr>
              <w:snapToGrid w:val="0"/>
              <w:spacing w:before="40" w:after="40" w:line="259" w:lineRule="auto"/>
              <w:jc w:val="center"/>
              <w:rPr>
                <w:rFonts w:ascii="Calibri" w:eastAsia="新細明體" w:hAnsi="Calibri" w:cs="Segoe UI"/>
                <w:b/>
                <w:sz w:val="17"/>
                <w:szCs w:val="17"/>
                <w:lang w:eastAsia="zh-TW"/>
              </w:rPr>
            </w:pPr>
            <w:r w:rsidRPr="001D1285">
              <w:rPr>
                <w:rFonts w:ascii="Calibri" w:eastAsia="新細明體" w:hAnsi="Calibri" w:cs="Segoe UI"/>
                <w:b/>
                <w:sz w:val="17"/>
                <w:szCs w:val="17"/>
                <w:lang w:eastAsia="zh-TW"/>
              </w:rPr>
              <w:t>在</w:t>
            </w:r>
            <w:r w:rsidRPr="001D1285">
              <w:rPr>
                <w:rFonts w:ascii="Calibri" w:eastAsia="細明體" w:hAnsi="Calibri" w:cs="Segoe UI"/>
                <w:b/>
                <w:sz w:val="17"/>
                <w:szCs w:val="17"/>
                <w:lang w:eastAsia="zh-TW"/>
              </w:rPr>
              <w:t>槓桿比率框</w:t>
            </w:r>
            <w:r w:rsidRPr="001D1285">
              <w:rPr>
                <w:rFonts w:ascii="Calibri" w:eastAsia="新細明體" w:hAnsi="Calibri" w:cs="Segoe UI"/>
                <w:b/>
                <w:sz w:val="17"/>
                <w:szCs w:val="17"/>
                <w:lang w:eastAsia="zh-TW"/>
              </w:rPr>
              <w:t>架下的值</w:t>
            </w:r>
          </w:p>
          <w:p w14:paraId="2F08F8A9" w14:textId="77777777" w:rsidR="001D1285" w:rsidRPr="001D1285" w:rsidRDefault="001D1285" w:rsidP="001D1285">
            <w:pPr>
              <w:snapToGrid w:val="0"/>
              <w:spacing w:before="40" w:after="40" w:line="259" w:lineRule="auto"/>
              <w:jc w:val="center"/>
              <w:rPr>
                <w:rFonts w:ascii="Calibri" w:eastAsia="新細明體" w:hAnsi="Calibri" w:cs="Segoe UI"/>
                <w:sz w:val="17"/>
                <w:szCs w:val="17"/>
                <w:lang w:eastAsia="zh-TW"/>
              </w:rPr>
            </w:pPr>
            <w:r w:rsidRPr="001D1285">
              <w:rPr>
                <w:rFonts w:ascii="Calibri" w:eastAsia="新細明體" w:hAnsi="Calibri" w:cs="Segoe UI"/>
                <w:sz w:val="17"/>
                <w:szCs w:val="17"/>
                <w:lang w:eastAsia="zh-TW"/>
              </w:rPr>
              <w:t>（港元等值）</w:t>
            </w:r>
          </w:p>
        </w:tc>
      </w:tr>
      <w:tr w:rsidR="001D1285" w:rsidRPr="001D1285" w14:paraId="0E587E4D" w14:textId="77777777" w:rsidTr="001D1285">
        <w:trPr>
          <w:cantSplit/>
        </w:trPr>
        <w:tc>
          <w:tcPr>
            <w:tcW w:w="571" w:type="dxa"/>
            <w:tcBorders>
              <w:top w:val="single" w:sz="4" w:space="0" w:color="auto"/>
              <w:left w:val="nil"/>
              <w:bottom w:val="single" w:sz="4" w:space="0" w:color="D9D9D9"/>
              <w:right w:val="single" w:sz="4" w:space="0" w:color="auto"/>
            </w:tcBorders>
            <w:shd w:val="clear" w:color="auto" w:fill="auto"/>
          </w:tcPr>
          <w:p w14:paraId="36635060" w14:textId="77777777"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sz w:val="17"/>
                <w:szCs w:val="22"/>
                <w:lang w:eastAsia="en-GB"/>
              </w:rPr>
              <w:t>1</w:t>
            </w:r>
          </w:p>
        </w:tc>
        <w:tc>
          <w:tcPr>
            <w:tcW w:w="6942" w:type="dxa"/>
            <w:tcBorders>
              <w:top w:val="single" w:sz="4" w:space="0" w:color="auto"/>
              <w:left w:val="single" w:sz="4" w:space="0" w:color="auto"/>
              <w:bottom w:val="single" w:sz="4" w:space="0" w:color="D9D9D9"/>
              <w:right w:val="single" w:sz="4" w:space="0" w:color="auto"/>
            </w:tcBorders>
            <w:shd w:val="clear" w:color="auto" w:fill="auto"/>
          </w:tcPr>
          <w:p w14:paraId="1B0F546F"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細明體" w:hAnsi="Calibri" w:cs="Segoe UI"/>
                <w:sz w:val="17"/>
                <w:szCs w:val="17"/>
                <w:lang w:eastAsia="zh-TW"/>
              </w:rPr>
              <w:t>已發布的財務報表所載的綜合資產總額</w:t>
            </w:r>
          </w:p>
        </w:tc>
        <w:tc>
          <w:tcPr>
            <w:tcW w:w="1701" w:type="dxa"/>
            <w:tcBorders>
              <w:top w:val="single" w:sz="4" w:space="0" w:color="auto"/>
              <w:left w:val="single" w:sz="4" w:space="0" w:color="auto"/>
              <w:bottom w:val="single" w:sz="4" w:space="0" w:color="D9D9D9"/>
              <w:right w:val="single" w:sz="4" w:space="0" w:color="auto"/>
            </w:tcBorders>
            <w:shd w:val="clear" w:color="auto" w:fill="auto"/>
            <w:vAlign w:val="center"/>
          </w:tcPr>
          <w:p w14:paraId="3626ECD5"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731845C4"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73F1F80E" w14:textId="77777777"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sz w:val="17"/>
                <w:szCs w:val="22"/>
                <w:lang w:eastAsia="en-GB"/>
              </w:rPr>
              <w:t>2</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24C6381C"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新細明體" w:hAnsi="Calibri" w:cs="Segoe UI"/>
                <w:sz w:val="17"/>
                <w:szCs w:val="17"/>
                <w:lang w:eastAsia="zh-TW"/>
              </w:rPr>
              <w:t>對為會計目的須作綜合計算，但在監管綜合範圍以外的銀行、金融、保險或商業實體的投資而須作的相關調整</w:t>
            </w:r>
          </w:p>
        </w:tc>
        <w:tc>
          <w:tcPr>
            <w:tcW w:w="1701" w:type="dxa"/>
            <w:tcBorders>
              <w:top w:val="single" w:sz="4" w:space="0" w:color="D9D9D9"/>
              <w:left w:val="single" w:sz="4" w:space="0" w:color="auto"/>
              <w:bottom w:val="single" w:sz="4" w:space="0" w:color="D9D9D9"/>
              <w:right w:val="single" w:sz="4" w:space="0" w:color="auto"/>
            </w:tcBorders>
            <w:shd w:val="clear" w:color="auto" w:fill="auto"/>
            <w:vAlign w:val="center"/>
          </w:tcPr>
          <w:p w14:paraId="636349EF"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1E1F363C"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05395848" w14:textId="0B579E38"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3</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03FC812D"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新細明體" w:hAnsi="Calibri" w:cs="Segoe UI"/>
                <w:sz w:val="17"/>
                <w:szCs w:val="17"/>
                <w:lang w:eastAsia="zh-TW"/>
              </w:rPr>
              <w:t>有關</w:t>
            </w:r>
            <w:r w:rsidRPr="001D1285">
              <w:rPr>
                <w:rFonts w:ascii="Calibri" w:eastAsia="新細明體" w:hAnsi="Calibri" w:cs="Segoe UI" w:hint="eastAsia"/>
                <w:sz w:val="17"/>
                <w:szCs w:val="17"/>
                <w:lang w:eastAsia="zh-TW"/>
              </w:rPr>
              <w:t>符合操作規定可作認可風險轉移的證券化風險承擔的調整</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08F4459C"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B39FD" w:rsidRPr="001D1285" w14:paraId="6EB3BCDA" w14:textId="77777777" w:rsidTr="0076408B">
        <w:trPr>
          <w:cantSplit/>
        </w:trPr>
        <w:tc>
          <w:tcPr>
            <w:tcW w:w="571" w:type="dxa"/>
            <w:tcBorders>
              <w:top w:val="single" w:sz="4" w:space="0" w:color="D9D9D9"/>
              <w:left w:val="nil"/>
              <w:bottom w:val="single" w:sz="4" w:space="0" w:color="D9D9D9"/>
              <w:right w:val="single" w:sz="4" w:space="0" w:color="auto"/>
            </w:tcBorders>
            <w:shd w:val="clear" w:color="auto" w:fill="auto"/>
          </w:tcPr>
          <w:p w14:paraId="2E7056FE" w14:textId="77777777" w:rsidR="001D1285" w:rsidRPr="001D1285" w:rsidDel="00ED5656"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4</w:t>
            </w:r>
          </w:p>
        </w:tc>
        <w:tc>
          <w:tcPr>
            <w:tcW w:w="6942" w:type="dxa"/>
            <w:tcBorders>
              <w:top w:val="single" w:sz="4" w:space="0" w:color="D9D9D9"/>
              <w:left w:val="single" w:sz="4" w:space="0" w:color="auto"/>
              <w:bottom w:val="single" w:sz="4" w:space="0" w:color="D9D9D9"/>
              <w:right w:val="single" w:sz="4" w:space="0" w:color="auto"/>
            </w:tcBorders>
            <w:shd w:val="clear" w:color="auto" w:fill="FFFF00"/>
          </w:tcPr>
          <w:p w14:paraId="26C614C8" w14:textId="50DB50CB" w:rsidR="001D1285" w:rsidRPr="001D1285" w:rsidRDefault="001D1285" w:rsidP="006034FE">
            <w:pPr>
              <w:snapToGrid w:val="0"/>
              <w:spacing w:before="40" w:after="40" w:line="259" w:lineRule="auto"/>
              <w:rPr>
                <w:rFonts w:ascii="Calibri" w:eastAsia="新細明體" w:hAnsi="Calibri" w:cs="Segoe UI"/>
                <w:sz w:val="17"/>
                <w:szCs w:val="17"/>
                <w:lang w:eastAsia="zh-HK"/>
              </w:rPr>
            </w:pPr>
            <w:r w:rsidRPr="001D1285">
              <w:rPr>
                <w:rFonts w:ascii="Calibri" w:eastAsia="新細明體" w:hAnsi="Calibri" w:cs="Segoe UI" w:hint="eastAsia"/>
                <w:sz w:val="17"/>
                <w:szCs w:val="17"/>
                <w:lang w:eastAsia="zh-HK"/>
              </w:rPr>
              <w:t>有關暫時豁</w:t>
            </w:r>
            <w:r w:rsidR="00DB377E" w:rsidRPr="00217BE5">
              <w:rPr>
                <w:rFonts w:eastAsiaTheme="minorEastAsia" w:cs="Segoe UI" w:hint="eastAsia"/>
                <w:iCs/>
                <w:color w:val="000000"/>
                <w:sz w:val="17"/>
                <w:szCs w:val="17"/>
                <w:lang w:val="en-US" w:eastAsia="zh-TW"/>
              </w:rPr>
              <w:t>除</w:t>
            </w:r>
            <w:r w:rsidRPr="001D1285">
              <w:rPr>
                <w:rFonts w:ascii="Calibri" w:eastAsia="新細明體" w:hAnsi="Calibri" w:cs="Segoe UI" w:hint="eastAsia"/>
                <w:sz w:val="17"/>
                <w:szCs w:val="17"/>
                <w:lang w:eastAsia="zh-HK"/>
              </w:rPr>
              <w:t>央行儲備的調整</w:t>
            </w:r>
          </w:p>
        </w:tc>
        <w:tc>
          <w:tcPr>
            <w:tcW w:w="1701" w:type="dxa"/>
            <w:tcBorders>
              <w:top w:val="single" w:sz="4" w:space="0" w:color="D9D9D9"/>
              <w:left w:val="single" w:sz="4" w:space="0" w:color="auto"/>
              <w:bottom w:val="single" w:sz="4" w:space="0" w:color="D9D9D9"/>
              <w:right w:val="single" w:sz="4" w:space="0" w:color="auto"/>
            </w:tcBorders>
            <w:shd w:val="clear" w:color="auto" w:fill="FFFF00"/>
          </w:tcPr>
          <w:p w14:paraId="18181393" w14:textId="77777777" w:rsidR="001D1285" w:rsidRPr="001D1285" w:rsidRDefault="001D1285" w:rsidP="001747A2">
            <w:pPr>
              <w:snapToGrid w:val="0"/>
              <w:spacing w:before="40" w:after="40" w:line="259" w:lineRule="auto"/>
              <w:jc w:val="center"/>
              <w:rPr>
                <w:rFonts w:ascii="Calibri" w:eastAsia="新細明體" w:hAnsi="Calibri" w:cs="Segoe UI"/>
                <w:sz w:val="17"/>
                <w:szCs w:val="17"/>
                <w:lang w:eastAsia="zh-TW"/>
              </w:rPr>
            </w:pPr>
            <w:r w:rsidRPr="001D1285">
              <w:rPr>
                <w:rFonts w:ascii="Calibri" w:eastAsia="新細明體" w:hAnsi="Calibri" w:cs="Segoe UI" w:hint="eastAsia"/>
                <w:sz w:val="17"/>
                <w:szCs w:val="17"/>
                <w:lang w:eastAsia="zh-HK"/>
              </w:rPr>
              <w:t>不適用</w:t>
            </w:r>
          </w:p>
        </w:tc>
      </w:tr>
      <w:tr w:rsidR="001D1285" w:rsidRPr="001D1285" w14:paraId="3A78BD65"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0060D7DB" w14:textId="3B5D7368"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5</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1E45AC53" w14:textId="1192E1F5"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新細明體" w:hAnsi="Calibri" w:cs="Segoe UI"/>
                <w:sz w:val="17"/>
                <w:szCs w:val="17"/>
                <w:lang w:eastAsia="zh-TW"/>
              </w:rPr>
              <w:t>根據認可機構</w:t>
            </w:r>
            <w:r w:rsidRPr="001D1285">
              <w:rPr>
                <w:rFonts w:ascii="Calibri" w:eastAsia="細明體" w:hAnsi="Calibri" w:cs="Segoe UI"/>
                <w:sz w:val="17"/>
                <w:szCs w:val="17"/>
                <w:lang w:eastAsia="zh-TW"/>
              </w:rPr>
              <w:t>的</w:t>
            </w:r>
            <w:r w:rsidRPr="001D1285">
              <w:rPr>
                <w:rFonts w:ascii="Calibri" w:eastAsia="新細明體" w:hAnsi="Calibri" w:cs="Segoe UI"/>
                <w:sz w:val="17"/>
                <w:szCs w:val="17"/>
                <w:lang w:eastAsia="zh-TW"/>
              </w:rPr>
              <w:t>適用會計</w:t>
            </w:r>
            <w:r w:rsidRPr="001D1285">
              <w:rPr>
                <w:rFonts w:ascii="Calibri" w:eastAsia="新細明體" w:hAnsi="Calibri" w:cs="Segoe UI" w:hint="eastAsia"/>
                <w:sz w:val="17"/>
                <w:szCs w:val="17"/>
                <w:lang w:eastAsia="zh-HK"/>
              </w:rPr>
              <w:t>準則</w:t>
            </w:r>
            <w:r w:rsidRPr="001D1285">
              <w:rPr>
                <w:rFonts w:ascii="Calibri" w:eastAsia="細明體" w:hAnsi="Calibri" w:cs="Segoe UI"/>
                <w:sz w:val="17"/>
                <w:szCs w:val="17"/>
                <w:lang w:eastAsia="zh-TW"/>
              </w:rPr>
              <w:t>於資產負債表內確認，但不包括在槓桿比率風險承擔計量值內的任何受信資產而須作的相關調整</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71F0B5BB"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588CE981"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4506AC46" w14:textId="77777777" w:rsidR="001D1285" w:rsidRPr="001D1285" w:rsidDel="00ED5656"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6</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2C0BD871" w14:textId="7DE25AF7" w:rsidR="001D1285" w:rsidRPr="001D1285" w:rsidRDefault="001D1285" w:rsidP="00C4753E">
            <w:pPr>
              <w:snapToGrid w:val="0"/>
              <w:spacing w:before="40" w:after="40" w:line="259" w:lineRule="auto"/>
              <w:rPr>
                <w:rFonts w:ascii="Calibri" w:eastAsia="新細明體" w:hAnsi="Calibri" w:cs="Segoe UI"/>
                <w:sz w:val="17"/>
                <w:szCs w:val="17"/>
                <w:lang w:eastAsia="zh-TW"/>
              </w:rPr>
            </w:pPr>
            <w:r w:rsidRPr="001D1285">
              <w:rPr>
                <w:rFonts w:ascii="Calibri" w:eastAsia="新細明體" w:hAnsi="Calibri" w:cs="Segoe UI" w:hint="eastAsia"/>
                <w:sz w:val="17"/>
                <w:szCs w:val="17"/>
                <w:lang w:eastAsia="zh-HK"/>
              </w:rPr>
              <w:t>有關</w:t>
            </w:r>
            <w:r w:rsidR="00C4753E">
              <w:rPr>
                <w:rFonts w:ascii="Calibri" w:eastAsia="新細明體" w:hAnsi="Calibri" w:cs="Segoe UI" w:hint="eastAsia"/>
                <w:sz w:val="17"/>
                <w:szCs w:val="17"/>
                <w:lang w:eastAsia="zh-HK"/>
              </w:rPr>
              <w:t>以</w:t>
            </w:r>
            <w:r w:rsidR="007F721C" w:rsidRPr="001D1285">
              <w:rPr>
                <w:rFonts w:ascii="Calibri" w:eastAsia="新細明體" w:hAnsi="Calibri" w:cs="Segoe UI" w:hint="eastAsia"/>
                <w:sz w:val="17"/>
                <w:szCs w:val="17"/>
                <w:lang w:eastAsia="zh-HK"/>
              </w:rPr>
              <w:t>交易日會計</w:t>
            </w:r>
            <w:r w:rsidR="00C4753E" w:rsidRPr="00C4753E">
              <w:rPr>
                <w:rFonts w:ascii="Calibri" w:eastAsia="新細明體" w:hAnsi="Calibri" w:cs="Segoe UI" w:hint="eastAsia"/>
                <w:sz w:val="17"/>
                <w:szCs w:val="17"/>
                <w:lang w:eastAsia="zh-HK"/>
              </w:rPr>
              <w:t>的、</w:t>
            </w:r>
            <w:r w:rsidRPr="001D1285">
              <w:rPr>
                <w:rFonts w:ascii="Calibri" w:eastAsia="新細明體" w:hAnsi="Calibri" w:cs="Segoe UI" w:hint="eastAsia"/>
                <w:sz w:val="17"/>
                <w:szCs w:val="17"/>
                <w:lang w:eastAsia="zh-HK"/>
              </w:rPr>
              <w:t>以</w:t>
            </w:r>
            <w:r w:rsidR="00300738">
              <w:rPr>
                <w:rFonts w:ascii="Calibri" w:eastAsia="新細明體" w:hAnsi="Calibri" w:cs="Segoe UI" w:hint="eastAsia"/>
                <w:sz w:val="17"/>
                <w:szCs w:val="17"/>
                <w:lang w:eastAsia="zh-HK"/>
              </w:rPr>
              <w:t>平</w:t>
            </w:r>
            <w:r w:rsidRPr="001D1285">
              <w:rPr>
                <w:rFonts w:ascii="Calibri" w:eastAsia="新細明體" w:hAnsi="Calibri" w:cs="Segoe UI" w:hint="eastAsia"/>
                <w:sz w:val="17"/>
                <w:szCs w:val="17"/>
                <w:lang w:eastAsia="zh-HK"/>
              </w:rPr>
              <w:t>常方式購買及出售金融資產的調整</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5D7B26D0"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001384A5" w14:textId="77777777" w:rsidTr="001D1285">
        <w:trPr>
          <w:cantSplit/>
          <w:trHeight w:val="349"/>
        </w:trPr>
        <w:tc>
          <w:tcPr>
            <w:tcW w:w="571" w:type="dxa"/>
            <w:tcBorders>
              <w:top w:val="single" w:sz="4" w:space="0" w:color="D9D9D9"/>
              <w:left w:val="nil"/>
              <w:bottom w:val="single" w:sz="4" w:space="0" w:color="D9D9D9"/>
              <w:right w:val="single" w:sz="4" w:space="0" w:color="auto"/>
            </w:tcBorders>
            <w:shd w:val="clear" w:color="auto" w:fill="auto"/>
          </w:tcPr>
          <w:p w14:paraId="30E6E1F1" w14:textId="6F3294DA"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7</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2476997E"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新細明體" w:hAnsi="Calibri" w:cs="Segoe UI"/>
                <w:sz w:val="17"/>
                <w:szCs w:val="17"/>
                <w:lang w:eastAsia="zh-TW"/>
              </w:rPr>
              <w:t>有關</w:t>
            </w:r>
            <w:r w:rsidRPr="001D1285">
              <w:rPr>
                <w:rFonts w:ascii="Calibri" w:eastAsia="新細明體" w:hAnsi="Calibri" w:cs="Segoe UI" w:hint="eastAsia"/>
                <w:sz w:val="17"/>
                <w:szCs w:val="17"/>
                <w:lang w:eastAsia="zh-HK"/>
              </w:rPr>
              <w:t>合資格的現金池交易</w:t>
            </w:r>
            <w:r w:rsidRPr="001D1285">
              <w:rPr>
                <w:rFonts w:ascii="Calibri" w:eastAsia="新細明體" w:hAnsi="Calibri" w:cs="Segoe UI"/>
                <w:sz w:val="17"/>
                <w:szCs w:val="17"/>
                <w:lang w:eastAsia="zh-TW"/>
              </w:rPr>
              <w:t>的調整</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74EB406D"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047AEF88"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07D468EA" w14:textId="0285546D"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8</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7AC98A9C"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新細明體" w:hAnsi="Calibri" w:cs="Segoe UI"/>
                <w:sz w:val="17"/>
                <w:szCs w:val="17"/>
                <w:lang w:eastAsia="zh-TW"/>
              </w:rPr>
              <w:t>有關</w:t>
            </w:r>
            <w:r w:rsidRPr="001D1285">
              <w:rPr>
                <w:rFonts w:ascii="Calibri" w:eastAsia="細明體" w:hAnsi="Calibri" w:cs="Segoe UI"/>
                <w:sz w:val="17"/>
                <w:szCs w:val="17"/>
                <w:lang w:eastAsia="zh-TW"/>
              </w:rPr>
              <w:t>衍生工具合約的調整</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20D7739C"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49753709"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7B43EF4C" w14:textId="50049C5C"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9</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78402DF8" w14:textId="5BEF4931"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細明體" w:hAnsi="Calibri" w:cs="Segoe UI"/>
                <w:sz w:val="17"/>
                <w:szCs w:val="17"/>
                <w:lang w:eastAsia="zh-TW"/>
              </w:rPr>
              <w:t>有關</w:t>
            </w:r>
            <w:r w:rsidRPr="001D1285">
              <w:rPr>
                <w:rFonts w:ascii="Calibri" w:eastAsia="細明體" w:hAnsi="Calibri" w:cs="Segoe UI" w:hint="eastAsia"/>
                <w:sz w:val="17"/>
                <w:szCs w:val="17"/>
                <w:lang w:eastAsia="zh-TW"/>
              </w:rPr>
              <w:t>SFT</w:t>
            </w:r>
            <w:r w:rsidRPr="001D1285">
              <w:rPr>
                <w:rFonts w:ascii="Calibri" w:eastAsia="細明體" w:hAnsi="Calibri" w:cs="Segoe UI"/>
                <w:sz w:val="17"/>
                <w:szCs w:val="17"/>
                <w:lang w:eastAsia="zh-TW"/>
              </w:rPr>
              <w:t>的調整</w:t>
            </w:r>
            <w:r w:rsidRPr="001D1285">
              <w:rPr>
                <w:rFonts w:ascii="Calibri" w:eastAsia="新細明體" w:hAnsi="Calibri" w:cs="Segoe UI"/>
                <w:sz w:val="17"/>
                <w:szCs w:val="22"/>
                <w:lang w:eastAsia="zh-TW"/>
              </w:rPr>
              <w:t>（</w:t>
            </w:r>
            <w:r w:rsidRPr="001D1285">
              <w:rPr>
                <w:rFonts w:ascii="Calibri" w:eastAsia="細明體" w:hAnsi="Calibri" w:cs="Segoe UI"/>
                <w:sz w:val="17"/>
                <w:szCs w:val="17"/>
                <w:lang w:eastAsia="zh-TW"/>
              </w:rPr>
              <w:t>即回購交易及其他類似的有抵押借貸</w:t>
            </w:r>
            <w:r w:rsidRPr="001D1285">
              <w:rPr>
                <w:rFonts w:ascii="Calibri" w:eastAsia="新細明體" w:hAnsi="Calibri" w:cs="Segoe UI"/>
                <w:sz w:val="17"/>
                <w:szCs w:val="22"/>
                <w:lang w:eastAsia="zh-TW"/>
              </w:rPr>
              <w:t>）</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51306A92"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6427EA9B"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30CD1F80" w14:textId="05D7D07E"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10</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483E3310"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r w:rsidRPr="001D1285">
              <w:rPr>
                <w:rFonts w:ascii="Calibri" w:eastAsia="新細明體" w:hAnsi="Calibri" w:cs="Segoe UI"/>
                <w:sz w:val="17"/>
                <w:szCs w:val="17"/>
                <w:lang w:eastAsia="zh-TW"/>
              </w:rPr>
              <w:t>有關</w:t>
            </w:r>
            <w:r w:rsidRPr="001D1285">
              <w:rPr>
                <w:rFonts w:ascii="Calibri" w:eastAsia="細明體" w:hAnsi="Calibri" w:cs="Segoe UI"/>
                <w:sz w:val="17"/>
                <w:szCs w:val="17"/>
                <w:lang w:eastAsia="zh-TW"/>
              </w:rPr>
              <w:t>資產負債表外項目</w:t>
            </w:r>
            <w:r w:rsidRPr="001D1285">
              <w:rPr>
                <w:rFonts w:ascii="Calibri" w:eastAsia="新細明體" w:hAnsi="Calibri" w:cs="Segoe UI"/>
                <w:sz w:val="17"/>
                <w:szCs w:val="17"/>
                <w:lang w:eastAsia="zh-TW"/>
              </w:rPr>
              <w:t>的</w:t>
            </w:r>
            <w:r w:rsidRPr="001D1285">
              <w:rPr>
                <w:rFonts w:ascii="Calibri" w:eastAsia="細明體" w:hAnsi="Calibri" w:cs="Segoe UI"/>
                <w:sz w:val="17"/>
                <w:szCs w:val="17"/>
                <w:lang w:eastAsia="zh-TW"/>
              </w:rPr>
              <w:t>調整</w:t>
            </w:r>
            <w:r w:rsidRPr="001D1285">
              <w:rPr>
                <w:rFonts w:ascii="Calibri" w:eastAsia="新細明體" w:hAnsi="Calibri" w:cs="Segoe UI"/>
                <w:sz w:val="17"/>
                <w:szCs w:val="22"/>
                <w:lang w:eastAsia="zh-TW"/>
              </w:rPr>
              <w:t>（</w:t>
            </w:r>
            <w:r w:rsidRPr="001D1285">
              <w:rPr>
                <w:rFonts w:ascii="Calibri" w:eastAsia="新細明體" w:hAnsi="Calibri" w:cs="Segoe UI"/>
                <w:sz w:val="17"/>
                <w:szCs w:val="17"/>
                <w:lang w:eastAsia="zh-TW"/>
              </w:rPr>
              <w:t>即</w:t>
            </w:r>
            <w:r w:rsidRPr="001D1285">
              <w:rPr>
                <w:rFonts w:ascii="Calibri" w:eastAsia="細明體" w:hAnsi="Calibri" w:cs="Segoe UI"/>
                <w:sz w:val="17"/>
                <w:szCs w:val="17"/>
                <w:lang w:eastAsia="zh-TW"/>
              </w:rPr>
              <w:t>資產負債表外風險承擔轉</w:t>
            </w:r>
            <w:r w:rsidRPr="001D1285">
              <w:rPr>
                <w:rFonts w:ascii="Calibri" w:eastAsia="新細明體" w:hAnsi="Calibri" w:cs="Segoe UI"/>
                <w:sz w:val="17"/>
                <w:szCs w:val="17"/>
                <w:lang w:eastAsia="zh-TW"/>
              </w:rPr>
              <w:t>換為</w:t>
            </w:r>
            <w:r w:rsidRPr="001D1285">
              <w:rPr>
                <w:rFonts w:ascii="Calibri" w:eastAsia="細明體" w:hAnsi="Calibri" w:cs="Segoe UI"/>
                <w:sz w:val="17"/>
                <w:szCs w:val="17"/>
                <w:lang w:eastAsia="zh-TW"/>
              </w:rPr>
              <w:t>信貸等值數額</w:t>
            </w:r>
            <w:r w:rsidRPr="001D1285">
              <w:rPr>
                <w:rFonts w:ascii="Calibri" w:eastAsia="新細明體" w:hAnsi="Calibri" w:cs="Segoe UI"/>
                <w:sz w:val="17"/>
                <w:szCs w:val="22"/>
                <w:lang w:eastAsia="zh-TW"/>
              </w:rPr>
              <w:t>）</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1539C42F"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090EE1B4" w14:textId="77777777" w:rsidTr="001D1285">
        <w:trPr>
          <w:cantSplit/>
        </w:trPr>
        <w:tc>
          <w:tcPr>
            <w:tcW w:w="571" w:type="dxa"/>
            <w:tcBorders>
              <w:top w:val="single" w:sz="4" w:space="0" w:color="D9D9D9"/>
              <w:left w:val="nil"/>
              <w:bottom w:val="single" w:sz="4" w:space="0" w:color="D9D9D9"/>
              <w:right w:val="single" w:sz="4" w:space="0" w:color="auto"/>
            </w:tcBorders>
            <w:shd w:val="clear" w:color="auto" w:fill="auto"/>
          </w:tcPr>
          <w:p w14:paraId="6A602A9A" w14:textId="434ABBEB" w:rsidR="001D1285" w:rsidRPr="001D1285" w:rsidRDefault="001D1285" w:rsidP="001D1285">
            <w:pPr>
              <w:snapToGrid w:val="0"/>
              <w:spacing w:before="40" w:after="40" w:line="259" w:lineRule="auto"/>
              <w:rPr>
                <w:rFonts w:ascii="Calibri" w:eastAsia="新細明體" w:hAnsi="Calibri" w:cs="Segoe UI"/>
                <w:sz w:val="17"/>
                <w:szCs w:val="22"/>
                <w:lang w:eastAsia="zh-TW"/>
              </w:rPr>
            </w:pPr>
            <w:r w:rsidRPr="001D1285">
              <w:rPr>
                <w:rFonts w:ascii="Calibri" w:eastAsia="新細明體" w:hAnsi="Calibri" w:cs="Segoe UI" w:hint="eastAsia"/>
                <w:sz w:val="17"/>
                <w:szCs w:val="22"/>
                <w:lang w:eastAsia="zh-TW"/>
              </w:rPr>
              <w:t>11</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064F3E2D" w14:textId="252EA4E5" w:rsidR="001D1285" w:rsidRPr="001D1285" w:rsidRDefault="001D1285" w:rsidP="00130127">
            <w:pPr>
              <w:snapToGrid w:val="0"/>
              <w:spacing w:before="40" w:after="40" w:line="259" w:lineRule="auto"/>
              <w:rPr>
                <w:rFonts w:ascii="Calibri" w:eastAsia="新細明體" w:hAnsi="Calibri" w:cs="Segoe UI"/>
                <w:sz w:val="17"/>
                <w:szCs w:val="17"/>
                <w:lang w:eastAsia="zh-TW"/>
              </w:rPr>
            </w:pPr>
            <w:r w:rsidRPr="001D1285">
              <w:rPr>
                <w:rFonts w:ascii="Calibri" w:eastAsia="細明體" w:hAnsi="Calibri" w:cs="Segoe UI"/>
                <w:sz w:val="17"/>
                <w:szCs w:val="17"/>
                <w:lang w:eastAsia="zh-TW"/>
              </w:rPr>
              <w:t>可從</w:t>
            </w:r>
            <w:r w:rsidRPr="001D1285">
              <w:rPr>
                <w:rFonts w:ascii="Calibri" w:eastAsia="細明體" w:hAnsi="Calibri" w:cs="Segoe UI" w:hint="eastAsia"/>
                <w:sz w:val="17"/>
                <w:szCs w:val="17"/>
                <w:lang w:eastAsia="zh-HK"/>
              </w:rPr>
              <w:t>槓桿比率</w:t>
            </w:r>
            <w:r w:rsidRPr="001D1285">
              <w:rPr>
                <w:rFonts w:ascii="Calibri" w:eastAsia="細明體" w:hAnsi="Calibri" w:cs="Segoe UI"/>
                <w:sz w:val="17"/>
                <w:szCs w:val="17"/>
                <w:lang w:eastAsia="zh-TW"/>
              </w:rPr>
              <w:t>風險承擔</w:t>
            </w:r>
            <w:proofErr w:type="gramStart"/>
            <w:r w:rsidRPr="001D1285">
              <w:rPr>
                <w:rFonts w:ascii="Calibri" w:eastAsia="細明體" w:hAnsi="Calibri" w:cs="Segoe UI"/>
                <w:sz w:val="17"/>
                <w:szCs w:val="17"/>
                <w:lang w:eastAsia="zh-TW"/>
              </w:rPr>
              <w:t>計量豁除的</w:t>
            </w:r>
            <w:proofErr w:type="gramEnd"/>
            <w:r w:rsidRPr="001D1285">
              <w:rPr>
                <w:rFonts w:ascii="Calibri" w:eastAsia="細明體" w:hAnsi="Calibri" w:cs="Segoe UI" w:hint="eastAsia"/>
                <w:sz w:val="17"/>
                <w:szCs w:val="17"/>
                <w:lang w:eastAsia="zh-HK"/>
              </w:rPr>
              <w:t>審</w:t>
            </w:r>
            <w:r w:rsidRPr="001D1285">
              <w:rPr>
                <w:rFonts w:ascii="Calibri" w:eastAsia="細明體" w:hAnsi="Calibri" w:cs="Segoe UI" w:hint="eastAsia"/>
                <w:sz w:val="17"/>
                <w:szCs w:val="17"/>
                <w:lang w:eastAsia="zh-TW"/>
              </w:rPr>
              <w:t>慎</w:t>
            </w:r>
            <w:r w:rsidRPr="001D1285">
              <w:rPr>
                <w:rFonts w:ascii="Calibri" w:eastAsia="細明體" w:hAnsi="Calibri" w:cs="Segoe UI" w:hint="eastAsia"/>
                <w:sz w:val="17"/>
                <w:szCs w:val="17"/>
                <w:lang w:eastAsia="zh-HK"/>
              </w:rPr>
              <w:t>估值調整及</w:t>
            </w:r>
            <w:r w:rsidR="00130127" w:rsidRPr="001D1285">
              <w:rPr>
                <w:rFonts w:ascii="Calibri" w:eastAsia="細明體" w:hAnsi="Calibri" w:cs="Segoe UI"/>
                <w:sz w:val="17"/>
                <w:szCs w:val="17"/>
                <w:lang w:eastAsia="zh-TW"/>
              </w:rPr>
              <w:t>特定</w:t>
            </w:r>
            <w:r w:rsidRPr="001D1285">
              <w:rPr>
                <w:rFonts w:ascii="Calibri" w:eastAsia="細明體" w:hAnsi="Calibri" w:cs="Segoe UI"/>
                <w:sz w:val="17"/>
                <w:szCs w:val="17"/>
                <w:lang w:eastAsia="zh-TW"/>
              </w:rPr>
              <w:t>準備金及</w:t>
            </w:r>
            <w:r w:rsidR="00130127" w:rsidRPr="001D1285">
              <w:rPr>
                <w:rFonts w:ascii="Calibri" w:eastAsia="細明體" w:hAnsi="Calibri" w:cs="Segoe UI"/>
                <w:sz w:val="17"/>
                <w:szCs w:val="17"/>
                <w:lang w:eastAsia="zh-TW"/>
              </w:rPr>
              <w:t>集體</w:t>
            </w:r>
            <w:r w:rsidRPr="001D1285">
              <w:rPr>
                <w:rFonts w:ascii="Calibri" w:eastAsia="細明體" w:hAnsi="Calibri" w:cs="Segoe UI"/>
                <w:sz w:val="17"/>
                <w:szCs w:val="17"/>
                <w:lang w:eastAsia="zh-TW"/>
              </w:rPr>
              <w:t>準備金</w:t>
            </w:r>
            <w:r w:rsidRPr="001D1285">
              <w:rPr>
                <w:rFonts w:ascii="Calibri" w:eastAsia="新細明體" w:hAnsi="Calibri" w:cs="Segoe UI"/>
                <w:sz w:val="17"/>
                <w:szCs w:val="17"/>
                <w:lang w:eastAsia="zh-TW"/>
              </w:rPr>
              <w:t>的</w:t>
            </w:r>
            <w:r w:rsidRPr="001D1285">
              <w:rPr>
                <w:rFonts w:ascii="Calibri" w:eastAsia="細明體" w:hAnsi="Calibri" w:cs="Segoe UI"/>
                <w:sz w:val="17"/>
                <w:szCs w:val="17"/>
                <w:lang w:eastAsia="zh-TW"/>
              </w:rPr>
              <w:t>調整</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2910EADD"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1D1285" w:rsidRPr="001D1285" w14:paraId="6F5F2087" w14:textId="77777777" w:rsidTr="00034CB4">
        <w:trPr>
          <w:cantSplit/>
        </w:trPr>
        <w:tc>
          <w:tcPr>
            <w:tcW w:w="571" w:type="dxa"/>
            <w:tcBorders>
              <w:top w:val="single" w:sz="4" w:space="0" w:color="D9D9D9"/>
              <w:left w:val="nil"/>
              <w:bottom w:val="single" w:sz="4" w:space="0" w:color="D9D9D9"/>
              <w:right w:val="single" w:sz="4" w:space="0" w:color="auto"/>
            </w:tcBorders>
            <w:shd w:val="clear" w:color="auto" w:fill="auto"/>
          </w:tcPr>
          <w:p w14:paraId="1AF55976" w14:textId="0978A58F" w:rsidR="001D1285" w:rsidRPr="001D1285" w:rsidRDefault="001D1285" w:rsidP="001D1285">
            <w:pPr>
              <w:snapToGrid w:val="0"/>
              <w:spacing w:before="40" w:after="40" w:line="259" w:lineRule="auto"/>
              <w:rPr>
                <w:rFonts w:ascii="Calibri" w:eastAsia="新細明體" w:hAnsi="Calibri" w:cs="Segoe UI"/>
                <w:sz w:val="17"/>
                <w:szCs w:val="22"/>
                <w:lang w:eastAsia="en-GB"/>
              </w:rPr>
            </w:pPr>
            <w:r w:rsidRPr="001D1285">
              <w:rPr>
                <w:rFonts w:ascii="Calibri" w:eastAsia="新細明體" w:hAnsi="Calibri" w:cs="Segoe UI" w:hint="eastAsia"/>
                <w:sz w:val="17"/>
                <w:szCs w:val="22"/>
                <w:lang w:eastAsia="zh-TW"/>
              </w:rPr>
              <w:t>12</w:t>
            </w:r>
          </w:p>
        </w:tc>
        <w:tc>
          <w:tcPr>
            <w:tcW w:w="6942" w:type="dxa"/>
            <w:tcBorders>
              <w:top w:val="single" w:sz="4" w:space="0" w:color="D9D9D9"/>
              <w:left w:val="single" w:sz="4" w:space="0" w:color="auto"/>
              <w:bottom w:val="single" w:sz="4" w:space="0" w:color="D9D9D9"/>
              <w:right w:val="single" w:sz="4" w:space="0" w:color="auto"/>
            </w:tcBorders>
            <w:shd w:val="clear" w:color="auto" w:fill="auto"/>
          </w:tcPr>
          <w:p w14:paraId="5175B7A4" w14:textId="77777777" w:rsidR="001D1285" w:rsidRPr="001D1285" w:rsidRDefault="001D1285" w:rsidP="001D1285">
            <w:pPr>
              <w:snapToGrid w:val="0"/>
              <w:spacing w:before="40" w:after="40" w:line="259" w:lineRule="auto"/>
              <w:rPr>
                <w:rFonts w:ascii="Calibri" w:eastAsia="新細明體" w:hAnsi="Calibri" w:cs="Segoe UI"/>
                <w:sz w:val="17"/>
                <w:szCs w:val="17"/>
                <w:lang w:eastAsia="en-GB"/>
              </w:rPr>
            </w:pPr>
            <w:r w:rsidRPr="001D1285">
              <w:rPr>
                <w:rFonts w:ascii="Calibri" w:eastAsia="新細明體" w:hAnsi="Calibri" w:cs="Segoe UI"/>
                <w:sz w:val="17"/>
                <w:szCs w:val="17"/>
                <w:lang w:eastAsia="zh-TW"/>
              </w:rPr>
              <w:t>其他</w:t>
            </w:r>
            <w:r w:rsidRPr="001D1285">
              <w:rPr>
                <w:rFonts w:ascii="Calibri" w:eastAsia="細明體" w:hAnsi="Calibri" w:cs="Segoe UI"/>
                <w:sz w:val="17"/>
                <w:szCs w:val="17"/>
                <w:lang w:eastAsia="zh-TW"/>
              </w:rPr>
              <w:t>調整</w:t>
            </w:r>
          </w:p>
        </w:tc>
        <w:tc>
          <w:tcPr>
            <w:tcW w:w="1701" w:type="dxa"/>
            <w:tcBorders>
              <w:top w:val="single" w:sz="4" w:space="0" w:color="D9D9D9"/>
              <w:left w:val="single" w:sz="4" w:space="0" w:color="auto"/>
              <w:bottom w:val="single" w:sz="4" w:space="0" w:color="D9D9D9"/>
              <w:right w:val="single" w:sz="4" w:space="0" w:color="auto"/>
            </w:tcBorders>
            <w:shd w:val="clear" w:color="auto" w:fill="auto"/>
          </w:tcPr>
          <w:p w14:paraId="2C12FC20" w14:textId="77777777" w:rsidR="001D1285" w:rsidRPr="001D1285" w:rsidRDefault="001D1285" w:rsidP="001D1285">
            <w:pPr>
              <w:snapToGrid w:val="0"/>
              <w:spacing w:before="40" w:after="40" w:line="259" w:lineRule="auto"/>
              <w:rPr>
                <w:rFonts w:ascii="Calibri" w:eastAsia="新細明體" w:hAnsi="Calibri" w:cs="Segoe UI"/>
                <w:sz w:val="17"/>
                <w:szCs w:val="17"/>
                <w:lang w:eastAsia="en-GB"/>
              </w:rPr>
            </w:pPr>
          </w:p>
        </w:tc>
      </w:tr>
      <w:tr w:rsidR="001D1285" w:rsidRPr="001D1285" w14:paraId="1254709C" w14:textId="77777777" w:rsidTr="00034CB4">
        <w:trPr>
          <w:cantSplit/>
        </w:trPr>
        <w:tc>
          <w:tcPr>
            <w:tcW w:w="571" w:type="dxa"/>
            <w:tcBorders>
              <w:top w:val="single" w:sz="4" w:space="0" w:color="D9D9D9"/>
              <w:left w:val="nil"/>
              <w:bottom w:val="single" w:sz="4" w:space="0" w:color="auto"/>
              <w:right w:val="single" w:sz="4" w:space="0" w:color="auto"/>
            </w:tcBorders>
            <w:shd w:val="clear" w:color="auto" w:fill="auto"/>
          </w:tcPr>
          <w:p w14:paraId="2F6FD122" w14:textId="7474138C" w:rsidR="001D1285" w:rsidRPr="001D1285" w:rsidRDefault="001D1285" w:rsidP="001D1285">
            <w:pPr>
              <w:snapToGrid w:val="0"/>
              <w:spacing w:before="40" w:after="40" w:line="259" w:lineRule="auto"/>
              <w:rPr>
                <w:rFonts w:ascii="Calibri" w:eastAsia="新細明體" w:hAnsi="Calibri" w:cs="Segoe UI"/>
                <w:b/>
                <w:sz w:val="17"/>
                <w:szCs w:val="22"/>
                <w:lang w:eastAsia="en-GB"/>
              </w:rPr>
            </w:pPr>
            <w:r w:rsidRPr="001D1285">
              <w:rPr>
                <w:rFonts w:ascii="Calibri" w:eastAsia="新細明體" w:hAnsi="Calibri" w:cs="Segoe UI" w:hint="eastAsia"/>
                <w:b/>
                <w:sz w:val="17"/>
                <w:szCs w:val="22"/>
                <w:lang w:eastAsia="zh-TW"/>
              </w:rPr>
              <w:t>13</w:t>
            </w:r>
          </w:p>
        </w:tc>
        <w:tc>
          <w:tcPr>
            <w:tcW w:w="6942" w:type="dxa"/>
            <w:tcBorders>
              <w:top w:val="single" w:sz="4" w:space="0" w:color="D9D9D9"/>
              <w:left w:val="single" w:sz="4" w:space="0" w:color="auto"/>
              <w:bottom w:val="single" w:sz="4" w:space="0" w:color="auto"/>
              <w:right w:val="single" w:sz="4" w:space="0" w:color="auto"/>
            </w:tcBorders>
            <w:shd w:val="clear" w:color="auto" w:fill="auto"/>
          </w:tcPr>
          <w:p w14:paraId="6FB6C304" w14:textId="77777777" w:rsidR="001D1285" w:rsidRPr="001D1285" w:rsidRDefault="001D1285" w:rsidP="001D1285">
            <w:pPr>
              <w:snapToGrid w:val="0"/>
              <w:spacing w:before="40" w:after="40" w:line="259" w:lineRule="auto"/>
              <w:rPr>
                <w:rFonts w:ascii="Calibri" w:eastAsia="新細明體" w:hAnsi="Calibri" w:cs="Segoe UI"/>
                <w:b/>
                <w:sz w:val="17"/>
                <w:szCs w:val="17"/>
                <w:lang w:eastAsia="zh-TW"/>
              </w:rPr>
            </w:pPr>
            <w:r w:rsidRPr="001D1285">
              <w:rPr>
                <w:rFonts w:ascii="Calibri" w:eastAsia="新細明體" w:hAnsi="Calibri" w:cs="Segoe UI"/>
                <w:b/>
                <w:sz w:val="17"/>
                <w:szCs w:val="17"/>
                <w:lang w:eastAsia="zh-TW"/>
              </w:rPr>
              <w:t>槓桿比率</w:t>
            </w:r>
            <w:r w:rsidRPr="001D1285">
              <w:rPr>
                <w:rFonts w:ascii="Calibri" w:eastAsia="細明體" w:hAnsi="Calibri" w:cs="Segoe UI"/>
                <w:b/>
                <w:sz w:val="17"/>
                <w:szCs w:val="17"/>
                <w:lang w:eastAsia="zh-TW"/>
              </w:rPr>
              <w:t>風險承擔計量</w:t>
            </w:r>
          </w:p>
        </w:tc>
        <w:tc>
          <w:tcPr>
            <w:tcW w:w="1701" w:type="dxa"/>
            <w:tcBorders>
              <w:top w:val="single" w:sz="4" w:space="0" w:color="D9D9D9"/>
              <w:left w:val="single" w:sz="4" w:space="0" w:color="auto"/>
              <w:bottom w:val="single" w:sz="4" w:space="0" w:color="auto"/>
              <w:right w:val="single" w:sz="4" w:space="0" w:color="auto"/>
            </w:tcBorders>
            <w:shd w:val="clear" w:color="auto" w:fill="auto"/>
          </w:tcPr>
          <w:p w14:paraId="51645D19" w14:textId="77777777" w:rsidR="001D1285" w:rsidRPr="001D1285" w:rsidRDefault="001D1285" w:rsidP="001D1285">
            <w:pPr>
              <w:snapToGrid w:val="0"/>
              <w:spacing w:before="40" w:after="40" w:line="259" w:lineRule="auto"/>
              <w:rPr>
                <w:rFonts w:ascii="Calibri" w:eastAsia="新細明體" w:hAnsi="Calibri" w:cs="Segoe UI"/>
                <w:sz w:val="17"/>
                <w:szCs w:val="17"/>
                <w:lang w:eastAsia="zh-TW"/>
              </w:rPr>
            </w:pPr>
          </w:p>
        </w:tc>
      </w:tr>
      <w:tr w:rsidR="002D26B5" w:rsidRPr="001D1285" w14:paraId="701F4C07" w14:textId="77777777" w:rsidTr="006034FE">
        <w:trPr>
          <w:cantSplit/>
        </w:trPr>
        <w:tc>
          <w:tcPr>
            <w:tcW w:w="9214" w:type="dxa"/>
            <w:gridSpan w:val="3"/>
            <w:tcBorders>
              <w:top w:val="single" w:sz="4" w:space="0" w:color="auto"/>
              <w:left w:val="nil"/>
              <w:bottom w:val="single" w:sz="4" w:space="0" w:color="auto"/>
              <w:right w:val="single" w:sz="4" w:space="0" w:color="auto"/>
            </w:tcBorders>
            <w:shd w:val="clear" w:color="auto" w:fill="auto"/>
          </w:tcPr>
          <w:p w14:paraId="62429972" w14:textId="77777777" w:rsidR="002D26B5" w:rsidRPr="001D1285" w:rsidRDefault="002D26B5" w:rsidP="002D26B5">
            <w:pPr>
              <w:snapToGrid w:val="0"/>
              <w:spacing w:before="40" w:after="40" w:line="259" w:lineRule="auto"/>
              <w:rPr>
                <w:rFonts w:ascii="Calibri" w:eastAsia="新細明體" w:hAnsi="Calibri" w:cs="Segoe UI"/>
                <w:i/>
                <w:sz w:val="17"/>
                <w:szCs w:val="17"/>
                <w:lang w:eastAsia="zh-TW"/>
              </w:rPr>
            </w:pPr>
            <w:r w:rsidRPr="001D1285">
              <w:rPr>
                <w:rFonts w:ascii="Calibri" w:eastAsia="新細明體" w:hAnsi="Calibri" w:cs="Segoe UI" w:hint="eastAsia"/>
                <w:i/>
                <w:sz w:val="17"/>
                <w:szCs w:val="17"/>
                <w:lang w:eastAsia="zh-HK"/>
              </w:rPr>
              <w:t>注意事項</w:t>
            </w:r>
            <w:r w:rsidRPr="001D1285">
              <w:rPr>
                <w:rFonts w:ascii="Calibri" w:eastAsia="新細明體" w:hAnsi="Calibri" w:cs="Segoe UI" w:hint="eastAsia"/>
                <w:i/>
                <w:sz w:val="17"/>
                <w:szCs w:val="17"/>
                <w:lang w:eastAsia="zh-TW"/>
              </w:rPr>
              <w:t>：</w:t>
            </w:r>
          </w:p>
          <w:p w14:paraId="133B9712" w14:textId="300589A6" w:rsidR="002D26B5" w:rsidRPr="00D44DB9" w:rsidRDefault="002D26B5" w:rsidP="002D26B5">
            <w:pPr>
              <w:snapToGrid w:val="0"/>
              <w:spacing w:before="40" w:after="40" w:line="259" w:lineRule="auto"/>
              <w:rPr>
                <w:rFonts w:ascii="Calibri" w:eastAsia="新細明體" w:hAnsi="Calibri" w:cs="Segoe UI"/>
                <w:iCs/>
                <w:sz w:val="17"/>
                <w:szCs w:val="17"/>
                <w:lang w:eastAsia="zh-HK"/>
              </w:rPr>
            </w:pPr>
            <w:r w:rsidRPr="00D44DB9">
              <w:rPr>
                <w:rFonts w:ascii="Calibri" w:eastAsia="新細明體" w:hAnsi="Calibri" w:cs="Segoe UI"/>
                <w:iCs/>
                <w:sz w:val="17"/>
                <w:szCs w:val="17"/>
                <w:lang w:eastAsia="zh-TW"/>
              </w:rPr>
              <w:t>(</w:t>
            </w:r>
            <w:proofErr w:type="spellStart"/>
            <w:r w:rsidRPr="00D44DB9">
              <w:rPr>
                <w:rFonts w:ascii="Calibri" w:eastAsia="新細明體" w:hAnsi="Calibri" w:cs="Segoe UI"/>
                <w:iCs/>
                <w:sz w:val="17"/>
                <w:szCs w:val="17"/>
                <w:lang w:eastAsia="zh-TW"/>
              </w:rPr>
              <w:t>i</w:t>
            </w:r>
            <w:proofErr w:type="spellEnd"/>
            <w:r w:rsidRPr="00D44DB9">
              <w:rPr>
                <w:rFonts w:ascii="Calibri" w:eastAsia="新細明體" w:hAnsi="Calibri" w:cs="Segoe UI"/>
                <w:iCs/>
                <w:sz w:val="17"/>
                <w:szCs w:val="17"/>
                <w:lang w:eastAsia="zh-TW"/>
              </w:rPr>
              <w:t>)</w:t>
            </w:r>
            <w:r w:rsidRPr="00D44DB9">
              <w:rPr>
                <w:rFonts w:ascii="Calibri" w:eastAsia="新細明體" w:hAnsi="Calibri" w:cs="Segoe UI" w:hint="eastAsia"/>
                <w:iCs/>
                <w:sz w:val="17"/>
                <w:szCs w:val="17"/>
                <w:lang w:eastAsia="zh-TW"/>
              </w:rPr>
              <w:t xml:space="preserve">　</w:t>
            </w:r>
            <w:r w:rsidRPr="00D44DB9">
              <w:rPr>
                <w:rFonts w:ascii="Calibri" w:eastAsia="新細明體" w:hAnsi="Calibri" w:cs="Segoe UI"/>
                <w:iCs/>
                <w:sz w:val="17"/>
                <w:szCs w:val="17"/>
                <w:lang w:eastAsia="zh-TW"/>
              </w:rPr>
              <w:t xml:space="preserve"> </w:t>
            </w:r>
            <w:r w:rsidRPr="00D44DB9">
              <w:rPr>
                <w:rFonts w:ascii="Calibri" w:eastAsia="新細明體" w:hAnsi="Calibri" w:cs="Segoe UI"/>
                <w:iCs/>
                <w:sz w:val="17"/>
                <w:szCs w:val="17"/>
                <w:lang w:eastAsia="zh-TW"/>
              </w:rPr>
              <w:t>黃色陰影的行代表有關項目不適用於香港</w:t>
            </w:r>
            <w:r w:rsidRPr="00D44DB9">
              <w:rPr>
                <w:rFonts w:ascii="Calibri" w:eastAsia="新細明體" w:hAnsi="Calibri" w:cs="Segoe UI" w:hint="eastAsia"/>
                <w:iCs/>
                <w:sz w:val="17"/>
                <w:szCs w:val="17"/>
                <w:lang w:eastAsia="zh-TW"/>
              </w:rPr>
              <w:t>。</w:t>
            </w:r>
          </w:p>
        </w:tc>
      </w:tr>
    </w:tbl>
    <w:p w14:paraId="1F1A2E70" w14:textId="5935FD29" w:rsidR="001D1285" w:rsidRPr="001D1285" w:rsidRDefault="001D1285" w:rsidP="002D26B5">
      <w:pPr>
        <w:spacing w:before="120" w:after="120" w:line="259" w:lineRule="auto"/>
        <w:rPr>
          <w:rFonts w:ascii="Calibri" w:eastAsia="新細明體" w:hAnsi="Calibri" w:cs="Segoe UI"/>
          <w:sz w:val="22"/>
          <w:szCs w:val="22"/>
          <w:lang w:eastAsia="zh-TW"/>
        </w:rPr>
      </w:pPr>
    </w:p>
    <w:tbl>
      <w:tblPr>
        <w:tblStyle w:val="TableGrid71"/>
        <w:tblW w:w="9214" w:type="dxa"/>
        <w:tblInd w:w="-459" w:type="dxa"/>
        <w:tblLook w:val="04A0" w:firstRow="1" w:lastRow="0" w:firstColumn="1" w:lastColumn="0" w:noHBand="0" w:noVBand="1"/>
      </w:tblPr>
      <w:tblGrid>
        <w:gridCol w:w="567"/>
        <w:gridCol w:w="8647"/>
      </w:tblGrid>
      <w:tr w:rsidR="001D1285" w:rsidRPr="001D1285" w14:paraId="687B727E" w14:textId="77777777" w:rsidTr="001D1285">
        <w:trPr>
          <w:tblHeader/>
        </w:trPr>
        <w:tc>
          <w:tcPr>
            <w:tcW w:w="9214" w:type="dxa"/>
            <w:gridSpan w:val="2"/>
            <w:shd w:val="clear" w:color="auto" w:fill="BFBFBF"/>
          </w:tcPr>
          <w:p w14:paraId="4A743E00" w14:textId="77777777" w:rsidR="001D1285" w:rsidRPr="001D1285" w:rsidRDefault="001D1285" w:rsidP="001D1285">
            <w:pPr>
              <w:spacing w:before="40" w:after="40"/>
              <w:jc w:val="both"/>
              <w:rPr>
                <w:rFonts w:ascii="Calibri" w:eastAsia="新細明體" w:hAnsi="Calibri" w:cs="Segoe UI"/>
                <w:b/>
                <w:kern w:val="2"/>
                <w:sz w:val="17"/>
                <w:szCs w:val="17"/>
                <w:lang w:val="en-US" w:eastAsia="en-GB"/>
              </w:rPr>
            </w:pPr>
            <w:r w:rsidRPr="001D1285">
              <w:rPr>
                <w:rFonts w:ascii="Calibri" w:eastAsia="新細明體" w:hAnsi="Calibri" w:cs="Segoe UI"/>
                <w:b/>
                <w:kern w:val="2"/>
                <w:sz w:val="17"/>
                <w:szCs w:val="17"/>
                <w:lang w:val="en-US" w:eastAsia="zh-TW"/>
              </w:rPr>
              <w:t>備註</w:t>
            </w:r>
          </w:p>
        </w:tc>
      </w:tr>
      <w:tr w:rsidR="001D1285" w:rsidRPr="001D1285" w14:paraId="6B5A8675" w14:textId="77777777" w:rsidTr="001D1285">
        <w:trPr>
          <w:trHeight w:val="373"/>
        </w:trPr>
        <w:tc>
          <w:tcPr>
            <w:tcW w:w="9214" w:type="dxa"/>
            <w:gridSpan w:val="2"/>
            <w:shd w:val="clear" w:color="auto" w:fill="F2F2F2"/>
          </w:tcPr>
          <w:p w14:paraId="62E44C93" w14:textId="77777777" w:rsidR="001D1285" w:rsidRPr="001D1285" w:rsidRDefault="001D1285" w:rsidP="001D1285">
            <w:pPr>
              <w:spacing w:before="40" w:after="40"/>
              <w:jc w:val="both"/>
              <w:rPr>
                <w:rFonts w:ascii="Calibri" w:eastAsia="新細明體" w:hAnsi="Calibri" w:cs="Segoe UI"/>
                <w:i/>
                <w:kern w:val="2"/>
                <w:sz w:val="17"/>
                <w:szCs w:val="17"/>
                <w:lang w:val="en-US" w:eastAsia="zh-TW"/>
              </w:rPr>
            </w:pPr>
            <w:r w:rsidRPr="001D1285">
              <w:rPr>
                <w:rFonts w:ascii="Calibri" w:eastAsia="新細明體" w:hAnsi="Calibri" w:cs="Segoe UI"/>
                <w:b/>
                <w:kern w:val="2"/>
                <w:sz w:val="17"/>
                <w:szCs w:val="17"/>
                <w:lang w:val="en-US" w:eastAsia="zh-TW"/>
              </w:rPr>
              <w:t>行</w:t>
            </w:r>
          </w:p>
        </w:tc>
      </w:tr>
      <w:tr w:rsidR="001D1285" w:rsidRPr="001D1285" w14:paraId="5891869F" w14:textId="77777777" w:rsidTr="001D1285">
        <w:trPr>
          <w:trHeight w:val="373"/>
        </w:trPr>
        <w:tc>
          <w:tcPr>
            <w:tcW w:w="567" w:type="dxa"/>
          </w:tcPr>
          <w:p w14:paraId="0AE5154B" w14:textId="7777777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kern w:val="2"/>
                <w:sz w:val="17"/>
                <w:szCs w:val="17"/>
                <w:lang w:val="en-US" w:eastAsia="en-GB"/>
              </w:rPr>
              <w:t>1</w:t>
            </w:r>
          </w:p>
        </w:tc>
        <w:tc>
          <w:tcPr>
            <w:tcW w:w="8647" w:type="dxa"/>
          </w:tcPr>
          <w:p w14:paraId="116E892F" w14:textId="77777777"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認可機構在已發布的財務報表所載的綜合資產總額。</w:t>
            </w:r>
          </w:p>
        </w:tc>
      </w:tr>
      <w:tr w:rsidR="001D1285" w:rsidRPr="001D1285" w14:paraId="503ACDAB" w14:textId="77777777" w:rsidTr="001D1285">
        <w:trPr>
          <w:trHeight w:val="373"/>
        </w:trPr>
        <w:tc>
          <w:tcPr>
            <w:tcW w:w="567" w:type="dxa"/>
          </w:tcPr>
          <w:p w14:paraId="61E66497" w14:textId="7777777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kern w:val="2"/>
                <w:sz w:val="17"/>
                <w:szCs w:val="17"/>
                <w:lang w:val="en-US" w:eastAsia="en-GB"/>
              </w:rPr>
              <w:t>2</w:t>
            </w:r>
          </w:p>
        </w:tc>
        <w:tc>
          <w:tcPr>
            <w:tcW w:w="8647" w:type="dxa"/>
          </w:tcPr>
          <w:p w14:paraId="5EADE519" w14:textId="241ECF55"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就《資本規則》第</w:t>
            </w:r>
            <w:r w:rsidRPr="001D1285">
              <w:rPr>
                <w:rFonts w:ascii="Calibri" w:eastAsia="細明體" w:hAnsi="Calibri" w:cs="Segoe UI"/>
                <w:kern w:val="2"/>
                <w:sz w:val="17"/>
                <w:szCs w:val="17"/>
                <w:lang w:val="en-US" w:eastAsia="zh-TW"/>
              </w:rPr>
              <w:t>35</w:t>
            </w:r>
            <w:r w:rsidRPr="001D1285">
              <w:rPr>
                <w:rFonts w:ascii="Calibri" w:eastAsia="細明體" w:hAnsi="Calibri" w:cs="Segoe UI"/>
                <w:kern w:val="2"/>
                <w:sz w:val="17"/>
                <w:szCs w:val="17"/>
                <w:lang w:val="en-US" w:eastAsia="zh-TW"/>
              </w:rPr>
              <w:t>條定義的金融業實體或商業實體而言，認可機構投資於該等實體並為會計目的而作綜合計算、但因實體在監管綜合計算範圍以外而須作的相關調整。由於這些調整會降低總槓桿比率風險承擔計量，此項應以負數額形式</w:t>
            </w:r>
            <w:r w:rsidRPr="001D1285">
              <w:rPr>
                <w:rFonts w:ascii="Calibri" w:eastAsia="新細明體" w:hAnsi="Calibri" w:cs="Segoe UI" w:hint="eastAsia"/>
                <w:kern w:val="2"/>
                <w:sz w:val="17"/>
                <w:szCs w:val="17"/>
                <w:lang w:eastAsia="zh-HK"/>
              </w:rPr>
              <w:t>填</w:t>
            </w:r>
            <w:r w:rsidRPr="001D1285">
              <w:rPr>
                <w:rFonts w:ascii="Calibri" w:eastAsia="細明體" w:hAnsi="Calibri" w:cs="Segoe UI"/>
                <w:kern w:val="2"/>
                <w:sz w:val="17"/>
                <w:szCs w:val="17"/>
                <w:lang w:val="en-US" w:eastAsia="zh-TW"/>
              </w:rPr>
              <w:t>報。</w:t>
            </w:r>
          </w:p>
        </w:tc>
      </w:tr>
      <w:tr w:rsidR="001D1285" w:rsidRPr="001D1285" w14:paraId="777F376B" w14:textId="77777777" w:rsidTr="001D1285">
        <w:trPr>
          <w:trHeight w:val="373"/>
        </w:trPr>
        <w:tc>
          <w:tcPr>
            <w:tcW w:w="567" w:type="dxa"/>
          </w:tcPr>
          <w:p w14:paraId="7AF0EDF0" w14:textId="482952A4"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3</w:t>
            </w:r>
          </w:p>
        </w:tc>
        <w:tc>
          <w:tcPr>
            <w:tcW w:w="8647" w:type="dxa"/>
          </w:tcPr>
          <w:p w14:paraId="07E501B5" w14:textId="5EB94BB6"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有關</w:t>
            </w:r>
            <w:r w:rsidRPr="001D1285">
              <w:rPr>
                <w:rFonts w:ascii="Calibri" w:eastAsia="新細明體" w:hAnsi="Calibri" w:cs="Segoe UI" w:hint="eastAsia"/>
                <w:kern w:val="2"/>
                <w:sz w:val="17"/>
                <w:szCs w:val="17"/>
                <w:lang w:val="en-US" w:eastAsia="zh-TW"/>
              </w:rPr>
              <w:t>符合操作規定可作認可風險轉移的證券化風險承擔的調整</w:t>
            </w:r>
            <w:r w:rsidR="007F721C" w:rsidRPr="001D1285">
              <w:rPr>
                <w:rFonts w:ascii="Calibri" w:eastAsia="細明體" w:hAnsi="Calibri" w:cs="Segoe UI"/>
                <w:kern w:val="2"/>
                <w:sz w:val="17"/>
                <w:szCs w:val="17"/>
                <w:lang w:val="en-US" w:eastAsia="zh-TW"/>
              </w:rPr>
              <w:t>，</w:t>
            </w:r>
            <w:r w:rsidRPr="001D1285">
              <w:rPr>
                <w:rFonts w:ascii="Calibri" w:eastAsia="細明體" w:hAnsi="Calibri" w:cs="Segoe UI"/>
                <w:kern w:val="2"/>
                <w:sz w:val="17"/>
                <w:szCs w:val="17"/>
                <w:lang w:val="en-US" w:eastAsia="zh-TW"/>
              </w:rPr>
              <w:t>由於這些調整會降低總槓桿比率風險承擔計量，此項應以負數額形式</w:t>
            </w:r>
            <w:r w:rsidRPr="001D1285">
              <w:rPr>
                <w:rFonts w:ascii="Calibri" w:eastAsia="新細明體" w:hAnsi="Calibri" w:cs="Segoe UI" w:hint="eastAsia"/>
                <w:kern w:val="2"/>
                <w:sz w:val="17"/>
                <w:szCs w:val="17"/>
                <w:lang w:eastAsia="zh-HK"/>
              </w:rPr>
              <w:t>填</w:t>
            </w:r>
            <w:r w:rsidRPr="001D1285">
              <w:rPr>
                <w:rFonts w:ascii="Calibri" w:eastAsia="細明體" w:hAnsi="Calibri" w:cs="Segoe UI"/>
                <w:kern w:val="2"/>
                <w:sz w:val="17"/>
                <w:szCs w:val="17"/>
                <w:lang w:val="en-US" w:eastAsia="zh-TW"/>
              </w:rPr>
              <w:t>報。</w:t>
            </w:r>
          </w:p>
        </w:tc>
      </w:tr>
      <w:tr w:rsidR="001D1285" w:rsidRPr="001D1285" w14:paraId="4A9C17F6" w14:textId="77777777" w:rsidTr="001D1285">
        <w:trPr>
          <w:trHeight w:val="373"/>
        </w:trPr>
        <w:tc>
          <w:tcPr>
            <w:tcW w:w="567" w:type="dxa"/>
          </w:tcPr>
          <w:p w14:paraId="667E0CB0" w14:textId="1AE32BAD" w:rsidR="001D1285" w:rsidRPr="001D1285" w:rsidDel="00A27A8C" w:rsidRDefault="009E241F"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Pr>
                <w:rFonts w:ascii="Calibri" w:eastAsia="新細明體" w:hAnsi="Calibri" w:cs="Segoe UI" w:hint="eastAsia"/>
                <w:kern w:val="2"/>
                <w:sz w:val="17"/>
                <w:szCs w:val="17"/>
                <w:lang w:val="en-US" w:eastAsia="zh-TW"/>
              </w:rPr>
              <w:t>4</w:t>
            </w:r>
          </w:p>
        </w:tc>
        <w:tc>
          <w:tcPr>
            <w:tcW w:w="8647" w:type="dxa"/>
            <w:shd w:val="clear" w:color="auto" w:fill="FFFF00"/>
          </w:tcPr>
          <w:p w14:paraId="0CB9AFDB" w14:textId="7E7BBFD9" w:rsidR="001D1285" w:rsidRPr="001D1285" w:rsidRDefault="001C45CD" w:rsidP="00315D30">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HK"/>
              </w:rPr>
            </w:pPr>
            <w:r w:rsidRPr="001C45CD">
              <w:rPr>
                <w:rFonts w:ascii="Calibri" w:eastAsia="新細明體" w:hAnsi="Calibri" w:cs="Segoe UI" w:hint="eastAsia"/>
                <w:iCs/>
                <w:kern w:val="2"/>
                <w:sz w:val="17"/>
                <w:szCs w:val="17"/>
                <w:lang w:eastAsia="zh-HK"/>
              </w:rPr>
              <w:t>香港並無行使酌情權，以容許從槓桿比率風險承擔計量中</w:t>
            </w:r>
            <w:r w:rsidR="00315D30" w:rsidRPr="001C45CD">
              <w:rPr>
                <w:rFonts w:ascii="Calibri" w:eastAsia="新細明體" w:hAnsi="Calibri" w:cs="Segoe UI" w:hint="eastAsia"/>
                <w:iCs/>
                <w:kern w:val="2"/>
                <w:sz w:val="17"/>
                <w:szCs w:val="17"/>
                <w:lang w:eastAsia="zh-HK"/>
              </w:rPr>
              <w:t>暫時</w:t>
            </w:r>
            <w:r w:rsidRPr="001C45CD">
              <w:rPr>
                <w:rFonts w:ascii="Calibri" w:eastAsia="新細明體" w:hAnsi="Calibri" w:cs="Segoe UI" w:hint="eastAsia"/>
                <w:iCs/>
                <w:kern w:val="2"/>
                <w:sz w:val="17"/>
                <w:szCs w:val="17"/>
                <w:lang w:eastAsia="zh-HK"/>
              </w:rPr>
              <w:t>豁除央行儲備</w:t>
            </w:r>
            <w:r w:rsidR="001D1285" w:rsidRPr="001D1285">
              <w:rPr>
                <w:rFonts w:ascii="Calibri" w:eastAsia="新細明體" w:hAnsi="Calibri" w:cs="Segoe UI" w:hint="eastAsia"/>
                <w:iCs/>
                <w:kern w:val="2"/>
                <w:sz w:val="17"/>
                <w:szCs w:val="17"/>
                <w:lang w:eastAsia="zh-HK"/>
              </w:rPr>
              <w:t>，因此此行並不適用。</w:t>
            </w:r>
          </w:p>
        </w:tc>
      </w:tr>
      <w:tr w:rsidR="001D1285" w:rsidRPr="001D1285" w14:paraId="761F6B92" w14:textId="77777777" w:rsidTr="001D1285">
        <w:trPr>
          <w:trHeight w:val="373"/>
        </w:trPr>
        <w:tc>
          <w:tcPr>
            <w:tcW w:w="567" w:type="dxa"/>
          </w:tcPr>
          <w:p w14:paraId="61500312" w14:textId="059A7EBB"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5</w:t>
            </w:r>
          </w:p>
        </w:tc>
        <w:tc>
          <w:tcPr>
            <w:tcW w:w="8647" w:type="dxa"/>
          </w:tcPr>
          <w:p w14:paraId="5592A70C" w14:textId="7F80842B" w:rsidR="001D1285" w:rsidRPr="001D1285" w:rsidRDefault="00A54A5A" w:rsidP="00310A2F">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A54A5A">
              <w:rPr>
                <w:rFonts w:ascii="Calibri" w:eastAsia="新細明體" w:hAnsi="Calibri" w:cs="Segoe UI" w:hint="eastAsia"/>
                <w:kern w:val="2"/>
                <w:sz w:val="17"/>
                <w:szCs w:val="17"/>
                <w:lang w:val="en-US" w:eastAsia="zh-TW"/>
              </w:rPr>
              <w:t>就</w:t>
            </w:r>
            <w:r w:rsidR="001D1285" w:rsidRPr="001D1285">
              <w:rPr>
                <w:rFonts w:ascii="Calibri" w:eastAsia="新細明體" w:hAnsi="Calibri" w:cs="Segoe UI"/>
                <w:kern w:val="2"/>
                <w:sz w:val="17"/>
                <w:szCs w:val="17"/>
                <w:lang w:val="en-US" w:eastAsia="zh-TW"/>
              </w:rPr>
              <w:t>根據認可機構的適用會計</w:t>
            </w:r>
            <w:r w:rsidR="001D1285" w:rsidRPr="001D1285">
              <w:rPr>
                <w:rFonts w:ascii="Calibri" w:eastAsia="新細明體" w:hAnsi="Calibri" w:cs="Segoe UI" w:hint="eastAsia"/>
                <w:kern w:val="2"/>
                <w:sz w:val="17"/>
                <w:szCs w:val="17"/>
                <w:lang w:val="en-US" w:eastAsia="zh-HK"/>
              </w:rPr>
              <w:t>準則</w:t>
            </w:r>
            <w:r w:rsidR="001D1285" w:rsidRPr="001D1285">
              <w:rPr>
                <w:rFonts w:ascii="Calibri" w:eastAsia="新細明體" w:hAnsi="Calibri" w:cs="Segoe UI"/>
                <w:kern w:val="2"/>
                <w:sz w:val="17"/>
                <w:szCs w:val="17"/>
                <w:lang w:val="en-US" w:eastAsia="zh-TW"/>
              </w:rPr>
              <w:t>於資產負債表內確認、但被排除在槓桿比率風險承擔</w:t>
            </w:r>
            <w:proofErr w:type="gramStart"/>
            <w:r w:rsidR="001D1285" w:rsidRPr="001D1285">
              <w:rPr>
                <w:rFonts w:ascii="Calibri" w:eastAsia="新細明體" w:hAnsi="Calibri" w:cs="Segoe UI"/>
                <w:kern w:val="2"/>
                <w:sz w:val="17"/>
                <w:szCs w:val="17"/>
                <w:lang w:val="en-US" w:eastAsia="zh-TW"/>
              </w:rPr>
              <w:t>計量值外的</w:t>
            </w:r>
            <w:proofErr w:type="gramEnd"/>
            <w:r w:rsidR="001D1285" w:rsidRPr="001D1285">
              <w:rPr>
                <w:rFonts w:ascii="Calibri" w:eastAsia="新細明體" w:hAnsi="Calibri" w:cs="Segoe UI"/>
                <w:kern w:val="2"/>
                <w:sz w:val="17"/>
                <w:szCs w:val="17"/>
                <w:lang w:val="en-US" w:eastAsia="zh-TW"/>
              </w:rPr>
              <w:t>任何受信資產</w:t>
            </w:r>
            <w:r>
              <w:rPr>
                <w:rFonts w:ascii="Calibri" w:eastAsia="新細明體" w:hAnsi="Calibri" w:cs="Segoe UI" w:hint="eastAsia"/>
                <w:kern w:val="2"/>
                <w:sz w:val="17"/>
                <w:szCs w:val="17"/>
                <w:lang w:val="en-US" w:eastAsia="zh-HK"/>
              </w:rPr>
              <w:t>所</w:t>
            </w:r>
            <w:r w:rsidR="001D1285" w:rsidRPr="001D1285">
              <w:rPr>
                <w:rFonts w:ascii="Calibri" w:eastAsia="新細明體" w:hAnsi="Calibri" w:cs="Segoe UI"/>
                <w:kern w:val="2"/>
                <w:sz w:val="17"/>
                <w:szCs w:val="17"/>
                <w:lang w:val="en-US" w:eastAsia="zh-TW"/>
              </w:rPr>
              <w:t>須作的相關調整，</w:t>
            </w:r>
            <w:r w:rsidR="001D1285" w:rsidRPr="001D1285">
              <w:rPr>
                <w:rFonts w:ascii="Calibri" w:eastAsia="細明體" w:hAnsi="Calibri" w:cs="Segoe UI"/>
                <w:kern w:val="2"/>
                <w:sz w:val="17"/>
                <w:szCs w:val="17"/>
                <w:lang w:val="en-US" w:eastAsia="zh-TW"/>
              </w:rPr>
              <w:t>惟該等資產須符合《國際財務報告準則》第</w:t>
            </w:r>
            <w:r w:rsidR="001D1285" w:rsidRPr="001D1285">
              <w:rPr>
                <w:rFonts w:ascii="Calibri" w:eastAsia="細明體" w:hAnsi="Calibri" w:cs="Segoe UI"/>
                <w:kern w:val="2"/>
                <w:sz w:val="17"/>
                <w:szCs w:val="17"/>
                <w:lang w:val="en-US" w:eastAsia="zh-TW"/>
              </w:rPr>
              <w:t>9</w:t>
            </w:r>
            <w:r w:rsidR="001D1285" w:rsidRPr="001D1285">
              <w:rPr>
                <w:rFonts w:ascii="Calibri" w:eastAsia="細明體" w:hAnsi="Calibri" w:cs="Segoe UI"/>
                <w:kern w:val="2"/>
                <w:sz w:val="17"/>
                <w:szCs w:val="17"/>
                <w:lang w:val="en-US" w:eastAsia="zh-TW"/>
              </w:rPr>
              <w:t>號</w:t>
            </w:r>
            <w:r w:rsidR="001D1285" w:rsidRPr="001D1285">
              <w:rPr>
                <w:rFonts w:ascii="Calibri" w:eastAsia="新細明體" w:hAnsi="Calibri" w:cs="Segoe UI"/>
                <w:kern w:val="2"/>
                <w:sz w:val="17"/>
                <w:szCs w:val="22"/>
                <w:lang w:val="en-US" w:eastAsia="zh-TW"/>
              </w:rPr>
              <w:t>（</w:t>
            </w:r>
            <w:r w:rsidR="001D1285" w:rsidRPr="001D1285">
              <w:rPr>
                <w:rFonts w:ascii="Calibri" w:eastAsia="細明體" w:hAnsi="Calibri" w:cs="Segoe UI"/>
                <w:kern w:val="2"/>
                <w:sz w:val="17"/>
                <w:szCs w:val="17"/>
                <w:lang w:val="en-US" w:eastAsia="zh-TW"/>
              </w:rPr>
              <w:t>或《香港財務報告準則》第</w:t>
            </w:r>
            <w:r w:rsidR="001D1285" w:rsidRPr="001D1285">
              <w:rPr>
                <w:rFonts w:ascii="Calibri" w:eastAsia="細明體" w:hAnsi="Calibri" w:cs="Segoe UI"/>
                <w:kern w:val="2"/>
                <w:sz w:val="17"/>
                <w:szCs w:val="17"/>
                <w:lang w:val="en-US" w:eastAsia="zh-TW"/>
              </w:rPr>
              <w:t>9</w:t>
            </w:r>
            <w:r w:rsidR="001D1285" w:rsidRPr="001D1285">
              <w:rPr>
                <w:rFonts w:ascii="Calibri" w:eastAsia="細明體" w:hAnsi="Calibri" w:cs="Segoe UI"/>
                <w:kern w:val="2"/>
                <w:sz w:val="17"/>
                <w:szCs w:val="17"/>
                <w:lang w:val="en-US" w:eastAsia="zh-TW"/>
              </w:rPr>
              <w:t>號</w:t>
            </w:r>
            <w:r w:rsidR="001D1285" w:rsidRPr="001D1285">
              <w:rPr>
                <w:rFonts w:ascii="Calibri" w:eastAsia="新細明體" w:hAnsi="Calibri" w:cs="Segoe UI"/>
                <w:kern w:val="2"/>
                <w:sz w:val="17"/>
                <w:szCs w:val="22"/>
                <w:lang w:val="en-US" w:eastAsia="zh-TW"/>
              </w:rPr>
              <w:t>）</w:t>
            </w:r>
            <w:r w:rsidR="001D1285" w:rsidRPr="001D1285">
              <w:rPr>
                <w:rFonts w:ascii="Calibri" w:eastAsia="細明體" w:hAnsi="Calibri" w:cs="Segoe UI"/>
                <w:kern w:val="2"/>
                <w:sz w:val="17"/>
                <w:szCs w:val="17"/>
                <w:lang w:val="en-US" w:eastAsia="zh-TW"/>
              </w:rPr>
              <w:t>的終止確認準則及</w:t>
            </w:r>
            <w:r w:rsidR="001D1285" w:rsidRPr="001D1285">
              <w:rPr>
                <w:rFonts w:ascii="Calibri" w:eastAsia="新細明體" w:hAnsi="Calibri" w:cs="Segoe UI"/>
                <w:kern w:val="2"/>
                <w:sz w:val="17"/>
                <w:szCs w:val="22"/>
                <w:lang w:val="en-US" w:eastAsia="zh-TW"/>
              </w:rPr>
              <w:t>（</w:t>
            </w:r>
            <w:r w:rsidR="001D1285" w:rsidRPr="001D1285">
              <w:rPr>
                <w:rFonts w:ascii="Calibri" w:eastAsia="細明體" w:hAnsi="Calibri" w:cs="Segoe UI"/>
                <w:kern w:val="2"/>
                <w:sz w:val="17"/>
                <w:szCs w:val="17"/>
                <w:lang w:val="en-US" w:eastAsia="zh-TW"/>
              </w:rPr>
              <w:t>如適用</w:t>
            </w:r>
            <w:r w:rsidR="001D1285" w:rsidRPr="001D1285">
              <w:rPr>
                <w:rFonts w:ascii="Calibri" w:eastAsia="新細明體" w:hAnsi="Calibri" w:cs="Segoe UI"/>
                <w:kern w:val="2"/>
                <w:sz w:val="17"/>
                <w:szCs w:val="22"/>
                <w:lang w:val="en-US" w:eastAsia="zh-TW"/>
              </w:rPr>
              <w:t>）</w:t>
            </w:r>
            <w:r w:rsidR="001D1285" w:rsidRPr="001D1285">
              <w:rPr>
                <w:rFonts w:ascii="Calibri" w:eastAsia="細明體" w:hAnsi="Calibri" w:cs="Segoe UI"/>
                <w:kern w:val="2"/>
                <w:sz w:val="17"/>
                <w:szCs w:val="17"/>
                <w:lang w:val="en-US" w:eastAsia="zh-TW"/>
              </w:rPr>
              <w:t>《國際財務報告準則》第</w:t>
            </w:r>
            <w:r w:rsidR="001D1285" w:rsidRPr="001D1285">
              <w:rPr>
                <w:rFonts w:ascii="Calibri" w:eastAsia="細明體" w:hAnsi="Calibri" w:cs="Segoe UI"/>
                <w:kern w:val="2"/>
                <w:sz w:val="17"/>
                <w:szCs w:val="17"/>
                <w:lang w:val="en-US" w:eastAsia="zh-TW"/>
              </w:rPr>
              <w:t>10</w:t>
            </w:r>
            <w:r w:rsidR="001D1285" w:rsidRPr="001D1285">
              <w:rPr>
                <w:rFonts w:ascii="Calibri" w:eastAsia="細明體" w:hAnsi="Calibri" w:cs="Segoe UI"/>
                <w:kern w:val="2"/>
                <w:sz w:val="17"/>
                <w:szCs w:val="17"/>
                <w:lang w:val="en-US" w:eastAsia="zh-TW"/>
              </w:rPr>
              <w:t>號</w:t>
            </w:r>
            <w:r w:rsidR="001D1285" w:rsidRPr="001D1285">
              <w:rPr>
                <w:rFonts w:ascii="Calibri" w:eastAsia="新細明體" w:hAnsi="Calibri" w:cs="Segoe UI"/>
                <w:kern w:val="2"/>
                <w:sz w:val="17"/>
                <w:szCs w:val="22"/>
                <w:lang w:val="en-US" w:eastAsia="zh-TW"/>
              </w:rPr>
              <w:t>（</w:t>
            </w:r>
            <w:r w:rsidR="001D1285" w:rsidRPr="001D1285">
              <w:rPr>
                <w:rFonts w:ascii="Calibri" w:eastAsia="細明體" w:hAnsi="Calibri" w:cs="Segoe UI"/>
                <w:kern w:val="2"/>
                <w:sz w:val="17"/>
                <w:szCs w:val="17"/>
                <w:lang w:val="en-US" w:eastAsia="zh-TW"/>
              </w:rPr>
              <w:t>或《香港財務報告準則》第</w:t>
            </w:r>
            <w:r w:rsidR="001D1285" w:rsidRPr="001D1285">
              <w:rPr>
                <w:rFonts w:ascii="Calibri" w:eastAsia="細明體" w:hAnsi="Calibri" w:cs="Segoe UI"/>
                <w:kern w:val="2"/>
                <w:sz w:val="17"/>
                <w:szCs w:val="17"/>
                <w:lang w:val="en-US" w:eastAsia="zh-TW"/>
              </w:rPr>
              <w:t>10</w:t>
            </w:r>
            <w:r w:rsidR="001D1285" w:rsidRPr="001D1285">
              <w:rPr>
                <w:rFonts w:ascii="Calibri" w:eastAsia="細明體" w:hAnsi="Calibri" w:cs="Segoe UI"/>
                <w:kern w:val="2"/>
                <w:sz w:val="17"/>
                <w:szCs w:val="17"/>
                <w:lang w:val="en-US" w:eastAsia="zh-TW"/>
              </w:rPr>
              <w:t>號</w:t>
            </w:r>
            <w:r w:rsidR="001D1285" w:rsidRPr="001D1285">
              <w:rPr>
                <w:rFonts w:ascii="Calibri" w:eastAsia="新細明體" w:hAnsi="Calibri" w:cs="Segoe UI"/>
                <w:kern w:val="2"/>
                <w:sz w:val="17"/>
                <w:szCs w:val="22"/>
                <w:lang w:val="en-US" w:eastAsia="zh-TW"/>
              </w:rPr>
              <w:t>）</w:t>
            </w:r>
            <w:r w:rsidR="001D1285" w:rsidRPr="001D1285">
              <w:rPr>
                <w:rFonts w:ascii="Calibri" w:eastAsia="細明體" w:hAnsi="Calibri" w:cs="Segoe UI"/>
                <w:kern w:val="2"/>
                <w:sz w:val="17"/>
                <w:szCs w:val="17"/>
                <w:lang w:val="en-US" w:eastAsia="zh-TW"/>
              </w:rPr>
              <w:t>的終止綜合準則。由於這些調整會降低總槓桿比率風險承擔計量，此項應以負數額形式</w:t>
            </w:r>
            <w:r w:rsidR="001D1285" w:rsidRPr="001D1285">
              <w:rPr>
                <w:rFonts w:ascii="Calibri" w:eastAsia="新細明體" w:hAnsi="Calibri" w:cs="Segoe UI" w:hint="eastAsia"/>
                <w:kern w:val="2"/>
                <w:sz w:val="17"/>
                <w:szCs w:val="17"/>
                <w:lang w:eastAsia="zh-HK"/>
              </w:rPr>
              <w:t>填</w:t>
            </w:r>
            <w:r w:rsidR="001D1285" w:rsidRPr="001D1285">
              <w:rPr>
                <w:rFonts w:ascii="Calibri" w:eastAsia="細明體" w:hAnsi="Calibri" w:cs="Segoe UI"/>
                <w:kern w:val="2"/>
                <w:sz w:val="17"/>
                <w:szCs w:val="17"/>
                <w:lang w:val="en-US" w:eastAsia="zh-TW"/>
              </w:rPr>
              <w:t>報。</w:t>
            </w:r>
          </w:p>
        </w:tc>
      </w:tr>
      <w:tr w:rsidR="001D1285" w:rsidRPr="001D1285" w14:paraId="7636B0B5" w14:textId="77777777" w:rsidTr="001D1285">
        <w:trPr>
          <w:trHeight w:val="373"/>
        </w:trPr>
        <w:tc>
          <w:tcPr>
            <w:tcW w:w="567" w:type="dxa"/>
          </w:tcPr>
          <w:p w14:paraId="2E6EB5AE" w14:textId="77777777" w:rsidR="001D1285" w:rsidRPr="001D1285" w:rsidDel="00841668"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6</w:t>
            </w:r>
          </w:p>
        </w:tc>
        <w:tc>
          <w:tcPr>
            <w:tcW w:w="8647" w:type="dxa"/>
          </w:tcPr>
          <w:p w14:paraId="683C8E94" w14:textId="5CF95D2C" w:rsidR="00110621" w:rsidRPr="00110621" w:rsidRDefault="001D1285" w:rsidP="009C7F3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eastAsia="zh-TW"/>
              </w:rPr>
            </w:pPr>
            <w:r w:rsidRPr="001D1285">
              <w:rPr>
                <w:rFonts w:ascii="Calibri" w:eastAsia="新細明體" w:hAnsi="Calibri" w:cs="Segoe UI" w:hint="eastAsia"/>
                <w:kern w:val="2"/>
                <w:sz w:val="17"/>
                <w:szCs w:val="17"/>
                <w:lang w:eastAsia="zh-TW"/>
              </w:rPr>
              <w:t>有關</w:t>
            </w:r>
            <w:r w:rsidR="00303F44">
              <w:rPr>
                <w:rFonts w:ascii="Calibri" w:eastAsia="新細明體" w:hAnsi="Calibri" w:cs="Segoe UI" w:hint="eastAsia"/>
                <w:kern w:val="2"/>
                <w:sz w:val="17"/>
                <w:szCs w:val="17"/>
                <w:lang w:eastAsia="zh-HK"/>
              </w:rPr>
              <w:t>以</w:t>
            </w:r>
            <w:r w:rsidR="004116C1" w:rsidRPr="001D1285">
              <w:rPr>
                <w:rFonts w:ascii="Calibri" w:eastAsia="新細明體" w:hAnsi="Calibri" w:cs="Segoe UI" w:hint="eastAsia"/>
                <w:kern w:val="2"/>
                <w:sz w:val="17"/>
                <w:szCs w:val="17"/>
                <w:lang w:eastAsia="zh-TW"/>
              </w:rPr>
              <w:t>交易日會計</w:t>
            </w:r>
            <w:r w:rsidR="00303F44">
              <w:rPr>
                <w:rFonts w:ascii="Calibri" w:eastAsia="新細明體" w:hAnsi="Calibri" w:cs="Segoe UI" w:hint="eastAsia"/>
                <w:sz w:val="17"/>
                <w:szCs w:val="17"/>
                <w:lang w:eastAsia="zh-HK"/>
              </w:rPr>
              <w:t>的</w:t>
            </w:r>
            <w:r w:rsidR="00303F44" w:rsidRPr="00034CB4">
              <w:rPr>
                <w:rFonts w:ascii="Calibri" w:eastAsia="新細明體" w:hAnsi="Calibri" w:cs="Segoe UI" w:hint="eastAsia"/>
                <w:sz w:val="17"/>
                <w:szCs w:val="17"/>
                <w:lang w:eastAsia="zh-TW"/>
              </w:rPr>
              <w:t>、</w:t>
            </w:r>
            <w:r w:rsidRPr="001D1285">
              <w:rPr>
                <w:rFonts w:ascii="Calibri" w:eastAsia="新細明體" w:hAnsi="Calibri" w:cs="Segoe UI" w:hint="eastAsia"/>
                <w:kern w:val="2"/>
                <w:sz w:val="17"/>
                <w:szCs w:val="17"/>
                <w:lang w:eastAsia="zh-TW"/>
              </w:rPr>
              <w:t>以</w:t>
            </w:r>
            <w:r w:rsidR="00C120B9">
              <w:rPr>
                <w:rFonts w:ascii="Calibri" w:eastAsia="新細明體" w:hAnsi="Calibri" w:cs="Segoe UI" w:hint="eastAsia"/>
                <w:kern w:val="2"/>
                <w:sz w:val="17"/>
                <w:szCs w:val="17"/>
                <w:lang w:eastAsia="zh-HK"/>
              </w:rPr>
              <w:t>平</w:t>
            </w:r>
            <w:r w:rsidRPr="001D1285">
              <w:rPr>
                <w:rFonts w:ascii="Calibri" w:eastAsia="新細明體" w:hAnsi="Calibri" w:cs="Segoe UI" w:hint="eastAsia"/>
                <w:kern w:val="2"/>
                <w:sz w:val="17"/>
                <w:szCs w:val="17"/>
                <w:lang w:eastAsia="zh-TW"/>
              </w:rPr>
              <w:t>常方式購</w:t>
            </w:r>
            <w:r w:rsidRPr="001D1285">
              <w:rPr>
                <w:rFonts w:ascii="Calibri" w:eastAsia="新細明體" w:hAnsi="Calibri" w:cs="Segoe UI" w:hint="eastAsia"/>
                <w:kern w:val="2"/>
                <w:sz w:val="17"/>
                <w:szCs w:val="17"/>
                <w:lang w:val="en-US" w:eastAsia="zh-HK"/>
              </w:rPr>
              <w:t>買</w:t>
            </w:r>
            <w:r w:rsidRPr="001D1285">
              <w:rPr>
                <w:rFonts w:ascii="Calibri" w:eastAsia="新細明體" w:hAnsi="Calibri" w:cs="Segoe UI" w:hint="eastAsia"/>
                <w:kern w:val="2"/>
                <w:sz w:val="17"/>
                <w:szCs w:val="17"/>
                <w:lang w:eastAsia="zh-TW"/>
              </w:rPr>
              <w:t>及出售金融資產的調整。</w:t>
            </w:r>
            <w:r w:rsidRPr="001D1285">
              <w:rPr>
                <w:rFonts w:ascii="Calibri" w:eastAsia="新細明體" w:hAnsi="Calibri" w:cs="Segoe UI" w:hint="eastAsia"/>
                <w:kern w:val="2"/>
                <w:sz w:val="17"/>
                <w:szCs w:val="17"/>
                <w:lang w:eastAsia="zh-HK"/>
              </w:rPr>
              <w:t>調整反映</w:t>
            </w:r>
            <w:r w:rsidRPr="001D1285">
              <w:rPr>
                <w:rFonts w:ascii="Calibri" w:eastAsia="新細明體" w:hAnsi="Calibri" w:cs="Segoe UI" w:hint="eastAsia"/>
                <w:kern w:val="2"/>
                <w:sz w:val="17"/>
                <w:szCs w:val="17"/>
                <w:lang w:eastAsia="zh-TW"/>
              </w:rPr>
              <w:t>：</w:t>
            </w:r>
            <w:r w:rsidRPr="001D1285">
              <w:rPr>
                <w:rFonts w:ascii="Calibri" w:eastAsia="新細明體" w:hAnsi="Calibri" w:cs="Segoe UI"/>
                <w:kern w:val="2"/>
                <w:sz w:val="17"/>
                <w:szCs w:val="17"/>
                <w:lang w:eastAsia="zh-TW"/>
              </w:rPr>
              <w:t>(</w:t>
            </w:r>
            <w:proofErr w:type="spellStart"/>
            <w:r w:rsidRPr="001D1285">
              <w:rPr>
                <w:rFonts w:ascii="Calibri" w:eastAsia="新細明體" w:hAnsi="Calibri" w:cs="Segoe UI"/>
                <w:kern w:val="2"/>
                <w:sz w:val="17"/>
                <w:szCs w:val="17"/>
                <w:lang w:eastAsia="zh-TW"/>
              </w:rPr>
              <w:t>i</w:t>
            </w:r>
            <w:proofErr w:type="spellEnd"/>
            <w:r w:rsidRPr="001D1285">
              <w:rPr>
                <w:rFonts w:ascii="Calibri" w:eastAsia="新細明體" w:hAnsi="Calibri" w:cs="Segoe UI"/>
                <w:kern w:val="2"/>
                <w:sz w:val="17"/>
                <w:szCs w:val="17"/>
                <w:lang w:eastAsia="zh-TW"/>
              </w:rPr>
              <w:t>)</w:t>
            </w:r>
            <w:r w:rsidRPr="001D1285">
              <w:rPr>
                <w:rFonts w:ascii="Calibri" w:eastAsia="新細明體" w:hAnsi="Calibri" w:cs="Segoe UI" w:hint="eastAsia"/>
                <w:kern w:val="2"/>
                <w:sz w:val="17"/>
                <w:szCs w:val="17"/>
                <w:lang w:eastAsia="zh-HK"/>
              </w:rPr>
              <w:t>在適用會計準則下可予以</w:t>
            </w:r>
            <w:r w:rsidR="00716A15" w:rsidRPr="001D1285">
              <w:rPr>
                <w:rFonts w:ascii="Calibri" w:eastAsia="細明體" w:hAnsi="Calibri" w:cs="Segoe UI"/>
                <w:kern w:val="2"/>
                <w:sz w:val="17"/>
                <w:szCs w:val="17"/>
                <w:lang w:val="en-US" w:eastAsia="zh-TW"/>
              </w:rPr>
              <w:t>確</w:t>
            </w:r>
            <w:r w:rsidRPr="001D1285">
              <w:rPr>
                <w:rFonts w:ascii="Calibri" w:eastAsia="新細明體" w:hAnsi="Calibri" w:cs="Segoe UI" w:hint="eastAsia"/>
                <w:kern w:val="2"/>
                <w:sz w:val="17"/>
                <w:szCs w:val="17"/>
                <w:lang w:eastAsia="zh-HK"/>
              </w:rPr>
              <w:t>認的未交收出售</w:t>
            </w:r>
            <w:r w:rsidR="004F1139">
              <w:rPr>
                <w:rFonts w:ascii="Calibri" w:eastAsia="新細明體" w:hAnsi="Calibri" w:cs="Segoe UI" w:hint="eastAsia"/>
                <w:kern w:val="2"/>
                <w:sz w:val="17"/>
                <w:szCs w:val="17"/>
                <w:lang w:eastAsia="zh-HK"/>
              </w:rPr>
              <w:t>金</w:t>
            </w:r>
            <w:r w:rsidR="004F1139">
              <w:rPr>
                <w:rFonts w:ascii="Calibri" w:eastAsia="新細明體" w:hAnsi="Calibri" w:cs="Segoe UI" w:hint="eastAsia"/>
                <w:kern w:val="2"/>
                <w:sz w:val="17"/>
                <w:szCs w:val="17"/>
                <w:lang w:eastAsia="zh-TW"/>
              </w:rPr>
              <w:t>融</w:t>
            </w:r>
            <w:r w:rsidR="004F1139">
              <w:rPr>
                <w:rFonts w:ascii="Calibri" w:eastAsia="新細明體" w:hAnsi="Calibri" w:cs="Segoe UI" w:hint="eastAsia"/>
                <w:kern w:val="2"/>
                <w:sz w:val="17"/>
                <w:szCs w:val="17"/>
                <w:lang w:eastAsia="zh-HK"/>
              </w:rPr>
              <w:t>資</w:t>
            </w:r>
            <w:r w:rsidR="004F1139">
              <w:rPr>
                <w:rFonts w:ascii="Calibri" w:eastAsia="新細明體" w:hAnsi="Calibri" w:cs="Segoe UI" w:hint="eastAsia"/>
                <w:kern w:val="2"/>
                <w:sz w:val="17"/>
                <w:szCs w:val="17"/>
                <w:lang w:eastAsia="zh-TW"/>
              </w:rPr>
              <w:t>產</w:t>
            </w:r>
            <w:r w:rsidRPr="001D1285">
              <w:rPr>
                <w:rFonts w:ascii="Calibri" w:eastAsia="新細明體" w:hAnsi="Calibri" w:cs="Segoe UI" w:hint="eastAsia"/>
                <w:kern w:val="2"/>
                <w:sz w:val="17"/>
                <w:szCs w:val="17"/>
                <w:lang w:eastAsia="zh-HK"/>
              </w:rPr>
              <w:t>交易的現金應收額與未交收購入</w:t>
            </w:r>
            <w:r w:rsidR="004F1139">
              <w:rPr>
                <w:rFonts w:ascii="Calibri" w:eastAsia="新細明體" w:hAnsi="Calibri" w:cs="Segoe UI" w:hint="eastAsia"/>
                <w:kern w:val="2"/>
                <w:sz w:val="17"/>
                <w:szCs w:val="17"/>
                <w:lang w:eastAsia="zh-HK"/>
              </w:rPr>
              <w:t>金</w:t>
            </w:r>
            <w:r w:rsidR="004F1139">
              <w:rPr>
                <w:rFonts w:ascii="Calibri" w:eastAsia="新細明體" w:hAnsi="Calibri" w:cs="Segoe UI" w:hint="eastAsia"/>
                <w:kern w:val="2"/>
                <w:sz w:val="17"/>
                <w:szCs w:val="17"/>
                <w:lang w:eastAsia="zh-TW"/>
              </w:rPr>
              <w:t>融</w:t>
            </w:r>
            <w:r w:rsidR="004F1139">
              <w:rPr>
                <w:rFonts w:ascii="Calibri" w:eastAsia="新細明體" w:hAnsi="Calibri" w:cs="Segoe UI" w:hint="eastAsia"/>
                <w:kern w:val="2"/>
                <w:sz w:val="17"/>
                <w:szCs w:val="17"/>
                <w:lang w:eastAsia="zh-HK"/>
              </w:rPr>
              <w:t>資</w:t>
            </w:r>
            <w:r w:rsidR="004F1139">
              <w:rPr>
                <w:rFonts w:ascii="Calibri" w:eastAsia="新細明體" w:hAnsi="Calibri" w:cs="Segoe UI" w:hint="eastAsia"/>
                <w:kern w:val="2"/>
                <w:sz w:val="17"/>
                <w:szCs w:val="17"/>
                <w:lang w:eastAsia="zh-TW"/>
              </w:rPr>
              <w:t>產</w:t>
            </w:r>
            <w:r w:rsidRPr="001D1285">
              <w:rPr>
                <w:rFonts w:ascii="Calibri" w:eastAsia="新細明體" w:hAnsi="Calibri" w:cs="Segoe UI" w:hint="eastAsia"/>
                <w:kern w:val="2"/>
                <w:sz w:val="17"/>
                <w:szCs w:val="17"/>
                <w:lang w:eastAsia="zh-HK"/>
              </w:rPr>
              <w:t>交易的現金應付額之間的任何</w:t>
            </w:r>
            <w:r w:rsidRPr="009E241F">
              <w:rPr>
                <w:rFonts w:ascii="Calibri" w:eastAsia="新細明體" w:hAnsi="Calibri" w:cs="Segoe UI" w:hint="eastAsia"/>
                <w:kern w:val="2"/>
                <w:sz w:val="17"/>
                <w:szCs w:val="17"/>
                <w:lang w:eastAsia="zh-HK"/>
              </w:rPr>
              <w:t>抵銷</w:t>
            </w:r>
            <w:r w:rsidR="009C7F35">
              <w:rPr>
                <w:rFonts w:ascii="Calibri" w:eastAsia="新細明體" w:hAnsi="Calibri" w:cs="Segoe UI" w:hint="eastAsia"/>
                <w:kern w:val="2"/>
                <w:sz w:val="17"/>
                <w:szCs w:val="17"/>
                <w:lang w:eastAsia="zh-HK"/>
              </w:rPr>
              <w:t>之撥</w:t>
            </w:r>
            <w:r w:rsidR="009F407F">
              <w:rPr>
                <w:rFonts w:ascii="Calibri" w:eastAsia="新細明體" w:hAnsi="Calibri" w:cs="Segoe UI" w:hint="eastAsia"/>
                <w:kern w:val="2"/>
                <w:sz w:val="17"/>
                <w:szCs w:val="17"/>
                <w:lang w:eastAsia="zh-HK"/>
              </w:rPr>
              <w:t>回</w:t>
            </w:r>
            <w:r w:rsidRPr="001D1285">
              <w:rPr>
                <w:rFonts w:ascii="Calibri" w:eastAsia="新細明體" w:hAnsi="Calibri" w:cs="Segoe UI" w:hint="eastAsia"/>
                <w:kern w:val="2"/>
                <w:sz w:val="17"/>
                <w:szCs w:val="17"/>
                <w:lang w:eastAsia="zh-TW"/>
              </w:rPr>
              <w:t>；</w:t>
            </w:r>
            <w:r w:rsidRPr="001D1285">
              <w:rPr>
                <w:rFonts w:ascii="Calibri" w:eastAsia="新細明體" w:hAnsi="Calibri" w:cs="Segoe UI" w:hint="eastAsia"/>
                <w:kern w:val="2"/>
                <w:sz w:val="17"/>
                <w:szCs w:val="17"/>
                <w:lang w:eastAsia="zh-HK"/>
              </w:rPr>
              <w:t>及</w:t>
            </w:r>
            <w:r w:rsidRPr="001D1285">
              <w:rPr>
                <w:rFonts w:ascii="Calibri" w:eastAsia="新細明體" w:hAnsi="Calibri" w:cs="Segoe UI"/>
                <w:kern w:val="2"/>
                <w:sz w:val="17"/>
                <w:szCs w:val="17"/>
                <w:lang w:eastAsia="zh-TW"/>
              </w:rPr>
              <w:t>(ii)</w:t>
            </w:r>
            <w:r w:rsidR="009C6F48" w:rsidRPr="001D1285">
              <w:rPr>
                <w:rFonts w:ascii="Calibri" w:eastAsia="新細明體" w:hAnsi="Calibri" w:cs="Segoe UI" w:hint="eastAsia"/>
                <w:kern w:val="2"/>
                <w:sz w:val="17"/>
                <w:szCs w:val="17"/>
                <w:lang w:eastAsia="zh-HK"/>
              </w:rPr>
              <w:t>符合</w:t>
            </w:r>
            <w:r w:rsidRPr="001D1285">
              <w:rPr>
                <w:rFonts w:ascii="Calibri" w:eastAsia="新細明體" w:hAnsi="Calibri" w:cs="Segoe UI" w:hint="eastAsia"/>
                <w:kern w:val="2"/>
                <w:sz w:val="17"/>
                <w:szCs w:val="17"/>
                <w:lang w:eastAsia="zh-HK"/>
              </w:rPr>
              <w:t>槓桿比率框架</w:t>
            </w:r>
            <w:r w:rsidR="009C6F48">
              <w:rPr>
                <w:rFonts w:ascii="Calibri" w:eastAsia="新細明體" w:hAnsi="Calibri" w:cs="Segoe UI" w:hint="eastAsia"/>
                <w:kern w:val="2"/>
                <w:sz w:val="17"/>
                <w:szCs w:val="17"/>
                <w:lang w:eastAsia="zh-HK"/>
              </w:rPr>
              <w:t>中</w:t>
            </w:r>
            <w:r w:rsidRPr="001D1285">
              <w:rPr>
                <w:rFonts w:ascii="Calibri" w:eastAsia="新細明體" w:hAnsi="Calibri" w:cs="Segoe UI" w:hint="eastAsia"/>
                <w:kern w:val="2"/>
                <w:sz w:val="17"/>
                <w:szCs w:val="17"/>
                <w:lang w:eastAsia="zh-HK"/>
              </w:rPr>
              <w:t>指明準則的現金應收額及現金應付額之間的抵銷。如</w:t>
            </w:r>
            <w:r w:rsidRPr="001D1285">
              <w:rPr>
                <w:rFonts w:ascii="Calibri" w:eastAsia="細明體" w:hAnsi="Calibri" w:cs="Segoe UI"/>
                <w:kern w:val="2"/>
                <w:sz w:val="17"/>
                <w:szCs w:val="17"/>
                <w:lang w:val="en-US" w:eastAsia="zh-TW"/>
              </w:rPr>
              <w:t>這些</w:t>
            </w:r>
            <w:r w:rsidRPr="001D1285">
              <w:rPr>
                <w:rFonts w:ascii="Calibri" w:eastAsia="新細明體" w:hAnsi="Calibri" w:cs="Segoe UI" w:hint="eastAsia"/>
                <w:kern w:val="2"/>
                <w:sz w:val="17"/>
                <w:szCs w:val="17"/>
                <w:lang w:eastAsia="zh-HK"/>
              </w:rPr>
              <w:t>調整</w:t>
            </w:r>
            <w:r w:rsidRPr="001D1285">
              <w:rPr>
                <w:rFonts w:ascii="Calibri" w:eastAsia="細明體" w:hAnsi="Calibri" w:cs="Segoe UI"/>
                <w:kern w:val="2"/>
                <w:sz w:val="17"/>
                <w:szCs w:val="17"/>
                <w:lang w:val="en-US" w:eastAsia="zh-TW"/>
              </w:rPr>
              <w:t>會</w:t>
            </w:r>
            <w:r w:rsidRPr="001D1285">
              <w:rPr>
                <w:rFonts w:ascii="Calibri" w:eastAsia="細明體" w:hAnsi="Calibri" w:cs="Segoe UI" w:hint="eastAsia"/>
                <w:kern w:val="2"/>
                <w:sz w:val="17"/>
                <w:szCs w:val="17"/>
                <w:lang w:val="en-US" w:eastAsia="zh-HK"/>
              </w:rPr>
              <w:t>增加</w:t>
            </w:r>
            <w:r w:rsidRPr="001D1285">
              <w:rPr>
                <w:rFonts w:ascii="Calibri" w:eastAsia="新細明體" w:hAnsi="Calibri" w:cs="Segoe UI" w:hint="eastAsia"/>
                <w:kern w:val="2"/>
                <w:sz w:val="17"/>
                <w:szCs w:val="17"/>
                <w:lang w:eastAsia="zh-HK"/>
              </w:rPr>
              <w:t>風險承擔</w:t>
            </w:r>
            <w:r w:rsidRPr="001D1285">
              <w:rPr>
                <w:rFonts w:ascii="Calibri" w:eastAsia="新細明體" w:hAnsi="Calibri" w:cs="Segoe UI" w:hint="eastAsia"/>
                <w:kern w:val="2"/>
                <w:sz w:val="17"/>
                <w:szCs w:val="17"/>
                <w:lang w:eastAsia="zh-TW"/>
              </w:rPr>
              <w:t>，</w:t>
            </w:r>
            <w:r w:rsidRPr="001D1285">
              <w:rPr>
                <w:rFonts w:ascii="Calibri" w:eastAsia="細明體" w:hAnsi="Calibri" w:cs="Segoe UI"/>
                <w:kern w:val="2"/>
                <w:sz w:val="17"/>
                <w:szCs w:val="17"/>
                <w:lang w:val="en-US" w:eastAsia="zh-TW"/>
              </w:rPr>
              <w:t>此項</w:t>
            </w:r>
            <w:r w:rsidRPr="001D1285">
              <w:rPr>
                <w:rFonts w:ascii="Calibri" w:eastAsia="新細明體" w:hAnsi="Calibri" w:cs="Segoe UI" w:hint="eastAsia"/>
                <w:kern w:val="2"/>
                <w:sz w:val="17"/>
                <w:szCs w:val="17"/>
                <w:lang w:eastAsia="zh-HK"/>
              </w:rPr>
              <w:t>應以正數</w:t>
            </w:r>
            <w:r w:rsidRPr="001D1285">
              <w:rPr>
                <w:rFonts w:ascii="Calibri" w:eastAsia="細明體" w:hAnsi="Calibri" w:cs="Segoe UI"/>
                <w:kern w:val="2"/>
                <w:sz w:val="17"/>
                <w:szCs w:val="17"/>
                <w:lang w:val="en-US" w:eastAsia="zh-TW"/>
              </w:rPr>
              <w:t>額</w:t>
            </w:r>
            <w:r w:rsidRPr="001D1285">
              <w:rPr>
                <w:rFonts w:ascii="Calibri" w:eastAsia="新細明體" w:hAnsi="Calibri" w:cs="Segoe UI" w:hint="eastAsia"/>
                <w:kern w:val="2"/>
                <w:sz w:val="17"/>
                <w:szCs w:val="17"/>
                <w:lang w:eastAsia="zh-HK"/>
              </w:rPr>
              <w:t>形式填報</w:t>
            </w:r>
            <w:r w:rsidRPr="001D1285">
              <w:rPr>
                <w:rFonts w:ascii="Calibri" w:eastAsia="新細明體" w:hAnsi="Calibri" w:cs="Segoe UI" w:hint="eastAsia"/>
                <w:kern w:val="2"/>
                <w:sz w:val="17"/>
                <w:szCs w:val="17"/>
                <w:lang w:eastAsia="zh-TW"/>
              </w:rPr>
              <w:t>。</w:t>
            </w:r>
            <w:r w:rsidRPr="001D1285">
              <w:rPr>
                <w:rFonts w:ascii="Calibri" w:eastAsia="新細明體" w:hAnsi="Calibri" w:cs="Segoe UI" w:hint="eastAsia"/>
                <w:kern w:val="2"/>
                <w:sz w:val="17"/>
                <w:szCs w:val="17"/>
                <w:lang w:eastAsia="zh-HK"/>
              </w:rPr>
              <w:t>如</w:t>
            </w:r>
            <w:r w:rsidRPr="001D1285">
              <w:rPr>
                <w:rFonts w:ascii="Calibri" w:eastAsia="細明體" w:hAnsi="Calibri" w:cs="Segoe UI"/>
                <w:kern w:val="2"/>
                <w:sz w:val="17"/>
                <w:szCs w:val="17"/>
                <w:lang w:val="en-US" w:eastAsia="zh-TW"/>
              </w:rPr>
              <w:t>這些</w:t>
            </w:r>
            <w:r w:rsidRPr="001D1285">
              <w:rPr>
                <w:rFonts w:ascii="Calibri" w:eastAsia="新細明體" w:hAnsi="Calibri" w:cs="Segoe UI" w:hint="eastAsia"/>
                <w:kern w:val="2"/>
                <w:sz w:val="17"/>
                <w:szCs w:val="17"/>
                <w:lang w:eastAsia="zh-HK"/>
              </w:rPr>
              <w:t>調整</w:t>
            </w:r>
            <w:r w:rsidRPr="001D1285">
              <w:rPr>
                <w:rFonts w:ascii="Calibri" w:eastAsia="細明體" w:hAnsi="Calibri" w:cs="Segoe UI"/>
                <w:kern w:val="2"/>
                <w:sz w:val="17"/>
                <w:szCs w:val="17"/>
                <w:lang w:val="en-US" w:eastAsia="zh-TW"/>
              </w:rPr>
              <w:t>會降低</w:t>
            </w:r>
            <w:r w:rsidRPr="001D1285">
              <w:rPr>
                <w:rFonts w:ascii="Calibri" w:eastAsia="新細明體" w:hAnsi="Calibri" w:cs="Segoe UI" w:hint="eastAsia"/>
                <w:kern w:val="2"/>
                <w:sz w:val="17"/>
                <w:szCs w:val="17"/>
                <w:lang w:eastAsia="zh-HK"/>
              </w:rPr>
              <w:t>風險承擔</w:t>
            </w:r>
            <w:r w:rsidRPr="001D1285">
              <w:rPr>
                <w:rFonts w:ascii="Calibri" w:eastAsia="新細明體" w:hAnsi="Calibri" w:cs="Segoe UI" w:hint="eastAsia"/>
                <w:kern w:val="2"/>
                <w:sz w:val="17"/>
                <w:szCs w:val="17"/>
                <w:lang w:eastAsia="zh-TW"/>
              </w:rPr>
              <w:t>，</w:t>
            </w:r>
            <w:r w:rsidRPr="001D1285">
              <w:rPr>
                <w:rFonts w:ascii="Calibri" w:eastAsia="細明體" w:hAnsi="Calibri" w:cs="Segoe UI"/>
                <w:kern w:val="2"/>
                <w:sz w:val="17"/>
                <w:szCs w:val="17"/>
                <w:lang w:val="en-US" w:eastAsia="zh-TW"/>
              </w:rPr>
              <w:t>此項</w:t>
            </w:r>
            <w:r w:rsidRPr="001D1285">
              <w:rPr>
                <w:rFonts w:ascii="Calibri" w:eastAsia="新細明體" w:hAnsi="Calibri" w:cs="Segoe UI" w:hint="eastAsia"/>
                <w:kern w:val="2"/>
                <w:sz w:val="17"/>
                <w:szCs w:val="17"/>
                <w:lang w:eastAsia="zh-HK"/>
              </w:rPr>
              <w:t>應以負數</w:t>
            </w:r>
            <w:r w:rsidRPr="001D1285">
              <w:rPr>
                <w:rFonts w:ascii="Calibri" w:eastAsia="細明體" w:hAnsi="Calibri" w:cs="Segoe UI"/>
                <w:kern w:val="2"/>
                <w:sz w:val="17"/>
                <w:szCs w:val="17"/>
                <w:lang w:val="en-US" w:eastAsia="zh-TW"/>
              </w:rPr>
              <w:t>額</w:t>
            </w:r>
            <w:r w:rsidRPr="001D1285">
              <w:rPr>
                <w:rFonts w:ascii="Calibri" w:eastAsia="新細明體" w:hAnsi="Calibri" w:cs="Segoe UI" w:hint="eastAsia"/>
                <w:kern w:val="2"/>
                <w:sz w:val="17"/>
                <w:szCs w:val="17"/>
                <w:lang w:eastAsia="zh-HK"/>
              </w:rPr>
              <w:t>形式填報</w:t>
            </w:r>
            <w:r w:rsidRPr="001D1285">
              <w:rPr>
                <w:rFonts w:ascii="Calibri" w:eastAsia="新細明體" w:hAnsi="Calibri" w:cs="Segoe UI" w:hint="eastAsia"/>
                <w:kern w:val="2"/>
                <w:sz w:val="17"/>
                <w:szCs w:val="17"/>
                <w:lang w:eastAsia="zh-TW"/>
              </w:rPr>
              <w:t>。</w:t>
            </w:r>
          </w:p>
        </w:tc>
      </w:tr>
      <w:tr w:rsidR="001D1285" w:rsidRPr="001D1285" w14:paraId="44272B34" w14:textId="77777777" w:rsidTr="001D1285">
        <w:trPr>
          <w:trHeight w:val="373"/>
        </w:trPr>
        <w:tc>
          <w:tcPr>
            <w:tcW w:w="567" w:type="dxa"/>
          </w:tcPr>
          <w:p w14:paraId="2B261401" w14:textId="4F71E966"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7</w:t>
            </w:r>
          </w:p>
        </w:tc>
        <w:tc>
          <w:tcPr>
            <w:tcW w:w="8647" w:type="dxa"/>
          </w:tcPr>
          <w:p w14:paraId="6EDA34C4" w14:textId="1C32D025"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有關對</w:t>
            </w:r>
            <w:r w:rsidRPr="001D1285">
              <w:rPr>
                <w:rFonts w:ascii="Calibri" w:eastAsia="新細明體" w:hAnsi="Calibri" w:cs="Segoe UI" w:hint="eastAsia"/>
                <w:kern w:val="2"/>
                <w:sz w:val="17"/>
                <w:szCs w:val="17"/>
                <w:lang w:val="en-US" w:eastAsia="zh-HK"/>
              </w:rPr>
              <w:t>合資格的現金池交易</w:t>
            </w:r>
            <w:r w:rsidRPr="001D1285">
              <w:rPr>
                <w:rFonts w:ascii="Calibri" w:eastAsia="新細明體" w:hAnsi="Calibri" w:cs="Segoe UI"/>
                <w:kern w:val="2"/>
                <w:sz w:val="17"/>
                <w:szCs w:val="17"/>
                <w:lang w:val="en-US" w:eastAsia="zh-TW"/>
              </w:rPr>
              <w:t>的調整</w:t>
            </w:r>
            <w:r w:rsidR="00D7124D" w:rsidRPr="001D1285">
              <w:rPr>
                <w:rFonts w:ascii="Calibri" w:eastAsia="細明體" w:hAnsi="Calibri" w:cs="Segoe UI"/>
                <w:kern w:val="2"/>
                <w:sz w:val="17"/>
                <w:szCs w:val="17"/>
                <w:lang w:val="en-US" w:eastAsia="zh-TW"/>
              </w:rPr>
              <w:t>。</w:t>
            </w:r>
            <w:r w:rsidRPr="001D1285">
              <w:rPr>
                <w:rFonts w:ascii="Calibri" w:eastAsia="新細明體" w:hAnsi="Calibri" w:cs="Segoe UI" w:hint="eastAsia"/>
                <w:kern w:val="2"/>
                <w:sz w:val="17"/>
                <w:szCs w:val="17"/>
                <w:lang w:val="en-US" w:eastAsia="zh-HK"/>
              </w:rPr>
              <w:t>就現金池交易的會計值與根據槓桿比率框架</w:t>
            </w:r>
            <w:r w:rsidRPr="001D1285">
              <w:rPr>
                <w:rFonts w:ascii="Calibri" w:eastAsia="新細明體" w:hAnsi="Calibri" w:cs="Segoe UI" w:hint="eastAsia"/>
                <w:kern w:val="2"/>
                <w:sz w:val="17"/>
                <w:szCs w:val="22"/>
                <w:lang w:val="en-US" w:eastAsia="zh-HK"/>
              </w:rPr>
              <w:t>指明的處理方法之間的差別</w:t>
            </w:r>
            <w:r w:rsidRPr="001D1285">
              <w:rPr>
                <w:rFonts w:ascii="Calibri" w:eastAsia="新細明體" w:hAnsi="Calibri" w:cs="Segoe UI"/>
                <w:kern w:val="2"/>
                <w:sz w:val="17"/>
                <w:szCs w:val="17"/>
                <w:lang w:val="en-US" w:eastAsia="zh-TW"/>
              </w:rPr>
              <w:t>而須作的調整</w:t>
            </w:r>
            <w:r w:rsidRPr="001D1285">
              <w:rPr>
                <w:rFonts w:ascii="Calibri" w:eastAsia="細明體" w:hAnsi="Calibri" w:cs="Segoe UI"/>
                <w:kern w:val="2"/>
                <w:sz w:val="17"/>
                <w:szCs w:val="17"/>
                <w:lang w:val="en-US" w:eastAsia="zh-TW"/>
              </w:rPr>
              <w:t>。</w:t>
            </w:r>
            <w:r w:rsidRPr="001D1285">
              <w:rPr>
                <w:rFonts w:ascii="Calibri" w:eastAsia="細明體" w:hAnsi="Calibri" w:cs="Segoe UI" w:hint="eastAsia"/>
                <w:kern w:val="2"/>
                <w:sz w:val="17"/>
                <w:szCs w:val="17"/>
                <w:lang w:val="en-US" w:eastAsia="zh-HK"/>
              </w:rPr>
              <w:t>如</w:t>
            </w:r>
            <w:r w:rsidRPr="001D1285">
              <w:rPr>
                <w:rFonts w:ascii="Calibri" w:eastAsia="細明體" w:hAnsi="Calibri" w:cs="Segoe UI"/>
                <w:kern w:val="2"/>
                <w:sz w:val="17"/>
                <w:szCs w:val="17"/>
                <w:lang w:val="en-US" w:eastAsia="zh-TW"/>
              </w:rPr>
              <w:t>這些調整會</w:t>
            </w:r>
            <w:r w:rsidRPr="001D1285">
              <w:rPr>
                <w:rFonts w:ascii="Calibri" w:eastAsia="細明體" w:hAnsi="Calibri" w:cs="Segoe UI" w:hint="eastAsia"/>
                <w:kern w:val="2"/>
                <w:sz w:val="17"/>
                <w:szCs w:val="17"/>
                <w:lang w:val="en-US" w:eastAsia="zh-HK"/>
              </w:rPr>
              <w:t>增加</w:t>
            </w:r>
            <w:r w:rsidRPr="001D1285">
              <w:rPr>
                <w:rFonts w:ascii="Calibri" w:eastAsia="細明體" w:hAnsi="Calibri" w:cs="Segoe UI"/>
                <w:kern w:val="2"/>
                <w:sz w:val="17"/>
                <w:szCs w:val="17"/>
                <w:lang w:val="en-US" w:eastAsia="zh-TW"/>
              </w:rPr>
              <w:t>風險承擔，此項應以</w:t>
            </w:r>
            <w:r w:rsidRPr="001D1285">
              <w:rPr>
                <w:rFonts w:ascii="Calibri" w:eastAsia="細明體" w:hAnsi="Calibri" w:cs="Segoe UI" w:hint="eastAsia"/>
                <w:kern w:val="2"/>
                <w:sz w:val="17"/>
                <w:szCs w:val="17"/>
                <w:lang w:val="en-US" w:eastAsia="zh-HK"/>
              </w:rPr>
              <w:t>正</w:t>
            </w:r>
            <w:r w:rsidRPr="001D1285">
              <w:rPr>
                <w:rFonts w:ascii="Calibri" w:eastAsia="細明體" w:hAnsi="Calibri" w:cs="Segoe UI"/>
                <w:kern w:val="2"/>
                <w:sz w:val="17"/>
                <w:szCs w:val="17"/>
                <w:lang w:val="en-US" w:eastAsia="zh-TW"/>
              </w:rPr>
              <w:t>數額形式</w:t>
            </w:r>
            <w:r w:rsidRPr="001D1285">
              <w:rPr>
                <w:rFonts w:ascii="Calibri" w:eastAsia="新細明體" w:hAnsi="Calibri" w:cs="Segoe UI" w:hint="eastAsia"/>
                <w:kern w:val="2"/>
                <w:sz w:val="17"/>
                <w:szCs w:val="17"/>
                <w:lang w:eastAsia="zh-HK"/>
              </w:rPr>
              <w:t>填</w:t>
            </w:r>
            <w:r w:rsidRPr="001D1285">
              <w:rPr>
                <w:rFonts w:ascii="Calibri" w:eastAsia="細明體" w:hAnsi="Calibri" w:cs="Segoe UI"/>
                <w:kern w:val="2"/>
                <w:sz w:val="17"/>
                <w:szCs w:val="17"/>
                <w:lang w:val="en-US" w:eastAsia="zh-TW"/>
              </w:rPr>
              <w:t>報。</w:t>
            </w:r>
            <w:r w:rsidRPr="001D1285">
              <w:rPr>
                <w:rFonts w:ascii="Calibri" w:eastAsia="細明體" w:hAnsi="Calibri" w:cs="Segoe UI" w:hint="eastAsia"/>
                <w:kern w:val="2"/>
                <w:sz w:val="17"/>
                <w:szCs w:val="17"/>
                <w:lang w:val="en-US" w:eastAsia="zh-HK"/>
              </w:rPr>
              <w:t>如</w:t>
            </w:r>
            <w:r w:rsidRPr="001D1285">
              <w:rPr>
                <w:rFonts w:ascii="Calibri" w:eastAsia="細明體" w:hAnsi="Calibri" w:cs="Segoe UI"/>
                <w:kern w:val="2"/>
                <w:sz w:val="17"/>
                <w:szCs w:val="17"/>
                <w:lang w:val="en-US" w:eastAsia="zh-TW"/>
              </w:rPr>
              <w:t>這些調整會降低風險承擔，此項應以負數額形式</w:t>
            </w:r>
            <w:r w:rsidRPr="001D1285">
              <w:rPr>
                <w:rFonts w:ascii="Calibri" w:eastAsia="新細明體" w:hAnsi="Calibri" w:cs="Segoe UI" w:hint="eastAsia"/>
                <w:kern w:val="2"/>
                <w:sz w:val="17"/>
                <w:szCs w:val="17"/>
                <w:lang w:eastAsia="zh-HK"/>
              </w:rPr>
              <w:t>填</w:t>
            </w:r>
            <w:r w:rsidRPr="001D1285">
              <w:rPr>
                <w:rFonts w:ascii="Calibri" w:eastAsia="細明體" w:hAnsi="Calibri" w:cs="Segoe UI"/>
                <w:kern w:val="2"/>
                <w:sz w:val="17"/>
                <w:szCs w:val="17"/>
                <w:lang w:val="en-US" w:eastAsia="zh-TW"/>
              </w:rPr>
              <w:t>報。</w:t>
            </w:r>
          </w:p>
        </w:tc>
      </w:tr>
      <w:tr w:rsidR="001D1285" w:rsidRPr="001D1285" w14:paraId="1D099B24" w14:textId="77777777" w:rsidTr="001D1285">
        <w:trPr>
          <w:trHeight w:val="373"/>
        </w:trPr>
        <w:tc>
          <w:tcPr>
            <w:tcW w:w="567" w:type="dxa"/>
          </w:tcPr>
          <w:p w14:paraId="2DB1483A" w14:textId="6467ED13"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8</w:t>
            </w:r>
          </w:p>
        </w:tc>
        <w:tc>
          <w:tcPr>
            <w:tcW w:w="8647" w:type="dxa"/>
          </w:tcPr>
          <w:p w14:paraId="052CA6DA" w14:textId="14AB5D03"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有關</w:t>
            </w:r>
            <w:r w:rsidRPr="001D1285">
              <w:rPr>
                <w:rFonts w:ascii="Calibri" w:eastAsia="細明體" w:hAnsi="Calibri" w:cs="Segoe UI"/>
                <w:kern w:val="2"/>
                <w:sz w:val="17"/>
                <w:szCs w:val="17"/>
                <w:lang w:val="en-US" w:eastAsia="zh-TW"/>
              </w:rPr>
              <w:t>衍生工具合約的調整，應與《資本規則》第</w:t>
            </w:r>
            <w:r w:rsidRPr="001D1285">
              <w:rPr>
                <w:rFonts w:ascii="Calibri" w:eastAsia="新細明體" w:hAnsi="Calibri" w:cs="Segoe UI"/>
                <w:kern w:val="2"/>
                <w:sz w:val="17"/>
                <w:szCs w:val="17"/>
                <w:lang w:val="en-US" w:eastAsia="zh-TW"/>
              </w:rPr>
              <w:t>1C</w:t>
            </w:r>
            <w:r w:rsidRPr="001D1285">
              <w:rPr>
                <w:rFonts w:ascii="Calibri" w:eastAsia="新細明體" w:hAnsi="Calibri" w:cs="Segoe UI"/>
                <w:kern w:val="2"/>
                <w:sz w:val="17"/>
                <w:szCs w:val="17"/>
                <w:lang w:val="en-US" w:eastAsia="zh-TW"/>
              </w:rPr>
              <w:t>部下的</w:t>
            </w:r>
            <w:r w:rsidRPr="001D1285">
              <w:rPr>
                <w:rFonts w:ascii="Calibri" w:eastAsia="細明體" w:hAnsi="Calibri" w:cs="Segoe UI"/>
                <w:kern w:val="2"/>
                <w:sz w:val="17"/>
                <w:szCs w:val="17"/>
                <w:lang w:val="en-US" w:eastAsia="zh-TW"/>
              </w:rPr>
              <w:t>槓桿比率</w:t>
            </w:r>
            <w:r w:rsidRPr="001D1285">
              <w:rPr>
                <w:rFonts w:ascii="Calibri" w:eastAsia="新細明體" w:hAnsi="Calibri" w:cs="Segoe UI"/>
                <w:kern w:val="2"/>
                <w:sz w:val="17"/>
                <w:szCs w:val="17"/>
                <w:lang w:val="en-US" w:eastAsia="zh-TW"/>
              </w:rPr>
              <w:t>計算方法一致。如</w:t>
            </w:r>
            <w:r w:rsidRPr="001D1285">
              <w:rPr>
                <w:rFonts w:ascii="Calibri" w:eastAsia="細明體" w:hAnsi="Calibri" w:cs="Segoe UI"/>
                <w:kern w:val="2"/>
                <w:sz w:val="17"/>
                <w:szCs w:val="17"/>
                <w:lang w:val="en-US" w:eastAsia="zh-TW"/>
              </w:rPr>
              <w:t>這些</w:t>
            </w:r>
            <w:r w:rsidRPr="001D1285">
              <w:rPr>
                <w:rFonts w:ascii="Calibri" w:eastAsia="新細明體" w:hAnsi="Calibri" w:cs="Segoe UI"/>
                <w:kern w:val="2"/>
                <w:sz w:val="17"/>
                <w:szCs w:val="17"/>
                <w:lang w:val="en-US" w:eastAsia="zh-TW"/>
              </w:rPr>
              <w:t>調整會</w:t>
            </w:r>
            <w:r w:rsidRPr="001D1285">
              <w:rPr>
                <w:rFonts w:ascii="Calibri" w:eastAsia="細明體" w:hAnsi="Calibri" w:cs="Segoe UI" w:hint="eastAsia"/>
                <w:kern w:val="2"/>
                <w:sz w:val="17"/>
                <w:szCs w:val="17"/>
                <w:lang w:val="en-US" w:eastAsia="zh-HK"/>
              </w:rPr>
              <w:t>增加</w:t>
            </w:r>
            <w:r w:rsidRPr="001D1285">
              <w:rPr>
                <w:rFonts w:ascii="Calibri" w:eastAsia="細明體" w:hAnsi="Calibri" w:cs="Segoe UI"/>
                <w:kern w:val="2"/>
                <w:sz w:val="17"/>
                <w:szCs w:val="17"/>
                <w:lang w:val="en-US" w:eastAsia="zh-TW"/>
              </w:rPr>
              <w:t>風險承擔，認可機構應以正數額形式披露。</w:t>
            </w:r>
            <w:r w:rsidRPr="001D1285">
              <w:rPr>
                <w:rFonts w:ascii="Calibri" w:eastAsia="新細明體" w:hAnsi="Calibri" w:cs="Segoe UI"/>
                <w:kern w:val="2"/>
                <w:sz w:val="17"/>
                <w:szCs w:val="17"/>
                <w:lang w:val="en-US" w:eastAsia="zh-TW"/>
              </w:rPr>
              <w:t>如</w:t>
            </w:r>
            <w:r w:rsidRPr="001D1285">
              <w:rPr>
                <w:rFonts w:ascii="Calibri" w:eastAsia="細明體" w:hAnsi="Calibri" w:cs="Segoe UI"/>
                <w:kern w:val="2"/>
                <w:sz w:val="17"/>
                <w:szCs w:val="17"/>
                <w:lang w:val="en-US" w:eastAsia="zh-TW"/>
              </w:rPr>
              <w:t>這些</w:t>
            </w:r>
            <w:r w:rsidRPr="001D1285">
              <w:rPr>
                <w:rFonts w:ascii="Calibri" w:eastAsia="新細明體" w:hAnsi="Calibri" w:cs="Segoe UI"/>
                <w:kern w:val="2"/>
                <w:sz w:val="17"/>
                <w:szCs w:val="17"/>
                <w:lang w:val="en-US" w:eastAsia="zh-TW"/>
              </w:rPr>
              <w:t>調整會</w:t>
            </w:r>
            <w:r w:rsidRPr="001D1285">
              <w:rPr>
                <w:rFonts w:ascii="Calibri" w:eastAsia="細明體" w:hAnsi="Calibri" w:cs="Segoe UI"/>
                <w:kern w:val="2"/>
                <w:sz w:val="17"/>
                <w:szCs w:val="17"/>
                <w:lang w:val="en-US" w:eastAsia="zh-TW"/>
              </w:rPr>
              <w:t>降低風險承擔，認可機構應以負數額形式披露。</w:t>
            </w:r>
          </w:p>
        </w:tc>
      </w:tr>
      <w:tr w:rsidR="001D1285" w:rsidRPr="001D1285" w14:paraId="5446AB83" w14:textId="77777777" w:rsidTr="001D1285">
        <w:trPr>
          <w:trHeight w:val="373"/>
        </w:trPr>
        <w:tc>
          <w:tcPr>
            <w:tcW w:w="567" w:type="dxa"/>
          </w:tcPr>
          <w:p w14:paraId="1491726C" w14:textId="0D1C0214"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9</w:t>
            </w:r>
          </w:p>
        </w:tc>
        <w:tc>
          <w:tcPr>
            <w:tcW w:w="8647" w:type="dxa"/>
          </w:tcPr>
          <w:p w14:paraId="2ADF5182" w14:textId="18C97EAF"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有關</w:t>
            </w:r>
            <w:r w:rsidRPr="001D1285">
              <w:rPr>
                <w:rFonts w:ascii="Calibri" w:eastAsia="細明體" w:hAnsi="Calibri" w:cs="Segoe UI" w:hint="eastAsia"/>
                <w:kern w:val="2"/>
                <w:sz w:val="17"/>
                <w:szCs w:val="17"/>
                <w:lang w:val="en-US" w:eastAsia="zh-TW"/>
              </w:rPr>
              <w:t>SFT</w:t>
            </w:r>
            <w:r w:rsidRPr="001D1285">
              <w:rPr>
                <w:rFonts w:ascii="Calibri" w:eastAsia="細明體" w:hAnsi="Calibri" w:cs="Segoe UI"/>
                <w:kern w:val="2"/>
                <w:sz w:val="17"/>
                <w:szCs w:val="17"/>
                <w:lang w:val="en-US" w:eastAsia="zh-TW"/>
              </w:rPr>
              <w:t>的調整</w:t>
            </w:r>
            <w:r w:rsidRPr="001D1285">
              <w:rPr>
                <w:rFonts w:ascii="Calibri" w:eastAsia="新細明體" w:hAnsi="Calibri" w:cs="Segoe UI"/>
                <w:kern w:val="2"/>
                <w:sz w:val="17"/>
                <w:szCs w:val="22"/>
                <w:lang w:val="en-US" w:eastAsia="zh-TW"/>
              </w:rPr>
              <w:t>（</w:t>
            </w:r>
            <w:r w:rsidRPr="001D1285">
              <w:rPr>
                <w:rFonts w:ascii="Calibri" w:eastAsia="細明體" w:hAnsi="Calibri" w:cs="Segoe UI"/>
                <w:kern w:val="2"/>
                <w:sz w:val="17"/>
                <w:szCs w:val="17"/>
                <w:lang w:val="en-US" w:eastAsia="zh-TW"/>
              </w:rPr>
              <w:t>即回購交易及其他類似的有抵押借款</w:t>
            </w:r>
            <w:r w:rsidRPr="001D1285">
              <w:rPr>
                <w:rFonts w:ascii="Calibri" w:eastAsia="新細明體" w:hAnsi="Calibri" w:cs="Segoe UI"/>
                <w:kern w:val="2"/>
                <w:sz w:val="17"/>
                <w:szCs w:val="22"/>
                <w:lang w:val="en-US" w:eastAsia="zh-TW"/>
              </w:rPr>
              <w:t>）</w:t>
            </w:r>
            <w:r w:rsidRPr="001D1285">
              <w:rPr>
                <w:rFonts w:ascii="Calibri" w:eastAsia="細明體" w:hAnsi="Calibri" w:cs="Segoe UI"/>
                <w:kern w:val="2"/>
                <w:sz w:val="17"/>
                <w:szCs w:val="17"/>
                <w:lang w:val="en-US" w:eastAsia="zh-TW"/>
              </w:rPr>
              <w:t>，應與《資本規則》第</w:t>
            </w:r>
            <w:r w:rsidRPr="001D1285">
              <w:rPr>
                <w:rFonts w:ascii="Calibri" w:eastAsia="新細明體" w:hAnsi="Calibri" w:cs="Segoe UI"/>
                <w:kern w:val="2"/>
                <w:sz w:val="17"/>
                <w:szCs w:val="17"/>
                <w:lang w:val="en-US" w:eastAsia="zh-TW"/>
              </w:rPr>
              <w:t>1C</w:t>
            </w:r>
            <w:r w:rsidRPr="001D1285">
              <w:rPr>
                <w:rFonts w:ascii="Calibri" w:eastAsia="新細明體" w:hAnsi="Calibri" w:cs="Segoe UI"/>
                <w:kern w:val="2"/>
                <w:sz w:val="17"/>
                <w:szCs w:val="17"/>
                <w:lang w:val="en-US" w:eastAsia="zh-TW"/>
              </w:rPr>
              <w:t>部下的</w:t>
            </w:r>
            <w:r w:rsidRPr="001D1285">
              <w:rPr>
                <w:rFonts w:ascii="Calibri" w:eastAsia="細明體" w:hAnsi="Calibri" w:cs="Segoe UI"/>
                <w:kern w:val="2"/>
                <w:sz w:val="17"/>
                <w:szCs w:val="17"/>
                <w:lang w:val="en-US" w:eastAsia="zh-TW"/>
              </w:rPr>
              <w:t>槓桿比率</w:t>
            </w:r>
            <w:r w:rsidRPr="001D1285">
              <w:rPr>
                <w:rFonts w:ascii="Calibri" w:eastAsia="新細明體" w:hAnsi="Calibri" w:cs="Segoe UI"/>
                <w:kern w:val="2"/>
                <w:sz w:val="17"/>
                <w:szCs w:val="17"/>
                <w:lang w:val="en-US" w:eastAsia="zh-TW"/>
              </w:rPr>
              <w:t>計算方法一致。如</w:t>
            </w:r>
            <w:r w:rsidRPr="001D1285">
              <w:rPr>
                <w:rFonts w:ascii="Calibri" w:eastAsia="細明體" w:hAnsi="Calibri" w:cs="Segoe UI"/>
                <w:kern w:val="2"/>
                <w:sz w:val="17"/>
                <w:szCs w:val="17"/>
                <w:lang w:val="en-US" w:eastAsia="zh-TW"/>
              </w:rPr>
              <w:t>這些</w:t>
            </w:r>
            <w:r w:rsidRPr="001D1285">
              <w:rPr>
                <w:rFonts w:ascii="Calibri" w:eastAsia="新細明體" w:hAnsi="Calibri" w:cs="Segoe UI"/>
                <w:kern w:val="2"/>
                <w:sz w:val="17"/>
                <w:szCs w:val="17"/>
                <w:lang w:val="en-US" w:eastAsia="zh-TW"/>
              </w:rPr>
              <w:t>調整會</w:t>
            </w:r>
            <w:r w:rsidRPr="001D1285">
              <w:rPr>
                <w:rFonts w:ascii="Calibri" w:eastAsia="細明體" w:hAnsi="Calibri" w:cs="Segoe UI" w:hint="eastAsia"/>
                <w:kern w:val="2"/>
                <w:sz w:val="17"/>
                <w:szCs w:val="17"/>
                <w:lang w:val="en-US" w:eastAsia="zh-HK"/>
              </w:rPr>
              <w:t>增加</w:t>
            </w:r>
            <w:r w:rsidRPr="001D1285">
              <w:rPr>
                <w:rFonts w:ascii="Calibri" w:eastAsia="細明體" w:hAnsi="Calibri" w:cs="Segoe UI"/>
                <w:kern w:val="2"/>
                <w:sz w:val="17"/>
                <w:szCs w:val="17"/>
                <w:lang w:val="en-US" w:eastAsia="zh-TW"/>
              </w:rPr>
              <w:t>風險承擔，認可機構應以正數額形式披露。</w:t>
            </w:r>
            <w:r w:rsidRPr="001D1285">
              <w:rPr>
                <w:rFonts w:ascii="Calibri" w:eastAsia="新細明體" w:hAnsi="Calibri" w:cs="Segoe UI"/>
                <w:kern w:val="2"/>
                <w:sz w:val="17"/>
                <w:szCs w:val="17"/>
                <w:lang w:val="en-US" w:eastAsia="zh-TW"/>
              </w:rPr>
              <w:t>如</w:t>
            </w:r>
            <w:r w:rsidRPr="001D1285">
              <w:rPr>
                <w:rFonts w:ascii="Calibri" w:eastAsia="細明體" w:hAnsi="Calibri" w:cs="Segoe UI"/>
                <w:kern w:val="2"/>
                <w:sz w:val="17"/>
                <w:szCs w:val="17"/>
                <w:lang w:val="en-US" w:eastAsia="zh-TW"/>
              </w:rPr>
              <w:t>這些</w:t>
            </w:r>
            <w:r w:rsidRPr="001D1285">
              <w:rPr>
                <w:rFonts w:ascii="Calibri" w:eastAsia="新細明體" w:hAnsi="Calibri" w:cs="Segoe UI"/>
                <w:kern w:val="2"/>
                <w:sz w:val="17"/>
                <w:szCs w:val="17"/>
                <w:lang w:val="en-US" w:eastAsia="zh-TW"/>
              </w:rPr>
              <w:t>調整會</w:t>
            </w:r>
            <w:r w:rsidRPr="001D1285">
              <w:rPr>
                <w:rFonts w:ascii="Calibri" w:eastAsia="細明體" w:hAnsi="Calibri" w:cs="Segoe UI"/>
                <w:kern w:val="2"/>
                <w:sz w:val="17"/>
                <w:szCs w:val="17"/>
                <w:lang w:val="en-US" w:eastAsia="zh-TW"/>
              </w:rPr>
              <w:t>降低風險承擔，認可機構應以負數額形式披露。</w:t>
            </w:r>
          </w:p>
        </w:tc>
      </w:tr>
      <w:tr w:rsidR="001D1285" w:rsidRPr="001D1285" w14:paraId="227500E7" w14:textId="77777777" w:rsidTr="001D1285">
        <w:trPr>
          <w:trHeight w:val="373"/>
        </w:trPr>
        <w:tc>
          <w:tcPr>
            <w:tcW w:w="567" w:type="dxa"/>
          </w:tcPr>
          <w:p w14:paraId="362E9EC7" w14:textId="050DB00F"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10</w:t>
            </w:r>
          </w:p>
        </w:tc>
        <w:tc>
          <w:tcPr>
            <w:tcW w:w="8647" w:type="dxa"/>
          </w:tcPr>
          <w:p w14:paraId="358DF822" w14:textId="092D2709" w:rsidR="001D1285" w:rsidRPr="001D1285" w:rsidRDefault="001D1285" w:rsidP="005E1FB7">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透過運用</w:t>
            </w:r>
            <w:r w:rsidR="0076408B">
              <w:rPr>
                <w:rFonts w:ascii="Calibri" w:eastAsia="新細明體" w:hAnsi="Calibri" w:cs="Segoe UI" w:hint="eastAsia"/>
                <w:kern w:val="2"/>
                <w:sz w:val="17"/>
                <w:szCs w:val="17"/>
                <w:lang w:val="en-US" w:eastAsia="zh-TW"/>
              </w:rPr>
              <w:t>C</w:t>
            </w:r>
            <w:r w:rsidR="0076408B">
              <w:rPr>
                <w:rFonts w:ascii="Calibri" w:eastAsia="新細明體" w:hAnsi="Calibri" w:cs="Segoe UI"/>
                <w:kern w:val="2"/>
                <w:sz w:val="17"/>
                <w:szCs w:val="17"/>
                <w:lang w:val="en-US" w:eastAsia="zh-TW"/>
              </w:rPr>
              <w:t>CF</w:t>
            </w:r>
            <w:r w:rsidRPr="001D1285">
              <w:rPr>
                <w:rFonts w:ascii="Calibri" w:eastAsia="新細明體" w:hAnsi="Calibri" w:cs="Segoe UI"/>
                <w:kern w:val="2"/>
                <w:sz w:val="17"/>
                <w:szCs w:val="17"/>
                <w:lang w:val="en-US" w:eastAsia="zh-TW"/>
              </w:rPr>
              <w:t>轉換成</w:t>
            </w:r>
            <w:r w:rsidRPr="001D1285">
              <w:rPr>
                <w:rFonts w:ascii="Calibri" w:eastAsia="細明體" w:hAnsi="Calibri" w:cs="Segoe UI"/>
                <w:kern w:val="2"/>
                <w:sz w:val="17"/>
                <w:szCs w:val="17"/>
                <w:lang w:val="en-US" w:eastAsia="zh-TW"/>
              </w:rPr>
              <w:t>信貸等值數額</w:t>
            </w:r>
            <w:r w:rsidRPr="001D1285">
              <w:rPr>
                <w:rFonts w:ascii="Calibri" w:eastAsia="新細明體" w:hAnsi="Calibri" w:cs="Segoe UI"/>
                <w:kern w:val="2"/>
                <w:sz w:val="17"/>
                <w:szCs w:val="17"/>
                <w:lang w:val="en-US" w:eastAsia="zh-TW"/>
              </w:rPr>
              <w:t>的</w:t>
            </w:r>
            <w:r w:rsidRPr="001D1285">
              <w:rPr>
                <w:rFonts w:ascii="Calibri" w:eastAsia="細明體" w:hAnsi="Calibri" w:cs="Segoe UI"/>
                <w:kern w:val="2"/>
                <w:sz w:val="17"/>
                <w:szCs w:val="17"/>
                <w:lang w:val="en-US" w:eastAsia="zh-TW"/>
              </w:rPr>
              <w:t>資產負債表外風險承擔的總和。有關資產負債表外風險承擔的</w:t>
            </w:r>
            <w:r w:rsidRPr="001D1285">
              <w:rPr>
                <w:rFonts w:ascii="Calibri" w:eastAsia="細明體" w:hAnsi="Calibri" w:cs="Segoe UI"/>
                <w:kern w:val="2"/>
                <w:sz w:val="17"/>
                <w:szCs w:val="17"/>
                <w:lang w:val="en-US" w:eastAsia="zh-HK"/>
              </w:rPr>
              <w:t>詳</w:t>
            </w:r>
            <w:r w:rsidRPr="001D1285">
              <w:rPr>
                <w:rFonts w:ascii="Calibri" w:eastAsia="細明體" w:hAnsi="Calibri" w:cs="Segoe UI"/>
                <w:kern w:val="2"/>
                <w:sz w:val="17"/>
                <w:szCs w:val="17"/>
                <w:lang w:val="en-US" w:eastAsia="zh-TW"/>
              </w:rPr>
              <w:t>情及其適用的</w:t>
            </w:r>
            <w:r w:rsidRPr="001D1285">
              <w:rPr>
                <w:rFonts w:ascii="Calibri" w:eastAsia="細明體" w:hAnsi="Calibri" w:cs="Segoe UI" w:hint="eastAsia"/>
                <w:kern w:val="2"/>
                <w:sz w:val="17"/>
                <w:szCs w:val="17"/>
                <w:lang w:val="en-US" w:eastAsia="zh-TW"/>
              </w:rPr>
              <w:t>CCF</w:t>
            </w:r>
            <w:r w:rsidRPr="001D1285">
              <w:rPr>
                <w:rFonts w:ascii="Calibri" w:eastAsia="新細明體" w:hAnsi="Calibri" w:cs="Segoe UI"/>
                <w:kern w:val="2"/>
                <w:sz w:val="17"/>
                <w:szCs w:val="17"/>
                <w:lang w:val="en-US" w:eastAsia="zh-TW"/>
              </w:rPr>
              <w:t>，請參閱</w:t>
            </w:r>
            <w:r w:rsidRPr="001D1285">
              <w:rPr>
                <w:rFonts w:ascii="Calibri" w:eastAsia="細明體" w:hAnsi="Calibri" w:cs="Segoe UI"/>
                <w:kern w:val="2"/>
                <w:sz w:val="17"/>
                <w:szCs w:val="17"/>
                <w:lang w:val="en-US" w:eastAsia="zh-TW"/>
              </w:rPr>
              <w:t>《資本規則》第</w:t>
            </w:r>
            <w:r w:rsidRPr="001D1285">
              <w:rPr>
                <w:rFonts w:ascii="Calibri" w:eastAsia="新細明體" w:hAnsi="Calibri" w:cs="Segoe UI"/>
                <w:kern w:val="2"/>
                <w:sz w:val="17"/>
                <w:szCs w:val="17"/>
                <w:lang w:val="en-US" w:eastAsia="zh-TW"/>
              </w:rPr>
              <w:t>1C</w:t>
            </w:r>
            <w:proofErr w:type="gramStart"/>
            <w:r w:rsidRPr="001D1285">
              <w:rPr>
                <w:rFonts w:ascii="Calibri" w:eastAsia="新細明體" w:hAnsi="Calibri" w:cs="Segoe UI"/>
                <w:kern w:val="2"/>
                <w:sz w:val="17"/>
                <w:szCs w:val="17"/>
                <w:lang w:val="en-US" w:eastAsia="zh-TW"/>
              </w:rPr>
              <w:t>部的</w:t>
            </w:r>
            <w:r w:rsidRPr="001D1285">
              <w:rPr>
                <w:rFonts w:ascii="Calibri" w:eastAsia="細明體" w:hAnsi="Calibri" w:cs="Segoe UI"/>
                <w:kern w:val="2"/>
                <w:sz w:val="17"/>
                <w:szCs w:val="17"/>
                <w:lang w:val="en-US" w:eastAsia="zh-TW"/>
              </w:rPr>
              <w:t>槓桿</w:t>
            </w:r>
            <w:proofErr w:type="gramEnd"/>
            <w:r w:rsidRPr="001D1285">
              <w:rPr>
                <w:rFonts w:ascii="Calibri" w:eastAsia="細明體" w:hAnsi="Calibri" w:cs="Segoe UI"/>
                <w:kern w:val="2"/>
                <w:sz w:val="17"/>
                <w:szCs w:val="17"/>
                <w:lang w:val="en-US" w:eastAsia="zh-TW"/>
              </w:rPr>
              <w:t>比率</w:t>
            </w:r>
            <w:r w:rsidRPr="001D1285">
              <w:rPr>
                <w:rFonts w:ascii="Calibri" w:eastAsia="新細明體" w:hAnsi="Calibri" w:cs="Segoe UI"/>
                <w:kern w:val="2"/>
                <w:sz w:val="17"/>
                <w:szCs w:val="17"/>
                <w:lang w:val="en-US" w:eastAsia="zh-TW"/>
              </w:rPr>
              <w:t>計算方法。</w:t>
            </w:r>
            <w:r w:rsidRPr="001D1285">
              <w:rPr>
                <w:rFonts w:ascii="Calibri" w:eastAsia="新細明體" w:hAnsi="Calibri" w:cs="Segoe UI" w:hint="eastAsia"/>
                <w:kern w:val="2"/>
                <w:sz w:val="17"/>
                <w:szCs w:val="17"/>
                <w:lang w:val="en-US" w:eastAsia="zh-HK"/>
              </w:rPr>
              <w:t>由於這些數額會增加</w:t>
            </w:r>
            <w:r w:rsidR="005E1FB7" w:rsidRPr="001D1285">
              <w:rPr>
                <w:rFonts w:ascii="Calibri" w:eastAsia="新細明體" w:hAnsi="Calibri" w:cs="Segoe UI" w:hint="eastAsia"/>
                <w:kern w:val="2"/>
                <w:sz w:val="17"/>
                <w:szCs w:val="17"/>
                <w:lang w:val="en-US" w:eastAsia="zh-HK"/>
              </w:rPr>
              <w:t>總</w:t>
            </w:r>
            <w:r w:rsidRPr="001D1285">
              <w:rPr>
                <w:rFonts w:ascii="Calibri" w:eastAsia="新細明體" w:hAnsi="Calibri" w:cs="Segoe UI" w:hint="eastAsia"/>
                <w:kern w:val="2"/>
                <w:sz w:val="17"/>
                <w:szCs w:val="17"/>
                <w:lang w:val="en-US" w:eastAsia="zh-HK"/>
              </w:rPr>
              <w:t>槓桿比率風險承擔計量</w:t>
            </w:r>
            <w:r w:rsidRPr="001D1285">
              <w:rPr>
                <w:rFonts w:ascii="Calibri" w:eastAsia="新細明體" w:hAnsi="Calibri" w:cs="Segoe UI" w:hint="eastAsia"/>
                <w:kern w:val="2"/>
                <w:sz w:val="17"/>
                <w:szCs w:val="17"/>
                <w:lang w:val="en-US" w:eastAsia="zh-TW"/>
              </w:rPr>
              <w:t>，</w:t>
            </w:r>
            <w:r w:rsidR="008902F2" w:rsidRPr="001D1285">
              <w:rPr>
                <w:rFonts w:ascii="Calibri" w:eastAsia="細明體" w:hAnsi="Calibri" w:cs="Segoe UI"/>
                <w:kern w:val="2"/>
                <w:sz w:val="17"/>
                <w:szCs w:val="17"/>
                <w:lang w:val="en-US" w:eastAsia="zh-TW"/>
              </w:rPr>
              <w:t>此項</w:t>
            </w:r>
            <w:r w:rsidR="008902F2" w:rsidRPr="001D1285">
              <w:rPr>
                <w:rFonts w:ascii="Calibri" w:eastAsia="新細明體" w:hAnsi="Calibri" w:cs="Segoe UI" w:hint="eastAsia"/>
                <w:kern w:val="2"/>
                <w:sz w:val="17"/>
                <w:szCs w:val="17"/>
                <w:lang w:eastAsia="zh-HK"/>
              </w:rPr>
              <w:t>應以正數</w:t>
            </w:r>
            <w:r w:rsidR="008902F2" w:rsidRPr="001D1285">
              <w:rPr>
                <w:rFonts w:ascii="Calibri" w:eastAsia="細明體" w:hAnsi="Calibri" w:cs="Segoe UI"/>
                <w:kern w:val="2"/>
                <w:sz w:val="17"/>
                <w:szCs w:val="17"/>
                <w:lang w:val="en-US" w:eastAsia="zh-TW"/>
              </w:rPr>
              <w:t>額</w:t>
            </w:r>
            <w:r w:rsidR="008902F2" w:rsidRPr="001D1285">
              <w:rPr>
                <w:rFonts w:ascii="Calibri" w:eastAsia="新細明體" w:hAnsi="Calibri" w:cs="Segoe UI" w:hint="eastAsia"/>
                <w:kern w:val="2"/>
                <w:sz w:val="17"/>
                <w:szCs w:val="17"/>
                <w:lang w:eastAsia="zh-HK"/>
              </w:rPr>
              <w:t>形式填報</w:t>
            </w:r>
            <w:r w:rsidRPr="001D1285">
              <w:rPr>
                <w:rFonts w:ascii="Calibri" w:eastAsia="新細明體" w:hAnsi="Calibri" w:cs="Segoe UI" w:hint="eastAsia"/>
                <w:kern w:val="2"/>
                <w:sz w:val="17"/>
                <w:szCs w:val="17"/>
                <w:lang w:val="en-US" w:eastAsia="zh-TW"/>
              </w:rPr>
              <w:t>。</w:t>
            </w:r>
          </w:p>
        </w:tc>
      </w:tr>
      <w:tr w:rsidR="001D1285" w:rsidRPr="001D1285" w14:paraId="19B5E5E5" w14:textId="77777777" w:rsidTr="001D1285">
        <w:trPr>
          <w:trHeight w:val="373"/>
        </w:trPr>
        <w:tc>
          <w:tcPr>
            <w:tcW w:w="567" w:type="dxa"/>
          </w:tcPr>
          <w:p w14:paraId="7DB05B81" w14:textId="29A35C8B"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11</w:t>
            </w:r>
          </w:p>
        </w:tc>
        <w:tc>
          <w:tcPr>
            <w:tcW w:w="8647" w:type="dxa"/>
          </w:tcPr>
          <w:p w14:paraId="71B36FE7" w14:textId="023B2BA9" w:rsidR="001D1285" w:rsidRPr="001D1285" w:rsidRDefault="001E17EC" w:rsidP="001D1285">
            <w:pPr>
              <w:keepLines/>
              <w:widowControl w:val="0"/>
              <w:tabs>
                <w:tab w:val="left" w:pos="150"/>
                <w:tab w:val="left" w:pos="397"/>
                <w:tab w:val="left" w:pos="794"/>
                <w:tab w:val="left" w:pos="1191"/>
              </w:tabs>
              <w:spacing w:before="40" w:after="40"/>
              <w:jc w:val="both"/>
              <w:rPr>
                <w:rFonts w:ascii="Calibri" w:eastAsia="細明體" w:hAnsi="Calibri" w:cs="Segoe UI"/>
                <w:kern w:val="2"/>
                <w:sz w:val="17"/>
                <w:szCs w:val="17"/>
                <w:lang w:val="en-US" w:eastAsia="zh-TW"/>
              </w:rPr>
            </w:pPr>
            <w:r>
              <w:rPr>
                <w:rFonts w:ascii="Calibri" w:eastAsia="新細明體" w:hAnsi="Calibri" w:cs="Segoe UI" w:hint="eastAsia"/>
                <w:kern w:val="2"/>
                <w:sz w:val="17"/>
                <w:szCs w:val="17"/>
                <w:lang w:val="en-US" w:eastAsia="zh-HK"/>
              </w:rPr>
              <w:t>有關</w:t>
            </w:r>
            <w:r w:rsidR="001D1285" w:rsidRPr="001D1285">
              <w:rPr>
                <w:rFonts w:ascii="Calibri" w:eastAsia="新細明體" w:hAnsi="Calibri" w:cs="Segoe UI"/>
                <w:kern w:val="2"/>
                <w:sz w:val="17"/>
                <w:szCs w:val="17"/>
                <w:lang w:val="en-US" w:eastAsia="zh-TW"/>
              </w:rPr>
              <w:t>從一級資本扣減的</w:t>
            </w:r>
            <w:r w:rsidR="001D1285" w:rsidRPr="001D1285">
              <w:rPr>
                <w:rFonts w:ascii="Calibri" w:eastAsia="細明體" w:hAnsi="Calibri" w:cs="Segoe UI" w:hint="eastAsia"/>
                <w:kern w:val="2"/>
                <w:sz w:val="17"/>
                <w:szCs w:val="17"/>
                <w:lang w:val="en-US" w:eastAsia="zh-HK"/>
              </w:rPr>
              <w:t>審</w:t>
            </w:r>
            <w:r w:rsidR="001D1285" w:rsidRPr="001D1285">
              <w:rPr>
                <w:rFonts w:ascii="Calibri" w:eastAsia="細明體" w:hAnsi="Calibri" w:cs="Segoe UI" w:hint="eastAsia"/>
                <w:kern w:val="2"/>
                <w:sz w:val="17"/>
                <w:szCs w:val="17"/>
                <w:lang w:val="en-US" w:eastAsia="zh-TW"/>
              </w:rPr>
              <w:t>慎</w:t>
            </w:r>
            <w:r w:rsidR="001D1285" w:rsidRPr="001D1285">
              <w:rPr>
                <w:rFonts w:ascii="Calibri" w:eastAsia="細明體" w:hAnsi="Calibri" w:cs="Segoe UI" w:hint="eastAsia"/>
                <w:kern w:val="2"/>
                <w:sz w:val="17"/>
                <w:szCs w:val="17"/>
                <w:lang w:val="en-US" w:eastAsia="zh-HK"/>
              </w:rPr>
              <w:t>估值調整及</w:t>
            </w:r>
            <w:r w:rsidR="001D1285" w:rsidRPr="001D1285">
              <w:rPr>
                <w:rFonts w:ascii="Calibri" w:eastAsia="新細明體" w:hAnsi="Calibri" w:cs="Segoe UI"/>
                <w:kern w:val="2"/>
                <w:sz w:val="17"/>
                <w:szCs w:val="17"/>
                <w:lang w:val="en-US" w:eastAsia="zh-TW"/>
              </w:rPr>
              <w:t>特定準備金及集體準備金的調整</w:t>
            </w:r>
            <w:r w:rsidR="00091D81" w:rsidRPr="001D1285">
              <w:rPr>
                <w:rFonts w:ascii="Calibri" w:eastAsia="細明體" w:hAnsi="Calibri" w:cs="Segoe UI"/>
                <w:kern w:val="2"/>
                <w:sz w:val="17"/>
                <w:szCs w:val="17"/>
                <w:lang w:val="en-US" w:eastAsia="zh-TW"/>
              </w:rPr>
              <w:t>。</w:t>
            </w:r>
            <w:r w:rsidR="001D1285" w:rsidRPr="001D1285">
              <w:rPr>
                <w:rFonts w:ascii="Calibri" w:eastAsia="細明體" w:hAnsi="Calibri" w:cs="Segoe UI"/>
                <w:kern w:val="2"/>
                <w:sz w:val="17"/>
                <w:szCs w:val="17"/>
                <w:lang w:val="en-US" w:eastAsia="zh-TW"/>
              </w:rPr>
              <w:t>由於這些</w:t>
            </w:r>
            <w:r w:rsidR="001D1285" w:rsidRPr="001D1285">
              <w:rPr>
                <w:rFonts w:ascii="Calibri" w:eastAsia="新細明體" w:hAnsi="Calibri" w:cs="Segoe UI"/>
                <w:kern w:val="2"/>
                <w:sz w:val="17"/>
                <w:szCs w:val="17"/>
                <w:lang w:val="en-US" w:eastAsia="zh-TW"/>
              </w:rPr>
              <w:t>調整</w:t>
            </w:r>
            <w:r w:rsidR="001D1285" w:rsidRPr="001D1285">
              <w:rPr>
                <w:rFonts w:ascii="Calibri" w:eastAsia="細明體" w:hAnsi="Calibri" w:cs="Segoe UI"/>
                <w:kern w:val="2"/>
                <w:sz w:val="17"/>
                <w:szCs w:val="17"/>
                <w:lang w:val="en-US" w:eastAsia="zh-HK"/>
              </w:rPr>
              <w:t>會</w:t>
            </w:r>
            <w:r w:rsidR="001D1285" w:rsidRPr="001D1285">
              <w:rPr>
                <w:rFonts w:ascii="Calibri" w:eastAsia="細明體" w:hAnsi="Calibri" w:cs="Segoe UI"/>
                <w:kern w:val="2"/>
                <w:sz w:val="17"/>
                <w:szCs w:val="17"/>
                <w:lang w:val="en-US" w:eastAsia="zh-TW"/>
              </w:rPr>
              <w:t>降低</w:t>
            </w:r>
            <w:r w:rsidR="001D1285" w:rsidRPr="001D1285">
              <w:rPr>
                <w:rFonts w:ascii="Calibri" w:eastAsia="新細明體" w:hAnsi="Calibri" w:cs="Segoe UI"/>
                <w:kern w:val="2"/>
                <w:sz w:val="17"/>
                <w:szCs w:val="17"/>
                <w:lang w:val="en-US" w:eastAsia="zh-TW"/>
              </w:rPr>
              <w:t>槓桿比率承擔計量</w:t>
            </w:r>
            <w:r w:rsidR="001D1285" w:rsidRPr="001D1285">
              <w:rPr>
                <w:rFonts w:ascii="Calibri" w:eastAsia="細明體" w:hAnsi="Calibri" w:cs="Segoe UI"/>
                <w:kern w:val="2"/>
                <w:sz w:val="17"/>
                <w:szCs w:val="17"/>
                <w:lang w:val="en-US" w:eastAsia="zh-TW"/>
              </w:rPr>
              <w:t>（而減少的值與</w:t>
            </w:r>
            <w:r w:rsidR="001D1285" w:rsidRPr="001D1285">
              <w:rPr>
                <w:rFonts w:ascii="Calibri" w:eastAsia="細明體" w:hAnsi="Calibri" w:cs="Segoe UI" w:hint="eastAsia"/>
                <w:kern w:val="2"/>
                <w:sz w:val="17"/>
                <w:szCs w:val="17"/>
                <w:lang w:val="en-US" w:eastAsia="zh-HK"/>
              </w:rPr>
              <w:t>審</w:t>
            </w:r>
            <w:r w:rsidR="001D1285" w:rsidRPr="001D1285">
              <w:rPr>
                <w:rFonts w:ascii="Calibri" w:eastAsia="細明體" w:hAnsi="Calibri" w:cs="Segoe UI" w:hint="eastAsia"/>
                <w:kern w:val="2"/>
                <w:sz w:val="17"/>
                <w:szCs w:val="17"/>
                <w:lang w:val="en-US" w:eastAsia="zh-TW"/>
              </w:rPr>
              <w:t>慎</w:t>
            </w:r>
            <w:r w:rsidR="001D1285" w:rsidRPr="001D1285">
              <w:rPr>
                <w:rFonts w:ascii="Calibri" w:eastAsia="細明體" w:hAnsi="Calibri" w:cs="Segoe UI" w:hint="eastAsia"/>
                <w:kern w:val="2"/>
                <w:sz w:val="17"/>
                <w:szCs w:val="17"/>
                <w:lang w:val="en-US" w:eastAsia="zh-HK"/>
              </w:rPr>
              <w:t>估值調整及</w:t>
            </w:r>
            <w:r w:rsidR="001D1285" w:rsidRPr="001D1285">
              <w:rPr>
                <w:rFonts w:ascii="Calibri" w:eastAsia="新細明體" w:hAnsi="Calibri" w:cs="Segoe UI"/>
                <w:kern w:val="2"/>
                <w:sz w:val="17"/>
                <w:szCs w:val="17"/>
                <w:lang w:val="en-US" w:eastAsia="zh-TW"/>
              </w:rPr>
              <w:t>準備金可從一級資本扣減的數額</w:t>
            </w:r>
            <w:r w:rsidR="001D1285" w:rsidRPr="001D1285">
              <w:rPr>
                <w:rFonts w:ascii="Calibri" w:eastAsia="新細明體" w:hAnsi="Calibri" w:cs="Segoe UI" w:hint="eastAsia"/>
                <w:kern w:val="2"/>
                <w:sz w:val="17"/>
                <w:szCs w:val="17"/>
                <w:lang w:val="en-US" w:eastAsia="zh-HK"/>
              </w:rPr>
              <w:t>相</w:t>
            </w:r>
            <w:r w:rsidR="001D1285" w:rsidRPr="001D1285">
              <w:rPr>
                <w:rFonts w:ascii="Calibri" w:eastAsia="新細明體" w:hAnsi="Calibri" w:cs="Segoe UI"/>
                <w:kern w:val="2"/>
                <w:sz w:val="17"/>
                <w:szCs w:val="17"/>
                <w:lang w:val="en-US" w:eastAsia="zh-TW"/>
              </w:rPr>
              <w:t>同</w:t>
            </w:r>
            <w:r w:rsidR="001D1285" w:rsidRPr="001D1285">
              <w:rPr>
                <w:rFonts w:ascii="Calibri" w:eastAsia="細明體" w:hAnsi="Calibri" w:cs="Segoe UI"/>
                <w:kern w:val="2"/>
                <w:sz w:val="17"/>
                <w:szCs w:val="17"/>
                <w:lang w:val="en-US" w:eastAsia="zh-TW"/>
              </w:rPr>
              <w:t>）</w:t>
            </w:r>
            <w:r w:rsidR="001D1285" w:rsidRPr="001D1285">
              <w:rPr>
                <w:rFonts w:ascii="Calibri" w:eastAsia="新細明體" w:hAnsi="Calibri" w:cs="Segoe UI"/>
                <w:kern w:val="2"/>
                <w:sz w:val="17"/>
                <w:szCs w:val="17"/>
                <w:lang w:val="en-US" w:eastAsia="zh-TW"/>
              </w:rPr>
              <w:t>，故</w:t>
            </w:r>
            <w:r w:rsidR="001D1285" w:rsidRPr="001D1285">
              <w:rPr>
                <w:rFonts w:ascii="Calibri" w:eastAsia="細明體" w:hAnsi="Calibri" w:cs="Segoe UI"/>
                <w:kern w:val="2"/>
                <w:sz w:val="17"/>
                <w:szCs w:val="17"/>
                <w:lang w:val="en-US" w:eastAsia="zh-TW"/>
              </w:rPr>
              <w:t>應以負數額形式</w:t>
            </w:r>
            <w:r w:rsidR="001D1285" w:rsidRPr="001D1285">
              <w:rPr>
                <w:rFonts w:ascii="Calibri" w:eastAsia="新細明體" w:hAnsi="Calibri" w:cs="Segoe UI" w:hint="eastAsia"/>
                <w:kern w:val="2"/>
                <w:sz w:val="17"/>
                <w:szCs w:val="17"/>
                <w:lang w:val="en-US" w:eastAsia="zh-HK"/>
              </w:rPr>
              <w:t>填</w:t>
            </w:r>
            <w:r w:rsidR="001D1285" w:rsidRPr="001D1285">
              <w:rPr>
                <w:rFonts w:ascii="Calibri" w:eastAsia="細明體" w:hAnsi="Calibri" w:cs="Segoe UI"/>
                <w:kern w:val="2"/>
                <w:sz w:val="17"/>
                <w:szCs w:val="17"/>
                <w:lang w:val="en-US" w:eastAsia="zh-TW"/>
              </w:rPr>
              <w:t>報。</w:t>
            </w:r>
          </w:p>
          <w:p w14:paraId="0BD8DD7E" w14:textId="77777777"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當已</w:t>
            </w:r>
            <w:r w:rsidRPr="001D1285">
              <w:rPr>
                <w:rFonts w:ascii="Calibri" w:eastAsia="新細明體" w:hAnsi="Calibri" w:cs="Segoe UI"/>
                <w:kern w:val="2"/>
                <w:sz w:val="17"/>
                <w:szCs w:val="17"/>
                <w:lang w:val="en-US" w:eastAsia="zh-TW"/>
              </w:rPr>
              <w:t>為資產負債表外風險承擔撥出特定準備金及集體準備金，而該撥備有令一級資本減少的效果，則該等準備金數額可從</w:t>
            </w:r>
            <w:r w:rsidRPr="001D1285">
              <w:rPr>
                <w:rFonts w:ascii="Calibri" w:eastAsia="細明體" w:hAnsi="Calibri" w:cs="Segoe UI"/>
                <w:kern w:val="2"/>
                <w:sz w:val="17"/>
                <w:szCs w:val="17"/>
                <w:lang w:val="en-US" w:eastAsia="zh-TW"/>
              </w:rPr>
              <w:t>風險承擔的</w:t>
            </w:r>
            <w:r w:rsidRPr="001D1285">
              <w:rPr>
                <w:rFonts w:ascii="Calibri" w:eastAsia="新細明體" w:hAnsi="Calibri" w:cs="Segoe UI"/>
                <w:kern w:val="2"/>
                <w:sz w:val="17"/>
                <w:szCs w:val="17"/>
                <w:lang w:val="en-US" w:eastAsia="zh-TW"/>
              </w:rPr>
              <w:t>信貸等值數額中扣減，並可在此行內填報此扣減額。但因此得出的資產負債表外風險承擔信貸等值數額總額不可以少於零</w:t>
            </w:r>
            <w:r w:rsidRPr="001D1285">
              <w:rPr>
                <w:rFonts w:ascii="Calibri" w:eastAsia="細明體" w:hAnsi="Calibri" w:cs="Segoe UI"/>
                <w:kern w:val="2"/>
                <w:sz w:val="17"/>
                <w:szCs w:val="17"/>
                <w:lang w:val="en-US" w:eastAsia="zh-TW"/>
              </w:rPr>
              <w:t>。</w:t>
            </w:r>
          </w:p>
        </w:tc>
      </w:tr>
      <w:tr w:rsidR="001D1285" w:rsidRPr="001D1285" w14:paraId="6B84879B" w14:textId="77777777" w:rsidTr="001D1285">
        <w:trPr>
          <w:trHeight w:val="373"/>
        </w:trPr>
        <w:tc>
          <w:tcPr>
            <w:tcW w:w="567" w:type="dxa"/>
          </w:tcPr>
          <w:p w14:paraId="724141BA" w14:textId="3306AA5E"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12</w:t>
            </w:r>
          </w:p>
        </w:tc>
        <w:tc>
          <w:tcPr>
            <w:tcW w:w="8647" w:type="dxa"/>
          </w:tcPr>
          <w:p w14:paraId="4C837DF9" w14:textId="43645468"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須為對帳而作出、但並未包括在以上第</w:t>
            </w:r>
            <w:r w:rsidRPr="001D1285">
              <w:rPr>
                <w:rFonts w:ascii="Calibri" w:eastAsia="新細明體" w:hAnsi="Calibri" w:cs="Segoe UI"/>
                <w:kern w:val="2"/>
                <w:sz w:val="17"/>
                <w:szCs w:val="17"/>
                <w:lang w:val="en-US" w:eastAsia="zh-TW"/>
              </w:rPr>
              <w:t>1</w:t>
            </w:r>
            <w:r w:rsidRPr="001D1285">
              <w:rPr>
                <w:rFonts w:ascii="Calibri" w:eastAsia="新細明體" w:hAnsi="Calibri" w:cs="Segoe UI"/>
                <w:kern w:val="2"/>
                <w:sz w:val="17"/>
                <w:szCs w:val="17"/>
                <w:lang w:val="en-US" w:eastAsia="zh-TW"/>
              </w:rPr>
              <w:t>至</w:t>
            </w:r>
            <w:r w:rsidRPr="001D1285">
              <w:rPr>
                <w:rFonts w:ascii="Calibri" w:eastAsia="新細明體" w:hAnsi="Calibri" w:cs="Segoe UI" w:hint="eastAsia"/>
                <w:kern w:val="2"/>
                <w:sz w:val="17"/>
                <w:szCs w:val="17"/>
                <w:lang w:val="en-US" w:eastAsia="zh-TW"/>
              </w:rPr>
              <w:t>11</w:t>
            </w:r>
            <w:r w:rsidRPr="001D1285">
              <w:rPr>
                <w:rFonts w:ascii="Calibri" w:eastAsia="新細明體" w:hAnsi="Calibri" w:cs="Segoe UI"/>
                <w:kern w:val="2"/>
                <w:sz w:val="17"/>
                <w:szCs w:val="17"/>
                <w:lang w:val="en-US" w:eastAsia="zh-TW"/>
              </w:rPr>
              <w:t>行的任何其他調整。這些調整可能包括根據《資本規則》第</w:t>
            </w:r>
            <w:r w:rsidRPr="001D1285">
              <w:rPr>
                <w:rFonts w:ascii="Calibri" w:eastAsia="新細明體" w:hAnsi="Calibri" w:cs="Segoe UI"/>
                <w:kern w:val="2"/>
                <w:sz w:val="17"/>
                <w:szCs w:val="17"/>
                <w:lang w:val="en-US" w:eastAsia="zh-TW"/>
              </w:rPr>
              <w:t>38(2)</w:t>
            </w:r>
            <w:r w:rsidRPr="001D1285">
              <w:rPr>
                <w:rFonts w:ascii="Calibri" w:eastAsia="新細明體" w:hAnsi="Calibri" w:cs="Segoe UI"/>
                <w:kern w:val="2"/>
                <w:sz w:val="17"/>
                <w:szCs w:val="17"/>
                <w:lang w:val="en-US" w:eastAsia="zh-TW"/>
              </w:rPr>
              <w:t>、</w:t>
            </w:r>
            <w:r w:rsidRPr="001D1285">
              <w:rPr>
                <w:rFonts w:ascii="Calibri" w:eastAsia="新細明體" w:hAnsi="Calibri" w:cs="Segoe UI"/>
                <w:kern w:val="2"/>
                <w:sz w:val="17"/>
                <w:szCs w:val="17"/>
                <w:lang w:val="en-US" w:eastAsia="zh-TW"/>
              </w:rPr>
              <w:t>43</w:t>
            </w:r>
            <w:r w:rsidRPr="001D1285">
              <w:rPr>
                <w:rFonts w:ascii="Calibri" w:eastAsia="新細明體" w:hAnsi="Calibri" w:cs="Segoe UI"/>
                <w:kern w:val="2"/>
                <w:sz w:val="17"/>
                <w:szCs w:val="17"/>
                <w:lang w:val="en-US" w:eastAsia="zh-TW"/>
              </w:rPr>
              <w:t>及</w:t>
            </w:r>
            <w:r w:rsidRPr="001D1285">
              <w:rPr>
                <w:rFonts w:ascii="Calibri" w:eastAsia="新細明體" w:hAnsi="Calibri" w:cs="Segoe UI"/>
                <w:kern w:val="2"/>
                <w:sz w:val="17"/>
                <w:szCs w:val="17"/>
                <w:lang w:val="en-US" w:eastAsia="zh-TW"/>
              </w:rPr>
              <w:t>47</w:t>
            </w:r>
            <w:r w:rsidRPr="001D1285">
              <w:rPr>
                <w:rFonts w:ascii="Calibri" w:eastAsia="新細明體" w:hAnsi="Calibri" w:cs="Segoe UI"/>
                <w:kern w:val="2"/>
                <w:sz w:val="17"/>
                <w:szCs w:val="17"/>
                <w:lang w:val="en-US" w:eastAsia="zh-TW"/>
              </w:rPr>
              <w:t>條在資本</w:t>
            </w:r>
            <w:r w:rsidRPr="001D1285">
              <w:rPr>
                <w:rFonts w:ascii="Calibri" w:eastAsia="新細明體" w:hAnsi="Calibri" w:cs="Segoe UI" w:hint="eastAsia"/>
                <w:kern w:val="2"/>
                <w:sz w:val="17"/>
                <w:szCs w:val="17"/>
                <w:lang w:val="en-US" w:eastAsia="zh-TW"/>
              </w:rPr>
              <w:t>充足</w:t>
            </w:r>
            <w:r w:rsidRPr="001D1285">
              <w:rPr>
                <w:rFonts w:ascii="Calibri" w:eastAsia="新細明體" w:hAnsi="Calibri" w:cs="Segoe UI"/>
                <w:kern w:val="2"/>
                <w:sz w:val="17"/>
                <w:szCs w:val="17"/>
                <w:lang w:val="en-US" w:eastAsia="zh-TW"/>
              </w:rPr>
              <w:t>框架下從一級資本中扣減、但並未自槓桿比率風險承擔計量值的計算中扣減的任何調整項目。就《法定貨幣紙幣發行條例》</w:t>
            </w:r>
            <w:r w:rsidRPr="001D1285">
              <w:rPr>
                <w:rFonts w:ascii="Calibri" w:eastAsia="新細明體" w:hAnsi="Calibri" w:cs="Segoe UI"/>
                <w:kern w:val="2"/>
                <w:sz w:val="17"/>
                <w:szCs w:val="22"/>
                <w:lang w:val="en-US" w:eastAsia="zh-TW"/>
              </w:rPr>
              <w:t>（</w:t>
            </w:r>
            <w:r w:rsidRPr="001D1285">
              <w:rPr>
                <w:rFonts w:ascii="Calibri" w:eastAsia="新細明體" w:hAnsi="Calibri" w:cs="Segoe UI"/>
                <w:kern w:val="2"/>
                <w:sz w:val="17"/>
                <w:szCs w:val="17"/>
                <w:lang w:val="en-US" w:eastAsia="zh-TW"/>
              </w:rPr>
              <w:t>第</w:t>
            </w:r>
            <w:r w:rsidRPr="001D1285">
              <w:rPr>
                <w:rFonts w:ascii="Calibri" w:eastAsia="新細明體" w:hAnsi="Calibri" w:cs="Segoe UI"/>
                <w:kern w:val="2"/>
                <w:sz w:val="17"/>
                <w:szCs w:val="17"/>
                <w:lang w:val="en-US" w:eastAsia="zh-TW"/>
              </w:rPr>
              <w:t>65</w:t>
            </w:r>
            <w:r w:rsidRPr="001D1285">
              <w:rPr>
                <w:rFonts w:ascii="Calibri" w:eastAsia="新細明體" w:hAnsi="Calibri" w:cs="Segoe UI"/>
                <w:kern w:val="2"/>
                <w:sz w:val="17"/>
                <w:szCs w:val="17"/>
                <w:lang w:val="en-US" w:eastAsia="zh-TW"/>
              </w:rPr>
              <w:t>章</w:t>
            </w:r>
            <w:r w:rsidRPr="001D1285">
              <w:rPr>
                <w:rFonts w:ascii="Calibri" w:eastAsia="新細明體" w:hAnsi="Calibri" w:cs="Segoe UI"/>
                <w:kern w:val="2"/>
                <w:sz w:val="17"/>
                <w:szCs w:val="22"/>
                <w:lang w:val="en-US" w:eastAsia="zh-TW"/>
              </w:rPr>
              <w:t>）</w:t>
            </w:r>
            <w:r w:rsidRPr="001D1285">
              <w:rPr>
                <w:rFonts w:ascii="Calibri" w:eastAsia="新細明體" w:hAnsi="Calibri" w:cs="Segoe UI"/>
                <w:kern w:val="2"/>
                <w:sz w:val="17"/>
                <w:szCs w:val="17"/>
                <w:lang w:val="en-US" w:eastAsia="zh-TW"/>
              </w:rPr>
              <w:t>所界定的發鈔銀行而言，有關調整亦應包括根據《外匯基金條例》</w:t>
            </w:r>
            <w:r w:rsidRPr="001D1285">
              <w:rPr>
                <w:rFonts w:ascii="Calibri" w:eastAsia="新細明體" w:hAnsi="Calibri" w:cs="Segoe UI"/>
                <w:kern w:val="2"/>
                <w:sz w:val="17"/>
                <w:szCs w:val="22"/>
                <w:lang w:val="en-US" w:eastAsia="zh-TW"/>
              </w:rPr>
              <w:t>（</w:t>
            </w:r>
            <w:r w:rsidRPr="001D1285">
              <w:rPr>
                <w:rFonts w:ascii="Calibri" w:eastAsia="新細明體" w:hAnsi="Calibri" w:cs="Segoe UI"/>
                <w:kern w:val="2"/>
                <w:sz w:val="17"/>
                <w:szCs w:val="17"/>
                <w:lang w:val="en-US" w:eastAsia="zh-TW"/>
              </w:rPr>
              <w:t>第</w:t>
            </w:r>
            <w:r w:rsidRPr="001D1285">
              <w:rPr>
                <w:rFonts w:ascii="Calibri" w:eastAsia="新細明體" w:hAnsi="Calibri" w:cs="Segoe UI"/>
                <w:kern w:val="2"/>
                <w:sz w:val="17"/>
                <w:szCs w:val="17"/>
                <w:lang w:val="en-US" w:eastAsia="zh-TW"/>
              </w:rPr>
              <w:t>66</w:t>
            </w:r>
            <w:r w:rsidRPr="001D1285">
              <w:rPr>
                <w:rFonts w:ascii="Calibri" w:eastAsia="新細明體" w:hAnsi="Calibri" w:cs="Segoe UI"/>
                <w:kern w:val="2"/>
                <w:sz w:val="17"/>
                <w:szCs w:val="17"/>
                <w:lang w:val="en-US" w:eastAsia="zh-TW"/>
              </w:rPr>
              <w:t>章</w:t>
            </w:r>
            <w:r w:rsidRPr="001D1285">
              <w:rPr>
                <w:rFonts w:ascii="Calibri" w:eastAsia="新細明體" w:hAnsi="Calibri" w:cs="Segoe UI"/>
                <w:kern w:val="2"/>
                <w:sz w:val="17"/>
                <w:szCs w:val="22"/>
                <w:lang w:val="en-US" w:eastAsia="zh-TW"/>
              </w:rPr>
              <w:t>）</w:t>
            </w:r>
            <w:r w:rsidRPr="001D1285">
              <w:rPr>
                <w:rFonts w:ascii="Calibri" w:eastAsia="新細明體" w:hAnsi="Calibri" w:cs="Segoe UI"/>
                <w:kern w:val="2"/>
                <w:sz w:val="17"/>
                <w:szCs w:val="17"/>
                <w:lang w:val="en-US" w:eastAsia="zh-TW"/>
              </w:rPr>
              <w:t>發行，並由其持有作為已發行法定貨幣紙幣的保證的負債證明書。</w:t>
            </w:r>
          </w:p>
        </w:tc>
      </w:tr>
      <w:tr w:rsidR="001D1285" w:rsidRPr="001D1285" w14:paraId="78005C31" w14:textId="77777777" w:rsidTr="001D1285">
        <w:trPr>
          <w:trHeight w:val="373"/>
        </w:trPr>
        <w:tc>
          <w:tcPr>
            <w:tcW w:w="567" w:type="dxa"/>
          </w:tcPr>
          <w:p w14:paraId="56533074" w14:textId="7B06F56A"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13</w:t>
            </w:r>
          </w:p>
        </w:tc>
        <w:tc>
          <w:tcPr>
            <w:tcW w:w="8647" w:type="dxa"/>
          </w:tcPr>
          <w:p w14:paraId="5076C8C0" w14:textId="04073126"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槓桿比率風險承擔</w:t>
            </w:r>
            <w:r w:rsidRPr="001D1285">
              <w:rPr>
                <w:rFonts w:ascii="Calibri" w:eastAsia="新細明體" w:hAnsi="Calibri" w:cs="Segoe UI"/>
                <w:kern w:val="2"/>
                <w:sz w:val="17"/>
                <w:szCs w:val="17"/>
                <w:lang w:val="en-US" w:eastAsia="zh-TW"/>
              </w:rPr>
              <w:t>計量</w:t>
            </w:r>
            <w:r w:rsidRPr="001D1285">
              <w:rPr>
                <w:rFonts w:ascii="Calibri" w:eastAsia="細明體" w:hAnsi="Calibri" w:cs="Segoe UI"/>
                <w:kern w:val="2"/>
                <w:sz w:val="17"/>
                <w:szCs w:val="17"/>
                <w:lang w:val="en-US" w:eastAsia="zh-TW"/>
              </w:rPr>
              <w:t>為以上第</w:t>
            </w:r>
            <w:r w:rsidRPr="001D1285">
              <w:rPr>
                <w:rFonts w:ascii="Calibri" w:eastAsia="細明體" w:hAnsi="Calibri" w:cs="Segoe UI"/>
                <w:kern w:val="2"/>
                <w:sz w:val="17"/>
                <w:szCs w:val="17"/>
                <w:lang w:val="en-US" w:eastAsia="zh-TW"/>
              </w:rPr>
              <w:t>1</w:t>
            </w:r>
            <w:r w:rsidRPr="001D1285">
              <w:rPr>
                <w:rFonts w:ascii="Calibri" w:eastAsia="細明體" w:hAnsi="Calibri" w:cs="Segoe UI"/>
                <w:kern w:val="2"/>
                <w:sz w:val="17"/>
                <w:szCs w:val="17"/>
                <w:lang w:val="en-US" w:eastAsia="zh-TW"/>
              </w:rPr>
              <w:t>至</w:t>
            </w:r>
            <w:r w:rsidRPr="001D1285">
              <w:rPr>
                <w:rFonts w:ascii="Calibri" w:eastAsia="細明體" w:hAnsi="Calibri" w:cs="Segoe UI" w:hint="eastAsia"/>
                <w:kern w:val="2"/>
                <w:sz w:val="17"/>
                <w:szCs w:val="17"/>
                <w:lang w:val="en-US" w:eastAsia="zh-TW"/>
              </w:rPr>
              <w:t>12</w:t>
            </w:r>
            <w:r w:rsidRPr="001D1285">
              <w:rPr>
                <w:rFonts w:ascii="Calibri" w:eastAsia="細明體" w:hAnsi="Calibri" w:cs="Segoe UI"/>
                <w:kern w:val="2"/>
                <w:sz w:val="17"/>
                <w:szCs w:val="17"/>
                <w:lang w:val="en-US" w:eastAsia="zh-TW"/>
              </w:rPr>
              <w:t>行的總和，應與在</w:t>
            </w:r>
            <w:r w:rsidRPr="001D1285">
              <w:rPr>
                <w:rFonts w:ascii="Calibri" w:eastAsia="新細明體" w:hAnsi="Calibri" w:cs="Segoe UI"/>
                <w:kern w:val="2"/>
                <w:sz w:val="17"/>
                <w:szCs w:val="17"/>
                <w:lang w:val="en-US" w:eastAsia="zh-TW"/>
              </w:rPr>
              <w:t xml:space="preserve">[LR2: </w:t>
            </w:r>
            <w:r w:rsidR="00C120B9">
              <w:rPr>
                <w:rFonts w:ascii="Calibri" w:eastAsia="新細明體" w:hAnsi="Calibri" w:cs="Segoe UI" w:hint="eastAsia"/>
                <w:kern w:val="2"/>
                <w:sz w:val="17"/>
                <w:szCs w:val="17"/>
                <w:lang w:val="en-US" w:eastAsia="zh-TW"/>
              </w:rPr>
              <w:t>2</w:t>
            </w:r>
            <w:r w:rsidRPr="001D1285">
              <w:rPr>
                <w:rFonts w:ascii="Calibri" w:eastAsia="新細明體" w:hAnsi="Calibri" w:cs="Segoe UI" w:hint="eastAsia"/>
                <w:kern w:val="2"/>
                <w:sz w:val="17"/>
                <w:szCs w:val="17"/>
                <w:lang w:val="en-US" w:eastAsia="zh-TW"/>
              </w:rPr>
              <w:t>4</w:t>
            </w:r>
            <w:r w:rsidRPr="001D1285">
              <w:rPr>
                <w:rFonts w:ascii="Calibri" w:eastAsia="新細明體" w:hAnsi="Calibri" w:cs="Segoe UI"/>
                <w:kern w:val="2"/>
                <w:sz w:val="17"/>
                <w:szCs w:val="17"/>
                <w:lang w:val="en-US" w:eastAsia="zh-TW"/>
              </w:rPr>
              <w:t>/</w:t>
            </w:r>
            <w:proofErr w:type="gramStart"/>
            <w:r w:rsidRPr="001D1285">
              <w:rPr>
                <w:rFonts w:ascii="Calibri" w:eastAsia="新細明體" w:hAnsi="Calibri" w:cs="Segoe UI"/>
                <w:kern w:val="2"/>
                <w:sz w:val="17"/>
                <w:szCs w:val="17"/>
                <w:lang w:val="en-US" w:eastAsia="zh-TW"/>
              </w:rPr>
              <w:t>a]</w:t>
            </w:r>
            <w:r w:rsidRPr="001D1285">
              <w:rPr>
                <w:rFonts w:ascii="Calibri" w:eastAsia="新細明體" w:hAnsi="Calibri" w:cs="Segoe UI" w:hint="eastAsia"/>
                <w:kern w:val="2"/>
                <w:sz w:val="17"/>
                <w:szCs w:val="17"/>
                <w:lang w:val="en-US" w:eastAsia="zh-HK"/>
              </w:rPr>
              <w:t>填</w:t>
            </w:r>
            <w:r w:rsidRPr="001D1285">
              <w:rPr>
                <w:rFonts w:ascii="Calibri" w:eastAsia="新細明體" w:hAnsi="Calibri" w:cs="Segoe UI"/>
                <w:kern w:val="2"/>
                <w:sz w:val="17"/>
                <w:szCs w:val="17"/>
                <w:lang w:val="en-US" w:eastAsia="zh-TW"/>
              </w:rPr>
              <w:t>報的</w:t>
            </w:r>
            <w:r w:rsidRPr="001D1285">
              <w:rPr>
                <w:rFonts w:ascii="Calibri" w:eastAsia="細明體" w:hAnsi="Calibri" w:cs="Segoe UI"/>
                <w:kern w:val="2"/>
                <w:sz w:val="17"/>
                <w:szCs w:val="17"/>
                <w:lang w:val="en-US" w:eastAsia="zh-TW"/>
              </w:rPr>
              <w:t>風險承擔總額一致</w:t>
            </w:r>
            <w:proofErr w:type="gramEnd"/>
            <w:r w:rsidRPr="001D1285">
              <w:rPr>
                <w:rFonts w:ascii="Calibri" w:eastAsia="細明體" w:hAnsi="Calibri" w:cs="Segoe UI"/>
                <w:kern w:val="2"/>
                <w:sz w:val="17"/>
                <w:szCs w:val="17"/>
                <w:lang w:val="en-US" w:eastAsia="zh-TW"/>
              </w:rPr>
              <w:t>。</w:t>
            </w:r>
          </w:p>
        </w:tc>
      </w:tr>
    </w:tbl>
    <w:p w14:paraId="46F85282" w14:textId="77777777" w:rsidR="00C50DAD" w:rsidRDefault="00C50DAD">
      <w:pPr>
        <w:rPr>
          <w:lang w:eastAsia="zh-TW"/>
        </w:rPr>
      </w:pPr>
    </w:p>
    <w:p w14:paraId="4704EC02" w14:textId="77777777" w:rsidR="00C50DAD" w:rsidRDefault="00C50DAD" w:rsidP="001D1285">
      <w:pPr>
        <w:spacing w:before="120" w:after="120" w:line="259" w:lineRule="auto"/>
        <w:ind w:leftChars="-283" w:left="-566"/>
        <w:rPr>
          <w:rFonts w:ascii="Calibri" w:eastAsia="新細明體" w:hAnsi="Calibri" w:cs="Segoe UI"/>
          <w:sz w:val="22"/>
          <w:szCs w:val="22"/>
          <w:lang w:eastAsia="zh-TW"/>
        </w:rPr>
        <w:sectPr w:rsidR="00C50DAD" w:rsidSect="00877D8D">
          <w:footerReference w:type="default" r:id="rId45"/>
          <w:pgSz w:w="11906" w:h="16838"/>
          <w:pgMar w:top="1440" w:right="1800" w:bottom="1440" w:left="1800" w:header="851" w:footer="992" w:gutter="0"/>
          <w:cols w:space="425"/>
          <w:docGrid w:type="lines" w:linePitch="360"/>
        </w:sectPr>
      </w:pPr>
    </w:p>
    <w:p w14:paraId="365EB61B" w14:textId="26895635" w:rsidR="006209ED" w:rsidRPr="006209ED" w:rsidRDefault="006209ED" w:rsidP="00897438">
      <w:pPr>
        <w:pStyle w:val="Heading2"/>
        <w:keepNext w:val="0"/>
        <w:suppressAutoHyphens w:val="0"/>
        <w:spacing w:before="40" w:line="240" w:lineRule="auto"/>
        <w:ind w:left="-454" w:hanging="113"/>
        <w:rPr>
          <w:rFonts w:ascii="細明體" w:eastAsia="細明體" w:hAnsi="細明體"/>
          <w:b w:val="0"/>
          <w:bCs w:val="0"/>
          <w:sz w:val="22"/>
          <w:szCs w:val="20"/>
          <w:lang w:eastAsia="en-US"/>
        </w:rPr>
      </w:pPr>
      <w:proofErr w:type="spellStart"/>
      <w:r w:rsidRPr="006209ED">
        <w:rPr>
          <w:rFonts w:ascii="細明體" w:eastAsia="細明體" w:hAnsi="細明體" w:cs="微軟正黑體" w:hint="eastAsia"/>
          <w:b w:val="0"/>
          <w:bCs w:val="0"/>
          <w:sz w:val="22"/>
          <w:szCs w:val="20"/>
          <w:lang w:eastAsia="en-US"/>
        </w:rPr>
        <w:t>模版</w:t>
      </w:r>
      <w:proofErr w:type="spellEnd"/>
      <w:r w:rsidRPr="006209ED">
        <w:rPr>
          <w:rFonts w:ascii="Segoe UI" w:eastAsia="細明體" w:hAnsi="Segoe UI" w:cs="Segoe UI"/>
          <w:b w:val="0"/>
          <w:bCs w:val="0"/>
          <w:sz w:val="22"/>
          <w:szCs w:val="20"/>
          <w:lang w:eastAsia="en-US"/>
        </w:rPr>
        <w:t>LR2</w:t>
      </w:r>
      <w:r w:rsidRPr="006209ED">
        <w:rPr>
          <w:rFonts w:ascii="細明體" w:eastAsia="細明體" w:hAnsi="細明體" w:cs="微軟正黑體" w:hint="eastAsia"/>
          <w:b w:val="0"/>
          <w:bCs w:val="0"/>
          <w:sz w:val="22"/>
          <w:szCs w:val="20"/>
          <w:lang w:eastAsia="en-US"/>
        </w:rPr>
        <w:t>：</w:t>
      </w:r>
      <w:proofErr w:type="spellStart"/>
      <w:r w:rsidRPr="006209ED">
        <w:rPr>
          <w:rFonts w:ascii="細明體" w:eastAsia="細明體" w:hAnsi="細明體" w:cs="微軟正黑體" w:hint="eastAsia"/>
          <w:b w:val="0"/>
          <w:bCs w:val="0"/>
          <w:sz w:val="22"/>
          <w:szCs w:val="20"/>
          <w:lang w:eastAsia="en-US"/>
        </w:rPr>
        <w:t>槓桿比率</w:t>
      </w:r>
      <w:proofErr w:type="spellEnd"/>
    </w:p>
    <w:tbl>
      <w:tblPr>
        <w:tblW w:w="9072" w:type="dxa"/>
        <w:tblInd w:w="-56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6945"/>
      </w:tblGrid>
      <w:tr w:rsidR="00A731CE" w:rsidRPr="00CA7301" w14:paraId="11503D0F" w14:textId="77777777" w:rsidTr="0029639E">
        <w:tc>
          <w:tcPr>
            <w:tcW w:w="2127" w:type="dxa"/>
          </w:tcPr>
          <w:p w14:paraId="1C44A34E" w14:textId="77777777" w:rsidR="00A731CE" w:rsidRPr="00CA7301" w:rsidRDefault="00A731CE" w:rsidP="00A731CE">
            <w:pPr>
              <w:rPr>
                <w:rFonts w:cs="Segoe UI"/>
                <w:b/>
                <w:sz w:val="17"/>
                <w:szCs w:val="17"/>
              </w:rPr>
            </w:pPr>
            <w:proofErr w:type="spellStart"/>
            <w:r w:rsidRPr="00CA7301">
              <w:rPr>
                <w:rFonts w:eastAsia="細明體" w:cs="Segoe UI"/>
                <w:b/>
                <w:sz w:val="17"/>
                <w:szCs w:val="17"/>
              </w:rPr>
              <w:t>目的</w:t>
            </w:r>
            <w:proofErr w:type="spellEnd"/>
            <w:r w:rsidRPr="00CA7301">
              <w:rPr>
                <w:rFonts w:eastAsia="細明體" w:cs="Segoe UI"/>
                <w:b/>
                <w:sz w:val="17"/>
                <w:szCs w:val="17"/>
              </w:rPr>
              <w:t>：</w:t>
            </w:r>
          </w:p>
        </w:tc>
        <w:tc>
          <w:tcPr>
            <w:tcW w:w="6945" w:type="dxa"/>
          </w:tcPr>
          <w:p w14:paraId="1039B7E3" w14:textId="399799D1" w:rsidR="00A731CE" w:rsidRPr="00CA7301" w:rsidRDefault="00A731CE" w:rsidP="00AC3B39">
            <w:pPr>
              <w:spacing w:before="40" w:after="40"/>
              <w:jc w:val="both"/>
              <w:rPr>
                <w:rFonts w:cs="Segoe UI"/>
                <w:sz w:val="17"/>
                <w:szCs w:val="17"/>
                <w:lang w:eastAsia="zh-TW"/>
              </w:rPr>
            </w:pPr>
            <w:r w:rsidRPr="00CA7301">
              <w:rPr>
                <w:rFonts w:eastAsiaTheme="minorEastAsia" w:cs="Segoe UI"/>
                <w:sz w:val="17"/>
                <w:lang w:eastAsia="zh-TW"/>
              </w:rPr>
              <w:t>提供槓桿比率分母</w:t>
            </w:r>
            <w:r w:rsidRPr="00CA7301">
              <w:rPr>
                <w:rFonts w:eastAsia="細明體" w:cs="Segoe UI"/>
                <w:sz w:val="17"/>
                <w:lang w:eastAsia="zh-TW"/>
              </w:rPr>
              <w:t>的組成部分</w:t>
            </w:r>
            <w:r w:rsidRPr="00CA7301">
              <w:rPr>
                <w:rFonts w:eastAsia="細明體" w:cs="Segoe UI"/>
                <w:sz w:val="17"/>
                <w:szCs w:val="17"/>
                <w:lang w:eastAsia="zh-TW"/>
              </w:rPr>
              <w:t>的詳細細目分類</w:t>
            </w:r>
            <w:r w:rsidR="001D1285" w:rsidRPr="001D1285">
              <w:rPr>
                <w:rFonts w:eastAsia="細明體" w:cs="Segoe UI" w:hint="eastAsia"/>
                <w:sz w:val="17"/>
                <w:szCs w:val="17"/>
                <w:lang w:eastAsia="zh-TW"/>
              </w:rPr>
              <w:t>，以及有關槓桿比率、適用</w:t>
            </w:r>
            <w:r w:rsidR="00AC3B39">
              <w:rPr>
                <w:rFonts w:eastAsia="細明體" w:cs="Segoe UI" w:hint="eastAsia"/>
                <w:sz w:val="17"/>
                <w:szCs w:val="17"/>
                <w:lang w:eastAsia="zh-HK"/>
              </w:rPr>
              <w:t>的</w:t>
            </w:r>
            <w:r w:rsidR="00AC3B39" w:rsidRPr="001D1285">
              <w:rPr>
                <w:rFonts w:eastAsia="細明體" w:cs="Segoe UI" w:hint="eastAsia"/>
                <w:sz w:val="17"/>
                <w:szCs w:val="17"/>
                <w:lang w:eastAsia="zh-TW"/>
              </w:rPr>
              <w:t>最低</w:t>
            </w:r>
            <w:r w:rsidR="001D1285" w:rsidRPr="001D1285">
              <w:rPr>
                <w:rFonts w:eastAsia="細明體" w:cs="Segoe UI" w:hint="eastAsia"/>
                <w:sz w:val="17"/>
                <w:szCs w:val="17"/>
                <w:lang w:eastAsia="zh-TW"/>
              </w:rPr>
              <w:t>槓桿比率及經</w:t>
            </w:r>
            <w:r w:rsidR="00C11BA4" w:rsidRPr="001D1285">
              <w:rPr>
                <w:rFonts w:eastAsia="細明體" w:cs="Segoe UI" w:hint="eastAsia"/>
                <w:sz w:val="17"/>
                <w:szCs w:val="17"/>
                <w:lang w:eastAsia="zh-TW"/>
              </w:rPr>
              <w:t>調整</w:t>
            </w:r>
            <w:r w:rsidR="001D1285" w:rsidRPr="001D1285">
              <w:rPr>
                <w:rFonts w:eastAsia="細明體" w:cs="Segoe UI" w:hint="eastAsia"/>
                <w:sz w:val="17"/>
                <w:szCs w:val="17"/>
                <w:lang w:eastAsia="zh-TW"/>
              </w:rPr>
              <w:t>平均</w:t>
            </w:r>
            <w:r w:rsidR="00D617F9" w:rsidRPr="00D617F9">
              <w:rPr>
                <w:rFonts w:eastAsia="細明體" w:cs="Segoe UI" w:hint="eastAsia"/>
                <w:sz w:val="17"/>
                <w:szCs w:val="17"/>
                <w:lang w:eastAsia="zh-TW"/>
              </w:rPr>
              <w:t>證券融資交易</w:t>
            </w:r>
            <w:r w:rsidR="00D617F9" w:rsidRPr="001D1285">
              <w:rPr>
                <w:rFonts w:ascii="Calibri" w:eastAsia="新細明體" w:hAnsi="Calibri" w:cs="Segoe UI"/>
                <w:sz w:val="17"/>
                <w:szCs w:val="17"/>
                <w:lang w:eastAsia="zh-TW"/>
              </w:rPr>
              <w:t>（</w:t>
            </w:r>
            <w:r w:rsidR="00C11BA4" w:rsidRPr="001D1285">
              <w:rPr>
                <w:rFonts w:eastAsia="細明體" w:cs="Segoe UI"/>
                <w:sz w:val="17"/>
                <w:szCs w:val="17"/>
                <w:lang w:eastAsia="zh-TW"/>
              </w:rPr>
              <w:t>SFT</w:t>
            </w:r>
            <w:r w:rsidR="00D617F9" w:rsidRPr="001D1285">
              <w:rPr>
                <w:rFonts w:ascii="Calibri" w:eastAsia="新細明體" w:hAnsi="Calibri" w:cs="Segoe UI"/>
                <w:sz w:val="17"/>
                <w:szCs w:val="17"/>
                <w:lang w:eastAsia="zh-TW"/>
              </w:rPr>
              <w:t>）</w:t>
            </w:r>
            <w:r w:rsidR="001D1285" w:rsidRPr="001D1285">
              <w:rPr>
                <w:rFonts w:eastAsia="細明體" w:cs="Segoe UI" w:hint="eastAsia"/>
                <w:sz w:val="17"/>
                <w:szCs w:val="17"/>
                <w:lang w:eastAsia="zh-TW"/>
              </w:rPr>
              <w:t>槓桿比率的資料</w:t>
            </w:r>
            <w:r w:rsidRPr="00CA7301">
              <w:rPr>
                <w:rFonts w:eastAsia="細明體" w:cs="Segoe UI"/>
                <w:sz w:val="17"/>
                <w:szCs w:val="17"/>
                <w:lang w:eastAsia="zh-TW"/>
              </w:rPr>
              <w:t>。</w:t>
            </w:r>
          </w:p>
        </w:tc>
      </w:tr>
      <w:tr w:rsidR="00A731CE" w:rsidRPr="00CA7301" w14:paraId="5A6BCDAE" w14:textId="77777777" w:rsidTr="0029639E">
        <w:tc>
          <w:tcPr>
            <w:tcW w:w="2127" w:type="dxa"/>
          </w:tcPr>
          <w:p w14:paraId="4E4327C3" w14:textId="77777777" w:rsidR="00A731CE" w:rsidRPr="00CA7301" w:rsidRDefault="00A731CE" w:rsidP="00A731CE">
            <w:pPr>
              <w:rPr>
                <w:rFonts w:cs="Segoe UI"/>
                <w:b/>
                <w:sz w:val="17"/>
                <w:szCs w:val="17"/>
              </w:rPr>
            </w:pPr>
            <w:proofErr w:type="spellStart"/>
            <w:r w:rsidRPr="00CA7301">
              <w:rPr>
                <w:rFonts w:eastAsia="細明體" w:cs="Segoe UI"/>
                <w:b/>
                <w:sz w:val="17"/>
                <w:szCs w:val="17"/>
              </w:rPr>
              <w:t>適用範圍</w:t>
            </w:r>
            <w:proofErr w:type="spellEnd"/>
            <w:r w:rsidRPr="00CA7301">
              <w:rPr>
                <w:rFonts w:eastAsia="細明體" w:cs="Segoe UI"/>
                <w:b/>
                <w:sz w:val="17"/>
                <w:szCs w:val="17"/>
              </w:rPr>
              <w:t>：</w:t>
            </w:r>
          </w:p>
        </w:tc>
        <w:tc>
          <w:tcPr>
            <w:tcW w:w="6945" w:type="dxa"/>
          </w:tcPr>
          <w:p w14:paraId="01595057" w14:textId="7774F66A" w:rsidR="00A731CE" w:rsidRPr="00CA7301" w:rsidRDefault="001D1285" w:rsidP="00AC3B39">
            <w:pPr>
              <w:spacing w:before="40" w:after="40"/>
              <w:jc w:val="both"/>
              <w:rPr>
                <w:rFonts w:eastAsiaTheme="minorEastAsia" w:cs="Segoe UI"/>
                <w:b/>
                <w:sz w:val="17"/>
                <w:lang w:val="en-US" w:eastAsia="zh-TW"/>
              </w:rPr>
            </w:pPr>
            <w:r w:rsidRPr="001D1285">
              <w:rPr>
                <w:rFonts w:ascii="Calibri" w:eastAsia="細明體" w:hAnsi="Calibri" w:cs="Segoe UI"/>
                <w:sz w:val="17"/>
                <w:szCs w:val="17"/>
                <w:lang w:eastAsia="zh-TW"/>
              </w:rPr>
              <w:t>所有在香港註冊</w:t>
            </w:r>
            <w:proofErr w:type="gramStart"/>
            <w:r w:rsidRPr="001D1285">
              <w:rPr>
                <w:rFonts w:ascii="Calibri" w:eastAsia="細明體" w:hAnsi="Calibri" w:cs="Segoe UI"/>
                <w:sz w:val="17"/>
                <w:szCs w:val="17"/>
                <w:lang w:eastAsia="zh-TW"/>
              </w:rPr>
              <w:t>為法團的</w:t>
            </w:r>
            <w:proofErr w:type="gramEnd"/>
            <w:r w:rsidRPr="001D1285">
              <w:rPr>
                <w:rFonts w:ascii="Calibri" w:eastAsia="細明體" w:hAnsi="Calibri" w:cs="Segoe UI"/>
                <w:sz w:val="17"/>
                <w:szCs w:val="17"/>
                <w:lang w:eastAsia="zh-TW"/>
              </w:rPr>
              <w:t>認可機構</w:t>
            </w:r>
            <w:proofErr w:type="gramStart"/>
            <w:r w:rsidRPr="001D1285">
              <w:rPr>
                <w:rFonts w:ascii="Calibri" w:eastAsia="細明體" w:hAnsi="Calibri" w:cs="Segoe UI"/>
                <w:sz w:val="17"/>
                <w:szCs w:val="17"/>
                <w:lang w:eastAsia="zh-TW"/>
              </w:rPr>
              <w:t>均須填報本模</w:t>
            </w:r>
            <w:proofErr w:type="gramEnd"/>
            <w:r w:rsidRPr="001D1285">
              <w:rPr>
                <w:rFonts w:ascii="Calibri" w:eastAsia="細明體" w:hAnsi="Calibri" w:cs="Segoe UI"/>
                <w:sz w:val="17"/>
                <w:szCs w:val="17"/>
                <w:lang w:eastAsia="zh-TW"/>
              </w:rPr>
              <w:t>版。槓桿比率</w:t>
            </w:r>
            <w:r w:rsidRPr="001D1285">
              <w:rPr>
                <w:rFonts w:ascii="Calibri" w:eastAsia="細明體" w:hAnsi="Calibri" w:cs="Segoe UI" w:hint="eastAsia"/>
                <w:sz w:val="17"/>
                <w:szCs w:val="17"/>
                <w:lang w:eastAsia="zh-HK"/>
              </w:rPr>
              <w:t>框</w:t>
            </w:r>
            <w:r w:rsidRPr="001D1285">
              <w:rPr>
                <w:rFonts w:ascii="Calibri" w:eastAsia="新細明體" w:hAnsi="Calibri" w:cs="Segoe UI"/>
                <w:sz w:val="17"/>
                <w:szCs w:val="17"/>
                <w:lang w:eastAsia="zh-TW"/>
              </w:rPr>
              <w:t>架應依循與資本</w:t>
            </w:r>
            <w:r w:rsidRPr="001D1285">
              <w:rPr>
                <w:rFonts w:ascii="Calibri" w:eastAsia="新細明體" w:hAnsi="Calibri" w:cs="Segoe UI" w:hint="eastAsia"/>
                <w:sz w:val="17"/>
                <w:szCs w:val="17"/>
                <w:lang w:eastAsia="zh-TW"/>
              </w:rPr>
              <w:t>充足</w:t>
            </w:r>
            <w:r w:rsidRPr="001D1285">
              <w:rPr>
                <w:rFonts w:ascii="Calibri" w:eastAsia="新細明體" w:hAnsi="Calibri" w:cs="Segoe UI" w:hint="eastAsia"/>
                <w:sz w:val="17"/>
                <w:szCs w:val="17"/>
                <w:lang w:eastAsia="zh-HK"/>
              </w:rPr>
              <w:t>框</w:t>
            </w:r>
            <w:r w:rsidRPr="001D1285">
              <w:rPr>
                <w:rFonts w:ascii="Calibri" w:eastAsia="新細明體" w:hAnsi="Calibri" w:cs="Segoe UI"/>
                <w:sz w:val="17"/>
                <w:szCs w:val="17"/>
                <w:lang w:eastAsia="zh-TW"/>
              </w:rPr>
              <w:t>架相同的監管綜合範圍（即採用</w:t>
            </w:r>
            <w:r w:rsidRPr="001D1285">
              <w:rPr>
                <w:rFonts w:ascii="Calibri" w:eastAsia="細明體" w:hAnsi="Calibri" w:cs="Segoe UI"/>
                <w:sz w:val="17"/>
                <w:szCs w:val="17"/>
                <w:lang w:eastAsia="zh-TW"/>
              </w:rPr>
              <w:t>金融管理專員在《資本規則》第</w:t>
            </w:r>
            <w:r w:rsidRPr="001D1285">
              <w:rPr>
                <w:rFonts w:ascii="Calibri" w:eastAsia="新細明體" w:hAnsi="Calibri" w:cs="Segoe UI"/>
                <w:sz w:val="17"/>
                <w:szCs w:val="17"/>
                <w:lang w:eastAsia="zh-TW"/>
              </w:rPr>
              <w:t>3C</w:t>
            </w:r>
            <w:r w:rsidRPr="001D1285">
              <w:rPr>
                <w:rFonts w:ascii="Calibri" w:eastAsia="新細明體" w:hAnsi="Calibri" w:cs="Segoe UI"/>
                <w:sz w:val="17"/>
                <w:szCs w:val="17"/>
                <w:lang w:eastAsia="zh-TW"/>
              </w:rPr>
              <w:t>條下指明的單獨基礎、單獨</w:t>
            </w:r>
            <w:proofErr w:type="gramStart"/>
            <w:r w:rsidR="00AC3B39" w:rsidRPr="00CA7301">
              <w:rPr>
                <w:rFonts w:ascii="細明體" w:eastAsia="細明體" w:hAnsi="細明體" w:cs="細明體" w:hint="eastAsia"/>
                <w:i/>
                <w:sz w:val="17"/>
                <w:szCs w:val="17"/>
                <w:lang w:eastAsia="zh-TW"/>
              </w:rPr>
              <w:t>─</w:t>
            </w:r>
            <w:proofErr w:type="gramEnd"/>
            <w:r w:rsidRPr="001D1285">
              <w:rPr>
                <w:rFonts w:ascii="Calibri" w:eastAsia="新細明體" w:hAnsi="Calibri" w:cs="Segoe UI"/>
                <w:sz w:val="17"/>
                <w:szCs w:val="17"/>
                <w:lang w:eastAsia="zh-TW"/>
              </w:rPr>
              <w:t>綜合基礎及</w:t>
            </w:r>
            <w:r w:rsidRPr="001D1285">
              <w:rPr>
                <w:rFonts w:ascii="Calibri" w:eastAsia="新細明體" w:hAnsi="Calibri" w:cs="Segoe UI"/>
                <w:sz w:val="17"/>
                <w:szCs w:val="17"/>
                <w:lang w:eastAsia="zh-TW"/>
              </w:rPr>
              <w:t xml:space="preserve"> / </w:t>
            </w:r>
            <w:r w:rsidRPr="001D1285">
              <w:rPr>
                <w:rFonts w:ascii="Calibri" w:eastAsia="新細明體" w:hAnsi="Calibri" w:cs="Segoe UI"/>
                <w:sz w:val="17"/>
                <w:szCs w:val="17"/>
                <w:lang w:eastAsia="zh-TW"/>
              </w:rPr>
              <w:t>或綜合基礎）。</w:t>
            </w:r>
          </w:p>
        </w:tc>
      </w:tr>
      <w:tr w:rsidR="00A731CE" w:rsidRPr="00CA7301" w14:paraId="72E9F2FE" w14:textId="77777777" w:rsidTr="0029639E">
        <w:tc>
          <w:tcPr>
            <w:tcW w:w="2127" w:type="dxa"/>
          </w:tcPr>
          <w:p w14:paraId="74BE6F44" w14:textId="77777777" w:rsidR="00A731CE" w:rsidRPr="00CA7301" w:rsidRDefault="00A731CE" w:rsidP="00A731CE">
            <w:pPr>
              <w:rPr>
                <w:rFonts w:cs="Segoe UI"/>
                <w:b/>
                <w:sz w:val="17"/>
                <w:szCs w:val="17"/>
              </w:rPr>
            </w:pPr>
            <w:proofErr w:type="spellStart"/>
            <w:r w:rsidRPr="00CA7301">
              <w:rPr>
                <w:rFonts w:eastAsia="細明體" w:cs="Segoe UI"/>
                <w:b/>
                <w:sz w:val="17"/>
                <w:szCs w:val="17"/>
              </w:rPr>
              <w:t>內容</w:t>
            </w:r>
            <w:proofErr w:type="spellEnd"/>
            <w:r w:rsidRPr="00CA7301">
              <w:rPr>
                <w:rFonts w:eastAsia="細明體" w:cs="Segoe UI"/>
                <w:b/>
                <w:sz w:val="17"/>
                <w:szCs w:val="17"/>
              </w:rPr>
              <w:t>：</w:t>
            </w:r>
          </w:p>
        </w:tc>
        <w:tc>
          <w:tcPr>
            <w:tcW w:w="6945" w:type="dxa"/>
          </w:tcPr>
          <w:p w14:paraId="48BF6DF4" w14:textId="61DC0B4A" w:rsidR="00A731CE" w:rsidRPr="00CA7301" w:rsidRDefault="00A731CE" w:rsidP="00074D17">
            <w:pPr>
              <w:spacing w:before="40" w:after="40"/>
              <w:jc w:val="both"/>
              <w:rPr>
                <w:rFonts w:eastAsiaTheme="minorEastAsia" w:cs="Segoe UI"/>
                <w:sz w:val="17"/>
                <w:lang w:eastAsia="zh-TW"/>
              </w:rPr>
            </w:pPr>
            <w:r w:rsidRPr="00CA7301">
              <w:rPr>
                <w:rFonts w:eastAsia="細明體" w:cs="Segoe UI"/>
                <w:sz w:val="17"/>
                <w:szCs w:val="17"/>
                <w:lang w:eastAsia="zh-TW"/>
              </w:rPr>
              <w:t>量化資料。認可機構就披露的報告日期</w:t>
            </w:r>
            <w:r w:rsidRPr="00CA7301">
              <w:rPr>
                <w:rFonts w:eastAsiaTheme="minorEastAsia" w:cs="Segoe UI"/>
                <w:sz w:val="17"/>
                <w:szCs w:val="17"/>
                <w:lang w:eastAsia="zh-TW"/>
              </w:rPr>
              <w:t>（</w:t>
            </w:r>
            <w:r w:rsidRPr="00CA7301">
              <w:rPr>
                <w:rFonts w:eastAsia="細明體" w:cs="Segoe UI"/>
                <w:sz w:val="17"/>
                <w:szCs w:val="17"/>
                <w:lang w:eastAsia="zh-TW"/>
              </w:rPr>
              <w:t>例如</w:t>
            </w:r>
            <w:r w:rsidRPr="00CA7301">
              <w:rPr>
                <w:rFonts w:eastAsiaTheme="minorEastAsia" w:cs="Segoe UI"/>
                <w:sz w:val="17"/>
                <w:szCs w:val="17"/>
                <w:lang w:eastAsia="zh-TW"/>
              </w:rPr>
              <w:t>四</w:t>
            </w:r>
            <w:r w:rsidRPr="00CA7301">
              <w:rPr>
                <w:rFonts w:eastAsia="細明體" w:cs="Segoe UI"/>
                <w:sz w:val="17"/>
                <w:szCs w:val="17"/>
                <w:lang w:eastAsia="zh-TW"/>
              </w:rPr>
              <w:t>月底、</w:t>
            </w:r>
            <w:r w:rsidRPr="00CA7301">
              <w:rPr>
                <w:rFonts w:eastAsiaTheme="minorEastAsia" w:cs="Segoe UI"/>
                <w:sz w:val="17"/>
                <w:szCs w:val="17"/>
                <w:lang w:eastAsia="zh-TW"/>
              </w:rPr>
              <w:t>十</w:t>
            </w:r>
            <w:r w:rsidRPr="00CA7301">
              <w:rPr>
                <w:rFonts w:eastAsia="細明體" w:cs="Segoe UI"/>
                <w:sz w:val="17"/>
                <w:szCs w:val="17"/>
                <w:lang w:eastAsia="zh-TW"/>
              </w:rPr>
              <w:t>月底</w:t>
            </w:r>
            <w:r w:rsidRPr="00CA7301">
              <w:rPr>
                <w:rFonts w:eastAsiaTheme="minorEastAsia" w:cs="Segoe UI"/>
                <w:sz w:val="17"/>
                <w:szCs w:val="17"/>
                <w:lang w:eastAsia="zh-TW"/>
              </w:rPr>
              <w:t>）如</w:t>
            </w:r>
            <w:r w:rsidRPr="00CA7301">
              <w:rPr>
                <w:rFonts w:eastAsia="細明體" w:cs="Segoe UI"/>
                <w:sz w:val="17"/>
                <w:szCs w:val="17"/>
                <w:lang w:eastAsia="zh-TW"/>
              </w:rPr>
              <w:t>有別於「槓桿比率申報表」</w:t>
            </w:r>
            <w:r w:rsidRPr="00CA7301">
              <w:rPr>
                <w:rFonts w:cs="Segoe UI"/>
                <w:sz w:val="17"/>
                <w:szCs w:val="17"/>
                <w:lang w:eastAsia="zh-TW"/>
              </w:rPr>
              <w:t xml:space="preserve"> (MA(BS)27)</w:t>
            </w:r>
            <w:r w:rsidRPr="00CA7301">
              <w:rPr>
                <w:rFonts w:eastAsia="細明體" w:cs="Segoe UI"/>
                <w:sz w:val="17"/>
                <w:szCs w:val="17"/>
                <w:lang w:eastAsia="zh-TW"/>
              </w:rPr>
              <w:t>的狀況日期</w:t>
            </w:r>
            <w:r w:rsidRPr="00CA7301">
              <w:rPr>
                <w:rFonts w:eastAsiaTheme="minorEastAsia" w:cs="Segoe UI"/>
                <w:sz w:val="17"/>
                <w:szCs w:val="17"/>
                <w:lang w:eastAsia="zh-TW"/>
              </w:rPr>
              <w:t>（</w:t>
            </w:r>
            <w:r w:rsidRPr="00CA7301">
              <w:rPr>
                <w:rFonts w:eastAsia="細明體" w:cs="Segoe UI"/>
                <w:sz w:val="17"/>
                <w:szCs w:val="17"/>
                <w:lang w:eastAsia="zh-TW"/>
              </w:rPr>
              <w:t>即</w:t>
            </w:r>
            <w:r w:rsidRPr="00CA7301">
              <w:rPr>
                <w:rFonts w:eastAsiaTheme="minorEastAsia" w:cs="Segoe UI"/>
                <w:sz w:val="17"/>
                <w:szCs w:val="17"/>
                <w:lang w:eastAsia="zh-TW"/>
              </w:rPr>
              <w:t>三</w:t>
            </w:r>
            <w:r w:rsidRPr="00CA7301">
              <w:rPr>
                <w:rFonts w:eastAsia="細明體" w:cs="Segoe UI"/>
                <w:sz w:val="17"/>
                <w:szCs w:val="17"/>
                <w:lang w:eastAsia="zh-TW"/>
              </w:rPr>
              <w:t>月底、</w:t>
            </w:r>
            <w:r w:rsidRPr="00CA7301">
              <w:rPr>
                <w:rFonts w:eastAsiaTheme="minorEastAsia" w:cs="Segoe UI"/>
                <w:sz w:val="17"/>
                <w:szCs w:val="17"/>
                <w:lang w:eastAsia="zh-TW"/>
              </w:rPr>
              <w:t>六</w:t>
            </w:r>
            <w:r w:rsidRPr="00CA7301">
              <w:rPr>
                <w:rFonts w:eastAsia="細明體" w:cs="Segoe UI"/>
                <w:sz w:val="17"/>
                <w:szCs w:val="17"/>
                <w:lang w:eastAsia="zh-TW"/>
              </w:rPr>
              <w:t>月底、</w:t>
            </w:r>
            <w:r w:rsidRPr="00CA7301">
              <w:rPr>
                <w:rFonts w:eastAsiaTheme="minorEastAsia" w:cs="Segoe UI"/>
                <w:sz w:val="17"/>
                <w:szCs w:val="17"/>
                <w:lang w:eastAsia="zh-TW"/>
              </w:rPr>
              <w:t>九</w:t>
            </w:r>
            <w:r w:rsidRPr="00CA7301">
              <w:rPr>
                <w:rFonts w:eastAsia="細明體" w:cs="Segoe UI"/>
                <w:sz w:val="17"/>
                <w:szCs w:val="17"/>
                <w:lang w:eastAsia="zh-TW"/>
              </w:rPr>
              <w:t>月底、</w:t>
            </w:r>
            <w:r w:rsidRPr="00CA7301">
              <w:rPr>
                <w:rFonts w:eastAsiaTheme="minorEastAsia" w:cs="Segoe UI"/>
                <w:sz w:val="17"/>
                <w:szCs w:val="17"/>
                <w:lang w:eastAsia="zh-TW"/>
              </w:rPr>
              <w:t>十二</w:t>
            </w:r>
            <w:r w:rsidRPr="00CA7301">
              <w:rPr>
                <w:rFonts w:eastAsia="細明體" w:cs="Segoe UI"/>
                <w:sz w:val="17"/>
                <w:szCs w:val="17"/>
                <w:lang w:eastAsia="zh-TW"/>
              </w:rPr>
              <w:t>月底</w:t>
            </w:r>
            <w:r w:rsidRPr="00CA7301">
              <w:rPr>
                <w:rFonts w:eastAsiaTheme="minorEastAsia" w:cs="Segoe UI"/>
                <w:sz w:val="17"/>
                <w:szCs w:val="17"/>
                <w:lang w:eastAsia="zh-TW"/>
              </w:rPr>
              <w:t>）</w:t>
            </w:r>
            <w:r w:rsidRPr="00CA7301">
              <w:rPr>
                <w:rFonts w:eastAsia="細明體" w:cs="Segoe UI"/>
                <w:sz w:val="17"/>
                <w:szCs w:val="17"/>
                <w:lang w:eastAsia="zh-TW"/>
              </w:rPr>
              <w:t>，認可機構應根據本身的報告日期</w:t>
            </w:r>
            <w:proofErr w:type="gramStart"/>
            <w:r w:rsidRPr="00CA7301">
              <w:rPr>
                <w:rFonts w:eastAsia="細明體" w:cs="Segoe UI"/>
                <w:sz w:val="17"/>
                <w:szCs w:val="17"/>
                <w:lang w:eastAsia="zh-TW"/>
              </w:rPr>
              <w:t>披露本模版</w:t>
            </w:r>
            <w:proofErr w:type="gramEnd"/>
            <w:r w:rsidRPr="00CA7301">
              <w:rPr>
                <w:rFonts w:eastAsia="細明體" w:cs="Segoe UI"/>
                <w:sz w:val="17"/>
                <w:szCs w:val="17"/>
                <w:lang w:eastAsia="zh-TW"/>
              </w:rPr>
              <w:t>。然而，在此情況下，</w:t>
            </w:r>
            <w:r w:rsidR="001D1285" w:rsidRPr="001D1285">
              <w:rPr>
                <w:rFonts w:eastAsia="細明體" w:cs="Segoe UI" w:hint="eastAsia"/>
                <w:sz w:val="17"/>
                <w:szCs w:val="17"/>
                <w:lang w:eastAsia="zh-TW"/>
              </w:rPr>
              <w:t>除非相關的行的</w:t>
            </w:r>
            <w:proofErr w:type="gramStart"/>
            <w:r w:rsidR="00074D17" w:rsidRPr="00074D17">
              <w:rPr>
                <w:rFonts w:eastAsia="細明體" w:cs="Segoe UI" w:hint="eastAsia"/>
                <w:sz w:val="17"/>
                <w:szCs w:val="17"/>
                <w:lang w:eastAsia="zh-TW"/>
              </w:rPr>
              <w:t>註釋</w:t>
            </w:r>
            <w:r w:rsidR="001D1285" w:rsidRPr="001D1285">
              <w:rPr>
                <w:rFonts w:eastAsia="細明體" w:cs="Segoe UI" w:hint="eastAsia"/>
                <w:sz w:val="17"/>
                <w:szCs w:val="17"/>
                <w:lang w:eastAsia="zh-TW"/>
              </w:rPr>
              <w:t>另</w:t>
            </w:r>
            <w:proofErr w:type="gramEnd"/>
            <w:r w:rsidR="001D1285" w:rsidRPr="001D1285">
              <w:rPr>
                <w:rFonts w:eastAsia="細明體" w:cs="Segoe UI" w:hint="eastAsia"/>
                <w:sz w:val="17"/>
                <w:szCs w:val="17"/>
                <w:lang w:eastAsia="zh-TW"/>
              </w:rPr>
              <w:t>有規定，</w:t>
            </w:r>
            <w:proofErr w:type="gramStart"/>
            <w:r w:rsidR="001D1285" w:rsidRPr="001D1285">
              <w:rPr>
                <w:rFonts w:eastAsia="細明體" w:cs="Segoe UI" w:hint="eastAsia"/>
                <w:sz w:val="17"/>
                <w:szCs w:val="17"/>
                <w:lang w:eastAsia="zh-TW"/>
              </w:rPr>
              <w:t>否則</w:t>
            </w:r>
            <w:r w:rsidRPr="00CA7301">
              <w:rPr>
                <w:rFonts w:eastAsia="細明體" w:cs="Segoe UI"/>
                <w:sz w:val="17"/>
                <w:szCs w:val="17"/>
                <w:lang w:eastAsia="zh-TW"/>
              </w:rPr>
              <w:t>本模版</w:t>
            </w:r>
            <w:proofErr w:type="gramEnd"/>
            <w:r w:rsidRPr="00CA7301">
              <w:rPr>
                <w:rFonts w:eastAsiaTheme="minorEastAsia" w:cs="Segoe UI"/>
                <w:sz w:val="17"/>
                <w:lang w:eastAsia="zh-TW"/>
              </w:rPr>
              <w:t>所</w:t>
            </w:r>
            <w:r w:rsidRPr="00CA7301">
              <w:rPr>
                <w:rFonts w:eastAsia="細明體" w:cs="Segoe UI"/>
                <w:sz w:val="17"/>
                <w:szCs w:val="17"/>
                <w:lang w:eastAsia="zh-TW"/>
              </w:rPr>
              <w:t>披露的數值的計算基礎應沿用</w:t>
            </w:r>
            <w:r w:rsidRPr="00CA7301">
              <w:rPr>
                <w:rFonts w:eastAsiaTheme="minorEastAsia" w:cs="Segoe UI"/>
                <w:sz w:val="17"/>
                <w:lang w:eastAsia="zh-TW"/>
              </w:rPr>
              <w:t>該</w:t>
            </w:r>
            <w:r w:rsidRPr="00CA7301">
              <w:rPr>
                <w:rFonts w:eastAsia="細明體" w:cs="Segoe UI"/>
                <w:sz w:val="17"/>
                <w:szCs w:val="17"/>
                <w:lang w:eastAsia="zh-TW"/>
              </w:rPr>
              <w:t>申報表所用的相同計算基礎。</w:t>
            </w:r>
          </w:p>
        </w:tc>
      </w:tr>
      <w:tr w:rsidR="00A731CE" w:rsidRPr="00CA7301" w14:paraId="34493823" w14:textId="77777777" w:rsidTr="0029639E">
        <w:tc>
          <w:tcPr>
            <w:tcW w:w="2127" w:type="dxa"/>
          </w:tcPr>
          <w:p w14:paraId="141BF3CF" w14:textId="77777777" w:rsidR="00A731CE" w:rsidRPr="00CA7301" w:rsidRDefault="00A731CE" w:rsidP="00A731CE">
            <w:pPr>
              <w:rPr>
                <w:rFonts w:cs="Segoe UI"/>
                <w:b/>
                <w:sz w:val="17"/>
                <w:szCs w:val="17"/>
              </w:rPr>
            </w:pPr>
            <w:r w:rsidRPr="00CA7301">
              <w:rPr>
                <w:rFonts w:eastAsia="細明體" w:cs="Segoe UI"/>
                <w:b/>
                <w:sz w:val="17"/>
                <w:szCs w:val="17"/>
                <w:lang w:eastAsia="zh-TW"/>
              </w:rPr>
              <w:t>頻密程度：</w:t>
            </w:r>
          </w:p>
        </w:tc>
        <w:tc>
          <w:tcPr>
            <w:tcW w:w="6945" w:type="dxa"/>
          </w:tcPr>
          <w:p w14:paraId="0F6517A8" w14:textId="77777777" w:rsidR="00A731CE" w:rsidRPr="00CA7301" w:rsidRDefault="00A731CE" w:rsidP="00A731CE">
            <w:pPr>
              <w:spacing w:before="40" w:after="40"/>
              <w:jc w:val="both"/>
              <w:rPr>
                <w:rFonts w:cs="Segoe UI"/>
                <w:sz w:val="17"/>
                <w:lang w:eastAsia="en-GB"/>
              </w:rPr>
            </w:pPr>
            <w:r w:rsidRPr="00CA7301">
              <w:rPr>
                <w:rFonts w:eastAsiaTheme="minorEastAsia" w:cs="Segoe UI"/>
                <w:sz w:val="17"/>
                <w:lang w:eastAsia="zh-TW"/>
              </w:rPr>
              <w:t>每季一次。</w:t>
            </w:r>
          </w:p>
        </w:tc>
      </w:tr>
      <w:tr w:rsidR="00A731CE" w:rsidRPr="00CA7301" w14:paraId="21D4DC04" w14:textId="77777777" w:rsidTr="0029639E">
        <w:tc>
          <w:tcPr>
            <w:tcW w:w="2127" w:type="dxa"/>
          </w:tcPr>
          <w:p w14:paraId="77FB61B7" w14:textId="77777777" w:rsidR="00A731CE" w:rsidRPr="00CA7301" w:rsidRDefault="00A731CE" w:rsidP="00A731CE">
            <w:pPr>
              <w:rPr>
                <w:rFonts w:cs="Segoe UI"/>
                <w:b/>
                <w:sz w:val="17"/>
                <w:szCs w:val="17"/>
              </w:rPr>
            </w:pPr>
            <w:proofErr w:type="spellStart"/>
            <w:r w:rsidRPr="00CA7301">
              <w:rPr>
                <w:rFonts w:eastAsia="細明體" w:cs="Segoe UI"/>
                <w:b/>
                <w:sz w:val="17"/>
                <w:szCs w:val="17"/>
              </w:rPr>
              <w:t>格式</w:t>
            </w:r>
            <w:proofErr w:type="spellEnd"/>
            <w:r w:rsidRPr="00CA7301">
              <w:rPr>
                <w:rFonts w:eastAsia="細明體" w:cs="Segoe UI"/>
                <w:b/>
                <w:sz w:val="17"/>
                <w:szCs w:val="17"/>
              </w:rPr>
              <w:t>：</w:t>
            </w:r>
          </w:p>
        </w:tc>
        <w:tc>
          <w:tcPr>
            <w:tcW w:w="6945" w:type="dxa"/>
          </w:tcPr>
          <w:p w14:paraId="01E0A2DE" w14:textId="77777777" w:rsidR="00A731CE" w:rsidRPr="00CA7301" w:rsidRDefault="00A731CE" w:rsidP="00A731CE">
            <w:pPr>
              <w:spacing w:before="40" w:after="40"/>
              <w:jc w:val="both"/>
              <w:rPr>
                <w:rFonts w:cs="Segoe UI"/>
                <w:sz w:val="17"/>
                <w:lang w:eastAsia="en-GB"/>
              </w:rPr>
            </w:pPr>
            <w:r w:rsidRPr="00CA7301">
              <w:rPr>
                <w:rFonts w:eastAsiaTheme="minorEastAsia" w:cs="Segoe UI"/>
                <w:sz w:val="17"/>
                <w:lang w:eastAsia="zh-TW"/>
              </w:rPr>
              <w:t>固定。</w:t>
            </w:r>
          </w:p>
        </w:tc>
      </w:tr>
      <w:tr w:rsidR="00A731CE" w:rsidRPr="00CA7301" w14:paraId="2AAA294A" w14:textId="77777777" w:rsidTr="0029639E">
        <w:tc>
          <w:tcPr>
            <w:tcW w:w="2127" w:type="dxa"/>
          </w:tcPr>
          <w:p w14:paraId="7E09563A" w14:textId="77777777" w:rsidR="00A731CE" w:rsidRPr="00CA7301" w:rsidRDefault="00A731CE" w:rsidP="00A731CE">
            <w:pPr>
              <w:rPr>
                <w:rFonts w:cs="Segoe UI"/>
                <w:b/>
                <w:sz w:val="17"/>
                <w:szCs w:val="17"/>
              </w:rPr>
            </w:pPr>
            <w:proofErr w:type="spellStart"/>
            <w:r w:rsidRPr="00CA7301">
              <w:rPr>
                <w:rFonts w:eastAsia="細明體" w:cs="Segoe UI"/>
                <w:b/>
                <w:sz w:val="17"/>
                <w:szCs w:val="17"/>
              </w:rPr>
              <w:t>附加說明</w:t>
            </w:r>
            <w:proofErr w:type="spellEnd"/>
            <w:r w:rsidRPr="00CA7301">
              <w:rPr>
                <w:rFonts w:eastAsia="細明體" w:cs="Segoe UI"/>
                <w:b/>
                <w:sz w:val="17"/>
                <w:szCs w:val="17"/>
              </w:rPr>
              <w:t>：</w:t>
            </w:r>
          </w:p>
        </w:tc>
        <w:tc>
          <w:tcPr>
            <w:tcW w:w="6945" w:type="dxa"/>
          </w:tcPr>
          <w:p w14:paraId="473DD892" w14:textId="18B227AB" w:rsidR="00A731CE" w:rsidRPr="00CA7301" w:rsidRDefault="001D1285" w:rsidP="00A731CE">
            <w:pPr>
              <w:spacing w:before="40" w:after="40"/>
              <w:jc w:val="both"/>
              <w:rPr>
                <w:rFonts w:cs="Segoe UI"/>
                <w:noProof/>
                <w:sz w:val="17"/>
                <w:szCs w:val="17"/>
                <w:lang w:eastAsia="zh-TW"/>
              </w:rPr>
            </w:pPr>
            <w:r w:rsidRPr="001D1285">
              <w:rPr>
                <w:rFonts w:ascii="Calibri" w:eastAsia="細明體" w:hAnsi="Calibri" w:cs="Segoe UI"/>
                <w:sz w:val="17"/>
                <w:szCs w:val="17"/>
                <w:lang w:eastAsia="zh-TW"/>
              </w:rPr>
              <w:t>認可機構應</w:t>
            </w:r>
            <w:r w:rsidR="00BE1E53" w:rsidRPr="001D1285">
              <w:rPr>
                <w:rFonts w:ascii="Calibri" w:eastAsia="細明體" w:hAnsi="Calibri" w:cs="Segoe UI" w:hint="eastAsia"/>
                <w:sz w:val="17"/>
                <w:szCs w:val="17"/>
                <w:lang w:eastAsia="zh-HK"/>
              </w:rPr>
              <w:t>描述</w:t>
            </w:r>
            <w:r w:rsidRPr="001D1285">
              <w:rPr>
                <w:rFonts w:ascii="Calibri" w:eastAsia="細明體" w:hAnsi="Calibri" w:cs="Segoe UI"/>
                <w:sz w:val="17"/>
                <w:szCs w:val="17"/>
                <w:lang w:eastAsia="zh-TW"/>
              </w:rPr>
              <w:t>對現行報告期相比</w:t>
            </w:r>
            <w:r w:rsidR="00632122">
              <w:rPr>
                <w:rFonts w:ascii="Calibri" w:eastAsia="細明體" w:hAnsi="Calibri" w:cs="Segoe UI" w:hint="eastAsia"/>
                <w:sz w:val="17"/>
                <w:szCs w:val="17"/>
                <w:lang w:eastAsia="zh-HK"/>
              </w:rPr>
              <w:t>對</w:t>
            </w:r>
            <w:r w:rsidRPr="001D1285">
              <w:rPr>
                <w:rFonts w:ascii="Calibri" w:eastAsia="細明體" w:hAnsi="Calibri" w:cs="Segoe UI"/>
                <w:sz w:val="17"/>
                <w:szCs w:val="17"/>
                <w:lang w:eastAsia="zh-TW"/>
              </w:rPr>
              <w:t>上</w:t>
            </w:r>
            <w:r w:rsidR="00632122">
              <w:rPr>
                <w:rFonts w:ascii="Calibri" w:eastAsia="細明體" w:hAnsi="Calibri" w:cs="Segoe UI" w:hint="eastAsia"/>
                <w:sz w:val="17"/>
                <w:szCs w:val="17"/>
                <w:lang w:eastAsia="zh-HK"/>
              </w:rPr>
              <w:t>一</w:t>
            </w:r>
            <w:r w:rsidRPr="001D1285">
              <w:rPr>
                <w:rFonts w:ascii="Calibri" w:eastAsia="細明體" w:hAnsi="Calibri" w:cs="Segoe UI"/>
                <w:sz w:val="17"/>
                <w:szCs w:val="17"/>
                <w:lang w:eastAsia="zh-TW"/>
              </w:rPr>
              <w:t>個報告期的槓桿比率造成重大影響的主要因素。</w:t>
            </w:r>
            <w:r w:rsidRPr="001D1285">
              <w:rPr>
                <w:rFonts w:ascii="Calibri" w:eastAsia="細明體" w:hAnsi="Calibri" w:cs="Segoe UI" w:hint="eastAsia"/>
                <w:sz w:val="17"/>
                <w:szCs w:val="17"/>
                <w:lang w:eastAsia="zh-HK"/>
              </w:rPr>
              <w:t>此外</w:t>
            </w:r>
            <w:r w:rsidRPr="001D1285">
              <w:rPr>
                <w:rFonts w:ascii="Calibri" w:eastAsia="細明體" w:hAnsi="Calibri" w:cs="Segoe UI" w:hint="eastAsia"/>
                <w:sz w:val="17"/>
                <w:szCs w:val="17"/>
                <w:lang w:eastAsia="zh-TW"/>
              </w:rPr>
              <w:t>，</w:t>
            </w:r>
            <w:r w:rsidRPr="001D1285">
              <w:rPr>
                <w:rFonts w:ascii="Calibri" w:eastAsia="細明體" w:hAnsi="Calibri" w:cs="Segoe UI" w:hint="eastAsia"/>
                <w:sz w:val="17"/>
                <w:szCs w:val="17"/>
                <w:lang w:eastAsia="zh-HK"/>
              </w:rPr>
              <w:t>認可機構應描述第</w:t>
            </w:r>
            <w:r w:rsidRPr="001D1285">
              <w:rPr>
                <w:rFonts w:ascii="Calibri" w:eastAsia="細明體" w:hAnsi="Calibri" w:cs="Segoe UI" w:hint="eastAsia"/>
                <w:sz w:val="17"/>
                <w:szCs w:val="17"/>
                <w:lang w:eastAsia="zh-TW"/>
              </w:rPr>
              <w:t>29</w:t>
            </w:r>
            <w:r w:rsidRPr="001D1285">
              <w:rPr>
                <w:rFonts w:ascii="Calibri" w:eastAsia="細明體" w:hAnsi="Calibri" w:cs="Segoe UI" w:hint="eastAsia"/>
                <w:sz w:val="17"/>
                <w:szCs w:val="17"/>
                <w:lang w:eastAsia="zh-HK"/>
              </w:rPr>
              <w:t>行</w:t>
            </w:r>
            <w:r w:rsidR="00AC3B39">
              <w:rPr>
                <w:rFonts w:ascii="Calibri" w:eastAsia="細明體" w:hAnsi="Calibri" w:cs="Segoe UI" w:hint="eastAsia"/>
                <w:sz w:val="17"/>
                <w:szCs w:val="17"/>
                <w:lang w:eastAsia="zh-HK"/>
              </w:rPr>
              <w:t>所</w:t>
            </w:r>
            <w:r w:rsidRPr="001D1285">
              <w:rPr>
                <w:rFonts w:ascii="Calibri" w:eastAsia="細明體" w:hAnsi="Calibri" w:cs="Segoe UI" w:hint="eastAsia"/>
                <w:sz w:val="17"/>
                <w:szCs w:val="17"/>
                <w:lang w:eastAsia="zh-HK"/>
              </w:rPr>
              <w:t>披露的</w:t>
            </w:r>
            <w:r w:rsidRPr="001D1285">
              <w:rPr>
                <w:rFonts w:ascii="Calibri" w:eastAsia="細明體" w:hAnsi="Calibri" w:cs="Segoe UI" w:hint="eastAsia"/>
                <w:sz w:val="17"/>
                <w:szCs w:val="17"/>
                <w:lang w:eastAsia="zh-TW"/>
              </w:rPr>
              <w:t>SFT</w:t>
            </w:r>
            <w:r w:rsidRPr="001D1285">
              <w:rPr>
                <w:rFonts w:ascii="Calibri" w:eastAsia="細明體" w:hAnsi="Calibri" w:cs="Segoe UI"/>
                <w:sz w:val="17"/>
                <w:szCs w:val="17"/>
                <w:lang w:eastAsia="zh-TW"/>
              </w:rPr>
              <w:t>資產</w:t>
            </w:r>
            <w:r w:rsidRPr="001D1285">
              <w:rPr>
                <w:rFonts w:ascii="Calibri" w:eastAsia="細明體" w:hAnsi="Calibri" w:cs="Segoe UI" w:hint="eastAsia"/>
                <w:sz w:val="17"/>
                <w:szCs w:val="17"/>
                <w:lang w:eastAsia="zh-HK"/>
              </w:rPr>
              <w:t>總額與第</w:t>
            </w:r>
            <w:r w:rsidRPr="001D1285">
              <w:rPr>
                <w:rFonts w:ascii="Calibri" w:eastAsia="細明體" w:hAnsi="Calibri" w:cs="Segoe UI" w:hint="eastAsia"/>
                <w:sz w:val="17"/>
                <w:szCs w:val="17"/>
                <w:lang w:eastAsia="zh-TW"/>
              </w:rPr>
              <w:t>28</w:t>
            </w:r>
            <w:r w:rsidRPr="001D1285">
              <w:rPr>
                <w:rFonts w:ascii="Calibri" w:eastAsia="細明體" w:hAnsi="Calibri" w:cs="Segoe UI" w:hint="eastAsia"/>
                <w:sz w:val="17"/>
                <w:szCs w:val="17"/>
                <w:lang w:eastAsia="zh-HK"/>
              </w:rPr>
              <w:t>行</w:t>
            </w:r>
            <w:r w:rsidR="00AC3B39">
              <w:rPr>
                <w:rFonts w:ascii="Calibri" w:eastAsia="細明體" w:hAnsi="Calibri" w:cs="Segoe UI" w:hint="eastAsia"/>
                <w:sz w:val="17"/>
                <w:szCs w:val="17"/>
                <w:lang w:eastAsia="zh-HK"/>
              </w:rPr>
              <w:t>所</w:t>
            </w:r>
            <w:r w:rsidRPr="001D1285">
              <w:rPr>
                <w:rFonts w:ascii="Calibri" w:eastAsia="細明體" w:hAnsi="Calibri" w:cs="Segoe UI" w:hint="eastAsia"/>
                <w:sz w:val="17"/>
                <w:szCs w:val="17"/>
                <w:lang w:eastAsia="zh-HK"/>
              </w:rPr>
              <w:t>披露的</w:t>
            </w:r>
            <w:r w:rsidRPr="001D1285">
              <w:rPr>
                <w:rFonts w:ascii="Calibri" w:eastAsia="細明體" w:hAnsi="Calibri" w:cs="Segoe UI" w:hint="eastAsia"/>
                <w:sz w:val="17"/>
                <w:szCs w:val="17"/>
                <w:lang w:eastAsia="zh-TW"/>
              </w:rPr>
              <w:t>SFT</w:t>
            </w:r>
            <w:r w:rsidRPr="001D1285">
              <w:rPr>
                <w:rFonts w:ascii="Calibri" w:eastAsia="細明體" w:hAnsi="Calibri" w:cs="Segoe UI"/>
                <w:sz w:val="17"/>
                <w:szCs w:val="17"/>
                <w:lang w:eastAsia="zh-TW"/>
              </w:rPr>
              <w:t>資產</w:t>
            </w:r>
            <w:r w:rsidRPr="001D1285">
              <w:rPr>
                <w:rFonts w:ascii="Calibri" w:eastAsia="細明體" w:hAnsi="Calibri" w:cs="Segoe UI" w:hint="eastAsia"/>
                <w:sz w:val="17"/>
                <w:szCs w:val="17"/>
                <w:lang w:eastAsia="zh-HK"/>
              </w:rPr>
              <w:t>總額平均值之間的重大差別的主要因素</w:t>
            </w:r>
            <w:r w:rsidRPr="001D1285">
              <w:rPr>
                <w:rFonts w:ascii="Calibri" w:eastAsia="細明體" w:hAnsi="Calibri" w:cs="Segoe UI" w:hint="eastAsia"/>
                <w:sz w:val="17"/>
                <w:szCs w:val="17"/>
                <w:lang w:eastAsia="zh-TW"/>
              </w:rPr>
              <w:t>。</w:t>
            </w:r>
          </w:p>
        </w:tc>
      </w:tr>
      <w:tr w:rsidR="00A731CE" w:rsidRPr="00CA7301" w14:paraId="788AE80A" w14:textId="77777777" w:rsidTr="0029639E">
        <w:tc>
          <w:tcPr>
            <w:tcW w:w="2127" w:type="dxa"/>
          </w:tcPr>
          <w:p w14:paraId="5CFEC3F6" w14:textId="77777777" w:rsidR="00A731CE" w:rsidRPr="00CA7301" w:rsidRDefault="00A731CE" w:rsidP="00A731CE">
            <w:pPr>
              <w:rPr>
                <w:rFonts w:cs="Segoe UI"/>
                <w:b/>
                <w:sz w:val="17"/>
                <w:szCs w:val="17"/>
                <w:lang w:eastAsia="zh-TW"/>
              </w:rPr>
            </w:pPr>
            <w:r w:rsidRPr="00CA7301">
              <w:rPr>
                <w:rFonts w:eastAsia="細明體" w:cs="Segoe UI"/>
                <w:b/>
                <w:sz w:val="17"/>
                <w:szCs w:val="17"/>
                <w:lang w:eastAsia="zh-TW"/>
              </w:rPr>
              <w:t>《披露規則》相應條文：</w:t>
            </w:r>
          </w:p>
        </w:tc>
        <w:tc>
          <w:tcPr>
            <w:tcW w:w="6945" w:type="dxa"/>
          </w:tcPr>
          <w:p w14:paraId="34B0AA88" w14:textId="77777777" w:rsidR="00A731CE" w:rsidRPr="00CA7301" w:rsidRDefault="00A731CE" w:rsidP="00A731CE">
            <w:pPr>
              <w:spacing w:before="40" w:after="40"/>
              <w:jc w:val="both"/>
              <w:rPr>
                <w:rFonts w:eastAsiaTheme="minorEastAsia" w:cs="Segoe UI"/>
                <w:sz w:val="17"/>
                <w:szCs w:val="17"/>
                <w:lang w:eastAsia="zh-TW"/>
              </w:rPr>
            </w:pPr>
            <w:r w:rsidRPr="00CA7301">
              <w:rPr>
                <w:rFonts w:eastAsiaTheme="minorEastAsia" w:cs="Segoe UI"/>
                <w:sz w:val="17"/>
                <w:szCs w:val="17"/>
                <w:lang w:eastAsia="zh-TW"/>
              </w:rPr>
              <w:t>16FI</w:t>
            </w:r>
          </w:p>
        </w:tc>
      </w:tr>
    </w:tbl>
    <w:p w14:paraId="03F4B029" w14:textId="3CDDA42F" w:rsidR="00A731CE" w:rsidRDefault="00A731CE" w:rsidP="00A731CE">
      <w:pPr>
        <w:rPr>
          <w:rFonts w:cs="Segoe UI"/>
          <w:sz w:val="22"/>
        </w:rPr>
      </w:pPr>
    </w:p>
    <w:tbl>
      <w:tblPr>
        <w:tblW w:w="9075"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67"/>
        <w:gridCol w:w="6098"/>
        <w:gridCol w:w="1205"/>
        <w:gridCol w:w="1205"/>
      </w:tblGrid>
      <w:tr w:rsidR="001D1285" w:rsidRPr="001D1285" w14:paraId="3D28ACE2" w14:textId="77777777" w:rsidTr="00213CED">
        <w:trPr>
          <w:trHeight w:val="150"/>
          <w:tblHeader/>
        </w:trPr>
        <w:tc>
          <w:tcPr>
            <w:tcW w:w="6665" w:type="dxa"/>
            <w:gridSpan w:val="2"/>
            <w:tcBorders>
              <w:top w:val="nil"/>
              <w:left w:val="nil"/>
              <w:bottom w:val="nil"/>
              <w:right w:val="single" w:sz="4" w:space="0" w:color="auto"/>
            </w:tcBorders>
            <w:shd w:val="clear" w:color="auto" w:fill="auto"/>
            <w:vAlign w:val="center"/>
          </w:tcPr>
          <w:p w14:paraId="76DBF89D" w14:textId="77777777" w:rsidR="001D1285" w:rsidRPr="001D1285" w:rsidRDefault="001D1285" w:rsidP="001A2DE3">
            <w:pPr>
              <w:widowControl w:val="0"/>
              <w:autoSpaceDE w:val="0"/>
              <w:autoSpaceDN w:val="0"/>
              <w:adjustRightInd w:val="0"/>
              <w:spacing w:line="259" w:lineRule="auto"/>
              <w:rPr>
                <w:rFonts w:ascii="Calibri" w:eastAsia="新細明體" w:hAnsi="Calibri" w:cs="Segoe UI"/>
                <w:b/>
                <w:bCs/>
                <w:color w:val="000000"/>
                <w:sz w:val="22"/>
                <w:szCs w:val="22"/>
                <w:lang w:val="en-US" w:eastAsia="zh-TW"/>
              </w:rPr>
            </w:pPr>
          </w:p>
        </w:tc>
        <w:tc>
          <w:tcPr>
            <w:tcW w:w="1205" w:type="dxa"/>
            <w:tcBorders>
              <w:top w:val="single" w:sz="6" w:space="0" w:color="auto"/>
              <w:left w:val="single" w:sz="6" w:space="0" w:color="auto"/>
              <w:bottom w:val="single" w:sz="6" w:space="0" w:color="auto"/>
              <w:right w:val="single" w:sz="6" w:space="0" w:color="auto"/>
            </w:tcBorders>
            <w:shd w:val="clear" w:color="auto" w:fill="auto"/>
            <w:vAlign w:val="center"/>
          </w:tcPr>
          <w:p w14:paraId="6FDD9DA9" w14:textId="77777777" w:rsidR="001D1285" w:rsidRPr="001D1285" w:rsidRDefault="001D1285" w:rsidP="001D1285">
            <w:pPr>
              <w:snapToGrid w:val="0"/>
              <w:spacing w:before="40" w:after="40" w:line="259" w:lineRule="auto"/>
              <w:jc w:val="center"/>
              <w:rPr>
                <w:rFonts w:ascii="Calibri" w:eastAsia="新細明體" w:hAnsi="Calibri" w:cs="Segoe UI"/>
                <w:bCs/>
                <w:sz w:val="17"/>
                <w:szCs w:val="22"/>
                <w:lang w:eastAsia="it-IT"/>
              </w:rPr>
            </w:pPr>
            <w:r w:rsidRPr="001D1285">
              <w:rPr>
                <w:rFonts w:ascii="Calibri" w:eastAsia="新細明體" w:hAnsi="Calibri" w:cs="Segoe UI"/>
                <w:bCs/>
                <w:sz w:val="17"/>
                <w:szCs w:val="22"/>
                <w:lang w:eastAsia="it-IT"/>
              </w:rPr>
              <w:t>(a)</w:t>
            </w:r>
          </w:p>
        </w:tc>
        <w:tc>
          <w:tcPr>
            <w:tcW w:w="1205" w:type="dxa"/>
            <w:tcBorders>
              <w:top w:val="single" w:sz="6" w:space="0" w:color="auto"/>
              <w:left w:val="single" w:sz="6" w:space="0" w:color="auto"/>
              <w:bottom w:val="single" w:sz="6" w:space="0" w:color="auto"/>
              <w:right w:val="single" w:sz="4" w:space="0" w:color="auto"/>
            </w:tcBorders>
            <w:shd w:val="clear" w:color="auto" w:fill="auto"/>
            <w:vAlign w:val="center"/>
          </w:tcPr>
          <w:p w14:paraId="23F65BB3" w14:textId="77777777" w:rsidR="001D1285" w:rsidRPr="001D1285" w:rsidRDefault="001D1285" w:rsidP="001D1285">
            <w:pPr>
              <w:snapToGrid w:val="0"/>
              <w:spacing w:before="40" w:after="40" w:line="259" w:lineRule="auto"/>
              <w:jc w:val="center"/>
              <w:rPr>
                <w:rFonts w:ascii="Calibri" w:eastAsia="新細明體" w:hAnsi="Calibri" w:cs="Segoe UI"/>
                <w:bCs/>
                <w:sz w:val="17"/>
                <w:szCs w:val="22"/>
                <w:lang w:eastAsia="it-IT"/>
              </w:rPr>
            </w:pPr>
            <w:r w:rsidRPr="001D1285">
              <w:rPr>
                <w:rFonts w:ascii="Calibri" w:eastAsia="新細明體" w:hAnsi="Calibri" w:cs="Segoe UI"/>
                <w:bCs/>
                <w:sz w:val="17"/>
                <w:szCs w:val="22"/>
                <w:lang w:eastAsia="it-IT"/>
              </w:rPr>
              <w:t>(b)</w:t>
            </w:r>
          </w:p>
        </w:tc>
      </w:tr>
      <w:tr w:rsidR="001D1285" w:rsidRPr="001D1285" w14:paraId="0719AE63" w14:textId="77777777" w:rsidTr="00213CED">
        <w:trPr>
          <w:trHeight w:val="150"/>
          <w:tblHeader/>
        </w:trPr>
        <w:tc>
          <w:tcPr>
            <w:tcW w:w="6665" w:type="dxa"/>
            <w:gridSpan w:val="2"/>
            <w:tcBorders>
              <w:top w:val="nil"/>
              <w:left w:val="nil"/>
              <w:bottom w:val="nil"/>
              <w:right w:val="single" w:sz="4" w:space="0" w:color="auto"/>
            </w:tcBorders>
            <w:shd w:val="clear" w:color="auto" w:fill="auto"/>
            <w:vAlign w:val="center"/>
          </w:tcPr>
          <w:p w14:paraId="5C7D1F2F" w14:textId="77777777" w:rsidR="001D1285" w:rsidRPr="001D1285" w:rsidRDefault="001D1285" w:rsidP="001A2DE3">
            <w:pPr>
              <w:widowControl w:val="0"/>
              <w:autoSpaceDE w:val="0"/>
              <w:autoSpaceDN w:val="0"/>
              <w:adjustRightInd w:val="0"/>
              <w:spacing w:line="259" w:lineRule="auto"/>
              <w:rPr>
                <w:rFonts w:ascii="Calibri" w:eastAsia="新細明體" w:hAnsi="Calibri" w:cs="Segoe UI"/>
                <w:b/>
                <w:bCs/>
                <w:color w:val="000000"/>
                <w:sz w:val="22"/>
                <w:szCs w:val="22"/>
                <w:lang w:val="en-US" w:eastAsia="zh-TW"/>
              </w:rPr>
            </w:pPr>
          </w:p>
        </w:tc>
        <w:tc>
          <w:tcPr>
            <w:tcW w:w="241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47223A0C" w14:textId="77777777" w:rsidR="001D1285" w:rsidRPr="001D1285" w:rsidRDefault="001D1285" w:rsidP="001D1285">
            <w:pPr>
              <w:snapToGrid w:val="0"/>
              <w:spacing w:before="40" w:after="40" w:line="259" w:lineRule="auto"/>
              <w:jc w:val="center"/>
              <w:rPr>
                <w:rFonts w:ascii="Calibri" w:eastAsia="新細明體" w:hAnsi="Calibri" w:cs="Segoe UI"/>
                <w:bCs/>
                <w:sz w:val="17"/>
                <w:szCs w:val="22"/>
                <w:lang w:eastAsia="it-IT"/>
              </w:rPr>
            </w:pPr>
            <w:r w:rsidRPr="001D1285">
              <w:rPr>
                <w:rFonts w:ascii="Calibri" w:eastAsia="新細明體" w:hAnsi="Calibri" w:cs="Segoe UI"/>
                <w:bCs/>
                <w:sz w:val="17"/>
                <w:szCs w:val="22"/>
                <w:lang w:eastAsia="zh-TW"/>
              </w:rPr>
              <w:t>港元等值</w:t>
            </w:r>
          </w:p>
        </w:tc>
      </w:tr>
      <w:tr w:rsidR="001D1285" w:rsidRPr="001D1285" w14:paraId="4907BFBD" w14:textId="77777777" w:rsidTr="00213CED">
        <w:trPr>
          <w:trHeight w:val="48"/>
          <w:tblHeader/>
        </w:trPr>
        <w:tc>
          <w:tcPr>
            <w:tcW w:w="6665" w:type="dxa"/>
            <w:gridSpan w:val="2"/>
            <w:tcBorders>
              <w:top w:val="nil"/>
              <w:left w:val="nil"/>
              <w:bottom w:val="single" w:sz="6" w:space="0" w:color="auto"/>
              <w:right w:val="single" w:sz="6" w:space="0" w:color="auto"/>
            </w:tcBorders>
            <w:shd w:val="clear" w:color="auto" w:fill="auto"/>
            <w:vAlign w:val="center"/>
          </w:tcPr>
          <w:p w14:paraId="7F43BF23" w14:textId="77777777" w:rsidR="001D1285" w:rsidRPr="001D1285" w:rsidRDefault="001D1285" w:rsidP="001D1285">
            <w:pPr>
              <w:snapToGrid w:val="0"/>
              <w:spacing w:before="40" w:after="40" w:line="259" w:lineRule="auto"/>
              <w:rPr>
                <w:rFonts w:ascii="Calibri" w:eastAsia="新細明體" w:hAnsi="Calibri" w:cs="Segoe UI"/>
                <w:sz w:val="17"/>
                <w:szCs w:val="22"/>
                <w:lang w:val="en-US" w:eastAsia="it-IT"/>
              </w:rPr>
            </w:pPr>
          </w:p>
        </w:tc>
        <w:tc>
          <w:tcPr>
            <w:tcW w:w="1205" w:type="dxa"/>
            <w:tcBorders>
              <w:top w:val="single" w:sz="6" w:space="0" w:color="auto"/>
              <w:left w:val="single" w:sz="6" w:space="0" w:color="auto"/>
              <w:bottom w:val="single" w:sz="6" w:space="0" w:color="auto"/>
              <w:right w:val="single" w:sz="6" w:space="0" w:color="auto"/>
            </w:tcBorders>
            <w:shd w:val="clear" w:color="auto" w:fill="auto"/>
            <w:vAlign w:val="center"/>
          </w:tcPr>
          <w:p w14:paraId="6508A43D" w14:textId="77777777" w:rsidR="001D1285" w:rsidRPr="001D1285" w:rsidRDefault="001D1285" w:rsidP="001D1285">
            <w:pPr>
              <w:snapToGrid w:val="0"/>
              <w:spacing w:before="40" w:after="40" w:line="259" w:lineRule="auto"/>
              <w:jc w:val="center"/>
              <w:rPr>
                <w:rFonts w:ascii="Calibri" w:eastAsia="新細明體" w:hAnsi="Calibri" w:cs="Segoe UI"/>
                <w:bCs/>
                <w:sz w:val="17"/>
                <w:szCs w:val="22"/>
                <w:lang w:eastAsia="it-IT"/>
              </w:rPr>
            </w:pPr>
            <w:r w:rsidRPr="001D1285">
              <w:rPr>
                <w:rFonts w:ascii="Calibri" w:eastAsia="新細明體" w:hAnsi="Calibri" w:cs="Segoe UI"/>
                <w:bCs/>
                <w:sz w:val="17"/>
                <w:szCs w:val="22"/>
                <w:lang w:eastAsia="it-IT"/>
              </w:rPr>
              <w:t>T</w:t>
            </w:r>
          </w:p>
        </w:tc>
        <w:tc>
          <w:tcPr>
            <w:tcW w:w="1205" w:type="dxa"/>
            <w:tcBorders>
              <w:top w:val="single" w:sz="6" w:space="0" w:color="auto"/>
              <w:left w:val="single" w:sz="6" w:space="0" w:color="auto"/>
              <w:bottom w:val="single" w:sz="6" w:space="0" w:color="auto"/>
              <w:right w:val="single" w:sz="4" w:space="0" w:color="auto"/>
            </w:tcBorders>
            <w:shd w:val="clear" w:color="auto" w:fill="auto"/>
            <w:vAlign w:val="center"/>
          </w:tcPr>
          <w:p w14:paraId="1791A230" w14:textId="77777777" w:rsidR="001D1285" w:rsidRPr="001D1285" w:rsidRDefault="001D1285" w:rsidP="001D1285">
            <w:pPr>
              <w:snapToGrid w:val="0"/>
              <w:spacing w:before="40" w:after="40" w:line="259" w:lineRule="auto"/>
              <w:jc w:val="center"/>
              <w:rPr>
                <w:rFonts w:ascii="Calibri" w:eastAsia="新細明體" w:hAnsi="Calibri" w:cs="Segoe UI"/>
                <w:bCs/>
                <w:sz w:val="17"/>
                <w:szCs w:val="22"/>
                <w:lang w:eastAsia="it-IT"/>
              </w:rPr>
            </w:pPr>
            <w:r w:rsidRPr="001D1285">
              <w:rPr>
                <w:rFonts w:ascii="Calibri" w:eastAsia="新細明體" w:hAnsi="Calibri" w:cs="Segoe UI"/>
                <w:bCs/>
                <w:sz w:val="17"/>
                <w:szCs w:val="22"/>
                <w:lang w:eastAsia="it-IT"/>
              </w:rPr>
              <w:t>T-1</w:t>
            </w:r>
          </w:p>
        </w:tc>
      </w:tr>
      <w:tr w:rsidR="001D1285" w:rsidRPr="001D1285" w14:paraId="68A092CB" w14:textId="77777777" w:rsidTr="00000DFA">
        <w:trPr>
          <w:cantSplit/>
          <w:trHeight w:val="344"/>
        </w:trPr>
        <w:tc>
          <w:tcPr>
            <w:tcW w:w="6665" w:type="dxa"/>
            <w:gridSpan w:val="2"/>
            <w:tcBorders>
              <w:top w:val="single" w:sz="6" w:space="0" w:color="auto"/>
              <w:left w:val="nil"/>
              <w:bottom w:val="single" w:sz="6" w:space="0" w:color="BCBDBC"/>
              <w:right w:val="nil"/>
            </w:tcBorders>
            <w:shd w:val="clear" w:color="auto" w:fill="D9D9D9"/>
          </w:tcPr>
          <w:p w14:paraId="49538742" w14:textId="77777777" w:rsidR="001D1285" w:rsidRPr="001D1285" w:rsidRDefault="001D1285" w:rsidP="00000DFA">
            <w:pPr>
              <w:widowControl w:val="0"/>
              <w:autoSpaceDE w:val="0"/>
              <w:autoSpaceDN w:val="0"/>
              <w:adjustRightInd w:val="0"/>
              <w:spacing w:line="259" w:lineRule="auto"/>
              <w:ind w:firstLineChars="50" w:firstLine="85"/>
              <w:rPr>
                <w:rFonts w:ascii="Calibri" w:eastAsia="新細明體" w:hAnsi="Calibri" w:cs="Segoe UI"/>
                <w:b/>
                <w:sz w:val="17"/>
                <w:szCs w:val="22"/>
                <w:lang w:eastAsia="it-IT"/>
              </w:rPr>
            </w:pPr>
            <w:r w:rsidRPr="001D1285">
              <w:rPr>
                <w:rFonts w:ascii="Calibri" w:eastAsia="細明體" w:hAnsi="Calibri" w:cs="Segoe UI"/>
                <w:b/>
                <w:sz w:val="17"/>
                <w:szCs w:val="22"/>
                <w:lang w:eastAsia="it-IT"/>
              </w:rPr>
              <w:t>資產負債表內風險承擔</w:t>
            </w:r>
          </w:p>
        </w:tc>
        <w:tc>
          <w:tcPr>
            <w:tcW w:w="1205" w:type="dxa"/>
            <w:tcBorders>
              <w:top w:val="single" w:sz="6" w:space="0" w:color="auto"/>
              <w:left w:val="nil"/>
              <w:bottom w:val="single" w:sz="6" w:space="0" w:color="BCBDBC"/>
              <w:right w:val="nil"/>
            </w:tcBorders>
            <w:shd w:val="clear" w:color="auto" w:fill="D9D9D9"/>
          </w:tcPr>
          <w:p w14:paraId="2478C166"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nil"/>
              <w:bottom w:val="single" w:sz="6" w:space="0" w:color="BCBDBC"/>
              <w:right w:val="single" w:sz="4" w:space="0" w:color="auto"/>
            </w:tcBorders>
            <w:shd w:val="clear" w:color="auto" w:fill="D9D9D9"/>
          </w:tcPr>
          <w:p w14:paraId="47A03867"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78414629" w14:textId="77777777" w:rsidTr="00213CED">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732C6B9B" w14:textId="77777777"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sz w:val="17"/>
                <w:szCs w:val="17"/>
                <w:lang w:eastAsia="en-GB"/>
              </w:rPr>
              <w:t>1</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0A290ECD" w14:textId="06E5A2CC" w:rsidR="001D1285" w:rsidRPr="001D1285" w:rsidRDefault="001D1285" w:rsidP="001D1285">
            <w:pPr>
              <w:snapToGrid w:val="0"/>
              <w:spacing w:before="40" w:after="40" w:line="259" w:lineRule="auto"/>
              <w:ind w:left="57" w:rightChars="71" w:right="142"/>
              <w:rPr>
                <w:rFonts w:ascii="Calibri" w:eastAsia="新細明體" w:hAnsi="Calibri" w:cs="Segoe UI"/>
                <w:sz w:val="17"/>
                <w:szCs w:val="22"/>
                <w:lang w:eastAsia="zh-TW"/>
              </w:rPr>
            </w:pPr>
            <w:r w:rsidRPr="001D1285">
              <w:rPr>
                <w:rFonts w:ascii="Calibri" w:eastAsia="細明體" w:hAnsi="Calibri" w:cs="Segoe UI"/>
                <w:sz w:val="17"/>
                <w:szCs w:val="22"/>
                <w:lang w:eastAsia="it-IT"/>
              </w:rPr>
              <w:t>資產負債表內風險承擔</w:t>
            </w:r>
            <w:r w:rsidRPr="001D1285">
              <w:rPr>
                <w:rFonts w:ascii="Calibri" w:eastAsia="細明體" w:hAnsi="Calibri" w:cs="Segoe UI"/>
                <w:sz w:val="17"/>
                <w:szCs w:val="22"/>
                <w:lang w:eastAsia="zh-TW"/>
              </w:rPr>
              <w:t>（</w:t>
            </w:r>
            <w:r w:rsidRPr="001D1285">
              <w:rPr>
                <w:rFonts w:ascii="Calibri" w:eastAsia="細明體" w:hAnsi="Calibri" w:cs="Segoe UI"/>
                <w:sz w:val="17"/>
                <w:szCs w:val="22"/>
                <w:lang w:eastAsia="it-IT"/>
              </w:rPr>
              <w:t>不包括衍生工具合約或</w:t>
            </w:r>
            <w:r w:rsidRPr="001D1285" w:rsidDel="00D05462">
              <w:rPr>
                <w:rFonts w:ascii="Calibri" w:eastAsia="細明體" w:hAnsi="Calibri" w:cs="Segoe UI"/>
                <w:sz w:val="17"/>
                <w:szCs w:val="22"/>
                <w:lang w:eastAsia="it-IT"/>
              </w:rPr>
              <w:t xml:space="preserve"> </w:t>
            </w:r>
            <w:r w:rsidRPr="001D1285">
              <w:rPr>
                <w:rFonts w:ascii="Calibri" w:eastAsia="新細明體" w:hAnsi="Calibri" w:cs="Segoe UI"/>
                <w:sz w:val="17"/>
                <w:szCs w:val="22"/>
                <w:lang w:eastAsia="it-IT"/>
              </w:rPr>
              <w:t>SFT</w:t>
            </w:r>
            <w:r w:rsidRPr="001D1285">
              <w:rPr>
                <w:rFonts w:ascii="Calibri" w:eastAsia="細明體" w:hAnsi="Calibri" w:cs="Segoe UI"/>
                <w:sz w:val="17"/>
                <w:szCs w:val="22"/>
                <w:lang w:eastAsia="zh-TW"/>
              </w:rPr>
              <w:t>，但包括</w:t>
            </w:r>
            <w:r w:rsidRPr="001D1285">
              <w:rPr>
                <w:rFonts w:ascii="Calibri" w:eastAsia="細明體" w:hAnsi="Calibri" w:cs="Segoe UI" w:hint="eastAsia"/>
                <w:sz w:val="17"/>
                <w:szCs w:val="22"/>
                <w:lang w:eastAsia="zh-HK"/>
              </w:rPr>
              <w:t>相關資產負債表內</w:t>
            </w:r>
            <w:r w:rsidRPr="001D1285">
              <w:rPr>
                <w:rFonts w:ascii="Calibri" w:eastAsia="細明體" w:hAnsi="Calibri" w:cs="Segoe UI"/>
                <w:sz w:val="17"/>
                <w:szCs w:val="22"/>
                <w:lang w:eastAsia="zh-TW"/>
              </w:rPr>
              <w:t>抵押品）</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64297AC1"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2657255E"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0D5764C4" w14:textId="77777777" w:rsidTr="00213CED">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7B2D89E1" w14:textId="77777777" w:rsidR="001D1285" w:rsidRPr="001D1285" w:rsidRDefault="001D1285" w:rsidP="001D1285">
            <w:pPr>
              <w:snapToGrid w:val="0"/>
              <w:spacing w:before="40" w:after="40" w:line="259" w:lineRule="auto"/>
              <w:ind w:left="57"/>
              <w:rPr>
                <w:rFonts w:ascii="Calibri" w:eastAsia="新細明體" w:hAnsi="Calibri" w:cs="Segoe UI"/>
                <w:sz w:val="17"/>
                <w:szCs w:val="17"/>
                <w:lang w:eastAsia="zh-TW"/>
              </w:rPr>
            </w:pPr>
            <w:r w:rsidRPr="001D1285">
              <w:rPr>
                <w:rFonts w:ascii="Calibri" w:eastAsia="新細明體" w:hAnsi="Calibri" w:cs="Segoe UI" w:hint="eastAsia"/>
                <w:sz w:val="17"/>
                <w:szCs w:val="17"/>
                <w:lang w:eastAsia="zh-TW"/>
              </w:rPr>
              <w:t>2</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1D0F67AA" w14:textId="256902C5" w:rsidR="001D1285" w:rsidRPr="001D1285" w:rsidRDefault="00F44F2B" w:rsidP="001D1285">
            <w:pPr>
              <w:snapToGrid w:val="0"/>
              <w:spacing w:before="40" w:after="40" w:line="259" w:lineRule="auto"/>
              <w:ind w:left="57" w:rightChars="71" w:right="142"/>
              <w:rPr>
                <w:rFonts w:ascii="Calibri" w:eastAsia="細明體" w:hAnsi="Calibri" w:cs="Segoe UI"/>
                <w:sz w:val="17"/>
                <w:szCs w:val="17"/>
                <w:lang w:eastAsia="it-IT"/>
              </w:rPr>
            </w:pPr>
            <w:r>
              <w:rPr>
                <w:rFonts w:ascii="Calibri" w:eastAsia="新細明體" w:hAnsi="Calibri" w:hint="eastAsia"/>
                <w:sz w:val="17"/>
                <w:szCs w:val="17"/>
                <w:lang w:eastAsia="zh-HK"/>
              </w:rPr>
              <w:t>還原</w:t>
            </w:r>
            <w:r w:rsidR="001D1285" w:rsidRPr="001D1285">
              <w:rPr>
                <w:rFonts w:ascii="Calibri" w:eastAsia="新細明體" w:hAnsi="Calibri"/>
                <w:sz w:val="17"/>
                <w:szCs w:val="17"/>
                <w:lang w:eastAsia="zh-HK"/>
              </w:rPr>
              <w:t>根據適用會計</w:t>
            </w:r>
            <w:r w:rsidR="001D1285" w:rsidRPr="001D1285">
              <w:rPr>
                <w:rFonts w:ascii="Calibri" w:eastAsia="新細明體" w:hAnsi="Calibri" w:hint="eastAsia"/>
                <w:sz w:val="17"/>
                <w:szCs w:val="17"/>
                <w:lang w:eastAsia="zh-HK"/>
              </w:rPr>
              <w:t>準則</w:t>
            </w:r>
            <w:r w:rsidR="002B6916" w:rsidRPr="001D1285">
              <w:rPr>
                <w:rFonts w:ascii="Calibri" w:eastAsia="新細明體" w:hAnsi="Calibri"/>
                <w:sz w:val="17"/>
                <w:szCs w:val="17"/>
                <w:lang w:eastAsia="zh-HK"/>
              </w:rPr>
              <w:t>須</w:t>
            </w:r>
            <w:r w:rsidR="001D1285" w:rsidRPr="001D1285">
              <w:rPr>
                <w:rFonts w:ascii="Calibri" w:eastAsia="新細明體" w:hAnsi="Calibri"/>
                <w:sz w:val="17"/>
                <w:szCs w:val="17"/>
                <w:lang w:eastAsia="zh-HK"/>
              </w:rPr>
              <w:t>從資產負債表</w:t>
            </w:r>
            <w:r w:rsidR="001D1285" w:rsidRPr="001D1285">
              <w:rPr>
                <w:rFonts w:ascii="Calibri" w:eastAsia="細明體" w:hAnsi="Calibri" w:cs="Segoe UI"/>
                <w:sz w:val="17"/>
                <w:szCs w:val="17"/>
                <w:lang w:eastAsia="zh-TW"/>
              </w:rPr>
              <w:t>資產</w:t>
            </w:r>
            <w:r w:rsidR="001D1285" w:rsidRPr="001D1285">
              <w:rPr>
                <w:rFonts w:ascii="Calibri" w:eastAsia="新細明體" w:hAnsi="Calibri"/>
                <w:sz w:val="17"/>
                <w:szCs w:val="17"/>
                <w:lang w:eastAsia="zh-HK"/>
              </w:rPr>
              <w:t>中扣減的</w:t>
            </w:r>
            <w:r>
              <w:rPr>
                <w:rFonts w:ascii="Calibri" w:eastAsia="新細明體" w:hAnsi="Calibri" w:hint="eastAsia"/>
                <w:sz w:val="17"/>
                <w:szCs w:val="17"/>
                <w:lang w:eastAsia="zh-HK"/>
              </w:rPr>
              <w:t>就</w:t>
            </w:r>
            <w:r w:rsidR="001D1285" w:rsidRPr="001D1285">
              <w:rPr>
                <w:rFonts w:ascii="Calibri" w:eastAsia="新細明體" w:hAnsi="Calibri"/>
                <w:sz w:val="17"/>
                <w:szCs w:val="17"/>
                <w:lang w:eastAsia="zh-HK"/>
              </w:rPr>
              <w:t>衍生工具</w:t>
            </w:r>
            <w:r w:rsidR="001D1285" w:rsidRPr="001D1285">
              <w:rPr>
                <w:rFonts w:ascii="Calibri" w:eastAsia="新細明體" w:hAnsi="Calibri" w:hint="eastAsia"/>
                <w:sz w:val="17"/>
                <w:szCs w:val="17"/>
                <w:lang w:eastAsia="zh-HK"/>
              </w:rPr>
              <w:t>合約</w:t>
            </w:r>
            <w:r w:rsidR="00786698" w:rsidRPr="005753A5">
              <w:rPr>
                <w:rFonts w:ascii="Calibri" w:eastAsia="細明體" w:hAnsi="Calibri" w:cs="Segoe UI" w:hint="eastAsia"/>
                <w:kern w:val="2"/>
                <w:sz w:val="17"/>
                <w:szCs w:val="17"/>
                <w:lang w:val="en-US" w:eastAsia="zh-TW"/>
              </w:rPr>
              <w:t>提供</w:t>
            </w:r>
            <w:r w:rsidR="001E3E9B">
              <w:rPr>
                <w:rFonts w:ascii="Calibri" w:eastAsia="細明體" w:hAnsi="Calibri" w:cs="Segoe UI" w:hint="eastAsia"/>
                <w:kern w:val="2"/>
                <w:sz w:val="17"/>
                <w:szCs w:val="17"/>
                <w:lang w:val="en-US" w:eastAsia="zh-HK"/>
              </w:rPr>
              <w:t>的</w:t>
            </w:r>
            <w:r w:rsidR="001D1285" w:rsidRPr="001D1285">
              <w:rPr>
                <w:rFonts w:ascii="Calibri" w:eastAsia="新細明體" w:hAnsi="Calibri"/>
                <w:sz w:val="17"/>
                <w:szCs w:val="17"/>
                <w:lang w:eastAsia="zh-HK"/>
              </w:rPr>
              <w:t>抵押品數額</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7308A006"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2CEFFA05"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28105E09" w14:textId="77777777" w:rsidTr="00213CED">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6CC16999" w14:textId="77777777" w:rsidR="001D1285" w:rsidRPr="001D1285" w:rsidRDefault="001D1285" w:rsidP="001D1285">
            <w:pPr>
              <w:snapToGrid w:val="0"/>
              <w:spacing w:before="40" w:after="40" w:line="259" w:lineRule="auto"/>
              <w:ind w:left="57"/>
              <w:rPr>
                <w:rFonts w:ascii="Calibri" w:eastAsia="新細明體" w:hAnsi="Calibri" w:cs="Segoe UI"/>
                <w:sz w:val="17"/>
                <w:szCs w:val="17"/>
                <w:lang w:eastAsia="zh-TW"/>
              </w:rPr>
            </w:pPr>
            <w:r w:rsidRPr="001D1285">
              <w:rPr>
                <w:rFonts w:ascii="Calibri" w:eastAsia="新細明體" w:hAnsi="Calibri" w:cs="Segoe UI" w:hint="eastAsia"/>
                <w:sz w:val="17"/>
                <w:szCs w:val="17"/>
                <w:lang w:eastAsia="zh-TW"/>
              </w:rPr>
              <w:t>3</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52FD0DD7" w14:textId="1EE80E9C" w:rsidR="001D1285" w:rsidRPr="001D1285" w:rsidRDefault="001D1285" w:rsidP="002B6916">
            <w:pPr>
              <w:snapToGrid w:val="0"/>
              <w:spacing w:before="40" w:after="40" w:line="259" w:lineRule="auto"/>
              <w:ind w:left="57" w:rightChars="71" w:right="142"/>
              <w:rPr>
                <w:rFonts w:ascii="Calibri" w:eastAsia="細明體" w:hAnsi="Calibri" w:cs="Segoe UI"/>
                <w:sz w:val="17"/>
                <w:szCs w:val="17"/>
                <w:lang w:eastAsia="zh-HK"/>
              </w:rPr>
            </w:pPr>
            <w:r w:rsidRPr="001D1285">
              <w:rPr>
                <w:rFonts w:ascii="Calibri" w:eastAsia="新細明體" w:hAnsi="Calibri" w:hint="eastAsia"/>
                <w:sz w:val="17"/>
                <w:szCs w:val="17"/>
                <w:lang w:eastAsia="zh-HK"/>
              </w:rPr>
              <w:t>扣減</w:t>
            </w:r>
            <w:r w:rsidRPr="001D1285">
              <w:rPr>
                <w:rFonts w:ascii="Calibri" w:eastAsia="新細明體" w:hAnsi="Calibri" w:hint="eastAsia"/>
                <w:sz w:val="17"/>
                <w:szCs w:val="17"/>
                <w:lang w:eastAsia="zh-TW"/>
              </w:rPr>
              <w:t>：</w:t>
            </w:r>
            <w:r w:rsidRPr="001D1285">
              <w:rPr>
                <w:rFonts w:ascii="Calibri" w:eastAsia="新細明體" w:hAnsi="Calibri"/>
                <w:sz w:val="17"/>
                <w:szCs w:val="17"/>
                <w:lang w:eastAsia="zh-HK"/>
              </w:rPr>
              <w:t>就衍生工具合約提供的現金變動保證金</w:t>
            </w:r>
            <w:r w:rsidR="00D617F9">
              <w:rPr>
                <w:rFonts w:ascii="Calibri" w:eastAsia="新細明體" w:hAnsi="Calibri" w:hint="eastAsia"/>
                <w:sz w:val="17"/>
                <w:szCs w:val="17"/>
                <w:lang w:eastAsia="zh-HK"/>
              </w:rPr>
              <w:t>的</w:t>
            </w:r>
            <w:r w:rsidRPr="001D1285">
              <w:rPr>
                <w:rFonts w:ascii="Calibri" w:eastAsia="新細明體" w:hAnsi="Calibri"/>
                <w:sz w:val="17"/>
                <w:szCs w:val="17"/>
                <w:lang w:eastAsia="zh-HK"/>
              </w:rPr>
              <w:t>應收</w:t>
            </w:r>
            <w:r w:rsidR="00D617F9" w:rsidRPr="00D617F9">
              <w:rPr>
                <w:rFonts w:ascii="Calibri" w:eastAsia="新細明體" w:hAnsi="Calibri" w:hint="eastAsia"/>
                <w:sz w:val="17"/>
                <w:szCs w:val="17"/>
                <w:lang w:eastAsia="zh-HK"/>
              </w:rPr>
              <w:t>項目</w:t>
            </w:r>
            <w:r w:rsidRPr="001D1285">
              <w:rPr>
                <w:rFonts w:ascii="Calibri" w:eastAsia="細明體" w:hAnsi="Calibri" w:cs="Segoe UI"/>
                <w:sz w:val="17"/>
                <w:szCs w:val="17"/>
                <w:lang w:eastAsia="zh-TW"/>
              </w:rPr>
              <w:t>資產</w:t>
            </w:r>
            <w:r w:rsidRPr="001D1285">
              <w:rPr>
                <w:rFonts w:ascii="Calibri" w:eastAsia="新細明體" w:hAnsi="Calibri" w:hint="eastAsia"/>
                <w:sz w:val="17"/>
                <w:szCs w:val="17"/>
                <w:lang w:eastAsia="zh-HK"/>
              </w:rPr>
              <w:t>的扣減</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5108C34D"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583944C7"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090A9B1B" w14:textId="77777777" w:rsidTr="00213CED">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16F44DA6" w14:textId="77777777" w:rsidR="001D1285" w:rsidRPr="001D1285" w:rsidRDefault="001D1285" w:rsidP="001D1285">
            <w:pPr>
              <w:snapToGrid w:val="0"/>
              <w:spacing w:before="40" w:after="40" w:line="259" w:lineRule="auto"/>
              <w:ind w:left="57"/>
              <w:rPr>
                <w:rFonts w:ascii="Calibri" w:eastAsia="新細明體" w:hAnsi="Calibri" w:cs="Segoe UI"/>
                <w:sz w:val="17"/>
                <w:szCs w:val="17"/>
                <w:lang w:eastAsia="zh-TW"/>
              </w:rPr>
            </w:pPr>
            <w:r w:rsidRPr="001D1285">
              <w:rPr>
                <w:rFonts w:ascii="Calibri" w:eastAsia="新細明體" w:hAnsi="Calibri" w:cs="Segoe UI" w:hint="eastAsia"/>
                <w:sz w:val="17"/>
                <w:szCs w:val="17"/>
                <w:lang w:eastAsia="zh-TW"/>
              </w:rPr>
              <w:t>4</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35538CA2" w14:textId="684CD812" w:rsidR="001D1285" w:rsidRPr="001D1285" w:rsidRDefault="001D1285" w:rsidP="00305C3A">
            <w:pPr>
              <w:snapToGrid w:val="0"/>
              <w:spacing w:before="40" w:after="40" w:line="259" w:lineRule="auto"/>
              <w:ind w:left="57" w:rightChars="71" w:right="142"/>
              <w:rPr>
                <w:rFonts w:ascii="Calibri" w:eastAsia="細明體" w:hAnsi="Calibri" w:cs="Segoe UI"/>
                <w:sz w:val="17"/>
                <w:szCs w:val="17"/>
                <w:lang w:eastAsia="it-IT"/>
              </w:rPr>
            </w:pPr>
            <w:r w:rsidRPr="001D1285">
              <w:rPr>
                <w:rFonts w:ascii="Calibri" w:eastAsia="新細明體" w:hAnsi="Calibri" w:hint="eastAsia"/>
                <w:sz w:val="17"/>
                <w:szCs w:val="17"/>
                <w:lang w:eastAsia="zh-HK"/>
              </w:rPr>
              <w:t>扣減</w:t>
            </w:r>
            <w:r w:rsidRPr="001D1285">
              <w:rPr>
                <w:rFonts w:ascii="Calibri" w:eastAsia="新細明體" w:hAnsi="Calibri" w:hint="eastAsia"/>
                <w:sz w:val="17"/>
                <w:szCs w:val="17"/>
                <w:lang w:eastAsia="zh-TW"/>
              </w:rPr>
              <w:t>：</w:t>
            </w:r>
            <w:r w:rsidRPr="001D1285">
              <w:rPr>
                <w:rFonts w:ascii="Calibri" w:eastAsia="新細明體" w:hAnsi="Calibri" w:hint="eastAsia"/>
                <w:sz w:val="17"/>
                <w:szCs w:val="17"/>
                <w:lang w:eastAsia="zh-HK"/>
              </w:rPr>
              <w:t>就</w:t>
            </w:r>
            <w:r w:rsidRPr="001D1285">
              <w:rPr>
                <w:rFonts w:ascii="Calibri" w:eastAsia="新細明體" w:hAnsi="Calibri" w:hint="eastAsia"/>
                <w:sz w:val="17"/>
                <w:szCs w:val="17"/>
                <w:lang w:eastAsia="zh-TW"/>
              </w:rPr>
              <w:t>SFT</w:t>
            </w:r>
            <w:r w:rsidRPr="001D1285">
              <w:rPr>
                <w:rFonts w:ascii="Calibri" w:eastAsia="新細明體" w:hAnsi="Calibri" w:hint="eastAsia"/>
                <w:sz w:val="17"/>
                <w:szCs w:val="17"/>
                <w:lang w:eastAsia="zh-HK"/>
              </w:rPr>
              <w:t>收</w:t>
            </w:r>
            <w:r w:rsidR="00DF7FBD">
              <w:rPr>
                <w:rFonts w:ascii="Calibri" w:eastAsia="細明體" w:hAnsi="Calibri" w:cs="Segoe UI" w:hint="eastAsia"/>
                <w:kern w:val="2"/>
                <w:sz w:val="17"/>
                <w:szCs w:val="17"/>
                <w:lang w:eastAsia="zh-HK"/>
              </w:rPr>
              <w:t>到</w:t>
            </w:r>
            <w:r w:rsidR="00F44F2B" w:rsidRPr="001D1285">
              <w:rPr>
                <w:rFonts w:ascii="Calibri" w:eastAsia="新細明體" w:hAnsi="Calibri"/>
                <w:sz w:val="17"/>
                <w:szCs w:val="17"/>
                <w:lang w:eastAsia="zh-HK"/>
              </w:rPr>
              <w:t>的</w:t>
            </w:r>
            <w:r w:rsidR="002B6916">
              <w:rPr>
                <w:rFonts w:ascii="Calibri" w:eastAsia="新細明體" w:hAnsi="Calibri" w:hint="eastAsia"/>
                <w:sz w:val="17"/>
                <w:szCs w:val="17"/>
                <w:lang w:eastAsia="zh-HK"/>
              </w:rPr>
              <w:t>並</w:t>
            </w:r>
            <w:r w:rsidR="00DF7FBD">
              <w:rPr>
                <w:rFonts w:ascii="Calibri" w:eastAsia="新細明體" w:hAnsi="Calibri" w:hint="eastAsia"/>
                <w:sz w:val="17"/>
                <w:szCs w:val="17"/>
                <w:lang w:eastAsia="zh-HK"/>
              </w:rPr>
              <w:t>已</w:t>
            </w:r>
            <w:r w:rsidR="00036631" w:rsidRPr="00036631">
              <w:rPr>
                <w:rFonts w:ascii="Calibri" w:eastAsia="新細明體" w:hAnsi="Calibri" w:hint="eastAsia"/>
                <w:sz w:val="17"/>
                <w:szCs w:val="17"/>
                <w:lang w:eastAsia="zh-HK"/>
              </w:rPr>
              <w:t>確</w:t>
            </w:r>
            <w:r w:rsidR="002B6916">
              <w:rPr>
                <w:rFonts w:ascii="Calibri" w:eastAsia="新細明體" w:hAnsi="Calibri" w:hint="eastAsia"/>
                <w:sz w:val="17"/>
                <w:szCs w:val="17"/>
                <w:lang w:eastAsia="zh-HK"/>
              </w:rPr>
              <w:t>認</w:t>
            </w:r>
            <w:r w:rsidR="002B6916" w:rsidRPr="001D1285">
              <w:rPr>
                <w:rFonts w:ascii="Calibri" w:eastAsia="新細明體" w:hAnsi="Calibri" w:hint="eastAsia"/>
                <w:sz w:val="17"/>
                <w:szCs w:val="17"/>
                <w:lang w:eastAsia="zh-HK"/>
              </w:rPr>
              <w:t>為資產</w:t>
            </w:r>
            <w:r w:rsidRPr="001D1285">
              <w:rPr>
                <w:rFonts w:ascii="Calibri" w:eastAsia="新細明體" w:hAnsi="Calibri" w:hint="eastAsia"/>
                <w:sz w:val="17"/>
                <w:szCs w:val="17"/>
                <w:lang w:eastAsia="zh-HK"/>
              </w:rPr>
              <w:t>的</w:t>
            </w:r>
            <w:r w:rsidR="00305C3A" w:rsidRPr="00F24724">
              <w:rPr>
                <w:rFonts w:ascii="Calibri" w:eastAsia="新細明體" w:hAnsi="Calibri" w:hint="eastAsia"/>
                <w:sz w:val="17"/>
                <w:szCs w:val="17"/>
                <w:lang w:eastAsia="zh-HK"/>
              </w:rPr>
              <w:t>資產（貨幣除外）</w:t>
            </w:r>
            <w:r w:rsidRPr="001D1285">
              <w:rPr>
                <w:rFonts w:ascii="Calibri" w:eastAsia="新細明體" w:hAnsi="Calibri" w:hint="eastAsia"/>
                <w:sz w:val="17"/>
                <w:szCs w:val="17"/>
                <w:lang w:eastAsia="zh-HK"/>
              </w:rPr>
              <w:t>作出的調整</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6146E696"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7808EA1F"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58FEA500" w14:textId="77777777" w:rsidTr="00213CED">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76ED0763" w14:textId="77777777" w:rsidR="001D1285" w:rsidRPr="001D1285" w:rsidRDefault="001D1285" w:rsidP="001D1285">
            <w:pPr>
              <w:snapToGrid w:val="0"/>
              <w:spacing w:before="40" w:after="40" w:line="259" w:lineRule="auto"/>
              <w:ind w:left="57"/>
              <w:rPr>
                <w:rFonts w:ascii="Calibri" w:eastAsia="新細明體" w:hAnsi="Calibri" w:cs="Segoe UI"/>
                <w:sz w:val="17"/>
                <w:szCs w:val="17"/>
                <w:lang w:eastAsia="zh-TW"/>
              </w:rPr>
            </w:pPr>
            <w:r w:rsidRPr="001D1285">
              <w:rPr>
                <w:rFonts w:ascii="Calibri" w:eastAsia="新細明體" w:hAnsi="Calibri" w:cs="Segoe UI" w:hint="eastAsia"/>
                <w:sz w:val="17"/>
                <w:szCs w:val="17"/>
                <w:lang w:eastAsia="zh-TW"/>
              </w:rPr>
              <w:t>5</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7E416416" w14:textId="26D058CF" w:rsidR="001D1285" w:rsidRPr="001D1285" w:rsidRDefault="001D1285" w:rsidP="001D1285">
            <w:pPr>
              <w:snapToGrid w:val="0"/>
              <w:spacing w:before="40" w:after="40" w:line="259" w:lineRule="auto"/>
              <w:ind w:left="57" w:rightChars="71" w:right="142"/>
              <w:rPr>
                <w:rFonts w:ascii="Calibri" w:eastAsia="細明體" w:hAnsi="Calibri" w:cs="Segoe UI"/>
                <w:sz w:val="17"/>
                <w:szCs w:val="17"/>
                <w:lang w:eastAsia="it-IT"/>
              </w:rPr>
            </w:pPr>
            <w:r w:rsidRPr="001D1285">
              <w:rPr>
                <w:rFonts w:ascii="Calibri" w:eastAsia="新細明體" w:hAnsi="Calibri" w:hint="eastAsia"/>
                <w:sz w:val="17"/>
                <w:szCs w:val="17"/>
                <w:lang w:eastAsia="zh-HK"/>
              </w:rPr>
              <w:t>扣減</w:t>
            </w:r>
            <w:r w:rsidRPr="001D1285">
              <w:rPr>
                <w:rFonts w:ascii="Calibri" w:eastAsia="新細明體" w:hAnsi="Calibri" w:hint="eastAsia"/>
                <w:sz w:val="17"/>
                <w:szCs w:val="17"/>
                <w:lang w:eastAsia="zh-TW"/>
              </w:rPr>
              <w:t>：</w:t>
            </w:r>
            <w:r w:rsidRPr="001D1285">
              <w:rPr>
                <w:rFonts w:ascii="Calibri" w:eastAsia="新細明體" w:hAnsi="Calibri" w:hint="eastAsia"/>
                <w:sz w:val="17"/>
                <w:szCs w:val="17"/>
                <w:lang w:eastAsia="zh-HK"/>
              </w:rPr>
              <w:t>從一級資本扣減的</w:t>
            </w:r>
            <w:r w:rsidR="009D52E9">
              <w:rPr>
                <w:rFonts w:ascii="Calibri" w:eastAsia="新細明體" w:hAnsi="Calibri" w:hint="eastAsia"/>
                <w:sz w:val="17"/>
                <w:szCs w:val="17"/>
                <w:lang w:eastAsia="zh-HK"/>
              </w:rPr>
              <w:t>與</w:t>
            </w:r>
            <w:r w:rsidRPr="001D1285">
              <w:rPr>
                <w:rFonts w:ascii="Calibri" w:eastAsia="新細明體" w:hAnsi="Calibri" w:hint="eastAsia"/>
                <w:sz w:val="17"/>
                <w:szCs w:val="17"/>
                <w:lang w:eastAsia="zh-HK"/>
              </w:rPr>
              <w:t>資產負債表內風險承擔相關</w:t>
            </w:r>
            <w:r w:rsidR="009D52E9">
              <w:rPr>
                <w:rFonts w:ascii="Calibri" w:eastAsia="新細明體" w:hAnsi="Calibri" w:hint="eastAsia"/>
                <w:sz w:val="17"/>
                <w:szCs w:val="17"/>
                <w:lang w:eastAsia="zh-HK"/>
              </w:rPr>
              <w:t>的</w:t>
            </w:r>
            <w:r w:rsidRPr="001D1285">
              <w:rPr>
                <w:rFonts w:ascii="Calibri" w:eastAsia="新細明體" w:hAnsi="Calibri" w:hint="eastAsia"/>
                <w:sz w:val="17"/>
                <w:szCs w:val="17"/>
                <w:lang w:eastAsia="zh-HK"/>
              </w:rPr>
              <w:t>特定準備金及</w:t>
            </w:r>
            <w:r w:rsidRPr="001D1285">
              <w:rPr>
                <w:rFonts w:ascii="Calibri" w:eastAsia="新細明體" w:hAnsi="Calibri"/>
                <w:sz w:val="17"/>
                <w:szCs w:val="17"/>
                <w:lang w:eastAsia="zh-HK"/>
              </w:rPr>
              <w:t>集體準備金</w:t>
            </w:r>
            <w:r w:rsidRPr="005753A5">
              <w:rPr>
                <w:rFonts w:ascii="Calibri" w:eastAsia="新細明體" w:hAnsi="Calibri"/>
                <w:sz w:val="17"/>
                <w:szCs w:val="17"/>
                <w:lang w:eastAsia="zh-TW"/>
              </w:rPr>
              <w:t xml:space="preserve"> </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2DA99B67"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5EBB7830"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43734495" w14:textId="77777777" w:rsidTr="00213CED">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3C0CC97E" w14:textId="32A30FED"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6</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519AAE1B"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22"/>
                <w:lang w:eastAsia="it-IT"/>
              </w:rPr>
            </w:pPr>
            <w:r w:rsidRPr="001D1285">
              <w:rPr>
                <w:rFonts w:ascii="Calibri" w:eastAsia="細明體" w:hAnsi="Calibri" w:cs="Segoe UI"/>
                <w:sz w:val="17"/>
                <w:szCs w:val="17"/>
                <w:lang w:eastAsia="it-IT"/>
              </w:rPr>
              <w:t>扣減</w:t>
            </w:r>
            <w:r w:rsidRPr="001D1285">
              <w:rPr>
                <w:rFonts w:ascii="Calibri" w:eastAsia="細明體" w:hAnsi="Calibri" w:cs="Segoe UI"/>
                <w:sz w:val="17"/>
                <w:szCs w:val="22"/>
                <w:lang w:eastAsia="it-IT"/>
              </w:rPr>
              <w:t>：</w:t>
            </w:r>
            <w:r w:rsidRPr="001D1285">
              <w:rPr>
                <w:rFonts w:ascii="Calibri" w:eastAsia="細明體" w:hAnsi="Calibri" w:cs="Segoe UI"/>
                <w:sz w:val="17"/>
                <w:szCs w:val="22"/>
                <w:lang w:eastAsia="zh-TW"/>
              </w:rPr>
              <w:t>斷定一級資本時所扣減的資產數額</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361618A7"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08BC8627"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4ADB66D7" w14:textId="77777777" w:rsidTr="00213CED">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381AEDBC" w14:textId="34A6CA32"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7</w:t>
            </w:r>
          </w:p>
        </w:tc>
        <w:tc>
          <w:tcPr>
            <w:tcW w:w="6095" w:type="dxa"/>
            <w:tcBorders>
              <w:top w:val="single" w:sz="6" w:space="0" w:color="auto"/>
              <w:left w:val="single" w:sz="6" w:space="0" w:color="auto"/>
              <w:bottom w:val="single" w:sz="6" w:space="0" w:color="auto"/>
              <w:right w:val="single" w:sz="6" w:space="0" w:color="auto"/>
            </w:tcBorders>
            <w:shd w:val="clear" w:color="auto" w:fill="F2F2F2"/>
          </w:tcPr>
          <w:p w14:paraId="7C1F0475" w14:textId="77777777" w:rsidR="001D1285" w:rsidRPr="001D1285" w:rsidRDefault="001D1285" w:rsidP="001D1285">
            <w:pPr>
              <w:snapToGrid w:val="0"/>
              <w:spacing w:before="40" w:after="40" w:line="259" w:lineRule="auto"/>
              <w:ind w:left="57" w:rightChars="71" w:right="142"/>
              <w:rPr>
                <w:rFonts w:ascii="Calibri" w:eastAsia="新細明體" w:hAnsi="Calibri" w:cs="Segoe UI"/>
                <w:b/>
                <w:sz w:val="17"/>
                <w:szCs w:val="22"/>
                <w:lang w:eastAsia="zh-TW"/>
              </w:rPr>
            </w:pPr>
            <w:r w:rsidRPr="001D1285">
              <w:rPr>
                <w:rFonts w:ascii="Calibri" w:eastAsia="細明體" w:hAnsi="Calibri" w:cs="Segoe UI"/>
                <w:b/>
                <w:sz w:val="17"/>
                <w:szCs w:val="22"/>
                <w:lang w:eastAsia="it-IT"/>
              </w:rPr>
              <w:t>資產負債表內風險承擔</w:t>
            </w:r>
            <w:r w:rsidRPr="001D1285">
              <w:rPr>
                <w:rFonts w:ascii="Calibri" w:eastAsia="細明體" w:hAnsi="Calibri" w:cs="Segoe UI"/>
                <w:b/>
                <w:sz w:val="17"/>
                <w:szCs w:val="22"/>
                <w:lang w:eastAsia="zh-TW"/>
              </w:rPr>
              <w:t>總額（不包括</w:t>
            </w:r>
            <w:r w:rsidRPr="001D1285">
              <w:rPr>
                <w:rFonts w:ascii="Calibri" w:eastAsia="細明體" w:hAnsi="Calibri" w:cs="Segoe UI"/>
                <w:b/>
                <w:sz w:val="17"/>
                <w:szCs w:val="22"/>
                <w:lang w:eastAsia="it-IT"/>
              </w:rPr>
              <w:t>衍生工具合約</w:t>
            </w:r>
            <w:r w:rsidRPr="001D1285">
              <w:rPr>
                <w:rFonts w:ascii="Calibri" w:eastAsia="細明體" w:hAnsi="Calibri" w:cs="Segoe UI"/>
                <w:b/>
                <w:sz w:val="17"/>
                <w:szCs w:val="22"/>
                <w:lang w:eastAsia="zh-TW"/>
              </w:rPr>
              <w:t>及</w:t>
            </w:r>
            <w:r w:rsidRPr="001D1285">
              <w:rPr>
                <w:rFonts w:ascii="Calibri" w:eastAsia="新細明體" w:hAnsi="Calibri" w:cs="Segoe UI"/>
                <w:b/>
                <w:sz w:val="17"/>
                <w:szCs w:val="22"/>
                <w:lang w:eastAsia="it-IT"/>
              </w:rPr>
              <w:t>SFT</w:t>
            </w:r>
            <w:r w:rsidRPr="001D1285">
              <w:rPr>
                <w:rFonts w:ascii="Calibri" w:eastAsia="新細明體" w:hAnsi="Calibri" w:cs="Segoe UI"/>
                <w:b/>
                <w:sz w:val="17"/>
                <w:szCs w:val="22"/>
                <w:lang w:eastAsia="zh-TW"/>
              </w:rPr>
              <w:t>）</w:t>
            </w:r>
            <w:r w:rsidRPr="001D1285">
              <w:rPr>
                <w:rFonts w:ascii="Calibri" w:eastAsia="新細明體" w:hAnsi="Calibri" w:cs="Segoe UI" w:hint="eastAsia"/>
                <w:b/>
                <w:sz w:val="17"/>
                <w:szCs w:val="22"/>
                <w:lang w:eastAsia="zh-TW"/>
              </w:rPr>
              <w:t>（</w:t>
            </w:r>
            <w:r w:rsidRPr="001D1285">
              <w:rPr>
                <w:rFonts w:ascii="Calibri" w:eastAsia="新細明體" w:hAnsi="Calibri" w:cs="Segoe UI" w:hint="eastAsia"/>
                <w:b/>
                <w:sz w:val="17"/>
                <w:szCs w:val="22"/>
                <w:lang w:eastAsia="zh-HK"/>
              </w:rPr>
              <w:t>第</w:t>
            </w:r>
            <w:r w:rsidRPr="001D1285">
              <w:rPr>
                <w:rFonts w:ascii="Calibri" w:eastAsia="新細明體" w:hAnsi="Calibri" w:cs="Segoe UI" w:hint="eastAsia"/>
                <w:b/>
                <w:sz w:val="17"/>
                <w:szCs w:val="22"/>
                <w:lang w:eastAsia="zh-TW"/>
              </w:rPr>
              <w:t>1</w:t>
            </w:r>
            <w:r w:rsidRPr="001D1285">
              <w:rPr>
                <w:rFonts w:ascii="Calibri" w:eastAsia="新細明體" w:hAnsi="Calibri" w:cs="Segoe UI" w:hint="eastAsia"/>
                <w:b/>
                <w:sz w:val="17"/>
                <w:szCs w:val="22"/>
                <w:lang w:eastAsia="zh-HK"/>
              </w:rPr>
              <w:t>至</w:t>
            </w:r>
            <w:r w:rsidRPr="001D1285">
              <w:rPr>
                <w:rFonts w:ascii="Calibri" w:eastAsia="新細明體" w:hAnsi="Calibri" w:cs="Segoe UI" w:hint="eastAsia"/>
                <w:b/>
                <w:sz w:val="17"/>
                <w:szCs w:val="22"/>
                <w:lang w:eastAsia="zh-TW"/>
              </w:rPr>
              <w:t>6</w:t>
            </w:r>
            <w:r w:rsidRPr="001D1285">
              <w:rPr>
                <w:rFonts w:ascii="Calibri" w:eastAsia="新細明體" w:hAnsi="Calibri" w:cs="Segoe UI" w:hint="eastAsia"/>
                <w:b/>
                <w:sz w:val="17"/>
                <w:szCs w:val="22"/>
                <w:lang w:eastAsia="zh-HK"/>
              </w:rPr>
              <w:t>行的總和</w:t>
            </w:r>
            <w:r w:rsidRPr="001D1285">
              <w:rPr>
                <w:rFonts w:ascii="Calibri" w:eastAsia="新細明體" w:hAnsi="Calibri" w:cs="Segoe UI" w:hint="eastAsia"/>
                <w:b/>
                <w:sz w:val="17"/>
                <w:szCs w:val="22"/>
                <w:lang w:eastAsia="zh-TW"/>
              </w:rPr>
              <w:t>）</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4CFB016D"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5472956D"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7E999576" w14:textId="77777777" w:rsidTr="00213CED">
        <w:trPr>
          <w:cantSplit/>
          <w:trHeight w:val="285"/>
        </w:trPr>
        <w:tc>
          <w:tcPr>
            <w:tcW w:w="6665" w:type="dxa"/>
            <w:gridSpan w:val="2"/>
            <w:tcBorders>
              <w:top w:val="single" w:sz="6" w:space="0" w:color="auto"/>
              <w:left w:val="nil"/>
              <w:bottom w:val="single" w:sz="4" w:space="0" w:color="auto"/>
              <w:right w:val="nil"/>
            </w:tcBorders>
            <w:shd w:val="clear" w:color="auto" w:fill="D9D9D9"/>
          </w:tcPr>
          <w:p w14:paraId="5E0523B0" w14:textId="77777777" w:rsidR="001D1285" w:rsidRPr="001D1285" w:rsidRDefault="001D1285" w:rsidP="00000DFA">
            <w:pPr>
              <w:widowControl w:val="0"/>
              <w:autoSpaceDE w:val="0"/>
              <w:autoSpaceDN w:val="0"/>
              <w:adjustRightInd w:val="0"/>
              <w:spacing w:line="259" w:lineRule="auto"/>
              <w:ind w:firstLineChars="50" w:firstLine="85"/>
              <w:rPr>
                <w:rFonts w:ascii="Calibri" w:eastAsia="新細明體" w:hAnsi="Calibri" w:cs="Segoe UI"/>
                <w:b/>
                <w:color w:val="000000"/>
                <w:sz w:val="17"/>
                <w:szCs w:val="17"/>
                <w:lang w:val="en-US" w:eastAsia="it-IT"/>
              </w:rPr>
            </w:pPr>
            <w:r w:rsidRPr="001D1285">
              <w:rPr>
                <w:rFonts w:ascii="Calibri" w:eastAsia="新細明體" w:hAnsi="Calibri" w:cs="Segoe UI"/>
                <w:b/>
                <w:color w:val="000000"/>
                <w:sz w:val="17"/>
                <w:szCs w:val="17"/>
                <w:lang w:val="en-US" w:eastAsia="it-IT"/>
              </w:rPr>
              <w:t>由衍生工具合約產生的風險承擔</w:t>
            </w:r>
          </w:p>
        </w:tc>
        <w:tc>
          <w:tcPr>
            <w:tcW w:w="1205" w:type="dxa"/>
            <w:tcBorders>
              <w:top w:val="single" w:sz="6" w:space="0" w:color="auto"/>
              <w:left w:val="nil"/>
              <w:bottom w:val="single" w:sz="4" w:space="0" w:color="auto"/>
              <w:right w:val="nil"/>
            </w:tcBorders>
            <w:shd w:val="clear" w:color="auto" w:fill="D9D9D9"/>
          </w:tcPr>
          <w:p w14:paraId="06371220"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nil"/>
              <w:bottom w:val="single" w:sz="4" w:space="0" w:color="auto"/>
              <w:right w:val="single" w:sz="4" w:space="0" w:color="auto"/>
            </w:tcBorders>
            <w:shd w:val="clear" w:color="auto" w:fill="D9D9D9"/>
          </w:tcPr>
          <w:p w14:paraId="09BEFA6B"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10CB3DCB" w14:textId="77777777" w:rsidTr="00034CB4">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6507D1B7" w14:textId="7DA7A47F"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8</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8055170"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zh-TW"/>
              </w:rPr>
            </w:pPr>
            <w:r w:rsidRPr="001D1285">
              <w:rPr>
                <w:rFonts w:ascii="Calibri" w:eastAsia="細明體" w:hAnsi="Calibri" w:cs="Segoe UI"/>
                <w:sz w:val="17"/>
                <w:szCs w:val="17"/>
                <w:lang w:eastAsia="zh-TW"/>
              </w:rPr>
              <w:t>所有與</w:t>
            </w:r>
            <w:r w:rsidRPr="001D1285">
              <w:rPr>
                <w:rFonts w:ascii="Calibri" w:eastAsia="細明體" w:hAnsi="Calibri" w:cs="Segoe UI"/>
                <w:sz w:val="17"/>
                <w:szCs w:val="17"/>
                <w:lang w:eastAsia="it-IT"/>
              </w:rPr>
              <w:t>衍生工具</w:t>
            </w:r>
            <w:r w:rsidRPr="001D1285">
              <w:rPr>
                <w:rFonts w:ascii="Calibri" w:eastAsia="新細明體" w:hAnsi="Calibri" w:cs="Segoe UI"/>
                <w:sz w:val="17"/>
                <w:szCs w:val="17"/>
                <w:lang w:eastAsia="it-IT"/>
              </w:rPr>
              <w:t>合約</w:t>
            </w:r>
            <w:r w:rsidRPr="001D1285">
              <w:rPr>
                <w:rFonts w:ascii="Calibri" w:eastAsia="細明體" w:hAnsi="Calibri" w:cs="Segoe UI"/>
                <w:sz w:val="17"/>
                <w:szCs w:val="17"/>
                <w:lang w:eastAsia="it-IT"/>
              </w:rPr>
              <w:t>有關的重置成本</w:t>
            </w:r>
            <w:r w:rsidRPr="001D1285">
              <w:rPr>
                <w:rFonts w:ascii="Calibri" w:eastAsia="新細明體" w:hAnsi="Calibri" w:cs="Segoe UI"/>
                <w:sz w:val="17"/>
                <w:szCs w:val="17"/>
                <w:lang w:eastAsia="zh-TW"/>
              </w:rPr>
              <w:t>（如適用的話，</w:t>
            </w:r>
            <w:r w:rsidRPr="001D1285">
              <w:rPr>
                <w:rFonts w:ascii="Calibri" w:eastAsia="細明體" w:hAnsi="Calibri" w:cs="Segoe UI"/>
                <w:sz w:val="17"/>
                <w:szCs w:val="17"/>
                <w:lang w:eastAsia="it-IT"/>
              </w:rPr>
              <w:t>扣除合資格現金變動保證金</w:t>
            </w:r>
            <w:r w:rsidRPr="001D1285">
              <w:rPr>
                <w:rFonts w:ascii="Calibri" w:eastAsia="細明體" w:hAnsi="Calibri" w:cs="Segoe UI"/>
                <w:sz w:val="17"/>
                <w:szCs w:val="17"/>
                <w:lang w:eastAsia="zh-TW"/>
              </w:rPr>
              <w:t>及</w:t>
            </w:r>
            <w:r w:rsidRPr="001D1285">
              <w:rPr>
                <w:rFonts w:ascii="Calibri" w:eastAsia="細明體" w:hAnsi="Calibri" w:cs="Segoe UI"/>
                <w:sz w:val="17"/>
                <w:szCs w:val="17"/>
                <w:lang w:eastAsia="zh-TW"/>
              </w:rPr>
              <w:t xml:space="preserve"> / </w:t>
            </w:r>
            <w:r w:rsidRPr="001D1285">
              <w:rPr>
                <w:rFonts w:ascii="Calibri" w:eastAsia="細明體" w:hAnsi="Calibri" w:cs="Segoe UI"/>
                <w:sz w:val="17"/>
                <w:szCs w:val="17"/>
                <w:lang w:eastAsia="zh-TW"/>
              </w:rPr>
              <w:t>或雙邊淨額結算</w:t>
            </w:r>
            <w:r w:rsidRPr="001D1285">
              <w:rPr>
                <w:rFonts w:ascii="Calibri" w:eastAsia="新細明體" w:hAnsi="Calibri" w:cs="Segoe UI"/>
                <w:sz w:val="17"/>
                <w:szCs w:val="17"/>
                <w:lang w:eastAsia="zh-TW"/>
              </w:rPr>
              <w:t>）</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F122E78"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78DAA4D"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r>
      <w:tr w:rsidR="001D1285" w:rsidRPr="001D1285" w14:paraId="23073000" w14:textId="77777777" w:rsidTr="00034CB4">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600E44EC" w14:textId="235E8F27"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E770A12" w14:textId="7DA69E1C"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it-IT"/>
              </w:rPr>
            </w:pPr>
            <w:r w:rsidRPr="001D1285">
              <w:rPr>
                <w:rFonts w:ascii="Calibri" w:eastAsia="細明體" w:hAnsi="Calibri" w:cs="Segoe UI"/>
                <w:sz w:val="17"/>
                <w:szCs w:val="17"/>
                <w:lang w:eastAsia="it-IT"/>
              </w:rPr>
              <w:t>所有與衍生工具</w:t>
            </w:r>
            <w:r w:rsidRPr="001D1285">
              <w:rPr>
                <w:rFonts w:ascii="Calibri" w:eastAsia="新細明體" w:hAnsi="Calibri" w:cs="Segoe UI"/>
                <w:sz w:val="17"/>
                <w:szCs w:val="17"/>
                <w:lang w:eastAsia="it-IT"/>
              </w:rPr>
              <w:t>合約</w:t>
            </w:r>
            <w:r w:rsidRPr="001D1285">
              <w:rPr>
                <w:rFonts w:ascii="Calibri" w:eastAsia="細明體" w:hAnsi="Calibri" w:cs="Segoe UI"/>
                <w:sz w:val="17"/>
                <w:szCs w:val="17"/>
                <w:lang w:eastAsia="it-IT"/>
              </w:rPr>
              <w:t>有關的潛在未來風險承擔的附加額</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7CA2370"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0BE63CC"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r>
      <w:tr w:rsidR="001D1285" w:rsidRPr="001D1285" w14:paraId="1484DE4F" w14:textId="77777777" w:rsidTr="00034CB4">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62FB97F6" w14:textId="7C0C9B4B"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10</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901920E"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it-IT"/>
              </w:rPr>
            </w:pPr>
            <w:r w:rsidRPr="001D1285">
              <w:rPr>
                <w:rFonts w:ascii="Calibri" w:eastAsia="新細明體" w:hAnsi="Calibri" w:cs="Segoe UI"/>
                <w:sz w:val="17"/>
                <w:szCs w:val="17"/>
                <w:lang w:eastAsia="zh-TW"/>
              </w:rPr>
              <w:t>扣減</w:t>
            </w:r>
            <w:r w:rsidRPr="001D1285">
              <w:rPr>
                <w:rFonts w:ascii="Calibri" w:eastAsia="細明體" w:hAnsi="Calibri" w:cs="Segoe UI"/>
                <w:sz w:val="17"/>
                <w:szCs w:val="17"/>
                <w:lang w:eastAsia="it-IT"/>
              </w:rPr>
              <w:t>：中央交易對手方風險承擔中與客戶結算交易有關而獲豁免的部分</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C4D0D2E"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2FFA5B5"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r>
      <w:tr w:rsidR="001D1285" w:rsidRPr="001D1285" w14:paraId="227DE725" w14:textId="77777777" w:rsidTr="00034CB4">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4851301A" w14:textId="0AAE87A8"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DAF2025"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it-IT"/>
              </w:rPr>
            </w:pPr>
            <w:r w:rsidRPr="001D1285">
              <w:rPr>
                <w:rFonts w:ascii="Calibri" w:eastAsia="細明體" w:hAnsi="Calibri" w:cs="Segoe UI"/>
                <w:sz w:val="17"/>
                <w:szCs w:val="17"/>
                <w:lang w:eastAsia="it-IT"/>
              </w:rPr>
              <w:t>經調整</w:t>
            </w:r>
            <w:r w:rsidRPr="001D1285">
              <w:rPr>
                <w:rFonts w:ascii="Calibri" w:eastAsia="細明體" w:hAnsi="Calibri" w:cs="Segoe UI"/>
                <w:sz w:val="17"/>
                <w:szCs w:val="17"/>
                <w:lang w:eastAsia="zh-TW"/>
              </w:rPr>
              <w:t>後</w:t>
            </w:r>
            <w:r w:rsidRPr="001D1285">
              <w:rPr>
                <w:rFonts w:ascii="Calibri" w:eastAsia="細明體" w:hAnsi="Calibri" w:cs="Segoe UI"/>
                <w:sz w:val="17"/>
                <w:szCs w:val="17"/>
                <w:lang w:eastAsia="it-IT"/>
              </w:rPr>
              <w:t>已出售信用</w:t>
            </w:r>
            <w:r w:rsidRPr="001D1285">
              <w:rPr>
                <w:rFonts w:ascii="Calibri" w:eastAsia="新細明體" w:hAnsi="Calibri" w:cs="Segoe UI" w:hint="eastAsia"/>
                <w:sz w:val="17"/>
                <w:szCs w:val="17"/>
                <w:lang w:eastAsia="zh-HK"/>
              </w:rPr>
              <w:t>關聯</w:t>
            </w:r>
            <w:r w:rsidRPr="001D1285">
              <w:rPr>
                <w:rFonts w:ascii="Calibri" w:eastAsia="細明體" w:hAnsi="Calibri" w:cs="Segoe UI"/>
                <w:sz w:val="17"/>
                <w:szCs w:val="17"/>
                <w:lang w:eastAsia="it-IT"/>
              </w:rPr>
              <w:t>衍生工具</w:t>
            </w:r>
            <w:r w:rsidRPr="001D1285">
              <w:rPr>
                <w:rFonts w:ascii="Calibri" w:eastAsia="細明體" w:hAnsi="Calibri" w:cs="Segoe UI"/>
                <w:sz w:val="17"/>
                <w:szCs w:val="17"/>
                <w:lang w:eastAsia="zh-TW"/>
              </w:rPr>
              <w:t>合約</w:t>
            </w:r>
            <w:r w:rsidRPr="001D1285">
              <w:rPr>
                <w:rFonts w:ascii="Calibri" w:eastAsia="細明體" w:hAnsi="Calibri" w:cs="Segoe UI"/>
                <w:sz w:val="17"/>
                <w:szCs w:val="17"/>
                <w:lang w:eastAsia="it-IT"/>
              </w:rPr>
              <w:t>的有效名義數額</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2712F50"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B310446"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r>
      <w:tr w:rsidR="001D1285" w:rsidRPr="001D1285" w14:paraId="1637E074" w14:textId="77777777" w:rsidTr="00034CB4">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531937B4" w14:textId="0DC7210A"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7AD640" w14:textId="27F16893" w:rsidR="001D1285" w:rsidRPr="001D1285" w:rsidRDefault="001D1285" w:rsidP="00EF54B0">
            <w:pPr>
              <w:snapToGrid w:val="0"/>
              <w:spacing w:before="40" w:after="40" w:line="259" w:lineRule="auto"/>
              <w:ind w:left="57" w:rightChars="71" w:right="142"/>
              <w:rPr>
                <w:rFonts w:ascii="Calibri" w:eastAsia="新細明體" w:hAnsi="Calibri" w:cs="Segoe UI"/>
                <w:sz w:val="17"/>
                <w:szCs w:val="17"/>
                <w:lang w:eastAsia="zh-TW"/>
              </w:rPr>
            </w:pPr>
            <w:r w:rsidRPr="001D1285">
              <w:rPr>
                <w:rFonts w:ascii="Calibri" w:eastAsia="細明體" w:hAnsi="Calibri" w:cs="Segoe UI"/>
                <w:sz w:val="17"/>
                <w:szCs w:val="17"/>
                <w:lang w:eastAsia="it-IT"/>
              </w:rPr>
              <w:t>扣減：就已出售信用</w:t>
            </w:r>
            <w:r w:rsidRPr="001D1285">
              <w:rPr>
                <w:rFonts w:ascii="Calibri" w:eastAsia="新細明體" w:hAnsi="Calibri" w:cs="Segoe UI" w:hint="eastAsia"/>
                <w:sz w:val="17"/>
                <w:szCs w:val="17"/>
                <w:lang w:eastAsia="zh-HK"/>
              </w:rPr>
              <w:t>關聯</w:t>
            </w:r>
            <w:r w:rsidRPr="001D1285">
              <w:rPr>
                <w:rFonts w:ascii="Calibri" w:eastAsia="細明體" w:hAnsi="Calibri" w:cs="Segoe UI"/>
                <w:sz w:val="17"/>
                <w:szCs w:val="17"/>
                <w:lang w:eastAsia="it-IT"/>
              </w:rPr>
              <w:t>衍生工具</w:t>
            </w:r>
            <w:r w:rsidRPr="001D1285">
              <w:rPr>
                <w:rFonts w:ascii="Calibri" w:eastAsia="細明體" w:hAnsi="Calibri" w:cs="Segoe UI"/>
                <w:sz w:val="17"/>
                <w:szCs w:val="17"/>
                <w:lang w:eastAsia="zh-TW"/>
              </w:rPr>
              <w:t>合約的</w:t>
            </w:r>
            <w:r w:rsidRPr="001D1285">
              <w:rPr>
                <w:rFonts w:ascii="Calibri" w:eastAsia="細明體" w:hAnsi="Calibri" w:cs="Segoe UI"/>
                <w:sz w:val="17"/>
                <w:szCs w:val="17"/>
                <w:lang w:eastAsia="it-IT"/>
              </w:rPr>
              <w:t>有效名義</w:t>
            </w:r>
            <w:r w:rsidRPr="001D1285">
              <w:rPr>
                <w:rFonts w:ascii="Calibri" w:eastAsia="細明體" w:hAnsi="Calibri" w:cs="Segoe UI" w:hint="eastAsia"/>
                <w:sz w:val="17"/>
                <w:szCs w:val="17"/>
                <w:lang w:eastAsia="it-IT"/>
              </w:rPr>
              <w:t>數額獲准</w:t>
            </w:r>
            <w:r w:rsidRPr="001D1285">
              <w:rPr>
                <w:rFonts w:ascii="Calibri" w:eastAsia="細明體" w:hAnsi="Calibri" w:cs="Segoe UI"/>
                <w:sz w:val="17"/>
                <w:szCs w:val="17"/>
                <w:lang w:eastAsia="zh-TW"/>
              </w:rPr>
              <w:t>的</w:t>
            </w:r>
            <w:r w:rsidRPr="001D1285">
              <w:rPr>
                <w:rFonts w:ascii="Calibri" w:eastAsia="新細明體" w:hAnsi="Calibri" w:cs="Segoe UI"/>
                <w:sz w:val="17"/>
                <w:szCs w:val="17"/>
                <w:lang w:eastAsia="zh-TW"/>
              </w:rPr>
              <w:t>減少</w:t>
            </w:r>
            <w:r w:rsidRPr="001D1285">
              <w:rPr>
                <w:rFonts w:ascii="Calibri" w:eastAsia="細明體" w:hAnsi="Calibri" w:cs="Segoe UI"/>
                <w:sz w:val="17"/>
                <w:szCs w:val="17"/>
                <w:lang w:eastAsia="it-IT"/>
              </w:rPr>
              <w:t>及潛在未來風險承擔的附加額</w:t>
            </w:r>
            <w:r w:rsidRPr="001D1285">
              <w:rPr>
                <w:rFonts w:ascii="Calibri" w:eastAsia="細明體" w:hAnsi="Calibri" w:cs="Segoe UI" w:hint="eastAsia"/>
                <w:sz w:val="17"/>
                <w:szCs w:val="17"/>
                <w:lang w:eastAsia="it-IT"/>
              </w:rPr>
              <w:t>獲准</w:t>
            </w:r>
            <w:r w:rsidRPr="001D1285">
              <w:rPr>
                <w:rFonts w:ascii="Calibri" w:eastAsia="細明體" w:hAnsi="Calibri" w:cs="Segoe UI"/>
                <w:sz w:val="17"/>
                <w:szCs w:val="17"/>
                <w:lang w:eastAsia="zh-TW"/>
              </w:rPr>
              <w:t>的</w:t>
            </w:r>
            <w:r w:rsidRPr="001D1285">
              <w:rPr>
                <w:rFonts w:ascii="Calibri" w:eastAsia="細明體" w:hAnsi="Calibri" w:cs="Segoe UI"/>
                <w:sz w:val="17"/>
                <w:szCs w:val="17"/>
                <w:lang w:eastAsia="it-IT"/>
              </w:rPr>
              <w:t>扣減</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87A1144"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DF54A81"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r>
      <w:tr w:rsidR="001D1285" w:rsidRPr="001D1285" w14:paraId="76E5B5C9" w14:textId="77777777" w:rsidTr="00213CED">
        <w:trPr>
          <w:cantSplit/>
          <w:trHeight w:val="270"/>
        </w:trPr>
        <w:tc>
          <w:tcPr>
            <w:tcW w:w="567" w:type="dxa"/>
            <w:tcBorders>
              <w:top w:val="single" w:sz="4" w:space="0" w:color="auto"/>
              <w:left w:val="nil"/>
              <w:bottom w:val="single" w:sz="4" w:space="0" w:color="auto"/>
              <w:right w:val="single" w:sz="4" w:space="0" w:color="auto"/>
            </w:tcBorders>
            <w:shd w:val="clear" w:color="auto" w:fill="auto"/>
          </w:tcPr>
          <w:p w14:paraId="78AA6E58" w14:textId="4F69C480"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13</w:t>
            </w:r>
          </w:p>
        </w:tc>
        <w:tc>
          <w:tcPr>
            <w:tcW w:w="6095" w:type="dxa"/>
            <w:tcBorders>
              <w:top w:val="single" w:sz="4" w:space="0" w:color="auto"/>
              <w:left w:val="single" w:sz="4" w:space="0" w:color="auto"/>
              <w:bottom w:val="single" w:sz="4" w:space="0" w:color="auto"/>
              <w:right w:val="single" w:sz="4" w:space="0" w:color="auto"/>
            </w:tcBorders>
            <w:shd w:val="clear" w:color="auto" w:fill="F2F2F2"/>
          </w:tcPr>
          <w:p w14:paraId="3D582C9E" w14:textId="77777777" w:rsidR="001D1285" w:rsidRPr="001D1285" w:rsidRDefault="001D1285" w:rsidP="001D1285">
            <w:pPr>
              <w:snapToGrid w:val="0"/>
              <w:spacing w:before="40" w:after="40" w:line="259" w:lineRule="auto"/>
              <w:ind w:left="57" w:rightChars="71" w:right="142"/>
              <w:rPr>
                <w:rFonts w:ascii="Calibri" w:eastAsia="新細明體" w:hAnsi="Calibri" w:cs="Segoe UI"/>
                <w:b/>
                <w:sz w:val="17"/>
                <w:szCs w:val="17"/>
                <w:lang w:eastAsia="it-IT"/>
              </w:rPr>
            </w:pPr>
            <w:r w:rsidRPr="001D1285">
              <w:rPr>
                <w:rFonts w:ascii="Calibri" w:eastAsia="細明體" w:hAnsi="Calibri" w:cs="Segoe UI"/>
                <w:b/>
                <w:sz w:val="17"/>
                <w:szCs w:val="17"/>
                <w:lang w:eastAsia="it-IT"/>
              </w:rPr>
              <w:t>衍生工具</w:t>
            </w:r>
            <w:r w:rsidRPr="001D1285">
              <w:rPr>
                <w:rFonts w:ascii="Calibri" w:eastAsia="細明體" w:hAnsi="Calibri" w:cs="Segoe UI"/>
                <w:b/>
                <w:sz w:val="17"/>
                <w:szCs w:val="17"/>
                <w:lang w:eastAsia="zh-TW"/>
              </w:rPr>
              <w:t>合約</w:t>
            </w:r>
            <w:r w:rsidRPr="001D1285">
              <w:rPr>
                <w:rFonts w:ascii="Calibri" w:eastAsia="細明體" w:hAnsi="Calibri" w:cs="Segoe UI"/>
                <w:b/>
                <w:sz w:val="17"/>
                <w:szCs w:val="17"/>
                <w:lang w:eastAsia="it-IT"/>
              </w:rPr>
              <w:t>產生的風險承擔</w:t>
            </w:r>
            <w:r w:rsidRPr="001D1285">
              <w:rPr>
                <w:rFonts w:ascii="Calibri" w:eastAsia="細明體" w:hAnsi="Calibri" w:cs="Segoe UI"/>
                <w:b/>
                <w:sz w:val="17"/>
                <w:szCs w:val="17"/>
                <w:lang w:eastAsia="zh-TW"/>
              </w:rPr>
              <w:t>總額</w:t>
            </w:r>
            <w:r w:rsidRPr="001D1285">
              <w:rPr>
                <w:rFonts w:ascii="Calibri" w:eastAsia="細明體" w:hAnsi="Calibri" w:cs="Segoe UI" w:hint="eastAsia"/>
                <w:b/>
                <w:sz w:val="17"/>
                <w:szCs w:val="17"/>
                <w:lang w:eastAsia="zh-TW"/>
              </w:rPr>
              <w:t>（第</w:t>
            </w:r>
            <w:r w:rsidRPr="001D1285">
              <w:rPr>
                <w:rFonts w:ascii="Calibri" w:eastAsia="細明體" w:hAnsi="Calibri" w:cs="Segoe UI" w:hint="eastAsia"/>
                <w:b/>
                <w:sz w:val="17"/>
                <w:szCs w:val="17"/>
                <w:lang w:eastAsia="zh-TW"/>
              </w:rPr>
              <w:t>8</w:t>
            </w:r>
            <w:r w:rsidRPr="001D1285">
              <w:rPr>
                <w:rFonts w:ascii="Calibri" w:eastAsia="細明體" w:hAnsi="Calibri" w:cs="Segoe UI" w:hint="eastAsia"/>
                <w:b/>
                <w:sz w:val="17"/>
                <w:szCs w:val="17"/>
                <w:lang w:eastAsia="zh-TW"/>
              </w:rPr>
              <w:t>至</w:t>
            </w:r>
            <w:r w:rsidRPr="001D1285">
              <w:rPr>
                <w:rFonts w:ascii="Calibri" w:eastAsia="細明體" w:hAnsi="Calibri" w:cs="Segoe UI" w:hint="eastAsia"/>
                <w:b/>
                <w:sz w:val="17"/>
                <w:szCs w:val="17"/>
                <w:lang w:eastAsia="zh-TW"/>
              </w:rPr>
              <w:t>12</w:t>
            </w:r>
            <w:r w:rsidRPr="001D1285">
              <w:rPr>
                <w:rFonts w:ascii="Calibri" w:eastAsia="細明體" w:hAnsi="Calibri" w:cs="Segoe UI" w:hint="eastAsia"/>
                <w:b/>
                <w:sz w:val="17"/>
                <w:szCs w:val="17"/>
                <w:lang w:eastAsia="zh-TW"/>
              </w:rPr>
              <w:t>行的總和）</w:t>
            </w: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7AB46C9B"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c>
          <w:tcPr>
            <w:tcW w:w="1205" w:type="dxa"/>
            <w:tcBorders>
              <w:top w:val="single" w:sz="4" w:space="0" w:color="auto"/>
              <w:left w:val="single" w:sz="4" w:space="0" w:color="auto"/>
              <w:bottom w:val="single" w:sz="4" w:space="0" w:color="auto"/>
              <w:right w:val="single" w:sz="4" w:space="0" w:color="auto"/>
            </w:tcBorders>
            <w:shd w:val="clear" w:color="auto" w:fill="F2F2F2"/>
          </w:tcPr>
          <w:p w14:paraId="76B773E3" w14:textId="77777777" w:rsidR="001D1285" w:rsidRPr="001D1285" w:rsidRDefault="001D1285" w:rsidP="001D1285">
            <w:pPr>
              <w:snapToGrid w:val="0"/>
              <w:spacing w:before="40" w:after="40" w:line="259" w:lineRule="auto"/>
              <w:rPr>
                <w:rFonts w:ascii="Calibri" w:eastAsia="新細明體" w:hAnsi="Calibri" w:cs="Segoe UI"/>
                <w:sz w:val="17"/>
                <w:szCs w:val="17"/>
                <w:lang w:eastAsia="it-IT"/>
              </w:rPr>
            </w:pPr>
          </w:p>
        </w:tc>
      </w:tr>
      <w:tr w:rsidR="001D1285" w:rsidRPr="001D1285" w14:paraId="5BDE74A6" w14:textId="77777777" w:rsidTr="00213CED">
        <w:trPr>
          <w:cantSplit/>
          <w:trHeight w:val="270"/>
        </w:trPr>
        <w:tc>
          <w:tcPr>
            <w:tcW w:w="6665" w:type="dxa"/>
            <w:gridSpan w:val="2"/>
            <w:tcBorders>
              <w:top w:val="single" w:sz="6" w:space="0" w:color="auto"/>
              <w:left w:val="nil"/>
              <w:bottom w:val="single" w:sz="6" w:space="0" w:color="auto"/>
              <w:right w:val="nil"/>
            </w:tcBorders>
            <w:shd w:val="clear" w:color="auto" w:fill="D9D9D9"/>
          </w:tcPr>
          <w:p w14:paraId="657BD6A1" w14:textId="77777777" w:rsidR="001D1285" w:rsidRPr="001D1285" w:rsidRDefault="001D1285" w:rsidP="00000DFA">
            <w:pPr>
              <w:widowControl w:val="0"/>
              <w:autoSpaceDE w:val="0"/>
              <w:autoSpaceDN w:val="0"/>
              <w:adjustRightInd w:val="0"/>
              <w:spacing w:line="259" w:lineRule="auto"/>
              <w:ind w:firstLineChars="50" w:firstLine="85"/>
              <w:rPr>
                <w:rFonts w:ascii="Calibri" w:eastAsia="新細明體" w:hAnsi="Calibri" w:cs="Segoe UI"/>
                <w:b/>
                <w:bCs/>
                <w:color w:val="000000"/>
                <w:sz w:val="17"/>
                <w:szCs w:val="17"/>
                <w:lang w:val="en-US" w:eastAsia="zh-TW"/>
              </w:rPr>
            </w:pPr>
            <w:r w:rsidRPr="001D1285">
              <w:rPr>
                <w:rFonts w:ascii="Calibri" w:eastAsia="新細明體" w:hAnsi="Calibri" w:cs="Segoe UI"/>
                <w:b/>
                <w:color w:val="000000"/>
                <w:sz w:val="17"/>
                <w:szCs w:val="17"/>
                <w:lang w:val="en-US" w:eastAsia="it-IT"/>
              </w:rPr>
              <w:t>由</w:t>
            </w:r>
            <w:r w:rsidRPr="001D1285">
              <w:rPr>
                <w:rFonts w:ascii="Calibri" w:eastAsia="新細明體" w:hAnsi="Calibri" w:cs="Segoe UI"/>
                <w:b/>
                <w:color w:val="000000"/>
                <w:sz w:val="17"/>
                <w:szCs w:val="17"/>
                <w:lang w:val="en-US" w:eastAsia="it-IT"/>
              </w:rPr>
              <w:t>SFT</w:t>
            </w:r>
            <w:r w:rsidRPr="001D1285">
              <w:rPr>
                <w:rFonts w:ascii="Calibri" w:eastAsia="新細明體" w:hAnsi="Calibri" w:cs="Segoe UI"/>
                <w:b/>
                <w:color w:val="000000"/>
                <w:sz w:val="17"/>
                <w:szCs w:val="17"/>
                <w:lang w:val="en-US" w:eastAsia="it-IT"/>
              </w:rPr>
              <w:t>產生的風險承擔</w:t>
            </w:r>
          </w:p>
        </w:tc>
        <w:tc>
          <w:tcPr>
            <w:tcW w:w="1205" w:type="dxa"/>
            <w:tcBorders>
              <w:top w:val="single" w:sz="6" w:space="0" w:color="auto"/>
              <w:left w:val="nil"/>
              <w:bottom w:val="single" w:sz="6" w:space="0" w:color="auto"/>
              <w:right w:val="nil"/>
            </w:tcBorders>
            <w:shd w:val="clear" w:color="auto" w:fill="D9D9D9"/>
          </w:tcPr>
          <w:p w14:paraId="5AE5CD02"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nil"/>
              <w:bottom w:val="single" w:sz="6" w:space="0" w:color="auto"/>
              <w:right w:val="single" w:sz="4" w:space="0" w:color="auto"/>
            </w:tcBorders>
            <w:shd w:val="clear" w:color="auto" w:fill="D9D9D9"/>
          </w:tcPr>
          <w:p w14:paraId="3CF69C7E"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3FB88E3E" w14:textId="77777777" w:rsidTr="00213CED">
        <w:trPr>
          <w:cantSplit/>
          <w:trHeight w:val="270"/>
        </w:trPr>
        <w:tc>
          <w:tcPr>
            <w:tcW w:w="567" w:type="dxa"/>
            <w:tcBorders>
              <w:top w:val="single" w:sz="6" w:space="0" w:color="auto"/>
              <w:left w:val="nil"/>
              <w:bottom w:val="single" w:sz="4" w:space="0" w:color="auto"/>
              <w:right w:val="single" w:sz="6" w:space="0" w:color="auto"/>
            </w:tcBorders>
            <w:shd w:val="clear" w:color="auto" w:fill="auto"/>
          </w:tcPr>
          <w:p w14:paraId="002DED35" w14:textId="647D5253"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14</w:t>
            </w:r>
          </w:p>
        </w:tc>
        <w:tc>
          <w:tcPr>
            <w:tcW w:w="6095" w:type="dxa"/>
            <w:tcBorders>
              <w:top w:val="single" w:sz="6" w:space="0" w:color="auto"/>
              <w:left w:val="single" w:sz="6" w:space="0" w:color="auto"/>
              <w:bottom w:val="single" w:sz="4" w:space="0" w:color="auto"/>
              <w:right w:val="single" w:sz="6" w:space="0" w:color="auto"/>
            </w:tcBorders>
            <w:shd w:val="clear" w:color="auto" w:fill="auto"/>
          </w:tcPr>
          <w:p w14:paraId="7CF1C91E" w14:textId="711E0971" w:rsidR="001D1285" w:rsidRPr="001D1285" w:rsidRDefault="001D1285" w:rsidP="00906CAB">
            <w:pPr>
              <w:snapToGrid w:val="0"/>
              <w:spacing w:before="40" w:after="40" w:line="259" w:lineRule="auto"/>
              <w:ind w:left="57" w:rightChars="71" w:right="142"/>
              <w:rPr>
                <w:rFonts w:ascii="Calibri" w:eastAsia="新細明體" w:hAnsi="Calibri" w:cs="Segoe UI"/>
                <w:sz w:val="17"/>
                <w:szCs w:val="17"/>
                <w:lang w:eastAsia="zh-TW"/>
              </w:rPr>
            </w:pPr>
            <w:r w:rsidRPr="001D1285">
              <w:rPr>
                <w:rFonts w:ascii="Calibri" w:eastAsia="細明體" w:hAnsi="Calibri" w:cs="Segoe UI"/>
                <w:sz w:val="17"/>
                <w:szCs w:val="17"/>
                <w:lang w:eastAsia="zh-TW"/>
              </w:rPr>
              <w:t>經</w:t>
            </w:r>
            <w:r w:rsidR="00906CAB" w:rsidRPr="001D1285">
              <w:rPr>
                <w:rFonts w:ascii="Calibri" w:eastAsia="細明體" w:hAnsi="Calibri" w:cs="Segoe UI"/>
                <w:sz w:val="17"/>
                <w:szCs w:val="17"/>
                <w:lang w:eastAsia="it-IT"/>
              </w:rPr>
              <w:t>調整</w:t>
            </w:r>
            <w:r w:rsidR="00325B8E">
              <w:rPr>
                <w:rFonts w:ascii="Calibri" w:eastAsia="細明體" w:hAnsi="Calibri" w:cs="Segoe UI" w:hint="eastAsia"/>
                <w:sz w:val="17"/>
                <w:szCs w:val="17"/>
                <w:lang w:eastAsia="zh-HK"/>
              </w:rPr>
              <w:t>出</w:t>
            </w:r>
            <w:r w:rsidRPr="001D1285">
              <w:rPr>
                <w:rFonts w:ascii="Calibri" w:eastAsia="細明體" w:hAnsi="Calibri" w:cs="Segoe UI"/>
                <w:sz w:val="17"/>
                <w:szCs w:val="17"/>
                <w:lang w:eastAsia="it-IT"/>
              </w:rPr>
              <w:t>售會計交易</w:t>
            </w:r>
            <w:r w:rsidRPr="001D1285">
              <w:rPr>
                <w:rFonts w:ascii="Calibri" w:eastAsia="細明體" w:hAnsi="Calibri" w:cs="Segoe UI"/>
                <w:sz w:val="17"/>
                <w:szCs w:val="17"/>
                <w:lang w:eastAsia="zh-TW"/>
              </w:rPr>
              <w:t>後</w:t>
            </w:r>
            <w:r w:rsidRPr="001D1285">
              <w:rPr>
                <w:rFonts w:ascii="Calibri" w:eastAsia="新細明體" w:hAnsi="Calibri" w:cs="Segoe UI"/>
                <w:sz w:val="17"/>
                <w:szCs w:val="17"/>
                <w:lang w:eastAsia="zh-TW"/>
              </w:rPr>
              <w:t>（</w:t>
            </w:r>
            <w:r w:rsidRPr="001D1285">
              <w:rPr>
                <w:rFonts w:ascii="Calibri" w:eastAsia="細明體" w:hAnsi="Calibri" w:cs="Segoe UI"/>
                <w:sz w:val="17"/>
                <w:szCs w:val="17"/>
                <w:lang w:eastAsia="it-IT"/>
              </w:rPr>
              <w:t>在不確認淨額計算下</w:t>
            </w:r>
            <w:r w:rsidRPr="001D1285">
              <w:rPr>
                <w:rFonts w:ascii="Calibri" w:eastAsia="新細明體" w:hAnsi="Calibri" w:cs="Segoe UI"/>
                <w:sz w:val="17"/>
                <w:szCs w:val="17"/>
                <w:lang w:eastAsia="zh-TW"/>
              </w:rPr>
              <w:t>）</w:t>
            </w:r>
            <w:r w:rsidRPr="001D1285">
              <w:rPr>
                <w:rFonts w:ascii="Calibri" w:eastAsia="細明體" w:hAnsi="Calibri" w:cs="Segoe UI"/>
                <w:sz w:val="17"/>
                <w:szCs w:val="17"/>
                <w:lang w:eastAsia="it-IT"/>
              </w:rPr>
              <w:t>的</w:t>
            </w:r>
            <w:r w:rsidRPr="001D1285">
              <w:rPr>
                <w:rFonts w:ascii="Calibri" w:eastAsia="細明體" w:hAnsi="Calibri" w:cs="Segoe UI"/>
                <w:sz w:val="17"/>
                <w:szCs w:val="17"/>
                <w:lang w:eastAsia="zh-TW"/>
              </w:rPr>
              <w:t>SFT</w:t>
            </w:r>
            <w:r w:rsidRPr="001D1285">
              <w:rPr>
                <w:rFonts w:ascii="Calibri" w:eastAsia="細明體" w:hAnsi="Calibri" w:cs="Segoe UI"/>
                <w:sz w:val="17"/>
                <w:szCs w:val="17"/>
                <w:lang w:eastAsia="it-IT"/>
              </w:rPr>
              <w:t>資產總額</w:t>
            </w:r>
          </w:p>
        </w:tc>
        <w:tc>
          <w:tcPr>
            <w:tcW w:w="1205" w:type="dxa"/>
            <w:tcBorders>
              <w:top w:val="single" w:sz="6" w:space="0" w:color="auto"/>
              <w:left w:val="single" w:sz="6" w:space="0" w:color="auto"/>
              <w:bottom w:val="single" w:sz="4" w:space="0" w:color="auto"/>
              <w:right w:val="single" w:sz="6" w:space="0" w:color="auto"/>
            </w:tcBorders>
            <w:shd w:val="clear" w:color="auto" w:fill="auto"/>
          </w:tcPr>
          <w:p w14:paraId="62BD6CF3"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4" w:space="0" w:color="auto"/>
              <w:right w:val="single" w:sz="4" w:space="0" w:color="auto"/>
            </w:tcBorders>
            <w:shd w:val="clear" w:color="auto" w:fill="auto"/>
          </w:tcPr>
          <w:p w14:paraId="18098178"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5BE74DE6" w14:textId="77777777" w:rsidTr="00213CED">
        <w:trPr>
          <w:cantSplit/>
          <w:trHeight w:val="354"/>
        </w:trPr>
        <w:tc>
          <w:tcPr>
            <w:tcW w:w="567" w:type="dxa"/>
            <w:tcBorders>
              <w:top w:val="single" w:sz="4" w:space="0" w:color="auto"/>
              <w:left w:val="nil"/>
              <w:bottom w:val="single" w:sz="4" w:space="0" w:color="auto"/>
              <w:right w:val="single" w:sz="6" w:space="0" w:color="auto"/>
            </w:tcBorders>
            <w:shd w:val="clear" w:color="auto" w:fill="auto"/>
          </w:tcPr>
          <w:p w14:paraId="2635BC76" w14:textId="17900C65"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15</w:t>
            </w:r>
          </w:p>
        </w:tc>
        <w:tc>
          <w:tcPr>
            <w:tcW w:w="6095" w:type="dxa"/>
            <w:tcBorders>
              <w:top w:val="single" w:sz="4" w:space="0" w:color="auto"/>
              <w:left w:val="single" w:sz="6" w:space="0" w:color="auto"/>
              <w:bottom w:val="single" w:sz="4" w:space="0" w:color="auto"/>
              <w:right w:val="single" w:sz="6" w:space="0" w:color="auto"/>
            </w:tcBorders>
            <w:shd w:val="clear" w:color="auto" w:fill="auto"/>
          </w:tcPr>
          <w:p w14:paraId="768BCFD5" w14:textId="02F8DEA8" w:rsidR="001D1285" w:rsidRPr="001D1285" w:rsidRDefault="001D1285" w:rsidP="00906CAB">
            <w:pPr>
              <w:snapToGrid w:val="0"/>
              <w:spacing w:before="40" w:after="40" w:line="259" w:lineRule="auto"/>
              <w:ind w:left="57" w:rightChars="71" w:right="142"/>
              <w:rPr>
                <w:rFonts w:ascii="Calibri" w:eastAsia="新細明體" w:hAnsi="Calibri" w:cs="Segoe UI"/>
                <w:sz w:val="17"/>
                <w:szCs w:val="17"/>
                <w:lang w:eastAsia="it-IT"/>
              </w:rPr>
            </w:pPr>
            <w:r w:rsidRPr="001D1285">
              <w:rPr>
                <w:rFonts w:ascii="Calibri" w:eastAsia="新細明體" w:hAnsi="Calibri" w:cs="Segoe UI"/>
                <w:sz w:val="17"/>
                <w:szCs w:val="17"/>
                <w:lang w:eastAsia="zh-TW"/>
              </w:rPr>
              <w:t>扣減</w:t>
            </w:r>
            <w:r w:rsidRPr="001D1285">
              <w:rPr>
                <w:rFonts w:ascii="Calibri" w:eastAsia="細明體" w:hAnsi="Calibri" w:cs="Segoe UI"/>
                <w:sz w:val="17"/>
                <w:szCs w:val="17"/>
                <w:lang w:eastAsia="it-IT"/>
              </w:rPr>
              <w:t>：</w:t>
            </w:r>
            <w:r w:rsidRPr="001D1285">
              <w:rPr>
                <w:rFonts w:ascii="Calibri" w:eastAsia="細明體" w:hAnsi="Calibri" w:cs="Segoe UI"/>
                <w:sz w:val="17"/>
                <w:szCs w:val="17"/>
                <w:lang w:eastAsia="zh-TW"/>
              </w:rPr>
              <w:t>SFT</w:t>
            </w:r>
            <w:r w:rsidRPr="001D1285">
              <w:rPr>
                <w:rFonts w:ascii="Calibri" w:eastAsia="細明體" w:hAnsi="Calibri" w:cs="Segoe UI"/>
                <w:sz w:val="17"/>
                <w:szCs w:val="17"/>
                <w:lang w:eastAsia="it-IT"/>
              </w:rPr>
              <w:t>資產總額的現金應付額</w:t>
            </w:r>
            <w:r w:rsidRPr="001D1285">
              <w:rPr>
                <w:rFonts w:ascii="Calibri" w:eastAsia="新細明體" w:hAnsi="Calibri" w:cs="Segoe UI" w:hint="eastAsia"/>
                <w:sz w:val="17"/>
                <w:szCs w:val="17"/>
                <w:lang w:eastAsia="zh-HK"/>
              </w:rPr>
              <w:t>及</w:t>
            </w:r>
            <w:r w:rsidRPr="001D1285">
              <w:rPr>
                <w:rFonts w:ascii="Calibri" w:eastAsia="細明體" w:hAnsi="Calibri" w:cs="Segoe UI"/>
                <w:sz w:val="17"/>
                <w:szCs w:val="17"/>
                <w:lang w:eastAsia="it-IT"/>
              </w:rPr>
              <w:t>現金應收額的</w:t>
            </w:r>
            <w:r w:rsidR="00906CAB">
              <w:rPr>
                <w:rFonts w:ascii="Calibri" w:eastAsia="細明體" w:hAnsi="Calibri" w:cs="Segoe UI" w:hint="eastAsia"/>
                <w:sz w:val="17"/>
                <w:szCs w:val="17"/>
                <w:lang w:eastAsia="zh-HK"/>
              </w:rPr>
              <w:t>可抵銷</w:t>
            </w:r>
            <w:r w:rsidRPr="001D1285">
              <w:rPr>
                <w:rFonts w:ascii="Calibri" w:eastAsia="細明體" w:hAnsi="Calibri" w:cs="Segoe UI"/>
                <w:sz w:val="17"/>
                <w:szCs w:val="17"/>
                <w:lang w:eastAsia="it-IT"/>
              </w:rPr>
              <w:t>額</w:t>
            </w:r>
          </w:p>
        </w:tc>
        <w:tc>
          <w:tcPr>
            <w:tcW w:w="1205" w:type="dxa"/>
            <w:tcBorders>
              <w:top w:val="single" w:sz="4" w:space="0" w:color="auto"/>
              <w:left w:val="single" w:sz="6" w:space="0" w:color="auto"/>
              <w:bottom w:val="single" w:sz="4" w:space="0" w:color="auto"/>
              <w:right w:val="single" w:sz="6" w:space="0" w:color="auto"/>
            </w:tcBorders>
            <w:shd w:val="clear" w:color="auto" w:fill="auto"/>
          </w:tcPr>
          <w:p w14:paraId="6CB11DD4"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4" w:space="0" w:color="auto"/>
              <w:left w:val="single" w:sz="6" w:space="0" w:color="auto"/>
              <w:bottom w:val="single" w:sz="4" w:space="0" w:color="auto"/>
              <w:right w:val="single" w:sz="4" w:space="0" w:color="auto"/>
            </w:tcBorders>
            <w:shd w:val="clear" w:color="auto" w:fill="auto"/>
          </w:tcPr>
          <w:p w14:paraId="61D24D2B"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6945EC75" w14:textId="77777777" w:rsidTr="00213CED">
        <w:trPr>
          <w:cantSplit/>
        </w:trPr>
        <w:tc>
          <w:tcPr>
            <w:tcW w:w="567" w:type="dxa"/>
            <w:tcBorders>
              <w:top w:val="single" w:sz="4" w:space="0" w:color="auto"/>
              <w:left w:val="nil"/>
              <w:bottom w:val="single" w:sz="6" w:space="0" w:color="BCBDBC"/>
              <w:right w:val="single" w:sz="6" w:space="0" w:color="auto"/>
            </w:tcBorders>
            <w:shd w:val="clear" w:color="auto" w:fill="auto"/>
          </w:tcPr>
          <w:p w14:paraId="53A4643E" w14:textId="09A08667"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16</w:t>
            </w:r>
          </w:p>
        </w:tc>
        <w:tc>
          <w:tcPr>
            <w:tcW w:w="6095" w:type="dxa"/>
            <w:tcBorders>
              <w:top w:val="single" w:sz="4" w:space="0" w:color="auto"/>
              <w:left w:val="single" w:sz="6" w:space="0" w:color="auto"/>
              <w:bottom w:val="single" w:sz="6" w:space="0" w:color="auto"/>
              <w:right w:val="single" w:sz="6" w:space="0" w:color="auto"/>
            </w:tcBorders>
            <w:shd w:val="clear" w:color="auto" w:fill="auto"/>
          </w:tcPr>
          <w:p w14:paraId="64A689BE"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it-IT"/>
              </w:rPr>
            </w:pPr>
            <w:r w:rsidRPr="001D1285">
              <w:rPr>
                <w:rFonts w:ascii="Calibri" w:eastAsia="新細明體" w:hAnsi="Calibri" w:cs="Segoe UI"/>
                <w:sz w:val="17"/>
                <w:szCs w:val="17"/>
                <w:lang w:eastAsia="it-IT"/>
              </w:rPr>
              <w:t>SFT</w:t>
            </w:r>
            <w:r w:rsidRPr="001D1285">
              <w:rPr>
                <w:rFonts w:ascii="Calibri" w:eastAsia="新細明體" w:hAnsi="Calibri" w:cs="Segoe UI"/>
                <w:sz w:val="17"/>
                <w:szCs w:val="17"/>
                <w:lang w:eastAsia="zh-TW"/>
              </w:rPr>
              <w:t>資產的對手方信用風險承擔</w:t>
            </w:r>
          </w:p>
        </w:tc>
        <w:tc>
          <w:tcPr>
            <w:tcW w:w="1205" w:type="dxa"/>
            <w:tcBorders>
              <w:top w:val="single" w:sz="4" w:space="0" w:color="auto"/>
              <w:left w:val="single" w:sz="6" w:space="0" w:color="auto"/>
              <w:bottom w:val="single" w:sz="6" w:space="0" w:color="auto"/>
              <w:right w:val="single" w:sz="6" w:space="0" w:color="auto"/>
            </w:tcBorders>
            <w:shd w:val="clear" w:color="auto" w:fill="auto"/>
          </w:tcPr>
          <w:p w14:paraId="63FF3B74"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4" w:space="0" w:color="auto"/>
              <w:left w:val="single" w:sz="6" w:space="0" w:color="auto"/>
              <w:bottom w:val="single" w:sz="6" w:space="0" w:color="auto"/>
              <w:right w:val="single" w:sz="4" w:space="0" w:color="auto"/>
            </w:tcBorders>
            <w:shd w:val="clear" w:color="auto" w:fill="auto"/>
          </w:tcPr>
          <w:p w14:paraId="5198AD87"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5FD03002" w14:textId="77777777" w:rsidTr="00213CED">
        <w:trPr>
          <w:cantSplit/>
          <w:trHeight w:val="270"/>
        </w:trPr>
        <w:tc>
          <w:tcPr>
            <w:tcW w:w="567" w:type="dxa"/>
            <w:tcBorders>
              <w:top w:val="single" w:sz="6" w:space="0" w:color="auto"/>
              <w:left w:val="nil"/>
              <w:bottom w:val="single" w:sz="4" w:space="0" w:color="auto"/>
              <w:right w:val="single" w:sz="6" w:space="0" w:color="auto"/>
            </w:tcBorders>
            <w:shd w:val="clear" w:color="auto" w:fill="auto"/>
          </w:tcPr>
          <w:p w14:paraId="3A8D2B3B" w14:textId="2BBE6622"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17</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54C05165"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it-IT"/>
              </w:rPr>
            </w:pPr>
            <w:r w:rsidRPr="001D1285">
              <w:rPr>
                <w:rFonts w:ascii="Calibri" w:eastAsia="細明體" w:hAnsi="Calibri" w:cs="Segoe UI"/>
                <w:sz w:val="17"/>
                <w:szCs w:val="17"/>
                <w:lang w:eastAsia="it-IT"/>
              </w:rPr>
              <w:t>代理交易風險承擔</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70FF7D29"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14717633"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4E7FC76A" w14:textId="77777777" w:rsidTr="00213CED">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50CEA061" w14:textId="1E4B69BC" w:rsidR="001D1285" w:rsidRPr="001D1285" w:rsidRDefault="001D1285" w:rsidP="001D1285">
            <w:pPr>
              <w:snapToGrid w:val="0"/>
              <w:spacing w:before="40" w:after="40" w:line="259" w:lineRule="auto"/>
              <w:ind w:left="57"/>
              <w:rPr>
                <w:rFonts w:ascii="Calibri" w:eastAsia="新細明體" w:hAnsi="Calibri" w:cs="Segoe UI"/>
                <w:sz w:val="17"/>
                <w:szCs w:val="17"/>
                <w:lang w:eastAsia="en-GB"/>
              </w:rPr>
            </w:pPr>
            <w:r w:rsidRPr="001D1285">
              <w:rPr>
                <w:rFonts w:ascii="Calibri" w:eastAsia="新細明體" w:hAnsi="Calibri" w:cs="Segoe UI" w:hint="eastAsia"/>
                <w:sz w:val="17"/>
                <w:szCs w:val="17"/>
                <w:lang w:eastAsia="zh-TW"/>
              </w:rPr>
              <w:t>18</w:t>
            </w:r>
          </w:p>
        </w:tc>
        <w:tc>
          <w:tcPr>
            <w:tcW w:w="6095" w:type="dxa"/>
            <w:tcBorders>
              <w:top w:val="single" w:sz="6" w:space="0" w:color="auto"/>
              <w:left w:val="single" w:sz="6" w:space="0" w:color="auto"/>
              <w:bottom w:val="single" w:sz="6" w:space="0" w:color="auto"/>
              <w:right w:val="single" w:sz="6" w:space="0" w:color="auto"/>
            </w:tcBorders>
            <w:shd w:val="clear" w:color="auto" w:fill="F2F2F2"/>
          </w:tcPr>
          <w:p w14:paraId="21EB9968" w14:textId="77777777" w:rsidR="001D1285" w:rsidRPr="001D1285" w:rsidRDefault="001D1285" w:rsidP="001D1285">
            <w:pPr>
              <w:snapToGrid w:val="0"/>
              <w:spacing w:before="40" w:after="40" w:line="259" w:lineRule="auto"/>
              <w:ind w:left="57" w:rightChars="71" w:right="142"/>
              <w:rPr>
                <w:rFonts w:ascii="Calibri" w:eastAsia="新細明體" w:hAnsi="Calibri" w:cs="Segoe UI"/>
                <w:b/>
                <w:sz w:val="17"/>
                <w:szCs w:val="17"/>
                <w:lang w:eastAsia="it-IT"/>
              </w:rPr>
            </w:pPr>
            <w:r w:rsidRPr="001D1285">
              <w:rPr>
                <w:rFonts w:ascii="Calibri" w:eastAsia="細明體" w:hAnsi="Calibri" w:cs="Segoe UI"/>
                <w:b/>
                <w:sz w:val="17"/>
                <w:szCs w:val="17"/>
                <w:lang w:eastAsia="it-IT"/>
              </w:rPr>
              <w:t>由</w:t>
            </w:r>
            <w:r w:rsidRPr="001D1285">
              <w:rPr>
                <w:rFonts w:ascii="Calibri" w:eastAsia="新細明體" w:hAnsi="Calibri" w:cs="Segoe UI"/>
                <w:b/>
                <w:sz w:val="17"/>
                <w:szCs w:val="17"/>
                <w:lang w:eastAsia="it-IT"/>
              </w:rPr>
              <w:t>SFT</w:t>
            </w:r>
            <w:r w:rsidRPr="001D1285">
              <w:rPr>
                <w:rFonts w:ascii="Calibri" w:eastAsia="細明體" w:hAnsi="Calibri" w:cs="Segoe UI"/>
                <w:b/>
                <w:sz w:val="17"/>
                <w:szCs w:val="17"/>
                <w:lang w:eastAsia="it-IT"/>
              </w:rPr>
              <w:t>產生的風險承擔</w:t>
            </w:r>
            <w:r w:rsidRPr="001D1285">
              <w:rPr>
                <w:rFonts w:ascii="Calibri" w:eastAsia="細明體" w:hAnsi="Calibri" w:cs="Segoe UI"/>
                <w:b/>
                <w:sz w:val="17"/>
                <w:szCs w:val="17"/>
                <w:lang w:eastAsia="zh-TW"/>
              </w:rPr>
              <w:t>總額</w:t>
            </w:r>
            <w:r w:rsidRPr="001D1285">
              <w:rPr>
                <w:rFonts w:ascii="Calibri" w:eastAsia="細明體" w:hAnsi="Calibri" w:cs="Segoe UI" w:hint="eastAsia"/>
                <w:b/>
                <w:sz w:val="17"/>
                <w:szCs w:val="17"/>
                <w:lang w:eastAsia="zh-TW"/>
              </w:rPr>
              <w:t>（第</w:t>
            </w:r>
            <w:r w:rsidRPr="001D1285">
              <w:rPr>
                <w:rFonts w:ascii="Calibri" w:eastAsia="細明體" w:hAnsi="Calibri" w:cs="Segoe UI" w:hint="eastAsia"/>
                <w:b/>
                <w:sz w:val="17"/>
                <w:szCs w:val="17"/>
                <w:lang w:eastAsia="zh-TW"/>
              </w:rPr>
              <w:t>14</w:t>
            </w:r>
            <w:r w:rsidRPr="001D1285">
              <w:rPr>
                <w:rFonts w:ascii="Calibri" w:eastAsia="細明體" w:hAnsi="Calibri" w:cs="Segoe UI" w:hint="eastAsia"/>
                <w:b/>
                <w:sz w:val="17"/>
                <w:szCs w:val="17"/>
                <w:lang w:eastAsia="zh-TW"/>
              </w:rPr>
              <w:t>至</w:t>
            </w:r>
            <w:r w:rsidRPr="001D1285">
              <w:rPr>
                <w:rFonts w:ascii="Calibri" w:eastAsia="細明體" w:hAnsi="Calibri" w:cs="Segoe UI" w:hint="eastAsia"/>
                <w:b/>
                <w:sz w:val="17"/>
                <w:szCs w:val="17"/>
                <w:lang w:eastAsia="zh-TW"/>
              </w:rPr>
              <w:t>17</w:t>
            </w:r>
            <w:r w:rsidRPr="001D1285">
              <w:rPr>
                <w:rFonts w:ascii="Calibri" w:eastAsia="細明體" w:hAnsi="Calibri" w:cs="Segoe UI" w:hint="eastAsia"/>
                <w:b/>
                <w:sz w:val="17"/>
                <w:szCs w:val="17"/>
                <w:lang w:eastAsia="zh-TW"/>
              </w:rPr>
              <w:t>行的總和）</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66690165"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65677EFE"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6DF46521" w14:textId="77777777" w:rsidTr="00213CED">
        <w:trPr>
          <w:cantSplit/>
          <w:trHeight w:val="270"/>
        </w:trPr>
        <w:tc>
          <w:tcPr>
            <w:tcW w:w="6665" w:type="dxa"/>
            <w:gridSpan w:val="2"/>
            <w:tcBorders>
              <w:top w:val="single" w:sz="4" w:space="0" w:color="auto"/>
              <w:left w:val="nil"/>
              <w:bottom w:val="single" w:sz="4" w:space="0" w:color="auto"/>
              <w:right w:val="nil"/>
            </w:tcBorders>
            <w:shd w:val="clear" w:color="auto" w:fill="D9D9D9"/>
          </w:tcPr>
          <w:p w14:paraId="171211FD" w14:textId="77777777" w:rsidR="001D1285" w:rsidRPr="001D1285" w:rsidRDefault="001D1285" w:rsidP="00000DFA">
            <w:pPr>
              <w:widowControl w:val="0"/>
              <w:autoSpaceDE w:val="0"/>
              <w:autoSpaceDN w:val="0"/>
              <w:adjustRightInd w:val="0"/>
              <w:spacing w:line="259" w:lineRule="auto"/>
              <w:ind w:firstLineChars="50" w:firstLine="85"/>
              <w:rPr>
                <w:rFonts w:ascii="Calibri" w:eastAsia="新細明體" w:hAnsi="Calibri" w:cs="Segoe UI"/>
                <w:color w:val="000000"/>
                <w:sz w:val="24"/>
                <w:szCs w:val="17"/>
                <w:lang w:val="en-US" w:eastAsia="it-IT"/>
              </w:rPr>
            </w:pPr>
            <w:r w:rsidRPr="001D1285">
              <w:rPr>
                <w:rFonts w:ascii="Calibri" w:eastAsia="細明體" w:hAnsi="Calibri" w:cs="Segoe UI"/>
                <w:b/>
                <w:sz w:val="17"/>
                <w:szCs w:val="22"/>
                <w:lang w:eastAsia="it-IT"/>
              </w:rPr>
              <w:t>其他資產負債表外風險承擔</w:t>
            </w:r>
          </w:p>
        </w:tc>
        <w:tc>
          <w:tcPr>
            <w:tcW w:w="1205" w:type="dxa"/>
            <w:tcBorders>
              <w:top w:val="single" w:sz="6" w:space="0" w:color="auto"/>
              <w:left w:val="nil"/>
              <w:bottom w:val="single" w:sz="6" w:space="0" w:color="auto"/>
              <w:right w:val="nil"/>
            </w:tcBorders>
            <w:shd w:val="clear" w:color="auto" w:fill="D9D9D9"/>
          </w:tcPr>
          <w:p w14:paraId="2B48E0A4"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nil"/>
              <w:bottom w:val="single" w:sz="6" w:space="0" w:color="auto"/>
              <w:right w:val="single" w:sz="4" w:space="0" w:color="auto"/>
            </w:tcBorders>
            <w:shd w:val="clear" w:color="auto" w:fill="D9D9D9"/>
          </w:tcPr>
          <w:p w14:paraId="25DEC33B"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025942E5" w14:textId="77777777" w:rsidTr="00213CED">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53D893C1" w14:textId="5802E427" w:rsidR="001D1285" w:rsidRPr="001D1285"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hint="eastAsia"/>
                <w:sz w:val="16"/>
                <w:szCs w:val="16"/>
                <w:lang w:eastAsia="zh-TW"/>
              </w:rPr>
              <w:t>19</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36A93B31"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val="it-IT" w:eastAsia="zh-TW"/>
              </w:rPr>
            </w:pPr>
            <w:r w:rsidRPr="001D1285">
              <w:rPr>
                <w:rFonts w:ascii="Calibri" w:eastAsia="細明體" w:hAnsi="Calibri" w:cs="Segoe UI"/>
                <w:sz w:val="17"/>
                <w:szCs w:val="17"/>
                <w:lang w:eastAsia="it-IT"/>
              </w:rPr>
              <w:t>資產負債表外風險承擔名義數額總</w:t>
            </w:r>
            <w:r w:rsidRPr="001D1285">
              <w:rPr>
                <w:rFonts w:ascii="Calibri" w:eastAsia="細明體" w:hAnsi="Calibri" w:cs="Segoe UI"/>
                <w:sz w:val="17"/>
                <w:szCs w:val="17"/>
                <w:lang w:val="it-IT" w:eastAsia="zh-TW"/>
              </w:rPr>
              <w:t>額</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155085BE"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4D2793AD"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0C9B33A5" w14:textId="77777777" w:rsidTr="00213CED">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35680603" w14:textId="0ECE988F" w:rsidR="001D1285" w:rsidRPr="001D1285"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hint="eastAsia"/>
                <w:sz w:val="16"/>
                <w:szCs w:val="16"/>
                <w:lang w:eastAsia="zh-TW"/>
              </w:rPr>
              <w:t>20</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72BB6B1E" w14:textId="77777777"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it-IT"/>
              </w:rPr>
            </w:pPr>
            <w:r w:rsidRPr="001D1285">
              <w:rPr>
                <w:rFonts w:ascii="Calibri" w:eastAsia="新細明體" w:hAnsi="Calibri" w:cs="Segoe UI"/>
                <w:sz w:val="17"/>
                <w:szCs w:val="17"/>
                <w:lang w:eastAsia="zh-TW"/>
              </w:rPr>
              <w:t>扣減</w:t>
            </w:r>
            <w:r w:rsidRPr="001D1285">
              <w:rPr>
                <w:rFonts w:ascii="Calibri" w:eastAsia="細明體" w:hAnsi="Calibri" w:cs="Segoe UI"/>
                <w:sz w:val="17"/>
                <w:szCs w:val="17"/>
                <w:lang w:eastAsia="it-IT"/>
              </w:rPr>
              <w:t>：就</w:t>
            </w:r>
            <w:r w:rsidRPr="001D1285">
              <w:rPr>
                <w:rFonts w:ascii="Calibri" w:eastAsia="細明體" w:hAnsi="Calibri" w:cs="Segoe UI"/>
                <w:sz w:val="17"/>
                <w:szCs w:val="17"/>
                <w:lang w:eastAsia="zh-TW"/>
              </w:rPr>
              <w:t>轉</w:t>
            </w:r>
            <w:r w:rsidRPr="001D1285">
              <w:rPr>
                <w:rFonts w:ascii="Calibri" w:eastAsia="細明體" w:hAnsi="Calibri" w:cs="Segoe UI"/>
                <w:sz w:val="17"/>
                <w:szCs w:val="17"/>
                <w:lang w:eastAsia="it-IT"/>
              </w:rPr>
              <w:t>換為信貸等值數額</w:t>
            </w:r>
            <w:r w:rsidRPr="001D1285">
              <w:rPr>
                <w:rFonts w:ascii="Calibri" w:eastAsia="細明體" w:hAnsi="Calibri" w:cs="Segoe UI"/>
                <w:sz w:val="17"/>
                <w:szCs w:val="17"/>
                <w:lang w:eastAsia="zh-TW"/>
              </w:rPr>
              <w:t>作出</w:t>
            </w:r>
            <w:r w:rsidRPr="001D1285">
              <w:rPr>
                <w:rFonts w:ascii="Calibri" w:eastAsia="細明體" w:hAnsi="Calibri" w:cs="Segoe UI"/>
                <w:sz w:val="17"/>
                <w:szCs w:val="17"/>
                <w:lang w:eastAsia="it-IT"/>
              </w:rPr>
              <w:t>的調整</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1B09606D"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51C4F942"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39CE5C77" w14:textId="77777777" w:rsidTr="00213CED">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3918EC2D" w14:textId="77777777" w:rsidR="001D1285" w:rsidRPr="001D1285" w:rsidDel="00A64B48" w:rsidRDefault="001D1285" w:rsidP="001D1285">
            <w:pPr>
              <w:snapToGrid w:val="0"/>
              <w:spacing w:before="40" w:after="40" w:line="259" w:lineRule="auto"/>
              <w:ind w:left="57"/>
              <w:rPr>
                <w:rFonts w:ascii="Calibri" w:eastAsia="新細明體" w:hAnsi="Calibri" w:cs="Segoe UI"/>
                <w:sz w:val="16"/>
                <w:szCs w:val="16"/>
                <w:lang w:eastAsia="zh-TW"/>
              </w:rPr>
            </w:pPr>
            <w:r w:rsidRPr="001D1285">
              <w:rPr>
                <w:rFonts w:ascii="Calibri" w:eastAsia="新細明體" w:hAnsi="Calibri" w:cs="Segoe UI" w:hint="eastAsia"/>
                <w:sz w:val="16"/>
                <w:szCs w:val="16"/>
                <w:lang w:eastAsia="zh-TW"/>
              </w:rPr>
              <w:t>21</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0C294CC6" w14:textId="2EAB0414" w:rsidR="001D1285" w:rsidRPr="001D1285" w:rsidRDefault="001D1285" w:rsidP="001D1285">
            <w:pPr>
              <w:snapToGrid w:val="0"/>
              <w:spacing w:before="40" w:after="40" w:line="259" w:lineRule="auto"/>
              <w:ind w:left="57" w:rightChars="71" w:right="142"/>
              <w:rPr>
                <w:rFonts w:ascii="Calibri" w:eastAsia="新細明體" w:hAnsi="Calibri" w:cs="Segoe UI"/>
                <w:sz w:val="17"/>
                <w:szCs w:val="17"/>
                <w:lang w:eastAsia="zh-TW"/>
              </w:rPr>
            </w:pPr>
            <w:r w:rsidRPr="001D1285">
              <w:rPr>
                <w:rFonts w:ascii="Calibri" w:eastAsia="新細明體" w:hAnsi="Calibri" w:cs="Segoe UI" w:hint="eastAsia"/>
                <w:sz w:val="17"/>
                <w:szCs w:val="17"/>
                <w:lang w:eastAsia="zh-TW"/>
              </w:rPr>
              <w:t>扣減：從一級資本扣減的</w:t>
            </w:r>
            <w:r w:rsidR="00351AB5">
              <w:rPr>
                <w:rFonts w:ascii="Calibri" w:eastAsia="新細明體" w:hAnsi="Calibri" w:cs="Segoe UI" w:hint="eastAsia"/>
                <w:sz w:val="17"/>
                <w:szCs w:val="17"/>
                <w:lang w:eastAsia="zh-HK"/>
              </w:rPr>
              <w:t>與</w:t>
            </w:r>
            <w:r w:rsidRPr="001D1285">
              <w:rPr>
                <w:rFonts w:ascii="Calibri" w:eastAsia="新細明體" w:hAnsi="Calibri" w:cs="Segoe UI" w:hint="eastAsia"/>
                <w:sz w:val="17"/>
                <w:szCs w:val="17"/>
                <w:lang w:eastAsia="zh-TW"/>
              </w:rPr>
              <w:t>資產負債表</w:t>
            </w:r>
            <w:r w:rsidRPr="001D1285">
              <w:rPr>
                <w:rFonts w:ascii="Calibri" w:eastAsia="新細明體" w:hAnsi="Calibri" w:cs="Segoe UI" w:hint="eastAsia"/>
                <w:sz w:val="17"/>
                <w:szCs w:val="17"/>
                <w:lang w:eastAsia="zh-HK"/>
              </w:rPr>
              <w:t>外</w:t>
            </w:r>
            <w:r w:rsidRPr="001D1285">
              <w:rPr>
                <w:rFonts w:ascii="Calibri" w:eastAsia="新細明體" w:hAnsi="Calibri" w:cs="Segoe UI" w:hint="eastAsia"/>
                <w:sz w:val="17"/>
                <w:szCs w:val="17"/>
                <w:lang w:eastAsia="zh-TW"/>
              </w:rPr>
              <w:t>風險承擔相關</w:t>
            </w:r>
            <w:r w:rsidR="00351AB5">
              <w:rPr>
                <w:rFonts w:ascii="Calibri" w:eastAsia="新細明體" w:hAnsi="Calibri" w:cs="Segoe UI" w:hint="eastAsia"/>
                <w:sz w:val="17"/>
                <w:szCs w:val="17"/>
                <w:lang w:eastAsia="zh-HK"/>
              </w:rPr>
              <w:t>的</w:t>
            </w:r>
            <w:r w:rsidRPr="001D1285">
              <w:rPr>
                <w:rFonts w:ascii="Calibri" w:eastAsia="新細明體" w:hAnsi="Calibri" w:cs="Segoe UI" w:hint="eastAsia"/>
                <w:sz w:val="17"/>
                <w:szCs w:val="17"/>
                <w:lang w:eastAsia="zh-TW"/>
              </w:rPr>
              <w:t>特定</w:t>
            </w:r>
            <w:r w:rsidRPr="001D1285">
              <w:rPr>
                <w:rFonts w:ascii="Calibri" w:eastAsia="新細明體" w:hAnsi="Calibri" w:cs="Segoe UI" w:hint="eastAsia"/>
                <w:sz w:val="17"/>
                <w:szCs w:val="17"/>
                <w:lang w:eastAsia="zh-HK"/>
              </w:rPr>
              <w:t>準備金</w:t>
            </w:r>
            <w:r w:rsidRPr="001D1285">
              <w:rPr>
                <w:rFonts w:ascii="Calibri" w:eastAsia="新細明體" w:hAnsi="Calibri" w:cs="Segoe UI" w:hint="eastAsia"/>
                <w:sz w:val="17"/>
                <w:szCs w:val="17"/>
                <w:lang w:eastAsia="zh-TW"/>
              </w:rPr>
              <w:t>及</w:t>
            </w:r>
            <w:r w:rsidRPr="001D1285">
              <w:rPr>
                <w:rFonts w:ascii="Calibri" w:eastAsia="新細明體" w:hAnsi="Calibri" w:cs="Segoe UI"/>
                <w:sz w:val="17"/>
                <w:szCs w:val="17"/>
                <w:lang w:eastAsia="zh-TW"/>
              </w:rPr>
              <w:t>集體準備金</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2772F3EA"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auto"/>
          </w:tcPr>
          <w:p w14:paraId="00042364"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7DFA4E23" w14:textId="77777777" w:rsidTr="00213CED">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3CBE105B" w14:textId="16550D96" w:rsidR="001D1285" w:rsidRPr="001D1285"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hint="eastAsia"/>
                <w:sz w:val="16"/>
                <w:szCs w:val="16"/>
                <w:lang w:eastAsia="zh-TW"/>
              </w:rPr>
              <w:t>22</w:t>
            </w:r>
          </w:p>
        </w:tc>
        <w:tc>
          <w:tcPr>
            <w:tcW w:w="6095" w:type="dxa"/>
            <w:tcBorders>
              <w:top w:val="single" w:sz="6" w:space="0" w:color="auto"/>
              <w:left w:val="single" w:sz="6" w:space="0" w:color="auto"/>
              <w:bottom w:val="single" w:sz="6" w:space="0" w:color="auto"/>
              <w:right w:val="single" w:sz="6" w:space="0" w:color="auto"/>
            </w:tcBorders>
            <w:shd w:val="clear" w:color="auto" w:fill="F2F2F2"/>
          </w:tcPr>
          <w:p w14:paraId="62865390" w14:textId="77777777" w:rsidR="001D1285" w:rsidRPr="001D1285" w:rsidRDefault="001D1285" w:rsidP="001D1285">
            <w:pPr>
              <w:snapToGrid w:val="0"/>
              <w:spacing w:before="40" w:after="40" w:line="259" w:lineRule="auto"/>
              <w:ind w:left="57" w:rightChars="71" w:right="142"/>
              <w:rPr>
                <w:rFonts w:ascii="Calibri" w:eastAsia="新細明體" w:hAnsi="Calibri" w:cs="Segoe UI"/>
                <w:b/>
                <w:sz w:val="17"/>
                <w:szCs w:val="17"/>
                <w:lang w:eastAsia="it-IT"/>
              </w:rPr>
            </w:pPr>
            <w:r w:rsidRPr="001D1285">
              <w:rPr>
                <w:rFonts w:ascii="Calibri" w:eastAsia="細明體" w:hAnsi="Calibri" w:cs="Segoe UI"/>
                <w:b/>
                <w:sz w:val="17"/>
                <w:szCs w:val="17"/>
                <w:lang w:eastAsia="it-IT"/>
              </w:rPr>
              <w:t>資產負債表外</w:t>
            </w:r>
            <w:r w:rsidRPr="001D1285">
              <w:rPr>
                <w:rFonts w:ascii="Calibri" w:eastAsia="細明體" w:hAnsi="Calibri" w:cs="Segoe UI"/>
                <w:b/>
                <w:sz w:val="17"/>
                <w:szCs w:val="17"/>
                <w:lang w:eastAsia="zh-TW"/>
              </w:rPr>
              <w:t>項目</w:t>
            </w:r>
            <w:r w:rsidRPr="001D1285">
              <w:rPr>
                <w:rFonts w:ascii="Calibri" w:eastAsia="細明體" w:hAnsi="Calibri" w:cs="Segoe UI" w:hint="eastAsia"/>
                <w:b/>
                <w:sz w:val="17"/>
                <w:szCs w:val="17"/>
                <w:lang w:eastAsia="zh-TW"/>
              </w:rPr>
              <w:t>（第</w:t>
            </w:r>
            <w:r w:rsidRPr="001D1285">
              <w:rPr>
                <w:rFonts w:ascii="Calibri" w:eastAsia="細明體" w:hAnsi="Calibri" w:cs="Segoe UI" w:hint="eastAsia"/>
                <w:b/>
                <w:sz w:val="17"/>
                <w:szCs w:val="17"/>
                <w:lang w:eastAsia="zh-TW"/>
              </w:rPr>
              <w:t>19</w:t>
            </w:r>
            <w:r w:rsidRPr="001D1285">
              <w:rPr>
                <w:rFonts w:ascii="Calibri" w:eastAsia="細明體" w:hAnsi="Calibri" w:cs="Segoe UI" w:hint="eastAsia"/>
                <w:b/>
                <w:sz w:val="17"/>
                <w:szCs w:val="17"/>
                <w:lang w:eastAsia="zh-TW"/>
              </w:rPr>
              <w:t>至</w:t>
            </w:r>
            <w:r w:rsidRPr="001D1285">
              <w:rPr>
                <w:rFonts w:ascii="Calibri" w:eastAsia="細明體" w:hAnsi="Calibri" w:cs="Segoe UI" w:hint="eastAsia"/>
                <w:b/>
                <w:sz w:val="17"/>
                <w:szCs w:val="17"/>
                <w:lang w:eastAsia="zh-TW"/>
              </w:rPr>
              <w:t>21</w:t>
            </w:r>
            <w:r w:rsidRPr="001D1285">
              <w:rPr>
                <w:rFonts w:ascii="Calibri" w:eastAsia="細明體" w:hAnsi="Calibri" w:cs="Segoe UI" w:hint="eastAsia"/>
                <w:b/>
                <w:sz w:val="17"/>
                <w:szCs w:val="17"/>
                <w:lang w:eastAsia="zh-TW"/>
              </w:rPr>
              <w:t>行的總和）</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5640B9B7"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0C218BBB"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4222946E" w14:textId="77777777" w:rsidTr="00213CED">
        <w:trPr>
          <w:cantSplit/>
          <w:trHeight w:val="270"/>
        </w:trPr>
        <w:tc>
          <w:tcPr>
            <w:tcW w:w="6665" w:type="dxa"/>
            <w:gridSpan w:val="2"/>
            <w:tcBorders>
              <w:top w:val="single" w:sz="4" w:space="0" w:color="auto"/>
              <w:left w:val="nil"/>
              <w:bottom w:val="single" w:sz="4" w:space="0" w:color="auto"/>
              <w:right w:val="nil"/>
            </w:tcBorders>
            <w:shd w:val="clear" w:color="auto" w:fill="D9D9D9"/>
          </w:tcPr>
          <w:p w14:paraId="06948051" w14:textId="77777777" w:rsidR="001D1285" w:rsidRPr="001D1285" w:rsidRDefault="001D1285" w:rsidP="00000DFA">
            <w:pPr>
              <w:widowControl w:val="0"/>
              <w:autoSpaceDE w:val="0"/>
              <w:autoSpaceDN w:val="0"/>
              <w:adjustRightInd w:val="0"/>
              <w:spacing w:line="259" w:lineRule="auto"/>
              <w:ind w:firstLineChars="50" w:firstLine="85"/>
              <w:rPr>
                <w:rFonts w:ascii="Calibri" w:eastAsia="新細明體" w:hAnsi="Calibri" w:cs="Segoe UI"/>
                <w:color w:val="000000"/>
                <w:sz w:val="24"/>
                <w:szCs w:val="17"/>
                <w:lang w:val="en-US" w:eastAsia="it-IT"/>
              </w:rPr>
            </w:pPr>
            <w:r w:rsidRPr="001D1285">
              <w:rPr>
                <w:rFonts w:ascii="Calibri" w:eastAsia="細明體" w:hAnsi="Calibri" w:cs="Segoe UI"/>
                <w:b/>
                <w:sz w:val="17"/>
                <w:szCs w:val="22"/>
                <w:lang w:eastAsia="it-IT"/>
              </w:rPr>
              <w:t>資本及風險承擔總額</w:t>
            </w:r>
          </w:p>
        </w:tc>
        <w:tc>
          <w:tcPr>
            <w:tcW w:w="1205" w:type="dxa"/>
            <w:tcBorders>
              <w:top w:val="single" w:sz="6" w:space="0" w:color="auto"/>
              <w:left w:val="nil"/>
              <w:bottom w:val="single" w:sz="6" w:space="0" w:color="auto"/>
              <w:right w:val="nil"/>
            </w:tcBorders>
            <w:shd w:val="clear" w:color="auto" w:fill="D9D9D9"/>
          </w:tcPr>
          <w:p w14:paraId="0A0B509C"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nil"/>
              <w:bottom w:val="single" w:sz="6" w:space="0" w:color="auto"/>
              <w:right w:val="single" w:sz="4" w:space="0" w:color="auto"/>
            </w:tcBorders>
            <w:shd w:val="clear" w:color="auto" w:fill="D9D9D9"/>
          </w:tcPr>
          <w:p w14:paraId="6F203873"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04ABB130" w14:textId="77777777" w:rsidTr="00213CED">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43A51528" w14:textId="362CE816" w:rsidR="001D1285" w:rsidRPr="001D1285" w:rsidRDefault="009012E8" w:rsidP="001D1285">
            <w:pPr>
              <w:snapToGrid w:val="0"/>
              <w:spacing w:before="40" w:after="40" w:line="259" w:lineRule="auto"/>
              <w:ind w:left="57"/>
              <w:rPr>
                <w:rFonts w:ascii="Calibri" w:eastAsia="新細明體" w:hAnsi="Calibri" w:cs="Segoe UI"/>
                <w:sz w:val="16"/>
                <w:szCs w:val="16"/>
                <w:lang w:eastAsia="en-GB"/>
              </w:rPr>
            </w:pPr>
            <w:r>
              <w:rPr>
                <w:rFonts w:ascii="Calibri" w:eastAsia="新細明體" w:hAnsi="Calibri" w:cs="Segoe UI" w:hint="eastAsia"/>
                <w:sz w:val="16"/>
                <w:szCs w:val="16"/>
                <w:lang w:eastAsia="zh-TW"/>
              </w:rPr>
              <w:t>2</w:t>
            </w:r>
            <w:r w:rsidR="001D1285" w:rsidRPr="001D1285">
              <w:rPr>
                <w:rFonts w:ascii="Calibri" w:eastAsia="新細明體" w:hAnsi="Calibri" w:cs="Segoe UI" w:hint="eastAsia"/>
                <w:sz w:val="16"/>
                <w:szCs w:val="16"/>
                <w:lang w:eastAsia="zh-TW"/>
              </w:rPr>
              <w:t>3</w:t>
            </w:r>
          </w:p>
        </w:tc>
        <w:tc>
          <w:tcPr>
            <w:tcW w:w="6095" w:type="dxa"/>
            <w:tcBorders>
              <w:top w:val="single" w:sz="6" w:space="0" w:color="auto"/>
              <w:left w:val="single" w:sz="6" w:space="0" w:color="auto"/>
              <w:bottom w:val="single" w:sz="6" w:space="0" w:color="auto"/>
              <w:right w:val="single" w:sz="6" w:space="0" w:color="auto"/>
            </w:tcBorders>
            <w:shd w:val="clear" w:color="auto" w:fill="F2F2F2"/>
          </w:tcPr>
          <w:p w14:paraId="2F29672A" w14:textId="77777777" w:rsidR="001D1285" w:rsidRPr="001D1285" w:rsidRDefault="001D1285" w:rsidP="001D1285">
            <w:pPr>
              <w:snapToGrid w:val="0"/>
              <w:spacing w:before="40" w:after="40" w:line="259" w:lineRule="auto"/>
              <w:ind w:left="57" w:rightChars="71" w:right="142"/>
              <w:rPr>
                <w:rFonts w:ascii="Calibri" w:eastAsia="新細明體" w:hAnsi="Calibri" w:cs="Segoe UI"/>
                <w:b/>
                <w:sz w:val="17"/>
                <w:szCs w:val="17"/>
                <w:lang w:eastAsia="it-IT"/>
              </w:rPr>
            </w:pPr>
            <w:r w:rsidRPr="001D1285">
              <w:rPr>
                <w:rFonts w:ascii="Calibri" w:eastAsia="新細明體" w:hAnsi="Calibri" w:cs="Segoe UI"/>
                <w:b/>
                <w:sz w:val="17"/>
                <w:szCs w:val="17"/>
                <w:lang w:eastAsia="zh-TW"/>
              </w:rPr>
              <w:t>一級資本</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6267829C"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380A7809"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25829499" w14:textId="77777777" w:rsidTr="00213CED">
        <w:trPr>
          <w:cantSplit/>
          <w:trHeight w:val="270"/>
        </w:trPr>
        <w:tc>
          <w:tcPr>
            <w:tcW w:w="567" w:type="dxa"/>
            <w:tcBorders>
              <w:top w:val="single" w:sz="4" w:space="0" w:color="auto"/>
              <w:left w:val="nil"/>
              <w:bottom w:val="single" w:sz="4" w:space="0" w:color="auto"/>
              <w:right w:val="single" w:sz="6" w:space="0" w:color="auto"/>
            </w:tcBorders>
            <w:shd w:val="clear" w:color="auto" w:fill="auto"/>
          </w:tcPr>
          <w:p w14:paraId="0DB21AA0" w14:textId="1BB99115" w:rsidR="001D1285" w:rsidRPr="001D1285" w:rsidRDefault="00787884" w:rsidP="00787884">
            <w:pPr>
              <w:snapToGrid w:val="0"/>
              <w:spacing w:before="40" w:after="40" w:line="259" w:lineRule="auto"/>
              <w:ind w:left="57"/>
              <w:rPr>
                <w:rFonts w:ascii="Calibri" w:eastAsia="新細明體" w:hAnsi="Calibri" w:cs="Segoe UI"/>
                <w:sz w:val="16"/>
                <w:szCs w:val="16"/>
                <w:lang w:eastAsia="en-GB"/>
              </w:rPr>
            </w:pPr>
            <w:r>
              <w:rPr>
                <w:rFonts w:ascii="Calibri" w:eastAsia="新細明體" w:hAnsi="Calibri" w:cs="Segoe UI"/>
                <w:sz w:val="16"/>
                <w:szCs w:val="16"/>
                <w:lang w:eastAsia="en-GB"/>
              </w:rPr>
              <w:t>24</w:t>
            </w:r>
          </w:p>
        </w:tc>
        <w:tc>
          <w:tcPr>
            <w:tcW w:w="6095" w:type="dxa"/>
            <w:tcBorders>
              <w:top w:val="single" w:sz="6" w:space="0" w:color="auto"/>
              <w:left w:val="single" w:sz="6" w:space="0" w:color="auto"/>
              <w:bottom w:val="single" w:sz="6" w:space="0" w:color="auto"/>
              <w:right w:val="single" w:sz="6" w:space="0" w:color="auto"/>
            </w:tcBorders>
            <w:shd w:val="clear" w:color="auto" w:fill="F2F2F2"/>
          </w:tcPr>
          <w:p w14:paraId="04B42F7D" w14:textId="40522E41" w:rsidR="001D1285" w:rsidRPr="001D1285" w:rsidRDefault="001D1285" w:rsidP="001D1285">
            <w:pPr>
              <w:snapToGrid w:val="0"/>
              <w:spacing w:before="40" w:after="40" w:line="259" w:lineRule="auto"/>
              <w:ind w:left="57" w:rightChars="71" w:right="142"/>
              <w:rPr>
                <w:rFonts w:ascii="Calibri" w:eastAsia="新細明體" w:hAnsi="Calibri" w:cs="Segoe UI"/>
                <w:b/>
                <w:sz w:val="17"/>
                <w:szCs w:val="17"/>
                <w:lang w:eastAsia="it-IT"/>
              </w:rPr>
            </w:pPr>
            <w:r w:rsidRPr="001D1285">
              <w:rPr>
                <w:rFonts w:ascii="Calibri" w:eastAsia="細明體" w:hAnsi="Calibri" w:cs="Segoe UI"/>
                <w:b/>
                <w:sz w:val="17"/>
                <w:szCs w:val="17"/>
                <w:lang w:eastAsia="it-IT"/>
              </w:rPr>
              <w:t>風險承擔總額</w:t>
            </w:r>
            <w:r w:rsidRPr="001D1285">
              <w:rPr>
                <w:rFonts w:ascii="Calibri" w:eastAsia="細明體" w:hAnsi="Calibri" w:cs="Segoe UI" w:hint="eastAsia"/>
                <w:b/>
                <w:sz w:val="17"/>
                <w:szCs w:val="17"/>
                <w:lang w:eastAsia="it-IT"/>
              </w:rPr>
              <w:t>（第</w:t>
            </w:r>
            <w:r w:rsidRPr="001D1285">
              <w:rPr>
                <w:rFonts w:ascii="Calibri" w:eastAsia="細明體" w:hAnsi="Calibri" w:cs="Segoe UI" w:hint="eastAsia"/>
                <w:b/>
                <w:sz w:val="17"/>
                <w:szCs w:val="17"/>
                <w:lang w:eastAsia="zh-TW"/>
              </w:rPr>
              <w:t>7</w:t>
            </w:r>
            <w:r w:rsidRPr="001D1285">
              <w:rPr>
                <w:rFonts w:ascii="Calibri" w:eastAsia="細明體" w:hAnsi="Calibri" w:cs="Segoe UI" w:hint="eastAsia"/>
                <w:b/>
                <w:sz w:val="17"/>
                <w:szCs w:val="17"/>
                <w:lang w:eastAsia="zh-TW"/>
              </w:rPr>
              <w:t>、</w:t>
            </w:r>
            <w:r w:rsidRPr="001D1285">
              <w:rPr>
                <w:rFonts w:ascii="Calibri" w:eastAsia="細明體" w:hAnsi="Calibri" w:cs="Segoe UI" w:hint="eastAsia"/>
                <w:b/>
                <w:sz w:val="17"/>
                <w:szCs w:val="17"/>
                <w:lang w:eastAsia="zh-TW"/>
              </w:rPr>
              <w:t>13</w:t>
            </w:r>
            <w:r w:rsidRPr="001D1285">
              <w:rPr>
                <w:rFonts w:ascii="Calibri" w:eastAsia="細明體" w:hAnsi="Calibri" w:cs="Segoe UI" w:hint="eastAsia"/>
                <w:b/>
                <w:sz w:val="17"/>
                <w:szCs w:val="17"/>
                <w:lang w:eastAsia="zh-TW"/>
              </w:rPr>
              <w:t>、</w:t>
            </w:r>
            <w:r w:rsidRPr="001D1285">
              <w:rPr>
                <w:rFonts w:ascii="Calibri" w:eastAsia="細明體" w:hAnsi="Calibri" w:cs="Segoe UI" w:hint="eastAsia"/>
                <w:b/>
                <w:sz w:val="17"/>
                <w:szCs w:val="17"/>
                <w:lang w:eastAsia="zh-TW"/>
              </w:rPr>
              <w:t>18</w:t>
            </w:r>
            <w:r w:rsidRPr="001D1285">
              <w:rPr>
                <w:rFonts w:ascii="Calibri" w:eastAsia="細明體" w:hAnsi="Calibri" w:cs="Segoe UI" w:hint="eastAsia"/>
                <w:b/>
                <w:sz w:val="17"/>
                <w:szCs w:val="17"/>
                <w:lang w:eastAsia="zh-HK"/>
              </w:rPr>
              <w:t>及</w:t>
            </w:r>
            <w:r w:rsidRPr="001D1285">
              <w:rPr>
                <w:rFonts w:ascii="Calibri" w:eastAsia="細明體" w:hAnsi="Calibri" w:cs="Segoe UI" w:hint="eastAsia"/>
                <w:b/>
                <w:sz w:val="17"/>
                <w:szCs w:val="17"/>
                <w:lang w:eastAsia="zh-TW"/>
              </w:rPr>
              <w:t>22</w:t>
            </w:r>
            <w:r w:rsidRPr="001D1285">
              <w:rPr>
                <w:rFonts w:ascii="Calibri" w:eastAsia="細明體" w:hAnsi="Calibri" w:cs="Segoe UI" w:hint="eastAsia"/>
                <w:b/>
                <w:sz w:val="17"/>
                <w:szCs w:val="17"/>
                <w:lang w:eastAsia="it-IT"/>
              </w:rPr>
              <w:t>行的總和）</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0F8E8D34"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4" w:space="0" w:color="auto"/>
            </w:tcBorders>
            <w:shd w:val="clear" w:color="auto" w:fill="F2F2F2"/>
          </w:tcPr>
          <w:p w14:paraId="6ACBBF9B"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72727EBC" w14:textId="77777777" w:rsidTr="00213CED">
        <w:trPr>
          <w:cantSplit/>
          <w:trHeight w:val="270"/>
        </w:trPr>
        <w:tc>
          <w:tcPr>
            <w:tcW w:w="6665" w:type="dxa"/>
            <w:gridSpan w:val="2"/>
            <w:tcBorders>
              <w:top w:val="single" w:sz="6" w:space="0" w:color="auto"/>
              <w:left w:val="nil"/>
              <w:bottom w:val="single" w:sz="6" w:space="0" w:color="auto"/>
              <w:right w:val="nil"/>
            </w:tcBorders>
            <w:shd w:val="clear" w:color="auto" w:fill="D9D9D9"/>
          </w:tcPr>
          <w:p w14:paraId="1D8B6BA7" w14:textId="77777777" w:rsidR="001D1285" w:rsidRPr="001D1285" w:rsidRDefault="001D1285" w:rsidP="00000DFA">
            <w:pPr>
              <w:widowControl w:val="0"/>
              <w:autoSpaceDE w:val="0"/>
              <w:autoSpaceDN w:val="0"/>
              <w:adjustRightInd w:val="0"/>
              <w:spacing w:line="259" w:lineRule="auto"/>
              <w:ind w:firstLineChars="50" w:firstLine="85"/>
              <w:rPr>
                <w:rFonts w:ascii="Calibri" w:eastAsia="新細明體" w:hAnsi="Calibri" w:cs="Segoe UI"/>
                <w:b/>
                <w:color w:val="000000"/>
                <w:sz w:val="17"/>
                <w:szCs w:val="17"/>
                <w:lang w:val="en-US" w:eastAsia="it-IT"/>
              </w:rPr>
            </w:pPr>
            <w:r w:rsidRPr="001D1285">
              <w:rPr>
                <w:rFonts w:ascii="Calibri" w:eastAsia="新細明體" w:hAnsi="Calibri" w:cs="Segoe UI"/>
                <w:b/>
                <w:color w:val="000000"/>
                <w:sz w:val="17"/>
                <w:szCs w:val="17"/>
                <w:lang w:val="en-US" w:eastAsia="it-IT"/>
              </w:rPr>
              <w:t>槓桿比率</w:t>
            </w:r>
          </w:p>
        </w:tc>
        <w:tc>
          <w:tcPr>
            <w:tcW w:w="1205" w:type="dxa"/>
            <w:tcBorders>
              <w:top w:val="single" w:sz="6" w:space="0" w:color="auto"/>
              <w:left w:val="nil"/>
              <w:bottom w:val="single" w:sz="6" w:space="0" w:color="auto"/>
              <w:right w:val="nil"/>
            </w:tcBorders>
            <w:shd w:val="clear" w:color="auto" w:fill="D9D9D9"/>
          </w:tcPr>
          <w:p w14:paraId="08ADB6BE"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nil"/>
              <w:bottom w:val="single" w:sz="6" w:space="0" w:color="auto"/>
              <w:right w:val="single" w:sz="6" w:space="0" w:color="auto"/>
            </w:tcBorders>
            <w:shd w:val="clear" w:color="auto" w:fill="D9D9D9"/>
          </w:tcPr>
          <w:p w14:paraId="0B485F08"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76720902" w14:textId="77777777" w:rsidTr="00213CED">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2D74E16B" w14:textId="340800DB" w:rsidR="001D1285" w:rsidRPr="001D1285" w:rsidRDefault="0062304E" w:rsidP="001D1285">
            <w:pPr>
              <w:snapToGrid w:val="0"/>
              <w:spacing w:before="40" w:after="40" w:line="259" w:lineRule="auto"/>
              <w:ind w:left="57"/>
              <w:rPr>
                <w:rFonts w:ascii="Calibri" w:eastAsia="新細明體" w:hAnsi="Calibri" w:cs="Segoe UI"/>
                <w:sz w:val="16"/>
                <w:szCs w:val="16"/>
                <w:lang w:eastAsia="en-GB"/>
              </w:rPr>
            </w:pPr>
            <w:r>
              <w:rPr>
                <w:rFonts w:ascii="Calibri" w:eastAsia="新細明體" w:hAnsi="Calibri" w:cs="Segoe UI"/>
                <w:sz w:val="16"/>
                <w:szCs w:val="16"/>
                <w:lang w:eastAsia="en-GB"/>
              </w:rPr>
              <w:t>2</w:t>
            </w:r>
            <w:r w:rsidR="001D1285" w:rsidRPr="001D1285">
              <w:rPr>
                <w:rFonts w:ascii="Calibri" w:eastAsia="新細明體" w:hAnsi="Calibri" w:cs="Segoe UI" w:hint="eastAsia"/>
                <w:sz w:val="16"/>
                <w:szCs w:val="16"/>
                <w:lang w:eastAsia="zh-TW"/>
              </w:rPr>
              <w:t>5</w:t>
            </w:r>
            <w:r w:rsidR="001D1285" w:rsidRPr="001D1285">
              <w:rPr>
                <w:rFonts w:ascii="Calibri" w:eastAsia="新細明體" w:hAnsi="Calibri" w:cs="Segoe UI" w:hint="eastAsia"/>
                <w:sz w:val="16"/>
                <w:szCs w:val="16"/>
                <w:lang w:eastAsia="zh-HK"/>
              </w:rPr>
              <w:t>及</w:t>
            </w:r>
            <w:r w:rsidR="001D1285" w:rsidRPr="001D1285">
              <w:rPr>
                <w:rFonts w:ascii="Calibri" w:eastAsia="新細明體" w:hAnsi="Calibri" w:cs="Segoe UI" w:hint="eastAsia"/>
                <w:sz w:val="16"/>
                <w:szCs w:val="16"/>
                <w:lang w:eastAsia="zh-TW"/>
              </w:rPr>
              <w:t>25</w:t>
            </w:r>
            <w:r w:rsidR="001D1285" w:rsidRPr="001D1285">
              <w:rPr>
                <w:rFonts w:ascii="Calibri" w:eastAsia="新細明體" w:hAnsi="Calibri" w:cs="Segoe UI"/>
                <w:sz w:val="16"/>
                <w:szCs w:val="16"/>
                <w:lang w:eastAsia="en-GB"/>
              </w:rPr>
              <w:t>a</w:t>
            </w:r>
          </w:p>
        </w:tc>
        <w:tc>
          <w:tcPr>
            <w:tcW w:w="6095" w:type="dxa"/>
            <w:tcBorders>
              <w:top w:val="single" w:sz="6" w:space="0" w:color="auto"/>
              <w:left w:val="single" w:sz="6" w:space="0" w:color="auto"/>
              <w:bottom w:val="single" w:sz="6" w:space="0" w:color="auto"/>
              <w:right w:val="single" w:sz="6" w:space="0" w:color="auto"/>
            </w:tcBorders>
            <w:shd w:val="clear" w:color="auto" w:fill="F2F2F2"/>
          </w:tcPr>
          <w:p w14:paraId="77F887BB" w14:textId="77777777" w:rsidR="001D1285" w:rsidRPr="001D1285" w:rsidRDefault="001D1285" w:rsidP="001D1285">
            <w:pPr>
              <w:snapToGrid w:val="0"/>
              <w:spacing w:before="40" w:after="40" w:line="259" w:lineRule="auto"/>
              <w:ind w:left="57" w:rightChars="71" w:right="142"/>
              <w:rPr>
                <w:rFonts w:ascii="Calibri" w:eastAsia="新細明體" w:hAnsi="Calibri" w:cs="Segoe UI"/>
                <w:b/>
                <w:sz w:val="17"/>
                <w:szCs w:val="17"/>
                <w:lang w:eastAsia="it-IT"/>
              </w:rPr>
            </w:pPr>
            <w:r w:rsidRPr="001D1285">
              <w:rPr>
                <w:rFonts w:ascii="Calibri" w:eastAsia="細明體" w:hAnsi="Calibri" w:cs="Segoe UI"/>
                <w:b/>
                <w:sz w:val="17"/>
                <w:szCs w:val="17"/>
                <w:lang w:eastAsia="it-IT"/>
              </w:rPr>
              <w:t>槓桿比率</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147C042D"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74B8F3E8"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4B0705E8" w14:textId="77777777" w:rsidTr="00213CED">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0FD08A24" w14:textId="77777777" w:rsidR="001D1285" w:rsidRPr="001D1285" w:rsidDel="0050106A"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sz w:val="16"/>
                <w:szCs w:val="16"/>
                <w:lang w:eastAsia="en-GB"/>
              </w:rPr>
              <w:t>26</w:t>
            </w:r>
          </w:p>
        </w:tc>
        <w:tc>
          <w:tcPr>
            <w:tcW w:w="6095" w:type="dxa"/>
            <w:tcBorders>
              <w:top w:val="single" w:sz="6" w:space="0" w:color="auto"/>
              <w:left w:val="single" w:sz="6" w:space="0" w:color="auto"/>
              <w:bottom w:val="single" w:sz="6" w:space="0" w:color="auto"/>
              <w:right w:val="single" w:sz="6" w:space="0" w:color="auto"/>
            </w:tcBorders>
            <w:shd w:val="clear" w:color="auto" w:fill="F2F2F2"/>
          </w:tcPr>
          <w:p w14:paraId="4E5036A8" w14:textId="77777777" w:rsidR="001D1285" w:rsidRPr="001D1285" w:rsidRDefault="001D1285" w:rsidP="001D1285">
            <w:pPr>
              <w:snapToGrid w:val="0"/>
              <w:spacing w:before="40" w:after="40" w:line="259" w:lineRule="auto"/>
              <w:ind w:left="57" w:rightChars="71" w:right="142"/>
              <w:rPr>
                <w:rFonts w:ascii="Calibri" w:eastAsia="細明體" w:hAnsi="Calibri" w:cs="Segoe UI"/>
                <w:b/>
                <w:sz w:val="17"/>
                <w:szCs w:val="17"/>
                <w:lang w:eastAsia="it-IT"/>
              </w:rPr>
            </w:pPr>
            <w:r w:rsidRPr="001D1285">
              <w:rPr>
                <w:rFonts w:ascii="Calibri" w:eastAsia="細明體" w:hAnsi="Calibri" w:cs="Segoe UI" w:hint="eastAsia"/>
                <w:b/>
                <w:sz w:val="17"/>
                <w:szCs w:val="17"/>
                <w:lang w:eastAsia="zh-HK"/>
              </w:rPr>
              <w:t>最低槓桿比率規定</w:t>
            </w: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764DB1FB"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it-IT"/>
              </w:rPr>
            </w:pPr>
          </w:p>
        </w:tc>
        <w:tc>
          <w:tcPr>
            <w:tcW w:w="1205" w:type="dxa"/>
            <w:tcBorders>
              <w:top w:val="single" w:sz="6" w:space="0" w:color="auto"/>
              <w:left w:val="single" w:sz="6" w:space="0" w:color="auto"/>
              <w:bottom w:val="single" w:sz="6" w:space="0" w:color="auto"/>
              <w:right w:val="single" w:sz="6" w:space="0" w:color="auto"/>
            </w:tcBorders>
            <w:shd w:val="clear" w:color="auto" w:fill="F2F2F2"/>
          </w:tcPr>
          <w:p w14:paraId="1DB1DA0E" w14:textId="77777777" w:rsidR="001D1285" w:rsidRPr="001D1285" w:rsidRDefault="001D1285" w:rsidP="001D1285">
            <w:pPr>
              <w:snapToGrid w:val="0"/>
              <w:spacing w:before="40" w:after="40" w:line="259" w:lineRule="auto"/>
              <w:rPr>
                <w:rFonts w:ascii="Calibri" w:eastAsia="新細明體" w:hAnsi="Calibri" w:cs="Segoe UI"/>
                <w:sz w:val="17"/>
                <w:szCs w:val="22"/>
                <w:lang w:eastAsia="it-IT"/>
              </w:rPr>
            </w:pPr>
          </w:p>
        </w:tc>
      </w:tr>
      <w:tr w:rsidR="001D1285" w:rsidRPr="001D1285" w14:paraId="42CCFD26" w14:textId="77777777" w:rsidTr="00213CED">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677A5F4F" w14:textId="77777777" w:rsidR="001D1285" w:rsidRPr="001D1285" w:rsidDel="0050106A"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sz w:val="16"/>
                <w:szCs w:val="16"/>
                <w:lang w:eastAsia="en-GB"/>
              </w:rPr>
              <w:t>27</w:t>
            </w:r>
          </w:p>
        </w:tc>
        <w:tc>
          <w:tcPr>
            <w:tcW w:w="6095" w:type="dxa"/>
            <w:tcBorders>
              <w:top w:val="single" w:sz="6" w:space="0" w:color="auto"/>
              <w:left w:val="single" w:sz="6" w:space="0" w:color="auto"/>
              <w:bottom w:val="single" w:sz="6" w:space="0" w:color="auto"/>
              <w:right w:val="single" w:sz="6" w:space="0" w:color="auto"/>
            </w:tcBorders>
            <w:shd w:val="clear" w:color="auto" w:fill="FFFF00"/>
          </w:tcPr>
          <w:p w14:paraId="5CA74538" w14:textId="5635F371" w:rsidR="001D1285" w:rsidRPr="001D1285" w:rsidRDefault="001D1285" w:rsidP="001D1285">
            <w:pPr>
              <w:snapToGrid w:val="0"/>
              <w:spacing w:before="40" w:after="40" w:line="259" w:lineRule="auto"/>
              <w:ind w:left="57" w:rightChars="71" w:right="142"/>
              <w:rPr>
                <w:rFonts w:ascii="Calibri" w:eastAsia="細明體" w:hAnsi="Calibri" w:cs="Segoe UI"/>
                <w:b/>
                <w:sz w:val="17"/>
                <w:szCs w:val="17"/>
                <w:lang w:eastAsia="it-IT"/>
              </w:rPr>
            </w:pPr>
            <w:r w:rsidRPr="001D1285">
              <w:rPr>
                <w:rFonts w:ascii="Calibri" w:eastAsia="細明體" w:hAnsi="Calibri" w:cs="Segoe UI" w:hint="eastAsia"/>
                <w:b/>
                <w:sz w:val="17"/>
                <w:szCs w:val="17"/>
                <w:lang w:eastAsia="zh-HK"/>
              </w:rPr>
              <w:t>適用槓桿緩衝</w:t>
            </w:r>
          </w:p>
        </w:tc>
        <w:tc>
          <w:tcPr>
            <w:tcW w:w="1205" w:type="dxa"/>
            <w:tcBorders>
              <w:top w:val="single" w:sz="6" w:space="0" w:color="auto"/>
              <w:left w:val="single" w:sz="6" w:space="0" w:color="auto"/>
              <w:bottom w:val="single" w:sz="6" w:space="0" w:color="auto"/>
              <w:right w:val="single" w:sz="6" w:space="0" w:color="auto"/>
            </w:tcBorders>
            <w:shd w:val="clear" w:color="auto" w:fill="FFFF00"/>
          </w:tcPr>
          <w:p w14:paraId="18176849" w14:textId="77777777" w:rsidR="001D1285" w:rsidRPr="00FA2086" w:rsidRDefault="001D1285" w:rsidP="00F44F2B">
            <w:pPr>
              <w:snapToGrid w:val="0"/>
              <w:spacing w:before="40" w:after="40" w:line="259" w:lineRule="auto"/>
              <w:ind w:left="57"/>
              <w:jc w:val="center"/>
              <w:rPr>
                <w:rFonts w:ascii="Calibri" w:eastAsia="細明體" w:hAnsi="Calibri" w:cs="Segoe UI"/>
                <w:sz w:val="17"/>
                <w:szCs w:val="17"/>
                <w:lang w:eastAsia="zh-HK"/>
              </w:rPr>
            </w:pPr>
            <w:r w:rsidRPr="00FA2086">
              <w:rPr>
                <w:rFonts w:ascii="Calibri" w:eastAsia="細明體" w:hAnsi="Calibri" w:cs="Segoe UI" w:hint="eastAsia"/>
                <w:sz w:val="17"/>
                <w:szCs w:val="17"/>
                <w:lang w:eastAsia="zh-HK"/>
              </w:rPr>
              <w:t>不適用</w:t>
            </w:r>
          </w:p>
        </w:tc>
        <w:tc>
          <w:tcPr>
            <w:tcW w:w="1205" w:type="dxa"/>
            <w:tcBorders>
              <w:top w:val="single" w:sz="6" w:space="0" w:color="auto"/>
              <w:left w:val="single" w:sz="6" w:space="0" w:color="auto"/>
              <w:bottom w:val="single" w:sz="6" w:space="0" w:color="auto"/>
              <w:right w:val="single" w:sz="6" w:space="0" w:color="auto"/>
            </w:tcBorders>
            <w:shd w:val="clear" w:color="auto" w:fill="FFFF00"/>
          </w:tcPr>
          <w:p w14:paraId="5508846C" w14:textId="77777777" w:rsidR="001D1285" w:rsidRPr="00FA2086" w:rsidRDefault="001D1285" w:rsidP="00F44F2B">
            <w:pPr>
              <w:snapToGrid w:val="0"/>
              <w:spacing w:before="40" w:after="40" w:line="259" w:lineRule="auto"/>
              <w:jc w:val="center"/>
              <w:rPr>
                <w:rFonts w:ascii="Calibri" w:eastAsia="細明體" w:hAnsi="Calibri" w:cs="Segoe UI"/>
                <w:sz w:val="17"/>
                <w:szCs w:val="17"/>
                <w:lang w:eastAsia="zh-HK"/>
              </w:rPr>
            </w:pPr>
            <w:r w:rsidRPr="00FA2086">
              <w:rPr>
                <w:rFonts w:ascii="Calibri" w:eastAsia="細明體" w:hAnsi="Calibri" w:cs="Segoe UI" w:hint="eastAsia"/>
                <w:sz w:val="17"/>
                <w:szCs w:val="17"/>
                <w:lang w:eastAsia="zh-HK"/>
              </w:rPr>
              <w:t>不適用</w:t>
            </w:r>
          </w:p>
        </w:tc>
      </w:tr>
      <w:tr w:rsidR="001D1285" w:rsidRPr="001D1285" w14:paraId="3E11B1AF" w14:textId="77777777" w:rsidTr="004F4749">
        <w:trPr>
          <w:cantSplit/>
          <w:trHeight w:val="230"/>
        </w:trPr>
        <w:tc>
          <w:tcPr>
            <w:tcW w:w="9075" w:type="dxa"/>
            <w:gridSpan w:val="4"/>
            <w:tcBorders>
              <w:top w:val="single" w:sz="6" w:space="0" w:color="auto"/>
              <w:left w:val="nil"/>
              <w:bottom w:val="single" w:sz="6" w:space="0" w:color="auto"/>
              <w:right w:val="single" w:sz="6" w:space="0" w:color="auto"/>
            </w:tcBorders>
            <w:shd w:val="clear" w:color="auto" w:fill="D9D9D9" w:themeFill="background1" w:themeFillShade="D9"/>
          </w:tcPr>
          <w:p w14:paraId="4D187372" w14:textId="3239B1DE" w:rsidR="001D1285" w:rsidRPr="005753A5" w:rsidRDefault="001D1285" w:rsidP="001D1285">
            <w:pPr>
              <w:snapToGrid w:val="0"/>
              <w:spacing w:before="40" w:after="40" w:line="259" w:lineRule="auto"/>
              <w:rPr>
                <w:rFonts w:ascii="Calibri" w:eastAsia="新細明體" w:hAnsi="Calibri" w:cs="Segoe UI"/>
                <w:b/>
                <w:sz w:val="17"/>
                <w:szCs w:val="22"/>
                <w:lang w:eastAsia="zh-HK"/>
              </w:rPr>
            </w:pPr>
            <w:r w:rsidRPr="005753A5">
              <w:rPr>
                <w:rFonts w:ascii="Calibri" w:eastAsia="新細明體" w:hAnsi="Calibri" w:cs="Segoe UI" w:hint="eastAsia"/>
                <w:b/>
                <w:sz w:val="17"/>
                <w:szCs w:val="22"/>
                <w:lang w:eastAsia="zh-HK"/>
              </w:rPr>
              <w:t>平均值</w:t>
            </w:r>
            <w:r w:rsidR="007D4CF0" w:rsidRPr="005753A5">
              <w:rPr>
                <w:rFonts w:ascii="Calibri" w:eastAsia="新細明體" w:hAnsi="Calibri" w:cs="Segoe UI" w:hint="eastAsia"/>
                <w:b/>
                <w:sz w:val="17"/>
                <w:szCs w:val="22"/>
                <w:lang w:eastAsia="zh-HK"/>
              </w:rPr>
              <w:t>披露</w:t>
            </w:r>
          </w:p>
        </w:tc>
      </w:tr>
      <w:tr w:rsidR="001D1285" w:rsidRPr="001D1285" w14:paraId="766979E2" w14:textId="77777777" w:rsidTr="00213CED">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47DA552D" w14:textId="77777777" w:rsidR="001D1285" w:rsidRPr="001D1285" w:rsidRDefault="001D1285" w:rsidP="00213CED">
            <w:pPr>
              <w:snapToGrid w:val="0"/>
              <w:spacing w:before="40" w:after="40" w:line="259" w:lineRule="auto"/>
              <w:ind w:left="57" w:right="-7"/>
              <w:rPr>
                <w:rFonts w:ascii="Calibri" w:eastAsia="新細明體" w:hAnsi="Calibri" w:cs="Segoe UI"/>
                <w:sz w:val="16"/>
                <w:szCs w:val="16"/>
                <w:lang w:eastAsia="en-GB"/>
              </w:rPr>
            </w:pPr>
            <w:r w:rsidRPr="001D1285">
              <w:rPr>
                <w:rFonts w:ascii="Calibri" w:eastAsia="新細明體" w:hAnsi="Calibri" w:cs="Segoe UI" w:hint="eastAsia"/>
                <w:sz w:val="16"/>
                <w:szCs w:val="16"/>
                <w:lang w:eastAsia="zh-TW"/>
              </w:rPr>
              <w:t>28</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1E026795" w14:textId="2A90EDAD" w:rsidR="001D1285" w:rsidRPr="005753A5" w:rsidRDefault="001D1285" w:rsidP="000665E3">
            <w:pPr>
              <w:snapToGrid w:val="0"/>
              <w:spacing w:before="40" w:after="40" w:line="259" w:lineRule="auto"/>
              <w:ind w:left="57" w:rightChars="71" w:right="142"/>
              <w:rPr>
                <w:rFonts w:ascii="Calibri" w:eastAsia="細明體" w:hAnsi="Calibri" w:cs="Segoe UI"/>
                <w:sz w:val="17"/>
                <w:szCs w:val="17"/>
                <w:lang w:eastAsia="zh-HK"/>
              </w:rPr>
            </w:pPr>
            <w:r w:rsidRPr="005753A5">
              <w:rPr>
                <w:rFonts w:ascii="Calibri" w:eastAsia="細明體" w:hAnsi="Calibri" w:cs="Segoe UI"/>
                <w:sz w:val="17"/>
                <w:szCs w:val="17"/>
                <w:lang w:eastAsia="zh-HK"/>
              </w:rPr>
              <w:t>SFT</w:t>
            </w:r>
            <w:r w:rsidRPr="005753A5">
              <w:rPr>
                <w:rFonts w:ascii="Calibri" w:eastAsia="細明體" w:hAnsi="Calibri" w:cs="Segoe UI" w:hint="eastAsia"/>
                <w:sz w:val="17"/>
                <w:szCs w:val="17"/>
                <w:lang w:eastAsia="zh-HK"/>
              </w:rPr>
              <w:t>資產總</w:t>
            </w:r>
            <w:r w:rsidRPr="001D1285">
              <w:rPr>
                <w:rFonts w:ascii="Calibri" w:eastAsia="細明體" w:hAnsi="Calibri" w:cs="Segoe UI" w:hint="eastAsia"/>
                <w:sz w:val="17"/>
                <w:szCs w:val="17"/>
                <w:lang w:eastAsia="zh-HK"/>
              </w:rPr>
              <w:t>額</w:t>
            </w:r>
            <w:r w:rsidRPr="005753A5">
              <w:rPr>
                <w:rFonts w:ascii="Calibri" w:eastAsia="細明體" w:hAnsi="Calibri" w:cs="Segoe UI" w:hint="eastAsia"/>
                <w:sz w:val="17"/>
                <w:szCs w:val="17"/>
                <w:lang w:eastAsia="zh-HK"/>
              </w:rPr>
              <w:t>平均值</w:t>
            </w:r>
            <w:r w:rsidR="00A06F57" w:rsidRPr="001D1285">
              <w:rPr>
                <w:rFonts w:ascii="Calibri" w:eastAsia="細明體" w:hAnsi="Calibri" w:cs="Segoe UI" w:hint="eastAsia"/>
                <w:sz w:val="17"/>
                <w:szCs w:val="17"/>
                <w:lang w:eastAsia="zh-TW"/>
              </w:rPr>
              <w:t>（</w:t>
            </w:r>
            <w:r w:rsidR="00A06F57">
              <w:rPr>
                <w:rFonts w:ascii="Calibri" w:eastAsia="細明體" w:hAnsi="Calibri" w:cs="Segoe UI" w:hint="eastAsia"/>
                <w:sz w:val="17"/>
                <w:szCs w:val="17"/>
                <w:lang w:eastAsia="zh-HK"/>
              </w:rPr>
              <w:t>該</w:t>
            </w:r>
            <w:r w:rsidR="00A06F57" w:rsidRPr="005753A5">
              <w:rPr>
                <w:rFonts w:ascii="Calibri" w:eastAsia="細明體" w:hAnsi="Calibri" w:cs="Segoe UI" w:hint="eastAsia"/>
                <w:sz w:val="17"/>
                <w:szCs w:val="17"/>
                <w:lang w:eastAsia="zh-HK"/>
              </w:rPr>
              <w:t>總</w:t>
            </w:r>
            <w:r w:rsidR="00A06F57" w:rsidRPr="001D1285">
              <w:rPr>
                <w:rFonts w:ascii="Calibri" w:eastAsia="細明體" w:hAnsi="Calibri" w:cs="Segoe UI" w:hint="eastAsia"/>
                <w:sz w:val="17"/>
                <w:szCs w:val="17"/>
                <w:lang w:eastAsia="zh-HK"/>
              </w:rPr>
              <w:t>額</w:t>
            </w:r>
            <w:r w:rsidR="00A06F57">
              <w:rPr>
                <w:rFonts w:ascii="Calibri" w:eastAsia="細明體" w:hAnsi="Calibri" w:cs="Segoe UI" w:hint="eastAsia"/>
                <w:sz w:val="17"/>
                <w:szCs w:val="17"/>
                <w:lang w:eastAsia="zh-HK"/>
              </w:rPr>
              <w:t>是</w:t>
            </w:r>
            <w:r w:rsidR="00A06F57" w:rsidRPr="005753A5">
              <w:rPr>
                <w:rFonts w:ascii="Calibri" w:eastAsia="細明體" w:hAnsi="Calibri" w:cs="Segoe UI" w:hint="eastAsia"/>
                <w:sz w:val="17"/>
                <w:szCs w:val="17"/>
                <w:lang w:eastAsia="zh-HK"/>
              </w:rPr>
              <w:t>經</w:t>
            </w:r>
            <w:r w:rsidR="00A06F57" w:rsidRPr="001D1285">
              <w:rPr>
                <w:rFonts w:ascii="Calibri" w:eastAsia="細明體" w:hAnsi="Calibri" w:cs="Segoe UI" w:hint="eastAsia"/>
                <w:sz w:val="17"/>
                <w:szCs w:val="17"/>
                <w:lang w:eastAsia="zh-HK"/>
              </w:rPr>
              <w:t>調整</w:t>
            </w:r>
            <w:r w:rsidR="00325B8E">
              <w:rPr>
                <w:rFonts w:ascii="Calibri" w:eastAsia="細明體" w:hAnsi="Calibri" w:cs="Segoe UI" w:hint="eastAsia"/>
                <w:sz w:val="17"/>
                <w:szCs w:val="17"/>
                <w:lang w:eastAsia="zh-HK"/>
              </w:rPr>
              <w:t>出</w:t>
            </w:r>
            <w:r w:rsidR="00D617F9" w:rsidRPr="00D617F9">
              <w:rPr>
                <w:rFonts w:ascii="Calibri" w:eastAsia="細明體" w:hAnsi="Calibri" w:cs="Segoe UI" w:hint="eastAsia"/>
                <w:sz w:val="17"/>
                <w:szCs w:val="17"/>
                <w:lang w:eastAsia="zh-HK"/>
              </w:rPr>
              <w:t>售</w:t>
            </w:r>
            <w:r w:rsidR="00A06F57" w:rsidRPr="005753A5">
              <w:rPr>
                <w:rFonts w:ascii="Calibri" w:eastAsia="細明體" w:hAnsi="Calibri" w:cs="Segoe UI" w:hint="eastAsia"/>
                <w:sz w:val="17"/>
                <w:szCs w:val="17"/>
                <w:lang w:eastAsia="zh-HK"/>
              </w:rPr>
              <w:t>會計交易及相關</w:t>
            </w:r>
            <w:r w:rsidR="00A06F57" w:rsidRPr="001D1285">
              <w:rPr>
                <w:rFonts w:ascii="Calibri" w:eastAsia="細明體" w:hAnsi="Calibri" w:cs="Segoe UI" w:hint="eastAsia"/>
                <w:sz w:val="17"/>
                <w:szCs w:val="17"/>
                <w:lang w:eastAsia="zh-HK"/>
              </w:rPr>
              <w:t>的現金</w:t>
            </w:r>
            <w:r w:rsidR="00A06F57" w:rsidRPr="005753A5">
              <w:rPr>
                <w:rFonts w:ascii="Calibri" w:eastAsia="細明體" w:hAnsi="Calibri" w:cs="Segoe UI" w:hint="eastAsia"/>
                <w:sz w:val="17"/>
                <w:szCs w:val="17"/>
                <w:lang w:eastAsia="zh-HK"/>
              </w:rPr>
              <w:t>應付</w:t>
            </w:r>
            <w:r w:rsidR="00A06F57" w:rsidRPr="001D1285">
              <w:rPr>
                <w:rFonts w:ascii="Calibri" w:eastAsia="細明體" w:hAnsi="Calibri" w:cs="Segoe UI" w:hint="eastAsia"/>
                <w:sz w:val="17"/>
                <w:szCs w:val="17"/>
                <w:lang w:eastAsia="zh-HK"/>
              </w:rPr>
              <w:t>額</w:t>
            </w:r>
            <w:r w:rsidR="00A06F57" w:rsidRPr="001D1285">
              <w:rPr>
                <w:rFonts w:ascii="Calibri" w:eastAsia="細明體" w:hAnsi="Calibri" w:cs="Segoe UI" w:hint="eastAsia"/>
                <w:sz w:val="17"/>
                <w:szCs w:val="17"/>
                <w:lang w:eastAsia="zh-TW"/>
              </w:rPr>
              <w:t>及</w:t>
            </w:r>
            <w:r w:rsidR="00A06F57" w:rsidRPr="001D1285">
              <w:rPr>
                <w:rFonts w:ascii="Calibri" w:eastAsia="細明體" w:hAnsi="Calibri" w:cs="Segoe UI" w:hint="eastAsia"/>
                <w:sz w:val="17"/>
                <w:szCs w:val="17"/>
                <w:lang w:eastAsia="zh-HK"/>
              </w:rPr>
              <w:t>現金</w:t>
            </w:r>
            <w:r w:rsidR="00A06F57" w:rsidRPr="005753A5">
              <w:rPr>
                <w:rFonts w:ascii="Calibri" w:eastAsia="細明體" w:hAnsi="Calibri" w:cs="Segoe UI" w:hint="eastAsia"/>
                <w:sz w:val="17"/>
                <w:szCs w:val="17"/>
                <w:lang w:eastAsia="zh-HK"/>
              </w:rPr>
              <w:t>應收</w:t>
            </w:r>
            <w:r w:rsidR="00A06F57" w:rsidRPr="001D1285">
              <w:rPr>
                <w:rFonts w:ascii="Calibri" w:eastAsia="細明體" w:hAnsi="Calibri" w:cs="Segoe UI" w:hint="eastAsia"/>
                <w:sz w:val="17"/>
                <w:szCs w:val="17"/>
                <w:lang w:eastAsia="zh-HK"/>
              </w:rPr>
              <w:t>額</w:t>
            </w:r>
            <w:r w:rsidR="000665E3">
              <w:rPr>
                <w:rFonts w:ascii="Calibri" w:eastAsia="細明體" w:hAnsi="Calibri" w:cs="Segoe UI" w:hint="eastAsia"/>
                <w:sz w:val="17"/>
                <w:szCs w:val="17"/>
                <w:lang w:eastAsia="zh-HK"/>
              </w:rPr>
              <w:t>淨額</w:t>
            </w:r>
            <w:r w:rsidR="00A06F57" w:rsidRPr="005753A5">
              <w:rPr>
                <w:rFonts w:ascii="Calibri" w:eastAsia="細明體" w:hAnsi="Calibri" w:cs="Segoe UI" w:hint="eastAsia"/>
                <w:sz w:val="17"/>
                <w:szCs w:val="17"/>
                <w:lang w:eastAsia="zh-HK"/>
              </w:rPr>
              <w:t>後</w:t>
            </w:r>
            <w:r w:rsidR="00A06F57" w:rsidRPr="001D1285">
              <w:rPr>
                <w:rFonts w:ascii="Calibri" w:eastAsia="細明體" w:hAnsi="Calibri" w:cs="Segoe UI" w:hint="eastAsia"/>
                <w:kern w:val="2"/>
                <w:sz w:val="17"/>
                <w:szCs w:val="17"/>
                <w:lang w:eastAsia="zh-HK"/>
              </w:rPr>
              <w:t>的數額</w:t>
            </w:r>
            <w:r w:rsidR="00A06F57" w:rsidRPr="001D1285">
              <w:rPr>
                <w:rFonts w:ascii="Calibri" w:eastAsia="細明體" w:hAnsi="Calibri" w:cs="Segoe UI" w:hint="eastAsia"/>
                <w:sz w:val="17"/>
                <w:szCs w:val="17"/>
                <w:lang w:eastAsia="zh-TW"/>
              </w:rPr>
              <w:t>）</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5D4C7680"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zh-HK"/>
              </w:rPr>
            </w:pP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596AEF41" w14:textId="77777777" w:rsidR="001D1285" w:rsidRPr="001D1285" w:rsidRDefault="001D1285" w:rsidP="001D1285">
            <w:pPr>
              <w:snapToGrid w:val="0"/>
              <w:spacing w:before="40" w:after="40" w:line="259" w:lineRule="auto"/>
              <w:rPr>
                <w:rFonts w:ascii="Calibri" w:eastAsia="新細明體" w:hAnsi="Calibri" w:cs="Segoe UI"/>
                <w:sz w:val="17"/>
                <w:szCs w:val="22"/>
                <w:lang w:eastAsia="zh-HK"/>
              </w:rPr>
            </w:pPr>
          </w:p>
        </w:tc>
      </w:tr>
      <w:tr w:rsidR="001D1285" w:rsidRPr="001D1285" w14:paraId="7842891E" w14:textId="77777777" w:rsidTr="00213CED">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4775DB2C" w14:textId="77777777" w:rsidR="001D1285" w:rsidRPr="001D1285"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hint="eastAsia"/>
                <w:sz w:val="16"/>
                <w:szCs w:val="16"/>
                <w:lang w:eastAsia="zh-TW"/>
              </w:rPr>
              <w:t>29</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0F65FB6F" w14:textId="6273BD8A" w:rsidR="001D1285" w:rsidRPr="005753A5" w:rsidRDefault="001D1285" w:rsidP="00FD69F5">
            <w:pPr>
              <w:snapToGrid w:val="0"/>
              <w:spacing w:before="40" w:after="40" w:line="259" w:lineRule="auto"/>
              <w:ind w:left="57" w:rightChars="71" w:right="142"/>
              <w:rPr>
                <w:rFonts w:ascii="Calibri" w:eastAsia="細明體" w:hAnsi="Calibri" w:cs="Segoe UI"/>
                <w:sz w:val="17"/>
                <w:szCs w:val="17"/>
                <w:lang w:eastAsia="zh-HK"/>
              </w:rPr>
            </w:pPr>
            <w:r w:rsidRPr="005753A5">
              <w:rPr>
                <w:rFonts w:ascii="Calibri" w:eastAsia="細明體" w:hAnsi="Calibri" w:cs="Segoe UI"/>
                <w:sz w:val="17"/>
                <w:szCs w:val="17"/>
                <w:lang w:eastAsia="zh-HK"/>
              </w:rPr>
              <w:t>SFT</w:t>
            </w:r>
            <w:r w:rsidRPr="005753A5">
              <w:rPr>
                <w:rFonts w:ascii="Calibri" w:eastAsia="細明體" w:hAnsi="Calibri" w:cs="Segoe UI" w:hint="eastAsia"/>
                <w:sz w:val="17"/>
                <w:szCs w:val="17"/>
                <w:lang w:eastAsia="zh-HK"/>
              </w:rPr>
              <w:t>資產總</w:t>
            </w:r>
            <w:r w:rsidRPr="001D1285">
              <w:rPr>
                <w:rFonts w:ascii="Calibri" w:eastAsia="細明體" w:hAnsi="Calibri" w:cs="Segoe UI" w:hint="eastAsia"/>
                <w:sz w:val="17"/>
                <w:szCs w:val="17"/>
                <w:lang w:eastAsia="zh-HK"/>
              </w:rPr>
              <w:t>額季度終結值</w:t>
            </w:r>
            <w:r w:rsidR="00A06F57" w:rsidRPr="001D1285">
              <w:rPr>
                <w:rFonts w:ascii="Calibri" w:eastAsia="細明體" w:hAnsi="Calibri" w:cs="Segoe UI" w:hint="eastAsia"/>
                <w:sz w:val="17"/>
                <w:szCs w:val="17"/>
                <w:lang w:eastAsia="zh-TW"/>
              </w:rPr>
              <w:t>（</w:t>
            </w:r>
            <w:r w:rsidR="00A06F57">
              <w:rPr>
                <w:rFonts w:ascii="Calibri" w:eastAsia="細明體" w:hAnsi="Calibri" w:cs="Segoe UI" w:hint="eastAsia"/>
                <w:sz w:val="17"/>
                <w:szCs w:val="17"/>
                <w:lang w:eastAsia="zh-HK"/>
              </w:rPr>
              <w:t>該</w:t>
            </w:r>
            <w:r w:rsidR="00A06F57" w:rsidRPr="005753A5">
              <w:rPr>
                <w:rFonts w:ascii="Calibri" w:eastAsia="細明體" w:hAnsi="Calibri" w:cs="Segoe UI" w:hint="eastAsia"/>
                <w:sz w:val="17"/>
                <w:szCs w:val="17"/>
                <w:lang w:eastAsia="zh-HK"/>
              </w:rPr>
              <w:t>總</w:t>
            </w:r>
            <w:r w:rsidR="00A06F57" w:rsidRPr="001D1285">
              <w:rPr>
                <w:rFonts w:ascii="Calibri" w:eastAsia="細明體" w:hAnsi="Calibri" w:cs="Segoe UI" w:hint="eastAsia"/>
                <w:sz w:val="17"/>
                <w:szCs w:val="17"/>
                <w:lang w:eastAsia="zh-HK"/>
              </w:rPr>
              <w:t>額</w:t>
            </w:r>
            <w:r w:rsidR="00A06F57">
              <w:rPr>
                <w:rFonts w:ascii="Calibri" w:eastAsia="細明體" w:hAnsi="Calibri" w:cs="Segoe UI" w:hint="eastAsia"/>
                <w:sz w:val="17"/>
                <w:szCs w:val="17"/>
                <w:lang w:eastAsia="zh-HK"/>
              </w:rPr>
              <w:t>是</w:t>
            </w:r>
            <w:r w:rsidR="00A06F57" w:rsidRPr="005753A5">
              <w:rPr>
                <w:rFonts w:ascii="Calibri" w:eastAsia="細明體" w:hAnsi="Calibri" w:cs="Segoe UI" w:hint="eastAsia"/>
                <w:sz w:val="17"/>
                <w:szCs w:val="17"/>
                <w:lang w:eastAsia="zh-HK"/>
              </w:rPr>
              <w:t>經</w:t>
            </w:r>
            <w:r w:rsidR="00A06F57" w:rsidRPr="001D1285">
              <w:rPr>
                <w:rFonts w:ascii="Calibri" w:eastAsia="細明體" w:hAnsi="Calibri" w:cs="Segoe UI" w:hint="eastAsia"/>
                <w:sz w:val="17"/>
                <w:szCs w:val="17"/>
                <w:lang w:eastAsia="zh-HK"/>
              </w:rPr>
              <w:t>調整</w:t>
            </w:r>
            <w:r w:rsidR="00325B8E">
              <w:rPr>
                <w:rFonts w:ascii="Calibri" w:eastAsia="細明體" w:hAnsi="Calibri" w:cs="Segoe UI" w:hint="eastAsia"/>
                <w:sz w:val="17"/>
                <w:szCs w:val="17"/>
                <w:lang w:eastAsia="zh-HK"/>
              </w:rPr>
              <w:t>出</w:t>
            </w:r>
            <w:r w:rsidR="00D617F9" w:rsidRPr="00D617F9">
              <w:rPr>
                <w:rFonts w:ascii="Calibri" w:eastAsia="細明體" w:hAnsi="Calibri" w:cs="Segoe UI" w:hint="eastAsia"/>
                <w:sz w:val="17"/>
                <w:szCs w:val="17"/>
                <w:lang w:eastAsia="zh-HK"/>
              </w:rPr>
              <w:t>售</w:t>
            </w:r>
            <w:r w:rsidR="00A06F57" w:rsidRPr="005753A5">
              <w:rPr>
                <w:rFonts w:ascii="Calibri" w:eastAsia="細明體" w:hAnsi="Calibri" w:cs="Segoe UI" w:hint="eastAsia"/>
                <w:sz w:val="17"/>
                <w:szCs w:val="17"/>
                <w:lang w:eastAsia="zh-HK"/>
              </w:rPr>
              <w:t>會計交易及相關</w:t>
            </w:r>
            <w:r w:rsidR="00A06F57" w:rsidRPr="001D1285">
              <w:rPr>
                <w:rFonts w:ascii="Calibri" w:eastAsia="細明體" w:hAnsi="Calibri" w:cs="Segoe UI" w:hint="eastAsia"/>
                <w:sz w:val="17"/>
                <w:szCs w:val="17"/>
                <w:lang w:eastAsia="zh-HK"/>
              </w:rPr>
              <w:t>的現金</w:t>
            </w:r>
            <w:r w:rsidR="00A06F57" w:rsidRPr="005753A5">
              <w:rPr>
                <w:rFonts w:ascii="Calibri" w:eastAsia="細明體" w:hAnsi="Calibri" w:cs="Segoe UI" w:hint="eastAsia"/>
                <w:sz w:val="17"/>
                <w:szCs w:val="17"/>
                <w:lang w:eastAsia="zh-HK"/>
              </w:rPr>
              <w:t>應付</w:t>
            </w:r>
            <w:r w:rsidR="00A06F57" w:rsidRPr="001D1285">
              <w:rPr>
                <w:rFonts w:ascii="Calibri" w:eastAsia="細明體" w:hAnsi="Calibri" w:cs="Segoe UI" w:hint="eastAsia"/>
                <w:sz w:val="17"/>
                <w:szCs w:val="17"/>
                <w:lang w:eastAsia="zh-HK"/>
              </w:rPr>
              <w:t>額</w:t>
            </w:r>
            <w:r w:rsidR="00A06F57" w:rsidRPr="001D1285">
              <w:rPr>
                <w:rFonts w:ascii="Calibri" w:eastAsia="細明體" w:hAnsi="Calibri" w:cs="Segoe UI" w:hint="eastAsia"/>
                <w:sz w:val="17"/>
                <w:szCs w:val="17"/>
                <w:lang w:eastAsia="zh-TW"/>
              </w:rPr>
              <w:t>及</w:t>
            </w:r>
            <w:r w:rsidR="00A06F57" w:rsidRPr="001D1285">
              <w:rPr>
                <w:rFonts w:ascii="Calibri" w:eastAsia="細明體" w:hAnsi="Calibri" w:cs="Segoe UI" w:hint="eastAsia"/>
                <w:sz w:val="17"/>
                <w:szCs w:val="17"/>
                <w:lang w:eastAsia="zh-HK"/>
              </w:rPr>
              <w:t>現金</w:t>
            </w:r>
            <w:r w:rsidR="00A06F57" w:rsidRPr="005753A5">
              <w:rPr>
                <w:rFonts w:ascii="Calibri" w:eastAsia="細明體" w:hAnsi="Calibri" w:cs="Segoe UI" w:hint="eastAsia"/>
                <w:sz w:val="17"/>
                <w:szCs w:val="17"/>
                <w:lang w:eastAsia="zh-HK"/>
              </w:rPr>
              <w:t>應收</w:t>
            </w:r>
            <w:r w:rsidR="00A06F57" w:rsidRPr="001D1285">
              <w:rPr>
                <w:rFonts w:ascii="Calibri" w:eastAsia="細明體" w:hAnsi="Calibri" w:cs="Segoe UI" w:hint="eastAsia"/>
                <w:sz w:val="17"/>
                <w:szCs w:val="17"/>
                <w:lang w:eastAsia="zh-HK"/>
              </w:rPr>
              <w:t>額</w:t>
            </w:r>
            <w:r w:rsidR="000665E3">
              <w:rPr>
                <w:rFonts w:ascii="Calibri" w:eastAsia="細明體" w:hAnsi="Calibri" w:cs="Segoe UI" w:hint="eastAsia"/>
                <w:sz w:val="17"/>
                <w:szCs w:val="17"/>
                <w:lang w:eastAsia="zh-HK"/>
              </w:rPr>
              <w:t>淨額</w:t>
            </w:r>
            <w:r w:rsidR="000665E3" w:rsidRPr="005753A5">
              <w:rPr>
                <w:rFonts w:ascii="Calibri" w:eastAsia="細明體" w:hAnsi="Calibri" w:cs="Segoe UI" w:hint="eastAsia"/>
                <w:sz w:val="17"/>
                <w:szCs w:val="17"/>
                <w:lang w:eastAsia="zh-HK"/>
              </w:rPr>
              <w:t>後</w:t>
            </w:r>
            <w:r w:rsidR="000665E3" w:rsidRPr="001D1285">
              <w:rPr>
                <w:rFonts w:ascii="Calibri" w:eastAsia="細明體" w:hAnsi="Calibri" w:cs="Segoe UI" w:hint="eastAsia"/>
                <w:kern w:val="2"/>
                <w:sz w:val="17"/>
                <w:szCs w:val="17"/>
                <w:lang w:eastAsia="zh-HK"/>
              </w:rPr>
              <w:t>的數額</w:t>
            </w:r>
            <w:r w:rsidR="00A06F57" w:rsidRPr="001D1285">
              <w:rPr>
                <w:rFonts w:ascii="Calibri" w:eastAsia="細明體" w:hAnsi="Calibri" w:cs="Segoe UI" w:hint="eastAsia"/>
                <w:sz w:val="17"/>
                <w:szCs w:val="17"/>
                <w:lang w:eastAsia="zh-TW"/>
              </w:rPr>
              <w:t>）</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566B79A2"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zh-HK"/>
              </w:rPr>
            </w:pP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74263169" w14:textId="77777777" w:rsidR="001D1285" w:rsidRPr="001D1285" w:rsidRDefault="001D1285" w:rsidP="001D1285">
            <w:pPr>
              <w:snapToGrid w:val="0"/>
              <w:spacing w:before="40" w:after="40" w:line="259" w:lineRule="auto"/>
              <w:rPr>
                <w:rFonts w:ascii="Calibri" w:eastAsia="新細明體" w:hAnsi="Calibri" w:cs="Segoe UI"/>
                <w:sz w:val="17"/>
                <w:szCs w:val="22"/>
                <w:lang w:eastAsia="zh-HK"/>
              </w:rPr>
            </w:pPr>
          </w:p>
        </w:tc>
      </w:tr>
      <w:tr w:rsidR="001D1285" w:rsidRPr="001D1285" w14:paraId="2D69FFE3" w14:textId="77777777" w:rsidTr="00213CED">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2B934D65" w14:textId="059F2B3F" w:rsidR="001D1285" w:rsidRPr="001D1285"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hint="eastAsia"/>
                <w:sz w:val="16"/>
                <w:szCs w:val="16"/>
                <w:lang w:eastAsia="zh-TW"/>
              </w:rPr>
              <w:t>30</w:t>
            </w:r>
            <w:r w:rsidRPr="001D1285">
              <w:rPr>
                <w:rFonts w:ascii="Calibri" w:eastAsia="新細明體" w:hAnsi="Calibri" w:cs="Segoe UI" w:hint="eastAsia"/>
                <w:sz w:val="16"/>
                <w:szCs w:val="16"/>
                <w:lang w:eastAsia="zh-HK"/>
              </w:rPr>
              <w:t>及</w:t>
            </w:r>
            <w:r w:rsidRPr="001D1285">
              <w:rPr>
                <w:rFonts w:ascii="Calibri" w:eastAsia="新細明體" w:hAnsi="Calibri" w:cs="Segoe UI" w:hint="eastAsia"/>
                <w:sz w:val="16"/>
                <w:szCs w:val="16"/>
                <w:lang w:eastAsia="zh-TW"/>
              </w:rPr>
              <w:t>30</w:t>
            </w:r>
            <w:r w:rsidRPr="001D1285">
              <w:rPr>
                <w:rFonts w:ascii="Calibri" w:eastAsia="新細明體" w:hAnsi="Calibri" w:cs="Segoe UI"/>
                <w:sz w:val="16"/>
                <w:szCs w:val="16"/>
                <w:lang w:eastAsia="zh-TW"/>
              </w:rPr>
              <w:t>a</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4D0CDB28" w14:textId="5D5EDFAD" w:rsidR="001D1285" w:rsidRPr="005753A5" w:rsidRDefault="001D1285" w:rsidP="00FD69F5">
            <w:pPr>
              <w:snapToGrid w:val="0"/>
              <w:spacing w:before="40" w:after="40" w:line="259" w:lineRule="auto"/>
              <w:ind w:left="57" w:rightChars="71" w:right="142"/>
              <w:rPr>
                <w:rFonts w:ascii="Calibri" w:eastAsia="細明體" w:hAnsi="Calibri" w:cs="Segoe UI"/>
                <w:sz w:val="17"/>
                <w:szCs w:val="17"/>
                <w:lang w:eastAsia="zh-HK"/>
              </w:rPr>
            </w:pPr>
            <w:r w:rsidRPr="005753A5">
              <w:rPr>
                <w:rFonts w:ascii="Calibri" w:eastAsia="細明體" w:hAnsi="Calibri" w:cs="Segoe UI" w:hint="eastAsia"/>
                <w:sz w:val="17"/>
                <w:szCs w:val="17"/>
                <w:lang w:eastAsia="zh-HK"/>
              </w:rPr>
              <w:t>根據第</w:t>
            </w:r>
            <w:r w:rsidRPr="005753A5">
              <w:rPr>
                <w:rFonts w:ascii="Calibri" w:eastAsia="細明體" w:hAnsi="Calibri" w:cs="Segoe UI"/>
                <w:sz w:val="17"/>
                <w:szCs w:val="17"/>
                <w:lang w:eastAsia="zh-TW"/>
              </w:rPr>
              <w:t>28</w:t>
            </w:r>
            <w:r w:rsidRPr="005753A5">
              <w:rPr>
                <w:rFonts w:ascii="Calibri" w:eastAsia="細明體" w:hAnsi="Calibri" w:cs="Segoe UI" w:hint="eastAsia"/>
                <w:sz w:val="17"/>
                <w:szCs w:val="17"/>
                <w:lang w:eastAsia="zh-HK"/>
              </w:rPr>
              <w:t>行</w:t>
            </w:r>
            <w:r w:rsidRPr="001D1285">
              <w:rPr>
                <w:rFonts w:ascii="Calibri" w:eastAsia="細明體" w:hAnsi="Calibri" w:cs="Segoe UI" w:hint="eastAsia"/>
                <w:sz w:val="17"/>
                <w:szCs w:val="17"/>
                <w:lang w:eastAsia="zh-HK"/>
              </w:rPr>
              <w:t>填報的</w:t>
            </w:r>
            <w:r w:rsidRPr="005753A5">
              <w:rPr>
                <w:rFonts w:ascii="Calibri" w:eastAsia="細明體" w:hAnsi="Calibri" w:cs="Segoe UI"/>
                <w:sz w:val="17"/>
                <w:szCs w:val="17"/>
                <w:lang w:eastAsia="zh-HK"/>
              </w:rPr>
              <w:t>SFT</w:t>
            </w:r>
            <w:r w:rsidRPr="005753A5">
              <w:rPr>
                <w:rFonts w:ascii="Calibri" w:eastAsia="細明體" w:hAnsi="Calibri" w:cs="Segoe UI" w:hint="eastAsia"/>
                <w:sz w:val="17"/>
                <w:szCs w:val="17"/>
                <w:lang w:eastAsia="zh-HK"/>
              </w:rPr>
              <w:t>資產總</w:t>
            </w:r>
            <w:r w:rsidRPr="001D1285">
              <w:rPr>
                <w:rFonts w:ascii="Calibri" w:eastAsia="細明體" w:hAnsi="Calibri" w:cs="Segoe UI" w:hint="eastAsia"/>
                <w:sz w:val="17"/>
                <w:szCs w:val="17"/>
                <w:lang w:eastAsia="zh-HK"/>
              </w:rPr>
              <w:t>額</w:t>
            </w:r>
            <w:r w:rsidRPr="005753A5">
              <w:rPr>
                <w:rFonts w:ascii="Calibri" w:eastAsia="細明體" w:hAnsi="Calibri" w:cs="Segoe UI" w:hint="eastAsia"/>
                <w:sz w:val="17"/>
                <w:szCs w:val="17"/>
                <w:lang w:eastAsia="zh-HK"/>
              </w:rPr>
              <w:t>平均值</w:t>
            </w:r>
            <w:r w:rsidR="00A06F57" w:rsidRPr="001D1285">
              <w:rPr>
                <w:rFonts w:ascii="Calibri" w:eastAsia="細明體" w:hAnsi="Calibri" w:cs="Segoe UI" w:hint="eastAsia"/>
                <w:sz w:val="17"/>
                <w:szCs w:val="17"/>
                <w:lang w:eastAsia="zh-TW"/>
              </w:rPr>
              <w:t>（</w:t>
            </w:r>
            <w:r w:rsidR="00A06F57">
              <w:rPr>
                <w:rFonts w:ascii="Calibri" w:eastAsia="細明體" w:hAnsi="Calibri" w:cs="Segoe UI" w:hint="eastAsia"/>
                <w:sz w:val="17"/>
                <w:szCs w:val="17"/>
                <w:lang w:eastAsia="zh-HK"/>
              </w:rPr>
              <w:t>該</w:t>
            </w:r>
            <w:r w:rsidR="00A06F57" w:rsidRPr="005753A5">
              <w:rPr>
                <w:rFonts w:ascii="Calibri" w:eastAsia="細明體" w:hAnsi="Calibri" w:cs="Segoe UI" w:hint="eastAsia"/>
                <w:sz w:val="17"/>
                <w:szCs w:val="17"/>
                <w:lang w:eastAsia="zh-HK"/>
              </w:rPr>
              <w:t>總</w:t>
            </w:r>
            <w:r w:rsidR="00A06F57" w:rsidRPr="001D1285">
              <w:rPr>
                <w:rFonts w:ascii="Calibri" w:eastAsia="細明體" w:hAnsi="Calibri" w:cs="Segoe UI" w:hint="eastAsia"/>
                <w:sz w:val="17"/>
                <w:szCs w:val="17"/>
                <w:lang w:eastAsia="zh-HK"/>
              </w:rPr>
              <w:t>額</w:t>
            </w:r>
            <w:r w:rsidR="00A06F57">
              <w:rPr>
                <w:rFonts w:ascii="Calibri" w:eastAsia="細明體" w:hAnsi="Calibri" w:cs="Segoe UI" w:hint="eastAsia"/>
                <w:sz w:val="17"/>
                <w:szCs w:val="17"/>
                <w:lang w:eastAsia="zh-HK"/>
              </w:rPr>
              <w:t>是</w:t>
            </w:r>
            <w:r w:rsidR="00A06F57" w:rsidRPr="005753A5">
              <w:rPr>
                <w:rFonts w:ascii="Calibri" w:eastAsia="細明體" w:hAnsi="Calibri" w:cs="Segoe UI" w:hint="eastAsia"/>
                <w:sz w:val="17"/>
                <w:szCs w:val="17"/>
                <w:lang w:eastAsia="zh-HK"/>
              </w:rPr>
              <w:t>經</w:t>
            </w:r>
            <w:r w:rsidR="00A06F57" w:rsidRPr="001D1285">
              <w:rPr>
                <w:rFonts w:ascii="Calibri" w:eastAsia="細明體" w:hAnsi="Calibri" w:cs="Segoe UI" w:hint="eastAsia"/>
                <w:sz w:val="17"/>
                <w:szCs w:val="17"/>
                <w:lang w:eastAsia="zh-HK"/>
              </w:rPr>
              <w:t>調整</w:t>
            </w:r>
            <w:r w:rsidR="00325B8E">
              <w:rPr>
                <w:rFonts w:ascii="Calibri" w:eastAsia="細明體" w:hAnsi="Calibri" w:cs="Segoe UI" w:hint="eastAsia"/>
                <w:sz w:val="17"/>
                <w:szCs w:val="17"/>
                <w:lang w:eastAsia="zh-HK"/>
              </w:rPr>
              <w:t>出</w:t>
            </w:r>
            <w:r w:rsidR="00D617F9" w:rsidRPr="00D617F9">
              <w:rPr>
                <w:rFonts w:ascii="Calibri" w:eastAsia="細明體" w:hAnsi="Calibri" w:cs="Segoe UI" w:hint="eastAsia"/>
                <w:sz w:val="17"/>
                <w:szCs w:val="17"/>
                <w:lang w:eastAsia="zh-HK"/>
              </w:rPr>
              <w:t>售</w:t>
            </w:r>
            <w:r w:rsidR="00A06F57" w:rsidRPr="005753A5">
              <w:rPr>
                <w:rFonts w:ascii="Calibri" w:eastAsia="細明體" w:hAnsi="Calibri" w:cs="Segoe UI" w:hint="eastAsia"/>
                <w:sz w:val="17"/>
                <w:szCs w:val="17"/>
                <w:lang w:eastAsia="zh-HK"/>
              </w:rPr>
              <w:t>會計交易及相關</w:t>
            </w:r>
            <w:r w:rsidR="00A06F57" w:rsidRPr="001D1285">
              <w:rPr>
                <w:rFonts w:ascii="Calibri" w:eastAsia="細明體" w:hAnsi="Calibri" w:cs="Segoe UI" w:hint="eastAsia"/>
                <w:sz w:val="17"/>
                <w:szCs w:val="17"/>
                <w:lang w:eastAsia="zh-HK"/>
              </w:rPr>
              <w:t>的現金</w:t>
            </w:r>
            <w:r w:rsidR="00A06F57" w:rsidRPr="005753A5">
              <w:rPr>
                <w:rFonts w:ascii="Calibri" w:eastAsia="細明體" w:hAnsi="Calibri" w:cs="Segoe UI" w:hint="eastAsia"/>
                <w:sz w:val="17"/>
                <w:szCs w:val="17"/>
                <w:lang w:eastAsia="zh-HK"/>
              </w:rPr>
              <w:t>應付</w:t>
            </w:r>
            <w:r w:rsidR="00A06F57" w:rsidRPr="001D1285">
              <w:rPr>
                <w:rFonts w:ascii="Calibri" w:eastAsia="細明體" w:hAnsi="Calibri" w:cs="Segoe UI" w:hint="eastAsia"/>
                <w:sz w:val="17"/>
                <w:szCs w:val="17"/>
                <w:lang w:eastAsia="zh-HK"/>
              </w:rPr>
              <w:t>額</w:t>
            </w:r>
            <w:r w:rsidR="00A06F57" w:rsidRPr="001D1285">
              <w:rPr>
                <w:rFonts w:ascii="Calibri" w:eastAsia="細明體" w:hAnsi="Calibri" w:cs="Segoe UI" w:hint="eastAsia"/>
                <w:sz w:val="17"/>
                <w:szCs w:val="17"/>
                <w:lang w:eastAsia="zh-TW"/>
              </w:rPr>
              <w:t>及</w:t>
            </w:r>
            <w:r w:rsidR="00A06F57" w:rsidRPr="001D1285">
              <w:rPr>
                <w:rFonts w:ascii="Calibri" w:eastAsia="細明體" w:hAnsi="Calibri" w:cs="Segoe UI" w:hint="eastAsia"/>
                <w:sz w:val="17"/>
                <w:szCs w:val="17"/>
                <w:lang w:eastAsia="zh-HK"/>
              </w:rPr>
              <w:t>現金</w:t>
            </w:r>
            <w:r w:rsidR="00A06F57" w:rsidRPr="005753A5">
              <w:rPr>
                <w:rFonts w:ascii="Calibri" w:eastAsia="細明體" w:hAnsi="Calibri" w:cs="Segoe UI" w:hint="eastAsia"/>
                <w:sz w:val="17"/>
                <w:szCs w:val="17"/>
                <w:lang w:eastAsia="zh-HK"/>
              </w:rPr>
              <w:t>應收</w:t>
            </w:r>
            <w:r w:rsidR="00A06F57" w:rsidRPr="001D1285">
              <w:rPr>
                <w:rFonts w:ascii="Calibri" w:eastAsia="細明體" w:hAnsi="Calibri" w:cs="Segoe UI" w:hint="eastAsia"/>
                <w:sz w:val="17"/>
                <w:szCs w:val="17"/>
                <w:lang w:eastAsia="zh-HK"/>
              </w:rPr>
              <w:t>額</w:t>
            </w:r>
            <w:r w:rsidR="000665E3">
              <w:rPr>
                <w:rFonts w:ascii="Calibri" w:eastAsia="細明體" w:hAnsi="Calibri" w:cs="Segoe UI" w:hint="eastAsia"/>
                <w:sz w:val="17"/>
                <w:szCs w:val="17"/>
                <w:lang w:eastAsia="zh-HK"/>
              </w:rPr>
              <w:t>淨額</w:t>
            </w:r>
            <w:r w:rsidR="000665E3" w:rsidRPr="005753A5">
              <w:rPr>
                <w:rFonts w:ascii="Calibri" w:eastAsia="細明體" w:hAnsi="Calibri" w:cs="Segoe UI" w:hint="eastAsia"/>
                <w:sz w:val="17"/>
                <w:szCs w:val="17"/>
                <w:lang w:eastAsia="zh-HK"/>
              </w:rPr>
              <w:t>後</w:t>
            </w:r>
            <w:r w:rsidR="000665E3" w:rsidRPr="001D1285">
              <w:rPr>
                <w:rFonts w:ascii="Calibri" w:eastAsia="細明體" w:hAnsi="Calibri" w:cs="Segoe UI" w:hint="eastAsia"/>
                <w:kern w:val="2"/>
                <w:sz w:val="17"/>
                <w:szCs w:val="17"/>
                <w:lang w:eastAsia="zh-HK"/>
              </w:rPr>
              <w:t>的數額</w:t>
            </w:r>
            <w:r w:rsidR="00A06F57" w:rsidRPr="001D1285">
              <w:rPr>
                <w:rFonts w:ascii="Calibri" w:eastAsia="細明體" w:hAnsi="Calibri" w:cs="Segoe UI" w:hint="eastAsia"/>
                <w:sz w:val="17"/>
                <w:szCs w:val="17"/>
                <w:lang w:eastAsia="zh-TW"/>
              </w:rPr>
              <w:t>）</w:t>
            </w:r>
            <w:r w:rsidRPr="001D1285">
              <w:rPr>
                <w:rFonts w:ascii="Calibri" w:eastAsia="細明體" w:hAnsi="Calibri" w:cs="Segoe UI" w:hint="eastAsia"/>
                <w:sz w:val="17"/>
                <w:szCs w:val="17"/>
                <w:lang w:eastAsia="zh-HK"/>
              </w:rPr>
              <w:t>得出</w:t>
            </w:r>
            <w:r w:rsidRPr="005753A5">
              <w:rPr>
                <w:rFonts w:ascii="Calibri" w:eastAsia="細明體" w:hAnsi="Calibri" w:cs="Segoe UI" w:hint="eastAsia"/>
                <w:sz w:val="17"/>
                <w:szCs w:val="17"/>
                <w:lang w:eastAsia="zh-HK"/>
              </w:rPr>
              <w:t>的風險</w:t>
            </w:r>
            <w:r w:rsidRPr="001D1285">
              <w:rPr>
                <w:rFonts w:ascii="Calibri" w:eastAsia="細明體" w:hAnsi="Calibri" w:cs="Segoe UI" w:hint="eastAsia"/>
                <w:sz w:val="17"/>
                <w:szCs w:val="17"/>
                <w:lang w:eastAsia="zh-HK"/>
              </w:rPr>
              <w:t>承擔</w:t>
            </w:r>
            <w:r w:rsidRPr="005753A5">
              <w:rPr>
                <w:rFonts w:ascii="Calibri" w:eastAsia="細明體" w:hAnsi="Calibri" w:cs="Segoe UI" w:hint="eastAsia"/>
                <w:sz w:val="17"/>
                <w:szCs w:val="17"/>
                <w:lang w:eastAsia="zh-HK"/>
              </w:rPr>
              <w:t>總額</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0140619B"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zh-HK"/>
              </w:rPr>
            </w:pP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1DED2325" w14:textId="77777777" w:rsidR="001D1285" w:rsidRPr="001D1285" w:rsidRDefault="001D1285" w:rsidP="001D1285">
            <w:pPr>
              <w:snapToGrid w:val="0"/>
              <w:spacing w:before="40" w:after="40" w:line="259" w:lineRule="auto"/>
              <w:rPr>
                <w:rFonts w:ascii="Calibri" w:eastAsia="新細明體" w:hAnsi="Calibri" w:cs="Segoe UI"/>
                <w:sz w:val="17"/>
                <w:szCs w:val="22"/>
                <w:lang w:eastAsia="zh-HK"/>
              </w:rPr>
            </w:pPr>
          </w:p>
        </w:tc>
      </w:tr>
      <w:tr w:rsidR="001D1285" w:rsidRPr="001D1285" w14:paraId="6935E450" w14:textId="77777777" w:rsidTr="00213CED">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568A6458" w14:textId="3CF65B4D" w:rsidR="001D1285" w:rsidRPr="001D1285" w:rsidRDefault="001D1285" w:rsidP="001D1285">
            <w:pPr>
              <w:snapToGrid w:val="0"/>
              <w:spacing w:before="40" w:after="40" w:line="259" w:lineRule="auto"/>
              <w:ind w:left="57"/>
              <w:rPr>
                <w:rFonts w:ascii="Calibri" w:eastAsia="新細明體" w:hAnsi="Calibri" w:cs="Segoe UI"/>
                <w:sz w:val="16"/>
                <w:szCs w:val="16"/>
                <w:lang w:eastAsia="en-GB"/>
              </w:rPr>
            </w:pPr>
            <w:r w:rsidRPr="001D1285">
              <w:rPr>
                <w:rFonts w:ascii="Calibri" w:eastAsia="新細明體" w:hAnsi="Calibri" w:cs="Segoe UI" w:hint="eastAsia"/>
                <w:sz w:val="16"/>
                <w:szCs w:val="16"/>
                <w:lang w:eastAsia="zh-TW"/>
              </w:rPr>
              <w:t>31</w:t>
            </w:r>
            <w:r w:rsidRPr="001D1285">
              <w:rPr>
                <w:rFonts w:ascii="Calibri" w:eastAsia="新細明體" w:hAnsi="Calibri" w:cs="Segoe UI" w:hint="eastAsia"/>
                <w:sz w:val="16"/>
                <w:szCs w:val="16"/>
                <w:lang w:eastAsia="zh-HK"/>
              </w:rPr>
              <w:t>及</w:t>
            </w:r>
            <w:r w:rsidRPr="001D1285">
              <w:rPr>
                <w:rFonts w:ascii="Calibri" w:eastAsia="新細明體" w:hAnsi="Calibri" w:cs="Segoe UI" w:hint="eastAsia"/>
                <w:sz w:val="16"/>
                <w:szCs w:val="16"/>
                <w:lang w:eastAsia="zh-TW"/>
              </w:rPr>
              <w:t>31a</w:t>
            </w:r>
          </w:p>
        </w:tc>
        <w:tc>
          <w:tcPr>
            <w:tcW w:w="6095" w:type="dxa"/>
            <w:tcBorders>
              <w:top w:val="single" w:sz="6" w:space="0" w:color="auto"/>
              <w:left w:val="single" w:sz="6" w:space="0" w:color="auto"/>
              <w:bottom w:val="single" w:sz="6" w:space="0" w:color="auto"/>
              <w:right w:val="single" w:sz="6" w:space="0" w:color="auto"/>
            </w:tcBorders>
            <w:shd w:val="clear" w:color="auto" w:fill="auto"/>
          </w:tcPr>
          <w:p w14:paraId="163860FF" w14:textId="51A1C2AB" w:rsidR="001D1285" w:rsidRPr="005753A5" w:rsidRDefault="001D1285" w:rsidP="00A06F57">
            <w:pPr>
              <w:snapToGrid w:val="0"/>
              <w:spacing w:before="40" w:after="40" w:line="259" w:lineRule="auto"/>
              <w:ind w:left="57" w:rightChars="71" w:right="142"/>
              <w:rPr>
                <w:rFonts w:ascii="Calibri" w:eastAsia="細明體" w:hAnsi="Calibri" w:cs="Segoe UI"/>
                <w:sz w:val="17"/>
                <w:szCs w:val="17"/>
                <w:lang w:eastAsia="zh-HK"/>
              </w:rPr>
            </w:pPr>
            <w:r w:rsidRPr="001D1285">
              <w:rPr>
                <w:rFonts w:ascii="Calibri" w:eastAsia="細明體" w:hAnsi="Calibri" w:cs="Segoe UI" w:hint="eastAsia"/>
                <w:sz w:val="17"/>
                <w:szCs w:val="17"/>
                <w:lang w:eastAsia="zh-HK"/>
              </w:rPr>
              <w:t>根據第</w:t>
            </w:r>
            <w:r w:rsidRPr="001D1285">
              <w:rPr>
                <w:rFonts w:ascii="Calibri" w:eastAsia="細明體" w:hAnsi="Calibri" w:cs="Segoe UI" w:hint="eastAsia"/>
                <w:sz w:val="17"/>
                <w:szCs w:val="17"/>
                <w:lang w:eastAsia="zh-TW"/>
              </w:rPr>
              <w:t>28</w:t>
            </w:r>
            <w:r w:rsidRPr="001D1285">
              <w:rPr>
                <w:rFonts w:ascii="Calibri" w:eastAsia="細明體" w:hAnsi="Calibri" w:cs="Segoe UI" w:hint="eastAsia"/>
                <w:sz w:val="17"/>
                <w:szCs w:val="17"/>
                <w:lang w:eastAsia="zh-HK"/>
              </w:rPr>
              <w:t>行填報的</w:t>
            </w:r>
            <w:r w:rsidRPr="001D1285">
              <w:rPr>
                <w:rFonts w:ascii="Calibri" w:eastAsia="細明體" w:hAnsi="Calibri" w:cs="Segoe UI"/>
                <w:sz w:val="17"/>
                <w:szCs w:val="17"/>
                <w:lang w:eastAsia="zh-HK"/>
              </w:rPr>
              <w:t>SFT</w:t>
            </w:r>
            <w:r w:rsidRPr="001D1285">
              <w:rPr>
                <w:rFonts w:ascii="Calibri" w:eastAsia="細明體" w:hAnsi="Calibri" w:cs="Segoe UI"/>
                <w:sz w:val="17"/>
                <w:szCs w:val="17"/>
                <w:lang w:eastAsia="zh-HK"/>
              </w:rPr>
              <w:t>資產總</w:t>
            </w:r>
            <w:r w:rsidRPr="001D1285">
              <w:rPr>
                <w:rFonts w:ascii="Calibri" w:eastAsia="細明體" w:hAnsi="Calibri" w:cs="Segoe UI" w:hint="eastAsia"/>
                <w:sz w:val="17"/>
                <w:szCs w:val="17"/>
                <w:lang w:eastAsia="zh-HK"/>
              </w:rPr>
              <w:t>額平均值</w:t>
            </w:r>
            <w:r w:rsidR="00A06F57" w:rsidRPr="001D1285">
              <w:rPr>
                <w:rFonts w:ascii="Calibri" w:eastAsia="細明體" w:hAnsi="Calibri" w:cs="Segoe UI" w:hint="eastAsia"/>
                <w:sz w:val="17"/>
                <w:szCs w:val="17"/>
                <w:lang w:eastAsia="zh-TW"/>
              </w:rPr>
              <w:t>（</w:t>
            </w:r>
            <w:r w:rsidR="00A06F57">
              <w:rPr>
                <w:rFonts w:ascii="Calibri" w:eastAsia="細明體" w:hAnsi="Calibri" w:cs="Segoe UI" w:hint="eastAsia"/>
                <w:sz w:val="17"/>
                <w:szCs w:val="17"/>
                <w:lang w:eastAsia="zh-HK"/>
              </w:rPr>
              <w:t>該</w:t>
            </w:r>
            <w:r w:rsidR="00A06F57" w:rsidRPr="005753A5">
              <w:rPr>
                <w:rFonts w:ascii="Calibri" w:eastAsia="細明體" w:hAnsi="Calibri" w:cs="Segoe UI" w:hint="eastAsia"/>
                <w:sz w:val="17"/>
                <w:szCs w:val="17"/>
                <w:lang w:eastAsia="zh-HK"/>
              </w:rPr>
              <w:t>總</w:t>
            </w:r>
            <w:r w:rsidR="00A06F57" w:rsidRPr="001D1285">
              <w:rPr>
                <w:rFonts w:ascii="Calibri" w:eastAsia="細明體" w:hAnsi="Calibri" w:cs="Segoe UI" w:hint="eastAsia"/>
                <w:sz w:val="17"/>
                <w:szCs w:val="17"/>
                <w:lang w:eastAsia="zh-HK"/>
              </w:rPr>
              <w:t>額</w:t>
            </w:r>
            <w:r w:rsidR="00A06F57">
              <w:rPr>
                <w:rFonts w:ascii="Calibri" w:eastAsia="細明體" w:hAnsi="Calibri" w:cs="Segoe UI" w:hint="eastAsia"/>
                <w:sz w:val="17"/>
                <w:szCs w:val="17"/>
                <w:lang w:eastAsia="zh-HK"/>
              </w:rPr>
              <w:t>是</w:t>
            </w:r>
            <w:r w:rsidR="00A06F57" w:rsidRPr="005753A5">
              <w:rPr>
                <w:rFonts w:ascii="Calibri" w:eastAsia="細明體" w:hAnsi="Calibri" w:cs="Segoe UI" w:hint="eastAsia"/>
                <w:sz w:val="17"/>
                <w:szCs w:val="17"/>
                <w:lang w:eastAsia="zh-HK"/>
              </w:rPr>
              <w:t>經</w:t>
            </w:r>
            <w:r w:rsidR="00A06F57" w:rsidRPr="001D1285">
              <w:rPr>
                <w:rFonts w:ascii="Calibri" w:eastAsia="細明體" w:hAnsi="Calibri" w:cs="Segoe UI" w:hint="eastAsia"/>
                <w:sz w:val="17"/>
                <w:szCs w:val="17"/>
                <w:lang w:eastAsia="zh-HK"/>
              </w:rPr>
              <w:t>調整</w:t>
            </w:r>
            <w:r w:rsidR="00325B8E">
              <w:rPr>
                <w:rFonts w:ascii="Calibri" w:eastAsia="細明體" w:hAnsi="Calibri" w:cs="Segoe UI" w:hint="eastAsia"/>
                <w:sz w:val="17"/>
                <w:szCs w:val="17"/>
                <w:lang w:eastAsia="zh-HK"/>
              </w:rPr>
              <w:t>出</w:t>
            </w:r>
            <w:r w:rsidR="00D617F9" w:rsidRPr="00D617F9">
              <w:rPr>
                <w:rFonts w:ascii="Calibri" w:eastAsia="細明體" w:hAnsi="Calibri" w:cs="Segoe UI" w:hint="eastAsia"/>
                <w:sz w:val="17"/>
                <w:szCs w:val="17"/>
                <w:lang w:eastAsia="zh-HK"/>
              </w:rPr>
              <w:t>售</w:t>
            </w:r>
            <w:r w:rsidR="00A06F57" w:rsidRPr="005753A5">
              <w:rPr>
                <w:rFonts w:ascii="Calibri" w:eastAsia="細明體" w:hAnsi="Calibri" w:cs="Segoe UI" w:hint="eastAsia"/>
                <w:sz w:val="17"/>
                <w:szCs w:val="17"/>
                <w:lang w:eastAsia="zh-HK"/>
              </w:rPr>
              <w:t>會計交易及相關</w:t>
            </w:r>
            <w:r w:rsidR="00A06F57" w:rsidRPr="001D1285">
              <w:rPr>
                <w:rFonts w:ascii="Calibri" w:eastAsia="細明體" w:hAnsi="Calibri" w:cs="Segoe UI" w:hint="eastAsia"/>
                <w:sz w:val="17"/>
                <w:szCs w:val="17"/>
                <w:lang w:eastAsia="zh-HK"/>
              </w:rPr>
              <w:t>的現金</w:t>
            </w:r>
            <w:r w:rsidR="00A06F57" w:rsidRPr="005753A5">
              <w:rPr>
                <w:rFonts w:ascii="Calibri" w:eastAsia="細明體" w:hAnsi="Calibri" w:cs="Segoe UI" w:hint="eastAsia"/>
                <w:sz w:val="17"/>
                <w:szCs w:val="17"/>
                <w:lang w:eastAsia="zh-HK"/>
              </w:rPr>
              <w:t>應付</w:t>
            </w:r>
            <w:r w:rsidR="00A06F57" w:rsidRPr="001D1285">
              <w:rPr>
                <w:rFonts w:ascii="Calibri" w:eastAsia="細明體" w:hAnsi="Calibri" w:cs="Segoe UI" w:hint="eastAsia"/>
                <w:sz w:val="17"/>
                <w:szCs w:val="17"/>
                <w:lang w:eastAsia="zh-HK"/>
              </w:rPr>
              <w:t>額</w:t>
            </w:r>
            <w:r w:rsidR="00A06F57" w:rsidRPr="001D1285">
              <w:rPr>
                <w:rFonts w:ascii="Calibri" w:eastAsia="細明體" w:hAnsi="Calibri" w:cs="Segoe UI" w:hint="eastAsia"/>
                <w:sz w:val="17"/>
                <w:szCs w:val="17"/>
                <w:lang w:eastAsia="zh-TW"/>
              </w:rPr>
              <w:t>及</w:t>
            </w:r>
            <w:r w:rsidR="00A06F57" w:rsidRPr="001D1285">
              <w:rPr>
                <w:rFonts w:ascii="Calibri" w:eastAsia="細明體" w:hAnsi="Calibri" w:cs="Segoe UI" w:hint="eastAsia"/>
                <w:sz w:val="17"/>
                <w:szCs w:val="17"/>
                <w:lang w:eastAsia="zh-HK"/>
              </w:rPr>
              <w:t>現金</w:t>
            </w:r>
            <w:r w:rsidR="00A06F57" w:rsidRPr="005753A5">
              <w:rPr>
                <w:rFonts w:ascii="Calibri" w:eastAsia="細明體" w:hAnsi="Calibri" w:cs="Segoe UI" w:hint="eastAsia"/>
                <w:sz w:val="17"/>
                <w:szCs w:val="17"/>
                <w:lang w:eastAsia="zh-HK"/>
              </w:rPr>
              <w:t>應收</w:t>
            </w:r>
            <w:r w:rsidR="00A06F57" w:rsidRPr="001D1285">
              <w:rPr>
                <w:rFonts w:ascii="Calibri" w:eastAsia="細明體" w:hAnsi="Calibri" w:cs="Segoe UI" w:hint="eastAsia"/>
                <w:sz w:val="17"/>
                <w:szCs w:val="17"/>
                <w:lang w:eastAsia="zh-HK"/>
              </w:rPr>
              <w:t>額</w:t>
            </w:r>
            <w:r w:rsidR="000665E3">
              <w:rPr>
                <w:rFonts w:ascii="Calibri" w:eastAsia="細明體" w:hAnsi="Calibri" w:cs="Segoe UI" w:hint="eastAsia"/>
                <w:sz w:val="17"/>
                <w:szCs w:val="17"/>
                <w:lang w:eastAsia="zh-HK"/>
              </w:rPr>
              <w:t>淨額</w:t>
            </w:r>
            <w:r w:rsidR="000665E3" w:rsidRPr="005753A5">
              <w:rPr>
                <w:rFonts w:ascii="Calibri" w:eastAsia="細明體" w:hAnsi="Calibri" w:cs="Segoe UI" w:hint="eastAsia"/>
                <w:sz w:val="17"/>
                <w:szCs w:val="17"/>
                <w:lang w:eastAsia="zh-HK"/>
              </w:rPr>
              <w:t>後</w:t>
            </w:r>
            <w:r w:rsidR="000665E3" w:rsidRPr="001D1285">
              <w:rPr>
                <w:rFonts w:ascii="Calibri" w:eastAsia="細明體" w:hAnsi="Calibri" w:cs="Segoe UI" w:hint="eastAsia"/>
                <w:kern w:val="2"/>
                <w:sz w:val="17"/>
                <w:szCs w:val="17"/>
                <w:lang w:eastAsia="zh-HK"/>
              </w:rPr>
              <w:t>的數額</w:t>
            </w:r>
            <w:r w:rsidR="00A06F57" w:rsidRPr="001D1285">
              <w:rPr>
                <w:rFonts w:ascii="Calibri" w:eastAsia="細明體" w:hAnsi="Calibri" w:cs="Segoe UI" w:hint="eastAsia"/>
                <w:sz w:val="17"/>
                <w:szCs w:val="17"/>
                <w:lang w:eastAsia="zh-TW"/>
              </w:rPr>
              <w:t>）</w:t>
            </w:r>
            <w:r w:rsidRPr="001D1285">
              <w:rPr>
                <w:rFonts w:ascii="Calibri" w:eastAsia="細明體" w:hAnsi="Calibri" w:cs="Segoe UI" w:hint="eastAsia"/>
                <w:sz w:val="17"/>
                <w:szCs w:val="17"/>
                <w:lang w:eastAsia="zh-HK"/>
              </w:rPr>
              <w:t>得出的槓桿比率</w:t>
            </w: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0BEDCA57" w14:textId="77777777" w:rsidR="001D1285" w:rsidRPr="001D1285" w:rsidRDefault="001D1285" w:rsidP="001D1285">
            <w:pPr>
              <w:snapToGrid w:val="0"/>
              <w:spacing w:before="40" w:after="40" w:line="259" w:lineRule="auto"/>
              <w:ind w:left="57"/>
              <w:rPr>
                <w:rFonts w:ascii="Calibri" w:eastAsia="新細明體" w:hAnsi="Calibri" w:cs="Segoe UI"/>
                <w:sz w:val="17"/>
                <w:szCs w:val="22"/>
                <w:lang w:eastAsia="zh-HK"/>
              </w:rPr>
            </w:pPr>
          </w:p>
        </w:tc>
        <w:tc>
          <w:tcPr>
            <w:tcW w:w="1205" w:type="dxa"/>
            <w:tcBorders>
              <w:top w:val="single" w:sz="6" w:space="0" w:color="auto"/>
              <w:left w:val="single" w:sz="6" w:space="0" w:color="auto"/>
              <w:bottom w:val="single" w:sz="6" w:space="0" w:color="auto"/>
              <w:right w:val="single" w:sz="6" w:space="0" w:color="auto"/>
            </w:tcBorders>
            <w:shd w:val="clear" w:color="auto" w:fill="auto"/>
          </w:tcPr>
          <w:p w14:paraId="3C782BD2" w14:textId="77777777" w:rsidR="001D1285" w:rsidRPr="001D1285" w:rsidRDefault="001D1285" w:rsidP="001D1285">
            <w:pPr>
              <w:snapToGrid w:val="0"/>
              <w:spacing w:before="40" w:after="40" w:line="259" w:lineRule="auto"/>
              <w:rPr>
                <w:rFonts w:ascii="Calibri" w:eastAsia="新細明體" w:hAnsi="Calibri" w:cs="Segoe UI"/>
                <w:sz w:val="17"/>
                <w:szCs w:val="22"/>
                <w:lang w:eastAsia="zh-HK"/>
              </w:rPr>
            </w:pPr>
          </w:p>
        </w:tc>
      </w:tr>
      <w:tr w:rsidR="001D1285" w:rsidRPr="001D1285" w14:paraId="1ED62693" w14:textId="77777777" w:rsidTr="00213CED">
        <w:trPr>
          <w:cantSplit/>
          <w:trHeight w:val="230"/>
        </w:trPr>
        <w:tc>
          <w:tcPr>
            <w:tcW w:w="9075" w:type="dxa"/>
            <w:gridSpan w:val="4"/>
            <w:tcBorders>
              <w:top w:val="single" w:sz="6" w:space="0" w:color="auto"/>
              <w:left w:val="nil"/>
              <w:bottom w:val="single" w:sz="6" w:space="0" w:color="auto"/>
              <w:right w:val="single" w:sz="6" w:space="0" w:color="auto"/>
            </w:tcBorders>
            <w:shd w:val="clear" w:color="auto" w:fill="auto"/>
          </w:tcPr>
          <w:p w14:paraId="5384C6C6" w14:textId="77777777" w:rsidR="001D1285" w:rsidRPr="001D1285" w:rsidRDefault="001D1285" w:rsidP="001D1285">
            <w:pPr>
              <w:snapToGrid w:val="0"/>
              <w:spacing w:before="40" w:after="40" w:line="259" w:lineRule="auto"/>
              <w:rPr>
                <w:rFonts w:ascii="Calibri" w:eastAsia="新細明體" w:hAnsi="Calibri" w:cs="Segoe UI"/>
                <w:i/>
                <w:sz w:val="17"/>
                <w:szCs w:val="22"/>
                <w:lang w:eastAsia="zh-HK"/>
              </w:rPr>
            </w:pPr>
            <w:r w:rsidRPr="001D1285">
              <w:rPr>
                <w:rFonts w:ascii="Calibri" w:eastAsia="新細明體" w:hAnsi="Calibri" w:cs="Segoe UI" w:hint="eastAsia"/>
                <w:i/>
                <w:sz w:val="17"/>
                <w:szCs w:val="22"/>
                <w:lang w:eastAsia="zh-HK"/>
              </w:rPr>
              <w:t>注意事項：</w:t>
            </w:r>
          </w:p>
          <w:p w14:paraId="27CA817B" w14:textId="5759DC8D" w:rsidR="001D1285" w:rsidRPr="006B027C" w:rsidRDefault="001D1285" w:rsidP="001D1285">
            <w:pPr>
              <w:snapToGrid w:val="0"/>
              <w:spacing w:before="40" w:after="40" w:line="259" w:lineRule="auto"/>
              <w:rPr>
                <w:rFonts w:ascii="Calibri" w:eastAsia="新細明體" w:hAnsi="Calibri" w:cs="Segoe UI"/>
                <w:iCs/>
                <w:sz w:val="17"/>
                <w:szCs w:val="22"/>
                <w:lang w:eastAsia="zh-HK"/>
              </w:rPr>
            </w:pPr>
            <w:r w:rsidRPr="006B027C">
              <w:rPr>
                <w:rFonts w:eastAsia="新細明體" w:cs="Segoe UI"/>
                <w:iCs/>
                <w:sz w:val="17"/>
                <w:szCs w:val="22"/>
                <w:lang w:eastAsia="zh-HK"/>
              </w:rPr>
              <w:t>(</w:t>
            </w:r>
            <w:proofErr w:type="spellStart"/>
            <w:r w:rsidRPr="006B027C">
              <w:rPr>
                <w:rFonts w:eastAsia="新細明體" w:cs="Segoe UI"/>
                <w:iCs/>
                <w:sz w:val="17"/>
                <w:szCs w:val="22"/>
                <w:lang w:eastAsia="zh-HK"/>
              </w:rPr>
              <w:t>i</w:t>
            </w:r>
            <w:proofErr w:type="spellEnd"/>
            <w:r w:rsidRPr="006B027C">
              <w:rPr>
                <w:rFonts w:eastAsia="新細明體" w:cs="Segoe UI"/>
                <w:iCs/>
                <w:sz w:val="17"/>
                <w:szCs w:val="22"/>
                <w:lang w:eastAsia="zh-HK"/>
              </w:rPr>
              <w:t>)</w:t>
            </w:r>
            <w:r w:rsidRPr="006B027C">
              <w:rPr>
                <w:rFonts w:ascii="Calibri" w:eastAsia="新細明體" w:hAnsi="Calibri" w:cs="Segoe UI" w:hint="eastAsia"/>
                <w:iCs/>
                <w:sz w:val="17"/>
                <w:szCs w:val="22"/>
                <w:lang w:eastAsia="zh-TW"/>
              </w:rPr>
              <w:t xml:space="preserve">　</w:t>
            </w:r>
            <w:r w:rsidRPr="006B027C">
              <w:rPr>
                <w:rFonts w:ascii="Calibri" w:eastAsia="新細明體" w:hAnsi="Calibri" w:cs="Segoe UI"/>
                <w:iCs/>
                <w:sz w:val="17"/>
                <w:szCs w:val="17"/>
                <w:lang w:eastAsia="zh-TW"/>
              </w:rPr>
              <w:t xml:space="preserve"> </w:t>
            </w:r>
            <w:r w:rsidRPr="006B027C">
              <w:rPr>
                <w:rFonts w:ascii="Calibri" w:eastAsia="新細明體" w:hAnsi="Calibri" w:cs="Segoe UI"/>
                <w:iCs/>
                <w:sz w:val="17"/>
                <w:szCs w:val="17"/>
                <w:lang w:eastAsia="zh-TW"/>
              </w:rPr>
              <w:t>黃色陰影的行代表有關項目不適用於香港</w:t>
            </w:r>
            <w:r w:rsidRPr="006B027C">
              <w:rPr>
                <w:rFonts w:ascii="Calibri" w:eastAsia="新細明體" w:hAnsi="Calibri" w:cs="Segoe UI" w:hint="eastAsia"/>
                <w:iCs/>
                <w:sz w:val="17"/>
                <w:szCs w:val="22"/>
                <w:lang w:eastAsia="zh-HK"/>
              </w:rPr>
              <w:t>。</w:t>
            </w:r>
          </w:p>
        </w:tc>
      </w:tr>
    </w:tbl>
    <w:p w14:paraId="0DCD7565" w14:textId="25350C27" w:rsidR="00C361C1" w:rsidRDefault="00C361C1" w:rsidP="001D1285">
      <w:pPr>
        <w:spacing w:before="120" w:after="120" w:line="259" w:lineRule="auto"/>
        <w:ind w:leftChars="-283" w:left="-566"/>
        <w:rPr>
          <w:rFonts w:ascii="Calibri" w:eastAsia="新細明體" w:hAnsi="Calibri" w:cs="Segoe UI"/>
          <w:sz w:val="22"/>
          <w:szCs w:val="22"/>
          <w:lang w:eastAsia="zh-TW"/>
        </w:rPr>
      </w:pPr>
      <w:r>
        <w:rPr>
          <w:rFonts w:ascii="Calibri" w:eastAsia="新細明體" w:hAnsi="Calibri" w:cs="Segoe UI"/>
          <w:sz w:val="22"/>
          <w:szCs w:val="22"/>
          <w:lang w:eastAsia="zh-TW"/>
        </w:rPr>
        <w:br w:type="page"/>
      </w:r>
    </w:p>
    <w:tbl>
      <w:tblPr>
        <w:tblStyle w:val="TableGrid81"/>
        <w:tblW w:w="8959" w:type="dxa"/>
        <w:tblInd w:w="-459" w:type="dxa"/>
        <w:tblLook w:val="04A0" w:firstRow="1" w:lastRow="0" w:firstColumn="1" w:lastColumn="0" w:noHBand="0" w:noVBand="1"/>
      </w:tblPr>
      <w:tblGrid>
        <w:gridCol w:w="738"/>
        <w:gridCol w:w="8221"/>
      </w:tblGrid>
      <w:tr w:rsidR="001D1285" w:rsidRPr="001D1285" w14:paraId="214B0A0F" w14:textId="77777777" w:rsidTr="00C361C1">
        <w:trPr>
          <w:tblHeader/>
        </w:trPr>
        <w:tc>
          <w:tcPr>
            <w:tcW w:w="8959" w:type="dxa"/>
            <w:gridSpan w:val="2"/>
            <w:shd w:val="clear" w:color="auto" w:fill="BFBFBF"/>
          </w:tcPr>
          <w:p w14:paraId="4A7FBB8E" w14:textId="77777777" w:rsidR="001D1285" w:rsidRPr="001D1285" w:rsidRDefault="001D1285" w:rsidP="001D1285">
            <w:pPr>
              <w:spacing w:before="40" w:after="40"/>
              <w:jc w:val="both"/>
              <w:rPr>
                <w:rFonts w:ascii="Calibri" w:eastAsia="新細明體" w:hAnsi="Calibri" w:cs="Segoe UI"/>
                <w:b/>
                <w:kern w:val="2"/>
                <w:sz w:val="17"/>
                <w:szCs w:val="17"/>
                <w:lang w:val="en-US" w:eastAsia="en-GB"/>
              </w:rPr>
            </w:pPr>
            <w:proofErr w:type="gramStart"/>
            <w:r w:rsidRPr="001D1285">
              <w:rPr>
                <w:rFonts w:ascii="Calibri" w:eastAsia="新細明體" w:hAnsi="Calibri" w:cs="Segoe UI"/>
                <w:b/>
                <w:kern w:val="2"/>
                <w:sz w:val="17"/>
                <w:szCs w:val="17"/>
                <w:lang w:val="en-US" w:eastAsia="zh-TW"/>
              </w:rPr>
              <w:t>註</w:t>
            </w:r>
            <w:proofErr w:type="gramEnd"/>
            <w:r w:rsidRPr="001D1285">
              <w:rPr>
                <w:rFonts w:ascii="Calibri" w:eastAsia="新細明體" w:hAnsi="Calibri" w:cs="Segoe UI"/>
                <w:b/>
                <w:kern w:val="2"/>
                <w:sz w:val="17"/>
                <w:szCs w:val="17"/>
                <w:lang w:val="en-US" w:eastAsia="zh-TW"/>
              </w:rPr>
              <w:t>釋</w:t>
            </w:r>
          </w:p>
        </w:tc>
      </w:tr>
      <w:tr w:rsidR="001D1285" w:rsidRPr="001D1285" w14:paraId="29D6C2C0" w14:textId="77777777" w:rsidTr="00C361C1">
        <w:trPr>
          <w:trHeight w:val="373"/>
        </w:trPr>
        <w:tc>
          <w:tcPr>
            <w:tcW w:w="8959" w:type="dxa"/>
            <w:gridSpan w:val="2"/>
            <w:shd w:val="clear" w:color="auto" w:fill="F2F2F2"/>
          </w:tcPr>
          <w:p w14:paraId="56CDA243" w14:textId="77777777" w:rsidR="001D1285" w:rsidRPr="001D1285" w:rsidRDefault="001D1285" w:rsidP="001D1285">
            <w:pPr>
              <w:spacing w:before="40" w:after="40"/>
              <w:jc w:val="both"/>
              <w:rPr>
                <w:rFonts w:ascii="Calibri" w:eastAsia="新細明體" w:hAnsi="Calibri" w:cs="Segoe UI"/>
                <w:i/>
                <w:kern w:val="2"/>
                <w:sz w:val="17"/>
                <w:szCs w:val="17"/>
                <w:lang w:val="en-US" w:eastAsia="zh-TW"/>
              </w:rPr>
            </w:pPr>
            <w:r w:rsidRPr="001D1285">
              <w:rPr>
                <w:rFonts w:ascii="Calibri" w:eastAsia="新細明體" w:hAnsi="Calibri" w:cs="Segoe UI"/>
                <w:b/>
                <w:kern w:val="2"/>
                <w:sz w:val="17"/>
                <w:szCs w:val="17"/>
                <w:lang w:val="en-US" w:eastAsia="en-GB"/>
              </w:rPr>
              <w:t>行</w:t>
            </w:r>
          </w:p>
        </w:tc>
      </w:tr>
      <w:tr w:rsidR="001D1285" w:rsidRPr="001D1285" w14:paraId="1D0BFEDF" w14:textId="77777777" w:rsidTr="00C361C1">
        <w:trPr>
          <w:trHeight w:val="373"/>
        </w:trPr>
        <w:tc>
          <w:tcPr>
            <w:tcW w:w="738" w:type="dxa"/>
          </w:tcPr>
          <w:p w14:paraId="2EFA147F" w14:textId="7777777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kern w:val="2"/>
                <w:sz w:val="17"/>
                <w:szCs w:val="17"/>
                <w:lang w:val="en-US" w:eastAsia="en-GB"/>
              </w:rPr>
              <w:t>1</w:t>
            </w:r>
          </w:p>
        </w:tc>
        <w:tc>
          <w:tcPr>
            <w:tcW w:w="8221" w:type="dxa"/>
          </w:tcPr>
          <w:p w14:paraId="4AF11052" w14:textId="375BCFF5" w:rsidR="001D1285" w:rsidRPr="001D1285" w:rsidRDefault="001D1285" w:rsidP="001F1EF0">
            <w:pPr>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認可機構應包括在財務報表所載的資產負債表的所有綜合資產，包括資產負債表內衍生工具合約的抵押品及</w:t>
            </w:r>
            <w:r w:rsidRPr="001D1285">
              <w:rPr>
                <w:rFonts w:ascii="Calibri" w:eastAsia="細明體" w:hAnsi="Calibri" w:cs="Segoe UI"/>
                <w:kern w:val="2"/>
                <w:sz w:val="17"/>
                <w:szCs w:val="17"/>
                <w:lang w:val="en-US" w:eastAsia="zh-TW"/>
              </w:rPr>
              <w:t>SFT</w:t>
            </w:r>
            <w:r w:rsidRPr="001D1285">
              <w:rPr>
                <w:rFonts w:ascii="Calibri" w:eastAsia="細明體" w:hAnsi="Calibri" w:cs="Segoe UI"/>
                <w:kern w:val="2"/>
                <w:sz w:val="17"/>
                <w:szCs w:val="17"/>
                <w:lang w:val="en-US" w:eastAsia="zh-TW"/>
              </w:rPr>
              <w:t>的抵押品，</w:t>
            </w:r>
            <w:proofErr w:type="gramStart"/>
            <w:r w:rsidRPr="001D1285">
              <w:rPr>
                <w:rFonts w:ascii="Calibri" w:eastAsia="細明體" w:hAnsi="Calibri" w:cs="Segoe UI"/>
                <w:kern w:val="2"/>
                <w:sz w:val="17"/>
                <w:szCs w:val="17"/>
                <w:lang w:val="en-US" w:eastAsia="zh-TW"/>
              </w:rPr>
              <w:t>惟計入</w:t>
            </w:r>
            <w:proofErr w:type="gramEnd"/>
            <w:r w:rsidRPr="001D1285">
              <w:rPr>
                <w:rFonts w:ascii="Calibri" w:eastAsia="細明體" w:hAnsi="Calibri" w:cs="Segoe UI"/>
                <w:kern w:val="2"/>
                <w:sz w:val="17"/>
                <w:szCs w:val="17"/>
                <w:lang w:val="en-US" w:eastAsia="zh-TW"/>
              </w:rPr>
              <w:t>第</w:t>
            </w:r>
            <w:r w:rsidRPr="001D1285">
              <w:rPr>
                <w:rFonts w:ascii="Calibri" w:eastAsia="新細明體" w:hAnsi="Calibri" w:cs="Segoe UI" w:hint="eastAsia"/>
                <w:kern w:val="2"/>
                <w:sz w:val="17"/>
                <w:szCs w:val="17"/>
                <w:lang w:val="en-US" w:eastAsia="zh-TW"/>
              </w:rPr>
              <w:t>8</w:t>
            </w:r>
            <w:r w:rsidRPr="001D1285">
              <w:rPr>
                <w:rFonts w:ascii="Calibri" w:eastAsia="新細明體" w:hAnsi="Calibri" w:cs="Segoe UI"/>
                <w:kern w:val="2"/>
                <w:sz w:val="17"/>
                <w:szCs w:val="17"/>
                <w:lang w:val="en-US" w:eastAsia="zh-TW"/>
              </w:rPr>
              <w:t>至</w:t>
            </w:r>
            <w:r w:rsidRPr="001D1285">
              <w:rPr>
                <w:rFonts w:ascii="Calibri" w:eastAsia="新細明體" w:hAnsi="Calibri" w:cs="Segoe UI" w:hint="eastAsia"/>
                <w:kern w:val="2"/>
                <w:sz w:val="17"/>
                <w:szCs w:val="17"/>
                <w:lang w:val="en-US" w:eastAsia="zh-TW"/>
              </w:rPr>
              <w:t>18</w:t>
            </w:r>
            <w:r w:rsidRPr="001D1285">
              <w:rPr>
                <w:rFonts w:ascii="Calibri" w:eastAsia="新細明體" w:hAnsi="Calibri" w:cs="Segoe UI"/>
                <w:kern w:val="2"/>
                <w:sz w:val="17"/>
                <w:szCs w:val="17"/>
                <w:lang w:val="en-US" w:eastAsia="zh-TW"/>
              </w:rPr>
              <w:t>行的</w:t>
            </w:r>
            <w:r w:rsidRPr="001D1285">
              <w:rPr>
                <w:rFonts w:ascii="Calibri" w:eastAsia="細明體" w:hAnsi="Calibri" w:cs="Segoe UI"/>
                <w:kern w:val="2"/>
                <w:sz w:val="17"/>
                <w:szCs w:val="17"/>
                <w:lang w:val="en-US" w:eastAsia="zh-TW"/>
              </w:rPr>
              <w:t>資產負債表內衍生工具合約及</w:t>
            </w:r>
            <w:r w:rsidRPr="001D1285">
              <w:rPr>
                <w:rFonts w:ascii="Calibri" w:eastAsia="細明體" w:hAnsi="Calibri" w:cs="Segoe UI"/>
                <w:kern w:val="2"/>
                <w:sz w:val="17"/>
                <w:szCs w:val="17"/>
                <w:lang w:val="en-US" w:eastAsia="zh-TW"/>
              </w:rPr>
              <w:t>SFT</w:t>
            </w:r>
            <w:r w:rsidRPr="001D1285">
              <w:rPr>
                <w:rFonts w:ascii="Calibri" w:eastAsia="細明體" w:hAnsi="Calibri" w:cs="Segoe UI"/>
                <w:kern w:val="2"/>
                <w:sz w:val="17"/>
                <w:szCs w:val="17"/>
                <w:lang w:val="en-US" w:eastAsia="zh-TW"/>
              </w:rPr>
              <w:t>資產除外。衍生工具合約的抵押品及</w:t>
            </w:r>
            <w:r w:rsidRPr="001D1285">
              <w:rPr>
                <w:rFonts w:ascii="Calibri" w:eastAsia="細明體" w:hAnsi="Calibri" w:cs="Segoe UI"/>
                <w:kern w:val="2"/>
                <w:sz w:val="17"/>
                <w:szCs w:val="17"/>
                <w:lang w:val="en-US" w:eastAsia="zh-TW"/>
              </w:rPr>
              <w:t>SFT</w:t>
            </w:r>
            <w:r w:rsidRPr="001D1285">
              <w:rPr>
                <w:rFonts w:ascii="Calibri" w:eastAsia="細明體" w:hAnsi="Calibri" w:cs="Segoe UI"/>
                <w:kern w:val="2"/>
                <w:sz w:val="17"/>
                <w:szCs w:val="17"/>
                <w:lang w:val="en-US" w:eastAsia="zh-TW"/>
              </w:rPr>
              <w:t>的抵押品</w:t>
            </w:r>
            <w:r w:rsidRPr="001D1285">
              <w:rPr>
                <w:rFonts w:ascii="Calibri" w:eastAsia="細明體" w:hAnsi="Calibri" w:cs="Segoe UI" w:hint="eastAsia"/>
                <w:kern w:val="2"/>
                <w:sz w:val="17"/>
                <w:szCs w:val="17"/>
                <w:lang w:val="en-US" w:eastAsia="zh-HK"/>
              </w:rPr>
              <w:t>指收</w:t>
            </w:r>
            <w:r w:rsidR="00786698">
              <w:rPr>
                <w:rFonts w:ascii="Calibri" w:eastAsia="細明體" w:hAnsi="Calibri" w:cs="Segoe UI" w:hint="eastAsia"/>
                <w:kern w:val="2"/>
                <w:sz w:val="17"/>
                <w:szCs w:val="17"/>
                <w:lang w:val="en-US" w:eastAsia="zh-HK"/>
              </w:rPr>
              <w:t>取</w:t>
            </w:r>
            <w:r w:rsidRPr="001D1285">
              <w:rPr>
                <w:rFonts w:ascii="Calibri" w:eastAsia="細明體" w:hAnsi="Calibri" w:cs="Segoe UI" w:hint="eastAsia"/>
                <w:kern w:val="2"/>
                <w:sz w:val="17"/>
                <w:szCs w:val="17"/>
                <w:lang w:val="en-US" w:eastAsia="zh-HK"/>
              </w:rPr>
              <w:t>的抵押品或提供的抵押品</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HK"/>
              </w:rPr>
              <w:t>或任何相關的應收資產</w:t>
            </w:r>
            <w:r w:rsidRPr="001D1285">
              <w:rPr>
                <w:rFonts w:ascii="Calibri" w:eastAsia="細明體" w:hAnsi="Calibri" w:cs="Segoe UI" w:hint="eastAsia"/>
                <w:kern w:val="2"/>
                <w:sz w:val="17"/>
                <w:szCs w:val="17"/>
                <w:lang w:val="en-US" w:eastAsia="zh-TW"/>
              </w:rPr>
              <w:t>）</w:t>
            </w:r>
            <w:r w:rsidR="001F1EF0">
              <w:rPr>
                <w:rFonts w:ascii="Calibri" w:eastAsia="細明體" w:hAnsi="Calibri" w:cs="Segoe UI" w:hint="eastAsia"/>
                <w:kern w:val="2"/>
                <w:sz w:val="17"/>
                <w:szCs w:val="17"/>
                <w:lang w:val="en-US" w:eastAsia="zh-HK"/>
              </w:rPr>
              <w:t>並已納入</w:t>
            </w:r>
            <w:r w:rsidR="001F1EF0" w:rsidRPr="001D1285">
              <w:rPr>
                <w:rFonts w:ascii="Calibri" w:eastAsia="細明體" w:hAnsi="Calibri" w:cs="Segoe UI" w:hint="eastAsia"/>
                <w:kern w:val="2"/>
                <w:sz w:val="17"/>
                <w:szCs w:val="17"/>
                <w:lang w:val="en-US" w:eastAsia="zh-HK"/>
              </w:rPr>
              <w:t>為資產負債表資產</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kern w:val="2"/>
                <w:sz w:val="17"/>
                <w:szCs w:val="17"/>
                <w:lang w:val="en-US" w:eastAsia="zh-TW"/>
              </w:rPr>
              <w:t>如認可機構為《法定貨幣紙幣發行條例》</w:t>
            </w:r>
            <w:r w:rsidRPr="001D1285">
              <w:rPr>
                <w:rFonts w:ascii="Calibri" w:eastAsia="新細明體" w:hAnsi="Calibri" w:cs="Segoe UI"/>
                <w:kern w:val="2"/>
                <w:sz w:val="17"/>
                <w:szCs w:val="17"/>
                <w:lang w:val="en-US" w:eastAsia="zh-TW"/>
              </w:rPr>
              <w:t>（</w:t>
            </w:r>
            <w:r w:rsidRPr="001D1285">
              <w:rPr>
                <w:rFonts w:ascii="Calibri" w:eastAsia="細明體" w:hAnsi="Calibri" w:cs="Segoe UI"/>
                <w:kern w:val="2"/>
                <w:sz w:val="17"/>
                <w:szCs w:val="17"/>
                <w:lang w:val="en-US" w:eastAsia="zh-TW"/>
              </w:rPr>
              <w:t>第</w:t>
            </w:r>
            <w:r w:rsidRPr="001D1285">
              <w:rPr>
                <w:rFonts w:ascii="Calibri" w:eastAsia="新細明體" w:hAnsi="Calibri" w:cs="Segoe UI"/>
                <w:kern w:val="2"/>
                <w:sz w:val="17"/>
                <w:szCs w:val="17"/>
                <w:lang w:val="en-US" w:eastAsia="zh-TW"/>
              </w:rPr>
              <w:t>65</w:t>
            </w:r>
            <w:r w:rsidRPr="001D1285">
              <w:rPr>
                <w:rFonts w:ascii="Calibri" w:eastAsia="細明體" w:hAnsi="Calibri" w:cs="Segoe UI"/>
                <w:kern w:val="2"/>
                <w:sz w:val="17"/>
                <w:szCs w:val="17"/>
                <w:lang w:val="en-US" w:eastAsia="zh-TW"/>
              </w:rPr>
              <w:t>章</w:t>
            </w:r>
            <w:r w:rsidRPr="001D1285">
              <w:rPr>
                <w:rFonts w:ascii="Calibri" w:eastAsia="新細明體" w:hAnsi="Calibri" w:cs="Segoe UI"/>
                <w:kern w:val="2"/>
                <w:sz w:val="17"/>
                <w:szCs w:val="17"/>
                <w:lang w:val="en-US" w:eastAsia="zh-TW"/>
              </w:rPr>
              <w:t>）</w:t>
            </w:r>
            <w:r w:rsidRPr="001D1285">
              <w:rPr>
                <w:rFonts w:ascii="Calibri" w:eastAsia="細明體" w:hAnsi="Calibri" w:cs="Segoe UI"/>
                <w:kern w:val="2"/>
                <w:sz w:val="17"/>
                <w:szCs w:val="17"/>
                <w:lang w:val="en-US" w:eastAsia="zh-TW"/>
              </w:rPr>
              <w:t>所界定的發鈔銀行，</w:t>
            </w:r>
            <w:proofErr w:type="gramStart"/>
            <w:r w:rsidRPr="001D1285">
              <w:rPr>
                <w:rFonts w:ascii="Calibri" w:eastAsia="細明體" w:hAnsi="Calibri" w:cs="Segoe UI"/>
                <w:kern w:val="2"/>
                <w:sz w:val="17"/>
                <w:szCs w:val="17"/>
                <w:lang w:val="en-US" w:eastAsia="zh-TW"/>
              </w:rPr>
              <w:t>就本模版</w:t>
            </w:r>
            <w:proofErr w:type="gramEnd"/>
            <w:r w:rsidRPr="001D1285">
              <w:rPr>
                <w:rFonts w:ascii="Calibri" w:eastAsia="細明體" w:hAnsi="Calibri" w:cs="Segoe UI"/>
                <w:kern w:val="2"/>
                <w:sz w:val="17"/>
                <w:szCs w:val="17"/>
                <w:lang w:val="en-US" w:eastAsia="zh-TW"/>
              </w:rPr>
              <w:t>而言，該機構不應</w:t>
            </w:r>
            <w:r w:rsidRPr="001D1285">
              <w:rPr>
                <w:rFonts w:ascii="Calibri" w:eastAsia="細明體" w:hAnsi="Calibri" w:cs="Segoe UI"/>
                <w:kern w:val="2"/>
                <w:sz w:val="17"/>
                <w:szCs w:val="17"/>
                <w:lang w:val="en-US" w:eastAsia="zh-HK"/>
              </w:rPr>
              <w:t>將</w:t>
            </w:r>
            <w:r w:rsidRPr="001D1285">
              <w:rPr>
                <w:rFonts w:ascii="Calibri" w:eastAsia="細明體" w:hAnsi="Calibri" w:cs="Segoe UI"/>
                <w:kern w:val="2"/>
                <w:sz w:val="17"/>
                <w:szCs w:val="17"/>
                <w:lang w:val="en-US" w:eastAsia="zh-TW"/>
              </w:rPr>
              <w:t>根據《外匯基金條例》</w:t>
            </w:r>
            <w:r w:rsidRPr="001D1285">
              <w:rPr>
                <w:rFonts w:ascii="Calibri" w:eastAsia="新細明體" w:hAnsi="Calibri" w:cs="Segoe UI"/>
                <w:kern w:val="2"/>
                <w:sz w:val="17"/>
                <w:szCs w:val="17"/>
                <w:lang w:val="en-US" w:eastAsia="zh-TW"/>
              </w:rPr>
              <w:t>（</w:t>
            </w:r>
            <w:r w:rsidRPr="001D1285">
              <w:rPr>
                <w:rFonts w:ascii="Calibri" w:eastAsia="細明體" w:hAnsi="Calibri" w:cs="Segoe UI"/>
                <w:kern w:val="2"/>
                <w:sz w:val="17"/>
                <w:szCs w:val="17"/>
                <w:lang w:val="en-US" w:eastAsia="zh-TW"/>
              </w:rPr>
              <w:t>第</w:t>
            </w:r>
            <w:r w:rsidRPr="001D1285">
              <w:rPr>
                <w:rFonts w:ascii="Calibri" w:eastAsia="新細明體" w:hAnsi="Calibri" w:cs="Segoe UI"/>
                <w:kern w:val="2"/>
                <w:sz w:val="17"/>
                <w:szCs w:val="17"/>
                <w:lang w:val="en-US" w:eastAsia="zh-TW"/>
              </w:rPr>
              <w:t>66</w:t>
            </w:r>
            <w:r w:rsidRPr="001D1285">
              <w:rPr>
                <w:rFonts w:ascii="Calibri" w:eastAsia="細明體" w:hAnsi="Calibri" w:cs="Segoe UI"/>
                <w:kern w:val="2"/>
                <w:sz w:val="17"/>
                <w:szCs w:val="17"/>
                <w:lang w:val="en-US" w:eastAsia="zh-TW"/>
              </w:rPr>
              <w:t>章</w:t>
            </w:r>
            <w:r w:rsidRPr="001D1285">
              <w:rPr>
                <w:rFonts w:ascii="Calibri" w:eastAsia="新細明體" w:hAnsi="Calibri" w:cs="Segoe UI"/>
                <w:kern w:val="2"/>
                <w:sz w:val="17"/>
                <w:szCs w:val="17"/>
                <w:lang w:val="en-US" w:eastAsia="zh-TW"/>
              </w:rPr>
              <w:t>）</w:t>
            </w:r>
            <w:r w:rsidRPr="001D1285">
              <w:rPr>
                <w:rFonts w:ascii="Calibri" w:eastAsia="細明體" w:hAnsi="Calibri" w:cs="Segoe UI"/>
                <w:kern w:val="2"/>
                <w:sz w:val="17"/>
                <w:szCs w:val="17"/>
                <w:lang w:val="en-US" w:eastAsia="zh-TW"/>
              </w:rPr>
              <w:t>發行，並由其持有作為已發行法定貨幣紙幣的保證的負債證明書計入其資產負債表內風險承擔。</w:t>
            </w:r>
            <w:r w:rsidRPr="001D1285">
              <w:rPr>
                <w:rFonts w:ascii="Calibri" w:eastAsia="細明體" w:hAnsi="Calibri" w:cs="Segoe UI" w:hint="eastAsia"/>
                <w:kern w:val="2"/>
                <w:sz w:val="17"/>
                <w:szCs w:val="17"/>
                <w:lang w:val="en-US" w:eastAsia="zh-HK"/>
              </w:rPr>
              <w:t>有關數額應按照槓桿比率框架填報</w:t>
            </w:r>
            <w:r w:rsidRPr="001D1285">
              <w:rPr>
                <w:rFonts w:ascii="Calibri" w:eastAsia="細明體" w:hAnsi="Calibri" w:cs="Segoe UI" w:hint="eastAsia"/>
                <w:kern w:val="2"/>
                <w:sz w:val="17"/>
                <w:szCs w:val="17"/>
                <w:lang w:val="en-US" w:eastAsia="zh-TW"/>
              </w:rPr>
              <w:t>。</w:t>
            </w:r>
          </w:p>
        </w:tc>
      </w:tr>
      <w:tr w:rsidR="001D1285" w:rsidRPr="001D1285" w14:paraId="0628C43D" w14:textId="77777777" w:rsidTr="00C361C1">
        <w:trPr>
          <w:trHeight w:val="373"/>
        </w:trPr>
        <w:tc>
          <w:tcPr>
            <w:tcW w:w="738" w:type="dxa"/>
          </w:tcPr>
          <w:p w14:paraId="703D65C2" w14:textId="7777777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2</w:t>
            </w:r>
          </w:p>
        </w:tc>
        <w:tc>
          <w:tcPr>
            <w:tcW w:w="8221" w:type="dxa"/>
          </w:tcPr>
          <w:p w14:paraId="7E75BEE1" w14:textId="576BE26F" w:rsidR="002C3FF5" w:rsidRPr="009012E8" w:rsidRDefault="002C3FF5" w:rsidP="00C51887">
            <w:pPr>
              <w:spacing w:before="40" w:after="40"/>
              <w:jc w:val="both"/>
              <w:rPr>
                <w:rFonts w:ascii="Calibri" w:eastAsia="細明體" w:hAnsi="Calibri" w:cs="Segoe UI"/>
                <w:kern w:val="2"/>
                <w:sz w:val="17"/>
                <w:szCs w:val="17"/>
                <w:lang w:val="en-US" w:eastAsia="zh-TW"/>
              </w:rPr>
            </w:pPr>
            <w:r w:rsidRPr="005753A5">
              <w:rPr>
                <w:rFonts w:ascii="Calibri" w:eastAsia="細明體" w:hAnsi="Calibri" w:cs="Segoe UI" w:hint="eastAsia"/>
                <w:kern w:val="2"/>
                <w:sz w:val="17"/>
                <w:szCs w:val="17"/>
                <w:lang w:val="en-US" w:eastAsia="zh-TW"/>
              </w:rPr>
              <w:t>還原就衍生工具合約</w:t>
            </w:r>
            <w:r w:rsidRPr="005753A5">
              <w:rPr>
                <w:rFonts w:ascii="Calibri" w:eastAsia="細明體" w:hAnsi="Calibri" w:cs="Segoe UI" w:hint="eastAsia"/>
                <w:kern w:val="2"/>
                <w:sz w:val="17"/>
                <w:szCs w:val="17"/>
                <w:lang w:eastAsia="zh-HK"/>
              </w:rPr>
              <w:t>引起</w:t>
            </w:r>
            <w:r w:rsidRPr="005753A5">
              <w:rPr>
                <w:rFonts w:ascii="Calibri" w:eastAsia="細明體" w:hAnsi="Calibri" w:cs="Segoe UI" w:hint="eastAsia"/>
                <w:kern w:val="2"/>
                <w:sz w:val="17"/>
                <w:szCs w:val="17"/>
                <w:lang w:val="en-US" w:eastAsia="zh-HK"/>
              </w:rPr>
              <w:t>的風險承擔</w:t>
            </w:r>
            <w:r w:rsidRPr="005753A5">
              <w:rPr>
                <w:rFonts w:ascii="Calibri" w:eastAsia="細明體" w:hAnsi="Calibri" w:cs="Segoe UI" w:hint="eastAsia"/>
                <w:kern w:val="2"/>
                <w:sz w:val="17"/>
                <w:szCs w:val="17"/>
                <w:lang w:val="en-US" w:eastAsia="zh-TW"/>
              </w:rPr>
              <w:t>提供</w:t>
            </w:r>
            <w:r>
              <w:rPr>
                <w:rFonts w:ascii="Calibri" w:eastAsia="細明體" w:hAnsi="Calibri" w:cs="Segoe UI" w:hint="eastAsia"/>
                <w:kern w:val="2"/>
                <w:sz w:val="17"/>
                <w:szCs w:val="17"/>
                <w:lang w:val="en-US" w:eastAsia="zh-HK"/>
              </w:rPr>
              <w:t>的</w:t>
            </w:r>
            <w:r w:rsidRPr="005753A5">
              <w:rPr>
                <w:rFonts w:ascii="Calibri" w:eastAsia="細明體" w:hAnsi="Calibri" w:cs="Segoe UI" w:hint="eastAsia"/>
                <w:kern w:val="2"/>
                <w:sz w:val="17"/>
                <w:szCs w:val="17"/>
                <w:lang w:val="en-US" w:eastAsia="zh-TW"/>
              </w:rPr>
              <w:t>抵押品</w:t>
            </w:r>
            <w:r w:rsidR="00FB5DC2">
              <w:rPr>
                <w:rFonts w:ascii="Calibri" w:eastAsia="細明體" w:hAnsi="Calibri" w:cs="Segoe UI" w:hint="eastAsia"/>
                <w:kern w:val="2"/>
                <w:sz w:val="17"/>
                <w:szCs w:val="17"/>
                <w:lang w:val="en-US" w:eastAsia="zh-HK"/>
              </w:rPr>
              <w:t>數額</w:t>
            </w:r>
            <w:r>
              <w:rPr>
                <w:rFonts w:ascii="Calibri" w:eastAsia="細明體" w:hAnsi="Calibri" w:cs="Segoe UI" w:hint="eastAsia"/>
                <w:kern w:val="2"/>
                <w:sz w:val="17"/>
                <w:szCs w:val="17"/>
                <w:lang w:val="en-US" w:eastAsia="zh-HK"/>
              </w:rPr>
              <w:t>，</w:t>
            </w:r>
            <w:r w:rsidRPr="005753A5">
              <w:rPr>
                <w:rFonts w:ascii="Calibri" w:eastAsia="細明體" w:hAnsi="Calibri" w:cs="Segoe UI" w:hint="eastAsia"/>
                <w:kern w:val="2"/>
                <w:sz w:val="17"/>
                <w:szCs w:val="17"/>
                <w:lang w:val="en-US" w:eastAsia="zh-TW"/>
              </w:rPr>
              <w:t>而</w:t>
            </w:r>
            <w:r>
              <w:rPr>
                <w:rFonts w:ascii="Calibri" w:eastAsia="細明體" w:hAnsi="Calibri" w:cs="Segoe UI" w:hint="eastAsia"/>
                <w:kern w:val="2"/>
                <w:sz w:val="17"/>
                <w:szCs w:val="17"/>
                <w:lang w:val="en-US" w:eastAsia="zh-HK"/>
              </w:rPr>
              <w:t>該</w:t>
            </w:r>
            <w:r w:rsidRPr="005753A5">
              <w:rPr>
                <w:rFonts w:ascii="Calibri" w:eastAsia="細明體" w:hAnsi="Calibri" w:cs="Segoe UI" w:hint="eastAsia"/>
                <w:kern w:val="2"/>
                <w:sz w:val="17"/>
                <w:szCs w:val="17"/>
                <w:lang w:val="en-US" w:eastAsia="zh-TW"/>
              </w:rPr>
              <w:t>抵押品</w:t>
            </w:r>
            <w:r>
              <w:rPr>
                <w:rFonts w:ascii="Calibri" w:eastAsia="細明體" w:hAnsi="Calibri" w:cs="Segoe UI" w:hint="eastAsia"/>
                <w:kern w:val="2"/>
                <w:sz w:val="17"/>
                <w:szCs w:val="17"/>
                <w:lang w:val="en-US" w:eastAsia="zh-HK"/>
              </w:rPr>
              <w:t>的提</w:t>
            </w:r>
            <w:r>
              <w:rPr>
                <w:rFonts w:ascii="Calibri" w:eastAsia="細明體" w:hAnsi="Calibri" w:cs="Segoe UI" w:hint="eastAsia"/>
                <w:kern w:val="2"/>
                <w:sz w:val="17"/>
                <w:szCs w:val="17"/>
                <w:lang w:val="en-US" w:eastAsia="zh-TW"/>
              </w:rPr>
              <w:t>供</w:t>
            </w:r>
            <w:r w:rsidRPr="005753A5">
              <w:rPr>
                <w:rFonts w:ascii="Calibri" w:eastAsia="細明體" w:hAnsi="Calibri" w:cs="Segoe UI" w:hint="eastAsia"/>
                <w:kern w:val="2"/>
                <w:sz w:val="17"/>
                <w:szCs w:val="17"/>
                <w:lang w:val="en-US" w:eastAsia="zh-TW"/>
              </w:rPr>
              <w:t>須根據認可機構的適用會計</w:t>
            </w:r>
            <w:r w:rsidRPr="005753A5">
              <w:rPr>
                <w:rFonts w:ascii="Calibri" w:eastAsia="細明體" w:hAnsi="Calibri" w:cs="Segoe UI" w:hint="eastAsia"/>
                <w:kern w:val="2"/>
                <w:sz w:val="17"/>
                <w:szCs w:val="17"/>
                <w:lang w:val="en-US" w:eastAsia="zh-HK"/>
              </w:rPr>
              <w:t>準則</w:t>
            </w:r>
            <w:r w:rsidRPr="005753A5">
              <w:rPr>
                <w:rFonts w:ascii="Calibri" w:eastAsia="細明體" w:hAnsi="Calibri" w:cs="Segoe UI" w:hint="eastAsia"/>
                <w:kern w:val="2"/>
                <w:sz w:val="17"/>
                <w:szCs w:val="17"/>
                <w:lang w:val="en-US" w:eastAsia="zh-TW"/>
              </w:rPr>
              <w:t>扣減資產負債表資產</w:t>
            </w:r>
            <w:r w:rsidRPr="005753A5">
              <w:rPr>
                <w:rFonts w:ascii="Calibri" w:eastAsia="細明體" w:hAnsi="Calibri" w:cs="Segoe UI" w:hint="eastAsia"/>
                <w:kern w:val="2"/>
                <w:sz w:val="17"/>
                <w:szCs w:val="17"/>
                <w:lang w:val="en-US" w:eastAsia="zh-HK"/>
              </w:rPr>
              <w:t>價值</w:t>
            </w:r>
            <w:r w:rsidRPr="005753A5">
              <w:rPr>
                <w:rFonts w:ascii="Calibri" w:eastAsia="細明體" w:hAnsi="Calibri" w:cs="Segoe UI" w:hint="eastAsia"/>
                <w:kern w:val="2"/>
                <w:sz w:val="17"/>
                <w:szCs w:val="17"/>
                <w:lang w:eastAsia="zh-TW"/>
              </w:rPr>
              <w:t>。</w:t>
            </w:r>
          </w:p>
        </w:tc>
      </w:tr>
      <w:tr w:rsidR="001D1285" w:rsidRPr="001D1285" w14:paraId="2650F43B" w14:textId="77777777" w:rsidTr="00C361C1">
        <w:trPr>
          <w:trHeight w:val="373"/>
        </w:trPr>
        <w:tc>
          <w:tcPr>
            <w:tcW w:w="738" w:type="dxa"/>
          </w:tcPr>
          <w:p w14:paraId="64FD0D6F" w14:textId="7777777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3</w:t>
            </w:r>
          </w:p>
        </w:tc>
        <w:tc>
          <w:tcPr>
            <w:tcW w:w="8221" w:type="dxa"/>
          </w:tcPr>
          <w:p w14:paraId="5AF93AC8" w14:textId="1D249EA0" w:rsidR="001D1285" w:rsidRPr="001D1285" w:rsidRDefault="001D1285" w:rsidP="00D617F9">
            <w:pPr>
              <w:spacing w:before="40" w:after="40"/>
              <w:jc w:val="both"/>
              <w:rPr>
                <w:rFonts w:ascii="Calibri" w:eastAsia="細明體" w:hAnsi="Calibri" w:cs="Segoe UI"/>
                <w:kern w:val="2"/>
                <w:sz w:val="17"/>
                <w:szCs w:val="17"/>
                <w:lang w:val="en-US" w:eastAsia="zh-TW"/>
              </w:rPr>
            </w:pPr>
            <w:r w:rsidRPr="001D1285">
              <w:rPr>
                <w:rFonts w:ascii="Calibri" w:eastAsia="細明體" w:hAnsi="Calibri" w:cs="Segoe UI"/>
                <w:kern w:val="2"/>
                <w:sz w:val="17"/>
                <w:szCs w:val="17"/>
                <w:lang w:eastAsia="zh-TW"/>
              </w:rPr>
              <w:t>就衍生工具合約下提供的現金變動保證金</w:t>
            </w:r>
            <w:r w:rsidR="00D617F9" w:rsidRPr="00D617F9">
              <w:rPr>
                <w:rFonts w:ascii="Calibri" w:eastAsia="細明體" w:hAnsi="Calibri" w:cs="Segoe UI" w:hint="eastAsia"/>
                <w:kern w:val="2"/>
                <w:sz w:val="17"/>
                <w:szCs w:val="17"/>
                <w:lang w:eastAsia="zh-TW"/>
              </w:rPr>
              <w:t>的</w:t>
            </w:r>
            <w:r w:rsidRPr="001D1285">
              <w:rPr>
                <w:rFonts w:ascii="Calibri" w:eastAsia="細明體" w:hAnsi="Calibri" w:cs="Segoe UI"/>
                <w:kern w:val="2"/>
                <w:sz w:val="17"/>
                <w:szCs w:val="17"/>
                <w:lang w:eastAsia="zh-TW"/>
              </w:rPr>
              <w:t>應收</w:t>
            </w:r>
            <w:r w:rsidR="00D617F9" w:rsidRPr="00D617F9">
              <w:rPr>
                <w:rFonts w:ascii="Calibri" w:eastAsia="細明體" w:hAnsi="Calibri" w:cs="Segoe UI" w:hint="eastAsia"/>
                <w:kern w:val="2"/>
                <w:sz w:val="17"/>
                <w:szCs w:val="17"/>
                <w:lang w:eastAsia="zh-TW"/>
              </w:rPr>
              <w:t>項目</w:t>
            </w:r>
            <w:r w:rsidRPr="001D1285">
              <w:rPr>
                <w:rFonts w:ascii="Calibri" w:eastAsia="細明體" w:hAnsi="Calibri" w:cs="Segoe UI"/>
                <w:kern w:val="2"/>
                <w:sz w:val="17"/>
                <w:szCs w:val="17"/>
                <w:lang w:eastAsia="zh-TW"/>
              </w:rPr>
              <w:t>資產的扣減，</w:t>
            </w:r>
            <w:r w:rsidR="00D617F9" w:rsidRPr="00D617F9">
              <w:rPr>
                <w:rFonts w:ascii="Calibri" w:eastAsia="細明體" w:hAnsi="Calibri" w:cs="Segoe UI" w:hint="eastAsia"/>
                <w:kern w:val="2"/>
                <w:sz w:val="17"/>
                <w:szCs w:val="17"/>
                <w:lang w:eastAsia="zh-TW"/>
              </w:rPr>
              <w:t>前提是該提供的現金變動保證金</w:t>
            </w:r>
            <w:r w:rsidRPr="001D1285">
              <w:rPr>
                <w:rFonts w:ascii="Calibri" w:eastAsia="細明體" w:hAnsi="Calibri" w:cs="Segoe UI"/>
                <w:kern w:val="2"/>
                <w:sz w:val="17"/>
                <w:szCs w:val="17"/>
                <w:lang w:eastAsia="zh-TW"/>
              </w:rPr>
              <w:t>根據認可機構的適用會計</w:t>
            </w:r>
            <w:r w:rsidRPr="001D1285">
              <w:rPr>
                <w:rFonts w:ascii="Calibri" w:eastAsia="細明體" w:hAnsi="Calibri" w:cs="Segoe UI" w:hint="eastAsia"/>
                <w:kern w:val="2"/>
                <w:sz w:val="17"/>
                <w:szCs w:val="17"/>
                <w:lang w:eastAsia="zh-HK"/>
              </w:rPr>
              <w:t>準則</w:t>
            </w:r>
            <w:r w:rsidRPr="001D1285">
              <w:rPr>
                <w:rFonts w:ascii="Calibri" w:eastAsia="細明體" w:hAnsi="Calibri" w:cs="Segoe UI"/>
                <w:kern w:val="2"/>
                <w:sz w:val="17"/>
                <w:szCs w:val="17"/>
                <w:lang w:eastAsia="zh-TW"/>
              </w:rPr>
              <w:t>已確認為應收</w:t>
            </w:r>
            <w:r w:rsidR="00D617F9" w:rsidRPr="00D617F9">
              <w:rPr>
                <w:rFonts w:ascii="Calibri" w:eastAsia="細明體" w:hAnsi="Calibri" w:cs="Segoe UI" w:hint="eastAsia"/>
                <w:kern w:val="2"/>
                <w:sz w:val="17"/>
                <w:szCs w:val="17"/>
                <w:lang w:eastAsia="zh-TW"/>
              </w:rPr>
              <w:t>項目</w:t>
            </w:r>
            <w:r w:rsidRPr="001D1285">
              <w:rPr>
                <w:rFonts w:ascii="Calibri" w:eastAsia="細明體" w:hAnsi="Calibri" w:cs="Segoe UI"/>
                <w:kern w:val="2"/>
                <w:sz w:val="17"/>
                <w:szCs w:val="17"/>
                <w:lang w:eastAsia="zh-TW"/>
              </w:rPr>
              <w:t>資產。由於第</w:t>
            </w:r>
            <w:r w:rsidRPr="001D1285">
              <w:rPr>
                <w:rFonts w:ascii="Calibri" w:eastAsia="細明體" w:hAnsi="Calibri" w:cs="Segoe UI" w:hint="eastAsia"/>
                <w:kern w:val="2"/>
                <w:sz w:val="17"/>
                <w:szCs w:val="17"/>
                <w:lang w:eastAsia="zh-TW"/>
              </w:rPr>
              <w:t>3</w:t>
            </w:r>
            <w:r w:rsidRPr="001D1285">
              <w:rPr>
                <w:rFonts w:ascii="Calibri" w:eastAsia="細明體" w:hAnsi="Calibri" w:cs="Segoe UI"/>
                <w:kern w:val="2"/>
                <w:sz w:val="17"/>
                <w:szCs w:val="17"/>
                <w:lang w:eastAsia="zh-TW"/>
              </w:rPr>
              <w:t>行的調整會降低風險承擔計量</w:t>
            </w:r>
            <w:r w:rsidRPr="001D1285">
              <w:rPr>
                <w:rFonts w:ascii="Calibri" w:eastAsia="細明體" w:hAnsi="Calibri" w:cs="Segoe UI" w:hint="eastAsia"/>
                <w:kern w:val="2"/>
                <w:sz w:val="17"/>
                <w:szCs w:val="17"/>
                <w:lang w:eastAsia="zh-TW"/>
              </w:rPr>
              <w:t>，</w:t>
            </w:r>
            <w:r w:rsidRPr="001D1285">
              <w:rPr>
                <w:rFonts w:ascii="Calibri" w:eastAsia="細明體" w:hAnsi="Calibri" w:cs="Segoe UI" w:hint="eastAsia"/>
                <w:kern w:val="2"/>
                <w:sz w:val="17"/>
                <w:szCs w:val="17"/>
                <w:lang w:eastAsia="zh-HK"/>
              </w:rPr>
              <w:t>此項</w:t>
            </w:r>
            <w:r w:rsidRPr="001D1285">
              <w:rPr>
                <w:rFonts w:ascii="Calibri" w:eastAsia="細明體" w:hAnsi="Calibri" w:cs="Segoe UI"/>
                <w:kern w:val="2"/>
                <w:sz w:val="17"/>
                <w:szCs w:val="17"/>
                <w:lang w:eastAsia="zh-TW"/>
              </w:rPr>
              <w:t>應以負數</w:t>
            </w:r>
            <w:r w:rsidRPr="001D1285">
              <w:rPr>
                <w:rFonts w:ascii="Calibri" w:eastAsia="細明體" w:hAnsi="Calibri" w:cs="Segoe UI"/>
                <w:kern w:val="2"/>
                <w:sz w:val="17"/>
                <w:szCs w:val="17"/>
                <w:lang w:val="en-US" w:eastAsia="zh-TW"/>
              </w:rPr>
              <w:t>額</w:t>
            </w:r>
            <w:r w:rsidRPr="001D1285">
              <w:rPr>
                <w:rFonts w:ascii="Calibri" w:eastAsia="細明體" w:hAnsi="Calibri" w:cs="Segoe UI"/>
                <w:kern w:val="2"/>
                <w:sz w:val="17"/>
                <w:szCs w:val="17"/>
                <w:lang w:eastAsia="zh-TW"/>
              </w:rPr>
              <w:t>形式填報。</w:t>
            </w:r>
          </w:p>
        </w:tc>
      </w:tr>
      <w:tr w:rsidR="001D1285" w:rsidRPr="001D1285" w14:paraId="458BB4A9" w14:textId="77777777" w:rsidTr="00C361C1">
        <w:trPr>
          <w:trHeight w:val="373"/>
        </w:trPr>
        <w:tc>
          <w:tcPr>
            <w:tcW w:w="738" w:type="dxa"/>
          </w:tcPr>
          <w:p w14:paraId="0AB652A7" w14:textId="7777777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4</w:t>
            </w:r>
          </w:p>
        </w:tc>
        <w:tc>
          <w:tcPr>
            <w:tcW w:w="8221" w:type="dxa"/>
          </w:tcPr>
          <w:p w14:paraId="0F8D94A2" w14:textId="670A13A9" w:rsidR="001D1285" w:rsidRPr="001D1285" w:rsidRDefault="001D1285" w:rsidP="00EA09A4">
            <w:pPr>
              <w:spacing w:before="40" w:after="40"/>
              <w:jc w:val="both"/>
              <w:rPr>
                <w:rFonts w:ascii="Calibri" w:eastAsia="細明體" w:hAnsi="Calibri" w:cs="Segoe UI"/>
                <w:kern w:val="2"/>
                <w:sz w:val="17"/>
                <w:szCs w:val="17"/>
                <w:lang w:val="en-US" w:eastAsia="zh-TW"/>
              </w:rPr>
            </w:pPr>
            <w:r w:rsidRPr="001D1285">
              <w:rPr>
                <w:rFonts w:ascii="Calibri" w:eastAsia="細明體" w:hAnsi="Calibri" w:cs="Segoe UI" w:hint="eastAsia"/>
                <w:kern w:val="2"/>
                <w:sz w:val="17"/>
                <w:szCs w:val="17"/>
                <w:lang w:val="en-US" w:eastAsia="zh-HK"/>
              </w:rPr>
              <w:t>就</w:t>
            </w:r>
            <w:r w:rsidRPr="001D1285">
              <w:rPr>
                <w:rFonts w:ascii="Calibri" w:eastAsia="細明體" w:hAnsi="Calibri" w:cs="Segoe UI"/>
                <w:kern w:val="2"/>
                <w:sz w:val="17"/>
                <w:szCs w:val="17"/>
                <w:lang w:eastAsia="zh-TW"/>
              </w:rPr>
              <w:t>SFT</w:t>
            </w:r>
            <w:r w:rsidRPr="001D1285">
              <w:rPr>
                <w:rFonts w:ascii="Calibri" w:eastAsia="細明體" w:hAnsi="Calibri" w:cs="Segoe UI"/>
                <w:kern w:val="2"/>
                <w:sz w:val="17"/>
                <w:szCs w:val="17"/>
                <w:lang w:eastAsia="zh-TW"/>
              </w:rPr>
              <w:t>收</w:t>
            </w:r>
            <w:r w:rsidR="00DF7FBD">
              <w:rPr>
                <w:rFonts w:ascii="Calibri" w:eastAsia="細明體" w:hAnsi="Calibri" w:cs="Segoe UI" w:hint="eastAsia"/>
                <w:kern w:val="2"/>
                <w:sz w:val="17"/>
                <w:szCs w:val="17"/>
                <w:lang w:eastAsia="zh-HK"/>
              </w:rPr>
              <w:t>到</w:t>
            </w:r>
            <w:r w:rsidR="00086750" w:rsidRPr="001D1285">
              <w:rPr>
                <w:rFonts w:ascii="Calibri" w:eastAsia="細明體" w:hAnsi="Calibri" w:cs="Segoe UI"/>
                <w:kern w:val="2"/>
                <w:sz w:val="17"/>
                <w:szCs w:val="17"/>
                <w:lang w:eastAsia="zh-TW"/>
              </w:rPr>
              <w:t>的</w:t>
            </w:r>
            <w:r w:rsidR="001F1EF0">
              <w:rPr>
                <w:rFonts w:ascii="Calibri" w:eastAsia="細明體" w:hAnsi="Calibri" w:cs="Segoe UI" w:hint="eastAsia"/>
                <w:kern w:val="2"/>
                <w:sz w:val="17"/>
                <w:szCs w:val="17"/>
                <w:lang w:eastAsia="zh-HK"/>
              </w:rPr>
              <w:t>並</w:t>
            </w:r>
            <w:r w:rsidRPr="001D1285">
              <w:rPr>
                <w:rFonts w:ascii="Calibri" w:eastAsia="細明體" w:hAnsi="Calibri" w:cs="Segoe UI"/>
                <w:kern w:val="2"/>
                <w:sz w:val="17"/>
                <w:szCs w:val="17"/>
                <w:lang w:eastAsia="zh-TW"/>
              </w:rPr>
              <w:t>在認可機構資產負債表內已確認為資產的</w:t>
            </w:r>
            <w:r w:rsidR="00305C3A" w:rsidRPr="00305C3A">
              <w:rPr>
                <w:rFonts w:ascii="Calibri" w:eastAsia="細明體" w:hAnsi="Calibri" w:cs="Segoe UI" w:hint="eastAsia"/>
                <w:kern w:val="2"/>
                <w:sz w:val="17"/>
                <w:szCs w:val="17"/>
                <w:lang w:eastAsia="zh-TW"/>
              </w:rPr>
              <w:t>資產（貨幣除外）</w:t>
            </w:r>
            <w:r w:rsidR="001F1EF0">
              <w:rPr>
                <w:rFonts w:ascii="Calibri" w:eastAsia="細明體" w:hAnsi="Calibri" w:cs="Segoe UI" w:hint="eastAsia"/>
                <w:kern w:val="2"/>
                <w:sz w:val="17"/>
                <w:szCs w:val="17"/>
                <w:lang w:eastAsia="zh-HK"/>
              </w:rPr>
              <w:t>所</w:t>
            </w:r>
            <w:r w:rsidRPr="001D1285">
              <w:rPr>
                <w:rFonts w:ascii="Calibri" w:eastAsia="細明體" w:hAnsi="Calibri" w:cs="Segoe UI" w:hint="eastAsia"/>
                <w:kern w:val="2"/>
                <w:sz w:val="17"/>
                <w:szCs w:val="17"/>
                <w:lang w:val="en-US" w:eastAsia="zh-HK"/>
              </w:rPr>
              <w:t>作出的調整</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HK"/>
              </w:rPr>
              <w:t>有關數額應根據槓桿比率框架</w:t>
            </w:r>
            <w:r w:rsidR="00EA09A4">
              <w:rPr>
                <w:rFonts w:ascii="Calibri" w:eastAsia="細明體" w:hAnsi="Calibri" w:cs="Segoe UI" w:hint="eastAsia"/>
                <w:kern w:val="2"/>
                <w:sz w:val="17"/>
                <w:szCs w:val="17"/>
                <w:lang w:val="en-US" w:eastAsia="zh-HK"/>
              </w:rPr>
              <w:t>就</w:t>
            </w:r>
            <w:r w:rsidR="00EA09A4" w:rsidRPr="001D1285">
              <w:rPr>
                <w:rFonts w:ascii="Calibri" w:eastAsia="細明體" w:hAnsi="Calibri" w:cs="Segoe UI" w:hint="eastAsia"/>
                <w:kern w:val="2"/>
                <w:sz w:val="17"/>
                <w:szCs w:val="17"/>
                <w:lang w:val="en-US" w:eastAsia="zh-TW"/>
              </w:rPr>
              <w:t>SFT</w:t>
            </w:r>
            <w:r w:rsidR="00EA09A4" w:rsidRPr="001D1285">
              <w:rPr>
                <w:rFonts w:ascii="Calibri" w:eastAsia="細明體" w:hAnsi="Calibri" w:cs="Segoe UI" w:hint="eastAsia"/>
                <w:kern w:val="2"/>
                <w:sz w:val="17"/>
                <w:szCs w:val="17"/>
                <w:lang w:val="en-US" w:eastAsia="zh-HK"/>
              </w:rPr>
              <w:t>風險承擔</w:t>
            </w:r>
            <w:r w:rsidR="00EA09A4">
              <w:rPr>
                <w:rFonts w:ascii="Calibri" w:eastAsia="細明體" w:hAnsi="Calibri" w:cs="Segoe UI" w:hint="eastAsia"/>
                <w:kern w:val="2"/>
                <w:sz w:val="17"/>
                <w:szCs w:val="17"/>
                <w:lang w:val="en-US" w:eastAsia="zh-HK"/>
              </w:rPr>
              <w:t>所定</w:t>
            </w:r>
            <w:r w:rsidR="00050A21">
              <w:rPr>
                <w:rFonts w:ascii="Calibri" w:eastAsia="細明體" w:hAnsi="Calibri" w:cs="Segoe UI" w:hint="eastAsia"/>
                <w:kern w:val="2"/>
                <w:sz w:val="17"/>
                <w:szCs w:val="17"/>
                <w:lang w:val="en-US" w:eastAsia="zh-HK"/>
              </w:rPr>
              <w:t>，並</w:t>
            </w:r>
            <w:r w:rsidRPr="001D1285">
              <w:rPr>
                <w:rFonts w:ascii="Calibri" w:eastAsia="細明體" w:hAnsi="Calibri" w:cs="Segoe UI" w:hint="eastAsia"/>
                <w:kern w:val="2"/>
                <w:sz w:val="17"/>
                <w:szCs w:val="17"/>
                <w:lang w:val="en-US" w:eastAsia="zh-HK"/>
              </w:rPr>
              <w:t>從風險承擔計量中豁除</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kern w:val="2"/>
                <w:sz w:val="17"/>
                <w:szCs w:val="17"/>
                <w:lang w:eastAsia="zh-TW"/>
              </w:rPr>
              <w:t>由於</w:t>
            </w:r>
            <w:r w:rsidRPr="001D1285">
              <w:rPr>
                <w:rFonts w:ascii="Calibri" w:eastAsia="細明體" w:hAnsi="Calibri" w:cs="Segoe UI" w:hint="eastAsia"/>
                <w:kern w:val="2"/>
                <w:sz w:val="17"/>
                <w:szCs w:val="17"/>
                <w:lang w:eastAsia="zh-HK"/>
              </w:rPr>
              <w:t>第</w:t>
            </w:r>
            <w:r w:rsidRPr="001D1285">
              <w:rPr>
                <w:rFonts w:ascii="Calibri" w:eastAsia="細明體" w:hAnsi="Calibri" w:cs="Segoe UI" w:hint="eastAsia"/>
                <w:kern w:val="2"/>
                <w:sz w:val="17"/>
                <w:szCs w:val="17"/>
                <w:lang w:eastAsia="zh-TW"/>
              </w:rPr>
              <w:t>4</w:t>
            </w:r>
            <w:r w:rsidRPr="001D1285">
              <w:rPr>
                <w:rFonts w:ascii="Calibri" w:eastAsia="細明體" w:hAnsi="Calibri" w:cs="Segoe UI" w:hint="eastAsia"/>
                <w:kern w:val="2"/>
                <w:sz w:val="17"/>
                <w:szCs w:val="17"/>
                <w:lang w:eastAsia="zh-HK"/>
              </w:rPr>
              <w:t>行的</w:t>
            </w:r>
            <w:r w:rsidRPr="001D1285">
              <w:rPr>
                <w:rFonts w:ascii="Calibri" w:eastAsia="細明體" w:hAnsi="Calibri" w:cs="Segoe UI"/>
                <w:kern w:val="2"/>
                <w:sz w:val="17"/>
                <w:szCs w:val="17"/>
                <w:lang w:eastAsia="zh-TW"/>
              </w:rPr>
              <w:t>調整會降低風險承擔計量，</w:t>
            </w:r>
            <w:r w:rsidRPr="001D1285">
              <w:rPr>
                <w:rFonts w:ascii="Calibri" w:eastAsia="細明體" w:hAnsi="Calibri" w:cs="Segoe UI" w:hint="eastAsia"/>
                <w:kern w:val="2"/>
                <w:sz w:val="17"/>
                <w:szCs w:val="17"/>
                <w:lang w:eastAsia="zh-HK"/>
              </w:rPr>
              <w:t>此項</w:t>
            </w:r>
            <w:r w:rsidRPr="001D1285">
              <w:rPr>
                <w:rFonts w:ascii="Calibri" w:eastAsia="細明體" w:hAnsi="Calibri" w:cs="Segoe UI"/>
                <w:kern w:val="2"/>
                <w:sz w:val="17"/>
                <w:szCs w:val="17"/>
                <w:lang w:eastAsia="zh-TW"/>
              </w:rPr>
              <w:t>應以負數</w:t>
            </w:r>
            <w:r w:rsidRPr="001D1285">
              <w:rPr>
                <w:rFonts w:ascii="Calibri" w:eastAsia="細明體" w:hAnsi="Calibri" w:cs="Segoe UI"/>
                <w:kern w:val="2"/>
                <w:sz w:val="17"/>
                <w:szCs w:val="17"/>
                <w:lang w:val="en-US" w:eastAsia="zh-TW"/>
              </w:rPr>
              <w:t>額</w:t>
            </w:r>
            <w:r w:rsidRPr="001D1285">
              <w:rPr>
                <w:rFonts w:ascii="Calibri" w:eastAsia="細明體" w:hAnsi="Calibri" w:cs="Segoe UI"/>
                <w:kern w:val="2"/>
                <w:sz w:val="17"/>
                <w:szCs w:val="17"/>
                <w:lang w:eastAsia="zh-TW"/>
              </w:rPr>
              <w:t>形式填報</w:t>
            </w:r>
            <w:r w:rsidRPr="001D1285">
              <w:rPr>
                <w:rFonts w:ascii="Calibri" w:eastAsia="細明體" w:hAnsi="Calibri" w:cs="Segoe UI" w:hint="eastAsia"/>
                <w:kern w:val="2"/>
                <w:sz w:val="17"/>
                <w:szCs w:val="17"/>
                <w:lang w:eastAsia="zh-TW"/>
              </w:rPr>
              <w:t>。</w:t>
            </w:r>
          </w:p>
        </w:tc>
      </w:tr>
      <w:tr w:rsidR="001D1285" w:rsidRPr="001D1285" w14:paraId="04612916" w14:textId="77777777" w:rsidTr="00C361C1">
        <w:trPr>
          <w:trHeight w:val="373"/>
        </w:trPr>
        <w:tc>
          <w:tcPr>
            <w:tcW w:w="738" w:type="dxa"/>
          </w:tcPr>
          <w:p w14:paraId="1B9E9EE0" w14:textId="77777777" w:rsidR="001D1285" w:rsidRPr="005753A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eastAsia="en-GB"/>
              </w:rPr>
            </w:pPr>
            <w:r w:rsidRPr="001D1285">
              <w:rPr>
                <w:rFonts w:ascii="Calibri" w:eastAsia="新細明體" w:hAnsi="Calibri" w:cs="Segoe UI" w:hint="eastAsia"/>
                <w:kern w:val="2"/>
                <w:sz w:val="17"/>
                <w:szCs w:val="17"/>
                <w:lang w:val="en-US" w:eastAsia="zh-TW"/>
              </w:rPr>
              <w:t>5</w:t>
            </w:r>
          </w:p>
        </w:tc>
        <w:tc>
          <w:tcPr>
            <w:tcW w:w="8221" w:type="dxa"/>
          </w:tcPr>
          <w:p w14:paraId="2F41A4EF" w14:textId="61A7A488" w:rsidR="001D1285" w:rsidRPr="001D1285" w:rsidRDefault="001D1285" w:rsidP="00FC55B4">
            <w:pPr>
              <w:spacing w:before="40" w:after="40"/>
              <w:jc w:val="both"/>
              <w:rPr>
                <w:rFonts w:ascii="Calibri" w:eastAsia="細明體" w:hAnsi="Calibri" w:cs="Segoe UI"/>
                <w:kern w:val="2"/>
                <w:sz w:val="17"/>
                <w:szCs w:val="17"/>
                <w:lang w:val="en-US" w:eastAsia="zh-TW"/>
              </w:rPr>
            </w:pPr>
            <w:r w:rsidRPr="001D1285">
              <w:rPr>
                <w:rFonts w:ascii="Calibri" w:eastAsia="細明體" w:hAnsi="Calibri" w:cs="Segoe UI"/>
                <w:kern w:val="2"/>
                <w:sz w:val="17"/>
                <w:szCs w:val="17"/>
                <w:lang w:eastAsia="zh-HK"/>
              </w:rPr>
              <w:t>在此行</w:t>
            </w:r>
            <w:r w:rsidR="00FC55B4" w:rsidRPr="001D1285">
              <w:rPr>
                <w:rFonts w:ascii="Calibri" w:eastAsia="細明體" w:hAnsi="Calibri" w:cs="Segoe UI"/>
                <w:kern w:val="2"/>
                <w:sz w:val="17"/>
                <w:szCs w:val="17"/>
                <w:lang w:eastAsia="zh-HK"/>
              </w:rPr>
              <w:t>可</w:t>
            </w:r>
            <w:r w:rsidRPr="001D1285">
              <w:rPr>
                <w:rFonts w:ascii="Calibri" w:eastAsia="細明體" w:hAnsi="Calibri" w:cs="Segoe UI"/>
                <w:kern w:val="2"/>
                <w:sz w:val="17"/>
                <w:szCs w:val="17"/>
                <w:lang w:eastAsia="zh-HK"/>
              </w:rPr>
              <w:t>填報降低資產負債表內風險承擔計量的特定準備金及集體準備金（如有）</w:t>
            </w:r>
            <w:r w:rsidRPr="001D1285">
              <w:rPr>
                <w:rFonts w:ascii="Calibri" w:eastAsia="細明體" w:hAnsi="Calibri" w:cs="Segoe UI" w:hint="eastAsia"/>
                <w:kern w:val="2"/>
                <w:sz w:val="17"/>
                <w:szCs w:val="17"/>
                <w:lang w:eastAsia="zh-TW"/>
              </w:rPr>
              <w:t>，</w:t>
            </w:r>
            <w:r w:rsidRPr="001D1285">
              <w:rPr>
                <w:rFonts w:ascii="Calibri" w:eastAsia="細明體" w:hAnsi="Calibri" w:cs="Segoe UI" w:hint="eastAsia"/>
                <w:kern w:val="2"/>
                <w:sz w:val="17"/>
                <w:szCs w:val="17"/>
                <w:lang w:eastAsia="zh-HK"/>
              </w:rPr>
              <w:t>惟有關的降低</w:t>
            </w:r>
            <w:r w:rsidRPr="001D1285">
              <w:rPr>
                <w:rFonts w:ascii="Calibri" w:eastAsia="細明體" w:hAnsi="Calibri" w:cs="Segoe UI"/>
                <w:kern w:val="2"/>
                <w:sz w:val="17"/>
                <w:szCs w:val="17"/>
                <w:lang w:eastAsia="zh-HK"/>
              </w:rPr>
              <w:t>風險承擔計量</w:t>
            </w:r>
            <w:r w:rsidRPr="001D1285">
              <w:rPr>
                <w:rFonts w:ascii="Calibri" w:eastAsia="細明體" w:hAnsi="Calibri" w:cs="Segoe UI" w:hint="eastAsia"/>
                <w:kern w:val="2"/>
                <w:sz w:val="17"/>
                <w:szCs w:val="17"/>
                <w:lang w:eastAsia="zh-HK"/>
              </w:rPr>
              <w:t>須為</w:t>
            </w:r>
            <w:r w:rsidRPr="001D1285">
              <w:rPr>
                <w:rFonts w:ascii="Calibri" w:eastAsia="細明體" w:hAnsi="Calibri" w:cs="Segoe UI"/>
                <w:kern w:val="2"/>
                <w:sz w:val="17"/>
                <w:szCs w:val="17"/>
                <w:lang w:eastAsia="zh-HK"/>
              </w:rPr>
              <w:t>《資本規則》第</w:t>
            </w:r>
            <w:r w:rsidRPr="001D1285">
              <w:rPr>
                <w:rFonts w:ascii="Calibri" w:eastAsia="細明體" w:hAnsi="Calibri" w:cs="Segoe UI"/>
                <w:kern w:val="2"/>
                <w:sz w:val="17"/>
                <w:szCs w:val="17"/>
                <w:lang w:eastAsia="zh-HK"/>
              </w:rPr>
              <w:t>1C</w:t>
            </w:r>
            <w:r w:rsidRPr="001D1285">
              <w:rPr>
                <w:rFonts w:ascii="Calibri" w:eastAsia="細明體" w:hAnsi="Calibri" w:cs="Segoe UI"/>
                <w:kern w:val="2"/>
                <w:sz w:val="17"/>
                <w:szCs w:val="17"/>
                <w:lang w:eastAsia="zh-HK"/>
              </w:rPr>
              <w:t>部</w:t>
            </w:r>
            <w:r w:rsidRPr="001D1285">
              <w:rPr>
                <w:rFonts w:ascii="Calibri" w:eastAsia="細明體" w:hAnsi="Calibri" w:cs="Segoe UI" w:hint="eastAsia"/>
                <w:kern w:val="2"/>
                <w:sz w:val="17"/>
                <w:szCs w:val="17"/>
                <w:lang w:eastAsia="zh-HK"/>
              </w:rPr>
              <w:t>所容許者</w:t>
            </w:r>
            <w:r w:rsidRPr="001D1285">
              <w:rPr>
                <w:rFonts w:ascii="Calibri" w:eastAsia="細明體" w:hAnsi="Calibri" w:cs="Segoe UI"/>
                <w:kern w:val="2"/>
                <w:sz w:val="17"/>
                <w:szCs w:val="17"/>
                <w:lang w:eastAsia="zh-HK"/>
              </w:rPr>
              <w:t>。由於</w:t>
            </w:r>
            <w:r w:rsidRPr="001D1285">
              <w:rPr>
                <w:rFonts w:ascii="Calibri" w:eastAsia="細明體" w:hAnsi="Calibri" w:cs="Segoe UI" w:hint="eastAsia"/>
                <w:kern w:val="2"/>
                <w:sz w:val="17"/>
                <w:szCs w:val="17"/>
                <w:lang w:eastAsia="zh-HK"/>
              </w:rPr>
              <w:t>這些</w:t>
            </w:r>
            <w:r w:rsidRPr="001D1285">
              <w:rPr>
                <w:rFonts w:ascii="Calibri" w:eastAsia="細明體" w:hAnsi="Calibri" w:cs="Segoe UI"/>
                <w:kern w:val="2"/>
                <w:sz w:val="17"/>
                <w:szCs w:val="17"/>
                <w:lang w:eastAsia="zh-HK"/>
              </w:rPr>
              <w:t>調整會降低風險承擔計量，</w:t>
            </w:r>
            <w:r w:rsidRPr="001D1285">
              <w:rPr>
                <w:rFonts w:ascii="Calibri" w:eastAsia="細明體" w:hAnsi="Calibri" w:cs="Segoe UI" w:hint="eastAsia"/>
                <w:kern w:val="2"/>
                <w:sz w:val="17"/>
                <w:szCs w:val="17"/>
                <w:lang w:eastAsia="zh-HK"/>
              </w:rPr>
              <w:t>此項</w:t>
            </w:r>
            <w:r w:rsidRPr="001D1285">
              <w:rPr>
                <w:rFonts w:ascii="Calibri" w:eastAsia="細明體" w:hAnsi="Calibri" w:cs="Segoe UI"/>
                <w:kern w:val="2"/>
                <w:sz w:val="17"/>
                <w:szCs w:val="17"/>
                <w:lang w:eastAsia="zh-HK"/>
              </w:rPr>
              <w:t>應以負數</w:t>
            </w:r>
            <w:r w:rsidRPr="001D1285">
              <w:rPr>
                <w:rFonts w:ascii="Calibri" w:eastAsia="細明體" w:hAnsi="Calibri" w:cs="Segoe UI"/>
                <w:kern w:val="2"/>
                <w:sz w:val="17"/>
                <w:szCs w:val="17"/>
                <w:lang w:val="en-US" w:eastAsia="zh-TW"/>
              </w:rPr>
              <w:t>額</w:t>
            </w:r>
            <w:r w:rsidRPr="001D1285">
              <w:rPr>
                <w:rFonts w:ascii="Calibri" w:eastAsia="細明體" w:hAnsi="Calibri" w:cs="Segoe UI"/>
                <w:kern w:val="2"/>
                <w:sz w:val="17"/>
                <w:szCs w:val="17"/>
                <w:lang w:eastAsia="zh-HK"/>
              </w:rPr>
              <w:t>形式填報。</w:t>
            </w:r>
          </w:p>
        </w:tc>
      </w:tr>
      <w:tr w:rsidR="001D1285" w:rsidRPr="001D1285" w14:paraId="2B361A84" w14:textId="77777777" w:rsidTr="00C361C1">
        <w:trPr>
          <w:trHeight w:val="373"/>
        </w:trPr>
        <w:tc>
          <w:tcPr>
            <w:tcW w:w="738" w:type="dxa"/>
          </w:tcPr>
          <w:p w14:paraId="1E71F6AE" w14:textId="5845B681"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6</w:t>
            </w:r>
          </w:p>
        </w:tc>
        <w:tc>
          <w:tcPr>
            <w:tcW w:w="8221" w:type="dxa"/>
          </w:tcPr>
          <w:p w14:paraId="151121D8" w14:textId="77777777"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因根據《資本規則》第</w:t>
            </w:r>
            <w:r w:rsidRPr="001D1285">
              <w:rPr>
                <w:rFonts w:ascii="Calibri" w:eastAsia="新細明體" w:hAnsi="Calibri" w:cs="Segoe UI"/>
                <w:kern w:val="2"/>
                <w:sz w:val="17"/>
                <w:szCs w:val="17"/>
                <w:lang w:val="en-US" w:eastAsia="zh-TW"/>
              </w:rPr>
              <w:t>3ZB(4)</w:t>
            </w:r>
            <w:r w:rsidRPr="001D1285">
              <w:rPr>
                <w:rFonts w:ascii="Calibri" w:eastAsia="新細明體" w:hAnsi="Calibri" w:cs="Segoe UI"/>
                <w:kern w:val="2"/>
                <w:sz w:val="17"/>
                <w:szCs w:val="17"/>
                <w:lang w:val="en-US" w:eastAsia="zh-TW"/>
              </w:rPr>
              <w:t>條</w:t>
            </w:r>
            <w:r w:rsidRPr="001D1285">
              <w:rPr>
                <w:rFonts w:ascii="Calibri" w:eastAsia="細明體" w:hAnsi="Calibri" w:cs="Segoe UI"/>
                <w:kern w:val="2"/>
                <w:sz w:val="17"/>
                <w:szCs w:val="17"/>
                <w:lang w:val="en-US" w:eastAsia="zh-TW"/>
              </w:rPr>
              <w:t>從一級資本作出扣減而對資產負債表資產的調整</w:t>
            </w:r>
            <w:r w:rsidRPr="001D1285">
              <w:rPr>
                <w:rFonts w:ascii="Calibri" w:eastAsia="新細明體" w:hAnsi="Calibri" w:cs="Segoe UI"/>
                <w:kern w:val="2"/>
                <w:sz w:val="17"/>
                <w:szCs w:val="17"/>
                <w:lang w:val="en-US" w:eastAsia="zh-TW"/>
              </w:rPr>
              <w:t>。例如：</w:t>
            </w:r>
          </w:p>
          <w:p w14:paraId="4D4C0A86" w14:textId="77777777" w:rsidR="001D1285" w:rsidRPr="001D1285" w:rsidRDefault="001D1285" w:rsidP="00D540EB">
            <w:pPr>
              <w:keepLines/>
              <w:widowControl w:val="0"/>
              <w:numPr>
                <w:ilvl w:val="0"/>
                <w:numId w:val="15"/>
              </w:numPr>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如金融業實體不包括在監管綜合範圍，認可機構可從風險承擔計量中扣減按照相應扣減方法從其普通股權一級</w:t>
            </w:r>
            <w:r w:rsidRPr="001D1285">
              <w:rPr>
                <w:rFonts w:ascii="Calibri" w:eastAsia="新細明體" w:hAnsi="Calibri" w:cs="Segoe UI"/>
                <w:kern w:val="2"/>
                <w:sz w:val="17"/>
                <w:szCs w:val="17"/>
                <w:lang w:val="en-US" w:eastAsia="zh-TW"/>
              </w:rPr>
              <w:t>(CET1)</w:t>
            </w:r>
            <w:r w:rsidRPr="001D1285">
              <w:rPr>
                <w:rFonts w:ascii="Calibri" w:eastAsia="新細明體" w:hAnsi="Calibri" w:cs="Segoe UI"/>
                <w:kern w:val="2"/>
                <w:sz w:val="17"/>
                <w:szCs w:val="17"/>
                <w:lang w:val="en-US" w:eastAsia="zh-TW"/>
              </w:rPr>
              <w:t>資本或額外一級資本中已完全或部分</w:t>
            </w:r>
            <w:proofErr w:type="gramStart"/>
            <w:r w:rsidRPr="001D1285">
              <w:rPr>
                <w:rFonts w:ascii="Calibri" w:eastAsia="新細明體" w:hAnsi="Calibri" w:cs="Segoe UI"/>
                <w:kern w:val="2"/>
                <w:sz w:val="17"/>
                <w:szCs w:val="17"/>
                <w:lang w:val="en-US" w:eastAsia="zh-TW"/>
              </w:rPr>
              <w:t>扣減於該</w:t>
            </w:r>
            <w:proofErr w:type="gramEnd"/>
            <w:r w:rsidRPr="001D1285">
              <w:rPr>
                <w:rFonts w:ascii="Calibri" w:eastAsia="新細明體" w:hAnsi="Calibri" w:cs="Segoe UI"/>
                <w:kern w:val="2"/>
                <w:sz w:val="17"/>
                <w:szCs w:val="17"/>
                <w:lang w:val="en-US" w:eastAsia="zh-TW"/>
              </w:rPr>
              <w:t>實體任何資本投資的數額。</w:t>
            </w:r>
          </w:p>
          <w:p w14:paraId="793C9337" w14:textId="77777777" w:rsidR="001D1285" w:rsidRPr="001D1285" w:rsidRDefault="001D1285" w:rsidP="00D540EB">
            <w:pPr>
              <w:keepLines/>
              <w:widowControl w:val="0"/>
              <w:numPr>
                <w:ilvl w:val="0"/>
                <w:numId w:val="15"/>
              </w:numPr>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如</w:t>
            </w:r>
            <w:r w:rsidRPr="001D1285">
              <w:rPr>
                <w:rFonts w:ascii="Calibri" w:eastAsia="細明體" w:hAnsi="Calibri" w:cs="Segoe UI"/>
                <w:kern w:val="2"/>
                <w:sz w:val="17"/>
                <w:szCs w:val="17"/>
                <w:lang w:val="en-US" w:eastAsia="zh-TW"/>
              </w:rPr>
              <w:t>認可機構</w:t>
            </w:r>
            <w:r w:rsidRPr="001D1285">
              <w:rPr>
                <w:rFonts w:ascii="Calibri" w:eastAsia="新細明體" w:hAnsi="Calibri" w:cs="Segoe UI"/>
                <w:kern w:val="2"/>
                <w:sz w:val="17"/>
                <w:szCs w:val="17"/>
                <w:lang w:val="en-US" w:eastAsia="zh-TW"/>
              </w:rPr>
              <w:t>使用</w:t>
            </w:r>
            <w:r w:rsidRPr="001D1285">
              <w:rPr>
                <w:rFonts w:ascii="Calibri" w:eastAsia="新細明體" w:hAnsi="Calibri" w:cs="Segoe UI"/>
                <w:kern w:val="2"/>
                <w:sz w:val="17"/>
                <w:szCs w:val="17"/>
                <w:lang w:val="en-US" w:eastAsia="zh-TW"/>
              </w:rPr>
              <w:t>IRB</w:t>
            </w:r>
            <w:r w:rsidRPr="001D1285">
              <w:rPr>
                <w:rFonts w:ascii="Calibri" w:eastAsia="新細明體" w:hAnsi="Calibri" w:cs="Segoe UI"/>
                <w:kern w:val="2"/>
                <w:sz w:val="17"/>
                <w:szCs w:val="17"/>
                <w:lang w:val="en-US" w:eastAsia="zh-TW"/>
              </w:rPr>
              <w:t>計算法斷定信用風險的資本規定</w:t>
            </w:r>
            <w:r w:rsidRPr="001D1285">
              <w:rPr>
                <w:rFonts w:ascii="Calibri" w:eastAsia="細明體" w:hAnsi="Calibri" w:cs="Segoe UI"/>
                <w:kern w:val="2"/>
                <w:sz w:val="17"/>
                <w:szCs w:val="17"/>
                <w:lang w:val="en-US" w:eastAsia="zh-TW"/>
              </w:rPr>
              <w:t>，必須從</w:t>
            </w:r>
            <w:r w:rsidRPr="001D1285">
              <w:rPr>
                <w:rFonts w:ascii="Calibri" w:eastAsia="新細明體" w:hAnsi="Calibri" w:cs="Segoe UI"/>
                <w:kern w:val="2"/>
                <w:sz w:val="17"/>
                <w:szCs w:val="17"/>
                <w:lang w:val="en-US" w:eastAsia="zh-TW"/>
              </w:rPr>
              <w:t>CET1</w:t>
            </w:r>
            <w:r w:rsidRPr="001D1285">
              <w:rPr>
                <w:rFonts w:ascii="Calibri" w:eastAsia="新細明體" w:hAnsi="Calibri" w:cs="Segoe UI"/>
                <w:kern w:val="2"/>
                <w:sz w:val="17"/>
                <w:szCs w:val="17"/>
                <w:lang w:val="en-US" w:eastAsia="zh-TW"/>
              </w:rPr>
              <w:t>資本中扣減預期損失總額超出合資格準備金總額的任何數額。該相同數額可從風險承擔計量中扣減。</w:t>
            </w:r>
          </w:p>
          <w:p w14:paraId="23E88B56" w14:textId="05775E2A"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由於</w:t>
            </w:r>
            <w:r w:rsidRPr="001D1285">
              <w:rPr>
                <w:rFonts w:ascii="Calibri" w:eastAsia="細明體" w:hAnsi="Calibri" w:cs="Segoe UI"/>
                <w:kern w:val="2"/>
                <w:sz w:val="17"/>
                <w:szCs w:val="17"/>
                <w:lang w:val="en-US" w:eastAsia="zh-TW"/>
              </w:rPr>
              <w:t>第</w:t>
            </w:r>
            <w:r w:rsidRPr="001D1285">
              <w:rPr>
                <w:rFonts w:ascii="Calibri" w:eastAsia="新細明體" w:hAnsi="Calibri" w:cs="Segoe UI" w:hint="eastAsia"/>
                <w:kern w:val="2"/>
                <w:sz w:val="17"/>
                <w:szCs w:val="17"/>
                <w:lang w:val="en-US" w:eastAsia="zh-TW"/>
              </w:rPr>
              <w:t>6</w:t>
            </w:r>
            <w:r w:rsidRPr="001D1285">
              <w:rPr>
                <w:rFonts w:ascii="Calibri" w:eastAsia="新細明體" w:hAnsi="Calibri" w:cs="Segoe UI"/>
                <w:kern w:val="2"/>
                <w:sz w:val="17"/>
                <w:szCs w:val="17"/>
                <w:lang w:val="en-US" w:eastAsia="zh-TW"/>
              </w:rPr>
              <w:t>行的調整會降低風險承擔計量，此項應以負數</w:t>
            </w:r>
            <w:r w:rsidRPr="001D1285">
              <w:rPr>
                <w:rFonts w:ascii="Calibri" w:eastAsia="細明體" w:hAnsi="Calibri" w:cs="Segoe UI"/>
                <w:kern w:val="2"/>
                <w:sz w:val="17"/>
                <w:szCs w:val="17"/>
                <w:lang w:val="en-US" w:eastAsia="zh-TW"/>
              </w:rPr>
              <w:t>額</w:t>
            </w:r>
            <w:r w:rsidRPr="001D1285">
              <w:rPr>
                <w:rFonts w:ascii="Calibri" w:eastAsia="新細明體" w:hAnsi="Calibri" w:cs="Segoe UI"/>
                <w:kern w:val="2"/>
                <w:sz w:val="17"/>
                <w:szCs w:val="17"/>
                <w:lang w:val="en-US" w:eastAsia="zh-TW"/>
              </w:rPr>
              <w:t>形式填報。</w:t>
            </w:r>
          </w:p>
        </w:tc>
      </w:tr>
      <w:tr w:rsidR="001D1285" w:rsidRPr="001D1285" w14:paraId="48EF752C" w14:textId="77777777" w:rsidTr="00C361C1">
        <w:trPr>
          <w:trHeight w:val="373"/>
        </w:trPr>
        <w:tc>
          <w:tcPr>
            <w:tcW w:w="738" w:type="dxa"/>
          </w:tcPr>
          <w:p w14:paraId="55A3FD3D" w14:textId="4F6428EE"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7</w:t>
            </w:r>
          </w:p>
        </w:tc>
        <w:tc>
          <w:tcPr>
            <w:tcW w:w="8221" w:type="dxa"/>
          </w:tcPr>
          <w:p w14:paraId="0F36EB59" w14:textId="4E3F5A5C"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第</w:t>
            </w:r>
            <w:r w:rsidRPr="001D1285">
              <w:rPr>
                <w:rFonts w:ascii="Calibri" w:eastAsia="新細明體" w:hAnsi="Calibri" w:cs="Segoe UI"/>
                <w:kern w:val="2"/>
                <w:sz w:val="17"/>
                <w:szCs w:val="17"/>
                <w:lang w:val="en-US" w:eastAsia="zh-TW"/>
              </w:rPr>
              <w:t>1</w:t>
            </w:r>
            <w:r w:rsidRPr="001D1285">
              <w:rPr>
                <w:rFonts w:ascii="Calibri" w:eastAsia="新細明體" w:hAnsi="Calibri" w:cs="Segoe UI" w:hint="eastAsia"/>
                <w:kern w:val="2"/>
                <w:sz w:val="17"/>
                <w:szCs w:val="17"/>
                <w:lang w:val="en-US" w:eastAsia="zh-HK"/>
              </w:rPr>
              <w:t>至</w:t>
            </w:r>
            <w:r w:rsidRPr="001D1285">
              <w:rPr>
                <w:rFonts w:ascii="Calibri" w:eastAsia="新細明體" w:hAnsi="Calibri" w:cs="Segoe UI" w:hint="eastAsia"/>
                <w:kern w:val="2"/>
                <w:sz w:val="17"/>
                <w:szCs w:val="17"/>
                <w:lang w:val="en-US" w:eastAsia="zh-TW"/>
              </w:rPr>
              <w:t>6</w:t>
            </w:r>
            <w:r w:rsidRPr="001D1285">
              <w:rPr>
                <w:rFonts w:ascii="Calibri" w:eastAsia="新細明體" w:hAnsi="Calibri" w:cs="Segoe UI"/>
                <w:kern w:val="2"/>
                <w:sz w:val="17"/>
                <w:szCs w:val="17"/>
                <w:lang w:val="en-US" w:eastAsia="zh-TW"/>
              </w:rPr>
              <w:t>行</w:t>
            </w:r>
            <w:r w:rsidRPr="001D1285">
              <w:rPr>
                <w:rFonts w:ascii="Calibri" w:eastAsia="新細明體" w:hAnsi="Calibri" w:cs="Segoe UI" w:hint="eastAsia"/>
                <w:kern w:val="2"/>
                <w:sz w:val="17"/>
                <w:szCs w:val="17"/>
                <w:lang w:val="en-US" w:eastAsia="zh-HK"/>
              </w:rPr>
              <w:t>的</w:t>
            </w:r>
            <w:r w:rsidRPr="001D1285">
              <w:rPr>
                <w:rFonts w:ascii="Calibri" w:eastAsia="新細明體" w:hAnsi="Calibri" w:cs="Segoe UI"/>
                <w:kern w:val="2"/>
                <w:sz w:val="17"/>
                <w:szCs w:val="17"/>
                <w:lang w:val="en-US" w:eastAsia="zh-TW"/>
              </w:rPr>
              <w:t>值的總和。</w:t>
            </w:r>
          </w:p>
        </w:tc>
      </w:tr>
      <w:tr w:rsidR="001D1285" w:rsidRPr="001D1285" w14:paraId="0388B11B" w14:textId="77777777" w:rsidTr="00C361C1">
        <w:trPr>
          <w:trHeight w:val="373"/>
        </w:trPr>
        <w:tc>
          <w:tcPr>
            <w:tcW w:w="738" w:type="dxa"/>
          </w:tcPr>
          <w:p w14:paraId="256EE989" w14:textId="6F7A5EA0"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8</w:t>
            </w:r>
          </w:p>
        </w:tc>
        <w:tc>
          <w:tcPr>
            <w:tcW w:w="8221" w:type="dxa"/>
          </w:tcPr>
          <w:p w14:paraId="2B01EA5D" w14:textId="448D0CD9" w:rsidR="001D1285" w:rsidRPr="001D1285" w:rsidRDefault="001D1285" w:rsidP="001D1285">
            <w:pPr>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所有與衍生工具合約有關的重置成本（包括因客戶與中央交易對手方之間的直接交易產生，而由</w:t>
            </w:r>
            <w:r w:rsidRPr="001D1285">
              <w:rPr>
                <w:rFonts w:ascii="Calibri" w:eastAsia="新細明體" w:hAnsi="Calibri" w:cs="Segoe UI" w:hint="eastAsia"/>
                <w:kern w:val="2"/>
                <w:sz w:val="17"/>
                <w:szCs w:val="17"/>
                <w:lang w:val="en-US" w:eastAsia="zh-HK"/>
              </w:rPr>
              <w:t>認可機構</w:t>
            </w:r>
            <w:r w:rsidRPr="001D1285">
              <w:rPr>
                <w:rFonts w:ascii="Calibri" w:eastAsia="新細明體" w:hAnsi="Calibri" w:cs="Segoe UI"/>
                <w:kern w:val="2"/>
                <w:sz w:val="17"/>
                <w:szCs w:val="17"/>
                <w:lang w:val="en-US" w:eastAsia="zh-TW"/>
              </w:rPr>
              <w:t>擔保其客戶對</w:t>
            </w:r>
            <w:r w:rsidRPr="001D1285">
              <w:rPr>
                <w:rFonts w:ascii="Calibri" w:eastAsia="細明體" w:hAnsi="Calibri" w:cs="Segoe UI" w:hint="eastAsia"/>
                <w:kern w:val="2"/>
                <w:sz w:val="17"/>
                <w:szCs w:val="17"/>
                <w:lang w:val="en-US" w:eastAsia="zh-TW"/>
              </w:rPr>
              <w:t>中央交易對手方</w:t>
            </w:r>
            <w:r w:rsidRPr="001D1285">
              <w:rPr>
                <w:rFonts w:ascii="Calibri" w:eastAsia="新細明體" w:hAnsi="Calibri" w:cs="Segoe UI" w:hint="eastAsia"/>
                <w:kern w:val="2"/>
                <w:sz w:val="17"/>
                <w:szCs w:val="17"/>
                <w:lang w:val="en-US" w:eastAsia="zh-TW"/>
              </w:rPr>
              <w:t>的衍生工具交易風險承擔履約的風險承擔），並扣除已收的現金變動保證金及根據</w:t>
            </w:r>
            <w:r w:rsidRPr="001D1285">
              <w:rPr>
                <w:rFonts w:ascii="Calibri" w:eastAsia="新細明體" w:hAnsi="Calibri" w:cs="Segoe UI" w:hint="eastAsia"/>
                <w:kern w:val="2"/>
                <w:sz w:val="17"/>
                <w:szCs w:val="17"/>
                <w:lang w:val="en-US" w:eastAsia="zh-HK"/>
              </w:rPr>
              <w:t>合資格</w:t>
            </w:r>
            <w:r w:rsidRPr="001D1285">
              <w:rPr>
                <w:rFonts w:ascii="Calibri" w:eastAsia="新細明體" w:hAnsi="Calibri" w:cs="Segoe UI" w:hint="eastAsia"/>
                <w:kern w:val="2"/>
                <w:sz w:val="17"/>
                <w:szCs w:val="17"/>
                <w:lang w:val="en-US" w:eastAsia="zh-TW"/>
              </w:rPr>
              <w:t>的雙邊淨額結算協議（如適用）進行的雙邊淨額結算數額。</w:t>
            </w:r>
            <w:r w:rsidRPr="001D1285">
              <w:rPr>
                <w:rFonts w:ascii="Calibri" w:eastAsia="新細明體" w:hAnsi="Calibri" w:cs="Segoe UI" w:hint="eastAsia"/>
                <w:kern w:val="2"/>
                <w:sz w:val="17"/>
                <w:szCs w:val="17"/>
                <w:lang w:val="en-US" w:eastAsia="zh-HK"/>
              </w:rPr>
              <w:t>填報的數額應計入</w:t>
            </w:r>
            <w:r w:rsidRPr="001D1285">
              <w:rPr>
                <w:rFonts w:ascii="Calibri" w:eastAsia="新細明體" w:hAnsi="Calibri" w:cs="Segoe UI"/>
                <w:kern w:val="2"/>
                <w:sz w:val="17"/>
                <w:szCs w:val="17"/>
                <w:lang w:val="en-US" w:eastAsia="zh-TW"/>
              </w:rPr>
              <w:t>1.4</w:t>
            </w:r>
            <w:r w:rsidRPr="001D1285">
              <w:rPr>
                <w:rFonts w:ascii="Calibri" w:eastAsia="新細明體" w:hAnsi="Calibri" w:cs="Segoe UI" w:hint="eastAsia"/>
                <w:kern w:val="2"/>
                <w:sz w:val="17"/>
                <w:szCs w:val="17"/>
                <w:lang w:val="en-US" w:eastAsia="zh-TW"/>
              </w:rPr>
              <w:t>阿爾法系數（</w:t>
            </w:r>
            <w:r w:rsidRPr="001D1285">
              <w:rPr>
                <w:rFonts w:ascii="Calibri" w:eastAsia="新細明體" w:hAnsi="Calibri" w:cs="Segoe UI" w:hint="eastAsia"/>
                <w:kern w:val="2"/>
                <w:sz w:val="17"/>
                <w:szCs w:val="17"/>
                <w:lang w:val="en-US" w:eastAsia="zh-HK"/>
              </w:rPr>
              <w:t>α</w:t>
            </w:r>
            <w:r w:rsidRPr="001D1285">
              <w:rPr>
                <w:rFonts w:ascii="Calibri" w:eastAsia="新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TW"/>
              </w:rPr>
              <w:t>。</w:t>
            </w:r>
          </w:p>
        </w:tc>
      </w:tr>
      <w:tr w:rsidR="001D1285" w:rsidRPr="001D1285" w14:paraId="0C474DF3" w14:textId="77777777" w:rsidTr="00C361C1">
        <w:trPr>
          <w:trHeight w:val="373"/>
        </w:trPr>
        <w:tc>
          <w:tcPr>
            <w:tcW w:w="738" w:type="dxa"/>
          </w:tcPr>
          <w:p w14:paraId="2DFEF894" w14:textId="7232A9E2"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9</w:t>
            </w:r>
          </w:p>
        </w:tc>
        <w:tc>
          <w:tcPr>
            <w:tcW w:w="8221" w:type="dxa"/>
          </w:tcPr>
          <w:p w14:paraId="29932035" w14:textId="1CAC4721"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所有與衍生工具合約有關的潛在未來風險承擔的附加額。</w:t>
            </w:r>
            <w:r w:rsidRPr="001D1285">
              <w:rPr>
                <w:rFonts w:ascii="Calibri" w:eastAsia="新細明體" w:hAnsi="Calibri" w:cs="Segoe UI" w:hint="eastAsia"/>
                <w:kern w:val="2"/>
                <w:sz w:val="17"/>
                <w:szCs w:val="17"/>
                <w:lang w:val="en-US" w:eastAsia="zh-HK"/>
              </w:rPr>
              <w:t>填報的數額應計入</w:t>
            </w:r>
            <w:r w:rsidRPr="001D1285">
              <w:rPr>
                <w:rFonts w:ascii="Calibri" w:eastAsia="新細明體" w:hAnsi="Calibri" w:cs="Segoe UI"/>
                <w:kern w:val="2"/>
                <w:sz w:val="17"/>
                <w:szCs w:val="17"/>
                <w:lang w:val="en-US" w:eastAsia="zh-TW"/>
              </w:rPr>
              <w:t>1.4</w:t>
            </w:r>
            <w:r w:rsidRPr="001D1285">
              <w:rPr>
                <w:rFonts w:ascii="Calibri" w:eastAsia="新細明體" w:hAnsi="Calibri" w:cs="Segoe UI" w:hint="eastAsia"/>
                <w:kern w:val="2"/>
                <w:sz w:val="17"/>
                <w:szCs w:val="17"/>
                <w:lang w:val="en-US" w:eastAsia="zh-HK"/>
              </w:rPr>
              <w:t>阿</w:t>
            </w:r>
            <w:r w:rsidRPr="001D1285">
              <w:rPr>
                <w:rFonts w:ascii="Calibri" w:eastAsia="新細明體" w:hAnsi="Calibri" w:cs="Segoe UI" w:hint="eastAsia"/>
                <w:kern w:val="2"/>
                <w:sz w:val="17"/>
                <w:szCs w:val="17"/>
                <w:lang w:val="en-US" w:eastAsia="zh-TW"/>
              </w:rPr>
              <w:t>爾法系數（</w:t>
            </w:r>
            <w:r w:rsidRPr="001D1285">
              <w:rPr>
                <w:rFonts w:ascii="Calibri" w:eastAsia="新細明體" w:hAnsi="Calibri" w:cs="Segoe UI" w:hint="eastAsia"/>
                <w:kern w:val="2"/>
                <w:sz w:val="17"/>
                <w:szCs w:val="17"/>
                <w:lang w:val="en-US" w:eastAsia="zh-HK"/>
              </w:rPr>
              <w:t>α</w:t>
            </w:r>
            <w:r w:rsidRPr="001D1285">
              <w:rPr>
                <w:rFonts w:ascii="Calibri" w:eastAsia="新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TW"/>
              </w:rPr>
              <w:t>。</w:t>
            </w:r>
          </w:p>
        </w:tc>
      </w:tr>
      <w:tr w:rsidR="001D1285" w:rsidRPr="001D1285" w14:paraId="4E8070D1" w14:textId="77777777" w:rsidTr="00C361C1">
        <w:trPr>
          <w:trHeight w:val="373"/>
        </w:trPr>
        <w:tc>
          <w:tcPr>
            <w:tcW w:w="738" w:type="dxa"/>
          </w:tcPr>
          <w:p w14:paraId="797797B8" w14:textId="18317291"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10</w:t>
            </w:r>
          </w:p>
        </w:tc>
        <w:tc>
          <w:tcPr>
            <w:tcW w:w="8221" w:type="dxa"/>
          </w:tcPr>
          <w:p w14:paraId="7C045D69" w14:textId="3C04D348"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因客戶結算交易引起的，或根據與客戶的合約安排在合資格中央交易對手</w:t>
            </w:r>
            <w:proofErr w:type="gramStart"/>
            <w:r w:rsidRPr="001D1285">
              <w:rPr>
                <w:rFonts w:ascii="Calibri" w:eastAsia="新細明體" w:hAnsi="Calibri" w:cs="Segoe UI"/>
                <w:kern w:val="2"/>
                <w:sz w:val="17"/>
                <w:szCs w:val="17"/>
                <w:lang w:val="en-US" w:eastAsia="zh-TW"/>
              </w:rPr>
              <w:t>方違責</w:t>
            </w:r>
            <w:proofErr w:type="gramEnd"/>
            <w:r w:rsidRPr="001D1285">
              <w:rPr>
                <w:rFonts w:ascii="Calibri" w:eastAsia="新細明體" w:hAnsi="Calibri" w:cs="Segoe UI"/>
                <w:kern w:val="2"/>
                <w:sz w:val="17"/>
                <w:szCs w:val="17"/>
                <w:lang w:val="en-US" w:eastAsia="zh-TW"/>
              </w:rPr>
              <w:t>的情況下結算成員無責任向客戶償還因其交易價值的變動所受的任何損失，而與衍生工具合約的中央交易對手方的部分有關的獲豁免交易風險承擔。由於第</w:t>
            </w:r>
            <w:r w:rsidRPr="001D1285">
              <w:rPr>
                <w:rFonts w:ascii="Calibri" w:eastAsia="新細明體" w:hAnsi="Calibri" w:cs="Segoe UI" w:hint="eastAsia"/>
                <w:kern w:val="2"/>
                <w:sz w:val="17"/>
                <w:szCs w:val="17"/>
                <w:lang w:val="en-US" w:eastAsia="zh-TW"/>
              </w:rPr>
              <w:t>10</w:t>
            </w:r>
            <w:r w:rsidRPr="001D1285">
              <w:rPr>
                <w:rFonts w:ascii="Calibri" w:eastAsia="細明體" w:hAnsi="Calibri" w:cs="Segoe UI"/>
                <w:kern w:val="2"/>
                <w:sz w:val="17"/>
                <w:szCs w:val="17"/>
                <w:lang w:val="en-US" w:eastAsia="zh-TW"/>
              </w:rPr>
              <w:t>行</w:t>
            </w:r>
            <w:r w:rsidRPr="001D1285">
              <w:rPr>
                <w:rFonts w:ascii="Calibri" w:eastAsia="新細明體" w:hAnsi="Calibri" w:cs="Segoe UI"/>
                <w:kern w:val="2"/>
                <w:sz w:val="17"/>
                <w:szCs w:val="17"/>
                <w:lang w:val="en-US" w:eastAsia="zh-TW"/>
              </w:rPr>
              <w:t>的調整會降低風險承擔計量，此項應以負數</w:t>
            </w:r>
            <w:r w:rsidRPr="001D1285">
              <w:rPr>
                <w:rFonts w:ascii="Calibri" w:eastAsia="細明體" w:hAnsi="Calibri" w:cs="Segoe UI"/>
                <w:kern w:val="2"/>
                <w:sz w:val="17"/>
                <w:szCs w:val="17"/>
                <w:lang w:val="en-US" w:eastAsia="zh-TW"/>
              </w:rPr>
              <w:t>額</w:t>
            </w:r>
            <w:r w:rsidRPr="001D1285">
              <w:rPr>
                <w:rFonts w:ascii="Calibri" w:eastAsia="新細明體" w:hAnsi="Calibri" w:cs="Segoe UI"/>
                <w:kern w:val="2"/>
                <w:sz w:val="17"/>
                <w:szCs w:val="17"/>
                <w:lang w:val="en-US" w:eastAsia="zh-TW"/>
              </w:rPr>
              <w:t>形式填報。</w:t>
            </w:r>
          </w:p>
        </w:tc>
      </w:tr>
      <w:tr w:rsidR="001D1285" w:rsidRPr="001D1285" w14:paraId="41D0F0AC" w14:textId="77777777" w:rsidTr="00C361C1">
        <w:trPr>
          <w:trHeight w:val="373"/>
        </w:trPr>
        <w:tc>
          <w:tcPr>
            <w:tcW w:w="738" w:type="dxa"/>
          </w:tcPr>
          <w:p w14:paraId="3074DC84" w14:textId="202A4A40"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11</w:t>
            </w:r>
          </w:p>
        </w:tc>
        <w:tc>
          <w:tcPr>
            <w:tcW w:w="8221" w:type="dxa"/>
          </w:tcPr>
          <w:p w14:paraId="0E3C7E96" w14:textId="70E88F2E"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已出售信用</w:t>
            </w:r>
            <w:r w:rsidRPr="001D1285">
              <w:rPr>
                <w:rFonts w:ascii="Calibri" w:eastAsia="新細明體" w:hAnsi="Calibri" w:cs="Segoe UI" w:hint="eastAsia"/>
                <w:kern w:val="2"/>
                <w:sz w:val="17"/>
                <w:szCs w:val="17"/>
                <w:lang w:val="en-US" w:eastAsia="zh-HK"/>
              </w:rPr>
              <w:t>關聯</w:t>
            </w:r>
            <w:r w:rsidRPr="001D1285">
              <w:rPr>
                <w:rFonts w:ascii="Calibri" w:eastAsia="新細明體" w:hAnsi="Calibri" w:cs="Segoe UI"/>
                <w:kern w:val="2"/>
                <w:sz w:val="17"/>
                <w:szCs w:val="17"/>
                <w:lang w:val="en-US" w:eastAsia="zh-TW"/>
              </w:rPr>
              <w:t>衍生工具合約的有效名義數額，而其可按已納入一級資本計算的有關已出售信用</w:t>
            </w:r>
            <w:r w:rsidRPr="001D1285">
              <w:rPr>
                <w:rFonts w:ascii="Calibri" w:eastAsia="新細明體" w:hAnsi="Calibri" w:cs="Segoe UI" w:hint="eastAsia"/>
                <w:kern w:val="2"/>
                <w:sz w:val="17"/>
                <w:szCs w:val="17"/>
                <w:lang w:val="en-US" w:eastAsia="zh-HK"/>
              </w:rPr>
              <w:t>關聯</w:t>
            </w:r>
            <w:r w:rsidRPr="001D1285">
              <w:rPr>
                <w:rFonts w:ascii="Calibri" w:eastAsia="新細明體" w:hAnsi="Calibri" w:cs="Segoe UI"/>
                <w:kern w:val="2"/>
                <w:sz w:val="17"/>
                <w:szCs w:val="17"/>
                <w:lang w:val="en-US" w:eastAsia="zh-TW"/>
              </w:rPr>
              <w:t>衍生工具合約的公平值數額的負變動的總額</w:t>
            </w:r>
            <w:proofErr w:type="gramStart"/>
            <w:r w:rsidR="00D617F9" w:rsidRPr="00D617F9">
              <w:rPr>
                <w:rFonts w:ascii="Calibri" w:eastAsia="新細明體" w:hAnsi="Calibri" w:cs="Segoe UI" w:hint="eastAsia"/>
                <w:kern w:val="2"/>
                <w:sz w:val="17"/>
                <w:szCs w:val="17"/>
                <w:lang w:val="en-US" w:eastAsia="zh-TW"/>
              </w:rPr>
              <w:t>作</w:t>
            </w:r>
            <w:r w:rsidRPr="001D1285">
              <w:rPr>
                <w:rFonts w:ascii="Calibri" w:eastAsia="新細明體" w:hAnsi="Calibri" w:cs="Segoe UI"/>
                <w:kern w:val="2"/>
                <w:sz w:val="17"/>
                <w:szCs w:val="17"/>
                <w:lang w:val="en-US" w:eastAsia="zh-TW"/>
              </w:rPr>
              <w:t>調減</w:t>
            </w:r>
            <w:proofErr w:type="gramEnd"/>
            <w:r w:rsidRPr="001D1285">
              <w:rPr>
                <w:rFonts w:ascii="Calibri" w:eastAsia="新細明體" w:hAnsi="Calibri" w:cs="Segoe UI"/>
                <w:kern w:val="2"/>
                <w:sz w:val="17"/>
                <w:szCs w:val="17"/>
                <w:lang w:val="en-US" w:eastAsia="zh-TW"/>
              </w:rPr>
              <w:t>。</w:t>
            </w:r>
          </w:p>
        </w:tc>
      </w:tr>
      <w:tr w:rsidR="001D1285" w:rsidRPr="001D1285" w14:paraId="17BB6BAA" w14:textId="77777777" w:rsidTr="00C361C1">
        <w:trPr>
          <w:trHeight w:val="373"/>
        </w:trPr>
        <w:tc>
          <w:tcPr>
            <w:tcW w:w="738" w:type="dxa"/>
          </w:tcPr>
          <w:p w14:paraId="07ADC876" w14:textId="6C1FB85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12</w:t>
            </w:r>
          </w:p>
        </w:tc>
        <w:tc>
          <w:tcPr>
            <w:tcW w:w="8221" w:type="dxa"/>
          </w:tcPr>
          <w:p w14:paraId="30EFFF68" w14:textId="77777777"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調整有關：</w:t>
            </w:r>
          </w:p>
          <w:p w14:paraId="0225F687" w14:textId="58514395" w:rsidR="001D1285" w:rsidRPr="001D1285" w:rsidRDefault="008B5581" w:rsidP="00D540EB">
            <w:pPr>
              <w:keepLines/>
              <w:widowControl w:val="0"/>
              <w:numPr>
                <w:ilvl w:val="0"/>
                <w:numId w:val="15"/>
              </w:numPr>
              <w:spacing w:before="40" w:after="40"/>
              <w:ind w:left="318" w:hanging="318"/>
              <w:jc w:val="both"/>
              <w:rPr>
                <w:rFonts w:ascii="Calibri" w:eastAsia="新細明體" w:hAnsi="Calibri" w:cs="Segoe UI"/>
                <w:kern w:val="2"/>
                <w:sz w:val="17"/>
                <w:szCs w:val="17"/>
                <w:lang w:val="en-US" w:eastAsia="zh-TW"/>
              </w:rPr>
            </w:pPr>
            <w:r>
              <w:rPr>
                <w:rFonts w:ascii="Calibri" w:eastAsia="新細明體" w:hAnsi="Calibri" w:cs="Segoe UI" w:hint="eastAsia"/>
                <w:kern w:val="2"/>
                <w:sz w:val="17"/>
                <w:szCs w:val="17"/>
                <w:lang w:val="en-US" w:eastAsia="zh-HK"/>
              </w:rPr>
              <w:t>已</w:t>
            </w:r>
            <w:r w:rsidRPr="008B5581">
              <w:rPr>
                <w:rFonts w:ascii="Calibri" w:eastAsia="新細明體" w:hAnsi="Calibri" w:cs="Segoe UI" w:hint="eastAsia"/>
                <w:kern w:val="2"/>
                <w:sz w:val="17"/>
                <w:szCs w:val="17"/>
                <w:lang w:val="en-US" w:eastAsia="zh-TW"/>
              </w:rPr>
              <w:t>出售信用</w:t>
            </w:r>
            <w:r w:rsidRPr="008B5581">
              <w:rPr>
                <w:rFonts w:ascii="Calibri" w:eastAsia="新細明體" w:hAnsi="Calibri" w:cs="Segoe UI" w:hint="eastAsia"/>
                <w:kern w:val="2"/>
                <w:sz w:val="17"/>
                <w:szCs w:val="17"/>
                <w:lang w:val="en-US" w:eastAsia="zh-HK"/>
              </w:rPr>
              <w:t>關聯</w:t>
            </w:r>
            <w:r w:rsidRPr="008B5581">
              <w:rPr>
                <w:rFonts w:ascii="Calibri" w:eastAsia="新細明體" w:hAnsi="Calibri" w:cs="Segoe UI" w:hint="eastAsia"/>
                <w:kern w:val="2"/>
                <w:sz w:val="17"/>
                <w:szCs w:val="17"/>
                <w:lang w:val="en-US" w:eastAsia="zh-TW"/>
              </w:rPr>
              <w:t>衍生工具合約名義數額</w:t>
            </w:r>
            <w:r w:rsidRPr="008B5581">
              <w:rPr>
                <w:rFonts w:ascii="Calibri" w:eastAsia="新細明體" w:hAnsi="Calibri" w:cs="Segoe UI" w:hint="eastAsia"/>
                <w:kern w:val="2"/>
                <w:sz w:val="17"/>
                <w:szCs w:val="17"/>
                <w:lang w:val="en-US" w:eastAsia="zh-HK"/>
              </w:rPr>
              <w:t>因</w:t>
            </w:r>
            <w:r w:rsidR="001D1285" w:rsidRPr="001D1285">
              <w:rPr>
                <w:rFonts w:ascii="Calibri" w:eastAsia="新細明體" w:hAnsi="Calibri" w:cs="Segoe UI"/>
                <w:kern w:val="2"/>
                <w:sz w:val="17"/>
                <w:szCs w:val="17"/>
                <w:lang w:val="en-US" w:eastAsia="zh-TW"/>
              </w:rPr>
              <w:t>以相同</w:t>
            </w:r>
            <w:r w:rsidRPr="008B5581">
              <w:rPr>
                <w:rFonts w:ascii="Calibri" w:eastAsia="新細明體" w:hAnsi="Calibri" w:cs="Segoe UI" w:hint="eastAsia"/>
                <w:kern w:val="2"/>
                <w:sz w:val="17"/>
                <w:szCs w:val="17"/>
                <w:lang w:val="en-US" w:eastAsia="zh-TW"/>
              </w:rPr>
              <w:t>參照</w:t>
            </w:r>
            <w:r w:rsidR="001D1285" w:rsidRPr="008B5581">
              <w:rPr>
                <w:rFonts w:ascii="Calibri" w:eastAsia="新細明體" w:hAnsi="Calibri" w:cs="Segoe UI"/>
                <w:kern w:val="2"/>
                <w:sz w:val="17"/>
                <w:szCs w:val="17"/>
                <w:lang w:val="en-US" w:eastAsia="zh-TW"/>
              </w:rPr>
              <w:t>名稱或名字購入</w:t>
            </w:r>
            <w:r w:rsidRPr="008B5581">
              <w:rPr>
                <w:rFonts w:ascii="Calibri" w:eastAsia="新細明體" w:hAnsi="Calibri" w:cs="Segoe UI" w:hint="eastAsia"/>
                <w:kern w:val="2"/>
                <w:sz w:val="17"/>
                <w:szCs w:val="17"/>
                <w:lang w:val="en-US" w:eastAsia="zh-HK"/>
              </w:rPr>
              <w:t>的</w:t>
            </w:r>
            <w:r w:rsidR="001D1285" w:rsidRPr="008B5581">
              <w:rPr>
                <w:rFonts w:ascii="Calibri" w:eastAsia="新細明體" w:hAnsi="Calibri" w:cs="Segoe UI"/>
                <w:kern w:val="2"/>
                <w:sz w:val="17"/>
                <w:szCs w:val="17"/>
                <w:lang w:val="en-US" w:eastAsia="zh-TW"/>
              </w:rPr>
              <w:t>信用</w:t>
            </w:r>
            <w:r w:rsidR="001D1285" w:rsidRPr="008B5581">
              <w:rPr>
                <w:rFonts w:ascii="Calibri" w:eastAsia="新細明體" w:hAnsi="Calibri" w:cs="Segoe UI" w:hint="eastAsia"/>
                <w:kern w:val="2"/>
                <w:sz w:val="17"/>
                <w:szCs w:val="17"/>
                <w:lang w:val="en-US" w:eastAsia="zh-HK"/>
              </w:rPr>
              <w:t>關聯</w:t>
            </w:r>
            <w:r w:rsidR="001D1285" w:rsidRPr="008B5581">
              <w:rPr>
                <w:rFonts w:ascii="Calibri" w:eastAsia="新細明體" w:hAnsi="Calibri" w:cs="Segoe UI"/>
                <w:kern w:val="2"/>
                <w:sz w:val="17"/>
                <w:szCs w:val="17"/>
                <w:lang w:val="en-US" w:eastAsia="zh-TW"/>
              </w:rPr>
              <w:t>衍生工具</w:t>
            </w:r>
            <w:r w:rsidRPr="008B5581">
              <w:rPr>
                <w:rFonts w:ascii="Calibri" w:eastAsia="新細明體" w:hAnsi="Calibri" w:cs="Segoe UI" w:hint="eastAsia"/>
                <w:kern w:val="2"/>
                <w:sz w:val="17"/>
                <w:szCs w:val="17"/>
                <w:lang w:val="en-US" w:eastAsia="zh-HK"/>
              </w:rPr>
              <w:t>而</w:t>
            </w:r>
            <w:r w:rsidRPr="008B5581">
              <w:rPr>
                <w:rFonts w:ascii="Calibri" w:eastAsia="新細明體" w:hAnsi="Calibri" w:cs="Segoe UI" w:hint="eastAsia"/>
                <w:kern w:val="2"/>
                <w:sz w:val="17"/>
                <w:szCs w:val="17"/>
                <w:lang w:val="en-US" w:eastAsia="zh-TW"/>
              </w:rPr>
              <w:t>減</w:t>
            </w:r>
            <w:r w:rsidRPr="008B5581">
              <w:rPr>
                <w:rFonts w:ascii="Calibri" w:eastAsia="新細明體" w:hAnsi="Calibri" w:cs="Segoe UI" w:hint="eastAsia"/>
                <w:kern w:val="2"/>
                <w:sz w:val="17"/>
                <w:szCs w:val="17"/>
                <w:lang w:val="en-US" w:eastAsia="zh-HK"/>
              </w:rPr>
              <w:t>少</w:t>
            </w:r>
            <w:r w:rsidR="001D1285" w:rsidRPr="001D1285">
              <w:rPr>
                <w:rFonts w:ascii="Calibri" w:eastAsia="新細明體" w:hAnsi="Calibri" w:cs="Segoe UI"/>
                <w:kern w:val="2"/>
                <w:sz w:val="17"/>
                <w:szCs w:val="17"/>
                <w:lang w:val="en-US" w:eastAsia="zh-TW"/>
              </w:rPr>
              <w:t>的數額；及</w:t>
            </w:r>
          </w:p>
          <w:p w14:paraId="056F3FEF" w14:textId="409A90A8" w:rsidR="001D1285" w:rsidRPr="001D1285" w:rsidRDefault="001D1285" w:rsidP="00D540EB">
            <w:pPr>
              <w:keepLines/>
              <w:widowControl w:val="0"/>
              <w:numPr>
                <w:ilvl w:val="0"/>
                <w:numId w:val="15"/>
              </w:numPr>
              <w:spacing w:before="40" w:after="40"/>
              <w:ind w:left="318" w:hanging="318"/>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就已出售信用</w:t>
            </w:r>
            <w:r w:rsidRPr="001D1285">
              <w:rPr>
                <w:rFonts w:ascii="Calibri" w:eastAsia="新細明體" w:hAnsi="Calibri" w:cs="Segoe UI" w:hint="eastAsia"/>
                <w:kern w:val="2"/>
                <w:sz w:val="17"/>
                <w:szCs w:val="17"/>
                <w:lang w:val="en-US" w:eastAsia="zh-HK"/>
              </w:rPr>
              <w:t>關聯</w:t>
            </w:r>
            <w:r w:rsidRPr="001D1285">
              <w:rPr>
                <w:rFonts w:ascii="Calibri" w:eastAsia="新細明體" w:hAnsi="Calibri" w:cs="Segoe UI"/>
                <w:kern w:val="2"/>
                <w:sz w:val="17"/>
                <w:szCs w:val="17"/>
                <w:lang w:val="en-US" w:eastAsia="zh-TW"/>
              </w:rPr>
              <w:t>衍生工具合約的潛在未來風險承擔的</w:t>
            </w:r>
            <w:proofErr w:type="gramStart"/>
            <w:r w:rsidRPr="001D1285">
              <w:rPr>
                <w:rFonts w:ascii="Calibri" w:eastAsia="新細明體" w:hAnsi="Calibri" w:cs="Segoe UI"/>
                <w:kern w:val="2"/>
                <w:sz w:val="17"/>
                <w:szCs w:val="17"/>
                <w:lang w:val="en-US" w:eastAsia="zh-TW"/>
              </w:rPr>
              <w:t>附加額扣減</w:t>
            </w:r>
            <w:proofErr w:type="gramEnd"/>
            <w:r w:rsidRPr="001D1285">
              <w:rPr>
                <w:rFonts w:ascii="Calibri" w:eastAsia="新細明體" w:hAnsi="Calibri" w:cs="Segoe UI"/>
                <w:kern w:val="2"/>
                <w:sz w:val="17"/>
                <w:szCs w:val="17"/>
                <w:lang w:val="en-US" w:eastAsia="zh-TW"/>
              </w:rPr>
              <w:t>。</w:t>
            </w:r>
          </w:p>
          <w:p w14:paraId="17F471B8" w14:textId="04AC5B98"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由於第</w:t>
            </w:r>
            <w:r w:rsidRPr="001D1285">
              <w:rPr>
                <w:rFonts w:ascii="Calibri" w:eastAsia="新細明體" w:hAnsi="Calibri" w:cs="Segoe UI" w:hint="eastAsia"/>
                <w:kern w:val="2"/>
                <w:sz w:val="17"/>
                <w:szCs w:val="17"/>
                <w:lang w:val="en-US" w:eastAsia="zh-TW"/>
              </w:rPr>
              <w:t>12</w:t>
            </w:r>
            <w:r w:rsidRPr="001D1285">
              <w:rPr>
                <w:rFonts w:ascii="Calibri" w:eastAsia="細明體" w:hAnsi="Calibri" w:cs="Segoe UI"/>
                <w:kern w:val="2"/>
                <w:sz w:val="17"/>
                <w:szCs w:val="17"/>
                <w:lang w:val="en-US" w:eastAsia="zh-TW"/>
              </w:rPr>
              <w:t>行</w:t>
            </w:r>
            <w:r w:rsidRPr="001D1285">
              <w:rPr>
                <w:rFonts w:ascii="Calibri" w:eastAsia="新細明體" w:hAnsi="Calibri" w:cs="Segoe UI"/>
                <w:kern w:val="2"/>
                <w:sz w:val="17"/>
                <w:szCs w:val="17"/>
                <w:lang w:val="en-US" w:eastAsia="zh-TW"/>
              </w:rPr>
              <w:t>的調整會降低風險承擔計量，此項應以負數</w:t>
            </w:r>
            <w:r w:rsidRPr="001D1285">
              <w:rPr>
                <w:rFonts w:ascii="Calibri" w:eastAsia="細明體" w:hAnsi="Calibri" w:cs="Segoe UI"/>
                <w:kern w:val="2"/>
                <w:sz w:val="17"/>
                <w:szCs w:val="17"/>
                <w:lang w:val="en-US" w:eastAsia="zh-TW"/>
              </w:rPr>
              <w:t>額</w:t>
            </w:r>
            <w:r w:rsidRPr="001D1285">
              <w:rPr>
                <w:rFonts w:ascii="Calibri" w:eastAsia="新細明體" w:hAnsi="Calibri" w:cs="Segoe UI"/>
                <w:kern w:val="2"/>
                <w:sz w:val="17"/>
                <w:szCs w:val="17"/>
                <w:lang w:val="en-US" w:eastAsia="zh-TW"/>
              </w:rPr>
              <w:t>形式填報。</w:t>
            </w:r>
          </w:p>
        </w:tc>
      </w:tr>
      <w:tr w:rsidR="001D1285" w:rsidRPr="001D1285" w14:paraId="17C50151" w14:textId="77777777" w:rsidTr="00C361C1">
        <w:trPr>
          <w:trHeight w:val="373"/>
        </w:trPr>
        <w:tc>
          <w:tcPr>
            <w:tcW w:w="738" w:type="dxa"/>
          </w:tcPr>
          <w:p w14:paraId="0C1E1C76" w14:textId="0BFC7414"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13</w:t>
            </w:r>
          </w:p>
        </w:tc>
        <w:tc>
          <w:tcPr>
            <w:tcW w:w="8221" w:type="dxa"/>
          </w:tcPr>
          <w:p w14:paraId="7A367F77" w14:textId="1CEFF401"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第</w:t>
            </w:r>
            <w:r w:rsidRPr="001D1285">
              <w:rPr>
                <w:rFonts w:ascii="Calibri" w:eastAsia="新細明體" w:hAnsi="Calibri" w:cs="Segoe UI" w:hint="eastAsia"/>
                <w:kern w:val="2"/>
                <w:sz w:val="17"/>
                <w:szCs w:val="17"/>
                <w:lang w:val="en-US" w:eastAsia="zh-TW"/>
              </w:rPr>
              <w:t>8</w:t>
            </w:r>
            <w:r w:rsidRPr="001D1285">
              <w:rPr>
                <w:rFonts w:ascii="Calibri" w:eastAsia="新細明體" w:hAnsi="Calibri" w:cs="Segoe UI"/>
                <w:kern w:val="2"/>
                <w:sz w:val="17"/>
                <w:szCs w:val="17"/>
                <w:lang w:val="en-US" w:eastAsia="zh-TW"/>
              </w:rPr>
              <w:t>至</w:t>
            </w:r>
            <w:r w:rsidRPr="001D1285">
              <w:rPr>
                <w:rFonts w:ascii="Calibri" w:eastAsia="新細明體" w:hAnsi="Calibri" w:cs="Segoe UI" w:hint="eastAsia"/>
                <w:kern w:val="2"/>
                <w:sz w:val="17"/>
                <w:szCs w:val="17"/>
                <w:lang w:val="en-US" w:eastAsia="zh-TW"/>
              </w:rPr>
              <w:t>12</w:t>
            </w:r>
            <w:r w:rsidRPr="001D1285">
              <w:rPr>
                <w:rFonts w:ascii="Calibri" w:eastAsia="新細明體" w:hAnsi="Calibri" w:cs="Segoe UI"/>
                <w:kern w:val="2"/>
                <w:sz w:val="17"/>
                <w:szCs w:val="17"/>
                <w:lang w:val="en-US" w:eastAsia="zh-TW"/>
              </w:rPr>
              <w:t>行的值的總和。</w:t>
            </w:r>
          </w:p>
        </w:tc>
      </w:tr>
      <w:tr w:rsidR="001D1285" w:rsidRPr="001D1285" w14:paraId="249022E5" w14:textId="77777777" w:rsidTr="00C361C1">
        <w:trPr>
          <w:trHeight w:val="373"/>
        </w:trPr>
        <w:tc>
          <w:tcPr>
            <w:tcW w:w="738" w:type="dxa"/>
          </w:tcPr>
          <w:p w14:paraId="7BD02CB5" w14:textId="4738BD7F" w:rsidR="001D1285" w:rsidRPr="001D1285" w:rsidRDefault="0085318A" w:rsidP="0085318A">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Pr>
                <w:rFonts w:ascii="Calibri" w:eastAsia="新細明體" w:hAnsi="Calibri" w:cs="Segoe UI"/>
                <w:kern w:val="2"/>
                <w:sz w:val="17"/>
                <w:szCs w:val="17"/>
                <w:lang w:val="en-US" w:eastAsia="en-GB"/>
              </w:rPr>
              <w:t>1</w:t>
            </w:r>
            <w:r w:rsidRPr="001D1285">
              <w:rPr>
                <w:rFonts w:ascii="Calibri" w:eastAsia="新細明體" w:hAnsi="Calibri" w:cs="Segoe UI" w:hint="eastAsia"/>
                <w:kern w:val="2"/>
                <w:sz w:val="17"/>
                <w:szCs w:val="17"/>
                <w:lang w:val="en-US" w:eastAsia="zh-TW"/>
              </w:rPr>
              <w:t>4</w:t>
            </w:r>
          </w:p>
        </w:tc>
        <w:tc>
          <w:tcPr>
            <w:tcW w:w="8221" w:type="dxa"/>
          </w:tcPr>
          <w:p w14:paraId="7C500300" w14:textId="08A13488" w:rsidR="001D1285" w:rsidRPr="001D1285" w:rsidRDefault="001D1285" w:rsidP="00DF7FBD">
            <w:pPr>
              <w:keepLines/>
              <w:widowControl w:val="0"/>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SFT</w:t>
            </w:r>
            <w:r w:rsidRPr="001D1285">
              <w:rPr>
                <w:rFonts w:ascii="Calibri" w:eastAsia="新細明體" w:hAnsi="Calibri" w:cs="Segoe UI"/>
                <w:kern w:val="2"/>
                <w:sz w:val="17"/>
                <w:szCs w:val="17"/>
                <w:lang w:val="en-US" w:eastAsia="it-IT"/>
              </w:rPr>
              <w:t>資產總</w:t>
            </w:r>
            <w:r w:rsidRPr="001D1285">
              <w:rPr>
                <w:rFonts w:ascii="Calibri" w:eastAsia="細明體" w:hAnsi="Calibri" w:cs="Segoe UI"/>
                <w:kern w:val="2"/>
                <w:sz w:val="17"/>
                <w:szCs w:val="17"/>
                <w:lang w:val="en-US" w:eastAsia="zh-TW"/>
              </w:rPr>
              <w:t>額</w:t>
            </w:r>
            <w:r w:rsidRPr="001D1285">
              <w:rPr>
                <w:rFonts w:ascii="Calibri" w:eastAsia="新細明體" w:hAnsi="Calibri" w:cs="Segoe UI"/>
                <w:kern w:val="2"/>
                <w:sz w:val="17"/>
                <w:szCs w:val="17"/>
                <w:lang w:val="en-US" w:eastAsia="it-IT"/>
              </w:rPr>
              <w:t>，除與</w:t>
            </w:r>
            <w:r w:rsidRPr="001D1285">
              <w:rPr>
                <w:rFonts w:ascii="Calibri" w:eastAsia="新細明體" w:hAnsi="Calibri" w:cs="Segoe UI"/>
                <w:kern w:val="2"/>
                <w:sz w:val="17"/>
                <w:szCs w:val="17"/>
                <w:lang w:val="en-US" w:eastAsia="zh-TW"/>
              </w:rPr>
              <w:t>合資格中央交易對手方的約務更替（在此情況下，以最終合約風險承擔取代</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資產總</w:t>
            </w:r>
            <w:r w:rsidRPr="001D1285">
              <w:rPr>
                <w:rFonts w:ascii="Calibri" w:eastAsia="細明體" w:hAnsi="Calibri" w:cs="Segoe UI"/>
                <w:kern w:val="2"/>
                <w:sz w:val="17"/>
                <w:szCs w:val="17"/>
                <w:lang w:val="en-US" w:eastAsia="zh-TW"/>
              </w:rPr>
              <w:t>額</w:t>
            </w:r>
            <w:r w:rsidRPr="001D1285">
              <w:rPr>
                <w:rFonts w:ascii="Calibri" w:eastAsia="新細明體" w:hAnsi="Calibri" w:cs="Segoe UI"/>
                <w:kern w:val="2"/>
                <w:sz w:val="17"/>
                <w:szCs w:val="17"/>
                <w:lang w:val="en-US" w:eastAsia="zh-TW"/>
              </w:rPr>
              <w:t>）外不確認任何淨額結算，並須按照槓桿比率框架就</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風險承擔所斷定（例如豁除根據</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所收到，而認可機構在資產負債表內已確認為資產的任何</w:t>
            </w:r>
            <w:r w:rsidR="00305C3A" w:rsidRPr="00305C3A">
              <w:rPr>
                <w:rFonts w:ascii="Calibri" w:eastAsia="新細明體" w:hAnsi="Calibri" w:cs="Segoe UI" w:hint="eastAsia"/>
                <w:kern w:val="2"/>
                <w:sz w:val="17"/>
                <w:szCs w:val="17"/>
                <w:lang w:val="en-US" w:eastAsia="zh-TW"/>
              </w:rPr>
              <w:t>資產（貨幣除外）</w:t>
            </w:r>
            <w:r w:rsidRPr="001D1285">
              <w:rPr>
                <w:rFonts w:ascii="Calibri" w:eastAsia="新細明體" w:hAnsi="Calibri" w:cs="Segoe UI"/>
                <w:kern w:val="2"/>
                <w:sz w:val="17"/>
                <w:szCs w:val="17"/>
                <w:lang w:val="en-US" w:eastAsia="zh-TW"/>
              </w:rPr>
              <w:t>），及就任何</w:t>
            </w:r>
            <w:r w:rsidR="00325B8E">
              <w:rPr>
                <w:rFonts w:ascii="Calibri" w:eastAsia="細明體" w:hAnsi="Calibri" w:cs="Segoe UI" w:hint="eastAsia"/>
                <w:sz w:val="17"/>
                <w:szCs w:val="17"/>
                <w:lang w:eastAsia="zh-HK"/>
              </w:rPr>
              <w:t>出</w:t>
            </w:r>
            <w:r w:rsidRPr="001D1285">
              <w:rPr>
                <w:rFonts w:ascii="Calibri" w:eastAsia="新細明體" w:hAnsi="Calibri" w:cs="Segoe UI"/>
                <w:kern w:val="2"/>
                <w:sz w:val="17"/>
                <w:szCs w:val="17"/>
                <w:lang w:val="en-US" w:eastAsia="zh-TW"/>
              </w:rPr>
              <w:t>售會計交易作出調整。</w:t>
            </w:r>
          </w:p>
        </w:tc>
      </w:tr>
      <w:tr w:rsidR="001D1285" w:rsidRPr="001D1285" w14:paraId="1FC19924" w14:textId="77777777" w:rsidTr="00C361C1">
        <w:trPr>
          <w:trHeight w:val="373"/>
        </w:trPr>
        <w:tc>
          <w:tcPr>
            <w:tcW w:w="738" w:type="dxa"/>
          </w:tcPr>
          <w:p w14:paraId="48976376" w14:textId="432658E2" w:rsidR="001D1285" w:rsidRPr="001D1285" w:rsidRDefault="0085318A" w:rsidP="0085318A">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Pr>
                <w:rFonts w:ascii="Calibri" w:eastAsia="新細明體" w:hAnsi="Calibri" w:cs="Segoe UI"/>
                <w:kern w:val="2"/>
                <w:sz w:val="17"/>
                <w:szCs w:val="17"/>
                <w:lang w:val="en-US" w:eastAsia="zh-TW"/>
              </w:rPr>
              <w:t>1</w:t>
            </w:r>
            <w:r w:rsidRPr="001D1285">
              <w:rPr>
                <w:rFonts w:ascii="Calibri" w:eastAsia="新細明體" w:hAnsi="Calibri" w:cs="Segoe UI" w:hint="eastAsia"/>
                <w:kern w:val="2"/>
                <w:sz w:val="17"/>
                <w:szCs w:val="17"/>
                <w:lang w:val="en-US" w:eastAsia="zh-TW"/>
              </w:rPr>
              <w:t>5</w:t>
            </w:r>
          </w:p>
        </w:tc>
        <w:tc>
          <w:tcPr>
            <w:tcW w:w="8221" w:type="dxa"/>
          </w:tcPr>
          <w:p w14:paraId="72CF8F83" w14:textId="606781D5"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根據槓桿比率框架就</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風險承擔所定，就</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資產總額的現金應付額</w:t>
            </w:r>
            <w:r w:rsidRPr="001D1285">
              <w:rPr>
                <w:rFonts w:ascii="Calibri" w:eastAsia="新細明體" w:hAnsi="Calibri" w:cs="Segoe UI" w:hint="eastAsia"/>
                <w:kern w:val="2"/>
                <w:sz w:val="17"/>
                <w:szCs w:val="17"/>
                <w:lang w:val="en-US" w:eastAsia="zh-TW"/>
              </w:rPr>
              <w:t>及</w:t>
            </w:r>
            <w:r w:rsidRPr="001D1285">
              <w:rPr>
                <w:rFonts w:ascii="Calibri" w:eastAsia="新細明體" w:hAnsi="Calibri" w:cs="Segoe UI"/>
                <w:kern w:val="2"/>
                <w:sz w:val="17"/>
                <w:szCs w:val="17"/>
                <w:lang w:val="en-US" w:eastAsia="zh-TW"/>
              </w:rPr>
              <w:t>現金應收額淨額計算的調整。</w:t>
            </w:r>
            <w:r w:rsidRPr="001D1285">
              <w:rPr>
                <w:rFonts w:ascii="Calibri" w:eastAsia="細明體" w:hAnsi="Calibri" w:cs="Segoe UI"/>
                <w:kern w:val="2"/>
                <w:sz w:val="17"/>
                <w:szCs w:val="17"/>
                <w:lang w:val="en-US" w:eastAsia="zh-TW"/>
              </w:rPr>
              <w:t>由於這</w:t>
            </w:r>
            <w:r w:rsidRPr="001D1285">
              <w:rPr>
                <w:rFonts w:ascii="Calibri" w:eastAsia="細明體" w:hAnsi="Calibri" w:cs="Segoe UI" w:hint="eastAsia"/>
                <w:kern w:val="2"/>
                <w:sz w:val="17"/>
                <w:szCs w:val="17"/>
                <w:lang w:eastAsia="zh-HK"/>
              </w:rPr>
              <w:t>些</w:t>
            </w:r>
            <w:r w:rsidRPr="001D1285">
              <w:rPr>
                <w:rFonts w:ascii="Calibri" w:eastAsia="細明體" w:hAnsi="Calibri" w:cs="Segoe UI"/>
                <w:kern w:val="2"/>
                <w:sz w:val="17"/>
                <w:szCs w:val="17"/>
                <w:lang w:val="en-US" w:eastAsia="zh-TW"/>
              </w:rPr>
              <w:t>調整會降低風險承擔計量，此項應以負數額形式填報。</w:t>
            </w:r>
          </w:p>
        </w:tc>
      </w:tr>
      <w:tr w:rsidR="001D1285" w:rsidRPr="001D1285" w14:paraId="06155138" w14:textId="77777777" w:rsidTr="00C361C1">
        <w:trPr>
          <w:trHeight w:val="373"/>
        </w:trPr>
        <w:tc>
          <w:tcPr>
            <w:tcW w:w="738" w:type="dxa"/>
          </w:tcPr>
          <w:p w14:paraId="611CB9FE" w14:textId="7A460DF1" w:rsidR="001D1285" w:rsidRPr="001D1285" w:rsidRDefault="0085318A" w:rsidP="0085318A">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Pr>
                <w:rFonts w:ascii="Calibri" w:eastAsia="新細明體" w:hAnsi="Calibri" w:cs="Segoe UI"/>
                <w:kern w:val="2"/>
                <w:sz w:val="17"/>
                <w:szCs w:val="17"/>
                <w:lang w:val="en-US" w:eastAsia="zh-TW"/>
              </w:rPr>
              <w:t>1</w:t>
            </w:r>
            <w:r w:rsidRPr="001D1285">
              <w:rPr>
                <w:rFonts w:ascii="Calibri" w:eastAsia="新細明體" w:hAnsi="Calibri" w:cs="Segoe UI" w:hint="eastAsia"/>
                <w:kern w:val="2"/>
                <w:sz w:val="17"/>
                <w:szCs w:val="17"/>
                <w:lang w:val="en-US" w:eastAsia="zh-TW"/>
              </w:rPr>
              <w:t>6</w:t>
            </w:r>
          </w:p>
        </w:tc>
        <w:tc>
          <w:tcPr>
            <w:tcW w:w="8221" w:type="dxa"/>
          </w:tcPr>
          <w:p w14:paraId="26181CCB" w14:textId="6C91E13E"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根據槓桿比率框架就</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風險承擔所定，就</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的對手方信用風險的附加額。</w:t>
            </w:r>
          </w:p>
        </w:tc>
      </w:tr>
      <w:tr w:rsidR="001D1285" w:rsidRPr="001D1285" w14:paraId="4B304C02" w14:textId="77777777" w:rsidTr="00C361C1">
        <w:trPr>
          <w:trHeight w:val="373"/>
        </w:trPr>
        <w:tc>
          <w:tcPr>
            <w:tcW w:w="738" w:type="dxa"/>
          </w:tcPr>
          <w:p w14:paraId="7AD99108" w14:textId="0D66700D" w:rsidR="001D1285" w:rsidRPr="001D1285" w:rsidRDefault="0085318A" w:rsidP="0085318A">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Pr>
                <w:rFonts w:ascii="Calibri" w:eastAsia="新細明體" w:hAnsi="Calibri" w:cs="Segoe UI"/>
                <w:kern w:val="2"/>
                <w:sz w:val="17"/>
                <w:szCs w:val="17"/>
                <w:lang w:val="en-US" w:eastAsia="en-GB"/>
              </w:rPr>
              <w:t>1</w:t>
            </w:r>
            <w:r w:rsidRPr="001D1285">
              <w:rPr>
                <w:rFonts w:ascii="Calibri" w:eastAsia="新細明體" w:hAnsi="Calibri" w:cs="Segoe UI" w:hint="eastAsia"/>
                <w:kern w:val="2"/>
                <w:sz w:val="17"/>
                <w:szCs w:val="17"/>
                <w:lang w:val="en-US" w:eastAsia="zh-TW"/>
              </w:rPr>
              <w:t>7</w:t>
            </w:r>
          </w:p>
        </w:tc>
        <w:tc>
          <w:tcPr>
            <w:tcW w:w="8221" w:type="dxa"/>
          </w:tcPr>
          <w:p w14:paraId="079DC8E2" w14:textId="77777777"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根據槓桿比率框架就</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風險承擔所定，由</w:t>
            </w:r>
            <w:r w:rsidRPr="001D1285">
              <w:rPr>
                <w:rFonts w:ascii="Calibri" w:eastAsia="細明體" w:hAnsi="Calibri" w:cs="Segoe UI"/>
                <w:kern w:val="2"/>
                <w:sz w:val="17"/>
                <w:szCs w:val="17"/>
                <w:lang w:val="en-US" w:eastAsia="zh-TW"/>
              </w:rPr>
              <w:t>認可機構在</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作為代理提供彌償或擔保的數額。</w:t>
            </w:r>
          </w:p>
        </w:tc>
      </w:tr>
      <w:tr w:rsidR="001D1285" w:rsidRPr="001D1285" w14:paraId="0B6B0D60" w14:textId="77777777" w:rsidTr="00C361C1">
        <w:trPr>
          <w:trHeight w:val="373"/>
        </w:trPr>
        <w:tc>
          <w:tcPr>
            <w:tcW w:w="738" w:type="dxa"/>
          </w:tcPr>
          <w:p w14:paraId="16E0D4A0" w14:textId="52F4CB04" w:rsidR="001D1285" w:rsidRPr="001D1285" w:rsidRDefault="0085318A" w:rsidP="0085318A">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Pr>
                <w:rFonts w:ascii="Calibri" w:eastAsia="新細明體" w:hAnsi="Calibri" w:cs="Segoe UI"/>
                <w:kern w:val="2"/>
                <w:sz w:val="17"/>
                <w:szCs w:val="17"/>
                <w:lang w:val="en-US" w:eastAsia="en-GB"/>
              </w:rPr>
              <w:t>1</w:t>
            </w:r>
            <w:r w:rsidRPr="001D1285">
              <w:rPr>
                <w:rFonts w:ascii="Calibri" w:eastAsia="新細明體" w:hAnsi="Calibri" w:cs="Segoe UI" w:hint="eastAsia"/>
                <w:kern w:val="2"/>
                <w:sz w:val="17"/>
                <w:szCs w:val="17"/>
                <w:lang w:val="en-US" w:eastAsia="zh-TW"/>
              </w:rPr>
              <w:t>8</w:t>
            </w:r>
          </w:p>
        </w:tc>
        <w:tc>
          <w:tcPr>
            <w:tcW w:w="8221" w:type="dxa"/>
          </w:tcPr>
          <w:p w14:paraId="4A49C72E" w14:textId="6400C493" w:rsidR="001D1285" w:rsidRPr="001D1285" w:rsidRDefault="001D1285" w:rsidP="001F39C0">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第</w:t>
            </w:r>
            <w:r w:rsidR="001F39C0">
              <w:rPr>
                <w:rFonts w:ascii="Calibri" w:eastAsia="新細明體" w:hAnsi="Calibri" w:cs="Segoe UI"/>
                <w:kern w:val="2"/>
                <w:sz w:val="17"/>
                <w:szCs w:val="17"/>
                <w:lang w:val="en-US" w:eastAsia="zh-TW"/>
              </w:rPr>
              <w:t>1</w:t>
            </w:r>
            <w:r w:rsidR="001F39C0" w:rsidRPr="001D1285">
              <w:rPr>
                <w:rFonts w:ascii="Calibri" w:eastAsia="新細明體" w:hAnsi="Calibri" w:cs="Segoe UI" w:hint="eastAsia"/>
                <w:kern w:val="2"/>
                <w:sz w:val="17"/>
                <w:szCs w:val="17"/>
                <w:lang w:val="en-US" w:eastAsia="zh-TW"/>
              </w:rPr>
              <w:t>4</w:t>
            </w:r>
            <w:r w:rsidRPr="001D1285">
              <w:rPr>
                <w:rFonts w:ascii="Calibri" w:eastAsia="新細明體" w:hAnsi="Calibri" w:cs="Segoe UI"/>
                <w:kern w:val="2"/>
                <w:sz w:val="17"/>
                <w:szCs w:val="17"/>
                <w:lang w:val="en-US" w:eastAsia="zh-TW"/>
              </w:rPr>
              <w:t>至</w:t>
            </w:r>
            <w:r w:rsidR="001F39C0">
              <w:rPr>
                <w:rFonts w:ascii="Calibri" w:eastAsia="新細明體" w:hAnsi="Calibri" w:cs="Segoe UI"/>
                <w:kern w:val="2"/>
                <w:sz w:val="17"/>
                <w:szCs w:val="17"/>
                <w:lang w:val="en-US" w:eastAsia="zh-TW"/>
              </w:rPr>
              <w:t>1</w:t>
            </w:r>
            <w:r w:rsidR="001F39C0" w:rsidRPr="001D1285">
              <w:rPr>
                <w:rFonts w:ascii="Calibri" w:eastAsia="新細明體" w:hAnsi="Calibri" w:cs="Segoe UI" w:hint="eastAsia"/>
                <w:kern w:val="2"/>
                <w:sz w:val="17"/>
                <w:szCs w:val="17"/>
                <w:lang w:val="en-US" w:eastAsia="zh-TW"/>
              </w:rPr>
              <w:t>7</w:t>
            </w:r>
            <w:r w:rsidRPr="001D1285">
              <w:rPr>
                <w:rFonts w:ascii="Calibri" w:eastAsia="細明體" w:hAnsi="Calibri" w:cs="Segoe UI"/>
                <w:kern w:val="2"/>
                <w:sz w:val="17"/>
                <w:szCs w:val="17"/>
                <w:lang w:val="en-US" w:eastAsia="zh-TW"/>
              </w:rPr>
              <w:t>行</w:t>
            </w:r>
            <w:r w:rsidRPr="001D1285">
              <w:rPr>
                <w:rFonts w:ascii="Calibri" w:eastAsia="新細明體" w:hAnsi="Calibri" w:cs="Segoe UI"/>
                <w:kern w:val="2"/>
                <w:sz w:val="17"/>
                <w:szCs w:val="17"/>
                <w:lang w:val="en-US" w:eastAsia="zh-TW"/>
              </w:rPr>
              <w:t>的值的總和。</w:t>
            </w:r>
          </w:p>
        </w:tc>
      </w:tr>
      <w:tr w:rsidR="001D1285" w:rsidRPr="001D1285" w14:paraId="52258DB2" w14:textId="77777777" w:rsidTr="00C361C1">
        <w:trPr>
          <w:trHeight w:val="373"/>
        </w:trPr>
        <w:tc>
          <w:tcPr>
            <w:tcW w:w="738" w:type="dxa"/>
          </w:tcPr>
          <w:p w14:paraId="24ECD14D" w14:textId="7932F220" w:rsidR="001D1285" w:rsidRPr="001D1285" w:rsidRDefault="0085318A" w:rsidP="0085318A">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Pr>
                <w:rFonts w:ascii="Calibri" w:eastAsia="新細明體" w:hAnsi="Calibri" w:cs="Segoe UI"/>
                <w:kern w:val="2"/>
                <w:sz w:val="17"/>
                <w:szCs w:val="17"/>
                <w:lang w:val="en-US" w:eastAsia="en-GB"/>
              </w:rPr>
              <w:t>1</w:t>
            </w:r>
            <w:r w:rsidRPr="001D1285">
              <w:rPr>
                <w:rFonts w:ascii="Calibri" w:eastAsia="新細明體" w:hAnsi="Calibri" w:cs="Segoe UI" w:hint="eastAsia"/>
                <w:kern w:val="2"/>
                <w:sz w:val="17"/>
                <w:szCs w:val="17"/>
                <w:lang w:val="en-US" w:eastAsia="zh-TW"/>
              </w:rPr>
              <w:t>9</w:t>
            </w:r>
          </w:p>
        </w:tc>
        <w:tc>
          <w:tcPr>
            <w:tcW w:w="8221" w:type="dxa"/>
          </w:tcPr>
          <w:p w14:paraId="2C263E02" w14:textId="27960F24" w:rsidR="001D1285" w:rsidRPr="001D1285" w:rsidRDefault="001D1285" w:rsidP="00952CC9">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就</w:t>
            </w:r>
            <w:r w:rsidRPr="001D1285">
              <w:rPr>
                <w:rFonts w:ascii="Calibri" w:eastAsia="新細明體" w:hAnsi="Calibri" w:cs="Segoe UI" w:hint="eastAsia"/>
                <w:kern w:val="2"/>
                <w:sz w:val="17"/>
                <w:szCs w:val="17"/>
                <w:lang w:val="en-US" w:eastAsia="zh-TW"/>
              </w:rPr>
              <w:t>CCF</w:t>
            </w:r>
            <w:r w:rsidRPr="001D1285">
              <w:rPr>
                <w:rFonts w:ascii="Calibri" w:eastAsia="新細明體" w:hAnsi="Calibri" w:cs="Segoe UI"/>
                <w:kern w:val="2"/>
                <w:sz w:val="17"/>
                <w:szCs w:val="17"/>
                <w:lang w:val="en-US" w:eastAsia="zh-TW"/>
              </w:rPr>
              <w:t>作出調整前，按名義數額基礎計算的資產負債表外風險承擔總額（不包括</w:t>
            </w:r>
            <w:r w:rsidR="00BF35B7">
              <w:rPr>
                <w:rFonts w:ascii="Calibri" w:eastAsia="新細明體" w:hAnsi="Calibri" w:cs="Segoe UI" w:hint="eastAsia"/>
                <w:kern w:val="2"/>
                <w:sz w:val="17"/>
                <w:szCs w:val="17"/>
                <w:lang w:val="en-US" w:eastAsia="zh-HK"/>
              </w:rPr>
              <w:t>與</w:t>
            </w:r>
            <w:r w:rsidRPr="001D1285">
              <w:rPr>
                <w:rFonts w:ascii="Calibri" w:eastAsia="新細明體" w:hAnsi="Calibri" w:cs="Segoe UI"/>
                <w:kern w:val="2"/>
                <w:sz w:val="17"/>
                <w:szCs w:val="17"/>
                <w:lang w:val="en-US" w:eastAsia="zh-TW"/>
              </w:rPr>
              <w:t>SFT</w:t>
            </w:r>
            <w:r w:rsidRPr="001D1285">
              <w:rPr>
                <w:rFonts w:ascii="Calibri" w:eastAsia="新細明體" w:hAnsi="Calibri" w:cs="Segoe UI"/>
                <w:kern w:val="2"/>
                <w:sz w:val="17"/>
                <w:szCs w:val="17"/>
                <w:lang w:val="en-US" w:eastAsia="zh-TW"/>
              </w:rPr>
              <w:t>及衍生工具</w:t>
            </w:r>
            <w:r w:rsidRPr="001D1285">
              <w:rPr>
                <w:rFonts w:ascii="Calibri" w:eastAsia="新細明體" w:hAnsi="Calibri" w:cs="Segoe UI" w:hint="eastAsia"/>
                <w:kern w:val="2"/>
                <w:sz w:val="17"/>
                <w:szCs w:val="17"/>
                <w:lang w:val="en-US" w:eastAsia="zh-HK"/>
              </w:rPr>
              <w:t>合</w:t>
            </w:r>
            <w:r w:rsidRPr="001D1285">
              <w:rPr>
                <w:rFonts w:ascii="Calibri" w:eastAsia="新細明體" w:hAnsi="Calibri" w:cs="Segoe UI" w:hint="eastAsia"/>
                <w:kern w:val="2"/>
                <w:sz w:val="17"/>
                <w:szCs w:val="17"/>
                <w:lang w:val="en-US" w:eastAsia="zh-TW"/>
              </w:rPr>
              <w:t>約</w:t>
            </w:r>
            <w:r w:rsidRPr="001D1285">
              <w:rPr>
                <w:rFonts w:ascii="Calibri" w:eastAsia="新細明體" w:hAnsi="Calibri" w:cs="Segoe UI"/>
                <w:kern w:val="2"/>
                <w:sz w:val="17"/>
                <w:szCs w:val="17"/>
                <w:lang w:val="en-US" w:eastAsia="zh-TW"/>
              </w:rPr>
              <w:t>有關的資產負債表外風險承擔數額）。</w:t>
            </w:r>
          </w:p>
        </w:tc>
      </w:tr>
      <w:tr w:rsidR="001D1285" w:rsidRPr="001D1285" w14:paraId="186CCEE5" w14:textId="77777777" w:rsidTr="00C361C1">
        <w:trPr>
          <w:trHeight w:val="373"/>
        </w:trPr>
        <w:tc>
          <w:tcPr>
            <w:tcW w:w="738" w:type="dxa"/>
          </w:tcPr>
          <w:p w14:paraId="05B9BDA2" w14:textId="33F7E0E8"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20</w:t>
            </w:r>
          </w:p>
        </w:tc>
        <w:tc>
          <w:tcPr>
            <w:tcW w:w="8221" w:type="dxa"/>
          </w:tcPr>
          <w:p w14:paraId="41ACACC5" w14:textId="161D6D06"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因</w:t>
            </w:r>
            <w:r w:rsidRPr="001D1285">
              <w:rPr>
                <w:rFonts w:ascii="Calibri" w:eastAsia="新細明體" w:hAnsi="Calibri" w:cs="Segoe UI" w:hint="eastAsia"/>
                <w:kern w:val="2"/>
                <w:sz w:val="17"/>
                <w:szCs w:val="17"/>
                <w:lang w:val="en-US" w:eastAsia="zh-TW"/>
              </w:rPr>
              <w:t>CCF</w:t>
            </w:r>
            <w:r w:rsidR="00BF35B7">
              <w:rPr>
                <w:rFonts w:ascii="Calibri" w:eastAsia="新細明體" w:hAnsi="Calibri" w:cs="Segoe UI" w:hint="eastAsia"/>
                <w:kern w:val="2"/>
                <w:sz w:val="17"/>
                <w:szCs w:val="17"/>
                <w:lang w:val="en-US" w:eastAsia="zh-HK"/>
              </w:rPr>
              <w:t>的應用</w:t>
            </w:r>
            <w:r w:rsidRPr="001D1285">
              <w:rPr>
                <w:rFonts w:ascii="Calibri" w:eastAsia="新細明體" w:hAnsi="Calibri" w:cs="Segoe UI"/>
                <w:kern w:val="2"/>
                <w:sz w:val="17"/>
                <w:szCs w:val="17"/>
                <w:lang w:val="en-US" w:eastAsia="zh-TW"/>
              </w:rPr>
              <w:t>而造成資產負債表外風險承擔數額總額的減少。由於這些調整會降低風險承擔計量，此項應以負數額形式填報。</w:t>
            </w:r>
          </w:p>
        </w:tc>
      </w:tr>
      <w:tr w:rsidR="001D1285" w:rsidRPr="001D1285" w14:paraId="6BA672C4" w14:textId="77777777" w:rsidTr="00C361C1">
        <w:trPr>
          <w:trHeight w:val="373"/>
        </w:trPr>
        <w:tc>
          <w:tcPr>
            <w:tcW w:w="738" w:type="dxa"/>
          </w:tcPr>
          <w:p w14:paraId="2149EC0D" w14:textId="77777777" w:rsidR="001D1285" w:rsidRPr="001D1285" w:rsidDel="00F63D53"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21</w:t>
            </w:r>
          </w:p>
        </w:tc>
        <w:tc>
          <w:tcPr>
            <w:tcW w:w="8221" w:type="dxa"/>
          </w:tcPr>
          <w:p w14:paraId="2BF185CA" w14:textId="77777777" w:rsidR="001D1285" w:rsidRPr="001D1285" w:rsidRDefault="001D1285" w:rsidP="001D1285">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eastAsia="zh-HK"/>
              </w:rPr>
              <w:t>令一級資本減少並與資產負債表外風險承擔相關的特定準備金及集體準備金的數額</w:t>
            </w:r>
            <w:r w:rsidRPr="001D1285">
              <w:rPr>
                <w:rFonts w:ascii="Calibri" w:eastAsia="新細明體" w:hAnsi="Calibri" w:cs="Segoe UI" w:hint="eastAsia"/>
                <w:kern w:val="2"/>
                <w:sz w:val="17"/>
                <w:szCs w:val="17"/>
                <w:lang w:eastAsia="zh-TW"/>
              </w:rPr>
              <w:t>，</w:t>
            </w:r>
            <w:r w:rsidRPr="001D1285">
              <w:rPr>
                <w:rFonts w:ascii="Calibri" w:eastAsia="新細明體" w:hAnsi="Calibri" w:cs="Segoe UI" w:hint="eastAsia"/>
                <w:kern w:val="2"/>
                <w:sz w:val="17"/>
                <w:szCs w:val="17"/>
                <w:lang w:eastAsia="zh-HK"/>
              </w:rPr>
              <w:t>其絕對值不得高於第</w:t>
            </w:r>
            <w:r w:rsidRPr="001D1285">
              <w:rPr>
                <w:rFonts w:ascii="Calibri" w:eastAsia="新細明體" w:hAnsi="Calibri" w:cs="Segoe UI" w:hint="eastAsia"/>
                <w:kern w:val="2"/>
                <w:sz w:val="17"/>
                <w:szCs w:val="17"/>
                <w:lang w:eastAsia="zh-TW"/>
              </w:rPr>
              <w:t>19</w:t>
            </w:r>
            <w:r w:rsidRPr="001D1285">
              <w:rPr>
                <w:rFonts w:ascii="Calibri" w:eastAsia="新細明體" w:hAnsi="Calibri" w:cs="Segoe UI" w:hint="eastAsia"/>
                <w:kern w:val="2"/>
                <w:sz w:val="17"/>
                <w:szCs w:val="17"/>
                <w:lang w:eastAsia="zh-HK"/>
              </w:rPr>
              <w:t>及</w:t>
            </w:r>
            <w:r w:rsidRPr="001D1285">
              <w:rPr>
                <w:rFonts w:ascii="Calibri" w:eastAsia="新細明體" w:hAnsi="Calibri" w:cs="Segoe UI" w:hint="eastAsia"/>
                <w:kern w:val="2"/>
                <w:sz w:val="17"/>
                <w:szCs w:val="17"/>
                <w:lang w:eastAsia="zh-TW"/>
              </w:rPr>
              <w:t>20</w:t>
            </w:r>
            <w:r w:rsidRPr="001D1285">
              <w:rPr>
                <w:rFonts w:ascii="Calibri" w:eastAsia="新細明體" w:hAnsi="Calibri" w:cs="Segoe UI" w:hint="eastAsia"/>
                <w:kern w:val="2"/>
                <w:sz w:val="17"/>
                <w:szCs w:val="17"/>
                <w:lang w:eastAsia="zh-HK"/>
              </w:rPr>
              <w:t>行的總和</w:t>
            </w:r>
            <w:r w:rsidRPr="001D1285">
              <w:rPr>
                <w:rFonts w:ascii="Calibri" w:eastAsia="新細明體" w:hAnsi="Calibri" w:cs="Segoe UI" w:hint="eastAsia"/>
                <w:kern w:val="2"/>
                <w:sz w:val="17"/>
                <w:szCs w:val="17"/>
                <w:lang w:eastAsia="zh-TW"/>
              </w:rPr>
              <w:t>。</w:t>
            </w:r>
            <w:r w:rsidRPr="001D1285">
              <w:rPr>
                <w:rFonts w:ascii="Calibri" w:eastAsia="新細明體" w:hAnsi="Calibri" w:cs="Segoe UI" w:hint="eastAsia"/>
                <w:kern w:val="2"/>
                <w:sz w:val="17"/>
                <w:szCs w:val="17"/>
                <w:lang w:eastAsia="zh-HK"/>
              </w:rPr>
              <w:t>由於</w:t>
            </w:r>
            <w:r w:rsidRPr="001D1285">
              <w:rPr>
                <w:rFonts w:ascii="Calibri" w:eastAsia="新細明體" w:hAnsi="Calibri" w:cs="Segoe UI"/>
                <w:kern w:val="2"/>
                <w:sz w:val="17"/>
                <w:szCs w:val="17"/>
                <w:lang w:val="en-US" w:eastAsia="zh-TW"/>
              </w:rPr>
              <w:t>這些調整會降低風險承擔計量，此</w:t>
            </w:r>
            <w:r w:rsidRPr="001D1285">
              <w:rPr>
                <w:rFonts w:ascii="Calibri" w:eastAsia="新細明體" w:hAnsi="Calibri" w:cs="Segoe UI" w:hint="eastAsia"/>
                <w:kern w:val="2"/>
                <w:sz w:val="17"/>
                <w:szCs w:val="17"/>
                <w:lang w:val="en-US" w:eastAsia="zh-HK"/>
              </w:rPr>
              <w:t>項</w:t>
            </w:r>
            <w:r w:rsidRPr="001D1285">
              <w:rPr>
                <w:rFonts w:ascii="Calibri" w:eastAsia="新細明體" w:hAnsi="Calibri" w:cs="Segoe UI"/>
                <w:kern w:val="2"/>
                <w:sz w:val="17"/>
                <w:szCs w:val="17"/>
                <w:lang w:val="en-US" w:eastAsia="zh-TW"/>
              </w:rPr>
              <w:t>應以負數額形式填報。</w:t>
            </w:r>
          </w:p>
        </w:tc>
      </w:tr>
      <w:tr w:rsidR="001D1285" w:rsidRPr="001D1285" w14:paraId="13379BAF" w14:textId="77777777" w:rsidTr="00C361C1">
        <w:trPr>
          <w:trHeight w:val="373"/>
        </w:trPr>
        <w:tc>
          <w:tcPr>
            <w:tcW w:w="738" w:type="dxa"/>
          </w:tcPr>
          <w:p w14:paraId="6B8DC7FB" w14:textId="5DFE4197" w:rsidR="001D1285" w:rsidRPr="001D1285"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1D1285">
              <w:rPr>
                <w:rFonts w:ascii="Calibri" w:eastAsia="新細明體" w:hAnsi="Calibri" w:cs="Segoe UI" w:hint="eastAsia"/>
                <w:kern w:val="2"/>
                <w:sz w:val="17"/>
                <w:szCs w:val="17"/>
                <w:lang w:val="en-US" w:eastAsia="zh-TW"/>
              </w:rPr>
              <w:t>22</w:t>
            </w:r>
          </w:p>
        </w:tc>
        <w:tc>
          <w:tcPr>
            <w:tcW w:w="8221" w:type="dxa"/>
          </w:tcPr>
          <w:p w14:paraId="393DCEE9" w14:textId="138BFF99" w:rsidR="001D1285" w:rsidRPr="001D1285" w:rsidRDefault="001D1285" w:rsidP="001D1285">
            <w:pPr>
              <w:keepLines/>
              <w:widowControl w:val="0"/>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第</w:t>
            </w:r>
            <w:r w:rsidRPr="001D1285">
              <w:rPr>
                <w:rFonts w:ascii="Calibri" w:eastAsia="新細明體" w:hAnsi="Calibri" w:cs="Segoe UI" w:hint="eastAsia"/>
                <w:kern w:val="2"/>
                <w:sz w:val="17"/>
                <w:szCs w:val="17"/>
                <w:lang w:val="en-US" w:eastAsia="zh-TW"/>
              </w:rPr>
              <w:t>19</w:t>
            </w:r>
            <w:r w:rsidRPr="001D1285">
              <w:rPr>
                <w:rFonts w:ascii="Calibri" w:eastAsia="新細明體" w:hAnsi="Calibri" w:cs="Segoe UI" w:hint="eastAsia"/>
                <w:kern w:val="2"/>
                <w:sz w:val="17"/>
                <w:szCs w:val="17"/>
                <w:lang w:val="en-US" w:eastAsia="zh-HK"/>
              </w:rPr>
              <w:t>至</w:t>
            </w:r>
            <w:r w:rsidRPr="001D1285">
              <w:rPr>
                <w:rFonts w:ascii="Calibri" w:eastAsia="新細明體" w:hAnsi="Calibri" w:cs="Segoe UI" w:hint="eastAsia"/>
                <w:kern w:val="2"/>
                <w:sz w:val="17"/>
                <w:szCs w:val="17"/>
                <w:lang w:val="en-US" w:eastAsia="zh-TW"/>
              </w:rPr>
              <w:t>21</w:t>
            </w:r>
            <w:r w:rsidRPr="001D1285">
              <w:rPr>
                <w:rFonts w:ascii="Calibri" w:eastAsia="細明體" w:hAnsi="Calibri" w:cs="Segoe UI"/>
                <w:kern w:val="2"/>
                <w:sz w:val="17"/>
                <w:szCs w:val="17"/>
                <w:lang w:val="en-US" w:eastAsia="zh-TW"/>
              </w:rPr>
              <w:t>行</w:t>
            </w:r>
            <w:r w:rsidRPr="001D1285">
              <w:rPr>
                <w:rFonts w:ascii="Calibri" w:eastAsia="新細明體" w:hAnsi="Calibri" w:cs="Segoe UI"/>
                <w:kern w:val="2"/>
                <w:sz w:val="17"/>
                <w:szCs w:val="17"/>
                <w:lang w:val="en-US" w:eastAsia="zh-TW"/>
              </w:rPr>
              <w:t>的值的總和。</w:t>
            </w:r>
          </w:p>
        </w:tc>
      </w:tr>
      <w:tr w:rsidR="001D1285" w:rsidRPr="001D1285" w14:paraId="7FED2343" w14:textId="77777777" w:rsidTr="00C361C1">
        <w:trPr>
          <w:trHeight w:val="373"/>
        </w:trPr>
        <w:tc>
          <w:tcPr>
            <w:tcW w:w="738" w:type="dxa"/>
          </w:tcPr>
          <w:p w14:paraId="575C56A6" w14:textId="38DAC52E" w:rsidR="001D1285" w:rsidRPr="001D1285" w:rsidRDefault="003C2541" w:rsidP="003C254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Pr>
                <w:rFonts w:ascii="Calibri" w:eastAsia="新細明體" w:hAnsi="Calibri" w:cs="Segoe UI"/>
                <w:kern w:val="2"/>
                <w:sz w:val="17"/>
                <w:szCs w:val="17"/>
                <w:lang w:val="en-US" w:eastAsia="en-GB"/>
              </w:rPr>
              <w:t>2</w:t>
            </w:r>
            <w:r w:rsidRPr="001D1285">
              <w:rPr>
                <w:rFonts w:ascii="Calibri" w:eastAsia="新細明體" w:hAnsi="Calibri" w:cs="Segoe UI"/>
                <w:kern w:val="2"/>
                <w:sz w:val="17"/>
                <w:szCs w:val="17"/>
                <w:lang w:val="en-US" w:eastAsia="en-GB"/>
              </w:rPr>
              <w:t>3</w:t>
            </w:r>
          </w:p>
        </w:tc>
        <w:tc>
          <w:tcPr>
            <w:tcW w:w="8221" w:type="dxa"/>
          </w:tcPr>
          <w:p w14:paraId="0C75027D" w14:textId="6FA3D90F" w:rsidR="001D1285" w:rsidRPr="001D1285" w:rsidRDefault="001D1285" w:rsidP="003C254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val="en-US" w:eastAsia="zh-TW"/>
              </w:rPr>
              <w:t>根據《資本規則》所定的一級資本數額。</w:t>
            </w:r>
            <w:r w:rsidRPr="001D1285">
              <w:rPr>
                <w:rFonts w:ascii="Calibri" w:eastAsia="新細明體" w:hAnsi="Calibri" w:cs="Segoe UI"/>
                <w:kern w:val="2"/>
                <w:sz w:val="17"/>
                <w:szCs w:val="17"/>
                <w:lang w:val="en-US" w:eastAsia="zh-TW"/>
              </w:rPr>
              <w:t>[LR2:</w:t>
            </w:r>
            <w:r w:rsidR="003C2541">
              <w:rPr>
                <w:rFonts w:ascii="Calibri" w:eastAsia="新細明體" w:hAnsi="Calibri" w:cs="Segoe UI"/>
                <w:kern w:val="2"/>
                <w:sz w:val="17"/>
                <w:szCs w:val="17"/>
                <w:lang w:val="en-US" w:eastAsia="zh-TW"/>
              </w:rPr>
              <w:t>2</w:t>
            </w:r>
            <w:r w:rsidR="003C2541" w:rsidRPr="001D1285">
              <w:rPr>
                <w:rFonts w:ascii="Calibri" w:eastAsia="新細明體" w:hAnsi="Calibri" w:cs="Segoe UI" w:hint="eastAsia"/>
                <w:kern w:val="2"/>
                <w:sz w:val="17"/>
                <w:szCs w:val="17"/>
                <w:lang w:val="en-US" w:eastAsia="zh-TW"/>
              </w:rPr>
              <w:t>3</w:t>
            </w:r>
            <w:r w:rsidRPr="001D1285">
              <w:rPr>
                <w:rFonts w:ascii="Calibri" w:eastAsia="新細明體" w:hAnsi="Calibri" w:cs="Segoe UI"/>
                <w:kern w:val="2"/>
                <w:sz w:val="17"/>
                <w:szCs w:val="17"/>
                <w:lang w:val="en-US" w:eastAsia="zh-TW"/>
              </w:rPr>
              <w:t>/</w:t>
            </w:r>
            <w:proofErr w:type="gramStart"/>
            <w:r w:rsidRPr="001D1285">
              <w:rPr>
                <w:rFonts w:ascii="Calibri" w:eastAsia="新細明體" w:hAnsi="Calibri" w:cs="Segoe UI"/>
                <w:kern w:val="2"/>
                <w:sz w:val="17"/>
                <w:szCs w:val="17"/>
                <w:lang w:val="en-US" w:eastAsia="zh-TW"/>
              </w:rPr>
              <w:t>a]</w:t>
            </w:r>
            <w:r w:rsidRPr="001D1285">
              <w:rPr>
                <w:rFonts w:ascii="Calibri" w:eastAsia="新細明體" w:hAnsi="Calibri" w:cs="Segoe UI"/>
                <w:kern w:val="2"/>
                <w:sz w:val="17"/>
                <w:szCs w:val="17"/>
                <w:lang w:val="en-US" w:eastAsia="zh-TW"/>
              </w:rPr>
              <w:t>的值</w:t>
            </w:r>
            <w:r w:rsidRPr="001D1285">
              <w:rPr>
                <w:rFonts w:ascii="Calibri" w:eastAsia="新細明體" w:hAnsi="Calibri" w:cs="Segoe UI" w:hint="eastAsia"/>
                <w:kern w:val="2"/>
                <w:sz w:val="17"/>
                <w:szCs w:val="17"/>
                <w:lang w:val="en-US" w:eastAsia="zh-HK"/>
              </w:rPr>
              <w:t>相等於</w:t>
            </w:r>
            <w:proofErr w:type="gramEnd"/>
            <w:r w:rsidRPr="001D1285">
              <w:rPr>
                <w:rFonts w:ascii="Calibri" w:eastAsia="新細明體" w:hAnsi="Calibri" w:cs="Segoe UI"/>
                <w:kern w:val="2"/>
                <w:sz w:val="17"/>
                <w:szCs w:val="17"/>
                <w:lang w:val="en-US" w:eastAsia="zh-TW"/>
              </w:rPr>
              <w:t>[KM1:2</w:t>
            </w:r>
            <w:r w:rsidRPr="001D1285">
              <w:rPr>
                <w:rFonts w:ascii="Calibri" w:eastAsia="新細明體" w:hAnsi="Calibri" w:cs="Segoe UI" w:hint="eastAsia"/>
                <w:kern w:val="2"/>
                <w:sz w:val="17"/>
                <w:szCs w:val="17"/>
                <w:lang w:val="en-US" w:eastAsia="zh-HK"/>
              </w:rPr>
              <w:t>及</w:t>
            </w:r>
            <w:r w:rsidRPr="001D1285">
              <w:rPr>
                <w:rFonts w:ascii="Calibri" w:eastAsia="新細明體" w:hAnsi="Calibri" w:cs="Segoe UI" w:hint="eastAsia"/>
                <w:kern w:val="2"/>
                <w:sz w:val="17"/>
                <w:szCs w:val="17"/>
                <w:lang w:val="en-US" w:eastAsia="zh-TW"/>
              </w:rPr>
              <w:t>2</w:t>
            </w:r>
            <w:r w:rsidRPr="001D1285">
              <w:rPr>
                <w:rFonts w:ascii="Calibri" w:eastAsia="新細明體" w:hAnsi="Calibri" w:cs="Segoe UI"/>
                <w:kern w:val="2"/>
                <w:sz w:val="17"/>
                <w:szCs w:val="17"/>
                <w:lang w:val="en-US" w:eastAsia="zh-TW"/>
              </w:rPr>
              <w:t>a/a]</w:t>
            </w:r>
            <w:r w:rsidRPr="001D1285">
              <w:rPr>
                <w:rFonts w:ascii="Calibri" w:eastAsia="新細明體" w:hAnsi="Calibri" w:cs="Segoe UI"/>
                <w:kern w:val="2"/>
                <w:sz w:val="17"/>
                <w:szCs w:val="17"/>
                <w:lang w:val="en-US" w:eastAsia="zh-TW"/>
              </w:rPr>
              <w:t>的值。</w:t>
            </w:r>
          </w:p>
        </w:tc>
      </w:tr>
      <w:tr w:rsidR="001D1285" w:rsidRPr="001D1285" w14:paraId="4D4B35F7" w14:textId="77777777" w:rsidTr="00C361C1">
        <w:trPr>
          <w:trHeight w:val="373"/>
        </w:trPr>
        <w:tc>
          <w:tcPr>
            <w:tcW w:w="738" w:type="dxa"/>
          </w:tcPr>
          <w:p w14:paraId="14303900" w14:textId="350FE897" w:rsidR="001D1285" w:rsidRPr="001D1285" w:rsidRDefault="00D3377A" w:rsidP="00D3377A">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Pr>
                <w:rFonts w:ascii="Calibri" w:eastAsia="新細明體" w:hAnsi="Calibri" w:cs="Segoe UI"/>
                <w:kern w:val="2"/>
                <w:sz w:val="17"/>
                <w:szCs w:val="17"/>
                <w:lang w:val="en-US" w:eastAsia="zh-TW"/>
              </w:rPr>
              <w:t>2</w:t>
            </w:r>
            <w:r w:rsidRPr="001D1285">
              <w:rPr>
                <w:rFonts w:ascii="Calibri" w:eastAsia="新細明體" w:hAnsi="Calibri" w:cs="Segoe UI"/>
                <w:kern w:val="2"/>
                <w:sz w:val="17"/>
                <w:szCs w:val="17"/>
                <w:lang w:val="en-US" w:eastAsia="zh-TW"/>
              </w:rPr>
              <w:t>4</w:t>
            </w:r>
          </w:p>
        </w:tc>
        <w:tc>
          <w:tcPr>
            <w:tcW w:w="8221" w:type="dxa"/>
          </w:tcPr>
          <w:p w14:paraId="19076F72" w14:textId="26B4AA65" w:rsidR="001D1285" w:rsidRPr="001D1285" w:rsidRDefault="001D1285" w:rsidP="00D3377A">
            <w:pPr>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第</w:t>
            </w:r>
            <w:r w:rsidRPr="001D1285">
              <w:rPr>
                <w:rFonts w:ascii="Calibri" w:eastAsia="細明體" w:hAnsi="Calibri" w:cs="Segoe UI"/>
                <w:kern w:val="2"/>
                <w:sz w:val="17"/>
                <w:szCs w:val="17"/>
                <w:lang w:val="en-US" w:eastAsia="zh-TW"/>
              </w:rPr>
              <w:t>7</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TW"/>
              </w:rPr>
              <w:t>13</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TW"/>
              </w:rPr>
              <w:t>18</w:t>
            </w:r>
            <w:r w:rsidRPr="001D1285">
              <w:rPr>
                <w:rFonts w:ascii="Calibri" w:eastAsia="細明體" w:hAnsi="Calibri" w:cs="Segoe UI" w:hint="eastAsia"/>
                <w:kern w:val="2"/>
                <w:sz w:val="17"/>
                <w:szCs w:val="17"/>
                <w:lang w:val="en-US" w:eastAsia="zh-HK"/>
              </w:rPr>
              <w:t>及</w:t>
            </w:r>
            <w:r w:rsidRPr="001D1285">
              <w:rPr>
                <w:rFonts w:ascii="Calibri" w:eastAsia="細明體" w:hAnsi="Calibri" w:cs="Segoe UI" w:hint="eastAsia"/>
                <w:kern w:val="2"/>
                <w:sz w:val="17"/>
                <w:szCs w:val="17"/>
                <w:lang w:val="en-US" w:eastAsia="zh-TW"/>
              </w:rPr>
              <w:t>22</w:t>
            </w:r>
            <w:r w:rsidRPr="001D1285">
              <w:rPr>
                <w:rFonts w:ascii="Calibri" w:eastAsia="細明體" w:hAnsi="Calibri" w:cs="Segoe UI"/>
                <w:kern w:val="2"/>
                <w:sz w:val="17"/>
                <w:szCs w:val="17"/>
                <w:lang w:val="en-US" w:eastAsia="zh-TW"/>
              </w:rPr>
              <w:t>行的值的總和。</w:t>
            </w:r>
            <w:r w:rsidRPr="001D1285">
              <w:rPr>
                <w:rFonts w:ascii="Calibri" w:eastAsia="新細明體" w:hAnsi="Calibri" w:cs="Segoe UI"/>
                <w:kern w:val="2"/>
                <w:sz w:val="17"/>
                <w:szCs w:val="17"/>
                <w:lang w:val="en-US" w:eastAsia="zh-TW"/>
              </w:rPr>
              <w:t>[LR2:</w:t>
            </w:r>
            <w:r w:rsidR="00D3377A">
              <w:rPr>
                <w:rFonts w:ascii="Calibri" w:eastAsia="新細明體" w:hAnsi="Calibri" w:cs="Segoe UI"/>
                <w:kern w:val="2"/>
                <w:sz w:val="17"/>
                <w:szCs w:val="17"/>
                <w:lang w:val="en-US" w:eastAsia="zh-TW"/>
              </w:rPr>
              <w:t>2</w:t>
            </w:r>
            <w:r w:rsidR="00D3377A" w:rsidRPr="001D1285">
              <w:rPr>
                <w:rFonts w:ascii="Calibri" w:eastAsia="新細明體" w:hAnsi="Calibri" w:cs="Segoe UI"/>
                <w:kern w:val="2"/>
                <w:sz w:val="17"/>
                <w:szCs w:val="17"/>
                <w:lang w:val="en-US" w:eastAsia="zh-TW"/>
              </w:rPr>
              <w:t>4</w:t>
            </w:r>
            <w:r w:rsidRPr="001D1285">
              <w:rPr>
                <w:rFonts w:ascii="Calibri" w:eastAsia="新細明體" w:hAnsi="Calibri" w:cs="Segoe UI"/>
                <w:kern w:val="2"/>
                <w:sz w:val="17"/>
                <w:szCs w:val="17"/>
                <w:lang w:val="en-US" w:eastAsia="zh-TW"/>
              </w:rPr>
              <w:t>/</w:t>
            </w:r>
            <w:proofErr w:type="gramStart"/>
            <w:r w:rsidRPr="001D1285">
              <w:rPr>
                <w:rFonts w:ascii="Calibri" w:eastAsia="新細明體" w:hAnsi="Calibri" w:cs="Segoe UI"/>
                <w:kern w:val="2"/>
                <w:sz w:val="17"/>
                <w:szCs w:val="17"/>
                <w:lang w:val="en-US" w:eastAsia="zh-TW"/>
              </w:rPr>
              <w:t>a]</w:t>
            </w:r>
            <w:r w:rsidRPr="001D1285">
              <w:rPr>
                <w:rFonts w:ascii="Calibri" w:eastAsia="新細明體" w:hAnsi="Calibri" w:cs="Segoe UI"/>
                <w:kern w:val="2"/>
                <w:sz w:val="17"/>
                <w:szCs w:val="17"/>
                <w:lang w:val="en-US" w:eastAsia="zh-TW"/>
              </w:rPr>
              <w:t>的值</w:t>
            </w:r>
            <w:r w:rsidRPr="001D1285">
              <w:rPr>
                <w:rFonts w:ascii="Calibri" w:eastAsia="新細明體" w:hAnsi="Calibri" w:cs="Segoe UI" w:hint="eastAsia"/>
                <w:kern w:val="2"/>
                <w:sz w:val="17"/>
                <w:szCs w:val="17"/>
                <w:lang w:val="en-US" w:eastAsia="zh-HK"/>
              </w:rPr>
              <w:t>相等於</w:t>
            </w:r>
            <w:proofErr w:type="gramEnd"/>
            <w:r w:rsidRPr="001D1285">
              <w:rPr>
                <w:rFonts w:ascii="Calibri" w:eastAsia="新細明體" w:hAnsi="Calibri" w:cs="Segoe UI"/>
                <w:kern w:val="2"/>
                <w:sz w:val="17"/>
                <w:szCs w:val="17"/>
                <w:lang w:val="en-US" w:eastAsia="zh-TW"/>
              </w:rPr>
              <w:t>[KM1:13/a]</w:t>
            </w:r>
            <w:r w:rsidRPr="001D1285">
              <w:rPr>
                <w:rFonts w:ascii="Calibri" w:eastAsia="新細明體" w:hAnsi="Calibri" w:cs="Segoe UI"/>
                <w:kern w:val="2"/>
                <w:sz w:val="17"/>
                <w:szCs w:val="17"/>
                <w:lang w:val="en-US" w:eastAsia="zh-TW"/>
              </w:rPr>
              <w:t>及</w:t>
            </w:r>
            <w:r w:rsidRPr="001D1285">
              <w:rPr>
                <w:rFonts w:ascii="Calibri" w:eastAsia="新細明體" w:hAnsi="Calibri" w:cs="Segoe UI"/>
                <w:kern w:val="2"/>
                <w:sz w:val="17"/>
                <w:szCs w:val="17"/>
                <w:lang w:val="en-US" w:eastAsia="zh-TW"/>
              </w:rPr>
              <w:t>[LR1</w:t>
            </w:r>
            <w:r w:rsidR="009346B4" w:rsidRPr="001D1285">
              <w:rPr>
                <w:rFonts w:ascii="Calibri" w:eastAsia="新細明體" w:hAnsi="Calibri" w:cs="Segoe UI"/>
                <w:kern w:val="2"/>
                <w:sz w:val="17"/>
                <w:szCs w:val="17"/>
                <w:lang w:val="en-US" w:eastAsia="zh-TW"/>
              </w:rPr>
              <w:t>:</w:t>
            </w:r>
            <w:r w:rsidRPr="001D1285">
              <w:rPr>
                <w:rFonts w:ascii="Calibri" w:eastAsia="細明體" w:hAnsi="Calibri" w:cs="Segoe UI" w:hint="eastAsia"/>
                <w:kern w:val="2"/>
                <w:sz w:val="17"/>
                <w:szCs w:val="17"/>
                <w:lang w:val="en-US" w:eastAsia="zh-TW"/>
              </w:rPr>
              <w:t>13</w:t>
            </w:r>
            <w:r w:rsidRPr="001D1285">
              <w:rPr>
                <w:rFonts w:ascii="Calibri" w:eastAsia="新細明體" w:hAnsi="Calibri" w:cs="Segoe UI"/>
                <w:kern w:val="2"/>
                <w:sz w:val="17"/>
                <w:szCs w:val="17"/>
                <w:lang w:val="en-US" w:eastAsia="zh-TW"/>
              </w:rPr>
              <w:t>/a]</w:t>
            </w:r>
            <w:r w:rsidRPr="001D1285">
              <w:rPr>
                <w:rFonts w:ascii="Calibri" w:eastAsia="新細明體" w:hAnsi="Calibri" w:cs="Segoe UI"/>
                <w:kern w:val="2"/>
                <w:sz w:val="17"/>
                <w:szCs w:val="17"/>
                <w:lang w:val="en-US" w:eastAsia="zh-TW"/>
              </w:rPr>
              <w:t>的值。</w:t>
            </w:r>
          </w:p>
        </w:tc>
      </w:tr>
      <w:tr w:rsidR="001D1285" w:rsidRPr="001D1285" w14:paraId="2F17ED9E" w14:textId="77777777" w:rsidTr="00C361C1">
        <w:trPr>
          <w:trHeight w:val="373"/>
        </w:trPr>
        <w:tc>
          <w:tcPr>
            <w:tcW w:w="738" w:type="dxa"/>
          </w:tcPr>
          <w:p w14:paraId="59621E7E" w14:textId="73380FF8" w:rsidR="001D1285" w:rsidRPr="001D1285" w:rsidRDefault="00E6480F"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Pr>
                <w:rFonts w:ascii="Calibri" w:eastAsia="新細明體" w:hAnsi="Calibri" w:cs="Segoe UI" w:hint="eastAsia"/>
                <w:kern w:val="2"/>
                <w:sz w:val="17"/>
                <w:szCs w:val="17"/>
                <w:lang w:val="en-US" w:eastAsia="zh-TW"/>
              </w:rPr>
              <w:t>2</w:t>
            </w:r>
            <w:r w:rsidR="001D1285" w:rsidRPr="001D1285">
              <w:rPr>
                <w:rFonts w:ascii="Calibri" w:eastAsia="新細明體" w:hAnsi="Calibri" w:cs="Segoe UI"/>
                <w:kern w:val="2"/>
                <w:sz w:val="17"/>
                <w:szCs w:val="17"/>
                <w:lang w:val="en-US" w:eastAsia="zh-TW"/>
              </w:rPr>
              <w:t>5</w:t>
            </w:r>
            <w:r w:rsidR="001D1285" w:rsidRPr="001D1285">
              <w:rPr>
                <w:rFonts w:ascii="Calibri" w:eastAsia="新細明體" w:hAnsi="Calibri" w:cs="Segoe UI" w:hint="eastAsia"/>
                <w:kern w:val="2"/>
                <w:sz w:val="17"/>
                <w:szCs w:val="17"/>
                <w:lang w:val="en-US" w:eastAsia="zh-HK"/>
              </w:rPr>
              <w:t>及</w:t>
            </w:r>
            <w:r w:rsidR="001D1285" w:rsidRPr="001D1285">
              <w:rPr>
                <w:rFonts w:ascii="Calibri" w:eastAsia="新細明體" w:hAnsi="Calibri" w:cs="Segoe UI" w:hint="eastAsia"/>
                <w:kern w:val="2"/>
                <w:sz w:val="17"/>
                <w:szCs w:val="17"/>
                <w:lang w:val="en-US" w:eastAsia="zh-TW"/>
              </w:rPr>
              <w:t>25a</w:t>
            </w:r>
          </w:p>
        </w:tc>
        <w:tc>
          <w:tcPr>
            <w:tcW w:w="8221" w:type="dxa"/>
          </w:tcPr>
          <w:p w14:paraId="2438B8D8" w14:textId="149EB768" w:rsidR="001D1285" w:rsidRPr="001D1285" w:rsidRDefault="001D1285" w:rsidP="00315D30">
            <w:pPr>
              <w:spacing w:before="40" w:after="40"/>
              <w:jc w:val="both"/>
              <w:rPr>
                <w:rFonts w:ascii="Calibri" w:eastAsia="新細明體" w:hAnsi="Calibri" w:cs="Segoe UI"/>
                <w:kern w:val="2"/>
                <w:sz w:val="17"/>
                <w:szCs w:val="17"/>
                <w:lang w:val="en-US" w:eastAsia="zh-TW"/>
              </w:rPr>
            </w:pPr>
            <w:r w:rsidRPr="001D1285">
              <w:rPr>
                <w:rFonts w:ascii="Calibri" w:eastAsia="細明體" w:hAnsi="Calibri" w:cs="Segoe UI"/>
                <w:kern w:val="2"/>
                <w:sz w:val="17"/>
                <w:szCs w:val="17"/>
                <w:lang w:val="en-US" w:eastAsia="zh-TW"/>
              </w:rPr>
              <w:t>槓桿比率界定為第</w:t>
            </w:r>
            <w:r w:rsidR="00E6480F">
              <w:rPr>
                <w:rFonts w:ascii="Calibri" w:eastAsia="新細明體" w:hAnsi="Calibri" w:cs="Segoe UI" w:hint="eastAsia"/>
                <w:kern w:val="2"/>
                <w:sz w:val="17"/>
                <w:szCs w:val="17"/>
                <w:lang w:val="en-US" w:eastAsia="zh-TW"/>
              </w:rPr>
              <w:t>2</w:t>
            </w:r>
            <w:r w:rsidR="00E6480F" w:rsidRPr="001D1285">
              <w:rPr>
                <w:rFonts w:ascii="Calibri" w:eastAsia="新細明體" w:hAnsi="Calibri" w:cs="Segoe UI"/>
                <w:kern w:val="2"/>
                <w:sz w:val="17"/>
                <w:szCs w:val="17"/>
                <w:lang w:val="en-US" w:eastAsia="zh-TW"/>
              </w:rPr>
              <w:t>3</w:t>
            </w:r>
            <w:r w:rsidRPr="001D1285">
              <w:rPr>
                <w:rFonts w:ascii="Calibri" w:eastAsia="細明體" w:hAnsi="Calibri" w:cs="Segoe UI"/>
                <w:kern w:val="2"/>
                <w:sz w:val="17"/>
                <w:szCs w:val="17"/>
                <w:lang w:val="en-US" w:eastAsia="zh-TW"/>
              </w:rPr>
              <w:t>行</w:t>
            </w:r>
            <w:r w:rsidRPr="001D1285">
              <w:rPr>
                <w:rFonts w:ascii="Calibri" w:eastAsia="新細明體" w:hAnsi="Calibri" w:cs="Segoe UI"/>
                <w:kern w:val="2"/>
                <w:sz w:val="17"/>
                <w:szCs w:val="17"/>
                <w:lang w:val="en-US" w:eastAsia="zh-TW"/>
              </w:rPr>
              <w:t>的一級資本計量（即分子）除以第</w:t>
            </w:r>
            <w:r w:rsidR="00E6480F">
              <w:rPr>
                <w:rFonts w:ascii="Calibri" w:eastAsia="新細明體" w:hAnsi="Calibri" w:cs="Segoe UI" w:hint="eastAsia"/>
                <w:kern w:val="2"/>
                <w:sz w:val="17"/>
                <w:szCs w:val="17"/>
                <w:lang w:val="en-US" w:eastAsia="zh-TW"/>
              </w:rPr>
              <w:t>2</w:t>
            </w:r>
            <w:r w:rsidR="00E6480F" w:rsidRPr="001D1285">
              <w:rPr>
                <w:rFonts w:ascii="Calibri" w:eastAsia="新細明體" w:hAnsi="Calibri" w:cs="Segoe UI"/>
                <w:kern w:val="2"/>
                <w:sz w:val="17"/>
                <w:szCs w:val="17"/>
                <w:lang w:val="en-US" w:eastAsia="zh-TW"/>
              </w:rPr>
              <w:t>4</w:t>
            </w:r>
            <w:r w:rsidRPr="001D1285">
              <w:rPr>
                <w:rFonts w:ascii="Calibri" w:eastAsia="細明體" w:hAnsi="Calibri" w:cs="Segoe UI"/>
                <w:kern w:val="2"/>
                <w:sz w:val="17"/>
                <w:szCs w:val="17"/>
                <w:lang w:val="en-US" w:eastAsia="zh-TW"/>
              </w:rPr>
              <w:t>行</w:t>
            </w:r>
            <w:r w:rsidRPr="001D1285">
              <w:rPr>
                <w:rFonts w:ascii="Calibri" w:eastAsia="新細明體" w:hAnsi="Calibri" w:cs="Segoe UI"/>
                <w:kern w:val="2"/>
                <w:sz w:val="17"/>
                <w:szCs w:val="17"/>
                <w:lang w:val="en-US" w:eastAsia="zh-TW"/>
              </w:rPr>
              <w:t>的風險承擔計量（即分母），得出的商數以百分比表示。</w:t>
            </w:r>
            <w:r w:rsidR="002578F5" w:rsidRPr="002578F5">
              <w:rPr>
                <w:rFonts w:ascii="Calibri" w:eastAsia="新細明體" w:hAnsi="Calibri" w:cs="Segoe UI" w:hint="eastAsia"/>
                <w:kern w:val="2"/>
                <w:sz w:val="17"/>
                <w:szCs w:val="17"/>
                <w:lang w:val="en-US" w:eastAsia="zh-TW"/>
              </w:rPr>
              <w:t>香港並無行使酌情權，以容許從槓桿比率風險承擔計量中</w:t>
            </w:r>
            <w:proofErr w:type="gramStart"/>
            <w:r w:rsidR="00315D30" w:rsidRPr="002578F5">
              <w:rPr>
                <w:rFonts w:ascii="Calibri" w:eastAsia="新細明體" w:hAnsi="Calibri" w:cs="Segoe UI" w:hint="eastAsia"/>
                <w:kern w:val="2"/>
                <w:sz w:val="17"/>
                <w:szCs w:val="17"/>
                <w:lang w:val="en-US" w:eastAsia="zh-TW"/>
              </w:rPr>
              <w:t>暫時</w:t>
            </w:r>
            <w:r w:rsidR="002578F5" w:rsidRPr="002578F5">
              <w:rPr>
                <w:rFonts w:ascii="Calibri" w:eastAsia="新細明體" w:hAnsi="Calibri" w:cs="Segoe UI" w:hint="eastAsia"/>
                <w:kern w:val="2"/>
                <w:sz w:val="17"/>
                <w:szCs w:val="17"/>
                <w:lang w:val="en-US" w:eastAsia="zh-TW"/>
              </w:rPr>
              <w:t>豁除央行</w:t>
            </w:r>
            <w:proofErr w:type="gramEnd"/>
            <w:r w:rsidR="002578F5" w:rsidRPr="002578F5">
              <w:rPr>
                <w:rFonts w:ascii="Calibri" w:eastAsia="新細明體" w:hAnsi="Calibri" w:cs="Segoe UI" w:hint="eastAsia"/>
                <w:kern w:val="2"/>
                <w:sz w:val="17"/>
                <w:szCs w:val="17"/>
                <w:lang w:val="en-US" w:eastAsia="zh-TW"/>
              </w:rPr>
              <w:t>儲備</w:t>
            </w:r>
            <w:r w:rsidR="00407C5C" w:rsidRPr="00217BE5">
              <w:rPr>
                <w:rFonts w:eastAsiaTheme="minorEastAsia" w:cs="Segoe UI" w:hint="eastAsia"/>
                <w:iCs/>
                <w:color w:val="000000"/>
                <w:sz w:val="17"/>
                <w:szCs w:val="17"/>
                <w:lang w:val="en-US" w:eastAsia="zh-TW"/>
              </w:rPr>
              <w:t>。</w:t>
            </w:r>
            <w:r w:rsidRPr="001D1285">
              <w:rPr>
                <w:rFonts w:ascii="Calibri" w:eastAsia="新細明體" w:hAnsi="Calibri" w:cs="Segoe UI"/>
                <w:kern w:val="2"/>
                <w:sz w:val="17"/>
                <w:szCs w:val="17"/>
                <w:lang w:val="en-US" w:eastAsia="zh-TW"/>
              </w:rPr>
              <w:t>[LR2:</w:t>
            </w:r>
            <w:r w:rsidR="006A7FC9">
              <w:rPr>
                <w:rFonts w:ascii="Calibri" w:eastAsia="新細明體" w:hAnsi="Calibri" w:cs="Segoe UI" w:hint="eastAsia"/>
                <w:kern w:val="2"/>
                <w:sz w:val="17"/>
                <w:szCs w:val="17"/>
                <w:lang w:val="en-US" w:eastAsia="zh-TW"/>
              </w:rPr>
              <w:t>2</w:t>
            </w:r>
            <w:r w:rsidRPr="001D1285">
              <w:rPr>
                <w:rFonts w:ascii="Calibri" w:eastAsia="新細明體" w:hAnsi="Calibri" w:cs="Segoe UI"/>
                <w:kern w:val="2"/>
                <w:sz w:val="17"/>
                <w:szCs w:val="17"/>
                <w:lang w:val="en-US" w:eastAsia="zh-TW"/>
              </w:rPr>
              <w:t>5</w:t>
            </w:r>
            <w:r w:rsidRPr="001D1285">
              <w:rPr>
                <w:rFonts w:ascii="Calibri" w:eastAsia="新細明體" w:hAnsi="Calibri" w:cs="Segoe UI" w:hint="eastAsia"/>
                <w:kern w:val="2"/>
                <w:sz w:val="17"/>
                <w:szCs w:val="17"/>
                <w:lang w:val="en-US" w:eastAsia="zh-HK"/>
              </w:rPr>
              <w:t>及</w:t>
            </w:r>
            <w:r w:rsidRPr="001D1285">
              <w:rPr>
                <w:rFonts w:ascii="Calibri" w:eastAsia="新細明體" w:hAnsi="Calibri" w:cs="Segoe UI" w:hint="eastAsia"/>
                <w:kern w:val="2"/>
                <w:sz w:val="17"/>
                <w:szCs w:val="17"/>
                <w:lang w:val="en-US" w:eastAsia="zh-TW"/>
              </w:rPr>
              <w:t>25</w:t>
            </w:r>
            <w:r w:rsidRPr="001D1285">
              <w:rPr>
                <w:rFonts w:ascii="Calibri" w:eastAsia="新細明體" w:hAnsi="Calibri" w:cs="Segoe UI"/>
                <w:kern w:val="2"/>
                <w:sz w:val="17"/>
                <w:szCs w:val="17"/>
                <w:lang w:val="en-US" w:eastAsia="zh-TW"/>
              </w:rPr>
              <w:t>a/</w:t>
            </w:r>
            <w:proofErr w:type="gramStart"/>
            <w:r w:rsidRPr="001D1285">
              <w:rPr>
                <w:rFonts w:ascii="Calibri" w:eastAsia="新細明體" w:hAnsi="Calibri" w:cs="Segoe UI"/>
                <w:kern w:val="2"/>
                <w:sz w:val="17"/>
                <w:szCs w:val="17"/>
                <w:lang w:val="en-US" w:eastAsia="zh-TW"/>
              </w:rPr>
              <w:t>a]</w:t>
            </w:r>
            <w:r w:rsidRPr="001D1285">
              <w:rPr>
                <w:rFonts w:ascii="Calibri" w:eastAsia="新細明體" w:hAnsi="Calibri" w:cs="Segoe UI"/>
                <w:kern w:val="2"/>
                <w:sz w:val="17"/>
                <w:szCs w:val="17"/>
                <w:lang w:val="en-US" w:eastAsia="zh-TW"/>
              </w:rPr>
              <w:t>的值</w:t>
            </w:r>
            <w:r w:rsidRPr="001D1285">
              <w:rPr>
                <w:rFonts w:ascii="Calibri" w:eastAsia="新細明體" w:hAnsi="Calibri" w:cs="Segoe UI" w:hint="eastAsia"/>
                <w:kern w:val="2"/>
                <w:sz w:val="17"/>
                <w:szCs w:val="17"/>
                <w:lang w:val="en-US" w:eastAsia="zh-HK"/>
              </w:rPr>
              <w:t>相等於</w:t>
            </w:r>
            <w:proofErr w:type="gramEnd"/>
            <w:r w:rsidRPr="001D1285">
              <w:rPr>
                <w:rFonts w:ascii="Calibri" w:eastAsia="新細明體" w:hAnsi="Calibri" w:cs="Segoe UI"/>
                <w:kern w:val="2"/>
                <w:sz w:val="17"/>
                <w:szCs w:val="17"/>
                <w:lang w:val="en-US" w:eastAsia="zh-TW"/>
              </w:rPr>
              <w:t>[KM1:14</w:t>
            </w:r>
            <w:r w:rsidR="000F07D7">
              <w:rPr>
                <w:rFonts w:ascii="Calibri" w:eastAsia="新細明體" w:hAnsi="Calibri" w:cs="Segoe UI" w:hint="eastAsia"/>
                <w:kern w:val="2"/>
                <w:sz w:val="17"/>
                <w:szCs w:val="17"/>
                <w:lang w:val="en-US" w:eastAsia="zh-TW"/>
              </w:rPr>
              <w:t>,14</w:t>
            </w:r>
            <w:r w:rsidRPr="001D1285">
              <w:rPr>
                <w:rFonts w:ascii="Calibri" w:eastAsia="新細明體" w:hAnsi="Calibri" w:cs="Segoe UI"/>
                <w:kern w:val="2"/>
                <w:sz w:val="17"/>
                <w:szCs w:val="17"/>
                <w:lang w:val="en-US" w:eastAsia="zh-TW"/>
              </w:rPr>
              <w:t>a</w:t>
            </w:r>
            <w:r w:rsidRPr="001D1285">
              <w:rPr>
                <w:rFonts w:ascii="Calibri" w:eastAsia="新細明體" w:hAnsi="Calibri" w:cs="Segoe UI" w:hint="eastAsia"/>
                <w:kern w:val="2"/>
                <w:sz w:val="17"/>
                <w:szCs w:val="17"/>
                <w:lang w:val="en-US" w:eastAsia="zh-HK"/>
              </w:rPr>
              <w:t>及</w:t>
            </w:r>
            <w:r w:rsidRPr="001D1285">
              <w:rPr>
                <w:rFonts w:ascii="Calibri" w:eastAsia="新細明體" w:hAnsi="Calibri" w:cs="Segoe UI" w:hint="eastAsia"/>
                <w:kern w:val="2"/>
                <w:sz w:val="17"/>
                <w:szCs w:val="17"/>
                <w:lang w:val="en-US" w:eastAsia="zh-TW"/>
              </w:rPr>
              <w:t>14b</w:t>
            </w:r>
            <w:r w:rsidRPr="001D1285">
              <w:rPr>
                <w:rFonts w:ascii="Calibri" w:eastAsia="新細明體" w:hAnsi="Calibri" w:cs="Segoe UI"/>
                <w:kern w:val="2"/>
                <w:sz w:val="17"/>
                <w:szCs w:val="17"/>
                <w:lang w:val="en-US" w:eastAsia="zh-TW"/>
              </w:rPr>
              <w:t>/a]</w:t>
            </w:r>
            <w:r w:rsidRPr="001D1285">
              <w:rPr>
                <w:rFonts w:ascii="Calibri" w:eastAsia="新細明體" w:hAnsi="Calibri" w:cs="Segoe UI"/>
                <w:kern w:val="2"/>
                <w:sz w:val="17"/>
                <w:szCs w:val="17"/>
                <w:lang w:val="en-US" w:eastAsia="zh-TW"/>
              </w:rPr>
              <w:t>的值。</w:t>
            </w:r>
          </w:p>
        </w:tc>
      </w:tr>
      <w:tr w:rsidR="001D1285" w:rsidRPr="001D1285" w14:paraId="3C7B3743" w14:textId="77777777" w:rsidTr="00C361C1">
        <w:trPr>
          <w:trHeight w:val="373"/>
        </w:trPr>
        <w:tc>
          <w:tcPr>
            <w:tcW w:w="738" w:type="dxa"/>
          </w:tcPr>
          <w:p w14:paraId="44039440" w14:textId="77777777" w:rsidR="001D1285" w:rsidRPr="001D1285" w:rsidDel="005328E3"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26</w:t>
            </w:r>
          </w:p>
        </w:tc>
        <w:tc>
          <w:tcPr>
            <w:tcW w:w="8221" w:type="dxa"/>
          </w:tcPr>
          <w:p w14:paraId="585B2A86" w14:textId="68C22237" w:rsidR="001D1285" w:rsidRPr="001D1285" w:rsidRDefault="001D1285" w:rsidP="001D1285">
            <w:pPr>
              <w:spacing w:before="40" w:after="40"/>
              <w:jc w:val="both"/>
              <w:rPr>
                <w:rFonts w:ascii="Calibri" w:eastAsia="細明體" w:hAnsi="Calibri" w:cs="Segoe UI"/>
                <w:kern w:val="2"/>
                <w:sz w:val="17"/>
                <w:szCs w:val="17"/>
                <w:lang w:val="en-US" w:eastAsia="zh-HK"/>
              </w:rPr>
            </w:pPr>
            <w:r w:rsidRPr="001D1285">
              <w:rPr>
                <w:rFonts w:ascii="Calibri" w:eastAsia="新細明體" w:hAnsi="Calibri" w:cs="Segoe UI"/>
                <w:kern w:val="2"/>
                <w:sz w:val="17"/>
                <w:szCs w:val="17"/>
                <w:lang w:val="en-US" w:eastAsia="zh-TW"/>
              </w:rPr>
              <w:t>《資本規則》</w:t>
            </w:r>
            <w:r w:rsidRPr="001D1285">
              <w:rPr>
                <w:rFonts w:ascii="Calibri" w:eastAsia="新細明體" w:hAnsi="Calibri" w:cs="Segoe UI" w:hint="eastAsia"/>
                <w:kern w:val="2"/>
                <w:sz w:val="17"/>
                <w:szCs w:val="17"/>
                <w:lang w:val="en-US" w:eastAsia="zh-HK"/>
              </w:rPr>
              <w:t>第</w:t>
            </w:r>
            <w:r w:rsidRPr="001D1285">
              <w:rPr>
                <w:rFonts w:ascii="Calibri" w:eastAsia="新細明體" w:hAnsi="Calibri" w:cs="Segoe UI" w:hint="eastAsia"/>
                <w:kern w:val="2"/>
                <w:sz w:val="17"/>
                <w:szCs w:val="17"/>
                <w:lang w:val="en-US" w:eastAsia="zh-TW"/>
              </w:rPr>
              <w:t>3Z</w:t>
            </w:r>
            <w:r w:rsidRPr="001D1285">
              <w:rPr>
                <w:rFonts w:ascii="Calibri" w:eastAsia="新細明體" w:hAnsi="Calibri" w:cs="Segoe UI" w:hint="eastAsia"/>
                <w:kern w:val="2"/>
                <w:sz w:val="17"/>
                <w:szCs w:val="17"/>
                <w:lang w:val="en-US" w:eastAsia="zh-HK"/>
              </w:rPr>
              <w:t>條指明適用於認可機構的最低槓桿比率規定</w:t>
            </w:r>
            <w:r w:rsidRPr="001D1285">
              <w:rPr>
                <w:rFonts w:ascii="Calibri" w:eastAsia="新細明體" w:hAnsi="Calibri" w:cs="Segoe UI" w:hint="eastAsia"/>
                <w:kern w:val="2"/>
                <w:sz w:val="17"/>
                <w:szCs w:val="17"/>
                <w:lang w:val="en-US" w:eastAsia="zh-TW"/>
              </w:rPr>
              <w:t>。</w:t>
            </w:r>
          </w:p>
        </w:tc>
      </w:tr>
      <w:tr w:rsidR="001D1285" w:rsidRPr="001D1285" w14:paraId="24F04873" w14:textId="77777777" w:rsidTr="00C361C1">
        <w:trPr>
          <w:trHeight w:val="373"/>
        </w:trPr>
        <w:tc>
          <w:tcPr>
            <w:tcW w:w="738" w:type="dxa"/>
          </w:tcPr>
          <w:p w14:paraId="5E03E459" w14:textId="77777777" w:rsidR="001D1285" w:rsidRPr="001D1285" w:rsidDel="005328E3"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27</w:t>
            </w:r>
          </w:p>
        </w:tc>
        <w:tc>
          <w:tcPr>
            <w:tcW w:w="8221" w:type="dxa"/>
            <w:shd w:val="clear" w:color="auto" w:fill="FFFF00"/>
          </w:tcPr>
          <w:p w14:paraId="565C1075" w14:textId="393BCDDE" w:rsidR="001D1285" w:rsidRPr="001D1285" w:rsidRDefault="001D1285" w:rsidP="001D1285">
            <w:pPr>
              <w:spacing w:before="40" w:after="40"/>
              <w:jc w:val="both"/>
              <w:rPr>
                <w:rFonts w:ascii="Calibri" w:eastAsia="細明體" w:hAnsi="Calibri" w:cs="Segoe UI"/>
                <w:kern w:val="2"/>
                <w:sz w:val="17"/>
                <w:szCs w:val="17"/>
                <w:lang w:val="en-US" w:eastAsia="zh-HK"/>
              </w:rPr>
            </w:pPr>
            <w:r w:rsidRPr="001D1285">
              <w:rPr>
                <w:rFonts w:ascii="Calibri" w:eastAsia="細明體" w:hAnsi="Calibri" w:cs="Segoe UI" w:hint="eastAsia"/>
                <w:kern w:val="2"/>
                <w:sz w:val="17"/>
                <w:szCs w:val="17"/>
                <w:lang w:val="en-US" w:eastAsia="zh-HK"/>
              </w:rPr>
              <w:t>香港並無採用槓桿緩衝</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HK"/>
              </w:rPr>
              <w:t>因此</w:t>
            </w:r>
            <w:r w:rsidR="00CF0C14">
              <w:rPr>
                <w:rFonts w:ascii="Calibri" w:eastAsia="細明體" w:hAnsi="Calibri" w:cs="Segoe UI" w:hint="eastAsia"/>
                <w:kern w:val="2"/>
                <w:sz w:val="17"/>
                <w:szCs w:val="17"/>
                <w:lang w:val="en-US" w:eastAsia="zh-HK"/>
              </w:rPr>
              <w:t>此</w:t>
            </w:r>
            <w:r w:rsidRPr="001D1285">
              <w:rPr>
                <w:rFonts w:ascii="Calibri" w:eastAsia="細明體" w:hAnsi="Calibri" w:cs="Segoe UI" w:hint="eastAsia"/>
                <w:kern w:val="2"/>
                <w:sz w:val="17"/>
                <w:szCs w:val="17"/>
                <w:lang w:val="en-US" w:eastAsia="zh-HK"/>
              </w:rPr>
              <w:t>行並不適用</w:t>
            </w:r>
            <w:r w:rsidRPr="001D1285">
              <w:rPr>
                <w:rFonts w:ascii="Calibri" w:eastAsia="細明體" w:hAnsi="Calibri" w:cs="Segoe UI" w:hint="eastAsia"/>
                <w:kern w:val="2"/>
                <w:sz w:val="17"/>
                <w:szCs w:val="17"/>
                <w:lang w:val="en-US" w:eastAsia="zh-TW"/>
              </w:rPr>
              <w:t>。</w:t>
            </w:r>
          </w:p>
        </w:tc>
      </w:tr>
      <w:tr w:rsidR="001D1285" w:rsidRPr="001D1285" w14:paraId="21AB6323" w14:textId="77777777" w:rsidTr="00C361C1">
        <w:trPr>
          <w:trHeight w:val="373"/>
        </w:trPr>
        <w:tc>
          <w:tcPr>
            <w:tcW w:w="738" w:type="dxa"/>
          </w:tcPr>
          <w:p w14:paraId="3118257E" w14:textId="77777777" w:rsidR="001D1285" w:rsidRPr="001D1285" w:rsidDel="005328E3"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28</w:t>
            </w:r>
          </w:p>
        </w:tc>
        <w:tc>
          <w:tcPr>
            <w:tcW w:w="8221" w:type="dxa"/>
          </w:tcPr>
          <w:p w14:paraId="066311B8" w14:textId="7E895B88" w:rsidR="001D1285" w:rsidRPr="001D1285" w:rsidRDefault="001D1285" w:rsidP="001D1285">
            <w:pPr>
              <w:spacing w:before="40" w:after="40"/>
              <w:jc w:val="both"/>
              <w:rPr>
                <w:rFonts w:ascii="Calibri" w:eastAsia="細明體" w:hAnsi="Calibri" w:cs="Segoe UI"/>
                <w:kern w:val="2"/>
                <w:sz w:val="17"/>
                <w:szCs w:val="17"/>
                <w:lang w:val="en-US" w:eastAsia="zh-TW"/>
              </w:rPr>
            </w:pPr>
            <w:r w:rsidRPr="001D1285">
              <w:rPr>
                <w:rFonts w:ascii="Calibri" w:eastAsia="細明體" w:hAnsi="Calibri" w:cs="Segoe UI" w:hint="eastAsia"/>
                <w:kern w:val="2"/>
                <w:sz w:val="17"/>
                <w:szCs w:val="17"/>
                <w:lang w:val="en-US" w:eastAsia="zh-HK"/>
              </w:rPr>
              <w:t>第</w:t>
            </w:r>
            <w:r w:rsidRPr="001D1285">
              <w:rPr>
                <w:rFonts w:ascii="Calibri" w:eastAsia="細明體" w:hAnsi="Calibri" w:cs="Segoe UI" w:hint="eastAsia"/>
                <w:kern w:val="2"/>
                <w:sz w:val="17"/>
                <w:szCs w:val="17"/>
                <w:lang w:val="en-US" w:eastAsia="zh-TW"/>
              </w:rPr>
              <w:t>14</w:t>
            </w:r>
            <w:r w:rsidRPr="001D1285">
              <w:rPr>
                <w:rFonts w:ascii="Calibri" w:eastAsia="細明體" w:hAnsi="Calibri" w:cs="Segoe UI" w:hint="eastAsia"/>
                <w:kern w:val="2"/>
                <w:sz w:val="17"/>
                <w:szCs w:val="17"/>
                <w:lang w:val="en-US" w:eastAsia="zh-HK"/>
              </w:rPr>
              <w:t>及</w:t>
            </w:r>
            <w:r w:rsidRPr="001D1285">
              <w:rPr>
                <w:rFonts w:ascii="Calibri" w:eastAsia="細明體" w:hAnsi="Calibri" w:cs="Segoe UI" w:hint="eastAsia"/>
                <w:kern w:val="2"/>
                <w:sz w:val="17"/>
                <w:szCs w:val="17"/>
                <w:lang w:val="en-US" w:eastAsia="zh-TW"/>
              </w:rPr>
              <w:t>15</w:t>
            </w:r>
            <w:r w:rsidRPr="001D1285">
              <w:rPr>
                <w:rFonts w:ascii="Calibri" w:eastAsia="細明體" w:hAnsi="Calibri" w:cs="Segoe UI" w:hint="eastAsia"/>
                <w:kern w:val="2"/>
                <w:sz w:val="17"/>
                <w:szCs w:val="17"/>
                <w:lang w:val="en-US" w:eastAsia="zh-HK"/>
              </w:rPr>
              <w:t>行的總和的平均數</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HK"/>
              </w:rPr>
              <w:t>以報</w:t>
            </w:r>
            <w:r w:rsidR="00EF5EB4">
              <w:rPr>
                <w:rFonts w:ascii="Calibri" w:eastAsia="細明體" w:hAnsi="Calibri" w:cs="Segoe UI" w:hint="eastAsia"/>
                <w:kern w:val="2"/>
                <w:sz w:val="17"/>
                <w:szCs w:val="17"/>
                <w:lang w:val="en-US" w:eastAsia="zh-HK"/>
              </w:rPr>
              <w:t>告</w:t>
            </w:r>
            <w:r w:rsidRPr="001D1285">
              <w:rPr>
                <w:rFonts w:ascii="Calibri" w:eastAsia="細明體" w:hAnsi="Calibri" w:cs="Segoe UI" w:hint="eastAsia"/>
                <w:kern w:val="2"/>
                <w:sz w:val="17"/>
                <w:szCs w:val="17"/>
                <w:lang w:val="en-US" w:eastAsia="zh-HK"/>
              </w:rPr>
              <w:t>季度內每個曆日計算的總和為依據</w:t>
            </w:r>
            <w:r w:rsidRPr="001D1285">
              <w:rPr>
                <w:rFonts w:ascii="Calibri" w:eastAsia="細明體" w:hAnsi="Calibri" w:cs="Segoe UI" w:hint="eastAsia"/>
                <w:kern w:val="2"/>
                <w:sz w:val="17"/>
                <w:szCs w:val="17"/>
                <w:lang w:val="en-US" w:eastAsia="zh-TW"/>
              </w:rPr>
              <w:t>。</w:t>
            </w:r>
          </w:p>
        </w:tc>
      </w:tr>
      <w:tr w:rsidR="001D1285" w:rsidRPr="001D1285" w14:paraId="0CD0E068" w14:textId="77777777" w:rsidTr="00C361C1">
        <w:trPr>
          <w:trHeight w:val="373"/>
        </w:trPr>
        <w:tc>
          <w:tcPr>
            <w:tcW w:w="738" w:type="dxa"/>
          </w:tcPr>
          <w:p w14:paraId="4706FE65" w14:textId="77777777" w:rsidR="001D1285" w:rsidRPr="001D1285" w:rsidDel="005328E3"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29</w:t>
            </w:r>
          </w:p>
        </w:tc>
        <w:tc>
          <w:tcPr>
            <w:tcW w:w="8221" w:type="dxa"/>
          </w:tcPr>
          <w:p w14:paraId="725A49DF" w14:textId="00970A77" w:rsidR="001D1285" w:rsidRPr="001D1285" w:rsidRDefault="001D1285" w:rsidP="001D1285">
            <w:pPr>
              <w:spacing w:before="40" w:after="40"/>
              <w:jc w:val="both"/>
              <w:rPr>
                <w:rFonts w:ascii="Calibri" w:eastAsia="細明體" w:hAnsi="Calibri" w:cs="Segoe UI"/>
                <w:kern w:val="2"/>
                <w:sz w:val="17"/>
                <w:szCs w:val="17"/>
                <w:lang w:val="en-US" w:eastAsia="zh-HK"/>
              </w:rPr>
            </w:pPr>
            <w:r w:rsidRPr="001D1285">
              <w:rPr>
                <w:rFonts w:ascii="Calibri" w:eastAsia="細明體" w:hAnsi="Calibri" w:cs="Segoe UI" w:hint="eastAsia"/>
                <w:kern w:val="2"/>
                <w:sz w:val="17"/>
                <w:szCs w:val="17"/>
                <w:lang w:val="en-US" w:eastAsia="zh-HK"/>
              </w:rPr>
              <w:t>如第</w:t>
            </w:r>
            <w:r w:rsidRPr="001D1285">
              <w:rPr>
                <w:rFonts w:ascii="Calibri" w:eastAsia="細明體" w:hAnsi="Calibri" w:cs="Segoe UI" w:hint="eastAsia"/>
                <w:kern w:val="2"/>
                <w:sz w:val="17"/>
                <w:szCs w:val="17"/>
                <w:lang w:val="en-US" w:eastAsia="zh-TW"/>
              </w:rPr>
              <w:t>14</w:t>
            </w:r>
            <w:r w:rsidRPr="001D1285">
              <w:rPr>
                <w:rFonts w:ascii="Calibri" w:eastAsia="細明體" w:hAnsi="Calibri" w:cs="Segoe UI" w:hint="eastAsia"/>
                <w:kern w:val="2"/>
                <w:sz w:val="17"/>
                <w:szCs w:val="17"/>
                <w:lang w:val="en-US" w:eastAsia="zh-HK"/>
              </w:rPr>
              <w:t>及</w:t>
            </w:r>
            <w:r w:rsidRPr="001D1285">
              <w:rPr>
                <w:rFonts w:ascii="Calibri" w:eastAsia="細明體" w:hAnsi="Calibri" w:cs="Segoe UI" w:hint="eastAsia"/>
                <w:kern w:val="2"/>
                <w:sz w:val="17"/>
                <w:szCs w:val="17"/>
                <w:lang w:val="en-US" w:eastAsia="zh-TW"/>
              </w:rPr>
              <w:t>15</w:t>
            </w:r>
            <w:r w:rsidRPr="001D1285">
              <w:rPr>
                <w:rFonts w:ascii="Calibri" w:eastAsia="細明體" w:hAnsi="Calibri" w:cs="Segoe UI" w:hint="eastAsia"/>
                <w:kern w:val="2"/>
                <w:sz w:val="17"/>
                <w:szCs w:val="17"/>
                <w:lang w:val="en-US" w:eastAsia="zh-HK"/>
              </w:rPr>
              <w:t>行是以季度終結值為依據</w:t>
            </w:r>
            <w:r w:rsidRPr="001D1285">
              <w:rPr>
                <w:rFonts w:ascii="Calibri" w:eastAsia="細明體" w:hAnsi="Calibri" w:cs="Segoe UI" w:hint="eastAsia"/>
                <w:kern w:val="2"/>
                <w:sz w:val="17"/>
                <w:szCs w:val="17"/>
                <w:lang w:val="en-US" w:eastAsia="zh-TW"/>
              </w:rPr>
              <w:t>，</w:t>
            </w:r>
            <w:r w:rsidRPr="001D1285">
              <w:rPr>
                <w:rFonts w:ascii="Calibri" w:eastAsia="細明體" w:hAnsi="Calibri" w:cs="Segoe UI" w:hint="eastAsia"/>
                <w:kern w:val="2"/>
                <w:sz w:val="17"/>
                <w:szCs w:val="17"/>
                <w:lang w:val="en-US" w:eastAsia="zh-HK"/>
              </w:rPr>
              <w:t>此數額為第</w:t>
            </w:r>
            <w:r w:rsidRPr="001D1285">
              <w:rPr>
                <w:rFonts w:ascii="Calibri" w:eastAsia="細明體" w:hAnsi="Calibri" w:cs="Segoe UI" w:hint="eastAsia"/>
                <w:kern w:val="2"/>
                <w:sz w:val="17"/>
                <w:szCs w:val="17"/>
                <w:lang w:val="en-US" w:eastAsia="zh-TW"/>
              </w:rPr>
              <w:t>14</w:t>
            </w:r>
            <w:r w:rsidRPr="001D1285">
              <w:rPr>
                <w:rFonts w:ascii="Calibri" w:eastAsia="細明體" w:hAnsi="Calibri" w:cs="Segoe UI" w:hint="eastAsia"/>
                <w:kern w:val="2"/>
                <w:sz w:val="17"/>
                <w:szCs w:val="17"/>
                <w:lang w:val="en-US" w:eastAsia="zh-HK"/>
              </w:rPr>
              <w:t>及</w:t>
            </w:r>
            <w:r w:rsidRPr="001D1285">
              <w:rPr>
                <w:rFonts w:ascii="Calibri" w:eastAsia="細明體" w:hAnsi="Calibri" w:cs="Segoe UI" w:hint="eastAsia"/>
                <w:kern w:val="2"/>
                <w:sz w:val="17"/>
                <w:szCs w:val="17"/>
                <w:lang w:val="en-US" w:eastAsia="zh-TW"/>
              </w:rPr>
              <w:t>15</w:t>
            </w:r>
            <w:r w:rsidRPr="001D1285">
              <w:rPr>
                <w:rFonts w:ascii="Calibri" w:eastAsia="細明體" w:hAnsi="Calibri" w:cs="Segoe UI" w:hint="eastAsia"/>
                <w:kern w:val="2"/>
                <w:sz w:val="17"/>
                <w:szCs w:val="17"/>
                <w:lang w:val="en-US" w:eastAsia="zh-HK"/>
              </w:rPr>
              <w:t>行的總和</w:t>
            </w:r>
            <w:r w:rsidRPr="001D1285">
              <w:rPr>
                <w:rFonts w:ascii="Calibri" w:eastAsia="細明體" w:hAnsi="Calibri" w:cs="Segoe UI" w:hint="eastAsia"/>
                <w:kern w:val="2"/>
                <w:sz w:val="17"/>
                <w:szCs w:val="17"/>
                <w:lang w:val="en-US" w:eastAsia="zh-TW"/>
              </w:rPr>
              <w:t>。</w:t>
            </w:r>
          </w:p>
        </w:tc>
      </w:tr>
      <w:tr w:rsidR="001D1285" w:rsidRPr="001D1285" w14:paraId="2B5BC9E4" w14:textId="77777777" w:rsidTr="00C361C1">
        <w:trPr>
          <w:trHeight w:val="373"/>
        </w:trPr>
        <w:tc>
          <w:tcPr>
            <w:tcW w:w="738" w:type="dxa"/>
          </w:tcPr>
          <w:p w14:paraId="443DBAF1" w14:textId="384568C1" w:rsidR="001D1285" w:rsidRPr="001D1285" w:rsidDel="005328E3"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hint="eastAsia"/>
                <w:kern w:val="2"/>
                <w:sz w:val="17"/>
                <w:szCs w:val="17"/>
                <w:lang w:val="en-US" w:eastAsia="zh-TW"/>
              </w:rPr>
              <w:t>30</w:t>
            </w:r>
            <w:r w:rsidRPr="001D1285">
              <w:rPr>
                <w:rFonts w:ascii="Calibri" w:eastAsia="新細明體" w:hAnsi="Calibri" w:cs="Segoe UI" w:hint="eastAsia"/>
                <w:kern w:val="2"/>
                <w:sz w:val="17"/>
                <w:szCs w:val="17"/>
                <w:lang w:val="en-US" w:eastAsia="zh-HK"/>
              </w:rPr>
              <w:t>及</w:t>
            </w:r>
            <w:r w:rsidRPr="001D1285">
              <w:rPr>
                <w:rFonts w:ascii="Calibri" w:eastAsia="新細明體" w:hAnsi="Calibri" w:cs="Segoe UI" w:hint="eastAsia"/>
                <w:kern w:val="2"/>
                <w:sz w:val="17"/>
                <w:szCs w:val="17"/>
                <w:lang w:val="en-US" w:eastAsia="zh-TW"/>
              </w:rPr>
              <w:t>30</w:t>
            </w:r>
            <w:r w:rsidRPr="001D1285">
              <w:rPr>
                <w:rFonts w:ascii="Calibri" w:eastAsia="新細明體" w:hAnsi="Calibri" w:cs="Segoe UI"/>
                <w:kern w:val="2"/>
                <w:sz w:val="17"/>
                <w:szCs w:val="17"/>
                <w:lang w:val="en-US" w:eastAsia="zh-TW"/>
              </w:rPr>
              <w:t>a</w:t>
            </w:r>
          </w:p>
        </w:tc>
        <w:tc>
          <w:tcPr>
            <w:tcW w:w="8221" w:type="dxa"/>
          </w:tcPr>
          <w:p w14:paraId="0F397C21" w14:textId="1315E034" w:rsidR="00860BBA" w:rsidRPr="00860BBA" w:rsidRDefault="00860BBA" w:rsidP="009B4A7C">
            <w:pPr>
              <w:spacing w:before="40" w:after="40"/>
              <w:jc w:val="both"/>
              <w:rPr>
                <w:rFonts w:ascii="Calibri" w:eastAsia="細明體" w:hAnsi="Calibri" w:cs="Segoe UI"/>
                <w:kern w:val="2"/>
                <w:sz w:val="17"/>
                <w:szCs w:val="17"/>
                <w:lang w:eastAsia="zh-TW"/>
              </w:rPr>
            </w:pPr>
            <w:r w:rsidRPr="001D1285">
              <w:rPr>
                <w:rFonts w:ascii="Calibri" w:eastAsia="細明體" w:hAnsi="Calibri" w:cs="Segoe UI"/>
                <w:kern w:val="2"/>
                <w:sz w:val="17"/>
                <w:szCs w:val="17"/>
                <w:lang w:eastAsia="zh-HK"/>
              </w:rPr>
              <w:t>風險承擔計量</w:t>
            </w:r>
            <w:r w:rsidRPr="001D1285">
              <w:rPr>
                <w:rFonts w:ascii="Calibri" w:eastAsia="細明體" w:hAnsi="Calibri" w:cs="Segoe UI" w:hint="eastAsia"/>
                <w:kern w:val="2"/>
                <w:sz w:val="17"/>
                <w:szCs w:val="17"/>
                <w:lang w:eastAsia="zh-HK"/>
              </w:rPr>
              <w:t>總</w:t>
            </w:r>
            <w:r>
              <w:rPr>
                <w:rFonts w:ascii="Calibri" w:eastAsia="細明體" w:hAnsi="Calibri" w:cs="Segoe UI" w:hint="eastAsia"/>
                <w:kern w:val="2"/>
                <w:sz w:val="17"/>
                <w:szCs w:val="17"/>
                <w:lang w:eastAsia="zh-HK"/>
              </w:rPr>
              <w:t>額</w:t>
            </w:r>
            <w:r w:rsidRPr="001D1285">
              <w:rPr>
                <w:rFonts w:ascii="Calibri" w:eastAsia="細明體" w:hAnsi="Calibri" w:cs="Segoe UI" w:hint="eastAsia"/>
                <w:kern w:val="2"/>
                <w:sz w:val="17"/>
                <w:szCs w:val="17"/>
                <w:lang w:eastAsia="zh-TW"/>
              </w:rPr>
              <w:t>，</w:t>
            </w:r>
            <w:r w:rsidR="00D372E7" w:rsidRPr="00D372E7">
              <w:rPr>
                <w:rFonts w:ascii="Calibri" w:eastAsia="細明體" w:hAnsi="Calibri" w:cs="Segoe UI" w:hint="eastAsia"/>
                <w:kern w:val="2"/>
                <w:sz w:val="17"/>
                <w:szCs w:val="17"/>
                <w:lang w:eastAsia="zh-TW"/>
              </w:rPr>
              <w:t>其</w:t>
            </w:r>
            <w:r w:rsidR="00CB5D27" w:rsidRPr="005D74FA">
              <w:rPr>
                <w:rFonts w:ascii="Calibri" w:eastAsia="細明體" w:hAnsi="Calibri" w:cs="Segoe UI" w:hint="eastAsia"/>
                <w:kern w:val="2"/>
                <w:sz w:val="17"/>
                <w:szCs w:val="17"/>
                <w:lang w:val="en-US" w:eastAsia="zh-TW"/>
              </w:rPr>
              <w:t>採用於</w:t>
            </w:r>
            <w:r w:rsidR="00CB5D27" w:rsidRPr="001D1285">
              <w:rPr>
                <w:rFonts w:ascii="Calibri" w:eastAsia="細明體" w:hAnsi="Calibri" w:cs="Segoe UI" w:hint="eastAsia"/>
                <w:kern w:val="2"/>
                <w:sz w:val="17"/>
                <w:szCs w:val="17"/>
                <w:lang w:val="en-US" w:eastAsia="zh-HK"/>
              </w:rPr>
              <w:t>報</w:t>
            </w:r>
            <w:r w:rsidR="00CB5D27">
              <w:rPr>
                <w:rFonts w:ascii="Calibri" w:eastAsia="細明體" w:hAnsi="Calibri" w:cs="Segoe UI" w:hint="eastAsia"/>
                <w:kern w:val="2"/>
                <w:sz w:val="17"/>
                <w:szCs w:val="17"/>
                <w:lang w:val="en-US" w:eastAsia="zh-HK"/>
              </w:rPr>
              <w:t>告</w:t>
            </w:r>
            <w:r w:rsidR="00CB5D27" w:rsidRPr="001D1285">
              <w:rPr>
                <w:rFonts w:ascii="Calibri" w:eastAsia="細明體" w:hAnsi="Calibri" w:cs="Segoe UI" w:hint="eastAsia"/>
                <w:kern w:val="2"/>
                <w:sz w:val="17"/>
                <w:szCs w:val="17"/>
                <w:lang w:val="en-US" w:eastAsia="zh-HK"/>
              </w:rPr>
              <w:t>季度內每個曆日</w:t>
            </w:r>
            <w:r w:rsidR="00CB5D27" w:rsidRPr="005D74FA">
              <w:rPr>
                <w:rFonts w:ascii="Calibri" w:eastAsia="細明體" w:hAnsi="Calibri" w:cs="Segoe UI" w:hint="eastAsia"/>
                <w:kern w:val="2"/>
                <w:sz w:val="17"/>
                <w:szCs w:val="17"/>
                <w:lang w:val="en-US" w:eastAsia="zh-TW"/>
              </w:rPr>
              <w:t>計算的</w:t>
            </w:r>
            <w:r w:rsidR="00CB5D27" w:rsidRPr="005D74FA">
              <w:rPr>
                <w:rFonts w:ascii="Calibri" w:eastAsia="細明體" w:hAnsi="Calibri" w:cs="Segoe UI"/>
                <w:kern w:val="2"/>
                <w:sz w:val="17"/>
                <w:szCs w:val="17"/>
                <w:lang w:val="en-US" w:eastAsia="zh-TW"/>
              </w:rPr>
              <w:t>SFT</w:t>
            </w:r>
            <w:r w:rsidR="00CB5D27">
              <w:rPr>
                <w:rFonts w:ascii="Calibri" w:eastAsia="細明體" w:hAnsi="Calibri" w:cs="Segoe UI" w:hint="eastAsia"/>
                <w:kern w:val="2"/>
                <w:sz w:val="17"/>
                <w:szCs w:val="17"/>
                <w:lang w:val="en-US" w:eastAsia="zh-TW"/>
              </w:rPr>
              <w:t>資產總</w:t>
            </w:r>
            <w:r w:rsidR="00CB5D27" w:rsidRPr="001D1285">
              <w:rPr>
                <w:rFonts w:ascii="Calibri" w:eastAsia="細明體" w:hAnsi="Calibri" w:cs="Segoe UI" w:hint="eastAsia"/>
                <w:kern w:val="2"/>
                <w:sz w:val="17"/>
                <w:szCs w:val="17"/>
                <w:lang w:eastAsia="zh-TW"/>
              </w:rPr>
              <w:t>額</w:t>
            </w:r>
            <w:r w:rsidR="00CB5D27" w:rsidRPr="001D1285">
              <w:rPr>
                <w:rFonts w:ascii="Calibri" w:eastAsia="細明體" w:hAnsi="Calibri" w:cs="Segoe UI" w:hint="eastAsia"/>
                <w:sz w:val="17"/>
                <w:szCs w:val="17"/>
                <w:lang w:eastAsia="zh-TW"/>
              </w:rPr>
              <w:t>（</w:t>
            </w:r>
            <w:r w:rsidR="00CB5D27">
              <w:rPr>
                <w:rFonts w:ascii="Calibri" w:eastAsia="細明體" w:hAnsi="Calibri" w:cs="Segoe UI" w:hint="eastAsia"/>
                <w:sz w:val="17"/>
                <w:szCs w:val="17"/>
                <w:lang w:eastAsia="zh-HK"/>
              </w:rPr>
              <w:t>該</w:t>
            </w:r>
            <w:r w:rsidR="00CB5D27" w:rsidRPr="005753A5">
              <w:rPr>
                <w:rFonts w:ascii="Calibri" w:eastAsia="細明體" w:hAnsi="Calibri" w:cs="Segoe UI" w:hint="eastAsia"/>
                <w:sz w:val="17"/>
                <w:szCs w:val="17"/>
                <w:lang w:eastAsia="zh-HK"/>
              </w:rPr>
              <w:t>總</w:t>
            </w:r>
            <w:r w:rsidR="00CB5D27" w:rsidRPr="001D1285">
              <w:rPr>
                <w:rFonts w:ascii="Calibri" w:eastAsia="細明體" w:hAnsi="Calibri" w:cs="Segoe UI" w:hint="eastAsia"/>
                <w:sz w:val="17"/>
                <w:szCs w:val="17"/>
                <w:lang w:eastAsia="zh-HK"/>
              </w:rPr>
              <w:t>額</w:t>
            </w:r>
            <w:r w:rsidR="00CB5D27">
              <w:rPr>
                <w:rFonts w:ascii="Calibri" w:eastAsia="細明體" w:hAnsi="Calibri" w:cs="Segoe UI" w:hint="eastAsia"/>
                <w:sz w:val="17"/>
                <w:szCs w:val="17"/>
                <w:lang w:eastAsia="zh-HK"/>
              </w:rPr>
              <w:t>是</w:t>
            </w:r>
            <w:r w:rsidR="00CB5D27" w:rsidRPr="005753A5">
              <w:rPr>
                <w:rFonts w:ascii="Calibri" w:eastAsia="細明體" w:hAnsi="Calibri" w:cs="Segoe UI" w:hint="eastAsia"/>
                <w:sz w:val="17"/>
                <w:szCs w:val="17"/>
                <w:lang w:eastAsia="zh-HK"/>
              </w:rPr>
              <w:t>經</w:t>
            </w:r>
            <w:r w:rsidR="00CB5D27" w:rsidRPr="001D1285">
              <w:rPr>
                <w:rFonts w:ascii="Calibri" w:eastAsia="細明體" w:hAnsi="Calibri" w:cs="Segoe UI" w:hint="eastAsia"/>
                <w:sz w:val="17"/>
                <w:szCs w:val="17"/>
                <w:lang w:eastAsia="zh-HK"/>
              </w:rPr>
              <w:t>調整</w:t>
            </w:r>
            <w:r w:rsidR="00325B8E">
              <w:rPr>
                <w:rFonts w:ascii="Calibri" w:eastAsia="細明體" w:hAnsi="Calibri" w:cs="Segoe UI" w:hint="eastAsia"/>
                <w:sz w:val="17"/>
                <w:szCs w:val="17"/>
                <w:lang w:eastAsia="zh-HK"/>
              </w:rPr>
              <w:t>出</w:t>
            </w:r>
            <w:r w:rsidR="00CB5D27" w:rsidRPr="001D1285">
              <w:rPr>
                <w:rFonts w:ascii="Calibri" w:eastAsia="細明體" w:hAnsi="Calibri" w:cs="Segoe UI" w:hint="eastAsia"/>
                <w:sz w:val="17"/>
                <w:szCs w:val="17"/>
                <w:lang w:eastAsia="zh-HK"/>
              </w:rPr>
              <w:t>售</w:t>
            </w:r>
            <w:r w:rsidR="00CB5D27" w:rsidRPr="005753A5">
              <w:rPr>
                <w:rFonts w:ascii="Calibri" w:eastAsia="細明體" w:hAnsi="Calibri" w:cs="Segoe UI" w:hint="eastAsia"/>
                <w:sz w:val="17"/>
                <w:szCs w:val="17"/>
                <w:lang w:eastAsia="zh-HK"/>
              </w:rPr>
              <w:t>會計交易及相關</w:t>
            </w:r>
            <w:r w:rsidR="00CB5D27" w:rsidRPr="001D1285">
              <w:rPr>
                <w:rFonts w:ascii="Calibri" w:eastAsia="細明體" w:hAnsi="Calibri" w:cs="Segoe UI" w:hint="eastAsia"/>
                <w:sz w:val="17"/>
                <w:szCs w:val="17"/>
                <w:lang w:eastAsia="zh-HK"/>
              </w:rPr>
              <w:t>的現金</w:t>
            </w:r>
            <w:r w:rsidR="00CB5D27" w:rsidRPr="005753A5">
              <w:rPr>
                <w:rFonts w:ascii="Calibri" w:eastAsia="細明體" w:hAnsi="Calibri" w:cs="Segoe UI" w:hint="eastAsia"/>
                <w:sz w:val="17"/>
                <w:szCs w:val="17"/>
                <w:lang w:eastAsia="zh-HK"/>
              </w:rPr>
              <w:t>應付</w:t>
            </w:r>
            <w:r w:rsidR="00CB5D27" w:rsidRPr="001D1285">
              <w:rPr>
                <w:rFonts w:ascii="Calibri" w:eastAsia="細明體" w:hAnsi="Calibri" w:cs="Segoe UI" w:hint="eastAsia"/>
                <w:sz w:val="17"/>
                <w:szCs w:val="17"/>
                <w:lang w:eastAsia="zh-HK"/>
              </w:rPr>
              <w:t>額</w:t>
            </w:r>
            <w:r w:rsidR="00CB5D27" w:rsidRPr="001D1285">
              <w:rPr>
                <w:rFonts w:ascii="Calibri" w:eastAsia="細明體" w:hAnsi="Calibri" w:cs="Segoe UI" w:hint="eastAsia"/>
                <w:sz w:val="17"/>
                <w:szCs w:val="17"/>
                <w:lang w:eastAsia="zh-TW"/>
              </w:rPr>
              <w:t>及</w:t>
            </w:r>
            <w:r w:rsidR="00CB5D27" w:rsidRPr="001D1285">
              <w:rPr>
                <w:rFonts w:ascii="Calibri" w:eastAsia="細明體" w:hAnsi="Calibri" w:cs="Segoe UI" w:hint="eastAsia"/>
                <w:sz w:val="17"/>
                <w:szCs w:val="17"/>
                <w:lang w:eastAsia="zh-HK"/>
              </w:rPr>
              <w:t>現金</w:t>
            </w:r>
            <w:r w:rsidR="00CB5D27" w:rsidRPr="005753A5">
              <w:rPr>
                <w:rFonts w:ascii="Calibri" w:eastAsia="細明體" w:hAnsi="Calibri" w:cs="Segoe UI" w:hint="eastAsia"/>
                <w:sz w:val="17"/>
                <w:szCs w:val="17"/>
                <w:lang w:eastAsia="zh-HK"/>
              </w:rPr>
              <w:t>應收</w:t>
            </w:r>
            <w:r w:rsidR="00CB5D27" w:rsidRPr="001D1285">
              <w:rPr>
                <w:rFonts w:ascii="Calibri" w:eastAsia="細明體" w:hAnsi="Calibri" w:cs="Segoe UI" w:hint="eastAsia"/>
                <w:sz w:val="17"/>
                <w:szCs w:val="17"/>
                <w:lang w:eastAsia="zh-HK"/>
              </w:rPr>
              <w:t>額</w:t>
            </w:r>
            <w:r w:rsidR="00CB3D35">
              <w:rPr>
                <w:rFonts w:ascii="Calibri" w:eastAsia="細明體" w:hAnsi="Calibri" w:cs="Segoe UI" w:hint="eastAsia"/>
                <w:sz w:val="17"/>
                <w:szCs w:val="17"/>
                <w:lang w:eastAsia="zh-HK"/>
              </w:rPr>
              <w:t>淨額</w:t>
            </w:r>
            <w:r w:rsidR="00CB3D35" w:rsidRPr="005753A5">
              <w:rPr>
                <w:rFonts w:ascii="Calibri" w:eastAsia="細明體" w:hAnsi="Calibri" w:cs="Segoe UI" w:hint="eastAsia"/>
                <w:sz w:val="17"/>
                <w:szCs w:val="17"/>
                <w:lang w:eastAsia="zh-HK"/>
              </w:rPr>
              <w:t>後</w:t>
            </w:r>
            <w:r w:rsidR="00CB3D35" w:rsidRPr="001D1285">
              <w:rPr>
                <w:rFonts w:ascii="Calibri" w:eastAsia="細明體" w:hAnsi="Calibri" w:cs="Segoe UI" w:hint="eastAsia"/>
                <w:kern w:val="2"/>
                <w:sz w:val="17"/>
                <w:szCs w:val="17"/>
                <w:lang w:eastAsia="zh-HK"/>
              </w:rPr>
              <w:t>的數額</w:t>
            </w:r>
            <w:r w:rsidR="00CB5D27" w:rsidRPr="001D1285">
              <w:rPr>
                <w:rFonts w:ascii="Calibri" w:eastAsia="細明體" w:hAnsi="Calibri" w:cs="Segoe UI" w:hint="eastAsia"/>
                <w:sz w:val="17"/>
                <w:szCs w:val="17"/>
                <w:lang w:eastAsia="zh-TW"/>
              </w:rPr>
              <w:t>）</w:t>
            </w:r>
            <w:r w:rsidR="00CB5D27" w:rsidRPr="005D74FA">
              <w:rPr>
                <w:rFonts w:ascii="Calibri" w:eastAsia="細明體" w:hAnsi="Calibri" w:cs="Segoe UI" w:hint="eastAsia"/>
                <w:kern w:val="2"/>
                <w:sz w:val="17"/>
                <w:szCs w:val="17"/>
                <w:lang w:val="en-US" w:eastAsia="zh-TW"/>
              </w:rPr>
              <w:t>平均值</w:t>
            </w:r>
            <w:r w:rsidR="00CB5D27">
              <w:rPr>
                <w:rFonts w:ascii="Calibri" w:eastAsia="細明體" w:hAnsi="Calibri" w:cs="Segoe UI" w:hint="eastAsia"/>
                <w:kern w:val="2"/>
                <w:sz w:val="17"/>
                <w:szCs w:val="17"/>
                <w:lang w:val="en-US" w:eastAsia="zh-HK"/>
              </w:rPr>
              <w:t>得出的</w:t>
            </w:r>
            <w:r w:rsidR="00CB5D27" w:rsidRPr="005D74FA">
              <w:rPr>
                <w:rFonts w:ascii="Calibri" w:eastAsia="細明體" w:hAnsi="Calibri" w:cs="Segoe UI" w:hint="eastAsia"/>
                <w:kern w:val="2"/>
                <w:sz w:val="17"/>
                <w:szCs w:val="17"/>
                <w:lang w:val="en-US" w:eastAsia="zh-TW"/>
              </w:rPr>
              <w:t>風險承擔計量的數額</w:t>
            </w:r>
            <w:r w:rsidR="00CB5D27" w:rsidRPr="001D1285">
              <w:rPr>
                <w:rFonts w:ascii="Calibri" w:eastAsia="細明體" w:hAnsi="Calibri" w:cs="Segoe UI" w:hint="eastAsia"/>
                <w:kern w:val="2"/>
                <w:sz w:val="17"/>
                <w:szCs w:val="17"/>
                <w:lang w:eastAsia="zh-TW"/>
              </w:rPr>
              <w:t>。</w:t>
            </w:r>
            <w:r w:rsidR="002578F5" w:rsidRPr="002578F5">
              <w:rPr>
                <w:rFonts w:ascii="Calibri" w:eastAsia="細明體" w:hAnsi="Calibri" w:cs="Segoe UI" w:hint="eastAsia"/>
                <w:kern w:val="2"/>
                <w:sz w:val="17"/>
                <w:szCs w:val="17"/>
                <w:lang w:eastAsia="zh-TW"/>
              </w:rPr>
              <w:t>香港並無行使酌情權，以容許從槓桿比率風險承擔計量中</w:t>
            </w:r>
            <w:proofErr w:type="gramStart"/>
            <w:r w:rsidR="00315D30" w:rsidRPr="002578F5">
              <w:rPr>
                <w:rFonts w:ascii="Calibri" w:eastAsia="細明體" w:hAnsi="Calibri" w:cs="Segoe UI" w:hint="eastAsia"/>
                <w:kern w:val="2"/>
                <w:sz w:val="17"/>
                <w:szCs w:val="17"/>
                <w:lang w:eastAsia="zh-TW"/>
              </w:rPr>
              <w:t>暫時</w:t>
            </w:r>
            <w:r w:rsidR="002578F5" w:rsidRPr="002578F5">
              <w:rPr>
                <w:rFonts w:ascii="Calibri" w:eastAsia="細明體" w:hAnsi="Calibri" w:cs="Segoe UI" w:hint="eastAsia"/>
                <w:kern w:val="2"/>
                <w:sz w:val="17"/>
                <w:szCs w:val="17"/>
                <w:lang w:eastAsia="zh-TW"/>
              </w:rPr>
              <w:t>豁除央行</w:t>
            </w:r>
            <w:proofErr w:type="gramEnd"/>
            <w:r w:rsidR="002578F5" w:rsidRPr="002578F5">
              <w:rPr>
                <w:rFonts w:ascii="Calibri" w:eastAsia="細明體" w:hAnsi="Calibri" w:cs="Segoe UI" w:hint="eastAsia"/>
                <w:kern w:val="2"/>
                <w:sz w:val="17"/>
                <w:szCs w:val="17"/>
                <w:lang w:eastAsia="zh-TW"/>
              </w:rPr>
              <w:t>儲備</w:t>
            </w:r>
            <w:r w:rsidR="00EE29E5" w:rsidRPr="00217BE5">
              <w:rPr>
                <w:rFonts w:eastAsiaTheme="minorEastAsia" w:cs="Segoe UI" w:hint="eastAsia"/>
                <w:iCs/>
                <w:color w:val="000000"/>
                <w:sz w:val="17"/>
                <w:szCs w:val="17"/>
                <w:lang w:val="en-US" w:eastAsia="zh-TW"/>
              </w:rPr>
              <w:t>。</w:t>
            </w:r>
            <w:r w:rsidR="001D1285" w:rsidRPr="001D1285">
              <w:rPr>
                <w:rFonts w:ascii="Calibri" w:eastAsia="細明體" w:hAnsi="Calibri" w:cs="Segoe UI"/>
                <w:kern w:val="2"/>
                <w:sz w:val="17"/>
                <w:szCs w:val="17"/>
                <w:lang w:eastAsia="zh-TW"/>
              </w:rPr>
              <w:t>[LR2:30</w:t>
            </w:r>
            <w:r w:rsidR="00EE07B2" w:rsidRPr="001D1285">
              <w:rPr>
                <w:rFonts w:ascii="Calibri" w:eastAsia="細明體" w:hAnsi="Calibri" w:cs="Segoe UI" w:hint="eastAsia"/>
                <w:kern w:val="2"/>
                <w:sz w:val="17"/>
                <w:szCs w:val="17"/>
                <w:lang w:eastAsia="zh-HK"/>
              </w:rPr>
              <w:t>及</w:t>
            </w:r>
            <w:r w:rsidR="001D1285" w:rsidRPr="001D1285">
              <w:rPr>
                <w:rFonts w:ascii="Calibri" w:eastAsia="細明體" w:hAnsi="Calibri" w:cs="Segoe UI"/>
                <w:kern w:val="2"/>
                <w:sz w:val="17"/>
                <w:szCs w:val="17"/>
                <w:lang w:eastAsia="zh-TW"/>
              </w:rPr>
              <w:t>30a/</w:t>
            </w:r>
            <w:proofErr w:type="gramStart"/>
            <w:r w:rsidR="001D1285" w:rsidRPr="001D1285">
              <w:rPr>
                <w:rFonts w:ascii="Calibri" w:eastAsia="細明體" w:hAnsi="Calibri" w:cs="Segoe UI"/>
                <w:kern w:val="2"/>
                <w:sz w:val="17"/>
                <w:szCs w:val="17"/>
                <w:lang w:eastAsia="zh-TW"/>
              </w:rPr>
              <w:t>a]</w:t>
            </w:r>
            <w:r w:rsidR="001D1285" w:rsidRPr="001D1285">
              <w:rPr>
                <w:rFonts w:ascii="Calibri" w:eastAsia="細明體" w:hAnsi="Calibri" w:cs="Segoe UI" w:hint="eastAsia"/>
                <w:kern w:val="2"/>
                <w:sz w:val="17"/>
                <w:szCs w:val="17"/>
                <w:lang w:eastAsia="zh-HK"/>
              </w:rPr>
              <w:t>的值應相等於</w:t>
            </w:r>
            <w:proofErr w:type="gramEnd"/>
            <w:r w:rsidR="001D1285" w:rsidRPr="001D1285">
              <w:rPr>
                <w:rFonts w:ascii="Calibri" w:eastAsia="細明體" w:hAnsi="Calibri" w:cs="Segoe UI"/>
                <w:kern w:val="2"/>
                <w:sz w:val="17"/>
                <w:szCs w:val="17"/>
                <w:lang w:eastAsia="zh-TW"/>
              </w:rPr>
              <w:t>[KM1:13a/a]</w:t>
            </w:r>
            <w:r w:rsidR="001D1285" w:rsidRPr="001D1285">
              <w:rPr>
                <w:rFonts w:ascii="Calibri" w:eastAsia="細明體" w:hAnsi="Calibri" w:cs="Segoe UI" w:hint="eastAsia"/>
                <w:kern w:val="2"/>
                <w:sz w:val="17"/>
                <w:szCs w:val="17"/>
                <w:lang w:eastAsia="zh-HK"/>
              </w:rPr>
              <w:t>的值</w:t>
            </w:r>
            <w:r w:rsidR="001D1285" w:rsidRPr="001D1285">
              <w:rPr>
                <w:rFonts w:ascii="Calibri" w:eastAsia="細明體" w:hAnsi="Calibri" w:cs="Segoe UI" w:hint="eastAsia"/>
                <w:kern w:val="2"/>
                <w:sz w:val="17"/>
                <w:szCs w:val="17"/>
                <w:lang w:eastAsia="zh-TW"/>
              </w:rPr>
              <w:t>。</w:t>
            </w:r>
          </w:p>
        </w:tc>
      </w:tr>
      <w:tr w:rsidR="001D1285" w:rsidRPr="001D1285" w14:paraId="5DDFCD1A" w14:textId="77777777" w:rsidTr="00C361C1">
        <w:trPr>
          <w:trHeight w:val="373"/>
        </w:trPr>
        <w:tc>
          <w:tcPr>
            <w:tcW w:w="738" w:type="dxa"/>
          </w:tcPr>
          <w:p w14:paraId="7B5D09BD" w14:textId="32248CD4" w:rsidR="001D1285" w:rsidRPr="001D1285" w:rsidDel="005328E3" w:rsidRDefault="001D1285" w:rsidP="001D1285">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zh-TW"/>
              </w:rPr>
            </w:pPr>
            <w:r w:rsidRPr="001D1285">
              <w:rPr>
                <w:rFonts w:ascii="Calibri" w:eastAsia="新細明體" w:hAnsi="Calibri" w:cs="Segoe UI"/>
                <w:kern w:val="2"/>
                <w:sz w:val="17"/>
                <w:szCs w:val="17"/>
                <w:lang w:eastAsia="zh-TW"/>
              </w:rPr>
              <w:t>31</w:t>
            </w:r>
            <w:r w:rsidRPr="001D1285">
              <w:rPr>
                <w:rFonts w:ascii="Calibri" w:eastAsia="新細明體" w:hAnsi="Calibri" w:cs="Segoe UI" w:hint="eastAsia"/>
                <w:kern w:val="2"/>
                <w:sz w:val="17"/>
                <w:szCs w:val="17"/>
                <w:lang w:eastAsia="zh-HK"/>
              </w:rPr>
              <w:t>及</w:t>
            </w:r>
            <w:r w:rsidRPr="001D1285">
              <w:rPr>
                <w:rFonts w:ascii="Calibri" w:eastAsia="新細明體" w:hAnsi="Calibri" w:cs="Segoe UI"/>
                <w:kern w:val="2"/>
                <w:sz w:val="17"/>
                <w:szCs w:val="17"/>
                <w:lang w:eastAsia="zh-TW"/>
              </w:rPr>
              <w:t>31a</w:t>
            </w:r>
          </w:p>
        </w:tc>
        <w:tc>
          <w:tcPr>
            <w:tcW w:w="8221" w:type="dxa"/>
          </w:tcPr>
          <w:p w14:paraId="3B4B96AA" w14:textId="07B79A35" w:rsidR="005D74FA" w:rsidRPr="001D1285" w:rsidRDefault="00DF14CA" w:rsidP="00D372E7">
            <w:pPr>
              <w:spacing w:before="40" w:after="40"/>
              <w:jc w:val="both"/>
              <w:rPr>
                <w:rFonts w:ascii="Calibri" w:eastAsia="細明體" w:hAnsi="Calibri" w:cs="Segoe UI"/>
                <w:kern w:val="2"/>
                <w:sz w:val="17"/>
                <w:szCs w:val="17"/>
                <w:lang w:val="en-US" w:eastAsia="zh-TW"/>
              </w:rPr>
            </w:pPr>
            <w:r>
              <w:rPr>
                <w:rFonts w:ascii="Calibri" w:eastAsia="細明體" w:hAnsi="Calibri" w:cs="Segoe UI" w:hint="eastAsia"/>
                <w:kern w:val="2"/>
                <w:sz w:val="17"/>
                <w:szCs w:val="17"/>
                <w:lang w:val="en-US" w:eastAsia="zh-TW"/>
              </w:rPr>
              <w:t>一級資本計量除以風險承擔計量</w:t>
            </w:r>
            <w:r w:rsidR="005D74FA">
              <w:rPr>
                <w:rFonts w:ascii="Calibri" w:eastAsia="細明體" w:hAnsi="Calibri" w:cs="Segoe UI" w:hint="eastAsia"/>
                <w:kern w:val="2"/>
                <w:sz w:val="17"/>
                <w:szCs w:val="17"/>
                <w:lang w:val="en-US" w:eastAsia="zh-TW"/>
              </w:rPr>
              <w:t>，</w:t>
            </w:r>
            <w:r w:rsidR="00D372E7" w:rsidRPr="00D372E7">
              <w:rPr>
                <w:rFonts w:ascii="Calibri" w:eastAsia="細明體" w:hAnsi="Calibri" w:cs="Segoe UI" w:hint="eastAsia"/>
                <w:kern w:val="2"/>
                <w:sz w:val="17"/>
                <w:szCs w:val="17"/>
                <w:lang w:val="en-US" w:eastAsia="zh-TW"/>
              </w:rPr>
              <w:t>其</w:t>
            </w:r>
            <w:r w:rsidR="005D74FA" w:rsidRPr="005D74FA">
              <w:rPr>
                <w:rFonts w:ascii="Calibri" w:eastAsia="細明體" w:hAnsi="Calibri" w:cs="Segoe UI" w:hint="eastAsia"/>
                <w:kern w:val="2"/>
                <w:sz w:val="17"/>
                <w:szCs w:val="17"/>
                <w:lang w:val="en-US" w:eastAsia="zh-TW"/>
              </w:rPr>
              <w:t>採用於</w:t>
            </w:r>
            <w:r w:rsidR="005D74FA" w:rsidRPr="001D1285">
              <w:rPr>
                <w:rFonts w:ascii="Calibri" w:eastAsia="細明體" w:hAnsi="Calibri" w:cs="Segoe UI" w:hint="eastAsia"/>
                <w:kern w:val="2"/>
                <w:sz w:val="17"/>
                <w:szCs w:val="17"/>
                <w:lang w:val="en-US" w:eastAsia="zh-HK"/>
              </w:rPr>
              <w:t>報</w:t>
            </w:r>
            <w:r w:rsidR="005D74FA">
              <w:rPr>
                <w:rFonts w:ascii="Calibri" w:eastAsia="細明體" w:hAnsi="Calibri" w:cs="Segoe UI" w:hint="eastAsia"/>
                <w:kern w:val="2"/>
                <w:sz w:val="17"/>
                <w:szCs w:val="17"/>
                <w:lang w:val="en-US" w:eastAsia="zh-HK"/>
              </w:rPr>
              <w:t>告</w:t>
            </w:r>
            <w:r w:rsidR="005D74FA" w:rsidRPr="001D1285">
              <w:rPr>
                <w:rFonts w:ascii="Calibri" w:eastAsia="細明體" w:hAnsi="Calibri" w:cs="Segoe UI" w:hint="eastAsia"/>
                <w:kern w:val="2"/>
                <w:sz w:val="17"/>
                <w:szCs w:val="17"/>
                <w:lang w:val="en-US" w:eastAsia="zh-HK"/>
              </w:rPr>
              <w:t>季度內每</w:t>
            </w:r>
            <w:proofErr w:type="gramStart"/>
            <w:r w:rsidR="005D74FA" w:rsidRPr="001D1285">
              <w:rPr>
                <w:rFonts w:ascii="Calibri" w:eastAsia="細明體" w:hAnsi="Calibri" w:cs="Segoe UI" w:hint="eastAsia"/>
                <w:kern w:val="2"/>
                <w:sz w:val="17"/>
                <w:szCs w:val="17"/>
                <w:lang w:val="en-US" w:eastAsia="zh-HK"/>
              </w:rPr>
              <w:t>個曆</w:t>
            </w:r>
            <w:proofErr w:type="gramEnd"/>
            <w:r w:rsidR="005D74FA" w:rsidRPr="001D1285">
              <w:rPr>
                <w:rFonts w:ascii="Calibri" w:eastAsia="細明體" w:hAnsi="Calibri" w:cs="Segoe UI" w:hint="eastAsia"/>
                <w:kern w:val="2"/>
                <w:sz w:val="17"/>
                <w:szCs w:val="17"/>
                <w:lang w:val="en-US" w:eastAsia="zh-HK"/>
              </w:rPr>
              <w:t>日</w:t>
            </w:r>
            <w:r w:rsidR="005D74FA" w:rsidRPr="005D74FA">
              <w:rPr>
                <w:rFonts w:ascii="Calibri" w:eastAsia="細明體" w:hAnsi="Calibri" w:cs="Segoe UI" w:hint="eastAsia"/>
                <w:kern w:val="2"/>
                <w:sz w:val="17"/>
                <w:szCs w:val="17"/>
                <w:lang w:val="en-US" w:eastAsia="zh-TW"/>
              </w:rPr>
              <w:t>計算的</w:t>
            </w:r>
            <w:r w:rsidR="005D74FA" w:rsidRPr="005D74FA">
              <w:rPr>
                <w:rFonts w:ascii="Calibri" w:eastAsia="細明體" w:hAnsi="Calibri" w:cs="Segoe UI"/>
                <w:kern w:val="2"/>
                <w:sz w:val="17"/>
                <w:szCs w:val="17"/>
                <w:lang w:val="en-US" w:eastAsia="zh-TW"/>
              </w:rPr>
              <w:t>SFT</w:t>
            </w:r>
            <w:r w:rsidR="005D74FA">
              <w:rPr>
                <w:rFonts w:ascii="Calibri" w:eastAsia="細明體" w:hAnsi="Calibri" w:cs="Segoe UI" w:hint="eastAsia"/>
                <w:kern w:val="2"/>
                <w:sz w:val="17"/>
                <w:szCs w:val="17"/>
                <w:lang w:val="en-US" w:eastAsia="zh-TW"/>
              </w:rPr>
              <w:t>資產</w:t>
            </w:r>
            <w:r>
              <w:rPr>
                <w:rFonts w:ascii="Calibri" w:eastAsia="細明體" w:hAnsi="Calibri" w:cs="Segoe UI" w:hint="eastAsia"/>
                <w:kern w:val="2"/>
                <w:sz w:val="17"/>
                <w:szCs w:val="17"/>
                <w:lang w:val="en-US" w:eastAsia="zh-TW"/>
              </w:rPr>
              <w:t>總</w:t>
            </w:r>
            <w:r w:rsidRPr="001D1285">
              <w:rPr>
                <w:rFonts w:ascii="Calibri" w:eastAsia="細明體" w:hAnsi="Calibri" w:cs="Segoe UI" w:hint="eastAsia"/>
                <w:kern w:val="2"/>
                <w:sz w:val="17"/>
                <w:szCs w:val="17"/>
                <w:lang w:eastAsia="zh-TW"/>
              </w:rPr>
              <w:t>額</w:t>
            </w:r>
            <w:r w:rsidR="00CB5D27" w:rsidRPr="001D1285">
              <w:rPr>
                <w:rFonts w:ascii="Calibri" w:eastAsia="細明體" w:hAnsi="Calibri" w:cs="Segoe UI" w:hint="eastAsia"/>
                <w:sz w:val="17"/>
                <w:szCs w:val="17"/>
                <w:lang w:eastAsia="zh-TW"/>
              </w:rPr>
              <w:t>（</w:t>
            </w:r>
            <w:r w:rsidR="00CB5D27">
              <w:rPr>
                <w:rFonts w:ascii="Calibri" w:eastAsia="細明體" w:hAnsi="Calibri" w:cs="Segoe UI" w:hint="eastAsia"/>
                <w:sz w:val="17"/>
                <w:szCs w:val="17"/>
                <w:lang w:eastAsia="zh-HK"/>
              </w:rPr>
              <w:t>該</w:t>
            </w:r>
            <w:r w:rsidR="00CB5D27" w:rsidRPr="005753A5">
              <w:rPr>
                <w:rFonts w:ascii="Calibri" w:eastAsia="細明體" w:hAnsi="Calibri" w:cs="Segoe UI" w:hint="eastAsia"/>
                <w:sz w:val="17"/>
                <w:szCs w:val="17"/>
                <w:lang w:eastAsia="zh-HK"/>
              </w:rPr>
              <w:t>總</w:t>
            </w:r>
            <w:r w:rsidR="00CB5D27" w:rsidRPr="001D1285">
              <w:rPr>
                <w:rFonts w:ascii="Calibri" w:eastAsia="細明體" w:hAnsi="Calibri" w:cs="Segoe UI" w:hint="eastAsia"/>
                <w:sz w:val="17"/>
                <w:szCs w:val="17"/>
                <w:lang w:eastAsia="zh-HK"/>
              </w:rPr>
              <w:t>額</w:t>
            </w:r>
            <w:r w:rsidR="00CB5D27">
              <w:rPr>
                <w:rFonts w:ascii="Calibri" w:eastAsia="細明體" w:hAnsi="Calibri" w:cs="Segoe UI" w:hint="eastAsia"/>
                <w:sz w:val="17"/>
                <w:szCs w:val="17"/>
                <w:lang w:eastAsia="zh-HK"/>
              </w:rPr>
              <w:t>是</w:t>
            </w:r>
            <w:r w:rsidR="00CB5D27" w:rsidRPr="005753A5">
              <w:rPr>
                <w:rFonts w:ascii="Calibri" w:eastAsia="細明體" w:hAnsi="Calibri" w:cs="Segoe UI" w:hint="eastAsia"/>
                <w:sz w:val="17"/>
                <w:szCs w:val="17"/>
                <w:lang w:eastAsia="zh-HK"/>
              </w:rPr>
              <w:t>經</w:t>
            </w:r>
            <w:r w:rsidR="00CB5D27" w:rsidRPr="001D1285">
              <w:rPr>
                <w:rFonts w:ascii="Calibri" w:eastAsia="細明體" w:hAnsi="Calibri" w:cs="Segoe UI" w:hint="eastAsia"/>
                <w:sz w:val="17"/>
                <w:szCs w:val="17"/>
                <w:lang w:eastAsia="zh-HK"/>
              </w:rPr>
              <w:t>調整</w:t>
            </w:r>
            <w:r w:rsidR="00325B8E">
              <w:rPr>
                <w:rFonts w:ascii="Calibri" w:eastAsia="細明體" w:hAnsi="Calibri" w:cs="Segoe UI" w:hint="eastAsia"/>
                <w:sz w:val="17"/>
                <w:szCs w:val="17"/>
                <w:lang w:eastAsia="zh-HK"/>
              </w:rPr>
              <w:t>出</w:t>
            </w:r>
            <w:r w:rsidR="00D372E7" w:rsidRPr="001D1285">
              <w:rPr>
                <w:rFonts w:ascii="Calibri" w:eastAsia="細明體" w:hAnsi="Calibri" w:cs="Segoe UI" w:hint="eastAsia"/>
                <w:sz w:val="17"/>
                <w:szCs w:val="17"/>
                <w:lang w:eastAsia="zh-HK"/>
              </w:rPr>
              <w:t>售</w:t>
            </w:r>
            <w:r w:rsidR="00CB5D27" w:rsidRPr="005753A5">
              <w:rPr>
                <w:rFonts w:ascii="Calibri" w:eastAsia="細明體" w:hAnsi="Calibri" w:cs="Segoe UI" w:hint="eastAsia"/>
                <w:sz w:val="17"/>
                <w:szCs w:val="17"/>
                <w:lang w:eastAsia="zh-HK"/>
              </w:rPr>
              <w:t>會計交易及相關</w:t>
            </w:r>
            <w:r w:rsidR="00CB5D27" w:rsidRPr="001D1285">
              <w:rPr>
                <w:rFonts w:ascii="Calibri" w:eastAsia="細明體" w:hAnsi="Calibri" w:cs="Segoe UI" w:hint="eastAsia"/>
                <w:sz w:val="17"/>
                <w:szCs w:val="17"/>
                <w:lang w:eastAsia="zh-HK"/>
              </w:rPr>
              <w:t>的現金</w:t>
            </w:r>
            <w:r w:rsidR="00CB5D27" w:rsidRPr="005753A5">
              <w:rPr>
                <w:rFonts w:ascii="Calibri" w:eastAsia="細明體" w:hAnsi="Calibri" w:cs="Segoe UI" w:hint="eastAsia"/>
                <w:sz w:val="17"/>
                <w:szCs w:val="17"/>
                <w:lang w:eastAsia="zh-HK"/>
              </w:rPr>
              <w:t>應付</w:t>
            </w:r>
            <w:r w:rsidR="00CB5D27" w:rsidRPr="001D1285">
              <w:rPr>
                <w:rFonts w:ascii="Calibri" w:eastAsia="細明體" w:hAnsi="Calibri" w:cs="Segoe UI" w:hint="eastAsia"/>
                <w:sz w:val="17"/>
                <w:szCs w:val="17"/>
                <w:lang w:eastAsia="zh-HK"/>
              </w:rPr>
              <w:t>額</w:t>
            </w:r>
            <w:r w:rsidR="00CB5D27" w:rsidRPr="001D1285">
              <w:rPr>
                <w:rFonts w:ascii="Calibri" w:eastAsia="細明體" w:hAnsi="Calibri" w:cs="Segoe UI" w:hint="eastAsia"/>
                <w:sz w:val="17"/>
                <w:szCs w:val="17"/>
                <w:lang w:eastAsia="zh-TW"/>
              </w:rPr>
              <w:t>及</w:t>
            </w:r>
            <w:r w:rsidR="00CB5D27" w:rsidRPr="001D1285">
              <w:rPr>
                <w:rFonts w:ascii="Calibri" w:eastAsia="細明體" w:hAnsi="Calibri" w:cs="Segoe UI" w:hint="eastAsia"/>
                <w:sz w:val="17"/>
                <w:szCs w:val="17"/>
                <w:lang w:eastAsia="zh-HK"/>
              </w:rPr>
              <w:t>現金</w:t>
            </w:r>
            <w:r w:rsidR="00CB5D27" w:rsidRPr="005753A5">
              <w:rPr>
                <w:rFonts w:ascii="Calibri" w:eastAsia="細明體" w:hAnsi="Calibri" w:cs="Segoe UI" w:hint="eastAsia"/>
                <w:sz w:val="17"/>
                <w:szCs w:val="17"/>
                <w:lang w:eastAsia="zh-HK"/>
              </w:rPr>
              <w:t>應收</w:t>
            </w:r>
            <w:r w:rsidR="00CB5D27" w:rsidRPr="001D1285">
              <w:rPr>
                <w:rFonts w:ascii="Calibri" w:eastAsia="細明體" w:hAnsi="Calibri" w:cs="Segoe UI" w:hint="eastAsia"/>
                <w:sz w:val="17"/>
                <w:szCs w:val="17"/>
                <w:lang w:eastAsia="zh-HK"/>
              </w:rPr>
              <w:t>額</w:t>
            </w:r>
            <w:r w:rsidR="00CB3D35">
              <w:rPr>
                <w:rFonts w:ascii="Calibri" w:eastAsia="細明體" w:hAnsi="Calibri" w:cs="Segoe UI" w:hint="eastAsia"/>
                <w:sz w:val="17"/>
                <w:szCs w:val="17"/>
                <w:lang w:eastAsia="zh-HK"/>
              </w:rPr>
              <w:t>淨額</w:t>
            </w:r>
            <w:r w:rsidR="00CB3D35" w:rsidRPr="005753A5">
              <w:rPr>
                <w:rFonts w:ascii="Calibri" w:eastAsia="細明體" w:hAnsi="Calibri" w:cs="Segoe UI" w:hint="eastAsia"/>
                <w:sz w:val="17"/>
                <w:szCs w:val="17"/>
                <w:lang w:eastAsia="zh-HK"/>
              </w:rPr>
              <w:t>後</w:t>
            </w:r>
            <w:r w:rsidR="00CB3D35" w:rsidRPr="001D1285">
              <w:rPr>
                <w:rFonts w:ascii="Calibri" w:eastAsia="細明體" w:hAnsi="Calibri" w:cs="Segoe UI" w:hint="eastAsia"/>
                <w:kern w:val="2"/>
                <w:sz w:val="17"/>
                <w:szCs w:val="17"/>
                <w:lang w:eastAsia="zh-HK"/>
              </w:rPr>
              <w:t>的數額</w:t>
            </w:r>
            <w:r w:rsidR="00CB5D27" w:rsidRPr="001D1285">
              <w:rPr>
                <w:rFonts w:ascii="Calibri" w:eastAsia="細明體" w:hAnsi="Calibri" w:cs="Segoe UI" w:hint="eastAsia"/>
                <w:sz w:val="17"/>
                <w:szCs w:val="17"/>
                <w:lang w:eastAsia="zh-TW"/>
              </w:rPr>
              <w:t>）</w:t>
            </w:r>
            <w:r w:rsidR="005D74FA" w:rsidRPr="005D74FA">
              <w:rPr>
                <w:rFonts w:ascii="Calibri" w:eastAsia="細明體" w:hAnsi="Calibri" w:cs="Segoe UI" w:hint="eastAsia"/>
                <w:kern w:val="2"/>
                <w:sz w:val="17"/>
                <w:szCs w:val="17"/>
                <w:lang w:val="en-US" w:eastAsia="zh-TW"/>
              </w:rPr>
              <w:t>平均值</w:t>
            </w:r>
            <w:r w:rsidR="005D74FA">
              <w:rPr>
                <w:rFonts w:ascii="Calibri" w:eastAsia="細明體" w:hAnsi="Calibri" w:cs="Segoe UI" w:hint="eastAsia"/>
                <w:kern w:val="2"/>
                <w:sz w:val="17"/>
                <w:szCs w:val="17"/>
                <w:lang w:val="en-US" w:eastAsia="zh-HK"/>
              </w:rPr>
              <w:t>得出的</w:t>
            </w:r>
            <w:r w:rsidR="005D74FA" w:rsidRPr="005D74FA">
              <w:rPr>
                <w:rFonts w:ascii="Calibri" w:eastAsia="細明體" w:hAnsi="Calibri" w:cs="Segoe UI" w:hint="eastAsia"/>
                <w:kern w:val="2"/>
                <w:sz w:val="17"/>
                <w:szCs w:val="17"/>
                <w:lang w:val="en-US" w:eastAsia="zh-TW"/>
              </w:rPr>
              <w:t>風險承擔計量的數額</w:t>
            </w:r>
            <w:r w:rsidR="005D74FA" w:rsidRPr="001D1285">
              <w:rPr>
                <w:rFonts w:ascii="Calibri" w:eastAsia="細明體" w:hAnsi="Calibri" w:cs="Segoe UI" w:hint="eastAsia"/>
                <w:kern w:val="2"/>
                <w:sz w:val="17"/>
                <w:szCs w:val="17"/>
                <w:lang w:eastAsia="zh-TW"/>
              </w:rPr>
              <w:t>。</w:t>
            </w:r>
            <w:r w:rsidR="002578F5" w:rsidRPr="002578F5">
              <w:rPr>
                <w:rFonts w:ascii="Calibri" w:eastAsia="細明體" w:hAnsi="Calibri" w:cs="Segoe UI" w:hint="eastAsia"/>
                <w:kern w:val="2"/>
                <w:sz w:val="17"/>
                <w:szCs w:val="17"/>
                <w:lang w:eastAsia="zh-TW"/>
              </w:rPr>
              <w:t>香港並無行使酌情權，以容許從槓桿比率風險承擔計量中</w:t>
            </w:r>
            <w:proofErr w:type="gramStart"/>
            <w:r w:rsidR="00315D30" w:rsidRPr="002578F5">
              <w:rPr>
                <w:rFonts w:ascii="Calibri" w:eastAsia="細明體" w:hAnsi="Calibri" w:cs="Segoe UI" w:hint="eastAsia"/>
                <w:kern w:val="2"/>
                <w:sz w:val="17"/>
                <w:szCs w:val="17"/>
                <w:lang w:eastAsia="zh-TW"/>
              </w:rPr>
              <w:t>暫時</w:t>
            </w:r>
            <w:r w:rsidR="002578F5" w:rsidRPr="002578F5">
              <w:rPr>
                <w:rFonts w:ascii="Calibri" w:eastAsia="細明體" w:hAnsi="Calibri" w:cs="Segoe UI" w:hint="eastAsia"/>
                <w:kern w:val="2"/>
                <w:sz w:val="17"/>
                <w:szCs w:val="17"/>
                <w:lang w:eastAsia="zh-TW"/>
              </w:rPr>
              <w:t>豁除央行</w:t>
            </w:r>
            <w:proofErr w:type="gramEnd"/>
            <w:r w:rsidR="002578F5" w:rsidRPr="002578F5">
              <w:rPr>
                <w:rFonts w:ascii="Calibri" w:eastAsia="細明體" w:hAnsi="Calibri" w:cs="Segoe UI" w:hint="eastAsia"/>
                <w:kern w:val="2"/>
                <w:sz w:val="17"/>
                <w:szCs w:val="17"/>
                <w:lang w:eastAsia="zh-TW"/>
              </w:rPr>
              <w:t>儲備</w:t>
            </w:r>
            <w:r w:rsidR="005D74FA" w:rsidRPr="00217BE5">
              <w:rPr>
                <w:rFonts w:eastAsiaTheme="minorEastAsia" w:cs="Segoe UI" w:hint="eastAsia"/>
                <w:iCs/>
                <w:color w:val="000000"/>
                <w:sz w:val="17"/>
                <w:szCs w:val="17"/>
                <w:lang w:val="en-US" w:eastAsia="zh-TW"/>
              </w:rPr>
              <w:t>。</w:t>
            </w:r>
            <w:r w:rsidR="005D74FA" w:rsidRPr="001D1285">
              <w:rPr>
                <w:rFonts w:ascii="Calibri" w:eastAsia="細明體" w:hAnsi="Calibri" w:cs="Segoe UI"/>
                <w:kern w:val="2"/>
                <w:sz w:val="17"/>
                <w:szCs w:val="17"/>
                <w:lang w:eastAsia="zh-TW"/>
              </w:rPr>
              <w:t>[LR2:31</w:t>
            </w:r>
            <w:r w:rsidR="005D74FA" w:rsidRPr="001D1285">
              <w:rPr>
                <w:rFonts w:ascii="Calibri" w:eastAsia="細明體" w:hAnsi="Calibri" w:cs="Segoe UI" w:hint="eastAsia"/>
                <w:kern w:val="2"/>
                <w:sz w:val="17"/>
                <w:szCs w:val="17"/>
                <w:lang w:eastAsia="zh-HK"/>
              </w:rPr>
              <w:t>及</w:t>
            </w:r>
            <w:r w:rsidR="005D74FA" w:rsidRPr="001D1285">
              <w:rPr>
                <w:rFonts w:ascii="Calibri" w:eastAsia="細明體" w:hAnsi="Calibri" w:cs="Segoe UI"/>
                <w:kern w:val="2"/>
                <w:sz w:val="17"/>
                <w:szCs w:val="17"/>
                <w:lang w:eastAsia="zh-TW"/>
              </w:rPr>
              <w:t>31a/</w:t>
            </w:r>
            <w:proofErr w:type="gramStart"/>
            <w:r w:rsidR="005D74FA" w:rsidRPr="001D1285">
              <w:rPr>
                <w:rFonts w:ascii="Calibri" w:eastAsia="細明體" w:hAnsi="Calibri" w:cs="Segoe UI"/>
                <w:kern w:val="2"/>
                <w:sz w:val="17"/>
                <w:szCs w:val="17"/>
                <w:lang w:eastAsia="zh-TW"/>
              </w:rPr>
              <w:t>a]</w:t>
            </w:r>
            <w:r w:rsidR="005D74FA" w:rsidRPr="001D1285">
              <w:rPr>
                <w:rFonts w:ascii="Calibri" w:eastAsia="細明體" w:hAnsi="Calibri" w:cs="Segoe UI" w:hint="eastAsia"/>
                <w:kern w:val="2"/>
                <w:sz w:val="17"/>
                <w:szCs w:val="17"/>
                <w:lang w:eastAsia="zh-HK"/>
              </w:rPr>
              <w:t>的值相等於</w:t>
            </w:r>
            <w:proofErr w:type="gramEnd"/>
            <w:r w:rsidR="005D74FA" w:rsidRPr="001D1285">
              <w:rPr>
                <w:rFonts w:ascii="Calibri" w:eastAsia="細明體" w:hAnsi="Calibri" w:cs="Segoe UI"/>
                <w:kern w:val="2"/>
                <w:sz w:val="17"/>
                <w:szCs w:val="17"/>
                <w:lang w:eastAsia="zh-TW"/>
              </w:rPr>
              <w:t>[KM1:14c</w:t>
            </w:r>
            <w:r w:rsidR="005D74FA" w:rsidRPr="001D1285">
              <w:rPr>
                <w:rFonts w:ascii="Calibri" w:eastAsia="細明體" w:hAnsi="Calibri" w:cs="Segoe UI" w:hint="eastAsia"/>
                <w:kern w:val="2"/>
                <w:sz w:val="17"/>
                <w:szCs w:val="17"/>
                <w:lang w:eastAsia="zh-HK"/>
              </w:rPr>
              <w:t>及</w:t>
            </w:r>
            <w:r w:rsidR="005D74FA" w:rsidRPr="001D1285">
              <w:rPr>
                <w:rFonts w:ascii="Calibri" w:eastAsia="細明體" w:hAnsi="Calibri" w:cs="Segoe UI"/>
                <w:kern w:val="2"/>
                <w:sz w:val="17"/>
                <w:szCs w:val="17"/>
                <w:lang w:eastAsia="zh-TW"/>
              </w:rPr>
              <w:t>14d/a]</w:t>
            </w:r>
            <w:r w:rsidR="005D74FA" w:rsidRPr="001D1285">
              <w:rPr>
                <w:rFonts w:ascii="Calibri" w:eastAsia="細明體" w:hAnsi="Calibri" w:cs="Segoe UI" w:hint="eastAsia"/>
                <w:kern w:val="2"/>
                <w:sz w:val="17"/>
                <w:szCs w:val="17"/>
                <w:lang w:eastAsia="zh-HK"/>
              </w:rPr>
              <w:t>的值</w:t>
            </w:r>
            <w:r w:rsidR="005D74FA" w:rsidRPr="001D1285">
              <w:rPr>
                <w:rFonts w:ascii="Calibri" w:eastAsia="細明體" w:hAnsi="Calibri" w:cs="Segoe UI" w:hint="eastAsia"/>
                <w:kern w:val="2"/>
                <w:sz w:val="17"/>
                <w:szCs w:val="17"/>
                <w:lang w:eastAsia="zh-TW"/>
              </w:rPr>
              <w:t>。</w:t>
            </w:r>
          </w:p>
        </w:tc>
      </w:tr>
    </w:tbl>
    <w:p w14:paraId="6DCC3403" w14:textId="77777777" w:rsidR="001D1285" w:rsidRPr="001D1285" w:rsidRDefault="001D1285" w:rsidP="001D1285">
      <w:pPr>
        <w:spacing w:after="160" w:line="259" w:lineRule="auto"/>
        <w:rPr>
          <w:rFonts w:ascii="Calibri" w:eastAsia="新細明體" w:hAnsi="Calibri"/>
          <w:sz w:val="22"/>
          <w:szCs w:val="22"/>
          <w:lang w:eastAsia="zh-TW"/>
        </w:rPr>
      </w:pPr>
    </w:p>
    <w:p w14:paraId="1C742F70" w14:textId="77777777" w:rsidR="00A731CE" w:rsidRPr="00CA7301" w:rsidRDefault="00A731CE">
      <w:pPr>
        <w:rPr>
          <w:rFonts w:eastAsiaTheme="minorEastAsia" w:cs="Segoe UI"/>
          <w:lang w:eastAsia="zh-TW"/>
        </w:rPr>
        <w:sectPr w:rsidR="00A731CE" w:rsidRPr="00CA7301" w:rsidSect="00877D8D">
          <w:headerReference w:type="even" r:id="rId46"/>
          <w:headerReference w:type="default" r:id="rId47"/>
          <w:footerReference w:type="even" r:id="rId48"/>
          <w:footerReference w:type="default" r:id="rId49"/>
          <w:headerReference w:type="first" r:id="rId50"/>
          <w:footerReference w:type="first" r:id="rId51"/>
          <w:pgSz w:w="11906" w:h="16838"/>
          <w:pgMar w:top="1440" w:right="1800" w:bottom="1440" w:left="1800" w:header="851" w:footer="992" w:gutter="0"/>
          <w:cols w:space="425"/>
          <w:docGrid w:type="lines" w:linePitch="360"/>
        </w:sectPr>
      </w:pPr>
    </w:p>
    <w:p w14:paraId="304C96CF" w14:textId="77777777" w:rsidR="005223FA" w:rsidRPr="00CA7301" w:rsidRDefault="005223FA" w:rsidP="005223FA">
      <w:pPr>
        <w:pStyle w:val="Heading1"/>
        <w:tabs>
          <w:tab w:val="clear" w:pos="794"/>
          <w:tab w:val="left" w:pos="426"/>
        </w:tabs>
        <w:spacing w:before="0"/>
        <w:ind w:leftChars="-283" w:left="-566"/>
        <w:rPr>
          <w:rFonts w:cs="Segoe UI"/>
          <w:lang w:eastAsia="zh-TW"/>
        </w:rPr>
      </w:pPr>
      <w:r w:rsidRPr="00CA7301">
        <w:rPr>
          <w:rFonts w:eastAsiaTheme="minorEastAsia" w:cs="Segoe UI"/>
          <w:lang w:eastAsia="zh-TW"/>
        </w:rPr>
        <w:t>第</w:t>
      </w:r>
      <w:r w:rsidRPr="00CA7301">
        <w:rPr>
          <w:rFonts w:eastAsiaTheme="minorEastAsia" w:cs="Segoe UI"/>
          <w:lang w:eastAsia="zh-TW"/>
        </w:rPr>
        <w:t>IID</w:t>
      </w:r>
      <w:r w:rsidRPr="00CA7301">
        <w:rPr>
          <w:rFonts w:eastAsiaTheme="minorEastAsia" w:cs="Segoe UI"/>
          <w:lang w:eastAsia="zh-TW"/>
        </w:rPr>
        <w:t>部：流動性</w:t>
      </w:r>
    </w:p>
    <w:p w14:paraId="7B9301C6" w14:textId="5A63D5F6" w:rsidR="006209ED" w:rsidRPr="006209ED" w:rsidRDefault="006209ED" w:rsidP="006209ED">
      <w:pPr>
        <w:pStyle w:val="Heading2"/>
        <w:keepNext w:val="0"/>
        <w:suppressAutoHyphens w:val="0"/>
        <w:spacing w:before="40" w:line="240" w:lineRule="auto"/>
        <w:ind w:left="-454"/>
        <w:rPr>
          <w:rFonts w:ascii="細明體" w:eastAsia="細明體" w:hAnsi="細明體"/>
          <w:b w:val="0"/>
          <w:bCs w:val="0"/>
          <w:sz w:val="22"/>
          <w:szCs w:val="20"/>
          <w:lang w:eastAsia="zh-TW"/>
        </w:rPr>
      </w:pPr>
      <w:r w:rsidRPr="006209ED">
        <w:rPr>
          <w:rFonts w:ascii="細明體" w:eastAsia="細明體" w:hAnsi="細明體" w:cs="微軟正黑體" w:hint="eastAsia"/>
          <w:b w:val="0"/>
          <w:bCs w:val="0"/>
          <w:sz w:val="22"/>
          <w:szCs w:val="20"/>
          <w:lang w:eastAsia="zh-TW"/>
        </w:rPr>
        <w:t>表</w:t>
      </w:r>
      <w:r w:rsidRPr="006209ED">
        <w:rPr>
          <w:rFonts w:ascii="Segoe UI" w:eastAsia="細明體" w:hAnsi="Segoe UI" w:cs="Segoe UI"/>
          <w:b w:val="0"/>
          <w:bCs w:val="0"/>
          <w:sz w:val="22"/>
          <w:szCs w:val="20"/>
          <w:lang w:eastAsia="zh-TW"/>
        </w:rPr>
        <w:t>LIQA</w:t>
      </w:r>
      <w:r w:rsidRPr="006209ED">
        <w:rPr>
          <w:rFonts w:ascii="細明體" w:eastAsia="細明體" w:hAnsi="細明體" w:cs="微軟正黑體" w:hint="eastAsia"/>
          <w:b w:val="0"/>
          <w:bCs w:val="0"/>
          <w:sz w:val="22"/>
          <w:szCs w:val="20"/>
          <w:lang w:eastAsia="zh-TW"/>
        </w:rPr>
        <w:t>：流動性風險管理</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645EA1" w14:paraId="1EA9FF59" w14:textId="77777777" w:rsidTr="0029639E">
        <w:trPr>
          <w:trHeight w:val="607"/>
        </w:trPr>
        <w:tc>
          <w:tcPr>
            <w:tcW w:w="2160" w:type="dxa"/>
            <w:tcBorders>
              <w:top w:val="single" w:sz="4" w:space="0" w:color="auto"/>
              <w:left w:val="nil"/>
              <w:bottom w:val="single" w:sz="4" w:space="0" w:color="auto"/>
              <w:right w:val="single" w:sz="4" w:space="0" w:color="auto"/>
            </w:tcBorders>
            <w:hideMark/>
          </w:tcPr>
          <w:p w14:paraId="5F8ACC1A" w14:textId="77777777" w:rsidR="00645EA1" w:rsidRDefault="00645EA1">
            <w:pPr>
              <w:spacing w:before="40" w:after="40"/>
              <w:rPr>
                <w:rFonts w:cs="Segoe UI"/>
                <w:noProof/>
                <w:kern w:val="2"/>
                <w:sz w:val="17"/>
                <w:lang w:eastAsia="en-GB"/>
              </w:rPr>
            </w:pPr>
            <w:r>
              <w:rPr>
                <w:rFonts w:eastAsiaTheme="minorEastAsia" w:cs="Segoe UI" w:hint="eastAsia"/>
                <w:b/>
                <w:kern w:val="2"/>
                <w:sz w:val="17"/>
                <w:lang w:eastAsia="zh-TW"/>
              </w:rPr>
              <w:t>目的</w:t>
            </w:r>
            <w:r>
              <w:rPr>
                <w:rFonts w:eastAsia="細明體" w:cs="Segoe UI" w:hint="eastAsia"/>
                <w:b/>
                <w:kern w:val="2"/>
                <w:sz w:val="17"/>
                <w:lang w:eastAsia="en-GB"/>
              </w:rPr>
              <w:t>：</w:t>
            </w:r>
          </w:p>
        </w:tc>
        <w:tc>
          <w:tcPr>
            <w:tcW w:w="7088" w:type="dxa"/>
            <w:tcBorders>
              <w:top w:val="single" w:sz="4" w:space="0" w:color="auto"/>
              <w:left w:val="single" w:sz="4" w:space="0" w:color="auto"/>
              <w:bottom w:val="single" w:sz="4" w:space="0" w:color="auto"/>
              <w:right w:val="nil"/>
            </w:tcBorders>
            <w:hideMark/>
          </w:tcPr>
          <w:p w14:paraId="6AC4E59F" w14:textId="77777777" w:rsidR="00645EA1" w:rsidRDefault="00645EA1">
            <w:pPr>
              <w:spacing w:before="40" w:after="40"/>
              <w:jc w:val="both"/>
              <w:rPr>
                <w:rFonts w:cs="Segoe UI"/>
                <w:noProof/>
                <w:kern w:val="2"/>
                <w:sz w:val="17"/>
                <w:lang w:val="en-US" w:eastAsia="zh-TW"/>
              </w:rPr>
            </w:pPr>
            <w:r>
              <w:rPr>
                <w:rFonts w:eastAsiaTheme="minorEastAsia" w:cs="Segoe UI" w:hint="eastAsia"/>
                <w:kern w:val="2"/>
                <w:sz w:val="17"/>
                <w:lang w:eastAsia="zh-TW"/>
              </w:rPr>
              <w:t>讓第三支柱數據的使用者就</w:t>
            </w:r>
            <w:r>
              <w:rPr>
                <w:rFonts w:eastAsia="細明體" w:cs="Segoe UI" w:hint="eastAsia"/>
                <w:kern w:val="2"/>
                <w:sz w:val="17"/>
                <w:lang w:eastAsia="zh-TW"/>
              </w:rPr>
              <w:t>認可機構</w:t>
            </w:r>
            <w:r>
              <w:rPr>
                <w:rFonts w:eastAsiaTheme="minorEastAsia" w:cs="Segoe UI" w:hint="eastAsia"/>
                <w:kern w:val="2"/>
                <w:sz w:val="17"/>
                <w:lang w:eastAsia="zh-TW"/>
              </w:rPr>
              <w:t>的</w:t>
            </w:r>
            <w:r>
              <w:rPr>
                <w:rFonts w:eastAsia="細明體" w:cs="Segoe UI" w:hint="eastAsia"/>
                <w:kern w:val="2"/>
                <w:sz w:val="17"/>
                <w:lang w:eastAsia="zh-TW"/>
              </w:rPr>
              <w:t>流動性風險管理</w:t>
            </w:r>
            <w:r>
              <w:rPr>
                <w:rFonts w:eastAsiaTheme="minorEastAsia" w:cs="Segoe UI" w:hint="eastAsia"/>
                <w:kern w:val="2"/>
                <w:sz w:val="17"/>
                <w:szCs w:val="17"/>
                <w:lang w:eastAsia="zh-TW"/>
              </w:rPr>
              <w:t>框架</w:t>
            </w:r>
            <w:r>
              <w:rPr>
                <w:rFonts w:eastAsia="細明體" w:cs="Segoe UI" w:hint="eastAsia"/>
                <w:kern w:val="2"/>
                <w:sz w:val="17"/>
                <w:lang w:eastAsia="zh-TW"/>
              </w:rPr>
              <w:t>及流動性狀況的穩健程度，作出</w:t>
            </w:r>
            <w:r>
              <w:rPr>
                <w:rFonts w:eastAsiaTheme="minorEastAsia" w:cs="Segoe UI" w:hint="eastAsia"/>
                <w:kern w:val="2"/>
                <w:sz w:val="17"/>
                <w:lang w:eastAsia="zh-TW"/>
              </w:rPr>
              <w:t>有充足依據的</w:t>
            </w:r>
            <w:r>
              <w:rPr>
                <w:rFonts w:eastAsia="細明體" w:cs="Segoe UI" w:hint="eastAsia"/>
                <w:kern w:val="2"/>
                <w:sz w:val="17"/>
                <w:lang w:eastAsia="zh-TW"/>
              </w:rPr>
              <w:t>判斷。</w:t>
            </w:r>
          </w:p>
        </w:tc>
      </w:tr>
      <w:tr w:rsidR="00645EA1" w14:paraId="7799CD5D" w14:textId="77777777" w:rsidTr="0029639E">
        <w:tc>
          <w:tcPr>
            <w:tcW w:w="2160" w:type="dxa"/>
            <w:tcBorders>
              <w:top w:val="single" w:sz="4" w:space="0" w:color="auto"/>
              <w:left w:val="nil"/>
              <w:bottom w:val="single" w:sz="4" w:space="0" w:color="auto"/>
              <w:right w:val="single" w:sz="4" w:space="0" w:color="auto"/>
            </w:tcBorders>
            <w:hideMark/>
          </w:tcPr>
          <w:p w14:paraId="7AB5B319" w14:textId="77777777" w:rsidR="00645EA1" w:rsidRDefault="00645EA1">
            <w:pPr>
              <w:spacing w:before="40" w:after="40"/>
              <w:rPr>
                <w:rFonts w:cs="Segoe UI"/>
                <w:b/>
                <w:kern w:val="2"/>
                <w:sz w:val="17"/>
                <w:lang w:eastAsia="en-GB"/>
              </w:rPr>
            </w:pPr>
            <w:r>
              <w:rPr>
                <w:rFonts w:eastAsiaTheme="minorEastAsia" w:cs="Segoe UI" w:hint="eastAsia"/>
                <w:b/>
                <w:kern w:val="2"/>
                <w:sz w:val="17"/>
                <w:lang w:eastAsia="zh-TW"/>
              </w:rPr>
              <w:t>適用範圍</w:t>
            </w:r>
            <w:r>
              <w:rPr>
                <w:rFonts w:eastAsia="細明體" w:cs="Segoe UI" w:hint="eastAsia"/>
                <w:b/>
                <w:kern w:val="2"/>
                <w:sz w:val="17"/>
                <w:lang w:eastAsia="en-GB"/>
              </w:rPr>
              <w:t>：</w:t>
            </w:r>
          </w:p>
        </w:tc>
        <w:tc>
          <w:tcPr>
            <w:tcW w:w="7088" w:type="dxa"/>
            <w:tcBorders>
              <w:top w:val="single" w:sz="4" w:space="0" w:color="auto"/>
              <w:left w:val="single" w:sz="4" w:space="0" w:color="auto"/>
              <w:bottom w:val="single" w:sz="4" w:space="0" w:color="auto"/>
              <w:right w:val="nil"/>
            </w:tcBorders>
            <w:hideMark/>
          </w:tcPr>
          <w:p w14:paraId="27A4C802" w14:textId="4843D56B" w:rsidR="00645EA1" w:rsidRDefault="00372825" w:rsidP="00372825">
            <w:pPr>
              <w:spacing w:before="40" w:after="40"/>
              <w:jc w:val="both"/>
              <w:rPr>
                <w:rFonts w:cs="Segoe UI"/>
                <w:b/>
                <w:kern w:val="2"/>
                <w:sz w:val="17"/>
                <w:lang w:eastAsia="zh-TW"/>
              </w:rPr>
            </w:pPr>
            <w:r>
              <w:rPr>
                <w:rFonts w:eastAsiaTheme="minorEastAsia" w:cs="Segoe UI" w:hint="eastAsia"/>
                <w:kern w:val="2"/>
                <w:sz w:val="17"/>
                <w:lang w:eastAsia="zh-TW"/>
              </w:rPr>
              <w:t>所有</w:t>
            </w:r>
            <w:r w:rsidR="00645EA1">
              <w:rPr>
                <w:rFonts w:eastAsiaTheme="minorEastAsia" w:cs="Segoe UI" w:hint="eastAsia"/>
                <w:kern w:val="2"/>
                <w:sz w:val="17"/>
                <w:lang w:eastAsia="zh-TW"/>
              </w:rPr>
              <w:t>在香港</w:t>
            </w:r>
            <w:r>
              <w:rPr>
                <w:rFonts w:eastAsiaTheme="minorEastAsia" w:cs="Segoe UI" w:hint="eastAsia"/>
                <w:kern w:val="2"/>
                <w:sz w:val="17"/>
                <w:lang w:eastAsia="zh-HK"/>
              </w:rPr>
              <w:t>成立</w:t>
            </w:r>
            <w:proofErr w:type="gramStart"/>
            <w:r>
              <w:rPr>
                <w:rFonts w:eastAsiaTheme="minorEastAsia" w:cs="Segoe UI" w:hint="eastAsia"/>
                <w:kern w:val="2"/>
                <w:sz w:val="17"/>
                <w:lang w:eastAsia="zh-HK"/>
              </w:rPr>
              <w:t>為法團的</w:t>
            </w:r>
            <w:proofErr w:type="gramEnd"/>
            <w:r w:rsidRPr="00372825">
              <w:rPr>
                <w:rFonts w:eastAsiaTheme="minorEastAsia" w:cs="Segoe UI" w:hint="eastAsia"/>
                <w:kern w:val="2"/>
                <w:sz w:val="17"/>
                <w:lang w:eastAsia="zh-HK"/>
              </w:rPr>
              <w:t>認可機構</w:t>
            </w:r>
            <w:r w:rsidR="00645EA1">
              <w:rPr>
                <w:rFonts w:eastAsiaTheme="minorEastAsia" w:cs="Segoe UI" w:hint="eastAsia"/>
                <w:kern w:val="2"/>
                <w:sz w:val="17"/>
                <w:lang w:eastAsia="zh-TW"/>
              </w:rPr>
              <w:t>及</w:t>
            </w:r>
            <w:r>
              <w:rPr>
                <w:rFonts w:eastAsiaTheme="minorEastAsia" w:cs="Segoe UI" w:hint="eastAsia"/>
                <w:kern w:val="2"/>
                <w:sz w:val="17"/>
                <w:lang w:eastAsia="zh-TW"/>
              </w:rPr>
              <w:t>在</w:t>
            </w:r>
            <w:r w:rsidR="00645EA1">
              <w:rPr>
                <w:rFonts w:eastAsiaTheme="minorEastAsia" w:cs="Segoe UI" w:hint="eastAsia"/>
                <w:kern w:val="2"/>
                <w:sz w:val="17"/>
                <w:lang w:eastAsia="zh-TW"/>
              </w:rPr>
              <w:t>香港</w:t>
            </w:r>
            <w:r>
              <w:rPr>
                <w:rFonts w:eastAsiaTheme="minorEastAsia" w:cs="Segoe UI" w:hint="eastAsia"/>
                <w:kern w:val="2"/>
                <w:sz w:val="17"/>
                <w:lang w:eastAsia="zh-HK"/>
              </w:rPr>
              <w:t>以</w:t>
            </w:r>
            <w:r w:rsidR="00645EA1">
              <w:rPr>
                <w:rFonts w:eastAsiaTheme="minorEastAsia" w:cs="Segoe UI" w:hint="eastAsia"/>
                <w:kern w:val="2"/>
                <w:sz w:val="17"/>
                <w:lang w:eastAsia="zh-TW"/>
              </w:rPr>
              <w:t>外</w:t>
            </w:r>
            <w:r w:rsidRPr="00372825">
              <w:rPr>
                <w:rFonts w:eastAsiaTheme="minorEastAsia" w:cs="Segoe UI" w:hint="eastAsia"/>
                <w:kern w:val="2"/>
                <w:sz w:val="17"/>
                <w:lang w:eastAsia="zh-TW"/>
              </w:rPr>
              <w:t>成立</w:t>
            </w:r>
            <w:proofErr w:type="gramStart"/>
            <w:r w:rsidR="00645EA1">
              <w:rPr>
                <w:rFonts w:eastAsiaTheme="minorEastAsia" w:cs="Segoe UI" w:hint="eastAsia"/>
                <w:kern w:val="2"/>
                <w:sz w:val="17"/>
                <w:lang w:eastAsia="zh-TW"/>
              </w:rPr>
              <w:t>為法團的</w:t>
            </w:r>
            <w:proofErr w:type="gramEnd"/>
            <w:r w:rsidR="00645EA1">
              <w:rPr>
                <w:rFonts w:eastAsiaTheme="minorEastAsia" w:cs="Segoe UI" w:hint="eastAsia"/>
                <w:kern w:val="2"/>
                <w:sz w:val="17"/>
                <w:lang w:eastAsia="zh-TW"/>
              </w:rPr>
              <w:t>認可</w:t>
            </w:r>
            <w:proofErr w:type="gramStart"/>
            <w:r w:rsidR="00645EA1">
              <w:rPr>
                <w:rFonts w:eastAsiaTheme="minorEastAsia" w:cs="Segoe UI" w:hint="eastAsia"/>
                <w:kern w:val="2"/>
                <w:sz w:val="17"/>
                <w:lang w:eastAsia="zh-TW"/>
              </w:rPr>
              <w:t>機構均須填報</w:t>
            </w:r>
            <w:proofErr w:type="gramEnd"/>
            <w:r w:rsidR="00645EA1">
              <w:rPr>
                <w:rFonts w:eastAsiaTheme="minorEastAsia" w:cs="Segoe UI" w:hint="eastAsia"/>
                <w:kern w:val="2"/>
                <w:sz w:val="17"/>
                <w:lang w:eastAsia="zh-TW"/>
              </w:rPr>
              <w:t>本</w:t>
            </w:r>
            <w:r>
              <w:rPr>
                <w:rFonts w:eastAsiaTheme="minorEastAsia" w:cs="Segoe UI" w:hint="eastAsia"/>
                <w:kern w:val="2"/>
                <w:sz w:val="17"/>
                <w:lang w:eastAsia="zh-HK"/>
              </w:rPr>
              <w:t>表</w:t>
            </w:r>
            <w:r w:rsidR="00645EA1">
              <w:rPr>
                <w:rFonts w:eastAsiaTheme="minorEastAsia" w:cs="Segoe UI" w:hint="eastAsia"/>
                <w:kern w:val="2"/>
                <w:sz w:val="17"/>
                <w:lang w:eastAsia="zh-TW"/>
              </w:rPr>
              <w:t>。</w:t>
            </w:r>
          </w:p>
        </w:tc>
      </w:tr>
      <w:tr w:rsidR="00645EA1" w14:paraId="2E5348EE" w14:textId="77777777" w:rsidTr="0029639E">
        <w:tc>
          <w:tcPr>
            <w:tcW w:w="2160" w:type="dxa"/>
            <w:tcBorders>
              <w:top w:val="single" w:sz="4" w:space="0" w:color="auto"/>
              <w:left w:val="nil"/>
              <w:bottom w:val="single" w:sz="4" w:space="0" w:color="auto"/>
              <w:right w:val="single" w:sz="4" w:space="0" w:color="auto"/>
            </w:tcBorders>
            <w:hideMark/>
          </w:tcPr>
          <w:p w14:paraId="6268646A" w14:textId="77777777" w:rsidR="00645EA1" w:rsidRDefault="00645EA1">
            <w:pPr>
              <w:spacing w:before="40" w:after="40"/>
              <w:rPr>
                <w:rFonts w:cs="Segoe UI"/>
                <w:b/>
                <w:kern w:val="2"/>
                <w:sz w:val="17"/>
                <w:lang w:eastAsia="en-GB"/>
              </w:rPr>
            </w:pPr>
            <w:r>
              <w:rPr>
                <w:rFonts w:eastAsiaTheme="minorEastAsia" w:cs="Segoe UI" w:hint="eastAsia"/>
                <w:b/>
                <w:kern w:val="2"/>
                <w:sz w:val="17"/>
                <w:lang w:eastAsia="zh-TW"/>
              </w:rPr>
              <w:t>內容</w:t>
            </w:r>
            <w:r>
              <w:rPr>
                <w:rFonts w:eastAsia="細明體" w:cs="Segoe UI" w:hint="eastAsia"/>
                <w:b/>
                <w:kern w:val="2"/>
                <w:sz w:val="17"/>
                <w:lang w:eastAsia="en-GB"/>
              </w:rPr>
              <w:t>：</w:t>
            </w:r>
          </w:p>
        </w:tc>
        <w:tc>
          <w:tcPr>
            <w:tcW w:w="7088" w:type="dxa"/>
            <w:tcBorders>
              <w:top w:val="single" w:sz="4" w:space="0" w:color="auto"/>
              <w:left w:val="single" w:sz="4" w:space="0" w:color="auto"/>
              <w:bottom w:val="single" w:sz="4" w:space="0" w:color="auto"/>
              <w:right w:val="nil"/>
            </w:tcBorders>
            <w:hideMark/>
          </w:tcPr>
          <w:p w14:paraId="59E12B9F" w14:textId="77777777" w:rsidR="00645EA1" w:rsidRDefault="00645EA1">
            <w:pPr>
              <w:spacing w:before="40" w:after="40"/>
              <w:jc w:val="both"/>
              <w:rPr>
                <w:rFonts w:cs="Segoe UI"/>
                <w:b/>
                <w:kern w:val="2"/>
                <w:sz w:val="17"/>
                <w:lang w:eastAsia="zh-TW"/>
              </w:rPr>
            </w:pPr>
            <w:r>
              <w:rPr>
                <w:rFonts w:eastAsiaTheme="minorEastAsia" w:cs="Segoe UI" w:hint="eastAsia"/>
                <w:kern w:val="2"/>
                <w:sz w:val="17"/>
                <w:lang w:eastAsia="zh-TW"/>
              </w:rPr>
              <w:t>描述資料及量化資料。</w:t>
            </w:r>
          </w:p>
        </w:tc>
      </w:tr>
      <w:tr w:rsidR="00645EA1" w14:paraId="0AF8B0AD" w14:textId="77777777" w:rsidTr="0029639E">
        <w:tc>
          <w:tcPr>
            <w:tcW w:w="2160" w:type="dxa"/>
            <w:tcBorders>
              <w:top w:val="single" w:sz="4" w:space="0" w:color="auto"/>
              <w:left w:val="nil"/>
              <w:bottom w:val="single" w:sz="4" w:space="0" w:color="auto"/>
              <w:right w:val="single" w:sz="4" w:space="0" w:color="auto"/>
            </w:tcBorders>
            <w:hideMark/>
          </w:tcPr>
          <w:p w14:paraId="4C21A7F4" w14:textId="77777777" w:rsidR="00645EA1" w:rsidRDefault="00645EA1">
            <w:pPr>
              <w:spacing w:before="40" w:after="40"/>
              <w:rPr>
                <w:rFonts w:cs="Segoe UI"/>
                <w:kern w:val="2"/>
                <w:sz w:val="17"/>
                <w:lang w:eastAsia="en-GB"/>
              </w:rPr>
            </w:pPr>
            <w:proofErr w:type="spellStart"/>
            <w:r>
              <w:rPr>
                <w:rFonts w:eastAsia="細明體" w:cs="Segoe UI" w:hint="eastAsia"/>
                <w:b/>
                <w:kern w:val="2"/>
                <w:sz w:val="17"/>
                <w:lang w:val="en-US"/>
              </w:rPr>
              <w:t>頻密程度</w:t>
            </w:r>
            <w:proofErr w:type="spellEnd"/>
            <w:r>
              <w:rPr>
                <w:rFonts w:eastAsia="細明體" w:cs="Segoe UI" w:hint="eastAsia"/>
                <w:b/>
                <w:kern w:val="2"/>
                <w:sz w:val="17"/>
                <w:lang w:val="en-US"/>
              </w:rPr>
              <w:t>：</w:t>
            </w:r>
          </w:p>
        </w:tc>
        <w:tc>
          <w:tcPr>
            <w:tcW w:w="7088" w:type="dxa"/>
            <w:tcBorders>
              <w:top w:val="single" w:sz="4" w:space="0" w:color="auto"/>
              <w:left w:val="single" w:sz="4" w:space="0" w:color="auto"/>
              <w:bottom w:val="single" w:sz="4" w:space="0" w:color="auto"/>
              <w:right w:val="nil"/>
            </w:tcBorders>
            <w:hideMark/>
          </w:tcPr>
          <w:p w14:paraId="42351F25" w14:textId="77777777" w:rsidR="00645EA1" w:rsidRDefault="00645EA1">
            <w:pPr>
              <w:spacing w:before="40" w:after="40"/>
              <w:jc w:val="both"/>
              <w:rPr>
                <w:rFonts w:cs="Segoe UI"/>
                <w:kern w:val="2"/>
                <w:sz w:val="17"/>
                <w:lang w:eastAsia="en-GB"/>
              </w:rPr>
            </w:pPr>
            <w:proofErr w:type="spellStart"/>
            <w:r>
              <w:rPr>
                <w:rFonts w:eastAsia="細明體" w:cs="Segoe UI" w:hint="eastAsia"/>
                <w:kern w:val="2"/>
                <w:sz w:val="17"/>
                <w:lang w:eastAsia="en-GB"/>
              </w:rPr>
              <w:t>每年一次</w:t>
            </w:r>
            <w:proofErr w:type="spellEnd"/>
            <w:r>
              <w:rPr>
                <w:rFonts w:eastAsia="細明體" w:cs="Segoe UI" w:hint="eastAsia"/>
                <w:kern w:val="2"/>
                <w:sz w:val="17"/>
                <w:lang w:eastAsia="en-GB"/>
              </w:rPr>
              <w:t>。</w:t>
            </w:r>
          </w:p>
        </w:tc>
      </w:tr>
      <w:tr w:rsidR="00645EA1" w14:paraId="553BDBB7" w14:textId="77777777" w:rsidTr="0029639E">
        <w:tc>
          <w:tcPr>
            <w:tcW w:w="2160" w:type="dxa"/>
            <w:tcBorders>
              <w:top w:val="single" w:sz="4" w:space="0" w:color="auto"/>
              <w:left w:val="nil"/>
              <w:bottom w:val="single" w:sz="4" w:space="0" w:color="auto"/>
              <w:right w:val="single" w:sz="4" w:space="0" w:color="auto"/>
            </w:tcBorders>
            <w:hideMark/>
          </w:tcPr>
          <w:p w14:paraId="019E9559" w14:textId="77777777" w:rsidR="00645EA1" w:rsidRDefault="00645EA1">
            <w:pPr>
              <w:spacing w:before="40" w:after="40"/>
              <w:rPr>
                <w:rFonts w:cs="Segoe UI"/>
                <w:kern w:val="2"/>
                <w:sz w:val="17"/>
                <w:lang w:eastAsia="en-GB"/>
              </w:rPr>
            </w:pPr>
            <w:r>
              <w:rPr>
                <w:rFonts w:eastAsiaTheme="minorEastAsia" w:cs="Segoe UI" w:hint="eastAsia"/>
                <w:b/>
                <w:kern w:val="2"/>
                <w:sz w:val="17"/>
                <w:lang w:eastAsia="zh-TW"/>
              </w:rPr>
              <w:t>格式</w:t>
            </w:r>
            <w:r>
              <w:rPr>
                <w:rFonts w:eastAsia="細明體" w:cs="Segoe UI" w:hint="eastAsia"/>
                <w:b/>
                <w:kern w:val="2"/>
                <w:sz w:val="17"/>
                <w:lang w:eastAsia="en-GB"/>
              </w:rPr>
              <w:t>：</w:t>
            </w:r>
          </w:p>
        </w:tc>
        <w:tc>
          <w:tcPr>
            <w:tcW w:w="7088" w:type="dxa"/>
            <w:tcBorders>
              <w:top w:val="single" w:sz="4" w:space="0" w:color="auto"/>
              <w:left w:val="single" w:sz="4" w:space="0" w:color="auto"/>
              <w:bottom w:val="single" w:sz="4" w:space="0" w:color="auto"/>
              <w:right w:val="nil"/>
            </w:tcBorders>
            <w:hideMark/>
          </w:tcPr>
          <w:p w14:paraId="3BD42929" w14:textId="77777777" w:rsidR="00645EA1" w:rsidRDefault="00645EA1">
            <w:pPr>
              <w:spacing w:before="40" w:after="40"/>
              <w:jc w:val="both"/>
              <w:rPr>
                <w:rFonts w:cs="Segoe UI"/>
                <w:kern w:val="2"/>
                <w:sz w:val="17"/>
                <w:lang w:val="en-US" w:eastAsia="zh-TW"/>
              </w:rPr>
            </w:pPr>
            <w:r>
              <w:rPr>
                <w:rFonts w:eastAsia="細明體" w:cs="Segoe UI" w:hint="eastAsia"/>
                <w:kern w:val="2"/>
                <w:sz w:val="17"/>
                <w:lang w:eastAsia="zh-TW"/>
              </w:rPr>
              <w:t>非固定。認可機構</w:t>
            </w:r>
            <w:r>
              <w:rPr>
                <w:rFonts w:eastAsia="細明體" w:cs="Segoe UI" w:hint="eastAsia"/>
                <w:kern w:val="2"/>
                <w:sz w:val="17"/>
                <w:szCs w:val="17"/>
                <w:lang w:eastAsia="zh-TW"/>
              </w:rPr>
              <w:t>可視乎本身業務模式、流動性風險狀況、組織架構和涉及流動性風險管理的職能選擇應提供何等相關資料。</w:t>
            </w:r>
          </w:p>
        </w:tc>
      </w:tr>
      <w:tr w:rsidR="00645EA1" w14:paraId="556751EC" w14:textId="77777777" w:rsidTr="0029639E">
        <w:tc>
          <w:tcPr>
            <w:tcW w:w="2160" w:type="dxa"/>
            <w:tcBorders>
              <w:top w:val="single" w:sz="4" w:space="0" w:color="auto"/>
              <w:left w:val="nil"/>
              <w:bottom w:val="single" w:sz="4" w:space="0" w:color="auto"/>
              <w:right w:val="single" w:sz="4" w:space="0" w:color="auto"/>
            </w:tcBorders>
            <w:hideMark/>
          </w:tcPr>
          <w:p w14:paraId="7468EE45" w14:textId="77777777" w:rsidR="00645EA1" w:rsidRDefault="00645EA1">
            <w:pPr>
              <w:spacing w:before="40" w:after="40"/>
              <w:rPr>
                <w:rFonts w:cs="Segoe UI"/>
                <w:b/>
                <w:kern w:val="2"/>
                <w:sz w:val="17"/>
                <w:lang w:eastAsia="zh-TW"/>
              </w:rPr>
            </w:pPr>
            <w:r>
              <w:rPr>
                <w:rFonts w:eastAsia="細明體" w:cs="Segoe UI" w:hint="eastAsia"/>
                <w:b/>
                <w:kern w:val="2"/>
                <w:sz w:val="17"/>
                <w:lang w:eastAsia="zh-TW"/>
              </w:rPr>
              <w:t>《披露規則》相應條文：</w:t>
            </w:r>
          </w:p>
        </w:tc>
        <w:tc>
          <w:tcPr>
            <w:tcW w:w="7088" w:type="dxa"/>
            <w:tcBorders>
              <w:top w:val="single" w:sz="4" w:space="0" w:color="auto"/>
              <w:left w:val="single" w:sz="4" w:space="0" w:color="auto"/>
              <w:bottom w:val="single" w:sz="4" w:space="0" w:color="auto"/>
              <w:right w:val="nil"/>
            </w:tcBorders>
            <w:hideMark/>
          </w:tcPr>
          <w:p w14:paraId="7889B164" w14:textId="431FE428" w:rsidR="00645EA1" w:rsidRDefault="00645EA1">
            <w:pPr>
              <w:spacing w:before="40" w:after="40"/>
              <w:jc w:val="both"/>
              <w:rPr>
                <w:rFonts w:cs="Segoe UI"/>
                <w:kern w:val="2"/>
                <w:sz w:val="17"/>
                <w:lang w:eastAsia="en-GB"/>
              </w:rPr>
            </w:pPr>
            <w:r>
              <w:rPr>
                <w:rFonts w:cs="Segoe UI"/>
                <w:kern w:val="2"/>
                <w:sz w:val="17"/>
                <w:lang w:eastAsia="en-GB"/>
              </w:rPr>
              <w:t>16FJ</w:t>
            </w:r>
            <w:r>
              <w:rPr>
                <w:rFonts w:eastAsiaTheme="minorEastAsia" w:cs="Segoe UI" w:hint="eastAsia"/>
                <w:kern w:val="2"/>
                <w:sz w:val="17"/>
                <w:lang w:eastAsia="zh-TW"/>
              </w:rPr>
              <w:t>及</w:t>
            </w:r>
            <w:r>
              <w:rPr>
                <w:rFonts w:cs="Segoe UI"/>
                <w:kern w:val="2"/>
                <w:sz w:val="17"/>
                <w:lang w:eastAsia="en-GB"/>
              </w:rPr>
              <w:t xml:space="preserve"> 103(4A)</w:t>
            </w:r>
            <w:r w:rsidR="00F24724">
              <w:rPr>
                <w:rStyle w:val="FootnoteReference"/>
                <w:kern w:val="2"/>
                <w:sz w:val="17"/>
                <w:lang w:eastAsia="en-GB"/>
              </w:rPr>
              <w:footnoteReference w:id="8"/>
            </w:r>
            <w:r>
              <w:rPr>
                <w:rFonts w:cs="Segoe UI"/>
                <w:kern w:val="2"/>
                <w:sz w:val="17"/>
                <w:lang w:eastAsia="en-GB"/>
              </w:rPr>
              <w:t xml:space="preserve"> </w:t>
            </w:r>
          </w:p>
        </w:tc>
      </w:tr>
    </w:tbl>
    <w:p w14:paraId="77BEA9AA" w14:textId="77777777" w:rsidR="005223FA" w:rsidRDefault="005223FA" w:rsidP="002C1A85">
      <w:pPr>
        <w:spacing w:after="240"/>
        <w:rPr>
          <w:rFonts w:eastAsiaTheme="minorEastAsia" w:cs="Segoe UI"/>
          <w:lang w:val="en-US" w:eastAsia="zh-TW"/>
        </w:rPr>
      </w:pPr>
    </w:p>
    <w:tbl>
      <w:tblPr>
        <w:tblW w:w="9356" w:type="dxa"/>
        <w:jc w:val="center"/>
        <w:tblCellMar>
          <w:left w:w="70" w:type="dxa"/>
          <w:right w:w="70" w:type="dxa"/>
        </w:tblCellMar>
        <w:tblLook w:val="00A0" w:firstRow="1" w:lastRow="0" w:firstColumn="1" w:lastColumn="0" w:noHBand="0" w:noVBand="0"/>
      </w:tblPr>
      <w:tblGrid>
        <w:gridCol w:w="370"/>
        <w:gridCol w:w="8986"/>
      </w:tblGrid>
      <w:tr w:rsidR="00645EA1" w14:paraId="0D656C03" w14:textId="77777777" w:rsidTr="0029639E">
        <w:trPr>
          <w:trHeight w:val="448"/>
          <w:jc w:val="center"/>
        </w:trPr>
        <w:tc>
          <w:tcPr>
            <w:tcW w:w="9356" w:type="dxa"/>
            <w:gridSpan w:val="2"/>
            <w:tcBorders>
              <w:top w:val="single" w:sz="4" w:space="0" w:color="auto"/>
              <w:left w:val="nil"/>
              <w:bottom w:val="single" w:sz="4" w:space="0" w:color="auto"/>
              <w:right w:val="nil"/>
            </w:tcBorders>
            <w:vAlign w:val="center"/>
            <w:hideMark/>
          </w:tcPr>
          <w:p w14:paraId="687FE447" w14:textId="77777777" w:rsidR="00645EA1" w:rsidRDefault="00645EA1">
            <w:pPr>
              <w:widowControl w:val="0"/>
              <w:spacing w:before="40" w:after="40"/>
              <w:jc w:val="both"/>
              <w:rPr>
                <w:rFonts w:cs="Segoe UI"/>
                <w:kern w:val="2"/>
                <w:sz w:val="17"/>
                <w:szCs w:val="17"/>
                <w:lang w:eastAsia="zh-TW"/>
              </w:rPr>
            </w:pPr>
            <w:r>
              <w:rPr>
                <w:rFonts w:eastAsia="細明體" w:cs="Segoe UI" w:hint="eastAsia"/>
                <w:kern w:val="2"/>
                <w:sz w:val="17"/>
                <w:szCs w:val="17"/>
                <w:lang w:eastAsia="zh-TW"/>
              </w:rPr>
              <w:t>認可機構應按適用情況說明以下流動性風險管理元素：</w:t>
            </w:r>
          </w:p>
        </w:tc>
      </w:tr>
      <w:tr w:rsidR="00645EA1" w14:paraId="5A55D895" w14:textId="77777777" w:rsidTr="0029639E">
        <w:trPr>
          <w:trHeight w:val="355"/>
          <w:jc w:val="center"/>
        </w:trPr>
        <w:tc>
          <w:tcPr>
            <w:tcW w:w="9356"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06ED5801" w14:textId="77777777" w:rsidR="00645EA1" w:rsidRDefault="00645EA1">
            <w:pPr>
              <w:pStyle w:val="Default"/>
              <w:jc w:val="both"/>
              <w:rPr>
                <w:kern w:val="2"/>
                <w:sz w:val="17"/>
                <w:szCs w:val="17"/>
              </w:rPr>
            </w:pPr>
            <w:r>
              <w:rPr>
                <w:rFonts w:hint="eastAsia"/>
                <w:kern w:val="2"/>
                <w:sz w:val="17"/>
                <w:szCs w:val="17"/>
              </w:rPr>
              <w:t>描述披露</w:t>
            </w:r>
          </w:p>
        </w:tc>
      </w:tr>
      <w:tr w:rsidR="00645EA1" w14:paraId="7CBE881E"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2A62AB24" w14:textId="77777777" w:rsidR="00645EA1" w:rsidRDefault="00645EA1">
            <w:pPr>
              <w:widowControl w:val="0"/>
              <w:spacing w:before="40" w:after="40"/>
              <w:jc w:val="both"/>
              <w:rPr>
                <w:rFonts w:cs="Segoe UI"/>
                <w:kern w:val="2"/>
                <w:sz w:val="17"/>
                <w:szCs w:val="17"/>
              </w:rPr>
            </w:pPr>
            <w:r>
              <w:rPr>
                <w:rFonts w:cs="Segoe UI"/>
                <w:kern w:val="2"/>
                <w:sz w:val="17"/>
                <w:szCs w:val="17"/>
              </w:rPr>
              <w:t>(a)</w:t>
            </w:r>
          </w:p>
        </w:tc>
        <w:tc>
          <w:tcPr>
            <w:tcW w:w="8986" w:type="dxa"/>
            <w:tcBorders>
              <w:top w:val="single" w:sz="4" w:space="0" w:color="auto"/>
              <w:left w:val="nil"/>
              <w:bottom w:val="single" w:sz="4" w:space="0" w:color="auto"/>
              <w:right w:val="nil"/>
            </w:tcBorders>
            <w:noWrap/>
            <w:hideMark/>
          </w:tcPr>
          <w:p w14:paraId="264C43D8" w14:textId="77777777" w:rsidR="00645EA1" w:rsidRDefault="00645EA1">
            <w:pPr>
              <w:widowControl w:val="0"/>
              <w:spacing w:before="40" w:after="40"/>
              <w:jc w:val="both"/>
              <w:rPr>
                <w:rFonts w:cs="Segoe UI"/>
                <w:kern w:val="2"/>
                <w:sz w:val="17"/>
                <w:szCs w:val="17"/>
                <w:lang w:eastAsia="zh-TW"/>
              </w:rPr>
            </w:pPr>
            <w:r>
              <w:rPr>
                <w:rFonts w:eastAsia="細明體" w:cs="Segoe UI" w:hint="eastAsia"/>
                <w:kern w:val="2"/>
                <w:sz w:val="17"/>
                <w:szCs w:val="17"/>
                <w:lang w:eastAsia="zh-TW"/>
              </w:rPr>
              <w:t>流動性風險管理的管治，包括：</w:t>
            </w:r>
          </w:p>
          <w:p w14:paraId="56D37F0C" w14:textId="77777777" w:rsidR="00645EA1" w:rsidRDefault="00645EA1" w:rsidP="00D540EB">
            <w:pPr>
              <w:pStyle w:val="ListParagraph"/>
              <w:widowControl w:val="0"/>
              <w:numPr>
                <w:ilvl w:val="0"/>
                <w:numId w:val="21"/>
              </w:numPr>
              <w:tabs>
                <w:tab w:val="left" w:pos="454"/>
              </w:tabs>
              <w:spacing w:before="40" w:after="40"/>
              <w:ind w:leftChars="0" w:left="454" w:hanging="454"/>
              <w:jc w:val="both"/>
              <w:rPr>
                <w:rFonts w:cs="Segoe UI"/>
                <w:kern w:val="2"/>
                <w:sz w:val="17"/>
                <w:szCs w:val="17"/>
              </w:rPr>
            </w:pPr>
            <w:proofErr w:type="spellStart"/>
            <w:r>
              <w:rPr>
                <w:rFonts w:eastAsia="細明體" w:cs="Segoe UI" w:hint="eastAsia"/>
                <w:kern w:val="2"/>
                <w:sz w:val="17"/>
                <w:szCs w:val="17"/>
                <w:lang w:val="en-US"/>
              </w:rPr>
              <w:t>風險</w:t>
            </w:r>
            <w:proofErr w:type="spellEnd"/>
            <w:r>
              <w:rPr>
                <w:rFonts w:eastAsia="細明體" w:cs="Segoe UI" w:hint="eastAsia"/>
                <w:kern w:val="2"/>
                <w:sz w:val="17"/>
                <w:szCs w:val="17"/>
                <w:lang w:eastAsia="zh-TW"/>
              </w:rPr>
              <w:t>承受能力；</w:t>
            </w:r>
          </w:p>
          <w:p w14:paraId="0ABDD770" w14:textId="77777777" w:rsidR="00645EA1" w:rsidRDefault="00645EA1" w:rsidP="00D540EB">
            <w:pPr>
              <w:pStyle w:val="ListParagraph"/>
              <w:widowControl w:val="0"/>
              <w:numPr>
                <w:ilvl w:val="0"/>
                <w:numId w:val="21"/>
              </w:numPr>
              <w:tabs>
                <w:tab w:val="left" w:pos="454"/>
              </w:tabs>
              <w:spacing w:before="40" w:after="40"/>
              <w:ind w:leftChars="0" w:left="454" w:hanging="454"/>
              <w:jc w:val="both"/>
              <w:rPr>
                <w:rFonts w:cs="Segoe UI"/>
                <w:kern w:val="2"/>
                <w:sz w:val="17"/>
                <w:szCs w:val="17"/>
                <w:lang w:eastAsia="zh-TW"/>
              </w:rPr>
            </w:pPr>
            <w:r>
              <w:rPr>
                <w:rFonts w:eastAsia="細明體" w:cs="Segoe UI" w:hint="eastAsia"/>
                <w:kern w:val="2"/>
                <w:sz w:val="17"/>
                <w:szCs w:val="17"/>
                <w:lang w:eastAsia="zh-TW"/>
              </w:rPr>
              <w:t>流動性風險管理</w:t>
            </w:r>
            <w:r>
              <w:rPr>
                <w:rFonts w:eastAsiaTheme="minorEastAsia" w:cs="Segoe UI" w:hint="eastAsia"/>
                <w:kern w:val="2"/>
                <w:sz w:val="17"/>
                <w:szCs w:val="17"/>
                <w:lang w:eastAsia="zh-TW"/>
              </w:rPr>
              <w:t>架構及職責；</w:t>
            </w:r>
          </w:p>
          <w:p w14:paraId="2FFEA2A1" w14:textId="77777777" w:rsidR="00645EA1" w:rsidRDefault="00645EA1" w:rsidP="00D540EB">
            <w:pPr>
              <w:pStyle w:val="ListParagraph"/>
              <w:widowControl w:val="0"/>
              <w:numPr>
                <w:ilvl w:val="0"/>
                <w:numId w:val="21"/>
              </w:numPr>
              <w:tabs>
                <w:tab w:val="left" w:pos="454"/>
              </w:tabs>
              <w:spacing w:before="40" w:after="40"/>
              <w:ind w:leftChars="0" w:left="454" w:hanging="454"/>
              <w:jc w:val="both"/>
              <w:rPr>
                <w:rFonts w:cs="Segoe UI"/>
                <w:kern w:val="2"/>
                <w:sz w:val="17"/>
                <w:szCs w:val="17"/>
              </w:rPr>
            </w:pPr>
            <w:r>
              <w:rPr>
                <w:rFonts w:eastAsiaTheme="minorEastAsia" w:cs="Segoe UI" w:hint="eastAsia"/>
                <w:kern w:val="2"/>
                <w:sz w:val="17"/>
                <w:szCs w:val="17"/>
                <w:lang w:eastAsia="zh-TW"/>
              </w:rPr>
              <w:t>內部</w:t>
            </w:r>
            <w:proofErr w:type="spellStart"/>
            <w:r>
              <w:rPr>
                <w:rFonts w:eastAsia="細明體" w:cs="Segoe UI" w:hint="eastAsia"/>
                <w:kern w:val="2"/>
                <w:sz w:val="17"/>
                <w:szCs w:val="17"/>
                <w:lang w:val="en-US"/>
              </w:rPr>
              <w:t>流動性</w:t>
            </w:r>
            <w:proofErr w:type="spellEnd"/>
            <w:proofErr w:type="gramStart"/>
            <w:r>
              <w:rPr>
                <w:rFonts w:eastAsia="細明體" w:cs="Segoe UI" w:hint="eastAsia"/>
                <w:kern w:val="2"/>
                <w:sz w:val="17"/>
                <w:szCs w:val="17"/>
                <w:lang w:eastAsia="zh-TW"/>
              </w:rPr>
              <w:t>匯</w:t>
            </w:r>
            <w:proofErr w:type="gramEnd"/>
            <w:r>
              <w:rPr>
                <w:rFonts w:eastAsia="細明體" w:cs="Segoe UI" w:hint="eastAsia"/>
                <w:kern w:val="2"/>
                <w:sz w:val="17"/>
                <w:szCs w:val="17"/>
                <w:lang w:eastAsia="zh-TW"/>
              </w:rPr>
              <w:t>報；及</w:t>
            </w:r>
          </w:p>
          <w:p w14:paraId="56B1C424" w14:textId="77777777" w:rsidR="00645EA1" w:rsidRDefault="00645EA1" w:rsidP="00D540EB">
            <w:pPr>
              <w:pStyle w:val="ListParagraph"/>
              <w:widowControl w:val="0"/>
              <w:numPr>
                <w:ilvl w:val="0"/>
                <w:numId w:val="21"/>
              </w:numPr>
              <w:tabs>
                <w:tab w:val="left" w:pos="454"/>
              </w:tabs>
              <w:spacing w:before="40" w:after="40"/>
              <w:ind w:leftChars="0"/>
              <w:jc w:val="both"/>
              <w:rPr>
                <w:rFonts w:cs="Segoe UI"/>
                <w:kern w:val="2"/>
                <w:sz w:val="17"/>
                <w:szCs w:val="17"/>
                <w:lang w:eastAsia="zh-TW"/>
              </w:rPr>
            </w:pPr>
            <w:r>
              <w:rPr>
                <w:rFonts w:eastAsiaTheme="minorEastAsia" w:cs="Segoe UI" w:hint="eastAsia"/>
                <w:kern w:val="2"/>
                <w:sz w:val="17"/>
                <w:szCs w:val="17"/>
                <w:lang w:eastAsia="zh-TW"/>
              </w:rPr>
              <w:t>向不同業務類別及董事局就</w:t>
            </w:r>
            <w:r>
              <w:rPr>
                <w:rFonts w:eastAsia="細明體" w:cs="Segoe UI" w:hint="eastAsia"/>
                <w:kern w:val="2"/>
                <w:sz w:val="17"/>
                <w:szCs w:val="17"/>
                <w:lang w:eastAsia="zh-TW"/>
              </w:rPr>
              <w:t>流動性風險策略、政策及做法的</w:t>
            </w:r>
            <w:r>
              <w:rPr>
                <w:rFonts w:eastAsiaTheme="minorEastAsia" w:cs="Segoe UI" w:hint="eastAsia"/>
                <w:kern w:val="2"/>
                <w:sz w:val="17"/>
                <w:szCs w:val="17"/>
                <w:lang w:eastAsia="zh-TW"/>
              </w:rPr>
              <w:t>傳達</w:t>
            </w:r>
            <w:r>
              <w:rPr>
                <w:rFonts w:eastAsia="細明體" w:cs="Segoe UI" w:hint="eastAsia"/>
                <w:kern w:val="2"/>
                <w:sz w:val="17"/>
                <w:szCs w:val="17"/>
                <w:lang w:eastAsia="zh-TW"/>
              </w:rPr>
              <w:t>。</w:t>
            </w:r>
          </w:p>
        </w:tc>
      </w:tr>
      <w:tr w:rsidR="00645EA1" w14:paraId="0923335E"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3478EE72" w14:textId="77777777" w:rsidR="00645EA1" w:rsidRDefault="00645EA1">
            <w:pPr>
              <w:widowControl w:val="0"/>
              <w:spacing w:before="40" w:after="40"/>
              <w:jc w:val="both"/>
              <w:rPr>
                <w:rFonts w:cs="Segoe UI"/>
                <w:kern w:val="2"/>
                <w:sz w:val="17"/>
                <w:szCs w:val="17"/>
              </w:rPr>
            </w:pPr>
            <w:r>
              <w:rPr>
                <w:rFonts w:cs="Segoe UI"/>
                <w:kern w:val="2"/>
                <w:sz w:val="17"/>
                <w:szCs w:val="17"/>
              </w:rPr>
              <w:t>(b)</w:t>
            </w:r>
          </w:p>
        </w:tc>
        <w:tc>
          <w:tcPr>
            <w:tcW w:w="8986" w:type="dxa"/>
            <w:tcBorders>
              <w:top w:val="single" w:sz="4" w:space="0" w:color="auto"/>
              <w:left w:val="nil"/>
              <w:bottom w:val="single" w:sz="4" w:space="0" w:color="auto"/>
              <w:right w:val="nil"/>
            </w:tcBorders>
            <w:noWrap/>
            <w:hideMark/>
          </w:tcPr>
          <w:p w14:paraId="1E605585" w14:textId="77777777" w:rsidR="00645EA1" w:rsidRDefault="00645EA1">
            <w:pPr>
              <w:widowControl w:val="0"/>
              <w:spacing w:before="40" w:after="40"/>
              <w:jc w:val="both"/>
              <w:rPr>
                <w:rFonts w:cs="Segoe UI"/>
                <w:kern w:val="2"/>
                <w:sz w:val="17"/>
                <w:szCs w:val="17"/>
              </w:rPr>
            </w:pPr>
            <w:r>
              <w:rPr>
                <w:rFonts w:eastAsiaTheme="minorEastAsia" w:cs="Segoe UI" w:hint="eastAsia"/>
                <w:kern w:val="2"/>
                <w:sz w:val="17"/>
                <w:szCs w:val="17"/>
                <w:lang w:eastAsia="zh-TW"/>
              </w:rPr>
              <w:t>資金策略，包括：</w:t>
            </w:r>
          </w:p>
          <w:p w14:paraId="70BD9B71" w14:textId="77777777" w:rsidR="00645EA1" w:rsidRDefault="00645EA1" w:rsidP="00D540EB">
            <w:pPr>
              <w:pStyle w:val="ListParagraph"/>
              <w:widowControl w:val="0"/>
              <w:numPr>
                <w:ilvl w:val="0"/>
                <w:numId w:val="22"/>
              </w:numPr>
              <w:tabs>
                <w:tab w:val="left" w:pos="454"/>
              </w:tabs>
              <w:spacing w:before="40" w:after="40"/>
              <w:ind w:leftChars="0" w:left="454" w:hanging="454"/>
              <w:jc w:val="both"/>
              <w:rPr>
                <w:rFonts w:cs="Segoe UI"/>
                <w:kern w:val="2"/>
                <w:sz w:val="17"/>
                <w:szCs w:val="17"/>
                <w:lang w:eastAsia="zh-TW"/>
              </w:rPr>
            </w:pPr>
            <w:r>
              <w:rPr>
                <w:rFonts w:eastAsiaTheme="minorEastAsia" w:cs="Segoe UI" w:hint="eastAsia"/>
                <w:kern w:val="2"/>
                <w:sz w:val="17"/>
                <w:szCs w:val="17"/>
                <w:lang w:eastAsia="zh-TW"/>
              </w:rPr>
              <w:t>資金來源及期限多元化政策；及</w:t>
            </w:r>
          </w:p>
          <w:p w14:paraId="35012CDF" w14:textId="77777777" w:rsidR="00645EA1" w:rsidRDefault="00645EA1" w:rsidP="00D540EB">
            <w:pPr>
              <w:pStyle w:val="ListParagraph"/>
              <w:widowControl w:val="0"/>
              <w:numPr>
                <w:ilvl w:val="0"/>
                <w:numId w:val="22"/>
              </w:numPr>
              <w:tabs>
                <w:tab w:val="left" w:pos="454"/>
              </w:tabs>
              <w:spacing w:before="40" w:after="40"/>
              <w:ind w:leftChars="0" w:left="454" w:hanging="454"/>
              <w:jc w:val="both"/>
              <w:rPr>
                <w:rFonts w:cs="Segoe UI"/>
                <w:kern w:val="2"/>
                <w:sz w:val="17"/>
                <w:szCs w:val="17"/>
                <w:lang w:eastAsia="zh-TW"/>
              </w:rPr>
            </w:pPr>
            <w:r>
              <w:rPr>
                <w:rFonts w:eastAsiaTheme="minorEastAsia" w:cs="Segoe UI" w:hint="eastAsia"/>
                <w:kern w:val="2"/>
                <w:sz w:val="17"/>
                <w:szCs w:val="17"/>
                <w:lang w:eastAsia="zh-TW"/>
              </w:rPr>
              <w:t>資金策略屬集中或分散型。</w:t>
            </w:r>
          </w:p>
        </w:tc>
      </w:tr>
      <w:tr w:rsidR="00645EA1" w14:paraId="688D6B5C"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26765426" w14:textId="77777777" w:rsidR="00645EA1" w:rsidRDefault="00645EA1">
            <w:pPr>
              <w:widowControl w:val="0"/>
              <w:spacing w:before="40" w:after="40"/>
              <w:jc w:val="both"/>
              <w:rPr>
                <w:rFonts w:cs="Segoe UI"/>
                <w:kern w:val="2"/>
                <w:sz w:val="17"/>
                <w:szCs w:val="17"/>
              </w:rPr>
            </w:pPr>
            <w:r>
              <w:rPr>
                <w:rFonts w:cs="Segoe UI"/>
                <w:kern w:val="2"/>
                <w:sz w:val="17"/>
                <w:szCs w:val="17"/>
              </w:rPr>
              <w:t>(c)</w:t>
            </w:r>
          </w:p>
        </w:tc>
        <w:tc>
          <w:tcPr>
            <w:tcW w:w="8986" w:type="dxa"/>
            <w:tcBorders>
              <w:top w:val="single" w:sz="4" w:space="0" w:color="auto"/>
              <w:left w:val="nil"/>
              <w:bottom w:val="single" w:sz="4" w:space="0" w:color="auto"/>
              <w:right w:val="nil"/>
            </w:tcBorders>
            <w:noWrap/>
            <w:hideMark/>
          </w:tcPr>
          <w:p w14:paraId="2486F5B8" w14:textId="77777777" w:rsidR="00645EA1" w:rsidRDefault="00645EA1">
            <w:pPr>
              <w:widowControl w:val="0"/>
              <w:spacing w:before="40" w:after="40"/>
              <w:jc w:val="both"/>
              <w:rPr>
                <w:rFonts w:cs="Segoe UI"/>
                <w:kern w:val="2"/>
                <w:sz w:val="17"/>
                <w:szCs w:val="17"/>
                <w:lang w:eastAsia="zh-TW"/>
              </w:rPr>
            </w:pPr>
            <w:r>
              <w:rPr>
                <w:rFonts w:eastAsia="細明體" w:cs="Segoe UI" w:hint="eastAsia"/>
                <w:kern w:val="2"/>
                <w:sz w:val="17"/>
                <w:szCs w:val="17"/>
                <w:lang w:eastAsia="zh-TW"/>
              </w:rPr>
              <w:t>減低流動性風險的措施。</w:t>
            </w:r>
          </w:p>
        </w:tc>
      </w:tr>
      <w:tr w:rsidR="00645EA1" w14:paraId="13A061BC"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145C8842" w14:textId="77777777" w:rsidR="00645EA1" w:rsidRDefault="00645EA1">
            <w:pPr>
              <w:widowControl w:val="0"/>
              <w:spacing w:before="40" w:after="40"/>
              <w:jc w:val="both"/>
              <w:rPr>
                <w:rFonts w:cs="Segoe UI"/>
                <w:kern w:val="2"/>
                <w:sz w:val="17"/>
                <w:szCs w:val="17"/>
              </w:rPr>
            </w:pPr>
            <w:r>
              <w:rPr>
                <w:rFonts w:cs="Segoe UI"/>
                <w:kern w:val="2"/>
                <w:sz w:val="17"/>
                <w:szCs w:val="17"/>
              </w:rPr>
              <w:t>(d)</w:t>
            </w:r>
          </w:p>
        </w:tc>
        <w:tc>
          <w:tcPr>
            <w:tcW w:w="8986" w:type="dxa"/>
            <w:tcBorders>
              <w:top w:val="single" w:sz="4" w:space="0" w:color="auto"/>
              <w:left w:val="nil"/>
              <w:bottom w:val="single" w:sz="4" w:space="0" w:color="auto"/>
              <w:right w:val="nil"/>
            </w:tcBorders>
            <w:noWrap/>
            <w:hideMark/>
          </w:tcPr>
          <w:p w14:paraId="3CE40BAB" w14:textId="77777777" w:rsidR="00645EA1" w:rsidRDefault="00645EA1">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解釋如何使用壓力測試。</w:t>
            </w:r>
          </w:p>
        </w:tc>
      </w:tr>
      <w:tr w:rsidR="00645EA1" w14:paraId="5328A98C"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0AD22F22" w14:textId="77777777" w:rsidR="00645EA1" w:rsidRDefault="00645EA1">
            <w:pPr>
              <w:widowControl w:val="0"/>
              <w:spacing w:before="40" w:after="40"/>
              <w:jc w:val="both"/>
              <w:rPr>
                <w:rFonts w:cs="Segoe UI"/>
                <w:kern w:val="2"/>
                <w:sz w:val="17"/>
                <w:szCs w:val="17"/>
              </w:rPr>
            </w:pPr>
            <w:r>
              <w:rPr>
                <w:rFonts w:cs="Segoe UI"/>
                <w:kern w:val="2"/>
                <w:sz w:val="17"/>
                <w:szCs w:val="17"/>
              </w:rPr>
              <w:t>(e)</w:t>
            </w:r>
          </w:p>
        </w:tc>
        <w:tc>
          <w:tcPr>
            <w:tcW w:w="8986" w:type="dxa"/>
            <w:tcBorders>
              <w:top w:val="single" w:sz="4" w:space="0" w:color="auto"/>
              <w:left w:val="nil"/>
              <w:bottom w:val="single" w:sz="4" w:space="0" w:color="auto"/>
              <w:right w:val="nil"/>
            </w:tcBorders>
            <w:noWrap/>
            <w:hideMark/>
          </w:tcPr>
          <w:p w14:paraId="3C66E9EB" w14:textId="77777777" w:rsidR="00645EA1" w:rsidRDefault="00645EA1">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簡述</w:t>
            </w:r>
            <w:r>
              <w:rPr>
                <w:rFonts w:eastAsia="細明體" w:cs="Segoe UI" w:hint="eastAsia"/>
                <w:kern w:val="2"/>
                <w:sz w:val="17"/>
                <w:szCs w:val="17"/>
                <w:lang w:eastAsia="zh-TW"/>
              </w:rPr>
              <w:t>認可機構應急資金計劃。</w:t>
            </w:r>
          </w:p>
        </w:tc>
      </w:tr>
      <w:tr w:rsidR="00645EA1" w14:paraId="631F93C0" w14:textId="77777777" w:rsidTr="0029639E">
        <w:trPr>
          <w:trHeight w:val="195"/>
          <w:jc w:val="center"/>
        </w:trPr>
        <w:tc>
          <w:tcPr>
            <w:tcW w:w="9356" w:type="dxa"/>
            <w:gridSpan w:val="2"/>
            <w:tcBorders>
              <w:top w:val="single" w:sz="4" w:space="0" w:color="auto"/>
              <w:left w:val="nil"/>
              <w:bottom w:val="single" w:sz="4" w:space="0" w:color="auto"/>
              <w:right w:val="nil"/>
            </w:tcBorders>
            <w:shd w:val="clear" w:color="auto" w:fill="D9D9D9" w:themeFill="background1" w:themeFillShade="D9"/>
            <w:noWrap/>
            <w:hideMark/>
          </w:tcPr>
          <w:p w14:paraId="59FD3D25" w14:textId="77777777" w:rsidR="00645EA1" w:rsidRDefault="00645EA1">
            <w:pPr>
              <w:pStyle w:val="Default"/>
              <w:jc w:val="both"/>
              <w:rPr>
                <w:kern w:val="2"/>
                <w:sz w:val="17"/>
                <w:szCs w:val="17"/>
                <w:lang w:val="en-GB"/>
              </w:rPr>
            </w:pPr>
            <w:r>
              <w:rPr>
                <w:rFonts w:hint="eastAsia"/>
                <w:kern w:val="2"/>
                <w:sz w:val="17"/>
                <w:szCs w:val="17"/>
              </w:rPr>
              <w:t>量化披露</w:t>
            </w:r>
          </w:p>
        </w:tc>
      </w:tr>
      <w:tr w:rsidR="00645EA1" w14:paraId="030E21D0"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4D740863" w14:textId="77777777" w:rsidR="00645EA1" w:rsidRDefault="00645EA1">
            <w:pPr>
              <w:widowControl w:val="0"/>
              <w:spacing w:before="40" w:after="40"/>
              <w:jc w:val="both"/>
              <w:rPr>
                <w:rFonts w:cs="Segoe UI"/>
                <w:kern w:val="2"/>
                <w:sz w:val="17"/>
                <w:szCs w:val="17"/>
              </w:rPr>
            </w:pPr>
            <w:r>
              <w:rPr>
                <w:rFonts w:cs="Segoe UI"/>
                <w:kern w:val="2"/>
                <w:sz w:val="17"/>
                <w:szCs w:val="17"/>
              </w:rPr>
              <w:t>(f)</w:t>
            </w:r>
          </w:p>
        </w:tc>
        <w:tc>
          <w:tcPr>
            <w:tcW w:w="8986" w:type="dxa"/>
            <w:tcBorders>
              <w:top w:val="single" w:sz="4" w:space="0" w:color="auto"/>
              <w:left w:val="nil"/>
              <w:bottom w:val="single" w:sz="4" w:space="0" w:color="auto"/>
              <w:right w:val="nil"/>
            </w:tcBorders>
            <w:noWrap/>
            <w:hideMark/>
          </w:tcPr>
          <w:p w14:paraId="77729D6C" w14:textId="77777777" w:rsidR="00645EA1" w:rsidRDefault="00645EA1">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計及</w:t>
            </w:r>
            <w:r>
              <w:rPr>
                <w:rFonts w:eastAsia="細明體" w:cs="Segoe UI" w:hint="eastAsia"/>
                <w:kern w:val="2"/>
                <w:sz w:val="17"/>
                <w:szCs w:val="17"/>
                <w:lang w:eastAsia="zh-TW"/>
              </w:rPr>
              <w:t>認可機構特有的資產負債表外風險，用作</w:t>
            </w:r>
            <w:r>
              <w:rPr>
                <w:rFonts w:eastAsiaTheme="minorEastAsia" w:cs="Segoe UI" w:hint="eastAsia"/>
                <w:kern w:val="2"/>
                <w:sz w:val="17"/>
                <w:szCs w:val="17"/>
                <w:lang w:eastAsia="zh-TW"/>
              </w:rPr>
              <w:t>評估</w:t>
            </w:r>
            <w:r>
              <w:rPr>
                <w:rFonts w:eastAsia="細明體" w:cs="Segoe UI" w:hint="eastAsia"/>
                <w:kern w:val="2"/>
                <w:sz w:val="17"/>
                <w:szCs w:val="17"/>
                <w:lang w:eastAsia="zh-TW"/>
              </w:rPr>
              <w:t>認可機構資產負債表架構或預計現金流及未來流動性狀況的</w:t>
            </w:r>
            <w:r>
              <w:rPr>
                <w:rFonts w:eastAsiaTheme="minorEastAsia" w:cs="Segoe UI" w:hint="eastAsia"/>
                <w:kern w:val="2"/>
                <w:sz w:val="17"/>
                <w:szCs w:val="17"/>
                <w:lang w:eastAsia="zh-TW"/>
              </w:rPr>
              <w:t>特設計量工具或指標。</w:t>
            </w:r>
          </w:p>
        </w:tc>
      </w:tr>
      <w:tr w:rsidR="00645EA1" w14:paraId="501BB972"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5033D97D" w14:textId="77777777" w:rsidR="00645EA1" w:rsidRDefault="00645EA1">
            <w:pPr>
              <w:widowControl w:val="0"/>
              <w:spacing w:before="40" w:after="40"/>
              <w:jc w:val="both"/>
              <w:rPr>
                <w:rFonts w:cs="Segoe UI"/>
                <w:kern w:val="2"/>
                <w:sz w:val="17"/>
                <w:szCs w:val="17"/>
              </w:rPr>
            </w:pPr>
            <w:r>
              <w:rPr>
                <w:rFonts w:cs="Segoe UI"/>
                <w:kern w:val="2"/>
                <w:sz w:val="17"/>
                <w:szCs w:val="17"/>
              </w:rPr>
              <w:t>(g)</w:t>
            </w:r>
          </w:p>
        </w:tc>
        <w:tc>
          <w:tcPr>
            <w:tcW w:w="8986" w:type="dxa"/>
            <w:tcBorders>
              <w:top w:val="single" w:sz="4" w:space="0" w:color="auto"/>
              <w:left w:val="nil"/>
              <w:bottom w:val="single" w:sz="4" w:space="0" w:color="auto"/>
              <w:right w:val="nil"/>
            </w:tcBorders>
            <w:noWrap/>
            <w:hideMark/>
          </w:tcPr>
          <w:p w14:paraId="702B81B4" w14:textId="77777777" w:rsidR="00645EA1" w:rsidRDefault="00645EA1">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抵押品池及資金來源（以產品及對手方計）的集中限額。</w:t>
            </w:r>
          </w:p>
        </w:tc>
      </w:tr>
      <w:tr w:rsidR="00645EA1" w14:paraId="7F3E2178"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52A62959" w14:textId="77777777" w:rsidR="00645EA1" w:rsidRDefault="00645EA1">
            <w:pPr>
              <w:widowControl w:val="0"/>
              <w:spacing w:before="40" w:after="40"/>
              <w:jc w:val="both"/>
              <w:rPr>
                <w:rFonts w:cs="Segoe UI"/>
                <w:kern w:val="2"/>
                <w:sz w:val="17"/>
                <w:szCs w:val="17"/>
              </w:rPr>
            </w:pPr>
            <w:r>
              <w:rPr>
                <w:rFonts w:cs="Segoe UI"/>
                <w:kern w:val="2"/>
                <w:sz w:val="17"/>
                <w:szCs w:val="17"/>
              </w:rPr>
              <w:t>(h)</w:t>
            </w:r>
          </w:p>
        </w:tc>
        <w:tc>
          <w:tcPr>
            <w:tcW w:w="8986" w:type="dxa"/>
            <w:tcBorders>
              <w:top w:val="single" w:sz="4" w:space="0" w:color="auto"/>
              <w:left w:val="nil"/>
              <w:bottom w:val="single" w:sz="4" w:space="0" w:color="auto"/>
              <w:right w:val="nil"/>
            </w:tcBorders>
            <w:noWrap/>
            <w:hideMark/>
          </w:tcPr>
          <w:p w14:paraId="331B3141" w14:textId="18087659" w:rsidR="00645EA1" w:rsidRPr="000C00B1" w:rsidRDefault="00645EA1" w:rsidP="005A56F2">
            <w:pPr>
              <w:widowControl w:val="0"/>
              <w:spacing w:before="40" w:after="40"/>
              <w:jc w:val="both"/>
              <w:rPr>
                <w:rFonts w:eastAsia="細明體" w:cs="Segoe UI"/>
                <w:sz w:val="17"/>
                <w:szCs w:val="17"/>
                <w:lang w:eastAsia="zh-TW"/>
              </w:rPr>
            </w:pPr>
            <w:r>
              <w:rPr>
                <w:rFonts w:eastAsiaTheme="minorEastAsia" w:cs="Segoe UI" w:hint="eastAsia"/>
                <w:kern w:val="2"/>
                <w:sz w:val="17"/>
                <w:szCs w:val="17"/>
                <w:lang w:eastAsia="zh-TW"/>
              </w:rPr>
              <w:t>計及</w:t>
            </w:r>
            <w:r>
              <w:rPr>
                <w:rFonts w:eastAsia="細明體" w:cs="Segoe UI" w:hint="eastAsia"/>
                <w:kern w:val="2"/>
                <w:sz w:val="17"/>
                <w:szCs w:val="17"/>
                <w:lang w:eastAsia="zh-TW"/>
              </w:rPr>
              <w:t>流動性的可</w:t>
            </w:r>
            <w:proofErr w:type="gramStart"/>
            <w:r>
              <w:rPr>
                <w:rFonts w:eastAsia="細明體" w:cs="Segoe UI" w:hint="eastAsia"/>
                <w:kern w:val="2"/>
                <w:sz w:val="17"/>
                <w:szCs w:val="17"/>
                <w:lang w:eastAsia="zh-TW"/>
              </w:rPr>
              <w:t>轉撥性在</w:t>
            </w:r>
            <w:proofErr w:type="gramEnd"/>
            <w:r>
              <w:rPr>
                <w:rFonts w:eastAsia="細明體" w:cs="Segoe UI" w:hint="eastAsia"/>
                <w:kern w:val="2"/>
                <w:sz w:val="17"/>
                <w:szCs w:val="17"/>
                <w:lang w:eastAsia="zh-TW"/>
              </w:rPr>
              <w:t>法律、監管及運作上的限制，於個別法律實體、境外分行及附屬公司層面的流動性風險承擔及資金需要。</w:t>
            </w:r>
            <w:r w:rsidR="000C00B1">
              <w:rPr>
                <w:rFonts w:eastAsia="細明體" w:cs="Segoe UI"/>
                <w:sz w:val="17"/>
                <w:szCs w:val="17"/>
                <w:lang w:eastAsia="zh-TW"/>
              </w:rPr>
              <w:tab/>
            </w:r>
          </w:p>
        </w:tc>
      </w:tr>
      <w:tr w:rsidR="00645EA1" w14:paraId="442306D2" w14:textId="77777777" w:rsidTr="0029639E">
        <w:trPr>
          <w:trHeight w:val="318"/>
          <w:jc w:val="center"/>
        </w:trPr>
        <w:tc>
          <w:tcPr>
            <w:tcW w:w="370" w:type="dxa"/>
            <w:tcBorders>
              <w:top w:val="single" w:sz="4" w:space="0" w:color="auto"/>
              <w:left w:val="nil"/>
              <w:bottom w:val="single" w:sz="4" w:space="0" w:color="auto"/>
              <w:right w:val="nil"/>
            </w:tcBorders>
            <w:noWrap/>
            <w:hideMark/>
          </w:tcPr>
          <w:p w14:paraId="0D9706A9" w14:textId="77777777" w:rsidR="00645EA1" w:rsidRDefault="00645EA1">
            <w:pPr>
              <w:widowControl w:val="0"/>
              <w:spacing w:before="40" w:after="40"/>
              <w:jc w:val="both"/>
              <w:rPr>
                <w:rFonts w:cs="Segoe UI"/>
                <w:kern w:val="2"/>
                <w:sz w:val="17"/>
                <w:szCs w:val="17"/>
              </w:rPr>
            </w:pPr>
            <w:r>
              <w:rPr>
                <w:rFonts w:cs="Segoe UI"/>
                <w:kern w:val="2"/>
                <w:sz w:val="17"/>
                <w:szCs w:val="17"/>
              </w:rPr>
              <w:t>(</w:t>
            </w:r>
            <w:proofErr w:type="spellStart"/>
            <w:r>
              <w:rPr>
                <w:rFonts w:cs="Segoe UI"/>
                <w:kern w:val="2"/>
                <w:sz w:val="17"/>
                <w:szCs w:val="17"/>
              </w:rPr>
              <w:t>i</w:t>
            </w:r>
            <w:proofErr w:type="spellEnd"/>
            <w:r>
              <w:rPr>
                <w:rFonts w:cs="Segoe UI"/>
                <w:kern w:val="2"/>
                <w:sz w:val="17"/>
                <w:szCs w:val="17"/>
              </w:rPr>
              <w:t>)</w:t>
            </w:r>
          </w:p>
        </w:tc>
        <w:tc>
          <w:tcPr>
            <w:tcW w:w="8986" w:type="dxa"/>
            <w:tcBorders>
              <w:top w:val="single" w:sz="4" w:space="0" w:color="auto"/>
              <w:left w:val="nil"/>
              <w:bottom w:val="single" w:sz="4" w:space="0" w:color="auto"/>
              <w:right w:val="nil"/>
            </w:tcBorders>
            <w:noWrap/>
            <w:hideMark/>
          </w:tcPr>
          <w:p w14:paraId="75E743DA" w14:textId="77777777" w:rsidR="00645EA1" w:rsidRDefault="00645EA1">
            <w:pPr>
              <w:widowControl w:val="0"/>
              <w:spacing w:before="40" w:after="40"/>
              <w:jc w:val="both"/>
              <w:rPr>
                <w:rFonts w:cs="Segoe UI"/>
                <w:kern w:val="2"/>
                <w:sz w:val="17"/>
                <w:szCs w:val="17"/>
                <w:lang w:eastAsia="zh-TW"/>
              </w:rPr>
            </w:pPr>
            <w:r>
              <w:rPr>
                <w:rFonts w:eastAsia="細明體" w:cs="Segoe UI" w:hint="eastAsia"/>
                <w:kern w:val="2"/>
                <w:sz w:val="17"/>
                <w:szCs w:val="17"/>
                <w:lang w:eastAsia="zh-TW"/>
              </w:rPr>
              <w:t>資產負債表內及表外項目，細分成不同到期期限分類及總流動性差距。</w:t>
            </w:r>
          </w:p>
        </w:tc>
      </w:tr>
    </w:tbl>
    <w:p w14:paraId="0EC96D40" w14:textId="77777777" w:rsidR="005223FA" w:rsidRPr="00CA7301" w:rsidRDefault="005223FA">
      <w:pPr>
        <w:rPr>
          <w:rFonts w:eastAsiaTheme="minorEastAsia" w:cs="Segoe UI"/>
          <w:lang w:eastAsia="zh-TW"/>
        </w:rPr>
        <w:sectPr w:rsidR="005223FA" w:rsidRPr="00CA7301" w:rsidSect="00877D8D">
          <w:headerReference w:type="default" r:id="rId52"/>
          <w:footerReference w:type="default" r:id="rId53"/>
          <w:pgSz w:w="11906" w:h="16838"/>
          <w:pgMar w:top="1440" w:right="1800" w:bottom="1440" w:left="1800" w:header="851" w:footer="992" w:gutter="0"/>
          <w:cols w:space="425"/>
          <w:docGrid w:type="lines" w:linePitch="360"/>
        </w:sectPr>
      </w:pPr>
    </w:p>
    <w:p w14:paraId="0ABA04BE" w14:textId="41DF887D" w:rsidR="006209ED" w:rsidRPr="006209ED" w:rsidRDefault="006209ED" w:rsidP="006209ED">
      <w:pPr>
        <w:pStyle w:val="Heading2"/>
        <w:keepNext w:val="0"/>
        <w:suppressAutoHyphens w:val="0"/>
        <w:spacing w:before="40" w:line="240" w:lineRule="auto"/>
        <w:ind w:left="-454"/>
        <w:rPr>
          <w:rFonts w:ascii="細明體" w:eastAsia="細明體" w:hAnsi="細明體"/>
          <w:b w:val="0"/>
          <w:bCs w:val="0"/>
          <w:sz w:val="22"/>
          <w:szCs w:val="20"/>
          <w:lang w:eastAsia="zh-TW"/>
        </w:rPr>
      </w:pPr>
      <w:r w:rsidRPr="006209ED">
        <w:rPr>
          <w:rFonts w:ascii="細明體" w:eastAsia="細明體" w:hAnsi="細明體" w:cs="微軟正黑體" w:hint="eastAsia"/>
          <w:b w:val="0"/>
          <w:bCs w:val="0"/>
          <w:sz w:val="22"/>
          <w:szCs w:val="20"/>
          <w:lang w:eastAsia="zh-TW"/>
        </w:rPr>
        <w:t>模版</w:t>
      </w:r>
      <w:r w:rsidRPr="006209ED">
        <w:rPr>
          <w:rFonts w:ascii="Segoe UI" w:eastAsia="細明體" w:hAnsi="Segoe UI" w:cs="Segoe UI"/>
          <w:b w:val="0"/>
          <w:bCs w:val="0"/>
          <w:sz w:val="22"/>
          <w:szCs w:val="20"/>
          <w:lang w:eastAsia="zh-TW"/>
        </w:rPr>
        <w:t>LIQ1</w:t>
      </w:r>
      <w:r w:rsidRPr="006209ED">
        <w:rPr>
          <w:rFonts w:ascii="細明體" w:eastAsia="細明體" w:hAnsi="細明體" w:cs="微軟正黑體" w:hint="eastAsia"/>
          <w:b w:val="0"/>
          <w:bCs w:val="0"/>
          <w:sz w:val="22"/>
          <w:szCs w:val="20"/>
          <w:lang w:eastAsia="zh-TW"/>
        </w:rPr>
        <w:t>：流動性覆蓋比率</w:t>
      </w:r>
      <w:r w:rsidRPr="006209ED">
        <w:rPr>
          <w:rFonts w:ascii="細明體" w:eastAsia="細明體" w:hAnsi="細明體" w:cs="微軟正黑體"/>
          <w:b w:val="0"/>
          <w:bCs w:val="0"/>
          <w:sz w:val="22"/>
          <w:szCs w:val="20"/>
          <w:lang w:eastAsia="zh-TW"/>
        </w:rPr>
        <w:t>（</w:t>
      </w:r>
      <w:r w:rsidRPr="006209ED">
        <w:rPr>
          <w:rFonts w:ascii="Segoe UI" w:eastAsia="細明體" w:hAnsi="Segoe UI" w:cs="Segoe UI"/>
          <w:b w:val="0"/>
          <w:bCs w:val="0"/>
          <w:sz w:val="22"/>
          <w:szCs w:val="20"/>
          <w:lang w:eastAsia="zh-TW"/>
        </w:rPr>
        <w:t>LCR</w:t>
      </w:r>
      <w:r w:rsidRPr="006209ED">
        <w:rPr>
          <w:rFonts w:ascii="細明體" w:eastAsia="細明體" w:hAnsi="細明體" w:cs="微軟正黑體"/>
          <w:b w:val="0"/>
          <w:bCs w:val="0"/>
          <w:sz w:val="22"/>
          <w:szCs w:val="20"/>
          <w:lang w:eastAsia="zh-TW"/>
        </w:rPr>
        <w:t>）</w:t>
      </w:r>
      <w:proofErr w:type="gramStart"/>
      <w:r w:rsidRPr="006209ED">
        <w:rPr>
          <w:rFonts w:ascii="細明體" w:eastAsia="細明體" w:hAnsi="細明體" w:cs="微軟正黑體" w:hint="eastAsia"/>
          <w:b w:val="0"/>
          <w:bCs w:val="0"/>
          <w:sz w:val="22"/>
          <w:szCs w:val="20"/>
          <w:lang w:eastAsia="zh-TW"/>
        </w:rPr>
        <w:t>──</w:t>
      </w:r>
      <w:proofErr w:type="gramEnd"/>
      <w:r w:rsidRPr="006209ED">
        <w:rPr>
          <w:rFonts w:ascii="細明體" w:eastAsia="細明體" w:hAnsi="細明體" w:cs="微軟正黑體" w:hint="eastAsia"/>
          <w:b w:val="0"/>
          <w:bCs w:val="0"/>
          <w:sz w:val="22"/>
          <w:szCs w:val="20"/>
          <w:lang w:eastAsia="zh-TW"/>
        </w:rPr>
        <w:t>第</w:t>
      </w:r>
      <w:r w:rsidRPr="001513EA">
        <w:rPr>
          <w:rFonts w:ascii="Segoe UI" w:eastAsia="細明體" w:hAnsi="Segoe UI" w:cs="Segoe UI"/>
          <w:b w:val="0"/>
          <w:bCs w:val="0"/>
          <w:sz w:val="22"/>
          <w:szCs w:val="20"/>
          <w:lang w:eastAsia="zh-TW"/>
        </w:rPr>
        <w:t>1</w:t>
      </w:r>
      <w:r w:rsidRPr="006209ED">
        <w:rPr>
          <w:rFonts w:ascii="細明體" w:eastAsia="細明體" w:hAnsi="細明體" w:cs="微軟正黑體" w:hint="eastAsia"/>
          <w:b w:val="0"/>
          <w:bCs w:val="0"/>
          <w:sz w:val="22"/>
          <w:szCs w:val="20"/>
          <w:lang w:eastAsia="zh-TW"/>
        </w:rPr>
        <w:t>類機構</w:t>
      </w:r>
    </w:p>
    <w:tbl>
      <w:tblPr>
        <w:tblW w:w="9394"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234"/>
      </w:tblGrid>
      <w:tr w:rsidR="00C8624D" w:rsidRPr="00CA7301" w14:paraId="3AC3F335" w14:textId="77777777" w:rsidTr="0029639E">
        <w:tc>
          <w:tcPr>
            <w:tcW w:w="2160" w:type="dxa"/>
          </w:tcPr>
          <w:p w14:paraId="744A9125" w14:textId="77777777" w:rsidR="00C8624D" w:rsidRPr="00CA7301" w:rsidRDefault="00C8624D" w:rsidP="00C8624D">
            <w:pPr>
              <w:spacing w:before="40" w:after="40"/>
              <w:rPr>
                <w:rFonts w:cs="Segoe UI"/>
                <w:noProof/>
                <w:sz w:val="17"/>
                <w:lang w:eastAsia="en-GB"/>
              </w:rPr>
            </w:pPr>
            <w:r w:rsidRPr="00CA7301">
              <w:rPr>
                <w:rFonts w:eastAsiaTheme="minorEastAsia" w:cs="Segoe UI"/>
                <w:b/>
                <w:sz w:val="17"/>
                <w:lang w:eastAsia="zh-TW"/>
              </w:rPr>
              <w:t>目的</w:t>
            </w:r>
            <w:r w:rsidRPr="00CA7301">
              <w:rPr>
                <w:rFonts w:eastAsia="細明體" w:cs="Segoe UI"/>
                <w:b/>
                <w:sz w:val="17"/>
                <w:lang w:eastAsia="en-GB"/>
              </w:rPr>
              <w:t>：</w:t>
            </w:r>
          </w:p>
        </w:tc>
        <w:tc>
          <w:tcPr>
            <w:tcW w:w="7234" w:type="dxa"/>
          </w:tcPr>
          <w:p w14:paraId="6BAF2FA6" w14:textId="77777777" w:rsidR="00C8624D" w:rsidRPr="00CA7301" w:rsidRDefault="00C8624D" w:rsidP="00C8624D">
            <w:pPr>
              <w:spacing w:before="40" w:after="40"/>
              <w:jc w:val="both"/>
              <w:rPr>
                <w:rFonts w:cs="Segoe UI"/>
                <w:sz w:val="17"/>
                <w:lang w:eastAsia="zh-TW"/>
              </w:rPr>
            </w:pPr>
            <w:proofErr w:type="gramStart"/>
            <w:r w:rsidRPr="00CA7301">
              <w:rPr>
                <w:rFonts w:eastAsia="細明體" w:cs="Segoe UI"/>
                <w:sz w:val="17"/>
                <w:szCs w:val="17"/>
                <w:lang w:eastAsia="zh-TW"/>
              </w:rPr>
              <w:t>呈示</w:t>
            </w:r>
            <w:proofErr w:type="gramEnd"/>
            <w:r w:rsidRPr="00CA7301">
              <w:rPr>
                <w:rFonts w:eastAsia="細明體" w:cs="Segoe UI"/>
                <w:sz w:val="17"/>
                <w:szCs w:val="17"/>
                <w:lang w:eastAsia="zh-TW"/>
              </w:rPr>
              <w:t>LCR</w:t>
            </w:r>
            <w:r w:rsidRPr="00CA7301">
              <w:rPr>
                <w:rFonts w:eastAsia="細明體" w:cs="Segoe UI"/>
                <w:sz w:val="17"/>
                <w:szCs w:val="17"/>
                <w:lang w:eastAsia="zh-TW"/>
              </w:rPr>
              <w:t>及優質流動資產</w:t>
            </w:r>
            <w:r w:rsidRPr="00CA7301">
              <w:rPr>
                <w:rFonts w:eastAsia="細明體" w:cs="Segoe UI"/>
                <w:sz w:val="17"/>
                <w:szCs w:val="17"/>
                <w:lang w:eastAsia="zh-TW"/>
              </w:rPr>
              <w:t>(</w:t>
            </w:r>
            <w:r w:rsidRPr="00CA7301">
              <w:rPr>
                <w:rFonts w:cs="Segoe UI"/>
                <w:sz w:val="17"/>
                <w:szCs w:val="17"/>
                <w:lang w:eastAsia="zh-TW"/>
              </w:rPr>
              <w:t>HQLA</w:t>
            </w:r>
            <w:r w:rsidRPr="00CA7301">
              <w:rPr>
                <w:rFonts w:eastAsiaTheme="minorEastAsia" w:cs="Segoe UI"/>
                <w:sz w:val="17"/>
                <w:szCs w:val="17"/>
                <w:lang w:eastAsia="zh-TW"/>
              </w:rPr>
              <w:t>)</w:t>
            </w:r>
            <w:r w:rsidRPr="00CA7301">
              <w:rPr>
                <w:rFonts w:eastAsiaTheme="minorEastAsia" w:cs="Segoe UI"/>
                <w:sz w:val="17"/>
                <w:szCs w:val="17"/>
                <w:lang w:eastAsia="zh-TW"/>
              </w:rPr>
              <w:t>的詳細資料，以及現金流出與流入的細目分類。</w:t>
            </w:r>
          </w:p>
        </w:tc>
      </w:tr>
      <w:tr w:rsidR="00C8624D" w:rsidRPr="00CA7301" w14:paraId="4B651F0C" w14:textId="77777777" w:rsidTr="0029639E">
        <w:tc>
          <w:tcPr>
            <w:tcW w:w="2160" w:type="dxa"/>
          </w:tcPr>
          <w:p w14:paraId="0A56147F" w14:textId="77777777" w:rsidR="00C8624D" w:rsidRPr="00CA7301" w:rsidRDefault="00C8624D" w:rsidP="00C8624D">
            <w:pPr>
              <w:spacing w:before="40" w:after="40"/>
              <w:rPr>
                <w:rFonts w:cs="Segoe UI"/>
                <w:b/>
                <w:sz w:val="17"/>
                <w:lang w:eastAsia="en-GB"/>
              </w:rPr>
            </w:pPr>
            <w:r w:rsidRPr="00CA7301">
              <w:rPr>
                <w:rFonts w:eastAsiaTheme="minorEastAsia" w:cs="Segoe UI"/>
                <w:b/>
                <w:sz w:val="17"/>
                <w:lang w:eastAsia="zh-TW"/>
              </w:rPr>
              <w:t>適用範圍</w:t>
            </w:r>
            <w:r w:rsidRPr="00CA7301">
              <w:rPr>
                <w:rFonts w:eastAsia="細明體" w:cs="Segoe UI"/>
                <w:b/>
                <w:sz w:val="17"/>
                <w:lang w:eastAsia="en-GB"/>
              </w:rPr>
              <w:t>：</w:t>
            </w:r>
          </w:p>
        </w:tc>
        <w:tc>
          <w:tcPr>
            <w:tcW w:w="7234" w:type="dxa"/>
          </w:tcPr>
          <w:p w14:paraId="235CF041" w14:textId="1D87DFBA" w:rsidR="00C8624D" w:rsidRPr="00CA7301" w:rsidRDefault="00C8624D" w:rsidP="00C8624D">
            <w:pPr>
              <w:spacing w:before="40" w:after="40"/>
              <w:jc w:val="both"/>
              <w:rPr>
                <w:rFonts w:cs="Segoe UI"/>
                <w:sz w:val="17"/>
                <w:szCs w:val="17"/>
                <w:lang w:eastAsia="zh-TW"/>
              </w:rPr>
            </w:pPr>
            <w:r w:rsidRPr="00CA7301">
              <w:rPr>
                <w:rFonts w:eastAsia="細明體" w:cs="Segoe UI"/>
                <w:sz w:val="17"/>
                <w:szCs w:val="17"/>
                <w:lang w:eastAsia="zh-TW"/>
              </w:rPr>
              <w:t>所有</w:t>
            </w:r>
            <w:r w:rsidRPr="00CA7301">
              <w:rPr>
                <w:rFonts w:eastAsiaTheme="minorEastAsia" w:cs="Segoe UI"/>
                <w:sz w:val="17"/>
                <w:szCs w:val="17"/>
                <w:lang w:eastAsia="zh-TW"/>
              </w:rPr>
              <w:t>在</w:t>
            </w:r>
            <w:r w:rsidRPr="00CA7301">
              <w:rPr>
                <w:rFonts w:eastAsiaTheme="minorEastAsia" w:cs="Segoe UI"/>
                <w:sz w:val="17"/>
                <w:lang w:eastAsia="zh-TW"/>
              </w:rPr>
              <w:t>香港</w:t>
            </w:r>
            <w:r w:rsidR="001D4405" w:rsidRPr="00CA7301">
              <w:rPr>
                <w:rFonts w:eastAsiaTheme="minorEastAsia" w:cs="Segoe UI"/>
                <w:sz w:val="17"/>
                <w:szCs w:val="17"/>
                <w:lang w:eastAsia="zh-TW"/>
              </w:rPr>
              <w:t>成立</w:t>
            </w:r>
            <w:proofErr w:type="gramStart"/>
            <w:r w:rsidR="001D4405" w:rsidRPr="00CA7301">
              <w:rPr>
                <w:rFonts w:eastAsiaTheme="minorEastAsia" w:cs="Segoe UI"/>
                <w:sz w:val="17"/>
                <w:lang w:eastAsia="zh-TW"/>
              </w:rPr>
              <w:t>為法團</w:t>
            </w:r>
            <w:r w:rsidRPr="00CA7301">
              <w:rPr>
                <w:rFonts w:eastAsiaTheme="minorEastAsia" w:cs="Segoe UI"/>
                <w:sz w:val="17"/>
                <w:lang w:eastAsia="zh-TW"/>
              </w:rPr>
              <w:t>及</w:t>
            </w:r>
            <w:proofErr w:type="gramEnd"/>
            <w:r w:rsidR="001D4405">
              <w:rPr>
                <w:rFonts w:eastAsiaTheme="minorEastAsia" w:cs="Segoe UI" w:hint="eastAsia"/>
                <w:sz w:val="17"/>
                <w:lang w:eastAsia="zh-HK"/>
              </w:rPr>
              <w:t>在</w:t>
            </w:r>
            <w:r w:rsidRPr="00CA7301">
              <w:rPr>
                <w:rFonts w:eastAsiaTheme="minorEastAsia" w:cs="Segoe UI"/>
                <w:sz w:val="17"/>
                <w:lang w:eastAsia="zh-TW"/>
              </w:rPr>
              <w:t>香港</w:t>
            </w:r>
            <w:r w:rsidRPr="00CA7301">
              <w:rPr>
                <w:rFonts w:eastAsiaTheme="minorEastAsia" w:cs="Segoe UI"/>
                <w:sz w:val="17"/>
                <w:szCs w:val="17"/>
                <w:lang w:eastAsia="zh-TW"/>
              </w:rPr>
              <w:t>以外成立</w:t>
            </w:r>
            <w:proofErr w:type="gramStart"/>
            <w:r w:rsidRPr="00CA7301">
              <w:rPr>
                <w:rFonts w:eastAsiaTheme="minorEastAsia" w:cs="Segoe UI"/>
                <w:sz w:val="17"/>
                <w:lang w:eastAsia="zh-TW"/>
              </w:rPr>
              <w:t>為法團</w:t>
            </w:r>
            <w:r w:rsidRPr="00CA7301">
              <w:rPr>
                <w:rFonts w:eastAsia="細明體" w:cs="Segoe UI"/>
                <w:sz w:val="17"/>
                <w:szCs w:val="17"/>
                <w:lang w:eastAsia="zh-TW"/>
              </w:rPr>
              <w:t>並</w:t>
            </w:r>
            <w:proofErr w:type="gramEnd"/>
            <w:r w:rsidRPr="00CA7301">
              <w:rPr>
                <w:rFonts w:eastAsia="細明體" w:cs="Segoe UI"/>
                <w:sz w:val="17"/>
                <w:szCs w:val="17"/>
                <w:lang w:eastAsia="zh-TW"/>
              </w:rPr>
              <w:t>被指定為</w:t>
            </w:r>
            <w:r w:rsidRPr="00CA7301">
              <w:rPr>
                <w:rFonts w:eastAsia="細明體" w:cs="Segoe UI"/>
                <w:sz w:val="17"/>
                <w:szCs w:val="17"/>
                <w:lang w:val="en-US" w:eastAsia="zh-TW"/>
              </w:rPr>
              <w:t>「</w:t>
            </w:r>
            <w:r w:rsidRPr="00CA7301">
              <w:rPr>
                <w:rFonts w:eastAsia="細明體" w:cs="Segoe UI"/>
                <w:sz w:val="17"/>
                <w:szCs w:val="17"/>
                <w:lang w:eastAsia="zh-TW"/>
              </w:rPr>
              <w:t>第</w:t>
            </w:r>
            <w:r w:rsidRPr="00CA7301">
              <w:rPr>
                <w:rFonts w:cs="Segoe UI"/>
                <w:sz w:val="17"/>
                <w:szCs w:val="17"/>
                <w:lang w:eastAsia="zh-TW"/>
              </w:rPr>
              <w:t>1</w:t>
            </w:r>
            <w:r w:rsidRPr="00CA7301">
              <w:rPr>
                <w:rFonts w:eastAsia="細明體" w:cs="Segoe UI"/>
                <w:sz w:val="17"/>
                <w:szCs w:val="17"/>
                <w:lang w:eastAsia="zh-TW"/>
              </w:rPr>
              <w:t>類機構</w:t>
            </w:r>
            <w:r w:rsidRPr="00CA7301">
              <w:rPr>
                <w:rFonts w:eastAsia="細明體" w:cs="Segoe UI"/>
                <w:sz w:val="17"/>
                <w:szCs w:val="17"/>
                <w:lang w:val="en-US" w:eastAsia="zh-TW"/>
              </w:rPr>
              <w:t>」</w:t>
            </w:r>
            <w:r w:rsidRPr="00CA7301">
              <w:rPr>
                <w:rFonts w:eastAsia="細明體" w:cs="Segoe UI"/>
                <w:sz w:val="17"/>
                <w:szCs w:val="17"/>
                <w:lang w:eastAsia="zh-TW"/>
              </w:rPr>
              <w:t>的認可機構</w:t>
            </w:r>
            <w:proofErr w:type="gramStart"/>
            <w:r w:rsidRPr="00CA7301">
              <w:rPr>
                <w:rFonts w:eastAsia="細明體" w:cs="Segoe UI"/>
                <w:sz w:val="17"/>
                <w:szCs w:val="17"/>
                <w:lang w:eastAsia="zh-TW"/>
              </w:rPr>
              <w:t>均須填報本模</w:t>
            </w:r>
            <w:proofErr w:type="gramEnd"/>
            <w:r w:rsidRPr="00CA7301">
              <w:rPr>
                <w:rFonts w:eastAsia="細明體" w:cs="Segoe UI"/>
                <w:sz w:val="17"/>
                <w:szCs w:val="17"/>
                <w:lang w:eastAsia="zh-TW"/>
              </w:rPr>
              <w:t>版。第</w:t>
            </w:r>
            <w:r w:rsidRPr="00CA7301">
              <w:rPr>
                <w:rFonts w:cs="Segoe UI"/>
                <w:sz w:val="17"/>
                <w:szCs w:val="17"/>
                <w:lang w:eastAsia="zh-TW"/>
              </w:rPr>
              <w:t>1</w:t>
            </w:r>
            <w:r w:rsidRPr="00CA7301">
              <w:rPr>
                <w:rFonts w:eastAsia="細明體" w:cs="Segoe UI"/>
                <w:sz w:val="17"/>
                <w:szCs w:val="17"/>
                <w:lang w:eastAsia="zh-TW"/>
              </w:rPr>
              <w:t>類機構應按以下基礎</w:t>
            </w:r>
            <w:proofErr w:type="gramStart"/>
            <w:r w:rsidRPr="00CA7301">
              <w:rPr>
                <w:rFonts w:eastAsia="細明體" w:cs="Segoe UI"/>
                <w:sz w:val="17"/>
                <w:szCs w:val="17"/>
                <w:lang w:eastAsia="zh-TW"/>
              </w:rPr>
              <w:t>在本模版</w:t>
            </w:r>
            <w:proofErr w:type="gramEnd"/>
            <w:r w:rsidRPr="00CA7301">
              <w:rPr>
                <w:rFonts w:eastAsia="細明體" w:cs="Segoe UI"/>
                <w:sz w:val="17"/>
                <w:szCs w:val="17"/>
                <w:lang w:eastAsia="zh-TW"/>
              </w:rPr>
              <w:t>披露</w:t>
            </w:r>
            <w:r w:rsidRPr="00CA7301">
              <w:rPr>
                <w:rFonts w:eastAsiaTheme="minorEastAsia" w:cs="Segoe UI"/>
                <w:sz w:val="17"/>
                <w:szCs w:val="17"/>
                <w:lang w:eastAsia="zh-TW"/>
              </w:rPr>
              <w:t>須披露的項目：</w:t>
            </w:r>
          </w:p>
          <w:p w14:paraId="3F79B638" w14:textId="77777777" w:rsidR="00C8624D" w:rsidRPr="00CA7301" w:rsidRDefault="00C8624D" w:rsidP="00D540EB">
            <w:pPr>
              <w:numPr>
                <w:ilvl w:val="0"/>
                <w:numId w:val="4"/>
              </w:numPr>
              <w:tabs>
                <w:tab w:val="left" w:pos="436"/>
              </w:tabs>
              <w:spacing w:before="40" w:after="40"/>
              <w:ind w:left="436" w:hanging="436"/>
              <w:jc w:val="both"/>
              <w:rPr>
                <w:rFonts w:cs="Segoe UI"/>
                <w:sz w:val="17"/>
                <w:szCs w:val="17"/>
                <w:lang w:eastAsia="zh-TW"/>
              </w:rPr>
            </w:pPr>
            <w:r w:rsidRPr="00CA7301">
              <w:rPr>
                <w:rFonts w:eastAsiaTheme="minorEastAsia" w:cs="Segoe UI"/>
                <w:sz w:val="17"/>
                <w:szCs w:val="17"/>
                <w:lang w:eastAsia="zh-TW"/>
              </w:rPr>
              <w:t>綜合基礎</w:t>
            </w:r>
            <w:proofErr w:type="gramStart"/>
            <w:r w:rsidRPr="00CA7301">
              <w:rPr>
                <w:rFonts w:ascii="細明體" w:eastAsia="細明體" w:hAnsi="細明體" w:cs="細明體" w:hint="eastAsia"/>
                <w:sz w:val="17"/>
                <w:szCs w:val="17"/>
                <w:lang w:eastAsia="zh-TW"/>
              </w:rPr>
              <w:t>──</w:t>
            </w:r>
            <w:proofErr w:type="gramEnd"/>
            <w:r w:rsidRPr="00CA7301">
              <w:rPr>
                <w:rFonts w:eastAsiaTheme="minorEastAsia" w:cs="Segoe UI"/>
                <w:sz w:val="17"/>
                <w:szCs w:val="17"/>
                <w:lang w:eastAsia="zh-TW"/>
              </w:rPr>
              <w:t>適用於在香港成立</w:t>
            </w:r>
            <w:proofErr w:type="gramStart"/>
            <w:r w:rsidRPr="00CA7301">
              <w:rPr>
                <w:rFonts w:eastAsiaTheme="minorEastAsia" w:cs="Segoe UI"/>
                <w:sz w:val="17"/>
                <w:szCs w:val="17"/>
                <w:lang w:eastAsia="zh-TW"/>
              </w:rPr>
              <w:t>為法團</w:t>
            </w:r>
            <w:proofErr w:type="gramEnd"/>
            <w:r w:rsidRPr="00CA7301">
              <w:rPr>
                <w:rFonts w:eastAsiaTheme="minorEastAsia" w:cs="Segoe UI"/>
                <w:sz w:val="17"/>
                <w:szCs w:val="17"/>
                <w:lang w:eastAsia="zh-TW"/>
              </w:rPr>
              <w:t>，並須遵守</w:t>
            </w:r>
            <w:r w:rsidRPr="00CA7301">
              <w:rPr>
                <w:rFonts w:eastAsia="細明體" w:cs="Segoe UI"/>
                <w:sz w:val="17"/>
                <w:szCs w:val="17"/>
                <w:lang w:eastAsia="zh-TW"/>
              </w:rPr>
              <w:t>《流動性規則》第</w:t>
            </w:r>
            <w:r w:rsidRPr="00CA7301">
              <w:rPr>
                <w:rFonts w:cs="Segoe UI"/>
                <w:sz w:val="17"/>
                <w:szCs w:val="17"/>
                <w:lang w:eastAsia="zh-TW"/>
              </w:rPr>
              <w:t>11(1)</w:t>
            </w:r>
            <w:r w:rsidRPr="00CA7301">
              <w:rPr>
                <w:rFonts w:eastAsia="細明體" w:cs="Segoe UI"/>
                <w:sz w:val="17"/>
                <w:szCs w:val="17"/>
                <w:lang w:eastAsia="zh-TW"/>
              </w:rPr>
              <w:t>條的第</w:t>
            </w:r>
            <w:r w:rsidRPr="00CA7301">
              <w:rPr>
                <w:rFonts w:cs="Segoe UI"/>
                <w:sz w:val="17"/>
                <w:szCs w:val="17"/>
                <w:lang w:eastAsia="zh-TW"/>
              </w:rPr>
              <w:t>1</w:t>
            </w:r>
            <w:r w:rsidRPr="00CA7301">
              <w:rPr>
                <w:rFonts w:eastAsia="細明體" w:cs="Segoe UI"/>
                <w:sz w:val="17"/>
                <w:szCs w:val="17"/>
                <w:lang w:eastAsia="zh-TW"/>
              </w:rPr>
              <w:t>類機構；</w:t>
            </w:r>
          </w:p>
          <w:p w14:paraId="3B505C8F" w14:textId="77777777" w:rsidR="00C8624D" w:rsidRPr="00CA7301" w:rsidRDefault="00C8624D" w:rsidP="00D540EB">
            <w:pPr>
              <w:numPr>
                <w:ilvl w:val="0"/>
                <w:numId w:val="4"/>
              </w:numPr>
              <w:tabs>
                <w:tab w:val="left" w:pos="436"/>
              </w:tabs>
              <w:spacing w:before="40" w:after="40"/>
              <w:ind w:left="436" w:hanging="436"/>
              <w:jc w:val="both"/>
              <w:rPr>
                <w:rFonts w:cs="Segoe UI"/>
                <w:sz w:val="17"/>
                <w:szCs w:val="17"/>
                <w:lang w:eastAsia="zh-TW"/>
              </w:rPr>
            </w:pPr>
            <w:r w:rsidRPr="00CA7301">
              <w:rPr>
                <w:rFonts w:eastAsiaTheme="minorEastAsia" w:cs="Segoe UI"/>
                <w:sz w:val="17"/>
                <w:szCs w:val="17"/>
                <w:lang w:eastAsia="zh-TW"/>
              </w:rPr>
              <w:t>非綜合基礎</w:t>
            </w:r>
            <w:proofErr w:type="gramStart"/>
            <w:r w:rsidRPr="00CA7301">
              <w:rPr>
                <w:rFonts w:ascii="細明體" w:eastAsia="細明體" w:hAnsi="細明體" w:cs="細明體" w:hint="eastAsia"/>
                <w:sz w:val="17"/>
                <w:szCs w:val="17"/>
                <w:lang w:eastAsia="zh-TW"/>
              </w:rPr>
              <w:t>──</w:t>
            </w:r>
            <w:proofErr w:type="gramEnd"/>
            <w:r w:rsidRPr="00CA7301">
              <w:rPr>
                <w:rFonts w:eastAsiaTheme="minorEastAsia" w:cs="Segoe UI"/>
                <w:sz w:val="17"/>
                <w:szCs w:val="17"/>
                <w:lang w:eastAsia="zh-TW"/>
              </w:rPr>
              <w:t>適用於在香港成立</w:t>
            </w:r>
            <w:proofErr w:type="gramStart"/>
            <w:r w:rsidRPr="00CA7301">
              <w:rPr>
                <w:rFonts w:eastAsiaTheme="minorEastAsia" w:cs="Segoe UI"/>
                <w:sz w:val="17"/>
                <w:szCs w:val="17"/>
                <w:lang w:eastAsia="zh-TW"/>
              </w:rPr>
              <w:t>為法團</w:t>
            </w:r>
            <w:proofErr w:type="gramEnd"/>
            <w:r w:rsidRPr="00CA7301">
              <w:rPr>
                <w:rFonts w:eastAsiaTheme="minorEastAsia" w:cs="Segoe UI"/>
                <w:sz w:val="17"/>
                <w:szCs w:val="17"/>
                <w:lang w:eastAsia="zh-TW"/>
              </w:rPr>
              <w:t>，無須遵守</w:t>
            </w:r>
            <w:r w:rsidRPr="00CA7301">
              <w:rPr>
                <w:rFonts w:eastAsia="細明體" w:cs="Segoe UI"/>
                <w:sz w:val="17"/>
                <w:szCs w:val="17"/>
                <w:lang w:eastAsia="zh-TW"/>
              </w:rPr>
              <w:t>《流動性規則》第</w:t>
            </w:r>
            <w:r w:rsidRPr="00CA7301">
              <w:rPr>
                <w:rFonts w:cs="Segoe UI"/>
                <w:sz w:val="17"/>
                <w:szCs w:val="17"/>
                <w:lang w:eastAsia="zh-TW"/>
              </w:rPr>
              <w:t>11(1)</w:t>
            </w:r>
            <w:r w:rsidRPr="00CA7301">
              <w:rPr>
                <w:rFonts w:eastAsia="細明體" w:cs="Segoe UI"/>
                <w:sz w:val="17"/>
                <w:szCs w:val="17"/>
                <w:lang w:eastAsia="zh-TW"/>
              </w:rPr>
              <w:t>條，但須遵守《流動性規則》第</w:t>
            </w:r>
            <w:r w:rsidRPr="00CA7301">
              <w:rPr>
                <w:rFonts w:cs="Segoe UI"/>
                <w:sz w:val="17"/>
                <w:szCs w:val="17"/>
                <w:lang w:eastAsia="zh-TW"/>
              </w:rPr>
              <w:t>10(1)(b)</w:t>
            </w:r>
            <w:r w:rsidRPr="00CA7301">
              <w:rPr>
                <w:rFonts w:eastAsia="細明體" w:cs="Segoe UI"/>
                <w:sz w:val="17"/>
                <w:szCs w:val="17"/>
                <w:lang w:eastAsia="zh-TW"/>
              </w:rPr>
              <w:t>條的第</w:t>
            </w:r>
            <w:r w:rsidRPr="00CA7301">
              <w:rPr>
                <w:rFonts w:cs="Segoe UI"/>
                <w:sz w:val="17"/>
                <w:szCs w:val="17"/>
                <w:lang w:eastAsia="zh-TW"/>
              </w:rPr>
              <w:t>1</w:t>
            </w:r>
            <w:r w:rsidRPr="00CA7301">
              <w:rPr>
                <w:rFonts w:eastAsia="細明體" w:cs="Segoe UI"/>
                <w:sz w:val="17"/>
                <w:szCs w:val="17"/>
                <w:lang w:eastAsia="zh-TW"/>
              </w:rPr>
              <w:t>類機構</w:t>
            </w:r>
            <w:r w:rsidRPr="00CA7301">
              <w:rPr>
                <w:rFonts w:eastAsiaTheme="minorEastAsia" w:cs="Segoe UI"/>
                <w:sz w:val="17"/>
                <w:szCs w:val="17"/>
                <w:lang w:eastAsia="zh-TW"/>
              </w:rPr>
              <w:t>；或</w:t>
            </w:r>
          </w:p>
          <w:p w14:paraId="14FBA81A" w14:textId="77777777" w:rsidR="00C8624D" w:rsidRPr="00CA7301" w:rsidRDefault="00C8624D" w:rsidP="00D540EB">
            <w:pPr>
              <w:numPr>
                <w:ilvl w:val="0"/>
                <w:numId w:val="4"/>
              </w:numPr>
              <w:spacing w:before="40" w:after="40"/>
              <w:ind w:left="436" w:hanging="425"/>
              <w:jc w:val="both"/>
              <w:rPr>
                <w:rFonts w:cs="Segoe UI"/>
                <w:sz w:val="17"/>
                <w:szCs w:val="17"/>
                <w:lang w:eastAsia="zh-TW"/>
              </w:rPr>
            </w:pPr>
            <w:r w:rsidRPr="00CA7301">
              <w:rPr>
                <w:rFonts w:eastAsia="細明體" w:cs="Segoe UI"/>
                <w:sz w:val="17"/>
                <w:szCs w:val="17"/>
                <w:lang w:eastAsia="zh-TW"/>
              </w:rPr>
              <w:t>香港辦事處基礎</w:t>
            </w:r>
            <w:proofErr w:type="gramStart"/>
            <w:r w:rsidRPr="00CA7301">
              <w:rPr>
                <w:rFonts w:ascii="細明體" w:eastAsia="細明體" w:hAnsi="細明體" w:cs="細明體" w:hint="eastAsia"/>
                <w:sz w:val="17"/>
                <w:szCs w:val="17"/>
                <w:lang w:eastAsia="zh-TW"/>
              </w:rPr>
              <w:t>──</w:t>
            </w:r>
            <w:proofErr w:type="gramEnd"/>
            <w:r w:rsidRPr="00CA7301">
              <w:rPr>
                <w:rFonts w:eastAsiaTheme="minorEastAsia" w:cs="Segoe UI"/>
                <w:sz w:val="17"/>
                <w:szCs w:val="17"/>
                <w:lang w:eastAsia="zh-TW"/>
              </w:rPr>
              <w:t>適用於以下</w:t>
            </w:r>
            <w:r w:rsidRPr="00CA7301">
              <w:rPr>
                <w:rFonts w:eastAsia="細明體" w:cs="Segoe UI"/>
                <w:sz w:val="17"/>
                <w:szCs w:val="17"/>
                <w:lang w:eastAsia="zh-TW"/>
              </w:rPr>
              <w:t>的第</w:t>
            </w:r>
            <w:r w:rsidRPr="00CA7301">
              <w:rPr>
                <w:rFonts w:cs="Segoe UI"/>
                <w:sz w:val="17"/>
                <w:szCs w:val="17"/>
                <w:lang w:eastAsia="zh-TW"/>
              </w:rPr>
              <w:t>1</w:t>
            </w:r>
            <w:r w:rsidRPr="00CA7301">
              <w:rPr>
                <w:rFonts w:eastAsia="細明體" w:cs="Segoe UI"/>
                <w:sz w:val="17"/>
                <w:szCs w:val="17"/>
                <w:lang w:eastAsia="zh-TW"/>
              </w:rPr>
              <w:t>類機構：</w:t>
            </w:r>
          </w:p>
          <w:p w14:paraId="156CB23B" w14:textId="77777777" w:rsidR="00C8624D" w:rsidRPr="00CA7301" w:rsidRDefault="00C8624D" w:rsidP="00D540EB">
            <w:pPr>
              <w:numPr>
                <w:ilvl w:val="0"/>
                <w:numId w:val="16"/>
              </w:numPr>
              <w:spacing w:before="40" w:after="40"/>
              <w:ind w:left="1003"/>
              <w:jc w:val="both"/>
              <w:rPr>
                <w:rFonts w:cs="Segoe UI"/>
                <w:sz w:val="17"/>
                <w:szCs w:val="17"/>
                <w:lang w:eastAsia="zh-TW"/>
              </w:rPr>
            </w:pPr>
            <w:r w:rsidRPr="00CA7301">
              <w:rPr>
                <w:rFonts w:eastAsiaTheme="minorEastAsia" w:cs="Segoe UI"/>
                <w:sz w:val="17"/>
                <w:szCs w:val="17"/>
                <w:lang w:eastAsia="zh-TW"/>
              </w:rPr>
              <w:t>在香港成立</w:t>
            </w:r>
            <w:proofErr w:type="gramStart"/>
            <w:r w:rsidRPr="00CA7301">
              <w:rPr>
                <w:rFonts w:eastAsiaTheme="minorEastAsia" w:cs="Segoe UI"/>
                <w:sz w:val="17"/>
                <w:szCs w:val="17"/>
                <w:lang w:eastAsia="zh-TW"/>
              </w:rPr>
              <w:t>為法團</w:t>
            </w:r>
            <w:proofErr w:type="gramEnd"/>
            <w:r w:rsidRPr="00CA7301">
              <w:rPr>
                <w:rFonts w:eastAsiaTheme="minorEastAsia" w:cs="Segoe UI"/>
                <w:sz w:val="17"/>
                <w:szCs w:val="17"/>
                <w:lang w:eastAsia="zh-TW"/>
              </w:rPr>
              <w:t>，無須遵守</w:t>
            </w:r>
            <w:r w:rsidRPr="00CA7301">
              <w:rPr>
                <w:rFonts w:eastAsia="細明體" w:cs="Segoe UI"/>
                <w:sz w:val="17"/>
                <w:szCs w:val="17"/>
                <w:lang w:eastAsia="zh-TW"/>
              </w:rPr>
              <w:t>《流動性規則》第</w:t>
            </w:r>
            <w:r w:rsidRPr="00CA7301">
              <w:rPr>
                <w:rFonts w:cs="Segoe UI"/>
                <w:sz w:val="17"/>
                <w:szCs w:val="17"/>
                <w:lang w:eastAsia="zh-TW"/>
              </w:rPr>
              <w:t>10(1)(b)</w:t>
            </w:r>
            <w:r w:rsidRPr="00CA7301">
              <w:rPr>
                <w:rFonts w:eastAsia="細明體" w:cs="Segoe UI"/>
                <w:sz w:val="17"/>
                <w:szCs w:val="17"/>
                <w:lang w:eastAsia="zh-TW"/>
              </w:rPr>
              <w:t>條或第</w:t>
            </w:r>
            <w:r w:rsidRPr="00CA7301">
              <w:rPr>
                <w:rFonts w:eastAsia="細明體" w:cs="Segoe UI"/>
                <w:sz w:val="17"/>
                <w:szCs w:val="17"/>
                <w:lang w:eastAsia="zh-TW"/>
              </w:rPr>
              <w:t>11</w:t>
            </w:r>
            <w:r w:rsidRPr="00CA7301">
              <w:rPr>
                <w:rFonts w:eastAsia="細明體" w:cs="Segoe UI"/>
                <w:sz w:val="17"/>
                <w:szCs w:val="17"/>
                <w:lang w:eastAsia="zh-TW"/>
              </w:rPr>
              <w:t>條，但須遵守《流動性規則》第</w:t>
            </w:r>
            <w:r w:rsidRPr="00CA7301">
              <w:rPr>
                <w:rFonts w:cs="Segoe UI"/>
                <w:sz w:val="17"/>
                <w:szCs w:val="17"/>
                <w:lang w:eastAsia="zh-TW"/>
              </w:rPr>
              <w:t>10(1)(a)</w:t>
            </w:r>
            <w:r w:rsidRPr="00CA7301">
              <w:rPr>
                <w:rFonts w:eastAsia="細明體" w:cs="Segoe UI"/>
                <w:sz w:val="17"/>
                <w:szCs w:val="17"/>
                <w:lang w:eastAsia="zh-TW"/>
              </w:rPr>
              <w:t>條；及</w:t>
            </w:r>
          </w:p>
          <w:p w14:paraId="05FE5189" w14:textId="77777777" w:rsidR="00C8624D" w:rsidRPr="00CA7301" w:rsidRDefault="00C8624D" w:rsidP="00D540EB">
            <w:pPr>
              <w:numPr>
                <w:ilvl w:val="0"/>
                <w:numId w:val="16"/>
              </w:numPr>
              <w:spacing w:before="40" w:after="40"/>
              <w:ind w:left="1003"/>
              <w:jc w:val="both"/>
              <w:rPr>
                <w:rFonts w:cs="Segoe UI"/>
                <w:sz w:val="17"/>
                <w:szCs w:val="17"/>
                <w:lang w:eastAsia="zh-TW"/>
              </w:rPr>
            </w:pPr>
            <w:r w:rsidRPr="00CA7301">
              <w:rPr>
                <w:rFonts w:eastAsiaTheme="minorEastAsia" w:cs="Segoe UI"/>
                <w:sz w:val="17"/>
                <w:szCs w:val="17"/>
                <w:lang w:eastAsia="zh-TW"/>
              </w:rPr>
              <w:t>在香港以外成立</w:t>
            </w:r>
            <w:proofErr w:type="gramStart"/>
            <w:r w:rsidRPr="00CA7301">
              <w:rPr>
                <w:rFonts w:eastAsiaTheme="minorEastAsia" w:cs="Segoe UI"/>
                <w:sz w:val="17"/>
                <w:szCs w:val="17"/>
                <w:lang w:eastAsia="zh-TW"/>
              </w:rPr>
              <w:t>為法團</w:t>
            </w:r>
            <w:proofErr w:type="gramEnd"/>
            <w:r w:rsidRPr="00CA7301">
              <w:rPr>
                <w:rFonts w:eastAsiaTheme="minorEastAsia" w:cs="Segoe UI"/>
                <w:sz w:val="17"/>
                <w:szCs w:val="17"/>
                <w:lang w:eastAsia="zh-TW"/>
              </w:rPr>
              <w:t>，並須遵守</w:t>
            </w:r>
            <w:r w:rsidRPr="00CA7301">
              <w:rPr>
                <w:rFonts w:eastAsia="細明體" w:cs="Segoe UI"/>
                <w:sz w:val="17"/>
                <w:szCs w:val="17"/>
                <w:lang w:eastAsia="zh-TW"/>
              </w:rPr>
              <w:t>《流動性規則》第</w:t>
            </w:r>
            <w:r w:rsidRPr="00CA7301">
              <w:rPr>
                <w:rFonts w:cs="Segoe UI"/>
                <w:sz w:val="17"/>
                <w:szCs w:val="17"/>
                <w:lang w:eastAsia="zh-TW"/>
              </w:rPr>
              <w:t>10(1)(a)</w:t>
            </w:r>
            <w:r w:rsidRPr="00CA7301">
              <w:rPr>
                <w:rFonts w:eastAsiaTheme="minorEastAsia" w:cs="Segoe UI"/>
                <w:sz w:val="17"/>
                <w:szCs w:val="17"/>
                <w:lang w:eastAsia="zh-TW"/>
              </w:rPr>
              <w:t>條。</w:t>
            </w:r>
            <w:r w:rsidRPr="00CA7301">
              <w:rPr>
                <w:rFonts w:cs="Segoe UI"/>
                <w:sz w:val="17"/>
                <w:szCs w:val="17"/>
                <w:lang w:eastAsia="zh-TW"/>
              </w:rPr>
              <w:t xml:space="preserve"> </w:t>
            </w:r>
          </w:p>
          <w:p w14:paraId="088AAEEB" w14:textId="77777777" w:rsidR="00C8624D" w:rsidRPr="00CA7301" w:rsidRDefault="00C8624D" w:rsidP="00C8624D">
            <w:pPr>
              <w:spacing w:before="40" w:after="40"/>
              <w:jc w:val="both"/>
              <w:rPr>
                <w:rFonts w:eastAsiaTheme="minorEastAsia" w:cs="Segoe UI"/>
                <w:b/>
                <w:sz w:val="17"/>
                <w:lang w:val="en-US" w:eastAsia="zh-TW"/>
              </w:rPr>
            </w:pPr>
            <w:r w:rsidRPr="00CA7301">
              <w:rPr>
                <w:rFonts w:eastAsia="細明體" w:cs="Segoe UI"/>
                <w:sz w:val="17"/>
                <w:szCs w:val="17"/>
                <w:lang w:eastAsia="zh-TW"/>
              </w:rPr>
              <w:t>第</w:t>
            </w:r>
            <w:r w:rsidRPr="00CA7301">
              <w:rPr>
                <w:rFonts w:cs="Segoe UI"/>
                <w:sz w:val="17"/>
                <w:szCs w:val="17"/>
                <w:lang w:eastAsia="zh-TW"/>
              </w:rPr>
              <w:t>1</w:t>
            </w:r>
            <w:r w:rsidRPr="00CA7301">
              <w:rPr>
                <w:rFonts w:eastAsia="細明體" w:cs="Segoe UI"/>
                <w:sz w:val="17"/>
                <w:szCs w:val="17"/>
                <w:lang w:eastAsia="zh-TW"/>
              </w:rPr>
              <w:t>類機構應註明</w:t>
            </w:r>
            <w:proofErr w:type="gramStart"/>
            <w:r w:rsidRPr="00CA7301">
              <w:rPr>
                <w:rFonts w:eastAsia="細明體" w:cs="Segoe UI"/>
                <w:sz w:val="17"/>
                <w:szCs w:val="17"/>
                <w:lang w:eastAsia="zh-TW"/>
              </w:rPr>
              <w:t>在本模版</w:t>
            </w:r>
            <w:proofErr w:type="gramEnd"/>
            <w:r w:rsidRPr="00CA7301">
              <w:rPr>
                <w:rFonts w:eastAsia="細明體" w:cs="Segoe UI"/>
                <w:sz w:val="17"/>
                <w:szCs w:val="17"/>
                <w:lang w:eastAsia="zh-TW"/>
              </w:rPr>
              <w:t>內須披露的項目是按何種基礎披露。</w:t>
            </w:r>
          </w:p>
        </w:tc>
      </w:tr>
      <w:tr w:rsidR="00C8624D" w:rsidRPr="00CA7301" w14:paraId="4083E2F9" w14:textId="77777777" w:rsidTr="0029639E">
        <w:tc>
          <w:tcPr>
            <w:tcW w:w="2160" w:type="dxa"/>
          </w:tcPr>
          <w:p w14:paraId="0164F99D" w14:textId="77777777" w:rsidR="00C8624D" w:rsidRPr="00CA7301" w:rsidRDefault="00C8624D" w:rsidP="00C8624D">
            <w:pPr>
              <w:spacing w:before="40" w:after="40"/>
              <w:rPr>
                <w:rFonts w:cs="Segoe UI"/>
                <w:b/>
                <w:sz w:val="17"/>
                <w:lang w:eastAsia="en-GB"/>
              </w:rPr>
            </w:pPr>
            <w:r w:rsidRPr="00CA7301">
              <w:rPr>
                <w:rFonts w:eastAsiaTheme="minorEastAsia" w:cs="Segoe UI"/>
                <w:b/>
                <w:sz w:val="17"/>
                <w:lang w:eastAsia="zh-TW"/>
              </w:rPr>
              <w:t>內容</w:t>
            </w:r>
            <w:r w:rsidRPr="00CA7301">
              <w:rPr>
                <w:rFonts w:eastAsia="細明體" w:cs="Segoe UI"/>
                <w:b/>
                <w:sz w:val="17"/>
                <w:lang w:eastAsia="en-GB"/>
              </w:rPr>
              <w:t>：</w:t>
            </w:r>
          </w:p>
        </w:tc>
        <w:tc>
          <w:tcPr>
            <w:tcW w:w="7234" w:type="dxa"/>
          </w:tcPr>
          <w:p w14:paraId="19C89EE1" w14:textId="77777777" w:rsidR="00C8624D" w:rsidRPr="00CA7301" w:rsidRDefault="00C8624D" w:rsidP="00C8624D">
            <w:pPr>
              <w:spacing w:before="40" w:after="40"/>
              <w:jc w:val="both"/>
              <w:rPr>
                <w:rFonts w:eastAsia="細明體" w:cs="Segoe UI"/>
                <w:sz w:val="17"/>
                <w:szCs w:val="17"/>
                <w:lang w:eastAsia="zh-TW"/>
              </w:rPr>
            </w:pPr>
            <w:r w:rsidRPr="00CA7301">
              <w:rPr>
                <w:rFonts w:eastAsiaTheme="minorEastAsia" w:cs="Segoe UI"/>
                <w:sz w:val="17"/>
                <w:szCs w:val="17"/>
                <w:lang w:eastAsia="zh-TW"/>
              </w:rPr>
              <w:t>季內所有工作日的簡單平均值。數據應以港元或港元等值表述。</w:t>
            </w:r>
            <w:r w:rsidRPr="00CA7301">
              <w:rPr>
                <w:rFonts w:eastAsia="細明體" w:cs="Segoe UI"/>
                <w:sz w:val="17"/>
                <w:szCs w:val="17"/>
                <w:lang w:eastAsia="zh-TW"/>
              </w:rPr>
              <w:t>認可機構亦應註明在計算模版內的平均值時所使用的數據點數目及表述資料所用的貨幣。</w:t>
            </w:r>
          </w:p>
        </w:tc>
      </w:tr>
      <w:tr w:rsidR="00C8624D" w:rsidRPr="00CA7301" w14:paraId="456877E2" w14:textId="77777777" w:rsidTr="0029639E">
        <w:tc>
          <w:tcPr>
            <w:tcW w:w="2160" w:type="dxa"/>
          </w:tcPr>
          <w:p w14:paraId="1EA74982" w14:textId="77777777" w:rsidR="00C8624D" w:rsidRPr="00CA7301" w:rsidRDefault="00C8624D" w:rsidP="00C8624D">
            <w:pPr>
              <w:spacing w:before="40" w:after="40"/>
              <w:rPr>
                <w:rFonts w:cs="Segoe UI"/>
                <w:sz w:val="17"/>
                <w:lang w:eastAsia="en-GB"/>
              </w:rPr>
            </w:pPr>
            <w:proofErr w:type="spellStart"/>
            <w:r w:rsidRPr="00CA7301">
              <w:rPr>
                <w:rFonts w:eastAsia="細明體" w:cs="Segoe UI"/>
                <w:b/>
                <w:sz w:val="17"/>
              </w:rPr>
              <w:t>頻密程度</w:t>
            </w:r>
            <w:proofErr w:type="spellEnd"/>
            <w:r w:rsidRPr="00CA7301">
              <w:rPr>
                <w:rFonts w:eastAsia="細明體" w:cs="Segoe UI"/>
                <w:b/>
                <w:sz w:val="17"/>
              </w:rPr>
              <w:t>：</w:t>
            </w:r>
          </w:p>
        </w:tc>
        <w:tc>
          <w:tcPr>
            <w:tcW w:w="7234" w:type="dxa"/>
          </w:tcPr>
          <w:p w14:paraId="12BBB055" w14:textId="0E178C5A" w:rsidR="00C8624D" w:rsidRPr="00CA7301" w:rsidRDefault="00C8624D" w:rsidP="00E67BD9">
            <w:pPr>
              <w:spacing w:before="40" w:after="40"/>
              <w:jc w:val="both"/>
              <w:rPr>
                <w:rFonts w:cs="Segoe UI"/>
                <w:sz w:val="17"/>
                <w:lang w:eastAsia="zh-TW"/>
              </w:rPr>
            </w:pPr>
            <w:r w:rsidRPr="00CA7301">
              <w:rPr>
                <w:rFonts w:eastAsiaTheme="minorEastAsia" w:cs="Segoe UI"/>
                <w:sz w:val="17"/>
                <w:lang w:eastAsia="zh-TW"/>
              </w:rPr>
              <w:t>每季一次。</w:t>
            </w:r>
          </w:p>
        </w:tc>
      </w:tr>
      <w:tr w:rsidR="00C8624D" w:rsidRPr="00CA7301" w14:paraId="7719950B" w14:textId="77777777" w:rsidTr="0029639E">
        <w:tc>
          <w:tcPr>
            <w:tcW w:w="2160" w:type="dxa"/>
          </w:tcPr>
          <w:p w14:paraId="53CBEC1F" w14:textId="77777777" w:rsidR="00C8624D" w:rsidRPr="00CA7301" w:rsidRDefault="00C8624D" w:rsidP="00C8624D">
            <w:pPr>
              <w:spacing w:before="40" w:after="40"/>
              <w:rPr>
                <w:rFonts w:cs="Segoe UI"/>
                <w:sz w:val="17"/>
                <w:lang w:eastAsia="en-GB"/>
              </w:rPr>
            </w:pPr>
            <w:r w:rsidRPr="00CA7301">
              <w:rPr>
                <w:rFonts w:eastAsiaTheme="minorEastAsia" w:cs="Segoe UI"/>
                <w:b/>
                <w:sz w:val="17"/>
                <w:lang w:eastAsia="zh-TW"/>
              </w:rPr>
              <w:t>格式</w:t>
            </w:r>
            <w:r w:rsidRPr="00CA7301">
              <w:rPr>
                <w:rFonts w:eastAsia="細明體" w:cs="Segoe UI"/>
                <w:b/>
                <w:sz w:val="17"/>
                <w:lang w:eastAsia="en-GB"/>
              </w:rPr>
              <w:t>：</w:t>
            </w:r>
          </w:p>
        </w:tc>
        <w:tc>
          <w:tcPr>
            <w:tcW w:w="7234" w:type="dxa"/>
          </w:tcPr>
          <w:p w14:paraId="512E44FE" w14:textId="77777777" w:rsidR="00C8624D" w:rsidRPr="00CA7301" w:rsidRDefault="00C8624D" w:rsidP="00C8624D">
            <w:pPr>
              <w:spacing w:before="40" w:after="40"/>
              <w:jc w:val="both"/>
              <w:rPr>
                <w:rFonts w:cs="Segoe UI"/>
                <w:sz w:val="17"/>
                <w:lang w:eastAsia="en-GB"/>
              </w:rPr>
            </w:pPr>
            <w:r w:rsidRPr="00CA7301">
              <w:rPr>
                <w:rFonts w:eastAsiaTheme="minorEastAsia" w:cs="Segoe UI"/>
                <w:sz w:val="17"/>
                <w:lang w:eastAsia="zh-TW"/>
              </w:rPr>
              <w:t>固定。</w:t>
            </w:r>
          </w:p>
        </w:tc>
      </w:tr>
      <w:tr w:rsidR="00C8624D" w:rsidRPr="00CA7301" w14:paraId="78201CAA" w14:textId="77777777" w:rsidTr="0029639E">
        <w:tc>
          <w:tcPr>
            <w:tcW w:w="2160" w:type="dxa"/>
          </w:tcPr>
          <w:p w14:paraId="2B77BFDB" w14:textId="77777777" w:rsidR="00C8624D" w:rsidRPr="00CA7301" w:rsidRDefault="00C8624D" w:rsidP="00C8624D">
            <w:pPr>
              <w:spacing w:before="40" w:after="40"/>
              <w:rPr>
                <w:rFonts w:cs="Segoe UI"/>
                <w:b/>
                <w:sz w:val="17"/>
                <w:lang w:eastAsia="zh-TW"/>
              </w:rPr>
            </w:pPr>
            <w:proofErr w:type="spellStart"/>
            <w:r w:rsidRPr="00CA7301">
              <w:rPr>
                <w:rFonts w:eastAsia="細明體" w:cs="Segoe UI"/>
                <w:b/>
                <w:sz w:val="17"/>
                <w:szCs w:val="17"/>
                <w:lang w:eastAsia="en-GB"/>
              </w:rPr>
              <w:t>附加說明</w:t>
            </w:r>
            <w:proofErr w:type="spellEnd"/>
            <w:r w:rsidRPr="00CA7301">
              <w:rPr>
                <w:rFonts w:eastAsia="細明體" w:cs="Segoe UI"/>
                <w:b/>
                <w:sz w:val="17"/>
                <w:szCs w:val="17"/>
                <w:lang w:eastAsia="en-GB"/>
              </w:rPr>
              <w:t>：</w:t>
            </w:r>
          </w:p>
        </w:tc>
        <w:tc>
          <w:tcPr>
            <w:tcW w:w="7234" w:type="dxa"/>
          </w:tcPr>
          <w:p w14:paraId="2C080DF3" w14:textId="77777777" w:rsidR="00C8624D" w:rsidRPr="00CA7301" w:rsidRDefault="00C8624D" w:rsidP="00C8624D">
            <w:pPr>
              <w:spacing w:before="40" w:after="40"/>
              <w:jc w:val="both"/>
              <w:rPr>
                <w:rFonts w:cs="Segoe UI"/>
                <w:sz w:val="17"/>
                <w:szCs w:val="17"/>
                <w:lang w:eastAsia="zh-TW"/>
              </w:rPr>
            </w:pPr>
            <w:r w:rsidRPr="00CA7301">
              <w:rPr>
                <w:rFonts w:eastAsia="細明體" w:cs="Segoe UI"/>
                <w:sz w:val="17"/>
                <w:szCs w:val="17"/>
                <w:lang w:eastAsia="zh-TW"/>
              </w:rPr>
              <w:t>認可機構應提供足夠的描述討論，以利便第三支柱數據的使用者了解其</w:t>
            </w:r>
            <w:r w:rsidRPr="00CA7301">
              <w:rPr>
                <w:rFonts w:eastAsia="細明體" w:cs="Segoe UI"/>
                <w:sz w:val="17"/>
                <w:szCs w:val="17"/>
                <w:lang w:eastAsia="zh-TW"/>
              </w:rPr>
              <w:t>LCR</w:t>
            </w:r>
            <w:r w:rsidRPr="00CA7301">
              <w:rPr>
                <w:rFonts w:eastAsia="細明體" w:cs="Segoe UI"/>
                <w:sz w:val="17"/>
                <w:szCs w:val="17"/>
                <w:lang w:eastAsia="zh-TW"/>
              </w:rPr>
              <w:t>的計算。例如，如對</w:t>
            </w:r>
            <w:r w:rsidRPr="00CA7301">
              <w:rPr>
                <w:rFonts w:eastAsia="細明體" w:cs="Segoe UI"/>
                <w:sz w:val="17"/>
                <w:szCs w:val="17"/>
                <w:lang w:eastAsia="zh-TW"/>
              </w:rPr>
              <w:t>LCR</w:t>
            </w:r>
            <w:r w:rsidRPr="00CA7301">
              <w:rPr>
                <w:rFonts w:eastAsia="細明體" w:cs="Segoe UI"/>
                <w:sz w:val="17"/>
                <w:szCs w:val="17"/>
                <w:lang w:eastAsia="zh-TW"/>
              </w:rPr>
              <w:t>屬重要，認可機構應討論：</w:t>
            </w:r>
          </w:p>
          <w:p w14:paraId="4C0BF181"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促成</w:t>
            </w:r>
            <w:r w:rsidRPr="00CA7301">
              <w:rPr>
                <w:rFonts w:eastAsiaTheme="minorEastAsia" w:cs="Segoe UI"/>
                <w:color w:val="000000"/>
                <w:sz w:val="17"/>
                <w:szCs w:val="17"/>
                <w:lang w:val="en-US" w:eastAsia="zh-TW"/>
              </w:rPr>
              <w:t>LCR</w:t>
            </w:r>
            <w:r w:rsidRPr="00CA7301">
              <w:rPr>
                <w:rFonts w:eastAsiaTheme="minorEastAsia" w:cs="Segoe UI"/>
                <w:color w:val="000000"/>
                <w:sz w:val="17"/>
                <w:szCs w:val="17"/>
                <w:lang w:val="en-US" w:eastAsia="zh-TW"/>
              </w:rPr>
              <w:t>結果的主要驅動因素及隨時間推移有關</w:t>
            </w:r>
            <w:r w:rsidRPr="00CA7301">
              <w:rPr>
                <w:rFonts w:eastAsiaTheme="minorEastAsia" w:cs="Segoe UI"/>
                <w:color w:val="000000"/>
                <w:sz w:val="17"/>
                <w:szCs w:val="17"/>
                <w:lang w:val="en-US" w:eastAsia="zh-TW"/>
              </w:rPr>
              <w:t>LCR</w:t>
            </w:r>
            <w:r w:rsidRPr="00CA7301">
              <w:rPr>
                <w:rFonts w:eastAsiaTheme="minorEastAsia" w:cs="Segoe UI"/>
                <w:color w:val="000000"/>
                <w:sz w:val="17"/>
                <w:szCs w:val="17"/>
                <w:lang w:val="en-US" w:eastAsia="zh-TW"/>
              </w:rPr>
              <w:t>計算的進項的演變；</w:t>
            </w:r>
          </w:p>
          <w:p w14:paraId="013CAD9F"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期內變動及隨時間推移出現的變動；</w:t>
            </w:r>
          </w:p>
          <w:p w14:paraId="0FDD5261"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HQLA</w:t>
            </w:r>
            <w:r w:rsidRPr="00CA7301">
              <w:rPr>
                <w:rFonts w:eastAsiaTheme="minorEastAsia" w:cs="Segoe UI"/>
                <w:color w:val="000000"/>
                <w:sz w:val="17"/>
                <w:szCs w:val="17"/>
                <w:lang w:val="en-US" w:eastAsia="zh-TW"/>
              </w:rPr>
              <w:t>的組成項目；</w:t>
            </w:r>
          </w:p>
          <w:p w14:paraId="38AE0DC2"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資金來源的集中情況；</w:t>
            </w:r>
          </w:p>
          <w:p w14:paraId="0852AB80"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LCR</w:t>
            </w:r>
            <w:r w:rsidRPr="00CA7301">
              <w:rPr>
                <w:rFonts w:eastAsiaTheme="minorEastAsia" w:cs="Segoe UI"/>
                <w:color w:val="000000"/>
                <w:sz w:val="17"/>
                <w:szCs w:val="17"/>
                <w:lang w:val="en-US" w:eastAsia="zh-TW"/>
              </w:rPr>
              <w:t>的貨幣錯配；</w:t>
            </w:r>
          </w:p>
          <w:p w14:paraId="668A0B64"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流動性管理的集中程度及綜合集團成員之間的互動；</w:t>
            </w:r>
          </w:p>
          <w:p w14:paraId="58E3D684"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衍生工具合約的風險承擔及認可機構按合約會被要求提供抵押品的可能性；及</w:t>
            </w:r>
          </w:p>
          <w:p w14:paraId="37A961F7" w14:textId="77777777" w:rsidR="00C8624D" w:rsidRPr="00CA7301" w:rsidRDefault="00C8624D" w:rsidP="00D540EB">
            <w:pPr>
              <w:widowControl w:val="0"/>
              <w:numPr>
                <w:ilvl w:val="0"/>
                <w:numId w:val="2"/>
              </w:numPr>
              <w:tabs>
                <w:tab w:val="left" w:pos="294"/>
              </w:tabs>
              <w:autoSpaceDE w:val="0"/>
              <w:autoSpaceDN w:val="0"/>
              <w:adjustRightInd w:val="0"/>
              <w:ind w:left="294" w:hanging="294"/>
              <w:jc w:val="both"/>
              <w:rPr>
                <w:rFonts w:eastAsiaTheme="minorEastAsia" w:cs="Segoe UI"/>
                <w:noProof/>
                <w:color w:val="000000"/>
                <w:sz w:val="17"/>
                <w:szCs w:val="17"/>
                <w:lang w:val="en-US" w:eastAsia="zh-TW"/>
              </w:rPr>
            </w:pPr>
            <w:r w:rsidRPr="00CA7301">
              <w:rPr>
                <w:rFonts w:eastAsiaTheme="minorEastAsia" w:cs="Segoe UI"/>
                <w:color w:val="000000"/>
                <w:sz w:val="17"/>
                <w:szCs w:val="17"/>
                <w:lang w:val="en-US" w:eastAsia="zh-TW"/>
              </w:rPr>
              <w:t>未包括在模版內的</w:t>
            </w:r>
            <w:r w:rsidRPr="00CA7301">
              <w:rPr>
                <w:rFonts w:eastAsiaTheme="minorEastAsia" w:cs="Segoe UI"/>
                <w:color w:val="000000"/>
                <w:sz w:val="17"/>
                <w:szCs w:val="17"/>
                <w:lang w:val="en-US" w:eastAsia="zh-TW"/>
              </w:rPr>
              <w:t>LCR</w:t>
            </w:r>
            <w:r w:rsidRPr="00CA7301">
              <w:rPr>
                <w:rFonts w:eastAsiaTheme="minorEastAsia" w:cs="Segoe UI"/>
                <w:color w:val="000000"/>
                <w:sz w:val="17"/>
                <w:szCs w:val="17"/>
                <w:lang w:val="en-US" w:eastAsia="zh-TW"/>
              </w:rPr>
              <w:t>計算中，但認可機構認為與其流動性狀況相關的其他流入及流出量。</w:t>
            </w:r>
          </w:p>
        </w:tc>
      </w:tr>
      <w:tr w:rsidR="00C8624D" w:rsidRPr="00CA7301" w14:paraId="5E4455DF" w14:textId="77777777" w:rsidTr="0029639E">
        <w:tc>
          <w:tcPr>
            <w:tcW w:w="2160" w:type="dxa"/>
          </w:tcPr>
          <w:p w14:paraId="02F8A118" w14:textId="77777777" w:rsidR="00C8624D" w:rsidRPr="00CA7301" w:rsidRDefault="00C8624D" w:rsidP="00C8624D">
            <w:pPr>
              <w:spacing w:before="40" w:after="40"/>
              <w:rPr>
                <w:rFonts w:eastAsiaTheme="minorEastAsia" w:cs="Segoe UI"/>
                <w:b/>
                <w:sz w:val="17"/>
                <w:szCs w:val="17"/>
                <w:lang w:eastAsia="zh-TW"/>
              </w:rPr>
            </w:pPr>
            <w:r w:rsidRPr="00CA7301">
              <w:rPr>
                <w:rFonts w:eastAsia="細明體" w:cs="Segoe UI"/>
                <w:b/>
                <w:sz w:val="17"/>
                <w:lang w:eastAsia="zh-TW"/>
              </w:rPr>
              <w:t>《披露規則》相應條文：</w:t>
            </w:r>
          </w:p>
        </w:tc>
        <w:tc>
          <w:tcPr>
            <w:tcW w:w="7234" w:type="dxa"/>
          </w:tcPr>
          <w:p w14:paraId="1748C899" w14:textId="77777777" w:rsidR="00C8624D" w:rsidRPr="00CA7301" w:rsidRDefault="00C8624D" w:rsidP="00C8624D">
            <w:pPr>
              <w:spacing w:before="40" w:after="40"/>
              <w:jc w:val="both"/>
              <w:rPr>
                <w:rFonts w:eastAsiaTheme="minorEastAsia" w:cs="Segoe UI"/>
                <w:sz w:val="17"/>
                <w:szCs w:val="17"/>
                <w:lang w:eastAsia="zh-TW"/>
              </w:rPr>
            </w:pPr>
            <w:r w:rsidRPr="00CA7301">
              <w:rPr>
                <w:rFonts w:cs="Segoe UI"/>
                <w:sz w:val="17"/>
                <w:szCs w:val="17"/>
                <w:lang w:eastAsia="en-GB"/>
              </w:rPr>
              <w:t>16FK</w:t>
            </w:r>
            <w:r w:rsidRPr="00CA7301">
              <w:rPr>
                <w:rFonts w:eastAsiaTheme="minorEastAsia" w:cs="Segoe UI"/>
                <w:sz w:val="17"/>
                <w:szCs w:val="17"/>
                <w:lang w:eastAsia="zh-TW"/>
              </w:rPr>
              <w:t>及</w:t>
            </w:r>
            <w:r w:rsidRPr="00CA7301">
              <w:rPr>
                <w:rFonts w:cs="Segoe UI"/>
                <w:sz w:val="17"/>
                <w:szCs w:val="17"/>
                <w:lang w:eastAsia="en-GB"/>
              </w:rPr>
              <w:t>103A</w:t>
            </w:r>
          </w:p>
        </w:tc>
      </w:tr>
    </w:tbl>
    <w:p w14:paraId="7E9F3701" w14:textId="3E5F76DB" w:rsidR="00EC0ECD" w:rsidRDefault="00EC0ECD" w:rsidP="00C8624D">
      <w:pPr>
        <w:rPr>
          <w:rFonts w:cs="Segoe UI"/>
          <w:sz w:val="22"/>
        </w:rPr>
      </w:pPr>
      <w:r>
        <w:rPr>
          <w:rFonts w:cs="Segoe UI"/>
          <w:sz w:val="22"/>
        </w:rPr>
        <w:br w:type="page"/>
      </w:r>
    </w:p>
    <w:tbl>
      <w:tblPr>
        <w:tblStyle w:val="TableGrid9"/>
        <w:tblW w:w="9214" w:type="dxa"/>
        <w:tblInd w:w="-567" w:type="dxa"/>
        <w:tblLook w:val="04A0" w:firstRow="1" w:lastRow="0" w:firstColumn="1" w:lastColumn="0" w:noHBand="0" w:noVBand="1"/>
      </w:tblPr>
      <w:tblGrid>
        <w:gridCol w:w="6521"/>
        <w:gridCol w:w="2693"/>
      </w:tblGrid>
      <w:tr w:rsidR="00C8624D" w:rsidRPr="00CA7301" w14:paraId="02CFE72B" w14:textId="77777777" w:rsidTr="000B6933">
        <w:tc>
          <w:tcPr>
            <w:tcW w:w="6521" w:type="dxa"/>
            <w:tcBorders>
              <w:left w:val="nil"/>
              <w:bottom w:val="nil"/>
            </w:tcBorders>
          </w:tcPr>
          <w:p w14:paraId="3D0E3041" w14:textId="77777777" w:rsidR="00C8624D" w:rsidRPr="00CA7301" w:rsidRDefault="00C8624D" w:rsidP="00C8624D">
            <w:pPr>
              <w:snapToGrid w:val="0"/>
              <w:spacing w:before="40" w:after="40"/>
              <w:ind w:leftChars="-54" w:left="-108" w:rightChars="71" w:right="142"/>
              <w:rPr>
                <w:rFonts w:cs="Segoe UI"/>
                <w:sz w:val="22"/>
                <w:lang w:eastAsia="zh-TW"/>
              </w:rPr>
            </w:pPr>
            <w:r w:rsidRPr="00CA7301">
              <w:rPr>
                <w:rFonts w:eastAsiaTheme="minorEastAsia" w:cs="Segoe UI"/>
                <w:sz w:val="17"/>
                <w:lang w:eastAsia="zh-TW"/>
              </w:rPr>
              <w:t>在</w:t>
            </w:r>
            <w:proofErr w:type="gramStart"/>
            <w:r w:rsidRPr="00CA7301">
              <w:rPr>
                <w:rFonts w:eastAsia="細明體" w:cs="Segoe UI"/>
                <w:sz w:val="17"/>
                <w:lang w:eastAsia="it-IT"/>
              </w:rPr>
              <w:t>計算</w:t>
            </w:r>
            <w:r w:rsidRPr="00CA7301">
              <w:rPr>
                <w:rFonts w:eastAsia="細明體" w:cs="Segoe UI"/>
                <w:sz w:val="17"/>
                <w:lang w:eastAsia="zh-TW"/>
              </w:rPr>
              <w:t>本模版</w:t>
            </w:r>
            <w:proofErr w:type="gramEnd"/>
            <w:r w:rsidRPr="00CA7301">
              <w:rPr>
                <w:rFonts w:eastAsia="細明體" w:cs="Segoe UI"/>
                <w:sz w:val="17"/>
                <w:lang w:eastAsia="zh-TW"/>
              </w:rPr>
              <w:t>所載的</w:t>
            </w:r>
            <w:r w:rsidR="0051406F" w:rsidRPr="00CA7301">
              <w:rPr>
                <w:rFonts w:eastAsia="細明體" w:cs="Segoe UI"/>
                <w:sz w:val="17"/>
                <w:lang w:eastAsia="zh-TW"/>
              </w:rPr>
              <w:t>流動性覆蓋比率</w:t>
            </w:r>
            <w:r w:rsidR="0051406F" w:rsidRPr="00CA7301">
              <w:rPr>
                <w:rFonts w:eastAsia="細明體" w:cs="Segoe UI"/>
                <w:sz w:val="17"/>
                <w:lang w:eastAsia="zh-TW"/>
              </w:rPr>
              <w:t>(</w:t>
            </w:r>
            <w:r w:rsidRPr="00CA7301">
              <w:rPr>
                <w:rFonts w:eastAsia="細明體" w:cs="Segoe UI"/>
                <w:sz w:val="17"/>
                <w:lang w:eastAsia="zh-TW"/>
              </w:rPr>
              <w:t>LCR</w:t>
            </w:r>
            <w:r w:rsidR="0051406F" w:rsidRPr="00CA7301">
              <w:rPr>
                <w:rFonts w:eastAsia="細明體" w:cs="Segoe UI"/>
                <w:sz w:val="17"/>
                <w:lang w:eastAsia="zh-TW"/>
              </w:rPr>
              <w:t>)</w:t>
            </w:r>
            <w:r w:rsidRPr="00CA7301">
              <w:rPr>
                <w:rFonts w:eastAsia="細明體" w:cs="Segoe UI"/>
                <w:sz w:val="17"/>
                <w:lang w:eastAsia="zh-TW"/>
              </w:rPr>
              <w:t>及相關組成項目的</w:t>
            </w:r>
            <w:r w:rsidRPr="00CA7301">
              <w:rPr>
                <w:rFonts w:eastAsia="細明體" w:cs="Segoe UI"/>
                <w:sz w:val="17"/>
                <w:lang w:eastAsia="it-IT"/>
              </w:rPr>
              <w:t>平均值時所使用的數據點數目</w:t>
            </w:r>
            <w:r w:rsidRPr="00CA7301">
              <w:rPr>
                <w:rFonts w:cs="Segoe UI"/>
                <w:sz w:val="17"/>
                <w:lang w:eastAsia="it-IT"/>
              </w:rPr>
              <w:t xml:space="preserve">: </w:t>
            </w:r>
            <w:r w:rsidRPr="00CA7301">
              <w:rPr>
                <w:rFonts w:eastAsiaTheme="minorEastAsia" w:cs="Segoe UI"/>
                <w:sz w:val="17"/>
                <w:lang w:eastAsia="zh-TW"/>
              </w:rPr>
              <w:t>（</w:t>
            </w:r>
            <w:r w:rsidRPr="00CA7301">
              <w:rPr>
                <w:rFonts w:cs="Segoe UI"/>
                <w:sz w:val="17"/>
                <w:lang w:eastAsia="it-IT"/>
              </w:rPr>
              <w:t xml:space="preserve">    </w:t>
            </w:r>
            <w:r w:rsidRPr="00CA7301">
              <w:rPr>
                <w:rFonts w:eastAsiaTheme="minorEastAsia" w:cs="Segoe UI"/>
                <w:sz w:val="17"/>
                <w:lang w:eastAsia="zh-TW"/>
              </w:rPr>
              <w:t>）</w:t>
            </w:r>
          </w:p>
        </w:tc>
        <w:tc>
          <w:tcPr>
            <w:tcW w:w="2693" w:type="dxa"/>
            <w:tcBorders>
              <w:bottom w:val="nil"/>
            </w:tcBorders>
          </w:tcPr>
          <w:p w14:paraId="645DF013" w14:textId="77777777" w:rsidR="00C8624D" w:rsidRPr="00CA7301" w:rsidRDefault="00C8624D" w:rsidP="00C8624D">
            <w:pPr>
              <w:snapToGrid w:val="0"/>
              <w:spacing w:before="40" w:after="40"/>
              <w:ind w:left="57" w:rightChars="71" w:right="142"/>
              <w:jc w:val="center"/>
              <w:rPr>
                <w:rFonts w:cs="Segoe UI"/>
                <w:sz w:val="22"/>
              </w:rPr>
            </w:pPr>
            <w:r w:rsidRPr="00CA7301">
              <w:rPr>
                <w:rFonts w:eastAsiaTheme="minorEastAsia" w:cs="Segoe UI"/>
                <w:sz w:val="17"/>
                <w:lang w:eastAsia="zh-TW"/>
              </w:rPr>
              <w:t>港元等值</w:t>
            </w:r>
          </w:p>
        </w:tc>
      </w:tr>
    </w:tbl>
    <w:tbl>
      <w:tblPr>
        <w:tblW w:w="9214" w:type="dxa"/>
        <w:tblInd w:w="-567"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67"/>
        <w:gridCol w:w="5954"/>
        <w:gridCol w:w="1346"/>
        <w:gridCol w:w="1347"/>
      </w:tblGrid>
      <w:tr w:rsidR="00C8624D" w:rsidRPr="00CA7301" w14:paraId="218DD8C1" w14:textId="77777777" w:rsidTr="00877D8D">
        <w:trPr>
          <w:trHeight w:val="264"/>
          <w:tblHeader/>
        </w:trPr>
        <w:tc>
          <w:tcPr>
            <w:tcW w:w="6521" w:type="dxa"/>
            <w:gridSpan w:val="2"/>
            <w:tcBorders>
              <w:top w:val="nil"/>
              <w:left w:val="nil"/>
              <w:bottom w:val="single" w:sz="4" w:space="0" w:color="auto"/>
              <w:right w:val="single" w:sz="4" w:space="0" w:color="auto"/>
            </w:tcBorders>
            <w:vAlign w:val="center"/>
          </w:tcPr>
          <w:p w14:paraId="7CE3FD10" w14:textId="77777777" w:rsidR="00C8624D" w:rsidRPr="00CA7301" w:rsidRDefault="00C8624D" w:rsidP="00C8624D">
            <w:pPr>
              <w:widowControl w:val="0"/>
              <w:autoSpaceDE w:val="0"/>
              <w:autoSpaceDN w:val="0"/>
              <w:adjustRightInd w:val="0"/>
              <w:rPr>
                <w:rFonts w:eastAsiaTheme="minorEastAsia" w:cs="Segoe UI"/>
                <w:b/>
                <w:bCs/>
                <w:color w:val="000000"/>
                <w:lang w:val="en-US" w:eastAsia="zh-TW"/>
              </w:rPr>
            </w:pPr>
          </w:p>
        </w:tc>
        <w:tc>
          <w:tcPr>
            <w:tcW w:w="1346" w:type="dxa"/>
            <w:tcBorders>
              <w:top w:val="single" w:sz="6" w:space="0" w:color="auto"/>
              <w:left w:val="single" w:sz="6" w:space="0" w:color="auto"/>
              <w:bottom w:val="single" w:sz="6" w:space="0" w:color="auto"/>
              <w:right w:val="single" w:sz="6" w:space="0" w:color="auto"/>
            </w:tcBorders>
            <w:vAlign w:val="center"/>
          </w:tcPr>
          <w:p w14:paraId="5170419B" w14:textId="77777777" w:rsidR="00C8624D" w:rsidRPr="00CA7301" w:rsidRDefault="00C8624D" w:rsidP="00C8624D">
            <w:pPr>
              <w:snapToGrid w:val="0"/>
              <w:spacing w:before="40" w:after="40"/>
              <w:jc w:val="center"/>
              <w:rPr>
                <w:rFonts w:cs="Segoe UI"/>
                <w:bCs/>
                <w:sz w:val="17"/>
                <w:lang w:eastAsia="it-IT"/>
              </w:rPr>
            </w:pPr>
            <w:r w:rsidRPr="00CA7301">
              <w:rPr>
                <w:rFonts w:cs="Segoe UI"/>
                <w:bCs/>
                <w:sz w:val="17"/>
                <w:lang w:eastAsia="it-IT"/>
              </w:rPr>
              <w:t>(a)</w:t>
            </w:r>
          </w:p>
        </w:tc>
        <w:tc>
          <w:tcPr>
            <w:tcW w:w="1347" w:type="dxa"/>
            <w:tcBorders>
              <w:top w:val="single" w:sz="6" w:space="0" w:color="auto"/>
              <w:left w:val="single" w:sz="6" w:space="0" w:color="auto"/>
              <w:bottom w:val="single" w:sz="6" w:space="0" w:color="auto"/>
              <w:right w:val="single" w:sz="4" w:space="0" w:color="auto"/>
            </w:tcBorders>
            <w:vAlign w:val="center"/>
          </w:tcPr>
          <w:p w14:paraId="5A91AC5A" w14:textId="77777777" w:rsidR="00C8624D" w:rsidRPr="00CA7301" w:rsidRDefault="00C8624D" w:rsidP="00C8624D">
            <w:pPr>
              <w:snapToGrid w:val="0"/>
              <w:spacing w:before="40" w:after="40"/>
              <w:jc w:val="center"/>
              <w:rPr>
                <w:rFonts w:cs="Segoe UI"/>
                <w:bCs/>
                <w:sz w:val="17"/>
                <w:lang w:eastAsia="it-IT"/>
              </w:rPr>
            </w:pPr>
            <w:r w:rsidRPr="00CA7301">
              <w:rPr>
                <w:rFonts w:cs="Segoe UI"/>
                <w:bCs/>
                <w:sz w:val="17"/>
                <w:lang w:eastAsia="it-IT"/>
              </w:rPr>
              <w:t>(b)</w:t>
            </w:r>
          </w:p>
        </w:tc>
      </w:tr>
      <w:tr w:rsidR="00C8624D" w:rsidRPr="00CA7301" w14:paraId="6A1FCA42" w14:textId="77777777" w:rsidTr="00877D8D">
        <w:trPr>
          <w:trHeight w:val="528"/>
        </w:trPr>
        <w:tc>
          <w:tcPr>
            <w:tcW w:w="6521" w:type="dxa"/>
            <w:gridSpan w:val="2"/>
            <w:tcBorders>
              <w:top w:val="single" w:sz="4" w:space="0" w:color="auto"/>
              <w:left w:val="nil"/>
              <w:bottom w:val="single" w:sz="6" w:space="0" w:color="auto"/>
              <w:right w:val="single" w:sz="6" w:space="0" w:color="auto"/>
            </w:tcBorders>
            <w:vAlign w:val="center"/>
          </w:tcPr>
          <w:p w14:paraId="59C138B5" w14:textId="77777777" w:rsidR="00C8624D" w:rsidRPr="00CA7301" w:rsidRDefault="00C8624D" w:rsidP="00C8624D">
            <w:pPr>
              <w:snapToGrid w:val="0"/>
              <w:spacing w:before="40" w:after="40"/>
              <w:ind w:rightChars="71" w:right="142"/>
              <w:rPr>
                <w:rFonts w:cs="Segoe UI"/>
                <w:sz w:val="17"/>
                <w:lang w:eastAsia="it-IT"/>
              </w:rPr>
            </w:pPr>
            <w:r w:rsidRPr="00CA7301">
              <w:rPr>
                <w:rFonts w:eastAsiaTheme="minorEastAsia" w:cs="Segoe UI"/>
                <w:sz w:val="17"/>
                <w:lang w:eastAsia="zh-TW"/>
              </w:rPr>
              <w:t>披露基礎：綜合</w:t>
            </w:r>
            <w:r w:rsidRPr="00CA7301">
              <w:rPr>
                <w:rFonts w:eastAsiaTheme="minorEastAsia" w:cs="Segoe UI"/>
                <w:sz w:val="17"/>
                <w:lang w:eastAsia="zh-TW"/>
              </w:rPr>
              <w:t xml:space="preserve"> </w:t>
            </w:r>
            <w:r w:rsidRPr="00CA7301">
              <w:rPr>
                <w:rFonts w:cs="Segoe UI"/>
                <w:sz w:val="17"/>
                <w:lang w:eastAsia="it-IT"/>
              </w:rPr>
              <w:t xml:space="preserve">/ </w:t>
            </w:r>
            <w:r w:rsidRPr="00CA7301">
              <w:rPr>
                <w:rFonts w:eastAsiaTheme="minorEastAsia" w:cs="Segoe UI"/>
                <w:sz w:val="17"/>
                <w:lang w:eastAsia="zh-TW"/>
              </w:rPr>
              <w:t>非綜合</w:t>
            </w:r>
            <w:r w:rsidRPr="00CA7301">
              <w:rPr>
                <w:rFonts w:eastAsiaTheme="minorEastAsia" w:cs="Segoe UI"/>
                <w:sz w:val="17"/>
                <w:lang w:eastAsia="zh-TW"/>
              </w:rPr>
              <w:t xml:space="preserve"> </w:t>
            </w:r>
            <w:r w:rsidRPr="00CA7301">
              <w:rPr>
                <w:rFonts w:cs="Segoe UI"/>
                <w:sz w:val="17"/>
                <w:lang w:eastAsia="it-IT"/>
              </w:rPr>
              <w:t xml:space="preserve">/ </w:t>
            </w:r>
            <w:r w:rsidRPr="00CA7301">
              <w:rPr>
                <w:rFonts w:eastAsiaTheme="minorEastAsia" w:cs="Segoe UI"/>
                <w:sz w:val="17"/>
                <w:lang w:eastAsia="zh-TW"/>
              </w:rPr>
              <w:t>香港辦事處（刪除不適用者）</w:t>
            </w:r>
          </w:p>
          <w:p w14:paraId="64A9545D" w14:textId="77777777" w:rsidR="00C8624D" w:rsidRPr="00CA7301" w:rsidRDefault="00C8624D" w:rsidP="00C8624D">
            <w:pPr>
              <w:snapToGrid w:val="0"/>
              <w:spacing w:before="40" w:after="40"/>
              <w:rPr>
                <w:rFonts w:cs="Segoe UI"/>
                <w:sz w:val="17"/>
                <w:lang w:val="en-US" w:eastAsia="it-IT"/>
              </w:rPr>
            </w:pPr>
          </w:p>
        </w:tc>
        <w:tc>
          <w:tcPr>
            <w:tcW w:w="1346" w:type="dxa"/>
            <w:tcBorders>
              <w:top w:val="single" w:sz="6" w:space="0" w:color="auto"/>
              <w:left w:val="single" w:sz="6" w:space="0" w:color="auto"/>
              <w:bottom w:val="single" w:sz="6" w:space="0" w:color="auto"/>
              <w:right w:val="single" w:sz="6" w:space="0" w:color="auto"/>
            </w:tcBorders>
            <w:vAlign w:val="center"/>
          </w:tcPr>
          <w:p w14:paraId="4F16611B" w14:textId="77777777" w:rsidR="00C8624D" w:rsidRPr="00CA7301" w:rsidRDefault="00C8624D" w:rsidP="00C8624D">
            <w:pPr>
              <w:snapToGrid w:val="0"/>
              <w:spacing w:before="40" w:after="40"/>
              <w:ind w:left="57"/>
              <w:jc w:val="center"/>
              <w:rPr>
                <w:rFonts w:cs="Segoe UI"/>
                <w:b/>
                <w:sz w:val="17"/>
                <w:lang w:eastAsia="it-IT"/>
              </w:rPr>
            </w:pPr>
            <w:r w:rsidRPr="00CA7301">
              <w:rPr>
                <w:rFonts w:eastAsiaTheme="minorEastAsia" w:cs="Segoe UI"/>
                <w:b/>
                <w:sz w:val="17"/>
                <w:lang w:eastAsia="zh-TW"/>
              </w:rPr>
              <w:t>非加權值</w:t>
            </w:r>
          </w:p>
          <w:p w14:paraId="2898232D" w14:textId="77777777" w:rsidR="00C8624D" w:rsidRPr="00CA7301" w:rsidRDefault="00C8624D" w:rsidP="00C8624D">
            <w:pPr>
              <w:snapToGrid w:val="0"/>
              <w:spacing w:before="40" w:after="40"/>
              <w:ind w:left="57"/>
              <w:jc w:val="center"/>
              <w:rPr>
                <w:rFonts w:cs="Segoe UI"/>
                <w:sz w:val="17"/>
                <w:lang w:eastAsia="it-IT"/>
              </w:rPr>
            </w:pPr>
            <w:r w:rsidRPr="00CA7301">
              <w:rPr>
                <w:rFonts w:eastAsiaTheme="minorEastAsia" w:cs="Segoe UI"/>
                <w:sz w:val="17"/>
                <w:lang w:eastAsia="zh-TW"/>
              </w:rPr>
              <w:t>（平均）</w:t>
            </w:r>
          </w:p>
        </w:tc>
        <w:tc>
          <w:tcPr>
            <w:tcW w:w="1347" w:type="dxa"/>
            <w:tcBorders>
              <w:top w:val="single" w:sz="6" w:space="0" w:color="auto"/>
              <w:left w:val="single" w:sz="6" w:space="0" w:color="auto"/>
              <w:bottom w:val="single" w:sz="6" w:space="0" w:color="auto"/>
              <w:right w:val="single" w:sz="4" w:space="0" w:color="auto"/>
            </w:tcBorders>
            <w:vAlign w:val="center"/>
          </w:tcPr>
          <w:p w14:paraId="6F8A2B12" w14:textId="77777777" w:rsidR="00C8624D" w:rsidRPr="00CA7301" w:rsidRDefault="00C8624D" w:rsidP="00C8624D">
            <w:pPr>
              <w:snapToGrid w:val="0"/>
              <w:spacing w:before="40" w:after="40"/>
              <w:ind w:left="213" w:rightChars="71" w:right="142"/>
              <w:jc w:val="center"/>
              <w:rPr>
                <w:rFonts w:cs="Segoe UI"/>
                <w:b/>
                <w:sz w:val="17"/>
                <w:lang w:eastAsia="it-IT"/>
              </w:rPr>
            </w:pPr>
            <w:r w:rsidRPr="00CA7301">
              <w:rPr>
                <w:rFonts w:eastAsiaTheme="minorEastAsia" w:cs="Segoe UI"/>
                <w:b/>
                <w:sz w:val="17"/>
                <w:lang w:eastAsia="zh-TW"/>
              </w:rPr>
              <w:t>加權值</w:t>
            </w:r>
          </w:p>
          <w:p w14:paraId="22A33472" w14:textId="77777777" w:rsidR="00C8624D" w:rsidRPr="00CA7301" w:rsidRDefault="00C8624D" w:rsidP="00C8624D">
            <w:pPr>
              <w:snapToGrid w:val="0"/>
              <w:spacing w:before="40" w:after="40"/>
              <w:ind w:left="213" w:rightChars="71" w:right="142"/>
              <w:jc w:val="center"/>
              <w:rPr>
                <w:rFonts w:cs="Segoe UI"/>
                <w:sz w:val="17"/>
                <w:lang w:eastAsia="it-IT"/>
              </w:rPr>
            </w:pPr>
            <w:r w:rsidRPr="00CA7301">
              <w:rPr>
                <w:rFonts w:eastAsiaTheme="minorEastAsia" w:cs="Segoe UI"/>
                <w:sz w:val="17"/>
                <w:lang w:eastAsia="zh-TW"/>
              </w:rPr>
              <w:t>（平均）</w:t>
            </w:r>
          </w:p>
        </w:tc>
      </w:tr>
      <w:tr w:rsidR="00C8624D" w:rsidRPr="00CA7301" w14:paraId="1789F97D" w14:textId="77777777" w:rsidTr="00877D8D">
        <w:trPr>
          <w:cantSplit/>
          <w:trHeight w:val="285"/>
        </w:trPr>
        <w:tc>
          <w:tcPr>
            <w:tcW w:w="6521" w:type="dxa"/>
            <w:gridSpan w:val="2"/>
            <w:tcBorders>
              <w:top w:val="single" w:sz="6" w:space="0" w:color="auto"/>
              <w:left w:val="nil"/>
              <w:bottom w:val="single" w:sz="6" w:space="0" w:color="BCBDBC"/>
              <w:right w:val="nil"/>
            </w:tcBorders>
            <w:shd w:val="clear" w:color="auto" w:fill="A6A6A6" w:themeFill="background1" w:themeFillShade="A6"/>
          </w:tcPr>
          <w:p w14:paraId="609F45CD" w14:textId="77777777" w:rsidR="00C8624D" w:rsidRPr="00CA7301" w:rsidRDefault="00C8624D" w:rsidP="00D540EB">
            <w:pPr>
              <w:numPr>
                <w:ilvl w:val="0"/>
                <w:numId w:val="3"/>
              </w:numPr>
              <w:snapToGrid w:val="0"/>
              <w:spacing w:before="40" w:after="40"/>
              <w:ind w:rightChars="71" w:right="142"/>
              <w:rPr>
                <w:rFonts w:cs="Segoe UI"/>
                <w:b/>
                <w:sz w:val="17"/>
                <w:lang w:eastAsia="it-IT"/>
              </w:rPr>
            </w:pPr>
            <w:r w:rsidRPr="00CA7301">
              <w:rPr>
                <w:rFonts w:eastAsia="細明體" w:cs="Segoe UI"/>
                <w:b/>
                <w:sz w:val="17"/>
                <w:lang w:eastAsia="it-IT"/>
              </w:rPr>
              <w:t>優質流動資產</w:t>
            </w:r>
          </w:p>
        </w:tc>
        <w:tc>
          <w:tcPr>
            <w:tcW w:w="1346" w:type="dxa"/>
            <w:tcBorders>
              <w:top w:val="single" w:sz="6" w:space="0" w:color="auto"/>
              <w:left w:val="nil"/>
              <w:bottom w:val="single" w:sz="6" w:space="0" w:color="BCBDBC"/>
              <w:right w:val="nil"/>
            </w:tcBorders>
            <w:shd w:val="clear" w:color="auto" w:fill="A6A6A6" w:themeFill="background1" w:themeFillShade="A6"/>
          </w:tcPr>
          <w:p w14:paraId="5945C507"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nil"/>
              <w:bottom w:val="single" w:sz="6" w:space="0" w:color="BCBDBC"/>
              <w:right w:val="single" w:sz="4" w:space="0" w:color="auto"/>
            </w:tcBorders>
            <w:shd w:val="clear" w:color="auto" w:fill="A6A6A6" w:themeFill="background1" w:themeFillShade="A6"/>
          </w:tcPr>
          <w:p w14:paraId="64A48B89" w14:textId="77777777" w:rsidR="00C8624D" w:rsidRPr="00CA7301" w:rsidRDefault="00C8624D" w:rsidP="00C8624D">
            <w:pPr>
              <w:snapToGrid w:val="0"/>
              <w:spacing w:before="40" w:after="40"/>
              <w:rPr>
                <w:rFonts w:cs="Segoe UI"/>
                <w:sz w:val="17"/>
                <w:lang w:eastAsia="it-IT"/>
              </w:rPr>
            </w:pPr>
          </w:p>
        </w:tc>
      </w:tr>
      <w:tr w:rsidR="00C8624D" w:rsidRPr="00CA7301" w14:paraId="139A3A5E" w14:textId="77777777" w:rsidTr="00966A83">
        <w:trPr>
          <w:cantSplit/>
          <w:trHeight w:val="285"/>
        </w:trPr>
        <w:tc>
          <w:tcPr>
            <w:tcW w:w="567" w:type="dxa"/>
            <w:tcBorders>
              <w:top w:val="single" w:sz="6" w:space="0" w:color="auto"/>
              <w:left w:val="nil"/>
              <w:bottom w:val="single" w:sz="6" w:space="0" w:color="auto"/>
              <w:right w:val="single" w:sz="6" w:space="0" w:color="auto"/>
            </w:tcBorders>
            <w:shd w:val="clear" w:color="auto" w:fill="auto"/>
          </w:tcPr>
          <w:p w14:paraId="2334E769"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9E670F" w14:textId="77777777" w:rsidR="00C8624D" w:rsidRPr="00CA7301" w:rsidRDefault="00C8624D" w:rsidP="00C8624D">
            <w:pPr>
              <w:snapToGrid w:val="0"/>
              <w:spacing w:before="40" w:after="40"/>
              <w:ind w:left="57" w:rightChars="71" w:right="142"/>
              <w:rPr>
                <w:rFonts w:cs="Segoe UI"/>
                <w:sz w:val="17"/>
                <w:lang w:val="en-US" w:eastAsia="it-IT"/>
              </w:rPr>
            </w:pPr>
            <w:r w:rsidRPr="00CA7301">
              <w:rPr>
                <w:rFonts w:eastAsia="細明體" w:cs="Segoe UI"/>
                <w:sz w:val="17"/>
                <w:szCs w:val="17"/>
                <w:lang w:eastAsia="zh-TW"/>
              </w:rPr>
              <w:t>優質流動資產</w:t>
            </w:r>
            <w:r w:rsidRPr="00CA7301">
              <w:rPr>
                <w:rFonts w:eastAsia="細明體" w:cs="Segoe UI"/>
                <w:sz w:val="17"/>
                <w:szCs w:val="17"/>
                <w:lang w:eastAsia="zh-TW"/>
              </w:rPr>
              <w:t>(</w:t>
            </w:r>
            <w:r w:rsidRPr="00CA7301">
              <w:rPr>
                <w:rFonts w:cs="Segoe UI"/>
                <w:sz w:val="17"/>
                <w:lang w:eastAsia="it-IT"/>
              </w:rPr>
              <w:t>HQLA</w:t>
            </w:r>
            <w:r w:rsidRPr="00CA7301">
              <w:rPr>
                <w:rFonts w:eastAsiaTheme="minorEastAsia" w:cs="Segoe UI"/>
                <w:sz w:val="17"/>
                <w:lang w:eastAsia="zh-TW"/>
              </w:rPr>
              <w:t>)</w:t>
            </w:r>
            <w:r w:rsidRPr="00CA7301">
              <w:rPr>
                <w:rFonts w:eastAsiaTheme="minorEastAsia" w:cs="Segoe UI"/>
                <w:sz w:val="17"/>
                <w:lang w:eastAsia="zh-TW"/>
              </w:rPr>
              <w:t>總額</w:t>
            </w:r>
          </w:p>
        </w:tc>
        <w:tc>
          <w:tcPr>
            <w:tcW w:w="1346"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3AE481F7" w14:textId="77777777" w:rsidR="00C8624D" w:rsidRPr="00CA7301" w:rsidRDefault="00C8624D" w:rsidP="00C8624D">
            <w:pPr>
              <w:snapToGrid w:val="0"/>
              <w:spacing w:before="40" w:after="40"/>
              <w:rPr>
                <w:rFonts w:cs="Segoe UI"/>
                <w:sz w:val="17"/>
                <w:lang w:val="en-US"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6B5AC090" w14:textId="77777777" w:rsidR="00C8624D" w:rsidRPr="00CA7301" w:rsidRDefault="00C8624D" w:rsidP="00C8624D">
            <w:pPr>
              <w:snapToGrid w:val="0"/>
              <w:spacing w:before="40" w:after="40"/>
              <w:rPr>
                <w:rFonts w:cs="Segoe UI"/>
                <w:sz w:val="17"/>
                <w:lang w:eastAsia="it-IT"/>
              </w:rPr>
            </w:pPr>
          </w:p>
        </w:tc>
      </w:tr>
      <w:tr w:rsidR="00C8624D" w:rsidRPr="00CA7301" w14:paraId="69276F2A" w14:textId="77777777" w:rsidTr="00877D8D">
        <w:trPr>
          <w:cantSplit/>
          <w:trHeight w:val="285"/>
        </w:trPr>
        <w:tc>
          <w:tcPr>
            <w:tcW w:w="6521" w:type="dxa"/>
            <w:gridSpan w:val="2"/>
            <w:tcBorders>
              <w:top w:val="single" w:sz="6" w:space="0" w:color="auto"/>
              <w:left w:val="nil"/>
              <w:bottom w:val="single" w:sz="4" w:space="0" w:color="auto"/>
              <w:right w:val="nil"/>
            </w:tcBorders>
            <w:shd w:val="clear" w:color="auto" w:fill="A6A6A6" w:themeFill="background1" w:themeFillShade="A6"/>
          </w:tcPr>
          <w:p w14:paraId="1EBDEAE9" w14:textId="77777777" w:rsidR="00C8624D" w:rsidRPr="00CA7301" w:rsidRDefault="00C8624D" w:rsidP="00D540EB">
            <w:pPr>
              <w:numPr>
                <w:ilvl w:val="0"/>
                <w:numId w:val="3"/>
              </w:numPr>
              <w:snapToGrid w:val="0"/>
              <w:spacing w:before="40" w:after="40"/>
              <w:ind w:rightChars="71" w:right="142"/>
              <w:rPr>
                <w:rFonts w:cs="Segoe UI"/>
                <w:b/>
                <w:sz w:val="17"/>
                <w:szCs w:val="17"/>
                <w:lang w:eastAsia="it-IT"/>
              </w:rPr>
            </w:pPr>
            <w:r w:rsidRPr="00CA7301">
              <w:rPr>
                <w:rFonts w:eastAsiaTheme="minorEastAsia" w:cs="Segoe UI"/>
                <w:b/>
                <w:sz w:val="17"/>
                <w:szCs w:val="17"/>
                <w:lang w:eastAsia="zh-TW"/>
              </w:rPr>
              <w:t>現金流出</w:t>
            </w:r>
          </w:p>
        </w:tc>
        <w:tc>
          <w:tcPr>
            <w:tcW w:w="1346" w:type="dxa"/>
            <w:tcBorders>
              <w:top w:val="single" w:sz="6" w:space="0" w:color="auto"/>
              <w:left w:val="nil"/>
              <w:bottom w:val="single" w:sz="4" w:space="0" w:color="auto"/>
              <w:right w:val="nil"/>
            </w:tcBorders>
            <w:shd w:val="clear" w:color="auto" w:fill="A6A6A6" w:themeFill="background1" w:themeFillShade="A6"/>
          </w:tcPr>
          <w:p w14:paraId="76E9C069"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nil"/>
              <w:bottom w:val="single" w:sz="4" w:space="0" w:color="auto"/>
              <w:right w:val="single" w:sz="4" w:space="0" w:color="auto"/>
            </w:tcBorders>
            <w:shd w:val="clear" w:color="auto" w:fill="A6A6A6" w:themeFill="background1" w:themeFillShade="A6"/>
          </w:tcPr>
          <w:p w14:paraId="00877F33" w14:textId="77777777" w:rsidR="00C8624D" w:rsidRPr="00CA7301" w:rsidRDefault="00C8624D" w:rsidP="00C8624D">
            <w:pPr>
              <w:snapToGrid w:val="0"/>
              <w:spacing w:before="40" w:after="40"/>
              <w:rPr>
                <w:rFonts w:cs="Segoe UI"/>
                <w:sz w:val="17"/>
                <w:lang w:eastAsia="it-IT"/>
              </w:rPr>
            </w:pPr>
          </w:p>
        </w:tc>
      </w:tr>
      <w:tr w:rsidR="00C8624D" w:rsidRPr="00CA7301" w14:paraId="5A6A34BC" w14:textId="77777777" w:rsidTr="00966A83">
        <w:trPr>
          <w:cantSplit/>
          <w:trHeight w:val="270"/>
        </w:trPr>
        <w:tc>
          <w:tcPr>
            <w:tcW w:w="567" w:type="dxa"/>
            <w:tcBorders>
              <w:top w:val="single" w:sz="4" w:space="0" w:color="auto"/>
              <w:left w:val="nil"/>
              <w:bottom w:val="single" w:sz="6" w:space="0" w:color="BCBDBC"/>
              <w:right w:val="single" w:sz="6" w:space="0" w:color="auto"/>
            </w:tcBorders>
            <w:shd w:val="clear" w:color="auto" w:fill="auto"/>
          </w:tcPr>
          <w:p w14:paraId="28E07B79"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2</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ED8E66" w14:textId="77777777" w:rsidR="00C8624D" w:rsidRPr="00CA7301" w:rsidRDefault="00C8624D" w:rsidP="00C8624D">
            <w:pPr>
              <w:snapToGrid w:val="0"/>
              <w:spacing w:before="40" w:after="40"/>
              <w:ind w:rightChars="71" w:right="142"/>
              <w:rPr>
                <w:rFonts w:cs="Segoe UI"/>
                <w:sz w:val="17"/>
                <w:lang w:eastAsia="it-IT"/>
              </w:rPr>
            </w:pPr>
            <w:r w:rsidRPr="00CA7301">
              <w:rPr>
                <w:rFonts w:eastAsiaTheme="minorEastAsia" w:cs="Segoe UI"/>
                <w:sz w:val="17"/>
                <w:lang w:eastAsia="zh-TW"/>
              </w:rPr>
              <w:t xml:space="preserve"> </w:t>
            </w:r>
            <w:r w:rsidRPr="00CA7301">
              <w:rPr>
                <w:rFonts w:eastAsiaTheme="minorEastAsia" w:cs="Segoe UI"/>
                <w:sz w:val="17"/>
                <w:lang w:eastAsia="zh-TW"/>
              </w:rPr>
              <w:t>零售存款及</w:t>
            </w:r>
            <w:r w:rsidRPr="00CA7301">
              <w:rPr>
                <w:rFonts w:eastAsia="細明體" w:cs="Segoe UI"/>
                <w:sz w:val="17"/>
                <w:lang w:eastAsia="it-IT"/>
              </w:rPr>
              <w:t>小型企業借款</w:t>
            </w:r>
            <w:r w:rsidRPr="00CA7301">
              <w:rPr>
                <w:rFonts w:eastAsia="細明體" w:cs="Segoe UI"/>
                <w:sz w:val="17"/>
                <w:lang w:eastAsia="zh-TW"/>
              </w:rPr>
              <w:t>，其中：</w:t>
            </w:r>
          </w:p>
        </w:tc>
        <w:tc>
          <w:tcPr>
            <w:tcW w:w="1346"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27CB6CC" w14:textId="77777777" w:rsidR="00C8624D" w:rsidRPr="00CA7301" w:rsidRDefault="00C8624D" w:rsidP="00C8624D">
            <w:pPr>
              <w:snapToGrid w:val="0"/>
              <w:spacing w:before="40" w:after="40"/>
              <w:rPr>
                <w:rFonts w:cs="Segoe UI"/>
                <w:sz w:val="17"/>
                <w:lang w:eastAsia="it-IT"/>
              </w:rPr>
            </w:pPr>
          </w:p>
        </w:tc>
        <w:tc>
          <w:tcPr>
            <w:tcW w:w="1347"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57D7E7C" w14:textId="77777777" w:rsidR="00C8624D" w:rsidRPr="00CA7301" w:rsidRDefault="00C8624D" w:rsidP="00C8624D">
            <w:pPr>
              <w:snapToGrid w:val="0"/>
              <w:spacing w:before="40" w:after="40"/>
              <w:rPr>
                <w:rFonts w:cs="Segoe UI"/>
                <w:sz w:val="17"/>
                <w:lang w:eastAsia="it-IT"/>
              </w:rPr>
            </w:pPr>
          </w:p>
        </w:tc>
      </w:tr>
      <w:tr w:rsidR="00C8624D" w:rsidRPr="00CA7301" w14:paraId="15031959"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3775FA65"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3</w:t>
            </w:r>
          </w:p>
        </w:tc>
        <w:tc>
          <w:tcPr>
            <w:tcW w:w="5954" w:type="dxa"/>
            <w:tcBorders>
              <w:top w:val="single" w:sz="6" w:space="0" w:color="auto"/>
              <w:left w:val="single" w:sz="6" w:space="0" w:color="auto"/>
              <w:bottom w:val="single" w:sz="6" w:space="0" w:color="BCBDBC"/>
              <w:right w:val="single" w:sz="6" w:space="0" w:color="auto"/>
            </w:tcBorders>
          </w:tcPr>
          <w:p w14:paraId="4413D653" w14:textId="77777777" w:rsidR="00C8624D" w:rsidRPr="00CA7301" w:rsidRDefault="00C8624D" w:rsidP="00C8624D">
            <w:pPr>
              <w:snapToGrid w:val="0"/>
              <w:spacing w:before="40" w:after="40"/>
              <w:ind w:left="284" w:rightChars="71" w:right="142"/>
              <w:rPr>
                <w:rFonts w:cs="Segoe UI"/>
                <w:sz w:val="17"/>
                <w:lang w:val="en-US" w:eastAsia="it-IT"/>
              </w:rPr>
            </w:pPr>
            <w:r w:rsidRPr="00CA7301">
              <w:rPr>
                <w:rFonts w:eastAsiaTheme="minorEastAsia" w:cs="Segoe UI"/>
                <w:i/>
                <w:sz w:val="17"/>
                <w:lang w:eastAsia="zh-TW"/>
              </w:rPr>
              <w:t>穩定零售存款及穩定</w:t>
            </w:r>
            <w:r w:rsidRPr="00CA7301">
              <w:rPr>
                <w:rFonts w:eastAsia="細明體" w:cs="Segoe UI"/>
                <w:i/>
                <w:sz w:val="17"/>
                <w:lang w:eastAsia="it-IT"/>
              </w:rPr>
              <w:t>小型企業借款</w:t>
            </w:r>
          </w:p>
        </w:tc>
        <w:tc>
          <w:tcPr>
            <w:tcW w:w="1346" w:type="dxa"/>
            <w:tcBorders>
              <w:top w:val="single" w:sz="6" w:space="0" w:color="auto"/>
              <w:left w:val="single" w:sz="6" w:space="0" w:color="auto"/>
              <w:bottom w:val="single" w:sz="6" w:space="0" w:color="BCBDBC"/>
              <w:right w:val="single" w:sz="6" w:space="0" w:color="auto"/>
            </w:tcBorders>
          </w:tcPr>
          <w:p w14:paraId="4811FBA1"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BCBDBC"/>
              <w:right w:val="single" w:sz="4" w:space="0" w:color="auto"/>
            </w:tcBorders>
          </w:tcPr>
          <w:p w14:paraId="74EF2248" w14:textId="77777777" w:rsidR="00C8624D" w:rsidRPr="00CA7301" w:rsidRDefault="00C8624D" w:rsidP="00C8624D">
            <w:pPr>
              <w:snapToGrid w:val="0"/>
              <w:spacing w:before="40" w:after="40"/>
              <w:rPr>
                <w:rFonts w:cs="Segoe UI"/>
                <w:sz w:val="17"/>
                <w:lang w:eastAsia="it-IT"/>
              </w:rPr>
            </w:pPr>
          </w:p>
        </w:tc>
      </w:tr>
      <w:tr w:rsidR="00C8624D" w:rsidRPr="00CA7301" w14:paraId="1FC7C2EF"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32F0221B"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4</w:t>
            </w:r>
          </w:p>
        </w:tc>
        <w:tc>
          <w:tcPr>
            <w:tcW w:w="5954" w:type="dxa"/>
            <w:tcBorders>
              <w:top w:val="single" w:sz="6" w:space="0" w:color="BCBDBC"/>
              <w:left w:val="single" w:sz="6" w:space="0" w:color="auto"/>
              <w:bottom w:val="single" w:sz="6" w:space="0" w:color="BCBDBC"/>
              <w:right w:val="single" w:sz="6" w:space="0" w:color="auto"/>
            </w:tcBorders>
          </w:tcPr>
          <w:p w14:paraId="4159372E" w14:textId="77777777" w:rsidR="00C8624D" w:rsidRPr="00CA7301" w:rsidRDefault="00C8624D" w:rsidP="00C8624D">
            <w:pPr>
              <w:snapToGrid w:val="0"/>
              <w:spacing w:before="40" w:after="40"/>
              <w:ind w:left="284" w:rightChars="71" w:right="142"/>
              <w:rPr>
                <w:rFonts w:cs="Segoe UI"/>
                <w:i/>
                <w:sz w:val="17"/>
                <w:lang w:eastAsia="it-IT"/>
              </w:rPr>
            </w:pPr>
            <w:r w:rsidRPr="00CA7301">
              <w:rPr>
                <w:rFonts w:eastAsia="細明體" w:cs="Segoe UI"/>
                <w:i/>
                <w:sz w:val="17"/>
                <w:lang w:eastAsia="it-IT"/>
              </w:rPr>
              <w:t>較不穩定零售存款</w:t>
            </w:r>
            <w:r w:rsidRPr="00CA7301">
              <w:rPr>
                <w:rFonts w:eastAsia="細明體" w:cs="Segoe UI"/>
                <w:i/>
                <w:sz w:val="17"/>
                <w:lang w:eastAsia="zh-TW"/>
              </w:rPr>
              <w:t>及</w:t>
            </w:r>
            <w:r w:rsidRPr="00CA7301">
              <w:rPr>
                <w:rFonts w:eastAsia="細明體" w:cs="Segoe UI"/>
                <w:i/>
                <w:sz w:val="17"/>
                <w:lang w:eastAsia="it-IT"/>
              </w:rPr>
              <w:t>較不穩定小型企業借款</w:t>
            </w:r>
          </w:p>
        </w:tc>
        <w:tc>
          <w:tcPr>
            <w:tcW w:w="1346" w:type="dxa"/>
            <w:tcBorders>
              <w:top w:val="single" w:sz="6" w:space="0" w:color="BCBDBC"/>
              <w:left w:val="single" w:sz="6" w:space="0" w:color="auto"/>
              <w:bottom w:val="single" w:sz="6" w:space="0" w:color="BCBDBC"/>
              <w:right w:val="single" w:sz="6" w:space="0" w:color="auto"/>
            </w:tcBorders>
          </w:tcPr>
          <w:p w14:paraId="16A6C398"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BCBDBC"/>
              <w:left w:val="single" w:sz="6" w:space="0" w:color="auto"/>
              <w:bottom w:val="single" w:sz="6" w:space="0" w:color="BCBDBC"/>
              <w:right w:val="single" w:sz="4" w:space="0" w:color="auto"/>
            </w:tcBorders>
          </w:tcPr>
          <w:p w14:paraId="16AA5691" w14:textId="77777777" w:rsidR="00C8624D" w:rsidRPr="00CA7301" w:rsidRDefault="00C8624D" w:rsidP="00C8624D">
            <w:pPr>
              <w:snapToGrid w:val="0"/>
              <w:spacing w:before="40" w:after="40"/>
              <w:rPr>
                <w:rFonts w:cs="Segoe UI"/>
                <w:sz w:val="17"/>
                <w:lang w:eastAsia="it-IT"/>
              </w:rPr>
            </w:pPr>
          </w:p>
        </w:tc>
      </w:tr>
      <w:tr w:rsidR="00C8624D" w:rsidRPr="00CA7301" w14:paraId="4E946CAB"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4D8DFE86"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4a</w:t>
            </w:r>
          </w:p>
        </w:tc>
        <w:tc>
          <w:tcPr>
            <w:tcW w:w="5954" w:type="dxa"/>
            <w:tcBorders>
              <w:top w:val="single" w:sz="6" w:space="0" w:color="BCBDBC"/>
              <w:left w:val="single" w:sz="6" w:space="0" w:color="auto"/>
              <w:bottom w:val="single" w:sz="6" w:space="0" w:color="auto"/>
              <w:right w:val="single" w:sz="6" w:space="0" w:color="auto"/>
            </w:tcBorders>
          </w:tcPr>
          <w:p w14:paraId="5B6A4141" w14:textId="77777777" w:rsidR="00C8624D" w:rsidRPr="00CA7301" w:rsidRDefault="00C8624D" w:rsidP="00C8624D">
            <w:pPr>
              <w:snapToGrid w:val="0"/>
              <w:spacing w:before="40" w:after="40"/>
              <w:ind w:left="284" w:rightChars="71" w:right="142"/>
              <w:rPr>
                <w:rFonts w:eastAsiaTheme="minorEastAsia" w:cs="Segoe UI"/>
                <w:i/>
                <w:sz w:val="17"/>
                <w:lang w:eastAsia="zh-TW"/>
              </w:rPr>
            </w:pPr>
            <w:r w:rsidRPr="00CA7301">
              <w:rPr>
                <w:rFonts w:eastAsiaTheme="minorEastAsia" w:cs="Segoe UI"/>
                <w:i/>
                <w:sz w:val="17"/>
                <w:lang w:eastAsia="zh-TW"/>
              </w:rPr>
              <w:t>零售定期存款及</w:t>
            </w:r>
            <w:r w:rsidRPr="00CA7301">
              <w:rPr>
                <w:rFonts w:eastAsia="細明體" w:cs="Segoe UI"/>
                <w:i/>
                <w:sz w:val="17"/>
                <w:lang w:eastAsia="it-IT"/>
              </w:rPr>
              <w:t>小型企業</w:t>
            </w:r>
            <w:r w:rsidRPr="00CA7301">
              <w:rPr>
                <w:rFonts w:eastAsia="細明體" w:cs="Segoe UI"/>
                <w:i/>
                <w:sz w:val="17"/>
                <w:lang w:eastAsia="zh-TW"/>
              </w:rPr>
              <w:t>定期</w:t>
            </w:r>
            <w:r w:rsidRPr="00CA7301">
              <w:rPr>
                <w:rFonts w:eastAsia="細明體" w:cs="Segoe UI"/>
                <w:i/>
                <w:sz w:val="17"/>
                <w:lang w:eastAsia="it-IT"/>
              </w:rPr>
              <w:t>借款</w:t>
            </w:r>
          </w:p>
        </w:tc>
        <w:tc>
          <w:tcPr>
            <w:tcW w:w="1346" w:type="dxa"/>
            <w:tcBorders>
              <w:top w:val="single" w:sz="6" w:space="0" w:color="BCBDBC"/>
              <w:left w:val="single" w:sz="6" w:space="0" w:color="auto"/>
              <w:bottom w:val="single" w:sz="6" w:space="0" w:color="auto"/>
              <w:right w:val="single" w:sz="6" w:space="0" w:color="auto"/>
            </w:tcBorders>
          </w:tcPr>
          <w:p w14:paraId="16564E01"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BCBDBC"/>
              <w:left w:val="single" w:sz="6" w:space="0" w:color="auto"/>
              <w:bottom w:val="single" w:sz="6" w:space="0" w:color="auto"/>
              <w:right w:val="single" w:sz="4" w:space="0" w:color="auto"/>
            </w:tcBorders>
          </w:tcPr>
          <w:p w14:paraId="07FB4BB7" w14:textId="77777777" w:rsidR="00C8624D" w:rsidRPr="00CA7301" w:rsidRDefault="00C8624D" w:rsidP="00C8624D">
            <w:pPr>
              <w:snapToGrid w:val="0"/>
              <w:spacing w:before="40" w:after="40"/>
              <w:rPr>
                <w:rFonts w:cs="Segoe UI"/>
                <w:sz w:val="17"/>
                <w:lang w:eastAsia="it-IT"/>
              </w:rPr>
            </w:pPr>
          </w:p>
        </w:tc>
      </w:tr>
      <w:tr w:rsidR="00C8624D" w:rsidRPr="00CA7301" w14:paraId="13139DB4" w14:textId="77777777" w:rsidTr="00966A83">
        <w:trPr>
          <w:cantSplit/>
          <w:trHeight w:val="270"/>
        </w:trPr>
        <w:tc>
          <w:tcPr>
            <w:tcW w:w="567" w:type="dxa"/>
            <w:tcBorders>
              <w:top w:val="single" w:sz="6" w:space="0" w:color="BCBDBC"/>
              <w:left w:val="nil"/>
              <w:bottom w:val="single" w:sz="6" w:space="0" w:color="BCBDBC"/>
              <w:right w:val="single" w:sz="6" w:space="0" w:color="auto"/>
            </w:tcBorders>
            <w:shd w:val="clear" w:color="auto" w:fill="auto"/>
          </w:tcPr>
          <w:p w14:paraId="2F19B703"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5</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8EAE3B" w14:textId="77777777" w:rsidR="00C8624D" w:rsidRPr="00CA7301" w:rsidRDefault="00C8624D" w:rsidP="00C8624D">
            <w:pPr>
              <w:snapToGrid w:val="0"/>
              <w:spacing w:before="40" w:after="40"/>
              <w:ind w:left="57" w:rightChars="71" w:right="142"/>
              <w:rPr>
                <w:rFonts w:cs="Segoe UI"/>
                <w:sz w:val="17"/>
                <w:lang w:val="en-US" w:eastAsia="it-IT"/>
              </w:rPr>
            </w:pPr>
            <w:r w:rsidRPr="00CA7301">
              <w:rPr>
                <w:rFonts w:eastAsia="細明體" w:cs="Segoe UI"/>
                <w:sz w:val="17"/>
                <w:lang w:eastAsia="it-IT"/>
              </w:rPr>
              <w:t>無抵押批發借款</w:t>
            </w:r>
            <w:r w:rsidRPr="00CA7301">
              <w:rPr>
                <w:rFonts w:eastAsiaTheme="minorEastAsia" w:cs="Segoe UI"/>
                <w:sz w:val="17"/>
                <w:lang w:eastAsia="zh-TW"/>
              </w:rPr>
              <w:t>（小型企業借款除外</w:t>
            </w:r>
            <w:r w:rsidRPr="00CA7301">
              <w:rPr>
                <w:rFonts w:eastAsia="細明體" w:cs="Segoe UI"/>
                <w:sz w:val="17"/>
                <w:lang w:eastAsia="it-IT"/>
              </w:rPr>
              <w:t>）</w:t>
            </w:r>
            <w:r w:rsidRPr="00CA7301">
              <w:rPr>
                <w:rFonts w:eastAsiaTheme="minorEastAsia" w:cs="Segoe UI"/>
                <w:sz w:val="17"/>
                <w:lang w:eastAsia="zh-TW"/>
              </w:rPr>
              <w:t>及</w:t>
            </w:r>
            <w:r w:rsidRPr="00CA7301">
              <w:rPr>
                <w:rFonts w:eastAsia="細明體" w:cs="Segoe UI"/>
                <w:sz w:val="17"/>
                <w:lang w:eastAsia="it-IT"/>
              </w:rPr>
              <w:t>認可機構</w:t>
            </w:r>
            <w:r w:rsidRPr="00CA7301">
              <w:rPr>
                <w:rFonts w:eastAsia="細明體" w:cs="Segoe UI"/>
                <w:sz w:val="17"/>
                <w:lang w:eastAsia="zh-TW"/>
              </w:rPr>
              <w:t>發行的</w:t>
            </w:r>
            <w:r w:rsidRPr="00CA7301">
              <w:rPr>
                <w:rFonts w:eastAsia="細明體" w:cs="Segoe UI"/>
                <w:sz w:val="17"/>
                <w:lang w:eastAsia="it-IT"/>
              </w:rPr>
              <w:t>債務證券及訂明票據</w:t>
            </w:r>
            <w:r w:rsidRPr="00CA7301">
              <w:rPr>
                <w:rFonts w:eastAsia="細明體" w:cs="Segoe UI"/>
                <w:sz w:val="17"/>
                <w:lang w:eastAsia="zh-TW"/>
              </w:rPr>
              <w:t>，其中：</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BED37D"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07C45C3F" w14:textId="77777777" w:rsidR="00C8624D" w:rsidRPr="00CA7301" w:rsidRDefault="00C8624D" w:rsidP="00C8624D">
            <w:pPr>
              <w:snapToGrid w:val="0"/>
              <w:spacing w:before="40" w:after="40"/>
              <w:rPr>
                <w:rFonts w:cs="Segoe UI"/>
                <w:sz w:val="17"/>
                <w:lang w:eastAsia="it-IT"/>
              </w:rPr>
            </w:pPr>
          </w:p>
        </w:tc>
      </w:tr>
      <w:tr w:rsidR="00C8624D" w:rsidRPr="00CA7301" w14:paraId="6616B635"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7295BA6F"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6</w:t>
            </w:r>
          </w:p>
        </w:tc>
        <w:tc>
          <w:tcPr>
            <w:tcW w:w="5954" w:type="dxa"/>
            <w:tcBorders>
              <w:top w:val="single" w:sz="6" w:space="0" w:color="auto"/>
              <w:left w:val="single" w:sz="6" w:space="0" w:color="auto"/>
              <w:bottom w:val="single" w:sz="6" w:space="0" w:color="BCBDBC"/>
              <w:right w:val="single" w:sz="6" w:space="0" w:color="auto"/>
            </w:tcBorders>
          </w:tcPr>
          <w:p w14:paraId="751E2F6E" w14:textId="77777777" w:rsidR="00C8624D" w:rsidRPr="00CA7301" w:rsidRDefault="00C8624D" w:rsidP="00C8624D">
            <w:pPr>
              <w:snapToGrid w:val="0"/>
              <w:spacing w:before="40" w:after="40"/>
              <w:ind w:left="284" w:rightChars="71" w:right="142"/>
              <w:rPr>
                <w:rFonts w:cs="Segoe UI"/>
                <w:i/>
                <w:sz w:val="17"/>
                <w:lang w:eastAsia="it-IT"/>
              </w:rPr>
            </w:pPr>
            <w:r w:rsidRPr="00CA7301">
              <w:rPr>
                <w:rFonts w:eastAsiaTheme="minorEastAsia" w:cs="Segoe UI"/>
                <w:i/>
                <w:sz w:val="17"/>
                <w:lang w:eastAsia="zh-TW"/>
              </w:rPr>
              <w:t>營運存款</w:t>
            </w:r>
          </w:p>
        </w:tc>
        <w:tc>
          <w:tcPr>
            <w:tcW w:w="1346" w:type="dxa"/>
            <w:tcBorders>
              <w:top w:val="single" w:sz="6" w:space="0" w:color="auto"/>
              <w:left w:val="single" w:sz="6" w:space="0" w:color="auto"/>
              <w:bottom w:val="single" w:sz="6" w:space="0" w:color="BCBDBC"/>
              <w:right w:val="single" w:sz="6" w:space="0" w:color="auto"/>
            </w:tcBorders>
          </w:tcPr>
          <w:p w14:paraId="220E7996"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BCBDBC"/>
              <w:right w:val="single" w:sz="4" w:space="0" w:color="auto"/>
            </w:tcBorders>
          </w:tcPr>
          <w:p w14:paraId="205B3541" w14:textId="77777777" w:rsidR="00C8624D" w:rsidRPr="00CA7301" w:rsidRDefault="00C8624D" w:rsidP="00C8624D">
            <w:pPr>
              <w:snapToGrid w:val="0"/>
              <w:spacing w:before="40" w:after="40"/>
              <w:rPr>
                <w:rFonts w:cs="Segoe UI"/>
                <w:sz w:val="17"/>
                <w:lang w:eastAsia="it-IT"/>
              </w:rPr>
            </w:pPr>
          </w:p>
        </w:tc>
      </w:tr>
      <w:tr w:rsidR="00C8624D" w:rsidRPr="00CA7301" w14:paraId="7BC21826"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105906EB"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7</w:t>
            </w:r>
          </w:p>
        </w:tc>
        <w:tc>
          <w:tcPr>
            <w:tcW w:w="5954" w:type="dxa"/>
            <w:tcBorders>
              <w:top w:val="single" w:sz="6" w:space="0" w:color="BCBDBC"/>
              <w:left w:val="single" w:sz="6" w:space="0" w:color="auto"/>
              <w:bottom w:val="single" w:sz="6" w:space="0" w:color="BCBDBC"/>
              <w:right w:val="single" w:sz="6" w:space="0" w:color="auto"/>
            </w:tcBorders>
          </w:tcPr>
          <w:p w14:paraId="426B1BEB" w14:textId="77777777" w:rsidR="00C8624D" w:rsidRPr="00CA7301" w:rsidRDefault="00C8624D" w:rsidP="00C8624D">
            <w:pPr>
              <w:snapToGrid w:val="0"/>
              <w:spacing w:before="40" w:after="40"/>
              <w:ind w:left="284" w:rightChars="71" w:right="142"/>
              <w:rPr>
                <w:rFonts w:cs="Segoe UI"/>
                <w:i/>
                <w:sz w:val="17"/>
                <w:lang w:eastAsia="it-IT"/>
              </w:rPr>
            </w:pPr>
            <w:r w:rsidRPr="00CA7301">
              <w:rPr>
                <w:rFonts w:eastAsia="細明體" w:cs="Segoe UI"/>
                <w:i/>
                <w:sz w:val="17"/>
                <w:lang w:eastAsia="zh-TW"/>
              </w:rPr>
              <w:t>第</w:t>
            </w:r>
            <w:r w:rsidRPr="00CA7301">
              <w:rPr>
                <w:rFonts w:eastAsia="細明體" w:cs="Segoe UI"/>
                <w:i/>
                <w:sz w:val="17"/>
                <w:lang w:eastAsia="zh-TW"/>
              </w:rPr>
              <w:t>6</w:t>
            </w:r>
            <w:r w:rsidRPr="00CA7301">
              <w:rPr>
                <w:rFonts w:eastAsia="細明體" w:cs="Segoe UI"/>
                <w:i/>
                <w:sz w:val="17"/>
                <w:lang w:eastAsia="zh-TW"/>
              </w:rPr>
              <w:t>行未涵蓋的</w:t>
            </w:r>
            <w:r w:rsidRPr="00CA7301">
              <w:rPr>
                <w:rFonts w:eastAsia="細明體" w:cs="Segoe UI"/>
                <w:i/>
                <w:sz w:val="17"/>
                <w:lang w:eastAsia="it-IT"/>
              </w:rPr>
              <w:t>無抵押批發借款（小型企業借款除外）</w:t>
            </w:r>
          </w:p>
        </w:tc>
        <w:tc>
          <w:tcPr>
            <w:tcW w:w="1346" w:type="dxa"/>
            <w:tcBorders>
              <w:top w:val="single" w:sz="6" w:space="0" w:color="BCBDBC"/>
              <w:left w:val="single" w:sz="6" w:space="0" w:color="auto"/>
              <w:bottom w:val="single" w:sz="6" w:space="0" w:color="BCBDBC"/>
              <w:right w:val="single" w:sz="6" w:space="0" w:color="auto"/>
            </w:tcBorders>
          </w:tcPr>
          <w:p w14:paraId="221AE934"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BCBDBC"/>
              <w:left w:val="single" w:sz="6" w:space="0" w:color="auto"/>
              <w:bottom w:val="single" w:sz="6" w:space="0" w:color="BCBDBC"/>
              <w:right w:val="single" w:sz="4" w:space="0" w:color="auto"/>
            </w:tcBorders>
          </w:tcPr>
          <w:p w14:paraId="7D7139C4" w14:textId="77777777" w:rsidR="00C8624D" w:rsidRPr="00CA7301" w:rsidRDefault="00C8624D" w:rsidP="00C8624D">
            <w:pPr>
              <w:snapToGrid w:val="0"/>
              <w:spacing w:before="40" w:after="40"/>
              <w:rPr>
                <w:rFonts w:cs="Segoe UI"/>
                <w:sz w:val="17"/>
                <w:lang w:eastAsia="it-IT"/>
              </w:rPr>
            </w:pPr>
          </w:p>
        </w:tc>
      </w:tr>
      <w:tr w:rsidR="00C8624D" w:rsidRPr="00CA7301" w14:paraId="6B9B722D"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6025650F"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8</w:t>
            </w:r>
          </w:p>
        </w:tc>
        <w:tc>
          <w:tcPr>
            <w:tcW w:w="5954" w:type="dxa"/>
            <w:tcBorders>
              <w:top w:val="single" w:sz="6" w:space="0" w:color="BCBDBC"/>
              <w:left w:val="single" w:sz="6" w:space="0" w:color="auto"/>
              <w:bottom w:val="single" w:sz="6" w:space="0" w:color="auto"/>
              <w:right w:val="single" w:sz="6" w:space="0" w:color="auto"/>
            </w:tcBorders>
          </w:tcPr>
          <w:p w14:paraId="15A2E903" w14:textId="77777777" w:rsidR="00C8624D" w:rsidRPr="00CA7301" w:rsidRDefault="00C8624D" w:rsidP="00C8624D">
            <w:pPr>
              <w:snapToGrid w:val="0"/>
              <w:spacing w:before="40" w:after="40"/>
              <w:ind w:left="284" w:rightChars="71" w:right="142"/>
              <w:rPr>
                <w:rFonts w:cs="Segoe UI"/>
                <w:i/>
                <w:sz w:val="17"/>
                <w:lang w:eastAsia="it-IT"/>
              </w:rPr>
            </w:pPr>
            <w:r w:rsidRPr="00CA7301">
              <w:rPr>
                <w:rFonts w:eastAsia="細明體" w:cs="Segoe UI"/>
                <w:i/>
                <w:sz w:val="17"/>
                <w:lang w:eastAsia="it-IT"/>
              </w:rPr>
              <w:t>由</w:t>
            </w:r>
            <w:r w:rsidRPr="00CA7301">
              <w:rPr>
                <w:rFonts w:eastAsia="細明體" w:cs="Segoe UI"/>
                <w:i/>
                <w:sz w:val="17"/>
                <w:lang w:eastAsia="zh-TW"/>
              </w:rPr>
              <w:t>認可</w:t>
            </w:r>
            <w:r w:rsidRPr="00CA7301">
              <w:rPr>
                <w:rFonts w:eastAsia="細明體" w:cs="Segoe UI"/>
                <w:i/>
                <w:sz w:val="17"/>
                <w:lang w:eastAsia="it-IT"/>
              </w:rPr>
              <w:t>機構發行並可在</w:t>
            </w:r>
            <w:r w:rsidRPr="00CA7301">
              <w:rPr>
                <w:rFonts w:cs="Segoe UI"/>
                <w:i/>
                <w:sz w:val="17"/>
                <w:lang w:eastAsia="it-IT"/>
              </w:rPr>
              <w:t>LCR</w:t>
            </w:r>
            <w:r w:rsidRPr="00CA7301">
              <w:rPr>
                <w:rFonts w:eastAsia="細明體" w:cs="Segoe UI"/>
                <w:i/>
                <w:sz w:val="17"/>
                <w:lang w:eastAsia="it-IT"/>
              </w:rPr>
              <w:t>涵蓋時期內贖回的債務證券及訂明票據</w:t>
            </w:r>
          </w:p>
        </w:tc>
        <w:tc>
          <w:tcPr>
            <w:tcW w:w="1346" w:type="dxa"/>
            <w:tcBorders>
              <w:top w:val="single" w:sz="6" w:space="0" w:color="BCBDBC"/>
              <w:left w:val="single" w:sz="6" w:space="0" w:color="auto"/>
              <w:bottom w:val="single" w:sz="6" w:space="0" w:color="auto"/>
              <w:right w:val="single" w:sz="6" w:space="0" w:color="auto"/>
            </w:tcBorders>
          </w:tcPr>
          <w:p w14:paraId="25D1D588"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BCBDBC"/>
              <w:left w:val="single" w:sz="6" w:space="0" w:color="auto"/>
              <w:bottom w:val="single" w:sz="6" w:space="0" w:color="auto"/>
              <w:right w:val="single" w:sz="4" w:space="0" w:color="auto"/>
            </w:tcBorders>
          </w:tcPr>
          <w:p w14:paraId="7DF99A25" w14:textId="77777777" w:rsidR="00C8624D" w:rsidRPr="00CA7301" w:rsidRDefault="00C8624D" w:rsidP="00C8624D">
            <w:pPr>
              <w:snapToGrid w:val="0"/>
              <w:spacing w:before="40" w:after="40"/>
              <w:rPr>
                <w:rFonts w:cs="Segoe UI"/>
                <w:sz w:val="17"/>
                <w:lang w:eastAsia="it-IT"/>
              </w:rPr>
            </w:pPr>
          </w:p>
        </w:tc>
      </w:tr>
      <w:tr w:rsidR="00C8624D" w:rsidRPr="00CA7301" w14:paraId="432A7504"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4578288D"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9</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B87AF9" w14:textId="77777777" w:rsidR="00C8624D" w:rsidRPr="00CA7301" w:rsidRDefault="00C8624D" w:rsidP="00C8624D">
            <w:pPr>
              <w:snapToGrid w:val="0"/>
              <w:spacing w:before="40" w:after="40"/>
              <w:ind w:left="57" w:rightChars="71" w:right="142"/>
              <w:rPr>
                <w:rFonts w:eastAsiaTheme="minorEastAsia" w:cs="Segoe UI"/>
                <w:sz w:val="17"/>
                <w:lang w:eastAsia="zh-TW"/>
              </w:rPr>
            </w:pPr>
            <w:r w:rsidRPr="00CA7301">
              <w:rPr>
                <w:rFonts w:eastAsia="細明體" w:cs="Segoe UI"/>
                <w:sz w:val="17"/>
                <w:lang w:eastAsia="it-IT"/>
              </w:rPr>
              <w:t>有抵押借款交易（包括證券掉期交易）</w:t>
            </w:r>
          </w:p>
        </w:tc>
        <w:tc>
          <w:tcPr>
            <w:tcW w:w="1346"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19525C74"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07B19840" w14:textId="77777777" w:rsidR="00C8624D" w:rsidRPr="00CA7301" w:rsidRDefault="00C8624D" w:rsidP="00C8624D">
            <w:pPr>
              <w:snapToGrid w:val="0"/>
              <w:spacing w:before="40" w:after="40"/>
              <w:rPr>
                <w:rFonts w:cs="Segoe UI"/>
                <w:sz w:val="17"/>
                <w:lang w:eastAsia="it-IT"/>
              </w:rPr>
            </w:pPr>
          </w:p>
        </w:tc>
      </w:tr>
      <w:tr w:rsidR="00C8624D" w:rsidRPr="00CA7301" w14:paraId="1709BF53" w14:textId="77777777" w:rsidTr="00966A83">
        <w:trPr>
          <w:cantSplit/>
          <w:trHeight w:val="270"/>
        </w:trPr>
        <w:tc>
          <w:tcPr>
            <w:tcW w:w="567" w:type="dxa"/>
            <w:tcBorders>
              <w:top w:val="single" w:sz="6" w:space="0" w:color="BCBDBC"/>
              <w:left w:val="nil"/>
              <w:bottom w:val="single" w:sz="6" w:space="0" w:color="BCBDBC"/>
              <w:right w:val="single" w:sz="6" w:space="0" w:color="auto"/>
            </w:tcBorders>
            <w:shd w:val="clear" w:color="auto" w:fill="auto"/>
          </w:tcPr>
          <w:p w14:paraId="4ED7E2E9"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10</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28D0EC" w14:textId="77777777" w:rsidR="00C8624D" w:rsidRPr="00CA7301" w:rsidRDefault="00C8624D" w:rsidP="00C8624D">
            <w:pPr>
              <w:snapToGrid w:val="0"/>
              <w:spacing w:before="40" w:after="40"/>
              <w:ind w:left="57" w:rightChars="71" w:right="142"/>
              <w:rPr>
                <w:rFonts w:cs="Segoe UI"/>
                <w:sz w:val="17"/>
                <w:lang w:eastAsia="it-IT"/>
              </w:rPr>
            </w:pPr>
            <w:r w:rsidRPr="00CA7301">
              <w:rPr>
                <w:rFonts w:eastAsiaTheme="minorEastAsia" w:cs="Segoe UI"/>
                <w:sz w:val="17"/>
                <w:lang w:eastAsia="zh-TW"/>
              </w:rPr>
              <w:t>額外規定，其中：</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E3C420"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77E7EA05" w14:textId="77777777" w:rsidR="00C8624D" w:rsidRPr="00CA7301" w:rsidRDefault="00C8624D" w:rsidP="00C8624D">
            <w:pPr>
              <w:snapToGrid w:val="0"/>
              <w:spacing w:before="40" w:after="40"/>
              <w:rPr>
                <w:rFonts w:cs="Segoe UI"/>
                <w:sz w:val="17"/>
                <w:lang w:eastAsia="it-IT"/>
              </w:rPr>
            </w:pPr>
          </w:p>
        </w:tc>
      </w:tr>
      <w:tr w:rsidR="00C8624D" w:rsidRPr="00CA7301" w14:paraId="35156206"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6BFD9037"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11</w:t>
            </w:r>
          </w:p>
        </w:tc>
        <w:tc>
          <w:tcPr>
            <w:tcW w:w="5954" w:type="dxa"/>
            <w:tcBorders>
              <w:top w:val="single" w:sz="6" w:space="0" w:color="auto"/>
              <w:left w:val="single" w:sz="6" w:space="0" w:color="auto"/>
              <w:bottom w:val="single" w:sz="6" w:space="0" w:color="BCBDBC"/>
              <w:right w:val="single" w:sz="6" w:space="0" w:color="auto"/>
            </w:tcBorders>
          </w:tcPr>
          <w:p w14:paraId="79928F9A" w14:textId="77777777" w:rsidR="00C8624D" w:rsidRPr="00CA7301" w:rsidRDefault="00C8624D" w:rsidP="00C8624D">
            <w:pPr>
              <w:snapToGrid w:val="0"/>
              <w:spacing w:before="40" w:after="40"/>
              <w:ind w:left="284" w:rightChars="71" w:right="142"/>
              <w:rPr>
                <w:rFonts w:cs="Segoe UI"/>
                <w:i/>
                <w:sz w:val="17"/>
                <w:lang w:eastAsia="it-IT"/>
              </w:rPr>
            </w:pPr>
            <w:r w:rsidRPr="00CA7301">
              <w:rPr>
                <w:rFonts w:eastAsia="細明體" w:cs="Segoe UI"/>
                <w:i/>
                <w:sz w:val="17"/>
                <w:lang w:eastAsia="it-IT"/>
              </w:rPr>
              <w:t>衍生工具合約</w:t>
            </w:r>
            <w:r w:rsidRPr="00CA7301">
              <w:rPr>
                <w:rFonts w:eastAsia="細明體" w:cs="Segoe UI"/>
                <w:i/>
                <w:sz w:val="17"/>
                <w:lang w:eastAsia="zh-TW"/>
              </w:rPr>
              <w:t>及其他交易</w:t>
            </w:r>
            <w:r w:rsidR="0051406F" w:rsidRPr="00CA7301">
              <w:rPr>
                <w:rFonts w:eastAsia="細明體" w:cs="Segoe UI"/>
                <w:i/>
                <w:sz w:val="17"/>
                <w:lang w:eastAsia="zh-TW"/>
              </w:rPr>
              <w:t>所</w:t>
            </w:r>
            <w:r w:rsidRPr="00CA7301">
              <w:rPr>
                <w:rFonts w:eastAsia="細明體" w:cs="Segoe UI"/>
                <w:i/>
                <w:sz w:val="17"/>
                <w:lang w:eastAsia="it-IT"/>
              </w:rPr>
              <w:t>產生的現金流出</w:t>
            </w:r>
            <w:r w:rsidRPr="00CA7301">
              <w:rPr>
                <w:rFonts w:eastAsia="細明體" w:cs="Segoe UI"/>
                <w:i/>
                <w:sz w:val="17"/>
                <w:lang w:eastAsia="zh-TW"/>
              </w:rPr>
              <w:t>，以及</w:t>
            </w:r>
            <w:r w:rsidRPr="00CA7301">
              <w:rPr>
                <w:rFonts w:eastAsiaTheme="minorEastAsia" w:cs="Segoe UI"/>
                <w:i/>
                <w:sz w:val="17"/>
                <w:lang w:eastAsia="zh-TW"/>
              </w:rPr>
              <w:t>相關</w:t>
            </w:r>
            <w:r w:rsidRPr="00CA7301">
              <w:rPr>
                <w:rFonts w:eastAsia="細明體" w:cs="Segoe UI"/>
                <w:i/>
                <w:sz w:val="17"/>
                <w:lang w:eastAsia="it-IT"/>
              </w:rPr>
              <w:t>抵押品規定所</w:t>
            </w:r>
            <w:r w:rsidRPr="00CA7301">
              <w:rPr>
                <w:rFonts w:eastAsia="細明體" w:cs="Segoe UI"/>
                <w:i/>
                <w:sz w:val="17"/>
                <w:lang w:eastAsia="zh-TW"/>
              </w:rPr>
              <w:t>產生的</w:t>
            </w:r>
            <w:r w:rsidRPr="00CA7301">
              <w:rPr>
                <w:rFonts w:eastAsia="細明體" w:cs="Segoe UI"/>
                <w:i/>
                <w:sz w:val="17"/>
                <w:lang w:eastAsia="it-IT"/>
              </w:rPr>
              <w:t>額外流動性需要</w:t>
            </w:r>
          </w:p>
        </w:tc>
        <w:tc>
          <w:tcPr>
            <w:tcW w:w="1346" w:type="dxa"/>
            <w:tcBorders>
              <w:top w:val="single" w:sz="6" w:space="0" w:color="auto"/>
              <w:left w:val="single" w:sz="6" w:space="0" w:color="auto"/>
              <w:bottom w:val="single" w:sz="6" w:space="0" w:color="BCBDBC"/>
              <w:right w:val="single" w:sz="6" w:space="0" w:color="auto"/>
            </w:tcBorders>
          </w:tcPr>
          <w:p w14:paraId="069C1071"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BCBDBC"/>
              <w:right w:val="single" w:sz="4" w:space="0" w:color="auto"/>
            </w:tcBorders>
          </w:tcPr>
          <w:p w14:paraId="2C2F7E84" w14:textId="77777777" w:rsidR="00C8624D" w:rsidRPr="00CA7301" w:rsidRDefault="00C8624D" w:rsidP="00C8624D">
            <w:pPr>
              <w:snapToGrid w:val="0"/>
              <w:spacing w:before="40" w:after="40"/>
              <w:rPr>
                <w:rFonts w:cs="Segoe UI"/>
                <w:sz w:val="17"/>
                <w:lang w:eastAsia="it-IT"/>
              </w:rPr>
            </w:pPr>
          </w:p>
        </w:tc>
      </w:tr>
      <w:tr w:rsidR="00C8624D" w:rsidRPr="00CA7301" w14:paraId="0A9E0025"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105E5261"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12</w:t>
            </w:r>
          </w:p>
        </w:tc>
        <w:tc>
          <w:tcPr>
            <w:tcW w:w="5954" w:type="dxa"/>
            <w:tcBorders>
              <w:top w:val="single" w:sz="6" w:space="0" w:color="BCBDBC"/>
              <w:left w:val="single" w:sz="6" w:space="0" w:color="auto"/>
              <w:bottom w:val="single" w:sz="6" w:space="0" w:color="BCBDBC"/>
              <w:right w:val="single" w:sz="6" w:space="0" w:color="auto"/>
            </w:tcBorders>
          </w:tcPr>
          <w:p w14:paraId="0D8B10AF" w14:textId="77777777" w:rsidR="00C8624D" w:rsidRPr="00CA7301" w:rsidRDefault="00C8624D" w:rsidP="00C8624D">
            <w:pPr>
              <w:snapToGrid w:val="0"/>
              <w:spacing w:before="40" w:after="40"/>
              <w:ind w:left="284" w:rightChars="71" w:right="142"/>
              <w:rPr>
                <w:rFonts w:cs="Segoe UI"/>
                <w:i/>
                <w:sz w:val="17"/>
                <w:lang w:eastAsia="it-IT"/>
              </w:rPr>
            </w:pPr>
            <w:r w:rsidRPr="00CA7301">
              <w:rPr>
                <w:rFonts w:eastAsia="細明體" w:cs="Segoe UI"/>
                <w:i/>
                <w:sz w:val="17"/>
                <w:lang w:eastAsia="it-IT"/>
              </w:rPr>
              <w:t>因結構式金融交易</w:t>
            </w:r>
            <w:r w:rsidR="0051406F" w:rsidRPr="00CA7301">
              <w:rPr>
                <w:rFonts w:eastAsia="細明體" w:cs="Segoe UI"/>
                <w:i/>
                <w:sz w:val="17"/>
                <w:lang w:eastAsia="zh-TW"/>
              </w:rPr>
              <w:t>下</w:t>
            </w:r>
            <w:r w:rsidRPr="00CA7301">
              <w:rPr>
                <w:rFonts w:eastAsia="細明體" w:cs="Segoe UI"/>
                <w:i/>
                <w:sz w:val="17"/>
                <w:lang w:eastAsia="zh-TW"/>
              </w:rPr>
              <w:t>的義務及</w:t>
            </w:r>
            <w:r w:rsidRPr="00CA7301">
              <w:rPr>
                <w:rFonts w:eastAsia="細明體" w:cs="Segoe UI"/>
                <w:i/>
                <w:sz w:val="17"/>
                <w:lang w:eastAsia="it-IT"/>
              </w:rPr>
              <w:t>因</w:t>
            </w:r>
            <w:r w:rsidRPr="00CA7301">
              <w:rPr>
                <w:rFonts w:eastAsia="細明體" w:cs="Segoe UI"/>
                <w:i/>
                <w:sz w:val="17"/>
                <w:lang w:eastAsia="zh-TW"/>
              </w:rPr>
              <w:t>付還從該等交易取得的借款而產生的現金流出</w:t>
            </w:r>
          </w:p>
        </w:tc>
        <w:tc>
          <w:tcPr>
            <w:tcW w:w="1346" w:type="dxa"/>
            <w:tcBorders>
              <w:top w:val="single" w:sz="6" w:space="0" w:color="BCBDBC"/>
              <w:left w:val="single" w:sz="6" w:space="0" w:color="auto"/>
              <w:bottom w:val="single" w:sz="6" w:space="0" w:color="BCBDBC"/>
              <w:right w:val="single" w:sz="6" w:space="0" w:color="auto"/>
            </w:tcBorders>
          </w:tcPr>
          <w:p w14:paraId="2B0BBAF4"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BCBDBC"/>
              <w:left w:val="single" w:sz="6" w:space="0" w:color="auto"/>
              <w:bottom w:val="single" w:sz="6" w:space="0" w:color="BCBDBC"/>
              <w:right w:val="single" w:sz="4" w:space="0" w:color="auto"/>
            </w:tcBorders>
          </w:tcPr>
          <w:p w14:paraId="7C0FF103" w14:textId="77777777" w:rsidR="00C8624D" w:rsidRPr="00CA7301" w:rsidRDefault="00C8624D" w:rsidP="00C8624D">
            <w:pPr>
              <w:snapToGrid w:val="0"/>
              <w:spacing w:before="40" w:after="40"/>
              <w:rPr>
                <w:rFonts w:cs="Segoe UI"/>
                <w:sz w:val="17"/>
                <w:lang w:eastAsia="it-IT"/>
              </w:rPr>
            </w:pPr>
          </w:p>
        </w:tc>
      </w:tr>
      <w:tr w:rsidR="00C8624D" w:rsidRPr="00CA7301" w14:paraId="6DA79FFE"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6A784F40"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13</w:t>
            </w:r>
          </w:p>
        </w:tc>
        <w:tc>
          <w:tcPr>
            <w:tcW w:w="5954" w:type="dxa"/>
            <w:tcBorders>
              <w:top w:val="single" w:sz="6" w:space="0" w:color="BCBDBC"/>
              <w:left w:val="single" w:sz="6" w:space="0" w:color="auto"/>
              <w:bottom w:val="single" w:sz="6" w:space="0" w:color="auto"/>
              <w:right w:val="single" w:sz="6" w:space="0" w:color="auto"/>
            </w:tcBorders>
          </w:tcPr>
          <w:p w14:paraId="248532DA" w14:textId="77777777" w:rsidR="00C8624D" w:rsidRPr="00CA7301" w:rsidDel="001C71B9" w:rsidRDefault="00C8624D" w:rsidP="00C8624D">
            <w:pPr>
              <w:snapToGrid w:val="0"/>
              <w:spacing w:before="40" w:after="40"/>
              <w:ind w:left="284" w:rightChars="71" w:right="142"/>
              <w:rPr>
                <w:rFonts w:cs="Segoe UI"/>
                <w:i/>
                <w:sz w:val="17"/>
                <w:lang w:eastAsia="zh-TW"/>
              </w:rPr>
            </w:pPr>
            <w:r w:rsidRPr="00CA7301">
              <w:rPr>
                <w:rFonts w:eastAsia="細明體" w:cs="Segoe UI"/>
                <w:i/>
                <w:sz w:val="17"/>
                <w:lang w:eastAsia="it-IT"/>
              </w:rPr>
              <w:t>未提取的有承諾融通（包括有承諾信貸融通及有承諾流動性融通）的潛在提取</w:t>
            </w:r>
          </w:p>
        </w:tc>
        <w:tc>
          <w:tcPr>
            <w:tcW w:w="1346" w:type="dxa"/>
            <w:tcBorders>
              <w:top w:val="single" w:sz="6" w:space="0" w:color="BCBDBC"/>
              <w:left w:val="single" w:sz="6" w:space="0" w:color="auto"/>
              <w:bottom w:val="single" w:sz="6" w:space="0" w:color="auto"/>
              <w:right w:val="single" w:sz="6" w:space="0" w:color="auto"/>
            </w:tcBorders>
          </w:tcPr>
          <w:p w14:paraId="24FC9E8D"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BCBDBC"/>
              <w:left w:val="single" w:sz="6" w:space="0" w:color="auto"/>
              <w:bottom w:val="single" w:sz="6" w:space="0" w:color="auto"/>
              <w:right w:val="single" w:sz="4" w:space="0" w:color="auto"/>
            </w:tcBorders>
          </w:tcPr>
          <w:p w14:paraId="0A5B5A66" w14:textId="77777777" w:rsidR="00C8624D" w:rsidRPr="00CA7301" w:rsidRDefault="00C8624D" w:rsidP="00C8624D">
            <w:pPr>
              <w:snapToGrid w:val="0"/>
              <w:spacing w:before="40" w:after="40"/>
              <w:rPr>
                <w:rFonts w:cs="Segoe UI"/>
                <w:sz w:val="17"/>
                <w:lang w:eastAsia="it-IT"/>
              </w:rPr>
            </w:pPr>
          </w:p>
        </w:tc>
      </w:tr>
      <w:tr w:rsidR="00C8624D" w:rsidRPr="00CA7301" w14:paraId="50B5B510"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52B1C22B"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14</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2BEDF" w14:textId="77777777" w:rsidR="00C8624D" w:rsidRPr="00CA7301" w:rsidRDefault="00C8624D" w:rsidP="00C8624D">
            <w:pPr>
              <w:snapToGrid w:val="0"/>
              <w:spacing w:before="40" w:after="40"/>
              <w:ind w:left="57" w:rightChars="71" w:right="142"/>
              <w:rPr>
                <w:rFonts w:cs="Segoe UI"/>
                <w:sz w:val="17"/>
                <w:lang w:val="en-US" w:eastAsia="zh-TW"/>
              </w:rPr>
            </w:pPr>
            <w:r w:rsidRPr="00CA7301">
              <w:rPr>
                <w:rFonts w:eastAsia="細明體" w:cs="Segoe UI"/>
                <w:sz w:val="17"/>
                <w:lang w:eastAsia="zh-TW"/>
              </w:rPr>
              <w:t>合約借出義務（</w:t>
            </w:r>
            <w:r w:rsidRPr="00CA7301">
              <w:rPr>
                <w:rFonts w:eastAsia="細明體" w:cs="Segoe UI"/>
                <w:sz w:val="17"/>
                <w:lang w:eastAsia="zh-TW"/>
              </w:rPr>
              <w:t>B</w:t>
            </w:r>
            <w:r w:rsidRPr="00CA7301">
              <w:rPr>
                <w:rFonts w:eastAsia="細明體" w:cs="Segoe UI"/>
                <w:sz w:val="17"/>
                <w:lang w:eastAsia="zh-TW"/>
              </w:rPr>
              <w:t>節未以其他方式涵蓋）及其他合約現金流出</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111CEC"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6C8F4E24" w14:textId="77777777" w:rsidR="00C8624D" w:rsidRPr="00CA7301" w:rsidRDefault="00C8624D" w:rsidP="00C8624D">
            <w:pPr>
              <w:snapToGrid w:val="0"/>
              <w:spacing w:before="40" w:after="40"/>
              <w:rPr>
                <w:rFonts w:cs="Segoe UI"/>
                <w:sz w:val="17"/>
                <w:lang w:eastAsia="it-IT"/>
              </w:rPr>
            </w:pPr>
          </w:p>
        </w:tc>
      </w:tr>
      <w:tr w:rsidR="00C8624D" w:rsidRPr="00CA7301" w14:paraId="24EB856E"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65EFF58F"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15</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AC6B7B" w14:textId="77777777" w:rsidR="00C8624D" w:rsidRPr="00CA7301" w:rsidRDefault="00C8624D" w:rsidP="00C8624D">
            <w:pPr>
              <w:snapToGrid w:val="0"/>
              <w:spacing w:before="40" w:after="40"/>
              <w:ind w:left="57" w:rightChars="71" w:right="142"/>
              <w:rPr>
                <w:rFonts w:cs="Segoe UI"/>
                <w:sz w:val="17"/>
                <w:lang w:val="en-US" w:eastAsia="it-IT"/>
              </w:rPr>
            </w:pPr>
            <w:r w:rsidRPr="00CA7301">
              <w:rPr>
                <w:rFonts w:eastAsia="細明體" w:cs="Segoe UI"/>
                <w:sz w:val="17"/>
                <w:lang w:eastAsia="it-IT"/>
              </w:rPr>
              <w:t>其他或有出資義務（不論合約或非合約義務）</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A4232E"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49E658DA" w14:textId="77777777" w:rsidR="00C8624D" w:rsidRPr="00CA7301" w:rsidRDefault="00C8624D" w:rsidP="00C8624D">
            <w:pPr>
              <w:snapToGrid w:val="0"/>
              <w:spacing w:before="40" w:after="40"/>
              <w:rPr>
                <w:rFonts w:cs="Segoe UI"/>
                <w:sz w:val="17"/>
                <w:lang w:eastAsia="it-IT"/>
              </w:rPr>
            </w:pPr>
          </w:p>
        </w:tc>
      </w:tr>
      <w:tr w:rsidR="00C8624D" w:rsidRPr="00CA7301" w14:paraId="5B5301BF" w14:textId="77777777" w:rsidTr="00966A83">
        <w:trPr>
          <w:cantSplit/>
          <w:trHeight w:val="270"/>
        </w:trPr>
        <w:tc>
          <w:tcPr>
            <w:tcW w:w="567" w:type="dxa"/>
            <w:tcBorders>
              <w:top w:val="single" w:sz="6" w:space="0" w:color="BCBDBC"/>
              <w:left w:val="nil"/>
              <w:bottom w:val="single" w:sz="6" w:space="0" w:color="auto"/>
              <w:right w:val="single" w:sz="6" w:space="0" w:color="auto"/>
            </w:tcBorders>
            <w:shd w:val="clear" w:color="auto" w:fill="auto"/>
          </w:tcPr>
          <w:p w14:paraId="7A6A8574"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16</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8EB1B1" w14:textId="77777777" w:rsidR="00C8624D" w:rsidRPr="00CA7301" w:rsidRDefault="00C8624D" w:rsidP="00C8624D">
            <w:pPr>
              <w:snapToGrid w:val="0"/>
              <w:spacing w:before="40" w:after="40"/>
              <w:ind w:left="57" w:rightChars="71" w:right="142"/>
              <w:rPr>
                <w:rFonts w:eastAsiaTheme="minorEastAsia" w:cs="Segoe UI"/>
                <w:b/>
                <w:sz w:val="17"/>
                <w:lang w:eastAsia="zh-TW"/>
              </w:rPr>
            </w:pPr>
            <w:r w:rsidRPr="00CA7301">
              <w:rPr>
                <w:rFonts w:eastAsiaTheme="minorEastAsia" w:cs="Segoe UI"/>
                <w:b/>
                <w:sz w:val="17"/>
                <w:lang w:eastAsia="zh-TW"/>
              </w:rPr>
              <w:t>現金流出總額</w:t>
            </w:r>
          </w:p>
        </w:tc>
        <w:tc>
          <w:tcPr>
            <w:tcW w:w="1346"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7443CB8F"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67E51B3E" w14:textId="77777777" w:rsidR="00C8624D" w:rsidRPr="00CA7301" w:rsidRDefault="00C8624D" w:rsidP="00C8624D">
            <w:pPr>
              <w:snapToGrid w:val="0"/>
              <w:spacing w:before="40" w:after="40"/>
              <w:rPr>
                <w:rFonts w:cs="Segoe UI"/>
                <w:sz w:val="17"/>
                <w:lang w:eastAsia="it-IT"/>
              </w:rPr>
            </w:pPr>
          </w:p>
        </w:tc>
      </w:tr>
      <w:tr w:rsidR="00C8624D" w:rsidRPr="00CA7301" w14:paraId="59B8EF78" w14:textId="77777777" w:rsidTr="00877D8D">
        <w:trPr>
          <w:cantSplit/>
          <w:trHeight w:val="270"/>
        </w:trPr>
        <w:tc>
          <w:tcPr>
            <w:tcW w:w="6521" w:type="dxa"/>
            <w:gridSpan w:val="2"/>
            <w:tcBorders>
              <w:top w:val="single" w:sz="6" w:space="0" w:color="auto"/>
              <w:left w:val="nil"/>
              <w:bottom w:val="single" w:sz="6" w:space="0" w:color="auto"/>
              <w:right w:val="nil"/>
            </w:tcBorders>
            <w:shd w:val="clear" w:color="auto" w:fill="A6A6A6" w:themeFill="background1" w:themeFillShade="A6"/>
          </w:tcPr>
          <w:p w14:paraId="1A76EFA1" w14:textId="77777777" w:rsidR="00C8624D" w:rsidRPr="00CA7301" w:rsidRDefault="00C8624D" w:rsidP="00D540EB">
            <w:pPr>
              <w:numPr>
                <w:ilvl w:val="0"/>
                <w:numId w:val="3"/>
              </w:numPr>
              <w:snapToGrid w:val="0"/>
              <w:spacing w:before="40" w:after="40"/>
              <w:ind w:rightChars="71" w:right="142"/>
              <w:rPr>
                <w:rFonts w:cs="Segoe UI"/>
                <w:b/>
                <w:bCs/>
                <w:sz w:val="17"/>
                <w:szCs w:val="17"/>
              </w:rPr>
            </w:pPr>
            <w:r w:rsidRPr="00CA7301">
              <w:rPr>
                <w:rFonts w:eastAsiaTheme="minorEastAsia" w:cs="Segoe UI"/>
                <w:b/>
                <w:sz w:val="17"/>
                <w:szCs w:val="17"/>
                <w:lang w:eastAsia="zh-TW"/>
              </w:rPr>
              <w:t>現金流入</w:t>
            </w:r>
          </w:p>
        </w:tc>
        <w:tc>
          <w:tcPr>
            <w:tcW w:w="1346" w:type="dxa"/>
            <w:tcBorders>
              <w:top w:val="single" w:sz="6" w:space="0" w:color="auto"/>
              <w:left w:val="nil"/>
              <w:bottom w:val="single" w:sz="6" w:space="0" w:color="auto"/>
              <w:right w:val="nil"/>
            </w:tcBorders>
            <w:shd w:val="clear" w:color="auto" w:fill="A6A6A6" w:themeFill="background1" w:themeFillShade="A6"/>
          </w:tcPr>
          <w:p w14:paraId="5FD3B4E6"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nil"/>
              <w:bottom w:val="single" w:sz="6" w:space="0" w:color="auto"/>
              <w:right w:val="single" w:sz="4" w:space="0" w:color="auto"/>
            </w:tcBorders>
            <w:shd w:val="clear" w:color="auto" w:fill="A6A6A6" w:themeFill="background1" w:themeFillShade="A6"/>
          </w:tcPr>
          <w:p w14:paraId="57CFCB59" w14:textId="77777777" w:rsidR="00C8624D" w:rsidRPr="00CA7301" w:rsidRDefault="00C8624D" w:rsidP="00C8624D">
            <w:pPr>
              <w:snapToGrid w:val="0"/>
              <w:spacing w:before="40" w:after="40"/>
              <w:rPr>
                <w:rFonts w:cs="Segoe UI"/>
                <w:sz w:val="17"/>
                <w:lang w:eastAsia="it-IT"/>
              </w:rPr>
            </w:pPr>
          </w:p>
        </w:tc>
      </w:tr>
      <w:tr w:rsidR="00C8624D" w:rsidRPr="00CA7301" w14:paraId="1AB6BC5E" w14:textId="77777777" w:rsidTr="00877D8D">
        <w:trPr>
          <w:cantSplit/>
          <w:trHeight w:val="270"/>
        </w:trPr>
        <w:tc>
          <w:tcPr>
            <w:tcW w:w="567" w:type="dxa"/>
            <w:tcBorders>
              <w:top w:val="single" w:sz="6" w:space="0" w:color="auto"/>
              <w:left w:val="nil"/>
              <w:bottom w:val="single" w:sz="6" w:space="0" w:color="BCBDBC"/>
              <w:right w:val="single" w:sz="6" w:space="0" w:color="auto"/>
            </w:tcBorders>
          </w:tcPr>
          <w:p w14:paraId="26C7BC24"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17</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8979FB" w14:textId="77777777" w:rsidR="00C8624D" w:rsidRPr="00CA7301" w:rsidRDefault="00C8624D" w:rsidP="00C8624D">
            <w:pPr>
              <w:snapToGrid w:val="0"/>
              <w:spacing w:before="40" w:after="40"/>
              <w:ind w:left="57" w:rightChars="71" w:right="142"/>
              <w:rPr>
                <w:rFonts w:cs="Segoe UI"/>
                <w:sz w:val="17"/>
                <w:lang w:eastAsia="it-IT"/>
              </w:rPr>
            </w:pPr>
            <w:r w:rsidRPr="00CA7301">
              <w:rPr>
                <w:rFonts w:eastAsia="細明體" w:cs="Segoe UI"/>
                <w:sz w:val="17"/>
                <w:lang w:eastAsia="it-IT"/>
              </w:rPr>
              <w:t>有抵押借出交易（包括證券掉期交易）</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198845" w14:textId="77777777" w:rsidR="00C8624D" w:rsidRPr="00CA7301" w:rsidRDefault="00C8624D" w:rsidP="00C8624D">
            <w:pPr>
              <w:snapToGrid w:val="0"/>
              <w:spacing w:before="40" w:after="40"/>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7E8DA318" w14:textId="77777777" w:rsidR="00C8624D" w:rsidRPr="00CA7301" w:rsidRDefault="00C8624D" w:rsidP="00C8624D">
            <w:pPr>
              <w:snapToGrid w:val="0"/>
              <w:spacing w:before="40" w:after="40"/>
              <w:rPr>
                <w:rFonts w:cs="Segoe UI"/>
                <w:sz w:val="17"/>
                <w:lang w:eastAsia="it-IT"/>
              </w:rPr>
            </w:pPr>
          </w:p>
        </w:tc>
      </w:tr>
      <w:tr w:rsidR="00C8624D" w:rsidRPr="00CA7301" w14:paraId="31400E6E"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6F65244F"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18</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2ED374" w14:textId="77777777" w:rsidR="00C8624D" w:rsidRPr="00CA7301" w:rsidRDefault="00C8624D" w:rsidP="00C8624D">
            <w:pPr>
              <w:snapToGrid w:val="0"/>
              <w:spacing w:before="40" w:after="40"/>
              <w:ind w:left="57" w:rightChars="71" w:right="142"/>
              <w:rPr>
                <w:rFonts w:cs="Segoe UI"/>
                <w:sz w:val="17"/>
                <w:lang w:eastAsia="it-IT"/>
              </w:rPr>
            </w:pPr>
            <w:r w:rsidRPr="00CA7301">
              <w:rPr>
                <w:rFonts w:eastAsia="細明體" w:cs="Segoe UI"/>
                <w:sz w:val="17"/>
                <w:lang w:eastAsia="it-IT"/>
              </w:rPr>
              <w:t>有抵押或無抵押貸款（</w:t>
            </w:r>
            <w:r w:rsidRPr="00CA7301">
              <w:rPr>
                <w:rFonts w:eastAsiaTheme="minorEastAsia" w:cs="Segoe UI"/>
                <w:sz w:val="17"/>
                <w:lang w:eastAsia="zh-TW"/>
              </w:rPr>
              <w:t>第</w:t>
            </w:r>
            <w:r w:rsidRPr="00CA7301">
              <w:rPr>
                <w:rFonts w:eastAsiaTheme="minorEastAsia" w:cs="Segoe UI"/>
                <w:sz w:val="17"/>
                <w:lang w:eastAsia="zh-TW"/>
              </w:rPr>
              <w:t>17</w:t>
            </w:r>
            <w:r w:rsidRPr="00CA7301">
              <w:rPr>
                <w:rFonts w:eastAsiaTheme="minorEastAsia" w:cs="Segoe UI"/>
                <w:sz w:val="17"/>
                <w:lang w:eastAsia="zh-TW"/>
              </w:rPr>
              <w:t>行涵蓋的</w:t>
            </w:r>
            <w:r w:rsidRPr="00CA7301">
              <w:rPr>
                <w:rFonts w:eastAsia="細明體" w:cs="Segoe UI"/>
                <w:sz w:val="17"/>
                <w:lang w:eastAsia="it-IT"/>
              </w:rPr>
              <w:t>有抵押借出交易除外）</w:t>
            </w:r>
            <w:r w:rsidRPr="00CA7301">
              <w:rPr>
                <w:rFonts w:eastAsiaTheme="minorEastAsia" w:cs="Segoe UI"/>
                <w:sz w:val="17"/>
                <w:lang w:eastAsia="zh-TW"/>
              </w:rPr>
              <w:t>及</w:t>
            </w:r>
            <w:r w:rsidRPr="00CA7301">
              <w:rPr>
                <w:rFonts w:eastAsia="細明體" w:cs="Segoe UI"/>
                <w:sz w:val="17"/>
                <w:lang w:eastAsia="it-IT"/>
              </w:rPr>
              <w:t>存於其他金融機構的營運存款</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72BA39" w14:textId="77777777" w:rsidR="00C8624D" w:rsidRPr="00CA7301" w:rsidRDefault="00C8624D" w:rsidP="00C8624D">
            <w:pPr>
              <w:snapToGrid w:val="0"/>
              <w:spacing w:before="40" w:after="40"/>
              <w:ind w:left="57"/>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555ECF35" w14:textId="77777777" w:rsidR="00C8624D" w:rsidRPr="00CA7301" w:rsidRDefault="00C8624D" w:rsidP="00C8624D">
            <w:pPr>
              <w:snapToGrid w:val="0"/>
              <w:spacing w:before="40" w:after="40"/>
              <w:rPr>
                <w:rFonts w:cs="Segoe UI"/>
                <w:sz w:val="17"/>
                <w:lang w:eastAsia="it-IT"/>
              </w:rPr>
            </w:pPr>
          </w:p>
        </w:tc>
      </w:tr>
      <w:tr w:rsidR="00C8624D" w:rsidRPr="00CA7301" w14:paraId="695206F9" w14:textId="77777777" w:rsidTr="00877D8D">
        <w:trPr>
          <w:cantSplit/>
          <w:trHeight w:val="270"/>
        </w:trPr>
        <w:tc>
          <w:tcPr>
            <w:tcW w:w="567" w:type="dxa"/>
            <w:tcBorders>
              <w:top w:val="single" w:sz="6" w:space="0" w:color="BCBDBC"/>
              <w:left w:val="nil"/>
              <w:bottom w:val="single" w:sz="6" w:space="0" w:color="BCBDBC"/>
              <w:right w:val="single" w:sz="6" w:space="0" w:color="auto"/>
            </w:tcBorders>
          </w:tcPr>
          <w:p w14:paraId="01765434"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19</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88F1E2" w14:textId="77777777" w:rsidR="00C8624D" w:rsidRPr="00CA7301" w:rsidRDefault="00C8624D" w:rsidP="00C8624D">
            <w:pPr>
              <w:snapToGrid w:val="0"/>
              <w:spacing w:before="40" w:after="40"/>
              <w:ind w:left="57" w:rightChars="71" w:right="142"/>
              <w:rPr>
                <w:rFonts w:cs="Segoe UI"/>
                <w:sz w:val="17"/>
                <w:lang w:eastAsia="it-IT"/>
              </w:rPr>
            </w:pPr>
            <w:r w:rsidRPr="00CA7301">
              <w:rPr>
                <w:rFonts w:eastAsiaTheme="minorEastAsia" w:cs="Segoe UI"/>
                <w:sz w:val="17"/>
                <w:lang w:eastAsia="zh-TW"/>
              </w:rPr>
              <w:t>其他現金流入</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B43E46" w14:textId="77777777" w:rsidR="00C8624D" w:rsidRPr="00CA7301" w:rsidRDefault="00C8624D" w:rsidP="00C8624D">
            <w:pPr>
              <w:snapToGrid w:val="0"/>
              <w:spacing w:before="40" w:after="40"/>
              <w:ind w:left="57"/>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48C5DA3C" w14:textId="77777777" w:rsidR="00C8624D" w:rsidRPr="00CA7301" w:rsidRDefault="00C8624D" w:rsidP="00C8624D">
            <w:pPr>
              <w:snapToGrid w:val="0"/>
              <w:spacing w:before="40" w:after="40"/>
              <w:rPr>
                <w:rFonts w:cs="Segoe UI"/>
                <w:sz w:val="17"/>
                <w:lang w:eastAsia="it-IT"/>
              </w:rPr>
            </w:pPr>
          </w:p>
        </w:tc>
      </w:tr>
      <w:tr w:rsidR="00C8624D" w:rsidRPr="00CA7301" w14:paraId="7FADE20A" w14:textId="77777777" w:rsidTr="00966A83">
        <w:trPr>
          <w:cantSplit/>
          <w:trHeight w:val="270"/>
        </w:trPr>
        <w:tc>
          <w:tcPr>
            <w:tcW w:w="567" w:type="dxa"/>
            <w:tcBorders>
              <w:top w:val="single" w:sz="6" w:space="0" w:color="BCBDBC"/>
              <w:left w:val="nil"/>
              <w:bottom w:val="single" w:sz="6" w:space="0" w:color="auto"/>
              <w:right w:val="single" w:sz="6" w:space="0" w:color="auto"/>
            </w:tcBorders>
            <w:shd w:val="clear" w:color="auto" w:fill="auto"/>
          </w:tcPr>
          <w:p w14:paraId="0AE27872"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20</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3355CD" w14:textId="77777777" w:rsidR="00C8624D" w:rsidRPr="00CA7301" w:rsidRDefault="00C8624D" w:rsidP="00C8624D">
            <w:pPr>
              <w:snapToGrid w:val="0"/>
              <w:spacing w:before="40" w:after="40"/>
              <w:ind w:left="57" w:rightChars="71" w:right="142"/>
              <w:rPr>
                <w:rFonts w:cs="Segoe UI"/>
                <w:sz w:val="17"/>
                <w:lang w:eastAsia="it-IT"/>
              </w:rPr>
            </w:pPr>
            <w:r w:rsidRPr="00CA7301">
              <w:rPr>
                <w:rFonts w:eastAsiaTheme="minorEastAsia" w:cs="Segoe UI"/>
                <w:b/>
                <w:sz w:val="17"/>
                <w:lang w:eastAsia="zh-TW"/>
              </w:rPr>
              <w:t>現金流入總額</w:t>
            </w:r>
          </w:p>
        </w:tc>
        <w:tc>
          <w:tcPr>
            <w:tcW w:w="13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6F6FA4" w14:textId="77777777" w:rsidR="00C8624D" w:rsidRPr="00CA7301" w:rsidRDefault="00C8624D" w:rsidP="00C8624D">
            <w:pPr>
              <w:snapToGrid w:val="0"/>
              <w:spacing w:before="40" w:after="40"/>
              <w:ind w:left="57"/>
              <w:rPr>
                <w:rFonts w:cs="Segoe UI"/>
                <w:sz w:val="17"/>
                <w:lang w:eastAsia="it-IT"/>
              </w:rPr>
            </w:pPr>
          </w:p>
        </w:tc>
        <w:tc>
          <w:tcPr>
            <w:tcW w:w="1347"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3F1ABC12" w14:textId="77777777" w:rsidR="00C8624D" w:rsidRPr="00CA7301" w:rsidRDefault="00C8624D" w:rsidP="00C8624D">
            <w:pPr>
              <w:snapToGrid w:val="0"/>
              <w:spacing w:before="40" w:after="40"/>
              <w:rPr>
                <w:rFonts w:cs="Segoe UI"/>
                <w:sz w:val="17"/>
                <w:lang w:eastAsia="it-IT"/>
              </w:rPr>
            </w:pPr>
          </w:p>
        </w:tc>
      </w:tr>
      <w:tr w:rsidR="00C8624D" w:rsidRPr="00CA7301" w14:paraId="6943ED61" w14:textId="77777777" w:rsidTr="00877D8D">
        <w:trPr>
          <w:cantSplit/>
          <w:trHeight w:val="270"/>
        </w:trPr>
        <w:tc>
          <w:tcPr>
            <w:tcW w:w="6521" w:type="dxa"/>
            <w:gridSpan w:val="2"/>
            <w:tcBorders>
              <w:top w:val="single" w:sz="6" w:space="0" w:color="auto"/>
              <w:left w:val="nil"/>
              <w:bottom w:val="single" w:sz="6" w:space="0" w:color="auto"/>
              <w:right w:val="nil"/>
            </w:tcBorders>
            <w:shd w:val="clear" w:color="auto" w:fill="A6A6A6" w:themeFill="background1" w:themeFillShade="A6"/>
          </w:tcPr>
          <w:p w14:paraId="4CC5A23A" w14:textId="77777777" w:rsidR="00C8624D" w:rsidRPr="00CA7301" w:rsidRDefault="00C8624D" w:rsidP="00D540EB">
            <w:pPr>
              <w:numPr>
                <w:ilvl w:val="0"/>
                <w:numId w:val="3"/>
              </w:numPr>
              <w:snapToGrid w:val="0"/>
              <w:spacing w:before="40" w:after="40"/>
              <w:ind w:rightChars="71" w:right="142"/>
              <w:rPr>
                <w:rFonts w:cs="Segoe UI"/>
                <w:b/>
                <w:sz w:val="17"/>
                <w:szCs w:val="17"/>
                <w:lang w:eastAsia="it-IT"/>
              </w:rPr>
            </w:pPr>
            <w:r w:rsidRPr="00CA7301">
              <w:rPr>
                <w:rFonts w:eastAsia="細明體" w:cs="Segoe UI"/>
                <w:b/>
                <w:sz w:val="17"/>
                <w:szCs w:val="17"/>
                <w:lang w:eastAsia="it-IT"/>
              </w:rPr>
              <w:t>LCR</w:t>
            </w:r>
          </w:p>
        </w:tc>
        <w:tc>
          <w:tcPr>
            <w:tcW w:w="1346" w:type="dxa"/>
            <w:tcBorders>
              <w:top w:val="single" w:sz="6" w:space="0" w:color="auto"/>
              <w:left w:val="nil"/>
              <w:bottom w:val="single" w:sz="6" w:space="0" w:color="auto"/>
              <w:right w:val="nil"/>
            </w:tcBorders>
            <w:shd w:val="clear" w:color="auto" w:fill="A6A6A6" w:themeFill="background1" w:themeFillShade="A6"/>
          </w:tcPr>
          <w:p w14:paraId="54ED6A01" w14:textId="77777777" w:rsidR="00C8624D" w:rsidRPr="00CA7301" w:rsidRDefault="00C8624D" w:rsidP="00C8624D">
            <w:pPr>
              <w:snapToGrid w:val="0"/>
              <w:spacing w:before="40" w:after="40"/>
              <w:ind w:left="57"/>
              <w:rPr>
                <w:rFonts w:cs="Segoe UI"/>
                <w:sz w:val="17"/>
                <w:lang w:eastAsia="it-IT"/>
              </w:rPr>
            </w:pPr>
          </w:p>
        </w:tc>
        <w:tc>
          <w:tcPr>
            <w:tcW w:w="1347" w:type="dxa"/>
            <w:tcBorders>
              <w:top w:val="single" w:sz="6" w:space="0" w:color="auto"/>
              <w:left w:val="nil"/>
              <w:bottom w:val="single" w:sz="6" w:space="0" w:color="auto"/>
              <w:right w:val="single" w:sz="6" w:space="0" w:color="auto"/>
            </w:tcBorders>
            <w:shd w:val="clear" w:color="auto" w:fill="A6A6A6" w:themeFill="background1" w:themeFillShade="A6"/>
          </w:tcPr>
          <w:p w14:paraId="33088786" w14:textId="77777777" w:rsidR="00C8624D" w:rsidRPr="00CA7301" w:rsidRDefault="00C8624D" w:rsidP="00C8624D">
            <w:pPr>
              <w:snapToGrid w:val="0"/>
              <w:spacing w:before="40" w:after="40"/>
              <w:jc w:val="center"/>
              <w:rPr>
                <w:rFonts w:cs="Segoe UI"/>
                <w:sz w:val="17"/>
                <w:lang w:eastAsia="it-IT"/>
              </w:rPr>
            </w:pPr>
            <w:r w:rsidRPr="00CA7301">
              <w:rPr>
                <w:rFonts w:eastAsiaTheme="minorEastAsia" w:cs="Segoe UI"/>
                <w:b/>
                <w:sz w:val="17"/>
                <w:lang w:eastAsia="zh-TW"/>
              </w:rPr>
              <w:t>經調整</w:t>
            </w:r>
            <w:r w:rsidRPr="00CA7301">
              <w:rPr>
                <w:rFonts w:eastAsiaTheme="minorEastAsia" w:cs="Segoe UI"/>
                <w:b/>
                <w:sz w:val="17"/>
              </w:rPr>
              <w:t>價</w:t>
            </w:r>
            <w:r w:rsidRPr="00CA7301">
              <w:rPr>
                <w:rFonts w:eastAsiaTheme="minorEastAsia" w:cs="Segoe UI"/>
                <w:b/>
                <w:sz w:val="17"/>
                <w:lang w:eastAsia="zh-TW"/>
              </w:rPr>
              <w:t>值</w:t>
            </w:r>
          </w:p>
        </w:tc>
      </w:tr>
      <w:tr w:rsidR="00C8624D" w:rsidRPr="00CA7301" w14:paraId="377DB42F" w14:textId="77777777" w:rsidTr="00966A83">
        <w:trPr>
          <w:cantSplit/>
          <w:trHeight w:val="270"/>
        </w:trPr>
        <w:tc>
          <w:tcPr>
            <w:tcW w:w="567" w:type="dxa"/>
            <w:tcBorders>
              <w:top w:val="single" w:sz="6" w:space="0" w:color="auto"/>
              <w:left w:val="nil"/>
              <w:bottom w:val="single" w:sz="6" w:space="0" w:color="auto"/>
              <w:right w:val="single" w:sz="6" w:space="0" w:color="auto"/>
            </w:tcBorders>
            <w:shd w:val="clear" w:color="auto" w:fill="auto"/>
          </w:tcPr>
          <w:p w14:paraId="6DF689F0"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21</w:t>
            </w:r>
          </w:p>
        </w:tc>
        <w:tc>
          <w:tcPr>
            <w:tcW w:w="5954"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2616A504" w14:textId="77777777" w:rsidR="00C8624D" w:rsidRPr="00CA7301" w:rsidRDefault="00C8624D" w:rsidP="00C8624D">
            <w:pPr>
              <w:snapToGrid w:val="0"/>
              <w:spacing w:before="40" w:after="40"/>
              <w:ind w:left="57" w:rightChars="71" w:right="142"/>
              <w:rPr>
                <w:rFonts w:cs="Segoe UI"/>
                <w:b/>
                <w:sz w:val="17"/>
                <w:lang w:eastAsia="it-IT"/>
              </w:rPr>
            </w:pPr>
            <w:r w:rsidRPr="00CA7301">
              <w:rPr>
                <w:rFonts w:cs="Segoe UI"/>
                <w:b/>
                <w:sz w:val="17"/>
                <w:lang w:eastAsia="it-IT"/>
              </w:rPr>
              <w:t>HQLA</w:t>
            </w:r>
            <w:r w:rsidRPr="00CA7301">
              <w:rPr>
                <w:rFonts w:eastAsiaTheme="minorEastAsia" w:cs="Segoe UI"/>
                <w:b/>
                <w:sz w:val="17"/>
                <w:lang w:eastAsia="zh-TW"/>
              </w:rPr>
              <w:t>總額</w:t>
            </w:r>
          </w:p>
        </w:tc>
        <w:tc>
          <w:tcPr>
            <w:tcW w:w="1346" w:type="dxa"/>
            <w:tcBorders>
              <w:top w:val="single" w:sz="6" w:space="0" w:color="auto"/>
              <w:left w:val="single" w:sz="4" w:space="0" w:color="auto"/>
              <w:bottom w:val="single" w:sz="6" w:space="0" w:color="auto"/>
              <w:right w:val="single" w:sz="4" w:space="0" w:color="auto"/>
            </w:tcBorders>
            <w:shd w:val="clear" w:color="auto" w:fill="808080" w:themeFill="background1" w:themeFillShade="80"/>
          </w:tcPr>
          <w:p w14:paraId="4DC5426D" w14:textId="77777777" w:rsidR="00C8624D" w:rsidRPr="00CA7301" w:rsidRDefault="00C8624D" w:rsidP="00C8624D">
            <w:pPr>
              <w:snapToGrid w:val="0"/>
              <w:spacing w:before="40" w:after="40"/>
              <w:ind w:left="57"/>
              <w:rPr>
                <w:rFonts w:cs="Segoe UI"/>
                <w:sz w:val="17"/>
                <w:lang w:eastAsia="it-IT"/>
              </w:rPr>
            </w:pPr>
          </w:p>
        </w:tc>
        <w:tc>
          <w:tcPr>
            <w:tcW w:w="1347"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23921D60" w14:textId="77777777" w:rsidR="00C8624D" w:rsidRPr="00CA7301" w:rsidRDefault="00C8624D" w:rsidP="00C8624D">
            <w:pPr>
              <w:snapToGrid w:val="0"/>
              <w:spacing w:before="40" w:after="40"/>
              <w:rPr>
                <w:rFonts w:cs="Segoe UI"/>
                <w:sz w:val="17"/>
                <w:lang w:eastAsia="it-IT"/>
              </w:rPr>
            </w:pPr>
          </w:p>
        </w:tc>
      </w:tr>
      <w:tr w:rsidR="00C8624D" w:rsidRPr="00CA7301" w14:paraId="342DA535" w14:textId="77777777" w:rsidTr="00966A83">
        <w:trPr>
          <w:cantSplit/>
          <w:trHeight w:val="270"/>
        </w:trPr>
        <w:tc>
          <w:tcPr>
            <w:tcW w:w="567" w:type="dxa"/>
            <w:tcBorders>
              <w:top w:val="single" w:sz="6" w:space="0" w:color="auto"/>
              <w:left w:val="nil"/>
              <w:bottom w:val="single" w:sz="6" w:space="0" w:color="auto"/>
              <w:right w:val="single" w:sz="6" w:space="0" w:color="auto"/>
            </w:tcBorders>
            <w:shd w:val="clear" w:color="auto" w:fill="auto"/>
          </w:tcPr>
          <w:p w14:paraId="6C762D6A"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22</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B91A25" w14:textId="77777777" w:rsidR="00C8624D" w:rsidRPr="00CA7301" w:rsidRDefault="00C8624D" w:rsidP="00C8624D">
            <w:pPr>
              <w:snapToGrid w:val="0"/>
              <w:spacing w:before="40" w:after="40"/>
              <w:ind w:left="57" w:rightChars="71" w:right="142"/>
              <w:rPr>
                <w:rFonts w:cs="Segoe UI"/>
                <w:b/>
                <w:sz w:val="17"/>
                <w:lang w:eastAsia="it-IT"/>
              </w:rPr>
            </w:pPr>
            <w:r w:rsidRPr="00CA7301">
              <w:rPr>
                <w:rFonts w:eastAsiaTheme="minorEastAsia" w:cs="Segoe UI"/>
                <w:b/>
                <w:sz w:val="17"/>
                <w:lang w:eastAsia="zh-TW"/>
              </w:rPr>
              <w:t>淨現金流出總額</w:t>
            </w:r>
          </w:p>
        </w:tc>
        <w:tc>
          <w:tcPr>
            <w:tcW w:w="1346"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342CC0CE" w14:textId="77777777" w:rsidR="00C8624D" w:rsidRPr="00CA7301" w:rsidRDefault="00C8624D" w:rsidP="00C8624D">
            <w:pPr>
              <w:snapToGrid w:val="0"/>
              <w:spacing w:before="40" w:after="40"/>
              <w:ind w:left="57"/>
              <w:rPr>
                <w:rFonts w:cs="Segoe UI"/>
                <w:sz w:val="17"/>
                <w:lang w:eastAsia="it-IT"/>
              </w:rPr>
            </w:pPr>
          </w:p>
        </w:tc>
        <w:tc>
          <w:tcPr>
            <w:tcW w:w="13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ED5DA0" w14:textId="77777777" w:rsidR="00C8624D" w:rsidRPr="00CA7301" w:rsidRDefault="00C8624D" w:rsidP="00C8624D">
            <w:pPr>
              <w:snapToGrid w:val="0"/>
              <w:spacing w:before="40" w:after="40"/>
              <w:rPr>
                <w:rFonts w:cs="Segoe UI"/>
                <w:sz w:val="17"/>
                <w:lang w:eastAsia="it-IT"/>
              </w:rPr>
            </w:pPr>
          </w:p>
        </w:tc>
      </w:tr>
      <w:tr w:rsidR="00C8624D" w:rsidRPr="00CA7301" w14:paraId="2DAE6962" w14:textId="77777777" w:rsidTr="00966A83">
        <w:trPr>
          <w:cantSplit/>
          <w:trHeight w:val="230"/>
        </w:trPr>
        <w:tc>
          <w:tcPr>
            <w:tcW w:w="567" w:type="dxa"/>
            <w:tcBorders>
              <w:top w:val="single" w:sz="6" w:space="0" w:color="auto"/>
              <w:left w:val="nil"/>
              <w:bottom w:val="single" w:sz="6" w:space="0" w:color="auto"/>
              <w:right w:val="single" w:sz="6" w:space="0" w:color="auto"/>
            </w:tcBorders>
            <w:shd w:val="clear" w:color="auto" w:fill="auto"/>
          </w:tcPr>
          <w:p w14:paraId="5627B32D" w14:textId="77777777" w:rsidR="00C8624D" w:rsidRPr="00CA7301" w:rsidRDefault="00C8624D" w:rsidP="00C8624D">
            <w:pPr>
              <w:snapToGrid w:val="0"/>
              <w:spacing w:before="40" w:after="40"/>
              <w:ind w:left="57"/>
              <w:rPr>
                <w:rFonts w:cs="Segoe UI"/>
                <w:sz w:val="17"/>
                <w:szCs w:val="17"/>
                <w:lang w:eastAsia="en-GB"/>
              </w:rPr>
            </w:pPr>
            <w:r w:rsidRPr="00CA7301">
              <w:rPr>
                <w:rFonts w:cs="Segoe UI"/>
                <w:sz w:val="17"/>
                <w:szCs w:val="17"/>
                <w:lang w:eastAsia="en-GB"/>
              </w:rPr>
              <w:t>23</w:t>
            </w:r>
          </w:p>
        </w:tc>
        <w:tc>
          <w:tcPr>
            <w:tcW w:w="59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11A5C8" w14:textId="77777777" w:rsidR="00C8624D" w:rsidRPr="00CA7301" w:rsidRDefault="00C8624D" w:rsidP="00C8624D">
            <w:pPr>
              <w:snapToGrid w:val="0"/>
              <w:spacing w:before="40" w:after="40"/>
              <w:ind w:left="57" w:rightChars="71" w:right="142"/>
              <w:rPr>
                <w:rFonts w:cs="Segoe UI"/>
                <w:b/>
                <w:sz w:val="17"/>
                <w:lang w:eastAsia="it-IT"/>
              </w:rPr>
            </w:pPr>
            <w:r w:rsidRPr="00CA7301">
              <w:rPr>
                <w:rFonts w:eastAsia="細明體" w:cs="Segoe UI"/>
                <w:b/>
                <w:sz w:val="17"/>
                <w:lang w:eastAsia="it-IT"/>
              </w:rPr>
              <w:t>LCR</w:t>
            </w:r>
            <w:r w:rsidRPr="00CA7301">
              <w:rPr>
                <w:rFonts w:cs="Segoe UI"/>
                <w:b/>
                <w:sz w:val="17"/>
                <w:lang w:eastAsia="it-IT"/>
              </w:rPr>
              <w:t xml:space="preserve"> (%)</w:t>
            </w:r>
          </w:p>
        </w:tc>
        <w:tc>
          <w:tcPr>
            <w:tcW w:w="1346"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5C11BABA" w14:textId="77777777" w:rsidR="00C8624D" w:rsidRPr="00CA7301" w:rsidRDefault="00C8624D" w:rsidP="00C8624D">
            <w:pPr>
              <w:snapToGrid w:val="0"/>
              <w:spacing w:before="40" w:after="40"/>
              <w:ind w:left="57"/>
              <w:rPr>
                <w:rFonts w:cs="Segoe UI"/>
                <w:sz w:val="17"/>
                <w:lang w:eastAsia="it-IT"/>
              </w:rPr>
            </w:pPr>
          </w:p>
        </w:tc>
        <w:tc>
          <w:tcPr>
            <w:tcW w:w="13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355FF1" w14:textId="77777777" w:rsidR="00C8624D" w:rsidRPr="00CA7301" w:rsidRDefault="00C8624D" w:rsidP="00C8624D">
            <w:pPr>
              <w:snapToGrid w:val="0"/>
              <w:spacing w:before="40" w:after="40"/>
              <w:rPr>
                <w:rFonts w:cs="Segoe UI"/>
                <w:sz w:val="17"/>
                <w:lang w:eastAsia="it-IT"/>
              </w:rPr>
            </w:pPr>
          </w:p>
        </w:tc>
      </w:tr>
      <w:tr w:rsidR="00C8624D" w:rsidRPr="00CA7301" w14:paraId="0A03C01F" w14:textId="77777777" w:rsidTr="00877D8D">
        <w:trPr>
          <w:cantSplit/>
          <w:trHeight w:val="230"/>
        </w:trPr>
        <w:tc>
          <w:tcPr>
            <w:tcW w:w="9214" w:type="dxa"/>
            <w:gridSpan w:val="4"/>
            <w:tcBorders>
              <w:top w:val="single" w:sz="6" w:space="0" w:color="auto"/>
              <w:left w:val="nil"/>
              <w:bottom w:val="single" w:sz="6" w:space="0" w:color="auto"/>
              <w:right w:val="single" w:sz="6" w:space="0" w:color="auto"/>
            </w:tcBorders>
            <w:shd w:val="clear" w:color="auto" w:fill="FFFFFF" w:themeFill="background1"/>
          </w:tcPr>
          <w:p w14:paraId="170D9D5C" w14:textId="77777777" w:rsidR="00C8624D" w:rsidRPr="00CA7301" w:rsidRDefault="00C8624D" w:rsidP="00C8624D">
            <w:pPr>
              <w:snapToGrid w:val="0"/>
              <w:spacing w:before="40" w:after="40" w:line="240" w:lineRule="exact"/>
              <w:rPr>
                <w:rFonts w:cs="Segoe UI"/>
                <w:i/>
                <w:sz w:val="17"/>
                <w:szCs w:val="17"/>
                <w:lang w:eastAsia="it-IT"/>
              </w:rPr>
            </w:pPr>
            <w:r w:rsidRPr="00CA7301">
              <w:rPr>
                <w:rFonts w:eastAsiaTheme="minorEastAsia" w:cs="Segoe UI"/>
                <w:i/>
                <w:sz w:val="17"/>
                <w:szCs w:val="17"/>
                <w:lang w:eastAsia="zh-TW"/>
              </w:rPr>
              <w:t>注意事項：</w:t>
            </w:r>
          </w:p>
          <w:p w14:paraId="005A9437" w14:textId="77777777" w:rsidR="00C8624D" w:rsidRPr="006B027C" w:rsidRDefault="00C8624D" w:rsidP="00D540EB">
            <w:pPr>
              <w:widowControl w:val="0"/>
              <w:numPr>
                <w:ilvl w:val="0"/>
                <w:numId w:val="5"/>
              </w:numPr>
              <w:autoSpaceDE w:val="0"/>
              <w:autoSpaceDN w:val="0"/>
              <w:adjustRightInd w:val="0"/>
              <w:spacing w:line="240" w:lineRule="exact"/>
              <w:ind w:left="425" w:rightChars="71" w:right="142" w:hanging="425"/>
              <w:jc w:val="both"/>
              <w:rPr>
                <w:rFonts w:cs="Segoe UI"/>
                <w:iCs/>
                <w:sz w:val="17"/>
                <w:szCs w:val="17"/>
                <w:lang w:eastAsia="it-IT"/>
              </w:rPr>
            </w:pPr>
            <w:r w:rsidRPr="006B027C">
              <w:rPr>
                <w:rFonts w:eastAsiaTheme="minorEastAsia" w:cs="Segoe UI"/>
                <w:iCs/>
                <w:sz w:val="17"/>
                <w:szCs w:val="17"/>
                <w:lang w:eastAsia="zh-TW"/>
              </w:rPr>
              <w:t>以</w:t>
            </w:r>
            <w:r w:rsidRPr="006B027C">
              <w:rPr>
                <w:rFonts w:eastAsiaTheme="minorEastAsia" w:cs="Segoe UI"/>
                <w:iCs/>
                <w:sz w:val="17"/>
                <w:szCs w:val="17"/>
                <w:lang w:eastAsia="zh-TW"/>
              </w:rPr>
              <w:t xml:space="preserve"> A, B, C, D</w:t>
            </w:r>
            <w:r w:rsidRPr="006B027C">
              <w:rPr>
                <w:rFonts w:eastAsiaTheme="minorEastAsia" w:cs="Segoe UI"/>
                <w:iCs/>
                <w:sz w:val="17"/>
                <w:szCs w:val="17"/>
                <w:lang w:eastAsia="zh-TW"/>
              </w:rPr>
              <w:t>標示行數的行</w:t>
            </w:r>
            <w:r w:rsidR="007B68C6" w:rsidRPr="006B027C">
              <w:rPr>
                <w:rFonts w:eastAsiaTheme="minorEastAsia" w:cs="Segoe UI"/>
                <w:iCs/>
                <w:sz w:val="17"/>
                <w:szCs w:val="17"/>
                <w:lang w:eastAsia="zh-TW"/>
              </w:rPr>
              <w:t>，</w:t>
            </w:r>
            <w:r w:rsidRPr="006B027C">
              <w:rPr>
                <w:rFonts w:eastAsiaTheme="minorEastAsia" w:cs="Segoe UI"/>
                <w:iCs/>
                <w:sz w:val="17"/>
                <w:szCs w:val="17"/>
                <w:lang w:eastAsia="zh-TW"/>
              </w:rPr>
              <w:t>分別代表模版的</w:t>
            </w:r>
            <w:r w:rsidRPr="006B027C">
              <w:rPr>
                <w:rFonts w:eastAsiaTheme="minorEastAsia" w:cs="Segoe UI"/>
                <w:iCs/>
                <w:sz w:val="17"/>
                <w:szCs w:val="17"/>
                <w:lang w:eastAsia="zh-TW"/>
              </w:rPr>
              <w:t>4</w:t>
            </w:r>
            <w:r w:rsidRPr="006B027C">
              <w:rPr>
                <w:rFonts w:eastAsiaTheme="minorEastAsia" w:cs="Segoe UI"/>
                <w:iCs/>
                <w:sz w:val="17"/>
                <w:szCs w:val="17"/>
                <w:lang w:eastAsia="zh-TW"/>
              </w:rPr>
              <w:t>節（即</w:t>
            </w:r>
            <w:r w:rsidRPr="006B027C">
              <w:rPr>
                <w:rFonts w:cs="Segoe UI"/>
                <w:iCs/>
                <w:sz w:val="17"/>
                <w:szCs w:val="17"/>
                <w:lang w:eastAsia="it-IT"/>
              </w:rPr>
              <w:t>HQLA</w:t>
            </w:r>
            <w:r w:rsidRPr="006B027C">
              <w:rPr>
                <w:rFonts w:eastAsiaTheme="minorEastAsia" w:cs="Segoe UI"/>
                <w:iCs/>
                <w:sz w:val="17"/>
                <w:szCs w:val="17"/>
                <w:lang w:eastAsia="zh-TW"/>
              </w:rPr>
              <w:t>、現金流出、現金流入及</w:t>
            </w:r>
            <w:r w:rsidRPr="006B027C">
              <w:rPr>
                <w:rFonts w:eastAsia="細明體" w:cs="Segoe UI"/>
                <w:iCs/>
                <w:sz w:val="17"/>
                <w:szCs w:val="17"/>
                <w:lang w:eastAsia="it-IT"/>
              </w:rPr>
              <w:t>LCR</w:t>
            </w:r>
            <w:r w:rsidRPr="006B027C">
              <w:rPr>
                <w:rFonts w:eastAsia="細明體" w:cs="Segoe UI"/>
                <w:iCs/>
                <w:sz w:val="17"/>
                <w:szCs w:val="17"/>
                <w:lang w:eastAsia="it-IT"/>
              </w:rPr>
              <w:t>）</w:t>
            </w:r>
            <w:r w:rsidRPr="006B027C">
              <w:rPr>
                <w:rFonts w:eastAsiaTheme="minorEastAsia" w:cs="Segoe UI"/>
                <w:iCs/>
                <w:sz w:val="17"/>
                <w:szCs w:val="17"/>
                <w:lang w:eastAsia="zh-TW"/>
              </w:rPr>
              <w:t>，無需填寫任何數值；</w:t>
            </w:r>
          </w:p>
          <w:p w14:paraId="2DF4A187" w14:textId="77777777" w:rsidR="00C8624D" w:rsidRPr="006B027C" w:rsidRDefault="00C8624D" w:rsidP="00D540EB">
            <w:pPr>
              <w:widowControl w:val="0"/>
              <w:numPr>
                <w:ilvl w:val="0"/>
                <w:numId w:val="5"/>
              </w:numPr>
              <w:autoSpaceDE w:val="0"/>
              <w:autoSpaceDN w:val="0"/>
              <w:adjustRightInd w:val="0"/>
              <w:spacing w:line="240" w:lineRule="exact"/>
              <w:ind w:left="425" w:rightChars="71" w:right="142" w:hanging="425"/>
              <w:jc w:val="both"/>
              <w:rPr>
                <w:rFonts w:cs="Segoe UI"/>
                <w:iCs/>
                <w:sz w:val="17"/>
                <w:szCs w:val="17"/>
                <w:lang w:eastAsia="it-IT"/>
              </w:rPr>
            </w:pPr>
            <w:r w:rsidRPr="006B027C">
              <w:rPr>
                <w:rFonts w:eastAsiaTheme="minorEastAsia" w:cs="Segoe UI"/>
                <w:iCs/>
                <w:sz w:val="17"/>
                <w:szCs w:val="17"/>
                <w:lang w:eastAsia="zh-TW"/>
              </w:rPr>
              <w:t>以淺灰色</w:t>
            </w:r>
            <w:r w:rsidRPr="006B027C">
              <w:rPr>
                <w:rFonts w:eastAsia="細明體" w:cs="Segoe UI"/>
                <w:iCs/>
                <w:sz w:val="17"/>
                <w:szCs w:val="17"/>
                <w:lang w:eastAsia="it-IT"/>
              </w:rPr>
              <w:t>標示的披露項目（</w:t>
            </w:r>
            <w:r w:rsidRPr="006B027C">
              <w:rPr>
                <w:rFonts w:eastAsiaTheme="minorEastAsia" w:cs="Segoe UI"/>
                <w:iCs/>
                <w:sz w:val="17"/>
                <w:szCs w:val="17"/>
                <w:lang w:eastAsia="zh-TW"/>
              </w:rPr>
              <w:t>例</w:t>
            </w:r>
            <w:r w:rsidRPr="006B027C">
              <w:rPr>
                <w:rFonts w:eastAsia="細明體" w:cs="Segoe UI"/>
                <w:iCs/>
                <w:sz w:val="17"/>
                <w:szCs w:val="17"/>
                <w:lang w:eastAsia="it-IT"/>
              </w:rPr>
              <w:t>如</w:t>
            </w:r>
            <w:r w:rsidRPr="006B027C">
              <w:rPr>
                <w:rFonts w:cs="Segoe UI"/>
                <w:iCs/>
                <w:sz w:val="17"/>
                <w:szCs w:val="17"/>
                <w:lang w:eastAsia="it-IT"/>
              </w:rPr>
              <w:t>B</w:t>
            </w:r>
            <w:r w:rsidRPr="006B027C">
              <w:rPr>
                <w:rFonts w:eastAsia="細明體" w:cs="Segoe UI"/>
                <w:iCs/>
                <w:sz w:val="17"/>
                <w:szCs w:val="17"/>
                <w:lang w:eastAsia="it-IT"/>
              </w:rPr>
              <w:t>節</w:t>
            </w:r>
            <w:r w:rsidRPr="006B027C">
              <w:rPr>
                <w:rFonts w:eastAsia="細明體" w:cs="Segoe UI"/>
                <w:iCs/>
                <w:sz w:val="17"/>
                <w:szCs w:val="17"/>
                <w:lang w:eastAsia="zh-TW"/>
              </w:rPr>
              <w:t>第</w:t>
            </w:r>
            <w:r w:rsidRPr="006B027C">
              <w:rPr>
                <w:rFonts w:cs="Segoe UI"/>
                <w:iCs/>
                <w:sz w:val="17"/>
                <w:szCs w:val="17"/>
                <w:lang w:eastAsia="it-IT"/>
              </w:rPr>
              <w:t>2</w:t>
            </w:r>
            <w:r w:rsidRPr="006B027C">
              <w:rPr>
                <w:rFonts w:eastAsia="細明體" w:cs="Segoe UI"/>
                <w:iCs/>
                <w:sz w:val="17"/>
                <w:szCs w:val="17"/>
                <w:lang w:eastAsia="it-IT"/>
              </w:rPr>
              <w:t>、</w:t>
            </w:r>
            <w:r w:rsidRPr="006B027C">
              <w:rPr>
                <w:rFonts w:cs="Segoe UI"/>
                <w:iCs/>
                <w:sz w:val="17"/>
                <w:szCs w:val="17"/>
                <w:lang w:eastAsia="it-IT"/>
              </w:rPr>
              <w:t>5</w:t>
            </w:r>
            <w:r w:rsidRPr="006B027C">
              <w:rPr>
                <w:rFonts w:eastAsia="細明體" w:cs="Segoe UI"/>
                <w:iCs/>
                <w:sz w:val="17"/>
                <w:szCs w:val="17"/>
                <w:lang w:eastAsia="it-IT"/>
              </w:rPr>
              <w:t>、</w:t>
            </w:r>
            <w:r w:rsidRPr="006B027C">
              <w:rPr>
                <w:rFonts w:cs="Segoe UI"/>
                <w:iCs/>
                <w:sz w:val="17"/>
                <w:szCs w:val="17"/>
                <w:lang w:eastAsia="it-IT"/>
              </w:rPr>
              <w:t>9</w:t>
            </w:r>
            <w:r w:rsidRPr="006B027C">
              <w:rPr>
                <w:rFonts w:eastAsia="細明體" w:cs="Segoe UI"/>
                <w:iCs/>
                <w:sz w:val="17"/>
                <w:szCs w:val="17"/>
                <w:lang w:eastAsia="it-IT"/>
              </w:rPr>
              <w:t>、</w:t>
            </w:r>
            <w:r w:rsidRPr="006B027C">
              <w:rPr>
                <w:rFonts w:cs="Segoe UI"/>
                <w:iCs/>
                <w:sz w:val="17"/>
                <w:szCs w:val="17"/>
                <w:lang w:eastAsia="it-IT"/>
              </w:rPr>
              <w:t>10</w:t>
            </w:r>
            <w:r w:rsidRPr="006B027C">
              <w:rPr>
                <w:rFonts w:eastAsia="細明體" w:cs="Segoe UI"/>
                <w:iCs/>
                <w:sz w:val="17"/>
                <w:szCs w:val="17"/>
                <w:lang w:eastAsia="it-IT"/>
              </w:rPr>
              <w:t>、</w:t>
            </w:r>
            <w:r w:rsidRPr="006B027C">
              <w:rPr>
                <w:rFonts w:cs="Segoe UI"/>
                <w:iCs/>
                <w:sz w:val="17"/>
                <w:szCs w:val="17"/>
                <w:lang w:eastAsia="it-IT"/>
              </w:rPr>
              <w:t>14</w:t>
            </w:r>
            <w:r w:rsidRPr="006B027C">
              <w:rPr>
                <w:rFonts w:eastAsia="細明體" w:cs="Segoe UI"/>
                <w:iCs/>
                <w:sz w:val="17"/>
                <w:szCs w:val="17"/>
                <w:lang w:eastAsia="it-IT"/>
              </w:rPr>
              <w:t>及</w:t>
            </w:r>
            <w:r w:rsidRPr="006B027C">
              <w:rPr>
                <w:rFonts w:cs="Segoe UI"/>
                <w:iCs/>
                <w:sz w:val="17"/>
                <w:szCs w:val="17"/>
                <w:lang w:eastAsia="it-IT"/>
              </w:rPr>
              <w:t>15</w:t>
            </w:r>
            <w:r w:rsidRPr="006B027C">
              <w:rPr>
                <w:rFonts w:eastAsiaTheme="minorEastAsia" w:cs="Segoe UI"/>
                <w:iCs/>
                <w:sz w:val="17"/>
                <w:szCs w:val="17"/>
                <w:lang w:eastAsia="zh-TW"/>
              </w:rPr>
              <w:t>行</w:t>
            </w:r>
            <w:r w:rsidRPr="006B027C">
              <w:rPr>
                <w:rFonts w:eastAsia="細明體" w:cs="Segoe UI"/>
                <w:iCs/>
                <w:sz w:val="17"/>
                <w:szCs w:val="17"/>
                <w:lang w:eastAsia="it-IT"/>
              </w:rPr>
              <w:t>）代表有關節數內的組成部分</w:t>
            </w:r>
            <w:r w:rsidRPr="006B027C">
              <w:rPr>
                <w:rFonts w:eastAsia="細明體" w:cs="Segoe UI"/>
                <w:iCs/>
                <w:sz w:val="17"/>
                <w:szCs w:val="17"/>
                <w:lang w:eastAsia="zh-TW"/>
              </w:rPr>
              <w:t>（如有）；</w:t>
            </w:r>
          </w:p>
          <w:p w14:paraId="1CE57D95" w14:textId="77777777" w:rsidR="00C8624D" w:rsidRPr="006B027C" w:rsidRDefault="00C8624D" w:rsidP="00D540EB">
            <w:pPr>
              <w:widowControl w:val="0"/>
              <w:numPr>
                <w:ilvl w:val="0"/>
                <w:numId w:val="5"/>
              </w:numPr>
              <w:autoSpaceDE w:val="0"/>
              <w:autoSpaceDN w:val="0"/>
              <w:adjustRightInd w:val="0"/>
              <w:spacing w:line="240" w:lineRule="exact"/>
              <w:ind w:left="425" w:rightChars="71" w:right="142" w:hanging="425"/>
              <w:jc w:val="both"/>
              <w:rPr>
                <w:rFonts w:cs="Segoe UI"/>
                <w:iCs/>
                <w:sz w:val="17"/>
                <w:szCs w:val="17"/>
                <w:lang w:eastAsia="it-IT"/>
              </w:rPr>
            </w:pPr>
            <w:r w:rsidRPr="006B027C">
              <w:rPr>
                <w:rFonts w:eastAsiaTheme="minorEastAsia" w:cs="Segoe UI"/>
                <w:iCs/>
                <w:sz w:val="17"/>
                <w:szCs w:val="17"/>
                <w:lang w:eastAsia="zh-TW"/>
              </w:rPr>
              <w:t>沒有陰影的披露項目代表現金流出（</w:t>
            </w:r>
            <w:r w:rsidRPr="006B027C">
              <w:rPr>
                <w:rFonts w:eastAsiaTheme="minorEastAsia" w:cs="Segoe UI"/>
                <w:iCs/>
                <w:sz w:val="17"/>
                <w:szCs w:val="17"/>
                <w:lang w:eastAsia="zh-TW"/>
              </w:rPr>
              <w:t>B</w:t>
            </w:r>
            <w:r w:rsidRPr="006B027C">
              <w:rPr>
                <w:rFonts w:eastAsiaTheme="minorEastAsia" w:cs="Segoe UI"/>
                <w:iCs/>
                <w:sz w:val="17"/>
                <w:szCs w:val="17"/>
                <w:lang w:eastAsia="zh-TW"/>
              </w:rPr>
              <w:t>節）組成部分內的附屬組成部分。參閱下文</w:t>
            </w:r>
            <w:proofErr w:type="gramStart"/>
            <w:r w:rsidRPr="006B027C">
              <w:rPr>
                <w:rFonts w:eastAsiaTheme="minorEastAsia" w:cs="Segoe UI"/>
                <w:iCs/>
                <w:sz w:val="17"/>
                <w:szCs w:val="17"/>
                <w:lang w:eastAsia="zh-TW"/>
              </w:rPr>
              <w:t>註</w:t>
            </w:r>
            <w:proofErr w:type="gramEnd"/>
            <w:r w:rsidRPr="006B027C">
              <w:rPr>
                <w:rFonts w:eastAsiaTheme="minorEastAsia" w:cs="Segoe UI"/>
                <w:iCs/>
                <w:sz w:val="17"/>
                <w:szCs w:val="17"/>
                <w:lang w:eastAsia="zh-TW"/>
              </w:rPr>
              <w:t>釋有關該等附屬組成部分的構成的詳盡解釋；</w:t>
            </w:r>
          </w:p>
          <w:p w14:paraId="2B0F6E35" w14:textId="77777777" w:rsidR="00C8624D" w:rsidRPr="00CA7301" w:rsidRDefault="00C8624D" w:rsidP="00D540EB">
            <w:pPr>
              <w:widowControl w:val="0"/>
              <w:numPr>
                <w:ilvl w:val="0"/>
                <w:numId w:val="5"/>
              </w:numPr>
              <w:autoSpaceDE w:val="0"/>
              <w:autoSpaceDN w:val="0"/>
              <w:adjustRightInd w:val="0"/>
              <w:spacing w:after="60" w:line="240" w:lineRule="exact"/>
              <w:ind w:left="425" w:rightChars="71" w:right="142" w:hanging="425"/>
              <w:jc w:val="both"/>
              <w:rPr>
                <w:rFonts w:cs="Segoe UI"/>
                <w:i/>
                <w:sz w:val="17"/>
                <w:szCs w:val="17"/>
                <w:lang w:eastAsia="it-IT"/>
              </w:rPr>
            </w:pPr>
            <w:r w:rsidRPr="006B027C">
              <w:rPr>
                <w:rFonts w:eastAsiaTheme="minorEastAsia" w:cs="Segoe UI"/>
                <w:iCs/>
                <w:sz w:val="17"/>
                <w:szCs w:val="17"/>
                <w:lang w:eastAsia="zh-TW"/>
              </w:rPr>
              <w:t>以深灰色標示的項目（即方格</w:t>
            </w:r>
            <w:r w:rsidRPr="006B027C">
              <w:rPr>
                <w:rFonts w:cs="Segoe UI"/>
                <w:iCs/>
                <w:sz w:val="17"/>
                <w:szCs w:val="17"/>
                <w:lang w:eastAsia="it-IT"/>
              </w:rPr>
              <w:t>1/a</w:t>
            </w:r>
            <w:r w:rsidRPr="006B027C">
              <w:rPr>
                <w:rFonts w:eastAsiaTheme="minorEastAsia" w:cs="Segoe UI"/>
                <w:iCs/>
                <w:sz w:val="17"/>
                <w:szCs w:val="17"/>
                <w:lang w:eastAsia="zh-TW"/>
              </w:rPr>
              <w:t>、</w:t>
            </w:r>
            <w:r w:rsidRPr="006B027C">
              <w:rPr>
                <w:rFonts w:cs="Segoe UI"/>
                <w:iCs/>
                <w:sz w:val="17"/>
                <w:szCs w:val="17"/>
                <w:lang w:eastAsia="it-IT"/>
              </w:rPr>
              <w:t>9/a</w:t>
            </w:r>
            <w:r w:rsidRPr="006B027C">
              <w:rPr>
                <w:rFonts w:eastAsiaTheme="minorEastAsia" w:cs="Segoe UI"/>
                <w:iCs/>
                <w:sz w:val="17"/>
                <w:szCs w:val="17"/>
                <w:lang w:eastAsia="zh-TW"/>
              </w:rPr>
              <w:t>、</w:t>
            </w:r>
            <w:r w:rsidRPr="006B027C">
              <w:rPr>
                <w:rFonts w:cs="Segoe UI"/>
                <w:iCs/>
                <w:sz w:val="17"/>
                <w:szCs w:val="17"/>
                <w:lang w:eastAsia="it-IT"/>
              </w:rPr>
              <w:t>16/a</w:t>
            </w:r>
            <w:r w:rsidRPr="006B027C">
              <w:rPr>
                <w:rFonts w:eastAsiaTheme="minorEastAsia" w:cs="Segoe UI"/>
                <w:iCs/>
                <w:sz w:val="17"/>
                <w:szCs w:val="17"/>
                <w:lang w:eastAsia="zh-TW"/>
              </w:rPr>
              <w:t>、</w:t>
            </w:r>
            <w:r w:rsidRPr="006B027C">
              <w:rPr>
                <w:rFonts w:cs="Segoe UI"/>
                <w:iCs/>
                <w:sz w:val="17"/>
                <w:szCs w:val="17"/>
                <w:lang w:eastAsia="it-IT"/>
              </w:rPr>
              <w:t>21/a</w:t>
            </w:r>
            <w:r w:rsidRPr="006B027C">
              <w:rPr>
                <w:rFonts w:eastAsiaTheme="minorEastAsia" w:cs="Segoe UI"/>
                <w:iCs/>
                <w:sz w:val="17"/>
                <w:szCs w:val="17"/>
                <w:lang w:eastAsia="zh-TW"/>
              </w:rPr>
              <w:t>、</w:t>
            </w:r>
            <w:r w:rsidRPr="006B027C">
              <w:rPr>
                <w:rFonts w:cs="Segoe UI"/>
                <w:iCs/>
                <w:sz w:val="17"/>
                <w:szCs w:val="17"/>
                <w:lang w:eastAsia="it-IT"/>
              </w:rPr>
              <w:t>22/a</w:t>
            </w:r>
            <w:r w:rsidRPr="006B027C">
              <w:rPr>
                <w:rFonts w:eastAsiaTheme="minorEastAsia" w:cs="Segoe UI"/>
                <w:iCs/>
                <w:sz w:val="17"/>
                <w:szCs w:val="17"/>
                <w:lang w:eastAsia="zh-TW"/>
              </w:rPr>
              <w:t>及</w:t>
            </w:r>
            <w:r w:rsidRPr="006B027C">
              <w:rPr>
                <w:rFonts w:cs="Segoe UI"/>
                <w:iCs/>
                <w:sz w:val="17"/>
                <w:szCs w:val="17"/>
                <w:lang w:eastAsia="it-IT"/>
              </w:rPr>
              <w:t>23/a</w:t>
            </w:r>
            <w:r w:rsidRPr="006B027C">
              <w:rPr>
                <w:rFonts w:eastAsiaTheme="minorEastAsia" w:cs="Segoe UI"/>
                <w:iCs/>
                <w:sz w:val="17"/>
                <w:szCs w:val="17"/>
                <w:lang w:eastAsia="zh-TW"/>
              </w:rPr>
              <w:t>）無需作出任何披露。</w:t>
            </w:r>
          </w:p>
        </w:tc>
      </w:tr>
    </w:tbl>
    <w:p w14:paraId="4CEE2912" w14:textId="77777777" w:rsidR="00C8624D" w:rsidRPr="00CA7301" w:rsidRDefault="00C8624D" w:rsidP="00C8624D">
      <w:pPr>
        <w:spacing w:before="120" w:after="120"/>
        <w:ind w:leftChars="-283" w:left="-566"/>
        <w:rPr>
          <w:rFonts w:eastAsiaTheme="minorEastAsia" w:cs="Segoe UI"/>
          <w:sz w:val="22"/>
          <w:lang w:eastAsia="zh-TW"/>
        </w:rPr>
      </w:pPr>
    </w:p>
    <w:tbl>
      <w:tblPr>
        <w:tblStyle w:val="TableGrid9"/>
        <w:tblW w:w="9214" w:type="dxa"/>
        <w:tblInd w:w="-459" w:type="dxa"/>
        <w:tblLook w:val="04A0" w:firstRow="1" w:lastRow="0" w:firstColumn="1" w:lastColumn="0" w:noHBand="0" w:noVBand="1"/>
      </w:tblPr>
      <w:tblGrid>
        <w:gridCol w:w="567"/>
        <w:gridCol w:w="8647"/>
      </w:tblGrid>
      <w:tr w:rsidR="00C8624D" w:rsidRPr="00CA7301" w14:paraId="1302AE70" w14:textId="77777777" w:rsidTr="00877D8D">
        <w:trPr>
          <w:tblHeader/>
        </w:trPr>
        <w:tc>
          <w:tcPr>
            <w:tcW w:w="9214" w:type="dxa"/>
            <w:gridSpan w:val="2"/>
            <w:shd w:val="clear" w:color="auto" w:fill="BFBFBF" w:themeFill="background1" w:themeFillShade="BF"/>
          </w:tcPr>
          <w:p w14:paraId="67AA8023" w14:textId="77777777" w:rsidR="00C8624D" w:rsidRPr="00CA7301" w:rsidRDefault="00C8624D" w:rsidP="00C8624D">
            <w:pPr>
              <w:spacing w:before="40" w:after="40"/>
              <w:jc w:val="both"/>
              <w:rPr>
                <w:rFonts w:eastAsiaTheme="minorEastAsia" w:cs="Segoe UI"/>
                <w:b/>
                <w:sz w:val="17"/>
                <w:szCs w:val="17"/>
                <w:lang w:eastAsia="en-GB"/>
              </w:rPr>
            </w:pPr>
            <w:proofErr w:type="gramStart"/>
            <w:r w:rsidRPr="00CA7301">
              <w:rPr>
                <w:rFonts w:eastAsiaTheme="minorEastAsia" w:cs="Segoe UI"/>
                <w:b/>
                <w:sz w:val="17"/>
                <w:szCs w:val="17"/>
                <w:lang w:eastAsia="zh-TW"/>
              </w:rPr>
              <w:t>註</w:t>
            </w:r>
            <w:proofErr w:type="gramEnd"/>
            <w:r w:rsidRPr="00CA7301">
              <w:rPr>
                <w:rFonts w:eastAsiaTheme="minorEastAsia" w:cs="Segoe UI"/>
                <w:b/>
                <w:sz w:val="17"/>
                <w:szCs w:val="17"/>
                <w:lang w:eastAsia="zh-TW"/>
              </w:rPr>
              <w:t>釋</w:t>
            </w:r>
          </w:p>
        </w:tc>
      </w:tr>
      <w:tr w:rsidR="00C8624D" w:rsidRPr="00CA7301" w14:paraId="0DC1F271" w14:textId="77777777" w:rsidTr="00877D8D">
        <w:trPr>
          <w:trHeight w:val="153"/>
        </w:trPr>
        <w:tc>
          <w:tcPr>
            <w:tcW w:w="9214" w:type="dxa"/>
            <w:gridSpan w:val="2"/>
            <w:shd w:val="clear" w:color="auto" w:fill="F2F2F2" w:themeFill="background1" w:themeFillShade="F2"/>
          </w:tcPr>
          <w:p w14:paraId="68EAAB7E" w14:textId="77777777" w:rsidR="00C8624D" w:rsidRPr="00CA7301" w:rsidRDefault="00C8624D" w:rsidP="00C8624D">
            <w:pPr>
              <w:spacing w:before="40" w:after="40"/>
              <w:jc w:val="both"/>
              <w:rPr>
                <w:rFonts w:eastAsiaTheme="minorEastAsia" w:cs="Segoe UI"/>
                <w:b/>
                <w:sz w:val="17"/>
                <w:szCs w:val="17"/>
                <w:lang w:eastAsia="en-GB"/>
              </w:rPr>
            </w:pPr>
            <w:r w:rsidRPr="00CA7301">
              <w:rPr>
                <w:rFonts w:eastAsiaTheme="minorEastAsia" w:cs="Segoe UI"/>
                <w:b/>
                <w:sz w:val="17"/>
                <w:szCs w:val="17"/>
                <w:lang w:eastAsia="zh-TW"/>
              </w:rPr>
              <w:t>欄</w:t>
            </w:r>
          </w:p>
        </w:tc>
      </w:tr>
      <w:tr w:rsidR="00C8624D" w:rsidRPr="00CA7301" w14:paraId="591BC099" w14:textId="77777777" w:rsidTr="00877D8D">
        <w:tc>
          <w:tcPr>
            <w:tcW w:w="567" w:type="dxa"/>
          </w:tcPr>
          <w:p w14:paraId="647EA194"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(a)</w:t>
            </w:r>
          </w:p>
        </w:tc>
        <w:tc>
          <w:tcPr>
            <w:tcW w:w="8647" w:type="dxa"/>
          </w:tcPr>
          <w:p w14:paraId="6909A45F" w14:textId="3870225A" w:rsidR="00C8624D" w:rsidRPr="00CA7301" w:rsidRDefault="00D7784F" w:rsidP="00C8624D">
            <w:pPr>
              <w:keepNext/>
              <w:spacing w:before="40" w:after="40"/>
              <w:jc w:val="both"/>
              <w:rPr>
                <w:rFonts w:cs="Segoe UI"/>
                <w:sz w:val="17"/>
                <w:szCs w:val="17"/>
                <w:lang w:eastAsia="zh-TW"/>
              </w:rPr>
            </w:pPr>
            <w:r>
              <w:rPr>
                <w:rFonts w:eastAsiaTheme="minorEastAsia" w:cs="Segoe UI" w:hint="eastAsia"/>
                <w:i/>
                <w:sz w:val="17"/>
                <w:szCs w:val="17"/>
                <w:lang w:eastAsia="zh-HK"/>
              </w:rPr>
              <w:t>非</w:t>
            </w:r>
            <w:r w:rsidR="00C8624D" w:rsidRPr="00CA7301">
              <w:rPr>
                <w:rFonts w:eastAsiaTheme="minorEastAsia" w:cs="Segoe UI"/>
                <w:i/>
                <w:sz w:val="17"/>
                <w:szCs w:val="17"/>
                <w:lang w:eastAsia="zh-TW"/>
              </w:rPr>
              <w:t>加權值</w:t>
            </w:r>
            <w:r w:rsidR="00C8624D" w:rsidRPr="00CA7301">
              <w:rPr>
                <w:rFonts w:eastAsiaTheme="minorEastAsia" w:cs="Segoe UI"/>
                <w:sz w:val="17"/>
                <w:szCs w:val="17"/>
                <w:lang w:eastAsia="zh-TW"/>
              </w:rPr>
              <w:t>：</w:t>
            </w:r>
            <w:r w:rsidR="00C8624D" w:rsidRPr="00CA7301">
              <w:rPr>
                <w:rFonts w:eastAsia="細明體" w:cs="Segoe UI"/>
                <w:sz w:val="17"/>
                <w:szCs w:val="17"/>
                <w:lang w:eastAsia="zh-TW"/>
              </w:rPr>
              <w:t>就在現金流出（</w:t>
            </w:r>
            <w:r w:rsidR="00C8624D" w:rsidRPr="00CA7301">
              <w:rPr>
                <w:rFonts w:cs="Segoe UI"/>
                <w:sz w:val="17"/>
                <w:szCs w:val="17"/>
                <w:lang w:eastAsia="zh-TW"/>
              </w:rPr>
              <w:t>B</w:t>
            </w:r>
            <w:r w:rsidR="00C8624D" w:rsidRPr="00CA7301">
              <w:rPr>
                <w:rFonts w:eastAsia="細明體" w:cs="Segoe UI"/>
                <w:sz w:val="17"/>
                <w:szCs w:val="17"/>
                <w:lang w:eastAsia="zh-TW"/>
              </w:rPr>
              <w:t>節）及現金流入（</w:t>
            </w:r>
            <w:r w:rsidR="00C8624D" w:rsidRPr="00CA7301">
              <w:rPr>
                <w:rFonts w:cs="Segoe UI"/>
                <w:sz w:val="17"/>
                <w:szCs w:val="17"/>
                <w:lang w:eastAsia="zh-TW"/>
              </w:rPr>
              <w:t>C</w:t>
            </w:r>
            <w:r w:rsidR="00C8624D" w:rsidRPr="00CA7301">
              <w:rPr>
                <w:rFonts w:eastAsia="細明體" w:cs="Segoe UI"/>
                <w:sz w:val="17"/>
                <w:szCs w:val="17"/>
                <w:lang w:eastAsia="zh-TW"/>
              </w:rPr>
              <w:t>節）項下的披露項目而言，指於</w:t>
            </w:r>
            <w:r w:rsidR="00C8624D" w:rsidRPr="00CA7301">
              <w:rPr>
                <w:rFonts w:cs="Segoe UI"/>
                <w:sz w:val="17"/>
                <w:szCs w:val="17"/>
                <w:lang w:eastAsia="zh-TW"/>
              </w:rPr>
              <w:t>30</w:t>
            </w:r>
            <w:r w:rsidR="00C8624D" w:rsidRPr="00CA7301">
              <w:rPr>
                <w:rFonts w:eastAsia="細明體" w:cs="Segoe UI"/>
                <w:sz w:val="17"/>
                <w:szCs w:val="17"/>
                <w:lang w:eastAsia="zh-TW"/>
              </w:rPr>
              <w:t>日內到期或可要求即付的</w:t>
            </w:r>
            <w:r w:rsidR="007B68C6" w:rsidRPr="00CA7301">
              <w:rPr>
                <w:rFonts w:eastAsia="細明體" w:cs="Segoe UI"/>
                <w:sz w:val="17"/>
                <w:szCs w:val="17"/>
                <w:lang w:eastAsia="zh-TW"/>
              </w:rPr>
              <w:t>尚欠</w:t>
            </w:r>
            <w:r w:rsidR="00C8624D" w:rsidRPr="00CA7301">
              <w:rPr>
                <w:rFonts w:eastAsia="細明體" w:cs="Segoe UI"/>
                <w:sz w:val="17"/>
                <w:szCs w:val="17"/>
                <w:lang w:eastAsia="zh-TW"/>
              </w:rPr>
              <w:t>餘額。該</w:t>
            </w:r>
            <w:r w:rsidR="007B68C6" w:rsidRPr="00CA7301">
              <w:rPr>
                <w:rFonts w:eastAsia="細明體" w:cs="Segoe UI"/>
                <w:sz w:val="17"/>
                <w:szCs w:val="17"/>
                <w:lang w:eastAsia="zh-TW"/>
              </w:rPr>
              <w:t>尚欠</w:t>
            </w:r>
            <w:r w:rsidR="00C8624D" w:rsidRPr="00CA7301">
              <w:rPr>
                <w:rFonts w:eastAsia="細明體" w:cs="Segoe UI"/>
                <w:sz w:val="17"/>
                <w:szCs w:val="17"/>
                <w:lang w:eastAsia="zh-TW"/>
              </w:rPr>
              <w:t>餘額是在計算</w:t>
            </w:r>
            <w:r w:rsidR="00C8624D" w:rsidRPr="00CA7301">
              <w:rPr>
                <w:rFonts w:cs="Segoe UI"/>
                <w:sz w:val="17"/>
                <w:szCs w:val="17"/>
                <w:lang w:eastAsia="zh-TW"/>
              </w:rPr>
              <w:t>LCR</w:t>
            </w:r>
            <w:r w:rsidR="00C8624D" w:rsidRPr="00CA7301">
              <w:rPr>
                <w:rFonts w:eastAsia="細明體" w:cs="Segoe UI"/>
                <w:sz w:val="17"/>
                <w:szCs w:val="17"/>
                <w:lang w:eastAsia="zh-TW"/>
              </w:rPr>
              <w:t>時，以在對其應用《流動性規則》（與《銀行業</w:t>
            </w:r>
            <w:r w:rsidR="00C8624D" w:rsidRPr="00CA7301">
              <w:rPr>
                <w:rFonts w:eastAsiaTheme="minorEastAsia" w:cs="Segoe UI"/>
                <w:sz w:val="17"/>
                <w:szCs w:val="17"/>
                <w:lang w:eastAsia="zh-TW"/>
              </w:rPr>
              <w:t>(</w:t>
            </w:r>
            <w:r w:rsidR="00C8624D" w:rsidRPr="00CA7301">
              <w:rPr>
                <w:rFonts w:eastAsia="細明體" w:cs="Segoe UI"/>
                <w:sz w:val="17"/>
                <w:szCs w:val="17"/>
                <w:lang w:eastAsia="zh-TW"/>
              </w:rPr>
              <w:t>流動性覆蓋比率</w:t>
            </w:r>
            <w:r w:rsidR="00C8624D" w:rsidRPr="00CA7301">
              <w:rPr>
                <w:rFonts w:ascii="細明體" w:eastAsia="細明體" w:hAnsi="細明體" w:cs="細明體" w:hint="eastAsia"/>
                <w:sz w:val="17"/>
                <w:szCs w:val="17"/>
                <w:lang w:eastAsia="zh-TW"/>
              </w:rPr>
              <w:t>──</w:t>
            </w:r>
            <w:proofErr w:type="gramStart"/>
            <w:r w:rsidR="00C8624D" w:rsidRPr="00CA7301">
              <w:rPr>
                <w:rFonts w:eastAsia="細明體" w:cs="Segoe UI"/>
                <w:sz w:val="17"/>
                <w:szCs w:val="17"/>
                <w:lang w:eastAsia="zh-TW"/>
              </w:rPr>
              <w:t>淨現金流出總額的計算</w:t>
            </w:r>
            <w:r w:rsidR="00C8624D" w:rsidRPr="00CA7301">
              <w:rPr>
                <w:rFonts w:eastAsiaTheme="minorEastAsia" w:cs="Segoe UI"/>
                <w:sz w:val="17"/>
                <w:szCs w:val="17"/>
                <w:lang w:eastAsia="zh-TW"/>
              </w:rPr>
              <w:t>)</w:t>
            </w:r>
            <w:r w:rsidR="00C8624D" w:rsidRPr="00CA7301">
              <w:rPr>
                <w:rFonts w:eastAsia="細明體" w:cs="Segoe UI"/>
                <w:sz w:val="17"/>
                <w:szCs w:val="17"/>
                <w:lang w:eastAsia="zh-TW"/>
              </w:rPr>
              <w:t>守則</w:t>
            </w:r>
            <w:proofErr w:type="gramEnd"/>
            <w:r w:rsidR="00C8624D" w:rsidRPr="00CA7301">
              <w:rPr>
                <w:rFonts w:eastAsia="細明體" w:cs="Segoe UI"/>
                <w:sz w:val="17"/>
                <w:szCs w:val="17"/>
                <w:lang w:eastAsia="zh-TW"/>
              </w:rPr>
              <w:t>》（《守則》）一併閱讀）所規定對其適用的流出率或流入率</w:t>
            </w:r>
            <w:r w:rsidR="00C8624D" w:rsidRPr="00CA7301">
              <w:rPr>
                <w:rFonts w:eastAsia="細明體" w:cs="Segoe UI"/>
                <w:sz w:val="17"/>
                <w:szCs w:val="17"/>
                <w:u w:val="single"/>
                <w:lang w:eastAsia="zh-TW"/>
              </w:rPr>
              <w:t>之前</w:t>
            </w:r>
            <w:r w:rsidR="00C8624D" w:rsidRPr="00CA7301">
              <w:rPr>
                <w:rFonts w:eastAsia="細明體" w:cs="Segoe UI"/>
                <w:sz w:val="17"/>
                <w:szCs w:val="17"/>
                <w:lang w:eastAsia="zh-TW"/>
              </w:rPr>
              <w:t>的某項資產、負債或資產負債表外項目的本金額。</w:t>
            </w:r>
            <w:r w:rsidR="00C8624D" w:rsidRPr="00CA7301">
              <w:rPr>
                <w:rFonts w:eastAsiaTheme="minorEastAsia" w:cs="Segoe UI"/>
                <w:sz w:val="17"/>
                <w:szCs w:val="17"/>
                <w:lang w:eastAsia="zh-TW"/>
              </w:rPr>
              <w:t>例如，就穩定零售存款及穩定小型企業借款</w:t>
            </w:r>
            <w:r w:rsidR="00C8624D" w:rsidRPr="00CA7301">
              <w:rPr>
                <w:rFonts w:eastAsiaTheme="minorEastAsia" w:cs="Segoe UI"/>
                <w:sz w:val="17"/>
                <w:szCs w:val="17"/>
                <w:lang w:eastAsia="zh-TW"/>
              </w:rPr>
              <w:t>(</w:t>
            </w:r>
            <w:r w:rsidR="00C8624D" w:rsidRPr="00CA7301">
              <w:rPr>
                <w:rFonts w:cs="Segoe UI"/>
                <w:sz w:val="17"/>
                <w:szCs w:val="17"/>
                <w:lang w:eastAsia="zh-TW"/>
              </w:rPr>
              <w:t>SDF</w:t>
            </w:r>
            <w:r w:rsidR="00C8624D" w:rsidRPr="00CA7301">
              <w:rPr>
                <w:rFonts w:eastAsiaTheme="minorEastAsia" w:cs="Segoe UI"/>
                <w:sz w:val="17"/>
                <w:szCs w:val="17"/>
                <w:lang w:eastAsia="zh-TW"/>
              </w:rPr>
              <w:t>)</w:t>
            </w:r>
            <w:r w:rsidR="00C8624D" w:rsidRPr="00CA7301">
              <w:rPr>
                <w:rFonts w:eastAsiaTheme="minorEastAsia" w:cs="Segoe UI"/>
                <w:sz w:val="17"/>
                <w:szCs w:val="17"/>
                <w:lang w:eastAsia="zh-TW"/>
              </w:rPr>
              <w:t>而言：</w:t>
            </w:r>
          </w:p>
          <w:p w14:paraId="31F3C926" w14:textId="77777777" w:rsidR="00C8624D" w:rsidRPr="00CA7301" w:rsidRDefault="00C8624D" w:rsidP="00C8624D">
            <w:pPr>
              <w:keepNext/>
              <w:spacing w:before="40" w:after="40"/>
              <w:jc w:val="both"/>
              <w:rPr>
                <w:rFonts w:cs="Segoe UI"/>
                <w:i/>
                <w:sz w:val="17"/>
                <w:szCs w:val="17"/>
              </w:rPr>
            </w:pPr>
            <m:oMathPara>
              <m:oMath>
                <m:r>
                  <w:rPr>
                    <w:rFonts w:ascii="Cambria Math" w:eastAsia="新細明體" w:hAnsi="Cambria Math" w:cs="Segoe UI"/>
                    <w:sz w:val="17"/>
                    <w:szCs w:val="17"/>
                  </w:rPr>
                  <m:t>以非加權數額表述的</m:t>
                </m:r>
                <m:r>
                  <w:rPr>
                    <w:rFonts w:ascii="Cambria Math" w:eastAsia="新細明體" w:hAnsi="Cambria Math" w:cs="Segoe UI"/>
                    <w:sz w:val="17"/>
                    <w:szCs w:val="17"/>
                  </w:rPr>
                  <m:t xml:space="preserve"> SDF</m:t>
                </m:r>
                <m:r>
                  <w:rPr>
                    <w:rFonts w:ascii="Cambria Math" w:eastAsia="新細明體" w:hAnsi="Cambria Math" w:cs="Segoe UI"/>
                    <w:sz w:val="17"/>
                    <w:szCs w:val="17"/>
                  </w:rPr>
                  <m:t>平均值</m:t>
                </m:r>
                <m:r>
                  <w:rPr>
                    <w:rFonts w:ascii="Cambria Math" w:eastAsia="新細明體" w:hAnsi="Cambria Math" w:cs="Segoe UI"/>
                    <w:sz w:val="17"/>
                    <w:szCs w:val="17"/>
                  </w:rPr>
                  <m:t xml:space="preserve"> </m:t>
                </m:r>
                <m:r>
                  <w:rPr>
                    <w:rFonts w:ascii="Cambria Math" w:hAnsi="Cambria Math" w:cs="Segoe UI"/>
                    <w:sz w:val="17"/>
                    <w:szCs w:val="17"/>
                  </w:rPr>
                  <m:t xml:space="preserve"> </m:t>
                </m:r>
                <m:r>
                  <w:rPr>
                    <w:rFonts w:ascii="Cambria Math" w:hAnsi="Cambria Math" w:cs="Segoe UI"/>
                    <w:sz w:val="14"/>
                    <w:szCs w:val="17"/>
                  </w:rPr>
                  <m:t>Q</m:t>
                </m:r>
                <m:r>
                  <w:rPr>
                    <w:rFonts w:ascii="Cambria Math" w:hAnsi="Cambria Math" w:cs="Segoe UI"/>
                    <w:sz w:val="12"/>
                    <w:szCs w:val="17"/>
                  </w:rPr>
                  <m:t>i</m:t>
                </m:r>
                <m:r>
                  <w:rPr>
                    <w:rFonts w:ascii="Cambria Math" w:hAnsi="Cambria Math" w:cs="Segoe UI"/>
                    <w:sz w:val="17"/>
                    <w:szCs w:val="17"/>
                  </w:rPr>
                  <m:t>=</m:t>
                </m:r>
                <m:d>
                  <m:dPr>
                    <m:ctrlPr>
                      <w:rPr>
                        <w:rFonts w:ascii="Cambria Math" w:hAnsi="Cambria Math" w:cs="Segoe UI"/>
                        <w:i/>
                        <w:sz w:val="17"/>
                        <w:szCs w:val="17"/>
                      </w:rPr>
                    </m:ctrlPr>
                  </m:dPr>
                  <m:e>
                    <m:func>
                      <m:funcPr>
                        <m:ctrlPr>
                          <w:rPr>
                            <w:rFonts w:ascii="Cambria Math" w:hAnsi="Cambria Math" w:cs="Segoe UI"/>
                            <w:i/>
                            <w:sz w:val="17"/>
                            <w:szCs w:val="17"/>
                          </w:rPr>
                        </m:ctrlPr>
                      </m:funcPr>
                      <m:fName>
                        <m:r>
                          <w:rPr>
                            <w:rFonts w:ascii="Cambria Math" w:hAnsi="Cambria Math" w:cs="Segoe UI"/>
                            <w:sz w:val="17"/>
                            <w:szCs w:val="17"/>
                          </w:rPr>
                          <m:t xml:space="preserve"> </m:t>
                        </m:r>
                      </m:fName>
                      <m:e>
                        <m:f>
                          <m:fPr>
                            <m:ctrlPr>
                              <w:rPr>
                                <w:rFonts w:ascii="Cambria Math" w:hAnsi="Cambria Math" w:cs="Segoe UI"/>
                                <w:i/>
                                <w:sz w:val="17"/>
                                <w:szCs w:val="17"/>
                              </w:rPr>
                            </m:ctrlPr>
                          </m:fPr>
                          <m:num>
                            <m:r>
                              <w:rPr>
                                <w:rFonts w:ascii="Cambria Math" w:eastAsia="Cambria Math" w:hAnsi="Cambria Math" w:cs="Segoe UI"/>
                                <w:sz w:val="17"/>
                                <w:szCs w:val="17"/>
                              </w:rPr>
                              <m:t>1</m:t>
                            </m:r>
                          </m:num>
                          <m:den>
                            <m:r>
                              <w:rPr>
                                <w:rFonts w:ascii="Cambria Math" w:eastAsia="Cambria Math" w:hAnsi="Cambria Math" w:cs="Segoe UI"/>
                                <w:sz w:val="17"/>
                                <w:szCs w:val="17"/>
                              </w:rPr>
                              <m:t>N</m:t>
                            </m:r>
                          </m:den>
                        </m:f>
                      </m:e>
                    </m:func>
                    <m:r>
                      <w:rPr>
                        <w:rFonts w:ascii="Cambria Math" w:hAnsi="Cambria Math" w:cs="Segoe UI"/>
                        <w:sz w:val="17"/>
                        <w:szCs w:val="17"/>
                      </w:rPr>
                      <m:t xml:space="preserve">  </m:t>
                    </m:r>
                  </m:e>
                </m:d>
                <m:nary>
                  <m:naryPr>
                    <m:chr m:val="∑"/>
                    <m:grow m:val="1"/>
                    <m:ctrlPr>
                      <w:rPr>
                        <w:rFonts w:ascii="Cambria Math" w:hAnsi="Cambria Math" w:cs="Segoe UI"/>
                        <w:i/>
                        <w:sz w:val="17"/>
                        <w:szCs w:val="17"/>
                      </w:rPr>
                    </m:ctrlPr>
                  </m:naryPr>
                  <m:sub>
                    <m:r>
                      <w:rPr>
                        <w:rFonts w:ascii="Cambria Math" w:hAnsi="Cambria Math" w:cs="Segoe UI"/>
                        <w:sz w:val="17"/>
                        <w:szCs w:val="17"/>
                      </w:rPr>
                      <m:t>n=1</m:t>
                    </m:r>
                  </m:sub>
                  <m:sup>
                    <m:r>
                      <w:rPr>
                        <w:rFonts w:ascii="Cambria Math" w:hAnsi="Cambria Math" w:cs="Segoe UI"/>
                        <w:sz w:val="17"/>
                        <w:szCs w:val="17"/>
                      </w:rPr>
                      <m:t>N</m:t>
                    </m:r>
                  </m:sup>
                  <m:e>
                    <m:r>
                      <w:rPr>
                        <w:rFonts w:ascii="Cambria Math" w:hAnsi="Cambria Math" w:cs="Segoe UI"/>
                        <w:sz w:val="17"/>
                        <w:szCs w:val="17"/>
                      </w:rPr>
                      <m:t>uSDF</m:t>
                    </m:r>
                    <m:r>
                      <w:rPr>
                        <w:rFonts w:ascii="Cambria Math" w:hAnsi="Cambria Math" w:cs="Segoe UI"/>
                        <w:sz w:val="14"/>
                        <w:szCs w:val="17"/>
                      </w:rPr>
                      <m:t>n</m:t>
                    </m:r>
                  </m:e>
                </m:nary>
              </m:oMath>
            </m:oMathPara>
          </w:p>
          <w:p w14:paraId="70787B36" w14:textId="77777777" w:rsidR="00C8624D" w:rsidRPr="00CA7301" w:rsidRDefault="00C8624D" w:rsidP="00C8624D">
            <w:pPr>
              <w:keepNext/>
              <w:spacing w:before="40" w:after="40"/>
              <w:jc w:val="both"/>
              <w:rPr>
                <w:rFonts w:eastAsiaTheme="minorEastAsia" w:cs="Segoe UI"/>
                <w:sz w:val="17"/>
                <w:szCs w:val="17"/>
                <w:lang w:eastAsia="zh-TW"/>
              </w:rPr>
            </w:pPr>
            <w:r w:rsidRPr="00CA7301">
              <w:rPr>
                <w:rFonts w:eastAsia="細明體" w:cs="Segoe UI"/>
                <w:sz w:val="17"/>
                <w:szCs w:val="17"/>
                <w:lang w:eastAsia="zh-TW"/>
              </w:rPr>
              <w:t>其中</w:t>
            </w:r>
            <w:r w:rsidRPr="00CA7301">
              <w:rPr>
                <w:rFonts w:cs="Segoe UI"/>
                <w:sz w:val="17"/>
                <w:szCs w:val="17"/>
                <w:lang w:eastAsia="zh-TW"/>
              </w:rPr>
              <w:t>N</w:t>
            </w:r>
            <w:r w:rsidRPr="00CA7301">
              <w:rPr>
                <w:rFonts w:eastAsia="細明體" w:cs="Segoe UI"/>
                <w:sz w:val="17"/>
                <w:szCs w:val="17"/>
                <w:lang w:eastAsia="zh-TW"/>
              </w:rPr>
              <w:t>是用以計算季度</w:t>
            </w:r>
            <w:r w:rsidRPr="00CA7301">
              <w:rPr>
                <w:rFonts w:cs="Segoe UI"/>
                <w:sz w:val="17"/>
                <w:szCs w:val="17"/>
                <w:lang w:eastAsia="zh-TW"/>
              </w:rPr>
              <w:t>Qi</w:t>
            </w:r>
            <w:r w:rsidRPr="00CA7301">
              <w:rPr>
                <w:rFonts w:eastAsia="細明體" w:cs="Segoe UI"/>
                <w:sz w:val="17"/>
                <w:szCs w:val="17"/>
                <w:lang w:eastAsia="zh-TW"/>
              </w:rPr>
              <w:t>的有關平均值的數據點數目；而</w:t>
            </w:r>
            <w:proofErr w:type="spellStart"/>
            <w:r w:rsidRPr="00CA7301">
              <w:rPr>
                <w:rFonts w:cs="Segoe UI"/>
                <w:sz w:val="17"/>
                <w:szCs w:val="17"/>
                <w:lang w:eastAsia="zh-TW"/>
              </w:rPr>
              <w:t>uSDFn</w:t>
            </w:r>
            <w:proofErr w:type="spellEnd"/>
            <w:r w:rsidRPr="00CA7301">
              <w:rPr>
                <w:rFonts w:eastAsia="細明體" w:cs="Segoe UI"/>
                <w:sz w:val="17"/>
                <w:szCs w:val="17"/>
                <w:lang w:eastAsia="zh-TW"/>
              </w:rPr>
              <w:t>指於數據點</w:t>
            </w:r>
            <w:r w:rsidRPr="00CA7301">
              <w:rPr>
                <w:rFonts w:cs="Segoe UI"/>
                <w:sz w:val="17"/>
                <w:szCs w:val="17"/>
                <w:lang w:eastAsia="zh-TW"/>
              </w:rPr>
              <w:t>n</w:t>
            </w:r>
            <w:r w:rsidRPr="00CA7301">
              <w:rPr>
                <w:rFonts w:eastAsia="細明體" w:cs="Segoe UI"/>
                <w:sz w:val="17"/>
                <w:szCs w:val="17"/>
                <w:lang w:eastAsia="zh-TW"/>
              </w:rPr>
              <w:t>的</w:t>
            </w:r>
            <w:r w:rsidRPr="00CA7301">
              <w:rPr>
                <w:rFonts w:cs="Segoe UI"/>
                <w:sz w:val="17"/>
                <w:szCs w:val="17"/>
                <w:lang w:eastAsia="zh-TW"/>
              </w:rPr>
              <w:t>SDF</w:t>
            </w:r>
            <w:r w:rsidRPr="00CA7301">
              <w:rPr>
                <w:rFonts w:eastAsia="細明體" w:cs="Segoe UI"/>
                <w:sz w:val="17"/>
                <w:szCs w:val="17"/>
                <w:lang w:eastAsia="zh-TW"/>
              </w:rPr>
              <w:t>的非加權數額。</w:t>
            </w:r>
          </w:p>
        </w:tc>
      </w:tr>
      <w:tr w:rsidR="00C8624D" w:rsidRPr="00CA7301" w14:paraId="3DAC6C21" w14:textId="77777777" w:rsidTr="00877D8D">
        <w:tc>
          <w:tcPr>
            <w:tcW w:w="567" w:type="dxa"/>
          </w:tcPr>
          <w:p w14:paraId="18B8A2B3"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(b)</w:t>
            </w:r>
          </w:p>
        </w:tc>
        <w:tc>
          <w:tcPr>
            <w:tcW w:w="8647" w:type="dxa"/>
          </w:tcPr>
          <w:p w14:paraId="7E465CD4" w14:textId="77777777" w:rsidR="00C8624D" w:rsidRPr="00CA7301" w:rsidRDefault="00C8624D" w:rsidP="00C8624D">
            <w:pPr>
              <w:spacing w:before="40" w:after="40"/>
              <w:jc w:val="both"/>
              <w:rPr>
                <w:rFonts w:cs="Segoe UI"/>
                <w:sz w:val="17"/>
                <w:szCs w:val="17"/>
                <w:lang w:eastAsia="zh-TW"/>
              </w:rPr>
            </w:pPr>
            <w:r w:rsidRPr="00CA7301">
              <w:rPr>
                <w:rFonts w:eastAsia="細明體" w:cs="Segoe UI"/>
                <w:i/>
                <w:sz w:val="17"/>
                <w:szCs w:val="17"/>
                <w:lang w:eastAsia="zh-TW"/>
              </w:rPr>
              <w:t>加權值</w:t>
            </w:r>
            <w:r w:rsidRPr="00CA7301">
              <w:rPr>
                <w:rFonts w:eastAsia="細明體" w:cs="Segoe UI"/>
                <w:sz w:val="17"/>
                <w:szCs w:val="17"/>
                <w:lang w:eastAsia="zh-TW"/>
              </w:rPr>
              <w:t>：就在現金流出（</w:t>
            </w:r>
            <w:r w:rsidRPr="00CA7301">
              <w:rPr>
                <w:rFonts w:cs="Segoe UI"/>
                <w:sz w:val="17"/>
                <w:szCs w:val="17"/>
                <w:lang w:eastAsia="zh-TW"/>
              </w:rPr>
              <w:t>B</w:t>
            </w:r>
            <w:r w:rsidRPr="00CA7301">
              <w:rPr>
                <w:rFonts w:eastAsia="細明體" w:cs="Segoe UI"/>
                <w:sz w:val="17"/>
                <w:szCs w:val="17"/>
                <w:lang w:eastAsia="zh-TW"/>
              </w:rPr>
              <w:t>節）及現金流入（</w:t>
            </w:r>
            <w:r w:rsidRPr="00CA7301">
              <w:rPr>
                <w:rFonts w:cs="Segoe UI"/>
                <w:sz w:val="17"/>
                <w:szCs w:val="17"/>
                <w:lang w:eastAsia="zh-TW"/>
              </w:rPr>
              <w:t>C</w:t>
            </w:r>
            <w:r w:rsidRPr="00CA7301">
              <w:rPr>
                <w:rFonts w:eastAsia="細明體" w:cs="Segoe UI"/>
                <w:sz w:val="17"/>
                <w:szCs w:val="17"/>
                <w:lang w:eastAsia="zh-TW"/>
              </w:rPr>
              <w:t>節）項下的披露項目而言，指對該項目應用《流動性規則》所規定（與《守則》一併閱讀）對其適用的流出率或流入率</w:t>
            </w:r>
            <w:r w:rsidRPr="00CA7301">
              <w:rPr>
                <w:rFonts w:eastAsia="細明體" w:cs="Segoe UI"/>
                <w:sz w:val="17"/>
                <w:szCs w:val="17"/>
                <w:u w:val="single"/>
                <w:lang w:eastAsia="zh-TW"/>
              </w:rPr>
              <w:t>之後</w:t>
            </w:r>
            <w:r w:rsidRPr="00CA7301">
              <w:rPr>
                <w:rFonts w:eastAsia="細明體" w:cs="Segoe UI"/>
                <w:sz w:val="17"/>
                <w:szCs w:val="17"/>
                <w:lang w:eastAsia="zh-TW"/>
              </w:rPr>
              <w:t>所得的數額。例如，就</w:t>
            </w:r>
            <w:r w:rsidRPr="00CA7301">
              <w:rPr>
                <w:rFonts w:cs="Segoe UI"/>
                <w:sz w:val="17"/>
                <w:szCs w:val="17"/>
                <w:lang w:eastAsia="zh-TW"/>
              </w:rPr>
              <w:t>SDF</w:t>
            </w:r>
            <w:r w:rsidRPr="00CA7301">
              <w:rPr>
                <w:rFonts w:eastAsia="細明體" w:cs="Segoe UI"/>
                <w:sz w:val="17"/>
                <w:szCs w:val="17"/>
                <w:lang w:eastAsia="zh-TW"/>
              </w:rPr>
              <w:t>而言：</w:t>
            </w:r>
          </w:p>
          <w:p w14:paraId="6C642CDF" w14:textId="77777777" w:rsidR="00C8624D" w:rsidRPr="00CA7301" w:rsidRDefault="00C8624D" w:rsidP="00C8624D">
            <w:pPr>
              <w:spacing w:before="40" w:after="40"/>
              <w:jc w:val="both"/>
              <w:rPr>
                <w:rFonts w:cs="Segoe UI"/>
                <w:sz w:val="17"/>
                <w:szCs w:val="17"/>
              </w:rPr>
            </w:pPr>
            <m:oMathPara>
              <m:oMath>
                <m:r>
                  <w:rPr>
                    <w:rFonts w:ascii="Cambria Math" w:eastAsia="新細明體" w:hAnsi="Cambria Math" w:cs="Segoe UI"/>
                    <w:sz w:val="17"/>
                    <w:szCs w:val="17"/>
                  </w:rPr>
                  <m:t>以加權數額表述的</m:t>
                </m:r>
                <m:r>
                  <w:rPr>
                    <w:rFonts w:ascii="Cambria Math" w:hAnsi="Cambria Math" w:cs="Segoe UI"/>
                    <w:sz w:val="17"/>
                    <w:szCs w:val="17"/>
                  </w:rPr>
                  <m:t xml:space="preserve"> SDF </m:t>
                </m:r>
                <m:r>
                  <w:rPr>
                    <w:rFonts w:ascii="Cambria Math" w:eastAsia="新細明體" w:hAnsi="Cambria Math" w:cs="Segoe UI"/>
                    <w:sz w:val="17"/>
                    <w:szCs w:val="17"/>
                  </w:rPr>
                  <m:t>平均值</m:t>
                </m:r>
                <m:r>
                  <w:rPr>
                    <w:rFonts w:ascii="Cambria Math" w:hAnsi="Cambria Math" w:cs="Segoe UI"/>
                    <w:sz w:val="17"/>
                    <w:szCs w:val="17"/>
                  </w:rPr>
                  <m:t xml:space="preserve"> </m:t>
                </m:r>
                <m:r>
                  <w:rPr>
                    <w:rFonts w:ascii="Cambria Math" w:hAnsi="Cambria Math" w:cs="Segoe UI"/>
                    <w:sz w:val="14"/>
                    <w:szCs w:val="17"/>
                  </w:rPr>
                  <m:t>Q</m:t>
                </m:r>
                <m:r>
                  <w:rPr>
                    <w:rFonts w:ascii="Cambria Math" w:hAnsi="Cambria Math" w:cs="Segoe UI"/>
                    <w:sz w:val="12"/>
                    <w:szCs w:val="17"/>
                  </w:rPr>
                  <m:t>i</m:t>
                </m:r>
                <m:r>
                  <m:rPr>
                    <m:sty m:val="p"/>
                  </m:rPr>
                  <w:rPr>
                    <w:rFonts w:ascii="Cambria Math" w:hAnsi="Cambria Math" w:cs="Segoe UI"/>
                    <w:sz w:val="17"/>
                    <w:szCs w:val="17"/>
                  </w:rPr>
                  <m:t>=</m:t>
                </m:r>
                <m:d>
                  <m:dPr>
                    <m:ctrlPr>
                      <w:rPr>
                        <w:rFonts w:ascii="Cambria Math" w:hAnsi="Cambria Math" w:cs="Segoe UI"/>
                        <w:sz w:val="17"/>
                        <w:szCs w:val="17"/>
                      </w:rPr>
                    </m:ctrlPr>
                  </m:dPr>
                  <m:e>
                    <m:func>
                      <m:funcPr>
                        <m:ctrlPr>
                          <w:rPr>
                            <w:rFonts w:ascii="Cambria Math" w:hAnsi="Cambria Math" w:cs="Segoe UI"/>
                            <w:sz w:val="17"/>
                            <w:szCs w:val="17"/>
                          </w:rPr>
                        </m:ctrlPr>
                      </m:funcPr>
                      <m:fName>
                        <m:r>
                          <m:rPr>
                            <m:sty m:val="p"/>
                          </m:rPr>
                          <w:rPr>
                            <w:rFonts w:ascii="Cambria Math" w:hAnsi="Cambria Math" w:cs="Segoe UI"/>
                            <w:sz w:val="17"/>
                            <w:szCs w:val="17"/>
                          </w:rPr>
                          <m:t xml:space="preserve"> </m:t>
                        </m:r>
                      </m:fName>
                      <m:e>
                        <m:f>
                          <m:fPr>
                            <m:ctrlPr>
                              <w:rPr>
                                <w:rFonts w:ascii="Cambria Math" w:hAnsi="Cambria Math" w:cs="Segoe UI"/>
                                <w:sz w:val="17"/>
                                <w:szCs w:val="17"/>
                              </w:rPr>
                            </m:ctrlPr>
                          </m:fPr>
                          <m:num>
                            <m:r>
                              <m:rPr>
                                <m:sty m:val="p"/>
                              </m:rPr>
                              <w:rPr>
                                <w:rFonts w:ascii="Cambria Math" w:eastAsia="Cambria Math" w:hAnsi="Cambria Math" w:cs="Segoe UI"/>
                                <w:sz w:val="17"/>
                                <w:szCs w:val="17"/>
                              </w:rPr>
                              <m:t>1</m:t>
                            </m:r>
                          </m:num>
                          <m:den>
                            <m:r>
                              <w:rPr>
                                <w:rFonts w:ascii="Cambria Math" w:eastAsia="Cambria Math" w:hAnsi="Cambria Math" w:cs="Segoe UI"/>
                                <w:sz w:val="17"/>
                                <w:szCs w:val="17"/>
                              </w:rPr>
                              <m:t>N</m:t>
                            </m:r>
                          </m:den>
                        </m:f>
                      </m:e>
                    </m:func>
                    <m:r>
                      <m:rPr>
                        <m:sty m:val="p"/>
                      </m:rPr>
                      <w:rPr>
                        <w:rFonts w:ascii="Cambria Math" w:hAnsi="Cambria Math" w:cs="Segoe UI"/>
                        <w:sz w:val="17"/>
                        <w:szCs w:val="17"/>
                      </w:rPr>
                      <m:t xml:space="preserve">  </m:t>
                    </m:r>
                  </m:e>
                </m:d>
                <m:nary>
                  <m:naryPr>
                    <m:chr m:val="∑"/>
                    <m:grow m:val="1"/>
                    <m:ctrlPr>
                      <w:rPr>
                        <w:rFonts w:ascii="Cambria Math" w:hAnsi="Cambria Math" w:cs="Segoe UI"/>
                        <w:sz w:val="17"/>
                        <w:szCs w:val="17"/>
                      </w:rPr>
                    </m:ctrlPr>
                  </m:naryPr>
                  <m:sub>
                    <m:r>
                      <w:rPr>
                        <w:rFonts w:ascii="Cambria Math" w:hAnsi="Cambria Math" w:cs="Segoe UI"/>
                        <w:sz w:val="17"/>
                        <w:szCs w:val="17"/>
                      </w:rPr>
                      <m:t>n</m:t>
                    </m:r>
                    <m:r>
                      <m:rPr>
                        <m:sty m:val="p"/>
                      </m:rPr>
                      <w:rPr>
                        <w:rFonts w:ascii="Cambria Math" w:hAnsi="Cambria Math" w:cs="Segoe UI"/>
                        <w:sz w:val="17"/>
                        <w:szCs w:val="17"/>
                      </w:rPr>
                      <m:t>=1</m:t>
                    </m:r>
                  </m:sub>
                  <m:sup>
                    <m:r>
                      <w:rPr>
                        <w:rFonts w:ascii="Cambria Math" w:hAnsi="Cambria Math" w:cs="Segoe UI"/>
                        <w:sz w:val="17"/>
                        <w:szCs w:val="17"/>
                      </w:rPr>
                      <m:t>N</m:t>
                    </m:r>
                  </m:sup>
                  <m:e>
                    <m:r>
                      <w:rPr>
                        <w:rFonts w:ascii="Cambria Math" w:hAnsi="Cambria Math" w:cs="Segoe UI"/>
                        <w:sz w:val="17"/>
                        <w:szCs w:val="17"/>
                      </w:rPr>
                      <m:t>wSDF</m:t>
                    </m:r>
                    <m:r>
                      <m:rPr>
                        <m:sty m:val="p"/>
                      </m:rPr>
                      <w:rPr>
                        <w:rFonts w:ascii="Cambria Math" w:hAnsi="Cambria Math" w:cs="Segoe UI"/>
                        <w:sz w:val="14"/>
                        <w:szCs w:val="17"/>
                      </w:rPr>
                      <m:t>n</m:t>
                    </m:r>
                  </m:e>
                </m:nary>
              </m:oMath>
            </m:oMathPara>
          </w:p>
          <w:p w14:paraId="5A1A4A97" w14:textId="77777777" w:rsidR="00C8624D" w:rsidRPr="00CA7301" w:rsidRDefault="00C8624D" w:rsidP="00C8624D">
            <w:pPr>
              <w:spacing w:before="40" w:after="40"/>
              <w:jc w:val="both"/>
              <w:rPr>
                <w:rFonts w:eastAsiaTheme="minorEastAsia" w:cs="Segoe UI"/>
                <w:sz w:val="17"/>
                <w:szCs w:val="17"/>
                <w:lang w:eastAsia="zh-TW"/>
              </w:rPr>
            </w:pPr>
            <w:r w:rsidRPr="00CA7301">
              <w:rPr>
                <w:rFonts w:eastAsia="細明體" w:cs="Segoe UI"/>
                <w:sz w:val="17"/>
                <w:szCs w:val="17"/>
                <w:lang w:eastAsia="zh-TW"/>
              </w:rPr>
              <w:t>其中</w:t>
            </w:r>
            <w:r w:rsidRPr="00CA7301">
              <w:rPr>
                <w:rFonts w:cs="Segoe UI"/>
                <w:sz w:val="17"/>
                <w:szCs w:val="17"/>
                <w:lang w:eastAsia="zh-TW"/>
              </w:rPr>
              <w:t>N</w:t>
            </w:r>
            <w:r w:rsidRPr="00CA7301">
              <w:rPr>
                <w:rFonts w:eastAsia="細明體" w:cs="Segoe UI"/>
                <w:sz w:val="17"/>
                <w:szCs w:val="17"/>
                <w:lang w:eastAsia="zh-TW"/>
              </w:rPr>
              <w:t>是用以計算季度</w:t>
            </w:r>
            <w:r w:rsidRPr="00CA7301">
              <w:rPr>
                <w:rFonts w:cs="Segoe UI"/>
                <w:sz w:val="17"/>
                <w:szCs w:val="17"/>
                <w:lang w:eastAsia="zh-TW"/>
              </w:rPr>
              <w:t>Qi</w:t>
            </w:r>
            <w:r w:rsidRPr="00CA7301">
              <w:rPr>
                <w:rFonts w:eastAsia="細明體" w:cs="Segoe UI"/>
                <w:sz w:val="17"/>
                <w:szCs w:val="17"/>
                <w:lang w:eastAsia="zh-TW"/>
              </w:rPr>
              <w:t>的有關平均值的數據點數目；而</w:t>
            </w:r>
            <w:proofErr w:type="spellStart"/>
            <w:r w:rsidRPr="00CA7301">
              <w:rPr>
                <w:rFonts w:cs="Segoe UI"/>
                <w:sz w:val="17"/>
                <w:szCs w:val="17"/>
                <w:lang w:eastAsia="zh-TW"/>
              </w:rPr>
              <w:t>wSDFn</w:t>
            </w:r>
            <w:proofErr w:type="spellEnd"/>
            <w:r w:rsidRPr="00CA7301">
              <w:rPr>
                <w:rFonts w:eastAsia="細明體" w:cs="Segoe UI"/>
                <w:sz w:val="17"/>
                <w:szCs w:val="17"/>
                <w:lang w:eastAsia="zh-TW"/>
              </w:rPr>
              <w:t>指於數據點</w:t>
            </w:r>
            <w:r w:rsidRPr="00CA7301">
              <w:rPr>
                <w:rFonts w:cs="Segoe UI"/>
                <w:sz w:val="17"/>
                <w:szCs w:val="17"/>
                <w:lang w:eastAsia="zh-TW"/>
              </w:rPr>
              <w:t>n</w:t>
            </w:r>
            <w:r w:rsidRPr="00CA7301">
              <w:rPr>
                <w:rFonts w:eastAsia="細明體" w:cs="Segoe UI"/>
                <w:sz w:val="17"/>
                <w:szCs w:val="17"/>
                <w:lang w:eastAsia="zh-TW"/>
              </w:rPr>
              <w:t>的</w:t>
            </w:r>
            <w:r w:rsidRPr="00CA7301">
              <w:rPr>
                <w:rFonts w:cs="Segoe UI"/>
                <w:sz w:val="17"/>
                <w:szCs w:val="17"/>
                <w:lang w:eastAsia="zh-TW"/>
              </w:rPr>
              <w:t>SDF</w:t>
            </w:r>
            <w:r w:rsidRPr="00CA7301">
              <w:rPr>
                <w:rFonts w:eastAsia="細明體" w:cs="Segoe UI"/>
                <w:sz w:val="17"/>
                <w:szCs w:val="17"/>
                <w:lang w:eastAsia="zh-TW"/>
              </w:rPr>
              <w:t>的加權數額。</w:t>
            </w:r>
          </w:p>
        </w:tc>
      </w:tr>
      <w:tr w:rsidR="00C8624D" w:rsidRPr="00CA7301" w14:paraId="1914A4D9" w14:textId="77777777" w:rsidTr="00877D8D">
        <w:trPr>
          <w:trHeight w:val="373"/>
        </w:trPr>
        <w:tc>
          <w:tcPr>
            <w:tcW w:w="567" w:type="dxa"/>
          </w:tcPr>
          <w:p w14:paraId="1ABD0FB3" w14:textId="0197A2C4" w:rsidR="00C8624D" w:rsidRPr="00CA7301" w:rsidRDefault="00C8624D" w:rsidP="00C8624D">
            <w:pPr>
              <w:keepLines/>
              <w:widowControl w:val="0"/>
              <w:tabs>
                <w:tab w:val="left" w:pos="150"/>
                <w:tab w:val="left" w:pos="397"/>
                <w:tab w:val="left" w:pos="794"/>
                <w:tab w:val="left" w:pos="1191"/>
              </w:tabs>
              <w:spacing w:before="40" w:after="40"/>
              <w:ind w:rightChars="-54" w:right="-108"/>
              <w:rPr>
                <w:rFonts w:cs="Segoe UI"/>
                <w:sz w:val="17"/>
                <w:szCs w:val="17"/>
                <w:lang w:eastAsia="en-GB"/>
              </w:rPr>
            </w:pPr>
            <w:r w:rsidRPr="00CA7301">
              <w:rPr>
                <w:rFonts w:cs="Segoe UI"/>
                <w:sz w:val="17"/>
                <w:szCs w:val="17"/>
                <w:lang w:eastAsia="en-GB"/>
              </w:rPr>
              <w:t>(a)</w:t>
            </w:r>
            <w:r w:rsidR="007D180E">
              <w:rPr>
                <w:rFonts w:eastAsiaTheme="minorEastAsia" w:cs="Segoe UI" w:hint="eastAsia"/>
                <w:sz w:val="17"/>
                <w:szCs w:val="17"/>
                <w:lang w:eastAsia="zh-HK"/>
              </w:rPr>
              <w:t>及</w:t>
            </w:r>
            <w:r w:rsidRPr="00CA7301">
              <w:rPr>
                <w:rFonts w:cs="Segoe UI"/>
                <w:sz w:val="17"/>
                <w:szCs w:val="17"/>
                <w:lang w:eastAsia="en-GB"/>
              </w:rPr>
              <w:t>(b)</w:t>
            </w:r>
          </w:p>
        </w:tc>
        <w:tc>
          <w:tcPr>
            <w:tcW w:w="8647" w:type="dxa"/>
          </w:tcPr>
          <w:p w14:paraId="620FF41B"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i/>
                <w:sz w:val="17"/>
                <w:szCs w:val="17"/>
                <w:lang w:eastAsia="zh-TW"/>
              </w:rPr>
            </w:pPr>
            <w:r w:rsidRPr="00CA7301">
              <w:rPr>
                <w:rFonts w:eastAsia="細明體" w:cs="Segoe UI"/>
                <w:i/>
                <w:sz w:val="17"/>
                <w:szCs w:val="17"/>
                <w:lang w:eastAsia="zh-TW"/>
              </w:rPr>
              <w:t>（</w:t>
            </w:r>
            <w:r w:rsidRPr="00CA7301">
              <w:rPr>
                <w:rFonts w:eastAsiaTheme="minorEastAsia" w:cs="Segoe UI"/>
                <w:i/>
                <w:sz w:val="17"/>
                <w:szCs w:val="17"/>
                <w:lang w:eastAsia="zh-TW"/>
              </w:rPr>
              <w:t>平均值</w:t>
            </w:r>
            <w:r w:rsidRPr="00CA7301">
              <w:rPr>
                <w:rFonts w:eastAsia="細明體" w:cs="Segoe UI"/>
                <w:i/>
                <w:sz w:val="17"/>
                <w:szCs w:val="17"/>
                <w:lang w:eastAsia="zh-TW"/>
              </w:rPr>
              <w:t>）</w:t>
            </w:r>
            <w:r w:rsidRPr="00CA7301">
              <w:rPr>
                <w:rFonts w:eastAsiaTheme="minorEastAsia" w:cs="Segoe UI"/>
                <w:sz w:val="17"/>
                <w:szCs w:val="17"/>
                <w:lang w:eastAsia="zh-TW"/>
              </w:rPr>
              <w:t>：每</w:t>
            </w:r>
            <w:proofErr w:type="gramStart"/>
            <w:r w:rsidRPr="00CA7301">
              <w:rPr>
                <w:rFonts w:eastAsiaTheme="minorEastAsia" w:cs="Segoe UI"/>
                <w:sz w:val="17"/>
                <w:szCs w:val="17"/>
                <w:lang w:eastAsia="zh-TW"/>
              </w:rPr>
              <w:t>個</w:t>
            </w:r>
            <w:proofErr w:type="gramEnd"/>
            <w:r w:rsidRPr="00CA7301">
              <w:rPr>
                <w:rFonts w:eastAsiaTheme="minorEastAsia" w:cs="Segoe UI"/>
                <w:sz w:val="17"/>
                <w:szCs w:val="17"/>
                <w:lang w:eastAsia="zh-TW"/>
              </w:rPr>
              <w:t>披露項目的「平均值」應</w:t>
            </w:r>
            <w:r w:rsidRPr="00CA7301">
              <w:rPr>
                <w:rFonts w:cs="Segoe UI"/>
                <w:sz w:val="17"/>
                <w:szCs w:val="17"/>
                <w:lang w:eastAsia="zh-TW"/>
              </w:rPr>
              <w:t>(</w:t>
            </w:r>
            <w:proofErr w:type="spellStart"/>
            <w:r w:rsidRPr="00CA7301">
              <w:rPr>
                <w:rFonts w:cs="Segoe UI"/>
                <w:sz w:val="17"/>
                <w:szCs w:val="17"/>
                <w:lang w:eastAsia="zh-TW"/>
              </w:rPr>
              <w:t>i</w:t>
            </w:r>
            <w:proofErr w:type="spellEnd"/>
            <w:r w:rsidRPr="00CA7301">
              <w:rPr>
                <w:rFonts w:cs="Segoe UI"/>
                <w:sz w:val="17"/>
                <w:szCs w:val="17"/>
                <w:lang w:eastAsia="zh-TW"/>
              </w:rPr>
              <w:t>)</w:t>
            </w:r>
            <w:r w:rsidRPr="00CA7301">
              <w:rPr>
                <w:rFonts w:eastAsia="細明體" w:cs="Segoe UI"/>
                <w:sz w:val="17"/>
                <w:szCs w:val="17"/>
                <w:lang w:eastAsia="zh-TW"/>
              </w:rPr>
              <w:t>根據在申報季度內每</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工作日終結時該項目的算術平均數</w:t>
            </w:r>
            <w:proofErr w:type="gramStart"/>
            <w:r w:rsidRPr="00CA7301">
              <w:rPr>
                <w:rFonts w:eastAsia="細明體" w:cs="Segoe UI"/>
                <w:sz w:val="17"/>
                <w:szCs w:val="17"/>
                <w:lang w:eastAsia="zh-TW"/>
              </w:rPr>
              <w:t>（</w:t>
            </w:r>
            <w:proofErr w:type="gramEnd"/>
            <w:r w:rsidRPr="00CA7301">
              <w:rPr>
                <w:rFonts w:eastAsia="細明體" w:cs="Segoe UI"/>
                <w:sz w:val="17"/>
                <w:szCs w:val="17"/>
                <w:lang w:eastAsia="zh-TW"/>
              </w:rPr>
              <w:t>以「非加權數額」、「加權數額」及「經調整價值」</w:t>
            </w:r>
            <w:proofErr w:type="gramStart"/>
            <w:r w:rsidRPr="00CA7301">
              <w:rPr>
                <w:rFonts w:eastAsia="細明體" w:cs="Segoe UI"/>
                <w:sz w:val="17"/>
                <w:szCs w:val="17"/>
                <w:lang w:eastAsia="zh-TW"/>
              </w:rPr>
              <w:t>（</w:t>
            </w:r>
            <w:proofErr w:type="gramEnd"/>
            <w:r w:rsidRPr="00CA7301">
              <w:rPr>
                <w:rFonts w:eastAsia="細明體" w:cs="Segoe UI"/>
                <w:sz w:val="17"/>
                <w:szCs w:val="17"/>
                <w:lang w:eastAsia="zh-TW"/>
              </w:rPr>
              <w:t>視適用情況而定</w:t>
            </w:r>
            <w:proofErr w:type="gramStart"/>
            <w:r w:rsidRPr="00CA7301">
              <w:rPr>
                <w:rFonts w:eastAsia="細明體" w:cs="Segoe UI"/>
                <w:sz w:val="17"/>
                <w:szCs w:val="17"/>
                <w:lang w:eastAsia="zh-TW"/>
              </w:rPr>
              <w:t>）</w:t>
            </w:r>
            <w:proofErr w:type="gramEnd"/>
            <w:r w:rsidRPr="00CA7301">
              <w:rPr>
                <w:rFonts w:eastAsia="細明體" w:cs="Segoe UI"/>
                <w:sz w:val="17"/>
                <w:szCs w:val="17"/>
                <w:lang w:eastAsia="zh-TW"/>
              </w:rPr>
              <w:t>表述</w:t>
            </w:r>
            <w:proofErr w:type="gramStart"/>
            <w:r w:rsidRPr="00CA7301">
              <w:rPr>
                <w:rFonts w:eastAsia="細明體" w:cs="Segoe UI"/>
                <w:sz w:val="17"/>
                <w:szCs w:val="17"/>
                <w:lang w:eastAsia="zh-TW"/>
              </w:rPr>
              <w:t>）</w:t>
            </w:r>
            <w:proofErr w:type="gramEnd"/>
            <w:r w:rsidRPr="00CA7301">
              <w:rPr>
                <w:rFonts w:eastAsia="細明體" w:cs="Segoe UI"/>
                <w:sz w:val="17"/>
                <w:szCs w:val="17"/>
                <w:lang w:eastAsia="zh-TW"/>
              </w:rPr>
              <w:t>計算；及</w:t>
            </w:r>
            <w:r w:rsidRPr="00CA7301">
              <w:rPr>
                <w:rFonts w:cs="Segoe UI"/>
                <w:sz w:val="17"/>
                <w:szCs w:val="17"/>
                <w:lang w:eastAsia="zh-TW"/>
              </w:rPr>
              <w:t>(ii)</w:t>
            </w:r>
            <w:r w:rsidRPr="00CA7301">
              <w:rPr>
                <w:rFonts w:eastAsia="細明體" w:cs="Segoe UI"/>
                <w:sz w:val="17"/>
                <w:szCs w:val="17"/>
                <w:lang w:eastAsia="zh-TW"/>
              </w:rPr>
              <w:t>根據「流動性狀況申報表」</w:t>
            </w:r>
            <w:r w:rsidRPr="00CA7301">
              <w:rPr>
                <w:rFonts w:cs="Segoe UI"/>
                <w:sz w:val="17"/>
                <w:szCs w:val="17"/>
                <w:lang w:eastAsia="zh-TW"/>
              </w:rPr>
              <w:t>(MA(BS)1E)</w:t>
            </w:r>
            <w:r w:rsidRPr="00CA7301">
              <w:rPr>
                <w:rFonts w:eastAsia="細明體" w:cs="Segoe UI"/>
                <w:sz w:val="17"/>
                <w:szCs w:val="17"/>
                <w:lang w:eastAsia="zh-TW"/>
              </w:rPr>
              <w:t>所載計算方法及指示計算。這表示由於該申報表是按月（而非按日）提交，未能直接從該表內摘錄或得出指明季度內每</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披露項目的日終狀況，因此第</w:t>
            </w:r>
            <w:r w:rsidRPr="00CA7301">
              <w:rPr>
                <w:rFonts w:cs="Segoe UI"/>
                <w:sz w:val="17"/>
                <w:szCs w:val="17"/>
                <w:lang w:eastAsia="zh-TW"/>
              </w:rPr>
              <w:t>1</w:t>
            </w:r>
            <w:r w:rsidRPr="00CA7301">
              <w:rPr>
                <w:rFonts w:eastAsia="細明體" w:cs="Segoe UI"/>
                <w:sz w:val="17"/>
                <w:szCs w:val="17"/>
                <w:lang w:eastAsia="zh-TW"/>
              </w:rPr>
              <w:t>類機構應按照該表指明的計算方法及指示計算每</w:t>
            </w:r>
            <w:proofErr w:type="gramStart"/>
            <w:r w:rsidRPr="00CA7301">
              <w:rPr>
                <w:rFonts w:eastAsia="細明體" w:cs="Segoe UI"/>
                <w:sz w:val="17"/>
                <w:szCs w:val="17"/>
                <w:lang w:eastAsia="zh-TW"/>
              </w:rPr>
              <w:t>個</w:t>
            </w:r>
            <w:proofErr w:type="gramEnd"/>
            <w:r w:rsidRPr="00CA7301">
              <w:rPr>
                <w:rFonts w:eastAsia="細明體" w:cs="Segoe UI"/>
                <w:sz w:val="17"/>
                <w:szCs w:val="17"/>
                <w:lang w:eastAsia="zh-TW"/>
              </w:rPr>
              <w:t>披露項目的日終狀況。</w:t>
            </w:r>
          </w:p>
        </w:tc>
      </w:tr>
      <w:tr w:rsidR="00C8624D" w:rsidRPr="00CA7301" w14:paraId="7F465484" w14:textId="77777777" w:rsidTr="00877D8D">
        <w:trPr>
          <w:trHeight w:val="373"/>
        </w:trPr>
        <w:tc>
          <w:tcPr>
            <w:tcW w:w="9214" w:type="dxa"/>
            <w:gridSpan w:val="2"/>
            <w:shd w:val="clear" w:color="auto" w:fill="F2F2F2" w:themeFill="background1" w:themeFillShade="F2"/>
          </w:tcPr>
          <w:p w14:paraId="4804E808" w14:textId="77777777" w:rsidR="00C8624D" w:rsidRPr="00CA7301" w:rsidRDefault="00C8624D" w:rsidP="00C8624D">
            <w:pPr>
              <w:spacing w:before="40" w:after="40"/>
              <w:jc w:val="both"/>
              <w:rPr>
                <w:rFonts w:cs="Segoe UI"/>
                <w:i/>
                <w:sz w:val="17"/>
                <w:szCs w:val="17"/>
              </w:rPr>
            </w:pPr>
            <w:r w:rsidRPr="00CA7301">
              <w:rPr>
                <w:rFonts w:eastAsiaTheme="minorEastAsia" w:cs="Segoe UI"/>
                <w:b/>
                <w:sz w:val="17"/>
                <w:szCs w:val="17"/>
                <w:lang w:eastAsia="zh-TW"/>
              </w:rPr>
              <w:t>行</w:t>
            </w:r>
            <w:r w:rsidRPr="00CA7301">
              <w:rPr>
                <w:rFonts w:eastAsiaTheme="minorEastAsia" w:cs="Segoe UI"/>
                <w:b/>
                <w:sz w:val="17"/>
                <w:szCs w:val="17"/>
                <w:vertAlign w:val="superscript"/>
                <w:lang w:eastAsia="en-GB"/>
              </w:rPr>
              <w:footnoteReference w:id="9"/>
            </w:r>
          </w:p>
        </w:tc>
      </w:tr>
      <w:tr w:rsidR="00C8624D" w:rsidRPr="00CA7301" w14:paraId="1AA03551" w14:textId="77777777" w:rsidTr="00877D8D">
        <w:trPr>
          <w:trHeight w:val="373"/>
        </w:trPr>
        <w:tc>
          <w:tcPr>
            <w:tcW w:w="567" w:type="dxa"/>
          </w:tcPr>
          <w:p w14:paraId="48255572"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w:t>
            </w:r>
          </w:p>
        </w:tc>
        <w:tc>
          <w:tcPr>
            <w:tcW w:w="8647" w:type="dxa"/>
          </w:tcPr>
          <w:p w14:paraId="5B4BDC3E"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細明體" w:cs="Segoe UI"/>
                <w:sz w:val="17"/>
                <w:szCs w:val="17"/>
                <w:lang w:eastAsia="zh-TW"/>
              </w:rPr>
              <w:t>在應用任何適用扣減後但在應用任何適用上限前</w:t>
            </w:r>
            <w:r w:rsidRPr="00CA7301">
              <w:rPr>
                <w:rFonts w:cs="Segoe UI"/>
                <w:sz w:val="17"/>
                <w:szCs w:val="17"/>
                <w:vertAlign w:val="superscript"/>
              </w:rPr>
              <w:footnoteReference w:id="10"/>
            </w:r>
            <w:r w:rsidRPr="00CA7301">
              <w:rPr>
                <w:rFonts w:eastAsia="細明體" w:cs="Segoe UI"/>
                <w:sz w:val="17"/>
                <w:szCs w:val="17"/>
                <w:lang w:eastAsia="zh-TW"/>
              </w:rPr>
              <w:t>（按《流動性規則》的規定）</w:t>
            </w:r>
            <w:r w:rsidRPr="00CA7301">
              <w:rPr>
                <w:rFonts w:eastAsiaTheme="minorEastAsia" w:cs="Segoe UI"/>
                <w:sz w:val="17"/>
                <w:szCs w:val="17"/>
                <w:lang w:eastAsia="zh-TW"/>
              </w:rPr>
              <w:t>而</w:t>
            </w:r>
            <w:r w:rsidRPr="00CA7301">
              <w:rPr>
                <w:rFonts w:eastAsia="細明體" w:cs="Segoe UI"/>
                <w:sz w:val="17"/>
                <w:szCs w:val="17"/>
                <w:lang w:eastAsia="zh-TW"/>
              </w:rPr>
              <w:t>符合《流動性規則》第</w:t>
            </w:r>
            <w:r w:rsidRPr="00CA7301">
              <w:rPr>
                <w:rFonts w:cs="Segoe UI"/>
                <w:sz w:val="17"/>
                <w:szCs w:val="17"/>
                <w:lang w:eastAsia="zh-TW"/>
              </w:rPr>
              <w:t>25</w:t>
            </w:r>
            <w:r w:rsidRPr="00CA7301">
              <w:rPr>
                <w:rFonts w:eastAsiaTheme="minorEastAsia" w:cs="Segoe UI"/>
                <w:sz w:val="17"/>
                <w:szCs w:val="17"/>
                <w:lang w:eastAsia="zh-TW"/>
              </w:rPr>
              <w:t>條</w:t>
            </w:r>
            <w:r w:rsidRPr="00CA7301">
              <w:rPr>
                <w:rFonts w:eastAsia="細明體" w:cs="Segoe UI"/>
                <w:sz w:val="17"/>
                <w:szCs w:val="17"/>
                <w:lang w:eastAsia="zh-TW"/>
              </w:rPr>
              <w:t>適用規定的所有</w:t>
            </w:r>
            <w:r w:rsidRPr="00CA7301">
              <w:rPr>
                <w:rFonts w:cs="Segoe UI"/>
                <w:sz w:val="17"/>
                <w:szCs w:val="17"/>
                <w:lang w:eastAsia="zh-TW"/>
              </w:rPr>
              <w:t>HQLA</w:t>
            </w:r>
            <w:r w:rsidRPr="00CA7301">
              <w:rPr>
                <w:rFonts w:eastAsiaTheme="minorEastAsia" w:cs="Segoe UI"/>
                <w:sz w:val="17"/>
                <w:szCs w:val="17"/>
                <w:lang w:eastAsia="zh-TW"/>
              </w:rPr>
              <w:t>。</w:t>
            </w:r>
          </w:p>
          <w:p w14:paraId="084D0A99" w14:textId="77777777" w:rsidR="00C8624D" w:rsidRPr="00CA7301" w:rsidRDefault="00C8624D" w:rsidP="00C8624D">
            <w:pPr>
              <w:spacing w:before="40" w:after="40"/>
              <w:jc w:val="both"/>
              <w:rPr>
                <w:rFonts w:eastAsia="細明體" w:cs="Segoe UI"/>
                <w:sz w:val="17"/>
                <w:szCs w:val="17"/>
                <w:lang w:eastAsia="zh-TW"/>
              </w:rPr>
            </w:pPr>
            <w:r w:rsidRPr="00CA7301">
              <w:rPr>
                <w:rFonts w:cs="Segoe UI"/>
                <w:sz w:val="17"/>
                <w:szCs w:val="17"/>
                <w:lang w:eastAsia="zh-TW"/>
              </w:rPr>
              <w:t>HQLA</w:t>
            </w:r>
            <w:r w:rsidRPr="00CA7301">
              <w:rPr>
                <w:rFonts w:eastAsia="細明體" w:cs="Segoe UI"/>
                <w:sz w:val="17"/>
                <w:szCs w:val="17"/>
                <w:lang w:eastAsia="zh-TW"/>
              </w:rPr>
              <w:t>總額的加權數額，是以該</w:t>
            </w:r>
            <w:r w:rsidRPr="00CA7301">
              <w:rPr>
                <w:rFonts w:cs="Segoe UI"/>
                <w:sz w:val="17"/>
                <w:szCs w:val="17"/>
                <w:lang w:eastAsia="zh-TW"/>
              </w:rPr>
              <w:t>HQLA</w:t>
            </w:r>
            <w:r w:rsidRPr="00CA7301">
              <w:rPr>
                <w:rFonts w:eastAsia="細明體" w:cs="Segoe UI"/>
                <w:sz w:val="17"/>
                <w:szCs w:val="17"/>
                <w:lang w:eastAsia="zh-TW"/>
              </w:rPr>
              <w:t>的總本金額減去適用於有關資產的任何扣減（按照《流動性規則》第</w:t>
            </w:r>
            <w:r w:rsidRPr="00CA7301">
              <w:rPr>
                <w:rFonts w:cs="Segoe UI"/>
                <w:sz w:val="17"/>
                <w:szCs w:val="17"/>
                <w:lang w:eastAsia="zh-TW"/>
              </w:rPr>
              <w:t>35</w:t>
            </w:r>
            <w:r w:rsidRPr="00CA7301">
              <w:rPr>
                <w:rFonts w:eastAsiaTheme="minorEastAsia" w:cs="Segoe UI"/>
                <w:sz w:val="17"/>
                <w:szCs w:val="17"/>
                <w:lang w:eastAsia="zh-TW"/>
              </w:rPr>
              <w:t>條</w:t>
            </w:r>
            <w:r w:rsidRPr="00CA7301">
              <w:rPr>
                <w:rFonts w:eastAsia="細明體" w:cs="Segoe UI"/>
                <w:sz w:val="17"/>
                <w:szCs w:val="17"/>
                <w:lang w:eastAsia="zh-TW"/>
              </w:rPr>
              <w:t>及（如適用）《流動性規則》第</w:t>
            </w:r>
            <w:r w:rsidRPr="00CA7301">
              <w:rPr>
                <w:rFonts w:cs="Segoe UI"/>
                <w:sz w:val="17"/>
                <w:szCs w:val="17"/>
                <w:lang w:eastAsia="zh-TW"/>
              </w:rPr>
              <w:t>38</w:t>
            </w:r>
            <w:r w:rsidRPr="00CA7301">
              <w:rPr>
                <w:rFonts w:eastAsiaTheme="minorEastAsia" w:cs="Segoe UI"/>
                <w:sz w:val="17"/>
                <w:szCs w:val="17"/>
                <w:lang w:eastAsia="zh-TW"/>
              </w:rPr>
              <w:t>條</w:t>
            </w:r>
            <w:r w:rsidRPr="00CA7301">
              <w:rPr>
                <w:rFonts w:eastAsia="細明體" w:cs="Segoe UI"/>
                <w:sz w:val="17"/>
                <w:szCs w:val="17"/>
                <w:lang w:eastAsia="zh-TW"/>
              </w:rPr>
              <w:t>）、但未應用</w:t>
            </w:r>
            <w:r w:rsidRPr="00CA7301">
              <w:rPr>
                <w:rFonts w:cs="Segoe UI"/>
                <w:sz w:val="17"/>
                <w:szCs w:val="17"/>
                <w:lang w:eastAsia="zh-TW"/>
              </w:rPr>
              <w:t>2B</w:t>
            </w:r>
            <w:r w:rsidRPr="00CA7301">
              <w:rPr>
                <w:rFonts w:eastAsia="細明體" w:cs="Segoe UI"/>
                <w:sz w:val="17"/>
                <w:szCs w:val="17"/>
                <w:lang w:eastAsia="zh-TW"/>
              </w:rPr>
              <w:t>級資產的</w:t>
            </w:r>
            <w:r w:rsidRPr="00CA7301">
              <w:rPr>
                <w:rFonts w:cs="Segoe UI"/>
                <w:sz w:val="17"/>
                <w:szCs w:val="17"/>
                <w:lang w:eastAsia="zh-TW"/>
              </w:rPr>
              <w:t>15%</w:t>
            </w:r>
            <w:r w:rsidRPr="00CA7301">
              <w:rPr>
                <w:rFonts w:eastAsia="細明體" w:cs="Segoe UI"/>
                <w:sz w:val="17"/>
                <w:szCs w:val="17"/>
                <w:lang w:eastAsia="zh-TW"/>
              </w:rPr>
              <w:t>上限及</w:t>
            </w:r>
            <w:r w:rsidRPr="00CA7301">
              <w:rPr>
                <w:rFonts w:cs="Segoe UI"/>
                <w:sz w:val="17"/>
                <w:szCs w:val="17"/>
                <w:lang w:eastAsia="zh-TW"/>
              </w:rPr>
              <w:t>2A</w:t>
            </w:r>
            <w:r w:rsidRPr="00CA7301">
              <w:rPr>
                <w:rFonts w:eastAsia="細明體" w:cs="Segoe UI"/>
                <w:sz w:val="17"/>
                <w:szCs w:val="17"/>
                <w:lang w:eastAsia="zh-TW"/>
              </w:rPr>
              <w:t>級資產與</w:t>
            </w:r>
            <w:r w:rsidRPr="00CA7301">
              <w:rPr>
                <w:rFonts w:cs="Segoe UI"/>
                <w:sz w:val="17"/>
                <w:szCs w:val="17"/>
                <w:lang w:eastAsia="zh-TW"/>
              </w:rPr>
              <w:t>2B</w:t>
            </w:r>
            <w:r w:rsidRPr="00CA7301">
              <w:rPr>
                <w:rFonts w:eastAsia="細明體" w:cs="Segoe UI"/>
                <w:sz w:val="17"/>
                <w:szCs w:val="17"/>
                <w:lang w:eastAsia="zh-TW"/>
              </w:rPr>
              <w:t>級資產之和的</w:t>
            </w:r>
            <w:r w:rsidRPr="00CA7301">
              <w:rPr>
                <w:rFonts w:cs="Segoe UI"/>
                <w:sz w:val="17"/>
                <w:szCs w:val="17"/>
                <w:lang w:eastAsia="zh-TW"/>
              </w:rPr>
              <w:t>40%</w:t>
            </w:r>
            <w:r w:rsidRPr="00CA7301">
              <w:rPr>
                <w:rFonts w:eastAsia="細明體" w:cs="Segoe UI"/>
                <w:sz w:val="17"/>
                <w:szCs w:val="17"/>
                <w:lang w:eastAsia="zh-TW"/>
              </w:rPr>
              <w:t>上限（按照《流動性規則》第</w:t>
            </w:r>
            <w:r w:rsidRPr="00CA7301">
              <w:rPr>
                <w:rFonts w:cs="Segoe UI"/>
                <w:sz w:val="17"/>
                <w:szCs w:val="17"/>
                <w:lang w:eastAsia="zh-TW"/>
              </w:rPr>
              <w:t>33</w:t>
            </w:r>
            <w:r w:rsidRPr="00CA7301">
              <w:rPr>
                <w:rFonts w:eastAsia="細明體" w:cs="Segoe UI"/>
                <w:sz w:val="17"/>
                <w:szCs w:val="17"/>
                <w:lang w:eastAsia="zh-TW"/>
              </w:rPr>
              <w:t>及</w:t>
            </w:r>
            <w:r w:rsidRPr="00CA7301">
              <w:rPr>
                <w:rFonts w:eastAsia="細明體" w:cs="Segoe UI"/>
                <w:sz w:val="17"/>
                <w:szCs w:val="17"/>
                <w:lang w:eastAsia="zh-TW"/>
              </w:rPr>
              <w:t>34</w:t>
            </w:r>
            <w:r w:rsidRPr="00CA7301">
              <w:rPr>
                <w:rFonts w:eastAsiaTheme="minorEastAsia" w:cs="Segoe UI"/>
                <w:sz w:val="17"/>
                <w:szCs w:val="17"/>
                <w:lang w:eastAsia="zh-TW"/>
              </w:rPr>
              <w:t>條</w:t>
            </w:r>
            <w:r w:rsidRPr="00CA7301">
              <w:rPr>
                <w:rFonts w:eastAsia="細明體" w:cs="Segoe UI"/>
                <w:sz w:val="17"/>
                <w:szCs w:val="17"/>
                <w:lang w:eastAsia="zh-TW"/>
              </w:rPr>
              <w:t>（如適用））。</w:t>
            </w:r>
          </w:p>
          <w:p w14:paraId="0E9C3B6B" w14:textId="77777777" w:rsidR="00C8624D" w:rsidRPr="00CA7301" w:rsidRDefault="00C8624D" w:rsidP="00C8624D">
            <w:pPr>
              <w:spacing w:before="40" w:after="40"/>
              <w:jc w:val="both"/>
              <w:rPr>
                <w:rFonts w:eastAsiaTheme="minorEastAsia" w:cs="Segoe UI"/>
                <w:sz w:val="17"/>
                <w:szCs w:val="17"/>
                <w:lang w:eastAsia="zh-TW"/>
              </w:rPr>
            </w:pPr>
            <w:r w:rsidRPr="00CA7301">
              <w:rPr>
                <w:rFonts w:eastAsiaTheme="minorEastAsia" w:cs="Segoe UI"/>
                <w:sz w:val="17"/>
                <w:szCs w:val="17"/>
                <w:lang w:eastAsia="zh-TW"/>
              </w:rPr>
              <w:t>{</w:t>
            </w:r>
            <w:r w:rsidRPr="00CA7301">
              <w:rPr>
                <w:rFonts w:eastAsiaTheme="minorEastAsia" w:cs="Segoe UI"/>
                <w:sz w:val="17"/>
                <w:szCs w:val="17"/>
                <w:lang w:eastAsia="zh-TW"/>
              </w:rPr>
              <w:t>項目</w:t>
            </w:r>
            <w:r w:rsidRPr="00CA7301">
              <w:rPr>
                <w:rFonts w:eastAsiaTheme="minorEastAsia" w:cs="Segoe UI"/>
                <w:sz w:val="17"/>
                <w:szCs w:val="17"/>
                <w:lang w:eastAsia="zh-TW"/>
              </w:rPr>
              <w:t>A4 (</w:t>
            </w:r>
            <w:r w:rsidRPr="00CA7301">
              <w:rPr>
                <w:rFonts w:eastAsiaTheme="minorEastAsia" w:cs="Segoe UI"/>
                <w:sz w:val="17"/>
                <w:szCs w:val="17"/>
                <w:lang w:eastAsia="zh-TW"/>
              </w:rPr>
              <w:t>減去項目</w:t>
            </w:r>
            <w:r w:rsidRPr="00CA7301">
              <w:rPr>
                <w:rFonts w:eastAsiaTheme="minorEastAsia" w:cs="Segoe UI"/>
                <w:sz w:val="17"/>
                <w:szCs w:val="17"/>
                <w:lang w:eastAsia="zh-TW"/>
              </w:rPr>
              <w:t>A6(</w:t>
            </w:r>
            <w:r w:rsidRPr="00CA7301">
              <w:rPr>
                <w:rFonts w:eastAsiaTheme="minorEastAsia" w:cs="Segoe UI"/>
                <w:sz w:val="17"/>
                <w:szCs w:val="17"/>
                <w:lang w:eastAsia="zh-TW"/>
              </w:rPr>
              <w:t>如適用</w:t>
            </w:r>
            <w:r w:rsidRPr="00CA7301">
              <w:rPr>
                <w:rFonts w:eastAsiaTheme="minorEastAsia" w:cs="Segoe UI"/>
                <w:sz w:val="17"/>
                <w:szCs w:val="17"/>
                <w:lang w:eastAsia="zh-TW"/>
              </w:rPr>
              <w:t>))}</w:t>
            </w:r>
          </w:p>
        </w:tc>
      </w:tr>
      <w:tr w:rsidR="00C8624D" w:rsidRPr="00CA7301" w14:paraId="2FB86570" w14:textId="77777777" w:rsidTr="00877D8D">
        <w:trPr>
          <w:trHeight w:val="373"/>
        </w:trPr>
        <w:tc>
          <w:tcPr>
            <w:tcW w:w="567" w:type="dxa"/>
          </w:tcPr>
          <w:p w14:paraId="0F2A15CF"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w:t>
            </w:r>
          </w:p>
        </w:tc>
        <w:tc>
          <w:tcPr>
            <w:tcW w:w="8647" w:type="dxa"/>
          </w:tcPr>
          <w:p w14:paraId="5C934E36"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細明體" w:cs="Segoe UI"/>
                <w:sz w:val="17"/>
                <w:szCs w:val="17"/>
                <w:lang w:eastAsia="zh-TW"/>
              </w:rPr>
              <w:t>零售存款及小型企業借款（</w:t>
            </w:r>
            <w:r w:rsidRPr="00CA7301">
              <w:rPr>
                <w:rFonts w:eastAsiaTheme="minorEastAsia" w:cs="Segoe UI"/>
                <w:sz w:val="17"/>
                <w:szCs w:val="17"/>
                <w:lang w:eastAsia="zh-TW"/>
              </w:rPr>
              <w:t>如</w:t>
            </w:r>
            <w:r w:rsidRPr="00CA7301">
              <w:rPr>
                <w:rFonts w:eastAsia="細明體" w:cs="Segoe UI"/>
                <w:sz w:val="17"/>
                <w:szCs w:val="17"/>
                <w:lang w:eastAsia="zh-TW"/>
              </w:rPr>
              <w:t>《流動性規則》第</w:t>
            </w:r>
            <w:r w:rsidRPr="00CA7301">
              <w:rPr>
                <w:rFonts w:cs="Segoe UI"/>
                <w:sz w:val="17"/>
                <w:szCs w:val="17"/>
                <w:lang w:eastAsia="zh-TW"/>
              </w:rPr>
              <w:t>39</w:t>
            </w:r>
            <w:r w:rsidRPr="00CA7301">
              <w:rPr>
                <w:rFonts w:eastAsiaTheme="minorEastAsia" w:cs="Segoe UI"/>
                <w:sz w:val="17"/>
                <w:szCs w:val="17"/>
                <w:lang w:eastAsia="zh-TW"/>
              </w:rPr>
              <w:t>條所</w:t>
            </w:r>
            <w:r w:rsidRPr="00CA7301">
              <w:rPr>
                <w:rFonts w:eastAsia="細明體" w:cs="Segoe UI"/>
                <w:sz w:val="17"/>
                <w:szCs w:val="17"/>
                <w:lang w:eastAsia="zh-TW"/>
              </w:rPr>
              <w:t>界定）（即第</w:t>
            </w:r>
            <w:r w:rsidRPr="00CA7301">
              <w:rPr>
                <w:rFonts w:eastAsia="細明體" w:cs="Segoe UI"/>
                <w:sz w:val="17"/>
                <w:szCs w:val="17"/>
                <w:lang w:eastAsia="zh-TW"/>
              </w:rPr>
              <w:t>3</w:t>
            </w:r>
            <w:r w:rsidRPr="00CA7301">
              <w:rPr>
                <w:rFonts w:eastAsia="細明體" w:cs="Segoe UI"/>
                <w:sz w:val="17"/>
                <w:szCs w:val="17"/>
                <w:lang w:eastAsia="zh-TW"/>
              </w:rPr>
              <w:t>至</w:t>
            </w:r>
            <w:r w:rsidRPr="00CA7301">
              <w:rPr>
                <w:rFonts w:eastAsia="細明體" w:cs="Segoe UI"/>
                <w:sz w:val="17"/>
                <w:szCs w:val="17"/>
                <w:lang w:eastAsia="zh-TW"/>
              </w:rPr>
              <w:t>4a</w:t>
            </w:r>
            <w:r w:rsidRPr="00CA7301">
              <w:rPr>
                <w:rFonts w:eastAsia="細明體" w:cs="Segoe UI"/>
                <w:sz w:val="17"/>
                <w:szCs w:val="17"/>
                <w:lang w:eastAsia="zh-TW"/>
              </w:rPr>
              <w:t>行的值的總和）</w:t>
            </w:r>
            <w:r w:rsidRPr="00CA7301">
              <w:rPr>
                <w:rFonts w:eastAsiaTheme="minorEastAsia" w:cs="Segoe UI"/>
                <w:sz w:val="17"/>
                <w:szCs w:val="17"/>
                <w:lang w:eastAsia="zh-TW"/>
              </w:rPr>
              <w:t>。</w:t>
            </w:r>
          </w:p>
          <w:p w14:paraId="1A2C474F"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Theme="minorEastAsia" w:cs="Segoe UI"/>
                <w:sz w:val="17"/>
                <w:szCs w:val="17"/>
                <w:lang w:eastAsia="zh-TW"/>
              </w:rPr>
              <w:t>{</w:t>
            </w:r>
            <w:r w:rsidRPr="00CA7301">
              <w:rPr>
                <w:rFonts w:eastAsiaTheme="minorEastAsia" w:cs="Segoe UI"/>
                <w:sz w:val="17"/>
                <w:szCs w:val="17"/>
                <w:lang w:eastAsia="zh-TW"/>
              </w:rPr>
              <w:t>項目</w:t>
            </w:r>
            <w:r w:rsidRPr="00CA7301">
              <w:rPr>
                <w:rFonts w:eastAsiaTheme="minorEastAsia" w:cs="Segoe UI"/>
                <w:sz w:val="17"/>
                <w:szCs w:val="17"/>
                <w:lang w:eastAsia="zh-TW"/>
              </w:rPr>
              <w:t>B1</w:t>
            </w:r>
            <w:r w:rsidRPr="00CA7301">
              <w:rPr>
                <w:rFonts w:eastAsiaTheme="minorEastAsia" w:cs="Segoe UI"/>
                <w:sz w:val="17"/>
                <w:szCs w:val="17"/>
                <w:lang w:eastAsia="zh-TW"/>
              </w:rPr>
              <w:t>至</w:t>
            </w:r>
            <w:r w:rsidRPr="00CA7301">
              <w:rPr>
                <w:rFonts w:eastAsiaTheme="minorEastAsia" w:cs="Segoe UI"/>
                <w:sz w:val="17"/>
                <w:szCs w:val="17"/>
                <w:lang w:eastAsia="zh-TW"/>
              </w:rPr>
              <w:t>B4</w:t>
            </w:r>
            <w:r w:rsidRPr="00CA7301">
              <w:rPr>
                <w:rFonts w:eastAsiaTheme="minorEastAsia" w:cs="Segoe UI"/>
                <w:sz w:val="17"/>
                <w:szCs w:val="17"/>
                <w:lang w:eastAsia="zh-TW"/>
              </w:rPr>
              <w:t>的總和</w:t>
            </w:r>
            <w:r w:rsidRPr="00CA7301">
              <w:rPr>
                <w:rFonts w:eastAsiaTheme="minorEastAsia" w:cs="Segoe UI"/>
                <w:sz w:val="17"/>
                <w:szCs w:val="17"/>
                <w:lang w:eastAsia="zh-TW"/>
              </w:rPr>
              <w:t>}</w:t>
            </w:r>
          </w:p>
        </w:tc>
      </w:tr>
      <w:tr w:rsidR="00C8624D" w:rsidRPr="00CA7301" w14:paraId="528D8282" w14:textId="77777777" w:rsidTr="00877D8D">
        <w:trPr>
          <w:trHeight w:val="373"/>
        </w:trPr>
        <w:tc>
          <w:tcPr>
            <w:tcW w:w="567" w:type="dxa"/>
          </w:tcPr>
          <w:p w14:paraId="501834F5"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3</w:t>
            </w:r>
          </w:p>
        </w:tc>
        <w:tc>
          <w:tcPr>
            <w:tcW w:w="8647" w:type="dxa"/>
          </w:tcPr>
          <w:p w14:paraId="4BB4687B"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Theme="minorEastAsia" w:cs="Segoe UI"/>
                <w:sz w:val="17"/>
                <w:szCs w:val="17"/>
                <w:lang w:eastAsia="zh-TW"/>
              </w:rPr>
              <w:t>分別按《守則》第</w:t>
            </w:r>
            <w:r w:rsidRPr="00CA7301">
              <w:rPr>
                <w:rFonts w:eastAsiaTheme="minorEastAsia" w:cs="Segoe UI"/>
                <w:sz w:val="17"/>
                <w:szCs w:val="17"/>
                <w:lang w:eastAsia="zh-TW"/>
              </w:rPr>
              <w:t>3</w:t>
            </w:r>
            <w:r w:rsidRPr="00CA7301">
              <w:rPr>
                <w:rFonts w:eastAsiaTheme="minorEastAsia" w:cs="Segoe UI"/>
                <w:sz w:val="17"/>
                <w:szCs w:val="17"/>
                <w:lang w:eastAsia="zh-TW"/>
              </w:rPr>
              <w:t>及</w:t>
            </w:r>
            <w:r w:rsidRPr="00CA7301">
              <w:rPr>
                <w:rFonts w:eastAsiaTheme="minorEastAsia" w:cs="Segoe UI"/>
                <w:sz w:val="17"/>
                <w:szCs w:val="17"/>
                <w:lang w:eastAsia="zh-TW"/>
              </w:rPr>
              <w:t>6</w:t>
            </w:r>
            <w:r w:rsidRPr="00CA7301">
              <w:rPr>
                <w:rFonts w:eastAsiaTheme="minorEastAsia" w:cs="Segoe UI"/>
                <w:sz w:val="17"/>
                <w:szCs w:val="17"/>
                <w:lang w:eastAsia="zh-TW"/>
              </w:rPr>
              <w:t>條計算的穩定零售存款（如《流動性規則》第</w:t>
            </w:r>
            <w:r w:rsidRPr="00CA7301">
              <w:rPr>
                <w:rFonts w:eastAsiaTheme="minorEastAsia" w:cs="Segoe UI"/>
                <w:sz w:val="17"/>
                <w:szCs w:val="17"/>
                <w:lang w:eastAsia="zh-TW"/>
              </w:rPr>
              <w:t>39</w:t>
            </w:r>
            <w:r w:rsidRPr="00CA7301">
              <w:rPr>
                <w:rFonts w:eastAsiaTheme="minorEastAsia" w:cs="Segoe UI"/>
                <w:sz w:val="17"/>
                <w:szCs w:val="17"/>
                <w:lang w:eastAsia="zh-TW"/>
              </w:rPr>
              <w:t>條所界定）及小型企業借款（與穩定零售存款近似者）。</w:t>
            </w:r>
          </w:p>
          <w:p w14:paraId="6319097A" w14:textId="314BDA06"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Theme="minorEastAsia" w:cs="Segoe UI"/>
                <w:sz w:val="17"/>
                <w:szCs w:val="17"/>
                <w:lang w:eastAsia="zh-TW"/>
              </w:rPr>
              <w:t>{</w:t>
            </w:r>
            <w:r w:rsidRPr="00CA7301">
              <w:rPr>
                <w:rFonts w:eastAsiaTheme="minorEastAsia" w:cs="Segoe UI"/>
                <w:sz w:val="17"/>
                <w:szCs w:val="17"/>
                <w:lang w:eastAsia="zh-TW"/>
              </w:rPr>
              <w:t>細分項目</w:t>
            </w:r>
            <w:r w:rsidRPr="00CA7301">
              <w:rPr>
                <w:rFonts w:eastAsiaTheme="minorEastAsia" w:cs="Segoe UI"/>
                <w:sz w:val="17"/>
                <w:szCs w:val="17"/>
                <w:lang w:eastAsia="zh-TW"/>
              </w:rPr>
              <w:t>B1(a)</w:t>
            </w:r>
            <w:r w:rsidRPr="00CA7301">
              <w:rPr>
                <w:rFonts w:eastAsiaTheme="minorEastAsia" w:cs="Segoe UI"/>
                <w:sz w:val="17"/>
                <w:szCs w:val="17"/>
                <w:lang w:eastAsia="zh-TW"/>
              </w:rPr>
              <w:t>、</w:t>
            </w:r>
            <w:r w:rsidRPr="00CA7301">
              <w:rPr>
                <w:rFonts w:eastAsiaTheme="minorEastAsia" w:cs="Segoe UI"/>
                <w:sz w:val="17"/>
                <w:szCs w:val="17"/>
                <w:lang w:eastAsia="zh-TW"/>
              </w:rPr>
              <w:t>B2(a)</w:t>
            </w:r>
            <w:r w:rsidRPr="00CA7301">
              <w:rPr>
                <w:rFonts w:eastAsiaTheme="minorEastAsia" w:cs="Segoe UI"/>
                <w:sz w:val="17"/>
                <w:szCs w:val="17"/>
                <w:lang w:eastAsia="zh-TW"/>
              </w:rPr>
              <w:t>、</w:t>
            </w:r>
            <w:r w:rsidRPr="00CA7301">
              <w:rPr>
                <w:rFonts w:eastAsiaTheme="minorEastAsia" w:cs="Segoe UI"/>
                <w:sz w:val="17"/>
                <w:szCs w:val="17"/>
                <w:lang w:eastAsia="zh-TW"/>
              </w:rPr>
              <w:t>B3(a)</w:t>
            </w:r>
            <w:r w:rsidRPr="00CA7301">
              <w:rPr>
                <w:rFonts w:eastAsiaTheme="minorEastAsia" w:cs="Segoe UI"/>
                <w:sz w:val="17"/>
                <w:szCs w:val="17"/>
                <w:lang w:eastAsia="zh-TW"/>
              </w:rPr>
              <w:t>及</w:t>
            </w:r>
            <w:r w:rsidRPr="00CA7301">
              <w:rPr>
                <w:rFonts w:eastAsiaTheme="minorEastAsia" w:cs="Segoe UI"/>
                <w:sz w:val="17"/>
                <w:szCs w:val="17"/>
                <w:lang w:eastAsia="zh-TW"/>
              </w:rPr>
              <w:t>B4(a)</w:t>
            </w:r>
            <w:r w:rsidRPr="00CA7301">
              <w:rPr>
                <w:rFonts w:eastAsiaTheme="minorEastAsia" w:cs="Segoe UI"/>
                <w:sz w:val="17"/>
                <w:szCs w:val="17"/>
                <w:lang w:eastAsia="zh-TW"/>
              </w:rPr>
              <w:t>的總和</w:t>
            </w:r>
            <w:r w:rsidRPr="00CA7301">
              <w:rPr>
                <w:rFonts w:eastAsiaTheme="minorEastAsia" w:cs="Segoe UI"/>
                <w:sz w:val="17"/>
                <w:szCs w:val="17"/>
                <w:lang w:eastAsia="zh-TW"/>
              </w:rPr>
              <w:t>}</w:t>
            </w:r>
          </w:p>
        </w:tc>
      </w:tr>
      <w:tr w:rsidR="00C8624D" w:rsidRPr="00CA7301" w14:paraId="2F3A17DB" w14:textId="77777777" w:rsidTr="00877D8D">
        <w:trPr>
          <w:trHeight w:val="373"/>
        </w:trPr>
        <w:tc>
          <w:tcPr>
            <w:tcW w:w="567" w:type="dxa"/>
          </w:tcPr>
          <w:p w14:paraId="19D4925D"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w:t>
            </w:r>
          </w:p>
        </w:tc>
        <w:tc>
          <w:tcPr>
            <w:tcW w:w="8647" w:type="dxa"/>
          </w:tcPr>
          <w:p w14:paraId="0AFFCB29"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細明體" w:cs="Segoe UI"/>
                <w:sz w:val="17"/>
                <w:szCs w:val="17"/>
                <w:lang w:eastAsia="zh-TW"/>
              </w:rPr>
              <w:t>分別按《守則》第</w:t>
            </w:r>
            <w:r w:rsidRPr="00CA7301">
              <w:rPr>
                <w:rFonts w:cs="Segoe UI"/>
                <w:sz w:val="17"/>
                <w:szCs w:val="17"/>
                <w:lang w:eastAsia="zh-TW"/>
              </w:rPr>
              <w:t>4</w:t>
            </w:r>
            <w:r w:rsidRPr="00CA7301">
              <w:rPr>
                <w:rFonts w:eastAsia="細明體" w:cs="Segoe UI"/>
                <w:sz w:val="17"/>
                <w:szCs w:val="17"/>
                <w:lang w:eastAsia="zh-TW"/>
              </w:rPr>
              <w:t>及</w:t>
            </w:r>
            <w:r w:rsidRPr="00CA7301">
              <w:rPr>
                <w:rFonts w:cs="Segoe UI"/>
                <w:sz w:val="17"/>
                <w:szCs w:val="17"/>
                <w:lang w:eastAsia="zh-TW"/>
              </w:rPr>
              <w:t>6</w:t>
            </w:r>
            <w:r w:rsidRPr="00CA7301">
              <w:rPr>
                <w:rFonts w:eastAsia="細明體" w:cs="Segoe UI"/>
                <w:sz w:val="17"/>
                <w:szCs w:val="17"/>
                <w:lang w:eastAsia="zh-TW"/>
              </w:rPr>
              <w:t>條計算的較不穩定零售存款（如《流動性規則》</w:t>
            </w:r>
            <w:r w:rsidRPr="00CA7301">
              <w:rPr>
                <w:rFonts w:eastAsiaTheme="minorEastAsia" w:cs="Segoe UI"/>
                <w:sz w:val="17"/>
                <w:szCs w:val="17"/>
                <w:lang w:eastAsia="zh-TW"/>
              </w:rPr>
              <w:t>第</w:t>
            </w:r>
            <w:r w:rsidRPr="00CA7301">
              <w:rPr>
                <w:rFonts w:cs="Segoe UI"/>
                <w:sz w:val="17"/>
                <w:szCs w:val="17"/>
                <w:lang w:eastAsia="zh-TW"/>
              </w:rPr>
              <w:t>39</w:t>
            </w:r>
            <w:r w:rsidRPr="00CA7301">
              <w:rPr>
                <w:rFonts w:eastAsiaTheme="minorEastAsia" w:cs="Segoe UI"/>
                <w:sz w:val="17"/>
                <w:szCs w:val="17"/>
                <w:lang w:eastAsia="zh-TW"/>
              </w:rPr>
              <w:t>條</w:t>
            </w:r>
            <w:r w:rsidRPr="00CA7301">
              <w:rPr>
                <w:rFonts w:eastAsia="細明體" w:cs="Segoe UI"/>
                <w:sz w:val="17"/>
                <w:szCs w:val="17"/>
                <w:lang w:eastAsia="zh-TW"/>
              </w:rPr>
              <w:t>所界定）及小型企業借款（與較不穩定零售存款近似者）</w:t>
            </w:r>
            <w:r w:rsidRPr="00CA7301">
              <w:rPr>
                <w:rFonts w:eastAsiaTheme="minorEastAsia" w:cs="Segoe UI"/>
                <w:sz w:val="17"/>
                <w:szCs w:val="17"/>
                <w:lang w:eastAsia="zh-TW"/>
              </w:rPr>
              <w:t>。</w:t>
            </w:r>
          </w:p>
          <w:p w14:paraId="1221A16A"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Theme="minorEastAsia" w:cs="Segoe UI"/>
                <w:sz w:val="17"/>
                <w:szCs w:val="17"/>
                <w:lang w:eastAsia="zh-TW"/>
              </w:rPr>
              <w:t>{</w:t>
            </w:r>
            <w:r w:rsidRPr="00CA7301">
              <w:rPr>
                <w:rFonts w:eastAsiaTheme="minorEastAsia" w:cs="Segoe UI"/>
                <w:sz w:val="17"/>
                <w:szCs w:val="17"/>
                <w:lang w:eastAsia="zh-TW"/>
              </w:rPr>
              <w:t>細分項目</w:t>
            </w:r>
            <w:r w:rsidRPr="00CA7301">
              <w:rPr>
                <w:rFonts w:eastAsiaTheme="minorEastAsia" w:cs="Segoe UI"/>
                <w:sz w:val="17"/>
                <w:szCs w:val="17"/>
                <w:lang w:eastAsia="zh-TW"/>
              </w:rPr>
              <w:t>B1(b)</w:t>
            </w:r>
            <w:r w:rsidRPr="00CA7301">
              <w:rPr>
                <w:rFonts w:eastAsiaTheme="minorEastAsia" w:cs="Segoe UI"/>
                <w:sz w:val="17"/>
                <w:szCs w:val="17"/>
                <w:lang w:eastAsia="zh-TW"/>
              </w:rPr>
              <w:t>、</w:t>
            </w:r>
            <w:r w:rsidRPr="00CA7301">
              <w:rPr>
                <w:rFonts w:eastAsiaTheme="minorEastAsia" w:cs="Segoe UI"/>
                <w:sz w:val="17"/>
                <w:szCs w:val="17"/>
                <w:lang w:eastAsia="zh-TW"/>
              </w:rPr>
              <w:t>B2(b)</w:t>
            </w:r>
            <w:r w:rsidRPr="00CA7301">
              <w:rPr>
                <w:rFonts w:eastAsiaTheme="minorEastAsia" w:cs="Segoe UI"/>
                <w:sz w:val="17"/>
                <w:szCs w:val="17"/>
                <w:lang w:eastAsia="zh-TW"/>
              </w:rPr>
              <w:t>、</w:t>
            </w:r>
            <w:r w:rsidRPr="00CA7301">
              <w:rPr>
                <w:rFonts w:eastAsiaTheme="minorEastAsia" w:cs="Segoe UI"/>
                <w:sz w:val="17"/>
                <w:szCs w:val="17"/>
                <w:lang w:eastAsia="zh-TW"/>
              </w:rPr>
              <w:t>B3(b)</w:t>
            </w:r>
            <w:r w:rsidRPr="00CA7301">
              <w:rPr>
                <w:rFonts w:eastAsiaTheme="minorEastAsia" w:cs="Segoe UI"/>
                <w:sz w:val="17"/>
                <w:szCs w:val="17"/>
                <w:lang w:eastAsia="zh-TW"/>
              </w:rPr>
              <w:t>及</w:t>
            </w:r>
            <w:r w:rsidRPr="00CA7301">
              <w:rPr>
                <w:rFonts w:eastAsiaTheme="minorEastAsia" w:cs="Segoe UI"/>
                <w:sz w:val="17"/>
                <w:szCs w:val="17"/>
                <w:lang w:eastAsia="zh-TW"/>
              </w:rPr>
              <w:t>B4(b)</w:t>
            </w:r>
            <w:r w:rsidRPr="00CA7301">
              <w:rPr>
                <w:rFonts w:eastAsiaTheme="minorEastAsia" w:cs="Segoe UI"/>
                <w:sz w:val="17"/>
                <w:szCs w:val="17"/>
                <w:lang w:eastAsia="zh-TW"/>
              </w:rPr>
              <w:t>的總和</w:t>
            </w:r>
            <w:r w:rsidRPr="00CA7301">
              <w:rPr>
                <w:rFonts w:eastAsiaTheme="minorEastAsia" w:cs="Segoe UI"/>
                <w:sz w:val="17"/>
                <w:szCs w:val="17"/>
                <w:lang w:eastAsia="zh-TW"/>
              </w:rPr>
              <w:t>}</w:t>
            </w:r>
          </w:p>
        </w:tc>
      </w:tr>
      <w:tr w:rsidR="00C8624D" w:rsidRPr="00CA7301" w14:paraId="38B7E16B" w14:textId="77777777" w:rsidTr="00877D8D">
        <w:trPr>
          <w:trHeight w:val="373"/>
        </w:trPr>
        <w:tc>
          <w:tcPr>
            <w:tcW w:w="567" w:type="dxa"/>
          </w:tcPr>
          <w:p w14:paraId="62B1F6D0"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4a</w:t>
            </w:r>
          </w:p>
        </w:tc>
        <w:tc>
          <w:tcPr>
            <w:tcW w:w="8647" w:type="dxa"/>
          </w:tcPr>
          <w:p w14:paraId="605663A0"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細明體" w:cs="Segoe UI"/>
                <w:sz w:val="17"/>
                <w:szCs w:val="17"/>
                <w:lang w:eastAsia="zh-TW"/>
              </w:rPr>
              <w:t>分別按《守則》第</w:t>
            </w:r>
            <w:r w:rsidRPr="00CA7301">
              <w:rPr>
                <w:rFonts w:cs="Segoe UI"/>
                <w:sz w:val="17"/>
                <w:szCs w:val="17"/>
                <w:lang w:eastAsia="zh-TW"/>
              </w:rPr>
              <w:t>5</w:t>
            </w:r>
            <w:r w:rsidRPr="00CA7301">
              <w:rPr>
                <w:rFonts w:eastAsia="細明體" w:cs="Segoe UI"/>
                <w:sz w:val="17"/>
                <w:szCs w:val="17"/>
                <w:lang w:eastAsia="zh-TW"/>
              </w:rPr>
              <w:t>及</w:t>
            </w:r>
            <w:r w:rsidRPr="00CA7301">
              <w:rPr>
                <w:rFonts w:cs="Segoe UI"/>
                <w:sz w:val="17"/>
                <w:szCs w:val="17"/>
                <w:lang w:eastAsia="zh-TW"/>
              </w:rPr>
              <w:t>6</w:t>
            </w:r>
            <w:r w:rsidRPr="00CA7301">
              <w:rPr>
                <w:rFonts w:eastAsia="細明體" w:cs="Segoe UI"/>
                <w:sz w:val="17"/>
                <w:szCs w:val="17"/>
                <w:lang w:eastAsia="zh-TW"/>
              </w:rPr>
              <w:t>條計算的零售定期存款（如《流動性規則》</w:t>
            </w:r>
            <w:r w:rsidRPr="00CA7301">
              <w:rPr>
                <w:rFonts w:eastAsiaTheme="minorEastAsia" w:cs="Segoe UI"/>
                <w:sz w:val="17"/>
                <w:szCs w:val="17"/>
                <w:lang w:eastAsia="zh-TW"/>
              </w:rPr>
              <w:t>第</w:t>
            </w:r>
            <w:r w:rsidRPr="00CA7301">
              <w:rPr>
                <w:rFonts w:cs="Segoe UI"/>
                <w:sz w:val="17"/>
                <w:szCs w:val="17"/>
                <w:lang w:eastAsia="zh-TW"/>
              </w:rPr>
              <w:t>39</w:t>
            </w:r>
            <w:r w:rsidRPr="00CA7301">
              <w:rPr>
                <w:rFonts w:eastAsiaTheme="minorEastAsia" w:cs="Segoe UI"/>
                <w:sz w:val="17"/>
                <w:szCs w:val="17"/>
                <w:lang w:eastAsia="zh-TW"/>
              </w:rPr>
              <w:t>條</w:t>
            </w:r>
            <w:r w:rsidRPr="00CA7301">
              <w:rPr>
                <w:rFonts w:eastAsia="細明體" w:cs="Segoe UI"/>
                <w:sz w:val="17"/>
                <w:szCs w:val="17"/>
                <w:lang w:eastAsia="zh-TW"/>
              </w:rPr>
              <w:t>所界定）及小型企業定期借款（與零售定期存款近似者）</w:t>
            </w:r>
            <w:r w:rsidRPr="00CA7301">
              <w:rPr>
                <w:rFonts w:eastAsiaTheme="minorEastAsia" w:cs="Segoe UI"/>
                <w:sz w:val="17"/>
                <w:szCs w:val="17"/>
                <w:lang w:eastAsia="zh-TW"/>
              </w:rPr>
              <w:t>。</w:t>
            </w:r>
          </w:p>
          <w:p w14:paraId="6D38D7B3"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Theme="minorEastAsia" w:cs="Segoe UI"/>
                <w:sz w:val="17"/>
                <w:szCs w:val="17"/>
                <w:lang w:eastAsia="zh-TW"/>
              </w:rPr>
              <w:t>細分</w:t>
            </w:r>
            <w:r w:rsidRPr="00CA7301">
              <w:rPr>
                <w:rFonts w:eastAsia="細明體" w:cs="Segoe UI"/>
                <w:sz w:val="17"/>
                <w:szCs w:val="17"/>
                <w:lang w:eastAsia="zh-TW"/>
              </w:rPr>
              <w:t>項目</w:t>
            </w:r>
            <w:r w:rsidRPr="00CA7301">
              <w:rPr>
                <w:rFonts w:cs="Segoe UI"/>
                <w:sz w:val="17"/>
                <w:szCs w:val="17"/>
                <w:lang w:eastAsia="zh-TW"/>
              </w:rPr>
              <w:t>B1(c)</w:t>
            </w:r>
            <w:r w:rsidRPr="00CA7301">
              <w:rPr>
                <w:rFonts w:eastAsia="細明體" w:cs="Segoe UI"/>
                <w:sz w:val="17"/>
                <w:szCs w:val="17"/>
                <w:lang w:eastAsia="zh-TW"/>
              </w:rPr>
              <w:t>、</w:t>
            </w:r>
            <w:r w:rsidRPr="00CA7301">
              <w:rPr>
                <w:rFonts w:cs="Segoe UI"/>
                <w:sz w:val="17"/>
                <w:szCs w:val="17"/>
                <w:lang w:eastAsia="zh-TW"/>
              </w:rPr>
              <w:t>B2(c)</w:t>
            </w:r>
            <w:r w:rsidRPr="00CA7301">
              <w:rPr>
                <w:rFonts w:eastAsia="細明體" w:cs="Segoe UI"/>
                <w:sz w:val="17"/>
                <w:szCs w:val="17"/>
                <w:lang w:eastAsia="zh-TW"/>
              </w:rPr>
              <w:t>、</w:t>
            </w:r>
            <w:r w:rsidRPr="00CA7301">
              <w:rPr>
                <w:rFonts w:cs="Segoe UI"/>
                <w:sz w:val="17"/>
                <w:szCs w:val="17"/>
                <w:lang w:eastAsia="zh-TW"/>
              </w:rPr>
              <w:t>B3(c)</w:t>
            </w:r>
            <w:r w:rsidRPr="00CA7301">
              <w:rPr>
                <w:rFonts w:eastAsia="細明體" w:cs="Segoe UI"/>
                <w:sz w:val="17"/>
                <w:szCs w:val="17"/>
                <w:lang w:eastAsia="zh-TW"/>
              </w:rPr>
              <w:t>及</w:t>
            </w:r>
            <w:r w:rsidRPr="00CA7301">
              <w:rPr>
                <w:rFonts w:cs="Segoe UI"/>
                <w:sz w:val="17"/>
                <w:szCs w:val="17"/>
                <w:lang w:eastAsia="zh-TW"/>
              </w:rPr>
              <w:t>B4(c)</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6EC7B93B" w14:textId="77777777" w:rsidTr="00877D8D">
        <w:trPr>
          <w:trHeight w:val="373"/>
        </w:trPr>
        <w:tc>
          <w:tcPr>
            <w:tcW w:w="567" w:type="dxa"/>
          </w:tcPr>
          <w:p w14:paraId="014F9539"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5</w:t>
            </w:r>
          </w:p>
        </w:tc>
        <w:tc>
          <w:tcPr>
            <w:tcW w:w="8647" w:type="dxa"/>
          </w:tcPr>
          <w:p w14:paraId="651C6CE5"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eastAsia="zh-TW"/>
              </w:rPr>
            </w:pPr>
            <w:r w:rsidRPr="00CA7301">
              <w:rPr>
                <w:rFonts w:eastAsia="細明體" w:cs="Segoe UI"/>
                <w:sz w:val="17"/>
                <w:szCs w:val="17"/>
                <w:lang w:eastAsia="zh-TW"/>
              </w:rPr>
              <w:t>無抵押批發借款（如《流動性規則》</w:t>
            </w:r>
            <w:r w:rsidRPr="00CA7301">
              <w:rPr>
                <w:rFonts w:eastAsiaTheme="minorEastAsia" w:cs="Segoe UI"/>
                <w:sz w:val="17"/>
                <w:szCs w:val="17"/>
                <w:lang w:eastAsia="zh-TW"/>
              </w:rPr>
              <w:t>第</w:t>
            </w:r>
            <w:r w:rsidRPr="00CA7301">
              <w:rPr>
                <w:rFonts w:cs="Segoe UI"/>
                <w:sz w:val="17"/>
                <w:szCs w:val="17"/>
                <w:lang w:eastAsia="zh-TW"/>
              </w:rPr>
              <w:t>39</w:t>
            </w:r>
            <w:r w:rsidRPr="00CA7301">
              <w:rPr>
                <w:rFonts w:eastAsiaTheme="minorEastAsia" w:cs="Segoe UI"/>
                <w:sz w:val="17"/>
                <w:szCs w:val="17"/>
                <w:lang w:eastAsia="zh-TW"/>
              </w:rPr>
              <w:t>條</w:t>
            </w:r>
            <w:r w:rsidRPr="00CA7301">
              <w:rPr>
                <w:rFonts w:eastAsia="細明體" w:cs="Segoe UI"/>
                <w:sz w:val="17"/>
                <w:szCs w:val="17"/>
                <w:lang w:eastAsia="zh-TW"/>
              </w:rPr>
              <w:t>所界定）（小型企業借款除外）及由該第</w:t>
            </w:r>
            <w:r w:rsidRPr="00CA7301">
              <w:rPr>
                <w:rFonts w:cs="Segoe UI"/>
                <w:sz w:val="17"/>
                <w:szCs w:val="17"/>
                <w:lang w:eastAsia="zh-TW"/>
              </w:rPr>
              <w:t>1</w:t>
            </w:r>
            <w:r w:rsidRPr="00CA7301">
              <w:rPr>
                <w:rFonts w:eastAsia="細明體" w:cs="Segoe UI"/>
                <w:sz w:val="17"/>
                <w:szCs w:val="17"/>
                <w:lang w:eastAsia="zh-TW"/>
              </w:rPr>
              <w:t>類機構發行並可在有關的</w:t>
            </w:r>
            <w:r w:rsidRPr="00CA7301">
              <w:rPr>
                <w:rFonts w:cs="Segoe UI"/>
                <w:sz w:val="17"/>
                <w:szCs w:val="17"/>
                <w:lang w:eastAsia="zh-TW"/>
              </w:rPr>
              <w:t>LCR</w:t>
            </w:r>
            <w:r w:rsidRPr="00CA7301">
              <w:rPr>
                <w:rFonts w:eastAsia="細明體" w:cs="Segoe UI"/>
                <w:sz w:val="17"/>
                <w:szCs w:val="17"/>
                <w:lang w:eastAsia="zh-TW"/>
              </w:rPr>
              <w:t>涵蓋時期內贖回的債務證券及訂明票據（即第</w:t>
            </w:r>
            <w:r w:rsidRPr="00CA7301">
              <w:rPr>
                <w:rFonts w:eastAsia="細明體" w:cs="Segoe UI"/>
                <w:sz w:val="17"/>
                <w:szCs w:val="17"/>
                <w:lang w:eastAsia="zh-TW"/>
              </w:rPr>
              <w:t>6</w:t>
            </w:r>
            <w:r w:rsidRPr="00CA7301">
              <w:rPr>
                <w:rFonts w:eastAsia="細明體" w:cs="Segoe UI"/>
                <w:sz w:val="17"/>
                <w:szCs w:val="17"/>
                <w:lang w:eastAsia="zh-TW"/>
              </w:rPr>
              <w:t>至</w:t>
            </w:r>
            <w:r w:rsidRPr="00CA7301">
              <w:rPr>
                <w:rFonts w:eastAsia="細明體" w:cs="Segoe UI"/>
                <w:sz w:val="17"/>
                <w:szCs w:val="17"/>
                <w:lang w:eastAsia="zh-TW"/>
              </w:rPr>
              <w:t>8</w:t>
            </w:r>
            <w:r w:rsidRPr="00CA7301">
              <w:rPr>
                <w:rFonts w:eastAsia="細明體" w:cs="Segoe UI"/>
                <w:sz w:val="17"/>
                <w:szCs w:val="17"/>
                <w:lang w:eastAsia="zh-TW"/>
              </w:rPr>
              <w:t>行的值的總和）。</w:t>
            </w:r>
          </w:p>
          <w:p w14:paraId="0E8A6815"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B5</w:t>
            </w:r>
            <w:r w:rsidRPr="00CA7301">
              <w:rPr>
                <w:rFonts w:eastAsia="細明體" w:cs="Segoe UI"/>
                <w:sz w:val="17"/>
                <w:szCs w:val="17"/>
                <w:lang w:eastAsia="zh-TW"/>
              </w:rPr>
              <w:t>、</w:t>
            </w:r>
            <w:r w:rsidRPr="00CA7301">
              <w:rPr>
                <w:rFonts w:cs="Segoe UI"/>
                <w:sz w:val="17"/>
                <w:szCs w:val="17"/>
                <w:lang w:eastAsia="zh-TW"/>
              </w:rPr>
              <w:t>B6</w:t>
            </w:r>
            <w:r w:rsidRPr="00CA7301">
              <w:rPr>
                <w:rFonts w:eastAsia="細明體" w:cs="Segoe UI"/>
                <w:sz w:val="17"/>
                <w:szCs w:val="17"/>
                <w:lang w:eastAsia="zh-TW"/>
              </w:rPr>
              <w:t>及</w:t>
            </w:r>
            <w:r w:rsidRPr="00CA7301">
              <w:rPr>
                <w:rFonts w:cs="Segoe UI"/>
                <w:sz w:val="17"/>
                <w:szCs w:val="17"/>
                <w:lang w:eastAsia="zh-TW"/>
              </w:rPr>
              <w:t>B7</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7252776D" w14:textId="77777777" w:rsidTr="00877D8D">
        <w:trPr>
          <w:trHeight w:val="373"/>
        </w:trPr>
        <w:tc>
          <w:tcPr>
            <w:tcW w:w="567" w:type="dxa"/>
          </w:tcPr>
          <w:p w14:paraId="7F19F0D5"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6</w:t>
            </w:r>
          </w:p>
        </w:tc>
        <w:tc>
          <w:tcPr>
            <w:tcW w:w="8647" w:type="dxa"/>
          </w:tcPr>
          <w:p w14:paraId="21392ADE"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細明體" w:cs="Segoe UI"/>
                <w:sz w:val="17"/>
                <w:szCs w:val="17"/>
                <w:lang w:eastAsia="zh-TW"/>
              </w:rPr>
              <w:t>按《守則》第</w:t>
            </w:r>
            <w:r w:rsidRPr="00CA7301">
              <w:rPr>
                <w:rFonts w:cs="Segoe UI"/>
                <w:sz w:val="17"/>
                <w:szCs w:val="17"/>
                <w:lang w:eastAsia="zh-TW"/>
              </w:rPr>
              <w:t>7</w:t>
            </w:r>
            <w:r w:rsidRPr="00CA7301">
              <w:rPr>
                <w:rFonts w:eastAsia="細明體" w:cs="Segoe UI"/>
                <w:sz w:val="17"/>
                <w:szCs w:val="17"/>
                <w:lang w:eastAsia="zh-TW"/>
              </w:rPr>
              <w:t>條計算，並符合第</w:t>
            </w:r>
            <w:r w:rsidRPr="00CA7301">
              <w:rPr>
                <w:rFonts w:cs="Segoe UI"/>
                <w:sz w:val="17"/>
                <w:szCs w:val="17"/>
                <w:lang w:eastAsia="zh-TW"/>
              </w:rPr>
              <w:t>7(2)</w:t>
            </w:r>
            <w:r w:rsidRPr="00CA7301">
              <w:rPr>
                <w:rFonts w:eastAsia="細明體" w:cs="Segoe UI"/>
                <w:sz w:val="17"/>
                <w:szCs w:val="17"/>
                <w:lang w:eastAsia="zh-TW"/>
              </w:rPr>
              <w:t>條</w:t>
            </w:r>
            <w:proofErr w:type="gramStart"/>
            <w:r w:rsidRPr="00CA7301">
              <w:rPr>
                <w:rFonts w:eastAsia="細明體" w:cs="Segoe UI"/>
                <w:sz w:val="17"/>
                <w:szCs w:val="17"/>
                <w:lang w:eastAsia="zh-TW"/>
              </w:rPr>
              <w:t>所述合資格</w:t>
            </w:r>
            <w:proofErr w:type="gramEnd"/>
            <w:r w:rsidRPr="00CA7301">
              <w:rPr>
                <w:rFonts w:eastAsia="細明體" w:cs="Segoe UI"/>
                <w:sz w:val="17"/>
                <w:szCs w:val="17"/>
                <w:lang w:eastAsia="zh-TW"/>
              </w:rPr>
              <w:t>準則的營運存款（如《流動性規則》第</w:t>
            </w:r>
            <w:r w:rsidRPr="00CA7301">
              <w:rPr>
                <w:rFonts w:cs="Segoe UI"/>
                <w:sz w:val="17"/>
                <w:szCs w:val="17"/>
                <w:lang w:eastAsia="zh-TW"/>
              </w:rPr>
              <w:t>39</w:t>
            </w:r>
            <w:r w:rsidRPr="00CA7301">
              <w:rPr>
                <w:rFonts w:eastAsiaTheme="minorEastAsia" w:cs="Segoe UI"/>
                <w:sz w:val="17"/>
                <w:szCs w:val="17"/>
                <w:lang w:eastAsia="zh-TW"/>
              </w:rPr>
              <w:t>條</w:t>
            </w:r>
            <w:r w:rsidRPr="00CA7301">
              <w:rPr>
                <w:rFonts w:eastAsia="細明體" w:cs="Segoe UI"/>
                <w:sz w:val="17"/>
                <w:szCs w:val="17"/>
                <w:lang w:eastAsia="zh-TW"/>
              </w:rPr>
              <w:t>所界定）</w:t>
            </w:r>
            <w:r w:rsidRPr="00CA7301">
              <w:rPr>
                <w:rFonts w:eastAsiaTheme="minorEastAsia" w:cs="Segoe UI"/>
                <w:sz w:val="17"/>
                <w:szCs w:val="17"/>
                <w:lang w:eastAsia="zh-TW"/>
              </w:rPr>
              <w:t>。</w:t>
            </w:r>
          </w:p>
          <w:p w14:paraId="292E5A7F"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Theme="minorEastAsia" w:cs="Segoe UI"/>
                <w:sz w:val="17"/>
                <w:szCs w:val="17"/>
                <w:lang w:eastAsia="zh-TW"/>
              </w:rPr>
              <w:t>細分</w:t>
            </w:r>
            <w:r w:rsidRPr="00CA7301">
              <w:rPr>
                <w:rFonts w:eastAsia="細明體" w:cs="Segoe UI"/>
                <w:sz w:val="17"/>
                <w:szCs w:val="17"/>
                <w:lang w:eastAsia="zh-TW"/>
              </w:rPr>
              <w:t>項目</w:t>
            </w:r>
            <w:r w:rsidRPr="00CA7301">
              <w:rPr>
                <w:rFonts w:cs="Segoe UI"/>
                <w:sz w:val="17"/>
                <w:szCs w:val="17"/>
                <w:lang w:eastAsia="zh-TW"/>
              </w:rPr>
              <w:t>B5(a)</w:t>
            </w:r>
            <w:r w:rsidRPr="00CA7301">
              <w:rPr>
                <w:rFonts w:eastAsia="細明體" w:cs="Segoe UI"/>
                <w:sz w:val="17"/>
                <w:szCs w:val="17"/>
                <w:lang w:eastAsia="zh-TW"/>
              </w:rPr>
              <w:t>及</w:t>
            </w:r>
            <w:r w:rsidRPr="00CA7301">
              <w:rPr>
                <w:rFonts w:cs="Segoe UI"/>
                <w:sz w:val="17"/>
                <w:szCs w:val="17"/>
                <w:lang w:eastAsia="zh-TW"/>
              </w:rPr>
              <w:t>B5(b)</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2C6E961B" w14:textId="77777777" w:rsidTr="00877D8D">
        <w:trPr>
          <w:trHeight w:val="373"/>
        </w:trPr>
        <w:tc>
          <w:tcPr>
            <w:tcW w:w="567" w:type="dxa"/>
          </w:tcPr>
          <w:p w14:paraId="60BC80C3"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7</w:t>
            </w:r>
          </w:p>
        </w:tc>
        <w:tc>
          <w:tcPr>
            <w:tcW w:w="8647" w:type="dxa"/>
          </w:tcPr>
          <w:p w14:paraId="3AA4B5E5"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細明體" w:cs="Segoe UI"/>
                <w:sz w:val="17"/>
                <w:szCs w:val="17"/>
                <w:lang w:eastAsia="zh-TW"/>
              </w:rPr>
              <w:t>按《守則》第</w:t>
            </w:r>
            <w:r w:rsidRPr="00CA7301">
              <w:rPr>
                <w:rFonts w:cs="Segoe UI"/>
                <w:sz w:val="17"/>
                <w:szCs w:val="17"/>
                <w:lang w:eastAsia="zh-TW"/>
              </w:rPr>
              <w:t>8</w:t>
            </w:r>
            <w:r w:rsidRPr="00CA7301">
              <w:rPr>
                <w:rFonts w:eastAsia="細明體" w:cs="Segoe UI"/>
                <w:sz w:val="17"/>
                <w:szCs w:val="17"/>
                <w:lang w:eastAsia="zh-TW"/>
              </w:rPr>
              <w:t>及第</w:t>
            </w:r>
            <w:r w:rsidRPr="00CA7301">
              <w:rPr>
                <w:rFonts w:cs="Segoe UI"/>
                <w:sz w:val="17"/>
                <w:szCs w:val="17"/>
                <w:lang w:eastAsia="zh-TW"/>
              </w:rPr>
              <w:t>9</w:t>
            </w:r>
            <w:r w:rsidRPr="00CA7301">
              <w:rPr>
                <w:rFonts w:eastAsia="細明體" w:cs="Segoe UI"/>
                <w:sz w:val="17"/>
                <w:szCs w:val="17"/>
                <w:lang w:eastAsia="zh-TW"/>
              </w:rPr>
              <w:t>條計算的無抵押批發借款（小型企業借款及營運存款除外）</w:t>
            </w:r>
            <w:r w:rsidRPr="00CA7301">
              <w:rPr>
                <w:rFonts w:eastAsiaTheme="minorEastAsia" w:cs="Segoe UI"/>
                <w:sz w:val="17"/>
                <w:szCs w:val="17"/>
                <w:lang w:eastAsia="zh-TW"/>
              </w:rPr>
              <w:t>。</w:t>
            </w:r>
            <w:r w:rsidRPr="00CA7301">
              <w:rPr>
                <w:rFonts w:cs="Segoe UI"/>
                <w:sz w:val="17"/>
                <w:szCs w:val="17"/>
                <w:vertAlign w:val="superscript"/>
              </w:rPr>
              <w:footnoteReference w:id="11"/>
            </w:r>
          </w:p>
          <w:p w14:paraId="5BE2F219"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Theme="minorEastAsia" w:cs="Segoe UI"/>
                <w:sz w:val="17"/>
                <w:szCs w:val="17"/>
                <w:lang w:eastAsia="zh-TW"/>
              </w:rPr>
              <w:t>細分項目</w:t>
            </w:r>
            <w:r w:rsidRPr="00CA7301">
              <w:rPr>
                <w:rFonts w:cs="Segoe UI"/>
                <w:sz w:val="17"/>
                <w:szCs w:val="17"/>
                <w:lang w:eastAsia="zh-TW"/>
              </w:rPr>
              <w:t>B6(a)(</w:t>
            </w:r>
            <w:proofErr w:type="spellStart"/>
            <w:proofErr w:type="gramStart"/>
            <w:r w:rsidRPr="00CA7301">
              <w:rPr>
                <w:rFonts w:cs="Segoe UI"/>
                <w:sz w:val="17"/>
                <w:szCs w:val="17"/>
                <w:lang w:eastAsia="zh-TW"/>
              </w:rPr>
              <w:t>i</w:t>
            </w:r>
            <w:proofErr w:type="spellEnd"/>
            <w:r w:rsidRPr="00CA7301">
              <w:rPr>
                <w:rFonts w:cs="Segoe UI"/>
                <w:sz w:val="17"/>
                <w:szCs w:val="17"/>
                <w:lang w:eastAsia="zh-TW"/>
              </w:rPr>
              <w:t>)</w:t>
            </w:r>
            <w:r w:rsidRPr="00CA7301">
              <w:rPr>
                <w:rFonts w:eastAsia="細明體" w:cs="Segoe UI"/>
                <w:sz w:val="17"/>
                <w:szCs w:val="17"/>
                <w:lang w:eastAsia="zh-TW"/>
              </w:rPr>
              <w:t>、</w:t>
            </w:r>
            <w:proofErr w:type="gramEnd"/>
            <w:r w:rsidRPr="00CA7301">
              <w:rPr>
                <w:rFonts w:cs="Segoe UI"/>
                <w:sz w:val="17"/>
                <w:szCs w:val="17"/>
                <w:lang w:eastAsia="zh-TW"/>
              </w:rPr>
              <w:t>B6(a)(ii)</w:t>
            </w:r>
            <w:r w:rsidRPr="00CA7301">
              <w:rPr>
                <w:rFonts w:eastAsia="細明體" w:cs="Segoe UI"/>
                <w:sz w:val="17"/>
                <w:szCs w:val="17"/>
                <w:lang w:eastAsia="zh-TW"/>
              </w:rPr>
              <w:t>及</w:t>
            </w:r>
            <w:r w:rsidRPr="00CA7301">
              <w:rPr>
                <w:rFonts w:cs="Segoe UI"/>
                <w:sz w:val="17"/>
                <w:szCs w:val="17"/>
                <w:lang w:eastAsia="zh-TW"/>
              </w:rPr>
              <w:t>B6(b)</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719183D4" w14:textId="77777777" w:rsidTr="00877D8D">
        <w:trPr>
          <w:trHeight w:val="373"/>
        </w:trPr>
        <w:tc>
          <w:tcPr>
            <w:tcW w:w="567" w:type="dxa"/>
          </w:tcPr>
          <w:p w14:paraId="2981484D"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8</w:t>
            </w:r>
          </w:p>
        </w:tc>
        <w:tc>
          <w:tcPr>
            <w:tcW w:w="8647" w:type="dxa"/>
          </w:tcPr>
          <w:p w14:paraId="5FBF782E"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eastAsia="zh-TW"/>
              </w:rPr>
            </w:pPr>
            <w:r w:rsidRPr="00CA7301">
              <w:rPr>
                <w:rFonts w:eastAsia="細明體" w:cs="Segoe UI"/>
                <w:sz w:val="17"/>
                <w:szCs w:val="17"/>
                <w:lang w:eastAsia="zh-TW"/>
              </w:rPr>
              <w:t>按《守則》第</w:t>
            </w:r>
            <w:r w:rsidRPr="00CA7301">
              <w:rPr>
                <w:rFonts w:cs="Segoe UI"/>
                <w:sz w:val="17"/>
                <w:szCs w:val="17"/>
                <w:lang w:eastAsia="zh-TW"/>
              </w:rPr>
              <w:t>10</w:t>
            </w:r>
            <w:r w:rsidRPr="00CA7301">
              <w:rPr>
                <w:rFonts w:eastAsia="細明體" w:cs="Segoe UI"/>
                <w:sz w:val="17"/>
                <w:szCs w:val="17"/>
                <w:lang w:eastAsia="zh-TW"/>
              </w:rPr>
              <w:t>條計算由第</w:t>
            </w:r>
            <w:r w:rsidRPr="00CA7301">
              <w:rPr>
                <w:rFonts w:cs="Segoe UI"/>
                <w:sz w:val="17"/>
                <w:szCs w:val="17"/>
                <w:lang w:eastAsia="zh-TW"/>
              </w:rPr>
              <w:t>1</w:t>
            </w:r>
            <w:r w:rsidRPr="00CA7301">
              <w:rPr>
                <w:rFonts w:eastAsia="細明體" w:cs="Segoe UI"/>
                <w:sz w:val="17"/>
                <w:szCs w:val="17"/>
                <w:lang w:eastAsia="zh-TW"/>
              </w:rPr>
              <w:t>類機構發行並可在有關的</w:t>
            </w:r>
            <w:r w:rsidRPr="00CA7301">
              <w:rPr>
                <w:rFonts w:cs="Segoe UI"/>
                <w:sz w:val="17"/>
                <w:szCs w:val="17"/>
                <w:lang w:eastAsia="zh-TW"/>
              </w:rPr>
              <w:t>LCR</w:t>
            </w:r>
            <w:r w:rsidRPr="00CA7301">
              <w:rPr>
                <w:rFonts w:eastAsia="細明體" w:cs="Segoe UI"/>
                <w:sz w:val="17"/>
                <w:szCs w:val="17"/>
                <w:lang w:eastAsia="zh-TW"/>
              </w:rPr>
              <w:t>涵蓋時期內贖回的債務證券及訂明票據（如《流動性規則》第</w:t>
            </w:r>
            <w:r w:rsidRPr="00CA7301">
              <w:rPr>
                <w:rFonts w:cs="Segoe UI"/>
                <w:sz w:val="17"/>
                <w:szCs w:val="17"/>
                <w:lang w:eastAsia="zh-TW"/>
              </w:rPr>
              <w:t>2(1)</w:t>
            </w:r>
            <w:r w:rsidRPr="00CA7301">
              <w:rPr>
                <w:rFonts w:eastAsiaTheme="minorEastAsia" w:cs="Segoe UI"/>
                <w:sz w:val="17"/>
                <w:szCs w:val="17"/>
                <w:lang w:eastAsia="zh-TW"/>
              </w:rPr>
              <w:t>條</w:t>
            </w:r>
            <w:r w:rsidRPr="00CA7301">
              <w:rPr>
                <w:rFonts w:eastAsia="細明體" w:cs="Segoe UI"/>
                <w:sz w:val="17"/>
                <w:szCs w:val="17"/>
                <w:lang w:eastAsia="zh-TW"/>
              </w:rPr>
              <w:t>所界定），而不論持有該等證券及票據的投資者類別。</w:t>
            </w:r>
            <w:r w:rsidRPr="00CA7301">
              <w:rPr>
                <w:rFonts w:cs="Segoe UI"/>
                <w:sz w:val="17"/>
                <w:szCs w:val="17"/>
                <w:vertAlign w:val="superscript"/>
              </w:rPr>
              <w:footnoteReference w:id="12"/>
            </w:r>
          </w:p>
          <w:p w14:paraId="4F725E1E"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B7}</w:t>
            </w:r>
          </w:p>
        </w:tc>
      </w:tr>
      <w:tr w:rsidR="00C8624D" w:rsidRPr="00CA7301" w14:paraId="6F83BAD1" w14:textId="77777777" w:rsidTr="00877D8D">
        <w:trPr>
          <w:trHeight w:val="373"/>
        </w:trPr>
        <w:tc>
          <w:tcPr>
            <w:tcW w:w="567" w:type="dxa"/>
          </w:tcPr>
          <w:p w14:paraId="767B6189"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9</w:t>
            </w:r>
          </w:p>
        </w:tc>
        <w:tc>
          <w:tcPr>
            <w:tcW w:w="8647" w:type="dxa"/>
          </w:tcPr>
          <w:p w14:paraId="7659B8FB"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eastAsia="zh-TW"/>
              </w:rPr>
            </w:pPr>
            <w:r w:rsidRPr="00CA7301">
              <w:rPr>
                <w:rFonts w:eastAsia="細明體" w:cs="Segoe UI"/>
                <w:sz w:val="17"/>
                <w:szCs w:val="17"/>
                <w:lang w:eastAsia="zh-TW"/>
              </w:rPr>
              <w:t>按《守則》第</w:t>
            </w:r>
            <w:r w:rsidRPr="00CA7301">
              <w:rPr>
                <w:rFonts w:cs="Segoe UI"/>
                <w:sz w:val="17"/>
                <w:szCs w:val="17"/>
                <w:lang w:eastAsia="zh-TW"/>
              </w:rPr>
              <w:t>11</w:t>
            </w:r>
            <w:r w:rsidRPr="00CA7301">
              <w:rPr>
                <w:rFonts w:eastAsia="細明體" w:cs="Segoe UI"/>
                <w:sz w:val="17"/>
                <w:szCs w:val="17"/>
                <w:lang w:eastAsia="zh-TW"/>
              </w:rPr>
              <w:t>條計算，有抵押借款交易（包括證券掉期交易）（如《流動性規則》第</w:t>
            </w:r>
            <w:r w:rsidRPr="00CA7301">
              <w:rPr>
                <w:rFonts w:cs="Segoe UI"/>
                <w:sz w:val="17"/>
                <w:szCs w:val="17"/>
                <w:lang w:eastAsia="zh-TW"/>
              </w:rPr>
              <w:t>39</w:t>
            </w:r>
            <w:r w:rsidRPr="00CA7301">
              <w:rPr>
                <w:rFonts w:eastAsiaTheme="minorEastAsia" w:cs="Segoe UI"/>
                <w:sz w:val="17"/>
                <w:szCs w:val="17"/>
                <w:lang w:eastAsia="zh-TW"/>
              </w:rPr>
              <w:t>條</w:t>
            </w:r>
            <w:r w:rsidRPr="00CA7301">
              <w:rPr>
                <w:rFonts w:eastAsia="細明體" w:cs="Segoe UI"/>
                <w:sz w:val="17"/>
                <w:szCs w:val="17"/>
                <w:lang w:eastAsia="zh-TW"/>
              </w:rPr>
              <w:t>所界定）所產生的並在有關的</w:t>
            </w:r>
            <w:r w:rsidRPr="00CA7301">
              <w:rPr>
                <w:rFonts w:cs="Segoe UI"/>
                <w:sz w:val="17"/>
                <w:szCs w:val="17"/>
                <w:lang w:eastAsia="zh-TW"/>
              </w:rPr>
              <w:t>LCR</w:t>
            </w:r>
            <w:r w:rsidRPr="00CA7301">
              <w:rPr>
                <w:rFonts w:eastAsia="細明體" w:cs="Segoe UI"/>
                <w:sz w:val="17"/>
                <w:szCs w:val="17"/>
                <w:lang w:eastAsia="zh-TW"/>
              </w:rPr>
              <w:t>涵蓋時期內</w:t>
            </w:r>
            <w:proofErr w:type="gramStart"/>
            <w:r w:rsidRPr="00CA7301">
              <w:rPr>
                <w:rFonts w:eastAsia="細明體" w:cs="Segoe UI"/>
                <w:sz w:val="17"/>
                <w:szCs w:val="17"/>
                <w:lang w:eastAsia="zh-TW"/>
              </w:rPr>
              <w:t>到期清付的</w:t>
            </w:r>
            <w:proofErr w:type="gramEnd"/>
            <w:r w:rsidRPr="00CA7301">
              <w:rPr>
                <w:rFonts w:eastAsia="細明體" w:cs="Segoe UI"/>
                <w:sz w:val="17"/>
                <w:szCs w:val="17"/>
                <w:lang w:eastAsia="zh-TW"/>
              </w:rPr>
              <w:t>負債或義務。</w:t>
            </w:r>
          </w:p>
          <w:p w14:paraId="6B1A6AE5"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B8</w:t>
            </w:r>
            <w:r w:rsidRPr="00CA7301">
              <w:rPr>
                <w:rFonts w:eastAsia="細明體" w:cs="Segoe UI"/>
                <w:sz w:val="17"/>
                <w:szCs w:val="17"/>
                <w:lang w:eastAsia="zh-TW"/>
              </w:rPr>
              <w:t>及</w:t>
            </w:r>
            <w:r w:rsidRPr="00CA7301">
              <w:rPr>
                <w:rFonts w:cs="Segoe UI"/>
                <w:sz w:val="17"/>
                <w:szCs w:val="17"/>
                <w:lang w:eastAsia="zh-TW"/>
              </w:rPr>
              <w:t>B9</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3FA05038" w14:textId="77777777" w:rsidTr="00877D8D">
        <w:trPr>
          <w:trHeight w:val="373"/>
        </w:trPr>
        <w:tc>
          <w:tcPr>
            <w:tcW w:w="567" w:type="dxa"/>
          </w:tcPr>
          <w:p w14:paraId="2BA2C5DC"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10</w:t>
            </w:r>
          </w:p>
        </w:tc>
        <w:tc>
          <w:tcPr>
            <w:tcW w:w="8647" w:type="dxa"/>
          </w:tcPr>
          <w:p w14:paraId="1E8D4BFC"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eastAsia="zh-TW"/>
              </w:rPr>
            </w:pPr>
            <w:r w:rsidRPr="00CA7301">
              <w:rPr>
                <w:rFonts w:eastAsia="細明體" w:cs="Segoe UI"/>
                <w:sz w:val="17"/>
                <w:szCs w:val="17"/>
                <w:lang w:eastAsia="zh-TW"/>
              </w:rPr>
              <w:t>以下各項所產生的負債及義務（及任何額外流動性需要）：</w:t>
            </w:r>
            <w:r w:rsidRPr="00CA7301">
              <w:rPr>
                <w:rFonts w:cs="Segoe UI"/>
                <w:sz w:val="17"/>
                <w:szCs w:val="17"/>
                <w:lang w:eastAsia="zh-TW"/>
              </w:rPr>
              <w:t>(</w:t>
            </w:r>
            <w:proofErr w:type="gramStart"/>
            <w:r w:rsidRPr="00CA7301">
              <w:rPr>
                <w:rFonts w:cs="Segoe UI"/>
                <w:sz w:val="17"/>
                <w:szCs w:val="17"/>
                <w:lang w:eastAsia="zh-TW"/>
              </w:rPr>
              <w:t>1)</w:t>
            </w:r>
            <w:r w:rsidRPr="00CA7301">
              <w:rPr>
                <w:rFonts w:eastAsia="細明體" w:cs="Segoe UI"/>
                <w:sz w:val="17"/>
                <w:szCs w:val="17"/>
                <w:lang w:eastAsia="zh-TW"/>
              </w:rPr>
              <w:t>衍生工具合約及其他交易</w:t>
            </w:r>
            <w:proofErr w:type="gramEnd"/>
            <w:r w:rsidRPr="00CA7301">
              <w:rPr>
                <w:rFonts w:eastAsia="細明體" w:cs="Segoe UI"/>
                <w:sz w:val="17"/>
                <w:szCs w:val="17"/>
                <w:lang w:eastAsia="zh-TW"/>
              </w:rPr>
              <w:t>（及任何相關抵押品需求）；</w:t>
            </w:r>
            <w:r w:rsidRPr="00CA7301">
              <w:rPr>
                <w:rFonts w:cs="Segoe UI"/>
                <w:sz w:val="17"/>
                <w:szCs w:val="17"/>
                <w:lang w:eastAsia="zh-TW"/>
              </w:rPr>
              <w:t>(2)</w:t>
            </w:r>
            <w:r w:rsidRPr="00CA7301">
              <w:rPr>
                <w:rFonts w:eastAsia="細明體" w:cs="Segoe UI"/>
                <w:sz w:val="17"/>
                <w:szCs w:val="17"/>
                <w:lang w:eastAsia="zh-TW"/>
              </w:rPr>
              <w:t>結構式金融交易；及</w:t>
            </w:r>
            <w:r w:rsidRPr="00CA7301">
              <w:rPr>
                <w:rFonts w:cs="Segoe UI"/>
                <w:sz w:val="17"/>
                <w:szCs w:val="17"/>
                <w:lang w:eastAsia="zh-TW"/>
              </w:rPr>
              <w:t>(3)</w:t>
            </w:r>
            <w:r w:rsidRPr="00CA7301">
              <w:rPr>
                <w:rFonts w:eastAsia="細明體" w:cs="Segoe UI"/>
                <w:sz w:val="17"/>
                <w:szCs w:val="17"/>
                <w:lang w:eastAsia="zh-TW"/>
              </w:rPr>
              <w:t>未提取的有承諾融通的潛在提取（即第</w:t>
            </w:r>
            <w:r w:rsidRPr="00CA7301">
              <w:rPr>
                <w:rFonts w:cs="Segoe UI"/>
                <w:sz w:val="17"/>
                <w:szCs w:val="17"/>
                <w:lang w:eastAsia="zh-TW"/>
              </w:rPr>
              <w:t>1</w:t>
            </w:r>
            <w:r w:rsidRPr="00CA7301">
              <w:rPr>
                <w:rFonts w:eastAsiaTheme="minorEastAsia" w:cs="Segoe UI"/>
                <w:sz w:val="17"/>
                <w:szCs w:val="17"/>
                <w:lang w:eastAsia="zh-TW"/>
              </w:rPr>
              <w:t>1</w:t>
            </w:r>
            <w:r w:rsidRPr="00CA7301">
              <w:rPr>
                <w:rFonts w:eastAsia="細明體" w:cs="Segoe UI"/>
                <w:sz w:val="17"/>
                <w:szCs w:val="17"/>
                <w:lang w:eastAsia="zh-TW"/>
              </w:rPr>
              <w:t>至</w:t>
            </w:r>
            <w:r w:rsidRPr="00CA7301">
              <w:rPr>
                <w:rFonts w:cs="Segoe UI"/>
                <w:sz w:val="17"/>
                <w:szCs w:val="17"/>
                <w:lang w:eastAsia="zh-TW"/>
              </w:rPr>
              <w:t>1</w:t>
            </w:r>
            <w:r w:rsidRPr="00CA7301">
              <w:rPr>
                <w:rFonts w:eastAsiaTheme="minorEastAsia" w:cs="Segoe UI"/>
                <w:sz w:val="17"/>
                <w:szCs w:val="17"/>
                <w:lang w:eastAsia="zh-TW"/>
              </w:rPr>
              <w:t>3</w:t>
            </w:r>
            <w:r w:rsidRPr="00CA7301">
              <w:rPr>
                <w:rFonts w:eastAsiaTheme="minorEastAsia" w:cs="Segoe UI"/>
                <w:sz w:val="17"/>
                <w:szCs w:val="17"/>
                <w:lang w:eastAsia="zh-TW"/>
              </w:rPr>
              <w:t>行的數值的總和</w:t>
            </w:r>
            <w:r w:rsidRPr="00CA7301">
              <w:rPr>
                <w:rFonts w:eastAsia="細明體" w:cs="Segoe UI"/>
                <w:sz w:val="17"/>
                <w:szCs w:val="17"/>
                <w:lang w:eastAsia="zh-TW"/>
              </w:rPr>
              <w:t>）</w:t>
            </w:r>
            <w:r w:rsidRPr="00CA7301">
              <w:rPr>
                <w:rFonts w:eastAsiaTheme="minorEastAsia" w:cs="Segoe UI"/>
                <w:sz w:val="17"/>
                <w:szCs w:val="17"/>
                <w:lang w:eastAsia="zh-TW"/>
              </w:rPr>
              <w:t>。</w:t>
            </w:r>
          </w:p>
          <w:p w14:paraId="2DA8CBD4"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B10</w:t>
            </w:r>
            <w:r w:rsidRPr="00CA7301">
              <w:rPr>
                <w:rFonts w:eastAsia="細明體" w:cs="Segoe UI"/>
                <w:sz w:val="17"/>
                <w:szCs w:val="17"/>
                <w:lang w:eastAsia="zh-TW"/>
              </w:rPr>
              <w:t>至</w:t>
            </w:r>
            <w:r w:rsidRPr="00CA7301">
              <w:rPr>
                <w:rFonts w:cs="Segoe UI"/>
                <w:sz w:val="17"/>
                <w:szCs w:val="17"/>
                <w:lang w:eastAsia="zh-TW"/>
              </w:rPr>
              <w:t>B19</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2B11E052" w14:textId="77777777" w:rsidTr="00877D8D">
        <w:trPr>
          <w:trHeight w:val="373"/>
        </w:trPr>
        <w:tc>
          <w:tcPr>
            <w:tcW w:w="567" w:type="dxa"/>
          </w:tcPr>
          <w:p w14:paraId="043243C6"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11</w:t>
            </w:r>
          </w:p>
        </w:tc>
        <w:tc>
          <w:tcPr>
            <w:tcW w:w="8647" w:type="dxa"/>
          </w:tcPr>
          <w:p w14:paraId="175EA4BA"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細明體" w:cs="Segoe UI"/>
                <w:sz w:val="17"/>
                <w:szCs w:val="17"/>
                <w:lang w:eastAsia="zh-TW"/>
              </w:rPr>
              <w:t>衍生工具合約及其他交易所產生的負債或義務，包括</w:t>
            </w:r>
            <w:proofErr w:type="gramStart"/>
            <w:r w:rsidRPr="00CA7301">
              <w:rPr>
                <w:rFonts w:ascii="細明體" w:eastAsia="細明體" w:hAnsi="細明體" w:cs="細明體" w:hint="eastAsia"/>
                <w:szCs w:val="17"/>
                <w:lang w:eastAsia="zh-TW"/>
              </w:rPr>
              <w:t>──</w:t>
            </w:r>
            <w:proofErr w:type="gramEnd"/>
          </w:p>
          <w:p w14:paraId="24E223FA" w14:textId="77777777" w:rsidR="00C8624D" w:rsidRPr="00CA7301" w:rsidRDefault="00C8624D" w:rsidP="00D540EB">
            <w:pPr>
              <w:keepLines/>
              <w:widowControl w:val="0"/>
              <w:numPr>
                <w:ilvl w:val="0"/>
                <w:numId w:val="6"/>
              </w:numPr>
              <w:spacing w:before="40" w:after="40"/>
              <w:ind w:left="459" w:hanging="459"/>
              <w:jc w:val="both"/>
              <w:rPr>
                <w:rFonts w:cs="Segoe UI"/>
                <w:sz w:val="17"/>
                <w:szCs w:val="17"/>
                <w:lang w:eastAsia="zh-TW"/>
              </w:rPr>
            </w:pPr>
            <w:r w:rsidRPr="00CA7301">
              <w:rPr>
                <w:rFonts w:eastAsiaTheme="minorEastAsia" w:cs="Segoe UI"/>
                <w:sz w:val="17"/>
                <w:szCs w:val="17"/>
                <w:lang w:eastAsia="zh-TW"/>
              </w:rPr>
              <w:t>按《守則》第</w:t>
            </w:r>
            <w:r w:rsidRPr="00CA7301">
              <w:rPr>
                <w:rFonts w:eastAsiaTheme="minorEastAsia" w:cs="Segoe UI"/>
                <w:sz w:val="17"/>
                <w:szCs w:val="17"/>
                <w:lang w:eastAsia="zh-TW"/>
              </w:rPr>
              <w:t>12</w:t>
            </w:r>
            <w:r w:rsidRPr="00CA7301">
              <w:rPr>
                <w:rFonts w:eastAsiaTheme="minorEastAsia" w:cs="Segoe UI"/>
                <w:sz w:val="17"/>
                <w:szCs w:val="17"/>
                <w:lang w:eastAsia="zh-TW"/>
              </w:rPr>
              <w:t>條計算，衍生工具合約（如《流動性規則》第</w:t>
            </w:r>
            <w:r w:rsidRPr="00CA7301">
              <w:rPr>
                <w:rFonts w:eastAsiaTheme="minorEastAsia" w:cs="Segoe UI"/>
                <w:sz w:val="17"/>
                <w:szCs w:val="17"/>
                <w:lang w:eastAsia="zh-TW"/>
              </w:rPr>
              <w:t>39</w:t>
            </w:r>
            <w:r w:rsidRPr="00CA7301">
              <w:rPr>
                <w:rFonts w:eastAsiaTheme="minorEastAsia" w:cs="Segoe UI"/>
                <w:sz w:val="17"/>
                <w:szCs w:val="17"/>
                <w:lang w:eastAsia="zh-TW"/>
              </w:rPr>
              <w:t>條所界定）產生的合約淨現金流出；及</w:t>
            </w:r>
          </w:p>
          <w:p w14:paraId="128AEE56" w14:textId="77777777" w:rsidR="00C8624D" w:rsidRPr="00CA7301" w:rsidRDefault="00C8624D" w:rsidP="00D540EB">
            <w:pPr>
              <w:keepLines/>
              <w:widowControl w:val="0"/>
              <w:numPr>
                <w:ilvl w:val="0"/>
                <w:numId w:val="6"/>
              </w:numPr>
              <w:spacing w:before="40" w:after="40"/>
              <w:ind w:left="459" w:hanging="459"/>
              <w:jc w:val="both"/>
              <w:rPr>
                <w:rFonts w:cs="Segoe UI"/>
                <w:sz w:val="17"/>
                <w:szCs w:val="17"/>
                <w:lang w:eastAsia="zh-TW"/>
              </w:rPr>
            </w:pPr>
            <w:r w:rsidRPr="00CA7301">
              <w:rPr>
                <w:rFonts w:eastAsia="細明體" w:cs="Segoe UI"/>
                <w:sz w:val="17"/>
                <w:szCs w:val="17"/>
                <w:lang w:val="en-US" w:eastAsia="zh-TW"/>
              </w:rPr>
              <w:t>以下各項產生的額外流動性需要</w:t>
            </w:r>
            <w:proofErr w:type="gramStart"/>
            <w:r w:rsidRPr="00CA7301">
              <w:rPr>
                <w:rFonts w:ascii="細明體" w:eastAsia="細明體" w:hAnsi="細明體" w:cs="細明體" w:hint="eastAsia"/>
                <w:szCs w:val="17"/>
                <w:lang w:eastAsia="zh-TW"/>
              </w:rPr>
              <w:t>──</w:t>
            </w:r>
            <w:proofErr w:type="gramEnd"/>
          </w:p>
          <w:p w14:paraId="76E61BC7" w14:textId="77777777" w:rsidR="00C8624D" w:rsidRPr="00CA7301" w:rsidRDefault="00C8624D" w:rsidP="00D540EB">
            <w:pPr>
              <w:widowControl w:val="0"/>
              <w:numPr>
                <w:ilvl w:val="0"/>
                <w:numId w:val="7"/>
              </w:numPr>
              <w:tabs>
                <w:tab w:val="left" w:pos="884"/>
              </w:tabs>
              <w:autoSpaceDE w:val="0"/>
              <w:autoSpaceDN w:val="0"/>
              <w:adjustRightInd w:val="0"/>
              <w:ind w:left="884" w:hanging="425"/>
              <w:jc w:val="both"/>
              <w:rPr>
                <w:rFonts w:cs="Segoe UI"/>
                <w:sz w:val="17"/>
                <w:szCs w:val="17"/>
                <w:lang w:eastAsia="zh-TW"/>
              </w:rPr>
            </w:pPr>
            <w:r w:rsidRPr="00CA7301">
              <w:rPr>
                <w:rFonts w:eastAsia="細明體" w:cs="Segoe UI"/>
                <w:sz w:val="17"/>
                <w:szCs w:val="17"/>
                <w:lang w:eastAsia="zh-TW"/>
              </w:rPr>
              <w:t>按《守則》第</w:t>
            </w:r>
            <w:r w:rsidRPr="00CA7301">
              <w:rPr>
                <w:rFonts w:cs="Segoe UI"/>
                <w:sz w:val="17"/>
                <w:szCs w:val="17"/>
                <w:lang w:eastAsia="zh-TW"/>
              </w:rPr>
              <w:t>13</w:t>
            </w:r>
            <w:r w:rsidRPr="00CA7301">
              <w:rPr>
                <w:rFonts w:eastAsia="細明體" w:cs="Segoe UI"/>
                <w:sz w:val="17"/>
                <w:szCs w:val="17"/>
                <w:lang w:eastAsia="zh-TW"/>
              </w:rPr>
              <w:t>條計算，有重大不利事件條款的衍生工具合約或其他交易；</w:t>
            </w:r>
          </w:p>
          <w:p w14:paraId="74C48685" w14:textId="77777777" w:rsidR="00C8624D" w:rsidRPr="00CA7301" w:rsidRDefault="00C8624D" w:rsidP="00D540EB">
            <w:pPr>
              <w:widowControl w:val="0"/>
              <w:numPr>
                <w:ilvl w:val="0"/>
                <w:numId w:val="7"/>
              </w:numPr>
              <w:tabs>
                <w:tab w:val="left" w:pos="884"/>
              </w:tabs>
              <w:autoSpaceDE w:val="0"/>
              <w:autoSpaceDN w:val="0"/>
              <w:adjustRightInd w:val="0"/>
              <w:ind w:left="884" w:hanging="425"/>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按《守則》第</w:t>
            </w:r>
            <w:r w:rsidRPr="00CA7301">
              <w:rPr>
                <w:rFonts w:eastAsiaTheme="minorEastAsia" w:cs="Segoe UI"/>
                <w:color w:val="000000"/>
                <w:sz w:val="17"/>
                <w:szCs w:val="17"/>
                <w:lang w:val="en-US" w:eastAsia="zh-TW"/>
              </w:rPr>
              <w:t>14</w:t>
            </w:r>
            <w:r w:rsidRPr="00CA7301">
              <w:rPr>
                <w:rFonts w:eastAsiaTheme="minorEastAsia" w:cs="Segoe UI"/>
                <w:color w:val="000000"/>
                <w:sz w:val="17"/>
                <w:szCs w:val="17"/>
                <w:lang w:val="en-US" w:eastAsia="zh-TW"/>
              </w:rPr>
              <w:t>條計算，保障衍生工具合約或其他交易的已付抵押品的潛在市值損失；</w:t>
            </w:r>
          </w:p>
          <w:p w14:paraId="32698571" w14:textId="77777777" w:rsidR="00C8624D" w:rsidRPr="00CA7301" w:rsidRDefault="00C8624D" w:rsidP="00D540EB">
            <w:pPr>
              <w:widowControl w:val="0"/>
              <w:numPr>
                <w:ilvl w:val="0"/>
                <w:numId w:val="7"/>
              </w:numPr>
              <w:tabs>
                <w:tab w:val="left" w:pos="884"/>
              </w:tabs>
              <w:autoSpaceDE w:val="0"/>
              <w:autoSpaceDN w:val="0"/>
              <w:adjustRightInd w:val="0"/>
              <w:ind w:left="884" w:hanging="425"/>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按《守則》第</w:t>
            </w:r>
            <w:r w:rsidRPr="00CA7301">
              <w:rPr>
                <w:rFonts w:eastAsiaTheme="minorEastAsia" w:cs="Segoe UI"/>
                <w:color w:val="000000"/>
                <w:sz w:val="17"/>
                <w:szCs w:val="17"/>
                <w:lang w:val="en-US" w:eastAsia="zh-TW"/>
              </w:rPr>
              <w:t>15</w:t>
            </w:r>
            <w:r w:rsidRPr="00CA7301">
              <w:rPr>
                <w:rFonts w:eastAsiaTheme="minorEastAsia" w:cs="Segoe UI"/>
                <w:color w:val="000000"/>
                <w:sz w:val="17"/>
                <w:szCs w:val="17"/>
                <w:lang w:val="en-US" w:eastAsia="zh-TW"/>
              </w:rPr>
              <w:t>條計算，對手方根據衍生工具合約或其他交易可收回的超額非分隔抵押品；</w:t>
            </w:r>
          </w:p>
          <w:p w14:paraId="153113E6" w14:textId="77777777" w:rsidR="00C8624D" w:rsidRPr="00CA7301" w:rsidRDefault="00C8624D" w:rsidP="00D540EB">
            <w:pPr>
              <w:widowControl w:val="0"/>
              <w:numPr>
                <w:ilvl w:val="0"/>
                <w:numId w:val="7"/>
              </w:numPr>
              <w:tabs>
                <w:tab w:val="left" w:pos="884"/>
              </w:tabs>
              <w:autoSpaceDE w:val="0"/>
              <w:autoSpaceDN w:val="0"/>
              <w:adjustRightInd w:val="0"/>
              <w:ind w:left="884" w:hanging="425"/>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按《守則》第</w:t>
            </w:r>
            <w:r w:rsidRPr="00CA7301">
              <w:rPr>
                <w:rFonts w:eastAsiaTheme="minorEastAsia" w:cs="Segoe UI"/>
                <w:color w:val="000000"/>
                <w:sz w:val="17"/>
                <w:szCs w:val="17"/>
                <w:lang w:val="en-US" w:eastAsia="zh-TW"/>
              </w:rPr>
              <w:t>16</w:t>
            </w:r>
            <w:r w:rsidRPr="00CA7301">
              <w:rPr>
                <w:rFonts w:eastAsiaTheme="minorEastAsia" w:cs="Segoe UI"/>
                <w:color w:val="000000"/>
                <w:sz w:val="17"/>
                <w:szCs w:val="17"/>
                <w:lang w:val="en-US" w:eastAsia="zh-TW"/>
              </w:rPr>
              <w:t>條計算，在衍生工具合約或其他交易下的抵押品替換；</w:t>
            </w:r>
          </w:p>
          <w:p w14:paraId="16D51BD9" w14:textId="77777777" w:rsidR="00C8624D" w:rsidRPr="00CA7301" w:rsidRDefault="00C8624D" w:rsidP="00D540EB">
            <w:pPr>
              <w:widowControl w:val="0"/>
              <w:numPr>
                <w:ilvl w:val="0"/>
                <w:numId w:val="7"/>
              </w:numPr>
              <w:tabs>
                <w:tab w:val="left" w:pos="884"/>
              </w:tabs>
              <w:autoSpaceDE w:val="0"/>
              <w:autoSpaceDN w:val="0"/>
              <w:adjustRightInd w:val="0"/>
              <w:ind w:left="884" w:hanging="425"/>
              <w:jc w:val="both"/>
              <w:rPr>
                <w:rFonts w:eastAsiaTheme="minorEastAsia" w:cs="Segoe UI"/>
                <w:color w:val="000000"/>
                <w:sz w:val="17"/>
                <w:szCs w:val="17"/>
                <w:lang w:val="en-US" w:eastAsia="zh-TW"/>
              </w:rPr>
            </w:pPr>
            <w:r w:rsidRPr="00CA7301">
              <w:rPr>
                <w:rFonts w:eastAsiaTheme="minorEastAsia" w:cs="Segoe UI"/>
                <w:color w:val="000000"/>
                <w:sz w:val="17"/>
                <w:szCs w:val="17"/>
                <w:lang w:val="en-US" w:eastAsia="zh-TW"/>
              </w:rPr>
              <w:t>按《守則》第</w:t>
            </w:r>
            <w:r w:rsidRPr="00CA7301">
              <w:rPr>
                <w:rFonts w:eastAsiaTheme="minorEastAsia" w:cs="Segoe UI"/>
                <w:color w:val="000000"/>
                <w:sz w:val="17"/>
                <w:szCs w:val="17"/>
                <w:lang w:val="en-US" w:eastAsia="zh-TW"/>
              </w:rPr>
              <w:t>17</w:t>
            </w:r>
            <w:r w:rsidRPr="00CA7301">
              <w:rPr>
                <w:rFonts w:eastAsiaTheme="minorEastAsia" w:cs="Segoe UI"/>
                <w:color w:val="000000"/>
                <w:sz w:val="17"/>
                <w:szCs w:val="17"/>
                <w:lang w:val="en-US" w:eastAsia="zh-TW"/>
              </w:rPr>
              <w:t>條計算，在衍生工具合約或其他交易下向對手方提供抵押品的合約義務；以及</w:t>
            </w:r>
          </w:p>
          <w:p w14:paraId="089A1DA4" w14:textId="77777777" w:rsidR="00C8624D" w:rsidRPr="00CA7301" w:rsidRDefault="00C8624D" w:rsidP="00D540EB">
            <w:pPr>
              <w:widowControl w:val="0"/>
              <w:numPr>
                <w:ilvl w:val="0"/>
                <w:numId w:val="7"/>
              </w:numPr>
              <w:tabs>
                <w:tab w:val="left" w:pos="884"/>
              </w:tabs>
              <w:autoSpaceDE w:val="0"/>
              <w:autoSpaceDN w:val="0"/>
              <w:adjustRightInd w:val="0"/>
              <w:ind w:left="884" w:hanging="425"/>
              <w:jc w:val="both"/>
              <w:rPr>
                <w:rFonts w:cs="Segoe UI"/>
                <w:sz w:val="17"/>
                <w:szCs w:val="17"/>
                <w:lang w:eastAsia="zh-TW"/>
              </w:rPr>
            </w:pPr>
            <w:r w:rsidRPr="00CA7301">
              <w:rPr>
                <w:rFonts w:eastAsia="細明體" w:cs="Segoe UI"/>
                <w:sz w:val="17"/>
                <w:szCs w:val="17"/>
                <w:lang w:eastAsia="zh-TW"/>
              </w:rPr>
              <w:t>按《守則》第</w:t>
            </w:r>
            <w:r w:rsidRPr="00CA7301">
              <w:rPr>
                <w:rFonts w:cs="Segoe UI"/>
                <w:sz w:val="17"/>
                <w:szCs w:val="17"/>
                <w:lang w:eastAsia="zh-TW"/>
              </w:rPr>
              <w:t>18</w:t>
            </w:r>
            <w:r w:rsidRPr="00CA7301">
              <w:rPr>
                <w:rFonts w:eastAsia="細明體" w:cs="Segoe UI"/>
                <w:sz w:val="17"/>
                <w:szCs w:val="17"/>
                <w:lang w:eastAsia="zh-TW"/>
              </w:rPr>
              <w:t>條計算，因衍生工具合約或其他交易的市場價值的不利改變而產生的抵押品需求的增加。</w:t>
            </w:r>
          </w:p>
          <w:p w14:paraId="1B6FCCD6" w14:textId="77777777" w:rsidR="00C8624D" w:rsidRPr="00CA7301" w:rsidRDefault="00C8624D" w:rsidP="00C8624D">
            <w:pPr>
              <w:widowControl w:val="0"/>
              <w:tabs>
                <w:tab w:val="left" w:pos="884"/>
              </w:tabs>
              <w:autoSpaceDE w:val="0"/>
              <w:autoSpaceDN w:val="0"/>
              <w:adjustRightInd w:val="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B10</w:t>
            </w:r>
            <w:r w:rsidRPr="00CA7301">
              <w:rPr>
                <w:rFonts w:eastAsia="細明體" w:cs="Segoe UI"/>
                <w:sz w:val="17"/>
                <w:szCs w:val="17"/>
                <w:lang w:eastAsia="zh-TW"/>
              </w:rPr>
              <w:t>、</w:t>
            </w:r>
            <w:r w:rsidRPr="00CA7301">
              <w:rPr>
                <w:rFonts w:cs="Segoe UI"/>
                <w:sz w:val="17"/>
                <w:szCs w:val="17"/>
                <w:lang w:eastAsia="zh-TW"/>
              </w:rPr>
              <w:t>B11</w:t>
            </w:r>
            <w:r w:rsidRPr="00CA7301">
              <w:rPr>
                <w:rFonts w:eastAsia="細明體" w:cs="Segoe UI"/>
                <w:sz w:val="17"/>
                <w:szCs w:val="17"/>
                <w:lang w:eastAsia="zh-TW"/>
              </w:rPr>
              <w:t>、</w:t>
            </w:r>
            <w:r w:rsidRPr="00CA7301">
              <w:rPr>
                <w:rFonts w:cs="Segoe UI"/>
                <w:sz w:val="17"/>
                <w:szCs w:val="17"/>
                <w:lang w:eastAsia="zh-TW"/>
              </w:rPr>
              <w:t>B12</w:t>
            </w:r>
            <w:r w:rsidRPr="00CA7301">
              <w:rPr>
                <w:rFonts w:eastAsia="細明體" w:cs="Segoe UI"/>
                <w:sz w:val="17"/>
                <w:szCs w:val="17"/>
                <w:lang w:eastAsia="zh-TW"/>
              </w:rPr>
              <w:t>、</w:t>
            </w:r>
            <w:r w:rsidRPr="00CA7301">
              <w:rPr>
                <w:rFonts w:cs="Segoe UI"/>
                <w:sz w:val="17"/>
                <w:szCs w:val="17"/>
                <w:lang w:eastAsia="zh-TW"/>
              </w:rPr>
              <w:t>B13</w:t>
            </w:r>
            <w:r w:rsidRPr="00CA7301">
              <w:rPr>
                <w:rFonts w:eastAsia="細明體" w:cs="Segoe UI"/>
                <w:sz w:val="17"/>
                <w:szCs w:val="17"/>
                <w:lang w:eastAsia="zh-TW"/>
              </w:rPr>
              <w:t>、</w:t>
            </w:r>
            <w:r w:rsidRPr="00CA7301">
              <w:rPr>
                <w:rFonts w:cs="Segoe UI"/>
                <w:sz w:val="17"/>
                <w:szCs w:val="17"/>
                <w:lang w:eastAsia="zh-TW"/>
              </w:rPr>
              <w:t>B14</w:t>
            </w:r>
            <w:r w:rsidRPr="00CA7301">
              <w:rPr>
                <w:rFonts w:eastAsia="細明體" w:cs="Segoe UI"/>
                <w:sz w:val="17"/>
                <w:szCs w:val="17"/>
                <w:lang w:eastAsia="zh-TW"/>
              </w:rPr>
              <w:t>、</w:t>
            </w:r>
            <w:r w:rsidRPr="00CA7301">
              <w:rPr>
                <w:rFonts w:cs="Segoe UI"/>
                <w:sz w:val="17"/>
                <w:szCs w:val="17"/>
                <w:lang w:eastAsia="zh-TW"/>
              </w:rPr>
              <w:t>B15</w:t>
            </w:r>
            <w:r w:rsidRPr="00CA7301">
              <w:rPr>
                <w:rFonts w:eastAsia="細明體" w:cs="Segoe UI"/>
                <w:sz w:val="17"/>
                <w:szCs w:val="17"/>
                <w:lang w:eastAsia="zh-TW"/>
              </w:rPr>
              <w:t>及</w:t>
            </w:r>
            <w:r w:rsidRPr="00CA7301">
              <w:rPr>
                <w:rFonts w:cs="Segoe UI"/>
                <w:sz w:val="17"/>
                <w:szCs w:val="17"/>
                <w:lang w:eastAsia="zh-TW"/>
              </w:rPr>
              <w:t>B16</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44AE84DC" w14:textId="77777777" w:rsidTr="00877D8D">
        <w:trPr>
          <w:trHeight w:val="373"/>
        </w:trPr>
        <w:tc>
          <w:tcPr>
            <w:tcW w:w="567" w:type="dxa"/>
          </w:tcPr>
          <w:p w14:paraId="67D77491"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12</w:t>
            </w:r>
          </w:p>
        </w:tc>
        <w:tc>
          <w:tcPr>
            <w:tcW w:w="8647" w:type="dxa"/>
          </w:tcPr>
          <w:p w14:paraId="4F9FC327"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eastAsia="細明體" w:cs="Segoe UI"/>
                <w:sz w:val="17"/>
                <w:szCs w:val="17"/>
                <w:lang w:val="en-US" w:eastAsia="zh-TW"/>
              </w:rPr>
              <w:t>以下各項產生的預期現金流出</w:t>
            </w:r>
            <w:proofErr w:type="gramStart"/>
            <w:r w:rsidRPr="00CA7301">
              <w:rPr>
                <w:rFonts w:ascii="細明體" w:eastAsia="細明體" w:hAnsi="細明體" w:cs="細明體" w:hint="eastAsia"/>
                <w:szCs w:val="17"/>
                <w:lang w:eastAsia="zh-TW"/>
              </w:rPr>
              <w:t>──</w:t>
            </w:r>
            <w:proofErr w:type="gramEnd"/>
          </w:p>
          <w:p w14:paraId="3F0E9F43" w14:textId="77777777" w:rsidR="00C8624D" w:rsidRPr="00CA7301" w:rsidRDefault="00C8624D" w:rsidP="00D540EB">
            <w:pPr>
              <w:keepLines/>
              <w:widowControl w:val="0"/>
              <w:numPr>
                <w:ilvl w:val="0"/>
                <w:numId w:val="8"/>
              </w:numPr>
              <w:spacing w:before="40" w:after="40"/>
              <w:ind w:left="459" w:hanging="459"/>
              <w:jc w:val="both"/>
              <w:rPr>
                <w:rFonts w:cs="Segoe UI"/>
                <w:sz w:val="17"/>
                <w:szCs w:val="17"/>
                <w:lang w:eastAsia="zh-TW"/>
              </w:rPr>
            </w:pPr>
            <w:r w:rsidRPr="00CA7301">
              <w:rPr>
                <w:rFonts w:eastAsia="細明體" w:cs="Segoe UI"/>
                <w:sz w:val="17"/>
                <w:szCs w:val="17"/>
                <w:lang w:val="en-US" w:eastAsia="zh-TW"/>
              </w:rPr>
              <w:t>按《守則》第</w:t>
            </w:r>
            <w:r w:rsidRPr="00CA7301">
              <w:rPr>
                <w:rFonts w:cs="Segoe UI"/>
                <w:sz w:val="17"/>
                <w:szCs w:val="17"/>
                <w:lang w:val="en-US" w:eastAsia="zh-TW"/>
              </w:rPr>
              <w:t>19</w:t>
            </w:r>
            <w:r w:rsidRPr="00CA7301">
              <w:rPr>
                <w:rFonts w:eastAsia="細明體" w:cs="Segoe UI"/>
                <w:sz w:val="17"/>
                <w:szCs w:val="17"/>
                <w:lang w:val="en-US" w:eastAsia="zh-TW"/>
              </w:rPr>
              <w:t>條計算的，該第</w:t>
            </w:r>
            <w:r w:rsidRPr="00CA7301">
              <w:rPr>
                <w:rFonts w:cs="Segoe UI"/>
                <w:sz w:val="17"/>
                <w:szCs w:val="17"/>
                <w:lang w:val="en-US" w:eastAsia="zh-TW"/>
              </w:rPr>
              <w:t>1</w:t>
            </w:r>
            <w:r w:rsidRPr="00CA7301">
              <w:rPr>
                <w:rFonts w:eastAsia="細明體" w:cs="Segoe UI"/>
                <w:sz w:val="17"/>
                <w:szCs w:val="17"/>
                <w:lang w:val="en-US" w:eastAsia="zh-TW"/>
              </w:rPr>
              <w:t>類機構從其發行的結構式金融工具處取得的並可在</w:t>
            </w:r>
            <w:r w:rsidRPr="00CA7301">
              <w:rPr>
                <w:rFonts w:cs="Segoe UI"/>
                <w:sz w:val="17"/>
                <w:szCs w:val="17"/>
                <w:lang w:val="en-US" w:eastAsia="zh-TW"/>
              </w:rPr>
              <w:t>LCR</w:t>
            </w:r>
            <w:r w:rsidRPr="00CA7301">
              <w:rPr>
                <w:rFonts w:eastAsia="細明體" w:cs="Segoe UI"/>
                <w:sz w:val="17"/>
                <w:szCs w:val="17"/>
                <w:lang w:val="en-US" w:eastAsia="zh-TW"/>
              </w:rPr>
              <w:t>涵蓋時期內贖回的借款</w:t>
            </w:r>
            <w:proofErr w:type="gramStart"/>
            <w:r w:rsidRPr="00CA7301">
              <w:rPr>
                <w:rFonts w:eastAsia="細明體" w:cs="Segoe UI"/>
                <w:sz w:val="17"/>
                <w:szCs w:val="17"/>
                <w:lang w:val="en-US" w:eastAsia="zh-TW"/>
              </w:rPr>
              <w:t>的付還</w:t>
            </w:r>
            <w:proofErr w:type="gramEnd"/>
            <w:r w:rsidRPr="00CA7301">
              <w:rPr>
                <w:rFonts w:eastAsia="細明體" w:cs="Segoe UI"/>
                <w:sz w:val="17"/>
                <w:szCs w:val="17"/>
                <w:lang w:val="en-US" w:eastAsia="zh-TW"/>
              </w:rPr>
              <w:t>；以及</w:t>
            </w:r>
          </w:p>
          <w:p w14:paraId="2F009CFD" w14:textId="77777777" w:rsidR="00C8624D" w:rsidRPr="00CA7301" w:rsidRDefault="00C8624D" w:rsidP="00D540EB">
            <w:pPr>
              <w:keepLines/>
              <w:widowControl w:val="0"/>
              <w:numPr>
                <w:ilvl w:val="0"/>
                <w:numId w:val="8"/>
              </w:numPr>
              <w:spacing w:before="40" w:after="40"/>
              <w:ind w:left="459" w:hanging="459"/>
              <w:jc w:val="both"/>
              <w:rPr>
                <w:rFonts w:cs="Segoe UI"/>
                <w:sz w:val="17"/>
                <w:szCs w:val="17"/>
                <w:lang w:eastAsia="zh-TW"/>
              </w:rPr>
            </w:pPr>
            <w:r w:rsidRPr="00CA7301">
              <w:rPr>
                <w:rFonts w:eastAsia="細明體" w:cs="Segoe UI"/>
                <w:sz w:val="17"/>
                <w:szCs w:val="17"/>
                <w:lang w:val="en-US" w:eastAsia="zh-TW"/>
              </w:rPr>
              <w:t>按《守則》第</w:t>
            </w:r>
            <w:r w:rsidRPr="00CA7301">
              <w:rPr>
                <w:rFonts w:cs="Segoe UI"/>
                <w:sz w:val="17"/>
                <w:szCs w:val="17"/>
                <w:lang w:val="en-US" w:eastAsia="zh-TW"/>
              </w:rPr>
              <w:t>20</w:t>
            </w:r>
            <w:r w:rsidRPr="00CA7301">
              <w:rPr>
                <w:rFonts w:eastAsia="細明體" w:cs="Segoe UI"/>
                <w:sz w:val="17"/>
                <w:szCs w:val="17"/>
                <w:lang w:val="en-US" w:eastAsia="zh-TW"/>
              </w:rPr>
              <w:t>條計算，因結構式融資交易</w:t>
            </w:r>
            <w:r w:rsidRPr="00CA7301">
              <w:rPr>
                <w:rFonts w:eastAsia="細明體" w:cs="Segoe UI"/>
                <w:sz w:val="17"/>
                <w:szCs w:val="17"/>
                <w:lang w:eastAsia="zh-TW"/>
              </w:rPr>
              <w:t>（如《流動性規則》第</w:t>
            </w:r>
            <w:r w:rsidRPr="00CA7301">
              <w:rPr>
                <w:rFonts w:eastAsia="細明體" w:cs="Segoe UI"/>
                <w:sz w:val="17"/>
                <w:szCs w:val="17"/>
                <w:lang w:eastAsia="zh-TW"/>
              </w:rPr>
              <w:t>39</w:t>
            </w:r>
            <w:r w:rsidRPr="00CA7301">
              <w:rPr>
                <w:rFonts w:eastAsia="細明體" w:cs="Segoe UI"/>
                <w:sz w:val="17"/>
                <w:szCs w:val="17"/>
                <w:lang w:eastAsia="zh-TW"/>
              </w:rPr>
              <w:t>條所界定）</w:t>
            </w:r>
            <w:r w:rsidRPr="00CA7301">
              <w:rPr>
                <w:rFonts w:eastAsia="細明體" w:cs="Segoe UI"/>
                <w:sz w:val="17"/>
                <w:szCs w:val="17"/>
                <w:lang w:val="en-US" w:eastAsia="zh-TW"/>
              </w:rPr>
              <w:t>而產生的到期債務</w:t>
            </w:r>
            <w:proofErr w:type="gramStart"/>
            <w:r w:rsidRPr="00CA7301">
              <w:rPr>
                <w:rFonts w:eastAsia="細明體" w:cs="Segoe UI"/>
                <w:sz w:val="17"/>
                <w:szCs w:val="17"/>
                <w:lang w:val="en-US" w:eastAsia="zh-TW"/>
              </w:rPr>
              <w:t>付還或</w:t>
            </w:r>
            <w:proofErr w:type="gramEnd"/>
            <w:r w:rsidRPr="00CA7301">
              <w:rPr>
                <w:rFonts w:eastAsia="細明體" w:cs="Segoe UI"/>
                <w:sz w:val="17"/>
                <w:szCs w:val="17"/>
                <w:lang w:val="en-US" w:eastAsia="zh-TW"/>
              </w:rPr>
              <w:t>在該等交易包含的任何期權下可能提供借款或資產的義務。</w:t>
            </w:r>
          </w:p>
          <w:p w14:paraId="459372F9" w14:textId="77777777" w:rsidR="00C8624D" w:rsidRPr="00CA7301" w:rsidRDefault="00C8624D" w:rsidP="00C8624D">
            <w:pPr>
              <w:keepLines/>
              <w:widowControl w:val="0"/>
              <w:spacing w:before="40" w:after="40"/>
              <w:jc w:val="both"/>
              <w:rPr>
                <w:rFonts w:eastAsiaTheme="minorEastAsia" w:cs="Segoe UI"/>
                <w:sz w:val="17"/>
                <w:szCs w:val="17"/>
                <w:lang w:eastAsia="zh-TW"/>
              </w:rPr>
            </w:pPr>
            <w:r w:rsidRPr="00CA7301">
              <w:rPr>
                <w:rFonts w:eastAsiaTheme="minorEastAsia" w:cs="Segoe UI"/>
                <w:sz w:val="17"/>
                <w:szCs w:val="17"/>
                <w:lang w:eastAsia="zh-TW"/>
              </w:rPr>
              <w:t>{</w:t>
            </w:r>
            <w:r w:rsidRPr="00CA7301">
              <w:rPr>
                <w:rFonts w:eastAsiaTheme="minorEastAsia" w:cs="Segoe UI"/>
                <w:sz w:val="17"/>
                <w:szCs w:val="17"/>
                <w:lang w:eastAsia="zh-TW"/>
              </w:rPr>
              <w:t>項目</w:t>
            </w:r>
            <w:r w:rsidRPr="00CA7301">
              <w:rPr>
                <w:rFonts w:eastAsiaTheme="minorEastAsia" w:cs="Segoe UI"/>
                <w:sz w:val="17"/>
                <w:szCs w:val="17"/>
                <w:lang w:eastAsia="zh-TW"/>
              </w:rPr>
              <w:t>B17</w:t>
            </w:r>
            <w:r w:rsidRPr="00CA7301">
              <w:rPr>
                <w:rFonts w:eastAsiaTheme="minorEastAsia" w:cs="Segoe UI"/>
                <w:sz w:val="17"/>
                <w:szCs w:val="17"/>
                <w:lang w:eastAsia="zh-TW"/>
              </w:rPr>
              <w:t>及</w:t>
            </w:r>
            <w:r w:rsidRPr="00CA7301">
              <w:rPr>
                <w:rFonts w:eastAsiaTheme="minorEastAsia" w:cs="Segoe UI"/>
                <w:sz w:val="17"/>
                <w:szCs w:val="17"/>
                <w:lang w:eastAsia="zh-TW"/>
              </w:rPr>
              <w:t>B18</w:t>
            </w:r>
            <w:r w:rsidRPr="00CA7301">
              <w:rPr>
                <w:rFonts w:eastAsiaTheme="minorEastAsia" w:cs="Segoe UI"/>
                <w:sz w:val="17"/>
                <w:szCs w:val="17"/>
                <w:lang w:eastAsia="zh-TW"/>
              </w:rPr>
              <w:t>的總和</w:t>
            </w:r>
            <w:r w:rsidRPr="00CA7301">
              <w:rPr>
                <w:rFonts w:eastAsiaTheme="minorEastAsia" w:cs="Segoe UI"/>
                <w:sz w:val="17"/>
                <w:szCs w:val="17"/>
                <w:lang w:eastAsia="zh-TW"/>
              </w:rPr>
              <w:t>}</w:t>
            </w:r>
          </w:p>
        </w:tc>
      </w:tr>
      <w:tr w:rsidR="00C8624D" w:rsidRPr="00CA7301" w14:paraId="6A9B869A" w14:textId="77777777" w:rsidTr="00877D8D">
        <w:trPr>
          <w:trHeight w:val="373"/>
        </w:trPr>
        <w:tc>
          <w:tcPr>
            <w:tcW w:w="567" w:type="dxa"/>
          </w:tcPr>
          <w:p w14:paraId="762BD3EB"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13</w:t>
            </w:r>
          </w:p>
        </w:tc>
        <w:tc>
          <w:tcPr>
            <w:tcW w:w="8647" w:type="dxa"/>
          </w:tcPr>
          <w:p w14:paraId="0A6DE313"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val="en-US" w:eastAsia="zh-TW"/>
              </w:rPr>
            </w:pPr>
            <w:r w:rsidRPr="00CA7301">
              <w:rPr>
                <w:rFonts w:eastAsia="細明體" w:cs="Segoe UI"/>
                <w:sz w:val="17"/>
                <w:szCs w:val="17"/>
                <w:lang w:val="en-US" w:eastAsia="zh-TW"/>
              </w:rPr>
              <w:t>按《守則》第</w:t>
            </w:r>
            <w:r w:rsidRPr="00CA7301">
              <w:rPr>
                <w:rFonts w:cs="Segoe UI"/>
                <w:sz w:val="17"/>
                <w:szCs w:val="17"/>
                <w:lang w:val="en-US" w:eastAsia="zh-TW"/>
              </w:rPr>
              <w:t>21</w:t>
            </w:r>
            <w:r w:rsidRPr="00CA7301">
              <w:rPr>
                <w:rFonts w:eastAsia="細明體" w:cs="Segoe UI"/>
                <w:sz w:val="17"/>
                <w:szCs w:val="17"/>
                <w:lang w:val="en-US" w:eastAsia="zh-TW"/>
              </w:rPr>
              <w:t>條計算，未提取的有承諾信貸融通及有承諾流動性融通（如《流動性規則》</w:t>
            </w:r>
            <w:r w:rsidRPr="00CA7301">
              <w:rPr>
                <w:rFonts w:eastAsia="細明體" w:cs="Segoe UI"/>
                <w:sz w:val="17"/>
                <w:szCs w:val="17"/>
                <w:lang w:eastAsia="zh-TW"/>
              </w:rPr>
              <w:t>第</w:t>
            </w:r>
            <w:r w:rsidRPr="00CA7301">
              <w:rPr>
                <w:rFonts w:cs="Segoe UI"/>
                <w:sz w:val="17"/>
                <w:szCs w:val="17"/>
                <w:lang w:val="en-US" w:eastAsia="zh-TW"/>
              </w:rPr>
              <w:t>39</w:t>
            </w:r>
            <w:r w:rsidRPr="00CA7301">
              <w:rPr>
                <w:rFonts w:eastAsia="細明體" w:cs="Segoe UI"/>
                <w:sz w:val="17"/>
                <w:szCs w:val="17"/>
                <w:lang w:eastAsia="zh-TW"/>
              </w:rPr>
              <w:t>條</w:t>
            </w:r>
            <w:r w:rsidRPr="00CA7301">
              <w:rPr>
                <w:rFonts w:eastAsia="細明體" w:cs="Segoe UI"/>
                <w:sz w:val="17"/>
                <w:szCs w:val="17"/>
                <w:lang w:val="en-US" w:eastAsia="zh-TW"/>
              </w:rPr>
              <w:t>所界定）在</w:t>
            </w:r>
            <w:r w:rsidRPr="00CA7301">
              <w:rPr>
                <w:rFonts w:cs="Segoe UI"/>
                <w:sz w:val="17"/>
                <w:szCs w:val="17"/>
                <w:lang w:val="en-US" w:eastAsia="zh-TW"/>
              </w:rPr>
              <w:t>LCR</w:t>
            </w:r>
            <w:r w:rsidRPr="00CA7301">
              <w:rPr>
                <w:rFonts w:eastAsia="細明體" w:cs="Segoe UI"/>
                <w:sz w:val="17"/>
                <w:szCs w:val="17"/>
                <w:lang w:val="en-US" w:eastAsia="zh-TW"/>
              </w:rPr>
              <w:t>涵蓋時期內的潛在提取所產生的預期現金流出。</w:t>
            </w:r>
          </w:p>
          <w:p w14:paraId="34ACF764"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B19}</w:t>
            </w:r>
          </w:p>
        </w:tc>
      </w:tr>
      <w:tr w:rsidR="00C8624D" w:rsidRPr="00CA7301" w14:paraId="5D0780C6" w14:textId="77777777" w:rsidTr="00877D8D">
        <w:trPr>
          <w:trHeight w:val="373"/>
        </w:trPr>
        <w:tc>
          <w:tcPr>
            <w:tcW w:w="567" w:type="dxa"/>
          </w:tcPr>
          <w:p w14:paraId="6B87A287"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14</w:t>
            </w:r>
          </w:p>
        </w:tc>
        <w:tc>
          <w:tcPr>
            <w:tcW w:w="8647" w:type="dxa"/>
          </w:tcPr>
          <w:p w14:paraId="4D72F40D"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val="en-US" w:eastAsia="zh-TW"/>
              </w:rPr>
            </w:pPr>
            <w:r w:rsidRPr="00CA7301">
              <w:rPr>
                <w:rFonts w:eastAsia="細明體" w:cs="Segoe UI"/>
                <w:sz w:val="17"/>
                <w:szCs w:val="17"/>
                <w:lang w:val="en-US" w:eastAsia="zh-TW"/>
              </w:rPr>
              <w:t>按《守則》第</w:t>
            </w:r>
            <w:r w:rsidRPr="00CA7301">
              <w:rPr>
                <w:rFonts w:cs="Segoe UI"/>
                <w:sz w:val="17"/>
                <w:szCs w:val="17"/>
                <w:lang w:val="en-US" w:eastAsia="zh-TW"/>
              </w:rPr>
              <w:t>22</w:t>
            </w:r>
            <w:r w:rsidRPr="00CA7301">
              <w:rPr>
                <w:rFonts w:eastAsia="細明體" w:cs="Segoe UI"/>
                <w:sz w:val="17"/>
                <w:szCs w:val="17"/>
                <w:lang w:val="en-US" w:eastAsia="zh-TW"/>
              </w:rPr>
              <w:t>條計算，沒有在披露模版</w:t>
            </w:r>
            <w:r w:rsidRPr="00CA7301">
              <w:rPr>
                <w:rFonts w:cs="Segoe UI"/>
                <w:sz w:val="17"/>
                <w:szCs w:val="17"/>
                <w:lang w:val="en-US" w:eastAsia="zh-TW"/>
              </w:rPr>
              <w:t>B</w:t>
            </w:r>
            <w:r w:rsidRPr="00CA7301">
              <w:rPr>
                <w:rFonts w:eastAsia="細明體" w:cs="Segoe UI"/>
                <w:sz w:val="17"/>
                <w:szCs w:val="17"/>
                <w:lang w:val="en-US" w:eastAsia="zh-TW"/>
              </w:rPr>
              <w:t>節以其他方式涵蓋的合約借出義務所產生的預期現金流出；及按《守則》第</w:t>
            </w:r>
            <w:r w:rsidRPr="00CA7301">
              <w:rPr>
                <w:rFonts w:cs="Segoe UI"/>
                <w:sz w:val="17"/>
                <w:szCs w:val="17"/>
                <w:lang w:val="en-US" w:eastAsia="zh-TW"/>
              </w:rPr>
              <w:t>24</w:t>
            </w:r>
            <w:r w:rsidRPr="00CA7301">
              <w:rPr>
                <w:rFonts w:eastAsia="細明體" w:cs="Segoe UI"/>
                <w:sz w:val="17"/>
                <w:szCs w:val="17"/>
                <w:lang w:val="en-US" w:eastAsia="zh-TW"/>
              </w:rPr>
              <w:t>條計算的其他合約現金流出（如《流動性規則》</w:t>
            </w:r>
            <w:r w:rsidRPr="00CA7301">
              <w:rPr>
                <w:rFonts w:eastAsia="細明體" w:cs="Segoe UI"/>
                <w:sz w:val="17"/>
                <w:szCs w:val="17"/>
                <w:lang w:eastAsia="zh-TW"/>
              </w:rPr>
              <w:t>第</w:t>
            </w:r>
            <w:r w:rsidRPr="00CA7301">
              <w:rPr>
                <w:rFonts w:cs="Segoe UI"/>
                <w:sz w:val="17"/>
                <w:szCs w:val="17"/>
                <w:lang w:val="en-US" w:eastAsia="zh-TW"/>
              </w:rPr>
              <w:t>39</w:t>
            </w:r>
            <w:r w:rsidRPr="00CA7301">
              <w:rPr>
                <w:rFonts w:eastAsia="細明體" w:cs="Segoe UI"/>
                <w:sz w:val="17"/>
                <w:szCs w:val="17"/>
                <w:lang w:eastAsia="zh-TW"/>
              </w:rPr>
              <w:t>條</w:t>
            </w:r>
            <w:r w:rsidRPr="00CA7301">
              <w:rPr>
                <w:rFonts w:eastAsia="細明體" w:cs="Segoe UI"/>
                <w:sz w:val="17"/>
                <w:szCs w:val="17"/>
                <w:lang w:val="en-US" w:eastAsia="zh-TW"/>
              </w:rPr>
              <w:t>所界定）。</w:t>
            </w:r>
          </w:p>
          <w:p w14:paraId="4E097CD9"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B20</w:t>
            </w:r>
            <w:r w:rsidRPr="00CA7301">
              <w:rPr>
                <w:rFonts w:eastAsia="細明體" w:cs="Segoe UI"/>
                <w:sz w:val="17"/>
                <w:szCs w:val="17"/>
                <w:lang w:eastAsia="zh-TW"/>
              </w:rPr>
              <w:t>及</w:t>
            </w:r>
            <w:r w:rsidRPr="00CA7301">
              <w:rPr>
                <w:rFonts w:cs="Segoe UI"/>
                <w:sz w:val="17"/>
                <w:szCs w:val="17"/>
                <w:lang w:eastAsia="zh-TW"/>
              </w:rPr>
              <w:t>B22</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7E25C6F8" w14:textId="77777777" w:rsidTr="00877D8D">
        <w:trPr>
          <w:trHeight w:val="373"/>
        </w:trPr>
        <w:tc>
          <w:tcPr>
            <w:tcW w:w="567" w:type="dxa"/>
          </w:tcPr>
          <w:p w14:paraId="03E41402"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15</w:t>
            </w:r>
          </w:p>
        </w:tc>
        <w:tc>
          <w:tcPr>
            <w:tcW w:w="8647" w:type="dxa"/>
          </w:tcPr>
          <w:p w14:paraId="5FE04FAA"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val="en-US" w:eastAsia="zh-TW"/>
              </w:rPr>
            </w:pPr>
            <w:r w:rsidRPr="00CA7301">
              <w:rPr>
                <w:rFonts w:eastAsia="細明體" w:cs="Segoe UI"/>
                <w:sz w:val="17"/>
                <w:szCs w:val="17"/>
                <w:lang w:val="en-US" w:eastAsia="zh-TW"/>
              </w:rPr>
              <w:t>按《守則》第</w:t>
            </w:r>
            <w:r w:rsidRPr="00CA7301">
              <w:rPr>
                <w:rFonts w:cs="Segoe UI"/>
                <w:sz w:val="17"/>
                <w:szCs w:val="17"/>
                <w:lang w:val="en-US" w:eastAsia="zh-TW"/>
              </w:rPr>
              <w:t>23</w:t>
            </w:r>
            <w:r w:rsidRPr="00CA7301">
              <w:rPr>
                <w:rFonts w:eastAsia="細明體" w:cs="Segoe UI"/>
                <w:sz w:val="17"/>
                <w:szCs w:val="17"/>
                <w:lang w:val="en-US" w:eastAsia="zh-TW"/>
              </w:rPr>
              <w:t>條計算的其他或有出資義務（如《流動性規則》</w:t>
            </w:r>
            <w:r w:rsidRPr="00CA7301">
              <w:rPr>
                <w:rFonts w:eastAsia="細明體" w:cs="Segoe UI"/>
                <w:sz w:val="17"/>
                <w:szCs w:val="17"/>
                <w:lang w:eastAsia="zh-TW"/>
              </w:rPr>
              <w:t>第</w:t>
            </w:r>
            <w:r w:rsidRPr="00CA7301">
              <w:rPr>
                <w:rFonts w:cs="Segoe UI"/>
                <w:sz w:val="17"/>
                <w:szCs w:val="17"/>
                <w:lang w:val="en-US" w:eastAsia="zh-TW"/>
              </w:rPr>
              <w:t>39</w:t>
            </w:r>
            <w:r w:rsidRPr="00CA7301">
              <w:rPr>
                <w:rFonts w:eastAsia="細明體" w:cs="Segoe UI"/>
                <w:sz w:val="17"/>
                <w:szCs w:val="17"/>
                <w:lang w:eastAsia="zh-TW"/>
              </w:rPr>
              <w:t>條</w:t>
            </w:r>
            <w:r w:rsidRPr="00CA7301">
              <w:rPr>
                <w:rFonts w:eastAsia="細明體" w:cs="Segoe UI"/>
                <w:sz w:val="17"/>
                <w:szCs w:val="17"/>
                <w:lang w:val="en-US" w:eastAsia="zh-TW"/>
              </w:rPr>
              <w:t>所界定）（不論是合約或非合約義務）。</w:t>
            </w:r>
          </w:p>
          <w:p w14:paraId="3B5D1CC7"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B21}</w:t>
            </w:r>
          </w:p>
        </w:tc>
      </w:tr>
      <w:tr w:rsidR="00C8624D" w:rsidRPr="00CA7301" w14:paraId="1CD532D9" w14:textId="77777777" w:rsidTr="00877D8D">
        <w:trPr>
          <w:trHeight w:val="373"/>
        </w:trPr>
        <w:tc>
          <w:tcPr>
            <w:tcW w:w="567" w:type="dxa"/>
          </w:tcPr>
          <w:p w14:paraId="0A4F1FA5"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16</w:t>
            </w:r>
          </w:p>
        </w:tc>
        <w:tc>
          <w:tcPr>
            <w:tcW w:w="8647" w:type="dxa"/>
          </w:tcPr>
          <w:p w14:paraId="187DA0AF"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val="en-US" w:eastAsia="zh-TW"/>
              </w:rPr>
            </w:pPr>
            <w:r w:rsidRPr="00CA7301">
              <w:rPr>
                <w:rFonts w:eastAsia="細明體" w:cs="Segoe UI"/>
                <w:sz w:val="17"/>
                <w:szCs w:val="17"/>
                <w:lang w:val="en-US" w:eastAsia="zh-TW"/>
              </w:rPr>
              <w:t>現金流出總額（即第</w:t>
            </w:r>
            <w:r w:rsidRPr="00CA7301">
              <w:rPr>
                <w:rFonts w:cs="Segoe UI"/>
                <w:sz w:val="17"/>
                <w:szCs w:val="17"/>
                <w:lang w:val="en-US" w:eastAsia="zh-TW"/>
              </w:rPr>
              <w:t>2</w:t>
            </w:r>
            <w:r w:rsidRPr="00CA7301">
              <w:rPr>
                <w:rFonts w:eastAsia="細明體" w:cs="Segoe UI"/>
                <w:sz w:val="17"/>
                <w:szCs w:val="17"/>
                <w:lang w:val="en-US" w:eastAsia="zh-TW"/>
              </w:rPr>
              <w:t>、</w:t>
            </w:r>
            <w:r w:rsidRPr="00CA7301">
              <w:rPr>
                <w:rFonts w:cs="Segoe UI"/>
                <w:sz w:val="17"/>
                <w:szCs w:val="17"/>
                <w:lang w:eastAsia="zh-TW"/>
              </w:rPr>
              <w:t>5</w:t>
            </w:r>
            <w:r w:rsidRPr="00CA7301">
              <w:rPr>
                <w:rFonts w:eastAsia="細明體" w:cs="Segoe UI"/>
                <w:sz w:val="17"/>
                <w:szCs w:val="17"/>
                <w:lang w:val="en-US" w:eastAsia="zh-TW"/>
              </w:rPr>
              <w:t>、</w:t>
            </w:r>
            <w:r w:rsidRPr="00CA7301">
              <w:rPr>
                <w:rFonts w:cs="Segoe UI"/>
                <w:sz w:val="17"/>
                <w:szCs w:val="17"/>
                <w:lang w:eastAsia="zh-TW"/>
              </w:rPr>
              <w:t>9</w:t>
            </w:r>
            <w:r w:rsidRPr="00CA7301">
              <w:rPr>
                <w:rFonts w:eastAsia="細明體" w:cs="Segoe UI"/>
                <w:sz w:val="17"/>
                <w:szCs w:val="17"/>
                <w:lang w:eastAsia="zh-TW"/>
              </w:rPr>
              <w:t>、</w:t>
            </w:r>
            <w:r w:rsidRPr="00CA7301">
              <w:rPr>
                <w:rFonts w:cs="Segoe UI"/>
                <w:sz w:val="17"/>
                <w:szCs w:val="17"/>
                <w:lang w:val="en-US" w:eastAsia="zh-TW"/>
              </w:rPr>
              <w:t>10</w:t>
            </w:r>
            <w:r w:rsidRPr="00CA7301">
              <w:rPr>
                <w:rFonts w:eastAsia="細明體" w:cs="Segoe UI"/>
                <w:sz w:val="17"/>
                <w:szCs w:val="17"/>
                <w:lang w:val="en-US" w:eastAsia="zh-TW"/>
              </w:rPr>
              <w:t>、</w:t>
            </w:r>
            <w:r w:rsidRPr="00CA7301">
              <w:rPr>
                <w:rFonts w:cs="Segoe UI"/>
                <w:sz w:val="17"/>
                <w:szCs w:val="17"/>
                <w:lang w:val="en-US" w:eastAsia="zh-TW"/>
              </w:rPr>
              <w:t>14</w:t>
            </w:r>
            <w:r w:rsidRPr="00CA7301">
              <w:rPr>
                <w:rFonts w:eastAsia="細明體" w:cs="Segoe UI"/>
                <w:sz w:val="17"/>
                <w:szCs w:val="17"/>
                <w:lang w:val="en-US" w:eastAsia="zh-TW"/>
              </w:rPr>
              <w:t>及</w:t>
            </w:r>
            <w:r w:rsidRPr="00CA7301">
              <w:rPr>
                <w:rFonts w:cs="Segoe UI"/>
                <w:sz w:val="17"/>
                <w:szCs w:val="17"/>
                <w:lang w:val="en-US" w:eastAsia="zh-TW"/>
              </w:rPr>
              <w:t>15</w:t>
            </w:r>
            <w:r w:rsidRPr="00CA7301">
              <w:rPr>
                <w:rFonts w:eastAsiaTheme="minorEastAsia" w:cs="Segoe UI"/>
                <w:sz w:val="17"/>
                <w:szCs w:val="17"/>
                <w:lang w:val="en-US" w:eastAsia="zh-TW"/>
              </w:rPr>
              <w:t>行的值的總和</w:t>
            </w:r>
            <w:r w:rsidRPr="00CA7301">
              <w:rPr>
                <w:rFonts w:eastAsia="細明體" w:cs="Segoe UI"/>
                <w:sz w:val="17"/>
                <w:szCs w:val="17"/>
                <w:lang w:val="en-US" w:eastAsia="zh-TW"/>
              </w:rPr>
              <w:t>）。</w:t>
            </w:r>
          </w:p>
          <w:p w14:paraId="268A25B4"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B23}</w:t>
            </w:r>
          </w:p>
        </w:tc>
      </w:tr>
      <w:tr w:rsidR="00C8624D" w:rsidRPr="00CA7301" w14:paraId="24019243" w14:textId="77777777" w:rsidTr="00877D8D">
        <w:trPr>
          <w:trHeight w:val="373"/>
        </w:trPr>
        <w:tc>
          <w:tcPr>
            <w:tcW w:w="567" w:type="dxa"/>
          </w:tcPr>
          <w:p w14:paraId="3A0C7B1C"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17</w:t>
            </w:r>
          </w:p>
        </w:tc>
        <w:tc>
          <w:tcPr>
            <w:tcW w:w="8647" w:type="dxa"/>
          </w:tcPr>
          <w:p w14:paraId="0BDBB791"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val="en-US" w:eastAsia="zh-TW"/>
              </w:rPr>
            </w:pPr>
            <w:r w:rsidRPr="00CA7301">
              <w:rPr>
                <w:rFonts w:eastAsia="細明體" w:cs="Segoe UI"/>
                <w:sz w:val="17"/>
                <w:szCs w:val="17"/>
                <w:lang w:val="en-US" w:eastAsia="zh-TW"/>
              </w:rPr>
              <w:t>按《守則》第</w:t>
            </w:r>
            <w:r w:rsidRPr="00CA7301">
              <w:rPr>
                <w:rFonts w:cs="Segoe UI"/>
                <w:sz w:val="17"/>
                <w:szCs w:val="17"/>
                <w:lang w:val="en-US" w:eastAsia="zh-TW"/>
              </w:rPr>
              <w:t>25</w:t>
            </w:r>
            <w:r w:rsidRPr="00CA7301">
              <w:rPr>
                <w:rFonts w:eastAsia="細明體" w:cs="Segoe UI"/>
                <w:sz w:val="17"/>
                <w:szCs w:val="17"/>
                <w:lang w:val="en-US" w:eastAsia="zh-TW"/>
              </w:rPr>
              <w:t>條計算，到期有抵押借出交易（包括證券掉期交易）（如《流動性規則》第</w:t>
            </w:r>
            <w:r w:rsidRPr="00CA7301">
              <w:rPr>
                <w:rFonts w:cs="Segoe UI"/>
                <w:sz w:val="17"/>
                <w:szCs w:val="17"/>
                <w:lang w:val="en-US" w:eastAsia="zh-TW"/>
              </w:rPr>
              <w:t>39</w:t>
            </w:r>
            <w:r w:rsidRPr="00CA7301">
              <w:rPr>
                <w:rFonts w:eastAsiaTheme="minorEastAsia" w:cs="Segoe UI"/>
                <w:sz w:val="17"/>
                <w:szCs w:val="17"/>
                <w:lang w:val="en-US" w:eastAsia="zh-TW"/>
              </w:rPr>
              <w:t>條</w:t>
            </w:r>
            <w:r w:rsidRPr="00CA7301">
              <w:rPr>
                <w:rFonts w:eastAsia="細明體" w:cs="Segoe UI"/>
                <w:sz w:val="17"/>
                <w:szCs w:val="17"/>
                <w:lang w:val="en-US" w:eastAsia="zh-TW"/>
              </w:rPr>
              <w:t>所界定）產生的預期現金流入。</w:t>
            </w:r>
          </w:p>
          <w:p w14:paraId="071DF9B7"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C1</w:t>
            </w:r>
            <w:r w:rsidRPr="00CA7301">
              <w:rPr>
                <w:rFonts w:eastAsia="細明體" w:cs="Segoe UI"/>
                <w:sz w:val="17"/>
                <w:szCs w:val="17"/>
                <w:lang w:eastAsia="zh-TW"/>
              </w:rPr>
              <w:t>、</w:t>
            </w:r>
            <w:r w:rsidRPr="00CA7301">
              <w:rPr>
                <w:rFonts w:cs="Segoe UI"/>
                <w:sz w:val="17"/>
                <w:szCs w:val="17"/>
                <w:lang w:eastAsia="zh-TW"/>
              </w:rPr>
              <w:t>C2</w:t>
            </w:r>
            <w:r w:rsidRPr="00CA7301">
              <w:rPr>
                <w:rFonts w:eastAsia="細明體" w:cs="Segoe UI"/>
                <w:sz w:val="17"/>
                <w:szCs w:val="17"/>
                <w:lang w:eastAsia="zh-TW"/>
              </w:rPr>
              <w:t>及</w:t>
            </w:r>
            <w:r w:rsidRPr="00CA7301">
              <w:rPr>
                <w:rFonts w:cs="Segoe UI"/>
                <w:sz w:val="17"/>
                <w:szCs w:val="17"/>
                <w:lang w:eastAsia="zh-TW"/>
              </w:rPr>
              <w:t>C3</w:t>
            </w:r>
            <w:r w:rsidRPr="00CA7301">
              <w:rPr>
                <w:rFonts w:eastAsiaTheme="minorEastAsia" w:cs="Segoe UI"/>
                <w:sz w:val="17"/>
                <w:szCs w:val="17"/>
                <w:lang w:eastAsia="zh-TW"/>
              </w:rPr>
              <w:t>的總和</w:t>
            </w:r>
            <w:r w:rsidRPr="00CA7301">
              <w:rPr>
                <w:rFonts w:cs="Segoe UI"/>
                <w:sz w:val="17"/>
                <w:szCs w:val="17"/>
                <w:lang w:eastAsia="zh-TW"/>
              </w:rPr>
              <w:t>}</w:t>
            </w:r>
          </w:p>
        </w:tc>
      </w:tr>
      <w:tr w:rsidR="00C8624D" w:rsidRPr="00CA7301" w14:paraId="4B12144E" w14:textId="77777777" w:rsidTr="00877D8D">
        <w:trPr>
          <w:trHeight w:val="373"/>
        </w:trPr>
        <w:tc>
          <w:tcPr>
            <w:tcW w:w="567" w:type="dxa"/>
          </w:tcPr>
          <w:p w14:paraId="6B54D154"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18</w:t>
            </w:r>
          </w:p>
        </w:tc>
        <w:tc>
          <w:tcPr>
            <w:tcW w:w="8647" w:type="dxa"/>
          </w:tcPr>
          <w:p w14:paraId="2FEF7E2D"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細明體" w:cs="Segoe UI"/>
                <w:sz w:val="17"/>
                <w:szCs w:val="17"/>
                <w:lang w:val="en-US" w:eastAsia="zh-TW"/>
              </w:rPr>
            </w:pPr>
            <w:r w:rsidRPr="00CA7301">
              <w:rPr>
                <w:rFonts w:eastAsia="細明體" w:cs="Segoe UI"/>
                <w:sz w:val="17"/>
                <w:szCs w:val="17"/>
                <w:lang w:val="en-US" w:eastAsia="zh-TW"/>
              </w:rPr>
              <w:t>分別按《守則》第</w:t>
            </w:r>
            <w:r w:rsidRPr="00CA7301">
              <w:rPr>
                <w:rFonts w:eastAsia="細明體" w:cs="Segoe UI"/>
                <w:sz w:val="17"/>
                <w:szCs w:val="17"/>
                <w:lang w:val="en-US" w:eastAsia="zh-TW"/>
              </w:rPr>
              <w:t>26</w:t>
            </w:r>
            <w:r w:rsidRPr="00CA7301">
              <w:rPr>
                <w:rFonts w:eastAsia="細明體" w:cs="Segoe UI"/>
                <w:sz w:val="17"/>
                <w:szCs w:val="17"/>
                <w:lang w:val="en-US" w:eastAsia="zh-TW"/>
              </w:rPr>
              <w:t>及</w:t>
            </w:r>
            <w:r w:rsidRPr="00CA7301">
              <w:rPr>
                <w:rFonts w:eastAsia="細明體" w:cs="Segoe UI"/>
                <w:sz w:val="17"/>
                <w:szCs w:val="17"/>
                <w:lang w:val="en-US" w:eastAsia="zh-TW"/>
              </w:rPr>
              <w:t>29(b)</w:t>
            </w:r>
            <w:r w:rsidRPr="00CA7301">
              <w:rPr>
                <w:rFonts w:eastAsia="細明體" w:cs="Segoe UI"/>
                <w:sz w:val="17"/>
                <w:szCs w:val="17"/>
                <w:lang w:val="en-US" w:eastAsia="zh-TW"/>
              </w:rPr>
              <w:t>條計算，以下項目產生的預期現金流入：</w:t>
            </w:r>
            <w:r w:rsidRPr="00CA7301">
              <w:rPr>
                <w:rFonts w:eastAsia="細明體" w:cs="Segoe UI"/>
                <w:sz w:val="17"/>
                <w:szCs w:val="17"/>
                <w:lang w:val="en-US" w:eastAsia="zh-TW"/>
              </w:rPr>
              <w:t>(</w:t>
            </w:r>
            <w:proofErr w:type="gramStart"/>
            <w:r w:rsidRPr="00CA7301">
              <w:rPr>
                <w:rFonts w:eastAsia="細明體" w:cs="Segoe UI"/>
                <w:sz w:val="17"/>
                <w:szCs w:val="17"/>
                <w:lang w:val="en-US" w:eastAsia="zh-TW"/>
              </w:rPr>
              <w:t>1)</w:t>
            </w:r>
            <w:r w:rsidRPr="00CA7301">
              <w:rPr>
                <w:rFonts w:eastAsia="細明體" w:cs="Segoe UI"/>
                <w:sz w:val="17"/>
                <w:szCs w:val="17"/>
                <w:lang w:val="en-US" w:eastAsia="zh-TW"/>
              </w:rPr>
              <w:t>合約於</w:t>
            </w:r>
            <w:proofErr w:type="gramEnd"/>
            <w:r w:rsidRPr="00CA7301">
              <w:rPr>
                <w:rFonts w:eastAsia="細明體" w:cs="Segoe UI"/>
                <w:sz w:val="17"/>
                <w:szCs w:val="17"/>
                <w:lang w:val="en-US" w:eastAsia="zh-TW"/>
              </w:rPr>
              <w:t>LCR</w:t>
            </w:r>
            <w:r w:rsidRPr="00CA7301">
              <w:rPr>
                <w:rFonts w:eastAsia="細明體" w:cs="Segoe UI"/>
                <w:sz w:val="17"/>
                <w:szCs w:val="17"/>
                <w:lang w:val="en-US" w:eastAsia="zh-TW"/>
              </w:rPr>
              <w:t>涵蓋時期內到期的有抵押或無抵押貸款（有抵押借出交易除外）；及</w:t>
            </w:r>
            <w:r w:rsidRPr="00CA7301">
              <w:rPr>
                <w:rFonts w:eastAsia="細明體" w:cs="Segoe UI"/>
                <w:sz w:val="17"/>
                <w:szCs w:val="17"/>
                <w:lang w:val="en-US" w:eastAsia="zh-TW"/>
              </w:rPr>
              <w:t>(2)</w:t>
            </w:r>
            <w:r w:rsidRPr="00CA7301">
              <w:rPr>
                <w:rFonts w:eastAsia="細明體" w:cs="Segoe UI"/>
                <w:sz w:val="17"/>
                <w:szCs w:val="17"/>
                <w:lang w:val="en-US" w:eastAsia="zh-TW"/>
              </w:rPr>
              <w:t>存於其他金融機構的營運存款。</w:t>
            </w:r>
          </w:p>
          <w:p w14:paraId="11C8452A"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val="en-US" w:eastAsia="zh-TW"/>
              </w:rPr>
            </w:pPr>
            <w:r w:rsidRPr="00CA7301">
              <w:rPr>
                <w:rFonts w:cs="Segoe UI"/>
                <w:sz w:val="17"/>
                <w:szCs w:val="17"/>
                <w:lang w:val="en-US" w:eastAsia="zh-TW"/>
              </w:rPr>
              <w:t>{</w:t>
            </w:r>
            <w:r w:rsidRPr="00CA7301">
              <w:rPr>
                <w:rFonts w:eastAsia="細明體" w:cs="Segoe UI"/>
                <w:sz w:val="17"/>
                <w:szCs w:val="17"/>
                <w:lang w:val="en-US" w:eastAsia="zh-TW"/>
              </w:rPr>
              <w:t>項目</w:t>
            </w:r>
            <w:r w:rsidRPr="00CA7301">
              <w:rPr>
                <w:rFonts w:cs="Segoe UI"/>
                <w:sz w:val="17"/>
                <w:szCs w:val="17"/>
                <w:lang w:val="en-US" w:eastAsia="zh-TW"/>
              </w:rPr>
              <w:t>C4</w:t>
            </w:r>
            <w:r w:rsidRPr="00CA7301">
              <w:rPr>
                <w:rFonts w:eastAsia="細明體" w:cs="Segoe UI"/>
                <w:sz w:val="17"/>
                <w:szCs w:val="17"/>
                <w:lang w:val="en-US" w:eastAsia="zh-TW"/>
              </w:rPr>
              <w:t>及</w:t>
            </w:r>
            <w:r w:rsidRPr="00CA7301">
              <w:rPr>
                <w:rFonts w:cs="Segoe UI"/>
                <w:sz w:val="17"/>
                <w:szCs w:val="17"/>
                <w:lang w:val="en-US" w:eastAsia="zh-TW"/>
              </w:rPr>
              <w:t>C8</w:t>
            </w:r>
            <w:r w:rsidRPr="00CA7301">
              <w:rPr>
                <w:rFonts w:eastAsiaTheme="minorEastAsia" w:cs="Segoe UI"/>
                <w:sz w:val="17"/>
                <w:szCs w:val="17"/>
                <w:lang w:val="en-US" w:eastAsia="zh-TW"/>
              </w:rPr>
              <w:t>的總和</w:t>
            </w:r>
            <w:r w:rsidRPr="00CA7301">
              <w:rPr>
                <w:rFonts w:cs="Segoe UI"/>
                <w:sz w:val="17"/>
                <w:szCs w:val="17"/>
                <w:lang w:val="en-US" w:eastAsia="zh-TW"/>
              </w:rPr>
              <w:t>}</w:t>
            </w:r>
          </w:p>
        </w:tc>
      </w:tr>
      <w:tr w:rsidR="00C8624D" w:rsidRPr="00CA7301" w14:paraId="70BE3C6A" w14:textId="77777777" w:rsidTr="00877D8D">
        <w:trPr>
          <w:trHeight w:val="373"/>
        </w:trPr>
        <w:tc>
          <w:tcPr>
            <w:tcW w:w="567" w:type="dxa"/>
          </w:tcPr>
          <w:p w14:paraId="0FA1C915"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19</w:t>
            </w:r>
          </w:p>
        </w:tc>
        <w:tc>
          <w:tcPr>
            <w:tcW w:w="8647" w:type="dxa"/>
          </w:tcPr>
          <w:p w14:paraId="4CABEED0"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val="en-US" w:eastAsia="zh-TW"/>
              </w:rPr>
            </w:pPr>
            <w:r w:rsidRPr="00CA7301">
              <w:rPr>
                <w:rFonts w:eastAsiaTheme="minorEastAsia" w:cs="Segoe UI"/>
                <w:sz w:val="17"/>
                <w:szCs w:val="17"/>
                <w:lang w:val="en-US" w:eastAsia="zh-TW"/>
              </w:rPr>
              <w:t>以下各項產生的預期現金流入</w:t>
            </w:r>
            <w:proofErr w:type="gramStart"/>
            <w:r w:rsidRPr="00CA7301">
              <w:rPr>
                <w:rFonts w:ascii="細明體" w:eastAsia="細明體" w:hAnsi="細明體" w:cs="細明體" w:hint="eastAsia"/>
                <w:szCs w:val="17"/>
                <w:lang w:eastAsia="zh-TW"/>
              </w:rPr>
              <w:t>──</w:t>
            </w:r>
            <w:proofErr w:type="gramEnd"/>
          </w:p>
          <w:p w14:paraId="7AF586A3" w14:textId="77777777" w:rsidR="00C8624D" w:rsidRPr="00CA7301" w:rsidRDefault="00C8624D" w:rsidP="00D540EB">
            <w:pPr>
              <w:keepLines/>
              <w:widowControl w:val="0"/>
              <w:numPr>
                <w:ilvl w:val="0"/>
                <w:numId w:val="9"/>
              </w:numPr>
              <w:spacing w:before="40" w:after="40"/>
              <w:ind w:left="459" w:hanging="459"/>
              <w:jc w:val="both"/>
              <w:rPr>
                <w:rFonts w:cs="Segoe UI"/>
                <w:sz w:val="17"/>
                <w:szCs w:val="17"/>
                <w:lang w:eastAsia="zh-TW"/>
              </w:rPr>
            </w:pPr>
            <w:r w:rsidRPr="00CA7301">
              <w:rPr>
                <w:rFonts w:eastAsiaTheme="minorEastAsia" w:cs="Segoe UI"/>
                <w:sz w:val="17"/>
                <w:szCs w:val="17"/>
                <w:lang w:val="en-US" w:eastAsia="zh-TW"/>
              </w:rPr>
              <w:t>按《守則》第</w:t>
            </w:r>
            <w:r w:rsidRPr="00CA7301">
              <w:rPr>
                <w:rFonts w:eastAsiaTheme="minorEastAsia" w:cs="Segoe UI"/>
                <w:sz w:val="17"/>
                <w:szCs w:val="17"/>
                <w:lang w:val="en-US" w:eastAsia="zh-TW"/>
              </w:rPr>
              <w:t>27</w:t>
            </w:r>
            <w:r w:rsidRPr="00CA7301">
              <w:rPr>
                <w:rFonts w:eastAsiaTheme="minorEastAsia" w:cs="Segoe UI"/>
                <w:sz w:val="17"/>
                <w:szCs w:val="17"/>
                <w:lang w:val="en-US" w:eastAsia="zh-TW"/>
              </w:rPr>
              <w:t>條計算，該第</w:t>
            </w:r>
            <w:r w:rsidRPr="00CA7301">
              <w:rPr>
                <w:rFonts w:eastAsiaTheme="minorEastAsia" w:cs="Segoe UI"/>
                <w:sz w:val="17"/>
                <w:szCs w:val="17"/>
                <w:lang w:val="en-US" w:eastAsia="zh-TW"/>
              </w:rPr>
              <w:t>1</w:t>
            </w:r>
            <w:r w:rsidRPr="00CA7301">
              <w:rPr>
                <w:rFonts w:eastAsiaTheme="minorEastAsia" w:cs="Segoe UI"/>
                <w:sz w:val="17"/>
                <w:szCs w:val="17"/>
                <w:lang w:val="en-US" w:eastAsia="zh-TW"/>
              </w:rPr>
              <w:t>類機構按照保障客戶資產的規定在分隔的帳戶維持的結餘（不論屬款項或其他資產）的發放；</w:t>
            </w:r>
          </w:p>
          <w:p w14:paraId="383B1CB1" w14:textId="77777777" w:rsidR="00C8624D" w:rsidRPr="00CA7301" w:rsidRDefault="00C8624D" w:rsidP="00D540EB">
            <w:pPr>
              <w:keepLines/>
              <w:widowControl w:val="0"/>
              <w:numPr>
                <w:ilvl w:val="0"/>
                <w:numId w:val="9"/>
              </w:numPr>
              <w:spacing w:before="40" w:after="40"/>
              <w:ind w:left="459" w:hanging="459"/>
              <w:jc w:val="both"/>
              <w:rPr>
                <w:rFonts w:cs="Segoe UI"/>
                <w:sz w:val="17"/>
                <w:szCs w:val="17"/>
                <w:lang w:eastAsia="zh-TW"/>
              </w:rPr>
            </w:pPr>
            <w:r w:rsidRPr="00CA7301">
              <w:rPr>
                <w:rFonts w:eastAsiaTheme="minorEastAsia" w:cs="Segoe UI"/>
                <w:sz w:val="17"/>
                <w:szCs w:val="17"/>
                <w:lang w:val="en-US" w:eastAsia="zh-TW"/>
              </w:rPr>
              <w:t>按《守則》第</w:t>
            </w:r>
            <w:r w:rsidRPr="00CA7301">
              <w:rPr>
                <w:rFonts w:eastAsiaTheme="minorEastAsia" w:cs="Segoe UI"/>
                <w:sz w:val="17"/>
                <w:szCs w:val="17"/>
                <w:lang w:val="en-US" w:eastAsia="zh-TW"/>
              </w:rPr>
              <w:t>28</w:t>
            </w:r>
            <w:r w:rsidRPr="00CA7301">
              <w:rPr>
                <w:rFonts w:eastAsiaTheme="minorEastAsia" w:cs="Segoe UI"/>
                <w:sz w:val="17"/>
                <w:szCs w:val="17"/>
                <w:lang w:val="en-US" w:eastAsia="zh-TW"/>
              </w:rPr>
              <w:t>條計算，該第</w:t>
            </w:r>
            <w:r w:rsidRPr="00CA7301">
              <w:rPr>
                <w:rFonts w:eastAsiaTheme="minorEastAsia" w:cs="Segoe UI"/>
                <w:sz w:val="17"/>
                <w:szCs w:val="17"/>
                <w:lang w:val="en-US" w:eastAsia="zh-TW"/>
              </w:rPr>
              <w:t>1</w:t>
            </w:r>
            <w:r w:rsidRPr="00CA7301">
              <w:rPr>
                <w:rFonts w:eastAsiaTheme="minorEastAsia" w:cs="Segoe UI"/>
                <w:sz w:val="17"/>
                <w:szCs w:val="17"/>
                <w:lang w:val="en-US" w:eastAsia="zh-TW"/>
              </w:rPr>
              <w:t>類機構沒有計入其</w:t>
            </w:r>
            <w:r w:rsidRPr="00CA7301">
              <w:rPr>
                <w:rFonts w:eastAsiaTheme="minorEastAsia" w:cs="Segoe UI"/>
                <w:sz w:val="17"/>
                <w:szCs w:val="17"/>
                <w:lang w:val="en-US" w:eastAsia="zh-TW"/>
              </w:rPr>
              <w:t>HQLA</w:t>
            </w:r>
            <w:r w:rsidRPr="00CA7301">
              <w:rPr>
                <w:rFonts w:eastAsiaTheme="minorEastAsia" w:cs="Segoe UI"/>
                <w:sz w:val="17"/>
                <w:szCs w:val="17"/>
                <w:lang w:val="en-US" w:eastAsia="zh-TW"/>
              </w:rPr>
              <w:t>的到期證券；</w:t>
            </w:r>
          </w:p>
          <w:p w14:paraId="4EC88758" w14:textId="45F7E116" w:rsidR="00C8624D" w:rsidRPr="00CA7301" w:rsidRDefault="00C8624D" w:rsidP="00D540EB">
            <w:pPr>
              <w:keepLines/>
              <w:widowControl w:val="0"/>
              <w:numPr>
                <w:ilvl w:val="0"/>
                <w:numId w:val="9"/>
              </w:numPr>
              <w:spacing w:before="40" w:after="40"/>
              <w:ind w:left="459" w:hanging="459"/>
              <w:jc w:val="both"/>
              <w:rPr>
                <w:rFonts w:cs="Segoe UI"/>
                <w:sz w:val="17"/>
                <w:szCs w:val="17"/>
                <w:lang w:eastAsia="zh-TW"/>
              </w:rPr>
            </w:pPr>
            <w:r w:rsidRPr="00CA7301">
              <w:rPr>
                <w:rFonts w:eastAsiaTheme="minorEastAsia" w:cs="Segoe UI"/>
                <w:sz w:val="17"/>
                <w:szCs w:val="17"/>
                <w:lang w:val="en-US" w:eastAsia="zh-TW"/>
              </w:rPr>
              <w:t>按《守則》第</w:t>
            </w:r>
            <w:r w:rsidRPr="00CA7301">
              <w:rPr>
                <w:rFonts w:eastAsiaTheme="minorEastAsia" w:cs="Segoe UI"/>
                <w:sz w:val="17"/>
                <w:szCs w:val="17"/>
                <w:lang w:val="en-US" w:eastAsia="zh-TW"/>
              </w:rPr>
              <w:t>29(a)</w:t>
            </w:r>
            <w:r w:rsidRPr="00CA7301">
              <w:rPr>
                <w:rFonts w:eastAsiaTheme="minorEastAsia" w:cs="Segoe UI"/>
                <w:sz w:val="17"/>
                <w:szCs w:val="17"/>
                <w:lang w:val="en-US" w:eastAsia="zh-TW"/>
              </w:rPr>
              <w:t>條計算，</w:t>
            </w:r>
            <w:proofErr w:type="gramStart"/>
            <w:r w:rsidR="00E67BD9" w:rsidRPr="00CA7301">
              <w:rPr>
                <w:rFonts w:eastAsiaTheme="minorEastAsia" w:cs="Segoe UI"/>
                <w:sz w:val="17"/>
                <w:szCs w:val="17"/>
                <w:lang w:val="en-US" w:eastAsia="zh-TW"/>
              </w:rPr>
              <w:t>批予</w:t>
            </w:r>
            <w:r w:rsidRPr="00CA7301">
              <w:rPr>
                <w:rFonts w:eastAsiaTheme="minorEastAsia" w:cs="Segoe UI"/>
                <w:sz w:val="17"/>
                <w:szCs w:val="17"/>
                <w:lang w:val="en-US" w:eastAsia="zh-TW"/>
              </w:rPr>
              <w:t>該</w:t>
            </w:r>
            <w:proofErr w:type="gramEnd"/>
            <w:r w:rsidRPr="00CA7301">
              <w:rPr>
                <w:rFonts w:eastAsiaTheme="minorEastAsia" w:cs="Segoe UI"/>
                <w:sz w:val="17"/>
                <w:szCs w:val="17"/>
                <w:lang w:val="en-US" w:eastAsia="zh-TW"/>
              </w:rPr>
              <w:t>第</w:t>
            </w:r>
            <w:r w:rsidRPr="00CA7301">
              <w:rPr>
                <w:rFonts w:eastAsiaTheme="minorEastAsia" w:cs="Segoe UI"/>
                <w:sz w:val="17"/>
                <w:szCs w:val="17"/>
                <w:lang w:val="en-US" w:eastAsia="zh-TW"/>
              </w:rPr>
              <w:t>1</w:t>
            </w:r>
            <w:r w:rsidRPr="00CA7301">
              <w:rPr>
                <w:rFonts w:eastAsiaTheme="minorEastAsia" w:cs="Segoe UI"/>
                <w:sz w:val="17"/>
                <w:szCs w:val="17"/>
                <w:lang w:val="en-US" w:eastAsia="zh-TW"/>
              </w:rPr>
              <w:t>類機構的未提取融通；</w:t>
            </w:r>
          </w:p>
          <w:p w14:paraId="7DFD1B06" w14:textId="77777777" w:rsidR="00C8624D" w:rsidRPr="00CA7301" w:rsidRDefault="00C8624D" w:rsidP="00D540EB">
            <w:pPr>
              <w:keepLines/>
              <w:widowControl w:val="0"/>
              <w:numPr>
                <w:ilvl w:val="0"/>
                <w:numId w:val="9"/>
              </w:numPr>
              <w:spacing w:before="40" w:after="40"/>
              <w:ind w:left="459" w:hanging="459"/>
              <w:jc w:val="both"/>
              <w:rPr>
                <w:rFonts w:cs="Segoe UI"/>
                <w:sz w:val="17"/>
                <w:szCs w:val="17"/>
                <w:lang w:eastAsia="zh-TW"/>
              </w:rPr>
            </w:pPr>
            <w:r w:rsidRPr="00CA7301">
              <w:rPr>
                <w:rFonts w:eastAsiaTheme="minorEastAsia" w:cs="Segoe UI"/>
                <w:sz w:val="17"/>
                <w:szCs w:val="17"/>
                <w:lang w:val="en-US" w:eastAsia="zh-TW"/>
              </w:rPr>
              <w:t>按《守則》第</w:t>
            </w:r>
            <w:r w:rsidRPr="00CA7301">
              <w:rPr>
                <w:rFonts w:eastAsiaTheme="minorEastAsia" w:cs="Segoe UI"/>
                <w:sz w:val="17"/>
                <w:szCs w:val="17"/>
                <w:lang w:val="en-US" w:eastAsia="zh-TW"/>
              </w:rPr>
              <w:t>30</w:t>
            </w:r>
            <w:r w:rsidRPr="00CA7301">
              <w:rPr>
                <w:rFonts w:eastAsiaTheme="minorEastAsia" w:cs="Segoe UI"/>
                <w:sz w:val="17"/>
                <w:szCs w:val="17"/>
                <w:lang w:val="en-US" w:eastAsia="zh-TW"/>
              </w:rPr>
              <w:t>條計算，衍生工具合約產生的合約淨現金流入；以及</w:t>
            </w:r>
          </w:p>
          <w:p w14:paraId="7202B022" w14:textId="77777777" w:rsidR="00C8624D" w:rsidRPr="00CA7301" w:rsidRDefault="00C8624D" w:rsidP="00D540EB">
            <w:pPr>
              <w:keepLines/>
              <w:widowControl w:val="0"/>
              <w:numPr>
                <w:ilvl w:val="0"/>
                <w:numId w:val="9"/>
              </w:numPr>
              <w:spacing w:before="40" w:after="40"/>
              <w:ind w:left="459" w:hanging="459"/>
              <w:jc w:val="both"/>
              <w:rPr>
                <w:rFonts w:cs="Segoe UI"/>
                <w:sz w:val="17"/>
                <w:szCs w:val="17"/>
                <w:lang w:eastAsia="zh-TW"/>
              </w:rPr>
            </w:pPr>
            <w:r w:rsidRPr="00CA7301">
              <w:rPr>
                <w:rFonts w:eastAsiaTheme="minorEastAsia" w:cs="Segoe UI"/>
                <w:sz w:val="17"/>
                <w:szCs w:val="17"/>
                <w:lang w:val="en-US" w:eastAsia="zh-TW"/>
              </w:rPr>
              <w:t>按《守則》第</w:t>
            </w:r>
            <w:r w:rsidRPr="00CA7301">
              <w:rPr>
                <w:rFonts w:eastAsiaTheme="minorEastAsia" w:cs="Segoe UI"/>
                <w:sz w:val="17"/>
                <w:szCs w:val="17"/>
                <w:lang w:val="en-US" w:eastAsia="zh-TW"/>
              </w:rPr>
              <w:t>31</w:t>
            </w:r>
            <w:r w:rsidRPr="00CA7301">
              <w:rPr>
                <w:rFonts w:eastAsiaTheme="minorEastAsia" w:cs="Segoe UI"/>
                <w:sz w:val="17"/>
                <w:szCs w:val="17"/>
                <w:lang w:val="en-US" w:eastAsia="zh-TW"/>
              </w:rPr>
              <w:t>條計算，沒有在披露模版</w:t>
            </w:r>
            <w:r w:rsidRPr="00CA7301">
              <w:rPr>
                <w:rFonts w:eastAsiaTheme="minorEastAsia" w:cs="Segoe UI"/>
                <w:sz w:val="17"/>
                <w:szCs w:val="17"/>
                <w:lang w:val="en-US" w:eastAsia="zh-TW"/>
              </w:rPr>
              <w:t>C</w:t>
            </w:r>
            <w:r w:rsidRPr="00CA7301">
              <w:rPr>
                <w:rFonts w:eastAsiaTheme="minorEastAsia" w:cs="Segoe UI"/>
                <w:sz w:val="17"/>
                <w:szCs w:val="17"/>
                <w:lang w:val="en-US" w:eastAsia="zh-TW"/>
              </w:rPr>
              <w:t>節以其他方式涵蓋的由資產、交易或活動產生的其他合約現金流入。</w:t>
            </w:r>
          </w:p>
          <w:p w14:paraId="6C2C0B66" w14:textId="77777777" w:rsidR="00C8624D" w:rsidRPr="00CA7301" w:rsidRDefault="00C8624D" w:rsidP="00C8624D">
            <w:pPr>
              <w:keepLines/>
              <w:widowControl w:val="0"/>
              <w:spacing w:before="40" w:after="40"/>
              <w:jc w:val="both"/>
              <w:rPr>
                <w:rFonts w:eastAsiaTheme="minorEastAsia" w:cs="Segoe UI"/>
                <w:sz w:val="17"/>
                <w:szCs w:val="17"/>
                <w:lang w:eastAsia="zh-TW"/>
              </w:rPr>
            </w:pPr>
            <w:r w:rsidRPr="00CA7301">
              <w:rPr>
                <w:rFonts w:eastAsiaTheme="minorEastAsia" w:cs="Segoe UI"/>
                <w:sz w:val="17"/>
                <w:szCs w:val="17"/>
                <w:lang w:eastAsia="zh-TW"/>
              </w:rPr>
              <w:t>{</w:t>
            </w:r>
            <w:r w:rsidRPr="00CA7301">
              <w:rPr>
                <w:rFonts w:eastAsiaTheme="minorEastAsia" w:cs="Segoe UI"/>
                <w:sz w:val="17"/>
                <w:szCs w:val="17"/>
                <w:lang w:eastAsia="zh-TW"/>
              </w:rPr>
              <w:t>項目</w:t>
            </w:r>
            <w:r w:rsidRPr="00CA7301">
              <w:rPr>
                <w:rFonts w:eastAsiaTheme="minorEastAsia" w:cs="Segoe UI"/>
                <w:sz w:val="17"/>
                <w:szCs w:val="17"/>
                <w:lang w:eastAsia="zh-TW"/>
              </w:rPr>
              <w:t>C5</w:t>
            </w:r>
            <w:r w:rsidRPr="00CA7301">
              <w:rPr>
                <w:rFonts w:eastAsiaTheme="minorEastAsia" w:cs="Segoe UI"/>
                <w:sz w:val="17"/>
                <w:szCs w:val="17"/>
                <w:lang w:eastAsia="zh-TW"/>
              </w:rPr>
              <w:t>、</w:t>
            </w:r>
            <w:r w:rsidRPr="00CA7301">
              <w:rPr>
                <w:rFonts w:eastAsiaTheme="minorEastAsia" w:cs="Segoe UI"/>
                <w:sz w:val="17"/>
                <w:szCs w:val="17"/>
                <w:lang w:eastAsia="zh-TW"/>
              </w:rPr>
              <w:t>C6</w:t>
            </w:r>
            <w:r w:rsidRPr="00CA7301">
              <w:rPr>
                <w:rFonts w:eastAsiaTheme="minorEastAsia" w:cs="Segoe UI"/>
                <w:sz w:val="17"/>
                <w:szCs w:val="17"/>
                <w:lang w:eastAsia="zh-TW"/>
              </w:rPr>
              <w:t>、</w:t>
            </w:r>
            <w:r w:rsidRPr="00CA7301">
              <w:rPr>
                <w:rFonts w:eastAsiaTheme="minorEastAsia" w:cs="Segoe UI"/>
                <w:sz w:val="17"/>
                <w:szCs w:val="17"/>
                <w:lang w:eastAsia="zh-TW"/>
              </w:rPr>
              <w:t>C7</w:t>
            </w:r>
            <w:r w:rsidRPr="00CA7301">
              <w:rPr>
                <w:rFonts w:eastAsiaTheme="minorEastAsia" w:cs="Segoe UI"/>
                <w:sz w:val="17"/>
                <w:szCs w:val="17"/>
                <w:lang w:eastAsia="zh-TW"/>
              </w:rPr>
              <w:t>、</w:t>
            </w:r>
            <w:r w:rsidRPr="00CA7301">
              <w:rPr>
                <w:rFonts w:eastAsiaTheme="minorEastAsia" w:cs="Segoe UI"/>
                <w:sz w:val="17"/>
                <w:szCs w:val="17"/>
                <w:lang w:eastAsia="zh-TW"/>
              </w:rPr>
              <w:t>C9</w:t>
            </w:r>
            <w:r w:rsidRPr="00CA7301">
              <w:rPr>
                <w:rFonts w:eastAsiaTheme="minorEastAsia" w:cs="Segoe UI"/>
                <w:sz w:val="17"/>
                <w:szCs w:val="17"/>
                <w:lang w:eastAsia="zh-TW"/>
              </w:rPr>
              <w:t>及</w:t>
            </w:r>
            <w:r w:rsidRPr="00CA7301">
              <w:rPr>
                <w:rFonts w:eastAsiaTheme="minorEastAsia" w:cs="Segoe UI"/>
                <w:sz w:val="17"/>
                <w:szCs w:val="17"/>
                <w:lang w:eastAsia="zh-TW"/>
              </w:rPr>
              <w:t>C10</w:t>
            </w:r>
            <w:r w:rsidRPr="00CA7301">
              <w:rPr>
                <w:rFonts w:eastAsiaTheme="minorEastAsia" w:cs="Segoe UI"/>
                <w:sz w:val="17"/>
                <w:szCs w:val="17"/>
                <w:lang w:eastAsia="zh-TW"/>
              </w:rPr>
              <w:t>的總和</w:t>
            </w:r>
            <w:r w:rsidRPr="00CA7301">
              <w:rPr>
                <w:rFonts w:eastAsiaTheme="minorEastAsia" w:cs="Segoe UI"/>
                <w:sz w:val="17"/>
                <w:szCs w:val="17"/>
                <w:lang w:eastAsia="zh-TW"/>
              </w:rPr>
              <w:t>}</w:t>
            </w:r>
          </w:p>
        </w:tc>
      </w:tr>
      <w:tr w:rsidR="00C8624D" w:rsidRPr="00CA7301" w14:paraId="6E4DA85F" w14:textId="77777777" w:rsidTr="00877D8D">
        <w:trPr>
          <w:trHeight w:val="373"/>
        </w:trPr>
        <w:tc>
          <w:tcPr>
            <w:tcW w:w="567" w:type="dxa"/>
          </w:tcPr>
          <w:p w14:paraId="4D20B228"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20</w:t>
            </w:r>
          </w:p>
        </w:tc>
        <w:tc>
          <w:tcPr>
            <w:tcW w:w="8647" w:type="dxa"/>
          </w:tcPr>
          <w:p w14:paraId="7A5F87E9"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eastAsiaTheme="minorEastAsia" w:cs="Segoe UI"/>
                <w:sz w:val="17"/>
                <w:szCs w:val="17"/>
                <w:lang w:val="en-US" w:eastAsia="zh-TW"/>
              </w:rPr>
            </w:pPr>
            <w:r w:rsidRPr="00CA7301">
              <w:rPr>
                <w:rFonts w:eastAsia="細明體" w:cs="Segoe UI"/>
                <w:sz w:val="17"/>
                <w:szCs w:val="17"/>
                <w:lang w:val="en-US" w:eastAsia="zh-TW"/>
              </w:rPr>
              <w:t>現金流入總額（即第</w:t>
            </w:r>
            <w:r w:rsidRPr="00CA7301">
              <w:rPr>
                <w:rFonts w:cs="Segoe UI"/>
                <w:sz w:val="17"/>
                <w:szCs w:val="17"/>
                <w:lang w:val="en-US" w:eastAsia="zh-TW"/>
              </w:rPr>
              <w:t>1</w:t>
            </w:r>
            <w:r w:rsidRPr="00CA7301">
              <w:rPr>
                <w:rFonts w:eastAsiaTheme="minorEastAsia" w:cs="Segoe UI"/>
                <w:sz w:val="17"/>
                <w:szCs w:val="17"/>
                <w:lang w:val="en-US" w:eastAsia="zh-TW"/>
              </w:rPr>
              <w:t>7</w:t>
            </w:r>
            <w:r w:rsidRPr="00CA7301">
              <w:rPr>
                <w:rFonts w:eastAsia="細明體" w:cs="Segoe UI"/>
                <w:sz w:val="17"/>
                <w:szCs w:val="17"/>
                <w:lang w:val="en-US" w:eastAsia="zh-TW"/>
              </w:rPr>
              <w:t>至</w:t>
            </w:r>
            <w:r w:rsidRPr="00CA7301">
              <w:rPr>
                <w:rFonts w:eastAsia="細明體" w:cs="Segoe UI"/>
                <w:sz w:val="17"/>
                <w:szCs w:val="17"/>
                <w:lang w:val="en-US" w:eastAsia="zh-TW"/>
              </w:rPr>
              <w:t>19</w:t>
            </w:r>
            <w:r w:rsidRPr="00CA7301">
              <w:rPr>
                <w:rFonts w:eastAsia="細明體" w:cs="Segoe UI"/>
                <w:sz w:val="17"/>
                <w:szCs w:val="17"/>
                <w:lang w:val="en-US" w:eastAsia="zh-TW"/>
              </w:rPr>
              <w:t>行的值的總和）</w:t>
            </w:r>
            <w:r w:rsidRPr="00CA7301">
              <w:rPr>
                <w:rFonts w:eastAsiaTheme="minorEastAsia" w:cs="Segoe UI"/>
                <w:sz w:val="17"/>
                <w:szCs w:val="17"/>
                <w:lang w:val="en-US" w:eastAsia="zh-TW"/>
              </w:rPr>
              <w:t>。</w:t>
            </w:r>
          </w:p>
          <w:p w14:paraId="3DEDFE9D" w14:textId="77777777" w:rsidR="00C8624D" w:rsidRPr="00CA7301" w:rsidRDefault="00C8624D" w:rsidP="00C8624D">
            <w:pPr>
              <w:keepLines/>
              <w:widowControl w:val="0"/>
              <w:tabs>
                <w:tab w:val="left" w:pos="150"/>
                <w:tab w:val="left" w:pos="397"/>
                <w:tab w:val="left" w:pos="794"/>
                <w:tab w:val="left" w:pos="1191"/>
              </w:tabs>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C11}</w:t>
            </w:r>
          </w:p>
        </w:tc>
      </w:tr>
      <w:tr w:rsidR="00C8624D" w:rsidRPr="00CA7301" w14:paraId="18FB52BD" w14:textId="77777777" w:rsidTr="00877D8D">
        <w:trPr>
          <w:trHeight w:val="373"/>
        </w:trPr>
        <w:tc>
          <w:tcPr>
            <w:tcW w:w="567" w:type="dxa"/>
          </w:tcPr>
          <w:p w14:paraId="34412E76"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21</w:t>
            </w:r>
          </w:p>
        </w:tc>
        <w:tc>
          <w:tcPr>
            <w:tcW w:w="8647" w:type="dxa"/>
          </w:tcPr>
          <w:p w14:paraId="43A038B6" w14:textId="77777777" w:rsidR="00C8624D" w:rsidRPr="00CA7301" w:rsidRDefault="00C8624D" w:rsidP="00C8624D">
            <w:pPr>
              <w:spacing w:before="40" w:after="40"/>
              <w:jc w:val="both"/>
              <w:rPr>
                <w:rFonts w:eastAsia="細明體" w:cs="Segoe UI"/>
                <w:sz w:val="17"/>
                <w:szCs w:val="17"/>
                <w:lang w:val="en-US" w:eastAsia="zh-TW"/>
              </w:rPr>
            </w:pPr>
            <w:r w:rsidRPr="00CA7301">
              <w:rPr>
                <w:rFonts w:cs="Segoe UI"/>
                <w:i/>
                <w:sz w:val="17"/>
                <w:lang w:eastAsia="it-IT"/>
              </w:rPr>
              <w:t>HQLA</w:t>
            </w:r>
            <w:r w:rsidRPr="00CA7301">
              <w:rPr>
                <w:rFonts w:eastAsiaTheme="minorEastAsia" w:cs="Segoe UI"/>
                <w:i/>
                <w:sz w:val="17"/>
                <w:lang w:eastAsia="zh-TW"/>
              </w:rPr>
              <w:t>總額</w:t>
            </w:r>
            <w:r w:rsidRPr="00CA7301">
              <w:rPr>
                <w:rFonts w:eastAsia="細明體" w:cs="Segoe UI"/>
                <w:i/>
                <w:sz w:val="17"/>
                <w:lang w:eastAsia="it-IT"/>
              </w:rPr>
              <w:t>（</w:t>
            </w:r>
            <w:r w:rsidRPr="00CA7301">
              <w:rPr>
                <w:rFonts w:eastAsiaTheme="minorEastAsia" w:cs="Segoe UI"/>
                <w:i/>
                <w:sz w:val="17"/>
                <w:lang w:eastAsia="zh-TW"/>
              </w:rPr>
              <w:t>經調整價值</w:t>
            </w:r>
            <w:r w:rsidRPr="00CA7301">
              <w:rPr>
                <w:rFonts w:eastAsia="細明體" w:cs="Segoe UI"/>
                <w:i/>
                <w:sz w:val="17"/>
                <w:lang w:eastAsia="it-IT"/>
              </w:rPr>
              <w:t>）</w:t>
            </w:r>
            <w:r w:rsidRPr="00CA7301">
              <w:rPr>
                <w:rFonts w:eastAsiaTheme="minorEastAsia" w:cs="Segoe UI"/>
                <w:sz w:val="17"/>
                <w:lang w:eastAsia="zh-TW"/>
              </w:rPr>
              <w:t>：</w:t>
            </w:r>
            <w:r w:rsidRPr="00CA7301">
              <w:rPr>
                <w:rFonts w:eastAsia="細明體" w:cs="Segoe UI"/>
                <w:sz w:val="17"/>
                <w:szCs w:val="17"/>
                <w:lang w:val="en-US" w:eastAsia="zh-TW"/>
              </w:rPr>
              <w:t>在按《流動性規則》第</w:t>
            </w:r>
            <w:r w:rsidRPr="00CA7301">
              <w:rPr>
                <w:rFonts w:cs="Segoe UI"/>
                <w:sz w:val="17"/>
                <w:szCs w:val="17"/>
                <w:lang w:val="en-US" w:eastAsia="zh-TW"/>
              </w:rPr>
              <w:t>33</w:t>
            </w:r>
            <w:r w:rsidRPr="00CA7301">
              <w:rPr>
                <w:rFonts w:eastAsia="細明體" w:cs="Segoe UI"/>
                <w:sz w:val="17"/>
                <w:szCs w:val="17"/>
                <w:lang w:val="en-US" w:eastAsia="zh-TW"/>
              </w:rPr>
              <w:t>及</w:t>
            </w:r>
            <w:r w:rsidRPr="00CA7301">
              <w:rPr>
                <w:rFonts w:cs="Segoe UI"/>
                <w:sz w:val="17"/>
                <w:szCs w:val="17"/>
                <w:lang w:val="en-US" w:eastAsia="zh-TW"/>
              </w:rPr>
              <w:t>34</w:t>
            </w:r>
            <w:r w:rsidRPr="00CA7301">
              <w:rPr>
                <w:rFonts w:eastAsiaTheme="minorEastAsia" w:cs="Segoe UI"/>
                <w:sz w:val="17"/>
                <w:szCs w:val="17"/>
                <w:lang w:val="en-US" w:eastAsia="zh-TW"/>
              </w:rPr>
              <w:t>條</w:t>
            </w:r>
            <w:r w:rsidRPr="00CA7301">
              <w:rPr>
                <w:rFonts w:eastAsia="細明體" w:cs="Segoe UI"/>
                <w:sz w:val="17"/>
                <w:szCs w:val="17"/>
                <w:lang w:val="en-US" w:eastAsia="zh-TW"/>
              </w:rPr>
              <w:t>（視適用情況而定）應用</w:t>
            </w:r>
            <w:r w:rsidRPr="00CA7301">
              <w:rPr>
                <w:rFonts w:cs="Segoe UI"/>
                <w:sz w:val="17"/>
                <w:szCs w:val="17"/>
                <w:lang w:val="en-US" w:eastAsia="zh-TW"/>
              </w:rPr>
              <w:t>2B</w:t>
            </w:r>
            <w:r w:rsidRPr="00CA7301">
              <w:rPr>
                <w:rFonts w:eastAsia="細明體" w:cs="Segoe UI"/>
                <w:sz w:val="17"/>
                <w:szCs w:val="17"/>
                <w:lang w:val="en-US" w:eastAsia="zh-TW"/>
              </w:rPr>
              <w:t>級資產適用的</w:t>
            </w:r>
            <w:r w:rsidRPr="00CA7301">
              <w:rPr>
                <w:rFonts w:cs="Segoe UI"/>
                <w:sz w:val="17"/>
                <w:szCs w:val="17"/>
                <w:lang w:val="en-US" w:eastAsia="zh-TW"/>
              </w:rPr>
              <w:t>15%</w:t>
            </w:r>
            <w:r w:rsidRPr="00CA7301">
              <w:rPr>
                <w:rFonts w:eastAsia="細明體" w:cs="Segoe UI"/>
                <w:sz w:val="17"/>
                <w:szCs w:val="17"/>
                <w:lang w:val="en-US" w:eastAsia="zh-TW"/>
              </w:rPr>
              <w:t>上限及</w:t>
            </w:r>
            <w:r w:rsidRPr="00CA7301">
              <w:rPr>
                <w:rFonts w:cs="Segoe UI"/>
                <w:sz w:val="17"/>
                <w:szCs w:val="17"/>
                <w:lang w:val="en-US" w:eastAsia="zh-TW"/>
              </w:rPr>
              <w:t>2A</w:t>
            </w:r>
            <w:r w:rsidRPr="00CA7301">
              <w:rPr>
                <w:rFonts w:eastAsia="細明體" w:cs="Segoe UI"/>
                <w:sz w:val="17"/>
                <w:szCs w:val="17"/>
                <w:lang w:val="en-US" w:eastAsia="zh-TW"/>
              </w:rPr>
              <w:t>級資產與</w:t>
            </w:r>
            <w:r w:rsidRPr="00CA7301">
              <w:rPr>
                <w:rFonts w:cs="Segoe UI"/>
                <w:sz w:val="17"/>
                <w:szCs w:val="17"/>
                <w:lang w:val="en-US" w:eastAsia="zh-TW"/>
              </w:rPr>
              <w:t>2B</w:t>
            </w:r>
            <w:r w:rsidRPr="00CA7301">
              <w:rPr>
                <w:rFonts w:eastAsia="細明體" w:cs="Segoe UI"/>
                <w:sz w:val="17"/>
                <w:szCs w:val="17"/>
                <w:lang w:val="en-US" w:eastAsia="zh-TW"/>
              </w:rPr>
              <w:t>級資產之和適用的</w:t>
            </w:r>
            <w:r w:rsidRPr="00CA7301">
              <w:rPr>
                <w:rFonts w:cs="Segoe UI"/>
                <w:sz w:val="17"/>
                <w:szCs w:val="17"/>
                <w:lang w:val="en-US" w:eastAsia="zh-TW"/>
              </w:rPr>
              <w:t>40%</w:t>
            </w:r>
            <w:r w:rsidRPr="00CA7301">
              <w:rPr>
                <w:rFonts w:eastAsia="細明體" w:cs="Segoe UI"/>
                <w:sz w:val="17"/>
                <w:szCs w:val="17"/>
                <w:lang w:val="en-US" w:eastAsia="zh-TW"/>
              </w:rPr>
              <w:t>上限後的</w:t>
            </w:r>
            <w:r w:rsidRPr="00CA7301">
              <w:rPr>
                <w:rFonts w:cs="Segoe UI"/>
                <w:sz w:val="17"/>
                <w:szCs w:val="17"/>
                <w:lang w:val="en-US" w:eastAsia="zh-TW"/>
              </w:rPr>
              <w:t>HQLA</w:t>
            </w:r>
            <w:r w:rsidRPr="00CA7301">
              <w:rPr>
                <w:rFonts w:eastAsia="細明體" w:cs="Segoe UI"/>
                <w:sz w:val="17"/>
                <w:szCs w:val="17"/>
                <w:lang w:val="en-US" w:eastAsia="zh-TW"/>
              </w:rPr>
              <w:t>總額的加權數額</w:t>
            </w:r>
            <w:r w:rsidRPr="00CA7301">
              <w:rPr>
                <w:rFonts w:eastAsia="細明體" w:cs="Segoe UI"/>
                <w:sz w:val="17"/>
                <w:szCs w:val="17"/>
                <w:lang w:val="en-US" w:eastAsia="zh-TW"/>
              </w:rPr>
              <w:t xml:space="preserve"> </w:t>
            </w:r>
            <w:r w:rsidRPr="00CA7301">
              <w:rPr>
                <w:rFonts w:eastAsia="細明體" w:cs="Segoe UI"/>
                <w:sz w:val="17"/>
                <w:szCs w:val="17"/>
                <w:lang w:val="en-US" w:eastAsia="zh-TW"/>
              </w:rPr>
              <w:t>（按《流動性規則》第</w:t>
            </w:r>
            <w:r w:rsidRPr="00CA7301">
              <w:rPr>
                <w:rFonts w:cs="Segoe UI"/>
                <w:sz w:val="17"/>
                <w:szCs w:val="17"/>
                <w:lang w:val="en-US" w:eastAsia="zh-TW"/>
              </w:rPr>
              <w:t>35</w:t>
            </w:r>
            <w:r w:rsidRPr="00CA7301">
              <w:rPr>
                <w:rFonts w:eastAsiaTheme="minorEastAsia" w:cs="Segoe UI"/>
                <w:sz w:val="17"/>
                <w:szCs w:val="17"/>
                <w:lang w:val="en-US" w:eastAsia="zh-TW"/>
              </w:rPr>
              <w:t>條</w:t>
            </w:r>
            <w:r w:rsidRPr="00CA7301">
              <w:rPr>
                <w:rFonts w:eastAsia="細明體" w:cs="Segoe UI"/>
                <w:sz w:val="17"/>
                <w:szCs w:val="17"/>
                <w:lang w:val="en-US" w:eastAsia="zh-TW"/>
              </w:rPr>
              <w:t>及（如適用）《流動性規則》第</w:t>
            </w:r>
            <w:r w:rsidRPr="00CA7301">
              <w:rPr>
                <w:rFonts w:cs="Segoe UI"/>
                <w:sz w:val="17"/>
                <w:szCs w:val="17"/>
                <w:lang w:val="en-US" w:eastAsia="zh-TW"/>
              </w:rPr>
              <w:t>38</w:t>
            </w:r>
            <w:r w:rsidRPr="00CA7301">
              <w:rPr>
                <w:rFonts w:eastAsiaTheme="minorEastAsia" w:cs="Segoe UI"/>
                <w:sz w:val="17"/>
                <w:szCs w:val="17"/>
                <w:lang w:val="en-US" w:eastAsia="zh-TW"/>
              </w:rPr>
              <w:t>條</w:t>
            </w:r>
            <w:r w:rsidRPr="00CA7301">
              <w:rPr>
                <w:rFonts w:eastAsia="細明體" w:cs="Segoe UI"/>
                <w:sz w:val="17"/>
                <w:szCs w:val="17"/>
                <w:lang w:val="en-US" w:eastAsia="zh-TW"/>
              </w:rPr>
              <w:t>減去適用於有關資產的任何扣減）。</w:t>
            </w:r>
          </w:p>
          <w:p w14:paraId="74AC81C5" w14:textId="77777777" w:rsidR="00C8624D" w:rsidRPr="00CA7301" w:rsidRDefault="00C8624D" w:rsidP="00C8624D">
            <w:pPr>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A7}</w:t>
            </w:r>
          </w:p>
        </w:tc>
      </w:tr>
      <w:tr w:rsidR="00C8624D" w:rsidRPr="00CA7301" w14:paraId="56457BC4" w14:textId="77777777" w:rsidTr="00877D8D">
        <w:trPr>
          <w:trHeight w:val="373"/>
        </w:trPr>
        <w:tc>
          <w:tcPr>
            <w:tcW w:w="567" w:type="dxa"/>
          </w:tcPr>
          <w:p w14:paraId="7CA1CCFC"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22</w:t>
            </w:r>
          </w:p>
        </w:tc>
        <w:tc>
          <w:tcPr>
            <w:tcW w:w="8647" w:type="dxa"/>
          </w:tcPr>
          <w:p w14:paraId="6641E5D1" w14:textId="77777777" w:rsidR="00C8624D" w:rsidRPr="00CA7301" w:rsidRDefault="00C8624D" w:rsidP="00C8624D">
            <w:pPr>
              <w:spacing w:before="40" w:after="40"/>
              <w:jc w:val="both"/>
              <w:rPr>
                <w:rFonts w:eastAsia="細明體" w:cs="Segoe UI"/>
                <w:sz w:val="17"/>
                <w:szCs w:val="17"/>
                <w:lang w:val="en-US" w:eastAsia="zh-TW"/>
              </w:rPr>
            </w:pPr>
            <w:r w:rsidRPr="00CA7301">
              <w:rPr>
                <w:rFonts w:eastAsia="細明體" w:cs="Segoe UI"/>
                <w:i/>
                <w:sz w:val="17"/>
                <w:lang w:val="en-US" w:eastAsia="it-IT"/>
              </w:rPr>
              <w:t>淨現金流出總額（經調整價值）</w:t>
            </w:r>
            <w:r w:rsidRPr="00CA7301">
              <w:rPr>
                <w:rFonts w:eastAsia="細明體" w:cs="Segoe UI"/>
                <w:sz w:val="17"/>
                <w:lang w:val="en-US" w:eastAsia="it-IT"/>
              </w:rPr>
              <w:t>：淨現金流出總額</w:t>
            </w:r>
            <w:r w:rsidRPr="00CA7301">
              <w:rPr>
                <w:rFonts w:eastAsia="細明體" w:cs="Segoe UI"/>
                <w:sz w:val="17"/>
                <w:lang w:eastAsia="it-IT"/>
              </w:rPr>
              <w:t>的</w:t>
            </w:r>
            <w:r w:rsidRPr="00CA7301">
              <w:rPr>
                <w:rFonts w:eastAsia="細明體" w:cs="Segoe UI"/>
                <w:sz w:val="17"/>
                <w:lang w:val="en-US" w:eastAsia="it-IT"/>
              </w:rPr>
              <w:t>經調整價值</w:t>
            </w:r>
            <w:r w:rsidRPr="00CA7301">
              <w:rPr>
                <w:rFonts w:eastAsia="細明體" w:cs="Segoe UI"/>
                <w:sz w:val="17"/>
                <w:lang w:val="en-US" w:eastAsia="zh-TW"/>
              </w:rPr>
              <w:t>，</w:t>
            </w:r>
            <w:r w:rsidRPr="00CA7301">
              <w:rPr>
                <w:rFonts w:eastAsia="細明體" w:cs="Segoe UI"/>
                <w:sz w:val="17"/>
                <w:lang w:val="en-US" w:eastAsia="it-IT"/>
              </w:rPr>
              <w:t>指</w:t>
            </w:r>
            <w:r w:rsidRPr="00CA7301">
              <w:rPr>
                <w:rFonts w:eastAsia="細明體" w:cs="Segoe UI"/>
                <w:sz w:val="17"/>
                <w:szCs w:val="17"/>
                <w:lang w:val="en-US" w:eastAsia="zh-TW"/>
              </w:rPr>
              <w:t>在應用《流動性規則》第</w:t>
            </w:r>
            <w:r w:rsidRPr="00CA7301">
              <w:rPr>
                <w:rFonts w:cs="Segoe UI"/>
                <w:sz w:val="17"/>
                <w:szCs w:val="17"/>
                <w:lang w:val="en-US" w:eastAsia="zh-TW"/>
              </w:rPr>
              <w:t>40</w:t>
            </w:r>
            <w:r w:rsidRPr="00CA7301">
              <w:rPr>
                <w:rFonts w:eastAsiaTheme="minorEastAsia" w:cs="Segoe UI"/>
                <w:sz w:val="17"/>
                <w:szCs w:val="17"/>
                <w:lang w:val="en-US" w:eastAsia="zh-TW"/>
              </w:rPr>
              <w:t>條</w:t>
            </w:r>
            <w:r w:rsidRPr="00CA7301">
              <w:rPr>
                <w:rFonts w:cs="Segoe UI"/>
                <w:sz w:val="17"/>
                <w:szCs w:val="17"/>
                <w:vertAlign w:val="superscript"/>
              </w:rPr>
              <w:footnoteReference w:id="13"/>
            </w:r>
            <w:r w:rsidRPr="00CA7301">
              <w:rPr>
                <w:rFonts w:eastAsia="細明體" w:cs="Segoe UI"/>
                <w:sz w:val="17"/>
                <w:szCs w:val="17"/>
                <w:lang w:val="en-US" w:eastAsia="zh-TW"/>
              </w:rPr>
              <w:t>（與《守則》一併閱讀）所規定的</w:t>
            </w:r>
            <w:r w:rsidRPr="00CA7301">
              <w:rPr>
                <w:rFonts w:cs="Segoe UI"/>
                <w:sz w:val="17"/>
                <w:szCs w:val="17"/>
                <w:lang w:val="en-US" w:eastAsia="zh-TW"/>
              </w:rPr>
              <w:t>75%</w:t>
            </w:r>
            <w:r w:rsidRPr="00CA7301">
              <w:rPr>
                <w:rFonts w:eastAsia="細明體" w:cs="Segoe UI"/>
                <w:sz w:val="17"/>
                <w:szCs w:val="17"/>
                <w:lang w:val="en-US" w:eastAsia="zh-TW"/>
              </w:rPr>
              <w:t>流入上限（如適用）後的淨現金流出總額（已分別就現金流出及流入項目應用流出及流入率）</w:t>
            </w:r>
            <w:r w:rsidRPr="00CA7301">
              <w:rPr>
                <w:rFonts w:eastAsiaTheme="minorEastAsia" w:cs="Segoe UI"/>
                <w:sz w:val="17"/>
                <w:szCs w:val="17"/>
                <w:lang w:val="en-US" w:eastAsia="zh-TW"/>
              </w:rPr>
              <w:t xml:space="preserve"> </w:t>
            </w:r>
            <w:r w:rsidRPr="00CA7301">
              <w:rPr>
                <w:rFonts w:eastAsia="細明體" w:cs="Segoe UI"/>
                <w:sz w:val="17"/>
                <w:szCs w:val="17"/>
                <w:lang w:val="en-US" w:eastAsia="zh-TW"/>
              </w:rPr>
              <w:t>的加權數額。</w:t>
            </w:r>
          </w:p>
          <w:p w14:paraId="091A6FF3" w14:textId="77777777" w:rsidR="00C8624D" w:rsidRPr="00CA7301" w:rsidRDefault="00C8624D" w:rsidP="00C8624D">
            <w:pPr>
              <w:spacing w:before="40" w:after="40"/>
              <w:jc w:val="both"/>
              <w:rPr>
                <w:rFonts w:cs="Segoe UI"/>
                <w:sz w:val="17"/>
                <w:szCs w:val="17"/>
                <w:lang w:eastAsia="zh-TW"/>
              </w:rPr>
            </w:pPr>
            <w:r w:rsidRPr="00CA7301">
              <w:rPr>
                <w:rFonts w:cs="Segoe UI"/>
                <w:sz w:val="17"/>
                <w:szCs w:val="17"/>
                <w:lang w:eastAsia="zh-TW"/>
              </w:rPr>
              <w:t>{</w:t>
            </w:r>
            <w:r w:rsidRPr="00CA7301">
              <w:rPr>
                <w:rFonts w:eastAsia="細明體" w:cs="Segoe UI"/>
                <w:sz w:val="17"/>
                <w:szCs w:val="17"/>
                <w:lang w:eastAsia="zh-TW"/>
              </w:rPr>
              <w:t>項目</w:t>
            </w:r>
            <w:r w:rsidRPr="00CA7301">
              <w:rPr>
                <w:rFonts w:cs="Segoe UI"/>
                <w:sz w:val="17"/>
                <w:szCs w:val="17"/>
                <w:lang w:eastAsia="zh-TW"/>
              </w:rPr>
              <w:t>B23</w:t>
            </w:r>
            <w:r w:rsidRPr="00CA7301">
              <w:rPr>
                <w:rFonts w:eastAsiaTheme="minorEastAsia" w:cs="Segoe UI"/>
                <w:sz w:val="17"/>
                <w:szCs w:val="17"/>
                <w:lang w:eastAsia="zh-TW"/>
              </w:rPr>
              <w:t>減去</w:t>
            </w:r>
            <w:r w:rsidRPr="00CA7301">
              <w:rPr>
                <w:rFonts w:eastAsia="細明體" w:cs="Segoe UI"/>
                <w:sz w:val="17"/>
                <w:szCs w:val="17"/>
                <w:lang w:eastAsia="zh-TW"/>
              </w:rPr>
              <w:t>項目</w:t>
            </w:r>
            <w:r w:rsidRPr="00CA7301">
              <w:rPr>
                <w:rFonts w:cs="Segoe UI"/>
                <w:sz w:val="17"/>
                <w:szCs w:val="17"/>
                <w:lang w:eastAsia="zh-TW"/>
              </w:rPr>
              <w:t>C12}</w:t>
            </w:r>
          </w:p>
        </w:tc>
      </w:tr>
      <w:tr w:rsidR="00C8624D" w:rsidRPr="00CA7301" w14:paraId="3EEE47EF" w14:textId="77777777" w:rsidTr="00877D8D">
        <w:trPr>
          <w:trHeight w:val="373"/>
        </w:trPr>
        <w:tc>
          <w:tcPr>
            <w:tcW w:w="567" w:type="dxa"/>
          </w:tcPr>
          <w:p w14:paraId="42A9FAC6" w14:textId="77777777" w:rsidR="00C8624D" w:rsidRPr="00CA7301" w:rsidRDefault="00C8624D" w:rsidP="00C8624D">
            <w:pPr>
              <w:keepLines/>
              <w:widowControl w:val="0"/>
              <w:tabs>
                <w:tab w:val="left" w:pos="150"/>
                <w:tab w:val="left" w:pos="397"/>
                <w:tab w:val="left" w:pos="794"/>
                <w:tab w:val="left" w:pos="1191"/>
              </w:tabs>
              <w:spacing w:before="40" w:after="40"/>
              <w:rPr>
                <w:rFonts w:cs="Segoe UI"/>
                <w:sz w:val="17"/>
                <w:szCs w:val="17"/>
                <w:lang w:eastAsia="en-GB"/>
              </w:rPr>
            </w:pPr>
            <w:r w:rsidRPr="00CA7301">
              <w:rPr>
                <w:rFonts w:cs="Segoe UI"/>
                <w:sz w:val="17"/>
                <w:szCs w:val="17"/>
                <w:lang w:eastAsia="en-GB"/>
              </w:rPr>
              <w:t>23</w:t>
            </w:r>
          </w:p>
        </w:tc>
        <w:tc>
          <w:tcPr>
            <w:tcW w:w="8647" w:type="dxa"/>
          </w:tcPr>
          <w:p w14:paraId="0E065F57" w14:textId="77777777" w:rsidR="00C8624D" w:rsidRPr="00CA7301" w:rsidRDefault="00C8624D" w:rsidP="00C8624D">
            <w:pPr>
              <w:spacing w:before="40" w:after="40"/>
              <w:jc w:val="both"/>
              <w:rPr>
                <w:rFonts w:cs="Segoe UI"/>
                <w:sz w:val="17"/>
                <w:szCs w:val="17"/>
                <w:lang w:eastAsia="zh-TW"/>
              </w:rPr>
            </w:pPr>
            <w:r w:rsidRPr="00CA7301">
              <w:rPr>
                <w:rFonts w:eastAsia="細明體" w:cs="Segoe UI"/>
                <w:i/>
                <w:sz w:val="17"/>
                <w:szCs w:val="17"/>
                <w:lang w:eastAsia="zh-TW"/>
              </w:rPr>
              <w:t>LCR</w:t>
            </w:r>
            <w:r w:rsidRPr="00CA7301">
              <w:rPr>
                <w:rFonts w:cs="Segoe UI"/>
                <w:i/>
                <w:sz w:val="17"/>
                <w:szCs w:val="17"/>
                <w:lang w:eastAsia="zh-TW"/>
              </w:rPr>
              <w:t xml:space="preserve"> (</w:t>
            </w:r>
            <w:proofErr w:type="gramStart"/>
            <w:r w:rsidRPr="00CA7301">
              <w:rPr>
                <w:rFonts w:cs="Segoe UI"/>
                <w:i/>
                <w:sz w:val="17"/>
                <w:szCs w:val="17"/>
                <w:lang w:eastAsia="zh-TW"/>
              </w:rPr>
              <w:t>%)</w:t>
            </w:r>
            <w:r w:rsidRPr="00CA7301">
              <w:rPr>
                <w:rFonts w:eastAsiaTheme="minorEastAsia" w:cs="Segoe UI"/>
                <w:sz w:val="17"/>
                <w:szCs w:val="17"/>
                <w:lang w:eastAsia="zh-TW"/>
              </w:rPr>
              <w:t>：</w:t>
            </w:r>
            <w:proofErr w:type="gramEnd"/>
            <w:r w:rsidRPr="00CA7301">
              <w:rPr>
                <w:rFonts w:eastAsia="細明體" w:cs="Segoe UI"/>
                <w:sz w:val="17"/>
                <w:szCs w:val="17"/>
                <w:lang w:val="en-US" w:eastAsia="zh-TW"/>
              </w:rPr>
              <w:t>本行的</w:t>
            </w:r>
            <w:r w:rsidRPr="00CA7301">
              <w:rPr>
                <w:rFonts w:cs="Segoe UI"/>
                <w:sz w:val="17"/>
                <w:szCs w:val="17"/>
                <w:lang w:val="en-US" w:eastAsia="zh-TW"/>
              </w:rPr>
              <w:t>LCR</w:t>
            </w:r>
            <w:r w:rsidRPr="00CA7301">
              <w:rPr>
                <w:rFonts w:eastAsia="細明體" w:cs="Segoe UI"/>
                <w:sz w:val="17"/>
                <w:szCs w:val="17"/>
                <w:lang w:val="en-US" w:eastAsia="zh-TW"/>
              </w:rPr>
              <w:t>「平均值」應根據指明季度</w:t>
            </w:r>
            <w:r w:rsidRPr="00CA7301">
              <w:rPr>
                <w:rFonts w:eastAsia="細明體" w:cs="Segoe UI"/>
                <w:sz w:val="17"/>
                <w:szCs w:val="17"/>
                <w:lang w:eastAsia="zh-TW"/>
              </w:rPr>
              <w:t>內</w:t>
            </w:r>
            <w:r w:rsidRPr="00CA7301">
              <w:rPr>
                <w:rFonts w:eastAsia="細明體" w:cs="Segoe UI"/>
                <w:sz w:val="17"/>
                <w:szCs w:val="17"/>
                <w:lang w:val="en-US" w:eastAsia="zh-TW"/>
              </w:rPr>
              <w:t>每個工作日終結時的</w:t>
            </w:r>
            <w:r w:rsidRPr="00CA7301">
              <w:rPr>
                <w:rFonts w:cs="Segoe UI"/>
                <w:sz w:val="17"/>
                <w:szCs w:val="17"/>
                <w:lang w:val="en-US" w:eastAsia="zh-TW"/>
              </w:rPr>
              <w:t>LCR</w:t>
            </w:r>
            <w:r w:rsidRPr="00CA7301">
              <w:rPr>
                <w:rFonts w:eastAsia="細明體" w:cs="Segoe UI"/>
                <w:sz w:val="17"/>
                <w:szCs w:val="17"/>
                <w:lang w:val="en-US" w:eastAsia="zh-TW"/>
              </w:rPr>
              <w:t>的算術平均數計算。因此，認可機構在</w:t>
            </w:r>
            <w:r w:rsidRPr="00CA7301">
              <w:rPr>
                <w:rFonts w:cs="Segoe UI"/>
                <w:sz w:val="17"/>
                <w:szCs w:val="17"/>
                <w:lang w:val="en-US" w:eastAsia="zh-TW"/>
              </w:rPr>
              <w:t>Qi</w:t>
            </w:r>
            <w:r w:rsidRPr="00CA7301">
              <w:rPr>
                <w:rFonts w:eastAsia="細明體" w:cs="Segoe UI"/>
                <w:sz w:val="17"/>
                <w:szCs w:val="17"/>
                <w:lang w:val="en-US" w:eastAsia="zh-TW"/>
              </w:rPr>
              <w:t>季度的</w:t>
            </w:r>
            <w:r w:rsidRPr="00CA7301">
              <w:rPr>
                <w:rFonts w:cs="Segoe UI"/>
                <w:sz w:val="17"/>
                <w:szCs w:val="17"/>
                <w:lang w:val="en-US" w:eastAsia="zh-TW"/>
              </w:rPr>
              <w:t>LCR</w:t>
            </w:r>
            <w:r w:rsidRPr="00CA7301">
              <w:rPr>
                <w:rFonts w:eastAsia="細明體" w:cs="Segoe UI"/>
                <w:sz w:val="17"/>
                <w:szCs w:val="17"/>
                <w:lang w:val="en-US" w:eastAsia="zh-TW"/>
              </w:rPr>
              <w:t>的平均值應計算如下：</w:t>
            </w:r>
          </w:p>
          <w:p w14:paraId="2584452E" w14:textId="77777777" w:rsidR="00C8624D" w:rsidRPr="00CA7301" w:rsidRDefault="00C8624D" w:rsidP="00C8624D">
            <w:pPr>
              <w:widowControl w:val="0"/>
              <w:autoSpaceDE w:val="0"/>
              <w:autoSpaceDN w:val="0"/>
              <w:adjustRightInd w:val="0"/>
              <w:rPr>
                <w:rFonts w:cs="Segoe UI"/>
                <w:sz w:val="17"/>
                <w:szCs w:val="17"/>
              </w:rPr>
            </w:pPr>
            <m:oMathPara>
              <m:oMath>
                <m:r>
                  <w:rPr>
                    <w:rFonts w:ascii="Cambria Math" w:hAnsi="Cambria Math" w:cs="Segoe UI"/>
                    <w:sz w:val="17"/>
                    <w:szCs w:val="17"/>
                  </w:rPr>
                  <m:t>LCR</m:t>
                </m:r>
                <m:r>
                  <m:rPr>
                    <m:sty m:val="p"/>
                  </m:rPr>
                  <w:rPr>
                    <w:rFonts w:ascii="Cambria Math" w:hAnsi="Cambria Math" w:cs="Segoe UI"/>
                    <w:sz w:val="14"/>
                    <w:szCs w:val="17"/>
                  </w:rPr>
                  <m:t>Q</m:t>
                </m:r>
                <m:r>
                  <m:rPr>
                    <m:sty m:val="p"/>
                  </m:rPr>
                  <w:rPr>
                    <w:rFonts w:ascii="Cambria Math" w:hAnsi="Cambria Math" w:cs="Segoe UI"/>
                    <w:sz w:val="12"/>
                    <w:szCs w:val="17"/>
                  </w:rPr>
                  <m:t>i</m:t>
                </m:r>
                <m:r>
                  <m:rPr>
                    <m:sty m:val="p"/>
                  </m:rPr>
                  <w:rPr>
                    <w:rFonts w:ascii="Cambria Math" w:hAnsi="Cambria Math" w:cs="Segoe UI"/>
                    <w:sz w:val="17"/>
                    <w:szCs w:val="17"/>
                  </w:rPr>
                  <m:t>=</m:t>
                </m:r>
                <m:d>
                  <m:dPr>
                    <m:ctrlPr>
                      <w:rPr>
                        <w:rFonts w:ascii="Cambria Math" w:hAnsi="Cambria Math" w:cs="Segoe UI"/>
                        <w:sz w:val="17"/>
                        <w:szCs w:val="17"/>
                      </w:rPr>
                    </m:ctrlPr>
                  </m:dPr>
                  <m:e>
                    <m:func>
                      <m:funcPr>
                        <m:ctrlPr>
                          <w:rPr>
                            <w:rFonts w:ascii="Cambria Math" w:hAnsi="Cambria Math" w:cs="Segoe UI"/>
                            <w:sz w:val="17"/>
                            <w:szCs w:val="17"/>
                          </w:rPr>
                        </m:ctrlPr>
                      </m:funcPr>
                      <m:fName>
                        <m:r>
                          <m:rPr>
                            <m:sty m:val="p"/>
                          </m:rPr>
                          <w:rPr>
                            <w:rFonts w:ascii="Cambria Math" w:hAnsi="Cambria Math" w:cs="Segoe UI"/>
                            <w:sz w:val="17"/>
                            <w:szCs w:val="17"/>
                          </w:rPr>
                          <m:t xml:space="preserve"> </m:t>
                        </m:r>
                      </m:fName>
                      <m:e>
                        <m:f>
                          <m:fPr>
                            <m:ctrlPr>
                              <w:rPr>
                                <w:rFonts w:ascii="Cambria Math" w:hAnsi="Cambria Math" w:cs="Segoe UI"/>
                                <w:sz w:val="17"/>
                                <w:szCs w:val="17"/>
                              </w:rPr>
                            </m:ctrlPr>
                          </m:fPr>
                          <m:num>
                            <m:r>
                              <m:rPr>
                                <m:sty m:val="p"/>
                              </m:rPr>
                              <w:rPr>
                                <w:rFonts w:ascii="Cambria Math" w:eastAsia="Cambria Math" w:hAnsi="Cambria Math" w:cs="Segoe UI"/>
                                <w:sz w:val="17"/>
                                <w:szCs w:val="17"/>
                              </w:rPr>
                              <m:t>1</m:t>
                            </m:r>
                          </m:num>
                          <m:den>
                            <m:r>
                              <w:rPr>
                                <w:rFonts w:ascii="Cambria Math" w:eastAsia="Cambria Math" w:hAnsi="Cambria Math" w:cs="Segoe UI"/>
                                <w:sz w:val="17"/>
                                <w:szCs w:val="17"/>
                              </w:rPr>
                              <m:t>N</m:t>
                            </m:r>
                          </m:den>
                        </m:f>
                      </m:e>
                    </m:func>
                    <m:r>
                      <m:rPr>
                        <m:sty m:val="p"/>
                      </m:rPr>
                      <w:rPr>
                        <w:rFonts w:ascii="Cambria Math" w:hAnsi="Cambria Math" w:cs="Segoe UI"/>
                        <w:sz w:val="17"/>
                        <w:szCs w:val="17"/>
                      </w:rPr>
                      <m:t xml:space="preserve">  </m:t>
                    </m:r>
                  </m:e>
                </m:d>
                <m:nary>
                  <m:naryPr>
                    <m:chr m:val="∑"/>
                    <m:grow m:val="1"/>
                    <m:ctrlPr>
                      <w:rPr>
                        <w:rFonts w:ascii="Cambria Math" w:hAnsi="Cambria Math" w:cs="Segoe UI"/>
                        <w:sz w:val="17"/>
                        <w:szCs w:val="17"/>
                      </w:rPr>
                    </m:ctrlPr>
                  </m:naryPr>
                  <m:sub>
                    <m:r>
                      <w:rPr>
                        <w:rFonts w:ascii="Cambria Math" w:hAnsi="Cambria Math" w:cs="Segoe UI"/>
                        <w:sz w:val="17"/>
                        <w:szCs w:val="17"/>
                      </w:rPr>
                      <m:t>n</m:t>
                    </m:r>
                    <m:r>
                      <m:rPr>
                        <m:sty m:val="p"/>
                      </m:rPr>
                      <w:rPr>
                        <w:rFonts w:ascii="Cambria Math" w:hAnsi="Cambria Math" w:cs="Segoe UI"/>
                        <w:sz w:val="17"/>
                        <w:szCs w:val="17"/>
                      </w:rPr>
                      <m:t>=1</m:t>
                    </m:r>
                  </m:sub>
                  <m:sup>
                    <m:r>
                      <w:rPr>
                        <w:rFonts w:ascii="Cambria Math" w:hAnsi="Cambria Math" w:cs="Segoe UI"/>
                        <w:sz w:val="17"/>
                        <w:szCs w:val="17"/>
                      </w:rPr>
                      <m:t>N</m:t>
                    </m:r>
                  </m:sup>
                  <m:e>
                    <m:r>
                      <w:rPr>
                        <w:rFonts w:ascii="Cambria Math" w:hAnsi="Cambria Math" w:cs="Segoe UI"/>
                        <w:sz w:val="17"/>
                        <w:szCs w:val="17"/>
                      </w:rPr>
                      <m:t>LCR</m:t>
                    </m:r>
                    <m:r>
                      <m:rPr>
                        <m:sty m:val="p"/>
                      </m:rPr>
                      <w:rPr>
                        <w:rFonts w:ascii="Cambria Math" w:hAnsi="Cambria Math" w:cs="Segoe UI"/>
                        <w:sz w:val="14"/>
                        <w:szCs w:val="17"/>
                      </w:rPr>
                      <m:t>n</m:t>
                    </m:r>
                  </m:e>
                </m:nary>
              </m:oMath>
            </m:oMathPara>
          </w:p>
          <w:p w14:paraId="5E5EAE81" w14:textId="77777777" w:rsidR="00C8624D" w:rsidRPr="00CA7301" w:rsidRDefault="00C8624D" w:rsidP="00C8624D">
            <w:pPr>
              <w:spacing w:before="40" w:after="40"/>
              <w:jc w:val="both"/>
              <w:rPr>
                <w:rFonts w:cs="Segoe UI"/>
                <w:sz w:val="17"/>
                <w:szCs w:val="17"/>
                <w:lang w:eastAsia="zh-TW"/>
              </w:rPr>
            </w:pPr>
            <w:r w:rsidRPr="00CA7301">
              <w:rPr>
                <w:rFonts w:eastAsia="細明體" w:cs="Segoe UI"/>
                <w:sz w:val="17"/>
                <w:szCs w:val="17"/>
                <w:lang w:eastAsia="zh-TW"/>
              </w:rPr>
              <w:t>其中</w:t>
            </w:r>
            <w:r w:rsidRPr="00CA7301">
              <w:rPr>
                <w:rFonts w:cs="Segoe UI"/>
                <w:sz w:val="17"/>
                <w:szCs w:val="17"/>
                <w:lang w:eastAsia="zh-TW"/>
              </w:rPr>
              <w:t>(a) N</w:t>
            </w:r>
            <w:r w:rsidRPr="00CA7301">
              <w:rPr>
                <w:rFonts w:eastAsia="細明體" w:cs="Segoe UI"/>
                <w:sz w:val="17"/>
                <w:szCs w:val="17"/>
                <w:lang w:eastAsia="zh-TW"/>
              </w:rPr>
              <w:t>是用以計算該季度的有關平均值的數據點數目；而</w:t>
            </w:r>
            <w:r w:rsidRPr="00CA7301">
              <w:rPr>
                <w:rFonts w:cs="Segoe UI"/>
                <w:sz w:val="17"/>
                <w:szCs w:val="17"/>
                <w:lang w:eastAsia="zh-TW"/>
              </w:rPr>
              <w:t xml:space="preserve"> (b) </w:t>
            </w:r>
            <w:proofErr w:type="spellStart"/>
            <w:r w:rsidRPr="00CA7301">
              <w:rPr>
                <w:rFonts w:cs="Segoe UI"/>
                <w:sz w:val="17"/>
                <w:szCs w:val="17"/>
                <w:lang w:eastAsia="zh-TW"/>
              </w:rPr>
              <w:t>LCRn</w:t>
            </w:r>
            <w:proofErr w:type="spellEnd"/>
            <w:r w:rsidRPr="00CA7301">
              <w:rPr>
                <w:rFonts w:eastAsia="細明體" w:cs="Segoe UI"/>
                <w:sz w:val="17"/>
                <w:szCs w:val="17"/>
                <w:lang w:eastAsia="zh-TW"/>
              </w:rPr>
              <w:t>指於數據點</w:t>
            </w:r>
            <w:r w:rsidRPr="00CA7301">
              <w:rPr>
                <w:rFonts w:cs="Segoe UI"/>
                <w:sz w:val="17"/>
                <w:szCs w:val="17"/>
                <w:lang w:eastAsia="zh-TW"/>
              </w:rPr>
              <w:t>n</w:t>
            </w:r>
            <w:r w:rsidRPr="00CA7301">
              <w:rPr>
                <w:rFonts w:eastAsia="細明體" w:cs="Segoe UI"/>
                <w:sz w:val="17"/>
                <w:szCs w:val="17"/>
                <w:lang w:eastAsia="zh-TW"/>
              </w:rPr>
              <w:t>的</w:t>
            </w:r>
            <w:r w:rsidRPr="00CA7301">
              <w:rPr>
                <w:rFonts w:cs="Segoe UI"/>
                <w:sz w:val="17"/>
                <w:szCs w:val="17"/>
                <w:lang w:eastAsia="zh-TW"/>
              </w:rPr>
              <w:t>LCR</w:t>
            </w:r>
            <w:r w:rsidRPr="00CA7301">
              <w:rPr>
                <w:rFonts w:eastAsia="細明體" w:cs="Segoe UI"/>
                <w:sz w:val="17"/>
                <w:szCs w:val="17"/>
                <w:lang w:eastAsia="zh-TW"/>
              </w:rPr>
              <w:t>。</w:t>
            </w:r>
          </w:p>
          <w:p w14:paraId="71597EED" w14:textId="77777777" w:rsidR="00C8624D" w:rsidRPr="00CA7301" w:rsidRDefault="00C8624D" w:rsidP="00C8624D">
            <w:pPr>
              <w:spacing w:before="40" w:after="40"/>
              <w:jc w:val="both"/>
              <w:rPr>
                <w:rFonts w:eastAsiaTheme="minorEastAsia" w:cs="Segoe UI"/>
                <w:sz w:val="17"/>
                <w:szCs w:val="17"/>
                <w:lang w:eastAsia="zh-TW"/>
              </w:rPr>
            </w:pPr>
            <w:r w:rsidRPr="00CA7301">
              <w:rPr>
                <w:rFonts w:eastAsia="細明體" w:cs="Segoe UI"/>
                <w:sz w:val="17"/>
                <w:szCs w:val="17"/>
                <w:lang w:val="en-US" w:eastAsia="zh-TW"/>
              </w:rPr>
              <w:t>為免引起疑問，認可機構於該季度的</w:t>
            </w:r>
            <w:r w:rsidRPr="00CA7301">
              <w:rPr>
                <w:rFonts w:cs="Segoe UI"/>
                <w:sz w:val="17"/>
                <w:szCs w:val="17"/>
                <w:lang w:val="en-US" w:eastAsia="zh-TW"/>
              </w:rPr>
              <w:t>LCR</w:t>
            </w:r>
            <w:r w:rsidRPr="00CA7301">
              <w:rPr>
                <w:rFonts w:eastAsia="細明體" w:cs="Segoe UI"/>
                <w:sz w:val="17"/>
                <w:szCs w:val="17"/>
                <w:lang w:val="en-US" w:eastAsia="zh-TW"/>
              </w:rPr>
              <w:t>的「平均值」不得以下述方式簡單計算：將</w:t>
            </w:r>
            <w:r w:rsidRPr="00CA7301">
              <w:rPr>
                <w:rFonts w:cs="Segoe UI"/>
                <w:sz w:val="17"/>
                <w:szCs w:val="17"/>
                <w:lang w:val="en-US" w:eastAsia="zh-TW"/>
              </w:rPr>
              <w:t>(</w:t>
            </w:r>
            <w:proofErr w:type="spellStart"/>
            <w:r w:rsidRPr="00CA7301">
              <w:rPr>
                <w:rFonts w:cs="Segoe UI"/>
                <w:sz w:val="17"/>
                <w:szCs w:val="17"/>
                <w:lang w:val="en-US" w:eastAsia="zh-TW"/>
              </w:rPr>
              <w:t>i</w:t>
            </w:r>
            <w:proofErr w:type="spellEnd"/>
            <w:r w:rsidRPr="00CA7301">
              <w:rPr>
                <w:rFonts w:cs="Segoe UI"/>
                <w:sz w:val="17"/>
                <w:szCs w:val="17"/>
                <w:lang w:val="en-US" w:eastAsia="zh-TW"/>
              </w:rPr>
              <w:t>)</w:t>
            </w:r>
            <w:r w:rsidRPr="00CA7301">
              <w:rPr>
                <w:rFonts w:eastAsia="細明體" w:cs="Segoe UI"/>
                <w:sz w:val="17"/>
                <w:szCs w:val="17"/>
                <w:lang w:val="en-US" w:eastAsia="zh-TW"/>
              </w:rPr>
              <w:t>其於該季度的</w:t>
            </w:r>
            <w:r w:rsidRPr="00CA7301">
              <w:rPr>
                <w:rFonts w:cs="Segoe UI"/>
                <w:sz w:val="17"/>
                <w:szCs w:val="17"/>
                <w:lang w:val="en-US" w:eastAsia="zh-TW"/>
              </w:rPr>
              <w:t>HQLA</w:t>
            </w:r>
            <w:r w:rsidRPr="00CA7301">
              <w:rPr>
                <w:rFonts w:eastAsia="細明體" w:cs="Segoe UI"/>
                <w:sz w:val="17"/>
                <w:szCs w:val="17"/>
                <w:lang w:val="en-US" w:eastAsia="zh-TW"/>
              </w:rPr>
              <w:t>總額（第</w:t>
            </w:r>
            <w:r w:rsidRPr="00CA7301">
              <w:rPr>
                <w:rFonts w:cs="Segoe UI"/>
                <w:sz w:val="17"/>
                <w:szCs w:val="17"/>
                <w:lang w:val="en-US" w:eastAsia="zh-TW"/>
              </w:rPr>
              <w:t>21</w:t>
            </w:r>
            <w:r w:rsidRPr="00CA7301">
              <w:rPr>
                <w:rFonts w:eastAsia="細明體" w:cs="Segoe UI"/>
                <w:sz w:val="17"/>
                <w:szCs w:val="17"/>
                <w:lang w:val="en-US" w:eastAsia="zh-TW"/>
              </w:rPr>
              <w:t>行）的「平均值」除以</w:t>
            </w:r>
            <w:r w:rsidRPr="00CA7301">
              <w:rPr>
                <w:rFonts w:cs="Segoe UI"/>
                <w:sz w:val="17"/>
                <w:szCs w:val="17"/>
                <w:lang w:val="en-US" w:eastAsia="zh-TW"/>
              </w:rPr>
              <w:t>(ii)</w:t>
            </w:r>
            <w:r w:rsidRPr="00CA7301">
              <w:rPr>
                <w:rFonts w:eastAsia="細明體" w:cs="Segoe UI"/>
                <w:sz w:val="17"/>
                <w:szCs w:val="17"/>
                <w:lang w:val="en-US" w:eastAsia="zh-TW"/>
              </w:rPr>
              <w:t>其於該季度的淨現金流出總額的「平均值」（第</w:t>
            </w:r>
            <w:r w:rsidRPr="00CA7301">
              <w:rPr>
                <w:rFonts w:cs="Segoe UI"/>
                <w:sz w:val="17"/>
                <w:szCs w:val="17"/>
                <w:lang w:val="en-US" w:eastAsia="zh-TW"/>
              </w:rPr>
              <w:t>22</w:t>
            </w:r>
            <w:r w:rsidRPr="00CA7301">
              <w:rPr>
                <w:rFonts w:eastAsia="細明體" w:cs="Segoe UI"/>
                <w:sz w:val="17"/>
                <w:szCs w:val="17"/>
                <w:lang w:val="en-US" w:eastAsia="zh-TW"/>
              </w:rPr>
              <w:t>行）。</w:t>
            </w:r>
          </w:p>
          <w:p w14:paraId="116731CD" w14:textId="77777777" w:rsidR="00C8624D" w:rsidRPr="00CA7301" w:rsidRDefault="00C8624D" w:rsidP="00C8624D">
            <w:pPr>
              <w:spacing w:before="40" w:after="40"/>
              <w:jc w:val="both"/>
              <w:rPr>
                <w:rFonts w:eastAsiaTheme="minorEastAsia" w:cs="Segoe UI"/>
                <w:sz w:val="17"/>
                <w:szCs w:val="17"/>
                <w:lang w:eastAsia="zh-TW"/>
              </w:rPr>
            </w:pPr>
            <w:r w:rsidRPr="00CA7301">
              <w:rPr>
                <w:rFonts w:eastAsiaTheme="minorEastAsia" w:cs="Segoe UI"/>
                <w:sz w:val="17"/>
                <w:szCs w:val="17"/>
                <w:lang w:eastAsia="zh-TW"/>
              </w:rPr>
              <w:t>{</w:t>
            </w:r>
            <w:r w:rsidRPr="00CA7301">
              <w:rPr>
                <w:rFonts w:eastAsiaTheme="minorEastAsia" w:cs="Segoe UI"/>
                <w:sz w:val="17"/>
                <w:szCs w:val="17"/>
                <w:lang w:eastAsia="zh-TW"/>
              </w:rPr>
              <w:t>項目</w:t>
            </w:r>
            <w:r w:rsidRPr="00CA7301">
              <w:rPr>
                <w:rFonts w:eastAsiaTheme="minorEastAsia" w:cs="Segoe UI"/>
                <w:sz w:val="17"/>
                <w:szCs w:val="17"/>
                <w:lang w:eastAsia="zh-TW"/>
              </w:rPr>
              <w:t>D}</w:t>
            </w:r>
          </w:p>
        </w:tc>
      </w:tr>
    </w:tbl>
    <w:p w14:paraId="564A7A15" w14:textId="77777777" w:rsidR="00C8624D" w:rsidRPr="00CA7301" w:rsidRDefault="00C8624D" w:rsidP="00C8624D">
      <w:pPr>
        <w:spacing w:before="120" w:after="120"/>
        <w:rPr>
          <w:rFonts w:eastAsiaTheme="minorEastAsia" w:cs="Segoe UI"/>
          <w:sz w:val="22"/>
          <w:lang w:eastAsia="zh-TW"/>
        </w:rPr>
      </w:pPr>
    </w:p>
    <w:p w14:paraId="023A64CE" w14:textId="77777777" w:rsidR="00E853F3" w:rsidRPr="00CA7301" w:rsidRDefault="00E853F3">
      <w:pPr>
        <w:rPr>
          <w:rFonts w:eastAsiaTheme="minorEastAsia" w:cs="Segoe UI"/>
          <w:lang w:eastAsia="zh-TW"/>
        </w:rPr>
        <w:sectPr w:rsidR="00E853F3" w:rsidRPr="00CA7301">
          <w:footerReference w:type="default" r:id="rId54"/>
          <w:pgSz w:w="11906" w:h="16838"/>
          <w:pgMar w:top="1440" w:right="1800" w:bottom="1440" w:left="1800" w:header="851" w:footer="992" w:gutter="0"/>
          <w:cols w:space="425"/>
          <w:docGrid w:type="lines" w:linePitch="360"/>
        </w:sectPr>
      </w:pPr>
    </w:p>
    <w:p w14:paraId="48C888B8" w14:textId="3DCA1495" w:rsidR="00136436" w:rsidRPr="00136436" w:rsidRDefault="00136436" w:rsidP="00D6582E">
      <w:pPr>
        <w:pStyle w:val="Heading2"/>
        <w:keepNext w:val="0"/>
        <w:suppressAutoHyphens w:val="0"/>
        <w:spacing w:before="40" w:line="240" w:lineRule="auto"/>
        <w:ind w:left="-454" w:firstLine="170"/>
        <w:rPr>
          <w:rFonts w:ascii="Segoe UI" w:eastAsia="Times New Roman" w:hAnsi="Segoe UI"/>
          <w:b w:val="0"/>
          <w:bCs w:val="0"/>
          <w:sz w:val="22"/>
          <w:szCs w:val="20"/>
          <w:lang w:eastAsia="zh-TW"/>
        </w:rPr>
      </w:pPr>
      <w:r w:rsidRPr="00136436">
        <w:rPr>
          <w:rFonts w:ascii="Calibri" w:hAnsi="Calibri" w:cs="Segoe UI"/>
          <w:b w:val="0"/>
          <w:sz w:val="22"/>
          <w:szCs w:val="22"/>
          <w:lang w:eastAsia="zh-TW"/>
        </w:rPr>
        <w:t>模版</w:t>
      </w:r>
      <w:r w:rsidRPr="00136436">
        <w:rPr>
          <w:rFonts w:ascii="Calibri" w:hAnsi="Calibri" w:cs="Segoe UI"/>
          <w:b w:val="0"/>
          <w:sz w:val="22"/>
          <w:szCs w:val="22"/>
          <w:lang w:eastAsia="zh-TW"/>
        </w:rPr>
        <w:t>LIQ2</w:t>
      </w:r>
      <w:r w:rsidRPr="00136436">
        <w:rPr>
          <w:rFonts w:ascii="Calibri" w:hAnsi="Calibri" w:cs="Segoe UI"/>
          <w:b w:val="0"/>
          <w:sz w:val="22"/>
          <w:szCs w:val="22"/>
          <w:lang w:eastAsia="zh-TW"/>
        </w:rPr>
        <w:t>：</w:t>
      </w:r>
      <w:r w:rsidRPr="00136436">
        <w:rPr>
          <w:rFonts w:ascii="Calibri" w:eastAsia="細明體" w:hAnsi="Calibri" w:cs="Segoe UI"/>
          <w:b w:val="0"/>
          <w:sz w:val="22"/>
          <w:szCs w:val="22"/>
          <w:lang w:val="en-US" w:eastAsia="zh-TW"/>
        </w:rPr>
        <w:t>穩定資金淨額比率</w:t>
      </w:r>
      <w:proofErr w:type="gramStart"/>
      <w:r w:rsidRPr="00136436">
        <w:rPr>
          <w:rFonts w:ascii="細明體" w:eastAsia="細明體" w:hAnsi="細明體" w:cs="細明體" w:hint="eastAsia"/>
          <w:b w:val="0"/>
          <w:sz w:val="22"/>
          <w:szCs w:val="22"/>
          <w:lang w:eastAsia="zh-TW"/>
        </w:rPr>
        <w:t>──</w:t>
      </w:r>
      <w:proofErr w:type="gramEnd"/>
      <w:r w:rsidRPr="00136436">
        <w:rPr>
          <w:rFonts w:ascii="Calibri" w:eastAsia="細明體" w:hAnsi="Calibri" w:cs="Segoe UI"/>
          <w:b w:val="0"/>
          <w:sz w:val="22"/>
          <w:szCs w:val="22"/>
          <w:lang w:eastAsia="zh-TW"/>
        </w:rPr>
        <w:t>第</w:t>
      </w:r>
      <w:r w:rsidRPr="00136436">
        <w:rPr>
          <w:rFonts w:ascii="Calibri" w:hAnsi="Calibri" w:cs="Segoe UI"/>
          <w:b w:val="0"/>
          <w:sz w:val="22"/>
          <w:szCs w:val="22"/>
          <w:lang w:eastAsia="zh-TW"/>
        </w:rPr>
        <w:t>1</w:t>
      </w:r>
      <w:r w:rsidRPr="00136436">
        <w:rPr>
          <w:rFonts w:ascii="Calibri" w:eastAsia="細明體" w:hAnsi="Calibri" w:cs="Segoe UI"/>
          <w:b w:val="0"/>
          <w:sz w:val="22"/>
          <w:szCs w:val="22"/>
          <w:lang w:eastAsia="zh-TW"/>
        </w:rPr>
        <w:t>類機構</w:t>
      </w:r>
    </w:p>
    <w:tbl>
      <w:tblPr>
        <w:tblW w:w="8965" w:type="dxa"/>
        <w:tblInd w:w="-31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1"/>
        <w:gridCol w:w="6804"/>
      </w:tblGrid>
      <w:tr w:rsidR="00DA6DF1" w:rsidRPr="00DA6DF1" w14:paraId="561D3064" w14:textId="77777777" w:rsidTr="0029639E">
        <w:tc>
          <w:tcPr>
            <w:tcW w:w="2161" w:type="dxa"/>
          </w:tcPr>
          <w:p w14:paraId="6DDDE823" w14:textId="77777777" w:rsidR="00DA6DF1" w:rsidRPr="00DA6DF1" w:rsidRDefault="00DA6DF1" w:rsidP="00DA6DF1">
            <w:pPr>
              <w:spacing w:after="160" w:line="259" w:lineRule="auto"/>
              <w:rPr>
                <w:rFonts w:ascii="Calibri" w:eastAsia="新細明體" w:hAnsi="Calibri" w:cs="Segoe UI"/>
                <w:b/>
                <w:sz w:val="17"/>
                <w:szCs w:val="17"/>
                <w:lang w:eastAsia="zh-CN"/>
              </w:rPr>
            </w:pPr>
            <w:r w:rsidRPr="00DA6DF1">
              <w:rPr>
                <w:rFonts w:ascii="Calibri" w:eastAsia="細明體" w:hAnsi="Calibri" w:cs="Segoe UI"/>
                <w:b/>
                <w:sz w:val="17"/>
                <w:szCs w:val="17"/>
                <w:lang w:eastAsia="zh-CN"/>
              </w:rPr>
              <w:t>目的：</w:t>
            </w:r>
          </w:p>
        </w:tc>
        <w:tc>
          <w:tcPr>
            <w:tcW w:w="6804" w:type="dxa"/>
          </w:tcPr>
          <w:p w14:paraId="751F8ACF" w14:textId="5182E437" w:rsidR="00DA6DF1" w:rsidRPr="00DA6DF1" w:rsidRDefault="00DA6DF1" w:rsidP="00DA6DF1">
            <w:pPr>
              <w:spacing w:before="40" w:after="40" w:line="259" w:lineRule="auto"/>
              <w:jc w:val="both"/>
              <w:rPr>
                <w:rFonts w:ascii="Calibri" w:eastAsia="新細明體" w:hAnsi="Calibri" w:cs="Segoe UI"/>
                <w:sz w:val="17"/>
                <w:szCs w:val="17"/>
                <w:lang w:val="en-US" w:eastAsia="zh-TW"/>
              </w:rPr>
            </w:pPr>
            <w:r w:rsidRPr="00DA6DF1">
              <w:rPr>
                <w:rFonts w:ascii="Calibri" w:eastAsia="新細明體" w:hAnsi="Calibri" w:cs="Segoe UI"/>
                <w:sz w:val="17"/>
                <w:szCs w:val="17"/>
                <w:lang w:eastAsia="zh-TW"/>
              </w:rPr>
              <w:t>提供穩定資金淨額比率</w:t>
            </w:r>
            <w:r w:rsidRPr="00DA6DF1">
              <w:rPr>
                <w:rFonts w:ascii="Calibri" w:eastAsia="新細明體" w:hAnsi="Calibri" w:cs="Segoe UI"/>
                <w:sz w:val="17"/>
                <w:szCs w:val="17"/>
                <w:lang w:eastAsia="zh-TW"/>
              </w:rPr>
              <w:t>(NSFR)</w:t>
            </w:r>
            <w:r w:rsidRPr="00DA6DF1">
              <w:rPr>
                <w:rFonts w:ascii="Calibri" w:eastAsia="新細明體" w:hAnsi="Calibri" w:cs="Segoe UI"/>
                <w:sz w:val="17"/>
                <w:szCs w:val="17"/>
                <w:lang w:eastAsia="zh-TW"/>
              </w:rPr>
              <w:t>的詳情及</w:t>
            </w:r>
            <w:r w:rsidRPr="00DA6DF1">
              <w:rPr>
                <w:rFonts w:ascii="Calibri" w:eastAsia="細明體" w:hAnsi="Calibri" w:cs="Segoe UI"/>
                <w:sz w:val="17"/>
                <w:szCs w:val="17"/>
                <w:lang w:val="en-US" w:eastAsia="it-IT"/>
              </w:rPr>
              <w:t>可用穩定資金</w:t>
            </w:r>
            <w:r w:rsidRPr="00DA6DF1">
              <w:rPr>
                <w:rFonts w:ascii="Calibri" w:eastAsia="新細明體" w:hAnsi="Calibri" w:cs="Segoe UI"/>
                <w:sz w:val="17"/>
                <w:szCs w:val="17"/>
                <w:lang w:eastAsia="zh-TW"/>
              </w:rPr>
              <w:t>(ASF)</w:t>
            </w:r>
            <w:r w:rsidRPr="00DA6DF1">
              <w:rPr>
                <w:rFonts w:ascii="Calibri" w:eastAsia="新細明體" w:hAnsi="Calibri" w:cs="Segoe UI"/>
                <w:sz w:val="17"/>
                <w:szCs w:val="17"/>
                <w:lang w:eastAsia="zh-TW"/>
              </w:rPr>
              <w:t>與所</w:t>
            </w:r>
            <w:r w:rsidR="00E3209F">
              <w:rPr>
                <w:rFonts w:ascii="Calibri" w:eastAsia="新細明體" w:hAnsi="Calibri" w:cs="Segoe UI" w:hint="eastAsia"/>
                <w:sz w:val="17"/>
                <w:szCs w:val="17"/>
                <w:lang w:eastAsia="zh-HK"/>
              </w:rPr>
              <w:t>需</w:t>
            </w:r>
            <w:r w:rsidRPr="00DA6DF1">
              <w:rPr>
                <w:rFonts w:ascii="Calibri" w:eastAsia="新細明體" w:hAnsi="Calibri" w:cs="Segoe UI"/>
                <w:sz w:val="17"/>
                <w:szCs w:val="17"/>
                <w:lang w:eastAsia="zh-TW"/>
              </w:rPr>
              <w:t>穩定資金</w:t>
            </w:r>
            <w:r w:rsidRPr="00DA6DF1">
              <w:rPr>
                <w:rFonts w:ascii="Calibri" w:eastAsia="新細明體" w:hAnsi="Calibri" w:cs="Segoe UI"/>
                <w:sz w:val="17"/>
                <w:szCs w:val="17"/>
                <w:lang w:eastAsia="zh-TW"/>
              </w:rPr>
              <w:t>(RSF)</w:t>
            </w:r>
            <w:r w:rsidRPr="00DA6DF1">
              <w:rPr>
                <w:rFonts w:ascii="Calibri" w:eastAsia="新細明體" w:hAnsi="Calibri" w:cs="Segoe UI"/>
                <w:sz w:val="17"/>
                <w:szCs w:val="17"/>
                <w:lang w:eastAsia="zh-TW"/>
              </w:rPr>
              <w:t>組成項目的詳情。</w:t>
            </w:r>
          </w:p>
        </w:tc>
      </w:tr>
      <w:tr w:rsidR="00DA6DF1" w:rsidRPr="00DA6DF1" w14:paraId="1ED178D1" w14:textId="77777777" w:rsidTr="0029639E">
        <w:tc>
          <w:tcPr>
            <w:tcW w:w="2161" w:type="dxa"/>
          </w:tcPr>
          <w:p w14:paraId="38D65CA5" w14:textId="77777777" w:rsidR="00DA6DF1" w:rsidRPr="00DA6DF1" w:rsidRDefault="00DA6DF1" w:rsidP="00DA6DF1">
            <w:pPr>
              <w:spacing w:after="160" w:line="259" w:lineRule="auto"/>
              <w:rPr>
                <w:rFonts w:ascii="Calibri" w:eastAsia="新細明體" w:hAnsi="Calibri" w:cs="Segoe UI"/>
                <w:b/>
                <w:sz w:val="17"/>
                <w:szCs w:val="17"/>
                <w:lang w:eastAsia="zh-CN"/>
              </w:rPr>
            </w:pPr>
            <w:r w:rsidRPr="00DA6DF1">
              <w:rPr>
                <w:rFonts w:ascii="Calibri" w:eastAsia="細明體" w:hAnsi="Calibri" w:cs="Segoe UI"/>
                <w:b/>
                <w:sz w:val="17"/>
                <w:szCs w:val="17"/>
                <w:lang w:eastAsia="zh-CN"/>
              </w:rPr>
              <w:t>適用範</w:t>
            </w:r>
            <w:proofErr w:type="gramStart"/>
            <w:r w:rsidRPr="00DA6DF1">
              <w:rPr>
                <w:rFonts w:ascii="Calibri" w:eastAsia="細明體" w:hAnsi="Calibri" w:cs="Segoe UI"/>
                <w:b/>
                <w:sz w:val="17"/>
                <w:szCs w:val="17"/>
                <w:lang w:eastAsia="zh-CN"/>
              </w:rPr>
              <w:t>圍</w:t>
            </w:r>
            <w:proofErr w:type="gramEnd"/>
            <w:r w:rsidRPr="00DA6DF1">
              <w:rPr>
                <w:rFonts w:ascii="Calibri" w:eastAsia="細明體" w:hAnsi="Calibri" w:cs="Segoe UI"/>
                <w:b/>
                <w:sz w:val="17"/>
                <w:szCs w:val="17"/>
                <w:lang w:eastAsia="zh-CN"/>
              </w:rPr>
              <w:t>：</w:t>
            </w:r>
          </w:p>
        </w:tc>
        <w:tc>
          <w:tcPr>
            <w:tcW w:w="6804" w:type="dxa"/>
          </w:tcPr>
          <w:p w14:paraId="12AD0A80" w14:textId="3AD2F4A7" w:rsidR="00DA6DF1" w:rsidRPr="00DA6DF1" w:rsidRDefault="00DA6DF1" w:rsidP="00DA6DF1">
            <w:pPr>
              <w:spacing w:before="40" w:after="40" w:line="259" w:lineRule="auto"/>
              <w:jc w:val="both"/>
              <w:rPr>
                <w:rFonts w:ascii="Calibri" w:eastAsia="新細明體" w:hAnsi="Calibri" w:cs="Segoe UI"/>
                <w:sz w:val="17"/>
                <w:szCs w:val="17"/>
                <w:lang w:eastAsia="zh-TW"/>
              </w:rPr>
            </w:pPr>
            <w:r w:rsidRPr="00DA6DF1">
              <w:rPr>
                <w:rFonts w:ascii="Calibri" w:eastAsia="細明體" w:hAnsi="Calibri" w:cs="Segoe UI"/>
                <w:sz w:val="17"/>
                <w:szCs w:val="17"/>
                <w:lang w:eastAsia="zh-TW"/>
              </w:rPr>
              <w:t>所有</w:t>
            </w:r>
            <w:r w:rsidRPr="00DA6DF1">
              <w:rPr>
                <w:rFonts w:ascii="Calibri" w:eastAsia="新細明體" w:hAnsi="Calibri" w:cs="Segoe UI"/>
                <w:sz w:val="17"/>
                <w:szCs w:val="17"/>
                <w:lang w:eastAsia="zh-TW"/>
              </w:rPr>
              <w:t>在香港</w:t>
            </w:r>
            <w:r w:rsidR="00EC0ECD" w:rsidRPr="00DA6DF1">
              <w:rPr>
                <w:rFonts w:ascii="Calibri" w:eastAsia="新細明體" w:hAnsi="Calibri" w:cs="Segoe UI"/>
                <w:sz w:val="17"/>
                <w:szCs w:val="17"/>
                <w:lang w:eastAsia="zh-TW"/>
              </w:rPr>
              <w:t>成立</w:t>
            </w:r>
            <w:proofErr w:type="gramStart"/>
            <w:r w:rsidR="00EC0ECD" w:rsidRPr="00DA6DF1">
              <w:rPr>
                <w:rFonts w:ascii="Calibri" w:eastAsia="新細明體" w:hAnsi="Calibri" w:cs="Segoe UI"/>
                <w:sz w:val="17"/>
                <w:szCs w:val="17"/>
                <w:lang w:eastAsia="zh-TW"/>
              </w:rPr>
              <w:t>為法團</w:t>
            </w:r>
            <w:r w:rsidRPr="00DA6DF1">
              <w:rPr>
                <w:rFonts w:ascii="Calibri" w:eastAsia="新細明體" w:hAnsi="Calibri" w:cs="Segoe UI"/>
                <w:sz w:val="17"/>
                <w:szCs w:val="17"/>
                <w:lang w:eastAsia="zh-TW"/>
              </w:rPr>
              <w:t>及</w:t>
            </w:r>
            <w:proofErr w:type="gramEnd"/>
            <w:r w:rsidR="00EC0ECD" w:rsidRPr="00DA6DF1">
              <w:rPr>
                <w:rFonts w:ascii="Calibri" w:eastAsia="新細明體" w:hAnsi="Calibri" w:cs="Segoe UI"/>
                <w:sz w:val="17"/>
                <w:szCs w:val="17"/>
                <w:lang w:eastAsia="zh-TW"/>
              </w:rPr>
              <w:t>在</w:t>
            </w:r>
            <w:r w:rsidRPr="00DA6DF1">
              <w:rPr>
                <w:rFonts w:ascii="Calibri" w:eastAsia="新細明體" w:hAnsi="Calibri" w:cs="Segoe UI"/>
                <w:sz w:val="17"/>
                <w:szCs w:val="17"/>
                <w:lang w:eastAsia="zh-TW"/>
              </w:rPr>
              <w:t>香港以外成立</w:t>
            </w:r>
            <w:proofErr w:type="gramStart"/>
            <w:r w:rsidRPr="00DA6DF1">
              <w:rPr>
                <w:rFonts w:ascii="Calibri" w:eastAsia="新細明體" w:hAnsi="Calibri" w:cs="Segoe UI"/>
                <w:sz w:val="17"/>
                <w:szCs w:val="17"/>
                <w:lang w:eastAsia="zh-TW"/>
              </w:rPr>
              <w:t>為法團</w:t>
            </w:r>
            <w:r w:rsidRPr="00DA6DF1">
              <w:rPr>
                <w:rFonts w:ascii="Calibri" w:eastAsia="細明體" w:hAnsi="Calibri" w:cs="Segoe UI"/>
                <w:sz w:val="17"/>
                <w:szCs w:val="17"/>
                <w:lang w:eastAsia="zh-TW"/>
              </w:rPr>
              <w:t>並</w:t>
            </w:r>
            <w:proofErr w:type="gramEnd"/>
            <w:r w:rsidRPr="00DA6DF1">
              <w:rPr>
                <w:rFonts w:ascii="Calibri" w:eastAsia="細明體" w:hAnsi="Calibri" w:cs="Segoe UI"/>
                <w:sz w:val="17"/>
                <w:szCs w:val="17"/>
                <w:lang w:eastAsia="zh-TW"/>
              </w:rPr>
              <w:t>被指定為</w:t>
            </w:r>
            <w:r w:rsidRPr="00DA6DF1">
              <w:rPr>
                <w:rFonts w:ascii="Calibri" w:eastAsia="細明體" w:hAnsi="Calibri" w:cs="Segoe UI"/>
                <w:sz w:val="17"/>
                <w:szCs w:val="17"/>
                <w:lang w:val="en-US" w:eastAsia="zh-TW"/>
              </w:rPr>
              <w:t>「</w:t>
            </w:r>
            <w:r w:rsidRPr="00DA6DF1">
              <w:rPr>
                <w:rFonts w:ascii="Calibri" w:eastAsia="細明體" w:hAnsi="Calibri" w:cs="Segoe UI"/>
                <w:sz w:val="17"/>
                <w:szCs w:val="17"/>
                <w:lang w:eastAsia="zh-TW"/>
              </w:rPr>
              <w:t>第</w:t>
            </w:r>
            <w:r w:rsidRPr="00DA6DF1">
              <w:rPr>
                <w:rFonts w:ascii="Calibri" w:eastAsia="新細明體" w:hAnsi="Calibri" w:cs="Segoe UI"/>
                <w:sz w:val="17"/>
                <w:szCs w:val="17"/>
                <w:lang w:eastAsia="zh-TW"/>
              </w:rPr>
              <w:t>1</w:t>
            </w:r>
            <w:r w:rsidRPr="00DA6DF1">
              <w:rPr>
                <w:rFonts w:ascii="Calibri" w:eastAsia="細明體" w:hAnsi="Calibri" w:cs="Segoe UI"/>
                <w:sz w:val="17"/>
                <w:szCs w:val="17"/>
                <w:lang w:eastAsia="zh-TW"/>
              </w:rPr>
              <w:t>類機構</w:t>
            </w:r>
            <w:r w:rsidRPr="00DA6DF1">
              <w:rPr>
                <w:rFonts w:ascii="Calibri" w:eastAsia="細明體" w:hAnsi="Calibri" w:cs="Segoe UI"/>
                <w:sz w:val="17"/>
                <w:szCs w:val="17"/>
                <w:lang w:val="en-US" w:eastAsia="zh-TW"/>
              </w:rPr>
              <w:t>」</w:t>
            </w:r>
            <w:r w:rsidRPr="00DA6DF1">
              <w:rPr>
                <w:rFonts w:ascii="Calibri" w:eastAsia="細明體" w:hAnsi="Calibri" w:cs="Segoe UI"/>
                <w:sz w:val="17"/>
                <w:szCs w:val="17"/>
                <w:lang w:eastAsia="zh-TW"/>
              </w:rPr>
              <w:t>的認可機構</w:t>
            </w:r>
            <w:proofErr w:type="gramStart"/>
            <w:r w:rsidRPr="00DA6DF1">
              <w:rPr>
                <w:rFonts w:ascii="Calibri" w:eastAsia="細明體" w:hAnsi="Calibri" w:cs="Segoe UI"/>
                <w:sz w:val="17"/>
                <w:szCs w:val="17"/>
                <w:lang w:eastAsia="zh-TW"/>
              </w:rPr>
              <w:t>均須填報本模</w:t>
            </w:r>
            <w:proofErr w:type="gramEnd"/>
            <w:r w:rsidRPr="00DA6DF1">
              <w:rPr>
                <w:rFonts w:ascii="Calibri" w:eastAsia="細明體" w:hAnsi="Calibri" w:cs="Segoe UI"/>
                <w:sz w:val="17"/>
                <w:szCs w:val="17"/>
                <w:lang w:eastAsia="zh-TW"/>
              </w:rPr>
              <w:t>版。第</w:t>
            </w:r>
            <w:r w:rsidRPr="00DA6DF1">
              <w:rPr>
                <w:rFonts w:ascii="Calibri" w:eastAsia="新細明體" w:hAnsi="Calibri" w:cs="Segoe UI"/>
                <w:sz w:val="17"/>
                <w:szCs w:val="17"/>
                <w:lang w:eastAsia="zh-TW"/>
              </w:rPr>
              <w:t>1</w:t>
            </w:r>
            <w:r w:rsidRPr="00DA6DF1">
              <w:rPr>
                <w:rFonts w:ascii="Calibri" w:eastAsia="細明體" w:hAnsi="Calibri" w:cs="Segoe UI"/>
                <w:sz w:val="17"/>
                <w:szCs w:val="17"/>
                <w:lang w:eastAsia="zh-TW"/>
              </w:rPr>
              <w:t>類機構應按以下基礎</w:t>
            </w:r>
            <w:proofErr w:type="gramStart"/>
            <w:r w:rsidRPr="00DA6DF1">
              <w:rPr>
                <w:rFonts w:ascii="Calibri" w:eastAsia="細明體" w:hAnsi="Calibri" w:cs="Segoe UI"/>
                <w:sz w:val="17"/>
                <w:szCs w:val="17"/>
                <w:lang w:eastAsia="zh-TW"/>
              </w:rPr>
              <w:t>在本模版</w:t>
            </w:r>
            <w:proofErr w:type="gramEnd"/>
            <w:r w:rsidRPr="00DA6DF1">
              <w:rPr>
                <w:rFonts w:ascii="Calibri" w:eastAsia="細明體" w:hAnsi="Calibri" w:cs="Segoe UI"/>
                <w:sz w:val="17"/>
                <w:szCs w:val="17"/>
                <w:lang w:eastAsia="zh-TW"/>
              </w:rPr>
              <w:t>披露所須</w:t>
            </w:r>
            <w:r w:rsidRPr="00DA6DF1">
              <w:rPr>
                <w:rFonts w:ascii="Calibri" w:eastAsia="新細明體" w:hAnsi="Calibri" w:cs="Segoe UI"/>
                <w:sz w:val="17"/>
                <w:szCs w:val="17"/>
                <w:lang w:eastAsia="zh-TW"/>
              </w:rPr>
              <w:t>項目：</w:t>
            </w:r>
          </w:p>
          <w:p w14:paraId="13787AD6" w14:textId="77777777" w:rsidR="00DA6DF1" w:rsidRPr="00DA6DF1" w:rsidRDefault="00DA6DF1" w:rsidP="00D540EB">
            <w:pPr>
              <w:numPr>
                <w:ilvl w:val="0"/>
                <w:numId w:val="20"/>
              </w:numPr>
              <w:tabs>
                <w:tab w:val="left" w:pos="436"/>
              </w:tabs>
              <w:spacing w:before="40" w:after="40" w:line="259" w:lineRule="auto"/>
              <w:ind w:left="459" w:hanging="459"/>
              <w:jc w:val="both"/>
              <w:rPr>
                <w:rFonts w:ascii="Calibri" w:eastAsia="新細明體" w:hAnsi="Calibri" w:cs="Segoe UI"/>
                <w:sz w:val="17"/>
                <w:szCs w:val="17"/>
                <w:lang w:eastAsia="zh-TW"/>
              </w:rPr>
            </w:pPr>
            <w:r w:rsidRPr="00DA6DF1">
              <w:rPr>
                <w:rFonts w:ascii="Calibri" w:eastAsia="新細明體" w:hAnsi="Calibri" w:cs="Segoe UI"/>
                <w:sz w:val="17"/>
                <w:szCs w:val="17"/>
                <w:lang w:eastAsia="zh-TW"/>
              </w:rPr>
              <w:t>綜合基礎</w:t>
            </w:r>
            <w:proofErr w:type="gramStart"/>
            <w:r w:rsidRPr="00DA6DF1">
              <w:rPr>
                <w:rFonts w:ascii="細明體" w:eastAsia="細明體" w:hAnsi="細明體" w:cs="細明體" w:hint="eastAsia"/>
                <w:sz w:val="17"/>
                <w:szCs w:val="17"/>
                <w:lang w:eastAsia="zh-TW"/>
              </w:rPr>
              <w:t>──</w:t>
            </w:r>
            <w:proofErr w:type="gramEnd"/>
            <w:r w:rsidRPr="00DA6DF1">
              <w:rPr>
                <w:rFonts w:ascii="Calibri" w:eastAsia="新細明體" w:hAnsi="Calibri" w:cs="Segoe UI"/>
                <w:sz w:val="17"/>
                <w:szCs w:val="17"/>
                <w:lang w:eastAsia="zh-TW"/>
              </w:rPr>
              <w:t>適用於在香港成立</w:t>
            </w:r>
            <w:proofErr w:type="gramStart"/>
            <w:r w:rsidRPr="00DA6DF1">
              <w:rPr>
                <w:rFonts w:ascii="Calibri" w:eastAsia="新細明體" w:hAnsi="Calibri" w:cs="Segoe UI"/>
                <w:sz w:val="17"/>
                <w:szCs w:val="17"/>
                <w:lang w:eastAsia="zh-TW"/>
              </w:rPr>
              <w:t>為法團</w:t>
            </w:r>
            <w:proofErr w:type="gramEnd"/>
            <w:r w:rsidRPr="00DA6DF1">
              <w:rPr>
                <w:rFonts w:ascii="Calibri" w:eastAsia="新細明體" w:hAnsi="Calibri" w:cs="Segoe UI"/>
                <w:sz w:val="17"/>
                <w:szCs w:val="17"/>
                <w:lang w:eastAsia="zh-TW"/>
              </w:rPr>
              <w:t>，並須遵守</w:t>
            </w:r>
            <w:r w:rsidRPr="00DA6DF1">
              <w:rPr>
                <w:rFonts w:ascii="Calibri" w:eastAsia="細明體" w:hAnsi="Calibri" w:cs="Segoe UI"/>
                <w:sz w:val="17"/>
                <w:szCs w:val="17"/>
                <w:lang w:eastAsia="zh-TW"/>
              </w:rPr>
              <w:t>《流動性規則》第</w:t>
            </w:r>
            <w:r w:rsidRPr="00DA6DF1">
              <w:rPr>
                <w:rFonts w:ascii="Calibri" w:eastAsia="新細明體" w:hAnsi="Calibri" w:cs="Segoe UI"/>
                <w:sz w:val="17"/>
                <w:szCs w:val="17"/>
                <w:lang w:eastAsia="zh-TW"/>
              </w:rPr>
              <w:t>11(1)</w:t>
            </w:r>
            <w:r w:rsidRPr="00DA6DF1">
              <w:rPr>
                <w:rFonts w:ascii="Calibri" w:eastAsia="細明體" w:hAnsi="Calibri" w:cs="Segoe UI"/>
                <w:sz w:val="17"/>
                <w:szCs w:val="17"/>
                <w:lang w:eastAsia="zh-TW"/>
              </w:rPr>
              <w:t>條的第</w:t>
            </w:r>
            <w:r w:rsidRPr="00DA6DF1">
              <w:rPr>
                <w:rFonts w:ascii="Calibri" w:eastAsia="新細明體" w:hAnsi="Calibri" w:cs="Segoe UI"/>
                <w:sz w:val="17"/>
                <w:szCs w:val="17"/>
                <w:lang w:eastAsia="zh-TW"/>
              </w:rPr>
              <w:t>1</w:t>
            </w:r>
            <w:r w:rsidRPr="00DA6DF1">
              <w:rPr>
                <w:rFonts w:ascii="Calibri" w:eastAsia="細明體" w:hAnsi="Calibri" w:cs="Segoe UI"/>
                <w:sz w:val="17"/>
                <w:szCs w:val="17"/>
                <w:lang w:eastAsia="zh-TW"/>
              </w:rPr>
              <w:t>類機構；</w:t>
            </w:r>
          </w:p>
          <w:p w14:paraId="100D2F46" w14:textId="77777777" w:rsidR="00DA6DF1" w:rsidRPr="00DA6DF1" w:rsidRDefault="00DA6DF1" w:rsidP="00D540EB">
            <w:pPr>
              <w:numPr>
                <w:ilvl w:val="0"/>
                <w:numId w:val="20"/>
              </w:numPr>
              <w:tabs>
                <w:tab w:val="left" w:pos="436"/>
              </w:tabs>
              <w:spacing w:before="40" w:after="40" w:line="259" w:lineRule="auto"/>
              <w:ind w:left="436" w:hanging="436"/>
              <w:jc w:val="both"/>
              <w:rPr>
                <w:rFonts w:ascii="Calibri" w:eastAsia="新細明體" w:hAnsi="Calibri" w:cs="Segoe UI"/>
                <w:sz w:val="17"/>
                <w:szCs w:val="17"/>
                <w:lang w:eastAsia="zh-TW"/>
              </w:rPr>
            </w:pPr>
            <w:r w:rsidRPr="00DA6DF1">
              <w:rPr>
                <w:rFonts w:ascii="Calibri" w:eastAsia="新細明體" w:hAnsi="Calibri" w:cs="Segoe UI"/>
                <w:sz w:val="17"/>
                <w:szCs w:val="17"/>
                <w:lang w:eastAsia="zh-TW"/>
              </w:rPr>
              <w:t>非綜合基礎</w:t>
            </w:r>
            <w:proofErr w:type="gramStart"/>
            <w:r w:rsidRPr="00DA6DF1">
              <w:rPr>
                <w:rFonts w:ascii="細明體" w:eastAsia="細明體" w:hAnsi="細明體" w:cs="細明體" w:hint="eastAsia"/>
                <w:sz w:val="17"/>
                <w:szCs w:val="17"/>
                <w:lang w:eastAsia="zh-TW"/>
              </w:rPr>
              <w:t>──</w:t>
            </w:r>
            <w:proofErr w:type="gramEnd"/>
            <w:r w:rsidRPr="00DA6DF1">
              <w:rPr>
                <w:rFonts w:ascii="Calibri" w:eastAsia="新細明體" w:hAnsi="Calibri" w:cs="Segoe UI"/>
                <w:sz w:val="17"/>
                <w:szCs w:val="17"/>
                <w:lang w:eastAsia="zh-TW"/>
              </w:rPr>
              <w:t>適用於在香港成立</w:t>
            </w:r>
            <w:proofErr w:type="gramStart"/>
            <w:r w:rsidRPr="00DA6DF1">
              <w:rPr>
                <w:rFonts w:ascii="Calibri" w:eastAsia="新細明體" w:hAnsi="Calibri" w:cs="Segoe UI"/>
                <w:sz w:val="17"/>
                <w:szCs w:val="17"/>
                <w:lang w:eastAsia="zh-TW"/>
              </w:rPr>
              <w:t>為法團</w:t>
            </w:r>
            <w:proofErr w:type="gramEnd"/>
            <w:r w:rsidRPr="00DA6DF1">
              <w:rPr>
                <w:rFonts w:ascii="Calibri" w:eastAsia="新細明體" w:hAnsi="Calibri" w:cs="Segoe UI"/>
                <w:sz w:val="17"/>
                <w:szCs w:val="17"/>
                <w:lang w:eastAsia="zh-TW"/>
              </w:rPr>
              <w:t>，無須遵守</w:t>
            </w:r>
            <w:r w:rsidRPr="00DA6DF1">
              <w:rPr>
                <w:rFonts w:ascii="Calibri" w:eastAsia="細明體" w:hAnsi="Calibri" w:cs="Segoe UI"/>
                <w:sz w:val="17"/>
                <w:szCs w:val="17"/>
                <w:lang w:eastAsia="zh-TW"/>
              </w:rPr>
              <w:t>《流動性規則》第</w:t>
            </w:r>
            <w:r w:rsidRPr="00DA6DF1">
              <w:rPr>
                <w:rFonts w:ascii="Calibri" w:eastAsia="新細明體" w:hAnsi="Calibri" w:cs="Segoe UI"/>
                <w:sz w:val="17"/>
                <w:szCs w:val="17"/>
                <w:lang w:eastAsia="zh-TW"/>
              </w:rPr>
              <w:t>11(1)</w:t>
            </w:r>
            <w:r w:rsidRPr="00DA6DF1">
              <w:rPr>
                <w:rFonts w:ascii="Calibri" w:eastAsia="細明體" w:hAnsi="Calibri" w:cs="Segoe UI"/>
                <w:sz w:val="17"/>
                <w:szCs w:val="17"/>
                <w:lang w:eastAsia="zh-TW"/>
              </w:rPr>
              <w:t>條，但須遵守《流動性規則》第</w:t>
            </w:r>
            <w:r w:rsidRPr="00DA6DF1">
              <w:rPr>
                <w:rFonts w:ascii="Calibri" w:eastAsia="新細明體" w:hAnsi="Calibri" w:cs="Segoe UI"/>
                <w:sz w:val="17"/>
                <w:szCs w:val="17"/>
                <w:lang w:eastAsia="zh-TW"/>
              </w:rPr>
              <w:t>10(1)(b)</w:t>
            </w:r>
            <w:r w:rsidRPr="00DA6DF1">
              <w:rPr>
                <w:rFonts w:ascii="Calibri" w:eastAsia="細明體" w:hAnsi="Calibri" w:cs="Segoe UI"/>
                <w:sz w:val="17"/>
                <w:szCs w:val="17"/>
                <w:lang w:eastAsia="zh-TW"/>
              </w:rPr>
              <w:t>條的第</w:t>
            </w:r>
            <w:r w:rsidRPr="00DA6DF1">
              <w:rPr>
                <w:rFonts w:ascii="Calibri" w:eastAsia="新細明體" w:hAnsi="Calibri" w:cs="Segoe UI"/>
                <w:sz w:val="17"/>
                <w:szCs w:val="17"/>
                <w:lang w:eastAsia="zh-TW"/>
              </w:rPr>
              <w:t>1</w:t>
            </w:r>
            <w:r w:rsidRPr="00DA6DF1">
              <w:rPr>
                <w:rFonts w:ascii="Calibri" w:eastAsia="細明體" w:hAnsi="Calibri" w:cs="Segoe UI"/>
                <w:sz w:val="17"/>
                <w:szCs w:val="17"/>
                <w:lang w:eastAsia="zh-TW"/>
              </w:rPr>
              <w:t>類機構</w:t>
            </w:r>
            <w:r w:rsidRPr="00DA6DF1">
              <w:rPr>
                <w:rFonts w:ascii="Calibri" w:eastAsia="新細明體" w:hAnsi="Calibri" w:cs="Segoe UI"/>
                <w:sz w:val="17"/>
                <w:szCs w:val="17"/>
                <w:lang w:eastAsia="zh-TW"/>
              </w:rPr>
              <w:t>；或</w:t>
            </w:r>
          </w:p>
          <w:p w14:paraId="64DB4780" w14:textId="77777777" w:rsidR="00DA6DF1" w:rsidRPr="00DA6DF1" w:rsidRDefault="00DA6DF1" w:rsidP="00D540EB">
            <w:pPr>
              <w:numPr>
                <w:ilvl w:val="0"/>
                <w:numId w:val="20"/>
              </w:numPr>
              <w:spacing w:before="40" w:after="40" w:line="259" w:lineRule="auto"/>
              <w:ind w:left="436" w:hanging="425"/>
              <w:jc w:val="both"/>
              <w:rPr>
                <w:rFonts w:ascii="Calibri" w:eastAsia="新細明體" w:hAnsi="Calibri" w:cs="Segoe UI"/>
                <w:sz w:val="17"/>
                <w:szCs w:val="17"/>
                <w:lang w:eastAsia="zh-TW"/>
              </w:rPr>
            </w:pPr>
            <w:r w:rsidRPr="00DA6DF1">
              <w:rPr>
                <w:rFonts w:ascii="Calibri" w:eastAsia="細明體" w:hAnsi="Calibri" w:cs="Segoe UI"/>
                <w:sz w:val="17"/>
                <w:szCs w:val="17"/>
                <w:lang w:eastAsia="zh-TW"/>
              </w:rPr>
              <w:t>香港辦事處基礎</w:t>
            </w:r>
            <w:proofErr w:type="gramStart"/>
            <w:r w:rsidRPr="00DA6DF1">
              <w:rPr>
                <w:rFonts w:ascii="細明體" w:eastAsia="細明體" w:hAnsi="細明體" w:cs="細明體" w:hint="eastAsia"/>
                <w:sz w:val="17"/>
                <w:szCs w:val="17"/>
                <w:lang w:eastAsia="zh-TW"/>
              </w:rPr>
              <w:t>──</w:t>
            </w:r>
            <w:proofErr w:type="gramEnd"/>
            <w:r w:rsidRPr="00DA6DF1">
              <w:rPr>
                <w:rFonts w:ascii="Calibri" w:eastAsia="新細明體" w:hAnsi="Calibri" w:cs="Segoe UI"/>
                <w:sz w:val="17"/>
                <w:szCs w:val="17"/>
                <w:lang w:eastAsia="zh-TW"/>
              </w:rPr>
              <w:t>適用於以下的</w:t>
            </w:r>
            <w:r w:rsidRPr="00DA6DF1">
              <w:rPr>
                <w:rFonts w:ascii="Calibri" w:eastAsia="細明體" w:hAnsi="Calibri" w:cs="Segoe UI"/>
                <w:sz w:val="17"/>
                <w:szCs w:val="17"/>
                <w:lang w:eastAsia="zh-TW"/>
              </w:rPr>
              <w:t>第</w:t>
            </w:r>
            <w:r w:rsidRPr="00DA6DF1">
              <w:rPr>
                <w:rFonts w:ascii="Calibri" w:eastAsia="新細明體" w:hAnsi="Calibri" w:cs="Segoe UI"/>
                <w:sz w:val="17"/>
                <w:szCs w:val="17"/>
                <w:lang w:eastAsia="zh-TW"/>
              </w:rPr>
              <w:t>1</w:t>
            </w:r>
            <w:r w:rsidRPr="00DA6DF1">
              <w:rPr>
                <w:rFonts w:ascii="Calibri" w:eastAsia="細明體" w:hAnsi="Calibri" w:cs="Segoe UI"/>
                <w:sz w:val="17"/>
                <w:szCs w:val="17"/>
                <w:lang w:eastAsia="zh-TW"/>
              </w:rPr>
              <w:t>類機構：</w:t>
            </w:r>
          </w:p>
          <w:p w14:paraId="4B52E6BF" w14:textId="77777777" w:rsidR="00DA6DF1" w:rsidRPr="00DA6DF1" w:rsidRDefault="00DA6DF1" w:rsidP="00D540EB">
            <w:pPr>
              <w:numPr>
                <w:ilvl w:val="0"/>
                <w:numId w:val="16"/>
              </w:numPr>
              <w:spacing w:before="40" w:after="40" w:line="259" w:lineRule="auto"/>
              <w:ind w:left="916"/>
              <w:jc w:val="both"/>
              <w:rPr>
                <w:rFonts w:ascii="Calibri" w:eastAsia="新細明體" w:hAnsi="Calibri" w:cs="Segoe UI"/>
                <w:sz w:val="17"/>
                <w:szCs w:val="17"/>
                <w:lang w:eastAsia="zh-TW"/>
              </w:rPr>
            </w:pPr>
            <w:r w:rsidRPr="00DA6DF1">
              <w:rPr>
                <w:rFonts w:ascii="Calibri" w:eastAsia="新細明體" w:hAnsi="Calibri" w:cs="Segoe UI"/>
                <w:sz w:val="17"/>
                <w:szCs w:val="17"/>
                <w:lang w:eastAsia="zh-TW"/>
              </w:rPr>
              <w:t>在香港成立</w:t>
            </w:r>
            <w:proofErr w:type="gramStart"/>
            <w:r w:rsidRPr="00DA6DF1">
              <w:rPr>
                <w:rFonts w:ascii="Calibri" w:eastAsia="新細明體" w:hAnsi="Calibri" w:cs="Segoe UI"/>
                <w:sz w:val="17"/>
                <w:szCs w:val="17"/>
                <w:lang w:eastAsia="zh-TW"/>
              </w:rPr>
              <w:t>為法團</w:t>
            </w:r>
            <w:proofErr w:type="gramEnd"/>
            <w:r w:rsidRPr="00DA6DF1">
              <w:rPr>
                <w:rFonts w:ascii="Calibri" w:eastAsia="新細明體" w:hAnsi="Calibri" w:cs="Segoe UI"/>
                <w:sz w:val="17"/>
                <w:szCs w:val="17"/>
                <w:lang w:eastAsia="zh-TW"/>
              </w:rPr>
              <w:t>，無須遵守</w:t>
            </w:r>
            <w:r w:rsidRPr="00DA6DF1">
              <w:rPr>
                <w:rFonts w:ascii="Calibri" w:eastAsia="細明體" w:hAnsi="Calibri" w:cs="Segoe UI"/>
                <w:sz w:val="17"/>
                <w:szCs w:val="17"/>
                <w:lang w:eastAsia="zh-TW"/>
              </w:rPr>
              <w:t>《流動性規則》第</w:t>
            </w:r>
            <w:r w:rsidRPr="00DA6DF1">
              <w:rPr>
                <w:rFonts w:ascii="Calibri" w:eastAsia="新細明體" w:hAnsi="Calibri" w:cs="Segoe UI"/>
                <w:sz w:val="17"/>
                <w:szCs w:val="17"/>
                <w:lang w:eastAsia="zh-TW"/>
              </w:rPr>
              <w:t>10(1)(b)</w:t>
            </w:r>
            <w:r w:rsidRPr="00DA6DF1">
              <w:rPr>
                <w:rFonts w:ascii="Calibri" w:eastAsia="細明體" w:hAnsi="Calibri" w:cs="Segoe UI"/>
                <w:sz w:val="17"/>
                <w:szCs w:val="17"/>
                <w:lang w:eastAsia="zh-TW"/>
              </w:rPr>
              <w:t>條或第</w:t>
            </w:r>
            <w:r w:rsidRPr="00DA6DF1">
              <w:rPr>
                <w:rFonts w:ascii="Calibri" w:eastAsia="細明體" w:hAnsi="Calibri" w:cs="Segoe UI"/>
                <w:sz w:val="17"/>
                <w:szCs w:val="17"/>
                <w:lang w:eastAsia="zh-TW"/>
              </w:rPr>
              <w:t>11</w:t>
            </w:r>
            <w:r w:rsidRPr="00DA6DF1">
              <w:rPr>
                <w:rFonts w:ascii="Calibri" w:eastAsia="細明體" w:hAnsi="Calibri" w:cs="Segoe UI"/>
                <w:sz w:val="17"/>
                <w:szCs w:val="17"/>
                <w:lang w:eastAsia="zh-TW"/>
              </w:rPr>
              <w:t>條，但須遵守《流動性規則》第</w:t>
            </w:r>
            <w:r w:rsidRPr="00DA6DF1">
              <w:rPr>
                <w:rFonts w:ascii="Calibri" w:eastAsia="新細明體" w:hAnsi="Calibri" w:cs="Segoe UI"/>
                <w:sz w:val="17"/>
                <w:szCs w:val="17"/>
                <w:lang w:eastAsia="zh-TW"/>
              </w:rPr>
              <w:t>10(1)(a)</w:t>
            </w:r>
            <w:r w:rsidRPr="00DA6DF1">
              <w:rPr>
                <w:rFonts w:ascii="Calibri" w:eastAsia="細明體" w:hAnsi="Calibri" w:cs="Segoe UI"/>
                <w:sz w:val="17"/>
                <w:szCs w:val="17"/>
                <w:lang w:eastAsia="zh-TW"/>
              </w:rPr>
              <w:t>條；及</w:t>
            </w:r>
          </w:p>
          <w:p w14:paraId="466B00C8" w14:textId="77777777" w:rsidR="00DA6DF1" w:rsidRPr="00DA6DF1" w:rsidRDefault="00DA6DF1" w:rsidP="00D540EB">
            <w:pPr>
              <w:numPr>
                <w:ilvl w:val="0"/>
                <w:numId w:val="16"/>
              </w:numPr>
              <w:spacing w:before="40" w:after="40" w:line="259" w:lineRule="auto"/>
              <w:ind w:left="916"/>
              <w:jc w:val="both"/>
              <w:rPr>
                <w:rFonts w:ascii="Calibri" w:eastAsia="新細明體" w:hAnsi="Calibri" w:cs="Segoe UI"/>
                <w:sz w:val="17"/>
                <w:szCs w:val="17"/>
                <w:lang w:eastAsia="zh-TW"/>
              </w:rPr>
            </w:pPr>
            <w:r w:rsidRPr="00DA6DF1">
              <w:rPr>
                <w:rFonts w:ascii="Calibri" w:eastAsia="新細明體" w:hAnsi="Calibri" w:cs="Segoe UI"/>
                <w:sz w:val="17"/>
                <w:szCs w:val="17"/>
                <w:lang w:eastAsia="zh-TW"/>
              </w:rPr>
              <w:t>在香港以外成立</w:t>
            </w:r>
            <w:proofErr w:type="gramStart"/>
            <w:r w:rsidRPr="00DA6DF1">
              <w:rPr>
                <w:rFonts w:ascii="Calibri" w:eastAsia="新細明體" w:hAnsi="Calibri" w:cs="Segoe UI"/>
                <w:sz w:val="17"/>
                <w:szCs w:val="17"/>
                <w:lang w:eastAsia="zh-TW"/>
              </w:rPr>
              <w:t>為法團</w:t>
            </w:r>
            <w:proofErr w:type="gramEnd"/>
            <w:r w:rsidRPr="00DA6DF1">
              <w:rPr>
                <w:rFonts w:ascii="Calibri" w:eastAsia="新細明體" w:hAnsi="Calibri" w:cs="Segoe UI"/>
                <w:sz w:val="17"/>
                <w:szCs w:val="17"/>
                <w:lang w:eastAsia="zh-TW"/>
              </w:rPr>
              <w:t>，並須遵守</w:t>
            </w:r>
            <w:r w:rsidRPr="00DA6DF1">
              <w:rPr>
                <w:rFonts w:ascii="Calibri" w:eastAsia="細明體" w:hAnsi="Calibri" w:cs="Segoe UI"/>
                <w:sz w:val="17"/>
                <w:szCs w:val="17"/>
                <w:lang w:eastAsia="zh-TW"/>
              </w:rPr>
              <w:t>《流動性規則》第</w:t>
            </w:r>
            <w:r w:rsidRPr="00DA6DF1">
              <w:rPr>
                <w:rFonts w:ascii="Calibri" w:eastAsia="新細明體" w:hAnsi="Calibri" w:cs="Segoe UI"/>
                <w:sz w:val="17"/>
                <w:szCs w:val="17"/>
                <w:lang w:eastAsia="zh-TW"/>
              </w:rPr>
              <w:t>10(1)(a)</w:t>
            </w:r>
            <w:r w:rsidRPr="00DA6DF1">
              <w:rPr>
                <w:rFonts w:ascii="Calibri" w:eastAsia="新細明體" w:hAnsi="Calibri" w:cs="Segoe UI"/>
                <w:sz w:val="17"/>
                <w:szCs w:val="17"/>
                <w:lang w:eastAsia="zh-TW"/>
              </w:rPr>
              <w:t>條</w:t>
            </w:r>
            <w:r w:rsidRPr="00DA6DF1">
              <w:rPr>
                <w:rFonts w:ascii="Calibri" w:eastAsia="細明體" w:hAnsi="Calibri" w:cs="Segoe UI"/>
                <w:sz w:val="17"/>
                <w:szCs w:val="17"/>
                <w:lang w:eastAsia="zh-TW"/>
              </w:rPr>
              <w:t>。</w:t>
            </w:r>
          </w:p>
          <w:p w14:paraId="1209D8DE" w14:textId="77777777" w:rsidR="00DA6DF1" w:rsidRPr="00DA6DF1" w:rsidRDefault="00DA6DF1" w:rsidP="00DA6DF1">
            <w:pPr>
              <w:spacing w:before="40" w:after="40" w:line="259" w:lineRule="auto"/>
              <w:jc w:val="both"/>
              <w:rPr>
                <w:rFonts w:ascii="Calibri" w:eastAsia="新細明體" w:hAnsi="Calibri" w:cs="Segoe UI"/>
                <w:b/>
                <w:sz w:val="17"/>
                <w:szCs w:val="17"/>
                <w:lang w:val="en-US" w:eastAsia="zh-TW"/>
              </w:rPr>
            </w:pPr>
            <w:r w:rsidRPr="00DA6DF1">
              <w:rPr>
                <w:rFonts w:ascii="Calibri" w:eastAsia="細明體" w:hAnsi="Calibri" w:cs="Segoe UI"/>
                <w:sz w:val="17"/>
                <w:szCs w:val="17"/>
                <w:lang w:eastAsia="zh-TW"/>
              </w:rPr>
              <w:t>第</w:t>
            </w:r>
            <w:r w:rsidRPr="00DA6DF1">
              <w:rPr>
                <w:rFonts w:ascii="Calibri" w:eastAsia="新細明體" w:hAnsi="Calibri" w:cs="Segoe UI"/>
                <w:sz w:val="17"/>
                <w:szCs w:val="17"/>
                <w:lang w:eastAsia="zh-TW"/>
              </w:rPr>
              <w:t>1</w:t>
            </w:r>
            <w:r w:rsidRPr="00DA6DF1">
              <w:rPr>
                <w:rFonts w:ascii="Calibri" w:eastAsia="細明體" w:hAnsi="Calibri" w:cs="Segoe UI"/>
                <w:sz w:val="17"/>
                <w:szCs w:val="17"/>
                <w:lang w:eastAsia="zh-TW"/>
              </w:rPr>
              <w:t>類機構應註明</w:t>
            </w:r>
            <w:proofErr w:type="gramStart"/>
            <w:r w:rsidRPr="00DA6DF1">
              <w:rPr>
                <w:rFonts w:ascii="Calibri" w:eastAsia="細明體" w:hAnsi="Calibri" w:cs="Segoe UI"/>
                <w:sz w:val="17"/>
                <w:szCs w:val="17"/>
                <w:lang w:eastAsia="zh-TW"/>
              </w:rPr>
              <w:t>在本模版</w:t>
            </w:r>
            <w:proofErr w:type="gramEnd"/>
            <w:r w:rsidRPr="00DA6DF1">
              <w:rPr>
                <w:rFonts w:ascii="Calibri" w:eastAsia="細明體" w:hAnsi="Calibri" w:cs="Segoe UI"/>
                <w:sz w:val="17"/>
                <w:szCs w:val="17"/>
                <w:lang w:eastAsia="zh-TW"/>
              </w:rPr>
              <w:t>內須披露的項目是按何種基礎披露。</w:t>
            </w:r>
          </w:p>
        </w:tc>
      </w:tr>
      <w:tr w:rsidR="00DA6DF1" w:rsidRPr="00DA6DF1" w14:paraId="78D1C3BE" w14:textId="77777777" w:rsidTr="0029639E">
        <w:tc>
          <w:tcPr>
            <w:tcW w:w="2161" w:type="dxa"/>
          </w:tcPr>
          <w:p w14:paraId="6514BE4B" w14:textId="77777777" w:rsidR="00DA6DF1" w:rsidRPr="00DA6DF1" w:rsidRDefault="00DA6DF1" w:rsidP="00DA6DF1">
            <w:pPr>
              <w:spacing w:after="160" w:line="259" w:lineRule="auto"/>
              <w:rPr>
                <w:rFonts w:ascii="Calibri" w:eastAsia="新細明體" w:hAnsi="Calibri" w:cs="Segoe UI"/>
                <w:b/>
                <w:sz w:val="17"/>
                <w:szCs w:val="17"/>
                <w:lang w:eastAsia="zh-CN"/>
              </w:rPr>
            </w:pPr>
            <w:proofErr w:type="gramStart"/>
            <w:r w:rsidRPr="00DA6DF1">
              <w:rPr>
                <w:rFonts w:ascii="Calibri" w:eastAsia="細明體" w:hAnsi="Calibri" w:cs="Segoe UI"/>
                <w:b/>
                <w:sz w:val="17"/>
                <w:szCs w:val="17"/>
                <w:lang w:eastAsia="zh-CN"/>
              </w:rPr>
              <w:t>內</w:t>
            </w:r>
            <w:proofErr w:type="gramEnd"/>
            <w:r w:rsidRPr="00DA6DF1">
              <w:rPr>
                <w:rFonts w:ascii="Calibri" w:eastAsia="細明體" w:hAnsi="Calibri" w:cs="Segoe UI"/>
                <w:b/>
                <w:sz w:val="17"/>
                <w:szCs w:val="17"/>
                <w:lang w:eastAsia="zh-CN"/>
              </w:rPr>
              <w:t>容：</w:t>
            </w:r>
          </w:p>
        </w:tc>
        <w:tc>
          <w:tcPr>
            <w:tcW w:w="6804" w:type="dxa"/>
          </w:tcPr>
          <w:p w14:paraId="67D53150" w14:textId="77777777" w:rsidR="00DA6DF1" w:rsidRPr="00DA6DF1" w:rsidRDefault="00DA6DF1" w:rsidP="00DA6DF1">
            <w:pPr>
              <w:spacing w:before="40" w:after="40" w:line="259" w:lineRule="auto"/>
              <w:rPr>
                <w:rFonts w:ascii="Calibri" w:eastAsia="新細明體" w:hAnsi="Calibri" w:cs="Segoe UI"/>
                <w:b/>
                <w:sz w:val="17"/>
                <w:szCs w:val="17"/>
                <w:lang w:val="en-US" w:eastAsia="zh-TW"/>
              </w:rPr>
            </w:pPr>
            <w:r w:rsidRPr="00DA6DF1">
              <w:rPr>
                <w:rFonts w:ascii="Calibri" w:eastAsia="細明體" w:hAnsi="Calibri" w:cs="Segoe UI"/>
                <w:sz w:val="17"/>
                <w:szCs w:val="17"/>
                <w:lang w:eastAsia="zh-TW"/>
              </w:rPr>
              <w:t>披露項目應依照「穩定資金狀況申報表」</w:t>
            </w:r>
            <w:r w:rsidRPr="00DA6DF1">
              <w:rPr>
                <w:rFonts w:ascii="Calibri" w:eastAsia="新細明體" w:hAnsi="Calibri" w:cs="Segoe UI"/>
                <w:sz w:val="17"/>
                <w:szCs w:val="17"/>
                <w:lang w:eastAsia="zh-TW"/>
              </w:rPr>
              <w:t>(MA(BS)26)</w:t>
            </w:r>
            <w:r w:rsidRPr="00DA6DF1">
              <w:rPr>
                <w:rFonts w:ascii="Calibri" w:eastAsia="細明體" w:hAnsi="Calibri" w:cs="Segoe UI"/>
                <w:sz w:val="17"/>
                <w:szCs w:val="17"/>
                <w:lang w:eastAsia="zh-TW"/>
              </w:rPr>
              <w:t>所載方法及指示計量及界定。數據應為季末的觀察數據及以港元或港元等值表述。</w:t>
            </w:r>
          </w:p>
        </w:tc>
      </w:tr>
      <w:tr w:rsidR="00DA6DF1" w:rsidRPr="00DA6DF1" w14:paraId="5F6AED28" w14:textId="77777777" w:rsidTr="0029639E">
        <w:tc>
          <w:tcPr>
            <w:tcW w:w="2161" w:type="dxa"/>
          </w:tcPr>
          <w:p w14:paraId="224F4FA1" w14:textId="77777777" w:rsidR="00DA6DF1" w:rsidRPr="00DA6DF1" w:rsidRDefault="00DA6DF1" w:rsidP="00DA6DF1">
            <w:pPr>
              <w:spacing w:after="160" w:line="259" w:lineRule="auto"/>
              <w:rPr>
                <w:rFonts w:ascii="Calibri" w:eastAsia="新細明體" w:hAnsi="Calibri" w:cs="Segoe UI"/>
                <w:b/>
                <w:sz w:val="17"/>
                <w:szCs w:val="17"/>
                <w:lang w:eastAsia="zh-TW"/>
              </w:rPr>
            </w:pPr>
            <w:r w:rsidRPr="00DA6DF1">
              <w:rPr>
                <w:rFonts w:ascii="Calibri" w:eastAsia="細明體" w:hAnsi="Calibri" w:cs="Segoe UI"/>
                <w:b/>
                <w:sz w:val="17"/>
                <w:szCs w:val="17"/>
                <w:lang w:eastAsia="zh-TW"/>
              </w:rPr>
              <w:t>頻密程度：</w:t>
            </w:r>
          </w:p>
        </w:tc>
        <w:tc>
          <w:tcPr>
            <w:tcW w:w="6804" w:type="dxa"/>
          </w:tcPr>
          <w:p w14:paraId="57AE93DA" w14:textId="77777777" w:rsidR="00DA6DF1" w:rsidRPr="00DA6DF1" w:rsidRDefault="00DA6DF1" w:rsidP="00DA6DF1">
            <w:pPr>
              <w:spacing w:before="40" w:after="40" w:line="259" w:lineRule="auto"/>
              <w:jc w:val="both"/>
              <w:rPr>
                <w:rFonts w:ascii="Calibri" w:eastAsia="新細明體" w:hAnsi="Calibri" w:cs="Segoe UI"/>
                <w:sz w:val="17"/>
                <w:szCs w:val="17"/>
                <w:lang w:eastAsia="zh-TW"/>
              </w:rPr>
            </w:pPr>
            <w:r w:rsidRPr="00DA6DF1">
              <w:rPr>
                <w:rFonts w:ascii="Calibri" w:eastAsia="新細明體" w:hAnsi="Calibri" w:cs="Segoe UI"/>
                <w:sz w:val="17"/>
                <w:szCs w:val="17"/>
                <w:lang w:eastAsia="zh-TW"/>
              </w:rPr>
              <w:t>每半年一次（包括涵蓋最近及對上一個季末的兩個數據集）。</w:t>
            </w:r>
          </w:p>
        </w:tc>
      </w:tr>
      <w:tr w:rsidR="00DA6DF1" w:rsidRPr="00DA6DF1" w14:paraId="648E92D1" w14:textId="77777777" w:rsidTr="0029639E">
        <w:tc>
          <w:tcPr>
            <w:tcW w:w="2161" w:type="dxa"/>
          </w:tcPr>
          <w:p w14:paraId="24190501" w14:textId="77777777" w:rsidR="00DA6DF1" w:rsidRPr="00DA6DF1" w:rsidRDefault="00DA6DF1" w:rsidP="00DA6DF1">
            <w:pPr>
              <w:spacing w:after="160" w:line="259" w:lineRule="auto"/>
              <w:rPr>
                <w:rFonts w:ascii="Calibri" w:eastAsia="新細明體" w:hAnsi="Calibri" w:cs="Segoe UI"/>
                <w:b/>
                <w:sz w:val="17"/>
                <w:szCs w:val="17"/>
                <w:lang w:eastAsia="zh-CN"/>
              </w:rPr>
            </w:pPr>
            <w:r w:rsidRPr="00DA6DF1">
              <w:rPr>
                <w:rFonts w:ascii="Calibri" w:eastAsia="細明體" w:hAnsi="Calibri" w:cs="Segoe UI"/>
                <w:b/>
                <w:sz w:val="17"/>
                <w:szCs w:val="17"/>
                <w:lang w:eastAsia="zh-CN"/>
              </w:rPr>
              <w:t>格式：</w:t>
            </w:r>
          </w:p>
        </w:tc>
        <w:tc>
          <w:tcPr>
            <w:tcW w:w="6804" w:type="dxa"/>
          </w:tcPr>
          <w:p w14:paraId="6EE1B94C" w14:textId="77777777" w:rsidR="00DA6DF1" w:rsidRPr="00DA6DF1" w:rsidRDefault="00DA6DF1" w:rsidP="00DA6DF1">
            <w:pPr>
              <w:spacing w:before="40" w:after="40" w:line="259" w:lineRule="auto"/>
              <w:jc w:val="both"/>
              <w:rPr>
                <w:rFonts w:ascii="Calibri" w:eastAsia="新細明體" w:hAnsi="Calibri" w:cs="Segoe UI"/>
                <w:sz w:val="17"/>
                <w:szCs w:val="17"/>
                <w:lang w:eastAsia="zh-TW"/>
              </w:rPr>
            </w:pPr>
            <w:r w:rsidRPr="00DA6DF1">
              <w:rPr>
                <w:rFonts w:ascii="Calibri" w:eastAsia="新細明體" w:hAnsi="Calibri" w:cs="Segoe UI"/>
                <w:sz w:val="17"/>
                <w:szCs w:val="17"/>
                <w:lang w:eastAsia="zh-TW"/>
              </w:rPr>
              <w:t>固定。</w:t>
            </w:r>
          </w:p>
        </w:tc>
      </w:tr>
      <w:tr w:rsidR="00DA6DF1" w:rsidRPr="00DA6DF1" w14:paraId="41A41C6C" w14:textId="77777777" w:rsidTr="0029639E">
        <w:tc>
          <w:tcPr>
            <w:tcW w:w="2161" w:type="dxa"/>
          </w:tcPr>
          <w:p w14:paraId="4CA33FA8" w14:textId="77777777" w:rsidR="00DA6DF1" w:rsidRPr="00DA6DF1" w:rsidRDefault="00DA6DF1" w:rsidP="00DA6DF1">
            <w:pPr>
              <w:spacing w:after="160" w:line="259" w:lineRule="auto"/>
              <w:rPr>
                <w:rFonts w:ascii="Calibri" w:eastAsia="新細明體" w:hAnsi="Calibri" w:cs="Segoe UI"/>
                <w:b/>
                <w:sz w:val="17"/>
                <w:szCs w:val="17"/>
                <w:lang w:eastAsia="zh-CN"/>
              </w:rPr>
            </w:pPr>
            <w:r w:rsidRPr="00DA6DF1">
              <w:rPr>
                <w:rFonts w:ascii="Calibri" w:eastAsia="細明體" w:hAnsi="Calibri" w:cs="Segoe UI"/>
                <w:b/>
                <w:sz w:val="17"/>
                <w:szCs w:val="17"/>
                <w:lang w:eastAsia="zh-CN"/>
              </w:rPr>
              <w:t>附加說明：</w:t>
            </w:r>
          </w:p>
        </w:tc>
        <w:tc>
          <w:tcPr>
            <w:tcW w:w="6804" w:type="dxa"/>
          </w:tcPr>
          <w:p w14:paraId="2DCDE0CE" w14:textId="77777777" w:rsidR="00DA6DF1" w:rsidRPr="00DA6DF1" w:rsidRDefault="00DA6DF1" w:rsidP="00DA6DF1">
            <w:pPr>
              <w:spacing w:before="40" w:after="40" w:line="259" w:lineRule="auto"/>
              <w:jc w:val="both"/>
              <w:rPr>
                <w:rFonts w:ascii="Calibri" w:eastAsia="新細明體" w:hAnsi="Calibri" w:cs="Segoe UI"/>
                <w:sz w:val="17"/>
                <w:szCs w:val="17"/>
                <w:lang w:eastAsia="zh-TW"/>
              </w:rPr>
            </w:pPr>
            <w:r w:rsidRPr="00DA6DF1">
              <w:rPr>
                <w:rFonts w:ascii="Calibri" w:eastAsia="細明體" w:hAnsi="Calibri" w:cs="Segoe UI"/>
                <w:sz w:val="17"/>
                <w:szCs w:val="17"/>
                <w:lang w:eastAsia="zh-TW"/>
              </w:rPr>
              <w:t>認可機構應提供足夠的</w:t>
            </w:r>
            <w:r w:rsidRPr="00DA6DF1">
              <w:rPr>
                <w:rFonts w:ascii="Calibri" w:eastAsia="細明體" w:hAnsi="Calibri" w:cs="Segoe UI"/>
                <w:sz w:val="17"/>
                <w:szCs w:val="17"/>
                <w:lang w:eastAsia="zh-TW"/>
              </w:rPr>
              <w:t>NSFR</w:t>
            </w:r>
            <w:r w:rsidRPr="00DA6DF1">
              <w:rPr>
                <w:rFonts w:ascii="Calibri" w:eastAsia="細明體" w:hAnsi="Calibri" w:cs="Segoe UI"/>
                <w:sz w:val="17"/>
                <w:szCs w:val="17"/>
                <w:lang w:eastAsia="zh-TW"/>
              </w:rPr>
              <w:t>描述資料，以利便了解有關結果及附加數據。例如，如屬重要，認可機構應討論：</w:t>
            </w:r>
          </w:p>
          <w:p w14:paraId="4E361155" w14:textId="77777777" w:rsidR="00DA6DF1" w:rsidRPr="00DA6DF1" w:rsidRDefault="00DA6DF1" w:rsidP="00D540EB">
            <w:pPr>
              <w:widowControl w:val="0"/>
              <w:numPr>
                <w:ilvl w:val="0"/>
                <w:numId w:val="2"/>
              </w:numPr>
              <w:autoSpaceDE w:val="0"/>
              <w:autoSpaceDN w:val="0"/>
              <w:adjustRightInd w:val="0"/>
              <w:spacing w:after="160" w:line="259" w:lineRule="auto"/>
              <w:ind w:left="317" w:hanging="284"/>
              <w:jc w:val="both"/>
              <w:rPr>
                <w:rFonts w:ascii="Calibri" w:eastAsia="新細明體" w:hAnsi="Calibri" w:cs="Segoe UI"/>
                <w:color w:val="000000"/>
                <w:sz w:val="17"/>
                <w:szCs w:val="17"/>
                <w:lang w:val="en-US" w:eastAsia="zh-TW"/>
              </w:rPr>
            </w:pPr>
            <w:r w:rsidRPr="00DA6DF1">
              <w:rPr>
                <w:rFonts w:ascii="Calibri" w:eastAsia="新細明體" w:hAnsi="Calibri" w:cs="Segoe UI"/>
                <w:color w:val="000000"/>
                <w:sz w:val="17"/>
                <w:szCs w:val="17"/>
                <w:lang w:val="en-US" w:eastAsia="zh-TW"/>
              </w:rPr>
              <w:t>促成</w:t>
            </w:r>
            <w:r w:rsidRPr="00DA6DF1">
              <w:rPr>
                <w:rFonts w:ascii="Calibri" w:eastAsia="新細明體" w:hAnsi="Calibri" w:cs="Segoe UI"/>
                <w:color w:val="000000"/>
                <w:sz w:val="17"/>
                <w:szCs w:val="17"/>
                <w:lang w:val="en-US" w:eastAsia="zh-TW"/>
              </w:rPr>
              <w:t>NSFR</w:t>
            </w:r>
            <w:r w:rsidRPr="00DA6DF1">
              <w:rPr>
                <w:rFonts w:ascii="Calibri" w:eastAsia="新細明體" w:hAnsi="Calibri" w:cs="Segoe UI"/>
                <w:color w:val="000000"/>
                <w:sz w:val="17"/>
                <w:szCs w:val="17"/>
                <w:lang w:val="en-US" w:eastAsia="zh-TW"/>
              </w:rPr>
              <w:t>結果的驅動因素、</w:t>
            </w:r>
            <w:r w:rsidRPr="00DA6DF1">
              <w:rPr>
                <w:rFonts w:ascii="Calibri" w:eastAsia="新細明體" w:hAnsi="Calibri" w:cs="Segoe UI"/>
                <w:color w:val="000000"/>
                <w:sz w:val="17"/>
                <w:szCs w:val="17"/>
                <w:lang w:eastAsia="zh-TW"/>
              </w:rPr>
              <w:t>期內變動及隨時間推移而出現的變動的原因（例如策略、資金結構、環境的變動）；及</w:t>
            </w:r>
          </w:p>
          <w:p w14:paraId="0B43C332" w14:textId="77777777" w:rsidR="00DA6DF1" w:rsidRPr="00DA6DF1" w:rsidRDefault="00DA6DF1" w:rsidP="00D540EB">
            <w:pPr>
              <w:widowControl w:val="0"/>
              <w:numPr>
                <w:ilvl w:val="0"/>
                <w:numId w:val="2"/>
              </w:numPr>
              <w:tabs>
                <w:tab w:val="left" w:pos="294"/>
              </w:tabs>
              <w:autoSpaceDE w:val="0"/>
              <w:autoSpaceDN w:val="0"/>
              <w:adjustRightInd w:val="0"/>
              <w:spacing w:after="160" w:line="259" w:lineRule="auto"/>
              <w:ind w:left="317" w:hanging="317"/>
              <w:jc w:val="both"/>
              <w:rPr>
                <w:rFonts w:ascii="Calibri" w:eastAsia="新細明體" w:hAnsi="Calibri" w:cs="Segoe UI"/>
                <w:color w:val="000000"/>
                <w:sz w:val="17"/>
                <w:szCs w:val="17"/>
                <w:lang w:val="en-US" w:eastAsia="zh-TW"/>
              </w:rPr>
            </w:pPr>
            <w:r w:rsidRPr="00DA6DF1">
              <w:rPr>
                <w:rFonts w:ascii="Calibri" w:eastAsia="新細明體" w:hAnsi="Calibri" w:cs="Segoe UI"/>
                <w:color w:val="000000"/>
                <w:sz w:val="17"/>
                <w:szCs w:val="17"/>
                <w:lang w:val="en-US" w:eastAsia="zh-TW"/>
              </w:rPr>
              <w:t>認可機構</w:t>
            </w:r>
            <w:r w:rsidRPr="00DA6DF1">
              <w:rPr>
                <w:rFonts w:ascii="Calibri" w:eastAsia="新細明體" w:hAnsi="Calibri" w:cs="Segoe UI"/>
                <w:color w:val="000000"/>
                <w:sz w:val="17"/>
                <w:szCs w:val="17"/>
                <w:lang w:eastAsia="zh-TW"/>
              </w:rPr>
              <w:t>互有關連的資產及負債</w:t>
            </w:r>
            <w:r w:rsidRPr="00DA6DF1">
              <w:rPr>
                <w:rFonts w:ascii="Calibri" w:eastAsia="新細明體" w:hAnsi="Calibri" w:cs="Segoe UI"/>
                <w:color w:val="000000"/>
                <w:sz w:val="17"/>
                <w:szCs w:val="17"/>
                <w:lang w:val="en-US" w:eastAsia="zh-TW"/>
              </w:rPr>
              <w:t>（如《流動性規則》第</w:t>
            </w:r>
            <w:r w:rsidRPr="00DA6DF1">
              <w:rPr>
                <w:rFonts w:ascii="Calibri" w:eastAsia="新細明體" w:hAnsi="Calibri" w:cs="Segoe UI"/>
                <w:color w:val="000000"/>
                <w:sz w:val="17"/>
                <w:szCs w:val="17"/>
                <w:lang w:val="en-US" w:eastAsia="zh-TW"/>
              </w:rPr>
              <w:t>9</w:t>
            </w:r>
            <w:r w:rsidRPr="00DA6DF1">
              <w:rPr>
                <w:rFonts w:ascii="Calibri" w:eastAsia="新細明體" w:hAnsi="Calibri" w:cs="Segoe UI"/>
                <w:color w:val="000000"/>
                <w:sz w:val="17"/>
                <w:szCs w:val="17"/>
                <w:lang w:val="en-US" w:eastAsia="zh-TW"/>
              </w:rPr>
              <w:t>部第</w:t>
            </w:r>
            <w:r w:rsidRPr="00DA6DF1">
              <w:rPr>
                <w:rFonts w:ascii="Calibri" w:eastAsia="新細明體" w:hAnsi="Calibri" w:cs="Segoe UI"/>
                <w:color w:val="000000"/>
                <w:sz w:val="17"/>
                <w:szCs w:val="17"/>
                <w:lang w:val="en-US" w:eastAsia="zh-TW"/>
              </w:rPr>
              <w:t>2</w:t>
            </w:r>
            <w:r w:rsidRPr="00DA6DF1">
              <w:rPr>
                <w:rFonts w:ascii="Calibri" w:eastAsia="新細明體" w:hAnsi="Calibri" w:cs="Segoe UI"/>
                <w:color w:val="000000"/>
                <w:sz w:val="17"/>
                <w:szCs w:val="17"/>
                <w:lang w:val="en-US" w:eastAsia="zh-TW"/>
              </w:rPr>
              <w:t>分部所界定）的組成及這些交易在何種程度上互連。</w:t>
            </w:r>
          </w:p>
        </w:tc>
      </w:tr>
      <w:tr w:rsidR="00DA6DF1" w:rsidRPr="00DA6DF1" w14:paraId="7B003C55" w14:textId="77777777" w:rsidTr="0029639E">
        <w:tc>
          <w:tcPr>
            <w:tcW w:w="2161" w:type="dxa"/>
          </w:tcPr>
          <w:p w14:paraId="4FE32B1B" w14:textId="77777777" w:rsidR="00DA6DF1" w:rsidRPr="00DA6DF1" w:rsidRDefault="00DA6DF1" w:rsidP="00DA6DF1">
            <w:pPr>
              <w:spacing w:after="160" w:line="259" w:lineRule="auto"/>
              <w:rPr>
                <w:rFonts w:ascii="Calibri" w:eastAsia="新細明體" w:hAnsi="Calibri" w:cs="Segoe UI"/>
                <w:b/>
                <w:sz w:val="17"/>
                <w:szCs w:val="17"/>
                <w:lang w:eastAsia="zh-TW"/>
              </w:rPr>
            </w:pPr>
            <w:r w:rsidRPr="00DA6DF1">
              <w:rPr>
                <w:rFonts w:ascii="Calibri" w:eastAsia="細明體" w:hAnsi="Calibri" w:cs="Segoe UI"/>
                <w:b/>
                <w:sz w:val="17"/>
                <w:szCs w:val="17"/>
                <w:lang w:eastAsia="zh-TW"/>
              </w:rPr>
              <w:t>《披露規則》相應條文：</w:t>
            </w:r>
          </w:p>
        </w:tc>
        <w:tc>
          <w:tcPr>
            <w:tcW w:w="6804" w:type="dxa"/>
          </w:tcPr>
          <w:p w14:paraId="58F99CC6" w14:textId="77777777" w:rsidR="00DA6DF1" w:rsidRPr="00DA6DF1" w:rsidRDefault="00DA6DF1" w:rsidP="00DA6DF1">
            <w:pPr>
              <w:spacing w:before="40" w:after="40" w:line="259" w:lineRule="auto"/>
              <w:jc w:val="both"/>
              <w:rPr>
                <w:rFonts w:ascii="Calibri" w:eastAsia="新細明體" w:hAnsi="Calibri" w:cs="Segoe UI"/>
                <w:sz w:val="17"/>
                <w:szCs w:val="17"/>
                <w:lang w:eastAsia="en-GB"/>
              </w:rPr>
            </w:pPr>
            <w:r w:rsidRPr="00DA6DF1">
              <w:rPr>
                <w:rFonts w:ascii="Calibri" w:eastAsia="新細明體" w:hAnsi="Calibri" w:cs="Segoe UI"/>
                <w:sz w:val="17"/>
                <w:szCs w:val="17"/>
                <w:lang w:eastAsia="en-GB"/>
              </w:rPr>
              <w:t>16FL</w:t>
            </w:r>
            <w:r w:rsidRPr="00DA6DF1">
              <w:rPr>
                <w:rFonts w:ascii="Calibri" w:eastAsia="新細明體" w:hAnsi="Calibri" w:cs="Segoe UI"/>
                <w:sz w:val="17"/>
                <w:szCs w:val="17"/>
                <w:lang w:eastAsia="zh-TW"/>
              </w:rPr>
              <w:t>及</w:t>
            </w:r>
            <w:r w:rsidRPr="00DA6DF1">
              <w:rPr>
                <w:rFonts w:ascii="Calibri" w:eastAsia="新細明體" w:hAnsi="Calibri" w:cs="Segoe UI"/>
                <w:sz w:val="17"/>
                <w:szCs w:val="17"/>
                <w:lang w:eastAsia="en-GB"/>
              </w:rPr>
              <w:t>103AB</w:t>
            </w:r>
          </w:p>
        </w:tc>
      </w:tr>
    </w:tbl>
    <w:p w14:paraId="53177201" w14:textId="0F2031CD" w:rsidR="006C5AC9" w:rsidRDefault="006C5AC9" w:rsidP="00DA6DF1">
      <w:pPr>
        <w:spacing w:after="160" w:line="259" w:lineRule="auto"/>
        <w:rPr>
          <w:rFonts w:ascii="Calibri" w:eastAsia="新細明體" w:hAnsi="Calibri" w:cs="Segoe UI"/>
          <w:sz w:val="22"/>
          <w:szCs w:val="22"/>
          <w:lang w:eastAsia="zh-CN"/>
        </w:rPr>
      </w:pPr>
      <w:r>
        <w:rPr>
          <w:rFonts w:ascii="Calibri" w:eastAsia="新細明體" w:hAnsi="Calibri" w:cs="Segoe UI"/>
          <w:sz w:val="22"/>
          <w:szCs w:val="22"/>
          <w:lang w:eastAsia="zh-CN"/>
        </w:rPr>
        <w:br w:type="page"/>
      </w:r>
    </w:p>
    <w:p w14:paraId="61233B45" w14:textId="77777777" w:rsidR="00DA6DF1" w:rsidRPr="00DA6DF1" w:rsidRDefault="00DA6DF1" w:rsidP="00DA6DF1">
      <w:pPr>
        <w:spacing w:after="160" w:line="259" w:lineRule="auto"/>
        <w:rPr>
          <w:rFonts w:ascii="Calibri" w:eastAsia="新細明體" w:hAnsi="Calibri" w:cs="Segoe UI"/>
          <w:sz w:val="22"/>
          <w:szCs w:val="22"/>
          <w:lang w:eastAsia="zh-CN"/>
        </w:rPr>
      </w:pPr>
    </w:p>
    <w:tbl>
      <w:tblPr>
        <w:tblW w:w="8931" w:type="dxa"/>
        <w:tblInd w:w="-284" w:type="dxa"/>
        <w:tblBorders>
          <w:top w:val="single" w:sz="8" w:space="0" w:color="BCBDBC"/>
          <w:left w:val="single" w:sz="8" w:space="0" w:color="BCBDBC"/>
          <w:bottom w:val="single" w:sz="8" w:space="0" w:color="BCBDBC"/>
          <w:right w:val="single" w:sz="8" w:space="0" w:color="BCBDBC"/>
          <w:insideH w:val="single" w:sz="6" w:space="0" w:color="BCBDBC"/>
          <w:insideV w:val="single" w:sz="6" w:space="0" w:color="BCBDBC"/>
        </w:tblBorders>
        <w:tblLayout w:type="fixed"/>
        <w:tblCellMar>
          <w:left w:w="0" w:type="dxa"/>
          <w:right w:w="0" w:type="dxa"/>
        </w:tblCellMar>
        <w:tblLook w:val="00A0" w:firstRow="1" w:lastRow="0" w:firstColumn="1" w:lastColumn="0" w:noHBand="0" w:noVBand="0"/>
      </w:tblPr>
      <w:tblGrid>
        <w:gridCol w:w="565"/>
        <w:gridCol w:w="3261"/>
        <w:gridCol w:w="993"/>
        <w:gridCol w:w="1419"/>
        <w:gridCol w:w="1134"/>
        <w:gridCol w:w="851"/>
        <w:gridCol w:w="708"/>
      </w:tblGrid>
      <w:tr w:rsidR="00DA6DF1" w:rsidRPr="00DA6DF1" w14:paraId="0530EB40" w14:textId="77777777" w:rsidTr="0029639E">
        <w:trPr>
          <w:trHeight w:val="324"/>
          <w:tblHeader/>
        </w:trPr>
        <w:tc>
          <w:tcPr>
            <w:tcW w:w="3826" w:type="dxa"/>
            <w:gridSpan w:val="2"/>
            <w:tcBorders>
              <w:top w:val="nil"/>
              <w:left w:val="nil"/>
              <w:bottom w:val="single" w:sz="4" w:space="0" w:color="auto"/>
              <w:right w:val="single" w:sz="4" w:space="0" w:color="auto"/>
            </w:tcBorders>
            <w:vAlign w:val="center"/>
          </w:tcPr>
          <w:p w14:paraId="457D6435" w14:textId="77777777" w:rsidR="00DA6DF1" w:rsidRPr="00DA6DF1" w:rsidRDefault="00DA6DF1" w:rsidP="00DA6DF1">
            <w:pPr>
              <w:widowControl w:val="0"/>
              <w:autoSpaceDE w:val="0"/>
              <w:autoSpaceDN w:val="0"/>
              <w:adjustRightInd w:val="0"/>
              <w:spacing w:after="160" w:line="259" w:lineRule="auto"/>
              <w:rPr>
                <w:rFonts w:ascii="Calibri" w:eastAsia="新細明體" w:hAnsi="Calibri" w:cs="Segoe UI"/>
                <w:b/>
                <w:bCs/>
                <w:color w:val="000000"/>
                <w:sz w:val="22"/>
                <w:szCs w:val="22"/>
                <w:lang w:val="en-US" w:eastAsia="zh-TW"/>
              </w:rPr>
            </w:pPr>
          </w:p>
        </w:tc>
        <w:tc>
          <w:tcPr>
            <w:tcW w:w="993" w:type="dxa"/>
            <w:tcBorders>
              <w:top w:val="single" w:sz="6" w:space="0" w:color="auto"/>
              <w:left w:val="single" w:sz="6" w:space="0" w:color="auto"/>
              <w:bottom w:val="single" w:sz="6" w:space="0" w:color="auto"/>
              <w:right w:val="single" w:sz="4" w:space="0" w:color="auto"/>
            </w:tcBorders>
            <w:vAlign w:val="center"/>
          </w:tcPr>
          <w:p w14:paraId="767A28E8" w14:textId="77777777" w:rsidR="00DA6DF1" w:rsidRPr="00DA6DF1" w:rsidRDefault="00DA6DF1" w:rsidP="00DA6DF1">
            <w:pPr>
              <w:spacing w:after="160" w:line="259" w:lineRule="auto"/>
              <w:jc w:val="center"/>
              <w:rPr>
                <w:rFonts w:ascii="Calibri" w:eastAsia="新細明體" w:hAnsi="Calibri" w:cs="Segoe UI"/>
                <w:bCs/>
                <w:sz w:val="17"/>
                <w:szCs w:val="17"/>
                <w:lang w:eastAsia="it-IT"/>
              </w:rPr>
            </w:pPr>
            <w:r w:rsidRPr="00DA6DF1">
              <w:rPr>
                <w:rFonts w:ascii="Calibri" w:eastAsia="新細明體" w:hAnsi="Calibri" w:cs="Segoe UI"/>
                <w:bCs/>
                <w:sz w:val="17"/>
                <w:szCs w:val="17"/>
                <w:lang w:eastAsia="it-IT"/>
              </w:rPr>
              <w:t>(a)</w:t>
            </w:r>
          </w:p>
        </w:tc>
        <w:tc>
          <w:tcPr>
            <w:tcW w:w="1419" w:type="dxa"/>
            <w:tcBorders>
              <w:top w:val="single" w:sz="6" w:space="0" w:color="auto"/>
              <w:left w:val="single" w:sz="4" w:space="0" w:color="auto"/>
              <w:bottom w:val="single" w:sz="6" w:space="0" w:color="auto"/>
              <w:right w:val="single" w:sz="4" w:space="0" w:color="auto"/>
            </w:tcBorders>
            <w:vAlign w:val="center"/>
          </w:tcPr>
          <w:p w14:paraId="47803C73" w14:textId="77777777" w:rsidR="00DA6DF1" w:rsidRPr="00DA6DF1" w:rsidRDefault="00DA6DF1" w:rsidP="00DA6DF1">
            <w:pPr>
              <w:spacing w:after="160" w:line="259" w:lineRule="auto"/>
              <w:jc w:val="center"/>
              <w:rPr>
                <w:rFonts w:ascii="Calibri" w:eastAsia="新細明體" w:hAnsi="Calibri" w:cs="Segoe UI"/>
                <w:bCs/>
                <w:sz w:val="17"/>
                <w:szCs w:val="17"/>
                <w:lang w:eastAsia="it-IT"/>
              </w:rPr>
            </w:pPr>
            <w:r w:rsidRPr="00DA6DF1">
              <w:rPr>
                <w:rFonts w:ascii="Calibri" w:eastAsia="新細明體" w:hAnsi="Calibri" w:cs="Segoe UI"/>
                <w:bCs/>
                <w:sz w:val="17"/>
                <w:szCs w:val="17"/>
                <w:lang w:eastAsia="it-IT"/>
              </w:rPr>
              <w:t>(b)</w:t>
            </w:r>
          </w:p>
        </w:tc>
        <w:tc>
          <w:tcPr>
            <w:tcW w:w="1134" w:type="dxa"/>
            <w:tcBorders>
              <w:top w:val="single" w:sz="6" w:space="0" w:color="auto"/>
              <w:left w:val="single" w:sz="4" w:space="0" w:color="auto"/>
              <w:bottom w:val="single" w:sz="6" w:space="0" w:color="auto"/>
              <w:right w:val="single" w:sz="4" w:space="0" w:color="auto"/>
            </w:tcBorders>
          </w:tcPr>
          <w:p w14:paraId="1D9BDE79" w14:textId="77777777" w:rsidR="00DA6DF1" w:rsidRPr="00DA6DF1" w:rsidRDefault="00DA6DF1" w:rsidP="00DA6DF1">
            <w:pPr>
              <w:spacing w:after="160" w:line="259" w:lineRule="auto"/>
              <w:jc w:val="center"/>
              <w:rPr>
                <w:rFonts w:ascii="Calibri" w:eastAsia="新細明體" w:hAnsi="Calibri" w:cs="Segoe UI"/>
                <w:sz w:val="17"/>
                <w:szCs w:val="17"/>
                <w:lang w:eastAsia="zh-CN"/>
              </w:rPr>
            </w:pPr>
            <w:r w:rsidRPr="00DA6DF1">
              <w:rPr>
                <w:rFonts w:ascii="Calibri" w:eastAsia="新細明體" w:hAnsi="Calibri" w:cs="Segoe UI"/>
                <w:bCs/>
                <w:sz w:val="17"/>
                <w:szCs w:val="17"/>
                <w:lang w:eastAsia="it-IT"/>
              </w:rPr>
              <w:t>(c)</w:t>
            </w:r>
          </w:p>
        </w:tc>
        <w:tc>
          <w:tcPr>
            <w:tcW w:w="851" w:type="dxa"/>
            <w:tcBorders>
              <w:top w:val="single" w:sz="6" w:space="0" w:color="auto"/>
              <w:left w:val="single" w:sz="4" w:space="0" w:color="auto"/>
              <w:bottom w:val="single" w:sz="6" w:space="0" w:color="auto"/>
              <w:right w:val="single" w:sz="6" w:space="0" w:color="auto"/>
            </w:tcBorders>
          </w:tcPr>
          <w:p w14:paraId="7FB28180" w14:textId="77777777" w:rsidR="00DA6DF1" w:rsidRPr="00DA6DF1" w:rsidRDefault="00DA6DF1" w:rsidP="00DA6DF1">
            <w:pPr>
              <w:spacing w:after="160" w:line="259" w:lineRule="auto"/>
              <w:jc w:val="center"/>
              <w:rPr>
                <w:rFonts w:ascii="Calibri" w:eastAsia="新細明體" w:hAnsi="Calibri" w:cs="Segoe UI"/>
                <w:sz w:val="17"/>
                <w:szCs w:val="17"/>
                <w:lang w:eastAsia="zh-CN"/>
              </w:rPr>
            </w:pPr>
            <w:r w:rsidRPr="00DA6DF1">
              <w:rPr>
                <w:rFonts w:ascii="Calibri" w:eastAsia="新細明體" w:hAnsi="Calibri" w:cs="Segoe UI"/>
                <w:bCs/>
                <w:sz w:val="17"/>
                <w:szCs w:val="17"/>
                <w:lang w:eastAsia="it-IT"/>
              </w:rPr>
              <w:t>(d)</w:t>
            </w:r>
          </w:p>
        </w:tc>
        <w:tc>
          <w:tcPr>
            <w:tcW w:w="708" w:type="dxa"/>
            <w:tcBorders>
              <w:top w:val="single" w:sz="6" w:space="0" w:color="auto"/>
              <w:left w:val="single" w:sz="6" w:space="0" w:color="auto"/>
              <w:bottom w:val="single" w:sz="6" w:space="0" w:color="auto"/>
              <w:right w:val="single" w:sz="4" w:space="0" w:color="auto"/>
            </w:tcBorders>
          </w:tcPr>
          <w:p w14:paraId="7E1EF884" w14:textId="77777777" w:rsidR="00DA6DF1" w:rsidRPr="00DA6DF1" w:rsidRDefault="00DA6DF1" w:rsidP="00DA6DF1">
            <w:pPr>
              <w:spacing w:after="160" w:line="259" w:lineRule="auto"/>
              <w:jc w:val="center"/>
              <w:rPr>
                <w:rFonts w:ascii="Calibri" w:eastAsia="新細明體" w:hAnsi="Calibri" w:cs="Segoe UI"/>
                <w:sz w:val="17"/>
                <w:szCs w:val="17"/>
                <w:lang w:eastAsia="zh-CN"/>
              </w:rPr>
            </w:pPr>
            <w:r w:rsidRPr="00DA6DF1">
              <w:rPr>
                <w:rFonts w:ascii="Calibri" w:eastAsia="新細明體" w:hAnsi="Calibri" w:cs="Segoe UI"/>
                <w:bCs/>
                <w:sz w:val="17"/>
                <w:szCs w:val="17"/>
                <w:lang w:eastAsia="it-IT"/>
              </w:rPr>
              <w:t>(e)</w:t>
            </w:r>
          </w:p>
        </w:tc>
      </w:tr>
      <w:tr w:rsidR="00DA6DF1" w:rsidRPr="00DA6DF1" w14:paraId="75285F8E" w14:textId="77777777" w:rsidTr="0029639E">
        <w:trPr>
          <w:trHeight w:val="241"/>
          <w:tblHeader/>
        </w:trPr>
        <w:tc>
          <w:tcPr>
            <w:tcW w:w="3826" w:type="dxa"/>
            <w:gridSpan w:val="2"/>
            <w:vMerge w:val="restart"/>
            <w:tcBorders>
              <w:top w:val="single" w:sz="4" w:space="0" w:color="auto"/>
              <w:left w:val="nil"/>
              <w:right w:val="single" w:sz="6" w:space="0" w:color="auto"/>
            </w:tcBorders>
            <w:vAlign w:val="center"/>
          </w:tcPr>
          <w:p w14:paraId="40BD9D23" w14:textId="77777777" w:rsidR="00DA6DF1" w:rsidRPr="00DA6DF1" w:rsidRDefault="00DA6DF1" w:rsidP="00DA6DF1">
            <w:pPr>
              <w:snapToGrid w:val="0"/>
              <w:spacing w:before="40" w:after="40" w:line="259" w:lineRule="auto"/>
              <w:ind w:rightChars="71" w:right="142"/>
              <w:rPr>
                <w:rFonts w:ascii="Calibri" w:eastAsia="新細明體" w:hAnsi="Calibri" w:cs="Segoe UI"/>
                <w:sz w:val="17"/>
                <w:szCs w:val="22"/>
                <w:lang w:eastAsia="it-IT"/>
              </w:rPr>
            </w:pPr>
            <w:r w:rsidRPr="00DA6DF1">
              <w:rPr>
                <w:rFonts w:ascii="Calibri" w:eastAsia="新細明體" w:hAnsi="Calibri" w:cs="Segoe UI"/>
                <w:sz w:val="17"/>
                <w:szCs w:val="22"/>
                <w:lang w:eastAsia="zh-TW"/>
              </w:rPr>
              <w:t>披露基礎：綜合</w:t>
            </w:r>
            <w:r w:rsidRPr="00DA6DF1">
              <w:rPr>
                <w:rFonts w:ascii="Calibri" w:eastAsia="新細明體" w:hAnsi="Calibri" w:cs="Segoe UI"/>
                <w:sz w:val="17"/>
                <w:szCs w:val="22"/>
                <w:lang w:eastAsia="it-IT"/>
              </w:rPr>
              <w:t xml:space="preserve"> / </w:t>
            </w:r>
            <w:r w:rsidRPr="00DA6DF1">
              <w:rPr>
                <w:rFonts w:ascii="Calibri" w:eastAsia="細明體" w:hAnsi="Calibri" w:cs="Segoe UI"/>
                <w:sz w:val="17"/>
                <w:szCs w:val="22"/>
                <w:lang w:eastAsia="it-IT"/>
              </w:rPr>
              <w:t>非綜合</w:t>
            </w:r>
            <w:r w:rsidRPr="00DA6DF1">
              <w:rPr>
                <w:rFonts w:ascii="Calibri" w:eastAsia="新細明體" w:hAnsi="Calibri" w:cs="Segoe UI"/>
                <w:sz w:val="17"/>
                <w:szCs w:val="22"/>
                <w:lang w:eastAsia="it-IT"/>
              </w:rPr>
              <w:t xml:space="preserve"> / </w:t>
            </w:r>
            <w:r w:rsidRPr="00DA6DF1">
              <w:rPr>
                <w:rFonts w:ascii="Calibri" w:eastAsia="細明體" w:hAnsi="Calibri" w:cs="Segoe UI"/>
                <w:sz w:val="17"/>
                <w:szCs w:val="22"/>
                <w:lang w:eastAsia="it-IT"/>
              </w:rPr>
              <w:t>香港辦事處</w:t>
            </w:r>
            <w:r w:rsidRPr="00DA6DF1">
              <w:rPr>
                <w:rFonts w:ascii="Calibri" w:eastAsia="新細明體" w:hAnsi="Calibri" w:cs="Segoe UI"/>
                <w:sz w:val="17"/>
                <w:szCs w:val="22"/>
                <w:lang w:eastAsia="zh-TW"/>
              </w:rPr>
              <w:t>（</w:t>
            </w:r>
            <w:r w:rsidRPr="00DA6DF1">
              <w:rPr>
                <w:rFonts w:ascii="Calibri" w:eastAsia="細明體" w:hAnsi="Calibri" w:cs="Segoe UI"/>
                <w:sz w:val="17"/>
                <w:szCs w:val="22"/>
                <w:lang w:eastAsia="it-IT"/>
              </w:rPr>
              <w:t>視適用情況刪除</w:t>
            </w:r>
            <w:r w:rsidRPr="00DA6DF1">
              <w:rPr>
                <w:rFonts w:ascii="Calibri" w:eastAsia="新細明體" w:hAnsi="Calibri" w:cs="Segoe UI"/>
                <w:sz w:val="17"/>
                <w:szCs w:val="22"/>
                <w:lang w:eastAsia="zh-TW"/>
              </w:rPr>
              <w:t>）</w:t>
            </w:r>
          </w:p>
          <w:p w14:paraId="45422BF8" w14:textId="77777777" w:rsidR="00DA6DF1" w:rsidRPr="00DA6DF1" w:rsidRDefault="00DA6DF1" w:rsidP="00DA6DF1">
            <w:pPr>
              <w:snapToGrid w:val="0"/>
              <w:spacing w:before="40" w:after="40" w:line="259" w:lineRule="auto"/>
              <w:rPr>
                <w:rFonts w:ascii="Calibri" w:eastAsia="新細明體" w:hAnsi="Calibri" w:cs="Segoe UI"/>
                <w:sz w:val="17"/>
                <w:szCs w:val="22"/>
                <w:lang w:val="en-US" w:eastAsia="it-IT"/>
              </w:rPr>
            </w:pPr>
          </w:p>
        </w:tc>
        <w:tc>
          <w:tcPr>
            <w:tcW w:w="4397" w:type="dxa"/>
            <w:gridSpan w:val="4"/>
            <w:tcBorders>
              <w:top w:val="single" w:sz="6" w:space="0" w:color="auto"/>
              <w:left w:val="single" w:sz="6" w:space="0" w:color="auto"/>
              <w:bottom w:val="single" w:sz="4" w:space="0" w:color="auto"/>
              <w:right w:val="single" w:sz="6" w:space="0" w:color="auto"/>
            </w:tcBorders>
            <w:vAlign w:val="center"/>
          </w:tcPr>
          <w:p w14:paraId="169DA449" w14:textId="77777777" w:rsidR="00DA6DF1" w:rsidRPr="00DA6DF1" w:rsidRDefault="00DA6DF1" w:rsidP="00DA6DF1">
            <w:pPr>
              <w:snapToGrid w:val="0"/>
              <w:spacing w:before="40" w:after="40" w:line="259" w:lineRule="auto"/>
              <w:jc w:val="center"/>
              <w:rPr>
                <w:rFonts w:ascii="Calibri" w:eastAsia="新細明體" w:hAnsi="Calibri" w:cs="Segoe UI"/>
                <w:b/>
                <w:sz w:val="17"/>
                <w:szCs w:val="22"/>
                <w:lang w:eastAsia="it-IT"/>
              </w:rPr>
            </w:pPr>
            <w:r w:rsidRPr="00DA6DF1">
              <w:rPr>
                <w:rFonts w:ascii="Calibri" w:eastAsia="新細明體" w:hAnsi="Calibri" w:cs="Segoe UI"/>
                <w:b/>
                <w:sz w:val="17"/>
                <w:szCs w:val="22"/>
                <w:lang w:eastAsia="zh-TW"/>
              </w:rPr>
              <w:t>按剩餘到期期限劃分的非加權值</w:t>
            </w:r>
          </w:p>
        </w:tc>
        <w:tc>
          <w:tcPr>
            <w:tcW w:w="708" w:type="dxa"/>
            <w:vMerge w:val="restart"/>
            <w:tcBorders>
              <w:top w:val="single" w:sz="6" w:space="0" w:color="auto"/>
              <w:left w:val="single" w:sz="6" w:space="0" w:color="auto"/>
              <w:right w:val="single" w:sz="4" w:space="0" w:color="auto"/>
            </w:tcBorders>
            <w:vAlign w:val="center"/>
          </w:tcPr>
          <w:p w14:paraId="38B43A2B" w14:textId="77777777" w:rsidR="00DA6DF1" w:rsidRPr="00DA6DF1" w:rsidRDefault="00DA6DF1" w:rsidP="00DA6DF1">
            <w:pPr>
              <w:snapToGrid w:val="0"/>
              <w:spacing w:before="40" w:after="40" w:line="259" w:lineRule="auto"/>
              <w:jc w:val="center"/>
              <w:rPr>
                <w:rFonts w:ascii="Calibri" w:eastAsia="新細明體" w:hAnsi="Calibri" w:cs="Segoe UI"/>
                <w:b/>
                <w:sz w:val="17"/>
                <w:szCs w:val="22"/>
                <w:lang w:eastAsia="it-IT"/>
              </w:rPr>
            </w:pPr>
            <w:r w:rsidRPr="00DA6DF1">
              <w:rPr>
                <w:rFonts w:ascii="Calibri" w:eastAsia="新細明體" w:hAnsi="Calibri" w:cs="Segoe UI"/>
                <w:b/>
                <w:sz w:val="17"/>
                <w:szCs w:val="22"/>
                <w:lang w:eastAsia="zh-TW"/>
              </w:rPr>
              <w:t>加權額</w:t>
            </w:r>
          </w:p>
        </w:tc>
      </w:tr>
      <w:tr w:rsidR="00DA6DF1" w:rsidRPr="00DA6DF1" w14:paraId="529AB1BF" w14:textId="77777777" w:rsidTr="0029639E">
        <w:trPr>
          <w:trHeight w:val="553"/>
          <w:tblHeader/>
        </w:trPr>
        <w:tc>
          <w:tcPr>
            <w:tcW w:w="3826" w:type="dxa"/>
            <w:gridSpan w:val="2"/>
            <w:vMerge/>
            <w:tcBorders>
              <w:left w:val="nil"/>
              <w:bottom w:val="single" w:sz="4" w:space="0" w:color="auto"/>
              <w:right w:val="single" w:sz="6" w:space="0" w:color="auto"/>
            </w:tcBorders>
            <w:vAlign w:val="center"/>
          </w:tcPr>
          <w:p w14:paraId="28E6C5EB" w14:textId="77777777" w:rsidR="00DA6DF1" w:rsidRPr="00DA6DF1" w:rsidRDefault="00DA6DF1" w:rsidP="00DA6DF1">
            <w:pPr>
              <w:snapToGrid w:val="0"/>
              <w:spacing w:before="40" w:after="40" w:line="259" w:lineRule="auto"/>
              <w:ind w:rightChars="71" w:right="142"/>
              <w:rPr>
                <w:rFonts w:ascii="Calibri" w:eastAsia="新細明體" w:hAnsi="Calibri" w:cs="Segoe UI"/>
                <w:sz w:val="17"/>
                <w:szCs w:val="22"/>
                <w:lang w:eastAsia="it-IT"/>
              </w:rPr>
            </w:pPr>
          </w:p>
        </w:tc>
        <w:tc>
          <w:tcPr>
            <w:tcW w:w="993" w:type="dxa"/>
            <w:tcBorders>
              <w:top w:val="single" w:sz="4" w:space="0" w:color="auto"/>
              <w:left w:val="single" w:sz="6" w:space="0" w:color="auto"/>
              <w:bottom w:val="single" w:sz="4" w:space="0" w:color="auto"/>
              <w:right w:val="single" w:sz="4" w:space="0" w:color="auto"/>
            </w:tcBorders>
            <w:vAlign w:val="center"/>
          </w:tcPr>
          <w:p w14:paraId="3843A19D" w14:textId="77777777" w:rsidR="00DA6DF1" w:rsidRPr="00DA6DF1" w:rsidRDefault="00DA6DF1" w:rsidP="00DA6DF1">
            <w:pPr>
              <w:snapToGrid w:val="0"/>
              <w:spacing w:before="40" w:after="40" w:line="259" w:lineRule="auto"/>
              <w:jc w:val="center"/>
              <w:rPr>
                <w:rFonts w:ascii="Calibri" w:eastAsia="新細明體" w:hAnsi="Calibri" w:cs="Segoe UI"/>
                <w:sz w:val="17"/>
                <w:szCs w:val="22"/>
                <w:lang w:eastAsia="it-IT"/>
              </w:rPr>
            </w:pPr>
            <w:r w:rsidRPr="00DA6DF1">
              <w:rPr>
                <w:rFonts w:ascii="Calibri" w:eastAsia="新細明體" w:hAnsi="Calibri" w:cs="Segoe UI"/>
                <w:sz w:val="17"/>
                <w:szCs w:val="22"/>
                <w:lang w:eastAsia="it-IT"/>
              </w:rPr>
              <w:t xml:space="preserve"> </w:t>
            </w:r>
            <w:r w:rsidRPr="00DA6DF1">
              <w:rPr>
                <w:rFonts w:ascii="Calibri" w:eastAsia="新細明體" w:hAnsi="Calibri" w:cs="Segoe UI"/>
                <w:sz w:val="17"/>
                <w:szCs w:val="22"/>
                <w:lang w:eastAsia="zh-TW"/>
              </w:rPr>
              <w:t>無指明剩餘到期期限</w:t>
            </w:r>
          </w:p>
        </w:tc>
        <w:tc>
          <w:tcPr>
            <w:tcW w:w="1419" w:type="dxa"/>
            <w:tcBorders>
              <w:top w:val="single" w:sz="4" w:space="0" w:color="auto"/>
              <w:left w:val="single" w:sz="4" w:space="0" w:color="auto"/>
              <w:bottom w:val="single" w:sz="4" w:space="0" w:color="auto"/>
              <w:right w:val="single" w:sz="4" w:space="0" w:color="auto"/>
            </w:tcBorders>
            <w:vAlign w:val="center"/>
          </w:tcPr>
          <w:p w14:paraId="159BC454" w14:textId="77777777" w:rsidR="00DA6DF1" w:rsidRPr="00DA6DF1" w:rsidRDefault="00DA6DF1" w:rsidP="00DA6DF1">
            <w:pPr>
              <w:snapToGrid w:val="0"/>
              <w:spacing w:before="40" w:after="40" w:line="259" w:lineRule="auto"/>
              <w:jc w:val="center"/>
              <w:rPr>
                <w:rFonts w:ascii="Calibri" w:eastAsia="新細明體" w:hAnsi="Calibri" w:cs="Segoe UI"/>
                <w:sz w:val="17"/>
                <w:szCs w:val="22"/>
                <w:lang w:eastAsia="it-IT"/>
              </w:rPr>
            </w:pPr>
            <w:r w:rsidRPr="00DA6DF1">
              <w:rPr>
                <w:rFonts w:ascii="Calibri" w:eastAsia="細明體" w:hAnsi="Calibri" w:cs="Segoe UI"/>
                <w:sz w:val="17"/>
                <w:szCs w:val="22"/>
                <w:lang w:eastAsia="it-IT"/>
              </w:rPr>
              <w:t>少於</w:t>
            </w:r>
            <w:r w:rsidRPr="00DA6DF1">
              <w:rPr>
                <w:rFonts w:ascii="Calibri" w:eastAsia="新細明體" w:hAnsi="Calibri" w:cs="Segoe UI"/>
                <w:sz w:val="17"/>
                <w:szCs w:val="22"/>
                <w:lang w:eastAsia="it-IT"/>
              </w:rPr>
              <w:t>6</w:t>
            </w:r>
            <w:r w:rsidRPr="00DA6DF1">
              <w:rPr>
                <w:rFonts w:ascii="Calibri" w:eastAsia="細明體" w:hAnsi="Calibri" w:cs="Segoe UI"/>
                <w:sz w:val="17"/>
                <w:szCs w:val="22"/>
                <w:lang w:eastAsia="it-IT"/>
              </w:rPr>
              <w:t>個月，或凡作要求即須付還</w:t>
            </w:r>
          </w:p>
        </w:tc>
        <w:tc>
          <w:tcPr>
            <w:tcW w:w="1134" w:type="dxa"/>
            <w:tcBorders>
              <w:top w:val="single" w:sz="4" w:space="0" w:color="auto"/>
              <w:left w:val="single" w:sz="4" w:space="0" w:color="auto"/>
              <w:bottom w:val="single" w:sz="6" w:space="0" w:color="auto"/>
              <w:right w:val="single" w:sz="4" w:space="0" w:color="auto"/>
            </w:tcBorders>
            <w:vAlign w:val="center"/>
          </w:tcPr>
          <w:p w14:paraId="13C77826" w14:textId="77777777" w:rsidR="00DA6DF1" w:rsidRPr="00DA6DF1" w:rsidRDefault="00DA6DF1" w:rsidP="00DA6DF1">
            <w:pPr>
              <w:snapToGrid w:val="0"/>
              <w:spacing w:before="40" w:after="40" w:line="259" w:lineRule="auto"/>
              <w:jc w:val="center"/>
              <w:rPr>
                <w:rFonts w:ascii="Calibri" w:eastAsia="新細明體" w:hAnsi="Calibri" w:cs="Segoe UI"/>
                <w:sz w:val="17"/>
                <w:szCs w:val="22"/>
                <w:lang w:eastAsia="it-IT"/>
              </w:rPr>
            </w:pPr>
            <w:r w:rsidRPr="00DA6DF1">
              <w:rPr>
                <w:rFonts w:ascii="Calibri" w:eastAsia="新細明體" w:hAnsi="Calibri" w:cs="Segoe UI"/>
                <w:sz w:val="17"/>
                <w:szCs w:val="22"/>
                <w:lang w:eastAsia="it-IT"/>
              </w:rPr>
              <w:t>6</w:t>
            </w:r>
            <w:r w:rsidRPr="00DA6DF1">
              <w:rPr>
                <w:rFonts w:ascii="Calibri" w:eastAsia="細明體" w:hAnsi="Calibri" w:cs="Segoe UI"/>
                <w:sz w:val="17"/>
                <w:szCs w:val="22"/>
                <w:lang w:eastAsia="it-IT"/>
              </w:rPr>
              <w:t>個月以上但少於</w:t>
            </w:r>
            <w:r w:rsidRPr="00DA6DF1">
              <w:rPr>
                <w:rFonts w:ascii="Calibri" w:eastAsia="新細明體" w:hAnsi="Calibri" w:cs="Segoe UI"/>
                <w:sz w:val="17"/>
                <w:szCs w:val="22"/>
                <w:lang w:eastAsia="it-IT"/>
              </w:rPr>
              <w:t>12</w:t>
            </w:r>
            <w:r w:rsidRPr="00DA6DF1">
              <w:rPr>
                <w:rFonts w:ascii="Calibri" w:eastAsia="細明體" w:hAnsi="Calibri" w:cs="Segoe UI"/>
                <w:sz w:val="17"/>
                <w:szCs w:val="22"/>
                <w:lang w:eastAsia="it-IT"/>
              </w:rPr>
              <w:t>個月</w:t>
            </w:r>
          </w:p>
        </w:tc>
        <w:tc>
          <w:tcPr>
            <w:tcW w:w="851" w:type="dxa"/>
            <w:tcBorders>
              <w:top w:val="single" w:sz="4" w:space="0" w:color="auto"/>
              <w:left w:val="single" w:sz="4" w:space="0" w:color="auto"/>
              <w:bottom w:val="single" w:sz="6" w:space="0" w:color="auto"/>
              <w:right w:val="single" w:sz="6" w:space="0" w:color="auto"/>
            </w:tcBorders>
            <w:vAlign w:val="center"/>
          </w:tcPr>
          <w:p w14:paraId="66591508" w14:textId="77777777" w:rsidR="00DA6DF1" w:rsidRPr="00DA6DF1" w:rsidRDefault="00DA6DF1" w:rsidP="00DA6DF1">
            <w:pPr>
              <w:snapToGrid w:val="0"/>
              <w:spacing w:before="40" w:after="40" w:line="259" w:lineRule="auto"/>
              <w:jc w:val="center"/>
              <w:rPr>
                <w:rFonts w:ascii="Calibri" w:eastAsia="新細明體" w:hAnsi="Calibri" w:cs="Segoe UI"/>
                <w:sz w:val="17"/>
                <w:szCs w:val="22"/>
                <w:lang w:eastAsia="it-IT"/>
              </w:rPr>
            </w:pPr>
            <w:r w:rsidRPr="00DA6DF1">
              <w:rPr>
                <w:rFonts w:ascii="Calibri" w:eastAsia="新細明體" w:hAnsi="Calibri" w:cs="Segoe UI"/>
                <w:sz w:val="17"/>
                <w:szCs w:val="22"/>
                <w:lang w:eastAsia="it-IT"/>
              </w:rPr>
              <w:t>12</w:t>
            </w:r>
            <w:r w:rsidRPr="00DA6DF1">
              <w:rPr>
                <w:rFonts w:ascii="Calibri" w:eastAsia="細明體" w:hAnsi="Calibri" w:cs="Segoe UI"/>
                <w:sz w:val="17"/>
                <w:szCs w:val="22"/>
                <w:lang w:eastAsia="it-IT"/>
              </w:rPr>
              <w:t>個月或以上</w:t>
            </w:r>
          </w:p>
        </w:tc>
        <w:tc>
          <w:tcPr>
            <w:tcW w:w="708" w:type="dxa"/>
            <w:vMerge/>
            <w:tcBorders>
              <w:left w:val="single" w:sz="6" w:space="0" w:color="auto"/>
              <w:bottom w:val="single" w:sz="6" w:space="0" w:color="auto"/>
              <w:right w:val="single" w:sz="4" w:space="0" w:color="auto"/>
            </w:tcBorders>
            <w:vAlign w:val="center"/>
          </w:tcPr>
          <w:p w14:paraId="0288BBD6" w14:textId="77777777" w:rsidR="00DA6DF1" w:rsidRPr="00DA6DF1" w:rsidRDefault="00DA6DF1" w:rsidP="00DA6DF1">
            <w:pPr>
              <w:snapToGrid w:val="0"/>
              <w:spacing w:before="40" w:after="40" w:line="259" w:lineRule="auto"/>
              <w:jc w:val="center"/>
              <w:rPr>
                <w:rFonts w:ascii="Calibri" w:eastAsia="新細明體" w:hAnsi="Calibri" w:cs="Segoe UI"/>
                <w:b/>
                <w:sz w:val="17"/>
                <w:szCs w:val="22"/>
                <w:lang w:eastAsia="it-IT"/>
              </w:rPr>
            </w:pPr>
          </w:p>
        </w:tc>
      </w:tr>
      <w:tr w:rsidR="00DA6DF1" w:rsidRPr="00DA6DF1" w14:paraId="17DB2FD1" w14:textId="77777777" w:rsidTr="0029639E">
        <w:trPr>
          <w:cantSplit/>
          <w:trHeight w:val="285"/>
        </w:trPr>
        <w:tc>
          <w:tcPr>
            <w:tcW w:w="3826" w:type="dxa"/>
            <w:gridSpan w:val="2"/>
            <w:tcBorders>
              <w:top w:val="single" w:sz="4" w:space="0" w:color="auto"/>
              <w:left w:val="nil"/>
              <w:bottom w:val="single" w:sz="4" w:space="0" w:color="auto"/>
              <w:right w:val="nil"/>
            </w:tcBorders>
            <w:shd w:val="clear" w:color="auto" w:fill="A6A6A6"/>
          </w:tcPr>
          <w:p w14:paraId="13A1BE4A" w14:textId="77777777" w:rsidR="00DA6DF1" w:rsidRPr="00DA6DF1" w:rsidRDefault="00DA6DF1" w:rsidP="00D540EB">
            <w:pPr>
              <w:numPr>
                <w:ilvl w:val="0"/>
                <w:numId w:val="60"/>
              </w:numPr>
              <w:snapToGrid w:val="0"/>
              <w:spacing w:before="40" w:after="40" w:line="259" w:lineRule="auto"/>
              <w:ind w:rightChars="71" w:right="142"/>
              <w:rPr>
                <w:rFonts w:ascii="Calibri" w:eastAsia="新細明體" w:hAnsi="Calibri" w:cs="Segoe UI"/>
                <w:b/>
                <w:sz w:val="17"/>
                <w:szCs w:val="22"/>
                <w:lang w:eastAsia="it-IT"/>
              </w:rPr>
            </w:pPr>
            <w:r w:rsidRPr="00DA6DF1">
              <w:rPr>
                <w:rFonts w:ascii="Calibri" w:eastAsia="新細明體" w:hAnsi="Calibri" w:cs="Segoe UI"/>
                <w:b/>
                <w:sz w:val="17"/>
                <w:szCs w:val="22"/>
                <w:lang w:eastAsia="it-IT"/>
              </w:rPr>
              <w:t>ASF</w:t>
            </w:r>
            <w:r w:rsidRPr="00DA6DF1">
              <w:rPr>
                <w:rFonts w:ascii="Calibri" w:eastAsia="新細明體" w:hAnsi="Calibri" w:cs="Segoe UI"/>
                <w:b/>
                <w:sz w:val="17"/>
                <w:szCs w:val="22"/>
                <w:lang w:eastAsia="zh-TW"/>
              </w:rPr>
              <w:t>項目</w:t>
            </w:r>
          </w:p>
        </w:tc>
        <w:tc>
          <w:tcPr>
            <w:tcW w:w="993" w:type="dxa"/>
            <w:tcBorders>
              <w:top w:val="single" w:sz="4" w:space="0" w:color="auto"/>
              <w:left w:val="nil"/>
              <w:bottom w:val="single" w:sz="4" w:space="0" w:color="auto"/>
              <w:right w:val="nil"/>
            </w:tcBorders>
            <w:shd w:val="clear" w:color="auto" w:fill="A6A6A6"/>
          </w:tcPr>
          <w:p w14:paraId="3F0DD574"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nil"/>
              <w:bottom w:val="single" w:sz="4" w:space="0" w:color="auto"/>
              <w:right w:val="nil"/>
            </w:tcBorders>
            <w:shd w:val="clear" w:color="auto" w:fill="A6A6A6"/>
          </w:tcPr>
          <w:p w14:paraId="10C2A24E"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6" w:space="0" w:color="auto"/>
              <w:left w:val="nil"/>
              <w:bottom w:val="single" w:sz="4" w:space="0" w:color="auto"/>
              <w:right w:val="nil"/>
            </w:tcBorders>
            <w:shd w:val="clear" w:color="auto" w:fill="A6A6A6"/>
          </w:tcPr>
          <w:p w14:paraId="15D931A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6" w:space="0" w:color="auto"/>
              <w:left w:val="nil"/>
              <w:bottom w:val="single" w:sz="4" w:space="0" w:color="auto"/>
              <w:right w:val="nil"/>
            </w:tcBorders>
            <w:shd w:val="clear" w:color="auto" w:fill="A6A6A6"/>
          </w:tcPr>
          <w:p w14:paraId="48537B2F"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6" w:space="0" w:color="auto"/>
              <w:left w:val="nil"/>
              <w:bottom w:val="single" w:sz="4" w:space="0" w:color="auto"/>
              <w:right w:val="single" w:sz="4" w:space="0" w:color="auto"/>
            </w:tcBorders>
            <w:shd w:val="clear" w:color="auto" w:fill="A6A6A6"/>
          </w:tcPr>
          <w:p w14:paraId="45A9A2E6"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4A043D17" w14:textId="77777777" w:rsidTr="0029639E">
        <w:trPr>
          <w:cantSplit/>
          <w:trHeight w:val="285"/>
        </w:trPr>
        <w:tc>
          <w:tcPr>
            <w:tcW w:w="565" w:type="dxa"/>
            <w:tcBorders>
              <w:top w:val="single" w:sz="4" w:space="0" w:color="auto"/>
              <w:left w:val="nil"/>
              <w:bottom w:val="single" w:sz="4" w:space="0" w:color="auto"/>
              <w:right w:val="single" w:sz="4" w:space="0" w:color="auto"/>
            </w:tcBorders>
            <w:shd w:val="clear" w:color="auto" w:fill="D9D9D9"/>
          </w:tcPr>
          <w:p w14:paraId="4EC62BBC"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238897BA"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val="en-US" w:eastAsia="it-IT"/>
              </w:rPr>
            </w:pPr>
            <w:r w:rsidRPr="00DA6DF1">
              <w:rPr>
                <w:rFonts w:ascii="Calibri" w:eastAsia="新細明體" w:hAnsi="Calibri" w:cs="Segoe UI"/>
                <w:sz w:val="17"/>
                <w:szCs w:val="22"/>
                <w:lang w:eastAsia="zh-TW"/>
              </w:rPr>
              <w:t>資本：</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4A31788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66EA01EC"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58B8F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8BD9E38"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1D6BC228"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3D3ACB96"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1FA87CEA"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w:t>
            </w:r>
          </w:p>
        </w:tc>
        <w:tc>
          <w:tcPr>
            <w:tcW w:w="3261" w:type="dxa"/>
            <w:tcBorders>
              <w:top w:val="single" w:sz="4" w:space="0" w:color="auto"/>
              <w:left w:val="single" w:sz="4" w:space="0" w:color="auto"/>
              <w:bottom w:val="single" w:sz="4" w:space="0" w:color="auto"/>
              <w:right w:val="single" w:sz="4" w:space="0" w:color="auto"/>
            </w:tcBorders>
          </w:tcPr>
          <w:p w14:paraId="1DCCE385" w14:textId="77777777" w:rsidR="00DA6DF1" w:rsidRPr="00DA6DF1" w:rsidRDefault="00DA6DF1" w:rsidP="00DA6DF1">
            <w:pPr>
              <w:snapToGrid w:val="0"/>
              <w:spacing w:before="40" w:after="40" w:line="259" w:lineRule="auto"/>
              <w:ind w:leftChars="28" w:left="285" w:hangingChars="135" w:hanging="229"/>
              <w:rPr>
                <w:rFonts w:ascii="Calibri" w:eastAsia="細明體" w:hAnsi="Calibri" w:cs="Segoe UI"/>
                <w:i/>
                <w:sz w:val="17"/>
                <w:szCs w:val="22"/>
                <w:lang w:val="en-US" w:eastAsia="it-IT"/>
              </w:rPr>
            </w:pPr>
            <w:r w:rsidRPr="00DA6DF1">
              <w:rPr>
                <w:rFonts w:ascii="Calibri" w:eastAsia="細明體" w:hAnsi="Calibri" w:cs="Segoe UI"/>
                <w:i/>
                <w:sz w:val="17"/>
                <w:szCs w:val="22"/>
                <w:lang w:val="en-US" w:eastAsia="it-IT"/>
              </w:rPr>
              <w:tab/>
            </w:r>
            <w:r w:rsidRPr="00DA6DF1">
              <w:rPr>
                <w:rFonts w:ascii="Calibri" w:eastAsia="細明體" w:hAnsi="Calibri" w:cs="Segoe UI"/>
                <w:i/>
                <w:sz w:val="17"/>
                <w:szCs w:val="22"/>
                <w:lang w:val="en-US" w:eastAsia="it-IT"/>
              </w:rPr>
              <w:t>監管資本</w:t>
            </w:r>
          </w:p>
        </w:tc>
        <w:tc>
          <w:tcPr>
            <w:tcW w:w="993" w:type="dxa"/>
            <w:tcBorders>
              <w:top w:val="single" w:sz="4" w:space="0" w:color="auto"/>
              <w:left w:val="single" w:sz="4" w:space="0" w:color="auto"/>
              <w:bottom w:val="single" w:sz="4" w:space="0" w:color="auto"/>
              <w:right w:val="single" w:sz="4" w:space="0" w:color="auto"/>
            </w:tcBorders>
          </w:tcPr>
          <w:p w14:paraId="584115DE"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tcPr>
          <w:p w14:paraId="53F0DA76"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tcPr>
          <w:p w14:paraId="59F9C186"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tcPr>
          <w:p w14:paraId="5D8217A8"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tcPr>
          <w:p w14:paraId="62D26A0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605F9661"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13A11E0D"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zh-TW"/>
              </w:rPr>
              <w:t>2</w:t>
            </w:r>
            <w:r w:rsidRPr="00DA6DF1">
              <w:rPr>
                <w:rFonts w:ascii="Calibri" w:eastAsia="新細明體" w:hAnsi="Calibri" w:cs="Segoe UI"/>
                <w:sz w:val="16"/>
                <w:szCs w:val="16"/>
                <w:lang w:eastAsia="en-GB"/>
              </w:rPr>
              <w:t>a</w:t>
            </w:r>
          </w:p>
        </w:tc>
        <w:tc>
          <w:tcPr>
            <w:tcW w:w="3261" w:type="dxa"/>
            <w:tcBorders>
              <w:top w:val="single" w:sz="4" w:space="0" w:color="auto"/>
              <w:left w:val="single" w:sz="4" w:space="0" w:color="auto"/>
              <w:bottom w:val="single" w:sz="4" w:space="0" w:color="auto"/>
              <w:right w:val="single" w:sz="4" w:space="0" w:color="auto"/>
            </w:tcBorders>
          </w:tcPr>
          <w:p w14:paraId="270A830F" w14:textId="77777777" w:rsidR="00DA6DF1" w:rsidRPr="00DA6DF1" w:rsidRDefault="00DA6DF1" w:rsidP="00DA6DF1">
            <w:pPr>
              <w:snapToGrid w:val="0"/>
              <w:spacing w:before="40" w:after="40" w:line="259" w:lineRule="auto"/>
              <w:ind w:leftChars="28" w:left="285" w:hangingChars="135" w:hanging="229"/>
              <w:rPr>
                <w:rFonts w:ascii="Calibri" w:eastAsia="細明體" w:hAnsi="Calibri" w:cs="Segoe UI"/>
                <w:i/>
                <w:sz w:val="17"/>
                <w:szCs w:val="22"/>
                <w:lang w:val="en-US" w:eastAsia="it-IT"/>
              </w:rPr>
            </w:pPr>
            <w:r w:rsidRPr="00DA6DF1">
              <w:rPr>
                <w:rFonts w:ascii="Calibri" w:eastAsia="細明體" w:hAnsi="Calibri" w:cs="Segoe UI"/>
                <w:i/>
                <w:sz w:val="17"/>
                <w:szCs w:val="22"/>
                <w:lang w:val="en-US" w:eastAsia="it-IT"/>
              </w:rPr>
              <w:tab/>
            </w:r>
            <w:r w:rsidRPr="00DA6DF1">
              <w:rPr>
                <w:rFonts w:ascii="Calibri" w:eastAsia="細明體" w:hAnsi="Calibri" w:cs="Segoe UI"/>
                <w:i/>
                <w:sz w:val="17"/>
                <w:szCs w:val="22"/>
                <w:lang w:val="en-US" w:eastAsia="it-IT"/>
              </w:rPr>
              <w:t>不</w:t>
            </w:r>
            <w:r w:rsidRPr="00DA6DF1">
              <w:rPr>
                <w:rFonts w:ascii="Calibri" w:eastAsia="細明體" w:hAnsi="Calibri" w:cs="Segoe UI"/>
                <w:i/>
                <w:sz w:val="17"/>
                <w:szCs w:val="22"/>
                <w:lang w:val="en-US" w:eastAsia="zh-TW"/>
              </w:rPr>
              <w:t>受</w:t>
            </w:r>
            <w:r w:rsidRPr="00DA6DF1">
              <w:rPr>
                <w:rFonts w:ascii="Calibri" w:eastAsia="細明體" w:hAnsi="Calibri" w:cs="Segoe UI"/>
                <w:i/>
                <w:sz w:val="17"/>
                <w:szCs w:val="22"/>
                <w:lang w:val="en-US" w:eastAsia="it-IT"/>
              </w:rPr>
              <w:t>第</w:t>
            </w:r>
            <w:r w:rsidRPr="00DA6DF1">
              <w:rPr>
                <w:rFonts w:ascii="Calibri" w:eastAsia="細明體" w:hAnsi="Calibri" w:cs="Segoe UI"/>
                <w:i/>
                <w:sz w:val="17"/>
                <w:szCs w:val="22"/>
                <w:lang w:val="en-US" w:eastAsia="it-IT"/>
              </w:rPr>
              <w:t>2</w:t>
            </w:r>
            <w:r w:rsidRPr="00DA6DF1">
              <w:rPr>
                <w:rFonts w:ascii="Calibri" w:eastAsia="細明體" w:hAnsi="Calibri" w:cs="Segoe UI"/>
                <w:i/>
                <w:sz w:val="17"/>
                <w:szCs w:val="22"/>
                <w:lang w:val="en-US" w:eastAsia="it-IT"/>
              </w:rPr>
              <w:t>行涵蓋的少數股東權益</w:t>
            </w:r>
          </w:p>
        </w:tc>
        <w:tc>
          <w:tcPr>
            <w:tcW w:w="993" w:type="dxa"/>
            <w:tcBorders>
              <w:top w:val="single" w:sz="4" w:space="0" w:color="auto"/>
              <w:left w:val="single" w:sz="4" w:space="0" w:color="auto"/>
              <w:bottom w:val="single" w:sz="4" w:space="0" w:color="auto"/>
              <w:right w:val="single" w:sz="4" w:space="0" w:color="auto"/>
            </w:tcBorders>
          </w:tcPr>
          <w:p w14:paraId="5952A1FA"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tcPr>
          <w:p w14:paraId="521CD141"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tcPr>
          <w:p w14:paraId="369497DC"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tcPr>
          <w:p w14:paraId="7D92A65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tcPr>
          <w:p w14:paraId="7E0351A1"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1EA77041"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4E19020C"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3</w:t>
            </w:r>
          </w:p>
        </w:tc>
        <w:tc>
          <w:tcPr>
            <w:tcW w:w="3261" w:type="dxa"/>
            <w:tcBorders>
              <w:top w:val="single" w:sz="4" w:space="0" w:color="auto"/>
              <w:left w:val="single" w:sz="4" w:space="0" w:color="auto"/>
              <w:bottom w:val="single" w:sz="4" w:space="0" w:color="auto"/>
              <w:right w:val="single" w:sz="4" w:space="0" w:color="auto"/>
            </w:tcBorders>
          </w:tcPr>
          <w:p w14:paraId="30705509" w14:textId="77777777" w:rsidR="00DA6DF1" w:rsidRPr="00DA6DF1" w:rsidRDefault="00DA6DF1" w:rsidP="00DA6DF1">
            <w:pPr>
              <w:snapToGrid w:val="0"/>
              <w:spacing w:before="40" w:after="40" w:line="259" w:lineRule="auto"/>
              <w:ind w:leftChars="28" w:left="285" w:hangingChars="135" w:hanging="229"/>
              <w:rPr>
                <w:rFonts w:ascii="Calibri" w:eastAsia="細明體" w:hAnsi="Calibri" w:cs="Segoe UI"/>
                <w:i/>
                <w:sz w:val="17"/>
                <w:szCs w:val="22"/>
                <w:lang w:val="en-US" w:eastAsia="it-IT"/>
              </w:rPr>
            </w:pPr>
            <w:r w:rsidRPr="00DA6DF1">
              <w:rPr>
                <w:rFonts w:ascii="Calibri" w:eastAsia="細明體" w:hAnsi="Calibri" w:cs="Segoe UI"/>
                <w:i/>
                <w:sz w:val="17"/>
                <w:szCs w:val="22"/>
                <w:lang w:val="en-US" w:eastAsia="it-IT"/>
              </w:rPr>
              <w:tab/>
            </w:r>
            <w:r w:rsidRPr="00DA6DF1">
              <w:rPr>
                <w:rFonts w:ascii="Calibri" w:eastAsia="細明體" w:hAnsi="Calibri" w:cs="Segoe UI"/>
                <w:i/>
                <w:sz w:val="17"/>
                <w:szCs w:val="22"/>
                <w:lang w:val="en-US" w:eastAsia="it-IT"/>
              </w:rPr>
              <w:t>其他資本票據</w:t>
            </w:r>
          </w:p>
        </w:tc>
        <w:tc>
          <w:tcPr>
            <w:tcW w:w="993" w:type="dxa"/>
            <w:tcBorders>
              <w:top w:val="single" w:sz="4" w:space="0" w:color="auto"/>
              <w:left w:val="single" w:sz="4" w:space="0" w:color="auto"/>
              <w:bottom w:val="single" w:sz="4" w:space="0" w:color="auto"/>
              <w:right w:val="single" w:sz="4" w:space="0" w:color="auto"/>
            </w:tcBorders>
          </w:tcPr>
          <w:p w14:paraId="607B0978"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tcPr>
          <w:p w14:paraId="6B271A35"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tcPr>
          <w:p w14:paraId="56254662"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tcPr>
          <w:p w14:paraId="6F0A036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tcPr>
          <w:p w14:paraId="6E32670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0B9324B0"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188A3912"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4</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09BC17A6"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val="en-US" w:eastAsia="it-IT"/>
              </w:rPr>
            </w:pPr>
            <w:r w:rsidRPr="00DA6DF1">
              <w:rPr>
                <w:rFonts w:ascii="Calibri" w:eastAsia="細明體" w:hAnsi="Calibri" w:cs="Segoe UI"/>
                <w:sz w:val="17"/>
                <w:szCs w:val="22"/>
                <w:lang w:eastAsia="it-IT"/>
              </w:rPr>
              <w:t>零售存款及小型企業借款</w:t>
            </w:r>
            <w:r w:rsidRPr="00DA6DF1">
              <w:rPr>
                <w:rFonts w:ascii="Calibri" w:eastAsia="細明體" w:hAnsi="Calibri" w:cs="Segoe UI"/>
                <w:sz w:val="17"/>
                <w:szCs w:val="22"/>
                <w:lang w:eastAsia="zh-TW"/>
              </w:rPr>
              <w:t>：</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0FE3DFF3"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341319F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BD6C98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9FF1D5B"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2B1624EB"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1A7CDCB2"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26F33B32"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5</w:t>
            </w:r>
          </w:p>
        </w:tc>
        <w:tc>
          <w:tcPr>
            <w:tcW w:w="3261" w:type="dxa"/>
            <w:tcBorders>
              <w:top w:val="single" w:sz="4" w:space="0" w:color="auto"/>
              <w:left w:val="single" w:sz="4" w:space="0" w:color="auto"/>
              <w:bottom w:val="single" w:sz="4" w:space="0" w:color="auto"/>
              <w:right w:val="single" w:sz="4" w:space="0" w:color="auto"/>
            </w:tcBorders>
          </w:tcPr>
          <w:p w14:paraId="5C32BD09" w14:textId="77777777"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細明體" w:hAnsi="Calibri" w:cs="Segoe UI"/>
                <w:i/>
                <w:sz w:val="17"/>
                <w:szCs w:val="22"/>
                <w:lang w:val="en-US" w:eastAsia="it-IT"/>
              </w:rPr>
              <w:t>穩定存款</w:t>
            </w: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218AF43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tcPr>
          <w:p w14:paraId="6AC88633"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tcPr>
          <w:p w14:paraId="29D13BA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tcPr>
          <w:p w14:paraId="5AEA4983"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tcPr>
          <w:p w14:paraId="69130A3E"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009C2B68"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432B48EB"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6</w:t>
            </w:r>
          </w:p>
        </w:tc>
        <w:tc>
          <w:tcPr>
            <w:tcW w:w="3261" w:type="dxa"/>
            <w:tcBorders>
              <w:top w:val="single" w:sz="4" w:space="0" w:color="auto"/>
              <w:left w:val="single" w:sz="4" w:space="0" w:color="auto"/>
              <w:bottom w:val="single" w:sz="4" w:space="0" w:color="auto"/>
              <w:right w:val="single" w:sz="4" w:space="0" w:color="auto"/>
            </w:tcBorders>
          </w:tcPr>
          <w:p w14:paraId="6E99384F" w14:textId="77777777"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細明體" w:hAnsi="Calibri" w:cs="Segoe UI"/>
                <w:i/>
                <w:sz w:val="17"/>
                <w:szCs w:val="22"/>
                <w:lang w:val="en-US" w:eastAsia="it-IT"/>
              </w:rPr>
              <w:t>較不穩定存款</w:t>
            </w: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07121FD8"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tcPr>
          <w:p w14:paraId="5D5C5FBC"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tcPr>
          <w:p w14:paraId="3BD186F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tcPr>
          <w:p w14:paraId="70337922"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tcPr>
          <w:p w14:paraId="01BB118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063F4368"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0239F394"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7</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0442211F"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新細明體" w:hAnsi="Calibri" w:cs="Segoe UI"/>
                <w:sz w:val="17"/>
                <w:szCs w:val="22"/>
                <w:lang w:eastAsia="zh-TW"/>
              </w:rPr>
              <w:t>批發借款：</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77FD56FE"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4CFF422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799F163"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7CE62A4"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73AB1B32"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68F21D51"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4409922C"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8</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E396DF6" w14:textId="77777777" w:rsidR="00DA6DF1" w:rsidRPr="00DA6DF1" w:rsidRDefault="00DA6DF1" w:rsidP="00DA6DF1">
            <w:pPr>
              <w:snapToGrid w:val="0"/>
              <w:spacing w:before="40" w:after="40" w:line="259" w:lineRule="auto"/>
              <w:ind w:leftChars="28" w:left="285" w:hangingChars="135" w:hanging="229"/>
              <w:rPr>
                <w:rFonts w:ascii="Calibri" w:eastAsia="細明體" w:hAnsi="Calibri" w:cs="Segoe UI"/>
                <w:i/>
                <w:sz w:val="17"/>
                <w:szCs w:val="22"/>
                <w:lang w:val="en-US" w:eastAsia="it-IT"/>
              </w:rPr>
            </w:pPr>
            <w:r w:rsidRPr="00DA6DF1">
              <w:rPr>
                <w:rFonts w:ascii="Calibri" w:eastAsia="細明體" w:hAnsi="Calibri" w:cs="Segoe UI"/>
                <w:i/>
                <w:sz w:val="17"/>
                <w:szCs w:val="22"/>
                <w:lang w:val="en-US" w:eastAsia="it-IT"/>
              </w:rPr>
              <w:tab/>
            </w:r>
            <w:r w:rsidRPr="00DA6DF1">
              <w:rPr>
                <w:rFonts w:ascii="Calibri" w:eastAsia="細明體" w:hAnsi="Calibri" w:cs="Segoe UI"/>
                <w:i/>
                <w:sz w:val="17"/>
                <w:szCs w:val="22"/>
                <w:lang w:val="en-US" w:eastAsia="it-IT"/>
              </w:rPr>
              <w:t>營運存款</w:t>
            </w: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3C3C574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71EC06C4"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CC893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FB8A7C5"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A09118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2C321267"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2B5B8BE3"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9</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21246AC" w14:textId="77777777" w:rsidR="00DA6DF1" w:rsidRPr="00DA6DF1" w:rsidRDefault="00DA6DF1" w:rsidP="00DA6DF1">
            <w:pPr>
              <w:snapToGrid w:val="0"/>
              <w:spacing w:before="40" w:after="40" w:line="259" w:lineRule="auto"/>
              <w:ind w:leftChars="28" w:left="285" w:hangingChars="135" w:hanging="229"/>
              <w:rPr>
                <w:rFonts w:ascii="Calibri" w:eastAsia="細明體" w:hAnsi="Calibri" w:cs="Segoe UI"/>
                <w:i/>
                <w:sz w:val="17"/>
                <w:szCs w:val="22"/>
                <w:lang w:val="en-US" w:eastAsia="it-IT"/>
              </w:rPr>
            </w:pPr>
            <w:r w:rsidRPr="00DA6DF1">
              <w:rPr>
                <w:rFonts w:ascii="Calibri" w:eastAsia="細明體" w:hAnsi="Calibri" w:cs="Segoe UI"/>
                <w:i/>
                <w:sz w:val="17"/>
                <w:szCs w:val="22"/>
                <w:lang w:val="en-US" w:eastAsia="it-IT"/>
              </w:rPr>
              <w:tab/>
            </w:r>
            <w:r w:rsidRPr="00DA6DF1">
              <w:rPr>
                <w:rFonts w:ascii="Calibri" w:eastAsia="細明體" w:hAnsi="Calibri" w:cs="Segoe UI"/>
                <w:i/>
                <w:sz w:val="17"/>
                <w:szCs w:val="22"/>
                <w:lang w:val="en-US" w:eastAsia="it-IT"/>
              </w:rPr>
              <w:t>其他批發借款</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2E321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01437A24"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B160E4"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DECBF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542BBF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197B0B9B"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17F8D62F"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10</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403D779B"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proofErr w:type="gramStart"/>
            <w:r w:rsidRPr="00DA6DF1">
              <w:rPr>
                <w:rFonts w:ascii="Calibri" w:eastAsia="新細明體" w:hAnsi="Calibri" w:cs="Segoe UI"/>
                <w:sz w:val="17"/>
                <w:szCs w:val="22"/>
                <w:lang w:eastAsia="zh-TW"/>
              </w:rPr>
              <w:t>具互有</w:t>
            </w:r>
            <w:proofErr w:type="gramEnd"/>
            <w:r w:rsidRPr="00DA6DF1">
              <w:rPr>
                <w:rFonts w:ascii="Calibri" w:eastAsia="新細明體" w:hAnsi="Calibri" w:cs="Segoe UI"/>
                <w:sz w:val="17"/>
                <w:szCs w:val="22"/>
                <w:lang w:eastAsia="zh-TW"/>
              </w:rPr>
              <w:t>關連資產作配對的負債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122476F"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6B1B23CB"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0B3924FA"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A4C329C"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483E4F75"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02E39EED"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2078F375"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11</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5B20812E"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新細明體" w:hAnsi="Calibri" w:cs="Segoe UI"/>
                <w:sz w:val="17"/>
                <w:szCs w:val="22"/>
                <w:lang w:eastAsia="zh-TW"/>
              </w:rPr>
              <w:t>其他負債：</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0908ABF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2CB9C593"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DDD5DA2"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05E09C2"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12A945B3"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18D041CD"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715494BB"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12</w:t>
            </w:r>
          </w:p>
        </w:tc>
        <w:tc>
          <w:tcPr>
            <w:tcW w:w="3261" w:type="dxa"/>
            <w:tcBorders>
              <w:top w:val="single" w:sz="4" w:space="0" w:color="auto"/>
              <w:left w:val="single" w:sz="4" w:space="0" w:color="auto"/>
              <w:bottom w:val="single" w:sz="4" w:space="0" w:color="auto"/>
              <w:right w:val="single" w:sz="4" w:space="0" w:color="auto"/>
            </w:tcBorders>
          </w:tcPr>
          <w:p w14:paraId="54DAB156" w14:textId="77777777"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val="it-IT" w:eastAsia="it-IT"/>
              </w:rPr>
            </w:pPr>
            <w:r w:rsidRPr="00DA6DF1">
              <w:rPr>
                <w:rFonts w:ascii="Calibri" w:eastAsia="新細明體" w:hAnsi="Calibri" w:cs="Segoe UI"/>
                <w:i/>
                <w:sz w:val="17"/>
                <w:szCs w:val="22"/>
                <w:lang w:eastAsia="it-IT"/>
              </w:rPr>
              <w:tab/>
            </w:r>
            <w:r w:rsidRPr="00DA6DF1">
              <w:rPr>
                <w:rFonts w:ascii="Calibri" w:eastAsia="細明體" w:hAnsi="Calibri" w:cs="Segoe UI"/>
                <w:i/>
                <w:sz w:val="17"/>
                <w:szCs w:val="22"/>
                <w:lang w:val="en-US" w:eastAsia="it-IT"/>
              </w:rPr>
              <w:t>衍生工具負債</w:t>
            </w:r>
            <w:r w:rsidRPr="00DA6DF1">
              <w:rPr>
                <w:rFonts w:ascii="Calibri" w:eastAsia="細明體" w:hAnsi="Calibri" w:cs="Segoe UI"/>
                <w:i/>
                <w:sz w:val="17"/>
                <w:szCs w:val="22"/>
                <w:lang w:val="en-US" w:eastAsia="zh-TW"/>
              </w:rPr>
              <w:t>淨額</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D21445"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6A6087B6"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1443397F"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72017195"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808080"/>
          </w:tcPr>
          <w:p w14:paraId="3C6F670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2B4FED1C"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0879092D"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13</w:t>
            </w:r>
          </w:p>
        </w:tc>
        <w:tc>
          <w:tcPr>
            <w:tcW w:w="3261" w:type="dxa"/>
            <w:tcBorders>
              <w:top w:val="single" w:sz="4" w:space="0" w:color="auto"/>
              <w:left w:val="single" w:sz="4" w:space="0" w:color="auto"/>
              <w:bottom w:val="single" w:sz="4" w:space="0" w:color="auto"/>
              <w:right w:val="single" w:sz="4" w:space="0" w:color="auto"/>
            </w:tcBorders>
          </w:tcPr>
          <w:p w14:paraId="2661C390" w14:textId="77777777"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無計入上述類別的所有其他借款及負債</w:t>
            </w:r>
          </w:p>
        </w:tc>
        <w:tc>
          <w:tcPr>
            <w:tcW w:w="993" w:type="dxa"/>
            <w:tcBorders>
              <w:top w:val="single" w:sz="4" w:space="0" w:color="auto"/>
              <w:left w:val="single" w:sz="4" w:space="0" w:color="auto"/>
              <w:bottom w:val="single" w:sz="4" w:space="0" w:color="auto"/>
              <w:right w:val="single" w:sz="4" w:space="0" w:color="auto"/>
            </w:tcBorders>
          </w:tcPr>
          <w:p w14:paraId="0F983858"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tcPr>
          <w:p w14:paraId="5DB630F4"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tcPr>
          <w:p w14:paraId="3180E831"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tcPr>
          <w:p w14:paraId="39587AB1"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tcPr>
          <w:p w14:paraId="12679871"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7792B92F" w14:textId="77777777" w:rsidTr="0029639E">
        <w:trPr>
          <w:cantSplit/>
          <w:trHeight w:val="270"/>
        </w:trPr>
        <w:tc>
          <w:tcPr>
            <w:tcW w:w="565" w:type="dxa"/>
            <w:tcBorders>
              <w:top w:val="single" w:sz="4" w:space="0" w:color="auto"/>
              <w:left w:val="nil"/>
              <w:bottom w:val="single" w:sz="4" w:space="0" w:color="auto"/>
              <w:right w:val="single" w:sz="4" w:space="0" w:color="auto"/>
            </w:tcBorders>
          </w:tcPr>
          <w:p w14:paraId="34481EA5"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14</w:t>
            </w:r>
          </w:p>
        </w:tc>
        <w:tc>
          <w:tcPr>
            <w:tcW w:w="3261" w:type="dxa"/>
            <w:tcBorders>
              <w:top w:val="single" w:sz="4" w:space="0" w:color="auto"/>
              <w:left w:val="single" w:sz="4" w:space="0" w:color="auto"/>
              <w:bottom w:val="single" w:sz="4" w:space="0" w:color="auto"/>
              <w:right w:val="single" w:sz="4" w:space="0" w:color="auto"/>
            </w:tcBorders>
          </w:tcPr>
          <w:p w14:paraId="4DCC60C1" w14:textId="77777777" w:rsidR="00DA6DF1" w:rsidRPr="00DA6DF1" w:rsidDel="001C71B9" w:rsidRDefault="00DA6DF1" w:rsidP="00DA6DF1">
            <w:pPr>
              <w:snapToGrid w:val="0"/>
              <w:spacing w:before="40" w:after="40" w:line="259" w:lineRule="auto"/>
              <w:ind w:left="57" w:rightChars="71" w:right="142"/>
              <w:rPr>
                <w:rFonts w:ascii="Calibri" w:eastAsia="新細明體" w:hAnsi="Calibri" w:cs="Segoe UI"/>
                <w:i/>
                <w:sz w:val="17"/>
                <w:szCs w:val="22"/>
                <w:lang w:eastAsia="it-IT"/>
              </w:rPr>
            </w:pPr>
            <w:r w:rsidRPr="00DA6DF1">
              <w:rPr>
                <w:rFonts w:ascii="Calibri" w:eastAsia="新細明體" w:hAnsi="Calibri" w:cs="Segoe UI"/>
                <w:b/>
                <w:sz w:val="17"/>
                <w:szCs w:val="22"/>
                <w:lang w:eastAsia="it-IT"/>
              </w:rPr>
              <w:t>ASF</w:t>
            </w:r>
            <w:r w:rsidRPr="00DA6DF1">
              <w:rPr>
                <w:rFonts w:ascii="Calibri" w:eastAsia="新細明體" w:hAnsi="Calibri" w:cs="Segoe UI"/>
                <w:b/>
                <w:sz w:val="17"/>
                <w:szCs w:val="22"/>
                <w:lang w:eastAsia="zh-TW"/>
              </w:rPr>
              <w:t>總額</w:t>
            </w: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34A8AA86"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45A2AB6C"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0C9738C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206A35B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tcPr>
          <w:p w14:paraId="259C486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187BD1D1" w14:textId="77777777" w:rsidTr="0029639E">
        <w:trPr>
          <w:cantSplit/>
          <w:trHeight w:val="270"/>
        </w:trPr>
        <w:tc>
          <w:tcPr>
            <w:tcW w:w="3826" w:type="dxa"/>
            <w:gridSpan w:val="2"/>
            <w:tcBorders>
              <w:top w:val="single" w:sz="4" w:space="0" w:color="auto"/>
              <w:left w:val="nil"/>
              <w:bottom w:val="single" w:sz="4" w:space="0" w:color="auto"/>
              <w:right w:val="nil"/>
            </w:tcBorders>
            <w:shd w:val="clear" w:color="auto" w:fill="A6A6A6"/>
          </w:tcPr>
          <w:p w14:paraId="52D7467F" w14:textId="77777777" w:rsidR="00DA6DF1" w:rsidRPr="00DA6DF1" w:rsidRDefault="00DA6DF1" w:rsidP="00D540EB">
            <w:pPr>
              <w:numPr>
                <w:ilvl w:val="0"/>
                <w:numId w:val="60"/>
              </w:numPr>
              <w:snapToGrid w:val="0"/>
              <w:spacing w:before="40" w:after="40" w:line="259" w:lineRule="auto"/>
              <w:ind w:rightChars="71" w:right="142"/>
              <w:rPr>
                <w:rFonts w:ascii="Calibri" w:eastAsia="新細明體" w:hAnsi="Calibri" w:cs="Segoe UI"/>
                <w:b/>
                <w:bCs/>
                <w:sz w:val="22"/>
                <w:szCs w:val="22"/>
                <w:lang w:eastAsia="zh-TW"/>
              </w:rPr>
            </w:pPr>
            <w:r w:rsidRPr="00DA6DF1">
              <w:rPr>
                <w:rFonts w:ascii="Calibri" w:eastAsia="新細明體" w:hAnsi="Calibri" w:cs="Segoe UI"/>
                <w:b/>
                <w:sz w:val="17"/>
                <w:szCs w:val="22"/>
                <w:lang w:eastAsia="it-IT"/>
              </w:rPr>
              <w:t>RSF</w:t>
            </w:r>
            <w:r w:rsidRPr="00DA6DF1">
              <w:rPr>
                <w:rFonts w:ascii="Calibri" w:eastAsia="新細明體" w:hAnsi="Calibri" w:cs="Segoe UI"/>
                <w:b/>
                <w:sz w:val="17"/>
                <w:szCs w:val="22"/>
                <w:lang w:eastAsia="zh-TW"/>
              </w:rPr>
              <w:t>項目</w:t>
            </w:r>
          </w:p>
        </w:tc>
        <w:tc>
          <w:tcPr>
            <w:tcW w:w="993" w:type="dxa"/>
            <w:tcBorders>
              <w:top w:val="single" w:sz="4" w:space="0" w:color="auto"/>
              <w:left w:val="nil"/>
              <w:bottom w:val="single" w:sz="4" w:space="0" w:color="auto"/>
              <w:right w:val="nil"/>
            </w:tcBorders>
            <w:shd w:val="clear" w:color="auto" w:fill="A6A6A6"/>
          </w:tcPr>
          <w:p w14:paraId="27B84AE2"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419" w:type="dxa"/>
            <w:tcBorders>
              <w:top w:val="single" w:sz="4" w:space="0" w:color="auto"/>
              <w:left w:val="nil"/>
              <w:bottom w:val="single" w:sz="4" w:space="0" w:color="auto"/>
              <w:right w:val="nil"/>
            </w:tcBorders>
            <w:shd w:val="clear" w:color="auto" w:fill="A6A6A6"/>
          </w:tcPr>
          <w:p w14:paraId="641D844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1134" w:type="dxa"/>
            <w:tcBorders>
              <w:top w:val="single" w:sz="4" w:space="0" w:color="auto"/>
              <w:left w:val="nil"/>
              <w:bottom w:val="single" w:sz="4" w:space="0" w:color="auto"/>
              <w:right w:val="nil"/>
            </w:tcBorders>
            <w:shd w:val="clear" w:color="auto" w:fill="A6A6A6"/>
          </w:tcPr>
          <w:p w14:paraId="5B68C999"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851" w:type="dxa"/>
            <w:tcBorders>
              <w:top w:val="single" w:sz="4" w:space="0" w:color="auto"/>
              <w:left w:val="nil"/>
              <w:bottom w:val="single" w:sz="4" w:space="0" w:color="auto"/>
              <w:right w:val="nil"/>
            </w:tcBorders>
            <w:shd w:val="clear" w:color="auto" w:fill="A6A6A6"/>
          </w:tcPr>
          <w:p w14:paraId="5E0ACDB1"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nil"/>
              <w:bottom w:val="single" w:sz="4" w:space="0" w:color="auto"/>
              <w:right w:val="single" w:sz="4" w:space="0" w:color="auto"/>
            </w:tcBorders>
            <w:shd w:val="clear" w:color="auto" w:fill="A6A6A6"/>
          </w:tcPr>
          <w:p w14:paraId="5F81FAB5"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63F2C1F5"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612CED28"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15</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1392F425"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新細明體" w:hAnsi="Calibri" w:cs="Segoe UI"/>
                <w:sz w:val="17"/>
                <w:szCs w:val="22"/>
                <w:lang w:eastAsia="zh-TW"/>
              </w:rPr>
              <w:t>就</w:t>
            </w:r>
            <w:r w:rsidRPr="00DA6DF1">
              <w:rPr>
                <w:rFonts w:ascii="Calibri" w:eastAsia="新細明體" w:hAnsi="Calibri" w:cs="Segoe UI"/>
                <w:sz w:val="17"/>
                <w:szCs w:val="22"/>
                <w:lang w:eastAsia="it-IT"/>
              </w:rPr>
              <w:t>NSFR</w:t>
            </w:r>
            <w:r w:rsidRPr="00DA6DF1">
              <w:rPr>
                <w:rFonts w:ascii="Calibri" w:eastAsia="新細明體" w:hAnsi="Calibri" w:cs="Segoe UI"/>
                <w:sz w:val="17"/>
                <w:szCs w:val="22"/>
                <w:lang w:eastAsia="zh-TW"/>
              </w:rPr>
              <w:t>而言的</w:t>
            </w:r>
            <w:r w:rsidRPr="00DA6DF1">
              <w:rPr>
                <w:rFonts w:ascii="Calibri" w:eastAsia="新細明體" w:hAnsi="Calibri" w:cs="Segoe UI"/>
                <w:sz w:val="17"/>
                <w:szCs w:val="22"/>
                <w:lang w:eastAsia="zh-TW"/>
              </w:rPr>
              <w:t>HQLA</w:t>
            </w:r>
            <w:r w:rsidRPr="00DA6DF1">
              <w:rPr>
                <w:rFonts w:ascii="Calibri" w:eastAsia="新細明體" w:hAnsi="Calibri" w:cs="Segoe UI"/>
                <w:sz w:val="17"/>
                <w:szCs w:val="22"/>
                <w:lang w:eastAsia="zh-TW"/>
              </w:rPr>
              <w:t>總額</w:t>
            </w:r>
          </w:p>
        </w:tc>
        <w:tc>
          <w:tcPr>
            <w:tcW w:w="4397" w:type="dxa"/>
            <w:gridSpan w:val="4"/>
            <w:tcBorders>
              <w:top w:val="single" w:sz="4" w:space="0" w:color="auto"/>
              <w:left w:val="single" w:sz="4" w:space="0" w:color="auto"/>
              <w:bottom w:val="single" w:sz="4" w:space="0" w:color="auto"/>
              <w:right w:val="single" w:sz="4" w:space="0" w:color="auto"/>
            </w:tcBorders>
            <w:shd w:val="clear" w:color="auto" w:fill="D9D9D9"/>
          </w:tcPr>
          <w:p w14:paraId="07ACF66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1175816C"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6F0616B9"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7307B6E8"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16</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0A00D97F" w14:textId="7ACBF8E4"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新細明體" w:hAnsi="Calibri" w:cs="Segoe UI"/>
                <w:sz w:val="17"/>
                <w:szCs w:val="22"/>
                <w:lang w:eastAsia="zh-TW"/>
              </w:rPr>
              <w:t>就營運而言存放於其他金融機構的存款</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5DA4905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0D41293A"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7D75995"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B9475DB"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497A2C66"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7F1C3281"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57A2B6F5"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17</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1851C9AC"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新細明體" w:hAnsi="Calibri" w:cs="Segoe UI"/>
                <w:sz w:val="17"/>
                <w:szCs w:val="22"/>
                <w:lang w:eastAsia="zh-TW"/>
              </w:rPr>
              <w:t>依期清償貸款及證券：</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4B277D8"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1DAC6154"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91E8E68"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44A2325"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4B33038E"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44B3F26A"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77CA697C"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18</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B3DA62C" w14:textId="257A049F"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借予金融機構的以</w:t>
            </w:r>
            <w:r w:rsidRPr="00DA6DF1">
              <w:rPr>
                <w:rFonts w:ascii="Calibri" w:eastAsia="新細明體" w:hAnsi="Calibri" w:cs="Segoe UI"/>
                <w:i/>
                <w:sz w:val="17"/>
                <w:szCs w:val="22"/>
                <w:lang w:eastAsia="it-IT"/>
              </w:rPr>
              <w:t>1</w:t>
            </w:r>
            <w:r w:rsidRPr="00DA6DF1">
              <w:rPr>
                <w:rFonts w:ascii="Calibri" w:eastAsia="新細明體" w:hAnsi="Calibri" w:cs="Segoe UI"/>
                <w:i/>
                <w:sz w:val="17"/>
                <w:szCs w:val="22"/>
                <w:lang w:eastAsia="zh-TW"/>
              </w:rPr>
              <w:t>級</w:t>
            </w:r>
            <w:r w:rsidRPr="00DA6DF1">
              <w:rPr>
                <w:rFonts w:ascii="Calibri" w:eastAsia="新細明體" w:hAnsi="Calibri" w:cs="Segoe UI"/>
                <w:i/>
                <w:sz w:val="17"/>
                <w:szCs w:val="22"/>
                <w:lang w:eastAsia="it-IT"/>
              </w:rPr>
              <w:t>HQLA</w:t>
            </w:r>
            <w:r w:rsidRPr="00DA6DF1">
              <w:rPr>
                <w:rFonts w:ascii="Calibri" w:eastAsia="新細明體" w:hAnsi="Calibri" w:cs="Segoe UI"/>
                <w:i/>
                <w:sz w:val="17"/>
                <w:szCs w:val="22"/>
                <w:lang w:eastAsia="zh-TW"/>
              </w:rPr>
              <w:t>作</w:t>
            </w:r>
            <w:r w:rsidR="00DA4700">
              <w:rPr>
                <w:rFonts w:ascii="Calibri" w:eastAsia="新細明體" w:hAnsi="Calibri" w:cs="Segoe UI" w:hint="eastAsia"/>
                <w:i/>
                <w:sz w:val="17"/>
                <w:szCs w:val="22"/>
                <w:lang w:eastAsia="zh-HK"/>
              </w:rPr>
              <w:t>為</w:t>
            </w:r>
            <w:r w:rsidR="00F56A70">
              <w:rPr>
                <w:rFonts w:ascii="Calibri" w:eastAsia="新細明體" w:hAnsi="Calibri" w:cs="Segoe UI" w:hint="eastAsia"/>
                <w:i/>
                <w:sz w:val="17"/>
                <w:szCs w:val="22"/>
                <w:lang w:eastAsia="zh-HK"/>
              </w:rPr>
              <w:t>保證</w:t>
            </w:r>
            <w:r w:rsidRPr="00DA6DF1">
              <w:rPr>
                <w:rFonts w:ascii="Calibri" w:eastAsia="新細明體" w:hAnsi="Calibri" w:cs="Segoe UI"/>
                <w:i/>
                <w:sz w:val="17"/>
                <w:szCs w:val="22"/>
                <w:lang w:eastAsia="zh-TW"/>
              </w:rPr>
              <w:t>的依期清償貸款</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1C9DA7"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1FD90E4D"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06528C"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E99B60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9E8027B"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29F26C2B"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46679C28"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19</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FDE8798" w14:textId="4B8C99D1"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借予金融機構的以非</w:t>
            </w:r>
            <w:r w:rsidRPr="00DA6DF1">
              <w:rPr>
                <w:rFonts w:ascii="Calibri" w:eastAsia="新細明體" w:hAnsi="Calibri" w:cs="Segoe UI"/>
                <w:i/>
                <w:sz w:val="17"/>
                <w:szCs w:val="22"/>
                <w:lang w:eastAsia="it-IT"/>
              </w:rPr>
              <w:t>1</w:t>
            </w:r>
            <w:r w:rsidRPr="00DA6DF1">
              <w:rPr>
                <w:rFonts w:ascii="Calibri" w:eastAsia="新細明體" w:hAnsi="Calibri" w:cs="Segoe UI"/>
                <w:i/>
                <w:sz w:val="17"/>
                <w:szCs w:val="22"/>
                <w:lang w:eastAsia="zh-TW"/>
              </w:rPr>
              <w:t>級</w:t>
            </w:r>
            <w:r w:rsidRPr="00DA6DF1">
              <w:rPr>
                <w:rFonts w:ascii="Calibri" w:eastAsia="新細明體" w:hAnsi="Calibri" w:cs="Segoe UI"/>
                <w:i/>
                <w:sz w:val="17"/>
                <w:szCs w:val="22"/>
                <w:lang w:eastAsia="it-IT"/>
              </w:rPr>
              <w:t>HQLA</w:t>
            </w:r>
            <w:r w:rsidRPr="00DA6DF1">
              <w:rPr>
                <w:rFonts w:ascii="Calibri" w:eastAsia="新細明體" w:hAnsi="Calibri" w:cs="Segoe UI"/>
                <w:i/>
                <w:sz w:val="17"/>
                <w:szCs w:val="22"/>
                <w:lang w:eastAsia="zh-TW"/>
              </w:rPr>
              <w:t>作</w:t>
            </w:r>
            <w:r w:rsidR="00DA4700">
              <w:rPr>
                <w:rFonts w:ascii="Calibri" w:eastAsia="新細明體" w:hAnsi="Calibri" w:cs="Segoe UI" w:hint="eastAsia"/>
                <w:i/>
                <w:sz w:val="17"/>
                <w:szCs w:val="22"/>
                <w:lang w:eastAsia="zh-HK"/>
              </w:rPr>
              <w:t>為</w:t>
            </w:r>
            <w:r w:rsidR="00F56A70">
              <w:rPr>
                <w:rFonts w:ascii="Calibri" w:eastAsia="新細明體" w:hAnsi="Calibri" w:cs="Segoe UI" w:hint="eastAsia"/>
                <w:i/>
                <w:sz w:val="17"/>
                <w:szCs w:val="22"/>
                <w:lang w:eastAsia="zh-HK"/>
              </w:rPr>
              <w:t>保證</w:t>
            </w:r>
            <w:r w:rsidRPr="00DA6DF1">
              <w:rPr>
                <w:rFonts w:ascii="Calibri" w:eastAsia="新細明體" w:hAnsi="Calibri" w:cs="Segoe UI"/>
                <w:i/>
                <w:sz w:val="17"/>
                <w:szCs w:val="22"/>
                <w:lang w:eastAsia="zh-TW"/>
              </w:rPr>
              <w:t>的依期清償貸款，及借予金融機構的無</w:t>
            </w:r>
            <w:r w:rsidR="00DA4700">
              <w:rPr>
                <w:rFonts w:ascii="Calibri" w:eastAsia="新細明體" w:hAnsi="Calibri" w:cs="Segoe UI" w:hint="eastAsia"/>
                <w:i/>
                <w:sz w:val="17"/>
                <w:szCs w:val="22"/>
                <w:lang w:eastAsia="zh-HK"/>
              </w:rPr>
              <w:t>保證</w:t>
            </w:r>
            <w:r w:rsidRPr="00DA6DF1">
              <w:rPr>
                <w:rFonts w:ascii="Calibri" w:eastAsia="新細明體" w:hAnsi="Calibri" w:cs="Segoe UI"/>
                <w:i/>
                <w:sz w:val="17"/>
                <w:szCs w:val="22"/>
                <w:lang w:eastAsia="zh-TW"/>
              </w:rPr>
              <w:t>的依期清償貸款</w:t>
            </w:r>
            <w:r w:rsidRPr="00DA6DF1">
              <w:rPr>
                <w:rFonts w:ascii="Calibri" w:eastAsia="新細明體" w:hAnsi="Calibri" w:cs="Segoe UI"/>
                <w:i/>
                <w:sz w:val="17"/>
                <w:szCs w:val="22"/>
                <w:lang w:eastAsia="it-IT"/>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049C9F"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6F967C3"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0E822D"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A4C61F"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85181EE"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44F61689"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542C65E4"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64DC57A" w14:textId="77777777"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eastAsia="zh-TW"/>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借予非金融</w:t>
            </w:r>
            <w:proofErr w:type="gramStart"/>
            <w:r w:rsidRPr="00DA6DF1">
              <w:rPr>
                <w:rFonts w:ascii="Calibri" w:eastAsia="新細明體" w:hAnsi="Calibri" w:cs="Segoe UI"/>
                <w:i/>
                <w:sz w:val="17"/>
                <w:szCs w:val="22"/>
                <w:lang w:eastAsia="zh-TW"/>
              </w:rPr>
              <w:t>類法團客戶</w:t>
            </w:r>
            <w:proofErr w:type="gramEnd"/>
            <w:r w:rsidRPr="00DA6DF1">
              <w:rPr>
                <w:rFonts w:ascii="Calibri" w:eastAsia="新細明體" w:hAnsi="Calibri" w:cs="Segoe UI"/>
                <w:i/>
                <w:sz w:val="17"/>
                <w:szCs w:val="22"/>
                <w:lang w:eastAsia="zh-TW"/>
              </w:rPr>
              <w:t>、零售與小型企業客戶、官方實體、為外匯基金帳戶行事的金融管理專員、中央銀行及公營單位的依期清償貸款（依期清償住宅按揭貸款除外），其中：</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09DB782"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2D95B611"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767AB9"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4EEF29"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639DD93"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2A9D9097"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2FCB6036"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21</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836B450" w14:textId="77777777" w:rsidR="00DA6DF1" w:rsidRPr="00DA6DF1" w:rsidRDefault="00DA6DF1" w:rsidP="00DA6DF1">
            <w:pPr>
              <w:snapToGrid w:val="0"/>
              <w:spacing w:before="40" w:after="40" w:line="259" w:lineRule="auto"/>
              <w:ind w:leftChars="144" w:left="570" w:rightChars="71" w:right="142" w:hangingChars="166" w:hanging="282"/>
              <w:rPr>
                <w:rFonts w:ascii="Calibri" w:eastAsia="新細明體" w:hAnsi="Calibri" w:cs="Segoe UI"/>
                <w:i/>
                <w:sz w:val="17"/>
                <w:szCs w:val="22"/>
                <w:lang w:eastAsia="zh-TW"/>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在</w:t>
            </w:r>
            <w:r w:rsidRPr="00DA6DF1">
              <w:rPr>
                <w:rFonts w:ascii="Calibri" w:eastAsia="新細明體" w:hAnsi="Calibri" w:cs="Segoe UI"/>
                <w:i/>
                <w:sz w:val="17"/>
                <w:szCs w:val="22"/>
                <w:lang w:eastAsia="it-IT"/>
              </w:rPr>
              <w:t>STC</w:t>
            </w:r>
            <w:r w:rsidRPr="00DA6DF1">
              <w:rPr>
                <w:rFonts w:ascii="Calibri" w:eastAsia="新細明體" w:hAnsi="Calibri" w:cs="Segoe UI"/>
                <w:i/>
                <w:sz w:val="17"/>
                <w:szCs w:val="22"/>
                <w:lang w:eastAsia="zh-TW"/>
              </w:rPr>
              <w:t>計算法下風險權重少於或等於</w:t>
            </w:r>
            <w:r w:rsidRPr="00DA6DF1">
              <w:rPr>
                <w:rFonts w:ascii="Calibri" w:eastAsia="新細明體" w:hAnsi="Calibri" w:cs="Segoe UI"/>
                <w:i/>
                <w:sz w:val="17"/>
                <w:szCs w:val="22"/>
                <w:lang w:eastAsia="zh-TW"/>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5B0197C"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FCE7B44"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5BDC03"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141FAD"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101FB7"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2520A070"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79C0B3EA"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22</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0C307A6" w14:textId="77777777" w:rsidR="00DA6DF1" w:rsidRPr="00DA6DF1" w:rsidRDefault="00DA6DF1" w:rsidP="00DA6DF1">
            <w:pPr>
              <w:snapToGrid w:val="0"/>
              <w:spacing w:before="40" w:after="40" w:line="259" w:lineRule="auto"/>
              <w:ind w:leftChars="28" w:left="285"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依期清償住宅按揭貸款，其中：</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095E06"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368C34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175B7E"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C1DEA89"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2BB43B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2B21B282" w14:textId="77777777" w:rsidTr="0029639E">
        <w:trPr>
          <w:cantSplit/>
          <w:trHeight w:val="319"/>
        </w:trPr>
        <w:tc>
          <w:tcPr>
            <w:tcW w:w="565" w:type="dxa"/>
            <w:tcBorders>
              <w:top w:val="single" w:sz="4" w:space="0" w:color="auto"/>
              <w:left w:val="nil"/>
              <w:bottom w:val="single" w:sz="4" w:space="0" w:color="auto"/>
              <w:right w:val="single" w:sz="4" w:space="0" w:color="auto"/>
            </w:tcBorders>
            <w:shd w:val="clear" w:color="auto" w:fill="FFFFFF"/>
          </w:tcPr>
          <w:p w14:paraId="6FB7B8EF"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23</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63E9744" w14:textId="77777777" w:rsidR="00DA6DF1" w:rsidRPr="00DA6DF1" w:rsidRDefault="00DA6DF1" w:rsidP="00DA6DF1">
            <w:pPr>
              <w:snapToGrid w:val="0"/>
              <w:spacing w:before="40" w:after="40" w:line="259" w:lineRule="auto"/>
              <w:ind w:leftChars="144" w:left="570" w:rightChars="71" w:right="142" w:hangingChars="166" w:hanging="282"/>
              <w:rPr>
                <w:rFonts w:ascii="Calibri" w:eastAsia="新細明體" w:hAnsi="Calibri" w:cs="Segoe UI"/>
                <w:sz w:val="17"/>
                <w:szCs w:val="22"/>
                <w:lang w:val="en-US"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在</w:t>
            </w:r>
            <w:r w:rsidRPr="00DA6DF1">
              <w:rPr>
                <w:rFonts w:ascii="Calibri" w:eastAsia="新細明體" w:hAnsi="Calibri" w:cs="Segoe UI"/>
                <w:i/>
                <w:sz w:val="17"/>
                <w:szCs w:val="22"/>
                <w:lang w:eastAsia="it-IT"/>
              </w:rPr>
              <w:t>STC</w:t>
            </w:r>
            <w:r w:rsidRPr="00DA6DF1">
              <w:rPr>
                <w:rFonts w:ascii="Calibri" w:eastAsia="新細明體" w:hAnsi="Calibri" w:cs="Segoe UI"/>
                <w:i/>
                <w:sz w:val="17"/>
                <w:szCs w:val="22"/>
                <w:lang w:eastAsia="zh-TW"/>
              </w:rPr>
              <w:t>計算法下風險權重少於或等於</w:t>
            </w:r>
            <w:r w:rsidRPr="00DA6DF1">
              <w:rPr>
                <w:rFonts w:ascii="Calibri" w:eastAsia="新細明體" w:hAnsi="Calibri" w:cs="Segoe UI"/>
                <w:i/>
                <w:sz w:val="17"/>
                <w:szCs w:val="22"/>
                <w:lang w:eastAsia="zh-TW"/>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3E0203"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17E0261A"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227456"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D5C641"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23A29A"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56F96374"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46C9E06B"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24</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9B355BE" w14:textId="77777777" w:rsidR="00DA6DF1" w:rsidRPr="00DA6DF1" w:rsidRDefault="00DA6DF1" w:rsidP="00DA6DF1">
            <w:pPr>
              <w:snapToGrid w:val="0"/>
              <w:spacing w:before="40" w:after="40" w:line="259" w:lineRule="auto"/>
              <w:ind w:leftChars="28" w:left="285" w:hangingChars="135" w:hanging="229"/>
              <w:rPr>
                <w:rFonts w:ascii="Calibri" w:eastAsia="新細明體" w:hAnsi="Calibri" w:cs="Segoe UI"/>
                <w:sz w:val="17"/>
                <w:szCs w:val="22"/>
                <w:lang w:val="en-US"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不是</w:t>
            </w:r>
            <w:proofErr w:type="gramStart"/>
            <w:r w:rsidRPr="00DA6DF1">
              <w:rPr>
                <w:rFonts w:ascii="Calibri" w:eastAsia="新細明體" w:hAnsi="Calibri" w:cs="Segoe UI"/>
                <w:i/>
                <w:sz w:val="17"/>
                <w:szCs w:val="22"/>
                <w:lang w:eastAsia="zh-TW"/>
              </w:rPr>
              <w:t>違責及</w:t>
            </w:r>
            <w:proofErr w:type="gramEnd"/>
            <w:r w:rsidRPr="00DA6DF1">
              <w:rPr>
                <w:rFonts w:ascii="Calibri" w:eastAsia="新細明體" w:hAnsi="Calibri" w:cs="Segoe UI"/>
                <w:i/>
                <w:sz w:val="17"/>
                <w:szCs w:val="22"/>
                <w:lang w:eastAsia="zh-TW"/>
              </w:rPr>
              <w:t>不合資格成為</w:t>
            </w:r>
            <w:r w:rsidRPr="00DA6DF1">
              <w:rPr>
                <w:rFonts w:ascii="Calibri" w:eastAsia="新細明體" w:hAnsi="Calibri" w:cs="Segoe UI"/>
                <w:i/>
                <w:sz w:val="17"/>
                <w:szCs w:val="22"/>
                <w:lang w:eastAsia="it-IT"/>
              </w:rPr>
              <w:t>HQLA</w:t>
            </w:r>
            <w:r w:rsidRPr="00DA6DF1">
              <w:rPr>
                <w:rFonts w:ascii="Calibri" w:eastAsia="新細明體" w:hAnsi="Calibri" w:cs="Segoe UI"/>
                <w:i/>
                <w:sz w:val="17"/>
                <w:szCs w:val="22"/>
                <w:lang w:eastAsia="zh-TW"/>
              </w:rPr>
              <w:t>的證券，包括交易所買賣股權</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FED30F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97B5C0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854CBC"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DD8EE1"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BF2BA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47ADA99D"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38693A2C"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25</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37E98C71"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細明體" w:hAnsi="Calibri" w:cs="Segoe UI"/>
                <w:sz w:val="17"/>
                <w:szCs w:val="22"/>
                <w:lang w:eastAsia="it-IT"/>
              </w:rPr>
              <w:t>具互有關連負債作配對的資產</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5BD9874"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258E65F8"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2EAAE0A"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0239264"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4FB40196"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4B80EAE3"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6C50C8DE"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26</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7236EEDF"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新細明體" w:hAnsi="Calibri" w:cs="Segoe UI"/>
                <w:sz w:val="17"/>
                <w:szCs w:val="22"/>
                <w:lang w:eastAsia="zh-TW"/>
              </w:rPr>
              <w:t>其他資產：</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4076D587"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D9D9D9"/>
          </w:tcPr>
          <w:p w14:paraId="29EA60E7"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F9454FD"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88D23F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79A8603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03842BE4"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2BBFE181"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27</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B3ADFEF" w14:textId="77777777" w:rsidR="00DA6DF1" w:rsidRPr="00DA6DF1" w:rsidRDefault="00DA6DF1" w:rsidP="00DA6DF1">
            <w:pPr>
              <w:snapToGrid w:val="0"/>
              <w:spacing w:before="40" w:after="40" w:line="259" w:lineRule="auto"/>
              <w:ind w:leftChars="28" w:left="285" w:rightChars="71" w:right="142"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實物交易商品，包括黃金</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CADDE5E"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55389071"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760A2626"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7E667D9B"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CEDA29D"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3B4DFB31"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00948EEB"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28</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E3B6C9D" w14:textId="77777777" w:rsidR="00DA6DF1" w:rsidRPr="00DA6DF1" w:rsidRDefault="00DA6DF1" w:rsidP="00DA6DF1">
            <w:pPr>
              <w:snapToGrid w:val="0"/>
              <w:spacing w:before="40" w:after="40" w:line="259" w:lineRule="auto"/>
              <w:ind w:leftChars="28" w:left="285" w:rightChars="71" w:right="142"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細明體" w:hAnsi="Calibri" w:cs="Segoe UI"/>
                <w:i/>
                <w:sz w:val="17"/>
                <w:szCs w:val="22"/>
                <w:lang w:val="en-US" w:eastAsia="it-IT"/>
              </w:rPr>
              <w:t>提供作為</w:t>
            </w:r>
            <w:r w:rsidRPr="00DA6DF1">
              <w:rPr>
                <w:rFonts w:ascii="Calibri" w:eastAsia="細明體" w:hAnsi="Calibri" w:cs="Segoe UI"/>
                <w:i/>
                <w:sz w:val="17"/>
                <w:szCs w:val="22"/>
                <w:lang w:val="en-US" w:eastAsia="zh-TW"/>
              </w:rPr>
              <w:t>衍生工具合約</w:t>
            </w:r>
            <w:r w:rsidRPr="00DA6DF1">
              <w:rPr>
                <w:rFonts w:ascii="Calibri" w:eastAsia="細明體" w:hAnsi="Calibri" w:cs="Segoe UI"/>
                <w:i/>
                <w:sz w:val="17"/>
                <w:szCs w:val="22"/>
                <w:lang w:val="en-US" w:eastAsia="it-IT"/>
              </w:rPr>
              <w:t>開倉保證金</w:t>
            </w:r>
            <w:r w:rsidRPr="00DA6DF1">
              <w:rPr>
                <w:rFonts w:ascii="Calibri" w:eastAsia="細明體" w:hAnsi="Calibri" w:cs="Segoe UI"/>
                <w:i/>
                <w:sz w:val="17"/>
                <w:szCs w:val="22"/>
                <w:lang w:val="en-US" w:eastAsia="zh-TW"/>
              </w:rPr>
              <w:t>及對</w:t>
            </w:r>
            <w:r w:rsidRPr="00DA6DF1">
              <w:rPr>
                <w:rFonts w:ascii="Calibri" w:eastAsia="新細明體" w:hAnsi="Calibri" w:cs="Segoe UI"/>
                <w:i/>
                <w:sz w:val="17"/>
                <w:szCs w:val="22"/>
                <w:lang w:eastAsia="it-IT"/>
              </w:rPr>
              <w:t>CCP</w:t>
            </w:r>
            <w:r w:rsidRPr="00DA6DF1">
              <w:rPr>
                <w:rFonts w:ascii="Calibri" w:eastAsia="新細明體" w:hAnsi="Calibri" w:cs="Segoe UI"/>
                <w:i/>
                <w:sz w:val="17"/>
                <w:szCs w:val="22"/>
                <w:lang w:eastAsia="zh-TW"/>
              </w:rPr>
              <w:t>的</w:t>
            </w:r>
            <w:r w:rsidRPr="00DA6DF1">
              <w:rPr>
                <w:rFonts w:ascii="Calibri" w:eastAsia="細明體" w:hAnsi="Calibri" w:cs="Segoe UI"/>
                <w:i/>
                <w:sz w:val="17"/>
                <w:szCs w:val="22"/>
                <w:lang w:val="en-US" w:eastAsia="it-IT"/>
              </w:rPr>
              <w:t>違責基金承擔的資產</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8C2B96D"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5150493D"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10167D4F"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49D1F28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650F83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1A7D9E3E"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39AA51A8"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29</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60B5F1D" w14:textId="77777777" w:rsidR="00DA6DF1" w:rsidRPr="00DA6DF1" w:rsidRDefault="00DA6DF1" w:rsidP="00DA6DF1">
            <w:pPr>
              <w:snapToGrid w:val="0"/>
              <w:spacing w:before="40" w:after="40" w:line="259" w:lineRule="auto"/>
              <w:ind w:leftChars="28" w:left="285" w:rightChars="71" w:right="142"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衍生工具資產淨額</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4CC783"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558E964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5A26EECA"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22A3978C"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F9995E"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70706D04"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602C63FF"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30</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20525AD" w14:textId="77777777" w:rsidR="00DA6DF1" w:rsidRPr="00DA6DF1" w:rsidRDefault="00DA6DF1" w:rsidP="00DA6DF1">
            <w:pPr>
              <w:snapToGrid w:val="0"/>
              <w:spacing w:before="40" w:after="40" w:line="259" w:lineRule="auto"/>
              <w:ind w:leftChars="28" w:left="285" w:rightChars="71" w:right="142" w:hangingChars="135" w:hanging="229"/>
              <w:rPr>
                <w:rFonts w:ascii="Calibri" w:eastAsia="新細明體" w:hAnsi="Calibri" w:cs="Segoe UI"/>
                <w:i/>
                <w:sz w:val="17"/>
                <w:szCs w:val="22"/>
                <w:lang w:eastAsia="zh-TW"/>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在</w:t>
            </w:r>
            <w:r w:rsidRPr="00DA6DF1">
              <w:rPr>
                <w:rFonts w:ascii="Calibri" w:eastAsia="新細明體" w:hAnsi="Calibri" w:cs="Segoe UI" w:hint="eastAsia"/>
                <w:i/>
                <w:sz w:val="17"/>
                <w:szCs w:val="22"/>
                <w:lang w:eastAsia="zh-TW"/>
              </w:rPr>
              <w:t>調整</w:t>
            </w:r>
            <w:r w:rsidRPr="00DA6DF1">
              <w:rPr>
                <w:rFonts w:ascii="Calibri" w:eastAsia="新細明體" w:hAnsi="Calibri" w:cs="Segoe UI"/>
                <w:i/>
                <w:sz w:val="17"/>
                <w:szCs w:val="22"/>
                <w:lang w:eastAsia="zh-TW"/>
              </w:rPr>
              <w:t>扣除提供作為變動保證金前的衍生工具負債總額</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A8310E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512B2F99"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00CDF2B4"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77E4890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568CC40"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2CB736BB"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24133461"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31</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FCD45E2" w14:textId="77777777" w:rsidR="00DA6DF1" w:rsidRPr="00DA6DF1" w:rsidRDefault="00DA6DF1" w:rsidP="00DA6DF1">
            <w:pPr>
              <w:snapToGrid w:val="0"/>
              <w:spacing w:before="40" w:after="40" w:line="259" w:lineRule="auto"/>
              <w:ind w:leftChars="28" w:left="285" w:rightChars="71" w:right="142" w:hangingChars="135" w:hanging="229"/>
              <w:rPr>
                <w:rFonts w:ascii="Calibri" w:eastAsia="新細明體" w:hAnsi="Calibri" w:cs="Segoe UI"/>
                <w:i/>
                <w:sz w:val="17"/>
                <w:szCs w:val="22"/>
                <w:lang w:eastAsia="it-IT"/>
              </w:rPr>
            </w:pPr>
            <w:r w:rsidRPr="00DA6DF1">
              <w:rPr>
                <w:rFonts w:ascii="Calibri" w:eastAsia="新細明體" w:hAnsi="Calibri" w:cs="Segoe UI"/>
                <w:i/>
                <w:sz w:val="17"/>
                <w:szCs w:val="22"/>
                <w:lang w:eastAsia="it-IT"/>
              </w:rPr>
              <w:tab/>
            </w:r>
            <w:r w:rsidRPr="00DA6DF1">
              <w:rPr>
                <w:rFonts w:ascii="Calibri" w:eastAsia="新細明體" w:hAnsi="Calibri" w:cs="Segoe UI"/>
                <w:i/>
                <w:sz w:val="17"/>
                <w:szCs w:val="22"/>
                <w:lang w:eastAsia="zh-TW"/>
              </w:rPr>
              <w:t>無計入上述類別的所有其他資產</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0FE9E02"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3008153"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6E3BBF"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0F6EC2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CD4405"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7BA1DC67"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D9D9D9"/>
          </w:tcPr>
          <w:p w14:paraId="0BBB6AC8"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32</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14:paraId="2FFC3763"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22"/>
                <w:lang w:eastAsia="it-IT"/>
              </w:rPr>
            </w:pPr>
            <w:r w:rsidRPr="00DA6DF1">
              <w:rPr>
                <w:rFonts w:ascii="Calibri" w:eastAsia="細明體" w:hAnsi="Calibri" w:cs="Segoe UI"/>
                <w:sz w:val="17"/>
                <w:szCs w:val="22"/>
                <w:lang w:eastAsia="it-IT"/>
              </w:rPr>
              <w:t>資產負債表外項目</w:t>
            </w: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79E5A00C"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3404" w:type="dxa"/>
            <w:gridSpan w:val="3"/>
            <w:tcBorders>
              <w:top w:val="single" w:sz="4" w:space="0" w:color="auto"/>
              <w:left w:val="single" w:sz="4" w:space="0" w:color="auto"/>
              <w:bottom w:val="single" w:sz="4" w:space="0" w:color="auto"/>
              <w:right w:val="single" w:sz="4" w:space="0" w:color="auto"/>
            </w:tcBorders>
            <w:shd w:val="clear" w:color="auto" w:fill="D9D9D9"/>
          </w:tcPr>
          <w:p w14:paraId="7939F510"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F7B636B"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5C0610EA"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0B916823"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33</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454BEFC" w14:textId="77777777" w:rsidR="00DA6DF1" w:rsidRPr="00DA6DF1" w:rsidRDefault="00DA6DF1" w:rsidP="00DA6DF1">
            <w:pPr>
              <w:snapToGrid w:val="0"/>
              <w:spacing w:before="40" w:after="40" w:line="259" w:lineRule="auto"/>
              <w:ind w:left="57" w:rightChars="71" w:right="142"/>
              <w:rPr>
                <w:rFonts w:ascii="Calibri" w:eastAsia="新細明體" w:hAnsi="Calibri" w:cs="Segoe UI"/>
                <w:i/>
                <w:iCs/>
                <w:sz w:val="17"/>
                <w:szCs w:val="17"/>
                <w:lang w:eastAsia="zh-CN"/>
              </w:rPr>
            </w:pPr>
            <w:r w:rsidRPr="00DA6DF1">
              <w:rPr>
                <w:rFonts w:ascii="Calibri" w:eastAsia="新細明體" w:hAnsi="Calibri" w:cs="Segoe UI"/>
                <w:b/>
                <w:bCs/>
                <w:sz w:val="17"/>
                <w:szCs w:val="17"/>
                <w:lang w:eastAsia="zh-CN"/>
              </w:rPr>
              <w:t>RSF</w:t>
            </w:r>
            <w:r w:rsidRPr="00DA6DF1">
              <w:rPr>
                <w:rFonts w:ascii="Calibri" w:eastAsia="細明體" w:hAnsi="Calibri" w:cs="Segoe UI"/>
                <w:b/>
                <w:bCs/>
                <w:sz w:val="17"/>
                <w:szCs w:val="17"/>
                <w:lang w:eastAsia="zh-CN"/>
              </w:rPr>
              <w:t>總額</w:t>
            </w: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222FB333"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1AFA635A"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12C2338A"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3F3FDF51"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670A62"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r w:rsidR="00DA6DF1" w:rsidRPr="00DA6DF1" w14:paraId="6A658D5E" w14:textId="77777777" w:rsidTr="0029639E">
        <w:trPr>
          <w:cantSplit/>
          <w:trHeight w:val="270"/>
        </w:trPr>
        <w:tc>
          <w:tcPr>
            <w:tcW w:w="565" w:type="dxa"/>
            <w:tcBorders>
              <w:top w:val="single" w:sz="4" w:space="0" w:color="auto"/>
              <w:left w:val="nil"/>
              <w:bottom w:val="single" w:sz="4" w:space="0" w:color="auto"/>
              <w:right w:val="single" w:sz="4" w:space="0" w:color="auto"/>
            </w:tcBorders>
            <w:shd w:val="clear" w:color="auto" w:fill="FFFFFF"/>
          </w:tcPr>
          <w:p w14:paraId="6FC3CD80" w14:textId="77777777" w:rsidR="00DA6DF1" w:rsidRPr="00DA6DF1" w:rsidRDefault="00DA6DF1" w:rsidP="00DA6DF1">
            <w:pPr>
              <w:snapToGrid w:val="0"/>
              <w:spacing w:before="40" w:after="40" w:line="259" w:lineRule="auto"/>
              <w:ind w:left="57"/>
              <w:rPr>
                <w:rFonts w:ascii="Calibri" w:eastAsia="新細明體" w:hAnsi="Calibri" w:cs="Segoe UI"/>
                <w:sz w:val="16"/>
                <w:szCs w:val="16"/>
                <w:lang w:eastAsia="en-GB"/>
              </w:rPr>
            </w:pPr>
            <w:r w:rsidRPr="00DA6DF1">
              <w:rPr>
                <w:rFonts w:ascii="Calibri" w:eastAsia="新細明體" w:hAnsi="Calibri" w:cs="Segoe UI"/>
                <w:sz w:val="16"/>
                <w:szCs w:val="16"/>
                <w:lang w:eastAsia="en-GB"/>
              </w:rPr>
              <w:t>34</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5AFA84D" w14:textId="77777777" w:rsidR="00DA6DF1" w:rsidRPr="00DA6DF1" w:rsidRDefault="00DA6DF1" w:rsidP="00DA6DF1">
            <w:pPr>
              <w:snapToGrid w:val="0"/>
              <w:spacing w:before="40" w:after="40" w:line="259" w:lineRule="auto"/>
              <w:ind w:left="57" w:rightChars="71" w:right="142"/>
              <w:rPr>
                <w:rFonts w:ascii="Calibri" w:eastAsia="新細明體" w:hAnsi="Calibri" w:cs="Segoe UI"/>
                <w:sz w:val="17"/>
                <w:szCs w:val="17"/>
                <w:lang w:eastAsia="it-IT"/>
              </w:rPr>
            </w:pPr>
            <w:r w:rsidRPr="00DA6DF1">
              <w:rPr>
                <w:rFonts w:ascii="Calibri" w:eastAsia="細明體" w:hAnsi="Calibri" w:cs="Segoe UI"/>
                <w:b/>
                <w:bCs/>
                <w:sz w:val="17"/>
                <w:szCs w:val="17"/>
                <w:lang w:eastAsia="zh-TW"/>
              </w:rPr>
              <w:t xml:space="preserve">NSFR </w:t>
            </w:r>
            <w:r w:rsidRPr="00DA6DF1">
              <w:rPr>
                <w:rFonts w:ascii="Calibri" w:eastAsia="新細明體" w:hAnsi="Calibri" w:cs="Segoe UI"/>
                <w:b/>
                <w:bCs/>
                <w:sz w:val="17"/>
                <w:szCs w:val="17"/>
                <w:lang w:eastAsia="zh-CN"/>
              </w:rPr>
              <w:t>(%)</w:t>
            </w:r>
          </w:p>
        </w:tc>
        <w:tc>
          <w:tcPr>
            <w:tcW w:w="993" w:type="dxa"/>
            <w:tcBorders>
              <w:top w:val="single" w:sz="4" w:space="0" w:color="auto"/>
              <w:left w:val="single" w:sz="4" w:space="0" w:color="auto"/>
              <w:bottom w:val="single" w:sz="4" w:space="0" w:color="auto"/>
              <w:right w:val="single" w:sz="4" w:space="0" w:color="auto"/>
            </w:tcBorders>
            <w:shd w:val="clear" w:color="auto" w:fill="808080"/>
          </w:tcPr>
          <w:p w14:paraId="7ED87519"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419" w:type="dxa"/>
            <w:tcBorders>
              <w:top w:val="single" w:sz="4" w:space="0" w:color="auto"/>
              <w:left w:val="single" w:sz="4" w:space="0" w:color="auto"/>
              <w:bottom w:val="single" w:sz="4" w:space="0" w:color="auto"/>
              <w:right w:val="single" w:sz="4" w:space="0" w:color="auto"/>
            </w:tcBorders>
            <w:shd w:val="clear" w:color="auto" w:fill="808080"/>
          </w:tcPr>
          <w:p w14:paraId="51114C32"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1FA50DC8"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851" w:type="dxa"/>
            <w:tcBorders>
              <w:top w:val="single" w:sz="4" w:space="0" w:color="auto"/>
              <w:left w:val="single" w:sz="4" w:space="0" w:color="auto"/>
              <w:bottom w:val="single" w:sz="4" w:space="0" w:color="auto"/>
              <w:right w:val="single" w:sz="4" w:space="0" w:color="auto"/>
            </w:tcBorders>
            <w:shd w:val="clear" w:color="auto" w:fill="808080"/>
          </w:tcPr>
          <w:p w14:paraId="1A0E6F8D" w14:textId="77777777" w:rsidR="00DA6DF1" w:rsidRPr="00DA6DF1" w:rsidRDefault="00DA6DF1" w:rsidP="00DA6DF1">
            <w:pPr>
              <w:snapToGrid w:val="0"/>
              <w:spacing w:before="40" w:after="40" w:line="259" w:lineRule="auto"/>
              <w:ind w:left="57"/>
              <w:rPr>
                <w:rFonts w:ascii="Calibri" w:eastAsia="新細明體" w:hAnsi="Calibri" w:cs="Segoe UI"/>
                <w:sz w:val="17"/>
                <w:szCs w:val="22"/>
                <w:lang w:eastAsia="it-IT"/>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6DA290C" w14:textId="77777777" w:rsidR="00DA6DF1" w:rsidRPr="00DA6DF1" w:rsidRDefault="00DA6DF1" w:rsidP="00DA6DF1">
            <w:pPr>
              <w:snapToGrid w:val="0"/>
              <w:spacing w:before="40" w:after="40" w:line="259" w:lineRule="auto"/>
              <w:rPr>
                <w:rFonts w:ascii="Calibri" w:eastAsia="新細明體" w:hAnsi="Calibri" w:cs="Segoe UI"/>
                <w:sz w:val="17"/>
                <w:szCs w:val="22"/>
                <w:lang w:eastAsia="it-IT"/>
              </w:rPr>
            </w:pPr>
          </w:p>
        </w:tc>
      </w:tr>
    </w:tbl>
    <w:tbl>
      <w:tblPr>
        <w:tblStyle w:val="TableGrid10"/>
        <w:tblW w:w="8965" w:type="dxa"/>
        <w:tblInd w:w="-318" w:type="dxa"/>
        <w:tblLook w:val="04A0" w:firstRow="1" w:lastRow="0" w:firstColumn="1" w:lastColumn="0" w:noHBand="0" w:noVBand="1"/>
      </w:tblPr>
      <w:tblGrid>
        <w:gridCol w:w="8965"/>
      </w:tblGrid>
      <w:tr w:rsidR="00DA6DF1" w:rsidRPr="00DA6DF1" w14:paraId="77AFD4B4" w14:textId="77777777" w:rsidTr="0029639E">
        <w:trPr>
          <w:trHeight w:val="1943"/>
        </w:trPr>
        <w:tc>
          <w:tcPr>
            <w:tcW w:w="8965" w:type="dxa"/>
            <w:tcBorders>
              <w:left w:val="nil"/>
            </w:tcBorders>
          </w:tcPr>
          <w:p w14:paraId="54ED5173" w14:textId="77777777" w:rsidR="00DA6DF1" w:rsidRPr="00DA6DF1" w:rsidRDefault="00DA6DF1" w:rsidP="00DA6DF1">
            <w:pPr>
              <w:snapToGrid w:val="0"/>
              <w:spacing w:before="40" w:after="40" w:line="240" w:lineRule="exact"/>
              <w:ind w:leftChars="-54" w:left="-108"/>
              <w:rPr>
                <w:rFonts w:ascii="Calibri" w:eastAsia="新細明體" w:hAnsi="Calibri" w:cs="Segoe UI"/>
                <w:i/>
                <w:kern w:val="2"/>
                <w:sz w:val="17"/>
                <w:szCs w:val="17"/>
                <w:lang w:val="en-US" w:eastAsia="it-IT"/>
              </w:rPr>
            </w:pPr>
            <w:r w:rsidRPr="00DA6DF1">
              <w:rPr>
                <w:rFonts w:ascii="Calibri" w:eastAsia="新細明體" w:hAnsi="Calibri" w:cs="Segoe UI"/>
                <w:i/>
                <w:kern w:val="2"/>
                <w:sz w:val="17"/>
                <w:szCs w:val="17"/>
                <w:lang w:val="en-US" w:eastAsia="zh-TW"/>
              </w:rPr>
              <w:t>注意事項：</w:t>
            </w:r>
          </w:p>
          <w:p w14:paraId="2F5A7DBF" w14:textId="77777777" w:rsidR="00DA6DF1" w:rsidRPr="006B027C" w:rsidRDefault="00DA6DF1" w:rsidP="00D540EB">
            <w:pPr>
              <w:widowControl w:val="0"/>
              <w:numPr>
                <w:ilvl w:val="0"/>
                <w:numId w:val="19"/>
              </w:numPr>
              <w:autoSpaceDE w:val="0"/>
              <w:autoSpaceDN w:val="0"/>
              <w:adjustRightInd w:val="0"/>
              <w:spacing w:line="240" w:lineRule="exact"/>
              <w:ind w:left="318" w:rightChars="71" w:right="142" w:hanging="426"/>
              <w:jc w:val="both"/>
              <w:rPr>
                <w:rFonts w:ascii="Calibri" w:eastAsia="新細明體" w:hAnsi="Calibri" w:cs="Segoe UI"/>
                <w:iCs/>
                <w:kern w:val="2"/>
                <w:sz w:val="17"/>
                <w:szCs w:val="17"/>
                <w:lang w:val="en-US" w:eastAsia="it-IT"/>
              </w:rPr>
            </w:pPr>
            <w:r w:rsidRPr="006B027C">
              <w:rPr>
                <w:rFonts w:ascii="Calibri" w:eastAsia="新細明體" w:hAnsi="Calibri" w:cs="Segoe UI"/>
                <w:iCs/>
                <w:kern w:val="2"/>
                <w:sz w:val="17"/>
                <w:szCs w:val="17"/>
                <w:lang w:val="en-US" w:eastAsia="zh-TW"/>
              </w:rPr>
              <w:t>沒有標示行數的行代表</w:t>
            </w:r>
            <w:r w:rsidRPr="006B027C">
              <w:rPr>
                <w:rFonts w:ascii="Calibri" w:eastAsia="新細明體" w:hAnsi="Calibri" w:cs="Segoe UI"/>
                <w:iCs/>
                <w:kern w:val="2"/>
                <w:sz w:val="17"/>
                <w:szCs w:val="17"/>
                <w:lang w:val="en-US" w:eastAsia="it-IT"/>
              </w:rPr>
              <w:t>NSFR</w:t>
            </w:r>
            <w:r w:rsidRPr="006B027C">
              <w:rPr>
                <w:rFonts w:ascii="Calibri" w:eastAsia="新細明體" w:hAnsi="Calibri" w:cs="Segoe UI"/>
                <w:iCs/>
                <w:kern w:val="2"/>
                <w:sz w:val="17"/>
                <w:szCs w:val="17"/>
                <w:lang w:val="en-US" w:eastAsia="zh-TW"/>
              </w:rPr>
              <w:t>模版的一節（即</w:t>
            </w:r>
            <w:r w:rsidRPr="006B027C">
              <w:rPr>
                <w:rFonts w:ascii="Calibri" w:eastAsia="新細明體" w:hAnsi="Calibri" w:cs="Segoe UI"/>
                <w:iCs/>
                <w:kern w:val="2"/>
                <w:sz w:val="17"/>
                <w:szCs w:val="17"/>
                <w:lang w:val="en-US" w:eastAsia="it-IT"/>
              </w:rPr>
              <w:t>ASF</w:t>
            </w:r>
            <w:r w:rsidRPr="006B027C">
              <w:rPr>
                <w:rFonts w:ascii="Calibri" w:eastAsia="新細明體" w:hAnsi="Calibri" w:cs="Segoe UI"/>
                <w:iCs/>
                <w:kern w:val="2"/>
                <w:sz w:val="17"/>
                <w:szCs w:val="17"/>
                <w:lang w:val="en-US" w:eastAsia="zh-TW"/>
              </w:rPr>
              <w:t>及</w:t>
            </w:r>
            <w:r w:rsidRPr="006B027C">
              <w:rPr>
                <w:rFonts w:ascii="Calibri" w:eastAsia="新細明體" w:hAnsi="Calibri" w:cs="Segoe UI"/>
                <w:iCs/>
                <w:kern w:val="2"/>
                <w:sz w:val="17"/>
                <w:szCs w:val="17"/>
                <w:lang w:val="en-US" w:eastAsia="it-IT"/>
              </w:rPr>
              <w:t>RSF</w:t>
            </w:r>
            <w:r w:rsidRPr="006B027C">
              <w:rPr>
                <w:rFonts w:ascii="Calibri" w:eastAsia="新細明體" w:hAnsi="Calibri" w:cs="Segoe UI"/>
                <w:iCs/>
                <w:kern w:val="2"/>
                <w:sz w:val="17"/>
                <w:szCs w:val="17"/>
                <w:lang w:val="en-US" w:eastAsia="zh-TW"/>
              </w:rPr>
              <w:t>），無需填寫任何數值；</w:t>
            </w:r>
          </w:p>
          <w:p w14:paraId="3D96E17A" w14:textId="77777777" w:rsidR="00DA6DF1" w:rsidRPr="006B027C" w:rsidRDefault="00DA6DF1" w:rsidP="00D540EB">
            <w:pPr>
              <w:widowControl w:val="0"/>
              <w:numPr>
                <w:ilvl w:val="0"/>
                <w:numId w:val="19"/>
              </w:numPr>
              <w:autoSpaceDE w:val="0"/>
              <w:autoSpaceDN w:val="0"/>
              <w:adjustRightInd w:val="0"/>
              <w:spacing w:line="240" w:lineRule="exact"/>
              <w:ind w:left="318" w:rightChars="71" w:right="142" w:hanging="426"/>
              <w:jc w:val="both"/>
              <w:rPr>
                <w:rFonts w:ascii="Calibri" w:eastAsia="新細明體" w:hAnsi="Calibri" w:cs="Segoe UI"/>
                <w:iCs/>
                <w:kern w:val="2"/>
                <w:sz w:val="17"/>
                <w:szCs w:val="17"/>
                <w:lang w:val="en-US" w:eastAsia="it-IT"/>
              </w:rPr>
            </w:pPr>
            <w:r w:rsidRPr="006B027C">
              <w:rPr>
                <w:rFonts w:ascii="Calibri" w:eastAsia="新細明體" w:hAnsi="Calibri" w:cs="Segoe UI"/>
                <w:iCs/>
                <w:kern w:val="2"/>
                <w:sz w:val="17"/>
                <w:szCs w:val="17"/>
                <w:lang w:val="en-US" w:eastAsia="zh-TW"/>
              </w:rPr>
              <w:t>以淺灰色標示的披露項目（如第</w:t>
            </w:r>
            <w:r w:rsidRPr="006B027C">
              <w:rPr>
                <w:rFonts w:ascii="Calibri" w:eastAsia="新細明體" w:hAnsi="Calibri" w:cs="Segoe UI"/>
                <w:iCs/>
                <w:kern w:val="2"/>
                <w:sz w:val="17"/>
                <w:szCs w:val="17"/>
                <w:lang w:val="en-US" w:eastAsia="zh-TW"/>
              </w:rPr>
              <w:t>1</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4</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7</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10</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11</w:t>
            </w:r>
            <w:r w:rsidRPr="006B027C">
              <w:rPr>
                <w:rFonts w:ascii="Calibri" w:eastAsia="新細明體" w:hAnsi="Calibri" w:cs="Segoe UI"/>
                <w:iCs/>
                <w:kern w:val="2"/>
                <w:sz w:val="17"/>
                <w:szCs w:val="17"/>
                <w:lang w:val="en-US" w:eastAsia="zh-TW"/>
              </w:rPr>
              <w:t>行）代表有關節數內</w:t>
            </w:r>
            <w:r w:rsidRPr="006B027C">
              <w:rPr>
                <w:rFonts w:ascii="Calibri" w:eastAsia="新細明體" w:hAnsi="Calibri" w:cs="Segoe UI"/>
                <w:iCs/>
                <w:kern w:val="2"/>
                <w:sz w:val="17"/>
                <w:szCs w:val="17"/>
                <w:lang w:val="en-US" w:eastAsia="it-IT"/>
              </w:rPr>
              <w:t>NSFR</w:t>
            </w:r>
            <w:r w:rsidRPr="006B027C">
              <w:rPr>
                <w:rFonts w:ascii="Calibri" w:eastAsia="新細明體" w:hAnsi="Calibri" w:cs="Segoe UI"/>
                <w:iCs/>
                <w:kern w:val="2"/>
                <w:sz w:val="17"/>
                <w:szCs w:val="17"/>
                <w:lang w:val="en-US" w:eastAsia="zh-TW"/>
              </w:rPr>
              <w:t>的附屬組成部分；</w:t>
            </w:r>
          </w:p>
          <w:p w14:paraId="6054DE09" w14:textId="77777777" w:rsidR="00DA6DF1" w:rsidRPr="006B027C" w:rsidRDefault="00DA6DF1" w:rsidP="00D540EB">
            <w:pPr>
              <w:widowControl w:val="0"/>
              <w:numPr>
                <w:ilvl w:val="0"/>
                <w:numId w:val="19"/>
              </w:numPr>
              <w:autoSpaceDE w:val="0"/>
              <w:autoSpaceDN w:val="0"/>
              <w:adjustRightInd w:val="0"/>
              <w:spacing w:line="240" w:lineRule="exact"/>
              <w:ind w:left="318" w:rightChars="71" w:right="142" w:hanging="426"/>
              <w:jc w:val="both"/>
              <w:rPr>
                <w:rFonts w:ascii="Calibri" w:eastAsia="新細明體" w:hAnsi="Calibri" w:cs="Segoe UI"/>
                <w:iCs/>
                <w:kern w:val="2"/>
                <w:sz w:val="17"/>
                <w:szCs w:val="17"/>
                <w:lang w:val="en-US" w:eastAsia="it-IT"/>
              </w:rPr>
            </w:pPr>
            <w:r w:rsidRPr="006B027C">
              <w:rPr>
                <w:rFonts w:ascii="Calibri" w:eastAsia="細明體" w:hAnsi="Calibri" w:cs="Segoe UI"/>
                <w:iCs/>
                <w:kern w:val="2"/>
                <w:sz w:val="17"/>
                <w:szCs w:val="17"/>
                <w:lang w:val="en-US" w:eastAsia="it-IT"/>
              </w:rPr>
              <w:t>沒有陰影的披露項目代表</w:t>
            </w:r>
            <w:r w:rsidRPr="006B027C">
              <w:rPr>
                <w:rFonts w:ascii="Calibri" w:eastAsia="新細明體" w:hAnsi="Calibri" w:cs="Segoe UI"/>
                <w:iCs/>
                <w:kern w:val="2"/>
                <w:sz w:val="17"/>
                <w:szCs w:val="17"/>
                <w:lang w:val="en-US" w:eastAsia="it-IT"/>
              </w:rPr>
              <w:t>ASF</w:t>
            </w:r>
            <w:r w:rsidRPr="006B027C">
              <w:rPr>
                <w:rFonts w:ascii="Calibri" w:eastAsia="新細明體" w:hAnsi="Calibri" w:cs="Segoe UI"/>
                <w:iCs/>
                <w:kern w:val="2"/>
                <w:sz w:val="17"/>
                <w:szCs w:val="17"/>
                <w:lang w:val="en-US" w:eastAsia="zh-TW"/>
              </w:rPr>
              <w:t>及</w:t>
            </w:r>
            <w:r w:rsidRPr="006B027C">
              <w:rPr>
                <w:rFonts w:ascii="Calibri" w:eastAsia="新細明體" w:hAnsi="Calibri" w:cs="Segoe UI"/>
                <w:iCs/>
                <w:kern w:val="2"/>
                <w:sz w:val="17"/>
                <w:szCs w:val="17"/>
                <w:lang w:val="en-US" w:eastAsia="it-IT"/>
              </w:rPr>
              <w:t>RSF</w:t>
            </w:r>
            <w:r w:rsidRPr="006B027C">
              <w:rPr>
                <w:rFonts w:ascii="Calibri" w:eastAsia="新細明體" w:hAnsi="Calibri" w:cs="Segoe UI"/>
                <w:iCs/>
                <w:kern w:val="2"/>
                <w:sz w:val="17"/>
                <w:szCs w:val="17"/>
                <w:lang w:val="en-US" w:eastAsia="zh-TW"/>
              </w:rPr>
              <w:t>項目下的主要類別的</w:t>
            </w:r>
            <w:r w:rsidRPr="006B027C">
              <w:rPr>
                <w:rFonts w:ascii="Calibri" w:eastAsia="細明體" w:hAnsi="Calibri" w:cs="Segoe UI"/>
                <w:iCs/>
                <w:kern w:val="2"/>
                <w:sz w:val="17"/>
                <w:szCs w:val="17"/>
                <w:lang w:val="en-US" w:eastAsia="it-IT"/>
              </w:rPr>
              <w:t>附屬組成部分</w:t>
            </w:r>
            <w:r w:rsidRPr="006B027C">
              <w:rPr>
                <w:rFonts w:ascii="Calibri" w:eastAsia="細明體" w:hAnsi="Calibri" w:cs="Segoe UI"/>
                <w:iCs/>
                <w:kern w:val="2"/>
                <w:sz w:val="17"/>
                <w:szCs w:val="17"/>
                <w:lang w:val="en-US" w:eastAsia="zh-TW"/>
              </w:rPr>
              <w:t>，只有第</w:t>
            </w:r>
            <w:r w:rsidRPr="006B027C">
              <w:rPr>
                <w:rFonts w:ascii="Calibri" w:eastAsia="細明體" w:hAnsi="Calibri" w:cs="Segoe UI"/>
                <w:iCs/>
                <w:kern w:val="2"/>
                <w:sz w:val="17"/>
                <w:szCs w:val="17"/>
                <w:lang w:val="en-US" w:eastAsia="zh-TW"/>
              </w:rPr>
              <w:t>21</w:t>
            </w:r>
            <w:r w:rsidRPr="006B027C">
              <w:rPr>
                <w:rFonts w:ascii="Calibri" w:eastAsia="細明體" w:hAnsi="Calibri" w:cs="Segoe UI"/>
                <w:iCs/>
                <w:kern w:val="2"/>
                <w:sz w:val="17"/>
                <w:szCs w:val="17"/>
                <w:lang w:val="en-US" w:eastAsia="zh-TW"/>
              </w:rPr>
              <w:t>及</w:t>
            </w:r>
            <w:r w:rsidRPr="006B027C">
              <w:rPr>
                <w:rFonts w:ascii="Calibri" w:eastAsia="細明體" w:hAnsi="Calibri" w:cs="Segoe UI"/>
                <w:iCs/>
                <w:kern w:val="2"/>
                <w:sz w:val="17"/>
                <w:szCs w:val="17"/>
                <w:lang w:val="en-US" w:eastAsia="zh-TW"/>
              </w:rPr>
              <w:t>23</w:t>
            </w:r>
            <w:r w:rsidRPr="006B027C">
              <w:rPr>
                <w:rFonts w:ascii="Calibri" w:eastAsia="細明體" w:hAnsi="Calibri" w:cs="Segoe UI"/>
                <w:iCs/>
                <w:kern w:val="2"/>
                <w:sz w:val="17"/>
                <w:szCs w:val="17"/>
                <w:lang w:val="en-US" w:eastAsia="zh-TW"/>
              </w:rPr>
              <w:t>行分別是第</w:t>
            </w:r>
            <w:r w:rsidRPr="006B027C">
              <w:rPr>
                <w:rFonts w:ascii="Calibri" w:eastAsia="細明體" w:hAnsi="Calibri" w:cs="Segoe UI"/>
                <w:iCs/>
                <w:kern w:val="2"/>
                <w:sz w:val="17"/>
                <w:szCs w:val="17"/>
                <w:lang w:val="en-US" w:eastAsia="zh-TW"/>
              </w:rPr>
              <w:t>20</w:t>
            </w:r>
            <w:r w:rsidRPr="006B027C">
              <w:rPr>
                <w:rFonts w:ascii="Calibri" w:eastAsia="細明體" w:hAnsi="Calibri" w:cs="Segoe UI"/>
                <w:iCs/>
                <w:kern w:val="2"/>
                <w:sz w:val="17"/>
                <w:szCs w:val="17"/>
                <w:lang w:val="en-US" w:eastAsia="zh-TW"/>
              </w:rPr>
              <w:t>及</w:t>
            </w:r>
            <w:r w:rsidRPr="006B027C">
              <w:rPr>
                <w:rFonts w:ascii="Calibri" w:eastAsia="細明體" w:hAnsi="Calibri" w:cs="Segoe UI"/>
                <w:iCs/>
                <w:kern w:val="2"/>
                <w:sz w:val="17"/>
                <w:szCs w:val="17"/>
                <w:lang w:val="en-US" w:eastAsia="zh-TW"/>
              </w:rPr>
              <w:t>22</w:t>
            </w:r>
            <w:r w:rsidRPr="006B027C">
              <w:rPr>
                <w:rFonts w:ascii="Calibri" w:eastAsia="細明體" w:hAnsi="Calibri" w:cs="Segoe UI"/>
                <w:iCs/>
                <w:kern w:val="2"/>
                <w:sz w:val="17"/>
                <w:szCs w:val="17"/>
                <w:lang w:val="en-US" w:eastAsia="zh-TW"/>
              </w:rPr>
              <w:t>行的</w:t>
            </w:r>
            <w:r w:rsidRPr="006B027C">
              <w:rPr>
                <w:rFonts w:ascii="Calibri" w:eastAsia="細明體" w:hAnsi="Calibri" w:cs="Segoe UI"/>
                <w:iCs/>
                <w:kern w:val="2"/>
                <w:sz w:val="17"/>
                <w:szCs w:val="17"/>
                <w:lang w:val="en-US" w:eastAsia="it-IT"/>
              </w:rPr>
              <w:t>附屬組成部分。參閱下文註釋有關該等附屬組成部分的構成的詳盡說明</w:t>
            </w:r>
            <w:r w:rsidRPr="006B027C">
              <w:rPr>
                <w:rFonts w:ascii="Calibri" w:eastAsia="細明體" w:hAnsi="Calibri" w:cs="Segoe UI"/>
                <w:iCs/>
                <w:kern w:val="2"/>
                <w:sz w:val="17"/>
                <w:szCs w:val="17"/>
                <w:lang w:val="en-US" w:eastAsia="zh-TW"/>
              </w:rPr>
              <w:t>；</w:t>
            </w:r>
          </w:p>
          <w:p w14:paraId="32D6DB82" w14:textId="77777777" w:rsidR="00DA6DF1" w:rsidRPr="00DA6DF1" w:rsidRDefault="00DA6DF1" w:rsidP="00D540EB">
            <w:pPr>
              <w:widowControl w:val="0"/>
              <w:numPr>
                <w:ilvl w:val="0"/>
                <w:numId w:val="19"/>
              </w:numPr>
              <w:autoSpaceDE w:val="0"/>
              <w:autoSpaceDN w:val="0"/>
              <w:adjustRightInd w:val="0"/>
              <w:spacing w:line="240" w:lineRule="exact"/>
              <w:ind w:left="318" w:rightChars="71" w:right="142" w:hanging="426"/>
              <w:jc w:val="both"/>
              <w:rPr>
                <w:rFonts w:ascii="Calibri" w:eastAsia="新細明體" w:hAnsi="Calibri" w:cs="Segoe UI"/>
                <w:i/>
                <w:kern w:val="2"/>
                <w:sz w:val="17"/>
                <w:szCs w:val="17"/>
                <w:lang w:val="en-US" w:eastAsia="it-IT"/>
              </w:rPr>
            </w:pPr>
            <w:r w:rsidRPr="006B027C">
              <w:rPr>
                <w:rFonts w:ascii="Calibri" w:eastAsia="細明體" w:hAnsi="Calibri" w:cs="Segoe UI"/>
                <w:iCs/>
                <w:kern w:val="2"/>
                <w:sz w:val="17"/>
                <w:szCs w:val="17"/>
                <w:lang w:val="en-US" w:eastAsia="it-IT"/>
              </w:rPr>
              <w:t>以深灰色標示的項目</w:t>
            </w:r>
            <w:r w:rsidRPr="006B027C">
              <w:rPr>
                <w:rFonts w:ascii="Calibri" w:eastAsia="新細明體" w:hAnsi="Calibri" w:cs="Segoe UI"/>
                <w:iCs/>
                <w:kern w:val="2"/>
                <w:sz w:val="17"/>
                <w:szCs w:val="17"/>
                <w:lang w:val="en-US" w:eastAsia="zh-TW"/>
              </w:rPr>
              <w:t>（</w:t>
            </w:r>
            <w:r w:rsidRPr="006B027C">
              <w:rPr>
                <w:rFonts w:ascii="Calibri" w:eastAsia="細明體" w:hAnsi="Calibri" w:cs="Segoe UI"/>
                <w:iCs/>
                <w:kern w:val="2"/>
                <w:sz w:val="17"/>
                <w:szCs w:val="17"/>
                <w:lang w:val="en-US" w:eastAsia="it-IT"/>
              </w:rPr>
              <w:t>即方格</w:t>
            </w:r>
            <w:r w:rsidRPr="006B027C">
              <w:rPr>
                <w:rFonts w:ascii="Calibri" w:eastAsia="新細明體" w:hAnsi="Calibri" w:cs="Segoe UI"/>
                <w:iCs/>
                <w:kern w:val="2"/>
                <w:sz w:val="17"/>
                <w:szCs w:val="17"/>
                <w:lang w:val="en-US" w:eastAsia="zh-TW"/>
              </w:rPr>
              <w:t>5/a</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6/a</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8/a</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12/b-e</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14/a-d</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27/b-d</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28/b-d</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29/b-d</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30/b-d</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32/a</w:t>
            </w:r>
            <w:r w:rsidRPr="006B027C">
              <w:rPr>
                <w:rFonts w:ascii="Calibri" w:eastAsia="新細明體" w:hAnsi="Calibri" w:cs="Segoe UI"/>
                <w:iCs/>
                <w:kern w:val="2"/>
                <w:sz w:val="17"/>
                <w:szCs w:val="17"/>
                <w:lang w:val="en-US" w:eastAsia="zh-TW"/>
              </w:rPr>
              <w:t>、</w:t>
            </w:r>
            <w:r w:rsidRPr="006B027C">
              <w:rPr>
                <w:rFonts w:ascii="Calibri" w:eastAsia="新細明體" w:hAnsi="Calibri" w:cs="Segoe UI"/>
                <w:iCs/>
                <w:kern w:val="2"/>
                <w:sz w:val="17"/>
                <w:szCs w:val="17"/>
                <w:lang w:val="en-US" w:eastAsia="zh-TW"/>
              </w:rPr>
              <w:t>33/a-d</w:t>
            </w:r>
            <w:r w:rsidRPr="006B027C">
              <w:rPr>
                <w:rFonts w:ascii="Calibri" w:eastAsia="新細明體" w:hAnsi="Calibri" w:cs="Segoe UI"/>
                <w:iCs/>
                <w:kern w:val="2"/>
                <w:sz w:val="17"/>
                <w:szCs w:val="17"/>
                <w:lang w:val="en-US" w:eastAsia="zh-TW"/>
              </w:rPr>
              <w:t>及</w:t>
            </w:r>
            <w:r w:rsidRPr="006B027C">
              <w:rPr>
                <w:rFonts w:ascii="Calibri" w:eastAsia="新細明體" w:hAnsi="Calibri" w:cs="Segoe UI"/>
                <w:iCs/>
                <w:kern w:val="2"/>
                <w:sz w:val="17"/>
                <w:szCs w:val="17"/>
                <w:lang w:val="en-US" w:eastAsia="zh-TW"/>
              </w:rPr>
              <w:t>34/a-d</w:t>
            </w:r>
            <w:r w:rsidRPr="006B027C">
              <w:rPr>
                <w:rFonts w:ascii="Calibri" w:eastAsia="新細明體" w:hAnsi="Calibri" w:cs="Segoe UI"/>
                <w:iCs/>
                <w:kern w:val="2"/>
                <w:sz w:val="17"/>
                <w:szCs w:val="17"/>
                <w:lang w:val="en-US" w:eastAsia="zh-TW"/>
              </w:rPr>
              <w:t>）</w:t>
            </w:r>
            <w:r w:rsidRPr="006B027C">
              <w:rPr>
                <w:rFonts w:ascii="Calibri" w:eastAsia="細明體" w:hAnsi="Calibri" w:cs="Segoe UI"/>
                <w:iCs/>
                <w:kern w:val="2"/>
                <w:sz w:val="17"/>
                <w:szCs w:val="17"/>
                <w:lang w:val="en-US" w:eastAsia="it-IT"/>
              </w:rPr>
              <w:t>無需作出任何披露</w:t>
            </w:r>
            <w:r w:rsidRPr="006B027C">
              <w:rPr>
                <w:rFonts w:ascii="Calibri" w:eastAsia="細明體" w:hAnsi="Calibri" w:cs="Segoe UI"/>
                <w:iCs/>
                <w:kern w:val="2"/>
                <w:sz w:val="17"/>
                <w:szCs w:val="17"/>
                <w:lang w:val="en-US" w:eastAsia="zh-TW"/>
              </w:rPr>
              <w:t>。</w:t>
            </w:r>
          </w:p>
        </w:tc>
      </w:tr>
    </w:tbl>
    <w:p w14:paraId="2F7FEC5C" w14:textId="77777777" w:rsidR="00DA6DF1" w:rsidRPr="00DA6DF1" w:rsidRDefault="00DA6DF1" w:rsidP="00DA6DF1">
      <w:pPr>
        <w:spacing w:before="120" w:after="120" w:line="259" w:lineRule="auto"/>
        <w:ind w:leftChars="-283" w:left="-566"/>
        <w:rPr>
          <w:rFonts w:ascii="Calibri" w:eastAsia="新細明體" w:hAnsi="Calibri" w:cs="Segoe UI"/>
          <w:sz w:val="22"/>
          <w:szCs w:val="22"/>
          <w:lang w:eastAsia="zh-TW"/>
        </w:rPr>
      </w:pPr>
    </w:p>
    <w:tbl>
      <w:tblPr>
        <w:tblStyle w:val="TableGrid10"/>
        <w:tblW w:w="9073" w:type="dxa"/>
        <w:tblInd w:w="-318" w:type="dxa"/>
        <w:tblLayout w:type="fixed"/>
        <w:tblLook w:val="04A0" w:firstRow="1" w:lastRow="0" w:firstColumn="1" w:lastColumn="0" w:noHBand="0" w:noVBand="1"/>
      </w:tblPr>
      <w:tblGrid>
        <w:gridCol w:w="568"/>
        <w:gridCol w:w="8505"/>
      </w:tblGrid>
      <w:tr w:rsidR="00DA6DF1" w:rsidRPr="00DA6DF1" w14:paraId="38B39E3D" w14:textId="77777777" w:rsidTr="00DA6DF1">
        <w:trPr>
          <w:tblHeader/>
        </w:trPr>
        <w:tc>
          <w:tcPr>
            <w:tcW w:w="9073" w:type="dxa"/>
            <w:gridSpan w:val="2"/>
            <w:shd w:val="clear" w:color="auto" w:fill="BFBFBF"/>
          </w:tcPr>
          <w:p w14:paraId="599B5FB6" w14:textId="77777777" w:rsidR="00DA6DF1" w:rsidRPr="00DA6DF1" w:rsidRDefault="00DA6DF1" w:rsidP="00DA6DF1">
            <w:pPr>
              <w:spacing w:before="40" w:after="40"/>
              <w:jc w:val="both"/>
              <w:rPr>
                <w:rFonts w:ascii="Calibri" w:eastAsia="新細明體" w:hAnsi="Calibri" w:cs="Segoe UI"/>
                <w:b/>
                <w:kern w:val="2"/>
                <w:sz w:val="17"/>
                <w:szCs w:val="17"/>
                <w:lang w:val="en-US" w:eastAsia="en-GB"/>
              </w:rPr>
            </w:pPr>
            <w:proofErr w:type="gramStart"/>
            <w:r w:rsidRPr="00DA6DF1">
              <w:rPr>
                <w:rFonts w:ascii="Calibri" w:eastAsia="新細明體" w:hAnsi="Calibri" w:cs="Segoe UI"/>
                <w:b/>
                <w:kern w:val="2"/>
                <w:sz w:val="17"/>
                <w:szCs w:val="17"/>
                <w:lang w:val="en-US" w:eastAsia="zh-TW"/>
              </w:rPr>
              <w:t>註</w:t>
            </w:r>
            <w:proofErr w:type="gramEnd"/>
            <w:r w:rsidRPr="00DA6DF1">
              <w:rPr>
                <w:rFonts w:ascii="Calibri" w:eastAsia="新細明體" w:hAnsi="Calibri" w:cs="Segoe UI"/>
                <w:b/>
                <w:kern w:val="2"/>
                <w:sz w:val="17"/>
                <w:szCs w:val="17"/>
                <w:lang w:val="en-US" w:eastAsia="zh-TW"/>
              </w:rPr>
              <w:t>釋</w:t>
            </w:r>
          </w:p>
        </w:tc>
      </w:tr>
      <w:tr w:rsidR="00DA6DF1" w:rsidRPr="00DA6DF1" w14:paraId="34A55120" w14:textId="77777777" w:rsidTr="00DA6DF1">
        <w:trPr>
          <w:trHeight w:val="153"/>
        </w:trPr>
        <w:tc>
          <w:tcPr>
            <w:tcW w:w="9073" w:type="dxa"/>
            <w:gridSpan w:val="2"/>
            <w:shd w:val="clear" w:color="auto" w:fill="F2F2F2"/>
          </w:tcPr>
          <w:p w14:paraId="5DCA4AD2" w14:textId="77777777" w:rsidR="00DA6DF1" w:rsidRPr="00DA6DF1" w:rsidRDefault="00DA6DF1" w:rsidP="00DA6DF1">
            <w:pPr>
              <w:spacing w:before="40" w:after="40"/>
              <w:jc w:val="both"/>
              <w:rPr>
                <w:rFonts w:ascii="Calibri" w:eastAsia="新細明體" w:hAnsi="Calibri" w:cs="Segoe UI"/>
                <w:b/>
                <w:kern w:val="2"/>
                <w:sz w:val="17"/>
                <w:szCs w:val="17"/>
                <w:lang w:val="en-US" w:eastAsia="en-GB"/>
              </w:rPr>
            </w:pPr>
            <w:r w:rsidRPr="00DA6DF1">
              <w:rPr>
                <w:rFonts w:ascii="Calibri" w:eastAsia="新細明體" w:hAnsi="Calibri" w:cs="Segoe UI"/>
                <w:b/>
                <w:kern w:val="2"/>
                <w:sz w:val="17"/>
                <w:szCs w:val="17"/>
                <w:lang w:val="en-US" w:eastAsia="zh-TW"/>
              </w:rPr>
              <w:t>欄</w:t>
            </w:r>
          </w:p>
        </w:tc>
      </w:tr>
      <w:tr w:rsidR="00DA6DF1" w:rsidRPr="00DA6DF1" w14:paraId="6DB146B6" w14:textId="77777777" w:rsidTr="00B10B11">
        <w:tc>
          <w:tcPr>
            <w:tcW w:w="568" w:type="dxa"/>
          </w:tcPr>
          <w:p w14:paraId="4526159C" w14:textId="77777777" w:rsidR="00DA6DF1" w:rsidRPr="00DA6DF1" w:rsidRDefault="00DA6DF1" w:rsidP="00DA6DF1">
            <w:pPr>
              <w:keepLines/>
              <w:widowControl w:val="0"/>
              <w:tabs>
                <w:tab w:val="left" w:pos="794"/>
                <w:tab w:val="left" w:pos="1191"/>
              </w:tabs>
              <w:spacing w:before="40" w:after="40"/>
              <w:ind w:rightChars="-54" w:right="-108"/>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(a)</w:t>
            </w:r>
            <w:r w:rsidRPr="00DA6DF1">
              <w:rPr>
                <w:rFonts w:ascii="Calibri" w:eastAsia="新細明體" w:hAnsi="Calibri" w:cs="Segoe UI"/>
                <w:kern w:val="2"/>
                <w:sz w:val="17"/>
                <w:szCs w:val="17"/>
                <w:lang w:val="en-US" w:eastAsia="zh-TW"/>
              </w:rPr>
              <w:t>至</w:t>
            </w:r>
            <w:r w:rsidRPr="00DA6DF1">
              <w:rPr>
                <w:rFonts w:ascii="Calibri" w:eastAsia="新細明體" w:hAnsi="Calibri" w:cs="Segoe UI"/>
                <w:kern w:val="2"/>
                <w:sz w:val="17"/>
                <w:szCs w:val="17"/>
                <w:lang w:val="en-US" w:eastAsia="en-GB"/>
              </w:rPr>
              <w:t>(d)</w:t>
            </w:r>
          </w:p>
        </w:tc>
        <w:tc>
          <w:tcPr>
            <w:tcW w:w="8505" w:type="dxa"/>
          </w:tcPr>
          <w:p w14:paraId="6117EB78" w14:textId="77777777" w:rsidR="00DA6DF1" w:rsidRPr="00DA6DF1" w:rsidRDefault="00DA6DF1" w:rsidP="00DA6DF1">
            <w:pPr>
              <w:spacing w:before="40" w:after="40"/>
              <w:jc w:val="both"/>
              <w:rPr>
                <w:rFonts w:ascii="Calibri" w:eastAsia="新細明體" w:hAnsi="Calibri" w:cs="Segoe UI"/>
                <w:kern w:val="2"/>
                <w:sz w:val="15"/>
                <w:szCs w:val="17"/>
                <w:lang w:val="en-US" w:eastAsia="zh-TW"/>
              </w:rPr>
            </w:pPr>
            <w:r w:rsidRPr="00DA6DF1">
              <w:rPr>
                <w:rFonts w:ascii="Calibri" w:eastAsia="新細明體" w:hAnsi="Calibri" w:cs="Segoe UI"/>
                <w:i/>
                <w:kern w:val="2"/>
                <w:sz w:val="17"/>
                <w:szCs w:val="17"/>
                <w:lang w:val="en-US" w:eastAsia="zh-TW"/>
              </w:rPr>
              <w:t>按剩餘到期期限劃分的非加權值</w:t>
            </w:r>
            <w:r w:rsidRPr="00DA6DF1">
              <w:rPr>
                <w:rFonts w:ascii="Calibri" w:eastAsia="新細明體" w:hAnsi="Calibri" w:cs="Segoe UI"/>
                <w:kern w:val="2"/>
                <w:sz w:val="17"/>
                <w:szCs w:val="17"/>
                <w:lang w:val="en-US" w:eastAsia="zh-TW"/>
              </w:rPr>
              <w:t>：在這些欄所填的值，應是按照不同到期期限的個別行項目的季度觀察數據。在</w:t>
            </w:r>
            <w:r w:rsidRPr="00DA6DF1">
              <w:rPr>
                <w:rFonts w:ascii="Calibri" w:eastAsia="新細明體" w:hAnsi="Calibri" w:cs="Segoe UI"/>
                <w:kern w:val="2"/>
                <w:sz w:val="17"/>
                <w:szCs w:val="17"/>
                <w:lang w:val="en-US" w:eastAsia="zh-TW"/>
              </w:rPr>
              <w:t>(a)</w:t>
            </w:r>
            <w:r w:rsidRPr="00DA6DF1">
              <w:rPr>
                <w:rFonts w:ascii="Calibri" w:eastAsia="新細明體" w:hAnsi="Calibri" w:cs="Segoe UI" w:hint="eastAsia"/>
                <w:kern w:val="2"/>
                <w:sz w:val="17"/>
                <w:szCs w:val="17"/>
                <w:lang w:val="en-US" w:eastAsia="zh-TW"/>
              </w:rPr>
              <w:t>欄（即「無指明剩餘到期期限」）所填的項目沒有指明到期期限。這些項目可包括（但不限於）永久資本、集體準備金、衍生工具負債淨額、流通紙幣及硬幣、股權、實物交易商品、提供作為衍生工具</w:t>
            </w:r>
            <w:proofErr w:type="gramStart"/>
            <w:r w:rsidRPr="00DA6DF1">
              <w:rPr>
                <w:rFonts w:ascii="Calibri" w:eastAsia="新細明體" w:hAnsi="Calibri" w:cs="Segoe UI" w:hint="eastAsia"/>
                <w:kern w:val="2"/>
                <w:sz w:val="17"/>
                <w:szCs w:val="17"/>
                <w:lang w:val="en-US" w:eastAsia="zh-TW"/>
              </w:rPr>
              <w:t>合約開倉保證金</w:t>
            </w:r>
            <w:proofErr w:type="gramEnd"/>
            <w:r w:rsidRPr="00DA6DF1">
              <w:rPr>
                <w:rFonts w:ascii="Calibri" w:eastAsia="新細明體" w:hAnsi="Calibri" w:cs="Segoe UI" w:hint="eastAsia"/>
                <w:kern w:val="2"/>
                <w:sz w:val="17"/>
                <w:szCs w:val="17"/>
                <w:lang w:val="en-US" w:eastAsia="zh-TW"/>
              </w:rPr>
              <w:t>或對</w:t>
            </w:r>
            <w:r w:rsidRPr="00DA6DF1">
              <w:rPr>
                <w:rFonts w:ascii="Calibri" w:eastAsia="新細明體" w:hAnsi="Calibri" w:cs="Segoe UI"/>
                <w:kern w:val="2"/>
                <w:sz w:val="17"/>
                <w:szCs w:val="17"/>
                <w:lang w:val="en-US" w:eastAsia="zh-TW"/>
              </w:rPr>
              <w:t>CCP</w:t>
            </w:r>
            <w:proofErr w:type="gramStart"/>
            <w:r w:rsidRPr="00DA6DF1">
              <w:rPr>
                <w:rFonts w:ascii="Calibri" w:eastAsia="新細明體" w:hAnsi="Calibri" w:cs="Segoe UI" w:hint="eastAsia"/>
                <w:kern w:val="2"/>
                <w:sz w:val="17"/>
                <w:szCs w:val="17"/>
                <w:lang w:val="en-US" w:eastAsia="zh-TW"/>
              </w:rPr>
              <w:t>的違責基金</w:t>
            </w:r>
            <w:proofErr w:type="gramEnd"/>
            <w:r w:rsidRPr="00DA6DF1">
              <w:rPr>
                <w:rFonts w:ascii="Calibri" w:eastAsia="新細明體" w:hAnsi="Calibri" w:cs="Segoe UI" w:hint="eastAsia"/>
                <w:kern w:val="2"/>
                <w:sz w:val="17"/>
                <w:szCs w:val="17"/>
                <w:lang w:val="en-US" w:eastAsia="zh-TW"/>
              </w:rPr>
              <w:t>承擔的資產、衍生工具資產淨額及在扣除已提供的變動保證金前的衍生工具負債總額。</w:t>
            </w:r>
          </w:p>
        </w:tc>
      </w:tr>
      <w:tr w:rsidR="00DA6DF1" w:rsidRPr="00DA6DF1" w14:paraId="7BD92AFB" w14:textId="77777777" w:rsidTr="00B10B11">
        <w:tc>
          <w:tcPr>
            <w:tcW w:w="568" w:type="dxa"/>
          </w:tcPr>
          <w:p w14:paraId="44F2B871"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(e)</w:t>
            </w:r>
          </w:p>
        </w:tc>
        <w:tc>
          <w:tcPr>
            <w:tcW w:w="8505" w:type="dxa"/>
          </w:tcPr>
          <w:p w14:paraId="2E9A9880" w14:textId="6BF5CA4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加權</w:t>
            </w:r>
            <w:r w:rsidR="00E3209F">
              <w:rPr>
                <w:rFonts w:ascii="Calibri" w:eastAsia="新細明體" w:hAnsi="Calibri" w:cs="Segoe UI" w:hint="eastAsia"/>
                <w:i/>
                <w:kern w:val="2"/>
                <w:sz w:val="17"/>
                <w:szCs w:val="17"/>
                <w:lang w:val="en-US" w:eastAsia="zh-HK"/>
              </w:rPr>
              <w:t>額</w:t>
            </w:r>
            <w:r w:rsidRPr="00DA6DF1">
              <w:rPr>
                <w:rFonts w:ascii="Calibri" w:eastAsia="新細明體" w:hAnsi="Calibri" w:cs="Segoe UI"/>
                <w:kern w:val="2"/>
                <w:sz w:val="17"/>
                <w:szCs w:val="17"/>
                <w:lang w:val="en-US" w:eastAsia="zh-TW"/>
              </w:rPr>
              <w:t>：在本</w:t>
            </w:r>
            <w:r w:rsidRPr="00DA6DF1">
              <w:rPr>
                <w:rFonts w:ascii="Calibri" w:eastAsia="新細明體" w:hAnsi="Calibri" w:cs="Segoe UI" w:hint="eastAsia"/>
                <w:kern w:val="2"/>
                <w:sz w:val="17"/>
                <w:szCs w:val="17"/>
                <w:lang w:val="en-US" w:eastAsia="zh-TW"/>
              </w:rPr>
              <w:t>欄所填的值應按照《流動性規則》第</w:t>
            </w:r>
            <w:r w:rsidRPr="00DA6DF1">
              <w:rPr>
                <w:rFonts w:ascii="Calibri" w:eastAsia="新細明體" w:hAnsi="Calibri" w:cs="Segoe UI"/>
                <w:kern w:val="2"/>
                <w:sz w:val="17"/>
                <w:szCs w:val="17"/>
                <w:lang w:val="en-US" w:eastAsia="zh-TW"/>
              </w:rPr>
              <w:t>9</w:t>
            </w:r>
            <w:r w:rsidRPr="00DA6DF1">
              <w:rPr>
                <w:rFonts w:ascii="Calibri" w:eastAsia="新細明體" w:hAnsi="Calibri" w:cs="Segoe UI" w:hint="eastAsia"/>
                <w:kern w:val="2"/>
                <w:sz w:val="17"/>
                <w:szCs w:val="17"/>
                <w:lang w:val="en-US" w:eastAsia="zh-TW"/>
              </w:rPr>
              <w:t>部計算。</w:t>
            </w:r>
          </w:p>
        </w:tc>
      </w:tr>
      <w:tr w:rsidR="00DA6DF1" w:rsidRPr="00DA6DF1" w14:paraId="676D696B" w14:textId="77777777" w:rsidTr="00DA6DF1">
        <w:trPr>
          <w:trHeight w:val="373"/>
        </w:trPr>
        <w:tc>
          <w:tcPr>
            <w:tcW w:w="9073" w:type="dxa"/>
            <w:gridSpan w:val="2"/>
            <w:shd w:val="clear" w:color="auto" w:fill="F2F2F2"/>
          </w:tcPr>
          <w:p w14:paraId="5552E022" w14:textId="77777777" w:rsidR="00DA6DF1" w:rsidRPr="00DA6DF1" w:rsidRDefault="00DA6DF1" w:rsidP="00DA6DF1">
            <w:pPr>
              <w:spacing w:before="40" w:after="40"/>
              <w:jc w:val="both"/>
              <w:rPr>
                <w:rFonts w:ascii="Calibri" w:eastAsia="新細明體" w:hAnsi="Calibri" w:cs="Segoe UI"/>
                <w:i/>
                <w:kern w:val="2"/>
                <w:sz w:val="17"/>
                <w:szCs w:val="17"/>
                <w:lang w:val="en-US" w:eastAsia="zh-TW"/>
              </w:rPr>
            </w:pPr>
            <w:r w:rsidRPr="00DA6DF1">
              <w:rPr>
                <w:rFonts w:ascii="Calibri" w:eastAsia="新細明體" w:hAnsi="Calibri" w:cs="Segoe UI"/>
                <w:b/>
                <w:kern w:val="2"/>
                <w:sz w:val="17"/>
                <w:szCs w:val="17"/>
                <w:lang w:val="en-US" w:eastAsia="zh-TW"/>
              </w:rPr>
              <w:t>行</w:t>
            </w:r>
          </w:p>
        </w:tc>
      </w:tr>
      <w:tr w:rsidR="00DA6DF1" w:rsidRPr="00DA6DF1" w14:paraId="4C523D7D" w14:textId="77777777" w:rsidTr="00B10B11">
        <w:trPr>
          <w:trHeight w:val="373"/>
        </w:trPr>
        <w:tc>
          <w:tcPr>
            <w:tcW w:w="568" w:type="dxa"/>
          </w:tcPr>
          <w:p w14:paraId="6B720B61"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w:t>
            </w:r>
          </w:p>
        </w:tc>
        <w:tc>
          <w:tcPr>
            <w:tcW w:w="8505" w:type="dxa"/>
          </w:tcPr>
          <w:p w14:paraId="112B7C75" w14:textId="7777777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資本</w:t>
            </w:r>
            <w:r w:rsidRPr="00DA6DF1">
              <w:rPr>
                <w:rFonts w:ascii="Calibri" w:eastAsia="細明體" w:hAnsi="Calibri" w:cs="Segoe UI"/>
                <w:kern w:val="2"/>
                <w:sz w:val="17"/>
                <w:szCs w:val="17"/>
                <w:lang w:val="en-US" w:eastAsia="zh-TW"/>
              </w:rPr>
              <w:t>：第</w:t>
            </w:r>
            <w:r w:rsidRPr="00DA6DF1">
              <w:rPr>
                <w:rFonts w:ascii="Calibri" w:eastAsia="細明體" w:hAnsi="Calibri" w:cs="Segoe UI"/>
                <w:kern w:val="2"/>
                <w:sz w:val="17"/>
                <w:szCs w:val="17"/>
                <w:lang w:val="en-US" w:eastAsia="zh-TW"/>
              </w:rPr>
              <w:t>2</w:t>
            </w:r>
            <w:r w:rsidRPr="00DA6DF1">
              <w:rPr>
                <w:rFonts w:ascii="Calibri" w:eastAsia="細明體" w:hAnsi="Calibri" w:cs="Segoe UI"/>
                <w:kern w:val="2"/>
                <w:sz w:val="17"/>
                <w:szCs w:val="17"/>
                <w:lang w:val="en-US" w:eastAsia="zh-TW"/>
              </w:rPr>
              <w:t>及</w:t>
            </w:r>
            <w:r w:rsidRPr="00DA6DF1">
              <w:rPr>
                <w:rFonts w:ascii="Calibri" w:eastAsia="細明體" w:hAnsi="Calibri" w:cs="Segoe UI"/>
                <w:kern w:val="2"/>
                <w:sz w:val="17"/>
                <w:szCs w:val="17"/>
                <w:lang w:val="en-US" w:eastAsia="zh-TW"/>
              </w:rPr>
              <w:t>3</w:t>
            </w:r>
            <w:r w:rsidRPr="00DA6DF1">
              <w:rPr>
                <w:rFonts w:ascii="Calibri" w:eastAsia="細明體" w:hAnsi="Calibri" w:cs="Segoe UI"/>
                <w:kern w:val="2"/>
                <w:sz w:val="17"/>
                <w:szCs w:val="17"/>
                <w:lang w:val="en-US" w:eastAsia="zh-TW"/>
              </w:rPr>
              <w:t>行值的總和。</w:t>
            </w:r>
          </w:p>
        </w:tc>
      </w:tr>
      <w:tr w:rsidR="00DA6DF1" w:rsidRPr="00DA6DF1" w14:paraId="6629DF1D" w14:textId="77777777" w:rsidTr="00B10B11">
        <w:trPr>
          <w:trHeight w:val="373"/>
        </w:trPr>
        <w:tc>
          <w:tcPr>
            <w:tcW w:w="568" w:type="dxa"/>
          </w:tcPr>
          <w:p w14:paraId="0A0DCBF7"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w:t>
            </w:r>
          </w:p>
        </w:tc>
        <w:tc>
          <w:tcPr>
            <w:tcW w:w="8505" w:type="dxa"/>
          </w:tcPr>
          <w:p w14:paraId="4E567741" w14:textId="6DB4BE26" w:rsidR="00DA6DF1" w:rsidRPr="00DA6DF1" w:rsidRDefault="00DA6DF1" w:rsidP="003509DE">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監管資本</w:t>
            </w:r>
            <w:r w:rsidRPr="00DA6DF1">
              <w:rPr>
                <w:rFonts w:ascii="Calibri" w:eastAsia="細明體" w:hAnsi="Calibri" w:cs="Segoe UI" w:hint="eastAsia"/>
                <w:kern w:val="2"/>
                <w:sz w:val="17"/>
                <w:szCs w:val="17"/>
                <w:lang w:val="en-US" w:eastAsia="zh-TW"/>
              </w:rPr>
              <w:t>：依照《資本規則》第</w:t>
            </w:r>
            <w:r w:rsidRPr="00DA6DF1">
              <w:rPr>
                <w:rFonts w:ascii="Calibri" w:eastAsia="細明體" w:hAnsi="Calibri" w:cs="Segoe UI"/>
                <w:kern w:val="2"/>
                <w:sz w:val="17"/>
                <w:szCs w:val="17"/>
                <w:lang w:val="en-US" w:eastAsia="zh-TW"/>
              </w:rPr>
              <w:t>3</w:t>
            </w:r>
            <w:r w:rsidRPr="00DA6DF1">
              <w:rPr>
                <w:rFonts w:ascii="Calibri" w:eastAsia="細明體" w:hAnsi="Calibri" w:cs="Segoe UI" w:hint="eastAsia"/>
                <w:kern w:val="2"/>
                <w:sz w:val="17"/>
                <w:szCs w:val="17"/>
                <w:lang w:val="en-US" w:eastAsia="zh-TW"/>
              </w:rPr>
              <w:t>部界定，並在應用《資本規則》所訂的監管調整前的</w:t>
            </w:r>
            <w:r w:rsidRPr="00DA6DF1">
              <w:rPr>
                <w:rFonts w:ascii="Calibri" w:eastAsia="新細明體" w:hAnsi="Calibri" w:cs="Segoe UI"/>
                <w:kern w:val="2"/>
                <w:sz w:val="17"/>
                <w:szCs w:val="17"/>
                <w:lang w:val="en-US" w:eastAsia="zh-TW"/>
              </w:rPr>
              <w:t>CET1</w:t>
            </w:r>
            <w:r w:rsidRPr="00DA6DF1">
              <w:rPr>
                <w:rFonts w:ascii="Calibri" w:eastAsia="新細明體" w:hAnsi="Calibri" w:cs="Segoe UI" w:hint="eastAsia"/>
                <w:kern w:val="2"/>
                <w:sz w:val="17"/>
                <w:szCs w:val="17"/>
                <w:lang w:val="en-US" w:eastAsia="zh-TW"/>
              </w:rPr>
              <w:t>資本、額外一級資本及二級資本。</w:t>
            </w:r>
            <w:r w:rsidRPr="00DA6DF1">
              <w:rPr>
                <w:rFonts w:ascii="Calibri" w:eastAsia="細明體" w:hAnsi="Calibri" w:cs="Segoe UI" w:hint="eastAsia"/>
                <w:kern w:val="2"/>
                <w:sz w:val="17"/>
                <w:szCs w:val="17"/>
                <w:lang w:val="en-US" w:eastAsia="zh-TW"/>
              </w:rPr>
              <w:t>為免引起疑問，一級資本總額的合計數額可在「無指明剩餘到期期限」（即</w:t>
            </w:r>
            <w:r w:rsidRPr="00DA6DF1">
              <w:rPr>
                <w:rFonts w:ascii="Calibri" w:eastAsia="細明體" w:hAnsi="Calibri" w:cs="Segoe UI"/>
                <w:kern w:val="2"/>
                <w:sz w:val="17"/>
                <w:szCs w:val="17"/>
                <w:lang w:val="en-US" w:eastAsia="zh-TW"/>
              </w:rPr>
              <w:t>(a)</w:t>
            </w:r>
            <w:r w:rsidRPr="00DA6DF1">
              <w:rPr>
                <w:rFonts w:ascii="Calibri" w:eastAsia="細明體" w:hAnsi="Calibri" w:cs="Segoe UI" w:hint="eastAsia"/>
                <w:kern w:val="2"/>
                <w:sz w:val="17"/>
                <w:szCs w:val="17"/>
                <w:lang w:val="en-US" w:eastAsia="zh-TW"/>
              </w:rPr>
              <w:t>欄）項下</w:t>
            </w:r>
            <w:r w:rsidR="002342E8" w:rsidRPr="002342E8">
              <w:rPr>
                <w:rFonts w:ascii="Calibri" w:eastAsia="細明體" w:hAnsi="Calibri" w:cs="Segoe UI" w:hint="eastAsia"/>
                <w:kern w:val="2"/>
                <w:sz w:val="17"/>
                <w:szCs w:val="17"/>
                <w:lang w:val="en-US" w:eastAsia="zh-TW"/>
              </w:rPr>
              <w:t>填</w:t>
            </w:r>
            <w:r w:rsidRPr="00DA6DF1">
              <w:rPr>
                <w:rFonts w:ascii="Calibri" w:eastAsia="細明體" w:hAnsi="Calibri" w:cs="Segoe UI" w:hint="eastAsia"/>
                <w:kern w:val="2"/>
                <w:sz w:val="17"/>
                <w:szCs w:val="17"/>
                <w:lang w:val="en-US" w:eastAsia="zh-TW"/>
              </w:rPr>
              <w:t>報。</w:t>
            </w:r>
          </w:p>
        </w:tc>
      </w:tr>
      <w:tr w:rsidR="00DA6DF1" w:rsidRPr="00DA6DF1" w14:paraId="1465EA49" w14:textId="77777777" w:rsidTr="00B10B11">
        <w:trPr>
          <w:trHeight w:val="373"/>
        </w:trPr>
        <w:tc>
          <w:tcPr>
            <w:tcW w:w="568" w:type="dxa"/>
          </w:tcPr>
          <w:p w14:paraId="6F6147F4"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2a</w:t>
            </w:r>
          </w:p>
        </w:tc>
        <w:tc>
          <w:tcPr>
            <w:tcW w:w="8505" w:type="dxa"/>
          </w:tcPr>
          <w:p w14:paraId="0212557A" w14:textId="0B00273C"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不</w:t>
            </w:r>
            <w:r w:rsidRPr="00DA6DF1">
              <w:rPr>
                <w:rFonts w:ascii="Calibri" w:eastAsia="新細明體" w:hAnsi="Calibri" w:cs="Segoe UI" w:hint="eastAsia"/>
                <w:i/>
                <w:kern w:val="2"/>
                <w:sz w:val="17"/>
                <w:szCs w:val="17"/>
                <w:lang w:val="en-US" w:eastAsia="zh-TW"/>
              </w:rPr>
              <w:t>受第</w:t>
            </w:r>
            <w:r w:rsidRPr="00DA6DF1">
              <w:rPr>
                <w:rFonts w:ascii="Calibri" w:eastAsia="新細明體" w:hAnsi="Calibri" w:cs="Segoe UI"/>
                <w:i/>
                <w:kern w:val="2"/>
                <w:sz w:val="17"/>
                <w:szCs w:val="17"/>
                <w:lang w:val="en-US" w:eastAsia="zh-TW"/>
              </w:rPr>
              <w:t>2</w:t>
            </w:r>
            <w:r w:rsidRPr="00DA6DF1">
              <w:rPr>
                <w:rFonts w:ascii="Calibri" w:eastAsia="新細明體" w:hAnsi="Calibri" w:cs="Segoe UI" w:hint="eastAsia"/>
                <w:i/>
                <w:kern w:val="2"/>
                <w:sz w:val="17"/>
                <w:szCs w:val="17"/>
                <w:lang w:val="en-US" w:eastAsia="zh-TW"/>
              </w:rPr>
              <w:t>行涵蓋的少數股東權益</w:t>
            </w:r>
            <w:r w:rsidRPr="00DA6DF1">
              <w:rPr>
                <w:rFonts w:ascii="Calibri" w:eastAsia="新細明體" w:hAnsi="Calibri" w:cs="Segoe UI" w:hint="eastAsia"/>
                <w:kern w:val="2"/>
                <w:sz w:val="17"/>
                <w:szCs w:val="17"/>
                <w:lang w:val="en-US" w:eastAsia="zh-TW"/>
              </w:rPr>
              <w:t>：若有少數股東權益具指明剩餘到期期限，應在相關欄</w:t>
            </w:r>
            <w:r w:rsidR="002342E8" w:rsidRPr="002342E8">
              <w:rPr>
                <w:rFonts w:ascii="Calibri" w:eastAsia="細明體" w:hAnsi="Calibri" w:cs="Segoe UI" w:hint="eastAsia"/>
                <w:kern w:val="2"/>
                <w:sz w:val="17"/>
                <w:szCs w:val="17"/>
                <w:lang w:val="en-US" w:eastAsia="zh-TW"/>
              </w:rPr>
              <w:t>填</w:t>
            </w:r>
            <w:r w:rsidRPr="00DA6DF1">
              <w:rPr>
                <w:rFonts w:ascii="Calibri" w:eastAsia="新細明體" w:hAnsi="Calibri" w:cs="Segoe UI" w:hint="eastAsia"/>
                <w:kern w:val="2"/>
                <w:sz w:val="17"/>
                <w:szCs w:val="17"/>
                <w:lang w:val="en-US" w:eastAsia="zh-TW"/>
              </w:rPr>
              <w:t>報，否則在</w:t>
            </w:r>
            <w:r w:rsidRPr="00DA6DF1">
              <w:rPr>
                <w:rFonts w:ascii="Calibri" w:eastAsia="細明體" w:hAnsi="Calibri" w:cs="Segoe UI" w:hint="eastAsia"/>
                <w:kern w:val="2"/>
                <w:sz w:val="17"/>
                <w:szCs w:val="17"/>
                <w:lang w:val="en-US" w:eastAsia="zh-TW"/>
              </w:rPr>
              <w:t>「無指明剩餘到期期限」（即</w:t>
            </w:r>
            <w:r w:rsidRPr="00DA6DF1">
              <w:rPr>
                <w:rFonts w:ascii="Calibri" w:eastAsia="細明體" w:hAnsi="Calibri" w:cs="Segoe UI"/>
                <w:kern w:val="2"/>
                <w:sz w:val="17"/>
                <w:szCs w:val="17"/>
                <w:lang w:val="en-US" w:eastAsia="zh-TW"/>
              </w:rPr>
              <w:t>(a)</w:t>
            </w:r>
            <w:r w:rsidRPr="00DA6DF1">
              <w:rPr>
                <w:rFonts w:ascii="Calibri" w:eastAsia="新細明體" w:hAnsi="Calibri" w:cs="Segoe UI" w:hint="eastAsia"/>
                <w:kern w:val="2"/>
                <w:sz w:val="17"/>
                <w:szCs w:val="17"/>
                <w:lang w:val="en-US" w:eastAsia="zh-TW"/>
              </w:rPr>
              <w:t>欄</w:t>
            </w:r>
            <w:r w:rsidRPr="00DA6DF1">
              <w:rPr>
                <w:rFonts w:ascii="Calibri" w:eastAsia="細明體" w:hAnsi="Calibri" w:cs="Segoe UI" w:hint="eastAsia"/>
                <w:kern w:val="2"/>
                <w:sz w:val="17"/>
                <w:szCs w:val="17"/>
                <w:lang w:val="en-US" w:eastAsia="zh-TW"/>
              </w:rPr>
              <w:t>）項下</w:t>
            </w:r>
            <w:r w:rsidR="002342E8" w:rsidRPr="002342E8">
              <w:rPr>
                <w:rFonts w:ascii="Calibri" w:eastAsia="細明體" w:hAnsi="Calibri" w:cs="Segoe UI" w:hint="eastAsia"/>
                <w:kern w:val="2"/>
                <w:sz w:val="17"/>
                <w:szCs w:val="17"/>
                <w:lang w:val="en-US" w:eastAsia="zh-TW"/>
              </w:rPr>
              <w:t>填</w:t>
            </w:r>
            <w:r w:rsidRPr="00DA6DF1">
              <w:rPr>
                <w:rFonts w:ascii="Calibri" w:eastAsia="細明體" w:hAnsi="Calibri" w:cs="Segoe UI" w:hint="eastAsia"/>
                <w:kern w:val="2"/>
                <w:sz w:val="17"/>
                <w:szCs w:val="17"/>
                <w:lang w:val="en-US" w:eastAsia="zh-TW"/>
              </w:rPr>
              <w:t>報。</w:t>
            </w:r>
          </w:p>
        </w:tc>
      </w:tr>
      <w:tr w:rsidR="00DA6DF1" w:rsidRPr="00DA6DF1" w14:paraId="31E8C861" w14:textId="77777777" w:rsidTr="00B10B11">
        <w:trPr>
          <w:trHeight w:val="373"/>
        </w:trPr>
        <w:tc>
          <w:tcPr>
            <w:tcW w:w="568" w:type="dxa"/>
          </w:tcPr>
          <w:p w14:paraId="24D9B882"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3</w:t>
            </w:r>
          </w:p>
        </w:tc>
        <w:tc>
          <w:tcPr>
            <w:tcW w:w="8505" w:type="dxa"/>
          </w:tcPr>
          <w:p w14:paraId="4F88105E"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其他資本票據</w:t>
            </w:r>
            <w:r w:rsidRPr="00DA6DF1">
              <w:rPr>
                <w:rFonts w:ascii="Calibri" w:eastAsia="細明體" w:hAnsi="Calibri" w:cs="Segoe UI"/>
                <w:kern w:val="2"/>
                <w:sz w:val="17"/>
                <w:szCs w:val="17"/>
                <w:lang w:val="en-US" w:eastAsia="zh-TW"/>
              </w:rPr>
              <w:t>：沒有計入第</w:t>
            </w:r>
            <w:r w:rsidRPr="00DA6DF1">
              <w:rPr>
                <w:rFonts w:ascii="Calibri" w:eastAsia="細明體" w:hAnsi="Calibri" w:cs="Segoe UI"/>
                <w:kern w:val="2"/>
                <w:sz w:val="17"/>
                <w:szCs w:val="17"/>
                <w:lang w:val="en-US" w:eastAsia="zh-TW"/>
              </w:rPr>
              <w:t>2</w:t>
            </w:r>
            <w:r w:rsidRPr="00DA6DF1">
              <w:rPr>
                <w:rFonts w:ascii="Calibri" w:eastAsia="細明體" w:hAnsi="Calibri" w:cs="Segoe UI"/>
                <w:kern w:val="2"/>
                <w:sz w:val="17"/>
                <w:szCs w:val="17"/>
                <w:lang w:val="en-US" w:eastAsia="zh-TW"/>
              </w:rPr>
              <w:t>或</w:t>
            </w:r>
            <w:r w:rsidRPr="00DA6DF1">
              <w:rPr>
                <w:rFonts w:ascii="Calibri" w:eastAsia="細明體" w:hAnsi="Calibri" w:cs="Segoe UI"/>
                <w:kern w:val="2"/>
                <w:sz w:val="17"/>
                <w:szCs w:val="17"/>
                <w:lang w:val="en-US" w:eastAsia="zh-TW"/>
              </w:rPr>
              <w:t>2a</w:t>
            </w:r>
            <w:r w:rsidRPr="00DA6DF1">
              <w:rPr>
                <w:rFonts w:ascii="Calibri" w:eastAsia="細明體" w:hAnsi="Calibri" w:cs="Segoe UI"/>
                <w:kern w:val="2"/>
                <w:sz w:val="17"/>
                <w:szCs w:val="17"/>
                <w:lang w:val="en-US" w:eastAsia="zh-TW"/>
              </w:rPr>
              <w:t>行的任何資本票據的總額。</w:t>
            </w:r>
          </w:p>
        </w:tc>
      </w:tr>
      <w:tr w:rsidR="00DA6DF1" w:rsidRPr="00DA6DF1" w14:paraId="30A0BA41" w14:textId="77777777" w:rsidTr="00B10B11">
        <w:trPr>
          <w:trHeight w:val="373"/>
        </w:trPr>
        <w:tc>
          <w:tcPr>
            <w:tcW w:w="568" w:type="dxa"/>
          </w:tcPr>
          <w:p w14:paraId="4A5C1019"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4</w:t>
            </w:r>
          </w:p>
        </w:tc>
        <w:tc>
          <w:tcPr>
            <w:tcW w:w="8505" w:type="dxa"/>
          </w:tcPr>
          <w:p w14:paraId="48E26746"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零售存款及小型企業借款</w:t>
            </w:r>
            <w:r w:rsidRPr="00DA6DF1">
              <w:rPr>
                <w:rFonts w:ascii="Calibri" w:eastAsia="細明體" w:hAnsi="Calibri" w:cs="Segoe UI"/>
                <w:kern w:val="2"/>
                <w:sz w:val="17"/>
                <w:szCs w:val="17"/>
                <w:lang w:val="en-US" w:eastAsia="zh-TW"/>
              </w:rPr>
              <w:t>：如《流動性規則》第</w:t>
            </w:r>
            <w:r w:rsidRPr="00DA6DF1">
              <w:rPr>
                <w:rFonts w:ascii="Calibri" w:eastAsia="細明體" w:hAnsi="Calibri" w:cs="Segoe UI"/>
                <w:kern w:val="2"/>
                <w:sz w:val="17"/>
                <w:szCs w:val="17"/>
                <w:lang w:val="en-US" w:eastAsia="zh-TW"/>
              </w:rPr>
              <w:t>39</w:t>
            </w:r>
            <w:r w:rsidRPr="00DA6DF1">
              <w:rPr>
                <w:rFonts w:ascii="Calibri" w:eastAsia="細明體" w:hAnsi="Calibri" w:cs="Segoe UI"/>
                <w:kern w:val="2"/>
                <w:sz w:val="17"/>
                <w:szCs w:val="17"/>
                <w:lang w:val="en-US" w:eastAsia="zh-TW"/>
              </w:rPr>
              <w:t>條所界定，相等於第</w:t>
            </w:r>
            <w:r w:rsidRPr="00DA6DF1">
              <w:rPr>
                <w:rFonts w:ascii="Calibri" w:eastAsia="細明體" w:hAnsi="Calibri" w:cs="Segoe UI"/>
                <w:kern w:val="2"/>
                <w:sz w:val="17"/>
                <w:szCs w:val="17"/>
                <w:lang w:val="en-US" w:eastAsia="zh-TW"/>
              </w:rPr>
              <w:t>5</w:t>
            </w:r>
            <w:r w:rsidRPr="00DA6DF1">
              <w:rPr>
                <w:rFonts w:ascii="Calibri" w:eastAsia="細明體" w:hAnsi="Calibri" w:cs="Segoe UI"/>
                <w:kern w:val="2"/>
                <w:sz w:val="17"/>
                <w:szCs w:val="17"/>
                <w:lang w:val="en-US" w:eastAsia="zh-TW"/>
              </w:rPr>
              <w:t>及</w:t>
            </w:r>
            <w:r w:rsidRPr="00DA6DF1">
              <w:rPr>
                <w:rFonts w:ascii="Calibri" w:eastAsia="細明體" w:hAnsi="Calibri" w:cs="Segoe UI"/>
                <w:kern w:val="2"/>
                <w:sz w:val="17"/>
                <w:szCs w:val="17"/>
                <w:lang w:val="en-US" w:eastAsia="zh-TW"/>
              </w:rPr>
              <w:t>6</w:t>
            </w:r>
            <w:r w:rsidRPr="00DA6DF1">
              <w:rPr>
                <w:rFonts w:ascii="Calibri" w:eastAsia="細明體" w:hAnsi="Calibri" w:cs="Segoe UI"/>
                <w:kern w:val="2"/>
                <w:sz w:val="17"/>
                <w:szCs w:val="17"/>
                <w:lang w:val="en-US" w:eastAsia="zh-TW"/>
              </w:rPr>
              <w:t>行值的總和。</w:t>
            </w:r>
          </w:p>
        </w:tc>
      </w:tr>
      <w:tr w:rsidR="00DA6DF1" w:rsidRPr="00DA6DF1" w14:paraId="5B106940" w14:textId="77777777" w:rsidTr="00B10B11">
        <w:trPr>
          <w:trHeight w:val="373"/>
        </w:trPr>
        <w:tc>
          <w:tcPr>
            <w:tcW w:w="568" w:type="dxa"/>
          </w:tcPr>
          <w:p w14:paraId="21161094"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5</w:t>
            </w:r>
          </w:p>
        </w:tc>
        <w:tc>
          <w:tcPr>
            <w:tcW w:w="8505" w:type="dxa"/>
          </w:tcPr>
          <w:p w14:paraId="6686C3BF"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穩定存款</w:t>
            </w:r>
            <w:r w:rsidRPr="00DA6DF1">
              <w:rPr>
                <w:rFonts w:ascii="Calibri" w:eastAsia="細明體" w:hAnsi="Calibri" w:cs="Segoe UI"/>
                <w:kern w:val="2"/>
                <w:sz w:val="17"/>
                <w:szCs w:val="17"/>
                <w:lang w:val="en-US" w:eastAsia="zh-TW"/>
              </w:rPr>
              <w:t>：包含《流動性規則》所界定的穩定零售存款及穩定小型企業借款。</w:t>
            </w:r>
          </w:p>
        </w:tc>
      </w:tr>
      <w:tr w:rsidR="00DA6DF1" w:rsidRPr="00DA6DF1" w14:paraId="018AC076" w14:textId="77777777" w:rsidTr="00B10B11">
        <w:trPr>
          <w:trHeight w:val="373"/>
        </w:trPr>
        <w:tc>
          <w:tcPr>
            <w:tcW w:w="568" w:type="dxa"/>
          </w:tcPr>
          <w:p w14:paraId="1FA2A78D"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6</w:t>
            </w:r>
          </w:p>
        </w:tc>
        <w:tc>
          <w:tcPr>
            <w:tcW w:w="8505" w:type="dxa"/>
          </w:tcPr>
          <w:p w14:paraId="3E0283E5" w14:textId="0C437388" w:rsidR="00DA6DF1" w:rsidRPr="00DA6DF1" w:rsidRDefault="00DA6DF1" w:rsidP="00C846D8">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較不穩定存款</w:t>
            </w:r>
            <w:r w:rsidRPr="00DA6DF1">
              <w:rPr>
                <w:rFonts w:ascii="Calibri" w:eastAsia="細明體" w:hAnsi="Calibri" w:cs="Segoe UI"/>
                <w:kern w:val="2"/>
                <w:sz w:val="17"/>
                <w:szCs w:val="17"/>
                <w:lang w:val="en-US" w:eastAsia="zh-TW"/>
              </w:rPr>
              <w:t>：包含以上第</w:t>
            </w:r>
            <w:r w:rsidRPr="00DA6DF1">
              <w:rPr>
                <w:rFonts w:ascii="Calibri" w:eastAsia="細明體" w:hAnsi="Calibri" w:cs="Segoe UI"/>
                <w:kern w:val="2"/>
                <w:sz w:val="17"/>
                <w:szCs w:val="17"/>
                <w:lang w:val="en-US" w:eastAsia="zh-TW"/>
              </w:rPr>
              <w:t>5</w:t>
            </w:r>
            <w:r w:rsidRPr="00DA6DF1">
              <w:rPr>
                <w:rFonts w:ascii="Calibri" w:eastAsia="細明體" w:hAnsi="Calibri" w:cs="Segoe UI"/>
                <w:kern w:val="2"/>
                <w:sz w:val="17"/>
                <w:szCs w:val="17"/>
                <w:lang w:val="en-US" w:eastAsia="zh-TW"/>
              </w:rPr>
              <w:t>行尚未涵蓋，如《流動性規則》所界定的零售存款及小型企業借款。</w:t>
            </w:r>
          </w:p>
        </w:tc>
      </w:tr>
      <w:tr w:rsidR="00DA6DF1" w:rsidRPr="00DA6DF1" w14:paraId="4CCEBCF6" w14:textId="77777777" w:rsidTr="00B10B11">
        <w:trPr>
          <w:trHeight w:val="373"/>
        </w:trPr>
        <w:tc>
          <w:tcPr>
            <w:tcW w:w="568" w:type="dxa"/>
          </w:tcPr>
          <w:p w14:paraId="4306214B"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7</w:t>
            </w:r>
          </w:p>
        </w:tc>
        <w:tc>
          <w:tcPr>
            <w:tcW w:w="8505" w:type="dxa"/>
          </w:tcPr>
          <w:p w14:paraId="5D381D73"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批發借款</w:t>
            </w:r>
            <w:r w:rsidRPr="00DA6DF1">
              <w:rPr>
                <w:rFonts w:ascii="Calibri" w:eastAsia="細明體" w:hAnsi="Calibri" w:cs="Segoe UI"/>
                <w:kern w:val="2"/>
                <w:sz w:val="17"/>
                <w:szCs w:val="17"/>
                <w:lang w:val="en-US" w:eastAsia="zh-TW"/>
              </w:rPr>
              <w:t>：第</w:t>
            </w:r>
            <w:r w:rsidRPr="00DA6DF1">
              <w:rPr>
                <w:rFonts w:ascii="Calibri" w:eastAsia="細明體" w:hAnsi="Calibri" w:cs="Segoe UI"/>
                <w:kern w:val="2"/>
                <w:sz w:val="17"/>
                <w:szCs w:val="17"/>
                <w:lang w:val="en-US" w:eastAsia="zh-TW"/>
              </w:rPr>
              <w:t>8</w:t>
            </w:r>
            <w:r w:rsidRPr="00DA6DF1">
              <w:rPr>
                <w:rFonts w:ascii="Calibri" w:eastAsia="細明體" w:hAnsi="Calibri" w:cs="Segoe UI"/>
                <w:kern w:val="2"/>
                <w:sz w:val="17"/>
                <w:szCs w:val="17"/>
                <w:lang w:val="en-US" w:eastAsia="zh-TW"/>
              </w:rPr>
              <w:t>及</w:t>
            </w:r>
            <w:r w:rsidRPr="00DA6DF1">
              <w:rPr>
                <w:rFonts w:ascii="Calibri" w:eastAsia="細明體" w:hAnsi="Calibri" w:cs="Segoe UI"/>
                <w:kern w:val="2"/>
                <w:sz w:val="17"/>
                <w:szCs w:val="17"/>
                <w:lang w:val="en-US" w:eastAsia="zh-TW"/>
              </w:rPr>
              <w:t>9</w:t>
            </w:r>
            <w:r w:rsidRPr="00DA6DF1">
              <w:rPr>
                <w:rFonts w:ascii="Calibri" w:eastAsia="細明體" w:hAnsi="Calibri" w:cs="Segoe UI"/>
                <w:kern w:val="2"/>
                <w:sz w:val="17"/>
                <w:szCs w:val="17"/>
                <w:lang w:val="en-US" w:eastAsia="zh-TW"/>
              </w:rPr>
              <w:t>行的值的總和。</w:t>
            </w:r>
          </w:p>
        </w:tc>
      </w:tr>
      <w:tr w:rsidR="00DA6DF1" w:rsidRPr="00DA6DF1" w14:paraId="1E16A6CF" w14:textId="77777777" w:rsidTr="00B10B11">
        <w:trPr>
          <w:trHeight w:val="373"/>
        </w:trPr>
        <w:tc>
          <w:tcPr>
            <w:tcW w:w="568" w:type="dxa"/>
          </w:tcPr>
          <w:p w14:paraId="323410B2"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8</w:t>
            </w:r>
          </w:p>
        </w:tc>
        <w:tc>
          <w:tcPr>
            <w:tcW w:w="8505" w:type="dxa"/>
          </w:tcPr>
          <w:p w14:paraId="127142A6"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營運存款</w:t>
            </w:r>
            <w:r w:rsidRPr="00DA6DF1">
              <w:rPr>
                <w:rFonts w:ascii="Calibri" w:eastAsia="細明體" w:hAnsi="Calibri" w:cs="Segoe UI"/>
                <w:kern w:val="2"/>
                <w:sz w:val="17"/>
                <w:szCs w:val="17"/>
                <w:lang w:val="en-US" w:eastAsia="zh-TW"/>
              </w:rPr>
              <w:t>：如《流動性規則》第</w:t>
            </w:r>
            <w:r w:rsidRPr="00DA6DF1">
              <w:rPr>
                <w:rFonts w:ascii="Calibri" w:eastAsia="細明體" w:hAnsi="Calibri" w:cs="Segoe UI"/>
                <w:kern w:val="2"/>
                <w:sz w:val="17"/>
                <w:szCs w:val="17"/>
                <w:lang w:val="en-US" w:eastAsia="zh-TW"/>
              </w:rPr>
              <w:t>39</w:t>
            </w:r>
            <w:r w:rsidRPr="00DA6DF1">
              <w:rPr>
                <w:rFonts w:ascii="Calibri" w:eastAsia="細明體" w:hAnsi="Calibri" w:cs="Segoe UI"/>
                <w:kern w:val="2"/>
                <w:sz w:val="17"/>
                <w:szCs w:val="17"/>
                <w:lang w:val="en-US" w:eastAsia="zh-TW"/>
              </w:rPr>
              <w:t>條所界定。</w:t>
            </w:r>
          </w:p>
        </w:tc>
      </w:tr>
      <w:tr w:rsidR="00DA6DF1" w:rsidRPr="00DA6DF1" w14:paraId="14CAE43C" w14:textId="77777777" w:rsidTr="00B10B11">
        <w:trPr>
          <w:trHeight w:val="373"/>
        </w:trPr>
        <w:tc>
          <w:tcPr>
            <w:tcW w:w="568" w:type="dxa"/>
          </w:tcPr>
          <w:p w14:paraId="660A1822"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9</w:t>
            </w:r>
          </w:p>
        </w:tc>
        <w:tc>
          <w:tcPr>
            <w:tcW w:w="8505" w:type="dxa"/>
          </w:tcPr>
          <w:p w14:paraId="2C4CAE63"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其他批發借款</w:t>
            </w:r>
            <w:r w:rsidRPr="00DA6DF1">
              <w:rPr>
                <w:rFonts w:ascii="Calibri" w:eastAsia="細明體" w:hAnsi="Calibri" w:cs="Segoe UI"/>
                <w:kern w:val="2"/>
                <w:sz w:val="17"/>
                <w:szCs w:val="17"/>
                <w:lang w:val="en-US" w:eastAsia="zh-TW"/>
              </w:rPr>
              <w:t>：非金融</w:t>
            </w:r>
            <w:proofErr w:type="gramStart"/>
            <w:r w:rsidRPr="00DA6DF1">
              <w:rPr>
                <w:rFonts w:ascii="Calibri" w:eastAsia="細明體" w:hAnsi="Calibri" w:cs="Segoe UI"/>
                <w:kern w:val="2"/>
                <w:sz w:val="17"/>
                <w:szCs w:val="17"/>
                <w:lang w:val="en-US" w:eastAsia="zh-TW"/>
              </w:rPr>
              <w:t>類法團</w:t>
            </w:r>
            <w:proofErr w:type="gramEnd"/>
            <w:r w:rsidRPr="00DA6DF1">
              <w:rPr>
                <w:rFonts w:ascii="Calibri" w:eastAsia="細明體" w:hAnsi="Calibri" w:cs="Segoe UI"/>
                <w:kern w:val="2"/>
                <w:sz w:val="17"/>
                <w:szCs w:val="17"/>
                <w:lang w:val="en-US" w:eastAsia="zh-TW"/>
              </w:rPr>
              <w:t>（小型企業客戶除外）、官方實體、公營單位、多邊發展銀行、國家發展銀行、對為外匯基金帳戶行事的金融管理專員、中央銀行、金融機構及其他實體向該機構提供的借款（營運存款除外）。</w:t>
            </w:r>
          </w:p>
        </w:tc>
      </w:tr>
      <w:tr w:rsidR="00DA6DF1" w:rsidRPr="00DA6DF1" w14:paraId="2D967FAF" w14:textId="77777777" w:rsidTr="00B10B11">
        <w:trPr>
          <w:trHeight w:val="373"/>
        </w:trPr>
        <w:tc>
          <w:tcPr>
            <w:tcW w:w="568" w:type="dxa"/>
          </w:tcPr>
          <w:p w14:paraId="46A28439"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10</w:t>
            </w:r>
          </w:p>
        </w:tc>
        <w:tc>
          <w:tcPr>
            <w:tcW w:w="8505" w:type="dxa"/>
          </w:tcPr>
          <w:p w14:paraId="63B761E9"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細明體" w:hAnsi="Calibri" w:cs="Segoe UI"/>
                <w:kern w:val="2"/>
                <w:sz w:val="17"/>
                <w:szCs w:val="17"/>
                <w:lang w:val="en-US" w:eastAsia="zh-TW"/>
              </w:rPr>
            </w:pPr>
            <w:proofErr w:type="gramStart"/>
            <w:r w:rsidRPr="00DA6DF1">
              <w:rPr>
                <w:rFonts w:ascii="Calibri" w:eastAsia="細明體" w:hAnsi="Calibri" w:cs="Segoe UI"/>
                <w:i/>
                <w:kern w:val="2"/>
                <w:sz w:val="17"/>
                <w:szCs w:val="17"/>
                <w:lang w:val="en-US" w:eastAsia="zh-TW"/>
              </w:rPr>
              <w:t>具互有</w:t>
            </w:r>
            <w:proofErr w:type="gramEnd"/>
            <w:r w:rsidRPr="00DA6DF1">
              <w:rPr>
                <w:rFonts w:ascii="Calibri" w:eastAsia="細明體" w:hAnsi="Calibri" w:cs="Segoe UI"/>
                <w:i/>
                <w:kern w:val="2"/>
                <w:sz w:val="17"/>
                <w:szCs w:val="17"/>
                <w:lang w:val="en-US" w:eastAsia="zh-TW"/>
              </w:rPr>
              <w:t>關連資產作配對的負債</w:t>
            </w:r>
            <w:r w:rsidRPr="00DA6DF1">
              <w:rPr>
                <w:rFonts w:ascii="Calibri" w:eastAsia="細明體" w:hAnsi="Calibri" w:cs="Segoe UI"/>
                <w:kern w:val="2"/>
                <w:sz w:val="17"/>
                <w:szCs w:val="17"/>
                <w:lang w:val="en-US" w:eastAsia="zh-TW"/>
              </w:rPr>
              <w:t>：符合《流動性規則》第</w:t>
            </w:r>
            <w:r w:rsidRPr="00DA6DF1">
              <w:rPr>
                <w:rFonts w:ascii="Calibri" w:eastAsia="細明體" w:hAnsi="Calibri" w:cs="Segoe UI"/>
                <w:kern w:val="2"/>
                <w:sz w:val="17"/>
                <w:szCs w:val="17"/>
                <w:lang w:val="en-US" w:eastAsia="zh-TW"/>
              </w:rPr>
              <w:t>70</w:t>
            </w:r>
            <w:r w:rsidRPr="00DA6DF1">
              <w:rPr>
                <w:rFonts w:ascii="Calibri" w:eastAsia="細明體" w:hAnsi="Calibri" w:cs="Segoe UI"/>
                <w:kern w:val="2"/>
                <w:sz w:val="17"/>
                <w:szCs w:val="17"/>
                <w:lang w:val="en-US" w:eastAsia="zh-TW"/>
              </w:rPr>
              <w:t>條的說明，並與互有關連資產配對的負債，應計入本行，但應從所有其他</w:t>
            </w:r>
            <w:r w:rsidRPr="00DA6DF1">
              <w:rPr>
                <w:rFonts w:ascii="Calibri" w:eastAsia="細明體" w:hAnsi="Calibri" w:cs="Segoe UI"/>
                <w:kern w:val="2"/>
                <w:sz w:val="17"/>
                <w:szCs w:val="17"/>
                <w:lang w:val="en-US" w:eastAsia="zh-TW"/>
              </w:rPr>
              <w:t>ASF</w:t>
            </w:r>
            <w:r w:rsidRPr="00DA6DF1">
              <w:rPr>
                <w:rFonts w:ascii="Calibri" w:eastAsia="細明體" w:hAnsi="Calibri" w:cs="Segoe UI"/>
                <w:kern w:val="2"/>
                <w:sz w:val="17"/>
                <w:szCs w:val="17"/>
                <w:lang w:val="en-US" w:eastAsia="zh-TW"/>
              </w:rPr>
              <w:t>項目</w:t>
            </w:r>
            <w:proofErr w:type="gramStart"/>
            <w:r w:rsidRPr="00DA6DF1">
              <w:rPr>
                <w:rFonts w:ascii="Calibri" w:eastAsia="細明體" w:hAnsi="Calibri" w:cs="Segoe UI"/>
                <w:kern w:val="2"/>
                <w:sz w:val="17"/>
                <w:szCs w:val="17"/>
                <w:lang w:val="en-US" w:eastAsia="zh-TW"/>
              </w:rPr>
              <w:t>中豁除</w:t>
            </w:r>
            <w:proofErr w:type="gramEnd"/>
            <w:r w:rsidRPr="00DA6DF1">
              <w:rPr>
                <w:rFonts w:ascii="Calibri" w:eastAsia="細明體" w:hAnsi="Calibri" w:cs="Segoe UI"/>
                <w:kern w:val="2"/>
                <w:sz w:val="17"/>
                <w:szCs w:val="17"/>
                <w:lang w:val="en-US" w:eastAsia="zh-TW"/>
              </w:rPr>
              <w:t>。若為發鈔銀行，本行亦應計入由其發行作為流通法定紙幣的數額，如下</w:t>
            </w:r>
            <w:proofErr w:type="gramStart"/>
            <w:r w:rsidRPr="00DA6DF1">
              <w:rPr>
                <w:rFonts w:ascii="Calibri" w:eastAsia="細明體" w:hAnsi="Calibri" w:cs="Segoe UI"/>
                <w:kern w:val="2"/>
                <w:sz w:val="17"/>
                <w:szCs w:val="17"/>
                <w:lang w:val="en-US" w:eastAsia="zh-TW"/>
              </w:rPr>
              <w:t>﹕</w:t>
            </w:r>
            <w:proofErr w:type="gramEnd"/>
          </w:p>
          <w:p w14:paraId="0D34145E" w14:textId="77777777" w:rsidR="00DA6DF1" w:rsidRPr="00DA6DF1" w:rsidRDefault="00DA6DF1" w:rsidP="00D540EB">
            <w:pPr>
              <w:keepLines/>
              <w:widowControl w:val="0"/>
              <w:numPr>
                <w:ilvl w:val="0"/>
                <w:numId w:val="18"/>
              </w:numPr>
              <w:tabs>
                <w:tab w:val="left" w:pos="459"/>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kern w:val="2"/>
                <w:sz w:val="17"/>
                <w:szCs w:val="17"/>
                <w:lang w:val="en-US" w:eastAsia="zh-TW"/>
              </w:rPr>
              <w:t>非加權值，有關流通的法定貨幣紙幣應在</w:t>
            </w:r>
            <w:r w:rsidRPr="00DA6DF1">
              <w:rPr>
                <w:rFonts w:ascii="Calibri" w:eastAsia="細明體" w:hAnsi="Calibri" w:cs="Segoe UI"/>
                <w:kern w:val="2"/>
                <w:sz w:val="17"/>
                <w:szCs w:val="17"/>
                <w:lang w:val="en-US" w:eastAsia="zh-TW"/>
              </w:rPr>
              <w:t>(a)</w:t>
            </w:r>
            <w:r w:rsidRPr="00DA6DF1">
              <w:rPr>
                <w:rFonts w:ascii="Calibri" w:eastAsia="細明體" w:hAnsi="Calibri" w:cs="Segoe UI"/>
                <w:kern w:val="2"/>
                <w:sz w:val="17"/>
                <w:szCs w:val="17"/>
                <w:lang w:val="en-US" w:eastAsia="zh-TW"/>
              </w:rPr>
              <w:t>欄「無指明剩餘到期期限」填報</w:t>
            </w:r>
            <w:r w:rsidRPr="00DA6DF1">
              <w:rPr>
                <w:rFonts w:ascii="Calibri" w:eastAsia="細明體" w:hAnsi="Calibri" w:cs="Segoe UI"/>
                <w:kern w:val="2"/>
                <w:sz w:val="24"/>
                <w:szCs w:val="17"/>
                <w:lang w:val="en-US" w:eastAsia="zh-TW"/>
              </w:rPr>
              <w:t>；</w:t>
            </w:r>
          </w:p>
          <w:p w14:paraId="21FE2321" w14:textId="77777777" w:rsidR="00DA6DF1" w:rsidRPr="00DA6DF1" w:rsidRDefault="00DA6DF1" w:rsidP="00D540EB">
            <w:pPr>
              <w:keepLines/>
              <w:widowControl w:val="0"/>
              <w:numPr>
                <w:ilvl w:val="0"/>
                <w:numId w:val="18"/>
              </w:numPr>
              <w:tabs>
                <w:tab w:val="left" w:pos="459"/>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kern w:val="2"/>
                <w:sz w:val="17"/>
                <w:szCs w:val="17"/>
                <w:lang w:val="en-US" w:eastAsia="zh-TW"/>
              </w:rPr>
              <w:t>加權值，發鈔銀行可根據《流動性規則》第</w:t>
            </w:r>
            <w:r w:rsidRPr="00DA6DF1">
              <w:rPr>
                <w:rFonts w:ascii="Calibri" w:eastAsia="新細明體" w:hAnsi="Calibri" w:cs="Segoe UI"/>
                <w:kern w:val="2"/>
                <w:sz w:val="17"/>
                <w:szCs w:val="17"/>
                <w:lang w:val="en-US" w:eastAsia="zh-TW"/>
              </w:rPr>
              <w:t>69(2)</w:t>
            </w:r>
            <w:r w:rsidRPr="00DA6DF1">
              <w:rPr>
                <w:rFonts w:ascii="Calibri" w:eastAsia="新細明體" w:hAnsi="Calibri" w:cs="Segoe UI"/>
                <w:kern w:val="2"/>
                <w:sz w:val="17"/>
                <w:szCs w:val="17"/>
                <w:lang w:val="en-US" w:eastAsia="zh-TW"/>
              </w:rPr>
              <w:t>條</w:t>
            </w:r>
            <w:r w:rsidRPr="00DA6DF1">
              <w:rPr>
                <w:rFonts w:ascii="Calibri" w:eastAsia="細明體" w:hAnsi="Calibri" w:cs="Segoe UI"/>
                <w:kern w:val="2"/>
                <w:sz w:val="17"/>
                <w:szCs w:val="17"/>
                <w:lang w:val="en-US" w:eastAsia="zh-TW"/>
              </w:rPr>
              <w:t>選擇</w:t>
            </w:r>
            <w:r w:rsidRPr="00DA6DF1">
              <w:rPr>
                <w:rFonts w:ascii="Calibri" w:eastAsia="細明體" w:hAnsi="Calibri" w:cs="Segoe UI"/>
                <w:kern w:val="2"/>
                <w:sz w:val="17"/>
                <w:szCs w:val="17"/>
                <w:lang w:val="en-US" w:eastAsia="zh-TW"/>
              </w:rPr>
              <w:t>: (</w:t>
            </w:r>
            <w:r w:rsidRPr="00DA6DF1">
              <w:rPr>
                <w:rFonts w:ascii="Calibri" w:eastAsia="新細明體" w:hAnsi="Calibri" w:cs="Segoe UI"/>
                <w:kern w:val="2"/>
                <w:sz w:val="17"/>
                <w:szCs w:val="17"/>
                <w:lang w:val="en-US" w:eastAsia="zh-TW"/>
              </w:rPr>
              <w:t>a</w:t>
            </w:r>
            <w:r w:rsidRPr="00DA6DF1">
              <w:rPr>
                <w:rFonts w:ascii="Calibri" w:eastAsia="細明體" w:hAnsi="Calibri" w:cs="Segoe UI"/>
                <w:kern w:val="2"/>
                <w:sz w:val="17"/>
                <w:szCs w:val="17"/>
                <w:lang w:val="en-US" w:eastAsia="zh-TW"/>
              </w:rPr>
              <w:t xml:space="preserve">) </w:t>
            </w:r>
            <w:r w:rsidRPr="00DA6DF1">
              <w:rPr>
                <w:rFonts w:ascii="Calibri" w:eastAsia="新細明體" w:hAnsi="Calibri" w:cs="Segoe UI"/>
                <w:kern w:val="2"/>
                <w:sz w:val="17"/>
                <w:szCs w:val="17"/>
                <w:lang w:val="en-US" w:eastAsia="zh-TW"/>
              </w:rPr>
              <w:t>將法定貨幣紙幣</w:t>
            </w:r>
            <w:r w:rsidRPr="00DA6DF1">
              <w:rPr>
                <w:rFonts w:ascii="Calibri" w:eastAsia="細明體" w:hAnsi="Calibri" w:cs="Segoe UI"/>
                <w:kern w:val="2"/>
                <w:sz w:val="17"/>
                <w:szCs w:val="17"/>
                <w:lang w:val="en-US" w:eastAsia="zh-TW"/>
              </w:rPr>
              <w:t>的數額</w:t>
            </w:r>
            <w:r w:rsidRPr="00DA6DF1">
              <w:rPr>
                <w:rFonts w:ascii="Calibri" w:eastAsia="新細明體" w:hAnsi="Calibri" w:cs="Segoe UI"/>
                <w:kern w:val="2"/>
                <w:sz w:val="17"/>
                <w:szCs w:val="17"/>
                <w:lang w:val="en-US" w:eastAsia="zh-TW"/>
              </w:rPr>
              <w:t>視作</w:t>
            </w:r>
            <w:r w:rsidRPr="00DA6DF1">
              <w:rPr>
                <w:rFonts w:ascii="Calibri" w:eastAsia="新細明體" w:hAnsi="Calibri" w:cs="Segoe UI"/>
                <w:kern w:val="2"/>
                <w:sz w:val="17"/>
                <w:szCs w:val="17"/>
                <w:lang w:val="en-US" w:eastAsia="zh-TW"/>
              </w:rPr>
              <w:t>$0</w:t>
            </w:r>
            <w:r w:rsidRPr="00DA6DF1">
              <w:rPr>
                <w:rFonts w:ascii="Calibri" w:eastAsia="新細明體" w:hAnsi="Calibri" w:cs="Segoe UI"/>
                <w:kern w:val="2"/>
                <w:sz w:val="17"/>
                <w:szCs w:val="17"/>
                <w:lang w:val="en-US" w:eastAsia="zh-TW"/>
              </w:rPr>
              <w:t>；或</w:t>
            </w:r>
            <w:r w:rsidRPr="00DA6DF1">
              <w:rPr>
                <w:rFonts w:ascii="Calibri" w:eastAsia="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b</w:t>
            </w:r>
            <w:r w:rsidRPr="00DA6DF1">
              <w:rPr>
                <w:rFonts w:ascii="Calibri" w:eastAsia="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應用</w:t>
            </w:r>
            <w:r w:rsidRPr="00DA6DF1">
              <w:rPr>
                <w:rFonts w:ascii="Calibri" w:eastAsia="細明體" w:hAnsi="Calibri" w:cs="Segoe UI"/>
                <w:kern w:val="2"/>
                <w:sz w:val="17"/>
                <w:szCs w:val="17"/>
                <w:lang w:val="en-US" w:eastAsia="zh-TW"/>
              </w:rPr>
              <w:t>《流動性規則》第</w:t>
            </w:r>
            <w:r w:rsidRPr="00DA6DF1">
              <w:rPr>
                <w:rFonts w:ascii="Calibri" w:eastAsia="新細明體" w:hAnsi="Calibri" w:cs="Segoe UI"/>
                <w:kern w:val="2"/>
                <w:sz w:val="17"/>
                <w:szCs w:val="17"/>
                <w:lang w:val="en-US" w:eastAsia="zh-TW"/>
              </w:rPr>
              <w:t xml:space="preserve">65 </w:t>
            </w:r>
            <w:r w:rsidRPr="00DA6DF1">
              <w:rPr>
                <w:rFonts w:ascii="Calibri" w:eastAsia="新細明體" w:hAnsi="Calibri" w:cs="Segoe UI"/>
                <w:kern w:val="2"/>
                <w:sz w:val="17"/>
                <w:szCs w:val="17"/>
                <w:lang w:val="en-US" w:eastAsia="zh-TW"/>
              </w:rPr>
              <w:t>及</w:t>
            </w:r>
            <w:r w:rsidRPr="00DA6DF1">
              <w:rPr>
                <w:rFonts w:ascii="Calibri" w:eastAsia="新細明體" w:hAnsi="Calibri" w:cs="Segoe UI"/>
                <w:kern w:val="2"/>
                <w:sz w:val="17"/>
                <w:szCs w:val="17"/>
                <w:lang w:val="en-US" w:eastAsia="zh-TW"/>
              </w:rPr>
              <w:t>68</w:t>
            </w:r>
            <w:r w:rsidRPr="00DA6DF1">
              <w:rPr>
                <w:rFonts w:ascii="Calibri" w:eastAsia="新細明體" w:hAnsi="Calibri" w:cs="Segoe UI"/>
                <w:kern w:val="2"/>
                <w:sz w:val="17"/>
                <w:szCs w:val="17"/>
                <w:lang w:val="en-US" w:eastAsia="zh-TW"/>
              </w:rPr>
              <w:t>條，以斷定有關的加權數額。</w:t>
            </w:r>
          </w:p>
        </w:tc>
      </w:tr>
      <w:tr w:rsidR="00DA6DF1" w:rsidRPr="00DA6DF1" w14:paraId="0A8A413B" w14:textId="77777777" w:rsidTr="00B10B11">
        <w:trPr>
          <w:trHeight w:val="373"/>
        </w:trPr>
        <w:tc>
          <w:tcPr>
            <w:tcW w:w="568" w:type="dxa"/>
          </w:tcPr>
          <w:p w14:paraId="01AD1620"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11</w:t>
            </w:r>
          </w:p>
        </w:tc>
        <w:tc>
          <w:tcPr>
            <w:tcW w:w="8505" w:type="dxa"/>
          </w:tcPr>
          <w:p w14:paraId="683669EB"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其他負債</w:t>
            </w:r>
            <w:r w:rsidRPr="00DA6DF1">
              <w:rPr>
                <w:rFonts w:ascii="Calibri" w:eastAsia="細明體" w:hAnsi="Calibri" w:cs="Segoe UI"/>
                <w:kern w:val="2"/>
                <w:sz w:val="17"/>
                <w:szCs w:val="17"/>
                <w:lang w:val="en-US" w:eastAsia="zh-TW"/>
              </w:rPr>
              <w:t>：第</w:t>
            </w:r>
            <w:r w:rsidRPr="00DA6DF1">
              <w:rPr>
                <w:rFonts w:ascii="Calibri" w:eastAsia="細明體" w:hAnsi="Calibri" w:cs="Segoe UI"/>
                <w:kern w:val="2"/>
                <w:sz w:val="17"/>
                <w:szCs w:val="17"/>
                <w:lang w:val="en-US" w:eastAsia="zh-TW"/>
              </w:rPr>
              <w:t>12</w:t>
            </w:r>
            <w:r w:rsidRPr="00DA6DF1">
              <w:rPr>
                <w:rFonts w:ascii="Calibri" w:eastAsia="細明體" w:hAnsi="Calibri" w:cs="Segoe UI"/>
                <w:kern w:val="2"/>
                <w:sz w:val="17"/>
                <w:szCs w:val="17"/>
                <w:lang w:val="en-US" w:eastAsia="zh-TW"/>
              </w:rPr>
              <w:t>及</w:t>
            </w:r>
            <w:r w:rsidRPr="00DA6DF1">
              <w:rPr>
                <w:rFonts w:ascii="Calibri" w:eastAsia="細明體" w:hAnsi="Calibri" w:cs="Segoe UI"/>
                <w:kern w:val="2"/>
                <w:sz w:val="17"/>
                <w:szCs w:val="17"/>
                <w:lang w:val="en-US" w:eastAsia="zh-TW"/>
              </w:rPr>
              <w:t>13</w:t>
            </w:r>
            <w:r w:rsidRPr="00DA6DF1">
              <w:rPr>
                <w:rFonts w:ascii="Calibri" w:eastAsia="細明體" w:hAnsi="Calibri" w:cs="Segoe UI"/>
                <w:kern w:val="2"/>
                <w:sz w:val="17"/>
                <w:szCs w:val="17"/>
                <w:lang w:val="en-US" w:eastAsia="zh-TW"/>
              </w:rPr>
              <w:t>行的值的總和。</w:t>
            </w:r>
          </w:p>
        </w:tc>
      </w:tr>
      <w:tr w:rsidR="00DA6DF1" w:rsidRPr="00DA6DF1" w14:paraId="5EFF84F8" w14:textId="77777777" w:rsidTr="00B10B11">
        <w:trPr>
          <w:trHeight w:val="373"/>
        </w:trPr>
        <w:tc>
          <w:tcPr>
            <w:tcW w:w="568" w:type="dxa"/>
          </w:tcPr>
          <w:p w14:paraId="74F52B47"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12</w:t>
            </w:r>
          </w:p>
        </w:tc>
        <w:tc>
          <w:tcPr>
            <w:tcW w:w="8505" w:type="dxa"/>
          </w:tcPr>
          <w:p w14:paraId="7C8A417E" w14:textId="1FEDE44B"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衍生工具負債淨額</w:t>
            </w:r>
            <w:r w:rsidRPr="00DA6DF1">
              <w:rPr>
                <w:rFonts w:ascii="Calibri" w:eastAsia="細明體" w:hAnsi="Calibri" w:cs="Segoe UI"/>
                <w:kern w:val="2"/>
                <w:sz w:val="17"/>
                <w:szCs w:val="17"/>
                <w:lang w:val="en-US" w:eastAsia="zh-TW"/>
              </w:rPr>
              <w:t>：在非加權方格內</w:t>
            </w:r>
            <w:r w:rsidR="00EE6DDF"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報按照《流動性規則》第</w:t>
            </w:r>
            <w:r w:rsidRPr="00DA6DF1">
              <w:rPr>
                <w:rFonts w:ascii="Calibri" w:eastAsia="細明體" w:hAnsi="Calibri" w:cs="Segoe UI"/>
                <w:kern w:val="2"/>
                <w:sz w:val="17"/>
                <w:szCs w:val="17"/>
                <w:lang w:val="en-US" w:eastAsia="zh-TW"/>
              </w:rPr>
              <w:t>9</w:t>
            </w:r>
            <w:r w:rsidRPr="00DA6DF1">
              <w:rPr>
                <w:rFonts w:ascii="Calibri" w:eastAsia="細明體" w:hAnsi="Calibri" w:cs="Segoe UI"/>
                <w:kern w:val="2"/>
                <w:sz w:val="17"/>
                <w:szCs w:val="17"/>
                <w:lang w:val="en-US" w:eastAsia="zh-TW"/>
              </w:rPr>
              <w:t>部計算的</w:t>
            </w:r>
            <w:r w:rsidRPr="00DA6DF1">
              <w:rPr>
                <w:rFonts w:ascii="Calibri" w:eastAsia="新細明體" w:hAnsi="Calibri" w:cs="Segoe UI"/>
                <w:kern w:val="2"/>
                <w:sz w:val="17"/>
                <w:szCs w:val="17"/>
                <w:lang w:val="en-US" w:eastAsia="zh-TW"/>
              </w:rPr>
              <w:t>衍生工具負債淨額的數額</w:t>
            </w:r>
            <w:proofErr w:type="gramStart"/>
            <w:r w:rsidRPr="00DA6DF1">
              <w:rPr>
                <w:rFonts w:ascii="Calibri" w:eastAsia="新細明體" w:hAnsi="Calibri" w:cs="Segoe UI"/>
                <w:kern w:val="2"/>
                <w:sz w:val="17"/>
                <w:szCs w:val="17"/>
                <w:lang w:val="en-US" w:eastAsia="zh-TW"/>
              </w:rPr>
              <w:t>（</w:t>
            </w:r>
            <w:proofErr w:type="gramEnd"/>
            <w:r w:rsidRPr="00DA6DF1">
              <w:rPr>
                <w:rFonts w:ascii="Calibri" w:eastAsia="新細明體" w:hAnsi="Calibri" w:cs="Segoe UI"/>
                <w:kern w:val="2"/>
                <w:sz w:val="17"/>
                <w:szCs w:val="17"/>
                <w:lang w:val="en-US" w:eastAsia="zh-TW"/>
              </w:rPr>
              <w:t>即衍生工具負債總額</w:t>
            </w:r>
            <w:proofErr w:type="gramStart"/>
            <w:r w:rsidRPr="00DA6DF1">
              <w:rPr>
                <w:rFonts w:ascii="Calibri" w:eastAsia="新細明體" w:hAnsi="Calibri" w:cs="Segoe UI"/>
                <w:kern w:val="2"/>
                <w:sz w:val="17"/>
                <w:szCs w:val="17"/>
                <w:lang w:val="en-US" w:eastAsia="zh-TW"/>
              </w:rPr>
              <w:t>（</w:t>
            </w:r>
            <w:proofErr w:type="gramEnd"/>
            <w:r w:rsidRPr="00DA6DF1">
              <w:rPr>
                <w:rFonts w:ascii="Calibri" w:eastAsia="新細明體" w:hAnsi="Calibri" w:cs="Segoe UI"/>
                <w:kern w:val="2"/>
                <w:sz w:val="17"/>
                <w:szCs w:val="17"/>
                <w:lang w:val="en-US" w:eastAsia="zh-TW"/>
              </w:rPr>
              <w:t>經調整</w:t>
            </w:r>
            <w:proofErr w:type="gramStart"/>
            <w:r w:rsidRPr="00DA6DF1">
              <w:rPr>
                <w:rFonts w:ascii="Calibri" w:eastAsia="新細明體" w:hAnsi="Calibri" w:cs="Segoe UI"/>
                <w:kern w:val="2"/>
                <w:sz w:val="17"/>
                <w:szCs w:val="17"/>
                <w:lang w:val="en-US" w:eastAsia="zh-TW"/>
              </w:rPr>
              <w:t>）</w:t>
            </w:r>
            <w:proofErr w:type="gramEnd"/>
            <w:r w:rsidRPr="00DA6DF1">
              <w:rPr>
                <w:rFonts w:ascii="Calibri" w:eastAsia="新細明體" w:hAnsi="Calibri" w:cs="Segoe UI"/>
                <w:kern w:val="2"/>
                <w:sz w:val="17"/>
                <w:szCs w:val="17"/>
                <w:lang w:val="en-US" w:eastAsia="zh-TW"/>
              </w:rPr>
              <w:t>超出衍生工具資產總額（經調整）的淨數額</w:t>
            </w:r>
            <w:proofErr w:type="gramStart"/>
            <w:r w:rsidRPr="00DA6DF1">
              <w:rPr>
                <w:rFonts w:ascii="Calibri" w:eastAsia="新細明體" w:hAnsi="Calibri" w:cs="Segoe UI"/>
                <w:kern w:val="2"/>
                <w:sz w:val="17"/>
                <w:szCs w:val="17"/>
                <w:lang w:val="en-US" w:eastAsia="zh-TW"/>
              </w:rPr>
              <w:t>）</w:t>
            </w:r>
            <w:proofErr w:type="gramEnd"/>
            <w:r w:rsidRPr="00DA6DF1">
              <w:rPr>
                <w:rFonts w:ascii="Calibri" w:eastAsia="新細明體" w:hAnsi="Calibri" w:cs="Segoe UI"/>
                <w:kern w:val="2"/>
                <w:sz w:val="17"/>
                <w:szCs w:val="17"/>
                <w:lang w:val="en-US" w:eastAsia="zh-TW"/>
              </w:rPr>
              <w:t>。由於應用</w:t>
            </w:r>
            <w:r w:rsidRPr="00DA6DF1">
              <w:rPr>
                <w:rFonts w:ascii="Calibri" w:eastAsia="新細明體" w:hAnsi="Calibri" w:cs="Segoe UI"/>
                <w:kern w:val="2"/>
                <w:sz w:val="17"/>
                <w:szCs w:val="17"/>
                <w:lang w:val="en-US" w:eastAsia="zh-TW"/>
              </w:rPr>
              <w:t>0% ASF</w:t>
            </w:r>
            <w:r w:rsidRPr="00DA6DF1">
              <w:rPr>
                <w:rFonts w:ascii="Calibri" w:eastAsia="新細明體" w:hAnsi="Calibri" w:cs="Segoe UI"/>
                <w:kern w:val="2"/>
                <w:sz w:val="17"/>
                <w:szCs w:val="17"/>
                <w:lang w:val="en-US" w:eastAsia="zh-TW"/>
              </w:rPr>
              <w:t>後的數值是零，在衍生工具負債淨額下的加權數額方格以黑色表示。</w:t>
            </w:r>
          </w:p>
        </w:tc>
      </w:tr>
      <w:tr w:rsidR="00DA6DF1" w:rsidRPr="00DA6DF1" w14:paraId="228B8099" w14:textId="77777777" w:rsidTr="00B10B11">
        <w:trPr>
          <w:trHeight w:val="373"/>
        </w:trPr>
        <w:tc>
          <w:tcPr>
            <w:tcW w:w="568" w:type="dxa"/>
          </w:tcPr>
          <w:p w14:paraId="0B9D0439"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13</w:t>
            </w:r>
          </w:p>
        </w:tc>
        <w:tc>
          <w:tcPr>
            <w:tcW w:w="8505" w:type="dxa"/>
          </w:tcPr>
          <w:p w14:paraId="21B7C84A" w14:textId="045BCD45" w:rsidR="00DA6DF1" w:rsidRPr="00DA6DF1" w:rsidRDefault="00DA6DF1" w:rsidP="00DA6DF1">
            <w:pPr>
              <w:keepLines/>
              <w:widowControl w:val="0"/>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it-IT"/>
              </w:rPr>
              <w:t>無計入上述類別的所有其他</w:t>
            </w:r>
            <w:r w:rsidRPr="00DA6DF1">
              <w:rPr>
                <w:rFonts w:ascii="Calibri" w:eastAsia="細明體" w:hAnsi="Calibri" w:cs="Segoe UI"/>
                <w:i/>
                <w:kern w:val="2"/>
                <w:sz w:val="17"/>
                <w:szCs w:val="17"/>
                <w:lang w:val="en-US" w:eastAsia="zh-TW"/>
              </w:rPr>
              <w:t>借款及</w:t>
            </w:r>
            <w:r w:rsidRPr="00DA6DF1">
              <w:rPr>
                <w:rFonts w:ascii="Calibri" w:eastAsia="細明體" w:hAnsi="Calibri" w:cs="Segoe UI"/>
                <w:i/>
                <w:kern w:val="2"/>
                <w:sz w:val="17"/>
                <w:szCs w:val="17"/>
                <w:lang w:val="en-US" w:eastAsia="it-IT"/>
              </w:rPr>
              <w:t>負債</w:t>
            </w:r>
            <w:r w:rsidRPr="00DA6DF1">
              <w:rPr>
                <w:rFonts w:ascii="Calibri" w:eastAsia="細明體" w:hAnsi="Calibri" w:cs="Segoe UI"/>
                <w:kern w:val="2"/>
                <w:sz w:val="17"/>
                <w:szCs w:val="17"/>
                <w:lang w:val="en-US" w:eastAsia="zh-TW"/>
              </w:rPr>
              <w:t>：在本行</w:t>
            </w:r>
            <w:r w:rsidR="00EE6DDF"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報按照《流動性規則》被計入</w:t>
            </w:r>
            <w:r w:rsidRPr="00DA6DF1">
              <w:rPr>
                <w:rFonts w:ascii="Calibri" w:eastAsia="新細明體" w:hAnsi="Calibri" w:cs="Segoe UI"/>
                <w:kern w:val="2"/>
                <w:sz w:val="17"/>
                <w:szCs w:val="17"/>
                <w:lang w:val="en-US" w:eastAsia="zh-TW"/>
              </w:rPr>
              <w:t>ASF</w:t>
            </w:r>
            <w:r w:rsidRPr="00DA6DF1">
              <w:rPr>
                <w:rFonts w:ascii="Calibri" w:eastAsia="新細明體" w:hAnsi="Calibri" w:cs="Segoe UI"/>
                <w:kern w:val="2"/>
                <w:sz w:val="17"/>
                <w:szCs w:val="17"/>
                <w:lang w:val="en-US" w:eastAsia="zh-TW"/>
              </w:rPr>
              <w:t>，但</w:t>
            </w:r>
            <w:r w:rsidRPr="00DA6DF1">
              <w:rPr>
                <w:rFonts w:ascii="Calibri" w:eastAsia="細明體" w:hAnsi="Calibri" w:cs="Segoe UI"/>
                <w:kern w:val="2"/>
                <w:sz w:val="17"/>
                <w:szCs w:val="17"/>
                <w:lang w:val="en-US" w:eastAsia="zh-TW"/>
              </w:rPr>
              <w:t>無計入上述第</w:t>
            </w:r>
            <w:r w:rsidRPr="00DA6DF1">
              <w:rPr>
                <w:rFonts w:ascii="Calibri" w:eastAsia="細明體" w:hAnsi="Calibri" w:cs="Segoe UI"/>
                <w:kern w:val="2"/>
                <w:sz w:val="17"/>
                <w:szCs w:val="17"/>
                <w:lang w:val="en-US" w:eastAsia="zh-TW"/>
              </w:rPr>
              <w:t>1</w:t>
            </w:r>
            <w:r w:rsidRPr="00DA6DF1">
              <w:rPr>
                <w:rFonts w:ascii="Calibri" w:eastAsia="細明體" w:hAnsi="Calibri" w:cs="Segoe UI"/>
                <w:kern w:val="2"/>
                <w:sz w:val="17"/>
                <w:szCs w:val="17"/>
                <w:lang w:val="en-US" w:eastAsia="zh-TW"/>
              </w:rPr>
              <w:t>至</w:t>
            </w:r>
            <w:r w:rsidRPr="00DA6DF1">
              <w:rPr>
                <w:rFonts w:ascii="Calibri" w:eastAsia="細明體" w:hAnsi="Calibri" w:cs="Segoe UI"/>
                <w:kern w:val="2"/>
                <w:sz w:val="17"/>
                <w:szCs w:val="17"/>
                <w:lang w:val="en-US" w:eastAsia="zh-TW"/>
              </w:rPr>
              <w:t>12</w:t>
            </w:r>
            <w:r w:rsidRPr="00DA6DF1">
              <w:rPr>
                <w:rFonts w:ascii="Calibri" w:eastAsia="細明體" w:hAnsi="Calibri" w:cs="Segoe UI"/>
                <w:kern w:val="2"/>
                <w:sz w:val="17"/>
                <w:szCs w:val="17"/>
                <w:lang w:val="en-US" w:eastAsia="zh-TW"/>
              </w:rPr>
              <w:t>行的</w:t>
            </w:r>
            <w:r w:rsidRPr="00DA6DF1">
              <w:rPr>
                <w:rFonts w:ascii="Calibri" w:eastAsia="細明體" w:hAnsi="Calibri" w:cs="Segoe UI"/>
                <w:kern w:val="2"/>
                <w:sz w:val="17"/>
                <w:szCs w:val="17"/>
                <w:lang w:val="en-US" w:eastAsia="it-IT"/>
              </w:rPr>
              <w:t>所有其他</w:t>
            </w:r>
            <w:r w:rsidRPr="00DA6DF1">
              <w:rPr>
                <w:rFonts w:ascii="Calibri" w:eastAsia="細明體" w:hAnsi="Calibri" w:cs="Segoe UI"/>
                <w:kern w:val="2"/>
                <w:sz w:val="17"/>
                <w:szCs w:val="17"/>
                <w:lang w:val="en-US" w:eastAsia="zh-TW"/>
              </w:rPr>
              <w:t>借款及</w:t>
            </w:r>
            <w:r w:rsidRPr="00DA6DF1">
              <w:rPr>
                <w:rFonts w:ascii="Calibri" w:eastAsia="細明體" w:hAnsi="Calibri" w:cs="Segoe UI"/>
                <w:kern w:val="2"/>
                <w:sz w:val="17"/>
                <w:szCs w:val="17"/>
                <w:lang w:val="en-US" w:eastAsia="it-IT"/>
              </w:rPr>
              <w:t>負債</w:t>
            </w:r>
            <w:r w:rsidRPr="00DA6DF1">
              <w:rPr>
                <w:rFonts w:ascii="Calibri" w:eastAsia="細明體" w:hAnsi="Calibri" w:cs="Segoe UI"/>
                <w:kern w:val="2"/>
                <w:sz w:val="17"/>
                <w:szCs w:val="17"/>
                <w:lang w:val="en-US" w:eastAsia="zh-TW"/>
              </w:rPr>
              <w:t>（例如債務證券、已發行訂明票據、遞延稅項負債、交易日應支付帳項等）。</w:t>
            </w:r>
          </w:p>
        </w:tc>
      </w:tr>
      <w:tr w:rsidR="00DA6DF1" w:rsidRPr="00DA6DF1" w14:paraId="78B5DDEB" w14:textId="77777777" w:rsidTr="00B10B11">
        <w:trPr>
          <w:trHeight w:val="373"/>
        </w:trPr>
        <w:tc>
          <w:tcPr>
            <w:tcW w:w="568" w:type="dxa"/>
          </w:tcPr>
          <w:p w14:paraId="5CD12C85"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14</w:t>
            </w:r>
          </w:p>
        </w:tc>
        <w:tc>
          <w:tcPr>
            <w:tcW w:w="8505" w:type="dxa"/>
          </w:tcPr>
          <w:p w14:paraId="5FA5DA55"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ASF</w:t>
            </w:r>
            <w:r w:rsidRPr="00DA6DF1">
              <w:rPr>
                <w:rFonts w:ascii="Calibri" w:eastAsia="新細明體" w:hAnsi="Calibri" w:cs="Segoe UI"/>
                <w:i/>
                <w:kern w:val="2"/>
                <w:sz w:val="17"/>
                <w:szCs w:val="17"/>
                <w:lang w:val="en-US" w:eastAsia="zh-TW"/>
              </w:rPr>
              <w:t>總額</w:t>
            </w:r>
            <w:r w:rsidRPr="00DA6DF1">
              <w:rPr>
                <w:rFonts w:ascii="Calibri" w:eastAsia="細明體" w:hAnsi="Calibri" w:cs="Segoe UI"/>
                <w:kern w:val="2"/>
                <w:sz w:val="17"/>
                <w:szCs w:val="17"/>
                <w:lang w:val="en-US" w:eastAsia="zh-TW"/>
              </w:rPr>
              <w:t>：第</w:t>
            </w:r>
            <w:r w:rsidRPr="00DA6DF1">
              <w:rPr>
                <w:rFonts w:ascii="Calibri" w:eastAsia="新細明體" w:hAnsi="Calibri" w:cs="Segoe UI"/>
                <w:kern w:val="2"/>
                <w:sz w:val="17"/>
                <w:szCs w:val="17"/>
                <w:lang w:val="en-US" w:eastAsia="zh-TW"/>
              </w:rPr>
              <w:t>1</w:t>
            </w:r>
            <w:r w:rsidRPr="00DA6DF1">
              <w:rPr>
                <w:rFonts w:ascii="Calibri" w:eastAsia="新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4</w:t>
            </w:r>
            <w:r w:rsidRPr="00DA6DF1">
              <w:rPr>
                <w:rFonts w:ascii="Calibri" w:eastAsia="新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7</w:t>
            </w:r>
            <w:r w:rsidRPr="00DA6DF1">
              <w:rPr>
                <w:rFonts w:ascii="Calibri" w:eastAsia="新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10</w:t>
            </w:r>
            <w:r w:rsidRPr="00DA6DF1">
              <w:rPr>
                <w:rFonts w:ascii="Calibri" w:eastAsia="新細明體" w:hAnsi="Calibri" w:cs="Segoe UI"/>
                <w:kern w:val="2"/>
                <w:sz w:val="17"/>
                <w:szCs w:val="17"/>
                <w:lang w:val="en-US" w:eastAsia="zh-TW"/>
              </w:rPr>
              <w:t>及</w:t>
            </w:r>
            <w:r w:rsidRPr="00DA6DF1">
              <w:rPr>
                <w:rFonts w:ascii="Calibri" w:eastAsia="新細明體" w:hAnsi="Calibri" w:cs="Segoe UI"/>
                <w:kern w:val="2"/>
                <w:sz w:val="17"/>
                <w:szCs w:val="17"/>
                <w:lang w:val="en-US" w:eastAsia="zh-TW"/>
              </w:rPr>
              <w:t>11</w:t>
            </w:r>
            <w:r w:rsidRPr="00DA6DF1">
              <w:rPr>
                <w:rFonts w:ascii="Calibri" w:eastAsia="新細明體" w:hAnsi="Calibri" w:cs="Segoe UI"/>
                <w:kern w:val="2"/>
                <w:sz w:val="17"/>
                <w:szCs w:val="17"/>
                <w:lang w:val="en-US" w:eastAsia="zh-TW"/>
              </w:rPr>
              <w:t>行的所有加權數額的總和。</w:t>
            </w:r>
          </w:p>
        </w:tc>
      </w:tr>
      <w:tr w:rsidR="00DA6DF1" w:rsidRPr="00DA6DF1" w14:paraId="6B917085" w14:textId="77777777" w:rsidTr="00B10B11">
        <w:trPr>
          <w:trHeight w:val="373"/>
        </w:trPr>
        <w:tc>
          <w:tcPr>
            <w:tcW w:w="568" w:type="dxa"/>
          </w:tcPr>
          <w:p w14:paraId="740F87EA" w14:textId="77777777" w:rsidR="00DA6DF1" w:rsidRPr="00DA6DF1" w:rsidRDefault="00DA6DF1" w:rsidP="00DA6DF1">
            <w:pPr>
              <w:keepLines/>
              <w:widowControl w:val="0"/>
              <w:tabs>
                <w:tab w:val="left" w:pos="150"/>
                <w:tab w:val="left" w:pos="794"/>
                <w:tab w:val="left" w:pos="1191"/>
              </w:tabs>
              <w:spacing w:before="40" w:after="40"/>
              <w:ind w:rightChars="-54" w:right="-108"/>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15</w:t>
            </w:r>
            <w:r w:rsidRPr="00DA6DF1">
              <w:rPr>
                <w:rFonts w:ascii="Calibri" w:eastAsia="新細明體" w:hAnsi="Calibri" w:cs="Segoe UI"/>
                <w:kern w:val="2"/>
                <w:sz w:val="17"/>
                <w:szCs w:val="17"/>
                <w:lang w:val="en-US" w:eastAsia="zh-TW"/>
              </w:rPr>
              <w:t>至</w:t>
            </w:r>
            <w:r w:rsidRPr="00DA6DF1">
              <w:rPr>
                <w:rFonts w:ascii="Calibri" w:eastAsia="新細明體" w:hAnsi="Calibri" w:cs="Segoe UI"/>
                <w:kern w:val="2"/>
                <w:sz w:val="17"/>
                <w:szCs w:val="17"/>
                <w:lang w:val="en-US" w:eastAsia="en-GB"/>
              </w:rPr>
              <w:t>31</w:t>
            </w:r>
          </w:p>
        </w:tc>
        <w:tc>
          <w:tcPr>
            <w:tcW w:w="8505" w:type="dxa"/>
          </w:tcPr>
          <w:p w14:paraId="12DE0C7A" w14:textId="0080BEAB"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i/>
                <w:kern w:val="2"/>
                <w:sz w:val="17"/>
                <w:szCs w:val="17"/>
                <w:lang w:val="en-US" w:eastAsia="zh-TW"/>
              </w:rPr>
            </w:pPr>
            <w:r w:rsidRPr="00DA6DF1">
              <w:rPr>
                <w:rFonts w:ascii="Calibri" w:eastAsia="細明體" w:hAnsi="Calibri" w:cs="Segoe UI"/>
                <w:kern w:val="2"/>
                <w:sz w:val="17"/>
                <w:szCs w:val="17"/>
                <w:lang w:val="en-US" w:eastAsia="zh-TW"/>
              </w:rPr>
              <w:t>就任何並非沒有產權負擔的資產（</w:t>
            </w:r>
            <w:r w:rsidRPr="00DA6DF1">
              <w:rPr>
                <w:rFonts w:ascii="Calibri" w:eastAsia="新細明體" w:hAnsi="Calibri" w:cs="Segoe UI"/>
                <w:kern w:val="2"/>
                <w:sz w:val="17"/>
                <w:szCs w:val="17"/>
                <w:lang w:val="en-US" w:eastAsia="zh-TW"/>
              </w:rPr>
              <w:t>如</w:t>
            </w:r>
            <w:r w:rsidRPr="00DA6DF1">
              <w:rPr>
                <w:rFonts w:ascii="Calibri" w:eastAsia="細明體" w:hAnsi="Calibri" w:cs="Segoe UI"/>
                <w:kern w:val="2"/>
                <w:sz w:val="17"/>
                <w:szCs w:val="17"/>
                <w:lang w:val="en-US" w:eastAsia="zh-TW"/>
              </w:rPr>
              <w:t>《流動性規則》第</w:t>
            </w:r>
            <w:r w:rsidRPr="00DA6DF1">
              <w:rPr>
                <w:rFonts w:ascii="Calibri" w:eastAsia="細明體" w:hAnsi="Calibri" w:cs="Segoe UI"/>
                <w:kern w:val="2"/>
                <w:sz w:val="17"/>
                <w:szCs w:val="17"/>
                <w:lang w:val="en-US" w:eastAsia="zh-TW"/>
              </w:rPr>
              <w:t>9</w:t>
            </w:r>
            <w:r w:rsidRPr="00DA6DF1">
              <w:rPr>
                <w:rFonts w:ascii="Calibri" w:eastAsia="細明體" w:hAnsi="Calibri" w:cs="Segoe UI"/>
                <w:kern w:val="2"/>
                <w:sz w:val="17"/>
                <w:szCs w:val="17"/>
                <w:lang w:val="en-US" w:eastAsia="zh-TW"/>
              </w:rPr>
              <w:t>部所界定）而言，應按照剩餘到期期限及產權負擔期在</w:t>
            </w:r>
            <w:r w:rsidRPr="00DA6DF1">
              <w:rPr>
                <w:rFonts w:ascii="Calibri" w:eastAsia="新細明體" w:hAnsi="Calibri" w:cs="Segoe UI"/>
                <w:kern w:val="2"/>
                <w:sz w:val="17"/>
                <w:szCs w:val="17"/>
                <w:lang w:val="en-US" w:eastAsia="zh-TW"/>
              </w:rPr>
              <w:t>(a)</w:t>
            </w:r>
            <w:r w:rsidRPr="00DA6DF1">
              <w:rPr>
                <w:rFonts w:ascii="Calibri" w:eastAsia="新細明體" w:hAnsi="Calibri" w:cs="Segoe UI"/>
                <w:kern w:val="2"/>
                <w:sz w:val="17"/>
                <w:szCs w:val="17"/>
                <w:lang w:val="en-US" w:eastAsia="zh-TW"/>
              </w:rPr>
              <w:t>至</w:t>
            </w:r>
            <w:r w:rsidRPr="00DA6DF1">
              <w:rPr>
                <w:rFonts w:ascii="Calibri" w:eastAsia="新細明體" w:hAnsi="Calibri" w:cs="Segoe UI"/>
                <w:kern w:val="2"/>
                <w:sz w:val="17"/>
                <w:szCs w:val="17"/>
                <w:lang w:val="en-US" w:eastAsia="zh-TW"/>
              </w:rPr>
              <w:t>(d)</w:t>
            </w:r>
            <w:r w:rsidRPr="00DA6DF1">
              <w:rPr>
                <w:rFonts w:ascii="Calibri" w:eastAsia="新細明體" w:hAnsi="Calibri" w:cs="Segoe UI"/>
                <w:kern w:val="2"/>
                <w:sz w:val="17"/>
                <w:szCs w:val="17"/>
                <w:lang w:val="en-US" w:eastAsia="zh-TW"/>
              </w:rPr>
              <w:t>欄</w:t>
            </w:r>
            <w:r w:rsidR="00EE6DDF" w:rsidRPr="002342E8">
              <w:rPr>
                <w:rFonts w:ascii="Calibri" w:eastAsia="細明體" w:hAnsi="Calibri" w:cs="Segoe UI" w:hint="eastAsia"/>
                <w:kern w:val="2"/>
                <w:sz w:val="17"/>
                <w:szCs w:val="17"/>
                <w:lang w:val="en-US" w:eastAsia="zh-TW"/>
              </w:rPr>
              <w:t>填</w:t>
            </w:r>
            <w:r w:rsidRPr="00DA6DF1">
              <w:rPr>
                <w:rFonts w:ascii="Calibri" w:eastAsia="新細明體" w:hAnsi="Calibri" w:cs="Segoe UI"/>
                <w:kern w:val="2"/>
                <w:sz w:val="17"/>
                <w:szCs w:val="17"/>
                <w:lang w:val="en-US" w:eastAsia="zh-TW"/>
              </w:rPr>
              <w:t>報非加權值（須應用較高</w:t>
            </w:r>
            <w:r w:rsidRPr="00DA6DF1">
              <w:rPr>
                <w:rFonts w:ascii="Calibri" w:eastAsia="新細明體" w:hAnsi="Calibri" w:cs="Segoe UI"/>
                <w:kern w:val="2"/>
                <w:sz w:val="17"/>
                <w:szCs w:val="17"/>
                <w:lang w:val="en-US" w:eastAsia="zh-TW"/>
              </w:rPr>
              <w:t>RSF</w:t>
            </w:r>
            <w:r w:rsidRPr="00DA6DF1">
              <w:rPr>
                <w:rFonts w:ascii="Calibri" w:eastAsia="新細明體" w:hAnsi="Calibri" w:cs="Segoe UI"/>
                <w:kern w:val="2"/>
                <w:sz w:val="17"/>
                <w:szCs w:val="17"/>
                <w:lang w:val="en-US" w:eastAsia="zh-TW"/>
              </w:rPr>
              <w:t>因數），並在</w:t>
            </w:r>
            <w:r w:rsidRPr="00DA6DF1">
              <w:rPr>
                <w:rFonts w:ascii="Calibri" w:eastAsia="新細明體" w:hAnsi="Calibri" w:cs="Segoe UI"/>
                <w:kern w:val="2"/>
                <w:sz w:val="17"/>
                <w:szCs w:val="17"/>
                <w:lang w:val="en-US" w:eastAsia="zh-TW"/>
              </w:rPr>
              <w:t>(e)</w:t>
            </w:r>
            <w:r w:rsidRPr="00DA6DF1">
              <w:rPr>
                <w:rFonts w:ascii="Calibri" w:eastAsia="新細明體" w:hAnsi="Calibri" w:cs="Segoe UI"/>
                <w:kern w:val="2"/>
                <w:sz w:val="17"/>
                <w:szCs w:val="17"/>
                <w:lang w:val="en-US" w:eastAsia="zh-TW"/>
              </w:rPr>
              <w:t>欄</w:t>
            </w:r>
            <w:r w:rsidR="00EE6DDF" w:rsidRPr="002342E8">
              <w:rPr>
                <w:rFonts w:ascii="Calibri" w:eastAsia="細明體" w:hAnsi="Calibri" w:cs="Segoe UI" w:hint="eastAsia"/>
                <w:kern w:val="2"/>
                <w:sz w:val="17"/>
                <w:szCs w:val="17"/>
                <w:lang w:val="en-US" w:eastAsia="zh-TW"/>
              </w:rPr>
              <w:t>填</w:t>
            </w:r>
            <w:r w:rsidRPr="00DA6DF1">
              <w:rPr>
                <w:rFonts w:ascii="Calibri" w:eastAsia="新細明體" w:hAnsi="Calibri" w:cs="Segoe UI"/>
                <w:kern w:val="2"/>
                <w:sz w:val="17"/>
                <w:szCs w:val="17"/>
                <w:lang w:val="en-US" w:eastAsia="zh-TW"/>
              </w:rPr>
              <w:t>報</w:t>
            </w:r>
            <w:r w:rsidRPr="00DA6DF1">
              <w:rPr>
                <w:rFonts w:ascii="Calibri" w:eastAsia="細明體" w:hAnsi="Calibri" w:cs="Segoe UI"/>
                <w:kern w:val="2"/>
                <w:sz w:val="17"/>
                <w:szCs w:val="17"/>
                <w:lang w:val="en-US" w:eastAsia="zh-TW"/>
              </w:rPr>
              <w:t>加權數額（即在對有產權負擔的資產應用適用的</w:t>
            </w:r>
            <w:r w:rsidRPr="00DA6DF1">
              <w:rPr>
                <w:rFonts w:ascii="Calibri" w:eastAsia="新細明體" w:hAnsi="Calibri" w:cs="Segoe UI"/>
                <w:kern w:val="2"/>
                <w:sz w:val="17"/>
                <w:szCs w:val="17"/>
                <w:lang w:val="en-US" w:eastAsia="zh-TW"/>
              </w:rPr>
              <w:t>RSF</w:t>
            </w:r>
            <w:r w:rsidRPr="00DA6DF1">
              <w:rPr>
                <w:rFonts w:ascii="Calibri" w:eastAsia="新細明體" w:hAnsi="Calibri" w:cs="Segoe UI"/>
                <w:kern w:val="2"/>
                <w:sz w:val="17"/>
                <w:szCs w:val="17"/>
                <w:lang w:val="en-US" w:eastAsia="zh-TW"/>
              </w:rPr>
              <w:t>因數後</w:t>
            </w:r>
            <w:r w:rsidRPr="00DA6DF1">
              <w:rPr>
                <w:rFonts w:ascii="Calibri" w:eastAsia="細明體" w:hAnsi="Calibri" w:cs="Segoe UI"/>
                <w:kern w:val="2"/>
                <w:sz w:val="17"/>
                <w:szCs w:val="17"/>
                <w:lang w:val="en-US" w:eastAsia="zh-TW"/>
              </w:rPr>
              <w:t>）。</w:t>
            </w:r>
          </w:p>
        </w:tc>
      </w:tr>
      <w:tr w:rsidR="00DA6DF1" w:rsidRPr="00DA6DF1" w14:paraId="1A160E24" w14:textId="77777777" w:rsidTr="00B10B11">
        <w:trPr>
          <w:trHeight w:val="373"/>
        </w:trPr>
        <w:tc>
          <w:tcPr>
            <w:tcW w:w="568" w:type="dxa"/>
          </w:tcPr>
          <w:p w14:paraId="4596941B"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15</w:t>
            </w:r>
          </w:p>
        </w:tc>
        <w:tc>
          <w:tcPr>
            <w:tcW w:w="8505" w:type="dxa"/>
          </w:tcPr>
          <w:p w14:paraId="3CBC97F7"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就</w:t>
            </w:r>
            <w:r w:rsidRPr="00DA6DF1">
              <w:rPr>
                <w:rFonts w:ascii="Calibri" w:eastAsia="新細明體" w:hAnsi="Calibri" w:cs="Segoe UI"/>
                <w:i/>
                <w:kern w:val="2"/>
                <w:sz w:val="17"/>
                <w:szCs w:val="17"/>
                <w:lang w:val="en-US" w:eastAsia="zh-TW"/>
              </w:rPr>
              <w:t>NSFR</w:t>
            </w:r>
            <w:r w:rsidRPr="00DA6DF1">
              <w:rPr>
                <w:rFonts w:ascii="Calibri" w:eastAsia="新細明體" w:hAnsi="Calibri" w:cs="Segoe UI"/>
                <w:i/>
                <w:kern w:val="2"/>
                <w:sz w:val="17"/>
                <w:szCs w:val="17"/>
                <w:lang w:val="en-US" w:eastAsia="zh-TW"/>
              </w:rPr>
              <w:t>而言的</w:t>
            </w:r>
            <w:r w:rsidRPr="00DA6DF1">
              <w:rPr>
                <w:rFonts w:ascii="Calibri" w:eastAsia="新細明體" w:hAnsi="Calibri" w:cs="Segoe UI"/>
                <w:i/>
                <w:kern w:val="2"/>
                <w:sz w:val="17"/>
                <w:szCs w:val="17"/>
                <w:lang w:val="en-US" w:eastAsia="zh-TW"/>
              </w:rPr>
              <w:t>HQLA</w:t>
            </w:r>
            <w:r w:rsidRPr="00DA6DF1">
              <w:rPr>
                <w:rFonts w:ascii="Calibri" w:eastAsia="新細明體" w:hAnsi="Calibri" w:cs="Segoe UI"/>
                <w:i/>
                <w:kern w:val="2"/>
                <w:sz w:val="17"/>
                <w:szCs w:val="17"/>
                <w:lang w:val="en-US" w:eastAsia="zh-TW"/>
              </w:rPr>
              <w:t>總額</w:t>
            </w:r>
            <w:r w:rsidRPr="00DA6DF1">
              <w:rPr>
                <w:rFonts w:ascii="Calibri" w:eastAsia="細明體" w:hAnsi="Calibri" w:cs="Segoe UI"/>
                <w:kern w:val="2"/>
                <w:sz w:val="17"/>
                <w:szCs w:val="17"/>
                <w:lang w:val="en-US" w:eastAsia="zh-TW"/>
              </w:rPr>
              <w:t>：即沒有產權負擔的優質流動資產，無需顧及可能限制某些</w:t>
            </w:r>
            <w:r w:rsidRPr="00DA6DF1">
              <w:rPr>
                <w:rFonts w:ascii="Calibri" w:eastAsia="細明體" w:hAnsi="Calibri" w:cs="Segoe UI"/>
                <w:kern w:val="2"/>
                <w:sz w:val="17"/>
                <w:szCs w:val="17"/>
                <w:lang w:val="en-US" w:eastAsia="zh-TW"/>
              </w:rPr>
              <w:t>HQLA</w:t>
            </w:r>
            <w:r w:rsidRPr="00DA6DF1">
              <w:rPr>
                <w:rFonts w:ascii="Calibri" w:eastAsia="細明體" w:hAnsi="Calibri" w:cs="Segoe UI"/>
                <w:kern w:val="2"/>
                <w:sz w:val="17"/>
                <w:szCs w:val="17"/>
                <w:lang w:val="en-US" w:eastAsia="zh-TW"/>
              </w:rPr>
              <w:t>在計算</w:t>
            </w:r>
            <w:r w:rsidRPr="00DA6DF1">
              <w:rPr>
                <w:rFonts w:ascii="Calibri" w:eastAsia="新細明體" w:hAnsi="Calibri" w:cs="Segoe UI"/>
                <w:kern w:val="2"/>
                <w:sz w:val="17"/>
                <w:szCs w:val="17"/>
                <w:lang w:val="en-US" w:eastAsia="zh-TW"/>
              </w:rPr>
              <w:t>LCR</w:t>
            </w:r>
            <w:r w:rsidRPr="00DA6DF1">
              <w:rPr>
                <w:rFonts w:ascii="Calibri" w:eastAsia="新細明體" w:hAnsi="Calibri" w:cs="Segoe UI"/>
                <w:kern w:val="2"/>
                <w:sz w:val="17"/>
                <w:szCs w:val="17"/>
                <w:lang w:val="en-US" w:eastAsia="zh-TW"/>
              </w:rPr>
              <w:t>時</w:t>
            </w:r>
            <w:r w:rsidRPr="00DA6DF1">
              <w:rPr>
                <w:rFonts w:ascii="Calibri" w:eastAsia="細明體" w:hAnsi="Calibri" w:cs="Segoe UI"/>
                <w:kern w:val="2"/>
                <w:sz w:val="17"/>
                <w:szCs w:val="17"/>
                <w:lang w:val="en-US" w:eastAsia="zh-TW"/>
              </w:rPr>
              <w:t>能否</w:t>
            </w:r>
            <w:r w:rsidRPr="00DA6DF1">
              <w:rPr>
                <w:rFonts w:ascii="Calibri" w:eastAsia="新細明體" w:hAnsi="Calibri" w:cs="Segoe UI"/>
                <w:kern w:val="2"/>
                <w:sz w:val="17"/>
                <w:szCs w:val="17"/>
                <w:lang w:val="en-US" w:eastAsia="zh-TW"/>
              </w:rPr>
              <w:t>合資格被</w:t>
            </w:r>
            <w:r w:rsidRPr="00DA6DF1">
              <w:rPr>
                <w:rFonts w:ascii="Calibri" w:eastAsia="細明體" w:hAnsi="Calibri" w:cs="Segoe UI"/>
                <w:kern w:val="2"/>
                <w:sz w:val="17"/>
                <w:szCs w:val="17"/>
                <w:lang w:val="en-US" w:eastAsia="zh-TW"/>
              </w:rPr>
              <w:t>計入的</w:t>
            </w:r>
            <w:r w:rsidRPr="00DA6DF1">
              <w:rPr>
                <w:rFonts w:ascii="Calibri" w:eastAsia="新細明體" w:hAnsi="Calibri" w:cs="Segoe UI"/>
                <w:kern w:val="2"/>
                <w:sz w:val="17"/>
                <w:szCs w:val="17"/>
                <w:lang w:val="en-US" w:eastAsia="zh-TW"/>
              </w:rPr>
              <w:t>LCR</w:t>
            </w:r>
            <w:r w:rsidRPr="00DA6DF1">
              <w:rPr>
                <w:rFonts w:ascii="Calibri" w:eastAsia="細明體" w:hAnsi="Calibri" w:cs="Segoe UI"/>
                <w:kern w:val="2"/>
                <w:sz w:val="17"/>
                <w:szCs w:val="17"/>
                <w:lang w:val="en-US" w:eastAsia="zh-TW"/>
              </w:rPr>
              <w:t>業務操作規定及</w:t>
            </w:r>
            <w:r w:rsidRPr="00DA6DF1">
              <w:rPr>
                <w:rFonts w:ascii="Calibri" w:eastAsia="新細明體" w:hAnsi="Calibri" w:cs="Segoe UI"/>
                <w:kern w:val="2"/>
                <w:sz w:val="17"/>
                <w:szCs w:val="17"/>
                <w:lang w:val="en-US" w:eastAsia="zh-TW"/>
              </w:rPr>
              <w:t>對</w:t>
            </w:r>
            <w:r w:rsidRPr="00DA6DF1">
              <w:rPr>
                <w:rFonts w:ascii="Calibri" w:eastAsia="新細明體" w:hAnsi="Calibri" w:cs="Segoe UI"/>
                <w:kern w:val="2"/>
                <w:sz w:val="17"/>
                <w:szCs w:val="17"/>
                <w:lang w:val="en-US" w:eastAsia="zh-TW"/>
              </w:rPr>
              <w:t>2</w:t>
            </w:r>
            <w:r w:rsidRPr="00DA6DF1">
              <w:rPr>
                <w:rFonts w:ascii="Calibri" w:eastAsia="新細明體" w:hAnsi="Calibri" w:cs="Segoe UI"/>
                <w:kern w:val="2"/>
                <w:sz w:val="17"/>
                <w:szCs w:val="17"/>
                <w:lang w:val="en-US" w:eastAsia="zh-TW"/>
              </w:rPr>
              <w:t>級和</w:t>
            </w:r>
            <w:r w:rsidRPr="00DA6DF1">
              <w:rPr>
                <w:rFonts w:ascii="Calibri" w:eastAsia="新細明體" w:hAnsi="Calibri" w:cs="Segoe UI"/>
                <w:kern w:val="2"/>
                <w:sz w:val="17"/>
                <w:szCs w:val="17"/>
                <w:lang w:val="en-US" w:eastAsia="zh-TW"/>
              </w:rPr>
              <w:t>2B</w:t>
            </w:r>
            <w:r w:rsidRPr="00DA6DF1">
              <w:rPr>
                <w:rFonts w:ascii="Calibri" w:eastAsia="新細明體" w:hAnsi="Calibri" w:cs="Segoe UI"/>
                <w:kern w:val="2"/>
                <w:sz w:val="17"/>
                <w:szCs w:val="17"/>
                <w:lang w:val="en-US" w:eastAsia="zh-TW"/>
              </w:rPr>
              <w:t>級資產的上限。根據</w:t>
            </w:r>
            <w:r w:rsidRPr="00DA6DF1">
              <w:rPr>
                <w:rFonts w:ascii="Calibri" w:eastAsia="細明體" w:hAnsi="Calibri" w:cs="Segoe UI"/>
                <w:kern w:val="2"/>
                <w:sz w:val="17"/>
                <w:szCs w:val="17"/>
                <w:lang w:val="en-US" w:eastAsia="zh-TW"/>
              </w:rPr>
              <w:t>《流動性規則》，這些項目包括：</w:t>
            </w:r>
          </w:p>
          <w:p w14:paraId="2A1EB580" w14:textId="77777777" w:rsidR="00DA6DF1" w:rsidRPr="00DA6DF1" w:rsidRDefault="00DA6DF1" w:rsidP="00D540EB">
            <w:pPr>
              <w:keepLines/>
              <w:widowControl w:val="0"/>
              <w:numPr>
                <w:ilvl w:val="0"/>
                <w:numId w:val="17"/>
              </w:numPr>
              <w:tabs>
                <w:tab w:val="left" w:pos="150"/>
                <w:tab w:val="left" w:pos="459"/>
                <w:tab w:val="left" w:pos="1191"/>
              </w:tabs>
              <w:spacing w:before="40" w:after="40"/>
              <w:ind w:left="459" w:hanging="459"/>
              <w:jc w:val="both"/>
              <w:rPr>
                <w:rFonts w:ascii="Calibri" w:eastAsia="新細明體" w:hAnsi="Calibri" w:cs="Segoe UI"/>
                <w:kern w:val="2"/>
                <w:sz w:val="17"/>
                <w:szCs w:val="17"/>
                <w:lang w:val="en-US" w:eastAsia="zh-TW"/>
              </w:rPr>
            </w:pPr>
            <w:r w:rsidRPr="00DA6DF1">
              <w:rPr>
                <w:rFonts w:ascii="Calibri" w:eastAsia="新細明體" w:hAnsi="Calibri" w:cs="Segoe UI"/>
                <w:kern w:val="2"/>
                <w:sz w:val="17"/>
                <w:szCs w:val="17"/>
                <w:lang w:val="en-US" w:eastAsia="zh-TW"/>
              </w:rPr>
              <w:tab/>
            </w:r>
            <w:r w:rsidRPr="00DA6DF1">
              <w:rPr>
                <w:rFonts w:ascii="Calibri" w:eastAsia="細明體" w:hAnsi="Calibri" w:cs="Segoe UI"/>
                <w:kern w:val="2"/>
                <w:sz w:val="17"/>
                <w:szCs w:val="17"/>
                <w:lang w:val="en-US" w:eastAsia="zh-TW"/>
              </w:rPr>
              <w:t>流通紙幣及硬</w:t>
            </w:r>
            <w:r w:rsidRPr="00DA6DF1">
              <w:rPr>
                <w:rFonts w:ascii="Calibri" w:eastAsia="新細明體" w:hAnsi="Calibri" w:cs="Segoe UI"/>
                <w:kern w:val="2"/>
                <w:sz w:val="17"/>
                <w:szCs w:val="17"/>
                <w:lang w:val="en-US" w:eastAsia="zh-TW"/>
              </w:rPr>
              <w:t>幣；</w:t>
            </w:r>
          </w:p>
          <w:p w14:paraId="7725B003" w14:textId="77777777" w:rsidR="00DA6DF1" w:rsidRPr="00DA6DF1" w:rsidRDefault="00DA6DF1" w:rsidP="00D540EB">
            <w:pPr>
              <w:keepLines/>
              <w:widowControl w:val="0"/>
              <w:numPr>
                <w:ilvl w:val="0"/>
                <w:numId w:val="17"/>
              </w:numPr>
              <w:tabs>
                <w:tab w:val="left" w:pos="150"/>
                <w:tab w:val="left" w:pos="459"/>
                <w:tab w:val="left" w:pos="1191"/>
              </w:tabs>
              <w:spacing w:before="40" w:after="40"/>
              <w:ind w:left="459" w:hanging="459"/>
              <w:jc w:val="both"/>
              <w:rPr>
                <w:rFonts w:ascii="Calibri" w:eastAsia="新細明體" w:hAnsi="Calibri" w:cs="Segoe UI"/>
                <w:kern w:val="2"/>
                <w:sz w:val="17"/>
                <w:szCs w:val="17"/>
                <w:lang w:val="en-US" w:eastAsia="zh-TW"/>
              </w:rPr>
            </w:pPr>
            <w:r w:rsidRPr="00DA6DF1">
              <w:rPr>
                <w:rFonts w:ascii="Calibri" w:eastAsia="細明體" w:hAnsi="Calibri" w:cs="Segoe UI"/>
                <w:kern w:val="2"/>
                <w:sz w:val="17"/>
                <w:szCs w:val="17"/>
                <w:lang w:val="en-US" w:eastAsia="zh-TW"/>
              </w:rPr>
              <w:t>對為外匯基金帳戶行事的金融管理專員或中央銀行，</w:t>
            </w:r>
            <w:proofErr w:type="gramStart"/>
            <w:r w:rsidRPr="00DA6DF1">
              <w:rPr>
                <w:rFonts w:ascii="Calibri" w:eastAsia="細明體" w:hAnsi="Calibri" w:cs="Segoe UI"/>
                <w:kern w:val="2"/>
                <w:sz w:val="17"/>
                <w:szCs w:val="17"/>
                <w:lang w:val="en-US" w:eastAsia="zh-TW"/>
              </w:rPr>
              <w:t>凡作要求</w:t>
            </w:r>
            <w:proofErr w:type="gramEnd"/>
            <w:r w:rsidRPr="00DA6DF1">
              <w:rPr>
                <w:rFonts w:ascii="Calibri" w:eastAsia="細明體" w:hAnsi="Calibri" w:cs="Segoe UI"/>
                <w:kern w:val="2"/>
                <w:sz w:val="17"/>
                <w:szCs w:val="17"/>
                <w:lang w:val="en-US" w:eastAsia="zh-TW"/>
              </w:rPr>
              <w:t>即須</w:t>
            </w:r>
            <w:proofErr w:type="gramStart"/>
            <w:r w:rsidRPr="00DA6DF1">
              <w:rPr>
                <w:rFonts w:ascii="Calibri" w:eastAsia="細明體" w:hAnsi="Calibri" w:cs="Segoe UI"/>
                <w:kern w:val="2"/>
                <w:sz w:val="17"/>
                <w:szCs w:val="17"/>
                <w:lang w:val="en-US" w:eastAsia="zh-TW"/>
              </w:rPr>
              <w:t>付還或</w:t>
            </w:r>
            <w:proofErr w:type="gramEnd"/>
            <w:r w:rsidRPr="00DA6DF1">
              <w:rPr>
                <w:rFonts w:ascii="Calibri" w:eastAsia="細明體" w:hAnsi="Calibri" w:cs="Segoe UI"/>
                <w:kern w:val="2"/>
                <w:sz w:val="17"/>
                <w:szCs w:val="17"/>
                <w:lang w:val="en-US" w:eastAsia="zh-TW"/>
              </w:rPr>
              <w:t>可輕易套現的申索（包括存放在認可機構的港元</w:t>
            </w:r>
            <w:r w:rsidRPr="00DA6DF1">
              <w:rPr>
                <w:rFonts w:ascii="Calibri" w:eastAsia="細明體" w:hAnsi="Calibri" w:cs="Segoe UI"/>
                <w:kern w:val="2"/>
                <w:sz w:val="17"/>
                <w:szCs w:val="17"/>
                <w:lang w:val="en-US" w:eastAsia="zh-TW"/>
              </w:rPr>
              <w:t>CHATS</w:t>
            </w:r>
            <w:r w:rsidRPr="00DA6DF1">
              <w:rPr>
                <w:rFonts w:ascii="Calibri" w:eastAsia="細明體" w:hAnsi="Calibri" w:cs="Segoe UI"/>
                <w:kern w:val="2"/>
                <w:sz w:val="17"/>
                <w:szCs w:val="17"/>
                <w:lang w:val="en-US" w:eastAsia="zh-TW"/>
              </w:rPr>
              <w:t>帳戶或存放在中央銀行以符合儲備規定的資金、外匯基金債務證券及合資格作為</w:t>
            </w:r>
            <w:r w:rsidRPr="00DA6DF1">
              <w:rPr>
                <w:rFonts w:ascii="Calibri" w:eastAsia="細明體" w:hAnsi="Calibri" w:cs="Segoe UI"/>
                <w:kern w:val="2"/>
                <w:sz w:val="17"/>
                <w:szCs w:val="17"/>
                <w:lang w:val="en-US" w:eastAsia="zh-TW"/>
              </w:rPr>
              <w:t>HQLA</w:t>
            </w:r>
            <w:r w:rsidRPr="00DA6DF1">
              <w:rPr>
                <w:rFonts w:ascii="Calibri" w:eastAsia="細明體" w:hAnsi="Calibri" w:cs="Segoe UI"/>
                <w:kern w:val="2"/>
                <w:sz w:val="17"/>
                <w:szCs w:val="17"/>
                <w:lang w:val="en-US" w:eastAsia="zh-TW"/>
              </w:rPr>
              <w:t>的中央銀行債務證券）；及</w:t>
            </w:r>
          </w:p>
          <w:p w14:paraId="7BDE4BFC" w14:textId="77777777" w:rsidR="00DA6DF1" w:rsidRPr="00DA6DF1" w:rsidRDefault="00DA6DF1" w:rsidP="00D540EB">
            <w:pPr>
              <w:keepLines/>
              <w:widowControl w:val="0"/>
              <w:numPr>
                <w:ilvl w:val="0"/>
                <w:numId w:val="17"/>
              </w:numPr>
              <w:tabs>
                <w:tab w:val="left" w:pos="150"/>
                <w:tab w:val="left" w:pos="459"/>
                <w:tab w:val="left" w:pos="1191"/>
              </w:tabs>
              <w:spacing w:before="40" w:after="40"/>
              <w:ind w:left="459" w:hanging="459"/>
              <w:jc w:val="both"/>
              <w:rPr>
                <w:rFonts w:ascii="Calibri" w:eastAsia="新細明體" w:hAnsi="Calibri" w:cs="Segoe UI"/>
                <w:kern w:val="2"/>
                <w:sz w:val="17"/>
                <w:szCs w:val="17"/>
                <w:lang w:val="en-US" w:eastAsia="zh-TW"/>
              </w:rPr>
            </w:pPr>
            <w:r w:rsidRPr="00DA6DF1">
              <w:rPr>
                <w:rFonts w:ascii="Calibri" w:eastAsia="細明體" w:hAnsi="Calibri" w:cs="Segoe UI"/>
                <w:kern w:val="2"/>
                <w:sz w:val="17"/>
                <w:szCs w:val="17"/>
                <w:lang w:val="en-US" w:eastAsia="zh-TW"/>
              </w:rPr>
              <w:t>認可機構持有的其他</w:t>
            </w:r>
            <w:r w:rsidRPr="00DA6DF1">
              <w:rPr>
                <w:rFonts w:ascii="Calibri" w:eastAsia="新細明體" w:hAnsi="Calibri" w:cs="Segoe UI"/>
                <w:kern w:val="2"/>
                <w:sz w:val="17"/>
                <w:szCs w:val="17"/>
                <w:lang w:val="en-US" w:eastAsia="zh-TW"/>
              </w:rPr>
              <w:t>1</w:t>
            </w:r>
            <w:r w:rsidRPr="00DA6DF1">
              <w:rPr>
                <w:rFonts w:ascii="Calibri" w:eastAsia="新細明體" w:hAnsi="Calibri" w:cs="Segoe UI"/>
                <w:kern w:val="2"/>
                <w:sz w:val="17"/>
                <w:szCs w:val="17"/>
                <w:lang w:val="en-US" w:eastAsia="zh-TW"/>
              </w:rPr>
              <w:t>級資產、</w:t>
            </w:r>
            <w:r w:rsidRPr="00DA6DF1">
              <w:rPr>
                <w:rFonts w:ascii="Calibri" w:eastAsia="新細明體" w:hAnsi="Calibri" w:cs="Segoe UI"/>
                <w:kern w:val="2"/>
                <w:sz w:val="17"/>
                <w:szCs w:val="17"/>
                <w:lang w:val="en-US" w:eastAsia="zh-TW"/>
              </w:rPr>
              <w:t>2A</w:t>
            </w:r>
            <w:r w:rsidRPr="00DA6DF1">
              <w:rPr>
                <w:rFonts w:ascii="Calibri" w:eastAsia="新細明體" w:hAnsi="Calibri" w:cs="Segoe UI"/>
                <w:kern w:val="2"/>
                <w:sz w:val="17"/>
                <w:szCs w:val="17"/>
                <w:lang w:val="en-US" w:eastAsia="zh-TW"/>
              </w:rPr>
              <w:t>級資產及</w:t>
            </w:r>
            <w:r w:rsidRPr="00DA6DF1">
              <w:rPr>
                <w:rFonts w:ascii="Calibri" w:eastAsia="新細明體" w:hAnsi="Calibri" w:cs="Segoe UI"/>
                <w:kern w:val="2"/>
                <w:sz w:val="17"/>
                <w:szCs w:val="17"/>
                <w:lang w:val="en-US" w:eastAsia="zh-TW"/>
              </w:rPr>
              <w:t>2B</w:t>
            </w:r>
            <w:r w:rsidRPr="00DA6DF1">
              <w:rPr>
                <w:rFonts w:ascii="Calibri" w:eastAsia="新細明體" w:hAnsi="Calibri" w:cs="Segoe UI"/>
                <w:kern w:val="2"/>
                <w:sz w:val="17"/>
                <w:szCs w:val="17"/>
                <w:lang w:val="en-US" w:eastAsia="zh-TW"/>
              </w:rPr>
              <w:t>級資產</w:t>
            </w:r>
            <w:r w:rsidRPr="00DA6DF1">
              <w:rPr>
                <w:rFonts w:ascii="Calibri" w:eastAsia="細明體" w:hAnsi="Calibri" w:cs="Segoe UI"/>
                <w:kern w:val="2"/>
                <w:sz w:val="17"/>
                <w:szCs w:val="17"/>
                <w:lang w:val="en-US" w:eastAsia="zh-TW"/>
              </w:rPr>
              <w:t>戶。</w:t>
            </w:r>
          </w:p>
        </w:tc>
      </w:tr>
      <w:tr w:rsidR="00DA6DF1" w:rsidRPr="00DA6DF1" w14:paraId="32975210" w14:textId="77777777" w:rsidTr="00B10B11">
        <w:trPr>
          <w:trHeight w:val="373"/>
        </w:trPr>
        <w:tc>
          <w:tcPr>
            <w:tcW w:w="568" w:type="dxa"/>
          </w:tcPr>
          <w:p w14:paraId="5B293DD7"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16</w:t>
            </w:r>
          </w:p>
        </w:tc>
        <w:tc>
          <w:tcPr>
            <w:tcW w:w="8505" w:type="dxa"/>
          </w:tcPr>
          <w:p w14:paraId="583634E0" w14:textId="0C4B6E09"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認可機構為營運目的存放在其他金融機構的存款</w:t>
            </w:r>
            <w:r w:rsidRPr="00DA6DF1">
              <w:rPr>
                <w:rFonts w:ascii="Calibri" w:eastAsia="細明體" w:hAnsi="Calibri" w:cs="Segoe UI"/>
                <w:kern w:val="2"/>
                <w:sz w:val="17"/>
                <w:szCs w:val="17"/>
                <w:lang w:val="en-US" w:eastAsia="zh-TW"/>
              </w:rPr>
              <w:t>：如《流動性規則》第</w:t>
            </w:r>
            <w:r w:rsidRPr="00DA6DF1">
              <w:rPr>
                <w:rFonts w:ascii="Calibri" w:eastAsia="細明體" w:hAnsi="Calibri" w:cs="Segoe UI"/>
                <w:kern w:val="2"/>
                <w:sz w:val="17"/>
                <w:szCs w:val="17"/>
                <w:lang w:val="en-US" w:eastAsia="zh-TW"/>
              </w:rPr>
              <w:t>7</w:t>
            </w:r>
            <w:r w:rsidRPr="00DA6DF1">
              <w:rPr>
                <w:rFonts w:ascii="Calibri" w:eastAsia="細明體" w:hAnsi="Calibri" w:cs="Segoe UI"/>
                <w:kern w:val="2"/>
                <w:sz w:val="17"/>
                <w:szCs w:val="17"/>
                <w:lang w:val="en-US" w:eastAsia="zh-TW"/>
              </w:rPr>
              <w:t>部界定。</w:t>
            </w:r>
          </w:p>
        </w:tc>
      </w:tr>
      <w:tr w:rsidR="00DA6DF1" w:rsidRPr="00DA6DF1" w14:paraId="64ADA774" w14:textId="77777777" w:rsidTr="00B10B11">
        <w:trPr>
          <w:trHeight w:val="373"/>
        </w:trPr>
        <w:tc>
          <w:tcPr>
            <w:tcW w:w="568" w:type="dxa"/>
          </w:tcPr>
          <w:p w14:paraId="7233FDBC"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17</w:t>
            </w:r>
          </w:p>
        </w:tc>
        <w:tc>
          <w:tcPr>
            <w:tcW w:w="8505" w:type="dxa"/>
          </w:tcPr>
          <w:p w14:paraId="4F9A11E7"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依期清償貸款及證券</w:t>
            </w:r>
            <w:r w:rsidRPr="00DA6DF1">
              <w:rPr>
                <w:rFonts w:ascii="Calibri" w:eastAsia="細明體" w:hAnsi="Calibri" w:cs="Segoe UI"/>
                <w:kern w:val="2"/>
                <w:sz w:val="17"/>
                <w:szCs w:val="17"/>
                <w:lang w:val="en-US" w:eastAsia="zh-TW"/>
              </w:rPr>
              <w:t>：第</w:t>
            </w:r>
            <w:r w:rsidRPr="00DA6DF1">
              <w:rPr>
                <w:rFonts w:ascii="Calibri" w:eastAsia="新細明體" w:hAnsi="Calibri" w:cs="Segoe UI"/>
                <w:kern w:val="2"/>
                <w:sz w:val="17"/>
                <w:szCs w:val="17"/>
                <w:lang w:val="en-US" w:eastAsia="zh-TW"/>
              </w:rPr>
              <w:t>18</w:t>
            </w:r>
            <w:r w:rsidRPr="00DA6DF1">
              <w:rPr>
                <w:rFonts w:ascii="Calibri" w:eastAsia="新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19</w:t>
            </w:r>
            <w:r w:rsidRPr="00DA6DF1">
              <w:rPr>
                <w:rFonts w:ascii="Calibri" w:eastAsia="新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20</w:t>
            </w:r>
            <w:r w:rsidRPr="00DA6DF1">
              <w:rPr>
                <w:rFonts w:ascii="Calibri" w:eastAsia="新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22</w:t>
            </w:r>
            <w:r w:rsidRPr="00DA6DF1">
              <w:rPr>
                <w:rFonts w:ascii="Calibri" w:eastAsia="新細明體" w:hAnsi="Calibri" w:cs="Segoe UI"/>
                <w:kern w:val="2"/>
                <w:sz w:val="17"/>
                <w:szCs w:val="17"/>
                <w:lang w:val="en-US" w:eastAsia="zh-TW"/>
              </w:rPr>
              <w:t>及</w:t>
            </w:r>
            <w:r w:rsidRPr="00DA6DF1">
              <w:rPr>
                <w:rFonts w:ascii="Calibri" w:eastAsia="新細明體" w:hAnsi="Calibri" w:cs="Segoe UI"/>
                <w:kern w:val="2"/>
                <w:sz w:val="17"/>
                <w:szCs w:val="17"/>
                <w:lang w:val="en-US" w:eastAsia="zh-TW"/>
              </w:rPr>
              <w:t>24</w:t>
            </w:r>
            <w:r w:rsidRPr="00DA6DF1">
              <w:rPr>
                <w:rFonts w:ascii="Calibri" w:eastAsia="新細明體" w:hAnsi="Calibri" w:cs="Segoe UI"/>
                <w:kern w:val="2"/>
                <w:sz w:val="17"/>
                <w:szCs w:val="17"/>
                <w:lang w:val="en-US" w:eastAsia="zh-TW"/>
              </w:rPr>
              <w:t>行值的總和。</w:t>
            </w:r>
          </w:p>
        </w:tc>
      </w:tr>
      <w:tr w:rsidR="00DA6DF1" w:rsidRPr="00DA6DF1" w14:paraId="50EA4AC3" w14:textId="77777777" w:rsidTr="00B10B11">
        <w:trPr>
          <w:trHeight w:val="373"/>
        </w:trPr>
        <w:tc>
          <w:tcPr>
            <w:tcW w:w="568" w:type="dxa"/>
          </w:tcPr>
          <w:p w14:paraId="74FDF37D"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18</w:t>
            </w:r>
          </w:p>
        </w:tc>
        <w:tc>
          <w:tcPr>
            <w:tcW w:w="8505" w:type="dxa"/>
          </w:tcPr>
          <w:p w14:paraId="4D730742"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借予金融機構的以</w:t>
            </w:r>
            <w:r w:rsidRPr="00DA6DF1">
              <w:rPr>
                <w:rFonts w:ascii="Calibri" w:eastAsia="新細明體" w:hAnsi="Calibri" w:cs="Segoe UI"/>
                <w:i/>
                <w:kern w:val="2"/>
                <w:sz w:val="17"/>
                <w:szCs w:val="17"/>
                <w:lang w:val="en-US" w:eastAsia="zh-TW"/>
              </w:rPr>
              <w:t>1</w:t>
            </w:r>
            <w:r w:rsidRPr="00DA6DF1">
              <w:rPr>
                <w:rFonts w:ascii="Calibri" w:eastAsia="細明體" w:hAnsi="Calibri" w:cs="Segoe UI"/>
                <w:i/>
                <w:kern w:val="2"/>
                <w:sz w:val="17"/>
                <w:szCs w:val="17"/>
                <w:lang w:val="en-US" w:eastAsia="zh-TW"/>
              </w:rPr>
              <w:t>級</w:t>
            </w:r>
            <w:r w:rsidRPr="00DA6DF1">
              <w:rPr>
                <w:rFonts w:ascii="Calibri" w:eastAsia="新細明體" w:hAnsi="Calibri" w:cs="Segoe UI"/>
                <w:i/>
                <w:kern w:val="2"/>
                <w:sz w:val="17"/>
                <w:szCs w:val="17"/>
                <w:lang w:val="en-US" w:eastAsia="zh-TW"/>
              </w:rPr>
              <w:t>HQLA</w:t>
            </w:r>
            <w:r w:rsidRPr="00DA6DF1">
              <w:rPr>
                <w:rFonts w:ascii="Calibri" w:eastAsia="細明體" w:hAnsi="Calibri" w:cs="Segoe UI"/>
                <w:i/>
                <w:kern w:val="2"/>
                <w:sz w:val="17"/>
                <w:szCs w:val="17"/>
                <w:lang w:val="en-US" w:eastAsia="zh-TW"/>
              </w:rPr>
              <w:t>作為保證的依期清償貸款</w:t>
            </w:r>
            <w:r w:rsidRPr="00DA6DF1">
              <w:rPr>
                <w:rFonts w:ascii="Calibri" w:eastAsia="細明體" w:hAnsi="Calibri" w:cs="Segoe UI"/>
                <w:kern w:val="2"/>
                <w:sz w:val="17"/>
                <w:szCs w:val="17"/>
                <w:lang w:val="en-US" w:eastAsia="zh-TW"/>
              </w:rPr>
              <w:t>：包含認可機構提供予其他金融機構，而以</w:t>
            </w:r>
            <w:r w:rsidRPr="00DA6DF1">
              <w:rPr>
                <w:rFonts w:ascii="Calibri" w:eastAsia="細明體" w:hAnsi="Calibri" w:cs="Segoe UI"/>
                <w:kern w:val="2"/>
                <w:sz w:val="17"/>
                <w:szCs w:val="17"/>
                <w:lang w:val="en-US" w:eastAsia="zh-TW"/>
              </w:rPr>
              <w:t>1</w:t>
            </w:r>
            <w:r w:rsidRPr="00DA6DF1">
              <w:rPr>
                <w:rFonts w:ascii="Calibri" w:eastAsia="細明體" w:hAnsi="Calibri" w:cs="Segoe UI"/>
                <w:kern w:val="2"/>
                <w:sz w:val="17"/>
                <w:szCs w:val="17"/>
                <w:lang w:val="en-US" w:eastAsia="zh-TW"/>
              </w:rPr>
              <w:t>級資產作為保證的依期清償貸款及資金（營運存款除外）。</w:t>
            </w:r>
          </w:p>
        </w:tc>
      </w:tr>
      <w:tr w:rsidR="00DA6DF1" w:rsidRPr="00DA6DF1" w14:paraId="19A714F5" w14:textId="77777777" w:rsidTr="00B10B11">
        <w:trPr>
          <w:trHeight w:val="373"/>
        </w:trPr>
        <w:tc>
          <w:tcPr>
            <w:tcW w:w="568" w:type="dxa"/>
          </w:tcPr>
          <w:p w14:paraId="4743083C"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19</w:t>
            </w:r>
          </w:p>
        </w:tc>
        <w:tc>
          <w:tcPr>
            <w:tcW w:w="8505" w:type="dxa"/>
          </w:tcPr>
          <w:p w14:paraId="719FC720" w14:textId="661F5254"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借予金融機構的以非</w:t>
            </w:r>
            <w:r w:rsidRPr="00DA6DF1">
              <w:rPr>
                <w:rFonts w:ascii="Calibri" w:eastAsia="新細明體" w:hAnsi="Calibri" w:cs="Segoe UI"/>
                <w:i/>
                <w:kern w:val="2"/>
                <w:sz w:val="17"/>
                <w:szCs w:val="17"/>
                <w:lang w:val="en-US" w:eastAsia="zh-TW"/>
              </w:rPr>
              <w:t>1</w:t>
            </w:r>
            <w:r w:rsidRPr="00DA6DF1">
              <w:rPr>
                <w:rFonts w:ascii="Calibri" w:eastAsia="細明體" w:hAnsi="Calibri" w:cs="Segoe UI"/>
                <w:i/>
                <w:kern w:val="2"/>
                <w:sz w:val="17"/>
                <w:szCs w:val="17"/>
                <w:lang w:val="en-US" w:eastAsia="zh-TW"/>
              </w:rPr>
              <w:t>級</w:t>
            </w:r>
            <w:r w:rsidRPr="00DA6DF1">
              <w:rPr>
                <w:rFonts w:ascii="Calibri" w:eastAsia="新細明體" w:hAnsi="Calibri" w:cs="Segoe UI"/>
                <w:i/>
                <w:kern w:val="2"/>
                <w:sz w:val="17"/>
                <w:szCs w:val="17"/>
                <w:lang w:val="en-US" w:eastAsia="zh-TW"/>
              </w:rPr>
              <w:t>HQLA</w:t>
            </w:r>
            <w:r w:rsidRPr="00DA6DF1">
              <w:rPr>
                <w:rFonts w:ascii="Calibri" w:eastAsia="細明體" w:hAnsi="Calibri" w:cs="Segoe UI"/>
                <w:i/>
                <w:kern w:val="2"/>
                <w:sz w:val="17"/>
                <w:szCs w:val="17"/>
                <w:lang w:val="en-US" w:eastAsia="zh-TW"/>
              </w:rPr>
              <w:t>作為保證的依期清償貸款及借予金融機構的無</w:t>
            </w:r>
            <w:r w:rsidR="00C53734">
              <w:rPr>
                <w:rFonts w:ascii="Calibri" w:eastAsia="細明體" w:hAnsi="Calibri" w:cs="Segoe UI" w:hint="eastAsia"/>
                <w:i/>
                <w:kern w:val="2"/>
                <w:sz w:val="17"/>
                <w:szCs w:val="17"/>
                <w:lang w:val="en-US" w:eastAsia="zh-HK"/>
              </w:rPr>
              <w:t>保證</w:t>
            </w:r>
            <w:r w:rsidR="00672511">
              <w:rPr>
                <w:rFonts w:ascii="Calibri" w:eastAsia="細明體" w:hAnsi="Calibri" w:cs="Segoe UI" w:hint="eastAsia"/>
                <w:i/>
                <w:kern w:val="2"/>
                <w:sz w:val="17"/>
                <w:szCs w:val="17"/>
                <w:lang w:val="en-US" w:eastAsia="zh-HK"/>
              </w:rPr>
              <w:t>的</w:t>
            </w:r>
            <w:r w:rsidRPr="00DA6DF1">
              <w:rPr>
                <w:rFonts w:ascii="Calibri" w:eastAsia="細明體" w:hAnsi="Calibri" w:cs="Segoe UI"/>
                <w:i/>
                <w:kern w:val="2"/>
                <w:sz w:val="17"/>
                <w:szCs w:val="17"/>
                <w:lang w:val="en-US" w:eastAsia="zh-TW"/>
              </w:rPr>
              <w:t>依期清償貸款</w:t>
            </w:r>
            <w:r w:rsidRPr="00DA6DF1">
              <w:rPr>
                <w:rFonts w:ascii="Calibri" w:eastAsia="細明體" w:hAnsi="Calibri" w:cs="Segoe UI"/>
                <w:kern w:val="2"/>
                <w:sz w:val="17"/>
                <w:szCs w:val="17"/>
                <w:lang w:val="en-US" w:eastAsia="zh-TW"/>
              </w:rPr>
              <w:t>：包括認可機構提供予其他金融機構而未被第</w:t>
            </w:r>
            <w:r w:rsidRPr="00DA6DF1">
              <w:rPr>
                <w:rFonts w:ascii="Calibri" w:eastAsia="細明體" w:hAnsi="Calibri" w:cs="Segoe UI"/>
                <w:kern w:val="2"/>
                <w:sz w:val="17"/>
                <w:szCs w:val="17"/>
                <w:lang w:val="en-US" w:eastAsia="zh-TW"/>
              </w:rPr>
              <w:t>18</w:t>
            </w:r>
            <w:r w:rsidRPr="00DA6DF1">
              <w:rPr>
                <w:rFonts w:ascii="Calibri" w:eastAsia="細明體" w:hAnsi="Calibri" w:cs="Segoe UI"/>
                <w:kern w:val="2"/>
                <w:sz w:val="17"/>
                <w:szCs w:val="17"/>
                <w:lang w:val="en-US" w:eastAsia="zh-TW"/>
              </w:rPr>
              <w:t>行涵蓋的依期清償貸款及資金（營運存款除外）。</w:t>
            </w:r>
          </w:p>
        </w:tc>
      </w:tr>
      <w:tr w:rsidR="00DA6DF1" w:rsidRPr="00DA6DF1" w14:paraId="2B1B4C74" w14:textId="77777777" w:rsidTr="00B10B11">
        <w:trPr>
          <w:trHeight w:val="373"/>
        </w:trPr>
        <w:tc>
          <w:tcPr>
            <w:tcW w:w="568" w:type="dxa"/>
          </w:tcPr>
          <w:p w14:paraId="39DBB812"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20</w:t>
            </w:r>
          </w:p>
        </w:tc>
        <w:tc>
          <w:tcPr>
            <w:tcW w:w="8505" w:type="dxa"/>
          </w:tcPr>
          <w:p w14:paraId="3D3165CD" w14:textId="19B1EC23" w:rsidR="00DA6DF1" w:rsidRPr="00DA6DF1" w:rsidRDefault="00DA6DF1" w:rsidP="00863B81">
            <w:pPr>
              <w:keepLines/>
              <w:widowControl w:val="0"/>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借予非金融</w:t>
            </w:r>
            <w:proofErr w:type="gramStart"/>
            <w:r w:rsidRPr="00DA6DF1">
              <w:rPr>
                <w:rFonts w:ascii="Calibri" w:eastAsia="細明體" w:hAnsi="Calibri" w:cs="Segoe UI"/>
                <w:i/>
                <w:kern w:val="2"/>
                <w:sz w:val="17"/>
                <w:szCs w:val="17"/>
                <w:lang w:val="en-US" w:eastAsia="zh-TW"/>
              </w:rPr>
              <w:t>類法團客戶</w:t>
            </w:r>
            <w:proofErr w:type="gramEnd"/>
            <w:r w:rsidRPr="00DA6DF1">
              <w:rPr>
                <w:rFonts w:ascii="Calibri" w:eastAsia="細明體" w:hAnsi="Calibri" w:cs="Segoe UI"/>
                <w:i/>
                <w:kern w:val="2"/>
                <w:sz w:val="17"/>
                <w:szCs w:val="17"/>
                <w:lang w:val="en-US" w:eastAsia="zh-TW"/>
              </w:rPr>
              <w:t>、零售</w:t>
            </w:r>
            <w:r w:rsidR="00863B81">
              <w:rPr>
                <w:rFonts w:ascii="Calibri" w:eastAsia="細明體" w:hAnsi="Calibri" w:cs="Segoe UI" w:hint="eastAsia"/>
                <w:i/>
                <w:kern w:val="2"/>
                <w:sz w:val="17"/>
                <w:szCs w:val="17"/>
                <w:lang w:val="en-US" w:eastAsia="zh-HK"/>
              </w:rPr>
              <w:t>與</w:t>
            </w:r>
            <w:r w:rsidRPr="00DA6DF1">
              <w:rPr>
                <w:rFonts w:ascii="Calibri" w:eastAsia="細明體" w:hAnsi="Calibri" w:cs="Segoe UI"/>
                <w:i/>
                <w:kern w:val="2"/>
                <w:sz w:val="17"/>
                <w:szCs w:val="17"/>
                <w:lang w:val="en-US" w:eastAsia="zh-TW"/>
              </w:rPr>
              <w:t>小型企業客戶</w:t>
            </w:r>
            <w:r w:rsidR="00863B81">
              <w:rPr>
                <w:rFonts w:ascii="Calibri" w:eastAsia="細明體" w:hAnsi="Calibri" w:cs="Segoe UI" w:hint="eastAsia"/>
                <w:i/>
                <w:kern w:val="2"/>
                <w:sz w:val="17"/>
                <w:szCs w:val="17"/>
                <w:lang w:val="en-US" w:eastAsia="zh-HK"/>
              </w:rPr>
              <w:t>、</w:t>
            </w:r>
            <w:r w:rsidRPr="00DA6DF1">
              <w:rPr>
                <w:rFonts w:ascii="Calibri" w:eastAsia="細明體" w:hAnsi="Calibri" w:cs="Segoe UI"/>
                <w:i/>
                <w:kern w:val="2"/>
                <w:sz w:val="17"/>
                <w:szCs w:val="17"/>
                <w:lang w:val="en-US" w:eastAsia="zh-TW"/>
              </w:rPr>
              <w:t>官方實體、為外匯基金帳戶行事的金融管理專員、中央銀行及公營單位的依期清償貸款</w:t>
            </w:r>
            <w:r w:rsidR="00863B81" w:rsidRPr="00DA6DF1">
              <w:rPr>
                <w:rFonts w:ascii="Calibri" w:eastAsia="新細明體" w:hAnsi="Calibri" w:cs="Segoe UI"/>
                <w:i/>
                <w:sz w:val="17"/>
                <w:szCs w:val="22"/>
                <w:lang w:eastAsia="zh-TW"/>
              </w:rPr>
              <w:t>（依期清償住宅按揭貸款除外）</w:t>
            </w:r>
            <w:r w:rsidRPr="00DA6DF1">
              <w:rPr>
                <w:rFonts w:ascii="Calibri" w:eastAsia="細明體" w:hAnsi="Calibri" w:cs="Segoe UI"/>
                <w:kern w:val="2"/>
                <w:sz w:val="17"/>
                <w:szCs w:val="17"/>
                <w:lang w:val="en-US" w:eastAsia="zh-TW"/>
              </w:rPr>
              <w:t>：包含認可機構提供予零售客戶及批發客戶</w:t>
            </w:r>
            <w:r w:rsidRPr="00DA6DF1">
              <w:rPr>
                <w:rFonts w:ascii="Calibri" w:eastAsia="新細明體" w:hAnsi="Calibri" w:cs="Segoe UI"/>
                <w:kern w:val="2"/>
                <w:sz w:val="17"/>
                <w:szCs w:val="17"/>
                <w:lang w:val="en-US" w:eastAsia="zh-TW"/>
              </w:rPr>
              <w:t>（</w:t>
            </w:r>
            <w:r w:rsidRPr="00DA6DF1">
              <w:rPr>
                <w:rFonts w:ascii="Calibri" w:eastAsia="細明體" w:hAnsi="Calibri" w:cs="Segoe UI"/>
                <w:kern w:val="2"/>
                <w:sz w:val="17"/>
                <w:szCs w:val="17"/>
                <w:lang w:val="en-US" w:eastAsia="zh-TW"/>
              </w:rPr>
              <w:t>金融機構除外</w:t>
            </w:r>
            <w:r w:rsidRPr="00DA6DF1">
              <w:rPr>
                <w:rFonts w:ascii="Calibri" w:eastAsia="新細明體" w:hAnsi="Calibri" w:cs="Segoe UI"/>
                <w:kern w:val="2"/>
                <w:sz w:val="17"/>
                <w:szCs w:val="17"/>
                <w:lang w:val="en-US" w:eastAsia="zh-TW"/>
              </w:rPr>
              <w:t>），而未被</w:t>
            </w:r>
            <w:r w:rsidRPr="00DA6DF1">
              <w:rPr>
                <w:rFonts w:ascii="Calibri" w:eastAsia="細明體" w:hAnsi="Calibri" w:cs="Segoe UI"/>
                <w:kern w:val="2"/>
                <w:sz w:val="17"/>
                <w:szCs w:val="17"/>
                <w:lang w:val="en-US" w:eastAsia="zh-TW"/>
              </w:rPr>
              <w:t>第</w:t>
            </w:r>
            <w:r w:rsidRPr="00DA6DF1">
              <w:rPr>
                <w:rFonts w:ascii="Calibri" w:eastAsia="新細明體" w:hAnsi="Calibri" w:cs="Segoe UI"/>
                <w:kern w:val="2"/>
                <w:sz w:val="17"/>
                <w:szCs w:val="17"/>
                <w:lang w:val="en-US" w:eastAsia="zh-TW"/>
              </w:rPr>
              <w:t>15</w:t>
            </w:r>
            <w:r w:rsidRPr="00DA6DF1">
              <w:rPr>
                <w:rFonts w:ascii="Calibri" w:eastAsia="新細明體" w:hAnsi="Calibri" w:cs="Segoe UI"/>
                <w:kern w:val="2"/>
                <w:sz w:val="17"/>
                <w:szCs w:val="17"/>
                <w:lang w:val="en-US" w:eastAsia="zh-TW"/>
              </w:rPr>
              <w:t>至</w:t>
            </w:r>
            <w:r w:rsidRPr="00DA6DF1">
              <w:rPr>
                <w:rFonts w:ascii="Calibri" w:eastAsia="新細明體" w:hAnsi="Calibri" w:cs="Segoe UI"/>
                <w:kern w:val="2"/>
                <w:sz w:val="17"/>
                <w:szCs w:val="17"/>
                <w:lang w:val="en-US" w:eastAsia="zh-TW"/>
              </w:rPr>
              <w:t>19</w:t>
            </w:r>
            <w:r w:rsidRPr="00DA6DF1">
              <w:rPr>
                <w:rFonts w:ascii="Calibri" w:eastAsia="新細明體" w:hAnsi="Calibri" w:cs="Segoe UI"/>
                <w:kern w:val="2"/>
                <w:sz w:val="17"/>
                <w:szCs w:val="17"/>
                <w:lang w:val="en-US" w:eastAsia="zh-TW"/>
              </w:rPr>
              <w:t>行及</w:t>
            </w:r>
            <w:r w:rsidRPr="00DA6DF1">
              <w:rPr>
                <w:rFonts w:ascii="Calibri" w:eastAsia="細明體" w:hAnsi="Calibri" w:cs="Segoe UI"/>
                <w:kern w:val="2"/>
                <w:sz w:val="17"/>
                <w:szCs w:val="17"/>
                <w:lang w:val="en-US" w:eastAsia="zh-TW"/>
              </w:rPr>
              <w:t>第</w:t>
            </w:r>
            <w:r w:rsidRPr="00DA6DF1">
              <w:rPr>
                <w:rFonts w:ascii="Calibri" w:eastAsia="新細明體" w:hAnsi="Calibri" w:cs="Segoe UI"/>
                <w:kern w:val="2"/>
                <w:sz w:val="17"/>
                <w:szCs w:val="17"/>
                <w:lang w:val="en-US" w:eastAsia="zh-TW"/>
              </w:rPr>
              <w:t>22</w:t>
            </w:r>
            <w:r w:rsidRPr="00DA6DF1">
              <w:rPr>
                <w:rFonts w:ascii="Calibri" w:eastAsia="細明體" w:hAnsi="Calibri" w:cs="Segoe UI"/>
                <w:kern w:val="2"/>
                <w:sz w:val="17"/>
                <w:szCs w:val="17"/>
                <w:lang w:val="en-US" w:eastAsia="zh-TW"/>
              </w:rPr>
              <w:t>至</w:t>
            </w:r>
            <w:r w:rsidRPr="00DA6DF1">
              <w:rPr>
                <w:rFonts w:ascii="Calibri" w:eastAsia="新細明體" w:hAnsi="Calibri" w:cs="Segoe UI"/>
                <w:kern w:val="2"/>
                <w:sz w:val="17"/>
                <w:szCs w:val="17"/>
                <w:lang w:val="en-US" w:eastAsia="zh-TW"/>
              </w:rPr>
              <w:t>23</w:t>
            </w:r>
            <w:r w:rsidRPr="00DA6DF1">
              <w:rPr>
                <w:rFonts w:ascii="Calibri" w:eastAsia="新細明體" w:hAnsi="Calibri" w:cs="Segoe UI"/>
                <w:kern w:val="2"/>
                <w:sz w:val="17"/>
                <w:szCs w:val="17"/>
                <w:lang w:val="en-US" w:eastAsia="zh-TW"/>
              </w:rPr>
              <w:t>行涵蓋</w:t>
            </w:r>
            <w:r w:rsidRPr="00DA6DF1">
              <w:rPr>
                <w:rFonts w:ascii="Calibri" w:eastAsia="細明體" w:hAnsi="Calibri" w:cs="Segoe UI"/>
                <w:kern w:val="2"/>
                <w:sz w:val="17"/>
                <w:szCs w:val="17"/>
                <w:lang w:val="en-US" w:eastAsia="zh-TW"/>
              </w:rPr>
              <w:t>的依期清償貸款及資金（並非住宅按揭貸款）。</w:t>
            </w:r>
          </w:p>
        </w:tc>
      </w:tr>
      <w:tr w:rsidR="00DA6DF1" w:rsidRPr="00DA6DF1" w14:paraId="479A44E6" w14:textId="77777777" w:rsidTr="00B10B11">
        <w:trPr>
          <w:trHeight w:val="373"/>
        </w:trPr>
        <w:tc>
          <w:tcPr>
            <w:tcW w:w="568" w:type="dxa"/>
          </w:tcPr>
          <w:p w14:paraId="5150D5F5"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21</w:t>
            </w:r>
          </w:p>
        </w:tc>
        <w:tc>
          <w:tcPr>
            <w:tcW w:w="8505" w:type="dxa"/>
          </w:tcPr>
          <w:p w14:paraId="252CED59" w14:textId="3708D8C0"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在</w:t>
            </w:r>
            <w:r w:rsidRPr="00DA6DF1">
              <w:rPr>
                <w:rFonts w:ascii="Calibri" w:eastAsia="新細明體" w:hAnsi="Calibri" w:cs="Segoe UI"/>
                <w:i/>
                <w:kern w:val="2"/>
                <w:sz w:val="17"/>
                <w:szCs w:val="17"/>
                <w:lang w:val="en-US" w:eastAsia="zh-TW"/>
              </w:rPr>
              <w:t>STC</w:t>
            </w:r>
            <w:r w:rsidRPr="00DA6DF1">
              <w:rPr>
                <w:rFonts w:ascii="Calibri" w:eastAsia="細明體" w:hAnsi="Calibri" w:cs="Segoe UI"/>
                <w:i/>
                <w:kern w:val="2"/>
                <w:sz w:val="17"/>
                <w:szCs w:val="17"/>
                <w:lang w:val="en-US" w:eastAsia="zh-TW"/>
              </w:rPr>
              <w:t>計算法下風險權重少於或等於</w:t>
            </w:r>
            <w:r w:rsidRPr="00DA6DF1">
              <w:rPr>
                <w:rFonts w:ascii="Calibri" w:eastAsia="新細明體" w:hAnsi="Calibri" w:cs="Segoe UI"/>
                <w:i/>
                <w:kern w:val="2"/>
                <w:sz w:val="17"/>
                <w:szCs w:val="17"/>
                <w:lang w:val="en-US" w:eastAsia="zh-TW"/>
              </w:rPr>
              <w:t>35%</w:t>
            </w:r>
            <w:r w:rsidRPr="00DA6DF1">
              <w:rPr>
                <w:rFonts w:ascii="Calibri" w:eastAsia="細明體" w:hAnsi="Calibri" w:cs="Segoe UI"/>
                <w:kern w:val="2"/>
                <w:sz w:val="17"/>
                <w:szCs w:val="17"/>
                <w:lang w:val="en-US" w:eastAsia="zh-TW"/>
              </w:rPr>
              <w:t>：即在第</w:t>
            </w:r>
            <w:r w:rsidRPr="00DA6DF1">
              <w:rPr>
                <w:rFonts w:ascii="Calibri" w:eastAsia="新細明體" w:hAnsi="Calibri" w:cs="Segoe UI"/>
                <w:kern w:val="2"/>
                <w:sz w:val="17"/>
                <w:szCs w:val="17"/>
                <w:lang w:val="en-US" w:eastAsia="zh-TW"/>
              </w:rPr>
              <w:t>20</w:t>
            </w:r>
            <w:r w:rsidRPr="00DA6DF1">
              <w:rPr>
                <w:rFonts w:ascii="Calibri" w:eastAsia="新細明體" w:hAnsi="Calibri" w:cs="Segoe UI"/>
                <w:kern w:val="2"/>
                <w:sz w:val="17"/>
                <w:szCs w:val="17"/>
                <w:lang w:val="en-US" w:eastAsia="zh-TW"/>
              </w:rPr>
              <w:t>行</w:t>
            </w:r>
            <w:r w:rsidR="00EE6DDF"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報的根據《資本規則》第</w:t>
            </w:r>
            <w:r w:rsidRPr="00DA6DF1">
              <w:rPr>
                <w:rFonts w:ascii="Calibri" w:eastAsia="新細明體" w:hAnsi="Calibri" w:cs="Segoe UI"/>
                <w:kern w:val="2"/>
                <w:sz w:val="17"/>
                <w:szCs w:val="17"/>
                <w:lang w:val="en-US" w:eastAsia="zh-TW"/>
              </w:rPr>
              <w:t>4</w:t>
            </w:r>
            <w:r w:rsidRPr="00DA6DF1">
              <w:rPr>
                <w:rFonts w:ascii="Calibri" w:eastAsia="細明體" w:hAnsi="Calibri" w:cs="Segoe UI"/>
                <w:kern w:val="2"/>
                <w:sz w:val="17"/>
                <w:szCs w:val="17"/>
                <w:lang w:val="en-US" w:eastAsia="zh-TW"/>
              </w:rPr>
              <w:t>部第</w:t>
            </w:r>
            <w:r w:rsidRPr="00DA6DF1">
              <w:rPr>
                <w:rFonts w:ascii="Calibri" w:eastAsia="新細明體" w:hAnsi="Calibri" w:cs="Segoe UI"/>
                <w:kern w:val="2"/>
                <w:sz w:val="17"/>
                <w:szCs w:val="17"/>
                <w:lang w:val="en-US" w:eastAsia="zh-TW"/>
              </w:rPr>
              <w:t>3</w:t>
            </w:r>
            <w:r w:rsidRPr="00DA6DF1">
              <w:rPr>
                <w:rFonts w:ascii="Calibri" w:eastAsia="細明體" w:hAnsi="Calibri" w:cs="Segoe UI"/>
                <w:kern w:val="2"/>
                <w:sz w:val="17"/>
                <w:szCs w:val="17"/>
                <w:lang w:val="en-US" w:eastAsia="zh-TW"/>
              </w:rPr>
              <w:t>分部須受少於</w:t>
            </w:r>
            <w:r w:rsidRPr="00DA6DF1">
              <w:rPr>
                <w:rFonts w:ascii="Calibri" w:eastAsia="新細明體" w:hAnsi="Calibri" w:cs="Segoe UI"/>
                <w:kern w:val="2"/>
                <w:sz w:val="17"/>
                <w:szCs w:val="17"/>
                <w:lang w:val="en-US" w:eastAsia="zh-TW"/>
              </w:rPr>
              <w:t>35%</w:t>
            </w:r>
            <w:r w:rsidRPr="00DA6DF1">
              <w:rPr>
                <w:rFonts w:ascii="Calibri" w:eastAsia="細明體" w:hAnsi="Calibri" w:cs="Segoe UI"/>
                <w:kern w:val="2"/>
                <w:sz w:val="17"/>
                <w:szCs w:val="17"/>
                <w:lang w:val="en-US" w:eastAsia="zh-TW"/>
              </w:rPr>
              <w:t>或等於</w:t>
            </w:r>
            <w:r w:rsidRPr="00DA6DF1">
              <w:rPr>
                <w:rFonts w:ascii="Calibri" w:eastAsia="新細明體" w:hAnsi="Calibri" w:cs="Segoe UI"/>
                <w:kern w:val="2"/>
                <w:sz w:val="17"/>
                <w:szCs w:val="17"/>
                <w:lang w:val="en-US" w:eastAsia="zh-TW"/>
              </w:rPr>
              <w:t>35%</w:t>
            </w:r>
            <w:r w:rsidRPr="00DA6DF1">
              <w:rPr>
                <w:rFonts w:ascii="Calibri" w:eastAsia="細明體" w:hAnsi="Calibri" w:cs="Segoe UI"/>
                <w:kern w:val="2"/>
                <w:sz w:val="17"/>
                <w:szCs w:val="17"/>
                <w:lang w:val="en-US" w:eastAsia="zh-TW"/>
              </w:rPr>
              <w:t>風險權重</w:t>
            </w:r>
            <w:proofErr w:type="gramStart"/>
            <w:r w:rsidRPr="00DA6DF1">
              <w:rPr>
                <w:rFonts w:ascii="Calibri" w:eastAsia="細明體" w:hAnsi="Calibri" w:cs="Segoe UI"/>
                <w:kern w:val="2"/>
                <w:sz w:val="17"/>
                <w:szCs w:val="17"/>
                <w:lang w:val="en-US" w:eastAsia="zh-TW"/>
              </w:rPr>
              <w:t>規</w:t>
            </w:r>
            <w:proofErr w:type="gramEnd"/>
            <w:r w:rsidRPr="00DA6DF1">
              <w:rPr>
                <w:rFonts w:ascii="Calibri" w:eastAsia="細明體" w:hAnsi="Calibri" w:cs="Segoe UI"/>
                <w:kern w:val="2"/>
                <w:sz w:val="17"/>
                <w:szCs w:val="17"/>
                <w:lang w:val="en-US" w:eastAsia="zh-TW"/>
              </w:rPr>
              <w:t>限的數額的部分。</w:t>
            </w:r>
          </w:p>
        </w:tc>
      </w:tr>
      <w:tr w:rsidR="00DA6DF1" w:rsidRPr="00DA6DF1" w14:paraId="0A6ACB97" w14:textId="77777777" w:rsidTr="00B10B11">
        <w:trPr>
          <w:trHeight w:val="373"/>
        </w:trPr>
        <w:tc>
          <w:tcPr>
            <w:tcW w:w="568" w:type="dxa"/>
          </w:tcPr>
          <w:p w14:paraId="04521608"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22</w:t>
            </w:r>
          </w:p>
        </w:tc>
        <w:tc>
          <w:tcPr>
            <w:tcW w:w="8505" w:type="dxa"/>
          </w:tcPr>
          <w:p w14:paraId="5C23E8A7" w14:textId="77777777" w:rsidR="00DA6DF1" w:rsidRPr="00DA6DF1" w:rsidRDefault="00DA6DF1" w:rsidP="00DA6DF1">
            <w:pPr>
              <w:spacing w:before="40" w:after="40"/>
              <w:jc w:val="both"/>
              <w:rPr>
                <w:rFonts w:ascii="Calibri" w:eastAsia="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依期清償住宅按揭貸款</w:t>
            </w:r>
            <w:r w:rsidRPr="00DA6DF1">
              <w:rPr>
                <w:rFonts w:ascii="Calibri" w:eastAsia="細明體" w:hAnsi="Calibri" w:cs="Segoe UI"/>
                <w:kern w:val="2"/>
                <w:sz w:val="17"/>
                <w:szCs w:val="17"/>
                <w:lang w:val="en-US" w:eastAsia="zh-TW"/>
              </w:rPr>
              <w:t>：包含認可機構提供的所有依期清償住宅按揭貸款。</w:t>
            </w:r>
          </w:p>
          <w:p w14:paraId="68A12DE6" w14:textId="08D6351B" w:rsidR="00DA6DF1" w:rsidRPr="00DA6DF1" w:rsidRDefault="00DA6DF1" w:rsidP="00915C1B">
            <w:pPr>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kern w:val="2"/>
                <w:sz w:val="17"/>
                <w:szCs w:val="17"/>
                <w:lang w:val="en-US" w:eastAsia="zh-TW"/>
              </w:rPr>
              <w:t>認可機構可參照《資本規則》第</w:t>
            </w:r>
            <w:r w:rsidR="003509DE">
              <w:rPr>
                <w:rFonts w:ascii="Calibri" w:eastAsia="新細明體" w:hAnsi="Calibri" w:cs="Segoe UI"/>
                <w:kern w:val="2"/>
                <w:sz w:val="17"/>
                <w:szCs w:val="17"/>
                <w:lang w:val="en-US" w:eastAsia="zh-TW"/>
              </w:rPr>
              <w:t>139</w:t>
            </w:r>
            <w:r w:rsidR="00915C1B">
              <w:rPr>
                <w:rFonts w:ascii="Calibri" w:eastAsia="新細明體" w:hAnsi="Calibri" w:cs="Segoe UI"/>
                <w:kern w:val="2"/>
                <w:sz w:val="17"/>
                <w:szCs w:val="17"/>
                <w:lang w:val="en-US" w:eastAsia="zh-TW"/>
              </w:rPr>
              <w:t>(1)</w:t>
            </w:r>
            <w:r w:rsidRPr="00DA6DF1">
              <w:rPr>
                <w:rFonts w:ascii="Calibri" w:eastAsia="新細明體" w:hAnsi="Calibri" w:cs="Segoe UI"/>
                <w:kern w:val="2"/>
                <w:sz w:val="17"/>
                <w:szCs w:val="17"/>
                <w:lang w:val="en-US" w:eastAsia="zh-TW"/>
              </w:rPr>
              <w:t>條以</w:t>
            </w:r>
            <w:r w:rsidRPr="00DA6DF1">
              <w:rPr>
                <w:rFonts w:ascii="Calibri" w:eastAsia="細明體" w:hAnsi="Calibri" w:cs="Segoe UI"/>
                <w:kern w:val="2"/>
                <w:sz w:val="17"/>
                <w:szCs w:val="17"/>
                <w:lang w:val="en-US" w:eastAsia="zh-TW"/>
              </w:rPr>
              <w:t>斷定於第</w:t>
            </w:r>
            <w:r w:rsidRPr="00DA6DF1">
              <w:rPr>
                <w:rFonts w:ascii="Calibri" w:eastAsia="細明體" w:hAnsi="Calibri" w:cs="Segoe UI"/>
                <w:kern w:val="2"/>
                <w:sz w:val="17"/>
                <w:szCs w:val="17"/>
                <w:lang w:val="en-US" w:eastAsia="zh-TW"/>
              </w:rPr>
              <w:t>22</w:t>
            </w:r>
            <w:r w:rsidRPr="00DA6DF1">
              <w:rPr>
                <w:rFonts w:ascii="Calibri" w:eastAsia="細明體" w:hAnsi="Calibri" w:cs="Segoe UI"/>
                <w:kern w:val="2"/>
                <w:sz w:val="17"/>
                <w:szCs w:val="17"/>
                <w:lang w:val="en-US" w:eastAsia="zh-TW"/>
              </w:rPr>
              <w:t>行適用之住宅按揭範圍。為清楚起見</w:t>
            </w:r>
            <w:r w:rsidRPr="00DA6DF1">
              <w:rPr>
                <w:rFonts w:ascii="Calibri" w:eastAsia="新細明體" w:hAnsi="Calibri" w:cs="Segoe UI"/>
                <w:kern w:val="2"/>
                <w:sz w:val="17"/>
                <w:szCs w:val="17"/>
                <w:lang w:val="en-US" w:eastAsia="zh-TW"/>
              </w:rPr>
              <w:t>，如有提供予金融機構的住宅按揭貸款，應在第</w:t>
            </w:r>
            <w:r w:rsidRPr="00DA6DF1">
              <w:rPr>
                <w:rFonts w:ascii="Calibri" w:eastAsia="新細明體" w:hAnsi="Calibri" w:cs="Segoe UI"/>
                <w:kern w:val="2"/>
                <w:sz w:val="17"/>
                <w:szCs w:val="17"/>
                <w:lang w:val="en-US" w:eastAsia="zh-TW"/>
              </w:rPr>
              <w:t>18</w:t>
            </w:r>
            <w:r w:rsidRPr="00DA6DF1">
              <w:rPr>
                <w:rFonts w:ascii="Calibri" w:eastAsia="新細明體" w:hAnsi="Calibri" w:cs="Segoe UI"/>
                <w:kern w:val="2"/>
                <w:sz w:val="17"/>
                <w:szCs w:val="17"/>
                <w:lang w:val="en-US" w:eastAsia="zh-TW"/>
              </w:rPr>
              <w:t>或</w:t>
            </w:r>
            <w:r w:rsidRPr="00DA6DF1">
              <w:rPr>
                <w:rFonts w:ascii="Calibri" w:eastAsia="新細明體" w:hAnsi="Calibri" w:cs="Segoe UI"/>
                <w:kern w:val="2"/>
                <w:sz w:val="17"/>
                <w:szCs w:val="17"/>
                <w:lang w:val="en-US" w:eastAsia="zh-TW"/>
              </w:rPr>
              <w:t>19</w:t>
            </w:r>
            <w:r w:rsidRPr="00DA6DF1">
              <w:rPr>
                <w:rFonts w:ascii="Calibri" w:eastAsia="新細明體" w:hAnsi="Calibri" w:cs="Segoe UI"/>
                <w:kern w:val="2"/>
                <w:sz w:val="17"/>
                <w:szCs w:val="17"/>
                <w:lang w:val="en-US" w:eastAsia="zh-TW"/>
              </w:rPr>
              <w:t>行填報及從第</w:t>
            </w:r>
            <w:r w:rsidRPr="00DA6DF1">
              <w:rPr>
                <w:rFonts w:ascii="Calibri" w:eastAsia="新細明體" w:hAnsi="Calibri" w:cs="Segoe UI"/>
                <w:kern w:val="2"/>
                <w:sz w:val="17"/>
                <w:szCs w:val="17"/>
                <w:lang w:val="en-US" w:eastAsia="zh-TW"/>
              </w:rPr>
              <w:t>22</w:t>
            </w:r>
            <w:r w:rsidRPr="00DA6DF1">
              <w:rPr>
                <w:rFonts w:ascii="Calibri" w:eastAsia="新細明體" w:hAnsi="Calibri" w:cs="Segoe UI"/>
                <w:kern w:val="2"/>
                <w:sz w:val="17"/>
                <w:szCs w:val="17"/>
                <w:lang w:val="en-US" w:eastAsia="zh-TW"/>
              </w:rPr>
              <w:t>行</w:t>
            </w:r>
            <w:proofErr w:type="gramStart"/>
            <w:r w:rsidRPr="00DA6DF1">
              <w:rPr>
                <w:rFonts w:ascii="Calibri" w:eastAsia="新細明體" w:hAnsi="Calibri" w:cs="Segoe UI"/>
                <w:kern w:val="2"/>
                <w:sz w:val="17"/>
                <w:szCs w:val="17"/>
                <w:lang w:val="en-US" w:eastAsia="zh-TW"/>
              </w:rPr>
              <w:t>中豁除</w:t>
            </w:r>
            <w:proofErr w:type="gramEnd"/>
            <w:r w:rsidRPr="00DA6DF1">
              <w:rPr>
                <w:rFonts w:ascii="Calibri" w:eastAsia="細明體" w:hAnsi="Calibri" w:cs="Segoe UI"/>
                <w:kern w:val="2"/>
                <w:sz w:val="17"/>
                <w:szCs w:val="17"/>
                <w:lang w:val="en-US" w:eastAsia="zh-TW"/>
              </w:rPr>
              <w:t>。</w:t>
            </w:r>
          </w:p>
        </w:tc>
      </w:tr>
      <w:tr w:rsidR="00DA6DF1" w:rsidRPr="00DA6DF1" w14:paraId="41AF4166" w14:textId="77777777" w:rsidTr="00B10B11">
        <w:trPr>
          <w:trHeight w:val="373"/>
        </w:trPr>
        <w:tc>
          <w:tcPr>
            <w:tcW w:w="568" w:type="dxa"/>
          </w:tcPr>
          <w:p w14:paraId="3E111D13"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23</w:t>
            </w:r>
          </w:p>
        </w:tc>
        <w:tc>
          <w:tcPr>
            <w:tcW w:w="8505" w:type="dxa"/>
          </w:tcPr>
          <w:p w14:paraId="319524BD" w14:textId="0C08CB82" w:rsidR="00DA6DF1" w:rsidRPr="00DA6DF1" w:rsidRDefault="00DA6DF1" w:rsidP="006558A5">
            <w:pPr>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在</w:t>
            </w:r>
            <w:r w:rsidRPr="00DA6DF1">
              <w:rPr>
                <w:rFonts w:ascii="Calibri" w:eastAsia="新細明體" w:hAnsi="Calibri" w:cs="Segoe UI"/>
                <w:i/>
                <w:kern w:val="2"/>
                <w:sz w:val="17"/>
                <w:szCs w:val="17"/>
                <w:lang w:val="en-US" w:eastAsia="zh-TW"/>
              </w:rPr>
              <w:t>STC</w:t>
            </w:r>
            <w:r w:rsidRPr="00DA6DF1">
              <w:rPr>
                <w:rFonts w:ascii="Calibri" w:eastAsia="細明體" w:hAnsi="Calibri" w:cs="Segoe UI"/>
                <w:i/>
                <w:kern w:val="2"/>
                <w:sz w:val="17"/>
                <w:szCs w:val="17"/>
                <w:lang w:val="en-US" w:eastAsia="zh-TW"/>
              </w:rPr>
              <w:t>計算法下風險權重少於或等於</w:t>
            </w:r>
            <w:r w:rsidRPr="00DA6DF1">
              <w:rPr>
                <w:rFonts w:ascii="Calibri" w:eastAsia="新細明體" w:hAnsi="Calibri" w:cs="Segoe UI"/>
                <w:i/>
                <w:kern w:val="2"/>
                <w:sz w:val="17"/>
                <w:szCs w:val="17"/>
                <w:lang w:val="en-US" w:eastAsia="zh-TW"/>
              </w:rPr>
              <w:t>35%</w:t>
            </w:r>
            <w:r w:rsidRPr="00DA6DF1">
              <w:rPr>
                <w:rFonts w:ascii="Calibri" w:eastAsia="細明體" w:hAnsi="Calibri" w:cs="Segoe UI"/>
                <w:kern w:val="2"/>
                <w:sz w:val="17"/>
                <w:szCs w:val="17"/>
                <w:lang w:val="en-US" w:eastAsia="zh-TW"/>
              </w:rPr>
              <w:t>：即在第</w:t>
            </w:r>
            <w:r w:rsidRPr="00DA6DF1">
              <w:rPr>
                <w:rFonts w:ascii="Calibri" w:eastAsia="新細明體" w:hAnsi="Calibri" w:cs="Segoe UI"/>
                <w:kern w:val="2"/>
                <w:sz w:val="17"/>
                <w:szCs w:val="17"/>
                <w:lang w:val="en-US" w:eastAsia="zh-TW"/>
              </w:rPr>
              <w:t>22</w:t>
            </w:r>
            <w:r w:rsidRPr="00DA6DF1">
              <w:rPr>
                <w:rFonts w:ascii="Calibri" w:eastAsia="新細明體" w:hAnsi="Calibri" w:cs="Segoe UI"/>
                <w:kern w:val="2"/>
                <w:sz w:val="17"/>
                <w:szCs w:val="17"/>
                <w:lang w:val="en-US" w:eastAsia="zh-TW"/>
              </w:rPr>
              <w:t>行</w:t>
            </w:r>
            <w:r w:rsidR="00EE6DDF"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報的根據《資本規則》第</w:t>
            </w:r>
            <w:r w:rsidRPr="00DA6DF1">
              <w:rPr>
                <w:rFonts w:ascii="Calibri" w:eastAsia="新細明體" w:hAnsi="Calibri" w:cs="Segoe UI"/>
                <w:kern w:val="2"/>
                <w:sz w:val="17"/>
                <w:szCs w:val="17"/>
                <w:lang w:val="en-US" w:eastAsia="zh-TW"/>
              </w:rPr>
              <w:t>4</w:t>
            </w:r>
            <w:r w:rsidRPr="00DA6DF1">
              <w:rPr>
                <w:rFonts w:ascii="Calibri" w:eastAsia="細明體" w:hAnsi="Calibri" w:cs="Segoe UI"/>
                <w:kern w:val="2"/>
                <w:sz w:val="17"/>
                <w:szCs w:val="17"/>
                <w:lang w:val="en-US" w:eastAsia="zh-TW"/>
              </w:rPr>
              <w:t>部第</w:t>
            </w:r>
            <w:r w:rsidRPr="00DA6DF1">
              <w:rPr>
                <w:rFonts w:ascii="Calibri" w:eastAsia="新細明體" w:hAnsi="Calibri" w:cs="Segoe UI"/>
                <w:kern w:val="2"/>
                <w:sz w:val="17"/>
                <w:szCs w:val="17"/>
                <w:lang w:val="en-US" w:eastAsia="zh-TW"/>
              </w:rPr>
              <w:t>3</w:t>
            </w:r>
            <w:r w:rsidRPr="00DA6DF1">
              <w:rPr>
                <w:rFonts w:ascii="Calibri" w:eastAsia="細明體" w:hAnsi="Calibri" w:cs="Segoe UI"/>
                <w:kern w:val="2"/>
                <w:sz w:val="17"/>
                <w:szCs w:val="17"/>
                <w:lang w:val="en-US" w:eastAsia="zh-TW"/>
              </w:rPr>
              <w:t>分部須受少於或等於</w:t>
            </w:r>
            <w:r w:rsidRPr="00DA6DF1">
              <w:rPr>
                <w:rFonts w:ascii="Calibri" w:eastAsia="新細明體" w:hAnsi="Calibri" w:cs="Segoe UI"/>
                <w:kern w:val="2"/>
                <w:sz w:val="17"/>
                <w:szCs w:val="17"/>
                <w:lang w:val="en-US" w:eastAsia="zh-TW"/>
              </w:rPr>
              <w:t>35%</w:t>
            </w:r>
            <w:r w:rsidRPr="00DA6DF1">
              <w:rPr>
                <w:rFonts w:ascii="Calibri" w:eastAsia="細明體" w:hAnsi="Calibri" w:cs="Segoe UI"/>
                <w:kern w:val="2"/>
                <w:sz w:val="17"/>
                <w:szCs w:val="17"/>
                <w:lang w:val="en-US" w:eastAsia="zh-TW"/>
              </w:rPr>
              <w:t>風險權重</w:t>
            </w:r>
            <w:proofErr w:type="gramStart"/>
            <w:r w:rsidRPr="00DA6DF1">
              <w:rPr>
                <w:rFonts w:ascii="Calibri" w:eastAsia="細明體" w:hAnsi="Calibri" w:cs="Segoe UI"/>
                <w:kern w:val="2"/>
                <w:sz w:val="17"/>
                <w:szCs w:val="17"/>
                <w:lang w:val="en-US" w:eastAsia="zh-TW"/>
              </w:rPr>
              <w:t>規</w:t>
            </w:r>
            <w:proofErr w:type="gramEnd"/>
            <w:r w:rsidRPr="00DA6DF1">
              <w:rPr>
                <w:rFonts w:ascii="Calibri" w:eastAsia="細明體" w:hAnsi="Calibri" w:cs="Segoe UI"/>
                <w:kern w:val="2"/>
                <w:sz w:val="17"/>
                <w:szCs w:val="17"/>
                <w:lang w:val="en-US" w:eastAsia="zh-TW"/>
              </w:rPr>
              <w:t>限的數額的部分。</w:t>
            </w:r>
          </w:p>
        </w:tc>
      </w:tr>
      <w:tr w:rsidR="00DA6DF1" w:rsidRPr="00DA6DF1" w14:paraId="5A11409B" w14:textId="77777777" w:rsidTr="00B10B11">
        <w:trPr>
          <w:trHeight w:val="373"/>
        </w:trPr>
        <w:tc>
          <w:tcPr>
            <w:tcW w:w="568" w:type="dxa"/>
          </w:tcPr>
          <w:p w14:paraId="7B6CBE9E"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24</w:t>
            </w:r>
          </w:p>
        </w:tc>
        <w:tc>
          <w:tcPr>
            <w:tcW w:w="8505" w:type="dxa"/>
          </w:tcPr>
          <w:p w14:paraId="15D9A811" w14:textId="4873E310"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不是</w:t>
            </w:r>
            <w:proofErr w:type="gramStart"/>
            <w:r w:rsidRPr="00DA6DF1">
              <w:rPr>
                <w:rFonts w:ascii="Calibri" w:eastAsia="新細明體" w:hAnsi="Calibri" w:cs="Segoe UI"/>
                <w:i/>
                <w:kern w:val="2"/>
                <w:sz w:val="17"/>
                <w:szCs w:val="17"/>
                <w:lang w:val="en-US" w:eastAsia="zh-TW"/>
              </w:rPr>
              <w:t>違責及</w:t>
            </w:r>
            <w:proofErr w:type="gramEnd"/>
            <w:r w:rsidRPr="00DA6DF1">
              <w:rPr>
                <w:rFonts w:ascii="Calibri" w:eastAsia="新細明體" w:hAnsi="Calibri" w:cs="Segoe UI"/>
                <w:i/>
                <w:kern w:val="2"/>
                <w:sz w:val="17"/>
                <w:szCs w:val="17"/>
                <w:lang w:val="en-US" w:eastAsia="zh-TW"/>
              </w:rPr>
              <w:t>不合資格成為</w:t>
            </w:r>
            <w:r w:rsidRPr="00DA6DF1">
              <w:rPr>
                <w:rFonts w:ascii="Calibri" w:eastAsia="新細明體" w:hAnsi="Calibri" w:cs="Segoe UI"/>
                <w:i/>
                <w:kern w:val="2"/>
                <w:sz w:val="17"/>
                <w:szCs w:val="17"/>
                <w:lang w:val="en-US" w:eastAsia="zh-TW"/>
              </w:rPr>
              <w:t>HQLA</w:t>
            </w:r>
            <w:r w:rsidRPr="00DA6DF1">
              <w:rPr>
                <w:rFonts w:ascii="Calibri" w:eastAsia="新細明體" w:hAnsi="Calibri" w:cs="Segoe UI"/>
                <w:i/>
                <w:kern w:val="2"/>
                <w:sz w:val="17"/>
                <w:szCs w:val="17"/>
                <w:lang w:val="en-US" w:eastAsia="zh-TW"/>
              </w:rPr>
              <w:t>的證券，包括交易所買賣股權</w:t>
            </w:r>
            <w:r w:rsidRPr="00DA6DF1">
              <w:rPr>
                <w:rFonts w:ascii="Calibri" w:eastAsia="細明體" w:hAnsi="Calibri" w:cs="Segoe UI"/>
                <w:kern w:val="2"/>
                <w:sz w:val="17"/>
                <w:szCs w:val="17"/>
                <w:lang w:val="en-US" w:eastAsia="zh-TW"/>
              </w:rPr>
              <w:t>：包含認可機構持有的未有計入第</w:t>
            </w:r>
            <w:r w:rsidRPr="00DA6DF1">
              <w:rPr>
                <w:rFonts w:ascii="Calibri" w:eastAsia="細明體" w:hAnsi="Calibri" w:cs="Segoe UI"/>
                <w:kern w:val="2"/>
                <w:sz w:val="17"/>
                <w:szCs w:val="17"/>
                <w:lang w:val="en-US" w:eastAsia="zh-TW"/>
              </w:rPr>
              <w:t>15</w:t>
            </w:r>
            <w:r w:rsidRPr="00DA6DF1">
              <w:rPr>
                <w:rFonts w:ascii="Calibri" w:eastAsia="細明體" w:hAnsi="Calibri" w:cs="Segoe UI"/>
                <w:kern w:val="2"/>
                <w:sz w:val="17"/>
                <w:szCs w:val="17"/>
                <w:lang w:val="en-US" w:eastAsia="zh-TW"/>
              </w:rPr>
              <w:t>行的債務證券、訂明票據及上市股權。為免引起疑問，並非有價的債務證券或訂明票據，亦應受本行涵蓋；非上市股權則應在第</w:t>
            </w:r>
            <w:r w:rsidRPr="00DA6DF1">
              <w:rPr>
                <w:rFonts w:ascii="Calibri" w:eastAsia="細明體" w:hAnsi="Calibri" w:cs="Segoe UI"/>
                <w:kern w:val="2"/>
                <w:sz w:val="17"/>
                <w:szCs w:val="17"/>
                <w:lang w:val="en-US" w:eastAsia="zh-TW"/>
              </w:rPr>
              <w:t>31</w:t>
            </w:r>
            <w:r w:rsidRPr="00DA6DF1">
              <w:rPr>
                <w:rFonts w:ascii="Calibri" w:eastAsia="細明體" w:hAnsi="Calibri" w:cs="Segoe UI"/>
                <w:kern w:val="2"/>
                <w:sz w:val="17"/>
                <w:szCs w:val="17"/>
                <w:lang w:val="en-US" w:eastAsia="zh-TW"/>
              </w:rPr>
              <w:t>行</w:t>
            </w:r>
            <w:r w:rsidR="00EE6DDF"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w:t>
            </w:r>
          </w:p>
        </w:tc>
      </w:tr>
      <w:tr w:rsidR="00DA6DF1" w:rsidRPr="00DA6DF1" w14:paraId="74EF5D67" w14:textId="77777777" w:rsidTr="00B10B11">
        <w:trPr>
          <w:trHeight w:val="373"/>
        </w:trPr>
        <w:tc>
          <w:tcPr>
            <w:tcW w:w="568" w:type="dxa"/>
          </w:tcPr>
          <w:p w14:paraId="62E86F7F"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25</w:t>
            </w:r>
          </w:p>
        </w:tc>
        <w:tc>
          <w:tcPr>
            <w:tcW w:w="8505" w:type="dxa"/>
          </w:tcPr>
          <w:p w14:paraId="0A0A3847" w14:textId="77777777" w:rsidR="00DA6DF1" w:rsidRPr="00DA6DF1" w:rsidRDefault="00DA6DF1" w:rsidP="00DA6DF1">
            <w:pPr>
              <w:keepLines/>
              <w:widowControl w:val="0"/>
              <w:tabs>
                <w:tab w:val="left" w:pos="150"/>
                <w:tab w:val="left" w:pos="397"/>
                <w:tab w:val="left" w:pos="794"/>
                <w:tab w:val="left" w:pos="1191"/>
              </w:tabs>
              <w:spacing w:before="40" w:after="40"/>
              <w:jc w:val="both"/>
              <w:rPr>
                <w:rFonts w:ascii="Calibri" w:eastAsia="細明體" w:hAnsi="Calibri" w:cs="Segoe UI"/>
                <w:kern w:val="2"/>
                <w:sz w:val="17"/>
                <w:szCs w:val="17"/>
                <w:lang w:val="en-US" w:eastAsia="zh-TW"/>
              </w:rPr>
            </w:pPr>
            <w:proofErr w:type="gramStart"/>
            <w:r w:rsidRPr="00DA6DF1">
              <w:rPr>
                <w:rFonts w:ascii="Calibri" w:eastAsia="細明體" w:hAnsi="Calibri" w:cs="Segoe UI"/>
                <w:i/>
                <w:kern w:val="2"/>
                <w:sz w:val="17"/>
                <w:szCs w:val="17"/>
                <w:lang w:val="en-US" w:eastAsia="zh-TW"/>
              </w:rPr>
              <w:t>具互有</w:t>
            </w:r>
            <w:proofErr w:type="gramEnd"/>
            <w:r w:rsidRPr="00DA6DF1">
              <w:rPr>
                <w:rFonts w:ascii="Calibri" w:eastAsia="細明體" w:hAnsi="Calibri" w:cs="Segoe UI"/>
                <w:i/>
                <w:kern w:val="2"/>
                <w:sz w:val="17"/>
                <w:szCs w:val="17"/>
                <w:lang w:val="en-US" w:eastAsia="zh-TW"/>
              </w:rPr>
              <w:t>關連負債作配對的資產</w:t>
            </w:r>
            <w:r w:rsidRPr="00DA6DF1">
              <w:rPr>
                <w:rFonts w:ascii="Calibri" w:eastAsia="細明體" w:hAnsi="Calibri" w:cs="Segoe UI"/>
                <w:kern w:val="2"/>
                <w:sz w:val="17"/>
                <w:szCs w:val="17"/>
                <w:lang w:val="en-US" w:eastAsia="zh-TW"/>
              </w:rPr>
              <w:t>：符合《流動性規則》第</w:t>
            </w:r>
            <w:r w:rsidRPr="00DA6DF1">
              <w:rPr>
                <w:rFonts w:ascii="Calibri" w:eastAsia="細明體" w:hAnsi="Calibri" w:cs="Segoe UI"/>
                <w:kern w:val="2"/>
                <w:sz w:val="17"/>
                <w:szCs w:val="17"/>
                <w:lang w:val="en-US" w:eastAsia="zh-TW"/>
              </w:rPr>
              <w:t>70</w:t>
            </w:r>
            <w:r w:rsidRPr="00DA6DF1">
              <w:rPr>
                <w:rFonts w:ascii="Calibri" w:eastAsia="細明體" w:hAnsi="Calibri" w:cs="Segoe UI"/>
                <w:kern w:val="2"/>
                <w:sz w:val="17"/>
                <w:szCs w:val="17"/>
                <w:lang w:val="en-US" w:eastAsia="zh-TW"/>
              </w:rPr>
              <w:t>條的說明，並與互有關連負債配對的資產，應計入本行，並從所有其他</w:t>
            </w:r>
            <w:r w:rsidRPr="00DA6DF1">
              <w:rPr>
                <w:rFonts w:ascii="Calibri" w:eastAsia="新細明體" w:hAnsi="Calibri" w:cs="Segoe UI"/>
                <w:kern w:val="2"/>
                <w:sz w:val="17"/>
                <w:szCs w:val="17"/>
                <w:lang w:val="en-US" w:eastAsia="zh-TW"/>
              </w:rPr>
              <w:t>RSF</w:t>
            </w:r>
            <w:r w:rsidRPr="00DA6DF1">
              <w:rPr>
                <w:rFonts w:ascii="Calibri" w:eastAsia="新細明體" w:hAnsi="Calibri" w:cs="Segoe UI"/>
                <w:kern w:val="2"/>
                <w:sz w:val="17"/>
                <w:szCs w:val="17"/>
                <w:lang w:val="en-US" w:eastAsia="zh-TW"/>
              </w:rPr>
              <w:t>項目</w:t>
            </w:r>
            <w:proofErr w:type="gramStart"/>
            <w:r w:rsidRPr="00DA6DF1">
              <w:rPr>
                <w:rFonts w:ascii="Calibri" w:eastAsia="新細明體" w:hAnsi="Calibri" w:cs="Segoe UI"/>
                <w:kern w:val="2"/>
                <w:sz w:val="17"/>
                <w:szCs w:val="17"/>
                <w:lang w:val="en-US" w:eastAsia="zh-TW"/>
              </w:rPr>
              <w:t>中豁除</w:t>
            </w:r>
            <w:proofErr w:type="gramEnd"/>
            <w:r w:rsidRPr="00DA6DF1">
              <w:rPr>
                <w:rFonts w:ascii="Calibri" w:eastAsia="新細明體" w:hAnsi="Calibri" w:cs="Segoe UI"/>
                <w:kern w:val="2"/>
                <w:sz w:val="17"/>
                <w:szCs w:val="17"/>
                <w:lang w:val="en-US" w:eastAsia="zh-TW"/>
              </w:rPr>
              <w:t>。</w:t>
            </w:r>
            <w:r w:rsidRPr="00DA6DF1">
              <w:rPr>
                <w:rFonts w:ascii="Calibri" w:eastAsia="細明體" w:hAnsi="Calibri" w:cs="Segoe UI"/>
                <w:kern w:val="2"/>
                <w:sz w:val="17"/>
                <w:szCs w:val="17"/>
                <w:lang w:val="en-US" w:eastAsia="zh-TW"/>
              </w:rPr>
              <w:t>若為發鈔銀行，本行亦應計入根據《外匯基金條例》（第</w:t>
            </w:r>
            <w:r w:rsidRPr="00DA6DF1">
              <w:rPr>
                <w:rFonts w:ascii="Calibri" w:eastAsia="細明體" w:hAnsi="Calibri" w:cs="Segoe UI"/>
                <w:kern w:val="2"/>
                <w:sz w:val="17"/>
                <w:szCs w:val="17"/>
                <w:lang w:val="en-US" w:eastAsia="zh-TW"/>
              </w:rPr>
              <w:t>66</w:t>
            </w:r>
            <w:r w:rsidRPr="00DA6DF1">
              <w:rPr>
                <w:rFonts w:ascii="Calibri" w:eastAsia="細明體" w:hAnsi="Calibri" w:cs="Segoe UI"/>
                <w:kern w:val="2"/>
                <w:sz w:val="17"/>
                <w:szCs w:val="17"/>
                <w:lang w:val="en-US" w:eastAsia="zh-TW"/>
              </w:rPr>
              <w:t>章）第</w:t>
            </w:r>
            <w:r w:rsidRPr="00DA6DF1">
              <w:rPr>
                <w:rFonts w:ascii="Calibri" w:eastAsia="細明體" w:hAnsi="Calibri" w:cs="Segoe UI"/>
                <w:kern w:val="2"/>
                <w:sz w:val="17"/>
                <w:szCs w:val="17"/>
                <w:lang w:val="en-US" w:eastAsia="zh-TW"/>
              </w:rPr>
              <w:t>4(1)</w:t>
            </w:r>
            <w:r w:rsidRPr="00DA6DF1">
              <w:rPr>
                <w:rFonts w:ascii="Calibri" w:eastAsia="細明體" w:hAnsi="Calibri" w:cs="Segoe UI"/>
                <w:kern w:val="2"/>
                <w:sz w:val="17"/>
                <w:szCs w:val="17"/>
                <w:lang w:val="en-US" w:eastAsia="zh-TW"/>
              </w:rPr>
              <w:t>條發行的負債證券明書的數額，如下</w:t>
            </w:r>
            <w:proofErr w:type="gramStart"/>
            <w:r w:rsidRPr="00DA6DF1">
              <w:rPr>
                <w:rFonts w:ascii="Calibri" w:eastAsia="細明體" w:hAnsi="Calibri" w:cs="Segoe UI"/>
                <w:kern w:val="2"/>
                <w:sz w:val="17"/>
                <w:szCs w:val="17"/>
                <w:lang w:val="en-US" w:eastAsia="zh-TW"/>
              </w:rPr>
              <w:t>﹕</w:t>
            </w:r>
            <w:proofErr w:type="gramEnd"/>
          </w:p>
          <w:p w14:paraId="451DA6CD" w14:textId="77777777" w:rsidR="00DA6DF1" w:rsidRPr="00DA6DF1" w:rsidRDefault="00DA6DF1" w:rsidP="00D540EB">
            <w:pPr>
              <w:keepLines/>
              <w:widowControl w:val="0"/>
              <w:numPr>
                <w:ilvl w:val="0"/>
                <w:numId w:val="18"/>
              </w:numPr>
              <w:tabs>
                <w:tab w:val="left" w:pos="459"/>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kern w:val="2"/>
                <w:sz w:val="17"/>
                <w:szCs w:val="17"/>
                <w:lang w:val="en-US" w:eastAsia="zh-TW"/>
              </w:rPr>
              <w:t>非加權值，有關持有的負債證明書應在</w:t>
            </w:r>
            <w:r w:rsidRPr="00DA6DF1">
              <w:rPr>
                <w:rFonts w:ascii="Calibri" w:eastAsia="細明體" w:hAnsi="Calibri" w:cs="Segoe UI"/>
                <w:kern w:val="2"/>
                <w:sz w:val="17"/>
                <w:szCs w:val="17"/>
                <w:lang w:val="en-US" w:eastAsia="zh-TW"/>
              </w:rPr>
              <w:t>(a)</w:t>
            </w:r>
            <w:r w:rsidRPr="00DA6DF1">
              <w:rPr>
                <w:rFonts w:ascii="Calibri" w:eastAsia="細明體" w:hAnsi="Calibri" w:cs="Segoe UI"/>
                <w:kern w:val="2"/>
                <w:sz w:val="17"/>
                <w:szCs w:val="17"/>
                <w:lang w:val="en-US" w:eastAsia="zh-TW"/>
              </w:rPr>
              <w:t>欄「無指明剩餘到期期限」填報</w:t>
            </w:r>
            <w:r w:rsidRPr="00DA6DF1">
              <w:rPr>
                <w:rFonts w:ascii="Calibri" w:eastAsia="細明體" w:hAnsi="Calibri" w:cs="Segoe UI"/>
                <w:kern w:val="2"/>
                <w:sz w:val="24"/>
                <w:szCs w:val="17"/>
                <w:lang w:val="en-US" w:eastAsia="zh-TW"/>
              </w:rPr>
              <w:t>；</w:t>
            </w:r>
          </w:p>
          <w:p w14:paraId="1D94EA5B" w14:textId="77777777" w:rsidR="00DA6DF1" w:rsidRPr="00DA6DF1" w:rsidRDefault="00DA6DF1" w:rsidP="00D540EB">
            <w:pPr>
              <w:keepLines/>
              <w:widowControl w:val="0"/>
              <w:numPr>
                <w:ilvl w:val="0"/>
                <w:numId w:val="18"/>
              </w:numPr>
              <w:tabs>
                <w:tab w:val="left" w:pos="459"/>
              </w:tabs>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kern w:val="2"/>
                <w:sz w:val="17"/>
                <w:szCs w:val="17"/>
                <w:lang w:val="en-US" w:eastAsia="zh-TW"/>
              </w:rPr>
              <w:t>加權值，發鈔銀行可根據《流動性規則》第</w:t>
            </w:r>
            <w:r w:rsidRPr="00DA6DF1">
              <w:rPr>
                <w:rFonts w:ascii="Calibri" w:eastAsia="新細明體" w:hAnsi="Calibri" w:cs="Segoe UI"/>
                <w:kern w:val="2"/>
                <w:sz w:val="17"/>
                <w:szCs w:val="17"/>
                <w:lang w:val="en-US" w:eastAsia="zh-TW"/>
              </w:rPr>
              <w:t>69(2)</w:t>
            </w:r>
            <w:r w:rsidRPr="00DA6DF1">
              <w:rPr>
                <w:rFonts w:ascii="Calibri" w:eastAsia="新細明體" w:hAnsi="Calibri" w:cs="Segoe UI"/>
                <w:kern w:val="2"/>
                <w:sz w:val="17"/>
                <w:szCs w:val="17"/>
                <w:lang w:val="en-US" w:eastAsia="zh-TW"/>
              </w:rPr>
              <w:t>條</w:t>
            </w:r>
            <w:r w:rsidRPr="00DA6DF1">
              <w:rPr>
                <w:rFonts w:ascii="Calibri" w:eastAsia="細明體" w:hAnsi="Calibri" w:cs="Segoe UI"/>
                <w:kern w:val="2"/>
                <w:sz w:val="17"/>
                <w:szCs w:val="17"/>
                <w:lang w:val="en-US" w:eastAsia="zh-TW"/>
              </w:rPr>
              <w:t>選擇</w:t>
            </w:r>
            <w:r w:rsidRPr="00DA6DF1">
              <w:rPr>
                <w:rFonts w:ascii="Calibri" w:eastAsia="細明體" w:hAnsi="Calibri" w:cs="Segoe UI"/>
                <w:kern w:val="2"/>
                <w:sz w:val="17"/>
                <w:szCs w:val="17"/>
                <w:lang w:val="en-US" w:eastAsia="zh-TW"/>
              </w:rPr>
              <w:t>: (</w:t>
            </w:r>
            <w:r w:rsidRPr="00DA6DF1">
              <w:rPr>
                <w:rFonts w:ascii="Calibri" w:eastAsia="新細明體" w:hAnsi="Calibri" w:cs="Segoe UI"/>
                <w:kern w:val="2"/>
                <w:sz w:val="17"/>
                <w:szCs w:val="17"/>
                <w:lang w:val="en-US" w:eastAsia="zh-TW"/>
              </w:rPr>
              <w:t>a</w:t>
            </w:r>
            <w:r w:rsidRPr="00DA6DF1">
              <w:rPr>
                <w:rFonts w:ascii="Calibri" w:eastAsia="細明體" w:hAnsi="Calibri" w:cs="Segoe UI"/>
                <w:kern w:val="2"/>
                <w:sz w:val="17"/>
                <w:szCs w:val="17"/>
                <w:lang w:val="en-US" w:eastAsia="zh-TW"/>
              </w:rPr>
              <w:t xml:space="preserve">) </w:t>
            </w:r>
            <w:r w:rsidRPr="00DA6DF1">
              <w:rPr>
                <w:rFonts w:ascii="Calibri" w:eastAsia="新細明體" w:hAnsi="Calibri" w:cs="Segoe UI"/>
                <w:kern w:val="2"/>
                <w:sz w:val="17"/>
                <w:szCs w:val="17"/>
                <w:lang w:val="en-US" w:eastAsia="zh-TW"/>
              </w:rPr>
              <w:t>將負債證明書</w:t>
            </w:r>
            <w:r w:rsidRPr="00DA6DF1">
              <w:rPr>
                <w:rFonts w:ascii="Calibri" w:eastAsia="細明體" w:hAnsi="Calibri" w:cs="Segoe UI"/>
                <w:kern w:val="2"/>
                <w:sz w:val="17"/>
                <w:szCs w:val="17"/>
                <w:lang w:val="en-US" w:eastAsia="zh-TW"/>
              </w:rPr>
              <w:t>的數額</w:t>
            </w:r>
            <w:r w:rsidRPr="00DA6DF1">
              <w:rPr>
                <w:rFonts w:ascii="Calibri" w:eastAsia="新細明體" w:hAnsi="Calibri" w:cs="Segoe UI"/>
                <w:kern w:val="2"/>
                <w:sz w:val="17"/>
                <w:szCs w:val="17"/>
                <w:lang w:val="en-US" w:eastAsia="zh-TW"/>
              </w:rPr>
              <w:t>視作</w:t>
            </w:r>
            <w:r w:rsidRPr="00DA6DF1">
              <w:rPr>
                <w:rFonts w:ascii="Calibri" w:eastAsia="新細明體" w:hAnsi="Calibri" w:cs="Segoe UI"/>
                <w:kern w:val="2"/>
                <w:sz w:val="17"/>
                <w:szCs w:val="17"/>
                <w:lang w:val="en-US" w:eastAsia="zh-TW"/>
              </w:rPr>
              <w:t>$0</w:t>
            </w:r>
            <w:r w:rsidRPr="00DA6DF1">
              <w:rPr>
                <w:rFonts w:ascii="Calibri" w:eastAsia="新細明體" w:hAnsi="Calibri" w:cs="Segoe UI"/>
                <w:kern w:val="2"/>
                <w:sz w:val="17"/>
                <w:szCs w:val="17"/>
                <w:lang w:val="en-US" w:eastAsia="zh-TW"/>
              </w:rPr>
              <w:t>；或</w:t>
            </w:r>
            <w:r w:rsidRPr="00DA6DF1">
              <w:rPr>
                <w:rFonts w:ascii="Calibri" w:eastAsia="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b</w:t>
            </w:r>
            <w:r w:rsidRPr="00DA6DF1">
              <w:rPr>
                <w:rFonts w:ascii="Calibri" w:eastAsia="細明體" w:hAnsi="Calibri" w:cs="Segoe UI"/>
                <w:kern w:val="2"/>
                <w:sz w:val="17"/>
                <w:szCs w:val="17"/>
                <w:lang w:val="en-US" w:eastAsia="zh-TW"/>
              </w:rPr>
              <w:t>)</w:t>
            </w:r>
            <w:r w:rsidRPr="00DA6DF1">
              <w:rPr>
                <w:rFonts w:ascii="Calibri" w:eastAsia="新細明體" w:hAnsi="Calibri" w:cs="Segoe UI"/>
                <w:kern w:val="2"/>
                <w:sz w:val="17"/>
                <w:szCs w:val="17"/>
                <w:lang w:val="en-US" w:eastAsia="zh-TW"/>
              </w:rPr>
              <w:t xml:space="preserve"> </w:t>
            </w:r>
            <w:r w:rsidRPr="00DA6DF1">
              <w:rPr>
                <w:rFonts w:ascii="Calibri" w:eastAsia="新細明體" w:hAnsi="Calibri" w:cs="Segoe UI"/>
                <w:kern w:val="2"/>
                <w:sz w:val="17"/>
                <w:szCs w:val="17"/>
                <w:lang w:val="en-US" w:eastAsia="zh-TW"/>
              </w:rPr>
              <w:t>應用</w:t>
            </w:r>
            <w:r w:rsidRPr="00DA6DF1">
              <w:rPr>
                <w:rFonts w:ascii="Calibri" w:eastAsia="細明體" w:hAnsi="Calibri" w:cs="Segoe UI"/>
                <w:kern w:val="2"/>
                <w:sz w:val="17"/>
                <w:szCs w:val="17"/>
                <w:lang w:val="en-US" w:eastAsia="zh-TW"/>
              </w:rPr>
              <w:t>《流動性規則》第</w:t>
            </w:r>
            <w:r w:rsidRPr="00DA6DF1">
              <w:rPr>
                <w:rFonts w:ascii="Calibri" w:eastAsia="新細明體" w:hAnsi="Calibri" w:cs="Segoe UI"/>
                <w:kern w:val="2"/>
                <w:sz w:val="17"/>
                <w:szCs w:val="17"/>
                <w:lang w:val="en-US" w:eastAsia="zh-TW"/>
              </w:rPr>
              <w:t xml:space="preserve">65 </w:t>
            </w:r>
            <w:r w:rsidRPr="00DA6DF1">
              <w:rPr>
                <w:rFonts w:ascii="Calibri" w:eastAsia="新細明體" w:hAnsi="Calibri" w:cs="Segoe UI"/>
                <w:kern w:val="2"/>
                <w:sz w:val="17"/>
                <w:szCs w:val="17"/>
                <w:lang w:val="en-US" w:eastAsia="zh-TW"/>
              </w:rPr>
              <w:t>及</w:t>
            </w:r>
            <w:r w:rsidRPr="00DA6DF1">
              <w:rPr>
                <w:rFonts w:ascii="Calibri" w:eastAsia="新細明體" w:hAnsi="Calibri" w:cs="Segoe UI"/>
                <w:kern w:val="2"/>
                <w:sz w:val="17"/>
                <w:szCs w:val="17"/>
                <w:lang w:val="en-US" w:eastAsia="zh-TW"/>
              </w:rPr>
              <w:t>68</w:t>
            </w:r>
            <w:r w:rsidRPr="00DA6DF1">
              <w:rPr>
                <w:rFonts w:ascii="Calibri" w:eastAsia="新細明體" w:hAnsi="Calibri" w:cs="Segoe UI"/>
                <w:kern w:val="2"/>
                <w:sz w:val="17"/>
                <w:szCs w:val="17"/>
                <w:lang w:val="en-US" w:eastAsia="zh-TW"/>
              </w:rPr>
              <w:t>條，以斷定有關的加權數額</w:t>
            </w:r>
            <w:r w:rsidRPr="00DA6DF1">
              <w:rPr>
                <w:rFonts w:ascii="Calibri" w:eastAsia="細明體" w:hAnsi="Calibri" w:cs="Segoe UI"/>
                <w:kern w:val="2"/>
                <w:sz w:val="17"/>
                <w:szCs w:val="17"/>
                <w:lang w:val="en-US" w:eastAsia="zh-TW"/>
              </w:rPr>
              <w:t>。</w:t>
            </w:r>
          </w:p>
        </w:tc>
      </w:tr>
      <w:tr w:rsidR="00DA6DF1" w:rsidRPr="00DA6DF1" w14:paraId="57533B53" w14:textId="77777777" w:rsidTr="00B10B11">
        <w:trPr>
          <w:trHeight w:val="373"/>
        </w:trPr>
        <w:tc>
          <w:tcPr>
            <w:tcW w:w="568" w:type="dxa"/>
          </w:tcPr>
          <w:p w14:paraId="1DDF290A"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26</w:t>
            </w:r>
          </w:p>
        </w:tc>
        <w:tc>
          <w:tcPr>
            <w:tcW w:w="8505" w:type="dxa"/>
          </w:tcPr>
          <w:p w14:paraId="15361869" w14:textId="7777777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其他資產</w:t>
            </w:r>
            <w:r w:rsidRPr="00DA6DF1">
              <w:rPr>
                <w:rFonts w:ascii="Calibri" w:eastAsia="細明體" w:hAnsi="Calibri" w:cs="Segoe UI"/>
                <w:kern w:val="2"/>
                <w:sz w:val="17"/>
                <w:szCs w:val="17"/>
                <w:lang w:val="en-US" w:eastAsia="zh-TW"/>
              </w:rPr>
              <w:t>：第</w:t>
            </w:r>
            <w:r w:rsidRPr="00DA6DF1">
              <w:rPr>
                <w:rFonts w:ascii="Calibri" w:eastAsia="細明體" w:hAnsi="Calibri" w:cs="Segoe UI"/>
                <w:kern w:val="2"/>
                <w:sz w:val="17"/>
                <w:szCs w:val="17"/>
                <w:lang w:val="en-US" w:eastAsia="zh-TW"/>
              </w:rPr>
              <w:t>27</w:t>
            </w:r>
            <w:r w:rsidRPr="00DA6DF1">
              <w:rPr>
                <w:rFonts w:ascii="Calibri" w:eastAsia="細明體" w:hAnsi="Calibri" w:cs="Segoe UI"/>
                <w:kern w:val="2"/>
                <w:sz w:val="17"/>
                <w:szCs w:val="17"/>
                <w:lang w:val="en-US" w:eastAsia="zh-TW"/>
              </w:rPr>
              <w:t>至</w:t>
            </w:r>
            <w:r w:rsidRPr="00DA6DF1">
              <w:rPr>
                <w:rFonts w:ascii="Calibri" w:eastAsia="細明體" w:hAnsi="Calibri" w:cs="Segoe UI"/>
                <w:kern w:val="2"/>
                <w:sz w:val="17"/>
                <w:szCs w:val="17"/>
                <w:lang w:val="en-US" w:eastAsia="zh-TW"/>
              </w:rPr>
              <w:t>31</w:t>
            </w:r>
            <w:r w:rsidRPr="00DA6DF1">
              <w:rPr>
                <w:rFonts w:ascii="Calibri" w:eastAsia="細明體" w:hAnsi="Calibri" w:cs="Segoe UI"/>
                <w:kern w:val="2"/>
                <w:sz w:val="17"/>
                <w:szCs w:val="17"/>
                <w:lang w:val="en-US" w:eastAsia="zh-TW"/>
              </w:rPr>
              <w:t>行的值的總和。</w:t>
            </w:r>
          </w:p>
        </w:tc>
      </w:tr>
      <w:tr w:rsidR="00DA6DF1" w:rsidRPr="00DA6DF1" w14:paraId="01349F0A" w14:textId="77777777" w:rsidTr="00B10B11">
        <w:trPr>
          <w:trHeight w:val="373"/>
        </w:trPr>
        <w:tc>
          <w:tcPr>
            <w:tcW w:w="568" w:type="dxa"/>
          </w:tcPr>
          <w:p w14:paraId="2F17CE6C"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27</w:t>
            </w:r>
          </w:p>
        </w:tc>
        <w:tc>
          <w:tcPr>
            <w:tcW w:w="8505" w:type="dxa"/>
          </w:tcPr>
          <w:p w14:paraId="3F56D4F5" w14:textId="7777777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實物交易商品，包括黃金</w:t>
            </w:r>
            <w:r w:rsidRPr="00DA6DF1">
              <w:rPr>
                <w:rFonts w:ascii="Calibri" w:eastAsia="細明體" w:hAnsi="Calibri" w:cs="Segoe UI"/>
                <w:kern w:val="2"/>
                <w:sz w:val="17"/>
                <w:szCs w:val="17"/>
                <w:lang w:val="en-US" w:eastAsia="zh-TW"/>
              </w:rPr>
              <w:t>：包括認可機構持有的所有實物交易商品。</w:t>
            </w:r>
          </w:p>
        </w:tc>
      </w:tr>
      <w:tr w:rsidR="00DA6DF1" w:rsidRPr="00DA6DF1" w14:paraId="7F0F8ADB" w14:textId="77777777" w:rsidTr="00B10B11">
        <w:trPr>
          <w:trHeight w:val="373"/>
        </w:trPr>
        <w:tc>
          <w:tcPr>
            <w:tcW w:w="568" w:type="dxa"/>
          </w:tcPr>
          <w:p w14:paraId="5AC5E28D"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28</w:t>
            </w:r>
          </w:p>
        </w:tc>
        <w:tc>
          <w:tcPr>
            <w:tcW w:w="8505" w:type="dxa"/>
          </w:tcPr>
          <w:p w14:paraId="74912399" w14:textId="7777777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提供作為衍生工具</w:t>
            </w:r>
            <w:proofErr w:type="gramStart"/>
            <w:r w:rsidRPr="00DA6DF1">
              <w:rPr>
                <w:rFonts w:ascii="Calibri" w:eastAsia="細明體" w:hAnsi="Calibri" w:cs="Segoe UI"/>
                <w:i/>
                <w:kern w:val="2"/>
                <w:sz w:val="17"/>
                <w:szCs w:val="17"/>
                <w:lang w:val="en-US" w:eastAsia="zh-TW"/>
              </w:rPr>
              <w:t>合約開倉保證金</w:t>
            </w:r>
            <w:proofErr w:type="gramEnd"/>
            <w:r w:rsidRPr="00DA6DF1">
              <w:rPr>
                <w:rFonts w:ascii="Calibri" w:eastAsia="細明體" w:hAnsi="Calibri" w:cs="Segoe UI"/>
                <w:i/>
                <w:kern w:val="2"/>
                <w:sz w:val="17"/>
                <w:szCs w:val="17"/>
                <w:lang w:val="en-US" w:eastAsia="zh-TW"/>
              </w:rPr>
              <w:t>及對</w:t>
            </w:r>
            <w:r w:rsidRPr="00DA6DF1">
              <w:rPr>
                <w:rFonts w:ascii="Calibri" w:eastAsia="新細明體" w:hAnsi="Calibri" w:cs="Segoe UI"/>
                <w:i/>
                <w:kern w:val="2"/>
                <w:sz w:val="17"/>
                <w:szCs w:val="17"/>
                <w:lang w:val="en-US" w:eastAsia="zh-TW"/>
              </w:rPr>
              <w:t>CCP</w:t>
            </w:r>
            <w:proofErr w:type="gramStart"/>
            <w:r w:rsidRPr="00DA6DF1">
              <w:rPr>
                <w:rFonts w:ascii="Calibri" w:eastAsia="細明體" w:hAnsi="Calibri" w:cs="Segoe UI"/>
                <w:i/>
                <w:kern w:val="2"/>
                <w:sz w:val="17"/>
                <w:szCs w:val="17"/>
                <w:lang w:val="en-US" w:eastAsia="zh-TW"/>
              </w:rPr>
              <w:t>的違責基金</w:t>
            </w:r>
            <w:proofErr w:type="gramEnd"/>
            <w:r w:rsidRPr="00DA6DF1">
              <w:rPr>
                <w:rFonts w:ascii="Calibri" w:eastAsia="細明體" w:hAnsi="Calibri" w:cs="Segoe UI"/>
                <w:i/>
                <w:kern w:val="2"/>
                <w:sz w:val="17"/>
                <w:szCs w:val="17"/>
                <w:lang w:val="en-US" w:eastAsia="zh-TW"/>
              </w:rPr>
              <w:t>承擔的資產</w:t>
            </w:r>
            <w:r w:rsidRPr="00DA6DF1">
              <w:rPr>
                <w:rFonts w:ascii="Calibri" w:eastAsia="細明體" w:hAnsi="Calibri" w:cs="Segoe UI"/>
                <w:kern w:val="2"/>
                <w:sz w:val="17"/>
                <w:szCs w:val="17"/>
                <w:lang w:val="en-US" w:eastAsia="zh-TW"/>
              </w:rPr>
              <w:t>：包括認可機構提供</w:t>
            </w:r>
            <w:proofErr w:type="gramStart"/>
            <w:r w:rsidRPr="00DA6DF1">
              <w:rPr>
                <w:rFonts w:ascii="Calibri" w:eastAsia="細明體" w:hAnsi="Calibri" w:cs="Segoe UI"/>
                <w:kern w:val="2"/>
                <w:sz w:val="17"/>
                <w:szCs w:val="17"/>
                <w:lang w:val="en-US" w:eastAsia="zh-TW"/>
              </w:rPr>
              <w:t>作為開倉保證金</w:t>
            </w:r>
            <w:proofErr w:type="gramEnd"/>
            <w:r w:rsidRPr="00DA6DF1">
              <w:rPr>
                <w:rFonts w:ascii="Calibri" w:eastAsia="細明體" w:hAnsi="Calibri" w:cs="Segoe UI"/>
                <w:kern w:val="2"/>
                <w:sz w:val="17"/>
                <w:szCs w:val="17"/>
                <w:lang w:val="en-US" w:eastAsia="zh-TW"/>
              </w:rPr>
              <w:t>及對</w:t>
            </w:r>
            <w:r w:rsidRPr="00DA6DF1">
              <w:rPr>
                <w:rFonts w:ascii="Calibri" w:eastAsia="細明體" w:hAnsi="Calibri" w:cs="Segoe UI"/>
                <w:kern w:val="2"/>
                <w:sz w:val="17"/>
                <w:szCs w:val="17"/>
                <w:lang w:val="en-US" w:eastAsia="zh-TW"/>
              </w:rPr>
              <w:t>CCP</w:t>
            </w:r>
            <w:proofErr w:type="gramStart"/>
            <w:r w:rsidRPr="00DA6DF1">
              <w:rPr>
                <w:rFonts w:ascii="Calibri" w:eastAsia="細明體" w:hAnsi="Calibri" w:cs="Segoe UI"/>
                <w:kern w:val="2"/>
                <w:sz w:val="17"/>
                <w:szCs w:val="17"/>
                <w:lang w:val="en-US" w:eastAsia="zh-TW"/>
              </w:rPr>
              <w:t>的違責基金</w:t>
            </w:r>
            <w:proofErr w:type="gramEnd"/>
            <w:r w:rsidRPr="00DA6DF1">
              <w:rPr>
                <w:rFonts w:ascii="Calibri" w:eastAsia="細明體" w:hAnsi="Calibri" w:cs="Segoe UI"/>
                <w:kern w:val="2"/>
                <w:sz w:val="17"/>
                <w:szCs w:val="17"/>
                <w:lang w:val="en-US" w:eastAsia="zh-TW"/>
              </w:rPr>
              <w:t>承擔的現金、證券及其他資產。</w:t>
            </w:r>
          </w:p>
        </w:tc>
      </w:tr>
      <w:tr w:rsidR="00DA6DF1" w:rsidRPr="00DA6DF1" w14:paraId="41085F21" w14:textId="77777777" w:rsidTr="00B10B11">
        <w:trPr>
          <w:trHeight w:val="373"/>
        </w:trPr>
        <w:tc>
          <w:tcPr>
            <w:tcW w:w="568" w:type="dxa"/>
          </w:tcPr>
          <w:p w14:paraId="124EF184"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29</w:t>
            </w:r>
          </w:p>
        </w:tc>
        <w:tc>
          <w:tcPr>
            <w:tcW w:w="8505" w:type="dxa"/>
          </w:tcPr>
          <w:p w14:paraId="79941577" w14:textId="592D0352"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衍生工具資產淨額</w:t>
            </w:r>
            <w:r w:rsidRPr="00DA6DF1">
              <w:rPr>
                <w:rFonts w:ascii="Calibri" w:eastAsia="細明體" w:hAnsi="Calibri" w:cs="Segoe UI"/>
                <w:kern w:val="2"/>
                <w:sz w:val="17"/>
                <w:szCs w:val="17"/>
                <w:lang w:val="en-US" w:eastAsia="zh-TW"/>
              </w:rPr>
              <w:t>：在非加權方格內</w:t>
            </w:r>
            <w:r w:rsidR="00586163"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報按照《流動性規則》第</w:t>
            </w:r>
            <w:r w:rsidRPr="00DA6DF1">
              <w:rPr>
                <w:rFonts w:ascii="Calibri" w:eastAsia="細明體" w:hAnsi="Calibri" w:cs="Segoe UI"/>
                <w:kern w:val="2"/>
                <w:sz w:val="17"/>
                <w:szCs w:val="17"/>
                <w:lang w:val="en-US" w:eastAsia="zh-TW"/>
              </w:rPr>
              <w:t>9</w:t>
            </w:r>
            <w:r w:rsidRPr="00DA6DF1">
              <w:rPr>
                <w:rFonts w:ascii="Calibri" w:eastAsia="細明體" w:hAnsi="Calibri" w:cs="Segoe UI"/>
                <w:kern w:val="2"/>
                <w:sz w:val="17"/>
                <w:szCs w:val="17"/>
                <w:lang w:val="en-US" w:eastAsia="zh-TW"/>
              </w:rPr>
              <w:t>部計算的衍生工具資產淨額的數額</w:t>
            </w:r>
            <w:proofErr w:type="gramStart"/>
            <w:r w:rsidRPr="00DA6DF1">
              <w:rPr>
                <w:rFonts w:ascii="Calibri" w:eastAsia="細明體" w:hAnsi="Calibri" w:cs="Segoe UI"/>
                <w:kern w:val="2"/>
                <w:sz w:val="17"/>
                <w:szCs w:val="17"/>
                <w:lang w:val="en-US" w:eastAsia="zh-TW"/>
              </w:rPr>
              <w:t>（</w:t>
            </w:r>
            <w:proofErr w:type="gramEnd"/>
            <w:r w:rsidRPr="00DA6DF1">
              <w:rPr>
                <w:rFonts w:ascii="Calibri" w:eastAsia="細明體" w:hAnsi="Calibri" w:cs="Segoe UI"/>
                <w:kern w:val="2"/>
                <w:sz w:val="17"/>
                <w:szCs w:val="17"/>
                <w:lang w:val="en-US" w:eastAsia="zh-TW"/>
              </w:rPr>
              <w:t>即衍生工具資產總額</w:t>
            </w:r>
            <w:proofErr w:type="gramStart"/>
            <w:r w:rsidRPr="00DA6DF1">
              <w:rPr>
                <w:rFonts w:ascii="Calibri" w:eastAsia="細明體" w:hAnsi="Calibri" w:cs="Segoe UI"/>
                <w:kern w:val="2"/>
                <w:sz w:val="17"/>
                <w:szCs w:val="17"/>
                <w:lang w:val="en-US" w:eastAsia="zh-TW"/>
              </w:rPr>
              <w:t>（</w:t>
            </w:r>
            <w:proofErr w:type="gramEnd"/>
            <w:r w:rsidRPr="00DA6DF1">
              <w:rPr>
                <w:rFonts w:ascii="Calibri" w:eastAsia="細明體" w:hAnsi="Calibri" w:cs="Segoe UI"/>
                <w:kern w:val="2"/>
                <w:sz w:val="17"/>
                <w:szCs w:val="17"/>
                <w:lang w:val="en-US" w:eastAsia="zh-TW"/>
              </w:rPr>
              <w:t>經調整</w:t>
            </w:r>
            <w:proofErr w:type="gramStart"/>
            <w:r w:rsidRPr="00DA6DF1">
              <w:rPr>
                <w:rFonts w:ascii="Calibri" w:eastAsia="細明體" w:hAnsi="Calibri" w:cs="Segoe UI"/>
                <w:kern w:val="2"/>
                <w:sz w:val="17"/>
                <w:szCs w:val="17"/>
                <w:lang w:val="en-US" w:eastAsia="zh-TW"/>
              </w:rPr>
              <w:t>）</w:t>
            </w:r>
            <w:proofErr w:type="gramEnd"/>
            <w:r w:rsidRPr="00DA6DF1">
              <w:rPr>
                <w:rFonts w:ascii="Calibri" w:eastAsia="細明體" w:hAnsi="Calibri" w:cs="Segoe UI"/>
                <w:kern w:val="2"/>
                <w:sz w:val="17"/>
                <w:szCs w:val="17"/>
                <w:lang w:val="en-US" w:eastAsia="zh-TW"/>
              </w:rPr>
              <w:t>超出衍生工具負債總額（經調整）的淨數額</w:t>
            </w:r>
            <w:proofErr w:type="gramStart"/>
            <w:r w:rsidRPr="00DA6DF1">
              <w:rPr>
                <w:rFonts w:ascii="Calibri" w:eastAsia="細明體" w:hAnsi="Calibri" w:cs="Segoe UI"/>
                <w:kern w:val="2"/>
                <w:sz w:val="17"/>
                <w:szCs w:val="17"/>
                <w:lang w:val="en-US" w:eastAsia="zh-TW"/>
              </w:rPr>
              <w:t>）</w:t>
            </w:r>
            <w:proofErr w:type="gramEnd"/>
            <w:r w:rsidRPr="00DA6DF1">
              <w:rPr>
                <w:rFonts w:ascii="Calibri" w:eastAsia="細明體" w:hAnsi="Calibri" w:cs="Segoe UI"/>
                <w:kern w:val="2"/>
                <w:sz w:val="17"/>
                <w:szCs w:val="17"/>
                <w:lang w:val="en-US" w:eastAsia="zh-TW"/>
              </w:rPr>
              <w:t>。由於衍生工具資產淨額須受</w:t>
            </w:r>
            <w:r w:rsidRPr="00DA6DF1">
              <w:rPr>
                <w:rFonts w:ascii="Calibri" w:eastAsia="新細明體" w:hAnsi="Calibri" w:cs="Segoe UI"/>
                <w:kern w:val="2"/>
                <w:sz w:val="17"/>
                <w:szCs w:val="17"/>
                <w:lang w:val="en-US" w:eastAsia="zh-TW"/>
              </w:rPr>
              <w:t>100%</w:t>
            </w:r>
            <w:r w:rsidRPr="00DA6DF1">
              <w:rPr>
                <w:rFonts w:ascii="Calibri" w:eastAsia="細明體" w:hAnsi="Calibri" w:cs="Segoe UI"/>
                <w:kern w:val="2"/>
                <w:sz w:val="17"/>
                <w:szCs w:val="17"/>
                <w:lang w:val="en-US" w:eastAsia="zh-TW"/>
              </w:rPr>
              <w:t>的</w:t>
            </w:r>
            <w:r w:rsidRPr="00DA6DF1">
              <w:rPr>
                <w:rFonts w:ascii="Calibri" w:eastAsia="新細明體" w:hAnsi="Calibri" w:cs="Segoe UI"/>
                <w:kern w:val="2"/>
                <w:sz w:val="17"/>
                <w:szCs w:val="17"/>
                <w:lang w:val="en-US" w:eastAsia="zh-TW"/>
              </w:rPr>
              <w:t>RSF</w:t>
            </w:r>
            <w:r w:rsidRPr="00DA6DF1">
              <w:rPr>
                <w:rFonts w:ascii="Calibri" w:eastAsia="細明體" w:hAnsi="Calibri" w:cs="Segoe UI"/>
                <w:kern w:val="2"/>
                <w:sz w:val="17"/>
                <w:szCs w:val="17"/>
                <w:lang w:val="en-US" w:eastAsia="zh-TW"/>
              </w:rPr>
              <w:t>因數</w:t>
            </w:r>
            <w:proofErr w:type="gramStart"/>
            <w:r w:rsidRPr="00DA6DF1">
              <w:rPr>
                <w:rFonts w:ascii="Calibri" w:eastAsia="細明體" w:hAnsi="Calibri" w:cs="Segoe UI"/>
                <w:kern w:val="2"/>
                <w:sz w:val="17"/>
                <w:szCs w:val="17"/>
                <w:lang w:val="en-US" w:eastAsia="zh-TW"/>
              </w:rPr>
              <w:t>規</w:t>
            </w:r>
            <w:proofErr w:type="gramEnd"/>
            <w:r w:rsidRPr="00DA6DF1">
              <w:rPr>
                <w:rFonts w:ascii="Calibri" w:eastAsia="細明體" w:hAnsi="Calibri" w:cs="Segoe UI"/>
                <w:kern w:val="2"/>
                <w:sz w:val="17"/>
                <w:szCs w:val="17"/>
                <w:lang w:val="en-US" w:eastAsia="zh-TW"/>
              </w:rPr>
              <w:t>限，在加權方格</w:t>
            </w:r>
            <w:r w:rsidR="00586163"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報的數額應等於在非加權方格</w:t>
            </w:r>
            <w:r w:rsidR="00586163"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報的數額。</w:t>
            </w:r>
          </w:p>
        </w:tc>
      </w:tr>
      <w:tr w:rsidR="00DA6DF1" w:rsidRPr="00DA6DF1" w14:paraId="07A5D4DD" w14:textId="77777777" w:rsidTr="00B10B11">
        <w:trPr>
          <w:trHeight w:val="373"/>
        </w:trPr>
        <w:tc>
          <w:tcPr>
            <w:tcW w:w="568" w:type="dxa"/>
          </w:tcPr>
          <w:p w14:paraId="79365A37"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30</w:t>
            </w:r>
          </w:p>
        </w:tc>
        <w:tc>
          <w:tcPr>
            <w:tcW w:w="8505" w:type="dxa"/>
          </w:tcPr>
          <w:p w14:paraId="352FD908" w14:textId="2EDE2365" w:rsidR="00DA6DF1" w:rsidRPr="00DA6DF1" w:rsidRDefault="00DA6DF1" w:rsidP="00DA6DF1">
            <w:pPr>
              <w:spacing w:before="40" w:after="40"/>
              <w:jc w:val="both"/>
              <w:rPr>
                <w:rFonts w:ascii="Calibri" w:eastAsia="細明體" w:hAnsi="Calibri" w:cs="Segoe UI"/>
                <w:kern w:val="2"/>
                <w:sz w:val="17"/>
                <w:szCs w:val="17"/>
                <w:lang w:val="en-US" w:eastAsia="zh-TW"/>
              </w:rPr>
            </w:pPr>
            <w:r w:rsidRPr="00DA6DF1">
              <w:rPr>
                <w:rFonts w:ascii="Calibri" w:eastAsia="細明體" w:hAnsi="Calibri" w:cs="Segoe UI"/>
                <w:i/>
                <w:kern w:val="2"/>
                <w:sz w:val="17"/>
                <w:szCs w:val="17"/>
                <w:lang w:val="en-US" w:eastAsia="it-IT"/>
              </w:rPr>
              <w:t>在</w:t>
            </w:r>
            <w:r w:rsidRPr="00DA6DF1">
              <w:rPr>
                <w:rFonts w:ascii="Calibri" w:eastAsia="細明體" w:hAnsi="Calibri" w:cs="Segoe UI" w:hint="eastAsia"/>
                <w:i/>
                <w:kern w:val="2"/>
                <w:sz w:val="17"/>
                <w:szCs w:val="17"/>
                <w:lang w:val="en-US" w:eastAsia="it-IT"/>
              </w:rPr>
              <w:t>調整</w:t>
            </w:r>
            <w:r w:rsidRPr="00DA6DF1">
              <w:rPr>
                <w:rFonts w:ascii="Calibri" w:eastAsia="細明體" w:hAnsi="Calibri" w:cs="Segoe UI"/>
                <w:i/>
                <w:kern w:val="2"/>
                <w:sz w:val="17"/>
                <w:szCs w:val="17"/>
                <w:lang w:val="en-US" w:eastAsia="it-IT"/>
              </w:rPr>
              <w:t>扣除</w:t>
            </w:r>
            <w:r w:rsidRPr="00DA6DF1">
              <w:rPr>
                <w:rFonts w:ascii="Calibri" w:eastAsia="細明體" w:hAnsi="Calibri" w:cs="Segoe UI"/>
                <w:i/>
                <w:kern w:val="2"/>
                <w:sz w:val="17"/>
                <w:szCs w:val="17"/>
                <w:lang w:val="en-US" w:eastAsia="zh-TW"/>
              </w:rPr>
              <w:t>提供作為</w:t>
            </w:r>
            <w:r w:rsidRPr="00DA6DF1">
              <w:rPr>
                <w:rFonts w:ascii="Calibri" w:eastAsia="細明體" w:hAnsi="Calibri" w:cs="Segoe UI"/>
                <w:i/>
                <w:kern w:val="2"/>
                <w:sz w:val="17"/>
                <w:szCs w:val="17"/>
                <w:lang w:val="en-US" w:eastAsia="it-IT"/>
              </w:rPr>
              <w:t>變動保證金前的衍生工具負債總額</w:t>
            </w:r>
            <w:r w:rsidRPr="00DA6DF1">
              <w:rPr>
                <w:rFonts w:ascii="Calibri" w:eastAsia="細明體" w:hAnsi="Calibri" w:cs="Segoe UI"/>
                <w:kern w:val="2"/>
                <w:sz w:val="17"/>
                <w:szCs w:val="17"/>
                <w:lang w:val="en-US" w:eastAsia="zh-TW"/>
              </w:rPr>
              <w:t>：在</w:t>
            </w:r>
            <w:r w:rsidRPr="00DA6DF1">
              <w:rPr>
                <w:rFonts w:ascii="Calibri" w:eastAsia="細明體" w:hAnsi="Calibri" w:cs="Segoe UI" w:hint="eastAsia"/>
                <w:kern w:val="2"/>
                <w:sz w:val="17"/>
                <w:szCs w:val="17"/>
                <w:lang w:val="en-US" w:eastAsia="zh-HK"/>
              </w:rPr>
              <w:t>此行</w:t>
            </w:r>
            <w:r w:rsidRPr="00DA6DF1">
              <w:rPr>
                <w:rFonts w:ascii="Calibri" w:eastAsia="細明體" w:hAnsi="Calibri" w:cs="Segoe UI"/>
                <w:kern w:val="2"/>
                <w:sz w:val="17"/>
                <w:szCs w:val="17"/>
                <w:lang w:val="en-US" w:eastAsia="zh-TW"/>
              </w:rPr>
              <w:t>按照《流動性規則》第</w:t>
            </w:r>
            <w:r w:rsidRPr="00DA6DF1">
              <w:rPr>
                <w:rFonts w:ascii="Calibri" w:eastAsia="細明體" w:hAnsi="Calibri" w:cs="Segoe UI"/>
                <w:kern w:val="2"/>
                <w:sz w:val="17"/>
                <w:szCs w:val="17"/>
                <w:lang w:val="en-US" w:eastAsia="zh-TW"/>
              </w:rPr>
              <w:t>9</w:t>
            </w:r>
            <w:r w:rsidRPr="00DA6DF1">
              <w:rPr>
                <w:rFonts w:ascii="Calibri" w:eastAsia="細明體" w:hAnsi="Calibri" w:cs="Segoe UI"/>
                <w:kern w:val="2"/>
                <w:sz w:val="17"/>
                <w:szCs w:val="17"/>
                <w:lang w:val="en-US" w:eastAsia="zh-TW"/>
              </w:rPr>
              <w:t>部</w:t>
            </w:r>
            <w:r w:rsidR="00586163"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w:t>
            </w:r>
            <w:r w:rsidRPr="00DA6DF1">
              <w:rPr>
                <w:rFonts w:ascii="Calibri" w:eastAsia="細明體" w:hAnsi="Calibri" w:cs="Segoe UI" w:hint="eastAsia"/>
                <w:kern w:val="2"/>
                <w:sz w:val="17"/>
                <w:szCs w:val="17"/>
                <w:lang w:val="en-US" w:eastAsia="zh-TW"/>
              </w:rPr>
              <w:t>衍生工具負債總額（經調整前）的數額</w:t>
            </w:r>
            <w:r w:rsidRPr="00DA6DF1">
              <w:rPr>
                <w:rFonts w:ascii="Calibri" w:eastAsia="細明體" w:hAnsi="Calibri" w:cs="Segoe UI"/>
                <w:kern w:val="2"/>
                <w:sz w:val="17"/>
                <w:szCs w:val="17"/>
                <w:lang w:val="en-US" w:eastAsia="zh-TW"/>
              </w:rPr>
              <w:t>（</w:t>
            </w:r>
            <w:r w:rsidRPr="00DA6DF1">
              <w:rPr>
                <w:rFonts w:ascii="Calibri" w:eastAsia="細明體" w:hAnsi="Calibri" w:cs="Segoe UI" w:hint="eastAsia"/>
                <w:kern w:val="2"/>
                <w:sz w:val="17"/>
                <w:szCs w:val="17"/>
                <w:lang w:val="en-US" w:eastAsia="zh-HK"/>
              </w:rPr>
              <w:t>即</w:t>
            </w:r>
            <w:r w:rsidRPr="00DA6DF1">
              <w:rPr>
                <w:rFonts w:ascii="Calibri" w:eastAsia="細明體" w:hAnsi="Calibri" w:cs="Segoe UI"/>
                <w:kern w:val="2"/>
                <w:sz w:val="17"/>
                <w:szCs w:val="17"/>
                <w:lang w:val="en-US" w:eastAsia="zh-TW"/>
              </w:rPr>
              <w:t>認可機構與對手方之間衍生工具合約重置成本的總和，當中每項該等合約的重置成本</w:t>
            </w:r>
            <w:r w:rsidRPr="00DA6DF1">
              <w:rPr>
                <w:rFonts w:ascii="Calibri" w:eastAsia="細明體" w:hAnsi="Calibri" w:cs="Segoe UI" w:hint="eastAsia"/>
                <w:kern w:val="2"/>
                <w:sz w:val="17"/>
                <w:szCs w:val="17"/>
                <w:lang w:val="en-US" w:eastAsia="zh-TW"/>
              </w:rPr>
              <w:t>，在</w:t>
            </w:r>
            <w:r w:rsidRPr="00DA6DF1">
              <w:rPr>
                <w:rFonts w:ascii="Calibri" w:eastAsia="新細明體" w:hAnsi="Calibri" w:cs="Segoe UI"/>
                <w:kern w:val="2"/>
                <w:sz w:val="17"/>
                <w:szCs w:val="17"/>
                <w:lang w:val="en-US" w:eastAsia="zh-TW"/>
              </w:rPr>
              <w:t>未</w:t>
            </w:r>
            <w:r w:rsidRPr="00DA6DF1">
              <w:rPr>
                <w:rFonts w:ascii="Calibri" w:eastAsia="細明體" w:hAnsi="Calibri" w:cs="Segoe UI" w:hint="eastAsia"/>
                <w:kern w:val="2"/>
                <w:sz w:val="17"/>
                <w:szCs w:val="17"/>
                <w:lang w:val="en-US" w:eastAsia="zh-TW"/>
              </w:rPr>
              <w:t>調整</w:t>
            </w:r>
            <w:r w:rsidRPr="00DA6DF1">
              <w:rPr>
                <w:rFonts w:ascii="Calibri" w:eastAsia="細明體" w:hAnsi="Calibri" w:cs="Segoe UI"/>
                <w:kern w:val="2"/>
                <w:sz w:val="17"/>
                <w:szCs w:val="17"/>
                <w:lang w:val="en-US" w:eastAsia="zh-TW"/>
              </w:rPr>
              <w:t>認可</w:t>
            </w:r>
            <w:r w:rsidRPr="00DA6DF1">
              <w:rPr>
                <w:rFonts w:ascii="Calibri" w:eastAsia="細明體" w:hAnsi="Calibri" w:cs="Segoe UI" w:hint="eastAsia"/>
                <w:kern w:val="2"/>
                <w:sz w:val="17"/>
                <w:szCs w:val="17"/>
                <w:lang w:val="en-US" w:eastAsia="zh-TW"/>
              </w:rPr>
              <w:t>機構根據合約提供予有關對手方的變動保證金前</w:t>
            </w:r>
            <w:r w:rsidRPr="00DA6DF1">
              <w:rPr>
                <w:rFonts w:ascii="Calibri" w:eastAsia="細明體" w:hAnsi="Calibri" w:cs="Segoe UI"/>
                <w:kern w:val="2"/>
                <w:sz w:val="17"/>
                <w:szCs w:val="17"/>
                <w:lang w:val="en-US" w:eastAsia="zh-TW"/>
              </w:rPr>
              <w:t>均</w:t>
            </w:r>
            <w:r w:rsidRPr="00DA6DF1">
              <w:rPr>
                <w:rFonts w:ascii="Calibri" w:eastAsia="細明體" w:hAnsi="Calibri" w:cs="Segoe UI" w:hint="eastAsia"/>
                <w:kern w:val="2"/>
                <w:sz w:val="17"/>
                <w:szCs w:val="17"/>
                <w:lang w:val="en-US" w:eastAsia="zh-HK"/>
              </w:rPr>
              <w:t>為</w:t>
            </w:r>
            <w:r w:rsidRPr="00DA6DF1">
              <w:rPr>
                <w:rFonts w:ascii="Calibri" w:eastAsia="細明體" w:hAnsi="Calibri" w:cs="Segoe UI"/>
                <w:kern w:val="2"/>
                <w:sz w:val="17"/>
                <w:szCs w:val="17"/>
                <w:lang w:val="en-US" w:eastAsia="zh-TW"/>
              </w:rPr>
              <w:t>負數）。</w:t>
            </w:r>
            <w:r w:rsidR="00586163"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報數值應為絕對數值（即忽略負號）。</w:t>
            </w:r>
          </w:p>
        </w:tc>
      </w:tr>
      <w:tr w:rsidR="00DA6DF1" w:rsidRPr="00DA6DF1" w14:paraId="61EEF987" w14:textId="77777777" w:rsidTr="00B10B11">
        <w:trPr>
          <w:trHeight w:val="373"/>
        </w:trPr>
        <w:tc>
          <w:tcPr>
            <w:tcW w:w="568" w:type="dxa"/>
          </w:tcPr>
          <w:p w14:paraId="7FE3C44D"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31</w:t>
            </w:r>
          </w:p>
        </w:tc>
        <w:tc>
          <w:tcPr>
            <w:tcW w:w="8505" w:type="dxa"/>
          </w:tcPr>
          <w:p w14:paraId="5FEEA9A5" w14:textId="1B00B51B"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無計入上述類別的所有其他資產</w:t>
            </w:r>
            <w:r w:rsidRPr="00DA6DF1">
              <w:rPr>
                <w:rFonts w:ascii="Calibri" w:eastAsia="細明體" w:hAnsi="Calibri" w:cs="Segoe UI"/>
                <w:kern w:val="2"/>
                <w:sz w:val="17"/>
                <w:szCs w:val="17"/>
                <w:lang w:val="en-US" w:eastAsia="zh-TW"/>
              </w:rPr>
              <w:t>：在本行</w:t>
            </w:r>
            <w:r w:rsidR="00586163" w:rsidRPr="002342E8">
              <w:rPr>
                <w:rFonts w:ascii="Calibri" w:eastAsia="細明體" w:hAnsi="Calibri" w:cs="Segoe UI" w:hint="eastAsia"/>
                <w:kern w:val="2"/>
                <w:sz w:val="17"/>
                <w:szCs w:val="17"/>
                <w:lang w:val="en-US" w:eastAsia="zh-TW"/>
              </w:rPr>
              <w:t>填</w:t>
            </w:r>
            <w:r w:rsidRPr="00DA6DF1">
              <w:rPr>
                <w:rFonts w:ascii="Calibri" w:eastAsia="細明體" w:hAnsi="Calibri" w:cs="Segoe UI"/>
                <w:kern w:val="2"/>
                <w:sz w:val="17"/>
                <w:szCs w:val="17"/>
                <w:lang w:val="en-US" w:eastAsia="zh-TW"/>
              </w:rPr>
              <w:t>報在《流動性規則》下計入</w:t>
            </w:r>
            <w:r w:rsidRPr="00DA6DF1">
              <w:rPr>
                <w:rFonts w:ascii="Calibri" w:eastAsia="新細明體" w:hAnsi="Calibri" w:cs="Segoe UI"/>
                <w:kern w:val="2"/>
                <w:sz w:val="17"/>
                <w:szCs w:val="17"/>
                <w:lang w:val="en-US" w:eastAsia="zh-TW"/>
              </w:rPr>
              <w:t>RSF</w:t>
            </w:r>
            <w:r w:rsidRPr="00DA6DF1">
              <w:rPr>
                <w:rFonts w:ascii="Calibri" w:eastAsia="新細明體" w:hAnsi="Calibri" w:cs="Segoe UI"/>
                <w:kern w:val="2"/>
                <w:sz w:val="17"/>
                <w:szCs w:val="17"/>
                <w:lang w:val="en-US" w:eastAsia="zh-TW"/>
              </w:rPr>
              <w:t>，但未包括在以上</w:t>
            </w:r>
            <w:r w:rsidRPr="00DA6DF1">
              <w:rPr>
                <w:rFonts w:ascii="Calibri" w:eastAsia="細明體" w:hAnsi="Calibri" w:cs="Segoe UI"/>
                <w:kern w:val="2"/>
                <w:sz w:val="17"/>
                <w:szCs w:val="17"/>
                <w:lang w:val="en-US" w:eastAsia="zh-TW"/>
              </w:rPr>
              <w:t>第</w:t>
            </w:r>
            <w:r w:rsidRPr="00DA6DF1">
              <w:rPr>
                <w:rFonts w:ascii="Calibri" w:eastAsia="新細明體" w:hAnsi="Calibri" w:cs="Segoe UI"/>
                <w:kern w:val="2"/>
                <w:sz w:val="17"/>
                <w:szCs w:val="17"/>
                <w:lang w:val="en-US" w:eastAsia="zh-TW"/>
              </w:rPr>
              <w:t>15</w:t>
            </w:r>
            <w:r w:rsidRPr="00DA6DF1">
              <w:rPr>
                <w:rFonts w:ascii="Calibri" w:eastAsia="新細明體" w:hAnsi="Calibri" w:cs="Segoe UI"/>
                <w:kern w:val="2"/>
                <w:sz w:val="17"/>
                <w:szCs w:val="17"/>
                <w:lang w:val="en-US" w:eastAsia="zh-TW"/>
              </w:rPr>
              <w:t>至</w:t>
            </w:r>
            <w:r w:rsidRPr="00DA6DF1">
              <w:rPr>
                <w:rFonts w:ascii="Calibri" w:eastAsia="新細明體" w:hAnsi="Calibri" w:cs="Segoe UI" w:hint="eastAsia"/>
                <w:kern w:val="2"/>
                <w:sz w:val="17"/>
                <w:szCs w:val="17"/>
                <w:lang w:val="en-US" w:eastAsia="zh-TW"/>
              </w:rPr>
              <w:t>29</w:t>
            </w:r>
            <w:r w:rsidRPr="00DA6DF1">
              <w:rPr>
                <w:rFonts w:ascii="Calibri" w:eastAsia="新細明體" w:hAnsi="Calibri" w:cs="Segoe UI"/>
                <w:kern w:val="2"/>
                <w:sz w:val="17"/>
                <w:szCs w:val="17"/>
                <w:lang w:val="en-US" w:eastAsia="zh-TW"/>
              </w:rPr>
              <w:t>行的所有其他資產負債表內資產（例如交易日應支</w:t>
            </w:r>
            <w:proofErr w:type="gramStart"/>
            <w:r w:rsidRPr="00DA6DF1">
              <w:rPr>
                <w:rFonts w:ascii="Calibri" w:eastAsia="新細明體" w:hAnsi="Calibri" w:cs="Segoe UI"/>
                <w:kern w:val="2"/>
                <w:sz w:val="17"/>
                <w:szCs w:val="17"/>
                <w:lang w:val="en-US" w:eastAsia="zh-TW"/>
              </w:rPr>
              <w:t>付帳</w:t>
            </w:r>
            <w:proofErr w:type="gramEnd"/>
            <w:r w:rsidRPr="00DA6DF1">
              <w:rPr>
                <w:rFonts w:ascii="Calibri" w:eastAsia="新細明體" w:hAnsi="Calibri" w:cs="Segoe UI"/>
                <w:kern w:val="2"/>
                <w:sz w:val="17"/>
                <w:szCs w:val="17"/>
                <w:lang w:val="en-US" w:eastAsia="zh-TW"/>
              </w:rPr>
              <w:t>項、固定資產、商譽、於聯繫實體的投資、非上市股權、不良資產等）。</w:t>
            </w:r>
          </w:p>
        </w:tc>
      </w:tr>
      <w:tr w:rsidR="00DA6DF1" w:rsidRPr="00DA6DF1" w14:paraId="0007798A" w14:textId="77777777" w:rsidTr="00B10B11">
        <w:trPr>
          <w:trHeight w:val="373"/>
        </w:trPr>
        <w:tc>
          <w:tcPr>
            <w:tcW w:w="568" w:type="dxa"/>
          </w:tcPr>
          <w:p w14:paraId="27E7A109"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32</w:t>
            </w:r>
          </w:p>
        </w:tc>
        <w:tc>
          <w:tcPr>
            <w:tcW w:w="8505" w:type="dxa"/>
          </w:tcPr>
          <w:p w14:paraId="7C19ACCF" w14:textId="7777777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資產負債表外項目</w:t>
            </w:r>
            <w:r w:rsidRPr="00DA6DF1">
              <w:rPr>
                <w:rFonts w:ascii="Calibri" w:eastAsia="細明體" w:hAnsi="Calibri" w:cs="Segoe UI"/>
                <w:kern w:val="2"/>
                <w:sz w:val="17"/>
                <w:szCs w:val="17"/>
                <w:lang w:val="en-US" w:eastAsia="zh-TW"/>
              </w:rPr>
              <w:t>：《流動性規則》附表</w:t>
            </w:r>
            <w:r w:rsidRPr="00DA6DF1">
              <w:rPr>
                <w:rFonts w:ascii="Calibri" w:eastAsia="細明體" w:hAnsi="Calibri" w:cs="Segoe UI"/>
                <w:kern w:val="2"/>
                <w:sz w:val="17"/>
                <w:szCs w:val="17"/>
                <w:lang w:val="en-US" w:eastAsia="zh-TW"/>
              </w:rPr>
              <w:t>6</w:t>
            </w:r>
            <w:r w:rsidRPr="00DA6DF1">
              <w:rPr>
                <w:rFonts w:ascii="Calibri" w:eastAsia="細明體" w:hAnsi="Calibri" w:cs="Segoe UI"/>
                <w:kern w:val="2"/>
                <w:sz w:val="17"/>
                <w:szCs w:val="17"/>
                <w:lang w:val="en-US" w:eastAsia="zh-TW"/>
              </w:rPr>
              <w:t>表</w:t>
            </w:r>
            <w:r w:rsidRPr="00DA6DF1">
              <w:rPr>
                <w:rFonts w:ascii="Calibri" w:eastAsia="細明體" w:hAnsi="Calibri" w:cs="Segoe UI"/>
                <w:kern w:val="2"/>
                <w:sz w:val="17"/>
                <w:szCs w:val="17"/>
                <w:lang w:val="en-US" w:eastAsia="zh-TW"/>
              </w:rPr>
              <w:t>2</w:t>
            </w:r>
            <w:r w:rsidRPr="00DA6DF1">
              <w:rPr>
                <w:rFonts w:ascii="Calibri" w:eastAsia="細明體" w:hAnsi="Calibri" w:cs="Segoe UI"/>
                <w:kern w:val="2"/>
                <w:sz w:val="17"/>
                <w:szCs w:val="17"/>
                <w:lang w:val="en-US" w:eastAsia="zh-TW"/>
              </w:rPr>
              <w:t>所列所有資產負債表外義務的總和。</w:t>
            </w:r>
          </w:p>
        </w:tc>
      </w:tr>
      <w:tr w:rsidR="00DA6DF1" w:rsidRPr="00DA6DF1" w14:paraId="319036BE" w14:textId="77777777" w:rsidTr="00B10B11">
        <w:trPr>
          <w:trHeight w:val="373"/>
        </w:trPr>
        <w:tc>
          <w:tcPr>
            <w:tcW w:w="568" w:type="dxa"/>
          </w:tcPr>
          <w:p w14:paraId="39CE4BD2"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33</w:t>
            </w:r>
          </w:p>
        </w:tc>
        <w:tc>
          <w:tcPr>
            <w:tcW w:w="8505" w:type="dxa"/>
          </w:tcPr>
          <w:p w14:paraId="3A3F82F8" w14:textId="7777777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新細明體" w:hAnsi="Calibri" w:cs="Segoe UI"/>
                <w:i/>
                <w:kern w:val="2"/>
                <w:sz w:val="17"/>
                <w:szCs w:val="17"/>
                <w:lang w:val="en-US" w:eastAsia="zh-TW"/>
              </w:rPr>
              <w:t>RSF</w:t>
            </w:r>
            <w:r w:rsidRPr="00DA6DF1">
              <w:rPr>
                <w:rFonts w:ascii="Calibri" w:eastAsia="新細明體" w:hAnsi="Calibri" w:cs="Segoe UI"/>
                <w:i/>
                <w:kern w:val="2"/>
                <w:sz w:val="17"/>
                <w:szCs w:val="17"/>
                <w:lang w:val="en-US" w:eastAsia="zh-TW"/>
              </w:rPr>
              <w:t>總額</w:t>
            </w:r>
            <w:r w:rsidRPr="00DA6DF1">
              <w:rPr>
                <w:rFonts w:ascii="Calibri" w:eastAsia="細明體" w:hAnsi="Calibri" w:cs="Segoe UI"/>
                <w:kern w:val="2"/>
                <w:sz w:val="17"/>
                <w:szCs w:val="17"/>
                <w:lang w:val="en-US" w:eastAsia="zh-TW"/>
              </w:rPr>
              <w:t>：第</w:t>
            </w:r>
            <w:r w:rsidRPr="00DA6DF1">
              <w:rPr>
                <w:rFonts w:ascii="Calibri" w:eastAsia="細明體" w:hAnsi="Calibri" w:cs="Segoe UI"/>
                <w:kern w:val="2"/>
                <w:sz w:val="17"/>
                <w:szCs w:val="17"/>
                <w:lang w:val="en-US" w:eastAsia="zh-TW"/>
              </w:rPr>
              <w:t>15</w:t>
            </w:r>
            <w:r w:rsidRPr="00DA6DF1">
              <w:rPr>
                <w:rFonts w:ascii="Calibri" w:eastAsia="細明體" w:hAnsi="Calibri" w:cs="Segoe UI"/>
                <w:kern w:val="2"/>
                <w:sz w:val="17"/>
                <w:szCs w:val="17"/>
                <w:lang w:val="en-US" w:eastAsia="zh-TW"/>
              </w:rPr>
              <w:t>、</w:t>
            </w:r>
            <w:r w:rsidRPr="00DA6DF1">
              <w:rPr>
                <w:rFonts w:ascii="Calibri" w:eastAsia="細明體" w:hAnsi="Calibri" w:cs="Segoe UI"/>
                <w:kern w:val="2"/>
                <w:sz w:val="17"/>
                <w:szCs w:val="17"/>
                <w:lang w:val="en-US" w:eastAsia="zh-TW"/>
              </w:rPr>
              <w:t>16</w:t>
            </w:r>
            <w:r w:rsidRPr="00DA6DF1">
              <w:rPr>
                <w:rFonts w:ascii="Calibri" w:eastAsia="細明體" w:hAnsi="Calibri" w:cs="Segoe UI"/>
                <w:kern w:val="2"/>
                <w:sz w:val="17"/>
                <w:szCs w:val="17"/>
                <w:lang w:val="en-US" w:eastAsia="zh-TW"/>
              </w:rPr>
              <w:t>、</w:t>
            </w:r>
            <w:r w:rsidRPr="00DA6DF1">
              <w:rPr>
                <w:rFonts w:ascii="Calibri" w:eastAsia="細明體" w:hAnsi="Calibri" w:cs="Segoe UI"/>
                <w:kern w:val="2"/>
                <w:sz w:val="17"/>
                <w:szCs w:val="17"/>
                <w:lang w:val="en-US" w:eastAsia="zh-TW"/>
              </w:rPr>
              <w:t>17</w:t>
            </w:r>
            <w:r w:rsidRPr="00DA6DF1">
              <w:rPr>
                <w:rFonts w:ascii="Calibri" w:eastAsia="細明體" w:hAnsi="Calibri" w:cs="Segoe UI"/>
                <w:kern w:val="2"/>
                <w:sz w:val="17"/>
                <w:szCs w:val="17"/>
                <w:lang w:val="en-US" w:eastAsia="zh-TW"/>
              </w:rPr>
              <w:t>、</w:t>
            </w:r>
            <w:r w:rsidRPr="00DA6DF1">
              <w:rPr>
                <w:rFonts w:ascii="Calibri" w:eastAsia="細明體" w:hAnsi="Calibri" w:cs="Segoe UI"/>
                <w:kern w:val="2"/>
                <w:sz w:val="17"/>
                <w:szCs w:val="17"/>
                <w:lang w:val="en-US" w:eastAsia="zh-TW"/>
              </w:rPr>
              <w:t>25</w:t>
            </w:r>
            <w:r w:rsidRPr="00DA6DF1">
              <w:rPr>
                <w:rFonts w:ascii="Calibri" w:eastAsia="細明體" w:hAnsi="Calibri" w:cs="Segoe UI"/>
                <w:kern w:val="2"/>
                <w:sz w:val="17"/>
                <w:szCs w:val="17"/>
                <w:lang w:val="en-US" w:eastAsia="zh-TW"/>
              </w:rPr>
              <w:t>、</w:t>
            </w:r>
            <w:r w:rsidRPr="00DA6DF1">
              <w:rPr>
                <w:rFonts w:ascii="Calibri" w:eastAsia="細明體" w:hAnsi="Calibri" w:cs="Segoe UI"/>
                <w:kern w:val="2"/>
                <w:sz w:val="17"/>
                <w:szCs w:val="17"/>
                <w:lang w:val="en-US" w:eastAsia="zh-TW"/>
              </w:rPr>
              <w:t>26</w:t>
            </w:r>
            <w:r w:rsidRPr="00DA6DF1">
              <w:rPr>
                <w:rFonts w:ascii="Calibri" w:eastAsia="細明體" w:hAnsi="Calibri" w:cs="Segoe UI"/>
                <w:kern w:val="2"/>
                <w:sz w:val="17"/>
                <w:szCs w:val="17"/>
                <w:lang w:val="en-US" w:eastAsia="zh-TW"/>
              </w:rPr>
              <w:t>及</w:t>
            </w:r>
            <w:r w:rsidRPr="00DA6DF1">
              <w:rPr>
                <w:rFonts w:ascii="Calibri" w:eastAsia="細明體" w:hAnsi="Calibri" w:cs="Segoe UI"/>
                <w:kern w:val="2"/>
                <w:sz w:val="17"/>
                <w:szCs w:val="17"/>
                <w:lang w:val="en-US" w:eastAsia="zh-TW"/>
              </w:rPr>
              <w:t>32</w:t>
            </w:r>
            <w:r w:rsidRPr="00DA6DF1">
              <w:rPr>
                <w:rFonts w:ascii="Calibri" w:eastAsia="細明體" w:hAnsi="Calibri" w:cs="Segoe UI"/>
                <w:kern w:val="2"/>
                <w:sz w:val="17"/>
                <w:szCs w:val="17"/>
                <w:lang w:val="en-US" w:eastAsia="zh-TW"/>
              </w:rPr>
              <w:t>行的所有加權數額的總和。</w:t>
            </w:r>
          </w:p>
        </w:tc>
      </w:tr>
      <w:tr w:rsidR="00DA6DF1" w:rsidRPr="00DA6DF1" w14:paraId="01C015CF" w14:textId="77777777" w:rsidTr="00B10B11">
        <w:trPr>
          <w:trHeight w:val="373"/>
        </w:trPr>
        <w:tc>
          <w:tcPr>
            <w:tcW w:w="568" w:type="dxa"/>
          </w:tcPr>
          <w:p w14:paraId="0490D7EA" w14:textId="77777777" w:rsidR="00DA6DF1" w:rsidRPr="00DA6DF1" w:rsidRDefault="00DA6DF1" w:rsidP="00DA6DF1">
            <w:pPr>
              <w:keepLines/>
              <w:widowControl w:val="0"/>
              <w:tabs>
                <w:tab w:val="left" w:pos="150"/>
                <w:tab w:val="left" w:pos="397"/>
                <w:tab w:val="left" w:pos="794"/>
                <w:tab w:val="left" w:pos="1191"/>
              </w:tabs>
              <w:spacing w:before="40" w:after="40"/>
              <w:rPr>
                <w:rFonts w:ascii="Calibri" w:eastAsia="新細明體" w:hAnsi="Calibri" w:cs="Segoe UI"/>
                <w:kern w:val="2"/>
                <w:sz w:val="17"/>
                <w:szCs w:val="17"/>
                <w:lang w:val="en-US" w:eastAsia="en-GB"/>
              </w:rPr>
            </w:pPr>
            <w:r w:rsidRPr="00DA6DF1">
              <w:rPr>
                <w:rFonts w:ascii="Calibri" w:eastAsia="新細明體" w:hAnsi="Calibri" w:cs="Segoe UI"/>
                <w:kern w:val="2"/>
                <w:sz w:val="17"/>
                <w:szCs w:val="17"/>
                <w:lang w:val="en-US" w:eastAsia="en-GB"/>
              </w:rPr>
              <w:t>34</w:t>
            </w:r>
          </w:p>
        </w:tc>
        <w:tc>
          <w:tcPr>
            <w:tcW w:w="8505" w:type="dxa"/>
          </w:tcPr>
          <w:p w14:paraId="43B7EB06" w14:textId="77777777" w:rsidR="00DA6DF1" w:rsidRPr="00DA6DF1" w:rsidRDefault="00DA6DF1" w:rsidP="00DA6DF1">
            <w:pPr>
              <w:spacing w:before="40" w:after="40"/>
              <w:jc w:val="both"/>
              <w:rPr>
                <w:rFonts w:ascii="Calibri" w:eastAsia="新細明體" w:hAnsi="Calibri" w:cs="Segoe UI"/>
                <w:kern w:val="2"/>
                <w:sz w:val="17"/>
                <w:szCs w:val="17"/>
                <w:lang w:val="en-US" w:eastAsia="zh-TW"/>
              </w:rPr>
            </w:pPr>
            <w:r w:rsidRPr="00DA6DF1">
              <w:rPr>
                <w:rFonts w:ascii="Calibri" w:eastAsia="細明體" w:hAnsi="Calibri" w:cs="Segoe UI"/>
                <w:i/>
                <w:kern w:val="2"/>
                <w:sz w:val="17"/>
                <w:szCs w:val="17"/>
                <w:lang w:val="en-US" w:eastAsia="zh-TW"/>
              </w:rPr>
              <w:t xml:space="preserve">NSFR </w:t>
            </w:r>
            <w:r w:rsidRPr="00DA6DF1">
              <w:rPr>
                <w:rFonts w:ascii="Calibri" w:eastAsia="新細明體" w:hAnsi="Calibri" w:cs="Segoe UI"/>
                <w:i/>
                <w:kern w:val="2"/>
                <w:sz w:val="17"/>
                <w:szCs w:val="17"/>
                <w:lang w:val="en-US" w:eastAsia="zh-TW"/>
              </w:rPr>
              <w:t>(</w:t>
            </w:r>
            <w:proofErr w:type="gramStart"/>
            <w:r w:rsidRPr="00DA6DF1">
              <w:rPr>
                <w:rFonts w:ascii="Calibri" w:eastAsia="新細明體" w:hAnsi="Calibri" w:cs="Segoe UI"/>
                <w:i/>
                <w:kern w:val="2"/>
                <w:sz w:val="17"/>
                <w:szCs w:val="17"/>
                <w:lang w:val="en-US" w:eastAsia="zh-TW"/>
              </w:rPr>
              <w:t>%)</w:t>
            </w:r>
            <w:r w:rsidRPr="00DA6DF1">
              <w:rPr>
                <w:rFonts w:ascii="Calibri" w:eastAsia="細明體" w:hAnsi="Calibri" w:cs="Segoe UI"/>
                <w:kern w:val="2"/>
                <w:sz w:val="17"/>
                <w:szCs w:val="17"/>
                <w:lang w:val="en-US" w:eastAsia="zh-TW"/>
              </w:rPr>
              <w:t>：</w:t>
            </w:r>
            <w:proofErr w:type="gramEnd"/>
            <w:r w:rsidRPr="00DA6DF1">
              <w:rPr>
                <w:rFonts w:ascii="Calibri" w:eastAsia="細明體" w:hAnsi="Calibri" w:cs="Segoe UI"/>
                <w:kern w:val="2"/>
                <w:sz w:val="17"/>
                <w:szCs w:val="17"/>
                <w:lang w:val="en-US" w:eastAsia="zh-TW"/>
              </w:rPr>
              <w:t>以季末觀察數據形式表述。</w:t>
            </w:r>
          </w:p>
        </w:tc>
      </w:tr>
    </w:tbl>
    <w:p w14:paraId="20138903" w14:textId="77777777" w:rsidR="005E7676" w:rsidRPr="00CA7301" w:rsidRDefault="005E7676">
      <w:pPr>
        <w:rPr>
          <w:rFonts w:eastAsiaTheme="minorEastAsia" w:cs="Segoe UI"/>
          <w:lang w:eastAsia="zh-TW"/>
        </w:rPr>
        <w:sectPr w:rsidR="005E7676" w:rsidRPr="00CA7301">
          <w:footerReference w:type="default" r:id="rId55"/>
          <w:pgSz w:w="11906" w:h="16838"/>
          <w:pgMar w:top="1440" w:right="1800" w:bottom="1440" w:left="1800" w:header="851" w:footer="992" w:gutter="0"/>
          <w:cols w:space="425"/>
          <w:docGrid w:type="lines" w:linePitch="360"/>
        </w:sectPr>
      </w:pPr>
    </w:p>
    <w:p w14:paraId="7380B22B" w14:textId="77777777" w:rsidR="00272D6C" w:rsidRPr="00272D6C" w:rsidRDefault="00272D6C" w:rsidP="00272D6C">
      <w:pPr>
        <w:keepNext/>
        <w:keepLines/>
        <w:tabs>
          <w:tab w:val="num" w:pos="0"/>
          <w:tab w:val="left" w:pos="426"/>
        </w:tabs>
        <w:suppressAutoHyphens/>
        <w:spacing w:after="360"/>
        <w:ind w:left="-566"/>
        <w:outlineLvl w:val="0"/>
        <w:rPr>
          <w:rFonts w:eastAsia="細明體" w:cs="Segoe UI"/>
          <w:color w:val="AA322F"/>
          <w:sz w:val="28"/>
          <w:lang w:eastAsia="ar-SA"/>
        </w:rPr>
      </w:pPr>
      <w:r w:rsidRPr="00272D6C">
        <w:rPr>
          <w:rFonts w:eastAsia="細明體" w:cs="Segoe UI" w:hint="eastAsia"/>
          <w:color w:val="AA322F"/>
          <w:sz w:val="28"/>
          <w:lang w:eastAsia="ar-SA"/>
        </w:rPr>
        <w:t>第</w:t>
      </w:r>
      <w:r w:rsidRPr="00272D6C">
        <w:rPr>
          <w:rFonts w:eastAsia="細明體" w:cs="Segoe UI"/>
          <w:color w:val="AA322F"/>
          <w:sz w:val="28"/>
          <w:lang w:eastAsia="ar-SA"/>
        </w:rPr>
        <w:t>III</w:t>
      </w:r>
      <w:r w:rsidRPr="00272D6C">
        <w:rPr>
          <w:rFonts w:eastAsia="細明體" w:cs="Segoe UI" w:hint="eastAsia"/>
          <w:color w:val="AA322F"/>
          <w:sz w:val="28"/>
          <w:lang w:eastAsia="ar-SA"/>
        </w:rPr>
        <w:t>部：非證券化類別風險承擔的信用風險</w:t>
      </w:r>
    </w:p>
    <w:p w14:paraId="2B4017A1" w14:textId="77777777" w:rsidR="00272D6C" w:rsidRPr="00272D6C" w:rsidRDefault="00272D6C" w:rsidP="00272D6C">
      <w:pPr>
        <w:suppressAutoHyphens/>
        <w:spacing w:after="120"/>
        <w:ind w:left="-566"/>
        <w:jc w:val="both"/>
        <w:rPr>
          <w:rFonts w:eastAsia="細明體" w:cs="Segoe UI"/>
          <w:lang w:eastAsia="ar-SA"/>
        </w:rPr>
      </w:pPr>
      <w:r w:rsidRPr="00272D6C">
        <w:rPr>
          <w:rFonts w:eastAsia="細明體" w:cs="Segoe UI" w:hint="eastAsia"/>
          <w:lang w:eastAsia="ar-SA"/>
        </w:rPr>
        <w:t>除文意另有要求外，本部分的範圍包括</w:t>
      </w:r>
      <w:r w:rsidRPr="00272D6C">
        <w:rPr>
          <w:rFonts w:eastAsia="細明體" w:cs="Segoe UI"/>
          <w:lang w:eastAsia="ar-SA"/>
        </w:rPr>
        <w:t>認可機構</w:t>
      </w:r>
      <w:r w:rsidRPr="00272D6C">
        <w:rPr>
          <w:rFonts w:eastAsia="細明體" w:cs="Segoe UI" w:hint="eastAsia"/>
          <w:lang w:eastAsia="zh-TW"/>
        </w:rPr>
        <w:t>受</w:t>
      </w:r>
      <w:r w:rsidRPr="00272D6C">
        <w:rPr>
          <w:rFonts w:eastAsia="細明體" w:cs="Segoe UI" w:hint="eastAsia"/>
          <w:lang w:eastAsia="ar-SA"/>
        </w:rPr>
        <w:t>《資本規則》第</w:t>
      </w:r>
      <w:r w:rsidRPr="00272D6C">
        <w:rPr>
          <w:rFonts w:eastAsia="細明體" w:cs="Segoe UI"/>
          <w:lang w:eastAsia="ar-SA"/>
        </w:rPr>
        <w:t>4</w:t>
      </w:r>
      <w:r w:rsidRPr="00272D6C">
        <w:rPr>
          <w:rFonts w:eastAsia="細明體" w:cs="Segoe UI" w:hint="eastAsia"/>
          <w:lang w:eastAsia="ar-SA"/>
        </w:rPr>
        <w:t>、</w:t>
      </w:r>
      <w:r w:rsidRPr="00272D6C">
        <w:rPr>
          <w:rFonts w:eastAsia="細明體" w:cs="Segoe UI"/>
          <w:lang w:eastAsia="ar-SA"/>
        </w:rPr>
        <w:t>5</w:t>
      </w:r>
      <w:r w:rsidRPr="00272D6C">
        <w:rPr>
          <w:rFonts w:eastAsia="細明體" w:cs="Segoe UI" w:hint="eastAsia"/>
          <w:lang w:eastAsia="ar-SA"/>
        </w:rPr>
        <w:t>或</w:t>
      </w:r>
      <w:r w:rsidRPr="00272D6C">
        <w:rPr>
          <w:rFonts w:eastAsia="細明體" w:cs="Segoe UI"/>
          <w:lang w:eastAsia="ar-SA"/>
        </w:rPr>
        <w:t>6</w:t>
      </w:r>
      <w:r w:rsidRPr="00272D6C">
        <w:rPr>
          <w:rFonts w:eastAsia="細明體" w:cs="Segoe UI" w:hint="eastAsia"/>
          <w:lang w:eastAsia="ar-SA"/>
        </w:rPr>
        <w:t>部</w:t>
      </w:r>
      <w:r w:rsidRPr="00272D6C">
        <w:rPr>
          <w:rFonts w:eastAsia="細明體" w:cs="Segoe UI"/>
          <w:lang w:eastAsia="ar-SA"/>
        </w:rPr>
        <w:t>資本規定</w:t>
      </w:r>
      <w:r w:rsidRPr="00272D6C">
        <w:rPr>
          <w:rFonts w:eastAsia="細明體" w:cs="Segoe UI" w:hint="eastAsia"/>
          <w:lang w:eastAsia="zh-TW"/>
        </w:rPr>
        <w:t>所</w:t>
      </w:r>
      <w:r w:rsidRPr="00272D6C">
        <w:rPr>
          <w:rFonts w:eastAsia="細明體" w:cs="Segoe UI" w:hint="eastAsia"/>
          <w:lang w:eastAsia="ar-SA"/>
        </w:rPr>
        <w:t>規限</w:t>
      </w:r>
      <w:r w:rsidRPr="00272D6C">
        <w:rPr>
          <w:rFonts w:eastAsia="細明體" w:cs="Segoe UI"/>
          <w:lang w:eastAsia="ar-SA"/>
        </w:rPr>
        <w:t>的</w:t>
      </w:r>
      <w:r w:rsidRPr="00272D6C">
        <w:rPr>
          <w:rFonts w:eastAsia="細明體" w:cs="Segoe UI" w:hint="eastAsia"/>
          <w:lang w:eastAsia="ar-SA"/>
        </w:rPr>
        <w:t>非證券化類別風險承擔的信用風險，</w:t>
      </w:r>
      <w:r w:rsidRPr="00272D6C">
        <w:rPr>
          <w:rFonts w:eastAsia="細明體" w:cs="Segoe UI" w:hint="eastAsia"/>
          <w:lang w:eastAsia="zh-TW"/>
        </w:rPr>
        <w:t>但不包括</w:t>
      </w:r>
      <w:r w:rsidRPr="00272D6C">
        <w:rPr>
          <w:rFonts w:eastAsia="細明體" w:cs="Segoe UI" w:hint="eastAsia"/>
          <w:lang w:eastAsia="ar-SA"/>
        </w:rPr>
        <w:t>：</w:t>
      </w:r>
    </w:p>
    <w:p w14:paraId="54D746A4" w14:textId="77777777" w:rsidR="00272D6C" w:rsidRPr="00C50DAD" w:rsidRDefault="00272D6C" w:rsidP="00D540EB">
      <w:pPr>
        <w:pStyle w:val="ListParagraph"/>
        <w:numPr>
          <w:ilvl w:val="0"/>
          <w:numId w:val="59"/>
        </w:numPr>
        <w:tabs>
          <w:tab w:val="num" w:pos="142"/>
        </w:tabs>
        <w:suppressAutoHyphens/>
        <w:spacing w:after="120"/>
        <w:ind w:leftChars="0" w:hanging="721"/>
        <w:jc w:val="both"/>
        <w:rPr>
          <w:rFonts w:eastAsia="細明體" w:cs="Segoe UI"/>
          <w:lang w:eastAsia="ar-SA"/>
        </w:rPr>
      </w:pPr>
      <w:r w:rsidRPr="00C50DAD">
        <w:rPr>
          <w:rFonts w:eastAsia="細明體" w:cs="Segoe UI" w:hint="eastAsia"/>
          <w:lang w:eastAsia="zh-TW"/>
        </w:rPr>
        <w:t>受</w:t>
      </w:r>
      <w:r w:rsidRPr="00C50DAD">
        <w:rPr>
          <w:rFonts w:eastAsia="細明體" w:cs="Segoe UI" w:hint="eastAsia"/>
          <w:lang w:eastAsia="ar-SA"/>
        </w:rPr>
        <w:t>《資本規則》第</w:t>
      </w:r>
      <w:r w:rsidRPr="00C50DAD">
        <w:rPr>
          <w:rFonts w:eastAsia="細明體" w:cs="Segoe UI"/>
          <w:lang w:eastAsia="ar-SA"/>
        </w:rPr>
        <w:t>7</w:t>
      </w:r>
      <w:r w:rsidRPr="00C50DAD">
        <w:rPr>
          <w:rFonts w:eastAsia="細明體" w:cs="Segoe UI" w:hint="eastAsia"/>
          <w:lang w:eastAsia="ar-SA"/>
        </w:rPr>
        <w:t>部</w:t>
      </w:r>
      <w:r w:rsidRPr="00C50DAD">
        <w:rPr>
          <w:rFonts w:eastAsia="細明體" w:cs="Segoe UI"/>
          <w:lang w:eastAsia="ar-SA"/>
        </w:rPr>
        <w:t>資本規定</w:t>
      </w:r>
      <w:r w:rsidRPr="00C50DAD">
        <w:rPr>
          <w:rFonts w:eastAsia="細明體" w:cs="Segoe UI" w:hint="eastAsia"/>
          <w:lang w:eastAsia="zh-TW"/>
        </w:rPr>
        <w:t>所</w:t>
      </w:r>
      <w:proofErr w:type="gramStart"/>
      <w:r w:rsidRPr="00C50DAD">
        <w:rPr>
          <w:rFonts w:eastAsia="細明體" w:cs="Segoe UI" w:hint="eastAsia"/>
          <w:lang w:eastAsia="ar-SA"/>
        </w:rPr>
        <w:t>規</w:t>
      </w:r>
      <w:proofErr w:type="gramEnd"/>
      <w:r w:rsidRPr="00C50DAD">
        <w:rPr>
          <w:rFonts w:eastAsia="細明體" w:cs="Segoe UI" w:hint="eastAsia"/>
          <w:lang w:eastAsia="ar-SA"/>
        </w:rPr>
        <w:t>限</w:t>
      </w:r>
      <w:r w:rsidRPr="00C50DAD">
        <w:rPr>
          <w:rFonts w:eastAsia="細明體" w:cs="Segoe UI"/>
          <w:lang w:eastAsia="ar-SA"/>
        </w:rPr>
        <w:t>的所有證</w:t>
      </w:r>
      <w:r w:rsidRPr="00C50DAD">
        <w:rPr>
          <w:rFonts w:eastAsia="細明體" w:cs="Segoe UI" w:hint="eastAsia"/>
          <w:lang w:eastAsia="ar-SA"/>
        </w:rPr>
        <w:t>券化類別風險承擔；及</w:t>
      </w:r>
    </w:p>
    <w:p w14:paraId="61BDE289" w14:textId="07CD9185" w:rsidR="00272D6C" w:rsidRPr="00EF5840" w:rsidRDefault="0070575D" w:rsidP="00D540EB">
      <w:pPr>
        <w:pStyle w:val="ListParagraph"/>
        <w:numPr>
          <w:ilvl w:val="0"/>
          <w:numId w:val="59"/>
        </w:numPr>
        <w:tabs>
          <w:tab w:val="num" w:pos="142"/>
        </w:tabs>
        <w:suppressAutoHyphens/>
        <w:spacing w:after="120"/>
        <w:ind w:leftChars="0" w:hanging="721"/>
        <w:jc w:val="both"/>
        <w:rPr>
          <w:rFonts w:eastAsia="細明體" w:cs="Segoe UI"/>
          <w:lang w:eastAsia="zh-TW"/>
        </w:rPr>
      </w:pPr>
      <w:r w:rsidRPr="00C50DAD">
        <w:rPr>
          <w:rFonts w:eastAsia="細明體" w:cs="Segoe UI" w:hint="eastAsia"/>
          <w:lang w:eastAsia="zh-TW"/>
        </w:rPr>
        <w:t>受</w:t>
      </w:r>
      <w:r w:rsidRPr="00C50DAD">
        <w:rPr>
          <w:rFonts w:eastAsia="細明體" w:cs="Segoe UI" w:hint="eastAsia"/>
          <w:lang w:eastAsia="ar-SA"/>
        </w:rPr>
        <w:t>《資本規則》第</w:t>
      </w:r>
      <w:r>
        <w:rPr>
          <w:rFonts w:eastAsia="細明體" w:cs="Segoe UI" w:hint="eastAsia"/>
          <w:lang w:eastAsia="zh-TW"/>
        </w:rPr>
        <w:t>6A</w:t>
      </w:r>
      <w:r w:rsidRPr="00C50DAD">
        <w:rPr>
          <w:rFonts w:eastAsia="細明體" w:cs="Segoe UI" w:hint="eastAsia"/>
          <w:lang w:eastAsia="ar-SA"/>
        </w:rPr>
        <w:t>部</w:t>
      </w:r>
      <w:r w:rsidRPr="00C50DAD">
        <w:rPr>
          <w:rFonts w:eastAsia="細明體" w:cs="Segoe UI" w:hint="eastAsia"/>
          <w:lang w:eastAsia="zh-TW"/>
        </w:rPr>
        <w:t>所</w:t>
      </w:r>
      <w:proofErr w:type="gramStart"/>
      <w:r w:rsidRPr="00C50DAD">
        <w:rPr>
          <w:rFonts w:eastAsia="細明體" w:cs="Segoe UI" w:hint="eastAsia"/>
          <w:lang w:eastAsia="ar-SA"/>
        </w:rPr>
        <w:t>規</w:t>
      </w:r>
      <w:proofErr w:type="gramEnd"/>
      <w:r w:rsidRPr="00C50DAD">
        <w:rPr>
          <w:rFonts w:eastAsia="細明體" w:cs="Segoe UI" w:hint="eastAsia"/>
          <w:lang w:eastAsia="ar-SA"/>
        </w:rPr>
        <w:t>限</w:t>
      </w:r>
      <w:r>
        <w:rPr>
          <w:rFonts w:eastAsia="細明體" w:cs="Segoe UI" w:hint="eastAsia"/>
          <w:lang w:eastAsia="zh-HK"/>
        </w:rPr>
        <w:t>的</w:t>
      </w:r>
      <w:r w:rsidR="00791005" w:rsidRPr="00272D6C">
        <w:rPr>
          <w:rFonts w:eastAsia="細明體" w:cs="Segoe UI" w:hint="eastAsia"/>
          <w:lang w:eastAsia="ar-SA"/>
        </w:rPr>
        <w:t>，</w:t>
      </w:r>
      <w:r w:rsidR="00E17759">
        <w:rPr>
          <w:rFonts w:eastAsia="細明體" w:cs="Segoe UI" w:hint="eastAsia"/>
          <w:lang w:eastAsia="zh-TW"/>
        </w:rPr>
        <w:t>所有因銀行帳及交易帳</w:t>
      </w:r>
      <w:r w:rsidR="00777A88">
        <w:rPr>
          <w:rFonts w:eastAsia="細明體" w:cs="Segoe UI" w:hint="eastAsia"/>
          <w:lang w:eastAsia="zh-TW"/>
        </w:rPr>
        <w:t>的交易而產生對中央交易對手方及其他</w:t>
      </w:r>
      <w:r w:rsidR="00EF5840">
        <w:rPr>
          <w:rFonts w:eastAsia="細明體" w:cs="Segoe UI" w:hint="eastAsia"/>
          <w:lang w:eastAsia="zh-TW"/>
        </w:rPr>
        <w:t>對手方的對手方信用風險承擔，以及</w:t>
      </w:r>
      <w:r w:rsidR="00791005">
        <w:rPr>
          <w:rFonts w:eastAsia="細明體" w:cs="Segoe UI" w:hint="eastAsia"/>
          <w:lang w:eastAsia="zh-HK"/>
        </w:rPr>
        <w:t>有關</w:t>
      </w:r>
      <w:r w:rsidR="00777A88" w:rsidRPr="00777A88">
        <w:rPr>
          <w:rFonts w:eastAsia="細明體" w:cs="Segoe UI" w:hint="eastAsia"/>
          <w:lang w:eastAsia="zh-TW"/>
        </w:rPr>
        <w:t>對中央交易對手</w:t>
      </w:r>
      <w:r w:rsidR="00EF5840">
        <w:rPr>
          <w:rFonts w:eastAsia="細明體" w:cs="Segoe UI" w:hint="eastAsia"/>
          <w:lang w:eastAsia="zh-TW"/>
        </w:rPr>
        <w:t>方</w:t>
      </w:r>
      <w:proofErr w:type="gramStart"/>
      <w:r w:rsidR="00777A88" w:rsidRPr="00EF5840">
        <w:rPr>
          <w:rFonts w:eastAsia="細明體" w:cs="Segoe UI" w:hint="eastAsia"/>
          <w:lang w:eastAsia="zh-TW"/>
        </w:rPr>
        <w:t>的</w:t>
      </w:r>
      <w:r w:rsidR="00EF5840">
        <w:rPr>
          <w:rFonts w:eastAsia="細明體" w:cs="Segoe UI" w:hint="eastAsia"/>
          <w:lang w:eastAsia="zh-TW"/>
        </w:rPr>
        <w:t>違責</w:t>
      </w:r>
      <w:r w:rsidR="00EF5840" w:rsidRPr="00777A88">
        <w:rPr>
          <w:rFonts w:eastAsia="細明體" w:cs="Segoe UI" w:hint="eastAsia"/>
          <w:lang w:eastAsia="zh-TW"/>
        </w:rPr>
        <w:t>基金</w:t>
      </w:r>
      <w:proofErr w:type="gramEnd"/>
      <w:r w:rsidR="00EF5840" w:rsidRPr="00272D6C">
        <w:rPr>
          <w:rFonts w:eastAsia="細明體" w:cs="Segoe UI" w:hint="eastAsia"/>
          <w:lang w:eastAsia="zh-TW"/>
        </w:rPr>
        <w:t>承擔</w:t>
      </w:r>
      <w:r w:rsidR="00777A88" w:rsidRPr="00EF5840">
        <w:rPr>
          <w:rFonts w:eastAsia="細明體" w:cs="Segoe UI" w:hint="eastAsia"/>
          <w:lang w:eastAsia="zh-TW"/>
        </w:rPr>
        <w:t>的</w:t>
      </w:r>
      <w:r w:rsidR="00EF5840" w:rsidRPr="00272D6C">
        <w:rPr>
          <w:rFonts w:eastAsia="細明體" w:cs="Segoe UI" w:hint="eastAsia"/>
          <w:lang w:eastAsia="zh-TW"/>
        </w:rPr>
        <w:t>風險</w:t>
      </w:r>
      <w:r w:rsidR="00EF5840" w:rsidRPr="00EF5840">
        <w:rPr>
          <w:rFonts w:eastAsia="細明體" w:cs="Segoe UI" w:hint="eastAsia"/>
          <w:lang w:eastAsia="zh-TW"/>
        </w:rPr>
        <w:t>承擔</w:t>
      </w:r>
      <w:r w:rsidR="00272D6C" w:rsidRPr="00EF5840">
        <w:rPr>
          <w:rFonts w:eastAsia="細明體" w:cs="Segoe UI" w:hint="eastAsia"/>
          <w:lang w:eastAsia="zh-TW"/>
        </w:rPr>
        <w:t>。</w:t>
      </w:r>
    </w:p>
    <w:p w14:paraId="75002FAE" w14:textId="7454437A" w:rsidR="00272D6C" w:rsidRDefault="00272D6C" w:rsidP="000C010D">
      <w:pPr>
        <w:suppressAutoHyphens/>
        <w:spacing w:after="120"/>
        <w:ind w:left="-566"/>
        <w:jc w:val="both"/>
        <w:rPr>
          <w:rFonts w:eastAsia="細明體" w:cs="Segoe UI"/>
          <w:lang w:eastAsia="ar-SA"/>
        </w:rPr>
      </w:pPr>
      <w:r w:rsidRPr="00272D6C">
        <w:rPr>
          <w:rFonts w:eastAsia="細明體" w:cs="Segoe UI" w:hint="eastAsia"/>
          <w:lang w:eastAsia="ar-SA"/>
        </w:rPr>
        <w:t>就本文件第</w:t>
      </w:r>
      <w:r w:rsidRPr="00272D6C">
        <w:rPr>
          <w:rFonts w:eastAsia="細明體" w:cs="Segoe UI"/>
          <w:lang w:eastAsia="ar-SA"/>
        </w:rPr>
        <w:t>III</w:t>
      </w:r>
      <w:r w:rsidRPr="00272D6C">
        <w:rPr>
          <w:rFonts w:eastAsia="細明體" w:cs="Segoe UI"/>
          <w:lang w:eastAsia="ar-SA"/>
        </w:rPr>
        <w:t>部</w:t>
      </w:r>
      <w:r w:rsidRPr="00272D6C">
        <w:rPr>
          <w:rFonts w:eastAsia="細明體" w:cs="Segoe UI" w:hint="eastAsia"/>
          <w:lang w:eastAsia="ar-SA"/>
        </w:rPr>
        <w:t>的目的而言，除另有註明外，任何與「信用風險」有關的風險承擔的提述是指與上述相同的範圍</w:t>
      </w:r>
      <w:r w:rsidRPr="000C010D">
        <w:rPr>
          <w:rFonts w:eastAsia="細明體" w:cs="Segoe UI" w:hint="eastAsia"/>
          <w:lang w:eastAsia="ar-SA"/>
        </w:rPr>
        <w:t>（</w:t>
      </w:r>
      <w:r w:rsidRPr="00272D6C">
        <w:rPr>
          <w:rFonts w:eastAsia="細明體" w:cs="Segoe UI" w:hint="eastAsia"/>
          <w:lang w:eastAsia="ar-SA"/>
        </w:rPr>
        <w:t>即非證券化類別風險承擔的信用風險</w:t>
      </w:r>
      <w:r w:rsidR="005C07D5" w:rsidRPr="00272D6C">
        <w:rPr>
          <w:rFonts w:eastAsia="細明體" w:cs="Segoe UI" w:hint="eastAsia"/>
          <w:lang w:eastAsia="ar-SA"/>
        </w:rPr>
        <w:t>，</w:t>
      </w:r>
      <w:r w:rsidR="005C07D5" w:rsidRPr="005C07D5">
        <w:rPr>
          <w:rFonts w:eastAsia="細明體" w:cs="Segoe UI" w:hint="eastAsia"/>
          <w:lang w:eastAsia="ar-SA"/>
        </w:rPr>
        <w:t>不包括對手方信用風險</w:t>
      </w:r>
      <w:r w:rsidRPr="000C010D">
        <w:rPr>
          <w:rFonts w:eastAsia="細明體" w:cs="Segoe UI" w:hint="eastAsia"/>
          <w:lang w:eastAsia="ar-SA"/>
        </w:rPr>
        <w:t>）</w:t>
      </w:r>
      <w:r w:rsidRPr="00272D6C">
        <w:rPr>
          <w:rFonts w:eastAsia="細明體" w:cs="Segoe UI" w:hint="eastAsia"/>
          <w:lang w:eastAsia="ar-SA"/>
        </w:rPr>
        <w:t>。</w:t>
      </w:r>
    </w:p>
    <w:p w14:paraId="3432BFC8" w14:textId="77777777" w:rsidR="000C010D" w:rsidRDefault="000C010D" w:rsidP="000C010D">
      <w:pPr>
        <w:suppressAutoHyphens/>
        <w:spacing w:after="120"/>
        <w:ind w:left="-566"/>
        <w:jc w:val="both"/>
        <w:rPr>
          <w:rFonts w:eastAsia="細明體" w:cs="Segoe UI"/>
          <w:lang w:eastAsia="ar-SA"/>
        </w:rPr>
      </w:pPr>
    </w:p>
    <w:p w14:paraId="3A5C3347" w14:textId="77777777" w:rsidR="00272D6C" w:rsidRPr="00272D6C" w:rsidRDefault="00272D6C" w:rsidP="00D540EB">
      <w:pPr>
        <w:keepNext/>
        <w:numPr>
          <w:ilvl w:val="0"/>
          <w:numId w:val="35"/>
        </w:numPr>
        <w:suppressAutoHyphens/>
        <w:spacing w:before="360" w:after="240"/>
        <w:outlineLvl w:val="1"/>
        <w:rPr>
          <w:rFonts w:eastAsia="細明體" w:cs="Segoe UI"/>
          <w:color w:val="AA322F"/>
          <w:sz w:val="22"/>
          <w:lang w:eastAsia="ar-SA"/>
        </w:rPr>
      </w:pPr>
      <w:r w:rsidRPr="00272D6C">
        <w:rPr>
          <w:rFonts w:eastAsia="細明體" w:cs="Segoe UI" w:hint="eastAsia"/>
          <w:color w:val="AA322F"/>
          <w:sz w:val="24"/>
          <w:lang w:eastAsia="ar-SA"/>
        </w:rPr>
        <w:t>信用風險的一般資料</w:t>
      </w:r>
    </w:p>
    <w:p w14:paraId="6D2375CB" w14:textId="3B66E884" w:rsidR="00136436" w:rsidRPr="00136436" w:rsidRDefault="00136436" w:rsidP="00136436">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136436">
        <w:rPr>
          <w:rFonts w:eastAsia="細明體" w:cs="Segoe UI" w:hint="eastAsia"/>
          <w:b w:val="0"/>
          <w:sz w:val="22"/>
        </w:rPr>
        <w:t>表</w:t>
      </w:r>
      <w:r w:rsidRPr="00136436">
        <w:rPr>
          <w:rFonts w:ascii="Segoe UI" w:eastAsia="細明體" w:hAnsi="Segoe UI" w:cs="Segoe UI"/>
          <w:b w:val="0"/>
          <w:sz w:val="22"/>
        </w:rPr>
        <w:t>CRA</w:t>
      </w:r>
      <w:r w:rsidRPr="00136436">
        <w:rPr>
          <w:rFonts w:eastAsia="細明體" w:cs="Segoe UI" w:hint="eastAsia"/>
          <w:b w:val="0"/>
          <w:sz w:val="22"/>
        </w:rPr>
        <w:t>：</w:t>
      </w:r>
      <w:r w:rsidRPr="00136436">
        <w:rPr>
          <w:rFonts w:eastAsia="細明體" w:cs="Segoe UI"/>
          <w:b w:val="0"/>
          <w:sz w:val="22"/>
        </w:rPr>
        <w:t>信用風險的一般資料</w:t>
      </w:r>
    </w:p>
    <w:tbl>
      <w:tblPr>
        <w:tblW w:w="9106" w:type="dxa"/>
        <w:tblInd w:w="-459" w:type="dxa"/>
        <w:tblLayout w:type="fixed"/>
        <w:tblLook w:val="0000" w:firstRow="0" w:lastRow="0" w:firstColumn="0" w:lastColumn="0" w:noHBand="0" w:noVBand="0"/>
      </w:tblPr>
      <w:tblGrid>
        <w:gridCol w:w="2160"/>
        <w:gridCol w:w="6946"/>
      </w:tblGrid>
      <w:tr w:rsidR="00272D6C" w:rsidRPr="00272D6C" w14:paraId="1B3470FE" w14:textId="77777777" w:rsidTr="004A3D58">
        <w:tc>
          <w:tcPr>
            <w:tcW w:w="2160" w:type="dxa"/>
            <w:tcBorders>
              <w:top w:val="single" w:sz="4" w:space="0" w:color="000000"/>
              <w:bottom w:val="single" w:sz="4" w:space="0" w:color="000000"/>
            </w:tcBorders>
            <w:shd w:val="clear" w:color="auto" w:fill="auto"/>
          </w:tcPr>
          <w:p w14:paraId="45390225"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3714274C"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說明信用風險管理的主要特點及元素，包括</w:t>
            </w:r>
            <w:r w:rsidRPr="00272D6C">
              <w:rPr>
                <w:rFonts w:eastAsia="細明體" w:cs="Segoe UI" w:hint="eastAsia"/>
                <w:sz w:val="17"/>
                <w:lang w:eastAsia="zh-TW"/>
              </w:rPr>
              <w:t>業務</w:t>
            </w:r>
            <w:r w:rsidRPr="00272D6C">
              <w:rPr>
                <w:rFonts w:eastAsia="細明體" w:cs="Segoe UI" w:hint="eastAsia"/>
                <w:sz w:val="17"/>
                <w:lang w:eastAsia="ar-SA"/>
              </w:rPr>
              <w:t>模式、信用風險狀況</w:t>
            </w:r>
            <w:r w:rsidRPr="00272D6C">
              <w:rPr>
                <w:rFonts w:eastAsia="細明體" w:cs="Segoe UI" w:hint="eastAsia"/>
                <w:sz w:val="17"/>
                <w:szCs w:val="17"/>
                <w:lang w:eastAsia="ar-SA"/>
              </w:rPr>
              <w:t>，</w:t>
            </w:r>
            <w:r w:rsidRPr="00272D6C">
              <w:rPr>
                <w:rFonts w:eastAsia="細明體" w:cs="Segoe UI" w:hint="eastAsia"/>
                <w:sz w:val="17"/>
                <w:lang w:eastAsia="ar-SA"/>
              </w:rPr>
              <w:t>及涉及信用風險管理</w:t>
            </w:r>
            <w:r w:rsidRPr="00272D6C">
              <w:rPr>
                <w:rFonts w:eastAsia="細明體" w:cs="Segoe UI" w:hint="eastAsia"/>
                <w:sz w:val="17"/>
                <w:lang w:eastAsia="zh-TW"/>
              </w:rPr>
              <w:t>和</w:t>
            </w:r>
            <w:r w:rsidRPr="00272D6C">
              <w:rPr>
                <w:rFonts w:eastAsia="細明體" w:cs="Segoe UI"/>
                <w:sz w:val="17"/>
                <w:lang w:eastAsia="ar-SA"/>
              </w:rPr>
              <w:t>風險管理報告</w:t>
            </w:r>
            <w:r w:rsidRPr="00272D6C">
              <w:rPr>
                <w:rFonts w:eastAsia="細明體" w:cs="Segoe UI" w:hint="eastAsia"/>
                <w:sz w:val="17"/>
                <w:lang w:eastAsia="ar-SA"/>
              </w:rPr>
              <w:t>的組織與職能。</w:t>
            </w:r>
          </w:p>
        </w:tc>
      </w:tr>
      <w:tr w:rsidR="00272D6C" w:rsidRPr="00272D6C" w14:paraId="4291D4F6" w14:textId="77777777" w:rsidTr="004A3D58">
        <w:tc>
          <w:tcPr>
            <w:tcW w:w="2160" w:type="dxa"/>
            <w:tcBorders>
              <w:top w:val="single" w:sz="4" w:space="0" w:color="000000"/>
              <w:bottom w:val="single" w:sz="4" w:space="0" w:color="000000"/>
            </w:tcBorders>
            <w:shd w:val="clear" w:color="auto" w:fill="auto"/>
          </w:tcPr>
          <w:p w14:paraId="45DF86B5"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2B3F9DB4"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所有在香港成立為法團的認可機構均須填報本表。</w:t>
            </w:r>
          </w:p>
        </w:tc>
      </w:tr>
      <w:tr w:rsidR="00272D6C" w:rsidRPr="00272D6C" w14:paraId="1FCB3D16" w14:textId="77777777" w:rsidTr="004A3D58">
        <w:tc>
          <w:tcPr>
            <w:tcW w:w="2160" w:type="dxa"/>
            <w:tcBorders>
              <w:top w:val="single" w:sz="4" w:space="0" w:color="000000"/>
              <w:bottom w:val="single" w:sz="4" w:space="0" w:color="000000"/>
            </w:tcBorders>
            <w:shd w:val="clear" w:color="auto" w:fill="auto"/>
          </w:tcPr>
          <w:p w14:paraId="6FA3C1A6"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7848E6CD"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描述資料</w:t>
            </w:r>
            <w:r w:rsidRPr="00272D6C">
              <w:rPr>
                <w:rFonts w:eastAsia="細明體" w:cs="Segoe UI"/>
                <w:sz w:val="17"/>
                <w:lang w:eastAsia="ar-SA"/>
              </w:rPr>
              <w:t>。</w:t>
            </w:r>
          </w:p>
        </w:tc>
      </w:tr>
      <w:tr w:rsidR="00272D6C" w:rsidRPr="00272D6C" w14:paraId="691214EA" w14:textId="77777777" w:rsidTr="004A3D58">
        <w:tc>
          <w:tcPr>
            <w:tcW w:w="2160" w:type="dxa"/>
            <w:tcBorders>
              <w:top w:val="single" w:sz="4" w:space="0" w:color="000000"/>
              <w:bottom w:val="single" w:sz="4" w:space="0" w:color="000000"/>
            </w:tcBorders>
            <w:shd w:val="clear" w:color="auto" w:fill="auto"/>
          </w:tcPr>
          <w:p w14:paraId="52F33D26"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587DB192"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每年一次</w:t>
            </w:r>
            <w:r w:rsidRPr="00272D6C">
              <w:rPr>
                <w:rFonts w:eastAsia="細明體" w:cs="Segoe UI"/>
                <w:sz w:val="17"/>
                <w:lang w:eastAsia="ar-SA"/>
              </w:rPr>
              <w:t>。</w:t>
            </w:r>
          </w:p>
        </w:tc>
      </w:tr>
      <w:tr w:rsidR="00272D6C" w:rsidRPr="00272D6C" w14:paraId="4200AE5A" w14:textId="77777777" w:rsidTr="004A3D58">
        <w:tc>
          <w:tcPr>
            <w:tcW w:w="2160" w:type="dxa"/>
            <w:tcBorders>
              <w:top w:val="single" w:sz="4" w:space="0" w:color="000000"/>
              <w:bottom w:val="single" w:sz="4" w:space="0" w:color="000000"/>
            </w:tcBorders>
            <w:shd w:val="clear" w:color="auto" w:fill="auto"/>
          </w:tcPr>
          <w:p w14:paraId="75B93DE8"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5E88D282"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非固定</w:t>
            </w:r>
            <w:r w:rsidRPr="00272D6C">
              <w:rPr>
                <w:rFonts w:eastAsia="細明體" w:cs="Segoe UI"/>
                <w:sz w:val="17"/>
                <w:lang w:eastAsia="ar-SA"/>
              </w:rPr>
              <w:t>。</w:t>
            </w:r>
          </w:p>
        </w:tc>
      </w:tr>
      <w:tr w:rsidR="00272D6C" w:rsidRPr="00272D6C" w14:paraId="2448884C" w14:textId="77777777" w:rsidTr="004A3D58">
        <w:tc>
          <w:tcPr>
            <w:tcW w:w="2160" w:type="dxa"/>
            <w:tcBorders>
              <w:top w:val="single" w:sz="4" w:space="0" w:color="000000"/>
              <w:bottom w:val="single" w:sz="4" w:space="0" w:color="000000"/>
            </w:tcBorders>
            <w:shd w:val="clear" w:color="auto" w:fill="auto"/>
          </w:tcPr>
          <w:p w14:paraId="2F2D8677"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《披露規則》相應條文：</w:t>
            </w:r>
          </w:p>
        </w:tc>
        <w:tc>
          <w:tcPr>
            <w:tcW w:w="6946" w:type="dxa"/>
            <w:tcBorders>
              <w:top w:val="single" w:sz="4" w:space="0" w:color="000000"/>
              <w:left w:val="single" w:sz="4" w:space="0" w:color="000000"/>
              <w:bottom w:val="single" w:sz="4" w:space="0" w:color="000000"/>
            </w:tcBorders>
            <w:shd w:val="clear" w:color="auto" w:fill="auto"/>
          </w:tcPr>
          <w:p w14:paraId="008C5FEC"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16G</w:t>
            </w:r>
          </w:p>
        </w:tc>
      </w:tr>
    </w:tbl>
    <w:p w14:paraId="0DA1A1DB" w14:textId="77777777" w:rsidR="00272D6C" w:rsidRPr="00272D6C" w:rsidRDefault="00272D6C" w:rsidP="00272D6C">
      <w:pPr>
        <w:suppressAutoHyphens/>
        <w:spacing w:before="120" w:after="120"/>
        <w:rPr>
          <w:rFonts w:eastAsia="細明體" w:cs="Segoe UI"/>
          <w:sz w:val="22"/>
          <w:lang w:eastAsia="ar-SA"/>
        </w:rPr>
      </w:pPr>
    </w:p>
    <w:tbl>
      <w:tblPr>
        <w:tblW w:w="9242" w:type="dxa"/>
        <w:tblInd w:w="-497" w:type="dxa"/>
        <w:tblLayout w:type="fixed"/>
        <w:tblCellMar>
          <w:left w:w="70" w:type="dxa"/>
          <w:right w:w="70" w:type="dxa"/>
        </w:tblCellMar>
        <w:tblLook w:val="0000" w:firstRow="0" w:lastRow="0" w:firstColumn="0" w:lastColumn="0" w:noHBand="0" w:noVBand="0"/>
      </w:tblPr>
      <w:tblGrid>
        <w:gridCol w:w="370"/>
        <w:gridCol w:w="8872"/>
      </w:tblGrid>
      <w:tr w:rsidR="00272D6C" w:rsidRPr="00272D6C" w14:paraId="6537BC90" w14:textId="77777777" w:rsidTr="005171C5">
        <w:trPr>
          <w:trHeight w:val="448"/>
        </w:trPr>
        <w:tc>
          <w:tcPr>
            <w:tcW w:w="9242" w:type="dxa"/>
            <w:gridSpan w:val="2"/>
            <w:tcBorders>
              <w:top w:val="single" w:sz="4" w:space="0" w:color="000000"/>
              <w:bottom w:val="single" w:sz="4" w:space="0" w:color="000000"/>
            </w:tcBorders>
            <w:shd w:val="clear" w:color="auto" w:fill="auto"/>
            <w:vAlign w:val="center"/>
          </w:tcPr>
          <w:p w14:paraId="0CCB1029" w14:textId="77777777" w:rsidR="00272D6C" w:rsidRPr="00272D6C" w:rsidRDefault="00272D6C" w:rsidP="00272D6C">
            <w:pPr>
              <w:widowControl w:val="0"/>
              <w:suppressAutoHyphens/>
              <w:spacing w:before="40" w:after="40"/>
              <w:jc w:val="both"/>
              <w:rPr>
                <w:rFonts w:cs="Segoe UI"/>
                <w:lang w:eastAsia="ar-SA"/>
              </w:rPr>
            </w:pPr>
            <w:r w:rsidRPr="00272D6C">
              <w:rPr>
                <w:rFonts w:eastAsia="細明體" w:cs="Segoe UI" w:hint="eastAsia"/>
                <w:sz w:val="17"/>
                <w:szCs w:val="17"/>
                <w:lang w:eastAsia="ar-SA"/>
              </w:rPr>
              <w:t>認可機構應披露其信用風險管理目標及政策，尤其應集中於：</w:t>
            </w:r>
          </w:p>
        </w:tc>
      </w:tr>
      <w:tr w:rsidR="00272D6C" w:rsidRPr="00272D6C" w14:paraId="3EEFBC2B" w14:textId="77777777" w:rsidTr="005171C5">
        <w:trPr>
          <w:trHeight w:val="318"/>
        </w:trPr>
        <w:tc>
          <w:tcPr>
            <w:tcW w:w="370" w:type="dxa"/>
            <w:tcBorders>
              <w:top w:val="single" w:sz="4" w:space="0" w:color="000000"/>
              <w:bottom w:val="single" w:sz="4" w:space="0" w:color="000000"/>
            </w:tcBorders>
            <w:shd w:val="clear" w:color="auto" w:fill="auto"/>
          </w:tcPr>
          <w:p w14:paraId="2649C355"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(a)</w:t>
            </w:r>
          </w:p>
        </w:tc>
        <w:tc>
          <w:tcPr>
            <w:tcW w:w="8872" w:type="dxa"/>
            <w:tcBorders>
              <w:top w:val="single" w:sz="4" w:space="0" w:color="000000"/>
              <w:bottom w:val="single" w:sz="4" w:space="0" w:color="000000"/>
            </w:tcBorders>
            <w:shd w:val="clear" w:color="auto" w:fill="auto"/>
            <w:vAlign w:val="center"/>
          </w:tcPr>
          <w:p w14:paraId="76D75BF5"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其</w:t>
            </w:r>
            <w:r w:rsidRPr="00272D6C">
              <w:rPr>
                <w:rFonts w:eastAsia="細明體" w:cs="Segoe UI" w:hint="eastAsia"/>
                <w:sz w:val="17"/>
                <w:lang w:eastAsia="zh-TW"/>
              </w:rPr>
              <w:t>業務</w:t>
            </w:r>
            <w:r w:rsidRPr="00272D6C">
              <w:rPr>
                <w:rFonts w:eastAsia="細明體" w:cs="Segoe UI" w:hint="eastAsia"/>
                <w:sz w:val="17"/>
                <w:lang w:eastAsia="ar-SA"/>
              </w:rPr>
              <w:t>模式如何</w:t>
            </w:r>
            <w:r w:rsidRPr="00272D6C">
              <w:rPr>
                <w:rFonts w:eastAsia="細明體" w:cs="Segoe UI" w:hint="eastAsia"/>
                <w:sz w:val="17"/>
                <w:lang w:eastAsia="zh-TW"/>
              </w:rPr>
              <w:t>轉化</w:t>
            </w:r>
            <w:r w:rsidRPr="00272D6C">
              <w:rPr>
                <w:rFonts w:eastAsia="細明體" w:cs="Segoe UI" w:hint="eastAsia"/>
                <w:sz w:val="17"/>
                <w:lang w:eastAsia="ar-SA"/>
              </w:rPr>
              <w:t>為信用風險狀況的</w:t>
            </w:r>
            <w:r w:rsidRPr="00272D6C">
              <w:rPr>
                <w:rFonts w:eastAsia="細明體" w:cs="Segoe UI" w:hint="eastAsia"/>
                <w:sz w:val="17"/>
                <w:lang w:val="en-US" w:eastAsia="ar-SA"/>
              </w:rPr>
              <w:t>組成部分；</w:t>
            </w:r>
          </w:p>
        </w:tc>
      </w:tr>
      <w:tr w:rsidR="00272D6C" w:rsidRPr="00272D6C" w14:paraId="71B8F15A" w14:textId="77777777" w:rsidTr="005171C5">
        <w:trPr>
          <w:trHeight w:val="318"/>
        </w:trPr>
        <w:tc>
          <w:tcPr>
            <w:tcW w:w="370" w:type="dxa"/>
            <w:tcBorders>
              <w:top w:val="single" w:sz="4" w:space="0" w:color="000000"/>
              <w:bottom w:val="single" w:sz="4" w:space="0" w:color="000000"/>
            </w:tcBorders>
            <w:shd w:val="clear" w:color="auto" w:fill="auto"/>
          </w:tcPr>
          <w:p w14:paraId="0E128255"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(b)</w:t>
            </w:r>
          </w:p>
        </w:tc>
        <w:tc>
          <w:tcPr>
            <w:tcW w:w="8872" w:type="dxa"/>
            <w:tcBorders>
              <w:top w:val="single" w:sz="4" w:space="0" w:color="000000"/>
              <w:bottom w:val="single" w:sz="4" w:space="0" w:color="000000"/>
            </w:tcBorders>
            <w:shd w:val="clear" w:color="auto" w:fill="auto"/>
            <w:vAlign w:val="center"/>
          </w:tcPr>
          <w:p w14:paraId="771EC002"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用作</w:t>
            </w:r>
            <w:r w:rsidRPr="00272D6C">
              <w:rPr>
                <w:rFonts w:eastAsia="細明體" w:cs="Segoe UI" w:hint="eastAsia"/>
                <w:sz w:val="17"/>
                <w:lang w:eastAsia="zh-TW"/>
              </w:rPr>
              <w:t>訂定</w:t>
            </w:r>
            <w:r w:rsidRPr="00272D6C">
              <w:rPr>
                <w:rFonts w:eastAsia="細明體" w:cs="Segoe UI" w:hint="eastAsia"/>
                <w:sz w:val="17"/>
                <w:lang w:eastAsia="ar-SA"/>
              </w:rPr>
              <w:t>信用風險管理政策及設定信用風險限額的準則及方法；</w:t>
            </w:r>
          </w:p>
        </w:tc>
      </w:tr>
      <w:tr w:rsidR="00272D6C" w:rsidRPr="00272D6C" w14:paraId="21A46B65" w14:textId="77777777" w:rsidTr="005171C5">
        <w:trPr>
          <w:trHeight w:val="318"/>
        </w:trPr>
        <w:tc>
          <w:tcPr>
            <w:tcW w:w="370" w:type="dxa"/>
            <w:tcBorders>
              <w:top w:val="single" w:sz="4" w:space="0" w:color="000000"/>
              <w:bottom w:val="single" w:sz="4" w:space="0" w:color="000000"/>
            </w:tcBorders>
            <w:shd w:val="clear" w:color="auto" w:fill="auto"/>
          </w:tcPr>
          <w:p w14:paraId="5F1007CC"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(c)</w:t>
            </w:r>
          </w:p>
        </w:tc>
        <w:tc>
          <w:tcPr>
            <w:tcW w:w="8872" w:type="dxa"/>
            <w:tcBorders>
              <w:top w:val="single" w:sz="4" w:space="0" w:color="000000"/>
              <w:bottom w:val="single" w:sz="4" w:space="0" w:color="000000"/>
            </w:tcBorders>
            <w:shd w:val="clear" w:color="auto" w:fill="auto"/>
            <w:vAlign w:val="center"/>
          </w:tcPr>
          <w:p w14:paraId="050811ED"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信用風險管理及管控</w:t>
            </w:r>
            <w:r w:rsidRPr="00272D6C">
              <w:rPr>
                <w:rFonts w:ascii="細明體" w:eastAsia="細明體" w:hAnsi="細明體" w:cs="細明體" w:hint="eastAsia"/>
                <w:sz w:val="17"/>
                <w:lang w:eastAsia="ar-SA"/>
              </w:rPr>
              <w:t>職能</w:t>
            </w:r>
            <w:r w:rsidRPr="00272D6C">
              <w:rPr>
                <w:rFonts w:eastAsia="細明體" w:cs="Segoe UI" w:hint="eastAsia"/>
                <w:sz w:val="17"/>
                <w:lang w:eastAsia="ar-SA"/>
              </w:rPr>
              <w:t>的架構及組織；</w:t>
            </w:r>
          </w:p>
        </w:tc>
      </w:tr>
      <w:tr w:rsidR="00272D6C" w:rsidRPr="00272D6C" w14:paraId="623F8CEC" w14:textId="77777777" w:rsidTr="005171C5">
        <w:trPr>
          <w:trHeight w:val="318"/>
        </w:trPr>
        <w:tc>
          <w:tcPr>
            <w:tcW w:w="370" w:type="dxa"/>
            <w:tcBorders>
              <w:top w:val="single" w:sz="4" w:space="0" w:color="000000"/>
              <w:bottom w:val="single" w:sz="4" w:space="0" w:color="000000"/>
            </w:tcBorders>
            <w:shd w:val="clear" w:color="auto" w:fill="auto"/>
          </w:tcPr>
          <w:p w14:paraId="3BB8C14E"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(d)</w:t>
            </w:r>
          </w:p>
        </w:tc>
        <w:tc>
          <w:tcPr>
            <w:tcW w:w="8872" w:type="dxa"/>
            <w:tcBorders>
              <w:top w:val="single" w:sz="4" w:space="0" w:color="000000"/>
              <w:bottom w:val="single" w:sz="4" w:space="0" w:color="000000"/>
            </w:tcBorders>
            <w:shd w:val="clear" w:color="auto" w:fill="auto"/>
            <w:vAlign w:val="center"/>
          </w:tcPr>
          <w:p w14:paraId="39DCAF58"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信用風險管理、風險管控、合規及內部審計</w:t>
            </w:r>
            <w:r w:rsidRPr="00272D6C">
              <w:rPr>
                <w:rFonts w:eastAsia="細明體" w:cs="Segoe UI"/>
                <w:sz w:val="17"/>
                <w:lang w:eastAsia="ar-SA"/>
              </w:rPr>
              <w:t>職能</w:t>
            </w:r>
            <w:r w:rsidRPr="00272D6C">
              <w:rPr>
                <w:rFonts w:eastAsia="細明體" w:cs="Segoe UI" w:hint="eastAsia"/>
                <w:sz w:val="17"/>
                <w:lang w:eastAsia="ar-SA"/>
              </w:rPr>
              <w:t>之間的關係；及</w:t>
            </w:r>
          </w:p>
        </w:tc>
      </w:tr>
      <w:tr w:rsidR="00272D6C" w:rsidRPr="00272D6C" w14:paraId="2B5798A9" w14:textId="77777777" w:rsidTr="005171C5">
        <w:trPr>
          <w:trHeight w:val="318"/>
        </w:trPr>
        <w:tc>
          <w:tcPr>
            <w:tcW w:w="370" w:type="dxa"/>
            <w:tcBorders>
              <w:top w:val="single" w:sz="4" w:space="0" w:color="000000"/>
              <w:bottom w:val="single" w:sz="4" w:space="0" w:color="000000"/>
            </w:tcBorders>
            <w:shd w:val="clear" w:color="auto" w:fill="auto"/>
          </w:tcPr>
          <w:p w14:paraId="3B0E1E4A"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(e)</w:t>
            </w:r>
          </w:p>
        </w:tc>
        <w:tc>
          <w:tcPr>
            <w:tcW w:w="8872" w:type="dxa"/>
            <w:tcBorders>
              <w:top w:val="single" w:sz="4" w:space="0" w:color="000000"/>
              <w:bottom w:val="single" w:sz="4" w:space="0" w:color="000000"/>
            </w:tcBorders>
            <w:shd w:val="clear" w:color="auto" w:fill="auto"/>
            <w:vAlign w:val="center"/>
          </w:tcPr>
          <w:p w14:paraId="27ACCD95"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向高級管理人員及董事局作出有關信用風險承擔及信用風險管理</w:t>
            </w:r>
            <w:r w:rsidRPr="00272D6C">
              <w:rPr>
                <w:rFonts w:eastAsia="細明體" w:cs="Segoe UI"/>
                <w:sz w:val="17"/>
                <w:lang w:eastAsia="ar-SA"/>
              </w:rPr>
              <w:t>職能</w:t>
            </w:r>
            <w:r w:rsidRPr="00272D6C">
              <w:rPr>
                <w:rFonts w:eastAsia="細明體" w:cs="Segoe UI" w:hint="eastAsia"/>
                <w:sz w:val="17"/>
                <w:lang w:eastAsia="ar-SA"/>
              </w:rPr>
              <w:t>的匯報範圍及主要內容。</w:t>
            </w:r>
          </w:p>
        </w:tc>
      </w:tr>
    </w:tbl>
    <w:p w14:paraId="5A884277" w14:textId="77777777" w:rsidR="00272D6C" w:rsidRPr="00272D6C" w:rsidRDefault="00272D6C" w:rsidP="00AD102B">
      <w:pPr>
        <w:pStyle w:val="Footer"/>
        <w:rPr>
          <w:rFonts w:eastAsia="細明體" w:cs="Segoe UI"/>
          <w:sz w:val="22"/>
          <w:lang w:eastAsia="ar-SA"/>
        </w:rPr>
        <w:sectPr w:rsidR="00272D6C" w:rsidRPr="00272D6C" w:rsidSect="00AD102B">
          <w:headerReference w:type="default" r:id="rId56"/>
          <w:footerReference w:type="default" r:id="rId57"/>
          <w:pgSz w:w="11906" w:h="16838"/>
          <w:pgMar w:top="1418" w:right="1797" w:bottom="1440" w:left="1797" w:header="850" w:footer="992" w:gutter="0"/>
          <w:cols w:space="720"/>
          <w:docGrid w:type="linesAndChars" w:linePitch="360"/>
        </w:sectPr>
      </w:pPr>
    </w:p>
    <w:p w14:paraId="34E70294" w14:textId="00CD832F" w:rsidR="00136436" w:rsidRPr="00136436" w:rsidRDefault="00136436" w:rsidP="00136436">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136436">
        <w:rPr>
          <w:rFonts w:eastAsia="細明體" w:cs="Segoe UI" w:hint="eastAsia"/>
          <w:b w:val="0"/>
          <w:sz w:val="22"/>
        </w:rPr>
        <w:t>模版</w:t>
      </w:r>
      <w:r w:rsidRPr="00136436">
        <w:rPr>
          <w:rFonts w:ascii="Segoe UI" w:eastAsia="細明體" w:hAnsi="Segoe UI" w:cs="Segoe UI"/>
          <w:b w:val="0"/>
          <w:sz w:val="22"/>
        </w:rPr>
        <w:t>CR1</w:t>
      </w:r>
      <w:r w:rsidRPr="00136436">
        <w:rPr>
          <w:rFonts w:eastAsia="細明體" w:cs="Segoe UI" w:hint="eastAsia"/>
          <w:b w:val="0"/>
          <w:sz w:val="22"/>
        </w:rPr>
        <w:t>：風險承擔的信用質素</w:t>
      </w:r>
    </w:p>
    <w:tbl>
      <w:tblPr>
        <w:tblW w:w="9248" w:type="dxa"/>
        <w:tblInd w:w="-459" w:type="dxa"/>
        <w:tblLayout w:type="fixed"/>
        <w:tblLook w:val="0000" w:firstRow="0" w:lastRow="0" w:firstColumn="0" w:lastColumn="0" w:noHBand="0" w:noVBand="0"/>
      </w:tblPr>
      <w:tblGrid>
        <w:gridCol w:w="2160"/>
        <w:gridCol w:w="7088"/>
      </w:tblGrid>
      <w:tr w:rsidR="00272D6C" w:rsidRPr="00272D6C" w14:paraId="2968790A" w14:textId="77777777" w:rsidTr="004A3D58">
        <w:tc>
          <w:tcPr>
            <w:tcW w:w="2160" w:type="dxa"/>
            <w:tcBorders>
              <w:top w:val="single" w:sz="4" w:space="0" w:color="000000"/>
              <w:bottom w:val="single" w:sz="4" w:space="0" w:color="000000"/>
            </w:tcBorders>
            <w:shd w:val="clear" w:color="auto" w:fill="auto"/>
          </w:tcPr>
          <w:p w14:paraId="7010B7B0"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4C63BD78"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概述資產負債表內及表外風險承擔的信用質素。</w:t>
            </w:r>
          </w:p>
        </w:tc>
      </w:tr>
      <w:tr w:rsidR="00272D6C" w:rsidRPr="00272D6C" w14:paraId="4404DD2B" w14:textId="77777777" w:rsidTr="004A3D58">
        <w:tc>
          <w:tcPr>
            <w:tcW w:w="2160" w:type="dxa"/>
            <w:tcBorders>
              <w:top w:val="single" w:sz="4" w:space="0" w:color="000000"/>
              <w:bottom w:val="single" w:sz="4" w:space="0" w:color="000000"/>
            </w:tcBorders>
            <w:shd w:val="clear" w:color="auto" w:fill="auto"/>
          </w:tcPr>
          <w:p w14:paraId="27F8434F"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7A3AFCE5"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所有在香港成立為法團的認可機構均須填報本模版。</w:t>
            </w:r>
            <w:r w:rsidRPr="00272D6C">
              <w:rPr>
                <w:rFonts w:eastAsia="細明體" w:cs="Segoe UI"/>
                <w:sz w:val="17"/>
                <w:lang w:eastAsia="ar-SA"/>
              </w:rPr>
              <w:t xml:space="preserve"> </w:t>
            </w:r>
          </w:p>
        </w:tc>
      </w:tr>
      <w:tr w:rsidR="00272D6C" w:rsidRPr="00272D6C" w14:paraId="239685F7" w14:textId="77777777" w:rsidTr="004A3D58">
        <w:tc>
          <w:tcPr>
            <w:tcW w:w="2160" w:type="dxa"/>
            <w:tcBorders>
              <w:top w:val="single" w:sz="4" w:space="0" w:color="000000"/>
              <w:bottom w:val="single" w:sz="4" w:space="0" w:color="000000"/>
            </w:tcBorders>
            <w:shd w:val="clear" w:color="auto" w:fill="auto"/>
          </w:tcPr>
          <w:p w14:paraId="09A59DC1"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31A1B481" w14:textId="77777777" w:rsidR="00272D6C" w:rsidRPr="00272D6C" w:rsidRDefault="00272D6C" w:rsidP="00272D6C">
            <w:pPr>
              <w:suppressAutoHyphens/>
              <w:spacing w:before="40" w:after="40"/>
              <w:jc w:val="both"/>
              <w:rPr>
                <w:rFonts w:eastAsia="細明體" w:cs="Segoe UI"/>
                <w:sz w:val="17"/>
                <w:lang w:eastAsia="zh-TW"/>
              </w:rPr>
            </w:pPr>
            <w:r w:rsidRPr="00272D6C">
              <w:rPr>
                <w:rFonts w:eastAsia="細明體" w:cs="Segoe UI" w:hint="eastAsia"/>
                <w:sz w:val="17"/>
                <w:lang w:eastAsia="ar-SA"/>
              </w:rPr>
              <w:t>帳面數額對應於財務報表所載的值</w:t>
            </w:r>
            <w:r w:rsidRPr="00272D6C">
              <w:rPr>
                <w:rFonts w:eastAsia="細明體" w:cs="Segoe UI" w:hint="eastAsia"/>
                <w:sz w:val="17"/>
                <w:szCs w:val="17"/>
                <w:lang w:eastAsia="ar-SA"/>
              </w:rPr>
              <w:t>，</w:t>
            </w:r>
            <w:r w:rsidRPr="00272D6C">
              <w:rPr>
                <w:rFonts w:eastAsia="細明體" w:cs="Segoe UI" w:hint="eastAsia"/>
                <w:sz w:val="17"/>
                <w:lang w:eastAsia="ar-SA"/>
              </w:rPr>
              <w:t>但根據用作計算資本充足程度而適用的監管綜合範圍</w:t>
            </w:r>
            <w:r w:rsidRPr="00272D6C">
              <w:rPr>
                <w:rFonts w:eastAsia="細明體" w:cs="Segoe UI"/>
                <w:sz w:val="17"/>
                <w:lang w:eastAsia="ar-SA"/>
              </w:rPr>
              <w:t>。</w:t>
            </w:r>
          </w:p>
        </w:tc>
      </w:tr>
      <w:tr w:rsidR="00272D6C" w:rsidRPr="00272D6C" w14:paraId="546976A5" w14:textId="77777777" w:rsidTr="004A3D58">
        <w:tc>
          <w:tcPr>
            <w:tcW w:w="2160" w:type="dxa"/>
            <w:tcBorders>
              <w:top w:val="single" w:sz="4" w:space="0" w:color="000000"/>
              <w:bottom w:val="single" w:sz="4" w:space="0" w:color="000000"/>
            </w:tcBorders>
            <w:shd w:val="clear" w:color="auto" w:fill="auto"/>
          </w:tcPr>
          <w:p w14:paraId="609E2B0C"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2EE64ECA"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每半年一次</w:t>
            </w:r>
            <w:r w:rsidRPr="00272D6C">
              <w:rPr>
                <w:rFonts w:eastAsia="細明體" w:cs="Segoe UI"/>
                <w:sz w:val="17"/>
                <w:lang w:eastAsia="ar-SA"/>
              </w:rPr>
              <w:t>。</w:t>
            </w:r>
          </w:p>
        </w:tc>
      </w:tr>
      <w:tr w:rsidR="00272D6C" w:rsidRPr="00272D6C" w14:paraId="68760190" w14:textId="77777777" w:rsidTr="004A3D58">
        <w:tc>
          <w:tcPr>
            <w:tcW w:w="2160" w:type="dxa"/>
            <w:tcBorders>
              <w:top w:val="single" w:sz="4" w:space="0" w:color="000000"/>
              <w:bottom w:val="single" w:sz="4" w:space="0" w:color="000000"/>
            </w:tcBorders>
            <w:shd w:val="clear" w:color="auto" w:fill="auto"/>
          </w:tcPr>
          <w:p w14:paraId="6CF97AEB"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39ED878D"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固定</w:t>
            </w:r>
            <w:r w:rsidRPr="00272D6C">
              <w:rPr>
                <w:rFonts w:eastAsia="細明體" w:cs="Segoe UI"/>
                <w:sz w:val="17"/>
                <w:lang w:eastAsia="ar-SA"/>
              </w:rPr>
              <w:t>。</w:t>
            </w:r>
          </w:p>
        </w:tc>
      </w:tr>
      <w:tr w:rsidR="00272D6C" w:rsidRPr="00272D6C" w14:paraId="0E850DC0" w14:textId="77777777" w:rsidTr="004A3D58">
        <w:tc>
          <w:tcPr>
            <w:tcW w:w="2160" w:type="dxa"/>
            <w:tcBorders>
              <w:top w:val="single" w:sz="4" w:space="0" w:color="000000"/>
              <w:bottom w:val="single" w:sz="4" w:space="0" w:color="000000"/>
            </w:tcBorders>
            <w:shd w:val="clear" w:color="auto" w:fill="auto"/>
          </w:tcPr>
          <w:p w14:paraId="1226ED3F"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附加說明：</w:t>
            </w:r>
          </w:p>
        </w:tc>
        <w:tc>
          <w:tcPr>
            <w:tcW w:w="7088" w:type="dxa"/>
            <w:tcBorders>
              <w:top w:val="single" w:sz="4" w:space="0" w:color="000000"/>
              <w:left w:val="single" w:sz="4" w:space="0" w:color="000000"/>
              <w:bottom w:val="single" w:sz="4" w:space="0" w:color="000000"/>
            </w:tcBorders>
            <w:shd w:val="clear" w:color="auto" w:fill="auto"/>
          </w:tcPr>
          <w:p w14:paraId="7A684DFE" w14:textId="4FFC6D6A" w:rsidR="00272D6C" w:rsidRPr="00272D6C" w:rsidRDefault="00F8165A" w:rsidP="00F8165A">
            <w:pPr>
              <w:suppressAutoHyphens/>
              <w:spacing w:before="40" w:after="40"/>
              <w:jc w:val="both"/>
              <w:rPr>
                <w:rFonts w:cs="Segoe UI"/>
                <w:sz w:val="17"/>
                <w:lang w:eastAsia="ar-SA"/>
              </w:rPr>
            </w:pPr>
            <w:r w:rsidRPr="00272D6C">
              <w:rPr>
                <w:rFonts w:eastAsia="細明體" w:cs="Segoe UI" w:hint="eastAsia"/>
                <w:sz w:val="17"/>
                <w:szCs w:val="17"/>
                <w:lang w:eastAsia="ar-SA"/>
              </w:rPr>
              <w:t>認可機構</w:t>
            </w:r>
            <w:r>
              <w:rPr>
                <w:rFonts w:eastAsia="細明體" w:cs="Segoe UI" w:hint="eastAsia"/>
                <w:sz w:val="17"/>
                <w:szCs w:val="17"/>
                <w:lang w:eastAsia="zh-HK"/>
              </w:rPr>
              <w:t>應提供</w:t>
            </w:r>
            <w:r w:rsidRPr="00272D6C">
              <w:rPr>
                <w:rFonts w:eastAsia="細明體" w:cs="Segoe UI" w:hint="eastAsia"/>
                <w:sz w:val="17"/>
                <w:szCs w:val="17"/>
                <w:lang w:eastAsia="ar-SA"/>
              </w:rPr>
              <w:t>「違</w:t>
            </w:r>
            <w:r w:rsidRPr="00272D6C">
              <w:rPr>
                <w:rFonts w:eastAsia="細明體" w:cs="Segoe UI"/>
                <w:sz w:val="17"/>
                <w:szCs w:val="17"/>
                <w:lang w:eastAsia="ar-SA"/>
              </w:rPr>
              <w:t>責</w:t>
            </w:r>
            <w:r w:rsidRPr="00272D6C">
              <w:rPr>
                <w:rFonts w:eastAsia="細明體" w:cs="Segoe UI" w:hint="eastAsia"/>
                <w:sz w:val="17"/>
                <w:szCs w:val="17"/>
                <w:lang w:eastAsia="ar-SA"/>
              </w:rPr>
              <w:t>」</w:t>
            </w:r>
            <w:r>
              <w:rPr>
                <w:rFonts w:eastAsia="細明體" w:cs="Segoe UI" w:hint="eastAsia"/>
                <w:sz w:val="17"/>
                <w:szCs w:val="17"/>
                <w:lang w:eastAsia="zh-HK"/>
              </w:rPr>
              <w:t>的</w:t>
            </w:r>
            <w:r w:rsidRPr="00272D6C">
              <w:rPr>
                <w:rFonts w:eastAsia="細明體" w:cs="Segoe UI" w:hint="eastAsia"/>
                <w:sz w:val="17"/>
                <w:szCs w:val="17"/>
                <w:lang w:eastAsia="ar-SA"/>
              </w:rPr>
              <w:t>定義</w:t>
            </w:r>
            <w:r w:rsidR="00272D6C" w:rsidRPr="00272D6C">
              <w:rPr>
                <w:rFonts w:eastAsia="細明體" w:cs="Segoe UI" w:hint="eastAsia"/>
                <w:sz w:val="17"/>
                <w:szCs w:val="17"/>
                <w:lang w:eastAsia="ar-SA"/>
              </w:rPr>
              <w:t>。</w:t>
            </w:r>
          </w:p>
        </w:tc>
      </w:tr>
      <w:tr w:rsidR="00272D6C" w:rsidRPr="00272D6C" w14:paraId="51B9968A" w14:textId="77777777" w:rsidTr="004A3D58">
        <w:tc>
          <w:tcPr>
            <w:tcW w:w="2160" w:type="dxa"/>
            <w:tcBorders>
              <w:top w:val="single" w:sz="4" w:space="0" w:color="000000"/>
              <w:bottom w:val="single" w:sz="4" w:space="0" w:color="000000"/>
            </w:tcBorders>
            <w:shd w:val="clear" w:color="auto" w:fill="auto"/>
          </w:tcPr>
          <w:p w14:paraId="216D379F"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szCs w:val="17"/>
                <w:lang w:eastAsia="ar-SA"/>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75FBA36D"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16H</w:t>
            </w:r>
          </w:p>
        </w:tc>
      </w:tr>
    </w:tbl>
    <w:p w14:paraId="57D11568" w14:textId="55C7598B" w:rsidR="00272D6C" w:rsidRDefault="00272D6C" w:rsidP="00272D6C">
      <w:pPr>
        <w:suppressAutoHyphens/>
        <w:spacing w:before="120" w:after="120"/>
        <w:rPr>
          <w:rFonts w:eastAsia="細明體" w:cs="Segoe UI"/>
          <w:sz w:val="22"/>
          <w:lang w:eastAsia="ar-SA"/>
        </w:rPr>
      </w:pPr>
    </w:p>
    <w:p w14:paraId="5BC30BF3" w14:textId="77777777" w:rsidR="00F14BD2" w:rsidRPr="00272D6C" w:rsidRDefault="00F14BD2" w:rsidP="00272D6C">
      <w:pPr>
        <w:suppressAutoHyphens/>
        <w:spacing w:before="120" w:after="120"/>
        <w:rPr>
          <w:rFonts w:eastAsia="細明體" w:cs="Segoe UI"/>
          <w:sz w:val="22"/>
          <w:lang w:eastAsia="ar-SA"/>
        </w:rPr>
      </w:pPr>
    </w:p>
    <w:tbl>
      <w:tblPr>
        <w:tblW w:w="9214" w:type="dxa"/>
        <w:tblInd w:w="-459" w:type="dxa"/>
        <w:tblLayout w:type="fixed"/>
        <w:tblLook w:val="0000" w:firstRow="0" w:lastRow="0" w:firstColumn="0" w:lastColumn="0" w:noHBand="0" w:noVBand="0"/>
      </w:tblPr>
      <w:tblGrid>
        <w:gridCol w:w="301"/>
        <w:gridCol w:w="1115"/>
        <w:gridCol w:w="1135"/>
        <w:gridCol w:w="1135"/>
        <w:gridCol w:w="992"/>
        <w:gridCol w:w="1205"/>
        <w:gridCol w:w="1205"/>
        <w:gridCol w:w="1276"/>
        <w:gridCol w:w="850"/>
      </w:tblGrid>
      <w:tr w:rsidR="00272D6C" w:rsidRPr="00272D6C" w14:paraId="6033B83B" w14:textId="77777777" w:rsidTr="005171C5">
        <w:trPr>
          <w:cantSplit/>
          <w:trHeight w:val="249"/>
        </w:trPr>
        <w:tc>
          <w:tcPr>
            <w:tcW w:w="301" w:type="dxa"/>
            <w:shd w:val="clear" w:color="auto" w:fill="auto"/>
            <w:vAlign w:val="center"/>
          </w:tcPr>
          <w:p w14:paraId="0B2F187E"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p>
        </w:tc>
        <w:tc>
          <w:tcPr>
            <w:tcW w:w="1115" w:type="dxa"/>
            <w:shd w:val="clear" w:color="auto" w:fill="auto"/>
            <w:vAlign w:val="center"/>
          </w:tcPr>
          <w:p w14:paraId="28CB47DB"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p>
        </w:tc>
        <w:tc>
          <w:tcPr>
            <w:tcW w:w="1135" w:type="dxa"/>
            <w:tcBorders>
              <w:top w:val="single" w:sz="4" w:space="0" w:color="000000"/>
              <w:left w:val="single" w:sz="4" w:space="0" w:color="000000"/>
              <w:bottom w:val="single" w:sz="4" w:space="0" w:color="000000"/>
            </w:tcBorders>
            <w:shd w:val="clear" w:color="auto" w:fill="auto"/>
            <w:vAlign w:val="center"/>
          </w:tcPr>
          <w:p w14:paraId="19906B3C"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r w:rsidRPr="00272D6C">
              <w:rPr>
                <w:rFonts w:eastAsia="細明體" w:cs="Segoe UI"/>
                <w:sz w:val="17"/>
                <w:szCs w:val="17"/>
                <w:lang w:eastAsia="ar-SA"/>
              </w:rPr>
              <w:t>(a)</w:t>
            </w:r>
          </w:p>
        </w:tc>
        <w:tc>
          <w:tcPr>
            <w:tcW w:w="1135" w:type="dxa"/>
            <w:tcBorders>
              <w:top w:val="single" w:sz="4" w:space="0" w:color="000000"/>
              <w:left w:val="single" w:sz="4" w:space="0" w:color="000000"/>
              <w:bottom w:val="single" w:sz="4" w:space="0" w:color="000000"/>
            </w:tcBorders>
            <w:shd w:val="clear" w:color="auto" w:fill="auto"/>
            <w:vAlign w:val="center"/>
          </w:tcPr>
          <w:p w14:paraId="546EABFF"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r w:rsidRPr="00272D6C">
              <w:rPr>
                <w:rFonts w:eastAsia="細明體" w:cs="Segoe UI"/>
                <w:sz w:val="17"/>
                <w:szCs w:val="17"/>
                <w:lang w:eastAsia="ar-SA"/>
              </w:rPr>
              <w:t>(b)</w:t>
            </w:r>
          </w:p>
        </w:tc>
        <w:tc>
          <w:tcPr>
            <w:tcW w:w="992" w:type="dxa"/>
            <w:tcBorders>
              <w:top w:val="single" w:sz="4" w:space="0" w:color="000000"/>
              <w:left w:val="single" w:sz="4" w:space="0" w:color="000000"/>
              <w:bottom w:val="single" w:sz="4" w:space="0" w:color="000000"/>
            </w:tcBorders>
            <w:shd w:val="clear" w:color="auto" w:fill="auto"/>
            <w:vAlign w:val="center"/>
          </w:tcPr>
          <w:p w14:paraId="34C92F41"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r w:rsidRPr="00272D6C">
              <w:rPr>
                <w:rFonts w:eastAsia="細明體" w:cs="Segoe UI"/>
                <w:sz w:val="17"/>
                <w:szCs w:val="17"/>
                <w:lang w:eastAsia="ar-SA"/>
              </w:rPr>
              <w:t>(c)</w:t>
            </w:r>
          </w:p>
        </w:tc>
        <w:tc>
          <w:tcPr>
            <w:tcW w:w="1205" w:type="dxa"/>
            <w:tcBorders>
              <w:top w:val="single" w:sz="4" w:space="0" w:color="000000"/>
              <w:left w:val="single" w:sz="4" w:space="0" w:color="000000"/>
              <w:bottom w:val="single" w:sz="4" w:space="0" w:color="000000"/>
            </w:tcBorders>
          </w:tcPr>
          <w:p w14:paraId="25268D62" w14:textId="77777777" w:rsidR="00272D6C" w:rsidRPr="00272D6C" w:rsidRDefault="00272D6C" w:rsidP="00272D6C">
            <w:pPr>
              <w:keepNext/>
              <w:suppressAutoHyphens/>
              <w:snapToGrid w:val="0"/>
              <w:spacing w:before="20" w:after="20"/>
              <w:ind w:left="-250" w:firstLine="250"/>
              <w:jc w:val="center"/>
              <w:rPr>
                <w:rFonts w:eastAsia="細明體" w:cs="Segoe UI"/>
                <w:sz w:val="17"/>
                <w:szCs w:val="17"/>
                <w:lang w:eastAsia="ar-SA"/>
              </w:rPr>
            </w:pPr>
            <w:r w:rsidRPr="00272D6C">
              <w:rPr>
                <w:rFonts w:eastAsia="細明體" w:cs="Segoe UI"/>
                <w:sz w:val="17"/>
                <w:szCs w:val="17"/>
                <w:lang w:eastAsia="ar-SA"/>
              </w:rPr>
              <w:t>(d)</w:t>
            </w:r>
          </w:p>
        </w:tc>
        <w:tc>
          <w:tcPr>
            <w:tcW w:w="1205" w:type="dxa"/>
            <w:tcBorders>
              <w:top w:val="single" w:sz="4" w:space="0" w:color="000000"/>
              <w:left w:val="single" w:sz="4" w:space="0" w:color="000000"/>
              <w:bottom w:val="single" w:sz="4" w:space="0" w:color="000000"/>
              <w:right w:val="single" w:sz="4" w:space="0" w:color="auto"/>
            </w:tcBorders>
          </w:tcPr>
          <w:p w14:paraId="530AA7FD" w14:textId="77777777" w:rsidR="00272D6C" w:rsidRPr="00272D6C" w:rsidRDefault="00272D6C" w:rsidP="00272D6C">
            <w:pPr>
              <w:keepNext/>
              <w:suppressAutoHyphens/>
              <w:snapToGrid w:val="0"/>
              <w:spacing w:before="20" w:after="20"/>
              <w:ind w:left="-250" w:firstLine="250"/>
              <w:jc w:val="center"/>
              <w:rPr>
                <w:rFonts w:eastAsia="細明體" w:cs="Segoe UI"/>
                <w:sz w:val="17"/>
                <w:szCs w:val="17"/>
                <w:lang w:eastAsia="ar-SA"/>
              </w:rPr>
            </w:pPr>
            <w:r w:rsidRPr="00272D6C">
              <w:rPr>
                <w:rFonts w:eastAsia="細明體" w:cs="Segoe UI"/>
                <w:sz w:val="17"/>
                <w:szCs w:val="17"/>
                <w:lang w:eastAsia="ar-SA"/>
              </w:rPr>
              <w:t>(e)</w:t>
            </w:r>
          </w:p>
        </w:tc>
        <w:tc>
          <w:tcPr>
            <w:tcW w:w="1276" w:type="dxa"/>
            <w:tcBorders>
              <w:top w:val="single" w:sz="4" w:space="0" w:color="000000"/>
              <w:left w:val="single" w:sz="4" w:space="0" w:color="auto"/>
              <w:bottom w:val="single" w:sz="4" w:space="0" w:color="000000"/>
            </w:tcBorders>
          </w:tcPr>
          <w:p w14:paraId="5ADB8860" w14:textId="77777777" w:rsidR="00272D6C" w:rsidRPr="00272D6C" w:rsidRDefault="00272D6C" w:rsidP="00272D6C">
            <w:pPr>
              <w:keepNext/>
              <w:suppressAutoHyphens/>
              <w:snapToGrid w:val="0"/>
              <w:spacing w:before="20" w:after="20"/>
              <w:ind w:left="-250" w:firstLine="250"/>
              <w:jc w:val="center"/>
              <w:rPr>
                <w:rFonts w:eastAsia="細明體" w:cs="Segoe UI"/>
                <w:sz w:val="17"/>
                <w:szCs w:val="17"/>
                <w:lang w:eastAsia="ar-SA"/>
              </w:rPr>
            </w:pPr>
            <w:r w:rsidRPr="00272D6C">
              <w:rPr>
                <w:rFonts w:eastAsia="細明體" w:cs="Segoe UI"/>
                <w:sz w:val="17"/>
                <w:szCs w:val="17"/>
                <w:lang w:eastAsia="ar-SA"/>
              </w:rPr>
              <w:t>(f)</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BA132" w14:textId="77777777" w:rsidR="00272D6C" w:rsidRPr="00272D6C" w:rsidRDefault="00272D6C" w:rsidP="00272D6C">
            <w:pPr>
              <w:keepNext/>
              <w:suppressAutoHyphens/>
              <w:snapToGrid w:val="0"/>
              <w:spacing w:before="20" w:after="20"/>
              <w:ind w:left="-250" w:firstLine="250"/>
              <w:jc w:val="center"/>
              <w:rPr>
                <w:rFonts w:cs="Segoe UI"/>
                <w:lang w:eastAsia="ar-SA"/>
              </w:rPr>
            </w:pPr>
            <w:r w:rsidRPr="00272D6C">
              <w:rPr>
                <w:rFonts w:eastAsia="細明體" w:cs="Segoe UI"/>
                <w:sz w:val="17"/>
                <w:szCs w:val="17"/>
                <w:lang w:eastAsia="ar-SA"/>
              </w:rPr>
              <w:t>(</w:t>
            </w:r>
            <w:r w:rsidRPr="00272D6C">
              <w:rPr>
                <w:rFonts w:eastAsia="細明體" w:cs="Segoe UI" w:hint="eastAsia"/>
                <w:sz w:val="17"/>
                <w:szCs w:val="17"/>
                <w:lang w:eastAsia="zh-TW"/>
              </w:rPr>
              <w:t>g</w:t>
            </w:r>
            <w:r w:rsidRPr="00272D6C">
              <w:rPr>
                <w:rFonts w:eastAsia="細明體" w:cs="Segoe UI"/>
                <w:sz w:val="17"/>
                <w:szCs w:val="17"/>
                <w:lang w:eastAsia="ar-SA"/>
              </w:rPr>
              <w:t>)</w:t>
            </w:r>
          </w:p>
        </w:tc>
      </w:tr>
      <w:tr w:rsidR="00272D6C" w:rsidRPr="00272D6C" w14:paraId="3344A180" w14:textId="77777777" w:rsidTr="005171C5">
        <w:trPr>
          <w:cantSplit/>
          <w:trHeight w:val="269"/>
        </w:trPr>
        <w:tc>
          <w:tcPr>
            <w:tcW w:w="301" w:type="dxa"/>
            <w:shd w:val="clear" w:color="auto" w:fill="auto"/>
          </w:tcPr>
          <w:p w14:paraId="3B2F8AB2" w14:textId="77777777" w:rsidR="00272D6C" w:rsidRPr="00272D6C" w:rsidRDefault="00272D6C" w:rsidP="00272D6C">
            <w:pPr>
              <w:suppressAutoHyphens/>
              <w:snapToGrid w:val="0"/>
              <w:spacing w:before="20" w:after="20"/>
              <w:rPr>
                <w:rFonts w:eastAsia="細明體" w:cs="Segoe UI"/>
                <w:sz w:val="17"/>
                <w:szCs w:val="17"/>
                <w:lang w:eastAsia="ar-SA"/>
              </w:rPr>
            </w:pPr>
          </w:p>
        </w:tc>
        <w:tc>
          <w:tcPr>
            <w:tcW w:w="1115" w:type="dxa"/>
            <w:shd w:val="clear" w:color="auto" w:fill="auto"/>
            <w:vAlign w:val="center"/>
          </w:tcPr>
          <w:p w14:paraId="29E8B1A5" w14:textId="77777777" w:rsidR="00272D6C" w:rsidRPr="00272D6C" w:rsidRDefault="00272D6C" w:rsidP="00272D6C">
            <w:pPr>
              <w:keepNext/>
              <w:suppressAutoHyphens/>
              <w:snapToGrid w:val="0"/>
              <w:spacing w:before="20" w:after="20"/>
              <w:rPr>
                <w:rFonts w:eastAsia="細明體" w:cs="Segoe UI"/>
                <w:sz w:val="17"/>
                <w:szCs w:val="17"/>
                <w:lang w:eastAsia="ar-SA"/>
              </w:rPr>
            </w:pPr>
          </w:p>
        </w:tc>
        <w:tc>
          <w:tcPr>
            <w:tcW w:w="2270" w:type="dxa"/>
            <w:gridSpan w:val="2"/>
            <w:tcBorders>
              <w:top w:val="single" w:sz="4" w:space="0" w:color="000000"/>
              <w:left w:val="single" w:sz="4" w:space="0" w:color="000000"/>
              <w:bottom w:val="single" w:sz="4" w:space="0" w:color="000000"/>
            </w:tcBorders>
            <w:shd w:val="clear" w:color="auto" w:fill="auto"/>
            <w:vAlign w:val="center"/>
          </w:tcPr>
          <w:p w14:paraId="5EF3DEC1"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r w:rsidRPr="00272D6C">
              <w:rPr>
                <w:rFonts w:eastAsia="細明體" w:cs="Segoe UI" w:hint="eastAsia"/>
                <w:sz w:val="17"/>
                <w:szCs w:val="17"/>
                <w:lang w:eastAsia="ar-SA"/>
              </w:rPr>
              <w:t>以下項目的總帳面數額</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4CB58DD2"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r w:rsidRPr="00272D6C">
              <w:rPr>
                <w:rFonts w:eastAsia="細明體" w:cs="Segoe UI" w:hint="eastAsia"/>
                <w:sz w:val="17"/>
                <w:szCs w:val="17"/>
                <w:lang w:eastAsia="ar-SA"/>
              </w:rPr>
              <w:t>備抵</w:t>
            </w:r>
            <w:r w:rsidRPr="00272D6C">
              <w:rPr>
                <w:rFonts w:eastAsia="細明體" w:cs="Segoe UI"/>
                <w:sz w:val="17"/>
                <w:szCs w:val="17"/>
                <w:lang w:eastAsia="ar-SA"/>
              </w:rPr>
              <w:t>/</w:t>
            </w:r>
            <w:r w:rsidRPr="00272D6C">
              <w:rPr>
                <w:rFonts w:eastAsia="細明體" w:cs="Segoe UI" w:hint="eastAsia"/>
                <w:sz w:val="17"/>
                <w:szCs w:val="17"/>
                <w:lang w:eastAsia="ar-SA"/>
              </w:rPr>
              <w:t>減值</w:t>
            </w:r>
          </w:p>
        </w:tc>
        <w:tc>
          <w:tcPr>
            <w:tcW w:w="2410" w:type="dxa"/>
            <w:gridSpan w:val="2"/>
            <w:tcBorders>
              <w:top w:val="single" w:sz="4" w:space="0" w:color="000000"/>
              <w:left w:val="single" w:sz="4" w:space="0" w:color="000000"/>
              <w:bottom w:val="single" w:sz="4" w:space="0" w:color="000000"/>
              <w:right w:val="single" w:sz="4" w:space="0" w:color="auto"/>
            </w:tcBorders>
          </w:tcPr>
          <w:p w14:paraId="6C0E86DB"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r w:rsidRPr="00272D6C">
              <w:rPr>
                <w:rFonts w:eastAsia="細明體" w:cs="Segoe UI" w:hint="eastAsia"/>
                <w:sz w:val="17"/>
                <w:szCs w:val="17"/>
                <w:lang w:eastAsia="zh-TW"/>
              </w:rPr>
              <w:t>其中：為</w:t>
            </w:r>
            <w:r w:rsidRPr="00272D6C">
              <w:rPr>
                <w:rFonts w:eastAsia="細明體" w:cs="Segoe UI"/>
                <w:sz w:val="17"/>
                <w:szCs w:val="17"/>
                <w:lang w:eastAsia="zh-TW"/>
              </w:rPr>
              <w:t>STC</w:t>
            </w:r>
            <w:r w:rsidRPr="00272D6C">
              <w:rPr>
                <w:rFonts w:eastAsia="細明體" w:cs="Segoe UI" w:hint="eastAsia"/>
                <w:sz w:val="17"/>
                <w:szCs w:val="17"/>
                <w:lang w:eastAsia="ar-SA"/>
              </w:rPr>
              <w:t>計算法</w:t>
            </w:r>
            <w:r w:rsidRPr="00272D6C">
              <w:rPr>
                <w:rFonts w:eastAsia="細明體" w:cs="Segoe UI"/>
                <w:sz w:val="17"/>
                <w:szCs w:val="17"/>
                <w:lang w:eastAsia="ar-SA"/>
              </w:rPr>
              <w:t>下</w:t>
            </w:r>
            <w:r w:rsidRPr="00272D6C">
              <w:rPr>
                <w:rFonts w:eastAsia="細明體" w:cs="Segoe UI" w:hint="eastAsia"/>
                <w:sz w:val="17"/>
                <w:szCs w:val="17"/>
                <w:lang w:eastAsia="ar-SA"/>
              </w:rPr>
              <w:t>的風險承擔的信用損失而作出的預期信用損失會計準備金</w:t>
            </w:r>
          </w:p>
        </w:tc>
        <w:tc>
          <w:tcPr>
            <w:tcW w:w="1276" w:type="dxa"/>
            <w:vMerge w:val="restart"/>
            <w:tcBorders>
              <w:top w:val="single" w:sz="4" w:space="0" w:color="000000"/>
              <w:left w:val="single" w:sz="4" w:space="0" w:color="auto"/>
            </w:tcBorders>
          </w:tcPr>
          <w:p w14:paraId="04586A09" w14:textId="77777777" w:rsidR="00272D6C" w:rsidRPr="00272D6C" w:rsidRDefault="00272D6C" w:rsidP="00272D6C">
            <w:pPr>
              <w:keepNext/>
              <w:suppressAutoHyphens/>
              <w:snapToGrid w:val="0"/>
              <w:spacing w:before="20" w:after="20"/>
              <w:jc w:val="center"/>
              <w:rPr>
                <w:rFonts w:eastAsia="細明體" w:cs="Segoe UI"/>
                <w:sz w:val="17"/>
                <w:szCs w:val="17"/>
                <w:lang w:eastAsia="ar-SA"/>
              </w:rPr>
            </w:pPr>
            <w:r w:rsidRPr="00272D6C">
              <w:rPr>
                <w:rFonts w:eastAsia="細明體" w:cs="Segoe UI" w:hint="eastAsia"/>
                <w:sz w:val="17"/>
                <w:szCs w:val="17"/>
                <w:lang w:eastAsia="zh-TW"/>
              </w:rPr>
              <w:t>其中：為</w:t>
            </w:r>
            <w:r w:rsidRPr="00272D6C">
              <w:rPr>
                <w:rFonts w:eastAsia="細明體" w:cs="Segoe UI" w:hint="eastAsia"/>
                <w:sz w:val="17"/>
                <w:szCs w:val="17"/>
                <w:lang w:eastAsia="zh-TW"/>
              </w:rPr>
              <w:t>IRB</w:t>
            </w:r>
            <w:r w:rsidRPr="00272D6C">
              <w:rPr>
                <w:rFonts w:eastAsia="細明體" w:cs="Segoe UI" w:hint="eastAsia"/>
                <w:sz w:val="17"/>
                <w:szCs w:val="17"/>
                <w:lang w:eastAsia="ar-SA"/>
              </w:rPr>
              <w:t>計算法</w:t>
            </w:r>
            <w:r w:rsidRPr="00272D6C">
              <w:rPr>
                <w:rFonts w:eastAsia="細明體" w:cs="Segoe UI"/>
                <w:sz w:val="17"/>
                <w:szCs w:val="17"/>
                <w:lang w:eastAsia="ar-SA"/>
              </w:rPr>
              <w:t>下</w:t>
            </w:r>
            <w:r w:rsidRPr="00272D6C">
              <w:rPr>
                <w:rFonts w:eastAsia="細明體" w:cs="Segoe UI" w:hint="eastAsia"/>
                <w:sz w:val="17"/>
                <w:szCs w:val="17"/>
                <w:lang w:eastAsia="ar-SA"/>
              </w:rPr>
              <w:t>的風險承擔的信用損失而作出的預期信用損失會計準備金</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E89317" w14:textId="77777777" w:rsidR="00272D6C" w:rsidRPr="00272D6C" w:rsidRDefault="00272D6C" w:rsidP="00272D6C">
            <w:pPr>
              <w:keepNext/>
              <w:suppressAutoHyphens/>
              <w:snapToGrid w:val="0"/>
              <w:spacing w:before="20" w:after="20"/>
              <w:ind w:left="-250" w:firstLine="250"/>
              <w:jc w:val="center"/>
              <w:rPr>
                <w:rFonts w:eastAsia="細明體" w:cs="Segoe UI"/>
                <w:sz w:val="17"/>
                <w:szCs w:val="17"/>
                <w:lang w:eastAsia="ar-SA"/>
              </w:rPr>
            </w:pPr>
            <w:r w:rsidRPr="00272D6C">
              <w:rPr>
                <w:rFonts w:eastAsia="細明體" w:cs="Segoe UI" w:hint="eastAsia"/>
                <w:sz w:val="17"/>
                <w:szCs w:val="17"/>
                <w:lang w:eastAsia="ar-SA"/>
              </w:rPr>
              <w:t>淨值</w:t>
            </w:r>
          </w:p>
          <w:p w14:paraId="4B5FBF8F" w14:textId="77777777" w:rsidR="00272D6C" w:rsidRPr="00272D6C" w:rsidRDefault="00272D6C" w:rsidP="00272D6C">
            <w:pPr>
              <w:keepNext/>
              <w:suppressAutoHyphens/>
              <w:snapToGrid w:val="0"/>
              <w:spacing w:before="20" w:after="20"/>
              <w:ind w:left="-250" w:firstLine="250"/>
              <w:jc w:val="center"/>
              <w:rPr>
                <w:rFonts w:cs="Segoe UI"/>
                <w:lang w:eastAsia="ar-SA"/>
              </w:rPr>
            </w:pPr>
            <w:r w:rsidRPr="00272D6C">
              <w:rPr>
                <w:rFonts w:eastAsia="細明體" w:cs="Segoe UI"/>
                <w:sz w:val="17"/>
                <w:szCs w:val="17"/>
                <w:lang w:eastAsia="ar-SA"/>
              </w:rPr>
              <w:t>(</w:t>
            </w:r>
            <w:proofErr w:type="spellStart"/>
            <w:r w:rsidRPr="00272D6C">
              <w:rPr>
                <w:rFonts w:eastAsia="細明體" w:cs="Segoe UI"/>
                <w:sz w:val="17"/>
                <w:szCs w:val="17"/>
                <w:lang w:eastAsia="ar-SA"/>
              </w:rPr>
              <w:t>a+b-c</w:t>
            </w:r>
            <w:proofErr w:type="spellEnd"/>
            <w:r w:rsidRPr="00272D6C">
              <w:rPr>
                <w:rFonts w:eastAsia="細明體" w:cs="Segoe UI"/>
                <w:sz w:val="17"/>
                <w:szCs w:val="17"/>
                <w:lang w:eastAsia="ar-SA"/>
              </w:rPr>
              <w:t>)</w:t>
            </w:r>
          </w:p>
        </w:tc>
      </w:tr>
      <w:tr w:rsidR="00272D6C" w:rsidRPr="00272D6C" w14:paraId="1383D97F" w14:textId="77777777" w:rsidTr="005171C5">
        <w:trPr>
          <w:cantSplit/>
          <w:trHeight w:val="398"/>
        </w:trPr>
        <w:tc>
          <w:tcPr>
            <w:tcW w:w="301" w:type="dxa"/>
            <w:shd w:val="clear" w:color="auto" w:fill="auto"/>
          </w:tcPr>
          <w:p w14:paraId="6AF46917"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val="fr-FR" w:eastAsia="ar-SA"/>
              </w:rPr>
            </w:pPr>
          </w:p>
        </w:tc>
        <w:tc>
          <w:tcPr>
            <w:tcW w:w="1115" w:type="dxa"/>
            <w:shd w:val="clear" w:color="auto" w:fill="auto"/>
          </w:tcPr>
          <w:p w14:paraId="3D707D09"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val="fr-FR" w:eastAsia="ar-SA"/>
              </w:rPr>
            </w:pPr>
          </w:p>
        </w:tc>
        <w:tc>
          <w:tcPr>
            <w:tcW w:w="1135" w:type="dxa"/>
            <w:tcBorders>
              <w:top w:val="single" w:sz="4" w:space="0" w:color="000000"/>
              <w:left w:val="single" w:sz="4" w:space="0" w:color="000000"/>
              <w:bottom w:val="single" w:sz="4" w:space="0" w:color="000000"/>
            </w:tcBorders>
            <w:shd w:val="clear" w:color="auto" w:fill="auto"/>
            <w:vAlign w:val="center"/>
          </w:tcPr>
          <w:p w14:paraId="1F79887B" w14:textId="21FE4996" w:rsidR="00272D6C" w:rsidRPr="00272D6C" w:rsidRDefault="00272D6C" w:rsidP="00CB064A">
            <w:pPr>
              <w:keepNext/>
              <w:tabs>
                <w:tab w:val="left" w:pos="397"/>
                <w:tab w:val="left" w:pos="794"/>
                <w:tab w:val="left" w:pos="1191"/>
              </w:tabs>
              <w:suppressAutoHyphens/>
              <w:snapToGrid w:val="0"/>
              <w:spacing w:before="20" w:after="20"/>
              <w:jc w:val="center"/>
              <w:rPr>
                <w:rFonts w:eastAsia="細明體" w:cs="Segoe UI"/>
                <w:sz w:val="17"/>
                <w:szCs w:val="17"/>
                <w:lang w:eastAsia="ar-SA"/>
              </w:rPr>
            </w:pPr>
            <w:r w:rsidRPr="00272D6C">
              <w:rPr>
                <w:rFonts w:eastAsia="細明體" w:cs="Segoe UI" w:hint="eastAsia"/>
                <w:sz w:val="17"/>
                <w:szCs w:val="17"/>
                <w:lang w:eastAsia="ar-SA"/>
              </w:rPr>
              <w:t>違責風險承擔</w:t>
            </w:r>
          </w:p>
        </w:tc>
        <w:tc>
          <w:tcPr>
            <w:tcW w:w="1135" w:type="dxa"/>
            <w:tcBorders>
              <w:top w:val="single" w:sz="4" w:space="0" w:color="000000"/>
              <w:left w:val="single" w:sz="4" w:space="0" w:color="000000"/>
              <w:bottom w:val="single" w:sz="4" w:space="0" w:color="000000"/>
            </w:tcBorders>
            <w:shd w:val="clear" w:color="auto" w:fill="auto"/>
            <w:vAlign w:val="center"/>
          </w:tcPr>
          <w:p w14:paraId="147591BB" w14:textId="3359BD4F" w:rsidR="00272D6C" w:rsidRPr="00272D6C" w:rsidRDefault="00272D6C" w:rsidP="00CB064A">
            <w:pPr>
              <w:keepNext/>
              <w:tabs>
                <w:tab w:val="left" w:pos="397"/>
                <w:tab w:val="left" w:pos="794"/>
                <w:tab w:val="left" w:pos="1191"/>
              </w:tabs>
              <w:suppressAutoHyphens/>
              <w:snapToGrid w:val="0"/>
              <w:spacing w:before="20" w:after="20"/>
              <w:jc w:val="center"/>
              <w:rPr>
                <w:rFonts w:eastAsia="細明體" w:cs="Segoe UI"/>
                <w:sz w:val="17"/>
                <w:szCs w:val="17"/>
                <w:lang w:eastAsia="ar-SA"/>
              </w:rPr>
            </w:pPr>
            <w:r w:rsidRPr="00272D6C">
              <w:rPr>
                <w:rFonts w:eastAsia="細明體" w:cs="Segoe UI" w:hint="eastAsia"/>
                <w:sz w:val="17"/>
                <w:szCs w:val="17"/>
                <w:lang w:eastAsia="ar-SA"/>
              </w:rPr>
              <w:t>非違責風險承擔</w:t>
            </w:r>
          </w:p>
        </w:tc>
        <w:tc>
          <w:tcPr>
            <w:tcW w:w="992" w:type="dxa"/>
            <w:vMerge/>
            <w:tcBorders>
              <w:top w:val="single" w:sz="4" w:space="0" w:color="000000"/>
              <w:left w:val="single" w:sz="4" w:space="0" w:color="000000"/>
              <w:bottom w:val="single" w:sz="4" w:space="0" w:color="000000"/>
            </w:tcBorders>
            <w:shd w:val="clear" w:color="auto" w:fill="auto"/>
            <w:vAlign w:val="center"/>
          </w:tcPr>
          <w:p w14:paraId="7D646B80" w14:textId="77777777" w:rsidR="00272D6C" w:rsidRPr="00272D6C" w:rsidRDefault="00272D6C" w:rsidP="00272D6C">
            <w:pPr>
              <w:keepNext/>
              <w:tabs>
                <w:tab w:val="left" w:pos="397"/>
                <w:tab w:val="left" w:pos="794"/>
                <w:tab w:val="left" w:pos="1191"/>
              </w:tabs>
              <w:suppressAutoHyphens/>
              <w:snapToGrid w:val="0"/>
              <w:spacing w:before="20" w:after="20"/>
              <w:jc w:val="center"/>
              <w:rPr>
                <w:rFonts w:eastAsia="細明體" w:cs="Segoe UI"/>
                <w:sz w:val="17"/>
                <w:szCs w:val="17"/>
                <w:lang w:eastAsia="ar-SA"/>
              </w:rPr>
            </w:pPr>
          </w:p>
        </w:tc>
        <w:tc>
          <w:tcPr>
            <w:tcW w:w="1205" w:type="dxa"/>
            <w:tcBorders>
              <w:top w:val="single" w:sz="4" w:space="0" w:color="000000"/>
              <w:left w:val="single" w:sz="4" w:space="0" w:color="000000"/>
              <w:bottom w:val="single" w:sz="4" w:space="0" w:color="000000"/>
            </w:tcBorders>
          </w:tcPr>
          <w:p w14:paraId="107D1307" w14:textId="77777777" w:rsidR="00272D6C" w:rsidRPr="00272D6C" w:rsidRDefault="00272D6C" w:rsidP="00272D6C">
            <w:pPr>
              <w:keepNext/>
              <w:tabs>
                <w:tab w:val="left" w:pos="397"/>
                <w:tab w:val="left" w:pos="794"/>
                <w:tab w:val="left" w:pos="1191"/>
              </w:tabs>
              <w:suppressAutoHyphens/>
              <w:snapToGrid w:val="0"/>
              <w:spacing w:before="20" w:after="20"/>
              <w:ind w:left="-250" w:firstLine="250"/>
              <w:jc w:val="center"/>
              <w:rPr>
                <w:rFonts w:eastAsia="細明體" w:cs="Segoe UI"/>
                <w:sz w:val="17"/>
                <w:szCs w:val="17"/>
                <w:lang w:eastAsia="zh-TW"/>
              </w:rPr>
            </w:pPr>
            <w:r w:rsidRPr="00272D6C">
              <w:rPr>
                <w:rFonts w:eastAsia="細明體" w:cs="Segoe UI" w:hint="eastAsia"/>
                <w:sz w:val="17"/>
                <w:szCs w:val="17"/>
                <w:lang w:eastAsia="ar-SA"/>
              </w:rPr>
              <w:t>分配</w:t>
            </w:r>
            <w:r w:rsidRPr="00272D6C">
              <w:rPr>
                <w:rFonts w:eastAsia="細明體" w:cs="Segoe UI" w:hint="eastAsia"/>
                <w:sz w:val="17"/>
                <w:szCs w:val="17"/>
                <w:lang w:eastAsia="zh-TW"/>
              </w:rPr>
              <w:t>於</w:t>
            </w:r>
          </w:p>
          <w:p w14:paraId="294F9B08" w14:textId="77777777" w:rsidR="00272D6C" w:rsidRPr="00272D6C" w:rsidRDefault="00272D6C" w:rsidP="00272D6C">
            <w:pPr>
              <w:keepNext/>
              <w:tabs>
                <w:tab w:val="left" w:pos="397"/>
                <w:tab w:val="left" w:pos="794"/>
                <w:tab w:val="left" w:pos="1191"/>
              </w:tabs>
              <w:suppressAutoHyphens/>
              <w:snapToGrid w:val="0"/>
              <w:spacing w:before="20" w:after="20"/>
              <w:jc w:val="center"/>
              <w:rPr>
                <w:rFonts w:eastAsia="細明體" w:cs="Segoe UI"/>
                <w:sz w:val="17"/>
                <w:szCs w:val="17"/>
                <w:lang w:eastAsia="ar-SA"/>
              </w:rPr>
            </w:pPr>
            <w:r w:rsidRPr="00272D6C">
              <w:rPr>
                <w:rFonts w:eastAsia="細明體" w:cs="Segoe UI" w:hint="eastAsia"/>
                <w:sz w:val="17"/>
                <w:szCs w:val="17"/>
                <w:lang w:eastAsia="zh-TW"/>
              </w:rPr>
              <w:t>監管類別</w:t>
            </w:r>
            <w:r w:rsidRPr="00272D6C">
              <w:rPr>
                <w:rFonts w:eastAsia="細明體" w:cs="Segoe UI" w:hint="eastAsia"/>
                <w:sz w:val="17"/>
                <w:szCs w:val="17"/>
                <w:lang w:eastAsia="ar-SA"/>
              </w:rPr>
              <w:t>的特定準備金</w:t>
            </w:r>
          </w:p>
        </w:tc>
        <w:tc>
          <w:tcPr>
            <w:tcW w:w="1205" w:type="dxa"/>
            <w:tcBorders>
              <w:top w:val="single" w:sz="4" w:space="0" w:color="000000"/>
              <w:left w:val="single" w:sz="4" w:space="0" w:color="000000"/>
              <w:bottom w:val="single" w:sz="4" w:space="0" w:color="000000"/>
              <w:right w:val="single" w:sz="4" w:space="0" w:color="auto"/>
            </w:tcBorders>
          </w:tcPr>
          <w:p w14:paraId="6DFB512E" w14:textId="77777777" w:rsidR="00272D6C" w:rsidRPr="00272D6C" w:rsidRDefault="00272D6C" w:rsidP="00272D6C">
            <w:pPr>
              <w:keepNext/>
              <w:tabs>
                <w:tab w:val="left" w:pos="397"/>
                <w:tab w:val="left" w:pos="794"/>
                <w:tab w:val="left" w:pos="1191"/>
              </w:tabs>
              <w:suppressAutoHyphens/>
              <w:snapToGrid w:val="0"/>
              <w:spacing w:before="20" w:after="20"/>
              <w:ind w:left="-250" w:firstLine="250"/>
              <w:jc w:val="center"/>
              <w:rPr>
                <w:rFonts w:eastAsia="細明體" w:cs="Segoe UI"/>
                <w:sz w:val="17"/>
                <w:szCs w:val="17"/>
                <w:lang w:eastAsia="zh-TW"/>
              </w:rPr>
            </w:pPr>
            <w:r w:rsidRPr="00272D6C">
              <w:rPr>
                <w:rFonts w:eastAsia="細明體" w:cs="Segoe UI" w:hint="eastAsia"/>
                <w:sz w:val="17"/>
                <w:szCs w:val="17"/>
                <w:lang w:eastAsia="ar-SA"/>
              </w:rPr>
              <w:t>分配</w:t>
            </w:r>
            <w:r w:rsidRPr="00272D6C">
              <w:rPr>
                <w:rFonts w:eastAsia="細明體" w:cs="Segoe UI" w:hint="eastAsia"/>
                <w:sz w:val="17"/>
                <w:szCs w:val="17"/>
                <w:lang w:eastAsia="zh-TW"/>
              </w:rPr>
              <w:t>於</w:t>
            </w:r>
          </w:p>
          <w:p w14:paraId="5D66324B" w14:textId="77777777" w:rsidR="00272D6C" w:rsidRPr="00272D6C" w:rsidRDefault="00272D6C" w:rsidP="00272D6C">
            <w:pPr>
              <w:keepNext/>
              <w:tabs>
                <w:tab w:val="left" w:pos="397"/>
                <w:tab w:val="left" w:pos="794"/>
                <w:tab w:val="left" w:pos="1191"/>
              </w:tabs>
              <w:suppressAutoHyphens/>
              <w:snapToGrid w:val="0"/>
              <w:spacing w:before="20" w:after="20"/>
              <w:jc w:val="center"/>
              <w:rPr>
                <w:rFonts w:eastAsia="細明體" w:cs="Segoe UI"/>
                <w:sz w:val="17"/>
                <w:szCs w:val="17"/>
                <w:lang w:eastAsia="zh-TW"/>
              </w:rPr>
            </w:pPr>
            <w:r w:rsidRPr="00272D6C">
              <w:rPr>
                <w:rFonts w:eastAsia="細明體" w:cs="Segoe UI" w:hint="eastAsia"/>
                <w:sz w:val="17"/>
                <w:szCs w:val="17"/>
                <w:lang w:eastAsia="zh-TW"/>
              </w:rPr>
              <w:t>監管類別</w:t>
            </w:r>
            <w:r w:rsidRPr="00272D6C">
              <w:rPr>
                <w:rFonts w:eastAsia="細明體" w:cs="Segoe UI" w:hint="eastAsia"/>
                <w:sz w:val="17"/>
                <w:szCs w:val="17"/>
                <w:lang w:eastAsia="ar-SA"/>
              </w:rPr>
              <w:t>的集體準備金</w:t>
            </w:r>
          </w:p>
        </w:tc>
        <w:tc>
          <w:tcPr>
            <w:tcW w:w="1276" w:type="dxa"/>
            <w:vMerge/>
            <w:tcBorders>
              <w:left w:val="single" w:sz="4" w:space="0" w:color="auto"/>
              <w:bottom w:val="single" w:sz="4" w:space="0" w:color="000000"/>
            </w:tcBorders>
          </w:tcPr>
          <w:p w14:paraId="34A44655" w14:textId="77777777" w:rsidR="00272D6C" w:rsidRPr="00272D6C" w:rsidRDefault="00272D6C" w:rsidP="00272D6C">
            <w:pPr>
              <w:keepNext/>
              <w:tabs>
                <w:tab w:val="left" w:pos="397"/>
                <w:tab w:val="left" w:pos="794"/>
                <w:tab w:val="left" w:pos="1191"/>
              </w:tabs>
              <w:suppressAutoHyphens/>
              <w:snapToGrid w:val="0"/>
              <w:spacing w:before="20" w:after="20"/>
              <w:ind w:left="-250" w:firstLine="250"/>
              <w:jc w:val="center"/>
              <w:rPr>
                <w:rFonts w:eastAsia="細明體" w:cs="Segoe UI"/>
                <w:sz w:val="17"/>
                <w:szCs w:val="17"/>
                <w:lang w:eastAsia="ar-SA"/>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AF19D" w14:textId="77777777" w:rsidR="00272D6C" w:rsidRPr="00272D6C" w:rsidRDefault="00272D6C" w:rsidP="00272D6C">
            <w:pPr>
              <w:keepNext/>
              <w:tabs>
                <w:tab w:val="left" w:pos="397"/>
                <w:tab w:val="left" w:pos="794"/>
                <w:tab w:val="left" w:pos="1191"/>
              </w:tabs>
              <w:suppressAutoHyphens/>
              <w:snapToGrid w:val="0"/>
              <w:spacing w:before="20" w:after="20"/>
              <w:ind w:left="-250" w:firstLine="250"/>
              <w:jc w:val="center"/>
              <w:rPr>
                <w:rFonts w:eastAsia="細明體" w:cs="Segoe UI"/>
                <w:sz w:val="17"/>
                <w:szCs w:val="17"/>
                <w:lang w:eastAsia="ar-SA"/>
              </w:rPr>
            </w:pPr>
          </w:p>
        </w:tc>
      </w:tr>
      <w:tr w:rsidR="00272D6C" w:rsidRPr="00272D6C" w14:paraId="52493A51" w14:textId="77777777" w:rsidTr="005171C5">
        <w:trPr>
          <w:cantSplit/>
          <w:trHeight w:val="293"/>
        </w:trPr>
        <w:tc>
          <w:tcPr>
            <w:tcW w:w="301" w:type="dxa"/>
            <w:tcBorders>
              <w:top w:val="single" w:sz="4" w:space="0" w:color="000000"/>
              <w:bottom w:val="single" w:sz="4" w:space="0" w:color="C0C0C0"/>
            </w:tcBorders>
            <w:shd w:val="clear" w:color="auto" w:fill="auto"/>
            <w:vAlign w:val="center"/>
          </w:tcPr>
          <w:p w14:paraId="443B9F39"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r w:rsidRPr="00272D6C">
              <w:rPr>
                <w:rFonts w:eastAsia="細明體" w:cs="Segoe UI"/>
                <w:sz w:val="17"/>
                <w:szCs w:val="17"/>
                <w:lang w:eastAsia="ar-SA"/>
              </w:rPr>
              <w:t>1</w:t>
            </w:r>
          </w:p>
        </w:tc>
        <w:tc>
          <w:tcPr>
            <w:tcW w:w="1115" w:type="dxa"/>
            <w:tcBorders>
              <w:top w:val="single" w:sz="4" w:space="0" w:color="000000"/>
              <w:left w:val="single" w:sz="4" w:space="0" w:color="000000"/>
              <w:bottom w:val="single" w:sz="4" w:space="0" w:color="C0C0C0"/>
            </w:tcBorders>
            <w:shd w:val="clear" w:color="auto" w:fill="auto"/>
            <w:vAlign w:val="center"/>
          </w:tcPr>
          <w:p w14:paraId="3E582F7D"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r w:rsidRPr="00272D6C">
              <w:rPr>
                <w:rFonts w:eastAsia="細明體" w:cs="Segoe UI" w:hint="eastAsia"/>
                <w:sz w:val="17"/>
                <w:szCs w:val="17"/>
                <w:lang w:eastAsia="ar-SA"/>
              </w:rPr>
              <w:t>貸款</w:t>
            </w:r>
          </w:p>
        </w:tc>
        <w:tc>
          <w:tcPr>
            <w:tcW w:w="1135" w:type="dxa"/>
            <w:tcBorders>
              <w:top w:val="single" w:sz="4" w:space="0" w:color="000000"/>
              <w:left w:val="single" w:sz="4" w:space="0" w:color="000000"/>
              <w:bottom w:val="single" w:sz="4" w:space="0" w:color="C0C0C0"/>
            </w:tcBorders>
            <w:shd w:val="clear" w:color="auto" w:fill="auto"/>
            <w:vAlign w:val="center"/>
          </w:tcPr>
          <w:p w14:paraId="5822A9D2"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135" w:type="dxa"/>
            <w:tcBorders>
              <w:top w:val="single" w:sz="4" w:space="0" w:color="000000"/>
              <w:left w:val="single" w:sz="4" w:space="0" w:color="000000"/>
              <w:bottom w:val="single" w:sz="4" w:space="0" w:color="C0C0C0"/>
            </w:tcBorders>
            <w:shd w:val="clear" w:color="auto" w:fill="auto"/>
            <w:vAlign w:val="center"/>
          </w:tcPr>
          <w:p w14:paraId="44D9CE35"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992" w:type="dxa"/>
            <w:tcBorders>
              <w:top w:val="single" w:sz="4" w:space="0" w:color="000000"/>
              <w:left w:val="single" w:sz="4" w:space="0" w:color="000000"/>
              <w:bottom w:val="single" w:sz="4" w:space="0" w:color="C0C0C0"/>
            </w:tcBorders>
            <w:shd w:val="clear" w:color="auto" w:fill="auto"/>
            <w:vAlign w:val="center"/>
          </w:tcPr>
          <w:p w14:paraId="72C896D3"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205" w:type="dxa"/>
            <w:tcBorders>
              <w:top w:val="single" w:sz="4" w:space="0" w:color="000000"/>
              <w:left w:val="single" w:sz="4" w:space="0" w:color="000000"/>
              <w:bottom w:val="single" w:sz="4" w:space="0" w:color="C0C0C0"/>
            </w:tcBorders>
          </w:tcPr>
          <w:p w14:paraId="144F191C"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205" w:type="dxa"/>
            <w:tcBorders>
              <w:top w:val="single" w:sz="4" w:space="0" w:color="000000"/>
              <w:left w:val="single" w:sz="4" w:space="0" w:color="000000"/>
              <w:bottom w:val="single" w:sz="4" w:space="0" w:color="C0C0C0"/>
              <w:right w:val="single" w:sz="4" w:space="0" w:color="000000"/>
            </w:tcBorders>
          </w:tcPr>
          <w:p w14:paraId="398315C6"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276" w:type="dxa"/>
            <w:tcBorders>
              <w:top w:val="single" w:sz="4" w:space="0" w:color="000000"/>
              <w:left w:val="single" w:sz="4" w:space="0" w:color="000000"/>
              <w:bottom w:val="single" w:sz="4" w:space="0" w:color="C0C0C0"/>
            </w:tcBorders>
          </w:tcPr>
          <w:p w14:paraId="74E71528"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850" w:type="dxa"/>
            <w:tcBorders>
              <w:top w:val="single" w:sz="4" w:space="0" w:color="000000"/>
              <w:left w:val="single" w:sz="4" w:space="0" w:color="000000"/>
              <w:bottom w:val="single" w:sz="4" w:space="0" w:color="C0C0C0"/>
              <w:right w:val="single" w:sz="4" w:space="0" w:color="000000"/>
            </w:tcBorders>
            <w:shd w:val="clear" w:color="auto" w:fill="auto"/>
            <w:vAlign w:val="center"/>
          </w:tcPr>
          <w:p w14:paraId="6023A3A1"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r>
      <w:tr w:rsidR="00272D6C" w:rsidRPr="00272D6C" w14:paraId="4C6FDAE6" w14:textId="77777777" w:rsidTr="005171C5">
        <w:trPr>
          <w:cantSplit/>
          <w:trHeight w:val="269"/>
        </w:trPr>
        <w:tc>
          <w:tcPr>
            <w:tcW w:w="301" w:type="dxa"/>
            <w:tcBorders>
              <w:top w:val="single" w:sz="4" w:space="0" w:color="C0C0C0"/>
              <w:bottom w:val="single" w:sz="4" w:space="0" w:color="C0C0C0"/>
            </w:tcBorders>
            <w:shd w:val="clear" w:color="auto" w:fill="auto"/>
            <w:vAlign w:val="center"/>
          </w:tcPr>
          <w:p w14:paraId="5E4F25AB"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val="en-US" w:eastAsia="ar-SA"/>
              </w:rPr>
            </w:pPr>
            <w:r w:rsidRPr="00272D6C">
              <w:rPr>
                <w:rFonts w:eastAsia="細明體" w:cs="Segoe UI"/>
                <w:sz w:val="17"/>
                <w:szCs w:val="17"/>
                <w:lang w:eastAsia="ar-SA"/>
              </w:rPr>
              <w:t>2</w:t>
            </w:r>
          </w:p>
        </w:tc>
        <w:tc>
          <w:tcPr>
            <w:tcW w:w="1115" w:type="dxa"/>
            <w:tcBorders>
              <w:top w:val="single" w:sz="4" w:space="0" w:color="C0C0C0"/>
              <w:left w:val="single" w:sz="4" w:space="0" w:color="000000"/>
              <w:bottom w:val="single" w:sz="4" w:space="0" w:color="C0C0C0"/>
            </w:tcBorders>
            <w:shd w:val="clear" w:color="auto" w:fill="auto"/>
            <w:vAlign w:val="center"/>
          </w:tcPr>
          <w:p w14:paraId="1D64EEB5"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r w:rsidRPr="00272D6C">
              <w:rPr>
                <w:rFonts w:eastAsia="細明體" w:cs="Segoe UI" w:hint="eastAsia"/>
                <w:sz w:val="17"/>
                <w:szCs w:val="17"/>
                <w:lang w:val="en-US" w:eastAsia="ar-SA"/>
              </w:rPr>
              <w:t>債務證券</w:t>
            </w:r>
          </w:p>
        </w:tc>
        <w:tc>
          <w:tcPr>
            <w:tcW w:w="1135" w:type="dxa"/>
            <w:tcBorders>
              <w:top w:val="single" w:sz="4" w:space="0" w:color="C0C0C0"/>
              <w:left w:val="single" w:sz="4" w:space="0" w:color="000000"/>
              <w:bottom w:val="single" w:sz="4" w:space="0" w:color="C0C0C0"/>
            </w:tcBorders>
            <w:shd w:val="clear" w:color="auto" w:fill="auto"/>
            <w:vAlign w:val="center"/>
          </w:tcPr>
          <w:p w14:paraId="44266A93"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135" w:type="dxa"/>
            <w:tcBorders>
              <w:top w:val="single" w:sz="4" w:space="0" w:color="C0C0C0"/>
              <w:left w:val="single" w:sz="4" w:space="0" w:color="000000"/>
              <w:bottom w:val="single" w:sz="4" w:space="0" w:color="C0C0C0"/>
            </w:tcBorders>
            <w:shd w:val="clear" w:color="auto" w:fill="auto"/>
            <w:vAlign w:val="center"/>
          </w:tcPr>
          <w:p w14:paraId="10D3548F"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992" w:type="dxa"/>
            <w:tcBorders>
              <w:top w:val="single" w:sz="4" w:space="0" w:color="C0C0C0"/>
              <w:left w:val="single" w:sz="4" w:space="0" w:color="000000"/>
              <w:bottom w:val="single" w:sz="4" w:space="0" w:color="C0C0C0"/>
            </w:tcBorders>
            <w:shd w:val="clear" w:color="auto" w:fill="auto"/>
            <w:vAlign w:val="center"/>
          </w:tcPr>
          <w:p w14:paraId="165FAC8C"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205" w:type="dxa"/>
            <w:tcBorders>
              <w:top w:val="single" w:sz="4" w:space="0" w:color="C0C0C0"/>
              <w:left w:val="single" w:sz="4" w:space="0" w:color="000000"/>
              <w:bottom w:val="single" w:sz="4" w:space="0" w:color="C0C0C0"/>
            </w:tcBorders>
          </w:tcPr>
          <w:p w14:paraId="6F6B2BFB"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205" w:type="dxa"/>
            <w:tcBorders>
              <w:top w:val="single" w:sz="4" w:space="0" w:color="C0C0C0"/>
              <w:left w:val="single" w:sz="4" w:space="0" w:color="000000"/>
              <w:bottom w:val="single" w:sz="4" w:space="0" w:color="C0C0C0"/>
              <w:right w:val="single" w:sz="4" w:space="0" w:color="000000"/>
            </w:tcBorders>
          </w:tcPr>
          <w:p w14:paraId="7D833411"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276" w:type="dxa"/>
            <w:tcBorders>
              <w:top w:val="single" w:sz="4" w:space="0" w:color="C0C0C0"/>
              <w:left w:val="single" w:sz="4" w:space="0" w:color="000000"/>
              <w:bottom w:val="single" w:sz="4" w:space="0" w:color="C0C0C0"/>
            </w:tcBorders>
          </w:tcPr>
          <w:p w14:paraId="2D7161FE"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850" w:type="dxa"/>
            <w:tcBorders>
              <w:top w:val="single" w:sz="4" w:space="0" w:color="C0C0C0"/>
              <w:left w:val="single" w:sz="4" w:space="0" w:color="000000"/>
              <w:bottom w:val="single" w:sz="4" w:space="0" w:color="C0C0C0"/>
              <w:right w:val="single" w:sz="4" w:space="0" w:color="000000"/>
            </w:tcBorders>
            <w:shd w:val="clear" w:color="auto" w:fill="auto"/>
            <w:vAlign w:val="center"/>
          </w:tcPr>
          <w:p w14:paraId="71C923D0"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r>
      <w:tr w:rsidR="00272D6C" w:rsidRPr="00272D6C" w14:paraId="7B8FA1BF" w14:textId="77777777" w:rsidTr="005171C5">
        <w:trPr>
          <w:cantSplit/>
          <w:trHeight w:val="131"/>
        </w:trPr>
        <w:tc>
          <w:tcPr>
            <w:tcW w:w="301" w:type="dxa"/>
            <w:tcBorders>
              <w:top w:val="single" w:sz="4" w:space="0" w:color="C0C0C0"/>
              <w:bottom w:val="single" w:sz="4" w:space="0" w:color="C0C0C0"/>
            </w:tcBorders>
            <w:shd w:val="clear" w:color="auto" w:fill="auto"/>
            <w:vAlign w:val="center"/>
          </w:tcPr>
          <w:p w14:paraId="7A2D789A"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r w:rsidRPr="00272D6C">
              <w:rPr>
                <w:rFonts w:eastAsia="細明體" w:cs="Segoe UI"/>
                <w:sz w:val="17"/>
                <w:szCs w:val="17"/>
                <w:lang w:eastAsia="ar-SA"/>
              </w:rPr>
              <w:t>3</w:t>
            </w:r>
          </w:p>
        </w:tc>
        <w:tc>
          <w:tcPr>
            <w:tcW w:w="1115" w:type="dxa"/>
            <w:tcBorders>
              <w:top w:val="single" w:sz="4" w:space="0" w:color="C0C0C0"/>
              <w:left w:val="single" w:sz="4" w:space="0" w:color="000000"/>
              <w:bottom w:val="single" w:sz="4" w:space="0" w:color="C0C0C0"/>
            </w:tcBorders>
            <w:shd w:val="clear" w:color="auto" w:fill="auto"/>
            <w:vAlign w:val="center"/>
          </w:tcPr>
          <w:p w14:paraId="3D789DFD"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r w:rsidRPr="00272D6C">
              <w:rPr>
                <w:rFonts w:eastAsia="細明體" w:cs="Segoe UI" w:hint="eastAsia"/>
                <w:sz w:val="17"/>
                <w:szCs w:val="17"/>
                <w:lang w:eastAsia="ar-SA"/>
              </w:rPr>
              <w:t>資產負債表外風險承擔</w:t>
            </w:r>
          </w:p>
        </w:tc>
        <w:tc>
          <w:tcPr>
            <w:tcW w:w="1135" w:type="dxa"/>
            <w:tcBorders>
              <w:top w:val="single" w:sz="4" w:space="0" w:color="C0C0C0"/>
              <w:left w:val="single" w:sz="4" w:space="0" w:color="000000"/>
              <w:bottom w:val="single" w:sz="4" w:space="0" w:color="C0C0C0"/>
            </w:tcBorders>
            <w:shd w:val="clear" w:color="auto" w:fill="auto"/>
            <w:vAlign w:val="center"/>
          </w:tcPr>
          <w:p w14:paraId="5751B811"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135" w:type="dxa"/>
            <w:tcBorders>
              <w:top w:val="single" w:sz="4" w:space="0" w:color="C0C0C0"/>
              <w:left w:val="single" w:sz="4" w:space="0" w:color="000000"/>
              <w:bottom w:val="single" w:sz="4" w:space="0" w:color="C0C0C0"/>
            </w:tcBorders>
            <w:shd w:val="clear" w:color="auto" w:fill="auto"/>
            <w:vAlign w:val="center"/>
          </w:tcPr>
          <w:p w14:paraId="750F571D"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992" w:type="dxa"/>
            <w:tcBorders>
              <w:top w:val="single" w:sz="4" w:space="0" w:color="C0C0C0"/>
              <w:left w:val="single" w:sz="4" w:space="0" w:color="000000"/>
              <w:bottom w:val="single" w:sz="4" w:space="0" w:color="C0C0C0"/>
            </w:tcBorders>
            <w:shd w:val="clear" w:color="auto" w:fill="auto"/>
            <w:vAlign w:val="center"/>
          </w:tcPr>
          <w:p w14:paraId="688DE5CC"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szCs w:val="17"/>
                <w:lang w:eastAsia="ar-SA"/>
              </w:rPr>
            </w:pPr>
          </w:p>
        </w:tc>
        <w:tc>
          <w:tcPr>
            <w:tcW w:w="1205" w:type="dxa"/>
            <w:tcBorders>
              <w:top w:val="single" w:sz="4" w:space="0" w:color="C0C0C0"/>
              <w:left w:val="single" w:sz="4" w:space="0" w:color="000000"/>
              <w:bottom w:val="single" w:sz="4" w:space="0" w:color="C0C0C0"/>
            </w:tcBorders>
          </w:tcPr>
          <w:p w14:paraId="26B5C377"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sz w:val="17"/>
                <w:szCs w:val="17"/>
                <w:lang w:eastAsia="ar-SA"/>
              </w:rPr>
            </w:pPr>
          </w:p>
        </w:tc>
        <w:tc>
          <w:tcPr>
            <w:tcW w:w="1205" w:type="dxa"/>
            <w:tcBorders>
              <w:top w:val="single" w:sz="4" w:space="0" w:color="C0C0C0"/>
              <w:left w:val="single" w:sz="4" w:space="0" w:color="000000"/>
              <w:bottom w:val="single" w:sz="4" w:space="0" w:color="C0C0C0"/>
              <w:right w:val="single" w:sz="4" w:space="0" w:color="000000"/>
            </w:tcBorders>
          </w:tcPr>
          <w:p w14:paraId="2618657A"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sz w:val="17"/>
                <w:szCs w:val="17"/>
                <w:lang w:eastAsia="ar-SA"/>
              </w:rPr>
            </w:pPr>
          </w:p>
        </w:tc>
        <w:tc>
          <w:tcPr>
            <w:tcW w:w="1276" w:type="dxa"/>
            <w:tcBorders>
              <w:top w:val="single" w:sz="4" w:space="0" w:color="C0C0C0"/>
              <w:left w:val="single" w:sz="4" w:space="0" w:color="000000"/>
              <w:bottom w:val="single" w:sz="4" w:space="0" w:color="C0C0C0"/>
            </w:tcBorders>
          </w:tcPr>
          <w:p w14:paraId="10F9CA79"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sz w:val="17"/>
                <w:szCs w:val="17"/>
                <w:lang w:eastAsia="ar-SA"/>
              </w:rPr>
            </w:pPr>
          </w:p>
        </w:tc>
        <w:tc>
          <w:tcPr>
            <w:tcW w:w="850" w:type="dxa"/>
            <w:tcBorders>
              <w:top w:val="single" w:sz="4" w:space="0" w:color="C0C0C0"/>
              <w:left w:val="single" w:sz="4" w:space="0" w:color="000000"/>
              <w:bottom w:val="single" w:sz="4" w:space="0" w:color="C0C0C0"/>
              <w:right w:val="single" w:sz="4" w:space="0" w:color="000000"/>
            </w:tcBorders>
            <w:shd w:val="clear" w:color="auto" w:fill="auto"/>
            <w:vAlign w:val="center"/>
          </w:tcPr>
          <w:p w14:paraId="59D92C91"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sz w:val="17"/>
                <w:szCs w:val="17"/>
                <w:lang w:eastAsia="ar-SA"/>
              </w:rPr>
            </w:pPr>
          </w:p>
        </w:tc>
      </w:tr>
      <w:tr w:rsidR="00272D6C" w:rsidRPr="00272D6C" w14:paraId="36812498" w14:textId="77777777" w:rsidTr="005171C5">
        <w:trPr>
          <w:cantSplit/>
          <w:trHeight w:val="53"/>
        </w:trPr>
        <w:tc>
          <w:tcPr>
            <w:tcW w:w="301" w:type="dxa"/>
            <w:tcBorders>
              <w:top w:val="single" w:sz="4" w:space="0" w:color="C0C0C0"/>
              <w:bottom w:val="single" w:sz="4" w:space="0" w:color="000000"/>
            </w:tcBorders>
            <w:shd w:val="clear" w:color="auto" w:fill="auto"/>
            <w:vAlign w:val="center"/>
          </w:tcPr>
          <w:p w14:paraId="503D0BE1"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b/>
                <w:i/>
                <w:sz w:val="17"/>
                <w:szCs w:val="17"/>
                <w:lang w:eastAsia="ar-SA"/>
              </w:rPr>
            </w:pPr>
            <w:r w:rsidRPr="00272D6C">
              <w:rPr>
                <w:rFonts w:eastAsia="細明體" w:cs="Segoe UI"/>
                <w:b/>
                <w:i/>
                <w:sz w:val="17"/>
                <w:szCs w:val="17"/>
                <w:lang w:eastAsia="ar-SA"/>
              </w:rPr>
              <w:t>4</w:t>
            </w:r>
          </w:p>
        </w:tc>
        <w:tc>
          <w:tcPr>
            <w:tcW w:w="1115" w:type="dxa"/>
            <w:tcBorders>
              <w:top w:val="single" w:sz="4" w:space="0" w:color="C0C0C0"/>
              <w:left w:val="single" w:sz="4" w:space="0" w:color="000000"/>
              <w:bottom w:val="single" w:sz="4" w:space="0" w:color="000000"/>
            </w:tcBorders>
            <w:shd w:val="clear" w:color="auto" w:fill="auto"/>
            <w:vAlign w:val="center"/>
          </w:tcPr>
          <w:p w14:paraId="50FD9B5E"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b/>
                <w:i/>
                <w:sz w:val="17"/>
                <w:szCs w:val="17"/>
                <w:lang w:eastAsia="ar-SA"/>
              </w:rPr>
            </w:pPr>
            <w:r w:rsidRPr="00272D6C">
              <w:rPr>
                <w:rFonts w:eastAsia="細明體" w:cs="Segoe UI" w:hint="eastAsia"/>
                <w:b/>
                <w:i/>
                <w:sz w:val="17"/>
                <w:szCs w:val="17"/>
                <w:lang w:eastAsia="ar-SA"/>
              </w:rPr>
              <w:t>總計</w:t>
            </w:r>
          </w:p>
        </w:tc>
        <w:tc>
          <w:tcPr>
            <w:tcW w:w="1135" w:type="dxa"/>
            <w:tcBorders>
              <w:top w:val="single" w:sz="4" w:space="0" w:color="C0C0C0"/>
              <w:left w:val="single" w:sz="4" w:space="0" w:color="000000"/>
              <w:bottom w:val="single" w:sz="4" w:space="0" w:color="000000"/>
            </w:tcBorders>
            <w:shd w:val="clear" w:color="auto" w:fill="auto"/>
            <w:vAlign w:val="center"/>
          </w:tcPr>
          <w:p w14:paraId="2C3E3CD1"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b/>
                <w:i/>
                <w:sz w:val="17"/>
                <w:szCs w:val="17"/>
                <w:lang w:eastAsia="ar-SA"/>
              </w:rPr>
            </w:pPr>
          </w:p>
        </w:tc>
        <w:tc>
          <w:tcPr>
            <w:tcW w:w="1135" w:type="dxa"/>
            <w:tcBorders>
              <w:top w:val="single" w:sz="4" w:space="0" w:color="C0C0C0"/>
              <w:left w:val="single" w:sz="4" w:space="0" w:color="000000"/>
              <w:bottom w:val="single" w:sz="4" w:space="0" w:color="000000"/>
            </w:tcBorders>
            <w:shd w:val="clear" w:color="auto" w:fill="auto"/>
            <w:vAlign w:val="center"/>
          </w:tcPr>
          <w:p w14:paraId="6AAFE555"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b/>
                <w:i/>
                <w:sz w:val="17"/>
                <w:szCs w:val="17"/>
                <w:lang w:eastAsia="ar-SA"/>
              </w:rPr>
            </w:pPr>
          </w:p>
        </w:tc>
        <w:tc>
          <w:tcPr>
            <w:tcW w:w="992" w:type="dxa"/>
            <w:tcBorders>
              <w:top w:val="single" w:sz="4" w:space="0" w:color="C0C0C0"/>
              <w:left w:val="single" w:sz="4" w:space="0" w:color="000000"/>
              <w:bottom w:val="single" w:sz="4" w:space="0" w:color="000000"/>
            </w:tcBorders>
            <w:shd w:val="clear" w:color="auto" w:fill="auto"/>
            <w:vAlign w:val="center"/>
          </w:tcPr>
          <w:p w14:paraId="78FDCBB0"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b/>
                <w:i/>
                <w:sz w:val="17"/>
                <w:szCs w:val="17"/>
                <w:lang w:eastAsia="ar-SA"/>
              </w:rPr>
            </w:pPr>
          </w:p>
        </w:tc>
        <w:tc>
          <w:tcPr>
            <w:tcW w:w="1205" w:type="dxa"/>
            <w:tcBorders>
              <w:top w:val="single" w:sz="4" w:space="0" w:color="C0C0C0"/>
              <w:left w:val="single" w:sz="4" w:space="0" w:color="000000"/>
              <w:bottom w:val="single" w:sz="4" w:space="0" w:color="000000"/>
            </w:tcBorders>
          </w:tcPr>
          <w:p w14:paraId="3B7C08A9"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b/>
                <w:i/>
                <w:sz w:val="17"/>
                <w:szCs w:val="17"/>
                <w:lang w:eastAsia="ar-SA"/>
              </w:rPr>
            </w:pPr>
          </w:p>
        </w:tc>
        <w:tc>
          <w:tcPr>
            <w:tcW w:w="1205" w:type="dxa"/>
            <w:tcBorders>
              <w:top w:val="single" w:sz="4" w:space="0" w:color="C0C0C0"/>
              <w:left w:val="single" w:sz="4" w:space="0" w:color="000000"/>
              <w:bottom w:val="single" w:sz="4" w:space="0" w:color="000000"/>
              <w:right w:val="single" w:sz="4" w:space="0" w:color="000000"/>
            </w:tcBorders>
          </w:tcPr>
          <w:p w14:paraId="206520A0"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b/>
                <w:i/>
                <w:sz w:val="17"/>
                <w:szCs w:val="17"/>
                <w:lang w:eastAsia="ar-SA"/>
              </w:rPr>
            </w:pPr>
          </w:p>
        </w:tc>
        <w:tc>
          <w:tcPr>
            <w:tcW w:w="1276" w:type="dxa"/>
            <w:tcBorders>
              <w:top w:val="single" w:sz="4" w:space="0" w:color="C0C0C0"/>
              <w:left w:val="single" w:sz="4" w:space="0" w:color="000000"/>
              <w:bottom w:val="single" w:sz="4" w:space="0" w:color="000000"/>
            </w:tcBorders>
          </w:tcPr>
          <w:p w14:paraId="62A15CCF"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b/>
                <w:i/>
                <w:sz w:val="17"/>
                <w:szCs w:val="17"/>
                <w:lang w:eastAsia="ar-SA"/>
              </w:rPr>
            </w:pPr>
          </w:p>
        </w:tc>
        <w:tc>
          <w:tcPr>
            <w:tcW w:w="850" w:type="dxa"/>
            <w:tcBorders>
              <w:top w:val="single" w:sz="4" w:space="0" w:color="C0C0C0"/>
              <w:left w:val="single" w:sz="4" w:space="0" w:color="000000"/>
              <w:bottom w:val="single" w:sz="4" w:space="0" w:color="000000"/>
              <w:right w:val="single" w:sz="4" w:space="0" w:color="000000"/>
            </w:tcBorders>
            <w:shd w:val="clear" w:color="auto" w:fill="auto"/>
            <w:vAlign w:val="center"/>
          </w:tcPr>
          <w:p w14:paraId="6372645D" w14:textId="77777777" w:rsidR="00272D6C" w:rsidRPr="00272D6C" w:rsidRDefault="00272D6C" w:rsidP="00272D6C">
            <w:pPr>
              <w:keepNext/>
              <w:tabs>
                <w:tab w:val="left" w:pos="397"/>
                <w:tab w:val="left" w:pos="794"/>
                <w:tab w:val="left" w:pos="1191"/>
              </w:tabs>
              <w:suppressAutoHyphens/>
              <w:snapToGrid w:val="0"/>
              <w:spacing w:before="20" w:after="20"/>
              <w:ind w:left="-250" w:firstLine="250"/>
              <w:rPr>
                <w:rFonts w:eastAsia="細明體" w:cs="Segoe UI"/>
                <w:b/>
                <w:i/>
                <w:sz w:val="17"/>
                <w:szCs w:val="17"/>
                <w:lang w:eastAsia="ar-SA"/>
              </w:rPr>
            </w:pPr>
          </w:p>
        </w:tc>
      </w:tr>
    </w:tbl>
    <w:p w14:paraId="1365A8C6" w14:textId="77777777" w:rsidR="00272D6C" w:rsidRPr="00272D6C" w:rsidRDefault="00272D6C" w:rsidP="00272D6C">
      <w:pPr>
        <w:suppressAutoHyphens/>
        <w:spacing w:before="120" w:after="120"/>
        <w:ind w:left="-566"/>
        <w:rPr>
          <w:rFonts w:eastAsia="細明體" w:cs="Segoe UI"/>
          <w:sz w:val="22"/>
          <w:lang w:eastAsia="ar-SA"/>
        </w:rPr>
      </w:pPr>
    </w:p>
    <w:tbl>
      <w:tblPr>
        <w:tblW w:w="0" w:type="auto"/>
        <w:tblInd w:w="-469" w:type="dxa"/>
        <w:tblLayout w:type="fixed"/>
        <w:tblLook w:val="0000" w:firstRow="0" w:lastRow="0" w:firstColumn="0" w:lastColumn="0" w:noHBand="0" w:noVBand="0"/>
      </w:tblPr>
      <w:tblGrid>
        <w:gridCol w:w="709"/>
        <w:gridCol w:w="8525"/>
      </w:tblGrid>
      <w:tr w:rsidR="00272D6C" w:rsidRPr="00272D6C" w14:paraId="6370F295" w14:textId="77777777" w:rsidTr="005171C5">
        <w:trPr>
          <w:tblHeader/>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3E086755"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lang w:eastAsia="ar-SA"/>
              </w:rPr>
              <w:t>註釋</w:t>
            </w:r>
          </w:p>
        </w:tc>
      </w:tr>
      <w:tr w:rsidR="00272D6C" w:rsidRPr="00272D6C" w14:paraId="348C306E" w14:textId="77777777" w:rsidTr="005171C5">
        <w:trPr>
          <w:trHeight w:val="15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F171BA3"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lang w:eastAsia="ar-SA"/>
              </w:rPr>
              <w:t>欄</w:t>
            </w:r>
          </w:p>
        </w:tc>
      </w:tr>
      <w:tr w:rsidR="00272D6C" w:rsidRPr="00272D6C" w14:paraId="1AE34B24" w14:textId="77777777" w:rsidTr="005171C5">
        <w:trPr>
          <w:trHeight w:val="1108"/>
        </w:trPr>
        <w:tc>
          <w:tcPr>
            <w:tcW w:w="709" w:type="dxa"/>
            <w:tcBorders>
              <w:top w:val="single" w:sz="4" w:space="0" w:color="000000"/>
              <w:left w:val="single" w:sz="4" w:space="0" w:color="000000"/>
              <w:bottom w:val="single" w:sz="4" w:space="0" w:color="000000"/>
            </w:tcBorders>
            <w:shd w:val="clear" w:color="auto" w:fill="auto"/>
          </w:tcPr>
          <w:p w14:paraId="012ABB50" w14:textId="77777777" w:rsidR="00272D6C" w:rsidRPr="00272D6C" w:rsidRDefault="00272D6C" w:rsidP="00272D6C">
            <w:pPr>
              <w:keepLines/>
              <w:widowControl w:val="0"/>
              <w:suppressAutoHyphens/>
              <w:spacing w:before="20" w:after="20"/>
              <w:ind w:right="-108"/>
              <w:rPr>
                <w:rFonts w:eastAsia="細明體" w:cs="Segoe UI"/>
                <w:i/>
                <w:sz w:val="17"/>
                <w:szCs w:val="17"/>
                <w:lang w:eastAsia="ar-SA"/>
              </w:rPr>
            </w:pPr>
            <w:r w:rsidRPr="00272D6C">
              <w:rPr>
                <w:rFonts w:eastAsia="細明體" w:cs="Segoe UI"/>
                <w:sz w:val="17"/>
                <w:szCs w:val="17"/>
                <w:lang w:eastAsia="ar-SA"/>
              </w:rPr>
              <w:t>(a)</w:t>
            </w:r>
            <w:r w:rsidRPr="00272D6C">
              <w:rPr>
                <w:rFonts w:eastAsia="細明體" w:cs="Segoe UI" w:hint="eastAsia"/>
                <w:sz w:val="17"/>
                <w:szCs w:val="17"/>
                <w:lang w:eastAsia="ar-SA"/>
              </w:rPr>
              <w:t>及</w:t>
            </w:r>
            <w:r w:rsidRPr="00272D6C">
              <w:rPr>
                <w:rFonts w:eastAsia="細明體" w:cs="Segoe UI"/>
                <w:sz w:val="17"/>
                <w:szCs w:val="17"/>
                <w:lang w:eastAsia="ar-SA"/>
              </w:rPr>
              <w:t>(b)</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5F60AD40" w14:textId="544AB66D" w:rsidR="00272D6C" w:rsidRPr="00272D6C" w:rsidRDefault="00272D6C" w:rsidP="00952CC9">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總帳面數額</w:t>
            </w:r>
            <w:r w:rsidRPr="00272D6C">
              <w:rPr>
                <w:rFonts w:eastAsia="細明體" w:cs="Segoe UI" w:hint="eastAsia"/>
                <w:sz w:val="17"/>
                <w:szCs w:val="17"/>
                <w:lang w:eastAsia="ar-SA"/>
              </w:rPr>
              <w:t>：代表引致須計算</w:t>
            </w:r>
            <w:r w:rsidRPr="00272D6C">
              <w:rPr>
                <w:rFonts w:eastAsia="細明體" w:cs="Segoe UI"/>
                <w:sz w:val="17"/>
                <w:szCs w:val="17"/>
                <w:lang w:eastAsia="ar-SA"/>
              </w:rPr>
              <w:t>《資本規則》下的資本規定的資產負債表內或表外的風險承擔項目。總帳面數額為未</w:t>
            </w:r>
            <w:r w:rsidRPr="00272D6C">
              <w:rPr>
                <w:rFonts w:eastAsia="細明體" w:cs="Segoe UI" w:hint="eastAsia"/>
                <w:sz w:val="17"/>
                <w:szCs w:val="17"/>
                <w:lang w:eastAsia="zh-TW"/>
              </w:rPr>
              <w:t>將</w:t>
            </w:r>
            <w:r w:rsidRPr="00272D6C">
              <w:rPr>
                <w:rFonts w:eastAsia="細明體" w:cs="Segoe UI"/>
                <w:sz w:val="17"/>
                <w:szCs w:val="17"/>
                <w:lang w:eastAsia="ar-SA"/>
              </w:rPr>
              <w:t>備抵</w:t>
            </w:r>
            <w:r w:rsidRPr="00272D6C">
              <w:rPr>
                <w:rFonts w:eastAsia="細明體" w:cs="Segoe UI"/>
                <w:sz w:val="17"/>
                <w:szCs w:val="17"/>
                <w:lang w:eastAsia="ar-SA"/>
              </w:rPr>
              <w:t>/</w:t>
            </w:r>
            <w:r w:rsidRPr="00272D6C">
              <w:rPr>
                <w:rFonts w:eastAsia="細明體" w:cs="Segoe UI"/>
                <w:sz w:val="17"/>
                <w:szCs w:val="17"/>
                <w:lang w:eastAsia="ar-SA"/>
              </w:rPr>
              <w:t>減值、</w:t>
            </w:r>
            <w:r w:rsidRPr="00272D6C">
              <w:rPr>
                <w:rFonts w:eastAsia="細明體" w:cs="Segoe UI"/>
                <w:sz w:val="17"/>
                <w:szCs w:val="17"/>
                <w:lang w:eastAsia="ar-SA"/>
              </w:rPr>
              <w:t>CCF</w:t>
            </w:r>
            <w:proofErr w:type="gramStart"/>
            <w:r w:rsidRPr="00272D6C">
              <w:rPr>
                <w:rFonts w:eastAsia="細明體" w:cs="Segoe UI" w:hint="eastAsia"/>
                <w:sz w:val="17"/>
                <w:szCs w:val="17"/>
                <w:lang w:eastAsia="ar-SA"/>
              </w:rPr>
              <w:t>或減低信用風險措施</w:t>
            </w:r>
            <w:r w:rsidRPr="00272D6C">
              <w:rPr>
                <w:rFonts w:eastAsia="細明體" w:cs="Segoe UI" w:hint="eastAsia"/>
                <w:sz w:val="17"/>
                <w:szCs w:val="17"/>
                <w:lang w:eastAsia="ar-SA"/>
              </w:rPr>
              <w:t>(</w:t>
            </w:r>
            <w:proofErr w:type="gramEnd"/>
            <w:r w:rsidRPr="00272D6C">
              <w:rPr>
                <w:rFonts w:eastAsia="細明體" w:cs="Segoe UI" w:hint="eastAsia"/>
                <w:sz w:val="17"/>
                <w:szCs w:val="17"/>
                <w:lang w:eastAsia="ar-SA"/>
              </w:rPr>
              <w:t>CRM)</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，但已</w:t>
            </w:r>
            <w:r w:rsidRPr="00272D6C">
              <w:rPr>
                <w:rFonts w:eastAsia="細明體" w:cs="Segoe UI" w:hint="eastAsia"/>
                <w:sz w:val="17"/>
                <w:szCs w:val="17"/>
                <w:lang w:eastAsia="zh-TW"/>
              </w:rPr>
              <w:t>將</w:t>
            </w:r>
            <w:r w:rsidRPr="00272D6C">
              <w:rPr>
                <w:rFonts w:eastAsia="細明體" w:cs="Segoe UI" w:hint="eastAsia"/>
                <w:sz w:val="17"/>
                <w:szCs w:val="17"/>
                <w:lang w:eastAsia="ar-SA"/>
              </w:rPr>
              <w:t>任何撇帳</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的會計值。就本模版的目的而言，撇帳是指有關認可機構並無合理期望可收回有關帳面數額時直接撇減的數額。</w:t>
            </w:r>
            <w:r w:rsidRPr="00272D6C">
              <w:rPr>
                <w:rFonts w:eastAsia="細明體" w:cs="Segoe UI"/>
                <w:sz w:val="17"/>
                <w:szCs w:val="17"/>
                <w:lang w:eastAsia="ar-SA"/>
              </w:rPr>
              <w:t xml:space="preserve"> </w:t>
            </w:r>
          </w:p>
        </w:tc>
      </w:tr>
      <w:tr w:rsidR="00272D6C" w:rsidRPr="00272D6C" w14:paraId="29B65229" w14:textId="77777777" w:rsidTr="005171C5">
        <w:tc>
          <w:tcPr>
            <w:tcW w:w="709" w:type="dxa"/>
            <w:tcBorders>
              <w:top w:val="single" w:sz="4" w:space="0" w:color="000000"/>
              <w:left w:val="single" w:sz="4" w:space="0" w:color="000000"/>
              <w:bottom w:val="single" w:sz="4" w:space="0" w:color="000000"/>
            </w:tcBorders>
            <w:shd w:val="clear" w:color="auto" w:fill="auto"/>
          </w:tcPr>
          <w:p w14:paraId="1CC66FAF" w14:textId="77777777" w:rsidR="00272D6C" w:rsidRPr="00272D6C" w:rsidRDefault="00272D6C" w:rsidP="00272D6C">
            <w:pPr>
              <w:keepLines/>
              <w:widowControl w:val="0"/>
              <w:suppressAutoHyphens/>
              <w:spacing w:before="20" w:after="20"/>
              <w:ind w:right="-108"/>
              <w:rPr>
                <w:rFonts w:eastAsia="細明體" w:cs="Segoe UI"/>
                <w:i/>
                <w:sz w:val="17"/>
                <w:szCs w:val="17"/>
                <w:lang w:eastAsia="ar-SA"/>
              </w:rPr>
            </w:pPr>
            <w:r w:rsidRPr="00272D6C">
              <w:rPr>
                <w:rFonts w:eastAsia="細明體" w:cs="Segoe UI"/>
                <w:sz w:val="17"/>
                <w:szCs w:val="17"/>
                <w:lang w:eastAsia="ar-SA"/>
              </w:rPr>
              <w:t>(a)</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03B74A9E" w14:textId="3E3D1567" w:rsidR="00272D6C" w:rsidRPr="00272D6C" w:rsidRDefault="00272D6C" w:rsidP="005C07D5">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違責風險承擔</w:t>
            </w:r>
            <w:r w:rsidRPr="00272D6C">
              <w:rPr>
                <w:rFonts w:eastAsia="細明體" w:cs="Segoe UI" w:hint="eastAsia"/>
                <w:sz w:val="17"/>
                <w:szCs w:val="17"/>
                <w:lang w:eastAsia="ar-SA"/>
              </w:rPr>
              <w:t>：</w:t>
            </w:r>
            <w:r w:rsidR="00F8165A" w:rsidRPr="00F8165A">
              <w:rPr>
                <w:rFonts w:eastAsia="細明體" w:cs="Segoe UI" w:hint="eastAsia"/>
                <w:sz w:val="17"/>
                <w:szCs w:val="17"/>
                <w:lang w:eastAsia="ar-SA"/>
              </w:rPr>
              <w:t>認可機構應使用其為監管資本充足</w:t>
            </w:r>
            <w:r w:rsidR="00F911F5" w:rsidRPr="00272D6C">
              <w:rPr>
                <w:rFonts w:eastAsia="細明體" w:cs="Segoe UI" w:hint="eastAsia"/>
                <w:sz w:val="17"/>
                <w:lang w:eastAsia="ar-SA"/>
              </w:rPr>
              <w:t>程度</w:t>
            </w:r>
            <w:r w:rsidR="00CB064A">
              <w:rPr>
                <w:rFonts w:eastAsia="細明體" w:cs="Segoe UI" w:hint="eastAsia"/>
                <w:sz w:val="17"/>
                <w:szCs w:val="17"/>
                <w:lang w:eastAsia="ar-SA"/>
              </w:rPr>
              <w:t>而使用的「違</w:t>
            </w:r>
            <w:r w:rsidR="00CB064A">
              <w:rPr>
                <w:rFonts w:eastAsia="細明體" w:cs="Segoe UI" w:hint="eastAsia"/>
                <w:sz w:val="17"/>
                <w:szCs w:val="17"/>
                <w:lang w:eastAsia="zh-HK"/>
              </w:rPr>
              <w:t>責</w:t>
            </w:r>
            <w:r w:rsidR="00F8165A" w:rsidRPr="00F8165A">
              <w:rPr>
                <w:rFonts w:eastAsia="細明體" w:cs="Segoe UI" w:hint="eastAsia"/>
                <w:sz w:val="17"/>
                <w:szCs w:val="17"/>
                <w:lang w:eastAsia="ar-SA"/>
              </w:rPr>
              <w:t>」定義。</w:t>
            </w:r>
            <w:r w:rsidR="00CB064A">
              <w:rPr>
                <w:rFonts w:eastAsia="細明體" w:cs="Segoe UI" w:hint="eastAsia"/>
                <w:sz w:val="17"/>
                <w:szCs w:val="17"/>
                <w:lang w:eastAsia="zh-HK"/>
              </w:rPr>
              <w:t>即</w:t>
            </w:r>
            <w:r w:rsidRPr="00272D6C">
              <w:rPr>
                <w:rFonts w:eastAsia="細明體" w:cs="Segoe UI" w:hint="eastAsia"/>
                <w:sz w:val="17"/>
                <w:szCs w:val="17"/>
                <w:lang w:val="en-US" w:eastAsia="ar-SA"/>
              </w:rPr>
              <w:t>就使用</w:t>
            </w:r>
            <w:r w:rsidRPr="00272D6C">
              <w:rPr>
                <w:rFonts w:eastAsia="細明體" w:cs="Segoe UI"/>
                <w:sz w:val="17"/>
                <w:szCs w:val="17"/>
                <w:lang w:val="en-US" w:eastAsia="ar-SA"/>
              </w:rPr>
              <w:t>STC</w:t>
            </w:r>
            <w:r w:rsidRPr="00272D6C">
              <w:rPr>
                <w:rFonts w:eastAsia="細明體" w:cs="Segoe UI" w:hint="eastAsia"/>
                <w:sz w:val="17"/>
                <w:szCs w:val="17"/>
                <w:lang w:val="en-US" w:eastAsia="ar-SA"/>
              </w:rPr>
              <w:t>計算法或</w:t>
            </w:r>
            <w:r w:rsidRPr="00272D6C">
              <w:rPr>
                <w:rFonts w:eastAsia="細明體" w:cs="Segoe UI"/>
                <w:sz w:val="17"/>
                <w:szCs w:val="17"/>
                <w:lang w:val="en-US" w:eastAsia="ar-SA"/>
              </w:rPr>
              <w:t>BSC</w:t>
            </w:r>
            <w:r w:rsidRPr="00272D6C">
              <w:rPr>
                <w:rFonts w:eastAsia="細明體" w:cs="Segoe UI" w:hint="eastAsia"/>
                <w:sz w:val="17"/>
                <w:szCs w:val="17"/>
                <w:lang w:val="en-US" w:eastAsia="ar-SA"/>
              </w:rPr>
              <w:t>計算法的認可機構而言</w:t>
            </w:r>
            <w:r w:rsidRPr="00272D6C">
              <w:rPr>
                <w:rFonts w:eastAsia="細明體" w:cs="Segoe UI"/>
                <w:sz w:val="17"/>
                <w:szCs w:val="17"/>
                <w:lang w:eastAsia="ar-SA"/>
              </w:rPr>
              <w:t>，「違責</w:t>
            </w:r>
            <w:r w:rsidR="00067255" w:rsidRPr="00272D6C">
              <w:rPr>
                <w:rFonts w:eastAsia="細明體" w:cs="Segoe UI" w:hint="eastAsia"/>
                <w:sz w:val="17"/>
                <w:szCs w:val="17"/>
                <w:lang w:eastAsia="zh-TW"/>
              </w:rPr>
              <w:t>風險承擔</w:t>
            </w:r>
            <w:r w:rsidRPr="00272D6C">
              <w:rPr>
                <w:rFonts w:eastAsia="細明體" w:cs="Segoe UI"/>
                <w:sz w:val="17"/>
                <w:szCs w:val="17"/>
                <w:lang w:eastAsia="ar-SA"/>
              </w:rPr>
              <w:t>」的涵義應</w:t>
            </w:r>
            <w:r w:rsidR="005C07D5">
              <w:rPr>
                <w:rFonts w:eastAsia="細明體" w:cs="Segoe UI" w:hint="eastAsia"/>
                <w:sz w:val="17"/>
                <w:szCs w:val="17"/>
                <w:lang w:eastAsia="zh-HK"/>
              </w:rPr>
              <w:t>分別</w:t>
            </w:r>
            <w:r w:rsidRPr="00272D6C">
              <w:rPr>
                <w:rFonts w:eastAsia="細明體" w:cs="Segoe UI" w:hint="eastAsia"/>
                <w:sz w:val="17"/>
                <w:szCs w:val="17"/>
                <w:lang w:eastAsia="ar-SA"/>
              </w:rPr>
              <w:t>與</w:t>
            </w:r>
            <w:r w:rsidR="004E1C48" w:rsidRPr="00272D6C">
              <w:rPr>
                <w:rFonts w:eastAsia="細明體" w:cs="Segoe UI"/>
                <w:sz w:val="17"/>
                <w:szCs w:val="17"/>
                <w:lang w:val="en-US" w:eastAsia="ar-SA"/>
              </w:rPr>
              <w:t>《資本規則》</w:t>
            </w:r>
            <w:r w:rsidR="004E1C48" w:rsidRPr="00272D6C">
              <w:rPr>
                <w:rFonts w:eastAsia="細明體" w:cs="Segoe UI" w:hint="eastAsia"/>
                <w:sz w:val="17"/>
                <w:szCs w:val="17"/>
                <w:lang w:val="en-US" w:eastAsia="ar-SA"/>
              </w:rPr>
              <w:t>第</w:t>
            </w:r>
            <w:r w:rsidR="004E1C48">
              <w:rPr>
                <w:rFonts w:eastAsia="細明體" w:cs="Segoe UI"/>
                <w:sz w:val="17"/>
                <w:szCs w:val="17"/>
                <w:lang w:val="en-US" w:eastAsia="ar-SA"/>
              </w:rPr>
              <w:t xml:space="preserve">51(1) </w:t>
            </w:r>
            <w:r w:rsidR="004E1C48">
              <w:rPr>
                <w:rFonts w:eastAsia="細明體" w:cs="Segoe UI" w:hint="eastAsia"/>
                <w:sz w:val="17"/>
                <w:szCs w:val="17"/>
                <w:lang w:val="en-US" w:eastAsia="ar-SA"/>
              </w:rPr>
              <w:t>條</w:t>
            </w:r>
            <w:r w:rsidR="004E1C48">
              <w:rPr>
                <w:rFonts w:eastAsia="細明體" w:cs="Segoe UI" w:hint="eastAsia"/>
                <w:sz w:val="17"/>
                <w:szCs w:val="17"/>
                <w:lang w:val="en-US" w:eastAsia="zh-HK"/>
              </w:rPr>
              <w:t>所定的</w:t>
            </w:r>
            <w:r w:rsidR="004E1C48" w:rsidRPr="00272D6C">
              <w:rPr>
                <w:rFonts w:eastAsia="細明體" w:cs="Segoe UI"/>
                <w:sz w:val="17"/>
                <w:szCs w:val="17"/>
                <w:lang w:eastAsia="ar-SA"/>
              </w:rPr>
              <w:t>「違責</w:t>
            </w:r>
            <w:r w:rsidR="004E1C48" w:rsidRPr="00272D6C">
              <w:rPr>
                <w:rFonts w:eastAsia="細明體" w:cs="Segoe UI" w:hint="eastAsia"/>
                <w:sz w:val="17"/>
                <w:szCs w:val="17"/>
                <w:lang w:eastAsia="zh-TW"/>
              </w:rPr>
              <w:t>風險承擔</w:t>
            </w:r>
            <w:r w:rsidR="004E1C48" w:rsidRPr="00272D6C">
              <w:rPr>
                <w:rFonts w:eastAsia="細明體" w:cs="Segoe UI"/>
                <w:sz w:val="17"/>
                <w:szCs w:val="17"/>
                <w:lang w:eastAsia="ar-SA"/>
              </w:rPr>
              <w:t>」</w:t>
            </w:r>
            <w:r w:rsidR="004E1C48">
              <w:rPr>
                <w:rFonts w:eastAsia="細明體" w:cs="Segoe UI" w:hint="eastAsia"/>
                <w:sz w:val="17"/>
                <w:szCs w:val="17"/>
                <w:lang w:eastAsia="zh-HK"/>
              </w:rPr>
              <w:t>或</w:t>
            </w:r>
            <w:r w:rsidRPr="00272D6C">
              <w:rPr>
                <w:rFonts w:eastAsia="細明體" w:cs="Segoe UI" w:hint="eastAsia"/>
                <w:sz w:val="17"/>
                <w:szCs w:val="17"/>
                <w:lang w:eastAsia="ar-SA"/>
              </w:rPr>
              <w:t>「已逾期超過</w:t>
            </w:r>
            <w:r w:rsidRPr="00272D6C">
              <w:rPr>
                <w:rFonts w:eastAsia="細明體" w:cs="Segoe UI"/>
                <w:sz w:val="17"/>
                <w:szCs w:val="17"/>
                <w:lang w:eastAsia="ar-SA"/>
              </w:rPr>
              <w:t>90</w:t>
            </w:r>
            <w:r w:rsidRPr="00272D6C">
              <w:rPr>
                <w:rFonts w:eastAsia="細明體" w:cs="Segoe UI" w:hint="eastAsia"/>
                <w:sz w:val="17"/>
                <w:szCs w:val="17"/>
                <w:lang w:eastAsia="ar-SA"/>
              </w:rPr>
              <w:t>日</w:t>
            </w:r>
            <w:r w:rsidRPr="00272D6C">
              <w:rPr>
                <w:rFonts w:eastAsia="細明體" w:cs="Segoe UI" w:hint="eastAsia"/>
                <w:sz w:val="17"/>
                <w:szCs w:val="17"/>
                <w:lang w:val="en-US" w:eastAsia="ar-SA"/>
              </w:rPr>
              <w:t>」的</w:t>
            </w:r>
            <w:r w:rsidR="0097289E">
              <w:rPr>
                <w:rFonts w:eastAsia="細明體" w:cs="Segoe UI" w:hint="eastAsia"/>
                <w:sz w:val="17"/>
                <w:szCs w:val="17"/>
                <w:lang w:val="en-US" w:eastAsia="zh-HK"/>
              </w:rPr>
              <w:t>申索</w:t>
            </w:r>
            <w:r w:rsidRPr="00272D6C">
              <w:rPr>
                <w:rFonts w:eastAsia="細明體" w:cs="Segoe UI" w:hint="eastAsia"/>
                <w:sz w:val="17"/>
                <w:szCs w:val="17"/>
                <w:lang w:val="en-US" w:eastAsia="ar-SA"/>
              </w:rPr>
              <w:t>的有抵押及無抵押部分</w:t>
            </w:r>
            <w:r w:rsidRPr="00272D6C">
              <w:rPr>
                <w:rFonts w:eastAsia="細明體" w:cs="Segoe UI"/>
                <w:sz w:val="17"/>
                <w:szCs w:val="17"/>
                <w:lang w:eastAsia="ar-SA"/>
              </w:rPr>
              <w:t>對應</w:t>
            </w:r>
            <w:r w:rsidRPr="00272D6C">
              <w:rPr>
                <w:rFonts w:eastAsia="細明體" w:cs="Segoe UI" w:hint="eastAsia"/>
                <w:sz w:val="17"/>
                <w:szCs w:val="17"/>
                <w:lang w:val="en-US" w:eastAsia="ar-SA"/>
              </w:rPr>
              <w:t>（</w:t>
            </w:r>
            <w:r w:rsidRPr="00272D6C">
              <w:rPr>
                <w:rFonts w:eastAsia="細明體" w:cs="Segoe UI"/>
                <w:sz w:val="17"/>
                <w:szCs w:val="17"/>
                <w:lang w:val="en-US" w:eastAsia="ar-SA"/>
              </w:rPr>
              <w:t>或</w:t>
            </w:r>
            <w:r w:rsidRPr="00272D6C">
              <w:rPr>
                <w:rFonts w:eastAsia="細明體" w:cs="Segoe UI" w:hint="eastAsia"/>
                <w:sz w:val="17"/>
                <w:szCs w:val="17"/>
                <w:lang w:val="en-US" w:eastAsia="ar-SA"/>
              </w:rPr>
              <w:t>為</w:t>
            </w:r>
            <w:r w:rsidRPr="00272D6C">
              <w:rPr>
                <w:rFonts w:eastAsia="細明體" w:cs="Segoe UI"/>
                <w:sz w:val="17"/>
                <w:szCs w:val="17"/>
                <w:lang w:val="en-US" w:eastAsia="ar-SA"/>
              </w:rPr>
              <w:t>認可機構所採</w:t>
            </w:r>
            <w:r w:rsidRPr="00272D6C">
              <w:rPr>
                <w:rFonts w:eastAsia="細明體" w:cs="Segoe UI" w:hint="eastAsia"/>
                <w:sz w:val="17"/>
                <w:szCs w:val="17"/>
                <w:lang w:val="en-US" w:eastAsia="ar-SA"/>
              </w:rPr>
              <w:t>用</w:t>
            </w:r>
            <w:r w:rsidRPr="00272D6C">
              <w:rPr>
                <w:rFonts w:eastAsia="細明體" w:cs="Segoe UI"/>
                <w:sz w:val="17"/>
                <w:szCs w:val="17"/>
                <w:lang w:val="en-US" w:eastAsia="ar-SA"/>
              </w:rPr>
              <w:t>的其他更嚴格的</w:t>
            </w:r>
            <w:r w:rsidRPr="00272D6C">
              <w:rPr>
                <w:rFonts w:eastAsia="細明體" w:cs="Segoe UI" w:hint="eastAsia"/>
                <w:sz w:val="17"/>
                <w:szCs w:val="17"/>
                <w:lang w:eastAsia="ar-SA"/>
              </w:rPr>
              <w:t>定義</w:t>
            </w:r>
            <w:r w:rsidRPr="00272D6C">
              <w:rPr>
                <w:rFonts w:eastAsia="細明體" w:cs="Segoe UI"/>
                <w:sz w:val="17"/>
                <w:szCs w:val="17"/>
                <w:lang w:val="en-US" w:eastAsia="ar-SA"/>
              </w:rPr>
              <w:t>，</w:t>
            </w:r>
            <w:r w:rsidR="00CB064A">
              <w:rPr>
                <w:rFonts w:eastAsia="細明體" w:cs="Segoe UI" w:hint="eastAsia"/>
                <w:sz w:val="17"/>
                <w:szCs w:val="17"/>
                <w:lang w:val="en-US" w:eastAsia="zh-HK"/>
              </w:rPr>
              <w:t>而該定</w:t>
            </w:r>
            <w:r w:rsidR="00CB064A">
              <w:rPr>
                <w:rFonts w:eastAsia="細明體" w:cs="Segoe UI" w:hint="eastAsia"/>
                <w:sz w:val="17"/>
                <w:szCs w:val="17"/>
                <w:lang w:val="en-US" w:eastAsia="zh-TW"/>
              </w:rPr>
              <w:t>義</w:t>
            </w:r>
            <w:r w:rsidRPr="00272D6C">
              <w:rPr>
                <w:rFonts w:eastAsia="細明體" w:cs="Segoe UI"/>
                <w:sz w:val="17"/>
                <w:szCs w:val="17"/>
                <w:lang w:val="en-US" w:eastAsia="ar-SA"/>
              </w:rPr>
              <w:t>應在本模版的附加說明中提供，</w:t>
            </w:r>
            <w:r w:rsidRPr="00272D6C">
              <w:rPr>
                <w:rFonts w:eastAsia="細明體" w:cs="Segoe UI" w:hint="eastAsia"/>
                <w:sz w:val="17"/>
                <w:szCs w:val="17"/>
                <w:lang w:eastAsia="ar-SA"/>
              </w:rPr>
              <w:t>並一致地</w:t>
            </w:r>
            <w:r w:rsidRPr="00272D6C">
              <w:rPr>
                <w:rFonts w:eastAsia="細明體" w:cs="Segoe UI" w:hint="eastAsia"/>
                <w:sz w:val="17"/>
                <w:szCs w:val="17"/>
                <w:lang w:val="en-US" w:eastAsia="ar-SA"/>
              </w:rPr>
              <w:t>使</w:t>
            </w:r>
            <w:r w:rsidRPr="00272D6C">
              <w:rPr>
                <w:rFonts w:eastAsia="細明體" w:cs="Segoe UI" w:hint="eastAsia"/>
                <w:sz w:val="17"/>
                <w:szCs w:val="17"/>
                <w:lang w:eastAsia="ar-SA"/>
              </w:rPr>
              <w:t>用於所有</w:t>
            </w:r>
            <w:r w:rsidR="00584B96">
              <w:rPr>
                <w:rFonts w:eastAsia="細明體" w:cs="Segoe UI" w:hint="eastAsia"/>
                <w:sz w:val="17"/>
                <w:szCs w:val="17"/>
                <w:lang w:eastAsia="zh-HK"/>
              </w:rPr>
              <w:t>採</w:t>
            </w:r>
            <w:r w:rsidR="00CB064A">
              <w:rPr>
                <w:rFonts w:eastAsia="細明體" w:cs="Segoe UI" w:hint="eastAsia"/>
                <w:sz w:val="17"/>
                <w:szCs w:val="17"/>
                <w:lang w:eastAsia="zh-HK"/>
              </w:rPr>
              <w:t>用</w:t>
            </w:r>
            <w:r w:rsidR="00CB064A">
              <w:rPr>
                <w:rFonts w:eastAsia="細明體" w:cs="Segoe UI" w:hint="eastAsia"/>
                <w:sz w:val="17"/>
                <w:szCs w:val="17"/>
                <w:lang w:eastAsia="ar-SA"/>
              </w:rPr>
              <w:t>「違</w:t>
            </w:r>
            <w:r w:rsidR="00CB064A">
              <w:rPr>
                <w:rFonts w:eastAsia="細明體" w:cs="Segoe UI" w:hint="eastAsia"/>
                <w:sz w:val="17"/>
                <w:szCs w:val="17"/>
                <w:lang w:eastAsia="zh-HK"/>
              </w:rPr>
              <w:t>責</w:t>
            </w:r>
            <w:r w:rsidR="00CB064A" w:rsidRPr="00F8165A">
              <w:rPr>
                <w:rFonts w:eastAsia="細明體" w:cs="Segoe UI" w:hint="eastAsia"/>
                <w:sz w:val="17"/>
                <w:szCs w:val="17"/>
                <w:lang w:eastAsia="ar-SA"/>
              </w:rPr>
              <w:t>」</w:t>
            </w:r>
            <w:r w:rsidR="00CB064A">
              <w:rPr>
                <w:rFonts w:eastAsia="細明體" w:cs="Segoe UI" w:hint="eastAsia"/>
                <w:sz w:val="17"/>
                <w:szCs w:val="17"/>
                <w:lang w:eastAsia="zh-HK"/>
              </w:rPr>
              <w:t>概</w:t>
            </w:r>
            <w:r w:rsidR="00CB064A">
              <w:rPr>
                <w:rFonts w:eastAsia="細明體" w:cs="Segoe UI" w:hint="eastAsia"/>
                <w:sz w:val="17"/>
                <w:szCs w:val="17"/>
                <w:lang w:eastAsia="zh-TW"/>
              </w:rPr>
              <w:t>念</w:t>
            </w:r>
            <w:r w:rsidR="00CB064A">
              <w:rPr>
                <w:rFonts w:eastAsia="細明體" w:cs="Segoe UI" w:hint="eastAsia"/>
                <w:sz w:val="17"/>
                <w:szCs w:val="17"/>
                <w:lang w:eastAsia="zh-HK"/>
              </w:rPr>
              <w:t>的</w:t>
            </w:r>
            <w:r w:rsidRPr="00272D6C">
              <w:rPr>
                <w:rFonts w:eastAsia="細明體" w:cs="Segoe UI" w:hint="eastAsia"/>
                <w:sz w:val="17"/>
                <w:szCs w:val="17"/>
                <w:lang w:eastAsia="ar-SA"/>
              </w:rPr>
              <w:t>模板內）</w:t>
            </w:r>
            <w:r w:rsidRPr="00272D6C">
              <w:rPr>
                <w:rFonts w:eastAsia="細明體" w:cs="Segoe UI"/>
                <w:sz w:val="17"/>
                <w:szCs w:val="17"/>
                <w:lang w:val="en-US" w:eastAsia="ar-SA"/>
              </w:rPr>
              <w:t>。</w:t>
            </w:r>
            <w:r w:rsidRPr="00272D6C">
              <w:rPr>
                <w:rFonts w:eastAsia="細明體" w:cs="Segoe UI" w:hint="eastAsia"/>
                <w:sz w:val="17"/>
                <w:szCs w:val="17"/>
                <w:lang w:val="en-US" w:eastAsia="ar-SA"/>
              </w:rPr>
              <w:t>就使用</w:t>
            </w:r>
            <w:r w:rsidRPr="00272D6C">
              <w:rPr>
                <w:rFonts w:eastAsia="細明體" w:cs="Segoe UI"/>
                <w:sz w:val="17"/>
                <w:szCs w:val="17"/>
                <w:lang w:val="en-US" w:eastAsia="ar-SA"/>
              </w:rPr>
              <w:t>IRB</w:t>
            </w:r>
            <w:r w:rsidRPr="00272D6C">
              <w:rPr>
                <w:rFonts w:eastAsia="細明體" w:cs="Segoe UI" w:hint="eastAsia"/>
                <w:sz w:val="17"/>
                <w:szCs w:val="17"/>
                <w:lang w:val="en-US" w:eastAsia="ar-SA"/>
              </w:rPr>
              <w:t>計算法的認可機構而言，應</w:t>
            </w:r>
            <w:r w:rsidR="00C45F85">
              <w:rPr>
                <w:rFonts w:eastAsia="細明體" w:cs="Segoe UI" w:hint="eastAsia"/>
                <w:sz w:val="17"/>
                <w:szCs w:val="17"/>
                <w:lang w:val="en-US" w:eastAsia="zh-HK"/>
              </w:rPr>
              <w:t>就該計算法下的風</w:t>
            </w:r>
            <w:r w:rsidR="00C45F85">
              <w:rPr>
                <w:rFonts w:eastAsia="細明體" w:cs="Segoe UI" w:hint="eastAsia"/>
                <w:sz w:val="17"/>
                <w:szCs w:val="17"/>
                <w:lang w:val="en-US" w:eastAsia="zh-TW"/>
              </w:rPr>
              <w:t>險</w:t>
            </w:r>
            <w:r w:rsidR="00C45F85">
              <w:rPr>
                <w:rFonts w:eastAsia="細明體" w:cs="Segoe UI" w:hint="eastAsia"/>
                <w:sz w:val="17"/>
                <w:szCs w:val="17"/>
                <w:lang w:val="en-US" w:eastAsia="zh-HK"/>
              </w:rPr>
              <w:t>承</w:t>
            </w:r>
            <w:r w:rsidR="00C45F85">
              <w:rPr>
                <w:rFonts w:eastAsia="細明體" w:cs="Segoe UI" w:hint="eastAsia"/>
                <w:sz w:val="17"/>
                <w:szCs w:val="17"/>
                <w:lang w:val="en-US" w:eastAsia="zh-TW"/>
              </w:rPr>
              <w:t>擔</w:t>
            </w:r>
            <w:r w:rsidRPr="00272D6C">
              <w:rPr>
                <w:rFonts w:eastAsia="細明體" w:cs="Segoe UI" w:hint="eastAsia"/>
                <w:sz w:val="17"/>
                <w:szCs w:val="17"/>
                <w:lang w:val="en-US" w:eastAsia="ar-SA"/>
              </w:rPr>
              <w:t>使用</w:t>
            </w:r>
            <w:r w:rsidRPr="00272D6C">
              <w:rPr>
                <w:rFonts w:eastAsia="細明體" w:cs="Segoe UI"/>
                <w:sz w:val="17"/>
                <w:szCs w:val="17"/>
                <w:lang w:val="en-US" w:eastAsia="ar-SA"/>
              </w:rPr>
              <w:t>《資本規則》</w:t>
            </w:r>
            <w:r w:rsidRPr="00272D6C">
              <w:rPr>
                <w:rFonts w:eastAsia="細明體" w:cs="Segoe UI" w:hint="eastAsia"/>
                <w:sz w:val="17"/>
                <w:szCs w:val="17"/>
                <w:lang w:val="en-US" w:eastAsia="ar-SA"/>
              </w:rPr>
              <w:t>第</w:t>
            </w:r>
            <w:r w:rsidRPr="00272D6C">
              <w:rPr>
                <w:rFonts w:eastAsia="細明體" w:cs="Segoe UI"/>
                <w:sz w:val="17"/>
                <w:szCs w:val="17"/>
                <w:lang w:val="en-US" w:eastAsia="ar-SA"/>
              </w:rPr>
              <w:t>149</w:t>
            </w:r>
            <w:r w:rsidRPr="00272D6C">
              <w:rPr>
                <w:rFonts w:eastAsia="細明體" w:cs="Segoe UI" w:hint="eastAsia"/>
                <w:sz w:val="17"/>
                <w:szCs w:val="17"/>
                <w:lang w:val="en-US" w:eastAsia="ar-SA"/>
              </w:rPr>
              <w:t>條下所設定的違責</w:t>
            </w:r>
            <w:r w:rsidRPr="00272D6C">
              <w:rPr>
                <w:rFonts w:eastAsia="細明體" w:cs="Segoe UI"/>
                <w:sz w:val="17"/>
                <w:szCs w:val="17"/>
                <w:lang w:val="en-US" w:eastAsia="ar-SA"/>
              </w:rPr>
              <w:t>定義</w:t>
            </w:r>
            <w:r w:rsidRPr="00272D6C">
              <w:rPr>
                <w:rFonts w:eastAsia="細明體" w:cs="Segoe UI" w:hint="eastAsia"/>
                <w:sz w:val="17"/>
                <w:szCs w:val="17"/>
                <w:lang w:val="en-US" w:eastAsia="ar-SA"/>
              </w:rPr>
              <w:t>。</w:t>
            </w:r>
          </w:p>
        </w:tc>
      </w:tr>
      <w:tr w:rsidR="00272D6C" w:rsidRPr="00272D6C" w14:paraId="4A6B7357" w14:textId="77777777" w:rsidTr="005171C5">
        <w:trPr>
          <w:trHeight w:val="373"/>
        </w:trPr>
        <w:tc>
          <w:tcPr>
            <w:tcW w:w="709" w:type="dxa"/>
            <w:tcBorders>
              <w:top w:val="single" w:sz="4" w:space="0" w:color="000000"/>
              <w:left w:val="single" w:sz="4" w:space="0" w:color="000000"/>
              <w:bottom w:val="single" w:sz="4" w:space="0" w:color="000000"/>
            </w:tcBorders>
            <w:shd w:val="clear" w:color="auto" w:fill="auto"/>
          </w:tcPr>
          <w:p w14:paraId="527AC2AA"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i/>
                <w:sz w:val="17"/>
                <w:szCs w:val="17"/>
                <w:lang w:eastAsia="ar-SA"/>
              </w:rPr>
            </w:pPr>
            <w:r w:rsidRPr="00272D6C">
              <w:rPr>
                <w:rFonts w:eastAsia="細明體" w:cs="Segoe UI"/>
                <w:sz w:val="17"/>
                <w:szCs w:val="17"/>
                <w:lang w:eastAsia="ar-SA"/>
              </w:rPr>
              <w:t>(b)</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4A8AD072" w14:textId="4961AF5F"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非違責風險承擔</w:t>
            </w:r>
            <w:r w:rsidRPr="00272D6C">
              <w:rPr>
                <w:rFonts w:eastAsia="細明體" w:cs="Segoe UI" w:hint="eastAsia"/>
                <w:sz w:val="17"/>
                <w:szCs w:val="17"/>
                <w:lang w:eastAsia="ar-SA"/>
              </w:rPr>
              <w:t>：任何不符合上述有關違責風險承擔的定義的風險承擔。</w:t>
            </w:r>
          </w:p>
        </w:tc>
      </w:tr>
      <w:tr w:rsidR="00272D6C" w:rsidRPr="00272D6C" w14:paraId="27DEAFA2" w14:textId="77777777" w:rsidTr="005171C5">
        <w:tc>
          <w:tcPr>
            <w:tcW w:w="709" w:type="dxa"/>
            <w:tcBorders>
              <w:top w:val="single" w:sz="4" w:space="0" w:color="000000"/>
              <w:left w:val="single" w:sz="4" w:space="0" w:color="000000"/>
              <w:bottom w:val="single" w:sz="4" w:space="0" w:color="000000"/>
            </w:tcBorders>
            <w:shd w:val="clear" w:color="auto" w:fill="auto"/>
          </w:tcPr>
          <w:p w14:paraId="1734A6DA"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i/>
                <w:sz w:val="17"/>
                <w:szCs w:val="17"/>
                <w:lang w:eastAsia="ar-SA"/>
              </w:rPr>
            </w:pPr>
            <w:r w:rsidRPr="00272D6C">
              <w:rPr>
                <w:rFonts w:eastAsia="細明體" w:cs="Segoe UI"/>
                <w:sz w:val="17"/>
                <w:szCs w:val="17"/>
                <w:lang w:eastAsia="ar-SA"/>
              </w:rPr>
              <w:t>(c)</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59F1AF4B" w14:textId="77777777"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備抵</w:t>
            </w:r>
            <w:r w:rsidRPr="00272D6C">
              <w:rPr>
                <w:rFonts w:eastAsia="細明體" w:cs="Segoe UI"/>
                <w:i/>
                <w:sz w:val="17"/>
                <w:szCs w:val="17"/>
                <w:lang w:eastAsia="ar-SA"/>
              </w:rPr>
              <w:t>/</w:t>
            </w:r>
            <w:r w:rsidRPr="00272D6C">
              <w:rPr>
                <w:rFonts w:eastAsia="細明體" w:cs="Segoe UI" w:hint="eastAsia"/>
                <w:i/>
                <w:sz w:val="17"/>
                <w:szCs w:val="17"/>
                <w:lang w:eastAsia="ar-SA"/>
              </w:rPr>
              <w:t>減值</w:t>
            </w:r>
            <w:r w:rsidRPr="00272D6C">
              <w:rPr>
                <w:rFonts w:eastAsia="細明體" w:cs="Segoe UI" w:hint="eastAsia"/>
                <w:sz w:val="17"/>
                <w:szCs w:val="17"/>
                <w:lang w:eastAsia="ar-SA"/>
              </w:rPr>
              <w:t>：按照編製認可機構的財務報表所適用的會計準則，透過備抵方式就已減值及未減值風險承擔作出的減值總額。</w:t>
            </w:r>
            <w:r w:rsidRPr="00272D6C">
              <w:rPr>
                <w:rFonts w:eastAsia="細明體" w:cs="Segoe UI" w:hint="eastAsia"/>
                <w:sz w:val="17"/>
                <w:szCs w:val="17"/>
                <w:lang w:eastAsia="zh-TW"/>
              </w:rPr>
              <w:t>「</w:t>
            </w:r>
            <w:proofErr w:type="gramStart"/>
            <w:r w:rsidRPr="00272D6C">
              <w:rPr>
                <w:rFonts w:eastAsia="細明體" w:cs="Segoe UI" w:hint="eastAsia"/>
                <w:sz w:val="17"/>
                <w:szCs w:val="17"/>
                <w:lang w:eastAsia="zh-TW"/>
              </w:rPr>
              <w:t>已減值風險</w:t>
            </w:r>
            <w:proofErr w:type="gramEnd"/>
            <w:r w:rsidRPr="00272D6C">
              <w:rPr>
                <w:rFonts w:eastAsia="細明體" w:cs="Segoe UI" w:hint="eastAsia"/>
                <w:sz w:val="17"/>
                <w:szCs w:val="17"/>
                <w:lang w:eastAsia="zh-TW"/>
              </w:rPr>
              <w:t>承擔」指在</w:t>
            </w:r>
            <w:r w:rsidRPr="00272D6C">
              <w:rPr>
                <w:rFonts w:eastAsia="細明體" w:cs="Segoe UI"/>
                <w:sz w:val="17"/>
                <w:szCs w:val="17"/>
                <w:lang w:val="en-US" w:eastAsia="ar-SA"/>
              </w:rPr>
              <w:t>《</w:t>
            </w:r>
            <w:r w:rsidRPr="00272D6C">
              <w:rPr>
                <w:rFonts w:eastAsia="細明體" w:cs="Segoe UI" w:hint="eastAsia"/>
                <w:sz w:val="17"/>
                <w:szCs w:val="17"/>
                <w:lang w:eastAsia="zh-TW"/>
              </w:rPr>
              <w:t>香港財務報告準則</w:t>
            </w:r>
            <w:r w:rsidRPr="00272D6C">
              <w:rPr>
                <w:rFonts w:eastAsia="細明體" w:cs="Segoe UI"/>
                <w:sz w:val="17"/>
                <w:szCs w:val="17"/>
                <w:lang w:val="en-US" w:eastAsia="ar-SA"/>
              </w:rPr>
              <w:t>》</w:t>
            </w:r>
            <w:r w:rsidRPr="00272D6C">
              <w:rPr>
                <w:rFonts w:eastAsia="細明體" w:cs="Segoe UI" w:hint="eastAsia"/>
                <w:sz w:val="17"/>
                <w:szCs w:val="17"/>
                <w:lang w:eastAsia="zh-TW"/>
              </w:rPr>
              <w:t>第</w:t>
            </w:r>
            <w:r w:rsidRPr="00272D6C">
              <w:rPr>
                <w:rFonts w:eastAsia="細明體" w:cs="Segoe UI" w:hint="eastAsia"/>
                <w:sz w:val="17"/>
                <w:szCs w:val="17"/>
                <w:lang w:eastAsia="zh-TW"/>
              </w:rPr>
              <w:t>9</w:t>
            </w:r>
            <w:r w:rsidRPr="00272D6C">
              <w:rPr>
                <w:rFonts w:eastAsia="細明體" w:cs="Segoe UI" w:hint="eastAsia"/>
                <w:sz w:val="17"/>
                <w:szCs w:val="17"/>
                <w:lang w:eastAsia="zh-TW"/>
              </w:rPr>
              <w:t>號</w:t>
            </w:r>
            <w:r w:rsidRPr="00272D6C">
              <w:rPr>
                <w:rFonts w:eastAsia="細明體" w:cs="Segoe UI" w:hint="eastAsia"/>
                <w:sz w:val="17"/>
                <w:szCs w:val="17"/>
                <w:lang w:eastAsia="zh-TW"/>
              </w:rPr>
              <w:t xml:space="preserve"> / </w:t>
            </w:r>
            <w:r w:rsidRPr="00272D6C">
              <w:rPr>
                <w:rFonts w:eastAsia="細明體" w:cs="Segoe UI"/>
                <w:sz w:val="17"/>
                <w:szCs w:val="17"/>
                <w:lang w:val="en-US" w:eastAsia="ar-SA"/>
              </w:rPr>
              <w:t>《</w:t>
            </w:r>
            <w:r w:rsidRPr="00272D6C">
              <w:rPr>
                <w:rFonts w:eastAsia="細明體" w:cs="Segoe UI" w:hint="eastAsia"/>
                <w:sz w:val="17"/>
                <w:szCs w:val="17"/>
                <w:lang w:eastAsia="zh-TW"/>
              </w:rPr>
              <w:t>國際財務報告準則</w:t>
            </w:r>
            <w:r w:rsidRPr="00272D6C">
              <w:rPr>
                <w:rFonts w:eastAsia="細明體" w:cs="Segoe UI"/>
                <w:sz w:val="17"/>
                <w:szCs w:val="17"/>
                <w:lang w:val="en-US" w:eastAsia="ar-SA"/>
              </w:rPr>
              <w:t>》</w:t>
            </w:r>
            <w:r w:rsidRPr="00272D6C">
              <w:rPr>
                <w:rFonts w:eastAsia="細明體" w:cs="Segoe UI" w:hint="eastAsia"/>
                <w:sz w:val="17"/>
                <w:szCs w:val="17"/>
                <w:lang w:eastAsia="zh-TW"/>
              </w:rPr>
              <w:t>第</w:t>
            </w:r>
            <w:r w:rsidRPr="00272D6C">
              <w:rPr>
                <w:rFonts w:eastAsia="細明體" w:cs="Segoe UI" w:hint="eastAsia"/>
                <w:sz w:val="17"/>
                <w:szCs w:val="17"/>
                <w:lang w:eastAsia="zh-TW"/>
              </w:rPr>
              <w:t>9</w:t>
            </w:r>
            <w:r w:rsidRPr="00272D6C">
              <w:rPr>
                <w:rFonts w:eastAsia="細明體" w:cs="Segoe UI" w:hint="eastAsia"/>
                <w:sz w:val="17"/>
                <w:szCs w:val="17"/>
                <w:lang w:eastAsia="zh-TW"/>
              </w:rPr>
              <w:t>號附錄</w:t>
            </w:r>
            <w:r w:rsidRPr="00272D6C">
              <w:rPr>
                <w:rFonts w:eastAsia="細明體" w:cs="Segoe UI"/>
                <w:sz w:val="17"/>
                <w:szCs w:val="17"/>
                <w:lang w:eastAsia="zh-TW"/>
              </w:rPr>
              <w:t>A</w:t>
            </w:r>
            <w:r w:rsidRPr="00272D6C">
              <w:rPr>
                <w:rFonts w:eastAsia="細明體" w:cs="Segoe UI" w:hint="eastAsia"/>
                <w:sz w:val="17"/>
                <w:szCs w:val="17"/>
                <w:lang w:eastAsia="zh-TW"/>
              </w:rPr>
              <w:t>內被視為「</w:t>
            </w:r>
            <w:proofErr w:type="gramStart"/>
            <w:r w:rsidRPr="00272D6C">
              <w:rPr>
                <w:rFonts w:eastAsia="細明體" w:cs="Segoe UI" w:hint="eastAsia"/>
                <w:sz w:val="17"/>
                <w:szCs w:val="17"/>
                <w:lang w:eastAsia="zh-TW"/>
              </w:rPr>
              <w:t>已減值信貸</w:t>
            </w:r>
            <w:proofErr w:type="gramEnd"/>
            <w:r w:rsidRPr="00272D6C">
              <w:rPr>
                <w:rFonts w:eastAsia="細明體" w:cs="Segoe UI" w:hint="eastAsia"/>
                <w:sz w:val="17"/>
                <w:szCs w:val="17"/>
                <w:lang w:eastAsia="zh-TW"/>
              </w:rPr>
              <w:t>」</w:t>
            </w:r>
            <w:r w:rsidRPr="00272D6C">
              <w:rPr>
                <w:rFonts w:eastAsia="細明體" w:cs="Segoe UI" w:hint="eastAsia"/>
                <w:sz w:val="17"/>
                <w:szCs w:val="17"/>
                <w:lang w:eastAsia="zh-TW"/>
              </w:rPr>
              <w:t>(credit-impaired)</w:t>
            </w:r>
            <w:r w:rsidRPr="00272D6C">
              <w:rPr>
                <w:rFonts w:eastAsia="細明體" w:cs="Segoe UI" w:hint="eastAsia"/>
                <w:sz w:val="17"/>
                <w:szCs w:val="17"/>
                <w:lang w:eastAsia="zh-TW"/>
              </w:rPr>
              <w:t>的風險承擔。</w:t>
            </w:r>
          </w:p>
        </w:tc>
      </w:tr>
      <w:tr w:rsidR="00272D6C" w:rsidRPr="00272D6C" w14:paraId="3E98ED09" w14:textId="77777777" w:rsidTr="005171C5">
        <w:tc>
          <w:tcPr>
            <w:tcW w:w="709" w:type="dxa"/>
            <w:tcBorders>
              <w:top w:val="single" w:sz="4" w:space="0" w:color="000000"/>
              <w:left w:val="single" w:sz="4" w:space="0" w:color="000000"/>
              <w:bottom w:val="single" w:sz="4" w:space="0" w:color="000000"/>
            </w:tcBorders>
            <w:shd w:val="clear" w:color="auto" w:fill="auto"/>
          </w:tcPr>
          <w:p w14:paraId="25049619"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sz w:val="17"/>
                <w:szCs w:val="17"/>
                <w:lang w:eastAsia="zh-TW"/>
              </w:rPr>
            </w:pPr>
            <w:r w:rsidRPr="00272D6C">
              <w:rPr>
                <w:rFonts w:eastAsia="細明體" w:cs="Segoe UI" w:hint="eastAsia"/>
                <w:sz w:val="17"/>
                <w:szCs w:val="17"/>
                <w:lang w:eastAsia="zh-TW"/>
              </w:rPr>
              <w:t xml:space="preserve">(d) </w:t>
            </w:r>
            <w:r w:rsidRPr="00272D6C">
              <w:rPr>
                <w:rFonts w:eastAsia="細明體" w:cs="Segoe UI" w:hint="eastAsia"/>
                <w:sz w:val="17"/>
                <w:szCs w:val="17"/>
                <w:lang w:eastAsia="zh-TW"/>
              </w:rPr>
              <w:t>至</w:t>
            </w:r>
            <w:r w:rsidRPr="00272D6C">
              <w:rPr>
                <w:rFonts w:eastAsia="細明體" w:cs="Segoe UI" w:hint="eastAsia"/>
                <w:sz w:val="17"/>
                <w:szCs w:val="17"/>
                <w:lang w:eastAsia="zh-TW"/>
              </w:rPr>
              <w:t xml:space="preserve"> (f)</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3BFEF20F" w14:textId="77777777"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eastAsia="細明體" w:cs="Segoe UI"/>
                <w:sz w:val="17"/>
                <w:szCs w:val="17"/>
                <w:lang w:eastAsia="ar-SA"/>
              </w:rPr>
            </w:pPr>
            <w:r w:rsidRPr="00272D6C">
              <w:rPr>
                <w:rFonts w:eastAsia="細明體" w:cs="Segoe UI" w:hint="eastAsia"/>
                <w:sz w:val="17"/>
                <w:szCs w:val="17"/>
                <w:lang w:eastAsia="zh-TW"/>
              </w:rPr>
              <w:t>認</w:t>
            </w:r>
            <w:r w:rsidRPr="00272D6C">
              <w:rPr>
                <w:rFonts w:eastAsia="細明體" w:cs="Segoe UI" w:hint="eastAsia"/>
                <w:sz w:val="17"/>
                <w:szCs w:val="17"/>
                <w:lang w:eastAsia="ar-SA"/>
              </w:rPr>
              <w:t>可機構</w:t>
            </w:r>
            <w:r w:rsidRPr="00272D6C">
              <w:rPr>
                <w:rFonts w:eastAsia="細明體" w:cs="Segoe UI" w:hint="eastAsia"/>
                <w:sz w:val="17"/>
                <w:szCs w:val="17"/>
                <w:lang w:eastAsia="zh-TW"/>
              </w:rPr>
              <w:t>填報</w:t>
            </w:r>
            <w:r w:rsidRPr="00272D6C">
              <w:rPr>
                <w:rFonts w:eastAsia="細明體" w:cs="Segoe UI" w:hint="eastAsia"/>
                <w:sz w:val="17"/>
                <w:szCs w:val="17"/>
                <w:lang w:eastAsia="zh-TW"/>
              </w:rPr>
              <w:t>(d)</w:t>
            </w:r>
            <w:r w:rsidRPr="00272D6C">
              <w:rPr>
                <w:rFonts w:eastAsia="細明體" w:cs="Segoe UI" w:hint="eastAsia"/>
                <w:sz w:val="17"/>
                <w:szCs w:val="17"/>
                <w:lang w:eastAsia="zh-TW"/>
              </w:rPr>
              <w:t>至</w:t>
            </w:r>
            <w:r w:rsidRPr="00272D6C">
              <w:rPr>
                <w:rFonts w:eastAsia="細明體" w:cs="Segoe UI" w:hint="eastAsia"/>
                <w:sz w:val="17"/>
                <w:szCs w:val="17"/>
                <w:lang w:eastAsia="zh-TW"/>
              </w:rPr>
              <w:t>(f)</w:t>
            </w:r>
            <w:r w:rsidRPr="00272D6C">
              <w:rPr>
                <w:rFonts w:eastAsia="細明體" w:cs="Segoe UI" w:hint="eastAsia"/>
                <w:sz w:val="17"/>
                <w:szCs w:val="17"/>
                <w:lang w:eastAsia="zh-TW"/>
              </w:rPr>
              <w:t>欄時須依據</w:t>
            </w:r>
            <w:r w:rsidRPr="00272D6C">
              <w:rPr>
                <w:rFonts w:eastAsia="細明體" w:cs="Segoe UI" w:hint="eastAsia"/>
                <w:sz w:val="17"/>
                <w:szCs w:val="17"/>
                <w:lang w:eastAsia="ar-SA"/>
              </w:rPr>
              <w:t>會計準備金</w:t>
            </w:r>
            <w:r w:rsidRPr="00272D6C">
              <w:rPr>
                <w:rFonts w:eastAsia="細明體" w:cs="Segoe UI" w:hint="eastAsia"/>
                <w:sz w:val="17"/>
                <w:szCs w:val="17"/>
                <w:lang w:eastAsia="zh-TW"/>
              </w:rPr>
              <w:t>的分類區分其為符合</w:t>
            </w:r>
            <w:r w:rsidRPr="00272D6C">
              <w:rPr>
                <w:rFonts w:eastAsia="細明體" w:cs="Segoe UI" w:hint="eastAsia"/>
                <w:sz w:val="17"/>
                <w:szCs w:val="17"/>
                <w:lang w:eastAsia="ar-SA"/>
              </w:rPr>
              <w:t>集體準備金</w:t>
            </w:r>
            <w:r w:rsidRPr="00272D6C">
              <w:rPr>
                <w:rFonts w:eastAsia="細明體" w:cs="Segoe UI" w:hint="eastAsia"/>
                <w:sz w:val="17"/>
                <w:szCs w:val="17"/>
                <w:lang w:eastAsia="zh-TW"/>
              </w:rPr>
              <w:t>條件的類別和</w:t>
            </w:r>
            <w:r w:rsidRPr="00272D6C">
              <w:rPr>
                <w:rFonts w:eastAsia="細明體" w:cs="Segoe UI" w:hint="eastAsia"/>
                <w:sz w:val="17"/>
                <w:szCs w:val="17"/>
                <w:lang w:eastAsia="ar-SA"/>
              </w:rPr>
              <w:t>特定準備金</w:t>
            </w:r>
            <w:r w:rsidRPr="00272D6C">
              <w:rPr>
                <w:rFonts w:eastAsia="細明體" w:cs="Segoe UI" w:hint="eastAsia"/>
                <w:sz w:val="17"/>
                <w:szCs w:val="17"/>
                <w:lang w:eastAsia="zh-TW"/>
              </w:rPr>
              <w:t>的類別。此分類必須與表</w:t>
            </w:r>
            <w:r w:rsidRPr="00272D6C">
              <w:rPr>
                <w:rFonts w:eastAsia="細明體" w:cs="Segoe UI" w:hint="eastAsia"/>
                <w:sz w:val="17"/>
                <w:szCs w:val="17"/>
                <w:lang w:eastAsia="zh-TW"/>
              </w:rPr>
              <w:t>CRB</w:t>
            </w:r>
            <w:r w:rsidRPr="00272D6C">
              <w:rPr>
                <w:rFonts w:eastAsia="細明體" w:cs="Segoe UI" w:hint="eastAsia"/>
                <w:sz w:val="17"/>
                <w:szCs w:val="17"/>
                <w:lang w:eastAsia="zh-TW"/>
              </w:rPr>
              <w:t>內提供的資料一致。</w:t>
            </w:r>
          </w:p>
        </w:tc>
      </w:tr>
      <w:tr w:rsidR="00272D6C" w:rsidRPr="00272D6C" w14:paraId="74310FD2" w14:textId="77777777" w:rsidTr="005171C5">
        <w:tc>
          <w:tcPr>
            <w:tcW w:w="709" w:type="dxa"/>
            <w:tcBorders>
              <w:top w:val="single" w:sz="4" w:space="0" w:color="000000"/>
              <w:left w:val="single" w:sz="4" w:space="0" w:color="000000"/>
              <w:bottom w:val="single" w:sz="4" w:space="0" w:color="000000"/>
            </w:tcBorders>
            <w:shd w:val="clear" w:color="auto" w:fill="auto"/>
          </w:tcPr>
          <w:p w14:paraId="0BCA45F8"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i/>
                <w:sz w:val="17"/>
                <w:szCs w:val="17"/>
                <w:lang w:eastAsia="ar-SA"/>
              </w:rPr>
            </w:pPr>
            <w:r w:rsidRPr="00272D6C">
              <w:rPr>
                <w:rFonts w:eastAsia="細明體" w:cs="Segoe UI"/>
                <w:sz w:val="17"/>
                <w:szCs w:val="17"/>
                <w:lang w:eastAsia="ar-SA"/>
              </w:rPr>
              <w:t>(</w:t>
            </w:r>
            <w:r w:rsidRPr="00272D6C">
              <w:rPr>
                <w:rFonts w:eastAsia="細明體" w:cs="Segoe UI" w:hint="eastAsia"/>
                <w:sz w:val="17"/>
                <w:szCs w:val="17"/>
                <w:lang w:eastAsia="zh-TW"/>
              </w:rPr>
              <w:t>g</w:t>
            </w:r>
            <w:r w:rsidRPr="00272D6C">
              <w:rPr>
                <w:rFonts w:eastAsia="細明體" w:cs="Segoe UI"/>
                <w:sz w:val="17"/>
                <w:szCs w:val="17"/>
                <w:lang w:eastAsia="ar-SA"/>
              </w:rPr>
              <w:t>)</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69EAEA72" w14:textId="77777777"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淨值</w:t>
            </w:r>
            <w:r w:rsidRPr="00272D6C">
              <w:rPr>
                <w:rFonts w:eastAsia="細明體" w:cs="Segoe UI" w:hint="eastAsia"/>
                <w:sz w:val="17"/>
                <w:szCs w:val="17"/>
                <w:lang w:eastAsia="ar-SA"/>
              </w:rPr>
              <w:t>：帳面值總額減除備抵</w:t>
            </w:r>
            <w:r w:rsidRPr="00272D6C">
              <w:rPr>
                <w:rFonts w:eastAsia="細明體" w:cs="Segoe UI"/>
                <w:sz w:val="17"/>
                <w:szCs w:val="17"/>
                <w:lang w:eastAsia="ar-SA"/>
              </w:rPr>
              <w:t>/</w:t>
            </w:r>
            <w:r w:rsidRPr="00272D6C">
              <w:rPr>
                <w:rFonts w:eastAsia="細明體" w:cs="Segoe UI" w:hint="eastAsia"/>
                <w:sz w:val="17"/>
                <w:szCs w:val="17"/>
                <w:lang w:eastAsia="ar-SA"/>
              </w:rPr>
              <w:t>減值，並相等於</w:t>
            </w:r>
            <w:r w:rsidRPr="00272D6C">
              <w:rPr>
                <w:rFonts w:eastAsia="細明體" w:cs="Segoe UI"/>
                <w:sz w:val="17"/>
                <w:szCs w:val="17"/>
                <w:lang w:eastAsia="ar-SA"/>
              </w:rPr>
              <w:t>(a)</w:t>
            </w:r>
            <w:r w:rsidRPr="00272D6C">
              <w:rPr>
                <w:rFonts w:eastAsia="細明體" w:cs="Segoe UI" w:hint="eastAsia"/>
                <w:sz w:val="17"/>
                <w:szCs w:val="17"/>
                <w:lang w:eastAsia="ar-SA"/>
              </w:rPr>
              <w:t>至</w:t>
            </w:r>
            <w:r w:rsidRPr="00272D6C">
              <w:rPr>
                <w:rFonts w:eastAsia="細明體" w:cs="Segoe UI"/>
                <w:sz w:val="17"/>
                <w:szCs w:val="17"/>
                <w:lang w:eastAsia="ar-SA"/>
              </w:rPr>
              <w:t>(b)</w:t>
            </w:r>
            <w:r w:rsidRPr="00272D6C">
              <w:rPr>
                <w:rFonts w:eastAsia="細明體" w:cs="Segoe UI"/>
                <w:sz w:val="17"/>
                <w:szCs w:val="17"/>
                <w:lang w:eastAsia="ar-SA"/>
              </w:rPr>
              <w:t>欄</w:t>
            </w:r>
            <w:r w:rsidRPr="00272D6C">
              <w:rPr>
                <w:rFonts w:eastAsia="細明體" w:cs="Segoe UI" w:hint="eastAsia"/>
                <w:sz w:val="17"/>
                <w:szCs w:val="17"/>
                <w:lang w:eastAsia="ar-SA"/>
              </w:rPr>
              <w:t>的值的和減除</w:t>
            </w:r>
            <w:r w:rsidRPr="00272D6C">
              <w:rPr>
                <w:rFonts w:eastAsia="細明體" w:cs="Segoe UI"/>
                <w:sz w:val="17"/>
                <w:szCs w:val="17"/>
                <w:lang w:eastAsia="ar-SA"/>
              </w:rPr>
              <w:t>(c)</w:t>
            </w:r>
            <w:r w:rsidRPr="00272D6C">
              <w:rPr>
                <w:rFonts w:eastAsia="細明體" w:cs="Segoe UI"/>
                <w:sz w:val="17"/>
                <w:szCs w:val="17"/>
                <w:lang w:eastAsia="ar-SA"/>
              </w:rPr>
              <w:t>欄</w:t>
            </w:r>
            <w:r w:rsidRPr="00272D6C">
              <w:rPr>
                <w:rFonts w:eastAsia="細明體" w:cs="Segoe UI" w:hint="eastAsia"/>
                <w:sz w:val="17"/>
                <w:szCs w:val="17"/>
                <w:lang w:eastAsia="ar-SA"/>
              </w:rPr>
              <w:t>的值。</w:t>
            </w:r>
          </w:p>
        </w:tc>
      </w:tr>
      <w:tr w:rsidR="00272D6C" w:rsidRPr="00272D6C" w14:paraId="3716B973" w14:textId="77777777" w:rsidTr="005171C5">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938E786"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lang w:eastAsia="ar-SA"/>
              </w:rPr>
              <w:t>行</w:t>
            </w:r>
          </w:p>
        </w:tc>
      </w:tr>
      <w:tr w:rsidR="00272D6C" w:rsidRPr="00272D6C" w14:paraId="44984C7D" w14:textId="77777777" w:rsidTr="005171C5">
        <w:tc>
          <w:tcPr>
            <w:tcW w:w="709" w:type="dxa"/>
            <w:tcBorders>
              <w:top w:val="single" w:sz="4" w:space="0" w:color="000000"/>
              <w:left w:val="single" w:sz="4" w:space="0" w:color="000000"/>
              <w:bottom w:val="single" w:sz="4" w:space="0" w:color="000000"/>
            </w:tcBorders>
            <w:shd w:val="clear" w:color="auto" w:fill="auto"/>
          </w:tcPr>
          <w:p w14:paraId="7DD54C56"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i/>
                <w:sz w:val="17"/>
                <w:szCs w:val="17"/>
                <w:lang w:eastAsia="ar-SA"/>
              </w:rPr>
            </w:pPr>
            <w:r w:rsidRPr="00272D6C">
              <w:rPr>
                <w:rFonts w:eastAsia="細明體" w:cs="Segoe UI"/>
                <w:sz w:val="17"/>
                <w:szCs w:val="17"/>
                <w:lang w:eastAsia="ar-SA"/>
              </w:rPr>
              <w:t>1</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7ADE7E18" w14:textId="4391ADB2"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貸款</w:t>
            </w:r>
            <w:r w:rsidRPr="00272D6C">
              <w:rPr>
                <w:rFonts w:eastAsia="細明體" w:cs="Segoe UI" w:hint="eastAsia"/>
                <w:sz w:val="17"/>
                <w:szCs w:val="17"/>
                <w:lang w:eastAsia="ar-SA"/>
              </w:rPr>
              <w:t>：</w:t>
            </w:r>
            <w:r w:rsidRPr="00272D6C">
              <w:rPr>
                <w:rFonts w:eastAsia="細明體" w:cs="Segoe UI"/>
                <w:sz w:val="17"/>
                <w:szCs w:val="17"/>
                <w:lang w:eastAsia="ar-SA"/>
              </w:rPr>
              <w:t>[CR1:1/</w:t>
            </w:r>
            <w:r w:rsidRPr="00272D6C">
              <w:rPr>
                <w:rFonts w:eastAsia="細明體" w:cs="Segoe UI" w:hint="eastAsia"/>
                <w:sz w:val="17"/>
                <w:szCs w:val="17"/>
                <w:lang w:eastAsia="zh-TW"/>
              </w:rPr>
              <w:t>g</w:t>
            </w:r>
            <w:r w:rsidRPr="00272D6C">
              <w:rPr>
                <w:rFonts w:eastAsia="細明體" w:cs="Segoe UI"/>
                <w:sz w:val="17"/>
                <w:szCs w:val="17"/>
                <w:lang w:eastAsia="ar-SA"/>
              </w:rPr>
              <w:t>]</w:t>
            </w:r>
            <w:r w:rsidRPr="00272D6C">
              <w:rPr>
                <w:rFonts w:eastAsia="細明體" w:cs="Segoe UI" w:hint="eastAsia"/>
                <w:sz w:val="17"/>
                <w:szCs w:val="17"/>
                <w:lang w:eastAsia="ar-SA"/>
              </w:rPr>
              <w:t>的值相等於</w:t>
            </w:r>
            <w:r w:rsidRPr="00272D6C">
              <w:rPr>
                <w:rFonts w:eastAsia="細明體" w:cs="Segoe UI"/>
                <w:sz w:val="17"/>
                <w:szCs w:val="17"/>
                <w:lang w:eastAsia="ar-SA"/>
              </w:rPr>
              <w:t>[CR3:1/a]</w:t>
            </w:r>
            <w:r w:rsidRPr="00272D6C">
              <w:rPr>
                <w:rFonts w:eastAsia="細明體" w:cs="Segoe UI" w:hint="eastAsia"/>
                <w:sz w:val="17"/>
                <w:szCs w:val="17"/>
                <w:lang w:eastAsia="ar-SA"/>
              </w:rPr>
              <w:t>及</w:t>
            </w:r>
            <w:r w:rsidRPr="00272D6C">
              <w:rPr>
                <w:rFonts w:eastAsia="細明體" w:cs="Segoe UI"/>
                <w:sz w:val="17"/>
                <w:szCs w:val="17"/>
                <w:lang w:eastAsia="ar-SA"/>
              </w:rPr>
              <w:t>[CR3:1/b]</w:t>
            </w:r>
            <w:r w:rsidRPr="00272D6C">
              <w:rPr>
                <w:rFonts w:eastAsia="細明體" w:cs="Segoe UI" w:hint="eastAsia"/>
                <w:sz w:val="17"/>
                <w:szCs w:val="17"/>
                <w:lang w:eastAsia="ar-SA"/>
              </w:rPr>
              <w:t>的值的和。</w:t>
            </w:r>
            <w:r w:rsidRPr="00272D6C">
              <w:rPr>
                <w:rFonts w:eastAsia="細明體" w:cs="Segoe UI"/>
                <w:sz w:val="17"/>
                <w:szCs w:val="17"/>
                <w:lang w:eastAsia="ar-SA"/>
              </w:rPr>
              <w:t xml:space="preserve"> </w:t>
            </w:r>
          </w:p>
        </w:tc>
      </w:tr>
      <w:tr w:rsidR="00272D6C" w:rsidRPr="00272D6C" w14:paraId="46C4CE38" w14:textId="77777777" w:rsidTr="005171C5">
        <w:tc>
          <w:tcPr>
            <w:tcW w:w="709" w:type="dxa"/>
            <w:tcBorders>
              <w:top w:val="single" w:sz="4" w:space="0" w:color="000000"/>
              <w:left w:val="single" w:sz="4" w:space="0" w:color="000000"/>
              <w:bottom w:val="single" w:sz="4" w:space="0" w:color="000000"/>
            </w:tcBorders>
            <w:shd w:val="clear" w:color="auto" w:fill="auto"/>
          </w:tcPr>
          <w:p w14:paraId="21BB354C"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i/>
                <w:sz w:val="17"/>
                <w:szCs w:val="17"/>
                <w:lang w:eastAsia="ar-SA"/>
              </w:rPr>
            </w:pPr>
            <w:r w:rsidRPr="00272D6C">
              <w:rPr>
                <w:rFonts w:eastAsia="細明體" w:cs="Segoe UI"/>
                <w:sz w:val="17"/>
                <w:szCs w:val="17"/>
                <w:lang w:eastAsia="ar-SA"/>
              </w:rPr>
              <w:t>2</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25F86EF1" w14:textId="46C16BDE"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債務證券</w:t>
            </w:r>
            <w:r w:rsidRPr="00272D6C">
              <w:rPr>
                <w:rFonts w:eastAsia="細明體" w:cs="Segoe UI" w:hint="eastAsia"/>
                <w:sz w:val="17"/>
                <w:szCs w:val="17"/>
                <w:lang w:eastAsia="ar-SA"/>
              </w:rPr>
              <w:t>：</w:t>
            </w:r>
            <w:r w:rsidRPr="00272D6C">
              <w:rPr>
                <w:rFonts w:eastAsia="細明體" w:cs="Segoe UI"/>
                <w:sz w:val="17"/>
                <w:szCs w:val="17"/>
                <w:lang w:eastAsia="ar-SA"/>
              </w:rPr>
              <w:t>[CR1:2/</w:t>
            </w:r>
            <w:r w:rsidRPr="00272D6C">
              <w:rPr>
                <w:rFonts w:eastAsia="細明體" w:cs="Segoe UI" w:hint="eastAsia"/>
                <w:sz w:val="17"/>
                <w:szCs w:val="17"/>
                <w:lang w:eastAsia="zh-TW"/>
              </w:rPr>
              <w:t>g</w:t>
            </w:r>
            <w:r w:rsidRPr="00272D6C">
              <w:rPr>
                <w:rFonts w:eastAsia="細明體" w:cs="Segoe UI"/>
                <w:sz w:val="17"/>
                <w:szCs w:val="17"/>
                <w:lang w:eastAsia="ar-SA"/>
              </w:rPr>
              <w:t>]</w:t>
            </w:r>
            <w:r w:rsidRPr="00272D6C">
              <w:rPr>
                <w:rFonts w:eastAsia="細明體" w:cs="Segoe UI" w:hint="eastAsia"/>
                <w:sz w:val="17"/>
                <w:szCs w:val="17"/>
                <w:lang w:eastAsia="ar-SA"/>
              </w:rPr>
              <w:t>的值相等於</w:t>
            </w:r>
            <w:r w:rsidRPr="00272D6C">
              <w:rPr>
                <w:rFonts w:eastAsia="細明體" w:cs="Segoe UI"/>
                <w:sz w:val="17"/>
                <w:szCs w:val="17"/>
                <w:lang w:eastAsia="ar-SA"/>
              </w:rPr>
              <w:t>[CR3:2/a]</w:t>
            </w:r>
            <w:r w:rsidRPr="00272D6C">
              <w:rPr>
                <w:rFonts w:eastAsia="細明體" w:cs="Segoe UI" w:hint="eastAsia"/>
                <w:sz w:val="17"/>
                <w:szCs w:val="17"/>
                <w:lang w:eastAsia="ar-SA"/>
              </w:rPr>
              <w:t>及</w:t>
            </w:r>
            <w:r w:rsidRPr="00272D6C">
              <w:rPr>
                <w:rFonts w:eastAsia="細明體" w:cs="Segoe UI"/>
                <w:sz w:val="17"/>
                <w:szCs w:val="17"/>
                <w:lang w:eastAsia="ar-SA"/>
              </w:rPr>
              <w:t>[CR3:2/b]</w:t>
            </w:r>
            <w:r w:rsidRPr="00272D6C">
              <w:rPr>
                <w:rFonts w:eastAsia="細明體" w:cs="Segoe UI" w:hint="eastAsia"/>
                <w:sz w:val="17"/>
                <w:szCs w:val="17"/>
                <w:lang w:eastAsia="ar-SA"/>
              </w:rPr>
              <w:t>的值的和。</w:t>
            </w:r>
          </w:p>
        </w:tc>
      </w:tr>
      <w:tr w:rsidR="00272D6C" w:rsidRPr="00272D6C" w14:paraId="17CC7182" w14:textId="77777777" w:rsidTr="005171C5">
        <w:tc>
          <w:tcPr>
            <w:tcW w:w="709" w:type="dxa"/>
            <w:tcBorders>
              <w:top w:val="single" w:sz="4" w:space="0" w:color="000000"/>
              <w:left w:val="single" w:sz="4" w:space="0" w:color="000000"/>
              <w:bottom w:val="single" w:sz="4" w:space="0" w:color="000000"/>
            </w:tcBorders>
            <w:shd w:val="clear" w:color="auto" w:fill="auto"/>
          </w:tcPr>
          <w:p w14:paraId="07281CCE"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i/>
                <w:sz w:val="17"/>
                <w:szCs w:val="17"/>
                <w:lang w:eastAsia="ar-SA"/>
              </w:rPr>
            </w:pPr>
            <w:r w:rsidRPr="00272D6C">
              <w:rPr>
                <w:rFonts w:eastAsia="細明體" w:cs="Segoe UI"/>
                <w:sz w:val="17"/>
                <w:szCs w:val="17"/>
                <w:lang w:eastAsia="ar-SA"/>
              </w:rPr>
              <w:t>3</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28E5B1E0" w14:textId="77777777"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eastAsia="細明體" w:cs="Segoe UI"/>
                <w:sz w:val="17"/>
                <w:szCs w:val="17"/>
                <w:lang w:eastAsia="ar-SA"/>
              </w:rPr>
            </w:pPr>
            <w:r w:rsidRPr="00272D6C">
              <w:rPr>
                <w:rFonts w:eastAsia="細明體" w:cs="Segoe UI" w:hint="eastAsia"/>
                <w:i/>
                <w:sz w:val="17"/>
                <w:szCs w:val="17"/>
                <w:lang w:eastAsia="ar-SA"/>
              </w:rPr>
              <w:t>資產負債表外風險承擔</w:t>
            </w:r>
            <w:r w:rsidRPr="00272D6C">
              <w:rPr>
                <w:rFonts w:eastAsia="細明體" w:cs="Segoe UI" w:hint="eastAsia"/>
                <w:sz w:val="17"/>
                <w:szCs w:val="17"/>
                <w:lang w:eastAsia="ar-SA"/>
              </w:rPr>
              <w:t>：本</w:t>
            </w:r>
            <w:r w:rsidRPr="00272D6C">
              <w:rPr>
                <w:rFonts w:eastAsia="細明體" w:cs="Segoe UI"/>
                <w:sz w:val="17"/>
                <w:szCs w:val="17"/>
                <w:lang w:eastAsia="ar-SA"/>
              </w:rPr>
              <w:t>行包括引致資產負債表外信用風險承擔的所有項目。</w:t>
            </w:r>
            <w:r w:rsidRPr="00272D6C">
              <w:rPr>
                <w:rFonts w:eastAsia="細明體" w:cs="Segoe UI" w:hint="eastAsia"/>
                <w:sz w:val="17"/>
                <w:szCs w:val="17"/>
                <w:lang w:eastAsia="ar-SA"/>
              </w:rPr>
              <w:t>例如認可機構作出的擔保及不可撤銷貸款承諾，應按照以下準則填報：</w:t>
            </w:r>
            <w:r w:rsidRPr="00272D6C">
              <w:rPr>
                <w:rFonts w:eastAsia="細明體" w:cs="Segoe UI"/>
                <w:sz w:val="17"/>
                <w:szCs w:val="17"/>
                <w:lang w:eastAsia="ar-SA"/>
              </w:rPr>
              <w:t xml:space="preserve"> </w:t>
            </w:r>
          </w:p>
          <w:p w14:paraId="0EE5AA35" w14:textId="0553F433" w:rsidR="00272D6C" w:rsidRPr="00272D6C" w:rsidRDefault="00272D6C" w:rsidP="00D540EB">
            <w:pPr>
              <w:keepLines/>
              <w:widowControl w:val="0"/>
              <w:numPr>
                <w:ilvl w:val="0"/>
                <w:numId w:val="37"/>
              </w:numPr>
              <w:tabs>
                <w:tab w:val="left" w:pos="44"/>
                <w:tab w:val="left" w:pos="150"/>
                <w:tab w:val="left" w:pos="469"/>
              </w:tabs>
              <w:suppressAutoHyphens/>
              <w:spacing w:before="20" w:after="20"/>
              <w:ind w:left="469"/>
              <w:jc w:val="both"/>
              <w:rPr>
                <w:rFonts w:eastAsia="細明體" w:cs="Segoe UI"/>
                <w:sz w:val="17"/>
                <w:szCs w:val="17"/>
                <w:lang w:eastAsia="ar-SA"/>
              </w:rPr>
            </w:pPr>
            <w:r w:rsidRPr="00272D6C">
              <w:rPr>
                <w:rFonts w:eastAsia="細明體" w:cs="Segoe UI" w:hint="eastAsia"/>
                <w:sz w:val="17"/>
                <w:szCs w:val="17"/>
                <w:lang w:eastAsia="ar-SA"/>
              </w:rPr>
              <w:t>認可機構作出的擔保</w:t>
            </w:r>
            <w:r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如該擔保被要求繳付，認可機構須要支付的、</w:t>
            </w:r>
            <w:r w:rsidRPr="00272D6C">
              <w:rPr>
                <w:rFonts w:eastAsia="細明體" w:cs="Segoe UI" w:hint="eastAsia"/>
                <w:sz w:val="17"/>
                <w:szCs w:val="17"/>
                <w:lang w:eastAsia="zh-TW"/>
              </w:rPr>
              <w:t>未將</w:t>
            </w:r>
            <w:r w:rsidR="00952CC9">
              <w:rPr>
                <w:rFonts w:eastAsia="細明體" w:cs="Segoe UI" w:hint="eastAsia"/>
                <w:sz w:val="17"/>
                <w:szCs w:val="17"/>
                <w:lang w:eastAsia="zh-TW"/>
              </w:rPr>
              <w:t>CCF</w:t>
            </w:r>
            <w:r w:rsidRPr="00272D6C">
              <w:rPr>
                <w:rFonts w:eastAsia="細明體" w:cs="Segoe UI" w:hint="eastAsia"/>
                <w:sz w:val="17"/>
                <w:szCs w:val="17"/>
                <w:lang w:eastAsia="ar-SA"/>
              </w:rPr>
              <w:t>或減低信用風險措施</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的最高數額；</w:t>
            </w:r>
          </w:p>
          <w:p w14:paraId="1BBF5FD7" w14:textId="00CC061F" w:rsidR="00272D6C" w:rsidRPr="00272D6C" w:rsidRDefault="00272D6C" w:rsidP="00D540EB">
            <w:pPr>
              <w:keepLines/>
              <w:widowControl w:val="0"/>
              <w:numPr>
                <w:ilvl w:val="0"/>
                <w:numId w:val="37"/>
              </w:numPr>
              <w:tabs>
                <w:tab w:val="left" w:pos="44"/>
                <w:tab w:val="left" w:pos="150"/>
                <w:tab w:val="left" w:pos="469"/>
              </w:tabs>
              <w:suppressAutoHyphens/>
              <w:spacing w:before="20" w:after="20"/>
              <w:ind w:left="469"/>
              <w:jc w:val="both"/>
              <w:rPr>
                <w:rFonts w:eastAsia="細明體" w:cs="Segoe UI"/>
                <w:sz w:val="17"/>
                <w:szCs w:val="17"/>
                <w:lang w:eastAsia="ar-SA"/>
              </w:rPr>
            </w:pPr>
            <w:r w:rsidRPr="00272D6C">
              <w:rPr>
                <w:rFonts w:eastAsia="細明體" w:cs="Segoe UI" w:hint="eastAsia"/>
                <w:sz w:val="17"/>
                <w:szCs w:val="17"/>
                <w:lang w:eastAsia="ar-SA"/>
              </w:rPr>
              <w:t>不可撤銷貸款承諾</w:t>
            </w:r>
            <w:r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認可機構有承諾提供的、</w:t>
            </w:r>
            <w:r w:rsidRPr="00272D6C">
              <w:rPr>
                <w:rFonts w:eastAsia="細明體" w:cs="Segoe UI" w:hint="eastAsia"/>
                <w:sz w:val="17"/>
                <w:szCs w:val="17"/>
                <w:lang w:eastAsia="zh-TW"/>
              </w:rPr>
              <w:t>未將</w:t>
            </w:r>
            <w:r w:rsidR="00952CC9">
              <w:rPr>
                <w:rFonts w:eastAsia="細明體" w:cs="Segoe UI" w:hint="eastAsia"/>
                <w:sz w:val="17"/>
                <w:szCs w:val="17"/>
                <w:lang w:eastAsia="zh-TW"/>
              </w:rPr>
              <w:t>CCF</w:t>
            </w:r>
            <w:r w:rsidRPr="00272D6C">
              <w:rPr>
                <w:rFonts w:eastAsia="細明體" w:cs="Segoe UI" w:hint="eastAsia"/>
                <w:sz w:val="17"/>
                <w:szCs w:val="17"/>
                <w:lang w:eastAsia="ar-SA"/>
              </w:rPr>
              <w:t>或減低信用風險措施</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的貸款總額；該數額應豁除可撤銷貸款承諾。</w:t>
            </w:r>
          </w:p>
        </w:tc>
      </w:tr>
      <w:tr w:rsidR="00272D6C" w:rsidRPr="00272D6C" w14:paraId="24FF046C" w14:textId="77777777" w:rsidTr="005171C5">
        <w:tc>
          <w:tcPr>
            <w:tcW w:w="709" w:type="dxa"/>
            <w:tcBorders>
              <w:top w:val="single" w:sz="4" w:space="0" w:color="000000"/>
              <w:left w:val="single" w:sz="4" w:space="0" w:color="000000"/>
              <w:bottom w:val="single" w:sz="4" w:space="0" w:color="000000"/>
            </w:tcBorders>
            <w:shd w:val="clear" w:color="auto" w:fill="auto"/>
          </w:tcPr>
          <w:p w14:paraId="192B36C2" w14:textId="77777777" w:rsidR="00272D6C" w:rsidRPr="00272D6C" w:rsidRDefault="00272D6C" w:rsidP="00272D6C">
            <w:pPr>
              <w:keepLines/>
              <w:widowControl w:val="0"/>
              <w:tabs>
                <w:tab w:val="left" w:pos="150"/>
                <w:tab w:val="left" w:pos="397"/>
                <w:tab w:val="left" w:pos="794"/>
                <w:tab w:val="left" w:pos="1191"/>
              </w:tabs>
              <w:suppressAutoHyphens/>
              <w:spacing w:before="20" w:after="20"/>
              <w:rPr>
                <w:rFonts w:eastAsia="細明體" w:cs="Segoe UI"/>
                <w:i/>
                <w:sz w:val="17"/>
                <w:szCs w:val="17"/>
                <w:lang w:eastAsia="ar-SA"/>
              </w:rPr>
            </w:pPr>
            <w:r w:rsidRPr="00272D6C">
              <w:rPr>
                <w:rFonts w:eastAsia="細明體" w:cs="Segoe UI"/>
                <w:sz w:val="17"/>
                <w:szCs w:val="17"/>
                <w:lang w:eastAsia="ar-SA"/>
              </w:rPr>
              <w:t>4</w:t>
            </w:r>
          </w:p>
        </w:tc>
        <w:tc>
          <w:tcPr>
            <w:tcW w:w="8525" w:type="dxa"/>
            <w:tcBorders>
              <w:top w:val="single" w:sz="4" w:space="0" w:color="000000"/>
              <w:left w:val="single" w:sz="4" w:space="0" w:color="000000"/>
              <w:bottom w:val="single" w:sz="4" w:space="0" w:color="000000"/>
              <w:right w:val="single" w:sz="4" w:space="0" w:color="000000"/>
            </w:tcBorders>
            <w:shd w:val="clear" w:color="auto" w:fill="auto"/>
          </w:tcPr>
          <w:p w14:paraId="29E0829A" w14:textId="77777777" w:rsidR="00272D6C" w:rsidRPr="00272D6C" w:rsidRDefault="00272D6C" w:rsidP="00272D6C">
            <w:pPr>
              <w:keepLines/>
              <w:widowControl w:val="0"/>
              <w:tabs>
                <w:tab w:val="left" w:pos="150"/>
                <w:tab w:val="left" w:pos="397"/>
                <w:tab w:val="left" w:pos="794"/>
                <w:tab w:val="left" w:pos="1191"/>
              </w:tabs>
              <w:suppressAutoHyphens/>
              <w:spacing w:before="20" w:after="20"/>
              <w:jc w:val="both"/>
              <w:rPr>
                <w:rFonts w:cs="Segoe UI"/>
                <w:lang w:eastAsia="ar-SA"/>
              </w:rPr>
            </w:pPr>
            <w:r w:rsidRPr="00272D6C">
              <w:rPr>
                <w:rFonts w:eastAsia="細明體" w:cs="Segoe UI" w:hint="eastAsia"/>
                <w:i/>
                <w:sz w:val="17"/>
                <w:szCs w:val="17"/>
                <w:lang w:eastAsia="ar-SA"/>
              </w:rPr>
              <w:t>總計</w:t>
            </w:r>
            <w:r w:rsidRPr="00272D6C">
              <w:rPr>
                <w:rFonts w:eastAsia="細明體" w:cs="Segoe UI" w:hint="eastAsia"/>
                <w:sz w:val="17"/>
                <w:szCs w:val="17"/>
                <w:lang w:eastAsia="ar-SA"/>
              </w:rPr>
              <w:t>：為第</w:t>
            </w:r>
            <w:r w:rsidRPr="00272D6C">
              <w:rPr>
                <w:rFonts w:eastAsia="細明體" w:cs="Segoe UI"/>
                <w:sz w:val="17"/>
                <w:szCs w:val="17"/>
                <w:lang w:eastAsia="ar-SA"/>
              </w:rPr>
              <w:t>1</w:t>
            </w:r>
            <w:r w:rsidRPr="00272D6C">
              <w:rPr>
                <w:rFonts w:eastAsia="細明體" w:cs="Segoe UI" w:hint="eastAsia"/>
                <w:sz w:val="17"/>
                <w:szCs w:val="17"/>
                <w:lang w:eastAsia="ar-SA"/>
              </w:rPr>
              <w:t>、</w:t>
            </w:r>
            <w:r w:rsidRPr="00272D6C">
              <w:rPr>
                <w:rFonts w:eastAsia="細明體" w:cs="Segoe UI"/>
                <w:sz w:val="17"/>
                <w:szCs w:val="17"/>
                <w:lang w:eastAsia="ar-SA"/>
              </w:rPr>
              <w:t>2</w:t>
            </w:r>
            <w:r w:rsidRPr="00272D6C">
              <w:rPr>
                <w:rFonts w:eastAsia="細明體" w:cs="Segoe UI" w:hint="eastAsia"/>
                <w:sz w:val="17"/>
                <w:szCs w:val="17"/>
                <w:lang w:eastAsia="ar-SA"/>
              </w:rPr>
              <w:t>及</w:t>
            </w:r>
            <w:r w:rsidRPr="00272D6C">
              <w:rPr>
                <w:rFonts w:eastAsia="細明體" w:cs="Segoe UI"/>
                <w:sz w:val="17"/>
                <w:szCs w:val="17"/>
                <w:lang w:eastAsia="ar-SA"/>
              </w:rPr>
              <w:t>3</w:t>
            </w:r>
            <w:r w:rsidRPr="00272D6C">
              <w:rPr>
                <w:rFonts w:eastAsia="細明體" w:cs="Segoe UI"/>
                <w:sz w:val="17"/>
                <w:szCs w:val="17"/>
                <w:lang w:eastAsia="ar-SA"/>
              </w:rPr>
              <w:t>行</w:t>
            </w:r>
            <w:r w:rsidRPr="00272D6C">
              <w:rPr>
                <w:rFonts w:eastAsia="細明體" w:cs="Segoe UI" w:hint="eastAsia"/>
                <w:sz w:val="17"/>
                <w:szCs w:val="17"/>
                <w:lang w:eastAsia="ar-SA"/>
              </w:rPr>
              <w:t>的值的總和。如認可機構並沒持有資產負債表外風險承擔，</w:t>
            </w:r>
            <w:r w:rsidRPr="00272D6C">
              <w:rPr>
                <w:rFonts w:eastAsia="細明體" w:cs="Segoe UI"/>
                <w:sz w:val="17"/>
                <w:szCs w:val="17"/>
                <w:lang w:eastAsia="ar-SA"/>
              </w:rPr>
              <w:t>[CR1:4/a]</w:t>
            </w:r>
            <w:r w:rsidRPr="00272D6C">
              <w:rPr>
                <w:rFonts w:eastAsia="細明體" w:cs="Segoe UI" w:hint="eastAsia"/>
                <w:sz w:val="17"/>
                <w:szCs w:val="17"/>
                <w:lang w:eastAsia="ar-SA"/>
              </w:rPr>
              <w:t>的值亦相等於</w:t>
            </w:r>
            <w:r w:rsidRPr="00272D6C">
              <w:rPr>
                <w:rFonts w:eastAsia="細明體" w:cs="Segoe UI"/>
                <w:sz w:val="17"/>
                <w:szCs w:val="17"/>
                <w:lang w:eastAsia="ar-SA"/>
              </w:rPr>
              <w:t>[CR2:6/a]</w:t>
            </w:r>
            <w:r w:rsidRPr="00272D6C">
              <w:rPr>
                <w:rFonts w:eastAsia="細明體" w:cs="Segoe UI" w:hint="eastAsia"/>
                <w:sz w:val="17"/>
                <w:szCs w:val="17"/>
                <w:lang w:eastAsia="ar-SA"/>
              </w:rPr>
              <w:t>的值。</w:t>
            </w:r>
          </w:p>
        </w:tc>
      </w:tr>
    </w:tbl>
    <w:p w14:paraId="665958BB" w14:textId="77777777" w:rsidR="00272D6C" w:rsidRPr="00272D6C" w:rsidRDefault="00272D6C" w:rsidP="00272D6C">
      <w:pPr>
        <w:suppressAutoHyphens/>
        <w:spacing w:before="120" w:after="120"/>
        <w:rPr>
          <w:rFonts w:eastAsia="細明體" w:cs="Segoe UI"/>
          <w:sz w:val="22"/>
          <w:lang w:eastAsia="ar-SA"/>
        </w:rPr>
      </w:pPr>
    </w:p>
    <w:p w14:paraId="0CADF24D" w14:textId="77777777" w:rsidR="00272D6C" w:rsidRPr="00272D6C" w:rsidRDefault="00272D6C" w:rsidP="00272D6C">
      <w:pPr>
        <w:suppressAutoHyphens/>
        <w:rPr>
          <w:rFonts w:eastAsia="細明體" w:cs="Segoe UI"/>
          <w:lang w:eastAsia="ar-SA"/>
        </w:rPr>
      </w:pPr>
    </w:p>
    <w:p w14:paraId="08352AD3" w14:textId="77777777" w:rsidR="00272D6C" w:rsidRPr="00272D6C" w:rsidRDefault="00272D6C" w:rsidP="00272D6C">
      <w:pPr>
        <w:suppressAutoHyphens/>
        <w:rPr>
          <w:rFonts w:cs="Segoe UI"/>
          <w:lang w:eastAsia="ar-SA"/>
        </w:rPr>
        <w:sectPr w:rsidR="00272D6C" w:rsidRPr="00272D6C" w:rsidSect="005171C5">
          <w:headerReference w:type="default" r:id="rId58"/>
          <w:footerReference w:type="default" r:id="rId59"/>
          <w:pgSz w:w="11906" w:h="16838"/>
          <w:pgMar w:top="1440" w:right="1797" w:bottom="1440" w:left="1797" w:header="720" w:footer="737" w:gutter="0"/>
          <w:cols w:space="720"/>
          <w:docGrid w:type="linesAndChars" w:linePitch="360"/>
        </w:sectPr>
      </w:pPr>
    </w:p>
    <w:p w14:paraId="1F65088B" w14:textId="20F30698" w:rsidR="00136436" w:rsidRPr="00136436" w:rsidRDefault="00136436" w:rsidP="00136436">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136436">
        <w:rPr>
          <w:rFonts w:eastAsia="細明體" w:cs="Segoe UI" w:hint="eastAsia"/>
          <w:b w:val="0"/>
          <w:sz w:val="22"/>
        </w:rPr>
        <w:t>模版</w:t>
      </w:r>
      <w:r w:rsidRPr="00136436">
        <w:rPr>
          <w:rFonts w:ascii="Segoe UI" w:eastAsia="細明體" w:hAnsi="Segoe UI" w:cs="Segoe UI"/>
          <w:b w:val="0"/>
          <w:sz w:val="22"/>
        </w:rPr>
        <w:t>CR2</w:t>
      </w:r>
      <w:r w:rsidRPr="00136436">
        <w:rPr>
          <w:rFonts w:eastAsia="細明體" w:cs="Segoe UI" w:hint="eastAsia"/>
          <w:b w:val="0"/>
          <w:sz w:val="22"/>
        </w:rPr>
        <w:t>：違責貸款及債務證券的改變</w:t>
      </w:r>
    </w:p>
    <w:tbl>
      <w:tblPr>
        <w:tblW w:w="9248" w:type="dxa"/>
        <w:tblInd w:w="-459" w:type="dxa"/>
        <w:tblLayout w:type="fixed"/>
        <w:tblLook w:val="0000" w:firstRow="0" w:lastRow="0" w:firstColumn="0" w:lastColumn="0" w:noHBand="0" w:noVBand="0"/>
      </w:tblPr>
      <w:tblGrid>
        <w:gridCol w:w="2160"/>
        <w:gridCol w:w="7088"/>
      </w:tblGrid>
      <w:tr w:rsidR="00272D6C" w:rsidRPr="00272D6C" w14:paraId="193A850C" w14:textId="77777777" w:rsidTr="004A3D58">
        <w:tc>
          <w:tcPr>
            <w:tcW w:w="2160" w:type="dxa"/>
            <w:tcBorders>
              <w:top w:val="single" w:sz="4" w:space="0" w:color="000000"/>
              <w:bottom w:val="single" w:sz="4" w:space="0" w:color="000000"/>
            </w:tcBorders>
            <w:shd w:val="clear" w:color="auto" w:fill="auto"/>
          </w:tcPr>
          <w:p w14:paraId="023BF220" w14:textId="77777777" w:rsidR="00272D6C" w:rsidRPr="00272D6C" w:rsidRDefault="00272D6C" w:rsidP="00272D6C">
            <w:pPr>
              <w:suppressAutoHyphens/>
              <w:spacing w:before="40" w:after="40"/>
              <w:rPr>
                <w:rFonts w:eastAsia="細明體" w:cs="Segoe UI"/>
                <w:sz w:val="17"/>
                <w:szCs w:val="17"/>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50C463EE" w14:textId="77777777" w:rsidR="00272D6C" w:rsidRPr="00272D6C" w:rsidRDefault="00272D6C" w:rsidP="00272D6C">
            <w:pPr>
              <w:suppressAutoHyphens/>
              <w:jc w:val="both"/>
              <w:rPr>
                <w:rFonts w:cs="Segoe UI"/>
                <w:lang w:eastAsia="ar-SA"/>
              </w:rPr>
            </w:pPr>
            <w:r w:rsidRPr="00272D6C">
              <w:rPr>
                <w:rFonts w:eastAsia="細明體" w:cs="Segoe UI" w:hint="eastAsia"/>
                <w:sz w:val="17"/>
                <w:szCs w:val="17"/>
                <w:lang w:eastAsia="ar-SA"/>
              </w:rPr>
              <w:t>就違責貸款及債務證券的改變，包括違責風險承擔數額的任何改變、違責及非違責風險承擔之間的任何變動以及違責風險承擔因撇帳而出現的任何減少，提供相關資料。</w:t>
            </w:r>
            <w:r w:rsidRPr="00272D6C">
              <w:rPr>
                <w:rFonts w:eastAsia="細明體" w:cs="Segoe UI"/>
                <w:sz w:val="17"/>
                <w:szCs w:val="17"/>
                <w:lang w:eastAsia="ar-SA"/>
              </w:rPr>
              <w:t xml:space="preserve"> </w:t>
            </w:r>
          </w:p>
        </w:tc>
      </w:tr>
      <w:tr w:rsidR="00272D6C" w:rsidRPr="00272D6C" w14:paraId="2C4E830C" w14:textId="77777777" w:rsidTr="004A3D58">
        <w:tc>
          <w:tcPr>
            <w:tcW w:w="2160" w:type="dxa"/>
            <w:tcBorders>
              <w:top w:val="single" w:sz="4" w:space="0" w:color="000000"/>
              <w:bottom w:val="single" w:sz="4" w:space="0" w:color="000000"/>
            </w:tcBorders>
            <w:shd w:val="clear" w:color="auto" w:fill="auto"/>
          </w:tcPr>
          <w:p w14:paraId="750ED0D5" w14:textId="77777777" w:rsidR="00272D6C" w:rsidRPr="00272D6C" w:rsidRDefault="00272D6C" w:rsidP="00272D6C">
            <w:pPr>
              <w:suppressAutoHyphens/>
              <w:spacing w:before="40" w:after="40"/>
              <w:rPr>
                <w:rFonts w:eastAsia="細明體" w:cs="Segoe UI"/>
                <w:sz w:val="17"/>
                <w:szCs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546E736A"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szCs w:val="17"/>
                <w:lang w:eastAsia="ar-SA"/>
              </w:rPr>
              <w:t>所有在香港成立為法團的認可機構均須填報本模版。</w:t>
            </w:r>
          </w:p>
        </w:tc>
      </w:tr>
      <w:tr w:rsidR="00272D6C" w:rsidRPr="00272D6C" w14:paraId="6B7D1386" w14:textId="77777777" w:rsidTr="004A3D58">
        <w:tc>
          <w:tcPr>
            <w:tcW w:w="2160" w:type="dxa"/>
            <w:tcBorders>
              <w:top w:val="single" w:sz="4" w:space="0" w:color="000000"/>
              <w:bottom w:val="single" w:sz="4" w:space="0" w:color="000000"/>
            </w:tcBorders>
            <w:shd w:val="clear" w:color="auto" w:fill="auto"/>
          </w:tcPr>
          <w:p w14:paraId="5B063F85"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19BFBB31" w14:textId="77777777" w:rsidR="00272D6C" w:rsidRPr="00272D6C" w:rsidRDefault="00272D6C" w:rsidP="00272D6C">
            <w:pPr>
              <w:suppressAutoHyphens/>
              <w:spacing w:before="40" w:after="40"/>
              <w:jc w:val="both"/>
              <w:rPr>
                <w:rFonts w:eastAsia="細明體" w:cs="Segoe UI"/>
                <w:sz w:val="17"/>
                <w:lang w:eastAsia="zh-TW"/>
              </w:rPr>
            </w:pPr>
            <w:r w:rsidRPr="00272D6C">
              <w:rPr>
                <w:rFonts w:eastAsia="細明體" w:cs="Segoe UI" w:hint="eastAsia"/>
                <w:sz w:val="17"/>
                <w:lang w:eastAsia="ar-SA"/>
              </w:rPr>
              <w:t>帳面數額對應於財務報表所載的值</w:t>
            </w:r>
            <w:r w:rsidRPr="00272D6C">
              <w:rPr>
                <w:rFonts w:eastAsia="細明體" w:cs="Segoe UI" w:hint="eastAsia"/>
                <w:sz w:val="17"/>
                <w:szCs w:val="17"/>
                <w:lang w:eastAsia="ar-SA"/>
              </w:rPr>
              <w:t>，</w:t>
            </w:r>
            <w:r w:rsidRPr="00272D6C">
              <w:rPr>
                <w:rFonts w:eastAsia="細明體" w:cs="Segoe UI" w:hint="eastAsia"/>
                <w:sz w:val="17"/>
                <w:lang w:eastAsia="ar-SA"/>
              </w:rPr>
              <w:t>但根據用作計算資本充足程度而適用的監管綜合範圍</w:t>
            </w:r>
            <w:r w:rsidRPr="00272D6C">
              <w:rPr>
                <w:rFonts w:eastAsia="細明體" w:cs="Segoe UI"/>
                <w:sz w:val="17"/>
                <w:lang w:eastAsia="ar-SA"/>
              </w:rPr>
              <w:t>。</w:t>
            </w:r>
          </w:p>
        </w:tc>
      </w:tr>
      <w:tr w:rsidR="00272D6C" w:rsidRPr="00272D6C" w14:paraId="07230B32" w14:textId="77777777" w:rsidTr="004A3D58">
        <w:tc>
          <w:tcPr>
            <w:tcW w:w="2160" w:type="dxa"/>
            <w:tcBorders>
              <w:top w:val="single" w:sz="4" w:space="0" w:color="000000"/>
              <w:bottom w:val="single" w:sz="4" w:space="0" w:color="000000"/>
            </w:tcBorders>
            <w:shd w:val="clear" w:color="auto" w:fill="auto"/>
          </w:tcPr>
          <w:p w14:paraId="3862FBE2"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4865DED9"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每半年一次</w:t>
            </w:r>
            <w:r w:rsidRPr="00272D6C">
              <w:rPr>
                <w:rFonts w:eastAsia="細明體" w:cs="Segoe UI"/>
                <w:sz w:val="17"/>
                <w:lang w:eastAsia="ar-SA"/>
              </w:rPr>
              <w:t>。</w:t>
            </w:r>
          </w:p>
        </w:tc>
      </w:tr>
      <w:tr w:rsidR="00272D6C" w:rsidRPr="00272D6C" w14:paraId="5E35F499" w14:textId="77777777" w:rsidTr="004A3D58">
        <w:tc>
          <w:tcPr>
            <w:tcW w:w="2160" w:type="dxa"/>
            <w:tcBorders>
              <w:top w:val="single" w:sz="4" w:space="0" w:color="000000"/>
              <w:bottom w:val="single" w:sz="4" w:space="0" w:color="000000"/>
            </w:tcBorders>
            <w:shd w:val="clear" w:color="auto" w:fill="auto"/>
          </w:tcPr>
          <w:p w14:paraId="667120E7"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1D083069"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固定</w:t>
            </w:r>
            <w:r w:rsidRPr="00272D6C">
              <w:rPr>
                <w:rFonts w:eastAsia="細明體" w:cs="Segoe UI"/>
                <w:sz w:val="17"/>
                <w:lang w:eastAsia="ar-SA"/>
              </w:rPr>
              <w:t>。</w:t>
            </w:r>
          </w:p>
        </w:tc>
      </w:tr>
      <w:tr w:rsidR="00272D6C" w:rsidRPr="00272D6C" w14:paraId="23738A7B" w14:textId="77777777" w:rsidTr="004A3D58">
        <w:tc>
          <w:tcPr>
            <w:tcW w:w="2160" w:type="dxa"/>
            <w:tcBorders>
              <w:top w:val="single" w:sz="4" w:space="0" w:color="000000"/>
              <w:bottom w:val="single" w:sz="4" w:space="0" w:color="000000"/>
            </w:tcBorders>
            <w:shd w:val="clear" w:color="auto" w:fill="auto"/>
          </w:tcPr>
          <w:p w14:paraId="56F58439"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szCs w:val="17"/>
                <w:lang w:eastAsia="ar-SA"/>
              </w:rPr>
              <w:t>附加說明：</w:t>
            </w:r>
          </w:p>
        </w:tc>
        <w:tc>
          <w:tcPr>
            <w:tcW w:w="7088" w:type="dxa"/>
            <w:tcBorders>
              <w:top w:val="single" w:sz="4" w:space="0" w:color="000000"/>
              <w:left w:val="single" w:sz="4" w:space="0" w:color="000000"/>
              <w:bottom w:val="single" w:sz="4" w:space="0" w:color="000000"/>
            </w:tcBorders>
            <w:shd w:val="clear" w:color="auto" w:fill="auto"/>
          </w:tcPr>
          <w:p w14:paraId="23DE551A" w14:textId="351B467F"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認可機構應就引致在現行報告期內</w:t>
            </w:r>
            <w:r w:rsidRPr="00272D6C">
              <w:rPr>
                <w:rFonts w:eastAsia="細明體" w:cs="Segoe UI" w:hint="eastAsia"/>
                <w:sz w:val="17"/>
                <w:szCs w:val="17"/>
                <w:lang w:eastAsia="ar-SA"/>
              </w:rPr>
              <w:t>違責風險承擔數額的任何重大改變，以及引致違責及非違責風險承擔之間的任何重大變動，</w:t>
            </w:r>
            <w:r w:rsidRPr="00272D6C">
              <w:rPr>
                <w:rFonts w:eastAsia="細明體" w:cs="Segoe UI" w:hint="eastAsia"/>
                <w:sz w:val="17"/>
                <w:lang w:eastAsia="ar-SA"/>
              </w:rPr>
              <w:t>說明</w:t>
            </w:r>
            <w:r w:rsidRPr="00272D6C">
              <w:rPr>
                <w:rFonts w:eastAsia="細明體" w:cs="Segoe UI" w:hint="eastAsia"/>
                <w:sz w:val="17"/>
                <w:szCs w:val="17"/>
                <w:lang w:eastAsia="ar-SA"/>
              </w:rPr>
              <w:t>其驅動因素。</w:t>
            </w:r>
            <w:r w:rsidRPr="00272D6C">
              <w:rPr>
                <w:rFonts w:eastAsia="細明體" w:cs="Segoe UI"/>
                <w:sz w:val="17"/>
                <w:lang w:eastAsia="ar-SA"/>
              </w:rPr>
              <w:t xml:space="preserve"> </w:t>
            </w:r>
          </w:p>
        </w:tc>
      </w:tr>
      <w:tr w:rsidR="00272D6C" w:rsidRPr="00272D6C" w14:paraId="25143A06" w14:textId="77777777" w:rsidTr="004A3D58">
        <w:tc>
          <w:tcPr>
            <w:tcW w:w="2160" w:type="dxa"/>
            <w:tcBorders>
              <w:top w:val="single" w:sz="4" w:space="0" w:color="000000"/>
              <w:bottom w:val="single" w:sz="4" w:space="0" w:color="000000"/>
            </w:tcBorders>
            <w:shd w:val="clear" w:color="auto" w:fill="auto"/>
          </w:tcPr>
          <w:p w14:paraId="229467D4"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szCs w:val="17"/>
                <w:lang w:eastAsia="ar-SA"/>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325FED02"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16I</w:t>
            </w:r>
          </w:p>
        </w:tc>
      </w:tr>
    </w:tbl>
    <w:p w14:paraId="1402B8EC" w14:textId="77777777" w:rsidR="00272D6C" w:rsidRPr="00272D6C" w:rsidRDefault="00272D6C" w:rsidP="00272D6C">
      <w:pPr>
        <w:suppressAutoHyphens/>
        <w:spacing w:before="120" w:after="120"/>
        <w:rPr>
          <w:rFonts w:eastAsia="細明體" w:cs="Segoe UI"/>
          <w:sz w:val="22"/>
          <w:lang w:eastAsia="ar-SA"/>
        </w:rPr>
      </w:pPr>
    </w:p>
    <w:tbl>
      <w:tblPr>
        <w:tblW w:w="0" w:type="auto"/>
        <w:tblInd w:w="-459" w:type="dxa"/>
        <w:tblLayout w:type="fixed"/>
        <w:tblLook w:val="0000" w:firstRow="0" w:lastRow="0" w:firstColumn="0" w:lastColumn="0" w:noHBand="0" w:noVBand="0"/>
      </w:tblPr>
      <w:tblGrid>
        <w:gridCol w:w="567"/>
        <w:gridCol w:w="7371"/>
        <w:gridCol w:w="1296"/>
      </w:tblGrid>
      <w:tr w:rsidR="00272D6C" w:rsidRPr="00272D6C" w14:paraId="27C7F32B" w14:textId="77777777" w:rsidTr="005171C5">
        <w:trPr>
          <w:cantSplit/>
          <w:tblHeader/>
        </w:trPr>
        <w:tc>
          <w:tcPr>
            <w:tcW w:w="567" w:type="dxa"/>
            <w:shd w:val="clear" w:color="auto" w:fill="auto"/>
          </w:tcPr>
          <w:p w14:paraId="477CE6D0" w14:textId="77777777" w:rsidR="00272D6C" w:rsidRPr="00272D6C" w:rsidRDefault="00272D6C" w:rsidP="00272D6C">
            <w:pPr>
              <w:keepNext/>
              <w:suppressAutoHyphens/>
              <w:snapToGrid w:val="0"/>
              <w:spacing w:before="40" w:after="40"/>
              <w:jc w:val="center"/>
              <w:rPr>
                <w:rFonts w:eastAsia="細明體" w:cs="Segoe UI"/>
                <w:sz w:val="17"/>
                <w:lang w:eastAsia="ar-SA"/>
              </w:rPr>
            </w:pPr>
          </w:p>
        </w:tc>
        <w:tc>
          <w:tcPr>
            <w:tcW w:w="7371" w:type="dxa"/>
            <w:shd w:val="clear" w:color="auto" w:fill="auto"/>
          </w:tcPr>
          <w:p w14:paraId="1DAF926E" w14:textId="77777777" w:rsidR="00272D6C" w:rsidRPr="00272D6C" w:rsidRDefault="00272D6C" w:rsidP="00272D6C">
            <w:pPr>
              <w:keepNext/>
              <w:suppressAutoHyphens/>
              <w:snapToGrid w:val="0"/>
              <w:spacing w:before="40" w:after="40"/>
              <w:jc w:val="center"/>
              <w:rPr>
                <w:rFonts w:eastAsia="細明體" w:cs="Segoe UI"/>
                <w:sz w:val="17"/>
                <w:lang w:eastAsia="ar-SA"/>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39149C5" w14:textId="77777777" w:rsidR="00272D6C" w:rsidRPr="00272D6C" w:rsidRDefault="00272D6C" w:rsidP="00272D6C">
            <w:pPr>
              <w:keepNext/>
              <w:suppressAutoHyphens/>
              <w:snapToGrid w:val="0"/>
              <w:spacing w:before="40" w:after="40"/>
              <w:jc w:val="center"/>
              <w:rPr>
                <w:rFonts w:cs="Segoe UI"/>
                <w:lang w:eastAsia="ar-SA"/>
              </w:rPr>
            </w:pPr>
            <w:r w:rsidRPr="00272D6C">
              <w:rPr>
                <w:rFonts w:eastAsia="細明體" w:cs="Segoe UI"/>
                <w:sz w:val="17"/>
                <w:lang w:eastAsia="ar-SA"/>
              </w:rPr>
              <w:t>(a)</w:t>
            </w:r>
          </w:p>
        </w:tc>
      </w:tr>
      <w:tr w:rsidR="00272D6C" w:rsidRPr="00272D6C" w14:paraId="22315B60" w14:textId="77777777" w:rsidTr="005171C5">
        <w:trPr>
          <w:cantSplit/>
          <w:tblHeader/>
        </w:trPr>
        <w:tc>
          <w:tcPr>
            <w:tcW w:w="567" w:type="dxa"/>
            <w:tcBorders>
              <w:bottom w:val="single" w:sz="4" w:space="0" w:color="000000"/>
            </w:tcBorders>
            <w:shd w:val="clear" w:color="auto" w:fill="auto"/>
          </w:tcPr>
          <w:p w14:paraId="3CC881FA" w14:textId="77777777" w:rsidR="00272D6C" w:rsidRPr="00272D6C" w:rsidRDefault="00272D6C" w:rsidP="00272D6C">
            <w:pPr>
              <w:keepNext/>
              <w:suppressAutoHyphens/>
              <w:snapToGrid w:val="0"/>
              <w:spacing w:before="40" w:after="40"/>
              <w:jc w:val="center"/>
              <w:rPr>
                <w:rFonts w:eastAsia="細明體" w:cs="Segoe UI"/>
                <w:sz w:val="17"/>
                <w:lang w:eastAsia="ar-SA"/>
              </w:rPr>
            </w:pPr>
          </w:p>
        </w:tc>
        <w:tc>
          <w:tcPr>
            <w:tcW w:w="7371" w:type="dxa"/>
            <w:tcBorders>
              <w:bottom w:val="single" w:sz="4" w:space="0" w:color="000000"/>
            </w:tcBorders>
            <w:shd w:val="clear" w:color="auto" w:fill="auto"/>
          </w:tcPr>
          <w:p w14:paraId="732F26FD" w14:textId="77777777" w:rsidR="00272D6C" w:rsidRPr="00272D6C" w:rsidRDefault="00272D6C" w:rsidP="00272D6C">
            <w:pPr>
              <w:keepNext/>
              <w:suppressAutoHyphens/>
              <w:snapToGrid w:val="0"/>
              <w:spacing w:before="40" w:after="40"/>
              <w:jc w:val="center"/>
              <w:rPr>
                <w:rFonts w:eastAsia="細明體" w:cs="Segoe UI"/>
                <w:sz w:val="17"/>
                <w:lang w:eastAsia="ar-SA"/>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2F7A993" w14:textId="77777777" w:rsidR="00272D6C" w:rsidRPr="00272D6C" w:rsidRDefault="00272D6C" w:rsidP="00272D6C">
            <w:pPr>
              <w:keepNext/>
              <w:suppressAutoHyphens/>
              <w:snapToGrid w:val="0"/>
              <w:spacing w:before="40" w:after="40"/>
              <w:jc w:val="center"/>
              <w:rPr>
                <w:rFonts w:cs="Segoe UI"/>
                <w:lang w:eastAsia="ar-SA"/>
              </w:rPr>
            </w:pPr>
            <w:r w:rsidRPr="00272D6C">
              <w:rPr>
                <w:rFonts w:eastAsia="細明體" w:cs="Segoe UI" w:hint="eastAsia"/>
                <w:sz w:val="17"/>
                <w:lang w:eastAsia="ar-SA"/>
              </w:rPr>
              <w:t>數額</w:t>
            </w:r>
          </w:p>
        </w:tc>
      </w:tr>
      <w:tr w:rsidR="00272D6C" w:rsidRPr="00272D6C" w14:paraId="650B2793" w14:textId="77777777" w:rsidTr="005171C5">
        <w:trPr>
          <w:cantSplit/>
        </w:trPr>
        <w:tc>
          <w:tcPr>
            <w:tcW w:w="567" w:type="dxa"/>
            <w:tcBorders>
              <w:top w:val="single" w:sz="4" w:space="0" w:color="000000"/>
              <w:bottom w:val="single" w:sz="4" w:space="0" w:color="C0C0C0"/>
            </w:tcBorders>
            <w:shd w:val="clear" w:color="auto" w:fill="auto"/>
          </w:tcPr>
          <w:p w14:paraId="5A8B25CD" w14:textId="77777777" w:rsidR="00272D6C" w:rsidRPr="00272D6C" w:rsidRDefault="00272D6C" w:rsidP="00272D6C">
            <w:pPr>
              <w:keepNext/>
              <w:suppressAutoHyphens/>
              <w:snapToGrid w:val="0"/>
              <w:spacing w:before="40" w:after="40"/>
              <w:rPr>
                <w:rFonts w:eastAsia="細明體" w:cs="Segoe UI"/>
                <w:b/>
                <w:sz w:val="17"/>
                <w:lang w:eastAsia="ar-SA"/>
              </w:rPr>
            </w:pPr>
            <w:r w:rsidRPr="00272D6C">
              <w:rPr>
                <w:rFonts w:eastAsia="細明體" w:cs="Segoe UI"/>
                <w:sz w:val="17"/>
                <w:lang w:eastAsia="ar-SA"/>
              </w:rPr>
              <w:t>1</w:t>
            </w:r>
          </w:p>
        </w:tc>
        <w:tc>
          <w:tcPr>
            <w:tcW w:w="7371" w:type="dxa"/>
            <w:tcBorders>
              <w:top w:val="single" w:sz="4" w:space="0" w:color="000000"/>
              <w:left w:val="single" w:sz="4" w:space="0" w:color="000000"/>
              <w:bottom w:val="single" w:sz="4" w:space="0" w:color="C0C0C0"/>
            </w:tcBorders>
            <w:shd w:val="clear" w:color="auto" w:fill="auto"/>
          </w:tcPr>
          <w:p w14:paraId="2735FE98"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hint="eastAsia"/>
                <w:b/>
                <w:sz w:val="17"/>
                <w:lang w:eastAsia="ar-SA"/>
              </w:rPr>
              <w:t>於上一個報告期末違責貸款及債務證券結餘</w:t>
            </w:r>
          </w:p>
        </w:tc>
        <w:tc>
          <w:tcPr>
            <w:tcW w:w="1296" w:type="dxa"/>
            <w:tcBorders>
              <w:top w:val="single" w:sz="4" w:space="0" w:color="000000"/>
              <w:left w:val="single" w:sz="4" w:space="0" w:color="000000"/>
              <w:bottom w:val="single" w:sz="4" w:space="0" w:color="C0C0C0"/>
              <w:right w:val="single" w:sz="4" w:space="0" w:color="000000"/>
            </w:tcBorders>
            <w:shd w:val="clear" w:color="auto" w:fill="auto"/>
          </w:tcPr>
          <w:p w14:paraId="5D74CDE1" w14:textId="77777777" w:rsidR="00272D6C" w:rsidRPr="00272D6C" w:rsidRDefault="00272D6C" w:rsidP="00272D6C">
            <w:pPr>
              <w:keepNext/>
              <w:suppressAutoHyphens/>
              <w:snapToGrid w:val="0"/>
              <w:spacing w:before="40" w:after="40"/>
              <w:rPr>
                <w:rFonts w:eastAsia="細明體" w:cs="Segoe UI"/>
                <w:sz w:val="17"/>
                <w:lang w:eastAsia="ar-SA"/>
              </w:rPr>
            </w:pPr>
          </w:p>
        </w:tc>
      </w:tr>
      <w:tr w:rsidR="00272D6C" w:rsidRPr="00272D6C" w14:paraId="113F1155" w14:textId="77777777" w:rsidTr="005171C5">
        <w:trPr>
          <w:cantSplit/>
        </w:trPr>
        <w:tc>
          <w:tcPr>
            <w:tcW w:w="567" w:type="dxa"/>
            <w:tcBorders>
              <w:top w:val="single" w:sz="4" w:space="0" w:color="C0C0C0"/>
              <w:bottom w:val="single" w:sz="4" w:space="0" w:color="C0C0C0"/>
            </w:tcBorders>
            <w:shd w:val="clear" w:color="auto" w:fill="auto"/>
          </w:tcPr>
          <w:p w14:paraId="77FA0F63"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sz w:val="17"/>
                <w:lang w:eastAsia="ar-SA"/>
              </w:rPr>
              <w:t>2</w:t>
            </w:r>
          </w:p>
        </w:tc>
        <w:tc>
          <w:tcPr>
            <w:tcW w:w="7371" w:type="dxa"/>
            <w:tcBorders>
              <w:top w:val="single" w:sz="4" w:space="0" w:color="C0C0C0"/>
              <w:left w:val="single" w:sz="4" w:space="0" w:color="000000"/>
              <w:bottom w:val="single" w:sz="4" w:space="0" w:color="C0C0C0"/>
            </w:tcBorders>
            <w:shd w:val="clear" w:color="auto" w:fill="auto"/>
          </w:tcPr>
          <w:p w14:paraId="4F2D32C3" w14:textId="77777777" w:rsidR="00272D6C" w:rsidRPr="00272D6C" w:rsidRDefault="00272D6C" w:rsidP="00272D6C">
            <w:pPr>
              <w:suppressAutoHyphens/>
              <w:rPr>
                <w:rFonts w:eastAsia="細明體" w:cs="Segoe UI"/>
                <w:sz w:val="17"/>
                <w:lang w:eastAsia="ar-SA"/>
              </w:rPr>
            </w:pPr>
            <w:r w:rsidRPr="00272D6C">
              <w:rPr>
                <w:rFonts w:eastAsia="細明體" w:cs="Segoe UI" w:hint="eastAsia"/>
                <w:sz w:val="17"/>
                <w:lang w:eastAsia="ar-SA"/>
              </w:rPr>
              <w:t>期內發生的違責貸款及債務證券</w:t>
            </w:r>
            <w:r w:rsidRPr="00272D6C">
              <w:rPr>
                <w:rFonts w:eastAsia="細明體" w:cs="Segoe UI"/>
                <w:sz w:val="17"/>
                <w:lang w:eastAsia="ar-SA"/>
              </w:rPr>
              <w:t xml:space="preserve"> </w:t>
            </w:r>
          </w:p>
        </w:tc>
        <w:tc>
          <w:tcPr>
            <w:tcW w:w="1296" w:type="dxa"/>
            <w:tcBorders>
              <w:top w:val="single" w:sz="4" w:space="0" w:color="C0C0C0"/>
              <w:left w:val="single" w:sz="4" w:space="0" w:color="000000"/>
              <w:bottom w:val="single" w:sz="4" w:space="0" w:color="C0C0C0"/>
              <w:right w:val="single" w:sz="4" w:space="0" w:color="000000"/>
            </w:tcBorders>
            <w:shd w:val="clear" w:color="auto" w:fill="auto"/>
          </w:tcPr>
          <w:p w14:paraId="14014EF7" w14:textId="77777777" w:rsidR="00272D6C" w:rsidRPr="00272D6C" w:rsidRDefault="00272D6C" w:rsidP="00272D6C">
            <w:pPr>
              <w:keepNext/>
              <w:suppressAutoHyphens/>
              <w:snapToGrid w:val="0"/>
              <w:spacing w:before="40" w:after="40"/>
              <w:rPr>
                <w:rFonts w:eastAsia="細明體" w:cs="Segoe UI"/>
                <w:sz w:val="17"/>
                <w:lang w:eastAsia="ar-SA"/>
              </w:rPr>
            </w:pPr>
          </w:p>
        </w:tc>
      </w:tr>
      <w:tr w:rsidR="00272D6C" w:rsidRPr="00272D6C" w14:paraId="38CCAF44" w14:textId="77777777" w:rsidTr="005171C5">
        <w:trPr>
          <w:cantSplit/>
        </w:trPr>
        <w:tc>
          <w:tcPr>
            <w:tcW w:w="567" w:type="dxa"/>
            <w:tcBorders>
              <w:top w:val="single" w:sz="4" w:space="0" w:color="C0C0C0"/>
              <w:bottom w:val="single" w:sz="4" w:space="0" w:color="C0C0C0"/>
            </w:tcBorders>
            <w:shd w:val="clear" w:color="auto" w:fill="auto"/>
          </w:tcPr>
          <w:p w14:paraId="3B8894D0"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sz w:val="17"/>
                <w:lang w:eastAsia="ar-SA"/>
              </w:rPr>
              <w:t>3</w:t>
            </w:r>
          </w:p>
        </w:tc>
        <w:tc>
          <w:tcPr>
            <w:tcW w:w="7371" w:type="dxa"/>
            <w:tcBorders>
              <w:top w:val="single" w:sz="4" w:space="0" w:color="C0C0C0"/>
              <w:left w:val="single" w:sz="4" w:space="0" w:color="000000"/>
              <w:bottom w:val="single" w:sz="4" w:space="0" w:color="C0C0C0"/>
            </w:tcBorders>
            <w:shd w:val="clear" w:color="auto" w:fill="auto"/>
          </w:tcPr>
          <w:p w14:paraId="01C1CC7A"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hint="eastAsia"/>
                <w:sz w:val="17"/>
                <w:lang w:eastAsia="ar-SA"/>
              </w:rPr>
              <w:t>轉回至非違責狀況</w:t>
            </w:r>
          </w:p>
        </w:tc>
        <w:tc>
          <w:tcPr>
            <w:tcW w:w="1296" w:type="dxa"/>
            <w:tcBorders>
              <w:top w:val="single" w:sz="4" w:space="0" w:color="C0C0C0"/>
              <w:left w:val="single" w:sz="4" w:space="0" w:color="000000"/>
              <w:bottom w:val="single" w:sz="4" w:space="0" w:color="C0C0C0"/>
              <w:right w:val="single" w:sz="4" w:space="0" w:color="000000"/>
            </w:tcBorders>
            <w:shd w:val="clear" w:color="auto" w:fill="auto"/>
          </w:tcPr>
          <w:p w14:paraId="02CE20CB" w14:textId="77777777" w:rsidR="00272D6C" w:rsidRPr="00272D6C" w:rsidRDefault="00272D6C" w:rsidP="00272D6C">
            <w:pPr>
              <w:keepNext/>
              <w:suppressAutoHyphens/>
              <w:snapToGrid w:val="0"/>
              <w:spacing w:before="40" w:after="40"/>
              <w:rPr>
                <w:rFonts w:eastAsia="細明體" w:cs="Segoe UI"/>
                <w:sz w:val="17"/>
                <w:lang w:eastAsia="ar-SA"/>
              </w:rPr>
            </w:pPr>
          </w:p>
        </w:tc>
      </w:tr>
      <w:tr w:rsidR="00272D6C" w:rsidRPr="00272D6C" w14:paraId="2FDB5F05" w14:textId="77777777" w:rsidTr="005171C5">
        <w:trPr>
          <w:cantSplit/>
        </w:trPr>
        <w:tc>
          <w:tcPr>
            <w:tcW w:w="567" w:type="dxa"/>
            <w:tcBorders>
              <w:top w:val="single" w:sz="4" w:space="0" w:color="C0C0C0"/>
              <w:bottom w:val="single" w:sz="4" w:space="0" w:color="C0C0C0"/>
            </w:tcBorders>
            <w:shd w:val="clear" w:color="auto" w:fill="auto"/>
          </w:tcPr>
          <w:p w14:paraId="1F6C91ED"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sz w:val="17"/>
                <w:lang w:eastAsia="ar-SA"/>
              </w:rPr>
              <w:t>4</w:t>
            </w:r>
          </w:p>
        </w:tc>
        <w:tc>
          <w:tcPr>
            <w:tcW w:w="7371" w:type="dxa"/>
            <w:tcBorders>
              <w:top w:val="single" w:sz="4" w:space="0" w:color="C0C0C0"/>
              <w:left w:val="single" w:sz="4" w:space="0" w:color="000000"/>
              <w:bottom w:val="single" w:sz="4" w:space="0" w:color="C0C0C0"/>
            </w:tcBorders>
            <w:shd w:val="clear" w:color="auto" w:fill="auto"/>
          </w:tcPr>
          <w:p w14:paraId="2326F536"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hint="eastAsia"/>
                <w:sz w:val="17"/>
                <w:lang w:eastAsia="ar-SA"/>
              </w:rPr>
              <w:t>撇帳額</w:t>
            </w:r>
          </w:p>
        </w:tc>
        <w:tc>
          <w:tcPr>
            <w:tcW w:w="1296" w:type="dxa"/>
            <w:tcBorders>
              <w:top w:val="single" w:sz="4" w:space="0" w:color="C0C0C0"/>
              <w:left w:val="single" w:sz="4" w:space="0" w:color="000000"/>
              <w:bottom w:val="single" w:sz="4" w:space="0" w:color="C0C0C0"/>
              <w:right w:val="single" w:sz="4" w:space="0" w:color="000000"/>
            </w:tcBorders>
            <w:shd w:val="clear" w:color="auto" w:fill="auto"/>
          </w:tcPr>
          <w:p w14:paraId="2899D05E" w14:textId="77777777" w:rsidR="00272D6C" w:rsidRPr="00272D6C" w:rsidRDefault="00272D6C" w:rsidP="00272D6C">
            <w:pPr>
              <w:keepNext/>
              <w:suppressAutoHyphens/>
              <w:snapToGrid w:val="0"/>
              <w:spacing w:before="40" w:after="40"/>
              <w:rPr>
                <w:rFonts w:eastAsia="細明體" w:cs="Segoe UI"/>
                <w:sz w:val="17"/>
                <w:lang w:eastAsia="ar-SA"/>
              </w:rPr>
            </w:pPr>
          </w:p>
        </w:tc>
      </w:tr>
      <w:tr w:rsidR="00272D6C" w:rsidRPr="00272D6C" w14:paraId="54B46CE4" w14:textId="77777777" w:rsidTr="005171C5">
        <w:trPr>
          <w:cantSplit/>
        </w:trPr>
        <w:tc>
          <w:tcPr>
            <w:tcW w:w="567" w:type="dxa"/>
            <w:tcBorders>
              <w:top w:val="single" w:sz="4" w:space="0" w:color="C0C0C0"/>
              <w:bottom w:val="single" w:sz="4" w:space="0" w:color="C0C0C0"/>
            </w:tcBorders>
            <w:shd w:val="clear" w:color="auto" w:fill="auto"/>
          </w:tcPr>
          <w:p w14:paraId="0DD9177D"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sz w:val="17"/>
                <w:lang w:eastAsia="ar-SA"/>
              </w:rPr>
              <w:t>5</w:t>
            </w:r>
          </w:p>
        </w:tc>
        <w:tc>
          <w:tcPr>
            <w:tcW w:w="7371" w:type="dxa"/>
            <w:tcBorders>
              <w:top w:val="single" w:sz="4" w:space="0" w:color="C0C0C0"/>
              <w:left w:val="single" w:sz="4" w:space="0" w:color="000000"/>
              <w:bottom w:val="single" w:sz="4" w:space="0" w:color="C0C0C0"/>
            </w:tcBorders>
            <w:shd w:val="clear" w:color="auto" w:fill="auto"/>
          </w:tcPr>
          <w:p w14:paraId="5C66D3A0"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hint="eastAsia"/>
                <w:sz w:val="17"/>
                <w:lang w:eastAsia="ar-SA"/>
              </w:rPr>
              <w:t>其他變動</w:t>
            </w:r>
          </w:p>
        </w:tc>
        <w:tc>
          <w:tcPr>
            <w:tcW w:w="1296" w:type="dxa"/>
            <w:tcBorders>
              <w:top w:val="single" w:sz="4" w:space="0" w:color="C0C0C0"/>
              <w:left w:val="single" w:sz="4" w:space="0" w:color="000000"/>
              <w:bottom w:val="single" w:sz="4" w:space="0" w:color="C0C0C0"/>
              <w:right w:val="single" w:sz="4" w:space="0" w:color="000000"/>
            </w:tcBorders>
            <w:shd w:val="clear" w:color="auto" w:fill="auto"/>
          </w:tcPr>
          <w:p w14:paraId="6FD18A52" w14:textId="77777777" w:rsidR="00272D6C" w:rsidRPr="00272D6C" w:rsidRDefault="00272D6C" w:rsidP="00272D6C">
            <w:pPr>
              <w:keepNext/>
              <w:suppressAutoHyphens/>
              <w:snapToGrid w:val="0"/>
              <w:spacing w:before="40" w:after="40"/>
              <w:rPr>
                <w:rFonts w:eastAsia="細明體" w:cs="Segoe UI"/>
                <w:sz w:val="17"/>
                <w:lang w:eastAsia="ar-SA"/>
              </w:rPr>
            </w:pPr>
          </w:p>
        </w:tc>
      </w:tr>
      <w:tr w:rsidR="00272D6C" w:rsidRPr="00272D6C" w14:paraId="00AA13B3" w14:textId="77777777" w:rsidTr="005171C5">
        <w:trPr>
          <w:cantSplit/>
        </w:trPr>
        <w:tc>
          <w:tcPr>
            <w:tcW w:w="567" w:type="dxa"/>
            <w:tcBorders>
              <w:top w:val="single" w:sz="4" w:space="0" w:color="C0C0C0"/>
              <w:bottom w:val="single" w:sz="4" w:space="0" w:color="000000"/>
            </w:tcBorders>
            <w:shd w:val="clear" w:color="auto" w:fill="auto"/>
          </w:tcPr>
          <w:p w14:paraId="28C23F78" w14:textId="77777777" w:rsidR="00272D6C" w:rsidRPr="00272D6C" w:rsidRDefault="00272D6C" w:rsidP="00272D6C">
            <w:pPr>
              <w:keepNext/>
              <w:suppressAutoHyphens/>
              <w:snapToGrid w:val="0"/>
              <w:spacing w:before="40" w:after="40"/>
              <w:rPr>
                <w:rFonts w:eastAsia="細明體" w:cs="Segoe UI"/>
                <w:b/>
                <w:sz w:val="17"/>
                <w:lang w:eastAsia="ar-SA"/>
              </w:rPr>
            </w:pPr>
            <w:r w:rsidRPr="00272D6C">
              <w:rPr>
                <w:rFonts w:eastAsia="細明體" w:cs="Segoe UI"/>
                <w:sz w:val="17"/>
                <w:lang w:eastAsia="ar-SA"/>
              </w:rPr>
              <w:t>6</w:t>
            </w:r>
          </w:p>
        </w:tc>
        <w:tc>
          <w:tcPr>
            <w:tcW w:w="7371" w:type="dxa"/>
            <w:tcBorders>
              <w:top w:val="single" w:sz="4" w:space="0" w:color="C0C0C0"/>
              <w:left w:val="single" w:sz="4" w:space="0" w:color="000000"/>
              <w:bottom w:val="single" w:sz="4" w:space="0" w:color="000000"/>
            </w:tcBorders>
            <w:shd w:val="clear" w:color="auto" w:fill="auto"/>
          </w:tcPr>
          <w:p w14:paraId="3F09B3DD" w14:textId="77777777" w:rsidR="00272D6C" w:rsidRPr="00272D6C" w:rsidRDefault="00272D6C" w:rsidP="00272D6C">
            <w:pPr>
              <w:keepNext/>
              <w:suppressAutoHyphens/>
              <w:snapToGrid w:val="0"/>
              <w:spacing w:before="40" w:after="40"/>
              <w:rPr>
                <w:rFonts w:eastAsia="細明體" w:cs="Segoe UI"/>
                <w:sz w:val="17"/>
                <w:lang w:eastAsia="ar-SA"/>
              </w:rPr>
            </w:pPr>
            <w:r w:rsidRPr="00272D6C">
              <w:rPr>
                <w:rFonts w:eastAsia="細明體" w:cs="Segoe UI" w:hint="eastAsia"/>
                <w:b/>
                <w:sz w:val="17"/>
                <w:lang w:eastAsia="ar-SA"/>
              </w:rPr>
              <w:t>於現行報告期末違責貸款及債務證券結餘</w:t>
            </w:r>
          </w:p>
        </w:tc>
        <w:tc>
          <w:tcPr>
            <w:tcW w:w="1296" w:type="dxa"/>
            <w:tcBorders>
              <w:top w:val="single" w:sz="4" w:space="0" w:color="C0C0C0"/>
              <w:left w:val="single" w:sz="4" w:space="0" w:color="000000"/>
              <w:bottom w:val="single" w:sz="4" w:space="0" w:color="000000"/>
              <w:right w:val="single" w:sz="4" w:space="0" w:color="000000"/>
            </w:tcBorders>
            <w:shd w:val="clear" w:color="auto" w:fill="auto"/>
          </w:tcPr>
          <w:p w14:paraId="7245F3E2" w14:textId="77777777" w:rsidR="00272D6C" w:rsidRPr="00272D6C" w:rsidRDefault="00272D6C" w:rsidP="00272D6C">
            <w:pPr>
              <w:keepNext/>
              <w:suppressAutoHyphens/>
              <w:snapToGrid w:val="0"/>
              <w:spacing w:before="40" w:after="40"/>
              <w:rPr>
                <w:rFonts w:eastAsia="細明體" w:cs="Segoe UI"/>
                <w:sz w:val="17"/>
                <w:lang w:eastAsia="ar-SA"/>
              </w:rPr>
            </w:pPr>
          </w:p>
        </w:tc>
      </w:tr>
    </w:tbl>
    <w:p w14:paraId="17C27167" w14:textId="77777777" w:rsidR="00272D6C" w:rsidRPr="00272D6C" w:rsidRDefault="00272D6C" w:rsidP="00272D6C">
      <w:pPr>
        <w:suppressAutoHyphens/>
        <w:spacing w:before="120" w:after="120"/>
        <w:ind w:left="-566"/>
        <w:rPr>
          <w:rFonts w:eastAsia="細明體" w:cs="Segoe UI"/>
          <w:sz w:val="22"/>
          <w:lang w:eastAsia="ar-SA"/>
        </w:rPr>
      </w:pPr>
    </w:p>
    <w:tbl>
      <w:tblPr>
        <w:tblW w:w="0" w:type="auto"/>
        <w:tblInd w:w="-469" w:type="dxa"/>
        <w:tblLayout w:type="fixed"/>
        <w:tblLook w:val="0000" w:firstRow="0" w:lastRow="0" w:firstColumn="0" w:lastColumn="0" w:noHBand="0" w:noVBand="0"/>
      </w:tblPr>
      <w:tblGrid>
        <w:gridCol w:w="567"/>
        <w:gridCol w:w="8667"/>
      </w:tblGrid>
      <w:tr w:rsidR="00272D6C" w:rsidRPr="00272D6C" w14:paraId="26E151FA" w14:textId="77777777" w:rsidTr="005171C5">
        <w:trPr>
          <w:tblHeader/>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198538D0"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lang w:eastAsia="ar-SA"/>
              </w:rPr>
              <w:t>註釋</w:t>
            </w:r>
          </w:p>
        </w:tc>
      </w:tr>
      <w:tr w:rsidR="00272D6C" w:rsidRPr="00272D6C" w14:paraId="40A2D96B" w14:textId="77777777" w:rsidTr="005171C5">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D12ADD0"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lang w:eastAsia="ar-SA"/>
              </w:rPr>
              <w:t>行</w:t>
            </w:r>
          </w:p>
        </w:tc>
      </w:tr>
      <w:tr w:rsidR="00272D6C" w:rsidRPr="00272D6C" w14:paraId="5EACC631" w14:textId="77777777" w:rsidTr="005171C5">
        <w:tc>
          <w:tcPr>
            <w:tcW w:w="567" w:type="dxa"/>
            <w:tcBorders>
              <w:top w:val="single" w:sz="4" w:space="0" w:color="000000"/>
              <w:left w:val="single" w:sz="4" w:space="0" w:color="000000"/>
              <w:bottom w:val="single" w:sz="4" w:space="0" w:color="000000"/>
            </w:tcBorders>
            <w:shd w:val="clear" w:color="auto" w:fill="auto"/>
          </w:tcPr>
          <w:p w14:paraId="427BBFB1"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1</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2075B4FB" w14:textId="0E5B1558" w:rsidR="00272D6C" w:rsidRPr="00272D6C" w:rsidRDefault="00272D6C" w:rsidP="00952CC9">
            <w:pPr>
              <w:suppressAutoHyphens/>
              <w:spacing w:before="40" w:after="40"/>
              <w:jc w:val="both"/>
              <w:rPr>
                <w:rFonts w:cs="Segoe UI"/>
                <w:sz w:val="15"/>
                <w:lang w:eastAsia="ar-SA"/>
              </w:rPr>
            </w:pPr>
            <w:r w:rsidRPr="00272D6C">
              <w:rPr>
                <w:rFonts w:eastAsia="細明體" w:cs="Segoe UI" w:hint="eastAsia"/>
                <w:i/>
                <w:sz w:val="17"/>
                <w:lang w:eastAsia="ar-SA"/>
              </w:rPr>
              <w:t>於</w:t>
            </w:r>
            <w:r w:rsidRPr="00272D6C">
              <w:rPr>
                <w:rFonts w:eastAsia="細明體" w:cs="Segoe UI" w:hint="eastAsia"/>
                <w:i/>
                <w:sz w:val="17"/>
                <w:szCs w:val="17"/>
                <w:lang w:eastAsia="ar-SA"/>
              </w:rPr>
              <w:t>上一個報告期末違責貸款及債務證券</w:t>
            </w:r>
            <w:r w:rsidRPr="00272D6C">
              <w:rPr>
                <w:rFonts w:eastAsia="細明體" w:cs="Segoe UI" w:hint="eastAsia"/>
                <w:i/>
                <w:sz w:val="17"/>
                <w:lang w:eastAsia="ar-SA"/>
              </w:rPr>
              <w:t>結餘</w:t>
            </w:r>
            <w:r w:rsidRPr="00272D6C">
              <w:rPr>
                <w:rFonts w:eastAsia="細明體" w:cs="Segoe UI" w:hint="eastAsia"/>
                <w:sz w:val="17"/>
                <w:szCs w:val="17"/>
                <w:lang w:eastAsia="ar-SA"/>
              </w:rPr>
              <w:t>：在本模版填報的貸款及債務證券的範圍應與在模版</w:t>
            </w:r>
            <w:r w:rsidRPr="00272D6C">
              <w:rPr>
                <w:rFonts w:eastAsia="細明體" w:cs="Segoe UI"/>
                <w:sz w:val="17"/>
                <w:szCs w:val="17"/>
                <w:lang w:eastAsia="ar-SA"/>
              </w:rPr>
              <w:t>CR1</w:t>
            </w:r>
            <w:r w:rsidRPr="00272D6C">
              <w:rPr>
                <w:rFonts w:eastAsia="細明體" w:cs="Segoe UI" w:hint="eastAsia"/>
                <w:sz w:val="17"/>
                <w:szCs w:val="17"/>
                <w:lang w:eastAsia="ar-SA"/>
              </w:rPr>
              <w:t>（第</w:t>
            </w:r>
            <w:r w:rsidRPr="00272D6C">
              <w:rPr>
                <w:rFonts w:eastAsia="細明體" w:cs="Segoe UI"/>
                <w:sz w:val="17"/>
                <w:szCs w:val="17"/>
                <w:lang w:eastAsia="ar-SA"/>
              </w:rPr>
              <w:t>1</w:t>
            </w:r>
            <w:r w:rsidRPr="00272D6C">
              <w:rPr>
                <w:rFonts w:eastAsia="細明體" w:cs="Segoe UI" w:hint="eastAsia"/>
                <w:sz w:val="17"/>
                <w:szCs w:val="17"/>
                <w:lang w:eastAsia="ar-SA"/>
              </w:rPr>
              <w:t>至</w:t>
            </w:r>
            <w:r w:rsidRPr="00272D6C">
              <w:rPr>
                <w:rFonts w:eastAsia="細明體" w:cs="Segoe UI"/>
                <w:sz w:val="17"/>
                <w:szCs w:val="17"/>
                <w:lang w:eastAsia="ar-SA"/>
              </w:rPr>
              <w:t>2</w:t>
            </w:r>
            <w:r w:rsidRPr="00272D6C">
              <w:rPr>
                <w:rFonts w:eastAsia="細明體" w:cs="Segoe UI" w:hint="eastAsia"/>
                <w:sz w:val="17"/>
                <w:szCs w:val="17"/>
                <w:lang w:eastAsia="ar-SA"/>
              </w:rPr>
              <w:t>行）所填報的相同，並應填報於上一個報告期末已扣除撇帳</w:t>
            </w:r>
            <w:r w:rsidRPr="00272D6C">
              <w:rPr>
                <w:rFonts w:eastAsia="細明體" w:cs="Segoe UI" w:hint="eastAsia"/>
                <w:sz w:val="17"/>
                <w:lang w:eastAsia="ar-SA"/>
              </w:rPr>
              <w:t>、</w:t>
            </w:r>
            <w:r w:rsidRPr="00272D6C">
              <w:rPr>
                <w:rFonts w:eastAsia="細明體" w:cs="Segoe UI" w:hint="eastAsia"/>
                <w:sz w:val="17"/>
                <w:szCs w:val="17"/>
                <w:lang w:eastAsia="ar-SA"/>
              </w:rPr>
              <w:t>但</w:t>
            </w:r>
            <w:r w:rsidRPr="00272D6C">
              <w:rPr>
                <w:rFonts w:eastAsia="細明體" w:cs="Segoe UI"/>
                <w:sz w:val="17"/>
                <w:szCs w:val="17"/>
                <w:lang w:eastAsia="ar-SA"/>
              </w:rPr>
              <w:t>未</w:t>
            </w:r>
            <w:r w:rsidRPr="00272D6C">
              <w:rPr>
                <w:rFonts w:eastAsia="細明體" w:cs="Segoe UI" w:hint="eastAsia"/>
                <w:sz w:val="17"/>
                <w:szCs w:val="17"/>
                <w:lang w:eastAsia="zh-TW"/>
              </w:rPr>
              <w:t>將</w:t>
            </w:r>
            <w:r w:rsidRPr="00272D6C">
              <w:rPr>
                <w:rFonts w:eastAsia="細明體" w:cs="Segoe UI"/>
                <w:sz w:val="17"/>
                <w:szCs w:val="17"/>
                <w:lang w:eastAsia="ar-SA"/>
              </w:rPr>
              <w:t>CCF</w:t>
            </w:r>
            <w:r w:rsidRPr="00272D6C">
              <w:rPr>
                <w:rFonts w:eastAsia="細明體" w:cs="Segoe UI" w:hint="eastAsia"/>
                <w:sz w:val="17"/>
                <w:szCs w:val="17"/>
                <w:lang w:eastAsia="ar-SA"/>
              </w:rPr>
              <w:t>或減低信用風險措施</w:t>
            </w:r>
            <w:r w:rsidRPr="00272D6C">
              <w:rPr>
                <w:rFonts w:eastAsia="細明體" w:cs="Segoe UI"/>
                <w:sz w:val="17"/>
                <w:szCs w:val="17"/>
                <w:lang w:eastAsia="ar-SA"/>
              </w:rPr>
              <w:t>(CRM)</w:t>
            </w:r>
            <w:r w:rsidRPr="00272D6C">
              <w:rPr>
                <w:rFonts w:eastAsia="細明體" w:cs="Segoe UI" w:hint="eastAsia"/>
                <w:sz w:val="17"/>
                <w:szCs w:val="17"/>
                <w:lang w:eastAsia="zh-TW"/>
              </w:rPr>
              <w:t>和</w:t>
            </w:r>
            <w:r w:rsidRPr="00272D6C">
              <w:rPr>
                <w:rFonts w:eastAsia="細明體" w:cs="Segoe UI" w:hint="eastAsia"/>
                <w:sz w:val="17"/>
                <w:szCs w:val="17"/>
                <w:lang w:eastAsia="ar-SA"/>
              </w:rPr>
              <w:t>備抵及減值</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的數額。</w:t>
            </w:r>
          </w:p>
        </w:tc>
      </w:tr>
      <w:tr w:rsidR="00272D6C" w:rsidRPr="00272D6C" w14:paraId="73BD1A58" w14:textId="77777777" w:rsidTr="005171C5">
        <w:trPr>
          <w:trHeight w:val="431"/>
        </w:trPr>
        <w:tc>
          <w:tcPr>
            <w:tcW w:w="567" w:type="dxa"/>
            <w:tcBorders>
              <w:top w:val="single" w:sz="4" w:space="0" w:color="000000"/>
              <w:left w:val="single" w:sz="4" w:space="0" w:color="000000"/>
              <w:bottom w:val="single" w:sz="4" w:space="0" w:color="000000"/>
            </w:tcBorders>
            <w:shd w:val="clear" w:color="auto" w:fill="auto"/>
          </w:tcPr>
          <w:p w14:paraId="253C2ACE"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2</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1042F4FC" w14:textId="77777777" w:rsidR="00272D6C" w:rsidRPr="00272D6C" w:rsidRDefault="00272D6C" w:rsidP="00272D6C">
            <w:pPr>
              <w:suppressAutoHyphens/>
              <w:spacing w:before="40" w:after="40"/>
              <w:jc w:val="both"/>
              <w:rPr>
                <w:rFonts w:cs="Segoe UI"/>
                <w:sz w:val="15"/>
                <w:lang w:eastAsia="ar-SA"/>
              </w:rPr>
            </w:pPr>
            <w:r w:rsidRPr="00272D6C">
              <w:rPr>
                <w:rFonts w:eastAsia="細明體" w:cs="Segoe UI" w:hint="eastAsia"/>
                <w:i/>
                <w:sz w:val="17"/>
                <w:lang w:eastAsia="ar-SA"/>
              </w:rPr>
              <w:t>期內</w:t>
            </w:r>
            <w:r w:rsidRPr="00272D6C">
              <w:rPr>
                <w:rFonts w:eastAsia="細明體" w:cs="Segoe UI" w:hint="eastAsia"/>
                <w:i/>
                <w:sz w:val="17"/>
                <w:szCs w:val="17"/>
                <w:lang w:eastAsia="ar-SA"/>
              </w:rPr>
              <w:t>發生的違責貸款及債務證券</w:t>
            </w:r>
            <w:r w:rsidRPr="00272D6C">
              <w:rPr>
                <w:rFonts w:eastAsia="細明體" w:cs="Segoe UI" w:hint="eastAsia"/>
                <w:sz w:val="17"/>
                <w:szCs w:val="17"/>
                <w:lang w:eastAsia="ar-SA"/>
              </w:rPr>
              <w:t>：認可機構在現行報告期內歸類為違責的貸款及債務證券。</w:t>
            </w:r>
          </w:p>
        </w:tc>
      </w:tr>
      <w:tr w:rsidR="00272D6C" w:rsidRPr="00272D6C" w14:paraId="464180C3" w14:textId="77777777" w:rsidTr="005171C5">
        <w:trPr>
          <w:trHeight w:val="636"/>
        </w:trPr>
        <w:tc>
          <w:tcPr>
            <w:tcW w:w="567" w:type="dxa"/>
            <w:tcBorders>
              <w:top w:val="single" w:sz="4" w:space="0" w:color="000000"/>
              <w:left w:val="single" w:sz="4" w:space="0" w:color="000000"/>
              <w:bottom w:val="single" w:sz="4" w:space="0" w:color="000000"/>
            </w:tcBorders>
            <w:shd w:val="clear" w:color="auto" w:fill="auto"/>
          </w:tcPr>
          <w:p w14:paraId="38A8A804"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3</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394279A5" w14:textId="77777777" w:rsidR="00272D6C" w:rsidRPr="00272D6C" w:rsidRDefault="00272D6C" w:rsidP="00272D6C">
            <w:pPr>
              <w:suppressAutoHyphens/>
              <w:spacing w:before="40" w:after="40"/>
              <w:jc w:val="both"/>
              <w:rPr>
                <w:rFonts w:cs="Segoe UI"/>
                <w:sz w:val="15"/>
                <w:lang w:eastAsia="ar-SA"/>
              </w:rPr>
            </w:pPr>
            <w:r w:rsidRPr="00272D6C">
              <w:rPr>
                <w:rFonts w:eastAsia="細明體" w:cs="Segoe UI" w:hint="eastAsia"/>
                <w:i/>
                <w:sz w:val="17"/>
                <w:lang w:eastAsia="ar-SA"/>
              </w:rPr>
              <w:t>轉</w:t>
            </w:r>
            <w:r w:rsidRPr="00272D6C">
              <w:rPr>
                <w:rFonts w:eastAsia="細明體" w:cs="Segoe UI" w:hint="eastAsia"/>
                <w:i/>
                <w:sz w:val="17"/>
                <w:szCs w:val="17"/>
                <w:lang w:eastAsia="ar-SA"/>
              </w:rPr>
              <w:t>回至非違責狀況</w:t>
            </w:r>
            <w:r w:rsidRPr="00272D6C">
              <w:rPr>
                <w:rFonts w:eastAsia="細明體" w:cs="Segoe UI" w:hint="eastAsia"/>
                <w:sz w:val="17"/>
                <w:szCs w:val="17"/>
                <w:lang w:eastAsia="ar-SA"/>
              </w:rPr>
              <w:t>：認可機構在現行報告期內再次歸類為非違責狀</w:t>
            </w:r>
            <w:r w:rsidRPr="00272D6C">
              <w:rPr>
                <w:rFonts w:eastAsia="細明體" w:cs="Segoe UI" w:hint="eastAsia"/>
                <w:sz w:val="17"/>
                <w:lang w:eastAsia="ar-SA"/>
              </w:rPr>
              <w:t>況</w:t>
            </w:r>
            <w:r w:rsidRPr="00272D6C">
              <w:rPr>
                <w:rFonts w:eastAsia="細明體" w:cs="Segoe UI" w:hint="eastAsia"/>
                <w:sz w:val="17"/>
                <w:szCs w:val="17"/>
                <w:lang w:eastAsia="ar-SA"/>
              </w:rPr>
              <w:t>的貸款及債務證券。此項目有減低相關風險承擔額的效果，故應</w:t>
            </w:r>
            <w:r w:rsidRPr="00272D6C">
              <w:rPr>
                <w:rFonts w:ascii="細明體" w:eastAsia="細明體" w:hAnsi="細明體" w:cs="Segoe UI" w:hint="eastAsia"/>
                <w:sz w:val="17"/>
                <w:szCs w:val="17"/>
                <w:lang w:eastAsia="ar-SA"/>
              </w:rPr>
              <w:t>以</w:t>
            </w:r>
            <w:r w:rsidRPr="00272D6C">
              <w:rPr>
                <w:rFonts w:eastAsia="細明體" w:cs="Segoe UI" w:hint="eastAsia"/>
                <w:sz w:val="17"/>
                <w:szCs w:val="17"/>
                <w:lang w:eastAsia="ar-SA"/>
              </w:rPr>
              <w:t>負數填報。</w:t>
            </w:r>
          </w:p>
        </w:tc>
      </w:tr>
      <w:tr w:rsidR="00272D6C" w:rsidRPr="00272D6C" w14:paraId="2443A1D0" w14:textId="77777777" w:rsidTr="005171C5">
        <w:tc>
          <w:tcPr>
            <w:tcW w:w="567" w:type="dxa"/>
            <w:tcBorders>
              <w:top w:val="single" w:sz="4" w:space="0" w:color="000000"/>
              <w:left w:val="single" w:sz="4" w:space="0" w:color="000000"/>
              <w:bottom w:val="single" w:sz="4" w:space="0" w:color="000000"/>
            </w:tcBorders>
            <w:shd w:val="clear" w:color="auto" w:fill="auto"/>
          </w:tcPr>
          <w:p w14:paraId="59F5A02A"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4</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3F0E579B" w14:textId="77777777" w:rsidR="00272D6C" w:rsidRPr="00272D6C" w:rsidRDefault="00272D6C" w:rsidP="00272D6C">
            <w:pPr>
              <w:suppressAutoHyphens/>
              <w:spacing w:before="40" w:after="40"/>
              <w:jc w:val="both"/>
              <w:rPr>
                <w:rFonts w:cs="Segoe UI"/>
                <w:sz w:val="15"/>
                <w:lang w:eastAsia="ar-SA"/>
              </w:rPr>
            </w:pPr>
            <w:r w:rsidRPr="00272D6C">
              <w:rPr>
                <w:rFonts w:eastAsia="細明體" w:cs="Segoe UI" w:hint="eastAsia"/>
                <w:i/>
                <w:sz w:val="17"/>
                <w:szCs w:val="17"/>
                <w:lang w:eastAsia="ar-SA"/>
              </w:rPr>
              <w:t>撇帳額</w:t>
            </w:r>
            <w:r w:rsidRPr="00272D6C">
              <w:rPr>
                <w:rFonts w:eastAsia="細明體" w:cs="Segoe UI" w:hint="eastAsia"/>
                <w:sz w:val="17"/>
                <w:szCs w:val="17"/>
                <w:lang w:eastAsia="ar-SA"/>
              </w:rPr>
              <w:t>：已全數或部分撇帳的帳面數額。此項目有減低相關風險承擔額的效果，故應以負數填報。</w:t>
            </w:r>
          </w:p>
        </w:tc>
      </w:tr>
      <w:tr w:rsidR="00272D6C" w:rsidRPr="00272D6C" w14:paraId="45979340" w14:textId="77777777" w:rsidTr="005171C5">
        <w:tc>
          <w:tcPr>
            <w:tcW w:w="567" w:type="dxa"/>
            <w:tcBorders>
              <w:top w:val="single" w:sz="4" w:space="0" w:color="000000"/>
              <w:left w:val="single" w:sz="4" w:space="0" w:color="000000"/>
              <w:bottom w:val="single" w:sz="4" w:space="0" w:color="000000"/>
            </w:tcBorders>
            <w:shd w:val="clear" w:color="auto" w:fill="auto"/>
          </w:tcPr>
          <w:p w14:paraId="51A36D7F"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5</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05AC7F2D" w14:textId="77777777" w:rsidR="00272D6C" w:rsidRPr="00272D6C" w:rsidRDefault="00272D6C" w:rsidP="00272D6C">
            <w:pPr>
              <w:keepLines/>
              <w:widowControl w:val="0"/>
              <w:tabs>
                <w:tab w:val="left" w:pos="150"/>
                <w:tab w:val="left" w:pos="397"/>
                <w:tab w:val="left" w:pos="794"/>
                <w:tab w:val="left" w:pos="1191"/>
              </w:tabs>
              <w:suppressAutoHyphens/>
              <w:spacing w:before="40" w:after="40"/>
              <w:jc w:val="both"/>
              <w:rPr>
                <w:rFonts w:cs="Segoe UI"/>
                <w:lang w:eastAsia="ar-SA"/>
              </w:rPr>
            </w:pPr>
            <w:r w:rsidRPr="00272D6C">
              <w:rPr>
                <w:rFonts w:eastAsia="細明體" w:cs="Segoe UI" w:hint="eastAsia"/>
                <w:i/>
                <w:sz w:val="17"/>
                <w:szCs w:val="17"/>
                <w:lang w:eastAsia="ar-SA"/>
              </w:rPr>
              <w:t>其他變動</w:t>
            </w:r>
            <w:r w:rsidRPr="00272D6C">
              <w:rPr>
                <w:rFonts w:eastAsia="細明體" w:cs="Segoe UI" w:hint="eastAsia"/>
                <w:sz w:val="17"/>
                <w:szCs w:val="17"/>
                <w:lang w:eastAsia="ar-SA"/>
              </w:rPr>
              <w:t>：為使第</w:t>
            </w:r>
            <w:r w:rsidRPr="00272D6C">
              <w:rPr>
                <w:rFonts w:eastAsia="細明體" w:cs="Segoe UI"/>
                <w:sz w:val="17"/>
                <w:szCs w:val="17"/>
                <w:lang w:eastAsia="ar-SA"/>
              </w:rPr>
              <w:t>1</w:t>
            </w:r>
            <w:r w:rsidRPr="00272D6C">
              <w:rPr>
                <w:rFonts w:eastAsia="細明體" w:cs="Segoe UI" w:hint="eastAsia"/>
                <w:sz w:val="17"/>
                <w:szCs w:val="17"/>
                <w:lang w:eastAsia="ar-SA"/>
              </w:rPr>
              <w:t>與第</w:t>
            </w:r>
            <w:r w:rsidRPr="00272D6C">
              <w:rPr>
                <w:rFonts w:eastAsia="細明體" w:cs="Segoe UI"/>
                <w:sz w:val="17"/>
                <w:szCs w:val="17"/>
                <w:lang w:eastAsia="ar-SA"/>
              </w:rPr>
              <w:t>6</w:t>
            </w:r>
            <w:r w:rsidRPr="00272D6C">
              <w:rPr>
                <w:rFonts w:eastAsia="細明體" w:cs="Segoe UI"/>
                <w:sz w:val="17"/>
                <w:szCs w:val="17"/>
                <w:lang w:eastAsia="ar-SA"/>
              </w:rPr>
              <w:t>行</w:t>
            </w:r>
            <w:r w:rsidRPr="00272D6C">
              <w:rPr>
                <w:rFonts w:eastAsia="細明體" w:cs="Segoe UI" w:hint="eastAsia"/>
                <w:sz w:val="17"/>
                <w:szCs w:val="17"/>
                <w:lang w:eastAsia="ar-SA"/>
              </w:rPr>
              <w:t>之間對帳的必要</w:t>
            </w:r>
            <w:r w:rsidRPr="00272D6C">
              <w:rPr>
                <w:rFonts w:eastAsia="細明體" w:cs="Segoe UI" w:hint="eastAsia"/>
                <w:sz w:val="17"/>
                <w:szCs w:val="17"/>
                <w:lang w:eastAsia="zh-TW"/>
              </w:rPr>
              <w:t>平衡</w:t>
            </w:r>
            <w:r w:rsidRPr="00272D6C">
              <w:rPr>
                <w:rFonts w:eastAsia="細明體" w:cs="Segoe UI" w:hint="eastAsia"/>
                <w:sz w:val="17"/>
                <w:szCs w:val="17"/>
                <w:lang w:eastAsia="ar-SA"/>
              </w:rPr>
              <w:t>項目。如該等</w:t>
            </w:r>
            <w:r w:rsidRPr="00272D6C">
              <w:rPr>
                <w:rFonts w:eastAsia="細明體" w:cs="Segoe UI" w:hint="eastAsia"/>
                <w:sz w:val="17"/>
                <w:szCs w:val="17"/>
                <w:lang w:eastAsia="zh-TW"/>
              </w:rPr>
              <w:t>平衡</w:t>
            </w:r>
            <w:r w:rsidRPr="00272D6C">
              <w:rPr>
                <w:rFonts w:eastAsia="細明體" w:cs="Segoe UI" w:hint="eastAsia"/>
                <w:sz w:val="17"/>
                <w:szCs w:val="17"/>
                <w:lang w:eastAsia="ar-SA"/>
              </w:rPr>
              <w:t>項目具重要性，認可機構應在附加說明披露有關詳情。如該等項目有減低相關風險承擔額的效果，則應以負數填報。</w:t>
            </w:r>
          </w:p>
        </w:tc>
      </w:tr>
      <w:tr w:rsidR="00272D6C" w:rsidRPr="00272D6C" w14:paraId="670E6776" w14:textId="77777777" w:rsidTr="005171C5">
        <w:tc>
          <w:tcPr>
            <w:tcW w:w="567" w:type="dxa"/>
            <w:tcBorders>
              <w:top w:val="single" w:sz="4" w:space="0" w:color="000000"/>
              <w:left w:val="single" w:sz="4" w:space="0" w:color="000000"/>
              <w:bottom w:val="single" w:sz="4" w:space="0" w:color="000000"/>
            </w:tcBorders>
            <w:shd w:val="clear" w:color="auto" w:fill="auto"/>
          </w:tcPr>
          <w:p w14:paraId="62F8D70A"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6</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7F5E7DD6" w14:textId="77777777" w:rsidR="00272D6C" w:rsidRPr="00272D6C" w:rsidRDefault="00272D6C" w:rsidP="00272D6C">
            <w:pPr>
              <w:keepLines/>
              <w:widowControl w:val="0"/>
              <w:tabs>
                <w:tab w:val="left" w:pos="150"/>
                <w:tab w:val="left" w:pos="397"/>
                <w:tab w:val="left" w:pos="794"/>
                <w:tab w:val="left" w:pos="1191"/>
              </w:tabs>
              <w:suppressAutoHyphens/>
              <w:spacing w:before="40" w:after="40"/>
              <w:jc w:val="both"/>
              <w:rPr>
                <w:rFonts w:cs="Segoe UI"/>
                <w:lang w:eastAsia="ar-SA"/>
              </w:rPr>
            </w:pPr>
            <w:r w:rsidRPr="00272D6C">
              <w:rPr>
                <w:rFonts w:eastAsia="細明體" w:cs="Segoe UI" w:hint="eastAsia"/>
                <w:i/>
                <w:sz w:val="17"/>
                <w:szCs w:val="17"/>
                <w:lang w:eastAsia="ar-SA"/>
              </w:rPr>
              <w:t>於現行報告期末違責貸款及債務證券</w:t>
            </w:r>
            <w:r w:rsidRPr="00272D6C">
              <w:rPr>
                <w:rFonts w:eastAsia="細明體" w:cs="Segoe UI" w:hint="eastAsia"/>
                <w:i/>
                <w:sz w:val="17"/>
                <w:lang w:eastAsia="ar-SA"/>
              </w:rPr>
              <w:t>結餘</w:t>
            </w:r>
            <w:r w:rsidRPr="00272D6C">
              <w:rPr>
                <w:rFonts w:eastAsia="細明體" w:cs="Segoe UI" w:hint="eastAsia"/>
                <w:sz w:val="17"/>
                <w:szCs w:val="17"/>
                <w:lang w:eastAsia="ar-SA"/>
              </w:rPr>
              <w:t>：為第</w:t>
            </w:r>
            <w:r w:rsidRPr="00272D6C">
              <w:rPr>
                <w:rFonts w:eastAsia="細明體" w:cs="Segoe UI"/>
                <w:sz w:val="17"/>
                <w:szCs w:val="17"/>
                <w:lang w:eastAsia="ar-SA"/>
              </w:rPr>
              <w:t>1</w:t>
            </w:r>
            <w:r w:rsidRPr="00272D6C">
              <w:rPr>
                <w:rFonts w:eastAsia="細明體" w:cs="Segoe UI" w:hint="eastAsia"/>
                <w:sz w:val="17"/>
                <w:szCs w:val="17"/>
                <w:lang w:eastAsia="ar-SA"/>
              </w:rPr>
              <w:t>至</w:t>
            </w:r>
            <w:r w:rsidRPr="00272D6C">
              <w:rPr>
                <w:rFonts w:eastAsia="細明體" w:cs="Segoe UI"/>
                <w:sz w:val="17"/>
                <w:szCs w:val="17"/>
                <w:lang w:eastAsia="ar-SA"/>
              </w:rPr>
              <w:t>5</w:t>
            </w:r>
            <w:r w:rsidRPr="00272D6C">
              <w:rPr>
                <w:rFonts w:eastAsia="細明體" w:cs="Segoe UI"/>
                <w:sz w:val="17"/>
                <w:szCs w:val="17"/>
                <w:lang w:eastAsia="ar-SA"/>
              </w:rPr>
              <w:t>行</w:t>
            </w:r>
            <w:r w:rsidRPr="00272D6C">
              <w:rPr>
                <w:rFonts w:eastAsia="細明體" w:cs="Segoe UI" w:hint="eastAsia"/>
                <w:sz w:val="17"/>
                <w:szCs w:val="17"/>
                <w:lang w:eastAsia="ar-SA"/>
              </w:rPr>
              <w:t>的值的總和。如認可機構並沒持有資產負債表外風險承擔，則本行的值亦相等於</w:t>
            </w:r>
            <w:r w:rsidRPr="00272D6C">
              <w:rPr>
                <w:rFonts w:eastAsia="細明體" w:cs="Segoe UI"/>
                <w:sz w:val="17"/>
                <w:szCs w:val="17"/>
                <w:lang w:eastAsia="ar-SA"/>
              </w:rPr>
              <w:t>[CR1: 4/a]</w:t>
            </w:r>
            <w:r w:rsidRPr="00272D6C">
              <w:rPr>
                <w:rFonts w:eastAsia="細明體" w:cs="Segoe UI" w:hint="eastAsia"/>
                <w:sz w:val="17"/>
                <w:szCs w:val="17"/>
                <w:lang w:eastAsia="ar-SA"/>
              </w:rPr>
              <w:t>的值。</w:t>
            </w:r>
          </w:p>
        </w:tc>
      </w:tr>
    </w:tbl>
    <w:p w14:paraId="2EA40949" w14:textId="77777777" w:rsidR="00272D6C" w:rsidRPr="00272D6C" w:rsidRDefault="00272D6C" w:rsidP="00272D6C">
      <w:pPr>
        <w:suppressAutoHyphens/>
        <w:rPr>
          <w:rFonts w:cs="Segoe UI"/>
          <w:lang w:eastAsia="ar-SA"/>
        </w:rPr>
        <w:sectPr w:rsidR="00272D6C" w:rsidRPr="00272D6C">
          <w:footerReference w:type="default" r:id="rId60"/>
          <w:pgSz w:w="11906" w:h="16838"/>
          <w:pgMar w:top="1440" w:right="1797" w:bottom="1440" w:left="1797" w:header="720" w:footer="737" w:gutter="0"/>
          <w:cols w:space="720"/>
          <w:docGrid w:type="linesAndChars" w:linePitch="360"/>
        </w:sectPr>
      </w:pPr>
    </w:p>
    <w:p w14:paraId="52B61006" w14:textId="5821412D" w:rsidR="00136436" w:rsidRPr="00136436" w:rsidRDefault="00136436" w:rsidP="00136436">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136436">
        <w:rPr>
          <w:rFonts w:eastAsia="細明體" w:cs="Segoe UI" w:hint="eastAsia"/>
          <w:b w:val="0"/>
          <w:sz w:val="22"/>
        </w:rPr>
        <w:t>表</w:t>
      </w:r>
      <w:r w:rsidRPr="00136436">
        <w:rPr>
          <w:rFonts w:ascii="Segoe UI" w:eastAsia="細明體" w:hAnsi="Segoe UI" w:cs="Segoe UI"/>
          <w:b w:val="0"/>
          <w:sz w:val="22"/>
        </w:rPr>
        <w:t>CRB</w:t>
      </w:r>
      <w:r w:rsidRPr="00136436">
        <w:rPr>
          <w:rFonts w:eastAsia="細明體" w:cs="Segoe UI" w:hint="eastAsia"/>
          <w:b w:val="0"/>
          <w:sz w:val="22"/>
        </w:rPr>
        <w:t>：關於風險承擔的信用質素的額外披露</w:t>
      </w:r>
    </w:p>
    <w:tbl>
      <w:tblPr>
        <w:tblW w:w="9106" w:type="dxa"/>
        <w:tblInd w:w="-459" w:type="dxa"/>
        <w:tblLayout w:type="fixed"/>
        <w:tblLook w:val="0000" w:firstRow="0" w:lastRow="0" w:firstColumn="0" w:lastColumn="0" w:noHBand="0" w:noVBand="0"/>
      </w:tblPr>
      <w:tblGrid>
        <w:gridCol w:w="2160"/>
        <w:gridCol w:w="6946"/>
      </w:tblGrid>
      <w:tr w:rsidR="00272D6C" w:rsidRPr="00272D6C" w14:paraId="7F2EC49F" w14:textId="77777777" w:rsidTr="004A3D58">
        <w:tc>
          <w:tcPr>
            <w:tcW w:w="2160" w:type="dxa"/>
            <w:tcBorders>
              <w:top w:val="single" w:sz="4" w:space="0" w:color="000000"/>
              <w:bottom w:val="single" w:sz="4" w:space="0" w:color="000000"/>
            </w:tcBorders>
            <w:shd w:val="clear" w:color="auto" w:fill="auto"/>
          </w:tcPr>
          <w:p w14:paraId="65CFA088"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694E62BC"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就風險承擔的信用質素提供額外的描述資料及量化資料，以補充在模版</w:t>
            </w:r>
            <w:r w:rsidRPr="00272D6C">
              <w:rPr>
                <w:rFonts w:eastAsia="細明體" w:cs="Segoe UI"/>
                <w:sz w:val="17"/>
                <w:lang w:eastAsia="ar-SA"/>
              </w:rPr>
              <w:t>CR1</w:t>
            </w:r>
            <w:r w:rsidRPr="00272D6C">
              <w:rPr>
                <w:rFonts w:eastAsia="細明體" w:cs="Segoe UI" w:hint="eastAsia"/>
                <w:sz w:val="17"/>
                <w:lang w:eastAsia="ar-SA"/>
              </w:rPr>
              <w:t>及</w:t>
            </w:r>
            <w:r w:rsidRPr="00272D6C">
              <w:rPr>
                <w:rFonts w:eastAsia="細明體" w:cs="Segoe UI"/>
                <w:sz w:val="17"/>
                <w:lang w:eastAsia="ar-SA"/>
              </w:rPr>
              <w:t>CR2</w:t>
            </w:r>
            <w:r w:rsidRPr="00272D6C">
              <w:rPr>
                <w:rFonts w:eastAsia="細明體" w:cs="Segoe UI" w:hint="eastAsia"/>
                <w:sz w:val="17"/>
                <w:lang w:eastAsia="ar-SA"/>
              </w:rPr>
              <w:t>下所提供的量化資料。</w:t>
            </w:r>
          </w:p>
        </w:tc>
      </w:tr>
      <w:tr w:rsidR="00272D6C" w:rsidRPr="00272D6C" w14:paraId="263A26E7" w14:textId="77777777" w:rsidTr="004A3D58">
        <w:tc>
          <w:tcPr>
            <w:tcW w:w="2160" w:type="dxa"/>
            <w:tcBorders>
              <w:top w:val="single" w:sz="4" w:space="0" w:color="000000"/>
              <w:bottom w:val="single" w:sz="4" w:space="0" w:color="000000"/>
            </w:tcBorders>
            <w:shd w:val="clear" w:color="auto" w:fill="auto"/>
          </w:tcPr>
          <w:p w14:paraId="403A1168"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0EBA902F"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所有在香港成立為法團的認可機構</w:t>
            </w:r>
            <w:r w:rsidRPr="00272D6C">
              <w:rPr>
                <w:rFonts w:eastAsia="細明體" w:cs="Segoe UI"/>
                <w:sz w:val="17"/>
                <w:lang w:eastAsia="ar-SA"/>
              </w:rPr>
              <w:t>均須填報本表。</w:t>
            </w:r>
          </w:p>
        </w:tc>
      </w:tr>
      <w:tr w:rsidR="00272D6C" w:rsidRPr="00272D6C" w14:paraId="3AC67E41" w14:textId="77777777" w:rsidTr="004A3D58">
        <w:tc>
          <w:tcPr>
            <w:tcW w:w="2160" w:type="dxa"/>
            <w:tcBorders>
              <w:top w:val="single" w:sz="4" w:space="0" w:color="000000"/>
              <w:bottom w:val="single" w:sz="4" w:space="0" w:color="000000"/>
            </w:tcBorders>
            <w:shd w:val="clear" w:color="auto" w:fill="auto"/>
          </w:tcPr>
          <w:p w14:paraId="1FF33EDE"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51BF810C" w14:textId="5A3FF15E" w:rsidR="00272D6C" w:rsidRPr="00272D6C" w:rsidRDefault="00272D6C" w:rsidP="006E7E01">
            <w:pPr>
              <w:suppressAutoHyphens/>
              <w:spacing w:before="40" w:after="40"/>
              <w:jc w:val="both"/>
              <w:rPr>
                <w:rFonts w:eastAsia="細明體" w:cs="Segoe UI"/>
                <w:sz w:val="17"/>
                <w:lang w:eastAsia="zh-TW"/>
              </w:rPr>
            </w:pPr>
            <w:r w:rsidRPr="00272D6C">
              <w:rPr>
                <w:rFonts w:eastAsia="細明體" w:cs="Segoe UI" w:hint="eastAsia"/>
                <w:sz w:val="17"/>
                <w:lang w:eastAsia="ar-SA"/>
              </w:rPr>
              <w:t>描述資料及量化資料（即</w:t>
            </w:r>
            <w:r w:rsidR="005C07D5" w:rsidRPr="00272D6C">
              <w:rPr>
                <w:rFonts w:eastAsia="細明體" w:cs="Segoe UI" w:hint="eastAsia"/>
                <w:sz w:val="17"/>
                <w:lang w:eastAsia="ar-SA"/>
              </w:rPr>
              <w:t>帳面數額</w:t>
            </w:r>
            <w:r w:rsidRPr="00272D6C">
              <w:rPr>
                <w:rFonts w:eastAsia="細明體" w:cs="Segoe UI" w:hint="eastAsia"/>
                <w:sz w:val="17"/>
                <w:lang w:eastAsia="ar-SA"/>
              </w:rPr>
              <w:t>對應於財務報表所載的值</w:t>
            </w:r>
            <w:r w:rsidR="005C07D5" w:rsidRPr="00272D6C">
              <w:rPr>
                <w:rFonts w:eastAsia="細明體" w:cs="Segoe UI" w:hint="eastAsia"/>
                <w:sz w:val="17"/>
                <w:lang w:eastAsia="ar-SA"/>
              </w:rPr>
              <w:t>，</w:t>
            </w:r>
            <w:r w:rsidRPr="00272D6C">
              <w:rPr>
                <w:rFonts w:eastAsia="細明體" w:cs="Segoe UI" w:hint="eastAsia"/>
                <w:sz w:val="17"/>
                <w:lang w:eastAsia="ar-SA"/>
              </w:rPr>
              <w:t>但根據用</w:t>
            </w:r>
            <w:r w:rsidR="005C07D5">
              <w:rPr>
                <w:rFonts w:eastAsia="細明體" w:cs="Segoe UI" w:hint="eastAsia"/>
                <w:sz w:val="17"/>
                <w:lang w:eastAsia="zh-HK"/>
              </w:rPr>
              <w:t>作</w:t>
            </w:r>
            <w:r w:rsidRPr="00272D6C">
              <w:rPr>
                <w:rFonts w:eastAsia="細明體" w:cs="Segoe UI" w:hint="eastAsia"/>
                <w:sz w:val="17"/>
                <w:lang w:eastAsia="ar-SA"/>
              </w:rPr>
              <w:t>計算資本充足程度</w:t>
            </w:r>
            <w:r w:rsidR="006E7E01">
              <w:rPr>
                <w:rFonts w:eastAsia="細明體" w:cs="Segoe UI" w:hint="eastAsia"/>
                <w:sz w:val="17"/>
                <w:lang w:eastAsia="zh-HK"/>
              </w:rPr>
              <w:t>而適用</w:t>
            </w:r>
            <w:r w:rsidRPr="00272D6C">
              <w:rPr>
                <w:rFonts w:eastAsia="細明體" w:cs="Segoe UI" w:hint="eastAsia"/>
                <w:sz w:val="17"/>
                <w:lang w:eastAsia="ar-SA"/>
              </w:rPr>
              <w:t>的監管綜合範圍）。</w:t>
            </w:r>
          </w:p>
        </w:tc>
      </w:tr>
      <w:tr w:rsidR="00272D6C" w:rsidRPr="00272D6C" w14:paraId="3FE9F64A" w14:textId="77777777" w:rsidTr="004A3D58">
        <w:tc>
          <w:tcPr>
            <w:tcW w:w="2160" w:type="dxa"/>
            <w:tcBorders>
              <w:top w:val="single" w:sz="4" w:space="0" w:color="000000"/>
              <w:bottom w:val="single" w:sz="4" w:space="0" w:color="000000"/>
            </w:tcBorders>
            <w:shd w:val="clear" w:color="auto" w:fill="auto"/>
          </w:tcPr>
          <w:p w14:paraId="6BE655BB"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7E73EA21"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每年一次</w:t>
            </w:r>
            <w:r w:rsidRPr="00272D6C">
              <w:rPr>
                <w:rFonts w:eastAsia="細明體" w:cs="Segoe UI"/>
                <w:sz w:val="17"/>
                <w:lang w:eastAsia="ar-SA"/>
              </w:rPr>
              <w:t>。</w:t>
            </w:r>
          </w:p>
        </w:tc>
      </w:tr>
      <w:tr w:rsidR="00272D6C" w:rsidRPr="00272D6C" w14:paraId="37877820" w14:textId="77777777" w:rsidTr="004A3D58">
        <w:tc>
          <w:tcPr>
            <w:tcW w:w="2160" w:type="dxa"/>
            <w:tcBorders>
              <w:top w:val="single" w:sz="4" w:space="0" w:color="000000"/>
              <w:bottom w:val="single" w:sz="4" w:space="0" w:color="000000"/>
            </w:tcBorders>
            <w:shd w:val="clear" w:color="auto" w:fill="auto"/>
          </w:tcPr>
          <w:p w14:paraId="0D9A49EE"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7312E927"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非固定</w:t>
            </w:r>
            <w:r w:rsidRPr="00272D6C">
              <w:rPr>
                <w:rFonts w:eastAsia="細明體" w:cs="Segoe UI"/>
                <w:sz w:val="17"/>
                <w:lang w:eastAsia="ar-SA"/>
              </w:rPr>
              <w:t>。</w:t>
            </w:r>
          </w:p>
        </w:tc>
      </w:tr>
      <w:tr w:rsidR="00272D6C" w:rsidRPr="00272D6C" w14:paraId="167A6228" w14:textId="77777777" w:rsidTr="004A3D58">
        <w:tc>
          <w:tcPr>
            <w:tcW w:w="2160" w:type="dxa"/>
            <w:tcBorders>
              <w:top w:val="single" w:sz="4" w:space="0" w:color="000000"/>
              <w:bottom w:val="single" w:sz="4" w:space="0" w:color="000000"/>
            </w:tcBorders>
            <w:shd w:val="clear" w:color="auto" w:fill="auto"/>
          </w:tcPr>
          <w:p w14:paraId="6318404F"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《披露規則》相應條文：</w:t>
            </w:r>
          </w:p>
        </w:tc>
        <w:tc>
          <w:tcPr>
            <w:tcW w:w="6946" w:type="dxa"/>
            <w:tcBorders>
              <w:top w:val="single" w:sz="4" w:space="0" w:color="000000"/>
              <w:left w:val="single" w:sz="4" w:space="0" w:color="000000"/>
              <w:bottom w:val="single" w:sz="4" w:space="0" w:color="000000"/>
            </w:tcBorders>
            <w:shd w:val="clear" w:color="auto" w:fill="auto"/>
          </w:tcPr>
          <w:p w14:paraId="34680AFD"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16J</w:t>
            </w:r>
          </w:p>
        </w:tc>
      </w:tr>
    </w:tbl>
    <w:p w14:paraId="70144EA0" w14:textId="77777777" w:rsidR="00272D6C" w:rsidRPr="00272D6C" w:rsidRDefault="00272D6C" w:rsidP="00272D6C">
      <w:pPr>
        <w:suppressAutoHyphens/>
        <w:spacing w:before="120" w:after="120"/>
        <w:rPr>
          <w:rFonts w:eastAsia="細明體" w:cs="Segoe UI"/>
          <w:sz w:val="22"/>
          <w:lang w:eastAsia="ar-SA"/>
        </w:rPr>
      </w:pPr>
    </w:p>
    <w:tbl>
      <w:tblPr>
        <w:tblW w:w="9242" w:type="dxa"/>
        <w:tblInd w:w="-497" w:type="dxa"/>
        <w:tblLayout w:type="fixed"/>
        <w:tblCellMar>
          <w:left w:w="70" w:type="dxa"/>
          <w:right w:w="70" w:type="dxa"/>
        </w:tblCellMar>
        <w:tblLook w:val="0000" w:firstRow="0" w:lastRow="0" w:firstColumn="0" w:lastColumn="0" w:noHBand="0" w:noVBand="0"/>
      </w:tblPr>
      <w:tblGrid>
        <w:gridCol w:w="370"/>
        <w:gridCol w:w="8872"/>
      </w:tblGrid>
      <w:tr w:rsidR="00272D6C" w:rsidRPr="00272D6C" w14:paraId="25002EB2" w14:textId="77777777" w:rsidTr="005171C5">
        <w:trPr>
          <w:trHeight w:val="448"/>
        </w:trPr>
        <w:tc>
          <w:tcPr>
            <w:tcW w:w="9242" w:type="dxa"/>
            <w:gridSpan w:val="2"/>
            <w:tcBorders>
              <w:top w:val="single" w:sz="4" w:space="0" w:color="000000"/>
              <w:bottom w:val="single" w:sz="4" w:space="0" w:color="000000"/>
            </w:tcBorders>
            <w:shd w:val="clear" w:color="auto" w:fill="auto"/>
            <w:vAlign w:val="center"/>
          </w:tcPr>
          <w:p w14:paraId="561955DF" w14:textId="77777777" w:rsidR="00272D6C" w:rsidRPr="00272D6C" w:rsidRDefault="00272D6C" w:rsidP="00272D6C">
            <w:pPr>
              <w:widowControl w:val="0"/>
              <w:suppressAutoHyphens/>
              <w:spacing w:before="40" w:after="40"/>
              <w:jc w:val="both"/>
              <w:rPr>
                <w:rFonts w:cs="Segoe UI"/>
                <w:lang w:eastAsia="ar-SA"/>
              </w:rPr>
            </w:pPr>
            <w:r w:rsidRPr="00272D6C">
              <w:rPr>
                <w:rFonts w:eastAsia="細明體" w:cs="Segoe UI" w:hint="eastAsia"/>
                <w:sz w:val="17"/>
                <w:szCs w:val="17"/>
                <w:lang w:eastAsia="ar-SA"/>
              </w:rPr>
              <w:t>認可機構應披露以下資料：</w:t>
            </w:r>
          </w:p>
        </w:tc>
      </w:tr>
      <w:tr w:rsidR="00272D6C" w:rsidRPr="00272D6C" w14:paraId="52FF0623" w14:textId="77777777" w:rsidTr="005171C5">
        <w:trPr>
          <w:trHeight w:val="448"/>
        </w:trPr>
        <w:tc>
          <w:tcPr>
            <w:tcW w:w="9242" w:type="dxa"/>
            <w:gridSpan w:val="2"/>
            <w:tcBorders>
              <w:top w:val="single" w:sz="4" w:space="0" w:color="000000"/>
              <w:bottom w:val="single" w:sz="4" w:space="0" w:color="000000"/>
            </w:tcBorders>
            <w:shd w:val="clear" w:color="auto" w:fill="D9D9D9"/>
            <w:vAlign w:val="center"/>
          </w:tcPr>
          <w:p w14:paraId="130C1E9C" w14:textId="77777777" w:rsidR="00272D6C" w:rsidRPr="00272D6C" w:rsidRDefault="00272D6C" w:rsidP="00272D6C">
            <w:pPr>
              <w:widowControl w:val="0"/>
              <w:suppressAutoHyphens/>
              <w:spacing w:before="40" w:after="40"/>
              <w:jc w:val="both"/>
              <w:rPr>
                <w:rFonts w:cs="Segoe UI"/>
                <w:lang w:eastAsia="ar-SA"/>
              </w:rPr>
            </w:pPr>
            <w:r w:rsidRPr="00272D6C">
              <w:rPr>
                <w:rFonts w:eastAsia="細明體" w:cs="Segoe UI" w:hint="eastAsia"/>
                <w:sz w:val="17"/>
                <w:szCs w:val="17"/>
                <w:lang w:eastAsia="ar-SA"/>
              </w:rPr>
              <w:t>描述披露</w:t>
            </w:r>
          </w:p>
        </w:tc>
      </w:tr>
      <w:tr w:rsidR="00272D6C" w:rsidRPr="00272D6C" w14:paraId="2D99EEC9" w14:textId="77777777" w:rsidTr="005171C5">
        <w:trPr>
          <w:trHeight w:val="318"/>
        </w:trPr>
        <w:tc>
          <w:tcPr>
            <w:tcW w:w="370" w:type="dxa"/>
            <w:tcBorders>
              <w:top w:val="single" w:sz="4" w:space="0" w:color="000000"/>
              <w:bottom w:val="single" w:sz="4" w:space="0" w:color="000000"/>
            </w:tcBorders>
            <w:shd w:val="clear" w:color="auto" w:fill="auto"/>
          </w:tcPr>
          <w:p w14:paraId="1C9B40C9"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(a)</w:t>
            </w:r>
          </w:p>
        </w:tc>
        <w:tc>
          <w:tcPr>
            <w:tcW w:w="8872" w:type="dxa"/>
            <w:tcBorders>
              <w:top w:val="single" w:sz="4" w:space="0" w:color="000000"/>
              <w:bottom w:val="single" w:sz="4" w:space="0" w:color="000000"/>
            </w:tcBorders>
            <w:shd w:val="clear" w:color="auto" w:fill="auto"/>
            <w:vAlign w:val="center"/>
          </w:tcPr>
          <w:p w14:paraId="0B113138" w14:textId="621B8767"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按照適用會計準則</w:t>
            </w:r>
            <w:r w:rsidRPr="00272D6C">
              <w:rPr>
                <w:rFonts w:eastAsia="細明體" w:cs="Segoe UI" w:hint="eastAsia"/>
                <w:sz w:val="17"/>
                <w:szCs w:val="17"/>
                <w:lang w:eastAsia="zh-TW"/>
              </w:rPr>
              <w:t>而</w:t>
            </w:r>
            <w:r w:rsidRPr="00272D6C">
              <w:rPr>
                <w:rFonts w:eastAsia="細明體" w:cs="Segoe UI" w:hint="eastAsia"/>
                <w:sz w:val="17"/>
                <w:szCs w:val="17"/>
                <w:lang w:eastAsia="ar-SA"/>
              </w:rPr>
              <w:t>採用的「逾期」及「已減值」風險承擔的範圍及定義，以及就會計目的及監管目的而言逾期風險承擔及違責風險承擔的定義之間的差</w:t>
            </w:r>
            <w:r w:rsidRPr="00272D6C">
              <w:rPr>
                <w:rFonts w:eastAsia="細明體" w:cs="Segoe UI" w:hint="eastAsia"/>
                <w:sz w:val="17"/>
                <w:szCs w:val="17"/>
                <w:lang w:eastAsia="zh-TW"/>
              </w:rPr>
              <w:t>別</w:t>
            </w:r>
            <w:r w:rsidRPr="00272D6C">
              <w:rPr>
                <w:rFonts w:eastAsia="細明體" w:cs="Segoe UI" w:hint="eastAsia"/>
                <w:sz w:val="17"/>
                <w:szCs w:val="17"/>
                <w:lang w:eastAsia="ar-SA"/>
              </w:rPr>
              <w:t>（如有）</w:t>
            </w:r>
            <w:r w:rsidR="004A2F0D" w:rsidRPr="00272D6C">
              <w:rPr>
                <w:rFonts w:eastAsia="細明體" w:cs="Segoe UI" w:hint="eastAsia"/>
                <w:sz w:val="17"/>
                <w:lang w:eastAsia="ar-SA"/>
              </w:rPr>
              <w:t>。</w:t>
            </w:r>
          </w:p>
        </w:tc>
      </w:tr>
      <w:tr w:rsidR="00272D6C" w:rsidRPr="00272D6C" w14:paraId="1CAE6EAC" w14:textId="77777777" w:rsidTr="005171C5">
        <w:trPr>
          <w:trHeight w:val="318"/>
        </w:trPr>
        <w:tc>
          <w:tcPr>
            <w:tcW w:w="370" w:type="dxa"/>
            <w:tcBorders>
              <w:top w:val="single" w:sz="4" w:space="0" w:color="000000"/>
              <w:bottom w:val="single" w:sz="4" w:space="0" w:color="000000"/>
            </w:tcBorders>
            <w:shd w:val="clear" w:color="auto" w:fill="auto"/>
          </w:tcPr>
          <w:p w14:paraId="056A6CC4"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(b)</w:t>
            </w:r>
          </w:p>
        </w:tc>
        <w:tc>
          <w:tcPr>
            <w:tcW w:w="8872" w:type="dxa"/>
            <w:tcBorders>
              <w:top w:val="single" w:sz="4" w:space="0" w:color="000000"/>
              <w:bottom w:val="single" w:sz="4" w:space="0" w:color="000000"/>
            </w:tcBorders>
            <w:shd w:val="clear" w:color="auto" w:fill="auto"/>
            <w:vAlign w:val="center"/>
          </w:tcPr>
          <w:p w14:paraId="5EDB4337" w14:textId="5526559B"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已逾期超過</w:t>
            </w:r>
            <w:r w:rsidRPr="00272D6C">
              <w:rPr>
                <w:rFonts w:eastAsia="細明體" w:cs="Segoe UI"/>
                <w:sz w:val="17"/>
                <w:szCs w:val="17"/>
                <w:lang w:eastAsia="ar-SA"/>
              </w:rPr>
              <w:t>90</w:t>
            </w:r>
            <w:r w:rsidRPr="00272D6C">
              <w:rPr>
                <w:rFonts w:eastAsia="細明體" w:cs="Segoe UI" w:hint="eastAsia"/>
                <w:sz w:val="17"/>
                <w:szCs w:val="17"/>
                <w:lang w:eastAsia="ar-SA"/>
              </w:rPr>
              <w:t>日</w:t>
            </w:r>
            <w:r w:rsidRPr="00272D6C">
              <w:rPr>
                <w:rFonts w:eastAsia="細明體" w:cs="Segoe UI" w:hint="eastAsia"/>
                <w:sz w:val="17"/>
                <w:szCs w:val="17"/>
                <w:lang w:eastAsia="zh-TW"/>
              </w:rPr>
              <w:t>但</w:t>
            </w:r>
            <w:r w:rsidRPr="00272D6C">
              <w:rPr>
                <w:rFonts w:eastAsia="細明體" w:cs="Segoe UI" w:hint="eastAsia"/>
                <w:sz w:val="17"/>
                <w:szCs w:val="17"/>
                <w:lang w:eastAsia="ar-SA"/>
              </w:rPr>
              <w:t>沒有減值的風險承擔的</w:t>
            </w:r>
            <w:r w:rsidRPr="00272D6C">
              <w:rPr>
                <w:rFonts w:eastAsia="細明體" w:cs="Segoe UI" w:hint="eastAsia"/>
                <w:sz w:val="17"/>
                <w:lang w:eastAsia="zh-TW"/>
              </w:rPr>
              <w:t>程度</w:t>
            </w:r>
            <w:r w:rsidRPr="00272D6C">
              <w:rPr>
                <w:rFonts w:eastAsia="細明體" w:cs="Segoe UI" w:hint="eastAsia"/>
                <w:sz w:val="17"/>
                <w:szCs w:val="17"/>
                <w:lang w:eastAsia="ar-SA"/>
              </w:rPr>
              <w:t>，以及沒有將該等風險承擔歸類為已減值的理據</w:t>
            </w:r>
            <w:r w:rsidR="004A2F0D" w:rsidRPr="00272D6C">
              <w:rPr>
                <w:rFonts w:eastAsia="細明體" w:cs="Segoe UI" w:hint="eastAsia"/>
                <w:sz w:val="17"/>
                <w:lang w:eastAsia="ar-SA"/>
              </w:rPr>
              <w:t>。</w:t>
            </w:r>
          </w:p>
        </w:tc>
      </w:tr>
      <w:tr w:rsidR="00272D6C" w:rsidRPr="00272D6C" w14:paraId="54A6D55F" w14:textId="77777777" w:rsidTr="005171C5">
        <w:trPr>
          <w:trHeight w:val="318"/>
        </w:trPr>
        <w:tc>
          <w:tcPr>
            <w:tcW w:w="370" w:type="dxa"/>
            <w:tcBorders>
              <w:top w:val="single" w:sz="4" w:space="0" w:color="000000"/>
              <w:bottom w:val="single" w:sz="4" w:space="0" w:color="000000"/>
            </w:tcBorders>
            <w:shd w:val="clear" w:color="auto" w:fill="auto"/>
          </w:tcPr>
          <w:p w14:paraId="6AD88038"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(c)</w:t>
            </w:r>
          </w:p>
        </w:tc>
        <w:tc>
          <w:tcPr>
            <w:tcW w:w="8872" w:type="dxa"/>
            <w:tcBorders>
              <w:top w:val="single" w:sz="4" w:space="0" w:color="000000"/>
              <w:bottom w:val="single" w:sz="4" w:space="0" w:color="000000"/>
            </w:tcBorders>
            <w:shd w:val="clear" w:color="auto" w:fill="auto"/>
            <w:vAlign w:val="center"/>
          </w:tcPr>
          <w:p w14:paraId="0EBBC5FB" w14:textId="3AAEF752"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有關釐定信用損失會計準備金所用的方法的</w:t>
            </w:r>
            <w:r w:rsidRPr="00272D6C">
              <w:rPr>
                <w:rFonts w:eastAsia="細明體" w:cs="Segoe UI" w:hint="eastAsia"/>
                <w:sz w:val="17"/>
                <w:lang w:eastAsia="ar-SA"/>
              </w:rPr>
              <w:t>描述</w:t>
            </w:r>
            <w:r w:rsidRPr="00272D6C">
              <w:rPr>
                <w:rFonts w:eastAsia="細明體" w:cs="Segoe UI" w:hint="eastAsia"/>
                <w:sz w:val="17"/>
                <w:szCs w:val="17"/>
                <w:lang w:eastAsia="ar-SA"/>
              </w:rPr>
              <w:t>。此外，</w:t>
            </w:r>
            <w:r w:rsidRPr="00272D6C">
              <w:rPr>
                <w:rFonts w:eastAsia="細明體" w:cs="Segoe UI" w:hint="eastAsia"/>
                <w:sz w:val="17"/>
                <w:szCs w:val="17"/>
                <w:lang w:eastAsia="zh-TW"/>
              </w:rPr>
              <w:t>已</w:t>
            </w:r>
            <w:r w:rsidRPr="00272D6C">
              <w:rPr>
                <w:rFonts w:eastAsia="細明體" w:cs="Segoe UI" w:hint="eastAsia"/>
                <w:sz w:val="17"/>
                <w:szCs w:val="17"/>
                <w:lang w:eastAsia="ar-SA"/>
              </w:rPr>
              <w:t>採用預期信用損失</w:t>
            </w:r>
            <w:r w:rsidRPr="00272D6C">
              <w:rPr>
                <w:rFonts w:eastAsia="細明體" w:cs="Segoe UI" w:hint="eastAsia"/>
                <w:sz w:val="17"/>
                <w:lang w:eastAsia="zh-TW"/>
              </w:rPr>
              <w:t>(</w:t>
            </w:r>
            <w:r w:rsidRPr="00272D6C">
              <w:rPr>
                <w:rFonts w:eastAsia="細明體" w:cs="Segoe UI"/>
                <w:sz w:val="17"/>
                <w:lang w:eastAsia="zh-TW"/>
              </w:rPr>
              <w:t>ECL</w:t>
            </w:r>
            <w:r w:rsidRPr="00272D6C">
              <w:rPr>
                <w:rFonts w:eastAsia="細明體" w:cs="Segoe UI" w:hint="eastAsia"/>
                <w:sz w:val="17"/>
                <w:lang w:eastAsia="zh-TW"/>
              </w:rPr>
              <w:t>)</w:t>
            </w:r>
            <w:r w:rsidRPr="00272D6C">
              <w:rPr>
                <w:rFonts w:eastAsia="細明體" w:cs="Segoe UI" w:hint="eastAsia"/>
                <w:sz w:val="17"/>
                <w:szCs w:val="17"/>
                <w:lang w:eastAsia="ar-SA"/>
              </w:rPr>
              <w:t>會計模</w:t>
            </w:r>
            <w:r w:rsidRPr="00272D6C">
              <w:rPr>
                <w:rFonts w:ascii="新細明體" w:eastAsia="新細明體" w:hAnsi="新細明體" w:cs="新細明體" w:hint="eastAsia"/>
                <w:color w:val="777777"/>
                <w:sz w:val="17"/>
                <w:lang w:val="en" w:eastAsia="ar-SA"/>
              </w:rPr>
              <w:t>式</w:t>
            </w:r>
            <w:r w:rsidRPr="00272D6C">
              <w:rPr>
                <w:rFonts w:eastAsia="細明體" w:cs="Segoe UI" w:hint="eastAsia"/>
                <w:sz w:val="17"/>
                <w:szCs w:val="17"/>
                <w:lang w:eastAsia="ar-SA"/>
              </w:rPr>
              <w:t>的認可機構</w:t>
            </w:r>
            <w:r w:rsidRPr="00272D6C">
              <w:rPr>
                <w:rFonts w:eastAsia="細明體" w:cs="Segoe UI" w:hint="eastAsia"/>
                <w:sz w:val="17"/>
                <w:szCs w:val="17"/>
                <w:lang w:eastAsia="zh-TW"/>
              </w:rPr>
              <w:t>，</w:t>
            </w:r>
            <w:r w:rsidRPr="00272D6C">
              <w:rPr>
                <w:rFonts w:eastAsia="細明體" w:cs="Segoe UI" w:hint="eastAsia"/>
                <w:sz w:val="17"/>
                <w:szCs w:val="17"/>
                <w:lang w:eastAsia="ar-SA"/>
              </w:rPr>
              <w:t>須</w:t>
            </w:r>
            <w:r w:rsidRPr="00272D6C">
              <w:rPr>
                <w:rFonts w:eastAsia="細明體" w:cs="Segoe UI" w:hint="eastAsia"/>
                <w:sz w:val="17"/>
                <w:szCs w:val="17"/>
                <w:lang w:eastAsia="zh-TW"/>
              </w:rPr>
              <w:t>就其</w:t>
            </w:r>
            <w:r w:rsidRPr="00272D6C">
              <w:rPr>
                <w:rFonts w:eastAsia="細明體" w:cs="Segoe UI" w:hint="eastAsia"/>
                <w:sz w:val="17"/>
                <w:szCs w:val="17"/>
                <w:lang w:eastAsia="ar-SA"/>
              </w:rPr>
              <w:t>根據</w:t>
            </w:r>
            <w:r w:rsidRPr="00272D6C">
              <w:rPr>
                <w:rFonts w:eastAsia="細明體" w:cs="Segoe UI"/>
                <w:sz w:val="17"/>
                <w:lang w:eastAsia="zh-TW"/>
              </w:rPr>
              <w:t>STC</w:t>
            </w:r>
            <w:r w:rsidRPr="00272D6C">
              <w:rPr>
                <w:rFonts w:eastAsia="細明體" w:cs="Segoe UI" w:hint="eastAsia"/>
                <w:sz w:val="17"/>
                <w:lang w:eastAsia="zh-TW"/>
              </w:rPr>
              <w:t>計算</w:t>
            </w:r>
            <w:r w:rsidRPr="00272D6C">
              <w:rPr>
                <w:rFonts w:eastAsia="細明體" w:cs="Segoe UI" w:hint="eastAsia"/>
                <w:sz w:val="17"/>
                <w:szCs w:val="17"/>
                <w:lang w:eastAsia="ar-SA"/>
              </w:rPr>
              <w:t>法計算的風險承擔而作出的預期信用損失會計準備金</w:t>
            </w:r>
            <w:r w:rsidRPr="00272D6C">
              <w:rPr>
                <w:rFonts w:eastAsia="細明體" w:cs="Segoe UI" w:hint="eastAsia"/>
                <w:sz w:val="17"/>
                <w:szCs w:val="17"/>
                <w:lang w:eastAsia="zh-TW"/>
              </w:rPr>
              <w:t>，</w:t>
            </w:r>
            <w:r w:rsidRPr="00272D6C">
              <w:rPr>
                <w:rFonts w:eastAsia="細明體" w:cs="Segoe UI" w:hint="eastAsia"/>
                <w:sz w:val="17"/>
                <w:szCs w:val="17"/>
                <w:lang w:eastAsia="ar-SA"/>
              </w:rPr>
              <w:t>提供關</w:t>
            </w:r>
            <w:r w:rsidRPr="00272D6C">
              <w:rPr>
                <w:rFonts w:eastAsia="細明體" w:cs="Segoe UI" w:hint="eastAsia"/>
                <w:sz w:val="17"/>
                <w:szCs w:val="17"/>
                <w:lang w:eastAsia="zh-TW"/>
              </w:rPr>
              <w:t>於</w:t>
            </w:r>
            <w:r w:rsidRPr="00272D6C">
              <w:rPr>
                <w:rFonts w:eastAsia="細明體" w:cs="Segoe UI" w:hint="eastAsia"/>
                <w:sz w:val="17"/>
                <w:szCs w:val="17"/>
                <w:lang w:eastAsia="ar-SA"/>
              </w:rPr>
              <w:t>分類</w:t>
            </w:r>
            <w:r w:rsidRPr="00272D6C">
              <w:rPr>
                <w:rFonts w:eastAsia="細明體" w:cs="Segoe UI" w:hint="eastAsia"/>
                <w:sz w:val="17"/>
                <w:szCs w:val="17"/>
                <w:lang w:eastAsia="zh-TW"/>
              </w:rPr>
              <w:t>為</w:t>
            </w:r>
            <w:r w:rsidRPr="00272D6C">
              <w:rPr>
                <w:rFonts w:eastAsia="細明體" w:cs="Segoe UI" w:hint="eastAsia"/>
                <w:sz w:val="17"/>
                <w:szCs w:val="17"/>
                <w:lang w:eastAsia="ar-SA"/>
              </w:rPr>
              <w:t>集體類別和特定類別所用的方法</w:t>
            </w:r>
            <w:r w:rsidRPr="00272D6C">
              <w:rPr>
                <w:rFonts w:eastAsia="細明體" w:cs="Segoe UI" w:hint="eastAsia"/>
                <w:sz w:val="17"/>
                <w:szCs w:val="17"/>
                <w:lang w:eastAsia="zh-TW"/>
              </w:rPr>
              <w:t>的資料</w:t>
            </w:r>
            <w:r w:rsidR="004A2F0D" w:rsidRPr="00272D6C">
              <w:rPr>
                <w:rFonts w:eastAsia="細明體" w:cs="Segoe UI" w:hint="eastAsia"/>
                <w:sz w:val="17"/>
                <w:lang w:eastAsia="ar-SA"/>
              </w:rPr>
              <w:t>。</w:t>
            </w:r>
          </w:p>
        </w:tc>
      </w:tr>
      <w:tr w:rsidR="00272D6C" w:rsidRPr="00272D6C" w14:paraId="2B234AA6" w14:textId="77777777" w:rsidTr="005171C5">
        <w:trPr>
          <w:trHeight w:val="318"/>
        </w:trPr>
        <w:tc>
          <w:tcPr>
            <w:tcW w:w="370" w:type="dxa"/>
            <w:tcBorders>
              <w:top w:val="single" w:sz="4" w:space="0" w:color="000000"/>
              <w:bottom w:val="single" w:sz="4" w:space="0" w:color="000000"/>
            </w:tcBorders>
            <w:shd w:val="clear" w:color="auto" w:fill="auto"/>
          </w:tcPr>
          <w:p w14:paraId="1F547747"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(d)</w:t>
            </w:r>
          </w:p>
        </w:tc>
        <w:tc>
          <w:tcPr>
            <w:tcW w:w="8872" w:type="dxa"/>
            <w:tcBorders>
              <w:top w:val="single" w:sz="4" w:space="0" w:color="000000"/>
              <w:bottom w:val="single" w:sz="4" w:space="0" w:color="000000"/>
            </w:tcBorders>
            <w:shd w:val="clear" w:color="auto" w:fill="auto"/>
            <w:vAlign w:val="center"/>
          </w:tcPr>
          <w:p w14:paraId="0670A980" w14:textId="6552E0B9"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認可機構對經重組風險承擔的定義</w:t>
            </w:r>
            <w:r w:rsidR="004A2F0D" w:rsidRPr="00272D6C">
              <w:rPr>
                <w:rFonts w:eastAsia="細明體" w:cs="Segoe UI" w:hint="eastAsia"/>
                <w:sz w:val="17"/>
                <w:lang w:eastAsia="ar-SA"/>
              </w:rPr>
              <w:t>。</w:t>
            </w:r>
          </w:p>
        </w:tc>
      </w:tr>
      <w:tr w:rsidR="00272D6C" w:rsidRPr="00272D6C" w14:paraId="31EE1DCE" w14:textId="77777777" w:rsidTr="005171C5">
        <w:trPr>
          <w:trHeight w:val="318"/>
        </w:trPr>
        <w:tc>
          <w:tcPr>
            <w:tcW w:w="9242" w:type="dxa"/>
            <w:gridSpan w:val="2"/>
            <w:tcBorders>
              <w:top w:val="single" w:sz="4" w:space="0" w:color="000000"/>
              <w:bottom w:val="single" w:sz="4" w:space="0" w:color="000000"/>
            </w:tcBorders>
            <w:shd w:val="clear" w:color="auto" w:fill="D9D9D9"/>
          </w:tcPr>
          <w:p w14:paraId="03F39029"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szCs w:val="17"/>
                <w:lang w:eastAsia="ar-SA"/>
              </w:rPr>
              <w:t>量化披露</w:t>
            </w:r>
          </w:p>
        </w:tc>
      </w:tr>
      <w:tr w:rsidR="00272D6C" w:rsidRPr="00272D6C" w14:paraId="48A310DE" w14:textId="77777777" w:rsidTr="005171C5">
        <w:trPr>
          <w:trHeight w:val="318"/>
        </w:trPr>
        <w:tc>
          <w:tcPr>
            <w:tcW w:w="370" w:type="dxa"/>
            <w:tcBorders>
              <w:top w:val="single" w:sz="4" w:space="0" w:color="000000"/>
              <w:bottom w:val="single" w:sz="4" w:space="0" w:color="000000"/>
            </w:tcBorders>
            <w:shd w:val="clear" w:color="auto" w:fill="auto"/>
          </w:tcPr>
          <w:p w14:paraId="16FA486C"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(e)</w:t>
            </w:r>
          </w:p>
        </w:tc>
        <w:tc>
          <w:tcPr>
            <w:tcW w:w="8872" w:type="dxa"/>
            <w:tcBorders>
              <w:top w:val="single" w:sz="4" w:space="0" w:color="000000"/>
              <w:bottom w:val="single" w:sz="4" w:space="0" w:color="000000"/>
            </w:tcBorders>
            <w:shd w:val="clear" w:color="auto" w:fill="auto"/>
            <w:vAlign w:val="center"/>
          </w:tcPr>
          <w:p w14:paraId="1AB90FE2" w14:textId="3784148A"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按地理區域、行業及距到期期限的期間劃分的風險承擔細目分類。任何佔認可機構的信用風險的總</w:t>
            </w:r>
            <w:r w:rsidRPr="00272D6C">
              <w:rPr>
                <w:rFonts w:eastAsia="細明體" w:cs="Segoe UI"/>
                <w:sz w:val="17"/>
                <w:szCs w:val="17"/>
                <w:lang w:eastAsia="ar-SA"/>
              </w:rPr>
              <w:t>風險加權數額</w:t>
            </w:r>
            <w:r w:rsidRPr="00272D6C">
              <w:rPr>
                <w:rFonts w:eastAsia="細明體" w:cs="Segoe UI" w:hint="eastAsia"/>
                <w:sz w:val="17"/>
                <w:szCs w:val="17"/>
                <w:lang w:eastAsia="ar-SA"/>
              </w:rPr>
              <w:t>（已</w:t>
            </w:r>
            <w:r w:rsidRPr="00272D6C">
              <w:rPr>
                <w:rFonts w:eastAsia="細明體" w:cs="Segoe UI" w:hint="eastAsia"/>
                <w:sz w:val="17"/>
                <w:szCs w:val="17"/>
                <w:lang w:eastAsia="zh-TW"/>
              </w:rPr>
              <w:t>計及</w:t>
            </w:r>
            <w:r w:rsidRPr="00272D6C">
              <w:rPr>
                <w:rFonts w:eastAsia="細明體" w:cs="Segoe UI" w:hint="eastAsia"/>
                <w:sz w:val="17"/>
                <w:szCs w:val="17"/>
                <w:lang w:eastAsia="ar-SA"/>
              </w:rPr>
              <w:t>認可</w:t>
            </w:r>
            <w:r w:rsidRPr="00272D6C">
              <w:rPr>
                <w:rFonts w:eastAsia="細明體" w:cs="Segoe UI"/>
                <w:sz w:val="17"/>
                <w:szCs w:val="17"/>
                <w:lang w:eastAsia="ar-SA"/>
              </w:rPr>
              <w:t>減低信用風險措施</w:t>
            </w:r>
            <w:r w:rsidRPr="00272D6C">
              <w:rPr>
                <w:rFonts w:eastAsia="細明體" w:cs="Segoe UI" w:hint="eastAsia"/>
                <w:sz w:val="17"/>
                <w:szCs w:val="17"/>
                <w:lang w:eastAsia="ar-SA"/>
              </w:rPr>
              <w:t>）</w:t>
            </w:r>
            <w:r w:rsidRPr="00272D6C">
              <w:rPr>
                <w:rFonts w:eastAsia="細明體" w:cs="Segoe UI"/>
                <w:sz w:val="17"/>
                <w:szCs w:val="17"/>
                <w:lang w:eastAsia="ar-SA"/>
              </w:rPr>
              <w:t>不少於</w:t>
            </w:r>
            <w:r w:rsidRPr="00272D6C">
              <w:rPr>
                <w:rFonts w:eastAsia="細明體" w:cs="Segoe UI"/>
                <w:sz w:val="17"/>
                <w:szCs w:val="17"/>
                <w:lang w:eastAsia="ar-SA"/>
              </w:rPr>
              <w:t>10%</w:t>
            </w:r>
            <w:r w:rsidRPr="00272D6C">
              <w:rPr>
                <w:rFonts w:eastAsia="細明體" w:cs="Segoe UI" w:hint="eastAsia"/>
                <w:sz w:val="17"/>
                <w:szCs w:val="17"/>
                <w:lang w:eastAsia="ar-SA"/>
              </w:rPr>
              <w:t>的分部應被視為重大並予以</w:t>
            </w:r>
            <w:r w:rsidRPr="00272D6C">
              <w:rPr>
                <w:rFonts w:eastAsia="細明體" w:cs="Segoe UI" w:hint="eastAsia"/>
                <w:sz w:val="17"/>
                <w:szCs w:val="17"/>
                <w:lang w:eastAsia="zh-TW"/>
              </w:rPr>
              <w:t>分別</w:t>
            </w:r>
            <w:r w:rsidRPr="00272D6C">
              <w:rPr>
                <w:rFonts w:eastAsia="細明體" w:cs="Segoe UI" w:hint="eastAsia"/>
                <w:sz w:val="17"/>
                <w:szCs w:val="17"/>
                <w:lang w:eastAsia="ar-SA"/>
              </w:rPr>
              <w:t>披露。非重大風險承擔可按合計基</w:t>
            </w:r>
            <w:r w:rsidRPr="00272D6C">
              <w:rPr>
                <w:rFonts w:eastAsia="細明體" w:cs="Segoe UI" w:hint="eastAsia"/>
                <w:sz w:val="17"/>
                <w:szCs w:val="17"/>
                <w:lang w:eastAsia="zh-TW"/>
              </w:rPr>
              <w:t>準</w:t>
            </w:r>
            <w:r w:rsidRPr="00272D6C">
              <w:rPr>
                <w:rFonts w:eastAsia="細明體" w:cs="Segoe UI" w:hint="eastAsia"/>
                <w:sz w:val="17"/>
                <w:szCs w:val="17"/>
                <w:lang w:eastAsia="ar-SA"/>
              </w:rPr>
              <w:t>在「其他」類別披露</w:t>
            </w:r>
            <w:r w:rsidR="004A2F0D" w:rsidRPr="00272D6C">
              <w:rPr>
                <w:rFonts w:eastAsia="細明體" w:cs="Segoe UI" w:hint="eastAsia"/>
                <w:sz w:val="17"/>
                <w:lang w:eastAsia="ar-SA"/>
              </w:rPr>
              <w:t>。</w:t>
            </w:r>
          </w:p>
        </w:tc>
      </w:tr>
      <w:tr w:rsidR="00272D6C" w:rsidRPr="00272D6C" w14:paraId="6FCF53BE" w14:textId="77777777" w:rsidTr="005171C5">
        <w:trPr>
          <w:trHeight w:val="318"/>
        </w:trPr>
        <w:tc>
          <w:tcPr>
            <w:tcW w:w="370" w:type="dxa"/>
            <w:tcBorders>
              <w:top w:val="single" w:sz="4" w:space="0" w:color="000000"/>
              <w:bottom w:val="single" w:sz="4" w:space="0" w:color="000000"/>
            </w:tcBorders>
            <w:shd w:val="clear" w:color="auto" w:fill="auto"/>
          </w:tcPr>
          <w:p w14:paraId="32CADE3B"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(f)</w:t>
            </w:r>
          </w:p>
        </w:tc>
        <w:tc>
          <w:tcPr>
            <w:tcW w:w="8872" w:type="dxa"/>
            <w:tcBorders>
              <w:top w:val="single" w:sz="4" w:space="0" w:color="000000"/>
              <w:bottom w:val="single" w:sz="4" w:space="0" w:color="000000"/>
            </w:tcBorders>
            <w:shd w:val="clear" w:color="auto" w:fill="auto"/>
            <w:vAlign w:val="center"/>
          </w:tcPr>
          <w:p w14:paraId="2BBC3F26" w14:textId="6114CB39"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按地理區域及行業劃分的已減值風險承擔數額（按照適用會計準則所採用的定義）及相關備抵及撇帳數額</w:t>
            </w:r>
            <w:r w:rsidR="004A2F0D" w:rsidRPr="00272D6C">
              <w:rPr>
                <w:rFonts w:eastAsia="細明體" w:cs="Segoe UI" w:hint="eastAsia"/>
                <w:sz w:val="17"/>
                <w:lang w:eastAsia="ar-SA"/>
              </w:rPr>
              <w:t>。</w:t>
            </w:r>
          </w:p>
        </w:tc>
      </w:tr>
      <w:tr w:rsidR="00272D6C" w:rsidRPr="00272D6C" w14:paraId="61A8B3F9" w14:textId="77777777" w:rsidTr="005171C5">
        <w:trPr>
          <w:trHeight w:val="318"/>
        </w:trPr>
        <w:tc>
          <w:tcPr>
            <w:tcW w:w="370" w:type="dxa"/>
            <w:tcBorders>
              <w:top w:val="single" w:sz="4" w:space="0" w:color="000000"/>
              <w:bottom w:val="single" w:sz="4" w:space="0" w:color="000000"/>
            </w:tcBorders>
            <w:shd w:val="clear" w:color="auto" w:fill="auto"/>
          </w:tcPr>
          <w:p w14:paraId="7FCC900A"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(g)</w:t>
            </w:r>
          </w:p>
        </w:tc>
        <w:tc>
          <w:tcPr>
            <w:tcW w:w="8872" w:type="dxa"/>
            <w:tcBorders>
              <w:top w:val="single" w:sz="4" w:space="0" w:color="000000"/>
              <w:bottom w:val="single" w:sz="4" w:space="0" w:color="000000"/>
            </w:tcBorders>
            <w:shd w:val="clear" w:color="auto" w:fill="auto"/>
            <w:vAlign w:val="center"/>
          </w:tcPr>
          <w:p w14:paraId="65BEBEC0" w14:textId="75C5226B"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會計</w:t>
            </w:r>
            <w:r w:rsidRPr="00272D6C">
              <w:rPr>
                <w:rFonts w:eastAsia="細明體" w:cs="Segoe UI" w:hint="eastAsia"/>
                <w:sz w:val="17"/>
                <w:szCs w:val="17"/>
                <w:lang w:eastAsia="zh-TW"/>
              </w:rPr>
              <w:t>下</w:t>
            </w:r>
            <w:r w:rsidRPr="00272D6C">
              <w:rPr>
                <w:rFonts w:eastAsia="細明體" w:cs="Segoe UI" w:hint="eastAsia"/>
                <w:sz w:val="17"/>
                <w:szCs w:val="17"/>
                <w:lang w:eastAsia="ar-SA"/>
              </w:rPr>
              <w:t>逾期風險承擔的帳齡分析</w:t>
            </w:r>
            <w:r w:rsidR="004A2F0D" w:rsidRPr="00272D6C">
              <w:rPr>
                <w:rFonts w:eastAsia="細明體" w:cs="Segoe UI" w:hint="eastAsia"/>
                <w:sz w:val="17"/>
                <w:lang w:eastAsia="ar-SA"/>
              </w:rPr>
              <w:t>。</w:t>
            </w:r>
          </w:p>
        </w:tc>
      </w:tr>
      <w:tr w:rsidR="00272D6C" w:rsidRPr="00272D6C" w14:paraId="0887967C" w14:textId="77777777" w:rsidTr="005171C5">
        <w:trPr>
          <w:trHeight w:val="318"/>
        </w:trPr>
        <w:tc>
          <w:tcPr>
            <w:tcW w:w="370" w:type="dxa"/>
            <w:tcBorders>
              <w:top w:val="single" w:sz="4" w:space="0" w:color="000000"/>
              <w:bottom w:val="single" w:sz="4" w:space="0" w:color="000000"/>
            </w:tcBorders>
            <w:shd w:val="clear" w:color="auto" w:fill="auto"/>
          </w:tcPr>
          <w:p w14:paraId="200D4AB3" w14:textId="77777777" w:rsidR="00272D6C" w:rsidRPr="00272D6C" w:rsidRDefault="00272D6C" w:rsidP="00272D6C">
            <w:pPr>
              <w:widowControl w:val="0"/>
              <w:suppressAutoHyphens/>
              <w:spacing w:before="40" w:after="40"/>
              <w:jc w:val="both"/>
              <w:rPr>
                <w:rFonts w:eastAsia="細明體" w:cs="Segoe UI"/>
                <w:szCs w:val="17"/>
                <w:lang w:eastAsia="ar-SA"/>
              </w:rPr>
            </w:pPr>
            <w:r w:rsidRPr="00272D6C">
              <w:rPr>
                <w:rFonts w:eastAsia="細明體" w:cs="Segoe UI"/>
                <w:sz w:val="17"/>
                <w:szCs w:val="17"/>
                <w:lang w:eastAsia="ar-SA"/>
              </w:rPr>
              <w:t>(h)</w:t>
            </w:r>
          </w:p>
        </w:tc>
        <w:tc>
          <w:tcPr>
            <w:tcW w:w="8872" w:type="dxa"/>
            <w:tcBorders>
              <w:top w:val="single" w:sz="4" w:space="0" w:color="000000"/>
              <w:bottom w:val="single" w:sz="4" w:space="0" w:color="000000"/>
            </w:tcBorders>
            <w:shd w:val="clear" w:color="auto" w:fill="auto"/>
            <w:vAlign w:val="center"/>
          </w:tcPr>
          <w:p w14:paraId="38F77671" w14:textId="77777777"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sz w:val="17"/>
                <w:szCs w:val="17"/>
                <w:lang w:eastAsia="ar-SA"/>
              </w:rPr>
              <w:t>經重組風險承擔的細目分類（按已減值及未減值風險承擔劃分）。</w:t>
            </w:r>
          </w:p>
        </w:tc>
      </w:tr>
    </w:tbl>
    <w:p w14:paraId="54A4C6D2" w14:textId="77777777" w:rsidR="00272D6C" w:rsidRPr="00272D6C" w:rsidRDefault="00272D6C" w:rsidP="00272D6C">
      <w:pPr>
        <w:suppressAutoHyphens/>
        <w:rPr>
          <w:rFonts w:eastAsia="細明體" w:cs="Segoe UI"/>
          <w:lang w:eastAsia="ar-SA"/>
        </w:rPr>
      </w:pPr>
    </w:p>
    <w:p w14:paraId="506C53D5" w14:textId="77777777" w:rsidR="00272D6C" w:rsidRPr="00272D6C" w:rsidRDefault="00272D6C" w:rsidP="00272D6C">
      <w:pPr>
        <w:suppressAutoHyphens/>
        <w:rPr>
          <w:rFonts w:cs="Segoe UI"/>
          <w:lang w:eastAsia="ar-SA"/>
        </w:rPr>
        <w:sectPr w:rsidR="00272D6C" w:rsidRPr="00272D6C">
          <w:headerReference w:type="default" r:id="rId61"/>
          <w:footerReference w:type="default" r:id="rId62"/>
          <w:pgSz w:w="11906" w:h="16838"/>
          <w:pgMar w:top="1440" w:right="1797" w:bottom="1440" w:left="1797" w:header="720" w:footer="737" w:gutter="0"/>
          <w:cols w:space="720"/>
          <w:docGrid w:type="linesAndChars" w:linePitch="360"/>
        </w:sectPr>
      </w:pPr>
    </w:p>
    <w:p w14:paraId="66D901A5" w14:textId="77777777" w:rsidR="00272D6C" w:rsidRPr="00272D6C" w:rsidRDefault="00272D6C" w:rsidP="00D540EB">
      <w:pPr>
        <w:keepNext/>
        <w:numPr>
          <w:ilvl w:val="0"/>
          <w:numId w:val="35"/>
        </w:numPr>
        <w:suppressAutoHyphens/>
        <w:spacing w:before="360" w:after="240"/>
        <w:outlineLvl w:val="1"/>
        <w:rPr>
          <w:rFonts w:eastAsia="細明體"/>
          <w:color w:val="AA322F"/>
          <w:sz w:val="22"/>
          <w:lang w:eastAsia="ar-SA"/>
        </w:rPr>
      </w:pPr>
      <w:r w:rsidRPr="00272D6C">
        <w:rPr>
          <w:rFonts w:eastAsia="細明體" w:hint="eastAsia"/>
          <w:color w:val="AA322F"/>
          <w:sz w:val="24"/>
          <w:lang w:eastAsia="ar-SA"/>
        </w:rPr>
        <w:t>減低信用風險措施</w:t>
      </w:r>
    </w:p>
    <w:p w14:paraId="30A1F488" w14:textId="070707F7" w:rsidR="008A5FFD" w:rsidRPr="008A5FFD" w:rsidRDefault="008A5FFD" w:rsidP="008A5FFD">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8A5FFD">
        <w:rPr>
          <w:rFonts w:eastAsia="細明體" w:cs="Segoe UI" w:hint="eastAsia"/>
          <w:b w:val="0"/>
          <w:sz w:val="22"/>
        </w:rPr>
        <w:t>表</w:t>
      </w:r>
      <w:r w:rsidRPr="008A5FFD">
        <w:rPr>
          <w:rFonts w:ascii="Segoe UI" w:eastAsia="細明體" w:hAnsi="Segoe UI" w:cs="Segoe UI"/>
          <w:b w:val="0"/>
          <w:sz w:val="22"/>
        </w:rPr>
        <w:t>CRC</w:t>
      </w:r>
      <w:r w:rsidRPr="008A5FFD">
        <w:rPr>
          <w:rFonts w:eastAsia="細明體" w:cs="Segoe UI" w:hint="eastAsia"/>
          <w:b w:val="0"/>
          <w:sz w:val="22"/>
        </w:rPr>
        <w:t>：關於減低信用風險措施的描述披露</w:t>
      </w:r>
    </w:p>
    <w:tbl>
      <w:tblPr>
        <w:tblW w:w="9248" w:type="dxa"/>
        <w:tblInd w:w="-459" w:type="dxa"/>
        <w:tblLayout w:type="fixed"/>
        <w:tblLook w:val="0000" w:firstRow="0" w:lastRow="0" w:firstColumn="0" w:lastColumn="0" w:noHBand="0" w:noVBand="0"/>
      </w:tblPr>
      <w:tblGrid>
        <w:gridCol w:w="2160"/>
        <w:gridCol w:w="7088"/>
      </w:tblGrid>
      <w:tr w:rsidR="00272D6C" w:rsidRPr="00272D6C" w14:paraId="09F68418" w14:textId="77777777" w:rsidTr="004A3D58">
        <w:tc>
          <w:tcPr>
            <w:tcW w:w="2160" w:type="dxa"/>
            <w:tcBorders>
              <w:top w:val="single" w:sz="4" w:space="0" w:color="000000"/>
              <w:bottom w:val="single" w:sz="4" w:space="0" w:color="000000"/>
            </w:tcBorders>
            <w:shd w:val="clear" w:color="auto" w:fill="auto"/>
          </w:tcPr>
          <w:p w14:paraId="525F32AF"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29284BF3"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szCs w:val="17"/>
                <w:lang w:eastAsia="ar-SA"/>
              </w:rPr>
              <w:t>就減低信用風險措施的應用政策及程序提供描述資料。</w:t>
            </w:r>
          </w:p>
        </w:tc>
      </w:tr>
      <w:tr w:rsidR="00272D6C" w:rsidRPr="00272D6C" w14:paraId="43074DD2" w14:textId="77777777" w:rsidTr="004A3D58">
        <w:tc>
          <w:tcPr>
            <w:tcW w:w="2160" w:type="dxa"/>
            <w:tcBorders>
              <w:top w:val="single" w:sz="4" w:space="0" w:color="000000"/>
              <w:bottom w:val="single" w:sz="4" w:space="0" w:color="000000"/>
            </w:tcBorders>
            <w:shd w:val="clear" w:color="auto" w:fill="auto"/>
          </w:tcPr>
          <w:p w14:paraId="513645E3" w14:textId="77777777" w:rsidR="00272D6C" w:rsidRPr="00272D6C" w:rsidRDefault="00272D6C" w:rsidP="00272D6C">
            <w:pPr>
              <w:suppressAutoHyphens/>
              <w:spacing w:before="40" w:after="40"/>
              <w:rPr>
                <w:rFonts w:eastAsia="細明體" w:cs="Segoe UI"/>
                <w:sz w:val="17"/>
                <w:szCs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2A240602" w14:textId="77777777" w:rsidR="00272D6C" w:rsidRPr="00272D6C" w:rsidRDefault="00272D6C" w:rsidP="00272D6C">
            <w:pPr>
              <w:suppressAutoHyphens/>
              <w:spacing w:before="40" w:after="40"/>
              <w:rPr>
                <w:rFonts w:cs="Segoe UI"/>
                <w:lang w:eastAsia="ar-SA"/>
              </w:rPr>
            </w:pPr>
            <w:r w:rsidRPr="00272D6C">
              <w:rPr>
                <w:rFonts w:eastAsia="細明體" w:cs="Segoe UI" w:hint="eastAsia"/>
                <w:sz w:val="17"/>
                <w:szCs w:val="17"/>
                <w:lang w:eastAsia="ar-SA"/>
              </w:rPr>
              <w:t>所有在香港成立為法團的認可機構均須填報本表。</w:t>
            </w:r>
          </w:p>
        </w:tc>
      </w:tr>
      <w:tr w:rsidR="00272D6C" w:rsidRPr="00272D6C" w14:paraId="3611F82F" w14:textId="77777777" w:rsidTr="004A3D58">
        <w:tc>
          <w:tcPr>
            <w:tcW w:w="2160" w:type="dxa"/>
            <w:tcBorders>
              <w:top w:val="single" w:sz="4" w:space="0" w:color="000000"/>
              <w:bottom w:val="single" w:sz="4" w:space="0" w:color="000000"/>
            </w:tcBorders>
            <w:shd w:val="clear" w:color="auto" w:fill="auto"/>
          </w:tcPr>
          <w:p w14:paraId="0A415BFE" w14:textId="77777777" w:rsidR="00272D6C" w:rsidRPr="00272D6C" w:rsidRDefault="00272D6C" w:rsidP="00272D6C">
            <w:pPr>
              <w:suppressAutoHyphens/>
              <w:spacing w:before="40" w:after="40"/>
              <w:rPr>
                <w:rFonts w:eastAsia="細明體" w:cs="Segoe UI"/>
                <w:sz w:val="17"/>
                <w:szCs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0872C591" w14:textId="77777777" w:rsidR="00272D6C" w:rsidRPr="00272D6C" w:rsidRDefault="00272D6C" w:rsidP="00272D6C">
            <w:pPr>
              <w:suppressAutoHyphens/>
              <w:spacing w:before="40" w:after="40"/>
              <w:rPr>
                <w:rFonts w:cs="Segoe UI"/>
                <w:lang w:eastAsia="ar-SA"/>
              </w:rPr>
            </w:pPr>
            <w:r w:rsidRPr="00272D6C">
              <w:rPr>
                <w:rFonts w:eastAsia="細明體" w:cs="Segoe UI" w:hint="eastAsia"/>
                <w:sz w:val="17"/>
                <w:szCs w:val="17"/>
                <w:lang w:eastAsia="ar-SA"/>
              </w:rPr>
              <w:t>描述資料。</w:t>
            </w:r>
          </w:p>
        </w:tc>
      </w:tr>
      <w:tr w:rsidR="00272D6C" w:rsidRPr="00272D6C" w14:paraId="62498C81" w14:textId="77777777" w:rsidTr="004A3D58">
        <w:tc>
          <w:tcPr>
            <w:tcW w:w="2160" w:type="dxa"/>
            <w:tcBorders>
              <w:top w:val="single" w:sz="4" w:space="0" w:color="000000"/>
              <w:bottom w:val="single" w:sz="4" w:space="0" w:color="000000"/>
            </w:tcBorders>
            <w:shd w:val="clear" w:color="auto" w:fill="auto"/>
          </w:tcPr>
          <w:p w14:paraId="6A6AF8DD"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24DA35AA" w14:textId="77777777" w:rsidR="00272D6C" w:rsidRPr="00272D6C" w:rsidRDefault="00272D6C" w:rsidP="00272D6C">
            <w:pPr>
              <w:suppressAutoHyphens/>
              <w:spacing w:before="40" w:after="40"/>
              <w:rPr>
                <w:rFonts w:cs="Segoe UI"/>
                <w:sz w:val="17"/>
                <w:lang w:eastAsia="ar-SA"/>
              </w:rPr>
            </w:pPr>
            <w:r w:rsidRPr="00272D6C">
              <w:rPr>
                <w:rFonts w:eastAsia="細明體" w:cs="Segoe UI" w:hint="eastAsia"/>
                <w:sz w:val="17"/>
                <w:szCs w:val="17"/>
                <w:lang w:eastAsia="ar-SA"/>
              </w:rPr>
              <w:t>每年一次。</w:t>
            </w:r>
          </w:p>
        </w:tc>
      </w:tr>
      <w:tr w:rsidR="00272D6C" w:rsidRPr="00272D6C" w14:paraId="7F9DD4B0" w14:textId="77777777" w:rsidTr="004A3D58">
        <w:tc>
          <w:tcPr>
            <w:tcW w:w="2160" w:type="dxa"/>
            <w:tcBorders>
              <w:top w:val="single" w:sz="4" w:space="0" w:color="000000"/>
              <w:bottom w:val="single" w:sz="4" w:space="0" w:color="000000"/>
            </w:tcBorders>
            <w:shd w:val="clear" w:color="auto" w:fill="auto"/>
          </w:tcPr>
          <w:p w14:paraId="3AA01139"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29C181D0" w14:textId="77777777" w:rsidR="00272D6C" w:rsidRPr="00272D6C" w:rsidRDefault="00272D6C" w:rsidP="00272D6C">
            <w:pPr>
              <w:suppressAutoHyphens/>
              <w:spacing w:before="40" w:after="40"/>
              <w:rPr>
                <w:rFonts w:cs="Segoe UI"/>
                <w:sz w:val="17"/>
                <w:lang w:eastAsia="ar-SA"/>
              </w:rPr>
            </w:pPr>
            <w:r w:rsidRPr="00272D6C">
              <w:rPr>
                <w:rFonts w:eastAsia="細明體" w:cs="Segoe UI" w:hint="eastAsia"/>
                <w:sz w:val="17"/>
                <w:szCs w:val="17"/>
                <w:lang w:eastAsia="ar-SA"/>
              </w:rPr>
              <w:t>非固定。</w:t>
            </w:r>
          </w:p>
        </w:tc>
      </w:tr>
      <w:tr w:rsidR="00272D6C" w:rsidRPr="00272D6C" w14:paraId="407DAA60" w14:textId="77777777" w:rsidTr="004A3D58">
        <w:tc>
          <w:tcPr>
            <w:tcW w:w="2160" w:type="dxa"/>
            <w:tcBorders>
              <w:top w:val="single" w:sz="4" w:space="0" w:color="000000"/>
              <w:bottom w:val="single" w:sz="4" w:space="0" w:color="000000"/>
            </w:tcBorders>
            <w:shd w:val="clear" w:color="auto" w:fill="auto"/>
          </w:tcPr>
          <w:p w14:paraId="64F552C1"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lang w:eastAsia="ar-SA"/>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3274A8D4" w14:textId="77777777" w:rsidR="00272D6C" w:rsidRPr="00272D6C" w:rsidRDefault="00272D6C" w:rsidP="00272D6C">
            <w:pPr>
              <w:suppressAutoHyphens/>
              <w:spacing w:before="40" w:after="40"/>
              <w:rPr>
                <w:rFonts w:cs="Segoe UI"/>
                <w:sz w:val="17"/>
                <w:lang w:eastAsia="ar-SA"/>
              </w:rPr>
            </w:pPr>
            <w:r w:rsidRPr="00272D6C">
              <w:rPr>
                <w:rFonts w:eastAsia="細明體" w:cs="Segoe UI"/>
                <w:sz w:val="17"/>
                <w:szCs w:val="17"/>
                <w:lang w:eastAsia="ar-SA"/>
              </w:rPr>
              <w:t>16K</w:t>
            </w:r>
          </w:p>
        </w:tc>
      </w:tr>
    </w:tbl>
    <w:p w14:paraId="2FFE0B27" w14:textId="77777777" w:rsidR="00272D6C" w:rsidRPr="00272D6C" w:rsidRDefault="00272D6C" w:rsidP="00272D6C">
      <w:pPr>
        <w:suppressAutoHyphens/>
        <w:spacing w:before="120" w:after="120"/>
        <w:rPr>
          <w:rFonts w:eastAsia="細明體" w:cs="Segoe UI"/>
          <w:sz w:val="22"/>
          <w:lang w:eastAsia="ar-SA"/>
        </w:rPr>
      </w:pPr>
    </w:p>
    <w:tbl>
      <w:tblPr>
        <w:tblW w:w="9242" w:type="dxa"/>
        <w:tblInd w:w="-497" w:type="dxa"/>
        <w:tblLayout w:type="fixed"/>
        <w:tblCellMar>
          <w:left w:w="70" w:type="dxa"/>
          <w:right w:w="70" w:type="dxa"/>
        </w:tblCellMar>
        <w:tblLook w:val="0000" w:firstRow="0" w:lastRow="0" w:firstColumn="0" w:lastColumn="0" w:noHBand="0" w:noVBand="0"/>
      </w:tblPr>
      <w:tblGrid>
        <w:gridCol w:w="370"/>
        <w:gridCol w:w="8872"/>
      </w:tblGrid>
      <w:tr w:rsidR="00272D6C" w:rsidRPr="00272D6C" w14:paraId="28804F69" w14:textId="77777777" w:rsidTr="005171C5">
        <w:trPr>
          <w:trHeight w:val="448"/>
        </w:trPr>
        <w:tc>
          <w:tcPr>
            <w:tcW w:w="9242" w:type="dxa"/>
            <w:gridSpan w:val="2"/>
            <w:tcBorders>
              <w:top w:val="single" w:sz="4" w:space="0" w:color="000000"/>
              <w:bottom w:val="single" w:sz="4" w:space="0" w:color="000000"/>
            </w:tcBorders>
            <w:shd w:val="clear" w:color="auto" w:fill="auto"/>
          </w:tcPr>
          <w:p w14:paraId="3FFEAEAF" w14:textId="77777777" w:rsidR="00272D6C" w:rsidRPr="00272D6C" w:rsidRDefault="00272D6C" w:rsidP="00272D6C">
            <w:pPr>
              <w:widowControl w:val="0"/>
              <w:suppressAutoHyphens/>
              <w:spacing w:before="40" w:after="40"/>
              <w:jc w:val="both"/>
              <w:rPr>
                <w:rFonts w:cs="Segoe UI"/>
                <w:lang w:eastAsia="ar-SA"/>
              </w:rPr>
            </w:pPr>
            <w:r w:rsidRPr="00272D6C">
              <w:rPr>
                <w:rFonts w:eastAsia="細明體" w:cs="Segoe UI" w:hint="eastAsia"/>
                <w:sz w:val="17"/>
                <w:szCs w:val="17"/>
                <w:lang w:eastAsia="ar-SA"/>
              </w:rPr>
              <w:t>認可機構應披露以下資料：</w:t>
            </w:r>
          </w:p>
        </w:tc>
      </w:tr>
      <w:tr w:rsidR="00272D6C" w:rsidRPr="00272D6C" w14:paraId="331D31C2" w14:textId="77777777" w:rsidTr="005171C5">
        <w:trPr>
          <w:trHeight w:val="318"/>
        </w:trPr>
        <w:tc>
          <w:tcPr>
            <w:tcW w:w="370" w:type="dxa"/>
            <w:tcBorders>
              <w:top w:val="single" w:sz="4" w:space="0" w:color="000000"/>
              <w:bottom w:val="single" w:sz="4" w:space="0" w:color="000000"/>
            </w:tcBorders>
            <w:shd w:val="clear" w:color="auto" w:fill="auto"/>
          </w:tcPr>
          <w:p w14:paraId="5D732ED5"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(a)</w:t>
            </w:r>
          </w:p>
        </w:tc>
        <w:tc>
          <w:tcPr>
            <w:tcW w:w="8872" w:type="dxa"/>
            <w:tcBorders>
              <w:top w:val="single" w:sz="4" w:space="0" w:color="000000"/>
              <w:bottom w:val="single" w:sz="4" w:space="0" w:color="000000"/>
            </w:tcBorders>
            <w:shd w:val="clear" w:color="auto" w:fill="auto"/>
            <w:vAlign w:val="center"/>
          </w:tcPr>
          <w:p w14:paraId="26D88A5B" w14:textId="77777777" w:rsidR="00272D6C" w:rsidRPr="00272D6C" w:rsidRDefault="00272D6C" w:rsidP="00D540EB">
            <w:pPr>
              <w:numPr>
                <w:ilvl w:val="0"/>
                <w:numId w:val="38"/>
              </w:numPr>
              <w:suppressAutoHyphens/>
              <w:spacing w:before="40" w:after="40"/>
              <w:jc w:val="both"/>
              <w:rPr>
                <w:rFonts w:eastAsia="細明體" w:cs="Segoe UI"/>
                <w:sz w:val="17"/>
                <w:lang w:eastAsia="ar-SA"/>
              </w:rPr>
            </w:pPr>
            <w:r w:rsidRPr="00272D6C">
              <w:rPr>
                <w:rFonts w:eastAsia="細明體" w:cs="Segoe UI" w:hint="eastAsia"/>
                <w:sz w:val="17"/>
                <w:lang w:eastAsia="zh-TW"/>
              </w:rPr>
              <w:t>對</w:t>
            </w:r>
            <w:r w:rsidRPr="00272D6C">
              <w:rPr>
                <w:rFonts w:eastAsia="細明體" w:cs="Segoe UI" w:hint="eastAsia"/>
                <w:sz w:val="17"/>
                <w:lang w:eastAsia="ar-SA"/>
              </w:rPr>
              <w:t>淨額計算資產負債表內及表外</w:t>
            </w:r>
            <w:r w:rsidRPr="00272D6C">
              <w:rPr>
                <w:rFonts w:eastAsia="細明體" w:cs="Segoe UI" w:hint="eastAsia"/>
                <w:sz w:val="17"/>
                <w:szCs w:val="17"/>
                <w:lang w:eastAsia="ar-SA"/>
              </w:rPr>
              <w:t>風險承擔</w:t>
            </w:r>
            <w:r w:rsidRPr="00272D6C">
              <w:rPr>
                <w:rFonts w:eastAsia="細明體" w:cs="Segoe UI" w:hint="eastAsia"/>
                <w:sz w:val="17"/>
                <w:lang w:eastAsia="ar-SA"/>
              </w:rPr>
              <w:t>的政策及程序的</w:t>
            </w:r>
            <w:r w:rsidRPr="00272D6C">
              <w:rPr>
                <w:rFonts w:eastAsia="細明體" w:cs="Segoe UI" w:hint="eastAsia"/>
                <w:sz w:val="17"/>
                <w:szCs w:val="17"/>
                <w:lang w:eastAsia="ar-SA"/>
              </w:rPr>
              <w:t>描述</w:t>
            </w:r>
            <w:r w:rsidRPr="00272D6C">
              <w:rPr>
                <w:rFonts w:eastAsia="細明體" w:cs="Segoe UI" w:hint="eastAsia"/>
                <w:sz w:val="17"/>
                <w:lang w:eastAsia="ar-SA"/>
              </w:rPr>
              <w:t>；</w:t>
            </w:r>
          </w:p>
          <w:p w14:paraId="5C408AE4" w14:textId="77777777" w:rsidR="00272D6C" w:rsidRPr="00272D6C" w:rsidRDefault="00272D6C" w:rsidP="00D540EB">
            <w:pPr>
              <w:numPr>
                <w:ilvl w:val="0"/>
                <w:numId w:val="38"/>
              </w:numPr>
              <w:suppressAutoHyphens/>
              <w:spacing w:before="40" w:after="40"/>
              <w:jc w:val="both"/>
              <w:rPr>
                <w:rFonts w:cs="Segoe UI"/>
                <w:sz w:val="17"/>
                <w:lang w:eastAsia="ar-SA"/>
              </w:rPr>
            </w:pPr>
            <w:r w:rsidRPr="00272D6C">
              <w:rPr>
                <w:rFonts w:eastAsia="細明體" w:cs="Segoe UI" w:hint="eastAsia"/>
                <w:sz w:val="17"/>
                <w:lang w:eastAsia="ar-SA"/>
              </w:rPr>
              <w:t>認可機構使用淨額計算資產負債表內及表外</w:t>
            </w:r>
            <w:r w:rsidRPr="00272D6C">
              <w:rPr>
                <w:rFonts w:eastAsia="細明體" w:cs="Segoe UI" w:hint="eastAsia"/>
                <w:sz w:val="17"/>
                <w:szCs w:val="17"/>
                <w:lang w:eastAsia="ar-SA"/>
              </w:rPr>
              <w:t>風險承擔</w:t>
            </w:r>
            <w:r w:rsidRPr="00272D6C">
              <w:rPr>
                <w:rFonts w:eastAsia="細明體" w:cs="Segoe UI" w:hint="eastAsia"/>
                <w:sz w:val="17"/>
                <w:lang w:eastAsia="ar-SA"/>
              </w:rPr>
              <w:t>的</w:t>
            </w:r>
            <w:r w:rsidRPr="00272D6C">
              <w:rPr>
                <w:rFonts w:eastAsia="細明體" w:cs="Segoe UI" w:hint="eastAsia"/>
                <w:sz w:val="17"/>
                <w:lang w:eastAsia="zh-TW"/>
              </w:rPr>
              <w:t>程度</w:t>
            </w:r>
            <w:r w:rsidRPr="00272D6C">
              <w:rPr>
                <w:rFonts w:eastAsia="細明體" w:cs="Segoe UI" w:hint="eastAsia"/>
                <w:sz w:val="17"/>
                <w:lang w:eastAsia="ar-SA"/>
              </w:rPr>
              <w:t>的</w:t>
            </w:r>
            <w:r w:rsidRPr="00272D6C">
              <w:rPr>
                <w:rFonts w:eastAsia="細明體" w:cs="Segoe UI" w:hint="eastAsia"/>
                <w:sz w:val="17"/>
                <w:lang w:eastAsia="zh-TW"/>
              </w:rPr>
              <w:t>提述</w:t>
            </w:r>
            <w:r w:rsidRPr="00272D6C">
              <w:rPr>
                <w:rFonts w:eastAsia="細明體" w:cs="Segoe UI" w:hint="eastAsia"/>
                <w:sz w:val="17"/>
                <w:lang w:eastAsia="ar-SA"/>
              </w:rPr>
              <w:t>；</w:t>
            </w:r>
          </w:p>
        </w:tc>
      </w:tr>
      <w:tr w:rsidR="00272D6C" w:rsidRPr="00272D6C" w14:paraId="6703F2F3" w14:textId="77777777" w:rsidTr="005171C5">
        <w:trPr>
          <w:trHeight w:val="318"/>
        </w:trPr>
        <w:tc>
          <w:tcPr>
            <w:tcW w:w="370" w:type="dxa"/>
            <w:tcBorders>
              <w:top w:val="single" w:sz="4" w:space="0" w:color="000000"/>
              <w:bottom w:val="single" w:sz="4" w:space="0" w:color="000000"/>
            </w:tcBorders>
            <w:shd w:val="clear" w:color="auto" w:fill="auto"/>
          </w:tcPr>
          <w:p w14:paraId="020AACA8"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(b)</w:t>
            </w:r>
          </w:p>
        </w:tc>
        <w:tc>
          <w:tcPr>
            <w:tcW w:w="8872" w:type="dxa"/>
            <w:tcBorders>
              <w:top w:val="single" w:sz="4" w:space="0" w:color="000000"/>
              <w:bottom w:val="single" w:sz="4" w:space="0" w:color="000000"/>
            </w:tcBorders>
            <w:shd w:val="clear" w:color="auto" w:fill="auto"/>
            <w:vAlign w:val="center"/>
          </w:tcPr>
          <w:p w14:paraId="6E8E5FF4" w14:textId="24F87B84"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抵押品</w:t>
            </w:r>
            <w:r w:rsidRPr="00272D6C">
              <w:rPr>
                <w:rFonts w:eastAsia="細明體" w:cs="Segoe UI" w:hint="eastAsia"/>
                <w:sz w:val="17"/>
                <w:lang w:eastAsia="zh-TW"/>
              </w:rPr>
              <w:t>價值</w:t>
            </w:r>
            <w:r w:rsidR="00305C3A" w:rsidRPr="00407C40">
              <w:rPr>
                <w:rFonts w:eastAsia="細明體" w:cs="Segoe UI" w:hint="eastAsia"/>
                <w:sz w:val="17"/>
                <w:lang w:eastAsia="ar-SA"/>
              </w:rPr>
              <w:t>估值</w:t>
            </w:r>
            <w:r w:rsidR="00E52CE5">
              <w:rPr>
                <w:rFonts w:eastAsia="細明體" w:cs="Segoe UI" w:hint="eastAsia"/>
                <w:sz w:val="17"/>
                <w:lang w:eastAsia="zh-HK"/>
              </w:rPr>
              <w:t>、</w:t>
            </w:r>
            <w:r w:rsidRPr="00272D6C">
              <w:rPr>
                <w:rFonts w:eastAsia="細明體" w:cs="Segoe UI" w:hint="eastAsia"/>
                <w:sz w:val="17"/>
                <w:lang w:eastAsia="zh-TW"/>
              </w:rPr>
              <w:t>重估</w:t>
            </w:r>
            <w:r w:rsidRPr="00272D6C">
              <w:rPr>
                <w:rFonts w:eastAsia="細明體" w:cs="Segoe UI" w:hint="eastAsia"/>
                <w:sz w:val="17"/>
                <w:lang w:eastAsia="ar-SA"/>
              </w:rPr>
              <w:t>及管理的政策及程序的</w:t>
            </w:r>
            <w:r w:rsidRPr="00272D6C">
              <w:rPr>
                <w:rFonts w:eastAsia="細明體" w:cs="Segoe UI" w:hint="eastAsia"/>
                <w:sz w:val="17"/>
                <w:szCs w:val="17"/>
                <w:lang w:eastAsia="ar-SA"/>
              </w:rPr>
              <w:t>描述</w:t>
            </w:r>
            <w:r w:rsidRPr="00272D6C">
              <w:rPr>
                <w:rFonts w:eastAsia="細明體" w:cs="Segoe UI" w:hint="eastAsia"/>
                <w:sz w:val="17"/>
                <w:lang w:eastAsia="ar-SA"/>
              </w:rPr>
              <w:t>；及</w:t>
            </w:r>
          </w:p>
        </w:tc>
      </w:tr>
      <w:tr w:rsidR="00272D6C" w:rsidRPr="00272D6C" w14:paraId="08A43C22" w14:textId="77777777" w:rsidTr="005171C5">
        <w:trPr>
          <w:trHeight w:val="318"/>
        </w:trPr>
        <w:tc>
          <w:tcPr>
            <w:tcW w:w="370" w:type="dxa"/>
            <w:tcBorders>
              <w:top w:val="single" w:sz="4" w:space="0" w:color="000000"/>
              <w:bottom w:val="single" w:sz="4" w:space="0" w:color="000000"/>
            </w:tcBorders>
            <w:shd w:val="clear" w:color="auto" w:fill="auto"/>
          </w:tcPr>
          <w:p w14:paraId="1D8C46FF"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(c)</w:t>
            </w:r>
          </w:p>
        </w:tc>
        <w:tc>
          <w:tcPr>
            <w:tcW w:w="8872" w:type="dxa"/>
            <w:tcBorders>
              <w:top w:val="single" w:sz="4" w:space="0" w:color="000000"/>
              <w:bottom w:val="single" w:sz="4" w:space="0" w:color="000000"/>
            </w:tcBorders>
            <w:shd w:val="clear" w:color="auto" w:fill="auto"/>
            <w:vAlign w:val="center"/>
          </w:tcPr>
          <w:p w14:paraId="298C5BA3" w14:textId="30489AEA" w:rsidR="00272D6C" w:rsidRPr="00C9665D" w:rsidRDefault="00272D6C" w:rsidP="00352179">
            <w:pPr>
              <w:rPr>
                <w:rFonts w:eastAsia="細明體" w:cs="Segoe UI"/>
                <w:b/>
                <w:sz w:val="17"/>
                <w:szCs w:val="17"/>
                <w:lang w:eastAsia="ar-SA"/>
              </w:rPr>
            </w:pPr>
            <w:r w:rsidRPr="00C9665D">
              <w:rPr>
                <w:rFonts w:eastAsia="細明體" w:cs="Segoe UI"/>
                <w:sz w:val="17"/>
                <w:szCs w:val="17"/>
                <w:lang w:eastAsia="zh-TW"/>
              </w:rPr>
              <w:t>在</w:t>
            </w:r>
            <w:r w:rsidRPr="00C9665D">
              <w:rPr>
                <w:rFonts w:eastAsia="細明體" w:cs="Segoe UI"/>
                <w:sz w:val="17"/>
                <w:szCs w:val="17"/>
                <w:lang w:eastAsia="ar-SA"/>
              </w:rPr>
              <w:t>認可機構所使用的每種減低信用風險措施下，</w:t>
            </w:r>
            <w:r w:rsidRPr="00C9665D">
              <w:rPr>
                <w:rFonts w:eastAsia="細明體" w:cs="Segoe UI"/>
                <w:sz w:val="17"/>
                <w:szCs w:val="17"/>
                <w:lang w:eastAsia="zh-TW"/>
              </w:rPr>
              <w:t>其</w:t>
            </w:r>
            <w:r w:rsidRPr="00C9665D">
              <w:rPr>
                <w:rFonts w:eastAsia="細明體" w:cs="Segoe UI"/>
                <w:sz w:val="17"/>
                <w:szCs w:val="17"/>
                <w:lang w:eastAsia="ar-SA"/>
              </w:rPr>
              <w:t>市場風險或信用風險集中度的資料（即按擔保人、抵押品及信用保障賣方的類別劃分）。</w:t>
            </w:r>
            <w:r w:rsidR="00610166" w:rsidRPr="00512DD9">
              <w:rPr>
                <w:rFonts w:eastAsia="細明體" w:cs="Segoe UI"/>
                <w:sz w:val="17"/>
                <w:szCs w:val="17"/>
                <w:lang w:eastAsia="ar-SA"/>
              </w:rPr>
              <w:t>認可機構應</w:t>
            </w:r>
            <w:r w:rsidR="002B22AF" w:rsidRPr="00512DD9">
              <w:rPr>
                <w:rFonts w:eastAsia="細明體" w:cs="Segoe UI" w:hint="eastAsia"/>
                <w:sz w:val="17"/>
                <w:szCs w:val="17"/>
                <w:lang w:eastAsia="zh-TW"/>
              </w:rPr>
              <w:t>就</w:t>
            </w:r>
            <w:r w:rsidR="00610166" w:rsidRPr="00512DD9">
              <w:rPr>
                <w:rFonts w:eastAsia="細明體" w:cs="Segoe UI"/>
                <w:sz w:val="17"/>
                <w:szCs w:val="17"/>
                <w:lang w:eastAsia="ar-SA"/>
              </w:rPr>
              <w:t>其信用衍生工具合約</w:t>
            </w:r>
            <w:r w:rsidR="002B22AF" w:rsidRPr="00512DD9">
              <w:rPr>
                <w:rFonts w:eastAsia="細明體" w:cs="Segoe UI" w:hint="eastAsia"/>
                <w:sz w:val="17"/>
                <w:szCs w:val="17"/>
                <w:lang w:eastAsia="zh-TW"/>
              </w:rPr>
              <w:t>的</w:t>
            </w:r>
            <w:r w:rsidR="00610166" w:rsidRPr="00512DD9">
              <w:rPr>
                <w:rFonts w:eastAsia="細明體" w:cs="Segoe UI"/>
                <w:sz w:val="17"/>
                <w:szCs w:val="17"/>
                <w:lang w:eastAsia="ar-SA"/>
              </w:rPr>
              <w:t>信用保障賣方</w:t>
            </w:r>
            <w:r w:rsidR="002B22AF" w:rsidRPr="00512DD9">
              <w:rPr>
                <w:rFonts w:eastAsia="細明體" w:cs="Segoe UI"/>
                <w:sz w:val="17"/>
                <w:szCs w:val="17"/>
                <w:lang w:eastAsia="ar-SA"/>
              </w:rPr>
              <w:t>披露</w:t>
            </w:r>
            <w:r w:rsidR="00610166" w:rsidRPr="00512DD9">
              <w:rPr>
                <w:rFonts w:eastAsia="細明體" w:cs="Segoe UI"/>
                <w:sz w:val="17"/>
                <w:szCs w:val="17"/>
                <w:lang w:eastAsia="ar-SA"/>
              </w:rPr>
              <w:t>具</w:t>
            </w:r>
            <w:r w:rsidR="001E5726" w:rsidRPr="00512DD9">
              <w:rPr>
                <w:rFonts w:eastAsia="細明體" w:cs="Segoe UI"/>
                <w:sz w:val="17"/>
                <w:szCs w:val="17"/>
                <w:lang w:eastAsia="ar-SA"/>
              </w:rPr>
              <w:t>意義</w:t>
            </w:r>
            <w:r w:rsidR="002B22AF" w:rsidRPr="00512DD9">
              <w:rPr>
                <w:rFonts w:eastAsia="細明體" w:cs="Segoe UI" w:hint="eastAsia"/>
                <w:sz w:val="17"/>
                <w:szCs w:val="17"/>
                <w:lang w:eastAsia="zh-TW"/>
              </w:rPr>
              <w:t>的</w:t>
            </w:r>
            <w:r w:rsidR="00610166" w:rsidRPr="00512DD9">
              <w:rPr>
                <w:rFonts w:eastAsia="細明體" w:cs="Segoe UI"/>
                <w:sz w:val="17"/>
                <w:szCs w:val="17"/>
                <w:lang w:eastAsia="ar-SA"/>
              </w:rPr>
              <w:t>細目分類，並</w:t>
            </w:r>
            <w:r w:rsidR="001E5726" w:rsidRPr="00512DD9">
              <w:rPr>
                <w:rFonts w:eastAsia="細明體" w:cs="Segoe UI"/>
                <w:sz w:val="17"/>
                <w:szCs w:val="17"/>
                <w:lang w:eastAsia="ar-SA"/>
              </w:rPr>
              <w:t>在不披露</w:t>
            </w:r>
            <w:r w:rsidR="002B22AF" w:rsidRPr="00512DD9">
              <w:rPr>
                <w:rFonts w:eastAsia="細明體" w:cs="Segoe UI"/>
                <w:sz w:val="17"/>
                <w:szCs w:val="17"/>
                <w:lang w:eastAsia="ar-SA"/>
              </w:rPr>
              <w:t>專有</w:t>
            </w:r>
            <w:r w:rsidR="00411721" w:rsidRPr="00512DD9">
              <w:rPr>
                <w:rFonts w:eastAsia="細明體" w:cs="Segoe UI" w:hint="eastAsia"/>
                <w:sz w:val="17"/>
                <w:szCs w:val="17"/>
                <w:lang w:eastAsia="zh-TW"/>
              </w:rPr>
              <w:t>或</w:t>
            </w:r>
            <w:r w:rsidR="00411721" w:rsidRPr="00512DD9">
              <w:rPr>
                <w:rFonts w:eastAsia="細明體" w:cs="Segoe UI"/>
                <w:sz w:val="17"/>
                <w:szCs w:val="17"/>
                <w:lang w:eastAsia="ar-SA"/>
              </w:rPr>
              <w:t>機密</w:t>
            </w:r>
            <w:r w:rsidR="002B22AF" w:rsidRPr="00512DD9">
              <w:rPr>
                <w:rFonts w:eastAsia="細明體" w:cs="Segoe UI"/>
                <w:sz w:val="17"/>
                <w:szCs w:val="17"/>
                <w:lang w:eastAsia="ar-SA"/>
              </w:rPr>
              <w:t>資料</w:t>
            </w:r>
            <w:r w:rsidR="001E5726" w:rsidRPr="00512DD9">
              <w:rPr>
                <w:rFonts w:eastAsia="細明體" w:cs="Segoe UI"/>
                <w:sz w:val="17"/>
                <w:szCs w:val="17"/>
                <w:lang w:eastAsia="ar-SA"/>
              </w:rPr>
              <w:t>的情況下，根據《披露規則》第</w:t>
            </w:r>
            <w:r w:rsidR="001E5726" w:rsidRPr="00512DD9">
              <w:rPr>
                <w:rFonts w:eastAsia="細明體" w:cs="Segoe UI"/>
                <w:sz w:val="17"/>
                <w:szCs w:val="17"/>
                <w:lang w:eastAsia="ar-SA"/>
              </w:rPr>
              <w:t>9</w:t>
            </w:r>
            <w:r w:rsidR="001E5726" w:rsidRPr="00512DD9">
              <w:rPr>
                <w:rFonts w:eastAsia="細明體" w:cs="Segoe UI"/>
                <w:sz w:val="17"/>
                <w:szCs w:val="17"/>
                <w:lang w:eastAsia="ar-SA"/>
              </w:rPr>
              <w:t>條</w:t>
            </w:r>
            <w:r w:rsidR="00610166" w:rsidRPr="00512DD9">
              <w:rPr>
                <w:rFonts w:eastAsia="細明體" w:cs="Segoe UI"/>
                <w:sz w:val="17"/>
                <w:szCs w:val="17"/>
                <w:lang w:eastAsia="ar-SA"/>
              </w:rPr>
              <w:t>設定</w:t>
            </w:r>
            <w:r w:rsidR="001E5726" w:rsidRPr="00512DD9">
              <w:rPr>
                <w:rFonts w:eastAsia="細明體" w:cs="Segoe UI"/>
                <w:sz w:val="17"/>
                <w:szCs w:val="17"/>
                <w:lang w:eastAsia="ar-SA"/>
              </w:rPr>
              <w:t>該</w:t>
            </w:r>
            <w:r w:rsidR="00610166" w:rsidRPr="00512DD9">
              <w:rPr>
                <w:rFonts w:eastAsia="細明體" w:cs="Segoe UI"/>
                <w:sz w:val="17"/>
                <w:szCs w:val="17"/>
                <w:lang w:eastAsia="ar-SA"/>
              </w:rPr>
              <w:t>細目分類</w:t>
            </w:r>
            <w:r w:rsidR="001E5726" w:rsidRPr="00512DD9">
              <w:rPr>
                <w:rFonts w:eastAsia="細明體" w:cs="Segoe UI"/>
                <w:sz w:val="17"/>
                <w:szCs w:val="17"/>
                <w:lang w:eastAsia="ar-SA"/>
              </w:rPr>
              <w:t>的</w:t>
            </w:r>
            <w:r w:rsidR="00D569A9" w:rsidRPr="00512DD9">
              <w:rPr>
                <w:rFonts w:eastAsia="細明體" w:cs="Segoe UI"/>
                <w:sz w:val="17"/>
                <w:szCs w:val="17"/>
                <w:lang w:eastAsia="zh-HK"/>
              </w:rPr>
              <w:t>明</w:t>
            </w:r>
            <w:r w:rsidR="00610166" w:rsidRPr="00512DD9">
              <w:rPr>
                <w:rFonts w:eastAsia="細明體" w:cs="Segoe UI"/>
                <w:sz w:val="17"/>
                <w:szCs w:val="17"/>
                <w:lang w:eastAsia="ar-SA"/>
              </w:rPr>
              <w:t>細程度。</w:t>
            </w:r>
            <w:r w:rsidR="001E5726" w:rsidRPr="00512DD9">
              <w:rPr>
                <w:rFonts w:eastAsia="細明體" w:cs="Segoe UI"/>
                <w:sz w:val="17"/>
                <w:szCs w:val="17"/>
                <w:lang w:eastAsia="ar-SA"/>
              </w:rPr>
              <w:t>例</w:t>
            </w:r>
            <w:r w:rsidR="0045524B" w:rsidRPr="00512DD9">
              <w:rPr>
                <w:rFonts w:eastAsia="細明體" w:cs="Segoe UI"/>
                <w:sz w:val="17"/>
                <w:szCs w:val="17"/>
                <w:lang w:eastAsia="ar-SA"/>
              </w:rPr>
              <w:t>如</w:t>
            </w:r>
            <w:r w:rsidR="001E5726" w:rsidRPr="00512DD9">
              <w:rPr>
                <w:rFonts w:eastAsia="細明體" w:cs="Segoe UI"/>
                <w:sz w:val="17"/>
                <w:szCs w:val="17"/>
                <w:lang w:eastAsia="ar-SA"/>
              </w:rPr>
              <w:t>，若</w:t>
            </w:r>
            <w:r w:rsidR="0045524B" w:rsidRPr="00512DD9">
              <w:rPr>
                <w:rFonts w:eastAsia="細明體" w:cs="Segoe UI"/>
                <w:sz w:val="17"/>
                <w:szCs w:val="17"/>
                <w:lang w:eastAsia="ar-SA"/>
              </w:rPr>
              <w:t>認可機構認為信用衍生工具</w:t>
            </w:r>
            <w:r w:rsidR="00FD7878" w:rsidRPr="00512DD9">
              <w:rPr>
                <w:rFonts w:eastAsia="細明體" w:cs="Segoe UI" w:hint="eastAsia"/>
                <w:sz w:val="17"/>
                <w:szCs w:val="17"/>
                <w:lang w:eastAsia="zh-TW"/>
              </w:rPr>
              <w:t>合約</w:t>
            </w:r>
            <w:r w:rsidR="0045524B" w:rsidRPr="00512DD9">
              <w:rPr>
                <w:rFonts w:eastAsia="細明體" w:cs="Segoe UI"/>
                <w:sz w:val="17"/>
                <w:szCs w:val="17"/>
                <w:lang w:eastAsia="ar-SA"/>
              </w:rPr>
              <w:t>的對手方名稱屬</w:t>
            </w:r>
            <w:r w:rsidR="00934FDE" w:rsidRPr="00512DD9">
              <w:rPr>
                <w:rFonts w:eastAsia="細明體" w:cs="Segoe UI"/>
                <w:sz w:val="17"/>
                <w:szCs w:val="17"/>
                <w:lang w:eastAsia="ar-SA"/>
              </w:rPr>
              <w:t>專有</w:t>
            </w:r>
            <w:r w:rsidR="00934FDE" w:rsidRPr="00512DD9">
              <w:rPr>
                <w:rFonts w:eastAsia="細明體" w:cs="Segoe UI" w:hint="eastAsia"/>
                <w:sz w:val="17"/>
                <w:szCs w:val="17"/>
                <w:lang w:eastAsia="zh-TW"/>
              </w:rPr>
              <w:t>或</w:t>
            </w:r>
            <w:r w:rsidR="0045524B" w:rsidRPr="00512DD9">
              <w:rPr>
                <w:rFonts w:eastAsia="細明體" w:cs="Segoe UI"/>
                <w:sz w:val="17"/>
                <w:szCs w:val="17"/>
                <w:lang w:eastAsia="ar-SA"/>
              </w:rPr>
              <w:t>機密資料，則</w:t>
            </w:r>
            <w:r w:rsidR="00FD7878" w:rsidRPr="00512DD9">
              <w:rPr>
                <w:rFonts w:eastAsia="細明體" w:cs="Segoe UI"/>
                <w:sz w:val="17"/>
                <w:szCs w:val="17"/>
                <w:lang w:eastAsia="ar-SA"/>
              </w:rPr>
              <w:t>無須披露</w:t>
            </w:r>
            <w:r w:rsidR="001E5726" w:rsidRPr="00512DD9">
              <w:rPr>
                <w:rFonts w:eastAsia="細明體" w:cs="Segoe UI"/>
                <w:sz w:val="17"/>
                <w:szCs w:val="17"/>
                <w:lang w:eastAsia="ar-SA"/>
              </w:rPr>
              <w:t>其名稱</w:t>
            </w:r>
            <w:r w:rsidR="0045524B" w:rsidRPr="00512DD9">
              <w:rPr>
                <w:rFonts w:eastAsia="細明體" w:cs="Segoe UI"/>
                <w:sz w:val="17"/>
                <w:szCs w:val="17"/>
                <w:lang w:eastAsia="ar-SA"/>
              </w:rPr>
              <w:t>。</w:t>
            </w:r>
            <w:r w:rsidR="00FD7878" w:rsidRPr="00512DD9">
              <w:rPr>
                <w:rFonts w:eastAsia="細明體" w:cs="Segoe UI"/>
                <w:sz w:val="17"/>
                <w:szCs w:val="17"/>
                <w:lang w:eastAsia="ar-SA"/>
              </w:rPr>
              <w:t>該等信用衍生工具</w:t>
            </w:r>
            <w:r w:rsidR="00FD7878" w:rsidRPr="00512DD9">
              <w:rPr>
                <w:rFonts w:eastAsia="細明體" w:cs="Segoe UI" w:hint="eastAsia"/>
                <w:sz w:val="17"/>
                <w:szCs w:val="17"/>
                <w:lang w:eastAsia="zh-TW"/>
              </w:rPr>
              <w:t>合約</w:t>
            </w:r>
            <w:r w:rsidR="0045524B" w:rsidRPr="00512DD9">
              <w:rPr>
                <w:rFonts w:eastAsia="細明體" w:cs="Segoe UI"/>
                <w:sz w:val="17"/>
                <w:szCs w:val="17"/>
                <w:lang w:eastAsia="ar-SA"/>
              </w:rPr>
              <w:t>風險承擔</w:t>
            </w:r>
            <w:r w:rsidR="008279D0">
              <w:rPr>
                <w:rFonts w:eastAsia="細明體" w:cs="Segoe UI" w:hint="eastAsia"/>
                <w:sz w:val="17"/>
                <w:szCs w:val="17"/>
                <w:lang w:eastAsia="zh-TW"/>
              </w:rPr>
              <w:t>卻</w:t>
            </w:r>
            <w:r w:rsidR="0045524B" w:rsidRPr="00512DD9">
              <w:rPr>
                <w:rFonts w:eastAsia="細明體" w:cs="Segoe UI"/>
                <w:sz w:val="17"/>
                <w:szCs w:val="17"/>
                <w:lang w:eastAsia="ar-SA"/>
              </w:rPr>
              <w:t>可按外部評級類別或對手方類別（如銀行、其他金融機構、非金融機構）</w:t>
            </w:r>
            <w:r w:rsidR="00D569A9" w:rsidRPr="00512DD9">
              <w:rPr>
                <w:rFonts w:eastAsia="細明體" w:cs="Segoe UI"/>
                <w:sz w:val="17"/>
                <w:szCs w:val="17"/>
                <w:lang w:eastAsia="ar-SA"/>
              </w:rPr>
              <w:t>作</w:t>
            </w:r>
            <w:r w:rsidR="0045524B" w:rsidRPr="00512DD9">
              <w:rPr>
                <w:rFonts w:eastAsia="細明體" w:cs="Segoe UI"/>
                <w:sz w:val="17"/>
                <w:szCs w:val="17"/>
                <w:lang w:eastAsia="ar-SA"/>
              </w:rPr>
              <w:t>細目分類。</w:t>
            </w:r>
          </w:p>
        </w:tc>
      </w:tr>
    </w:tbl>
    <w:p w14:paraId="1FA39582" w14:textId="77777777" w:rsidR="00272D6C" w:rsidRPr="00272D6C" w:rsidRDefault="00272D6C" w:rsidP="00272D6C">
      <w:pPr>
        <w:suppressAutoHyphens/>
        <w:rPr>
          <w:rFonts w:cs="Segoe UI"/>
          <w:lang w:eastAsia="ar-SA"/>
        </w:rPr>
        <w:sectPr w:rsidR="00272D6C" w:rsidRPr="00272D6C">
          <w:headerReference w:type="default" r:id="rId63"/>
          <w:footerReference w:type="default" r:id="rId64"/>
          <w:pgSz w:w="11906" w:h="16838"/>
          <w:pgMar w:top="1440" w:right="1797" w:bottom="1440" w:left="1797" w:header="720" w:footer="737" w:gutter="0"/>
          <w:cols w:space="720"/>
          <w:docGrid w:type="linesAndChars" w:linePitch="360"/>
        </w:sectPr>
      </w:pPr>
    </w:p>
    <w:p w14:paraId="0824759F" w14:textId="4B3B9E00" w:rsidR="008A5FFD" w:rsidRPr="008A5FFD" w:rsidRDefault="008A5FFD" w:rsidP="008A5FFD">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8A5FFD">
        <w:rPr>
          <w:rFonts w:eastAsia="細明體" w:cs="Segoe UI" w:hint="eastAsia"/>
          <w:b w:val="0"/>
          <w:sz w:val="22"/>
          <w:szCs w:val="22"/>
        </w:rPr>
        <w:t>模版</w:t>
      </w:r>
      <w:r w:rsidRPr="008A5FFD">
        <w:rPr>
          <w:rFonts w:ascii="Segoe UI" w:eastAsia="細明體" w:hAnsi="Segoe UI" w:cs="Segoe UI"/>
          <w:b w:val="0"/>
          <w:sz w:val="22"/>
          <w:szCs w:val="22"/>
        </w:rPr>
        <w:t>CR3</w:t>
      </w:r>
      <w:r w:rsidRPr="008A5FFD">
        <w:rPr>
          <w:rFonts w:eastAsia="細明體" w:cs="Segoe UI" w:hint="eastAsia"/>
          <w:b w:val="0"/>
          <w:sz w:val="22"/>
          <w:szCs w:val="22"/>
        </w:rPr>
        <w:t>：認可減低信用風險措施</w:t>
      </w:r>
      <w:r w:rsidRPr="008A5FFD">
        <w:rPr>
          <w:rFonts w:eastAsia="細明體" w:cs="Segoe UI"/>
          <w:b w:val="0"/>
          <w:sz w:val="22"/>
          <w:szCs w:val="22"/>
        </w:rPr>
        <w:t>概覽</w:t>
      </w:r>
    </w:p>
    <w:tbl>
      <w:tblPr>
        <w:tblW w:w="9248" w:type="dxa"/>
        <w:tblInd w:w="-459" w:type="dxa"/>
        <w:tblLayout w:type="fixed"/>
        <w:tblLook w:val="0000" w:firstRow="0" w:lastRow="0" w:firstColumn="0" w:lastColumn="0" w:noHBand="0" w:noVBand="0"/>
      </w:tblPr>
      <w:tblGrid>
        <w:gridCol w:w="2160"/>
        <w:gridCol w:w="7088"/>
      </w:tblGrid>
      <w:tr w:rsidR="00272D6C" w:rsidRPr="00272D6C" w14:paraId="0D051A2D" w14:textId="77777777" w:rsidTr="004A3D58">
        <w:tc>
          <w:tcPr>
            <w:tcW w:w="2160" w:type="dxa"/>
            <w:tcBorders>
              <w:top w:val="single" w:sz="4" w:space="0" w:color="000000"/>
              <w:bottom w:val="single" w:sz="4" w:space="0" w:color="000000"/>
            </w:tcBorders>
            <w:shd w:val="clear" w:color="auto" w:fill="auto"/>
          </w:tcPr>
          <w:p w14:paraId="707B1C74"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3DFF7A56"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披露信用風險承擔獲得不同種類的認可減低信用風險措施涵蓋的程度</w:t>
            </w:r>
            <w:r w:rsidRPr="00272D6C">
              <w:rPr>
                <w:rFonts w:eastAsia="細明體" w:cs="Segoe UI"/>
                <w:sz w:val="17"/>
                <w:lang w:eastAsia="ar-SA"/>
              </w:rPr>
              <w:t>。</w:t>
            </w:r>
          </w:p>
        </w:tc>
      </w:tr>
      <w:tr w:rsidR="00272D6C" w:rsidRPr="00272D6C" w14:paraId="5D7C4D05" w14:textId="77777777" w:rsidTr="004A3D58">
        <w:tc>
          <w:tcPr>
            <w:tcW w:w="2160" w:type="dxa"/>
            <w:tcBorders>
              <w:top w:val="single" w:sz="4" w:space="0" w:color="000000"/>
              <w:bottom w:val="single" w:sz="4" w:space="0" w:color="000000"/>
            </w:tcBorders>
            <w:shd w:val="clear" w:color="auto" w:fill="auto"/>
          </w:tcPr>
          <w:p w14:paraId="17C9D72A"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35501D2E"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所有在香港成立為法團的認可機構均須填報本模版。</w:t>
            </w:r>
          </w:p>
        </w:tc>
      </w:tr>
      <w:tr w:rsidR="00272D6C" w:rsidRPr="00272D6C" w14:paraId="4791DDBF" w14:textId="77777777" w:rsidTr="004A3D58">
        <w:tc>
          <w:tcPr>
            <w:tcW w:w="2160" w:type="dxa"/>
            <w:tcBorders>
              <w:top w:val="single" w:sz="4" w:space="0" w:color="000000"/>
              <w:bottom w:val="single" w:sz="4" w:space="0" w:color="000000"/>
            </w:tcBorders>
            <w:shd w:val="clear" w:color="auto" w:fill="auto"/>
          </w:tcPr>
          <w:p w14:paraId="04A39475"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1283059A" w14:textId="77777777" w:rsidR="00272D6C" w:rsidRPr="00272D6C" w:rsidRDefault="00272D6C" w:rsidP="00272D6C">
            <w:pPr>
              <w:suppressAutoHyphens/>
              <w:spacing w:before="40" w:after="40"/>
              <w:jc w:val="both"/>
              <w:rPr>
                <w:rFonts w:eastAsia="細明體" w:cs="Segoe UI"/>
                <w:sz w:val="17"/>
                <w:lang w:eastAsia="zh-TW"/>
              </w:rPr>
            </w:pPr>
            <w:r w:rsidRPr="00272D6C">
              <w:rPr>
                <w:rFonts w:eastAsia="細明體" w:cs="Segoe UI" w:hint="eastAsia"/>
                <w:sz w:val="17"/>
                <w:lang w:eastAsia="ar-SA"/>
              </w:rPr>
              <w:t>帳面數額對應於財務報表所載的值</w:t>
            </w:r>
            <w:r w:rsidRPr="00272D6C">
              <w:rPr>
                <w:rFonts w:eastAsia="細明體" w:cs="Segoe UI" w:hint="eastAsia"/>
                <w:sz w:val="17"/>
                <w:szCs w:val="17"/>
                <w:lang w:eastAsia="ar-SA"/>
              </w:rPr>
              <w:t>，</w:t>
            </w:r>
            <w:r w:rsidRPr="00272D6C">
              <w:rPr>
                <w:rFonts w:eastAsia="細明體" w:cs="Segoe UI" w:hint="eastAsia"/>
                <w:sz w:val="17"/>
                <w:lang w:eastAsia="ar-SA"/>
              </w:rPr>
              <w:t>但根據用作計算資本充足程度而適用的監管綜合範圍</w:t>
            </w:r>
            <w:r w:rsidRPr="00272D6C">
              <w:rPr>
                <w:rFonts w:eastAsia="細明體" w:cs="Segoe UI"/>
                <w:sz w:val="17"/>
                <w:lang w:eastAsia="ar-SA"/>
              </w:rPr>
              <w:t>。</w:t>
            </w:r>
          </w:p>
          <w:p w14:paraId="477AA828" w14:textId="77777777" w:rsidR="00272D6C" w:rsidRPr="00272D6C" w:rsidRDefault="00272D6C" w:rsidP="00272D6C">
            <w:pPr>
              <w:suppressAutoHyphens/>
              <w:spacing w:before="40" w:after="40"/>
              <w:jc w:val="both"/>
              <w:rPr>
                <w:rFonts w:eastAsia="細明體" w:cs="Segoe UI"/>
                <w:sz w:val="17"/>
                <w:lang w:eastAsia="zh-TW"/>
              </w:rPr>
            </w:pPr>
            <w:r w:rsidRPr="00272D6C">
              <w:rPr>
                <w:rFonts w:ascii="細明體" w:eastAsia="細明體" w:hAnsi="細明體" w:cs="Segoe UI" w:hint="eastAsia"/>
                <w:sz w:val="17"/>
                <w:lang w:eastAsia="ar-SA"/>
              </w:rPr>
              <w:t>不</w:t>
            </w:r>
            <w:r w:rsidRPr="00272D6C">
              <w:rPr>
                <w:rFonts w:eastAsia="細明體" w:cs="Segoe UI" w:hint="eastAsia"/>
                <w:sz w:val="17"/>
                <w:lang w:eastAsia="ar-SA"/>
              </w:rPr>
              <w:t>論認可機構使用</w:t>
            </w:r>
            <w:r w:rsidRPr="00272D6C">
              <w:rPr>
                <w:rFonts w:eastAsia="細明體" w:cs="Segoe UI" w:hint="eastAsia"/>
                <w:sz w:val="17"/>
                <w:lang w:eastAsia="ar-SA"/>
              </w:rPr>
              <w:t>STC</w:t>
            </w:r>
            <w:r w:rsidRPr="00272D6C">
              <w:rPr>
                <w:rFonts w:eastAsia="細明體" w:cs="Segoe UI" w:hint="eastAsia"/>
                <w:sz w:val="17"/>
                <w:lang w:eastAsia="ar-SA"/>
              </w:rPr>
              <w:t>計算法、</w:t>
            </w:r>
            <w:r w:rsidRPr="00272D6C">
              <w:rPr>
                <w:rFonts w:eastAsia="細明體" w:cs="Segoe UI" w:hint="eastAsia"/>
                <w:sz w:val="17"/>
                <w:lang w:eastAsia="ar-SA"/>
              </w:rPr>
              <w:t>BSC</w:t>
            </w:r>
            <w:r w:rsidRPr="00272D6C">
              <w:rPr>
                <w:rFonts w:eastAsia="細明體" w:cs="Segoe UI" w:hint="eastAsia"/>
                <w:sz w:val="17"/>
                <w:lang w:eastAsia="ar-SA"/>
              </w:rPr>
              <w:t>計算法或</w:t>
            </w:r>
            <w:r w:rsidRPr="00272D6C">
              <w:rPr>
                <w:rFonts w:eastAsia="細明體" w:cs="Segoe UI" w:hint="eastAsia"/>
                <w:sz w:val="17"/>
                <w:lang w:eastAsia="ar-SA"/>
              </w:rPr>
              <w:t>IRB</w:t>
            </w:r>
            <w:r w:rsidRPr="00272D6C">
              <w:rPr>
                <w:rFonts w:eastAsia="細明體" w:cs="Segoe UI" w:hint="eastAsia"/>
                <w:sz w:val="17"/>
                <w:lang w:eastAsia="ar-SA"/>
              </w:rPr>
              <w:t>計算法計算風險加權數額，均應</w:t>
            </w:r>
            <w:r w:rsidRPr="00272D6C">
              <w:rPr>
                <w:rFonts w:eastAsia="細明體" w:cs="Segoe UI" w:hint="eastAsia"/>
                <w:sz w:val="17"/>
                <w:lang w:eastAsia="zh-TW"/>
              </w:rPr>
              <w:t>把用以</w:t>
            </w:r>
            <w:r w:rsidRPr="00272D6C">
              <w:rPr>
                <w:rFonts w:eastAsia="細明體" w:cs="Segoe UI" w:hint="eastAsia"/>
                <w:sz w:val="17"/>
                <w:lang w:eastAsia="ar-SA"/>
              </w:rPr>
              <w:t>減低其資本規定</w:t>
            </w:r>
            <w:r w:rsidRPr="00272D6C">
              <w:rPr>
                <w:rFonts w:eastAsia="細明體" w:cs="Segoe UI" w:hint="eastAsia"/>
                <w:sz w:val="17"/>
                <w:lang w:eastAsia="zh-TW"/>
              </w:rPr>
              <w:t>的</w:t>
            </w:r>
            <w:r w:rsidRPr="00272D6C">
              <w:rPr>
                <w:rFonts w:eastAsia="細明體" w:cs="Segoe UI" w:hint="eastAsia"/>
                <w:sz w:val="17"/>
                <w:lang w:eastAsia="ar-SA"/>
              </w:rPr>
              <w:t>認可減低信用風險措施</w:t>
            </w:r>
            <w:r w:rsidRPr="00272D6C">
              <w:rPr>
                <w:rFonts w:eastAsia="細明體" w:cs="Segoe UI" w:hint="eastAsia"/>
                <w:sz w:val="17"/>
                <w:szCs w:val="17"/>
                <w:lang w:eastAsia="ar-SA"/>
              </w:rPr>
              <w:t>（即抵押品、擔保及信用衍生工具合</w:t>
            </w:r>
            <w:r w:rsidRPr="00272D6C">
              <w:rPr>
                <w:rFonts w:eastAsia="細明體" w:cs="Segoe UI" w:hint="eastAsia"/>
                <w:color w:val="000000"/>
                <w:sz w:val="17"/>
                <w:szCs w:val="17"/>
                <w:lang w:eastAsia="ar-SA"/>
              </w:rPr>
              <w:t>約</w:t>
            </w:r>
            <w:r w:rsidRPr="00272D6C">
              <w:rPr>
                <w:rFonts w:eastAsia="細明體" w:cs="Segoe UI" w:hint="eastAsia"/>
                <w:sz w:val="17"/>
                <w:szCs w:val="17"/>
                <w:lang w:eastAsia="ar-SA"/>
              </w:rPr>
              <w:t>）</w:t>
            </w:r>
            <w:r w:rsidRPr="00272D6C">
              <w:rPr>
                <w:rFonts w:eastAsia="細明體" w:cs="Segoe UI" w:hint="eastAsia"/>
                <w:sz w:val="17"/>
                <w:lang w:eastAsia="zh-TW"/>
              </w:rPr>
              <w:t>包括</w:t>
            </w:r>
            <w:r w:rsidRPr="00272D6C">
              <w:rPr>
                <w:rFonts w:eastAsia="細明體" w:cs="Segoe UI" w:hint="eastAsia"/>
                <w:sz w:val="17"/>
                <w:lang w:eastAsia="ar-SA"/>
              </w:rPr>
              <w:t>在內，並披露所有</w:t>
            </w:r>
            <w:r w:rsidRPr="00272D6C">
              <w:rPr>
                <w:rFonts w:eastAsia="細明體" w:cs="Segoe UI" w:hint="eastAsia"/>
                <w:sz w:val="17"/>
                <w:szCs w:val="17"/>
                <w:lang w:eastAsia="ar-SA"/>
              </w:rPr>
              <w:t>屬於「貸款」及「債務證券」類別的</w:t>
            </w:r>
            <w:r w:rsidRPr="00272D6C">
              <w:rPr>
                <w:rFonts w:eastAsia="細明體" w:cs="Segoe UI" w:hint="eastAsia"/>
                <w:sz w:val="17"/>
                <w:lang w:eastAsia="ar-SA"/>
              </w:rPr>
              <w:t>有保證風險承擔（已扣除任何適用扣減及將抵押品變現的預期費用）。</w:t>
            </w:r>
          </w:p>
        </w:tc>
      </w:tr>
      <w:tr w:rsidR="00272D6C" w:rsidRPr="00272D6C" w14:paraId="222EDE5C" w14:textId="77777777" w:rsidTr="004A3D58">
        <w:tc>
          <w:tcPr>
            <w:tcW w:w="2160" w:type="dxa"/>
            <w:tcBorders>
              <w:top w:val="single" w:sz="4" w:space="0" w:color="000000"/>
              <w:bottom w:val="single" w:sz="4" w:space="0" w:color="000000"/>
            </w:tcBorders>
            <w:shd w:val="clear" w:color="auto" w:fill="auto"/>
          </w:tcPr>
          <w:p w14:paraId="41F4D2B6"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6844604A"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每半年一次</w:t>
            </w:r>
            <w:r w:rsidRPr="00272D6C">
              <w:rPr>
                <w:rFonts w:eastAsia="細明體" w:cs="Segoe UI"/>
                <w:sz w:val="17"/>
                <w:lang w:eastAsia="ar-SA"/>
              </w:rPr>
              <w:t>。</w:t>
            </w:r>
          </w:p>
        </w:tc>
      </w:tr>
      <w:tr w:rsidR="00272D6C" w:rsidRPr="00272D6C" w14:paraId="20E3DC32" w14:textId="77777777" w:rsidTr="004A3D58">
        <w:tc>
          <w:tcPr>
            <w:tcW w:w="2160" w:type="dxa"/>
            <w:tcBorders>
              <w:top w:val="single" w:sz="4" w:space="0" w:color="000000"/>
              <w:bottom w:val="single" w:sz="4" w:space="0" w:color="000000"/>
            </w:tcBorders>
            <w:shd w:val="clear" w:color="auto" w:fill="auto"/>
          </w:tcPr>
          <w:p w14:paraId="7B154357"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79C54B3A"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固定。認可機構如未能將其以認可抵押品、認可擔保或認可</w:t>
            </w:r>
            <w:r w:rsidRPr="00272D6C">
              <w:rPr>
                <w:rFonts w:eastAsia="細明體" w:cs="Segoe UI" w:hint="eastAsia"/>
                <w:sz w:val="17"/>
                <w:lang w:val="en-US" w:eastAsia="ar-SA"/>
              </w:rPr>
              <w:t>信用衍生工具合約</w:t>
            </w:r>
            <w:r w:rsidRPr="00272D6C">
              <w:rPr>
                <w:rFonts w:ascii="細明體" w:eastAsia="細明體" w:hAnsi="細明體" w:cs="細明體" w:hint="eastAsia"/>
                <w:color w:val="222222"/>
                <w:sz w:val="17"/>
                <w:lang w:eastAsia="ar-SA"/>
              </w:rPr>
              <w:t>作</w:t>
            </w:r>
            <w:r w:rsidRPr="00272D6C">
              <w:rPr>
                <w:rFonts w:eastAsia="細明體" w:cs="Segoe UI" w:hint="eastAsia"/>
                <w:sz w:val="17"/>
                <w:lang w:val="en-US" w:eastAsia="ar-SA"/>
              </w:rPr>
              <w:t>保證的風險承擔分類為</w:t>
            </w:r>
            <w:r w:rsidRPr="00272D6C">
              <w:rPr>
                <w:rFonts w:eastAsia="細明體" w:cs="Segoe UI" w:hint="eastAsia"/>
                <w:sz w:val="17"/>
                <w:lang w:eastAsia="ar-SA"/>
              </w:rPr>
              <w:t>「貸款」</w:t>
            </w:r>
            <w:r w:rsidRPr="00272D6C">
              <w:rPr>
                <w:rFonts w:ascii="細明體" w:eastAsia="細明體" w:hAnsi="細明體" w:cs="細明體" w:hint="eastAsia"/>
                <w:color w:val="222222"/>
                <w:sz w:val="17"/>
                <w:lang w:eastAsia="ar-SA"/>
              </w:rPr>
              <w:t>和</w:t>
            </w:r>
            <w:r w:rsidRPr="00272D6C">
              <w:rPr>
                <w:rFonts w:eastAsia="細明體" w:cs="Segoe UI" w:hint="eastAsia"/>
                <w:sz w:val="17"/>
                <w:lang w:eastAsia="ar-SA"/>
              </w:rPr>
              <w:t>「債務證券」，可</w:t>
            </w:r>
            <w:r w:rsidRPr="00272D6C">
              <w:rPr>
                <w:rFonts w:eastAsia="細明體" w:cs="Segoe UI"/>
                <w:sz w:val="17"/>
                <w:lang w:eastAsia="ar-SA"/>
              </w:rPr>
              <w:t>(</w:t>
            </w:r>
            <w:proofErr w:type="spellStart"/>
            <w:r w:rsidRPr="00272D6C">
              <w:rPr>
                <w:rFonts w:eastAsia="細明體" w:cs="Segoe UI"/>
                <w:sz w:val="17"/>
                <w:lang w:eastAsia="ar-SA"/>
              </w:rPr>
              <w:t>i</w:t>
            </w:r>
            <w:proofErr w:type="spellEnd"/>
            <w:r w:rsidRPr="00272D6C">
              <w:rPr>
                <w:rFonts w:eastAsia="細明體" w:cs="Segoe UI"/>
                <w:sz w:val="17"/>
                <w:lang w:eastAsia="ar-SA"/>
              </w:rPr>
              <w:t>)</w:t>
            </w:r>
            <w:r w:rsidRPr="00272D6C">
              <w:rPr>
                <w:rFonts w:eastAsia="細明體" w:cs="Segoe UI" w:hint="eastAsia"/>
                <w:sz w:val="17"/>
                <w:lang w:eastAsia="ar-SA"/>
              </w:rPr>
              <w:t xml:space="preserve"> </w:t>
            </w:r>
            <w:r w:rsidRPr="00272D6C">
              <w:rPr>
                <w:rFonts w:eastAsia="細明體" w:cs="Segoe UI" w:hint="eastAsia"/>
                <w:sz w:val="17"/>
                <w:lang w:eastAsia="ar-SA"/>
              </w:rPr>
              <w:t>合併兩個相應的</w:t>
            </w:r>
            <w:r w:rsidRPr="00272D6C">
              <w:rPr>
                <w:rFonts w:ascii="細明體" w:eastAsia="細明體" w:hAnsi="細明體" w:cs="細明體" w:hint="eastAsia"/>
                <w:color w:val="222222"/>
                <w:sz w:val="17"/>
                <w:lang w:eastAsia="ar-SA"/>
              </w:rPr>
              <w:t>單元</w:t>
            </w:r>
            <w:r w:rsidRPr="00272D6C">
              <w:rPr>
                <w:rFonts w:eastAsia="細明體" w:cs="Segoe UI" w:hint="eastAsia"/>
                <w:sz w:val="17"/>
                <w:lang w:eastAsia="ar-SA"/>
              </w:rPr>
              <w:t>格，或</w:t>
            </w:r>
            <w:r w:rsidRPr="00272D6C">
              <w:rPr>
                <w:rFonts w:eastAsia="細明體" w:cs="Segoe UI"/>
                <w:sz w:val="17"/>
                <w:lang w:eastAsia="ar-SA"/>
              </w:rPr>
              <w:t>(ii)</w:t>
            </w:r>
            <w:r w:rsidRPr="00272D6C">
              <w:rPr>
                <w:rFonts w:eastAsia="細明體" w:cs="Segoe UI" w:hint="eastAsia"/>
                <w:sz w:val="17"/>
                <w:lang w:eastAsia="ar-SA"/>
              </w:rPr>
              <w:t xml:space="preserve"> </w:t>
            </w:r>
            <w:r w:rsidRPr="00272D6C">
              <w:rPr>
                <w:rFonts w:eastAsia="細明體" w:cs="Segoe UI" w:hint="eastAsia"/>
                <w:sz w:val="17"/>
                <w:lang w:eastAsia="ar-SA"/>
              </w:rPr>
              <w:t>按相關權重比例將總帳面數額分配。在此情況下，認可機構應說明所採用的方法。如某風險</w:t>
            </w:r>
            <w:r w:rsidRPr="00272D6C">
              <w:rPr>
                <w:rFonts w:eastAsia="細明體" w:cs="Segoe UI"/>
                <w:sz w:val="17"/>
                <w:lang w:val="en-US" w:eastAsia="ar-SA"/>
              </w:rPr>
              <w:t>承</w:t>
            </w:r>
            <w:r w:rsidRPr="00272D6C">
              <w:rPr>
                <w:rFonts w:eastAsia="細明體" w:cs="Segoe UI" w:hint="eastAsia"/>
                <w:sz w:val="17"/>
                <w:lang w:eastAsia="ar-SA"/>
              </w:rPr>
              <w:t>擔</w:t>
            </w:r>
            <w:r w:rsidRPr="00272D6C">
              <w:rPr>
                <w:rFonts w:eastAsia="細明體" w:cs="Segoe UI"/>
                <w:sz w:val="17"/>
                <w:lang w:eastAsia="ar-SA"/>
              </w:rPr>
              <w:t>獲得</w:t>
            </w:r>
            <w:r w:rsidRPr="00272D6C">
              <w:rPr>
                <w:rFonts w:eastAsia="細明體" w:cs="Segoe UI" w:hint="eastAsia"/>
                <w:sz w:val="17"/>
                <w:lang w:eastAsia="ar-SA"/>
              </w:rPr>
              <w:t>多項認可減低信用風險措施</w:t>
            </w:r>
            <w:r w:rsidRPr="00272D6C">
              <w:rPr>
                <w:rFonts w:eastAsia="細明體" w:cs="Segoe UI"/>
                <w:sz w:val="17"/>
                <w:lang w:eastAsia="ar-SA"/>
              </w:rPr>
              <w:t>涵蓋</w:t>
            </w:r>
            <w:r w:rsidRPr="00272D6C">
              <w:rPr>
                <w:rFonts w:eastAsia="細明體" w:cs="Segoe UI" w:hint="eastAsia"/>
                <w:sz w:val="17"/>
                <w:lang w:eastAsia="ar-SA"/>
              </w:rPr>
              <w:t>，則風險承擔值的分配應按一旦發生虧損事件認可機構會採用的認可減低信用風險措施的種</w:t>
            </w:r>
            <w:r w:rsidRPr="00272D6C">
              <w:rPr>
                <w:rFonts w:eastAsia="細明體" w:cs="Segoe UI"/>
                <w:sz w:val="17"/>
                <w:lang w:eastAsia="ar-SA"/>
              </w:rPr>
              <w:t>類</w:t>
            </w:r>
            <w:r w:rsidRPr="00272D6C">
              <w:rPr>
                <w:rFonts w:eastAsia="細明體" w:cs="Segoe UI" w:hint="eastAsia"/>
                <w:sz w:val="17"/>
                <w:lang w:eastAsia="ar-SA"/>
              </w:rPr>
              <w:t>的優先次序</w:t>
            </w:r>
            <w:r w:rsidRPr="00272D6C">
              <w:rPr>
                <w:rFonts w:eastAsia="細明體" w:cs="Segoe UI" w:hint="eastAsia"/>
                <w:bCs/>
                <w:sz w:val="17"/>
                <w:szCs w:val="17"/>
                <w:lang w:eastAsia="ar-SA"/>
              </w:rPr>
              <w:t>分</w:t>
            </w:r>
            <w:r w:rsidRPr="00272D6C">
              <w:rPr>
                <w:rFonts w:eastAsia="細明體" w:cs="Segoe UI" w:hint="eastAsia"/>
                <w:sz w:val="17"/>
                <w:lang w:eastAsia="ar-SA"/>
              </w:rPr>
              <w:t>配。</w:t>
            </w:r>
          </w:p>
        </w:tc>
      </w:tr>
      <w:tr w:rsidR="00272D6C" w:rsidRPr="00272D6C" w14:paraId="5A6C1084" w14:textId="77777777" w:rsidTr="004A3D58">
        <w:tc>
          <w:tcPr>
            <w:tcW w:w="2160" w:type="dxa"/>
            <w:tcBorders>
              <w:top w:val="single" w:sz="4" w:space="0" w:color="000000"/>
              <w:bottom w:val="single" w:sz="4" w:space="0" w:color="000000"/>
            </w:tcBorders>
            <w:shd w:val="clear" w:color="auto" w:fill="auto"/>
          </w:tcPr>
          <w:p w14:paraId="608321D6"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附加說明：</w:t>
            </w:r>
          </w:p>
        </w:tc>
        <w:tc>
          <w:tcPr>
            <w:tcW w:w="7088" w:type="dxa"/>
            <w:tcBorders>
              <w:top w:val="single" w:sz="4" w:space="0" w:color="000000"/>
              <w:left w:val="single" w:sz="4" w:space="0" w:color="000000"/>
              <w:bottom w:val="single" w:sz="4" w:space="0" w:color="000000"/>
            </w:tcBorders>
            <w:shd w:val="clear" w:color="auto" w:fill="auto"/>
          </w:tcPr>
          <w:p w14:paraId="21B5E703" w14:textId="51BA7A2A"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szCs w:val="17"/>
                <w:lang w:eastAsia="ar-SA"/>
              </w:rPr>
              <w:t>認可機構應以敘述評註闡明現行報告期內的任何重大</w:t>
            </w:r>
            <w:r w:rsidR="006218BA" w:rsidRPr="006218BA">
              <w:rPr>
                <w:rFonts w:eastAsia="細明體" w:cs="Segoe UI" w:hint="eastAsia"/>
                <w:sz w:val="17"/>
                <w:szCs w:val="17"/>
                <w:lang w:eastAsia="ar-SA"/>
              </w:rPr>
              <w:t>改</w:t>
            </w:r>
            <w:r w:rsidRPr="00272D6C">
              <w:rPr>
                <w:rFonts w:eastAsia="細明體" w:cs="Segoe UI" w:hint="eastAsia"/>
                <w:sz w:val="17"/>
                <w:szCs w:val="17"/>
                <w:lang w:eastAsia="ar-SA"/>
              </w:rPr>
              <w:t>變及引致該等</w:t>
            </w:r>
            <w:r w:rsidR="006218BA" w:rsidRPr="006218BA">
              <w:rPr>
                <w:rFonts w:eastAsia="細明體" w:cs="Segoe UI" w:hint="eastAsia"/>
                <w:sz w:val="17"/>
                <w:szCs w:val="17"/>
                <w:lang w:eastAsia="ar-SA"/>
              </w:rPr>
              <w:t>改</w:t>
            </w:r>
            <w:r w:rsidRPr="00272D6C">
              <w:rPr>
                <w:rFonts w:eastAsia="細明體" w:cs="Segoe UI" w:hint="eastAsia"/>
                <w:sz w:val="17"/>
                <w:szCs w:val="17"/>
                <w:lang w:eastAsia="ar-SA"/>
              </w:rPr>
              <w:t>變的主要驅動因素，以補充本模版。認可機構可在附加說明中披露</w:t>
            </w:r>
            <w:r w:rsidRPr="00272D6C">
              <w:rPr>
                <w:rFonts w:ascii="細明體" w:eastAsia="細明體" w:hAnsi="細明體" w:cs="細明體" w:hint="eastAsia"/>
                <w:sz w:val="17"/>
                <w:lang w:eastAsia="ar-SA"/>
              </w:rPr>
              <w:t>對</w:t>
            </w:r>
            <w:r w:rsidRPr="00272D6C">
              <w:rPr>
                <w:rFonts w:eastAsia="細明體" w:cs="Segoe UI" w:hint="eastAsia"/>
                <w:sz w:val="17"/>
                <w:szCs w:val="17"/>
                <w:lang w:eastAsia="ar-SA"/>
              </w:rPr>
              <w:t>風險承擔的任何超額</w:t>
            </w:r>
            <w:r w:rsidR="00692794">
              <w:rPr>
                <w:rFonts w:eastAsia="細明體" w:cs="Segoe UI" w:hint="eastAsia"/>
                <w:sz w:val="17"/>
                <w:szCs w:val="17"/>
                <w:lang w:eastAsia="zh-HK"/>
              </w:rPr>
              <w:t>保</w:t>
            </w:r>
            <w:r w:rsidR="00692794">
              <w:rPr>
                <w:rFonts w:eastAsia="細明體" w:cs="Segoe UI" w:hint="eastAsia"/>
                <w:sz w:val="17"/>
                <w:szCs w:val="17"/>
                <w:lang w:eastAsia="zh-TW"/>
              </w:rPr>
              <w:t>證</w:t>
            </w:r>
            <w:r w:rsidRPr="00272D6C">
              <w:rPr>
                <w:rFonts w:eastAsia="細明體" w:cs="Segoe UI" w:hint="eastAsia"/>
                <w:sz w:val="17"/>
                <w:szCs w:val="17"/>
                <w:lang w:eastAsia="ar-SA"/>
              </w:rPr>
              <w:t>部分。</w:t>
            </w:r>
          </w:p>
        </w:tc>
      </w:tr>
      <w:tr w:rsidR="00272D6C" w:rsidRPr="00272D6C" w14:paraId="205978AC" w14:textId="77777777" w:rsidTr="004A3D58">
        <w:tc>
          <w:tcPr>
            <w:tcW w:w="2160" w:type="dxa"/>
            <w:tcBorders>
              <w:top w:val="single" w:sz="4" w:space="0" w:color="000000"/>
              <w:bottom w:val="single" w:sz="4" w:space="0" w:color="000000"/>
            </w:tcBorders>
            <w:shd w:val="clear" w:color="auto" w:fill="auto"/>
          </w:tcPr>
          <w:p w14:paraId="7EC27B28"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05FB9A42"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szCs w:val="17"/>
                <w:lang w:eastAsia="ar-SA"/>
              </w:rPr>
              <w:t>16L</w:t>
            </w:r>
          </w:p>
        </w:tc>
      </w:tr>
    </w:tbl>
    <w:p w14:paraId="237715C9" w14:textId="77777777" w:rsidR="00272D6C" w:rsidRPr="00272D6C" w:rsidRDefault="00272D6C" w:rsidP="00272D6C">
      <w:pPr>
        <w:suppressAutoHyphens/>
        <w:spacing w:before="120" w:after="120"/>
        <w:rPr>
          <w:rFonts w:eastAsia="細明體" w:cs="Segoe UI"/>
          <w:sz w:val="22"/>
          <w:lang w:eastAsia="ar-SA"/>
        </w:rPr>
      </w:pPr>
    </w:p>
    <w:tbl>
      <w:tblPr>
        <w:tblW w:w="0" w:type="auto"/>
        <w:tblInd w:w="-459" w:type="dxa"/>
        <w:tblLayout w:type="fixed"/>
        <w:tblLook w:val="0000" w:firstRow="0" w:lastRow="0" w:firstColumn="0" w:lastColumn="0" w:noHBand="0" w:noVBand="0"/>
      </w:tblPr>
      <w:tblGrid>
        <w:gridCol w:w="366"/>
        <w:gridCol w:w="1761"/>
        <w:gridCol w:w="1417"/>
        <w:gridCol w:w="1276"/>
        <w:gridCol w:w="1559"/>
        <w:gridCol w:w="1417"/>
        <w:gridCol w:w="1438"/>
      </w:tblGrid>
      <w:tr w:rsidR="00272D6C" w:rsidRPr="00272D6C" w14:paraId="161C67D4" w14:textId="77777777" w:rsidTr="005171C5">
        <w:trPr>
          <w:cantSplit/>
          <w:tblHeader/>
        </w:trPr>
        <w:tc>
          <w:tcPr>
            <w:tcW w:w="366" w:type="dxa"/>
            <w:shd w:val="clear" w:color="auto" w:fill="auto"/>
          </w:tcPr>
          <w:p w14:paraId="2A8B7572" w14:textId="77777777" w:rsidR="00272D6C" w:rsidRPr="00272D6C" w:rsidRDefault="00272D6C" w:rsidP="00272D6C">
            <w:pPr>
              <w:keepNext/>
              <w:suppressAutoHyphens/>
              <w:snapToGrid w:val="0"/>
              <w:spacing w:before="40" w:after="40"/>
              <w:rPr>
                <w:rFonts w:eastAsia="細明體" w:cs="Segoe UI"/>
                <w:sz w:val="17"/>
                <w:lang w:eastAsia="ar-SA"/>
              </w:rPr>
            </w:pPr>
          </w:p>
        </w:tc>
        <w:tc>
          <w:tcPr>
            <w:tcW w:w="1761" w:type="dxa"/>
            <w:shd w:val="clear" w:color="auto" w:fill="auto"/>
            <w:vAlign w:val="center"/>
          </w:tcPr>
          <w:p w14:paraId="43255D72" w14:textId="77777777" w:rsidR="00272D6C" w:rsidRPr="00272D6C" w:rsidRDefault="00272D6C" w:rsidP="00272D6C">
            <w:pPr>
              <w:keepNext/>
              <w:suppressAutoHyphens/>
              <w:snapToGrid w:val="0"/>
              <w:spacing w:before="40" w:after="40"/>
              <w:rPr>
                <w:rFonts w:eastAsia="細明體" w:cs="Segoe UI"/>
                <w:sz w:val="17"/>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0B7EBFC0" w14:textId="77777777" w:rsidR="00272D6C" w:rsidRPr="00272D6C" w:rsidRDefault="00272D6C" w:rsidP="00272D6C">
            <w:pPr>
              <w:suppressAutoHyphens/>
              <w:snapToGrid w:val="0"/>
              <w:spacing w:before="40" w:after="40"/>
              <w:jc w:val="center"/>
              <w:rPr>
                <w:rFonts w:eastAsia="細明體" w:cs="Segoe UI"/>
                <w:bCs/>
                <w:sz w:val="17"/>
                <w:szCs w:val="17"/>
                <w:lang w:eastAsia="ar-SA"/>
              </w:rPr>
            </w:pPr>
            <w:r w:rsidRPr="00272D6C">
              <w:rPr>
                <w:rFonts w:eastAsia="細明體" w:cs="Segoe UI"/>
                <w:bCs/>
                <w:sz w:val="17"/>
                <w:szCs w:val="17"/>
                <w:lang w:eastAsia="ar-SA"/>
              </w:rPr>
              <w:t>(a)</w:t>
            </w:r>
          </w:p>
        </w:tc>
        <w:tc>
          <w:tcPr>
            <w:tcW w:w="1276" w:type="dxa"/>
            <w:tcBorders>
              <w:top w:val="single" w:sz="4" w:space="0" w:color="000000"/>
              <w:left w:val="single" w:sz="4" w:space="0" w:color="000000"/>
              <w:bottom w:val="single" w:sz="4" w:space="0" w:color="000000"/>
            </w:tcBorders>
            <w:shd w:val="clear" w:color="auto" w:fill="auto"/>
          </w:tcPr>
          <w:p w14:paraId="188EDA5B" w14:textId="79ED7359" w:rsidR="00272D6C" w:rsidRPr="00272D6C" w:rsidRDefault="00272D6C" w:rsidP="00272D6C">
            <w:pPr>
              <w:suppressAutoHyphens/>
              <w:snapToGrid w:val="0"/>
              <w:spacing w:before="40" w:after="40"/>
              <w:jc w:val="center"/>
              <w:rPr>
                <w:rFonts w:eastAsia="細明體" w:cs="Segoe UI"/>
                <w:bCs/>
                <w:sz w:val="17"/>
                <w:szCs w:val="17"/>
                <w:lang w:eastAsia="ar-SA"/>
              </w:rPr>
            </w:pPr>
            <w:r w:rsidRPr="00272D6C">
              <w:rPr>
                <w:rFonts w:eastAsia="細明體" w:cs="Segoe UI"/>
                <w:bCs/>
                <w:sz w:val="17"/>
                <w:szCs w:val="17"/>
                <w:lang w:eastAsia="ar-SA"/>
              </w:rPr>
              <w:t>(b)</w:t>
            </w:r>
          </w:p>
        </w:tc>
        <w:tc>
          <w:tcPr>
            <w:tcW w:w="1559" w:type="dxa"/>
            <w:tcBorders>
              <w:top w:val="single" w:sz="4" w:space="0" w:color="000000"/>
              <w:left w:val="single" w:sz="4" w:space="0" w:color="000000"/>
              <w:bottom w:val="single" w:sz="4" w:space="0" w:color="000000"/>
            </w:tcBorders>
            <w:shd w:val="clear" w:color="auto" w:fill="auto"/>
            <w:vAlign w:val="center"/>
          </w:tcPr>
          <w:p w14:paraId="3B5B91FA" w14:textId="256F1239" w:rsidR="00272D6C" w:rsidRPr="00272D6C" w:rsidRDefault="00272D6C" w:rsidP="00272D6C">
            <w:pPr>
              <w:suppressAutoHyphens/>
              <w:snapToGrid w:val="0"/>
              <w:spacing w:before="40" w:after="40"/>
              <w:jc w:val="center"/>
              <w:rPr>
                <w:rFonts w:eastAsia="細明體" w:cs="Segoe UI"/>
                <w:bCs/>
                <w:sz w:val="17"/>
                <w:szCs w:val="17"/>
                <w:lang w:eastAsia="ar-SA"/>
              </w:rPr>
            </w:pPr>
            <w:r w:rsidRPr="00272D6C">
              <w:rPr>
                <w:rFonts w:eastAsia="細明體" w:cs="Segoe UI"/>
                <w:bCs/>
                <w:sz w:val="17"/>
                <w:szCs w:val="17"/>
                <w:lang w:eastAsia="ar-SA"/>
              </w:rPr>
              <w:t>(</w:t>
            </w:r>
            <w:r w:rsidR="003D22A4">
              <w:rPr>
                <w:rFonts w:eastAsia="細明體" w:cs="Segoe UI"/>
                <w:bCs/>
                <w:sz w:val="17"/>
                <w:szCs w:val="17"/>
                <w:lang w:eastAsia="ar-SA"/>
              </w:rPr>
              <w:t>c</w:t>
            </w:r>
            <w:r w:rsidRPr="00272D6C">
              <w:rPr>
                <w:rFonts w:eastAsia="細明體" w:cs="Segoe UI"/>
                <w:bCs/>
                <w:sz w:val="17"/>
                <w:szCs w:val="17"/>
                <w:lang w:eastAsia="ar-SA"/>
              </w:rPr>
              <w:t>)</w:t>
            </w:r>
          </w:p>
        </w:tc>
        <w:tc>
          <w:tcPr>
            <w:tcW w:w="1417" w:type="dxa"/>
            <w:tcBorders>
              <w:top w:val="single" w:sz="4" w:space="0" w:color="000000"/>
              <w:left w:val="single" w:sz="4" w:space="0" w:color="000000"/>
              <w:bottom w:val="single" w:sz="4" w:space="0" w:color="000000"/>
            </w:tcBorders>
            <w:shd w:val="clear" w:color="auto" w:fill="auto"/>
            <w:vAlign w:val="center"/>
          </w:tcPr>
          <w:p w14:paraId="42FBF125" w14:textId="77777777" w:rsidR="00272D6C" w:rsidRPr="00272D6C" w:rsidRDefault="00272D6C" w:rsidP="00272D6C">
            <w:pPr>
              <w:suppressAutoHyphens/>
              <w:snapToGrid w:val="0"/>
              <w:spacing w:before="40" w:after="40"/>
              <w:jc w:val="center"/>
              <w:rPr>
                <w:rFonts w:eastAsia="細明體" w:cs="Segoe UI"/>
                <w:bCs/>
                <w:sz w:val="17"/>
                <w:szCs w:val="17"/>
                <w:lang w:eastAsia="ar-SA"/>
              </w:rPr>
            </w:pPr>
            <w:r w:rsidRPr="00272D6C">
              <w:rPr>
                <w:rFonts w:eastAsia="細明體" w:cs="Segoe UI"/>
                <w:bCs/>
                <w:sz w:val="17"/>
                <w:szCs w:val="17"/>
                <w:lang w:eastAsia="ar-SA"/>
              </w:rPr>
              <w:t>(d)</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F03AA" w14:textId="311AD5F9" w:rsidR="00272D6C" w:rsidRPr="00272D6C" w:rsidRDefault="00272D6C" w:rsidP="00272D6C">
            <w:pPr>
              <w:suppressAutoHyphens/>
              <w:snapToGrid w:val="0"/>
              <w:spacing w:before="40" w:after="40"/>
              <w:jc w:val="center"/>
              <w:rPr>
                <w:rFonts w:cs="Segoe UI"/>
                <w:lang w:eastAsia="ar-SA"/>
              </w:rPr>
            </w:pPr>
            <w:r w:rsidRPr="00272D6C">
              <w:rPr>
                <w:rFonts w:eastAsia="細明體" w:cs="Segoe UI"/>
                <w:bCs/>
                <w:sz w:val="17"/>
                <w:szCs w:val="17"/>
                <w:lang w:eastAsia="ar-SA"/>
              </w:rPr>
              <w:t>(</w:t>
            </w:r>
            <w:r w:rsidR="003D22A4">
              <w:rPr>
                <w:rFonts w:eastAsia="細明體" w:cs="Segoe UI"/>
                <w:bCs/>
                <w:sz w:val="17"/>
                <w:szCs w:val="17"/>
                <w:lang w:eastAsia="ar-SA"/>
              </w:rPr>
              <w:t>e</w:t>
            </w:r>
            <w:r w:rsidRPr="00272D6C">
              <w:rPr>
                <w:rFonts w:eastAsia="細明體" w:cs="Segoe UI"/>
                <w:bCs/>
                <w:sz w:val="17"/>
                <w:szCs w:val="17"/>
                <w:lang w:eastAsia="ar-SA"/>
              </w:rPr>
              <w:t>)</w:t>
            </w:r>
          </w:p>
        </w:tc>
      </w:tr>
      <w:tr w:rsidR="00272D6C" w:rsidRPr="00272D6C" w14:paraId="609EB033" w14:textId="77777777" w:rsidTr="005171C5">
        <w:trPr>
          <w:cantSplit/>
          <w:tblHeader/>
        </w:trPr>
        <w:tc>
          <w:tcPr>
            <w:tcW w:w="366" w:type="dxa"/>
            <w:tcBorders>
              <w:bottom w:val="single" w:sz="4" w:space="0" w:color="000000"/>
            </w:tcBorders>
            <w:shd w:val="clear" w:color="auto" w:fill="auto"/>
          </w:tcPr>
          <w:p w14:paraId="5AC7E60A" w14:textId="77777777" w:rsidR="00272D6C" w:rsidRPr="00272D6C" w:rsidRDefault="00272D6C" w:rsidP="00272D6C">
            <w:pPr>
              <w:keepNext/>
              <w:suppressAutoHyphens/>
              <w:snapToGrid w:val="0"/>
              <w:rPr>
                <w:rFonts w:eastAsia="細明體" w:cs="Segoe UI"/>
                <w:sz w:val="17"/>
                <w:lang w:eastAsia="ar-SA"/>
              </w:rPr>
            </w:pPr>
          </w:p>
        </w:tc>
        <w:tc>
          <w:tcPr>
            <w:tcW w:w="1761" w:type="dxa"/>
            <w:tcBorders>
              <w:bottom w:val="single" w:sz="4" w:space="0" w:color="000000"/>
            </w:tcBorders>
            <w:shd w:val="clear" w:color="auto" w:fill="auto"/>
            <w:vAlign w:val="center"/>
          </w:tcPr>
          <w:p w14:paraId="41D0E60C" w14:textId="77777777" w:rsidR="00272D6C" w:rsidRPr="00272D6C" w:rsidRDefault="00272D6C" w:rsidP="00272D6C">
            <w:pPr>
              <w:keepNext/>
              <w:suppressAutoHyphens/>
              <w:snapToGrid w:val="0"/>
              <w:rPr>
                <w:rFonts w:eastAsia="細明體" w:cs="Segoe UI"/>
                <w:sz w:val="17"/>
                <w:lang w:eastAsia="ar-SA"/>
              </w:rPr>
            </w:pPr>
          </w:p>
        </w:tc>
        <w:tc>
          <w:tcPr>
            <w:tcW w:w="1417" w:type="dxa"/>
            <w:tcBorders>
              <w:top w:val="single" w:sz="4" w:space="0" w:color="000000"/>
              <w:left w:val="single" w:sz="4" w:space="0" w:color="000000"/>
              <w:bottom w:val="single" w:sz="4" w:space="0" w:color="000000"/>
            </w:tcBorders>
            <w:shd w:val="clear" w:color="auto" w:fill="auto"/>
            <w:vAlign w:val="center"/>
          </w:tcPr>
          <w:p w14:paraId="06164117" w14:textId="77777777" w:rsidR="00272D6C" w:rsidRPr="00272D6C" w:rsidRDefault="00272D6C" w:rsidP="00272D6C">
            <w:pPr>
              <w:suppressAutoHyphens/>
              <w:snapToGrid w:val="0"/>
              <w:jc w:val="center"/>
              <w:rPr>
                <w:rFonts w:eastAsia="細明體" w:cs="Segoe UI"/>
                <w:bCs/>
                <w:sz w:val="17"/>
                <w:szCs w:val="17"/>
                <w:lang w:eastAsia="ar-SA"/>
              </w:rPr>
            </w:pPr>
            <w:r w:rsidRPr="00272D6C">
              <w:rPr>
                <w:rFonts w:eastAsia="細明體" w:cs="Segoe UI" w:hint="eastAsia"/>
                <w:bCs/>
                <w:sz w:val="17"/>
                <w:szCs w:val="17"/>
                <w:lang w:eastAsia="ar-SA"/>
              </w:rPr>
              <w:t>無保證風險承擔：帳面數額</w:t>
            </w:r>
          </w:p>
        </w:tc>
        <w:tc>
          <w:tcPr>
            <w:tcW w:w="1276" w:type="dxa"/>
            <w:tcBorders>
              <w:top w:val="single" w:sz="4" w:space="0" w:color="000000"/>
              <w:left w:val="single" w:sz="4" w:space="0" w:color="000000"/>
              <w:bottom w:val="single" w:sz="4" w:space="0" w:color="000000"/>
            </w:tcBorders>
            <w:shd w:val="clear" w:color="auto" w:fill="auto"/>
            <w:vAlign w:val="center"/>
          </w:tcPr>
          <w:p w14:paraId="1ECBC3F5" w14:textId="77777777" w:rsidR="00272D6C" w:rsidRPr="00272D6C" w:rsidRDefault="00272D6C" w:rsidP="00272D6C">
            <w:pPr>
              <w:suppressAutoHyphens/>
              <w:snapToGrid w:val="0"/>
              <w:jc w:val="center"/>
              <w:rPr>
                <w:rFonts w:eastAsia="細明體" w:cs="Segoe UI"/>
                <w:bCs/>
                <w:sz w:val="17"/>
                <w:szCs w:val="17"/>
                <w:lang w:eastAsia="ar-SA"/>
              </w:rPr>
            </w:pPr>
            <w:r w:rsidRPr="00272D6C">
              <w:rPr>
                <w:rFonts w:eastAsia="細明體" w:cs="Segoe UI" w:hint="eastAsia"/>
                <w:bCs/>
                <w:sz w:val="17"/>
                <w:szCs w:val="17"/>
                <w:lang w:eastAsia="ar-SA"/>
              </w:rPr>
              <w:t>有保證風險承擔</w:t>
            </w:r>
          </w:p>
        </w:tc>
        <w:tc>
          <w:tcPr>
            <w:tcW w:w="1559" w:type="dxa"/>
            <w:tcBorders>
              <w:top w:val="single" w:sz="4" w:space="0" w:color="000000"/>
              <w:left w:val="single" w:sz="4" w:space="0" w:color="000000"/>
              <w:bottom w:val="single" w:sz="4" w:space="0" w:color="000000"/>
            </w:tcBorders>
            <w:shd w:val="clear" w:color="auto" w:fill="auto"/>
            <w:vAlign w:val="center"/>
          </w:tcPr>
          <w:p w14:paraId="0A29551D" w14:textId="77777777" w:rsidR="00272D6C" w:rsidRPr="00272D6C" w:rsidRDefault="00272D6C" w:rsidP="00272D6C">
            <w:pPr>
              <w:suppressAutoHyphens/>
              <w:snapToGrid w:val="0"/>
              <w:jc w:val="center"/>
              <w:rPr>
                <w:rFonts w:eastAsia="細明體" w:cs="Segoe UI"/>
                <w:bCs/>
                <w:sz w:val="17"/>
                <w:szCs w:val="17"/>
                <w:lang w:eastAsia="ar-SA"/>
              </w:rPr>
            </w:pPr>
            <w:r w:rsidRPr="00272D6C">
              <w:rPr>
                <w:rFonts w:eastAsia="細明體" w:cs="Segoe UI" w:hint="eastAsia"/>
                <w:bCs/>
                <w:sz w:val="17"/>
                <w:szCs w:val="17"/>
                <w:lang w:eastAsia="ar-SA"/>
              </w:rPr>
              <w:t>以認可抵押品</w:t>
            </w:r>
            <w:r w:rsidRPr="00272D6C">
              <w:rPr>
                <w:rFonts w:ascii="細明體" w:eastAsia="細明體" w:hAnsi="細明體" w:cs="Segoe UI" w:hint="eastAsia"/>
                <w:bCs/>
                <w:color w:val="222222"/>
                <w:sz w:val="17"/>
                <w:szCs w:val="17"/>
                <w:lang w:eastAsia="ar-SA"/>
              </w:rPr>
              <w:t>作</w:t>
            </w:r>
            <w:r w:rsidRPr="00272D6C">
              <w:rPr>
                <w:rFonts w:eastAsia="細明體" w:cs="Segoe UI" w:hint="eastAsia"/>
                <w:bCs/>
                <w:sz w:val="17"/>
                <w:szCs w:val="17"/>
                <w:lang w:eastAsia="ar-SA"/>
              </w:rPr>
              <w:t>保證的風險承擔</w:t>
            </w:r>
          </w:p>
        </w:tc>
        <w:tc>
          <w:tcPr>
            <w:tcW w:w="1417" w:type="dxa"/>
            <w:tcBorders>
              <w:top w:val="single" w:sz="4" w:space="0" w:color="000000"/>
              <w:left w:val="single" w:sz="4" w:space="0" w:color="000000"/>
              <w:bottom w:val="single" w:sz="4" w:space="0" w:color="000000"/>
            </w:tcBorders>
            <w:shd w:val="clear" w:color="auto" w:fill="auto"/>
            <w:vAlign w:val="center"/>
          </w:tcPr>
          <w:p w14:paraId="6EB2FB78" w14:textId="77777777" w:rsidR="00272D6C" w:rsidRPr="00272D6C" w:rsidRDefault="00272D6C" w:rsidP="00272D6C">
            <w:pPr>
              <w:suppressAutoHyphens/>
              <w:snapToGrid w:val="0"/>
              <w:jc w:val="center"/>
              <w:rPr>
                <w:rFonts w:eastAsia="細明體" w:cs="Segoe UI"/>
                <w:bCs/>
                <w:sz w:val="17"/>
                <w:szCs w:val="17"/>
                <w:lang w:eastAsia="ar-SA"/>
              </w:rPr>
            </w:pPr>
            <w:r w:rsidRPr="00272D6C">
              <w:rPr>
                <w:rFonts w:eastAsia="細明體" w:cs="Segoe UI" w:hint="eastAsia"/>
                <w:bCs/>
                <w:sz w:val="17"/>
                <w:szCs w:val="17"/>
                <w:lang w:eastAsia="ar-SA"/>
              </w:rPr>
              <w:t>以認可擔保作保證的風險承擔</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624CD" w14:textId="77777777" w:rsidR="00272D6C" w:rsidRPr="00272D6C" w:rsidRDefault="00272D6C" w:rsidP="00272D6C">
            <w:pPr>
              <w:suppressAutoHyphens/>
              <w:snapToGrid w:val="0"/>
              <w:jc w:val="center"/>
              <w:rPr>
                <w:rFonts w:cs="Segoe UI"/>
                <w:lang w:eastAsia="ar-SA"/>
              </w:rPr>
            </w:pPr>
            <w:r w:rsidRPr="00272D6C">
              <w:rPr>
                <w:rFonts w:eastAsia="細明體" w:cs="Segoe UI" w:hint="eastAsia"/>
                <w:bCs/>
                <w:sz w:val="17"/>
                <w:szCs w:val="17"/>
                <w:lang w:eastAsia="ar-SA"/>
              </w:rPr>
              <w:t>以認可信用衍生工具合約作保證的風險承擔</w:t>
            </w:r>
          </w:p>
        </w:tc>
      </w:tr>
      <w:tr w:rsidR="00272D6C" w:rsidRPr="00272D6C" w14:paraId="1FDB658E" w14:textId="77777777" w:rsidTr="005171C5">
        <w:trPr>
          <w:cantSplit/>
        </w:trPr>
        <w:tc>
          <w:tcPr>
            <w:tcW w:w="366" w:type="dxa"/>
            <w:tcBorders>
              <w:top w:val="single" w:sz="4" w:space="0" w:color="000000"/>
              <w:bottom w:val="single" w:sz="4" w:space="0" w:color="C0C0C0"/>
            </w:tcBorders>
            <w:shd w:val="clear" w:color="auto" w:fill="auto"/>
          </w:tcPr>
          <w:p w14:paraId="42DA8BAA"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8"/>
                <w:szCs w:val="18"/>
                <w:lang w:eastAsia="ar-SA"/>
              </w:rPr>
            </w:pPr>
            <w:r w:rsidRPr="00272D6C">
              <w:rPr>
                <w:rFonts w:eastAsia="細明體" w:cs="Segoe UI"/>
                <w:sz w:val="18"/>
                <w:szCs w:val="18"/>
                <w:lang w:eastAsia="ar-SA"/>
              </w:rPr>
              <w:t>1</w:t>
            </w:r>
          </w:p>
        </w:tc>
        <w:tc>
          <w:tcPr>
            <w:tcW w:w="1761" w:type="dxa"/>
            <w:tcBorders>
              <w:top w:val="single" w:sz="4" w:space="0" w:color="000000"/>
              <w:left w:val="single" w:sz="4" w:space="0" w:color="000000"/>
              <w:bottom w:val="single" w:sz="4" w:space="0" w:color="C0C0C0"/>
            </w:tcBorders>
            <w:shd w:val="clear" w:color="auto" w:fill="auto"/>
          </w:tcPr>
          <w:p w14:paraId="552CCB41"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lang w:eastAsia="ar-SA"/>
              </w:rPr>
            </w:pPr>
            <w:r w:rsidRPr="00272D6C">
              <w:rPr>
                <w:rFonts w:eastAsia="細明體" w:cs="Segoe UI" w:hint="eastAsia"/>
                <w:sz w:val="18"/>
                <w:szCs w:val="18"/>
                <w:lang w:eastAsia="ar-SA"/>
              </w:rPr>
              <w:t>貸款</w:t>
            </w:r>
          </w:p>
        </w:tc>
        <w:tc>
          <w:tcPr>
            <w:tcW w:w="1417" w:type="dxa"/>
            <w:tcBorders>
              <w:top w:val="single" w:sz="4" w:space="0" w:color="000000"/>
              <w:left w:val="single" w:sz="4" w:space="0" w:color="000000"/>
              <w:bottom w:val="single" w:sz="4" w:space="0" w:color="C0C0C0"/>
            </w:tcBorders>
            <w:shd w:val="clear" w:color="auto" w:fill="auto"/>
          </w:tcPr>
          <w:p w14:paraId="327E55EE"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276" w:type="dxa"/>
            <w:tcBorders>
              <w:top w:val="single" w:sz="4" w:space="0" w:color="000000"/>
              <w:left w:val="single" w:sz="4" w:space="0" w:color="000000"/>
              <w:bottom w:val="single" w:sz="4" w:space="0" w:color="C0C0C0"/>
            </w:tcBorders>
            <w:shd w:val="clear" w:color="auto" w:fill="auto"/>
          </w:tcPr>
          <w:p w14:paraId="33B352B8"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559" w:type="dxa"/>
            <w:tcBorders>
              <w:top w:val="single" w:sz="4" w:space="0" w:color="000000"/>
              <w:left w:val="single" w:sz="4" w:space="0" w:color="000000"/>
              <w:bottom w:val="single" w:sz="4" w:space="0" w:color="C0C0C0"/>
            </w:tcBorders>
            <w:shd w:val="clear" w:color="auto" w:fill="auto"/>
          </w:tcPr>
          <w:p w14:paraId="01792CB9"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17" w:type="dxa"/>
            <w:tcBorders>
              <w:top w:val="single" w:sz="4" w:space="0" w:color="000000"/>
              <w:left w:val="single" w:sz="4" w:space="0" w:color="000000"/>
              <w:bottom w:val="single" w:sz="4" w:space="0" w:color="C0C0C0"/>
            </w:tcBorders>
            <w:shd w:val="clear" w:color="auto" w:fill="auto"/>
          </w:tcPr>
          <w:p w14:paraId="20B55A73"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38" w:type="dxa"/>
            <w:tcBorders>
              <w:top w:val="single" w:sz="4" w:space="0" w:color="000000"/>
              <w:left w:val="single" w:sz="4" w:space="0" w:color="000000"/>
              <w:bottom w:val="single" w:sz="4" w:space="0" w:color="C0C0C0"/>
              <w:right w:val="single" w:sz="4" w:space="0" w:color="000000"/>
            </w:tcBorders>
            <w:shd w:val="clear" w:color="auto" w:fill="auto"/>
          </w:tcPr>
          <w:p w14:paraId="685BABD1"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r>
      <w:tr w:rsidR="00272D6C" w:rsidRPr="00272D6C" w14:paraId="7FFDBCA8" w14:textId="77777777" w:rsidTr="005171C5">
        <w:trPr>
          <w:cantSplit/>
        </w:trPr>
        <w:tc>
          <w:tcPr>
            <w:tcW w:w="366" w:type="dxa"/>
            <w:tcBorders>
              <w:top w:val="single" w:sz="4" w:space="0" w:color="C0C0C0"/>
              <w:bottom w:val="single" w:sz="4" w:space="0" w:color="C0C0C0"/>
            </w:tcBorders>
            <w:shd w:val="clear" w:color="auto" w:fill="auto"/>
          </w:tcPr>
          <w:p w14:paraId="3ED3B4AE"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8"/>
                <w:szCs w:val="18"/>
                <w:lang w:eastAsia="ar-SA"/>
              </w:rPr>
            </w:pPr>
            <w:r w:rsidRPr="00272D6C">
              <w:rPr>
                <w:rFonts w:eastAsia="細明體" w:cs="Segoe UI"/>
                <w:sz w:val="18"/>
                <w:szCs w:val="18"/>
                <w:lang w:eastAsia="ar-SA"/>
              </w:rPr>
              <w:t>2</w:t>
            </w:r>
          </w:p>
        </w:tc>
        <w:tc>
          <w:tcPr>
            <w:tcW w:w="1761" w:type="dxa"/>
            <w:tcBorders>
              <w:top w:val="single" w:sz="4" w:space="0" w:color="C0C0C0"/>
              <w:left w:val="single" w:sz="4" w:space="0" w:color="000000"/>
              <w:bottom w:val="single" w:sz="4" w:space="0" w:color="C0C0C0"/>
            </w:tcBorders>
            <w:shd w:val="clear" w:color="auto" w:fill="auto"/>
          </w:tcPr>
          <w:p w14:paraId="5AC7449C"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lang w:eastAsia="ar-SA"/>
              </w:rPr>
            </w:pPr>
            <w:r w:rsidRPr="00272D6C">
              <w:rPr>
                <w:rFonts w:eastAsia="細明體" w:cs="Segoe UI" w:hint="eastAsia"/>
                <w:sz w:val="18"/>
                <w:szCs w:val="18"/>
                <w:lang w:eastAsia="ar-SA"/>
              </w:rPr>
              <w:t>債務證券</w:t>
            </w:r>
          </w:p>
        </w:tc>
        <w:tc>
          <w:tcPr>
            <w:tcW w:w="1417" w:type="dxa"/>
            <w:tcBorders>
              <w:top w:val="single" w:sz="4" w:space="0" w:color="C0C0C0"/>
              <w:left w:val="single" w:sz="4" w:space="0" w:color="000000"/>
              <w:bottom w:val="single" w:sz="4" w:space="0" w:color="C0C0C0"/>
            </w:tcBorders>
            <w:shd w:val="clear" w:color="auto" w:fill="auto"/>
          </w:tcPr>
          <w:p w14:paraId="29A006DD"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276" w:type="dxa"/>
            <w:tcBorders>
              <w:top w:val="single" w:sz="4" w:space="0" w:color="C0C0C0"/>
              <w:left w:val="single" w:sz="4" w:space="0" w:color="000000"/>
              <w:bottom w:val="single" w:sz="4" w:space="0" w:color="C0C0C0"/>
            </w:tcBorders>
            <w:shd w:val="clear" w:color="auto" w:fill="auto"/>
          </w:tcPr>
          <w:p w14:paraId="7B341F3A"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559" w:type="dxa"/>
            <w:tcBorders>
              <w:top w:val="single" w:sz="4" w:space="0" w:color="C0C0C0"/>
              <w:left w:val="single" w:sz="4" w:space="0" w:color="000000"/>
              <w:bottom w:val="single" w:sz="4" w:space="0" w:color="C0C0C0"/>
            </w:tcBorders>
            <w:shd w:val="clear" w:color="auto" w:fill="auto"/>
          </w:tcPr>
          <w:p w14:paraId="199EF733"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17" w:type="dxa"/>
            <w:tcBorders>
              <w:top w:val="single" w:sz="4" w:space="0" w:color="C0C0C0"/>
              <w:left w:val="single" w:sz="4" w:space="0" w:color="000000"/>
              <w:bottom w:val="single" w:sz="4" w:space="0" w:color="C0C0C0"/>
            </w:tcBorders>
            <w:shd w:val="clear" w:color="auto" w:fill="auto"/>
          </w:tcPr>
          <w:p w14:paraId="027E0E36"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38" w:type="dxa"/>
            <w:tcBorders>
              <w:top w:val="single" w:sz="4" w:space="0" w:color="C0C0C0"/>
              <w:left w:val="single" w:sz="4" w:space="0" w:color="000000"/>
              <w:bottom w:val="single" w:sz="4" w:space="0" w:color="C0C0C0"/>
              <w:right w:val="single" w:sz="4" w:space="0" w:color="000000"/>
            </w:tcBorders>
            <w:shd w:val="clear" w:color="auto" w:fill="auto"/>
          </w:tcPr>
          <w:p w14:paraId="38F3E750"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r>
      <w:tr w:rsidR="00272D6C" w:rsidRPr="00272D6C" w14:paraId="4005E867" w14:textId="77777777" w:rsidTr="005171C5">
        <w:trPr>
          <w:cantSplit/>
        </w:trPr>
        <w:tc>
          <w:tcPr>
            <w:tcW w:w="366" w:type="dxa"/>
            <w:tcBorders>
              <w:top w:val="single" w:sz="4" w:space="0" w:color="C0C0C0"/>
              <w:bottom w:val="single" w:sz="4" w:space="0" w:color="C0C0C0"/>
            </w:tcBorders>
            <w:shd w:val="clear" w:color="auto" w:fill="auto"/>
          </w:tcPr>
          <w:p w14:paraId="443B6CA5"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b/>
                <w:sz w:val="17"/>
                <w:lang w:eastAsia="ar-SA"/>
              </w:rPr>
            </w:pPr>
            <w:r w:rsidRPr="00272D6C">
              <w:rPr>
                <w:rFonts w:eastAsia="細明體" w:cs="Segoe UI"/>
                <w:b/>
                <w:sz w:val="17"/>
                <w:lang w:eastAsia="ar-SA"/>
              </w:rPr>
              <w:t>3</w:t>
            </w:r>
          </w:p>
        </w:tc>
        <w:tc>
          <w:tcPr>
            <w:tcW w:w="1761" w:type="dxa"/>
            <w:tcBorders>
              <w:top w:val="single" w:sz="4" w:space="0" w:color="C0C0C0"/>
              <w:left w:val="single" w:sz="4" w:space="0" w:color="000000"/>
              <w:bottom w:val="single" w:sz="4" w:space="0" w:color="C0C0C0"/>
            </w:tcBorders>
            <w:shd w:val="clear" w:color="auto" w:fill="auto"/>
          </w:tcPr>
          <w:p w14:paraId="36C3DA45"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lang w:eastAsia="ar-SA"/>
              </w:rPr>
            </w:pPr>
            <w:r w:rsidRPr="00272D6C">
              <w:rPr>
                <w:rFonts w:eastAsia="細明體" w:cs="Segoe UI" w:hint="eastAsia"/>
                <w:b/>
                <w:sz w:val="17"/>
                <w:lang w:eastAsia="ar-SA"/>
              </w:rPr>
              <w:t>總計</w:t>
            </w:r>
          </w:p>
        </w:tc>
        <w:tc>
          <w:tcPr>
            <w:tcW w:w="1417" w:type="dxa"/>
            <w:tcBorders>
              <w:top w:val="single" w:sz="4" w:space="0" w:color="C0C0C0"/>
              <w:left w:val="single" w:sz="4" w:space="0" w:color="000000"/>
              <w:bottom w:val="single" w:sz="4" w:space="0" w:color="C0C0C0"/>
            </w:tcBorders>
            <w:shd w:val="clear" w:color="auto" w:fill="auto"/>
          </w:tcPr>
          <w:p w14:paraId="12996B3A"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276" w:type="dxa"/>
            <w:tcBorders>
              <w:top w:val="single" w:sz="4" w:space="0" w:color="C0C0C0"/>
              <w:left w:val="single" w:sz="4" w:space="0" w:color="000000"/>
              <w:bottom w:val="single" w:sz="4" w:space="0" w:color="C0C0C0"/>
            </w:tcBorders>
            <w:shd w:val="clear" w:color="auto" w:fill="auto"/>
          </w:tcPr>
          <w:p w14:paraId="22B3419A"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559" w:type="dxa"/>
            <w:tcBorders>
              <w:top w:val="single" w:sz="4" w:space="0" w:color="C0C0C0"/>
              <w:left w:val="single" w:sz="4" w:space="0" w:color="000000"/>
              <w:bottom w:val="single" w:sz="4" w:space="0" w:color="C0C0C0"/>
            </w:tcBorders>
            <w:shd w:val="clear" w:color="auto" w:fill="auto"/>
          </w:tcPr>
          <w:p w14:paraId="51E866E5"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17" w:type="dxa"/>
            <w:tcBorders>
              <w:top w:val="single" w:sz="4" w:space="0" w:color="C0C0C0"/>
              <w:left w:val="single" w:sz="4" w:space="0" w:color="000000"/>
              <w:bottom w:val="single" w:sz="4" w:space="0" w:color="C0C0C0"/>
            </w:tcBorders>
            <w:shd w:val="clear" w:color="auto" w:fill="auto"/>
          </w:tcPr>
          <w:p w14:paraId="5BC030A3"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38" w:type="dxa"/>
            <w:tcBorders>
              <w:top w:val="single" w:sz="4" w:space="0" w:color="C0C0C0"/>
              <w:left w:val="single" w:sz="4" w:space="0" w:color="000000"/>
              <w:bottom w:val="single" w:sz="4" w:space="0" w:color="C0C0C0"/>
              <w:right w:val="single" w:sz="4" w:space="0" w:color="000000"/>
            </w:tcBorders>
            <w:shd w:val="clear" w:color="auto" w:fill="auto"/>
          </w:tcPr>
          <w:p w14:paraId="7716C80F"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r>
      <w:tr w:rsidR="00272D6C" w:rsidRPr="00272D6C" w14:paraId="1C3C6D3F" w14:textId="77777777" w:rsidTr="005171C5">
        <w:trPr>
          <w:cantSplit/>
        </w:trPr>
        <w:tc>
          <w:tcPr>
            <w:tcW w:w="366" w:type="dxa"/>
            <w:tcBorders>
              <w:top w:val="single" w:sz="4" w:space="0" w:color="C0C0C0"/>
              <w:bottom w:val="single" w:sz="4" w:space="0" w:color="000000"/>
            </w:tcBorders>
            <w:shd w:val="clear" w:color="auto" w:fill="auto"/>
          </w:tcPr>
          <w:p w14:paraId="3DB1821F"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lang w:eastAsia="ar-SA"/>
              </w:rPr>
            </w:pPr>
            <w:r w:rsidRPr="00272D6C">
              <w:rPr>
                <w:rFonts w:eastAsia="細明體" w:cs="Segoe UI"/>
                <w:sz w:val="17"/>
                <w:lang w:eastAsia="ar-SA"/>
              </w:rPr>
              <w:t>4</w:t>
            </w:r>
          </w:p>
        </w:tc>
        <w:tc>
          <w:tcPr>
            <w:tcW w:w="1761" w:type="dxa"/>
            <w:tcBorders>
              <w:top w:val="single" w:sz="4" w:space="0" w:color="C0C0C0"/>
              <w:left w:val="single" w:sz="4" w:space="0" w:color="000000"/>
              <w:bottom w:val="single" w:sz="4" w:space="0" w:color="000000"/>
            </w:tcBorders>
            <w:shd w:val="clear" w:color="auto" w:fill="auto"/>
          </w:tcPr>
          <w:p w14:paraId="5DD9BCC5" w14:textId="77777777" w:rsidR="00272D6C" w:rsidRPr="00272D6C" w:rsidRDefault="00272D6C" w:rsidP="00272D6C">
            <w:pPr>
              <w:keepNext/>
              <w:tabs>
                <w:tab w:val="left" w:pos="397"/>
                <w:tab w:val="left" w:pos="794"/>
                <w:tab w:val="left" w:pos="1191"/>
              </w:tabs>
              <w:suppressAutoHyphens/>
              <w:snapToGrid w:val="0"/>
              <w:spacing w:before="20" w:after="20"/>
              <w:rPr>
                <w:rFonts w:eastAsia="細明體" w:cs="Segoe UI"/>
                <w:sz w:val="17"/>
                <w:lang w:eastAsia="ar-SA"/>
              </w:rPr>
            </w:pPr>
            <w:r w:rsidRPr="00272D6C">
              <w:rPr>
                <w:rFonts w:eastAsia="細明體" w:cs="Segoe UI" w:hint="eastAsia"/>
                <w:sz w:val="17"/>
                <w:lang w:eastAsia="ar-SA"/>
              </w:rPr>
              <w:t>其中違責部分</w:t>
            </w:r>
          </w:p>
        </w:tc>
        <w:tc>
          <w:tcPr>
            <w:tcW w:w="1417" w:type="dxa"/>
            <w:tcBorders>
              <w:top w:val="single" w:sz="4" w:space="0" w:color="C0C0C0"/>
              <w:left w:val="single" w:sz="4" w:space="0" w:color="000000"/>
              <w:bottom w:val="single" w:sz="4" w:space="0" w:color="000000"/>
            </w:tcBorders>
            <w:shd w:val="clear" w:color="auto" w:fill="auto"/>
          </w:tcPr>
          <w:p w14:paraId="052BC5C9"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276" w:type="dxa"/>
            <w:tcBorders>
              <w:top w:val="single" w:sz="4" w:space="0" w:color="C0C0C0"/>
              <w:left w:val="single" w:sz="4" w:space="0" w:color="000000"/>
              <w:bottom w:val="single" w:sz="4" w:space="0" w:color="000000"/>
            </w:tcBorders>
            <w:shd w:val="clear" w:color="auto" w:fill="auto"/>
          </w:tcPr>
          <w:p w14:paraId="7B4F58ED"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559" w:type="dxa"/>
            <w:tcBorders>
              <w:top w:val="single" w:sz="4" w:space="0" w:color="C0C0C0"/>
              <w:left w:val="single" w:sz="4" w:space="0" w:color="000000"/>
              <w:bottom w:val="single" w:sz="4" w:space="0" w:color="000000"/>
            </w:tcBorders>
            <w:shd w:val="clear" w:color="auto" w:fill="auto"/>
          </w:tcPr>
          <w:p w14:paraId="2E13830C"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17" w:type="dxa"/>
            <w:tcBorders>
              <w:top w:val="single" w:sz="4" w:space="0" w:color="C0C0C0"/>
              <w:left w:val="single" w:sz="4" w:space="0" w:color="000000"/>
              <w:bottom w:val="single" w:sz="4" w:space="0" w:color="000000"/>
            </w:tcBorders>
            <w:shd w:val="clear" w:color="auto" w:fill="auto"/>
          </w:tcPr>
          <w:p w14:paraId="3D971C15"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c>
          <w:tcPr>
            <w:tcW w:w="1438" w:type="dxa"/>
            <w:tcBorders>
              <w:top w:val="single" w:sz="4" w:space="0" w:color="C0C0C0"/>
              <w:left w:val="single" w:sz="4" w:space="0" w:color="000000"/>
              <w:bottom w:val="single" w:sz="4" w:space="0" w:color="000000"/>
              <w:right w:val="single" w:sz="4" w:space="0" w:color="000000"/>
            </w:tcBorders>
            <w:shd w:val="clear" w:color="auto" w:fill="auto"/>
          </w:tcPr>
          <w:p w14:paraId="691D185C" w14:textId="77777777" w:rsidR="00272D6C" w:rsidRPr="00272D6C" w:rsidRDefault="00272D6C" w:rsidP="00272D6C">
            <w:pPr>
              <w:tabs>
                <w:tab w:val="decimal" w:pos="31"/>
              </w:tabs>
              <w:suppressAutoHyphens/>
              <w:snapToGrid w:val="0"/>
              <w:spacing w:before="20" w:after="20"/>
              <w:jc w:val="center"/>
              <w:rPr>
                <w:rFonts w:eastAsia="細明體" w:cs="Segoe UI"/>
                <w:sz w:val="17"/>
                <w:lang w:eastAsia="ar-SA"/>
              </w:rPr>
            </w:pPr>
          </w:p>
        </w:tc>
      </w:tr>
    </w:tbl>
    <w:p w14:paraId="5537CBF9" w14:textId="77777777" w:rsidR="00272D6C" w:rsidRPr="00272D6C" w:rsidRDefault="00272D6C" w:rsidP="00272D6C">
      <w:pPr>
        <w:suppressAutoHyphens/>
        <w:spacing w:before="120" w:after="120"/>
        <w:ind w:left="-566"/>
        <w:rPr>
          <w:rFonts w:eastAsia="細明體" w:cs="Segoe UI"/>
          <w:sz w:val="22"/>
          <w:lang w:eastAsia="ar-SA"/>
        </w:rPr>
      </w:pPr>
    </w:p>
    <w:tbl>
      <w:tblPr>
        <w:tblW w:w="0" w:type="auto"/>
        <w:tblInd w:w="-469" w:type="dxa"/>
        <w:tblLayout w:type="fixed"/>
        <w:tblLook w:val="0000" w:firstRow="0" w:lastRow="0" w:firstColumn="0" w:lastColumn="0" w:noHBand="0" w:noVBand="0"/>
      </w:tblPr>
      <w:tblGrid>
        <w:gridCol w:w="567"/>
        <w:gridCol w:w="8667"/>
      </w:tblGrid>
      <w:tr w:rsidR="00272D6C" w:rsidRPr="00272D6C" w14:paraId="7E6B8C92" w14:textId="77777777" w:rsidTr="005171C5">
        <w:trPr>
          <w:tblHeader/>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898F13D"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szCs w:val="17"/>
                <w:lang w:eastAsia="ar-SA"/>
              </w:rPr>
              <w:t>註釋</w:t>
            </w:r>
          </w:p>
        </w:tc>
      </w:tr>
      <w:tr w:rsidR="00272D6C" w:rsidRPr="00272D6C" w14:paraId="3EAA5FA7" w14:textId="77777777" w:rsidTr="005171C5">
        <w:trPr>
          <w:trHeight w:val="15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EFCADF4"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szCs w:val="17"/>
                <w:lang w:eastAsia="ar-SA"/>
              </w:rPr>
              <w:t>欄</w:t>
            </w:r>
          </w:p>
        </w:tc>
      </w:tr>
      <w:tr w:rsidR="00272D6C" w:rsidRPr="00272D6C" w14:paraId="3CF5DB22" w14:textId="77777777" w:rsidTr="005171C5">
        <w:tc>
          <w:tcPr>
            <w:tcW w:w="567" w:type="dxa"/>
            <w:tcBorders>
              <w:top w:val="single" w:sz="4" w:space="0" w:color="000000"/>
              <w:left w:val="single" w:sz="4" w:space="0" w:color="000000"/>
              <w:bottom w:val="single" w:sz="4" w:space="0" w:color="000000"/>
            </w:tcBorders>
            <w:shd w:val="clear" w:color="auto" w:fill="auto"/>
          </w:tcPr>
          <w:p w14:paraId="292466CE" w14:textId="77777777" w:rsidR="00272D6C" w:rsidRPr="00272D6C" w:rsidRDefault="00272D6C" w:rsidP="00272D6C">
            <w:pPr>
              <w:keepLines/>
              <w:widowControl w:val="0"/>
              <w:suppressAutoHyphens/>
              <w:spacing w:before="40" w:after="40"/>
              <w:ind w:right="-108"/>
              <w:rPr>
                <w:rFonts w:eastAsia="細明體" w:cs="Segoe UI"/>
                <w:bCs/>
                <w:i/>
                <w:szCs w:val="17"/>
                <w:lang w:eastAsia="ar-SA"/>
              </w:rPr>
            </w:pPr>
            <w:r w:rsidRPr="00272D6C">
              <w:rPr>
                <w:rFonts w:eastAsia="細明體" w:cs="Segoe UI"/>
                <w:sz w:val="17"/>
                <w:szCs w:val="17"/>
                <w:lang w:eastAsia="ar-SA"/>
              </w:rPr>
              <w:t>(a)</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7488BE35" w14:textId="77777777"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bCs/>
                <w:i/>
                <w:sz w:val="17"/>
                <w:szCs w:val="17"/>
                <w:lang w:eastAsia="ar-SA"/>
              </w:rPr>
              <w:t>無保證風險承擔：帳面數額</w:t>
            </w:r>
            <w:r w:rsidRPr="00272D6C">
              <w:rPr>
                <w:rFonts w:eastAsia="細明體" w:cs="Segoe UI" w:hint="eastAsia"/>
                <w:bCs/>
                <w:sz w:val="17"/>
                <w:szCs w:val="17"/>
                <w:lang w:eastAsia="ar-SA"/>
              </w:rPr>
              <w:t>：並未受惠於任何認可減低信用風險措施的風險承擔的帳面數額（扣除備抵</w:t>
            </w:r>
            <w:r w:rsidRPr="00272D6C">
              <w:rPr>
                <w:rFonts w:eastAsia="細明體" w:cs="Segoe UI"/>
                <w:bCs/>
                <w:sz w:val="17"/>
                <w:szCs w:val="17"/>
                <w:lang w:eastAsia="ar-SA"/>
              </w:rPr>
              <w:t>/</w:t>
            </w:r>
            <w:r w:rsidRPr="00272D6C">
              <w:rPr>
                <w:rFonts w:eastAsia="細明體" w:cs="Segoe UI" w:hint="eastAsia"/>
                <w:bCs/>
                <w:sz w:val="17"/>
                <w:szCs w:val="17"/>
                <w:lang w:eastAsia="ar-SA"/>
              </w:rPr>
              <w:t>減值）</w:t>
            </w:r>
            <w:r w:rsidRPr="00272D6C">
              <w:rPr>
                <w:rFonts w:eastAsia="細明體" w:cs="Segoe UI" w:hint="eastAsia"/>
                <w:sz w:val="17"/>
                <w:szCs w:val="17"/>
                <w:lang w:eastAsia="ar-SA"/>
              </w:rPr>
              <w:t>。</w:t>
            </w:r>
          </w:p>
        </w:tc>
      </w:tr>
      <w:tr w:rsidR="00272D6C" w:rsidRPr="00272D6C" w14:paraId="31557622" w14:textId="77777777" w:rsidTr="005171C5">
        <w:tc>
          <w:tcPr>
            <w:tcW w:w="567" w:type="dxa"/>
            <w:tcBorders>
              <w:top w:val="single" w:sz="4" w:space="0" w:color="000000"/>
              <w:left w:val="single" w:sz="4" w:space="0" w:color="000000"/>
              <w:bottom w:val="single" w:sz="4" w:space="0" w:color="000000"/>
            </w:tcBorders>
            <w:shd w:val="clear" w:color="auto" w:fill="auto"/>
          </w:tcPr>
          <w:p w14:paraId="3EE48623" w14:textId="6D8F6CF3" w:rsidR="00272D6C" w:rsidRPr="00272D6C" w:rsidRDefault="00272D6C" w:rsidP="00272D6C">
            <w:pPr>
              <w:keepLines/>
              <w:widowControl w:val="0"/>
              <w:suppressAutoHyphens/>
              <w:spacing w:before="40" w:after="40"/>
              <w:ind w:right="-108"/>
              <w:rPr>
                <w:rFonts w:eastAsia="細明體" w:cs="Segoe UI"/>
                <w:bCs/>
                <w:i/>
                <w:szCs w:val="17"/>
                <w:lang w:eastAsia="ar-SA"/>
              </w:rPr>
            </w:pPr>
            <w:r w:rsidRPr="00272D6C">
              <w:rPr>
                <w:rFonts w:eastAsia="細明體" w:cs="Segoe UI"/>
                <w:sz w:val="17"/>
                <w:szCs w:val="17"/>
                <w:lang w:eastAsia="ar-SA"/>
              </w:rPr>
              <w:t>(b)</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5FFABDEF" w14:textId="49AE81E7"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bCs/>
                <w:i/>
                <w:sz w:val="17"/>
                <w:szCs w:val="17"/>
                <w:lang w:eastAsia="ar-SA"/>
              </w:rPr>
              <w:t>有保證風險承擔</w:t>
            </w:r>
            <w:r w:rsidRPr="00272D6C">
              <w:rPr>
                <w:rFonts w:eastAsia="細明體" w:cs="Segoe UI" w:hint="eastAsia"/>
                <w:bCs/>
                <w:sz w:val="17"/>
                <w:szCs w:val="17"/>
                <w:lang w:eastAsia="ar-SA"/>
              </w:rPr>
              <w:t>：至少有一項</w:t>
            </w:r>
            <w:r w:rsidRPr="00272D6C">
              <w:rPr>
                <w:rFonts w:eastAsia="細明體" w:cs="Segoe UI" w:hint="eastAsia"/>
                <w:bCs/>
                <w:sz w:val="17"/>
                <w:szCs w:val="17"/>
                <w:lang w:eastAsia="zh-TW"/>
              </w:rPr>
              <w:t>與</w:t>
            </w:r>
            <w:r w:rsidRPr="00272D6C">
              <w:rPr>
                <w:rFonts w:eastAsia="細明體" w:cs="Segoe UI" w:hint="eastAsia"/>
                <w:bCs/>
                <w:sz w:val="17"/>
                <w:szCs w:val="17"/>
                <w:lang w:eastAsia="ar-SA"/>
              </w:rPr>
              <w:t>認可減低信用風險措施（抵押品、財務擔保、信用衍生工具</w:t>
            </w:r>
            <w:r w:rsidRPr="00272D6C">
              <w:rPr>
                <w:rFonts w:eastAsia="細明體" w:cs="Segoe UI" w:hint="eastAsia"/>
                <w:sz w:val="17"/>
                <w:szCs w:val="17"/>
                <w:lang w:eastAsia="ar-SA"/>
              </w:rPr>
              <w:t>合</w:t>
            </w:r>
            <w:r w:rsidRPr="00272D6C">
              <w:rPr>
                <w:rFonts w:eastAsia="細明體" w:cs="Segoe UI" w:hint="eastAsia"/>
                <w:color w:val="000000"/>
                <w:sz w:val="17"/>
                <w:szCs w:val="17"/>
                <w:lang w:eastAsia="ar-SA"/>
              </w:rPr>
              <w:t>約</w:t>
            </w:r>
            <w:r w:rsidRPr="00272D6C">
              <w:rPr>
                <w:rFonts w:eastAsia="細明體" w:cs="Segoe UI" w:hint="eastAsia"/>
                <w:bCs/>
                <w:sz w:val="17"/>
                <w:szCs w:val="17"/>
                <w:lang w:eastAsia="ar-SA"/>
              </w:rPr>
              <w:t>）相關的風險承擔的帳面數額。</w:t>
            </w:r>
            <w:r w:rsidR="0033438A" w:rsidRPr="00CA7301">
              <w:rPr>
                <w:rFonts w:eastAsia="細明體" w:cs="Segoe UI"/>
                <w:sz w:val="17"/>
                <w:szCs w:val="17"/>
                <w:lang w:val="en-US" w:eastAsia="zh-TW"/>
              </w:rPr>
              <w:t>為免引起疑問，</w:t>
            </w:r>
            <w:r w:rsidR="0033438A" w:rsidRPr="0033438A">
              <w:rPr>
                <w:rFonts w:eastAsia="細明體" w:cs="Segoe UI" w:hint="eastAsia"/>
                <w:sz w:val="17"/>
                <w:szCs w:val="17"/>
                <w:lang w:val="en-US" w:eastAsia="zh-TW"/>
              </w:rPr>
              <w:t>此類風險承擔之</w:t>
            </w:r>
            <w:r w:rsidR="00E751FA">
              <w:rPr>
                <w:rFonts w:eastAsia="細明體" w:cs="Segoe UI" w:hint="eastAsia"/>
                <w:sz w:val="17"/>
                <w:szCs w:val="17"/>
                <w:lang w:val="en-US" w:eastAsia="ar-SA"/>
              </w:rPr>
              <w:t>有</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00E751FA">
              <w:rPr>
                <w:rFonts w:eastAsia="細明體" w:cs="Segoe UI" w:hint="eastAsia"/>
                <w:sz w:val="17"/>
                <w:szCs w:val="17"/>
                <w:lang w:val="en-US" w:eastAsia="ar-SA"/>
              </w:rPr>
              <w:t>及無</w:t>
            </w:r>
            <w:r w:rsidR="00E751FA">
              <w:rPr>
                <w:rFonts w:eastAsia="細明體" w:cs="Segoe UI" w:hint="eastAsia"/>
                <w:sz w:val="17"/>
                <w:szCs w:val="17"/>
                <w:lang w:eastAsia="zh-HK"/>
              </w:rPr>
              <w:t>保</w:t>
            </w:r>
            <w:r w:rsidR="00E751FA">
              <w:rPr>
                <w:rFonts w:eastAsia="細明體" w:cs="Segoe UI" w:hint="eastAsia"/>
                <w:sz w:val="17"/>
                <w:szCs w:val="17"/>
                <w:lang w:eastAsia="zh-TW"/>
              </w:rPr>
              <w:t>證</w:t>
            </w:r>
            <w:proofErr w:type="gramStart"/>
            <w:r w:rsidR="009256BE" w:rsidRPr="00272D6C">
              <w:rPr>
                <w:rFonts w:eastAsia="細明體" w:cs="Segoe UI" w:hint="eastAsia"/>
                <w:sz w:val="17"/>
                <w:szCs w:val="17"/>
                <w:lang w:val="en-US" w:eastAsia="ar-SA"/>
              </w:rPr>
              <w:t>部分</w:t>
            </w:r>
            <w:r w:rsidR="00CB57EC">
              <w:rPr>
                <w:rFonts w:eastAsia="細明體" w:cs="Segoe UI" w:hint="eastAsia"/>
                <w:sz w:val="17"/>
                <w:szCs w:val="17"/>
                <w:lang w:val="en-US" w:eastAsia="zh-TW"/>
              </w:rPr>
              <w:t>均應在</w:t>
            </w:r>
            <w:proofErr w:type="gramEnd"/>
            <w:r w:rsidR="00CB57EC">
              <w:rPr>
                <w:rFonts w:eastAsia="細明體" w:cs="Segoe UI" w:hint="eastAsia"/>
                <w:sz w:val="17"/>
                <w:szCs w:val="17"/>
                <w:lang w:val="en-US" w:eastAsia="zh-TW"/>
              </w:rPr>
              <w:t>本欄內</w:t>
            </w:r>
            <w:r w:rsidR="00CB57EC">
              <w:rPr>
                <w:rFonts w:eastAsia="細明體" w:cs="Segoe UI" w:hint="eastAsia"/>
                <w:sz w:val="17"/>
                <w:szCs w:val="17"/>
                <w:lang w:val="en-US" w:eastAsia="zh-HK"/>
              </w:rPr>
              <w:t>填</w:t>
            </w:r>
            <w:r w:rsidR="0033438A" w:rsidRPr="0033438A">
              <w:rPr>
                <w:rFonts w:eastAsia="細明體" w:cs="Segoe UI" w:hint="eastAsia"/>
                <w:sz w:val="17"/>
                <w:szCs w:val="17"/>
                <w:lang w:val="en-US" w:eastAsia="zh-TW"/>
              </w:rPr>
              <w:t>報</w:t>
            </w:r>
            <w:r w:rsidR="0033438A" w:rsidRPr="00272D6C">
              <w:rPr>
                <w:rFonts w:eastAsia="細明體" w:cs="Segoe UI" w:hint="eastAsia"/>
                <w:sz w:val="17"/>
                <w:szCs w:val="17"/>
                <w:lang w:eastAsia="ar-SA"/>
              </w:rPr>
              <w:t>。</w:t>
            </w:r>
            <w:r w:rsidRPr="00272D6C">
              <w:rPr>
                <w:rFonts w:eastAsia="細明體" w:cs="Segoe UI" w:hint="eastAsia"/>
                <w:bCs/>
                <w:sz w:val="17"/>
                <w:szCs w:val="17"/>
                <w:lang w:eastAsia="ar-SA"/>
              </w:rPr>
              <w:t>擁有多項保證的風險承擔的帳面數額分配至</w:t>
            </w:r>
            <w:r w:rsidRPr="00272D6C">
              <w:rPr>
                <w:rFonts w:eastAsia="細明體" w:cs="Segoe UI"/>
                <w:sz w:val="17"/>
                <w:szCs w:val="17"/>
                <w:lang w:eastAsia="ar-SA"/>
              </w:rPr>
              <w:t>(</w:t>
            </w:r>
            <w:r w:rsidR="0033438A">
              <w:rPr>
                <w:rFonts w:eastAsia="細明體" w:cs="Segoe UI"/>
                <w:sz w:val="17"/>
                <w:szCs w:val="17"/>
                <w:lang w:eastAsia="ar-SA"/>
              </w:rPr>
              <w:t>c</w:t>
            </w:r>
            <w:r w:rsidRPr="00272D6C">
              <w:rPr>
                <w:rFonts w:eastAsia="細明體" w:cs="Segoe UI"/>
                <w:sz w:val="17"/>
                <w:szCs w:val="17"/>
                <w:lang w:eastAsia="ar-SA"/>
              </w:rPr>
              <w:t>)</w:t>
            </w:r>
            <w:r w:rsidRPr="00272D6C">
              <w:rPr>
                <w:rFonts w:eastAsia="細明體" w:cs="Segoe UI" w:hint="eastAsia"/>
                <w:sz w:val="17"/>
                <w:szCs w:val="17"/>
                <w:lang w:eastAsia="ar-SA"/>
              </w:rPr>
              <w:t>、</w:t>
            </w:r>
            <w:r w:rsidRPr="00272D6C">
              <w:rPr>
                <w:rFonts w:eastAsia="細明體" w:cs="Segoe UI"/>
                <w:sz w:val="17"/>
                <w:szCs w:val="17"/>
                <w:lang w:eastAsia="ar-SA"/>
              </w:rPr>
              <w:t>(d)</w:t>
            </w:r>
            <w:r w:rsidRPr="00272D6C">
              <w:rPr>
                <w:rFonts w:eastAsia="細明體" w:cs="Segoe UI" w:hint="eastAsia"/>
                <w:sz w:val="17"/>
                <w:szCs w:val="17"/>
                <w:lang w:eastAsia="ar-SA"/>
              </w:rPr>
              <w:t>及</w:t>
            </w:r>
            <w:r w:rsidRPr="00272D6C">
              <w:rPr>
                <w:rFonts w:eastAsia="細明體" w:cs="Segoe UI"/>
                <w:sz w:val="17"/>
                <w:szCs w:val="17"/>
                <w:lang w:eastAsia="ar-SA"/>
              </w:rPr>
              <w:t>(</w:t>
            </w:r>
            <w:r w:rsidR="0033438A">
              <w:rPr>
                <w:rFonts w:eastAsia="細明體" w:cs="Segoe UI"/>
                <w:sz w:val="17"/>
                <w:szCs w:val="17"/>
                <w:lang w:eastAsia="ar-SA"/>
              </w:rPr>
              <w:t>e</w:t>
            </w:r>
            <w:r w:rsidRPr="00272D6C">
              <w:rPr>
                <w:rFonts w:eastAsia="細明體" w:cs="Segoe UI"/>
                <w:sz w:val="17"/>
                <w:szCs w:val="17"/>
                <w:lang w:eastAsia="ar-SA"/>
              </w:rPr>
              <w:t>)</w:t>
            </w:r>
            <w:r w:rsidRPr="00272D6C">
              <w:rPr>
                <w:rFonts w:eastAsia="細明體" w:cs="Segoe UI" w:hint="eastAsia"/>
                <w:bCs/>
                <w:sz w:val="17"/>
                <w:szCs w:val="17"/>
                <w:lang w:eastAsia="ar-SA"/>
              </w:rPr>
              <w:t>欄</w:t>
            </w:r>
            <w:r w:rsidRPr="00272D6C">
              <w:rPr>
                <w:rFonts w:eastAsia="細明體" w:cs="Segoe UI" w:hint="eastAsia"/>
                <w:sz w:val="17"/>
                <w:szCs w:val="17"/>
                <w:lang w:eastAsia="ar-SA"/>
              </w:rPr>
              <w:t>中</w:t>
            </w:r>
            <w:r w:rsidRPr="00272D6C">
              <w:rPr>
                <w:rFonts w:eastAsia="細明體" w:cs="Segoe UI"/>
                <w:bCs/>
                <w:sz w:val="17"/>
                <w:szCs w:val="17"/>
                <w:lang w:eastAsia="ar-SA"/>
              </w:rPr>
              <w:t>的方法</w:t>
            </w:r>
            <w:r w:rsidRPr="00272D6C">
              <w:rPr>
                <w:rFonts w:eastAsia="細明體" w:cs="Segoe UI" w:hint="eastAsia"/>
                <w:bCs/>
                <w:sz w:val="17"/>
                <w:szCs w:val="17"/>
                <w:lang w:eastAsia="ar-SA"/>
              </w:rPr>
              <w:t>，</w:t>
            </w:r>
            <w:r w:rsidRPr="00272D6C">
              <w:rPr>
                <w:rFonts w:eastAsia="細明體" w:cs="Segoe UI"/>
                <w:bCs/>
                <w:sz w:val="17"/>
                <w:szCs w:val="17"/>
                <w:lang w:eastAsia="ar-SA"/>
              </w:rPr>
              <w:t>是按照</w:t>
            </w:r>
            <w:r w:rsidRPr="00272D6C">
              <w:rPr>
                <w:rFonts w:eastAsia="細明體" w:cs="Segoe UI" w:hint="eastAsia"/>
                <w:sz w:val="17"/>
                <w:szCs w:val="17"/>
                <w:lang w:eastAsia="ar-SA"/>
              </w:rPr>
              <w:t>各項</w:t>
            </w:r>
            <w:r w:rsidRPr="00272D6C">
              <w:rPr>
                <w:rFonts w:eastAsia="細明體" w:cs="Segoe UI"/>
                <w:bCs/>
                <w:sz w:val="17"/>
                <w:szCs w:val="17"/>
                <w:lang w:eastAsia="ar-SA"/>
              </w:rPr>
              <w:t>認可減低信用風險措施</w:t>
            </w:r>
            <w:r w:rsidRPr="00272D6C">
              <w:rPr>
                <w:rFonts w:eastAsia="細明體" w:cs="Segoe UI" w:hint="eastAsia"/>
                <w:bCs/>
                <w:sz w:val="17"/>
                <w:szCs w:val="17"/>
                <w:lang w:eastAsia="ar-SA"/>
              </w:rPr>
              <w:t>的</w:t>
            </w:r>
            <w:r w:rsidRPr="00272D6C">
              <w:rPr>
                <w:rFonts w:eastAsia="細明體" w:cs="Segoe UI"/>
                <w:bCs/>
                <w:sz w:val="17"/>
                <w:szCs w:val="17"/>
                <w:lang w:eastAsia="ar-SA"/>
              </w:rPr>
              <w:t>優先次序作出，</w:t>
            </w:r>
            <w:r w:rsidRPr="00272D6C">
              <w:rPr>
                <w:rFonts w:eastAsia="細明體" w:cs="Segoe UI" w:hint="eastAsia"/>
                <w:bCs/>
                <w:sz w:val="17"/>
                <w:szCs w:val="17"/>
                <w:lang w:eastAsia="ar-SA"/>
              </w:rPr>
              <w:t>最先分配至</w:t>
            </w:r>
            <w:r w:rsidRPr="00272D6C">
              <w:rPr>
                <w:rFonts w:eastAsia="細明體" w:cs="Segoe UI"/>
                <w:bCs/>
                <w:sz w:val="17"/>
                <w:szCs w:val="17"/>
                <w:lang w:eastAsia="ar-SA"/>
              </w:rPr>
              <w:t>一旦出現虧損會</w:t>
            </w:r>
            <w:r w:rsidRPr="00272D6C">
              <w:rPr>
                <w:rFonts w:eastAsia="細明體" w:cs="Segoe UI" w:hint="eastAsia"/>
                <w:sz w:val="17"/>
                <w:lang w:eastAsia="ar-SA"/>
              </w:rPr>
              <w:t>首先被催繳</w:t>
            </w:r>
            <w:r w:rsidRPr="00272D6C">
              <w:rPr>
                <w:rFonts w:eastAsia="細明體" w:cs="Segoe UI"/>
                <w:bCs/>
                <w:sz w:val="17"/>
                <w:szCs w:val="17"/>
                <w:lang w:eastAsia="ar-SA"/>
              </w:rPr>
              <w:t>的認可減低信用風險措施，並以有關的有保證風險承擔帳面數額為</w:t>
            </w:r>
            <w:r w:rsidRPr="00272D6C">
              <w:rPr>
                <w:rFonts w:eastAsia="細明體" w:cs="Segoe UI" w:hint="eastAsia"/>
                <w:bCs/>
                <w:sz w:val="17"/>
                <w:szCs w:val="17"/>
                <w:lang w:eastAsia="ar-SA"/>
              </w:rPr>
              <w:t>上</w:t>
            </w:r>
            <w:r w:rsidRPr="00272D6C">
              <w:rPr>
                <w:rFonts w:eastAsia="細明體" w:cs="Segoe UI"/>
                <w:bCs/>
                <w:sz w:val="17"/>
                <w:szCs w:val="17"/>
                <w:lang w:eastAsia="ar-SA"/>
              </w:rPr>
              <w:t>限。</w:t>
            </w:r>
          </w:p>
        </w:tc>
      </w:tr>
      <w:tr w:rsidR="00272D6C" w:rsidRPr="00272D6C" w14:paraId="5072CB31" w14:textId="77777777" w:rsidTr="005171C5">
        <w:trPr>
          <w:trHeight w:val="373"/>
        </w:trPr>
        <w:tc>
          <w:tcPr>
            <w:tcW w:w="567" w:type="dxa"/>
            <w:tcBorders>
              <w:top w:val="single" w:sz="4" w:space="0" w:color="000000"/>
              <w:left w:val="single" w:sz="4" w:space="0" w:color="000000"/>
              <w:bottom w:val="single" w:sz="4" w:space="0" w:color="000000"/>
            </w:tcBorders>
            <w:shd w:val="clear" w:color="auto" w:fill="auto"/>
          </w:tcPr>
          <w:p w14:paraId="36A1B6F1" w14:textId="46BA51D6"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bCs/>
                <w:i/>
                <w:sz w:val="17"/>
                <w:szCs w:val="17"/>
                <w:lang w:eastAsia="ar-SA"/>
              </w:rPr>
            </w:pPr>
            <w:r w:rsidRPr="00272D6C">
              <w:rPr>
                <w:rFonts w:eastAsia="細明體" w:cs="Segoe UI"/>
                <w:sz w:val="17"/>
                <w:szCs w:val="17"/>
                <w:lang w:eastAsia="ar-SA"/>
              </w:rPr>
              <w:t>(</w:t>
            </w:r>
            <w:r w:rsidR="0033438A">
              <w:rPr>
                <w:rFonts w:eastAsia="細明體" w:cs="Segoe UI"/>
                <w:sz w:val="17"/>
                <w:szCs w:val="17"/>
                <w:lang w:eastAsia="ar-SA"/>
              </w:rPr>
              <w:t>c</w:t>
            </w:r>
            <w:r w:rsidRPr="00272D6C">
              <w:rPr>
                <w:rFonts w:eastAsia="細明體" w:cs="Segoe UI"/>
                <w:sz w:val="17"/>
                <w:szCs w:val="17"/>
                <w:lang w:eastAsia="ar-SA"/>
              </w:rPr>
              <w:t>)</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74F4050D" w14:textId="77777777" w:rsidR="00272D6C" w:rsidRPr="00272D6C" w:rsidRDefault="00272D6C" w:rsidP="00272D6C">
            <w:pPr>
              <w:suppressAutoHyphens/>
              <w:spacing w:before="40" w:after="40"/>
              <w:jc w:val="both"/>
              <w:rPr>
                <w:rFonts w:eastAsia="細明體" w:cs="Segoe UI"/>
                <w:bCs/>
                <w:sz w:val="17"/>
                <w:szCs w:val="17"/>
                <w:lang w:eastAsia="ar-SA"/>
              </w:rPr>
            </w:pPr>
            <w:r w:rsidRPr="00272D6C">
              <w:rPr>
                <w:rFonts w:eastAsia="細明體" w:cs="Segoe UI" w:hint="eastAsia"/>
                <w:bCs/>
                <w:i/>
                <w:sz w:val="17"/>
                <w:szCs w:val="17"/>
                <w:lang w:eastAsia="ar-SA"/>
              </w:rPr>
              <w:t>以認可抵押品作保證的風險承擔：</w:t>
            </w:r>
            <w:r w:rsidRPr="00272D6C">
              <w:rPr>
                <w:rFonts w:eastAsia="細明體" w:cs="Segoe UI" w:hint="eastAsia"/>
                <w:bCs/>
                <w:sz w:val="17"/>
                <w:szCs w:val="17"/>
                <w:lang w:eastAsia="ar-SA"/>
              </w:rPr>
              <w:t>以認可抵押品作保證的風險承擔帳面數額（扣除備抵</w:t>
            </w:r>
            <w:r w:rsidRPr="00272D6C">
              <w:rPr>
                <w:rFonts w:eastAsia="細明體" w:cs="Segoe UI"/>
                <w:bCs/>
                <w:sz w:val="17"/>
                <w:szCs w:val="17"/>
                <w:lang w:eastAsia="ar-SA"/>
              </w:rPr>
              <w:t>/</w:t>
            </w:r>
            <w:r w:rsidRPr="00272D6C">
              <w:rPr>
                <w:rFonts w:eastAsia="細明體" w:cs="Segoe UI" w:hint="eastAsia"/>
                <w:bCs/>
                <w:sz w:val="17"/>
                <w:szCs w:val="17"/>
                <w:lang w:eastAsia="ar-SA"/>
              </w:rPr>
              <w:t>減值）。如風險承擔以認可抵押品及其他形式的認可減低信用風險措施作保證，則以認可抵押品作保證的風險承擔帳面數額是：一旦發生虧損事件，在考慮風險承擔中由</w:t>
            </w:r>
            <w:r w:rsidRPr="00272D6C">
              <w:rPr>
                <w:rFonts w:eastAsia="細明體" w:cs="Segoe UI" w:hint="eastAsia"/>
                <w:sz w:val="17"/>
                <w:lang w:eastAsia="ar-SA"/>
              </w:rPr>
              <w:t>首先被催繳</w:t>
            </w:r>
            <w:r w:rsidRPr="00272D6C">
              <w:rPr>
                <w:rFonts w:eastAsia="細明體" w:cs="Segoe UI" w:hint="eastAsia"/>
                <w:bCs/>
                <w:sz w:val="17"/>
                <w:szCs w:val="17"/>
                <w:lang w:eastAsia="ar-SA"/>
              </w:rPr>
              <w:t>的其他形式認可減低信用風險措施所保證的相關份額後，該風險承擔的剩餘份額中被認可抵押品所保證的部分。但此數額不包括任何超額保證部份。</w:t>
            </w:r>
          </w:p>
        </w:tc>
      </w:tr>
      <w:tr w:rsidR="00272D6C" w:rsidRPr="00272D6C" w14:paraId="69BD9AE5" w14:textId="77777777" w:rsidTr="005171C5">
        <w:tc>
          <w:tcPr>
            <w:tcW w:w="567" w:type="dxa"/>
            <w:tcBorders>
              <w:top w:val="single" w:sz="4" w:space="0" w:color="000000"/>
              <w:left w:val="single" w:sz="4" w:space="0" w:color="000000"/>
              <w:bottom w:val="single" w:sz="4" w:space="0" w:color="000000"/>
            </w:tcBorders>
            <w:shd w:val="clear" w:color="auto" w:fill="auto"/>
          </w:tcPr>
          <w:p w14:paraId="5EEA0039"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bCs/>
                <w:i/>
                <w:sz w:val="17"/>
                <w:szCs w:val="17"/>
                <w:lang w:eastAsia="ar-SA"/>
              </w:rPr>
            </w:pPr>
            <w:r w:rsidRPr="00272D6C">
              <w:rPr>
                <w:rFonts w:eastAsia="細明體" w:cs="Segoe UI"/>
                <w:sz w:val="17"/>
                <w:szCs w:val="17"/>
                <w:lang w:eastAsia="ar-SA"/>
              </w:rPr>
              <w:t>(d)</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52177A59" w14:textId="77777777" w:rsidR="00272D6C" w:rsidRPr="00272D6C" w:rsidRDefault="00272D6C" w:rsidP="00272D6C">
            <w:pPr>
              <w:suppressAutoHyphens/>
              <w:spacing w:before="40" w:after="40"/>
              <w:jc w:val="both"/>
              <w:rPr>
                <w:rFonts w:cs="Segoe UI"/>
                <w:sz w:val="15"/>
                <w:lang w:eastAsia="ar-SA"/>
              </w:rPr>
            </w:pPr>
            <w:r w:rsidRPr="00272D6C">
              <w:rPr>
                <w:rFonts w:eastAsia="細明體" w:cs="Segoe UI" w:hint="eastAsia"/>
                <w:bCs/>
                <w:i/>
                <w:sz w:val="17"/>
                <w:szCs w:val="17"/>
                <w:lang w:eastAsia="ar-SA"/>
              </w:rPr>
              <w:t>以認可擔保作保證的風險承擔</w:t>
            </w:r>
            <w:r w:rsidRPr="00272D6C">
              <w:rPr>
                <w:rFonts w:eastAsia="細明體" w:cs="Segoe UI" w:hint="eastAsia"/>
                <w:bCs/>
                <w:sz w:val="17"/>
                <w:szCs w:val="17"/>
                <w:lang w:eastAsia="ar-SA"/>
              </w:rPr>
              <w:t>：以認可擔保作保證的風險承擔帳面數額（扣除備抵</w:t>
            </w:r>
            <w:r w:rsidRPr="00272D6C">
              <w:rPr>
                <w:rFonts w:eastAsia="細明體" w:cs="Segoe UI"/>
                <w:bCs/>
                <w:sz w:val="17"/>
                <w:szCs w:val="17"/>
                <w:lang w:eastAsia="ar-SA"/>
              </w:rPr>
              <w:t>/</w:t>
            </w:r>
            <w:r w:rsidRPr="00272D6C">
              <w:rPr>
                <w:rFonts w:eastAsia="細明體" w:cs="Segoe UI" w:hint="eastAsia"/>
                <w:bCs/>
                <w:sz w:val="17"/>
                <w:szCs w:val="17"/>
                <w:lang w:eastAsia="ar-SA"/>
              </w:rPr>
              <w:t>減值）。如風險承擔以認可擔保及其他形式的認可減低信用風險措施作保證，則以認可擔保作保證的風險承擔帳面數額是：一旦發生虧損事件，在考慮風險承擔中由</w:t>
            </w:r>
            <w:r w:rsidRPr="00272D6C">
              <w:rPr>
                <w:rFonts w:eastAsia="細明體" w:cs="Segoe UI" w:hint="eastAsia"/>
                <w:sz w:val="17"/>
                <w:lang w:eastAsia="ar-SA"/>
              </w:rPr>
              <w:t>首先被催繳</w:t>
            </w:r>
            <w:r w:rsidRPr="00272D6C">
              <w:rPr>
                <w:rFonts w:eastAsia="細明體" w:cs="Segoe UI" w:hint="eastAsia"/>
                <w:bCs/>
                <w:sz w:val="17"/>
                <w:szCs w:val="17"/>
                <w:lang w:eastAsia="ar-SA"/>
              </w:rPr>
              <w:t>的其他形式認可減低信用風險措施所保證的相關份額後，該風險承擔的剩餘份額中被認可擔保所保證的部分。但此數額不包括任何超額保證部份。</w:t>
            </w:r>
          </w:p>
        </w:tc>
      </w:tr>
      <w:tr w:rsidR="00272D6C" w:rsidRPr="00272D6C" w14:paraId="0F368960" w14:textId="77777777" w:rsidTr="005171C5">
        <w:tc>
          <w:tcPr>
            <w:tcW w:w="567" w:type="dxa"/>
            <w:tcBorders>
              <w:top w:val="single" w:sz="4" w:space="0" w:color="000000"/>
              <w:left w:val="single" w:sz="4" w:space="0" w:color="000000"/>
              <w:bottom w:val="single" w:sz="4" w:space="0" w:color="000000"/>
            </w:tcBorders>
            <w:shd w:val="clear" w:color="auto" w:fill="auto"/>
          </w:tcPr>
          <w:p w14:paraId="29EC38FB" w14:textId="74E24D30"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bCs/>
                <w:i/>
                <w:sz w:val="17"/>
                <w:szCs w:val="17"/>
                <w:lang w:eastAsia="ar-SA"/>
              </w:rPr>
            </w:pPr>
            <w:r w:rsidRPr="00272D6C">
              <w:rPr>
                <w:rFonts w:eastAsia="細明體" w:cs="Segoe UI"/>
                <w:sz w:val="17"/>
                <w:szCs w:val="17"/>
                <w:lang w:eastAsia="ar-SA"/>
              </w:rPr>
              <w:t>(</w:t>
            </w:r>
            <w:r w:rsidR="0033438A">
              <w:rPr>
                <w:rFonts w:eastAsia="細明體" w:cs="Segoe UI"/>
                <w:sz w:val="17"/>
                <w:szCs w:val="17"/>
                <w:lang w:eastAsia="ar-SA"/>
              </w:rPr>
              <w:t>e</w:t>
            </w:r>
            <w:r w:rsidRPr="00272D6C">
              <w:rPr>
                <w:rFonts w:eastAsia="細明體" w:cs="Segoe UI"/>
                <w:sz w:val="17"/>
                <w:szCs w:val="17"/>
                <w:lang w:eastAsia="ar-SA"/>
              </w:rPr>
              <w:t>)</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6652BD56" w14:textId="77777777" w:rsidR="00272D6C" w:rsidRPr="00272D6C" w:rsidRDefault="00272D6C" w:rsidP="00272D6C">
            <w:pPr>
              <w:suppressAutoHyphens/>
              <w:spacing w:before="40" w:after="40"/>
              <w:jc w:val="both"/>
              <w:rPr>
                <w:rFonts w:cs="Segoe UI"/>
                <w:sz w:val="15"/>
                <w:lang w:eastAsia="ar-SA"/>
              </w:rPr>
            </w:pPr>
            <w:r w:rsidRPr="00272D6C">
              <w:rPr>
                <w:rFonts w:eastAsia="細明體" w:cs="Segoe UI" w:hint="eastAsia"/>
                <w:bCs/>
                <w:i/>
                <w:sz w:val="17"/>
                <w:szCs w:val="17"/>
                <w:lang w:eastAsia="ar-SA"/>
              </w:rPr>
              <w:t>以認可信用衍生工具合約作保證的風險承擔</w:t>
            </w:r>
            <w:r w:rsidRPr="00272D6C">
              <w:rPr>
                <w:rFonts w:eastAsia="細明體" w:cs="Segoe UI" w:hint="eastAsia"/>
                <w:sz w:val="17"/>
                <w:szCs w:val="17"/>
                <w:lang w:eastAsia="ar-SA"/>
              </w:rPr>
              <w:t>：</w:t>
            </w:r>
            <w:r w:rsidRPr="00272D6C">
              <w:rPr>
                <w:rFonts w:eastAsia="細明體" w:cs="Segoe UI"/>
                <w:bCs/>
                <w:sz w:val="17"/>
                <w:szCs w:val="17"/>
                <w:lang w:eastAsia="ar-SA"/>
              </w:rPr>
              <w:t>以認可信用衍生工具合約</w:t>
            </w:r>
            <w:r w:rsidRPr="00272D6C">
              <w:rPr>
                <w:rFonts w:eastAsia="細明體" w:cs="Segoe UI" w:hint="eastAsia"/>
                <w:bCs/>
                <w:sz w:val="17"/>
                <w:szCs w:val="17"/>
                <w:lang w:eastAsia="ar-SA"/>
              </w:rPr>
              <w:t>作</w:t>
            </w:r>
            <w:r w:rsidRPr="00272D6C">
              <w:rPr>
                <w:rFonts w:eastAsia="細明體" w:cs="Segoe UI"/>
                <w:bCs/>
                <w:sz w:val="17"/>
                <w:szCs w:val="17"/>
                <w:lang w:eastAsia="ar-SA"/>
              </w:rPr>
              <w:t>保證的風險承擔帳面</w:t>
            </w:r>
            <w:r w:rsidRPr="00272D6C">
              <w:rPr>
                <w:rFonts w:eastAsia="細明體" w:cs="Segoe UI" w:hint="eastAsia"/>
                <w:bCs/>
                <w:sz w:val="17"/>
                <w:szCs w:val="17"/>
                <w:lang w:eastAsia="ar-SA"/>
              </w:rPr>
              <w:t>數額（</w:t>
            </w:r>
            <w:r w:rsidRPr="00272D6C">
              <w:rPr>
                <w:rFonts w:eastAsia="細明體" w:cs="Segoe UI"/>
                <w:bCs/>
                <w:sz w:val="17"/>
                <w:szCs w:val="17"/>
                <w:lang w:eastAsia="ar-SA"/>
              </w:rPr>
              <w:t>扣除備抵</w:t>
            </w:r>
            <w:r w:rsidRPr="00272D6C">
              <w:rPr>
                <w:rFonts w:eastAsia="細明體" w:cs="Segoe UI"/>
                <w:bCs/>
                <w:sz w:val="17"/>
                <w:szCs w:val="17"/>
                <w:lang w:eastAsia="ar-SA"/>
              </w:rPr>
              <w:t>/</w:t>
            </w:r>
            <w:r w:rsidRPr="00272D6C">
              <w:rPr>
                <w:rFonts w:eastAsia="細明體" w:cs="Segoe UI" w:hint="eastAsia"/>
                <w:bCs/>
                <w:sz w:val="17"/>
                <w:szCs w:val="17"/>
                <w:lang w:eastAsia="ar-SA"/>
              </w:rPr>
              <w:t>減值）。如風險承擔以認可信用衍生工具合約及其他形式的認可減低信用風險措施作保證，則以認可信用衍生工具合約作保證的風險承擔帳面數額是：一旦發生虧損事件，在考慮風險承擔中由</w:t>
            </w:r>
            <w:r w:rsidRPr="00272D6C">
              <w:rPr>
                <w:rFonts w:eastAsia="細明體" w:cs="Segoe UI" w:hint="eastAsia"/>
                <w:sz w:val="17"/>
                <w:lang w:eastAsia="ar-SA"/>
              </w:rPr>
              <w:t>首先被催繳</w:t>
            </w:r>
            <w:r w:rsidRPr="00272D6C">
              <w:rPr>
                <w:rFonts w:eastAsia="細明體" w:cs="Segoe UI" w:hint="eastAsia"/>
                <w:bCs/>
                <w:sz w:val="17"/>
                <w:szCs w:val="17"/>
                <w:lang w:eastAsia="ar-SA"/>
              </w:rPr>
              <w:t>的其他形式認可減低信用風險措施所保證的相關份額後，該風險承擔的剩餘份額中被認可信用衍生工具合約所保證的部分。但此數額不包括任何超額保證部份。</w:t>
            </w:r>
          </w:p>
        </w:tc>
      </w:tr>
      <w:tr w:rsidR="0033438A" w:rsidRPr="00272D6C" w14:paraId="021573C0" w14:textId="77777777" w:rsidTr="005171C5">
        <w:tc>
          <w:tcPr>
            <w:tcW w:w="567" w:type="dxa"/>
            <w:tcBorders>
              <w:top w:val="single" w:sz="4" w:space="0" w:color="000000"/>
              <w:left w:val="single" w:sz="4" w:space="0" w:color="000000"/>
              <w:bottom w:val="single" w:sz="4" w:space="0" w:color="000000"/>
            </w:tcBorders>
            <w:shd w:val="clear" w:color="auto" w:fill="auto"/>
          </w:tcPr>
          <w:p w14:paraId="6F373A0D" w14:textId="595C9D78" w:rsidR="0033438A" w:rsidRPr="00034CB4" w:rsidRDefault="0033438A" w:rsidP="0033438A">
            <w:pPr>
              <w:keepLines/>
              <w:widowControl w:val="0"/>
              <w:tabs>
                <w:tab w:val="left" w:pos="150"/>
                <w:tab w:val="left" w:pos="397"/>
                <w:tab w:val="left" w:pos="794"/>
                <w:tab w:val="left" w:pos="1191"/>
              </w:tabs>
              <w:suppressAutoHyphens/>
              <w:spacing w:before="40" w:after="40"/>
              <w:rPr>
                <w:rFonts w:eastAsia="細明體" w:cs="Segoe UI"/>
                <w:sz w:val="17"/>
                <w:szCs w:val="17"/>
                <w:lang w:eastAsia="ar-SA"/>
              </w:rPr>
            </w:pPr>
            <w:r w:rsidRPr="0033438A">
              <w:rPr>
                <w:rFonts w:eastAsia="細明體" w:cs="Segoe UI"/>
                <w:sz w:val="17"/>
                <w:szCs w:val="17"/>
                <w:lang w:eastAsia="ar-SA"/>
              </w:rPr>
              <w:t>(a</w:t>
            </w:r>
            <w:r>
              <w:rPr>
                <w:rFonts w:eastAsia="細明體" w:cs="Segoe UI"/>
                <w:sz w:val="17"/>
                <w:szCs w:val="17"/>
                <w:lang w:eastAsia="ar-SA"/>
              </w:rPr>
              <w:t>)</w:t>
            </w:r>
            <w:r w:rsidRPr="00034CB4">
              <w:rPr>
                <w:rFonts w:eastAsia="細明體" w:cs="Segoe UI"/>
                <w:sz w:val="17"/>
                <w:szCs w:val="17"/>
                <w:lang w:eastAsia="ar-SA"/>
              </w:rPr>
              <w:t>–</w:t>
            </w:r>
            <w:r>
              <w:rPr>
                <w:rFonts w:eastAsia="細明體" w:cs="Segoe UI"/>
                <w:sz w:val="17"/>
                <w:szCs w:val="17"/>
                <w:lang w:eastAsia="ar-SA"/>
              </w:rPr>
              <w:t>(e)</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4943E9E0" w14:textId="77777777" w:rsidR="0033438A" w:rsidRDefault="00FC48B0" w:rsidP="00272D6C">
            <w:pPr>
              <w:suppressAutoHyphens/>
              <w:spacing w:before="40" w:after="40"/>
              <w:jc w:val="both"/>
              <w:rPr>
                <w:rFonts w:eastAsia="細明體" w:cs="Segoe UI"/>
                <w:bCs/>
                <w:sz w:val="17"/>
                <w:szCs w:val="17"/>
                <w:lang w:eastAsia="ar-SA"/>
              </w:rPr>
            </w:pPr>
            <w:r>
              <w:rPr>
                <w:rFonts w:eastAsia="細明體" w:cs="Segoe UI" w:hint="eastAsia"/>
                <w:bCs/>
                <w:sz w:val="17"/>
                <w:szCs w:val="17"/>
                <w:lang w:eastAsia="zh-HK"/>
              </w:rPr>
              <w:t>以下</w:t>
            </w:r>
            <w:r w:rsidRPr="00FC48B0">
              <w:rPr>
                <w:rFonts w:eastAsia="細明體" w:cs="Segoe UI" w:hint="eastAsia"/>
                <w:bCs/>
                <w:sz w:val="17"/>
                <w:szCs w:val="17"/>
                <w:lang w:eastAsia="ar-SA"/>
              </w:rPr>
              <w:t>範例說明如何填寫</w:t>
            </w:r>
            <w:r w:rsidRPr="00FC48B0">
              <w:rPr>
                <w:rFonts w:eastAsia="細明體" w:cs="Segoe UI"/>
                <w:bCs/>
                <w:sz w:val="17"/>
                <w:szCs w:val="17"/>
                <w:lang w:eastAsia="ar-SA"/>
              </w:rPr>
              <w:t xml:space="preserve"> (a) </w:t>
            </w:r>
            <w:r w:rsidRPr="00FC48B0">
              <w:rPr>
                <w:rFonts w:eastAsia="細明體" w:cs="Segoe UI" w:hint="eastAsia"/>
                <w:bCs/>
                <w:sz w:val="17"/>
                <w:szCs w:val="17"/>
                <w:lang w:eastAsia="ar-SA"/>
              </w:rPr>
              <w:t>至</w:t>
            </w:r>
            <w:r w:rsidRPr="00FC48B0">
              <w:rPr>
                <w:rFonts w:eastAsia="細明體" w:cs="Segoe UI"/>
                <w:bCs/>
                <w:sz w:val="17"/>
                <w:szCs w:val="17"/>
                <w:lang w:eastAsia="ar-SA"/>
              </w:rPr>
              <w:t xml:space="preserve"> (e) </w:t>
            </w:r>
            <w:r w:rsidRPr="00FC48B0">
              <w:rPr>
                <w:rFonts w:eastAsia="細明體" w:cs="Segoe UI" w:hint="eastAsia"/>
                <w:bCs/>
                <w:sz w:val="17"/>
                <w:szCs w:val="17"/>
                <w:lang w:eastAsia="ar-SA"/>
              </w:rPr>
              <w:t>欄</w:t>
            </w:r>
            <w:r w:rsidRPr="00FC48B0">
              <w:rPr>
                <w:rFonts w:eastAsia="細明體" w:cs="Segoe UI"/>
                <w:bCs/>
                <w:sz w:val="17"/>
                <w:szCs w:val="17"/>
                <w:lang w:eastAsia="ar-SA"/>
              </w:rPr>
              <w:t>:</w:t>
            </w:r>
          </w:p>
          <w:p w14:paraId="4EAC9E7C" w14:textId="77777777" w:rsidR="00FC48B0" w:rsidRDefault="00FC48B0" w:rsidP="00272D6C">
            <w:pPr>
              <w:suppressAutoHyphens/>
              <w:spacing w:before="40" w:after="40"/>
              <w:jc w:val="both"/>
              <w:rPr>
                <w:rFonts w:eastAsia="細明體" w:cs="Segoe UI"/>
                <w:bCs/>
                <w:sz w:val="17"/>
                <w:szCs w:val="17"/>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2707"/>
              <w:gridCol w:w="1030"/>
              <w:gridCol w:w="1002"/>
              <w:gridCol w:w="1046"/>
              <w:gridCol w:w="1049"/>
              <w:gridCol w:w="1046"/>
            </w:tblGrid>
            <w:tr w:rsidR="00FC48B0" w:rsidRPr="00EF0504" w14:paraId="50D4B1ED" w14:textId="77777777" w:rsidTr="00FC48B0">
              <w:trPr>
                <w:cantSplit/>
                <w:trHeight w:val="522"/>
                <w:tblHeader/>
              </w:trPr>
              <w:tc>
                <w:tcPr>
                  <w:tcW w:w="443" w:type="dxa"/>
                  <w:shd w:val="clear" w:color="auto" w:fill="auto"/>
                </w:tcPr>
                <w:p w14:paraId="3DD5444D" w14:textId="77777777" w:rsidR="00FC48B0" w:rsidRPr="00EF0504" w:rsidRDefault="00FC48B0" w:rsidP="00FC48B0">
                  <w:pPr>
                    <w:pStyle w:val="TableNote"/>
                    <w:spacing w:before="40" w:after="40"/>
                    <w:rPr>
                      <w:kern w:val="2"/>
                      <w:sz w:val="17"/>
                      <w:szCs w:val="17"/>
                    </w:rPr>
                  </w:pPr>
                </w:p>
              </w:tc>
              <w:tc>
                <w:tcPr>
                  <w:tcW w:w="2707" w:type="dxa"/>
                  <w:shd w:val="clear" w:color="auto" w:fill="auto"/>
                </w:tcPr>
                <w:p w14:paraId="39AA132B" w14:textId="77777777" w:rsidR="00FC48B0" w:rsidRPr="00EF0504" w:rsidRDefault="00FC48B0" w:rsidP="00FC48B0">
                  <w:pPr>
                    <w:pStyle w:val="TableNote"/>
                    <w:spacing w:before="40" w:after="40"/>
                    <w:jc w:val="center"/>
                    <w:rPr>
                      <w:kern w:val="2"/>
                      <w:sz w:val="17"/>
                      <w:szCs w:val="17"/>
                    </w:rPr>
                  </w:pPr>
                </w:p>
              </w:tc>
              <w:tc>
                <w:tcPr>
                  <w:tcW w:w="1030" w:type="dxa"/>
                  <w:shd w:val="clear" w:color="auto" w:fill="auto"/>
                </w:tcPr>
                <w:p w14:paraId="4CAE2041" w14:textId="77777777" w:rsidR="00FC48B0" w:rsidRPr="004D1BA5" w:rsidRDefault="00FC48B0" w:rsidP="00FC48B0">
                  <w:pPr>
                    <w:pStyle w:val="TableNote"/>
                    <w:spacing w:before="40" w:after="40"/>
                    <w:jc w:val="center"/>
                    <w:rPr>
                      <w:rFonts w:cs="Segoe UI"/>
                      <w:bCs/>
                      <w:kern w:val="2"/>
                      <w:sz w:val="17"/>
                      <w:szCs w:val="17"/>
                      <w:lang w:eastAsia="it-IT"/>
                    </w:rPr>
                  </w:pPr>
                  <w:r>
                    <w:rPr>
                      <w:rFonts w:cs="Segoe UI"/>
                      <w:bCs/>
                      <w:kern w:val="2"/>
                      <w:sz w:val="17"/>
                      <w:szCs w:val="17"/>
                      <w:lang w:eastAsia="it-IT"/>
                    </w:rPr>
                    <w:t>(a)</w:t>
                  </w:r>
                </w:p>
              </w:tc>
              <w:tc>
                <w:tcPr>
                  <w:tcW w:w="1002" w:type="dxa"/>
                  <w:shd w:val="clear" w:color="auto" w:fill="auto"/>
                </w:tcPr>
                <w:p w14:paraId="4F1829F7" w14:textId="77777777" w:rsidR="00FC48B0" w:rsidRPr="004D1BA5" w:rsidRDefault="00FC48B0" w:rsidP="00FC48B0">
                  <w:pPr>
                    <w:pStyle w:val="TableNote"/>
                    <w:spacing w:before="40" w:after="40"/>
                    <w:jc w:val="center"/>
                    <w:rPr>
                      <w:rFonts w:cs="Segoe UI"/>
                      <w:bCs/>
                      <w:kern w:val="2"/>
                      <w:sz w:val="17"/>
                      <w:szCs w:val="17"/>
                      <w:lang w:eastAsia="it-IT"/>
                    </w:rPr>
                  </w:pPr>
                  <w:r>
                    <w:rPr>
                      <w:rFonts w:cs="Segoe UI"/>
                      <w:bCs/>
                      <w:kern w:val="2"/>
                      <w:sz w:val="17"/>
                      <w:szCs w:val="17"/>
                      <w:lang w:eastAsia="it-IT"/>
                    </w:rPr>
                    <w:t>(b)</w:t>
                  </w:r>
                </w:p>
              </w:tc>
              <w:tc>
                <w:tcPr>
                  <w:tcW w:w="1046" w:type="dxa"/>
                  <w:shd w:val="clear" w:color="auto" w:fill="auto"/>
                </w:tcPr>
                <w:p w14:paraId="6D0EC617" w14:textId="77777777" w:rsidR="00FC48B0" w:rsidRPr="004D1BA5" w:rsidRDefault="00FC48B0" w:rsidP="00FC48B0">
                  <w:pPr>
                    <w:pStyle w:val="TableNote"/>
                    <w:spacing w:before="40" w:after="40"/>
                    <w:jc w:val="center"/>
                    <w:rPr>
                      <w:rFonts w:cs="Segoe UI"/>
                      <w:bCs/>
                      <w:kern w:val="2"/>
                      <w:sz w:val="17"/>
                      <w:szCs w:val="17"/>
                      <w:lang w:eastAsia="it-IT"/>
                    </w:rPr>
                  </w:pPr>
                  <w:r>
                    <w:rPr>
                      <w:rFonts w:cs="Segoe UI"/>
                      <w:bCs/>
                      <w:kern w:val="2"/>
                      <w:sz w:val="17"/>
                      <w:szCs w:val="17"/>
                      <w:lang w:eastAsia="it-IT"/>
                    </w:rPr>
                    <w:t>(c)</w:t>
                  </w:r>
                </w:p>
              </w:tc>
              <w:tc>
                <w:tcPr>
                  <w:tcW w:w="1049" w:type="dxa"/>
                  <w:shd w:val="clear" w:color="auto" w:fill="auto"/>
                </w:tcPr>
                <w:p w14:paraId="6AD246A1" w14:textId="77777777" w:rsidR="00FC48B0" w:rsidRPr="004D1BA5" w:rsidRDefault="00FC48B0" w:rsidP="00FC48B0">
                  <w:pPr>
                    <w:pStyle w:val="TableNote"/>
                    <w:spacing w:before="40" w:after="40"/>
                    <w:jc w:val="center"/>
                    <w:rPr>
                      <w:rFonts w:cs="Segoe UI"/>
                      <w:bCs/>
                      <w:kern w:val="2"/>
                      <w:sz w:val="17"/>
                      <w:szCs w:val="17"/>
                      <w:lang w:eastAsia="it-IT"/>
                    </w:rPr>
                  </w:pPr>
                  <w:r>
                    <w:rPr>
                      <w:rFonts w:cs="Segoe UI"/>
                      <w:bCs/>
                      <w:kern w:val="2"/>
                      <w:sz w:val="17"/>
                      <w:szCs w:val="17"/>
                      <w:lang w:eastAsia="it-IT"/>
                    </w:rPr>
                    <w:t>(d)</w:t>
                  </w:r>
                </w:p>
              </w:tc>
              <w:tc>
                <w:tcPr>
                  <w:tcW w:w="1046" w:type="dxa"/>
                  <w:shd w:val="clear" w:color="auto" w:fill="auto"/>
                </w:tcPr>
                <w:p w14:paraId="1FEC8C72" w14:textId="77777777" w:rsidR="00FC48B0" w:rsidRPr="004D1BA5" w:rsidRDefault="00FC48B0" w:rsidP="00FC48B0">
                  <w:pPr>
                    <w:pStyle w:val="TableNote"/>
                    <w:spacing w:before="40" w:after="40"/>
                    <w:jc w:val="center"/>
                    <w:rPr>
                      <w:rFonts w:cs="Segoe UI"/>
                      <w:bCs/>
                      <w:kern w:val="2"/>
                      <w:sz w:val="17"/>
                      <w:szCs w:val="17"/>
                      <w:lang w:eastAsia="it-IT"/>
                    </w:rPr>
                  </w:pPr>
                  <w:r>
                    <w:rPr>
                      <w:rFonts w:cs="Segoe UI"/>
                      <w:bCs/>
                      <w:kern w:val="2"/>
                      <w:sz w:val="17"/>
                      <w:szCs w:val="17"/>
                      <w:lang w:eastAsia="it-IT"/>
                    </w:rPr>
                    <w:t>(e)</w:t>
                  </w:r>
                </w:p>
              </w:tc>
            </w:tr>
            <w:tr w:rsidR="00FC48B0" w:rsidRPr="00EF0504" w14:paraId="2D4F08A3" w14:textId="77777777" w:rsidTr="00034CB4">
              <w:trPr>
                <w:cantSplit/>
                <w:tblHeader/>
              </w:trPr>
              <w:tc>
                <w:tcPr>
                  <w:tcW w:w="443" w:type="dxa"/>
                  <w:shd w:val="clear" w:color="auto" w:fill="auto"/>
                </w:tcPr>
                <w:p w14:paraId="0ABABA00" w14:textId="77777777" w:rsidR="00FC48B0" w:rsidRPr="00EF0504" w:rsidRDefault="00FC48B0" w:rsidP="00FC48B0">
                  <w:pPr>
                    <w:pStyle w:val="TableNote"/>
                    <w:spacing w:before="40" w:after="40"/>
                    <w:rPr>
                      <w:kern w:val="2"/>
                      <w:sz w:val="17"/>
                      <w:szCs w:val="17"/>
                    </w:rPr>
                  </w:pPr>
                </w:p>
              </w:tc>
              <w:tc>
                <w:tcPr>
                  <w:tcW w:w="2707" w:type="dxa"/>
                  <w:shd w:val="clear" w:color="auto" w:fill="auto"/>
                </w:tcPr>
                <w:p w14:paraId="387E50DE" w14:textId="77777777" w:rsidR="00FC48B0" w:rsidRPr="00EF0504" w:rsidRDefault="00FC48B0" w:rsidP="00FC48B0">
                  <w:pPr>
                    <w:pStyle w:val="TableNote"/>
                    <w:spacing w:before="40" w:after="40"/>
                    <w:jc w:val="center"/>
                    <w:rPr>
                      <w:kern w:val="2"/>
                      <w:sz w:val="17"/>
                      <w:szCs w:val="17"/>
                    </w:rPr>
                  </w:pPr>
                </w:p>
              </w:tc>
              <w:tc>
                <w:tcPr>
                  <w:tcW w:w="1030" w:type="dxa"/>
                  <w:shd w:val="clear" w:color="auto" w:fill="auto"/>
                </w:tcPr>
                <w:p w14:paraId="60F11755" w14:textId="04CCE97E" w:rsidR="00FC48B0" w:rsidRDefault="00FC48B0" w:rsidP="00FC48B0">
                  <w:pPr>
                    <w:pStyle w:val="TableNote"/>
                    <w:spacing w:before="40" w:after="40"/>
                    <w:jc w:val="center"/>
                    <w:rPr>
                      <w:rFonts w:cs="Segoe UI"/>
                      <w:bCs/>
                      <w:kern w:val="2"/>
                      <w:sz w:val="17"/>
                      <w:szCs w:val="17"/>
                      <w:lang w:eastAsia="it-IT"/>
                    </w:rPr>
                  </w:pPr>
                  <w:r w:rsidRPr="00272D6C">
                    <w:rPr>
                      <w:rFonts w:eastAsia="細明體" w:cs="Segoe UI" w:hint="eastAsia"/>
                      <w:bCs/>
                      <w:sz w:val="17"/>
                      <w:szCs w:val="17"/>
                      <w:lang w:eastAsia="ar-SA"/>
                    </w:rPr>
                    <w:t>無保證風險承擔：帳面數額</w:t>
                  </w:r>
                </w:p>
              </w:tc>
              <w:tc>
                <w:tcPr>
                  <w:tcW w:w="1002" w:type="dxa"/>
                  <w:shd w:val="clear" w:color="auto" w:fill="auto"/>
                </w:tcPr>
                <w:p w14:paraId="1C190B0C" w14:textId="411551C9" w:rsidR="00FC48B0" w:rsidRDefault="00FC48B0" w:rsidP="00FC48B0">
                  <w:pPr>
                    <w:pStyle w:val="TableNote"/>
                    <w:spacing w:before="40" w:after="40"/>
                    <w:jc w:val="center"/>
                    <w:rPr>
                      <w:rFonts w:cs="Segoe UI"/>
                      <w:bCs/>
                      <w:kern w:val="2"/>
                      <w:sz w:val="17"/>
                      <w:szCs w:val="17"/>
                      <w:lang w:eastAsia="it-IT"/>
                    </w:rPr>
                  </w:pPr>
                  <w:r w:rsidRPr="00272D6C">
                    <w:rPr>
                      <w:rFonts w:eastAsia="細明體" w:cs="Segoe UI" w:hint="eastAsia"/>
                      <w:bCs/>
                      <w:sz w:val="17"/>
                      <w:szCs w:val="17"/>
                      <w:lang w:eastAsia="ar-SA"/>
                    </w:rPr>
                    <w:t>有保證風險承擔</w:t>
                  </w:r>
                </w:p>
              </w:tc>
              <w:tc>
                <w:tcPr>
                  <w:tcW w:w="1046" w:type="dxa"/>
                  <w:shd w:val="clear" w:color="auto" w:fill="auto"/>
                </w:tcPr>
                <w:p w14:paraId="07C985CF" w14:textId="69EF57C5" w:rsidR="00FC48B0" w:rsidRDefault="00FC48B0" w:rsidP="00FC48B0">
                  <w:pPr>
                    <w:pStyle w:val="TableNote"/>
                    <w:spacing w:before="40" w:after="40"/>
                    <w:jc w:val="center"/>
                    <w:rPr>
                      <w:rFonts w:cs="Segoe UI"/>
                      <w:bCs/>
                      <w:kern w:val="2"/>
                      <w:sz w:val="17"/>
                      <w:szCs w:val="17"/>
                      <w:lang w:eastAsia="it-IT"/>
                    </w:rPr>
                  </w:pPr>
                  <w:r w:rsidRPr="00272D6C">
                    <w:rPr>
                      <w:rFonts w:eastAsia="細明體" w:cs="Segoe UI" w:hint="eastAsia"/>
                      <w:bCs/>
                      <w:sz w:val="17"/>
                      <w:szCs w:val="17"/>
                      <w:lang w:eastAsia="ar-SA"/>
                    </w:rPr>
                    <w:t>以認可抵押品</w:t>
                  </w:r>
                  <w:r w:rsidRPr="00272D6C">
                    <w:rPr>
                      <w:rFonts w:ascii="細明體" w:eastAsia="細明體" w:hAnsi="細明體" w:cs="Segoe UI" w:hint="eastAsia"/>
                      <w:bCs/>
                      <w:color w:val="222222"/>
                      <w:sz w:val="17"/>
                      <w:szCs w:val="17"/>
                      <w:lang w:eastAsia="ar-SA"/>
                    </w:rPr>
                    <w:t>作</w:t>
                  </w:r>
                  <w:r w:rsidRPr="00272D6C">
                    <w:rPr>
                      <w:rFonts w:eastAsia="細明體" w:cs="Segoe UI" w:hint="eastAsia"/>
                      <w:bCs/>
                      <w:sz w:val="17"/>
                      <w:szCs w:val="17"/>
                      <w:lang w:eastAsia="ar-SA"/>
                    </w:rPr>
                    <w:t>保證的風險承擔</w:t>
                  </w:r>
                </w:p>
              </w:tc>
              <w:tc>
                <w:tcPr>
                  <w:tcW w:w="1049" w:type="dxa"/>
                  <w:shd w:val="clear" w:color="auto" w:fill="auto"/>
                </w:tcPr>
                <w:p w14:paraId="591EFD63" w14:textId="1E0712E9" w:rsidR="00FC48B0" w:rsidRDefault="00FC48B0" w:rsidP="00FC48B0">
                  <w:pPr>
                    <w:pStyle w:val="TableNote"/>
                    <w:spacing w:before="40" w:after="40"/>
                    <w:jc w:val="center"/>
                    <w:rPr>
                      <w:rFonts w:cs="Segoe UI"/>
                      <w:bCs/>
                      <w:kern w:val="2"/>
                      <w:sz w:val="17"/>
                      <w:szCs w:val="17"/>
                      <w:lang w:eastAsia="it-IT"/>
                    </w:rPr>
                  </w:pPr>
                  <w:r w:rsidRPr="00272D6C">
                    <w:rPr>
                      <w:rFonts w:eastAsia="細明體" w:cs="Segoe UI" w:hint="eastAsia"/>
                      <w:bCs/>
                      <w:sz w:val="17"/>
                      <w:szCs w:val="17"/>
                      <w:lang w:eastAsia="ar-SA"/>
                    </w:rPr>
                    <w:t>以認可擔保作保證的風險承擔</w:t>
                  </w:r>
                </w:p>
              </w:tc>
              <w:tc>
                <w:tcPr>
                  <w:tcW w:w="1046" w:type="dxa"/>
                  <w:shd w:val="clear" w:color="auto" w:fill="auto"/>
                </w:tcPr>
                <w:p w14:paraId="14EB98BB" w14:textId="106D2F2B" w:rsidR="00FC48B0" w:rsidRDefault="00FC48B0" w:rsidP="00FC48B0">
                  <w:pPr>
                    <w:pStyle w:val="TableNote"/>
                    <w:spacing w:before="40" w:after="40"/>
                    <w:jc w:val="center"/>
                    <w:rPr>
                      <w:rFonts w:cs="Segoe UI"/>
                      <w:bCs/>
                      <w:kern w:val="2"/>
                      <w:sz w:val="17"/>
                      <w:szCs w:val="17"/>
                      <w:lang w:eastAsia="it-IT"/>
                    </w:rPr>
                  </w:pPr>
                  <w:r w:rsidRPr="00272D6C">
                    <w:rPr>
                      <w:rFonts w:eastAsia="細明體" w:cs="Segoe UI" w:hint="eastAsia"/>
                      <w:bCs/>
                      <w:sz w:val="17"/>
                      <w:szCs w:val="17"/>
                      <w:lang w:eastAsia="ar-SA"/>
                    </w:rPr>
                    <w:t>以認可信用衍生工具合約作保證的風險承擔</w:t>
                  </w:r>
                </w:p>
              </w:tc>
            </w:tr>
            <w:tr w:rsidR="00FC48B0" w:rsidRPr="00EF0504" w14:paraId="2D6074CA" w14:textId="77777777" w:rsidTr="00FC48B0">
              <w:tc>
                <w:tcPr>
                  <w:tcW w:w="443" w:type="dxa"/>
                  <w:shd w:val="clear" w:color="auto" w:fill="auto"/>
                </w:tcPr>
                <w:p w14:paraId="4C0B32BA" w14:textId="77777777" w:rsidR="00FC48B0" w:rsidRPr="00EF0504" w:rsidRDefault="00FC48B0" w:rsidP="00FC48B0">
                  <w:pPr>
                    <w:pStyle w:val="TableNote"/>
                    <w:spacing w:before="40" w:after="40"/>
                    <w:rPr>
                      <w:kern w:val="2"/>
                      <w:sz w:val="17"/>
                      <w:szCs w:val="17"/>
                    </w:rPr>
                  </w:pPr>
                  <w:r w:rsidRPr="00EF0504">
                    <w:rPr>
                      <w:kern w:val="2"/>
                      <w:sz w:val="17"/>
                      <w:szCs w:val="17"/>
                    </w:rPr>
                    <w:t>(</w:t>
                  </w:r>
                  <w:proofErr w:type="spellStart"/>
                  <w:r w:rsidRPr="00EF0504">
                    <w:rPr>
                      <w:kern w:val="2"/>
                      <w:sz w:val="17"/>
                      <w:szCs w:val="17"/>
                    </w:rPr>
                    <w:t>i</w:t>
                  </w:r>
                  <w:proofErr w:type="spellEnd"/>
                  <w:r w:rsidRPr="00EF0504">
                    <w:rPr>
                      <w:kern w:val="2"/>
                      <w:sz w:val="17"/>
                      <w:szCs w:val="17"/>
                    </w:rPr>
                    <w:t>)</w:t>
                  </w:r>
                </w:p>
              </w:tc>
              <w:tc>
                <w:tcPr>
                  <w:tcW w:w="2707" w:type="dxa"/>
                  <w:shd w:val="clear" w:color="auto" w:fill="auto"/>
                </w:tcPr>
                <w:p w14:paraId="64A5D76B" w14:textId="16B69B8C" w:rsidR="00FC48B0" w:rsidRPr="00B158C7" w:rsidRDefault="002D104D" w:rsidP="002D104D">
                  <w:pPr>
                    <w:pStyle w:val="TableNote"/>
                    <w:spacing w:before="40" w:after="40"/>
                    <w:rPr>
                      <w:rFonts w:ascii="細明體" w:eastAsia="細明體" w:hAnsi="細明體" w:cs="微軟正黑體"/>
                      <w:kern w:val="2"/>
                      <w:sz w:val="17"/>
                      <w:szCs w:val="17"/>
                      <w:lang w:eastAsia="zh-TW"/>
                    </w:rPr>
                  </w:pPr>
                  <w:r w:rsidRPr="008A5B12">
                    <w:rPr>
                      <w:rFonts w:ascii="細明體" w:eastAsia="細明體" w:hAnsi="細明體" w:cs="微軟正黑體" w:hint="eastAsia"/>
                      <w:kern w:val="2"/>
                      <w:sz w:val="17"/>
                      <w:szCs w:val="17"/>
                      <w:lang w:eastAsia="zh-TW"/>
                    </w:rPr>
                    <w:t>一筆</w:t>
                  </w:r>
                  <w:r w:rsidRPr="00B158C7">
                    <w:rPr>
                      <w:rFonts w:eastAsia="細明體" w:cs="Segoe UI"/>
                      <w:kern w:val="2"/>
                      <w:sz w:val="17"/>
                      <w:szCs w:val="17"/>
                      <w:lang w:eastAsia="zh-TW"/>
                    </w:rPr>
                    <w:t>100</w:t>
                  </w:r>
                  <w:r w:rsidR="00E751FA">
                    <w:rPr>
                      <w:rFonts w:ascii="細明體" w:eastAsia="細明體" w:hAnsi="細明體" w:cs="微軟正黑體" w:hint="eastAsia"/>
                      <w:kern w:val="2"/>
                      <w:sz w:val="17"/>
                      <w:szCs w:val="17"/>
                      <w:lang w:eastAsia="zh-TW"/>
                    </w:rPr>
                    <w:t>的</w:t>
                  </w:r>
                  <w:r w:rsidR="00E751FA">
                    <w:rPr>
                      <w:rFonts w:ascii="細明體" w:eastAsia="細明體" w:hAnsi="細明體" w:cs="微軟正黑體" w:hint="eastAsia"/>
                      <w:kern w:val="2"/>
                      <w:sz w:val="17"/>
                      <w:szCs w:val="17"/>
                      <w:lang w:eastAsia="zh-HK"/>
                    </w:rPr>
                    <w:t>有</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Pr="008A5B12">
                    <w:rPr>
                      <w:rFonts w:ascii="細明體" w:eastAsia="細明體" w:hAnsi="細明體" w:cs="微軟正黑體" w:hint="eastAsia"/>
                      <w:kern w:val="2"/>
                      <w:sz w:val="17"/>
                      <w:szCs w:val="17"/>
                      <w:lang w:eastAsia="zh-TW"/>
                    </w:rPr>
                    <w:t>貸款</w:t>
                  </w:r>
                  <w:r w:rsidRPr="008A5B12">
                    <w:rPr>
                      <w:rFonts w:ascii="細明體" w:eastAsia="細明體" w:hAnsi="細明體" w:cs="Segoe UI" w:hint="eastAsia"/>
                      <w:bCs/>
                      <w:sz w:val="17"/>
                      <w:szCs w:val="17"/>
                      <w:lang w:eastAsia="ar-SA"/>
                    </w:rPr>
                    <w:t>，</w:t>
                  </w:r>
                  <w:r w:rsidRPr="008A5B12">
                    <w:rPr>
                      <w:rFonts w:ascii="細明體" w:eastAsia="細明體" w:hAnsi="細明體" w:cs="微軟正黑體" w:hint="eastAsia"/>
                      <w:kern w:val="2"/>
                      <w:sz w:val="17"/>
                      <w:szCs w:val="17"/>
                      <w:lang w:eastAsia="zh-TW"/>
                    </w:rPr>
                    <w:t>其</w:t>
                  </w:r>
                  <w:r w:rsidRPr="008A5B12">
                    <w:rPr>
                      <w:rFonts w:ascii="細明體" w:eastAsia="細明體" w:hAnsi="細明體" w:cs="微軟正黑體" w:hint="eastAsia"/>
                      <w:kern w:val="2"/>
                      <w:sz w:val="17"/>
                      <w:szCs w:val="17"/>
                      <w:lang w:eastAsia="zh-HK"/>
                    </w:rPr>
                    <w:t>認可</w:t>
                  </w:r>
                  <w:r w:rsidRPr="008A5B12">
                    <w:rPr>
                      <w:rFonts w:ascii="細明體" w:eastAsia="細明體" w:hAnsi="細明體" w:cs="微軟正黑體" w:hint="eastAsia"/>
                      <w:kern w:val="2"/>
                      <w:sz w:val="17"/>
                      <w:szCs w:val="17"/>
                      <w:lang w:eastAsia="zh-TW"/>
                    </w:rPr>
                    <w:t>抵押品為</w:t>
                  </w:r>
                  <w:r w:rsidRPr="00B158C7">
                    <w:rPr>
                      <w:rFonts w:eastAsia="細明體" w:cs="Segoe UI"/>
                      <w:kern w:val="2"/>
                      <w:sz w:val="17"/>
                      <w:szCs w:val="17"/>
                      <w:lang w:eastAsia="zh-TW"/>
                    </w:rPr>
                    <w:t>120</w:t>
                  </w:r>
                  <w:r w:rsidR="0088502A"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Pr="008A5B12">
                    <w:rPr>
                      <w:rFonts w:ascii="細明體" w:eastAsia="細明體" w:hAnsi="細明體" w:cs="微軟正黑體" w:hint="eastAsia"/>
                      <w:kern w:val="2"/>
                      <w:sz w:val="17"/>
                      <w:szCs w:val="17"/>
                      <w:lang w:eastAsia="zh-TW"/>
                    </w:rPr>
                    <w:t>及</w:t>
                  </w:r>
                  <w:r w:rsidRPr="008A5B12">
                    <w:rPr>
                      <w:rFonts w:ascii="細明體" w:eastAsia="細明體" w:hAnsi="細明體" w:cs="微軟正黑體" w:hint="eastAsia"/>
                      <w:kern w:val="2"/>
                      <w:sz w:val="17"/>
                      <w:szCs w:val="17"/>
                      <w:lang w:eastAsia="zh-HK"/>
                    </w:rPr>
                    <w:t>認可</w:t>
                  </w:r>
                  <w:r w:rsidRPr="008A5B12">
                    <w:rPr>
                      <w:rFonts w:ascii="細明體" w:eastAsia="細明體" w:hAnsi="細明體" w:cs="微軟正黑體" w:hint="eastAsia"/>
                      <w:kern w:val="2"/>
                      <w:sz w:val="17"/>
                      <w:szCs w:val="17"/>
                      <w:lang w:eastAsia="zh-TW"/>
                    </w:rPr>
                    <w:t>擔保為</w:t>
                  </w:r>
                  <w:r w:rsidRPr="00B158C7">
                    <w:rPr>
                      <w:rFonts w:eastAsia="細明體" w:cs="Segoe UI"/>
                      <w:kern w:val="2"/>
                      <w:sz w:val="17"/>
                      <w:szCs w:val="17"/>
                      <w:lang w:eastAsia="zh-TW"/>
                    </w:rPr>
                    <w:t>50</w:t>
                  </w:r>
                  <w:r w:rsidR="0088502A"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Pr="008A5B12">
                    <w:rPr>
                      <w:rFonts w:ascii="細明體" w:eastAsia="細明體" w:hAnsi="細明體" w:cs="Segoe UI" w:hint="eastAsia"/>
                      <w:bCs/>
                      <w:sz w:val="17"/>
                      <w:szCs w:val="17"/>
                      <w:lang w:eastAsia="ar-SA"/>
                    </w:rPr>
                    <w:t>，</w:t>
                  </w:r>
                  <w:r w:rsidRPr="008A5B12">
                    <w:rPr>
                      <w:rFonts w:ascii="細明體" w:eastAsia="細明體" w:hAnsi="細明體" w:cs="微軟正黑體" w:hint="eastAsia"/>
                      <w:kern w:val="2"/>
                      <w:sz w:val="17"/>
                      <w:szCs w:val="17"/>
                      <w:lang w:eastAsia="zh-TW"/>
                    </w:rPr>
                    <w:t>如認可機構預期</w:t>
                  </w:r>
                  <w:r w:rsidRPr="008A5B12">
                    <w:rPr>
                      <w:rFonts w:ascii="細明體" w:eastAsia="細明體" w:hAnsi="細明體" w:cs="微軟正黑體" w:hint="eastAsia"/>
                      <w:kern w:val="2"/>
                      <w:sz w:val="17"/>
                      <w:szCs w:val="17"/>
                      <w:lang w:eastAsia="zh-HK"/>
                    </w:rPr>
                    <w:t>認可</w:t>
                  </w:r>
                  <w:r w:rsidRPr="008A5B12">
                    <w:rPr>
                      <w:rFonts w:ascii="細明體" w:eastAsia="細明體" w:hAnsi="細明體" w:cs="微軟正黑體" w:hint="eastAsia"/>
                      <w:kern w:val="2"/>
                      <w:sz w:val="17"/>
                      <w:szCs w:val="17"/>
                      <w:lang w:eastAsia="zh-TW"/>
                    </w:rPr>
                    <w:t>擔保會首先</w:t>
                  </w:r>
                  <w:proofErr w:type="gramStart"/>
                  <w:r w:rsidR="006E7E01">
                    <w:rPr>
                      <w:rFonts w:ascii="細明體" w:eastAsia="細明體" w:hAnsi="細明體" w:cs="微軟正黑體" w:hint="eastAsia"/>
                      <w:kern w:val="2"/>
                      <w:sz w:val="17"/>
                      <w:szCs w:val="17"/>
                      <w:lang w:eastAsia="zh-HK"/>
                    </w:rPr>
                    <w:t>被</w:t>
                  </w:r>
                  <w:r w:rsidRPr="008A5B12">
                    <w:rPr>
                      <w:rFonts w:ascii="細明體" w:eastAsia="細明體" w:hAnsi="細明體" w:cs="微軟正黑體" w:hint="eastAsia"/>
                      <w:kern w:val="2"/>
                      <w:sz w:val="17"/>
                      <w:szCs w:val="17"/>
                      <w:lang w:eastAsia="zh-TW"/>
                    </w:rPr>
                    <w:t>終絕</w:t>
                  </w:r>
                  <w:proofErr w:type="gramEnd"/>
                  <w:r w:rsidRPr="008A5B12">
                    <w:rPr>
                      <w:rFonts w:ascii="細明體" w:eastAsia="細明體" w:hAnsi="細明體" w:cs="微軟正黑體" w:hint="eastAsia"/>
                      <w:kern w:val="2"/>
                      <w:sz w:val="17"/>
                      <w:szCs w:val="17"/>
                      <w:lang w:eastAsia="zh-TW"/>
                    </w:rPr>
                    <w:t>。</w:t>
                  </w:r>
                </w:p>
              </w:tc>
              <w:tc>
                <w:tcPr>
                  <w:tcW w:w="1030" w:type="dxa"/>
                  <w:shd w:val="clear" w:color="auto" w:fill="auto"/>
                </w:tcPr>
                <w:p w14:paraId="49461982"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c>
                <w:tcPr>
                  <w:tcW w:w="1002" w:type="dxa"/>
                  <w:shd w:val="clear" w:color="auto" w:fill="auto"/>
                </w:tcPr>
                <w:p w14:paraId="214D70D0" w14:textId="77777777" w:rsidR="00FC48B0" w:rsidRPr="00EF0504" w:rsidRDefault="00FC48B0" w:rsidP="00FC48B0">
                  <w:pPr>
                    <w:pStyle w:val="TableNote"/>
                    <w:spacing w:before="40" w:after="40"/>
                    <w:jc w:val="center"/>
                    <w:rPr>
                      <w:kern w:val="2"/>
                      <w:sz w:val="17"/>
                      <w:szCs w:val="17"/>
                    </w:rPr>
                  </w:pPr>
                  <w:r w:rsidRPr="00EF0504">
                    <w:rPr>
                      <w:kern w:val="2"/>
                      <w:sz w:val="17"/>
                      <w:szCs w:val="17"/>
                    </w:rPr>
                    <w:t>100</w:t>
                  </w:r>
                </w:p>
              </w:tc>
              <w:tc>
                <w:tcPr>
                  <w:tcW w:w="1046" w:type="dxa"/>
                  <w:shd w:val="clear" w:color="auto" w:fill="auto"/>
                </w:tcPr>
                <w:p w14:paraId="32ED9436" w14:textId="77777777" w:rsidR="00FC48B0" w:rsidRPr="00EF0504" w:rsidRDefault="00FC48B0" w:rsidP="00FC48B0">
                  <w:pPr>
                    <w:pStyle w:val="TableNote"/>
                    <w:spacing w:before="40" w:after="40"/>
                    <w:jc w:val="center"/>
                    <w:rPr>
                      <w:kern w:val="2"/>
                      <w:sz w:val="17"/>
                      <w:szCs w:val="17"/>
                    </w:rPr>
                  </w:pPr>
                  <w:r w:rsidRPr="00EF0504">
                    <w:rPr>
                      <w:kern w:val="2"/>
                      <w:sz w:val="17"/>
                      <w:szCs w:val="17"/>
                    </w:rPr>
                    <w:t>50</w:t>
                  </w:r>
                </w:p>
              </w:tc>
              <w:tc>
                <w:tcPr>
                  <w:tcW w:w="1049" w:type="dxa"/>
                  <w:shd w:val="clear" w:color="auto" w:fill="auto"/>
                </w:tcPr>
                <w:p w14:paraId="5F5B9B61" w14:textId="77777777" w:rsidR="00FC48B0" w:rsidRPr="00EF0504" w:rsidRDefault="00FC48B0" w:rsidP="00FC48B0">
                  <w:pPr>
                    <w:pStyle w:val="TableNote"/>
                    <w:spacing w:before="40" w:after="40"/>
                    <w:jc w:val="center"/>
                    <w:rPr>
                      <w:kern w:val="2"/>
                      <w:sz w:val="17"/>
                      <w:szCs w:val="17"/>
                    </w:rPr>
                  </w:pPr>
                  <w:r w:rsidRPr="00EF0504">
                    <w:rPr>
                      <w:kern w:val="2"/>
                      <w:sz w:val="17"/>
                      <w:szCs w:val="17"/>
                    </w:rPr>
                    <w:t>50</w:t>
                  </w:r>
                </w:p>
              </w:tc>
              <w:tc>
                <w:tcPr>
                  <w:tcW w:w="1046" w:type="dxa"/>
                  <w:shd w:val="clear" w:color="auto" w:fill="auto"/>
                </w:tcPr>
                <w:p w14:paraId="5864C82E"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r>
            <w:tr w:rsidR="00FC48B0" w:rsidRPr="00EF0504" w14:paraId="1D29C8B1" w14:textId="77777777" w:rsidTr="00FC48B0">
              <w:tc>
                <w:tcPr>
                  <w:tcW w:w="443" w:type="dxa"/>
                  <w:shd w:val="clear" w:color="auto" w:fill="auto"/>
                </w:tcPr>
                <w:p w14:paraId="686D2852" w14:textId="77777777" w:rsidR="00FC48B0" w:rsidRPr="00EF0504" w:rsidRDefault="00FC48B0" w:rsidP="00FC48B0">
                  <w:pPr>
                    <w:pStyle w:val="TableNote"/>
                    <w:spacing w:before="40" w:after="40"/>
                    <w:rPr>
                      <w:kern w:val="2"/>
                      <w:sz w:val="17"/>
                      <w:szCs w:val="17"/>
                    </w:rPr>
                  </w:pPr>
                  <w:r w:rsidRPr="00EF0504">
                    <w:rPr>
                      <w:kern w:val="2"/>
                      <w:sz w:val="17"/>
                      <w:szCs w:val="17"/>
                    </w:rPr>
                    <w:t>(ii)</w:t>
                  </w:r>
                </w:p>
              </w:tc>
              <w:tc>
                <w:tcPr>
                  <w:tcW w:w="2707" w:type="dxa"/>
                  <w:shd w:val="clear" w:color="auto" w:fill="auto"/>
                </w:tcPr>
                <w:p w14:paraId="3EB0C1CF" w14:textId="6ACAC4E3" w:rsidR="00FC48B0" w:rsidRPr="008A5B12" w:rsidRDefault="00F529B7" w:rsidP="00F529B7">
                  <w:pPr>
                    <w:pStyle w:val="TableNote"/>
                    <w:spacing w:before="40" w:after="40"/>
                    <w:rPr>
                      <w:rFonts w:ascii="細明體" w:eastAsia="細明體" w:hAnsi="細明體"/>
                      <w:kern w:val="2"/>
                      <w:sz w:val="17"/>
                      <w:szCs w:val="17"/>
                      <w:lang w:eastAsia="zh-TW"/>
                    </w:rPr>
                  </w:pPr>
                  <w:r w:rsidRPr="008A5B12">
                    <w:rPr>
                      <w:rFonts w:ascii="細明體" w:eastAsia="細明體" w:hAnsi="細明體" w:cs="微軟正黑體" w:hint="eastAsia"/>
                      <w:kern w:val="2"/>
                      <w:sz w:val="17"/>
                      <w:szCs w:val="17"/>
                      <w:lang w:eastAsia="zh-TW"/>
                    </w:rPr>
                    <w:t>一筆</w:t>
                  </w:r>
                  <w:r w:rsidRPr="00B158C7">
                    <w:rPr>
                      <w:rFonts w:eastAsia="細明體" w:cs="Segoe UI"/>
                      <w:kern w:val="2"/>
                      <w:sz w:val="17"/>
                      <w:szCs w:val="17"/>
                      <w:lang w:eastAsia="zh-TW"/>
                    </w:rPr>
                    <w:t>100</w:t>
                  </w:r>
                  <w:r w:rsidR="00E751FA">
                    <w:rPr>
                      <w:rFonts w:ascii="細明體" w:eastAsia="細明體" w:hAnsi="細明體" w:cs="微軟正黑體" w:hint="eastAsia"/>
                      <w:kern w:val="2"/>
                      <w:sz w:val="17"/>
                      <w:szCs w:val="17"/>
                      <w:lang w:eastAsia="zh-TW"/>
                    </w:rPr>
                    <w:t>的</w:t>
                  </w:r>
                  <w:r w:rsidR="00E751FA">
                    <w:rPr>
                      <w:rFonts w:ascii="細明體" w:eastAsia="細明體" w:hAnsi="細明體" w:cs="微軟正黑體" w:hint="eastAsia"/>
                      <w:kern w:val="2"/>
                      <w:sz w:val="17"/>
                      <w:szCs w:val="17"/>
                      <w:lang w:eastAsia="zh-HK"/>
                    </w:rPr>
                    <w:t>有</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Pr="008A5B12">
                    <w:rPr>
                      <w:rFonts w:ascii="細明體" w:eastAsia="細明體" w:hAnsi="細明體" w:cs="微軟正黑體" w:hint="eastAsia"/>
                      <w:kern w:val="2"/>
                      <w:sz w:val="17"/>
                      <w:szCs w:val="17"/>
                      <w:lang w:eastAsia="zh-TW"/>
                    </w:rPr>
                    <w:t>貸款</w:t>
                  </w:r>
                  <w:r w:rsidRPr="008A5B12">
                    <w:rPr>
                      <w:rFonts w:ascii="細明體" w:eastAsia="細明體" w:hAnsi="細明體" w:cs="Segoe UI" w:hint="eastAsia"/>
                      <w:bCs/>
                      <w:sz w:val="17"/>
                      <w:szCs w:val="17"/>
                      <w:lang w:eastAsia="ar-SA"/>
                    </w:rPr>
                    <w:t>，</w:t>
                  </w:r>
                  <w:r w:rsidRPr="008A5B12">
                    <w:rPr>
                      <w:rFonts w:ascii="細明體" w:eastAsia="細明體" w:hAnsi="細明體" w:cs="微軟正黑體" w:hint="eastAsia"/>
                      <w:kern w:val="2"/>
                      <w:sz w:val="17"/>
                      <w:szCs w:val="17"/>
                      <w:lang w:eastAsia="zh-TW"/>
                    </w:rPr>
                    <w:t>其</w:t>
                  </w:r>
                  <w:r w:rsidRPr="008A5B12">
                    <w:rPr>
                      <w:rFonts w:ascii="細明體" w:eastAsia="細明體" w:hAnsi="細明體" w:cs="微軟正黑體" w:hint="eastAsia"/>
                      <w:kern w:val="2"/>
                      <w:sz w:val="17"/>
                      <w:szCs w:val="17"/>
                      <w:lang w:eastAsia="zh-HK"/>
                    </w:rPr>
                    <w:t>認可</w:t>
                  </w:r>
                  <w:r w:rsidRPr="008A5B12">
                    <w:rPr>
                      <w:rFonts w:ascii="細明體" w:eastAsia="細明體" w:hAnsi="細明體" w:cs="微軟正黑體" w:hint="eastAsia"/>
                      <w:kern w:val="2"/>
                      <w:sz w:val="17"/>
                      <w:szCs w:val="17"/>
                      <w:lang w:eastAsia="zh-TW"/>
                    </w:rPr>
                    <w:t>抵押品為</w:t>
                  </w:r>
                  <w:r w:rsidRPr="00B158C7">
                    <w:rPr>
                      <w:rFonts w:eastAsia="細明體" w:cs="Segoe UI"/>
                      <w:kern w:val="2"/>
                      <w:sz w:val="17"/>
                      <w:szCs w:val="17"/>
                      <w:lang w:eastAsia="zh-TW"/>
                    </w:rPr>
                    <w:t>120</w:t>
                  </w:r>
                  <w:r w:rsidR="0088502A"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Pr="008A5B12">
                    <w:rPr>
                      <w:rFonts w:ascii="細明體" w:eastAsia="細明體" w:hAnsi="細明體" w:cs="微軟正黑體" w:hint="eastAsia"/>
                      <w:kern w:val="2"/>
                      <w:sz w:val="17"/>
                      <w:szCs w:val="17"/>
                      <w:lang w:eastAsia="zh-TW"/>
                    </w:rPr>
                    <w:t>及</w:t>
                  </w:r>
                  <w:r w:rsidRPr="008A5B12">
                    <w:rPr>
                      <w:rFonts w:ascii="細明體" w:eastAsia="細明體" w:hAnsi="細明體" w:cs="微軟正黑體" w:hint="eastAsia"/>
                      <w:kern w:val="2"/>
                      <w:sz w:val="17"/>
                      <w:szCs w:val="17"/>
                      <w:lang w:eastAsia="zh-HK"/>
                    </w:rPr>
                    <w:t>認可</w:t>
                  </w:r>
                  <w:r w:rsidRPr="008A5B12">
                    <w:rPr>
                      <w:rFonts w:ascii="細明體" w:eastAsia="細明體" w:hAnsi="細明體" w:cs="微軟正黑體" w:hint="eastAsia"/>
                      <w:kern w:val="2"/>
                      <w:sz w:val="17"/>
                      <w:szCs w:val="17"/>
                      <w:lang w:eastAsia="zh-TW"/>
                    </w:rPr>
                    <w:t>擔保為</w:t>
                  </w:r>
                  <w:r w:rsidRPr="00B158C7">
                    <w:rPr>
                      <w:rFonts w:eastAsia="細明體" w:cs="Segoe UI"/>
                      <w:kern w:val="2"/>
                      <w:sz w:val="17"/>
                      <w:szCs w:val="17"/>
                      <w:lang w:eastAsia="zh-TW"/>
                    </w:rPr>
                    <w:t>50</w:t>
                  </w:r>
                  <w:r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Pr="008A5B12">
                    <w:rPr>
                      <w:rFonts w:ascii="細明體" w:eastAsia="細明體" w:hAnsi="細明體" w:cs="Segoe UI" w:hint="eastAsia"/>
                      <w:bCs/>
                      <w:sz w:val="17"/>
                      <w:szCs w:val="17"/>
                      <w:lang w:eastAsia="ar-SA"/>
                    </w:rPr>
                    <w:t>，</w:t>
                  </w:r>
                  <w:r w:rsidRPr="008A5B12">
                    <w:rPr>
                      <w:rFonts w:ascii="細明體" w:eastAsia="細明體" w:hAnsi="細明體" w:cs="微軟正黑體" w:hint="eastAsia"/>
                      <w:kern w:val="2"/>
                      <w:sz w:val="17"/>
                      <w:szCs w:val="17"/>
                      <w:lang w:eastAsia="zh-TW"/>
                    </w:rPr>
                    <w:t>如認可機構預期</w:t>
                  </w:r>
                  <w:r w:rsidRPr="008A5B12">
                    <w:rPr>
                      <w:rFonts w:ascii="細明體" w:eastAsia="細明體" w:hAnsi="細明體" w:cs="微軟正黑體" w:hint="eastAsia"/>
                      <w:kern w:val="2"/>
                      <w:sz w:val="17"/>
                      <w:szCs w:val="17"/>
                      <w:lang w:eastAsia="zh-HK"/>
                    </w:rPr>
                    <w:t>認可</w:t>
                  </w:r>
                  <w:r w:rsidRPr="008A5B12">
                    <w:rPr>
                      <w:rFonts w:ascii="細明體" w:eastAsia="細明體" w:hAnsi="細明體" w:cs="微軟正黑體" w:hint="eastAsia"/>
                      <w:kern w:val="2"/>
                      <w:sz w:val="17"/>
                      <w:szCs w:val="17"/>
                      <w:lang w:eastAsia="zh-TW"/>
                    </w:rPr>
                    <w:t>抵押品會首先</w:t>
                  </w:r>
                  <w:proofErr w:type="gramStart"/>
                  <w:r w:rsidR="006E7E01">
                    <w:rPr>
                      <w:rFonts w:ascii="細明體" w:eastAsia="細明體" w:hAnsi="細明體" w:cs="微軟正黑體" w:hint="eastAsia"/>
                      <w:kern w:val="2"/>
                      <w:sz w:val="17"/>
                      <w:szCs w:val="17"/>
                      <w:lang w:eastAsia="zh-HK"/>
                    </w:rPr>
                    <w:t>被</w:t>
                  </w:r>
                  <w:r w:rsidRPr="008A5B12">
                    <w:rPr>
                      <w:rFonts w:ascii="細明體" w:eastAsia="細明體" w:hAnsi="細明體" w:cs="微軟正黑體" w:hint="eastAsia"/>
                      <w:kern w:val="2"/>
                      <w:sz w:val="17"/>
                      <w:szCs w:val="17"/>
                      <w:lang w:eastAsia="zh-TW"/>
                    </w:rPr>
                    <w:t>終絕</w:t>
                  </w:r>
                  <w:proofErr w:type="gramEnd"/>
                  <w:r w:rsidRPr="008A5B12">
                    <w:rPr>
                      <w:rFonts w:ascii="細明體" w:eastAsia="細明體" w:hAnsi="細明體" w:cs="微軟正黑體" w:hint="eastAsia"/>
                      <w:kern w:val="2"/>
                      <w:sz w:val="17"/>
                      <w:szCs w:val="17"/>
                      <w:lang w:eastAsia="zh-TW"/>
                    </w:rPr>
                    <w:t>。</w:t>
                  </w:r>
                </w:p>
              </w:tc>
              <w:tc>
                <w:tcPr>
                  <w:tcW w:w="1030" w:type="dxa"/>
                  <w:shd w:val="clear" w:color="auto" w:fill="auto"/>
                </w:tcPr>
                <w:p w14:paraId="1E07EAE2"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c>
                <w:tcPr>
                  <w:tcW w:w="1002" w:type="dxa"/>
                  <w:shd w:val="clear" w:color="auto" w:fill="auto"/>
                </w:tcPr>
                <w:p w14:paraId="30CA9AEC" w14:textId="77777777" w:rsidR="00FC48B0" w:rsidRPr="00EF0504" w:rsidRDefault="00FC48B0" w:rsidP="00FC48B0">
                  <w:pPr>
                    <w:pStyle w:val="TableNote"/>
                    <w:spacing w:before="40" w:after="40"/>
                    <w:jc w:val="center"/>
                    <w:rPr>
                      <w:kern w:val="2"/>
                      <w:sz w:val="17"/>
                      <w:szCs w:val="17"/>
                    </w:rPr>
                  </w:pPr>
                  <w:r w:rsidRPr="00EF0504">
                    <w:rPr>
                      <w:kern w:val="2"/>
                      <w:sz w:val="17"/>
                      <w:szCs w:val="17"/>
                    </w:rPr>
                    <w:t>100</w:t>
                  </w:r>
                </w:p>
              </w:tc>
              <w:tc>
                <w:tcPr>
                  <w:tcW w:w="1046" w:type="dxa"/>
                  <w:shd w:val="clear" w:color="auto" w:fill="auto"/>
                </w:tcPr>
                <w:p w14:paraId="67A619C3" w14:textId="77777777" w:rsidR="00FC48B0" w:rsidRPr="00EF0504" w:rsidRDefault="00FC48B0" w:rsidP="00FC48B0">
                  <w:pPr>
                    <w:pStyle w:val="TableNote"/>
                    <w:spacing w:before="40" w:after="40"/>
                    <w:jc w:val="center"/>
                    <w:rPr>
                      <w:kern w:val="2"/>
                      <w:sz w:val="17"/>
                      <w:szCs w:val="17"/>
                    </w:rPr>
                  </w:pPr>
                  <w:r w:rsidRPr="00EF0504">
                    <w:rPr>
                      <w:kern w:val="2"/>
                      <w:sz w:val="17"/>
                      <w:szCs w:val="17"/>
                    </w:rPr>
                    <w:t>100</w:t>
                  </w:r>
                </w:p>
              </w:tc>
              <w:tc>
                <w:tcPr>
                  <w:tcW w:w="1049" w:type="dxa"/>
                  <w:shd w:val="clear" w:color="auto" w:fill="auto"/>
                </w:tcPr>
                <w:p w14:paraId="6A37395C"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c>
                <w:tcPr>
                  <w:tcW w:w="1046" w:type="dxa"/>
                  <w:shd w:val="clear" w:color="auto" w:fill="auto"/>
                </w:tcPr>
                <w:p w14:paraId="63A0715C"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r>
            <w:tr w:rsidR="00FC48B0" w:rsidRPr="00EF0504" w14:paraId="5C95A886" w14:textId="77777777" w:rsidTr="00FC48B0">
              <w:tc>
                <w:tcPr>
                  <w:tcW w:w="443" w:type="dxa"/>
                  <w:shd w:val="clear" w:color="auto" w:fill="auto"/>
                </w:tcPr>
                <w:p w14:paraId="6704E1D9" w14:textId="77777777" w:rsidR="00FC48B0" w:rsidRPr="00EF0504" w:rsidRDefault="00FC48B0" w:rsidP="00FC48B0">
                  <w:pPr>
                    <w:pStyle w:val="TableNote"/>
                    <w:spacing w:before="40" w:after="40"/>
                    <w:rPr>
                      <w:kern w:val="2"/>
                      <w:sz w:val="17"/>
                      <w:szCs w:val="17"/>
                    </w:rPr>
                  </w:pPr>
                  <w:r w:rsidRPr="00EF0504">
                    <w:rPr>
                      <w:kern w:val="2"/>
                      <w:sz w:val="17"/>
                      <w:szCs w:val="17"/>
                    </w:rPr>
                    <w:t>(iii)</w:t>
                  </w:r>
                </w:p>
              </w:tc>
              <w:tc>
                <w:tcPr>
                  <w:tcW w:w="2707" w:type="dxa"/>
                  <w:shd w:val="clear" w:color="auto" w:fill="auto"/>
                </w:tcPr>
                <w:p w14:paraId="415940D6" w14:textId="1FFEC2A3" w:rsidR="00FC48B0" w:rsidRPr="00B158C7" w:rsidRDefault="00E751FA" w:rsidP="00F529B7">
                  <w:pPr>
                    <w:pStyle w:val="TableNote"/>
                    <w:spacing w:before="40" w:after="40"/>
                    <w:rPr>
                      <w:rFonts w:ascii="細明體" w:eastAsia="細明體" w:hAnsi="細明體" w:cs="微軟正黑體"/>
                      <w:kern w:val="2"/>
                      <w:sz w:val="17"/>
                      <w:szCs w:val="17"/>
                      <w:lang w:eastAsia="zh-TW"/>
                    </w:rPr>
                  </w:pPr>
                  <w:r w:rsidRPr="00B158C7">
                    <w:rPr>
                      <w:rFonts w:eastAsia="細明體" w:cs="Segoe UI"/>
                      <w:kern w:val="2"/>
                      <w:sz w:val="17"/>
                      <w:szCs w:val="17"/>
                      <w:lang w:eastAsia="zh-TW"/>
                    </w:rPr>
                    <w:t>100</w:t>
                  </w:r>
                  <w:r>
                    <w:rPr>
                      <w:rFonts w:ascii="細明體" w:eastAsia="細明體" w:hAnsi="細明體" w:cs="微軟正黑體" w:hint="eastAsia"/>
                      <w:kern w:val="2"/>
                      <w:sz w:val="17"/>
                      <w:szCs w:val="17"/>
                      <w:lang w:eastAsia="zh-HK"/>
                    </w:rPr>
                    <w:t>的有</w:t>
                  </w:r>
                  <w:r>
                    <w:rPr>
                      <w:rFonts w:eastAsia="細明體" w:cs="Segoe UI" w:hint="eastAsia"/>
                      <w:sz w:val="17"/>
                      <w:szCs w:val="17"/>
                      <w:lang w:eastAsia="zh-HK"/>
                    </w:rPr>
                    <w:t>保</w:t>
                  </w:r>
                  <w:r>
                    <w:rPr>
                      <w:rFonts w:eastAsia="細明體" w:cs="Segoe UI" w:hint="eastAsia"/>
                      <w:sz w:val="17"/>
                      <w:szCs w:val="17"/>
                      <w:lang w:eastAsia="zh-TW"/>
                    </w:rPr>
                    <w:t>證</w:t>
                  </w:r>
                  <w:r w:rsidR="00F529B7" w:rsidRPr="008A5B12">
                    <w:rPr>
                      <w:rFonts w:ascii="細明體" w:eastAsia="細明體" w:hAnsi="細明體" w:cs="微軟正黑體" w:hint="eastAsia"/>
                      <w:kern w:val="2"/>
                      <w:sz w:val="17"/>
                      <w:szCs w:val="17"/>
                      <w:lang w:eastAsia="zh-TW"/>
                    </w:rPr>
                    <w:t>風險承擔</w:t>
                  </w:r>
                  <w:r w:rsidR="00F529B7" w:rsidRPr="008A5B12">
                    <w:rPr>
                      <w:rFonts w:ascii="細明體" w:eastAsia="細明體" w:hAnsi="細明體" w:cs="Segoe UI" w:hint="eastAsia"/>
                      <w:bCs/>
                      <w:sz w:val="17"/>
                      <w:szCs w:val="17"/>
                      <w:lang w:eastAsia="ar-SA"/>
                    </w:rPr>
                    <w:t>，</w:t>
                  </w:r>
                  <w:r w:rsidR="00F529B7" w:rsidRPr="008A5B12">
                    <w:rPr>
                      <w:rFonts w:ascii="細明體" w:eastAsia="細明體" w:hAnsi="細明體" w:cs="微軟正黑體" w:hint="eastAsia"/>
                      <w:kern w:val="2"/>
                      <w:sz w:val="17"/>
                      <w:szCs w:val="17"/>
                      <w:lang w:eastAsia="zh-TW"/>
                    </w:rPr>
                    <w:t>部分</w:t>
                  </w:r>
                  <w:r w:rsidR="0017695C" w:rsidRPr="008A5B12">
                    <w:rPr>
                      <w:rFonts w:ascii="細明體" w:eastAsia="細明體" w:hAnsi="細明體" w:cs="微軟正黑體" w:hint="eastAsia"/>
                      <w:kern w:val="2"/>
                      <w:sz w:val="17"/>
                      <w:szCs w:val="17"/>
                      <w:lang w:eastAsia="zh-HK"/>
                    </w:rPr>
                    <w:t>有</w:t>
                  </w:r>
                  <w:r>
                    <w:rPr>
                      <w:rFonts w:ascii="細明體" w:eastAsia="細明體" w:hAnsi="細明體" w:cs="微軟正黑體" w:hint="eastAsia"/>
                      <w:kern w:val="2"/>
                      <w:sz w:val="17"/>
                      <w:szCs w:val="17"/>
                      <w:lang w:eastAsia="zh-HK"/>
                    </w:rPr>
                    <w:t>以下</w:t>
                  </w:r>
                  <w:r>
                    <w:rPr>
                      <w:rFonts w:eastAsia="細明體" w:cs="Segoe UI" w:hint="eastAsia"/>
                      <w:sz w:val="17"/>
                      <w:szCs w:val="17"/>
                      <w:lang w:eastAsia="zh-HK"/>
                    </w:rPr>
                    <w:t>保</w:t>
                  </w:r>
                  <w:r>
                    <w:rPr>
                      <w:rFonts w:eastAsia="細明體" w:cs="Segoe UI" w:hint="eastAsia"/>
                      <w:sz w:val="17"/>
                      <w:szCs w:val="17"/>
                      <w:lang w:eastAsia="zh-TW"/>
                    </w:rPr>
                    <w:t>證</w:t>
                  </w:r>
                  <w:r>
                    <w:rPr>
                      <w:rFonts w:ascii="細明體" w:eastAsia="細明體" w:hAnsi="細明體" w:hint="eastAsia"/>
                      <w:kern w:val="2"/>
                      <w:sz w:val="17"/>
                      <w:szCs w:val="17"/>
                      <w:lang w:eastAsia="zh-HK"/>
                    </w:rPr>
                    <w:t>：</w:t>
                  </w:r>
                  <w:r w:rsidR="00F529B7" w:rsidRPr="00B158C7">
                    <w:rPr>
                      <w:rFonts w:eastAsia="細明體" w:cs="Segoe UI"/>
                      <w:kern w:val="2"/>
                      <w:sz w:val="17"/>
                      <w:szCs w:val="17"/>
                      <w:lang w:eastAsia="zh-TW"/>
                    </w:rPr>
                    <w:t>50</w:t>
                  </w:r>
                  <w:r>
                    <w:rPr>
                      <w:rFonts w:ascii="細明體" w:eastAsia="細明體" w:hAnsi="細明體" w:hint="eastAsia"/>
                      <w:kern w:val="2"/>
                      <w:sz w:val="17"/>
                      <w:szCs w:val="17"/>
                      <w:lang w:eastAsia="zh-HK"/>
                    </w:rPr>
                    <w:t>為</w:t>
                  </w:r>
                  <w:r w:rsidR="00F529B7" w:rsidRPr="008A5B12">
                    <w:rPr>
                      <w:rFonts w:ascii="細明體" w:eastAsia="細明體" w:hAnsi="細明體" w:cs="微軟正黑體" w:hint="eastAsia"/>
                      <w:kern w:val="2"/>
                      <w:sz w:val="17"/>
                      <w:szCs w:val="17"/>
                      <w:lang w:eastAsia="zh-TW"/>
                    </w:rPr>
                    <w:t>認可抵押品</w:t>
                  </w:r>
                  <w:r w:rsidR="0088502A"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00F529B7"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00F529B7" w:rsidRPr="008A5B12">
                    <w:rPr>
                      <w:rFonts w:ascii="細明體" w:eastAsia="細明體" w:hAnsi="細明體" w:cs="Segoe UI" w:hint="eastAsia"/>
                      <w:bCs/>
                      <w:sz w:val="17"/>
                      <w:szCs w:val="17"/>
                      <w:lang w:eastAsia="ar-SA"/>
                    </w:rPr>
                    <w:t>，</w:t>
                  </w:r>
                  <w:r w:rsidR="00F529B7" w:rsidRPr="00B158C7">
                    <w:rPr>
                      <w:rFonts w:eastAsia="細明體" w:cs="Segoe UI"/>
                      <w:kern w:val="2"/>
                      <w:sz w:val="17"/>
                      <w:szCs w:val="17"/>
                      <w:lang w:eastAsia="zh-TW"/>
                    </w:rPr>
                    <w:t>30</w:t>
                  </w:r>
                  <w:r>
                    <w:rPr>
                      <w:rFonts w:ascii="細明體" w:eastAsia="細明體" w:hAnsi="細明體" w:cs="微軟正黑體" w:hint="eastAsia"/>
                      <w:kern w:val="2"/>
                      <w:sz w:val="17"/>
                      <w:szCs w:val="17"/>
                      <w:lang w:eastAsia="zh-HK"/>
                    </w:rPr>
                    <w:t>為</w:t>
                  </w:r>
                  <w:r w:rsidR="00F529B7" w:rsidRPr="008A5B12">
                    <w:rPr>
                      <w:rFonts w:ascii="細明體" w:eastAsia="細明體" w:hAnsi="細明體" w:cs="微軟正黑體" w:hint="eastAsia"/>
                      <w:kern w:val="2"/>
                      <w:sz w:val="17"/>
                      <w:szCs w:val="17"/>
                      <w:lang w:eastAsia="zh-TW"/>
                    </w:rPr>
                    <w:t>認可擔保</w:t>
                  </w:r>
                  <w:r w:rsidR="0088502A" w:rsidRPr="008A5B12">
                    <w:rPr>
                      <w:rFonts w:ascii="細明體" w:eastAsia="細明體" w:hAnsi="細明體" w:cs="Segoe UI" w:hint="eastAsia"/>
                      <w:sz w:val="17"/>
                      <w:lang w:eastAsia="zh-HK"/>
                    </w:rPr>
                    <w:t>（</w:t>
                  </w:r>
                  <w:r w:rsidR="00E61F90">
                    <w:rPr>
                      <w:rFonts w:ascii="細明體" w:eastAsia="細明體" w:hAnsi="細明體" w:cs="微軟正黑體" w:hint="eastAsia"/>
                      <w:kern w:val="2"/>
                      <w:sz w:val="17"/>
                      <w:szCs w:val="17"/>
                      <w:lang w:eastAsia="zh-HK"/>
                    </w:rPr>
                    <w:t>扣除</w:t>
                  </w:r>
                  <w:r w:rsidR="00F529B7"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00F529B7" w:rsidRPr="008A5B12">
                    <w:rPr>
                      <w:rFonts w:ascii="細明體" w:eastAsia="細明體" w:hAnsi="細明體" w:cs="Segoe UI" w:hint="eastAsia"/>
                      <w:bCs/>
                      <w:sz w:val="17"/>
                      <w:szCs w:val="17"/>
                      <w:lang w:eastAsia="ar-SA"/>
                    </w:rPr>
                    <w:t>，</w:t>
                  </w:r>
                  <w:r w:rsidR="00F529B7" w:rsidRPr="008A5B12">
                    <w:rPr>
                      <w:rFonts w:ascii="細明體" w:eastAsia="細明體" w:hAnsi="細明體" w:cs="微軟正黑體" w:hint="eastAsia"/>
                      <w:kern w:val="2"/>
                      <w:sz w:val="17"/>
                      <w:szCs w:val="17"/>
                      <w:lang w:eastAsia="zh-HK"/>
                    </w:rPr>
                    <w:t>無</w:t>
                  </w:r>
                  <w:r w:rsidR="00F529B7" w:rsidRPr="008A5B12">
                    <w:rPr>
                      <w:rFonts w:ascii="細明體" w:eastAsia="細明體" w:hAnsi="細明體" w:cs="微軟正黑體" w:hint="eastAsia"/>
                      <w:kern w:val="2"/>
                      <w:sz w:val="17"/>
                      <w:szCs w:val="17"/>
                      <w:lang w:eastAsia="zh-TW"/>
                    </w:rPr>
                    <w:t>認可信用衍生工具</w:t>
                  </w:r>
                  <w:r w:rsidR="00E61F90">
                    <w:rPr>
                      <w:rFonts w:ascii="細明體" w:eastAsia="細明體" w:hAnsi="細明體" w:cs="微軟正黑體" w:hint="eastAsia"/>
                      <w:kern w:val="2"/>
                      <w:sz w:val="17"/>
                      <w:szCs w:val="17"/>
                      <w:lang w:eastAsia="zh-HK"/>
                    </w:rPr>
                    <w:t>合約</w:t>
                  </w:r>
                  <w:r>
                    <w:rPr>
                      <w:rFonts w:ascii="細明體" w:eastAsia="細明體" w:hAnsi="細明體" w:cs="微軟正黑體" w:hint="eastAsia"/>
                      <w:kern w:val="2"/>
                      <w:sz w:val="17"/>
                      <w:szCs w:val="17"/>
                      <w:lang w:eastAsia="zh-HK"/>
                    </w:rPr>
                    <w:t>作保</w:t>
                  </w:r>
                  <w:r>
                    <w:rPr>
                      <w:rFonts w:ascii="細明體" w:eastAsia="細明體" w:hAnsi="細明體" w:cs="微軟正黑體" w:hint="eastAsia"/>
                      <w:kern w:val="2"/>
                      <w:sz w:val="17"/>
                      <w:szCs w:val="17"/>
                      <w:lang w:eastAsia="zh-TW"/>
                    </w:rPr>
                    <w:t>證</w:t>
                  </w:r>
                  <w:r w:rsidR="00F529B7" w:rsidRPr="008A5B12">
                    <w:rPr>
                      <w:rFonts w:ascii="細明體" w:eastAsia="細明體" w:hAnsi="細明體" w:cs="微軟正黑體" w:hint="eastAsia"/>
                      <w:kern w:val="2"/>
                      <w:sz w:val="17"/>
                      <w:szCs w:val="17"/>
                      <w:lang w:eastAsia="zh-TW"/>
                    </w:rPr>
                    <w:t>。</w:t>
                  </w:r>
                </w:p>
              </w:tc>
              <w:tc>
                <w:tcPr>
                  <w:tcW w:w="1030" w:type="dxa"/>
                  <w:shd w:val="clear" w:color="auto" w:fill="auto"/>
                </w:tcPr>
                <w:p w14:paraId="18192703"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c>
                <w:tcPr>
                  <w:tcW w:w="1002" w:type="dxa"/>
                  <w:shd w:val="clear" w:color="auto" w:fill="auto"/>
                </w:tcPr>
                <w:p w14:paraId="17FA6CB1" w14:textId="77777777" w:rsidR="00FC48B0" w:rsidRPr="00EF0504" w:rsidRDefault="00FC48B0" w:rsidP="00FC48B0">
                  <w:pPr>
                    <w:pStyle w:val="TableNote"/>
                    <w:spacing w:before="40" w:after="40"/>
                    <w:jc w:val="center"/>
                    <w:rPr>
                      <w:kern w:val="2"/>
                      <w:sz w:val="17"/>
                      <w:szCs w:val="17"/>
                    </w:rPr>
                  </w:pPr>
                  <w:r w:rsidRPr="00EF0504">
                    <w:rPr>
                      <w:kern w:val="2"/>
                      <w:sz w:val="17"/>
                      <w:szCs w:val="17"/>
                    </w:rPr>
                    <w:t>100</w:t>
                  </w:r>
                </w:p>
              </w:tc>
              <w:tc>
                <w:tcPr>
                  <w:tcW w:w="1046" w:type="dxa"/>
                  <w:shd w:val="clear" w:color="auto" w:fill="auto"/>
                </w:tcPr>
                <w:p w14:paraId="7D288A87" w14:textId="77777777" w:rsidR="00FC48B0" w:rsidRPr="00EF0504" w:rsidRDefault="00FC48B0" w:rsidP="00FC48B0">
                  <w:pPr>
                    <w:pStyle w:val="TableNote"/>
                    <w:spacing w:before="40" w:after="40"/>
                    <w:jc w:val="center"/>
                    <w:rPr>
                      <w:kern w:val="2"/>
                      <w:sz w:val="17"/>
                      <w:szCs w:val="17"/>
                    </w:rPr>
                  </w:pPr>
                  <w:r w:rsidRPr="00EF0504">
                    <w:rPr>
                      <w:kern w:val="2"/>
                      <w:sz w:val="17"/>
                      <w:szCs w:val="17"/>
                    </w:rPr>
                    <w:t>50</w:t>
                  </w:r>
                </w:p>
              </w:tc>
              <w:tc>
                <w:tcPr>
                  <w:tcW w:w="1049" w:type="dxa"/>
                  <w:shd w:val="clear" w:color="auto" w:fill="auto"/>
                </w:tcPr>
                <w:p w14:paraId="17576125" w14:textId="77777777" w:rsidR="00FC48B0" w:rsidRPr="00EF0504" w:rsidRDefault="00FC48B0" w:rsidP="00FC48B0">
                  <w:pPr>
                    <w:pStyle w:val="TableNote"/>
                    <w:spacing w:before="40" w:after="40"/>
                    <w:jc w:val="center"/>
                    <w:rPr>
                      <w:kern w:val="2"/>
                      <w:sz w:val="17"/>
                      <w:szCs w:val="17"/>
                    </w:rPr>
                  </w:pPr>
                  <w:r w:rsidRPr="00EF0504">
                    <w:rPr>
                      <w:kern w:val="2"/>
                      <w:sz w:val="17"/>
                      <w:szCs w:val="17"/>
                    </w:rPr>
                    <w:t>30</w:t>
                  </w:r>
                </w:p>
              </w:tc>
              <w:tc>
                <w:tcPr>
                  <w:tcW w:w="1046" w:type="dxa"/>
                  <w:shd w:val="clear" w:color="auto" w:fill="auto"/>
                </w:tcPr>
                <w:p w14:paraId="0E3684E9"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r>
            <w:tr w:rsidR="00FC48B0" w:rsidRPr="00EF0504" w14:paraId="5DAD3778" w14:textId="77777777" w:rsidTr="00FC48B0">
              <w:tc>
                <w:tcPr>
                  <w:tcW w:w="443" w:type="dxa"/>
                  <w:shd w:val="clear" w:color="auto" w:fill="auto"/>
                </w:tcPr>
                <w:p w14:paraId="746EFA43" w14:textId="77777777" w:rsidR="00FC48B0" w:rsidRPr="00EF0504" w:rsidRDefault="00FC48B0" w:rsidP="00FC48B0">
                  <w:pPr>
                    <w:pStyle w:val="TableNote"/>
                    <w:spacing w:before="40" w:after="40"/>
                    <w:rPr>
                      <w:kern w:val="2"/>
                      <w:sz w:val="17"/>
                      <w:szCs w:val="17"/>
                    </w:rPr>
                  </w:pPr>
                  <w:r w:rsidRPr="00EF0504">
                    <w:rPr>
                      <w:kern w:val="2"/>
                      <w:sz w:val="17"/>
                      <w:szCs w:val="17"/>
                    </w:rPr>
                    <w:t>(iv)</w:t>
                  </w:r>
                </w:p>
              </w:tc>
              <w:tc>
                <w:tcPr>
                  <w:tcW w:w="2707" w:type="dxa"/>
                  <w:shd w:val="clear" w:color="auto" w:fill="auto"/>
                </w:tcPr>
                <w:p w14:paraId="6083D785" w14:textId="71E02398" w:rsidR="00FC48B0" w:rsidRPr="008A5B12" w:rsidRDefault="00F529B7" w:rsidP="00065234">
                  <w:pPr>
                    <w:pStyle w:val="TableNote"/>
                    <w:spacing w:before="40" w:after="40"/>
                    <w:rPr>
                      <w:rFonts w:ascii="細明體" w:eastAsia="細明體" w:hAnsi="細明體"/>
                      <w:kern w:val="2"/>
                      <w:sz w:val="17"/>
                      <w:szCs w:val="17"/>
                      <w:lang w:eastAsia="zh-TW"/>
                    </w:rPr>
                  </w:pPr>
                  <w:r w:rsidRPr="008A5B12">
                    <w:rPr>
                      <w:rFonts w:ascii="細明體" w:eastAsia="細明體" w:hAnsi="細明體" w:cs="微軟正黑體" w:hint="eastAsia"/>
                      <w:kern w:val="2"/>
                      <w:sz w:val="17"/>
                      <w:szCs w:val="17"/>
                      <w:lang w:eastAsia="zh-TW"/>
                    </w:rPr>
                    <w:t>一筆</w:t>
                  </w:r>
                  <w:r w:rsidRPr="00B158C7">
                    <w:rPr>
                      <w:rFonts w:eastAsia="細明體" w:cs="Segoe UI"/>
                      <w:kern w:val="2"/>
                      <w:sz w:val="17"/>
                      <w:szCs w:val="17"/>
                      <w:lang w:eastAsia="zh-TW"/>
                    </w:rPr>
                    <w:t>20</w:t>
                  </w:r>
                  <w:r w:rsidR="00E751FA">
                    <w:rPr>
                      <w:rFonts w:ascii="細明體" w:eastAsia="細明體" w:hAnsi="細明體" w:cs="微軟正黑體" w:hint="eastAsia"/>
                      <w:kern w:val="2"/>
                      <w:sz w:val="17"/>
                      <w:szCs w:val="17"/>
                      <w:lang w:eastAsia="zh-TW"/>
                    </w:rPr>
                    <w:t>的無</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Pr="008A5B12">
                    <w:rPr>
                      <w:rFonts w:ascii="細明體" w:eastAsia="細明體" w:hAnsi="細明體" w:cs="微軟正黑體" w:hint="eastAsia"/>
                      <w:kern w:val="2"/>
                      <w:sz w:val="17"/>
                      <w:szCs w:val="17"/>
                      <w:lang w:eastAsia="zh-TW"/>
                    </w:rPr>
                    <w:t>貸款及一筆</w:t>
                  </w:r>
                  <w:r w:rsidRPr="00B158C7">
                    <w:rPr>
                      <w:rFonts w:eastAsia="細明體" w:cs="Segoe UI"/>
                      <w:kern w:val="2"/>
                      <w:sz w:val="17"/>
                      <w:szCs w:val="17"/>
                      <w:lang w:eastAsia="zh-TW"/>
                    </w:rPr>
                    <w:t>80</w:t>
                  </w:r>
                  <w:r w:rsidR="00E751FA">
                    <w:rPr>
                      <w:rFonts w:ascii="細明體" w:eastAsia="細明體" w:hAnsi="細明體" w:cs="微軟正黑體" w:hint="eastAsia"/>
                      <w:kern w:val="2"/>
                      <w:sz w:val="17"/>
                      <w:szCs w:val="17"/>
                      <w:lang w:eastAsia="zh-TW"/>
                    </w:rPr>
                    <w:t>的</w:t>
                  </w:r>
                  <w:r w:rsidR="00E751FA">
                    <w:rPr>
                      <w:rFonts w:ascii="細明體" w:eastAsia="細明體" w:hAnsi="細明體" w:cs="微軟正黑體" w:hint="eastAsia"/>
                      <w:kern w:val="2"/>
                      <w:sz w:val="17"/>
                      <w:szCs w:val="17"/>
                      <w:lang w:eastAsia="zh-HK"/>
                    </w:rPr>
                    <w:t>有</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Pr="008A5B12">
                    <w:rPr>
                      <w:rFonts w:ascii="細明體" w:eastAsia="細明體" w:hAnsi="細明體" w:cs="微軟正黑體" w:hint="eastAsia"/>
                      <w:kern w:val="2"/>
                      <w:sz w:val="17"/>
                      <w:szCs w:val="17"/>
                      <w:lang w:eastAsia="zh-TW"/>
                    </w:rPr>
                    <w:t>貸款。該</w:t>
                  </w:r>
                  <w:r w:rsidR="00E751FA">
                    <w:rPr>
                      <w:rFonts w:ascii="細明體" w:eastAsia="細明體" w:hAnsi="細明體" w:cs="微軟正黑體" w:hint="eastAsia"/>
                      <w:kern w:val="2"/>
                      <w:sz w:val="17"/>
                      <w:szCs w:val="17"/>
                      <w:lang w:eastAsia="zh-HK"/>
                    </w:rPr>
                    <w:t>有</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Pr="008A5B12">
                    <w:rPr>
                      <w:rFonts w:ascii="細明體" w:eastAsia="細明體" w:hAnsi="細明體" w:cs="微軟正黑體" w:hint="eastAsia"/>
                      <w:kern w:val="2"/>
                      <w:sz w:val="17"/>
                      <w:szCs w:val="17"/>
                      <w:lang w:eastAsia="zh-TW"/>
                    </w:rPr>
                    <w:t>貸款已</w:t>
                  </w:r>
                  <w:r w:rsidR="00E751FA">
                    <w:rPr>
                      <w:rFonts w:ascii="細明體" w:eastAsia="細明體" w:hAnsi="細明體" w:cs="微軟正黑體" w:hint="eastAsia"/>
                      <w:kern w:val="2"/>
                      <w:sz w:val="17"/>
                      <w:szCs w:val="17"/>
                      <w:lang w:eastAsia="zh-TW"/>
                    </w:rPr>
                    <w:t>超額</w:t>
                  </w:r>
                  <w:r w:rsidR="00E751FA">
                    <w:rPr>
                      <w:rFonts w:ascii="細明體" w:eastAsia="細明體" w:hAnsi="細明體" w:cs="微軟正黑體" w:hint="eastAsia"/>
                      <w:kern w:val="2"/>
                      <w:sz w:val="17"/>
                      <w:szCs w:val="17"/>
                      <w:lang w:eastAsia="zh-HK"/>
                    </w:rPr>
                    <w:t>保證</w:t>
                  </w:r>
                  <w:r w:rsidR="00E751FA">
                    <w:rPr>
                      <w:rFonts w:ascii="細明體" w:eastAsia="細明體" w:hAnsi="細明體" w:hint="eastAsia"/>
                      <w:kern w:val="2"/>
                      <w:sz w:val="17"/>
                      <w:szCs w:val="17"/>
                      <w:lang w:eastAsia="zh-HK"/>
                    </w:rPr>
                    <w:t>：</w:t>
                  </w:r>
                  <w:r w:rsidRPr="00B158C7">
                    <w:rPr>
                      <w:rFonts w:eastAsia="細明體" w:cs="Segoe UI"/>
                      <w:kern w:val="2"/>
                      <w:sz w:val="17"/>
                      <w:szCs w:val="17"/>
                      <w:lang w:eastAsia="zh-TW"/>
                    </w:rPr>
                    <w:t>60</w:t>
                  </w:r>
                  <w:r w:rsidR="00E751FA">
                    <w:rPr>
                      <w:rFonts w:ascii="細明體" w:eastAsia="細明體" w:hAnsi="細明體" w:cs="微軟正黑體" w:hint="eastAsia"/>
                      <w:kern w:val="2"/>
                      <w:sz w:val="17"/>
                      <w:szCs w:val="17"/>
                      <w:lang w:eastAsia="zh-HK"/>
                    </w:rPr>
                    <w:t>為</w:t>
                  </w:r>
                  <w:r w:rsidRPr="008A5B12">
                    <w:rPr>
                      <w:rFonts w:ascii="細明體" w:eastAsia="細明體" w:hAnsi="細明體" w:cs="微軟正黑體" w:hint="eastAsia"/>
                      <w:kern w:val="2"/>
                      <w:sz w:val="17"/>
                      <w:szCs w:val="17"/>
                      <w:lang w:eastAsia="zh-TW"/>
                    </w:rPr>
                    <w:t>認可抵押品</w:t>
                  </w:r>
                  <w:r w:rsidR="0088502A"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00D86A38" w:rsidRPr="008A5B12">
                    <w:rPr>
                      <w:rFonts w:ascii="細明體" w:eastAsia="細明體" w:hAnsi="細明體" w:cs="Segoe UI" w:hint="eastAsia"/>
                      <w:bCs/>
                      <w:sz w:val="17"/>
                      <w:szCs w:val="17"/>
                      <w:lang w:eastAsia="ar-SA"/>
                    </w:rPr>
                    <w:t>，</w:t>
                  </w:r>
                  <w:r w:rsidRPr="00B158C7">
                    <w:rPr>
                      <w:rFonts w:eastAsia="細明體" w:cs="Segoe UI"/>
                      <w:kern w:val="2"/>
                      <w:sz w:val="17"/>
                      <w:szCs w:val="17"/>
                      <w:lang w:eastAsia="zh-TW"/>
                    </w:rPr>
                    <w:t>90</w:t>
                  </w:r>
                  <w:r w:rsidR="00E751FA">
                    <w:rPr>
                      <w:rFonts w:ascii="細明體" w:eastAsia="細明體" w:hAnsi="細明體" w:cs="微軟正黑體" w:hint="eastAsia"/>
                      <w:kern w:val="2"/>
                      <w:sz w:val="17"/>
                      <w:szCs w:val="17"/>
                      <w:lang w:eastAsia="zh-HK"/>
                    </w:rPr>
                    <w:t>為</w:t>
                  </w:r>
                  <w:r w:rsidRPr="008A5B12">
                    <w:rPr>
                      <w:rFonts w:ascii="細明體" w:eastAsia="細明體" w:hAnsi="細明體" w:cs="微軟正黑體" w:hint="eastAsia"/>
                      <w:kern w:val="2"/>
                      <w:sz w:val="17"/>
                      <w:szCs w:val="17"/>
                      <w:lang w:eastAsia="zh-TW"/>
                    </w:rPr>
                    <w:t>認可擔保</w:t>
                  </w:r>
                  <w:r w:rsidR="0068061E"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00065234" w:rsidRPr="008A5B12">
                    <w:rPr>
                      <w:rFonts w:ascii="細明體" w:eastAsia="細明體" w:hAnsi="細明體" w:cs="Segoe UI" w:hint="eastAsia"/>
                      <w:bCs/>
                      <w:sz w:val="17"/>
                      <w:szCs w:val="17"/>
                      <w:lang w:eastAsia="ar-SA"/>
                    </w:rPr>
                    <w:t>，</w:t>
                  </w:r>
                  <w:r w:rsidRPr="008A5B12">
                    <w:rPr>
                      <w:rFonts w:ascii="細明體" w:eastAsia="細明體" w:hAnsi="細明體" w:cs="微軟正黑體" w:hint="eastAsia"/>
                      <w:kern w:val="2"/>
                      <w:sz w:val="17"/>
                      <w:szCs w:val="17"/>
                      <w:lang w:eastAsia="zh-HK"/>
                    </w:rPr>
                    <w:t>無</w:t>
                  </w:r>
                  <w:r w:rsidRPr="008A5B12">
                    <w:rPr>
                      <w:rFonts w:ascii="細明體" w:eastAsia="細明體" w:hAnsi="細明體" w:cs="微軟正黑體" w:hint="eastAsia"/>
                      <w:kern w:val="2"/>
                      <w:sz w:val="17"/>
                      <w:szCs w:val="17"/>
                      <w:lang w:eastAsia="zh-TW"/>
                    </w:rPr>
                    <w:t>認可信用衍生工具</w:t>
                  </w:r>
                  <w:r w:rsidR="00E61F90">
                    <w:rPr>
                      <w:rFonts w:ascii="細明體" w:eastAsia="細明體" w:hAnsi="細明體" w:cs="微軟正黑體" w:hint="eastAsia"/>
                      <w:kern w:val="2"/>
                      <w:sz w:val="17"/>
                      <w:szCs w:val="17"/>
                      <w:lang w:eastAsia="zh-HK"/>
                    </w:rPr>
                    <w:t>合約</w:t>
                  </w:r>
                  <w:r w:rsidR="00E751FA">
                    <w:rPr>
                      <w:rFonts w:ascii="細明體" w:eastAsia="細明體" w:hAnsi="細明體" w:cs="微軟正黑體" w:hint="eastAsia"/>
                      <w:kern w:val="2"/>
                      <w:sz w:val="17"/>
                      <w:szCs w:val="17"/>
                      <w:lang w:eastAsia="zh-HK"/>
                    </w:rPr>
                    <w:t>作</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Pr="008A5B12">
                    <w:rPr>
                      <w:rFonts w:ascii="細明體" w:eastAsia="細明體" w:hAnsi="細明體" w:cs="微軟正黑體" w:hint="eastAsia"/>
                      <w:kern w:val="2"/>
                      <w:sz w:val="17"/>
                      <w:szCs w:val="17"/>
                      <w:lang w:eastAsia="zh-TW"/>
                    </w:rPr>
                    <w:t>。如認可機構預期</w:t>
                  </w:r>
                  <w:r w:rsidRPr="008A5B12">
                    <w:rPr>
                      <w:rFonts w:ascii="細明體" w:eastAsia="細明體" w:hAnsi="細明體" w:cs="微軟正黑體" w:hint="eastAsia"/>
                      <w:kern w:val="2"/>
                      <w:sz w:val="17"/>
                      <w:szCs w:val="17"/>
                      <w:lang w:eastAsia="zh-HK"/>
                    </w:rPr>
                    <w:t>認可</w:t>
                  </w:r>
                  <w:r w:rsidRPr="008A5B12">
                    <w:rPr>
                      <w:rFonts w:ascii="細明體" w:eastAsia="細明體" w:hAnsi="細明體" w:cs="微軟正黑體" w:hint="eastAsia"/>
                      <w:kern w:val="2"/>
                      <w:sz w:val="17"/>
                      <w:szCs w:val="17"/>
                      <w:lang w:eastAsia="zh-TW"/>
                    </w:rPr>
                    <w:t>抵押品會首先</w:t>
                  </w:r>
                  <w:r w:rsidR="006E7E01">
                    <w:rPr>
                      <w:rFonts w:ascii="細明體" w:eastAsia="細明體" w:hAnsi="細明體" w:cs="微軟正黑體" w:hint="eastAsia"/>
                      <w:kern w:val="2"/>
                      <w:sz w:val="17"/>
                      <w:szCs w:val="17"/>
                      <w:lang w:eastAsia="zh-HK"/>
                    </w:rPr>
                    <w:t>被</w:t>
                  </w:r>
                  <w:r w:rsidRPr="008A5B12">
                    <w:rPr>
                      <w:rFonts w:ascii="細明體" w:eastAsia="細明體" w:hAnsi="細明體" w:cs="微軟正黑體" w:hint="eastAsia"/>
                      <w:kern w:val="2"/>
                      <w:sz w:val="17"/>
                      <w:szCs w:val="17"/>
                      <w:lang w:eastAsia="zh-TW"/>
                    </w:rPr>
                    <w:t>終絕。</w:t>
                  </w:r>
                </w:p>
              </w:tc>
              <w:tc>
                <w:tcPr>
                  <w:tcW w:w="1030" w:type="dxa"/>
                  <w:shd w:val="clear" w:color="auto" w:fill="auto"/>
                </w:tcPr>
                <w:p w14:paraId="3CEFFAD5" w14:textId="77777777" w:rsidR="00FC48B0" w:rsidRPr="00EF0504" w:rsidRDefault="00FC48B0" w:rsidP="00FC48B0">
                  <w:pPr>
                    <w:pStyle w:val="TableNote"/>
                    <w:spacing w:before="40" w:after="40"/>
                    <w:jc w:val="center"/>
                    <w:rPr>
                      <w:kern w:val="2"/>
                      <w:sz w:val="17"/>
                      <w:szCs w:val="17"/>
                    </w:rPr>
                  </w:pPr>
                  <w:r w:rsidRPr="00EF0504">
                    <w:rPr>
                      <w:kern w:val="2"/>
                      <w:sz w:val="17"/>
                      <w:szCs w:val="17"/>
                    </w:rPr>
                    <w:t>20</w:t>
                  </w:r>
                </w:p>
              </w:tc>
              <w:tc>
                <w:tcPr>
                  <w:tcW w:w="1002" w:type="dxa"/>
                  <w:shd w:val="clear" w:color="auto" w:fill="auto"/>
                </w:tcPr>
                <w:p w14:paraId="5D769E56" w14:textId="77777777" w:rsidR="00FC48B0" w:rsidRPr="00EF0504" w:rsidRDefault="00FC48B0" w:rsidP="00FC48B0">
                  <w:pPr>
                    <w:pStyle w:val="TableNote"/>
                    <w:spacing w:before="40" w:after="40"/>
                    <w:jc w:val="center"/>
                    <w:rPr>
                      <w:kern w:val="2"/>
                      <w:sz w:val="17"/>
                      <w:szCs w:val="17"/>
                    </w:rPr>
                  </w:pPr>
                  <w:r w:rsidRPr="00EF0504">
                    <w:rPr>
                      <w:kern w:val="2"/>
                      <w:sz w:val="17"/>
                      <w:szCs w:val="17"/>
                    </w:rPr>
                    <w:t>80</w:t>
                  </w:r>
                </w:p>
              </w:tc>
              <w:tc>
                <w:tcPr>
                  <w:tcW w:w="1046" w:type="dxa"/>
                  <w:shd w:val="clear" w:color="auto" w:fill="auto"/>
                </w:tcPr>
                <w:p w14:paraId="2AA524BB" w14:textId="77777777" w:rsidR="00FC48B0" w:rsidRPr="00EF0504" w:rsidRDefault="00FC48B0" w:rsidP="00FC48B0">
                  <w:pPr>
                    <w:pStyle w:val="TableNote"/>
                    <w:spacing w:before="40" w:after="40"/>
                    <w:jc w:val="center"/>
                    <w:rPr>
                      <w:kern w:val="2"/>
                      <w:sz w:val="17"/>
                      <w:szCs w:val="17"/>
                    </w:rPr>
                  </w:pPr>
                  <w:r w:rsidRPr="00EF0504">
                    <w:rPr>
                      <w:kern w:val="2"/>
                      <w:sz w:val="17"/>
                      <w:szCs w:val="17"/>
                    </w:rPr>
                    <w:t>60</w:t>
                  </w:r>
                </w:p>
              </w:tc>
              <w:tc>
                <w:tcPr>
                  <w:tcW w:w="1049" w:type="dxa"/>
                  <w:shd w:val="clear" w:color="auto" w:fill="auto"/>
                </w:tcPr>
                <w:p w14:paraId="1C7EEB75" w14:textId="77777777" w:rsidR="00FC48B0" w:rsidRPr="00EF0504" w:rsidRDefault="00FC48B0" w:rsidP="00FC48B0">
                  <w:pPr>
                    <w:pStyle w:val="TableNote"/>
                    <w:spacing w:before="40" w:after="40"/>
                    <w:jc w:val="center"/>
                    <w:rPr>
                      <w:kern w:val="2"/>
                      <w:sz w:val="17"/>
                      <w:szCs w:val="17"/>
                    </w:rPr>
                  </w:pPr>
                  <w:r w:rsidRPr="00EF0504">
                    <w:rPr>
                      <w:kern w:val="2"/>
                      <w:sz w:val="17"/>
                      <w:szCs w:val="17"/>
                    </w:rPr>
                    <w:t>20</w:t>
                  </w:r>
                </w:p>
              </w:tc>
              <w:tc>
                <w:tcPr>
                  <w:tcW w:w="1046" w:type="dxa"/>
                  <w:shd w:val="clear" w:color="auto" w:fill="auto"/>
                </w:tcPr>
                <w:p w14:paraId="4C1BB2F5"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r>
            <w:tr w:rsidR="00FC48B0" w:rsidRPr="00EF0504" w14:paraId="5666A15D" w14:textId="77777777" w:rsidTr="00FC48B0">
              <w:tc>
                <w:tcPr>
                  <w:tcW w:w="443" w:type="dxa"/>
                  <w:shd w:val="clear" w:color="auto" w:fill="auto"/>
                </w:tcPr>
                <w:p w14:paraId="5935E7F6" w14:textId="77777777" w:rsidR="00FC48B0" w:rsidRPr="00EF0504" w:rsidRDefault="00FC48B0" w:rsidP="00FC48B0">
                  <w:pPr>
                    <w:pStyle w:val="TableNote"/>
                    <w:spacing w:before="40" w:after="40"/>
                    <w:rPr>
                      <w:kern w:val="2"/>
                      <w:sz w:val="17"/>
                      <w:szCs w:val="17"/>
                    </w:rPr>
                  </w:pPr>
                  <w:r w:rsidRPr="00EF0504">
                    <w:rPr>
                      <w:kern w:val="2"/>
                      <w:sz w:val="17"/>
                      <w:szCs w:val="17"/>
                    </w:rPr>
                    <w:t>(v)</w:t>
                  </w:r>
                </w:p>
              </w:tc>
              <w:tc>
                <w:tcPr>
                  <w:tcW w:w="2707" w:type="dxa"/>
                  <w:shd w:val="clear" w:color="auto" w:fill="auto"/>
                </w:tcPr>
                <w:p w14:paraId="04109B64" w14:textId="7483F38A" w:rsidR="00FC48B0" w:rsidRPr="008A5B12" w:rsidRDefault="00F529B7" w:rsidP="0068061E">
                  <w:pPr>
                    <w:pStyle w:val="TableNote"/>
                    <w:spacing w:before="40" w:after="40"/>
                    <w:rPr>
                      <w:rFonts w:ascii="細明體" w:eastAsia="細明體" w:hAnsi="細明體"/>
                      <w:kern w:val="2"/>
                      <w:sz w:val="17"/>
                      <w:szCs w:val="17"/>
                      <w:lang w:eastAsia="zh-TW"/>
                    </w:rPr>
                  </w:pPr>
                  <w:r w:rsidRPr="008A5B12">
                    <w:rPr>
                      <w:rFonts w:ascii="細明體" w:eastAsia="細明體" w:hAnsi="細明體" w:cs="微軟正黑體" w:hint="eastAsia"/>
                      <w:kern w:val="2"/>
                      <w:sz w:val="17"/>
                      <w:szCs w:val="17"/>
                      <w:lang w:eastAsia="zh-TW"/>
                    </w:rPr>
                    <w:t>一筆</w:t>
                  </w:r>
                  <w:r w:rsidRPr="00D04D59">
                    <w:rPr>
                      <w:rFonts w:eastAsia="細明體" w:cs="Segoe UI"/>
                      <w:kern w:val="2"/>
                      <w:sz w:val="17"/>
                      <w:szCs w:val="17"/>
                      <w:lang w:eastAsia="zh-TW"/>
                    </w:rPr>
                    <w:t>20</w:t>
                  </w:r>
                  <w:r w:rsidR="00E751FA">
                    <w:rPr>
                      <w:rFonts w:ascii="細明體" w:eastAsia="細明體" w:hAnsi="細明體" w:cs="微軟正黑體" w:hint="eastAsia"/>
                      <w:kern w:val="2"/>
                      <w:sz w:val="17"/>
                      <w:szCs w:val="17"/>
                      <w:lang w:eastAsia="zh-TW"/>
                    </w:rPr>
                    <w:t>的無</w:t>
                  </w:r>
                  <w:r w:rsidR="00E751FA">
                    <w:rPr>
                      <w:rFonts w:ascii="細明體" w:eastAsia="細明體" w:hAnsi="細明體" w:cs="微軟正黑體" w:hint="eastAsia"/>
                      <w:kern w:val="2"/>
                      <w:sz w:val="17"/>
                      <w:szCs w:val="17"/>
                      <w:lang w:eastAsia="zh-HK"/>
                    </w:rPr>
                    <w:t>保</w:t>
                  </w:r>
                  <w:r w:rsidR="00E751FA">
                    <w:rPr>
                      <w:rFonts w:ascii="細明體" w:eastAsia="細明體" w:hAnsi="細明體" w:cs="微軟正黑體" w:hint="eastAsia"/>
                      <w:kern w:val="2"/>
                      <w:sz w:val="17"/>
                      <w:szCs w:val="17"/>
                      <w:lang w:eastAsia="zh-TW"/>
                    </w:rPr>
                    <w:t>證</w:t>
                  </w:r>
                  <w:r w:rsidRPr="008A5B12">
                    <w:rPr>
                      <w:rFonts w:ascii="細明體" w:eastAsia="細明體" w:hAnsi="細明體" w:cs="微軟正黑體" w:hint="eastAsia"/>
                      <w:kern w:val="2"/>
                      <w:sz w:val="17"/>
                      <w:szCs w:val="17"/>
                      <w:lang w:eastAsia="zh-TW"/>
                    </w:rPr>
                    <w:t>貸款及一筆</w:t>
                  </w:r>
                  <w:r w:rsidRPr="00B158C7">
                    <w:rPr>
                      <w:rFonts w:eastAsia="細明體" w:cs="Segoe UI"/>
                      <w:kern w:val="2"/>
                      <w:sz w:val="17"/>
                      <w:szCs w:val="17"/>
                      <w:lang w:eastAsia="zh-TW"/>
                    </w:rPr>
                    <w:t>80</w:t>
                  </w:r>
                  <w:r w:rsidR="0068061E" w:rsidRPr="008A5B12">
                    <w:rPr>
                      <w:rFonts w:ascii="細明體" w:eastAsia="細明體" w:hAnsi="細明體" w:cs="微軟正黑體" w:hint="eastAsia"/>
                      <w:kern w:val="2"/>
                      <w:sz w:val="17"/>
                      <w:szCs w:val="17"/>
                      <w:lang w:eastAsia="zh-TW"/>
                    </w:rPr>
                    <w:t>的</w:t>
                  </w:r>
                  <w:r w:rsidR="00E751FA">
                    <w:rPr>
                      <w:rFonts w:ascii="細明體" w:eastAsia="細明體" w:hAnsi="細明體" w:cs="微軟正黑體" w:hint="eastAsia"/>
                      <w:kern w:val="2"/>
                      <w:sz w:val="17"/>
                      <w:szCs w:val="17"/>
                      <w:lang w:eastAsia="zh-HK"/>
                    </w:rPr>
                    <w:t>有</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0068061E" w:rsidRPr="008A5B12">
                    <w:rPr>
                      <w:rFonts w:ascii="細明體" w:eastAsia="細明體" w:hAnsi="細明體" w:cs="微軟正黑體" w:hint="eastAsia"/>
                      <w:kern w:val="2"/>
                      <w:sz w:val="17"/>
                      <w:szCs w:val="17"/>
                      <w:lang w:eastAsia="zh-TW"/>
                    </w:rPr>
                    <w:t>貸款。該</w:t>
                  </w:r>
                  <w:r w:rsidR="00E751FA">
                    <w:rPr>
                      <w:rFonts w:ascii="細明體" w:eastAsia="細明體" w:hAnsi="細明體" w:cs="微軟正黑體" w:hint="eastAsia"/>
                      <w:kern w:val="2"/>
                      <w:sz w:val="17"/>
                      <w:szCs w:val="17"/>
                      <w:lang w:eastAsia="zh-HK"/>
                    </w:rPr>
                    <w:t>有</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0068061E" w:rsidRPr="008A5B12">
                    <w:rPr>
                      <w:rFonts w:ascii="細明體" w:eastAsia="細明體" w:hAnsi="細明體" w:cs="微軟正黑體" w:hint="eastAsia"/>
                      <w:kern w:val="2"/>
                      <w:sz w:val="17"/>
                      <w:szCs w:val="17"/>
                      <w:lang w:eastAsia="zh-TW"/>
                    </w:rPr>
                    <w:t>貸款</w:t>
                  </w:r>
                  <w:r w:rsidR="00E751FA">
                    <w:rPr>
                      <w:rFonts w:eastAsia="細明體" w:cs="Segoe UI" w:hint="eastAsia"/>
                      <w:sz w:val="17"/>
                      <w:szCs w:val="17"/>
                      <w:lang w:eastAsia="zh-HK"/>
                    </w:rPr>
                    <w:t>保</w:t>
                  </w:r>
                  <w:r w:rsidR="00E751FA">
                    <w:rPr>
                      <w:rFonts w:eastAsia="細明體" w:cs="Segoe UI" w:hint="eastAsia"/>
                      <w:sz w:val="17"/>
                      <w:szCs w:val="17"/>
                      <w:lang w:eastAsia="zh-TW"/>
                    </w:rPr>
                    <w:t>證</w:t>
                  </w:r>
                  <w:r w:rsidR="0068061E" w:rsidRPr="008A5B12">
                    <w:rPr>
                      <w:rFonts w:ascii="細明體" w:eastAsia="細明體" w:hAnsi="細明體" w:cs="微軟正黑體"/>
                      <w:kern w:val="2"/>
                      <w:sz w:val="17"/>
                      <w:szCs w:val="17"/>
                      <w:lang w:eastAsia="zh-TW"/>
                    </w:rPr>
                    <w:t>不足</w:t>
                  </w:r>
                  <w:r w:rsidR="00E751FA">
                    <w:rPr>
                      <w:rFonts w:ascii="細明體" w:eastAsia="細明體" w:hAnsi="細明體" w:hint="eastAsia"/>
                      <w:kern w:val="2"/>
                      <w:sz w:val="17"/>
                      <w:szCs w:val="17"/>
                      <w:lang w:eastAsia="zh-HK"/>
                    </w:rPr>
                    <w:t>：</w:t>
                  </w:r>
                  <w:r w:rsidR="0068061E" w:rsidRPr="00B158C7">
                    <w:rPr>
                      <w:rFonts w:eastAsia="細明體" w:cs="Segoe UI"/>
                      <w:kern w:val="2"/>
                      <w:sz w:val="17"/>
                      <w:szCs w:val="17"/>
                      <w:lang w:eastAsia="zh-TW"/>
                    </w:rPr>
                    <w:t>5</w:t>
                  </w:r>
                  <w:r w:rsidRPr="00B158C7">
                    <w:rPr>
                      <w:rFonts w:eastAsia="細明體" w:cs="Segoe UI"/>
                      <w:kern w:val="2"/>
                      <w:sz w:val="17"/>
                      <w:szCs w:val="17"/>
                      <w:lang w:eastAsia="zh-TW"/>
                    </w:rPr>
                    <w:t>0</w:t>
                  </w:r>
                  <w:r w:rsidR="00E751FA">
                    <w:rPr>
                      <w:rFonts w:ascii="細明體" w:eastAsia="細明體" w:hAnsi="細明體" w:cs="微軟正黑體" w:hint="eastAsia"/>
                      <w:kern w:val="2"/>
                      <w:sz w:val="17"/>
                      <w:szCs w:val="17"/>
                      <w:lang w:eastAsia="zh-HK"/>
                    </w:rPr>
                    <w:t>為</w:t>
                  </w:r>
                  <w:r w:rsidRPr="008A5B12">
                    <w:rPr>
                      <w:rFonts w:ascii="細明體" w:eastAsia="細明體" w:hAnsi="細明體" w:cs="微軟正黑體" w:hint="eastAsia"/>
                      <w:kern w:val="2"/>
                      <w:sz w:val="17"/>
                      <w:szCs w:val="17"/>
                      <w:lang w:eastAsia="zh-TW"/>
                    </w:rPr>
                    <w:t>認可抵押品</w:t>
                  </w:r>
                  <w:r w:rsidR="0068061E"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00065234" w:rsidRPr="008A5B12">
                    <w:rPr>
                      <w:rFonts w:ascii="細明體" w:eastAsia="細明體" w:hAnsi="細明體" w:cs="Segoe UI" w:hint="eastAsia"/>
                      <w:bCs/>
                      <w:sz w:val="17"/>
                      <w:szCs w:val="17"/>
                      <w:lang w:eastAsia="ar-SA"/>
                    </w:rPr>
                    <w:t>，</w:t>
                  </w:r>
                  <w:r w:rsidR="0068061E" w:rsidRPr="00B158C7">
                    <w:rPr>
                      <w:rFonts w:eastAsia="細明體" w:cs="Segoe UI"/>
                      <w:kern w:val="2"/>
                      <w:sz w:val="17"/>
                      <w:szCs w:val="17"/>
                      <w:lang w:eastAsia="zh-TW"/>
                    </w:rPr>
                    <w:t>2</w:t>
                  </w:r>
                  <w:r w:rsidRPr="00B158C7">
                    <w:rPr>
                      <w:rFonts w:eastAsia="細明體" w:cs="Segoe UI"/>
                      <w:kern w:val="2"/>
                      <w:sz w:val="17"/>
                      <w:szCs w:val="17"/>
                      <w:lang w:eastAsia="zh-TW"/>
                    </w:rPr>
                    <w:t>0</w:t>
                  </w:r>
                  <w:r w:rsidR="00E751FA">
                    <w:rPr>
                      <w:rFonts w:ascii="細明體" w:eastAsia="細明體" w:hAnsi="細明體" w:cs="微軟正黑體" w:hint="eastAsia"/>
                      <w:kern w:val="2"/>
                      <w:sz w:val="17"/>
                      <w:szCs w:val="17"/>
                      <w:lang w:eastAsia="zh-HK"/>
                    </w:rPr>
                    <w:t>為</w:t>
                  </w:r>
                  <w:r w:rsidRPr="008A5B12">
                    <w:rPr>
                      <w:rFonts w:ascii="細明體" w:eastAsia="細明體" w:hAnsi="細明體" w:cs="微軟正黑體" w:hint="eastAsia"/>
                      <w:kern w:val="2"/>
                      <w:sz w:val="17"/>
                      <w:szCs w:val="17"/>
                      <w:lang w:eastAsia="zh-TW"/>
                    </w:rPr>
                    <w:t>認可擔保</w:t>
                  </w:r>
                  <w:r w:rsidR="0068061E" w:rsidRPr="008A5B12">
                    <w:rPr>
                      <w:rFonts w:ascii="細明體" w:eastAsia="細明體" w:hAnsi="細明體" w:cs="微軟正黑體" w:hint="eastAsia"/>
                      <w:kern w:val="2"/>
                      <w:sz w:val="17"/>
                      <w:szCs w:val="17"/>
                      <w:lang w:eastAsia="zh-TW"/>
                    </w:rPr>
                    <w:t>（</w:t>
                  </w:r>
                  <w:r w:rsidR="00E61F90">
                    <w:rPr>
                      <w:rFonts w:ascii="細明體" w:eastAsia="細明體" w:hAnsi="細明體" w:cs="微軟正黑體" w:hint="eastAsia"/>
                      <w:kern w:val="2"/>
                      <w:sz w:val="17"/>
                      <w:szCs w:val="17"/>
                      <w:lang w:eastAsia="zh-HK"/>
                    </w:rPr>
                    <w:t>扣除</w:t>
                  </w:r>
                  <w:r w:rsidRPr="008A5B12">
                    <w:rPr>
                      <w:rFonts w:ascii="細明體" w:eastAsia="細明體" w:hAnsi="細明體" w:cs="微軟正黑體" w:hint="eastAsia"/>
                      <w:kern w:val="2"/>
                      <w:sz w:val="17"/>
                      <w:szCs w:val="17"/>
                      <w:lang w:eastAsia="zh-TW"/>
                    </w:rPr>
                    <w:t>扣減後</w:t>
                  </w:r>
                  <w:r w:rsidR="0088502A" w:rsidRPr="008A5B12">
                    <w:rPr>
                      <w:rFonts w:ascii="細明體" w:eastAsia="細明體" w:hAnsi="細明體" w:cs="微軟正黑體" w:hint="eastAsia"/>
                      <w:kern w:val="2"/>
                      <w:sz w:val="17"/>
                      <w:szCs w:val="17"/>
                      <w:lang w:eastAsia="zh-TW"/>
                    </w:rPr>
                    <w:t>）</w:t>
                  </w:r>
                  <w:r w:rsidR="00065234" w:rsidRPr="008A5B12">
                    <w:rPr>
                      <w:rFonts w:ascii="細明體" w:eastAsia="細明體" w:hAnsi="細明體" w:cs="Segoe UI" w:hint="eastAsia"/>
                      <w:bCs/>
                      <w:sz w:val="17"/>
                      <w:szCs w:val="17"/>
                      <w:lang w:eastAsia="ar-SA"/>
                    </w:rPr>
                    <w:t>，</w:t>
                  </w:r>
                  <w:r w:rsidRPr="008A5B12">
                    <w:rPr>
                      <w:rFonts w:ascii="細明體" w:eastAsia="細明體" w:hAnsi="細明體" w:cs="微軟正黑體" w:hint="eastAsia"/>
                      <w:kern w:val="2"/>
                      <w:sz w:val="17"/>
                      <w:szCs w:val="17"/>
                      <w:lang w:eastAsia="zh-HK"/>
                    </w:rPr>
                    <w:t>無</w:t>
                  </w:r>
                  <w:r w:rsidRPr="008A5B12">
                    <w:rPr>
                      <w:rFonts w:ascii="細明體" w:eastAsia="細明體" w:hAnsi="細明體" w:cs="微軟正黑體" w:hint="eastAsia"/>
                      <w:kern w:val="2"/>
                      <w:sz w:val="17"/>
                      <w:szCs w:val="17"/>
                      <w:lang w:eastAsia="zh-TW"/>
                    </w:rPr>
                    <w:t>認可信用衍生工具</w:t>
                  </w:r>
                  <w:r w:rsidR="00E61F90">
                    <w:rPr>
                      <w:rFonts w:ascii="細明體" w:eastAsia="細明體" w:hAnsi="細明體" w:cs="微軟正黑體" w:hint="eastAsia"/>
                      <w:kern w:val="2"/>
                      <w:sz w:val="17"/>
                      <w:szCs w:val="17"/>
                      <w:lang w:eastAsia="zh-HK"/>
                    </w:rPr>
                    <w:t>合約</w:t>
                  </w:r>
                  <w:r w:rsidR="00E751FA">
                    <w:rPr>
                      <w:rFonts w:ascii="細明體" w:eastAsia="細明體" w:hAnsi="細明體" w:cs="微軟正黑體" w:hint="eastAsia"/>
                      <w:kern w:val="2"/>
                      <w:sz w:val="17"/>
                      <w:szCs w:val="17"/>
                      <w:lang w:eastAsia="zh-HK"/>
                    </w:rPr>
                    <w:t>作保</w:t>
                  </w:r>
                  <w:r w:rsidR="00E751FA">
                    <w:rPr>
                      <w:rFonts w:ascii="細明體" w:eastAsia="細明體" w:hAnsi="細明體" w:cs="微軟正黑體" w:hint="eastAsia"/>
                      <w:kern w:val="2"/>
                      <w:sz w:val="17"/>
                      <w:szCs w:val="17"/>
                      <w:lang w:eastAsia="zh-TW"/>
                    </w:rPr>
                    <w:t>證</w:t>
                  </w:r>
                  <w:r w:rsidRPr="008A5B12">
                    <w:rPr>
                      <w:rFonts w:ascii="細明體" w:eastAsia="細明體" w:hAnsi="細明體" w:cs="微軟正黑體" w:hint="eastAsia"/>
                      <w:kern w:val="2"/>
                      <w:sz w:val="17"/>
                      <w:szCs w:val="17"/>
                      <w:lang w:eastAsia="zh-TW"/>
                    </w:rPr>
                    <w:t>。</w:t>
                  </w:r>
                </w:p>
              </w:tc>
              <w:tc>
                <w:tcPr>
                  <w:tcW w:w="1030" w:type="dxa"/>
                  <w:shd w:val="clear" w:color="auto" w:fill="auto"/>
                </w:tcPr>
                <w:p w14:paraId="0C2608B3" w14:textId="77777777" w:rsidR="00FC48B0" w:rsidRPr="00EF0504" w:rsidRDefault="00FC48B0" w:rsidP="00FC48B0">
                  <w:pPr>
                    <w:pStyle w:val="TableNote"/>
                    <w:spacing w:before="40" w:after="40"/>
                    <w:jc w:val="center"/>
                    <w:rPr>
                      <w:kern w:val="2"/>
                      <w:sz w:val="17"/>
                      <w:szCs w:val="17"/>
                    </w:rPr>
                  </w:pPr>
                  <w:r w:rsidRPr="00EF0504">
                    <w:rPr>
                      <w:kern w:val="2"/>
                      <w:sz w:val="17"/>
                      <w:szCs w:val="17"/>
                    </w:rPr>
                    <w:t>20</w:t>
                  </w:r>
                </w:p>
              </w:tc>
              <w:tc>
                <w:tcPr>
                  <w:tcW w:w="1002" w:type="dxa"/>
                  <w:shd w:val="clear" w:color="auto" w:fill="auto"/>
                </w:tcPr>
                <w:p w14:paraId="2A286570" w14:textId="77777777" w:rsidR="00FC48B0" w:rsidRPr="00EF0504" w:rsidRDefault="00FC48B0" w:rsidP="00FC48B0">
                  <w:pPr>
                    <w:pStyle w:val="TableNote"/>
                    <w:spacing w:before="40" w:after="40"/>
                    <w:jc w:val="center"/>
                    <w:rPr>
                      <w:kern w:val="2"/>
                      <w:sz w:val="17"/>
                      <w:szCs w:val="17"/>
                    </w:rPr>
                  </w:pPr>
                  <w:r w:rsidRPr="00EF0504">
                    <w:rPr>
                      <w:kern w:val="2"/>
                      <w:sz w:val="17"/>
                      <w:szCs w:val="17"/>
                    </w:rPr>
                    <w:t>80</w:t>
                  </w:r>
                </w:p>
              </w:tc>
              <w:tc>
                <w:tcPr>
                  <w:tcW w:w="1046" w:type="dxa"/>
                  <w:shd w:val="clear" w:color="auto" w:fill="auto"/>
                </w:tcPr>
                <w:p w14:paraId="6AC84C2E" w14:textId="77777777" w:rsidR="00FC48B0" w:rsidRPr="00EF0504" w:rsidRDefault="00FC48B0" w:rsidP="00FC48B0">
                  <w:pPr>
                    <w:pStyle w:val="TableNote"/>
                    <w:spacing w:before="40" w:after="40"/>
                    <w:jc w:val="center"/>
                    <w:rPr>
                      <w:kern w:val="2"/>
                      <w:sz w:val="17"/>
                      <w:szCs w:val="17"/>
                    </w:rPr>
                  </w:pPr>
                  <w:r w:rsidRPr="00EF0504">
                    <w:rPr>
                      <w:kern w:val="2"/>
                      <w:sz w:val="17"/>
                      <w:szCs w:val="17"/>
                    </w:rPr>
                    <w:t>50</w:t>
                  </w:r>
                </w:p>
              </w:tc>
              <w:tc>
                <w:tcPr>
                  <w:tcW w:w="1049" w:type="dxa"/>
                  <w:shd w:val="clear" w:color="auto" w:fill="auto"/>
                </w:tcPr>
                <w:p w14:paraId="211F8064" w14:textId="77777777" w:rsidR="00FC48B0" w:rsidRPr="00EF0504" w:rsidRDefault="00FC48B0" w:rsidP="00FC48B0">
                  <w:pPr>
                    <w:pStyle w:val="TableNote"/>
                    <w:spacing w:before="40" w:after="40"/>
                    <w:jc w:val="center"/>
                    <w:rPr>
                      <w:kern w:val="2"/>
                      <w:sz w:val="17"/>
                      <w:szCs w:val="17"/>
                    </w:rPr>
                  </w:pPr>
                  <w:r w:rsidRPr="00EF0504">
                    <w:rPr>
                      <w:kern w:val="2"/>
                      <w:sz w:val="17"/>
                      <w:szCs w:val="17"/>
                    </w:rPr>
                    <w:t>20</w:t>
                  </w:r>
                </w:p>
              </w:tc>
              <w:tc>
                <w:tcPr>
                  <w:tcW w:w="1046" w:type="dxa"/>
                  <w:shd w:val="clear" w:color="auto" w:fill="auto"/>
                </w:tcPr>
                <w:p w14:paraId="508D4396" w14:textId="77777777" w:rsidR="00FC48B0" w:rsidRPr="00EF0504" w:rsidRDefault="00FC48B0" w:rsidP="00FC48B0">
                  <w:pPr>
                    <w:pStyle w:val="TableNote"/>
                    <w:spacing w:before="40" w:after="40"/>
                    <w:jc w:val="center"/>
                    <w:rPr>
                      <w:kern w:val="2"/>
                      <w:sz w:val="17"/>
                      <w:szCs w:val="17"/>
                    </w:rPr>
                  </w:pPr>
                  <w:r w:rsidRPr="00EF0504">
                    <w:rPr>
                      <w:kern w:val="2"/>
                      <w:sz w:val="17"/>
                      <w:szCs w:val="17"/>
                    </w:rPr>
                    <w:t>0</w:t>
                  </w:r>
                </w:p>
              </w:tc>
            </w:tr>
          </w:tbl>
          <w:p w14:paraId="34BAECA6" w14:textId="55B2FD4F" w:rsidR="00FC48B0" w:rsidRPr="00034CB4" w:rsidRDefault="00FC48B0" w:rsidP="00272D6C">
            <w:pPr>
              <w:suppressAutoHyphens/>
              <w:spacing w:before="40" w:after="40"/>
              <w:jc w:val="both"/>
              <w:rPr>
                <w:rFonts w:eastAsia="細明體" w:cs="Segoe UI"/>
                <w:bCs/>
                <w:sz w:val="17"/>
                <w:szCs w:val="17"/>
                <w:lang w:eastAsia="ar-SA"/>
              </w:rPr>
            </w:pPr>
          </w:p>
        </w:tc>
      </w:tr>
      <w:tr w:rsidR="00272D6C" w:rsidRPr="00272D6C" w14:paraId="672006DD" w14:textId="77777777" w:rsidTr="005171C5">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A40E864"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szCs w:val="17"/>
                <w:lang w:eastAsia="ar-SA"/>
              </w:rPr>
              <w:t>行</w:t>
            </w:r>
          </w:p>
        </w:tc>
      </w:tr>
      <w:tr w:rsidR="00272D6C" w:rsidRPr="00272D6C" w14:paraId="511AFB61" w14:textId="77777777" w:rsidTr="005171C5">
        <w:tc>
          <w:tcPr>
            <w:tcW w:w="567" w:type="dxa"/>
            <w:tcBorders>
              <w:top w:val="single" w:sz="4" w:space="0" w:color="000000"/>
              <w:left w:val="single" w:sz="4" w:space="0" w:color="000000"/>
              <w:bottom w:val="single" w:sz="4" w:space="0" w:color="000000"/>
            </w:tcBorders>
            <w:shd w:val="clear" w:color="auto" w:fill="auto"/>
          </w:tcPr>
          <w:p w14:paraId="52B43183"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1</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65DC57A3" w14:textId="77777777" w:rsidR="00272D6C" w:rsidRPr="00272D6C" w:rsidRDefault="00272D6C" w:rsidP="00272D6C">
            <w:pPr>
              <w:keepLines/>
              <w:widowControl w:val="0"/>
              <w:tabs>
                <w:tab w:val="left" w:pos="150"/>
                <w:tab w:val="left" w:pos="397"/>
                <w:tab w:val="left" w:pos="794"/>
                <w:tab w:val="left" w:pos="1191"/>
              </w:tabs>
              <w:suppressAutoHyphens/>
              <w:spacing w:before="40" w:after="40"/>
              <w:jc w:val="both"/>
              <w:rPr>
                <w:rFonts w:cs="Segoe UI"/>
                <w:lang w:eastAsia="ar-SA"/>
              </w:rPr>
            </w:pPr>
            <w:r w:rsidRPr="00272D6C">
              <w:rPr>
                <w:rFonts w:eastAsia="細明體" w:cs="Segoe UI" w:hint="eastAsia"/>
                <w:i/>
                <w:sz w:val="17"/>
                <w:szCs w:val="17"/>
                <w:lang w:eastAsia="ar-SA"/>
              </w:rPr>
              <w:t>貸款</w:t>
            </w:r>
            <w:r w:rsidRPr="00272D6C">
              <w:rPr>
                <w:rFonts w:eastAsia="細明體" w:cs="Segoe UI" w:hint="eastAsia"/>
                <w:sz w:val="17"/>
                <w:szCs w:val="17"/>
                <w:lang w:eastAsia="ar-SA"/>
              </w:rPr>
              <w:t>：在本</w:t>
            </w:r>
            <w:r w:rsidRPr="00272D6C">
              <w:rPr>
                <w:rFonts w:eastAsia="細明體" w:cs="Segoe UI"/>
                <w:sz w:val="17"/>
                <w:szCs w:val="17"/>
                <w:lang w:eastAsia="ar-SA"/>
              </w:rPr>
              <w:t>行填報的貸款的範圍應</w:t>
            </w:r>
            <w:r w:rsidRPr="00272D6C">
              <w:rPr>
                <w:rFonts w:eastAsia="細明體" w:cs="Segoe UI" w:hint="eastAsia"/>
                <w:sz w:val="17"/>
                <w:szCs w:val="17"/>
                <w:lang w:eastAsia="ar-SA"/>
              </w:rPr>
              <w:t>與模版</w:t>
            </w:r>
            <w:r w:rsidRPr="00272D6C">
              <w:rPr>
                <w:rFonts w:eastAsia="細明體" w:cs="Segoe UI"/>
                <w:sz w:val="17"/>
                <w:szCs w:val="17"/>
                <w:lang w:eastAsia="ar-SA"/>
              </w:rPr>
              <w:t>CR1</w:t>
            </w:r>
            <w:r w:rsidRPr="00272D6C">
              <w:rPr>
                <w:rFonts w:eastAsia="細明體" w:cs="Segoe UI" w:hint="eastAsia"/>
                <w:sz w:val="17"/>
                <w:szCs w:val="17"/>
                <w:lang w:eastAsia="ar-SA"/>
              </w:rPr>
              <w:t>所用的相同（即該模版的第</w:t>
            </w:r>
            <w:r w:rsidRPr="00272D6C">
              <w:rPr>
                <w:rFonts w:eastAsia="細明體" w:cs="Segoe UI"/>
                <w:sz w:val="17"/>
                <w:szCs w:val="17"/>
                <w:lang w:eastAsia="ar-SA"/>
              </w:rPr>
              <w:t>1</w:t>
            </w:r>
            <w:r w:rsidRPr="00272D6C">
              <w:rPr>
                <w:rFonts w:eastAsia="細明體" w:cs="Segoe UI"/>
                <w:sz w:val="17"/>
                <w:szCs w:val="17"/>
                <w:lang w:eastAsia="ar-SA"/>
              </w:rPr>
              <w:t>行</w:t>
            </w:r>
            <w:r w:rsidRPr="00272D6C">
              <w:rPr>
                <w:rFonts w:eastAsia="細明體" w:cs="Segoe UI" w:hint="eastAsia"/>
                <w:sz w:val="17"/>
                <w:szCs w:val="17"/>
                <w:lang w:eastAsia="ar-SA"/>
              </w:rPr>
              <w:t>）。</w:t>
            </w:r>
          </w:p>
        </w:tc>
      </w:tr>
      <w:tr w:rsidR="00272D6C" w:rsidRPr="00272D6C" w14:paraId="409A7A69" w14:textId="77777777" w:rsidTr="005171C5">
        <w:tc>
          <w:tcPr>
            <w:tcW w:w="567" w:type="dxa"/>
            <w:tcBorders>
              <w:top w:val="single" w:sz="4" w:space="0" w:color="000000"/>
              <w:left w:val="single" w:sz="4" w:space="0" w:color="000000"/>
              <w:bottom w:val="single" w:sz="4" w:space="0" w:color="000000"/>
            </w:tcBorders>
            <w:shd w:val="clear" w:color="auto" w:fill="auto"/>
          </w:tcPr>
          <w:p w14:paraId="132A990C"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2</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643E2EE9" w14:textId="77777777" w:rsidR="00272D6C" w:rsidRPr="00272D6C" w:rsidRDefault="00272D6C" w:rsidP="00272D6C">
            <w:pPr>
              <w:keepLines/>
              <w:widowControl w:val="0"/>
              <w:tabs>
                <w:tab w:val="left" w:pos="150"/>
                <w:tab w:val="left" w:pos="397"/>
                <w:tab w:val="left" w:pos="794"/>
                <w:tab w:val="left" w:pos="1191"/>
              </w:tabs>
              <w:suppressAutoHyphens/>
              <w:spacing w:before="40" w:after="40"/>
              <w:jc w:val="both"/>
              <w:rPr>
                <w:rFonts w:cs="Segoe UI"/>
                <w:lang w:eastAsia="ar-SA"/>
              </w:rPr>
            </w:pPr>
            <w:r w:rsidRPr="00272D6C">
              <w:rPr>
                <w:rFonts w:eastAsia="細明體" w:cs="Segoe UI" w:hint="eastAsia"/>
                <w:i/>
                <w:sz w:val="17"/>
                <w:szCs w:val="17"/>
                <w:lang w:eastAsia="ar-SA"/>
              </w:rPr>
              <w:t>債務證券</w:t>
            </w:r>
            <w:r w:rsidRPr="00272D6C">
              <w:rPr>
                <w:rFonts w:eastAsia="細明體" w:cs="Segoe UI" w:hint="eastAsia"/>
                <w:sz w:val="17"/>
                <w:szCs w:val="17"/>
                <w:lang w:eastAsia="ar-SA"/>
              </w:rPr>
              <w:t>：在本</w:t>
            </w:r>
            <w:r w:rsidRPr="00272D6C">
              <w:rPr>
                <w:rFonts w:eastAsia="細明體" w:cs="Segoe UI"/>
                <w:sz w:val="17"/>
                <w:szCs w:val="17"/>
                <w:lang w:eastAsia="ar-SA"/>
              </w:rPr>
              <w:t>行填報的</w:t>
            </w:r>
            <w:r w:rsidRPr="00272D6C">
              <w:rPr>
                <w:rFonts w:eastAsia="細明體" w:cs="Segoe UI" w:hint="eastAsia"/>
                <w:sz w:val="17"/>
                <w:szCs w:val="17"/>
                <w:lang w:eastAsia="ar-SA"/>
              </w:rPr>
              <w:t>債務證券</w:t>
            </w:r>
            <w:r w:rsidRPr="00272D6C">
              <w:rPr>
                <w:rFonts w:eastAsia="細明體" w:cs="Segoe UI"/>
                <w:sz w:val="17"/>
                <w:szCs w:val="17"/>
                <w:lang w:eastAsia="ar-SA"/>
              </w:rPr>
              <w:t>的範圍應</w:t>
            </w:r>
            <w:r w:rsidRPr="00272D6C">
              <w:rPr>
                <w:rFonts w:eastAsia="細明體" w:cs="Segoe UI" w:hint="eastAsia"/>
                <w:sz w:val="17"/>
                <w:szCs w:val="17"/>
                <w:lang w:eastAsia="ar-SA"/>
              </w:rPr>
              <w:t>與模版</w:t>
            </w:r>
            <w:r w:rsidRPr="00272D6C">
              <w:rPr>
                <w:rFonts w:eastAsia="細明體" w:cs="Segoe UI"/>
                <w:sz w:val="17"/>
                <w:szCs w:val="17"/>
                <w:lang w:eastAsia="ar-SA"/>
              </w:rPr>
              <w:t>CR1</w:t>
            </w:r>
            <w:r w:rsidRPr="00272D6C">
              <w:rPr>
                <w:rFonts w:eastAsia="細明體" w:cs="Segoe UI" w:hint="eastAsia"/>
                <w:sz w:val="17"/>
                <w:szCs w:val="17"/>
                <w:lang w:eastAsia="ar-SA"/>
              </w:rPr>
              <w:t>所用的相同（即該模版的第</w:t>
            </w:r>
            <w:r w:rsidRPr="00272D6C">
              <w:rPr>
                <w:rFonts w:eastAsia="細明體" w:cs="Segoe UI"/>
                <w:sz w:val="17"/>
                <w:szCs w:val="17"/>
                <w:lang w:eastAsia="ar-SA"/>
              </w:rPr>
              <w:t>2</w:t>
            </w:r>
            <w:r w:rsidRPr="00272D6C">
              <w:rPr>
                <w:rFonts w:eastAsia="細明體" w:cs="Segoe UI"/>
                <w:sz w:val="17"/>
                <w:szCs w:val="17"/>
                <w:lang w:eastAsia="ar-SA"/>
              </w:rPr>
              <w:t>行</w:t>
            </w:r>
            <w:r w:rsidRPr="00272D6C">
              <w:rPr>
                <w:rFonts w:eastAsia="細明體" w:cs="Segoe UI" w:hint="eastAsia"/>
                <w:sz w:val="17"/>
                <w:szCs w:val="17"/>
                <w:lang w:eastAsia="ar-SA"/>
              </w:rPr>
              <w:t>）。</w:t>
            </w:r>
          </w:p>
        </w:tc>
      </w:tr>
      <w:tr w:rsidR="00272D6C" w:rsidRPr="00272D6C" w14:paraId="09CA2FD3" w14:textId="77777777" w:rsidTr="005171C5">
        <w:tc>
          <w:tcPr>
            <w:tcW w:w="567" w:type="dxa"/>
            <w:tcBorders>
              <w:top w:val="single" w:sz="4" w:space="0" w:color="000000"/>
              <w:left w:val="single" w:sz="4" w:space="0" w:color="000000"/>
              <w:bottom w:val="single" w:sz="4" w:space="0" w:color="000000"/>
            </w:tcBorders>
            <w:shd w:val="clear" w:color="auto" w:fill="auto"/>
          </w:tcPr>
          <w:p w14:paraId="0156D8DA"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3</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7BC9DA57" w14:textId="77777777" w:rsidR="00272D6C" w:rsidRPr="00272D6C" w:rsidRDefault="00272D6C" w:rsidP="00272D6C">
            <w:pPr>
              <w:keepLines/>
              <w:widowControl w:val="0"/>
              <w:tabs>
                <w:tab w:val="left" w:pos="150"/>
                <w:tab w:val="left" w:pos="397"/>
                <w:tab w:val="left" w:pos="794"/>
                <w:tab w:val="left" w:pos="1191"/>
              </w:tabs>
              <w:suppressAutoHyphens/>
              <w:spacing w:before="40" w:after="40"/>
              <w:jc w:val="both"/>
              <w:rPr>
                <w:rFonts w:cs="Segoe UI"/>
                <w:lang w:eastAsia="ar-SA"/>
              </w:rPr>
            </w:pPr>
            <w:r w:rsidRPr="00272D6C">
              <w:rPr>
                <w:rFonts w:eastAsia="細明體" w:cs="Segoe UI" w:hint="eastAsia"/>
                <w:i/>
                <w:sz w:val="17"/>
                <w:szCs w:val="17"/>
                <w:lang w:eastAsia="ar-SA"/>
              </w:rPr>
              <w:t>總計</w:t>
            </w:r>
            <w:r w:rsidRPr="00272D6C">
              <w:rPr>
                <w:rFonts w:eastAsia="細明體" w:cs="Segoe UI" w:hint="eastAsia"/>
                <w:sz w:val="17"/>
                <w:szCs w:val="17"/>
                <w:lang w:eastAsia="ar-SA"/>
              </w:rPr>
              <w:t>：在本</w:t>
            </w:r>
            <w:r w:rsidRPr="00272D6C">
              <w:rPr>
                <w:rFonts w:eastAsia="細明體" w:cs="Segoe UI"/>
                <w:sz w:val="17"/>
                <w:szCs w:val="17"/>
                <w:lang w:eastAsia="ar-SA"/>
              </w:rPr>
              <w:t>行填報</w:t>
            </w:r>
            <w:r w:rsidRPr="00272D6C">
              <w:rPr>
                <w:rFonts w:eastAsia="細明體" w:cs="Segoe UI" w:hint="eastAsia"/>
                <w:sz w:val="17"/>
                <w:szCs w:val="17"/>
                <w:lang w:eastAsia="ar-SA"/>
              </w:rPr>
              <w:t>第</w:t>
            </w:r>
            <w:r w:rsidRPr="00272D6C">
              <w:rPr>
                <w:rFonts w:eastAsia="細明體" w:cs="Segoe UI"/>
                <w:sz w:val="17"/>
                <w:szCs w:val="17"/>
                <w:lang w:eastAsia="ar-SA"/>
              </w:rPr>
              <w:t>1</w:t>
            </w:r>
            <w:r w:rsidRPr="00272D6C">
              <w:rPr>
                <w:rFonts w:eastAsia="細明體" w:cs="Segoe UI" w:hint="eastAsia"/>
                <w:sz w:val="17"/>
                <w:szCs w:val="17"/>
                <w:lang w:eastAsia="ar-SA"/>
              </w:rPr>
              <w:t>及</w:t>
            </w:r>
            <w:r w:rsidRPr="00272D6C">
              <w:rPr>
                <w:rFonts w:eastAsia="細明體" w:cs="Segoe UI"/>
                <w:sz w:val="17"/>
                <w:szCs w:val="17"/>
                <w:lang w:eastAsia="ar-SA"/>
              </w:rPr>
              <w:t>2</w:t>
            </w:r>
            <w:r w:rsidRPr="00272D6C">
              <w:rPr>
                <w:rFonts w:eastAsia="細明體" w:cs="Segoe UI"/>
                <w:sz w:val="17"/>
                <w:szCs w:val="17"/>
                <w:lang w:eastAsia="ar-SA"/>
              </w:rPr>
              <w:t>行</w:t>
            </w:r>
            <w:r w:rsidRPr="00272D6C">
              <w:rPr>
                <w:rFonts w:eastAsia="細明體" w:cs="Segoe UI" w:hint="eastAsia"/>
                <w:sz w:val="17"/>
                <w:szCs w:val="17"/>
                <w:lang w:eastAsia="ar-SA"/>
              </w:rPr>
              <w:t>的值的和。</w:t>
            </w:r>
          </w:p>
        </w:tc>
      </w:tr>
      <w:tr w:rsidR="00272D6C" w:rsidRPr="00272D6C" w14:paraId="3A671B41" w14:textId="77777777" w:rsidTr="005171C5">
        <w:tc>
          <w:tcPr>
            <w:tcW w:w="567" w:type="dxa"/>
            <w:tcBorders>
              <w:top w:val="single" w:sz="4" w:space="0" w:color="000000"/>
              <w:left w:val="single" w:sz="4" w:space="0" w:color="000000"/>
              <w:bottom w:val="single" w:sz="4" w:space="0" w:color="000000"/>
            </w:tcBorders>
            <w:shd w:val="clear" w:color="auto" w:fill="auto"/>
          </w:tcPr>
          <w:p w14:paraId="2C99662E"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lang w:eastAsia="ar-SA"/>
              </w:rPr>
            </w:pPr>
            <w:r w:rsidRPr="00272D6C">
              <w:rPr>
                <w:rFonts w:eastAsia="細明體" w:cs="Segoe UI"/>
                <w:sz w:val="17"/>
                <w:szCs w:val="17"/>
                <w:lang w:eastAsia="ar-SA"/>
              </w:rPr>
              <w:t>4</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13F1B2DA" w14:textId="77777777" w:rsidR="00272D6C" w:rsidRPr="00272D6C" w:rsidRDefault="00272D6C" w:rsidP="00272D6C">
            <w:pPr>
              <w:suppressAutoHyphens/>
              <w:spacing w:before="40" w:after="40"/>
              <w:jc w:val="both"/>
              <w:rPr>
                <w:rFonts w:cs="Segoe UI"/>
                <w:sz w:val="15"/>
                <w:lang w:eastAsia="ar-SA"/>
              </w:rPr>
            </w:pPr>
            <w:r w:rsidRPr="00272D6C">
              <w:rPr>
                <w:rFonts w:eastAsia="細明體" w:cs="Segoe UI" w:hint="eastAsia"/>
                <w:i/>
                <w:sz w:val="17"/>
                <w:lang w:eastAsia="ar-SA"/>
              </w:rPr>
              <w:t>其中違責部分</w:t>
            </w:r>
            <w:r w:rsidRPr="00272D6C">
              <w:rPr>
                <w:rFonts w:eastAsia="細明體" w:cs="Segoe UI" w:hint="eastAsia"/>
                <w:sz w:val="17"/>
                <w:lang w:eastAsia="ar-SA"/>
              </w:rPr>
              <w:t>：</w:t>
            </w:r>
            <w:r w:rsidRPr="00272D6C">
              <w:rPr>
                <w:rFonts w:eastAsia="細明體" w:cs="Segoe UI" w:hint="eastAsia"/>
                <w:sz w:val="17"/>
                <w:szCs w:val="17"/>
                <w:lang w:eastAsia="ar-SA"/>
              </w:rPr>
              <w:t>第</w:t>
            </w:r>
            <w:r w:rsidRPr="00272D6C">
              <w:rPr>
                <w:rFonts w:eastAsia="細明體" w:cs="Segoe UI"/>
                <w:sz w:val="17"/>
                <w:szCs w:val="17"/>
                <w:lang w:eastAsia="ar-SA"/>
              </w:rPr>
              <w:t>3</w:t>
            </w:r>
            <w:r w:rsidRPr="00272D6C">
              <w:rPr>
                <w:rFonts w:eastAsia="細明體" w:cs="Segoe UI"/>
                <w:sz w:val="17"/>
                <w:szCs w:val="17"/>
                <w:lang w:eastAsia="ar-SA"/>
              </w:rPr>
              <w:t>行</w:t>
            </w:r>
            <w:r w:rsidRPr="00272D6C">
              <w:rPr>
                <w:rFonts w:eastAsia="細明體" w:cs="Segoe UI" w:hint="eastAsia"/>
                <w:sz w:val="17"/>
                <w:szCs w:val="17"/>
                <w:lang w:eastAsia="ar-SA"/>
              </w:rPr>
              <w:t>的數額中的已違責部分。本</w:t>
            </w:r>
            <w:r w:rsidRPr="00272D6C">
              <w:rPr>
                <w:rFonts w:eastAsia="細明體" w:cs="Segoe UI"/>
                <w:sz w:val="17"/>
                <w:szCs w:val="17"/>
                <w:lang w:eastAsia="ar-SA"/>
              </w:rPr>
              <w:t>行</w:t>
            </w:r>
            <w:r w:rsidRPr="00272D6C">
              <w:rPr>
                <w:rFonts w:eastAsia="細明體" w:cs="Segoe UI" w:hint="eastAsia"/>
                <w:sz w:val="17"/>
                <w:szCs w:val="17"/>
                <w:lang w:eastAsia="ar-SA"/>
              </w:rPr>
              <w:t>的「</w:t>
            </w:r>
            <w:r w:rsidRPr="00272D6C">
              <w:rPr>
                <w:rFonts w:eastAsia="細明體" w:cs="Segoe UI"/>
                <w:sz w:val="17"/>
                <w:szCs w:val="17"/>
                <w:lang w:eastAsia="ar-SA"/>
              </w:rPr>
              <w:t>違責</w:t>
            </w:r>
            <w:r w:rsidRPr="00272D6C">
              <w:rPr>
                <w:rFonts w:eastAsia="細明體" w:cs="Segoe UI" w:hint="eastAsia"/>
                <w:sz w:val="17"/>
                <w:szCs w:val="17"/>
                <w:lang w:eastAsia="ar-SA"/>
              </w:rPr>
              <w:t>」</w:t>
            </w:r>
            <w:r w:rsidRPr="00272D6C">
              <w:rPr>
                <w:rFonts w:eastAsia="細明體" w:cs="Segoe UI"/>
                <w:sz w:val="17"/>
                <w:szCs w:val="17"/>
                <w:lang w:eastAsia="ar-SA"/>
              </w:rPr>
              <w:t>定義應與</w:t>
            </w:r>
            <w:r w:rsidRPr="00272D6C">
              <w:rPr>
                <w:rFonts w:eastAsia="細明體" w:cs="Segoe UI" w:hint="eastAsia"/>
                <w:sz w:val="17"/>
                <w:szCs w:val="17"/>
                <w:lang w:eastAsia="ar-SA"/>
              </w:rPr>
              <w:t>模版</w:t>
            </w:r>
            <w:r w:rsidRPr="00272D6C">
              <w:rPr>
                <w:rFonts w:eastAsia="細明體" w:cs="Segoe UI"/>
                <w:sz w:val="17"/>
                <w:szCs w:val="17"/>
                <w:lang w:eastAsia="ar-SA"/>
              </w:rPr>
              <w:t>CR1</w:t>
            </w:r>
            <w:r w:rsidRPr="00272D6C">
              <w:rPr>
                <w:rFonts w:eastAsia="細明體" w:cs="Segoe UI" w:hint="eastAsia"/>
                <w:sz w:val="17"/>
                <w:szCs w:val="17"/>
                <w:lang w:eastAsia="ar-SA"/>
              </w:rPr>
              <w:t>所採用的相同。</w:t>
            </w:r>
          </w:p>
        </w:tc>
      </w:tr>
    </w:tbl>
    <w:p w14:paraId="208D6016" w14:textId="77777777" w:rsidR="00272D6C" w:rsidRPr="00272D6C" w:rsidRDefault="00272D6C" w:rsidP="00272D6C">
      <w:pPr>
        <w:suppressAutoHyphens/>
        <w:rPr>
          <w:rFonts w:cs="Segoe UI"/>
          <w:lang w:eastAsia="ar-SA"/>
        </w:rPr>
        <w:sectPr w:rsidR="00272D6C" w:rsidRPr="00272D6C">
          <w:footerReference w:type="default" r:id="rId65"/>
          <w:pgSz w:w="11906" w:h="16838"/>
          <w:pgMar w:top="1440" w:right="1797" w:bottom="1440" w:left="1797" w:header="720" w:footer="737" w:gutter="0"/>
          <w:cols w:space="720"/>
          <w:docGrid w:type="linesAndChars" w:linePitch="360"/>
        </w:sectPr>
      </w:pPr>
    </w:p>
    <w:p w14:paraId="6AABECCE" w14:textId="77777777" w:rsidR="00272D6C" w:rsidRPr="00272D6C" w:rsidRDefault="00272D6C" w:rsidP="00D540EB">
      <w:pPr>
        <w:keepNext/>
        <w:numPr>
          <w:ilvl w:val="0"/>
          <w:numId w:val="35"/>
        </w:numPr>
        <w:suppressAutoHyphens/>
        <w:spacing w:before="360" w:after="240"/>
        <w:outlineLvl w:val="1"/>
        <w:rPr>
          <w:rFonts w:eastAsia="細明體"/>
          <w:color w:val="AA322F"/>
          <w:sz w:val="22"/>
          <w:lang w:eastAsia="ar-SA"/>
        </w:rPr>
      </w:pPr>
      <w:r w:rsidRPr="00272D6C">
        <w:rPr>
          <w:rFonts w:eastAsia="細明體" w:hint="eastAsia"/>
          <w:color w:val="AA322F"/>
          <w:sz w:val="24"/>
          <w:lang w:eastAsia="ar-SA"/>
        </w:rPr>
        <w:t>在標準</w:t>
      </w:r>
      <w:r w:rsidRPr="00272D6C">
        <w:rPr>
          <w:rFonts w:eastAsia="細明體"/>
          <w:color w:val="AA322F"/>
          <w:sz w:val="24"/>
          <w:lang w:eastAsia="ar-SA"/>
        </w:rPr>
        <w:t>(</w:t>
      </w:r>
      <w:r w:rsidRPr="00272D6C">
        <w:rPr>
          <w:rFonts w:eastAsia="細明體" w:hint="eastAsia"/>
          <w:color w:val="AA322F"/>
          <w:sz w:val="24"/>
          <w:lang w:eastAsia="ar-SA"/>
        </w:rPr>
        <w:t>信用風險</w:t>
      </w:r>
      <w:r w:rsidRPr="00272D6C">
        <w:rPr>
          <w:rFonts w:eastAsia="細明體"/>
          <w:color w:val="AA322F"/>
          <w:sz w:val="24"/>
          <w:lang w:eastAsia="ar-SA"/>
        </w:rPr>
        <w:t>)</w:t>
      </w:r>
      <w:r w:rsidRPr="00272D6C">
        <w:rPr>
          <w:rFonts w:eastAsia="細明體" w:hint="eastAsia"/>
          <w:color w:val="AA322F"/>
          <w:sz w:val="24"/>
          <w:lang w:eastAsia="ar-SA"/>
        </w:rPr>
        <w:t>計算法下的信用風險</w:t>
      </w:r>
    </w:p>
    <w:p w14:paraId="34825DAA" w14:textId="5F62B17B" w:rsidR="008A5FFD" w:rsidRPr="008A5FFD" w:rsidRDefault="008A5FFD" w:rsidP="008A5FFD">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8A5FFD">
        <w:rPr>
          <w:rFonts w:eastAsia="細明體" w:cs="Segoe UI" w:hint="eastAsia"/>
          <w:b w:val="0"/>
          <w:sz w:val="22"/>
        </w:rPr>
        <w:t>表</w:t>
      </w:r>
      <w:r w:rsidRPr="008A5FFD">
        <w:rPr>
          <w:rFonts w:ascii="Segoe UI" w:eastAsia="細明體" w:hAnsi="Segoe UI" w:cs="Segoe UI"/>
          <w:b w:val="0"/>
          <w:sz w:val="22"/>
        </w:rPr>
        <w:t>CRD</w:t>
      </w:r>
      <w:r w:rsidRPr="008A5FFD">
        <w:rPr>
          <w:rFonts w:eastAsia="細明體" w:cs="Segoe UI" w:hint="eastAsia"/>
          <w:b w:val="0"/>
          <w:sz w:val="22"/>
        </w:rPr>
        <w:t>：在</w:t>
      </w:r>
      <w:r w:rsidRPr="008A5FFD">
        <w:rPr>
          <w:rFonts w:ascii="Segoe UI" w:eastAsia="細明體" w:hAnsi="Segoe UI" w:cs="Segoe UI"/>
          <w:b w:val="0"/>
          <w:sz w:val="22"/>
        </w:rPr>
        <w:t>STC</w:t>
      </w:r>
      <w:r w:rsidRPr="008A5FFD">
        <w:rPr>
          <w:rFonts w:eastAsia="細明體" w:cs="Segoe UI" w:hint="eastAsia"/>
          <w:b w:val="0"/>
          <w:sz w:val="22"/>
        </w:rPr>
        <w:t>計算法下使用</w:t>
      </w:r>
      <w:r w:rsidRPr="008A5FFD">
        <w:rPr>
          <w:rFonts w:ascii="Segoe UI" w:eastAsia="細明體" w:hAnsi="Segoe UI" w:cs="Segoe UI"/>
          <w:b w:val="0"/>
          <w:sz w:val="22"/>
        </w:rPr>
        <w:t>ECAI</w:t>
      </w:r>
      <w:r w:rsidRPr="008A5FFD">
        <w:rPr>
          <w:rFonts w:eastAsia="細明體" w:cs="Segoe UI" w:hint="eastAsia"/>
          <w:b w:val="0"/>
          <w:sz w:val="22"/>
        </w:rPr>
        <w:t>評級的描述披露</w:t>
      </w:r>
    </w:p>
    <w:tbl>
      <w:tblPr>
        <w:tblW w:w="9248" w:type="dxa"/>
        <w:tblInd w:w="-459" w:type="dxa"/>
        <w:tblLayout w:type="fixed"/>
        <w:tblLook w:val="0000" w:firstRow="0" w:lastRow="0" w:firstColumn="0" w:lastColumn="0" w:noHBand="0" w:noVBand="0"/>
      </w:tblPr>
      <w:tblGrid>
        <w:gridCol w:w="2160"/>
        <w:gridCol w:w="7088"/>
      </w:tblGrid>
      <w:tr w:rsidR="00272D6C" w:rsidRPr="00272D6C" w14:paraId="09407C73" w14:textId="77777777" w:rsidTr="004A3D58">
        <w:tc>
          <w:tcPr>
            <w:tcW w:w="2160" w:type="dxa"/>
            <w:tcBorders>
              <w:top w:val="single" w:sz="4" w:space="0" w:color="000000"/>
              <w:bottom w:val="single" w:sz="4" w:space="0" w:color="000000"/>
            </w:tcBorders>
            <w:shd w:val="clear" w:color="auto" w:fill="auto"/>
          </w:tcPr>
          <w:p w14:paraId="4D161D09"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6464C759"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就使用</w:t>
            </w:r>
            <w:r w:rsidRPr="00272D6C">
              <w:rPr>
                <w:rFonts w:eastAsia="細明體" w:cs="Segoe UI"/>
                <w:sz w:val="17"/>
                <w:lang w:eastAsia="ar-SA"/>
              </w:rPr>
              <w:t>ECAI</w:t>
            </w:r>
            <w:r w:rsidRPr="00272D6C">
              <w:rPr>
                <w:rFonts w:eastAsia="細明體" w:cs="Segoe UI" w:hint="eastAsia"/>
                <w:sz w:val="17"/>
                <w:lang w:eastAsia="ar-SA"/>
              </w:rPr>
              <w:t>評級而採用的程序，以及在何種程度上使用該等評級計算其風險加權數額，提供</w:t>
            </w:r>
            <w:r w:rsidRPr="00272D6C">
              <w:rPr>
                <w:rFonts w:eastAsia="細明體" w:cs="Segoe UI"/>
                <w:sz w:val="17"/>
                <w:lang w:eastAsia="ar-SA"/>
              </w:rPr>
              <w:t>資料。</w:t>
            </w:r>
          </w:p>
        </w:tc>
      </w:tr>
      <w:tr w:rsidR="00272D6C" w:rsidRPr="00272D6C" w14:paraId="316F922B" w14:textId="77777777" w:rsidTr="004A3D58">
        <w:tc>
          <w:tcPr>
            <w:tcW w:w="2160" w:type="dxa"/>
            <w:tcBorders>
              <w:top w:val="single" w:sz="4" w:space="0" w:color="000000"/>
              <w:bottom w:val="single" w:sz="4" w:space="0" w:color="000000"/>
            </w:tcBorders>
            <w:shd w:val="clear" w:color="auto" w:fill="auto"/>
          </w:tcPr>
          <w:p w14:paraId="09F2F676"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48E5C690" w14:textId="5AD106A9" w:rsidR="00272D6C" w:rsidRPr="00754D82" w:rsidRDefault="00272D6C" w:rsidP="00754D82">
            <w:pPr>
              <w:suppressAutoHyphens/>
              <w:spacing w:before="40" w:after="40"/>
              <w:jc w:val="both"/>
              <w:rPr>
                <w:rFonts w:eastAsia="SimSun" w:cs="Segoe UI"/>
                <w:sz w:val="17"/>
                <w:szCs w:val="17"/>
                <w:lang w:eastAsia="zh-TW"/>
              </w:rPr>
            </w:pPr>
            <w:r w:rsidRPr="00272D6C">
              <w:rPr>
                <w:rFonts w:eastAsia="細明體" w:cs="Segoe UI" w:hint="eastAsia"/>
                <w:sz w:val="17"/>
                <w:lang w:eastAsia="ar-SA"/>
              </w:rPr>
              <w:t>在香港成立為法團並使用</w:t>
            </w:r>
            <w:r w:rsidRPr="00272D6C">
              <w:rPr>
                <w:rFonts w:eastAsia="細明體" w:cs="Segoe UI"/>
                <w:sz w:val="17"/>
                <w:lang w:eastAsia="ar-SA"/>
              </w:rPr>
              <w:t>STC</w:t>
            </w:r>
            <w:r w:rsidRPr="00272D6C">
              <w:rPr>
                <w:rFonts w:eastAsia="細明體" w:cs="Segoe UI" w:hint="eastAsia"/>
                <w:sz w:val="17"/>
                <w:lang w:eastAsia="ar-SA"/>
              </w:rPr>
              <w:t>計算法計算其全部或部分信用風險資本規定的認可機構，均須填</w:t>
            </w:r>
            <w:r w:rsidRPr="00272D6C">
              <w:rPr>
                <w:rFonts w:eastAsia="細明體" w:cs="Segoe UI" w:hint="eastAsia"/>
                <w:sz w:val="17"/>
                <w:szCs w:val="17"/>
                <w:lang w:eastAsia="ar-SA"/>
              </w:rPr>
              <w:t>報</w:t>
            </w:r>
            <w:r w:rsidRPr="00272D6C">
              <w:rPr>
                <w:rFonts w:eastAsia="細明體" w:cs="Segoe UI" w:hint="eastAsia"/>
                <w:sz w:val="17"/>
                <w:lang w:eastAsia="ar-SA"/>
              </w:rPr>
              <w:t>本表。使用</w:t>
            </w:r>
            <w:r w:rsidRPr="00272D6C">
              <w:rPr>
                <w:rFonts w:eastAsia="細明體" w:cs="Segoe UI"/>
                <w:sz w:val="17"/>
                <w:lang w:eastAsia="ar-SA"/>
              </w:rPr>
              <w:t>BSC</w:t>
            </w:r>
            <w:r w:rsidRPr="00272D6C">
              <w:rPr>
                <w:rFonts w:eastAsia="細明體" w:cs="Segoe UI" w:hint="eastAsia"/>
                <w:sz w:val="17"/>
                <w:lang w:eastAsia="ar-SA"/>
              </w:rPr>
              <w:t>計算法的認可機構無須受本表的披露規定所限。</w:t>
            </w:r>
            <w:r w:rsidR="00754D82" w:rsidRPr="00754D82">
              <w:rPr>
                <w:rFonts w:eastAsia="細明體" w:cs="Segoe UI" w:hint="eastAsia"/>
                <w:sz w:val="17"/>
                <w:lang w:eastAsia="ar-SA"/>
              </w:rPr>
              <w:t>混合</w:t>
            </w:r>
            <w:r w:rsidRPr="00272D6C">
              <w:rPr>
                <w:rFonts w:eastAsia="細明體" w:cs="Segoe UI" w:hint="eastAsia"/>
                <w:sz w:val="17"/>
                <w:lang w:eastAsia="ar-SA"/>
              </w:rPr>
              <w:t>使用</w:t>
            </w:r>
            <w:r w:rsidR="007129EB">
              <w:rPr>
                <w:rFonts w:eastAsia="細明體" w:cs="Segoe UI"/>
                <w:sz w:val="17"/>
                <w:lang w:eastAsia="ar-SA"/>
              </w:rPr>
              <w:t>STC</w:t>
            </w:r>
            <w:r w:rsidR="007129EB" w:rsidRPr="00754D82">
              <w:rPr>
                <w:rFonts w:eastAsia="細明體" w:cs="Segoe UI" w:hint="eastAsia"/>
                <w:sz w:val="17"/>
                <w:lang w:eastAsia="ar-SA"/>
              </w:rPr>
              <w:t>計算法</w:t>
            </w:r>
            <w:r w:rsidR="00E13CE6">
              <w:rPr>
                <w:rFonts w:eastAsia="細明體" w:cs="Segoe UI" w:hint="eastAsia"/>
                <w:sz w:val="17"/>
                <w:lang w:eastAsia="zh-HK"/>
              </w:rPr>
              <w:t>和</w:t>
            </w:r>
            <w:r w:rsidRPr="00272D6C">
              <w:rPr>
                <w:rFonts w:eastAsia="細明體" w:cs="Segoe UI"/>
                <w:sz w:val="17"/>
                <w:lang w:eastAsia="ar-SA"/>
              </w:rPr>
              <w:t>IRB</w:t>
            </w:r>
            <w:r w:rsidRPr="00272D6C">
              <w:rPr>
                <w:rFonts w:eastAsia="細明體" w:cs="Segoe UI" w:hint="eastAsia"/>
                <w:sz w:val="17"/>
                <w:lang w:eastAsia="ar-SA"/>
              </w:rPr>
              <w:t>計算法的認可機構，亦應使用本表匯報</w:t>
            </w:r>
            <w:r w:rsidR="008559CF">
              <w:rPr>
                <w:rFonts w:eastAsia="細明體" w:cs="Segoe UI" w:hint="eastAsia"/>
                <w:sz w:val="17"/>
                <w:lang w:val="en-US" w:eastAsia="zh-HK"/>
              </w:rPr>
              <w:t>其</w:t>
            </w:r>
            <w:r w:rsidR="00754D82" w:rsidRPr="00754D82">
              <w:rPr>
                <w:rFonts w:eastAsia="細明體" w:cs="Segoe UI" w:hint="eastAsia"/>
                <w:sz w:val="17"/>
                <w:lang w:eastAsia="ar-SA"/>
              </w:rPr>
              <w:t>受</w:t>
            </w:r>
            <w:r w:rsidR="00754D82" w:rsidRPr="00754D82">
              <w:rPr>
                <w:rFonts w:eastAsia="細明體" w:cs="Segoe UI"/>
                <w:sz w:val="17"/>
                <w:lang w:eastAsia="ar-SA"/>
              </w:rPr>
              <w:t>STC</w:t>
            </w:r>
            <w:r w:rsidR="00754D82" w:rsidRPr="00754D82">
              <w:rPr>
                <w:rFonts w:eastAsia="細明體" w:cs="Segoe UI" w:hint="eastAsia"/>
                <w:sz w:val="17"/>
                <w:lang w:eastAsia="ar-SA"/>
              </w:rPr>
              <w:t>計算法所規限的</w:t>
            </w:r>
            <w:r w:rsidRPr="00272D6C">
              <w:rPr>
                <w:rFonts w:eastAsia="細明體" w:cs="Segoe UI" w:hint="eastAsia"/>
                <w:sz w:val="17"/>
                <w:lang w:eastAsia="ar-SA"/>
              </w:rPr>
              <w:t>風險承擔。然而，認可機構如符合以下條件，則可選擇不披露本表所要求的資料：</w:t>
            </w:r>
            <w:r w:rsidRPr="00272D6C">
              <w:rPr>
                <w:rFonts w:eastAsia="細明體" w:cs="Segoe UI"/>
                <w:sz w:val="17"/>
                <w:lang w:eastAsia="ar-SA"/>
              </w:rPr>
              <w:t xml:space="preserve"> </w:t>
            </w:r>
          </w:p>
          <w:p w14:paraId="31FF56E8" w14:textId="77777777" w:rsidR="00272D6C" w:rsidRPr="00272D6C" w:rsidRDefault="00272D6C" w:rsidP="00D540EB">
            <w:pPr>
              <w:widowControl w:val="0"/>
              <w:numPr>
                <w:ilvl w:val="0"/>
                <w:numId w:val="36"/>
              </w:numPr>
              <w:suppressAutoHyphens/>
              <w:autoSpaceDE w:val="0"/>
              <w:ind w:left="426" w:hanging="426"/>
              <w:jc w:val="both"/>
              <w:rPr>
                <w:rFonts w:eastAsia="細明體" w:cs="Segoe UI"/>
                <w:color w:val="000000"/>
                <w:sz w:val="17"/>
                <w:szCs w:val="17"/>
                <w:lang w:val="en-US" w:eastAsia="ar-SA"/>
              </w:rPr>
            </w:pPr>
            <w:r w:rsidRPr="00272D6C">
              <w:rPr>
                <w:rFonts w:eastAsia="細明體" w:cs="Segoe UI" w:hint="eastAsia"/>
                <w:color w:val="000000"/>
                <w:sz w:val="17"/>
                <w:szCs w:val="17"/>
                <w:lang w:val="en-US" w:eastAsia="ar-SA"/>
              </w:rPr>
              <w:t>根據</w:t>
            </w:r>
            <w:r w:rsidRPr="00272D6C">
              <w:rPr>
                <w:rFonts w:eastAsia="細明體" w:cs="Segoe UI"/>
                <w:color w:val="000000"/>
                <w:sz w:val="17"/>
                <w:szCs w:val="17"/>
                <w:lang w:val="en-US" w:eastAsia="ar-SA"/>
              </w:rPr>
              <w:t>STC</w:t>
            </w:r>
            <w:r w:rsidRPr="00272D6C">
              <w:rPr>
                <w:rFonts w:eastAsia="細明體" w:cs="Segoe UI" w:hint="eastAsia"/>
                <w:color w:val="000000"/>
                <w:sz w:val="17"/>
                <w:szCs w:val="17"/>
                <w:lang w:val="en-US" w:eastAsia="ar-SA"/>
              </w:rPr>
              <w:t>計算法計算</w:t>
            </w:r>
            <w:r w:rsidRPr="00272D6C">
              <w:rPr>
                <w:rFonts w:eastAsia="細明體" w:cs="Segoe UI" w:hint="eastAsia"/>
                <w:color w:val="000000"/>
                <w:sz w:val="17"/>
                <w:szCs w:val="17"/>
                <w:lang w:val="en-US" w:eastAsia="zh-TW"/>
              </w:rPr>
              <w:t>所</w:t>
            </w:r>
            <w:r w:rsidRPr="00272D6C">
              <w:rPr>
                <w:rFonts w:eastAsia="細明體" w:cs="Segoe UI" w:hint="eastAsia"/>
                <w:color w:val="000000"/>
                <w:sz w:val="17"/>
                <w:szCs w:val="17"/>
                <w:lang w:val="en-US" w:eastAsia="ar-SA"/>
              </w:rPr>
              <w:t>得的風險承擔額及風險加權數額屬微不足道；</w:t>
            </w:r>
          </w:p>
          <w:p w14:paraId="2BB5DEE5" w14:textId="77777777" w:rsidR="00272D6C" w:rsidRPr="00272D6C" w:rsidRDefault="00272D6C" w:rsidP="00D540EB">
            <w:pPr>
              <w:widowControl w:val="0"/>
              <w:numPr>
                <w:ilvl w:val="0"/>
                <w:numId w:val="36"/>
              </w:numPr>
              <w:suppressAutoHyphens/>
              <w:autoSpaceDE w:val="0"/>
              <w:ind w:left="426" w:hanging="426"/>
              <w:jc w:val="both"/>
              <w:rPr>
                <w:rFonts w:eastAsia="細明體" w:cs="Segoe UI"/>
                <w:color w:val="000000"/>
                <w:sz w:val="17"/>
                <w:szCs w:val="17"/>
                <w:lang w:val="en-US" w:eastAsia="ar-SA"/>
              </w:rPr>
            </w:pPr>
            <w:r w:rsidRPr="00272D6C">
              <w:rPr>
                <w:rFonts w:eastAsia="細明體" w:cs="Segoe UI" w:hint="eastAsia"/>
                <w:color w:val="000000"/>
                <w:sz w:val="17"/>
                <w:szCs w:val="17"/>
                <w:lang w:val="en-US" w:eastAsia="ar-SA"/>
              </w:rPr>
              <w:t>認可機構已在披露報表中清楚</w:t>
            </w:r>
            <w:r w:rsidRPr="00272D6C">
              <w:rPr>
                <w:rFonts w:eastAsia="細明體" w:cs="Segoe UI" w:hint="eastAsia"/>
                <w:color w:val="000000"/>
                <w:sz w:val="17"/>
                <w:szCs w:val="17"/>
                <w:lang w:val="en-US" w:eastAsia="zh-TW"/>
              </w:rPr>
              <w:t>述明</w:t>
            </w:r>
            <w:r w:rsidRPr="00272D6C">
              <w:rPr>
                <w:rFonts w:eastAsia="細明體" w:cs="Segoe UI" w:hint="eastAsia"/>
                <w:color w:val="000000"/>
                <w:sz w:val="17"/>
                <w:szCs w:val="17"/>
                <w:lang w:val="en-US" w:eastAsia="ar-SA"/>
              </w:rPr>
              <w:t>此事實；及</w:t>
            </w:r>
            <w:r w:rsidRPr="00272D6C">
              <w:rPr>
                <w:rFonts w:eastAsia="細明體" w:cs="Segoe UI"/>
                <w:color w:val="000000"/>
                <w:sz w:val="17"/>
                <w:szCs w:val="17"/>
                <w:lang w:val="en-US" w:eastAsia="ar-SA"/>
              </w:rPr>
              <w:t xml:space="preserve"> </w:t>
            </w:r>
          </w:p>
          <w:p w14:paraId="7B34BE25" w14:textId="77777777" w:rsidR="00272D6C" w:rsidRPr="00272D6C" w:rsidRDefault="00272D6C" w:rsidP="00D540EB">
            <w:pPr>
              <w:widowControl w:val="0"/>
              <w:numPr>
                <w:ilvl w:val="0"/>
                <w:numId w:val="36"/>
              </w:numPr>
              <w:suppressAutoHyphens/>
              <w:autoSpaceDE w:val="0"/>
              <w:ind w:left="426" w:hanging="426"/>
              <w:jc w:val="both"/>
              <w:rPr>
                <w:rFonts w:eastAsia="新細明體" w:cs="Segoe UI"/>
                <w:color w:val="000000"/>
                <w:sz w:val="24"/>
                <w:szCs w:val="24"/>
                <w:lang w:val="en-US" w:eastAsia="ar-SA"/>
              </w:rPr>
            </w:pPr>
            <w:r w:rsidRPr="00272D6C">
              <w:rPr>
                <w:rFonts w:eastAsia="細明體" w:cs="Segoe UI" w:hint="eastAsia"/>
                <w:color w:val="000000"/>
                <w:sz w:val="17"/>
                <w:szCs w:val="17"/>
                <w:lang w:val="en-US" w:eastAsia="ar-SA"/>
              </w:rPr>
              <w:t>認可機構已在</w:t>
            </w:r>
            <w:r w:rsidRPr="00272D6C">
              <w:rPr>
                <w:rFonts w:eastAsia="新細明體" w:cs="Segoe UI" w:hint="eastAsia"/>
                <w:sz w:val="17"/>
                <w:szCs w:val="24"/>
                <w:lang w:val="en-US" w:eastAsia="ar-SA"/>
              </w:rPr>
              <w:t>敘</w:t>
            </w:r>
            <w:r w:rsidRPr="00272D6C">
              <w:rPr>
                <w:rFonts w:eastAsia="細明體" w:cs="Segoe UI" w:hint="eastAsia"/>
                <w:color w:val="000000"/>
                <w:sz w:val="17"/>
                <w:szCs w:val="17"/>
                <w:lang w:val="en-US" w:eastAsia="ar-SA"/>
              </w:rPr>
              <w:t>述評註闡明其認為有關資料對資料使用者不具參考價值的原因，包括有關組合的</w:t>
            </w:r>
            <w:r w:rsidRPr="00272D6C">
              <w:rPr>
                <w:rFonts w:eastAsia="細明體" w:cs="Segoe UI" w:hint="eastAsia"/>
                <w:color w:val="000000"/>
                <w:sz w:val="17"/>
                <w:szCs w:val="17"/>
                <w:lang w:val="en-US" w:eastAsia="zh-TW"/>
              </w:rPr>
              <w:t>描述</w:t>
            </w:r>
            <w:r w:rsidRPr="00272D6C">
              <w:rPr>
                <w:rFonts w:eastAsia="細明體" w:cs="Segoe UI" w:hint="eastAsia"/>
                <w:color w:val="000000"/>
                <w:sz w:val="17"/>
                <w:szCs w:val="17"/>
                <w:lang w:val="en-US" w:eastAsia="ar-SA"/>
              </w:rPr>
              <w:t>及有關組合所代表的合計總風險加權數額。</w:t>
            </w:r>
            <w:r w:rsidRPr="00272D6C">
              <w:rPr>
                <w:rFonts w:eastAsia="細明體" w:cs="Segoe UI"/>
                <w:color w:val="000000"/>
                <w:sz w:val="17"/>
                <w:szCs w:val="24"/>
                <w:lang w:val="en-US" w:eastAsia="ar-SA"/>
              </w:rPr>
              <w:t xml:space="preserve"> </w:t>
            </w:r>
          </w:p>
        </w:tc>
      </w:tr>
      <w:tr w:rsidR="00272D6C" w:rsidRPr="00272D6C" w14:paraId="31C60106" w14:textId="77777777" w:rsidTr="004A3D58">
        <w:tc>
          <w:tcPr>
            <w:tcW w:w="2160" w:type="dxa"/>
            <w:tcBorders>
              <w:top w:val="single" w:sz="4" w:space="0" w:color="000000"/>
              <w:bottom w:val="single" w:sz="4" w:space="0" w:color="000000"/>
            </w:tcBorders>
            <w:shd w:val="clear" w:color="auto" w:fill="auto"/>
          </w:tcPr>
          <w:p w14:paraId="204757DC"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b/>
                <w:sz w:val="17"/>
                <w:lang w:eastAsia="ar-SA"/>
              </w:rPr>
              <w:t>內容：</w:t>
            </w:r>
            <w:r w:rsidRPr="00272D6C">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6C025D66"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描述資料</w:t>
            </w:r>
            <w:r w:rsidRPr="00272D6C">
              <w:rPr>
                <w:rFonts w:eastAsia="細明體" w:cs="Segoe UI"/>
                <w:sz w:val="17"/>
                <w:lang w:eastAsia="ar-SA"/>
              </w:rPr>
              <w:t>。</w:t>
            </w:r>
          </w:p>
        </w:tc>
      </w:tr>
      <w:tr w:rsidR="00272D6C" w:rsidRPr="00272D6C" w14:paraId="296B8225" w14:textId="77777777" w:rsidTr="004A3D58">
        <w:tc>
          <w:tcPr>
            <w:tcW w:w="2160" w:type="dxa"/>
            <w:tcBorders>
              <w:top w:val="single" w:sz="4" w:space="0" w:color="000000"/>
              <w:bottom w:val="single" w:sz="4" w:space="0" w:color="000000"/>
            </w:tcBorders>
            <w:shd w:val="clear" w:color="auto" w:fill="auto"/>
          </w:tcPr>
          <w:p w14:paraId="14221D79"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7BD159B5"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每年一次</w:t>
            </w:r>
            <w:r w:rsidRPr="00272D6C">
              <w:rPr>
                <w:rFonts w:eastAsia="細明體" w:cs="Segoe UI"/>
                <w:sz w:val="17"/>
                <w:lang w:eastAsia="ar-SA"/>
              </w:rPr>
              <w:t>。</w:t>
            </w:r>
          </w:p>
        </w:tc>
      </w:tr>
      <w:tr w:rsidR="00272D6C" w:rsidRPr="00272D6C" w14:paraId="2D5279F7" w14:textId="77777777" w:rsidTr="004A3D58">
        <w:tc>
          <w:tcPr>
            <w:tcW w:w="2160" w:type="dxa"/>
            <w:tcBorders>
              <w:top w:val="single" w:sz="4" w:space="0" w:color="000000"/>
              <w:bottom w:val="single" w:sz="4" w:space="0" w:color="000000"/>
            </w:tcBorders>
            <w:shd w:val="clear" w:color="auto" w:fill="auto"/>
          </w:tcPr>
          <w:p w14:paraId="1C6C95FE"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0CC2EEDE"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非固定</w:t>
            </w:r>
            <w:r w:rsidRPr="00272D6C">
              <w:rPr>
                <w:rFonts w:eastAsia="細明體" w:cs="Segoe UI"/>
                <w:sz w:val="17"/>
                <w:lang w:eastAsia="ar-SA"/>
              </w:rPr>
              <w:t>。</w:t>
            </w:r>
          </w:p>
        </w:tc>
      </w:tr>
      <w:tr w:rsidR="00272D6C" w:rsidRPr="00272D6C" w14:paraId="6C4BE243" w14:textId="77777777" w:rsidTr="004A3D58">
        <w:tc>
          <w:tcPr>
            <w:tcW w:w="2160" w:type="dxa"/>
            <w:tcBorders>
              <w:top w:val="single" w:sz="4" w:space="0" w:color="000000"/>
              <w:bottom w:val="single" w:sz="4" w:space="0" w:color="000000"/>
            </w:tcBorders>
            <w:shd w:val="clear" w:color="auto" w:fill="auto"/>
          </w:tcPr>
          <w:p w14:paraId="501DBEDD"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202FFEBA"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16M</w:t>
            </w:r>
          </w:p>
        </w:tc>
      </w:tr>
    </w:tbl>
    <w:p w14:paraId="36340320" w14:textId="77777777" w:rsidR="00272D6C" w:rsidRPr="00272D6C" w:rsidRDefault="00272D6C" w:rsidP="00272D6C">
      <w:pPr>
        <w:suppressAutoHyphens/>
        <w:spacing w:before="120" w:after="120"/>
        <w:rPr>
          <w:rFonts w:eastAsia="細明體" w:cs="Segoe UI"/>
          <w:sz w:val="22"/>
          <w:lang w:eastAsia="ar-SA"/>
        </w:rPr>
      </w:pPr>
    </w:p>
    <w:tbl>
      <w:tblPr>
        <w:tblW w:w="9242" w:type="dxa"/>
        <w:tblInd w:w="-497" w:type="dxa"/>
        <w:tblLayout w:type="fixed"/>
        <w:tblCellMar>
          <w:left w:w="70" w:type="dxa"/>
          <w:right w:w="70" w:type="dxa"/>
        </w:tblCellMar>
        <w:tblLook w:val="0000" w:firstRow="0" w:lastRow="0" w:firstColumn="0" w:lastColumn="0" w:noHBand="0" w:noVBand="0"/>
      </w:tblPr>
      <w:tblGrid>
        <w:gridCol w:w="370"/>
        <w:gridCol w:w="8872"/>
      </w:tblGrid>
      <w:tr w:rsidR="00272D6C" w:rsidRPr="00272D6C" w14:paraId="3FCB41A5" w14:textId="77777777" w:rsidTr="005171C5">
        <w:trPr>
          <w:trHeight w:val="448"/>
        </w:trPr>
        <w:tc>
          <w:tcPr>
            <w:tcW w:w="9242" w:type="dxa"/>
            <w:gridSpan w:val="2"/>
            <w:tcBorders>
              <w:top w:val="single" w:sz="4" w:space="0" w:color="000000"/>
              <w:bottom w:val="single" w:sz="4" w:space="0" w:color="000000"/>
            </w:tcBorders>
            <w:shd w:val="clear" w:color="auto" w:fill="auto"/>
            <w:vAlign w:val="center"/>
          </w:tcPr>
          <w:p w14:paraId="0468B3ED" w14:textId="77777777" w:rsidR="00272D6C" w:rsidRPr="00272D6C" w:rsidRDefault="00272D6C" w:rsidP="00272D6C">
            <w:pPr>
              <w:widowControl w:val="0"/>
              <w:suppressAutoHyphens/>
              <w:spacing w:before="40" w:after="40"/>
              <w:jc w:val="both"/>
              <w:rPr>
                <w:rFonts w:cs="Segoe UI"/>
                <w:lang w:eastAsia="ar-SA"/>
              </w:rPr>
            </w:pPr>
            <w:r w:rsidRPr="00272D6C">
              <w:rPr>
                <w:rFonts w:eastAsia="細明體" w:cs="Segoe UI" w:hint="eastAsia"/>
                <w:sz w:val="17"/>
                <w:szCs w:val="17"/>
                <w:lang w:eastAsia="ar-SA"/>
              </w:rPr>
              <w:t>就使用</w:t>
            </w:r>
            <w:r w:rsidRPr="00272D6C">
              <w:rPr>
                <w:rFonts w:eastAsia="細明體" w:cs="Segoe UI"/>
                <w:sz w:val="17"/>
                <w:szCs w:val="17"/>
                <w:lang w:eastAsia="ar-SA"/>
              </w:rPr>
              <w:t>STC</w:t>
            </w:r>
            <w:r w:rsidRPr="00272D6C">
              <w:rPr>
                <w:rFonts w:eastAsia="細明體" w:cs="Segoe UI" w:hint="eastAsia"/>
                <w:sz w:val="17"/>
                <w:szCs w:val="17"/>
                <w:lang w:eastAsia="ar-SA"/>
              </w:rPr>
              <w:t>計算法</w:t>
            </w:r>
            <w:r w:rsidRPr="00272D6C">
              <w:rPr>
                <w:rFonts w:eastAsia="細明體" w:cs="Segoe UI" w:hint="eastAsia"/>
                <w:sz w:val="17"/>
                <w:szCs w:val="17"/>
                <w:lang w:eastAsia="zh-TW"/>
              </w:rPr>
              <w:t>計算</w:t>
            </w:r>
            <w:r w:rsidRPr="00272D6C">
              <w:rPr>
                <w:rFonts w:eastAsia="細明體" w:cs="Segoe UI" w:hint="eastAsia"/>
                <w:sz w:val="17"/>
                <w:szCs w:val="17"/>
                <w:lang w:eastAsia="ar-SA"/>
              </w:rPr>
              <w:t>風險加權的組合而言，認可機構應披露以下資料：</w:t>
            </w:r>
          </w:p>
        </w:tc>
      </w:tr>
      <w:tr w:rsidR="00272D6C" w:rsidRPr="00272D6C" w14:paraId="5C6A24EF" w14:textId="77777777" w:rsidTr="005171C5">
        <w:trPr>
          <w:trHeight w:val="318"/>
        </w:trPr>
        <w:tc>
          <w:tcPr>
            <w:tcW w:w="370" w:type="dxa"/>
            <w:tcBorders>
              <w:top w:val="single" w:sz="4" w:space="0" w:color="000000"/>
              <w:bottom w:val="single" w:sz="4" w:space="0" w:color="000000"/>
            </w:tcBorders>
            <w:shd w:val="clear" w:color="auto" w:fill="auto"/>
          </w:tcPr>
          <w:p w14:paraId="73A239C5" w14:textId="77777777" w:rsidR="00272D6C" w:rsidRPr="00272D6C" w:rsidRDefault="00272D6C" w:rsidP="00272D6C">
            <w:pPr>
              <w:widowControl w:val="0"/>
              <w:suppressAutoHyphens/>
              <w:spacing w:before="40" w:after="40"/>
              <w:rPr>
                <w:rFonts w:eastAsia="細明體" w:cs="Segoe UI"/>
                <w:szCs w:val="17"/>
                <w:lang w:eastAsia="ar-SA"/>
              </w:rPr>
            </w:pPr>
            <w:r w:rsidRPr="00272D6C">
              <w:rPr>
                <w:rFonts w:eastAsia="細明體" w:cs="Segoe UI"/>
                <w:sz w:val="17"/>
                <w:szCs w:val="17"/>
                <w:lang w:eastAsia="ar-SA"/>
              </w:rPr>
              <w:t>(a)</w:t>
            </w:r>
          </w:p>
        </w:tc>
        <w:tc>
          <w:tcPr>
            <w:tcW w:w="8872" w:type="dxa"/>
            <w:tcBorders>
              <w:top w:val="single" w:sz="4" w:space="0" w:color="000000"/>
              <w:bottom w:val="single" w:sz="4" w:space="0" w:color="000000"/>
            </w:tcBorders>
            <w:shd w:val="clear" w:color="auto" w:fill="auto"/>
            <w:vAlign w:val="center"/>
          </w:tcPr>
          <w:p w14:paraId="318F2ACF"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szCs w:val="17"/>
                <w:lang w:eastAsia="ar-SA"/>
              </w:rPr>
              <w:t>認可機構所採用的</w:t>
            </w:r>
            <w:r w:rsidRPr="00272D6C">
              <w:rPr>
                <w:rFonts w:eastAsia="細明體" w:cs="Segoe UI"/>
                <w:sz w:val="17"/>
                <w:szCs w:val="17"/>
                <w:lang w:eastAsia="ar-SA"/>
              </w:rPr>
              <w:t>ECAI</w:t>
            </w:r>
            <w:r w:rsidRPr="00272D6C">
              <w:rPr>
                <w:rFonts w:eastAsia="細明體" w:cs="Segoe UI" w:hint="eastAsia"/>
                <w:sz w:val="17"/>
                <w:szCs w:val="17"/>
                <w:lang w:eastAsia="ar-SA"/>
              </w:rPr>
              <w:t>的名稱，以及現行報告期內任何變動的原因；</w:t>
            </w:r>
          </w:p>
        </w:tc>
      </w:tr>
      <w:tr w:rsidR="00272D6C" w:rsidRPr="00272D6C" w14:paraId="6CCDFB69" w14:textId="77777777" w:rsidTr="005171C5">
        <w:trPr>
          <w:trHeight w:val="318"/>
        </w:trPr>
        <w:tc>
          <w:tcPr>
            <w:tcW w:w="370" w:type="dxa"/>
            <w:tcBorders>
              <w:top w:val="single" w:sz="4" w:space="0" w:color="000000"/>
              <w:bottom w:val="single" w:sz="4" w:space="0" w:color="000000"/>
            </w:tcBorders>
            <w:shd w:val="clear" w:color="auto" w:fill="auto"/>
          </w:tcPr>
          <w:p w14:paraId="6F17C794" w14:textId="77777777" w:rsidR="00272D6C" w:rsidRPr="00272D6C" w:rsidRDefault="00272D6C" w:rsidP="00272D6C">
            <w:pPr>
              <w:widowControl w:val="0"/>
              <w:suppressAutoHyphens/>
              <w:spacing w:before="40" w:after="40"/>
              <w:rPr>
                <w:rFonts w:eastAsia="細明體" w:cs="Segoe UI"/>
                <w:szCs w:val="17"/>
                <w:lang w:eastAsia="ar-SA"/>
              </w:rPr>
            </w:pPr>
            <w:r w:rsidRPr="00272D6C">
              <w:rPr>
                <w:rFonts w:eastAsia="細明體" w:cs="Segoe UI"/>
                <w:sz w:val="17"/>
                <w:szCs w:val="17"/>
                <w:lang w:eastAsia="ar-SA"/>
              </w:rPr>
              <w:t>(b)</w:t>
            </w:r>
          </w:p>
        </w:tc>
        <w:tc>
          <w:tcPr>
            <w:tcW w:w="8872" w:type="dxa"/>
            <w:tcBorders>
              <w:top w:val="single" w:sz="4" w:space="0" w:color="000000"/>
              <w:bottom w:val="single" w:sz="4" w:space="0" w:color="000000"/>
            </w:tcBorders>
            <w:shd w:val="clear" w:color="auto" w:fill="auto"/>
            <w:vAlign w:val="center"/>
          </w:tcPr>
          <w:p w14:paraId="7E506209"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szCs w:val="17"/>
                <w:lang w:eastAsia="ar-SA"/>
              </w:rPr>
              <w:t>每間所採用的</w:t>
            </w:r>
            <w:r w:rsidRPr="00272D6C">
              <w:rPr>
                <w:rFonts w:eastAsia="細明體" w:cs="Segoe UI"/>
                <w:sz w:val="17"/>
                <w:szCs w:val="17"/>
                <w:lang w:eastAsia="ar-SA"/>
              </w:rPr>
              <w:t>ECAI</w:t>
            </w:r>
            <w:r w:rsidRPr="00272D6C">
              <w:rPr>
                <w:rFonts w:eastAsia="細明體" w:cs="Segoe UI" w:hint="eastAsia"/>
                <w:sz w:val="17"/>
                <w:szCs w:val="17"/>
                <w:lang w:eastAsia="zh-TW"/>
              </w:rPr>
              <w:t>涵蓋</w:t>
            </w:r>
            <w:r w:rsidRPr="00272D6C">
              <w:rPr>
                <w:rFonts w:eastAsia="細明體" w:cs="Segoe UI" w:hint="eastAsia"/>
                <w:sz w:val="17"/>
                <w:szCs w:val="17"/>
                <w:lang w:eastAsia="ar-SA"/>
              </w:rPr>
              <w:t>的風險承擔類別；及</w:t>
            </w:r>
          </w:p>
        </w:tc>
      </w:tr>
      <w:tr w:rsidR="00272D6C" w:rsidRPr="00272D6C" w14:paraId="01070439" w14:textId="77777777" w:rsidTr="005171C5">
        <w:trPr>
          <w:trHeight w:val="318"/>
        </w:trPr>
        <w:tc>
          <w:tcPr>
            <w:tcW w:w="370" w:type="dxa"/>
            <w:tcBorders>
              <w:top w:val="single" w:sz="4" w:space="0" w:color="000000"/>
              <w:bottom w:val="single" w:sz="4" w:space="0" w:color="000000"/>
            </w:tcBorders>
            <w:shd w:val="clear" w:color="auto" w:fill="auto"/>
          </w:tcPr>
          <w:p w14:paraId="3532ECFF" w14:textId="77777777" w:rsidR="00272D6C" w:rsidRPr="00272D6C" w:rsidRDefault="00272D6C" w:rsidP="00272D6C">
            <w:pPr>
              <w:widowControl w:val="0"/>
              <w:suppressAutoHyphens/>
              <w:spacing w:before="40" w:after="40"/>
              <w:rPr>
                <w:rFonts w:eastAsia="細明體" w:cs="Segoe UI"/>
                <w:szCs w:val="17"/>
                <w:lang w:eastAsia="ar-SA"/>
              </w:rPr>
            </w:pPr>
            <w:r w:rsidRPr="00272D6C">
              <w:rPr>
                <w:rFonts w:eastAsia="細明體" w:cs="Segoe UI"/>
                <w:sz w:val="17"/>
                <w:szCs w:val="17"/>
                <w:lang w:eastAsia="ar-SA"/>
              </w:rPr>
              <w:t>(c)</w:t>
            </w:r>
          </w:p>
        </w:tc>
        <w:tc>
          <w:tcPr>
            <w:tcW w:w="8872" w:type="dxa"/>
            <w:tcBorders>
              <w:top w:val="single" w:sz="4" w:space="0" w:color="000000"/>
              <w:bottom w:val="single" w:sz="4" w:space="0" w:color="000000"/>
            </w:tcBorders>
            <w:shd w:val="clear" w:color="auto" w:fill="auto"/>
            <w:vAlign w:val="center"/>
          </w:tcPr>
          <w:p w14:paraId="7DBAC43B" w14:textId="3D4E3BA2"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szCs w:val="17"/>
                <w:lang w:eastAsia="ar-SA"/>
              </w:rPr>
              <w:t>將</w:t>
            </w:r>
            <w:r w:rsidRPr="00272D6C">
              <w:rPr>
                <w:rFonts w:eastAsia="細明體" w:cs="Segoe UI"/>
                <w:sz w:val="17"/>
                <w:szCs w:val="17"/>
                <w:lang w:eastAsia="ar-SA"/>
              </w:rPr>
              <w:t>ECAI</w:t>
            </w:r>
            <w:r w:rsidRPr="00272D6C">
              <w:rPr>
                <w:rFonts w:eastAsia="細明體" w:cs="Segoe UI" w:hint="eastAsia"/>
                <w:sz w:val="17"/>
                <w:szCs w:val="17"/>
                <w:lang w:eastAsia="ar-SA"/>
              </w:rPr>
              <w:t>發債人評</w:t>
            </w:r>
            <w:r w:rsidRPr="00272D6C">
              <w:rPr>
                <w:rFonts w:eastAsia="細明體" w:cs="Segoe UI" w:hint="eastAsia"/>
                <w:sz w:val="17"/>
                <w:szCs w:val="17"/>
                <w:lang w:eastAsia="zh-TW"/>
              </w:rPr>
              <w:t>級轉換成</w:t>
            </w:r>
            <w:r w:rsidRPr="00272D6C">
              <w:rPr>
                <w:rFonts w:eastAsia="細明體" w:cs="Segoe UI"/>
                <w:sz w:val="17"/>
                <w:szCs w:val="17"/>
                <w:lang w:eastAsia="zh-TW"/>
              </w:rPr>
              <w:t>ECAI</w:t>
            </w:r>
            <w:r w:rsidRPr="00272D6C">
              <w:rPr>
                <w:rFonts w:eastAsia="細明體" w:cs="Segoe UI" w:hint="eastAsia"/>
                <w:sz w:val="17"/>
                <w:szCs w:val="17"/>
                <w:lang w:eastAsia="zh-TW"/>
              </w:rPr>
              <w:t>特定債項評級至銀行帳內的相</w:t>
            </w:r>
            <w:r w:rsidRPr="00272D6C">
              <w:rPr>
                <w:rFonts w:eastAsia="細明體" w:cs="Segoe UI"/>
                <w:sz w:val="17"/>
                <w:szCs w:val="17"/>
                <w:lang w:eastAsia="zh-TW"/>
              </w:rPr>
              <w:t>若</w:t>
            </w:r>
            <w:r w:rsidR="003574DD" w:rsidRPr="00272D6C">
              <w:rPr>
                <w:rFonts w:eastAsia="細明體" w:cs="Segoe UI" w:hint="eastAsia"/>
                <w:sz w:val="17"/>
                <w:lang w:eastAsia="ar-SA"/>
              </w:rPr>
              <w:t>風險承擔</w:t>
            </w:r>
            <w:r w:rsidRPr="00272D6C">
              <w:rPr>
                <w:rFonts w:eastAsia="細明體" w:cs="Segoe UI" w:hint="eastAsia"/>
                <w:sz w:val="17"/>
                <w:szCs w:val="17"/>
                <w:lang w:eastAsia="ar-SA"/>
              </w:rPr>
              <w:t>上的有關程序說明。</w:t>
            </w:r>
          </w:p>
        </w:tc>
      </w:tr>
    </w:tbl>
    <w:p w14:paraId="0539AAB2" w14:textId="77777777" w:rsidR="00272D6C" w:rsidRPr="00272D6C" w:rsidRDefault="00272D6C" w:rsidP="00272D6C">
      <w:pPr>
        <w:suppressAutoHyphens/>
        <w:rPr>
          <w:rFonts w:eastAsia="細明體" w:cs="Segoe UI"/>
          <w:lang w:eastAsia="ar-SA"/>
        </w:rPr>
      </w:pPr>
    </w:p>
    <w:p w14:paraId="105613AF" w14:textId="77777777" w:rsidR="00272D6C" w:rsidRPr="00272D6C" w:rsidRDefault="00272D6C" w:rsidP="00272D6C">
      <w:pPr>
        <w:suppressAutoHyphens/>
        <w:rPr>
          <w:rFonts w:cs="Segoe UI"/>
          <w:lang w:eastAsia="ar-SA"/>
        </w:rPr>
        <w:sectPr w:rsidR="00272D6C" w:rsidRPr="00272D6C">
          <w:headerReference w:type="default" r:id="rId66"/>
          <w:footerReference w:type="default" r:id="rId67"/>
          <w:pgSz w:w="11906" w:h="16838"/>
          <w:pgMar w:top="1440" w:right="1797" w:bottom="1440" w:left="1797" w:header="720" w:footer="737" w:gutter="0"/>
          <w:cols w:space="720"/>
          <w:docGrid w:type="linesAndChars" w:linePitch="360"/>
        </w:sectPr>
      </w:pPr>
    </w:p>
    <w:p w14:paraId="41F481CA" w14:textId="49B324EA" w:rsidR="008A5FFD" w:rsidRPr="008A5FFD" w:rsidRDefault="008A5FFD" w:rsidP="000E62DB">
      <w:pPr>
        <w:pStyle w:val="Heading2"/>
        <w:keepNext w:val="0"/>
        <w:suppressAutoHyphens w:val="0"/>
        <w:spacing w:before="40" w:line="240" w:lineRule="auto"/>
        <w:ind w:left="-454" w:firstLine="596"/>
        <w:rPr>
          <w:rFonts w:ascii="Segoe UI" w:eastAsia="Times New Roman" w:hAnsi="Segoe UI"/>
          <w:b w:val="0"/>
          <w:bCs w:val="0"/>
          <w:sz w:val="22"/>
          <w:szCs w:val="20"/>
          <w:lang w:eastAsia="zh-TW"/>
        </w:rPr>
      </w:pPr>
      <w:r w:rsidRPr="008A5FFD">
        <w:rPr>
          <w:rFonts w:eastAsia="細明體" w:cs="Segoe UI" w:hint="eastAsia"/>
          <w:b w:val="0"/>
          <w:sz w:val="22"/>
        </w:rPr>
        <w:t>模版</w:t>
      </w:r>
      <w:r w:rsidRPr="008A5FFD">
        <w:rPr>
          <w:rFonts w:ascii="Segoe UI" w:eastAsia="細明體" w:hAnsi="Segoe UI" w:cs="Segoe UI"/>
          <w:b w:val="0"/>
          <w:sz w:val="22"/>
        </w:rPr>
        <w:t>CR4</w:t>
      </w:r>
      <w:r w:rsidRPr="008A5FFD">
        <w:rPr>
          <w:rFonts w:eastAsia="細明體" w:cs="Segoe UI" w:hint="eastAsia"/>
          <w:b w:val="0"/>
          <w:sz w:val="22"/>
        </w:rPr>
        <w:t>：信用風險承擔及認可減低信用風險措施的影響</w:t>
      </w:r>
      <w:r w:rsidRPr="008A5FFD">
        <w:rPr>
          <w:rFonts w:ascii="細明體" w:eastAsia="細明體" w:hAnsi="細明體" w:cs="細明體" w:hint="eastAsia"/>
          <w:b w:val="0"/>
          <w:sz w:val="22"/>
        </w:rPr>
        <w:t>──</w:t>
      </w:r>
      <w:r w:rsidRPr="008A5FFD">
        <w:rPr>
          <w:rFonts w:ascii="Segoe UI" w:eastAsia="細明體" w:hAnsi="Segoe UI" w:cs="Segoe UI"/>
          <w:b w:val="0"/>
          <w:sz w:val="22"/>
        </w:rPr>
        <w:t>STC</w:t>
      </w:r>
      <w:r w:rsidRPr="008A5FFD">
        <w:rPr>
          <w:rFonts w:eastAsia="細明體" w:cs="Segoe UI" w:hint="eastAsia"/>
          <w:b w:val="0"/>
          <w:sz w:val="22"/>
        </w:rPr>
        <w:t>計算法</w:t>
      </w:r>
      <w:r w:rsidRPr="008A5FFD">
        <w:rPr>
          <w:rFonts w:eastAsia="細明體" w:cs="Segoe UI"/>
          <w:b w:val="0"/>
          <w:sz w:val="22"/>
        </w:rPr>
        <w:t>或</w:t>
      </w:r>
      <w:r w:rsidRPr="008A5FFD">
        <w:rPr>
          <w:rFonts w:ascii="Segoe UI" w:eastAsia="細明體" w:hAnsi="Segoe UI" w:cs="Segoe UI"/>
          <w:b w:val="0"/>
          <w:sz w:val="22"/>
        </w:rPr>
        <w:t>BSC</w:t>
      </w:r>
      <w:r w:rsidRPr="008A5FFD">
        <w:rPr>
          <w:rFonts w:eastAsia="細明體" w:cs="Segoe UI" w:hint="eastAsia"/>
          <w:b w:val="0"/>
          <w:sz w:val="22"/>
        </w:rPr>
        <w:t>計算法</w:t>
      </w:r>
    </w:p>
    <w:tbl>
      <w:tblPr>
        <w:tblW w:w="13892" w:type="dxa"/>
        <w:tblInd w:w="108" w:type="dxa"/>
        <w:tblLayout w:type="fixed"/>
        <w:tblLook w:val="0000" w:firstRow="0" w:lastRow="0" w:firstColumn="0" w:lastColumn="0" w:noHBand="0" w:noVBand="0"/>
      </w:tblPr>
      <w:tblGrid>
        <w:gridCol w:w="2127"/>
        <w:gridCol w:w="11765"/>
      </w:tblGrid>
      <w:tr w:rsidR="00272D6C" w:rsidRPr="00272D6C" w14:paraId="6840CFF8" w14:textId="77777777" w:rsidTr="00272D6C">
        <w:tc>
          <w:tcPr>
            <w:tcW w:w="2127" w:type="dxa"/>
            <w:tcBorders>
              <w:top w:val="single" w:sz="4" w:space="0" w:color="000000"/>
              <w:bottom w:val="single" w:sz="4" w:space="0" w:color="000000"/>
            </w:tcBorders>
            <w:shd w:val="clear" w:color="auto" w:fill="auto"/>
          </w:tcPr>
          <w:p w14:paraId="53116DE5"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5EB1DB8E" w14:textId="77777777" w:rsidR="00272D6C" w:rsidRPr="00272D6C" w:rsidRDefault="00272D6C" w:rsidP="00272D6C">
            <w:pPr>
              <w:suppressAutoHyphens/>
              <w:spacing w:before="40" w:after="40"/>
              <w:ind w:left="4"/>
              <w:jc w:val="both"/>
              <w:rPr>
                <w:rFonts w:cs="Segoe UI"/>
                <w:sz w:val="17"/>
                <w:lang w:eastAsia="ar-SA"/>
              </w:rPr>
            </w:pPr>
            <w:r w:rsidRPr="00272D6C">
              <w:rPr>
                <w:rFonts w:eastAsia="細明體" w:cs="Segoe UI" w:hint="eastAsia"/>
                <w:sz w:val="17"/>
                <w:lang w:eastAsia="ar-SA"/>
              </w:rPr>
              <w:t>就任何認可減低信用風險措施（</w:t>
            </w:r>
            <w:r w:rsidRPr="00272D6C">
              <w:rPr>
                <w:rFonts w:eastAsia="細明體" w:cs="Segoe UI" w:hint="eastAsia"/>
                <w:sz w:val="17"/>
                <w:lang w:eastAsia="zh-TW"/>
              </w:rPr>
              <w:t>不論</w:t>
            </w:r>
            <w:r w:rsidRPr="00272D6C">
              <w:rPr>
                <w:rFonts w:eastAsia="細明體" w:cs="Segoe UI" w:hint="eastAsia"/>
                <w:sz w:val="17"/>
                <w:lang w:eastAsia="ar-SA"/>
              </w:rPr>
              <w:t>以全面方法或簡易方法為基礎的認可抵押品），說明其對計算資本規定的影響。</w:t>
            </w:r>
            <w:r w:rsidRPr="00272D6C">
              <w:rPr>
                <w:rFonts w:eastAsia="細明體" w:cs="Segoe UI"/>
                <w:sz w:val="17"/>
                <w:lang w:eastAsia="ar-SA"/>
              </w:rPr>
              <w:t>風險加權數額</w:t>
            </w:r>
            <w:r w:rsidRPr="00272D6C">
              <w:rPr>
                <w:rFonts w:eastAsia="細明體" w:cs="Segoe UI" w:hint="eastAsia"/>
                <w:sz w:val="17"/>
                <w:lang w:eastAsia="ar-SA"/>
              </w:rPr>
              <w:t>密度為每個組合的風險狀況</w:t>
            </w:r>
            <w:r w:rsidRPr="00272D6C">
              <w:rPr>
                <w:rFonts w:ascii="細明體" w:eastAsia="細明體" w:hAnsi="細明體" w:cs="細明體" w:hint="eastAsia"/>
                <w:color w:val="222222"/>
                <w:sz w:val="17"/>
                <w:lang w:eastAsia="ar-SA"/>
              </w:rPr>
              <w:t>提供</w:t>
            </w:r>
            <w:r w:rsidRPr="00272D6C">
              <w:rPr>
                <w:rFonts w:eastAsia="細明體" w:cs="Segoe UI" w:hint="eastAsia"/>
                <w:sz w:val="17"/>
                <w:lang w:eastAsia="ar-SA"/>
              </w:rPr>
              <w:t>合成指標。</w:t>
            </w:r>
          </w:p>
        </w:tc>
      </w:tr>
      <w:tr w:rsidR="00272D6C" w:rsidRPr="00272D6C" w14:paraId="573DD3EA" w14:textId="77777777" w:rsidTr="00272D6C">
        <w:tc>
          <w:tcPr>
            <w:tcW w:w="2127" w:type="dxa"/>
            <w:tcBorders>
              <w:top w:val="single" w:sz="4" w:space="0" w:color="000000"/>
              <w:bottom w:val="single" w:sz="4" w:space="0" w:color="000000"/>
            </w:tcBorders>
            <w:shd w:val="clear" w:color="auto" w:fill="auto"/>
          </w:tcPr>
          <w:p w14:paraId="197740D3"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0EFEAF6E" w14:textId="17D059C9" w:rsidR="00272D6C" w:rsidRPr="00754D82" w:rsidRDefault="00272D6C" w:rsidP="00272D6C">
            <w:pPr>
              <w:suppressAutoHyphens/>
              <w:spacing w:before="40" w:after="40"/>
              <w:ind w:left="4"/>
              <w:jc w:val="both"/>
              <w:rPr>
                <w:rFonts w:eastAsia="細明體" w:cs="Segoe UI"/>
                <w:color w:val="000000"/>
                <w:sz w:val="17"/>
                <w:szCs w:val="17"/>
                <w:lang w:val="en-US" w:eastAsia="ar-SA"/>
              </w:rPr>
            </w:pPr>
            <w:r w:rsidRPr="00272D6C">
              <w:rPr>
                <w:rFonts w:eastAsia="細明體" w:cs="Segoe UI" w:hint="eastAsia"/>
                <w:sz w:val="17"/>
                <w:lang w:eastAsia="ar-SA"/>
              </w:rPr>
              <w:t>本模版備有</w:t>
            </w:r>
            <w:r w:rsidRPr="00272D6C">
              <w:rPr>
                <w:rFonts w:eastAsia="細明體" w:cs="Segoe UI"/>
                <w:sz w:val="17"/>
                <w:lang w:eastAsia="ar-SA"/>
              </w:rPr>
              <w:t>STC</w:t>
            </w:r>
            <w:r w:rsidRPr="00272D6C">
              <w:rPr>
                <w:rFonts w:eastAsia="細明體" w:cs="Segoe UI" w:hint="eastAsia"/>
                <w:sz w:val="17"/>
                <w:lang w:eastAsia="ar-SA"/>
              </w:rPr>
              <w:t>版本及</w:t>
            </w:r>
            <w:r w:rsidRPr="00272D6C">
              <w:rPr>
                <w:rFonts w:eastAsia="細明體" w:cs="Segoe UI"/>
                <w:sz w:val="17"/>
                <w:lang w:eastAsia="ar-SA"/>
              </w:rPr>
              <w:t>BSC</w:t>
            </w:r>
            <w:r w:rsidRPr="00272D6C">
              <w:rPr>
                <w:rFonts w:eastAsia="細明體" w:cs="Segoe UI" w:hint="eastAsia"/>
                <w:sz w:val="17"/>
                <w:lang w:eastAsia="ar-SA"/>
              </w:rPr>
              <w:t>版本；在香港成立為法團並使用</w:t>
            </w:r>
            <w:r w:rsidRPr="00272D6C">
              <w:rPr>
                <w:rFonts w:eastAsia="細明體" w:cs="Segoe UI"/>
                <w:sz w:val="17"/>
                <w:lang w:eastAsia="ar-SA"/>
              </w:rPr>
              <w:t>STC</w:t>
            </w:r>
            <w:r w:rsidRPr="00272D6C">
              <w:rPr>
                <w:rFonts w:eastAsia="細明體" w:cs="Segoe UI" w:hint="eastAsia"/>
                <w:sz w:val="17"/>
                <w:lang w:eastAsia="ar-SA"/>
              </w:rPr>
              <w:t>計算法或</w:t>
            </w:r>
            <w:r w:rsidRPr="00272D6C">
              <w:rPr>
                <w:rFonts w:eastAsia="細明體" w:cs="Segoe UI"/>
                <w:sz w:val="17"/>
                <w:lang w:eastAsia="ar-SA"/>
              </w:rPr>
              <w:t>BSC</w:t>
            </w:r>
            <w:r w:rsidRPr="00272D6C">
              <w:rPr>
                <w:rFonts w:eastAsia="細明體" w:cs="Segoe UI" w:hint="eastAsia"/>
                <w:sz w:val="17"/>
                <w:lang w:eastAsia="ar-SA"/>
              </w:rPr>
              <w:t>計算法計算其信用風險承擔的認可機構，均須填報本模版。使用</w:t>
            </w:r>
            <w:r w:rsidRPr="00272D6C">
              <w:rPr>
                <w:rFonts w:eastAsia="細明體" w:cs="Segoe UI"/>
                <w:sz w:val="17"/>
                <w:lang w:eastAsia="ar-SA"/>
              </w:rPr>
              <w:t>STC</w:t>
            </w:r>
            <w:r w:rsidRPr="00272D6C">
              <w:rPr>
                <w:rFonts w:eastAsia="細明體" w:cs="Segoe UI" w:hint="eastAsia"/>
                <w:sz w:val="17"/>
                <w:lang w:eastAsia="ar-SA"/>
              </w:rPr>
              <w:t>計算法的認可機構應使用本模版的</w:t>
            </w:r>
            <w:r w:rsidRPr="00272D6C">
              <w:rPr>
                <w:rFonts w:eastAsia="細明體" w:cs="Segoe UI"/>
                <w:sz w:val="17"/>
                <w:lang w:eastAsia="ar-SA"/>
              </w:rPr>
              <w:t>STC</w:t>
            </w:r>
            <w:r w:rsidRPr="00272D6C">
              <w:rPr>
                <w:rFonts w:eastAsia="細明體" w:cs="Segoe UI" w:hint="eastAsia"/>
                <w:sz w:val="17"/>
                <w:lang w:eastAsia="ar-SA"/>
              </w:rPr>
              <w:t>版本；使用</w:t>
            </w:r>
            <w:r w:rsidRPr="00272D6C">
              <w:rPr>
                <w:rFonts w:eastAsia="細明體" w:cs="Segoe UI"/>
                <w:sz w:val="17"/>
                <w:lang w:eastAsia="ar-SA"/>
              </w:rPr>
              <w:t>BSC</w:t>
            </w:r>
            <w:r w:rsidRPr="00272D6C">
              <w:rPr>
                <w:rFonts w:eastAsia="細明體" w:cs="Segoe UI" w:hint="eastAsia"/>
                <w:sz w:val="17"/>
                <w:lang w:eastAsia="ar-SA"/>
              </w:rPr>
              <w:t>計算法的認可機構應使用本模版的</w:t>
            </w:r>
            <w:r w:rsidRPr="00272D6C">
              <w:rPr>
                <w:rFonts w:eastAsia="細明體" w:cs="Segoe UI"/>
                <w:sz w:val="17"/>
                <w:lang w:eastAsia="ar-SA"/>
              </w:rPr>
              <w:t>BSC</w:t>
            </w:r>
            <w:r w:rsidRPr="00272D6C">
              <w:rPr>
                <w:rFonts w:eastAsia="細明體" w:cs="Segoe UI" w:hint="eastAsia"/>
                <w:sz w:val="17"/>
                <w:lang w:eastAsia="ar-SA"/>
              </w:rPr>
              <w:t>版本。</w:t>
            </w:r>
            <w:r w:rsidR="001F70BB" w:rsidRPr="00754D82">
              <w:rPr>
                <w:rFonts w:eastAsia="細明體" w:cs="Segoe UI" w:hint="eastAsia"/>
                <w:sz w:val="17"/>
                <w:lang w:eastAsia="ar-SA"/>
              </w:rPr>
              <w:t>混合</w:t>
            </w:r>
            <w:r w:rsidRPr="00272D6C">
              <w:rPr>
                <w:rFonts w:eastAsia="細明體" w:cs="Segoe UI" w:hint="eastAsia"/>
                <w:sz w:val="17"/>
                <w:lang w:eastAsia="ar-SA"/>
              </w:rPr>
              <w:t>使用</w:t>
            </w:r>
            <w:r w:rsidR="00EA2114">
              <w:rPr>
                <w:rFonts w:eastAsia="細明體" w:cs="Segoe UI"/>
                <w:sz w:val="17"/>
                <w:lang w:eastAsia="ar-SA"/>
              </w:rPr>
              <w:t>STC</w:t>
            </w:r>
            <w:r w:rsidR="00EA2114" w:rsidRPr="00754D82">
              <w:rPr>
                <w:rFonts w:eastAsia="細明體" w:cs="Segoe UI" w:hint="eastAsia"/>
                <w:sz w:val="17"/>
                <w:lang w:eastAsia="ar-SA"/>
              </w:rPr>
              <w:t>計算法和</w:t>
            </w:r>
            <w:r w:rsidRPr="00272D6C">
              <w:rPr>
                <w:rFonts w:eastAsia="細明體" w:cs="Segoe UI"/>
                <w:sz w:val="17"/>
                <w:lang w:eastAsia="ar-SA"/>
              </w:rPr>
              <w:t>IRB</w:t>
            </w:r>
            <w:r w:rsidRPr="00272D6C">
              <w:rPr>
                <w:rFonts w:eastAsia="細明體" w:cs="Segoe UI" w:hint="eastAsia"/>
                <w:sz w:val="17"/>
                <w:lang w:eastAsia="ar-SA"/>
              </w:rPr>
              <w:t>計算法的認可機構應在</w:t>
            </w:r>
            <w:r w:rsidRPr="00272D6C">
              <w:rPr>
                <w:rFonts w:eastAsia="細明體" w:cs="Segoe UI"/>
                <w:sz w:val="17"/>
                <w:lang w:eastAsia="ar-SA"/>
              </w:rPr>
              <w:t>STC</w:t>
            </w:r>
            <w:r w:rsidRPr="00C21906">
              <w:rPr>
                <w:rFonts w:eastAsia="細明體" w:cs="Segoe UI" w:hint="eastAsia"/>
                <w:color w:val="000000"/>
                <w:sz w:val="17"/>
                <w:szCs w:val="17"/>
                <w:lang w:val="en-US" w:eastAsia="ar-SA"/>
              </w:rPr>
              <w:t>版本中填報</w:t>
            </w:r>
            <w:r w:rsidR="00754D82" w:rsidRPr="00C21906">
              <w:rPr>
                <w:rFonts w:eastAsia="細明體" w:cs="Segoe UI" w:hint="eastAsia"/>
                <w:color w:val="000000"/>
                <w:sz w:val="17"/>
                <w:szCs w:val="17"/>
                <w:lang w:val="en-US" w:eastAsia="zh-HK"/>
              </w:rPr>
              <w:t>其</w:t>
            </w:r>
            <w:r w:rsidR="006A539D" w:rsidRPr="00C21906">
              <w:rPr>
                <w:rFonts w:eastAsia="細明體" w:cs="Segoe UI" w:hint="eastAsia"/>
                <w:color w:val="000000"/>
                <w:sz w:val="17"/>
                <w:szCs w:val="17"/>
                <w:lang w:val="en-US" w:eastAsia="ar-SA"/>
              </w:rPr>
              <w:t>受</w:t>
            </w:r>
            <w:r w:rsidR="00EA2114" w:rsidRPr="00C21906">
              <w:rPr>
                <w:rFonts w:eastAsia="細明體" w:cs="Segoe UI"/>
                <w:color w:val="000000"/>
                <w:sz w:val="17"/>
                <w:szCs w:val="17"/>
                <w:lang w:val="en-US" w:eastAsia="ar-SA"/>
              </w:rPr>
              <w:t>STC</w:t>
            </w:r>
            <w:r w:rsidR="001F70BB" w:rsidRPr="00C21906">
              <w:rPr>
                <w:rFonts w:eastAsia="細明體" w:cs="Segoe UI" w:hint="eastAsia"/>
                <w:color w:val="000000"/>
                <w:sz w:val="17"/>
                <w:szCs w:val="17"/>
                <w:lang w:val="en-US" w:eastAsia="ar-SA"/>
              </w:rPr>
              <w:t>計算法</w:t>
            </w:r>
            <w:r w:rsidR="002509C6" w:rsidRPr="00C21906">
              <w:rPr>
                <w:rFonts w:eastAsia="細明體" w:cs="Segoe UI" w:hint="eastAsia"/>
                <w:color w:val="000000"/>
                <w:sz w:val="17"/>
                <w:szCs w:val="17"/>
                <w:lang w:val="en-US" w:eastAsia="zh-HK"/>
              </w:rPr>
              <w:t>所</w:t>
            </w:r>
            <w:r w:rsidR="00754D82" w:rsidRPr="00C21906">
              <w:rPr>
                <w:rFonts w:eastAsia="細明體" w:cs="Segoe UI" w:hint="eastAsia"/>
                <w:color w:val="000000"/>
                <w:sz w:val="17"/>
                <w:szCs w:val="17"/>
                <w:lang w:val="en-US" w:eastAsia="zh-HK"/>
              </w:rPr>
              <w:t>規</w:t>
            </w:r>
            <w:r w:rsidR="006A539D" w:rsidRPr="00C21906">
              <w:rPr>
                <w:rFonts w:eastAsia="細明體" w:cs="Segoe UI" w:hint="eastAsia"/>
                <w:color w:val="000000"/>
                <w:sz w:val="17"/>
                <w:szCs w:val="17"/>
                <w:lang w:val="en-US" w:eastAsia="ar-SA"/>
              </w:rPr>
              <w:t>限</w:t>
            </w:r>
            <w:r w:rsidR="001F70BB" w:rsidRPr="00C21906">
              <w:rPr>
                <w:rFonts w:eastAsia="細明體" w:cs="Segoe UI" w:hint="eastAsia"/>
                <w:color w:val="000000"/>
                <w:sz w:val="17"/>
                <w:szCs w:val="17"/>
                <w:lang w:val="en-US" w:eastAsia="ar-SA"/>
              </w:rPr>
              <w:t>的</w:t>
            </w:r>
            <w:r w:rsidRPr="00C21906">
              <w:rPr>
                <w:rFonts w:eastAsia="細明體" w:cs="Segoe UI" w:hint="eastAsia"/>
                <w:color w:val="000000"/>
                <w:sz w:val="17"/>
                <w:szCs w:val="17"/>
                <w:lang w:val="en-US" w:eastAsia="ar-SA"/>
              </w:rPr>
              <w:t>風險承擔</w:t>
            </w:r>
            <w:r w:rsidRPr="00272D6C">
              <w:rPr>
                <w:rFonts w:eastAsia="細明體" w:cs="Segoe UI" w:hint="eastAsia"/>
                <w:sz w:val="17"/>
                <w:lang w:eastAsia="ar-SA"/>
              </w:rPr>
              <w:t>。然而，認可機構如符合以下條件，則可選擇不披露本模版所要求的資料：</w:t>
            </w:r>
            <w:r w:rsidRPr="00272D6C">
              <w:rPr>
                <w:rFonts w:eastAsia="細明體" w:cs="Segoe UI"/>
                <w:sz w:val="17"/>
                <w:lang w:eastAsia="ar-SA"/>
              </w:rPr>
              <w:t xml:space="preserve"> </w:t>
            </w:r>
          </w:p>
          <w:p w14:paraId="5B9CBB18" w14:textId="784D4466" w:rsidR="00272D6C" w:rsidRPr="00272D6C" w:rsidRDefault="00272D6C" w:rsidP="00D540EB">
            <w:pPr>
              <w:numPr>
                <w:ilvl w:val="0"/>
                <w:numId w:val="39"/>
              </w:numPr>
              <w:tabs>
                <w:tab w:val="left" w:pos="459"/>
              </w:tabs>
              <w:suppressAutoHyphens/>
              <w:spacing w:before="40" w:after="40"/>
              <w:jc w:val="both"/>
              <w:rPr>
                <w:rFonts w:eastAsia="細明體" w:cs="Segoe UI"/>
                <w:color w:val="000000"/>
                <w:sz w:val="17"/>
                <w:szCs w:val="17"/>
                <w:lang w:eastAsia="ar-SA"/>
              </w:rPr>
            </w:pPr>
            <w:r w:rsidRPr="00272D6C">
              <w:rPr>
                <w:rFonts w:eastAsia="細明體" w:cs="Segoe UI" w:hint="eastAsia"/>
                <w:color w:val="000000"/>
                <w:sz w:val="17"/>
                <w:szCs w:val="17"/>
                <w:lang w:eastAsia="ar-SA"/>
              </w:rPr>
              <w:t>所計得的風險承擔</w:t>
            </w:r>
            <w:r w:rsidR="00862754" w:rsidRPr="00862754">
              <w:rPr>
                <w:rFonts w:eastAsia="細明體" w:cs="Segoe UI" w:hint="eastAsia"/>
                <w:color w:val="000000"/>
                <w:sz w:val="17"/>
                <w:szCs w:val="17"/>
                <w:lang w:eastAsia="ar-SA"/>
              </w:rPr>
              <w:t>數</w:t>
            </w:r>
            <w:r w:rsidRPr="00272D6C">
              <w:rPr>
                <w:rFonts w:eastAsia="細明體" w:cs="Segoe UI" w:hint="eastAsia"/>
                <w:color w:val="000000"/>
                <w:sz w:val="17"/>
                <w:szCs w:val="17"/>
                <w:lang w:eastAsia="ar-SA"/>
              </w:rPr>
              <w:t>額及風險加權數額屬微不足道；</w:t>
            </w:r>
          </w:p>
          <w:p w14:paraId="26C26109" w14:textId="77777777" w:rsidR="00272D6C" w:rsidRPr="00272D6C" w:rsidRDefault="00272D6C" w:rsidP="00D540EB">
            <w:pPr>
              <w:numPr>
                <w:ilvl w:val="0"/>
                <w:numId w:val="39"/>
              </w:numPr>
              <w:tabs>
                <w:tab w:val="left" w:pos="459"/>
              </w:tabs>
              <w:suppressAutoHyphens/>
              <w:spacing w:before="40" w:after="40"/>
              <w:ind w:left="459" w:hanging="455"/>
              <w:jc w:val="both"/>
              <w:rPr>
                <w:rFonts w:eastAsia="細明體" w:cs="Segoe UI"/>
                <w:color w:val="000000"/>
                <w:sz w:val="17"/>
                <w:szCs w:val="17"/>
                <w:lang w:val="en-US" w:eastAsia="ar-SA"/>
              </w:rPr>
            </w:pPr>
            <w:r w:rsidRPr="00272D6C">
              <w:rPr>
                <w:rFonts w:eastAsia="細明體" w:cs="Segoe UI" w:hint="eastAsia"/>
                <w:color w:val="000000"/>
                <w:sz w:val="17"/>
                <w:szCs w:val="17"/>
                <w:lang w:eastAsia="ar-SA"/>
              </w:rPr>
              <w:t>認可機構已在披露報表中清楚述明此事實；及</w:t>
            </w:r>
          </w:p>
          <w:p w14:paraId="4CE6FD1E" w14:textId="77777777" w:rsidR="00272D6C" w:rsidRPr="00862754" w:rsidRDefault="00272D6C" w:rsidP="00D540EB">
            <w:pPr>
              <w:numPr>
                <w:ilvl w:val="0"/>
                <w:numId w:val="39"/>
              </w:numPr>
              <w:tabs>
                <w:tab w:val="left" w:pos="459"/>
              </w:tabs>
              <w:suppressAutoHyphens/>
              <w:spacing w:before="40" w:after="40"/>
              <w:ind w:left="459" w:hanging="455"/>
              <w:jc w:val="both"/>
              <w:rPr>
                <w:rFonts w:cs="Segoe UI"/>
                <w:lang w:eastAsia="ar-SA"/>
              </w:rPr>
            </w:pPr>
            <w:r w:rsidRPr="00272D6C">
              <w:rPr>
                <w:rFonts w:eastAsia="細明體" w:cs="Segoe UI" w:hint="eastAsia"/>
                <w:color w:val="000000"/>
                <w:sz w:val="17"/>
                <w:szCs w:val="17"/>
                <w:lang w:val="en-US" w:eastAsia="ar-SA"/>
              </w:rPr>
              <w:t>認可機構已在敘述評註闡明其認為有關資料對資料使用者不具參考價值的原因，包括有關組合的描述及</w:t>
            </w:r>
            <w:r w:rsidRPr="00272D6C">
              <w:rPr>
                <w:rFonts w:eastAsia="細明體" w:cs="Segoe UI" w:hint="eastAsia"/>
                <w:color w:val="000000"/>
                <w:sz w:val="17"/>
                <w:szCs w:val="17"/>
                <w:lang w:val="en-US" w:eastAsia="zh-TW"/>
              </w:rPr>
              <w:t>該等</w:t>
            </w:r>
            <w:r w:rsidRPr="00272D6C">
              <w:rPr>
                <w:rFonts w:eastAsia="細明體" w:cs="Segoe UI"/>
                <w:sz w:val="17"/>
                <w:szCs w:val="17"/>
                <w:lang w:eastAsia="ar-SA"/>
              </w:rPr>
              <w:t>風險承擔</w:t>
            </w:r>
            <w:r w:rsidRPr="00272D6C">
              <w:rPr>
                <w:rFonts w:eastAsia="細明體" w:cs="Segoe UI" w:hint="eastAsia"/>
                <w:color w:val="000000"/>
                <w:sz w:val="17"/>
                <w:szCs w:val="17"/>
                <w:lang w:val="en-US" w:eastAsia="ar-SA"/>
              </w:rPr>
              <w:t>的合計總風險加權數額。</w:t>
            </w:r>
          </w:p>
          <w:p w14:paraId="0A115D88" w14:textId="545C800E" w:rsidR="00862754" w:rsidRPr="00965732" w:rsidRDefault="0068327A" w:rsidP="00CC22AC">
            <w:pPr>
              <w:tabs>
                <w:tab w:val="left" w:pos="459"/>
              </w:tabs>
              <w:suppressAutoHyphens/>
              <w:spacing w:before="40" w:after="40"/>
              <w:ind w:left="4"/>
              <w:jc w:val="both"/>
              <w:rPr>
                <w:rFonts w:eastAsia="細明體" w:cs="Segoe UI"/>
                <w:color w:val="000000"/>
                <w:sz w:val="17"/>
                <w:szCs w:val="17"/>
                <w:lang w:val="en-US" w:eastAsia="ar-SA"/>
              </w:rPr>
            </w:pPr>
            <w:r w:rsidRPr="00272D6C">
              <w:rPr>
                <w:rFonts w:eastAsia="細明體" w:cs="Segoe UI"/>
                <w:sz w:val="17"/>
                <w:lang w:eastAsia="ar-SA"/>
              </w:rPr>
              <w:t>C</w:t>
            </w:r>
            <w:r>
              <w:rPr>
                <w:rFonts w:eastAsia="細明體" w:cs="Segoe UI"/>
                <w:sz w:val="17"/>
                <w:lang w:eastAsia="ar-SA"/>
              </w:rPr>
              <w:t>IS</w:t>
            </w:r>
            <w:r w:rsidR="00862754" w:rsidRPr="002230E5">
              <w:rPr>
                <w:rFonts w:eastAsia="細明體" w:cs="Segoe UI" w:hint="eastAsia"/>
                <w:color w:val="000000"/>
                <w:sz w:val="17"/>
                <w:szCs w:val="17"/>
                <w:lang w:val="en-US" w:eastAsia="ar-SA"/>
              </w:rPr>
              <w:t>風險承擔不應在本模版填報，而應在模版</w:t>
            </w:r>
            <w:r w:rsidR="00862754" w:rsidRPr="002230E5">
              <w:rPr>
                <w:rFonts w:eastAsia="細明體" w:cs="Segoe UI"/>
                <w:color w:val="000000"/>
                <w:sz w:val="17"/>
                <w:szCs w:val="17"/>
                <w:lang w:val="en-US" w:eastAsia="ar-SA"/>
              </w:rPr>
              <w:t>OV1</w:t>
            </w:r>
            <w:r w:rsidR="00862754" w:rsidRPr="002230E5">
              <w:rPr>
                <w:rFonts w:eastAsia="細明體" w:cs="Segoe UI" w:hint="eastAsia"/>
                <w:color w:val="000000"/>
                <w:sz w:val="17"/>
                <w:szCs w:val="17"/>
                <w:lang w:val="en-US" w:eastAsia="ar-SA"/>
              </w:rPr>
              <w:t>填報。</w:t>
            </w:r>
            <w:r w:rsidR="00965732">
              <w:rPr>
                <w:rFonts w:eastAsia="細明體" w:cs="Segoe UI" w:hint="eastAsia"/>
                <w:color w:val="000000"/>
                <w:sz w:val="17"/>
                <w:szCs w:val="17"/>
                <w:lang w:val="en-US" w:eastAsia="zh-HK"/>
              </w:rPr>
              <w:t>在</w:t>
            </w:r>
            <w:r w:rsidR="00EA2114" w:rsidRPr="00754D82">
              <w:rPr>
                <w:rFonts w:eastAsia="細明體" w:cs="Segoe UI" w:hint="eastAsia"/>
                <w:color w:val="000000"/>
                <w:sz w:val="17"/>
                <w:szCs w:val="17"/>
                <w:lang w:eastAsia="ar-SA"/>
              </w:rPr>
              <w:t>模</w:t>
            </w:r>
            <w:r w:rsidR="00965732" w:rsidRPr="00965732">
              <w:rPr>
                <w:rFonts w:eastAsia="細明體" w:cs="Segoe UI" w:hint="eastAsia"/>
                <w:color w:val="000000"/>
                <w:sz w:val="17"/>
                <w:szCs w:val="17"/>
                <w:lang w:eastAsia="ar-SA"/>
              </w:rPr>
              <w:t>版</w:t>
            </w:r>
            <w:r w:rsidR="00EA2114" w:rsidRPr="00754D82">
              <w:rPr>
                <w:rFonts w:eastAsia="細明體" w:cs="Segoe UI"/>
                <w:color w:val="000000"/>
                <w:sz w:val="17"/>
                <w:szCs w:val="17"/>
                <w:lang w:eastAsia="ar-SA"/>
              </w:rPr>
              <w:t>OV1</w:t>
            </w:r>
            <w:r w:rsidR="00EA2114" w:rsidRPr="00CC22AC">
              <w:rPr>
                <w:rFonts w:eastAsia="細明體" w:cs="Segoe UI" w:hint="eastAsia"/>
                <w:color w:val="000000"/>
                <w:sz w:val="17"/>
                <w:szCs w:val="17"/>
                <w:lang w:eastAsia="ar-SA"/>
              </w:rPr>
              <w:t>第</w:t>
            </w:r>
            <w:r w:rsidR="00EA2114" w:rsidRPr="00CC22AC">
              <w:rPr>
                <w:rFonts w:eastAsia="細明體" w:cs="Segoe UI"/>
                <w:color w:val="000000"/>
                <w:sz w:val="17"/>
                <w:szCs w:val="17"/>
                <w:lang w:eastAsia="ar-SA"/>
              </w:rPr>
              <w:t>15</w:t>
            </w:r>
            <w:r w:rsidR="00EA2114" w:rsidRPr="00CC22AC">
              <w:rPr>
                <w:rFonts w:eastAsia="細明體" w:cs="Segoe UI" w:hint="eastAsia"/>
                <w:color w:val="000000"/>
                <w:sz w:val="17"/>
                <w:szCs w:val="17"/>
                <w:lang w:eastAsia="ar-SA"/>
              </w:rPr>
              <w:t>行</w:t>
            </w:r>
            <w:r w:rsidR="002C2DA8" w:rsidRPr="00CC22AC">
              <w:rPr>
                <w:rFonts w:eastAsia="細明體" w:cs="Segoe UI" w:hint="eastAsia"/>
                <w:color w:val="000000"/>
                <w:sz w:val="17"/>
                <w:szCs w:val="17"/>
                <w:lang w:eastAsia="zh-HK"/>
              </w:rPr>
              <w:t>所</w:t>
            </w:r>
            <w:r w:rsidR="004F2266" w:rsidRPr="00CC22AC">
              <w:rPr>
                <w:rFonts w:eastAsia="細明體" w:cs="Segoe UI" w:hint="eastAsia"/>
                <w:color w:val="000000"/>
                <w:sz w:val="17"/>
                <w:szCs w:val="17"/>
                <w:lang w:eastAsia="ar-SA"/>
              </w:rPr>
              <w:t>填報</w:t>
            </w:r>
            <w:r w:rsidR="00EA2114" w:rsidRPr="00CC22AC">
              <w:rPr>
                <w:rFonts w:eastAsia="細明體" w:cs="Segoe UI" w:hint="eastAsia"/>
                <w:color w:val="000000"/>
                <w:sz w:val="17"/>
                <w:szCs w:val="17"/>
                <w:lang w:eastAsia="ar-SA"/>
              </w:rPr>
              <w:t>的</w:t>
            </w:r>
            <w:r w:rsidR="00965732" w:rsidRPr="00CC22AC">
              <w:rPr>
                <w:rFonts w:eastAsia="細明體" w:cs="Segoe UI" w:hint="eastAsia"/>
                <w:color w:val="000000"/>
                <w:sz w:val="17"/>
                <w:szCs w:val="17"/>
                <w:lang w:eastAsia="ar-SA"/>
              </w:rPr>
              <w:t>交收風險</w:t>
            </w:r>
            <w:r w:rsidR="00EA2114" w:rsidRPr="00CC22AC">
              <w:rPr>
                <w:rFonts w:eastAsia="細明體" w:cs="Segoe UI" w:hint="eastAsia"/>
                <w:color w:val="000000"/>
                <w:sz w:val="17"/>
                <w:szCs w:val="17"/>
                <w:lang w:eastAsia="ar-SA"/>
              </w:rPr>
              <w:t>的風險承擔亦</w:t>
            </w:r>
            <w:r w:rsidR="002509C6" w:rsidRPr="00CC22AC">
              <w:rPr>
                <w:rFonts w:eastAsia="細明體" w:cs="Segoe UI" w:hint="eastAsia"/>
                <w:color w:val="000000"/>
                <w:sz w:val="17"/>
                <w:szCs w:val="17"/>
                <w:lang w:eastAsia="zh-HK"/>
              </w:rPr>
              <w:t>不包括</w:t>
            </w:r>
            <w:r w:rsidR="002C2DA8" w:rsidRPr="00CC22AC">
              <w:rPr>
                <w:rFonts w:eastAsia="細明體" w:cs="Segoe UI" w:hint="eastAsia"/>
                <w:color w:val="000000"/>
                <w:sz w:val="17"/>
                <w:szCs w:val="17"/>
                <w:lang w:eastAsia="zh-HK"/>
              </w:rPr>
              <w:t>在</w:t>
            </w:r>
            <w:r w:rsidR="00EA2114" w:rsidRPr="00CC22AC">
              <w:rPr>
                <w:rFonts w:eastAsia="細明體" w:cs="Segoe UI" w:hint="eastAsia"/>
                <w:color w:val="000000"/>
                <w:sz w:val="17"/>
                <w:szCs w:val="17"/>
                <w:lang w:eastAsia="ar-SA"/>
              </w:rPr>
              <w:t>本模</w:t>
            </w:r>
            <w:r w:rsidR="00965732" w:rsidRPr="00CC22AC">
              <w:rPr>
                <w:rFonts w:eastAsia="細明體" w:cs="Segoe UI" w:hint="eastAsia"/>
                <w:color w:val="000000"/>
                <w:sz w:val="17"/>
                <w:szCs w:val="17"/>
                <w:lang w:eastAsia="ar-SA"/>
              </w:rPr>
              <w:t>版</w:t>
            </w:r>
            <w:r w:rsidR="002C2DA8" w:rsidRPr="00CC22AC">
              <w:rPr>
                <w:rFonts w:eastAsia="細明體" w:cs="Segoe UI" w:hint="eastAsia"/>
                <w:color w:val="000000"/>
                <w:sz w:val="17"/>
                <w:szCs w:val="17"/>
                <w:lang w:eastAsia="zh-HK"/>
              </w:rPr>
              <w:t>內</w:t>
            </w:r>
            <w:r w:rsidR="00754D82" w:rsidRPr="00CC22AC">
              <w:rPr>
                <w:rFonts w:eastAsia="細明體" w:cs="Segoe UI" w:hint="eastAsia"/>
                <w:color w:val="000000"/>
                <w:sz w:val="17"/>
                <w:szCs w:val="17"/>
                <w:lang w:val="en-US" w:eastAsia="ar-SA"/>
              </w:rPr>
              <w:t>。</w:t>
            </w:r>
          </w:p>
        </w:tc>
      </w:tr>
      <w:tr w:rsidR="00272D6C" w:rsidRPr="00272D6C" w14:paraId="225B760C" w14:textId="77777777" w:rsidTr="00272D6C">
        <w:trPr>
          <w:trHeight w:val="275"/>
        </w:trPr>
        <w:tc>
          <w:tcPr>
            <w:tcW w:w="2127" w:type="dxa"/>
            <w:tcBorders>
              <w:top w:val="single" w:sz="4" w:space="0" w:color="000000"/>
              <w:bottom w:val="single" w:sz="4" w:space="0" w:color="000000"/>
            </w:tcBorders>
            <w:shd w:val="clear" w:color="auto" w:fill="auto"/>
          </w:tcPr>
          <w:p w14:paraId="79F7A9F8"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b/>
                <w:sz w:val="17"/>
                <w:lang w:eastAsia="ar-SA"/>
              </w:rPr>
              <w:t>內容：</w:t>
            </w:r>
            <w:r w:rsidRPr="00272D6C">
              <w:rPr>
                <w:rFonts w:eastAsia="細明體" w:cs="Segoe UI"/>
                <w:b/>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2D4099DD" w14:textId="6662A2AC" w:rsidR="00272D6C" w:rsidRPr="00272D6C" w:rsidRDefault="00272D6C" w:rsidP="00272D6C">
            <w:pPr>
              <w:suppressAutoHyphens/>
              <w:spacing w:before="40" w:after="40"/>
              <w:ind w:left="4"/>
              <w:jc w:val="both"/>
              <w:rPr>
                <w:rFonts w:cs="Segoe UI"/>
                <w:lang w:eastAsia="ar-SA"/>
              </w:rPr>
            </w:pPr>
            <w:r w:rsidRPr="00272D6C">
              <w:rPr>
                <w:rFonts w:eastAsia="細明體" w:cs="Segoe UI" w:hint="eastAsia"/>
                <w:sz w:val="17"/>
                <w:lang w:eastAsia="ar-SA"/>
              </w:rPr>
              <w:t>為計算資本充足程度而使用的信用風險承擔</w:t>
            </w:r>
            <w:r w:rsidR="00862754" w:rsidRPr="00862754">
              <w:rPr>
                <w:rFonts w:eastAsia="細明體" w:cs="Segoe UI" w:hint="eastAsia"/>
                <w:color w:val="000000"/>
                <w:sz w:val="17"/>
                <w:szCs w:val="17"/>
                <w:lang w:eastAsia="ar-SA"/>
              </w:rPr>
              <w:t>數</w:t>
            </w:r>
            <w:r w:rsidRPr="00272D6C">
              <w:rPr>
                <w:rFonts w:eastAsia="細明體" w:cs="Segoe UI" w:hint="eastAsia"/>
                <w:sz w:val="17"/>
                <w:lang w:eastAsia="ar-SA"/>
              </w:rPr>
              <w:t>額。</w:t>
            </w:r>
          </w:p>
        </w:tc>
      </w:tr>
      <w:tr w:rsidR="00272D6C" w:rsidRPr="00272D6C" w14:paraId="61C77EC5" w14:textId="77777777" w:rsidTr="00272D6C">
        <w:tc>
          <w:tcPr>
            <w:tcW w:w="2127" w:type="dxa"/>
            <w:tcBorders>
              <w:top w:val="single" w:sz="4" w:space="0" w:color="000000"/>
              <w:bottom w:val="single" w:sz="4" w:space="0" w:color="000000"/>
            </w:tcBorders>
            <w:shd w:val="clear" w:color="auto" w:fill="auto"/>
          </w:tcPr>
          <w:p w14:paraId="29CC7E22"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250F94AD" w14:textId="77777777" w:rsidR="00272D6C" w:rsidRPr="00272D6C" w:rsidRDefault="00272D6C" w:rsidP="00272D6C">
            <w:pPr>
              <w:suppressAutoHyphens/>
              <w:spacing w:before="40" w:after="40"/>
              <w:ind w:left="4"/>
              <w:jc w:val="both"/>
              <w:rPr>
                <w:rFonts w:cs="Segoe UI"/>
                <w:sz w:val="17"/>
                <w:lang w:eastAsia="ar-SA"/>
              </w:rPr>
            </w:pPr>
            <w:r w:rsidRPr="00272D6C">
              <w:rPr>
                <w:rFonts w:eastAsia="細明體" w:cs="Segoe UI" w:hint="eastAsia"/>
                <w:sz w:val="17"/>
                <w:lang w:eastAsia="ar-SA"/>
              </w:rPr>
              <w:t>每半年一次</w:t>
            </w:r>
            <w:r w:rsidRPr="00272D6C">
              <w:rPr>
                <w:rFonts w:eastAsia="細明體" w:cs="Segoe UI"/>
                <w:sz w:val="17"/>
                <w:lang w:eastAsia="ar-SA"/>
              </w:rPr>
              <w:t>。</w:t>
            </w:r>
          </w:p>
        </w:tc>
      </w:tr>
      <w:tr w:rsidR="00272D6C" w:rsidRPr="00272D6C" w14:paraId="2616A0CD" w14:textId="77777777" w:rsidTr="00272D6C">
        <w:tc>
          <w:tcPr>
            <w:tcW w:w="2127" w:type="dxa"/>
            <w:tcBorders>
              <w:top w:val="single" w:sz="4" w:space="0" w:color="000000"/>
              <w:bottom w:val="single" w:sz="4" w:space="0" w:color="000000"/>
            </w:tcBorders>
            <w:shd w:val="clear" w:color="auto" w:fill="auto"/>
          </w:tcPr>
          <w:p w14:paraId="3D57482C"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58789C72" w14:textId="77777777" w:rsidR="00272D6C" w:rsidRPr="00272D6C" w:rsidRDefault="00272D6C" w:rsidP="00272D6C">
            <w:pPr>
              <w:suppressAutoHyphens/>
              <w:spacing w:before="40" w:after="40"/>
              <w:ind w:left="4"/>
              <w:jc w:val="both"/>
              <w:rPr>
                <w:rFonts w:cs="Segoe UI"/>
                <w:sz w:val="17"/>
                <w:lang w:eastAsia="ar-SA"/>
              </w:rPr>
            </w:pPr>
            <w:r w:rsidRPr="00272D6C">
              <w:rPr>
                <w:rFonts w:eastAsia="細明體" w:cs="Segoe UI" w:hint="eastAsia"/>
                <w:sz w:val="17"/>
                <w:lang w:eastAsia="ar-SA"/>
              </w:rPr>
              <w:t>固定。欄</w:t>
            </w:r>
            <w:r w:rsidRPr="00272D6C">
              <w:rPr>
                <w:rFonts w:ascii="細明體" w:eastAsia="細明體" w:hAnsi="細明體" w:cs="細明體" w:hint="eastAsia"/>
                <w:color w:val="222222"/>
                <w:sz w:val="17"/>
                <w:lang w:eastAsia="ar-SA"/>
              </w:rPr>
              <w:t>是</w:t>
            </w:r>
            <w:r w:rsidRPr="00272D6C">
              <w:rPr>
                <w:rFonts w:eastAsia="細明體" w:cs="Segoe UI" w:hint="eastAsia"/>
                <w:sz w:val="17"/>
                <w:lang w:eastAsia="ar-SA"/>
              </w:rPr>
              <w:t>固定</w:t>
            </w:r>
            <w:r w:rsidRPr="00272D6C">
              <w:rPr>
                <w:rFonts w:ascii="細明體" w:eastAsia="細明體" w:hAnsi="細明體" w:cs="細明體" w:hint="eastAsia"/>
                <w:color w:val="222222"/>
                <w:sz w:val="17"/>
                <w:lang w:eastAsia="ar-SA"/>
              </w:rPr>
              <w:t>的</w:t>
            </w:r>
            <w:r w:rsidRPr="00272D6C">
              <w:rPr>
                <w:rFonts w:eastAsia="細明體" w:cs="Segoe UI" w:hint="eastAsia"/>
                <w:sz w:val="17"/>
                <w:lang w:eastAsia="ar-SA"/>
              </w:rPr>
              <w:t>，在本模版的</w:t>
            </w:r>
            <w:r w:rsidRPr="00272D6C">
              <w:rPr>
                <w:rFonts w:eastAsia="細明體" w:cs="Segoe UI"/>
                <w:sz w:val="17"/>
                <w:lang w:eastAsia="ar-SA"/>
              </w:rPr>
              <w:t>STC</w:t>
            </w:r>
            <w:r w:rsidRPr="00272D6C">
              <w:rPr>
                <w:rFonts w:eastAsia="細明體" w:cs="Segoe UI" w:hint="eastAsia"/>
                <w:sz w:val="17"/>
                <w:lang w:eastAsia="ar-SA"/>
              </w:rPr>
              <w:t>版本及</w:t>
            </w:r>
            <w:r w:rsidRPr="00272D6C">
              <w:rPr>
                <w:rFonts w:eastAsia="細明體" w:cs="Segoe UI"/>
                <w:sz w:val="17"/>
                <w:lang w:eastAsia="ar-SA"/>
              </w:rPr>
              <w:t>BSC</w:t>
            </w:r>
            <w:r w:rsidRPr="00272D6C">
              <w:rPr>
                <w:rFonts w:eastAsia="細明體" w:cs="Segoe UI" w:hint="eastAsia"/>
                <w:sz w:val="17"/>
                <w:lang w:eastAsia="ar-SA"/>
              </w:rPr>
              <w:t>版本的各行分別反映《資本規則》所界定的風險承擔類別（如適用）。</w:t>
            </w:r>
          </w:p>
        </w:tc>
      </w:tr>
      <w:tr w:rsidR="00272D6C" w:rsidRPr="00272D6C" w14:paraId="348B3AE0" w14:textId="77777777" w:rsidTr="00272D6C">
        <w:tc>
          <w:tcPr>
            <w:tcW w:w="2127" w:type="dxa"/>
            <w:tcBorders>
              <w:top w:val="single" w:sz="4" w:space="0" w:color="000000"/>
              <w:bottom w:val="single" w:sz="4" w:space="0" w:color="000000"/>
            </w:tcBorders>
            <w:shd w:val="clear" w:color="auto" w:fill="auto"/>
          </w:tcPr>
          <w:p w14:paraId="4D2394B7"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附加說明：</w:t>
            </w:r>
          </w:p>
        </w:tc>
        <w:tc>
          <w:tcPr>
            <w:tcW w:w="11765" w:type="dxa"/>
            <w:tcBorders>
              <w:top w:val="single" w:sz="4" w:space="0" w:color="000000"/>
              <w:left w:val="single" w:sz="4" w:space="0" w:color="000000"/>
              <w:bottom w:val="single" w:sz="4" w:space="0" w:color="000000"/>
            </w:tcBorders>
            <w:shd w:val="clear" w:color="auto" w:fill="auto"/>
          </w:tcPr>
          <w:p w14:paraId="690D0BD1" w14:textId="60EF8709" w:rsidR="00272D6C" w:rsidRPr="00862754" w:rsidRDefault="00862754" w:rsidP="00613A7E">
            <w:pPr>
              <w:suppressAutoHyphens/>
              <w:spacing w:before="40" w:after="40"/>
              <w:ind w:left="4"/>
              <w:jc w:val="both"/>
              <w:rPr>
                <w:rFonts w:ascii="細明體" w:eastAsia="細明體" w:hAnsi="細明體" w:cs="Segoe UI"/>
                <w:sz w:val="17"/>
                <w:lang w:eastAsia="ar-SA"/>
              </w:rPr>
            </w:pPr>
            <w:r w:rsidRPr="00862754">
              <w:rPr>
                <w:rFonts w:ascii="細明體" w:eastAsia="細明體" w:hAnsi="細明體" w:cs="微軟正黑體" w:hint="eastAsia"/>
                <w:sz w:val="17"/>
                <w:lang w:eastAsia="ar-SA"/>
              </w:rPr>
              <w:t>認可機構應以敘述評註闡明現行報告期內的任何重大</w:t>
            </w:r>
            <w:r w:rsidR="00AB7FD2" w:rsidRPr="00AB7FD2">
              <w:rPr>
                <w:rFonts w:ascii="細明體" w:eastAsia="細明體" w:hAnsi="細明體" w:cs="微軟正黑體" w:hint="eastAsia"/>
                <w:sz w:val="17"/>
                <w:lang w:eastAsia="ar-SA"/>
              </w:rPr>
              <w:t>改</w:t>
            </w:r>
            <w:r w:rsidRPr="00862754">
              <w:rPr>
                <w:rFonts w:ascii="細明體" w:eastAsia="細明體" w:hAnsi="細明體" w:cs="微軟正黑體" w:hint="eastAsia"/>
                <w:sz w:val="17"/>
                <w:lang w:eastAsia="ar-SA"/>
              </w:rPr>
              <w:t>變及引致該等</w:t>
            </w:r>
            <w:r w:rsidR="00AB7FD2" w:rsidRPr="00AB7FD2">
              <w:rPr>
                <w:rFonts w:ascii="細明體" w:eastAsia="細明體" w:hAnsi="細明體" w:cs="微軟正黑體" w:hint="eastAsia"/>
                <w:sz w:val="17"/>
                <w:lang w:eastAsia="ar-SA"/>
              </w:rPr>
              <w:t>改</w:t>
            </w:r>
            <w:r w:rsidRPr="00862754">
              <w:rPr>
                <w:rFonts w:ascii="細明體" w:eastAsia="細明體" w:hAnsi="細明體" w:cs="微軟正黑體" w:hint="eastAsia"/>
                <w:sz w:val="17"/>
                <w:lang w:eastAsia="ar-SA"/>
              </w:rPr>
              <w:t>變的主要驅動因素，以補充本模版。</w:t>
            </w:r>
            <w:r w:rsidR="00613A7E" w:rsidRPr="00613A7E">
              <w:rPr>
                <w:rFonts w:ascii="細明體" w:eastAsia="細明體" w:hAnsi="細明體" w:cs="微軟正黑體" w:hint="eastAsia"/>
                <w:sz w:val="17"/>
                <w:lang w:eastAsia="ar-SA"/>
              </w:rPr>
              <w:t>認可機構應描述在資產負債表內及資產負債表外風險承擔中，</w:t>
            </w:r>
            <w:r w:rsidR="00613A7E" w:rsidRPr="00034CB4">
              <w:rPr>
                <w:rFonts w:eastAsia="細明體" w:cs="Segoe UI"/>
                <w:sz w:val="17"/>
                <w:lang w:eastAsia="ar-SA"/>
              </w:rPr>
              <w:t>CCF</w:t>
            </w:r>
            <w:r w:rsidR="00613A7E" w:rsidRPr="00613A7E">
              <w:rPr>
                <w:rFonts w:ascii="細明體" w:eastAsia="細明體" w:hAnsi="細明體" w:cs="微軟正黑體" w:hint="eastAsia"/>
                <w:sz w:val="17"/>
                <w:lang w:eastAsia="ar-SA"/>
              </w:rPr>
              <w:t>、撥備及減低信用風險措施的應用次序（如適用）</w:t>
            </w:r>
            <w:r w:rsidRPr="00862754">
              <w:rPr>
                <w:rFonts w:ascii="細明體" w:eastAsia="細明體" w:hAnsi="細明體" w:cs="微軟正黑體" w:hint="eastAsia"/>
                <w:sz w:val="17"/>
                <w:lang w:eastAsia="ar-SA"/>
              </w:rPr>
              <w:t>。</w:t>
            </w:r>
          </w:p>
        </w:tc>
      </w:tr>
      <w:tr w:rsidR="00272D6C" w:rsidRPr="00272D6C" w14:paraId="4AF18D06" w14:textId="77777777" w:rsidTr="00272D6C">
        <w:tc>
          <w:tcPr>
            <w:tcW w:w="2127" w:type="dxa"/>
            <w:tcBorders>
              <w:top w:val="single" w:sz="4" w:space="0" w:color="000000"/>
              <w:bottom w:val="single" w:sz="4" w:space="0" w:color="000000"/>
            </w:tcBorders>
            <w:shd w:val="clear" w:color="auto" w:fill="auto"/>
          </w:tcPr>
          <w:p w14:paraId="5C5E7712"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《披露規則》相應條文：</w:t>
            </w:r>
          </w:p>
        </w:tc>
        <w:tc>
          <w:tcPr>
            <w:tcW w:w="11765" w:type="dxa"/>
            <w:tcBorders>
              <w:top w:val="single" w:sz="4" w:space="0" w:color="000000"/>
              <w:left w:val="single" w:sz="4" w:space="0" w:color="000000"/>
              <w:bottom w:val="single" w:sz="4" w:space="0" w:color="000000"/>
            </w:tcBorders>
            <w:shd w:val="clear" w:color="auto" w:fill="auto"/>
          </w:tcPr>
          <w:p w14:paraId="2F0AC342" w14:textId="77777777" w:rsidR="00272D6C" w:rsidRPr="00272D6C" w:rsidRDefault="00272D6C" w:rsidP="00272D6C">
            <w:pPr>
              <w:suppressAutoHyphens/>
              <w:spacing w:before="40" w:after="40"/>
              <w:ind w:left="4"/>
              <w:jc w:val="both"/>
              <w:rPr>
                <w:rFonts w:cs="Segoe UI"/>
                <w:sz w:val="17"/>
                <w:lang w:eastAsia="ar-SA"/>
              </w:rPr>
            </w:pPr>
            <w:r w:rsidRPr="00272D6C">
              <w:rPr>
                <w:rFonts w:eastAsia="細明體" w:cs="Segoe UI"/>
                <w:sz w:val="17"/>
                <w:szCs w:val="17"/>
                <w:lang w:eastAsia="ar-SA"/>
              </w:rPr>
              <w:t>16N</w:t>
            </w:r>
          </w:p>
        </w:tc>
      </w:tr>
    </w:tbl>
    <w:p w14:paraId="7D765D62" w14:textId="77777777" w:rsidR="00272D6C" w:rsidRDefault="00272D6C" w:rsidP="00272D6C">
      <w:pPr>
        <w:suppressAutoHyphens/>
        <w:spacing w:before="40" w:after="40"/>
        <w:rPr>
          <w:rFonts w:eastAsia="細明體" w:cs="Segoe UI"/>
          <w:u w:val="single"/>
          <w:lang w:eastAsia="ar-SA"/>
        </w:rPr>
      </w:pPr>
    </w:p>
    <w:p w14:paraId="3F607BDB" w14:textId="77777777" w:rsidR="00980FD3" w:rsidRDefault="00980FD3" w:rsidP="00272D6C">
      <w:pPr>
        <w:suppressAutoHyphens/>
        <w:spacing w:before="40" w:after="40"/>
        <w:rPr>
          <w:rFonts w:eastAsia="細明體" w:cs="Segoe UI"/>
          <w:u w:val="single"/>
          <w:lang w:eastAsia="ar-SA"/>
        </w:rPr>
        <w:sectPr w:rsidR="00980FD3" w:rsidSect="00272D6C">
          <w:headerReference w:type="default" r:id="rId68"/>
          <w:footerReference w:type="default" r:id="rId69"/>
          <w:pgSz w:w="16838" w:h="11906" w:orient="landscape"/>
          <w:pgMar w:top="1843" w:right="1440" w:bottom="1276" w:left="1276" w:header="720" w:footer="737" w:gutter="0"/>
          <w:cols w:space="720"/>
          <w:docGrid w:type="linesAndChars" w:linePitch="360"/>
        </w:sectPr>
      </w:pPr>
    </w:p>
    <w:p w14:paraId="7FCF9024" w14:textId="179B6438" w:rsidR="00272D6C" w:rsidRDefault="00272D6C" w:rsidP="00272D6C">
      <w:pPr>
        <w:suppressAutoHyphens/>
        <w:spacing w:before="40" w:after="40"/>
        <w:rPr>
          <w:rFonts w:eastAsia="細明體" w:cs="Segoe UI"/>
          <w:u w:val="single"/>
          <w:lang w:eastAsia="ar-SA"/>
        </w:rPr>
      </w:pPr>
      <w:r w:rsidRPr="00272D6C">
        <w:rPr>
          <w:rFonts w:eastAsia="細明體" w:cs="Segoe UI" w:hint="eastAsia"/>
          <w:u w:val="single"/>
          <w:lang w:eastAsia="ar-SA"/>
        </w:rPr>
        <w:t>供使用</w:t>
      </w:r>
      <w:r w:rsidRPr="00272D6C">
        <w:rPr>
          <w:rFonts w:eastAsia="細明體" w:cs="Segoe UI"/>
          <w:u w:val="single"/>
          <w:lang w:eastAsia="ar-SA"/>
        </w:rPr>
        <w:t>STC</w:t>
      </w:r>
      <w:r w:rsidRPr="00272D6C">
        <w:rPr>
          <w:rFonts w:eastAsia="細明體" w:cs="Segoe UI" w:hint="eastAsia"/>
          <w:u w:val="single"/>
          <w:lang w:eastAsia="ar-SA"/>
        </w:rPr>
        <w:t>計算法的認可機構使用的版本（「</w:t>
      </w:r>
      <w:r w:rsidRPr="00272D6C">
        <w:rPr>
          <w:rFonts w:eastAsia="細明體" w:cs="Segoe UI"/>
          <w:u w:val="single"/>
          <w:lang w:eastAsia="ar-SA"/>
        </w:rPr>
        <w:t>STC</w:t>
      </w:r>
      <w:r w:rsidRPr="00272D6C">
        <w:rPr>
          <w:rFonts w:eastAsia="細明體" w:cs="Segoe UI" w:hint="eastAsia"/>
          <w:u w:val="single"/>
          <w:lang w:eastAsia="ar-SA"/>
        </w:rPr>
        <w:t>版本」）</w:t>
      </w:r>
    </w:p>
    <w:p w14:paraId="1FA748FE" w14:textId="77777777" w:rsidR="00272D6C" w:rsidRPr="00272D6C" w:rsidRDefault="00272D6C" w:rsidP="00272D6C">
      <w:pPr>
        <w:suppressAutoHyphens/>
        <w:spacing w:before="40" w:after="40"/>
        <w:rPr>
          <w:rFonts w:eastAsia="細明體" w:cs="Segoe UI"/>
          <w:sz w:val="22"/>
          <w:lang w:eastAsia="ar-SA"/>
        </w:rPr>
      </w:pPr>
    </w:p>
    <w:tbl>
      <w:tblPr>
        <w:tblW w:w="13892" w:type="dxa"/>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A0" w:firstRow="1" w:lastRow="0" w:firstColumn="1" w:lastColumn="0" w:noHBand="1" w:noVBand="1"/>
      </w:tblPr>
      <w:tblGrid>
        <w:gridCol w:w="567"/>
        <w:gridCol w:w="3261"/>
        <w:gridCol w:w="1807"/>
        <w:gridCol w:w="1807"/>
        <w:gridCol w:w="1807"/>
        <w:gridCol w:w="1808"/>
        <w:gridCol w:w="1417"/>
        <w:gridCol w:w="1418"/>
      </w:tblGrid>
      <w:tr w:rsidR="00862754" w:rsidRPr="00862754" w14:paraId="22E51F2A" w14:textId="77777777" w:rsidTr="00862754">
        <w:trPr>
          <w:cantSplit/>
          <w:tblHeader/>
        </w:trPr>
        <w:tc>
          <w:tcPr>
            <w:tcW w:w="567" w:type="dxa"/>
            <w:tcBorders>
              <w:top w:val="nil"/>
              <w:left w:val="nil"/>
              <w:bottom w:val="nil"/>
              <w:right w:val="nil"/>
            </w:tcBorders>
          </w:tcPr>
          <w:p w14:paraId="170E5D6E" w14:textId="77777777" w:rsidR="00862754" w:rsidRPr="00862754" w:rsidRDefault="00862754" w:rsidP="00862754">
            <w:pPr>
              <w:snapToGrid w:val="0"/>
              <w:spacing w:before="40" w:after="40"/>
              <w:jc w:val="center"/>
              <w:rPr>
                <w:rFonts w:cs="Segoe UI"/>
                <w:sz w:val="17"/>
                <w:lang w:eastAsia="zh-TW"/>
              </w:rPr>
            </w:pPr>
          </w:p>
        </w:tc>
        <w:tc>
          <w:tcPr>
            <w:tcW w:w="3261" w:type="dxa"/>
            <w:tcBorders>
              <w:top w:val="nil"/>
              <w:left w:val="nil"/>
              <w:bottom w:val="nil"/>
              <w:right w:val="single" w:sz="4" w:space="0" w:color="auto"/>
            </w:tcBorders>
            <w:vAlign w:val="center"/>
          </w:tcPr>
          <w:p w14:paraId="1D231031" w14:textId="77777777" w:rsidR="00862754" w:rsidRPr="00862754" w:rsidRDefault="00862754" w:rsidP="00862754">
            <w:pPr>
              <w:snapToGrid w:val="0"/>
              <w:spacing w:before="40" w:after="40"/>
              <w:jc w:val="center"/>
              <w:rPr>
                <w:rFonts w:cs="Segoe UI"/>
                <w:sz w:val="17"/>
                <w:lang w:eastAsia="zh-TW"/>
              </w:rPr>
            </w:pPr>
          </w:p>
        </w:tc>
        <w:tc>
          <w:tcPr>
            <w:tcW w:w="1807" w:type="dxa"/>
            <w:tcBorders>
              <w:top w:val="single" w:sz="4" w:space="0" w:color="auto"/>
              <w:left w:val="single" w:sz="4" w:space="0" w:color="auto"/>
              <w:bottom w:val="single" w:sz="4" w:space="0" w:color="auto"/>
              <w:right w:val="single" w:sz="4" w:space="0" w:color="auto"/>
            </w:tcBorders>
            <w:vAlign w:val="center"/>
          </w:tcPr>
          <w:p w14:paraId="6530E95C"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(a)</w:t>
            </w:r>
          </w:p>
        </w:tc>
        <w:tc>
          <w:tcPr>
            <w:tcW w:w="1807" w:type="dxa"/>
            <w:tcBorders>
              <w:top w:val="single" w:sz="4" w:space="0" w:color="auto"/>
              <w:left w:val="single" w:sz="4" w:space="0" w:color="auto"/>
              <w:bottom w:val="single" w:sz="4" w:space="0" w:color="auto"/>
              <w:right w:val="single" w:sz="4" w:space="0" w:color="auto"/>
            </w:tcBorders>
            <w:vAlign w:val="center"/>
          </w:tcPr>
          <w:p w14:paraId="20756C27"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(b)</w:t>
            </w:r>
          </w:p>
        </w:tc>
        <w:tc>
          <w:tcPr>
            <w:tcW w:w="1807" w:type="dxa"/>
            <w:tcBorders>
              <w:top w:val="single" w:sz="4" w:space="0" w:color="auto"/>
              <w:left w:val="single" w:sz="4" w:space="0" w:color="auto"/>
              <w:bottom w:val="single" w:sz="4" w:space="0" w:color="auto"/>
              <w:right w:val="single" w:sz="4" w:space="0" w:color="auto"/>
            </w:tcBorders>
            <w:vAlign w:val="center"/>
          </w:tcPr>
          <w:p w14:paraId="53C2E610"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(c)</w:t>
            </w:r>
          </w:p>
        </w:tc>
        <w:tc>
          <w:tcPr>
            <w:tcW w:w="1808" w:type="dxa"/>
            <w:tcBorders>
              <w:top w:val="single" w:sz="4" w:space="0" w:color="auto"/>
              <w:left w:val="single" w:sz="4" w:space="0" w:color="auto"/>
              <w:bottom w:val="single" w:sz="4" w:space="0" w:color="auto"/>
              <w:right w:val="single" w:sz="4" w:space="0" w:color="auto"/>
            </w:tcBorders>
            <w:vAlign w:val="center"/>
          </w:tcPr>
          <w:p w14:paraId="7700E21B"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(d)</w:t>
            </w:r>
          </w:p>
        </w:tc>
        <w:tc>
          <w:tcPr>
            <w:tcW w:w="1417" w:type="dxa"/>
            <w:tcBorders>
              <w:top w:val="single" w:sz="4" w:space="0" w:color="auto"/>
              <w:left w:val="single" w:sz="4" w:space="0" w:color="auto"/>
              <w:bottom w:val="single" w:sz="4" w:space="0" w:color="auto"/>
              <w:right w:val="single" w:sz="4" w:space="0" w:color="auto"/>
            </w:tcBorders>
            <w:vAlign w:val="center"/>
          </w:tcPr>
          <w:p w14:paraId="77EF0E08" w14:textId="77777777" w:rsidR="00862754" w:rsidRPr="00862754" w:rsidRDefault="00862754" w:rsidP="00862754">
            <w:pPr>
              <w:snapToGrid w:val="0"/>
              <w:spacing w:before="40" w:after="40"/>
              <w:jc w:val="center"/>
              <w:rPr>
                <w:rFonts w:cs="Segoe UI"/>
                <w:sz w:val="17"/>
                <w:szCs w:val="17"/>
                <w:lang w:eastAsia="it-IT"/>
              </w:rPr>
            </w:pPr>
            <w:r w:rsidRPr="00862754">
              <w:rPr>
                <w:rFonts w:cs="Segoe UI"/>
                <w:sz w:val="17"/>
                <w:szCs w:val="17"/>
                <w:lang w:eastAsia="it-IT"/>
              </w:rPr>
              <w:t>(e)</w:t>
            </w:r>
          </w:p>
        </w:tc>
        <w:tc>
          <w:tcPr>
            <w:tcW w:w="1418" w:type="dxa"/>
            <w:tcBorders>
              <w:top w:val="single" w:sz="4" w:space="0" w:color="auto"/>
              <w:left w:val="single" w:sz="4" w:space="0" w:color="auto"/>
              <w:bottom w:val="single" w:sz="4" w:space="0" w:color="auto"/>
              <w:right w:val="single" w:sz="4" w:space="0" w:color="auto"/>
            </w:tcBorders>
            <w:vAlign w:val="center"/>
          </w:tcPr>
          <w:p w14:paraId="28FA3C39" w14:textId="77777777" w:rsidR="00862754" w:rsidRPr="00862754" w:rsidRDefault="00862754" w:rsidP="00862754">
            <w:pPr>
              <w:snapToGrid w:val="0"/>
              <w:spacing w:before="40" w:after="40"/>
              <w:jc w:val="center"/>
              <w:rPr>
                <w:rFonts w:cs="Segoe UI"/>
                <w:sz w:val="17"/>
                <w:szCs w:val="17"/>
                <w:lang w:eastAsia="it-IT"/>
              </w:rPr>
            </w:pPr>
            <w:r w:rsidRPr="00862754">
              <w:rPr>
                <w:rFonts w:cs="Segoe UI"/>
                <w:sz w:val="17"/>
                <w:szCs w:val="17"/>
                <w:lang w:eastAsia="it-IT"/>
              </w:rPr>
              <w:t>(f)</w:t>
            </w:r>
          </w:p>
        </w:tc>
      </w:tr>
      <w:tr w:rsidR="00862754" w:rsidRPr="00862754" w14:paraId="01A02B61" w14:textId="77777777" w:rsidTr="002230E5">
        <w:trPr>
          <w:cantSplit/>
          <w:tblHeader/>
        </w:trPr>
        <w:tc>
          <w:tcPr>
            <w:tcW w:w="567" w:type="dxa"/>
            <w:tcBorders>
              <w:top w:val="nil"/>
              <w:left w:val="nil"/>
              <w:bottom w:val="nil"/>
              <w:right w:val="nil"/>
            </w:tcBorders>
          </w:tcPr>
          <w:p w14:paraId="4AE95A89" w14:textId="77777777" w:rsidR="00862754" w:rsidRPr="00862754" w:rsidRDefault="00862754" w:rsidP="00862754">
            <w:pPr>
              <w:snapToGrid w:val="0"/>
              <w:spacing w:before="40" w:after="40"/>
              <w:rPr>
                <w:rFonts w:cs="Segoe UI"/>
                <w:b/>
                <w:sz w:val="17"/>
                <w:lang w:eastAsia="en-GB"/>
              </w:rPr>
            </w:pPr>
          </w:p>
        </w:tc>
        <w:tc>
          <w:tcPr>
            <w:tcW w:w="3261" w:type="dxa"/>
            <w:tcBorders>
              <w:top w:val="nil"/>
              <w:left w:val="nil"/>
              <w:bottom w:val="single" w:sz="4" w:space="0" w:color="auto"/>
              <w:right w:val="single" w:sz="4" w:space="0" w:color="auto"/>
            </w:tcBorders>
            <w:vAlign w:val="center"/>
          </w:tcPr>
          <w:p w14:paraId="75431029" w14:textId="77777777" w:rsidR="00862754" w:rsidRPr="00034CB4" w:rsidRDefault="00862754" w:rsidP="00862754">
            <w:pPr>
              <w:snapToGrid w:val="0"/>
              <w:spacing w:before="40" w:after="40"/>
              <w:rPr>
                <w:rFonts w:eastAsia="新細明體" w:cs="Segoe UI"/>
                <w:b/>
                <w:sz w:val="17"/>
                <w:lang w:eastAsia="zh-TW"/>
              </w:rPr>
            </w:pPr>
          </w:p>
        </w:tc>
        <w:tc>
          <w:tcPr>
            <w:tcW w:w="3614" w:type="dxa"/>
            <w:gridSpan w:val="2"/>
            <w:tcBorders>
              <w:top w:val="single" w:sz="4" w:space="0" w:color="000000"/>
              <w:left w:val="single" w:sz="4" w:space="0" w:color="000000"/>
              <w:bottom w:val="single" w:sz="4" w:space="0" w:color="000000"/>
            </w:tcBorders>
            <w:shd w:val="clear" w:color="auto" w:fill="auto"/>
            <w:vAlign w:val="center"/>
          </w:tcPr>
          <w:p w14:paraId="55FEB764" w14:textId="15498D27" w:rsidR="00980FD3" w:rsidRDefault="00862754" w:rsidP="008A36BF">
            <w:pPr>
              <w:snapToGrid w:val="0"/>
              <w:spacing w:before="40" w:after="40"/>
              <w:jc w:val="center"/>
              <w:rPr>
                <w:rFonts w:ascii="Calibri" w:eastAsia="細明體" w:hAnsi="Calibri"/>
                <w:b/>
                <w:sz w:val="16"/>
                <w:szCs w:val="16"/>
                <w:lang w:eastAsia="zh-TW"/>
              </w:rPr>
            </w:pPr>
            <w:r w:rsidRPr="00862754">
              <w:rPr>
                <w:rFonts w:ascii="Calibri" w:eastAsia="細明體" w:hAnsi="Calibri" w:hint="eastAsia"/>
                <w:b/>
                <w:sz w:val="16"/>
                <w:szCs w:val="16"/>
                <w:lang w:eastAsia="zh-TW"/>
              </w:rPr>
              <w:t>未將</w:t>
            </w:r>
            <w:r w:rsidR="00A94710" w:rsidRPr="00034CB4">
              <w:rPr>
                <w:rFonts w:eastAsia="細明體" w:cs="Segoe UI"/>
                <w:b/>
                <w:sz w:val="16"/>
                <w:szCs w:val="16"/>
                <w:lang w:eastAsia="ar-SA"/>
              </w:rPr>
              <w:t>CCF</w:t>
            </w:r>
            <w:r w:rsidRPr="00A94710">
              <w:rPr>
                <w:rFonts w:ascii="Calibri" w:eastAsia="細明體" w:hAnsi="Calibri" w:hint="eastAsia"/>
                <w:b/>
                <w:sz w:val="16"/>
                <w:szCs w:val="16"/>
                <w:lang w:eastAsia="zh-TW"/>
              </w:rPr>
              <w:t>及減低信用風險措施</w:t>
            </w:r>
            <w:r w:rsidR="000C010D" w:rsidRPr="00034CB4">
              <w:rPr>
                <w:rFonts w:ascii="Calibri" w:eastAsia="細明體" w:hAnsi="Calibri" w:hint="eastAsia"/>
                <w:b/>
                <w:bCs/>
                <w:sz w:val="16"/>
                <w:szCs w:val="16"/>
                <w:lang w:eastAsia="zh-TW"/>
              </w:rPr>
              <w:t>計算在內</w:t>
            </w:r>
            <w:r w:rsidR="000C010D" w:rsidRPr="00862754">
              <w:rPr>
                <w:rFonts w:ascii="Calibri" w:eastAsia="細明體" w:hAnsi="Calibri" w:hint="eastAsia"/>
                <w:b/>
                <w:sz w:val="16"/>
                <w:szCs w:val="16"/>
                <w:lang w:eastAsia="zh-TW"/>
              </w:rPr>
              <w:t>的</w:t>
            </w:r>
          </w:p>
          <w:p w14:paraId="49B61763" w14:textId="1A5BFCD2" w:rsidR="00862754" w:rsidRPr="00862754" w:rsidRDefault="00862754" w:rsidP="008A36BF">
            <w:pPr>
              <w:snapToGrid w:val="0"/>
              <w:spacing w:before="40" w:after="40"/>
              <w:jc w:val="center"/>
              <w:rPr>
                <w:rFonts w:cs="Segoe UI"/>
                <w:b/>
                <w:sz w:val="16"/>
                <w:szCs w:val="16"/>
                <w:lang w:eastAsia="it-IT"/>
              </w:rPr>
            </w:pPr>
            <w:r w:rsidRPr="00862754">
              <w:rPr>
                <w:rFonts w:ascii="Calibri" w:eastAsia="細明體" w:hAnsi="Calibri" w:hint="eastAsia"/>
                <w:b/>
                <w:sz w:val="16"/>
                <w:szCs w:val="16"/>
                <w:lang w:eastAsia="zh-TW"/>
              </w:rPr>
              <w:t>風險承擔</w:t>
            </w:r>
          </w:p>
        </w:tc>
        <w:tc>
          <w:tcPr>
            <w:tcW w:w="3615" w:type="dxa"/>
            <w:gridSpan w:val="2"/>
            <w:tcBorders>
              <w:top w:val="single" w:sz="4" w:space="0" w:color="000000"/>
              <w:left w:val="single" w:sz="4" w:space="0" w:color="000000"/>
              <w:bottom w:val="single" w:sz="4" w:space="0" w:color="000000"/>
            </w:tcBorders>
            <w:shd w:val="clear" w:color="auto" w:fill="auto"/>
            <w:vAlign w:val="center"/>
          </w:tcPr>
          <w:p w14:paraId="5F79C97D" w14:textId="77777777" w:rsidR="00980FD3" w:rsidRDefault="00862754" w:rsidP="008A36BF">
            <w:pPr>
              <w:snapToGrid w:val="0"/>
              <w:spacing w:before="40" w:after="40"/>
              <w:jc w:val="center"/>
              <w:rPr>
                <w:rFonts w:ascii="Calibri" w:eastAsia="細明體" w:hAnsi="Calibri"/>
                <w:b/>
                <w:sz w:val="16"/>
                <w:szCs w:val="16"/>
                <w:lang w:eastAsia="zh-TW"/>
              </w:rPr>
            </w:pPr>
            <w:r w:rsidRPr="00862754">
              <w:rPr>
                <w:rFonts w:ascii="Calibri" w:eastAsia="細明體" w:hAnsi="Calibri" w:hint="eastAsia"/>
                <w:b/>
                <w:sz w:val="16"/>
                <w:szCs w:val="16"/>
                <w:lang w:eastAsia="zh-TW"/>
              </w:rPr>
              <w:t>已將</w:t>
            </w:r>
            <w:r w:rsidR="00A94710" w:rsidRPr="00034CB4">
              <w:rPr>
                <w:rFonts w:eastAsia="細明體" w:cs="Segoe UI"/>
                <w:b/>
                <w:sz w:val="16"/>
                <w:szCs w:val="16"/>
                <w:lang w:eastAsia="ar-SA"/>
              </w:rPr>
              <w:t>CCF</w:t>
            </w:r>
            <w:r w:rsidRPr="00862754">
              <w:rPr>
                <w:rFonts w:ascii="Calibri" w:eastAsia="細明體" w:hAnsi="Calibri" w:hint="eastAsia"/>
                <w:b/>
                <w:sz w:val="16"/>
                <w:szCs w:val="16"/>
                <w:lang w:eastAsia="zh-TW"/>
              </w:rPr>
              <w:t>及減低信用風險措施</w:t>
            </w:r>
            <w:r w:rsidRPr="00034CB4">
              <w:rPr>
                <w:rFonts w:ascii="Calibri" w:eastAsia="細明體" w:hAnsi="Calibri" w:hint="eastAsia"/>
                <w:b/>
                <w:bCs/>
                <w:sz w:val="16"/>
                <w:szCs w:val="16"/>
                <w:lang w:eastAsia="zh-TW"/>
              </w:rPr>
              <w:t>計算在內</w:t>
            </w:r>
            <w:r w:rsidRPr="00862754">
              <w:rPr>
                <w:rFonts w:ascii="Calibri" w:eastAsia="細明體" w:hAnsi="Calibri" w:hint="eastAsia"/>
                <w:b/>
                <w:sz w:val="16"/>
                <w:szCs w:val="16"/>
                <w:lang w:eastAsia="zh-TW"/>
              </w:rPr>
              <w:t>的</w:t>
            </w:r>
          </w:p>
          <w:p w14:paraId="09946216" w14:textId="61E669E8" w:rsidR="00862754" w:rsidRPr="00034CB4" w:rsidRDefault="00862754" w:rsidP="008A36BF">
            <w:pPr>
              <w:snapToGrid w:val="0"/>
              <w:spacing w:before="40" w:after="40"/>
              <w:jc w:val="center"/>
              <w:rPr>
                <w:rFonts w:cs="Segoe UI"/>
                <w:b/>
                <w:bCs/>
                <w:sz w:val="16"/>
                <w:szCs w:val="16"/>
                <w:lang w:eastAsia="it-IT"/>
              </w:rPr>
            </w:pPr>
            <w:r w:rsidRPr="00862754">
              <w:rPr>
                <w:rFonts w:ascii="Calibri" w:eastAsia="細明體" w:hAnsi="Calibri" w:hint="eastAsia"/>
                <w:b/>
                <w:sz w:val="16"/>
                <w:szCs w:val="16"/>
                <w:lang w:eastAsia="zh-TW"/>
              </w:rPr>
              <w:t>風險承擔</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83A6BC" w14:textId="77777777" w:rsidR="00862754" w:rsidRPr="00862754" w:rsidRDefault="00862754" w:rsidP="00862754">
            <w:pPr>
              <w:tabs>
                <w:tab w:val="left" w:pos="2368"/>
                <w:tab w:val="right" w:leader="dot" w:pos="9242"/>
              </w:tabs>
              <w:snapToGrid w:val="0"/>
              <w:spacing w:before="40" w:after="40"/>
              <w:ind w:left="-108" w:right="-76"/>
              <w:jc w:val="center"/>
              <w:outlineLvl w:val="2"/>
              <w:rPr>
                <w:rFonts w:cs="Segoe UI"/>
                <w:b/>
                <w:noProof/>
                <w:sz w:val="16"/>
                <w:szCs w:val="16"/>
                <w:lang w:eastAsia="it-IT"/>
              </w:rPr>
            </w:pPr>
            <w:r w:rsidRPr="00862754">
              <w:rPr>
                <w:rFonts w:ascii="Calibri" w:eastAsia="細明體" w:hAnsi="Calibri" w:hint="eastAsia"/>
                <w:b/>
                <w:sz w:val="16"/>
                <w:szCs w:val="16"/>
                <w:lang w:eastAsia="zh-TW"/>
              </w:rPr>
              <w:t>風險加權數額及風險加權數額密度</w:t>
            </w:r>
          </w:p>
        </w:tc>
      </w:tr>
      <w:tr w:rsidR="00862754" w:rsidRPr="00862754" w14:paraId="009B0716" w14:textId="77777777" w:rsidTr="00034CB4">
        <w:trPr>
          <w:cantSplit/>
          <w:trHeight w:val="382"/>
          <w:tblHeader/>
        </w:trPr>
        <w:tc>
          <w:tcPr>
            <w:tcW w:w="567" w:type="dxa"/>
            <w:tcBorders>
              <w:top w:val="nil"/>
              <w:left w:val="nil"/>
              <w:bottom w:val="single" w:sz="4" w:space="0" w:color="auto"/>
              <w:right w:val="single" w:sz="4" w:space="0" w:color="auto"/>
            </w:tcBorders>
          </w:tcPr>
          <w:p w14:paraId="78ACDABD" w14:textId="77777777" w:rsidR="00862754" w:rsidRPr="00862754" w:rsidRDefault="00862754" w:rsidP="00862754">
            <w:pPr>
              <w:snapToGrid w:val="0"/>
              <w:spacing w:before="40" w:after="40"/>
              <w:rPr>
                <w:rFonts w:cs="Segoe UI"/>
                <w:spacing w:val="-20"/>
                <w:sz w:val="17"/>
                <w:lang w:eastAsia="zh-TW"/>
              </w:rPr>
            </w:pPr>
          </w:p>
        </w:tc>
        <w:tc>
          <w:tcPr>
            <w:tcW w:w="3261" w:type="dxa"/>
            <w:tcBorders>
              <w:top w:val="single" w:sz="4" w:space="0" w:color="000000"/>
              <w:left w:val="single" w:sz="4" w:space="0" w:color="000000"/>
              <w:bottom w:val="single" w:sz="4" w:space="0" w:color="000000"/>
            </w:tcBorders>
            <w:shd w:val="clear" w:color="auto" w:fill="auto"/>
            <w:vAlign w:val="center"/>
          </w:tcPr>
          <w:p w14:paraId="1A506ED6" w14:textId="77777777" w:rsidR="00862754" w:rsidRPr="00862754" w:rsidRDefault="00862754" w:rsidP="00862754">
            <w:pPr>
              <w:snapToGrid w:val="0"/>
              <w:spacing w:before="40" w:after="40"/>
              <w:rPr>
                <w:rFonts w:cs="Segoe UI"/>
                <w:sz w:val="17"/>
                <w:lang w:eastAsia="en-GB"/>
              </w:rPr>
            </w:pPr>
            <w:r w:rsidRPr="00862754">
              <w:rPr>
                <w:rFonts w:ascii="Calibri" w:eastAsia="細明體" w:hAnsi="Calibri" w:hint="eastAsia"/>
                <w:sz w:val="16"/>
                <w:szCs w:val="16"/>
                <w:lang w:eastAsia="zh-CN"/>
              </w:rPr>
              <w:t>風險承</w:t>
            </w:r>
            <w:proofErr w:type="gramStart"/>
            <w:r w:rsidRPr="00862754">
              <w:rPr>
                <w:rFonts w:ascii="Calibri" w:eastAsia="細明體" w:hAnsi="Calibri" w:hint="eastAsia"/>
                <w:sz w:val="16"/>
                <w:szCs w:val="16"/>
                <w:lang w:eastAsia="zh-CN"/>
              </w:rPr>
              <w:t>擔</w:t>
            </w:r>
            <w:proofErr w:type="gramEnd"/>
            <w:r w:rsidRPr="00862754">
              <w:rPr>
                <w:rFonts w:ascii="Calibri" w:eastAsia="細明體" w:hAnsi="Calibri" w:hint="eastAsia"/>
                <w:sz w:val="16"/>
                <w:szCs w:val="16"/>
                <w:lang w:eastAsia="zh-CN"/>
              </w:rPr>
              <w:t>類別</w:t>
            </w:r>
          </w:p>
        </w:tc>
        <w:tc>
          <w:tcPr>
            <w:tcW w:w="1807" w:type="dxa"/>
            <w:tcBorders>
              <w:top w:val="single" w:sz="4" w:space="0" w:color="000000"/>
              <w:left w:val="single" w:sz="4" w:space="0" w:color="000000"/>
              <w:bottom w:val="single" w:sz="4" w:space="0" w:color="000000"/>
            </w:tcBorders>
            <w:shd w:val="clear" w:color="auto" w:fill="auto"/>
            <w:vAlign w:val="center"/>
          </w:tcPr>
          <w:p w14:paraId="1AB8D598" w14:textId="77777777" w:rsidR="00862754" w:rsidRPr="008A36BF" w:rsidRDefault="00862754" w:rsidP="00862754">
            <w:pPr>
              <w:snapToGrid w:val="0"/>
              <w:spacing w:before="40" w:after="40"/>
              <w:jc w:val="center"/>
              <w:rPr>
                <w:rFonts w:ascii="Calibri" w:eastAsia="細明體" w:hAnsi="Calibri"/>
                <w:sz w:val="16"/>
                <w:szCs w:val="16"/>
                <w:lang w:eastAsia="zh-CN"/>
              </w:rPr>
            </w:pPr>
            <w:r w:rsidRPr="008A36BF">
              <w:rPr>
                <w:rFonts w:ascii="Calibri" w:eastAsia="細明體" w:hAnsi="Calibri" w:hint="eastAsia"/>
                <w:sz w:val="16"/>
                <w:szCs w:val="16"/>
                <w:lang w:eastAsia="zh-CN"/>
              </w:rPr>
              <w:t>資產負</w:t>
            </w:r>
            <w:proofErr w:type="gramStart"/>
            <w:r w:rsidRPr="008A36BF">
              <w:rPr>
                <w:rFonts w:ascii="Calibri" w:eastAsia="細明體" w:hAnsi="Calibri" w:hint="eastAsia"/>
                <w:sz w:val="16"/>
                <w:szCs w:val="16"/>
                <w:lang w:eastAsia="zh-CN"/>
              </w:rPr>
              <w:t>債</w:t>
            </w:r>
            <w:proofErr w:type="gramEnd"/>
            <w:r w:rsidRPr="008A36BF">
              <w:rPr>
                <w:rFonts w:ascii="Calibri" w:eastAsia="細明體" w:hAnsi="Calibri" w:hint="eastAsia"/>
                <w:sz w:val="16"/>
                <w:szCs w:val="16"/>
                <w:lang w:eastAsia="zh-CN"/>
              </w:rPr>
              <w:t>表</w:t>
            </w:r>
            <w:proofErr w:type="gramStart"/>
            <w:r w:rsidRPr="008A36BF">
              <w:rPr>
                <w:rFonts w:ascii="Calibri" w:eastAsia="細明體" w:hAnsi="Calibri" w:hint="eastAsia"/>
                <w:sz w:val="16"/>
                <w:szCs w:val="16"/>
                <w:lang w:eastAsia="zh-CN"/>
              </w:rPr>
              <w:t>內數</w:t>
            </w:r>
            <w:proofErr w:type="gramEnd"/>
            <w:r w:rsidRPr="008A36BF">
              <w:rPr>
                <w:rFonts w:ascii="Calibri" w:eastAsia="細明體" w:hAnsi="Calibri" w:hint="eastAsia"/>
                <w:sz w:val="16"/>
                <w:szCs w:val="16"/>
                <w:lang w:eastAsia="zh-CN"/>
              </w:rPr>
              <w:t>額</w:t>
            </w:r>
          </w:p>
        </w:tc>
        <w:tc>
          <w:tcPr>
            <w:tcW w:w="1807" w:type="dxa"/>
            <w:tcBorders>
              <w:top w:val="single" w:sz="4" w:space="0" w:color="000000"/>
              <w:left w:val="single" w:sz="4" w:space="0" w:color="000000"/>
              <w:bottom w:val="single" w:sz="4" w:space="0" w:color="000000"/>
            </w:tcBorders>
            <w:shd w:val="clear" w:color="auto" w:fill="auto"/>
            <w:vAlign w:val="center"/>
          </w:tcPr>
          <w:p w14:paraId="3FE6F77E" w14:textId="77777777" w:rsidR="00862754" w:rsidRPr="008A36BF" w:rsidRDefault="00862754" w:rsidP="00862754">
            <w:pPr>
              <w:snapToGrid w:val="0"/>
              <w:spacing w:before="40" w:after="40"/>
              <w:jc w:val="center"/>
              <w:rPr>
                <w:rFonts w:ascii="Calibri" w:eastAsia="細明體" w:hAnsi="Calibri"/>
                <w:sz w:val="16"/>
                <w:szCs w:val="16"/>
                <w:lang w:eastAsia="zh-CN"/>
              </w:rPr>
            </w:pPr>
            <w:r w:rsidRPr="008A36BF">
              <w:rPr>
                <w:rFonts w:ascii="Calibri" w:eastAsia="細明體" w:hAnsi="Calibri" w:hint="eastAsia"/>
                <w:sz w:val="16"/>
                <w:szCs w:val="16"/>
                <w:lang w:eastAsia="zh-CN"/>
              </w:rPr>
              <w:t>資產負</w:t>
            </w:r>
            <w:proofErr w:type="gramStart"/>
            <w:r w:rsidRPr="008A36BF">
              <w:rPr>
                <w:rFonts w:ascii="Calibri" w:eastAsia="細明體" w:hAnsi="Calibri" w:hint="eastAsia"/>
                <w:sz w:val="16"/>
                <w:szCs w:val="16"/>
                <w:lang w:eastAsia="zh-CN"/>
              </w:rPr>
              <w:t>債</w:t>
            </w:r>
            <w:proofErr w:type="gramEnd"/>
            <w:r w:rsidRPr="008A36BF">
              <w:rPr>
                <w:rFonts w:ascii="Calibri" w:eastAsia="細明體" w:hAnsi="Calibri" w:hint="eastAsia"/>
                <w:sz w:val="16"/>
                <w:szCs w:val="16"/>
                <w:lang w:eastAsia="zh-CN"/>
              </w:rPr>
              <w:t>表外</w:t>
            </w:r>
            <w:proofErr w:type="gramStart"/>
            <w:r w:rsidRPr="008A36BF">
              <w:rPr>
                <w:rFonts w:ascii="Calibri" w:eastAsia="細明體" w:hAnsi="Calibri" w:hint="eastAsia"/>
                <w:sz w:val="16"/>
                <w:szCs w:val="16"/>
                <w:lang w:eastAsia="zh-CN"/>
              </w:rPr>
              <w:t>數</w:t>
            </w:r>
            <w:proofErr w:type="gramEnd"/>
            <w:r w:rsidRPr="008A36BF">
              <w:rPr>
                <w:rFonts w:ascii="Calibri" w:eastAsia="細明體" w:hAnsi="Calibri" w:hint="eastAsia"/>
                <w:sz w:val="16"/>
                <w:szCs w:val="16"/>
                <w:lang w:eastAsia="zh-CN"/>
              </w:rPr>
              <w:t>額</w:t>
            </w:r>
          </w:p>
        </w:tc>
        <w:tc>
          <w:tcPr>
            <w:tcW w:w="1807" w:type="dxa"/>
            <w:tcBorders>
              <w:top w:val="single" w:sz="4" w:space="0" w:color="000000"/>
              <w:left w:val="single" w:sz="4" w:space="0" w:color="000000"/>
              <w:bottom w:val="single" w:sz="4" w:space="0" w:color="000000"/>
            </w:tcBorders>
            <w:shd w:val="clear" w:color="auto" w:fill="auto"/>
            <w:vAlign w:val="center"/>
          </w:tcPr>
          <w:p w14:paraId="1AB17D5C" w14:textId="77777777" w:rsidR="00862754" w:rsidRPr="008A36BF" w:rsidRDefault="00862754" w:rsidP="00862754">
            <w:pPr>
              <w:snapToGrid w:val="0"/>
              <w:spacing w:before="40" w:after="40"/>
              <w:jc w:val="center"/>
              <w:rPr>
                <w:rFonts w:ascii="Calibri" w:eastAsia="細明體" w:hAnsi="Calibri"/>
                <w:sz w:val="16"/>
                <w:szCs w:val="16"/>
                <w:lang w:eastAsia="zh-CN"/>
              </w:rPr>
            </w:pPr>
            <w:r w:rsidRPr="008A36BF">
              <w:rPr>
                <w:rFonts w:ascii="Calibri" w:eastAsia="細明體" w:hAnsi="Calibri" w:hint="eastAsia"/>
                <w:sz w:val="16"/>
                <w:szCs w:val="16"/>
                <w:lang w:eastAsia="zh-CN"/>
              </w:rPr>
              <w:t>資產負</w:t>
            </w:r>
            <w:proofErr w:type="gramStart"/>
            <w:r w:rsidRPr="008A36BF">
              <w:rPr>
                <w:rFonts w:ascii="Calibri" w:eastAsia="細明體" w:hAnsi="Calibri" w:hint="eastAsia"/>
                <w:sz w:val="16"/>
                <w:szCs w:val="16"/>
                <w:lang w:eastAsia="zh-CN"/>
              </w:rPr>
              <w:t>債</w:t>
            </w:r>
            <w:proofErr w:type="gramEnd"/>
            <w:r w:rsidRPr="008A36BF">
              <w:rPr>
                <w:rFonts w:ascii="Calibri" w:eastAsia="細明體" w:hAnsi="Calibri" w:hint="eastAsia"/>
                <w:sz w:val="16"/>
                <w:szCs w:val="16"/>
                <w:lang w:eastAsia="zh-CN"/>
              </w:rPr>
              <w:t>表</w:t>
            </w:r>
            <w:proofErr w:type="gramStart"/>
            <w:r w:rsidRPr="008A36BF">
              <w:rPr>
                <w:rFonts w:ascii="Calibri" w:eastAsia="細明體" w:hAnsi="Calibri" w:hint="eastAsia"/>
                <w:sz w:val="16"/>
                <w:szCs w:val="16"/>
                <w:lang w:eastAsia="zh-CN"/>
              </w:rPr>
              <w:t>內數</w:t>
            </w:r>
            <w:proofErr w:type="gramEnd"/>
            <w:r w:rsidRPr="008A36BF">
              <w:rPr>
                <w:rFonts w:ascii="Calibri" w:eastAsia="細明體" w:hAnsi="Calibri" w:hint="eastAsia"/>
                <w:sz w:val="16"/>
                <w:szCs w:val="16"/>
                <w:lang w:eastAsia="zh-CN"/>
              </w:rPr>
              <w:t>額</w:t>
            </w:r>
          </w:p>
        </w:tc>
        <w:tc>
          <w:tcPr>
            <w:tcW w:w="1808" w:type="dxa"/>
            <w:tcBorders>
              <w:top w:val="single" w:sz="4" w:space="0" w:color="000000"/>
              <w:left w:val="single" w:sz="4" w:space="0" w:color="000000"/>
              <w:bottom w:val="single" w:sz="4" w:space="0" w:color="000000"/>
            </w:tcBorders>
            <w:shd w:val="clear" w:color="auto" w:fill="auto"/>
            <w:vAlign w:val="center"/>
          </w:tcPr>
          <w:p w14:paraId="2622EB12" w14:textId="77777777" w:rsidR="00862754" w:rsidRPr="008A36BF" w:rsidRDefault="00862754" w:rsidP="00862754">
            <w:pPr>
              <w:snapToGrid w:val="0"/>
              <w:spacing w:before="40" w:after="40"/>
              <w:jc w:val="center"/>
              <w:rPr>
                <w:rFonts w:ascii="Calibri" w:eastAsia="細明體" w:hAnsi="Calibri"/>
                <w:sz w:val="16"/>
                <w:szCs w:val="16"/>
                <w:lang w:eastAsia="zh-CN"/>
              </w:rPr>
            </w:pPr>
            <w:r w:rsidRPr="008A36BF">
              <w:rPr>
                <w:rFonts w:ascii="Calibri" w:eastAsia="細明體" w:hAnsi="Calibri" w:hint="eastAsia"/>
                <w:sz w:val="16"/>
                <w:szCs w:val="16"/>
                <w:lang w:eastAsia="zh-CN"/>
              </w:rPr>
              <w:t>資產負</w:t>
            </w:r>
            <w:proofErr w:type="gramStart"/>
            <w:r w:rsidRPr="008A36BF">
              <w:rPr>
                <w:rFonts w:ascii="Calibri" w:eastAsia="細明體" w:hAnsi="Calibri" w:hint="eastAsia"/>
                <w:sz w:val="16"/>
                <w:szCs w:val="16"/>
                <w:lang w:eastAsia="zh-CN"/>
              </w:rPr>
              <w:t>債</w:t>
            </w:r>
            <w:proofErr w:type="gramEnd"/>
            <w:r w:rsidRPr="008A36BF">
              <w:rPr>
                <w:rFonts w:ascii="Calibri" w:eastAsia="細明體" w:hAnsi="Calibri" w:hint="eastAsia"/>
                <w:sz w:val="16"/>
                <w:szCs w:val="16"/>
                <w:lang w:eastAsia="zh-CN"/>
              </w:rPr>
              <w:t>表外</w:t>
            </w:r>
            <w:proofErr w:type="gramStart"/>
            <w:r w:rsidRPr="008A36BF">
              <w:rPr>
                <w:rFonts w:ascii="Calibri" w:eastAsia="細明體" w:hAnsi="Calibri" w:hint="eastAsia"/>
                <w:sz w:val="16"/>
                <w:szCs w:val="16"/>
                <w:lang w:eastAsia="zh-CN"/>
              </w:rPr>
              <w:t>數</w:t>
            </w:r>
            <w:proofErr w:type="gramEnd"/>
            <w:r w:rsidRPr="008A36BF">
              <w:rPr>
                <w:rFonts w:ascii="Calibri" w:eastAsia="細明體" w:hAnsi="Calibri" w:hint="eastAsia"/>
                <w:sz w:val="16"/>
                <w:szCs w:val="16"/>
                <w:lang w:eastAsia="zh-CN"/>
              </w:rPr>
              <w:t>額</w:t>
            </w:r>
          </w:p>
        </w:tc>
        <w:tc>
          <w:tcPr>
            <w:tcW w:w="1417" w:type="dxa"/>
            <w:tcBorders>
              <w:top w:val="single" w:sz="4" w:space="0" w:color="000000"/>
              <w:left w:val="single" w:sz="4" w:space="0" w:color="000000"/>
              <w:bottom w:val="single" w:sz="4" w:space="0" w:color="000000"/>
            </w:tcBorders>
            <w:shd w:val="clear" w:color="auto" w:fill="auto"/>
            <w:vAlign w:val="center"/>
          </w:tcPr>
          <w:p w14:paraId="24A0D14E" w14:textId="77777777" w:rsidR="00862754" w:rsidRPr="008A36BF" w:rsidRDefault="00862754" w:rsidP="00862754">
            <w:pPr>
              <w:snapToGrid w:val="0"/>
              <w:spacing w:before="40" w:after="40"/>
              <w:jc w:val="center"/>
              <w:rPr>
                <w:rFonts w:ascii="Calibri" w:eastAsia="細明體" w:hAnsi="Calibri"/>
                <w:sz w:val="16"/>
                <w:szCs w:val="16"/>
                <w:lang w:eastAsia="zh-CN"/>
              </w:rPr>
            </w:pPr>
            <w:r w:rsidRPr="008A36BF">
              <w:rPr>
                <w:rFonts w:ascii="Calibri" w:eastAsia="細明體" w:hAnsi="Calibri" w:hint="eastAsia"/>
                <w:sz w:val="16"/>
                <w:szCs w:val="16"/>
                <w:lang w:eastAsia="zh-CN"/>
              </w:rPr>
              <w:t>風險加</w:t>
            </w:r>
            <w:proofErr w:type="gramStart"/>
            <w:r w:rsidRPr="008A36BF">
              <w:rPr>
                <w:rFonts w:ascii="Calibri" w:eastAsia="細明體" w:hAnsi="Calibri" w:hint="eastAsia"/>
                <w:sz w:val="16"/>
                <w:szCs w:val="16"/>
                <w:lang w:eastAsia="zh-CN"/>
              </w:rPr>
              <w:t>權數</w:t>
            </w:r>
            <w:proofErr w:type="gramEnd"/>
            <w:r w:rsidRPr="008A36BF">
              <w:rPr>
                <w:rFonts w:ascii="Calibri" w:eastAsia="細明體" w:hAnsi="Calibri" w:hint="eastAsia"/>
                <w:sz w:val="16"/>
                <w:szCs w:val="16"/>
                <w:lang w:eastAsia="zh-CN"/>
              </w:rPr>
              <w:t>額</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A66EA" w14:textId="77777777" w:rsidR="00862754" w:rsidRPr="008A36BF" w:rsidRDefault="00862754" w:rsidP="00862754">
            <w:pPr>
              <w:snapToGrid w:val="0"/>
              <w:spacing w:before="40" w:after="40"/>
              <w:jc w:val="center"/>
              <w:rPr>
                <w:rFonts w:ascii="Calibri" w:eastAsia="細明體" w:hAnsi="Calibri"/>
                <w:sz w:val="16"/>
                <w:szCs w:val="16"/>
                <w:lang w:eastAsia="zh-CN"/>
              </w:rPr>
            </w:pPr>
            <w:r w:rsidRPr="008A36BF">
              <w:rPr>
                <w:rFonts w:ascii="Calibri" w:eastAsia="細明體" w:hAnsi="Calibri" w:hint="eastAsia"/>
                <w:sz w:val="16"/>
                <w:szCs w:val="16"/>
                <w:lang w:eastAsia="zh-CN"/>
              </w:rPr>
              <w:t>風險加</w:t>
            </w:r>
            <w:proofErr w:type="gramStart"/>
            <w:r w:rsidRPr="008A36BF">
              <w:rPr>
                <w:rFonts w:ascii="Calibri" w:eastAsia="細明體" w:hAnsi="Calibri" w:hint="eastAsia"/>
                <w:sz w:val="16"/>
                <w:szCs w:val="16"/>
                <w:lang w:eastAsia="zh-CN"/>
              </w:rPr>
              <w:t>權數</w:t>
            </w:r>
            <w:proofErr w:type="gramEnd"/>
            <w:r w:rsidRPr="008A36BF">
              <w:rPr>
                <w:rFonts w:ascii="Calibri" w:eastAsia="細明體" w:hAnsi="Calibri" w:hint="eastAsia"/>
                <w:sz w:val="16"/>
                <w:szCs w:val="16"/>
                <w:lang w:eastAsia="zh-CN"/>
              </w:rPr>
              <w:t>額密度</w:t>
            </w:r>
          </w:p>
        </w:tc>
      </w:tr>
      <w:tr w:rsidR="00862754" w:rsidRPr="00862754" w14:paraId="178C8B81" w14:textId="77777777" w:rsidTr="00034CB4">
        <w:trPr>
          <w:cantSplit/>
          <w:trHeight w:val="283"/>
        </w:trPr>
        <w:tc>
          <w:tcPr>
            <w:tcW w:w="567" w:type="dxa"/>
            <w:tcBorders>
              <w:top w:val="single" w:sz="4" w:space="0" w:color="auto"/>
              <w:left w:val="nil"/>
              <w:right w:val="single" w:sz="4" w:space="0" w:color="auto"/>
            </w:tcBorders>
          </w:tcPr>
          <w:p w14:paraId="566B95EE"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w:t>
            </w:r>
          </w:p>
        </w:tc>
        <w:tc>
          <w:tcPr>
            <w:tcW w:w="3261" w:type="dxa"/>
            <w:tcBorders>
              <w:top w:val="single" w:sz="4" w:space="0" w:color="000000"/>
              <w:left w:val="single" w:sz="4" w:space="0" w:color="000000"/>
              <w:bottom w:val="single" w:sz="4" w:space="0" w:color="C0C0C0"/>
            </w:tcBorders>
            <w:shd w:val="clear" w:color="auto" w:fill="auto"/>
            <w:vAlign w:val="center"/>
          </w:tcPr>
          <w:p w14:paraId="7863BB7A"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官方實體風險承</w:t>
            </w:r>
            <w:proofErr w:type="gramStart"/>
            <w:r w:rsidRPr="00862754">
              <w:rPr>
                <w:rFonts w:ascii="Calibri" w:eastAsia="細明體" w:hAnsi="Calibri" w:hint="eastAsia"/>
                <w:sz w:val="16"/>
                <w:szCs w:val="16"/>
                <w:lang w:eastAsia="zh-CN"/>
              </w:rPr>
              <w:t>擔</w:t>
            </w:r>
            <w:proofErr w:type="gramEnd"/>
          </w:p>
        </w:tc>
        <w:tc>
          <w:tcPr>
            <w:tcW w:w="1807" w:type="dxa"/>
            <w:tcBorders>
              <w:top w:val="single" w:sz="4" w:space="0" w:color="auto"/>
              <w:left w:val="single" w:sz="4" w:space="0" w:color="auto"/>
              <w:right w:val="single" w:sz="4" w:space="0" w:color="auto"/>
            </w:tcBorders>
          </w:tcPr>
          <w:p w14:paraId="251C31D4" w14:textId="77777777" w:rsidR="00862754" w:rsidRPr="00862754" w:rsidRDefault="00862754" w:rsidP="00862754">
            <w:pPr>
              <w:snapToGrid w:val="0"/>
              <w:spacing w:before="40" w:after="40"/>
              <w:rPr>
                <w:sz w:val="17"/>
                <w:lang w:eastAsia="en-GB"/>
              </w:rPr>
            </w:pPr>
          </w:p>
        </w:tc>
        <w:tc>
          <w:tcPr>
            <w:tcW w:w="1807" w:type="dxa"/>
            <w:tcBorders>
              <w:top w:val="single" w:sz="4" w:space="0" w:color="auto"/>
              <w:left w:val="single" w:sz="4" w:space="0" w:color="auto"/>
              <w:right w:val="single" w:sz="4" w:space="0" w:color="auto"/>
            </w:tcBorders>
          </w:tcPr>
          <w:p w14:paraId="45B06B41" w14:textId="77777777" w:rsidR="00862754" w:rsidRPr="00862754" w:rsidRDefault="00862754" w:rsidP="00862754">
            <w:pPr>
              <w:snapToGrid w:val="0"/>
              <w:spacing w:before="40" w:after="40"/>
              <w:rPr>
                <w:sz w:val="17"/>
                <w:lang w:eastAsia="en-GB"/>
              </w:rPr>
            </w:pPr>
          </w:p>
        </w:tc>
        <w:tc>
          <w:tcPr>
            <w:tcW w:w="1807" w:type="dxa"/>
            <w:tcBorders>
              <w:top w:val="single" w:sz="4" w:space="0" w:color="auto"/>
              <w:left w:val="single" w:sz="4" w:space="0" w:color="auto"/>
              <w:right w:val="single" w:sz="4" w:space="0" w:color="auto"/>
            </w:tcBorders>
          </w:tcPr>
          <w:p w14:paraId="1C0F8344" w14:textId="77777777" w:rsidR="00862754" w:rsidRPr="00862754" w:rsidRDefault="00862754" w:rsidP="00862754">
            <w:pPr>
              <w:snapToGrid w:val="0"/>
              <w:spacing w:before="40" w:after="40"/>
              <w:rPr>
                <w:sz w:val="17"/>
                <w:lang w:eastAsia="en-GB"/>
              </w:rPr>
            </w:pPr>
          </w:p>
        </w:tc>
        <w:tc>
          <w:tcPr>
            <w:tcW w:w="1808" w:type="dxa"/>
            <w:tcBorders>
              <w:top w:val="single" w:sz="4" w:space="0" w:color="auto"/>
              <w:left w:val="single" w:sz="4" w:space="0" w:color="auto"/>
              <w:right w:val="single" w:sz="4" w:space="0" w:color="auto"/>
            </w:tcBorders>
          </w:tcPr>
          <w:p w14:paraId="1A2B9BB3" w14:textId="77777777" w:rsidR="00862754" w:rsidRPr="00862754" w:rsidRDefault="00862754" w:rsidP="00862754">
            <w:pPr>
              <w:snapToGrid w:val="0"/>
              <w:spacing w:before="40" w:after="40"/>
              <w:rPr>
                <w:sz w:val="17"/>
                <w:lang w:eastAsia="en-GB"/>
              </w:rPr>
            </w:pPr>
          </w:p>
        </w:tc>
        <w:tc>
          <w:tcPr>
            <w:tcW w:w="1417" w:type="dxa"/>
            <w:tcBorders>
              <w:top w:val="single" w:sz="4" w:space="0" w:color="auto"/>
              <w:left w:val="single" w:sz="4" w:space="0" w:color="auto"/>
              <w:right w:val="single" w:sz="4" w:space="0" w:color="auto"/>
            </w:tcBorders>
          </w:tcPr>
          <w:p w14:paraId="1600ED42" w14:textId="77777777" w:rsidR="00862754" w:rsidRPr="00862754" w:rsidRDefault="00862754" w:rsidP="00862754">
            <w:pPr>
              <w:snapToGrid w:val="0"/>
              <w:spacing w:before="40" w:after="40"/>
              <w:rPr>
                <w:sz w:val="17"/>
                <w:lang w:eastAsia="en-GB"/>
              </w:rPr>
            </w:pPr>
          </w:p>
        </w:tc>
        <w:tc>
          <w:tcPr>
            <w:tcW w:w="1418" w:type="dxa"/>
            <w:tcBorders>
              <w:top w:val="single" w:sz="4" w:space="0" w:color="auto"/>
              <w:left w:val="single" w:sz="4" w:space="0" w:color="auto"/>
              <w:right w:val="single" w:sz="4" w:space="0" w:color="auto"/>
            </w:tcBorders>
          </w:tcPr>
          <w:p w14:paraId="3C9ABE8A" w14:textId="77777777" w:rsidR="00862754" w:rsidRPr="00862754" w:rsidRDefault="00862754" w:rsidP="00862754">
            <w:pPr>
              <w:snapToGrid w:val="0"/>
              <w:spacing w:before="40" w:after="40"/>
              <w:rPr>
                <w:sz w:val="17"/>
                <w:lang w:eastAsia="en-GB"/>
              </w:rPr>
            </w:pPr>
          </w:p>
        </w:tc>
      </w:tr>
      <w:tr w:rsidR="00862754" w:rsidRPr="00862754" w14:paraId="082C0372" w14:textId="77777777" w:rsidTr="00034CB4">
        <w:trPr>
          <w:cantSplit/>
          <w:trHeight w:val="283"/>
        </w:trPr>
        <w:tc>
          <w:tcPr>
            <w:tcW w:w="567" w:type="dxa"/>
            <w:tcBorders>
              <w:left w:val="nil"/>
              <w:right w:val="single" w:sz="4" w:space="0" w:color="auto"/>
            </w:tcBorders>
          </w:tcPr>
          <w:p w14:paraId="05D07F67"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2</w:t>
            </w:r>
          </w:p>
        </w:tc>
        <w:tc>
          <w:tcPr>
            <w:tcW w:w="3261" w:type="dxa"/>
            <w:tcBorders>
              <w:top w:val="single" w:sz="4" w:space="0" w:color="C0C0C0"/>
              <w:left w:val="single" w:sz="4" w:space="0" w:color="000000"/>
              <w:bottom w:val="single" w:sz="4" w:space="0" w:color="C0C0C0"/>
            </w:tcBorders>
            <w:shd w:val="clear" w:color="auto" w:fill="auto"/>
            <w:vAlign w:val="center"/>
          </w:tcPr>
          <w:p w14:paraId="2AB433FD"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公營</w:t>
            </w:r>
            <w:proofErr w:type="gramStart"/>
            <w:r w:rsidRPr="00862754">
              <w:rPr>
                <w:rFonts w:ascii="Calibri" w:eastAsia="細明體" w:hAnsi="Calibri" w:hint="eastAsia"/>
                <w:sz w:val="16"/>
                <w:szCs w:val="16"/>
                <w:lang w:eastAsia="zh-CN"/>
              </w:rPr>
              <w:t>單</w:t>
            </w:r>
            <w:proofErr w:type="gramEnd"/>
            <w:r w:rsidRPr="00862754">
              <w:rPr>
                <w:rFonts w:ascii="Calibri" w:eastAsia="細明體" w:hAnsi="Calibri" w:hint="eastAsia"/>
                <w:sz w:val="16"/>
                <w:szCs w:val="16"/>
                <w:lang w:eastAsia="zh-CN"/>
              </w:rPr>
              <w:t>位風險承</w:t>
            </w:r>
            <w:proofErr w:type="gramStart"/>
            <w:r w:rsidRPr="00862754">
              <w:rPr>
                <w:rFonts w:ascii="Calibri" w:eastAsia="細明體" w:hAnsi="Calibri" w:hint="eastAsia"/>
                <w:sz w:val="16"/>
                <w:szCs w:val="16"/>
                <w:lang w:eastAsia="zh-CN"/>
              </w:rPr>
              <w:t>擔</w:t>
            </w:r>
            <w:proofErr w:type="gramEnd"/>
          </w:p>
        </w:tc>
        <w:tc>
          <w:tcPr>
            <w:tcW w:w="1807" w:type="dxa"/>
            <w:tcBorders>
              <w:left w:val="single" w:sz="4" w:space="0" w:color="auto"/>
              <w:right w:val="single" w:sz="4" w:space="0" w:color="auto"/>
            </w:tcBorders>
          </w:tcPr>
          <w:p w14:paraId="5E3B32C5"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2017A2CF"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45CDA09D"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7C977076"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58C25F5E"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33D186C5" w14:textId="77777777" w:rsidR="00862754" w:rsidRPr="00862754" w:rsidRDefault="00862754" w:rsidP="00862754">
            <w:pPr>
              <w:snapToGrid w:val="0"/>
              <w:spacing w:before="40" w:after="40"/>
              <w:rPr>
                <w:sz w:val="17"/>
                <w:lang w:eastAsia="en-GB"/>
              </w:rPr>
            </w:pPr>
          </w:p>
        </w:tc>
      </w:tr>
      <w:tr w:rsidR="00862754" w:rsidRPr="00862754" w14:paraId="7BDD6560" w14:textId="77777777" w:rsidTr="00862754">
        <w:trPr>
          <w:cantSplit/>
          <w:trHeight w:val="283"/>
        </w:trPr>
        <w:tc>
          <w:tcPr>
            <w:tcW w:w="567" w:type="dxa"/>
            <w:tcBorders>
              <w:left w:val="nil"/>
              <w:right w:val="single" w:sz="4" w:space="0" w:color="auto"/>
            </w:tcBorders>
          </w:tcPr>
          <w:p w14:paraId="1B8CD1A8"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3</w:t>
            </w:r>
          </w:p>
        </w:tc>
        <w:tc>
          <w:tcPr>
            <w:tcW w:w="3261" w:type="dxa"/>
            <w:tcBorders>
              <w:left w:val="nil"/>
              <w:right w:val="single" w:sz="4" w:space="0" w:color="auto"/>
            </w:tcBorders>
          </w:tcPr>
          <w:p w14:paraId="0453D813" w14:textId="77777777" w:rsidR="00862754" w:rsidRPr="00034CB4" w:rsidRDefault="00862754" w:rsidP="00862754">
            <w:pPr>
              <w:snapToGrid w:val="0"/>
              <w:spacing w:before="40" w:after="40"/>
              <w:rPr>
                <w:rFonts w:ascii="Calibri" w:eastAsia="細明體" w:hAnsi="Calibri"/>
                <w:sz w:val="16"/>
                <w:szCs w:val="16"/>
                <w:lang w:eastAsia="zh-TW"/>
              </w:rPr>
            </w:pPr>
            <w:r w:rsidRPr="00034CB4">
              <w:rPr>
                <w:rFonts w:ascii="Calibri" w:eastAsia="細明體" w:hAnsi="Calibri" w:hint="eastAsia"/>
                <w:sz w:val="16"/>
                <w:szCs w:val="16"/>
                <w:lang w:eastAsia="zh-TW"/>
              </w:rPr>
              <w:t>多邊發展銀行風險承擔</w:t>
            </w:r>
          </w:p>
        </w:tc>
        <w:tc>
          <w:tcPr>
            <w:tcW w:w="1807" w:type="dxa"/>
            <w:tcBorders>
              <w:left w:val="single" w:sz="4" w:space="0" w:color="auto"/>
              <w:right w:val="single" w:sz="4" w:space="0" w:color="auto"/>
            </w:tcBorders>
          </w:tcPr>
          <w:p w14:paraId="1F9513AA"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35203487"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2F8BFBBB"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284502DC"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7A8B8829"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55F38FB8" w14:textId="77777777" w:rsidR="00862754" w:rsidRPr="00862754" w:rsidRDefault="00862754" w:rsidP="00862754">
            <w:pPr>
              <w:snapToGrid w:val="0"/>
              <w:spacing w:before="40" w:after="40"/>
              <w:rPr>
                <w:sz w:val="17"/>
                <w:lang w:eastAsia="zh-TW"/>
              </w:rPr>
            </w:pPr>
          </w:p>
        </w:tc>
      </w:tr>
      <w:tr w:rsidR="00862754" w:rsidRPr="00862754" w14:paraId="273FC342" w14:textId="77777777" w:rsidTr="00862754">
        <w:trPr>
          <w:cantSplit/>
          <w:trHeight w:val="283"/>
        </w:trPr>
        <w:tc>
          <w:tcPr>
            <w:tcW w:w="567" w:type="dxa"/>
            <w:tcBorders>
              <w:left w:val="nil"/>
              <w:right w:val="single" w:sz="4" w:space="0" w:color="auto"/>
            </w:tcBorders>
          </w:tcPr>
          <w:p w14:paraId="7787046A"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3a</w:t>
            </w:r>
          </w:p>
        </w:tc>
        <w:tc>
          <w:tcPr>
            <w:tcW w:w="3261" w:type="dxa"/>
            <w:tcBorders>
              <w:left w:val="nil"/>
              <w:right w:val="single" w:sz="4" w:space="0" w:color="auto"/>
            </w:tcBorders>
          </w:tcPr>
          <w:p w14:paraId="11C1501F"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非指明多邊組織風險承擔</w:t>
            </w:r>
          </w:p>
        </w:tc>
        <w:tc>
          <w:tcPr>
            <w:tcW w:w="1807" w:type="dxa"/>
            <w:tcBorders>
              <w:left w:val="single" w:sz="4" w:space="0" w:color="auto"/>
              <w:right w:val="single" w:sz="4" w:space="0" w:color="auto"/>
            </w:tcBorders>
          </w:tcPr>
          <w:p w14:paraId="402B613F"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B3E7943"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06BEF535"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66D19B03"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1234BB1A"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0BFA9556" w14:textId="77777777" w:rsidR="00862754" w:rsidRPr="00862754" w:rsidRDefault="00862754" w:rsidP="00862754">
            <w:pPr>
              <w:snapToGrid w:val="0"/>
              <w:spacing w:before="40" w:after="40"/>
              <w:rPr>
                <w:sz w:val="17"/>
                <w:lang w:eastAsia="zh-TW"/>
              </w:rPr>
            </w:pPr>
          </w:p>
        </w:tc>
      </w:tr>
      <w:tr w:rsidR="00862754" w:rsidRPr="00862754" w14:paraId="66714ABB" w14:textId="77777777" w:rsidTr="00862754">
        <w:trPr>
          <w:cantSplit/>
          <w:trHeight w:val="283"/>
        </w:trPr>
        <w:tc>
          <w:tcPr>
            <w:tcW w:w="567" w:type="dxa"/>
            <w:tcBorders>
              <w:left w:val="nil"/>
              <w:right w:val="single" w:sz="4" w:space="0" w:color="auto"/>
            </w:tcBorders>
          </w:tcPr>
          <w:p w14:paraId="54328B99"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4</w:t>
            </w:r>
          </w:p>
        </w:tc>
        <w:tc>
          <w:tcPr>
            <w:tcW w:w="3261" w:type="dxa"/>
            <w:tcBorders>
              <w:left w:val="nil"/>
              <w:right w:val="single" w:sz="4" w:space="0" w:color="auto"/>
            </w:tcBorders>
          </w:tcPr>
          <w:p w14:paraId="32225782"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銀行風險承</w:t>
            </w:r>
            <w:proofErr w:type="gramStart"/>
            <w:r w:rsidRPr="00862754">
              <w:rPr>
                <w:rFonts w:ascii="Calibri" w:eastAsia="細明體" w:hAnsi="Calibri" w:hint="eastAsia"/>
                <w:sz w:val="16"/>
                <w:szCs w:val="16"/>
                <w:lang w:eastAsia="zh-CN"/>
              </w:rPr>
              <w:t>擔</w:t>
            </w:r>
            <w:proofErr w:type="gramEnd"/>
          </w:p>
        </w:tc>
        <w:tc>
          <w:tcPr>
            <w:tcW w:w="1807" w:type="dxa"/>
            <w:tcBorders>
              <w:left w:val="single" w:sz="4" w:space="0" w:color="auto"/>
              <w:right w:val="single" w:sz="4" w:space="0" w:color="auto"/>
            </w:tcBorders>
          </w:tcPr>
          <w:p w14:paraId="6A83D16B"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5E05E2BE"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22D869F1"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63651100"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374A0DA9"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2EFACC03" w14:textId="77777777" w:rsidR="00862754" w:rsidRPr="00862754" w:rsidRDefault="00862754" w:rsidP="00862754">
            <w:pPr>
              <w:snapToGrid w:val="0"/>
              <w:spacing w:before="40" w:after="40"/>
              <w:rPr>
                <w:sz w:val="17"/>
                <w:lang w:eastAsia="en-GB"/>
              </w:rPr>
            </w:pPr>
          </w:p>
        </w:tc>
      </w:tr>
      <w:tr w:rsidR="00862754" w:rsidRPr="00862754" w14:paraId="4982FD4C" w14:textId="77777777" w:rsidTr="00862754">
        <w:trPr>
          <w:cantSplit/>
          <w:trHeight w:val="283"/>
        </w:trPr>
        <w:tc>
          <w:tcPr>
            <w:tcW w:w="567" w:type="dxa"/>
            <w:tcBorders>
              <w:left w:val="nil"/>
              <w:right w:val="single" w:sz="4" w:space="0" w:color="auto"/>
            </w:tcBorders>
          </w:tcPr>
          <w:p w14:paraId="234CD841"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4a</w:t>
            </w:r>
          </w:p>
        </w:tc>
        <w:tc>
          <w:tcPr>
            <w:tcW w:w="3261" w:type="dxa"/>
            <w:tcBorders>
              <w:left w:val="nil"/>
              <w:right w:val="single" w:sz="4" w:space="0" w:color="auto"/>
            </w:tcBorders>
          </w:tcPr>
          <w:p w14:paraId="5610F3CE"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合資格非銀行金融機構風險承擔</w:t>
            </w:r>
          </w:p>
        </w:tc>
        <w:tc>
          <w:tcPr>
            <w:tcW w:w="1807" w:type="dxa"/>
            <w:tcBorders>
              <w:left w:val="single" w:sz="4" w:space="0" w:color="auto"/>
              <w:right w:val="single" w:sz="4" w:space="0" w:color="auto"/>
            </w:tcBorders>
          </w:tcPr>
          <w:p w14:paraId="6365F688"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9AFB14C"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44318E0C"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3C23293E"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2BF202EC"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7E66D193" w14:textId="77777777" w:rsidR="00862754" w:rsidRPr="00862754" w:rsidRDefault="00862754" w:rsidP="00862754">
            <w:pPr>
              <w:snapToGrid w:val="0"/>
              <w:spacing w:before="40" w:after="40"/>
              <w:rPr>
                <w:sz w:val="17"/>
                <w:lang w:eastAsia="zh-TW"/>
              </w:rPr>
            </w:pPr>
          </w:p>
        </w:tc>
      </w:tr>
      <w:tr w:rsidR="00862754" w:rsidRPr="00862754" w14:paraId="262A594F" w14:textId="77777777" w:rsidTr="00862754">
        <w:trPr>
          <w:cantSplit/>
          <w:trHeight w:val="283"/>
        </w:trPr>
        <w:tc>
          <w:tcPr>
            <w:tcW w:w="567" w:type="dxa"/>
            <w:tcBorders>
              <w:left w:val="nil"/>
              <w:right w:val="single" w:sz="4" w:space="0" w:color="auto"/>
            </w:tcBorders>
          </w:tcPr>
          <w:p w14:paraId="413C210E"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5</w:t>
            </w:r>
          </w:p>
        </w:tc>
        <w:tc>
          <w:tcPr>
            <w:tcW w:w="3261" w:type="dxa"/>
            <w:tcBorders>
              <w:left w:val="nil"/>
              <w:right w:val="single" w:sz="4" w:space="0" w:color="auto"/>
            </w:tcBorders>
          </w:tcPr>
          <w:p w14:paraId="3ACCE4C3"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合資格資產覆蓋債券風險承擔</w:t>
            </w:r>
          </w:p>
        </w:tc>
        <w:tc>
          <w:tcPr>
            <w:tcW w:w="1807" w:type="dxa"/>
            <w:tcBorders>
              <w:left w:val="single" w:sz="4" w:space="0" w:color="auto"/>
              <w:right w:val="single" w:sz="4" w:space="0" w:color="auto"/>
            </w:tcBorders>
          </w:tcPr>
          <w:p w14:paraId="6170DC0A"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41B6453F"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088B6505"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66AF3034"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69D92E5A"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4BD42F60" w14:textId="77777777" w:rsidR="00862754" w:rsidRPr="00862754" w:rsidRDefault="00862754" w:rsidP="00862754">
            <w:pPr>
              <w:snapToGrid w:val="0"/>
              <w:spacing w:before="40" w:after="40"/>
              <w:rPr>
                <w:sz w:val="17"/>
                <w:lang w:eastAsia="zh-TW"/>
              </w:rPr>
            </w:pPr>
          </w:p>
        </w:tc>
      </w:tr>
      <w:tr w:rsidR="00862754" w:rsidRPr="00862754" w14:paraId="531F25E2" w14:textId="77777777" w:rsidTr="00862754">
        <w:trPr>
          <w:cantSplit/>
          <w:trHeight w:val="283"/>
        </w:trPr>
        <w:tc>
          <w:tcPr>
            <w:tcW w:w="567" w:type="dxa"/>
            <w:tcBorders>
              <w:left w:val="nil"/>
              <w:right w:val="single" w:sz="4" w:space="0" w:color="auto"/>
            </w:tcBorders>
          </w:tcPr>
          <w:p w14:paraId="41B0E099"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6</w:t>
            </w:r>
          </w:p>
        </w:tc>
        <w:tc>
          <w:tcPr>
            <w:tcW w:w="3261" w:type="dxa"/>
            <w:tcBorders>
              <w:left w:val="nil"/>
              <w:right w:val="single" w:sz="4" w:space="0" w:color="auto"/>
            </w:tcBorders>
          </w:tcPr>
          <w:p w14:paraId="39A53090"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一般</w:t>
            </w:r>
            <w:r w:rsidRPr="00862754">
              <w:rPr>
                <w:rFonts w:ascii="Calibri" w:eastAsia="細明體" w:hAnsi="Calibri"/>
                <w:sz w:val="16"/>
                <w:szCs w:val="16"/>
                <w:lang w:eastAsia="zh-CN"/>
              </w:rPr>
              <w:t>法團風險承</w:t>
            </w:r>
            <w:proofErr w:type="gramStart"/>
            <w:r w:rsidRPr="00862754">
              <w:rPr>
                <w:rFonts w:ascii="Calibri" w:eastAsia="細明體" w:hAnsi="Calibri"/>
                <w:sz w:val="16"/>
                <w:szCs w:val="16"/>
                <w:lang w:eastAsia="zh-CN"/>
              </w:rPr>
              <w:t>擔</w:t>
            </w:r>
            <w:proofErr w:type="gramEnd"/>
          </w:p>
        </w:tc>
        <w:tc>
          <w:tcPr>
            <w:tcW w:w="1807" w:type="dxa"/>
            <w:tcBorders>
              <w:left w:val="single" w:sz="4" w:space="0" w:color="auto"/>
              <w:right w:val="single" w:sz="4" w:space="0" w:color="auto"/>
            </w:tcBorders>
          </w:tcPr>
          <w:p w14:paraId="1144DC22"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19BDB356"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1D959973"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0F2C94E4"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3C58A693"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2FFB34A3" w14:textId="77777777" w:rsidR="00862754" w:rsidRPr="00862754" w:rsidRDefault="00862754" w:rsidP="00862754">
            <w:pPr>
              <w:snapToGrid w:val="0"/>
              <w:spacing w:before="40" w:after="40"/>
              <w:rPr>
                <w:sz w:val="17"/>
                <w:lang w:eastAsia="en-GB"/>
              </w:rPr>
            </w:pPr>
          </w:p>
        </w:tc>
      </w:tr>
      <w:tr w:rsidR="00862754" w:rsidRPr="00862754" w14:paraId="64843614" w14:textId="77777777" w:rsidTr="00862754">
        <w:trPr>
          <w:cantSplit/>
          <w:trHeight w:val="283"/>
        </w:trPr>
        <w:tc>
          <w:tcPr>
            <w:tcW w:w="567" w:type="dxa"/>
            <w:tcBorders>
              <w:left w:val="nil"/>
              <w:right w:val="single" w:sz="4" w:space="0" w:color="auto"/>
            </w:tcBorders>
          </w:tcPr>
          <w:p w14:paraId="6CFD32AE"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6a</w:t>
            </w:r>
          </w:p>
        </w:tc>
        <w:tc>
          <w:tcPr>
            <w:tcW w:w="3261" w:type="dxa"/>
            <w:tcBorders>
              <w:left w:val="nil"/>
              <w:right w:val="single" w:sz="4" w:space="0" w:color="auto"/>
            </w:tcBorders>
          </w:tcPr>
          <w:p w14:paraId="488E2669" w14:textId="77777777" w:rsidR="00862754" w:rsidRPr="00862754" w:rsidRDefault="00862754" w:rsidP="00862754">
            <w:pPr>
              <w:snapToGrid w:val="0"/>
              <w:spacing w:before="40" w:after="40"/>
              <w:ind w:leftChars="88" w:left="176"/>
              <w:rPr>
                <w:rFonts w:ascii="Calibri" w:eastAsia="細明體" w:hAnsi="Calibri"/>
                <w:sz w:val="16"/>
                <w:szCs w:val="16"/>
                <w:lang w:eastAsia="zh-TW"/>
              </w:rPr>
            </w:pPr>
            <w:r w:rsidRPr="00862754">
              <w:rPr>
                <w:rFonts w:ascii="Calibri" w:eastAsia="細明體" w:hAnsi="Calibri" w:hint="eastAsia"/>
                <w:sz w:val="16"/>
                <w:szCs w:val="16"/>
                <w:lang w:eastAsia="zh-TW"/>
              </w:rPr>
              <w:t>其中：非銀行金融機構風險承擔，但不包括於第</w:t>
            </w:r>
            <w:r w:rsidRPr="00BC4771">
              <w:rPr>
                <w:rFonts w:eastAsia="細明體" w:cs="Segoe UI"/>
                <w:sz w:val="16"/>
                <w:szCs w:val="16"/>
                <w:lang w:eastAsia="zh-TW"/>
              </w:rPr>
              <w:t>4a</w:t>
            </w:r>
            <w:r w:rsidRPr="00862754">
              <w:rPr>
                <w:rFonts w:ascii="Calibri" w:eastAsia="細明體" w:hAnsi="Calibri" w:hint="eastAsia"/>
                <w:sz w:val="16"/>
                <w:szCs w:val="16"/>
                <w:lang w:eastAsia="zh-TW"/>
              </w:rPr>
              <w:t>行填報的風險承擔</w:t>
            </w:r>
          </w:p>
        </w:tc>
        <w:tc>
          <w:tcPr>
            <w:tcW w:w="1807" w:type="dxa"/>
            <w:tcBorders>
              <w:left w:val="single" w:sz="4" w:space="0" w:color="auto"/>
              <w:right w:val="single" w:sz="4" w:space="0" w:color="auto"/>
            </w:tcBorders>
          </w:tcPr>
          <w:p w14:paraId="106464E3"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767F0AAA"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02C9106D"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7687D207"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53914BBB"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08133927" w14:textId="77777777" w:rsidR="00862754" w:rsidRPr="00862754" w:rsidRDefault="00862754" w:rsidP="00862754">
            <w:pPr>
              <w:snapToGrid w:val="0"/>
              <w:spacing w:before="40" w:after="40"/>
              <w:rPr>
                <w:sz w:val="17"/>
                <w:lang w:eastAsia="zh-TW"/>
              </w:rPr>
            </w:pPr>
          </w:p>
        </w:tc>
      </w:tr>
      <w:tr w:rsidR="00862754" w:rsidRPr="00862754" w14:paraId="0AE666AD" w14:textId="77777777" w:rsidTr="00862754">
        <w:trPr>
          <w:cantSplit/>
          <w:trHeight w:val="283"/>
        </w:trPr>
        <w:tc>
          <w:tcPr>
            <w:tcW w:w="567" w:type="dxa"/>
            <w:tcBorders>
              <w:left w:val="nil"/>
              <w:right w:val="single" w:sz="4" w:space="0" w:color="auto"/>
            </w:tcBorders>
          </w:tcPr>
          <w:p w14:paraId="3F1B7DD9"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6b</w:t>
            </w:r>
          </w:p>
        </w:tc>
        <w:tc>
          <w:tcPr>
            <w:tcW w:w="3261" w:type="dxa"/>
            <w:tcBorders>
              <w:left w:val="nil"/>
              <w:right w:val="single" w:sz="4" w:space="0" w:color="auto"/>
            </w:tcBorders>
          </w:tcPr>
          <w:p w14:paraId="1CB7CCD8" w14:textId="77777777" w:rsidR="00862754" w:rsidRPr="00862754" w:rsidRDefault="00862754" w:rsidP="00862754">
            <w:pPr>
              <w:snapToGrid w:val="0"/>
              <w:spacing w:before="40" w:after="40"/>
              <w:rPr>
                <w:rFonts w:ascii="Calibri" w:eastAsia="細明體" w:hAnsi="Calibri"/>
                <w:sz w:val="16"/>
                <w:szCs w:val="16"/>
                <w:lang w:eastAsia="zh-CN"/>
              </w:rPr>
            </w:pPr>
            <w:proofErr w:type="gramStart"/>
            <w:r w:rsidRPr="00862754">
              <w:rPr>
                <w:rFonts w:ascii="Calibri" w:eastAsia="細明體" w:hAnsi="Calibri" w:hint="eastAsia"/>
                <w:sz w:val="16"/>
                <w:szCs w:val="16"/>
                <w:lang w:eastAsia="zh-CN"/>
              </w:rPr>
              <w:t>專</w:t>
            </w:r>
            <w:proofErr w:type="gramEnd"/>
            <w:r w:rsidRPr="00862754">
              <w:rPr>
                <w:rFonts w:ascii="Calibri" w:eastAsia="細明體" w:hAnsi="Calibri" w:hint="eastAsia"/>
                <w:sz w:val="16"/>
                <w:szCs w:val="16"/>
                <w:lang w:eastAsia="zh-CN"/>
              </w:rPr>
              <w:t>門性借貸</w:t>
            </w:r>
          </w:p>
        </w:tc>
        <w:tc>
          <w:tcPr>
            <w:tcW w:w="1807" w:type="dxa"/>
            <w:tcBorders>
              <w:left w:val="single" w:sz="4" w:space="0" w:color="auto"/>
              <w:right w:val="single" w:sz="4" w:space="0" w:color="auto"/>
            </w:tcBorders>
          </w:tcPr>
          <w:p w14:paraId="523A3A3B"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1ED8D961"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00181FF4"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388E9295"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509A27C9"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44F52056" w14:textId="77777777" w:rsidR="00862754" w:rsidRPr="00862754" w:rsidRDefault="00862754" w:rsidP="00862754">
            <w:pPr>
              <w:snapToGrid w:val="0"/>
              <w:spacing w:before="40" w:after="40"/>
              <w:rPr>
                <w:sz w:val="17"/>
                <w:lang w:eastAsia="en-GB"/>
              </w:rPr>
            </w:pPr>
          </w:p>
        </w:tc>
      </w:tr>
      <w:tr w:rsidR="00862754" w:rsidRPr="00862754" w14:paraId="20B1E6AD" w14:textId="77777777" w:rsidTr="00862754">
        <w:trPr>
          <w:cantSplit/>
          <w:trHeight w:val="283"/>
        </w:trPr>
        <w:tc>
          <w:tcPr>
            <w:tcW w:w="567" w:type="dxa"/>
            <w:tcBorders>
              <w:left w:val="nil"/>
              <w:right w:val="single" w:sz="4" w:space="0" w:color="auto"/>
            </w:tcBorders>
          </w:tcPr>
          <w:p w14:paraId="43FDAFBF"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7</w:t>
            </w:r>
          </w:p>
        </w:tc>
        <w:tc>
          <w:tcPr>
            <w:tcW w:w="3261" w:type="dxa"/>
            <w:tcBorders>
              <w:left w:val="nil"/>
              <w:right w:val="single" w:sz="4" w:space="0" w:color="auto"/>
            </w:tcBorders>
          </w:tcPr>
          <w:p w14:paraId="764C155D"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股</w:t>
            </w:r>
            <w:proofErr w:type="gramStart"/>
            <w:r w:rsidRPr="00862754">
              <w:rPr>
                <w:rFonts w:ascii="Calibri" w:eastAsia="細明體" w:hAnsi="Calibri" w:hint="eastAsia"/>
                <w:sz w:val="16"/>
                <w:szCs w:val="16"/>
                <w:lang w:eastAsia="zh-CN"/>
              </w:rPr>
              <w:t>權</w:t>
            </w:r>
            <w:proofErr w:type="gramEnd"/>
            <w:r w:rsidRPr="00862754">
              <w:rPr>
                <w:rFonts w:ascii="Calibri" w:eastAsia="細明體" w:hAnsi="Calibri" w:hint="eastAsia"/>
                <w:sz w:val="16"/>
                <w:szCs w:val="16"/>
                <w:lang w:eastAsia="zh-CN"/>
              </w:rPr>
              <w:t>風險承</w:t>
            </w:r>
            <w:proofErr w:type="gramStart"/>
            <w:r w:rsidRPr="00862754">
              <w:rPr>
                <w:rFonts w:ascii="Calibri" w:eastAsia="細明體" w:hAnsi="Calibri" w:hint="eastAsia"/>
                <w:sz w:val="16"/>
                <w:szCs w:val="16"/>
                <w:lang w:eastAsia="zh-CN"/>
              </w:rPr>
              <w:t>擔</w:t>
            </w:r>
            <w:proofErr w:type="gramEnd"/>
          </w:p>
        </w:tc>
        <w:tc>
          <w:tcPr>
            <w:tcW w:w="1807" w:type="dxa"/>
            <w:tcBorders>
              <w:left w:val="single" w:sz="4" w:space="0" w:color="auto"/>
              <w:right w:val="single" w:sz="4" w:space="0" w:color="auto"/>
            </w:tcBorders>
          </w:tcPr>
          <w:p w14:paraId="5FDC8EF6"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2B656F13"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6D630178"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0A3C4312"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44E5C15C"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3D37CCA0" w14:textId="77777777" w:rsidR="00862754" w:rsidRPr="00862754" w:rsidRDefault="00862754" w:rsidP="00862754">
            <w:pPr>
              <w:snapToGrid w:val="0"/>
              <w:spacing w:before="40" w:after="40"/>
              <w:rPr>
                <w:sz w:val="17"/>
                <w:lang w:eastAsia="en-GB"/>
              </w:rPr>
            </w:pPr>
          </w:p>
        </w:tc>
      </w:tr>
      <w:tr w:rsidR="00862754" w:rsidRPr="00862754" w14:paraId="34E11D55" w14:textId="77777777" w:rsidTr="00862754">
        <w:trPr>
          <w:cantSplit/>
          <w:trHeight w:val="283"/>
        </w:trPr>
        <w:tc>
          <w:tcPr>
            <w:tcW w:w="567" w:type="dxa"/>
            <w:tcBorders>
              <w:left w:val="nil"/>
              <w:right w:val="single" w:sz="4" w:space="0" w:color="auto"/>
            </w:tcBorders>
          </w:tcPr>
          <w:p w14:paraId="63EB3870"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7a</w:t>
            </w:r>
          </w:p>
        </w:tc>
        <w:tc>
          <w:tcPr>
            <w:tcW w:w="3261" w:type="dxa"/>
            <w:tcBorders>
              <w:left w:val="nil"/>
              <w:right w:val="single" w:sz="4" w:space="0" w:color="auto"/>
            </w:tcBorders>
          </w:tcPr>
          <w:p w14:paraId="51E1065D" w14:textId="77777777" w:rsidR="00862754" w:rsidRPr="00862754" w:rsidRDefault="00862754" w:rsidP="00862754">
            <w:pPr>
              <w:snapToGrid w:val="0"/>
              <w:spacing w:before="40" w:after="40"/>
              <w:rPr>
                <w:rFonts w:ascii="Calibri" w:eastAsia="細明體" w:hAnsi="Calibri"/>
                <w:sz w:val="16"/>
                <w:szCs w:val="16"/>
                <w:lang w:eastAsia="zh-TW"/>
              </w:rPr>
            </w:pPr>
            <w:r w:rsidRPr="00034CB4">
              <w:rPr>
                <w:rFonts w:ascii="Calibri" w:eastAsia="細明體" w:hAnsi="Calibri" w:hint="eastAsia"/>
                <w:sz w:val="16"/>
                <w:szCs w:val="16"/>
                <w:lang w:eastAsia="zh-TW"/>
              </w:rPr>
              <w:t>對商業實體的重大</w:t>
            </w:r>
            <w:r w:rsidRPr="00034CB4">
              <w:rPr>
                <w:rFonts w:ascii="Calibri" w:eastAsia="細明體" w:hAnsi="Calibri"/>
                <w:sz w:val="16"/>
                <w:szCs w:val="16"/>
                <w:lang w:eastAsia="zh-TW"/>
              </w:rPr>
              <w:t>資本投資</w:t>
            </w:r>
          </w:p>
        </w:tc>
        <w:tc>
          <w:tcPr>
            <w:tcW w:w="1807" w:type="dxa"/>
            <w:tcBorders>
              <w:left w:val="single" w:sz="4" w:space="0" w:color="auto"/>
              <w:right w:val="single" w:sz="4" w:space="0" w:color="auto"/>
            </w:tcBorders>
          </w:tcPr>
          <w:p w14:paraId="40BE0A48"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59D4698"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0DAA1847"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51721437"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207E5334"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294AC7D6" w14:textId="77777777" w:rsidR="00862754" w:rsidRPr="00862754" w:rsidRDefault="00862754" w:rsidP="00862754">
            <w:pPr>
              <w:snapToGrid w:val="0"/>
              <w:spacing w:before="40" w:after="40"/>
              <w:rPr>
                <w:sz w:val="17"/>
                <w:lang w:eastAsia="zh-TW"/>
              </w:rPr>
            </w:pPr>
          </w:p>
        </w:tc>
      </w:tr>
      <w:tr w:rsidR="00862754" w:rsidRPr="00862754" w14:paraId="068EF5F5" w14:textId="77777777" w:rsidTr="00862754">
        <w:trPr>
          <w:cantSplit/>
          <w:trHeight w:val="283"/>
        </w:trPr>
        <w:tc>
          <w:tcPr>
            <w:tcW w:w="567" w:type="dxa"/>
            <w:tcBorders>
              <w:left w:val="nil"/>
              <w:right w:val="single" w:sz="4" w:space="0" w:color="auto"/>
            </w:tcBorders>
          </w:tcPr>
          <w:p w14:paraId="3B2F0F62"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7b</w:t>
            </w:r>
          </w:p>
        </w:tc>
        <w:tc>
          <w:tcPr>
            <w:tcW w:w="3261" w:type="dxa"/>
            <w:tcBorders>
              <w:left w:val="nil"/>
              <w:right w:val="single" w:sz="4" w:space="0" w:color="auto"/>
            </w:tcBorders>
          </w:tcPr>
          <w:p w14:paraId="176E03B6" w14:textId="5433FA39" w:rsidR="00862754" w:rsidRPr="00862754" w:rsidRDefault="004624D3" w:rsidP="004624D3">
            <w:pPr>
              <w:snapToGrid w:val="0"/>
              <w:spacing w:before="40" w:after="40"/>
              <w:rPr>
                <w:rFonts w:ascii="Calibri" w:eastAsia="細明體" w:hAnsi="Calibri"/>
                <w:sz w:val="16"/>
                <w:szCs w:val="16"/>
                <w:lang w:eastAsia="zh-HK"/>
              </w:rPr>
            </w:pPr>
            <w:r>
              <w:rPr>
                <w:rFonts w:ascii="Calibri" w:eastAsia="細明體" w:hAnsi="Calibri" w:hint="eastAsia"/>
                <w:sz w:val="16"/>
                <w:szCs w:val="16"/>
                <w:lang w:eastAsia="zh-HK"/>
              </w:rPr>
              <w:t>持有</w:t>
            </w:r>
            <w:r w:rsidR="00C33DF0">
              <w:rPr>
                <w:rFonts w:ascii="Calibri" w:eastAsia="細明體" w:hAnsi="Calibri" w:hint="eastAsia"/>
                <w:sz w:val="16"/>
                <w:szCs w:val="16"/>
                <w:lang w:eastAsia="zh-HK"/>
              </w:rPr>
              <w:t>由</w:t>
            </w:r>
            <w:r w:rsidR="00862754" w:rsidRPr="00862754">
              <w:rPr>
                <w:rFonts w:ascii="Calibri" w:eastAsia="細明體" w:hAnsi="Calibri" w:hint="eastAsia"/>
                <w:sz w:val="16"/>
                <w:szCs w:val="16"/>
                <w:lang w:eastAsia="zh-TW"/>
              </w:rPr>
              <w:t>金融業實體發行的資本票據及該等實體的非資本</w:t>
            </w:r>
            <w:r w:rsidR="00862754" w:rsidRPr="00792E2D">
              <w:rPr>
                <w:rFonts w:eastAsia="細明體" w:cs="Segoe UI"/>
                <w:sz w:val="16"/>
                <w:szCs w:val="16"/>
                <w:lang w:eastAsia="zh-TW"/>
              </w:rPr>
              <w:t>LAC</w:t>
            </w:r>
            <w:r w:rsidR="00862754" w:rsidRPr="00862754">
              <w:rPr>
                <w:rFonts w:ascii="Calibri" w:eastAsia="細明體" w:hAnsi="Calibri" w:hint="eastAsia"/>
                <w:sz w:val="16"/>
                <w:szCs w:val="16"/>
                <w:lang w:eastAsia="zh-TW"/>
              </w:rPr>
              <w:t>負債</w:t>
            </w:r>
          </w:p>
        </w:tc>
        <w:tc>
          <w:tcPr>
            <w:tcW w:w="1807" w:type="dxa"/>
            <w:tcBorders>
              <w:left w:val="single" w:sz="4" w:space="0" w:color="auto"/>
              <w:right w:val="single" w:sz="4" w:space="0" w:color="auto"/>
            </w:tcBorders>
          </w:tcPr>
          <w:p w14:paraId="7291202D"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448C4DFE"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598D5A0"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6348387C"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64ABD352"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2ED6EEAC" w14:textId="77777777" w:rsidR="00862754" w:rsidRPr="00862754" w:rsidRDefault="00862754" w:rsidP="00862754">
            <w:pPr>
              <w:snapToGrid w:val="0"/>
              <w:spacing w:before="40" w:after="40"/>
              <w:rPr>
                <w:sz w:val="17"/>
                <w:lang w:eastAsia="zh-TW"/>
              </w:rPr>
            </w:pPr>
          </w:p>
        </w:tc>
      </w:tr>
      <w:tr w:rsidR="00862754" w:rsidRPr="00862754" w14:paraId="09C64D33" w14:textId="77777777" w:rsidTr="00862754">
        <w:trPr>
          <w:cantSplit/>
          <w:trHeight w:val="283"/>
        </w:trPr>
        <w:tc>
          <w:tcPr>
            <w:tcW w:w="567" w:type="dxa"/>
            <w:tcBorders>
              <w:left w:val="nil"/>
              <w:right w:val="single" w:sz="4" w:space="0" w:color="auto"/>
            </w:tcBorders>
          </w:tcPr>
          <w:p w14:paraId="357E77B2"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7c</w:t>
            </w:r>
          </w:p>
        </w:tc>
        <w:tc>
          <w:tcPr>
            <w:tcW w:w="3261" w:type="dxa"/>
            <w:tcBorders>
              <w:left w:val="nil"/>
              <w:right w:val="single" w:sz="4" w:space="0" w:color="auto"/>
            </w:tcBorders>
          </w:tcPr>
          <w:p w14:paraId="4FC2AA46" w14:textId="35FC03DD"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由銀行、合資格非銀行金融機構</w:t>
            </w:r>
            <w:proofErr w:type="gramStart"/>
            <w:r w:rsidRPr="00862754">
              <w:rPr>
                <w:rFonts w:ascii="Calibri" w:eastAsia="細明體" w:hAnsi="Calibri" w:hint="eastAsia"/>
                <w:sz w:val="16"/>
                <w:szCs w:val="16"/>
                <w:lang w:eastAsia="zh-TW"/>
              </w:rPr>
              <w:t>及法團發行</w:t>
            </w:r>
            <w:proofErr w:type="gramEnd"/>
            <w:r w:rsidRPr="00862754">
              <w:rPr>
                <w:rFonts w:ascii="Calibri" w:eastAsia="細明體" w:hAnsi="Calibri" w:hint="eastAsia"/>
                <w:sz w:val="16"/>
                <w:szCs w:val="16"/>
                <w:lang w:eastAsia="zh-TW"/>
              </w:rPr>
              <w:t>的後償債項</w:t>
            </w:r>
          </w:p>
        </w:tc>
        <w:tc>
          <w:tcPr>
            <w:tcW w:w="1807" w:type="dxa"/>
            <w:tcBorders>
              <w:left w:val="single" w:sz="4" w:space="0" w:color="auto"/>
              <w:right w:val="single" w:sz="4" w:space="0" w:color="auto"/>
            </w:tcBorders>
          </w:tcPr>
          <w:p w14:paraId="7A0B2B9F"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19957E0E"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1711AC57"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1C0D4380"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43E33A53"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7F415E29" w14:textId="77777777" w:rsidR="00862754" w:rsidRPr="00862754" w:rsidRDefault="00862754" w:rsidP="00862754">
            <w:pPr>
              <w:snapToGrid w:val="0"/>
              <w:spacing w:before="40" w:after="40"/>
              <w:rPr>
                <w:sz w:val="17"/>
                <w:lang w:eastAsia="zh-TW"/>
              </w:rPr>
            </w:pPr>
          </w:p>
        </w:tc>
      </w:tr>
      <w:tr w:rsidR="00862754" w:rsidRPr="00862754" w14:paraId="1B285DE7" w14:textId="77777777" w:rsidTr="00862754">
        <w:trPr>
          <w:cantSplit/>
          <w:trHeight w:val="283"/>
        </w:trPr>
        <w:tc>
          <w:tcPr>
            <w:tcW w:w="567" w:type="dxa"/>
            <w:tcBorders>
              <w:left w:val="nil"/>
              <w:right w:val="single" w:sz="4" w:space="0" w:color="auto"/>
            </w:tcBorders>
          </w:tcPr>
          <w:p w14:paraId="178C4C36"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8</w:t>
            </w:r>
          </w:p>
        </w:tc>
        <w:tc>
          <w:tcPr>
            <w:tcW w:w="3261" w:type="dxa"/>
            <w:tcBorders>
              <w:left w:val="nil"/>
              <w:right w:val="single" w:sz="4" w:space="0" w:color="auto"/>
            </w:tcBorders>
          </w:tcPr>
          <w:p w14:paraId="7C546D4F"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零售風險承</w:t>
            </w:r>
            <w:proofErr w:type="gramStart"/>
            <w:r w:rsidRPr="00862754">
              <w:rPr>
                <w:rFonts w:ascii="Calibri" w:eastAsia="細明體" w:hAnsi="Calibri" w:hint="eastAsia"/>
                <w:sz w:val="16"/>
                <w:szCs w:val="16"/>
                <w:lang w:eastAsia="zh-CN"/>
              </w:rPr>
              <w:t>擔</w:t>
            </w:r>
            <w:proofErr w:type="gramEnd"/>
          </w:p>
        </w:tc>
        <w:tc>
          <w:tcPr>
            <w:tcW w:w="1807" w:type="dxa"/>
            <w:tcBorders>
              <w:left w:val="single" w:sz="4" w:space="0" w:color="auto"/>
              <w:right w:val="single" w:sz="4" w:space="0" w:color="auto"/>
            </w:tcBorders>
          </w:tcPr>
          <w:p w14:paraId="4DF26AA8"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67F28BB7"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5EE6DFC5"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5A235ECF"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19F907AA"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01A7BDC8" w14:textId="77777777" w:rsidR="00862754" w:rsidRPr="00862754" w:rsidRDefault="00862754" w:rsidP="00862754">
            <w:pPr>
              <w:snapToGrid w:val="0"/>
              <w:spacing w:before="40" w:after="40"/>
              <w:rPr>
                <w:sz w:val="17"/>
                <w:lang w:eastAsia="en-GB"/>
              </w:rPr>
            </w:pPr>
          </w:p>
        </w:tc>
      </w:tr>
      <w:tr w:rsidR="00862754" w:rsidRPr="00862754" w14:paraId="5A3719AC" w14:textId="77777777" w:rsidTr="00862754">
        <w:trPr>
          <w:cantSplit/>
          <w:trHeight w:val="283"/>
        </w:trPr>
        <w:tc>
          <w:tcPr>
            <w:tcW w:w="567" w:type="dxa"/>
            <w:tcBorders>
              <w:left w:val="nil"/>
              <w:right w:val="single" w:sz="4" w:space="0" w:color="auto"/>
            </w:tcBorders>
          </w:tcPr>
          <w:p w14:paraId="76A71BE4"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8a</w:t>
            </w:r>
          </w:p>
        </w:tc>
        <w:tc>
          <w:tcPr>
            <w:tcW w:w="3261" w:type="dxa"/>
            <w:tcBorders>
              <w:left w:val="nil"/>
              <w:right w:val="single" w:sz="4" w:space="0" w:color="auto"/>
            </w:tcBorders>
          </w:tcPr>
          <w:p w14:paraId="03E5EF48"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因</w:t>
            </w:r>
            <w:r w:rsidRPr="00792E2D">
              <w:rPr>
                <w:rFonts w:eastAsia="細明體" w:cs="Segoe UI"/>
                <w:sz w:val="16"/>
                <w:szCs w:val="16"/>
                <w:lang w:eastAsia="zh-TW"/>
              </w:rPr>
              <w:t>IPO</w:t>
            </w:r>
            <w:r w:rsidRPr="00862754">
              <w:rPr>
                <w:rFonts w:ascii="Calibri" w:eastAsia="細明體" w:hAnsi="Calibri" w:hint="eastAsia"/>
                <w:sz w:val="16"/>
                <w:szCs w:val="16"/>
                <w:lang w:eastAsia="zh-TW"/>
              </w:rPr>
              <w:t>融資而產生的風險承擔</w:t>
            </w:r>
          </w:p>
        </w:tc>
        <w:tc>
          <w:tcPr>
            <w:tcW w:w="1807" w:type="dxa"/>
            <w:tcBorders>
              <w:left w:val="single" w:sz="4" w:space="0" w:color="auto"/>
              <w:right w:val="single" w:sz="4" w:space="0" w:color="auto"/>
            </w:tcBorders>
          </w:tcPr>
          <w:p w14:paraId="2719592D"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127ED9C9"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27759D9B"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662C15E1"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44503905"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54A85E51" w14:textId="77777777" w:rsidR="00862754" w:rsidRPr="00862754" w:rsidRDefault="00862754" w:rsidP="00862754">
            <w:pPr>
              <w:snapToGrid w:val="0"/>
              <w:spacing w:before="40" w:after="40"/>
              <w:rPr>
                <w:sz w:val="17"/>
                <w:lang w:eastAsia="zh-TW"/>
              </w:rPr>
            </w:pPr>
          </w:p>
        </w:tc>
      </w:tr>
      <w:tr w:rsidR="00862754" w:rsidRPr="00862754" w14:paraId="2500B007" w14:textId="77777777" w:rsidTr="00862754">
        <w:trPr>
          <w:cantSplit/>
          <w:trHeight w:val="283"/>
        </w:trPr>
        <w:tc>
          <w:tcPr>
            <w:tcW w:w="567" w:type="dxa"/>
            <w:tcBorders>
              <w:left w:val="nil"/>
              <w:right w:val="single" w:sz="4" w:space="0" w:color="auto"/>
            </w:tcBorders>
          </w:tcPr>
          <w:p w14:paraId="0EE0C9EF"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w:t>
            </w:r>
          </w:p>
        </w:tc>
        <w:tc>
          <w:tcPr>
            <w:tcW w:w="3261" w:type="dxa"/>
            <w:tcBorders>
              <w:left w:val="nil"/>
              <w:right w:val="single" w:sz="4" w:space="0" w:color="auto"/>
            </w:tcBorders>
          </w:tcPr>
          <w:p w14:paraId="60AF7F42"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地產風險承</w:t>
            </w:r>
            <w:proofErr w:type="gramStart"/>
            <w:r w:rsidRPr="00862754">
              <w:rPr>
                <w:rFonts w:ascii="Calibri" w:eastAsia="細明體" w:hAnsi="Calibri" w:hint="eastAsia"/>
                <w:sz w:val="16"/>
                <w:szCs w:val="16"/>
                <w:lang w:eastAsia="zh-CN"/>
              </w:rPr>
              <w:t>擔</w:t>
            </w:r>
            <w:proofErr w:type="gramEnd"/>
          </w:p>
        </w:tc>
        <w:tc>
          <w:tcPr>
            <w:tcW w:w="1807" w:type="dxa"/>
            <w:tcBorders>
              <w:left w:val="single" w:sz="4" w:space="0" w:color="auto"/>
              <w:right w:val="single" w:sz="4" w:space="0" w:color="auto"/>
            </w:tcBorders>
          </w:tcPr>
          <w:p w14:paraId="47B1F1F9"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109CC5FC"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696416EE"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3FD0A61E"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428197D4"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00AA6C12" w14:textId="77777777" w:rsidR="00862754" w:rsidRPr="00862754" w:rsidRDefault="00862754" w:rsidP="00862754">
            <w:pPr>
              <w:snapToGrid w:val="0"/>
              <w:spacing w:before="40" w:after="40"/>
              <w:rPr>
                <w:sz w:val="17"/>
                <w:lang w:eastAsia="en-GB"/>
              </w:rPr>
            </w:pPr>
          </w:p>
        </w:tc>
      </w:tr>
      <w:tr w:rsidR="00862754" w:rsidRPr="00862754" w14:paraId="14737EAF" w14:textId="77777777" w:rsidTr="00862754">
        <w:trPr>
          <w:cantSplit/>
          <w:trHeight w:val="283"/>
        </w:trPr>
        <w:tc>
          <w:tcPr>
            <w:tcW w:w="567" w:type="dxa"/>
            <w:tcBorders>
              <w:left w:val="nil"/>
              <w:right w:val="single" w:sz="4" w:space="0" w:color="auto"/>
            </w:tcBorders>
          </w:tcPr>
          <w:p w14:paraId="266DCCF2"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9a</w:t>
            </w:r>
          </w:p>
        </w:tc>
        <w:tc>
          <w:tcPr>
            <w:tcW w:w="3261" w:type="dxa"/>
            <w:tcBorders>
              <w:left w:val="nil"/>
              <w:right w:val="single" w:sz="4" w:space="0" w:color="auto"/>
            </w:tcBorders>
          </w:tcPr>
          <w:p w14:paraId="5D5C1B12" w14:textId="77777777" w:rsidR="00862754" w:rsidRPr="00862754" w:rsidRDefault="00862754" w:rsidP="00862754">
            <w:pPr>
              <w:snapToGrid w:val="0"/>
              <w:spacing w:before="40" w:after="40"/>
              <w:ind w:leftChars="88" w:left="176"/>
              <w:rPr>
                <w:rFonts w:cs="Segoe UI"/>
                <w:sz w:val="16"/>
                <w:szCs w:val="16"/>
                <w:lang w:eastAsia="zh-TW"/>
              </w:rPr>
            </w:pPr>
            <w:r w:rsidRPr="00862754">
              <w:rPr>
                <w:rFonts w:ascii="新細明體" w:eastAsia="新細明體" w:hAnsi="新細明體" w:cs="Segoe UI" w:hint="eastAsia"/>
                <w:sz w:val="16"/>
                <w:szCs w:val="16"/>
                <w:lang w:eastAsia="zh-HK"/>
              </w:rPr>
              <w:t>其中</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hint="eastAsia"/>
                <w:sz w:val="16"/>
                <w:szCs w:val="16"/>
                <w:lang w:eastAsia="zh-HK"/>
              </w:rPr>
              <w:t>監管住宅地產風險承擔</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sz w:val="16"/>
                <w:szCs w:val="16"/>
                <w:lang w:eastAsia="zh-HK"/>
              </w:rPr>
              <w:t>並非在關鍵程度上</w:t>
            </w:r>
            <w:r w:rsidRPr="00862754">
              <w:rPr>
                <w:rFonts w:ascii="新細明體" w:eastAsia="新細明體" w:hAnsi="新細明體" w:cs="Segoe UI" w:hint="eastAsia"/>
                <w:sz w:val="16"/>
                <w:szCs w:val="16"/>
                <w:lang w:eastAsia="zh-HK"/>
              </w:rPr>
              <w:t>有賴</w:t>
            </w:r>
            <w:r w:rsidRPr="00862754">
              <w:rPr>
                <w:rFonts w:ascii="新細明體" w:eastAsia="新細明體" w:hAnsi="新細明體" w:cs="Segoe UI"/>
                <w:sz w:val="16"/>
                <w:szCs w:val="16"/>
                <w:lang w:eastAsia="zh-HK"/>
              </w:rPr>
              <w:t>於</w:t>
            </w:r>
            <w:r w:rsidRPr="00862754">
              <w:rPr>
                <w:rFonts w:ascii="新細明體" w:eastAsia="新細明體" w:hAnsi="新細明體" w:cs="Segoe UI" w:hint="eastAsia"/>
                <w:sz w:val="16"/>
                <w:szCs w:val="16"/>
                <w:lang w:eastAsia="zh-HK"/>
              </w:rPr>
              <w:t>按揭物業所產生的現金流</w:t>
            </w:r>
            <w:r w:rsidRPr="00862754">
              <w:rPr>
                <w:rFonts w:ascii="新細明體" w:eastAsia="新細明體" w:hAnsi="新細明體" w:cs="Segoe UI" w:hint="eastAsia"/>
                <w:sz w:val="16"/>
                <w:szCs w:val="16"/>
                <w:lang w:eastAsia="zh-TW"/>
              </w:rPr>
              <w:t>）</w:t>
            </w:r>
          </w:p>
        </w:tc>
        <w:tc>
          <w:tcPr>
            <w:tcW w:w="1807" w:type="dxa"/>
            <w:tcBorders>
              <w:left w:val="single" w:sz="4" w:space="0" w:color="auto"/>
              <w:right w:val="single" w:sz="4" w:space="0" w:color="auto"/>
            </w:tcBorders>
          </w:tcPr>
          <w:p w14:paraId="318757BF"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303E0039"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59B4945"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4156CF9B"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3A674A98"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27A58888" w14:textId="77777777" w:rsidR="00862754" w:rsidRPr="00862754" w:rsidRDefault="00862754" w:rsidP="00862754">
            <w:pPr>
              <w:snapToGrid w:val="0"/>
              <w:spacing w:before="40" w:after="40"/>
              <w:rPr>
                <w:sz w:val="17"/>
                <w:lang w:eastAsia="zh-TW"/>
              </w:rPr>
            </w:pPr>
          </w:p>
        </w:tc>
      </w:tr>
      <w:tr w:rsidR="00862754" w:rsidRPr="00862754" w14:paraId="7279AA6F" w14:textId="77777777" w:rsidTr="00862754">
        <w:trPr>
          <w:cantSplit/>
          <w:trHeight w:val="283"/>
        </w:trPr>
        <w:tc>
          <w:tcPr>
            <w:tcW w:w="567" w:type="dxa"/>
            <w:tcBorders>
              <w:left w:val="nil"/>
              <w:right w:val="single" w:sz="4" w:space="0" w:color="auto"/>
            </w:tcBorders>
          </w:tcPr>
          <w:p w14:paraId="2DCFB8AC"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9b</w:t>
            </w:r>
          </w:p>
        </w:tc>
        <w:tc>
          <w:tcPr>
            <w:tcW w:w="3261" w:type="dxa"/>
            <w:tcBorders>
              <w:left w:val="nil"/>
              <w:right w:val="single" w:sz="4" w:space="0" w:color="auto"/>
            </w:tcBorders>
          </w:tcPr>
          <w:p w14:paraId="14EC61B3" w14:textId="77777777" w:rsidR="00862754" w:rsidRPr="00862754" w:rsidRDefault="00862754" w:rsidP="00862754">
            <w:pPr>
              <w:snapToGrid w:val="0"/>
              <w:spacing w:before="40" w:after="40"/>
              <w:ind w:leftChars="88" w:left="176"/>
              <w:rPr>
                <w:rFonts w:cs="Segoe UI"/>
                <w:sz w:val="16"/>
                <w:szCs w:val="16"/>
                <w:lang w:eastAsia="zh-TW"/>
              </w:rPr>
            </w:pPr>
            <w:r w:rsidRPr="00862754">
              <w:rPr>
                <w:rFonts w:ascii="新細明體" w:eastAsia="新細明體" w:hAnsi="新細明體" w:cs="Segoe UI" w:hint="eastAsia"/>
                <w:sz w:val="16"/>
                <w:szCs w:val="16"/>
                <w:lang w:eastAsia="zh-HK"/>
              </w:rPr>
              <w:t>其中：監管住宅地產風險承擔</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sz w:val="16"/>
                <w:szCs w:val="16"/>
                <w:lang w:eastAsia="zh-HK"/>
              </w:rPr>
              <w:t>在關鍵程度上</w:t>
            </w:r>
            <w:r w:rsidRPr="00862754">
              <w:rPr>
                <w:rFonts w:ascii="新細明體" w:eastAsia="新細明體" w:hAnsi="新細明體" w:cs="Segoe UI" w:hint="eastAsia"/>
                <w:sz w:val="16"/>
                <w:szCs w:val="16"/>
                <w:lang w:eastAsia="zh-HK"/>
              </w:rPr>
              <w:t>有賴</w:t>
            </w:r>
            <w:r w:rsidRPr="00862754">
              <w:rPr>
                <w:rFonts w:ascii="新細明體" w:eastAsia="新細明體" w:hAnsi="新細明體" w:cs="Segoe UI"/>
                <w:sz w:val="16"/>
                <w:szCs w:val="16"/>
                <w:lang w:eastAsia="zh-HK"/>
              </w:rPr>
              <w:t>於</w:t>
            </w:r>
            <w:r w:rsidRPr="00862754">
              <w:rPr>
                <w:rFonts w:ascii="新細明體" w:eastAsia="新細明體" w:hAnsi="新細明體" w:cs="Segoe UI" w:hint="eastAsia"/>
                <w:sz w:val="16"/>
                <w:szCs w:val="16"/>
                <w:lang w:eastAsia="zh-HK"/>
              </w:rPr>
              <w:t>按揭物業所產生的現金流</w:t>
            </w:r>
            <w:r w:rsidRPr="00862754">
              <w:rPr>
                <w:rFonts w:ascii="新細明體" w:eastAsia="新細明體" w:hAnsi="新細明體" w:cs="Segoe UI" w:hint="eastAsia"/>
                <w:sz w:val="16"/>
                <w:szCs w:val="16"/>
                <w:lang w:eastAsia="zh-TW"/>
              </w:rPr>
              <w:t>）</w:t>
            </w:r>
          </w:p>
        </w:tc>
        <w:tc>
          <w:tcPr>
            <w:tcW w:w="1807" w:type="dxa"/>
            <w:tcBorders>
              <w:left w:val="single" w:sz="4" w:space="0" w:color="auto"/>
              <w:right w:val="single" w:sz="4" w:space="0" w:color="auto"/>
            </w:tcBorders>
          </w:tcPr>
          <w:p w14:paraId="4B6CC0E1"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26306210"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292ECFFD"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03EDDE07"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576B6019"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4D5289B4" w14:textId="77777777" w:rsidR="00862754" w:rsidRPr="00862754" w:rsidRDefault="00862754" w:rsidP="00862754">
            <w:pPr>
              <w:snapToGrid w:val="0"/>
              <w:spacing w:before="40" w:after="40"/>
              <w:rPr>
                <w:sz w:val="17"/>
                <w:lang w:eastAsia="zh-TW"/>
              </w:rPr>
            </w:pPr>
          </w:p>
        </w:tc>
      </w:tr>
      <w:tr w:rsidR="00862754" w:rsidRPr="00862754" w14:paraId="7AFD4D4C" w14:textId="77777777" w:rsidTr="00862754">
        <w:trPr>
          <w:cantSplit/>
          <w:trHeight w:val="283"/>
        </w:trPr>
        <w:tc>
          <w:tcPr>
            <w:tcW w:w="567" w:type="dxa"/>
            <w:tcBorders>
              <w:left w:val="nil"/>
              <w:right w:val="single" w:sz="4" w:space="0" w:color="auto"/>
            </w:tcBorders>
          </w:tcPr>
          <w:p w14:paraId="408C61AE"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9c</w:t>
            </w:r>
          </w:p>
        </w:tc>
        <w:tc>
          <w:tcPr>
            <w:tcW w:w="3261" w:type="dxa"/>
            <w:tcBorders>
              <w:left w:val="nil"/>
              <w:right w:val="single" w:sz="4" w:space="0" w:color="auto"/>
            </w:tcBorders>
          </w:tcPr>
          <w:p w14:paraId="648C25B4" w14:textId="77777777" w:rsidR="00862754" w:rsidRPr="00862754" w:rsidRDefault="00862754" w:rsidP="00862754">
            <w:pPr>
              <w:snapToGrid w:val="0"/>
              <w:spacing w:before="40" w:after="40"/>
              <w:ind w:leftChars="88" w:left="176"/>
              <w:rPr>
                <w:rFonts w:cs="Segoe UI"/>
                <w:sz w:val="16"/>
                <w:szCs w:val="16"/>
                <w:lang w:eastAsia="zh-TW"/>
              </w:rPr>
            </w:pPr>
            <w:r w:rsidRPr="00862754">
              <w:rPr>
                <w:rFonts w:ascii="新細明體" w:eastAsia="新細明體" w:hAnsi="新細明體" w:cs="Segoe UI" w:hint="eastAsia"/>
                <w:sz w:val="16"/>
                <w:szCs w:val="16"/>
                <w:lang w:eastAsia="zh-HK"/>
              </w:rPr>
              <w:t>其中</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hint="eastAsia"/>
                <w:sz w:val="16"/>
                <w:szCs w:val="16"/>
                <w:lang w:eastAsia="zh-HK"/>
              </w:rPr>
              <w:t>監管商業地產風險承擔</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sz w:val="16"/>
                <w:szCs w:val="16"/>
                <w:lang w:eastAsia="zh-HK"/>
              </w:rPr>
              <w:t>並非在關鍵程度上</w:t>
            </w:r>
            <w:r w:rsidRPr="00862754">
              <w:rPr>
                <w:rFonts w:ascii="新細明體" w:eastAsia="新細明體" w:hAnsi="新細明體" w:cs="Segoe UI" w:hint="eastAsia"/>
                <w:sz w:val="16"/>
                <w:szCs w:val="16"/>
                <w:lang w:eastAsia="zh-HK"/>
              </w:rPr>
              <w:t>有賴</w:t>
            </w:r>
            <w:r w:rsidRPr="00862754">
              <w:rPr>
                <w:rFonts w:ascii="新細明體" w:eastAsia="新細明體" w:hAnsi="新細明體" w:cs="Segoe UI"/>
                <w:sz w:val="16"/>
                <w:szCs w:val="16"/>
                <w:lang w:eastAsia="zh-HK"/>
              </w:rPr>
              <w:t>於</w:t>
            </w:r>
            <w:r w:rsidRPr="00862754">
              <w:rPr>
                <w:rFonts w:ascii="新細明體" w:eastAsia="新細明體" w:hAnsi="新細明體" w:cs="Segoe UI" w:hint="eastAsia"/>
                <w:sz w:val="16"/>
                <w:szCs w:val="16"/>
                <w:lang w:eastAsia="zh-HK"/>
              </w:rPr>
              <w:t>按揭物業所產生的現金流</w:t>
            </w:r>
            <w:r w:rsidRPr="00862754">
              <w:rPr>
                <w:rFonts w:ascii="新細明體" w:eastAsia="新細明體" w:hAnsi="新細明體" w:cs="Segoe UI" w:hint="eastAsia"/>
                <w:sz w:val="16"/>
                <w:szCs w:val="16"/>
                <w:lang w:eastAsia="zh-TW"/>
              </w:rPr>
              <w:t>）</w:t>
            </w:r>
          </w:p>
        </w:tc>
        <w:tc>
          <w:tcPr>
            <w:tcW w:w="1807" w:type="dxa"/>
            <w:tcBorders>
              <w:left w:val="single" w:sz="4" w:space="0" w:color="auto"/>
              <w:right w:val="single" w:sz="4" w:space="0" w:color="auto"/>
            </w:tcBorders>
          </w:tcPr>
          <w:p w14:paraId="6F8F4DE5"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67AC2C6C"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3310A2B"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1B5FF2C8"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4AF1B05B"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35077AC3" w14:textId="77777777" w:rsidR="00862754" w:rsidRPr="00862754" w:rsidRDefault="00862754" w:rsidP="00862754">
            <w:pPr>
              <w:snapToGrid w:val="0"/>
              <w:spacing w:before="40" w:after="40"/>
              <w:rPr>
                <w:sz w:val="17"/>
                <w:lang w:eastAsia="zh-TW"/>
              </w:rPr>
            </w:pPr>
          </w:p>
        </w:tc>
      </w:tr>
      <w:tr w:rsidR="00862754" w:rsidRPr="00862754" w14:paraId="6448EF96" w14:textId="77777777" w:rsidTr="00862754">
        <w:trPr>
          <w:cantSplit/>
          <w:trHeight w:val="283"/>
        </w:trPr>
        <w:tc>
          <w:tcPr>
            <w:tcW w:w="567" w:type="dxa"/>
            <w:tcBorders>
              <w:left w:val="nil"/>
              <w:right w:val="single" w:sz="4" w:space="0" w:color="auto"/>
            </w:tcBorders>
          </w:tcPr>
          <w:p w14:paraId="628B613B"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9d</w:t>
            </w:r>
          </w:p>
        </w:tc>
        <w:tc>
          <w:tcPr>
            <w:tcW w:w="3261" w:type="dxa"/>
            <w:tcBorders>
              <w:left w:val="nil"/>
              <w:right w:val="single" w:sz="4" w:space="0" w:color="auto"/>
            </w:tcBorders>
          </w:tcPr>
          <w:p w14:paraId="181E01C2" w14:textId="77777777" w:rsidR="00862754" w:rsidRPr="00862754" w:rsidRDefault="00862754" w:rsidP="00862754">
            <w:pPr>
              <w:snapToGrid w:val="0"/>
              <w:spacing w:before="40" w:after="40"/>
              <w:ind w:leftChars="88" w:left="176"/>
              <w:rPr>
                <w:rFonts w:cs="Segoe UI"/>
                <w:sz w:val="16"/>
                <w:szCs w:val="16"/>
                <w:lang w:eastAsia="zh-TW"/>
              </w:rPr>
            </w:pPr>
            <w:r w:rsidRPr="00862754">
              <w:rPr>
                <w:rFonts w:ascii="新細明體" w:eastAsia="新細明體" w:hAnsi="新細明體" w:cs="Segoe UI" w:hint="eastAsia"/>
                <w:sz w:val="16"/>
                <w:szCs w:val="16"/>
                <w:lang w:eastAsia="zh-HK"/>
              </w:rPr>
              <w:t>其中：監管商業地產風險承擔</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sz w:val="16"/>
                <w:szCs w:val="16"/>
                <w:lang w:eastAsia="zh-HK"/>
              </w:rPr>
              <w:t>在關鍵程度上</w:t>
            </w:r>
            <w:r w:rsidRPr="00862754">
              <w:rPr>
                <w:rFonts w:ascii="新細明體" w:eastAsia="新細明體" w:hAnsi="新細明體" w:cs="Segoe UI" w:hint="eastAsia"/>
                <w:sz w:val="16"/>
                <w:szCs w:val="16"/>
                <w:lang w:eastAsia="zh-HK"/>
              </w:rPr>
              <w:t>有賴</w:t>
            </w:r>
            <w:r w:rsidRPr="00862754">
              <w:rPr>
                <w:rFonts w:ascii="新細明體" w:eastAsia="新細明體" w:hAnsi="新細明體" w:cs="Segoe UI"/>
                <w:sz w:val="16"/>
                <w:szCs w:val="16"/>
                <w:lang w:eastAsia="zh-HK"/>
              </w:rPr>
              <w:t>於</w:t>
            </w:r>
            <w:r w:rsidRPr="00862754">
              <w:rPr>
                <w:rFonts w:ascii="新細明體" w:eastAsia="新細明體" w:hAnsi="新細明體" w:cs="Segoe UI" w:hint="eastAsia"/>
                <w:sz w:val="16"/>
                <w:szCs w:val="16"/>
                <w:lang w:eastAsia="zh-HK"/>
              </w:rPr>
              <w:t>按揭物業所產生的現金流</w:t>
            </w:r>
            <w:r w:rsidRPr="00862754">
              <w:rPr>
                <w:rFonts w:ascii="新細明體" w:eastAsia="新細明體" w:hAnsi="新細明體" w:cs="Segoe UI" w:hint="eastAsia"/>
                <w:sz w:val="16"/>
                <w:szCs w:val="16"/>
                <w:lang w:eastAsia="zh-TW"/>
              </w:rPr>
              <w:t>）</w:t>
            </w:r>
          </w:p>
        </w:tc>
        <w:tc>
          <w:tcPr>
            <w:tcW w:w="1807" w:type="dxa"/>
            <w:tcBorders>
              <w:left w:val="single" w:sz="4" w:space="0" w:color="auto"/>
              <w:right w:val="single" w:sz="4" w:space="0" w:color="auto"/>
            </w:tcBorders>
          </w:tcPr>
          <w:p w14:paraId="5236237A"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01FBDB69"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361D07B0"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12BCBBCA"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6D7CFE7C"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6F3BCD89" w14:textId="77777777" w:rsidR="00862754" w:rsidRPr="00862754" w:rsidRDefault="00862754" w:rsidP="00862754">
            <w:pPr>
              <w:snapToGrid w:val="0"/>
              <w:spacing w:before="40" w:after="40"/>
              <w:rPr>
                <w:sz w:val="17"/>
                <w:lang w:eastAsia="zh-TW"/>
              </w:rPr>
            </w:pPr>
          </w:p>
        </w:tc>
      </w:tr>
      <w:tr w:rsidR="00862754" w:rsidRPr="00862754" w14:paraId="4DF91DB5" w14:textId="77777777" w:rsidTr="00862754">
        <w:trPr>
          <w:cantSplit/>
          <w:trHeight w:val="283"/>
        </w:trPr>
        <w:tc>
          <w:tcPr>
            <w:tcW w:w="567" w:type="dxa"/>
            <w:tcBorders>
              <w:left w:val="nil"/>
              <w:right w:val="single" w:sz="4" w:space="0" w:color="auto"/>
            </w:tcBorders>
          </w:tcPr>
          <w:p w14:paraId="5D1C4035"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9e</w:t>
            </w:r>
          </w:p>
        </w:tc>
        <w:tc>
          <w:tcPr>
            <w:tcW w:w="3261" w:type="dxa"/>
            <w:tcBorders>
              <w:left w:val="nil"/>
              <w:right w:val="single" w:sz="4" w:space="0" w:color="auto"/>
            </w:tcBorders>
          </w:tcPr>
          <w:p w14:paraId="1FD80E9E" w14:textId="77777777" w:rsidR="00862754" w:rsidRPr="00862754" w:rsidRDefault="00862754" w:rsidP="00862754">
            <w:pPr>
              <w:snapToGrid w:val="0"/>
              <w:spacing w:before="40" w:after="40"/>
              <w:ind w:leftChars="88" w:left="176"/>
              <w:rPr>
                <w:rFonts w:cs="Segoe UI"/>
                <w:sz w:val="16"/>
                <w:szCs w:val="16"/>
                <w:lang w:eastAsia="zh-TW"/>
              </w:rPr>
            </w:pPr>
            <w:r w:rsidRPr="00862754">
              <w:rPr>
                <w:rFonts w:ascii="新細明體" w:eastAsia="新細明體" w:hAnsi="新細明體" w:cs="Segoe UI" w:hint="eastAsia"/>
                <w:sz w:val="16"/>
                <w:szCs w:val="16"/>
                <w:lang w:eastAsia="zh-HK"/>
              </w:rPr>
              <w:t>其中</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hint="eastAsia"/>
                <w:sz w:val="16"/>
                <w:szCs w:val="16"/>
                <w:lang w:eastAsia="zh-HK"/>
              </w:rPr>
              <w:t>其他地產風險承擔</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sz w:val="16"/>
                <w:szCs w:val="16"/>
                <w:lang w:eastAsia="zh-HK"/>
              </w:rPr>
              <w:t>並非在關鍵程度上</w:t>
            </w:r>
            <w:r w:rsidRPr="00862754">
              <w:rPr>
                <w:rFonts w:ascii="新細明體" w:eastAsia="新細明體" w:hAnsi="新細明體" w:cs="Segoe UI" w:hint="eastAsia"/>
                <w:sz w:val="16"/>
                <w:szCs w:val="16"/>
                <w:lang w:eastAsia="zh-HK"/>
              </w:rPr>
              <w:t>有賴</w:t>
            </w:r>
            <w:r w:rsidRPr="00862754">
              <w:rPr>
                <w:rFonts w:ascii="新細明體" w:eastAsia="新細明體" w:hAnsi="新細明體" w:cs="Segoe UI"/>
                <w:sz w:val="16"/>
                <w:szCs w:val="16"/>
                <w:lang w:eastAsia="zh-HK"/>
              </w:rPr>
              <w:t>於</w:t>
            </w:r>
            <w:r w:rsidRPr="00862754">
              <w:rPr>
                <w:rFonts w:ascii="新細明體" w:eastAsia="新細明體" w:hAnsi="新細明體" w:cs="Segoe UI" w:hint="eastAsia"/>
                <w:sz w:val="16"/>
                <w:szCs w:val="16"/>
                <w:lang w:eastAsia="zh-HK"/>
              </w:rPr>
              <w:t>按揭物業所產生的現金流</w:t>
            </w:r>
            <w:r w:rsidRPr="00862754">
              <w:rPr>
                <w:rFonts w:ascii="新細明體" w:eastAsia="新細明體" w:hAnsi="新細明體" w:cs="Segoe UI" w:hint="eastAsia"/>
                <w:sz w:val="16"/>
                <w:szCs w:val="16"/>
                <w:lang w:eastAsia="zh-TW"/>
              </w:rPr>
              <w:t>）</w:t>
            </w:r>
          </w:p>
        </w:tc>
        <w:tc>
          <w:tcPr>
            <w:tcW w:w="1807" w:type="dxa"/>
            <w:tcBorders>
              <w:left w:val="single" w:sz="4" w:space="0" w:color="auto"/>
              <w:right w:val="single" w:sz="4" w:space="0" w:color="auto"/>
            </w:tcBorders>
          </w:tcPr>
          <w:p w14:paraId="3EB58350"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47B6B94"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1DDAEC9A"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72B38FA2"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6D9A22D3"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4D36E4EC" w14:textId="77777777" w:rsidR="00862754" w:rsidRPr="00862754" w:rsidRDefault="00862754" w:rsidP="00862754">
            <w:pPr>
              <w:snapToGrid w:val="0"/>
              <w:spacing w:before="40" w:after="40"/>
              <w:rPr>
                <w:sz w:val="17"/>
                <w:lang w:eastAsia="zh-TW"/>
              </w:rPr>
            </w:pPr>
          </w:p>
        </w:tc>
      </w:tr>
      <w:tr w:rsidR="00862754" w:rsidRPr="00862754" w14:paraId="749165DE" w14:textId="77777777" w:rsidTr="00862754">
        <w:trPr>
          <w:cantSplit/>
          <w:trHeight w:val="283"/>
        </w:trPr>
        <w:tc>
          <w:tcPr>
            <w:tcW w:w="567" w:type="dxa"/>
            <w:tcBorders>
              <w:left w:val="nil"/>
              <w:right w:val="single" w:sz="4" w:space="0" w:color="auto"/>
            </w:tcBorders>
          </w:tcPr>
          <w:p w14:paraId="68F578C6"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9f</w:t>
            </w:r>
          </w:p>
        </w:tc>
        <w:tc>
          <w:tcPr>
            <w:tcW w:w="3261" w:type="dxa"/>
            <w:tcBorders>
              <w:left w:val="nil"/>
              <w:right w:val="single" w:sz="4" w:space="0" w:color="auto"/>
            </w:tcBorders>
          </w:tcPr>
          <w:p w14:paraId="2C2743D5" w14:textId="77777777" w:rsidR="00862754" w:rsidRPr="00862754" w:rsidRDefault="00862754" w:rsidP="00862754">
            <w:pPr>
              <w:snapToGrid w:val="0"/>
              <w:spacing w:before="40" w:after="40"/>
              <w:ind w:leftChars="88" w:left="176"/>
              <w:rPr>
                <w:rFonts w:cs="Segoe UI"/>
                <w:sz w:val="16"/>
                <w:szCs w:val="16"/>
                <w:lang w:eastAsia="zh-TW"/>
              </w:rPr>
            </w:pPr>
            <w:r w:rsidRPr="00862754">
              <w:rPr>
                <w:rFonts w:ascii="新細明體" w:eastAsia="新細明體" w:hAnsi="新細明體" w:cs="Segoe UI" w:hint="eastAsia"/>
                <w:sz w:val="16"/>
                <w:szCs w:val="16"/>
                <w:lang w:eastAsia="zh-HK"/>
              </w:rPr>
              <w:t>其中</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hint="eastAsia"/>
                <w:sz w:val="16"/>
                <w:szCs w:val="16"/>
                <w:lang w:eastAsia="zh-HK"/>
              </w:rPr>
              <w:t>其他地產風險承擔</w:t>
            </w:r>
            <w:r w:rsidRPr="00862754">
              <w:rPr>
                <w:rFonts w:ascii="新細明體" w:eastAsia="新細明體" w:hAnsi="新細明體" w:cs="Segoe UI" w:hint="eastAsia"/>
                <w:sz w:val="16"/>
                <w:szCs w:val="16"/>
                <w:lang w:eastAsia="zh-TW"/>
              </w:rPr>
              <w:t>（</w:t>
            </w:r>
            <w:r w:rsidRPr="00862754">
              <w:rPr>
                <w:rFonts w:ascii="新細明體" w:eastAsia="新細明體" w:hAnsi="新細明體" w:cs="Segoe UI"/>
                <w:sz w:val="16"/>
                <w:szCs w:val="16"/>
                <w:lang w:eastAsia="zh-HK"/>
              </w:rPr>
              <w:t>在關鍵程度上</w:t>
            </w:r>
            <w:r w:rsidRPr="00862754">
              <w:rPr>
                <w:rFonts w:ascii="新細明體" w:eastAsia="新細明體" w:hAnsi="新細明體" w:cs="Segoe UI" w:hint="eastAsia"/>
                <w:sz w:val="16"/>
                <w:szCs w:val="16"/>
                <w:lang w:eastAsia="zh-HK"/>
              </w:rPr>
              <w:t>有賴</w:t>
            </w:r>
            <w:r w:rsidRPr="00862754">
              <w:rPr>
                <w:rFonts w:ascii="新細明體" w:eastAsia="新細明體" w:hAnsi="新細明體" w:cs="Segoe UI"/>
                <w:sz w:val="16"/>
                <w:szCs w:val="16"/>
                <w:lang w:eastAsia="zh-HK"/>
              </w:rPr>
              <w:t>於</w:t>
            </w:r>
            <w:r w:rsidRPr="00862754">
              <w:rPr>
                <w:rFonts w:ascii="新細明體" w:eastAsia="新細明體" w:hAnsi="新細明體" w:cs="Segoe UI" w:hint="eastAsia"/>
                <w:sz w:val="16"/>
                <w:szCs w:val="16"/>
                <w:lang w:eastAsia="zh-HK"/>
              </w:rPr>
              <w:t>按揭物業所產生的現金流</w:t>
            </w:r>
            <w:r w:rsidRPr="00862754">
              <w:rPr>
                <w:rFonts w:ascii="新細明體" w:eastAsia="新細明體" w:hAnsi="新細明體" w:cs="Segoe UI" w:hint="eastAsia"/>
                <w:sz w:val="16"/>
                <w:szCs w:val="16"/>
                <w:lang w:eastAsia="zh-TW"/>
              </w:rPr>
              <w:t>）</w:t>
            </w:r>
          </w:p>
        </w:tc>
        <w:tc>
          <w:tcPr>
            <w:tcW w:w="1807" w:type="dxa"/>
            <w:tcBorders>
              <w:left w:val="single" w:sz="4" w:space="0" w:color="auto"/>
              <w:right w:val="single" w:sz="4" w:space="0" w:color="auto"/>
            </w:tcBorders>
          </w:tcPr>
          <w:p w14:paraId="79621E8A"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443A7E02"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1300DF88"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238C1EDA"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51885EBF"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77A79F26" w14:textId="77777777" w:rsidR="00862754" w:rsidRPr="00862754" w:rsidRDefault="00862754" w:rsidP="00862754">
            <w:pPr>
              <w:snapToGrid w:val="0"/>
              <w:spacing w:before="40" w:after="40"/>
              <w:rPr>
                <w:sz w:val="17"/>
                <w:lang w:eastAsia="zh-TW"/>
              </w:rPr>
            </w:pPr>
          </w:p>
        </w:tc>
      </w:tr>
      <w:tr w:rsidR="00862754" w:rsidRPr="00862754" w14:paraId="4930E157" w14:textId="77777777" w:rsidTr="00862754">
        <w:trPr>
          <w:cantSplit/>
          <w:trHeight w:val="283"/>
        </w:trPr>
        <w:tc>
          <w:tcPr>
            <w:tcW w:w="567" w:type="dxa"/>
            <w:tcBorders>
              <w:left w:val="nil"/>
              <w:right w:val="single" w:sz="4" w:space="0" w:color="auto"/>
            </w:tcBorders>
          </w:tcPr>
          <w:p w14:paraId="08FDF99A"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9g</w:t>
            </w:r>
          </w:p>
        </w:tc>
        <w:tc>
          <w:tcPr>
            <w:tcW w:w="3261" w:type="dxa"/>
            <w:tcBorders>
              <w:left w:val="nil"/>
              <w:right w:val="single" w:sz="4" w:space="0" w:color="auto"/>
            </w:tcBorders>
          </w:tcPr>
          <w:p w14:paraId="125D377B" w14:textId="77777777" w:rsidR="00862754" w:rsidRPr="00862754" w:rsidRDefault="00862754" w:rsidP="00862754">
            <w:pPr>
              <w:snapToGrid w:val="0"/>
              <w:spacing w:before="40" w:after="40"/>
              <w:ind w:leftChars="88" w:left="176"/>
              <w:rPr>
                <w:rFonts w:cs="Segoe UI"/>
                <w:sz w:val="16"/>
                <w:szCs w:val="16"/>
                <w:lang w:eastAsia="zh-TW"/>
              </w:rPr>
            </w:pPr>
            <w:r w:rsidRPr="00862754">
              <w:rPr>
                <w:rFonts w:ascii="新細明體" w:eastAsia="新細明體" w:hAnsi="新細明體" w:cs="Segoe UI" w:hint="eastAsia"/>
                <w:sz w:val="16"/>
                <w:szCs w:val="16"/>
                <w:lang w:eastAsia="zh-HK"/>
              </w:rPr>
              <w:t>其中：</w:t>
            </w:r>
            <w:r w:rsidRPr="00862754">
              <w:rPr>
                <w:rFonts w:ascii="新細明體" w:eastAsia="新細明體" w:hAnsi="新細明體" w:cs="Segoe UI"/>
                <w:sz w:val="16"/>
                <w:szCs w:val="16"/>
                <w:lang w:eastAsia="zh-HK"/>
              </w:rPr>
              <w:t>土地購買、開發</w:t>
            </w:r>
            <w:r w:rsidRPr="00862754">
              <w:rPr>
                <w:rFonts w:ascii="新細明體" w:eastAsia="新細明體" w:hAnsi="新細明體" w:cs="Segoe UI" w:hint="eastAsia"/>
                <w:sz w:val="16"/>
                <w:szCs w:val="16"/>
                <w:lang w:eastAsia="zh-HK"/>
              </w:rPr>
              <w:t>及</w:t>
            </w:r>
            <w:r w:rsidRPr="00862754">
              <w:rPr>
                <w:rFonts w:ascii="新細明體" w:eastAsia="新細明體" w:hAnsi="新細明體" w:cs="Segoe UI"/>
                <w:sz w:val="16"/>
                <w:szCs w:val="16"/>
                <w:lang w:eastAsia="zh-HK"/>
              </w:rPr>
              <w:t>建築風險承擔</w:t>
            </w:r>
          </w:p>
        </w:tc>
        <w:tc>
          <w:tcPr>
            <w:tcW w:w="1807" w:type="dxa"/>
            <w:tcBorders>
              <w:left w:val="single" w:sz="4" w:space="0" w:color="auto"/>
              <w:right w:val="single" w:sz="4" w:space="0" w:color="auto"/>
            </w:tcBorders>
          </w:tcPr>
          <w:p w14:paraId="1D261572"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59116CE3" w14:textId="77777777" w:rsidR="00862754" w:rsidRPr="00862754"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0C8B1C55" w14:textId="77777777" w:rsidR="00862754" w:rsidRPr="00862754"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4FCA9084"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2916F52A"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70C82498" w14:textId="77777777" w:rsidR="00862754" w:rsidRPr="00862754" w:rsidRDefault="00862754" w:rsidP="00862754">
            <w:pPr>
              <w:snapToGrid w:val="0"/>
              <w:spacing w:before="40" w:after="40"/>
              <w:rPr>
                <w:sz w:val="17"/>
                <w:lang w:eastAsia="zh-TW"/>
              </w:rPr>
            </w:pPr>
          </w:p>
        </w:tc>
      </w:tr>
      <w:tr w:rsidR="00862754" w:rsidRPr="00862754" w14:paraId="2F9CFDE0" w14:textId="77777777" w:rsidTr="00862754">
        <w:trPr>
          <w:cantSplit/>
          <w:trHeight w:val="283"/>
        </w:trPr>
        <w:tc>
          <w:tcPr>
            <w:tcW w:w="567" w:type="dxa"/>
            <w:tcBorders>
              <w:left w:val="nil"/>
              <w:right w:val="single" w:sz="4" w:space="0" w:color="auto"/>
            </w:tcBorders>
          </w:tcPr>
          <w:p w14:paraId="7341A5D6"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10</w:t>
            </w:r>
          </w:p>
        </w:tc>
        <w:tc>
          <w:tcPr>
            <w:tcW w:w="3261" w:type="dxa"/>
            <w:tcBorders>
              <w:left w:val="nil"/>
              <w:right w:val="single" w:sz="4" w:space="0" w:color="auto"/>
            </w:tcBorders>
          </w:tcPr>
          <w:p w14:paraId="3883FDC6" w14:textId="77777777" w:rsidR="00862754" w:rsidRPr="00862754" w:rsidDel="005D6E6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違責風險承</w:t>
            </w:r>
            <w:proofErr w:type="gramStart"/>
            <w:r w:rsidRPr="00862754">
              <w:rPr>
                <w:rFonts w:ascii="Calibri" w:eastAsia="細明體" w:hAnsi="Calibri" w:hint="eastAsia"/>
                <w:sz w:val="16"/>
                <w:szCs w:val="16"/>
                <w:lang w:eastAsia="zh-CN"/>
              </w:rPr>
              <w:t>擔</w:t>
            </w:r>
            <w:proofErr w:type="gramEnd"/>
          </w:p>
        </w:tc>
        <w:tc>
          <w:tcPr>
            <w:tcW w:w="1807" w:type="dxa"/>
            <w:tcBorders>
              <w:left w:val="single" w:sz="4" w:space="0" w:color="auto"/>
              <w:right w:val="single" w:sz="4" w:space="0" w:color="auto"/>
            </w:tcBorders>
          </w:tcPr>
          <w:p w14:paraId="3AAB78A9"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5F40BC2A" w14:textId="77777777" w:rsidR="00862754" w:rsidRPr="00862754"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517F901E" w14:textId="77777777" w:rsidR="00862754" w:rsidRPr="00862754"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25C8A837"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1DEA0D3D"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370AAD09" w14:textId="77777777" w:rsidR="00862754" w:rsidRPr="00862754" w:rsidRDefault="00862754" w:rsidP="00862754">
            <w:pPr>
              <w:snapToGrid w:val="0"/>
              <w:spacing w:before="40" w:after="40"/>
              <w:rPr>
                <w:sz w:val="17"/>
                <w:lang w:eastAsia="en-GB"/>
              </w:rPr>
            </w:pPr>
          </w:p>
        </w:tc>
      </w:tr>
      <w:tr w:rsidR="00862754" w:rsidRPr="00862754" w:rsidDel="00C47F03" w14:paraId="66101C05" w14:textId="77777777" w:rsidTr="00862754">
        <w:trPr>
          <w:cantSplit/>
          <w:trHeight w:val="283"/>
        </w:trPr>
        <w:tc>
          <w:tcPr>
            <w:tcW w:w="567" w:type="dxa"/>
            <w:tcBorders>
              <w:left w:val="nil"/>
              <w:right w:val="single" w:sz="4" w:space="0" w:color="auto"/>
            </w:tcBorders>
          </w:tcPr>
          <w:p w14:paraId="34C4386B" w14:textId="77777777" w:rsidR="00862754" w:rsidRPr="00862754" w:rsidDel="00C47F03" w:rsidRDefault="00862754" w:rsidP="00862754">
            <w:pPr>
              <w:snapToGrid w:val="0"/>
              <w:spacing w:before="40" w:after="40"/>
              <w:rPr>
                <w:rFonts w:cs="Segoe UI"/>
                <w:sz w:val="16"/>
                <w:szCs w:val="16"/>
                <w:lang w:eastAsia="en-GB"/>
              </w:rPr>
            </w:pPr>
            <w:r w:rsidRPr="00862754">
              <w:rPr>
                <w:rFonts w:cs="Segoe UI"/>
                <w:sz w:val="16"/>
                <w:szCs w:val="16"/>
                <w:lang w:eastAsia="en-GB"/>
              </w:rPr>
              <w:t>11</w:t>
            </w:r>
          </w:p>
        </w:tc>
        <w:tc>
          <w:tcPr>
            <w:tcW w:w="3261" w:type="dxa"/>
            <w:tcBorders>
              <w:left w:val="nil"/>
              <w:right w:val="single" w:sz="4" w:space="0" w:color="auto"/>
            </w:tcBorders>
          </w:tcPr>
          <w:p w14:paraId="66B523A1" w14:textId="77777777" w:rsidR="00862754" w:rsidRPr="00862754" w:rsidDel="00C47F03"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其他風險承</w:t>
            </w:r>
            <w:proofErr w:type="gramStart"/>
            <w:r w:rsidRPr="00862754">
              <w:rPr>
                <w:rFonts w:ascii="Calibri" w:eastAsia="細明體" w:hAnsi="Calibri" w:hint="eastAsia"/>
                <w:sz w:val="16"/>
                <w:szCs w:val="16"/>
                <w:lang w:eastAsia="zh-CN"/>
              </w:rPr>
              <w:t>擔</w:t>
            </w:r>
            <w:proofErr w:type="gramEnd"/>
          </w:p>
        </w:tc>
        <w:tc>
          <w:tcPr>
            <w:tcW w:w="1807" w:type="dxa"/>
            <w:tcBorders>
              <w:left w:val="single" w:sz="4" w:space="0" w:color="auto"/>
              <w:right w:val="single" w:sz="4" w:space="0" w:color="auto"/>
            </w:tcBorders>
          </w:tcPr>
          <w:p w14:paraId="4E24D19F" w14:textId="77777777" w:rsidR="00862754" w:rsidRPr="00862754" w:rsidDel="00C47F03"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758A9D72" w14:textId="77777777" w:rsidR="00862754" w:rsidRPr="00862754" w:rsidDel="00C47F03"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61C712B3" w14:textId="77777777" w:rsidR="00862754" w:rsidRPr="00862754" w:rsidDel="00C47F03"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2D2559A2" w14:textId="77777777" w:rsidR="00862754" w:rsidRPr="00862754" w:rsidDel="00C47F03"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0CEC7851" w14:textId="77777777" w:rsidR="00862754" w:rsidRPr="00862754" w:rsidDel="00C47F03"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66D07472" w14:textId="77777777" w:rsidR="00862754" w:rsidRPr="00862754" w:rsidDel="00C47F03" w:rsidRDefault="00862754" w:rsidP="00862754">
            <w:pPr>
              <w:snapToGrid w:val="0"/>
              <w:spacing w:before="40" w:after="40"/>
              <w:rPr>
                <w:sz w:val="17"/>
                <w:lang w:eastAsia="en-GB"/>
              </w:rPr>
            </w:pPr>
          </w:p>
        </w:tc>
      </w:tr>
      <w:tr w:rsidR="00862754" w:rsidRPr="00862754" w:rsidDel="00C47F03" w14:paraId="3065C70A" w14:textId="77777777" w:rsidTr="00862754">
        <w:trPr>
          <w:cantSplit/>
          <w:trHeight w:val="283"/>
        </w:trPr>
        <w:tc>
          <w:tcPr>
            <w:tcW w:w="567" w:type="dxa"/>
            <w:tcBorders>
              <w:left w:val="nil"/>
              <w:right w:val="single" w:sz="4" w:space="0" w:color="auto"/>
            </w:tcBorders>
          </w:tcPr>
          <w:p w14:paraId="130FC728" w14:textId="77777777" w:rsidR="00862754" w:rsidRPr="00862754" w:rsidDel="00C47F03" w:rsidRDefault="00862754" w:rsidP="00862754">
            <w:pPr>
              <w:snapToGrid w:val="0"/>
              <w:spacing w:before="40" w:after="40"/>
              <w:rPr>
                <w:rFonts w:cs="Segoe UI"/>
                <w:sz w:val="16"/>
                <w:szCs w:val="16"/>
                <w:lang w:eastAsia="en-GB"/>
              </w:rPr>
            </w:pPr>
            <w:r w:rsidRPr="00862754">
              <w:rPr>
                <w:rFonts w:cs="Segoe UI"/>
                <w:sz w:val="16"/>
                <w:szCs w:val="16"/>
                <w:lang w:eastAsia="en-GB"/>
              </w:rPr>
              <w:t>11a</w:t>
            </w:r>
          </w:p>
        </w:tc>
        <w:tc>
          <w:tcPr>
            <w:tcW w:w="3261" w:type="dxa"/>
            <w:tcBorders>
              <w:left w:val="nil"/>
              <w:right w:val="single" w:sz="4" w:space="0" w:color="auto"/>
            </w:tcBorders>
          </w:tcPr>
          <w:p w14:paraId="5F580D1D" w14:textId="77777777" w:rsidR="00862754" w:rsidRPr="00862754" w:rsidDel="00C47F03"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現金及黃金</w:t>
            </w:r>
          </w:p>
        </w:tc>
        <w:tc>
          <w:tcPr>
            <w:tcW w:w="1807" w:type="dxa"/>
            <w:tcBorders>
              <w:left w:val="single" w:sz="4" w:space="0" w:color="auto"/>
              <w:right w:val="single" w:sz="4" w:space="0" w:color="auto"/>
            </w:tcBorders>
          </w:tcPr>
          <w:p w14:paraId="4FFC0B98" w14:textId="77777777" w:rsidR="00862754" w:rsidRPr="00862754" w:rsidDel="00C47F03"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13559BF1" w14:textId="77777777" w:rsidR="00862754" w:rsidRPr="00862754" w:rsidDel="00C47F03" w:rsidRDefault="00862754" w:rsidP="00862754">
            <w:pPr>
              <w:snapToGrid w:val="0"/>
              <w:spacing w:before="40" w:after="40"/>
              <w:rPr>
                <w:sz w:val="17"/>
                <w:lang w:eastAsia="en-GB"/>
              </w:rPr>
            </w:pPr>
          </w:p>
        </w:tc>
        <w:tc>
          <w:tcPr>
            <w:tcW w:w="1807" w:type="dxa"/>
            <w:tcBorders>
              <w:left w:val="single" w:sz="4" w:space="0" w:color="auto"/>
              <w:right w:val="single" w:sz="4" w:space="0" w:color="auto"/>
            </w:tcBorders>
          </w:tcPr>
          <w:p w14:paraId="564C183C" w14:textId="77777777" w:rsidR="00862754" w:rsidRPr="00862754" w:rsidDel="00C47F03" w:rsidRDefault="00862754" w:rsidP="00862754">
            <w:pPr>
              <w:snapToGrid w:val="0"/>
              <w:spacing w:before="40" w:after="40"/>
              <w:rPr>
                <w:sz w:val="17"/>
                <w:lang w:eastAsia="en-GB"/>
              </w:rPr>
            </w:pPr>
          </w:p>
        </w:tc>
        <w:tc>
          <w:tcPr>
            <w:tcW w:w="1808" w:type="dxa"/>
            <w:tcBorders>
              <w:left w:val="single" w:sz="4" w:space="0" w:color="auto"/>
              <w:right w:val="single" w:sz="4" w:space="0" w:color="auto"/>
            </w:tcBorders>
          </w:tcPr>
          <w:p w14:paraId="404A8BAA" w14:textId="77777777" w:rsidR="00862754" w:rsidRPr="00862754" w:rsidDel="00C47F03"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06DCD8BF" w14:textId="77777777" w:rsidR="00862754" w:rsidRPr="00862754" w:rsidDel="00C47F03"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6173BEA6" w14:textId="77777777" w:rsidR="00862754" w:rsidRPr="00862754" w:rsidDel="00C47F03" w:rsidRDefault="00862754" w:rsidP="00862754">
            <w:pPr>
              <w:snapToGrid w:val="0"/>
              <w:spacing w:before="40" w:after="40"/>
              <w:rPr>
                <w:sz w:val="17"/>
                <w:lang w:eastAsia="en-GB"/>
              </w:rPr>
            </w:pPr>
          </w:p>
        </w:tc>
      </w:tr>
      <w:tr w:rsidR="00862754" w:rsidRPr="00862754" w:rsidDel="00C47F03" w14:paraId="37379A7B" w14:textId="77777777" w:rsidTr="00862754">
        <w:trPr>
          <w:cantSplit/>
          <w:trHeight w:val="283"/>
        </w:trPr>
        <w:tc>
          <w:tcPr>
            <w:tcW w:w="567" w:type="dxa"/>
            <w:tcBorders>
              <w:left w:val="nil"/>
              <w:right w:val="single" w:sz="4" w:space="0" w:color="auto"/>
            </w:tcBorders>
          </w:tcPr>
          <w:p w14:paraId="4B919137" w14:textId="77777777" w:rsidR="00862754" w:rsidRPr="00862754" w:rsidDel="00C47F03" w:rsidRDefault="00862754" w:rsidP="00862754">
            <w:pPr>
              <w:snapToGrid w:val="0"/>
              <w:spacing w:before="40" w:after="40"/>
              <w:rPr>
                <w:rFonts w:cs="Segoe UI"/>
                <w:sz w:val="16"/>
                <w:szCs w:val="16"/>
                <w:lang w:eastAsia="en-GB"/>
              </w:rPr>
            </w:pPr>
            <w:r w:rsidRPr="00862754">
              <w:rPr>
                <w:rFonts w:cs="Segoe UI"/>
                <w:sz w:val="16"/>
                <w:szCs w:val="16"/>
                <w:lang w:eastAsia="en-GB"/>
              </w:rPr>
              <w:t>11b</w:t>
            </w:r>
          </w:p>
        </w:tc>
        <w:tc>
          <w:tcPr>
            <w:tcW w:w="3261" w:type="dxa"/>
            <w:tcBorders>
              <w:left w:val="nil"/>
              <w:right w:val="single" w:sz="4" w:space="0" w:color="auto"/>
            </w:tcBorders>
          </w:tcPr>
          <w:p w14:paraId="2A7CC8DE" w14:textId="77777777" w:rsidR="00862754" w:rsidRPr="00862754" w:rsidDel="00C47F03"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處於結算</w:t>
            </w:r>
            <w:proofErr w:type="gramStart"/>
            <w:r w:rsidRPr="00862754">
              <w:rPr>
                <w:rFonts w:ascii="Calibri" w:eastAsia="細明體" w:hAnsi="Calibri" w:hint="eastAsia"/>
                <w:sz w:val="16"/>
                <w:szCs w:val="16"/>
                <w:lang w:eastAsia="zh-TW"/>
              </w:rPr>
              <w:t>或交收過程</w:t>
            </w:r>
            <w:proofErr w:type="gramEnd"/>
            <w:r w:rsidRPr="00862754">
              <w:rPr>
                <w:rFonts w:ascii="Calibri" w:eastAsia="細明體" w:hAnsi="Calibri" w:hint="eastAsia"/>
                <w:sz w:val="16"/>
                <w:szCs w:val="16"/>
                <w:lang w:eastAsia="zh-TW"/>
              </w:rPr>
              <w:t>中的項目</w:t>
            </w:r>
          </w:p>
        </w:tc>
        <w:tc>
          <w:tcPr>
            <w:tcW w:w="1807" w:type="dxa"/>
            <w:tcBorders>
              <w:left w:val="single" w:sz="4" w:space="0" w:color="auto"/>
              <w:right w:val="single" w:sz="4" w:space="0" w:color="auto"/>
            </w:tcBorders>
          </w:tcPr>
          <w:p w14:paraId="1032B6FB" w14:textId="77777777" w:rsidR="00862754" w:rsidRPr="00862754" w:rsidDel="00C47F03"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04A275DB" w14:textId="77777777" w:rsidR="00862754" w:rsidRPr="00862754" w:rsidDel="00C47F03" w:rsidRDefault="00862754" w:rsidP="00862754">
            <w:pPr>
              <w:snapToGrid w:val="0"/>
              <w:spacing w:before="40" w:after="40"/>
              <w:rPr>
                <w:sz w:val="17"/>
                <w:lang w:eastAsia="zh-TW"/>
              </w:rPr>
            </w:pPr>
          </w:p>
        </w:tc>
        <w:tc>
          <w:tcPr>
            <w:tcW w:w="1807" w:type="dxa"/>
            <w:tcBorders>
              <w:left w:val="single" w:sz="4" w:space="0" w:color="auto"/>
              <w:right w:val="single" w:sz="4" w:space="0" w:color="auto"/>
            </w:tcBorders>
          </w:tcPr>
          <w:p w14:paraId="67900EA6" w14:textId="77777777" w:rsidR="00862754" w:rsidRPr="00862754" w:rsidDel="00C47F03" w:rsidRDefault="00862754" w:rsidP="00862754">
            <w:pPr>
              <w:snapToGrid w:val="0"/>
              <w:spacing w:before="40" w:after="40"/>
              <w:rPr>
                <w:sz w:val="17"/>
                <w:lang w:eastAsia="zh-TW"/>
              </w:rPr>
            </w:pPr>
          </w:p>
        </w:tc>
        <w:tc>
          <w:tcPr>
            <w:tcW w:w="1808" w:type="dxa"/>
            <w:tcBorders>
              <w:left w:val="single" w:sz="4" w:space="0" w:color="auto"/>
              <w:right w:val="single" w:sz="4" w:space="0" w:color="auto"/>
            </w:tcBorders>
          </w:tcPr>
          <w:p w14:paraId="1C8EEA12" w14:textId="77777777" w:rsidR="00862754" w:rsidRPr="00862754" w:rsidDel="00C47F03"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31B6805E" w14:textId="77777777" w:rsidR="00862754" w:rsidRPr="00862754" w:rsidDel="00C47F03"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41676918" w14:textId="77777777" w:rsidR="00862754" w:rsidRPr="00862754" w:rsidDel="00C47F03" w:rsidRDefault="00862754" w:rsidP="00862754">
            <w:pPr>
              <w:snapToGrid w:val="0"/>
              <w:spacing w:before="40" w:after="40"/>
              <w:rPr>
                <w:sz w:val="17"/>
                <w:lang w:eastAsia="zh-TW"/>
              </w:rPr>
            </w:pPr>
          </w:p>
        </w:tc>
      </w:tr>
      <w:tr w:rsidR="00862754" w:rsidRPr="00862754" w14:paraId="2F6312C8" w14:textId="77777777" w:rsidTr="00862754">
        <w:trPr>
          <w:cantSplit/>
          <w:trHeight w:val="283"/>
        </w:trPr>
        <w:tc>
          <w:tcPr>
            <w:tcW w:w="567" w:type="dxa"/>
            <w:tcBorders>
              <w:left w:val="nil"/>
              <w:bottom w:val="single" w:sz="4" w:space="0" w:color="auto"/>
              <w:right w:val="single" w:sz="4" w:space="0" w:color="auto"/>
            </w:tcBorders>
          </w:tcPr>
          <w:p w14:paraId="6B2E3593"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12</w:t>
            </w:r>
          </w:p>
        </w:tc>
        <w:tc>
          <w:tcPr>
            <w:tcW w:w="3261" w:type="dxa"/>
            <w:tcBorders>
              <w:left w:val="nil"/>
              <w:bottom w:val="single" w:sz="4" w:space="0" w:color="auto"/>
              <w:right w:val="single" w:sz="4" w:space="0" w:color="auto"/>
            </w:tcBorders>
          </w:tcPr>
          <w:p w14:paraId="66CA40E3" w14:textId="77777777" w:rsidR="00862754" w:rsidRPr="00862754" w:rsidRDefault="00862754" w:rsidP="00862754">
            <w:pPr>
              <w:snapToGrid w:val="0"/>
              <w:spacing w:before="40" w:after="40"/>
              <w:rPr>
                <w:rFonts w:ascii="Calibri" w:eastAsia="細明體" w:hAnsi="Calibri"/>
                <w:b/>
                <w:sz w:val="16"/>
                <w:szCs w:val="16"/>
                <w:lang w:eastAsia="zh-CN"/>
              </w:rPr>
            </w:pPr>
            <w:r w:rsidRPr="00862754">
              <w:rPr>
                <w:rFonts w:ascii="Calibri" w:eastAsia="細明體" w:hAnsi="Calibri" w:hint="eastAsia"/>
                <w:b/>
                <w:sz w:val="16"/>
                <w:szCs w:val="16"/>
                <w:lang w:eastAsia="zh-CN"/>
              </w:rPr>
              <w:t>總計</w:t>
            </w:r>
          </w:p>
        </w:tc>
        <w:tc>
          <w:tcPr>
            <w:tcW w:w="1807" w:type="dxa"/>
            <w:tcBorders>
              <w:left w:val="single" w:sz="4" w:space="0" w:color="auto"/>
              <w:bottom w:val="single" w:sz="4" w:space="0" w:color="auto"/>
              <w:right w:val="single" w:sz="4" w:space="0" w:color="auto"/>
            </w:tcBorders>
          </w:tcPr>
          <w:p w14:paraId="7828214C" w14:textId="77777777" w:rsidR="00862754" w:rsidRPr="00862754" w:rsidRDefault="00862754" w:rsidP="00862754">
            <w:pPr>
              <w:snapToGrid w:val="0"/>
              <w:spacing w:before="40" w:after="40"/>
              <w:rPr>
                <w:sz w:val="17"/>
                <w:lang w:eastAsia="en-GB"/>
              </w:rPr>
            </w:pPr>
          </w:p>
        </w:tc>
        <w:tc>
          <w:tcPr>
            <w:tcW w:w="1807" w:type="dxa"/>
            <w:tcBorders>
              <w:left w:val="single" w:sz="4" w:space="0" w:color="auto"/>
              <w:bottom w:val="single" w:sz="4" w:space="0" w:color="auto"/>
              <w:right w:val="single" w:sz="4" w:space="0" w:color="auto"/>
            </w:tcBorders>
          </w:tcPr>
          <w:p w14:paraId="369262D6" w14:textId="77777777" w:rsidR="00862754" w:rsidRPr="00862754" w:rsidRDefault="00862754" w:rsidP="00862754">
            <w:pPr>
              <w:snapToGrid w:val="0"/>
              <w:spacing w:before="40" w:after="40"/>
              <w:rPr>
                <w:sz w:val="17"/>
                <w:lang w:eastAsia="en-GB"/>
              </w:rPr>
            </w:pPr>
          </w:p>
        </w:tc>
        <w:tc>
          <w:tcPr>
            <w:tcW w:w="1807" w:type="dxa"/>
            <w:tcBorders>
              <w:left w:val="single" w:sz="4" w:space="0" w:color="auto"/>
              <w:bottom w:val="single" w:sz="4" w:space="0" w:color="auto"/>
              <w:right w:val="single" w:sz="4" w:space="0" w:color="auto"/>
            </w:tcBorders>
          </w:tcPr>
          <w:p w14:paraId="28E679E5" w14:textId="77777777" w:rsidR="00862754" w:rsidRPr="00862754" w:rsidRDefault="00862754" w:rsidP="00862754">
            <w:pPr>
              <w:snapToGrid w:val="0"/>
              <w:spacing w:before="40" w:after="40"/>
              <w:rPr>
                <w:sz w:val="17"/>
                <w:lang w:eastAsia="en-GB"/>
              </w:rPr>
            </w:pPr>
          </w:p>
        </w:tc>
        <w:tc>
          <w:tcPr>
            <w:tcW w:w="1808" w:type="dxa"/>
            <w:tcBorders>
              <w:left w:val="single" w:sz="4" w:space="0" w:color="auto"/>
              <w:bottom w:val="single" w:sz="4" w:space="0" w:color="auto"/>
              <w:right w:val="single" w:sz="4" w:space="0" w:color="auto"/>
            </w:tcBorders>
          </w:tcPr>
          <w:p w14:paraId="2CDF0AFA" w14:textId="77777777" w:rsidR="00862754" w:rsidRPr="00862754" w:rsidRDefault="00862754" w:rsidP="00862754">
            <w:pPr>
              <w:snapToGrid w:val="0"/>
              <w:spacing w:before="40" w:after="40"/>
              <w:rPr>
                <w:sz w:val="17"/>
                <w:lang w:eastAsia="en-GB"/>
              </w:rPr>
            </w:pPr>
          </w:p>
        </w:tc>
        <w:tc>
          <w:tcPr>
            <w:tcW w:w="1417" w:type="dxa"/>
            <w:tcBorders>
              <w:left w:val="single" w:sz="4" w:space="0" w:color="auto"/>
              <w:bottom w:val="single" w:sz="4" w:space="0" w:color="auto"/>
              <w:right w:val="single" w:sz="4" w:space="0" w:color="auto"/>
            </w:tcBorders>
          </w:tcPr>
          <w:p w14:paraId="03B4E8EC" w14:textId="77777777" w:rsidR="00862754" w:rsidRPr="00862754" w:rsidRDefault="00862754" w:rsidP="00862754">
            <w:pPr>
              <w:snapToGrid w:val="0"/>
              <w:spacing w:before="40" w:after="40"/>
              <w:rPr>
                <w:sz w:val="17"/>
                <w:lang w:eastAsia="en-GB"/>
              </w:rPr>
            </w:pPr>
          </w:p>
        </w:tc>
        <w:tc>
          <w:tcPr>
            <w:tcW w:w="1418" w:type="dxa"/>
            <w:tcBorders>
              <w:left w:val="single" w:sz="4" w:space="0" w:color="auto"/>
              <w:bottom w:val="single" w:sz="4" w:space="0" w:color="auto"/>
              <w:right w:val="single" w:sz="4" w:space="0" w:color="auto"/>
            </w:tcBorders>
          </w:tcPr>
          <w:p w14:paraId="4E585FE1" w14:textId="77777777" w:rsidR="00862754" w:rsidRPr="00862754" w:rsidRDefault="00862754" w:rsidP="00862754">
            <w:pPr>
              <w:snapToGrid w:val="0"/>
              <w:spacing w:before="40" w:after="40"/>
              <w:rPr>
                <w:sz w:val="17"/>
                <w:lang w:eastAsia="en-GB"/>
              </w:rPr>
            </w:pPr>
          </w:p>
        </w:tc>
      </w:tr>
    </w:tbl>
    <w:p w14:paraId="6FA7FBDB" w14:textId="77777777" w:rsidR="00272D6C" w:rsidRPr="00272D6C" w:rsidRDefault="00272D6C" w:rsidP="00272D6C">
      <w:pPr>
        <w:suppressAutoHyphens/>
        <w:spacing w:before="40" w:after="40"/>
        <w:rPr>
          <w:rFonts w:eastAsia="細明體" w:cs="Segoe UI"/>
          <w:u w:val="single"/>
          <w:lang w:eastAsia="ar-SA"/>
        </w:rPr>
      </w:pPr>
    </w:p>
    <w:p w14:paraId="1A75FA9F" w14:textId="77777777" w:rsidR="00272D6C" w:rsidRPr="00272D6C" w:rsidRDefault="00272D6C" w:rsidP="00272D6C">
      <w:pPr>
        <w:suppressAutoHyphens/>
        <w:spacing w:before="40" w:after="40"/>
        <w:rPr>
          <w:rFonts w:eastAsia="細明體" w:cs="Segoe UI"/>
          <w:u w:val="single"/>
          <w:lang w:eastAsia="ar-SA"/>
        </w:rPr>
      </w:pPr>
    </w:p>
    <w:p w14:paraId="57204A82" w14:textId="3E3BE76D" w:rsidR="00272D6C" w:rsidRDefault="00272D6C" w:rsidP="00272D6C">
      <w:pPr>
        <w:suppressAutoHyphens/>
        <w:spacing w:before="40" w:after="40"/>
        <w:rPr>
          <w:rFonts w:eastAsia="細明體" w:cs="Segoe UI"/>
          <w:u w:val="single"/>
          <w:lang w:eastAsia="ar-SA"/>
        </w:rPr>
      </w:pPr>
    </w:p>
    <w:p w14:paraId="1B2A2920" w14:textId="62CE1BC2" w:rsidR="00B3752A" w:rsidRDefault="00B3752A" w:rsidP="00272D6C">
      <w:pPr>
        <w:suppressAutoHyphens/>
        <w:spacing w:before="40" w:after="40"/>
        <w:rPr>
          <w:rFonts w:eastAsia="細明體" w:cs="Segoe UI"/>
          <w:u w:val="single"/>
          <w:lang w:eastAsia="ar-SA"/>
        </w:rPr>
      </w:pPr>
    </w:p>
    <w:p w14:paraId="180BD133" w14:textId="77777777" w:rsidR="00B3752A" w:rsidRDefault="00B3752A" w:rsidP="00272D6C">
      <w:pPr>
        <w:suppressAutoHyphens/>
        <w:spacing w:before="40" w:after="40"/>
        <w:rPr>
          <w:rFonts w:eastAsia="細明體" w:cs="Segoe UI"/>
          <w:u w:val="single"/>
          <w:lang w:eastAsia="ar-SA"/>
        </w:rPr>
      </w:pPr>
    </w:p>
    <w:p w14:paraId="48FD11D1" w14:textId="07250BA5" w:rsidR="00272D6C" w:rsidRPr="00272D6C" w:rsidRDefault="00272D6C" w:rsidP="002C41F9">
      <w:pPr>
        <w:suppressAutoHyphens/>
        <w:rPr>
          <w:rFonts w:cs="Segoe UI"/>
          <w:lang w:eastAsia="ar-SA"/>
        </w:rPr>
      </w:pPr>
      <w:r w:rsidRPr="00272D6C">
        <w:rPr>
          <w:rFonts w:eastAsia="細明體" w:cs="Segoe UI" w:hint="eastAsia"/>
          <w:u w:val="single"/>
          <w:lang w:eastAsia="ar-SA"/>
        </w:rPr>
        <w:t>供使用</w:t>
      </w:r>
      <w:r w:rsidRPr="00272D6C">
        <w:rPr>
          <w:rFonts w:eastAsia="細明體" w:cs="Segoe UI"/>
          <w:u w:val="single"/>
          <w:lang w:eastAsia="ar-SA"/>
        </w:rPr>
        <w:t>BSC</w:t>
      </w:r>
      <w:r w:rsidRPr="00272D6C">
        <w:rPr>
          <w:rFonts w:eastAsia="細明體" w:cs="Segoe UI" w:hint="eastAsia"/>
          <w:u w:val="single"/>
          <w:lang w:eastAsia="ar-SA"/>
        </w:rPr>
        <w:t>計算法的認可機構使用的版本（「</w:t>
      </w:r>
      <w:r w:rsidRPr="00272D6C">
        <w:rPr>
          <w:rFonts w:eastAsia="細明體" w:cs="Segoe UI"/>
          <w:u w:val="single"/>
          <w:lang w:eastAsia="ar-SA"/>
        </w:rPr>
        <w:t>BSC</w:t>
      </w:r>
      <w:r w:rsidRPr="00272D6C">
        <w:rPr>
          <w:rFonts w:eastAsia="細明體" w:cs="Segoe UI" w:hint="eastAsia"/>
          <w:u w:val="single"/>
          <w:lang w:eastAsia="ar-SA"/>
        </w:rPr>
        <w:t>版本」）</w:t>
      </w:r>
    </w:p>
    <w:p w14:paraId="50FF7FFC" w14:textId="60DAF429" w:rsidR="00272D6C" w:rsidRPr="008409C3" w:rsidRDefault="00272D6C" w:rsidP="002C41F9">
      <w:pPr>
        <w:suppressAutoHyphens/>
        <w:rPr>
          <w:rFonts w:eastAsia="細明體" w:cs="Segoe UI"/>
          <w:sz w:val="16"/>
          <w:szCs w:val="16"/>
          <w:u w:val="single"/>
          <w:lang w:eastAsia="ar-SA"/>
        </w:rPr>
      </w:pPr>
    </w:p>
    <w:tbl>
      <w:tblPr>
        <w:tblW w:w="0" w:type="auto"/>
        <w:tblInd w:w="108"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A0" w:firstRow="1" w:lastRow="0" w:firstColumn="1" w:lastColumn="0" w:noHBand="1" w:noVBand="1"/>
      </w:tblPr>
      <w:tblGrid>
        <w:gridCol w:w="567"/>
        <w:gridCol w:w="3402"/>
        <w:gridCol w:w="1843"/>
        <w:gridCol w:w="1701"/>
        <w:gridCol w:w="1843"/>
        <w:gridCol w:w="1701"/>
        <w:gridCol w:w="1417"/>
        <w:gridCol w:w="1418"/>
      </w:tblGrid>
      <w:tr w:rsidR="00862754" w:rsidRPr="00862754" w14:paraId="362163C1" w14:textId="77777777" w:rsidTr="002C41F9">
        <w:trPr>
          <w:cantSplit/>
          <w:tblHeader/>
        </w:trPr>
        <w:tc>
          <w:tcPr>
            <w:tcW w:w="567" w:type="dxa"/>
            <w:tcBorders>
              <w:top w:val="nil"/>
              <w:left w:val="nil"/>
              <w:bottom w:val="nil"/>
              <w:right w:val="nil"/>
            </w:tcBorders>
          </w:tcPr>
          <w:p w14:paraId="6DB5DDE6" w14:textId="77777777" w:rsidR="00862754" w:rsidRPr="00862754" w:rsidRDefault="00862754" w:rsidP="00862754">
            <w:pPr>
              <w:snapToGrid w:val="0"/>
              <w:spacing w:before="40" w:after="40"/>
              <w:jc w:val="center"/>
              <w:rPr>
                <w:rFonts w:cs="Segoe UI"/>
                <w:sz w:val="17"/>
                <w:lang w:eastAsia="zh-TW"/>
              </w:rPr>
            </w:pPr>
          </w:p>
        </w:tc>
        <w:tc>
          <w:tcPr>
            <w:tcW w:w="3402" w:type="dxa"/>
            <w:tcBorders>
              <w:top w:val="nil"/>
              <w:left w:val="nil"/>
              <w:bottom w:val="nil"/>
              <w:right w:val="single" w:sz="4" w:space="0" w:color="auto"/>
            </w:tcBorders>
            <w:vAlign w:val="center"/>
          </w:tcPr>
          <w:p w14:paraId="750EA10F" w14:textId="77777777" w:rsidR="00862754" w:rsidRPr="00862754" w:rsidRDefault="00862754" w:rsidP="00862754">
            <w:pPr>
              <w:snapToGrid w:val="0"/>
              <w:spacing w:before="40" w:after="40"/>
              <w:jc w:val="center"/>
              <w:rPr>
                <w:rFonts w:cs="Segoe UI"/>
                <w:sz w:val="17"/>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4D45BADA"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(a)</w:t>
            </w:r>
          </w:p>
        </w:tc>
        <w:tc>
          <w:tcPr>
            <w:tcW w:w="1701" w:type="dxa"/>
            <w:tcBorders>
              <w:top w:val="single" w:sz="4" w:space="0" w:color="auto"/>
              <w:left w:val="single" w:sz="4" w:space="0" w:color="auto"/>
              <w:bottom w:val="single" w:sz="4" w:space="0" w:color="auto"/>
              <w:right w:val="single" w:sz="4" w:space="0" w:color="auto"/>
            </w:tcBorders>
            <w:vAlign w:val="center"/>
          </w:tcPr>
          <w:p w14:paraId="071E2786"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(b)</w:t>
            </w:r>
          </w:p>
        </w:tc>
        <w:tc>
          <w:tcPr>
            <w:tcW w:w="1843" w:type="dxa"/>
            <w:tcBorders>
              <w:top w:val="single" w:sz="4" w:space="0" w:color="auto"/>
              <w:left w:val="single" w:sz="4" w:space="0" w:color="auto"/>
              <w:bottom w:val="single" w:sz="4" w:space="0" w:color="auto"/>
              <w:right w:val="single" w:sz="4" w:space="0" w:color="auto"/>
            </w:tcBorders>
            <w:vAlign w:val="center"/>
          </w:tcPr>
          <w:p w14:paraId="2ADEE97E"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(c)</w:t>
            </w:r>
          </w:p>
        </w:tc>
        <w:tc>
          <w:tcPr>
            <w:tcW w:w="1701" w:type="dxa"/>
            <w:tcBorders>
              <w:top w:val="single" w:sz="4" w:space="0" w:color="auto"/>
              <w:left w:val="single" w:sz="4" w:space="0" w:color="auto"/>
              <w:bottom w:val="single" w:sz="4" w:space="0" w:color="auto"/>
              <w:right w:val="single" w:sz="4" w:space="0" w:color="auto"/>
            </w:tcBorders>
            <w:vAlign w:val="center"/>
          </w:tcPr>
          <w:p w14:paraId="44B047E3" w14:textId="77777777" w:rsidR="00862754" w:rsidRPr="00862754" w:rsidRDefault="00862754" w:rsidP="00862754">
            <w:pPr>
              <w:snapToGrid w:val="0"/>
              <w:spacing w:before="40" w:after="40"/>
              <w:jc w:val="center"/>
              <w:rPr>
                <w:rFonts w:cs="Segoe UI"/>
                <w:bCs/>
                <w:sz w:val="17"/>
                <w:szCs w:val="17"/>
                <w:lang w:eastAsia="it-IT"/>
              </w:rPr>
            </w:pPr>
            <w:r w:rsidRPr="00862754">
              <w:rPr>
                <w:rFonts w:cs="Segoe UI"/>
                <w:bCs/>
                <w:sz w:val="17"/>
                <w:szCs w:val="17"/>
                <w:lang w:eastAsia="it-IT"/>
              </w:rPr>
              <w:t>(d)</w:t>
            </w:r>
          </w:p>
        </w:tc>
        <w:tc>
          <w:tcPr>
            <w:tcW w:w="1417" w:type="dxa"/>
            <w:tcBorders>
              <w:top w:val="single" w:sz="4" w:space="0" w:color="auto"/>
              <w:left w:val="single" w:sz="4" w:space="0" w:color="auto"/>
              <w:bottom w:val="single" w:sz="4" w:space="0" w:color="auto"/>
              <w:right w:val="single" w:sz="4" w:space="0" w:color="auto"/>
            </w:tcBorders>
            <w:vAlign w:val="center"/>
          </w:tcPr>
          <w:p w14:paraId="39C2A363" w14:textId="77777777" w:rsidR="00862754" w:rsidRPr="00862754" w:rsidRDefault="00862754" w:rsidP="00862754">
            <w:pPr>
              <w:snapToGrid w:val="0"/>
              <w:spacing w:before="40" w:after="40"/>
              <w:jc w:val="center"/>
              <w:rPr>
                <w:rFonts w:cs="Segoe UI"/>
                <w:sz w:val="17"/>
                <w:szCs w:val="17"/>
                <w:lang w:eastAsia="it-IT"/>
              </w:rPr>
            </w:pPr>
            <w:r w:rsidRPr="00862754">
              <w:rPr>
                <w:rFonts w:cs="Segoe UI"/>
                <w:sz w:val="17"/>
                <w:szCs w:val="17"/>
                <w:lang w:eastAsia="it-IT"/>
              </w:rPr>
              <w:t>(e)</w:t>
            </w:r>
          </w:p>
        </w:tc>
        <w:tc>
          <w:tcPr>
            <w:tcW w:w="1418" w:type="dxa"/>
            <w:tcBorders>
              <w:top w:val="single" w:sz="4" w:space="0" w:color="auto"/>
              <w:left w:val="single" w:sz="4" w:space="0" w:color="auto"/>
              <w:bottom w:val="single" w:sz="4" w:space="0" w:color="auto"/>
              <w:right w:val="single" w:sz="4" w:space="0" w:color="auto"/>
            </w:tcBorders>
            <w:vAlign w:val="center"/>
          </w:tcPr>
          <w:p w14:paraId="7B02D139" w14:textId="77777777" w:rsidR="00862754" w:rsidRPr="00862754" w:rsidRDefault="00862754" w:rsidP="00862754">
            <w:pPr>
              <w:snapToGrid w:val="0"/>
              <w:spacing w:before="40" w:after="40"/>
              <w:jc w:val="center"/>
              <w:rPr>
                <w:rFonts w:cs="Segoe UI"/>
                <w:sz w:val="17"/>
                <w:szCs w:val="17"/>
                <w:lang w:eastAsia="it-IT"/>
              </w:rPr>
            </w:pPr>
            <w:r w:rsidRPr="00862754">
              <w:rPr>
                <w:rFonts w:cs="Segoe UI"/>
                <w:sz w:val="17"/>
                <w:szCs w:val="17"/>
                <w:lang w:eastAsia="it-IT"/>
              </w:rPr>
              <w:t>(f)</w:t>
            </w:r>
          </w:p>
        </w:tc>
      </w:tr>
      <w:tr w:rsidR="00862754" w:rsidRPr="00862754" w14:paraId="19C6A831" w14:textId="77777777" w:rsidTr="00034CB4">
        <w:trPr>
          <w:cantSplit/>
          <w:tblHeader/>
        </w:trPr>
        <w:tc>
          <w:tcPr>
            <w:tcW w:w="567" w:type="dxa"/>
            <w:tcBorders>
              <w:top w:val="nil"/>
              <w:left w:val="nil"/>
              <w:bottom w:val="nil"/>
              <w:right w:val="nil"/>
            </w:tcBorders>
          </w:tcPr>
          <w:p w14:paraId="39FCBA41" w14:textId="77777777" w:rsidR="00862754" w:rsidRPr="00862754" w:rsidRDefault="00862754" w:rsidP="00862754">
            <w:pPr>
              <w:snapToGrid w:val="0"/>
              <w:spacing w:before="40" w:after="40"/>
              <w:rPr>
                <w:rFonts w:eastAsia="新細明體" w:cs="Segoe UI"/>
                <w:b/>
                <w:sz w:val="17"/>
                <w:lang w:eastAsia="zh-TW"/>
              </w:rPr>
            </w:pPr>
          </w:p>
        </w:tc>
        <w:tc>
          <w:tcPr>
            <w:tcW w:w="3402" w:type="dxa"/>
            <w:tcBorders>
              <w:top w:val="nil"/>
              <w:left w:val="nil"/>
              <w:bottom w:val="single" w:sz="4" w:space="0" w:color="auto"/>
              <w:right w:val="single" w:sz="4" w:space="0" w:color="auto"/>
            </w:tcBorders>
            <w:vAlign w:val="center"/>
          </w:tcPr>
          <w:p w14:paraId="2F8232F8" w14:textId="77777777" w:rsidR="00862754" w:rsidRPr="00862754" w:rsidRDefault="00862754" w:rsidP="00862754">
            <w:pPr>
              <w:snapToGrid w:val="0"/>
              <w:spacing w:before="40" w:after="40"/>
              <w:rPr>
                <w:rFonts w:cs="Segoe UI"/>
                <w:b/>
                <w:sz w:val="17"/>
                <w:lang w:eastAsia="en-GB"/>
              </w:rPr>
            </w:pPr>
          </w:p>
        </w:tc>
        <w:tc>
          <w:tcPr>
            <w:tcW w:w="3544" w:type="dxa"/>
            <w:gridSpan w:val="2"/>
            <w:tcBorders>
              <w:top w:val="single" w:sz="4" w:space="0" w:color="000000"/>
              <w:left w:val="single" w:sz="4" w:space="0" w:color="000000"/>
              <w:bottom w:val="single" w:sz="4" w:space="0" w:color="000000"/>
            </w:tcBorders>
            <w:shd w:val="clear" w:color="auto" w:fill="auto"/>
            <w:vAlign w:val="center"/>
          </w:tcPr>
          <w:p w14:paraId="30EA2864" w14:textId="23E0FC62" w:rsidR="00862754" w:rsidRPr="00862754" w:rsidRDefault="00862754" w:rsidP="00862754">
            <w:pPr>
              <w:snapToGrid w:val="0"/>
              <w:spacing w:before="40" w:after="40"/>
              <w:jc w:val="center"/>
              <w:rPr>
                <w:rFonts w:ascii="Calibri" w:eastAsia="細明體" w:hAnsi="Calibri"/>
                <w:b/>
                <w:sz w:val="16"/>
                <w:szCs w:val="16"/>
                <w:lang w:eastAsia="zh-TW"/>
              </w:rPr>
            </w:pPr>
            <w:r w:rsidRPr="00862754">
              <w:rPr>
                <w:rFonts w:ascii="Calibri" w:eastAsia="細明體" w:hAnsi="Calibri" w:hint="eastAsia"/>
                <w:b/>
                <w:sz w:val="16"/>
                <w:szCs w:val="16"/>
                <w:lang w:eastAsia="zh-TW"/>
              </w:rPr>
              <w:t>未將</w:t>
            </w:r>
            <w:r w:rsidR="00980FD3" w:rsidRPr="00792E2D">
              <w:rPr>
                <w:rFonts w:eastAsia="細明體" w:cs="Segoe UI"/>
                <w:b/>
                <w:sz w:val="16"/>
                <w:szCs w:val="16"/>
                <w:lang w:eastAsia="ar-SA"/>
              </w:rPr>
              <w:t>CCF</w:t>
            </w:r>
            <w:r w:rsidRPr="00862754">
              <w:rPr>
                <w:rFonts w:ascii="Calibri" w:eastAsia="細明體" w:hAnsi="Calibri" w:hint="eastAsia"/>
                <w:b/>
                <w:sz w:val="16"/>
                <w:szCs w:val="16"/>
                <w:lang w:eastAsia="zh-TW"/>
              </w:rPr>
              <w:t>及減低信用風險措施</w:t>
            </w:r>
            <w:r w:rsidRPr="00862754">
              <w:rPr>
                <w:rFonts w:ascii="細明體" w:eastAsia="細明體" w:hAnsi="細明體" w:cs="細明體" w:hint="eastAsia"/>
                <w:b/>
                <w:color w:val="222222"/>
                <w:sz w:val="16"/>
                <w:szCs w:val="16"/>
                <w:lang w:eastAsia="zh-TW"/>
              </w:rPr>
              <w:t>計算在內</w:t>
            </w:r>
            <w:r w:rsidRPr="00862754">
              <w:rPr>
                <w:rFonts w:ascii="Calibri" w:eastAsia="細明體" w:hAnsi="Calibri" w:hint="eastAsia"/>
                <w:b/>
                <w:sz w:val="16"/>
                <w:szCs w:val="16"/>
                <w:lang w:eastAsia="zh-TW"/>
              </w:rPr>
              <w:t>的</w:t>
            </w:r>
          </w:p>
          <w:p w14:paraId="221C4511" w14:textId="77777777" w:rsidR="00862754" w:rsidRPr="00862754" w:rsidRDefault="00862754" w:rsidP="00862754">
            <w:pPr>
              <w:snapToGrid w:val="0"/>
              <w:spacing w:before="40" w:after="40"/>
              <w:jc w:val="center"/>
              <w:rPr>
                <w:rFonts w:cs="Segoe UI"/>
                <w:b/>
                <w:sz w:val="16"/>
                <w:szCs w:val="16"/>
                <w:lang w:eastAsia="it-IT"/>
              </w:rPr>
            </w:pPr>
            <w:r w:rsidRPr="00862754">
              <w:rPr>
                <w:rFonts w:ascii="Calibri" w:eastAsia="細明體" w:hAnsi="Calibri" w:hint="eastAsia"/>
                <w:b/>
                <w:sz w:val="16"/>
                <w:szCs w:val="16"/>
                <w:lang w:eastAsia="zh-TW"/>
              </w:rPr>
              <w:t>風險承擔</w:t>
            </w:r>
          </w:p>
        </w:tc>
        <w:tc>
          <w:tcPr>
            <w:tcW w:w="3544" w:type="dxa"/>
            <w:gridSpan w:val="2"/>
            <w:tcBorders>
              <w:top w:val="single" w:sz="4" w:space="0" w:color="000000"/>
              <w:left w:val="single" w:sz="4" w:space="0" w:color="000000"/>
              <w:bottom w:val="single" w:sz="4" w:space="0" w:color="000000"/>
            </w:tcBorders>
            <w:shd w:val="clear" w:color="auto" w:fill="auto"/>
            <w:vAlign w:val="center"/>
          </w:tcPr>
          <w:p w14:paraId="3192749E" w14:textId="5C78148D" w:rsidR="00862754" w:rsidRPr="00862754" w:rsidRDefault="00862754" w:rsidP="00862754">
            <w:pPr>
              <w:snapToGrid w:val="0"/>
              <w:spacing w:before="40" w:after="40"/>
              <w:jc w:val="center"/>
              <w:rPr>
                <w:rFonts w:ascii="Calibri" w:eastAsia="細明體" w:hAnsi="Calibri"/>
                <w:b/>
                <w:sz w:val="16"/>
                <w:szCs w:val="16"/>
                <w:lang w:eastAsia="zh-TW"/>
              </w:rPr>
            </w:pPr>
            <w:r w:rsidRPr="00862754">
              <w:rPr>
                <w:rFonts w:ascii="Calibri" w:eastAsia="細明體" w:hAnsi="Calibri" w:hint="eastAsia"/>
                <w:b/>
                <w:sz w:val="16"/>
                <w:szCs w:val="16"/>
                <w:lang w:eastAsia="zh-TW"/>
              </w:rPr>
              <w:t>已將</w:t>
            </w:r>
            <w:r w:rsidR="00980FD3" w:rsidRPr="00792E2D">
              <w:rPr>
                <w:rFonts w:eastAsia="細明體" w:cs="Segoe UI"/>
                <w:b/>
                <w:sz w:val="16"/>
                <w:szCs w:val="16"/>
                <w:lang w:eastAsia="ar-SA"/>
              </w:rPr>
              <w:t>CCF</w:t>
            </w:r>
            <w:r w:rsidRPr="00862754">
              <w:rPr>
                <w:rFonts w:ascii="Calibri" w:eastAsia="細明體" w:hAnsi="Calibri" w:hint="eastAsia"/>
                <w:b/>
                <w:sz w:val="16"/>
                <w:szCs w:val="16"/>
                <w:lang w:eastAsia="zh-TW"/>
              </w:rPr>
              <w:t>及減低信用風險措施</w:t>
            </w:r>
            <w:r w:rsidRPr="00862754">
              <w:rPr>
                <w:rFonts w:ascii="Calibri" w:eastAsia="細明體" w:hAnsi="Calibri" w:hint="eastAsia"/>
                <w:b/>
                <w:bCs/>
                <w:sz w:val="16"/>
                <w:szCs w:val="16"/>
                <w:lang w:eastAsia="zh-TW"/>
              </w:rPr>
              <w:t>計算在內</w:t>
            </w:r>
            <w:r w:rsidRPr="00862754">
              <w:rPr>
                <w:rFonts w:ascii="Calibri" w:eastAsia="細明體" w:hAnsi="Calibri" w:hint="eastAsia"/>
                <w:b/>
                <w:sz w:val="16"/>
                <w:szCs w:val="16"/>
                <w:lang w:eastAsia="zh-TW"/>
              </w:rPr>
              <w:t>的</w:t>
            </w:r>
          </w:p>
          <w:p w14:paraId="5A90AA43" w14:textId="77777777" w:rsidR="00862754" w:rsidRPr="00862754" w:rsidRDefault="00862754" w:rsidP="00862754">
            <w:pPr>
              <w:snapToGrid w:val="0"/>
              <w:spacing w:before="40" w:after="40"/>
              <w:jc w:val="center"/>
              <w:rPr>
                <w:rFonts w:cs="Segoe UI"/>
                <w:b/>
                <w:bCs/>
                <w:sz w:val="17"/>
                <w:szCs w:val="17"/>
                <w:lang w:eastAsia="it-IT"/>
              </w:rPr>
            </w:pPr>
            <w:r w:rsidRPr="00862754">
              <w:rPr>
                <w:rFonts w:ascii="Calibri" w:eastAsia="細明體" w:hAnsi="Calibri" w:hint="eastAsia"/>
                <w:b/>
                <w:sz w:val="16"/>
                <w:szCs w:val="16"/>
                <w:lang w:eastAsia="zh-TW"/>
              </w:rPr>
              <w:t>風險承擔</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E0B683" w14:textId="77777777" w:rsidR="00862754" w:rsidRPr="00862754" w:rsidRDefault="00862754" w:rsidP="00862754">
            <w:pPr>
              <w:tabs>
                <w:tab w:val="left" w:pos="2368"/>
                <w:tab w:val="right" w:leader="dot" w:pos="9242"/>
              </w:tabs>
              <w:snapToGrid w:val="0"/>
              <w:spacing w:before="40" w:after="40"/>
              <w:ind w:left="-108" w:right="-76"/>
              <w:jc w:val="center"/>
              <w:outlineLvl w:val="2"/>
              <w:rPr>
                <w:rFonts w:cs="Segoe UI"/>
                <w:b/>
                <w:noProof/>
                <w:sz w:val="16"/>
                <w:szCs w:val="16"/>
                <w:lang w:eastAsia="it-IT"/>
              </w:rPr>
            </w:pPr>
            <w:r w:rsidRPr="00862754">
              <w:rPr>
                <w:rFonts w:ascii="Calibri" w:eastAsia="細明體" w:hAnsi="Calibri" w:hint="eastAsia"/>
                <w:b/>
                <w:sz w:val="16"/>
                <w:szCs w:val="16"/>
                <w:lang w:eastAsia="zh-TW"/>
              </w:rPr>
              <w:t>風險加權數額及風險加權數額密度</w:t>
            </w:r>
          </w:p>
        </w:tc>
      </w:tr>
      <w:tr w:rsidR="00862754" w:rsidRPr="00862754" w14:paraId="65B86959" w14:textId="77777777" w:rsidTr="00034CB4">
        <w:trPr>
          <w:cantSplit/>
          <w:trHeight w:val="382"/>
          <w:tblHeader/>
        </w:trPr>
        <w:tc>
          <w:tcPr>
            <w:tcW w:w="567" w:type="dxa"/>
            <w:tcBorders>
              <w:top w:val="nil"/>
              <w:left w:val="nil"/>
              <w:bottom w:val="single" w:sz="4" w:space="0" w:color="auto"/>
              <w:right w:val="single" w:sz="4" w:space="0" w:color="auto"/>
            </w:tcBorders>
          </w:tcPr>
          <w:p w14:paraId="752F2927" w14:textId="77777777" w:rsidR="00862754" w:rsidRPr="00862754" w:rsidRDefault="00862754" w:rsidP="00862754">
            <w:pPr>
              <w:snapToGrid w:val="0"/>
              <w:spacing w:before="40" w:after="40"/>
              <w:rPr>
                <w:rFonts w:cs="Segoe UI"/>
                <w:spacing w:val="-20"/>
                <w:sz w:val="17"/>
                <w:lang w:eastAsia="zh-TW"/>
              </w:rPr>
            </w:pPr>
          </w:p>
        </w:tc>
        <w:tc>
          <w:tcPr>
            <w:tcW w:w="3402" w:type="dxa"/>
            <w:tcBorders>
              <w:top w:val="single" w:sz="4" w:space="0" w:color="000000"/>
              <w:left w:val="single" w:sz="4" w:space="0" w:color="000000"/>
              <w:bottom w:val="single" w:sz="4" w:space="0" w:color="000000"/>
            </w:tcBorders>
            <w:shd w:val="clear" w:color="auto" w:fill="auto"/>
            <w:vAlign w:val="center"/>
          </w:tcPr>
          <w:p w14:paraId="2D4AB6B4" w14:textId="77777777" w:rsidR="00862754" w:rsidRPr="00862754" w:rsidRDefault="00862754" w:rsidP="00862754">
            <w:pPr>
              <w:snapToGrid w:val="0"/>
              <w:spacing w:before="40" w:after="40"/>
              <w:rPr>
                <w:rFonts w:cs="Segoe UI"/>
                <w:sz w:val="17"/>
                <w:lang w:eastAsia="en-GB"/>
              </w:rPr>
            </w:pPr>
            <w:r w:rsidRPr="00862754">
              <w:rPr>
                <w:rFonts w:ascii="Calibri" w:eastAsia="細明體" w:hAnsi="Calibri" w:hint="eastAsia"/>
                <w:sz w:val="16"/>
                <w:szCs w:val="16"/>
                <w:lang w:eastAsia="zh-CN"/>
              </w:rPr>
              <w:t>風險承</w:t>
            </w:r>
            <w:proofErr w:type="gramStart"/>
            <w:r w:rsidRPr="00862754">
              <w:rPr>
                <w:rFonts w:ascii="Calibri" w:eastAsia="細明體" w:hAnsi="Calibri" w:hint="eastAsia"/>
                <w:sz w:val="16"/>
                <w:szCs w:val="16"/>
                <w:lang w:eastAsia="zh-CN"/>
              </w:rPr>
              <w:t>擔</w:t>
            </w:r>
            <w:proofErr w:type="gramEnd"/>
            <w:r w:rsidRPr="00862754">
              <w:rPr>
                <w:rFonts w:ascii="Calibri" w:eastAsia="細明體" w:hAnsi="Calibri" w:hint="eastAsia"/>
                <w:sz w:val="16"/>
                <w:szCs w:val="16"/>
                <w:lang w:eastAsia="zh-CN"/>
              </w:rPr>
              <w:t>類別</w:t>
            </w:r>
          </w:p>
        </w:tc>
        <w:tc>
          <w:tcPr>
            <w:tcW w:w="1843" w:type="dxa"/>
            <w:tcBorders>
              <w:top w:val="single" w:sz="4" w:space="0" w:color="000000"/>
              <w:left w:val="single" w:sz="4" w:space="0" w:color="000000"/>
              <w:bottom w:val="single" w:sz="4" w:space="0" w:color="000000"/>
            </w:tcBorders>
            <w:shd w:val="clear" w:color="auto" w:fill="auto"/>
            <w:vAlign w:val="center"/>
          </w:tcPr>
          <w:p w14:paraId="264FE2D8" w14:textId="77777777" w:rsidR="00862754" w:rsidRPr="00C60999" w:rsidRDefault="00862754" w:rsidP="00862754">
            <w:pPr>
              <w:snapToGrid w:val="0"/>
              <w:spacing w:before="40" w:after="40"/>
              <w:jc w:val="center"/>
              <w:rPr>
                <w:rFonts w:ascii="Calibri" w:eastAsia="細明體" w:hAnsi="Calibri"/>
                <w:sz w:val="16"/>
                <w:szCs w:val="16"/>
                <w:lang w:eastAsia="zh-CN"/>
              </w:rPr>
            </w:pPr>
            <w:r w:rsidRPr="00C60999">
              <w:rPr>
                <w:rFonts w:ascii="Calibri" w:eastAsia="細明體" w:hAnsi="Calibri" w:hint="eastAsia"/>
                <w:sz w:val="16"/>
                <w:szCs w:val="16"/>
                <w:lang w:eastAsia="zh-CN"/>
              </w:rPr>
              <w:t>資產負</w:t>
            </w:r>
            <w:proofErr w:type="gramStart"/>
            <w:r w:rsidRPr="00C60999">
              <w:rPr>
                <w:rFonts w:ascii="Calibri" w:eastAsia="細明體" w:hAnsi="Calibri" w:hint="eastAsia"/>
                <w:sz w:val="16"/>
                <w:szCs w:val="16"/>
                <w:lang w:eastAsia="zh-CN"/>
              </w:rPr>
              <w:t>債</w:t>
            </w:r>
            <w:proofErr w:type="gramEnd"/>
            <w:r w:rsidRPr="00C60999">
              <w:rPr>
                <w:rFonts w:ascii="Calibri" w:eastAsia="細明體" w:hAnsi="Calibri" w:hint="eastAsia"/>
                <w:sz w:val="16"/>
                <w:szCs w:val="16"/>
                <w:lang w:eastAsia="zh-CN"/>
              </w:rPr>
              <w:t>表</w:t>
            </w:r>
            <w:proofErr w:type="gramStart"/>
            <w:r w:rsidRPr="00C60999">
              <w:rPr>
                <w:rFonts w:ascii="Calibri" w:eastAsia="細明體" w:hAnsi="Calibri" w:hint="eastAsia"/>
                <w:sz w:val="16"/>
                <w:szCs w:val="16"/>
                <w:lang w:eastAsia="zh-CN"/>
              </w:rPr>
              <w:t>內數</w:t>
            </w:r>
            <w:proofErr w:type="gramEnd"/>
            <w:r w:rsidRPr="00C60999">
              <w:rPr>
                <w:rFonts w:ascii="Calibri" w:eastAsia="細明體" w:hAnsi="Calibri" w:hint="eastAsia"/>
                <w:sz w:val="16"/>
                <w:szCs w:val="16"/>
                <w:lang w:eastAsia="zh-CN"/>
              </w:rPr>
              <w:t>額</w:t>
            </w:r>
          </w:p>
        </w:tc>
        <w:tc>
          <w:tcPr>
            <w:tcW w:w="1701" w:type="dxa"/>
            <w:tcBorders>
              <w:top w:val="single" w:sz="4" w:space="0" w:color="000000"/>
              <w:left w:val="single" w:sz="4" w:space="0" w:color="000000"/>
              <w:bottom w:val="single" w:sz="4" w:space="0" w:color="000000"/>
            </w:tcBorders>
            <w:shd w:val="clear" w:color="auto" w:fill="auto"/>
            <w:vAlign w:val="center"/>
          </w:tcPr>
          <w:p w14:paraId="61BE4EEF" w14:textId="77777777" w:rsidR="00862754" w:rsidRPr="00C60999" w:rsidRDefault="00862754" w:rsidP="00862754">
            <w:pPr>
              <w:snapToGrid w:val="0"/>
              <w:spacing w:before="40" w:after="40"/>
              <w:jc w:val="center"/>
              <w:rPr>
                <w:rFonts w:ascii="Calibri" w:eastAsia="細明體" w:hAnsi="Calibri"/>
                <w:sz w:val="16"/>
                <w:szCs w:val="16"/>
                <w:lang w:eastAsia="zh-CN"/>
              </w:rPr>
            </w:pPr>
            <w:r w:rsidRPr="00C60999">
              <w:rPr>
                <w:rFonts w:ascii="Calibri" w:eastAsia="細明體" w:hAnsi="Calibri" w:hint="eastAsia"/>
                <w:sz w:val="16"/>
                <w:szCs w:val="16"/>
                <w:lang w:eastAsia="zh-CN"/>
              </w:rPr>
              <w:t>資產負</w:t>
            </w:r>
            <w:proofErr w:type="gramStart"/>
            <w:r w:rsidRPr="00C60999">
              <w:rPr>
                <w:rFonts w:ascii="Calibri" w:eastAsia="細明體" w:hAnsi="Calibri" w:hint="eastAsia"/>
                <w:sz w:val="16"/>
                <w:szCs w:val="16"/>
                <w:lang w:eastAsia="zh-CN"/>
              </w:rPr>
              <w:t>債</w:t>
            </w:r>
            <w:proofErr w:type="gramEnd"/>
            <w:r w:rsidRPr="00C60999">
              <w:rPr>
                <w:rFonts w:ascii="Calibri" w:eastAsia="細明體" w:hAnsi="Calibri" w:hint="eastAsia"/>
                <w:sz w:val="16"/>
                <w:szCs w:val="16"/>
                <w:lang w:eastAsia="zh-CN"/>
              </w:rPr>
              <w:t>表外</w:t>
            </w:r>
            <w:proofErr w:type="gramStart"/>
            <w:r w:rsidRPr="00C60999">
              <w:rPr>
                <w:rFonts w:ascii="Calibri" w:eastAsia="細明體" w:hAnsi="Calibri" w:hint="eastAsia"/>
                <w:sz w:val="16"/>
                <w:szCs w:val="16"/>
                <w:lang w:eastAsia="zh-CN"/>
              </w:rPr>
              <w:t>數</w:t>
            </w:r>
            <w:proofErr w:type="gramEnd"/>
            <w:r w:rsidRPr="00C60999">
              <w:rPr>
                <w:rFonts w:ascii="Calibri" w:eastAsia="細明體" w:hAnsi="Calibri" w:hint="eastAsia"/>
                <w:sz w:val="16"/>
                <w:szCs w:val="16"/>
                <w:lang w:eastAsia="zh-CN"/>
              </w:rPr>
              <w:t>額</w:t>
            </w:r>
          </w:p>
        </w:tc>
        <w:tc>
          <w:tcPr>
            <w:tcW w:w="1843" w:type="dxa"/>
            <w:tcBorders>
              <w:top w:val="single" w:sz="4" w:space="0" w:color="000000"/>
              <w:left w:val="single" w:sz="4" w:space="0" w:color="000000"/>
              <w:bottom w:val="single" w:sz="4" w:space="0" w:color="000000"/>
            </w:tcBorders>
            <w:shd w:val="clear" w:color="auto" w:fill="auto"/>
            <w:vAlign w:val="center"/>
          </w:tcPr>
          <w:p w14:paraId="5CE71830" w14:textId="77777777" w:rsidR="00862754" w:rsidRPr="00C60999" w:rsidRDefault="00862754" w:rsidP="00862754">
            <w:pPr>
              <w:snapToGrid w:val="0"/>
              <w:spacing w:before="40" w:after="40"/>
              <w:jc w:val="center"/>
              <w:rPr>
                <w:rFonts w:ascii="Calibri" w:eastAsia="細明體" w:hAnsi="Calibri"/>
                <w:sz w:val="16"/>
                <w:szCs w:val="16"/>
                <w:lang w:eastAsia="zh-CN"/>
              </w:rPr>
            </w:pPr>
            <w:r w:rsidRPr="00C60999">
              <w:rPr>
                <w:rFonts w:ascii="Calibri" w:eastAsia="細明體" w:hAnsi="Calibri" w:hint="eastAsia"/>
                <w:sz w:val="16"/>
                <w:szCs w:val="16"/>
                <w:lang w:eastAsia="zh-CN"/>
              </w:rPr>
              <w:t>資產負</w:t>
            </w:r>
            <w:proofErr w:type="gramStart"/>
            <w:r w:rsidRPr="00C60999">
              <w:rPr>
                <w:rFonts w:ascii="Calibri" w:eastAsia="細明體" w:hAnsi="Calibri" w:hint="eastAsia"/>
                <w:sz w:val="16"/>
                <w:szCs w:val="16"/>
                <w:lang w:eastAsia="zh-CN"/>
              </w:rPr>
              <w:t>債</w:t>
            </w:r>
            <w:proofErr w:type="gramEnd"/>
            <w:r w:rsidRPr="00C60999">
              <w:rPr>
                <w:rFonts w:ascii="Calibri" w:eastAsia="細明體" w:hAnsi="Calibri" w:hint="eastAsia"/>
                <w:sz w:val="16"/>
                <w:szCs w:val="16"/>
                <w:lang w:eastAsia="zh-CN"/>
              </w:rPr>
              <w:t>表</w:t>
            </w:r>
            <w:proofErr w:type="gramStart"/>
            <w:r w:rsidRPr="00C60999">
              <w:rPr>
                <w:rFonts w:ascii="Calibri" w:eastAsia="細明體" w:hAnsi="Calibri" w:hint="eastAsia"/>
                <w:sz w:val="16"/>
                <w:szCs w:val="16"/>
                <w:lang w:eastAsia="zh-CN"/>
              </w:rPr>
              <w:t>內數</w:t>
            </w:r>
            <w:proofErr w:type="gramEnd"/>
            <w:r w:rsidRPr="00C60999">
              <w:rPr>
                <w:rFonts w:ascii="Calibri" w:eastAsia="細明體" w:hAnsi="Calibri" w:hint="eastAsia"/>
                <w:sz w:val="16"/>
                <w:szCs w:val="16"/>
                <w:lang w:eastAsia="zh-CN"/>
              </w:rPr>
              <w:t>額</w:t>
            </w:r>
          </w:p>
        </w:tc>
        <w:tc>
          <w:tcPr>
            <w:tcW w:w="1701" w:type="dxa"/>
            <w:tcBorders>
              <w:top w:val="single" w:sz="4" w:space="0" w:color="000000"/>
              <w:left w:val="single" w:sz="4" w:space="0" w:color="000000"/>
              <w:bottom w:val="single" w:sz="4" w:space="0" w:color="000000"/>
            </w:tcBorders>
            <w:shd w:val="clear" w:color="auto" w:fill="auto"/>
            <w:vAlign w:val="center"/>
          </w:tcPr>
          <w:p w14:paraId="2897E2D3" w14:textId="77777777" w:rsidR="00862754" w:rsidRPr="00C60999" w:rsidRDefault="00862754" w:rsidP="00862754">
            <w:pPr>
              <w:snapToGrid w:val="0"/>
              <w:spacing w:before="40" w:after="40"/>
              <w:jc w:val="center"/>
              <w:rPr>
                <w:rFonts w:ascii="Calibri" w:eastAsia="細明體" w:hAnsi="Calibri"/>
                <w:sz w:val="16"/>
                <w:szCs w:val="16"/>
                <w:lang w:eastAsia="zh-CN"/>
              </w:rPr>
            </w:pPr>
            <w:r w:rsidRPr="00C60999">
              <w:rPr>
                <w:rFonts w:ascii="Calibri" w:eastAsia="細明體" w:hAnsi="Calibri" w:hint="eastAsia"/>
                <w:sz w:val="16"/>
                <w:szCs w:val="16"/>
                <w:lang w:eastAsia="zh-CN"/>
              </w:rPr>
              <w:t>資產負</w:t>
            </w:r>
            <w:proofErr w:type="gramStart"/>
            <w:r w:rsidRPr="00C60999">
              <w:rPr>
                <w:rFonts w:ascii="Calibri" w:eastAsia="細明體" w:hAnsi="Calibri" w:hint="eastAsia"/>
                <w:sz w:val="16"/>
                <w:szCs w:val="16"/>
                <w:lang w:eastAsia="zh-CN"/>
              </w:rPr>
              <w:t>債</w:t>
            </w:r>
            <w:proofErr w:type="gramEnd"/>
            <w:r w:rsidRPr="00C60999">
              <w:rPr>
                <w:rFonts w:ascii="Calibri" w:eastAsia="細明體" w:hAnsi="Calibri" w:hint="eastAsia"/>
                <w:sz w:val="16"/>
                <w:szCs w:val="16"/>
                <w:lang w:eastAsia="zh-CN"/>
              </w:rPr>
              <w:t>表外</w:t>
            </w:r>
            <w:proofErr w:type="gramStart"/>
            <w:r w:rsidRPr="00C60999">
              <w:rPr>
                <w:rFonts w:ascii="Calibri" w:eastAsia="細明體" w:hAnsi="Calibri" w:hint="eastAsia"/>
                <w:sz w:val="16"/>
                <w:szCs w:val="16"/>
                <w:lang w:eastAsia="zh-CN"/>
              </w:rPr>
              <w:t>數</w:t>
            </w:r>
            <w:proofErr w:type="gramEnd"/>
            <w:r w:rsidRPr="00C60999">
              <w:rPr>
                <w:rFonts w:ascii="Calibri" w:eastAsia="細明體" w:hAnsi="Calibri" w:hint="eastAsia"/>
                <w:sz w:val="16"/>
                <w:szCs w:val="16"/>
                <w:lang w:eastAsia="zh-CN"/>
              </w:rPr>
              <w:t>額</w:t>
            </w:r>
          </w:p>
        </w:tc>
        <w:tc>
          <w:tcPr>
            <w:tcW w:w="1417" w:type="dxa"/>
            <w:tcBorders>
              <w:top w:val="single" w:sz="4" w:space="0" w:color="000000"/>
              <w:left w:val="single" w:sz="4" w:space="0" w:color="000000"/>
              <w:bottom w:val="single" w:sz="4" w:space="0" w:color="000000"/>
            </w:tcBorders>
            <w:shd w:val="clear" w:color="auto" w:fill="auto"/>
            <w:vAlign w:val="center"/>
          </w:tcPr>
          <w:p w14:paraId="65E57604" w14:textId="77777777" w:rsidR="00862754" w:rsidRPr="00C60999" w:rsidRDefault="00862754" w:rsidP="00862754">
            <w:pPr>
              <w:snapToGrid w:val="0"/>
              <w:spacing w:before="40" w:after="40"/>
              <w:jc w:val="center"/>
              <w:rPr>
                <w:rFonts w:ascii="Calibri" w:eastAsia="細明體" w:hAnsi="Calibri"/>
                <w:sz w:val="16"/>
                <w:szCs w:val="16"/>
                <w:lang w:eastAsia="zh-CN"/>
              </w:rPr>
            </w:pPr>
            <w:r w:rsidRPr="00C60999">
              <w:rPr>
                <w:rFonts w:ascii="Calibri" w:eastAsia="細明體" w:hAnsi="Calibri" w:hint="eastAsia"/>
                <w:sz w:val="16"/>
                <w:szCs w:val="16"/>
                <w:lang w:eastAsia="zh-CN"/>
              </w:rPr>
              <w:t>風險加</w:t>
            </w:r>
            <w:proofErr w:type="gramStart"/>
            <w:r w:rsidRPr="00C60999">
              <w:rPr>
                <w:rFonts w:ascii="Calibri" w:eastAsia="細明體" w:hAnsi="Calibri" w:hint="eastAsia"/>
                <w:sz w:val="16"/>
                <w:szCs w:val="16"/>
                <w:lang w:eastAsia="zh-CN"/>
              </w:rPr>
              <w:t>權數</w:t>
            </w:r>
            <w:proofErr w:type="gramEnd"/>
            <w:r w:rsidRPr="00C60999">
              <w:rPr>
                <w:rFonts w:ascii="Calibri" w:eastAsia="細明體" w:hAnsi="Calibri" w:hint="eastAsia"/>
                <w:sz w:val="16"/>
                <w:szCs w:val="16"/>
                <w:lang w:eastAsia="zh-CN"/>
              </w:rPr>
              <w:t>額</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D6E97" w14:textId="77777777" w:rsidR="00862754" w:rsidRPr="00C60999" w:rsidRDefault="00862754" w:rsidP="00862754">
            <w:pPr>
              <w:snapToGrid w:val="0"/>
              <w:spacing w:before="40" w:after="40"/>
              <w:jc w:val="center"/>
              <w:rPr>
                <w:rFonts w:ascii="Calibri" w:eastAsia="細明體" w:hAnsi="Calibri"/>
                <w:sz w:val="16"/>
                <w:szCs w:val="16"/>
                <w:lang w:eastAsia="zh-CN"/>
              </w:rPr>
            </w:pPr>
            <w:r w:rsidRPr="00034CB4">
              <w:rPr>
                <w:rFonts w:ascii="Calibri" w:eastAsia="細明體" w:hAnsi="Calibri" w:hint="eastAsia"/>
                <w:sz w:val="16"/>
                <w:szCs w:val="16"/>
                <w:lang w:eastAsia="zh-CN"/>
              </w:rPr>
              <w:t>風險加</w:t>
            </w:r>
            <w:proofErr w:type="gramStart"/>
            <w:r w:rsidRPr="00034CB4">
              <w:rPr>
                <w:rFonts w:ascii="Calibri" w:eastAsia="細明體" w:hAnsi="Calibri" w:hint="eastAsia"/>
                <w:sz w:val="16"/>
                <w:szCs w:val="16"/>
                <w:lang w:eastAsia="zh-CN"/>
              </w:rPr>
              <w:t>權數</w:t>
            </w:r>
            <w:proofErr w:type="gramEnd"/>
            <w:r w:rsidRPr="00034CB4">
              <w:rPr>
                <w:rFonts w:ascii="Calibri" w:eastAsia="細明體" w:hAnsi="Calibri" w:hint="eastAsia"/>
                <w:sz w:val="16"/>
                <w:szCs w:val="16"/>
                <w:lang w:eastAsia="zh-CN"/>
              </w:rPr>
              <w:t>額密度</w:t>
            </w:r>
          </w:p>
        </w:tc>
      </w:tr>
      <w:tr w:rsidR="00862754" w:rsidRPr="00862754" w14:paraId="0DC03F40" w14:textId="77777777" w:rsidTr="00C60999">
        <w:trPr>
          <w:cantSplit/>
          <w:trHeight w:val="283"/>
        </w:trPr>
        <w:tc>
          <w:tcPr>
            <w:tcW w:w="567" w:type="dxa"/>
            <w:tcBorders>
              <w:top w:val="single" w:sz="4" w:space="0" w:color="auto"/>
              <w:left w:val="nil"/>
              <w:right w:val="single" w:sz="4" w:space="0" w:color="auto"/>
            </w:tcBorders>
          </w:tcPr>
          <w:p w14:paraId="6EAE7B02"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w:t>
            </w:r>
          </w:p>
        </w:tc>
        <w:tc>
          <w:tcPr>
            <w:tcW w:w="3402" w:type="dxa"/>
            <w:tcBorders>
              <w:top w:val="single" w:sz="4" w:space="0" w:color="000000"/>
              <w:left w:val="single" w:sz="4" w:space="0" w:color="000000"/>
              <w:bottom w:val="single" w:sz="4" w:space="0" w:color="C0C0C0"/>
            </w:tcBorders>
            <w:shd w:val="clear" w:color="auto" w:fill="auto"/>
            <w:vAlign w:val="center"/>
          </w:tcPr>
          <w:p w14:paraId="36B1E959"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官方實體風險承</w:t>
            </w:r>
            <w:proofErr w:type="gramStart"/>
            <w:r w:rsidRPr="00862754">
              <w:rPr>
                <w:rFonts w:ascii="Calibri" w:eastAsia="細明體" w:hAnsi="Calibri" w:hint="eastAsia"/>
                <w:sz w:val="16"/>
                <w:szCs w:val="16"/>
                <w:lang w:eastAsia="zh-CN"/>
              </w:rPr>
              <w:t>擔</w:t>
            </w:r>
            <w:proofErr w:type="gramEnd"/>
          </w:p>
        </w:tc>
        <w:tc>
          <w:tcPr>
            <w:tcW w:w="1843" w:type="dxa"/>
            <w:tcBorders>
              <w:top w:val="single" w:sz="4" w:space="0" w:color="auto"/>
              <w:left w:val="single" w:sz="4" w:space="0" w:color="auto"/>
              <w:right w:val="single" w:sz="4" w:space="0" w:color="auto"/>
            </w:tcBorders>
          </w:tcPr>
          <w:p w14:paraId="6251CB47" w14:textId="77777777" w:rsidR="00862754" w:rsidRPr="00862754" w:rsidRDefault="00862754" w:rsidP="00862754">
            <w:pPr>
              <w:snapToGrid w:val="0"/>
              <w:spacing w:before="40" w:after="40"/>
              <w:rPr>
                <w:sz w:val="17"/>
                <w:lang w:eastAsia="en-GB"/>
              </w:rPr>
            </w:pPr>
          </w:p>
        </w:tc>
        <w:tc>
          <w:tcPr>
            <w:tcW w:w="1701" w:type="dxa"/>
            <w:tcBorders>
              <w:top w:val="single" w:sz="4" w:space="0" w:color="auto"/>
              <w:left w:val="single" w:sz="4" w:space="0" w:color="auto"/>
              <w:right w:val="single" w:sz="4" w:space="0" w:color="auto"/>
            </w:tcBorders>
          </w:tcPr>
          <w:p w14:paraId="76F05BB9" w14:textId="77777777" w:rsidR="00862754" w:rsidRPr="00862754" w:rsidRDefault="00862754" w:rsidP="00862754">
            <w:pPr>
              <w:snapToGrid w:val="0"/>
              <w:spacing w:before="40" w:after="40"/>
              <w:rPr>
                <w:sz w:val="17"/>
                <w:lang w:eastAsia="en-GB"/>
              </w:rPr>
            </w:pPr>
          </w:p>
        </w:tc>
        <w:tc>
          <w:tcPr>
            <w:tcW w:w="1843" w:type="dxa"/>
            <w:tcBorders>
              <w:top w:val="single" w:sz="4" w:space="0" w:color="auto"/>
              <w:left w:val="single" w:sz="4" w:space="0" w:color="auto"/>
              <w:right w:val="single" w:sz="4" w:space="0" w:color="auto"/>
            </w:tcBorders>
          </w:tcPr>
          <w:p w14:paraId="7DFBCEDA" w14:textId="77777777" w:rsidR="00862754" w:rsidRPr="00862754" w:rsidRDefault="00862754" w:rsidP="00862754">
            <w:pPr>
              <w:snapToGrid w:val="0"/>
              <w:spacing w:before="40" w:after="40"/>
              <w:rPr>
                <w:sz w:val="17"/>
                <w:lang w:eastAsia="en-GB"/>
              </w:rPr>
            </w:pPr>
          </w:p>
        </w:tc>
        <w:tc>
          <w:tcPr>
            <w:tcW w:w="1701" w:type="dxa"/>
            <w:tcBorders>
              <w:top w:val="single" w:sz="4" w:space="0" w:color="auto"/>
              <w:left w:val="single" w:sz="4" w:space="0" w:color="auto"/>
              <w:right w:val="single" w:sz="4" w:space="0" w:color="auto"/>
            </w:tcBorders>
          </w:tcPr>
          <w:p w14:paraId="403B6AC5" w14:textId="77777777" w:rsidR="00862754" w:rsidRPr="00862754" w:rsidRDefault="00862754" w:rsidP="00862754">
            <w:pPr>
              <w:snapToGrid w:val="0"/>
              <w:spacing w:before="40" w:after="40"/>
              <w:rPr>
                <w:sz w:val="17"/>
                <w:lang w:eastAsia="en-GB"/>
              </w:rPr>
            </w:pPr>
          </w:p>
        </w:tc>
        <w:tc>
          <w:tcPr>
            <w:tcW w:w="1417" w:type="dxa"/>
            <w:tcBorders>
              <w:top w:val="single" w:sz="4" w:space="0" w:color="auto"/>
              <w:left w:val="single" w:sz="4" w:space="0" w:color="auto"/>
              <w:right w:val="single" w:sz="4" w:space="0" w:color="auto"/>
            </w:tcBorders>
          </w:tcPr>
          <w:p w14:paraId="427BDEDC" w14:textId="77777777" w:rsidR="00862754" w:rsidRPr="00862754" w:rsidRDefault="00862754" w:rsidP="00862754">
            <w:pPr>
              <w:snapToGrid w:val="0"/>
              <w:spacing w:before="40" w:after="40"/>
              <w:rPr>
                <w:sz w:val="17"/>
                <w:lang w:eastAsia="en-GB"/>
              </w:rPr>
            </w:pPr>
          </w:p>
        </w:tc>
        <w:tc>
          <w:tcPr>
            <w:tcW w:w="1418" w:type="dxa"/>
            <w:tcBorders>
              <w:top w:val="single" w:sz="4" w:space="0" w:color="auto"/>
              <w:left w:val="single" w:sz="4" w:space="0" w:color="auto"/>
              <w:right w:val="single" w:sz="4" w:space="0" w:color="auto"/>
            </w:tcBorders>
          </w:tcPr>
          <w:p w14:paraId="252168DA" w14:textId="77777777" w:rsidR="00862754" w:rsidRPr="00862754" w:rsidRDefault="00862754" w:rsidP="00862754">
            <w:pPr>
              <w:snapToGrid w:val="0"/>
              <w:spacing w:before="40" w:after="40"/>
              <w:rPr>
                <w:sz w:val="17"/>
                <w:lang w:eastAsia="en-GB"/>
              </w:rPr>
            </w:pPr>
          </w:p>
        </w:tc>
      </w:tr>
      <w:tr w:rsidR="00862754" w:rsidRPr="00862754" w14:paraId="58CB3CC3" w14:textId="77777777" w:rsidTr="00C60999">
        <w:trPr>
          <w:cantSplit/>
          <w:trHeight w:val="283"/>
        </w:trPr>
        <w:tc>
          <w:tcPr>
            <w:tcW w:w="567" w:type="dxa"/>
            <w:tcBorders>
              <w:left w:val="nil"/>
              <w:right w:val="single" w:sz="4" w:space="0" w:color="auto"/>
            </w:tcBorders>
          </w:tcPr>
          <w:p w14:paraId="23473BBD"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2</w:t>
            </w:r>
          </w:p>
        </w:tc>
        <w:tc>
          <w:tcPr>
            <w:tcW w:w="3402" w:type="dxa"/>
            <w:tcBorders>
              <w:top w:val="single" w:sz="4" w:space="0" w:color="C0C0C0"/>
              <w:left w:val="single" w:sz="4" w:space="0" w:color="000000"/>
              <w:bottom w:val="single" w:sz="4" w:space="0" w:color="C0C0C0"/>
            </w:tcBorders>
            <w:shd w:val="clear" w:color="auto" w:fill="auto"/>
            <w:vAlign w:val="center"/>
          </w:tcPr>
          <w:p w14:paraId="7ECB920E"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公營</w:t>
            </w:r>
            <w:proofErr w:type="gramStart"/>
            <w:r w:rsidRPr="00862754">
              <w:rPr>
                <w:rFonts w:ascii="Calibri" w:eastAsia="細明體" w:hAnsi="Calibri" w:hint="eastAsia"/>
                <w:sz w:val="16"/>
                <w:szCs w:val="16"/>
                <w:lang w:eastAsia="zh-CN"/>
              </w:rPr>
              <w:t>單</w:t>
            </w:r>
            <w:proofErr w:type="gramEnd"/>
            <w:r w:rsidRPr="00862754">
              <w:rPr>
                <w:rFonts w:ascii="Calibri" w:eastAsia="細明體" w:hAnsi="Calibri" w:hint="eastAsia"/>
                <w:sz w:val="16"/>
                <w:szCs w:val="16"/>
                <w:lang w:eastAsia="zh-CN"/>
              </w:rPr>
              <w:t>位風險承</w:t>
            </w:r>
            <w:proofErr w:type="gramStart"/>
            <w:r w:rsidRPr="00862754">
              <w:rPr>
                <w:rFonts w:ascii="Calibri" w:eastAsia="細明體" w:hAnsi="Calibri" w:hint="eastAsia"/>
                <w:sz w:val="16"/>
                <w:szCs w:val="16"/>
                <w:lang w:eastAsia="zh-CN"/>
              </w:rPr>
              <w:t>擔</w:t>
            </w:r>
            <w:proofErr w:type="gramEnd"/>
          </w:p>
        </w:tc>
        <w:tc>
          <w:tcPr>
            <w:tcW w:w="1843" w:type="dxa"/>
            <w:tcBorders>
              <w:left w:val="single" w:sz="4" w:space="0" w:color="auto"/>
              <w:right w:val="single" w:sz="4" w:space="0" w:color="auto"/>
            </w:tcBorders>
          </w:tcPr>
          <w:p w14:paraId="62AF1F77"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73570626" w14:textId="77777777" w:rsidR="00862754" w:rsidRPr="00862754" w:rsidRDefault="00862754" w:rsidP="00862754">
            <w:pPr>
              <w:snapToGrid w:val="0"/>
              <w:spacing w:before="40" w:after="40"/>
              <w:rPr>
                <w:sz w:val="17"/>
                <w:lang w:eastAsia="en-GB"/>
              </w:rPr>
            </w:pPr>
          </w:p>
        </w:tc>
        <w:tc>
          <w:tcPr>
            <w:tcW w:w="1843" w:type="dxa"/>
            <w:tcBorders>
              <w:left w:val="single" w:sz="4" w:space="0" w:color="auto"/>
              <w:right w:val="single" w:sz="4" w:space="0" w:color="auto"/>
            </w:tcBorders>
          </w:tcPr>
          <w:p w14:paraId="6C93CB8D"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7CF4C1DA"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54BDBC1C"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0DE65804" w14:textId="77777777" w:rsidR="00862754" w:rsidRPr="00862754" w:rsidRDefault="00862754" w:rsidP="00862754">
            <w:pPr>
              <w:snapToGrid w:val="0"/>
              <w:spacing w:before="40" w:after="40"/>
              <w:rPr>
                <w:sz w:val="17"/>
                <w:lang w:eastAsia="en-GB"/>
              </w:rPr>
            </w:pPr>
          </w:p>
        </w:tc>
      </w:tr>
      <w:tr w:rsidR="00862754" w:rsidRPr="00862754" w14:paraId="2CFE3C02" w14:textId="77777777" w:rsidTr="002C41F9">
        <w:trPr>
          <w:cantSplit/>
          <w:trHeight w:val="283"/>
        </w:trPr>
        <w:tc>
          <w:tcPr>
            <w:tcW w:w="567" w:type="dxa"/>
            <w:tcBorders>
              <w:left w:val="nil"/>
              <w:right w:val="single" w:sz="4" w:space="0" w:color="auto"/>
            </w:tcBorders>
          </w:tcPr>
          <w:p w14:paraId="07E6DE3C"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3</w:t>
            </w:r>
          </w:p>
        </w:tc>
        <w:tc>
          <w:tcPr>
            <w:tcW w:w="3402" w:type="dxa"/>
            <w:tcBorders>
              <w:left w:val="nil"/>
              <w:right w:val="single" w:sz="4" w:space="0" w:color="auto"/>
            </w:tcBorders>
          </w:tcPr>
          <w:p w14:paraId="3EE84BA9"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多邊發展銀行風險承擔</w:t>
            </w:r>
          </w:p>
        </w:tc>
        <w:tc>
          <w:tcPr>
            <w:tcW w:w="1843" w:type="dxa"/>
            <w:tcBorders>
              <w:left w:val="single" w:sz="4" w:space="0" w:color="auto"/>
              <w:right w:val="single" w:sz="4" w:space="0" w:color="auto"/>
            </w:tcBorders>
          </w:tcPr>
          <w:p w14:paraId="70AB5E25"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7947A3C7"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4C6310B0"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0F841279"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58C559F6"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26192070" w14:textId="77777777" w:rsidR="00862754" w:rsidRPr="00862754" w:rsidRDefault="00862754" w:rsidP="00862754">
            <w:pPr>
              <w:snapToGrid w:val="0"/>
              <w:spacing w:before="40" w:after="40"/>
              <w:rPr>
                <w:sz w:val="17"/>
                <w:lang w:eastAsia="zh-TW"/>
              </w:rPr>
            </w:pPr>
          </w:p>
        </w:tc>
      </w:tr>
      <w:tr w:rsidR="00862754" w:rsidRPr="00862754" w14:paraId="3E225B1B" w14:textId="77777777" w:rsidTr="002C41F9">
        <w:trPr>
          <w:cantSplit/>
          <w:trHeight w:val="283"/>
        </w:trPr>
        <w:tc>
          <w:tcPr>
            <w:tcW w:w="567" w:type="dxa"/>
            <w:tcBorders>
              <w:left w:val="nil"/>
              <w:right w:val="single" w:sz="4" w:space="0" w:color="auto"/>
            </w:tcBorders>
          </w:tcPr>
          <w:p w14:paraId="3050F1F8"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4</w:t>
            </w:r>
          </w:p>
        </w:tc>
        <w:tc>
          <w:tcPr>
            <w:tcW w:w="3402" w:type="dxa"/>
            <w:tcBorders>
              <w:left w:val="nil"/>
              <w:right w:val="single" w:sz="4" w:space="0" w:color="auto"/>
            </w:tcBorders>
          </w:tcPr>
          <w:p w14:paraId="2C5F7762"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HK"/>
              </w:rPr>
              <w:t>非</w:t>
            </w:r>
            <w:r w:rsidRPr="00862754">
              <w:rPr>
                <w:rFonts w:ascii="Calibri" w:eastAsia="細明體" w:hAnsi="Calibri" w:hint="eastAsia"/>
                <w:sz w:val="16"/>
                <w:szCs w:val="16"/>
                <w:lang w:eastAsia="zh-TW"/>
              </w:rPr>
              <w:t>指明多邊組織風險承擔</w:t>
            </w:r>
          </w:p>
        </w:tc>
        <w:tc>
          <w:tcPr>
            <w:tcW w:w="1843" w:type="dxa"/>
            <w:tcBorders>
              <w:left w:val="single" w:sz="4" w:space="0" w:color="auto"/>
              <w:right w:val="single" w:sz="4" w:space="0" w:color="auto"/>
            </w:tcBorders>
          </w:tcPr>
          <w:p w14:paraId="6573BE98"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2463BED0"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219BF320"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76CAE9FD"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617F872B"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74716AFD" w14:textId="77777777" w:rsidR="00862754" w:rsidRPr="00862754" w:rsidRDefault="00862754" w:rsidP="00862754">
            <w:pPr>
              <w:snapToGrid w:val="0"/>
              <w:spacing w:before="40" w:after="40"/>
              <w:rPr>
                <w:sz w:val="17"/>
                <w:lang w:eastAsia="zh-TW"/>
              </w:rPr>
            </w:pPr>
          </w:p>
        </w:tc>
      </w:tr>
      <w:tr w:rsidR="00862754" w:rsidRPr="00862754" w14:paraId="283E2132" w14:textId="77777777" w:rsidTr="002C41F9">
        <w:trPr>
          <w:cantSplit/>
          <w:trHeight w:val="283"/>
        </w:trPr>
        <w:tc>
          <w:tcPr>
            <w:tcW w:w="567" w:type="dxa"/>
            <w:tcBorders>
              <w:left w:val="nil"/>
              <w:right w:val="single" w:sz="4" w:space="0" w:color="auto"/>
            </w:tcBorders>
          </w:tcPr>
          <w:p w14:paraId="470DE390"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5</w:t>
            </w:r>
          </w:p>
        </w:tc>
        <w:tc>
          <w:tcPr>
            <w:tcW w:w="3402" w:type="dxa"/>
            <w:tcBorders>
              <w:left w:val="nil"/>
              <w:right w:val="single" w:sz="4" w:space="0" w:color="auto"/>
            </w:tcBorders>
          </w:tcPr>
          <w:p w14:paraId="7ADFF376"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銀行風險承</w:t>
            </w:r>
            <w:proofErr w:type="gramStart"/>
            <w:r w:rsidRPr="00862754">
              <w:rPr>
                <w:rFonts w:ascii="Calibri" w:eastAsia="細明體" w:hAnsi="Calibri" w:hint="eastAsia"/>
                <w:sz w:val="16"/>
                <w:szCs w:val="16"/>
                <w:lang w:eastAsia="zh-CN"/>
              </w:rPr>
              <w:t>擔</w:t>
            </w:r>
            <w:proofErr w:type="gramEnd"/>
          </w:p>
        </w:tc>
        <w:tc>
          <w:tcPr>
            <w:tcW w:w="1843" w:type="dxa"/>
            <w:tcBorders>
              <w:left w:val="single" w:sz="4" w:space="0" w:color="auto"/>
              <w:right w:val="single" w:sz="4" w:space="0" w:color="auto"/>
            </w:tcBorders>
          </w:tcPr>
          <w:p w14:paraId="7C8BE223"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1D6F44B0" w14:textId="77777777" w:rsidR="00862754" w:rsidRPr="00862754" w:rsidRDefault="00862754" w:rsidP="00862754">
            <w:pPr>
              <w:snapToGrid w:val="0"/>
              <w:spacing w:before="40" w:after="40"/>
              <w:rPr>
                <w:sz w:val="17"/>
                <w:lang w:eastAsia="en-GB"/>
              </w:rPr>
            </w:pPr>
          </w:p>
        </w:tc>
        <w:tc>
          <w:tcPr>
            <w:tcW w:w="1843" w:type="dxa"/>
            <w:tcBorders>
              <w:left w:val="single" w:sz="4" w:space="0" w:color="auto"/>
              <w:right w:val="single" w:sz="4" w:space="0" w:color="auto"/>
            </w:tcBorders>
          </w:tcPr>
          <w:p w14:paraId="50AAE409"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46FB0DC7"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284C6356"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158B9E21" w14:textId="77777777" w:rsidR="00862754" w:rsidRPr="00862754" w:rsidRDefault="00862754" w:rsidP="00862754">
            <w:pPr>
              <w:snapToGrid w:val="0"/>
              <w:spacing w:before="40" w:after="40"/>
              <w:rPr>
                <w:sz w:val="17"/>
                <w:lang w:eastAsia="en-GB"/>
              </w:rPr>
            </w:pPr>
          </w:p>
        </w:tc>
      </w:tr>
      <w:tr w:rsidR="00862754" w:rsidRPr="00862754" w14:paraId="5BA7F7CE" w14:textId="77777777" w:rsidTr="002C41F9">
        <w:trPr>
          <w:cantSplit/>
          <w:trHeight w:val="283"/>
        </w:trPr>
        <w:tc>
          <w:tcPr>
            <w:tcW w:w="567" w:type="dxa"/>
            <w:tcBorders>
              <w:left w:val="nil"/>
              <w:right w:val="single" w:sz="4" w:space="0" w:color="auto"/>
            </w:tcBorders>
          </w:tcPr>
          <w:p w14:paraId="728C4065"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6</w:t>
            </w:r>
          </w:p>
        </w:tc>
        <w:tc>
          <w:tcPr>
            <w:tcW w:w="3402" w:type="dxa"/>
            <w:tcBorders>
              <w:left w:val="nil"/>
              <w:right w:val="single" w:sz="4" w:space="0" w:color="auto"/>
            </w:tcBorders>
          </w:tcPr>
          <w:p w14:paraId="098F5C9A"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合資格資產覆蓋債券風險承擔</w:t>
            </w:r>
          </w:p>
        </w:tc>
        <w:tc>
          <w:tcPr>
            <w:tcW w:w="1843" w:type="dxa"/>
            <w:tcBorders>
              <w:left w:val="single" w:sz="4" w:space="0" w:color="auto"/>
              <w:right w:val="single" w:sz="4" w:space="0" w:color="auto"/>
            </w:tcBorders>
          </w:tcPr>
          <w:p w14:paraId="5BE047CD"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462F64BB"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23382AEF"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3CD3D3DD"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2573923D"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5DBDF68A" w14:textId="77777777" w:rsidR="00862754" w:rsidRPr="00862754" w:rsidRDefault="00862754" w:rsidP="00862754">
            <w:pPr>
              <w:snapToGrid w:val="0"/>
              <w:spacing w:before="40" w:after="40"/>
              <w:rPr>
                <w:sz w:val="17"/>
                <w:lang w:eastAsia="zh-TW"/>
              </w:rPr>
            </w:pPr>
          </w:p>
        </w:tc>
      </w:tr>
      <w:tr w:rsidR="00862754" w:rsidRPr="00862754" w14:paraId="43709068" w14:textId="77777777" w:rsidTr="002C41F9">
        <w:trPr>
          <w:cantSplit/>
          <w:trHeight w:val="283"/>
        </w:trPr>
        <w:tc>
          <w:tcPr>
            <w:tcW w:w="567" w:type="dxa"/>
            <w:tcBorders>
              <w:left w:val="nil"/>
              <w:right w:val="single" w:sz="4" w:space="0" w:color="auto"/>
            </w:tcBorders>
          </w:tcPr>
          <w:p w14:paraId="55DA7459"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7</w:t>
            </w:r>
          </w:p>
        </w:tc>
        <w:tc>
          <w:tcPr>
            <w:tcW w:w="3402" w:type="dxa"/>
            <w:tcBorders>
              <w:left w:val="nil"/>
              <w:right w:val="single" w:sz="4" w:space="0" w:color="auto"/>
            </w:tcBorders>
          </w:tcPr>
          <w:p w14:paraId="38AE645B"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因</w:t>
            </w:r>
            <w:r w:rsidRPr="00862754">
              <w:rPr>
                <w:rFonts w:ascii="Calibri" w:eastAsia="細明體" w:hAnsi="Calibri" w:hint="eastAsia"/>
                <w:sz w:val="16"/>
                <w:szCs w:val="16"/>
                <w:lang w:eastAsia="zh-TW"/>
              </w:rPr>
              <w:t>IPO</w:t>
            </w:r>
            <w:r w:rsidRPr="00862754">
              <w:rPr>
                <w:rFonts w:ascii="Calibri" w:eastAsia="細明體" w:hAnsi="Calibri" w:hint="eastAsia"/>
                <w:sz w:val="16"/>
                <w:szCs w:val="16"/>
                <w:lang w:eastAsia="zh-TW"/>
              </w:rPr>
              <w:t>融資而產生的風險承擔</w:t>
            </w:r>
          </w:p>
        </w:tc>
        <w:tc>
          <w:tcPr>
            <w:tcW w:w="1843" w:type="dxa"/>
            <w:tcBorders>
              <w:left w:val="single" w:sz="4" w:space="0" w:color="auto"/>
              <w:right w:val="single" w:sz="4" w:space="0" w:color="auto"/>
            </w:tcBorders>
          </w:tcPr>
          <w:p w14:paraId="154CD1BA"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3F1677CE"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5BFEEC41"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5DBA7252"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54C0A587"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7D9B21E7" w14:textId="77777777" w:rsidR="00862754" w:rsidRPr="00862754" w:rsidRDefault="00862754" w:rsidP="00862754">
            <w:pPr>
              <w:snapToGrid w:val="0"/>
              <w:spacing w:before="40" w:after="40"/>
              <w:rPr>
                <w:sz w:val="17"/>
                <w:lang w:eastAsia="zh-TW"/>
              </w:rPr>
            </w:pPr>
          </w:p>
        </w:tc>
      </w:tr>
      <w:tr w:rsidR="00862754" w:rsidRPr="00862754" w14:paraId="590242D4" w14:textId="77777777" w:rsidTr="002C41F9">
        <w:trPr>
          <w:cantSplit/>
          <w:trHeight w:val="283"/>
        </w:trPr>
        <w:tc>
          <w:tcPr>
            <w:tcW w:w="567" w:type="dxa"/>
            <w:tcBorders>
              <w:left w:val="nil"/>
              <w:right w:val="single" w:sz="4" w:space="0" w:color="auto"/>
            </w:tcBorders>
          </w:tcPr>
          <w:p w14:paraId="5060B86D"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8</w:t>
            </w:r>
          </w:p>
        </w:tc>
        <w:tc>
          <w:tcPr>
            <w:tcW w:w="3402" w:type="dxa"/>
            <w:tcBorders>
              <w:left w:val="nil"/>
              <w:right w:val="single" w:sz="4" w:space="0" w:color="auto"/>
            </w:tcBorders>
          </w:tcPr>
          <w:p w14:paraId="299014DA"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地產風險承</w:t>
            </w:r>
            <w:proofErr w:type="gramStart"/>
            <w:r w:rsidRPr="00862754">
              <w:rPr>
                <w:rFonts w:ascii="Calibri" w:eastAsia="細明體" w:hAnsi="Calibri" w:hint="eastAsia"/>
                <w:sz w:val="16"/>
                <w:szCs w:val="16"/>
                <w:lang w:eastAsia="zh-CN"/>
              </w:rPr>
              <w:t>擔</w:t>
            </w:r>
            <w:proofErr w:type="gramEnd"/>
          </w:p>
        </w:tc>
        <w:tc>
          <w:tcPr>
            <w:tcW w:w="1843" w:type="dxa"/>
            <w:tcBorders>
              <w:left w:val="single" w:sz="4" w:space="0" w:color="auto"/>
              <w:right w:val="single" w:sz="4" w:space="0" w:color="auto"/>
            </w:tcBorders>
          </w:tcPr>
          <w:p w14:paraId="177CAE36"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25341E3E" w14:textId="77777777" w:rsidR="00862754" w:rsidRPr="00862754" w:rsidRDefault="00862754" w:rsidP="00862754">
            <w:pPr>
              <w:snapToGrid w:val="0"/>
              <w:spacing w:before="40" w:after="40"/>
              <w:rPr>
                <w:sz w:val="17"/>
                <w:lang w:eastAsia="en-GB"/>
              </w:rPr>
            </w:pPr>
          </w:p>
        </w:tc>
        <w:tc>
          <w:tcPr>
            <w:tcW w:w="1843" w:type="dxa"/>
            <w:tcBorders>
              <w:left w:val="single" w:sz="4" w:space="0" w:color="auto"/>
              <w:right w:val="single" w:sz="4" w:space="0" w:color="auto"/>
            </w:tcBorders>
          </w:tcPr>
          <w:p w14:paraId="5B78F515"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4A5F082F"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3AC9DFF2"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6DA11DD4" w14:textId="77777777" w:rsidR="00862754" w:rsidRPr="00862754" w:rsidRDefault="00862754" w:rsidP="00862754">
            <w:pPr>
              <w:snapToGrid w:val="0"/>
              <w:spacing w:before="40" w:after="40"/>
              <w:rPr>
                <w:sz w:val="17"/>
                <w:lang w:eastAsia="en-GB"/>
              </w:rPr>
            </w:pPr>
          </w:p>
        </w:tc>
      </w:tr>
      <w:tr w:rsidR="00862754" w:rsidRPr="00862754" w14:paraId="523F93C2" w14:textId="77777777" w:rsidTr="002C41F9">
        <w:trPr>
          <w:cantSplit/>
          <w:trHeight w:val="283"/>
        </w:trPr>
        <w:tc>
          <w:tcPr>
            <w:tcW w:w="567" w:type="dxa"/>
            <w:tcBorders>
              <w:left w:val="nil"/>
              <w:right w:val="single" w:sz="4" w:space="0" w:color="auto"/>
            </w:tcBorders>
          </w:tcPr>
          <w:p w14:paraId="46CA9FBF"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8a</w:t>
            </w:r>
          </w:p>
        </w:tc>
        <w:tc>
          <w:tcPr>
            <w:tcW w:w="3402" w:type="dxa"/>
            <w:tcBorders>
              <w:left w:val="nil"/>
              <w:right w:val="single" w:sz="4" w:space="0" w:color="auto"/>
            </w:tcBorders>
          </w:tcPr>
          <w:p w14:paraId="665F4F55" w14:textId="77777777" w:rsidR="00862754" w:rsidRPr="00862754" w:rsidRDefault="00862754" w:rsidP="00862754">
            <w:pPr>
              <w:snapToGrid w:val="0"/>
              <w:spacing w:before="40" w:after="40"/>
              <w:ind w:left="175"/>
              <w:rPr>
                <w:rFonts w:ascii="Calibri" w:eastAsia="細明體" w:hAnsi="Calibri"/>
                <w:sz w:val="16"/>
                <w:szCs w:val="16"/>
                <w:lang w:eastAsia="zh-TW"/>
              </w:rPr>
            </w:pPr>
            <w:r w:rsidRPr="00862754">
              <w:rPr>
                <w:rFonts w:ascii="Calibri" w:eastAsia="細明體" w:hAnsi="Calibri" w:hint="eastAsia"/>
                <w:sz w:val="16"/>
                <w:szCs w:val="16"/>
                <w:lang w:eastAsia="zh-TW"/>
              </w:rPr>
              <w:t>其中：監管住宅地產風險承擔（</w:t>
            </w:r>
            <w:r w:rsidRPr="00862754">
              <w:rPr>
                <w:rFonts w:ascii="Calibri" w:eastAsia="細明體" w:hAnsi="Calibri"/>
                <w:sz w:val="16"/>
                <w:szCs w:val="16"/>
                <w:lang w:eastAsia="zh-TW"/>
              </w:rPr>
              <w:t>並非在關鍵程度上</w:t>
            </w:r>
            <w:r w:rsidRPr="00862754">
              <w:rPr>
                <w:rFonts w:ascii="Calibri" w:eastAsia="細明體" w:hAnsi="Calibri" w:hint="eastAsia"/>
                <w:sz w:val="16"/>
                <w:szCs w:val="16"/>
                <w:lang w:eastAsia="zh-HK"/>
              </w:rPr>
              <w:t>有賴</w:t>
            </w:r>
            <w:r w:rsidRPr="00862754">
              <w:rPr>
                <w:rFonts w:ascii="Calibri" w:eastAsia="細明體" w:hAnsi="Calibri"/>
                <w:sz w:val="16"/>
                <w:szCs w:val="16"/>
                <w:lang w:eastAsia="zh-TW"/>
              </w:rPr>
              <w:t>於</w:t>
            </w:r>
            <w:r w:rsidRPr="00862754">
              <w:rPr>
                <w:rFonts w:ascii="Calibri" w:eastAsia="細明體" w:hAnsi="Calibri" w:hint="eastAsia"/>
                <w:sz w:val="16"/>
                <w:szCs w:val="16"/>
                <w:lang w:eastAsia="zh-HK"/>
              </w:rPr>
              <w:t>按揭</w:t>
            </w:r>
            <w:r w:rsidRPr="00862754">
              <w:rPr>
                <w:rFonts w:ascii="Calibri" w:eastAsia="細明體" w:hAnsi="Calibri" w:hint="eastAsia"/>
                <w:sz w:val="16"/>
                <w:szCs w:val="16"/>
                <w:lang w:eastAsia="zh-TW"/>
              </w:rPr>
              <w:t>物業所產生的現金流）</w:t>
            </w:r>
          </w:p>
        </w:tc>
        <w:tc>
          <w:tcPr>
            <w:tcW w:w="1843" w:type="dxa"/>
            <w:tcBorders>
              <w:left w:val="single" w:sz="4" w:space="0" w:color="auto"/>
              <w:right w:val="single" w:sz="4" w:space="0" w:color="auto"/>
            </w:tcBorders>
          </w:tcPr>
          <w:p w14:paraId="71734DC3"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6F7B2288"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61E89C70"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33C65738"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5B0CD3B6"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1622DB31" w14:textId="77777777" w:rsidR="00862754" w:rsidRPr="00862754" w:rsidRDefault="00862754" w:rsidP="00862754">
            <w:pPr>
              <w:snapToGrid w:val="0"/>
              <w:spacing w:before="40" w:after="40"/>
              <w:rPr>
                <w:sz w:val="17"/>
                <w:lang w:eastAsia="zh-TW"/>
              </w:rPr>
            </w:pPr>
          </w:p>
        </w:tc>
      </w:tr>
      <w:tr w:rsidR="00862754" w:rsidRPr="00862754" w14:paraId="13CC8308" w14:textId="77777777" w:rsidTr="002C41F9">
        <w:trPr>
          <w:cantSplit/>
          <w:trHeight w:val="283"/>
        </w:trPr>
        <w:tc>
          <w:tcPr>
            <w:tcW w:w="567" w:type="dxa"/>
            <w:tcBorders>
              <w:left w:val="nil"/>
              <w:right w:val="single" w:sz="4" w:space="0" w:color="auto"/>
            </w:tcBorders>
          </w:tcPr>
          <w:p w14:paraId="6C1452B7"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8b</w:t>
            </w:r>
          </w:p>
        </w:tc>
        <w:tc>
          <w:tcPr>
            <w:tcW w:w="3402" w:type="dxa"/>
            <w:tcBorders>
              <w:left w:val="nil"/>
              <w:right w:val="single" w:sz="4" w:space="0" w:color="auto"/>
            </w:tcBorders>
          </w:tcPr>
          <w:p w14:paraId="62B61D21" w14:textId="77777777" w:rsidR="00862754" w:rsidRPr="00862754" w:rsidRDefault="00862754" w:rsidP="00862754">
            <w:pPr>
              <w:snapToGrid w:val="0"/>
              <w:spacing w:before="40" w:after="40"/>
              <w:ind w:left="175"/>
              <w:rPr>
                <w:rFonts w:ascii="Calibri" w:eastAsia="細明體" w:hAnsi="Calibri"/>
                <w:sz w:val="16"/>
                <w:szCs w:val="16"/>
                <w:lang w:eastAsia="zh-TW"/>
              </w:rPr>
            </w:pPr>
            <w:r w:rsidRPr="00862754">
              <w:rPr>
                <w:rFonts w:ascii="Calibri" w:eastAsia="細明體" w:hAnsi="Calibri" w:hint="eastAsia"/>
                <w:sz w:val="16"/>
                <w:szCs w:val="16"/>
                <w:lang w:eastAsia="zh-TW"/>
              </w:rPr>
              <w:t>其中：監管住宅地產風險承擔（</w:t>
            </w:r>
            <w:r w:rsidRPr="00862754">
              <w:rPr>
                <w:rFonts w:ascii="Calibri" w:eastAsia="細明體" w:hAnsi="Calibri"/>
                <w:sz w:val="16"/>
                <w:szCs w:val="16"/>
                <w:lang w:eastAsia="zh-TW"/>
              </w:rPr>
              <w:t>在關鍵程度上</w:t>
            </w:r>
            <w:r w:rsidRPr="00862754">
              <w:rPr>
                <w:rFonts w:ascii="Calibri" w:eastAsia="細明體" w:hAnsi="Calibri" w:hint="eastAsia"/>
                <w:sz w:val="16"/>
                <w:szCs w:val="16"/>
                <w:lang w:eastAsia="zh-HK"/>
              </w:rPr>
              <w:t>有賴</w:t>
            </w:r>
            <w:r w:rsidRPr="00862754">
              <w:rPr>
                <w:rFonts w:ascii="Calibri" w:eastAsia="細明體" w:hAnsi="Calibri"/>
                <w:sz w:val="16"/>
                <w:szCs w:val="16"/>
                <w:lang w:eastAsia="zh-TW"/>
              </w:rPr>
              <w:t>於</w:t>
            </w:r>
            <w:r w:rsidRPr="00862754">
              <w:rPr>
                <w:rFonts w:ascii="Calibri" w:eastAsia="細明體" w:hAnsi="Calibri" w:hint="eastAsia"/>
                <w:sz w:val="16"/>
                <w:szCs w:val="16"/>
                <w:lang w:eastAsia="zh-HK"/>
              </w:rPr>
              <w:t>按揭</w:t>
            </w:r>
            <w:r w:rsidRPr="00862754">
              <w:rPr>
                <w:rFonts w:ascii="Calibri" w:eastAsia="細明體" w:hAnsi="Calibri" w:hint="eastAsia"/>
                <w:sz w:val="16"/>
                <w:szCs w:val="16"/>
                <w:lang w:eastAsia="zh-TW"/>
              </w:rPr>
              <w:t>物業所產生的現金流）</w:t>
            </w:r>
          </w:p>
        </w:tc>
        <w:tc>
          <w:tcPr>
            <w:tcW w:w="1843" w:type="dxa"/>
            <w:tcBorders>
              <w:left w:val="single" w:sz="4" w:space="0" w:color="auto"/>
              <w:right w:val="single" w:sz="4" w:space="0" w:color="auto"/>
            </w:tcBorders>
          </w:tcPr>
          <w:p w14:paraId="7F88757E"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3110624D"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5C9803CE"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4ED6DBE3"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23BE7C71"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5DB8C0E2" w14:textId="77777777" w:rsidR="00862754" w:rsidRPr="00862754" w:rsidRDefault="00862754" w:rsidP="00862754">
            <w:pPr>
              <w:snapToGrid w:val="0"/>
              <w:spacing w:before="40" w:after="40"/>
              <w:rPr>
                <w:sz w:val="17"/>
                <w:lang w:eastAsia="zh-TW"/>
              </w:rPr>
            </w:pPr>
          </w:p>
        </w:tc>
      </w:tr>
      <w:tr w:rsidR="00862754" w:rsidRPr="00862754" w14:paraId="35383E02" w14:textId="77777777" w:rsidTr="002C41F9">
        <w:trPr>
          <w:cantSplit/>
          <w:trHeight w:val="283"/>
        </w:trPr>
        <w:tc>
          <w:tcPr>
            <w:tcW w:w="567" w:type="dxa"/>
            <w:tcBorders>
              <w:left w:val="nil"/>
              <w:right w:val="single" w:sz="4" w:space="0" w:color="auto"/>
            </w:tcBorders>
          </w:tcPr>
          <w:p w14:paraId="27CB9716"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8c</w:t>
            </w:r>
          </w:p>
        </w:tc>
        <w:tc>
          <w:tcPr>
            <w:tcW w:w="3402" w:type="dxa"/>
            <w:tcBorders>
              <w:left w:val="nil"/>
              <w:right w:val="single" w:sz="4" w:space="0" w:color="auto"/>
            </w:tcBorders>
          </w:tcPr>
          <w:p w14:paraId="486FDDEA" w14:textId="77777777" w:rsidR="00862754" w:rsidRPr="00862754" w:rsidRDefault="00862754" w:rsidP="00862754">
            <w:pPr>
              <w:snapToGrid w:val="0"/>
              <w:spacing w:before="40" w:after="40"/>
              <w:ind w:left="175"/>
              <w:rPr>
                <w:rFonts w:ascii="Calibri" w:eastAsia="細明體" w:hAnsi="Calibri"/>
                <w:sz w:val="16"/>
                <w:szCs w:val="16"/>
                <w:lang w:eastAsia="zh-TW"/>
              </w:rPr>
            </w:pPr>
            <w:r w:rsidRPr="00862754">
              <w:rPr>
                <w:rFonts w:ascii="Calibri" w:eastAsia="細明體" w:hAnsi="Calibri" w:hint="eastAsia"/>
                <w:sz w:val="16"/>
                <w:szCs w:val="16"/>
                <w:lang w:eastAsia="zh-TW"/>
              </w:rPr>
              <w:t>其中：其他地產風險承擔</w:t>
            </w:r>
          </w:p>
        </w:tc>
        <w:tc>
          <w:tcPr>
            <w:tcW w:w="1843" w:type="dxa"/>
            <w:tcBorders>
              <w:left w:val="single" w:sz="4" w:space="0" w:color="auto"/>
              <w:right w:val="single" w:sz="4" w:space="0" w:color="auto"/>
            </w:tcBorders>
          </w:tcPr>
          <w:p w14:paraId="06A13952"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7220B40F"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6BA8A945"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4072A5CA"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094F1B9D"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3AE318B9" w14:textId="77777777" w:rsidR="00862754" w:rsidRPr="00862754" w:rsidRDefault="00862754" w:rsidP="00862754">
            <w:pPr>
              <w:snapToGrid w:val="0"/>
              <w:spacing w:before="40" w:after="40"/>
              <w:rPr>
                <w:sz w:val="17"/>
                <w:lang w:eastAsia="zh-TW"/>
              </w:rPr>
            </w:pPr>
          </w:p>
        </w:tc>
      </w:tr>
      <w:tr w:rsidR="00862754" w:rsidRPr="00862754" w14:paraId="7715A4A0" w14:textId="77777777" w:rsidTr="002C41F9">
        <w:trPr>
          <w:cantSplit/>
          <w:trHeight w:val="283"/>
        </w:trPr>
        <w:tc>
          <w:tcPr>
            <w:tcW w:w="567" w:type="dxa"/>
            <w:tcBorders>
              <w:left w:val="nil"/>
              <w:right w:val="single" w:sz="4" w:space="0" w:color="auto"/>
            </w:tcBorders>
          </w:tcPr>
          <w:p w14:paraId="49AFB389"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9</w:t>
            </w:r>
          </w:p>
        </w:tc>
        <w:tc>
          <w:tcPr>
            <w:tcW w:w="3402" w:type="dxa"/>
            <w:tcBorders>
              <w:left w:val="nil"/>
              <w:right w:val="single" w:sz="4" w:space="0" w:color="auto"/>
            </w:tcBorders>
          </w:tcPr>
          <w:p w14:paraId="74875C51"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股</w:t>
            </w:r>
            <w:proofErr w:type="gramStart"/>
            <w:r w:rsidRPr="00862754">
              <w:rPr>
                <w:rFonts w:ascii="Calibri" w:eastAsia="細明體" w:hAnsi="Calibri" w:hint="eastAsia"/>
                <w:sz w:val="16"/>
                <w:szCs w:val="16"/>
                <w:lang w:eastAsia="zh-CN"/>
              </w:rPr>
              <w:t>權</w:t>
            </w:r>
            <w:proofErr w:type="gramEnd"/>
            <w:r w:rsidRPr="00862754">
              <w:rPr>
                <w:rFonts w:ascii="Calibri" w:eastAsia="細明體" w:hAnsi="Calibri" w:hint="eastAsia"/>
                <w:sz w:val="16"/>
                <w:szCs w:val="16"/>
                <w:lang w:eastAsia="zh-CN"/>
              </w:rPr>
              <w:t>風險承</w:t>
            </w:r>
            <w:proofErr w:type="gramStart"/>
            <w:r w:rsidRPr="00862754">
              <w:rPr>
                <w:rFonts w:ascii="Calibri" w:eastAsia="細明體" w:hAnsi="Calibri" w:hint="eastAsia"/>
                <w:sz w:val="16"/>
                <w:szCs w:val="16"/>
                <w:lang w:eastAsia="zh-CN"/>
              </w:rPr>
              <w:t>擔</w:t>
            </w:r>
            <w:proofErr w:type="gramEnd"/>
          </w:p>
        </w:tc>
        <w:tc>
          <w:tcPr>
            <w:tcW w:w="1843" w:type="dxa"/>
            <w:tcBorders>
              <w:left w:val="single" w:sz="4" w:space="0" w:color="auto"/>
              <w:right w:val="single" w:sz="4" w:space="0" w:color="auto"/>
            </w:tcBorders>
          </w:tcPr>
          <w:p w14:paraId="07ED8F8F"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3FA90571" w14:textId="77777777" w:rsidR="00862754" w:rsidRPr="00862754" w:rsidRDefault="00862754" w:rsidP="00862754">
            <w:pPr>
              <w:snapToGrid w:val="0"/>
              <w:spacing w:before="40" w:after="40"/>
              <w:rPr>
                <w:sz w:val="17"/>
                <w:lang w:eastAsia="en-GB"/>
              </w:rPr>
            </w:pPr>
          </w:p>
        </w:tc>
        <w:tc>
          <w:tcPr>
            <w:tcW w:w="1843" w:type="dxa"/>
            <w:tcBorders>
              <w:left w:val="single" w:sz="4" w:space="0" w:color="auto"/>
              <w:right w:val="single" w:sz="4" w:space="0" w:color="auto"/>
            </w:tcBorders>
          </w:tcPr>
          <w:p w14:paraId="52428522"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5CFA5552"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0AA8212E"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6F0D94E2" w14:textId="77777777" w:rsidR="00862754" w:rsidRPr="00862754" w:rsidRDefault="00862754" w:rsidP="00862754">
            <w:pPr>
              <w:snapToGrid w:val="0"/>
              <w:spacing w:before="40" w:after="40"/>
              <w:rPr>
                <w:sz w:val="17"/>
                <w:lang w:eastAsia="en-GB"/>
              </w:rPr>
            </w:pPr>
          </w:p>
        </w:tc>
      </w:tr>
      <w:tr w:rsidR="00862754" w:rsidRPr="00862754" w14:paraId="7F9489E8" w14:textId="77777777" w:rsidTr="002C41F9">
        <w:trPr>
          <w:cantSplit/>
          <w:trHeight w:val="283"/>
        </w:trPr>
        <w:tc>
          <w:tcPr>
            <w:tcW w:w="567" w:type="dxa"/>
            <w:tcBorders>
              <w:left w:val="nil"/>
              <w:right w:val="single" w:sz="4" w:space="0" w:color="auto"/>
            </w:tcBorders>
          </w:tcPr>
          <w:p w14:paraId="14597827"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10</w:t>
            </w:r>
          </w:p>
        </w:tc>
        <w:tc>
          <w:tcPr>
            <w:tcW w:w="3402" w:type="dxa"/>
            <w:tcBorders>
              <w:left w:val="nil"/>
              <w:right w:val="single" w:sz="4" w:space="0" w:color="auto"/>
            </w:tcBorders>
            <w:shd w:val="clear" w:color="auto" w:fill="auto"/>
          </w:tcPr>
          <w:p w14:paraId="4763248B"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TW"/>
              </w:rPr>
              <w:t>對商業實體的重大資本投資</w:t>
            </w:r>
          </w:p>
        </w:tc>
        <w:tc>
          <w:tcPr>
            <w:tcW w:w="1843" w:type="dxa"/>
            <w:tcBorders>
              <w:left w:val="single" w:sz="4" w:space="0" w:color="auto"/>
              <w:right w:val="single" w:sz="4" w:space="0" w:color="auto"/>
            </w:tcBorders>
          </w:tcPr>
          <w:p w14:paraId="417DC110"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1064511E"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73889841"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5A45E3D5"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464243B6"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772C7514" w14:textId="77777777" w:rsidR="00862754" w:rsidRPr="00862754" w:rsidRDefault="00862754" w:rsidP="00862754">
            <w:pPr>
              <w:snapToGrid w:val="0"/>
              <w:spacing w:before="40" w:after="40"/>
              <w:rPr>
                <w:sz w:val="17"/>
                <w:lang w:eastAsia="zh-TW"/>
              </w:rPr>
            </w:pPr>
          </w:p>
        </w:tc>
      </w:tr>
      <w:tr w:rsidR="00862754" w:rsidRPr="00862754" w14:paraId="2193799C" w14:textId="77777777" w:rsidTr="002C41F9">
        <w:trPr>
          <w:cantSplit/>
          <w:trHeight w:val="283"/>
        </w:trPr>
        <w:tc>
          <w:tcPr>
            <w:tcW w:w="567" w:type="dxa"/>
            <w:tcBorders>
              <w:left w:val="nil"/>
              <w:right w:val="single" w:sz="4" w:space="0" w:color="auto"/>
            </w:tcBorders>
          </w:tcPr>
          <w:p w14:paraId="007B7D0D"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11</w:t>
            </w:r>
          </w:p>
        </w:tc>
        <w:tc>
          <w:tcPr>
            <w:tcW w:w="3402" w:type="dxa"/>
            <w:tcBorders>
              <w:left w:val="nil"/>
              <w:right w:val="single" w:sz="4" w:space="0" w:color="auto"/>
            </w:tcBorders>
          </w:tcPr>
          <w:p w14:paraId="1C790144" w14:textId="77777777" w:rsidR="00862754" w:rsidRPr="00862754" w:rsidRDefault="00862754" w:rsidP="00862754">
            <w:pPr>
              <w:snapToGrid w:val="0"/>
              <w:spacing w:before="40" w:after="40"/>
              <w:rPr>
                <w:rFonts w:ascii="Calibri" w:eastAsia="細明體" w:hAnsi="Calibri"/>
                <w:sz w:val="16"/>
                <w:szCs w:val="16"/>
                <w:lang w:eastAsia="zh-HK"/>
              </w:rPr>
            </w:pPr>
            <w:r w:rsidRPr="00862754">
              <w:rPr>
                <w:rFonts w:ascii="Calibri" w:eastAsia="細明體" w:hAnsi="Calibri" w:hint="eastAsia"/>
                <w:sz w:val="16"/>
                <w:szCs w:val="16"/>
                <w:lang w:eastAsia="zh-HK"/>
              </w:rPr>
              <w:t>持有</w:t>
            </w:r>
            <w:r w:rsidRPr="00862754">
              <w:rPr>
                <w:rFonts w:ascii="Calibri" w:eastAsia="細明體" w:hAnsi="Calibri" w:hint="eastAsia"/>
                <w:sz w:val="16"/>
                <w:szCs w:val="16"/>
                <w:lang w:eastAsia="zh-TW"/>
              </w:rPr>
              <w:t>由金融業實體發行的資本票據及</w:t>
            </w:r>
            <w:r w:rsidRPr="00862754">
              <w:rPr>
                <w:rFonts w:ascii="Calibri" w:eastAsia="細明體" w:hAnsi="Calibri" w:hint="eastAsia"/>
                <w:sz w:val="16"/>
                <w:szCs w:val="16"/>
                <w:lang w:eastAsia="zh-HK"/>
              </w:rPr>
              <w:t>該等</w:t>
            </w:r>
            <w:r w:rsidRPr="00862754">
              <w:rPr>
                <w:rFonts w:ascii="Calibri" w:eastAsia="細明體" w:hAnsi="Calibri" w:hint="eastAsia"/>
                <w:sz w:val="16"/>
                <w:szCs w:val="16"/>
                <w:lang w:eastAsia="zh-TW"/>
              </w:rPr>
              <w:t>實體的非資本</w:t>
            </w:r>
            <w:r w:rsidRPr="00792E2D">
              <w:rPr>
                <w:rFonts w:eastAsia="細明體" w:cs="Segoe UI"/>
                <w:sz w:val="16"/>
                <w:szCs w:val="16"/>
                <w:lang w:eastAsia="zh-TW"/>
              </w:rPr>
              <w:t>LAC</w:t>
            </w:r>
            <w:r w:rsidRPr="00862754">
              <w:rPr>
                <w:rFonts w:ascii="Calibri" w:eastAsia="細明體" w:hAnsi="Calibri" w:hint="eastAsia"/>
                <w:sz w:val="16"/>
                <w:szCs w:val="16"/>
                <w:lang w:eastAsia="zh-TW"/>
              </w:rPr>
              <w:t>負債</w:t>
            </w:r>
          </w:p>
        </w:tc>
        <w:tc>
          <w:tcPr>
            <w:tcW w:w="1843" w:type="dxa"/>
            <w:tcBorders>
              <w:left w:val="single" w:sz="4" w:space="0" w:color="auto"/>
              <w:right w:val="single" w:sz="4" w:space="0" w:color="auto"/>
            </w:tcBorders>
          </w:tcPr>
          <w:p w14:paraId="69324141"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47FE3EC1"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7FBA5610"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2A84AFDB"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3F5B2AC4"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2784829D" w14:textId="77777777" w:rsidR="00862754" w:rsidRPr="00862754" w:rsidRDefault="00862754" w:rsidP="00862754">
            <w:pPr>
              <w:snapToGrid w:val="0"/>
              <w:spacing w:before="40" w:after="40"/>
              <w:rPr>
                <w:sz w:val="17"/>
                <w:lang w:eastAsia="zh-TW"/>
              </w:rPr>
            </w:pPr>
          </w:p>
        </w:tc>
      </w:tr>
      <w:tr w:rsidR="00862754" w:rsidRPr="00862754" w14:paraId="23D5BADC" w14:textId="77777777" w:rsidTr="002C41F9">
        <w:trPr>
          <w:cantSplit/>
          <w:trHeight w:val="283"/>
        </w:trPr>
        <w:tc>
          <w:tcPr>
            <w:tcW w:w="567" w:type="dxa"/>
            <w:tcBorders>
              <w:left w:val="nil"/>
              <w:right w:val="single" w:sz="4" w:space="0" w:color="auto"/>
            </w:tcBorders>
          </w:tcPr>
          <w:p w14:paraId="31AD0E78" w14:textId="77777777" w:rsidR="00862754" w:rsidRPr="00862754" w:rsidDel="00FE675E" w:rsidRDefault="00862754" w:rsidP="00862754">
            <w:pPr>
              <w:snapToGrid w:val="0"/>
              <w:spacing w:before="40" w:after="40"/>
              <w:rPr>
                <w:rFonts w:cs="Segoe UI"/>
                <w:sz w:val="16"/>
                <w:szCs w:val="16"/>
                <w:lang w:eastAsia="en-GB"/>
              </w:rPr>
            </w:pPr>
            <w:r w:rsidRPr="00862754">
              <w:rPr>
                <w:rFonts w:cs="Segoe UI"/>
                <w:sz w:val="16"/>
                <w:szCs w:val="16"/>
                <w:lang w:eastAsia="en-GB"/>
              </w:rPr>
              <w:t>12</w:t>
            </w:r>
          </w:p>
        </w:tc>
        <w:tc>
          <w:tcPr>
            <w:tcW w:w="3402" w:type="dxa"/>
            <w:tcBorders>
              <w:left w:val="nil"/>
              <w:right w:val="single" w:sz="4" w:space="0" w:color="auto"/>
            </w:tcBorders>
          </w:tcPr>
          <w:p w14:paraId="5710DF4B"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細明體" w:hAnsi="Calibri" w:hint="eastAsia"/>
                <w:sz w:val="16"/>
                <w:szCs w:val="16"/>
                <w:lang w:eastAsia="zh-HK"/>
              </w:rPr>
              <w:t>由</w:t>
            </w:r>
            <w:r w:rsidRPr="00862754">
              <w:rPr>
                <w:rFonts w:ascii="Calibri" w:eastAsia="細明體" w:hAnsi="Calibri" w:hint="eastAsia"/>
                <w:sz w:val="16"/>
                <w:szCs w:val="16"/>
                <w:lang w:eastAsia="zh-TW"/>
              </w:rPr>
              <w:t>銀行及法團發行的後償債項</w:t>
            </w:r>
          </w:p>
        </w:tc>
        <w:tc>
          <w:tcPr>
            <w:tcW w:w="1843" w:type="dxa"/>
            <w:tcBorders>
              <w:left w:val="single" w:sz="4" w:space="0" w:color="auto"/>
              <w:right w:val="single" w:sz="4" w:space="0" w:color="auto"/>
            </w:tcBorders>
          </w:tcPr>
          <w:p w14:paraId="3D5327F3"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3A3057BD"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6BA2CBEB"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5F75E38A"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48A717FF"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4D507CEF" w14:textId="77777777" w:rsidR="00862754" w:rsidRPr="00862754" w:rsidRDefault="00862754" w:rsidP="00862754">
            <w:pPr>
              <w:snapToGrid w:val="0"/>
              <w:spacing w:before="40" w:after="40"/>
              <w:rPr>
                <w:sz w:val="17"/>
                <w:lang w:eastAsia="zh-TW"/>
              </w:rPr>
            </w:pPr>
          </w:p>
        </w:tc>
      </w:tr>
      <w:tr w:rsidR="00862754" w:rsidRPr="00862754" w14:paraId="2368D0B7" w14:textId="77777777" w:rsidTr="002C41F9">
        <w:trPr>
          <w:cantSplit/>
          <w:trHeight w:val="283"/>
        </w:trPr>
        <w:tc>
          <w:tcPr>
            <w:tcW w:w="567" w:type="dxa"/>
            <w:tcBorders>
              <w:left w:val="nil"/>
              <w:right w:val="single" w:sz="4" w:space="0" w:color="auto"/>
            </w:tcBorders>
          </w:tcPr>
          <w:p w14:paraId="596E6230"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13</w:t>
            </w:r>
          </w:p>
        </w:tc>
        <w:tc>
          <w:tcPr>
            <w:tcW w:w="3402" w:type="dxa"/>
            <w:tcBorders>
              <w:left w:val="nil"/>
              <w:right w:val="single" w:sz="4" w:space="0" w:color="auto"/>
            </w:tcBorders>
          </w:tcPr>
          <w:p w14:paraId="7AB9A439"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現金及黃金</w:t>
            </w:r>
          </w:p>
        </w:tc>
        <w:tc>
          <w:tcPr>
            <w:tcW w:w="1843" w:type="dxa"/>
            <w:tcBorders>
              <w:left w:val="single" w:sz="4" w:space="0" w:color="auto"/>
              <w:right w:val="single" w:sz="4" w:space="0" w:color="auto"/>
            </w:tcBorders>
          </w:tcPr>
          <w:p w14:paraId="3EDE2847"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6BBBF226" w14:textId="77777777" w:rsidR="00862754" w:rsidRPr="00862754" w:rsidRDefault="00862754" w:rsidP="00862754">
            <w:pPr>
              <w:snapToGrid w:val="0"/>
              <w:spacing w:before="40" w:after="40"/>
              <w:rPr>
                <w:sz w:val="17"/>
                <w:lang w:eastAsia="en-GB"/>
              </w:rPr>
            </w:pPr>
          </w:p>
        </w:tc>
        <w:tc>
          <w:tcPr>
            <w:tcW w:w="1843" w:type="dxa"/>
            <w:tcBorders>
              <w:left w:val="single" w:sz="4" w:space="0" w:color="auto"/>
              <w:right w:val="single" w:sz="4" w:space="0" w:color="auto"/>
            </w:tcBorders>
          </w:tcPr>
          <w:p w14:paraId="24458B26"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1AF807A6"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384A32C9"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118B2DCD" w14:textId="77777777" w:rsidR="00862754" w:rsidRPr="00862754" w:rsidRDefault="00862754" w:rsidP="00862754">
            <w:pPr>
              <w:snapToGrid w:val="0"/>
              <w:spacing w:before="40" w:after="40"/>
              <w:rPr>
                <w:sz w:val="17"/>
                <w:lang w:eastAsia="en-GB"/>
              </w:rPr>
            </w:pPr>
          </w:p>
        </w:tc>
      </w:tr>
      <w:tr w:rsidR="00862754" w:rsidRPr="00862754" w14:paraId="72B42DF7" w14:textId="77777777" w:rsidTr="002C41F9">
        <w:trPr>
          <w:cantSplit/>
          <w:trHeight w:val="283"/>
        </w:trPr>
        <w:tc>
          <w:tcPr>
            <w:tcW w:w="567" w:type="dxa"/>
            <w:tcBorders>
              <w:left w:val="nil"/>
              <w:right w:val="single" w:sz="4" w:space="0" w:color="auto"/>
            </w:tcBorders>
          </w:tcPr>
          <w:p w14:paraId="071BBBA6"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14</w:t>
            </w:r>
          </w:p>
        </w:tc>
        <w:tc>
          <w:tcPr>
            <w:tcW w:w="3402" w:type="dxa"/>
            <w:tcBorders>
              <w:left w:val="nil"/>
              <w:right w:val="single" w:sz="4" w:space="0" w:color="auto"/>
            </w:tcBorders>
          </w:tcPr>
          <w:p w14:paraId="4DFA8780" w14:textId="77777777" w:rsidR="00862754" w:rsidRPr="00862754" w:rsidRDefault="00862754" w:rsidP="00862754">
            <w:pPr>
              <w:snapToGrid w:val="0"/>
              <w:spacing w:before="40" w:after="40"/>
              <w:rPr>
                <w:rFonts w:ascii="Calibri" w:eastAsia="細明體" w:hAnsi="Calibri"/>
                <w:sz w:val="16"/>
                <w:szCs w:val="16"/>
                <w:lang w:eastAsia="zh-TW"/>
              </w:rPr>
            </w:pPr>
            <w:r w:rsidRPr="00862754">
              <w:rPr>
                <w:rFonts w:ascii="Calibri" w:eastAsia="新細明體" w:hAnsi="Calibri" w:hint="eastAsia"/>
                <w:sz w:val="16"/>
                <w:szCs w:val="16"/>
                <w:lang w:eastAsia="zh-HK"/>
              </w:rPr>
              <w:t>處</w:t>
            </w:r>
            <w:r w:rsidRPr="00862754">
              <w:rPr>
                <w:rFonts w:ascii="Calibri" w:eastAsia="新細明體" w:hAnsi="Calibri" w:hint="eastAsia"/>
                <w:sz w:val="16"/>
                <w:szCs w:val="16"/>
                <w:lang w:eastAsia="zh-TW"/>
              </w:rPr>
              <w:t>於</w:t>
            </w:r>
            <w:r w:rsidRPr="00862754">
              <w:rPr>
                <w:rFonts w:ascii="Calibri" w:eastAsia="細明體" w:hAnsi="Calibri" w:hint="eastAsia"/>
                <w:sz w:val="16"/>
                <w:szCs w:val="16"/>
                <w:lang w:eastAsia="zh-TW"/>
              </w:rPr>
              <w:t>結算或交收過程中的項目</w:t>
            </w:r>
          </w:p>
        </w:tc>
        <w:tc>
          <w:tcPr>
            <w:tcW w:w="1843" w:type="dxa"/>
            <w:tcBorders>
              <w:left w:val="single" w:sz="4" w:space="0" w:color="auto"/>
              <w:right w:val="single" w:sz="4" w:space="0" w:color="auto"/>
            </w:tcBorders>
          </w:tcPr>
          <w:p w14:paraId="1F2D1C2F"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209EF305" w14:textId="77777777" w:rsidR="00862754" w:rsidRPr="00862754" w:rsidRDefault="00862754" w:rsidP="00862754">
            <w:pPr>
              <w:snapToGrid w:val="0"/>
              <w:spacing w:before="40" w:after="40"/>
              <w:rPr>
                <w:sz w:val="17"/>
                <w:lang w:eastAsia="zh-TW"/>
              </w:rPr>
            </w:pPr>
          </w:p>
        </w:tc>
        <w:tc>
          <w:tcPr>
            <w:tcW w:w="1843" w:type="dxa"/>
            <w:tcBorders>
              <w:left w:val="single" w:sz="4" w:space="0" w:color="auto"/>
              <w:right w:val="single" w:sz="4" w:space="0" w:color="auto"/>
            </w:tcBorders>
          </w:tcPr>
          <w:p w14:paraId="0CDDC649" w14:textId="77777777" w:rsidR="00862754" w:rsidRPr="00862754" w:rsidRDefault="00862754" w:rsidP="00862754">
            <w:pPr>
              <w:snapToGrid w:val="0"/>
              <w:spacing w:before="40" w:after="40"/>
              <w:rPr>
                <w:sz w:val="17"/>
                <w:lang w:eastAsia="zh-TW"/>
              </w:rPr>
            </w:pPr>
          </w:p>
        </w:tc>
        <w:tc>
          <w:tcPr>
            <w:tcW w:w="1701" w:type="dxa"/>
            <w:tcBorders>
              <w:left w:val="single" w:sz="4" w:space="0" w:color="auto"/>
              <w:right w:val="single" w:sz="4" w:space="0" w:color="auto"/>
            </w:tcBorders>
          </w:tcPr>
          <w:p w14:paraId="330C8C3A" w14:textId="77777777" w:rsidR="00862754" w:rsidRPr="00862754" w:rsidRDefault="00862754" w:rsidP="00862754">
            <w:pPr>
              <w:snapToGrid w:val="0"/>
              <w:spacing w:before="40" w:after="40"/>
              <w:rPr>
                <w:sz w:val="17"/>
                <w:lang w:eastAsia="zh-TW"/>
              </w:rPr>
            </w:pPr>
          </w:p>
        </w:tc>
        <w:tc>
          <w:tcPr>
            <w:tcW w:w="1417" w:type="dxa"/>
            <w:tcBorders>
              <w:left w:val="single" w:sz="4" w:space="0" w:color="auto"/>
              <w:right w:val="single" w:sz="4" w:space="0" w:color="auto"/>
            </w:tcBorders>
          </w:tcPr>
          <w:p w14:paraId="036C5F45" w14:textId="77777777" w:rsidR="00862754" w:rsidRPr="00862754" w:rsidRDefault="00862754" w:rsidP="00862754">
            <w:pPr>
              <w:snapToGrid w:val="0"/>
              <w:spacing w:before="40" w:after="40"/>
              <w:rPr>
                <w:sz w:val="17"/>
                <w:lang w:eastAsia="zh-TW"/>
              </w:rPr>
            </w:pPr>
          </w:p>
        </w:tc>
        <w:tc>
          <w:tcPr>
            <w:tcW w:w="1418" w:type="dxa"/>
            <w:tcBorders>
              <w:left w:val="single" w:sz="4" w:space="0" w:color="auto"/>
              <w:right w:val="single" w:sz="4" w:space="0" w:color="auto"/>
            </w:tcBorders>
          </w:tcPr>
          <w:p w14:paraId="6F8F9781" w14:textId="77777777" w:rsidR="00862754" w:rsidRPr="00862754" w:rsidRDefault="00862754" w:rsidP="00862754">
            <w:pPr>
              <w:snapToGrid w:val="0"/>
              <w:spacing w:before="40" w:after="40"/>
              <w:rPr>
                <w:sz w:val="17"/>
                <w:lang w:eastAsia="zh-TW"/>
              </w:rPr>
            </w:pPr>
          </w:p>
        </w:tc>
      </w:tr>
      <w:tr w:rsidR="00862754" w:rsidRPr="00862754" w14:paraId="78C78446" w14:textId="77777777" w:rsidTr="002C41F9">
        <w:trPr>
          <w:cantSplit/>
          <w:trHeight w:val="283"/>
        </w:trPr>
        <w:tc>
          <w:tcPr>
            <w:tcW w:w="567" w:type="dxa"/>
            <w:tcBorders>
              <w:left w:val="nil"/>
              <w:right w:val="single" w:sz="4" w:space="0" w:color="auto"/>
            </w:tcBorders>
          </w:tcPr>
          <w:p w14:paraId="0554518C"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15</w:t>
            </w:r>
          </w:p>
        </w:tc>
        <w:tc>
          <w:tcPr>
            <w:tcW w:w="3402" w:type="dxa"/>
            <w:tcBorders>
              <w:left w:val="nil"/>
              <w:right w:val="single" w:sz="4" w:space="0" w:color="auto"/>
            </w:tcBorders>
          </w:tcPr>
          <w:p w14:paraId="0EC9223B" w14:textId="77777777" w:rsidR="00862754" w:rsidRPr="00862754" w:rsidRDefault="00862754" w:rsidP="00862754">
            <w:pPr>
              <w:snapToGrid w:val="0"/>
              <w:spacing w:before="40" w:after="40"/>
              <w:rPr>
                <w:rFonts w:ascii="Calibri" w:eastAsia="細明體" w:hAnsi="Calibri"/>
                <w:sz w:val="16"/>
                <w:szCs w:val="16"/>
                <w:lang w:eastAsia="zh-CN"/>
              </w:rPr>
            </w:pPr>
            <w:r w:rsidRPr="00862754">
              <w:rPr>
                <w:rFonts w:ascii="Calibri" w:eastAsia="細明體" w:hAnsi="Calibri" w:hint="eastAsia"/>
                <w:sz w:val="16"/>
                <w:szCs w:val="16"/>
                <w:lang w:eastAsia="zh-CN"/>
              </w:rPr>
              <w:t>其他風險承</w:t>
            </w:r>
            <w:proofErr w:type="gramStart"/>
            <w:r w:rsidRPr="00862754">
              <w:rPr>
                <w:rFonts w:ascii="Calibri" w:eastAsia="細明體" w:hAnsi="Calibri" w:hint="eastAsia"/>
                <w:sz w:val="16"/>
                <w:szCs w:val="16"/>
                <w:lang w:eastAsia="zh-CN"/>
              </w:rPr>
              <w:t>擔</w:t>
            </w:r>
            <w:proofErr w:type="gramEnd"/>
          </w:p>
        </w:tc>
        <w:tc>
          <w:tcPr>
            <w:tcW w:w="1843" w:type="dxa"/>
            <w:tcBorders>
              <w:left w:val="single" w:sz="4" w:space="0" w:color="auto"/>
              <w:right w:val="single" w:sz="4" w:space="0" w:color="auto"/>
            </w:tcBorders>
          </w:tcPr>
          <w:p w14:paraId="5532F804"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1F618F57" w14:textId="77777777" w:rsidR="00862754" w:rsidRPr="00862754" w:rsidRDefault="00862754" w:rsidP="00862754">
            <w:pPr>
              <w:snapToGrid w:val="0"/>
              <w:spacing w:before="40" w:after="40"/>
              <w:rPr>
                <w:sz w:val="17"/>
                <w:lang w:eastAsia="en-GB"/>
              </w:rPr>
            </w:pPr>
          </w:p>
        </w:tc>
        <w:tc>
          <w:tcPr>
            <w:tcW w:w="1843" w:type="dxa"/>
            <w:tcBorders>
              <w:left w:val="single" w:sz="4" w:space="0" w:color="auto"/>
              <w:right w:val="single" w:sz="4" w:space="0" w:color="auto"/>
            </w:tcBorders>
          </w:tcPr>
          <w:p w14:paraId="7CC4C6EE" w14:textId="77777777" w:rsidR="00862754" w:rsidRPr="00862754" w:rsidRDefault="00862754" w:rsidP="00862754">
            <w:pPr>
              <w:snapToGrid w:val="0"/>
              <w:spacing w:before="40" w:after="40"/>
              <w:rPr>
                <w:sz w:val="17"/>
                <w:lang w:eastAsia="en-GB"/>
              </w:rPr>
            </w:pPr>
          </w:p>
        </w:tc>
        <w:tc>
          <w:tcPr>
            <w:tcW w:w="1701" w:type="dxa"/>
            <w:tcBorders>
              <w:left w:val="single" w:sz="4" w:space="0" w:color="auto"/>
              <w:right w:val="single" w:sz="4" w:space="0" w:color="auto"/>
            </w:tcBorders>
          </w:tcPr>
          <w:p w14:paraId="24109FDC" w14:textId="77777777" w:rsidR="00862754" w:rsidRPr="00862754" w:rsidRDefault="00862754" w:rsidP="00862754">
            <w:pPr>
              <w:snapToGrid w:val="0"/>
              <w:spacing w:before="40" w:after="40"/>
              <w:rPr>
                <w:sz w:val="17"/>
                <w:lang w:eastAsia="en-GB"/>
              </w:rPr>
            </w:pPr>
          </w:p>
        </w:tc>
        <w:tc>
          <w:tcPr>
            <w:tcW w:w="1417" w:type="dxa"/>
            <w:tcBorders>
              <w:left w:val="single" w:sz="4" w:space="0" w:color="auto"/>
              <w:right w:val="single" w:sz="4" w:space="0" w:color="auto"/>
            </w:tcBorders>
          </w:tcPr>
          <w:p w14:paraId="2CD17717" w14:textId="77777777" w:rsidR="00862754" w:rsidRPr="00862754" w:rsidRDefault="00862754" w:rsidP="00862754">
            <w:pPr>
              <w:snapToGrid w:val="0"/>
              <w:spacing w:before="40" w:after="40"/>
              <w:rPr>
                <w:sz w:val="17"/>
                <w:lang w:eastAsia="en-GB"/>
              </w:rPr>
            </w:pPr>
          </w:p>
        </w:tc>
        <w:tc>
          <w:tcPr>
            <w:tcW w:w="1418" w:type="dxa"/>
            <w:tcBorders>
              <w:left w:val="single" w:sz="4" w:space="0" w:color="auto"/>
              <w:right w:val="single" w:sz="4" w:space="0" w:color="auto"/>
            </w:tcBorders>
          </w:tcPr>
          <w:p w14:paraId="7AD281B9" w14:textId="77777777" w:rsidR="00862754" w:rsidRPr="00862754" w:rsidRDefault="00862754" w:rsidP="00862754">
            <w:pPr>
              <w:snapToGrid w:val="0"/>
              <w:spacing w:before="40" w:after="40"/>
              <w:rPr>
                <w:sz w:val="17"/>
                <w:lang w:eastAsia="en-GB"/>
              </w:rPr>
            </w:pPr>
          </w:p>
        </w:tc>
      </w:tr>
      <w:tr w:rsidR="00A930C9" w:rsidRPr="00862754" w14:paraId="19C181F0" w14:textId="77777777" w:rsidTr="002C41F9">
        <w:trPr>
          <w:cantSplit/>
          <w:trHeight w:val="283"/>
        </w:trPr>
        <w:tc>
          <w:tcPr>
            <w:tcW w:w="567" w:type="dxa"/>
            <w:tcBorders>
              <w:left w:val="nil"/>
              <w:right w:val="single" w:sz="4" w:space="0" w:color="auto"/>
            </w:tcBorders>
          </w:tcPr>
          <w:p w14:paraId="2EF85390" w14:textId="2A9785B7" w:rsidR="00A930C9" w:rsidRPr="00965732" w:rsidRDefault="00EA2114" w:rsidP="00862754">
            <w:pPr>
              <w:snapToGrid w:val="0"/>
              <w:spacing w:before="40" w:after="40"/>
              <w:rPr>
                <w:rFonts w:ascii="Calibri" w:eastAsia="細明體" w:hAnsi="Calibri"/>
                <w:sz w:val="16"/>
                <w:szCs w:val="16"/>
                <w:lang w:eastAsia="zh-CN"/>
              </w:rPr>
            </w:pPr>
            <w:r w:rsidRPr="00965732">
              <w:rPr>
                <w:rFonts w:ascii="Calibri" w:eastAsia="細明體" w:hAnsi="Calibri"/>
                <w:sz w:val="16"/>
                <w:szCs w:val="16"/>
                <w:lang w:eastAsia="zh-CN"/>
              </w:rPr>
              <w:t>15a</w:t>
            </w:r>
          </w:p>
        </w:tc>
        <w:tc>
          <w:tcPr>
            <w:tcW w:w="3402" w:type="dxa"/>
            <w:tcBorders>
              <w:left w:val="nil"/>
              <w:right w:val="single" w:sz="4" w:space="0" w:color="auto"/>
            </w:tcBorders>
          </w:tcPr>
          <w:p w14:paraId="07AA96BB" w14:textId="345A5678" w:rsidR="00A930C9" w:rsidRPr="00862754" w:rsidRDefault="00EA2114" w:rsidP="00A81240">
            <w:pPr>
              <w:snapToGrid w:val="0"/>
              <w:spacing w:before="40" w:after="40"/>
              <w:rPr>
                <w:rFonts w:ascii="Calibri" w:eastAsia="細明體" w:hAnsi="Calibri"/>
                <w:sz w:val="16"/>
                <w:szCs w:val="16"/>
                <w:lang w:eastAsia="zh-TW"/>
              </w:rPr>
            </w:pPr>
            <w:r w:rsidRPr="00EA2114">
              <w:rPr>
                <w:rFonts w:ascii="Calibri" w:eastAsia="細明體" w:hAnsi="Calibri" w:hint="eastAsia"/>
                <w:sz w:val="16"/>
                <w:szCs w:val="16"/>
                <w:lang w:eastAsia="zh-TW"/>
              </w:rPr>
              <w:t>第</w:t>
            </w:r>
            <w:r w:rsidRPr="00AC1905">
              <w:rPr>
                <w:rFonts w:eastAsia="細明體" w:cs="Segoe UI"/>
                <w:sz w:val="16"/>
                <w:szCs w:val="16"/>
                <w:lang w:eastAsia="zh-TW"/>
              </w:rPr>
              <w:t>1</w:t>
            </w:r>
            <w:r w:rsidR="00965732">
              <w:rPr>
                <w:rFonts w:ascii="Calibri" w:eastAsia="細明體" w:hAnsi="Calibri" w:hint="eastAsia"/>
                <w:sz w:val="16"/>
                <w:szCs w:val="16"/>
                <w:lang w:eastAsia="zh-HK"/>
              </w:rPr>
              <w:t>組</w:t>
            </w:r>
            <w:r w:rsidRPr="00EA2114">
              <w:rPr>
                <w:rFonts w:ascii="Calibri" w:eastAsia="細明體" w:hAnsi="Calibri" w:hint="eastAsia"/>
                <w:sz w:val="16"/>
                <w:szCs w:val="16"/>
                <w:lang w:eastAsia="zh-TW"/>
              </w:rPr>
              <w:t>加密資產風險承擔（</w:t>
            </w:r>
            <w:r w:rsidR="002C2DA8" w:rsidRPr="00A81240">
              <w:rPr>
                <w:rFonts w:ascii="Calibri" w:eastAsia="細明體" w:hAnsi="Calibri" w:hint="eastAsia"/>
                <w:sz w:val="16"/>
                <w:szCs w:val="16"/>
                <w:lang w:eastAsia="zh-TW"/>
              </w:rPr>
              <w:t>不</w:t>
            </w:r>
            <w:r w:rsidR="002C2DA8" w:rsidRPr="003765CD">
              <w:rPr>
                <w:rFonts w:ascii="Calibri" w:eastAsia="細明體" w:hAnsi="Calibri" w:hint="eastAsia"/>
                <w:sz w:val="16"/>
                <w:szCs w:val="16"/>
                <w:lang w:eastAsia="zh-TW"/>
              </w:rPr>
              <w:t>包括</w:t>
            </w:r>
            <w:r w:rsidR="003765CD" w:rsidRPr="004975BA">
              <w:rPr>
                <w:rFonts w:ascii="Calibri" w:eastAsia="細明體" w:hAnsi="Calibri" w:hint="eastAsia"/>
                <w:sz w:val="16"/>
                <w:szCs w:val="16"/>
                <w:lang w:eastAsia="zh-TW"/>
              </w:rPr>
              <w:t>與</w:t>
            </w:r>
            <w:r w:rsidRPr="00A81240">
              <w:rPr>
                <w:rFonts w:ascii="Calibri" w:eastAsia="細明體" w:hAnsi="Calibri" w:hint="eastAsia"/>
                <w:sz w:val="16"/>
                <w:szCs w:val="16"/>
                <w:lang w:eastAsia="zh-TW"/>
              </w:rPr>
              <w:t>特區政府或本地公營單位</w:t>
            </w:r>
            <w:r w:rsidR="003765CD" w:rsidRPr="004975BA">
              <w:rPr>
                <w:rFonts w:ascii="Calibri" w:eastAsia="細明體" w:hAnsi="Calibri" w:hint="eastAsia"/>
                <w:sz w:val="16"/>
                <w:szCs w:val="16"/>
                <w:lang w:eastAsia="zh-TW"/>
              </w:rPr>
              <w:t>所</w:t>
            </w:r>
            <w:r w:rsidRPr="00A81240">
              <w:rPr>
                <w:rFonts w:ascii="Calibri" w:eastAsia="細明體" w:hAnsi="Calibri" w:hint="eastAsia"/>
                <w:sz w:val="16"/>
                <w:szCs w:val="16"/>
                <w:lang w:eastAsia="zh-TW"/>
              </w:rPr>
              <w:t>發行的第</w:t>
            </w:r>
            <w:r w:rsidRPr="00AC1905">
              <w:rPr>
                <w:rFonts w:eastAsia="細明體" w:cs="Segoe UI"/>
                <w:sz w:val="16"/>
                <w:szCs w:val="16"/>
                <w:lang w:eastAsia="zh-TW"/>
              </w:rPr>
              <w:t>1a</w:t>
            </w:r>
            <w:r w:rsidRPr="00A81240">
              <w:rPr>
                <w:rFonts w:ascii="Calibri" w:eastAsia="細明體" w:hAnsi="Calibri" w:hint="eastAsia"/>
                <w:sz w:val="16"/>
                <w:szCs w:val="16"/>
                <w:lang w:eastAsia="zh-TW"/>
              </w:rPr>
              <w:t>組加密資產相關</w:t>
            </w:r>
            <w:r w:rsidR="00E04812" w:rsidRPr="00A81240">
              <w:rPr>
                <w:rFonts w:ascii="Calibri" w:eastAsia="細明體" w:hAnsi="Calibri" w:hint="eastAsia"/>
                <w:sz w:val="16"/>
                <w:szCs w:val="16"/>
                <w:lang w:eastAsia="zh-HK"/>
              </w:rPr>
              <w:t>的</w:t>
            </w:r>
            <w:r w:rsidR="00E04812" w:rsidRPr="00A81240">
              <w:rPr>
                <w:rFonts w:ascii="Calibri" w:eastAsia="細明體" w:hAnsi="Calibri" w:hint="eastAsia"/>
                <w:sz w:val="16"/>
                <w:szCs w:val="16"/>
                <w:lang w:eastAsia="zh-TW"/>
              </w:rPr>
              <w:t>風險承擔</w:t>
            </w:r>
            <w:r w:rsidRPr="00A81240">
              <w:rPr>
                <w:rFonts w:ascii="Calibri" w:eastAsia="細明體" w:hAnsi="Calibri" w:hint="eastAsia"/>
                <w:sz w:val="16"/>
                <w:szCs w:val="16"/>
                <w:lang w:eastAsia="zh-TW"/>
              </w:rPr>
              <w:t>）</w:t>
            </w:r>
          </w:p>
        </w:tc>
        <w:tc>
          <w:tcPr>
            <w:tcW w:w="1843" w:type="dxa"/>
            <w:tcBorders>
              <w:left w:val="single" w:sz="4" w:space="0" w:color="auto"/>
              <w:right w:val="single" w:sz="4" w:space="0" w:color="auto"/>
            </w:tcBorders>
          </w:tcPr>
          <w:p w14:paraId="36652820" w14:textId="77777777" w:rsidR="00A930C9" w:rsidRPr="00862754" w:rsidRDefault="00A930C9" w:rsidP="00862754">
            <w:pPr>
              <w:snapToGrid w:val="0"/>
              <w:spacing w:before="40" w:after="40"/>
              <w:rPr>
                <w:sz w:val="17"/>
                <w:lang w:eastAsia="zh-TW"/>
              </w:rPr>
            </w:pPr>
          </w:p>
        </w:tc>
        <w:tc>
          <w:tcPr>
            <w:tcW w:w="1701" w:type="dxa"/>
            <w:tcBorders>
              <w:left w:val="single" w:sz="4" w:space="0" w:color="auto"/>
              <w:right w:val="single" w:sz="4" w:space="0" w:color="auto"/>
            </w:tcBorders>
          </w:tcPr>
          <w:p w14:paraId="61C12332" w14:textId="77777777" w:rsidR="00A930C9" w:rsidRPr="00862754" w:rsidRDefault="00A930C9" w:rsidP="00862754">
            <w:pPr>
              <w:snapToGrid w:val="0"/>
              <w:spacing w:before="40" w:after="40"/>
              <w:rPr>
                <w:sz w:val="17"/>
                <w:lang w:eastAsia="zh-TW"/>
              </w:rPr>
            </w:pPr>
          </w:p>
        </w:tc>
        <w:tc>
          <w:tcPr>
            <w:tcW w:w="1843" w:type="dxa"/>
            <w:tcBorders>
              <w:left w:val="single" w:sz="4" w:space="0" w:color="auto"/>
              <w:right w:val="single" w:sz="4" w:space="0" w:color="auto"/>
            </w:tcBorders>
          </w:tcPr>
          <w:p w14:paraId="4970319F" w14:textId="77777777" w:rsidR="00A930C9" w:rsidRPr="00862754" w:rsidRDefault="00A930C9" w:rsidP="00862754">
            <w:pPr>
              <w:snapToGrid w:val="0"/>
              <w:spacing w:before="40" w:after="40"/>
              <w:rPr>
                <w:sz w:val="17"/>
                <w:lang w:eastAsia="zh-TW"/>
              </w:rPr>
            </w:pPr>
          </w:p>
        </w:tc>
        <w:tc>
          <w:tcPr>
            <w:tcW w:w="1701" w:type="dxa"/>
            <w:tcBorders>
              <w:left w:val="single" w:sz="4" w:space="0" w:color="auto"/>
              <w:right w:val="single" w:sz="4" w:space="0" w:color="auto"/>
            </w:tcBorders>
          </w:tcPr>
          <w:p w14:paraId="702C6F49" w14:textId="77777777" w:rsidR="00A930C9" w:rsidRPr="00862754" w:rsidRDefault="00A930C9" w:rsidP="00862754">
            <w:pPr>
              <w:snapToGrid w:val="0"/>
              <w:spacing w:before="40" w:after="40"/>
              <w:rPr>
                <w:sz w:val="17"/>
                <w:lang w:eastAsia="zh-TW"/>
              </w:rPr>
            </w:pPr>
          </w:p>
        </w:tc>
        <w:tc>
          <w:tcPr>
            <w:tcW w:w="1417" w:type="dxa"/>
            <w:tcBorders>
              <w:left w:val="single" w:sz="4" w:space="0" w:color="auto"/>
              <w:right w:val="single" w:sz="4" w:space="0" w:color="auto"/>
            </w:tcBorders>
          </w:tcPr>
          <w:p w14:paraId="73B62B24" w14:textId="77777777" w:rsidR="00A930C9" w:rsidRPr="00862754" w:rsidRDefault="00A930C9" w:rsidP="00862754">
            <w:pPr>
              <w:snapToGrid w:val="0"/>
              <w:spacing w:before="40" w:after="40"/>
              <w:rPr>
                <w:sz w:val="17"/>
                <w:lang w:eastAsia="zh-TW"/>
              </w:rPr>
            </w:pPr>
          </w:p>
        </w:tc>
        <w:tc>
          <w:tcPr>
            <w:tcW w:w="1418" w:type="dxa"/>
            <w:tcBorders>
              <w:left w:val="single" w:sz="4" w:space="0" w:color="auto"/>
              <w:right w:val="single" w:sz="4" w:space="0" w:color="auto"/>
            </w:tcBorders>
          </w:tcPr>
          <w:p w14:paraId="2EA20C60" w14:textId="77777777" w:rsidR="00A930C9" w:rsidRPr="00862754" w:rsidRDefault="00A930C9" w:rsidP="00862754">
            <w:pPr>
              <w:snapToGrid w:val="0"/>
              <w:spacing w:before="40" w:after="40"/>
              <w:rPr>
                <w:sz w:val="17"/>
                <w:lang w:eastAsia="zh-TW"/>
              </w:rPr>
            </w:pPr>
          </w:p>
        </w:tc>
      </w:tr>
      <w:tr w:rsidR="00862754" w:rsidRPr="00862754" w14:paraId="4CC9659E" w14:textId="77777777" w:rsidTr="002C41F9">
        <w:trPr>
          <w:cantSplit/>
          <w:trHeight w:val="283"/>
        </w:trPr>
        <w:tc>
          <w:tcPr>
            <w:tcW w:w="567" w:type="dxa"/>
            <w:tcBorders>
              <w:left w:val="nil"/>
              <w:bottom w:val="single" w:sz="4" w:space="0" w:color="auto"/>
              <w:right w:val="single" w:sz="4" w:space="0" w:color="auto"/>
            </w:tcBorders>
          </w:tcPr>
          <w:p w14:paraId="192A6B31" w14:textId="77777777" w:rsidR="00862754" w:rsidRPr="00862754" w:rsidRDefault="00862754" w:rsidP="00862754">
            <w:pPr>
              <w:snapToGrid w:val="0"/>
              <w:spacing w:before="40" w:after="40"/>
              <w:rPr>
                <w:rFonts w:cs="Segoe UI"/>
                <w:sz w:val="16"/>
                <w:szCs w:val="16"/>
                <w:lang w:eastAsia="en-GB"/>
              </w:rPr>
            </w:pPr>
            <w:r w:rsidRPr="00862754">
              <w:rPr>
                <w:rFonts w:cs="Segoe UI"/>
                <w:sz w:val="16"/>
                <w:szCs w:val="16"/>
                <w:lang w:eastAsia="en-GB"/>
              </w:rPr>
              <w:t>16</w:t>
            </w:r>
          </w:p>
        </w:tc>
        <w:tc>
          <w:tcPr>
            <w:tcW w:w="3402" w:type="dxa"/>
            <w:tcBorders>
              <w:left w:val="nil"/>
              <w:bottom w:val="single" w:sz="4" w:space="0" w:color="auto"/>
              <w:right w:val="single" w:sz="4" w:space="0" w:color="auto"/>
            </w:tcBorders>
          </w:tcPr>
          <w:p w14:paraId="0B5EF0B9" w14:textId="77777777" w:rsidR="00862754" w:rsidRPr="00862754" w:rsidRDefault="00862754" w:rsidP="00862754">
            <w:pPr>
              <w:snapToGrid w:val="0"/>
              <w:spacing w:before="40" w:after="40"/>
              <w:rPr>
                <w:rFonts w:cs="Segoe UI"/>
                <w:b/>
                <w:sz w:val="16"/>
                <w:szCs w:val="16"/>
                <w:lang w:eastAsia="en-GB"/>
              </w:rPr>
            </w:pPr>
            <w:r w:rsidRPr="00862754">
              <w:rPr>
                <w:rFonts w:ascii="Calibri" w:eastAsia="細明體" w:hAnsi="Calibri" w:hint="eastAsia"/>
                <w:b/>
                <w:sz w:val="16"/>
                <w:szCs w:val="16"/>
                <w:lang w:eastAsia="zh-CN"/>
              </w:rPr>
              <w:t>總計</w:t>
            </w:r>
          </w:p>
        </w:tc>
        <w:tc>
          <w:tcPr>
            <w:tcW w:w="1843" w:type="dxa"/>
            <w:tcBorders>
              <w:left w:val="single" w:sz="4" w:space="0" w:color="auto"/>
              <w:bottom w:val="single" w:sz="4" w:space="0" w:color="auto"/>
              <w:right w:val="single" w:sz="4" w:space="0" w:color="auto"/>
            </w:tcBorders>
          </w:tcPr>
          <w:p w14:paraId="5445AC58" w14:textId="77777777" w:rsidR="00862754" w:rsidRPr="00862754" w:rsidRDefault="00862754" w:rsidP="00862754">
            <w:pPr>
              <w:snapToGrid w:val="0"/>
              <w:spacing w:before="40" w:after="40"/>
              <w:rPr>
                <w:sz w:val="17"/>
                <w:lang w:eastAsia="en-GB"/>
              </w:rPr>
            </w:pPr>
          </w:p>
        </w:tc>
        <w:tc>
          <w:tcPr>
            <w:tcW w:w="1701" w:type="dxa"/>
            <w:tcBorders>
              <w:left w:val="single" w:sz="4" w:space="0" w:color="auto"/>
              <w:bottom w:val="single" w:sz="4" w:space="0" w:color="auto"/>
              <w:right w:val="single" w:sz="4" w:space="0" w:color="auto"/>
            </w:tcBorders>
          </w:tcPr>
          <w:p w14:paraId="0FF17C38" w14:textId="77777777" w:rsidR="00862754" w:rsidRPr="00862754" w:rsidRDefault="00862754" w:rsidP="00862754">
            <w:pPr>
              <w:snapToGrid w:val="0"/>
              <w:spacing w:before="40" w:after="40"/>
              <w:rPr>
                <w:sz w:val="17"/>
                <w:lang w:eastAsia="en-GB"/>
              </w:rPr>
            </w:pPr>
          </w:p>
        </w:tc>
        <w:tc>
          <w:tcPr>
            <w:tcW w:w="1843" w:type="dxa"/>
            <w:tcBorders>
              <w:left w:val="single" w:sz="4" w:space="0" w:color="auto"/>
              <w:bottom w:val="single" w:sz="4" w:space="0" w:color="auto"/>
              <w:right w:val="single" w:sz="4" w:space="0" w:color="auto"/>
            </w:tcBorders>
          </w:tcPr>
          <w:p w14:paraId="3E37386D" w14:textId="77777777" w:rsidR="00862754" w:rsidRPr="00862754" w:rsidRDefault="00862754" w:rsidP="00862754">
            <w:pPr>
              <w:snapToGrid w:val="0"/>
              <w:spacing w:before="40" w:after="40"/>
              <w:rPr>
                <w:sz w:val="17"/>
                <w:lang w:eastAsia="en-GB"/>
              </w:rPr>
            </w:pPr>
          </w:p>
        </w:tc>
        <w:tc>
          <w:tcPr>
            <w:tcW w:w="1701" w:type="dxa"/>
            <w:tcBorders>
              <w:left w:val="single" w:sz="4" w:space="0" w:color="auto"/>
              <w:bottom w:val="single" w:sz="4" w:space="0" w:color="auto"/>
              <w:right w:val="single" w:sz="4" w:space="0" w:color="auto"/>
            </w:tcBorders>
          </w:tcPr>
          <w:p w14:paraId="677C7D65" w14:textId="77777777" w:rsidR="00862754" w:rsidRPr="00862754" w:rsidRDefault="00862754" w:rsidP="00862754">
            <w:pPr>
              <w:snapToGrid w:val="0"/>
              <w:spacing w:before="40" w:after="40"/>
              <w:rPr>
                <w:sz w:val="17"/>
                <w:lang w:eastAsia="en-GB"/>
              </w:rPr>
            </w:pPr>
          </w:p>
        </w:tc>
        <w:tc>
          <w:tcPr>
            <w:tcW w:w="1417" w:type="dxa"/>
            <w:tcBorders>
              <w:left w:val="single" w:sz="4" w:space="0" w:color="auto"/>
              <w:bottom w:val="single" w:sz="4" w:space="0" w:color="auto"/>
              <w:right w:val="single" w:sz="4" w:space="0" w:color="auto"/>
            </w:tcBorders>
          </w:tcPr>
          <w:p w14:paraId="2DE376B1" w14:textId="77777777" w:rsidR="00862754" w:rsidRPr="00862754" w:rsidRDefault="00862754" w:rsidP="00862754">
            <w:pPr>
              <w:snapToGrid w:val="0"/>
              <w:spacing w:before="40" w:after="40"/>
              <w:rPr>
                <w:sz w:val="17"/>
                <w:lang w:eastAsia="en-GB"/>
              </w:rPr>
            </w:pPr>
          </w:p>
        </w:tc>
        <w:tc>
          <w:tcPr>
            <w:tcW w:w="1418" w:type="dxa"/>
            <w:tcBorders>
              <w:left w:val="single" w:sz="4" w:space="0" w:color="auto"/>
              <w:bottom w:val="single" w:sz="4" w:space="0" w:color="auto"/>
              <w:right w:val="single" w:sz="4" w:space="0" w:color="auto"/>
            </w:tcBorders>
          </w:tcPr>
          <w:p w14:paraId="0A4D2677" w14:textId="77777777" w:rsidR="00862754" w:rsidRPr="00862754" w:rsidRDefault="00862754" w:rsidP="00862754">
            <w:pPr>
              <w:snapToGrid w:val="0"/>
              <w:spacing w:before="40" w:after="40"/>
              <w:rPr>
                <w:sz w:val="17"/>
                <w:lang w:eastAsia="en-GB"/>
              </w:rPr>
            </w:pPr>
          </w:p>
        </w:tc>
      </w:tr>
    </w:tbl>
    <w:p w14:paraId="72985C07" w14:textId="77777777" w:rsidR="00703C23" w:rsidRDefault="00703C23"/>
    <w:p w14:paraId="386BE5E7" w14:textId="77777777" w:rsidR="00F443EE" w:rsidRDefault="00F443EE"/>
    <w:p w14:paraId="563BD343" w14:textId="77777777" w:rsidR="00F443EE" w:rsidRDefault="00F443EE"/>
    <w:tbl>
      <w:tblPr>
        <w:tblpPr w:leftFromText="180" w:rightFromText="180" w:vertAnchor="text" w:tblpX="221" w:tblpY="1"/>
        <w:tblOverlap w:val="never"/>
        <w:tblW w:w="13912" w:type="dxa"/>
        <w:tblLayout w:type="fixed"/>
        <w:tblLook w:val="0000" w:firstRow="0" w:lastRow="0" w:firstColumn="0" w:lastColumn="0" w:noHBand="0" w:noVBand="0"/>
      </w:tblPr>
      <w:tblGrid>
        <w:gridCol w:w="993"/>
        <w:gridCol w:w="12919"/>
      </w:tblGrid>
      <w:tr w:rsidR="009E0DD9" w14:paraId="504724E9" w14:textId="77777777" w:rsidTr="00F443EE">
        <w:trPr>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4DD13A3" w14:textId="77777777" w:rsidR="009E0DD9" w:rsidRDefault="009E0DD9" w:rsidP="00F443EE">
            <w:pPr>
              <w:pStyle w:val="TableNote"/>
              <w:keepNext/>
              <w:spacing w:before="40" w:after="40"/>
            </w:pPr>
            <w:proofErr w:type="spellStart"/>
            <w:r>
              <w:rPr>
                <w:rFonts w:eastAsia="細明體" w:hint="eastAsia"/>
                <w:b/>
                <w:sz w:val="17"/>
              </w:rPr>
              <w:t>註釋</w:t>
            </w:r>
            <w:proofErr w:type="spellEnd"/>
          </w:p>
        </w:tc>
      </w:tr>
      <w:tr w:rsidR="009E0DD9" w14:paraId="7F9B9534" w14:textId="77777777" w:rsidTr="00F443EE">
        <w:trPr>
          <w:trHeight w:val="153"/>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5FF089" w14:textId="77777777" w:rsidR="009E0DD9" w:rsidRDefault="009E0DD9" w:rsidP="00F443EE">
            <w:pPr>
              <w:pStyle w:val="TableNote"/>
              <w:keepNext/>
              <w:spacing w:before="40" w:after="40"/>
            </w:pPr>
            <w:r>
              <w:rPr>
                <w:rFonts w:eastAsia="細明體" w:hint="eastAsia"/>
                <w:b/>
                <w:sz w:val="17"/>
              </w:rPr>
              <w:t>欄</w:t>
            </w:r>
          </w:p>
        </w:tc>
      </w:tr>
      <w:tr w:rsidR="009E0DD9" w14:paraId="4FE1BD1F" w14:textId="77777777" w:rsidTr="00F443EE">
        <w:tc>
          <w:tcPr>
            <w:tcW w:w="993" w:type="dxa"/>
            <w:tcBorders>
              <w:top w:val="single" w:sz="4" w:space="0" w:color="000000"/>
              <w:left w:val="single" w:sz="4" w:space="0" w:color="000000"/>
              <w:bottom w:val="single" w:sz="4" w:space="0" w:color="000000"/>
            </w:tcBorders>
            <w:shd w:val="clear" w:color="auto" w:fill="auto"/>
          </w:tcPr>
          <w:p w14:paraId="0EB7D924" w14:textId="77777777" w:rsidR="009E0DD9" w:rsidRDefault="009E0DD9" w:rsidP="00F443EE">
            <w:pPr>
              <w:pStyle w:val="TableNote"/>
              <w:keepNext/>
              <w:spacing w:before="40" w:after="40"/>
              <w:rPr>
                <w:rFonts w:eastAsia="細明體"/>
                <w:i/>
                <w:sz w:val="17"/>
                <w:szCs w:val="17"/>
              </w:rPr>
            </w:pPr>
            <w:r>
              <w:rPr>
                <w:rFonts w:eastAsia="細明體"/>
                <w:sz w:val="17"/>
                <w:szCs w:val="17"/>
              </w:rPr>
              <w:t>(a)</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3E11E743" w14:textId="77777777" w:rsidR="009E0DD9" w:rsidRDefault="009E0DD9" w:rsidP="00F443EE">
            <w:pPr>
              <w:pStyle w:val="TableNote"/>
              <w:keepNext/>
              <w:spacing w:before="40" w:after="40"/>
              <w:rPr>
                <w:lang w:eastAsia="zh-TW"/>
              </w:rPr>
            </w:pPr>
            <w:r w:rsidRPr="00792E2D">
              <w:rPr>
                <w:rFonts w:eastAsia="細明體" w:hint="eastAsia"/>
                <w:i/>
                <w:sz w:val="17"/>
                <w:szCs w:val="17"/>
                <w:lang w:eastAsia="zh-TW"/>
              </w:rPr>
              <w:t>未將</w:t>
            </w:r>
            <w:r w:rsidRPr="00792E2D">
              <w:rPr>
                <w:rFonts w:eastAsia="細明體"/>
                <w:i/>
                <w:sz w:val="17"/>
                <w:szCs w:val="17"/>
                <w:lang w:eastAsia="zh-TW"/>
              </w:rPr>
              <w:t>CCF</w:t>
            </w:r>
            <w:r w:rsidRPr="00792E2D">
              <w:rPr>
                <w:rFonts w:eastAsia="細明體" w:hint="eastAsia"/>
                <w:i/>
                <w:sz w:val="17"/>
                <w:szCs w:val="17"/>
                <w:lang w:eastAsia="zh-TW"/>
              </w:rPr>
              <w:t>及減低信用風險措施</w:t>
            </w:r>
            <w:r w:rsidRPr="00792E2D">
              <w:rPr>
                <w:rStyle w:val="shorttext"/>
                <w:rFonts w:ascii="細明體" w:eastAsia="細明體" w:hAnsi="細明體" w:cs="細明體" w:hint="eastAsia"/>
                <w:i/>
                <w:color w:val="222222"/>
                <w:sz w:val="17"/>
                <w:szCs w:val="17"/>
                <w:lang w:eastAsia="zh-TW"/>
              </w:rPr>
              <w:t>計算在內</w:t>
            </w:r>
            <w:r w:rsidRPr="00792E2D">
              <w:rPr>
                <w:rFonts w:eastAsia="細明體" w:hint="eastAsia"/>
                <w:i/>
                <w:sz w:val="17"/>
                <w:szCs w:val="17"/>
                <w:lang w:eastAsia="zh-TW"/>
              </w:rPr>
              <w:t>的風險承擔</w:t>
            </w:r>
            <w:proofErr w:type="gramStart"/>
            <w:r>
              <w:rPr>
                <w:rFonts w:ascii="細明體" w:eastAsia="細明體" w:hAnsi="細明體" w:cs="細明體" w:hint="eastAsia"/>
                <w:i/>
                <w:sz w:val="17"/>
                <w:szCs w:val="17"/>
                <w:lang w:val="en-US" w:eastAsia="zh-TW"/>
              </w:rPr>
              <w:t>──</w:t>
            </w:r>
            <w:proofErr w:type="gramEnd"/>
            <w:r>
              <w:rPr>
                <w:rFonts w:eastAsia="細明體" w:hint="eastAsia"/>
                <w:i/>
                <w:sz w:val="17"/>
                <w:szCs w:val="17"/>
                <w:lang w:val="en-US" w:eastAsia="zh-TW"/>
              </w:rPr>
              <w:t>資產負債表內數額</w:t>
            </w:r>
            <w:r>
              <w:rPr>
                <w:rFonts w:eastAsia="細明體" w:hint="eastAsia"/>
                <w:sz w:val="17"/>
                <w:szCs w:val="17"/>
                <w:lang w:eastAsia="zh-TW"/>
              </w:rPr>
              <w:t>：在監管綜合範圍下，未將認可減低信用風險措施的效果</w:t>
            </w:r>
            <w:r>
              <w:rPr>
                <w:rFonts w:eastAsia="細明體" w:hAnsi="Calibri" w:hint="eastAsia"/>
                <w:bCs/>
                <w:sz w:val="17"/>
                <w:szCs w:val="17"/>
                <w:lang w:eastAsia="zh-TW"/>
              </w:rPr>
              <w:t>計算在內</w:t>
            </w:r>
            <w:r>
              <w:rPr>
                <w:rFonts w:eastAsia="細明體" w:hint="eastAsia"/>
                <w:sz w:val="17"/>
                <w:szCs w:val="17"/>
                <w:lang w:eastAsia="zh-TW"/>
              </w:rPr>
              <w:t>的資產負債表內風險承擔</w:t>
            </w:r>
            <w:r w:rsidRPr="004465BB">
              <w:rPr>
                <w:rFonts w:eastAsia="細明體" w:hint="eastAsia"/>
                <w:sz w:val="17"/>
                <w:szCs w:val="17"/>
                <w:lang w:eastAsia="zh-TW"/>
              </w:rPr>
              <w:t>數</w:t>
            </w:r>
            <w:r>
              <w:rPr>
                <w:rFonts w:eastAsia="細明體" w:hint="eastAsia"/>
                <w:sz w:val="17"/>
                <w:szCs w:val="17"/>
                <w:lang w:eastAsia="zh-TW"/>
              </w:rPr>
              <w:t>額（扣除</w:t>
            </w:r>
            <w:r>
              <w:rPr>
                <w:rFonts w:eastAsia="細明體" w:hint="eastAsia"/>
                <w:sz w:val="17"/>
                <w:szCs w:val="17"/>
                <w:lang w:eastAsia="zh-HK"/>
              </w:rPr>
              <w:t>特定準備金，包括</w:t>
            </w:r>
            <w:r>
              <w:rPr>
                <w:rFonts w:eastAsia="細明體" w:hint="eastAsia"/>
                <w:sz w:val="17"/>
                <w:szCs w:val="17"/>
                <w:lang w:eastAsia="zh-TW"/>
              </w:rPr>
              <w:t>備抵</w:t>
            </w:r>
            <w:r>
              <w:rPr>
                <w:rFonts w:eastAsia="細明體"/>
                <w:sz w:val="17"/>
                <w:szCs w:val="17"/>
                <w:lang w:eastAsia="zh-TW"/>
              </w:rPr>
              <w:t>/</w:t>
            </w:r>
            <w:r>
              <w:rPr>
                <w:rFonts w:eastAsia="細明體" w:hint="eastAsia"/>
                <w:sz w:val="17"/>
                <w:szCs w:val="17"/>
                <w:lang w:eastAsia="zh-TW"/>
              </w:rPr>
              <w:t>減值及</w:t>
            </w:r>
            <w:r>
              <w:rPr>
                <w:rFonts w:eastAsia="細明體" w:hint="eastAsia"/>
                <w:sz w:val="17"/>
                <w:szCs w:val="17"/>
                <w:lang w:eastAsia="zh-HK"/>
              </w:rPr>
              <w:t>部分</w:t>
            </w:r>
            <w:r>
              <w:rPr>
                <w:rFonts w:eastAsia="細明體" w:hint="eastAsia"/>
                <w:sz w:val="17"/>
                <w:szCs w:val="17"/>
                <w:lang w:eastAsia="zh-TW"/>
              </w:rPr>
              <w:t>撇帳）。</w:t>
            </w:r>
          </w:p>
        </w:tc>
      </w:tr>
      <w:tr w:rsidR="009E0DD9" w14:paraId="1F84B6A2" w14:textId="77777777" w:rsidTr="00F443EE">
        <w:tc>
          <w:tcPr>
            <w:tcW w:w="993" w:type="dxa"/>
            <w:tcBorders>
              <w:top w:val="single" w:sz="4" w:space="0" w:color="000000"/>
              <w:left w:val="single" w:sz="4" w:space="0" w:color="000000"/>
              <w:bottom w:val="single" w:sz="4" w:space="0" w:color="000000"/>
            </w:tcBorders>
            <w:shd w:val="clear" w:color="auto" w:fill="auto"/>
          </w:tcPr>
          <w:p w14:paraId="2221288D" w14:textId="77777777" w:rsidR="009E0DD9" w:rsidRDefault="009E0DD9" w:rsidP="00F443EE">
            <w:pPr>
              <w:pStyle w:val="TableNote"/>
              <w:keepNext/>
              <w:spacing w:before="40" w:after="40"/>
              <w:rPr>
                <w:rFonts w:eastAsia="細明體"/>
                <w:i/>
                <w:sz w:val="17"/>
                <w:szCs w:val="17"/>
              </w:rPr>
            </w:pPr>
            <w:r>
              <w:rPr>
                <w:rFonts w:eastAsia="細明體"/>
                <w:sz w:val="17"/>
                <w:szCs w:val="17"/>
              </w:rPr>
              <w:t>(b)</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6D1D7E57" w14:textId="77777777" w:rsidR="009E0DD9" w:rsidRDefault="009E0DD9" w:rsidP="00F443EE">
            <w:pPr>
              <w:pStyle w:val="TableNote"/>
              <w:keepNext/>
              <w:spacing w:before="40" w:after="40"/>
              <w:rPr>
                <w:lang w:eastAsia="zh-TW"/>
              </w:rPr>
            </w:pPr>
            <w:r w:rsidRPr="00792E2D">
              <w:rPr>
                <w:rFonts w:eastAsia="細明體" w:hint="eastAsia"/>
                <w:i/>
                <w:sz w:val="17"/>
                <w:szCs w:val="17"/>
                <w:lang w:eastAsia="zh-TW"/>
              </w:rPr>
              <w:t>未將</w:t>
            </w:r>
            <w:r w:rsidRPr="00792E2D">
              <w:rPr>
                <w:rFonts w:eastAsia="細明體"/>
                <w:i/>
                <w:sz w:val="17"/>
                <w:szCs w:val="17"/>
                <w:lang w:eastAsia="zh-TW"/>
              </w:rPr>
              <w:t>CCF</w:t>
            </w:r>
            <w:r w:rsidRPr="00792E2D">
              <w:rPr>
                <w:rFonts w:eastAsia="細明體" w:hint="eastAsia"/>
                <w:i/>
                <w:sz w:val="17"/>
                <w:szCs w:val="17"/>
                <w:lang w:eastAsia="zh-TW"/>
              </w:rPr>
              <w:t>及減低信用風險措施</w:t>
            </w:r>
            <w:r w:rsidRPr="00792E2D">
              <w:rPr>
                <w:rStyle w:val="shorttext"/>
                <w:rFonts w:ascii="細明體" w:eastAsia="細明體" w:hAnsi="細明體" w:cs="細明體" w:hint="eastAsia"/>
                <w:i/>
                <w:color w:val="222222"/>
                <w:sz w:val="17"/>
                <w:szCs w:val="17"/>
                <w:lang w:eastAsia="zh-TW"/>
              </w:rPr>
              <w:t>計算在內</w:t>
            </w:r>
            <w:r w:rsidRPr="00792E2D">
              <w:rPr>
                <w:rFonts w:eastAsia="細明體" w:hint="eastAsia"/>
                <w:i/>
                <w:sz w:val="17"/>
                <w:szCs w:val="17"/>
                <w:lang w:eastAsia="zh-TW"/>
              </w:rPr>
              <w:t>的風險承擔</w:t>
            </w:r>
            <w:proofErr w:type="gramStart"/>
            <w:r>
              <w:rPr>
                <w:rFonts w:ascii="細明體" w:eastAsia="細明體" w:hAnsi="細明體" w:cs="細明體" w:hint="eastAsia"/>
                <w:i/>
                <w:sz w:val="17"/>
                <w:szCs w:val="17"/>
                <w:lang w:val="en-US" w:eastAsia="zh-TW"/>
              </w:rPr>
              <w:t>──</w:t>
            </w:r>
            <w:proofErr w:type="gramEnd"/>
            <w:r>
              <w:rPr>
                <w:rFonts w:eastAsia="細明體" w:hint="eastAsia"/>
                <w:i/>
                <w:sz w:val="17"/>
                <w:szCs w:val="17"/>
                <w:lang w:val="en-US" w:eastAsia="zh-TW"/>
              </w:rPr>
              <w:t>資產負債表外數額</w:t>
            </w:r>
            <w:r>
              <w:rPr>
                <w:rFonts w:eastAsia="細明體" w:hint="eastAsia"/>
                <w:sz w:val="17"/>
                <w:szCs w:val="17"/>
                <w:lang w:eastAsia="zh-TW"/>
              </w:rPr>
              <w:t>：在監管綜合範圍下，未將</w:t>
            </w:r>
            <w:r>
              <w:rPr>
                <w:rFonts w:eastAsia="細明體"/>
                <w:sz w:val="17"/>
                <w:szCs w:val="17"/>
                <w:lang w:eastAsia="zh-TW"/>
              </w:rPr>
              <w:t>CCF</w:t>
            </w:r>
            <w:r>
              <w:rPr>
                <w:rFonts w:eastAsia="細明體" w:hint="eastAsia"/>
                <w:sz w:val="17"/>
                <w:szCs w:val="17"/>
                <w:lang w:eastAsia="zh-TW"/>
              </w:rPr>
              <w:t>及認可減低信用風險措施的效果</w:t>
            </w:r>
            <w:r>
              <w:rPr>
                <w:rFonts w:eastAsia="細明體" w:hAnsi="Calibri" w:hint="eastAsia"/>
                <w:bCs/>
                <w:sz w:val="17"/>
                <w:szCs w:val="17"/>
                <w:lang w:eastAsia="zh-TW"/>
              </w:rPr>
              <w:t>計算在內</w:t>
            </w:r>
            <w:r>
              <w:rPr>
                <w:rFonts w:eastAsia="細明體" w:hint="eastAsia"/>
                <w:sz w:val="17"/>
                <w:szCs w:val="17"/>
                <w:lang w:eastAsia="zh-TW"/>
              </w:rPr>
              <w:t>的資產負債表外風險承擔</w:t>
            </w:r>
            <w:r w:rsidRPr="004465BB">
              <w:rPr>
                <w:rFonts w:eastAsia="細明體" w:hint="eastAsia"/>
                <w:sz w:val="17"/>
                <w:szCs w:val="17"/>
                <w:lang w:eastAsia="zh-TW"/>
              </w:rPr>
              <w:t>數</w:t>
            </w:r>
            <w:r>
              <w:rPr>
                <w:rFonts w:eastAsia="細明體" w:hint="eastAsia"/>
                <w:sz w:val="17"/>
                <w:szCs w:val="17"/>
                <w:lang w:eastAsia="zh-TW"/>
              </w:rPr>
              <w:t>額。</w:t>
            </w:r>
          </w:p>
        </w:tc>
      </w:tr>
      <w:tr w:rsidR="009E0DD9" w14:paraId="4BD92867" w14:textId="77777777" w:rsidTr="00F443EE">
        <w:tc>
          <w:tcPr>
            <w:tcW w:w="993" w:type="dxa"/>
            <w:tcBorders>
              <w:top w:val="single" w:sz="4" w:space="0" w:color="000000"/>
              <w:left w:val="single" w:sz="4" w:space="0" w:color="000000"/>
              <w:bottom w:val="single" w:sz="4" w:space="0" w:color="000000"/>
            </w:tcBorders>
            <w:shd w:val="clear" w:color="auto" w:fill="auto"/>
          </w:tcPr>
          <w:p w14:paraId="415F3566" w14:textId="77777777" w:rsidR="009E0DD9" w:rsidRDefault="009E0DD9" w:rsidP="00F443EE">
            <w:pPr>
              <w:pStyle w:val="TableNote"/>
              <w:keepNext/>
              <w:spacing w:before="40" w:after="40"/>
              <w:rPr>
                <w:rFonts w:eastAsia="細明體"/>
                <w:i/>
                <w:sz w:val="17"/>
                <w:szCs w:val="17"/>
              </w:rPr>
            </w:pPr>
            <w:r>
              <w:rPr>
                <w:rFonts w:eastAsia="細明體"/>
                <w:sz w:val="17"/>
                <w:szCs w:val="17"/>
              </w:rPr>
              <w:t>(c)</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7C906E01" w14:textId="601C49A5" w:rsidR="009E0DD9" w:rsidRDefault="009E0DD9" w:rsidP="00F443EE">
            <w:pPr>
              <w:pStyle w:val="TableNote"/>
              <w:rPr>
                <w:lang w:eastAsia="zh-TW"/>
              </w:rPr>
            </w:pPr>
            <w:r w:rsidRPr="00792E2D">
              <w:rPr>
                <w:rFonts w:eastAsia="細明體" w:hint="eastAsia"/>
                <w:i/>
                <w:sz w:val="17"/>
                <w:szCs w:val="17"/>
                <w:lang w:eastAsia="zh-TW"/>
              </w:rPr>
              <w:t>已將</w:t>
            </w:r>
            <w:r w:rsidRPr="00792E2D">
              <w:rPr>
                <w:rFonts w:eastAsia="細明體"/>
                <w:i/>
                <w:sz w:val="17"/>
                <w:szCs w:val="17"/>
                <w:lang w:eastAsia="zh-TW"/>
              </w:rPr>
              <w:t>CCF</w:t>
            </w:r>
            <w:r w:rsidRPr="00792E2D">
              <w:rPr>
                <w:rFonts w:eastAsia="細明體" w:hint="eastAsia"/>
                <w:i/>
                <w:sz w:val="17"/>
                <w:szCs w:val="17"/>
                <w:lang w:eastAsia="zh-TW"/>
              </w:rPr>
              <w:t>及減低信用風險措施</w:t>
            </w:r>
            <w:r w:rsidRPr="00792E2D">
              <w:rPr>
                <w:rFonts w:eastAsia="細明體" w:hint="eastAsia"/>
                <w:bCs/>
                <w:i/>
                <w:sz w:val="17"/>
                <w:szCs w:val="17"/>
                <w:lang w:eastAsia="zh-TW"/>
              </w:rPr>
              <w:t>計算在內</w:t>
            </w:r>
            <w:r w:rsidRPr="00792E2D">
              <w:rPr>
                <w:rFonts w:eastAsia="細明體" w:hint="eastAsia"/>
                <w:i/>
                <w:sz w:val="17"/>
                <w:szCs w:val="17"/>
                <w:lang w:eastAsia="zh-TW"/>
              </w:rPr>
              <w:t>的風險承擔</w:t>
            </w:r>
            <w:proofErr w:type="gramStart"/>
            <w:r w:rsidRPr="00792E2D">
              <w:rPr>
                <w:rFonts w:ascii="細明體" w:eastAsia="細明體" w:hAnsi="細明體" w:cs="細明體" w:hint="eastAsia"/>
                <w:i/>
                <w:sz w:val="17"/>
                <w:szCs w:val="17"/>
                <w:lang w:val="en-US" w:eastAsia="zh-TW"/>
              </w:rPr>
              <w:t>──</w:t>
            </w:r>
            <w:proofErr w:type="gramEnd"/>
            <w:r w:rsidRPr="00792E2D">
              <w:rPr>
                <w:rFonts w:eastAsia="細明體" w:hint="eastAsia"/>
                <w:i/>
                <w:sz w:val="17"/>
                <w:szCs w:val="17"/>
                <w:lang w:val="en-US" w:eastAsia="zh-TW"/>
              </w:rPr>
              <w:t>資產負債表內數額</w:t>
            </w:r>
            <w:r>
              <w:rPr>
                <w:rFonts w:eastAsia="細明體" w:hint="eastAsia"/>
                <w:sz w:val="17"/>
                <w:szCs w:val="17"/>
                <w:lang w:eastAsia="zh-TW"/>
              </w:rPr>
              <w:t>：適用計算</w:t>
            </w:r>
            <w:r>
              <w:rPr>
                <w:rFonts w:eastAsia="細明體"/>
                <w:sz w:val="17"/>
                <w:szCs w:val="17"/>
                <w:lang w:eastAsia="zh-TW"/>
              </w:rPr>
              <w:t>資本規定的資產負債表內風險承擔</w:t>
            </w:r>
            <w:r w:rsidRPr="004465BB">
              <w:rPr>
                <w:rFonts w:eastAsia="細明體" w:hint="eastAsia"/>
                <w:sz w:val="17"/>
                <w:szCs w:val="17"/>
                <w:lang w:eastAsia="zh-TW"/>
              </w:rPr>
              <w:t>數</w:t>
            </w:r>
            <w:r>
              <w:rPr>
                <w:rFonts w:eastAsia="細明體" w:hint="eastAsia"/>
                <w:sz w:val="17"/>
                <w:szCs w:val="17"/>
                <w:lang w:eastAsia="zh-TW"/>
              </w:rPr>
              <w:t>額。有關數額為已將認可減低信用風險措施的效果</w:t>
            </w:r>
            <w:r>
              <w:rPr>
                <w:rFonts w:eastAsia="細明體" w:hint="eastAsia"/>
                <w:bCs/>
                <w:sz w:val="17"/>
                <w:szCs w:val="17"/>
                <w:lang w:eastAsia="zh-TW"/>
              </w:rPr>
              <w:t>計算在內</w:t>
            </w:r>
            <w:r>
              <w:rPr>
                <w:rFonts w:eastAsia="細明體" w:hint="eastAsia"/>
                <w:sz w:val="17"/>
                <w:szCs w:val="17"/>
                <w:lang w:eastAsia="zh-TW"/>
              </w:rPr>
              <w:t>的淨信</w:t>
            </w:r>
            <w:r>
              <w:rPr>
                <w:rFonts w:eastAsia="細明體" w:hint="eastAsia"/>
                <w:sz w:val="17"/>
                <w:szCs w:val="17"/>
                <w:lang w:eastAsia="zh-HK"/>
              </w:rPr>
              <w:t>用風險承擔</w:t>
            </w:r>
            <w:r>
              <w:rPr>
                <w:rFonts w:eastAsia="細明體" w:hint="eastAsia"/>
                <w:sz w:val="17"/>
                <w:szCs w:val="17"/>
                <w:lang w:eastAsia="zh-TW"/>
              </w:rPr>
              <w:t>數額。</w:t>
            </w:r>
          </w:p>
        </w:tc>
      </w:tr>
      <w:tr w:rsidR="009E0DD9" w14:paraId="3E9EFC5C" w14:textId="77777777" w:rsidTr="00F443EE">
        <w:tc>
          <w:tcPr>
            <w:tcW w:w="993" w:type="dxa"/>
            <w:tcBorders>
              <w:top w:val="single" w:sz="4" w:space="0" w:color="000000"/>
              <w:left w:val="single" w:sz="4" w:space="0" w:color="000000"/>
              <w:bottom w:val="single" w:sz="4" w:space="0" w:color="000000"/>
            </w:tcBorders>
            <w:shd w:val="clear" w:color="auto" w:fill="auto"/>
          </w:tcPr>
          <w:p w14:paraId="64EFE3FD" w14:textId="77777777" w:rsidR="009E0DD9" w:rsidRDefault="009E0DD9" w:rsidP="00F443EE">
            <w:pPr>
              <w:pStyle w:val="TableNote"/>
              <w:keepNext/>
              <w:spacing w:before="40" w:after="40"/>
              <w:rPr>
                <w:rFonts w:eastAsia="細明體"/>
                <w:i/>
                <w:sz w:val="17"/>
                <w:szCs w:val="17"/>
              </w:rPr>
            </w:pPr>
            <w:r>
              <w:rPr>
                <w:rFonts w:eastAsia="細明體"/>
                <w:sz w:val="17"/>
                <w:szCs w:val="17"/>
              </w:rPr>
              <w:t>(d)</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620A4251" w14:textId="77777777" w:rsidR="009E0DD9" w:rsidRDefault="009E0DD9" w:rsidP="00F443EE">
            <w:pPr>
              <w:pStyle w:val="TableNote"/>
              <w:rPr>
                <w:lang w:eastAsia="zh-TW"/>
              </w:rPr>
            </w:pPr>
            <w:r w:rsidRPr="00792E2D">
              <w:rPr>
                <w:rFonts w:eastAsia="細明體" w:hint="eastAsia"/>
                <w:i/>
                <w:sz w:val="17"/>
                <w:szCs w:val="17"/>
                <w:lang w:eastAsia="zh-TW"/>
              </w:rPr>
              <w:t>已將</w:t>
            </w:r>
            <w:r w:rsidRPr="00792E2D">
              <w:rPr>
                <w:rFonts w:eastAsia="細明體"/>
                <w:i/>
                <w:sz w:val="17"/>
                <w:szCs w:val="17"/>
                <w:lang w:eastAsia="zh-TW"/>
              </w:rPr>
              <w:t>CCF</w:t>
            </w:r>
            <w:r w:rsidRPr="00792E2D">
              <w:rPr>
                <w:rFonts w:eastAsia="細明體" w:hint="eastAsia"/>
                <w:i/>
                <w:sz w:val="17"/>
                <w:szCs w:val="17"/>
                <w:lang w:eastAsia="zh-TW"/>
              </w:rPr>
              <w:t>及減低信用風險措施</w:t>
            </w:r>
            <w:r w:rsidRPr="00792E2D">
              <w:rPr>
                <w:rFonts w:eastAsia="細明體" w:hint="eastAsia"/>
                <w:bCs/>
                <w:i/>
                <w:sz w:val="17"/>
                <w:szCs w:val="17"/>
                <w:lang w:eastAsia="zh-TW"/>
              </w:rPr>
              <w:t>計算在內</w:t>
            </w:r>
            <w:r w:rsidRPr="00792E2D">
              <w:rPr>
                <w:rFonts w:eastAsia="細明體" w:hint="eastAsia"/>
                <w:i/>
                <w:sz w:val="17"/>
                <w:szCs w:val="17"/>
                <w:lang w:eastAsia="zh-TW"/>
              </w:rPr>
              <w:t>的風險承擔</w:t>
            </w:r>
            <w:proofErr w:type="gramStart"/>
            <w:r>
              <w:rPr>
                <w:rFonts w:ascii="細明體" w:eastAsia="細明體" w:hAnsi="細明體" w:cs="細明體" w:hint="eastAsia"/>
                <w:i/>
                <w:sz w:val="17"/>
                <w:szCs w:val="17"/>
                <w:lang w:val="en-US" w:eastAsia="zh-TW"/>
              </w:rPr>
              <w:t>──</w:t>
            </w:r>
            <w:proofErr w:type="gramEnd"/>
            <w:r>
              <w:rPr>
                <w:rFonts w:eastAsia="細明體" w:hint="eastAsia"/>
                <w:i/>
                <w:sz w:val="17"/>
                <w:szCs w:val="17"/>
                <w:lang w:val="en-US" w:eastAsia="zh-TW"/>
              </w:rPr>
              <w:t>資產負債表外數額</w:t>
            </w:r>
            <w:r>
              <w:rPr>
                <w:rFonts w:eastAsia="細明體" w:hint="eastAsia"/>
                <w:sz w:val="17"/>
                <w:szCs w:val="17"/>
                <w:lang w:eastAsia="zh-TW"/>
              </w:rPr>
              <w:t>：適用計算</w:t>
            </w:r>
            <w:r>
              <w:rPr>
                <w:rFonts w:eastAsia="細明體"/>
                <w:sz w:val="17"/>
                <w:szCs w:val="17"/>
                <w:lang w:eastAsia="zh-TW"/>
              </w:rPr>
              <w:t>資本規定的資產負債表外風險承擔</w:t>
            </w:r>
            <w:r w:rsidRPr="004465BB">
              <w:rPr>
                <w:rFonts w:eastAsia="細明體" w:hint="eastAsia"/>
                <w:sz w:val="17"/>
                <w:szCs w:val="17"/>
                <w:lang w:eastAsia="zh-TW"/>
              </w:rPr>
              <w:t>數</w:t>
            </w:r>
            <w:r>
              <w:rPr>
                <w:rFonts w:eastAsia="細明體"/>
                <w:sz w:val="17"/>
                <w:szCs w:val="17"/>
                <w:lang w:eastAsia="zh-TW"/>
              </w:rPr>
              <w:t>額。有關數額為</w:t>
            </w:r>
            <w:r>
              <w:rPr>
                <w:rFonts w:eastAsia="細明體" w:hint="eastAsia"/>
                <w:sz w:val="17"/>
                <w:szCs w:val="17"/>
                <w:lang w:eastAsia="zh-TW"/>
              </w:rPr>
              <w:t>已將</w:t>
            </w:r>
            <w:r>
              <w:rPr>
                <w:rFonts w:eastAsia="細明體"/>
                <w:sz w:val="17"/>
                <w:szCs w:val="17"/>
                <w:lang w:eastAsia="zh-TW"/>
              </w:rPr>
              <w:t>認可減低信用風險措施</w:t>
            </w:r>
            <w:r>
              <w:rPr>
                <w:rFonts w:eastAsia="細明體" w:hint="eastAsia"/>
                <w:sz w:val="17"/>
                <w:szCs w:val="17"/>
                <w:lang w:eastAsia="zh-TW"/>
              </w:rPr>
              <w:t>的效果</w:t>
            </w:r>
            <w:r>
              <w:rPr>
                <w:rFonts w:eastAsia="細明體"/>
                <w:sz w:val="17"/>
                <w:szCs w:val="17"/>
                <w:lang w:eastAsia="zh-TW"/>
              </w:rPr>
              <w:t>及</w:t>
            </w:r>
            <w:r w:rsidRPr="00F0754A">
              <w:rPr>
                <w:rFonts w:eastAsia="細明體"/>
                <w:bCs/>
                <w:sz w:val="17"/>
                <w:szCs w:val="17"/>
                <w:lang w:eastAsia="zh-TW"/>
              </w:rPr>
              <w:t>CCF</w:t>
            </w:r>
            <w:r>
              <w:rPr>
                <w:rFonts w:eastAsia="細明體" w:hint="eastAsia"/>
                <w:bCs/>
                <w:sz w:val="17"/>
                <w:szCs w:val="17"/>
                <w:lang w:eastAsia="zh-TW"/>
              </w:rPr>
              <w:t>計算在內</w:t>
            </w:r>
            <w:r w:rsidRPr="00F0754A">
              <w:rPr>
                <w:rFonts w:eastAsia="細明體" w:hint="eastAsia"/>
                <w:bCs/>
                <w:sz w:val="17"/>
                <w:szCs w:val="17"/>
                <w:lang w:eastAsia="zh-TW"/>
              </w:rPr>
              <w:t>的</w:t>
            </w:r>
            <w:r>
              <w:rPr>
                <w:rFonts w:eastAsia="細明體" w:hint="eastAsia"/>
                <w:sz w:val="17"/>
                <w:szCs w:val="17"/>
                <w:lang w:eastAsia="zh-TW"/>
              </w:rPr>
              <w:t>淨信貸等值數額。</w:t>
            </w:r>
          </w:p>
        </w:tc>
      </w:tr>
      <w:tr w:rsidR="009E0DD9" w14:paraId="1DC67DCB" w14:textId="77777777" w:rsidTr="00F443EE">
        <w:tc>
          <w:tcPr>
            <w:tcW w:w="993" w:type="dxa"/>
            <w:tcBorders>
              <w:top w:val="single" w:sz="4" w:space="0" w:color="000000"/>
              <w:left w:val="single" w:sz="4" w:space="0" w:color="000000"/>
              <w:bottom w:val="single" w:sz="4" w:space="0" w:color="000000"/>
            </w:tcBorders>
            <w:shd w:val="clear" w:color="auto" w:fill="auto"/>
          </w:tcPr>
          <w:p w14:paraId="74443494" w14:textId="77777777" w:rsidR="009E0DD9" w:rsidRDefault="009E0DD9" w:rsidP="00F443EE">
            <w:pPr>
              <w:pStyle w:val="TableNote"/>
              <w:keepNext/>
              <w:spacing w:before="40" w:after="40"/>
              <w:rPr>
                <w:rFonts w:eastAsia="細明體"/>
                <w:i/>
                <w:sz w:val="17"/>
                <w:szCs w:val="17"/>
              </w:rPr>
            </w:pPr>
            <w:r>
              <w:rPr>
                <w:rFonts w:eastAsia="細明體"/>
                <w:sz w:val="17"/>
                <w:szCs w:val="17"/>
              </w:rPr>
              <w:t>(e)</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77A205D4" w14:textId="62A1D661" w:rsidR="009E0DD9" w:rsidRDefault="009E0DD9" w:rsidP="00F443EE">
            <w:pPr>
              <w:pStyle w:val="TableNote"/>
              <w:keepNext/>
              <w:spacing w:before="40" w:after="40"/>
            </w:pPr>
            <w:proofErr w:type="spellStart"/>
            <w:r>
              <w:rPr>
                <w:rFonts w:eastAsia="細明體" w:hint="eastAsia"/>
                <w:i/>
                <w:sz w:val="17"/>
                <w:szCs w:val="17"/>
              </w:rPr>
              <w:t>風險加權數額</w:t>
            </w:r>
            <w:r>
              <w:rPr>
                <w:rFonts w:eastAsia="細明體" w:hint="eastAsia"/>
                <w:sz w:val="17"/>
                <w:szCs w:val="17"/>
              </w:rPr>
              <w:t>：認可機構如使用</w:t>
            </w:r>
            <w:proofErr w:type="spellEnd"/>
            <w:r>
              <w:rPr>
                <w:rFonts w:eastAsia="細明體"/>
                <w:sz w:val="17"/>
              </w:rPr>
              <w:t>STC</w:t>
            </w:r>
            <w:proofErr w:type="spellStart"/>
            <w:r>
              <w:rPr>
                <w:rFonts w:eastAsia="細明體" w:hint="eastAsia"/>
                <w:sz w:val="17"/>
                <w:szCs w:val="17"/>
              </w:rPr>
              <w:t>計算法</w:t>
            </w:r>
            <w:proofErr w:type="spellEnd"/>
            <w:r>
              <w:rPr>
                <w:rFonts w:eastAsia="細明體" w:hint="eastAsia"/>
                <w:sz w:val="17"/>
                <w:szCs w:val="17"/>
              </w:rPr>
              <w:t>，</w:t>
            </w:r>
            <w:r>
              <w:rPr>
                <w:rFonts w:eastAsia="細明體"/>
                <w:sz w:val="17"/>
                <w:szCs w:val="17"/>
              </w:rPr>
              <w:t xml:space="preserve">[CR4(STC): </w:t>
            </w:r>
            <w:r w:rsidR="00015887">
              <w:rPr>
                <w:rFonts w:eastAsia="細明體"/>
                <w:sz w:val="17"/>
                <w:szCs w:val="17"/>
              </w:rPr>
              <w:t>12</w:t>
            </w:r>
            <w:r>
              <w:rPr>
                <w:rFonts w:eastAsia="細明體"/>
                <w:sz w:val="17"/>
                <w:szCs w:val="17"/>
              </w:rPr>
              <w:t>/</w:t>
            </w:r>
            <w:proofErr w:type="gramStart"/>
            <w:r>
              <w:rPr>
                <w:rFonts w:eastAsia="細明體"/>
                <w:sz w:val="17"/>
                <w:szCs w:val="17"/>
              </w:rPr>
              <w:t>e]</w:t>
            </w:r>
            <w:proofErr w:type="spellStart"/>
            <w:r>
              <w:rPr>
                <w:rFonts w:eastAsia="細明體" w:hint="eastAsia"/>
                <w:sz w:val="17"/>
                <w:szCs w:val="17"/>
              </w:rPr>
              <w:t>的值相等於</w:t>
            </w:r>
            <w:proofErr w:type="spellEnd"/>
            <w:proofErr w:type="gramEnd"/>
            <w:r>
              <w:rPr>
                <w:rFonts w:eastAsia="細明體"/>
                <w:sz w:val="17"/>
                <w:szCs w:val="17"/>
              </w:rPr>
              <w:t>[OV1: 2/a]</w:t>
            </w:r>
            <w:proofErr w:type="spellStart"/>
            <w:r>
              <w:rPr>
                <w:rFonts w:eastAsia="細明體" w:hint="eastAsia"/>
                <w:sz w:val="17"/>
                <w:szCs w:val="17"/>
              </w:rPr>
              <w:t>的值；認可機構如使用</w:t>
            </w:r>
            <w:proofErr w:type="spellEnd"/>
            <w:r>
              <w:rPr>
                <w:rFonts w:eastAsia="細明體"/>
                <w:sz w:val="17"/>
                <w:szCs w:val="17"/>
              </w:rPr>
              <w:t>BSC</w:t>
            </w:r>
            <w:proofErr w:type="spellStart"/>
            <w:r>
              <w:rPr>
                <w:rFonts w:eastAsia="細明體" w:hint="eastAsia"/>
                <w:sz w:val="17"/>
                <w:szCs w:val="17"/>
              </w:rPr>
              <w:t>計算法</w:t>
            </w:r>
            <w:proofErr w:type="spellEnd"/>
            <w:r>
              <w:rPr>
                <w:rFonts w:eastAsia="細明體" w:hint="eastAsia"/>
                <w:sz w:val="17"/>
                <w:szCs w:val="17"/>
              </w:rPr>
              <w:t>，</w:t>
            </w:r>
            <w:r>
              <w:rPr>
                <w:rFonts w:eastAsia="細明體"/>
                <w:sz w:val="17"/>
                <w:szCs w:val="17"/>
              </w:rPr>
              <w:t xml:space="preserve">[CR4(BSC): </w:t>
            </w:r>
            <w:r w:rsidR="00015887">
              <w:rPr>
                <w:rFonts w:eastAsia="細明體"/>
                <w:sz w:val="17"/>
                <w:szCs w:val="17"/>
              </w:rPr>
              <w:t>16</w:t>
            </w:r>
            <w:r>
              <w:rPr>
                <w:rFonts w:eastAsia="細明體"/>
                <w:sz w:val="17"/>
                <w:szCs w:val="17"/>
              </w:rPr>
              <w:t>/e]</w:t>
            </w:r>
            <w:proofErr w:type="spellStart"/>
            <w:r>
              <w:rPr>
                <w:rFonts w:eastAsia="細明體" w:hint="eastAsia"/>
                <w:sz w:val="17"/>
                <w:szCs w:val="17"/>
              </w:rPr>
              <w:t>的值相等於</w:t>
            </w:r>
            <w:proofErr w:type="spellEnd"/>
            <w:r>
              <w:rPr>
                <w:rFonts w:eastAsia="細明體"/>
                <w:sz w:val="17"/>
                <w:szCs w:val="17"/>
              </w:rPr>
              <w:t>[OV1: 2a/a]</w:t>
            </w:r>
            <w:proofErr w:type="spellStart"/>
            <w:r>
              <w:rPr>
                <w:rFonts w:eastAsia="細明體" w:hint="eastAsia"/>
                <w:sz w:val="17"/>
                <w:szCs w:val="17"/>
              </w:rPr>
              <w:t>的值</w:t>
            </w:r>
            <w:proofErr w:type="spellEnd"/>
            <w:r>
              <w:rPr>
                <w:rFonts w:eastAsia="細明體" w:hint="eastAsia"/>
                <w:sz w:val="17"/>
                <w:szCs w:val="17"/>
              </w:rPr>
              <w:t>。</w:t>
            </w:r>
          </w:p>
        </w:tc>
      </w:tr>
      <w:tr w:rsidR="009E0DD9" w14:paraId="3BAA327C" w14:textId="77777777" w:rsidTr="00F443EE">
        <w:tc>
          <w:tcPr>
            <w:tcW w:w="993" w:type="dxa"/>
            <w:tcBorders>
              <w:top w:val="single" w:sz="4" w:space="0" w:color="000000"/>
              <w:left w:val="single" w:sz="4" w:space="0" w:color="000000"/>
              <w:bottom w:val="single" w:sz="4" w:space="0" w:color="000000"/>
            </w:tcBorders>
            <w:shd w:val="clear" w:color="auto" w:fill="auto"/>
          </w:tcPr>
          <w:p w14:paraId="62D49E40" w14:textId="77777777" w:rsidR="009E0DD9" w:rsidRDefault="009E0DD9" w:rsidP="00F443EE">
            <w:pPr>
              <w:pStyle w:val="TableNote"/>
              <w:keepNext/>
              <w:spacing w:before="40" w:after="40"/>
              <w:rPr>
                <w:rFonts w:eastAsia="細明體"/>
                <w:i/>
                <w:sz w:val="17"/>
                <w:szCs w:val="17"/>
              </w:rPr>
            </w:pPr>
            <w:r>
              <w:rPr>
                <w:rFonts w:eastAsia="細明體"/>
                <w:sz w:val="17"/>
                <w:szCs w:val="17"/>
              </w:rPr>
              <w:t>(f)</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11C7DE5C" w14:textId="77777777" w:rsidR="009E0DD9" w:rsidRDefault="009E0DD9" w:rsidP="00F443EE">
            <w:pPr>
              <w:pStyle w:val="TableNote"/>
              <w:keepNext/>
              <w:spacing w:before="40" w:after="40"/>
            </w:pPr>
            <w:r>
              <w:rPr>
                <w:rFonts w:eastAsia="細明體" w:hint="eastAsia"/>
                <w:i/>
                <w:sz w:val="17"/>
                <w:szCs w:val="17"/>
                <w:lang w:eastAsia="zh-TW"/>
              </w:rPr>
              <w:t>風險加權數額密度</w:t>
            </w:r>
            <w:r>
              <w:rPr>
                <w:rFonts w:eastAsia="細明體" w:hint="eastAsia"/>
                <w:sz w:val="17"/>
                <w:szCs w:val="17"/>
                <w:lang w:eastAsia="zh-TW"/>
              </w:rPr>
              <w:t>：這是將</w:t>
            </w:r>
            <w:r>
              <w:rPr>
                <w:rFonts w:eastAsia="細明體"/>
                <w:sz w:val="17"/>
                <w:szCs w:val="17"/>
                <w:lang w:eastAsia="zh-TW"/>
              </w:rPr>
              <w:t>(e)</w:t>
            </w:r>
            <w:r>
              <w:rPr>
                <w:rFonts w:eastAsia="細明體"/>
                <w:sz w:val="17"/>
                <w:szCs w:val="17"/>
                <w:lang w:eastAsia="zh-TW"/>
              </w:rPr>
              <w:t>欄</w:t>
            </w:r>
            <w:r>
              <w:rPr>
                <w:rFonts w:eastAsia="細明體" w:hint="eastAsia"/>
                <w:sz w:val="17"/>
                <w:szCs w:val="17"/>
                <w:lang w:eastAsia="zh-TW"/>
              </w:rPr>
              <w:t>的總風險加權數額除以已將</w:t>
            </w:r>
            <w:r>
              <w:rPr>
                <w:rFonts w:eastAsia="細明體"/>
                <w:sz w:val="17"/>
                <w:szCs w:val="17"/>
                <w:lang w:eastAsia="zh-TW"/>
              </w:rPr>
              <w:t>CCF</w:t>
            </w:r>
            <w:r>
              <w:rPr>
                <w:rFonts w:eastAsia="細明體" w:hint="eastAsia"/>
                <w:sz w:val="17"/>
                <w:szCs w:val="17"/>
                <w:lang w:eastAsia="zh-TW"/>
              </w:rPr>
              <w:t>及減低信用風險措施</w:t>
            </w:r>
            <w:r>
              <w:rPr>
                <w:rFonts w:eastAsia="細明體" w:hint="eastAsia"/>
                <w:bCs/>
                <w:sz w:val="17"/>
                <w:szCs w:val="17"/>
                <w:lang w:eastAsia="zh-TW"/>
              </w:rPr>
              <w:t>計算在內</w:t>
            </w:r>
            <w:r>
              <w:rPr>
                <w:rFonts w:eastAsia="細明體" w:hint="eastAsia"/>
                <w:sz w:val="17"/>
                <w:szCs w:val="17"/>
                <w:lang w:eastAsia="zh-TW"/>
              </w:rPr>
              <w:t>的風險承擔（即</w:t>
            </w:r>
            <w:r>
              <w:rPr>
                <w:rFonts w:eastAsia="細明體"/>
                <w:sz w:val="17"/>
                <w:szCs w:val="17"/>
                <w:lang w:eastAsia="zh-TW"/>
              </w:rPr>
              <w:t>(c)</w:t>
            </w:r>
            <w:r>
              <w:rPr>
                <w:rFonts w:eastAsia="細明體" w:hint="eastAsia"/>
                <w:sz w:val="17"/>
                <w:szCs w:val="17"/>
                <w:lang w:eastAsia="zh-TW"/>
              </w:rPr>
              <w:t>及</w:t>
            </w:r>
            <w:r>
              <w:rPr>
                <w:rFonts w:eastAsia="細明體"/>
                <w:sz w:val="17"/>
                <w:szCs w:val="17"/>
                <w:lang w:eastAsia="zh-TW"/>
              </w:rPr>
              <w:t>(d)</w:t>
            </w:r>
            <w:r>
              <w:rPr>
                <w:rFonts w:eastAsia="細明體"/>
                <w:sz w:val="17"/>
                <w:szCs w:val="17"/>
                <w:lang w:eastAsia="zh-TW"/>
              </w:rPr>
              <w:t>欄</w:t>
            </w:r>
            <w:r>
              <w:rPr>
                <w:rFonts w:eastAsia="細明體" w:hint="eastAsia"/>
                <w:sz w:val="17"/>
                <w:szCs w:val="17"/>
                <w:lang w:eastAsia="zh-TW"/>
              </w:rPr>
              <w:t>的值的和）而得出。</w:t>
            </w:r>
            <w:proofErr w:type="spellStart"/>
            <w:r>
              <w:rPr>
                <w:rFonts w:eastAsia="細明體" w:hint="eastAsia"/>
                <w:sz w:val="17"/>
                <w:szCs w:val="17"/>
              </w:rPr>
              <w:t>所得的比率應以百分比表示</w:t>
            </w:r>
            <w:proofErr w:type="spellEnd"/>
            <w:r>
              <w:rPr>
                <w:rFonts w:eastAsia="細明體" w:hint="eastAsia"/>
                <w:sz w:val="17"/>
                <w:szCs w:val="17"/>
              </w:rPr>
              <w:t>。</w:t>
            </w:r>
          </w:p>
        </w:tc>
      </w:tr>
      <w:tr w:rsidR="009E0DD9" w14:paraId="6AFDCAB7" w14:textId="77777777" w:rsidTr="00F443EE">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B5F8855" w14:textId="77777777" w:rsidR="009E0DD9" w:rsidRDefault="009E0DD9" w:rsidP="00F443EE">
            <w:pPr>
              <w:pStyle w:val="TableNote"/>
              <w:keepNext/>
              <w:spacing w:before="40" w:after="40"/>
            </w:pPr>
            <w:r>
              <w:rPr>
                <w:rFonts w:eastAsia="細明體" w:hint="eastAsia"/>
                <w:b/>
                <w:sz w:val="17"/>
              </w:rPr>
              <w:t>行</w:t>
            </w:r>
          </w:p>
        </w:tc>
      </w:tr>
      <w:tr w:rsidR="009E0DD9" w14:paraId="7CE98878" w14:textId="77777777" w:rsidTr="00F443EE">
        <w:tc>
          <w:tcPr>
            <w:tcW w:w="993" w:type="dxa"/>
            <w:tcBorders>
              <w:top w:val="single" w:sz="4" w:space="0" w:color="000000"/>
              <w:left w:val="single" w:sz="4" w:space="0" w:color="000000"/>
              <w:bottom w:val="single" w:sz="4" w:space="0" w:color="000000"/>
            </w:tcBorders>
            <w:shd w:val="clear" w:color="auto" w:fill="auto"/>
          </w:tcPr>
          <w:p w14:paraId="2556C445" w14:textId="77777777" w:rsidR="009E0DD9" w:rsidRDefault="009E0DD9" w:rsidP="00F443EE">
            <w:pPr>
              <w:pStyle w:val="TableNote"/>
              <w:keepNext/>
              <w:spacing w:before="40" w:after="40"/>
              <w:rPr>
                <w:rFonts w:eastAsia="細明體"/>
                <w:sz w:val="17"/>
                <w:szCs w:val="17"/>
              </w:rPr>
            </w:pPr>
            <w:proofErr w:type="spellStart"/>
            <w:r>
              <w:rPr>
                <w:rFonts w:eastAsia="細明體" w:hint="eastAsia"/>
                <w:sz w:val="17"/>
                <w:szCs w:val="17"/>
              </w:rPr>
              <w:t>所有</w:t>
            </w:r>
            <w:proofErr w:type="spellEnd"/>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0CB4533A" w14:textId="1BF031B4" w:rsidR="00393746" w:rsidRPr="00F16DAB" w:rsidRDefault="009E0DD9" w:rsidP="00F443EE">
            <w:pPr>
              <w:pStyle w:val="TableNote"/>
              <w:keepNext/>
              <w:spacing w:before="40" w:after="40"/>
              <w:rPr>
                <w:rFonts w:eastAsia="細明體"/>
                <w:sz w:val="17"/>
                <w:szCs w:val="17"/>
                <w:lang w:eastAsia="zh-TW"/>
              </w:rPr>
            </w:pPr>
            <w:r w:rsidRPr="00F16DAB">
              <w:rPr>
                <w:rFonts w:eastAsia="細明體" w:hint="eastAsia"/>
                <w:sz w:val="17"/>
                <w:szCs w:val="17"/>
                <w:lang w:eastAsia="zh-TW"/>
              </w:rPr>
              <w:t>各行及其各自的定義與《資本規則》第</w:t>
            </w:r>
            <w:r w:rsidRPr="00F16DAB">
              <w:rPr>
                <w:rFonts w:eastAsia="細明體"/>
                <w:sz w:val="17"/>
                <w:szCs w:val="17"/>
                <w:lang w:eastAsia="zh-TW"/>
              </w:rPr>
              <w:t>4</w:t>
            </w:r>
            <w:r w:rsidRPr="00F16DAB">
              <w:rPr>
                <w:rFonts w:eastAsia="細明體" w:hint="eastAsia"/>
                <w:sz w:val="17"/>
                <w:szCs w:val="17"/>
                <w:lang w:eastAsia="zh-TW"/>
              </w:rPr>
              <w:t>部（如屬</w:t>
            </w:r>
            <w:r w:rsidRPr="00F16DAB">
              <w:rPr>
                <w:rFonts w:eastAsia="細明體"/>
                <w:sz w:val="17"/>
                <w:szCs w:val="17"/>
                <w:lang w:eastAsia="zh-TW"/>
              </w:rPr>
              <w:t>STC</w:t>
            </w:r>
            <w:r w:rsidRPr="00F16DAB">
              <w:rPr>
                <w:rFonts w:eastAsia="細明體" w:hint="eastAsia"/>
                <w:sz w:val="17"/>
                <w:szCs w:val="17"/>
                <w:lang w:eastAsia="zh-TW"/>
              </w:rPr>
              <w:t>計算法）或</w:t>
            </w:r>
            <w:r w:rsidRPr="00F16DAB">
              <w:rPr>
                <w:rFonts w:eastAsia="細明體"/>
                <w:sz w:val="17"/>
                <w:szCs w:val="17"/>
                <w:lang w:eastAsia="zh-TW"/>
              </w:rPr>
              <w:t>第</w:t>
            </w:r>
            <w:r w:rsidRPr="00F16DAB">
              <w:rPr>
                <w:rFonts w:eastAsia="細明體"/>
                <w:sz w:val="17"/>
                <w:szCs w:val="17"/>
                <w:lang w:eastAsia="zh-TW"/>
              </w:rPr>
              <w:t>5</w:t>
            </w:r>
            <w:r w:rsidRPr="00F16DAB">
              <w:rPr>
                <w:rFonts w:eastAsia="細明體" w:hint="eastAsia"/>
                <w:sz w:val="17"/>
                <w:szCs w:val="17"/>
                <w:lang w:eastAsia="zh-TW"/>
              </w:rPr>
              <w:t>部（如屬</w:t>
            </w:r>
            <w:r w:rsidRPr="00F16DAB">
              <w:rPr>
                <w:rFonts w:eastAsia="細明體"/>
                <w:sz w:val="17"/>
                <w:szCs w:val="17"/>
                <w:lang w:eastAsia="zh-TW"/>
              </w:rPr>
              <w:t>BSC</w:t>
            </w:r>
            <w:r w:rsidRPr="00F16DAB">
              <w:rPr>
                <w:rFonts w:eastAsia="細明體" w:hint="eastAsia"/>
                <w:sz w:val="17"/>
                <w:szCs w:val="17"/>
                <w:lang w:eastAsia="zh-TW"/>
              </w:rPr>
              <w:t>計算法）所</w:t>
            </w:r>
            <w:r w:rsidRPr="00231EC8">
              <w:rPr>
                <w:rFonts w:eastAsia="細明體" w:hint="eastAsia"/>
                <w:sz w:val="17"/>
                <w:szCs w:val="17"/>
                <w:lang w:eastAsia="zh-TW"/>
              </w:rPr>
              <w:t>採用的風險承擔分類一致。</w:t>
            </w:r>
            <w:r w:rsidR="005E679C" w:rsidRPr="00231EC8">
              <w:rPr>
                <w:rFonts w:eastAsia="細明體" w:hint="eastAsia"/>
                <w:sz w:val="17"/>
                <w:szCs w:val="17"/>
                <w:lang w:eastAsia="zh-TW"/>
              </w:rPr>
              <w:t>這些</w:t>
            </w:r>
            <w:r w:rsidR="00393746" w:rsidRPr="00231EC8">
              <w:rPr>
                <w:rFonts w:eastAsia="細明體" w:hint="eastAsia"/>
                <w:sz w:val="17"/>
                <w:szCs w:val="17"/>
                <w:lang w:eastAsia="zh-TW"/>
              </w:rPr>
              <w:t>應</w:t>
            </w:r>
            <w:r w:rsidR="005E679C" w:rsidRPr="00231EC8">
              <w:rPr>
                <w:rFonts w:eastAsia="細明體" w:hint="eastAsia"/>
                <w:sz w:val="17"/>
                <w:szCs w:val="17"/>
                <w:lang w:eastAsia="zh-TW"/>
              </w:rPr>
              <w:t>包括</w:t>
            </w:r>
            <w:r w:rsidR="00393746" w:rsidRPr="00231EC8">
              <w:rPr>
                <w:rFonts w:eastAsia="細明體" w:hint="eastAsia"/>
                <w:sz w:val="17"/>
                <w:szCs w:val="17"/>
                <w:lang w:eastAsia="zh-TW"/>
              </w:rPr>
              <w:t>第</w:t>
            </w:r>
            <w:r w:rsidR="00393746" w:rsidRPr="00231EC8">
              <w:rPr>
                <w:rFonts w:eastAsia="細明體"/>
                <w:sz w:val="17"/>
                <w:szCs w:val="17"/>
                <w:lang w:eastAsia="zh-TW"/>
              </w:rPr>
              <w:t>1a</w:t>
            </w:r>
            <w:r w:rsidR="005E679C" w:rsidRPr="00231EC8">
              <w:rPr>
                <w:rFonts w:eastAsia="細明體" w:hint="eastAsia"/>
                <w:sz w:val="17"/>
                <w:szCs w:val="17"/>
                <w:lang w:eastAsia="zh-TW"/>
              </w:rPr>
              <w:t>組</w:t>
            </w:r>
            <w:r w:rsidR="004F2266" w:rsidRPr="00231EC8">
              <w:rPr>
                <w:rFonts w:eastAsia="細明體" w:hint="eastAsia"/>
                <w:sz w:val="17"/>
                <w:szCs w:val="17"/>
                <w:lang w:eastAsia="zh-TW"/>
              </w:rPr>
              <w:t>加密資產風險承擔</w:t>
            </w:r>
            <w:r w:rsidR="00393746" w:rsidRPr="00231EC8">
              <w:rPr>
                <w:rFonts w:eastAsia="細明體" w:hint="eastAsia"/>
                <w:sz w:val="17"/>
                <w:szCs w:val="17"/>
                <w:lang w:eastAsia="zh-TW"/>
              </w:rPr>
              <w:t>及第</w:t>
            </w:r>
            <w:r w:rsidR="00393746" w:rsidRPr="00231EC8">
              <w:rPr>
                <w:rFonts w:eastAsia="細明體"/>
                <w:sz w:val="17"/>
                <w:szCs w:val="17"/>
                <w:lang w:eastAsia="zh-TW"/>
              </w:rPr>
              <w:t>1b</w:t>
            </w:r>
            <w:r w:rsidR="005E679C" w:rsidRPr="00231EC8">
              <w:rPr>
                <w:rFonts w:eastAsia="細明體" w:hint="eastAsia"/>
                <w:sz w:val="17"/>
                <w:szCs w:val="17"/>
                <w:lang w:eastAsia="zh-TW"/>
              </w:rPr>
              <w:t>組</w:t>
            </w:r>
            <w:r w:rsidR="00393746" w:rsidRPr="00231EC8">
              <w:rPr>
                <w:rFonts w:eastAsia="細明體" w:hint="eastAsia"/>
                <w:sz w:val="17"/>
                <w:szCs w:val="17"/>
                <w:lang w:eastAsia="zh-TW"/>
              </w:rPr>
              <w:t>加密資產風險承擔</w:t>
            </w:r>
            <w:r w:rsidR="00E04812" w:rsidRPr="00231EC8">
              <w:rPr>
                <w:rFonts w:eastAsia="細明體" w:hint="eastAsia"/>
                <w:sz w:val="17"/>
                <w:szCs w:val="17"/>
                <w:lang w:eastAsia="zh-TW"/>
              </w:rPr>
              <w:t>。</w:t>
            </w:r>
            <w:r w:rsidR="005E679C" w:rsidRPr="00231EC8">
              <w:rPr>
                <w:rFonts w:eastAsia="細明體" w:hint="eastAsia"/>
                <w:sz w:val="17"/>
                <w:szCs w:val="17"/>
                <w:lang w:eastAsia="zh-TW"/>
              </w:rPr>
              <w:t>這些風險承擔</w:t>
            </w:r>
            <w:r w:rsidR="00393746" w:rsidRPr="00231EC8">
              <w:rPr>
                <w:rFonts w:eastAsia="細明體" w:hint="eastAsia"/>
                <w:sz w:val="17"/>
                <w:szCs w:val="17"/>
                <w:lang w:eastAsia="zh-TW"/>
              </w:rPr>
              <w:t>應</w:t>
            </w:r>
            <w:r w:rsidR="00E04812" w:rsidRPr="00231EC8">
              <w:rPr>
                <w:rFonts w:eastAsia="細明體" w:hint="eastAsia"/>
                <w:sz w:val="17"/>
                <w:szCs w:val="17"/>
                <w:lang w:eastAsia="zh-HK"/>
              </w:rPr>
              <w:t>按</w:t>
            </w:r>
            <w:r w:rsidR="00C448E0" w:rsidRPr="00231EC8">
              <w:rPr>
                <w:rFonts w:eastAsia="細明體" w:hint="eastAsia"/>
                <w:sz w:val="17"/>
                <w:szCs w:val="17"/>
                <w:lang w:eastAsia="zh-HK"/>
              </w:rPr>
              <w:t>該</w:t>
            </w:r>
            <w:r w:rsidR="002277DC" w:rsidRPr="00231EC8">
              <w:rPr>
                <w:rFonts w:eastAsia="細明體" w:hint="eastAsia"/>
                <w:sz w:val="17"/>
                <w:szCs w:val="17"/>
                <w:lang w:eastAsia="zh-HK"/>
              </w:rPr>
              <w:t>些</w:t>
            </w:r>
            <w:r w:rsidR="00C448E0" w:rsidRPr="00231EC8">
              <w:rPr>
                <w:rFonts w:eastAsia="細明體" w:hint="eastAsia"/>
                <w:sz w:val="17"/>
                <w:szCs w:val="17"/>
                <w:lang w:eastAsia="zh-TW"/>
              </w:rPr>
              <w:t>風險承擔</w:t>
            </w:r>
            <w:r w:rsidR="00D74A87" w:rsidRPr="00231EC8">
              <w:rPr>
                <w:rFonts w:eastAsia="細明體" w:hint="eastAsia"/>
                <w:sz w:val="17"/>
                <w:szCs w:val="17"/>
                <w:lang w:eastAsia="zh-TW"/>
              </w:rPr>
              <w:t>所</w:t>
            </w:r>
            <w:r w:rsidR="002277DC" w:rsidRPr="00231EC8">
              <w:rPr>
                <w:rFonts w:eastAsia="細明體" w:hint="eastAsia"/>
                <w:sz w:val="17"/>
                <w:szCs w:val="17"/>
                <w:lang w:eastAsia="zh-HK"/>
              </w:rPr>
              <w:t>關乎</w:t>
            </w:r>
            <w:r w:rsidR="00C448E0" w:rsidRPr="00231EC8">
              <w:rPr>
                <w:rFonts w:eastAsia="細明體" w:hint="eastAsia"/>
                <w:sz w:val="17"/>
                <w:szCs w:val="17"/>
                <w:lang w:eastAsia="zh-TW"/>
              </w:rPr>
              <w:t>的</w:t>
            </w:r>
            <w:r w:rsidR="00393746" w:rsidRPr="00231EC8">
              <w:rPr>
                <w:rFonts w:eastAsia="細明體" w:hint="eastAsia"/>
                <w:sz w:val="17"/>
                <w:szCs w:val="17"/>
                <w:lang w:eastAsia="zh-TW"/>
              </w:rPr>
              <w:t>第</w:t>
            </w:r>
            <w:r w:rsidR="00393746" w:rsidRPr="00231EC8">
              <w:rPr>
                <w:rFonts w:eastAsia="細明體"/>
                <w:sz w:val="17"/>
                <w:szCs w:val="17"/>
                <w:lang w:eastAsia="zh-TW"/>
              </w:rPr>
              <w:t>1a</w:t>
            </w:r>
            <w:r w:rsidR="005E679C" w:rsidRPr="00231EC8">
              <w:rPr>
                <w:rFonts w:eastAsia="細明體" w:hint="eastAsia"/>
                <w:sz w:val="17"/>
                <w:szCs w:val="17"/>
                <w:lang w:eastAsia="zh-TW"/>
              </w:rPr>
              <w:t>組</w:t>
            </w:r>
            <w:r w:rsidR="00C923F7" w:rsidRPr="00231EC8">
              <w:rPr>
                <w:rFonts w:eastAsia="細明體" w:hint="eastAsia"/>
                <w:sz w:val="17"/>
                <w:szCs w:val="17"/>
                <w:lang w:eastAsia="zh-TW"/>
              </w:rPr>
              <w:t>加密資產</w:t>
            </w:r>
            <w:r w:rsidR="00393746" w:rsidRPr="00231EC8">
              <w:rPr>
                <w:rFonts w:eastAsia="細明體" w:hint="eastAsia"/>
                <w:sz w:val="17"/>
                <w:szCs w:val="17"/>
                <w:lang w:eastAsia="zh-TW"/>
              </w:rPr>
              <w:t>的</w:t>
            </w:r>
            <w:r w:rsidR="005E679C" w:rsidRPr="00231EC8">
              <w:rPr>
                <w:rFonts w:eastAsia="細明體" w:hint="eastAsia"/>
                <w:sz w:val="17"/>
                <w:szCs w:val="17"/>
                <w:lang w:eastAsia="zh-TW"/>
              </w:rPr>
              <w:t>基礎</w:t>
            </w:r>
            <w:r w:rsidR="00393746" w:rsidRPr="00231EC8">
              <w:rPr>
                <w:rFonts w:eastAsia="細明體" w:hint="eastAsia"/>
                <w:sz w:val="17"/>
                <w:szCs w:val="17"/>
                <w:lang w:eastAsia="zh-TW"/>
              </w:rPr>
              <w:t>傳統資產</w:t>
            </w:r>
            <w:r w:rsidR="005E679C" w:rsidRPr="00231EC8">
              <w:rPr>
                <w:rFonts w:eastAsia="細明體" w:hint="eastAsia"/>
                <w:sz w:val="17"/>
                <w:szCs w:val="17"/>
                <w:lang w:eastAsia="zh-TW"/>
              </w:rPr>
              <w:t>、</w:t>
            </w:r>
            <w:r w:rsidR="00393746" w:rsidRPr="00231EC8">
              <w:rPr>
                <w:rFonts w:eastAsia="細明體" w:hint="eastAsia"/>
                <w:sz w:val="17"/>
                <w:szCs w:val="17"/>
                <w:lang w:eastAsia="zh-TW"/>
              </w:rPr>
              <w:t>第</w:t>
            </w:r>
            <w:r w:rsidR="00393746" w:rsidRPr="00231EC8">
              <w:rPr>
                <w:rFonts w:eastAsia="細明體"/>
                <w:sz w:val="17"/>
                <w:szCs w:val="17"/>
                <w:lang w:eastAsia="zh-TW"/>
              </w:rPr>
              <w:t>1b</w:t>
            </w:r>
            <w:r w:rsidR="005E679C" w:rsidRPr="00231EC8">
              <w:rPr>
                <w:rFonts w:eastAsia="細明體" w:hint="eastAsia"/>
                <w:sz w:val="17"/>
                <w:szCs w:val="17"/>
                <w:lang w:eastAsia="zh-TW"/>
              </w:rPr>
              <w:t>組</w:t>
            </w:r>
            <w:r w:rsidR="00393746" w:rsidRPr="00231EC8">
              <w:rPr>
                <w:rFonts w:eastAsia="細明體" w:hint="eastAsia"/>
                <w:sz w:val="17"/>
                <w:szCs w:val="17"/>
                <w:lang w:eastAsia="zh-TW"/>
              </w:rPr>
              <w:t>加密資產</w:t>
            </w:r>
            <w:r w:rsidR="005E679C" w:rsidRPr="00231EC8">
              <w:rPr>
                <w:rFonts w:eastAsia="細明體" w:hint="eastAsia"/>
                <w:sz w:val="17"/>
                <w:szCs w:val="17"/>
                <w:lang w:eastAsia="zh-TW"/>
              </w:rPr>
              <w:t>的參照</w:t>
            </w:r>
            <w:r w:rsidR="00393746" w:rsidRPr="00231EC8">
              <w:rPr>
                <w:rFonts w:eastAsia="細明體" w:hint="eastAsia"/>
                <w:sz w:val="17"/>
                <w:szCs w:val="17"/>
                <w:lang w:eastAsia="zh-TW"/>
              </w:rPr>
              <w:t>資產</w:t>
            </w:r>
            <w:r w:rsidR="005E679C" w:rsidRPr="00231EC8">
              <w:rPr>
                <w:rFonts w:eastAsia="細明體" w:hint="eastAsia"/>
                <w:sz w:val="17"/>
                <w:szCs w:val="17"/>
                <w:lang w:eastAsia="zh-TW"/>
              </w:rPr>
              <w:t>，或相關</w:t>
            </w:r>
            <w:r w:rsidR="00393746" w:rsidRPr="00231EC8">
              <w:rPr>
                <w:rFonts w:eastAsia="細明體" w:hint="eastAsia"/>
                <w:sz w:val="17"/>
                <w:szCs w:val="17"/>
                <w:lang w:eastAsia="zh-TW"/>
              </w:rPr>
              <w:t>贖回人</w:t>
            </w:r>
            <w:r w:rsidR="00393746" w:rsidRPr="00231EC8">
              <w:rPr>
                <w:rFonts w:eastAsia="細明體"/>
                <w:sz w:val="17"/>
                <w:szCs w:val="17"/>
                <w:lang w:eastAsia="zh-TW"/>
              </w:rPr>
              <w:t>/</w:t>
            </w:r>
            <w:r w:rsidR="00393746" w:rsidRPr="00231EC8">
              <w:rPr>
                <w:rFonts w:eastAsia="細明體" w:hint="eastAsia"/>
                <w:sz w:val="17"/>
                <w:szCs w:val="17"/>
                <w:lang w:eastAsia="zh-TW"/>
              </w:rPr>
              <w:t>成員持有人</w:t>
            </w:r>
            <w:r w:rsidR="00393746" w:rsidRPr="00231EC8">
              <w:rPr>
                <w:rFonts w:eastAsia="細明體"/>
                <w:sz w:val="17"/>
                <w:szCs w:val="17"/>
                <w:lang w:eastAsia="zh-TW"/>
              </w:rPr>
              <w:t>/</w:t>
            </w:r>
            <w:r w:rsidR="00393746" w:rsidRPr="00231EC8">
              <w:rPr>
                <w:rFonts w:eastAsia="細明體" w:hint="eastAsia"/>
                <w:sz w:val="17"/>
                <w:szCs w:val="17"/>
                <w:lang w:eastAsia="zh-TW"/>
              </w:rPr>
              <w:t>非成員持有人所屬</w:t>
            </w:r>
            <w:r w:rsidR="005E679C" w:rsidRPr="00231EC8">
              <w:rPr>
                <w:rFonts w:eastAsia="細明體" w:hint="eastAsia"/>
                <w:sz w:val="17"/>
                <w:szCs w:val="17"/>
                <w:lang w:eastAsia="zh-TW"/>
              </w:rPr>
              <w:t>的</w:t>
            </w:r>
            <w:r w:rsidR="00393746" w:rsidRPr="00231EC8">
              <w:rPr>
                <w:rFonts w:eastAsia="細明體" w:hint="eastAsia"/>
                <w:sz w:val="17"/>
                <w:szCs w:val="17"/>
                <w:lang w:eastAsia="zh-TW"/>
              </w:rPr>
              <w:t>風險承擔類別</w:t>
            </w:r>
            <w:r w:rsidR="005E679C" w:rsidRPr="00231EC8">
              <w:rPr>
                <w:rFonts w:eastAsia="細明體" w:hint="eastAsia"/>
                <w:sz w:val="17"/>
                <w:szCs w:val="17"/>
                <w:lang w:eastAsia="zh-TW"/>
              </w:rPr>
              <w:t>進行填報</w:t>
            </w:r>
            <w:r w:rsidR="00C448E0" w:rsidRPr="00231EC8">
              <w:rPr>
                <w:rFonts w:eastAsia="細明體" w:hint="eastAsia"/>
                <w:sz w:val="17"/>
                <w:szCs w:val="17"/>
                <w:lang w:eastAsia="zh-TW"/>
              </w:rPr>
              <w:t>。</w:t>
            </w:r>
            <w:r w:rsidR="00A27CCF" w:rsidRPr="00231EC8">
              <w:rPr>
                <w:rFonts w:eastAsia="細明體" w:hint="eastAsia"/>
                <w:sz w:val="17"/>
                <w:szCs w:val="17"/>
                <w:lang w:eastAsia="zh-HK"/>
              </w:rPr>
              <w:t>惟</w:t>
            </w:r>
            <w:r w:rsidR="005E679C" w:rsidRPr="00231EC8">
              <w:rPr>
                <w:rFonts w:eastAsia="細明體" w:hint="eastAsia"/>
                <w:sz w:val="17"/>
                <w:szCs w:val="17"/>
                <w:lang w:eastAsia="zh-TW"/>
              </w:rPr>
              <w:t>使用</w:t>
            </w:r>
            <w:r w:rsidR="00393746" w:rsidRPr="00231EC8">
              <w:rPr>
                <w:rFonts w:eastAsia="細明體"/>
                <w:sz w:val="17"/>
                <w:szCs w:val="17"/>
                <w:lang w:eastAsia="zh-TW"/>
              </w:rPr>
              <w:t>BSC</w:t>
            </w:r>
            <w:r w:rsidR="00393746" w:rsidRPr="00231EC8">
              <w:rPr>
                <w:rFonts w:eastAsia="細明體" w:hint="eastAsia"/>
                <w:sz w:val="17"/>
                <w:szCs w:val="17"/>
                <w:lang w:eastAsia="zh-TW"/>
              </w:rPr>
              <w:t>計算法的認可機構</w:t>
            </w:r>
            <w:r w:rsidR="005E679C" w:rsidRPr="00231EC8">
              <w:rPr>
                <w:rFonts w:eastAsia="細明體" w:hint="eastAsia"/>
                <w:sz w:val="17"/>
                <w:szCs w:val="17"/>
                <w:lang w:eastAsia="zh-TW"/>
              </w:rPr>
              <w:t>，</w:t>
            </w:r>
            <w:r w:rsidR="00A27CCF" w:rsidRPr="00231EC8">
              <w:rPr>
                <w:rFonts w:eastAsia="細明體" w:hint="eastAsia"/>
                <w:sz w:val="17"/>
                <w:szCs w:val="17"/>
                <w:lang w:eastAsia="zh-TW"/>
              </w:rPr>
              <w:t>應填報</w:t>
            </w:r>
            <w:r w:rsidR="005E679C" w:rsidRPr="00231EC8">
              <w:rPr>
                <w:rFonts w:eastAsia="細明體" w:hint="eastAsia"/>
                <w:sz w:val="17"/>
                <w:szCs w:val="17"/>
                <w:lang w:eastAsia="zh-TW"/>
              </w:rPr>
              <w:t>屬於</w:t>
            </w:r>
            <w:r w:rsidR="00393746" w:rsidRPr="00231EC8">
              <w:rPr>
                <w:rFonts w:eastAsia="細明體" w:hint="eastAsia"/>
                <w:sz w:val="17"/>
                <w:szCs w:val="17"/>
                <w:lang w:eastAsia="zh-TW"/>
              </w:rPr>
              <w:t>第</w:t>
            </w:r>
            <w:r w:rsidR="00393746" w:rsidRPr="00231EC8">
              <w:rPr>
                <w:rFonts w:eastAsia="細明體"/>
                <w:sz w:val="17"/>
                <w:szCs w:val="17"/>
                <w:lang w:eastAsia="zh-TW"/>
              </w:rPr>
              <w:t>15a</w:t>
            </w:r>
            <w:r w:rsidR="00393746" w:rsidRPr="00231EC8">
              <w:rPr>
                <w:rFonts w:eastAsia="細明體" w:hint="eastAsia"/>
                <w:sz w:val="17"/>
                <w:szCs w:val="17"/>
                <w:lang w:eastAsia="zh-TW"/>
              </w:rPr>
              <w:t>行的風險承擔</w:t>
            </w:r>
            <w:r w:rsidR="004E7152" w:rsidRPr="00231EC8">
              <w:rPr>
                <w:rFonts w:eastAsia="細明體" w:hint="eastAsia"/>
                <w:sz w:val="17"/>
                <w:szCs w:val="17"/>
                <w:lang w:eastAsia="zh-TW"/>
              </w:rPr>
              <w:t>於該行中</w:t>
            </w:r>
            <w:r w:rsidR="00393746" w:rsidRPr="00231EC8">
              <w:rPr>
                <w:rFonts w:eastAsia="細明體" w:hint="eastAsia"/>
                <w:sz w:val="17"/>
                <w:szCs w:val="17"/>
                <w:lang w:eastAsia="zh-TW"/>
              </w:rPr>
              <w:t>。</w:t>
            </w:r>
          </w:p>
        </w:tc>
      </w:tr>
      <w:tr w:rsidR="009E0DD9" w14:paraId="000D79F5" w14:textId="77777777" w:rsidTr="00F443EE">
        <w:tc>
          <w:tcPr>
            <w:tcW w:w="993" w:type="dxa"/>
            <w:tcBorders>
              <w:top w:val="single" w:sz="4" w:space="0" w:color="000000"/>
              <w:left w:val="single" w:sz="4" w:space="0" w:color="000000"/>
              <w:bottom w:val="single" w:sz="4" w:space="0" w:color="000000"/>
            </w:tcBorders>
            <w:shd w:val="clear" w:color="auto" w:fill="auto"/>
          </w:tcPr>
          <w:p w14:paraId="48287BC2" w14:textId="50926B29" w:rsidR="009E0DD9" w:rsidRDefault="006807D8" w:rsidP="00F443EE">
            <w:pPr>
              <w:pStyle w:val="TableNote"/>
              <w:keepNext/>
              <w:spacing w:before="40" w:after="40"/>
              <w:rPr>
                <w:rFonts w:eastAsia="細明體"/>
                <w:i/>
                <w:sz w:val="17"/>
                <w:szCs w:val="17"/>
              </w:rPr>
            </w:pPr>
            <w:r>
              <w:rPr>
                <w:rFonts w:eastAsia="細明體"/>
                <w:sz w:val="17"/>
                <w:szCs w:val="17"/>
              </w:rPr>
              <w:t>12</w:t>
            </w:r>
            <w:r w:rsidR="009E0DD9">
              <w:rPr>
                <w:rFonts w:eastAsia="細明體"/>
                <w:sz w:val="17"/>
                <w:szCs w:val="17"/>
              </w:rPr>
              <w:t xml:space="preserve"> (STC) / </w:t>
            </w:r>
            <w:r>
              <w:rPr>
                <w:rFonts w:eastAsia="細明體"/>
                <w:sz w:val="17"/>
                <w:szCs w:val="17"/>
              </w:rPr>
              <w:t>16</w:t>
            </w:r>
            <w:r w:rsidR="009E0DD9">
              <w:rPr>
                <w:rFonts w:eastAsia="細明體"/>
                <w:sz w:val="17"/>
                <w:szCs w:val="17"/>
              </w:rPr>
              <w:t xml:space="preserve"> (BSC)</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54208EA7" w14:textId="1F38D6F1" w:rsidR="009E0DD9" w:rsidRPr="003F2D69" w:rsidRDefault="009E0DD9" w:rsidP="00F443EE">
            <w:pPr>
              <w:pStyle w:val="TableNote"/>
              <w:keepNext/>
              <w:spacing w:before="40" w:after="40"/>
              <w:rPr>
                <w:sz w:val="17"/>
                <w:szCs w:val="17"/>
                <w:lang w:eastAsia="zh-TW"/>
              </w:rPr>
            </w:pPr>
            <w:r w:rsidRPr="009B5D4F">
              <w:rPr>
                <w:rFonts w:eastAsia="細明體" w:hint="eastAsia"/>
                <w:i/>
                <w:sz w:val="17"/>
                <w:szCs w:val="17"/>
                <w:lang w:eastAsia="zh-TW"/>
              </w:rPr>
              <w:t>總計</w:t>
            </w:r>
            <w:r w:rsidRPr="009B5D4F">
              <w:rPr>
                <w:rFonts w:eastAsia="細明體" w:hint="eastAsia"/>
                <w:sz w:val="17"/>
                <w:szCs w:val="17"/>
                <w:lang w:eastAsia="zh-TW"/>
              </w:rPr>
              <w:t>：認可機構如使用</w:t>
            </w:r>
            <w:r w:rsidRPr="009B5D4F">
              <w:rPr>
                <w:rFonts w:eastAsia="細明體"/>
                <w:sz w:val="17"/>
                <w:szCs w:val="17"/>
                <w:lang w:eastAsia="zh-TW"/>
              </w:rPr>
              <w:t>STC</w:t>
            </w:r>
            <w:r w:rsidRPr="009B5D4F">
              <w:rPr>
                <w:rFonts w:eastAsia="細明體" w:hint="eastAsia"/>
                <w:sz w:val="17"/>
                <w:szCs w:val="17"/>
                <w:lang w:eastAsia="zh-TW"/>
              </w:rPr>
              <w:t>計算法，</w:t>
            </w:r>
            <w:r w:rsidRPr="009B5D4F">
              <w:rPr>
                <w:rFonts w:eastAsia="細明體"/>
                <w:sz w:val="17"/>
                <w:szCs w:val="17"/>
                <w:lang w:eastAsia="zh-TW"/>
              </w:rPr>
              <w:t>[CR4(STC):</w:t>
            </w:r>
            <w:r w:rsidR="006807D8">
              <w:rPr>
                <w:rFonts w:eastAsia="細明體"/>
                <w:sz w:val="17"/>
                <w:szCs w:val="17"/>
                <w:lang w:eastAsia="zh-TW"/>
              </w:rPr>
              <w:t>1</w:t>
            </w:r>
            <w:r w:rsidR="006807D8" w:rsidRPr="009B5D4F">
              <w:rPr>
                <w:rFonts w:eastAsia="細明體"/>
                <w:sz w:val="17"/>
                <w:szCs w:val="17"/>
                <w:lang w:eastAsia="zh-TW"/>
              </w:rPr>
              <w:t>2</w:t>
            </w:r>
            <w:r w:rsidRPr="009B5D4F">
              <w:rPr>
                <w:rFonts w:eastAsia="細明體"/>
                <w:sz w:val="17"/>
                <w:szCs w:val="17"/>
                <w:lang w:eastAsia="zh-TW"/>
              </w:rPr>
              <w:t>/</w:t>
            </w:r>
            <w:proofErr w:type="gramStart"/>
            <w:r w:rsidRPr="009B5D4F">
              <w:rPr>
                <w:rFonts w:eastAsia="細明體"/>
                <w:sz w:val="17"/>
                <w:szCs w:val="17"/>
                <w:lang w:eastAsia="zh-TW"/>
              </w:rPr>
              <w:t>c]</w:t>
            </w:r>
            <w:r w:rsidRPr="009B5D4F">
              <w:rPr>
                <w:rFonts w:eastAsia="細明體" w:hint="eastAsia"/>
                <w:sz w:val="17"/>
                <w:szCs w:val="17"/>
                <w:lang w:eastAsia="zh-TW"/>
              </w:rPr>
              <w:t>及</w:t>
            </w:r>
            <w:proofErr w:type="gramEnd"/>
            <w:r w:rsidRPr="009B5D4F">
              <w:rPr>
                <w:rFonts w:eastAsia="細明體"/>
                <w:sz w:val="17"/>
                <w:szCs w:val="17"/>
                <w:lang w:eastAsia="zh-TW"/>
              </w:rPr>
              <w:t>[CR4(STC):</w:t>
            </w:r>
            <w:r w:rsidR="006807D8">
              <w:rPr>
                <w:rFonts w:eastAsia="細明體"/>
                <w:sz w:val="17"/>
                <w:szCs w:val="17"/>
                <w:lang w:eastAsia="zh-TW"/>
              </w:rPr>
              <w:t>1</w:t>
            </w:r>
            <w:r w:rsidR="006807D8" w:rsidRPr="009B5D4F">
              <w:rPr>
                <w:rFonts w:eastAsia="細明體"/>
                <w:sz w:val="17"/>
                <w:szCs w:val="17"/>
                <w:lang w:eastAsia="zh-TW"/>
              </w:rPr>
              <w:t>2</w:t>
            </w:r>
            <w:r w:rsidRPr="009B5D4F">
              <w:rPr>
                <w:rFonts w:eastAsia="細明體"/>
                <w:sz w:val="17"/>
                <w:szCs w:val="17"/>
                <w:lang w:eastAsia="zh-TW"/>
              </w:rPr>
              <w:t>/d]</w:t>
            </w:r>
            <w:r w:rsidRPr="009B5D4F">
              <w:rPr>
                <w:rFonts w:eastAsia="細明體" w:hint="eastAsia"/>
                <w:sz w:val="17"/>
                <w:szCs w:val="17"/>
                <w:lang w:eastAsia="zh-TW"/>
              </w:rPr>
              <w:t>的值的和相等於</w:t>
            </w:r>
            <w:r w:rsidRPr="003F2D69">
              <w:rPr>
                <w:rFonts w:eastAsia="細明體" w:hint="eastAsia"/>
                <w:sz w:val="17"/>
                <w:szCs w:val="17"/>
                <w:lang w:eastAsia="zh-TW"/>
              </w:rPr>
              <w:t>「風險承擔數額及應用於資產負債表外風險承擔的</w:t>
            </w:r>
            <w:r w:rsidRPr="003F2D69">
              <w:rPr>
                <w:rFonts w:eastAsia="細明體"/>
                <w:sz w:val="17"/>
                <w:szCs w:val="17"/>
                <w:lang w:eastAsia="zh-TW"/>
              </w:rPr>
              <w:t>CCF</w:t>
            </w:r>
            <w:r w:rsidR="0029131C">
              <w:rPr>
                <w:rFonts w:eastAsia="細明體" w:hint="eastAsia"/>
                <w:sz w:val="17"/>
                <w:szCs w:val="17"/>
                <w:lang w:eastAsia="zh-TW"/>
              </w:rPr>
              <w:t>（</w:t>
            </w:r>
            <w:r w:rsidRPr="003F2D69">
              <w:rPr>
                <w:rFonts w:eastAsia="細明體" w:hint="eastAsia"/>
                <w:sz w:val="17"/>
                <w:szCs w:val="17"/>
                <w:lang w:eastAsia="zh-TW"/>
              </w:rPr>
              <w:t>根據經轉換風險承擔的風險組別分類</w:t>
            </w:r>
            <w:r w:rsidR="00AA1FEA">
              <w:rPr>
                <w:rFonts w:eastAsia="細明體" w:hint="eastAsia"/>
                <w:sz w:val="17"/>
                <w:szCs w:val="17"/>
                <w:lang w:eastAsia="zh-TW"/>
              </w:rPr>
              <w:t>）</w:t>
            </w:r>
            <w:r w:rsidR="0029131C">
              <w:rPr>
                <w:rFonts w:eastAsia="細明體" w:hint="eastAsia"/>
                <w:sz w:val="17"/>
                <w:szCs w:val="17"/>
                <w:lang w:eastAsia="zh-TW"/>
              </w:rPr>
              <w:t>（</w:t>
            </w:r>
            <w:r w:rsidRPr="003F2D69">
              <w:rPr>
                <w:rFonts w:eastAsia="細明體"/>
                <w:sz w:val="17"/>
                <w:szCs w:val="17"/>
                <w:lang w:val="en-US" w:eastAsia="zh-TW"/>
              </w:rPr>
              <w:t>STC</w:t>
            </w:r>
            <w:r w:rsidRPr="003F2D69">
              <w:rPr>
                <w:rFonts w:eastAsia="細明體" w:hint="eastAsia"/>
                <w:sz w:val="17"/>
                <w:szCs w:val="17"/>
                <w:lang w:val="en-US" w:eastAsia="zh-TW"/>
              </w:rPr>
              <w:t>版本</w:t>
            </w:r>
            <w:r w:rsidR="0029131C">
              <w:rPr>
                <w:rFonts w:eastAsia="細明體" w:hint="eastAsia"/>
                <w:sz w:val="17"/>
                <w:szCs w:val="17"/>
                <w:lang w:eastAsia="zh-TW"/>
              </w:rPr>
              <w:t>）</w:t>
            </w:r>
            <w:r w:rsidRPr="003F2D69">
              <w:rPr>
                <w:rFonts w:eastAsia="細明體" w:hint="eastAsia"/>
                <w:sz w:val="17"/>
                <w:szCs w:val="17"/>
                <w:lang w:eastAsia="zh-TW"/>
              </w:rPr>
              <w:t>」</w:t>
            </w:r>
            <w:r w:rsidRPr="00BE60C1">
              <w:rPr>
                <w:rFonts w:eastAsia="細明體" w:hint="eastAsia"/>
                <w:sz w:val="17"/>
                <w:szCs w:val="17"/>
                <w:lang w:eastAsia="zh-TW"/>
              </w:rPr>
              <w:t>表</w:t>
            </w:r>
            <w:r w:rsidR="00613A7E">
              <w:rPr>
                <w:rFonts w:eastAsia="細明體" w:hint="eastAsia"/>
                <w:sz w:val="17"/>
                <w:szCs w:val="17"/>
                <w:lang w:eastAsia="zh-HK"/>
              </w:rPr>
              <w:t>中</w:t>
            </w:r>
            <w:r w:rsidR="00613A7E" w:rsidRPr="009B5D4F">
              <w:rPr>
                <w:rFonts w:eastAsia="細明體"/>
                <w:sz w:val="17"/>
                <w:szCs w:val="17"/>
                <w:lang w:eastAsia="zh-TW"/>
              </w:rPr>
              <w:t xml:space="preserve"> </w:t>
            </w:r>
            <w:r w:rsidRPr="009B5D4F">
              <w:rPr>
                <w:rFonts w:eastAsia="細明體"/>
                <w:sz w:val="17"/>
                <w:szCs w:val="17"/>
                <w:lang w:eastAsia="zh-TW"/>
              </w:rPr>
              <w:t>[CR5(STC):</w:t>
            </w:r>
            <w:r w:rsidR="006807D8">
              <w:rPr>
                <w:rFonts w:eastAsia="細明體" w:hint="eastAsia"/>
                <w:sz w:val="17"/>
                <w:szCs w:val="17"/>
                <w:lang w:eastAsia="zh-TW"/>
              </w:rPr>
              <w:t>1</w:t>
            </w:r>
            <w:r w:rsidR="006807D8" w:rsidRPr="009B5D4F">
              <w:rPr>
                <w:rFonts w:eastAsia="細明體"/>
                <w:sz w:val="17"/>
                <w:szCs w:val="17"/>
                <w:lang w:eastAsia="zh-TW"/>
              </w:rPr>
              <w:t>1/d</w:t>
            </w:r>
            <w:r w:rsidRPr="009B5D4F">
              <w:rPr>
                <w:rFonts w:eastAsia="細明體"/>
                <w:sz w:val="17"/>
                <w:szCs w:val="17"/>
                <w:lang w:eastAsia="zh-TW"/>
              </w:rPr>
              <w:t>]</w:t>
            </w:r>
            <w:r w:rsidRPr="009B5D4F">
              <w:rPr>
                <w:rFonts w:eastAsia="細明體" w:hint="eastAsia"/>
                <w:sz w:val="17"/>
                <w:szCs w:val="17"/>
                <w:lang w:eastAsia="zh-TW"/>
              </w:rPr>
              <w:t>的值；認可機構如使用</w:t>
            </w:r>
            <w:r w:rsidRPr="009B5D4F">
              <w:rPr>
                <w:rFonts w:eastAsia="細明體"/>
                <w:sz w:val="17"/>
                <w:szCs w:val="17"/>
                <w:lang w:eastAsia="zh-TW"/>
              </w:rPr>
              <w:t>BSC</w:t>
            </w:r>
            <w:r w:rsidRPr="009B5D4F">
              <w:rPr>
                <w:rFonts w:eastAsia="細明體" w:hint="eastAsia"/>
                <w:sz w:val="17"/>
                <w:szCs w:val="17"/>
                <w:lang w:eastAsia="zh-TW"/>
              </w:rPr>
              <w:t>計算法，</w:t>
            </w:r>
            <w:r w:rsidRPr="009B5D4F">
              <w:rPr>
                <w:rFonts w:eastAsia="細明體"/>
                <w:sz w:val="17"/>
                <w:szCs w:val="17"/>
                <w:lang w:eastAsia="zh-TW"/>
              </w:rPr>
              <w:t>[CR4(BSC):</w:t>
            </w:r>
            <w:r w:rsidR="006807D8">
              <w:rPr>
                <w:rFonts w:eastAsia="細明體" w:hint="eastAsia"/>
                <w:sz w:val="17"/>
                <w:szCs w:val="17"/>
                <w:lang w:eastAsia="zh-TW"/>
              </w:rPr>
              <w:t>1</w:t>
            </w:r>
            <w:r w:rsidR="006807D8" w:rsidRPr="00FA3C27">
              <w:rPr>
                <w:rFonts w:eastAsia="細明體"/>
                <w:sz w:val="17"/>
                <w:szCs w:val="17"/>
                <w:lang w:eastAsia="zh-TW"/>
              </w:rPr>
              <w:t>6</w:t>
            </w:r>
            <w:r w:rsidRPr="009B5D4F">
              <w:rPr>
                <w:rFonts w:eastAsia="細明體"/>
                <w:sz w:val="17"/>
                <w:szCs w:val="17"/>
                <w:lang w:eastAsia="zh-TW"/>
              </w:rPr>
              <w:t>/c]</w:t>
            </w:r>
            <w:r w:rsidRPr="009B5D4F">
              <w:rPr>
                <w:rFonts w:eastAsia="細明體" w:hint="eastAsia"/>
                <w:sz w:val="17"/>
                <w:szCs w:val="17"/>
                <w:lang w:eastAsia="zh-TW"/>
              </w:rPr>
              <w:t>及</w:t>
            </w:r>
            <w:r w:rsidRPr="009B5D4F">
              <w:rPr>
                <w:rFonts w:eastAsia="細明體"/>
                <w:sz w:val="17"/>
                <w:szCs w:val="17"/>
                <w:lang w:eastAsia="zh-TW"/>
              </w:rPr>
              <w:t>[CR4(BSC):</w:t>
            </w:r>
            <w:r w:rsidR="006807D8">
              <w:rPr>
                <w:rFonts w:eastAsia="細明體" w:hint="eastAsia"/>
                <w:sz w:val="17"/>
                <w:szCs w:val="17"/>
                <w:lang w:eastAsia="zh-TW"/>
              </w:rPr>
              <w:t>1</w:t>
            </w:r>
            <w:r w:rsidR="006807D8" w:rsidRPr="00FA3C27">
              <w:rPr>
                <w:rFonts w:eastAsia="細明體"/>
                <w:sz w:val="17"/>
                <w:szCs w:val="17"/>
                <w:lang w:eastAsia="zh-TW"/>
              </w:rPr>
              <w:t>6</w:t>
            </w:r>
            <w:r w:rsidRPr="009B5D4F">
              <w:rPr>
                <w:rFonts w:eastAsia="細明體"/>
                <w:sz w:val="17"/>
                <w:szCs w:val="17"/>
                <w:lang w:eastAsia="zh-TW"/>
              </w:rPr>
              <w:t>/d]</w:t>
            </w:r>
            <w:r w:rsidRPr="009B5D4F">
              <w:rPr>
                <w:rFonts w:eastAsia="細明體" w:hint="eastAsia"/>
                <w:sz w:val="17"/>
                <w:szCs w:val="17"/>
                <w:lang w:eastAsia="zh-TW"/>
              </w:rPr>
              <w:t>的值的和相等於</w:t>
            </w:r>
            <w:r w:rsidRPr="003F2D69">
              <w:rPr>
                <w:rFonts w:eastAsia="細明體" w:hint="eastAsia"/>
                <w:sz w:val="17"/>
                <w:szCs w:val="17"/>
                <w:lang w:eastAsia="zh-TW"/>
              </w:rPr>
              <w:t>「</w:t>
            </w:r>
            <w:r w:rsidRPr="003F2D69">
              <w:rPr>
                <w:rFonts w:eastAsia="細明體" w:hint="eastAsia"/>
                <w:sz w:val="17"/>
                <w:szCs w:val="17"/>
                <w:lang w:eastAsia="zh-HK"/>
              </w:rPr>
              <w:t>風險承擔數額及應用於資產負債表外</w:t>
            </w:r>
            <w:r w:rsidRPr="003F2D69">
              <w:rPr>
                <w:rFonts w:eastAsia="細明體" w:hint="eastAsia"/>
                <w:sz w:val="17"/>
                <w:szCs w:val="17"/>
                <w:lang w:eastAsia="zh-TW"/>
              </w:rPr>
              <w:t>風險承擔</w:t>
            </w:r>
            <w:r w:rsidRPr="003F2D69">
              <w:rPr>
                <w:rFonts w:eastAsia="細明體" w:hint="eastAsia"/>
                <w:sz w:val="17"/>
                <w:szCs w:val="17"/>
                <w:lang w:eastAsia="zh-HK"/>
              </w:rPr>
              <w:t>的</w:t>
            </w:r>
            <w:r w:rsidRPr="003F2D69">
              <w:rPr>
                <w:rFonts w:eastAsia="細明體"/>
                <w:sz w:val="17"/>
                <w:szCs w:val="17"/>
                <w:lang w:eastAsia="zh-TW"/>
              </w:rPr>
              <w:t>CCF</w:t>
            </w:r>
            <w:r w:rsidR="0029131C">
              <w:rPr>
                <w:rFonts w:eastAsia="細明體" w:hint="eastAsia"/>
                <w:sz w:val="17"/>
                <w:szCs w:val="17"/>
                <w:lang w:eastAsia="zh-TW"/>
              </w:rPr>
              <w:t>（</w:t>
            </w:r>
            <w:r w:rsidRPr="003F2D69">
              <w:rPr>
                <w:rFonts w:eastAsia="細明體" w:hint="eastAsia"/>
                <w:sz w:val="17"/>
                <w:szCs w:val="17"/>
                <w:lang w:eastAsia="zh-HK"/>
              </w:rPr>
              <w:t>根據經轉換風險承擔的風險組別分類</w:t>
            </w:r>
            <w:r w:rsidR="00AA1FEA">
              <w:rPr>
                <w:rFonts w:eastAsia="細明體" w:hint="eastAsia"/>
                <w:sz w:val="17"/>
                <w:szCs w:val="17"/>
                <w:lang w:eastAsia="zh-TW"/>
              </w:rPr>
              <w:t>）</w:t>
            </w:r>
            <w:r w:rsidR="0029131C">
              <w:rPr>
                <w:rFonts w:eastAsia="細明體" w:hint="eastAsia"/>
                <w:sz w:val="17"/>
                <w:szCs w:val="17"/>
                <w:lang w:eastAsia="zh-TW"/>
              </w:rPr>
              <w:t>（</w:t>
            </w:r>
            <w:r w:rsidRPr="003F2D69">
              <w:rPr>
                <w:rFonts w:eastAsia="細明體"/>
                <w:sz w:val="17"/>
                <w:szCs w:val="17"/>
                <w:lang w:val="en-US" w:eastAsia="zh-HK"/>
              </w:rPr>
              <w:t>BSC</w:t>
            </w:r>
            <w:r w:rsidRPr="003F2D69">
              <w:rPr>
                <w:rFonts w:eastAsia="細明體" w:hint="eastAsia"/>
                <w:sz w:val="17"/>
                <w:szCs w:val="17"/>
                <w:lang w:val="en-US" w:eastAsia="zh-HK"/>
              </w:rPr>
              <w:t>版本</w:t>
            </w:r>
            <w:r w:rsidR="0029131C">
              <w:rPr>
                <w:rFonts w:eastAsia="細明體" w:hint="eastAsia"/>
                <w:sz w:val="17"/>
                <w:szCs w:val="17"/>
                <w:lang w:eastAsia="zh-TW"/>
              </w:rPr>
              <w:t>）</w:t>
            </w:r>
            <w:r w:rsidRPr="003F2D69">
              <w:rPr>
                <w:rFonts w:eastAsia="細明體" w:hint="eastAsia"/>
                <w:sz w:val="17"/>
                <w:szCs w:val="17"/>
                <w:lang w:eastAsia="zh-TW"/>
              </w:rPr>
              <w:t>」</w:t>
            </w:r>
            <w:r w:rsidRPr="00523442">
              <w:rPr>
                <w:rFonts w:eastAsia="細明體" w:hint="eastAsia"/>
                <w:sz w:val="17"/>
                <w:szCs w:val="17"/>
                <w:lang w:eastAsia="zh-HK"/>
              </w:rPr>
              <w:t>表</w:t>
            </w:r>
            <w:r w:rsidR="00613A7E">
              <w:rPr>
                <w:rFonts w:eastAsia="細明體" w:hint="eastAsia"/>
                <w:sz w:val="17"/>
                <w:szCs w:val="17"/>
                <w:lang w:eastAsia="zh-HK"/>
              </w:rPr>
              <w:t>中</w:t>
            </w:r>
            <w:r w:rsidR="00613A7E" w:rsidRPr="009B5D4F">
              <w:rPr>
                <w:rFonts w:eastAsia="細明體"/>
                <w:sz w:val="17"/>
                <w:szCs w:val="17"/>
                <w:lang w:eastAsia="zh-TW"/>
              </w:rPr>
              <w:t xml:space="preserve"> </w:t>
            </w:r>
            <w:r w:rsidRPr="009B5D4F">
              <w:rPr>
                <w:rFonts w:eastAsia="細明體"/>
                <w:sz w:val="17"/>
                <w:szCs w:val="17"/>
                <w:lang w:eastAsia="zh-TW"/>
              </w:rPr>
              <w:t>[CR5(BSC):</w:t>
            </w:r>
            <w:r w:rsidRPr="003F2D69">
              <w:rPr>
                <w:rFonts w:eastAsia="細明體"/>
                <w:sz w:val="17"/>
                <w:szCs w:val="17"/>
                <w:lang w:eastAsia="zh-TW"/>
              </w:rPr>
              <w:t>8/d</w:t>
            </w:r>
            <w:r w:rsidRPr="009B5D4F">
              <w:rPr>
                <w:rFonts w:eastAsia="細明體"/>
                <w:sz w:val="17"/>
                <w:szCs w:val="17"/>
                <w:lang w:eastAsia="zh-TW"/>
              </w:rPr>
              <w:t>]</w:t>
            </w:r>
            <w:r w:rsidRPr="009B5D4F">
              <w:rPr>
                <w:rFonts w:eastAsia="細明體" w:hint="eastAsia"/>
                <w:sz w:val="17"/>
                <w:szCs w:val="17"/>
                <w:lang w:eastAsia="zh-TW"/>
              </w:rPr>
              <w:t>的值。</w:t>
            </w:r>
          </w:p>
        </w:tc>
      </w:tr>
    </w:tbl>
    <w:p w14:paraId="721FFC67" w14:textId="77777777" w:rsidR="009E0DD9" w:rsidRDefault="009E0DD9">
      <w:pPr>
        <w:rPr>
          <w:lang w:eastAsia="zh-TW"/>
        </w:rPr>
      </w:pPr>
    </w:p>
    <w:p w14:paraId="1390F552" w14:textId="77777777" w:rsidR="009E0DD9" w:rsidRDefault="009E0DD9" w:rsidP="00272D6C">
      <w:pPr>
        <w:suppressAutoHyphens/>
        <w:spacing w:before="40" w:after="40"/>
        <w:rPr>
          <w:rFonts w:eastAsia="細明體" w:cs="Segoe UI"/>
          <w:sz w:val="22"/>
          <w:lang w:eastAsia="ar-SA"/>
        </w:rPr>
        <w:sectPr w:rsidR="009E0DD9" w:rsidSect="00B3752A">
          <w:pgSz w:w="16838" w:h="11906" w:orient="landscape"/>
          <w:pgMar w:top="1701" w:right="1440" w:bottom="1276" w:left="1276" w:header="720" w:footer="737" w:gutter="0"/>
          <w:cols w:space="720"/>
          <w:docGrid w:type="linesAndChars" w:linePitch="360"/>
        </w:sectPr>
      </w:pPr>
    </w:p>
    <w:p w14:paraId="5A5C832D" w14:textId="629A9AA3" w:rsidR="008A5FFD" w:rsidRPr="008A5FFD" w:rsidRDefault="008A5FFD" w:rsidP="000E62DB">
      <w:pPr>
        <w:pStyle w:val="Heading2"/>
        <w:keepNext w:val="0"/>
        <w:suppressAutoHyphens w:val="0"/>
        <w:spacing w:before="40" w:line="240" w:lineRule="auto"/>
        <w:ind w:left="-454" w:firstLine="596"/>
        <w:rPr>
          <w:rFonts w:ascii="Segoe UI" w:eastAsia="Times New Roman" w:hAnsi="Segoe UI"/>
          <w:b w:val="0"/>
          <w:bCs w:val="0"/>
          <w:sz w:val="22"/>
          <w:szCs w:val="20"/>
          <w:lang w:eastAsia="zh-TW"/>
        </w:rPr>
      </w:pPr>
      <w:r w:rsidRPr="008A5FFD">
        <w:rPr>
          <w:rFonts w:eastAsia="細明體" w:cs="Segoe UI" w:hint="eastAsia"/>
          <w:b w:val="0"/>
          <w:sz w:val="22"/>
        </w:rPr>
        <w:t>模版</w:t>
      </w:r>
      <w:r w:rsidRPr="008A5FFD">
        <w:rPr>
          <w:rFonts w:ascii="Segoe UI" w:eastAsia="細明體" w:hAnsi="Segoe UI" w:cs="Segoe UI"/>
          <w:b w:val="0"/>
          <w:sz w:val="22"/>
        </w:rPr>
        <w:t>CR5</w:t>
      </w:r>
      <w:r w:rsidRPr="008A5FFD">
        <w:rPr>
          <w:rFonts w:eastAsia="細明體" w:cs="Segoe UI" w:hint="eastAsia"/>
          <w:b w:val="0"/>
          <w:sz w:val="22"/>
        </w:rPr>
        <w:t>：按風險承擔類別和按風險權重劃分的信用風險承擔</w:t>
      </w:r>
      <w:r w:rsidRPr="008A5FFD">
        <w:rPr>
          <w:rFonts w:ascii="細明體" w:eastAsia="細明體" w:hAnsi="細明體" w:cs="細明體" w:hint="eastAsia"/>
          <w:b w:val="0"/>
          <w:sz w:val="22"/>
        </w:rPr>
        <w:t>──</w:t>
      </w:r>
      <w:r w:rsidRPr="008A5FFD">
        <w:rPr>
          <w:rFonts w:ascii="Segoe UI" w:eastAsia="細明體" w:hAnsi="Segoe UI" w:cs="Segoe UI"/>
          <w:b w:val="0"/>
          <w:sz w:val="22"/>
        </w:rPr>
        <w:t>STC</w:t>
      </w:r>
      <w:r w:rsidRPr="008A5FFD">
        <w:rPr>
          <w:rFonts w:eastAsia="細明體" w:cs="Segoe UI" w:hint="eastAsia"/>
          <w:b w:val="0"/>
          <w:sz w:val="22"/>
        </w:rPr>
        <w:t>計算法</w:t>
      </w:r>
      <w:r w:rsidRPr="008A5FFD">
        <w:rPr>
          <w:rFonts w:eastAsia="細明體" w:cs="Segoe UI"/>
          <w:b w:val="0"/>
          <w:sz w:val="22"/>
        </w:rPr>
        <w:t>或</w:t>
      </w:r>
      <w:r w:rsidRPr="008A5FFD">
        <w:rPr>
          <w:rFonts w:ascii="Segoe UI" w:eastAsia="細明體" w:hAnsi="Segoe UI" w:cs="Segoe UI"/>
          <w:b w:val="0"/>
          <w:sz w:val="22"/>
        </w:rPr>
        <w:t>BSC</w:t>
      </w:r>
      <w:r w:rsidRPr="008A5FFD">
        <w:rPr>
          <w:rFonts w:eastAsia="細明體" w:cs="Segoe UI" w:hint="eastAsia"/>
          <w:b w:val="0"/>
          <w:sz w:val="22"/>
        </w:rPr>
        <w:t>計算法</w:t>
      </w:r>
    </w:p>
    <w:tbl>
      <w:tblPr>
        <w:tblW w:w="0" w:type="auto"/>
        <w:tblInd w:w="108" w:type="dxa"/>
        <w:tblLayout w:type="fixed"/>
        <w:tblLook w:val="0000" w:firstRow="0" w:lastRow="0" w:firstColumn="0" w:lastColumn="0" w:noHBand="0" w:noVBand="0"/>
      </w:tblPr>
      <w:tblGrid>
        <w:gridCol w:w="2127"/>
        <w:gridCol w:w="11765"/>
      </w:tblGrid>
      <w:tr w:rsidR="00272D6C" w:rsidRPr="00272D6C" w14:paraId="657D4F17" w14:textId="77777777" w:rsidTr="005171C5">
        <w:tc>
          <w:tcPr>
            <w:tcW w:w="2127" w:type="dxa"/>
            <w:tcBorders>
              <w:top w:val="single" w:sz="4" w:space="0" w:color="000000"/>
              <w:bottom w:val="single" w:sz="4" w:space="0" w:color="000000"/>
            </w:tcBorders>
            <w:shd w:val="clear" w:color="auto" w:fill="auto"/>
          </w:tcPr>
          <w:p w14:paraId="10F128F0"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0EBC3657" w14:textId="602B5D2B"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按</w:t>
            </w:r>
            <w:r w:rsidR="009E0DD9" w:rsidRPr="009E0DD9">
              <w:rPr>
                <w:rFonts w:eastAsia="細明體" w:cs="Segoe UI" w:hint="eastAsia"/>
                <w:sz w:val="17"/>
                <w:lang w:eastAsia="ar-SA"/>
              </w:rPr>
              <w:t>風險承擔</w:t>
            </w:r>
            <w:r w:rsidRPr="00272D6C">
              <w:rPr>
                <w:rFonts w:eastAsia="細明體" w:cs="Segoe UI" w:hint="eastAsia"/>
                <w:sz w:val="17"/>
                <w:lang w:eastAsia="ar-SA"/>
              </w:rPr>
              <w:t>類別和按風險權重（與所用計算法的風險承擔分類對應），展示信用風險承擔的細目分類。</w:t>
            </w:r>
          </w:p>
        </w:tc>
      </w:tr>
      <w:tr w:rsidR="00272D6C" w:rsidRPr="00272D6C" w14:paraId="13755CE2" w14:textId="77777777" w:rsidTr="005171C5">
        <w:tc>
          <w:tcPr>
            <w:tcW w:w="2127" w:type="dxa"/>
            <w:tcBorders>
              <w:top w:val="single" w:sz="4" w:space="0" w:color="000000"/>
              <w:bottom w:val="single" w:sz="4" w:space="0" w:color="000000"/>
            </w:tcBorders>
            <w:shd w:val="clear" w:color="auto" w:fill="auto"/>
          </w:tcPr>
          <w:p w14:paraId="13501AFF"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032862DC" w14:textId="44C06976" w:rsidR="00272D6C" w:rsidRPr="00272D6C" w:rsidRDefault="00272D6C" w:rsidP="00272D6C">
            <w:pPr>
              <w:suppressAutoHyphens/>
              <w:spacing w:before="40" w:after="40"/>
              <w:jc w:val="both"/>
              <w:rPr>
                <w:rFonts w:eastAsia="細明體" w:cs="Segoe UI"/>
                <w:sz w:val="17"/>
                <w:szCs w:val="17"/>
                <w:lang w:eastAsia="ar-SA"/>
              </w:rPr>
            </w:pPr>
            <w:r w:rsidRPr="00272D6C">
              <w:rPr>
                <w:rFonts w:eastAsia="細明體" w:cs="Segoe UI" w:hint="eastAsia"/>
                <w:sz w:val="17"/>
                <w:lang w:eastAsia="ar-SA"/>
              </w:rPr>
              <w:t>本模版備有</w:t>
            </w:r>
            <w:r w:rsidRPr="00272D6C">
              <w:rPr>
                <w:rFonts w:eastAsia="細明體" w:cs="Segoe UI"/>
                <w:sz w:val="17"/>
                <w:lang w:eastAsia="ar-SA"/>
              </w:rPr>
              <w:t>STC</w:t>
            </w:r>
            <w:r w:rsidRPr="00272D6C">
              <w:rPr>
                <w:rFonts w:eastAsia="細明體" w:cs="Segoe UI" w:hint="eastAsia"/>
                <w:sz w:val="17"/>
                <w:lang w:eastAsia="ar-SA"/>
              </w:rPr>
              <w:t>版本及</w:t>
            </w:r>
            <w:r w:rsidRPr="00272D6C">
              <w:rPr>
                <w:rFonts w:eastAsia="細明體" w:cs="Segoe UI"/>
                <w:sz w:val="17"/>
                <w:lang w:eastAsia="ar-SA"/>
              </w:rPr>
              <w:t>BSC</w:t>
            </w:r>
            <w:r w:rsidRPr="00272D6C">
              <w:rPr>
                <w:rFonts w:eastAsia="細明體" w:cs="Segoe UI" w:hint="eastAsia"/>
                <w:sz w:val="17"/>
                <w:lang w:eastAsia="ar-SA"/>
              </w:rPr>
              <w:t>版本</w:t>
            </w:r>
            <w:r w:rsidRPr="00272D6C">
              <w:rPr>
                <w:rFonts w:eastAsia="細明體" w:cs="Segoe UI" w:hint="eastAsia"/>
                <w:sz w:val="17"/>
                <w:szCs w:val="17"/>
                <w:lang w:eastAsia="ar-SA"/>
              </w:rPr>
              <w:t>；</w:t>
            </w:r>
            <w:r w:rsidRPr="00272D6C">
              <w:rPr>
                <w:rFonts w:eastAsia="細明體" w:cs="Segoe UI" w:hint="eastAsia"/>
                <w:sz w:val="17"/>
                <w:lang w:eastAsia="ar-SA"/>
              </w:rPr>
              <w:t>在香港成立為法團並使用</w:t>
            </w:r>
            <w:r w:rsidRPr="00272D6C">
              <w:rPr>
                <w:rFonts w:eastAsia="細明體" w:cs="Segoe UI"/>
                <w:sz w:val="17"/>
                <w:lang w:eastAsia="ar-SA"/>
              </w:rPr>
              <w:t>STC</w:t>
            </w:r>
            <w:r w:rsidRPr="00272D6C">
              <w:rPr>
                <w:rFonts w:eastAsia="細明體" w:cs="Segoe UI" w:hint="eastAsia"/>
                <w:sz w:val="17"/>
                <w:lang w:eastAsia="ar-SA"/>
              </w:rPr>
              <w:t>計算法或</w:t>
            </w:r>
            <w:r w:rsidRPr="00272D6C">
              <w:rPr>
                <w:rFonts w:eastAsia="細明體" w:cs="Segoe UI"/>
                <w:sz w:val="17"/>
                <w:lang w:eastAsia="ar-SA"/>
              </w:rPr>
              <w:t>BSC</w:t>
            </w:r>
            <w:r w:rsidRPr="00272D6C">
              <w:rPr>
                <w:rFonts w:eastAsia="細明體" w:cs="Segoe UI" w:hint="eastAsia"/>
                <w:sz w:val="17"/>
                <w:lang w:eastAsia="ar-SA"/>
              </w:rPr>
              <w:t>計算法計算其信用風險承擔的認可機構，均須填報本模版。使用</w:t>
            </w:r>
            <w:r w:rsidRPr="00272D6C">
              <w:rPr>
                <w:rFonts w:eastAsia="細明體" w:cs="Segoe UI"/>
                <w:sz w:val="17"/>
                <w:lang w:eastAsia="ar-SA"/>
              </w:rPr>
              <w:t>STC</w:t>
            </w:r>
            <w:r w:rsidRPr="00272D6C">
              <w:rPr>
                <w:rFonts w:eastAsia="細明體" w:cs="Segoe UI" w:hint="eastAsia"/>
                <w:sz w:val="17"/>
                <w:lang w:eastAsia="ar-SA"/>
              </w:rPr>
              <w:t>計算法的認可機構應使用本模版的</w:t>
            </w:r>
            <w:r w:rsidRPr="00272D6C">
              <w:rPr>
                <w:rFonts w:eastAsia="細明體" w:cs="Segoe UI"/>
                <w:sz w:val="17"/>
                <w:lang w:eastAsia="ar-SA"/>
              </w:rPr>
              <w:t>STC</w:t>
            </w:r>
            <w:r w:rsidRPr="00272D6C">
              <w:rPr>
                <w:rFonts w:eastAsia="細明體" w:cs="Segoe UI" w:hint="eastAsia"/>
                <w:sz w:val="17"/>
                <w:lang w:eastAsia="ar-SA"/>
              </w:rPr>
              <w:t>版本</w:t>
            </w:r>
            <w:r w:rsidRPr="00272D6C">
              <w:rPr>
                <w:rFonts w:eastAsia="細明體" w:cs="Segoe UI" w:hint="eastAsia"/>
                <w:sz w:val="17"/>
                <w:szCs w:val="17"/>
                <w:lang w:eastAsia="ar-SA"/>
              </w:rPr>
              <w:t>；</w:t>
            </w:r>
            <w:r w:rsidRPr="00272D6C">
              <w:rPr>
                <w:rFonts w:eastAsia="細明體" w:cs="Segoe UI" w:hint="eastAsia"/>
                <w:sz w:val="17"/>
                <w:lang w:eastAsia="ar-SA"/>
              </w:rPr>
              <w:t>使用</w:t>
            </w:r>
            <w:r w:rsidRPr="00272D6C">
              <w:rPr>
                <w:rFonts w:eastAsia="細明體" w:cs="Segoe UI"/>
                <w:sz w:val="17"/>
                <w:lang w:eastAsia="ar-SA"/>
              </w:rPr>
              <w:t>BSC</w:t>
            </w:r>
            <w:r w:rsidRPr="00272D6C">
              <w:rPr>
                <w:rFonts w:eastAsia="細明體" w:cs="Segoe UI" w:hint="eastAsia"/>
                <w:sz w:val="17"/>
                <w:lang w:eastAsia="ar-SA"/>
              </w:rPr>
              <w:t>計算法的認可機構應使用本模版的</w:t>
            </w:r>
            <w:r w:rsidRPr="00272D6C">
              <w:rPr>
                <w:rFonts w:eastAsia="細明體" w:cs="Segoe UI"/>
                <w:sz w:val="17"/>
                <w:lang w:eastAsia="ar-SA"/>
              </w:rPr>
              <w:t>BSC</w:t>
            </w:r>
            <w:r w:rsidRPr="00272D6C">
              <w:rPr>
                <w:rFonts w:eastAsia="細明體" w:cs="Segoe UI" w:hint="eastAsia"/>
                <w:sz w:val="17"/>
                <w:lang w:eastAsia="ar-SA"/>
              </w:rPr>
              <w:t>版本。</w:t>
            </w:r>
            <w:r w:rsidR="00CA67AD" w:rsidRPr="006C5118">
              <w:rPr>
                <w:rFonts w:eastAsia="細明體" w:cs="Segoe UI" w:hint="eastAsia"/>
                <w:sz w:val="17"/>
                <w:lang w:eastAsia="ar-SA"/>
              </w:rPr>
              <w:t>混合</w:t>
            </w:r>
            <w:r w:rsidRPr="00272D6C">
              <w:rPr>
                <w:rFonts w:eastAsia="細明體" w:cs="Segoe UI" w:hint="eastAsia"/>
                <w:sz w:val="17"/>
                <w:lang w:eastAsia="ar-SA"/>
              </w:rPr>
              <w:t>使用</w:t>
            </w:r>
            <w:r w:rsidR="00393746">
              <w:rPr>
                <w:rFonts w:eastAsia="細明體" w:cs="Segoe UI" w:hint="cs"/>
                <w:sz w:val="17"/>
                <w:lang w:eastAsia="ar-SA"/>
              </w:rPr>
              <w:t>STC</w:t>
            </w:r>
            <w:r w:rsidR="00393746" w:rsidRPr="006C5118">
              <w:rPr>
                <w:rFonts w:eastAsia="細明體" w:cs="Segoe UI" w:hint="eastAsia"/>
                <w:sz w:val="17"/>
                <w:lang w:eastAsia="ar-SA"/>
              </w:rPr>
              <w:t>計算法和</w:t>
            </w:r>
            <w:r w:rsidRPr="00272D6C">
              <w:rPr>
                <w:rFonts w:eastAsia="細明體" w:cs="Segoe UI"/>
                <w:sz w:val="17"/>
                <w:lang w:eastAsia="ar-SA"/>
              </w:rPr>
              <w:t>IRB</w:t>
            </w:r>
            <w:r w:rsidRPr="00272D6C">
              <w:rPr>
                <w:rFonts w:eastAsia="細明體" w:cs="Segoe UI" w:hint="eastAsia"/>
                <w:sz w:val="17"/>
                <w:lang w:eastAsia="ar-SA"/>
              </w:rPr>
              <w:t>計算法的認可機構應在</w:t>
            </w:r>
            <w:r w:rsidRPr="00272D6C">
              <w:rPr>
                <w:rFonts w:eastAsia="細明體" w:cs="Segoe UI"/>
                <w:sz w:val="17"/>
                <w:lang w:eastAsia="ar-SA"/>
              </w:rPr>
              <w:t>STC</w:t>
            </w:r>
            <w:r w:rsidRPr="00272D6C">
              <w:rPr>
                <w:rFonts w:eastAsia="細明體" w:cs="Segoe UI" w:hint="eastAsia"/>
                <w:sz w:val="17"/>
                <w:lang w:eastAsia="ar-SA"/>
              </w:rPr>
              <w:t>版本中填報</w:t>
            </w:r>
            <w:r w:rsidR="005E679C">
              <w:rPr>
                <w:rFonts w:eastAsia="細明體" w:cs="Segoe UI" w:hint="eastAsia"/>
                <w:sz w:val="17"/>
                <w:lang w:eastAsia="zh-HK"/>
              </w:rPr>
              <w:t>其受</w:t>
            </w:r>
            <w:r w:rsidR="00393746">
              <w:rPr>
                <w:rFonts w:eastAsia="細明體" w:cs="Segoe UI" w:hint="cs"/>
                <w:sz w:val="17"/>
                <w:lang w:eastAsia="ar-SA"/>
              </w:rPr>
              <w:t>STC</w:t>
            </w:r>
            <w:r w:rsidR="00393746" w:rsidRPr="00C26B88">
              <w:rPr>
                <w:rFonts w:eastAsia="細明體" w:cs="Segoe UI" w:hint="eastAsia"/>
                <w:sz w:val="17"/>
                <w:lang w:eastAsia="ar-SA"/>
              </w:rPr>
              <w:t>計算法</w:t>
            </w:r>
            <w:r w:rsidR="006A02B5" w:rsidRPr="00C21906">
              <w:rPr>
                <w:rFonts w:eastAsia="細明體" w:cs="Segoe UI" w:hint="eastAsia"/>
                <w:sz w:val="17"/>
                <w:lang w:eastAsia="zh-TW"/>
              </w:rPr>
              <w:t>所</w:t>
            </w:r>
            <w:r w:rsidR="005E679C">
              <w:rPr>
                <w:rFonts w:eastAsia="細明體" w:cs="Segoe UI" w:hint="eastAsia"/>
                <w:sz w:val="17"/>
                <w:lang w:eastAsia="zh-HK"/>
              </w:rPr>
              <w:t>規限</w:t>
            </w:r>
            <w:r w:rsidR="00393746" w:rsidRPr="00C26B88">
              <w:rPr>
                <w:rFonts w:eastAsia="細明體" w:cs="Segoe UI" w:hint="eastAsia"/>
                <w:sz w:val="17"/>
                <w:lang w:eastAsia="ar-SA"/>
              </w:rPr>
              <w:t>的</w:t>
            </w:r>
            <w:r w:rsidRPr="00272D6C">
              <w:rPr>
                <w:rFonts w:eastAsia="細明體" w:cs="Segoe UI" w:hint="eastAsia"/>
                <w:sz w:val="17"/>
                <w:lang w:eastAsia="ar-SA"/>
              </w:rPr>
              <w:t>風險承擔。然而，認可機構如符合以下條件，則可選擇不披露本模版所要求的資料：</w:t>
            </w:r>
          </w:p>
          <w:p w14:paraId="3F654A91" w14:textId="0AE29806" w:rsidR="00272D6C" w:rsidRPr="00272D6C" w:rsidRDefault="00272D6C" w:rsidP="00272D6C">
            <w:pPr>
              <w:suppressAutoHyphens/>
              <w:spacing w:before="40" w:after="40"/>
              <w:jc w:val="both"/>
              <w:rPr>
                <w:rFonts w:eastAsia="細明體" w:cs="Segoe UI"/>
                <w:sz w:val="17"/>
                <w:szCs w:val="17"/>
                <w:lang w:eastAsia="ar-SA"/>
              </w:rPr>
            </w:pPr>
            <w:r w:rsidRPr="00272D6C">
              <w:rPr>
                <w:rFonts w:eastAsia="細明體" w:cs="Segoe UI"/>
                <w:sz w:val="17"/>
                <w:szCs w:val="17"/>
                <w:lang w:eastAsia="ar-SA"/>
              </w:rPr>
              <w:t>(</w:t>
            </w:r>
            <w:proofErr w:type="spellStart"/>
            <w:r w:rsidRPr="00272D6C">
              <w:rPr>
                <w:rFonts w:eastAsia="細明體" w:cs="Segoe UI"/>
                <w:sz w:val="17"/>
                <w:szCs w:val="17"/>
                <w:lang w:eastAsia="ar-SA"/>
              </w:rPr>
              <w:t>i</w:t>
            </w:r>
            <w:proofErr w:type="spellEnd"/>
            <w:r w:rsidRPr="00272D6C">
              <w:rPr>
                <w:rFonts w:eastAsia="細明體" w:cs="Segoe UI"/>
                <w:sz w:val="17"/>
                <w:szCs w:val="17"/>
                <w:lang w:eastAsia="ar-SA"/>
              </w:rPr>
              <w:t>)</w:t>
            </w:r>
            <w:r w:rsidRPr="00272D6C">
              <w:rPr>
                <w:rFonts w:eastAsia="細明體" w:cs="Segoe UI"/>
                <w:sz w:val="17"/>
                <w:szCs w:val="17"/>
                <w:lang w:eastAsia="ar-SA"/>
              </w:rPr>
              <w:tab/>
            </w:r>
            <w:r w:rsidRPr="00272D6C">
              <w:rPr>
                <w:rFonts w:eastAsia="細明體" w:cs="Segoe UI" w:hint="eastAsia"/>
                <w:sz w:val="17"/>
                <w:szCs w:val="17"/>
                <w:lang w:eastAsia="ar-SA"/>
              </w:rPr>
              <w:t>所計得的風險承擔</w:t>
            </w:r>
            <w:r w:rsidR="009E0DD9" w:rsidRPr="009E0DD9">
              <w:rPr>
                <w:rFonts w:eastAsia="細明體" w:cs="Segoe UI" w:hint="eastAsia"/>
                <w:sz w:val="17"/>
                <w:szCs w:val="17"/>
                <w:lang w:eastAsia="ar-SA"/>
              </w:rPr>
              <w:t>數</w:t>
            </w:r>
            <w:r w:rsidRPr="00272D6C">
              <w:rPr>
                <w:rFonts w:eastAsia="細明體" w:cs="Segoe UI" w:hint="eastAsia"/>
                <w:sz w:val="17"/>
                <w:szCs w:val="17"/>
                <w:lang w:eastAsia="ar-SA"/>
              </w:rPr>
              <w:t>額及風險加權數額屬微不足道；</w:t>
            </w:r>
          </w:p>
          <w:p w14:paraId="2BEA82CF" w14:textId="38EAD1F2" w:rsidR="00272D6C" w:rsidRDefault="00272D6C" w:rsidP="00272D6C">
            <w:pPr>
              <w:suppressAutoHyphens/>
              <w:spacing w:before="40" w:after="40"/>
              <w:jc w:val="both"/>
              <w:rPr>
                <w:rFonts w:eastAsia="細明體" w:cs="Segoe UI"/>
                <w:sz w:val="17"/>
                <w:szCs w:val="17"/>
                <w:lang w:eastAsia="ar-SA"/>
              </w:rPr>
            </w:pPr>
            <w:r w:rsidRPr="00272D6C">
              <w:rPr>
                <w:rFonts w:eastAsia="細明體" w:cs="Segoe UI"/>
                <w:sz w:val="17"/>
                <w:szCs w:val="17"/>
                <w:lang w:eastAsia="ar-SA"/>
              </w:rPr>
              <w:t>(ii)</w:t>
            </w:r>
            <w:r w:rsidRPr="00272D6C">
              <w:rPr>
                <w:rFonts w:eastAsia="細明體" w:cs="Segoe UI"/>
                <w:sz w:val="17"/>
                <w:szCs w:val="17"/>
                <w:lang w:eastAsia="ar-SA"/>
              </w:rPr>
              <w:tab/>
            </w:r>
            <w:r w:rsidRPr="00272D6C">
              <w:rPr>
                <w:rFonts w:eastAsia="細明體" w:cs="Segoe UI" w:hint="eastAsia"/>
                <w:sz w:val="17"/>
                <w:szCs w:val="17"/>
                <w:lang w:eastAsia="ar-SA"/>
              </w:rPr>
              <w:t>認可機構已在披露報表中清楚述明此事實；及</w:t>
            </w:r>
          </w:p>
          <w:p w14:paraId="238514A5" w14:textId="73469220" w:rsidR="009E0DD9" w:rsidRPr="009E0DD9" w:rsidRDefault="009E0DD9" w:rsidP="00D540EB">
            <w:pPr>
              <w:pStyle w:val="ListParagraph"/>
              <w:numPr>
                <w:ilvl w:val="0"/>
                <w:numId w:val="38"/>
              </w:numPr>
              <w:suppressAutoHyphens/>
              <w:spacing w:before="40" w:after="40"/>
              <w:ind w:leftChars="0"/>
              <w:jc w:val="both"/>
              <w:rPr>
                <w:rFonts w:eastAsia="細明體" w:cs="Segoe UI"/>
                <w:sz w:val="17"/>
                <w:szCs w:val="17"/>
                <w:lang w:eastAsia="ar-SA"/>
              </w:rPr>
            </w:pPr>
            <w:r w:rsidRPr="009E0DD9">
              <w:rPr>
                <w:rFonts w:eastAsia="細明體" w:cs="Segoe UI" w:hint="eastAsia"/>
                <w:sz w:val="17"/>
                <w:szCs w:val="17"/>
                <w:lang w:eastAsia="ar-SA"/>
              </w:rPr>
              <w:t>認可機構已在敘述評註闡明其認為有關資料對資料使用者不具參考價值的原因，</w:t>
            </w:r>
            <w:r w:rsidRPr="009E0DD9">
              <w:rPr>
                <w:rFonts w:eastAsia="細明體" w:cs="Segoe UI"/>
                <w:sz w:val="17"/>
                <w:szCs w:val="17"/>
                <w:lang w:eastAsia="ar-SA"/>
              </w:rPr>
              <w:t>包括有關組合所包含的風險承擔的</w:t>
            </w:r>
            <w:r w:rsidRPr="009E0DD9">
              <w:rPr>
                <w:rFonts w:eastAsia="細明體" w:cs="Segoe UI" w:hint="eastAsia"/>
                <w:sz w:val="17"/>
                <w:szCs w:val="17"/>
                <w:lang w:eastAsia="ar-SA"/>
              </w:rPr>
              <w:t>描述及該等</w:t>
            </w:r>
            <w:r w:rsidRPr="009E0DD9">
              <w:rPr>
                <w:rFonts w:eastAsia="細明體" w:cs="Segoe UI"/>
                <w:sz w:val="17"/>
                <w:szCs w:val="17"/>
                <w:lang w:eastAsia="ar-SA"/>
              </w:rPr>
              <w:t>風險承擔</w:t>
            </w:r>
            <w:r w:rsidRPr="009E0DD9">
              <w:rPr>
                <w:rFonts w:eastAsia="細明體" w:cs="Segoe UI" w:hint="eastAsia"/>
                <w:sz w:val="17"/>
                <w:szCs w:val="17"/>
                <w:lang w:eastAsia="ar-SA"/>
              </w:rPr>
              <w:t>的</w:t>
            </w:r>
            <w:r w:rsidRPr="009E0DD9">
              <w:rPr>
                <w:rFonts w:eastAsia="細明體" w:cs="Segoe UI"/>
                <w:sz w:val="17"/>
                <w:szCs w:val="17"/>
                <w:lang w:eastAsia="ar-SA"/>
              </w:rPr>
              <w:t>合計總風險加權數額。</w:t>
            </w:r>
          </w:p>
          <w:p w14:paraId="5EA8F96B" w14:textId="2A356A1E" w:rsidR="009E0DD9" w:rsidRPr="009E0DD9" w:rsidRDefault="00B13390" w:rsidP="00F03EB1">
            <w:pPr>
              <w:suppressAutoHyphens/>
              <w:spacing w:before="40" w:after="40"/>
              <w:ind w:left="4"/>
              <w:jc w:val="both"/>
              <w:rPr>
                <w:rFonts w:ascii="細明體" w:eastAsia="細明體" w:hAnsi="細明體" w:cs="Segoe UI"/>
                <w:sz w:val="17"/>
                <w:szCs w:val="17"/>
                <w:lang w:eastAsia="ar-SA"/>
              </w:rPr>
            </w:pPr>
            <w:r w:rsidRPr="00272D6C">
              <w:rPr>
                <w:rFonts w:eastAsia="細明體" w:cs="Segoe UI"/>
                <w:sz w:val="17"/>
                <w:lang w:eastAsia="ar-SA"/>
              </w:rPr>
              <w:t>C</w:t>
            </w:r>
            <w:r>
              <w:rPr>
                <w:rFonts w:eastAsia="細明體" w:cs="Segoe UI"/>
                <w:sz w:val="17"/>
                <w:lang w:eastAsia="ar-SA"/>
              </w:rPr>
              <w:t>IS</w:t>
            </w:r>
            <w:r w:rsidR="009E0DD9" w:rsidRPr="009E0DD9">
              <w:rPr>
                <w:rFonts w:ascii="細明體" w:eastAsia="細明體" w:hAnsi="細明體" w:cs="微軟正黑體" w:hint="eastAsia"/>
                <w:sz w:val="17"/>
                <w:szCs w:val="17"/>
                <w:lang w:eastAsia="ar-SA"/>
              </w:rPr>
              <w:t>風險承擔不應在本模版填報，而應在模版</w:t>
            </w:r>
            <w:r>
              <w:rPr>
                <w:rFonts w:eastAsia="細明體" w:cs="Segoe UI"/>
                <w:sz w:val="17"/>
                <w:lang w:eastAsia="ar-SA"/>
              </w:rPr>
              <w:t>OV1</w:t>
            </w:r>
            <w:r w:rsidR="009E0DD9" w:rsidRPr="009E0DD9">
              <w:rPr>
                <w:rFonts w:ascii="細明體" w:eastAsia="細明體" w:hAnsi="細明體" w:cs="微軟正黑體" w:hint="eastAsia"/>
                <w:sz w:val="17"/>
                <w:szCs w:val="17"/>
                <w:lang w:eastAsia="ar-SA"/>
              </w:rPr>
              <w:t>填報。</w:t>
            </w:r>
            <w:r w:rsidR="00C26B88">
              <w:rPr>
                <w:rFonts w:eastAsia="細明體" w:cs="Segoe UI" w:hint="eastAsia"/>
                <w:color w:val="000000"/>
                <w:sz w:val="17"/>
                <w:szCs w:val="17"/>
                <w:lang w:val="en-US" w:eastAsia="zh-HK"/>
              </w:rPr>
              <w:t>在</w:t>
            </w:r>
            <w:r w:rsidR="00C26B88" w:rsidRPr="00754D82">
              <w:rPr>
                <w:rFonts w:eastAsia="細明體" w:cs="Segoe UI" w:hint="eastAsia"/>
                <w:color w:val="000000"/>
                <w:sz w:val="17"/>
                <w:szCs w:val="17"/>
                <w:lang w:eastAsia="ar-SA"/>
              </w:rPr>
              <w:t>模</w:t>
            </w:r>
            <w:r w:rsidR="00C26B88" w:rsidRPr="00965732">
              <w:rPr>
                <w:rFonts w:eastAsia="細明體" w:cs="Segoe UI" w:hint="eastAsia"/>
                <w:color w:val="000000"/>
                <w:sz w:val="17"/>
                <w:szCs w:val="17"/>
                <w:lang w:eastAsia="ar-SA"/>
              </w:rPr>
              <w:t>版</w:t>
            </w:r>
            <w:r w:rsidR="00C26B88" w:rsidRPr="00754D82">
              <w:rPr>
                <w:rFonts w:eastAsia="細明體" w:cs="Segoe UI"/>
                <w:color w:val="000000"/>
                <w:sz w:val="17"/>
                <w:szCs w:val="17"/>
                <w:lang w:eastAsia="ar-SA"/>
              </w:rPr>
              <w:t>OV</w:t>
            </w:r>
            <w:r w:rsidR="00C26B88" w:rsidRPr="00F03EB1">
              <w:rPr>
                <w:rFonts w:eastAsia="細明體" w:cs="Segoe UI"/>
                <w:color w:val="000000"/>
                <w:sz w:val="17"/>
                <w:szCs w:val="17"/>
                <w:lang w:eastAsia="ar-SA"/>
              </w:rPr>
              <w:t>1</w:t>
            </w:r>
            <w:r w:rsidR="00C26B88" w:rsidRPr="00F03EB1">
              <w:rPr>
                <w:rFonts w:eastAsia="細明體" w:cs="Segoe UI" w:hint="eastAsia"/>
                <w:color w:val="000000"/>
                <w:sz w:val="17"/>
                <w:szCs w:val="17"/>
                <w:lang w:eastAsia="ar-SA"/>
              </w:rPr>
              <w:t>第</w:t>
            </w:r>
            <w:r w:rsidR="00C26B88" w:rsidRPr="00F03EB1">
              <w:rPr>
                <w:rFonts w:eastAsia="細明體" w:cs="Segoe UI"/>
                <w:color w:val="000000"/>
                <w:sz w:val="17"/>
                <w:szCs w:val="17"/>
                <w:lang w:eastAsia="ar-SA"/>
              </w:rPr>
              <w:t>15</w:t>
            </w:r>
            <w:r w:rsidR="00C26B88" w:rsidRPr="00F03EB1">
              <w:rPr>
                <w:rFonts w:eastAsia="細明體" w:cs="Segoe UI" w:hint="eastAsia"/>
                <w:color w:val="000000"/>
                <w:sz w:val="17"/>
                <w:szCs w:val="17"/>
                <w:lang w:eastAsia="ar-SA"/>
              </w:rPr>
              <w:t>行</w:t>
            </w:r>
            <w:r w:rsidR="006A02B5" w:rsidRPr="00F03EB1">
              <w:rPr>
                <w:rFonts w:eastAsia="細明體" w:cs="Segoe UI" w:hint="eastAsia"/>
                <w:color w:val="000000"/>
                <w:sz w:val="17"/>
                <w:szCs w:val="17"/>
                <w:lang w:eastAsia="zh-HK"/>
              </w:rPr>
              <w:t>所</w:t>
            </w:r>
            <w:r w:rsidR="00C26B88" w:rsidRPr="00F03EB1">
              <w:rPr>
                <w:rFonts w:eastAsia="細明體" w:cs="Segoe UI" w:hint="eastAsia"/>
                <w:color w:val="000000"/>
                <w:sz w:val="17"/>
                <w:szCs w:val="17"/>
                <w:lang w:eastAsia="ar-SA"/>
              </w:rPr>
              <w:t>填報的交收風險的風險承擔亦</w:t>
            </w:r>
            <w:r w:rsidR="002511D5" w:rsidRPr="00F03EB1">
              <w:rPr>
                <w:rFonts w:eastAsia="細明體" w:cs="Segoe UI" w:hint="eastAsia"/>
                <w:color w:val="000000"/>
                <w:sz w:val="17"/>
                <w:szCs w:val="17"/>
                <w:lang w:eastAsia="zh-HK"/>
              </w:rPr>
              <w:t>不包括在</w:t>
            </w:r>
            <w:r w:rsidR="002511D5" w:rsidRPr="00F03EB1">
              <w:rPr>
                <w:rFonts w:eastAsia="細明體" w:cs="Segoe UI" w:hint="eastAsia"/>
                <w:color w:val="000000"/>
                <w:sz w:val="17"/>
                <w:szCs w:val="17"/>
                <w:lang w:eastAsia="ar-SA"/>
              </w:rPr>
              <w:t>本模版</w:t>
            </w:r>
            <w:r w:rsidR="002511D5" w:rsidRPr="00F03EB1">
              <w:rPr>
                <w:rFonts w:eastAsia="細明體" w:cs="Segoe UI" w:hint="eastAsia"/>
                <w:color w:val="000000"/>
                <w:sz w:val="17"/>
                <w:szCs w:val="17"/>
                <w:lang w:eastAsia="zh-HK"/>
              </w:rPr>
              <w:t>內</w:t>
            </w:r>
            <w:r w:rsidR="00C26B88" w:rsidRPr="00272D6C">
              <w:rPr>
                <w:rFonts w:eastAsia="細明體" w:cs="Segoe UI" w:hint="eastAsia"/>
                <w:color w:val="000000"/>
                <w:sz w:val="17"/>
                <w:szCs w:val="17"/>
                <w:lang w:val="en-US" w:eastAsia="ar-SA"/>
              </w:rPr>
              <w:t>。</w:t>
            </w:r>
          </w:p>
        </w:tc>
      </w:tr>
      <w:tr w:rsidR="00272D6C" w:rsidRPr="00272D6C" w14:paraId="1A91C026" w14:textId="77777777" w:rsidTr="005171C5">
        <w:trPr>
          <w:trHeight w:val="275"/>
        </w:trPr>
        <w:tc>
          <w:tcPr>
            <w:tcW w:w="2127" w:type="dxa"/>
            <w:tcBorders>
              <w:top w:val="single" w:sz="4" w:space="0" w:color="000000"/>
              <w:bottom w:val="single" w:sz="4" w:space="0" w:color="000000"/>
            </w:tcBorders>
            <w:shd w:val="clear" w:color="auto" w:fill="auto"/>
          </w:tcPr>
          <w:p w14:paraId="187909DE"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767C533A" w14:textId="2B51E201"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用作計算資本充足程度而使用、</w:t>
            </w:r>
            <w:r w:rsidRPr="00272D6C">
              <w:rPr>
                <w:rFonts w:eastAsia="細明體" w:cs="Segoe UI" w:hint="eastAsia"/>
                <w:sz w:val="17"/>
                <w:lang w:eastAsia="zh-TW"/>
              </w:rPr>
              <w:t>已將</w:t>
            </w:r>
            <w:r w:rsidRPr="00272D6C">
              <w:rPr>
                <w:rFonts w:eastAsia="細明體" w:cs="Segoe UI"/>
                <w:sz w:val="17"/>
                <w:lang w:eastAsia="ar-SA"/>
              </w:rPr>
              <w:t>CCF</w:t>
            </w:r>
            <w:r w:rsidRPr="00272D6C">
              <w:rPr>
                <w:rFonts w:eastAsia="細明體" w:cs="Segoe UI" w:hint="eastAsia"/>
                <w:sz w:val="17"/>
                <w:lang w:eastAsia="ar-SA"/>
              </w:rPr>
              <w:t>及認可減低信用風險措施的效果</w:t>
            </w:r>
            <w:r w:rsidRPr="00272D6C">
              <w:rPr>
                <w:rFonts w:eastAsia="細明體" w:cs="Segoe UI" w:hint="eastAsia"/>
                <w:bCs/>
                <w:sz w:val="17"/>
                <w:szCs w:val="17"/>
                <w:lang w:eastAsia="zh-TW"/>
              </w:rPr>
              <w:t>計算在內</w:t>
            </w:r>
            <w:r w:rsidRPr="00272D6C">
              <w:rPr>
                <w:rFonts w:eastAsia="細明體" w:cs="Segoe UI" w:hint="eastAsia"/>
                <w:sz w:val="17"/>
                <w:lang w:eastAsia="ar-SA"/>
              </w:rPr>
              <w:t>的信用風險承擔</w:t>
            </w:r>
            <w:r w:rsidR="002C4264" w:rsidRPr="009E0DD9">
              <w:rPr>
                <w:rFonts w:eastAsia="細明體" w:cs="Segoe UI"/>
                <w:sz w:val="17"/>
                <w:szCs w:val="17"/>
                <w:lang w:eastAsia="ar-SA"/>
              </w:rPr>
              <w:t>數</w:t>
            </w:r>
            <w:r w:rsidRPr="00272D6C">
              <w:rPr>
                <w:rFonts w:eastAsia="細明體" w:cs="Segoe UI" w:hint="eastAsia"/>
                <w:sz w:val="17"/>
                <w:lang w:eastAsia="ar-SA"/>
              </w:rPr>
              <w:t>額。</w:t>
            </w:r>
          </w:p>
        </w:tc>
      </w:tr>
      <w:tr w:rsidR="00272D6C" w:rsidRPr="00272D6C" w14:paraId="1DF8AD92" w14:textId="77777777" w:rsidTr="005171C5">
        <w:tc>
          <w:tcPr>
            <w:tcW w:w="2127" w:type="dxa"/>
            <w:tcBorders>
              <w:top w:val="single" w:sz="4" w:space="0" w:color="000000"/>
              <w:bottom w:val="single" w:sz="4" w:space="0" w:color="000000"/>
            </w:tcBorders>
            <w:shd w:val="clear" w:color="auto" w:fill="auto"/>
          </w:tcPr>
          <w:p w14:paraId="648530D1"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64AEB8E9"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每半年一次</w:t>
            </w:r>
            <w:r w:rsidRPr="00272D6C">
              <w:rPr>
                <w:rFonts w:eastAsia="細明體" w:cs="Segoe UI"/>
                <w:sz w:val="17"/>
                <w:lang w:eastAsia="ar-SA"/>
              </w:rPr>
              <w:t>。</w:t>
            </w:r>
          </w:p>
        </w:tc>
      </w:tr>
      <w:tr w:rsidR="00272D6C" w:rsidRPr="00272D6C" w14:paraId="60749840" w14:textId="77777777" w:rsidTr="005171C5">
        <w:tc>
          <w:tcPr>
            <w:tcW w:w="2127" w:type="dxa"/>
            <w:tcBorders>
              <w:top w:val="single" w:sz="4" w:space="0" w:color="000000"/>
              <w:bottom w:val="single" w:sz="4" w:space="0" w:color="000000"/>
            </w:tcBorders>
            <w:shd w:val="clear" w:color="auto" w:fill="auto"/>
          </w:tcPr>
          <w:p w14:paraId="6827753B"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4CC9454E"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固定。欄</w:t>
            </w:r>
            <w:r w:rsidRPr="00272D6C">
              <w:rPr>
                <w:rFonts w:ascii="細明體" w:eastAsia="細明體" w:hAnsi="細明體" w:cs="細明體" w:hint="eastAsia"/>
                <w:color w:val="222222"/>
                <w:sz w:val="17"/>
                <w:lang w:eastAsia="ar-SA"/>
              </w:rPr>
              <w:t>是固定的</w:t>
            </w:r>
            <w:r w:rsidRPr="00272D6C">
              <w:rPr>
                <w:rFonts w:eastAsia="細明體" w:cs="Segoe UI" w:hint="eastAsia"/>
                <w:sz w:val="17"/>
                <w:lang w:eastAsia="ar-SA"/>
              </w:rPr>
              <w:t>，在本模版的</w:t>
            </w:r>
            <w:r w:rsidRPr="00272D6C">
              <w:rPr>
                <w:rFonts w:eastAsia="細明體" w:cs="Segoe UI"/>
                <w:sz w:val="17"/>
                <w:lang w:eastAsia="ar-SA"/>
              </w:rPr>
              <w:t>STC</w:t>
            </w:r>
            <w:r w:rsidRPr="00272D6C">
              <w:rPr>
                <w:rFonts w:eastAsia="細明體" w:cs="Segoe UI" w:hint="eastAsia"/>
                <w:sz w:val="17"/>
                <w:lang w:eastAsia="ar-SA"/>
              </w:rPr>
              <w:t>版本及</w:t>
            </w:r>
            <w:r w:rsidRPr="00272D6C">
              <w:rPr>
                <w:rFonts w:eastAsia="細明體" w:cs="Segoe UI"/>
                <w:sz w:val="17"/>
                <w:lang w:eastAsia="ar-SA"/>
              </w:rPr>
              <w:t>BSC</w:t>
            </w:r>
            <w:r w:rsidRPr="00272D6C">
              <w:rPr>
                <w:rFonts w:eastAsia="細明體" w:cs="Segoe UI" w:hint="eastAsia"/>
                <w:sz w:val="17"/>
                <w:lang w:eastAsia="ar-SA"/>
              </w:rPr>
              <w:t>版本的各行分別反映《資本規則》所界定的風險承擔類別。</w:t>
            </w:r>
          </w:p>
        </w:tc>
      </w:tr>
      <w:tr w:rsidR="00272D6C" w:rsidRPr="00272D6C" w14:paraId="532633B8" w14:textId="77777777" w:rsidTr="005171C5">
        <w:tc>
          <w:tcPr>
            <w:tcW w:w="2127" w:type="dxa"/>
            <w:tcBorders>
              <w:top w:val="single" w:sz="4" w:space="0" w:color="000000"/>
              <w:bottom w:val="single" w:sz="4" w:space="0" w:color="000000"/>
            </w:tcBorders>
            <w:shd w:val="clear" w:color="auto" w:fill="auto"/>
          </w:tcPr>
          <w:p w14:paraId="7401C40F"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附加說明：</w:t>
            </w:r>
          </w:p>
        </w:tc>
        <w:tc>
          <w:tcPr>
            <w:tcW w:w="11765" w:type="dxa"/>
            <w:tcBorders>
              <w:top w:val="single" w:sz="4" w:space="0" w:color="000000"/>
              <w:left w:val="single" w:sz="4" w:space="0" w:color="000000"/>
              <w:bottom w:val="single" w:sz="4" w:space="0" w:color="000000"/>
            </w:tcBorders>
            <w:shd w:val="clear" w:color="auto" w:fill="auto"/>
          </w:tcPr>
          <w:p w14:paraId="02CB7A79" w14:textId="38E90E2B" w:rsidR="00272D6C" w:rsidRPr="00B13390" w:rsidRDefault="009E0DD9" w:rsidP="009F0E68">
            <w:pPr>
              <w:suppressAutoHyphens/>
              <w:spacing w:before="40" w:after="40"/>
              <w:jc w:val="both"/>
              <w:rPr>
                <w:rFonts w:ascii="細明體" w:eastAsia="細明體" w:hAnsi="細明體" w:cs="微軟正黑體"/>
                <w:sz w:val="17"/>
                <w:lang w:eastAsia="ar-SA"/>
              </w:rPr>
            </w:pPr>
            <w:r w:rsidRPr="009E0DD9">
              <w:rPr>
                <w:rFonts w:ascii="細明體" w:eastAsia="細明體" w:hAnsi="細明體" w:cs="微軟正黑體" w:hint="eastAsia"/>
                <w:sz w:val="17"/>
                <w:lang w:eastAsia="ar-SA"/>
              </w:rPr>
              <w:t>認可機構應以敘述評註闡明現行報告期內的任何重大</w:t>
            </w:r>
            <w:r w:rsidR="00AB7FD2" w:rsidRPr="00AB7FD2">
              <w:rPr>
                <w:rFonts w:ascii="細明體" w:eastAsia="細明體" w:hAnsi="細明體" w:cs="微軟正黑體" w:hint="eastAsia"/>
                <w:sz w:val="17"/>
                <w:lang w:eastAsia="ar-SA"/>
              </w:rPr>
              <w:t>改</w:t>
            </w:r>
            <w:r w:rsidRPr="009E0DD9">
              <w:rPr>
                <w:rFonts w:ascii="細明體" w:eastAsia="細明體" w:hAnsi="細明體" w:cs="微軟正黑體" w:hint="eastAsia"/>
                <w:sz w:val="17"/>
                <w:lang w:eastAsia="ar-SA"/>
              </w:rPr>
              <w:t>變及引致該等</w:t>
            </w:r>
            <w:r w:rsidR="00AB7FD2" w:rsidRPr="00AB7FD2">
              <w:rPr>
                <w:rFonts w:ascii="細明體" w:eastAsia="細明體" w:hAnsi="細明體" w:cs="微軟正黑體" w:hint="eastAsia"/>
                <w:sz w:val="17"/>
                <w:lang w:eastAsia="ar-SA"/>
              </w:rPr>
              <w:t>改</w:t>
            </w:r>
            <w:r w:rsidRPr="009E0DD9">
              <w:rPr>
                <w:rFonts w:ascii="細明體" w:eastAsia="細明體" w:hAnsi="細明體" w:cs="微軟正黑體" w:hint="eastAsia"/>
                <w:sz w:val="17"/>
                <w:lang w:eastAsia="ar-SA"/>
              </w:rPr>
              <w:t>變的主要驅動因素，以補充本模版。</w:t>
            </w:r>
            <w:r w:rsidR="009F0E68" w:rsidRPr="009F0E68">
              <w:rPr>
                <w:rFonts w:ascii="細明體" w:eastAsia="細明體" w:hAnsi="細明體" w:cs="微軟正黑體" w:hint="eastAsia"/>
                <w:sz w:val="17"/>
                <w:lang w:eastAsia="ar-SA"/>
              </w:rPr>
              <w:t>認可機構應描述在資產負債表內及資產負債表外風險承擔中，</w:t>
            </w:r>
            <w:r w:rsidR="009F0E68" w:rsidRPr="009F0E68">
              <w:rPr>
                <w:rFonts w:eastAsia="細明體" w:cs="Segoe UI"/>
                <w:sz w:val="17"/>
                <w:lang w:eastAsia="ar-SA"/>
              </w:rPr>
              <w:t>CCF</w:t>
            </w:r>
            <w:r w:rsidR="009F0E68" w:rsidRPr="009F0E68">
              <w:rPr>
                <w:rFonts w:ascii="細明體" w:eastAsia="細明體" w:hAnsi="細明體" w:cs="微軟正黑體" w:hint="eastAsia"/>
                <w:sz w:val="17"/>
                <w:lang w:eastAsia="ar-SA"/>
              </w:rPr>
              <w:t>、撥備及減低信用風險措施的應用次序（如適用）。</w:t>
            </w:r>
          </w:p>
        </w:tc>
      </w:tr>
      <w:tr w:rsidR="00272D6C" w:rsidRPr="00272D6C" w14:paraId="198D9252" w14:textId="77777777" w:rsidTr="005171C5">
        <w:tc>
          <w:tcPr>
            <w:tcW w:w="2127" w:type="dxa"/>
            <w:tcBorders>
              <w:top w:val="single" w:sz="4" w:space="0" w:color="000000"/>
              <w:bottom w:val="single" w:sz="4" w:space="0" w:color="000000"/>
            </w:tcBorders>
            <w:shd w:val="clear" w:color="auto" w:fill="auto"/>
          </w:tcPr>
          <w:p w14:paraId="7B9B09C9"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《披露規則》相應條文：</w:t>
            </w:r>
          </w:p>
        </w:tc>
        <w:tc>
          <w:tcPr>
            <w:tcW w:w="11765" w:type="dxa"/>
            <w:tcBorders>
              <w:top w:val="single" w:sz="4" w:space="0" w:color="000000"/>
              <w:left w:val="single" w:sz="4" w:space="0" w:color="000000"/>
              <w:bottom w:val="single" w:sz="4" w:space="0" w:color="000000"/>
            </w:tcBorders>
            <w:shd w:val="clear" w:color="auto" w:fill="auto"/>
          </w:tcPr>
          <w:p w14:paraId="05D3631A"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szCs w:val="17"/>
                <w:lang w:eastAsia="ar-SA"/>
              </w:rPr>
              <w:t>16O</w:t>
            </w:r>
          </w:p>
        </w:tc>
      </w:tr>
    </w:tbl>
    <w:p w14:paraId="1A2A2161" w14:textId="75FC1493" w:rsidR="00272D6C" w:rsidRDefault="00272D6C" w:rsidP="00272D6C">
      <w:pPr>
        <w:suppressAutoHyphens/>
        <w:spacing w:before="40" w:after="40"/>
        <w:rPr>
          <w:rFonts w:eastAsia="細明體" w:cs="Segoe UI"/>
          <w:sz w:val="22"/>
          <w:lang w:eastAsia="ar-SA"/>
        </w:rPr>
      </w:pPr>
    </w:p>
    <w:p w14:paraId="62AE3EA4" w14:textId="3D2E64E6" w:rsidR="00272D6C" w:rsidRDefault="00272D6C" w:rsidP="00272D6C">
      <w:pPr>
        <w:suppressAutoHyphens/>
        <w:spacing w:before="40" w:after="40"/>
        <w:rPr>
          <w:rFonts w:eastAsia="細明體" w:cs="Segoe UI"/>
          <w:sz w:val="22"/>
          <w:lang w:eastAsia="ar-SA"/>
        </w:rPr>
      </w:pPr>
    </w:p>
    <w:p w14:paraId="37E191D7" w14:textId="310CF5CB" w:rsidR="00272D6C" w:rsidRDefault="00272D6C" w:rsidP="00272D6C">
      <w:pPr>
        <w:suppressAutoHyphens/>
        <w:spacing w:before="40" w:after="40"/>
        <w:rPr>
          <w:rFonts w:eastAsia="細明體" w:cs="Segoe UI"/>
          <w:sz w:val="22"/>
          <w:lang w:eastAsia="ar-SA"/>
        </w:rPr>
      </w:pPr>
    </w:p>
    <w:p w14:paraId="593E38DF" w14:textId="1904D9EE" w:rsidR="00272D6C" w:rsidRDefault="00272D6C" w:rsidP="00272D6C">
      <w:pPr>
        <w:suppressAutoHyphens/>
        <w:spacing w:before="40" w:after="40"/>
        <w:rPr>
          <w:rFonts w:eastAsia="細明體" w:cs="Segoe UI"/>
          <w:sz w:val="22"/>
          <w:lang w:eastAsia="ar-SA"/>
        </w:rPr>
      </w:pPr>
    </w:p>
    <w:p w14:paraId="6A294A50" w14:textId="4DB14734" w:rsidR="00272D6C" w:rsidRDefault="00272D6C" w:rsidP="00272D6C">
      <w:pPr>
        <w:suppressAutoHyphens/>
        <w:spacing w:before="40" w:after="40"/>
        <w:rPr>
          <w:rFonts w:eastAsia="細明體" w:cs="Segoe UI"/>
          <w:sz w:val="22"/>
          <w:lang w:eastAsia="ar-SA"/>
        </w:rPr>
      </w:pPr>
    </w:p>
    <w:p w14:paraId="5D4F4A1F" w14:textId="77777777" w:rsidR="00272D6C" w:rsidRPr="00272D6C" w:rsidRDefault="00272D6C" w:rsidP="00272D6C">
      <w:pPr>
        <w:suppressAutoHyphens/>
        <w:spacing w:before="40" w:after="40"/>
        <w:rPr>
          <w:rFonts w:cs="Segoe UI"/>
          <w:lang w:eastAsia="ar-SA"/>
        </w:rPr>
      </w:pPr>
      <w:r w:rsidRPr="00272D6C">
        <w:rPr>
          <w:rFonts w:eastAsia="細明體" w:cs="Segoe UI" w:hint="eastAsia"/>
          <w:szCs w:val="17"/>
          <w:u w:val="single"/>
          <w:lang w:eastAsia="ar-SA"/>
        </w:rPr>
        <w:t>供使用</w:t>
      </w:r>
      <w:r w:rsidRPr="00272D6C">
        <w:rPr>
          <w:rFonts w:eastAsia="細明體" w:cs="Segoe UI"/>
          <w:szCs w:val="17"/>
          <w:u w:val="single"/>
          <w:lang w:eastAsia="ar-SA"/>
        </w:rPr>
        <w:t>STC</w:t>
      </w:r>
      <w:r w:rsidRPr="00272D6C">
        <w:rPr>
          <w:rFonts w:eastAsia="細明體" w:cs="Segoe UI" w:hint="eastAsia"/>
          <w:szCs w:val="17"/>
          <w:u w:val="single"/>
          <w:lang w:eastAsia="ar-SA"/>
        </w:rPr>
        <w:t>計算法的認可機構使用的版本（「</w:t>
      </w:r>
      <w:r w:rsidRPr="00272D6C">
        <w:rPr>
          <w:rFonts w:eastAsia="細明體" w:cs="Segoe UI"/>
          <w:szCs w:val="17"/>
          <w:u w:val="single"/>
          <w:lang w:eastAsia="ar-SA"/>
        </w:rPr>
        <w:t>STC</w:t>
      </w:r>
      <w:r w:rsidRPr="00272D6C">
        <w:rPr>
          <w:rFonts w:eastAsia="細明體" w:cs="Segoe UI" w:hint="eastAsia"/>
          <w:szCs w:val="17"/>
          <w:u w:val="single"/>
          <w:lang w:eastAsia="ar-SA"/>
        </w:rPr>
        <w:t>版本」）</w:t>
      </w:r>
    </w:p>
    <w:p w14:paraId="5C9931C6" w14:textId="77777777" w:rsidR="00272D6C" w:rsidRPr="00272D6C" w:rsidRDefault="00272D6C" w:rsidP="00272D6C">
      <w:pPr>
        <w:suppressAutoHyphens/>
        <w:spacing w:before="40" w:after="40"/>
        <w:rPr>
          <w:rFonts w:eastAsia="細明體" w:cs="Segoe UI"/>
          <w:u w:val="single"/>
          <w:lang w:eastAsia="ar-SA"/>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44"/>
        <w:gridCol w:w="4211"/>
        <w:gridCol w:w="1064"/>
        <w:gridCol w:w="1065"/>
        <w:gridCol w:w="1064"/>
        <w:gridCol w:w="1065"/>
        <w:gridCol w:w="1067"/>
        <w:gridCol w:w="1068"/>
        <w:gridCol w:w="3118"/>
      </w:tblGrid>
      <w:tr w:rsidR="009E0DD9" w:rsidRPr="009E0DD9" w14:paraId="469C854B" w14:textId="77777777" w:rsidTr="00254944">
        <w:trPr>
          <w:trHeight w:val="283"/>
        </w:trPr>
        <w:tc>
          <w:tcPr>
            <w:tcW w:w="444" w:type="dxa"/>
            <w:tcBorders>
              <w:top w:val="single" w:sz="4" w:space="0" w:color="auto"/>
              <w:left w:val="nil"/>
              <w:bottom w:val="nil"/>
              <w:right w:val="single" w:sz="4" w:space="0" w:color="auto"/>
            </w:tcBorders>
          </w:tcPr>
          <w:p w14:paraId="7215D91C" w14:textId="77777777" w:rsidR="009E0DD9" w:rsidRPr="009E0DD9" w:rsidRDefault="009E0DD9" w:rsidP="009E0DD9">
            <w:pPr>
              <w:spacing w:before="40" w:after="40"/>
              <w:rPr>
                <w:rFonts w:cs="Segoe UI"/>
                <w:sz w:val="17"/>
                <w:szCs w:val="17"/>
                <w:lang w:eastAsia="zh-TW"/>
              </w:rPr>
            </w:pPr>
            <w:r w:rsidRPr="009E0DD9">
              <w:rPr>
                <w:rFonts w:cs="Segoe UI"/>
                <w:sz w:val="17"/>
                <w:szCs w:val="17"/>
                <w:lang w:eastAsia="zh-TW"/>
              </w:rPr>
              <w:br w:type="page"/>
            </w:r>
          </w:p>
        </w:tc>
        <w:tc>
          <w:tcPr>
            <w:tcW w:w="4211" w:type="dxa"/>
            <w:tcBorders>
              <w:top w:val="single" w:sz="4" w:space="0" w:color="auto"/>
              <w:left w:val="single" w:sz="4" w:space="0" w:color="auto"/>
              <w:bottom w:val="single" w:sz="4" w:space="0" w:color="auto"/>
              <w:right w:val="single" w:sz="4" w:space="0" w:color="auto"/>
            </w:tcBorders>
            <w:noWrap/>
          </w:tcPr>
          <w:p w14:paraId="4B3703B4" w14:textId="77777777" w:rsidR="009E0DD9" w:rsidRPr="009E0DD9" w:rsidRDefault="009E0DD9" w:rsidP="009E0DD9">
            <w:pPr>
              <w:spacing w:before="40" w:after="40"/>
              <w:rPr>
                <w:rFonts w:cs="Segoe UI"/>
                <w:sz w:val="17"/>
                <w:szCs w:val="17"/>
                <w:lang w:eastAsia="zh-TW"/>
              </w:rPr>
            </w:pP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895E609"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49A6B259"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B14DA5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A085B6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1067" w:type="dxa"/>
            <w:tcBorders>
              <w:top w:val="single" w:sz="4" w:space="0" w:color="auto"/>
              <w:left w:val="single" w:sz="4" w:space="0" w:color="auto"/>
              <w:bottom w:val="single" w:sz="4" w:space="0" w:color="auto"/>
              <w:right w:val="single" w:sz="4" w:space="0" w:color="auto"/>
            </w:tcBorders>
            <w:vAlign w:val="center"/>
            <w:hideMark/>
          </w:tcPr>
          <w:p w14:paraId="7DA7293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0E47EDE" w14:textId="77777777" w:rsidR="009E0DD9" w:rsidRPr="00A524C4" w:rsidRDefault="009E0DD9" w:rsidP="00254944">
            <w:pPr>
              <w:spacing w:before="40" w:after="40"/>
              <w:jc w:val="center"/>
              <w:rPr>
                <w:rFonts w:ascii="細明體" w:eastAsia="細明體" w:hAnsi="細明體" w:cs="微軟正黑體"/>
                <w:sz w:val="17"/>
                <w:szCs w:val="17"/>
                <w:lang w:eastAsia="zh-TW"/>
              </w:rPr>
            </w:pPr>
            <w:r w:rsidRPr="00A524C4">
              <w:rPr>
                <w:rFonts w:ascii="細明體" w:eastAsia="細明體" w:hAnsi="細明體" w:cs="微軟正黑體"/>
                <w:sz w:val="17"/>
                <w:szCs w:val="17"/>
                <w:lang w:eastAsia="zh-TW"/>
              </w:rPr>
              <w:t>其他</w:t>
            </w:r>
          </w:p>
        </w:tc>
        <w:tc>
          <w:tcPr>
            <w:tcW w:w="3118" w:type="dxa"/>
            <w:tcBorders>
              <w:top w:val="single" w:sz="4" w:space="0" w:color="auto"/>
              <w:left w:val="single" w:sz="4" w:space="0" w:color="auto"/>
              <w:bottom w:val="single" w:sz="4" w:space="0" w:color="auto"/>
              <w:right w:val="single" w:sz="4" w:space="0" w:color="auto"/>
            </w:tcBorders>
            <w:noWrap/>
            <w:hideMark/>
          </w:tcPr>
          <w:p w14:paraId="28E3CF82" w14:textId="42BF71F6" w:rsidR="009E0DD9" w:rsidRPr="00792E2D" w:rsidRDefault="00792E2D" w:rsidP="00254944">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4618BCC4" w14:textId="77777777" w:rsidTr="003F2D69">
        <w:trPr>
          <w:trHeight w:val="283"/>
        </w:trPr>
        <w:tc>
          <w:tcPr>
            <w:tcW w:w="444" w:type="dxa"/>
            <w:tcBorders>
              <w:top w:val="nil"/>
              <w:left w:val="nil"/>
              <w:bottom w:val="single" w:sz="4" w:space="0" w:color="auto"/>
              <w:right w:val="single" w:sz="4" w:space="0" w:color="auto"/>
            </w:tcBorders>
            <w:hideMark/>
          </w:tcPr>
          <w:p w14:paraId="7DB26AA1"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1</w:t>
            </w:r>
          </w:p>
        </w:tc>
        <w:tc>
          <w:tcPr>
            <w:tcW w:w="4211" w:type="dxa"/>
            <w:tcBorders>
              <w:top w:val="single" w:sz="4" w:space="0" w:color="auto"/>
              <w:left w:val="single" w:sz="4" w:space="0" w:color="auto"/>
              <w:bottom w:val="single" w:sz="4" w:space="0" w:color="auto"/>
              <w:right w:val="single" w:sz="4" w:space="0" w:color="auto"/>
            </w:tcBorders>
            <w:noWrap/>
            <w:hideMark/>
          </w:tcPr>
          <w:p w14:paraId="40B1A144" w14:textId="77777777" w:rsidR="009E0DD9" w:rsidRPr="00792E2D" w:rsidRDefault="009E0DD9" w:rsidP="009E0DD9">
            <w:pPr>
              <w:spacing w:before="40" w:after="40"/>
              <w:rPr>
                <w:rFonts w:ascii="細明體" w:eastAsia="細明體" w:hAnsi="細明體" w:cs="Segoe UI"/>
                <w:sz w:val="17"/>
                <w:szCs w:val="17"/>
                <w:lang w:eastAsia="en-GB"/>
              </w:rPr>
            </w:pPr>
            <w:proofErr w:type="spellStart"/>
            <w:r w:rsidRPr="00792E2D">
              <w:rPr>
                <w:rFonts w:ascii="細明體" w:eastAsia="細明體" w:hAnsi="細明體" w:cs="微軟正黑體" w:hint="eastAsia"/>
                <w:sz w:val="17"/>
                <w:szCs w:val="17"/>
                <w:lang w:val="en-US" w:eastAsia="en-GB"/>
              </w:rPr>
              <w:t>官方實體風險承擔</w:t>
            </w:r>
            <w:proofErr w:type="spellEnd"/>
          </w:p>
        </w:tc>
        <w:tc>
          <w:tcPr>
            <w:tcW w:w="1064" w:type="dxa"/>
            <w:tcBorders>
              <w:top w:val="single" w:sz="4" w:space="0" w:color="auto"/>
              <w:left w:val="single" w:sz="4" w:space="0" w:color="auto"/>
              <w:bottom w:val="single" w:sz="4" w:space="0" w:color="auto"/>
              <w:right w:val="single" w:sz="4" w:space="0" w:color="auto"/>
            </w:tcBorders>
            <w:noWrap/>
          </w:tcPr>
          <w:p w14:paraId="7984946D" w14:textId="77777777" w:rsidR="009E0DD9" w:rsidRPr="009E0DD9" w:rsidRDefault="009E0DD9" w:rsidP="009E0DD9">
            <w:pPr>
              <w:spacing w:before="40" w:after="40"/>
              <w:rPr>
                <w:rFonts w:eastAsia="MS PGothic" w:cs="Segoe UI"/>
                <w:sz w:val="17"/>
                <w:szCs w:val="17"/>
                <w:lang w:eastAsia="ja-JP"/>
              </w:rPr>
            </w:pPr>
          </w:p>
        </w:tc>
        <w:tc>
          <w:tcPr>
            <w:tcW w:w="1065" w:type="dxa"/>
            <w:tcBorders>
              <w:top w:val="single" w:sz="4" w:space="0" w:color="auto"/>
              <w:left w:val="single" w:sz="4" w:space="0" w:color="auto"/>
              <w:bottom w:val="single" w:sz="4" w:space="0" w:color="auto"/>
              <w:right w:val="single" w:sz="4" w:space="0" w:color="auto"/>
            </w:tcBorders>
            <w:noWrap/>
          </w:tcPr>
          <w:p w14:paraId="6E3F1AEC" w14:textId="77777777" w:rsidR="009E0DD9" w:rsidRPr="009E0DD9" w:rsidRDefault="009E0DD9" w:rsidP="009E0DD9">
            <w:pPr>
              <w:spacing w:before="40" w:after="40"/>
              <w:rPr>
                <w:rFonts w:eastAsia="MS PGothic" w:cs="Segoe UI"/>
                <w:sz w:val="17"/>
                <w:szCs w:val="17"/>
                <w:lang w:eastAsia="ja-JP"/>
              </w:rPr>
            </w:pPr>
          </w:p>
        </w:tc>
        <w:tc>
          <w:tcPr>
            <w:tcW w:w="1064" w:type="dxa"/>
            <w:tcBorders>
              <w:top w:val="single" w:sz="4" w:space="0" w:color="auto"/>
              <w:left w:val="single" w:sz="4" w:space="0" w:color="auto"/>
              <w:bottom w:val="single" w:sz="4" w:space="0" w:color="auto"/>
              <w:right w:val="single" w:sz="4" w:space="0" w:color="auto"/>
            </w:tcBorders>
            <w:noWrap/>
          </w:tcPr>
          <w:p w14:paraId="05F8BD5C" w14:textId="77777777" w:rsidR="009E0DD9" w:rsidRPr="009E0DD9" w:rsidRDefault="009E0DD9" w:rsidP="009E0DD9">
            <w:pPr>
              <w:spacing w:before="40" w:after="40"/>
              <w:rPr>
                <w:rFonts w:eastAsia="MS PGothic" w:cs="Segoe UI"/>
                <w:sz w:val="17"/>
                <w:szCs w:val="17"/>
                <w:lang w:eastAsia="ja-JP"/>
              </w:rPr>
            </w:pPr>
          </w:p>
        </w:tc>
        <w:tc>
          <w:tcPr>
            <w:tcW w:w="1065" w:type="dxa"/>
            <w:tcBorders>
              <w:top w:val="single" w:sz="4" w:space="0" w:color="auto"/>
              <w:left w:val="single" w:sz="4" w:space="0" w:color="auto"/>
              <w:bottom w:val="single" w:sz="4" w:space="0" w:color="auto"/>
              <w:right w:val="single" w:sz="4" w:space="0" w:color="auto"/>
            </w:tcBorders>
          </w:tcPr>
          <w:p w14:paraId="32851C02" w14:textId="77777777" w:rsidR="009E0DD9" w:rsidRPr="009E0DD9" w:rsidRDefault="009E0DD9" w:rsidP="009E0DD9">
            <w:pPr>
              <w:spacing w:before="40" w:after="40"/>
              <w:rPr>
                <w:rFonts w:eastAsia="MS PGothic" w:cs="Segoe UI"/>
                <w:sz w:val="17"/>
                <w:szCs w:val="17"/>
                <w:lang w:eastAsia="ja-JP"/>
              </w:rPr>
            </w:pPr>
          </w:p>
        </w:tc>
        <w:tc>
          <w:tcPr>
            <w:tcW w:w="1067" w:type="dxa"/>
            <w:tcBorders>
              <w:top w:val="single" w:sz="4" w:space="0" w:color="auto"/>
              <w:left w:val="single" w:sz="4" w:space="0" w:color="auto"/>
              <w:bottom w:val="single" w:sz="4" w:space="0" w:color="auto"/>
              <w:right w:val="single" w:sz="4" w:space="0" w:color="auto"/>
            </w:tcBorders>
          </w:tcPr>
          <w:p w14:paraId="37904B4C" w14:textId="77777777" w:rsidR="009E0DD9" w:rsidRPr="009E0DD9" w:rsidRDefault="009E0DD9" w:rsidP="009E0DD9">
            <w:pPr>
              <w:spacing w:before="40" w:after="40"/>
              <w:rPr>
                <w:rFonts w:eastAsia="MS PGothic" w:cs="Segoe UI"/>
                <w:sz w:val="17"/>
                <w:szCs w:val="17"/>
                <w:lang w:eastAsia="ja-JP"/>
              </w:rPr>
            </w:pPr>
          </w:p>
        </w:tc>
        <w:tc>
          <w:tcPr>
            <w:tcW w:w="1068" w:type="dxa"/>
            <w:tcBorders>
              <w:top w:val="single" w:sz="4" w:space="0" w:color="auto"/>
              <w:left w:val="single" w:sz="4" w:space="0" w:color="auto"/>
              <w:bottom w:val="single" w:sz="4" w:space="0" w:color="auto"/>
              <w:right w:val="single" w:sz="4" w:space="0" w:color="auto"/>
            </w:tcBorders>
          </w:tcPr>
          <w:p w14:paraId="35A582E5"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299B4E54" w14:textId="77777777" w:rsidR="009E0DD9" w:rsidRPr="009E0DD9" w:rsidRDefault="009E0DD9" w:rsidP="009E0DD9">
            <w:pPr>
              <w:spacing w:before="40" w:after="40"/>
              <w:rPr>
                <w:rFonts w:cs="Segoe UI"/>
                <w:sz w:val="17"/>
                <w:szCs w:val="17"/>
                <w:lang w:eastAsia="en-GB"/>
              </w:rPr>
            </w:pPr>
          </w:p>
        </w:tc>
      </w:tr>
    </w:tbl>
    <w:p w14:paraId="0CD61420" w14:textId="77777777" w:rsidR="00B3752A" w:rsidRDefault="00B3752A"/>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44"/>
        <w:gridCol w:w="4211"/>
        <w:gridCol w:w="1064"/>
        <w:gridCol w:w="1065"/>
        <w:gridCol w:w="1064"/>
        <w:gridCol w:w="1065"/>
        <w:gridCol w:w="1067"/>
        <w:gridCol w:w="1068"/>
        <w:gridCol w:w="3118"/>
      </w:tblGrid>
      <w:tr w:rsidR="009E0DD9" w:rsidRPr="009E0DD9" w14:paraId="66EA432C" w14:textId="77777777" w:rsidTr="003F2D69">
        <w:trPr>
          <w:trHeight w:val="283"/>
        </w:trPr>
        <w:tc>
          <w:tcPr>
            <w:tcW w:w="444" w:type="dxa"/>
            <w:tcBorders>
              <w:top w:val="single" w:sz="4" w:space="0" w:color="auto"/>
              <w:left w:val="nil"/>
              <w:bottom w:val="nil"/>
              <w:right w:val="single" w:sz="4" w:space="0" w:color="auto"/>
            </w:tcBorders>
          </w:tcPr>
          <w:p w14:paraId="2A79196D" w14:textId="77777777" w:rsidR="009E0DD9" w:rsidRPr="009E0DD9" w:rsidRDefault="009E0DD9" w:rsidP="009E0DD9">
            <w:pPr>
              <w:spacing w:before="40" w:after="40"/>
              <w:rPr>
                <w:rFonts w:cs="Segoe UI"/>
                <w:sz w:val="17"/>
                <w:szCs w:val="17"/>
                <w:lang w:eastAsia="en-GB"/>
              </w:rPr>
            </w:pPr>
            <w:r w:rsidRPr="009E0DD9">
              <w:rPr>
                <w:rFonts w:cs="Segoe UI"/>
                <w:sz w:val="17"/>
                <w:szCs w:val="17"/>
              </w:rPr>
              <w:br w:type="page"/>
            </w:r>
          </w:p>
        </w:tc>
        <w:tc>
          <w:tcPr>
            <w:tcW w:w="4211" w:type="dxa"/>
            <w:tcBorders>
              <w:top w:val="single" w:sz="4" w:space="0" w:color="auto"/>
              <w:left w:val="single" w:sz="4" w:space="0" w:color="auto"/>
              <w:bottom w:val="single" w:sz="4" w:space="0" w:color="auto"/>
              <w:right w:val="single" w:sz="4" w:space="0" w:color="auto"/>
            </w:tcBorders>
            <w:noWrap/>
          </w:tcPr>
          <w:p w14:paraId="02D12CC3" w14:textId="77777777" w:rsidR="009E0DD9" w:rsidRPr="009E0DD9" w:rsidRDefault="009E0DD9" w:rsidP="009E0DD9">
            <w:pPr>
              <w:spacing w:before="40" w:after="40"/>
              <w:rPr>
                <w:rFonts w:cs="Segoe UI"/>
                <w:sz w:val="17"/>
                <w:szCs w:val="17"/>
                <w:lang w:eastAsia="en-GB"/>
              </w:rPr>
            </w:pP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2DAEF73A"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0%</w:t>
            </w:r>
          </w:p>
        </w:tc>
        <w:tc>
          <w:tcPr>
            <w:tcW w:w="1065" w:type="dxa"/>
            <w:tcBorders>
              <w:top w:val="single" w:sz="4" w:space="0" w:color="auto"/>
              <w:left w:val="single" w:sz="4" w:space="0" w:color="auto"/>
              <w:bottom w:val="single" w:sz="4" w:space="0" w:color="auto"/>
              <w:right w:val="single" w:sz="4" w:space="0" w:color="auto"/>
            </w:tcBorders>
            <w:vAlign w:val="center"/>
          </w:tcPr>
          <w:p w14:paraId="2C4F435E"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77D828B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3A9EDDD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1067" w:type="dxa"/>
            <w:tcBorders>
              <w:top w:val="single" w:sz="4" w:space="0" w:color="auto"/>
              <w:left w:val="single" w:sz="4" w:space="0" w:color="auto"/>
              <w:bottom w:val="single" w:sz="4" w:space="0" w:color="auto"/>
              <w:right w:val="single" w:sz="4" w:space="0" w:color="auto"/>
            </w:tcBorders>
            <w:vAlign w:val="center"/>
            <w:hideMark/>
          </w:tcPr>
          <w:p w14:paraId="7BB0F6D6"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1068" w:type="dxa"/>
            <w:tcBorders>
              <w:top w:val="single" w:sz="4" w:space="0" w:color="auto"/>
              <w:left w:val="single" w:sz="4" w:space="0" w:color="auto"/>
              <w:bottom w:val="single" w:sz="4" w:space="0" w:color="auto"/>
              <w:right w:val="single" w:sz="4" w:space="0" w:color="auto"/>
            </w:tcBorders>
            <w:vAlign w:val="center"/>
            <w:hideMark/>
          </w:tcPr>
          <w:p w14:paraId="4EFA745D"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794F011A" w14:textId="6BEC8AB9" w:rsidR="009E0DD9" w:rsidRPr="00792E2D" w:rsidRDefault="00792E2D"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06AB51EC" w14:textId="77777777" w:rsidTr="003F2D69">
        <w:trPr>
          <w:trHeight w:val="283"/>
        </w:trPr>
        <w:tc>
          <w:tcPr>
            <w:tcW w:w="444" w:type="dxa"/>
            <w:tcBorders>
              <w:top w:val="nil"/>
              <w:left w:val="nil"/>
              <w:bottom w:val="single" w:sz="4" w:space="0" w:color="auto"/>
              <w:right w:val="single" w:sz="4" w:space="0" w:color="auto"/>
            </w:tcBorders>
            <w:hideMark/>
          </w:tcPr>
          <w:p w14:paraId="441FCB39"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2</w:t>
            </w:r>
          </w:p>
        </w:tc>
        <w:tc>
          <w:tcPr>
            <w:tcW w:w="4211" w:type="dxa"/>
            <w:tcBorders>
              <w:top w:val="single" w:sz="4" w:space="0" w:color="auto"/>
              <w:left w:val="single" w:sz="4" w:space="0" w:color="auto"/>
              <w:bottom w:val="single" w:sz="4" w:space="0" w:color="auto"/>
              <w:right w:val="single" w:sz="4" w:space="0" w:color="auto"/>
            </w:tcBorders>
            <w:noWrap/>
            <w:hideMark/>
          </w:tcPr>
          <w:p w14:paraId="12C41430" w14:textId="77777777" w:rsidR="009E0DD9" w:rsidRPr="00792E2D" w:rsidRDefault="009E0DD9" w:rsidP="009E0DD9">
            <w:pPr>
              <w:spacing w:before="40" w:after="40"/>
              <w:rPr>
                <w:rFonts w:ascii="細明體" w:eastAsia="細明體" w:hAnsi="細明體" w:cs="Segoe UI"/>
                <w:sz w:val="17"/>
                <w:szCs w:val="17"/>
                <w:lang w:eastAsia="en-GB"/>
              </w:rPr>
            </w:pPr>
            <w:proofErr w:type="spellStart"/>
            <w:r w:rsidRPr="00792E2D">
              <w:rPr>
                <w:rFonts w:ascii="細明體" w:eastAsia="細明體" w:hAnsi="細明體" w:cs="微軟正黑體" w:hint="eastAsia"/>
                <w:sz w:val="17"/>
                <w:szCs w:val="17"/>
                <w:lang w:eastAsia="en-GB"/>
              </w:rPr>
              <w:t>公營單位風險承擔</w:t>
            </w:r>
            <w:proofErr w:type="spellEnd"/>
          </w:p>
        </w:tc>
        <w:tc>
          <w:tcPr>
            <w:tcW w:w="1064" w:type="dxa"/>
            <w:tcBorders>
              <w:top w:val="single" w:sz="4" w:space="0" w:color="auto"/>
              <w:left w:val="single" w:sz="4" w:space="0" w:color="auto"/>
              <w:bottom w:val="single" w:sz="4" w:space="0" w:color="auto"/>
              <w:right w:val="single" w:sz="4" w:space="0" w:color="auto"/>
            </w:tcBorders>
            <w:noWrap/>
          </w:tcPr>
          <w:p w14:paraId="07473E0C" w14:textId="77777777" w:rsidR="009E0DD9" w:rsidRPr="009E0DD9" w:rsidRDefault="009E0DD9" w:rsidP="009E0DD9">
            <w:pPr>
              <w:spacing w:before="40" w:after="40"/>
              <w:rPr>
                <w:rFonts w:eastAsia="MS PGothic" w:cs="Segoe UI"/>
                <w:sz w:val="17"/>
                <w:szCs w:val="17"/>
                <w:lang w:eastAsia="ja-JP"/>
              </w:rPr>
            </w:pPr>
          </w:p>
        </w:tc>
        <w:tc>
          <w:tcPr>
            <w:tcW w:w="1065" w:type="dxa"/>
            <w:tcBorders>
              <w:top w:val="single" w:sz="4" w:space="0" w:color="auto"/>
              <w:left w:val="single" w:sz="4" w:space="0" w:color="auto"/>
              <w:bottom w:val="single" w:sz="4" w:space="0" w:color="auto"/>
              <w:right w:val="single" w:sz="4" w:space="0" w:color="auto"/>
            </w:tcBorders>
          </w:tcPr>
          <w:p w14:paraId="53240635" w14:textId="77777777" w:rsidR="009E0DD9" w:rsidRPr="009E0DD9" w:rsidRDefault="009E0DD9" w:rsidP="009E0DD9">
            <w:pPr>
              <w:spacing w:before="40" w:after="40"/>
              <w:rPr>
                <w:rFonts w:eastAsia="MS PGothic" w:cs="Segoe UI"/>
                <w:sz w:val="17"/>
                <w:szCs w:val="17"/>
                <w:lang w:eastAsia="ja-JP"/>
              </w:rPr>
            </w:pPr>
          </w:p>
        </w:tc>
        <w:tc>
          <w:tcPr>
            <w:tcW w:w="1064" w:type="dxa"/>
            <w:tcBorders>
              <w:top w:val="single" w:sz="4" w:space="0" w:color="auto"/>
              <w:left w:val="single" w:sz="4" w:space="0" w:color="auto"/>
              <w:bottom w:val="single" w:sz="4" w:space="0" w:color="auto"/>
              <w:right w:val="single" w:sz="4" w:space="0" w:color="auto"/>
            </w:tcBorders>
            <w:noWrap/>
          </w:tcPr>
          <w:p w14:paraId="280F13C5" w14:textId="77777777" w:rsidR="009E0DD9" w:rsidRPr="009E0DD9" w:rsidRDefault="009E0DD9" w:rsidP="009E0DD9">
            <w:pPr>
              <w:spacing w:before="40" w:after="40"/>
              <w:rPr>
                <w:rFonts w:eastAsia="MS PGothic" w:cs="Segoe UI"/>
                <w:sz w:val="17"/>
                <w:szCs w:val="17"/>
                <w:lang w:eastAsia="ja-JP"/>
              </w:rPr>
            </w:pPr>
          </w:p>
        </w:tc>
        <w:tc>
          <w:tcPr>
            <w:tcW w:w="1065" w:type="dxa"/>
            <w:tcBorders>
              <w:top w:val="single" w:sz="4" w:space="0" w:color="auto"/>
              <w:left w:val="single" w:sz="4" w:space="0" w:color="auto"/>
              <w:bottom w:val="single" w:sz="4" w:space="0" w:color="auto"/>
              <w:right w:val="single" w:sz="4" w:space="0" w:color="auto"/>
            </w:tcBorders>
            <w:noWrap/>
          </w:tcPr>
          <w:p w14:paraId="65763159" w14:textId="77777777" w:rsidR="009E0DD9" w:rsidRPr="009E0DD9" w:rsidRDefault="009E0DD9" w:rsidP="009E0DD9">
            <w:pPr>
              <w:spacing w:before="40" w:after="40"/>
              <w:rPr>
                <w:rFonts w:eastAsia="MS PGothic" w:cs="Segoe UI"/>
                <w:sz w:val="17"/>
                <w:szCs w:val="17"/>
                <w:lang w:eastAsia="ja-JP"/>
              </w:rPr>
            </w:pPr>
          </w:p>
        </w:tc>
        <w:tc>
          <w:tcPr>
            <w:tcW w:w="1067" w:type="dxa"/>
            <w:tcBorders>
              <w:top w:val="single" w:sz="4" w:space="0" w:color="auto"/>
              <w:left w:val="single" w:sz="4" w:space="0" w:color="auto"/>
              <w:bottom w:val="single" w:sz="4" w:space="0" w:color="auto"/>
              <w:right w:val="single" w:sz="4" w:space="0" w:color="auto"/>
            </w:tcBorders>
          </w:tcPr>
          <w:p w14:paraId="025019CC" w14:textId="77777777" w:rsidR="009E0DD9" w:rsidRPr="009E0DD9" w:rsidRDefault="009E0DD9" w:rsidP="009E0DD9">
            <w:pPr>
              <w:spacing w:before="40" w:after="40"/>
              <w:rPr>
                <w:rFonts w:eastAsia="MS PGothic" w:cs="Segoe UI"/>
                <w:sz w:val="17"/>
                <w:szCs w:val="17"/>
                <w:lang w:eastAsia="ja-JP"/>
              </w:rPr>
            </w:pPr>
          </w:p>
        </w:tc>
        <w:tc>
          <w:tcPr>
            <w:tcW w:w="1068" w:type="dxa"/>
            <w:tcBorders>
              <w:top w:val="single" w:sz="4" w:space="0" w:color="auto"/>
              <w:left w:val="single" w:sz="4" w:space="0" w:color="auto"/>
              <w:bottom w:val="single" w:sz="4" w:space="0" w:color="auto"/>
              <w:right w:val="single" w:sz="4" w:space="0" w:color="auto"/>
            </w:tcBorders>
          </w:tcPr>
          <w:p w14:paraId="55FA6141"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0171D2A9" w14:textId="77777777" w:rsidR="009E0DD9" w:rsidRPr="009E0DD9" w:rsidRDefault="009E0DD9" w:rsidP="009E0DD9">
            <w:pPr>
              <w:spacing w:before="40" w:after="40"/>
              <w:rPr>
                <w:rFonts w:cs="Segoe UI"/>
                <w:sz w:val="17"/>
                <w:szCs w:val="17"/>
                <w:lang w:eastAsia="en-GB"/>
              </w:rPr>
            </w:pPr>
          </w:p>
        </w:tc>
      </w:tr>
    </w:tbl>
    <w:p w14:paraId="7EE8B17A" w14:textId="77777777" w:rsidR="00B3752A" w:rsidRDefault="00B3752A"/>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44"/>
        <w:gridCol w:w="4211"/>
        <w:gridCol w:w="912"/>
        <w:gridCol w:w="915"/>
        <w:gridCol w:w="913"/>
        <w:gridCol w:w="912"/>
        <w:gridCol w:w="913"/>
        <w:gridCol w:w="912"/>
        <w:gridCol w:w="916"/>
        <w:gridCol w:w="3118"/>
      </w:tblGrid>
      <w:tr w:rsidR="009E0DD9" w:rsidRPr="009E0DD9" w14:paraId="7595337A" w14:textId="77777777" w:rsidTr="003F2D69">
        <w:trPr>
          <w:trHeight w:val="283"/>
        </w:trPr>
        <w:tc>
          <w:tcPr>
            <w:tcW w:w="444" w:type="dxa"/>
            <w:tcBorders>
              <w:top w:val="single" w:sz="4" w:space="0" w:color="auto"/>
              <w:left w:val="nil"/>
              <w:bottom w:val="nil"/>
              <w:right w:val="single" w:sz="4" w:space="0" w:color="auto"/>
            </w:tcBorders>
          </w:tcPr>
          <w:p w14:paraId="1A66790D" w14:textId="77777777" w:rsidR="009E0DD9" w:rsidRPr="009E0DD9" w:rsidRDefault="009E0DD9" w:rsidP="009E0DD9">
            <w:pPr>
              <w:spacing w:before="40" w:after="40"/>
              <w:rPr>
                <w:rFonts w:cs="Segoe UI"/>
                <w:sz w:val="17"/>
                <w:szCs w:val="17"/>
                <w:lang w:eastAsia="en-GB"/>
              </w:rPr>
            </w:pPr>
            <w:r w:rsidRPr="009E0DD9">
              <w:rPr>
                <w:rFonts w:cs="Segoe UI"/>
                <w:sz w:val="17"/>
                <w:szCs w:val="17"/>
              </w:rPr>
              <w:br w:type="page"/>
            </w:r>
          </w:p>
        </w:tc>
        <w:tc>
          <w:tcPr>
            <w:tcW w:w="4211" w:type="dxa"/>
            <w:tcBorders>
              <w:top w:val="single" w:sz="4" w:space="0" w:color="auto"/>
              <w:left w:val="single" w:sz="4" w:space="0" w:color="auto"/>
              <w:bottom w:val="single" w:sz="4" w:space="0" w:color="auto"/>
              <w:right w:val="single" w:sz="4" w:space="0" w:color="auto"/>
            </w:tcBorders>
            <w:noWrap/>
          </w:tcPr>
          <w:p w14:paraId="683EB259" w14:textId="77777777" w:rsidR="009E0DD9" w:rsidRPr="009E0DD9" w:rsidRDefault="009E0DD9" w:rsidP="009E0DD9">
            <w:pPr>
              <w:spacing w:before="40" w:after="40"/>
              <w:rPr>
                <w:rFonts w:cs="Segoe UI"/>
                <w:sz w:val="17"/>
                <w:szCs w:val="17"/>
                <w:lang w:eastAsia="en-GB"/>
              </w:rPr>
            </w:pP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484CFD3D"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0%</w:t>
            </w:r>
          </w:p>
        </w:tc>
        <w:tc>
          <w:tcPr>
            <w:tcW w:w="915" w:type="dxa"/>
            <w:tcBorders>
              <w:top w:val="single" w:sz="4" w:space="0" w:color="auto"/>
              <w:left w:val="single" w:sz="4" w:space="0" w:color="auto"/>
              <w:bottom w:val="single" w:sz="4" w:space="0" w:color="auto"/>
              <w:right w:val="single" w:sz="4" w:space="0" w:color="auto"/>
            </w:tcBorders>
            <w:noWrap/>
            <w:vAlign w:val="center"/>
            <w:hideMark/>
          </w:tcPr>
          <w:p w14:paraId="4C9BDF2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913" w:type="dxa"/>
            <w:tcBorders>
              <w:top w:val="single" w:sz="4" w:space="0" w:color="auto"/>
              <w:left w:val="single" w:sz="4" w:space="0" w:color="auto"/>
              <w:bottom w:val="single" w:sz="4" w:space="0" w:color="auto"/>
              <w:right w:val="single" w:sz="4" w:space="0" w:color="auto"/>
            </w:tcBorders>
            <w:noWrap/>
            <w:vAlign w:val="center"/>
            <w:hideMark/>
          </w:tcPr>
          <w:p w14:paraId="12CBEA41"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30%</w:t>
            </w:r>
          </w:p>
        </w:tc>
        <w:tc>
          <w:tcPr>
            <w:tcW w:w="912" w:type="dxa"/>
            <w:tcBorders>
              <w:top w:val="single" w:sz="4" w:space="0" w:color="auto"/>
              <w:left w:val="single" w:sz="4" w:space="0" w:color="auto"/>
              <w:bottom w:val="single" w:sz="4" w:space="0" w:color="auto"/>
              <w:right w:val="single" w:sz="4" w:space="0" w:color="auto"/>
            </w:tcBorders>
            <w:vAlign w:val="center"/>
            <w:hideMark/>
          </w:tcPr>
          <w:p w14:paraId="33E67D5B"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913" w:type="dxa"/>
            <w:tcBorders>
              <w:top w:val="single" w:sz="4" w:space="0" w:color="auto"/>
              <w:left w:val="single" w:sz="4" w:space="0" w:color="auto"/>
              <w:bottom w:val="single" w:sz="4" w:space="0" w:color="auto"/>
              <w:right w:val="single" w:sz="4" w:space="0" w:color="auto"/>
            </w:tcBorders>
            <w:vAlign w:val="center"/>
            <w:hideMark/>
          </w:tcPr>
          <w:p w14:paraId="2C63D950"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912" w:type="dxa"/>
            <w:tcBorders>
              <w:top w:val="single" w:sz="4" w:space="0" w:color="auto"/>
              <w:left w:val="single" w:sz="4" w:space="0" w:color="auto"/>
              <w:bottom w:val="single" w:sz="4" w:space="0" w:color="auto"/>
              <w:right w:val="single" w:sz="4" w:space="0" w:color="auto"/>
            </w:tcBorders>
            <w:vAlign w:val="center"/>
            <w:hideMark/>
          </w:tcPr>
          <w:p w14:paraId="0D948FF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17635ED5"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5A39C707" w14:textId="73FDE53E" w:rsidR="009E0DD9" w:rsidRPr="00792E2D" w:rsidRDefault="00792E2D"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28138026" w14:textId="77777777" w:rsidTr="003F2D69">
        <w:trPr>
          <w:trHeight w:val="283"/>
        </w:trPr>
        <w:tc>
          <w:tcPr>
            <w:tcW w:w="444" w:type="dxa"/>
            <w:tcBorders>
              <w:top w:val="nil"/>
              <w:left w:val="nil"/>
              <w:bottom w:val="single" w:sz="4" w:space="0" w:color="auto"/>
              <w:right w:val="single" w:sz="4" w:space="0" w:color="auto"/>
            </w:tcBorders>
            <w:hideMark/>
          </w:tcPr>
          <w:p w14:paraId="77E4CAA6"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3</w:t>
            </w:r>
          </w:p>
        </w:tc>
        <w:tc>
          <w:tcPr>
            <w:tcW w:w="4211" w:type="dxa"/>
            <w:tcBorders>
              <w:top w:val="single" w:sz="4" w:space="0" w:color="auto"/>
              <w:left w:val="single" w:sz="4" w:space="0" w:color="auto"/>
              <w:bottom w:val="single" w:sz="4" w:space="0" w:color="auto"/>
              <w:right w:val="single" w:sz="4" w:space="0" w:color="auto"/>
            </w:tcBorders>
            <w:noWrap/>
            <w:hideMark/>
          </w:tcPr>
          <w:p w14:paraId="1F3F41E9" w14:textId="77777777" w:rsidR="009E0DD9" w:rsidRPr="00792E2D" w:rsidRDefault="009E0DD9"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val="en-US" w:eastAsia="zh-TW"/>
              </w:rPr>
              <w:t>多邊發展銀行風險承擔</w:t>
            </w:r>
          </w:p>
        </w:tc>
        <w:tc>
          <w:tcPr>
            <w:tcW w:w="912" w:type="dxa"/>
            <w:tcBorders>
              <w:top w:val="single" w:sz="4" w:space="0" w:color="auto"/>
              <w:left w:val="single" w:sz="4" w:space="0" w:color="auto"/>
              <w:bottom w:val="single" w:sz="4" w:space="0" w:color="auto"/>
              <w:right w:val="single" w:sz="4" w:space="0" w:color="auto"/>
            </w:tcBorders>
            <w:noWrap/>
          </w:tcPr>
          <w:p w14:paraId="58D04802" w14:textId="77777777" w:rsidR="009E0DD9" w:rsidRPr="009E0DD9" w:rsidRDefault="009E0DD9" w:rsidP="009E0DD9">
            <w:pPr>
              <w:spacing w:before="40" w:after="40"/>
              <w:rPr>
                <w:rFonts w:eastAsia="MS PGothic" w:cs="Segoe UI"/>
                <w:sz w:val="17"/>
                <w:szCs w:val="17"/>
                <w:lang w:eastAsia="ja-JP"/>
              </w:rPr>
            </w:pPr>
          </w:p>
        </w:tc>
        <w:tc>
          <w:tcPr>
            <w:tcW w:w="915" w:type="dxa"/>
            <w:tcBorders>
              <w:top w:val="single" w:sz="4" w:space="0" w:color="auto"/>
              <w:left w:val="single" w:sz="4" w:space="0" w:color="auto"/>
              <w:bottom w:val="single" w:sz="4" w:space="0" w:color="auto"/>
              <w:right w:val="single" w:sz="4" w:space="0" w:color="auto"/>
            </w:tcBorders>
            <w:shd w:val="clear" w:color="auto" w:fill="AEAAAA"/>
            <w:noWrap/>
          </w:tcPr>
          <w:p w14:paraId="49674FB0" w14:textId="77777777" w:rsidR="009E0DD9" w:rsidRPr="009E0DD9" w:rsidRDefault="009E0DD9" w:rsidP="009E0DD9">
            <w:pPr>
              <w:spacing w:before="40" w:after="40"/>
              <w:rPr>
                <w:rFonts w:eastAsia="MS PGothic" w:cs="Segoe UI"/>
                <w:sz w:val="17"/>
                <w:szCs w:val="17"/>
                <w:lang w:eastAsia="ja-JP"/>
              </w:rPr>
            </w:pPr>
          </w:p>
        </w:tc>
        <w:tc>
          <w:tcPr>
            <w:tcW w:w="913" w:type="dxa"/>
            <w:tcBorders>
              <w:top w:val="single" w:sz="4" w:space="0" w:color="auto"/>
              <w:left w:val="single" w:sz="4" w:space="0" w:color="auto"/>
              <w:bottom w:val="single" w:sz="4" w:space="0" w:color="auto"/>
              <w:right w:val="single" w:sz="4" w:space="0" w:color="auto"/>
            </w:tcBorders>
            <w:noWrap/>
          </w:tcPr>
          <w:p w14:paraId="1B690069" w14:textId="77777777" w:rsidR="009E0DD9" w:rsidRPr="009E0DD9" w:rsidRDefault="009E0DD9" w:rsidP="009E0DD9">
            <w:pPr>
              <w:spacing w:before="40" w:after="40"/>
              <w:rPr>
                <w:rFonts w:eastAsia="MS PGothic" w:cs="Segoe UI"/>
                <w:sz w:val="17"/>
                <w:szCs w:val="17"/>
                <w:lang w:eastAsia="ja-JP"/>
              </w:rPr>
            </w:pPr>
          </w:p>
        </w:tc>
        <w:tc>
          <w:tcPr>
            <w:tcW w:w="912" w:type="dxa"/>
            <w:tcBorders>
              <w:top w:val="single" w:sz="4" w:space="0" w:color="auto"/>
              <w:left w:val="single" w:sz="4" w:space="0" w:color="auto"/>
              <w:bottom w:val="single" w:sz="4" w:space="0" w:color="auto"/>
              <w:right w:val="single" w:sz="4" w:space="0" w:color="auto"/>
            </w:tcBorders>
          </w:tcPr>
          <w:p w14:paraId="26417E15" w14:textId="77777777" w:rsidR="009E0DD9" w:rsidRPr="009E0DD9" w:rsidRDefault="009E0DD9" w:rsidP="009E0DD9">
            <w:pPr>
              <w:spacing w:before="40" w:after="40"/>
              <w:rPr>
                <w:rFonts w:eastAsia="MS PGothic" w:cs="Segoe UI"/>
                <w:sz w:val="17"/>
                <w:szCs w:val="17"/>
                <w:lang w:eastAsia="ja-JP"/>
              </w:rPr>
            </w:pPr>
          </w:p>
        </w:tc>
        <w:tc>
          <w:tcPr>
            <w:tcW w:w="913" w:type="dxa"/>
            <w:tcBorders>
              <w:top w:val="single" w:sz="4" w:space="0" w:color="auto"/>
              <w:left w:val="single" w:sz="4" w:space="0" w:color="auto"/>
              <w:bottom w:val="single" w:sz="4" w:space="0" w:color="auto"/>
              <w:right w:val="single" w:sz="4" w:space="0" w:color="auto"/>
            </w:tcBorders>
          </w:tcPr>
          <w:p w14:paraId="398EBF79" w14:textId="77777777" w:rsidR="009E0DD9" w:rsidRPr="009E0DD9" w:rsidRDefault="009E0DD9" w:rsidP="009E0DD9">
            <w:pPr>
              <w:spacing w:before="40" w:after="40"/>
              <w:rPr>
                <w:rFonts w:eastAsia="MS PGothic" w:cs="Segoe UI"/>
                <w:sz w:val="17"/>
                <w:szCs w:val="17"/>
                <w:lang w:eastAsia="ja-JP"/>
              </w:rPr>
            </w:pPr>
          </w:p>
        </w:tc>
        <w:tc>
          <w:tcPr>
            <w:tcW w:w="912" w:type="dxa"/>
            <w:tcBorders>
              <w:top w:val="single" w:sz="4" w:space="0" w:color="auto"/>
              <w:left w:val="single" w:sz="4" w:space="0" w:color="auto"/>
              <w:bottom w:val="single" w:sz="4" w:space="0" w:color="auto"/>
              <w:right w:val="single" w:sz="4" w:space="0" w:color="auto"/>
            </w:tcBorders>
          </w:tcPr>
          <w:p w14:paraId="3454689D" w14:textId="77777777" w:rsidR="009E0DD9" w:rsidRPr="009E0DD9" w:rsidRDefault="009E0DD9" w:rsidP="009E0DD9">
            <w:pPr>
              <w:spacing w:before="40" w:after="40"/>
              <w:rPr>
                <w:rFonts w:eastAsia="MS PGothic" w:cs="Segoe UI"/>
                <w:sz w:val="17"/>
                <w:szCs w:val="17"/>
                <w:lang w:eastAsia="ja-JP"/>
              </w:rPr>
            </w:pPr>
          </w:p>
        </w:tc>
        <w:tc>
          <w:tcPr>
            <w:tcW w:w="916" w:type="dxa"/>
            <w:tcBorders>
              <w:top w:val="single" w:sz="4" w:space="0" w:color="auto"/>
              <w:left w:val="single" w:sz="4" w:space="0" w:color="auto"/>
              <w:bottom w:val="single" w:sz="4" w:space="0" w:color="auto"/>
              <w:right w:val="single" w:sz="4" w:space="0" w:color="auto"/>
            </w:tcBorders>
            <w:noWrap/>
          </w:tcPr>
          <w:p w14:paraId="253E18D7"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5A4BC6B9" w14:textId="77777777" w:rsidR="009E0DD9" w:rsidRPr="009E0DD9" w:rsidRDefault="009E0DD9" w:rsidP="009E0DD9">
            <w:pPr>
              <w:spacing w:before="40" w:after="40"/>
              <w:rPr>
                <w:rFonts w:eastAsia="MS PGothic" w:cs="Segoe UI"/>
                <w:sz w:val="17"/>
                <w:szCs w:val="17"/>
                <w:lang w:eastAsia="ja-JP"/>
              </w:rPr>
            </w:pPr>
          </w:p>
        </w:tc>
      </w:tr>
    </w:tbl>
    <w:p w14:paraId="150C0C85" w14:textId="77777777" w:rsidR="00B3752A" w:rsidRDefault="00B3752A">
      <w:pPr>
        <w:rPr>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08"/>
        <w:gridCol w:w="4232"/>
        <w:gridCol w:w="1067"/>
        <w:gridCol w:w="1068"/>
        <w:gridCol w:w="1067"/>
        <w:gridCol w:w="1071"/>
        <w:gridCol w:w="1067"/>
        <w:gridCol w:w="1068"/>
        <w:gridCol w:w="3118"/>
      </w:tblGrid>
      <w:tr w:rsidR="009E0DD9" w:rsidRPr="009E0DD9" w14:paraId="152A586E" w14:textId="77777777" w:rsidTr="003F2D69">
        <w:trPr>
          <w:trHeight w:val="283"/>
        </w:trPr>
        <w:tc>
          <w:tcPr>
            <w:tcW w:w="408" w:type="dxa"/>
            <w:tcBorders>
              <w:top w:val="single" w:sz="4" w:space="0" w:color="auto"/>
              <w:left w:val="nil"/>
              <w:bottom w:val="nil"/>
              <w:right w:val="single" w:sz="4" w:space="0" w:color="auto"/>
            </w:tcBorders>
          </w:tcPr>
          <w:p w14:paraId="20B05E67" w14:textId="77777777" w:rsidR="009E0DD9" w:rsidRPr="009E0DD9" w:rsidRDefault="009E0DD9" w:rsidP="009E0DD9">
            <w:pPr>
              <w:spacing w:before="40" w:after="40"/>
              <w:rPr>
                <w:rFonts w:cs="Segoe UI"/>
                <w:sz w:val="17"/>
                <w:szCs w:val="17"/>
                <w:lang w:eastAsia="zh-TW"/>
              </w:rPr>
            </w:pPr>
          </w:p>
        </w:tc>
        <w:tc>
          <w:tcPr>
            <w:tcW w:w="4232" w:type="dxa"/>
            <w:tcBorders>
              <w:top w:val="single" w:sz="4" w:space="0" w:color="auto"/>
              <w:left w:val="single" w:sz="4" w:space="0" w:color="auto"/>
              <w:bottom w:val="single" w:sz="4" w:space="0" w:color="auto"/>
              <w:right w:val="single" w:sz="4" w:space="0" w:color="auto"/>
            </w:tcBorders>
          </w:tcPr>
          <w:p w14:paraId="29226512" w14:textId="77777777" w:rsidR="009E0DD9" w:rsidRPr="009E0DD9" w:rsidRDefault="009E0DD9" w:rsidP="009E0DD9">
            <w:pPr>
              <w:spacing w:before="40" w:after="40"/>
              <w:rPr>
                <w:rFonts w:cs="Segoe UI"/>
                <w:sz w:val="17"/>
                <w:szCs w:val="17"/>
                <w:lang w:eastAsia="zh-TW"/>
              </w:rPr>
            </w:pPr>
          </w:p>
        </w:tc>
        <w:tc>
          <w:tcPr>
            <w:tcW w:w="1067" w:type="dxa"/>
            <w:tcBorders>
              <w:top w:val="single" w:sz="4" w:space="0" w:color="auto"/>
              <w:left w:val="single" w:sz="4" w:space="0" w:color="auto"/>
              <w:bottom w:val="single" w:sz="4" w:space="0" w:color="auto"/>
              <w:right w:val="single" w:sz="4" w:space="0" w:color="auto"/>
            </w:tcBorders>
            <w:vAlign w:val="center"/>
          </w:tcPr>
          <w:p w14:paraId="278C1A3D" w14:textId="77777777" w:rsidR="009E0DD9" w:rsidRPr="009E0DD9" w:rsidRDefault="009E0DD9" w:rsidP="009E0DD9">
            <w:pPr>
              <w:jc w:val="center"/>
              <w:rPr>
                <w:rFonts w:cs="Segoe UI"/>
                <w:sz w:val="17"/>
                <w:szCs w:val="17"/>
              </w:rPr>
            </w:pPr>
            <w:r w:rsidRPr="009E0DD9">
              <w:rPr>
                <w:rFonts w:eastAsia="MS PGothic" w:cs="Segoe UI"/>
                <w:sz w:val="17"/>
                <w:szCs w:val="17"/>
                <w:lang w:eastAsia="ja-JP"/>
              </w:rPr>
              <w:t>20%</w:t>
            </w:r>
          </w:p>
        </w:tc>
        <w:tc>
          <w:tcPr>
            <w:tcW w:w="1068" w:type="dxa"/>
            <w:tcBorders>
              <w:top w:val="single" w:sz="4" w:space="0" w:color="auto"/>
              <w:left w:val="single" w:sz="4" w:space="0" w:color="auto"/>
              <w:bottom w:val="single" w:sz="4" w:space="0" w:color="auto"/>
              <w:right w:val="single" w:sz="4" w:space="0" w:color="auto"/>
            </w:tcBorders>
            <w:vAlign w:val="center"/>
          </w:tcPr>
          <w:p w14:paraId="44D76090" w14:textId="77777777" w:rsidR="009E0DD9" w:rsidRPr="009E0DD9" w:rsidRDefault="009E0DD9" w:rsidP="009E0DD9">
            <w:pPr>
              <w:jc w:val="center"/>
              <w:rPr>
                <w:rFonts w:cs="Segoe UI"/>
                <w:sz w:val="17"/>
                <w:szCs w:val="17"/>
              </w:rPr>
            </w:pPr>
            <w:r w:rsidRPr="009E0DD9">
              <w:rPr>
                <w:rFonts w:eastAsia="MS PGothic" w:cs="Segoe UI"/>
                <w:sz w:val="17"/>
                <w:szCs w:val="17"/>
                <w:lang w:eastAsia="ja-JP"/>
              </w:rPr>
              <w:t>30%</w:t>
            </w:r>
          </w:p>
        </w:tc>
        <w:tc>
          <w:tcPr>
            <w:tcW w:w="1067" w:type="dxa"/>
            <w:tcBorders>
              <w:top w:val="single" w:sz="4" w:space="0" w:color="auto"/>
              <w:left w:val="single" w:sz="4" w:space="0" w:color="auto"/>
              <w:bottom w:val="single" w:sz="4" w:space="0" w:color="auto"/>
              <w:right w:val="single" w:sz="4" w:space="0" w:color="auto"/>
            </w:tcBorders>
            <w:vAlign w:val="center"/>
          </w:tcPr>
          <w:p w14:paraId="15A05C51" w14:textId="77777777" w:rsidR="009E0DD9" w:rsidRPr="009E0DD9" w:rsidRDefault="009E0DD9" w:rsidP="009E0DD9">
            <w:pPr>
              <w:jc w:val="center"/>
              <w:rPr>
                <w:rFonts w:cs="Segoe UI"/>
                <w:sz w:val="17"/>
                <w:szCs w:val="17"/>
              </w:rPr>
            </w:pPr>
            <w:r w:rsidRPr="009E0DD9">
              <w:rPr>
                <w:rFonts w:eastAsia="MS PGothic" w:cs="Segoe UI"/>
                <w:sz w:val="17"/>
                <w:szCs w:val="17"/>
                <w:lang w:eastAsia="ja-JP"/>
              </w:rPr>
              <w:t>50%</w:t>
            </w:r>
          </w:p>
        </w:tc>
        <w:tc>
          <w:tcPr>
            <w:tcW w:w="1071" w:type="dxa"/>
            <w:tcBorders>
              <w:top w:val="single" w:sz="4" w:space="0" w:color="auto"/>
              <w:left w:val="single" w:sz="4" w:space="0" w:color="auto"/>
              <w:bottom w:val="single" w:sz="4" w:space="0" w:color="auto"/>
              <w:right w:val="single" w:sz="4" w:space="0" w:color="auto"/>
            </w:tcBorders>
            <w:vAlign w:val="center"/>
          </w:tcPr>
          <w:p w14:paraId="44024766" w14:textId="77777777" w:rsidR="009E0DD9" w:rsidRPr="009E0DD9" w:rsidRDefault="009E0DD9" w:rsidP="009E0DD9">
            <w:pPr>
              <w:jc w:val="center"/>
              <w:rPr>
                <w:rFonts w:cs="Segoe UI"/>
                <w:sz w:val="17"/>
                <w:szCs w:val="17"/>
              </w:rPr>
            </w:pPr>
            <w:r w:rsidRPr="009E0DD9">
              <w:rPr>
                <w:rFonts w:eastAsia="MS PGothic" w:cs="Segoe UI"/>
                <w:sz w:val="17"/>
                <w:szCs w:val="17"/>
                <w:lang w:eastAsia="ja-JP"/>
              </w:rPr>
              <w:t>100%</w:t>
            </w:r>
          </w:p>
        </w:tc>
        <w:tc>
          <w:tcPr>
            <w:tcW w:w="1067" w:type="dxa"/>
            <w:tcBorders>
              <w:top w:val="single" w:sz="4" w:space="0" w:color="auto"/>
              <w:left w:val="single" w:sz="4" w:space="0" w:color="auto"/>
              <w:bottom w:val="single" w:sz="4" w:space="0" w:color="auto"/>
              <w:right w:val="single" w:sz="4" w:space="0" w:color="auto"/>
            </w:tcBorders>
            <w:vAlign w:val="center"/>
          </w:tcPr>
          <w:p w14:paraId="2679E1D5" w14:textId="77777777" w:rsidR="009E0DD9" w:rsidRPr="009E0DD9" w:rsidRDefault="009E0DD9" w:rsidP="009E0DD9">
            <w:pPr>
              <w:jc w:val="center"/>
              <w:rPr>
                <w:rFonts w:cs="Segoe UI"/>
                <w:sz w:val="17"/>
                <w:szCs w:val="17"/>
              </w:rPr>
            </w:pPr>
            <w:r w:rsidRPr="009E0DD9">
              <w:rPr>
                <w:rFonts w:cs="Segoe UI"/>
                <w:sz w:val="17"/>
                <w:szCs w:val="17"/>
              </w:rPr>
              <w:t>150%</w:t>
            </w:r>
          </w:p>
        </w:tc>
        <w:tc>
          <w:tcPr>
            <w:tcW w:w="1068" w:type="dxa"/>
            <w:tcBorders>
              <w:top w:val="single" w:sz="4" w:space="0" w:color="auto"/>
              <w:left w:val="single" w:sz="4" w:space="0" w:color="auto"/>
              <w:bottom w:val="single" w:sz="4" w:space="0" w:color="auto"/>
              <w:right w:val="single" w:sz="4" w:space="0" w:color="auto"/>
            </w:tcBorders>
            <w:vAlign w:val="center"/>
          </w:tcPr>
          <w:p w14:paraId="2CD970B0" w14:textId="77777777" w:rsidR="009E0DD9" w:rsidRPr="00CC491F" w:rsidRDefault="009E0DD9" w:rsidP="009E0DD9">
            <w:pPr>
              <w:jc w:val="center"/>
              <w:rPr>
                <w:rFonts w:ascii="細明體" w:eastAsia="細明體" w:hAnsi="細明體" w:cs="Segoe UI"/>
                <w:sz w:val="17"/>
                <w:szCs w:val="17"/>
              </w:rPr>
            </w:pPr>
            <w:proofErr w:type="spellStart"/>
            <w:r w:rsidRPr="00CC491F">
              <w:rPr>
                <w:rFonts w:ascii="細明體" w:eastAsia="細明體" w:hAnsi="細明體" w:cs="微軟正黑體" w:hint="eastAsia"/>
                <w:sz w:val="17"/>
                <w:szCs w:val="17"/>
              </w:rPr>
              <w:t>其他</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2CC4CE48" w14:textId="6D7A5DCE" w:rsidR="009E0DD9" w:rsidRPr="00792E2D" w:rsidRDefault="00792E2D" w:rsidP="009E0DD9">
            <w:pPr>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7B689EAC" w14:textId="77777777" w:rsidTr="003F2D69">
        <w:trPr>
          <w:trHeight w:val="283"/>
        </w:trPr>
        <w:tc>
          <w:tcPr>
            <w:tcW w:w="408" w:type="dxa"/>
            <w:tcBorders>
              <w:top w:val="nil"/>
              <w:left w:val="nil"/>
              <w:bottom w:val="single" w:sz="4" w:space="0" w:color="auto"/>
              <w:right w:val="single" w:sz="4" w:space="0" w:color="auto"/>
            </w:tcBorders>
          </w:tcPr>
          <w:p w14:paraId="148F3740" w14:textId="77777777" w:rsidR="009E0DD9" w:rsidRPr="009E0DD9" w:rsidRDefault="009E0DD9" w:rsidP="009E0DD9">
            <w:pPr>
              <w:spacing w:before="40" w:after="40"/>
              <w:rPr>
                <w:rFonts w:eastAsia="MS PGothic" w:cs="Segoe UI"/>
                <w:sz w:val="17"/>
                <w:szCs w:val="17"/>
                <w:lang w:eastAsia="ja-JP"/>
              </w:rPr>
            </w:pPr>
            <w:r w:rsidRPr="009E0DD9">
              <w:rPr>
                <w:rFonts w:cs="Segoe UI"/>
                <w:sz w:val="17"/>
                <w:szCs w:val="17"/>
                <w:lang w:eastAsia="en-GB"/>
              </w:rPr>
              <w:t>3a</w:t>
            </w:r>
          </w:p>
        </w:tc>
        <w:tc>
          <w:tcPr>
            <w:tcW w:w="4232" w:type="dxa"/>
            <w:tcBorders>
              <w:top w:val="single" w:sz="4" w:space="0" w:color="auto"/>
              <w:left w:val="single" w:sz="4" w:space="0" w:color="auto"/>
              <w:bottom w:val="single" w:sz="4" w:space="0" w:color="auto"/>
              <w:right w:val="single" w:sz="4" w:space="0" w:color="auto"/>
            </w:tcBorders>
          </w:tcPr>
          <w:p w14:paraId="55474A12" w14:textId="77777777" w:rsidR="009E0DD9" w:rsidRPr="00792E2D" w:rsidRDefault="009E0DD9"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HK"/>
              </w:rPr>
              <w:t>非</w:t>
            </w:r>
            <w:r w:rsidRPr="00792E2D">
              <w:rPr>
                <w:rFonts w:ascii="細明體" w:eastAsia="細明體" w:hAnsi="細明體" w:cs="微軟正黑體" w:hint="eastAsia"/>
                <w:sz w:val="17"/>
                <w:szCs w:val="17"/>
                <w:lang w:eastAsia="zh-TW"/>
              </w:rPr>
              <w:t>指明多邊組織風險承擔</w:t>
            </w:r>
          </w:p>
        </w:tc>
        <w:tc>
          <w:tcPr>
            <w:tcW w:w="1067" w:type="dxa"/>
            <w:tcBorders>
              <w:top w:val="single" w:sz="4" w:space="0" w:color="auto"/>
              <w:left w:val="single" w:sz="4" w:space="0" w:color="auto"/>
              <w:bottom w:val="single" w:sz="4" w:space="0" w:color="auto"/>
              <w:right w:val="single" w:sz="4" w:space="0" w:color="auto"/>
            </w:tcBorders>
          </w:tcPr>
          <w:p w14:paraId="2AF17ABE" w14:textId="77777777" w:rsidR="009E0DD9" w:rsidRPr="009E0DD9" w:rsidRDefault="009E0DD9" w:rsidP="009E0DD9">
            <w:pPr>
              <w:rPr>
                <w:rFonts w:cs="Segoe UI"/>
                <w:sz w:val="17"/>
                <w:szCs w:val="17"/>
                <w:lang w:eastAsia="zh-TW"/>
              </w:rPr>
            </w:pPr>
          </w:p>
        </w:tc>
        <w:tc>
          <w:tcPr>
            <w:tcW w:w="1068" w:type="dxa"/>
            <w:tcBorders>
              <w:top w:val="single" w:sz="4" w:space="0" w:color="auto"/>
              <w:left w:val="single" w:sz="4" w:space="0" w:color="auto"/>
              <w:bottom w:val="single" w:sz="4" w:space="0" w:color="auto"/>
              <w:right w:val="single" w:sz="4" w:space="0" w:color="auto"/>
            </w:tcBorders>
          </w:tcPr>
          <w:p w14:paraId="0CFE9B93" w14:textId="77777777" w:rsidR="009E0DD9" w:rsidRPr="009E0DD9" w:rsidRDefault="009E0DD9" w:rsidP="009E0DD9">
            <w:pPr>
              <w:rPr>
                <w:rFonts w:cs="Segoe UI"/>
                <w:sz w:val="17"/>
                <w:szCs w:val="17"/>
                <w:lang w:eastAsia="zh-TW"/>
              </w:rPr>
            </w:pPr>
          </w:p>
        </w:tc>
        <w:tc>
          <w:tcPr>
            <w:tcW w:w="1067" w:type="dxa"/>
            <w:tcBorders>
              <w:top w:val="single" w:sz="4" w:space="0" w:color="auto"/>
              <w:left w:val="single" w:sz="4" w:space="0" w:color="auto"/>
              <w:bottom w:val="single" w:sz="4" w:space="0" w:color="auto"/>
              <w:right w:val="single" w:sz="4" w:space="0" w:color="auto"/>
            </w:tcBorders>
          </w:tcPr>
          <w:p w14:paraId="1EA313FF" w14:textId="77777777" w:rsidR="009E0DD9" w:rsidRPr="009E0DD9" w:rsidRDefault="009E0DD9" w:rsidP="009E0DD9">
            <w:pPr>
              <w:rPr>
                <w:rFonts w:cs="Segoe UI"/>
                <w:sz w:val="17"/>
                <w:szCs w:val="17"/>
                <w:lang w:eastAsia="zh-TW"/>
              </w:rPr>
            </w:pPr>
          </w:p>
        </w:tc>
        <w:tc>
          <w:tcPr>
            <w:tcW w:w="1071" w:type="dxa"/>
            <w:tcBorders>
              <w:top w:val="single" w:sz="4" w:space="0" w:color="auto"/>
              <w:left w:val="single" w:sz="4" w:space="0" w:color="auto"/>
              <w:bottom w:val="single" w:sz="4" w:space="0" w:color="auto"/>
              <w:right w:val="single" w:sz="4" w:space="0" w:color="auto"/>
            </w:tcBorders>
          </w:tcPr>
          <w:p w14:paraId="7142DCF3" w14:textId="77777777" w:rsidR="009E0DD9" w:rsidRPr="009E0DD9" w:rsidRDefault="009E0DD9" w:rsidP="009E0DD9">
            <w:pPr>
              <w:rPr>
                <w:rFonts w:cs="Segoe UI"/>
                <w:sz w:val="17"/>
                <w:szCs w:val="17"/>
                <w:lang w:eastAsia="zh-TW"/>
              </w:rPr>
            </w:pPr>
          </w:p>
        </w:tc>
        <w:tc>
          <w:tcPr>
            <w:tcW w:w="1067" w:type="dxa"/>
            <w:tcBorders>
              <w:top w:val="single" w:sz="4" w:space="0" w:color="auto"/>
              <w:left w:val="single" w:sz="4" w:space="0" w:color="auto"/>
              <w:bottom w:val="single" w:sz="4" w:space="0" w:color="auto"/>
              <w:right w:val="single" w:sz="4" w:space="0" w:color="auto"/>
            </w:tcBorders>
          </w:tcPr>
          <w:p w14:paraId="2D2342C6" w14:textId="77777777" w:rsidR="009E0DD9" w:rsidRPr="009E0DD9" w:rsidRDefault="009E0DD9" w:rsidP="009E0DD9">
            <w:pPr>
              <w:rPr>
                <w:rFonts w:cs="Segoe UI"/>
                <w:sz w:val="17"/>
                <w:szCs w:val="17"/>
                <w:lang w:eastAsia="zh-TW"/>
              </w:rPr>
            </w:pPr>
          </w:p>
        </w:tc>
        <w:tc>
          <w:tcPr>
            <w:tcW w:w="1068" w:type="dxa"/>
            <w:tcBorders>
              <w:top w:val="single" w:sz="4" w:space="0" w:color="auto"/>
              <w:left w:val="single" w:sz="4" w:space="0" w:color="auto"/>
              <w:bottom w:val="single" w:sz="4" w:space="0" w:color="auto"/>
              <w:right w:val="single" w:sz="4" w:space="0" w:color="auto"/>
            </w:tcBorders>
          </w:tcPr>
          <w:p w14:paraId="3CC5805E" w14:textId="77777777" w:rsidR="009E0DD9" w:rsidRPr="009E0DD9" w:rsidRDefault="009E0DD9" w:rsidP="009E0DD9">
            <w:pPr>
              <w:rPr>
                <w:rFonts w:cs="Segoe UI"/>
                <w:sz w:val="17"/>
                <w:szCs w:val="17"/>
                <w:lang w:eastAsia="zh-TW"/>
              </w:rPr>
            </w:pPr>
          </w:p>
        </w:tc>
        <w:tc>
          <w:tcPr>
            <w:tcW w:w="3118" w:type="dxa"/>
            <w:tcBorders>
              <w:top w:val="single" w:sz="4" w:space="0" w:color="auto"/>
              <w:left w:val="single" w:sz="4" w:space="0" w:color="auto"/>
              <w:bottom w:val="single" w:sz="4" w:space="0" w:color="auto"/>
              <w:right w:val="single" w:sz="4" w:space="0" w:color="auto"/>
            </w:tcBorders>
          </w:tcPr>
          <w:p w14:paraId="7FDA7933" w14:textId="77777777" w:rsidR="009E0DD9" w:rsidRPr="009E0DD9" w:rsidRDefault="009E0DD9" w:rsidP="009E0DD9">
            <w:pPr>
              <w:rPr>
                <w:rFonts w:cs="Segoe UI"/>
                <w:sz w:val="17"/>
                <w:szCs w:val="17"/>
                <w:lang w:eastAsia="zh-TW"/>
              </w:rPr>
            </w:pPr>
          </w:p>
        </w:tc>
      </w:tr>
    </w:tbl>
    <w:p w14:paraId="6741C8B0" w14:textId="77777777" w:rsidR="00B3752A" w:rsidRDefault="00B3752A">
      <w:pPr>
        <w:rPr>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5"/>
        <w:gridCol w:w="4223"/>
        <w:gridCol w:w="795"/>
        <w:gridCol w:w="796"/>
        <w:gridCol w:w="795"/>
        <w:gridCol w:w="796"/>
        <w:gridCol w:w="795"/>
        <w:gridCol w:w="796"/>
        <w:gridCol w:w="795"/>
        <w:gridCol w:w="802"/>
        <w:gridCol w:w="3118"/>
      </w:tblGrid>
      <w:tr w:rsidR="009E0DD9" w:rsidRPr="009E0DD9" w14:paraId="777A346E" w14:textId="77777777" w:rsidTr="003F2D69">
        <w:trPr>
          <w:trHeight w:val="283"/>
        </w:trPr>
        <w:tc>
          <w:tcPr>
            <w:tcW w:w="455" w:type="dxa"/>
            <w:tcBorders>
              <w:top w:val="single" w:sz="4" w:space="0" w:color="auto"/>
              <w:left w:val="nil"/>
              <w:bottom w:val="nil"/>
              <w:right w:val="single" w:sz="4" w:space="0" w:color="auto"/>
            </w:tcBorders>
          </w:tcPr>
          <w:p w14:paraId="38694B79" w14:textId="77777777" w:rsidR="009E0DD9" w:rsidRPr="009E0DD9" w:rsidRDefault="009E0DD9" w:rsidP="009E0DD9">
            <w:pPr>
              <w:spacing w:before="40" w:after="40"/>
              <w:rPr>
                <w:rFonts w:cs="Segoe UI"/>
                <w:sz w:val="17"/>
                <w:szCs w:val="17"/>
                <w:lang w:eastAsia="zh-TW"/>
              </w:rPr>
            </w:pPr>
            <w:r w:rsidRPr="009E0DD9">
              <w:rPr>
                <w:rFonts w:cs="Segoe UI"/>
                <w:sz w:val="17"/>
                <w:szCs w:val="17"/>
                <w:lang w:eastAsia="zh-TW"/>
              </w:rPr>
              <w:br w:type="page"/>
            </w:r>
          </w:p>
        </w:tc>
        <w:tc>
          <w:tcPr>
            <w:tcW w:w="4223" w:type="dxa"/>
            <w:tcBorders>
              <w:top w:val="single" w:sz="4" w:space="0" w:color="auto"/>
              <w:left w:val="single" w:sz="4" w:space="0" w:color="auto"/>
              <w:bottom w:val="single" w:sz="4" w:space="0" w:color="auto"/>
              <w:right w:val="single" w:sz="4" w:space="0" w:color="auto"/>
            </w:tcBorders>
            <w:noWrap/>
          </w:tcPr>
          <w:p w14:paraId="3A812DAF" w14:textId="77777777" w:rsidR="009E0DD9" w:rsidRPr="009E0DD9" w:rsidRDefault="009E0DD9" w:rsidP="009E0DD9">
            <w:pPr>
              <w:spacing w:before="40" w:after="40"/>
              <w:rPr>
                <w:rFonts w:cs="Segoe UI"/>
                <w:sz w:val="17"/>
                <w:szCs w:val="17"/>
                <w:lang w:eastAsia="zh-TW"/>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8C26C6B"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25C5F02E"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30%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59BEE1A"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40%</w:t>
            </w:r>
          </w:p>
        </w:tc>
        <w:tc>
          <w:tcPr>
            <w:tcW w:w="796" w:type="dxa"/>
            <w:tcBorders>
              <w:top w:val="single" w:sz="4" w:space="0" w:color="auto"/>
              <w:left w:val="single" w:sz="4" w:space="0" w:color="auto"/>
              <w:bottom w:val="single" w:sz="4" w:space="0" w:color="auto"/>
              <w:right w:val="single" w:sz="4" w:space="0" w:color="auto"/>
            </w:tcBorders>
            <w:vAlign w:val="center"/>
            <w:hideMark/>
          </w:tcPr>
          <w:p w14:paraId="3A0A29AC"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795" w:type="dxa"/>
            <w:tcBorders>
              <w:top w:val="single" w:sz="4" w:space="0" w:color="auto"/>
              <w:left w:val="single" w:sz="4" w:space="0" w:color="auto"/>
              <w:bottom w:val="single" w:sz="4" w:space="0" w:color="auto"/>
              <w:right w:val="single" w:sz="4" w:space="0" w:color="auto"/>
            </w:tcBorders>
            <w:vAlign w:val="center"/>
            <w:hideMark/>
          </w:tcPr>
          <w:p w14:paraId="32ED773D"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75%</w:t>
            </w:r>
          </w:p>
        </w:tc>
        <w:tc>
          <w:tcPr>
            <w:tcW w:w="796" w:type="dxa"/>
            <w:tcBorders>
              <w:top w:val="single" w:sz="4" w:space="0" w:color="auto"/>
              <w:left w:val="single" w:sz="4" w:space="0" w:color="auto"/>
              <w:bottom w:val="single" w:sz="4" w:space="0" w:color="auto"/>
              <w:right w:val="single" w:sz="4" w:space="0" w:color="auto"/>
            </w:tcBorders>
            <w:vAlign w:val="center"/>
            <w:hideMark/>
          </w:tcPr>
          <w:p w14:paraId="5B042B2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9F7BE99"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802" w:type="dxa"/>
            <w:tcBorders>
              <w:top w:val="single" w:sz="4" w:space="0" w:color="auto"/>
              <w:left w:val="single" w:sz="4" w:space="0" w:color="auto"/>
              <w:bottom w:val="single" w:sz="4" w:space="0" w:color="auto"/>
              <w:right w:val="single" w:sz="4" w:space="0" w:color="auto"/>
            </w:tcBorders>
            <w:vAlign w:val="center"/>
            <w:hideMark/>
          </w:tcPr>
          <w:p w14:paraId="4057C81A"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02A46318" w14:textId="45D01C82" w:rsidR="009E0DD9" w:rsidRPr="00792E2D" w:rsidRDefault="00792E2D"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0A90F6D1" w14:textId="77777777" w:rsidTr="003F2D69">
        <w:trPr>
          <w:trHeight w:val="283"/>
        </w:trPr>
        <w:tc>
          <w:tcPr>
            <w:tcW w:w="455" w:type="dxa"/>
            <w:tcBorders>
              <w:top w:val="nil"/>
              <w:left w:val="nil"/>
              <w:bottom w:val="single" w:sz="4" w:space="0" w:color="auto"/>
              <w:right w:val="single" w:sz="4" w:space="0" w:color="auto"/>
            </w:tcBorders>
            <w:hideMark/>
          </w:tcPr>
          <w:p w14:paraId="263A6051"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4</w:t>
            </w:r>
          </w:p>
        </w:tc>
        <w:tc>
          <w:tcPr>
            <w:tcW w:w="4223" w:type="dxa"/>
            <w:tcBorders>
              <w:top w:val="single" w:sz="4" w:space="0" w:color="auto"/>
              <w:left w:val="single" w:sz="4" w:space="0" w:color="auto"/>
              <w:bottom w:val="single" w:sz="4" w:space="0" w:color="auto"/>
              <w:right w:val="single" w:sz="4" w:space="0" w:color="auto"/>
            </w:tcBorders>
            <w:noWrap/>
            <w:hideMark/>
          </w:tcPr>
          <w:p w14:paraId="288DD3AD" w14:textId="77777777" w:rsidR="009E0DD9" w:rsidRPr="00792E2D" w:rsidRDefault="009E0DD9" w:rsidP="009E0DD9">
            <w:pPr>
              <w:spacing w:before="40" w:after="40"/>
              <w:rPr>
                <w:rFonts w:ascii="細明體" w:eastAsia="細明體" w:hAnsi="細明體" w:cs="Segoe UI"/>
                <w:sz w:val="17"/>
                <w:szCs w:val="17"/>
                <w:lang w:eastAsia="en-GB"/>
              </w:rPr>
            </w:pPr>
            <w:r w:rsidRPr="00792E2D">
              <w:rPr>
                <w:rFonts w:ascii="細明體" w:eastAsia="細明體" w:hAnsi="細明體" w:cs="Segoe UI" w:hint="eastAsia"/>
                <w:sz w:val="17"/>
                <w:szCs w:val="17"/>
                <w:lang w:eastAsia="zh-HK"/>
              </w:rPr>
              <w:t>銀行風險承擔</w:t>
            </w:r>
          </w:p>
        </w:tc>
        <w:tc>
          <w:tcPr>
            <w:tcW w:w="795" w:type="dxa"/>
            <w:tcBorders>
              <w:top w:val="single" w:sz="4" w:space="0" w:color="auto"/>
              <w:left w:val="single" w:sz="4" w:space="0" w:color="auto"/>
              <w:bottom w:val="single" w:sz="4" w:space="0" w:color="auto"/>
              <w:right w:val="single" w:sz="4" w:space="0" w:color="auto"/>
            </w:tcBorders>
            <w:noWrap/>
          </w:tcPr>
          <w:p w14:paraId="63FE5BED" w14:textId="77777777" w:rsidR="009E0DD9" w:rsidRPr="009E0DD9" w:rsidRDefault="009E0DD9" w:rsidP="009E0DD9">
            <w:pPr>
              <w:spacing w:before="40" w:after="40"/>
              <w:rPr>
                <w:rFonts w:eastAsia="MS PGothic" w:cs="Segoe UI"/>
                <w:sz w:val="17"/>
                <w:szCs w:val="17"/>
                <w:lang w:eastAsia="ja-JP"/>
              </w:rPr>
            </w:pPr>
          </w:p>
        </w:tc>
        <w:tc>
          <w:tcPr>
            <w:tcW w:w="796" w:type="dxa"/>
            <w:tcBorders>
              <w:top w:val="single" w:sz="4" w:space="0" w:color="auto"/>
              <w:left w:val="single" w:sz="4" w:space="0" w:color="auto"/>
              <w:bottom w:val="single" w:sz="4" w:space="0" w:color="auto"/>
              <w:right w:val="single" w:sz="4" w:space="0" w:color="auto"/>
            </w:tcBorders>
            <w:noWrap/>
          </w:tcPr>
          <w:p w14:paraId="30198943" w14:textId="77777777" w:rsidR="009E0DD9" w:rsidRPr="009E0DD9" w:rsidRDefault="009E0DD9" w:rsidP="009E0DD9">
            <w:pPr>
              <w:spacing w:before="40" w:after="40"/>
              <w:rPr>
                <w:rFonts w:eastAsia="MS PGothic" w:cs="Segoe UI"/>
                <w:sz w:val="17"/>
                <w:szCs w:val="17"/>
                <w:lang w:eastAsia="ja-JP"/>
              </w:rPr>
            </w:pPr>
          </w:p>
        </w:tc>
        <w:tc>
          <w:tcPr>
            <w:tcW w:w="795" w:type="dxa"/>
            <w:tcBorders>
              <w:top w:val="single" w:sz="4" w:space="0" w:color="auto"/>
              <w:left w:val="single" w:sz="4" w:space="0" w:color="auto"/>
              <w:bottom w:val="single" w:sz="4" w:space="0" w:color="auto"/>
              <w:right w:val="single" w:sz="4" w:space="0" w:color="auto"/>
            </w:tcBorders>
            <w:noWrap/>
          </w:tcPr>
          <w:p w14:paraId="5EB393F9" w14:textId="77777777" w:rsidR="009E0DD9" w:rsidRPr="009E0DD9" w:rsidRDefault="009E0DD9" w:rsidP="009E0DD9">
            <w:pPr>
              <w:spacing w:before="40" w:after="40"/>
              <w:rPr>
                <w:rFonts w:eastAsia="MS PGothic" w:cs="Segoe UI"/>
                <w:sz w:val="17"/>
                <w:szCs w:val="17"/>
                <w:lang w:eastAsia="ja-JP"/>
              </w:rPr>
            </w:pPr>
          </w:p>
        </w:tc>
        <w:tc>
          <w:tcPr>
            <w:tcW w:w="796" w:type="dxa"/>
            <w:tcBorders>
              <w:top w:val="single" w:sz="4" w:space="0" w:color="auto"/>
              <w:left w:val="single" w:sz="4" w:space="0" w:color="auto"/>
              <w:bottom w:val="single" w:sz="4" w:space="0" w:color="auto"/>
              <w:right w:val="single" w:sz="4" w:space="0" w:color="auto"/>
            </w:tcBorders>
          </w:tcPr>
          <w:p w14:paraId="2A409FFC" w14:textId="77777777" w:rsidR="009E0DD9" w:rsidRPr="009E0DD9" w:rsidRDefault="009E0DD9" w:rsidP="009E0DD9">
            <w:pPr>
              <w:spacing w:before="40" w:after="40"/>
              <w:rPr>
                <w:rFonts w:eastAsia="MS PGothic" w:cs="Segoe UI"/>
                <w:sz w:val="17"/>
                <w:szCs w:val="17"/>
                <w:lang w:eastAsia="ja-JP"/>
              </w:rPr>
            </w:pPr>
          </w:p>
        </w:tc>
        <w:tc>
          <w:tcPr>
            <w:tcW w:w="795" w:type="dxa"/>
            <w:tcBorders>
              <w:top w:val="single" w:sz="4" w:space="0" w:color="auto"/>
              <w:left w:val="single" w:sz="4" w:space="0" w:color="auto"/>
              <w:bottom w:val="single" w:sz="4" w:space="0" w:color="auto"/>
              <w:right w:val="single" w:sz="4" w:space="0" w:color="auto"/>
            </w:tcBorders>
          </w:tcPr>
          <w:p w14:paraId="0C4648F0" w14:textId="77777777" w:rsidR="009E0DD9" w:rsidRPr="009E0DD9" w:rsidRDefault="009E0DD9" w:rsidP="009E0DD9">
            <w:pPr>
              <w:spacing w:before="40" w:after="40"/>
              <w:rPr>
                <w:rFonts w:eastAsia="MS PGothic" w:cs="Segoe UI"/>
                <w:sz w:val="17"/>
                <w:szCs w:val="17"/>
                <w:lang w:eastAsia="ja-JP"/>
              </w:rPr>
            </w:pPr>
          </w:p>
        </w:tc>
        <w:tc>
          <w:tcPr>
            <w:tcW w:w="796" w:type="dxa"/>
            <w:tcBorders>
              <w:top w:val="single" w:sz="4" w:space="0" w:color="auto"/>
              <w:left w:val="single" w:sz="4" w:space="0" w:color="auto"/>
              <w:bottom w:val="single" w:sz="4" w:space="0" w:color="auto"/>
              <w:right w:val="single" w:sz="4" w:space="0" w:color="auto"/>
            </w:tcBorders>
          </w:tcPr>
          <w:p w14:paraId="7F68D01D" w14:textId="77777777" w:rsidR="009E0DD9" w:rsidRPr="009E0DD9" w:rsidRDefault="009E0DD9" w:rsidP="009E0DD9">
            <w:pPr>
              <w:spacing w:before="40" w:after="40"/>
              <w:rPr>
                <w:rFonts w:eastAsia="MS PGothic" w:cs="Segoe UI"/>
                <w:sz w:val="17"/>
                <w:szCs w:val="17"/>
                <w:lang w:eastAsia="ja-JP"/>
              </w:rPr>
            </w:pPr>
          </w:p>
        </w:tc>
        <w:tc>
          <w:tcPr>
            <w:tcW w:w="795" w:type="dxa"/>
            <w:tcBorders>
              <w:top w:val="single" w:sz="4" w:space="0" w:color="auto"/>
              <w:left w:val="single" w:sz="4" w:space="0" w:color="auto"/>
              <w:bottom w:val="single" w:sz="4" w:space="0" w:color="auto"/>
              <w:right w:val="single" w:sz="4" w:space="0" w:color="auto"/>
            </w:tcBorders>
            <w:noWrap/>
          </w:tcPr>
          <w:p w14:paraId="7304D9D3" w14:textId="77777777" w:rsidR="009E0DD9" w:rsidRPr="009E0DD9" w:rsidRDefault="009E0DD9" w:rsidP="009E0DD9">
            <w:pPr>
              <w:spacing w:before="40" w:after="40"/>
              <w:rPr>
                <w:rFonts w:eastAsia="MS PGothic" w:cs="Segoe UI"/>
                <w:sz w:val="17"/>
                <w:szCs w:val="17"/>
                <w:lang w:eastAsia="ja-JP"/>
              </w:rPr>
            </w:pPr>
          </w:p>
        </w:tc>
        <w:tc>
          <w:tcPr>
            <w:tcW w:w="802" w:type="dxa"/>
            <w:tcBorders>
              <w:top w:val="single" w:sz="4" w:space="0" w:color="auto"/>
              <w:left w:val="single" w:sz="4" w:space="0" w:color="auto"/>
              <w:bottom w:val="single" w:sz="4" w:space="0" w:color="auto"/>
              <w:right w:val="single" w:sz="4" w:space="0" w:color="auto"/>
            </w:tcBorders>
          </w:tcPr>
          <w:p w14:paraId="1C256612"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61C98219" w14:textId="77777777" w:rsidR="009E0DD9" w:rsidRPr="009E0DD9" w:rsidRDefault="009E0DD9" w:rsidP="009E0DD9">
            <w:pPr>
              <w:spacing w:before="40" w:after="40"/>
              <w:rPr>
                <w:rFonts w:eastAsia="MS PGothic" w:cs="Segoe UI"/>
                <w:sz w:val="17"/>
                <w:szCs w:val="17"/>
                <w:lang w:eastAsia="ja-JP"/>
              </w:rPr>
            </w:pPr>
          </w:p>
        </w:tc>
      </w:tr>
    </w:tbl>
    <w:p w14:paraId="5D1685CC" w14:textId="77777777" w:rsidR="009E0DD9" w:rsidRPr="009E0DD9" w:rsidRDefault="009E0DD9" w:rsidP="009E0DD9">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8"/>
        <w:gridCol w:w="4226"/>
        <w:gridCol w:w="795"/>
        <w:gridCol w:w="796"/>
        <w:gridCol w:w="795"/>
        <w:gridCol w:w="796"/>
        <w:gridCol w:w="795"/>
        <w:gridCol w:w="796"/>
        <w:gridCol w:w="795"/>
        <w:gridCol w:w="796"/>
        <w:gridCol w:w="3118"/>
      </w:tblGrid>
      <w:tr w:rsidR="009E0DD9" w:rsidRPr="009E0DD9" w14:paraId="65896247" w14:textId="77777777" w:rsidTr="009E0DD9">
        <w:trPr>
          <w:trHeight w:val="283"/>
        </w:trPr>
        <w:tc>
          <w:tcPr>
            <w:tcW w:w="458" w:type="dxa"/>
            <w:tcBorders>
              <w:top w:val="single" w:sz="4" w:space="0" w:color="auto"/>
              <w:left w:val="nil"/>
              <w:bottom w:val="nil"/>
              <w:right w:val="single" w:sz="4" w:space="0" w:color="auto"/>
            </w:tcBorders>
          </w:tcPr>
          <w:p w14:paraId="4417CB56" w14:textId="77777777" w:rsidR="009E0DD9" w:rsidRPr="009E0DD9" w:rsidRDefault="009E0DD9" w:rsidP="009E0DD9">
            <w:pPr>
              <w:spacing w:before="40" w:after="40"/>
              <w:rPr>
                <w:rFonts w:cs="Segoe UI"/>
                <w:sz w:val="17"/>
                <w:szCs w:val="17"/>
                <w:lang w:eastAsia="en-GB"/>
              </w:rPr>
            </w:pPr>
            <w:r w:rsidRPr="009E0DD9">
              <w:rPr>
                <w:rFonts w:cs="Segoe UI"/>
                <w:sz w:val="17"/>
                <w:szCs w:val="17"/>
              </w:rPr>
              <w:br w:type="page"/>
            </w:r>
          </w:p>
        </w:tc>
        <w:tc>
          <w:tcPr>
            <w:tcW w:w="4226" w:type="dxa"/>
            <w:tcBorders>
              <w:top w:val="single" w:sz="4" w:space="0" w:color="auto"/>
              <w:left w:val="single" w:sz="4" w:space="0" w:color="auto"/>
              <w:bottom w:val="single" w:sz="4" w:space="0" w:color="auto"/>
              <w:right w:val="single" w:sz="4" w:space="0" w:color="auto"/>
            </w:tcBorders>
            <w:noWrap/>
          </w:tcPr>
          <w:p w14:paraId="5FE06F1E" w14:textId="77777777" w:rsidR="009E0DD9" w:rsidRPr="009E0DD9" w:rsidRDefault="009E0DD9" w:rsidP="009E0DD9">
            <w:pPr>
              <w:spacing w:before="40" w:after="40"/>
              <w:rPr>
                <w:rFonts w:cs="Segoe UI"/>
                <w:sz w:val="17"/>
                <w:szCs w:val="17"/>
                <w:lang w:eastAsia="en-GB"/>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13B9AD"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4FC6EB4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30%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D3CDCEF"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40%</w:t>
            </w:r>
          </w:p>
        </w:tc>
        <w:tc>
          <w:tcPr>
            <w:tcW w:w="796" w:type="dxa"/>
            <w:tcBorders>
              <w:top w:val="single" w:sz="4" w:space="0" w:color="auto"/>
              <w:left w:val="single" w:sz="4" w:space="0" w:color="auto"/>
              <w:bottom w:val="single" w:sz="4" w:space="0" w:color="auto"/>
              <w:right w:val="single" w:sz="4" w:space="0" w:color="auto"/>
            </w:tcBorders>
            <w:vAlign w:val="center"/>
            <w:hideMark/>
          </w:tcPr>
          <w:p w14:paraId="42F4840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795" w:type="dxa"/>
            <w:tcBorders>
              <w:top w:val="single" w:sz="4" w:space="0" w:color="auto"/>
              <w:left w:val="single" w:sz="4" w:space="0" w:color="auto"/>
              <w:bottom w:val="single" w:sz="4" w:space="0" w:color="auto"/>
              <w:right w:val="single" w:sz="4" w:space="0" w:color="auto"/>
            </w:tcBorders>
            <w:vAlign w:val="center"/>
            <w:hideMark/>
          </w:tcPr>
          <w:p w14:paraId="397909A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75%</w:t>
            </w:r>
          </w:p>
        </w:tc>
        <w:tc>
          <w:tcPr>
            <w:tcW w:w="796" w:type="dxa"/>
            <w:tcBorders>
              <w:top w:val="single" w:sz="4" w:space="0" w:color="auto"/>
              <w:left w:val="single" w:sz="4" w:space="0" w:color="auto"/>
              <w:bottom w:val="single" w:sz="4" w:space="0" w:color="auto"/>
              <w:right w:val="single" w:sz="4" w:space="0" w:color="auto"/>
            </w:tcBorders>
            <w:vAlign w:val="center"/>
            <w:hideMark/>
          </w:tcPr>
          <w:p w14:paraId="73735B9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8CFA6F"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796" w:type="dxa"/>
            <w:tcBorders>
              <w:top w:val="single" w:sz="4" w:space="0" w:color="auto"/>
              <w:left w:val="single" w:sz="4" w:space="0" w:color="auto"/>
              <w:bottom w:val="single" w:sz="4" w:space="0" w:color="auto"/>
              <w:right w:val="single" w:sz="4" w:space="0" w:color="auto"/>
            </w:tcBorders>
            <w:vAlign w:val="center"/>
            <w:hideMark/>
          </w:tcPr>
          <w:p w14:paraId="5A703AAE"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1E88148F" w14:textId="4BF8FECA" w:rsidR="009E0DD9" w:rsidRPr="00792E2D" w:rsidRDefault="00792E2D"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168C8386" w14:textId="77777777" w:rsidTr="009E0DD9">
        <w:trPr>
          <w:trHeight w:val="283"/>
        </w:trPr>
        <w:tc>
          <w:tcPr>
            <w:tcW w:w="458" w:type="dxa"/>
            <w:tcBorders>
              <w:top w:val="nil"/>
              <w:left w:val="nil"/>
              <w:bottom w:val="single" w:sz="4" w:space="0" w:color="auto"/>
              <w:right w:val="single" w:sz="4" w:space="0" w:color="auto"/>
            </w:tcBorders>
            <w:hideMark/>
          </w:tcPr>
          <w:p w14:paraId="628C1DB3"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4a</w:t>
            </w:r>
          </w:p>
        </w:tc>
        <w:tc>
          <w:tcPr>
            <w:tcW w:w="4226" w:type="dxa"/>
            <w:tcBorders>
              <w:top w:val="single" w:sz="4" w:space="0" w:color="auto"/>
              <w:left w:val="single" w:sz="4" w:space="0" w:color="auto"/>
              <w:bottom w:val="single" w:sz="4" w:space="0" w:color="auto"/>
              <w:right w:val="single" w:sz="4" w:space="0" w:color="auto"/>
            </w:tcBorders>
            <w:noWrap/>
            <w:hideMark/>
          </w:tcPr>
          <w:p w14:paraId="345C490D" w14:textId="77777777" w:rsidR="009E0DD9" w:rsidRPr="00792E2D" w:rsidRDefault="009E0DD9"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合資格非銀行金融機構風險承擔</w:t>
            </w:r>
          </w:p>
        </w:tc>
        <w:tc>
          <w:tcPr>
            <w:tcW w:w="795" w:type="dxa"/>
            <w:tcBorders>
              <w:top w:val="single" w:sz="4" w:space="0" w:color="auto"/>
              <w:left w:val="single" w:sz="4" w:space="0" w:color="auto"/>
              <w:bottom w:val="single" w:sz="4" w:space="0" w:color="auto"/>
              <w:right w:val="single" w:sz="4" w:space="0" w:color="auto"/>
            </w:tcBorders>
            <w:noWrap/>
          </w:tcPr>
          <w:p w14:paraId="536B3636" w14:textId="77777777" w:rsidR="009E0DD9" w:rsidRPr="009E0DD9" w:rsidRDefault="009E0DD9" w:rsidP="009E0DD9">
            <w:pPr>
              <w:spacing w:before="40" w:after="40"/>
              <w:rPr>
                <w:rFonts w:eastAsia="MS PGothic" w:cs="Segoe UI"/>
                <w:sz w:val="17"/>
                <w:szCs w:val="17"/>
                <w:lang w:eastAsia="ja-JP"/>
              </w:rPr>
            </w:pPr>
          </w:p>
        </w:tc>
        <w:tc>
          <w:tcPr>
            <w:tcW w:w="796" w:type="dxa"/>
            <w:tcBorders>
              <w:top w:val="single" w:sz="4" w:space="0" w:color="auto"/>
              <w:left w:val="single" w:sz="4" w:space="0" w:color="auto"/>
              <w:bottom w:val="single" w:sz="4" w:space="0" w:color="auto"/>
              <w:right w:val="single" w:sz="4" w:space="0" w:color="auto"/>
            </w:tcBorders>
            <w:noWrap/>
          </w:tcPr>
          <w:p w14:paraId="530BA230" w14:textId="77777777" w:rsidR="009E0DD9" w:rsidRPr="009E0DD9" w:rsidRDefault="009E0DD9" w:rsidP="009E0DD9">
            <w:pPr>
              <w:spacing w:before="40" w:after="40"/>
              <w:rPr>
                <w:rFonts w:eastAsia="MS PGothic" w:cs="Segoe UI"/>
                <w:sz w:val="17"/>
                <w:szCs w:val="17"/>
                <w:lang w:eastAsia="ja-JP"/>
              </w:rPr>
            </w:pPr>
          </w:p>
        </w:tc>
        <w:tc>
          <w:tcPr>
            <w:tcW w:w="795" w:type="dxa"/>
            <w:tcBorders>
              <w:top w:val="single" w:sz="4" w:space="0" w:color="auto"/>
              <w:left w:val="single" w:sz="4" w:space="0" w:color="auto"/>
              <w:bottom w:val="single" w:sz="4" w:space="0" w:color="auto"/>
              <w:right w:val="single" w:sz="4" w:space="0" w:color="auto"/>
            </w:tcBorders>
            <w:noWrap/>
          </w:tcPr>
          <w:p w14:paraId="0059ECD9" w14:textId="77777777" w:rsidR="009E0DD9" w:rsidRPr="009E0DD9" w:rsidRDefault="009E0DD9" w:rsidP="009E0DD9">
            <w:pPr>
              <w:spacing w:before="40" w:after="40"/>
              <w:rPr>
                <w:rFonts w:eastAsia="MS PGothic" w:cs="Segoe UI"/>
                <w:sz w:val="17"/>
                <w:szCs w:val="17"/>
                <w:lang w:eastAsia="ja-JP"/>
              </w:rPr>
            </w:pPr>
          </w:p>
        </w:tc>
        <w:tc>
          <w:tcPr>
            <w:tcW w:w="796" w:type="dxa"/>
            <w:tcBorders>
              <w:top w:val="single" w:sz="4" w:space="0" w:color="auto"/>
              <w:left w:val="single" w:sz="4" w:space="0" w:color="auto"/>
              <w:bottom w:val="single" w:sz="4" w:space="0" w:color="auto"/>
              <w:right w:val="single" w:sz="4" w:space="0" w:color="auto"/>
            </w:tcBorders>
          </w:tcPr>
          <w:p w14:paraId="14DFF968" w14:textId="77777777" w:rsidR="009E0DD9" w:rsidRPr="009E0DD9" w:rsidRDefault="009E0DD9" w:rsidP="009E0DD9">
            <w:pPr>
              <w:spacing w:before="40" w:after="40"/>
              <w:rPr>
                <w:rFonts w:eastAsia="MS PGothic" w:cs="Segoe UI"/>
                <w:sz w:val="17"/>
                <w:szCs w:val="17"/>
                <w:lang w:eastAsia="ja-JP"/>
              </w:rPr>
            </w:pPr>
          </w:p>
        </w:tc>
        <w:tc>
          <w:tcPr>
            <w:tcW w:w="795" w:type="dxa"/>
            <w:tcBorders>
              <w:top w:val="single" w:sz="4" w:space="0" w:color="auto"/>
              <w:left w:val="single" w:sz="4" w:space="0" w:color="auto"/>
              <w:bottom w:val="single" w:sz="4" w:space="0" w:color="auto"/>
              <w:right w:val="single" w:sz="4" w:space="0" w:color="auto"/>
            </w:tcBorders>
          </w:tcPr>
          <w:p w14:paraId="6F6FC393" w14:textId="77777777" w:rsidR="009E0DD9" w:rsidRPr="009E0DD9" w:rsidRDefault="009E0DD9" w:rsidP="009E0DD9">
            <w:pPr>
              <w:spacing w:before="40" w:after="40"/>
              <w:rPr>
                <w:rFonts w:eastAsia="MS PGothic" w:cs="Segoe UI"/>
                <w:sz w:val="17"/>
                <w:szCs w:val="17"/>
                <w:lang w:eastAsia="ja-JP"/>
              </w:rPr>
            </w:pPr>
          </w:p>
        </w:tc>
        <w:tc>
          <w:tcPr>
            <w:tcW w:w="796" w:type="dxa"/>
            <w:tcBorders>
              <w:top w:val="single" w:sz="4" w:space="0" w:color="auto"/>
              <w:left w:val="single" w:sz="4" w:space="0" w:color="auto"/>
              <w:bottom w:val="single" w:sz="4" w:space="0" w:color="auto"/>
              <w:right w:val="single" w:sz="4" w:space="0" w:color="auto"/>
            </w:tcBorders>
          </w:tcPr>
          <w:p w14:paraId="2DAEE0D6" w14:textId="77777777" w:rsidR="009E0DD9" w:rsidRPr="009E0DD9" w:rsidRDefault="009E0DD9" w:rsidP="009E0DD9">
            <w:pPr>
              <w:spacing w:before="40" w:after="40"/>
              <w:rPr>
                <w:rFonts w:eastAsia="MS PGothic" w:cs="Segoe UI"/>
                <w:sz w:val="17"/>
                <w:szCs w:val="17"/>
                <w:lang w:eastAsia="ja-JP"/>
              </w:rPr>
            </w:pPr>
          </w:p>
        </w:tc>
        <w:tc>
          <w:tcPr>
            <w:tcW w:w="795" w:type="dxa"/>
            <w:tcBorders>
              <w:top w:val="single" w:sz="4" w:space="0" w:color="auto"/>
              <w:left w:val="single" w:sz="4" w:space="0" w:color="auto"/>
              <w:bottom w:val="single" w:sz="4" w:space="0" w:color="auto"/>
              <w:right w:val="single" w:sz="4" w:space="0" w:color="auto"/>
            </w:tcBorders>
            <w:noWrap/>
          </w:tcPr>
          <w:p w14:paraId="28F43627" w14:textId="77777777" w:rsidR="009E0DD9" w:rsidRPr="009E0DD9" w:rsidRDefault="009E0DD9" w:rsidP="009E0DD9">
            <w:pPr>
              <w:spacing w:before="40" w:after="40"/>
              <w:rPr>
                <w:rFonts w:eastAsia="MS PGothic" w:cs="Segoe UI"/>
                <w:sz w:val="17"/>
                <w:szCs w:val="17"/>
                <w:lang w:eastAsia="ja-JP"/>
              </w:rPr>
            </w:pPr>
          </w:p>
        </w:tc>
        <w:tc>
          <w:tcPr>
            <w:tcW w:w="796" w:type="dxa"/>
            <w:tcBorders>
              <w:top w:val="single" w:sz="4" w:space="0" w:color="auto"/>
              <w:left w:val="single" w:sz="4" w:space="0" w:color="auto"/>
              <w:bottom w:val="single" w:sz="4" w:space="0" w:color="auto"/>
              <w:right w:val="single" w:sz="4" w:space="0" w:color="auto"/>
            </w:tcBorders>
          </w:tcPr>
          <w:p w14:paraId="3BCE49CA"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73F19921" w14:textId="77777777" w:rsidR="009E0DD9" w:rsidRPr="009E0DD9" w:rsidRDefault="009E0DD9" w:rsidP="009E0DD9">
            <w:pPr>
              <w:spacing w:before="40" w:after="40"/>
              <w:rPr>
                <w:rFonts w:eastAsia="MS PGothic" w:cs="Segoe UI"/>
                <w:sz w:val="17"/>
                <w:szCs w:val="17"/>
                <w:lang w:eastAsia="ja-JP"/>
              </w:rPr>
            </w:pPr>
          </w:p>
        </w:tc>
      </w:tr>
    </w:tbl>
    <w:p w14:paraId="279E5AF6" w14:textId="77777777" w:rsidR="009E0DD9" w:rsidRPr="009E0DD9" w:rsidRDefault="009E0DD9" w:rsidP="009E0DD9">
      <w:pPr>
        <w:spacing w:before="40" w:after="40"/>
        <w:rPr>
          <w:rFonts w:cs="Segoe UI"/>
          <w:sz w:val="17"/>
          <w:szCs w:val="17"/>
          <w:u w:val="single"/>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791"/>
        <w:gridCol w:w="791"/>
        <w:gridCol w:w="792"/>
        <w:gridCol w:w="791"/>
        <w:gridCol w:w="791"/>
        <w:gridCol w:w="792"/>
        <w:gridCol w:w="791"/>
        <w:gridCol w:w="791"/>
        <w:gridCol w:w="3112"/>
      </w:tblGrid>
      <w:tr w:rsidR="009E0DD9" w:rsidRPr="009E0DD9" w14:paraId="7616726E" w14:textId="77777777" w:rsidTr="009E0DD9">
        <w:trPr>
          <w:trHeight w:val="283"/>
        </w:trPr>
        <w:tc>
          <w:tcPr>
            <w:tcW w:w="459" w:type="dxa"/>
            <w:tcBorders>
              <w:top w:val="single" w:sz="4" w:space="0" w:color="auto"/>
              <w:left w:val="nil"/>
              <w:bottom w:val="nil"/>
              <w:right w:val="single" w:sz="4" w:space="0" w:color="auto"/>
            </w:tcBorders>
          </w:tcPr>
          <w:p w14:paraId="01145A73" w14:textId="77777777" w:rsidR="009E0DD9" w:rsidRPr="009E0DD9" w:rsidRDefault="009E0DD9" w:rsidP="009E0DD9">
            <w:pPr>
              <w:spacing w:before="40" w:after="40"/>
              <w:rPr>
                <w:rFonts w:cs="Segoe UI"/>
                <w:sz w:val="17"/>
                <w:szCs w:val="17"/>
                <w:lang w:eastAsia="zh-TW"/>
              </w:rPr>
            </w:pPr>
          </w:p>
        </w:tc>
        <w:tc>
          <w:tcPr>
            <w:tcW w:w="4247" w:type="dxa"/>
            <w:tcBorders>
              <w:top w:val="single" w:sz="4" w:space="0" w:color="auto"/>
              <w:left w:val="single" w:sz="4" w:space="0" w:color="auto"/>
              <w:bottom w:val="single" w:sz="4" w:space="0" w:color="auto"/>
              <w:right w:val="single" w:sz="4" w:space="0" w:color="auto"/>
            </w:tcBorders>
            <w:noWrap/>
          </w:tcPr>
          <w:p w14:paraId="04DEA168" w14:textId="77777777" w:rsidR="009E0DD9" w:rsidRPr="009E0DD9" w:rsidRDefault="009E0DD9" w:rsidP="009E0DD9">
            <w:pPr>
              <w:spacing w:before="40" w:after="40"/>
              <w:rPr>
                <w:rFonts w:cs="Segoe UI"/>
                <w:sz w:val="17"/>
                <w:szCs w:val="17"/>
                <w:lang w:eastAsia="zh-TW"/>
              </w:rPr>
            </w:pPr>
          </w:p>
        </w:tc>
        <w:tc>
          <w:tcPr>
            <w:tcW w:w="788" w:type="dxa"/>
            <w:tcBorders>
              <w:top w:val="single" w:sz="4" w:space="0" w:color="auto"/>
              <w:left w:val="single" w:sz="4" w:space="0" w:color="auto"/>
              <w:bottom w:val="single" w:sz="4" w:space="0" w:color="auto"/>
              <w:right w:val="single" w:sz="4" w:space="0" w:color="auto"/>
            </w:tcBorders>
            <w:noWrap/>
            <w:vAlign w:val="center"/>
            <w:hideMark/>
          </w:tcPr>
          <w:p w14:paraId="6BE2CC06"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w:t>
            </w:r>
          </w:p>
        </w:tc>
        <w:tc>
          <w:tcPr>
            <w:tcW w:w="788" w:type="dxa"/>
            <w:tcBorders>
              <w:top w:val="single" w:sz="4" w:space="0" w:color="auto"/>
              <w:left w:val="single" w:sz="4" w:space="0" w:color="auto"/>
              <w:bottom w:val="single" w:sz="4" w:space="0" w:color="auto"/>
              <w:right w:val="single" w:sz="4" w:space="0" w:color="auto"/>
            </w:tcBorders>
            <w:noWrap/>
            <w:vAlign w:val="center"/>
            <w:hideMark/>
          </w:tcPr>
          <w:p w14:paraId="76BA052F"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w:t>
            </w:r>
          </w:p>
        </w:tc>
        <w:tc>
          <w:tcPr>
            <w:tcW w:w="789" w:type="dxa"/>
            <w:tcBorders>
              <w:top w:val="single" w:sz="4" w:space="0" w:color="auto"/>
              <w:left w:val="single" w:sz="4" w:space="0" w:color="auto"/>
              <w:bottom w:val="single" w:sz="4" w:space="0" w:color="auto"/>
              <w:right w:val="single" w:sz="4" w:space="0" w:color="auto"/>
            </w:tcBorders>
            <w:noWrap/>
            <w:vAlign w:val="center"/>
            <w:hideMark/>
          </w:tcPr>
          <w:p w14:paraId="5965D88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788" w:type="dxa"/>
            <w:tcBorders>
              <w:top w:val="single" w:sz="4" w:space="0" w:color="auto"/>
              <w:left w:val="single" w:sz="4" w:space="0" w:color="auto"/>
              <w:bottom w:val="single" w:sz="4" w:space="0" w:color="auto"/>
              <w:right w:val="single" w:sz="4" w:space="0" w:color="auto"/>
            </w:tcBorders>
            <w:vAlign w:val="center"/>
            <w:hideMark/>
          </w:tcPr>
          <w:p w14:paraId="3330A80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6CAA1CF4"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35%</w:t>
            </w:r>
          </w:p>
        </w:tc>
        <w:tc>
          <w:tcPr>
            <w:tcW w:w="789" w:type="dxa"/>
            <w:tcBorders>
              <w:top w:val="single" w:sz="4" w:space="0" w:color="auto"/>
              <w:left w:val="single" w:sz="4" w:space="0" w:color="auto"/>
              <w:bottom w:val="single" w:sz="4" w:space="0" w:color="auto"/>
              <w:right w:val="single" w:sz="4" w:space="0" w:color="auto"/>
            </w:tcBorders>
            <w:vAlign w:val="center"/>
            <w:hideMark/>
          </w:tcPr>
          <w:p w14:paraId="5525C0BD"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788" w:type="dxa"/>
            <w:tcBorders>
              <w:top w:val="single" w:sz="4" w:space="0" w:color="auto"/>
              <w:left w:val="single" w:sz="4" w:space="0" w:color="auto"/>
              <w:bottom w:val="single" w:sz="4" w:space="0" w:color="auto"/>
              <w:right w:val="single" w:sz="4" w:space="0" w:color="auto"/>
            </w:tcBorders>
            <w:noWrap/>
            <w:vAlign w:val="center"/>
            <w:hideMark/>
          </w:tcPr>
          <w:p w14:paraId="245FF57E"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788" w:type="dxa"/>
            <w:tcBorders>
              <w:top w:val="single" w:sz="4" w:space="0" w:color="auto"/>
              <w:left w:val="single" w:sz="4" w:space="0" w:color="auto"/>
              <w:bottom w:val="single" w:sz="4" w:space="0" w:color="auto"/>
              <w:right w:val="single" w:sz="4" w:space="0" w:color="auto"/>
            </w:tcBorders>
            <w:vAlign w:val="center"/>
            <w:hideMark/>
          </w:tcPr>
          <w:p w14:paraId="1059ACA8"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00" w:type="dxa"/>
            <w:tcBorders>
              <w:top w:val="single" w:sz="4" w:space="0" w:color="auto"/>
              <w:left w:val="single" w:sz="4" w:space="0" w:color="auto"/>
              <w:bottom w:val="single" w:sz="4" w:space="0" w:color="auto"/>
              <w:right w:val="single" w:sz="4" w:space="0" w:color="auto"/>
            </w:tcBorders>
            <w:noWrap/>
            <w:vAlign w:val="center"/>
            <w:hideMark/>
          </w:tcPr>
          <w:p w14:paraId="5B416041" w14:textId="632C2ECA" w:rsidR="009E0DD9" w:rsidRPr="00792E2D" w:rsidRDefault="00792E2D" w:rsidP="009E0DD9">
            <w:pPr>
              <w:spacing w:before="40" w:after="40"/>
              <w:rPr>
                <w:rFonts w:ascii="細明體" w:eastAsia="細明體" w:hAnsi="細明體"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5A02AC3E" w14:textId="77777777" w:rsidTr="009E0DD9">
        <w:trPr>
          <w:trHeight w:val="283"/>
        </w:trPr>
        <w:tc>
          <w:tcPr>
            <w:tcW w:w="459" w:type="dxa"/>
            <w:tcBorders>
              <w:top w:val="nil"/>
              <w:left w:val="nil"/>
              <w:bottom w:val="single" w:sz="6" w:space="0" w:color="000000"/>
              <w:right w:val="single" w:sz="4" w:space="0" w:color="auto"/>
            </w:tcBorders>
            <w:hideMark/>
          </w:tcPr>
          <w:p w14:paraId="5630D77A"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5</w:t>
            </w:r>
          </w:p>
        </w:tc>
        <w:tc>
          <w:tcPr>
            <w:tcW w:w="4247" w:type="dxa"/>
            <w:tcBorders>
              <w:top w:val="single" w:sz="4" w:space="0" w:color="auto"/>
              <w:left w:val="single" w:sz="4" w:space="0" w:color="auto"/>
              <w:bottom w:val="single" w:sz="4" w:space="0" w:color="auto"/>
              <w:right w:val="single" w:sz="4" w:space="0" w:color="auto"/>
            </w:tcBorders>
            <w:noWrap/>
            <w:hideMark/>
          </w:tcPr>
          <w:p w14:paraId="2AC7445B" w14:textId="77777777" w:rsidR="009E0DD9" w:rsidRPr="00792E2D" w:rsidRDefault="009E0DD9"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合資格資產覆蓋債券風險承擔</w:t>
            </w:r>
          </w:p>
        </w:tc>
        <w:tc>
          <w:tcPr>
            <w:tcW w:w="788" w:type="dxa"/>
            <w:tcBorders>
              <w:top w:val="single" w:sz="4" w:space="0" w:color="auto"/>
              <w:left w:val="single" w:sz="4" w:space="0" w:color="auto"/>
              <w:bottom w:val="single" w:sz="4" w:space="0" w:color="auto"/>
              <w:right w:val="single" w:sz="4" w:space="0" w:color="auto"/>
            </w:tcBorders>
            <w:noWrap/>
            <w:vAlign w:val="center"/>
          </w:tcPr>
          <w:p w14:paraId="39961327" w14:textId="77777777" w:rsidR="009E0DD9" w:rsidRPr="009E0DD9" w:rsidRDefault="009E0DD9" w:rsidP="009E0DD9">
            <w:pPr>
              <w:spacing w:before="40" w:after="40"/>
              <w:rPr>
                <w:rFonts w:eastAsia="MS PGothic" w:cs="Segoe UI"/>
                <w:sz w:val="17"/>
                <w:szCs w:val="17"/>
                <w:lang w:eastAsia="ja-JP"/>
              </w:rPr>
            </w:pPr>
          </w:p>
        </w:tc>
        <w:tc>
          <w:tcPr>
            <w:tcW w:w="788" w:type="dxa"/>
            <w:tcBorders>
              <w:top w:val="single" w:sz="4" w:space="0" w:color="auto"/>
              <w:left w:val="single" w:sz="4" w:space="0" w:color="auto"/>
              <w:bottom w:val="single" w:sz="4" w:space="0" w:color="auto"/>
              <w:right w:val="single" w:sz="4" w:space="0" w:color="auto"/>
            </w:tcBorders>
            <w:noWrap/>
            <w:vAlign w:val="center"/>
          </w:tcPr>
          <w:p w14:paraId="4D698C92" w14:textId="77777777" w:rsidR="009E0DD9" w:rsidRPr="009E0DD9" w:rsidRDefault="009E0DD9" w:rsidP="009E0DD9">
            <w:pPr>
              <w:spacing w:before="40" w:after="40"/>
              <w:rPr>
                <w:rFonts w:eastAsia="MS PGothic" w:cs="Segoe UI"/>
                <w:sz w:val="17"/>
                <w:szCs w:val="17"/>
                <w:lang w:eastAsia="ja-JP"/>
              </w:rPr>
            </w:pPr>
          </w:p>
        </w:tc>
        <w:tc>
          <w:tcPr>
            <w:tcW w:w="789" w:type="dxa"/>
            <w:tcBorders>
              <w:top w:val="single" w:sz="4" w:space="0" w:color="auto"/>
              <w:left w:val="single" w:sz="4" w:space="0" w:color="auto"/>
              <w:bottom w:val="single" w:sz="4" w:space="0" w:color="auto"/>
              <w:right w:val="single" w:sz="4" w:space="0" w:color="auto"/>
            </w:tcBorders>
            <w:noWrap/>
            <w:vAlign w:val="center"/>
          </w:tcPr>
          <w:p w14:paraId="654288DD" w14:textId="77777777" w:rsidR="009E0DD9" w:rsidRPr="009E0DD9" w:rsidRDefault="009E0DD9" w:rsidP="009E0DD9">
            <w:pPr>
              <w:spacing w:before="40" w:after="40"/>
              <w:rPr>
                <w:rFonts w:eastAsia="MS PGothic" w:cs="Segoe UI"/>
                <w:sz w:val="17"/>
                <w:szCs w:val="17"/>
                <w:lang w:eastAsia="ja-JP"/>
              </w:rPr>
            </w:pPr>
          </w:p>
        </w:tc>
        <w:tc>
          <w:tcPr>
            <w:tcW w:w="788" w:type="dxa"/>
            <w:tcBorders>
              <w:top w:val="single" w:sz="4" w:space="0" w:color="auto"/>
              <w:left w:val="single" w:sz="4" w:space="0" w:color="auto"/>
              <w:bottom w:val="single" w:sz="4" w:space="0" w:color="auto"/>
              <w:right w:val="single" w:sz="4" w:space="0" w:color="auto"/>
            </w:tcBorders>
          </w:tcPr>
          <w:p w14:paraId="44897F98" w14:textId="77777777" w:rsidR="009E0DD9" w:rsidRPr="009E0DD9" w:rsidRDefault="009E0DD9" w:rsidP="009E0DD9">
            <w:pPr>
              <w:spacing w:before="40" w:after="40"/>
              <w:rPr>
                <w:rFonts w:eastAsia="MS PGothic" w:cs="Segoe UI"/>
                <w:sz w:val="17"/>
                <w:szCs w:val="17"/>
                <w:lang w:eastAsia="ja-JP"/>
              </w:rPr>
            </w:pPr>
          </w:p>
        </w:tc>
        <w:tc>
          <w:tcPr>
            <w:tcW w:w="788" w:type="dxa"/>
            <w:tcBorders>
              <w:top w:val="single" w:sz="4" w:space="0" w:color="auto"/>
              <w:left w:val="single" w:sz="4" w:space="0" w:color="auto"/>
              <w:bottom w:val="single" w:sz="4" w:space="0" w:color="auto"/>
              <w:right w:val="single" w:sz="4" w:space="0" w:color="auto"/>
            </w:tcBorders>
          </w:tcPr>
          <w:p w14:paraId="69F0C6FA" w14:textId="77777777" w:rsidR="009E0DD9" w:rsidRPr="009E0DD9" w:rsidRDefault="009E0DD9" w:rsidP="009E0DD9">
            <w:pPr>
              <w:spacing w:before="40" w:after="40"/>
              <w:rPr>
                <w:rFonts w:eastAsia="MS PGothic" w:cs="Segoe UI"/>
                <w:sz w:val="17"/>
                <w:szCs w:val="17"/>
                <w:lang w:eastAsia="ja-JP"/>
              </w:rPr>
            </w:pPr>
          </w:p>
        </w:tc>
        <w:tc>
          <w:tcPr>
            <w:tcW w:w="789" w:type="dxa"/>
            <w:tcBorders>
              <w:top w:val="single" w:sz="4" w:space="0" w:color="auto"/>
              <w:left w:val="single" w:sz="4" w:space="0" w:color="auto"/>
              <w:bottom w:val="single" w:sz="4" w:space="0" w:color="auto"/>
              <w:right w:val="single" w:sz="4" w:space="0" w:color="auto"/>
            </w:tcBorders>
          </w:tcPr>
          <w:p w14:paraId="550E6014" w14:textId="77777777" w:rsidR="009E0DD9" w:rsidRPr="009E0DD9" w:rsidRDefault="009E0DD9" w:rsidP="009E0DD9">
            <w:pPr>
              <w:spacing w:before="40" w:after="40"/>
              <w:rPr>
                <w:rFonts w:eastAsia="MS PGothic" w:cs="Segoe UI"/>
                <w:sz w:val="17"/>
                <w:szCs w:val="17"/>
                <w:lang w:eastAsia="ja-JP"/>
              </w:rPr>
            </w:pPr>
          </w:p>
        </w:tc>
        <w:tc>
          <w:tcPr>
            <w:tcW w:w="788" w:type="dxa"/>
            <w:tcBorders>
              <w:top w:val="single" w:sz="4" w:space="0" w:color="auto"/>
              <w:left w:val="single" w:sz="4" w:space="0" w:color="auto"/>
              <w:bottom w:val="single" w:sz="4" w:space="0" w:color="auto"/>
              <w:right w:val="single" w:sz="4" w:space="0" w:color="auto"/>
            </w:tcBorders>
            <w:noWrap/>
            <w:vAlign w:val="center"/>
          </w:tcPr>
          <w:p w14:paraId="2388B164" w14:textId="77777777" w:rsidR="009E0DD9" w:rsidRPr="009E0DD9" w:rsidRDefault="009E0DD9" w:rsidP="009E0DD9">
            <w:pPr>
              <w:spacing w:before="40" w:after="40"/>
              <w:rPr>
                <w:rFonts w:eastAsia="MS PGothic" w:cs="Segoe UI"/>
                <w:sz w:val="17"/>
                <w:szCs w:val="17"/>
                <w:lang w:eastAsia="ja-JP"/>
              </w:rPr>
            </w:pPr>
          </w:p>
        </w:tc>
        <w:tc>
          <w:tcPr>
            <w:tcW w:w="788" w:type="dxa"/>
            <w:tcBorders>
              <w:top w:val="single" w:sz="4" w:space="0" w:color="auto"/>
              <w:left w:val="single" w:sz="4" w:space="0" w:color="auto"/>
              <w:bottom w:val="single" w:sz="4" w:space="0" w:color="auto"/>
              <w:right w:val="single" w:sz="4" w:space="0" w:color="auto"/>
            </w:tcBorders>
          </w:tcPr>
          <w:p w14:paraId="4E09FFCD" w14:textId="77777777" w:rsidR="009E0DD9" w:rsidRPr="009E0DD9" w:rsidRDefault="009E0DD9" w:rsidP="009E0DD9">
            <w:pPr>
              <w:spacing w:before="40" w:after="40"/>
              <w:rPr>
                <w:rFonts w:eastAsia="MS PGothic" w:cs="Segoe UI"/>
                <w:sz w:val="17"/>
                <w:szCs w:val="17"/>
                <w:lang w:eastAsia="ja-JP"/>
              </w:rPr>
            </w:pPr>
          </w:p>
        </w:tc>
        <w:tc>
          <w:tcPr>
            <w:tcW w:w="3100" w:type="dxa"/>
            <w:tcBorders>
              <w:top w:val="single" w:sz="4" w:space="0" w:color="auto"/>
              <w:left w:val="single" w:sz="4" w:space="0" w:color="auto"/>
              <w:bottom w:val="single" w:sz="4" w:space="0" w:color="auto"/>
              <w:right w:val="single" w:sz="4" w:space="0" w:color="auto"/>
            </w:tcBorders>
            <w:noWrap/>
            <w:vAlign w:val="center"/>
          </w:tcPr>
          <w:p w14:paraId="70A73755" w14:textId="77777777" w:rsidR="009E0DD9" w:rsidRPr="009E0DD9" w:rsidRDefault="009E0DD9" w:rsidP="009E0DD9">
            <w:pPr>
              <w:spacing w:before="40" w:after="40"/>
              <w:rPr>
                <w:rFonts w:eastAsia="MS PGothic" w:cs="Segoe UI"/>
                <w:sz w:val="17"/>
                <w:szCs w:val="17"/>
                <w:lang w:eastAsia="ja-JP"/>
              </w:rPr>
            </w:pPr>
          </w:p>
        </w:tc>
      </w:tr>
    </w:tbl>
    <w:p w14:paraId="3396A3CF" w14:textId="77777777" w:rsidR="009E0DD9" w:rsidRPr="009E0DD9" w:rsidRDefault="009E0DD9" w:rsidP="009E0DD9">
      <w:pPr>
        <w:spacing w:before="40" w:after="40"/>
        <w:rPr>
          <w:rFonts w:cs="Segoe UI"/>
          <w:sz w:val="17"/>
          <w:szCs w:val="17"/>
          <w:u w:val="single"/>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53"/>
        <w:gridCol w:w="704"/>
        <w:gridCol w:w="704"/>
        <w:gridCol w:w="704"/>
        <w:gridCol w:w="704"/>
        <w:gridCol w:w="704"/>
        <w:gridCol w:w="704"/>
        <w:gridCol w:w="704"/>
        <w:gridCol w:w="704"/>
        <w:gridCol w:w="704"/>
        <w:gridCol w:w="3118"/>
      </w:tblGrid>
      <w:tr w:rsidR="009E0DD9" w:rsidRPr="009E0DD9" w14:paraId="1106DC80" w14:textId="77777777" w:rsidTr="009E0DD9">
        <w:trPr>
          <w:trHeight w:val="283"/>
        </w:trPr>
        <w:tc>
          <w:tcPr>
            <w:tcW w:w="459" w:type="dxa"/>
            <w:tcBorders>
              <w:top w:val="single" w:sz="4" w:space="0" w:color="auto"/>
              <w:left w:val="nil"/>
              <w:bottom w:val="nil"/>
              <w:right w:val="single" w:sz="4" w:space="0" w:color="auto"/>
            </w:tcBorders>
          </w:tcPr>
          <w:p w14:paraId="35171B82" w14:textId="77777777" w:rsidR="009E0DD9" w:rsidRPr="009E0DD9" w:rsidRDefault="009E0DD9" w:rsidP="009E0DD9">
            <w:pPr>
              <w:spacing w:before="40" w:after="40"/>
              <w:rPr>
                <w:rFonts w:cs="Segoe UI"/>
                <w:sz w:val="17"/>
                <w:szCs w:val="17"/>
                <w:lang w:eastAsia="zh-TW"/>
              </w:rPr>
            </w:pPr>
          </w:p>
        </w:tc>
        <w:tc>
          <w:tcPr>
            <w:tcW w:w="4253" w:type="dxa"/>
            <w:tcBorders>
              <w:top w:val="single" w:sz="4" w:space="0" w:color="auto"/>
              <w:left w:val="single" w:sz="4" w:space="0" w:color="auto"/>
              <w:bottom w:val="single" w:sz="4" w:space="0" w:color="auto"/>
              <w:right w:val="single" w:sz="4" w:space="0" w:color="auto"/>
            </w:tcBorders>
            <w:noWrap/>
          </w:tcPr>
          <w:p w14:paraId="528725DD" w14:textId="77777777" w:rsidR="009E0DD9" w:rsidRPr="009E0DD9" w:rsidRDefault="009E0DD9" w:rsidP="009E0DD9">
            <w:pPr>
              <w:spacing w:before="40" w:after="40"/>
              <w:rPr>
                <w:rFonts w:cs="Segoe UI"/>
                <w:sz w:val="17"/>
                <w:szCs w:val="17"/>
                <w:lang w:eastAsia="zh-TW"/>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25C46EBF"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704" w:type="dxa"/>
            <w:tcBorders>
              <w:top w:val="single" w:sz="4" w:space="0" w:color="auto"/>
              <w:left w:val="single" w:sz="4" w:space="0" w:color="auto"/>
              <w:bottom w:val="single" w:sz="4" w:space="0" w:color="auto"/>
              <w:right w:val="single" w:sz="4" w:space="0" w:color="auto"/>
            </w:tcBorders>
            <w:vAlign w:val="center"/>
          </w:tcPr>
          <w:p w14:paraId="7BD95898"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30%</w:t>
            </w: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5C28BCCC"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704" w:type="dxa"/>
            <w:tcBorders>
              <w:top w:val="single" w:sz="4" w:space="0" w:color="auto"/>
              <w:left w:val="single" w:sz="4" w:space="0" w:color="auto"/>
              <w:bottom w:val="single" w:sz="4" w:space="0" w:color="auto"/>
              <w:right w:val="single" w:sz="4" w:space="0" w:color="auto"/>
            </w:tcBorders>
            <w:vAlign w:val="center"/>
          </w:tcPr>
          <w:p w14:paraId="21DFC86F"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65%</w:t>
            </w:r>
          </w:p>
        </w:tc>
        <w:tc>
          <w:tcPr>
            <w:tcW w:w="704" w:type="dxa"/>
            <w:tcBorders>
              <w:top w:val="single" w:sz="4" w:space="0" w:color="auto"/>
              <w:left w:val="single" w:sz="4" w:space="0" w:color="auto"/>
              <w:bottom w:val="single" w:sz="4" w:space="0" w:color="auto"/>
              <w:right w:val="single" w:sz="4" w:space="0" w:color="auto"/>
            </w:tcBorders>
            <w:vAlign w:val="center"/>
            <w:hideMark/>
          </w:tcPr>
          <w:p w14:paraId="21191A80"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75%</w:t>
            </w:r>
          </w:p>
        </w:tc>
        <w:tc>
          <w:tcPr>
            <w:tcW w:w="704" w:type="dxa"/>
            <w:tcBorders>
              <w:top w:val="single" w:sz="4" w:space="0" w:color="auto"/>
              <w:left w:val="single" w:sz="4" w:space="0" w:color="auto"/>
              <w:bottom w:val="single" w:sz="4" w:space="0" w:color="auto"/>
              <w:right w:val="single" w:sz="4" w:space="0" w:color="auto"/>
            </w:tcBorders>
            <w:vAlign w:val="center"/>
            <w:hideMark/>
          </w:tcPr>
          <w:p w14:paraId="5B1A619D"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85%</w:t>
            </w:r>
          </w:p>
        </w:tc>
        <w:tc>
          <w:tcPr>
            <w:tcW w:w="704" w:type="dxa"/>
            <w:tcBorders>
              <w:top w:val="single" w:sz="4" w:space="0" w:color="auto"/>
              <w:left w:val="single" w:sz="4" w:space="0" w:color="auto"/>
              <w:bottom w:val="single" w:sz="4" w:space="0" w:color="auto"/>
              <w:right w:val="single" w:sz="4" w:space="0" w:color="auto"/>
            </w:tcBorders>
            <w:vAlign w:val="center"/>
            <w:hideMark/>
          </w:tcPr>
          <w:p w14:paraId="1E1F97F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3D155644"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704" w:type="dxa"/>
            <w:tcBorders>
              <w:top w:val="single" w:sz="4" w:space="0" w:color="auto"/>
              <w:left w:val="single" w:sz="4" w:space="0" w:color="auto"/>
              <w:bottom w:val="single" w:sz="4" w:space="0" w:color="auto"/>
              <w:right w:val="single" w:sz="4" w:space="0" w:color="auto"/>
            </w:tcBorders>
            <w:noWrap/>
            <w:vAlign w:val="center"/>
            <w:hideMark/>
          </w:tcPr>
          <w:p w14:paraId="769B3462"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B3590F5" w14:textId="7461E6CD" w:rsidR="009E0DD9" w:rsidRPr="00792E2D" w:rsidRDefault="00792E2D" w:rsidP="009E0DD9">
            <w:pPr>
              <w:spacing w:before="40" w:after="40"/>
              <w:rPr>
                <w:rFonts w:ascii="細明體" w:eastAsia="細明體" w:hAnsi="細明體"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34DE627D" w14:textId="77777777" w:rsidTr="009E0DD9">
        <w:trPr>
          <w:trHeight w:val="283"/>
        </w:trPr>
        <w:tc>
          <w:tcPr>
            <w:tcW w:w="459" w:type="dxa"/>
            <w:tcBorders>
              <w:top w:val="nil"/>
              <w:left w:val="nil"/>
              <w:bottom w:val="single" w:sz="4" w:space="0" w:color="auto"/>
              <w:right w:val="single" w:sz="4" w:space="0" w:color="auto"/>
            </w:tcBorders>
            <w:hideMark/>
          </w:tcPr>
          <w:p w14:paraId="4F45D7A4"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6</w:t>
            </w:r>
          </w:p>
        </w:tc>
        <w:tc>
          <w:tcPr>
            <w:tcW w:w="4253" w:type="dxa"/>
            <w:tcBorders>
              <w:top w:val="single" w:sz="4" w:space="0" w:color="auto"/>
              <w:left w:val="single" w:sz="4" w:space="0" w:color="auto"/>
              <w:bottom w:val="single" w:sz="4" w:space="0" w:color="auto"/>
              <w:right w:val="single" w:sz="4" w:space="0" w:color="auto"/>
            </w:tcBorders>
            <w:noWrap/>
            <w:hideMark/>
          </w:tcPr>
          <w:p w14:paraId="456E90CF" w14:textId="77777777" w:rsidR="009E0DD9" w:rsidRPr="00792E2D" w:rsidRDefault="009E0DD9" w:rsidP="009E0DD9">
            <w:pPr>
              <w:spacing w:before="40" w:after="40"/>
              <w:rPr>
                <w:rFonts w:ascii="細明體" w:eastAsia="細明體" w:hAnsi="細明體" w:cs="Segoe UI"/>
                <w:sz w:val="17"/>
                <w:szCs w:val="17"/>
                <w:lang w:eastAsia="en-GB"/>
              </w:rPr>
            </w:pPr>
            <w:proofErr w:type="spellStart"/>
            <w:r w:rsidRPr="00792E2D">
              <w:rPr>
                <w:rFonts w:ascii="細明體" w:eastAsia="細明體" w:hAnsi="細明體" w:cs="微軟正黑體" w:hint="eastAsia"/>
                <w:sz w:val="17"/>
                <w:szCs w:val="17"/>
                <w:lang w:eastAsia="en-GB"/>
              </w:rPr>
              <w:t>一般法團風險承擔</w:t>
            </w:r>
            <w:proofErr w:type="spellEnd"/>
          </w:p>
        </w:tc>
        <w:tc>
          <w:tcPr>
            <w:tcW w:w="704" w:type="dxa"/>
            <w:tcBorders>
              <w:top w:val="single" w:sz="4" w:space="0" w:color="auto"/>
              <w:left w:val="single" w:sz="4" w:space="0" w:color="auto"/>
              <w:bottom w:val="single" w:sz="4" w:space="0" w:color="auto"/>
              <w:right w:val="single" w:sz="4" w:space="0" w:color="auto"/>
            </w:tcBorders>
            <w:noWrap/>
            <w:vAlign w:val="center"/>
          </w:tcPr>
          <w:p w14:paraId="3DB6340F"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vAlign w:val="center"/>
          </w:tcPr>
          <w:p w14:paraId="11F7FBA5"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noWrap/>
            <w:vAlign w:val="center"/>
          </w:tcPr>
          <w:p w14:paraId="717D9466"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EAAAA"/>
            <w:vAlign w:val="center"/>
          </w:tcPr>
          <w:p w14:paraId="79B2F461"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615619A8"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F233BF1"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45BF5455"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31B2B"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615BD"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vAlign w:val="center"/>
          </w:tcPr>
          <w:p w14:paraId="347CDAB0" w14:textId="77777777" w:rsidR="009E0DD9" w:rsidRPr="009E0DD9" w:rsidRDefault="009E0DD9" w:rsidP="009E0DD9">
            <w:pPr>
              <w:spacing w:before="40" w:after="40"/>
              <w:rPr>
                <w:rFonts w:eastAsia="MS PGothic" w:cs="Segoe UI"/>
                <w:sz w:val="17"/>
                <w:szCs w:val="17"/>
                <w:lang w:eastAsia="ja-JP"/>
              </w:rPr>
            </w:pPr>
          </w:p>
        </w:tc>
      </w:tr>
      <w:tr w:rsidR="009E0DD9" w:rsidRPr="009E0DD9" w14:paraId="558552A9" w14:textId="77777777" w:rsidTr="009E0DD9">
        <w:trPr>
          <w:trHeight w:val="283"/>
        </w:trPr>
        <w:tc>
          <w:tcPr>
            <w:tcW w:w="459" w:type="dxa"/>
            <w:tcBorders>
              <w:top w:val="single" w:sz="4" w:space="0" w:color="auto"/>
              <w:left w:val="nil"/>
              <w:bottom w:val="single" w:sz="4" w:space="0" w:color="auto"/>
              <w:right w:val="single" w:sz="4" w:space="0" w:color="auto"/>
            </w:tcBorders>
          </w:tcPr>
          <w:p w14:paraId="52751300"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6a</w:t>
            </w:r>
          </w:p>
        </w:tc>
        <w:tc>
          <w:tcPr>
            <w:tcW w:w="4253" w:type="dxa"/>
            <w:tcBorders>
              <w:top w:val="single" w:sz="4" w:space="0" w:color="auto"/>
              <w:left w:val="single" w:sz="4" w:space="0" w:color="auto"/>
              <w:bottom w:val="single" w:sz="4" w:space="0" w:color="auto"/>
              <w:right w:val="single" w:sz="4" w:space="0" w:color="auto"/>
            </w:tcBorders>
            <w:noWrap/>
          </w:tcPr>
          <w:p w14:paraId="7066CCAD" w14:textId="77777777" w:rsidR="009E0DD9" w:rsidRPr="00792E2D" w:rsidRDefault="009E0DD9" w:rsidP="009E0DD9">
            <w:pPr>
              <w:spacing w:before="40" w:after="40"/>
              <w:ind w:left="424"/>
              <w:rPr>
                <w:rFonts w:ascii="細明體" w:eastAsia="細明體" w:hAnsi="細明體" w:cs="Segoe UI"/>
                <w:sz w:val="17"/>
                <w:szCs w:val="17"/>
                <w:lang w:eastAsia="zh-TW"/>
              </w:rPr>
            </w:pPr>
            <w:r w:rsidRPr="00792E2D">
              <w:rPr>
                <w:rFonts w:ascii="細明體" w:eastAsia="細明體" w:hAnsi="細明體" w:cs="微軟正黑體" w:hint="eastAsia"/>
                <w:sz w:val="17"/>
                <w:szCs w:val="17"/>
                <w:lang w:eastAsia="zh-TW"/>
              </w:rPr>
              <w:t>其中：非銀行金融機構風險承擔，但不包括於第</w:t>
            </w:r>
            <w:r w:rsidRPr="00A524C4">
              <w:rPr>
                <w:rFonts w:eastAsia="細明體" w:cs="Segoe UI"/>
                <w:sz w:val="17"/>
                <w:szCs w:val="17"/>
                <w:lang w:eastAsia="zh-TW"/>
              </w:rPr>
              <w:t>4a</w:t>
            </w:r>
            <w:r w:rsidRPr="00792E2D">
              <w:rPr>
                <w:rFonts w:ascii="細明體" w:eastAsia="細明體" w:hAnsi="細明體" w:cs="微軟正黑體" w:hint="eastAsia"/>
                <w:sz w:val="17"/>
                <w:szCs w:val="17"/>
                <w:lang w:eastAsia="zh-TW"/>
              </w:rPr>
              <w:t>行填報的風險承擔</w:t>
            </w:r>
          </w:p>
        </w:tc>
        <w:tc>
          <w:tcPr>
            <w:tcW w:w="704" w:type="dxa"/>
            <w:tcBorders>
              <w:top w:val="single" w:sz="4" w:space="0" w:color="auto"/>
              <w:left w:val="single" w:sz="4" w:space="0" w:color="auto"/>
              <w:bottom w:val="single" w:sz="4" w:space="0" w:color="auto"/>
              <w:right w:val="single" w:sz="4" w:space="0" w:color="auto"/>
            </w:tcBorders>
            <w:noWrap/>
          </w:tcPr>
          <w:p w14:paraId="32C6F558"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tcPr>
          <w:p w14:paraId="15BF0B69"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noWrap/>
          </w:tcPr>
          <w:p w14:paraId="5D2577D6"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EAAAA"/>
          </w:tcPr>
          <w:p w14:paraId="01732B88"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A59AB44"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1D0C25A6"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760D1D5B"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02C13E8" w14:textId="77777777" w:rsidR="009E0DD9" w:rsidRPr="009E0DD9" w:rsidRDefault="009E0DD9" w:rsidP="009E0DD9">
            <w:pPr>
              <w:spacing w:before="40" w:after="40"/>
              <w:rPr>
                <w:rFonts w:eastAsia="MS PGothic" w:cs="Segoe UI"/>
                <w:sz w:val="17"/>
                <w:szCs w:val="17"/>
                <w:lang w:eastAsia="ja-JP"/>
              </w:rPr>
            </w:pPr>
          </w:p>
        </w:tc>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604A231"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5ACF15D4" w14:textId="77777777" w:rsidR="009E0DD9" w:rsidRPr="009E0DD9" w:rsidRDefault="009E0DD9" w:rsidP="009E0DD9">
            <w:pPr>
              <w:spacing w:before="40" w:after="40"/>
              <w:rPr>
                <w:rFonts w:eastAsia="MS PGothic" w:cs="Segoe UI"/>
                <w:sz w:val="17"/>
                <w:szCs w:val="17"/>
                <w:lang w:eastAsia="ja-JP"/>
              </w:rPr>
            </w:pPr>
          </w:p>
        </w:tc>
      </w:tr>
    </w:tbl>
    <w:p w14:paraId="1E501BBA" w14:textId="0F07542E" w:rsidR="00B3752A" w:rsidRDefault="00B3752A" w:rsidP="009E0DD9">
      <w:pPr>
        <w:spacing w:before="40" w:after="40"/>
        <w:rPr>
          <w:rFonts w:cs="Segoe UI"/>
          <w:sz w:val="17"/>
          <w:szCs w:val="17"/>
          <w:u w:val="single"/>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53"/>
        <w:gridCol w:w="792"/>
        <w:gridCol w:w="792"/>
        <w:gridCol w:w="792"/>
        <w:gridCol w:w="792"/>
        <w:gridCol w:w="792"/>
        <w:gridCol w:w="792"/>
        <w:gridCol w:w="792"/>
        <w:gridCol w:w="792"/>
        <w:gridCol w:w="3118"/>
      </w:tblGrid>
      <w:tr w:rsidR="009E0DD9" w:rsidRPr="009E0DD9" w14:paraId="6EB6186D" w14:textId="77777777" w:rsidTr="009E0DD9">
        <w:trPr>
          <w:trHeight w:val="283"/>
        </w:trPr>
        <w:tc>
          <w:tcPr>
            <w:tcW w:w="459" w:type="dxa"/>
            <w:tcBorders>
              <w:top w:val="single" w:sz="4" w:space="0" w:color="auto"/>
              <w:left w:val="nil"/>
              <w:bottom w:val="nil"/>
              <w:right w:val="single" w:sz="4" w:space="0" w:color="auto"/>
            </w:tcBorders>
          </w:tcPr>
          <w:p w14:paraId="66073161" w14:textId="77777777" w:rsidR="009E0DD9" w:rsidRPr="009E0DD9" w:rsidRDefault="009E0DD9" w:rsidP="009E0DD9">
            <w:pPr>
              <w:spacing w:before="40" w:after="40"/>
              <w:rPr>
                <w:rFonts w:cs="Segoe UI"/>
                <w:sz w:val="17"/>
                <w:szCs w:val="17"/>
                <w:lang w:eastAsia="zh-TW"/>
              </w:rPr>
            </w:pPr>
          </w:p>
        </w:tc>
        <w:tc>
          <w:tcPr>
            <w:tcW w:w="4253" w:type="dxa"/>
            <w:tcBorders>
              <w:top w:val="single" w:sz="4" w:space="0" w:color="auto"/>
              <w:left w:val="single" w:sz="4" w:space="0" w:color="auto"/>
              <w:bottom w:val="single" w:sz="4" w:space="0" w:color="auto"/>
              <w:right w:val="single" w:sz="4" w:space="0" w:color="auto"/>
            </w:tcBorders>
            <w:noWrap/>
          </w:tcPr>
          <w:p w14:paraId="3CFE35C6" w14:textId="77777777" w:rsidR="009E0DD9" w:rsidRPr="009E0DD9" w:rsidRDefault="009E0DD9" w:rsidP="009E0DD9">
            <w:pPr>
              <w:spacing w:before="40" w:after="40"/>
              <w:rPr>
                <w:rFonts w:cs="Segoe UI"/>
                <w:sz w:val="17"/>
                <w:szCs w:val="17"/>
                <w:lang w:eastAsia="zh-TW"/>
              </w:rPr>
            </w:pP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7F61B71B"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2BA8044"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792" w:type="dxa"/>
            <w:tcBorders>
              <w:top w:val="single" w:sz="4" w:space="0" w:color="auto"/>
              <w:left w:val="single" w:sz="4" w:space="0" w:color="auto"/>
              <w:bottom w:val="single" w:sz="4" w:space="0" w:color="auto"/>
              <w:right w:val="single" w:sz="4" w:space="0" w:color="auto"/>
            </w:tcBorders>
            <w:vAlign w:val="center"/>
            <w:hideMark/>
          </w:tcPr>
          <w:p w14:paraId="27D79B7A"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75%</w:t>
            </w:r>
          </w:p>
        </w:tc>
        <w:tc>
          <w:tcPr>
            <w:tcW w:w="792" w:type="dxa"/>
            <w:tcBorders>
              <w:top w:val="single" w:sz="4" w:space="0" w:color="auto"/>
              <w:left w:val="single" w:sz="4" w:space="0" w:color="auto"/>
              <w:bottom w:val="single" w:sz="4" w:space="0" w:color="auto"/>
              <w:right w:val="single" w:sz="4" w:space="0" w:color="auto"/>
            </w:tcBorders>
            <w:vAlign w:val="center"/>
          </w:tcPr>
          <w:p w14:paraId="15746AF1"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80%</w:t>
            </w:r>
          </w:p>
        </w:tc>
        <w:tc>
          <w:tcPr>
            <w:tcW w:w="792" w:type="dxa"/>
            <w:tcBorders>
              <w:top w:val="single" w:sz="4" w:space="0" w:color="auto"/>
              <w:left w:val="single" w:sz="4" w:space="0" w:color="auto"/>
              <w:bottom w:val="single" w:sz="4" w:space="0" w:color="auto"/>
              <w:right w:val="single" w:sz="4" w:space="0" w:color="auto"/>
            </w:tcBorders>
            <w:vAlign w:val="center"/>
            <w:hideMark/>
          </w:tcPr>
          <w:p w14:paraId="2E376E4D"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1F8F5624"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130%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58E8789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9665C8B"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16F922BB" w14:textId="7366681F" w:rsidR="009E0DD9" w:rsidRPr="00792E2D" w:rsidRDefault="00792E2D" w:rsidP="009E0DD9">
            <w:pPr>
              <w:spacing w:before="40" w:after="40"/>
              <w:rPr>
                <w:rFonts w:ascii="細明體" w:eastAsia="細明體" w:hAnsi="細明體"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10B4E139" w14:textId="77777777" w:rsidTr="009E0DD9">
        <w:trPr>
          <w:trHeight w:val="283"/>
        </w:trPr>
        <w:tc>
          <w:tcPr>
            <w:tcW w:w="459" w:type="dxa"/>
            <w:tcBorders>
              <w:top w:val="nil"/>
              <w:left w:val="nil"/>
              <w:bottom w:val="single" w:sz="4" w:space="0" w:color="auto"/>
              <w:right w:val="single" w:sz="4" w:space="0" w:color="auto"/>
            </w:tcBorders>
            <w:hideMark/>
          </w:tcPr>
          <w:p w14:paraId="5AD40C26"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6b</w:t>
            </w:r>
          </w:p>
        </w:tc>
        <w:tc>
          <w:tcPr>
            <w:tcW w:w="4253" w:type="dxa"/>
            <w:tcBorders>
              <w:top w:val="single" w:sz="4" w:space="0" w:color="auto"/>
              <w:left w:val="single" w:sz="4" w:space="0" w:color="auto"/>
              <w:bottom w:val="single" w:sz="4" w:space="0" w:color="auto"/>
              <w:right w:val="single" w:sz="4" w:space="0" w:color="auto"/>
            </w:tcBorders>
            <w:noWrap/>
            <w:hideMark/>
          </w:tcPr>
          <w:p w14:paraId="13E30611" w14:textId="77777777" w:rsidR="009E0DD9" w:rsidRPr="00792E2D" w:rsidRDefault="009E0DD9" w:rsidP="009E0DD9">
            <w:pPr>
              <w:spacing w:before="40" w:after="40"/>
              <w:rPr>
                <w:rFonts w:ascii="細明體" w:eastAsia="細明體" w:hAnsi="細明體" w:cs="Segoe UI"/>
                <w:sz w:val="17"/>
                <w:szCs w:val="17"/>
                <w:lang w:eastAsia="en-GB"/>
              </w:rPr>
            </w:pPr>
            <w:proofErr w:type="spellStart"/>
            <w:r w:rsidRPr="00792E2D">
              <w:rPr>
                <w:rFonts w:ascii="細明體" w:eastAsia="細明體" w:hAnsi="細明體" w:cs="微軟正黑體" w:hint="eastAsia"/>
                <w:sz w:val="17"/>
                <w:szCs w:val="17"/>
                <w:lang w:eastAsia="en-GB"/>
              </w:rPr>
              <w:t>專門性借貸</w:t>
            </w:r>
            <w:proofErr w:type="spellEnd"/>
          </w:p>
        </w:tc>
        <w:tc>
          <w:tcPr>
            <w:tcW w:w="792" w:type="dxa"/>
            <w:tcBorders>
              <w:top w:val="single" w:sz="4" w:space="0" w:color="auto"/>
              <w:left w:val="single" w:sz="4" w:space="0" w:color="auto"/>
              <w:bottom w:val="single" w:sz="4" w:space="0" w:color="auto"/>
              <w:right w:val="single" w:sz="4" w:space="0" w:color="auto"/>
            </w:tcBorders>
            <w:noWrap/>
          </w:tcPr>
          <w:p w14:paraId="076C821C" w14:textId="77777777" w:rsidR="009E0DD9" w:rsidRPr="009E0DD9" w:rsidRDefault="009E0DD9" w:rsidP="009E0DD9">
            <w:pPr>
              <w:spacing w:before="40" w:after="40"/>
              <w:rPr>
                <w:rFonts w:eastAsia="MS PGothic" w:cs="Segoe UI"/>
                <w:sz w:val="17"/>
                <w:szCs w:val="17"/>
                <w:lang w:eastAsia="ja-JP"/>
              </w:rPr>
            </w:pPr>
          </w:p>
        </w:tc>
        <w:tc>
          <w:tcPr>
            <w:tcW w:w="792" w:type="dxa"/>
            <w:tcBorders>
              <w:top w:val="single" w:sz="4" w:space="0" w:color="auto"/>
              <w:left w:val="single" w:sz="4" w:space="0" w:color="auto"/>
              <w:bottom w:val="single" w:sz="4" w:space="0" w:color="auto"/>
              <w:right w:val="single" w:sz="4" w:space="0" w:color="auto"/>
            </w:tcBorders>
            <w:noWrap/>
          </w:tcPr>
          <w:p w14:paraId="68C82E08" w14:textId="77777777" w:rsidR="009E0DD9" w:rsidRPr="009E0DD9" w:rsidRDefault="009E0DD9" w:rsidP="009E0DD9">
            <w:pPr>
              <w:spacing w:before="40" w:after="40"/>
              <w:rPr>
                <w:rFonts w:eastAsia="MS PGothic" w:cs="Segoe UI"/>
                <w:sz w:val="17"/>
                <w:szCs w:val="17"/>
                <w:lang w:eastAsia="ja-JP"/>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29ADC25" w14:textId="77777777" w:rsidR="009E0DD9" w:rsidRPr="009E0DD9" w:rsidRDefault="009E0DD9" w:rsidP="009E0DD9">
            <w:pPr>
              <w:spacing w:before="40" w:after="40"/>
              <w:rPr>
                <w:rFonts w:eastAsia="MS PGothic" w:cs="Segoe UI"/>
                <w:sz w:val="17"/>
                <w:szCs w:val="17"/>
                <w:lang w:eastAsia="ja-JP"/>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9FC5F37" w14:textId="77777777" w:rsidR="009E0DD9" w:rsidRPr="009E0DD9" w:rsidRDefault="009E0DD9" w:rsidP="009E0DD9">
            <w:pPr>
              <w:spacing w:before="40" w:after="40"/>
              <w:rPr>
                <w:rFonts w:eastAsia="MS PGothic" w:cs="Segoe UI"/>
                <w:sz w:val="17"/>
                <w:szCs w:val="17"/>
                <w:lang w:eastAsia="ja-JP"/>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1DDB0C7" w14:textId="77777777" w:rsidR="009E0DD9" w:rsidRPr="009E0DD9" w:rsidRDefault="009E0DD9" w:rsidP="009E0DD9">
            <w:pPr>
              <w:spacing w:before="40" w:after="40"/>
              <w:rPr>
                <w:rFonts w:eastAsia="MS PGothic" w:cs="Segoe UI"/>
                <w:sz w:val="17"/>
                <w:szCs w:val="17"/>
                <w:lang w:eastAsia="ja-JP"/>
              </w:rPr>
            </w:pP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00D37613" w14:textId="77777777" w:rsidR="009E0DD9" w:rsidRPr="009E0DD9" w:rsidRDefault="009E0DD9" w:rsidP="009E0DD9">
            <w:pPr>
              <w:spacing w:before="40" w:after="40"/>
              <w:rPr>
                <w:rFonts w:eastAsia="MS PGothic" w:cs="Segoe UI"/>
                <w:sz w:val="17"/>
                <w:szCs w:val="17"/>
                <w:lang w:eastAsia="ja-JP"/>
              </w:rPr>
            </w:pP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4B6557B8" w14:textId="77777777" w:rsidR="009E0DD9" w:rsidRPr="009E0DD9" w:rsidRDefault="009E0DD9" w:rsidP="009E0DD9">
            <w:pPr>
              <w:spacing w:before="40" w:after="40"/>
              <w:rPr>
                <w:rFonts w:eastAsia="MS PGothic" w:cs="Segoe UI"/>
                <w:sz w:val="17"/>
                <w:szCs w:val="17"/>
                <w:lang w:eastAsia="ja-JP"/>
              </w:rPr>
            </w:pP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14:paraId="09E31D1E"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68E0BCB9" w14:textId="77777777" w:rsidR="009E0DD9" w:rsidRPr="009E0DD9" w:rsidRDefault="009E0DD9" w:rsidP="009E0DD9">
            <w:pPr>
              <w:spacing w:before="40" w:after="40"/>
              <w:rPr>
                <w:rFonts w:eastAsia="MS PGothic" w:cs="Segoe UI"/>
                <w:sz w:val="17"/>
                <w:szCs w:val="17"/>
                <w:lang w:eastAsia="ja-JP"/>
              </w:rPr>
            </w:pPr>
          </w:p>
        </w:tc>
      </w:tr>
    </w:tbl>
    <w:p w14:paraId="0630FD49" w14:textId="77777777" w:rsidR="009E0DD9" w:rsidRPr="009E0DD9" w:rsidRDefault="009E0DD9" w:rsidP="009E0DD9">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9E0DD9" w:rsidRPr="009E0DD9" w14:paraId="58BAFFB1" w14:textId="77777777" w:rsidTr="009E0DD9">
        <w:trPr>
          <w:trHeight w:val="283"/>
        </w:trPr>
        <w:tc>
          <w:tcPr>
            <w:tcW w:w="459" w:type="dxa"/>
            <w:tcBorders>
              <w:top w:val="single" w:sz="4" w:space="0" w:color="auto"/>
              <w:left w:val="nil"/>
              <w:bottom w:val="nil"/>
              <w:right w:val="single" w:sz="4" w:space="0" w:color="auto"/>
            </w:tcBorders>
          </w:tcPr>
          <w:p w14:paraId="20718821" w14:textId="77777777" w:rsidR="009E0DD9" w:rsidRPr="009E0DD9" w:rsidRDefault="009E0DD9" w:rsidP="009E0DD9">
            <w:pPr>
              <w:spacing w:before="40" w:after="40"/>
              <w:rPr>
                <w:rFonts w:cs="Segoe UI"/>
                <w:sz w:val="17"/>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3E800CB7" w14:textId="77777777" w:rsidR="009E0DD9" w:rsidRPr="009E0DD9" w:rsidRDefault="009E0DD9" w:rsidP="009E0DD9">
            <w:pPr>
              <w:spacing w:before="40" w:after="40"/>
              <w:rPr>
                <w:rFonts w:cs="Segoe UI"/>
                <w:sz w:val="17"/>
                <w:szCs w:val="17"/>
                <w:lang w:eastAsia="en-GB"/>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5174A13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1574" w:type="dxa"/>
            <w:tcBorders>
              <w:top w:val="single" w:sz="4" w:space="0" w:color="auto"/>
              <w:left w:val="single" w:sz="4" w:space="0" w:color="auto"/>
              <w:bottom w:val="single" w:sz="4" w:space="0" w:color="auto"/>
              <w:right w:val="single" w:sz="4" w:space="0" w:color="auto"/>
            </w:tcBorders>
            <w:vAlign w:val="center"/>
          </w:tcPr>
          <w:p w14:paraId="0258D768"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254C54E6"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7C61C429"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4DAF4A1C" w14:textId="6BF940AD" w:rsidR="009E0DD9" w:rsidRPr="00792E2D" w:rsidRDefault="00792E2D" w:rsidP="00792E2D">
            <w:pPr>
              <w:spacing w:before="40" w:after="40"/>
              <w:rPr>
                <w:rFonts w:ascii="細明體" w:eastAsia="細明體" w:hAnsi="細明體"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77AE8EB0" w14:textId="77777777" w:rsidTr="009E0DD9">
        <w:trPr>
          <w:trHeight w:val="283"/>
        </w:trPr>
        <w:tc>
          <w:tcPr>
            <w:tcW w:w="459" w:type="dxa"/>
            <w:tcBorders>
              <w:top w:val="nil"/>
              <w:left w:val="nil"/>
              <w:bottom w:val="single" w:sz="4" w:space="0" w:color="auto"/>
              <w:right w:val="single" w:sz="4" w:space="0" w:color="auto"/>
            </w:tcBorders>
            <w:hideMark/>
          </w:tcPr>
          <w:p w14:paraId="18F01C3E"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7</w:t>
            </w:r>
          </w:p>
        </w:tc>
        <w:tc>
          <w:tcPr>
            <w:tcW w:w="4292" w:type="dxa"/>
            <w:tcBorders>
              <w:top w:val="single" w:sz="4" w:space="0" w:color="auto"/>
              <w:left w:val="single" w:sz="4" w:space="0" w:color="auto"/>
              <w:bottom w:val="single" w:sz="4" w:space="0" w:color="auto"/>
              <w:right w:val="single" w:sz="4" w:space="0" w:color="auto"/>
            </w:tcBorders>
            <w:noWrap/>
            <w:hideMark/>
          </w:tcPr>
          <w:p w14:paraId="4E78426D" w14:textId="77777777" w:rsidR="009E0DD9" w:rsidRPr="00792E2D" w:rsidRDefault="009E0DD9" w:rsidP="009E0DD9">
            <w:pPr>
              <w:spacing w:before="40" w:after="40"/>
              <w:rPr>
                <w:rFonts w:ascii="細明體" w:eastAsia="細明體" w:hAnsi="細明體" w:cs="Segoe UI"/>
                <w:sz w:val="17"/>
                <w:szCs w:val="17"/>
                <w:lang w:eastAsia="en-GB"/>
              </w:rPr>
            </w:pPr>
            <w:proofErr w:type="spellStart"/>
            <w:r w:rsidRPr="00792E2D">
              <w:rPr>
                <w:rFonts w:ascii="細明體" w:eastAsia="細明體" w:hAnsi="細明體" w:cs="微軟正黑體" w:hint="eastAsia"/>
                <w:sz w:val="17"/>
                <w:szCs w:val="17"/>
                <w:lang w:eastAsia="en-GB"/>
              </w:rPr>
              <w:t>股權風險承擔</w:t>
            </w:r>
            <w:proofErr w:type="spellEnd"/>
          </w:p>
        </w:tc>
        <w:tc>
          <w:tcPr>
            <w:tcW w:w="1574" w:type="dxa"/>
            <w:tcBorders>
              <w:top w:val="single" w:sz="4" w:space="0" w:color="auto"/>
              <w:left w:val="single" w:sz="4" w:space="0" w:color="auto"/>
              <w:bottom w:val="single" w:sz="4" w:space="0" w:color="auto"/>
              <w:right w:val="single" w:sz="4" w:space="0" w:color="auto"/>
            </w:tcBorders>
            <w:shd w:val="clear" w:color="auto" w:fill="AEAAAA"/>
            <w:noWrap/>
          </w:tcPr>
          <w:p w14:paraId="76992982"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6CDA5F3A"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noWrap/>
          </w:tcPr>
          <w:p w14:paraId="10842FC8" w14:textId="77777777" w:rsidR="009E0DD9" w:rsidRPr="009E0DD9" w:rsidRDefault="009E0DD9" w:rsidP="009E0DD9">
            <w:pPr>
              <w:spacing w:before="40" w:after="40"/>
              <w:rPr>
                <w:rFonts w:eastAsia="MS PGothic" w:cs="Segoe UI"/>
                <w:sz w:val="17"/>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3A29BAF0"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6DF55443" w14:textId="77777777" w:rsidR="009E0DD9" w:rsidRPr="009E0DD9" w:rsidRDefault="009E0DD9" w:rsidP="009E0DD9">
            <w:pPr>
              <w:spacing w:before="40" w:after="40"/>
              <w:rPr>
                <w:rFonts w:eastAsia="MS PGothic" w:cs="Segoe UI"/>
                <w:sz w:val="17"/>
                <w:szCs w:val="17"/>
                <w:lang w:eastAsia="ja-JP"/>
              </w:rPr>
            </w:pPr>
          </w:p>
        </w:tc>
      </w:tr>
    </w:tbl>
    <w:p w14:paraId="7EA4FBFB" w14:textId="77777777" w:rsidR="009E0DD9" w:rsidRPr="009E0DD9" w:rsidRDefault="009E0DD9" w:rsidP="009E0DD9">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9E0DD9" w:rsidRPr="009E0DD9" w14:paraId="1EB1E996" w14:textId="77777777" w:rsidTr="009E0DD9">
        <w:trPr>
          <w:trHeight w:val="283"/>
        </w:trPr>
        <w:tc>
          <w:tcPr>
            <w:tcW w:w="459" w:type="dxa"/>
            <w:tcBorders>
              <w:top w:val="single" w:sz="4" w:space="0" w:color="auto"/>
              <w:left w:val="nil"/>
              <w:bottom w:val="nil"/>
              <w:right w:val="single" w:sz="4" w:space="0" w:color="auto"/>
            </w:tcBorders>
          </w:tcPr>
          <w:p w14:paraId="1A63CABD" w14:textId="77777777" w:rsidR="009E0DD9" w:rsidRPr="009E0DD9" w:rsidRDefault="009E0DD9" w:rsidP="009E0DD9">
            <w:pPr>
              <w:spacing w:before="40" w:after="40"/>
              <w:rPr>
                <w:rFonts w:cs="Segoe UI"/>
                <w:sz w:val="17"/>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01658690" w14:textId="77777777" w:rsidR="009E0DD9" w:rsidRPr="009E0DD9" w:rsidRDefault="009E0DD9" w:rsidP="009E0DD9">
            <w:pPr>
              <w:spacing w:before="40" w:after="40"/>
              <w:rPr>
                <w:rFonts w:cs="Segoe UI"/>
                <w:sz w:val="17"/>
                <w:szCs w:val="17"/>
                <w:lang w:eastAsia="en-GB"/>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2EE7E3E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111E16F8"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400%</w:t>
            </w:r>
          </w:p>
        </w:tc>
        <w:tc>
          <w:tcPr>
            <w:tcW w:w="1574" w:type="dxa"/>
            <w:tcBorders>
              <w:top w:val="single" w:sz="4" w:space="0" w:color="auto"/>
              <w:left w:val="single" w:sz="4" w:space="0" w:color="auto"/>
              <w:bottom w:val="single" w:sz="4" w:space="0" w:color="auto"/>
              <w:right w:val="single" w:sz="4" w:space="0" w:color="auto"/>
            </w:tcBorders>
            <w:vAlign w:val="center"/>
          </w:tcPr>
          <w:p w14:paraId="4A63DA1C"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1250%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73B3343B" w14:textId="77777777" w:rsidR="009E0DD9" w:rsidRPr="00792E2D" w:rsidRDefault="009E0DD9" w:rsidP="009E0DD9">
            <w:pPr>
              <w:spacing w:before="40" w:after="40"/>
              <w:jc w:val="center"/>
              <w:rPr>
                <w:rFonts w:ascii="細明體" w:eastAsia="細明體" w:hAnsi="細明體" w:cs="Segoe UI"/>
                <w:sz w:val="17"/>
                <w:szCs w:val="17"/>
                <w:lang w:eastAsia="ja-JP"/>
              </w:rPr>
            </w:pPr>
            <w:r w:rsidRPr="00792E2D">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3CE7ABAD" w14:textId="4BE28E3F" w:rsidR="009E0DD9" w:rsidRPr="00792E2D" w:rsidRDefault="009E0DD9" w:rsidP="009E0DD9">
            <w:pPr>
              <w:spacing w:before="40" w:after="40"/>
              <w:rPr>
                <w:rFonts w:ascii="細明體" w:eastAsia="細明體" w:hAnsi="細明體"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00792E2D"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72CA4577" w14:textId="77777777" w:rsidTr="009E0DD9">
        <w:trPr>
          <w:trHeight w:val="283"/>
        </w:trPr>
        <w:tc>
          <w:tcPr>
            <w:tcW w:w="459" w:type="dxa"/>
            <w:tcBorders>
              <w:top w:val="nil"/>
              <w:left w:val="nil"/>
              <w:bottom w:val="single" w:sz="4" w:space="0" w:color="auto"/>
              <w:right w:val="single" w:sz="4" w:space="0" w:color="auto"/>
            </w:tcBorders>
            <w:hideMark/>
          </w:tcPr>
          <w:p w14:paraId="2A5ADBE3"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7a</w:t>
            </w:r>
          </w:p>
        </w:tc>
        <w:tc>
          <w:tcPr>
            <w:tcW w:w="4292" w:type="dxa"/>
            <w:tcBorders>
              <w:top w:val="single" w:sz="4" w:space="0" w:color="auto"/>
              <w:left w:val="single" w:sz="4" w:space="0" w:color="auto"/>
              <w:bottom w:val="single" w:sz="4" w:space="0" w:color="auto"/>
              <w:right w:val="single" w:sz="4" w:space="0" w:color="auto"/>
            </w:tcBorders>
            <w:noWrap/>
            <w:hideMark/>
          </w:tcPr>
          <w:p w14:paraId="7AB2565F" w14:textId="77777777" w:rsidR="009E0DD9" w:rsidRPr="00792E2D" w:rsidRDefault="009E0DD9" w:rsidP="009E0DD9">
            <w:pPr>
              <w:spacing w:before="40" w:after="40"/>
              <w:rPr>
                <w:rFonts w:ascii="細明體" w:eastAsia="細明體" w:hAnsi="細明體" w:cs="Segoe UI"/>
                <w:sz w:val="17"/>
                <w:szCs w:val="17"/>
                <w:lang w:eastAsia="zh-TW"/>
              </w:rPr>
            </w:pPr>
            <w:r w:rsidRPr="00792E2D">
              <w:rPr>
                <w:rFonts w:ascii="細明體" w:eastAsia="細明體" w:hAnsi="細明體" w:cs="微軟正黑體" w:hint="eastAsia"/>
                <w:bCs/>
                <w:sz w:val="17"/>
                <w:szCs w:val="17"/>
                <w:lang w:eastAsia="zh-TW"/>
              </w:rPr>
              <w:t>對商業實體的重大資本投資</w:t>
            </w:r>
          </w:p>
        </w:tc>
        <w:tc>
          <w:tcPr>
            <w:tcW w:w="1574" w:type="dxa"/>
            <w:tcBorders>
              <w:top w:val="single" w:sz="4" w:space="0" w:color="auto"/>
              <w:left w:val="single" w:sz="4" w:space="0" w:color="auto"/>
              <w:bottom w:val="single" w:sz="4" w:space="0" w:color="auto"/>
              <w:right w:val="single" w:sz="4" w:space="0" w:color="auto"/>
            </w:tcBorders>
            <w:noWrap/>
          </w:tcPr>
          <w:p w14:paraId="26A88295"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noWrap/>
          </w:tcPr>
          <w:p w14:paraId="29A66293"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6F207013" w14:textId="77777777" w:rsidR="009E0DD9" w:rsidRPr="009E0DD9" w:rsidRDefault="009E0DD9" w:rsidP="009E0DD9">
            <w:pPr>
              <w:spacing w:before="40" w:after="40"/>
              <w:rPr>
                <w:rFonts w:eastAsia="MS PGothic" w:cs="Segoe UI"/>
                <w:sz w:val="17"/>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4A787E77"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0B9874EC" w14:textId="77777777" w:rsidR="009E0DD9" w:rsidRPr="009E0DD9" w:rsidRDefault="009E0DD9" w:rsidP="009E0DD9">
            <w:pPr>
              <w:spacing w:before="40" w:after="40"/>
              <w:rPr>
                <w:rFonts w:eastAsia="MS PGothic" w:cs="Segoe UI"/>
                <w:sz w:val="17"/>
                <w:szCs w:val="17"/>
                <w:lang w:eastAsia="ja-JP"/>
              </w:rPr>
            </w:pPr>
          </w:p>
        </w:tc>
      </w:tr>
    </w:tbl>
    <w:p w14:paraId="54D7EE39" w14:textId="77777777" w:rsidR="009E0DD9" w:rsidRPr="009E0DD9" w:rsidRDefault="009E0DD9" w:rsidP="009E0DD9">
      <w:pPr>
        <w:spacing w:before="40" w:after="40"/>
        <w:rPr>
          <w:rFonts w:cs="Segoe UI"/>
          <w:sz w:val="17"/>
          <w:szCs w:val="17"/>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9E0DD9" w:rsidRPr="009E0DD9" w14:paraId="4370E5F1" w14:textId="77777777" w:rsidTr="009E0DD9">
        <w:trPr>
          <w:trHeight w:val="283"/>
        </w:trPr>
        <w:tc>
          <w:tcPr>
            <w:tcW w:w="459" w:type="dxa"/>
            <w:tcBorders>
              <w:top w:val="single" w:sz="4" w:space="0" w:color="auto"/>
              <w:left w:val="nil"/>
              <w:bottom w:val="nil"/>
              <w:right w:val="single" w:sz="4" w:space="0" w:color="auto"/>
            </w:tcBorders>
          </w:tcPr>
          <w:p w14:paraId="7ADAF49E" w14:textId="77777777" w:rsidR="009E0DD9" w:rsidRPr="009E0DD9" w:rsidRDefault="009E0DD9" w:rsidP="009E0DD9">
            <w:pPr>
              <w:spacing w:before="40" w:after="40"/>
              <w:rPr>
                <w:rFonts w:cs="Segoe UI"/>
                <w:sz w:val="17"/>
                <w:szCs w:val="17"/>
                <w:lang w:eastAsia="zh-TW"/>
              </w:rPr>
            </w:pPr>
          </w:p>
        </w:tc>
        <w:tc>
          <w:tcPr>
            <w:tcW w:w="4292" w:type="dxa"/>
            <w:tcBorders>
              <w:top w:val="single" w:sz="4" w:space="0" w:color="auto"/>
              <w:left w:val="single" w:sz="4" w:space="0" w:color="auto"/>
              <w:bottom w:val="single" w:sz="4" w:space="0" w:color="auto"/>
              <w:right w:val="single" w:sz="4" w:space="0" w:color="auto"/>
            </w:tcBorders>
            <w:noWrap/>
          </w:tcPr>
          <w:p w14:paraId="3CE75187" w14:textId="77777777" w:rsidR="009E0DD9" w:rsidRPr="009E0DD9" w:rsidRDefault="009E0DD9" w:rsidP="009E0DD9">
            <w:pPr>
              <w:spacing w:before="40" w:after="40"/>
              <w:rPr>
                <w:rFonts w:cs="Segoe UI"/>
                <w:sz w:val="17"/>
                <w:szCs w:val="17"/>
                <w:lang w:eastAsia="zh-TW"/>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112F72E6"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457A6A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11A0A731"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5B3AAC76"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4F70467" w14:textId="4088DFFF" w:rsidR="009E0DD9" w:rsidRPr="009E0DD9" w:rsidRDefault="00CC491F" w:rsidP="00CC491F">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04BE4101" w14:textId="77777777" w:rsidTr="009E0DD9">
        <w:trPr>
          <w:trHeight w:val="283"/>
        </w:trPr>
        <w:tc>
          <w:tcPr>
            <w:tcW w:w="459" w:type="dxa"/>
            <w:tcBorders>
              <w:top w:val="nil"/>
              <w:left w:val="nil"/>
              <w:bottom w:val="single" w:sz="4" w:space="0" w:color="auto"/>
              <w:right w:val="single" w:sz="4" w:space="0" w:color="auto"/>
            </w:tcBorders>
            <w:hideMark/>
          </w:tcPr>
          <w:p w14:paraId="5D323893"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7b</w:t>
            </w:r>
          </w:p>
        </w:tc>
        <w:tc>
          <w:tcPr>
            <w:tcW w:w="4292" w:type="dxa"/>
            <w:tcBorders>
              <w:top w:val="single" w:sz="4" w:space="0" w:color="auto"/>
              <w:left w:val="single" w:sz="4" w:space="0" w:color="auto"/>
              <w:bottom w:val="single" w:sz="4" w:space="0" w:color="auto"/>
              <w:right w:val="single" w:sz="4" w:space="0" w:color="auto"/>
            </w:tcBorders>
            <w:noWrap/>
            <w:hideMark/>
          </w:tcPr>
          <w:p w14:paraId="6AB13A10" w14:textId="77777777" w:rsidR="009E0DD9" w:rsidRPr="00CC491F" w:rsidRDefault="009E0DD9" w:rsidP="009E0DD9">
            <w:pPr>
              <w:spacing w:before="40" w:after="40"/>
              <w:rPr>
                <w:rFonts w:cs="Segoe UI"/>
                <w:sz w:val="17"/>
                <w:szCs w:val="17"/>
                <w:lang w:eastAsia="zh-TW"/>
              </w:rPr>
            </w:pPr>
            <w:r w:rsidRPr="00CC491F">
              <w:rPr>
                <w:rFonts w:ascii="細明體" w:eastAsia="細明體" w:hAnsi="細明體" w:cs="微軟正黑體" w:hint="eastAsia"/>
                <w:sz w:val="17"/>
                <w:szCs w:val="17"/>
                <w:lang w:eastAsia="zh-TW"/>
              </w:rPr>
              <w:t>持有由金融業實體發行的資本票據及</w:t>
            </w:r>
            <w:r w:rsidRPr="00CC491F">
              <w:rPr>
                <w:rFonts w:ascii="細明體" w:eastAsia="細明體" w:hAnsi="細明體" w:cs="微軟正黑體" w:hint="eastAsia"/>
                <w:sz w:val="17"/>
                <w:szCs w:val="17"/>
                <w:lang w:eastAsia="zh-HK"/>
              </w:rPr>
              <w:t>該等</w:t>
            </w:r>
            <w:r w:rsidRPr="00CC491F">
              <w:rPr>
                <w:rFonts w:ascii="細明體" w:eastAsia="細明體" w:hAnsi="細明體" w:cs="微軟正黑體" w:hint="eastAsia"/>
                <w:sz w:val="17"/>
                <w:szCs w:val="17"/>
                <w:lang w:eastAsia="zh-TW"/>
              </w:rPr>
              <w:t>實體的非資本</w:t>
            </w:r>
            <w:r w:rsidRPr="00CC491F">
              <w:rPr>
                <w:rFonts w:cs="Segoe UI"/>
                <w:sz w:val="17"/>
                <w:szCs w:val="17"/>
                <w:lang w:eastAsia="zh-TW"/>
              </w:rPr>
              <w:t>LAC</w:t>
            </w:r>
            <w:r w:rsidRPr="00CC491F">
              <w:rPr>
                <w:rFonts w:ascii="細明體" w:eastAsia="細明體" w:hAnsi="細明體" w:cs="微軟正黑體" w:hint="eastAsia"/>
                <w:sz w:val="17"/>
                <w:szCs w:val="17"/>
                <w:lang w:eastAsia="zh-TW"/>
              </w:rPr>
              <w:t>負債</w:t>
            </w:r>
          </w:p>
        </w:tc>
        <w:tc>
          <w:tcPr>
            <w:tcW w:w="1574" w:type="dxa"/>
            <w:tcBorders>
              <w:top w:val="single" w:sz="4" w:space="0" w:color="auto"/>
              <w:left w:val="single" w:sz="4" w:space="0" w:color="auto"/>
              <w:bottom w:val="single" w:sz="4" w:space="0" w:color="auto"/>
              <w:right w:val="single" w:sz="4" w:space="0" w:color="auto"/>
            </w:tcBorders>
            <w:noWrap/>
          </w:tcPr>
          <w:p w14:paraId="2C0D6FC6"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1A85D15A"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noWrap/>
          </w:tcPr>
          <w:p w14:paraId="1ABD3C0B" w14:textId="77777777" w:rsidR="009E0DD9" w:rsidRPr="009E0DD9" w:rsidRDefault="009E0DD9" w:rsidP="009E0DD9">
            <w:pPr>
              <w:spacing w:before="40" w:after="40"/>
              <w:rPr>
                <w:rFonts w:eastAsia="MS PGothic" w:cs="Segoe UI"/>
                <w:sz w:val="17"/>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68B53D5F"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0C005B61" w14:textId="77777777" w:rsidR="009E0DD9" w:rsidRPr="009E0DD9" w:rsidRDefault="009E0DD9" w:rsidP="009E0DD9">
            <w:pPr>
              <w:spacing w:before="40" w:after="40"/>
              <w:rPr>
                <w:rFonts w:eastAsia="MS PGothic" w:cs="Segoe UI"/>
                <w:sz w:val="17"/>
                <w:szCs w:val="17"/>
                <w:lang w:eastAsia="ja-JP"/>
              </w:rPr>
            </w:pPr>
          </w:p>
        </w:tc>
      </w:tr>
    </w:tbl>
    <w:p w14:paraId="11D06FA6" w14:textId="77777777" w:rsidR="009E0DD9" w:rsidRPr="009E0DD9" w:rsidRDefault="009E0DD9" w:rsidP="009E0DD9">
      <w:pPr>
        <w:spacing w:before="40" w:after="40"/>
        <w:rPr>
          <w:rFonts w:cs="Segoe UI"/>
          <w:sz w:val="17"/>
          <w:szCs w:val="17"/>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3148"/>
        <w:gridCol w:w="3149"/>
        <w:gridCol w:w="3112"/>
      </w:tblGrid>
      <w:tr w:rsidR="009E0DD9" w:rsidRPr="009E0DD9" w14:paraId="33A84491" w14:textId="77777777" w:rsidTr="009E0DD9">
        <w:trPr>
          <w:trHeight w:val="283"/>
        </w:trPr>
        <w:tc>
          <w:tcPr>
            <w:tcW w:w="459" w:type="dxa"/>
            <w:tcBorders>
              <w:top w:val="single" w:sz="4" w:space="0" w:color="auto"/>
              <w:left w:val="nil"/>
              <w:bottom w:val="nil"/>
              <w:right w:val="single" w:sz="4" w:space="0" w:color="auto"/>
            </w:tcBorders>
          </w:tcPr>
          <w:p w14:paraId="0457F432" w14:textId="77777777" w:rsidR="009E0DD9" w:rsidRPr="009E0DD9" w:rsidRDefault="009E0DD9" w:rsidP="009E0DD9">
            <w:pPr>
              <w:spacing w:before="40" w:after="40"/>
              <w:rPr>
                <w:rFonts w:cs="Segoe UI"/>
                <w:sz w:val="17"/>
                <w:szCs w:val="17"/>
                <w:lang w:eastAsia="zh-TW"/>
              </w:rPr>
            </w:pPr>
          </w:p>
        </w:tc>
        <w:tc>
          <w:tcPr>
            <w:tcW w:w="4292" w:type="dxa"/>
            <w:tcBorders>
              <w:top w:val="single" w:sz="4" w:space="0" w:color="auto"/>
              <w:left w:val="single" w:sz="4" w:space="0" w:color="auto"/>
              <w:bottom w:val="single" w:sz="4" w:space="0" w:color="auto"/>
              <w:right w:val="single" w:sz="4" w:space="0" w:color="auto"/>
            </w:tcBorders>
            <w:noWrap/>
          </w:tcPr>
          <w:p w14:paraId="3D3FE12E" w14:textId="77777777" w:rsidR="009E0DD9" w:rsidRPr="009E0DD9" w:rsidRDefault="009E0DD9" w:rsidP="009E0DD9">
            <w:pPr>
              <w:spacing w:before="40" w:after="40"/>
              <w:rPr>
                <w:rFonts w:cs="Segoe UI"/>
                <w:sz w:val="17"/>
                <w:szCs w:val="17"/>
                <w:lang w:eastAsia="zh-TW"/>
              </w:rPr>
            </w:pPr>
          </w:p>
        </w:tc>
        <w:tc>
          <w:tcPr>
            <w:tcW w:w="3148" w:type="dxa"/>
            <w:tcBorders>
              <w:top w:val="single" w:sz="4" w:space="0" w:color="auto"/>
              <w:left w:val="single" w:sz="4" w:space="0" w:color="auto"/>
              <w:bottom w:val="single" w:sz="4" w:space="0" w:color="auto"/>
              <w:right w:val="single" w:sz="4" w:space="0" w:color="auto"/>
            </w:tcBorders>
            <w:noWrap/>
            <w:vAlign w:val="center"/>
          </w:tcPr>
          <w:p w14:paraId="56AE725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3149" w:type="dxa"/>
            <w:tcBorders>
              <w:top w:val="single" w:sz="4" w:space="0" w:color="auto"/>
              <w:left w:val="single" w:sz="4" w:space="0" w:color="auto"/>
              <w:bottom w:val="single" w:sz="4" w:space="0" w:color="auto"/>
              <w:right w:val="single" w:sz="4" w:space="0" w:color="auto"/>
            </w:tcBorders>
            <w:vAlign w:val="center"/>
          </w:tcPr>
          <w:p w14:paraId="7D6511CC" w14:textId="77777777" w:rsidR="009E0DD9" w:rsidRPr="00CC491F" w:rsidRDefault="009E0DD9" w:rsidP="009E0DD9">
            <w:pPr>
              <w:spacing w:before="40" w:after="40"/>
              <w:jc w:val="center"/>
              <w:rPr>
                <w:rFonts w:ascii="細明體" w:eastAsia="細明體" w:hAnsi="細明體" w:cs="Segoe UI"/>
                <w:sz w:val="17"/>
                <w:szCs w:val="17"/>
                <w:lang w:eastAsia="ja-JP"/>
              </w:rPr>
            </w:pPr>
            <w:r w:rsidRPr="00CC491F">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2968C708" w14:textId="0EC09AD6" w:rsidR="009E0DD9" w:rsidRPr="009E0DD9" w:rsidRDefault="00CC491F" w:rsidP="009E0DD9">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3409A25C" w14:textId="77777777" w:rsidTr="009E0DD9">
        <w:trPr>
          <w:trHeight w:val="283"/>
        </w:trPr>
        <w:tc>
          <w:tcPr>
            <w:tcW w:w="459" w:type="dxa"/>
            <w:tcBorders>
              <w:top w:val="nil"/>
              <w:left w:val="nil"/>
              <w:bottom w:val="single" w:sz="4" w:space="0" w:color="auto"/>
              <w:right w:val="single" w:sz="4" w:space="0" w:color="auto"/>
            </w:tcBorders>
            <w:hideMark/>
          </w:tcPr>
          <w:p w14:paraId="595B2D2A"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7c</w:t>
            </w:r>
          </w:p>
        </w:tc>
        <w:tc>
          <w:tcPr>
            <w:tcW w:w="4292" w:type="dxa"/>
            <w:tcBorders>
              <w:top w:val="single" w:sz="4" w:space="0" w:color="auto"/>
              <w:left w:val="single" w:sz="4" w:space="0" w:color="auto"/>
              <w:bottom w:val="single" w:sz="4" w:space="0" w:color="auto"/>
              <w:right w:val="single" w:sz="4" w:space="0" w:color="auto"/>
            </w:tcBorders>
            <w:noWrap/>
            <w:hideMark/>
          </w:tcPr>
          <w:p w14:paraId="19E090D5" w14:textId="77777777" w:rsidR="009E0DD9" w:rsidRPr="00CC491F" w:rsidRDefault="009E0DD9" w:rsidP="009E0DD9">
            <w:pPr>
              <w:spacing w:before="40" w:after="40"/>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HK"/>
              </w:rPr>
              <w:t>由</w:t>
            </w:r>
            <w:r w:rsidRPr="00CC491F">
              <w:rPr>
                <w:rFonts w:ascii="細明體" w:eastAsia="細明體" w:hAnsi="細明體" w:cs="微軟正黑體" w:hint="eastAsia"/>
                <w:sz w:val="17"/>
                <w:szCs w:val="17"/>
                <w:lang w:eastAsia="zh-TW"/>
              </w:rPr>
              <w:t>銀行、合資格非銀行金融機構及法團發行的後償債項</w:t>
            </w:r>
          </w:p>
        </w:tc>
        <w:tc>
          <w:tcPr>
            <w:tcW w:w="3148" w:type="dxa"/>
            <w:tcBorders>
              <w:top w:val="single" w:sz="4" w:space="0" w:color="auto"/>
              <w:left w:val="single" w:sz="4" w:space="0" w:color="auto"/>
              <w:bottom w:val="single" w:sz="4" w:space="0" w:color="auto"/>
              <w:right w:val="single" w:sz="4" w:space="0" w:color="auto"/>
            </w:tcBorders>
            <w:noWrap/>
          </w:tcPr>
          <w:p w14:paraId="5720F66C" w14:textId="77777777" w:rsidR="009E0DD9" w:rsidRPr="009E0DD9" w:rsidRDefault="009E0DD9" w:rsidP="009E0DD9">
            <w:pPr>
              <w:spacing w:before="40" w:after="40"/>
              <w:rPr>
                <w:rFonts w:eastAsia="MS PGothic" w:cs="Segoe UI"/>
                <w:sz w:val="17"/>
                <w:szCs w:val="17"/>
                <w:lang w:eastAsia="ja-JP"/>
              </w:rPr>
            </w:pPr>
          </w:p>
        </w:tc>
        <w:tc>
          <w:tcPr>
            <w:tcW w:w="3149" w:type="dxa"/>
            <w:tcBorders>
              <w:top w:val="single" w:sz="4" w:space="0" w:color="auto"/>
              <w:left w:val="single" w:sz="4" w:space="0" w:color="auto"/>
              <w:bottom w:val="single" w:sz="4" w:space="0" w:color="auto"/>
              <w:right w:val="single" w:sz="4" w:space="0" w:color="auto"/>
            </w:tcBorders>
          </w:tcPr>
          <w:p w14:paraId="269A6C2C"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0D348CC9" w14:textId="77777777" w:rsidR="009E0DD9" w:rsidRPr="009E0DD9" w:rsidRDefault="009E0DD9" w:rsidP="009E0DD9">
            <w:pPr>
              <w:spacing w:before="40" w:after="40"/>
              <w:rPr>
                <w:rFonts w:eastAsia="MS PGothic" w:cs="Segoe UI"/>
                <w:sz w:val="17"/>
                <w:szCs w:val="17"/>
                <w:lang w:eastAsia="ja-JP"/>
              </w:rPr>
            </w:pPr>
          </w:p>
        </w:tc>
      </w:tr>
    </w:tbl>
    <w:p w14:paraId="70A664C2" w14:textId="77777777" w:rsidR="009E0DD9" w:rsidRPr="009E0DD9" w:rsidRDefault="009E0DD9" w:rsidP="009E0DD9">
      <w:pPr>
        <w:spacing w:before="40" w:after="40"/>
        <w:rPr>
          <w:rFonts w:cs="Segoe UI"/>
          <w:sz w:val="17"/>
          <w:szCs w:val="17"/>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9E0DD9" w:rsidRPr="009E0DD9" w14:paraId="46264BD3" w14:textId="77777777" w:rsidTr="009E0DD9">
        <w:trPr>
          <w:trHeight w:val="283"/>
        </w:trPr>
        <w:tc>
          <w:tcPr>
            <w:tcW w:w="459" w:type="dxa"/>
            <w:tcBorders>
              <w:top w:val="single" w:sz="4" w:space="0" w:color="auto"/>
              <w:left w:val="nil"/>
              <w:bottom w:val="nil"/>
              <w:right w:val="single" w:sz="4" w:space="0" w:color="auto"/>
            </w:tcBorders>
          </w:tcPr>
          <w:p w14:paraId="3A744F4D" w14:textId="77777777" w:rsidR="009E0DD9" w:rsidRPr="009E0DD9" w:rsidRDefault="009E0DD9" w:rsidP="009E0DD9">
            <w:pPr>
              <w:spacing w:before="40" w:after="40"/>
              <w:rPr>
                <w:rFonts w:cs="Segoe UI"/>
                <w:sz w:val="17"/>
                <w:szCs w:val="17"/>
                <w:lang w:eastAsia="zh-TW"/>
              </w:rPr>
            </w:pPr>
          </w:p>
        </w:tc>
        <w:tc>
          <w:tcPr>
            <w:tcW w:w="4292" w:type="dxa"/>
            <w:tcBorders>
              <w:top w:val="single" w:sz="4" w:space="0" w:color="auto"/>
              <w:left w:val="single" w:sz="4" w:space="0" w:color="auto"/>
              <w:bottom w:val="single" w:sz="4" w:space="0" w:color="auto"/>
              <w:right w:val="single" w:sz="4" w:space="0" w:color="auto"/>
            </w:tcBorders>
            <w:noWrap/>
          </w:tcPr>
          <w:p w14:paraId="1B131B4F" w14:textId="77777777" w:rsidR="009E0DD9" w:rsidRPr="009E0DD9" w:rsidRDefault="009E0DD9" w:rsidP="009E0DD9">
            <w:pPr>
              <w:spacing w:before="40" w:after="40"/>
              <w:rPr>
                <w:rFonts w:cs="Segoe UI"/>
                <w:sz w:val="17"/>
                <w:szCs w:val="17"/>
                <w:lang w:eastAsia="zh-TW"/>
              </w:rPr>
            </w:pP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470B737A"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45%</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1D59D7A1"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75%</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AB1F9D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38CA18A7" w14:textId="02068285" w:rsidR="009E0DD9" w:rsidRPr="009E0DD9" w:rsidRDefault="00CC491F" w:rsidP="009E0DD9">
            <w:pPr>
              <w:spacing w:before="40" w:after="40"/>
              <w:jc w:val="center"/>
              <w:rPr>
                <w:rFonts w:eastAsia="MS PGothic" w:cs="Segoe UI"/>
                <w:sz w:val="17"/>
                <w:szCs w:val="17"/>
                <w:lang w:eastAsia="ja-JP"/>
              </w:rPr>
            </w:pPr>
            <w:r w:rsidRPr="00CC491F">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tcPr>
          <w:p w14:paraId="3C2081F4" w14:textId="64FB7684" w:rsidR="009E0DD9" w:rsidRPr="009E0DD9" w:rsidRDefault="00CC491F" w:rsidP="009E0DD9">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1DF5CD34" w14:textId="77777777" w:rsidTr="009E0DD9">
        <w:trPr>
          <w:trHeight w:val="283"/>
        </w:trPr>
        <w:tc>
          <w:tcPr>
            <w:tcW w:w="459" w:type="dxa"/>
            <w:tcBorders>
              <w:top w:val="nil"/>
              <w:left w:val="nil"/>
              <w:bottom w:val="single" w:sz="6" w:space="0" w:color="auto"/>
              <w:right w:val="single" w:sz="4" w:space="0" w:color="auto"/>
            </w:tcBorders>
            <w:hideMark/>
          </w:tcPr>
          <w:p w14:paraId="4637C3DB"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8</w:t>
            </w:r>
          </w:p>
        </w:tc>
        <w:tc>
          <w:tcPr>
            <w:tcW w:w="4292" w:type="dxa"/>
            <w:tcBorders>
              <w:top w:val="single" w:sz="4" w:space="0" w:color="auto"/>
              <w:left w:val="single" w:sz="4" w:space="0" w:color="auto"/>
              <w:bottom w:val="single" w:sz="4" w:space="0" w:color="auto"/>
              <w:right w:val="single" w:sz="4" w:space="0" w:color="auto"/>
            </w:tcBorders>
            <w:noWrap/>
            <w:hideMark/>
          </w:tcPr>
          <w:p w14:paraId="6461791B" w14:textId="77777777" w:rsidR="009E0DD9" w:rsidRPr="009E0DD9" w:rsidRDefault="009E0DD9" w:rsidP="009E0DD9">
            <w:pPr>
              <w:spacing w:before="40" w:after="40"/>
              <w:rPr>
                <w:rFonts w:cs="Segoe UI"/>
                <w:sz w:val="17"/>
                <w:szCs w:val="17"/>
                <w:lang w:eastAsia="en-GB"/>
              </w:rPr>
            </w:pPr>
            <w:r w:rsidRPr="009E0DD9">
              <w:rPr>
                <w:rFonts w:ascii="新細明體" w:eastAsia="新細明體" w:hAnsi="新細明體" w:cs="Segoe UI" w:hint="eastAsia"/>
                <w:sz w:val="17"/>
                <w:szCs w:val="17"/>
                <w:lang w:eastAsia="zh-HK"/>
              </w:rPr>
              <w:t>零售風險承擔</w:t>
            </w:r>
          </w:p>
        </w:tc>
        <w:tc>
          <w:tcPr>
            <w:tcW w:w="1574" w:type="dxa"/>
            <w:tcBorders>
              <w:top w:val="single" w:sz="4" w:space="0" w:color="auto"/>
              <w:left w:val="single" w:sz="4" w:space="0" w:color="auto"/>
              <w:bottom w:val="single" w:sz="4" w:space="0" w:color="auto"/>
              <w:right w:val="single" w:sz="4" w:space="0" w:color="auto"/>
            </w:tcBorders>
            <w:noWrap/>
            <w:vAlign w:val="center"/>
          </w:tcPr>
          <w:p w14:paraId="0A6FE4C4"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01A7F286"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vAlign w:val="center"/>
          </w:tcPr>
          <w:p w14:paraId="230F9E74" w14:textId="77777777" w:rsidR="009E0DD9" w:rsidRPr="009E0DD9" w:rsidRDefault="009E0DD9" w:rsidP="009E0DD9">
            <w:pPr>
              <w:spacing w:before="40" w:after="40"/>
              <w:rPr>
                <w:rFonts w:eastAsia="MS PGothic" w:cs="Segoe UI"/>
                <w:sz w:val="17"/>
                <w:szCs w:val="17"/>
                <w:lang w:eastAsia="ja-JP"/>
              </w:rPr>
            </w:pPr>
          </w:p>
        </w:tc>
        <w:tc>
          <w:tcPr>
            <w:tcW w:w="1575" w:type="dxa"/>
            <w:tcBorders>
              <w:top w:val="single" w:sz="4" w:space="0" w:color="auto"/>
              <w:left w:val="single" w:sz="4" w:space="0" w:color="auto"/>
              <w:bottom w:val="single" w:sz="4" w:space="0" w:color="auto"/>
              <w:right w:val="single" w:sz="4" w:space="0" w:color="auto"/>
            </w:tcBorders>
            <w:noWrap/>
            <w:vAlign w:val="center"/>
          </w:tcPr>
          <w:p w14:paraId="293E7C38"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vAlign w:val="center"/>
          </w:tcPr>
          <w:p w14:paraId="5D303889" w14:textId="77777777" w:rsidR="009E0DD9" w:rsidRPr="009E0DD9" w:rsidRDefault="009E0DD9" w:rsidP="009E0DD9">
            <w:pPr>
              <w:spacing w:before="40" w:after="40"/>
              <w:rPr>
                <w:rFonts w:eastAsia="MS PGothic" w:cs="Segoe UI"/>
                <w:sz w:val="17"/>
                <w:szCs w:val="17"/>
                <w:lang w:eastAsia="ja-JP"/>
              </w:rPr>
            </w:pPr>
          </w:p>
        </w:tc>
      </w:tr>
    </w:tbl>
    <w:p w14:paraId="0626DDB2" w14:textId="1A7772EB" w:rsidR="009E0DD9" w:rsidRPr="009E0DD9" w:rsidRDefault="009E0DD9" w:rsidP="009E0DD9">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3148"/>
        <w:gridCol w:w="3149"/>
        <w:gridCol w:w="3112"/>
      </w:tblGrid>
      <w:tr w:rsidR="009E0DD9" w:rsidRPr="009E0DD9" w14:paraId="50B16A20" w14:textId="77777777" w:rsidTr="009E0DD9">
        <w:trPr>
          <w:trHeight w:val="283"/>
        </w:trPr>
        <w:tc>
          <w:tcPr>
            <w:tcW w:w="459" w:type="dxa"/>
            <w:tcBorders>
              <w:top w:val="single" w:sz="4" w:space="0" w:color="auto"/>
              <w:left w:val="nil"/>
              <w:bottom w:val="nil"/>
              <w:right w:val="single" w:sz="4" w:space="0" w:color="auto"/>
            </w:tcBorders>
          </w:tcPr>
          <w:p w14:paraId="1C13A219" w14:textId="77777777" w:rsidR="009E0DD9" w:rsidRPr="009E0DD9" w:rsidRDefault="009E0DD9" w:rsidP="009E0DD9">
            <w:pPr>
              <w:spacing w:before="40" w:after="40"/>
              <w:rPr>
                <w:rFonts w:cs="Segoe UI"/>
                <w:sz w:val="17"/>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383E67E8" w14:textId="77777777" w:rsidR="009E0DD9" w:rsidRPr="009E0DD9" w:rsidRDefault="009E0DD9" w:rsidP="009E0DD9">
            <w:pPr>
              <w:spacing w:before="40" w:after="40"/>
              <w:rPr>
                <w:rFonts w:cs="Segoe UI"/>
                <w:sz w:val="17"/>
                <w:szCs w:val="17"/>
                <w:lang w:eastAsia="en-GB"/>
              </w:rPr>
            </w:pPr>
          </w:p>
        </w:tc>
        <w:tc>
          <w:tcPr>
            <w:tcW w:w="3148" w:type="dxa"/>
            <w:tcBorders>
              <w:top w:val="single" w:sz="4" w:space="0" w:color="auto"/>
              <w:left w:val="single" w:sz="4" w:space="0" w:color="auto"/>
              <w:bottom w:val="single" w:sz="4" w:space="0" w:color="auto"/>
              <w:right w:val="single" w:sz="4" w:space="0" w:color="auto"/>
            </w:tcBorders>
            <w:noWrap/>
            <w:vAlign w:val="center"/>
          </w:tcPr>
          <w:p w14:paraId="4D250C6B"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0%</w:t>
            </w:r>
          </w:p>
        </w:tc>
        <w:tc>
          <w:tcPr>
            <w:tcW w:w="3149" w:type="dxa"/>
            <w:tcBorders>
              <w:top w:val="single" w:sz="4" w:space="0" w:color="auto"/>
              <w:left w:val="single" w:sz="4" w:space="0" w:color="auto"/>
              <w:bottom w:val="single" w:sz="4" w:space="0" w:color="auto"/>
              <w:right w:val="single" w:sz="4" w:space="0" w:color="auto"/>
            </w:tcBorders>
            <w:vAlign w:val="center"/>
          </w:tcPr>
          <w:p w14:paraId="215A363F" w14:textId="6B78A5D4" w:rsidR="009E0DD9" w:rsidRPr="009E0DD9" w:rsidRDefault="00CC491F" w:rsidP="009E0DD9">
            <w:pPr>
              <w:spacing w:before="40" w:after="40"/>
              <w:jc w:val="center"/>
              <w:rPr>
                <w:rFonts w:eastAsia="MS PGothic" w:cs="Segoe UI"/>
                <w:sz w:val="17"/>
                <w:szCs w:val="17"/>
                <w:lang w:eastAsia="ja-JP"/>
              </w:rPr>
            </w:pPr>
            <w:r w:rsidRPr="00CC491F">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1CDFCC68" w14:textId="4FDD21E3" w:rsidR="009E0DD9" w:rsidRPr="009E0DD9" w:rsidRDefault="00CC491F" w:rsidP="009E0DD9">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1140BFA0" w14:textId="77777777" w:rsidTr="009E0DD9">
        <w:trPr>
          <w:trHeight w:val="283"/>
        </w:trPr>
        <w:tc>
          <w:tcPr>
            <w:tcW w:w="459" w:type="dxa"/>
            <w:tcBorders>
              <w:top w:val="nil"/>
              <w:left w:val="nil"/>
              <w:bottom w:val="single" w:sz="4" w:space="0" w:color="auto"/>
              <w:right w:val="single" w:sz="4" w:space="0" w:color="auto"/>
            </w:tcBorders>
            <w:hideMark/>
          </w:tcPr>
          <w:p w14:paraId="41413E3E"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8a</w:t>
            </w:r>
          </w:p>
        </w:tc>
        <w:tc>
          <w:tcPr>
            <w:tcW w:w="4292" w:type="dxa"/>
            <w:tcBorders>
              <w:top w:val="single" w:sz="4" w:space="0" w:color="auto"/>
              <w:left w:val="single" w:sz="4" w:space="0" w:color="auto"/>
              <w:bottom w:val="single" w:sz="4" w:space="0" w:color="auto"/>
              <w:right w:val="single" w:sz="4" w:space="0" w:color="auto"/>
            </w:tcBorders>
            <w:noWrap/>
            <w:hideMark/>
          </w:tcPr>
          <w:p w14:paraId="7EFDAA95" w14:textId="77777777" w:rsidR="009E0DD9" w:rsidRPr="009E0DD9" w:rsidRDefault="009E0DD9" w:rsidP="009E0DD9">
            <w:pPr>
              <w:spacing w:before="40" w:after="40"/>
              <w:rPr>
                <w:rFonts w:cs="Segoe UI"/>
                <w:sz w:val="17"/>
                <w:szCs w:val="17"/>
                <w:lang w:eastAsia="zh-TW"/>
              </w:rPr>
            </w:pPr>
            <w:r w:rsidRPr="009E0DD9">
              <w:rPr>
                <w:rFonts w:ascii="Calibri" w:eastAsia="細明體" w:hAnsi="Calibri" w:hint="eastAsia"/>
                <w:sz w:val="16"/>
                <w:szCs w:val="16"/>
                <w:lang w:eastAsia="zh-TW"/>
              </w:rPr>
              <w:t>因</w:t>
            </w:r>
            <w:r w:rsidRPr="009E0DD9">
              <w:rPr>
                <w:rFonts w:ascii="Calibri" w:eastAsia="細明體" w:hAnsi="Calibri" w:hint="eastAsia"/>
                <w:sz w:val="16"/>
                <w:szCs w:val="16"/>
                <w:lang w:eastAsia="zh-TW"/>
              </w:rPr>
              <w:t>IPO</w:t>
            </w:r>
            <w:r w:rsidRPr="009E0DD9">
              <w:rPr>
                <w:rFonts w:ascii="Calibri" w:eastAsia="細明體" w:hAnsi="Calibri" w:hint="eastAsia"/>
                <w:sz w:val="16"/>
                <w:szCs w:val="16"/>
                <w:lang w:eastAsia="zh-TW"/>
              </w:rPr>
              <w:t>融資而產生的風險承擔</w:t>
            </w:r>
          </w:p>
        </w:tc>
        <w:tc>
          <w:tcPr>
            <w:tcW w:w="3148" w:type="dxa"/>
            <w:tcBorders>
              <w:top w:val="single" w:sz="4" w:space="0" w:color="auto"/>
              <w:left w:val="single" w:sz="4" w:space="0" w:color="auto"/>
              <w:bottom w:val="single" w:sz="4" w:space="0" w:color="auto"/>
              <w:right w:val="single" w:sz="4" w:space="0" w:color="auto"/>
            </w:tcBorders>
            <w:noWrap/>
          </w:tcPr>
          <w:p w14:paraId="64862311" w14:textId="77777777" w:rsidR="009E0DD9" w:rsidRPr="009E0DD9" w:rsidRDefault="009E0DD9" w:rsidP="009E0DD9">
            <w:pPr>
              <w:spacing w:before="40" w:after="40"/>
              <w:rPr>
                <w:rFonts w:eastAsia="MS PGothic" w:cs="Segoe UI"/>
                <w:sz w:val="17"/>
                <w:szCs w:val="17"/>
                <w:lang w:eastAsia="ja-JP"/>
              </w:rPr>
            </w:pPr>
          </w:p>
        </w:tc>
        <w:tc>
          <w:tcPr>
            <w:tcW w:w="3149" w:type="dxa"/>
            <w:tcBorders>
              <w:top w:val="single" w:sz="4" w:space="0" w:color="auto"/>
              <w:left w:val="single" w:sz="4" w:space="0" w:color="auto"/>
              <w:bottom w:val="single" w:sz="4" w:space="0" w:color="auto"/>
              <w:right w:val="single" w:sz="4" w:space="0" w:color="auto"/>
            </w:tcBorders>
          </w:tcPr>
          <w:p w14:paraId="08FC36A5"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4EC907E5" w14:textId="77777777" w:rsidR="009E0DD9" w:rsidRPr="009E0DD9" w:rsidRDefault="009E0DD9" w:rsidP="009E0DD9">
            <w:pPr>
              <w:spacing w:before="40" w:after="40"/>
              <w:rPr>
                <w:rFonts w:eastAsia="MS PGothic" w:cs="Segoe UI"/>
                <w:sz w:val="17"/>
                <w:szCs w:val="17"/>
                <w:lang w:eastAsia="ja-JP"/>
              </w:rPr>
            </w:pPr>
          </w:p>
        </w:tc>
      </w:tr>
    </w:tbl>
    <w:p w14:paraId="7C041205" w14:textId="77777777" w:rsidR="009E0DD9" w:rsidRPr="009E0DD9" w:rsidRDefault="009E0DD9" w:rsidP="009E0DD9">
      <w:pPr>
        <w:spacing w:before="40" w:after="40"/>
        <w:rPr>
          <w:rFonts w:cs="Segoe UI"/>
          <w:sz w:val="17"/>
          <w:szCs w:val="17"/>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2651"/>
        <w:gridCol w:w="488"/>
        <w:gridCol w:w="488"/>
        <w:gridCol w:w="488"/>
        <w:gridCol w:w="488"/>
        <w:gridCol w:w="489"/>
        <w:gridCol w:w="488"/>
        <w:gridCol w:w="488"/>
        <w:gridCol w:w="488"/>
        <w:gridCol w:w="489"/>
        <w:gridCol w:w="488"/>
        <w:gridCol w:w="488"/>
        <w:gridCol w:w="488"/>
        <w:gridCol w:w="488"/>
        <w:gridCol w:w="489"/>
        <w:gridCol w:w="488"/>
        <w:gridCol w:w="488"/>
        <w:gridCol w:w="488"/>
        <w:gridCol w:w="489"/>
        <w:gridCol w:w="730"/>
        <w:gridCol w:w="1538"/>
      </w:tblGrid>
      <w:tr w:rsidR="009E0DD9" w:rsidRPr="009E0DD9" w14:paraId="5C306FE2" w14:textId="77777777" w:rsidTr="009E0DD9">
        <w:trPr>
          <w:cantSplit/>
          <w:trHeight w:val="1134"/>
          <w:tblHeader/>
        </w:trPr>
        <w:tc>
          <w:tcPr>
            <w:tcW w:w="459" w:type="dxa"/>
            <w:tcBorders>
              <w:top w:val="single" w:sz="4" w:space="0" w:color="auto"/>
              <w:left w:val="nil"/>
              <w:bottom w:val="nil"/>
              <w:right w:val="single" w:sz="4" w:space="0" w:color="auto"/>
            </w:tcBorders>
          </w:tcPr>
          <w:p w14:paraId="43345329" w14:textId="77777777" w:rsidR="009E0DD9" w:rsidRPr="009E0DD9" w:rsidRDefault="009E0DD9" w:rsidP="009E0DD9">
            <w:pPr>
              <w:spacing w:before="40" w:after="40"/>
              <w:rPr>
                <w:rFonts w:cs="Segoe UI"/>
                <w:sz w:val="17"/>
                <w:szCs w:val="17"/>
                <w:lang w:eastAsia="zh-TW"/>
              </w:rPr>
            </w:pPr>
          </w:p>
        </w:tc>
        <w:tc>
          <w:tcPr>
            <w:tcW w:w="2651" w:type="dxa"/>
            <w:tcBorders>
              <w:top w:val="single" w:sz="4" w:space="0" w:color="auto"/>
              <w:left w:val="single" w:sz="4" w:space="0" w:color="auto"/>
              <w:bottom w:val="single" w:sz="4" w:space="0" w:color="auto"/>
              <w:right w:val="single" w:sz="4" w:space="0" w:color="auto"/>
            </w:tcBorders>
            <w:noWrap/>
          </w:tcPr>
          <w:p w14:paraId="496723C9" w14:textId="77777777" w:rsidR="009E0DD9" w:rsidRPr="009E0DD9" w:rsidRDefault="009E0DD9" w:rsidP="009E0DD9">
            <w:pPr>
              <w:spacing w:before="40" w:after="40"/>
              <w:rPr>
                <w:rFonts w:cs="Segoe UI"/>
                <w:sz w:val="17"/>
                <w:szCs w:val="17"/>
                <w:lang w:eastAsia="zh-TW"/>
              </w:rPr>
            </w:pPr>
          </w:p>
        </w:tc>
        <w:tc>
          <w:tcPr>
            <w:tcW w:w="488" w:type="dxa"/>
            <w:tcBorders>
              <w:top w:val="single" w:sz="4" w:space="0" w:color="auto"/>
              <w:left w:val="single" w:sz="4" w:space="0" w:color="auto"/>
              <w:bottom w:val="single" w:sz="4" w:space="0" w:color="auto"/>
              <w:right w:val="single" w:sz="4" w:space="0" w:color="auto"/>
            </w:tcBorders>
          </w:tcPr>
          <w:p w14:paraId="14D4B256" w14:textId="77777777" w:rsidR="009E0DD9" w:rsidRPr="009E0DD9" w:rsidRDefault="009E0DD9" w:rsidP="009E0DD9">
            <w:pPr>
              <w:spacing w:before="40" w:after="40"/>
              <w:jc w:val="center"/>
              <w:rPr>
                <w:rFonts w:eastAsia="MS PGothic" w:cs="Segoe UI"/>
                <w:sz w:val="17"/>
                <w:szCs w:val="17"/>
                <w:lang w:eastAsia="ja-JP"/>
              </w:rPr>
            </w:pPr>
            <w:proofErr w:type="gramStart"/>
            <w:r w:rsidRPr="009E0DD9">
              <w:rPr>
                <w:rFonts w:eastAsia="MS PGothic" w:cs="Segoe UI"/>
                <w:sz w:val="17"/>
                <w:szCs w:val="17"/>
                <w:lang w:eastAsia="ja-JP"/>
              </w:rPr>
              <w:t>0  %</w:t>
            </w:r>
            <w:proofErr w:type="gramEnd"/>
          </w:p>
        </w:tc>
        <w:tc>
          <w:tcPr>
            <w:tcW w:w="488" w:type="dxa"/>
            <w:tcBorders>
              <w:top w:val="single" w:sz="4" w:space="0" w:color="auto"/>
              <w:left w:val="single" w:sz="4" w:space="0" w:color="auto"/>
              <w:bottom w:val="single" w:sz="4" w:space="0" w:color="auto"/>
              <w:right w:val="single" w:sz="4" w:space="0" w:color="auto"/>
            </w:tcBorders>
            <w:noWrap/>
            <w:hideMark/>
          </w:tcPr>
          <w:p w14:paraId="3ECA3854"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488" w:type="dxa"/>
            <w:tcBorders>
              <w:top w:val="single" w:sz="4" w:space="0" w:color="auto"/>
              <w:left w:val="single" w:sz="4" w:space="0" w:color="auto"/>
              <w:bottom w:val="single" w:sz="4" w:space="0" w:color="auto"/>
              <w:right w:val="single" w:sz="4" w:space="0" w:color="auto"/>
            </w:tcBorders>
            <w:noWrap/>
            <w:hideMark/>
          </w:tcPr>
          <w:p w14:paraId="6EDFB2FF"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25%</w:t>
            </w:r>
          </w:p>
        </w:tc>
        <w:tc>
          <w:tcPr>
            <w:tcW w:w="488" w:type="dxa"/>
            <w:tcBorders>
              <w:top w:val="single" w:sz="4" w:space="0" w:color="auto"/>
              <w:left w:val="single" w:sz="4" w:space="0" w:color="auto"/>
              <w:bottom w:val="single" w:sz="4" w:space="0" w:color="auto"/>
              <w:right w:val="single" w:sz="4" w:space="0" w:color="auto"/>
            </w:tcBorders>
            <w:noWrap/>
            <w:hideMark/>
          </w:tcPr>
          <w:p w14:paraId="16E2E19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30%</w:t>
            </w:r>
          </w:p>
        </w:tc>
        <w:tc>
          <w:tcPr>
            <w:tcW w:w="489" w:type="dxa"/>
            <w:tcBorders>
              <w:top w:val="single" w:sz="4" w:space="0" w:color="auto"/>
              <w:left w:val="single" w:sz="4" w:space="0" w:color="auto"/>
              <w:bottom w:val="single" w:sz="4" w:space="0" w:color="auto"/>
              <w:right w:val="single" w:sz="4" w:space="0" w:color="auto"/>
            </w:tcBorders>
            <w:hideMark/>
          </w:tcPr>
          <w:p w14:paraId="18F52890"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35%</w:t>
            </w:r>
          </w:p>
        </w:tc>
        <w:tc>
          <w:tcPr>
            <w:tcW w:w="488" w:type="dxa"/>
            <w:tcBorders>
              <w:top w:val="single" w:sz="4" w:space="0" w:color="auto"/>
              <w:left w:val="single" w:sz="4" w:space="0" w:color="auto"/>
              <w:bottom w:val="single" w:sz="4" w:space="0" w:color="auto"/>
              <w:right w:val="single" w:sz="4" w:space="0" w:color="auto"/>
            </w:tcBorders>
            <w:hideMark/>
          </w:tcPr>
          <w:p w14:paraId="1021D37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40%</w:t>
            </w:r>
          </w:p>
        </w:tc>
        <w:tc>
          <w:tcPr>
            <w:tcW w:w="488" w:type="dxa"/>
            <w:tcBorders>
              <w:top w:val="single" w:sz="4" w:space="0" w:color="auto"/>
              <w:left w:val="single" w:sz="4" w:space="0" w:color="auto"/>
              <w:bottom w:val="single" w:sz="4" w:space="0" w:color="auto"/>
              <w:right w:val="single" w:sz="4" w:space="0" w:color="auto"/>
            </w:tcBorders>
            <w:hideMark/>
          </w:tcPr>
          <w:p w14:paraId="7CBA23B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45%</w:t>
            </w:r>
          </w:p>
        </w:tc>
        <w:tc>
          <w:tcPr>
            <w:tcW w:w="488" w:type="dxa"/>
            <w:tcBorders>
              <w:top w:val="single" w:sz="4" w:space="0" w:color="auto"/>
              <w:left w:val="single" w:sz="4" w:space="0" w:color="auto"/>
              <w:bottom w:val="single" w:sz="4" w:space="0" w:color="auto"/>
              <w:right w:val="single" w:sz="4" w:space="0" w:color="auto"/>
            </w:tcBorders>
            <w:hideMark/>
          </w:tcPr>
          <w:p w14:paraId="0BF9191F"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489" w:type="dxa"/>
            <w:tcBorders>
              <w:top w:val="single" w:sz="4" w:space="0" w:color="auto"/>
              <w:left w:val="single" w:sz="4" w:space="0" w:color="auto"/>
              <w:bottom w:val="single" w:sz="4" w:space="0" w:color="auto"/>
              <w:right w:val="single" w:sz="4" w:space="0" w:color="auto"/>
            </w:tcBorders>
            <w:noWrap/>
            <w:hideMark/>
          </w:tcPr>
          <w:p w14:paraId="6E4574A1"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60%</w:t>
            </w:r>
          </w:p>
        </w:tc>
        <w:tc>
          <w:tcPr>
            <w:tcW w:w="488" w:type="dxa"/>
            <w:tcBorders>
              <w:top w:val="single" w:sz="4" w:space="0" w:color="auto"/>
              <w:left w:val="single" w:sz="4" w:space="0" w:color="auto"/>
              <w:bottom w:val="single" w:sz="4" w:space="0" w:color="auto"/>
              <w:right w:val="single" w:sz="4" w:space="0" w:color="auto"/>
            </w:tcBorders>
          </w:tcPr>
          <w:p w14:paraId="7998316E"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65%</w:t>
            </w:r>
          </w:p>
        </w:tc>
        <w:tc>
          <w:tcPr>
            <w:tcW w:w="488" w:type="dxa"/>
            <w:tcBorders>
              <w:top w:val="single" w:sz="4" w:space="0" w:color="auto"/>
              <w:left w:val="single" w:sz="4" w:space="0" w:color="auto"/>
              <w:bottom w:val="single" w:sz="4" w:space="0" w:color="auto"/>
              <w:right w:val="single" w:sz="4" w:space="0" w:color="auto"/>
            </w:tcBorders>
            <w:hideMark/>
          </w:tcPr>
          <w:p w14:paraId="5EAD4D5C"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70%</w:t>
            </w:r>
          </w:p>
        </w:tc>
        <w:tc>
          <w:tcPr>
            <w:tcW w:w="488" w:type="dxa"/>
            <w:tcBorders>
              <w:top w:val="single" w:sz="4" w:space="0" w:color="auto"/>
              <w:left w:val="single" w:sz="4" w:space="0" w:color="auto"/>
              <w:bottom w:val="single" w:sz="4" w:space="0" w:color="auto"/>
              <w:right w:val="single" w:sz="4" w:space="0" w:color="auto"/>
            </w:tcBorders>
            <w:hideMark/>
          </w:tcPr>
          <w:p w14:paraId="397D9AC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75%</w:t>
            </w:r>
          </w:p>
        </w:tc>
        <w:tc>
          <w:tcPr>
            <w:tcW w:w="488" w:type="dxa"/>
            <w:tcBorders>
              <w:top w:val="single" w:sz="4" w:space="0" w:color="auto"/>
              <w:left w:val="single" w:sz="4" w:space="0" w:color="auto"/>
              <w:bottom w:val="single" w:sz="4" w:space="0" w:color="auto"/>
              <w:right w:val="single" w:sz="4" w:space="0" w:color="auto"/>
            </w:tcBorders>
          </w:tcPr>
          <w:p w14:paraId="22A70A9A"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85%</w:t>
            </w:r>
          </w:p>
        </w:tc>
        <w:tc>
          <w:tcPr>
            <w:tcW w:w="489" w:type="dxa"/>
            <w:tcBorders>
              <w:top w:val="single" w:sz="4" w:space="0" w:color="auto"/>
              <w:left w:val="single" w:sz="4" w:space="0" w:color="auto"/>
              <w:bottom w:val="single" w:sz="4" w:space="0" w:color="auto"/>
              <w:right w:val="single" w:sz="4" w:space="0" w:color="auto"/>
            </w:tcBorders>
            <w:hideMark/>
          </w:tcPr>
          <w:p w14:paraId="7D4E6EAA"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90%</w:t>
            </w:r>
          </w:p>
        </w:tc>
        <w:tc>
          <w:tcPr>
            <w:tcW w:w="488" w:type="dxa"/>
            <w:tcBorders>
              <w:top w:val="single" w:sz="4" w:space="0" w:color="auto"/>
              <w:left w:val="single" w:sz="4" w:space="0" w:color="auto"/>
              <w:bottom w:val="single" w:sz="4" w:space="0" w:color="auto"/>
              <w:right w:val="single" w:sz="4" w:space="0" w:color="auto"/>
            </w:tcBorders>
            <w:hideMark/>
          </w:tcPr>
          <w:p w14:paraId="44F85CDA"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488" w:type="dxa"/>
            <w:tcBorders>
              <w:top w:val="single" w:sz="4" w:space="0" w:color="auto"/>
              <w:left w:val="single" w:sz="4" w:space="0" w:color="auto"/>
              <w:bottom w:val="single" w:sz="4" w:space="0" w:color="auto"/>
              <w:right w:val="single" w:sz="4" w:space="0" w:color="auto"/>
            </w:tcBorders>
            <w:hideMark/>
          </w:tcPr>
          <w:p w14:paraId="070F030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105%</w:t>
            </w:r>
          </w:p>
        </w:tc>
        <w:tc>
          <w:tcPr>
            <w:tcW w:w="488" w:type="dxa"/>
            <w:tcBorders>
              <w:top w:val="single" w:sz="4" w:space="0" w:color="auto"/>
              <w:left w:val="single" w:sz="4" w:space="0" w:color="auto"/>
              <w:bottom w:val="single" w:sz="4" w:space="0" w:color="auto"/>
              <w:right w:val="single" w:sz="4" w:space="0" w:color="auto"/>
            </w:tcBorders>
          </w:tcPr>
          <w:p w14:paraId="65F398E7"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110%</w:t>
            </w:r>
          </w:p>
        </w:tc>
        <w:tc>
          <w:tcPr>
            <w:tcW w:w="489" w:type="dxa"/>
            <w:tcBorders>
              <w:top w:val="single" w:sz="4" w:space="0" w:color="auto"/>
              <w:left w:val="single" w:sz="4" w:space="0" w:color="auto"/>
              <w:bottom w:val="single" w:sz="4" w:space="0" w:color="auto"/>
              <w:right w:val="single" w:sz="4" w:space="0" w:color="auto"/>
            </w:tcBorders>
          </w:tcPr>
          <w:p w14:paraId="4D3DB7B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730" w:type="dxa"/>
            <w:tcBorders>
              <w:top w:val="single" w:sz="4" w:space="0" w:color="auto"/>
              <w:left w:val="single" w:sz="4" w:space="0" w:color="auto"/>
              <w:bottom w:val="single" w:sz="4" w:space="0" w:color="auto"/>
              <w:right w:val="single" w:sz="4" w:space="0" w:color="auto"/>
            </w:tcBorders>
            <w:hideMark/>
          </w:tcPr>
          <w:p w14:paraId="53BD2970" w14:textId="482B06EF" w:rsidR="009E0DD9" w:rsidRPr="009E0DD9" w:rsidRDefault="00CC491F" w:rsidP="009E0DD9">
            <w:pPr>
              <w:spacing w:before="40" w:after="40"/>
              <w:jc w:val="center"/>
              <w:rPr>
                <w:rFonts w:eastAsia="MS PGothic" w:cs="Segoe UI"/>
                <w:sz w:val="17"/>
                <w:szCs w:val="17"/>
                <w:lang w:eastAsia="ja-JP"/>
              </w:rPr>
            </w:pPr>
            <w:r w:rsidRPr="00CC491F">
              <w:rPr>
                <w:rFonts w:ascii="細明體" w:eastAsia="細明體" w:hAnsi="細明體" w:cs="Segoe UI"/>
                <w:sz w:val="17"/>
                <w:szCs w:val="17"/>
                <w:lang w:eastAsia="ja-JP"/>
              </w:rPr>
              <w:t>其他</w:t>
            </w: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1AEB9E9B" w14:textId="543504AE" w:rsidR="009E0DD9" w:rsidRPr="009E0DD9" w:rsidRDefault="00CC491F" w:rsidP="009E0DD9">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42D4685F" w14:textId="77777777" w:rsidTr="009E0DD9">
        <w:trPr>
          <w:trHeight w:val="283"/>
        </w:trPr>
        <w:tc>
          <w:tcPr>
            <w:tcW w:w="459" w:type="dxa"/>
            <w:tcBorders>
              <w:top w:val="nil"/>
              <w:left w:val="nil"/>
              <w:bottom w:val="single" w:sz="4" w:space="0" w:color="auto"/>
              <w:right w:val="single" w:sz="4" w:space="0" w:color="auto"/>
            </w:tcBorders>
            <w:hideMark/>
          </w:tcPr>
          <w:p w14:paraId="49410732"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w:t>
            </w:r>
          </w:p>
        </w:tc>
        <w:tc>
          <w:tcPr>
            <w:tcW w:w="2651" w:type="dxa"/>
            <w:tcBorders>
              <w:top w:val="single" w:sz="4" w:space="0" w:color="auto"/>
              <w:left w:val="single" w:sz="4" w:space="0" w:color="auto"/>
              <w:bottom w:val="single" w:sz="4" w:space="0" w:color="auto"/>
              <w:right w:val="single" w:sz="4" w:space="0" w:color="auto"/>
            </w:tcBorders>
            <w:noWrap/>
            <w:hideMark/>
          </w:tcPr>
          <w:p w14:paraId="5EBDD7B0" w14:textId="77777777" w:rsidR="009E0DD9" w:rsidRPr="00CC491F" w:rsidRDefault="009E0DD9" w:rsidP="009E0DD9">
            <w:pPr>
              <w:spacing w:before="40" w:after="40"/>
              <w:rPr>
                <w:rFonts w:ascii="細明體" w:eastAsia="細明體" w:hAnsi="細明體" w:cs="Segoe UI"/>
                <w:sz w:val="17"/>
                <w:szCs w:val="17"/>
                <w:lang w:eastAsia="en-GB"/>
              </w:rPr>
            </w:pPr>
            <w:r w:rsidRPr="00CC491F">
              <w:rPr>
                <w:rFonts w:ascii="細明體" w:eastAsia="細明體" w:hAnsi="細明體" w:cs="Segoe UI" w:hint="eastAsia"/>
                <w:sz w:val="17"/>
                <w:szCs w:val="17"/>
                <w:lang w:eastAsia="zh-HK"/>
              </w:rPr>
              <w:t>地產風險承擔</w:t>
            </w:r>
          </w:p>
        </w:tc>
        <w:tc>
          <w:tcPr>
            <w:tcW w:w="488" w:type="dxa"/>
            <w:tcBorders>
              <w:top w:val="single" w:sz="4" w:space="0" w:color="auto"/>
              <w:left w:val="single" w:sz="4" w:space="0" w:color="auto"/>
              <w:bottom w:val="single" w:sz="4" w:space="0" w:color="auto"/>
              <w:right w:val="single" w:sz="4" w:space="0" w:color="auto"/>
            </w:tcBorders>
          </w:tcPr>
          <w:p w14:paraId="3408629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40BA102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3D0B240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6F7100C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tcPr>
          <w:p w14:paraId="5D38620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5716AC1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1BD4FBF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54D33E79"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noWrap/>
          </w:tcPr>
          <w:p w14:paraId="4710789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DEEB0B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28FD317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14609BA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593FDFD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tcPr>
          <w:p w14:paraId="027BC96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61E9222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47D0B19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2C3A339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tcPr>
          <w:p w14:paraId="4FDA0F1B"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tcPr>
          <w:p w14:paraId="7B82642F"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544A560F" w14:textId="77777777" w:rsidR="009E0DD9" w:rsidRPr="009E0DD9" w:rsidRDefault="009E0DD9" w:rsidP="009E0DD9">
            <w:pPr>
              <w:spacing w:before="40" w:after="40"/>
              <w:rPr>
                <w:rFonts w:eastAsia="MS PGothic" w:cs="Segoe UI"/>
                <w:sz w:val="17"/>
                <w:szCs w:val="17"/>
                <w:lang w:eastAsia="ja-JP"/>
              </w:rPr>
            </w:pPr>
          </w:p>
        </w:tc>
      </w:tr>
      <w:tr w:rsidR="009E0DD9" w:rsidRPr="009E0DD9" w14:paraId="68D06272" w14:textId="77777777" w:rsidTr="003F2D69">
        <w:trPr>
          <w:trHeight w:val="283"/>
        </w:trPr>
        <w:tc>
          <w:tcPr>
            <w:tcW w:w="459" w:type="dxa"/>
            <w:tcBorders>
              <w:top w:val="single" w:sz="4" w:space="0" w:color="auto"/>
              <w:left w:val="nil"/>
              <w:bottom w:val="single" w:sz="4" w:space="0" w:color="auto"/>
              <w:right w:val="single" w:sz="4" w:space="0" w:color="auto"/>
            </w:tcBorders>
          </w:tcPr>
          <w:p w14:paraId="69B4E611"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9a</w:t>
            </w:r>
          </w:p>
        </w:tc>
        <w:tc>
          <w:tcPr>
            <w:tcW w:w="2651" w:type="dxa"/>
            <w:tcBorders>
              <w:top w:val="single" w:sz="4" w:space="0" w:color="auto"/>
              <w:left w:val="single" w:sz="4" w:space="0" w:color="auto"/>
              <w:bottom w:val="single" w:sz="4" w:space="0" w:color="auto"/>
              <w:right w:val="single" w:sz="4" w:space="0" w:color="auto"/>
            </w:tcBorders>
            <w:noWrap/>
          </w:tcPr>
          <w:p w14:paraId="5BEB070C" w14:textId="1F4D1369" w:rsidR="00254944" w:rsidRPr="005F657A" w:rsidRDefault="009E0DD9" w:rsidP="005F657A">
            <w:pPr>
              <w:spacing w:before="40" w:after="40"/>
              <w:ind w:left="424"/>
              <w:rPr>
                <w:rFonts w:ascii="細明體" w:eastAsia="細明體" w:hAnsi="細明體" w:cs="微軟正黑體"/>
                <w:sz w:val="17"/>
                <w:szCs w:val="17"/>
                <w:lang w:eastAsia="zh-TW"/>
              </w:rPr>
            </w:pPr>
            <w:r w:rsidRPr="00CC491F">
              <w:rPr>
                <w:rFonts w:ascii="細明體" w:eastAsia="細明體" w:hAnsi="細明體" w:cs="微軟正黑體" w:hint="eastAsia"/>
                <w:sz w:val="17"/>
                <w:szCs w:val="17"/>
                <w:lang w:eastAsia="zh-TW"/>
              </w:rPr>
              <w:t>其中：監管住宅地產風險承擔（並非在關鍵程度上</w:t>
            </w:r>
            <w:r w:rsidRPr="00CC491F">
              <w:rPr>
                <w:rFonts w:ascii="細明體" w:eastAsia="細明體" w:hAnsi="細明體" w:cs="微軟正黑體" w:hint="eastAsia"/>
                <w:sz w:val="17"/>
                <w:szCs w:val="17"/>
                <w:lang w:eastAsia="zh-HK"/>
              </w:rPr>
              <w:t>有賴</w:t>
            </w:r>
            <w:r w:rsidRPr="00CC491F">
              <w:rPr>
                <w:rFonts w:ascii="細明體" w:eastAsia="細明體" w:hAnsi="細明體" w:cs="微軟正黑體" w:hint="eastAsia"/>
                <w:sz w:val="17"/>
                <w:szCs w:val="17"/>
                <w:lang w:eastAsia="zh-TW"/>
              </w:rPr>
              <w:t>於</w:t>
            </w:r>
            <w:r w:rsidRPr="00CC491F">
              <w:rPr>
                <w:rFonts w:ascii="細明體" w:eastAsia="細明體" w:hAnsi="細明體" w:cs="微軟正黑體" w:hint="eastAsia"/>
                <w:sz w:val="17"/>
                <w:szCs w:val="17"/>
                <w:lang w:eastAsia="zh-HK"/>
              </w:rPr>
              <w:t>按揭</w:t>
            </w:r>
            <w:r w:rsidRPr="00CC491F">
              <w:rPr>
                <w:rFonts w:ascii="細明體" w:eastAsia="細明體" w:hAnsi="細明體" w:cs="微軟正黑體" w:hint="eastAsia"/>
                <w:sz w:val="17"/>
                <w:szCs w:val="17"/>
                <w:lang w:eastAsia="zh-TW"/>
              </w:rPr>
              <w:t>物業所產生的現金流）</w:t>
            </w: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A2E4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044E283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456AB32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2968D1B1"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412EF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20B2C3D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511003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78419B96"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tcPr>
          <w:p w14:paraId="07FABB6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F37C0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6FEA528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B6C655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78E79D"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5A5B8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76670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35AF2E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3253182"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14E8F470"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tcPr>
          <w:p w14:paraId="47F6269B"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4933F1CF" w14:textId="77777777" w:rsidR="009E0DD9" w:rsidRPr="009E0DD9" w:rsidRDefault="009E0DD9" w:rsidP="009E0DD9">
            <w:pPr>
              <w:spacing w:before="40" w:after="40"/>
              <w:rPr>
                <w:rFonts w:eastAsia="MS PGothic" w:cs="Segoe UI"/>
                <w:sz w:val="17"/>
                <w:szCs w:val="17"/>
                <w:lang w:eastAsia="ja-JP"/>
              </w:rPr>
            </w:pPr>
          </w:p>
        </w:tc>
      </w:tr>
      <w:tr w:rsidR="009E0DD9" w:rsidRPr="009E0DD9" w14:paraId="00DD2D35" w14:textId="77777777" w:rsidTr="003F2D69">
        <w:trPr>
          <w:trHeight w:val="283"/>
        </w:trPr>
        <w:tc>
          <w:tcPr>
            <w:tcW w:w="459" w:type="dxa"/>
            <w:tcBorders>
              <w:top w:val="single" w:sz="4" w:space="0" w:color="auto"/>
              <w:left w:val="nil"/>
              <w:bottom w:val="single" w:sz="4" w:space="0" w:color="auto"/>
              <w:right w:val="single" w:sz="4" w:space="0" w:color="auto"/>
            </w:tcBorders>
          </w:tcPr>
          <w:p w14:paraId="1D5D9DDC"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9b</w:t>
            </w:r>
          </w:p>
        </w:tc>
        <w:tc>
          <w:tcPr>
            <w:tcW w:w="2651" w:type="dxa"/>
            <w:tcBorders>
              <w:top w:val="single" w:sz="4" w:space="0" w:color="auto"/>
              <w:left w:val="single" w:sz="4" w:space="0" w:color="auto"/>
              <w:bottom w:val="single" w:sz="4" w:space="0" w:color="auto"/>
              <w:right w:val="single" w:sz="4" w:space="0" w:color="auto"/>
            </w:tcBorders>
            <w:noWrap/>
          </w:tcPr>
          <w:p w14:paraId="76053157" w14:textId="77777777" w:rsidR="009E0DD9" w:rsidRDefault="009E0DD9" w:rsidP="009E0DD9">
            <w:pPr>
              <w:spacing w:before="40" w:after="40"/>
              <w:ind w:left="713"/>
              <w:rPr>
                <w:rFonts w:ascii="細明體" w:eastAsia="細明體" w:hAnsi="細明體" w:cs="Segoe UI"/>
                <w:sz w:val="17"/>
                <w:szCs w:val="17"/>
                <w:lang w:eastAsia="zh-HK"/>
              </w:rPr>
            </w:pPr>
            <w:r w:rsidRPr="00CC491F">
              <w:rPr>
                <w:rFonts w:ascii="細明體" w:eastAsia="細明體" w:hAnsi="細明體" w:cs="Segoe UI" w:hint="eastAsia"/>
                <w:sz w:val="17"/>
                <w:szCs w:val="17"/>
                <w:lang w:eastAsia="zh-HK"/>
              </w:rPr>
              <w:t>其中：並無應用貸款分拆</w:t>
            </w:r>
          </w:p>
          <w:p w14:paraId="2B7DD0B9" w14:textId="765D57FB" w:rsidR="005F657A" w:rsidRPr="00CC491F" w:rsidRDefault="005F657A" w:rsidP="009E0DD9">
            <w:pPr>
              <w:spacing w:before="40" w:after="40"/>
              <w:ind w:left="713"/>
              <w:rPr>
                <w:rFonts w:ascii="細明體" w:eastAsia="細明體" w:hAnsi="細明體" w:cs="Segoe UI"/>
                <w:sz w:val="17"/>
                <w:szCs w:val="17"/>
                <w:lang w:eastAsia="zh-TW"/>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BD0DD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33C8D9A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3B51DE3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4EC7A17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AA1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4B4E409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1410C8B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62F09826"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tcPr>
          <w:p w14:paraId="4309E63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D086F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73D7AA0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33A2637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CE005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F704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B3450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586B492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6E308F5"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6EDB6F06"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tcPr>
          <w:p w14:paraId="733F3914"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5B7DB6DD" w14:textId="77777777" w:rsidR="009E0DD9" w:rsidRPr="009E0DD9" w:rsidRDefault="009E0DD9" w:rsidP="009E0DD9">
            <w:pPr>
              <w:spacing w:before="40" w:after="40"/>
              <w:rPr>
                <w:rFonts w:eastAsia="MS PGothic" w:cs="Segoe UI"/>
                <w:sz w:val="17"/>
                <w:szCs w:val="17"/>
                <w:lang w:eastAsia="ja-JP"/>
              </w:rPr>
            </w:pPr>
          </w:p>
        </w:tc>
      </w:tr>
      <w:tr w:rsidR="009E0DD9" w:rsidRPr="009E0DD9" w14:paraId="22859B45" w14:textId="77777777" w:rsidTr="009E0DD9">
        <w:trPr>
          <w:trHeight w:val="283"/>
        </w:trPr>
        <w:tc>
          <w:tcPr>
            <w:tcW w:w="459" w:type="dxa"/>
            <w:tcBorders>
              <w:top w:val="single" w:sz="4" w:space="0" w:color="auto"/>
              <w:left w:val="nil"/>
              <w:bottom w:val="single" w:sz="4" w:space="0" w:color="auto"/>
              <w:right w:val="single" w:sz="4" w:space="0" w:color="auto"/>
            </w:tcBorders>
          </w:tcPr>
          <w:p w14:paraId="401BF377" w14:textId="77777777" w:rsidR="009E0DD9" w:rsidRPr="009E0DD9" w:rsidRDefault="009E0DD9" w:rsidP="009E0DD9">
            <w:pPr>
              <w:spacing w:before="40" w:after="40"/>
              <w:rPr>
                <w:rFonts w:cs="Segoe UI"/>
                <w:sz w:val="17"/>
                <w:szCs w:val="17"/>
                <w:lang w:eastAsia="zh-TW"/>
              </w:rPr>
            </w:pPr>
            <w:r w:rsidRPr="009E0DD9">
              <w:rPr>
                <w:rFonts w:cs="Segoe UI"/>
                <w:sz w:val="17"/>
                <w:szCs w:val="17"/>
                <w:lang w:eastAsia="zh-TW"/>
              </w:rPr>
              <w:t>9c</w:t>
            </w:r>
          </w:p>
        </w:tc>
        <w:tc>
          <w:tcPr>
            <w:tcW w:w="2651" w:type="dxa"/>
            <w:tcBorders>
              <w:top w:val="single" w:sz="4" w:space="0" w:color="auto"/>
              <w:left w:val="single" w:sz="4" w:space="0" w:color="auto"/>
              <w:bottom w:val="single" w:sz="4" w:space="0" w:color="auto"/>
              <w:right w:val="single" w:sz="4" w:space="0" w:color="auto"/>
            </w:tcBorders>
            <w:noWrap/>
          </w:tcPr>
          <w:p w14:paraId="0B57F254" w14:textId="1BCFAAA4" w:rsidR="009E0DD9" w:rsidRPr="00CC491F" w:rsidRDefault="009E0DD9" w:rsidP="009E0DD9">
            <w:pPr>
              <w:spacing w:before="40" w:after="40"/>
              <w:ind w:left="713"/>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其中：應用貸款分拆（</w:t>
            </w:r>
            <w:r w:rsidR="00254944">
              <w:rPr>
                <w:rFonts w:ascii="細明體" w:eastAsia="細明體" w:hAnsi="細明體" w:cs="微軟正黑體" w:hint="eastAsia"/>
                <w:sz w:val="17"/>
                <w:szCs w:val="17"/>
                <w:lang w:eastAsia="zh-HK"/>
              </w:rPr>
              <w:t>有保證部分</w:t>
            </w:r>
            <w:r w:rsidRPr="00CC491F">
              <w:rPr>
                <w:rFonts w:ascii="細明體" w:eastAsia="細明體" w:hAnsi="細明體" w:cs="微軟正黑體" w:hint="eastAsia"/>
                <w:sz w:val="17"/>
                <w:szCs w:val="17"/>
                <w:lang w:eastAsia="zh-TW"/>
              </w:rPr>
              <w:t>）</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7F8342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17F528B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326B91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6F974FF7"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1AE3A1C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9C3250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E70DC3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ABD96F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2655E2F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7F0F80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267ACF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E6233D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86C02A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62AF4E1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A5468E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34952D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EFCC651"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4251100E"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BFBFBF"/>
          </w:tcPr>
          <w:p w14:paraId="3AE1C207"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BFBFBF"/>
            <w:noWrap/>
          </w:tcPr>
          <w:p w14:paraId="01DD5153" w14:textId="77777777" w:rsidR="009E0DD9" w:rsidRPr="009E0DD9" w:rsidRDefault="009E0DD9" w:rsidP="009E0DD9">
            <w:pPr>
              <w:spacing w:before="40" w:after="40"/>
              <w:rPr>
                <w:rFonts w:eastAsia="MS PGothic" w:cs="Segoe UI"/>
                <w:sz w:val="17"/>
                <w:szCs w:val="17"/>
                <w:lang w:eastAsia="ja-JP"/>
              </w:rPr>
            </w:pPr>
          </w:p>
        </w:tc>
      </w:tr>
      <w:tr w:rsidR="009E0DD9" w:rsidRPr="009E0DD9" w14:paraId="41F2EB5C" w14:textId="77777777" w:rsidTr="009E0DD9">
        <w:trPr>
          <w:trHeight w:val="283"/>
        </w:trPr>
        <w:tc>
          <w:tcPr>
            <w:tcW w:w="459" w:type="dxa"/>
            <w:tcBorders>
              <w:top w:val="single" w:sz="4" w:space="0" w:color="auto"/>
              <w:left w:val="nil"/>
              <w:bottom w:val="single" w:sz="4" w:space="0" w:color="auto"/>
              <w:right w:val="single" w:sz="4" w:space="0" w:color="auto"/>
            </w:tcBorders>
          </w:tcPr>
          <w:p w14:paraId="7AA26FCC" w14:textId="77777777" w:rsidR="009E0DD9" w:rsidRPr="009E0DD9" w:rsidRDefault="009E0DD9" w:rsidP="009E0DD9">
            <w:pPr>
              <w:spacing w:before="40" w:after="40"/>
              <w:rPr>
                <w:rFonts w:cs="Segoe UI"/>
                <w:sz w:val="17"/>
                <w:szCs w:val="17"/>
                <w:lang w:eastAsia="zh-TW"/>
              </w:rPr>
            </w:pPr>
            <w:r w:rsidRPr="009E0DD9">
              <w:rPr>
                <w:rFonts w:cs="Segoe UI"/>
                <w:sz w:val="17"/>
                <w:szCs w:val="17"/>
                <w:lang w:eastAsia="zh-TW"/>
              </w:rPr>
              <w:t>9d</w:t>
            </w:r>
          </w:p>
        </w:tc>
        <w:tc>
          <w:tcPr>
            <w:tcW w:w="2651" w:type="dxa"/>
            <w:tcBorders>
              <w:top w:val="single" w:sz="4" w:space="0" w:color="auto"/>
              <w:left w:val="single" w:sz="4" w:space="0" w:color="auto"/>
              <w:bottom w:val="single" w:sz="4" w:space="0" w:color="auto"/>
              <w:right w:val="single" w:sz="4" w:space="0" w:color="auto"/>
            </w:tcBorders>
            <w:noWrap/>
          </w:tcPr>
          <w:p w14:paraId="44A7CBC3" w14:textId="659519F8" w:rsidR="009E0DD9" w:rsidRPr="00CC491F" w:rsidRDefault="009E0DD9" w:rsidP="009E0DD9">
            <w:pPr>
              <w:spacing w:before="40" w:after="40"/>
              <w:ind w:left="713"/>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其中：應用貸款分拆（</w:t>
            </w:r>
            <w:r w:rsidRPr="00CC491F">
              <w:rPr>
                <w:rFonts w:ascii="細明體" w:eastAsia="細明體" w:hAnsi="細明體" w:cs="微軟正黑體" w:hint="eastAsia"/>
                <w:sz w:val="17"/>
                <w:szCs w:val="17"/>
                <w:lang w:eastAsia="zh-HK"/>
              </w:rPr>
              <w:t>無</w:t>
            </w:r>
            <w:r w:rsidR="00996B1E">
              <w:rPr>
                <w:rFonts w:ascii="細明體" w:eastAsia="細明體" w:hAnsi="細明體" w:cs="微軟正黑體" w:hint="eastAsia"/>
                <w:sz w:val="17"/>
                <w:szCs w:val="17"/>
                <w:lang w:eastAsia="zh-HK"/>
              </w:rPr>
              <w:t>保證部分</w:t>
            </w:r>
            <w:r w:rsidRPr="00CC491F">
              <w:rPr>
                <w:rFonts w:ascii="細明體" w:eastAsia="細明體" w:hAnsi="細明體" w:cs="微軟正黑體" w:hint="eastAsia"/>
                <w:sz w:val="17"/>
                <w:szCs w:val="17"/>
                <w:lang w:eastAsia="zh-TW"/>
              </w:rPr>
              <w:t>）</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440CBF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74DE5BB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117134F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F09346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5F2C435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021087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E4FD57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7BC19B4"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3632FD6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D316C8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C1C814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C97862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C01B94A"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492E3E4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E18D17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9286C4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ECE42B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59E27AC3"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BFBFBF"/>
          </w:tcPr>
          <w:p w14:paraId="608C7696"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BFBFBF"/>
            <w:noWrap/>
          </w:tcPr>
          <w:p w14:paraId="07AE39FA" w14:textId="77777777" w:rsidR="009E0DD9" w:rsidRPr="009E0DD9" w:rsidRDefault="009E0DD9" w:rsidP="009E0DD9">
            <w:pPr>
              <w:spacing w:before="40" w:after="40"/>
              <w:rPr>
                <w:rFonts w:eastAsia="MS PGothic" w:cs="Segoe UI"/>
                <w:sz w:val="17"/>
                <w:szCs w:val="17"/>
                <w:lang w:eastAsia="ja-JP"/>
              </w:rPr>
            </w:pPr>
          </w:p>
        </w:tc>
      </w:tr>
      <w:tr w:rsidR="003E0476" w:rsidRPr="009E0DD9" w14:paraId="6EEA00B3" w14:textId="77777777" w:rsidTr="0001349D">
        <w:trPr>
          <w:trHeight w:val="283"/>
        </w:trPr>
        <w:tc>
          <w:tcPr>
            <w:tcW w:w="459" w:type="dxa"/>
            <w:tcBorders>
              <w:top w:val="single" w:sz="4" w:space="0" w:color="auto"/>
              <w:left w:val="nil"/>
              <w:bottom w:val="single" w:sz="4" w:space="0" w:color="auto"/>
              <w:right w:val="single" w:sz="4" w:space="0" w:color="auto"/>
            </w:tcBorders>
          </w:tcPr>
          <w:p w14:paraId="1F3C0376" w14:textId="77777777" w:rsidR="009E0DD9" w:rsidRPr="009E0DD9" w:rsidRDefault="009E0DD9" w:rsidP="009E0DD9">
            <w:pPr>
              <w:spacing w:before="40" w:after="40"/>
              <w:rPr>
                <w:rFonts w:cs="Segoe UI"/>
                <w:sz w:val="17"/>
                <w:szCs w:val="17"/>
                <w:lang w:eastAsia="zh-TW"/>
              </w:rPr>
            </w:pPr>
            <w:r w:rsidRPr="009E0DD9">
              <w:rPr>
                <w:rFonts w:cs="Segoe UI"/>
                <w:sz w:val="17"/>
                <w:szCs w:val="17"/>
                <w:lang w:eastAsia="zh-TW"/>
              </w:rPr>
              <w:t>9e</w:t>
            </w:r>
          </w:p>
        </w:tc>
        <w:tc>
          <w:tcPr>
            <w:tcW w:w="2651" w:type="dxa"/>
            <w:tcBorders>
              <w:top w:val="single" w:sz="4" w:space="0" w:color="auto"/>
              <w:left w:val="single" w:sz="4" w:space="0" w:color="auto"/>
              <w:bottom w:val="single" w:sz="4" w:space="0" w:color="auto"/>
              <w:right w:val="single" w:sz="4" w:space="0" w:color="auto"/>
            </w:tcBorders>
            <w:noWrap/>
          </w:tcPr>
          <w:p w14:paraId="5C5D93F1" w14:textId="77777777" w:rsidR="009E0DD9" w:rsidRPr="00CC491F" w:rsidRDefault="009E0DD9" w:rsidP="009E0DD9">
            <w:pPr>
              <w:spacing w:before="40" w:after="40"/>
              <w:ind w:left="424"/>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其中：監管住宅地產風險承擔（在關鍵程度上</w:t>
            </w:r>
            <w:r w:rsidRPr="00CC491F">
              <w:rPr>
                <w:rFonts w:ascii="細明體" w:eastAsia="細明體" w:hAnsi="細明體" w:cs="微軟正黑體" w:hint="eastAsia"/>
                <w:sz w:val="17"/>
                <w:szCs w:val="17"/>
                <w:lang w:eastAsia="zh-HK"/>
              </w:rPr>
              <w:t>有賴</w:t>
            </w:r>
            <w:r w:rsidRPr="00CC491F">
              <w:rPr>
                <w:rFonts w:ascii="細明體" w:eastAsia="細明體" w:hAnsi="細明體" w:cs="微軟正黑體" w:hint="eastAsia"/>
                <w:sz w:val="17"/>
                <w:szCs w:val="17"/>
                <w:lang w:eastAsia="zh-TW"/>
              </w:rPr>
              <w:t>於</w:t>
            </w:r>
            <w:r w:rsidRPr="00CC491F">
              <w:rPr>
                <w:rFonts w:ascii="細明體" w:eastAsia="細明體" w:hAnsi="細明體" w:cs="微軟正黑體" w:hint="eastAsia"/>
                <w:sz w:val="17"/>
                <w:szCs w:val="17"/>
                <w:lang w:eastAsia="zh-HK"/>
              </w:rPr>
              <w:t>按揭</w:t>
            </w:r>
            <w:r w:rsidRPr="00CC491F">
              <w:rPr>
                <w:rFonts w:ascii="細明體" w:eastAsia="細明體" w:hAnsi="細明體" w:cs="微軟正黑體" w:hint="eastAsia"/>
                <w:sz w:val="17"/>
                <w:szCs w:val="17"/>
                <w:lang w:eastAsia="zh-TW"/>
              </w:rPr>
              <w:t>物業所產生的現金流）</w:t>
            </w: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0168B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A1BA22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128924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noWrap/>
          </w:tcPr>
          <w:p w14:paraId="6C816F8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tcPr>
          <w:p w14:paraId="3CA0B34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09D8BE" w14:textId="77777777" w:rsidR="009E0DD9" w:rsidRPr="009E0DD9" w:rsidRDefault="009E0DD9" w:rsidP="009E0DD9">
            <w:pPr>
              <w:spacing w:before="40" w:after="40"/>
              <w:rPr>
                <w:rFonts w:eastAsia="MS PGothic" w:cs="Segoe UI"/>
                <w:b/>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20CCF53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E768E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noWrap/>
          </w:tcPr>
          <w:p w14:paraId="55AFB19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DDCA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5EB5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tcPr>
          <w:p w14:paraId="45628D8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C1F9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47B438B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7EFECE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7A5FB3B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47DE82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2D408321"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1EF343BC"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auto"/>
            <w:noWrap/>
          </w:tcPr>
          <w:p w14:paraId="757A465B" w14:textId="77777777" w:rsidR="009E0DD9" w:rsidRPr="009E0DD9" w:rsidRDefault="009E0DD9" w:rsidP="009E0DD9">
            <w:pPr>
              <w:spacing w:before="40" w:after="40"/>
              <w:rPr>
                <w:rFonts w:eastAsia="MS PGothic" w:cs="Segoe UI"/>
                <w:sz w:val="17"/>
                <w:szCs w:val="17"/>
                <w:lang w:eastAsia="ja-JP"/>
              </w:rPr>
            </w:pPr>
          </w:p>
        </w:tc>
      </w:tr>
      <w:tr w:rsidR="009E0DD9" w:rsidRPr="009E0DD9" w14:paraId="5D583DD4" w14:textId="77777777" w:rsidTr="009E0DD9">
        <w:trPr>
          <w:trHeight w:val="283"/>
        </w:trPr>
        <w:tc>
          <w:tcPr>
            <w:tcW w:w="459" w:type="dxa"/>
            <w:tcBorders>
              <w:top w:val="single" w:sz="4" w:space="0" w:color="auto"/>
              <w:left w:val="nil"/>
              <w:bottom w:val="single" w:sz="4" w:space="0" w:color="auto"/>
              <w:right w:val="single" w:sz="4" w:space="0" w:color="auto"/>
            </w:tcBorders>
          </w:tcPr>
          <w:p w14:paraId="2229C5BF"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9f</w:t>
            </w:r>
          </w:p>
        </w:tc>
        <w:tc>
          <w:tcPr>
            <w:tcW w:w="2651" w:type="dxa"/>
            <w:tcBorders>
              <w:top w:val="single" w:sz="4" w:space="0" w:color="auto"/>
              <w:left w:val="single" w:sz="4" w:space="0" w:color="auto"/>
              <w:bottom w:val="single" w:sz="4" w:space="0" w:color="auto"/>
              <w:right w:val="single" w:sz="4" w:space="0" w:color="auto"/>
            </w:tcBorders>
            <w:noWrap/>
          </w:tcPr>
          <w:p w14:paraId="3793E776" w14:textId="77777777" w:rsidR="009E0DD9" w:rsidRPr="00CC491F" w:rsidRDefault="009E0DD9" w:rsidP="009E0DD9">
            <w:pPr>
              <w:spacing w:before="40" w:after="40"/>
              <w:ind w:left="424"/>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其中：監管</w:t>
            </w:r>
            <w:r w:rsidRPr="00CC491F">
              <w:rPr>
                <w:rFonts w:ascii="細明體" w:eastAsia="細明體" w:hAnsi="細明體" w:cs="微軟正黑體" w:hint="eastAsia"/>
                <w:sz w:val="17"/>
                <w:szCs w:val="17"/>
                <w:lang w:eastAsia="zh-HK"/>
              </w:rPr>
              <w:t>商業</w:t>
            </w:r>
            <w:r w:rsidRPr="00CC491F">
              <w:rPr>
                <w:rFonts w:ascii="細明體" w:eastAsia="細明體" w:hAnsi="細明體" w:cs="微軟正黑體" w:hint="eastAsia"/>
                <w:sz w:val="17"/>
                <w:szCs w:val="17"/>
                <w:lang w:eastAsia="zh-TW"/>
              </w:rPr>
              <w:t>地產風險承擔（並非在關鍵程度上</w:t>
            </w:r>
            <w:r w:rsidRPr="00CC491F">
              <w:rPr>
                <w:rFonts w:ascii="細明體" w:eastAsia="細明體" w:hAnsi="細明體" w:cs="微軟正黑體" w:hint="eastAsia"/>
                <w:sz w:val="17"/>
                <w:szCs w:val="17"/>
                <w:lang w:eastAsia="zh-HK"/>
              </w:rPr>
              <w:t>有賴</w:t>
            </w:r>
            <w:r w:rsidRPr="00CC491F">
              <w:rPr>
                <w:rFonts w:ascii="細明體" w:eastAsia="細明體" w:hAnsi="細明體" w:cs="微軟正黑體" w:hint="eastAsia"/>
                <w:sz w:val="17"/>
                <w:szCs w:val="17"/>
                <w:lang w:eastAsia="zh-TW"/>
              </w:rPr>
              <w:t>於</w:t>
            </w:r>
            <w:r w:rsidRPr="00CC491F">
              <w:rPr>
                <w:rFonts w:ascii="細明體" w:eastAsia="細明體" w:hAnsi="細明體" w:cs="微軟正黑體" w:hint="eastAsia"/>
                <w:sz w:val="17"/>
                <w:szCs w:val="17"/>
                <w:lang w:eastAsia="zh-HK"/>
              </w:rPr>
              <w:t>按揭</w:t>
            </w:r>
            <w:r w:rsidRPr="00CC491F">
              <w:rPr>
                <w:rFonts w:ascii="細明體" w:eastAsia="細明體" w:hAnsi="細明體" w:cs="微軟正黑體" w:hint="eastAsia"/>
                <w:sz w:val="17"/>
                <w:szCs w:val="17"/>
                <w:lang w:eastAsia="zh-TW"/>
              </w:rPr>
              <w:t>物業所產生的現金流）</w:t>
            </w: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02360C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tcPr>
          <w:p w14:paraId="2843792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F8B60A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tcPr>
          <w:p w14:paraId="6107A2D5"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7CFEC01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541CE03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2D37DE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36928094"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tcPr>
          <w:p w14:paraId="2D5B904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CBB87F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15C6FE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23D512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55EF80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675EA4A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34DF484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4E57D3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300F574"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76D53A94"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6D353EFE"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auto"/>
            <w:noWrap/>
          </w:tcPr>
          <w:p w14:paraId="2EBE8099" w14:textId="77777777" w:rsidR="009E0DD9" w:rsidRPr="009E0DD9" w:rsidRDefault="009E0DD9" w:rsidP="009E0DD9">
            <w:pPr>
              <w:spacing w:before="40" w:after="40"/>
              <w:rPr>
                <w:rFonts w:eastAsia="MS PGothic" w:cs="Segoe UI"/>
                <w:sz w:val="17"/>
                <w:szCs w:val="17"/>
                <w:lang w:eastAsia="ja-JP"/>
              </w:rPr>
            </w:pPr>
          </w:p>
        </w:tc>
      </w:tr>
      <w:tr w:rsidR="009E0DD9" w:rsidRPr="009E0DD9" w14:paraId="080709F4" w14:textId="77777777" w:rsidTr="009E0DD9">
        <w:trPr>
          <w:trHeight w:val="283"/>
        </w:trPr>
        <w:tc>
          <w:tcPr>
            <w:tcW w:w="459" w:type="dxa"/>
            <w:tcBorders>
              <w:top w:val="single" w:sz="4" w:space="0" w:color="auto"/>
              <w:left w:val="nil"/>
              <w:bottom w:val="single" w:sz="4" w:space="0" w:color="auto"/>
              <w:right w:val="single" w:sz="4" w:space="0" w:color="auto"/>
            </w:tcBorders>
          </w:tcPr>
          <w:p w14:paraId="1D48DC76"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9g</w:t>
            </w:r>
          </w:p>
        </w:tc>
        <w:tc>
          <w:tcPr>
            <w:tcW w:w="2651" w:type="dxa"/>
            <w:tcBorders>
              <w:top w:val="single" w:sz="4" w:space="0" w:color="auto"/>
              <w:left w:val="single" w:sz="4" w:space="0" w:color="auto"/>
              <w:bottom w:val="single" w:sz="4" w:space="0" w:color="auto"/>
              <w:right w:val="single" w:sz="4" w:space="0" w:color="auto"/>
            </w:tcBorders>
            <w:noWrap/>
          </w:tcPr>
          <w:p w14:paraId="0F3E6AAB" w14:textId="77777777" w:rsidR="009E0DD9" w:rsidRPr="00CC491F" w:rsidRDefault="009E0DD9" w:rsidP="009E0DD9">
            <w:pPr>
              <w:spacing w:before="40" w:after="40"/>
              <w:ind w:left="713"/>
              <w:rPr>
                <w:rFonts w:ascii="細明體" w:eastAsia="細明體" w:hAnsi="細明體" w:cs="Segoe UI"/>
                <w:sz w:val="17"/>
                <w:szCs w:val="17"/>
                <w:lang w:eastAsia="zh-TW"/>
              </w:rPr>
            </w:pPr>
            <w:r w:rsidRPr="00CC491F">
              <w:rPr>
                <w:rFonts w:ascii="細明體" w:eastAsia="細明體" w:hAnsi="細明體" w:cs="Segoe UI" w:hint="eastAsia"/>
                <w:sz w:val="17"/>
                <w:szCs w:val="17"/>
                <w:lang w:eastAsia="zh-HK"/>
              </w:rPr>
              <w:t>其中：並無應用貸款分</w:t>
            </w:r>
            <w:r w:rsidRPr="00CC491F">
              <w:rPr>
                <w:rFonts w:ascii="細明體" w:eastAsia="細明體" w:hAnsi="細明體" w:cs="微軟正黑體" w:hint="eastAsia"/>
                <w:sz w:val="17"/>
                <w:szCs w:val="17"/>
                <w:lang w:eastAsia="zh-TW"/>
              </w:rPr>
              <w:t>拆</w:t>
            </w: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688EE6C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tcPr>
          <w:p w14:paraId="4D3762A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60CFEFF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tcPr>
          <w:p w14:paraId="2435AE06"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3A61E71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58EBE93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D5F178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7417995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noWrap/>
          </w:tcPr>
          <w:p w14:paraId="4862C16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FA3413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50909C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6C8353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9AE3B60"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7C2894C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3BE0C4B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8E7E80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3BCB021"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68BDB12F"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043580D"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auto"/>
            <w:noWrap/>
          </w:tcPr>
          <w:p w14:paraId="4295CDDA" w14:textId="77777777" w:rsidR="009E0DD9" w:rsidRPr="009E0DD9" w:rsidRDefault="009E0DD9" w:rsidP="009E0DD9">
            <w:pPr>
              <w:spacing w:before="40" w:after="40"/>
              <w:rPr>
                <w:rFonts w:eastAsia="MS PGothic" w:cs="Segoe UI"/>
                <w:sz w:val="17"/>
                <w:szCs w:val="17"/>
                <w:lang w:eastAsia="ja-JP"/>
              </w:rPr>
            </w:pPr>
          </w:p>
        </w:tc>
      </w:tr>
      <w:tr w:rsidR="009E0DD9" w:rsidRPr="009E0DD9" w14:paraId="0867FAAA" w14:textId="77777777" w:rsidTr="009E0DD9">
        <w:trPr>
          <w:trHeight w:val="283"/>
        </w:trPr>
        <w:tc>
          <w:tcPr>
            <w:tcW w:w="459" w:type="dxa"/>
            <w:tcBorders>
              <w:top w:val="single" w:sz="4" w:space="0" w:color="auto"/>
              <w:left w:val="nil"/>
              <w:bottom w:val="single" w:sz="4" w:space="0" w:color="auto"/>
              <w:right w:val="single" w:sz="4" w:space="0" w:color="auto"/>
            </w:tcBorders>
          </w:tcPr>
          <w:p w14:paraId="11157C62"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9h</w:t>
            </w:r>
          </w:p>
        </w:tc>
        <w:tc>
          <w:tcPr>
            <w:tcW w:w="2651" w:type="dxa"/>
            <w:tcBorders>
              <w:top w:val="single" w:sz="4" w:space="0" w:color="auto"/>
              <w:left w:val="single" w:sz="4" w:space="0" w:color="auto"/>
              <w:bottom w:val="single" w:sz="4" w:space="0" w:color="auto"/>
              <w:right w:val="single" w:sz="4" w:space="0" w:color="auto"/>
            </w:tcBorders>
            <w:noWrap/>
          </w:tcPr>
          <w:p w14:paraId="00516B8F" w14:textId="7553A91C" w:rsidR="009E0DD9" w:rsidRPr="00CC491F" w:rsidRDefault="009E0DD9" w:rsidP="009E0DD9">
            <w:pPr>
              <w:spacing w:before="40" w:after="40"/>
              <w:ind w:left="713"/>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其中：應用貸款分拆（</w:t>
            </w:r>
            <w:r w:rsidR="00996B1E">
              <w:rPr>
                <w:rFonts w:ascii="細明體" w:eastAsia="細明體" w:hAnsi="細明體" w:cs="微軟正黑體" w:hint="eastAsia"/>
                <w:sz w:val="17"/>
                <w:szCs w:val="17"/>
                <w:lang w:eastAsia="zh-HK"/>
              </w:rPr>
              <w:t>有保證部分</w:t>
            </w:r>
            <w:r w:rsidRPr="00CC491F">
              <w:rPr>
                <w:rFonts w:ascii="細明體" w:eastAsia="細明體" w:hAnsi="細明體" w:cs="微軟正黑體" w:hint="eastAsia"/>
                <w:sz w:val="17"/>
                <w:szCs w:val="17"/>
                <w:lang w:eastAsia="zh-TW"/>
              </w:rPr>
              <w:t>）</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E980A0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9C516B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59055BD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DA166DA"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73F39CE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3D800D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0A63DA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4983D49"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4F73D8A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A4C902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6424B0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845543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6BC8172"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28BEC67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9D1553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EC00F5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918E142"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6A866F59"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BFBFBF"/>
          </w:tcPr>
          <w:p w14:paraId="426AA962"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BFBFBF"/>
            <w:noWrap/>
          </w:tcPr>
          <w:p w14:paraId="10F0FEB4" w14:textId="77777777" w:rsidR="009E0DD9" w:rsidRPr="009E0DD9" w:rsidRDefault="009E0DD9" w:rsidP="009E0DD9">
            <w:pPr>
              <w:spacing w:before="40" w:after="40"/>
              <w:rPr>
                <w:rFonts w:eastAsia="MS PGothic" w:cs="Segoe UI"/>
                <w:sz w:val="17"/>
                <w:szCs w:val="17"/>
                <w:lang w:eastAsia="ja-JP"/>
              </w:rPr>
            </w:pPr>
          </w:p>
        </w:tc>
      </w:tr>
      <w:tr w:rsidR="009E0DD9" w:rsidRPr="009E0DD9" w14:paraId="4905B402" w14:textId="77777777" w:rsidTr="009E0DD9">
        <w:trPr>
          <w:trHeight w:val="283"/>
        </w:trPr>
        <w:tc>
          <w:tcPr>
            <w:tcW w:w="459" w:type="dxa"/>
            <w:tcBorders>
              <w:top w:val="single" w:sz="4" w:space="0" w:color="auto"/>
              <w:left w:val="nil"/>
              <w:bottom w:val="single" w:sz="4" w:space="0" w:color="auto"/>
              <w:right w:val="single" w:sz="4" w:space="0" w:color="auto"/>
            </w:tcBorders>
          </w:tcPr>
          <w:p w14:paraId="1807F2E0"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9i</w:t>
            </w:r>
          </w:p>
        </w:tc>
        <w:tc>
          <w:tcPr>
            <w:tcW w:w="2651" w:type="dxa"/>
            <w:tcBorders>
              <w:top w:val="single" w:sz="4" w:space="0" w:color="auto"/>
              <w:left w:val="single" w:sz="4" w:space="0" w:color="auto"/>
              <w:bottom w:val="single" w:sz="4" w:space="0" w:color="auto"/>
              <w:right w:val="single" w:sz="4" w:space="0" w:color="auto"/>
            </w:tcBorders>
            <w:noWrap/>
          </w:tcPr>
          <w:p w14:paraId="03FD27D0" w14:textId="43E1208A" w:rsidR="00996B1E" w:rsidRPr="00E669DB" w:rsidRDefault="009E0DD9" w:rsidP="00E669DB">
            <w:pPr>
              <w:spacing w:before="40" w:after="40"/>
              <w:ind w:left="713"/>
              <w:rPr>
                <w:rFonts w:ascii="細明體" w:eastAsia="細明體" w:hAnsi="細明體" w:cs="微軟正黑體"/>
                <w:sz w:val="17"/>
                <w:szCs w:val="17"/>
                <w:lang w:eastAsia="zh-TW"/>
              </w:rPr>
            </w:pPr>
            <w:r w:rsidRPr="00CC491F">
              <w:rPr>
                <w:rFonts w:ascii="細明體" w:eastAsia="細明體" w:hAnsi="細明體" w:cs="微軟正黑體" w:hint="eastAsia"/>
                <w:sz w:val="17"/>
                <w:szCs w:val="17"/>
                <w:lang w:eastAsia="zh-TW"/>
              </w:rPr>
              <w:t>其中：應用貸款分拆（</w:t>
            </w:r>
            <w:r w:rsidRPr="00CC491F">
              <w:rPr>
                <w:rFonts w:ascii="細明體" w:eastAsia="細明體" w:hAnsi="細明體" w:cs="微軟正黑體" w:hint="eastAsia"/>
                <w:sz w:val="17"/>
                <w:szCs w:val="17"/>
                <w:lang w:eastAsia="zh-HK"/>
              </w:rPr>
              <w:t>無</w:t>
            </w:r>
            <w:r w:rsidR="00996B1E">
              <w:rPr>
                <w:rFonts w:ascii="細明體" w:eastAsia="細明體" w:hAnsi="細明體" w:cs="微軟正黑體" w:hint="eastAsia"/>
                <w:sz w:val="17"/>
                <w:szCs w:val="17"/>
                <w:lang w:eastAsia="zh-HK"/>
              </w:rPr>
              <w:t>保證部分</w:t>
            </w:r>
            <w:r w:rsidRPr="00CC491F">
              <w:rPr>
                <w:rFonts w:ascii="細明體" w:eastAsia="細明體" w:hAnsi="細明體" w:cs="微軟正黑體" w:hint="eastAsia"/>
                <w:sz w:val="17"/>
                <w:szCs w:val="17"/>
                <w:lang w:eastAsia="zh-TW"/>
              </w:rPr>
              <w:t>）</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1ECFF0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1C00665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566202C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09122FFE"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19C7DB9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3412D0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668CC8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D7ACA8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7AB8906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589C1A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0D7CB1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197D30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88795EC"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148F6B8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D1D105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F0945A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1C111C5"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46D39C11"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BFBFBF"/>
          </w:tcPr>
          <w:p w14:paraId="3F17086D"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BFBFBF"/>
            <w:noWrap/>
          </w:tcPr>
          <w:p w14:paraId="71AB05AD" w14:textId="77777777" w:rsidR="009E0DD9" w:rsidRPr="009E0DD9" w:rsidRDefault="009E0DD9" w:rsidP="009E0DD9">
            <w:pPr>
              <w:spacing w:before="40" w:after="40"/>
              <w:rPr>
                <w:rFonts w:eastAsia="MS PGothic" w:cs="Segoe UI"/>
                <w:sz w:val="17"/>
                <w:szCs w:val="17"/>
                <w:lang w:eastAsia="ja-JP"/>
              </w:rPr>
            </w:pPr>
          </w:p>
        </w:tc>
      </w:tr>
      <w:tr w:rsidR="009E0DD9" w:rsidRPr="009E0DD9" w14:paraId="156C516D" w14:textId="77777777" w:rsidTr="009E0DD9">
        <w:trPr>
          <w:trHeight w:val="283"/>
        </w:trPr>
        <w:tc>
          <w:tcPr>
            <w:tcW w:w="459" w:type="dxa"/>
            <w:tcBorders>
              <w:top w:val="single" w:sz="4" w:space="0" w:color="auto"/>
              <w:left w:val="nil"/>
              <w:bottom w:val="single" w:sz="4" w:space="0" w:color="auto"/>
              <w:right w:val="single" w:sz="4" w:space="0" w:color="auto"/>
            </w:tcBorders>
          </w:tcPr>
          <w:p w14:paraId="7AD79BCC"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9j</w:t>
            </w:r>
          </w:p>
        </w:tc>
        <w:tc>
          <w:tcPr>
            <w:tcW w:w="2651" w:type="dxa"/>
            <w:tcBorders>
              <w:top w:val="single" w:sz="4" w:space="0" w:color="auto"/>
              <w:left w:val="single" w:sz="4" w:space="0" w:color="auto"/>
              <w:bottom w:val="single" w:sz="4" w:space="0" w:color="auto"/>
              <w:right w:val="single" w:sz="4" w:space="0" w:color="auto"/>
            </w:tcBorders>
            <w:noWrap/>
          </w:tcPr>
          <w:p w14:paraId="3C80D09A" w14:textId="77777777" w:rsidR="009E0DD9" w:rsidRPr="00CC491F" w:rsidRDefault="009E0DD9" w:rsidP="009E0DD9">
            <w:pPr>
              <w:spacing w:before="40" w:after="40"/>
              <w:ind w:left="424"/>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其中：監管商業地產風險承擔（在關鍵程度上</w:t>
            </w:r>
            <w:r w:rsidRPr="00CC491F">
              <w:rPr>
                <w:rFonts w:ascii="細明體" w:eastAsia="細明體" w:hAnsi="細明體" w:cs="微軟正黑體" w:hint="eastAsia"/>
                <w:sz w:val="17"/>
                <w:szCs w:val="17"/>
                <w:lang w:eastAsia="zh-HK"/>
              </w:rPr>
              <w:t>有賴</w:t>
            </w:r>
            <w:r w:rsidRPr="00CC491F">
              <w:rPr>
                <w:rFonts w:ascii="細明體" w:eastAsia="細明體" w:hAnsi="細明體" w:cs="微軟正黑體" w:hint="eastAsia"/>
                <w:sz w:val="17"/>
                <w:szCs w:val="17"/>
                <w:lang w:eastAsia="zh-TW"/>
              </w:rPr>
              <w:t>於</w:t>
            </w:r>
            <w:r w:rsidRPr="00CC491F">
              <w:rPr>
                <w:rFonts w:ascii="細明體" w:eastAsia="細明體" w:hAnsi="細明體" w:cs="微軟正黑體" w:hint="eastAsia"/>
                <w:sz w:val="17"/>
                <w:szCs w:val="17"/>
                <w:lang w:eastAsia="zh-HK"/>
              </w:rPr>
              <w:t>按揭</w:t>
            </w:r>
            <w:r w:rsidRPr="00CC491F">
              <w:rPr>
                <w:rFonts w:ascii="細明體" w:eastAsia="細明體" w:hAnsi="細明體" w:cs="微軟正黑體" w:hint="eastAsia"/>
                <w:sz w:val="17"/>
                <w:szCs w:val="17"/>
                <w:lang w:eastAsia="zh-TW"/>
              </w:rPr>
              <w:t>物業所產生的現金流）</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4CF889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18B7471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4A2E44F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6C17D5B9"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696F03E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2F6A6B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B6596F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35E34B5"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00190AE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BC4F3A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2DC4011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369E7E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0F18280"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6C28213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A8F4E7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6C10A8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76BD05AC"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4C8F9FA1"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3CEBBEFA"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3B0A4E58" w14:textId="77777777" w:rsidR="009E0DD9" w:rsidRPr="009E0DD9" w:rsidRDefault="009E0DD9" w:rsidP="009E0DD9">
            <w:pPr>
              <w:spacing w:before="40" w:after="40"/>
              <w:rPr>
                <w:rFonts w:eastAsia="MS PGothic" w:cs="Segoe UI"/>
                <w:sz w:val="17"/>
                <w:szCs w:val="17"/>
                <w:lang w:eastAsia="ja-JP"/>
              </w:rPr>
            </w:pPr>
          </w:p>
        </w:tc>
      </w:tr>
      <w:tr w:rsidR="009E0DD9" w:rsidRPr="009E0DD9" w14:paraId="2BE57DBA" w14:textId="77777777" w:rsidTr="009E0DD9">
        <w:trPr>
          <w:trHeight w:val="283"/>
        </w:trPr>
        <w:tc>
          <w:tcPr>
            <w:tcW w:w="459" w:type="dxa"/>
            <w:tcBorders>
              <w:top w:val="single" w:sz="4" w:space="0" w:color="auto"/>
              <w:left w:val="nil"/>
              <w:bottom w:val="single" w:sz="4" w:space="0" w:color="auto"/>
              <w:right w:val="single" w:sz="4" w:space="0" w:color="auto"/>
            </w:tcBorders>
          </w:tcPr>
          <w:p w14:paraId="777C72B3"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9k</w:t>
            </w:r>
          </w:p>
        </w:tc>
        <w:tc>
          <w:tcPr>
            <w:tcW w:w="2651" w:type="dxa"/>
            <w:tcBorders>
              <w:top w:val="single" w:sz="4" w:space="0" w:color="auto"/>
              <w:left w:val="single" w:sz="4" w:space="0" w:color="auto"/>
              <w:bottom w:val="single" w:sz="4" w:space="0" w:color="auto"/>
              <w:right w:val="single" w:sz="4" w:space="0" w:color="auto"/>
            </w:tcBorders>
            <w:noWrap/>
            <w:hideMark/>
          </w:tcPr>
          <w:p w14:paraId="7C492E64" w14:textId="77777777" w:rsidR="009E0DD9" w:rsidRPr="00CC491F" w:rsidRDefault="009E0DD9" w:rsidP="009E0DD9">
            <w:pPr>
              <w:spacing w:before="40" w:after="40"/>
              <w:ind w:left="424"/>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w:t>
            </w:r>
            <w:r w:rsidRPr="00CC491F">
              <w:rPr>
                <w:rFonts w:ascii="細明體" w:eastAsia="細明體" w:hAnsi="細明體" w:cs="微軟正黑體" w:hint="eastAsia"/>
                <w:sz w:val="17"/>
                <w:szCs w:val="17"/>
                <w:lang w:eastAsia="zh-HK"/>
              </w:rPr>
              <w:t>其他</w:t>
            </w:r>
            <w:r w:rsidRPr="00CC491F">
              <w:rPr>
                <w:rFonts w:ascii="細明體" w:eastAsia="細明體" w:hAnsi="細明體" w:cs="微軟正黑體" w:hint="eastAsia"/>
                <w:sz w:val="17"/>
                <w:szCs w:val="17"/>
                <w:lang w:eastAsia="zh-TW"/>
              </w:rPr>
              <w:t>地產風險承擔（並非在關鍵程度上</w:t>
            </w:r>
            <w:r w:rsidRPr="00CC491F">
              <w:rPr>
                <w:rFonts w:ascii="細明體" w:eastAsia="細明體" w:hAnsi="細明體" w:cs="微軟正黑體" w:hint="eastAsia"/>
                <w:sz w:val="17"/>
                <w:szCs w:val="17"/>
                <w:lang w:eastAsia="zh-HK"/>
              </w:rPr>
              <w:t>有賴</w:t>
            </w:r>
            <w:r w:rsidRPr="00CC491F">
              <w:rPr>
                <w:rFonts w:ascii="細明體" w:eastAsia="細明體" w:hAnsi="細明體" w:cs="微軟正黑體" w:hint="eastAsia"/>
                <w:sz w:val="17"/>
                <w:szCs w:val="17"/>
                <w:lang w:eastAsia="zh-TW"/>
              </w:rPr>
              <w:t>於</w:t>
            </w:r>
            <w:r w:rsidRPr="00CC491F">
              <w:rPr>
                <w:rFonts w:ascii="細明體" w:eastAsia="細明體" w:hAnsi="細明體" w:cs="微軟正黑體" w:hint="eastAsia"/>
                <w:sz w:val="17"/>
                <w:szCs w:val="17"/>
                <w:lang w:eastAsia="zh-HK"/>
              </w:rPr>
              <w:t>按揭</w:t>
            </w:r>
            <w:r w:rsidRPr="00CC491F">
              <w:rPr>
                <w:rFonts w:ascii="細明體" w:eastAsia="細明體" w:hAnsi="細明體" w:cs="微軟正黑體" w:hint="eastAsia"/>
                <w:sz w:val="17"/>
                <w:szCs w:val="17"/>
                <w:lang w:eastAsia="zh-TW"/>
              </w:rPr>
              <w:t>物業所產生的現金流）</w:t>
            </w: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1E85ABC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noWrap/>
          </w:tcPr>
          <w:p w14:paraId="091C28C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1855C75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noWrap/>
          </w:tcPr>
          <w:p w14:paraId="2DCE2FE6"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5A1060B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415B6EB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BB2AC8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4091BFA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3271AF2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E5923F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CC5886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510FCBA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6604FB3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6826719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25E10E1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5E7615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88D917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4A12FDD7"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tcPr>
          <w:p w14:paraId="55A0F8FF"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1B7D2AF3" w14:textId="77777777" w:rsidR="009E0DD9" w:rsidRPr="009E0DD9" w:rsidRDefault="009E0DD9" w:rsidP="009E0DD9">
            <w:pPr>
              <w:spacing w:before="40" w:after="40"/>
              <w:rPr>
                <w:rFonts w:eastAsia="MS PGothic" w:cs="Segoe UI"/>
                <w:sz w:val="17"/>
                <w:szCs w:val="17"/>
                <w:lang w:eastAsia="ja-JP"/>
              </w:rPr>
            </w:pPr>
          </w:p>
        </w:tc>
      </w:tr>
      <w:tr w:rsidR="009E0DD9" w:rsidRPr="009E0DD9" w14:paraId="10D84D7A" w14:textId="77777777" w:rsidTr="009E0DD9">
        <w:trPr>
          <w:trHeight w:val="283"/>
        </w:trPr>
        <w:tc>
          <w:tcPr>
            <w:tcW w:w="459" w:type="dxa"/>
            <w:tcBorders>
              <w:top w:val="single" w:sz="4" w:space="0" w:color="auto"/>
              <w:left w:val="nil"/>
              <w:bottom w:val="single" w:sz="4" w:space="0" w:color="auto"/>
              <w:right w:val="single" w:sz="4" w:space="0" w:color="auto"/>
            </w:tcBorders>
          </w:tcPr>
          <w:p w14:paraId="1E150D0F"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9l</w:t>
            </w:r>
          </w:p>
        </w:tc>
        <w:tc>
          <w:tcPr>
            <w:tcW w:w="2651" w:type="dxa"/>
            <w:tcBorders>
              <w:top w:val="single" w:sz="4" w:space="0" w:color="auto"/>
              <w:left w:val="single" w:sz="4" w:space="0" w:color="auto"/>
              <w:bottom w:val="single" w:sz="4" w:space="0" w:color="auto"/>
              <w:right w:val="single" w:sz="4" w:space="0" w:color="auto"/>
            </w:tcBorders>
            <w:noWrap/>
          </w:tcPr>
          <w:p w14:paraId="28A2ACAD" w14:textId="77777777" w:rsidR="009E0DD9" w:rsidRPr="00CC491F" w:rsidRDefault="009E0DD9" w:rsidP="009E0DD9">
            <w:pPr>
              <w:spacing w:before="40" w:after="40"/>
              <w:ind w:left="713"/>
              <w:rPr>
                <w:rFonts w:ascii="細明體" w:eastAsia="細明體" w:hAnsi="細明體" w:cs="Segoe UI"/>
                <w:sz w:val="17"/>
                <w:szCs w:val="17"/>
                <w:lang w:eastAsia="zh-TW"/>
              </w:rPr>
            </w:pPr>
            <w:r w:rsidRPr="00CC491F">
              <w:rPr>
                <w:rFonts w:ascii="細明體" w:eastAsia="細明體" w:hAnsi="細明體" w:cs="Segoe UI" w:hint="eastAsia"/>
                <w:sz w:val="17"/>
                <w:szCs w:val="17"/>
                <w:lang w:eastAsia="zh-HK"/>
              </w:rPr>
              <w:t>其中：並無應用貸款分</w:t>
            </w:r>
            <w:r w:rsidRPr="00CC491F">
              <w:rPr>
                <w:rFonts w:ascii="細明體" w:eastAsia="細明體" w:hAnsi="細明體" w:cs="微軟正黑體" w:hint="eastAsia"/>
                <w:sz w:val="17"/>
                <w:szCs w:val="17"/>
                <w:lang w:eastAsia="zh-TW"/>
              </w:rPr>
              <w:t>拆</w:t>
            </w: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03C7337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noWrap/>
          </w:tcPr>
          <w:p w14:paraId="0C0EA5D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28FDE14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noWrap/>
          </w:tcPr>
          <w:p w14:paraId="2EB76FE1"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4E4BC87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4C56E3E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C732C1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296ED674"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1C25FC2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847401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07320C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3BBD4B88"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6807870E"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03D51E7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FFFFFF"/>
          </w:tcPr>
          <w:p w14:paraId="21FDC6A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FBA698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D6E513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1C2F1655"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tcPr>
          <w:p w14:paraId="557882CF"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0B3F276E" w14:textId="77777777" w:rsidR="009E0DD9" w:rsidRPr="009E0DD9" w:rsidRDefault="009E0DD9" w:rsidP="009E0DD9">
            <w:pPr>
              <w:spacing w:before="40" w:after="40"/>
              <w:rPr>
                <w:rFonts w:eastAsia="MS PGothic" w:cs="Segoe UI"/>
                <w:sz w:val="17"/>
                <w:szCs w:val="17"/>
                <w:lang w:eastAsia="ja-JP"/>
              </w:rPr>
            </w:pPr>
          </w:p>
        </w:tc>
      </w:tr>
      <w:tr w:rsidR="009E0DD9" w:rsidRPr="009E0DD9" w14:paraId="361A59B4" w14:textId="77777777" w:rsidTr="009E0DD9">
        <w:trPr>
          <w:trHeight w:val="283"/>
        </w:trPr>
        <w:tc>
          <w:tcPr>
            <w:tcW w:w="459" w:type="dxa"/>
            <w:tcBorders>
              <w:top w:val="single" w:sz="4" w:space="0" w:color="auto"/>
              <w:left w:val="nil"/>
              <w:bottom w:val="single" w:sz="4" w:space="0" w:color="auto"/>
              <w:right w:val="single" w:sz="4" w:space="0" w:color="auto"/>
            </w:tcBorders>
          </w:tcPr>
          <w:p w14:paraId="552102BB"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9m</w:t>
            </w:r>
          </w:p>
        </w:tc>
        <w:tc>
          <w:tcPr>
            <w:tcW w:w="2651" w:type="dxa"/>
            <w:tcBorders>
              <w:top w:val="single" w:sz="4" w:space="0" w:color="auto"/>
              <w:left w:val="single" w:sz="4" w:space="0" w:color="auto"/>
              <w:bottom w:val="single" w:sz="4" w:space="0" w:color="auto"/>
              <w:right w:val="single" w:sz="4" w:space="0" w:color="auto"/>
            </w:tcBorders>
            <w:noWrap/>
          </w:tcPr>
          <w:p w14:paraId="6E72AFB9" w14:textId="7C9486C9" w:rsidR="009E0DD9" w:rsidRPr="00CC491F" w:rsidRDefault="009E0DD9" w:rsidP="009E0DD9">
            <w:pPr>
              <w:spacing w:before="40" w:after="40"/>
              <w:ind w:left="713"/>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其中：應用貸款分拆（</w:t>
            </w:r>
            <w:r w:rsidR="00996B1E">
              <w:rPr>
                <w:rFonts w:ascii="細明體" w:eastAsia="細明體" w:hAnsi="細明體" w:cs="微軟正黑體" w:hint="eastAsia"/>
                <w:sz w:val="17"/>
                <w:szCs w:val="17"/>
                <w:lang w:eastAsia="zh-HK"/>
              </w:rPr>
              <w:t>有保證部分</w:t>
            </w:r>
            <w:r w:rsidRPr="00CC491F">
              <w:rPr>
                <w:rFonts w:ascii="細明體" w:eastAsia="細明體" w:hAnsi="細明體" w:cs="微軟正黑體" w:hint="eastAsia"/>
                <w:sz w:val="17"/>
                <w:szCs w:val="17"/>
                <w:lang w:eastAsia="zh-TW"/>
              </w:rPr>
              <w:t>）</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0CC4CB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78A7A95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531997B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17DF6C81"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71525CD6"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FC084F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7BAB28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05EDB8C"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02197E2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7094E0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B03FED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353B4A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D472A6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3E31F42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D6F598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3C9503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D179AE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3D9EAE51"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BFBFBF"/>
          </w:tcPr>
          <w:p w14:paraId="0B9232F8"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BFBFBF"/>
            <w:noWrap/>
          </w:tcPr>
          <w:p w14:paraId="02BA09E5" w14:textId="77777777" w:rsidR="009E0DD9" w:rsidRPr="009E0DD9" w:rsidRDefault="009E0DD9" w:rsidP="009E0DD9">
            <w:pPr>
              <w:spacing w:before="40" w:after="40"/>
              <w:rPr>
                <w:rFonts w:eastAsia="MS PGothic" w:cs="Segoe UI"/>
                <w:sz w:val="17"/>
                <w:szCs w:val="17"/>
                <w:lang w:eastAsia="ja-JP"/>
              </w:rPr>
            </w:pPr>
          </w:p>
        </w:tc>
      </w:tr>
      <w:tr w:rsidR="009E0DD9" w:rsidRPr="009E0DD9" w14:paraId="7C1BBAAD" w14:textId="77777777" w:rsidTr="009E0DD9">
        <w:trPr>
          <w:trHeight w:val="283"/>
        </w:trPr>
        <w:tc>
          <w:tcPr>
            <w:tcW w:w="459" w:type="dxa"/>
            <w:tcBorders>
              <w:top w:val="single" w:sz="4" w:space="0" w:color="auto"/>
              <w:left w:val="nil"/>
              <w:bottom w:val="single" w:sz="4" w:space="0" w:color="auto"/>
              <w:right w:val="single" w:sz="4" w:space="0" w:color="auto"/>
            </w:tcBorders>
          </w:tcPr>
          <w:p w14:paraId="2BF01B1F"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9n</w:t>
            </w:r>
          </w:p>
        </w:tc>
        <w:tc>
          <w:tcPr>
            <w:tcW w:w="2651" w:type="dxa"/>
            <w:tcBorders>
              <w:top w:val="single" w:sz="4" w:space="0" w:color="auto"/>
              <w:left w:val="single" w:sz="4" w:space="0" w:color="auto"/>
              <w:bottom w:val="single" w:sz="4" w:space="0" w:color="auto"/>
              <w:right w:val="single" w:sz="4" w:space="0" w:color="auto"/>
            </w:tcBorders>
            <w:noWrap/>
          </w:tcPr>
          <w:p w14:paraId="354D3EBE" w14:textId="764DD8F1" w:rsidR="009E0DD9" w:rsidRPr="00CC491F" w:rsidRDefault="009E0DD9" w:rsidP="009E0DD9">
            <w:pPr>
              <w:spacing w:before="40" w:after="40"/>
              <w:ind w:left="713"/>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其中：應用貸款分拆（</w:t>
            </w:r>
            <w:r w:rsidRPr="00CC491F">
              <w:rPr>
                <w:rFonts w:ascii="細明體" w:eastAsia="細明體" w:hAnsi="細明體" w:cs="微軟正黑體" w:hint="eastAsia"/>
                <w:sz w:val="17"/>
                <w:szCs w:val="17"/>
                <w:lang w:eastAsia="zh-HK"/>
              </w:rPr>
              <w:t>無</w:t>
            </w:r>
            <w:r w:rsidR="00996B1E">
              <w:rPr>
                <w:rFonts w:ascii="細明體" w:eastAsia="細明體" w:hAnsi="細明體" w:cs="微軟正黑體" w:hint="eastAsia"/>
                <w:sz w:val="17"/>
                <w:szCs w:val="17"/>
                <w:lang w:eastAsia="zh-HK"/>
              </w:rPr>
              <w:t>保證部分</w:t>
            </w:r>
            <w:r w:rsidRPr="00CC491F">
              <w:rPr>
                <w:rFonts w:ascii="細明體" w:eastAsia="細明體" w:hAnsi="細明體" w:cs="微軟正黑體" w:hint="eastAsia"/>
                <w:sz w:val="17"/>
                <w:szCs w:val="17"/>
                <w:lang w:eastAsia="zh-TW"/>
              </w:rPr>
              <w:t>）</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F6CC7A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B3345B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905D88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3051114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3110C74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BB8E91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FD4224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834CE4B"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1CDB09C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A13254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B8A1D0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C87DE7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36E8E76"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735C422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5627A4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DF8F05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2294CE9"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35788AE5"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shd w:val="clear" w:color="auto" w:fill="BFBFBF"/>
          </w:tcPr>
          <w:p w14:paraId="6C753D98"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shd w:val="clear" w:color="auto" w:fill="BFBFBF"/>
            <w:noWrap/>
          </w:tcPr>
          <w:p w14:paraId="68C8D838" w14:textId="77777777" w:rsidR="009E0DD9" w:rsidRPr="009E0DD9" w:rsidRDefault="009E0DD9" w:rsidP="009E0DD9">
            <w:pPr>
              <w:spacing w:before="40" w:after="40"/>
              <w:rPr>
                <w:rFonts w:eastAsia="MS PGothic" w:cs="Segoe UI"/>
                <w:sz w:val="17"/>
                <w:szCs w:val="17"/>
                <w:lang w:eastAsia="ja-JP"/>
              </w:rPr>
            </w:pPr>
          </w:p>
        </w:tc>
      </w:tr>
      <w:tr w:rsidR="009E0DD9" w:rsidRPr="009E0DD9" w14:paraId="2BF5E89A" w14:textId="77777777" w:rsidTr="009E0DD9">
        <w:trPr>
          <w:trHeight w:val="283"/>
        </w:trPr>
        <w:tc>
          <w:tcPr>
            <w:tcW w:w="459" w:type="dxa"/>
            <w:tcBorders>
              <w:top w:val="single" w:sz="4" w:space="0" w:color="auto"/>
              <w:left w:val="nil"/>
              <w:bottom w:val="single" w:sz="4" w:space="0" w:color="auto"/>
              <w:right w:val="single" w:sz="4" w:space="0" w:color="auto"/>
            </w:tcBorders>
          </w:tcPr>
          <w:p w14:paraId="4ED572FC"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9o</w:t>
            </w:r>
          </w:p>
        </w:tc>
        <w:tc>
          <w:tcPr>
            <w:tcW w:w="2651" w:type="dxa"/>
            <w:tcBorders>
              <w:top w:val="single" w:sz="4" w:space="0" w:color="auto"/>
              <w:left w:val="single" w:sz="4" w:space="0" w:color="auto"/>
              <w:bottom w:val="single" w:sz="4" w:space="0" w:color="auto"/>
              <w:right w:val="single" w:sz="4" w:space="0" w:color="auto"/>
            </w:tcBorders>
            <w:noWrap/>
          </w:tcPr>
          <w:p w14:paraId="6DA91C5D" w14:textId="77777777" w:rsidR="009E0DD9" w:rsidRPr="00CC491F" w:rsidRDefault="009E0DD9" w:rsidP="009E0DD9">
            <w:pPr>
              <w:spacing w:before="40" w:after="40"/>
              <w:ind w:left="424"/>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其中：其他地產風險承擔（在關鍵程度上</w:t>
            </w:r>
            <w:r w:rsidRPr="00CC491F">
              <w:rPr>
                <w:rFonts w:ascii="細明體" w:eastAsia="細明體" w:hAnsi="細明體" w:cs="微軟正黑體" w:hint="eastAsia"/>
                <w:sz w:val="17"/>
                <w:szCs w:val="17"/>
                <w:lang w:eastAsia="zh-HK"/>
              </w:rPr>
              <w:t>有賴</w:t>
            </w:r>
            <w:r w:rsidRPr="00CC491F">
              <w:rPr>
                <w:rFonts w:ascii="細明體" w:eastAsia="細明體" w:hAnsi="細明體" w:cs="微軟正黑體" w:hint="eastAsia"/>
                <w:sz w:val="17"/>
                <w:szCs w:val="17"/>
                <w:lang w:eastAsia="zh-TW"/>
              </w:rPr>
              <w:t>於</w:t>
            </w:r>
            <w:r w:rsidRPr="00CC491F">
              <w:rPr>
                <w:rFonts w:ascii="細明體" w:eastAsia="細明體" w:hAnsi="細明體" w:cs="微軟正黑體" w:hint="eastAsia"/>
                <w:sz w:val="17"/>
                <w:szCs w:val="17"/>
                <w:lang w:eastAsia="zh-HK"/>
              </w:rPr>
              <w:t>按揭</w:t>
            </w:r>
            <w:r w:rsidRPr="00CC491F">
              <w:rPr>
                <w:rFonts w:ascii="細明體" w:eastAsia="細明體" w:hAnsi="細明體" w:cs="微軟正黑體" w:hint="eastAsia"/>
                <w:sz w:val="17"/>
                <w:szCs w:val="17"/>
                <w:lang w:eastAsia="zh-TW"/>
              </w:rPr>
              <w:t>物業所產生的現金流）</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BB20E6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48E04224"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5E56310C"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2BA48EA0"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63004DD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DB80AE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886FDC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DC3C96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4B11B6F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1A570C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2E3977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035C98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A803E0C"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44D9003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3EA1E1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7921A19"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B000993"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6B7C13BB"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tcPr>
          <w:p w14:paraId="120DEA24"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3ADC2EA3" w14:textId="77777777" w:rsidR="009E0DD9" w:rsidRPr="009E0DD9" w:rsidRDefault="009E0DD9" w:rsidP="009E0DD9">
            <w:pPr>
              <w:spacing w:before="40" w:after="40"/>
              <w:rPr>
                <w:rFonts w:eastAsia="MS PGothic" w:cs="Segoe UI"/>
                <w:sz w:val="17"/>
                <w:szCs w:val="17"/>
                <w:lang w:eastAsia="ja-JP"/>
              </w:rPr>
            </w:pPr>
          </w:p>
        </w:tc>
      </w:tr>
      <w:tr w:rsidR="009E0DD9" w:rsidRPr="009E0DD9" w14:paraId="1DD35890" w14:textId="77777777" w:rsidTr="009E0DD9">
        <w:trPr>
          <w:trHeight w:val="283"/>
        </w:trPr>
        <w:tc>
          <w:tcPr>
            <w:tcW w:w="459" w:type="dxa"/>
            <w:tcBorders>
              <w:top w:val="single" w:sz="4" w:space="0" w:color="auto"/>
              <w:left w:val="nil"/>
              <w:bottom w:val="single" w:sz="6" w:space="0" w:color="000000"/>
              <w:right w:val="single" w:sz="4" w:space="0" w:color="auto"/>
            </w:tcBorders>
          </w:tcPr>
          <w:p w14:paraId="13E91711"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9p</w:t>
            </w:r>
          </w:p>
        </w:tc>
        <w:tc>
          <w:tcPr>
            <w:tcW w:w="2651" w:type="dxa"/>
            <w:tcBorders>
              <w:top w:val="single" w:sz="4" w:space="0" w:color="auto"/>
              <w:left w:val="single" w:sz="4" w:space="0" w:color="auto"/>
              <w:bottom w:val="single" w:sz="4" w:space="0" w:color="auto"/>
              <w:right w:val="single" w:sz="4" w:space="0" w:color="auto"/>
            </w:tcBorders>
            <w:noWrap/>
            <w:hideMark/>
          </w:tcPr>
          <w:p w14:paraId="7026A6B6" w14:textId="3352A04A" w:rsidR="009E0DD9" w:rsidRPr="00CC491F" w:rsidRDefault="009E0DD9" w:rsidP="009E0DD9">
            <w:pPr>
              <w:spacing w:before="40" w:after="40"/>
              <w:ind w:left="424"/>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其中：土地購買、開發</w:t>
            </w:r>
            <w:r w:rsidRPr="00CC491F">
              <w:rPr>
                <w:rFonts w:ascii="細明體" w:eastAsia="細明體" w:hAnsi="細明體" w:cs="微軟正黑體" w:hint="eastAsia"/>
                <w:sz w:val="17"/>
                <w:szCs w:val="17"/>
                <w:lang w:eastAsia="zh-HK"/>
              </w:rPr>
              <w:t>及</w:t>
            </w:r>
            <w:r w:rsidR="003220DF" w:rsidRPr="00CC491F">
              <w:rPr>
                <w:rFonts w:ascii="細明體" w:eastAsia="細明體" w:hAnsi="細明體" w:cs="微軟正黑體" w:hint="eastAsia"/>
                <w:sz w:val="17"/>
                <w:szCs w:val="17"/>
                <w:lang w:eastAsia="zh-TW"/>
              </w:rPr>
              <w:t>建築</w:t>
            </w:r>
            <w:r w:rsidRPr="00CC491F">
              <w:rPr>
                <w:rFonts w:ascii="細明體" w:eastAsia="細明體" w:hAnsi="細明體" w:cs="微軟正黑體" w:hint="eastAsia"/>
                <w:sz w:val="17"/>
                <w:szCs w:val="17"/>
                <w:lang w:eastAsia="zh-TW"/>
              </w:rPr>
              <w:t>風險承擔</w:t>
            </w: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15D6958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6432DD77"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0E670962"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noWrap/>
          </w:tcPr>
          <w:p w14:paraId="21DF9E57"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1ACA29C1"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8B082CA"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69669A3"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535F350E"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noWrap/>
          </w:tcPr>
          <w:p w14:paraId="068345B0"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75151E1E"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4631530B"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6D4BA76F"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0A633062"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BFBFBF"/>
          </w:tcPr>
          <w:p w14:paraId="1A43D82D"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37C8EF2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328B2C25" w14:textId="77777777" w:rsidR="009E0DD9" w:rsidRPr="009E0DD9" w:rsidRDefault="009E0DD9" w:rsidP="009E0DD9">
            <w:pPr>
              <w:spacing w:before="40" w:after="40"/>
              <w:rPr>
                <w:rFonts w:eastAsia="MS PGothic" w:cs="Segoe UI"/>
                <w:sz w:val="17"/>
                <w:szCs w:val="17"/>
                <w:lang w:eastAsia="ja-JP"/>
              </w:rPr>
            </w:pPr>
          </w:p>
        </w:tc>
        <w:tc>
          <w:tcPr>
            <w:tcW w:w="488" w:type="dxa"/>
            <w:tcBorders>
              <w:top w:val="single" w:sz="4" w:space="0" w:color="auto"/>
              <w:left w:val="single" w:sz="4" w:space="0" w:color="auto"/>
              <w:bottom w:val="single" w:sz="4" w:space="0" w:color="auto"/>
              <w:right w:val="single" w:sz="4" w:space="0" w:color="auto"/>
            </w:tcBorders>
            <w:shd w:val="clear" w:color="auto" w:fill="BFBFBF"/>
          </w:tcPr>
          <w:p w14:paraId="202948C8" w14:textId="77777777" w:rsidR="009E0DD9" w:rsidRPr="009E0DD9" w:rsidRDefault="009E0DD9" w:rsidP="009E0DD9">
            <w:pPr>
              <w:spacing w:before="40" w:after="40"/>
              <w:rPr>
                <w:rFonts w:eastAsia="MS PGothic" w:cs="Segoe UI"/>
                <w:sz w:val="17"/>
                <w:szCs w:val="17"/>
                <w:lang w:eastAsia="ja-JP"/>
              </w:rPr>
            </w:pPr>
          </w:p>
        </w:tc>
        <w:tc>
          <w:tcPr>
            <w:tcW w:w="489" w:type="dxa"/>
            <w:tcBorders>
              <w:top w:val="single" w:sz="4" w:space="0" w:color="auto"/>
              <w:left w:val="single" w:sz="4" w:space="0" w:color="auto"/>
              <w:bottom w:val="single" w:sz="4" w:space="0" w:color="auto"/>
              <w:right w:val="single" w:sz="4" w:space="0" w:color="auto"/>
            </w:tcBorders>
            <w:shd w:val="clear" w:color="auto" w:fill="auto"/>
          </w:tcPr>
          <w:p w14:paraId="6AD9E31E" w14:textId="77777777" w:rsidR="009E0DD9" w:rsidRPr="009E0DD9" w:rsidRDefault="009E0DD9" w:rsidP="009E0DD9">
            <w:pPr>
              <w:spacing w:before="40" w:after="40"/>
              <w:rPr>
                <w:rFonts w:eastAsia="MS PGothic" w:cs="Segoe UI"/>
                <w:sz w:val="17"/>
                <w:szCs w:val="17"/>
                <w:lang w:eastAsia="ja-JP"/>
              </w:rPr>
            </w:pPr>
          </w:p>
        </w:tc>
        <w:tc>
          <w:tcPr>
            <w:tcW w:w="730" w:type="dxa"/>
            <w:tcBorders>
              <w:top w:val="single" w:sz="4" w:space="0" w:color="auto"/>
              <w:left w:val="single" w:sz="4" w:space="0" w:color="auto"/>
              <w:bottom w:val="single" w:sz="4" w:space="0" w:color="auto"/>
              <w:right w:val="single" w:sz="4" w:space="0" w:color="auto"/>
            </w:tcBorders>
          </w:tcPr>
          <w:p w14:paraId="43EAD429" w14:textId="77777777" w:rsidR="009E0DD9" w:rsidRPr="009E0DD9" w:rsidRDefault="009E0DD9" w:rsidP="009E0DD9">
            <w:pPr>
              <w:spacing w:before="40" w:after="40"/>
              <w:rPr>
                <w:rFonts w:eastAsia="MS PGothic" w:cs="Segoe UI"/>
                <w:sz w:val="17"/>
                <w:szCs w:val="17"/>
                <w:lang w:eastAsia="ja-JP"/>
              </w:rPr>
            </w:pPr>
          </w:p>
        </w:tc>
        <w:tc>
          <w:tcPr>
            <w:tcW w:w="1538" w:type="dxa"/>
            <w:tcBorders>
              <w:top w:val="single" w:sz="4" w:space="0" w:color="auto"/>
              <w:left w:val="single" w:sz="4" w:space="0" w:color="auto"/>
              <w:bottom w:val="single" w:sz="4" w:space="0" w:color="auto"/>
              <w:right w:val="single" w:sz="4" w:space="0" w:color="auto"/>
            </w:tcBorders>
            <w:noWrap/>
          </w:tcPr>
          <w:p w14:paraId="22D9EFDB" w14:textId="77777777" w:rsidR="009E0DD9" w:rsidRPr="009E0DD9" w:rsidRDefault="009E0DD9" w:rsidP="009E0DD9">
            <w:pPr>
              <w:spacing w:before="40" w:after="40"/>
              <w:rPr>
                <w:rFonts w:eastAsia="MS PGothic" w:cs="Segoe UI"/>
                <w:sz w:val="17"/>
                <w:szCs w:val="17"/>
                <w:lang w:eastAsia="ja-JP"/>
              </w:rPr>
            </w:pPr>
          </w:p>
        </w:tc>
      </w:tr>
    </w:tbl>
    <w:p w14:paraId="4FF94209" w14:textId="7F4F0990" w:rsidR="009E0DD9" w:rsidRDefault="009E0DD9" w:rsidP="009E0DD9">
      <w:pPr>
        <w:spacing w:before="40" w:after="40"/>
        <w:rPr>
          <w:rFonts w:cs="Segoe UI"/>
          <w:sz w:val="17"/>
          <w:szCs w:val="17"/>
          <w:lang w:eastAsia="zh-TW"/>
        </w:rPr>
      </w:pPr>
    </w:p>
    <w:p w14:paraId="162EC3B7" w14:textId="77777777" w:rsidR="00B3752A" w:rsidRPr="009E0DD9" w:rsidRDefault="00B3752A" w:rsidP="009E0DD9">
      <w:pPr>
        <w:spacing w:before="40" w:after="40"/>
        <w:rPr>
          <w:rFonts w:cs="Segoe UI"/>
          <w:sz w:val="17"/>
          <w:szCs w:val="17"/>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9E0DD9" w:rsidRPr="009E0DD9" w14:paraId="05BB4067" w14:textId="77777777" w:rsidTr="009E0DD9">
        <w:trPr>
          <w:trHeight w:val="283"/>
        </w:trPr>
        <w:tc>
          <w:tcPr>
            <w:tcW w:w="459" w:type="dxa"/>
            <w:tcBorders>
              <w:top w:val="single" w:sz="4" w:space="0" w:color="auto"/>
              <w:left w:val="nil"/>
              <w:bottom w:val="nil"/>
              <w:right w:val="single" w:sz="4" w:space="0" w:color="auto"/>
            </w:tcBorders>
          </w:tcPr>
          <w:p w14:paraId="2867362D" w14:textId="77777777" w:rsidR="009E0DD9" w:rsidRPr="009E0DD9" w:rsidRDefault="009E0DD9" w:rsidP="009E0DD9">
            <w:pPr>
              <w:spacing w:before="40" w:after="40"/>
              <w:rPr>
                <w:rFonts w:cs="Segoe UI"/>
                <w:sz w:val="17"/>
                <w:szCs w:val="17"/>
                <w:lang w:eastAsia="zh-TW"/>
              </w:rPr>
            </w:pPr>
          </w:p>
        </w:tc>
        <w:tc>
          <w:tcPr>
            <w:tcW w:w="4292" w:type="dxa"/>
            <w:tcBorders>
              <w:top w:val="single" w:sz="4" w:space="0" w:color="auto"/>
              <w:left w:val="single" w:sz="4" w:space="0" w:color="auto"/>
              <w:bottom w:val="single" w:sz="4" w:space="0" w:color="auto"/>
              <w:right w:val="single" w:sz="4" w:space="0" w:color="auto"/>
            </w:tcBorders>
            <w:noWrap/>
          </w:tcPr>
          <w:p w14:paraId="1A962D33" w14:textId="77777777" w:rsidR="009E0DD9" w:rsidRPr="009E0DD9" w:rsidRDefault="009E0DD9" w:rsidP="009E0DD9">
            <w:pPr>
              <w:spacing w:before="40" w:after="40"/>
              <w:rPr>
                <w:rFonts w:cs="Segoe UI"/>
                <w:sz w:val="17"/>
                <w:szCs w:val="17"/>
                <w:lang w:eastAsia="zh-TW"/>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0E50B0A2"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50%</w:t>
            </w:r>
          </w:p>
        </w:tc>
        <w:tc>
          <w:tcPr>
            <w:tcW w:w="1574" w:type="dxa"/>
            <w:tcBorders>
              <w:top w:val="single" w:sz="4" w:space="0" w:color="auto"/>
              <w:left w:val="single" w:sz="4" w:space="0" w:color="auto"/>
              <w:bottom w:val="single" w:sz="4" w:space="0" w:color="auto"/>
              <w:right w:val="single" w:sz="4" w:space="0" w:color="auto"/>
            </w:tcBorders>
            <w:vAlign w:val="center"/>
          </w:tcPr>
          <w:p w14:paraId="4894E5AE"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33C323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150%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075EE79C" w14:textId="0D92AAA2" w:rsidR="009E0DD9" w:rsidRPr="009E0DD9" w:rsidRDefault="00CC491F" w:rsidP="009E0DD9">
            <w:pPr>
              <w:spacing w:before="40" w:after="40"/>
              <w:jc w:val="center"/>
              <w:rPr>
                <w:rFonts w:eastAsia="MS PGothic" w:cs="Segoe UI"/>
                <w:sz w:val="17"/>
                <w:szCs w:val="17"/>
                <w:lang w:eastAsia="ja-JP"/>
              </w:rPr>
            </w:pPr>
            <w:r w:rsidRPr="00CC491F">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5EE802AB" w14:textId="4EFCF7BA" w:rsidR="009E0DD9" w:rsidRPr="009E0DD9" w:rsidRDefault="00CC491F" w:rsidP="009E0DD9">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5A5A6B11" w14:textId="77777777" w:rsidTr="009E0DD9">
        <w:trPr>
          <w:trHeight w:val="283"/>
        </w:trPr>
        <w:tc>
          <w:tcPr>
            <w:tcW w:w="459" w:type="dxa"/>
            <w:tcBorders>
              <w:top w:val="nil"/>
              <w:left w:val="nil"/>
              <w:bottom w:val="single" w:sz="6" w:space="0" w:color="auto"/>
              <w:right w:val="single" w:sz="4" w:space="0" w:color="auto"/>
            </w:tcBorders>
            <w:hideMark/>
          </w:tcPr>
          <w:p w14:paraId="7BA26091"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10</w:t>
            </w:r>
          </w:p>
        </w:tc>
        <w:tc>
          <w:tcPr>
            <w:tcW w:w="4292" w:type="dxa"/>
            <w:tcBorders>
              <w:top w:val="single" w:sz="4" w:space="0" w:color="auto"/>
              <w:left w:val="single" w:sz="4" w:space="0" w:color="auto"/>
              <w:bottom w:val="single" w:sz="4" w:space="0" w:color="auto"/>
              <w:right w:val="single" w:sz="4" w:space="0" w:color="auto"/>
            </w:tcBorders>
            <w:noWrap/>
            <w:hideMark/>
          </w:tcPr>
          <w:p w14:paraId="32AB7124" w14:textId="26B0C50A" w:rsidR="009E0DD9" w:rsidRPr="00CC491F" w:rsidRDefault="009E0DD9" w:rsidP="009E0DD9">
            <w:pPr>
              <w:spacing w:before="40" w:after="40"/>
              <w:rPr>
                <w:rFonts w:ascii="細明體" w:eastAsia="細明體" w:hAnsi="細明體" w:cs="Segoe UI"/>
                <w:sz w:val="17"/>
                <w:szCs w:val="17"/>
                <w:lang w:eastAsia="en-GB"/>
              </w:rPr>
            </w:pPr>
            <w:proofErr w:type="spellStart"/>
            <w:r w:rsidRPr="00CC491F">
              <w:rPr>
                <w:rFonts w:ascii="細明體" w:eastAsia="細明體" w:hAnsi="細明體" w:cs="微軟正黑體" w:hint="eastAsia"/>
                <w:sz w:val="17"/>
                <w:szCs w:val="17"/>
                <w:lang w:eastAsia="en-GB"/>
              </w:rPr>
              <w:t>違責風險承擔</w:t>
            </w:r>
            <w:proofErr w:type="spellEnd"/>
          </w:p>
        </w:tc>
        <w:tc>
          <w:tcPr>
            <w:tcW w:w="1574" w:type="dxa"/>
            <w:tcBorders>
              <w:top w:val="single" w:sz="4" w:space="0" w:color="auto"/>
              <w:left w:val="single" w:sz="4" w:space="0" w:color="auto"/>
              <w:bottom w:val="single" w:sz="4" w:space="0" w:color="auto"/>
              <w:right w:val="single" w:sz="4" w:space="0" w:color="auto"/>
            </w:tcBorders>
            <w:shd w:val="clear" w:color="auto" w:fill="BFBFBF"/>
            <w:noWrap/>
          </w:tcPr>
          <w:p w14:paraId="76203BA8"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4D9D841B" w14:textId="77777777" w:rsidR="009E0DD9" w:rsidRPr="009E0DD9" w:rsidRDefault="009E0DD9" w:rsidP="009E0DD9">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2EE1E530" w14:textId="77777777" w:rsidR="009E0DD9" w:rsidRPr="009E0DD9" w:rsidRDefault="009E0DD9" w:rsidP="009E0DD9">
            <w:pPr>
              <w:spacing w:before="40" w:after="40"/>
              <w:rPr>
                <w:rFonts w:eastAsia="MS PGothic" w:cs="Segoe UI"/>
                <w:sz w:val="17"/>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2B223310"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5A0DB15F" w14:textId="77777777" w:rsidR="009E0DD9" w:rsidRPr="009E0DD9" w:rsidRDefault="009E0DD9" w:rsidP="009E0DD9">
            <w:pPr>
              <w:spacing w:before="40" w:after="40"/>
              <w:rPr>
                <w:rFonts w:eastAsia="MS PGothic" w:cs="Segoe UI"/>
                <w:sz w:val="17"/>
                <w:szCs w:val="17"/>
                <w:lang w:eastAsia="ja-JP"/>
              </w:rPr>
            </w:pPr>
          </w:p>
        </w:tc>
      </w:tr>
    </w:tbl>
    <w:p w14:paraId="59CA580C" w14:textId="77777777" w:rsidR="009E0DD9" w:rsidRPr="009E0DD9" w:rsidRDefault="009E0DD9" w:rsidP="009E0DD9">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9"/>
        <w:gridCol w:w="2099"/>
        <w:gridCol w:w="2100"/>
        <w:gridCol w:w="3112"/>
      </w:tblGrid>
      <w:tr w:rsidR="009E0DD9" w:rsidRPr="009E0DD9" w14:paraId="30A80F18" w14:textId="77777777" w:rsidTr="009E0DD9">
        <w:trPr>
          <w:trHeight w:val="283"/>
        </w:trPr>
        <w:tc>
          <w:tcPr>
            <w:tcW w:w="459" w:type="dxa"/>
            <w:tcBorders>
              <w:top w:val="single" w:sz="4" w:space="0" w:color="auto"/>
              <w:left w:val="nil"/>
              <w:bottom w:val="nil"/>
              <w:right w:val="single" w:sz="4" w:space="0" w:color="auto"/>
            </w:tcBorders>
          </w:tcPr>
          <w:p w14:paraId="42A09B47" w14:textId="77777777" w:rsidR="009E0DD9" w:rsidRPr="009E0DD9" w:rsidRDefault="009E0DD9" w:rsidP="009E0DD9">
            <w:pPr>
              <w:spacing w:before="40" w:after="40"/>
              <w:rPr>
                <w:rFonts w:cs="Segoe UI"/>
                <w:sz w:val="17"/>
                <w:szCs w:val="17"/>
                <w:lang w:eastAsia="en-GB"/>
              </w:rPr>
            </w:pPr>
          </w:p>
        </w:tc>
        <w:tc>
          <w:tcPr>
            <w:tcW w:w="4291" w:type="dxa"/>
            <w:tcBorders>
              <w:top w:val="single" w:sz="4" w:space="0" w:color="auto"/>
              <w:left w:val="single" w:sz="4" w:space="0" w:color="auto"/>
              <w:bottom w:val="single" w:sz="4" w:space="0" w:color="auto"/>
              <w:right w:val="single" w:sz="4" w:space="0" w:color="auto"/>
            </w:tcBorders>
            <w:noWrap/>
          </w:tcPr>
          <w:p w14:paraId="2671C13F" w14:textId="77777777" w:rsidR="009E0DD9" w:rsidRPr="009E0DD9" w:rsidRDefault="009E0DD9" w:rsidP="009E0DD9">
            <w:pPr>
              <w:spacing w:before="40" w:after="40"/>
              <w:rPr>
                <w:rFonts w:cs="Segoe UI"/>
                <w:sz w:val="17"/>
                <w:szCs w:val="17"/>
                <w:lang w:eastAsia="en-GB"/>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750F482E"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2099" w:type="dxa"/>
            <w:tcBorders>
              <w:top w:val="single" w:sz="4" w:space="0" w:color="auto"/>
              <w:left w:val="single" w:sz="4" w:space="0" w:color="auto"/>
              <w:bottom w:val="single" w:sz="4" w:space="0" w:color="auto"/>
              <w:right w:val="single" w:sz="4" w:space="0" w:color="auto"/>
            </w:tcBorders>
            <w:vAlign w:val="center"/>
          </w:tcPr>
          <w:p w14:paraId="6650F2B0"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1250%</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4A7B2C05" w14:textId="75C7AC6C" w:rsidR="009E0DD9" w:rsidRPr="009E0DD9" w:rsidRDefault="00CC491F" w:rsidP="009E0DD9">
            <w:pPr>
              <w:spacing w:before="40" w:after="40"/>
              <w:jc w:val="center"/>
              <w:rPr>
                <w:rFonts w:eastAsia="MS PGothic" w:cs="Segoe UI"/>
                <w:sz w:val="17"/>
                <w:szCs w:val="17"/>
                <w:lang w:eastAsia="ja-JP"/>
              </w:rPr>
            </w:pPr>
            <w:r w:rsidRPr="00CC491F">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2548CBC" w14:textId="6E775060" w:rsidR="009E0DD9" w:rsidRPr="003F2D69" w:rsidRDefault="00CC491F" w:rsidP="009E0DD9">
            <w:pPr>
              <w:spacing w:before="40" w:after="40"/>
              <w:rPr>
                <w:rFonts w:ascii="微軟正黑體" w:eastAsia="微軟正黑體" w:hAnsi="微軟正黑體" w:cs="微軟正黑體"/>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3AD09172" w14:textId="77777777" w:rsidTr="009E0DD9">
        <w:trPr>
          <w:trHeight w:val="283"/>
        </w:trPr>
        <w:tc>
          <w:tcPr>
            <w:tcW w:w="459" w:type="dxa"/>
            <w:tcBorders>
              <w:top w:val="nil"/>
              <w:left w:val="nil"/>
              <w:bottom w:val="single" w:sz="6" w:space="0" w:color="auto"/>
              <w:right w:val="single" w:sz="4" w:space="0" w:color="auto"/>
            </w:tcBorders>
            <w:hideMark/>
          </w:tcPr>
          <w:p w14:paraId="3A57DCDE"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11</w:t>
            </w:r>
          </w:p>
        </w:tc>
        <w:tc>
          <w:tcPr>
            <w:tcW w:w="4291" w:type="dxa"/>
            <w:tcBorders>
              <w:top w:val="single" w:sz="4" w:space="0" w:color="auto"/>
              <w:left w:val="single" w:sz="4" w:space="0" w:color="auto"/>
              <w:bottom w:val="single" w:sz="4" w:space="0" w:color="auto"/>
              <w:right w:val="single" w:sz="4" w:space="0" w:color="auto"/>
            </w:tcBorders>
            <w:noWrap/>
            <w:hideMark/>
          </w:tcPr>
          <w:p w14:paraId="57C0FF9F" w14:textId="77777777" w:rsidR="009E0DD9" w:rsidRPr="00CC491F" w:rsidRDefault="009E0DD9" w:rsidP="009E0DD9">
            <w:pPr>
              <w:spacing w:before="40" w:after="40"/>
              <w:rPr>
                <w:rFonts w:ascii="細明體" w:eastAsia="細明體" w:hAnsi="細明體" w:cs="Segoe UI"/>
                <w:sz w:val="17"/>
                <w:szCs w:val="17"/>
                <w:lang w:eastAsia="en-GB"/>
              </w:rPr>
            </w:pPr>
            <w:proofErr w:type="spellStart"/>
            <w:r w:rsidRPr="00CC491F">
              <w:rPr>
                <w:rFonts w:ascii="細明體" w:eastAsia="細明體" w:hAnsi="細明體" w:cs="微軟正黑體" w:hint="eastAsia"/>
                <w:sz w:val="17"/>
                <w:szCs w:val="17"/>
                <w:lang w:eastAsia="en-GB"/>
              </w:rPr>
              <w:t>其他</w:t>
            </w:r>
            <w:proofErr w:type="spellEnd"/>
            <w:r w:rsidRPr="00CC491F">
              <w:rPr>
                <w:rFonts w:ascii="細明體" w:eastAsia="細明體" w:hAnsi="細明體" w:cs="微軟正黑體" w:hint="eastAsia"/>
                <w:sz w:val="17"/>
                <w:szCs w:val="17"/>
                <w:lang w:eastAsia="zh-HK"/>
              </w:rPr>
              <w:t>風險承擔</w:t>
            </w:r>
          </w:p>
        </w:tc>
        <w:tc>
          <w:tcPr>
            <w:tcW w:w="2099" w:type="dxa"/>
            <w:tcBorders>
              <w:top w:val="single" w:sz="4" w:space="0" w:color="auto"/>
              <w:left w:val="single" w:sz="4" w:space="0" w:color="auto"/>
              <w:bottom w:val="single" w:sz="4" w:space="0" w:color="auto"/>
              <w:right w:val="single" w:sz="4" w:space="0" w:color="auto"/>
            </w:tcBorders>
            <w:noWrap/>
          </w:tcPr>
          <w:p w14:paraId="221B61D6" w14:textId="77777777" w:rsidR="009E0DD9" w:rsidRPr="009E0DD9" w:rsidRDefault="009E0DD9" w:rsidP="009E0DD9">
            <w:pPr>
              <w:spacing w:before="40" w:after="40"/>
              <w:rPr>
                <w:rFonts w:eastAsia="MS PGothic" w:cs="Segoe UI"/>
                <w:sz w:val="17"/>
                <w:szCs w:val="17"/>
                <w:lang w:eastAsia="ja-JP"/>
              </w:rPr>
            </w:pPr>
          </w:p>
        </w:tc>
        <w:tc>
          <w:tcPr>
            <w:tcW w:w="2099" w:type="dxa"/>
            <w:tcBorders>
              <w:top w:val="single" w:sz="4" w:space="0" w:color="auto"/>
              <w:left w:val="single" w:sz="4" w:space="0" w:color="auto"/>
              <w:bottom w:val="single" w:sz="4" w:space="0" w:color="auto"/>
              <w:right w:val="single" w:sz="4" w:space="0" w:color="auto"/>
            </w:tcBorders>
          </w:tcPr>
          <w:p w14:paraId="0F8517E0" w14:textId="77777777" w:rsidR="009E0DD9" w:rsidRPr="009E0DD9" w:rsidRDefault="009E0DD9" w:rsidP="009E0DD9">
            <w:pPr>
              <w:spacing w:before="40" w:after="40"/>
              <w:rPr>
                <w:rFonts w:eastAsia="MS PGothic" w:cs="Segoe UI"/>
                <w:sz w:val="17"/>
                <w:szCs w:val="17"/>
                <w:lang w:eastAsia="ja-JP"/>
              </w:rPr>
            </w:pPr>
          </w:p>
        </w:tc>
        <w:tc>
          <w:tcPr>
            <w:tcW w:w="2100" w:type="dxa"/>
            <w:tcBorders>
              <w:top w:val="single" w:sz="4" w:space="0" w:color="auto"/>
              <w:left w:val="single" w:sz="4" w:space="0" w:color="auto"/>
              <w:bottom w:val="single" w:sz="4" w:space="0" w:color="auto"/>
              <w:right w:val="single" w:sz="4" w:space="0" w:color="auto"/>
            </w:tcBorders>
            <w:noWrap/>
          </w:tcPr>
          <w:p w14:paraId="7FF1AAA3" w14:textId="77777777" w:rsidR="009E0DD9" w:rsidRPr="009E0DD9" w:rsidRDefault="009E0DD9" w:rsidP="009E0DD9">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752C2D3E" w14:textId="77777777" w:rsidR="009E0DD9" w:rsidRPr="009E0DD9" w:rsidRDefault="009E0DD9" w:rsidP="009E0DD9">
            <w:pPr>
              <w:spacing w:before="40" w:after="40"/>
              <w:rPr>
                <w:rFonts w:eastAsia="MS PGothic" w:cs="Segoe UI"/>
                <w:sz w:val="17"/>
                <w:szCs w:val="17"/>
                <w:lang w:eastAsia="ja-JP"/>
              </w:rPr>
            </w:pPr>
          </w:p>
        </w:tc>
      </w:tr>
    </w:tbl>
    <w:p w14:paraId="6E6887DF" w14:textId="77777777" w:rsidR="009E0DD9" w:rsidRPr="009E0DD9" w:rsidRDefault="009E0DD9" w:rsidP="009E0DD9">
      <w:pPr>
        <w:spacing w:before="40" w:after="40"/>
        <w:rPr>
          <w:rFonts w:cs="Segoe UI"/>
          <w:sz w:val="17"/>
          <w:szCs w:val="17"/>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9"/>
        <w:gridCol w:w="2099"/>
        <w:gridCol w:w="2100"/>
        <w:gridCol w:w="3118"/>
      </w:tblGrid>
      <w:tr w:rsidR="009E0DD9" w:rsidRPr="009E0DD9" w14:paraId="1100389E" w14:textId="77777777" w:rsidTr="009E0DD9">
        <w:trPr>
          <w:trHeight w:val="283"/>
        </w:trPr>
        <w:tc>
          <w:tcPr>
            <w:tcW w:w="459" w:type="dxa"/>
            <w:tcBorders>
              <w:top w:val="single" w:sz="4" w:space="0" w:color="auto"/>
              <w:left w:val="nil"/>
              <w:bottom w:val="nil"/>
              <w:right w:val="single" w:sz="4" w:space="0" w:color="auto"/>
            </w:tcBorders>
          </w:tcPr>
          <w:p w14:paraId="3B315E76" w14:textId="77777777" w:rsidR="009E0DD9" w:rsidRPr="009E0DD9" w:rsidRDefault="009E0DD9" w:rsidP="009E0DD9">
            <w:pPr>
              <w:spacing w:before="40" w:after="40"/>
              <w:rPr>
                <w:rFonts w:cs="Segoe UI"/>
                <w:sz w:val="17"/>
                <w:szCs w:val="17"/>
                <w:lang w:eastAsia="en-GB"/>
              </w:rPr>
            </w:pPr>
          </w:p>
        </w:tc>
        <w:tc>
          <w:tcPr>
            <w:tcW w:w="4291" w:type="dxa"/>
            <w:tcBorders>
              <w:top w:val="single" w:sz="4" w:space="0" w:color="auto"/>
              <w:left w:val="single" w:sz="4" w:space="0" w:color="auto"/>
              <w:bottom w:val="single" w:sz="4" w:space="0" w:color="auto"/>
              <w:right w:val="single" w:sz="4" w:space="0" w:color="auto"/>
            </w:tcBorders>
            <w:noWrap/>
          </w:tcPr>
          <w:p w14:paraId="7001B6CC" w14:textId="77777777" w:rsidR="009E0DD9" w:rsidRPr="009E0DD9" w:rsidRDefault="009E0DD9" w:rsidP="009E0DD9">
            <w:pPr>
              <w:spacing w:before="40" w:after="40"/>
              <w:rPr>
                <w:rFonts w:cs="Segoe UI"/>
                <w:sz w:val="17"/>
                <w:szCs w:val="17"/>
                <w:lang w:eastAsia="en-GB"/>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0CCE9976"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CE20653"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100%</w:t>
            </w:r>
          </w:p>
        </w:tc>
        <w:tc>
          <w:tcPr>
            <w:tcW w:w="2100" w:type="dxa"/>
            <w:tcBorders>
              <w:top w:val="single" w:sz="4" w:space="0" w:color="auto"/>
              <w:left w:val="single" w:sz="4" w:space="0" w:color="auto"/>
              <w:bottom w:val="single" w:sz="4" w:space="0" w:color="auto"/>
              <w:right w:val="single" w:sz="4" w:space="0" w:color="auto"/>
            </w:tcBorders>
            <w:noWrap/>
            <w:vAlign w:val="center"/>
            <w:hideMark/>
          </w:tcPr>
          <w:p w14:paraId="3619A2C7" w14:textId="7E4E35F3" w:rsidR="009E0DD9" w:rsidRPr="009E0DD9" w:rsidRDefault="00CC491F" w:rsidP="009E0DD9">
            <w:pPr>
              <w:spacing w:before="40" w:after="40"/>
              <w:jc w:val="center"/>
              <w:rPr>
                <w:rFonts w:eastAsia="MS PGothic" w:cs="Segoe UI"/>
                <w:sz w:val="17"/>
                <w:szCs w:val="17"/>
                <w:lang w:eastAsia="ja-JP"/>
              </w:rPr>
            </w:pPr>
            <w:r w:rsidRPr="00CC491F">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10867341" w14:textId="3269606B" w:rsidR="009E0DD9" w:rsidRPr="009E0DD9" w:rsidRDefault="00CC491F" w:rsidP="003220DF">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18347AA1" w14:textId="77777777" w:rsidTr="009E0DD9">
        <w:trPr>
          <w:trHeight w:val="283"/>
        </w:trPr>
        <w:tc>
          <w:tcPr>
            <w:tcW w:w="459" w:type="dxa"/>
            <w:tcBorders>
              <w:top w:val="nil"/>
              <w:left w:val="nil"/>
              <w:bottom w:val="single" w:sz="6" w:space="0" w:color="auto"/>
              <w:right w:val="single" w:sz="4" w:space="0" w:color="auto"/>
            </w:tcBorders>
            <w:hideMark/>
          </w:tcPr>
          <w:p w14:paraId="5088BB1F"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11a</w:t>
            </w:r>
          </w:p>
        </w:tc>
        <w:tc>
          <w:tcPr>
            <w:tcW w:w="4291" w:type="dxa"/>
            <w:tcBorders>
              <w:top w:val="single" w:sz="4" w:space="0" w:color="auto"/>
              <w:left w:val="single" w:sz="4" w:space="0" w:color="auto"/>
              <w:bottom w:val="single" w:sz="4" w:space="0" w:color="auto"/>
              <w:right w:val="single" w:sz="4" w:space="0" w:color="auto"/>
            </w:tcBorders>
            <w:noWrap/>
            <w:hideMark/>
          </w:tcPr>
          <w:p w14:paraId="287F772B" w14:textId="77777777" w:rsidR="009E0DD9" w:rsidRPr="00CC491F" w:rsidRDefault="009E0DD9" w:rsidP="009E0DD9">
            <w:pPr>
              <w:spacing w:before="40" w:after="40"/>
              <w:rPr>
                <w:rFonts w:ascii="細明體" w:eastAsia="細明體" w:hAnsi="細明體" w:cs="Segoe UI"/>
                <w:sz w:val="17"/>
                <w:szCs w:val="17"/>
                <w:lang w:eastAsia="en-GB"/>
              </w:rPr>
            </w:pPr>
            <w:r w:rsidRPr="00CC491F">
              <w:rPr>
                <w:rFonts w:ascii="細明體" w:eastAsia="細明體" w:hAnsi="細明體" w:cs="Segoe UI" w:hint="eastAsia"/>
                <w:sz w:val="17"/>
                <w:szCs w:val="17"/>
                <w:lang w:eastAsia="zh-HK"/>
              </w:rPr>
              <w:t>現金及黃金</w:t>
            </w:r>
          </w:p>
        </w:tc>
        <w:tc>
          <w:tcPr>
            <w:tcW w:w="2099" w:type="dxa"/>
            <w:tcBorders>
              <w:top w:val="single" w:sz="4" w:space="0" w:color="auto"/>
              <w:left w:val="single" w:sz="4" w:space="0" w:color="auto"/>
              <w:bottom w:val="single" w:sz="4" w:space="0" w:color="auto"/>
              <w:right w:val="single" w:sz="4" w:space="0" w:color="auto"/>
            </w:tcBorders>
            <w:noWrap/>
          </w:tcPr>
          <w:p w14:paraId="3D0B7D78" w14:textId="77777777" w:rsidR="009E0DD9" w:rsidRPr="009E0DD9" w:rsidRDefault="009E0DD9" w:rsidP="009E0DD9">
            <w:pPr>
              <w:spacing w:before="40" w:after="40"/>
              <w:rPr>
                <w:rFonts w:eastAsia="MS PGothic" w:cs="Segoe UI"/>
                <w:sz w:val="17"/>
                <w:szCs w:val="17"/>
                <w:lang w:eastAsia="ja-JP"/>
              </w:rPr>
            </w:pPr>
          </w:p>
        </w:tc>
        <w:tc>
          <w:tcPr>
            <w:tcW w:w="2099" w:type="dxa"/>
            <w:tcBorders>
              <w:top w:val="single" w:sz="4" w:space="0" w:color="auto"/>
              <w:left w:val="single" w:sz="4" w:space="0" w:color="auto"/>
              <w:bottom w:val="single" w:sz="4" w:space="0" w:color="auto"/>
              <w:right w:val="single" w:sz="4" w:space="0" w:color="auto"/>
            </w:tcBorders>
          </w:tcPr>
          <w:p w14:paraId="7CD93E0E" w14:textId="77777777" w:rsidR="009E0DD9" w:rsidRPr="009E0DD9" w:rsidRDefault="009E0DD9" w:rsidP="009E0DD9">
            <w:pPr>
              <w:spacing w:before="40" w:after="40"/>
              <w:rPr>
                <w:rFonts w:eastAsia="MS PGothic" w:cs="Segoe UI"/>
                <w:sz w:val="17"/>
                <w:szCs w:val="17"/>
                <w:lang w:eastAsia="ja-JP"/>
              </w:rPr>
            </w:pPr>
          </w:p>
        </w:tc>
        <w:tc>
          <w:tcPr>
            <w:tcW w:w="2100" w:type="dxa"/>
            <w:tcBorders>
              <w:top w:val="single" w:sz="4" w:space="0" w:color="auto"/>
              <w:left w:val="single" w:sz="4" w:space="0" w:color="auto"/>
              <w:bottom w:val="single" w:sz="4" w:space="0" w:color="auto"/>
              <w:right w:val="single" w:sz="4" w:space="0" w:color="auto"/>
            </w:tcBorders>
            <w:noWrap/>
          </w:tcPr>
          <w:p w14:paraId="352E9AA5"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57EF73A6" w14:textId="77777777" w:rsidR="009E0DD9" w:rsidRPr="009E0DD9" w:rsidRDefault="009E0DD9" w:rsidP="009E0DD9">
            <w:pPr>
              <w:spacing w:before="40" w:after="40"/>
              <w:rPr>
                <w:rFonts w:eastAsia="MS PGothic" w:cs="Segoe UI"/>
                <w:sz w:val="17"/>
                <w:szCs w:val="17"/>
                <w:lang w:eastAsia="ja-JP"/>
              </w:rPr>
            </w:pPr>
          </w:p>
        </w:tc>
      </w:tr>
    </w:tbl>
    <w:p w14:paraId="3051255E" w14:textId="77777777" w:rsidR="009E0DD9" w:rsidRPr="009E0DD9" w:rsidRDefault="009E0DD9" w:rsidP="009E0DD9">
      <w:pPr>
        <w:spacing w:before="40" w:after="40"/>
        <w:rPr>
          <w:rFonts w:cs="Segoe UI"/>
          <w:sz w:val="17"/>
          <w:szCs w:val="17"/>
        </w:rPr>
      </w:pPr>
    </w:p>
    <w:tbl>
      <w:tblPr>
        <w:tblW w:w="14162"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8"/>
        <w:gridCol w:w="2098"/>
        <w:gridCol w:w="2098"/>
        <w:gridCol w:w="3118"/>
      </w:tblGrid>
      <w:tr w:rsidR="009E0DD9" w:rsidRPr="009E0DD9" w14:paraId="7B988652" w14:textId="77777777" w:rsidTr="005630B0">
        <w:trPr>
          <w:trHeight w:val="283"/>
        </w:trPr>
        <w:tc>
          <w:tcPr>
            <w:tcW w:w="459" w:type="dxa"/>
            <w:tcBorders>
              <w:top w:val="single" w:sz="4" w:space="0" w:color="auto"/>
              <w:left w:val="nil"/>
              <w:bottom w:val="nil"/>
              <w:right w:val="single" w:sz="4" w:space="0" w:color="auto"/>
            </w:tcBorders>
          </w:tcPr>
          <w:p w14:paraId="34134770" w14:textId="77777777" w:rsidR="009E0DD9" w:rsidRPr="009E0DD9" w:rsidRDefault="009E0DD9" w:rsidP="009E0DD9">
            <w:pPr>
              <w:spacing w:before="40" w:after="40"/>
              <w:rPr>
                <w:rFonts w:cs="Segoe UI"/>
                <w:sz w:val="17"/>
                <w:szCs w:val="17"/>
                <w:lang w:eastAsia="en-GB"/>
              </w:rPr>
            </w:pPr>
          </w:p>
        </w:tc>
        <w:tc>
          <w:tcPr>
            <w:tcW w:w="4291" w:type="dxa"/>
            <w:tcBorders>
              <w:top w:val="single" w:sz="4" w:space="0" w:color="auto"/>
              <w:left w:val="single" w:sz="4" w:space="0" w:color="auto"/>
              <w:bottom w:val="single" w:sz="4" w:space="0" w:color="auto"/>
              <w:right w:val="single" w:sz="4" w:space="0" w:color="auto"/>
            </w:tcBorders>
            <w:noWrap/>
          </w:tcPr>
          <w:p w14:paraId="62A867AE" w14:textId="77777777" w:rsidR="009E0DD9" w:rsidRPr="009E0DD9" w:rsidRDefault="009E0DD9" w:rsidP="009E0DD9">
            <w:pPr>
              <w:spacing w:before="40" w:after="40"/>
              <w:rPr>
                <w:rFonts w:cs="Segoe UI"/>
                <w:sz w:val="17"/>
                <w:szCs w:val="17"/>
                <w:lang w:eastAsia="en-GB"/>
              </w:rPr>
            </w:pP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719E6FCD"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0%</w:t>
            </w:r>
          </w:p>
        </w:tc>
        <w:tc>
          <w:tcPr>
            <w:tcW w:w="2098" w:type="dxa"/>
            <w:tcBorders>
              <w:top w:val="single" w:sz="4" w:space="0" w:color="auto"/>
              <w:left w:val="single" w:sz="4" w:space="0" w:color="auto"/>
              <w:bottom w:val="single" w:sz="4" w:space="0" w:color="auto"/>
              <w:right w:val="single" w:sz="4" w:space="0" w:color="auto"/>
            </w:tcBorders>
            <w:noWrap/>
            <w:vAlign w:val="center"/>
            <w:hideMark/>
          </w:tcPr>
          <w:p w14:paraId="6633F365" w14:textId="77777777" w:rsidR="009E0DD9" w:rsidRPr="009E0DD9" w:rsidRDefault="009E0DD9" w:rsidP="009E0DD9">
            <w:pPr>
              <w:spacing w:before="40" w:after="40"/>
              <w:jc w:val="center"/>
              <w:rPr>
                <w:rFonts w:eastAsia="MS PGothic" w:cs="Segoe UI"/>
                <w:sz w:val="17"/>
                <w:szCs w:val="17"/>
                <w:lang w:eastAsia="ja-JP"/>
              </w:rPr>
            </w:pPr>
            <w:r w:rsidRPr="009E0DD9">
              <w:rPr>
                <w:rFonts w:eastAsia="MS PGothic" w:cs="Segoe UI"/>
                <w:sz w:val="17"/>
                <w:szCs w:val="17"/>
                <w:lang w:eastAsia="ja-JP"/>
              </w:rPr>
              <w:t>20%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720D677E" w14:textId="0B7E5BE3" w:rsidR="009E0DD9" w:rsidRPr="009E0DD9" w:rsidRDefault="00CC491F" w:rsidP="009E0DD9">
            <w:pPr>
              <w:spacing w:before="40" w:after="40"/>
              <w:jc w:val="center"/>
              <w:rPr>
                <w:rFonts w:eastAsia="MS PGothic" w:cs="Segoe UI"/>
                <w:sz w:val="17"/>
                <w:szCs w:val="17"/>
                <w:lang w:eastAsia="ja-JP"/>
              </w:rPr>
            </w:pPr>
            <w:r w:rsidRPr="00CC491F">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07484C01" w14:textId="13698001" w:rsidR="009E0DD9" w:rsidRPr="009E0DD9" w:rsidRDefault="00CC491F" w:rsidP="003220DF">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9E0DD9" w:rsidRPr="009E0DD9" w14:paraId="769451EF" w14:textId="77777777" w:rsidTr="005630B0">
        <w:trPr>
          <w:trHeight w:val="283"/>
        </w:trPr>
        <w:tc>
          <w:tcPr>
            <w:tcW w:w="459" w:type="dxa"/>
            <w:tcBorders>
              <w:top w:val="nil"/>
              <w:left w:val="nil"/>
              <w:bottom w:val="single" w:sz="6" w:space="0" w:color="auto"/>
              <w:right w:val="single" w:sz="4" w:space="0" w:color="auto"/>
            </w:tcBorders>
            <w:hideMark/>
          </w:tcPr>
          <w:p w14:paraId="2565EE54" w14:textId="77777777" w:rsidR="009E0DD9" w:rsidRPr="009E0DD9" w:rsidRDefault="009E0DD9" w:rsidP="009E0DD9">
            <w:pPr>
              <w:spacing w:before="40" w:after="40"/>
              <w:rPr>
                <w:rFonts w:cs="Segoe UI"/>
                <w:sz w:val="17"/>
                <w:szCs w:val="17"/>
                <w:lang w:eastAsia="en-GB"/>
              </w:rPr>
            </w:pPr>
            <w:r w:rsidRPr="009E0DD9">
              <w:rPr>
                <w:rFonts w:cs="Segoe UI"/>
                <w:sz w:val="17"/>
                <w:szCs w:val="17"/>
                <w:lang w:eastAsia="en-GB"/>
              </w:rPr>
              <w:t>11b</w:t>
            </w:r>
          </w:p>
        </w:tc>
        <w:tc>
          <w:tcPr>
            <w:tcW w:w="4291" w:type="dxa"/>
            <w:tcBorders>
              <w:top w:val="single" w:sz="4" w:space="0" w:color="auto"/>
              <w:left w:val="single" w:sz="4" w:space="0" w:color="auto"/>
              <w:bottom w:val="single" w:sz="4" w:space="0" w:color="auto"/>
              <w:right w:val="single" w:sz="4" w:space="0" w:color="auto"/>
            </w:tcBorders>
            <w:noWrap/>
            <w:hideMark/>
          </w:tcPr>
          <w:p w14:paraId="5274CDC7" w14:textId="77777777" w:rsidR="009E0DD9" w:rsidRPr="00CC491F" w:rsidRDefault="009E0DD9" w:rsidP="009E0DD9">
            <w:pPr>
              <w:spacing w:before="40" w:after="40"/>
              <w:rPr>
                <w:rFonts w:ascii="細明體" w:eastAsia="細明體" w:hAnsi="細明體" w:cs="Segoe UI"/>
                <w:sz w:val="17"/>
                <w:szCs w:val="17"/>
                <w:lang w:eastAsia="zh-TW"/>
              </w:rPr>
            </w:pPr>
            <w:r w:rsidRPr="00CC491F">
              <w:rPr>
                <w:rFonts w:ascii="細明體" w:eastAsia="細明體" w:hAnsi="細明體" w:cs="微軟正黑體" w:hint="eastAsia"/>
                <w:sz w:val="17"/>
                <w:szCs w:val="17"/>
                <w:lang w:eastAsia="zh-TW"/>
              </w:rPr>
              <w:t>處於結算</w:t>
            </w:r>
            <w:proofErr w:type="gramStart"/>
            <w:r w:rsidRPr="00CC491F">
              <w:rPr>
                <w:rFonts w:ascii="細明體" w:eastAsia="細明體" w:hAnsi="細明體" w:cs="微軟正黑體" w:hint="eastAsia"/>
                <w:sz w:val="17"/>
                <w:szCs w:val="17"/>
                <w:lang w:eastAsia="zh-TW"/>
              </w:rPr>
              <w:t>或交收過程</w:t>
            </w:r>
            <w:proofErr w:type="gramEnd"/>
            <w:r w:rsidRPr="00CC491F">
              <w:rPr>
                <w:rFonts w:ascii="細明體" w:eastAsia="細明體" w:hAnsi="細明體" w:cs="微軟正黑體" w:hint="eastAsia"/>
                <w:sz w:val="17"/>
                <w:szCs w:val="17"/>
                <w:lang w:eastAsia="zh-TW"/>
              </w:rPr>
              <w:t>中的項目</w:t>
            </w:r>
          </w:p>
        </w:tc>
        <w:tc>
          <w:tcPr>
            <w:tcW w:w="2098" w:type="dxa"/>
            <w:tcBorders>
              <w:top w:val="single" w:sz="4" w:space="0" w:color="auto"/>
              <w:left w:val="single" w:sz="4" w:space="0" w:color="auto"/>
              <w:bottom w:val="single" w:sz="4" w:space="0" w:color="auto"/>
              <w:right w:val="single" w:sz="4" w:space="0" w:color="auto"/>
            </w:tcBorders>
            <w:noWrap/>
          </w:tcPr>
          <w:p w14:paraId="66072D26" w14:textId="77777777" w:rsidR="009E0DD9" w:rsidRPr="009E0DD9" w:rsidRDefault="009E0DD9" w:rsidP="009E0DD9">
            <w:pPr>
              <w:spacing w:before="40" w:after="40"/>
              <w:rPr>
                <w:rFonts w:eastAsia="MS PGothic" w:cs="Segoe UI"/>
                <w:sz w:val="17"/>
                <w:szCs w:val="17"/>
                <w:lang w:eastAsia="ja-JP"/>
              </w:rPr>
            </w:pPr>
          </w:p>
        </w:tc>
        <w:tc>
          <w:tcPr>
            <w:tcW w:w="2098" w:type="dxa"/>
            <w:tcBorders>
              <w:top w:val="single" w:sz="4" w:space="0" w:color="auto"/>
              <w:left w:val="single" w:sz="4" w:space="0" w:color="auto"/>
              <w:bottom w:val="single" w:sz="4" w:space="0" w:color="auto"/>
              <w:right w:val="single" w:sz="4" w:space="0" w:color="auto"/>
            </w:tcBorders>
            <w:noWrap/>
          </w:tcPr>
          <w:p w14:paraId="3C5BED30" w14:textId="77777777" w:rsidR="009E0DD9" w:rsidRPr="009E0DD9" w:rsidRDefault="009E0DD9" w:rsidP="009E0DD9">
            <w:pPr>
              <w:spacing w:before="40" w:after="40"/>
              <w:rPr>
                <w:rFonts w:eastAsia="MS PGothic" w:cs="Segoe UI"/>
                <w:sz w:val="17"/>
                <w:szCs w:val="17"/>
                <w:lang w:eastAsia="ja-JP"/>
              </w:rPr>
            </w:pPr>
          </w:p>
        </w:tc>
        <w:tc>
          <w:tcPr>
            <w:tcW w:w="2098" w:type="dxa"/>
            <w:tcBorders>
              <w:top w:val="single" w:sz="4" w:space="0" w:color="auto"/>
              <w:left w:val="single" w:sz="4" w:space="0" w:color="auto"/>
              <w:bottom w:val="single" w:sz="4" w:space="0" w:color="auto"/>
              <w:right w:val="single" w:sz="4" w:space="0" w:color="auto"/>
            </w:tcBorders>
          </w:tcPr>
          <w:p w14:paraId="2DA710DF" w14:textId="77777777" w:rsidR="009E0DD9" w:rsidRPr="009E0DD9" w:rsidRDefault="009E0DD9" w:rsidP="009E0DD9">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7D3F0AF5" w14:textId="77777777" w:rsidR="009E0DD9" w:rsidRPr="009E0DD9" w:rsidRDefault="009E0DD9" w:rsidP="009E0DD9">
            <w:pPr>
              <w:spacing w:before="40" w:after="40"/>
              <w:rPr>
                <w:rFonts w:eastAsia="MS PGothic" w:cs="Segoe UI"/>
                <w:sz w:val="17"/>
                <w:szCs w:val="17"/>
                <w:lang w:eastAsia="ja-JP"/>
              </w:rPr>
            </w:pPr>
          </w:p>
        </w:tc>
      </w:tr>
    </w:tbl>
    <w:p w14:paraId="7C1768CB" w14:textId="77777777" w:rsidR="00272D6C" w:rsidRPr="00272D6C" w:rsidRDefault="00272D6C" w:rsidP="00272D6C">
      <w:pPr>
        <w:suppressAutoHyphens/>
        <w:spacing w:before="40" w:after="40"/>
        <w:rPr>
          <w:rFonts w:eastAsia="細明體" w:cs="Segoe UI"/>
          <w:u w:val="single"/>
          <w:lang w:eastAsia="ar-SA"/>
        </w:rPr>
      </w:pPr>
    </w:p>
    <w:p w14:paraId="3A7D8183" w14:textId="77777777" w:rsidR="007E30DD" w:rsidRDefault="007E30DD">
      <w:pPr>
        <w:suppressAutoHyphens/>
        <w:spacing w:after="120"/>
        <w:rPr>
          <w:rFonts w:eastAsia="微軟正黑體" w:cs="Segoe UI"/>
          <w:lang w:eastAsia="ar-SA"/>
        </w:rPr>
      </w:pPr>
      <w:r>
        <w:rPr>
          <w:rFonts w:eastAsia="微軟正黑體" w:cs="Segoe UI"/>
          <w:lang w:eastAsia="ar-SA"/>
        </w:rPr>
        <w:br w:type="page"/>
      </w:r>
    </w:p>
    <w:p w14:paraId="0EE03D58" w14:textId="35428430" w:rsidR="009E0DD9" w:rsidRPr="00B1427D" w:rsidRDefault="009E0DD9" w:rsidP="003F2D69">
      <w:pPr>
        <w:suppressAutoHyphens/>
        <w:spacing w:after="120"/>
        <w:rPr>
          <w:rFonts w:eastAsia="微軟正黑體" w:cs="Segoe UI"/>
          <w:u w:val="single"/>
          <w:lang w:eastAsia="ar-SA"/>
        </w:rPr>
      </w:pPr>
      <w:r w:rsidRPr="003F2D69">
        <w:rPr>
          <w:rFonts w:ascii="細明體" w:eastAsia="細明體" w:hAnsi="細明體" w:cs="Segoe UI" w:hint="eastAsia"/>
          <w:u w:val="single"/>
          <w:lang w:eastAsia="ar-SA"/>
        </w:rPr>
        <w:t>風險承擔數額及應用於資產負債表外風險承擔的</w:t>
      </w:r>
      <w:r w:rsidRPr="00B1427D">
        <w:rPr>
          <w:rFonts w:eastAsia="微軟正黑體" w:cs="Segoe UI" w:hint="eastAsia"/>
          <w:u w:val="single"/>
          <w:lang w:eastAsia="ar-SA"/>
        </w:rPr>
        <w:t>CCF</w:t>
      </w:r>
      <w:r w:rsidR="00FD45B7" w:rsidRPr="00B1427D">
        <w:rPr>
          <w:rFonts w:ascii="微軟正黑體" w:eastAsia="微軟正黑體" w:hAnsi="微軟正黑體" w:cs="微軟正黑體" w:hint="eastAsia"/>
          <w:sz w:val="17"/>
          <w:szCs w:val="17"/>
          <w:u w:val="single"/>
          <w:lang w:eastAsia="zh-TW"/>
        </w:rPr>
        <w:t>（</w:t>
      </w:r>
      <w:r w:rsidRPr="003F2D69">
        <w:rPr>
          <w:rFonts w:ascii="細明體" w:eastAsia="細明體" w:hAnsi="細明體" w:cs="Segoe UI" w:hint="eastAsia"/>
          <w:u w:val="single"/>
          <w:lang w:eastAsia="ar-SA"/>
        </w:rPr>
        <w:t>根據經轉換風險承擔的風險組別分類</w:t>
      </w:r>
      <w:r w:rsidR="00FD45B7" w:rsidRPr="003F2D69">
        <w:rPr>
          <w:rFonts w:ascii="細明體" w:eastAsia="細明體" w:hAnsi="細明體" w:cs="Segoe UI" w:hint="eastAsia"/>
          <w:u w:val="single"/>
          <w:lang w:eastAsia="ar-SA"/>
        </w:rPr>
        <w:t>）</w:t>
      </w:r>
      <w:r w:rsidR="00F94271" w:rsidRPr="00B1427D">
        <w:rPr>
          <w:rFonts w:ascii="微軟正黑體" w:eastAsia="微軟正黑體" w:hAnsi="微軟正黑體" w:cs="微軟正黑體" w:hint="eastAsia"/>
          <w:sz w:val="17"/>
          <w:szCs w:val="17"/>
          <w:u w:val="single"/>
          <w:lang w:eastAsia="zh-TW"/>
        </w:rPr>
        <w:t>（</w:t>
      </w:r>
      <w:r w:rsidRPr="00B1427D">
        <w:rPr>
          <w:rFonts w:eastAsia="微軟正黑體" w:cs="Segoe UI"/>
          <w:u w:val="single"/>
          <w:lang w:eastAsia="ar-SA"/>
        </w:rPr>
        <w:t>STC</w:t>
      </w:r>
      <w:r w:rsidRPr="003F2D69">
        <w:rPr>
          <w:rFonts w:ascii="細明體" w:eastAsia="細明體" w:hAnsi="細明體" w:cs="Segoe UI" w:hint="eastAsia"/>
          <w:u w:val="single"/>
          <w:lang w:eastAsia="ar-SA"/>
        </w:rPr>
        <w:t>版本</w:t>
      </w:r>
      <w:r w:rsidR="00F94271" w:rsidRPr="003F2D69">
        <w:rPr>
          <w:rFonts w:ascii="細明體" w:eastAsia="細明體" w:hAnsi="細明體" w:cs="Segoe UI" w:hint="eastAsia"/>
          <w:u w:val="single"/>
          <w:lang w:eastAsia="ar-SA"/>
        </w:rPr>
        <w:t>）</w:t>
      </w: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558"/>
        <w:gridCol w:w="4395"/>
        <w:gridCol w:w="2303"/>
        <w:gridCol w:w="2303"/>
        <w:gridCol w:w="2303"/>
        <w:gridCol w:w="2304"/>
      </w:tblGrid>
      <w:tr w:rsidR="009E0DD9" w:rsidRPr="009E0DD9" w14:paraId="7BD83DAC" w14:textId="77777777" w:rsidTr="003F2D69">
        <w:trPr>
          <w:trHeight w:val="402"/>
          <w:tblHeader/>
        </w:trPr>
        <w:tc>
          <w:tcPr>
            <w:tcW w:w="558" w:type="dxa"/>
            <w:tcBorders>
              <w:top w:val="nil"/>
              <w:left w:val="nil"/>
              <w:bottom w:val="nil"/>
              <w:right w:val="single" w:sz="4" w:space="0" w:color="auto"/>
            </w:tcBorders>
          </w:tcPr>
          <w:p w14:paraId="07DD73C6" w14:textId="77777777" w:rsidR="009E0DD9" w:rsidRPr="009E0DD9" w:rsidRDefault="009E0DD9" w:rsidP="009E0DD9">
            <w:pPr>
              <w:snapToGrid w:val="0"/>
              <w:spacing w:before="40" w:after="40"/>
              <w:rPr>
                <w:rFonts w:eastAsia="MS PGothic"/>
                <w:sz w:val="17"/>
                <w:szCs w:val="17"/>
                <w:lang w:eastAsia="ja-JP"/>
              </w:rPr>
            </w:pPr>
          </w:p>
        </w:tc>
        <w:tc>
          <w:tcPr>
            <w:tcW w:w="4395" w:type="dxa"/>
            <w:vMerge w:val="restart"/>
            <w:tcBorders>
              <w:top w:val="single" w:sz="4" w:space="0" w:color="auto"/>
              <w:left w:val="single" w:sz="4" w:space="0" w:color="auto"/>
              <w:bottom w:val="nil"/>
              <w:right w:val="single" w:sz="4" w:space="0" w:color="auto"/>
            </w:tcBorders>
            <w:noWrap/>
            <w:vAlign w:val="center"/>
          </w:tcPr>
          <w:p w14:paraId="55AF207C" w14:textId="77777777" w:rsidR="009E0DD9" w:rsidRPr="003F2D69" w:rsidRDefault="009E0DD9" w:rsidP="009E0DD9">
            <w:pPr>
              <w:snapToGrid w:val="0"/>
              <w:spacing w:before="40" w:after="40"/>
              <w:jc w:val="center"/>
              <w:rPr>
                <w:rFonts w:ascii="細明體" w:eastAsia="細明體" w:hAnsi="細明體"/>
                <w:sz w:val="17"/>
                <w:szCs w:val="17"/>
                <w:lang w:eastAsia="zh-HK"/>
              </w:rPr>
            </w:pPr>
            <w:r w:rsidRPr="003F2D69">
              <w:rPr>
                <w:rFonts w:ascii="細明體" w:eastAsia="細明體" w:hAnsi="細明體" w:hint="eastAsia"/>
                <w:sz w:val="17"/>
                <w:szCs w:val="17"/>
                <w:lang w:eastAsia="zh-HK"/>
              </w:rPr>
              <w:t>風險權重</w:t>
            </w:r>
            <w:r w:rsidRPr="003F2D69">
              <w:rPr>
                <w:rFonts w:ascii="細明體" w:eastAsia="細明體" w:hAnsi="細明體"/>
                <w:sz w:val="17"/>
                <w:szCs w:val="17"/>
                <w:vertAlign w:val="superscript"/>
                <w:lang w:eastAsia="zh-HK"/>
              </w:rPr>
              <w:t>#</w:t>
            </w:r>
          </w:p>
        </w:tc>
        <w:tc>
          <w:tcPr>
            <w:tcW w:w="2303" w:type="dxa"/>
            <w:tcBorders>
              <w:top w:val="single" w:sz="6" w:space="0" w:color="auto"/>
              <w:left w:val="single" w:sz="4" w:space="0" w:color="auto"/>
              <w:bottom w:val="single" w:sz="6" w:space="0" w:color="auto"/>
              <w:right w:val="single" w:sz="6" w:space="0" w:color="auto"/>
            </w:tcBorders>
            <w:noWrap/>
            <w:vAlign w:val="center"/>
          </w:tcPr>
          <w:p w14:paraId="3A7E1FAC" w14:textId="77777777" w:rsidR="009E0DD9" w:rsidRPr="009E0DD9" w:rsidRDefault="009E0DD9" w:rsidP="009E0DD9">
            <w:pPr>
              <w:snapToGrid w:val="0"/>
              <w:spacing w:before="40" w:after="40"/>
              <w:jc w:val="center"/>
              <w:rPr>
                <w:rFonts w:cs="Segoe UI"/>
                <w:sz w:val="17"/>
                <w:szCs w:val="17"/>
                <w:lang w:eastAsia="en-GB"/>
              </w:rPr>
            </w:pPr>
            <w:r w:rsidRPr="009E0DD9">
              <w:rPr>
                <w:rFonts w:cs="Segoe UI"/>
                <w:sz w:val="17"/>
                <w:szCs w:val="17"/>
                <w:lang w:eastAsia="en-GB"/>
              </w:rPr>
              <w:t>(a)</w:t>
            </w:r>
          </w:p>
        </w:tc>
        <w:tc>
          <w:tcPr>
            <w:tcW w:w="2303" w:type="dxa"/>
            <w:tcBorders>
              <w:top w:val="single" w:sz="6" w:space="0" w:color="auto"/>
              <w:left w:val="single" w:sz="6" w:space="0" w:color="auto"/>
              <w:bottom w:val="single" w:sz="6" w:space="0" w:color="auto"/>
              <w:right w:val="single" w:sz="6" w:space="0" w:color="auto"/>
            </w:tcBorders>
            <w:noWrap/>
            <w:vAlign w:val="center"/>
          </w:tcPr>
          <w:p w14:paraId="1391CF2C" w14:textId="77777777" w:rsidR="009E0DD9" w:rsidRPr="009E0DD9" w:rsidRDefault="009E0DD9" w:rsidP="009E0DD9">
            <w:pPr>
              <w:snapToGrid w:val="0"/>
              <w:spacing w:before="40" w:after="40"/>
              <w:jc w:val="center"/>
              <w:rPr>
                <w:rFonts w:cs="Segoe UI"/>
                <w:sz w:val="17"/>
                <w:szCs w:val="17"/>
                <w:lang w:eastAsia="en-GB"/>
              </w:rPr>
            </w:pPr>
            <w:r w:rsidRPr="009E0DD9">
              <w:rPr>
                <w:rFonts w:cs="Segoe UI"/>
                <w:sz w:val="17"/>
                <w:szCs w:val="17"/>
                <w:lang w:eastAsia="en-GB"/>
              </w:rPr>
              <w:t>(b)</w:t>
            </w:r>
          </w:p>
        </w:tc>
        <w:tc>
          <w:tcPr>
            <w:tcW w:w="2303" w:type="dxa"/>
            <w:tcBorders>
              <w:top w:val="single" w:sz="6" w:space="0" w:color="auto"/>
              <w:left w:val="single" w:sz="6" w:space="0" w:color="auto"/>
              <w:bottom w:val="single" w:sz="6" w:space="0" w:color="auto"/>
              <w:right w:val="single" w:sz="6" w:space="0" w:color="auto"/>
            </w:tcBorders>
            <w:noWrap/>
            <w:vAlign w:val="center"/>
          </w:tcPr>
          <w:p w14:paraId="5BC57B9D" w14:textId="77777777" w:rsidR="009E0DD9" w:rsidRPr="009E0DD9" w:rsidRDefault="009E0DD9" w:rsidP="009E0DD9">
            <w:pPr>
              <w:snapToGrid w:val="0"/>
              <w:spacing w:before="40" w:after="40"/>
              <w:jc w:val="center"/>
              <w:rPr>
                <w:rFonts w:cs="Segoe UI"/>
                <w:sz w:val="17"/>
                <w:szCs w:val="17"/>
                <w:lang w:eastAsia="en-GB"/>
              </w:rPr>
            </w:pPr>
            <w:r w:rsidRPr="009E0DD9">
              <w:rPr>
                <w:rFonts w:cs="Segoe UI"/>
                <w:sz w:val="17"/>
                <w:szCs w:val="17"/>
                <w:lang w:eastAsia="en-GB"/>
              </w:rPr>
              <w:t>(c)</w:t>
            </w:r>
          </w:p>
        </w:tc>
        <w:tc>
          <w:tcPr>
            <w:tcW w:w="2304" w:type="dxa"/>
            <w:tcBorders>
              <w:top w:val="single" w:sz="6" w:space="0" w:color="auto"/>
              <w:left w:val="single" w:sz="6" w:space="0" w:color="auto"/>
              <w:bottom w:val="single" w:sz="6" w:space="0" w:color="auto"/>
              <w:right w:val="single" w:sz="6" w:space="0" w:color="auto"/>
            </w:tcBorders>
            <w:vAlign w:val="center"/>
          </w:tcPr>
          <w:p w14:paraId="42240B74" w14:textId="77777777" w:rsidR="009E0DD9" w:rsidRPr="009E0DD9" w:rsidRDefault="009E0DD9" w:rsidP="009E0DD9">
            <w:pPr>
              <w:snapToGrid w:val="0"/>
              <w:spacing w:before="40" w:after="40"/>
              <w:jc w:val="center"/>
              <w:rPr>
                <w:rFonts w:cs="Segoe UI"/>
                <w:sz w:val="17"/>
                <w:szCs w:val="17"/>
                <w:lang w:eastAsia="en-GB"/>
              </w:rPr>
            </w:pPr>
            <w:r w:rsidRPr="009E0DD9">
              <w:rPr>
                <w:rFonts w:cs="Segoe UI"/>
                <w:sz w:val="17"/>
                <w:szCs w:val="17"/>
                <w:lang w:eastAsia="en-GB"/>
              </w:rPr>
              <w:t>(d)</w:t>
            </w:r>
          </w:p>
        </w:tc>
      </w:tr>
      <w:tr w:rsidR="009E0DD9" w:rsidRPr="009E0DD9" w14:paraId="0C61500B" w14:textId="77777777" w:rsidTr="003F2D69">
        <w:trPr>
          <w:cantSplit/>
          <w:trHeight w:val="586"/>
          <w:tblHeader/>
        </w:trPr>
        <w:tc>
          <w:tcPr>
            <w:tcW w:w="558" w:type="dxa"/>
            <w:tcBorders>
              <w:top w:val="nil"/>
              <w:left w:val="nil"/>
              <w:bottom w:val="single" w:sz="6" w:space="0" w:color="auto"/>
              <w:right w:val="single" w:sz="4" w:space="0" w:color="auto"/>
            </w:tcBorders>
          </w:tcPr>
          <w:p w14:paraId="31C2FC33" w14:textId="77777777" w:rsidR="009E0DD9" w:rsidRPr="009E0DD9" w:rsidRDefault="009E0DD9" w:rsidP="009E0DD9">
            <w:pPr>
              <w:snapToGrid w:val="0"/>
              <w:spacing w:before="40" w:after="40"/>
              <w:rPr>
                <w:rFonts w:eastAsia="MS PGothic"/>
                <w:sz w:val="17"/>
                <w:szCs w:val="17"/>
                <w:lang w:eastAsia="ja-JP"/>
              </w:rPr>
            </w:pPr>
          </w:p>
        </w:tc>
        <w:tc>
          <w:tcPr>
            <w:tcW w:w="4395" w:type="dxa"/>
            <w:vMerge/>
            <w:tcBorders>
              <w:top w:val="single" w:sz="4" w:space="0" w:color="auto"/>
              <w:left w:val="single" w:sz="4" w:space="0" w:color="auto"/>
              <w:bottom w:val="single" w:sz="4" w:space="0" w:color="000000"/>
              <w:right w:val="single" w:sz="4" w:space="0" w:color="auto"/>
            </w:tcBorders>
            <w:noWrap/>
            <w:vAlign w:val="center"/>
          </w:tcPr>
          <w:p w14:paraId="20520F2A" w14:textId="77777777" w:rsidR="009E0DD9" w:rsidRPr="009E0DD9" w:rsidRDefault="009E0DD9" w:rsidP="009E0DD9">
            <w:pPr>
              <w:snapToGrid w:val="0"/>
              <w:spacing w:before="40" w:after="40"/>
              <w:jc w:val="center"/>
              <w:rPr>
                <w:rFonts w:eastAsia="MS PGothic"/>
                <w:sz w:val="17"/>
                <w:szCs w:val="17"/>
                <w:lang w:eastAsia="ja-JP"/>
              </w:rPr>
            </w:pPr>
          </w:p>
        </w:tc>
        <w:tc>
          <w:tcPr>
            <w:tcW w:w="2303" w:type="dxa"/>
            <w:tcBorders>
              <w:top w:val="single" w:sz="6" w:space="0" w:color="auto"/>
              <w:left w:val="single" w:sz="4" w:space="0" w:color="auto"/>
              <w:bottom w:val="single" w:sz="6" w:space="0" w:color="auto"/>
              <w:right w:val="single" w:sz="6" w:space="0" w:color="auto"/>
            </w:tcBorders>
            <w:noWrap/>
            <w:vAlign w:val="center"/>
          </w:tcPr>
          <w:p w14:paraId="071C818C" w14:textId="77777777" w:rsidR="009E0DD9" w:rsidRPr="003F2D69" w:rsidRDefault="009E0DD9" w:rsidP="009E0DD9">
            <w:pPr>
              <w:snapToGrid w:val="0"/>
              <w:spacing w:before="40" w:after="40"/>
              <w:jc w:val="center"/>
              <w:rPr>
                <w:rFonts w:ascii="細明體" w:eastAsia="細明體" w:hAnsi="細明體"/>
                <w:sz w:val="17"/>
                <w:szCs w:val="17"/>
                <w:lang w:eastAsia="zh-HK"/>
              </w:rPr>
            </w:pPr>
            <w:r w:rsidRPr="003F2D69">
              <w:rPr>
                <w:rFonts w:ascii="細明體" w:eastAsia="細明體" w:hAnsi="細明體" w:hint="eastAsia"/>
                <w:sz w:val="17"/>
                <w:szCs w:val="17"/>
                <w:lang w:eastAsia="zh-HK"/>
              </w:rPr>
              <w:t>資產負債表內風險承擔</w:t>
            </w:r>
          </w:p>
        </w:tc>
        <w:tc>
          <w:tcPr>
            <w:tcW w:w="2303" w:type="dxa"/>
            <w:tcBorders>
              <w:top w:val="single" w:sz="2" w:space="0" w:color="auto"/>
              <w:left w:val="single" w:sz="6" w:space="0" w:color="auto"/>
              <w:bottom w:val="single" w:sz="6" w:space="0" w:color="auto"/>
              <w:right w:val="single" w:sz="6" w:space="0" w:color="auto"/>
            </w:tcBorders>
            <w:noWrap/>
            <w:vAlign w:val="center"/>
          </w:tcPr>
          <w:p w14:paraId="069A0C2A" w14:textId="77777777" w:rsidR="006D7101" w:rsidRPr="003F2D69" w:rsidRDefault="009E0DD9" w:rsidP="00F94271">
            <w:pPr>
              <w:snapToGrid w:val="0"/>
              <w:spacing w:before="40" w:after="40"/>
              <w:jc w:val="center"/>
              <w:rPr>
                <w:rFonts w:ascii="細明體" w:eastAsia="細明體" w:hAnsi="細明體"/>
                <w:sz w:val="17"/>
                <w:szCs w:val="17"/>
                <w:lang w:eastAsia="zh-HK"/>
              </w:rPr>
            </w:pPr>
            <w:r w:rsidRPr="003F2D69">
              <w:rPr>
                <w:rFonts w:ascii="細明體" w:eastAsia="細明體" w:hAnsi="細明體"/>
                <w:sz w:val="17"/>
                <w:szCs w:val="17"/>
                <w:lang w:eastAsia="zh-HK"/>
              </w:rPr>
              <w:t>資</w:t>
            </w:r>
            <w:r w:rsidRPr="003F2D69">
              <w:rPr>
                <w:rFonts w:ascii="細明體" w:eastAsia="細明體" w:hAnsi="細明體" w:hint="eastAsia"/>
                <w:sz w:val="17"/>
                <w:szCs w:val="17"/>
                <w:lang w:eastAsia="zh-HK"/>
              </w:rPr>
              <w:t>產</w:t>
            </w:r>
            <w:r w:rsidRPr="003F2D69">
              <w:rPr>
                <w:rFonts w:ascii="細明體" w:eastAsia="細明體" w:hAnsi="細明體"/>
                <w:sz w:val="17"/>
                <w:szCs w:val="17"/>
                <w:lang w:eastAsia="zh-HK"/>
              </w:rPr>
              <w:t>負</w:t>
            </w:r>
            <w:r w:rsidRPr="003F2D69">
              <w:rPr>
                <w:rFonts w:ascii="細明體" w:eastAsia="細明體" w:hAnsi="細明體" w:hint="eastAsia"/>
                <w:sz w:val="17"/>
                <w:szCs w:val="17"/>
                <w:lang w:eastAsia="zh-HK"/>
              </w:rPr>
              <w:t>債表外風險承擔</w:t>
            </w:r>
          </w:p>
          <w:p w14:paraId="6BA28FAE" w14:textId="159EC28B" w:rsidR="009E0DD9" w:rsidRPr="009E0DD9" w:rsidRDefault="009E0DD9" w:rsidP="00F94271">
            <w:pPr>
              <w:snapToGrid w:val="0"/>
              <w:spacing w:before="40" w:after="40"/>
              <w:jc w:val="center"/>
              <w:rPr>
                <w:rFonts w:ascii="新細明體" w:eastAsia="新細明體" w:hAnsi="新細明體"/>
                <w:sz w:val="17"/>
                <w:szCs w:val="17"/>
                <w:lang w:eastAsia="zh-HK"/>
              </w:rPr>
            </w:pPr>
            <w:r w:rsidRPr="003F2D69">
              <w:rPr>
                <w:rFonts w:ascii="細明體" w:eastAsia="細明體" w:hAnsi="細明體" w:hint="eastAsia"/>
                <w:sz w:val="17"/>
                <w:szCs w:val="17"/>
                <w:lang w:eastAsia="zh-HK"/>
              </w:rPr>
              <w:t>（未將</w:t>
            </w:r>
            <w:r w:rsidR="00F94271" w:rsidRPr="003F2D69">
              <w:rPr>
                <w:rFonts w:eastAsia="細明體" w:cs="Segoe UI"/>
                <w:sz w:val="17"/>
                <w:szCs w:val="17"/>
                <w:lang w:eastAsia="ja-JP"/>
              </w:rPr>
              <w:t>CCF</w:t>
            </w:r>
            <w:r w:rsidRPr="003F2D69">
              <w:rPr>
                <w:rFonts w:ascii="細明體" w:eastAsia="細明體" w:hAnsi="細明體" w:hint="eastAsia"/>
                <w:sz w:val="17"/>
                <w:szCs w:val="17"/>
                <w:lang w:eastAsia="zh-HK"/>
              </w:rPr>
              <w:t>計算在內）</w:t>
            </w:r>
          </w:p>
        </w:tc>
        <w:tc>
          <w:tcPr>
            <w:tcW w:w="2303" w:type="dxa"/>
            <w:tcBorders>
              <w:top w:val="single" w:sz="6" w:space="0" w:color="auto"/>
              <w:left w:val="single" w:sz="6" w:space="0" w:color="auto"/>
              <w:bottom w:val="single" w:sz="6" w:space="0" w:color="auto"/>
              <w:right w:val="single" w:sz="6" w:space="0" w:color="auto"/>
            </w:tcBorders>
            <w:noWrap/>
            <w:vAlign w:val="center"/>
          </w:tcPr>
          <w:p w14:paraId="566EEC69" w14:textId="157B952F" w:rsidR="009E0DD9" w:rsidRPr="009E0DD9" w:rsidRDefault="009E0DD9" w:rsidP="009E0DD9">
            <w:pPr>
              <w:snapToGrid w:val="0"/>
              <w:spacing w:before="40" w:after="40"/>
              <w:jc w:val="center"/>
              <w:rPr>
                <w:rFonts w:ascii="新細明體" w:eastAsia="新細明體" w:hAnsi="新細明體"/>
                <w:sz w:val="17"/>
                <w:szCs w:val="17"/>
                <w:lang w:eastAsia="zh-HK"/>
              </w:rPr>
            </w:pPr>
            <w:r w:rsidRPr="003F2D69">
              <w:rPr>
                <w:rFonts w:ascii="細明體" w:eastAsia="細明體" w:hAnsi="細明體" w:hint="eastAsia"/>
                <w:sz w:val="17"/>
                <w:szCs w:val="17"/>
                <w:lang w:eastAsia="zh-HK"/>
              </w:rPr>
              <w:t>加權平均</w:t>
            </w:r>
            <w:r w:rsidR="00A07709" w:rsidRPr="009E0DD9">
              <w:rPr>
                <w:rFonts w:eastAsia="MS PGothic" w:cs="Segoe UI"/>
                <w:sz w:val="17"/>
                <w:szCs w:val="17"/>
                <w:lang w:eastAsia="ja-JP"/>
              </w:rPr>
              <w:t>CCF</w:t>
            </w:r>
            <w:r w:rsidRPr="009E0DD9">
              <w:rPr>
                <w:rFonts w:ascii="新細明體" w:eastAsia="新細明體" w:hAnsi="新細明體"/>
                <w:sz w:val="17"/>
                <w:szCs w:val="17"/>
                <w:lang w:eastAsia="zh-HK"/>
              </w:rPr>
              <w:t>*</w:t>
            </w:r>
          </w:p>
        </w:tc>
        <w:tc>
          <w:tcPr>
            <w:tcW w:w="2304" w:type="dxa"/>
            <w:tcBorders>
              <w:top w:val="single" w:sz="6" w:space="0" w:color="auto"/>
              <w:left w:val="single" w:sz="6" w:space="0" w:color="auto"/>
              <w:bottom w:val="single" w:sz="6" w:space="0" w:color="auto"/>
              <w:right w:val="single" w:sz="6" w:space="0" w:color="auto"/>
            </w:tcBorders>
            <w:vAlign w:val="center"/>
          </w:tcPr>
          <w:p w14:paraId="78706F0D" w14:textId="0C3C7965" w:rsidR="009E0DD9" w:rsidRPr="003F2D69" w:rsidRDefault="009E0DD9" w:rsidP="009E0DD9">
            <w:pPr>
              <w:snapToGrid w:val="0"/>
              <w:spacing w:before="40" w:after="40"/>
              <w:jc w:val="center"/>
              <w:rPr>
                <w:rFonts w:ascii="細明體" w:eastAsia="細明體" w:hAnsi="細明體"/>
                <w:sz w:val="17"/>
                <w:szCs w:val="17"/>
                <w:lang w:eastAsia="zh-HK"/>
              </w:rPr>
            </w:pPr>
            <w:r w:rsidRPr="003F2D69">
              <w:rPr>
                <w:rFonts w:ascii="細明體" w:eastAsia="細明體" w:hAnsi="細明體" w:hint="eastAsia"/>
                <w:sz w:val="17"/>
                <w:szCs w:val="17"/>
                <w:lang w:eastAsia="zh-HK"/>
              </w:rPr>
              <w:t>風險承擔（已將</w:t>
            </w:r>
            <w:r w:rsidR="00F94271" w:rsidRPr="003F2D69">
              <w:rPr>
                <w:rFonts w:eastAsia="細明體" w:cs="Segoe UI"/>
                <w:sz w:val="17"/>
                <w:szCs w:val="17"/>
                <w:lang w:eastAsia="ja-JP"/>
              </w:rPr>
              <w:t>CCF</w:t>
            </w:r>
            <w:r w:rsidRPr="003F2D69">
              <w:rPr>
                <w:rFonts w:ascii="細明體" w:eastAsia="細明體" w:hAnsi="細明體" w:hint="eastAsia"/>
                <w:sz w:val="17"/>
                <w:szCs w:val="17"/>
                <w:lang w:eastAsia="zh-HK"/>
              </w:rPr>
              <w:t>及減低信用風險措施計算在內）</w:t>
            </w:r>
          </w:p>
        </w:tc>
      </w:tr>
      <w:tr w:rsidR="009E0DD9" w:rsidRPr="009E0DD9" w14:paraId="596CBDC6" w14:textId="77777777" w:rsidTr="003F2D69">
        <w:trPr>
          <w:trHeight w:val="283"/>
        </w:trPr>
        <w:tc>
          <w:tcPr>
            <w:tcW w:w="558" w:type="dxa"/>
            <w:tcBorders>
              <w:top w:val="single" w:sz="6" w:space="0" w:color="auto"/>
              <w:left w:val="nil"/>
              <w:right w:val="single" w:sz="6" w:space="0" w:color="auto"/>
            </w:tcBorders>
          </w:tcPr>
          <w:p w14:paraId="0C487577" w14:textId="77777777" w:rsidR="009E0DD9" w:rsidRPr="009E0DD9" w:rsidRDefault="009E0DD9" w:rsidP="009E0DD9">
            <w:pPr>
              <w:snapToGrid w:val="0"/>
              <w:spacing w:before="40" w:after="40"/>
              <w:rPr>
                <w:rFonts w:cs="Segoe UI"/>
                <w:sz w:val="17"/>
                <w:szCs w:val="17"/>
                <w:lang w:eastAsia="en-GB"/>
              </w:rPr>
            </w:pPr>
            <w:r w:rsidRPr="009E0DD9">
              <w:rPr>
                <w:sz w:val="17"/>
                <w:szCs w:val="17"/>
              </w:rPr>
              <w:t>1</w:t>
            </w:r>
          </w:p>
        </w:tc>
        <w:tc>
          <w:tcPr>
            <w:tcW w:w="4395" w:type="dxa"/>
            <w:tcBorders>
              <w:top w:val="single" w:sz="4" w:space="0" w:color="000000"/>
              <w:left w:val="nil"/>
              <w:bottom w:val="single" w:sz="6" w:space="0" w:color="BCBDBC"/>
              <w:right w:val="single" w:sz="6" w:space="0" w:color="auto"/>
            </w:tcBorders>
            <w:noWrap/>
          </w:tcPr>
          <w:p w14:paraId="52CF03F0" w14:textId="77777777" w:rsidR="009E0DD9" w:rsidRPr="009E0DD9" w:rsidRDefault="009E0DD9" w:rsidP="009E0DD9">
            <w:pPr>
              <w:snapToGrid w:val="0"/>
              <w:spacing w:before="40" w:after="40"/>
              <w:jc w:val="center"/>
              <w:rPr>
                <w:rFonts w:cs="Segoe UI"/>
                <w:sz w:val="17"/>
                <w:szCs w:val="17"/>
                <w:lang w:eastAsia="en-GB"/>
              </w:rPr>
            </w:pPr>
            <w:r w:rsidRPr="009E0DD9">
              <w:rPr>
                <w:sz w:val="17"/>
                <w:szCs w:val="17"/>
              </w:rPr>
              <w:t>40%</w:t>
            </w:r>
            <w:r w:rsidRPr="009E0DD9">
              <w:rPr>
                <w:rFonts w:ascii="新細明體" w:eastAsia="新細明體" w:hAnsi="新細明體" w:hint="eastAsia"/>
                <w:sz w:val="17"/>
                <w:szCs w:val="17"/>
                <w:lang w:eastAsia="zh-HK"/>
              </w:rPr>
              <w:t>以下</w:t>
            </w:r>
          </w:p>
        </w:tc>
        <w:tc>
          <w:tcPr>
            <w:tcW w:w="2303" w:type="dxa"/>
            <w:tcBorders>
              <w:top w:val="single" w:sz="6" w:space="0" w:color="auto"/>
              <w:left w:val="single" w:sz="6" w:space="0" w:color="auto"/>
              <w:bottom w:val="single" w:sz="6" w:space="0" w:color="BCBDBC"/>
              <w:right w:val="single" w:sz="6" w:space="0" w:color="auto"/>
            </w:tcBorders>
            <w:noWrap/>
            <w:vAlign w:val="center"/>
          </w:tcPr>
          <w:p w14:paraId="6AD6E062"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auto"/>
              <w:left w:val="single" w:sz="6" w:space="0" w:color="auto"/>
              <w:bottom w:val="single" w:sz="6" w:space="0" w:color="BCBDBC"/>
              <w:right w:val="single" w:sz="6" w:space="0" w:color="auto"/>
            </w:tcBorders>
            <w:noWrap/>
            <w:vAlign w:val="center"/>
          </w:tcPr>
          <w:p w14:paraId="506AF368"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auto"/>
              <w:left w:val="single" w:sz="6" w:space="0" w:color="auto"/>
              <w:bottom w:val="single" w:sz="6" w:space="0" w:color="BCBDBC"/>
              <w:right w:val="single" w:sz="6" w:space="0" w:color="auto"/>
            </w:tcBorders>
            <w:noWrap/>
            <w:vAlign w:val="center"/>
          </w:tcPr>
          <w:p w14:paraId="3208B486"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auto"/>
              <w:left w:val="single" w:sz="6" w:space="0" w:color="auto"/>
              <w:bottom w:val="single" w:sz="6" w:space="0" w:color="BCBDBC"/>
              <w:right w:val="single" w:sz="6" w:space="0" w:color="auto"/>
            </w:tcBorders>
          </w:tcPr>
          <w:p w14:paraId="1302470F"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13D88B01" w14:textId="77777777" w:rsidTr="003F2D69">
        <w:trPr>
          <w:trHeight w:val="283"/>
        </w:trPr>
        <w:tc>
          <w:tcPr>
            <w:tcW w:w="558" w:type="dxa"/>
            <w:tcBorders>
              <w:left w:val="nil"/>
              <w:right w:val="single" w:sz="6" w:space="0" w:color="auto"/>
            </w:tcBorders>
          </w:tcPr>
          <w:p w14:paraId="3BB93F07" w14:textId="77777777" w:rsidR="009E0DD9" w:rsidRPr="009E0DD9" w:rsidRDefault="009E0DD9" w:rsidP="009E0DD9">
            <w:pPr>
              <w:snapToGrid w:val="0"/>
              <w:spacing w:before="40" w:after="40"/>
              <w:rPr>
                <w:rFonts w:cs="Segoe UI"/>
                <w:sz w:val="17"/>
                <w:szCs w:val="17"/>
                <w:lang w:eastAsia="en-GB"/>
              </w:rPr>
            </w:pPr>
            <w:r w:rsidRPr="009E0DD9">
              <w:rPr>
                <w:sz w:val="17"/>
                <w:szCs w:val="17"/>
              </w:rPr>
              <w:t>2</w:t>
            </w:r>
          </w:p>
        </w:tc>
        <w:tc>
          <w:tcPr>
            <w:tcW w:w="4395" w:type="dxa"/>
            <w:tcBorders>
              <w:top w:val="single" w:sz="6" w:space="0" w:color="BCBDBC"/>
              <w:left w:val="nil"/>
              <w:right w:val="single" w:sz="6" w:space="0" w:color="auto"/>
            </w:tcBorders>
            <w:noWrap/>
          </w:tcPr>
          <w:p w14:paraId="4CB3D12D" w14:textId="77777777" w:rsidR="009E0DD9" w:rsidRPr="009E0DD9" w:rsidRDefault="009E0DD9" w:rsidP="009E0DD9">
            <w:pPr>
              <w:snapToGrid w:val="0"/>
              <w:spacing w:before="40" w:after="40"/>
              <w:jc w:val="center"/>
              <w:rPr>
                <w:rFonts w:cs="Segoe UI"/>
                <w:sz w:val="17"/>
                <w:szCs w:val="17"/>
                <w:lang w:eastAsia="en-GB"/>
              </w:rPr>
            </w:pPr>
            <w:r w:rsidRPr="009E0DD9">
              <w:rPr>
                <w:sz w:val="17"/>
                <w:szCs w:val="17"/>
              </w:rPr>
              <w:t>40</w:t>
            </w:r>
            <w:r w:rsidRPr="009E0DD9">
              <w:rPr>
                <w:rFonts w:ascii="新細明體" w:eastAsia="新細明體" w:hAnsi="新細明體" w:hint="eastAsia"/>
                <w:sz w:val="17"/>
                <w:szCs w:val="17"/>
                <w:lang w:eastAsia="zh-HK"/>
              </w:rPr>
              <w:t>至</w:t>
            </w:r>
            <w:r w:rsidRPr="009E0DD9">
              <w:rPr>
                <w:sz w:val="17"/>
                <w:szCs w:val="17"/>
              </w:rPr>
              <w:t>70%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296C78D3"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41640973"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5CB4F9A"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53B9A415"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4187C7F6" w14:textId="77777777" w:rsidTr="003F2D69">
        <w:trPr>
          <w:trHeight w:val="283"/>
        </w:trPr>
        <w:tc>
          <w:tcPr>
            <w:tcW w:w="558" w:type="dxa"/>
            <w:tcBorders>
              <w:left w:val="nil"/>
              <w:right w:val="single" w:sz="6" w:space="0" w:color="auto"/>
            </w:tcBorders>
          </w:tcPr>
          <w:p w14:paraId="755962E0" w14:textId="77777777" w:rsidR="009E0DD9" w:rsidRPr="009E0DD9" w:rsidRDefault="009E0DD9" w:rsidP="009E0DD9">
            <w:pPr>
              <w:snapToGrid w:val="0"/>
              <w:spacing w:before="40" w:after="40"/>
              <w:rPr>
                <w:rFonts w:cs="Segoe UI"/>
                <w:sz w:val="17"/>
                <w:szCs w:val="17"/>
                <w:lang w:eastAsia="en-GB"/>
              </w:rPr>
            </w:pPr>
            <w:r w:rsidRPr="009E0DD9">
              <w:rPr>
                <w:sz w:val="17"/>
                <w:szCs w:val="17"/>
              </w:rPr>
              <w:t>3</w:t>
            </w:r>
          </w:p>
        </w:tc>
        <w:tc>
          <w:tcPr>
            <w:tcW w:w="4395" w:type="dxa"/>
            <w:tcBorders>
              <w:left w:val="nil"/>
              <w:bottom w:val="single" w:sz="4" w:space="0" w:color="BFBFBF" w:themeColor="background1" w:themeShade="BF"/>
              <w:right w:val="single" w:sz="6" w:space="0" w:color="auto"/>
            </w:tcBorders>
            <w:noWrap/>
          </w:tcPr>
          <w:p w14:paraId="01333074" w14:textId="77777777" w:rsidR="009E0DD9" w:rsidRPr="009E0DD9" w:rsidRDefault="009E0DD9" w:rsidP="009E0DD9">
            <w:pPr>
              <w:snapToGrid w:val="0"/>
              <w:spacing w:before="40" w:after="40"/>
              <w:ind w:leftChars="88" w:left="176"/>
              <w:jc w:val="center"/>
              <w:rPr>
                <w:rFonts w:cs="Segoe UI"/>
                <w:sz w:val="17"/>
                <w:szCs w:val="17"/>
                <w:lang w:eastAsia="en-GB"/>
              </w:rPr>
            </w:pPr>
            <w:r w:rsidRPr="009E0DD9">
              <w:rPr>
                <w:sz w:val="17"/>
                <w:szCs w:val="17"/>
              </w:rPr>
              <w:t>75%</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23D67609"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757AEAF8"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7951E2D"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7EB359C5"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7DBC3EBC" w14:textId="77777777" w:rsidTr="003F2D69">
        <w:trPr>
          <w:trHeight w:val="283"/>
        </w:trPr>
        <w:tc>
          <w:tcPr>
            <w:tcW w:w="558" w:type="dxa"/>
            <w:tcBorders>
              <w:left w:val="nil"/>
              <w:right w:val="single" w:sz="6" w:space="0" w:color="auto"/>
            </w:tcBorders>
          </w:tcPr>
          <w:p w14:paraId="110F09B4" w14:textId="77777777" w:rsidR="009E0DD9" w:rsidRPr="009E0DD9" w:rsidRDefault="009E0DD9" w:rsidP="009E0DD9">
            <w:pPr>
              <w:snapToGrid w:val="0"/>
              <w:spacing w:before="40" w:after="40"/>
              <w:rPr>
                <w:rFonts w:cs="Segoe UI"/>
                <w:sz w:val="17"/>
                <w:szCs w:val="17"/>
                <w:lang w:eastAsia="en-GB"/>
              </w:rPr>
            </w:pPr>
            <w:r w:rsidRPr="009E0DD9">
              <w:rPr>
                <w:sz w:val="17"/>
                <w:szCs w:val="17"/>
              </w:rPr>
              <w:t>4</w:t>
            </w:r>
          </w:p>
        </w:tc>
        <w:tc>
          <w:tcPr>
            <w:tcW w:w="4395" w:type="dxa"/>
            <w:tcBorders>
              <w:top w:val="single" w:sz="4" w:space="0" w:color="BFBFBF" w:themeColor="background1" w:themeShade="BF"/>
              <w:left w:val="nil"/>
              <w:bottom w:val="single" w:sz="6" w:space="0" w:color="BCBDBC"/>
              <w:right w:val="single" w:sz="6" w:space="0" w:color="auto"/>
            </w:tcBorders>
            <w:noWrap/>
          </w:tcPr>
          <w:p w14:paraId="08F3EFFF" w14:textId="77777777" w:rsidR="009E0DD9" w:rsidRPr="009E0DD9" w:rsidRDefault="009E0DD9" w:rsidP="009E0DD9">
            <w:pPr>
              <w:snapToGrid w:val="0"/>
              <w:spacing w:before="40" w:after="40"/>
              <w:ind w:leftChars="88" w:left="176"/>
              <w:jc w:val="center"/>
              <w:rPr>
                <w:rFonts w:cs="Segoe UI"/>
                <w:sz w:val="17"/>
                <w:szCs w:val="17"/>
                <w:lang w:eastAsia="en-GB"/>
              </w:rPr>
            </w:pPr>
            <w:r w:rsidRPr="009E0DD9">
              <w:rPr>
                <w:sz w:val="17"/>
                <w:szCs w:val="17"/>
              </w:rPr>
              <w:t>85%</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114AC68E"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7CB002E9"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76C8FDF"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6AD80ECA"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77A3AE87" w14:textId="77777777" w:rsidTr="003F2D69">
        <w:trPr>
          <w:trHeight w:val="283"/>
        </w:trPr>
        <w:tc>
          <w:tcPr>
            <w:tcW w:w="558" w:type="dxa"/>
            <w:tcBorders>
              <w:left w:val="nil"/>
              <w:right w:val="single" w:sz="6" w:space="0" w:color="auto"/>
            </w:tcBorders>
          </w:tcPr>
          <w:p w14:paraId="39BFAD1B" w14:textId="77777777" w:rsidR="009E0DD9" w:rsidRPr="009E0DD9" w:rsidRDefault="009E0DD9" w:rsidP="009E0DD9">
            <w:pPr>
              <w:snapToGrid w:val="0"/>
              <w:spacing w:before="40" w:after="40"/>
              <w:rPr>
                <w:rFonts w:cs="Segoe UI"/>
                <w:sz w:val="17"/>
                <w:szCs w:val="17"/>
                <w:lang w:eastAsia="en-GB"/>
              </w:rPr>
            </w:pPr>
            <w:r w:rsidRPr="009E0DD9">
              <w:rPr>
                <w:sz w:val="17"/>
                <w:szCs w:val="17"/>
              </w:rPr>
              <w:t>5</w:t>
            </w:r>
          </w:p>
        </w:tc>
        <w:tc>
          <w:tcPr>
            <w:tcW w:w="4395" w:type="dxa"/>
            <w:tcBorders>
              <w:top w:val="single" w:sz="6" w:space="0" w:color="BCBDBC"/>
              <w:left w:val="nil"/>
              <w:right w:val="single" w:sz="6" w:space="0" w:color="auto"/>
            </w:tcBorders>
            <w:noWrap/>
          </w:tcPr>
          <w:p w14:paraId="0960B390" w14:textId="77777777" w:rsidR="009E0DD9" w:rsidRPr="009E0DD9" w:rsidRDefault="009E0DD9" w:rsidP="009E0DD9">
            <w:pPr>
              <w:snapToGrid w:val="0"/>
              <w:spacing w:before="40" w:after="40"/>
              <w:jc w:val="center"/>
              <w:rPr>
                <w:rFonts w:cs="Segoe UI"/>
                <w:sz w:val="17"/>
                <w:szCs w:val="17"/>
                <w:lang w:eastAsia="en-GB"/>
              </w:rPr>
            </w:pPr>
            <w:r w:rsidRPr="009E0DD9">
              <w:rPr>
                <w:sz w:val="17"/>
                <w:szCs w:val="17"/>
              </w:rPr>
              <w:t>90</w:t>
            </w:r>
            <w:r w:rsidRPr="009E0DD9">
              <w:rPr>
                <w:rFonts w:ascii="新細明體" w:eastAsia="新細明體" w:hAnsi="新細明體" w:hint="eastAsia"/>
                <w:sz w:val="17"/>
                <w:szCs w:val="17"/>
                <w:lang w:eastAsia="zh-HK"/>
              </w:rPr>
              <w:t>至</w:t>
            </w:r>
            <w:r w:rsidRPr="009E0DD9">
              <w:rPr>
                <w:sz w:val="17"/>
                <w:szCs w:val="17"/>
              </w:rPr>
              <w:t>100%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5DD54B1E"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5AAF9364"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1CB646D6"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17C83B9D"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55AD06E8" w14:textId="77777777" w:rsidTr="009E0DD9">
        <w:trPr>
          <w:trHeight w:val="283"/>
        </w:trPr>
        <w:tc>
          <w:tcPr>
            <w:tcW w:w="558" w:type="dxa"/>
            <w:tcBorders>
              <w:left w:val="nil"/>
              <w:right w:val="single" w:sz="6" w:space="0" w:color="auto"/>
            </w:tcBorders>
          </w:tcPr>
          <w:p w14:paraId="5D6B6F98" w14:textId="77777777" w:rsidR="009E0DD9" w:rsidRPr="009E0DD9" w:rsidRDefault="009E0DD9" w:rsidP="009E0DD9">
            <w:pPr>
              <w:snapToGrid w:val="0"/>
              <w:spacing w:before="40" w:after="40"/>
              <w:rPr>
                <w:rFonts w:cs="Segoe UI"/>
                <w:sz w:val="17"/>
                <w:szCs w:val="17"/>
                <w:lang w:eastAsia="en-GB"/>
              </w:rPr>
            </w:pPr>
            <w:r w:rsidRPr="009E0DD9">
              <w:rPr>
                <w:sz w:val="17"/>
                <w:szCs w:val="17"/>
              </w:rPr>
              <w:t>6</w:t>
            </w:r>
          </w:p>
        </w:tc>
        <w:tc>
          <w:tcPr>
            <w:tcW w:w="4395" w:type="dxa"/>
            <w:tcBorders>
              <w:left w:val="nil"/>
              <w:right w:val="single" w:sz="6" w:space="0" w:color="auto"/>
            </w:tcBorders>
            <w:noWrap/>
          </w:tcPr>
          <w:p w14:paraId="7DA5127A" w14:textId="77777777" w:rsidR="009E0DD9" w:rsidRPr="009E0DD9" w:rsidRDefault="009E0DD9" w:rsidP="009E0DD9">
            <w:pPr>
              <w:snapToGrid w:val="0"/>
              <w:spacing w:before="40" w:after="40"/>
              <w:jc w:val="center"/>
              <w:rPr>
                <w:rFonts w:cs="Segoe UI"/>
                <w:sz w:val="17"/>
                <w:szCs w:val="17"/>
                <w:lang w:eastAsia="en-GB"/>
              </w:rPr>
            </w:pPr>
            <w:r w:rsidRPr="009E0DD9">
              <w:rPr>
                <w:sz w:val="17"/>
                <w:szCs w:val="17"/>
              </w:rPr>
              <w:t>105</w:t>
            </w:r>
            <w:r w:rsidRPr="009E0DD9">
              <w:rPr>
                <w:rFonts w:ascii="新細明體" w:eastAsia="新細明體" w:hAnsi="新細明體" w:hint="eastAsia"/>
                <w:sz w:val="17"/>
                <w:szCs w:val="17"/>
                <w:lang w:eastAsia="zh-HK"/>
              </w:rPr>
              <w:t>至</w:t>
            </w:r>
            <w:r w:rsidRPr="009E0DD9">
              <w:rPr>
                <w:sz w:val="17"/>
                <w:szCs w:val="17"/>
              </w:rPr>
              <w:t>130%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40C2C09D"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A642F44"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4075EA37"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06A727C3"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366C27E4" w14:textId="77777777" w:rsidTr="009E0DD9">
        <w:trPr>
          <w:trHeight w:val="283"/>
        </w:trPr>
        <w:tc>
          <w:tcPr>
            <w:tcW w:w="558" w:type="dxa"/>
            <w:tcBorders>
              <w:left w:val="nil"/>
              <w:right w:val="single" w:sz="6" w:space="0" w:color="auto"/>
            </w:tcBorders>
          </w:tcPr>
          <w:p w14:paraId="69EECC6B" w14:textId="77777777" w:rsidR="009E0DD9" w:rsidRPr="009E0DD9" w:rsidRDefault="009E0DD9" w:rsidP="009E0DD9">
            <w:pPr>
              <w:snapToGrid w:val="0"/>
              <w:spacing w:before="40" w:after="40"/>
              <w:rPr>
                <w:rFonts w:cs="Segoe UI"/>
                <w:sz w:val="17"/>
                <w:szCs w:val="17"/>
                <w:lang w:eastAsia="en-GB"/>
              </w:rPr>
            </w:pPr>
            <w:r w:rsidRPr="009E0DD9">
              <w:rPr>
                <w:sz w:val="17"/>
                <w:szCs w:val="17"/>
              </w:rPr>
              <w:t>7</w:t>
            </w:r>
          </w:p>
        </w:tc>
        <w:tc>
          <w:tcPr>
            <w:tcW w:w="4395" w:type="dxa"/>
            <w:tcBorders>
              <w:left w:val="nil"/>
              <w:right w:val="single" w:sz="6" w:space="0" w:color="auto"/>
            </w:tcBorders>
            <w:noWrap/>
          </w:tcPr>
          <w:p w14:paraId="0925126C" w14:textId="77777777" w:rsidR="009E0DD9" w:rsidRPr="009E0DD9" w:rsidRDefault="009E0DD9" w:rsidP="009E0DD9">
            <w:pPr>
              <w:snapToGrid w:val="0"/>
              <w:spacing w:before="40" w:after="40"/>
              <w:jc w:val="center"/>
              <w:rPr>
                <w:rFonts w:cs="Segoe UI"/>
                <w:sz w:val="17"/>
                <w:szCs w:val="17"/>
                <w:lang w:eastAsia="en-GB"/>
              </w:rPr>
            </w:pPr>
            <w:r w:rsidRPr="009E0DD9">
              <w:rPr>
                <w:sz w:val="17"/>
                <w:szCs w:val="17"/>
              </w:rPr>
              <w:t>150%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6E405BC6"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60DB105"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464CCA7B"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0B00BD55"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55A61931" w14:textId="77777777" w:rsidTr="009E0DD9">
        <w:trPr>
          <w:trHeight w:val="283"/>
        </w:trPr>
        <w:tc>
          <w:tcPr>
            <w:tcW w:w="558" w:type="dxa"/>
            <w:tcBorders>
              <w:left w:val="nil"/>
              <w:right w:val="single" w:sz="6" w:space="0" w:color="auto"/>
            </w:tcBorders>
          </w:tcPr>
          <w:p w14:paraId="6E4330A4" w14:textId="77777777" w:rsidR="009E0DD9" w:rsidRPr="009E0DD9" w:rsidRDefault="009E0DD9" w:rsidP="009E0DD9">
            <w:pPr>
              <w:snapToGrid w:val="0"/>
              <w:spacing w:before="40" w:after="40"/>
              <w:rPr>
                <w:rFonts w:cs="Segoe UI"/>
                <w:sz w:val="17"/>
                <w:szCs w:val="17"/>
                <w:lang w:eastAsia="en-GB"/>
              </w:rPr>
            </w:pPr>
            <w:r w:rsidRPr="009E0DD9">
              <w:rPr>
                <w:sz w:val="17"/>
                <w:szCs w:val="17"/>
              </w:rPr>
              <w:t>8</w:t>
            </w:r>
          </w:p>
        </w:tc>
        <w:tc>
          <w:tcPr>
            <w:tcW w:w="4395" w:type="dxa"/>
            <w:tcBorders>
              <w:left w:val="nil"/>
              <w:right w:val="single" w:sz="6" w:space="0" w:color="auto"/>
            </w:tcBorders>
            <w:noWrap/>
          </w:tcPr>
          <w:p w14:paraId="22ADE31D" w14:textId="77777777" w:rsidR="009E0DD9" w:rsidRPr="009E0DD9" w:rsidRDefault="009E0DD9" w:rsidP="009E0DD9">
            <w:pPr>
              <w:snapToGrid w:val="0"/>
              <w:spacing w:before="40" w:after="40"/>
              <w:jc w:val="center"/>
              <w:rPr>
                <w:rFonts w:cs="Segoe UI"/>
                <w:sz w:val="17"/>
                <w:szCs w:val="17"/>
                <w:lang w:eastAsia="en-GB"/>
              </w:rPr>
            </w:pPr>
            <w:r w:rsidRPr="009E0DD9">
              <w:rPr>
                <w:sz w:val="17"/>
                <w:szCs w:val="17"/>
              </w:rPr>
              <w:t>250%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03EE99CB"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738EB472"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44AD5FFE"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4A486060"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779EFC1F" w14:textId="77777777" w:rsidTr="009E0DD9">
        <w:trPr>
          <w:trHeight w:val="283"/>
        </w:trPr>
        <w:tc>
          <w:tcPr>
            <w:tcW w:w="558" w:type="dxa"/>
            <w:tcBorders>
              <w:left w:val="nil"/>
              <w:right w:val="single" w:sz="6" w:space="0" w:color="auto"/>
            </w:tcBorders>
          </w:tcPr>
          <w:p w14:paraId="6021503B" w14:textId="77777777" w:rsidR="009E0DD9" w:rsidRPr="009E0DD9" w:rsidRDefault="009E0DD9" w:rsidP="009E0DD9">
            <w:pPr>
              <w:snapToGrid w:val="0"/>
              <w:spacing w:before="40" w:after="40"/>
              <w:rPr>
                <w:rFonts w:cs="Segoe UI"/>
                <w:sz w:val="17"/>
                <w:szCs w:val="17"/>
                <w:lang w:eastAsia="en-GB"/>
              </w:rPr>
            </w:pPr>
            <w:r w:rsidRPr="009E0DD9">
              <w:rPr>
                <w:sz w:val="17"/>
                <w:szCs w:val="17"/>
              </w:rPr>
              <w:t>9</w:t>
            </w:r>
          </w:p>
        </w:tc>
        <w:tc>
          <w:tcPr>
            <w:tcW w:w="4395" w:type="dxa"/>
            <w:tcBorders>
              <w:left w:val="nil"/>
              <w:right w:val="single" w:sz="6" w:space="0" w:color="auto"/>
            </w:tcBorders>
            <w:noWrap/>
          </w:tcPr>
          <w:p w14:paraId="790FC2B1" w14:textId="77777777" w:rsidR="009E0DD9" w:rsidRPr="009E0DD9" w:rsidRDefault="009E0DD9" w:rsidP="009E0DD9">
            <w:pPr>
              <w:snapToGrid w:val="0"/>
              <w:spacing w:before="40" w:after="40"/>
              <w:jc w:val="center"/>
              <w:rPr>
                <w:rFonts w:cs="Segoe UI"/>
                <w:sz w:val="17"/>
                <w:szCs w:val="17"/>
                <w:lang w:eastAsia="en-GB"/>
              </w:rPr>
            </w:pPr>
            <w:r w:rsidRPr="009E0DD9">
              <w:rPr>
                <w:sz w:val="17"/>
                <w:szCs w:val="17"/>
              </w:rPr>
              <w:t>400%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6CAD09A4"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4557D6D5"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55D985C4"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14ED889F"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18A25500" w14:textId="77777777" w:rsidTr="009E0DD9">
        <w:trPr>
          <w:trHeight w:val="283"/>
        </w:trPr>
        <w:tc>
          <w:tcPr>
            <w:tcW w:w="558" w:type="dxa"/>
            <w:tcBorders>
              <w:left w:val="nil"/>
              <w:right w:val="single" w:sz="6" w:space="0" w:color="auto"/>
            </w:tcBorders>
          </w:tcPr>
          <w:p w14:paraId="293B3297" w14:textId="77777777" w:rsidR="009E0DD9" w:rsidRPr="009E0DD9" w:rsidRDefault="009E0DD9" w:rsidP="009E0DD9">
            <w:pPr>
              <w:snapToGrid w:val="0"/>
              <w:spacing w:before="40" w:after="40"/>
              <w:rPr>
                <w:sz w:val="17"/>
                <w:szCs w:val="17"/>
              </w:rPr>
            </w:pPr>
            <w:r w:rsidRPr="009E0DD9">
              <w:rPr>
                <w:rFonts w:cs="Segoe UI"/>
                <w:sz w:val="17"/>
                <w:szCs w:val="17"/>
                <w:lang w:eastAsia="en-GB"/>
              </w:rPr>
              <w:t>10</w:t>
            </w:r>
          </w:p>
        </w:tc>
        <w:tc>
          <w:tcPr>
            <w:tcW w:w="4395" w:type="dxa"/>
            <w:tcBorders>
              <w:left w:val="nil"/>
              <w:right w:val="single" w:sz="6" w:space="0" w:color="auto"/>
            </w:tcBorders>
            <w:noWrap/>
          </w:tcPr>
          <w:p w14:paraId="5F10921C" w14:textId="77777777" w:rsidR="009E0DD9" w:rsidRPr="009E0DD9" w:rsidRDefault="009E0DD9" w:rsidP="009E0DD9">
            <w:pPr>
              <w:snapToGrid w:val="0"/>
              <w:spacing w:before="40" w:after="40"/>
              <w:jc w:val="center"/>
              <w:rPr>
                <w:sz w:val="17"/>
                <w:szCs w:val="17"/>
              </w:rPr>
            </w:pPr>
            <w:r w:rsidRPr="009E0DD9">
              <w:rPr>
                <w:rFonts w:cs="Segoe UI"/>
                <w:sz w:val="17"/>
                <w:szCs w:val="17"/>
                <w:lang w:eastAsia="en-GB"/>
              </w:rPr>
              <w:t>1,250%</w:t>
            </w:r>
          </w:p>
        </w:tc>
        <w:tc>
          <w:tcPr>
            <w:tcW w:w="2303" w:type="dxa"/>
            <w:tcBorders>
              <w:top w:val="single" w:sz="6" w:space="0" w:color="BCBDBC"/>
              <w:left w:val="single" w:sz="6" w:space="0" w:color="auto"/>
              <w:bottom w:val="single" w:sz="6" w:space="0" w:color="BCBDBC"/>
              <w:right w:val="single" w:sz="6" w:space="0" w:color="auto"/>
            </w:tcBorders>
            <w:noWrap/>
            <w:vAlign w:val="center"/>
          </w:tcPr>
          <w:p w14:paraId="19C23269"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4A14B1BF"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16F3D0CB"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6" w:space="0" w:color="BCBDBC"/>
              <w:right w:val="single" w:sz="6" w:space="0" w:color="auto"/>
            </w:tcBorders>
          </w:tcPr>
          <w:p w14:paraId="229DBE82"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6C7BC7FE" w14:textId="77777777" w:rsidTr="009E0DD9">
        <w:trPr>
          <w:trHeight w:val="283"/>
        </w:trPr>
        <w:tc>
          <w:tcPr>
            <w:tcW w:w="558" w:type="dxa"/>
            <w:tcBorders>
              <w:left w:val="nil"/>
              <w:bottom w:val="single" w:sz="4" w:space="0" w:color="auto"/>
              <w:right w:val="single" w:sz="6" w:space="0" w:color="auto"/>
            </w:tcBorders>
          </w:tcPr>
          <w:p w14:paraId="26A39753" w14:textId="77777777" w:rsidR="009E0DD9" w:rsidRPr="009E0DD9" w:rsidRDefault="009E0DD9" w:rsidP="009E0DD9">
            <w:pPr>
              <w:snapToGrid w:val="0"/>
              <w:spacing w:before="40" w:after="40"/>
              <w:rPr>
                <w:sz w:val="17"/>
                <w:szCs w:val="17"/>
              </w:rPr>
            </w:pPr>
            <w:r w:rsidRPr="009E0DD9">
              <w:rPr>
                <w:rFonts w:cs="Segoe UI"/>
                <w:sz w:val="17"/>
                <w:szCs w:val="17"/>
                <w:lang w:eastAsia="en-GB"/>
              </w:rPr>
              <w:t>11</w:t>
            </w:r>
          </w:p>
        </w:tc>
        <w:tc>
          <w:tcPr>
            <w:tcW w:w="4395" w:type="dxa"/>
            <w:tcBorders>
              <w:left w:val="nil"/>
              <w:bottom w:val="single" w:sz="4" w:space="0" w:color="auto"/>
              <w:right w:val="single" w:sz="6" w:space="0" w:color="auto"/>
            </w:tcBorders>
            <w:noWrap/>
          </w:tcPr>
          <w:p w14:paraId="6CF11913" w14:textId="77777777" w:rsidR="009E0DD9" w:rsidRPr="003F2D69" w:rsidRDefault="009E0DD9" w:rsidP="009E0DD9">
            <w:pPr>
              <w:snapToGrid w:val="0"/>
              <w:spacing w:before="40" w:after="40"/>
              <w:jc w:val="center"/>
              <w:rPr>
                <w:rFonts w:ascii="細明體" w:eastAsia="細明體" w:hAnsi="細明體"/>
                <w:sz w:val="17"/>
                <w:szCs w:val="17"/>
              </w:rPr>
            </w:pPr>
            <w:r w:rsidRPr="003F2D69">
              <w:rPr>
                <w:rFonts w:ascii="細明體" w:eastAsia="細明體" w:hAnsi="細明體" w:cs="Segoe UI" w:hint="eastAsia"/>
                <w:b/>
                <w:sz w:val="17"/>
                <w:szCs w:val="17"/>
                <w:lang w:eastAsia="zh-HK"/>
              </w:rPr>
              <w:t>總風險承擔</w:t>
            </w:r>
          </w:p>
        </w:tc>
        <w:tc>
          <w:tcPr>
            <w:tcW w:w="2303" w:type="dxa"/>
            <w:tcBorders>
              <w:top w:val="single" w:sz="6" w:space="0" w:color="BCBDBC"/>
              <w:left w:val="single" w:sz="6" w:space="0" w:color="auto"/>
              <w:bottom w:val="single" w:sz="4" w:space="0" w:color="auto"/>
              <w:right w:val="single" w:sz="6" w:space="0" w:color="auto"/>
            </w:tcBorders>
            <w:noWrap/>
            <w:vAlign w:val="center"/>
          </w:tcPr>
          <w:p w14:paraId="785BEA81"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4" w:space="0" w:color="auto"/>
              <w:right w:val="single" w:sz="6" w:space="0" w:color="auto"/>
            </w:tcBorders>
            <w:noWrap/>
            <w:vAlign w:val="center"/>
          </w:tcPr>
          <w:p w14:paraId="794059C3" w14:textId="77777777" w:rsidR="009E0DD9" w:rsidRPr="009E0DD9" w:rsidRDefault="009E0DD9" w:rsidP="009E0DD9">
            <w:pPr>
              <w:snapToGrid w:val="0"/>
              <w:spacing w:before="40" w:after="40"/>
              <w:rPr>
                <w:rFonts w:eastAsia="MS PGothic"/>
                <w:sz w:val="17"/>
                <w:szCs w:val="17"/>
                <w:lang w:eastAsia="ja-JP"/>
              </w:rPr>
            </w:pPr>
          </w:p>
        </w:tc>
        <w:tc>
          <w:tcPr>
            <w:tcW w:w="2303" w:type="dxa"/>
            <w:tcBorders>
              <w:top w:val="single" w:sz="6" w:space="0" w:color="BCBDBC"/>
              <w:left w:val="single" w:sz="6" w:space="0" w:color="auto"/>
              <w:bottom w:val="single" w:sz="4" w:space="0" w:color="auto"/>
              <w:right w:val="single" w:sz="6" w:space="0" w:color="auto"/>
            </w:tcBorders>
            <w:noWrap/>
            <w:vAlign w:val="center"/>
          </w:tcPr>
          <w:p w14:paraId="34C07445" w14:textId="77777777" w:rsidR="009E0DD9" w:rsidRPr="009E0DD9" w:rsidRDefault="009E0DD9" w:rsidP="009E0DD9">
            <w:pPr>
              <w:snapToGrid w:val="0"/>
              <w:spacing w:before="40" w:after="40"/>
              <w:rPr>
                <w:rFonts w:eastAsia="MS PGothic"/>
                <w:sz w:val="17"/>
                <w:szCs w:val="17"/>
                <w:lang w:eastAsia="ja-JP"/>
              </w:rPr>
            </w:pPr>
          </w:p>
        </w:tc>
        <w:tc>
          <w:tcPr>
            <w:tcW w:w="2304" w:type="dxa"/>
            <w:tcBorders>
              <w:top w:val="single" w:sz="6" w:space="0" w:color="BCBDBC"/>
              <w:left w:val="single" w:sz="6" w:space="0" w:color="auto"/>
              <w:bottom w:val="single" w:sz="4" w:space="0" w:color="auto"/>
              <w:right w:val="single" w:sz="6" w:space="0" w:color="auto"/>
            </w:tcBorders>
          </w:tcPr>
          <w:p w14:paraId="56393A3B" w14:textId="77777777" w:rsidR="009E0DD9" w:rsidRPr="009E0DD9" w:rsidRDefault="009E0DD9" w:rsidP="009E0DD9">
            <w:pPr>
              <w:snapToGrid w:val="0"/>
              <w:spacing w:before="40" w:after="40"/>
              <w:rPr>
                <w:rFonts w:eastAsia="MS PGothic"/>
                <w:sz w:val="17"/>
                <w:szCs w:val="17"/>
                <w:lang w:eastAsia="ja-JP"/>
              </w:rPr>
            </w:pPr>
          </w:p>
        </w:tc>
      </w:tr>
      <w:tr w:rsidR="009E0DD9" w:rsidRPr="009E0DD9" w14:paraId="288B4EFC" w14:textId="77777777" w:rsidTr="009E0DD9">
        <w:trPr>
          <w:trHeight w:val="283"/>
        </w:trPr>
        <w:tc>
          <w:tcPr>
            <w:tcW w:w="14166" w:type="dxa"/>
            <w:gridSpan w:val="6"/>
            <w:tcBorders>
              <w:top w:val="single" w:sz="4" w:space="0" w:color="auto"/>
              <w:left w:val="nil"/>
              <w:bottom w:val="single" w:sz="4" w:space="0" w:color="auto"/>
              <w:right w:val="single" w:sz="6" w:space="0" w:color="auto"/>
            </w:tcBorders>
          </w:tcPr>
          <w:p w14:paraId="63B43DF4" w14:textId="77777777" w:rsidR="009E0DD9" w:rsidRPr="00A524C4" w:rsidRDefault="009E0DD9" w:rsidP="009E0DD9">
            <w:pPr>
              <w:keepLines/>
              <w:tabs>
                <w:tab w:val="left" w:pos="397"/>
                <w:tab w:val="left" w:pos="794"/>
                <w:tab w:val="left" w:pos="1191"/>
              </w:tabs>
              <w:snapToGrid w:val="0"/>
              <w:spacing w:before="20" w:after="20"/>
              <w:rPr>
                <w:rFonts w:ascii="細明體" w:eastAsia="細明體" w:hAnsi="細明體" w:cs="Segoe UI"/>
                <w:i/>
                <w:sz w:val="17"/>
                <w:szCs w:val="17"/>
                <w:lang w:eastAsia="zh-TW"/>
              </w:rPr>
            </w:pPr>
            <w:r w:rsidRPr="00A524C4">
              <w:rPr>
                <w:rFonts w:ascii="細明體" w:eastAsia="細明體" w:hAnsi="細明體" w:cs="Segoe UI" w:hint="eastAsia"/>
                <w:i/>
                <w:sz w:val="17"/>
                <w:szCs w:val="17"/>
                <w:lang w:eastAsia="zh-HK"/>
              </w:rPr>
              <w:t>注意事項</w:t>
            </w:r>
            <w:r w:rsidRPr="00A524C4">
              <w:rPr>
                <w:rFonts w:ascii="細明體" w:eastAsia="細明體" w:hAnsi="細明體" w:cs="Segoe UI" w:hint="eastAsia"/>
                <w:i/>
                <w:sz w:val="17"/>
                <w:szCs w:val="17"/>
                <w:lang w:eastAsia="zh-TW"/>
              </w:rPr>
              <w:t>：</w:t>
            </w:r>
          </w:p>
          <w:p w14:paraId="14B99C06" w14:textId="2ACD657E" w:rsidR="009E0DD9" w:rsidRPr="00A524C4" w:rsidRDefault="009E0DD9" w:rsidP="009E0DD9">
            <w:pPr>
              <w:snapToGrid w:val="0"/>
              <w:spacing w:before="40" w:after="40"/>
              <w:rPr>
                <w:rFonts w:ascii="細明體" w:eastAsia="細明體" w:hAnsi="細明體" w:cs="Segoe UI"/>
                <w:sz w:val="17"/>
                <w:szCs w:val="17"/>
                <w:lang w:eastAsia="zh-TW"/>
              </w:rPr>
            </w:pPr>
            <w:r w:rsidRPr="00A524C4">
              <w:rPr>
                <w:rFonts w:ascii="細明體" w:eastAsia="細明體" w:hAnsi="細明體" w:cs="Segoe UI"/>
                <w:sz w:val="17"/>
                <w:szCs w:val="17"/>
                <w:lang w:eastAsia="zh-TW"/>
              </w:rPr>
              <w:t xml:space="preserve"># </w:t>
            </w:r>
            <w:r w:rsidRPr="00A524C4">
              <w:rPr>
                <w:rFonts w:ascii="細明體" w:eastAsia="細明體" w:hAnsi="細明體" w:cs="Segoe UI" w:hint="eastAsia"/>
                <w:sz w:val="17"/>
                <w:szCs w:val="17"/>
                <w:lang w:eastAsia="zh-HK"/>
              </w:rPr>
              <w:t>認可機構應就上表未列出的適用風險權重</w:t>
            </w:r>
            <w:r w:rsidRPr="00A524C4">
              <w:rPr>
                <w:rFonts w:ascii="細明體" w:eastAsia="細明體" w:hAnsi="細明體" w:cs="Segoe UI" w:hint="eastAsia"/>
                <w:sz w:val="17"/>
                <w:szCs w:val="17"/>
                <w:lang w:eastAsia="zh-TW"/>
              </w:rPr>
              <w:t>（</w:t>
            </w:r>
            <w:r w:rsidRPr="00A524C4">
              <w:rPr>
                <w:rFonts w:ascii="細明體" w:eastAsia="細明體" w:hAnsi="細明體" w:cs="Segoe UI" w:hint="eastAsia"/>
                <w:sz w:val="17"/>
                <w:szCs w:val="17"/>
                <w:lang w:eastAsia="zh-HK"/>
              </w:rPr>
              <w:t>如有</w:t>
            </w:r>
            <w:r w:rsidRPr="00A524C4">
              <w:rPr>
                <w:rFonts w:ascii="細明體" w:eastAsia="細明體" w:hAnsi="細明體" w:cs="Segoe UI" w:hint="eastAsia"/>
                <w:sz w:val="17"/>
                <w:szCs w:val="17"/>
                <w:lang w:eastAsia="zh-TW"/>
              </w:rPr>
              <w:t>）</w:t>
            </w:r>
            <w:r w:rsidR="00B20255" w:rsidRPr="00A524C4">
              <w:rPr>
                <w:rFonts w:ascii="細明體" w:eastAsia="細明體" w:hAnsi="細明體" w:hint="eastAsia"/>
                <w:sz w:val="17"/>
                <w:szCs w:val="22"/>
                <w:lang w:eastAsia="zh-TW"/>
              </w:rPr>
              <w:t>加入附加行</w:t>
            </w:r>
            <w:r w:rsidRPr="00A524C4">
              <w:rPr>
                <w:rFonts w:ascii="細明體" w:eastAsia="細明體" w:hAnsi="細明體" w:cs="Segoe UI" w:hint="eastAsia"/>
                <w:sz w:val="17"/>
                <w:szCs w:val="17"/>
                <w:lang w:eastAsia="zh-TW"/>
              </w:rPr>
              <w:t>。</w:t>
            </w:r>
          </w:p>
          <w:p w14:paraId="2FA3589D" w14:textId="4E597DB2" w:rsidR="009E0DD9" w:rsidRPr="009E0DD9" w:rsidRDefault="009E0DD9" w:rsidP="009E0DD9">
            <w:pPr>
              <w:snapToGrid w:val="0"/>
              <w:spacing w:before="40" w:after="40"/>
              <w:rPr>
                <w:rFonts w:eastAsia="MS PGothic"/>
                <w:sz w:val="17"/>
                <w:szCs w:val="17"/>
                <w:lang w:eastAsia="ja-JP"/>
              </w:rPr>
            </w:pPr>
            <w:r w:rsidRPr="00A524C4">
              <w:rPr>
                <w:rFonts w:ascii="細明體" w:eastAsia="細明體" w:hAnsi="細明體" w:cs="Segoe UI"/>
                <w:sz w:val="17"/>
                <w:szCs w:val="17"/>
                <w:lang w:eastAsia="zh-TW"/>
              </w:rPr>
              <w:t xml:space="preserve">* </w:t>
            </w:r>
            <w:r w:rsidR="00B20255" w:rsidRPr="00A524C4">
              <w:rPr>
                <w:rFonts w:ascii="細明體" w:eastAsia="細明體" w:hAnsi="細明體" w:cs="Segoe UI" w:hint="eastAsia"/>
                <w:sz w:val="17"/>
                <w:szCs w:val="17"/>
                <w:lang w:eastAsia="zh-HK"/>
              </w:rPr>
              <w:t>權重是基於</w:t>
            </w:r>
            <w:r w:rsidRPr="00A524C4">
              <w:rPr>
                <w:rFonts w:ascii="細明體" w:eastAsia="細明體" w:hAnsi="細明體" w:cs="Segoe UI"/>
                <w:sz w:val="17"/>
                <w:szCs w:val="17"/>
                <w:lang w:eastAsia="zh-HK"/>
              </w:rPr>
              <w:t>資</w:t>
            </w:r>
            <w:r w:rsidRPr="00A524C4">
              <w:rPr>
                <w:rFonts w:ascii="細明體" w:eastAsia="細明體" w:hAnsi="細明體" w:cs="Segoe UI" w:hint="eastAsia"/>
                <w:sz w:val="17"/>
                <w:szCs w:val="17"/>
                <w:lang w:eastAsia="zh-HK"/>
              </w:rPr>
              <w:t>產</w:t>
            </w:r>
            <w:r w:rsidRPr="00A524C4">
              <w:rPr>
                <w:rFonts w:ascii="細明體" w:eastAsia="細明體" w:hAnsi="細明體" w:cs="Segoe UI"/>
                <w:sz w:val="17"/>
                <w:szCs w:val="17"/>
                <w:lang w:eastAsia="zh-HK"/>
              </w:rPr>
              <w:t>負</w:t>
            </w:r>
            <w:r w:rsidRPr="00A524C4">
              <w:rPr>
                <w:rFonts w:ascii="細明體" w:eastAsia="細明體" w:hAnsi="細明體" w:cs="Segoe UI" w:hint="eastAsia"/>
                <w:sz w:val="17"/>
                <w:szCs w:val="17"/>
                <w:lang w:eastAsia="zh-HK"/>
              </w:rPr>
              <w:t>債表外</w:t>
            </w:r>
            <w:r w:rsidRPr="00A524C4">
              <w:rPr>
                <w:rFonts w:ascii="細明體" w:eastAsia="細明體" w:hAnsi="細明體" w:cs="Segoe UI" w:hint="eastAsia"/>
                <w:sz w:val="17"/>
                <w:szCs w:val="17"/>
                <w:lang w:val="en-US" w:eastAsia="zh-HK"/>
              </w:rPr>
              <w:t>風險承擔（未將</w:t>
            </w:r>
            <w:r w:rsidR="0021629C" w:rsidRPr="00A524C4">
              <w:rPr>
                <w:rFonts w:eastAsia="細明體" w:cs="Segoe UI"/>
                <w:sz w:val="17"/>
                <w:szCs w:val="17"/>
                <w:lang w:eastAsia="ja-JP"/>
              </w:rPr>
              <w:t>CCF</w:t>
            </w:r>
            <w:r w:rsidR="00B20255" w:rsidRPr="00A524C4">
              <w:rPr>
                <w:rFonts w:ascii="細明體" w:eastAsia="細明體" w:hAnsi="細明體" w:cs="Segoe UI" w:hint="eastAsia"/>
                <w:sz w:val="17"/>
                <w:szCs w:val="17"/>
                <w:lang w:val="en-US" w:eastAsia="zh-HK"/>
              </w:rPr>
              <w:t>計算在內）</w:t>
            </w:r>
            <w:r w:rsidRPr="00A524C4">
              <w:rPr>
                <w:rFonts w:ascii="細明體" w:eastAsia="細明體" w:hAnsi="細明體" w:cs="Segoe UI" w:hint="eastAsia"/>
                <w:sz w:val="17"/>
                <w:szCs w:val="17"/>
                <w:lang w:val="en-US" w:eastAsia="zh-TW"/>
              </w:rPr>
              <w:t>。</w:t>
            </w:r>
          </w:p>
        </w:tc>
      </w:tr>
    </w:tbl>
    <w:p w14:paraId="0361EC1F" w14:textId="77777777" w:rsidR="009E0DD9" w:rsidRPr="009E0DD9" w:rsidRDefault="009E0DD9" w:rsidP="009E0DD9">
      <w:pPr>
        <w:spacing w:before="40" w:after="40"/>
        <w:rPr>
          <w:u w:val="single"/>
          <w:lang w:eastAsia="zh-TW"/>
        </w:rPr>
      </w:pPr>
    </w:p>
    <w:p w14:paraId="291C3B38" w14:textId="77777777" w:rsidR="00272D6C" w:rsidRPr="00272D6C" w:rsidRDefault="00272D6C" w:rsidP="00272D6C">
      <w:pPr>
        <w:suppressAutoHyphens/>
        <w:spacing w:before="40" w:after="40"/>
        <w:rPr>
          <w:rFonts w:eastAsia="細明體" w:cs="Segoe UI"/>
          <w:u w:val="single"/>
          <w:lang w:eastAsia="ar-SA"/>
        </w:rPr>
      </w:pPr>
    </w:p>
    <w:p w14:paraId="2FDA1062" w14:textId="77777777" w:rsidR="007E30DD" w:rsidRPr="008409C3" w:rsidRDefault="007E30DD" w:rsidP="00272D6C">
      <w:pPr>
        <w:suppressAutoHyphens/>
        <w:spacing w:before="40" w:after="40"/>
        <w:rPr>
          <w:rFonts w:eastAsia="細明體" w:cs="Segoe UI"/>
          <w:szCs w:val="17"/>
          <w:lang w:eastAsia="ar-SA"/>
        </w:rPr>
      </w:pPr>
      <w:r w:rsidRPr="008409C3">
        <w:rPr>
          <w:rFonts w:eastAsia="細明體" w:cs="Segoe UI"/>
          <w:szCs w:val="17"/>
          <w:lang w:eastAsia="ar-SA"/>
        </w:rPr>
        <w:br w:type="page"/>
      </w:r>
    </w:p>
    <w:p w14:paraId="394EDD10" w14:textId="15FD4202" w:rsidR="00272D6C" w:rsidRPr="00272D6C" w:rsidRDefault="00272D6C" w:rsidP="00272D6C">
      <w:pPr>
        <w:suppressAutoHyphens/>
        <w:spacing w:before="40" w:after="40"/>
        <w:rPr>
          <w:rFonts w:cs="Segoe UI"/>
          <w:lang w:eastAsia="ar-SA"/>
        </w:rPr>
      </w:pPr>
      <w:r w:rsidRPr="00272D6C">
        <w:rPr>
          <w:rFonts w:eastAsia="細明體" w:cs="Segoe UI" w:hint="eastAsia"/>
          <w:szCs w:val="17"/>
          <w:u w:val="single"/>
          <w:lang w:eastAsia="ar-SA"/>
        </w:rPr>
        <w:t>供使用</w:t>
      </w:r>
      <w:r w:rsidRPr="00272D6C">
        <w:rPr>
          <w:rFonts w:eastAsia="細明體" w:cs="Segoe UI"/>
          <w:szCs w:val="17"/>
          <w:u w:val="single"/>
          <w:lang w:eastAsia="ar-SA"/>
        </w:rPr>
        <w:t>BSC</w:t>
      </w:r>
      <w:r w:rsidRPr="00272D6C">
        <w:rPr>
          <w:rFonts w:eastAsia="細明體" w:cs="Segoe UI" w:hint="eastAsia"/>
          <w:szCs w:val="17"/>
          <w:u w:val="single"/>
          <w:lang w:eastAsia="ar-SA"/>
        </w:rPr>
        <w:t>計算法的認可機構使用的版本（「</w:t>
      </w:r>
      <w:r w:rsidRPr="00272D6C">
        <w:rPr>
          <w:rFonts w:eastAsia="細明體" w:cs="Segoe UI"/>
          <w:szCs w:val="17"/>
          <w:u w:val="single"/>
          <w:lang w:eastAsia="ar-SA"/>
        </w:rPr>
        <w:t>BSC</w:t>
      </w:r>
      <w:r w:rsidRPr="00272D6C">
        <w:rPr>
          <w:rFonts w:eastAsia="細明體" w:cs="Segoe UI" w:hint="eastAsia"/>
          <w:szCs w:val="17"/>
          <w:u w:val="single"/>
          <w:lang w:eastAsia="ar-SA"/>
        </w:rPr>
        <w:t>版本」）</w:t>
      </w:r>
    </w:p>
    <w:p w14:paraId="3A637733" w14:textId="7C160769" w:rsidR="00272D6C" w:rsidRDefault="00272D6C" w:rsidP="00272D6C">
      <w:pPr>
        <w:suppressAutoHyphens/>
        <w:spacing w:before="40" w:after="40"/>
        <w:rPr>
          <w:rFonts w:eastAsia="細明體" w:cs="Segoe UI"/>
          <w:u w:val="single"/>
          <w:lang w:eastAsia="ar-SA"/>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7"/>
        <w:gridCol w:w="4219"/>
        <w:gridCol w:w="1108"/>
        <w:gridCol w:w="1108"/>
        <w:gridCol w:w="1109"/>
        <w:gridCol w:w="1108"/>
        <w:gridCol w:w="1939"/>
        <w:gridCol w:w="3118"/>
      </w:tblGrid>
      <w:tr w:rsidR="00CA70B8" w:rsidRPr="00CA70B8" w14:paraId="7F5C3BF1" w14:textId="77777777" w:rsidTr="002C41F9">
        <w:trPr>
          <w:trHeight w:val="283"/>
        </w:trPr>
        <w:tc>
          <w:tcPr>
            <w:tcW w:w="457" w:type="dxa"/>
            <w:tcBorders>
              <w:top w:val="single" w:sz="4" w:space="0" w:color="auto"/>
              <w:left w:val="nil"/>
              <w:bottom w:val="nil"/>
              <w:right w:val="single" w:sz="4" w:space="0" w:color="auto"/>
            </w:tcBorders>
          </w:tcPr>
          <w:p w14:paraId="46972FDC" w14:textId="77777777" w:rsidR="00CA70B8" w:rsidRPr="00CA70B8" w:rsidRDefault="00CA70B8" w:rsidP="00CA70B8">
            <w:pPr>
              <w:spacing w:before="40" w:after="40"/>
              <w:rPr>
                <w:rFonts w:cs="Segoe UI"/>
                <w:sz w:val="17"/>
                <w:szCs w:val="17"/>
                <w:lang w:eastAsia="zh-TW"/>
              </w:rPr>
            </w:pPr>
            <w:r w:rsidRPr="00CA70B8">
              <w:rPr>
                <w:rFonts w:cs="Segoe UI"/>
                <w:sz w:val="17"/>
                <w:szCs w:val="17"/>
                <w:lang w:eastAsia="zh-TW"/>
              </w:rPr>
              <w:br w:type="page"/>
            </w:r>
          </w:p>
        </w:tc>
        <w:tc>
          <w:tcPr>
            <w:tcW w:w="4219" w:type="dxa"/>
            <w:tcBorders>
              <w:top w:val="single" w:sz="4" w:space="0" w:color="auto"/>
              <w:left w:val="single" w:sz="4" w:space="0" w:color="auto"/>
              <w:bottom w:val="single" w:sz="4" w:space="0" w:color="auto"/>
              <w:right w:val="single" w:sz="4" w:space="0" w:color="auto"/>
            </w:tcBorders>
            <w:noWrap/>
          </w:tcPr>
          <w:p w14:paraId="3113F6BF" w14:textId="77777777" w:rsidR="00CA70B8" w:rsidRPr="00CA70B8" w:rsidRDefault="00CA70B8" w:rsidP="00CA70B8">
            <w:pPr>
              <w:spacing w:before="40" w:after="40"/>
              <w:rPr>
                <w:rFonts w:cs="Segoe UI"/>
                <w:sz w:val="17"/>
                <w:szCs w:val="17"/>
                <w:lang w:eastAsia="zh-TW"/>
              </w:rPr>
            </w:pPr>
          </w:p>
        </w:tc>
        <w:tc>
          <w:tcPr>
            <w:tcW w:w="1108" w:type="dxa"/>
            <w:tcBorders>
              <w:top w:val="single" w:sz="4" w:space="0" w:color="auto"/>
              <w:left w:val="single" w:sz="4" w:space="0" w:color="auto"/>
              <w:bottom w:val="single" w:sz="4" w:space="0" w:color="auto"/>
              <w:right w:val="single" w:sz="4" w:space="0" w:color="auto"/>
            </w:tcBorders>
            <w:noWrap/>
            <w:vAlign w:val="center"/>
            <w:hideMark/>
          </w:tcPr>
          <w:p w14:paraId="65EDBF79"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0%</w:t>
            </w:r>
          </w:p>
        </w:tc>
        <w:tc>
          <w:tcPr>
            <w:tcW w:w="1108" w:type="dxa"/>
            <w:tcBorders>
              <w:top w:val="single" w:sz="4" w:space="0" w:color="auto"/>
              <w:left w:val="single" w:sz="4" w:space="0" w:color="auto"/>
              <w:bottom w:val="single" w:sz="4" w:space="0" w:color="auto"/>
              <w:right w:val="single" w:sz="4" w:space="0" w:color="auto"/>
            </w:tcBorders>
            <w:vAlign w:val="center"/>
          </w:tcPr>
          <w:p w14:paraId="6CD766BC"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E8D3C13"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20%</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B466F75"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100%</w:t>
            </w:r>
          </w:p>
        </w:tc>
        <w:tc>
          <w:tcPr>
            <w:tcW w:w="1939" w:type="dxa"/>
            <w:tcBorders>
              <w:top w:val="single" w:sz="4" w:space="0" w:color="auto"/>
              <w:left w:val="single" w:sz="4" w:space="0" w:color="auto"/>
              <w:bottom w:val="single" w:sz="4" w:space="0" w:color="auto"/>
              <w:right w:val="single" w:sz="4" w:space="0" w:color="auto"/>
            </w:tcBorders>
            <w:vAlign w:val="center"/>
            <w:hideMark/>
          </w:tcPr>
          <w:p w14:paraId="482EAB14" w14:textId="044B09D4"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4165F45C" w14:textId="5A191134" w:rsidR="00CA70B8" w:rsidRPr="00CA70B8" w:rsidRDefault="003C23F0" w:rsidP="00CA70B8">
            <w:pPr>
              <w:spacing w:before="40" w:after="40"/>
              <w:rPr>
                <w:rFonts w:cs="Segoe UI"/>
                <w:sz w:val="17"/>
                <w:szCs w:val="17"/>
                <w:lang w:eastAsia="zh-TW"/>
              </w:rPr>
            </w:pPr>
            <w:r w:rsidRPr="00792E2D">
              <w:rPr>
                <w:rFonts w:ascii="細明體" w:eastAsia="細明體" w:hAnsi="細明體" w:cs="微軟正黑體" w:hint="eastAsia"/>
                <w:sz w:val="17"/>
                <w:szCs w:val="17"/>
                <w:lang w:eastAsia="zh-TW"/>
              </w:rPr>
              <w:t>總信用風險承擔</w:t>
            </w:r>
            <w:r w:rsidRPr="005A025B">
              <w:rPr>
                <w:rFonts w:ascii="細明體" w:eastAsia="細明體" w:hAnsi="細明體" w:cs="微軟正黑體" w:hint="eastAsia"/>
                <w:sz w:val="17"/>
                <w:szCs w:val="17"/>
                <w:lang w:eastAsia="zh-TW"/>
              </w:rPr>
              <w:t>數</w:t>
            </w:r>
            <w:r w:rsidRPr="00792E2D">
              <w:rPr>
                <w:rFonts w:ascii="細明體" w:eastAsia="細明體" w:hAnsi="細明體" w:cs="微軟正黑體" w:hint="eastAsia"/>
                <w:sz w:val="17"/>
                <w:szCs w:val="17"/>
                <w:lang w:eastAsia="zh-TW"/>
              </w:rPr>
              <w:t>額（已將</w:t>
            </w:r>
            <w:r w:rsidRPr="005A025B">
              <w:rPr>
                <w:rFonts w:ascii="細明體" w:eastAsia="細明體" w:hAnsi="細明體" w:cs="微軟正黑體"/>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3A0DB945" w14:textId="77777777" w:rsidTr="002C41F9">
        <w:trPr>
          <w:trHeight w:val="283"/>
        </w:trPr>
        <w:tc>
          <w:tcPr>
            <w:tcW w:w="457" w:type="dxa"/>
            <w:tcBorders>
              <w:top w:val="nil"/>
              <w:left w:val="nil"/>
              <w:bottom w:val="single" w:sz="4" w:space="0" w:color="auto"/>
              <w:right w:val="single" w:sz="4" w:space="0" w:color="auto"/>
            </w:tcBorders>
            <w:hideMark/>
          </w:tcPr>
          <w:p w14:paraId="10749A8B"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1</w:t>
            </w:r>
          </w:p>
        </w:tc>
        <w:tc>
          <w:tcPr>
            <w:tcW w:w="4219" w:type="dxa"/>
            <w:tcBorders>
              <w:top w:val="single" w:sz="4" w:space="0" w:color="auto"/>
              <w:left w:val="single" w:sz="4" w:space="0" w:color="auto"/>
              <w:bottom w:val="single" w:sz="4" w:space="0" w:color="auto"/>
              <w:right w:val="single" w:sz="4" w:space="0" w:color="auto"/>
            </w:tcBorders>
            <w:noWrap/>
            <w:hideMark/>
          </w:tcPr>
          <w:p w14:paraId="64598210" w14:textId="77777777" w:rsidR="00CA70B8" w:rsidRPr="00A524C4" w:rsidRDefault="00CA70B8" w:rsidP="00CA70B8">
            <w:pPr>
              <w:spacing w:before="40" w:after="40"/>
              <w:rPr>
                <w:rFonts w:ascii="細明體" w:eastAsia="細明體" w:hAnsi="細明體" w:cs="Segoe UI"/>
                <w:sz w:val="17"/>
                <w:szCs w:val="17"/>
                <w:lang w:eastAsia="en-GB"/>
              </w:rPr>
            </w:pPr>
            <w:proofErr w:type="spellStart"/>
            <w:r w:rsidRPr="00A524C4">
              <w:rPr>
                <w:rFonts w:ascii="細明體" w:eastAsia="細明體" w:hAnsi="細明體" w:cs="微軟正黑體" w:hint="eastAsia"/>
                <w:sz w:val="17"/>
                <w:szCs w:val="17"/>
                <w:lang w:eastAsia="en-GB"/>
              </w:rPr>
              <w:t>官方實體風險承擔</w:t>
            </w:r>
            <w:proofErr w:type="spellEnd"/>
          </w:p>
        </w:tc>
        <w:tc>
          <w:tcPr>
            <w:tcW w:w="1108" w:type="dxa"/>
            <w:tcBorders>
              <w:top w:val="single" w:sz="4" w:space="0" w:color="auto"/>
              <w:left w:val="single" w:sz="4" w:space="0" w:color="auto"/>
              <w:bottom w:val="single" w:sz="4" w:space="0" w:color="auto"/>
              <w:right w:val="single" w:sz="4" w:space="0" w:color="auto"/>
            </w:tcBorders>
            <w:noWrap/>
          </w:tcPr>
          <w:p w14:paraId="58DF8929" w14:textId="77777777" w:rsidR="00CA70B8" w:rsidRPr="00CA70B8" w:rsidRDefault="00CA70B8" w:rsidP="00CA70B8">
            <w:pPr>
              <w:spacing w:before="40" w:after="40"/>
              <w:rPr>
                <w:rFonts w:eastAsia="MS PGothic" w:cs="Segoe UI"/>
                <w:sz w:val="17"/>
                <w:szCs w:val="17"/>
                <w:lang w:eastAsia="ja-JP"/>
              </w:rPr>
            </w:pPr>
          </w:p>
        </w:tc>
        <w:tc>
          <w:tcPr>
            <w:tcW w:w="1108" w:type="dxa"/>
            <w:tcBorders>
              <w:top w:val="single" w:sz="4" w:space="0" w:color="auto"/>
              <w:left w:val="single" w:sz="4" w:space="0" w:color="auto"/>
              <w:bottom w:val="single" w:sz="4" w:space="0" w:color="auto"/>
              <w:right w:val="single" w:sz="4" w:space="0" w:color="auto"/>
            </w:tcBorders>
          </w:tcPr>
          <w:p w14:paraId="129DD293" w14:textId="77777777" w:rsidR="00CA70B8" w:rsidRPr="00CA70B8" w:rsidRDefault="00CA70B8" w:rsidP="00CA70B8">
            <w:pPr>
              <w:spacing w:before="40" w:after="40"/>
              <w:rPr>
                <w:rFonts w:eastAsia="MS PGothic" w:cs="Segoe UI"/>
                <w:sz w:val="17"/>
                <w:szCs w:val="17"/>
                <w:lang w:eastAsia="ja-JP"/>
              </w:rPr>
            </w:pPr>
          </w:p>
        </w:tc>
        <w:tc>
          <w:tcPr>
            <w:tcW w:w="1109" w:type="dxa"/>
            <w:tcBorders>
              <w:top w:val="single" w:sz="4" w:space="0" w:color="auto"/>
              <w:left w:val="single" w:sz="4" w:space="0" w:color="auto"/>
              <w:bottom w:val="single" w:sz="4" w:space="0" w:color="auto"/>
              <w:right w:val="single" w:sz="4" w:space="0" w:color="auto"/>
            </w:tcBorders>
            <w:noWrap/>
          </w:tcPr>
          <w:p w14:paraId="4BA3FB5D" w14:textId="77777777" w:rsidR="00CA70B8" w:rsidRPr="00CA70B8" w:rsidRDefault="00CA70B8" w:rsidP="00CA70B8">
            <w:pPr>
              <w:spacing w:before="40" w:after="40"/>
              <w:rPr>
                <w:rFonts w:eastAsia="MS PGothic" w:cs="Segoe UI"/>
                <w:sz w:val="17"/>
                <w:szCs w:val="17"/>
                <w:lang w:eastAsia="ja-JP"/>
              </w:rPr>
            </w:pPr>
          </w:p>
        </w:tc>
        <w:tc>
          <w:tcPr>
            <w:tcW w:w="1108" w:type="dxa"/>
            <w:tcBorders>
              <w:top w:val="single" w:sz="4" w:space="0" w:color="auto"/>
              <w:left w:val="single" w:sz="4" w:space="0" w:color="auto"/>
              <w:bottom w:val="single" w:sz="4" w:space="0" w:color="auto"/>
              <w:right w:val="single" w:sz="4" w:space="0" w:color="auto"/>
            </w:tcBorders>
          </w:tcPr>
          <w:p w14:paraId="6CEEEDD5" w14:textId="77777777" w:rsidR="00CA70B8" w:rsidRPr="00CA70B8" w:rsidRDefault="00CA70B8" w:rsidP="00CA70B8">
            <w:pPr>
              <w:spacing w:before="40" w:after="40"/>
              <w:rPr>
                <w:rFonts w:eastAsia="MS PGothic" w:cs="Segoe UI"/>
                <w:sz w:val="17"/>
                <w:szCs w:val="17"/>
                <w:lang w:eastAsia="ja-JP"/>
              </w:rPr>
            </w:pPr>
          </w:p>
        </w:tc>
        <w:tc>
          <w:tcPr>
            <w:tcW w:w="1939" w:type="dxa"/>
            <w:tcBorders>
              <w:top w:val="single" w:sz="4" w:space="0" w:color="auto"/>
              <w:left w:val="single" w:sz="4" w:space="0" w:color="auto"/>
              <w:bottom w:val="single" w:sz="4" w:space="0" w:color="auto"/>
              <w:right w:val="single" w:sz="4" w:space="0" w:color="auto"/>
            </w:tcBorders>
          </w:tcPr>
          <w:p w14:paraId="2526F66C"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62C85264" w14:textId="77777777" w:rsidR="00CA70B8" w:rsidRPr="00CA70B8" w:rsidRDefault="00CA70B8" w:rsidP="00CA70B8">
            <w:pPr>
              <w:spacing w:before="40" w:after="40"/>
              <w:rPr>
                <w:rFonts w:cs="Segoe UI"/>
                <w:sz w:val="17"/>
                <w:szCs w:val="17"/>
                <w:lang w:eastAsia="en-GB"/>
              </w:rPr>
            </w:pPr>
          </w:p>
        </w:tc>
      </w:tr>
    </w:tbl>
    <w:p w14:paraId="5B7E6A21" w14:textId="77777777" w:rsidR="00050B75" w:rsidRDefault="00050B75"/>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7"/>
        <w:gridCol w:w="4219"/>
        <w:gridCol w:w="2216"/>
        <w:gridCol w:w="2217"/>
        <w:gridCol w:w="1939"/>
        <w:gridCol w:w="3118"/>
      </w:tblGrid>
      <w:tr w:rsidR="00CA70B8" w:rsidRPr="00CA70B8" w14:paraId="2CDD338B" w14:textId="77777777" w:rsidTr="00ED3EC9">
        <w:trPr>
          <w:trHeight w:val="283"/>
        </w:trPr>
        <w:tc>
          <w:tcPr>
            <w:tcW w:w="457" w:type="dxa"/>
            <w:tcBorders>
              <w:top w:val="single" w:sz="4" w:space="0" w:color="auto"/>
              <w:left w:val="nil"/>
              <w:bottom w:val="nil"/>
              <w:right w:val="single" w:sz="4" w:space="0" w:color="auto"/>
            </w:tcBorders>
          </w:tcPr>
          <w:p w14:paraId="75E0E85D" w14:textId="77777777" w:rsidR="00CA70B8" w:rsidRPr="00CA70B8" w:rsidRDefault="00CA70B8" w:rsidP="00CA70B8">
            <w:pPr>
              <w:spacing w:before="40" w:after="40"/>
              <w:rPr>
                <w:rFonts w:cs="Segoe UI"/>
                <w:sz w:val="17"/>
                <w:szCs w:val="17"/>
                <w:lang w:eastAsia="en-GB"/>
              </w:rPr>
            </w:pPr>
            <w:r w:rsidRPr="00CA70B8">
              <w:rPr>
                <w:rFonts w:cs="Segoe UI"/>
                <w:sz w:val="17"/>
                <w:szCs w:val="17"/>
              </w:rPr>
              <w:br w:type="page"/>
            </w:r>
          </w:p>
        </w:tc>
        <w:tc>
          <w:tcPr>
            <w:tcW w:w="4219" w:type="dxa"/>
            <w:tcBorders>
              <w:top w:val="single" w:sz="4" w:space="0" w:color="auto"/>
              <w:left w:val="single" w:sz="4" w:space="0" w:color="auto"/>
              <w:bottom w:val="single" w:sz="4" w:space="0" w:color="auto"/>
              <w:right w:val="single" w:sz="4" w:space="0" w:color="auto"/>
            </w:tcBorders>
            <w:noWrap/>
          </w:tcPr>
          <w:p w14:paraId="503F336B" w14:textId="77777777" w:rsidR="00CA70B8" w:rsidRPr="00CA70B8" w:rsidRDefault="00CA70B8" w:rsidP="00CA70B8">
            <w:pPr>
              <w:spacing w:before="40" w:after="40"/>
              <w:rPr>
                <w:rFonts w:cs="Segoe UI"/>
                <w:sz w:val="17"/>
                <w:szCs w:val="17"/>
                <w:lang w:eastAsia="en-GB"/>
              </w:rPr>
            </w:pPr>
          </w:p>
        </w:tc>
        <w:tc>
          <w:tcPr>
            <w:tcW w:w="2216" w:type="dxa"/>
            <w:tcBorders>
              <w:top w:val="single" w:sz="4" w:space="0" w:color="auto"/>
              <w:left w:val="single" w:sz="4" w:space="0" w:color="auto"/>
              <w:bottom w:val="single" w:sz="4" w:space="0" w:color="auto"/>
              <w:right w:val="single" w:sz="4" w:space="0" w:color="auto"/>
            </w:tcBorders>
            <w:noWrap/>
            <w:vAlign w:val="center"/>
            <w:hideMark/>
          </w:tcPr>
          <w:p w14:paraId="23A45E9F"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20%</w:t>
            </w:r>
          </w:p>
        </w:tc>
        <w:tc>
          <w:tcPr>
            <w:tcW w:w="2217" w:type="dxa"/>
            <w:tcBorders>
              <w:top w:val="single" w:sz="4" w:space="0" w:color="auto"/>
              <w:left w:val="single" w:sz="4" w:space="0" w:color="auto"/>
              <w:bottom w:val="single" w:sz="4" w:space="0" w:color="auto"/>
              <w:right w:val="single" w:sz="4" w:space="0" w:color="auto"/>
            </w:tcBorders>
            <w:noWrap/>
            <w:vAlign w:val="center"/>
            <w:hideMark/>
          </w:tcPr>
          <w:p w14:paraId="73CECFED"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100%</w:t>
            </w:r>
          </w:p>
        </w:tc>
        <w:tc>
          <w:tcPr>
            <w:tcW w:w="1939" w:type="dxa"/>
            <w:tcBorders>
              <w:top w:val="single" w:sz="4" w:space="0" w:color="auto"/>
              <w:left w:val="single" w:sz="4" w:space="0" w:color="auto"/>
              <w:bottom w:val="single" w:sz="4" w:space="0" w:color="auto"/>
              <w:right w:val="single" w:sz="4" w:space="0" w:color="auto"/>
            </w:tcBorders>
            <w:vAlign w:val="center"/>
            <w:hideMark/>
          </w:tcPr>
          <w:p w14:paraId="600BB2F4" w14:textId="59995F89" w:rsidR="00CA70B8" w:rsidRPr="00A524C4" w:rsidRDefault="00A524C4" w:rsidP="00CA70B8">
            <w:pPr>
              <w:spacing w:before="40" w:after="40"/>
              <w:jc w:val="center"/>
              <w:rPr>
                <w:rFonts w:eastAsia="MS Mincho" w:cs="Segoe UI"/>
                <w:sz w:val="17"/>
                <w:szCs w:val="17"/>
                <w:lang w:eastAsia="ja-JP"/>
              </w:rPr>
            </w:pPr>
            <w:r w:rsidRPr="00A524C4">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BDD1E39" w14:textId="69B97128" w:rsidR="00CA70B8" w:rsidRPr="00CA70B8" w:rsidRDefault="00A524C4" w:rsidP="00CA70B8">
            <w:pPr>
              <w:spacing w:before="40" w:after="40"/>
              <w:rPr>
                <w:rFonts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004C1F80" w14:textId="77777777" w:rsidTr="00ED3EC9">
        <w:trPr>
          <w:trHeight w:val="283"/>
        </w:trPr>
        <w:tc>
          <w:tcPr>
            <w:tcW w:w="457" w:type="dxa"/>
            <w:tcBorders>
              <w:top w:val="nil"/>
              <w:left w:val="nil"/>
              <w:bottom w:val="single" w:sz="4" w:space="0" w:color="auto"/>
              <w:right w:val="single" w:sz="4" w:space="0" w:color="auto"/>
            </w:tcBorders>
            <w:hideMark/>
          </w:tcPr>
          <w:p w14:paraId="3D0F363C"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2</w:t>
            </w:r>
          </w:p>
        </w:tc>
        <w:tc>
          <w:tcPr>
            <w:tcW w:w="4219" w:type="dxa"/>
            <w:tcBorders>
              <w:top w:val="single" w:sz="4" w:space="0" w:color="auto"/>
              <w:left w:val="single" w:sz="4" w:space="0" w:color="auto"/>
              <w:bottom w:val="single" w:sz="4" w:space="0" w:color="auto"/>
              <w:right w:val="single" w:sz="4" w:space="0" w:color="auto"/>
            </w:tcBorders>
            <w:noWrap/>
            <w:hideMark/>
          </w:tcPr>
          <w:p w14:paraId="0BA0745E" w14:textId="77777777" w:rsidR="00CA70B8" w:rsidRPr="00A524C4" w:rsidRDefault="00CA70B8" w:rsidP="00CA70B8">
            <w:pPr>
              <w:spacing w:before="40" w:after="40"/>
              <w:rPr>
                <w:rFonts w:ascii="細明體" w:eastAsia="細明體" w:hAnsi="細明體" w:cs="Segoe UI"/>
                <w:sz w:val="17"/>
                <w:szCs w:val="17"/>
                <w:lang w:eastAsia="en-GB"/>
              </w:rPr>
            </w:pPr>
            <w:proofErr w:type="spellStart"/>
            <w:r w:rsidRPr="00A524C4">
              <w:rPr>
                <w:rFonts w:ascii="細明體" w:eastAsia="細明體" w:hAnsi="細明體" w:cs="微軟正黑體" w:hint="eastAsia"/>
                <w:sz w:val="17"/>
                <w:szCs w:val="17"/>
                <w:lang w:eastAsia="en-GB"/>
              </w:rPr>
              <w:t>公營單位風險承擔</w:t>
            </w:r>
            <w:proofErr w:type="spellEnd"/>
          </w:p>
        </w:tc>
        <w:tc>
          <w:tcPr>
            <w:tcW w:w="2216" w:type="dxa"/>
            <w:tcBorders>
              <w:top w:val="single" w:sz="4" w:space="0" w:color="auto"/>
              <w:left w:val="single" w:sz="4" w:space="0" w:color="auto"/>
              <w:bottom w:val="single" w:sz="4" w:space="0" w:color="auto"/>
              <w:right w:val="single" w:sz="4" w:space="0" w:color="auto"/>
            </w:tcBorders>
            <w:noWrap/>
          </w:tcPr>
          <w:p w14:paraId="259CE216" w14:textId="77777777" w:rsidR="00CA70B8" w:rsidRPr="00CA70B8" w:rsidRDefault="00CA70B8" w:rsidP="00CA70B8">
            <w:pPr>
              <w:spacing w:before="40" w:after="40"/>
              <w:rPr>
                <w:rFonts w:eastAsia="MS PGothic" w:cs="Segoe UI"/>
                <w:sz w:val="17"/>
                <w:szCs w:val="17"/>
                <w:lang w:eastAsia="ja-JP"/>
              </w:rPr>
            </w:pPr>
          </w:p>
        </w:tc>
        <w:tc>
          <w:tcPr>
            <w:tcW w:w="2217" w:type="dxa"/>
            <w:tcBorders>
              <w:top w:val="single" w:sz="4" w:space="0" w:color="auto"/>
              <w:left w:val="single" w:sz="4" w:space="0" w:color="auto"/>
              <w:bottom w:val="single" w:sz="4" w:space="0" w:color="auto"/>
              <w:right w:val="single" w:sz="4" w:space="0" w:color="auto"/>
            </w:tcBorders>
            <w:noWrap/>
          </w:tcPr>
          <w:p w14:paraId="0E9A38B7" w14:textId="77777777" w:rsidR="00CA70B8" w:rsidRPr="00CA70B8" w:rsidRDefault="00CA70B8" w:rsidP="00CA70B8">
            <w:pPr>
              <w:spacing w:before="40" w:after="40"/>
              <w:rPr>
                <w:rFonts w:eastAsia="MS PGothic" w:cs="Segoe UI"/>
                <w:sz w:val="17"/>
                <w:szCs w:val="17"/>
                <w:lang w:eastAsia="ja-JP"/>
              </w:rPr>
            </w:pPr>
          </w:p>
        </w:tc>
        <w:tc>
          <w:tcPr>
            <w:tcW w:w="1939" w:type="dxa"/>
            <w:tcBorders>
              <w:top w:val="single" w:sz="4" w:space="0" w:color="auto"/>
              <w:left w:val="single" w:sz="4" w:space="0" w:color="auto"/>
              <w:bottom w:val="single" w:sz="4" w:space="0" w:color="auto"/>
              <w:right w:val="single" w:sz="4" w:space="0" w:color="auto"/>
            </w:tcBorders>
          </w:tcPr>
          <w:p w14:paraId="4D7E8C56"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0ADAA081" w14:textId="77777777" w:rsidR="00CA70B8" w:rsidRPr="00CA70B8" w:rsidRDefault="00CA70B8" w:rsidP="00CA70B8">
            <w:pPr>
              <w:spacing w:before="40" w:after="40"/>
              <w:rPr>
                <w:rFonts w:cs="Segoe UI"/>
                <w:sz w:val="17"/>
                <w:szCs w:val="17"/>
                <w:lang w:eastAsia="en-GB"/>
              </w:rPr>
            </w:pPr>
          </w:p>
        </w:tc>
      </w:tr>
    </w:tbl>
    <w:p w14:paraId="06432ABB" w14:textId="77777777" w:rsidR="00050B75" w:rsidRDefault="00050B75"/>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7"/>
        <w:gridCol w:w="4219"/>
        <w:gridCol w:w="2770"/>
        <w:gridCol w:w="3602"/>
        <w:gridCol w:w="3118"/>
      </w:tblGrid>
      <w:tr w:rsidR="00CA70B8" w:rsidRPr="00CA70B8" w14:paraId="566BFEB6" w14:textId="77777777" w:rsidTr="00ED3EC9">
        <w:trPr>
          <w:trHeight w:val="283"/>
        </w:trPr>
        <w:tc>
          <w:tcPr>
            <w:tcW w:w="457" w:type="dxa"/>
            <w:tcBorders>
              <w:top w:val="single" w:sz="4" w:space="0" w:color="auto"/>
              <w:left w:val="nil"/>
              <w:bottom w:val="nil"/>
              <w:right w:val="single" w:sz="4" w:space="0" w:color="auto"/>
            </w:tcBorders>
          </w:tcPr>
          <w:p w14:paraId="25B613BF" w14:textId="77777777" w:rsidR="00CA70B8" w:rsidRPr="00CA70B8" w:rsidRDefault="00CA70B8" w:rsidP="00CA70B8">
            <w:pPr>
              <w:spacing w:before="40" w:after="40"/>
              <w:rPr>
                <w:rFonts w:cs="Segoe UI"/>
                <w:sz w:val="17"/>
                <w:szCs w:val="17"/>
                <w:lang w:eastAsia="en-GB"/>
              </w:rPr>
            </w:pPr>
            <w:r w:rsidRPr="00CA70B8">
              <w:rPr>
                <w:rFonts w:cs="Segoe UI"/>
                <w:sz w:val="17"/>
                <w:szCs w:val="17"/>
              </w:rPr>
              <w:br w:type="page"/>
            </w:r>
          </w:p>
        </w:tc>
        <w:tc>
          <w:tcPr>
            <w:tcW w:w="4219" w:type="dxa"/>
            <w:tcBorders>
              <w:top w:val="single" w:sz="4" w:space="0" w:color="auto"/>
              <w:left w:val="single" w:sz="4" w:space="0" w:color="auto"/>
              <w:bottom w:val="single" w:sz="4" w:space="0" w:color="auto"/>
              <w:right w:val="single" w:sz="4" w:space="0" w:color="auto"/>
            </w:tcBorders>
            <w:noWrap/>
          </w:tcPr>
          <w:p w14:paraId="55205669" w14:textId="77777777" w:rsidR="00CA70B8" w:rsidRPr="00CA70B8" w:rsidRDefault="00CA70B8" w:rsidP="00CA70B8">
            <w:pPr>
              <w:spacing w:before="40" w:after="40"/>
              <w:rPr>
                <w:rFonts w:cs="Segoe UI"/>
                <w:sz w:val="17"/>
                <w:szCs w:val="17"/>
                <w:lang w:eastAsia="en-GB"/>
              </w:rPr>
            </w:pPr>
          </w:p>
        </w:tc>
        <w:tc>
          <w:tcPr>
            <w:tcW w:w="2770" w:type="dxa"/>
            <w:tcBorders>
              <w:top w:val="single" w:sz="4" w:space="0" w:color="auto"/>
              <w:left w:val="single" w:sz="4" w:space="0" w:color="auto"/>
              <w:bottom w:val="single" w:sz="4" w:space="0" w:color="auto"/>
              <w:right w:val="single" w:sz="4" w:space="0" w:color="auto"/>
            </w:tcBorders>
            <w:noWrap/>
            <w:vAlign w:val="center"/>
            <w:hideMark/>
          </w:tcPr>
          <w:p w14:paraId="549FD3AF"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0%</w:t>
            </w:r>
          </w:p>
        </w:tc>
        <w:tc>
          <w:tcPr>
            <w:tcW w:w="3602" w:type="dxa"/>
            <w:tcBorders>
              <w:top w:val="single" w:sz="4" w:space="0" w:color="auto"/>
              <w:left w:val="single" w:sz="4" w:space="0" w:color="auto"/>
              <w:bottom w:val="single" w:sz="4" w:space="0" w:color="auto"/>
              <w:right w:val="single" w:sz="4" w:space="0" w:color="auto"/>
            </w:tcBorders>
            <w:noWrap/>
            <w:vAlign w:val="center"/>
            <w:hideMark/>
          </w:tcPr>
          <w:p w14:paraId="1288BCBD" w14:textId="434E879D"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22BD622C" w14:textId="6371BDD8" w:rsidR="00CA70B8" w:rsidRPr="00CA70B8" w:rsidRDefault="00A524C4" w:rsidP="00CA70B8">
            <w:pPr>
              <w:spacing w:before="40" w:after="40"/>
              <w:rPr>
                <w:rFonts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0B6B44D3" w14:textId="77777777" w:rsidTr="00ED3EC9">
        <w:trPr>
          <w:trHeight w:val="283"/>
        </w:trPr>
        <w:tc>
          <w:tcPr>
            <w:tcW w:w="457" w:type="dxa"/>
            <w:tcBorders>
              <w:top w:val="nil"/>
              <w:left w:val="nil"/>
              <w:bottom w:val="single" w:sz="4" w:space="0" w:color="auto"/>
              <w:right w:val="single" w:sz="4" w:space="0" w:color="auto"/>
            </w:tcBorders>
            <w:hideMark/>
          </w:tcPr>
          <w:p w14:paraId="081765F6"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3</w:t>
            </w:r>
          </w:p>
        </w:tc>
        <w:tc>
          <w:tcPr>
            <w:tcW w:w="4219" w:type="dxa"/>
            <w:tcBorders>
              <w:top w:val="single" w:sz="4" w:space="0" w:color="auto"/>
              <w:left w:val="single" w:sz="4" w:space="0" w:color="auto"/>
              <w:bottom w:val="single" w:sz="4" w:space="0" w:color="auto"/>
              <w:right w:val="single" w:sz="4" w:space="0" w:color="auto"/>
            </w:tcBorders>
            <w:noWrap/>
            <w:hideMark/>
          </w:tcPr>
          <w:p w14:paraId="04AF39AE" w14:textId="77777777"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TW"/>
              </w:rPr>
              <w:t>多邊發展銀行風險承擔</w:t>
            </w:r>
          </w:p>
        </w:tc>
        <w:tc>
          <w:tcPr>
            <w:tcW w:w="2770" w:type="dxa"/>
            <w:tcBorders>
              <w:top w:val="single" w:sz="4" w:space="0" w:color="auto"/>
              <w:left w:val="single" w:sz="4" w:space="0" w:color="auto"/>
              <w:bottom w:val="single" w:sz="4" w:space="0" w:color="auto"/>
              <w:right w:val="single" w:sz="4" w:space="0" w:color="auto"/>
            </w:tcBorders>
            <w:noWrap/>
          </w:tcPr>
          <w:p w14:paraId="51447B3D" w14:textId="77777777" w:rsidR="00CA70B8" w:rsidRPr="00CA70B8" w:rsidRDefault="00CA70B8" w:rsidP="00CA70B8">
            <w:pPr>
              <w:spacing w:before="40" w:after="40"/>
              <w:rPr>
                <w:rFonts w:eastAsia="MS PGothic" w:cs="Segoe UI"/>
                <w:sz w:val="17"/>
                <w:szCs w:val="17"/>
                <w:lang w:eastAsia="ja-JP"/>
              </w:rPr>
            </w:pPr>
          </w:p>
        </w:tc>
        <w:tc>
          <w:tcPr>
            <w:tcW w:w="3602" w:type="dxa"/>
            <w:tcBorders>
              <w:top w:val="single" w:sz="4" w:space="0" w:color="auto"/>
              <w:left w:val="single" w:sz="4" w:space="0" w:color="auto"/>
              <w:bottom w:val="single" w:sz="4" w:space="0" w:color="auto"/>
              <w:right w:val="single" w:sz="4" w:space="0" w:color="auto"/>
            </w:tcBorders>
            <w:noWrap/>
          </w:tcPr>
          <w:p w14:paraId="4B38A163"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56941EB7" w14:textId="77777777" w:rsidR="00CA70B8" w:rsidRPr="00CA70B8" w:rsidRDefault="00CA70B8" w:rsidP="00CA70B8">
            <w:pPr>
              <w:spacing w:before="40" w:after="40"/>
              <w:rPr>
                <w:rFonts w:eastAsia="MS PGothic" w:cs="Segoe UI"/>
                <w:sz w:val="17"/>
                <w:szCs w:val="17"/>
                <w:lang w:eastAsia="ja-JP"/>
              </w:rPr>
            </w:pPr>
          </w:p>
        </w:tc>
      </w:tr>
    </w:tbl>
    <w:p w14:paraId="2D3C0D2C" w14:textId="77777777" w:rsidR="00CA70B8" w:rsidRPr="00CA70B8" w:rsidRDefault="00CA70B8" w:rsidP="00CA70B8">
      <w:pPr>
        <w:rPr>
          <w:rFonts w:cs="Segoe UI"/>
          <w:sz w:val="17"/>
          <w:szCs w:val="17"/>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3165"/>
        <w:gridCol w:w="3165"/>
        <w:gridCol w:w="3112"/>
      </w:tblGrid>
      <w:tr w:rsidR="00CA70B8" w:rsidRPr="00CA70B8" w14:paraId="0BC00FEF" w14:textId="77777777" w:rsidTr="00ED3EC9">
        <w:trPr>
          <w:trHeight w:val="283"/>
        </w:trPr>
        <w:tc>
          <w:tcPr>
            <w:tcW w:w="461" w:type="dxa"/>
            <w:tcBorders>
              <w:top w:val="single" w:sz="4" w:space="0" w:color="auto"/>
              <w:left w:val="nil"/>
              <w:bottom w:val="nil"/>
              <w:right w:val="single" w:sz="4" w:space="0" w:color="auto"/>
            </w:tcBorders>
          </w:tcPr>
          <w:p w14:paraId="73D22580" w14:textId="77777777" w:rsidR="00CA70B8" w:rsidRPr="00CA70B8" w:rsidRDefault="00CA70B8" w:rsidP="00CA70B8">
            <w:pPr>
              <w:spacing w:before="40" w:after="40"/>
              <w:rPr>
                <w:rFonts w:cs="Segoe UI"/>
                <w:sz w:val="17"/>
                <w:szCs w:val="17"/>
                <w:lang w:eastAsia="zh-TW"/>
              </w:rPr>
            </w:pPr>
          </w:p>
        </w:tc>
        <w:tc>
          <w:tcPr>
            <w:tcW w:w="4263" w:type="dxa"/>
            <w:tcBorders>
              <w:top w:val="single" w:sz="4" w:space="0" w:color="auto"/>
              <w:left w:val="single" w:sz="4" w:space="0" w:color="auto"/>
              <w:bottom w:val="single" w:sz="4" w:space="0" w:color="auto"/>
              <w:right w:val="single" w:sz="4" w:space="0" w:color="auto"/>
            </w:tcBorders>
            <w:noWrap/>
          </w:tcPr>
          <w:p w14:paraId="5FF59B81" w14:textId="77777777" w:rsidR="00CA70B8" w:rsidRPr="00CA70B8" w:rsidRDefault="00CA70B8" w:rsidP="00CA70B8">
            <w:pPr>
              <w:spacing w:before="40" w:after="40"/>
              <w:rPr>
                <w:rFonts w:cs="Segoe UI"/>
                <w:sz w:val="17"/>
                <w:szCs w:val="17"/>
                <w:lang w:eastAsia="zh-TW"/>
              </w:rPr>
            </w:pPr>
          </w:p>
        </w:tc>
        <w:tc>
          <w:tcPr>
            <w:tcW w:w="3165" w:type="dxa"/>
            <w:tcBorders>
              <w:top w:val="single" w:sz="4" w:space="0" w:color="auto"/>
              <w:left w:val="single" w:sz="4" w:space="0" w:color="auto"/>
              <w:bottom w:val="single" w:sz="4" w:space="0" w:color="auto"/>
              <w:right w:val="single" w:sz="4" w:space="0" w:color="auto"/>
            </w:tcBorders>
            <w:noWrap/>
            <w:vAlign w:val="center"/>
            <w:hideMark/>
          </w:tcPr>
          <w:p w14:paraId="6C5B9561"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50%</w:t>
            </w:r>
          </w:p>
        </w:tc>
        <w:tc>
          <w:tcPr>
            <w:tcW w:w="3165" w:type="dxa"/>
            <w:tcBorders>
              <w:top w:val="single" w:sz="4" w:space="0" w:color="auto"/>
              <w:left w:val="single" w:sz="4" w:space="0" w:color="auto"/>
              <w:bottom w:val="single" w:sz="4" w:space="0" w:color="auto"/>
              <w:right w:val="single" w:sz="4" w:space="0" w:color="auto"/>
            </w:tcBorders>
            <w:noWrap/>
            <w:vAlign w:val="center"/>
            <w:hideMark/>
          </w:tcPr>
          <w:p w14:paraId="107E8B33" w14:textId="6E048B53"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61AED8CD" w14:textId="5BBD8A1F" w:rsidR="00CA70B8" w:rsidRPr="00CA70B8" w:rsidRDefault="00A524C4" w:rsidP="00CA70B8">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049955A5" w14:textId="77777777" w:rsidTr="00ED3EC9">
        <w:trPr>
          <w:trHeight w:val="283"/>
        </w:trPr>
        <w:tc>
          <w:tcPr>
            <w:tcW w:w="461" w:type="dxa"/>
            <w:tcBorders>
              <w:top w:val="nil"/>
              <w:left w:val="nil"/>
              <w:bottom w:val="single" w:sz="6" w:space="0" w:color="000000"/>
              <w:right w:val="single" w:sz="4" w:space="0" w:color="auto"/>
            </w:tcBorders>
            <w:hideMark/>
          </w:tcPr>
          <w:p w14:paraId="62300708"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4</w:t>
            </w:r>
          </w:p>
        </w:tc>
        <w:tc>
          <w:tcPr>
            <w:tcW w:w="4263" w:type="dxa"/>
            <w:tcBorders>
              <w:top w:val="single" w:sz="4" w:space="0" w:color="auto"/>
              <w:left w:val="single" w:sz="4" w:space="0" w:color="auto"/>
              <w:bottom w:val="single" w:sz="4" w:space="0" w:color="auto"/>
              <w:right w:val="single" w:sz="4" w:space="0" w:color="auto"/>
            </w:tcBorders>
            <w:noWrap/>
            <w:hideMark/>
          </w:tcPr>
          <w:p w14:paraId="678ABB7C" w14:textId="77777777"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HK"/>
              </w:rPr>
              <w:t>非</w:t>
            </w:r>
            <w:r w:rsidRPr="00A524C4">
              <w:rPr>
                <w:rFonts w:ascii="細明體" w:eastAsia="細明體" w:hAnsi="細明體" w:cs="微軟正黑體" w:hint="eastAsia"/>
                <w:sz w:val="17"/>
                <w:szCs w:val="17"/>
                <w:lang w:eastAsia="zh-TW"/>
              </w:rPr>
              <w:t>指明多邊組織風險承擔</w:t>
            </w:r>
          </w:p>
        </w:tc>
        <w:tc>
          <w:tcPr>
            <w:tcW w:w="3165" w:type="dxa"/>
            <w:tcBorders>
              <w:top w:val="single" w:sz="4" w:space="0" w:color="auto"/>
              <w:left w:val="single" w:sz="4" w:space="0" w:color="auto"/>
              <w:bottom w:val="single" w:sz="4" w:space="0" w:color="auto"/>
              <w:right w:val="single" w:sz="4" w:space="0" w:color="auto"/>
            </w:tcBorders>
            <w:noWrap/>
          </w:tcPr>
          <w:p w14:paraId="50476E5F" w14:textId="77777777" w:rsidR="00CA70B8" w:rsidRPr="00CA70B8" w:rsidRDefault="00CA70B8" w:rsidP="00CA70B8">
            <w:pPr>
              <w:spacing w:before="40" w:after="40"/>
              <w:rPr>
                <w:rFonts w:eastAsia="MS PGothic" w:cs="Segoe UI"/>
                <w:sz w:val="17"/>
                <w:szCs w:val="17"/>
                <w:lang w:eastAsia="ja-JP"/>
              </w:rPr>
            </w:pPr>
          </w:p>
        </w:tc>
        <w:tc>
          <w:tcPr>
            <w:tcW w:w="3165" w:type="dxa"/>
            <w:tcBorders>
              <w:top w:val="single" w:sz="4" w:space="0" w:color="auto"/>
              <w:left w:val="single" w:sz="4" w:space="0" w:color="auto"/>
              <w:bottom w:val="single" w:sz="4" w:space="0" w:color="auto"/>
              <w:right w:val="single" w:sz="4" w:space="0" w:color="auto"/>
            </w:tcBorders>
            <w:noWrap/>
          </w:tcPr>
          <w:p w14:paraId="5F6202AF"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4E0DDB0D" w14:textId="77777777" w:rsidR="00CA70B8" w:rsidRPr="00CA70B8" w:rsidRDefault="00CA70B8" w:rsidP="00CA70B8">
            <w:pPr>
              <w:spacing w:before="40" w:after="40"/>
              <w:rPr>
                <w:rFonts w:eastAsia="MS PGothic" w:cs="Segoe UI"/>
                <w:sz w:val="17"/>
                <w:szCs w:val="17"/>
                <w:lang w:eastAsia="ja-JP"/>
              </w:rPr>
            </w:pPr>
          </w:p>
        </w:tc>
      </w:tr>
    </w:tbl>
    <w:p w14:paraId="09775F34" w14:textId="30C40847" w:rsidR="007E30DD" w:rsidRDefault="007E30DD" w:rsidP="00CA70B8">
      <w:pPr>
        <w:rPr>
          <w:rFonts w:cs="Segoe UI"/>
          <w:sz w:val="17"/>
          <w:szCs w:val="17"/>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7"/>
        <w:gridCol w:w="4221"/>
        <w:gridCol w:w="2073"/>
        <w:gridCol w:w="2073"/>
        <w:gridCol w:w="2224"/>
        <w:gridCol w:w="3118"/>
      </w:tblGrid>
      <w:tr w:rsidR="00CA70B8" w:rsidRPr="00CA70B8" w14:paraId="7823EFF5" w14:textId="77777777" w:rsidTr="00ED3EC9">
        <w:trPr>
          <w:trHeight w:val="283"/>
        </w:trPr>
        <w:tc>
          <w:tcPr>
            <w:tcW w:w="457" w:type="dxa"/>
            <w:tcBorders>
              <w:top w:val="single" w:sz="4" w:space="0" w:color="auto"/>
              <w:left w:val="nil"/>
              <w:bottom w:val="nil"/>
              <w:right w:val="single" w:sz="4" w:space="0" w:color="auto"/>
            </w:tcBorders>
          </w:tcPr>
          <w:p w14:paraId="438C1393" w14:textId="77777777" w:rsidR="00CA70B8" w:rsidRPr="00CA70B8" w:rsidRDefault="00CA70B8" w:rsidP="00CA70B8">
            <w:pPr>
              <w:spacing w:before="40" w:after="40"/>
              <w:rPr>
                <w:rFonts w:cs="Segoe UI"/>
                <w:sz w:val="17"/>
                <w:szCs w:val="17"/>
                <w:lang w:eastAsia="zh-TW"/>
              </w:rPr>
            </w:pPr>
            <w:r w:rsidRPr="00CA70B8">
              <w:rPr>
                <w:rFonts w:cs="Segoe UI"/>
                <w:sz w:val="17"/>
                <w:szCs w:val="17"/>
                <w:lang w:eastAsia="zh-TW"/>
              </w:rPr>
              <w:br w:type="page"/>
            </w:r>
          </w:p>
        </w:tc>
        <w:tc>
          <w:tcPr>
            <w:tcW w:w="4221" w:type="dxa"/>
            <w:tcBorders>
              <w:top w:val="single" w:sz="4" w:space="0" w:color="auto"/>
              <w:left w:val="single" w:sz="4" w:space="0" w:color="auto"/>
              <w:bottom w:val="single" w:sz="4" w:space="0" w:color="auto"/>
              <w:right w:val="single" w:sz="4" w:space="0" w:color="auto"/>
            </w:tcBorders>
            <w:noWrap/>
          </w:tcPr>
          <w:p w14:paraId="6FD7C564" w14:textId="77777777" w:rsidR="00CA70B8" w:rsidRPr="00CA70B8" w:rsidRDefault="00CA70B8" w:rsidP="00CA70B8">
            <w:pPr>
              <w:spacing w:before="40" w:after="40"/>
              <w:rPr>
                <w:rFonts w:cs="Segoe UI"/>
                <w:sz w:val="17"/>
                <w:szCs w:val="17"/>
                <w:lang w:eastAsia="zh-TW"/>
              </w:rPr>
            </w:pPr>
          </w:p>
        </w:tc>
        <w:tc>
          <w:tcPr>
            <w:tcW w:w="2073" w:type="dxa"/>
            <w:tcBorders>
              <w:top w:val="single" w:sz="4" w:space="0" w:color="auto"/>
              <w:left w:val="single" w:sz="4" w:space="0" w:color="auto"/>
              <w:bottom w:val="single" w:sz="4" w:space="0" w:color="auto"/>
              <w:right w:val="single" w:sz="4" w:space="0" w:color="auto"/>
            </w:tcBorders>
            <w:noWrap/>
            <w:vAlign w:val="center"/>
            <w:hideMark/>
          </w:tcPr>
          <w:p w14:paraId="43BC891C"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20%</w:t>
            </w:r>
          </w:p>
        </w:tc>
        <w:tc>
          <w:tcPr>
            <w:tcW w:w="2073" w:type="dxa"/>
            <w:tcBorders>
              <w:top w:val="single" w:sz="4" w:space="0" w:color="auto"/>
              <w:left w:val="single" w:sz="4" w:space="0" w:color="auto"/>
              <w:bottom w:val="single" w:sz="4" w:space="0" w:color="auto"/>
              <w:right w:val="single" w:sz="4" w:space="0" w:color="auto"/>
            </w:tcBorders>
            <w:vAlign w:val="center"/>
          </w:tcPr>
          <w:p w14:paraId="32E4D3B6"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100%</w:t>
            </w:r>
          </w:p>
        </w:tc>
        <w:tc>
          <w:tcPr>
            <w:tcW w:w="2224" w:type="dxa"/>
            <w:tcBorders>
              <w:top w:val="single" w:sz="4" w:space="0" w:color="auto"/>
              <w:left w:val="single" w:sz="4" w:space="0" w:color="auto"/>
              <w:bottom w:val="single" w:sz="4" w:space="0" w:color="auto"/>
              <w:right w:val="single" w:sz="4" w:space="0" w:color="auto"/>
            </w:tcBorders>
            <w:noWrap/>
            <w:vAlign w:val="center"/>
            <w:hideMark/>
          </w:tcPr>
          <w:p w14:paraId="0F9AAD1C" w14:textId="781FECF1"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BEFC34B" w14:textId="1C3C0EE1" w:rsidR="00CA70B8" w:rsidRPr="00CA70B8" w:rsidRDefault="00A524C4" w:rsidP="00CA70B8">
            <w:pPr>
              <w:spacing w:before="40" w:after="40"/>
              <w:rPr>
                <w:rFonts w:cs="Segoe UI"/>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7949A544" w14:textId="77777777" w:rsidTr="00ED3EC9">
        <w:trPr>
          <w:trHeight w:val="283"/>
        </w:trPr>
        <w:tc>
          <w:tcPr>
            <w:tcW w:w="457" w:type="dxa"/>
            <w:tcBorders>
              <w:top w:val="nil"/>
              <w:left w:val="nil"/>
              <w:bottom w:val="single" w:sz="4" w:space="0" w:color="auto"/>
              <w:right w:val="single" w:sz="4" w:space="0" w:color="auto"/>
            </w:tcBorders>
            <w:hideMark/>
          </w:tcPr>
          <w:p w14:paraId="15B9706F"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5</w:t>
            </w:r>
          </w:p>
        </w:tc>
        <w:tc>
          <w:tcPr>
            <w:tcW w:w="4221" w:type="dxa"/>
            <w:tcBorders>
              <w:top w:val="single" w:sz="4" w:space="0" w:color="auto"/>
              <w:left w:val="single" w:sz="4" w:space="0" w:color="auto"/>
              <w:bottom w:val="single" w:sz="4" w:space="0" w:color="auto"/>
              <w:right w:val="single" w:sz="4" w:space="0" w:color="auto"/>
            </w:tcBorders>
            <w:noWrap/>
            <w:hideMark/>
          </w:tcPr>
          <w:p w14:paraId="061B117E" w14:textId="77777777" w:rsidR="00CA70B8" w:rsidRPr="00A524C4" w:rsidRDefault="00CA70B8" w:rsidP="00CA70B8">
            <w:pPr>
              <w:spacing w:before="40" w:after="40"/>
              <w:rPr>
                <w:rFonts w:ascii="細明體" w:eastAsia="細明體" w:hAnsi="細明體" w:cs="Segoe UI"/>
                <w:sz w:val="17"/>
                <w:szCs w:val="17"/>
                <w:lang w:eastAsia="en-GB"/>
              </w:rPr>
            </w:pPr>
            <w:proofErr w:type="spellStart"/>
            <w:r w:rsidRPr="00A524C4">
              <w:rPr>
                <w:rFonts w:ascii="細明體" w:eastAsia="細明體" w:hAnsi="細明體" w:cs="微軟正黑體" w:hint="eastAsia"/>
                <w:sz w:val="17"/>
                <w:szCs w:val="17"/>
                <w:lang w:eastAsia="en-GB"/>
              </w:rPr>
              <w:t>銀行風險承擔</w:t>
            </w:r>
            <w:proofErr w:type="spellEnd"/>
          </w:p>
        </w:tc>
        <w:tc>
          <w:tcPr>
            <w:tcW w:w="2073" w:type="dxa"/>
            <w:tcBorders>
              <w:top w:val="single" w:sz="4" w:space="0" w:color="auto"/>
              <w:left w:val="single" w:sz="4" w:space="0" w:color="auto"/>
              <w:bottom w:val="single" w:sz="4" w:space="0" w:color="auto"/>
              <w:right w:val="single" w:sz="4" w:space="0" w:color="auto"/>
            </w:tcBorders>
            <w:noWrap/>
          </w:tcPr>
          <w:p w14:paraId="577AC6F8" w14:textId="77777777" w:rsidR="00CA70B8" w:rsidRPr="00CA70B8" w:rsidRDefault="00CA70B8" w:rsidP="00CA70B8">
            <w:pPr>
              <w:spacing w:before="40" w:after="40"/>
              <w:rPr>
                <w:rFonts w:eastAsia="MS PGothic" w:cs="Segoe UI"/>
                <w:sz w:val="17"/>
                <w:szCs w:val="17"/>
                <w:lang w:eastAsia="ja-JP"/>
              </w:rPr>
            </w:pPr>
          </w:p>
        </w:tc>
        <w:tc>
          <w:tcPr>
            <w:tcW w:w="2073" w:type="dxa"/>
            <w:tcBorders>
              <w:top w:val="single" w:sz="4" w:space="0" w:color="auto"/>
              <w:left w:val="single" w:sz="4" w:space="0" w:color="auto"/>
              <w:bottom w:val="single" w:sz="4" w:space="0" w:color="auto"/>
              <w:right w:val="single" w:sz="4" w:space="0" w:color="auto"/>
            </w:tcBorders>
          </w:tcPr>
          <w:p w14:paraId="1C2FFAC7" w14:textId="77777777" w:rsidR="00CA70B8" w:rsidRPr="00CA70B8" w:rsidRDefault="00CA70B8" w:rsidP="00CA70B8">
            <w:pPr>
              <w:spacing w:before="40" w:after="40"/>
              <w:rPr>
                <w:rFonts w:eastAsia="MS PGothic" w:cs="Segoe UI"/>
                <w:sz w:val="17"/>
                <w:szCs w:val="17"/>
                <w:lang w:eastAsia="ja-JP"/>
              </w:rPr>
            </w:pPr>
          </w:p>
        </w:tc>
        <w:tc>
          <w:tcPr>
            <w:tcW w:w="2224" w:type="dxa"/>
            <w:tcBorders>
              <w:top w:val="single" w:sz="4" w:space="0" w:color="auto"/>
              <w:left w:val="single" w:sz="4" w:space="0" w:color="auto"/>
              <w:bottom w:val="single" w:sz="4" w:space="0" w:color="auto"/>
              <w:right w:val="single" w:sz="4" w:space="0" w:color="auto"/>
            </w:tcBorders>
            <w:noWrap/>
          </w:tcPr>
          <w:p w14:paraId="77B4603C"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5DDCC39F" w14:textId="77777777" w:rsidR="00CA70B8" w:rsidRPr="00CA70B8" w:rsidRDefault="00CA70B8" w:rsidP="00CA70B8">
            <w:pPr>
              <w:spacing w:before="40" w:after="40"/>
              <w:rPr>
                <w:rFonts w:eastAsia="MS PGothic" w:cs="Segoe UI"/>
                <w:sz w:val="17"/>
                <w:szCs w:val="17"/>
                <w:lang w:eastAsia="ja-JP"/>
              </w:rPr>
            </w:pPr>
          </w:p>
        </w:tc>
      </w:tr>
    </w:tbl>
    <w:p w14:paraId="1845B445" w14:textId="79EB9B01" w:rsidR="00CA70B8" w:rsidRPr="00CA70B8" w:rsidRDefault="00CA70B8" w:rsidP="00CA70B8">
      <w:pPr>
        <w:spacing w:before="40" w:after="40"/>
        <w:rPr>
          <w:rFonts w:cs="Segoe UI"/>
          <w:sz w:val="17"/>
          <w:szCs w:val="17"/>
          <w:u w:val="single"/>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2374"/>
        <w:gridCol w:w="2374"/>
        <w:gridCol w:w="1582"/>
        <w:gridCol w:w="3112"/>
      </w:tblGrid>
      <w:tr w:rsidR="00CA70B8" w:rsidRPr="00CA70B8" w14:paraId="26551D00" w14:textId="77777777" w:rsidTr="00ED3EC9">
        <w:trPr>
          <w:trHeight w:val="283"/>
        </w:trPr>
        <w:tc>
          <w:tcPr>
            <w:tcW w:w="461" w:type="dxa"/>
            <w:tcBorders>
              <w:top w:val="single" w:sz="4" w:space="0" w:color="auto"/>
              <w:left w:val="nil"/>
              <w:bottom w:val="nil"/>
              <w:right w:val="single" w:sz="4" w:space="0" w:color="auto"/>
            </w:tcBorders>
          </w:tcPr>
          <w:p w14:paraId="45217AC1" w14:textId="77777777" w:rsidR="00CA70B8" w:rsidRPr="00CA70B8" w:rsidRDefault="00CA70B8" w:rsidP="00CA70B8">
            <w:pPr>
              <w:spacing w:before="40" w:after="40"/>
              <w:rPr>
                <w:rFonts w:cs="Segoe UI"/>
                <w:sz w:val="17"/>
                <w:szCs w:val="17"/>
                <w:lang w:eastAsia="en-GB"/>
              </w:rPr>
            </w:pPr>
          </w:p>
        </w:tc>
        <w:tc>
          <w:tcPr>
            <w:tcW w:w="4263" w:type="dxa"/>
            <w:tcBorders>
              <w:top w:val="single" w:sz="4" w:space="0" w:color="auto"/>
              <w:left w:val="single" w:sz="4" w:space="0" w:color="auto"/>
              <w:bottom w:val="single" w:sz="4" w:space="0" w:color="auto"/>
              <w:right w:val="single" w:sz="4" w:space="0" w:color="auto"/>
            </w:tcBorders>
            <w:noWrap/>
          </w:tcPr>
          <w:p w14:paraId="306F2717" w14:textId="77777777" w:rsidR="00CA70B8" w:rsidRPr="00CA70B8" w:rsidRDefault="00CA70B8" w:rsidP="00CA70B8">
            <w:pPr>
              <w:spacing w:before="40" w:after="40"/>
              <w:rPr>
                <w:rFonts w:cs="Segoe UI"/>
                <w:sz w:val="17"/>
                <w:szCs w:val="17"/>
                <w:lang w:eastAsia="en-GB"/>
              </w:rPr>
            </w:pPr>
          </w:p>
        </w:tc>
        <w:tc>
          <w:tcPr>
            <w:tcW w:w="2374" w:type="dxa"/>
            <w:tcBorders>
              <w:top w:val="single" w:sz="4" w:space="0" w:color="auto"/>
              <w:left w:val="single" w:sz="4" w:space="0" w:color="auto"/>
              <w:bottom w:val="single" w:sz="4" w:space="0" w:color="auto"/>
              <w:right w:val="single" w:sz="4" w:space="0" w:color="auto"/>
            </w:tcBorders>
            <w:noWrap/>
            <w:vAlign w:val="center"/>
            <w:hideMark/>
          </w:tcPr>
          <w:p w14:paraId="333B6331"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10%</w:t>
            </w:r>
          </w:p>
        </w:tc>
        <w:tc>
          <w:tcPr>
            <w:tcW w:w="2374" w:type="dxa"/>
            <w:tcBorders>
              <w:top w:val="single" w:sz="4" w:space="0" w:color="auto"/>
              <w:left w:val="single" w:sz="4" w:space="0" w:color="auto"/>
              <w:bottom w:val="single" w:sz="4" w:space="0" w:color="auto"/>
              <w:right w:val="single" w:sz="4" w:space="0" w:color="auto"/>
            </w:tcBorders>
            <w:vAlign w:val="center"/>
          </w:tcPr>
          <w:p w14:paraId="08590D5F"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50%</w:t>
            </w:r>
          </w:p>
        </w:tc>
        <w:tc>
          <w:tcPr>
            <w:tcW w:w="1582" w:type="dxa"/>
            <w:tcBorders>
              <w:top w:val="single" w:sz="4" w:space="0" w:color="auto"/>
              <w:left w:val="single" w:sz="4" w:space="0" w:color="auto"/>
              <w:bottom w:val="single" w:sz="4" w:space="0" w:color="auto"/>
              <w:right w:val="single" w:sz="4" w:space="0" w:color="auto"/>
            </w:tcBorders>
            <w:noWrap/>
            <w:vAlign w:val="center"/>
            <w:hideMark/>
          </w:tcPr>
          <w:p w14:paraId="5B629C53" w14:textId="5282DC37"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113F96F" w14:textId="5E1025F5" w:rsidR="00CA70B8" w:rsidRPr="00CA70B8" w:rsidRDefault="00A524C4" w:rsidP="00A524C4">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0B2613DF" w14:textId="77777777" w:rsidTr="00ED3EC9">
        <w:trPr>
          <w:trHeight w:val="283"/>
        </w:trPr>
        <w:tc>
          <w:tcPr>
            <w:tcW w:w="461" w:type="dxa"/>
            <w:tcBorders>
              <w:top w:val="nil"/>
              <w:left w:val="nil"/>
              <w:bottom w:val="single" w:sz="6" w:space="0" w:color="000000"/>
              <w:right w:val="single" w:sz="4" w:space="0" w:color="auto"/>
            </w:tcBorders>
            <w:hideMark/>
          </w:tcPr>
          <w:p w14:paraId="2A463E47"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6</w:t>
            </w:r>
          </w:p>
        </w:tc>
        <w:tc>
          <w:tcPr>
            <w:tcW w:w="4263" w:type="dxa"/>
            <w:tcBorders>
              <w:top w:val="single" w:sz="4" w:space="0" w:color="auto"/>
              <w:left w:val="single" w:sz="4" w:space="0" w:color="auto"/>
              <w:bottom w:val="single" w:sz="4" w:space="0" w:color="auto"/>
              <w:right w:val="single" w:sz="4" w:space="0" w:color="auto"/>
            </w:tcBorders>
            <w:noWrap/>
            <w:hideMark/>
          </w:tcPr>
          <w:p w14:paraId="63CFE2E3" w14:textId="77777777"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TW"/>
              </w:rPr>
              <w:t>合資格資產覆蓋債券風險承擔</w:t>
            </w:r>
          </w:p>
        </w:tc>
        <w:tc>
          <w:tcPr>
            <w:tcW w:w="2374" w:type="dxa"/>
            <w:tcBorders>
              <w:top w:val="single" w:sz="4" w:space="0" w:color="auto"/>
              <w:left w:val="single" w:sz="4" w:space="0" w:color="auto"/>
              <w:bottom w:val="single" w:sz="4" w:space="0" w:color="auto"/>
              <w:right w:val="single" w:sz="4" w:space="0" w:color="auto"/>
            </w:tcBorders>
            <w:noWrap/>
          </w:tcPr>
          <w:p w14:paraId="3940080A" w14:textId="77777777" w:rsidR="00CA70B8" w:rsidRPr="00CA70B8" w:rsidRDefault="00CA70B8" w:rsidP="00CA70B8">
            <w:pPr>
              <w:spacing w:before="40" w:after="40"/>
              <w:rPr>
                <w:rFonts w:eastAsia="MS PGothic" w:cs="Segoe UI"/>
                <w:sz w:val="17"/>
                <w:szCs w:val="17"/>
                <w:lang w:eastAsia="ja-JP"/>
              </w:rPr>
            </w:pPr>
          </w:p>
        </w:tc>
        <w:tc>
          <w:tcPr>
            <w:tcW w:w="2374" w:type="dxa"/>
            <w:tcBorders>
              <w:top w:val="single" w:sz="4" w:space="0" w:color="auto"/>
              <w:left w:val="single" w:sz="4" w:space="0" w:color="auto"/>
              <w:bottom w:val="single" w:sz="4" w:space="0" w:color="auto"/>
              <w:right w:val="single" w:sz="4" w:space="0" w:color="auto"/>
            </w:tcBorders>
          </w:tcPr>
          <w:p w14:paraId="68813ED9" w14:textId="77777777" w:rsidR="00CA70B8" w:rsidRPr="00CA70B8" w:rsidRDefault="00CA70B8" w:rsidP="00CA70B8">
            <w:pPr>
              <w:spacing w:before="40" w:after="40"/>
              <w:rPr>
                <w:rFonts w:eastAsia="MS PGothic" w:cs="Segoe UI"/>
                <w:sz w:val="17"/>
                <w:szCs w:val="17"/>
                <w:lang w:eastAsia="ja-JP"/>
              </w:rPr>
            </w:pPr>
          </w:p>
        </w:tc>
        <w:tc>
          <w:tcPr>
            <w:tcW w:w="1582" w:type="dxa"/>
            <w:tcBorders>
              <w:top w:val="single" w:sz="4" w:space="0" w:color="auto"/>
              <w:left w:val="single" w:sz="4" w:space="0" w:color="auto"/>
              <w:bottom w:val="single" w:sz="4" w:space="0" w:color="auto"/>
              <w:right w:val="single" w:sz="4" w:space="0" w:color="auto"/>
            </w:tcBorders>
            <w:noWrap/>
          </w:tcPr>
          <w:p w14:paraId="4154F528"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734DCFB4" w14:textId="77777777" w:rsidR="00CA70B8" w:rsidRPr="00CA70B8" w:rsidRDefault="00CA70B8" w:rsidP="00CA70B8">
            <w:pPr>
              <w:spacing w:before="40" w:after="40"/>
              <w:rPr>
                <w:rFonts w:eastAsia="MS PGothic" w:cs="Segoe UI"/>
                <w:sz w:val="17"/>
                <w:szCs w:val="17"/>
                <w:lang w:eastAsia="ja-JP"/>
              </w:rPr>
            </w:pPr>
          </w:p>
        </w:tc>
      </w:tr>
    </w:tbl>
    <w:p w14:paraId="4ED4FFA4" w14:textId="77777777" w:rsidR="00CA70B8" w:rsidRPr="00CA70B8" w:rsidRDefault="00CA70B8" w:rsidP="00CA70B8">
      <w:pPr>
        <w:spacing w:before="40" w:after="40"/>
        <w:rPr>
          <w:rFonts w:cs="Segoe UI"/>
          <w:sz w:val="17"/>
          <w:szCs w:val="17"/>
          <w:u w:val="single"/>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61"/>
        <w:gridCol w:w="4263"/>
        <w:gridCol w:w="4748"/>
        <w:gridCol w:w="1582"/>
        <w:gridCol w:w="3112"/>
      </w:tblGrid>
      <w:tr w:rsidR="00CA70B8" w:rsidRPr="00CA70B8" w14:paraId="45416930" w14:textId="77777777" w:rsidTr="00ED3EC9">
        <w:trPr>
          <w:trHeight w:val="283"/>
        </w:trPr>
        <w:tc>
          <w:tcPr>
            <w:tcW w:w="461" w:type="dxa"/>
            <w:tcBorders>
              <w:top w:val="single" w:sz="4" w:space="0" w:color="auto"/>
              <w:left w:val="nil"/>
              <w:bottom w:val="nil"/>
              <w:right w:val="single" w:sz="4" w:space="0" w:color="auto"/>
            </w:tcBorders>
          </w:tcPr>
          <w:p w14:paraId="5C60282B" w14:textId="77777777" w:rsidR="00CA70B8" w:rsidRPr="00CA70B8" w:rsidRDefault="00CA70B8" w:rsidP="00CA70B8">
            <w:pPr>
              <w:spacing w:before="40" w:after="40"/>
              <w:rPr>
                <w:rFonts w:cs="Segoe UI"/>
                <w:sz w:val="17"/>
                <w:szCs w:val="17"/>
                <w:lang w:eastAsia="zh-TW"/>
              </w:rPr>
            </w:pPr>
          </w:p>
        </w:tc>
        <w:tc>
          <w:tcPr>
            <w:tcW w:w="4263" w:type="dxa"/>
            <w:tcBorders>
              <w:top w:val="single" w:sz="4" w:space="0" w:color="auto"/>
              <w:left w:val="single" w:sz="4" w:space="0" w:color="auto"/>
              <w:bottom w:val="single" w:sz="4" w:space="0" w:color="auto"/>
              <w:right w:val="single" w:sz="4" w:space="0" w:color="auto"/>
            </w:tcBorders>
            <w:noWrap/>
          </w:tcPr>
          <w:p w14:paraId="6FF1E18B" w14:textId="77777777" w:rsidR="00CA70B8" w:rsidRPr="00CA70B8" w:rsidRDefault="00CA70B8" w:rsidP="00CA70B8">
            <w:pPr>
              <w:spacing w:before="40" w:after="40"/>
              <w:rPr>
                <w:rFonts w:cs="Segoe UI"/>
                <w:sz w:val="17"/>
                <w:szCs w:val="17"/>
                <w:lang w:eastAsia="zh-TW"/>
              </w:rPr>
            </w:pPr>
          </w:p>
        </w:tc>
        <w:tc>
          <w:tcPr>
            <w:tcW w:w="4748" w:type="dxa"/>
            <w:tcBorders>
              <w:top w:val="single" w:sz="4" w:space="0" w:color="auto"/>
              <w:left w:val="single" w:sz="4" w:space="0" w:color="auto"/>
              <w:bottom w:val="single" w:sz="4" w:space="0" w:color="auto"/>
              <w:right w:val="single" w:sz="4" w:space="0" w:color="auto"/>
            </w:tcBorders>
            <w:noWrap/>
            <w:vAlign w:val="center"/>
            <w:hideMark/>
          </w:tcPr>
          <w:p w14:paraId="2D668F3A"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0%</w:t>
            </w:r>
          </w:p>
        </w:tc>
        <w:tc>
          <w:tcPr>
            <w:tcW w:w="1582" w:type="dxa"/>
            <w:tcBorders>
              <w:top w:val="single" w:sz="4" w:space="0" w:color="auto"/>
              <w:left w:val="single" w:sz="4" w:space="0" w:color="auto"/>
              <w:bottom w:val="single" w:sz="4" w:space="0" w:color="auto"/>
              <w:right w:val="single" w:sz="4" w:space="0" w:color="auto"/>
            </w:tcBorders>
            <w:noWrap/>
            <w:vAlign w:val="center"/>
            <w:hideMark/>
          </w:tcPr>
          <w:p w14:paraId="5291761E" w14:textId="53D73578"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316D32C4" w14:textId="79CC4FE3" w:rsidR="00CA70B8" w:rsidRPr="00CA70B8" w:rsidRDefault="00A524C4" w:rsidP="00CA70B8">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26A0CAF4" w14:textId="77777777" w:rsidTr="00ED3EC9">
        <w:trPr>
          <w:trHeight w:val="283"/>
        </w:trPr>
        <w:tc>
          <w:tcPr>
            <w:tcW w:w="461" w:type="dxa"/>
            <w:tcBorders>
              <w:top w:val="nil"/>
              <w:left w:val="nil"/>
              <w:bottom w:val="single" w:sz="6" w:space="0" w:color="000000"/>
              <w:right w:val="single" w:sz="4" w:space="0" w:color="auto"/>
            </w:tcBorders>
            <w:hideMark/>
          </w:tcPr>
          <w:p w14:paraId="796D240F"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7</w:t>
            </w:r>
          </w:p>
        </w:tc>
        <w:tc>
          <w:tcPr>
            <w:tcW w:w="4263" w:type="dxa"/>
            <w:tcBorders>
              <w:top w:val="single" w:sz="4" w:space="0" w:color="auto"/>
              <w:left w:val="single" w:sz="4" w:space="0" w:color="auto"/>
              <w:bottom w:val="single" w:sz="4" w:space="0" w:color="auto"/>
              <w:right w:val="single" w:sz="4" w:space="0" w:color="auto"/>
            </w:tcBorders>
            <w:noWrap/>
            <w:hideMark/>
          </w:tcPr>
          <w:p w14:paraId="6B0D5A8B" w14:textId="72810B7A"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hint="eastAsia"/>
                <w:sz w:val="17"/>
                <w:szCs w:val="17"/>
                <w:lang w:eastAsia="zh-TW"/>
              </w:rPr>
              <w:t>因</w:t>
            </w:r>
            <w:r w:rsidRPr="00A524C4">
              <w:rPr>
                <w:rFonts w:eastAsia="細明體" w:cs="Segoe UI"/>
                <w:sz w:val="17"/>
                <w:szCs w:val="17"/>
                <w:lang w:eastAsia="zh-TW"/>
              </w:rPr>
              <w:t>IPO</w:t>
            </w:r>
            <w:r w:rsidRPr="00A524C4">
              <w:rPr>
                <w:rFonts w:ascii="細明體" w:eastAsia="細明體" w:hAnsi="細明體" w:hint="eastAsia"/>
                <w:sz w:val="17"/>
                <w:szCs w:val="17"/>
                <w:lang w:eastAsia="zh-TW"/>
              </w:rPr>
              <w:t>融資而產生的風險承擔</w:t>
            </w:r>
          </w:p>
        </w:tc>
        <w:tc>
          <w:tcPr>
            <w:tcW w:w="4748" w:type="dxa"/>
            <w:tcBorders>
              <w:top w:val="single" w:sz="4" w:space="0" w:color="auto"/>
              <w:left w:val="single" w:sz="4" w:space="0" w:color="auto"/>
              <w:bottom w:val="single" w:sz="4" w:space="0" w:color="auto"/>
              <w:right w:val="single" w:sz="4" w:space="0" w:color="auto"/>
            </w:tcBorders>
            <w:noWrap/>
          </w:tcPr>
          <w:p w14:paraId="7A577383" w14:textId="77777777" w:rsidR="00CA70B8" w:rsidRPr="00CA70B8" w:rsidRDefault="00CA70B8" w:rsidP="00CA70B8">
            <w:pPr>
              <w:spacing w:before="40" w:after="40"/>
              <w:rPr>
                <w:rFonts w:eastAsia="MS PGothic" w:cs="Segoe UI"/>
                <w:sz w:val="17"/>
                <w:szCs w:val="17"/>
                <w:lang w:eastAsia="ja-JP"/>
              </w:rPr>
            </w:pPr>
          </w:p>
        </w:tc>
        <w:tc>
          <w:tcPr>
            <w:tcW w:w="1582" w:type="dxa"/>
            <w:tcBorders>
              <w:top w:val="single" w:sz="4" w:space="0" w:color="auto"/>
              <w:left w:val="single" w:sz="4" w:space="0" w:color="auto"/>
              <w:bottom w:val="single" w:sz="4" w:space="0" w:color="auto"/>
              <w:right w:val="single" w:sz="4" w:space="0" w:color="auto"/>
            </w:tcBorders>
            <w:noWrap/>
          </w:tcPr>
          <w:p w14:paraId="07F773E3"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3B25725A" w14:textId="77777777" w:rsidR="00CA70B8" w:rsidRPr="00CA70B8" w:rsidRDefault="00CA70B8" w:rsidP="00CA70B8">
            <w:pPr>
              <w:spacing w:before="40" w:after="40"/>
              <w:rPr>
                <w:rFonts w:eastAsia="MS PGothic" w:cs="Segoe UI"/>
                <w:sz w:val="17"/>
                <w:szCs w:val="17"/>
                <w:lang w:eastAsia="ja-JP"/>
              </w:rPr>
            </w:pPr>
          </w:p>
        </w:tc>
      </w:tr>
    </w:tbl>
    <w:p w14:paraId="0196A778" w14:textId="77777777" w:rsidR="00CA70B8" w:rsidRPr="00CA70B8" w:rsidRDefault="00CA70B8" w:rsidP="00CA70B8">
      <w:pPr>
        <w:spacing w:before="40" w:after="40"/>
        <w:rPr>
          <w:rFonts w:cs="Segoe UI"/>
          <w:sz w:val="17"/>
          <w:szCs w:val="17"/>
          <w:u w:val="single"/>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352"/>
        <w:gridCol w:w="891"/>
        <w:gridCol w:w="891"/>
        <w:gridCol w:w="891"/>
        <w:gridCol w:w="891"/>
        <w:gridCol w:w="891"/>
        <w:gridCol w:w="891"/>
        <w:gridCol w:w="891"/>
        <w:gridCol w:w="3118"/>
      </w:tblGrid>
      <w:tr w:rsidR="00CA70B8" w:rsidRPr="00CA70B8" w14:paraId="54B10943" w14:textId="77777777" w:rsidTr="00A524C4">
        <w:trPr>
          <w:cantSplit/>
          <w:trHeight w:val="1134"/>
        </w:trPr>
        <w:tc>
          <w:tcPr>
            <w:tcW w:w="459" w:type="dxa"/>
            <w:tcBorders>
              <w:top w:val="single" w:sz="4" w:space="0" w:color="auto"/>
              <w:left w:val="nil"/>
              <w:bottom w:val="nil"/>
              <w:right w:val="single" w:sz="4" w:space="0" w:color="auto"/>
            </w:tcBorders>
          </w:tcPr>
          <w:p w14:paraId="0BA35C3F" w14:textId="77777777" w:rsidR="00CA70B8" w:rsidRPr="00CA70B8" w:rsidRDefault="00CA70B8" w:rsidP="00CA70B8">
            <w:pPr>
              <w:spacing w:before="40" w:after="40"/>
              <w:rPr>
                <w:rFonts w:cs="Segoe UI"/>
                <w:sz w:val="17"/>
                <w:szCs w:val="17"/>
                <w:lang w:eastAsia="zh-TW"/>
              </w:rPr>
            </w:pPr>
          </w:p>
        </w:tc>
        <w:tc>
          <w:tcPr>
            <w:tcW w:w="4352" w:type="dxa"/>
            <w:tcBorders>
              <w:top w:val="single" w:sz="4" w:space="0" w:color="auto"/>
              <w:left w:val="single" w:sz="4" w:space="0" w:color="auto"/>
              <w:bottom w:val="single" w:sz="4" w:space="0" w:color="auto"/>
              <w:right w:val="single" w:sz="4" w:space="0" w:color="auto"/>
            </w:tcBorders>
            <w:noWrap/>
          </w:tcPr>
          <w:p w14:paraId="15169277" w14:textId="77777777" w:rsidR="00CA70B8" w:rsidRPr="00CA70B8" w:rsidRDefault="00CA70B8" w:rsidP="00CA70B8">
            <w:pPr>
              <w:spacing w:before="40" w:after="40"/>
              <w:rPr>
                <w:rFonts w:cs="Segoe UI"/>
                <w:sz w:val="17"/>
                <w:szCs w:val="17"/>
                <w:lang w:eastAsia="zh-TW"/>
              </w:rPr>
            </w:pPr>
          </w:p>
        </w:tc>
        <w:tc>
          <w:tcPr>
            <w:tcW w:w="891" w:type="dxa"/>
            <w:tcBorders>
              <w:top w:val="single" w:sz="4" w:space="0" w:color="auto"/>
              <w:left w:val="single" w:sz="4" w:space="0" w:color="auto"/>
              <w:bottom w:val="single" w:sz="4" w:space="0" w:color="auto"/>
              <w:right w:val="single" w:sz="4" w:space="0" w:color="auto"/>
            </w:tcBorders>
            <w:vAlign w:val="center"/>
          </w:tcPr>
          <w:p w14:paraId="1DFD9957" w14:textId="77777777" w:rsidR="00CA70B8" w:rsidRPr="00CA70B8" w:rsidRDefault="00CA70B8" w:rsidP="006D7101">
            <w:pPr>
              <w:spacing w:before="40" w:after="40"/>
              <w:jc w:val="center"/>
              <w:rPr>
                <w:rFonts w:eastAsia="MS PGothic" w:cs="Segoe UI"/>
                <w:sz w:val="17"/>
                <w:szCs w:val="17"/>
                <w:lang w:eastAsia="ja-JP"/>
              </w:rPr>
            </w:pPr>
            <w:r w:rsidRPr="00CA70B8">
              <w:rPr>
                <w:rFonts w:eastAsia="MS PGothic" w:cs="Segoe UI"/>
                <w:sz w:val="17"/>
                <w:szCs w:val="17"/>
                <w:lang w:eastAsia="ja-JP"/>
              </w:rPr>
              <w:t>40%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F05FFB" w14:textId="77777777" w:rsidR="00CA70B8" w:rsidRPr="00CA70B8" w:rsidRDefault="00CA70B8" w:rsidP="004B2E5F">
            <w:pPr>
              <w:spacing w:before="40" w:after="40"/>
              <w:jc w:val="center"/>
              <w:rPr>
                <w:rFonts w:eastAsia="MS PGothic" w:cs="Segoe UI"/>
                <w:sz w:val="17"/>
                <w:szCs w:val="17"/>
                <w:lang w:eastAsia="ja-JP"/>
              </w:rPr>
            </w:pPr>
            <w:r w:rsidRPr="00CA70B8">
              <w:rPr>
                <w:rFonts w:eastAsia="MS PGothic" w:cs="Segoe UI"/>
                <w:sz w:val="17"/>
                <w:szCs w:val="17"/>
                <w:lang w:eastAsia="ja-JP"/>
              </w:rPr>
              <w:t>50%</w:t>
            </w:r>
          </w:p>
        </w:tc>
        <w:tc>
          <w:tcPr>
            <w:tcW w:w="891" w:type="dxa"/>
            <w:tcBorders>
              <w:top w:val="single" w:sz="4" w:space="0" w:color="auto"/>
              <w:left w:val="single" w:sz="4" w:space="0" w:color="auto"/>
              <w:bottom w:val="single" w:sz="4" w:space="0" w:color="auto"/>
              <w:right w:val="single" w:sz="4" w:space="0" w:color="auto"/>
            </w:tcBorders>
            <w:noWrap/>
            <w:vAlign w:val="center"/>
            <w:hideMark/>
          </w:tcPr>
          <w:p w14:paraId="349EF950" w14:textId="77777777" w:rsidR="00CA70B8" w:rsidRPr="00CA70B8" w:rsidRDefault="00CA70B8" w:rsidP="00A47331">
            <w:pPr>
              <w:spacing w:before="40" w:after="40"/>
              <w:jc w:val="center"/>
              <w:rPr>
                <w:rFonts w:eastAsia="MS PGothic" w:cs="Segoe UI"/>
                <w:sz w:val="17"/>
                <w:szCs w:val="17"/>
                <w:lang w:eastAsia="ja-JP"/>
              </w:rPr>
            </w:pPr>
            <w:r w:rsidRPr="00CA70B8">
              <w:rPr>
                <w:rFonts w:eastAsia="MS PGothic" w:cs="Segoe UI"/>
                <w:sz w:val="17"/>
                <w:szCs w:val="17"/>
                <w:lang w:eastAsia="ja-JP"/>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1CF3B14" w14:textId="77777777" w:rsidR="00CA70B8" w:rsidRPr="00CA70B8" w:rsidRDefault="00CA70B8" w:rsidP="00A47331">
            <w:pPr>
              <w:spacing w:before="40" w:after="40"/>
              <w:jc w:val="center"/>
              <w:rPr>
                <w:rFonts w:eastAsia="MS PGothic" w:cs="Segoe UI"/>
                <w:sz w:val="17"/>
                <w:szCs w:val="17"/>
                <w:lang w:eastAsia="ja-JP"/>
              </w:rPr>
            </w:pPr>
            <w:r w:rsidRPr="00CA70B8">
              <w:rPr>
                <w:rFonts w:eastAsia="MS PGothic" w:cs="Segoe UI"/>
                <w:sz w:val="17"/>
                <w:szCs w:val="17"/>
                <w:lang w:eastAsia="ja-JP"/>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1A5BA0" w14:textId="77777777" w:rsidR="00CA70B8" w:rsidRPr="00CA70B8" w:rsidRDefault="00CA70B8" w:rsidP="000A5AE1">
            <w:pPr>
              <w:spacing w:before="40" w:after="40"/>
              <w:jc w:val="center"/>
              <w:rPr>
                <w:rFonts w:eastAsia="MS PGothic" w:cs="Segoe UI"/>
                <w:sz w:val="17"/>
                <w:szCs w:val="17"/>
                <w:lang w:eastAsia="ja-JP"/>
              </w:rPr>
            </w:pPr>
            <w:r w:rsidRPr="00CA70B8">
              <w:rPr>
                <w:rFonts w:eastAsia="MS PGothic" w:cs="Segoe UI"/>
                <w:sz w:val="17"/>
                <w:szCs w:val="17"/>
                <w:lang w:eastAsia="ja-JP"/>
              </w:rPr>
              <w:t>120%</w:t>
            </w:r>
          </w:p>
        </w:tc>
        <w:tc>
          <w:tcPr>
            <w:tcW w:w="891" w:type="dxa"/>
            <w:tcBorders>
              <w:top w:val="single" w:sz="4" w:space="0" w:color="auto"/>
              <w:left w:val="single" w:sz="4" w:space="0" w:color="auto"/>
              <w:bottom w:val="single" w:sz="4" w:space="0" w:color="auto"/>
              <w:right w:val="single" w:sz="4" w:space="0" w:color="auto"/>
            </w:tcBorders>
            <w:vAlign w:val="center"/>
          </w:tcPr>
          <w:p w14:paraId="0C39D3C2" w14:textId="77777777" w:rsidR="00CA70B8" w:rsidRPr="00CA70B8" w:rsidRDefault="00CA70B8" w:rsidP="007E30DD">
            <w:pPr>
              <w:spacing w:before="40" w:after="40"/>
              <w:jc w:val="center"/>
              <w:rPr>
                <w:rFonts w:eastAsia="MS PGothic" w:cs="Segoe UI"/>
                <w:sz w:val="17"/>
                <w:szCs w:val="17"/>
                <w:lang w:eastAsia="ja-JP"/>
              </w:rPr>
            </w:pPr>
            <w:r w:rsidRPr="00CA70B8">
              <w:rPr>
                <w:rFonts w:eastAsia="MS PGothic" w:cs="Segoe UI"/>
                <w:sz w:val="17"/>
                <w:szCs w:val="17"/>
                <w:lang w:eastAsia="ja-JP"/>
              </w:rPr>
              <w:t>150%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7D69A8" w14:textId="3ABC12DD" w:rsidR="00CA70B8" w:rsidRPr="00CA70B8" w:rsidRDefault="00A524C4" w:rsidP="00514EEB">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634B2400" w14:textId="1343288B" w:rsidR="00CA70B8" w:rsidRPr="00CA70B8" w:rsidRDefault="00A524C4" w:rsidP="00CA70B8">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24BB51EB" w14:textId="77777777" w:rsidTr="00ED3EC9">
        <w:trPr>
          <w:trHeight w:val="283"/>
        </w:trPr>
        <w:tc>
          <w:tcPr>
            <w:tcW w:w="459" w:type="dxa"/>
            <w:tcBorders>
              <w:top w:val="nil"/>
              <w:left w:val="nil"/>
              <w:bottom w:val="single" w:sz="4" w:space="0" w:color="auto"/>
              <w:right w:val="single" w:sz="4" w:space="0" w:color="auto"/>
            </w:tcBorders>
            <w:hideMark/>
          </w:tcPr>
          <w:p w14:paraId="26BD3372"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8</w:t>
            </w:r>
          </w:p>
        </w:tc>
        <w:tc>
          <w:tcPr>
            <w:tcW w:w="4352" w:type="dxa"/>
            <w:tcBorders>
              <w:top w:val="single" w:sz="4" w:space="0" w:color="auto"/>
              <w:left w:val="single" w:sz="4" w:space="0" w:color="auto"/>
              <w:bottom w:val="single" w:sz="4" w:space="0" w:color="auto"/>
              <w:right w:val="single" w:sz="4" w:space="0" w:color="auto"/>
            </w:tcBorders>
            <w:noWrap/>
            <w:hideMark/>
          </w:tcPr>
          <w:p w14:paraId="436B69AA" w14:textId="77777777" w:rsidR="00CA70B8" w:rsidRPr="00A524C4" w:rsidRDefault="00CA70B8" w:rsidP="00CA70B8">
            <w:pPr>
              <w:spacing w:before="40" w:after="40"/>
              <w:rPr>
                <w:rFonts w:ascii="細明體" w:eastAsia="細明體" w:hAnsi="細明體" w:cs="Segoe UI"/>
                <w:sz w:val="17"/>
                <w:szCs w:val="17"/>
                <w:lang w:eastAsia="en-GB"/>
              </w:rPr>
            </w:pPr>
            <w:r w:rsidRPr="00A524C4">
              <w:rPr>
                <w:rFonts w:ascii="細明體" w:eastAsia="細明體" w:hAnsi="細明體" w:cs="Segoe UI" w:hint="eastAsia"/>
                <w:sz w:val="17"/>
                <w:szCs w:val="17"/>
                <w:lang w:eastAsia="zh-HK"/>
              </w:rPr>
              <w:t>地產風險承擔</w:t>
            </w:r>
          </w:p>
        </w:tc>
        <w:tc>
          <w:tcPr>
            <w:tcW w:w="891" w:type="dxa"/>
            <w:tcBorders>
              <w:top w:val="single" w:sz="4" w:space="0" w:color="auto"/>
              <w:left w:val="single" w:sz="4" w:space="0" w:color="auto"/>
              <w:bottom w:val="single" w:sz="4" w:space="0" w:color="auto"/>
              <w:right w:val="single" w:sz="4" w:space="0" w:color="auto"/>
            </w:tcBorders>
          </w:tcPr>
          <w:p w14:paraId="0AC18304"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3CCBE547"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noWrap/>
          </w:tcPr>
          <w:p w14:paraId="7527B0CD"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0EB6AAC7"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10C242FA"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07902A85"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40BBDE8C"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02557D7A" w14:textId="77777777" w:rsidR="00CA70B8" w:rsidRPr="00CA70B8" w:rsidRDefault="00CA70B8" w:rsidP="00CA70B8">
            <w:pPr>
              <w:spacing w:before="40" w:after="40"/>
              <w:rPr>
                <w:rFonts w:eastAsia="MS PGothic" w:cs="Segoe UI"/>
                <w:sz w:val="17"/>
                <w:szCs w:val="17"/>
                <w:lang w:eastAsia="ja-JP"/>
              </w:rPr>
            </w:pPr>
          </w:p>
        </w:tc>
      </w:tr>
      <w:tr w:rsidR="00CA70B8" w:rsidRPr="00CA70B8" w14:paraId="751209E9" w14:textId="77777777" w:rsidTr="00ED3EC9">
        <w:trPr>
          <w:trHeight w:val="283"/>
        </w:trPr>
        <w:tc>
          <w:tcPr>
            <w:tcW w:w="459" w:type="dxa"/>
            <w:tcBorders>
              <w:top w:val="single" w:sz="4" w:space="0" w:color="auto"/>
              <w:left w:val="nil"/>
              <w:bottom w:val="single" w:sz="4" w:space="0" w:color="auto"/>
              <w:right w:val="single" w:sz="4" w:space="0" w:color="auto"/>
            </w:tcBorders>
          </w:tcPr>
          <w:p w14:paraId="41425860"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8a</w:t>
            </w:r>
          </w:p>
        </w:tc>
        <w:tc>
          <w:tcPr>
            <w:tcW w:w="4352" w:type="dxa"/>
            <w:tcBorders>
              <w:top w:val="single" w:sz="4" w:space="0" w:color="auto"/>
              <w:left w:val="single" w:sz="4" w:space="0" w:color="auto"/>
              <w:bottom w:val="single" w:sz="4" w:space="0" w:color="auto"/>
              <w:right w:val="single" w:sz="4" w:space="0" w:color="auto"/>
            </w:tcBorders>
            <w:noWrap/>
            <w:hideMark/>
          </w:tcPr>
          <w:p w14:paraId="2945279A" w14:textId="77777777" w:rsidR="00CA70B8" w:rsidRPr="00A524C4" w:rsidRDefault="00CA70B8" w:rsidP="00CA70B8">
            <w:pPr>
              <w:spacing w:before="40" w:after="40"/>
              <w:ind w:left="794"/>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TW"/>
              </w:rPr>
              <w:t>其中：監管住宅地產風險承擔（並非在關鍵程度上</w:t>
            </w:r>
            <w:r w:rsidRPr="00A524C4">
              <w:rPr>
                <w:rFonts w:ascii="細明體" w:eastAsia="細明體" w:hAnsi="細明體" w:cs="微軟正黑體" w:hint="eastAsia"/>
                <w:sz w:val="17"/>
                <w:szCs w:val="17"/>
                <w:lang w:eastAsia="zh-HK"/>
              </w:rPr>
              <w:t>有賴</w:t>
            </w:r>
            <w:r w:rsidRPr="00A524C4">
              <w:rPr>
                <w:rFonts w:ascii="細明體" w:eastAsia="細明體" w:hAnsi="細明體" w:cs="微軟正黑體" w:hint="eastAsia"/>
                <w:sz w:val="17"/>
                <w:szCs w:val="17"/>
                <w:lang w:eastAsia="zh-TW"/>
              </w:rPr>
              <w:t>於</w:t>
            </w:r>
            <w:r w:rsidRPr="00A524C4">
              <w:rPr>
                <w:rFonts w:ascii="細明體" w:eastAsia="細明體" w:hAnsi="細明體" w:cs="微軟正黑體" w:hint="eastAsia"/>
                <w:sz w:val="17"/>
                <w:szCs w:val="17"/>
                <w:lang w:eastAsia="zh-HK"/>
              </w:rPr>
              <w:t>按揭</w:t>
            </w:r>
            <w:r w:rsidRPr="00A524C4">
              <w:rPr>
                <w:rFonts w:ascii="細明體" w:eastAsia="細明體" w:hAnsi="細明體" w:cs="微軟正黑體" w:hint="eastAsia"/>
                <w:sz w:val="17"/>
                <w:szCs w:val="17"/>
                <w:lang w:eastAsia="zh-TW"/>
              </w:rPr>
              <w:t>物業所產生的現金流）</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5D0D18C8"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5A7CA8B1"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noWrap/>
          </w:tcPr>
          <w:p w14:paraId="7B6067B0"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3C76BF87"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329E69CC"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024D8317"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72AAC3DF"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1C293CE6" w14:textId="77777777" w:rsidR="00CA70B8" w:rsidRPr="00CA70B8" w:rsidRDefault="00CA70B8" w:rsidP="00CA70B8">
            <w:pPr>
              <w:spacing w:before="40" w:after="40"/>
              <w:rPr>
                <w:rFonts w:eastAsia="MS PGothic" w:cs="Segoe UI"/>
                <w:sz w:val="17"/>
                <w:szCs w:val="17"/>
                <w:lang w:eastAsia="ja-JP"/>
              </w:rPr>
            </w:pPr>
          </w:p>
        </w:tc>
      </w:tr>
      <w:tr w:rsidR="00CA70B8" w:rsidRPr="00CA70B8" w14:paraId="465B5B6A" w14:textId="77777777" w:rsidTr="00ED3EC9">
        <w:trPr>
          <w:trHeight w:val="283"/>
        </w:trPr>
        <w:tc>
          <w:tcPr>
            <w:tcW w:w="459" w:type="dxa"/>
            <w:tcBorders>
              <w:top w:val="single" w:sz="4" w:space="0" w:color="auto"/>
              <w:left w:val="nil"/>
              <w:bottom w:val="single" w:sz="4" w:space="0" w:color="auto"/>
              <w:right w:val="single" w:sz="4" w:space="0" w:color="auto"/>
            </w:tcBorders>
          </w:tcPr>
          <w:p w14:paraId="50131EFD"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8b</w:t>
            </w:r>
          </w:p>
        </w:tc>
        <w:tc>
          <w:tcPr>
            <w:tcW w:w="4352" w:type="dxa"/>
            <w:tcBorders>
              <w:top w:val="single" w:sz="4" w:space="0" w:color="auto"/>
              <w:left w:val="single" w:sz="4" w:space="0" w:color="auto"/>
              <w:bottom w:val="single" w:sz="4" w:space="0" w:color="auto"/>
              <w:right w:val="single" w:sz="4" w:space="0" w:color="auto"/>
            </w:tcBorders>
            <w:noWrap/>
          </w:tcPr>
          <w:p w14:paraId="0898A6C1" w14:textId="77777777" w:rsidR="00CA70B8" w:rsidRPr="00A524C4" w:rsidRDefault="00CA70B8" w:rsidP="00CA70B8">
            <w:pPr>
              <w:spacing w:before="40" w:after="40"/>
              <w:ind w:left="794"/>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TW"/>
              </w:rPr>
              <w:t>其中：監管住宅地產風險承擔（在關鍵程度上</w:t>
            </w:r>
            <w:r w:rsidRPr="00A524C4">
              <w:rPr>
                <w:rFonts w:ascii="細明體" w:eastAsia="細明體" w:hAnsi="細明體" w:cs="微軟正黑體" w:hint="eastAsia"/>
                <w:sz w:val="17"/>
                <w:szCs w:val="17"/>
                <w:lang w:eastAsia="zh-HK"/>
              </w:rPr>
              <w:t>有賴</w:t>
            </w:r>
            <w:r w:rsidRPr="00A524C4">
              <w:rPr>
                <w:rFonts w:ascii="細明體" w:eastAsia="細明體" w:hAnsi="細明體" w:cs="微軟正黑體" w:hint="eastAsia"/>
                <w:sz w:val="17"/>
                <w:szCs w:val="17"/>
                <w:lang w:eastAsia="zh-TW"/>
              </w:rPr>
              <w:t>於</w:t>
            </w:r>
            <w:r w:rsidRPr="00A524C4">
              <w:rPr>
                <w:rFonts w:ascii="細明體" w:eastAsia="細明體" w:hAnsi="細明體" w:cs="微軟正黑體" w:hint="eastAsia"/>
                <w:sz w:val="17"/>
                <w:szCs w:val="17"/>
                <w:lang w:eastAsia="zh-HK"/>
              </w:rPr>
              <w:t>按揭</w:t>
            </w:r>
            <w:r w:rsidRPr="00A524C4">
              <w:rPr>
                <w:rFonts w:ascii="細明體" w:eastAsia="細明體" w:hAnsi="細明體" w:cs="微軟正黑體" w:hint="eastAsia"/>
                <w:sz w:val="17"/>
                <w:szCs w:val="17"/>
                <w:lang w:eastAsia="zh-TW"/>
              </w:rPr>
              <w:t>物業所產生的現金流）</w:t>
            </w: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63420198"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764408FF"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tcPr>
          <w:p w14:paraId="2B1A043E"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20217DB1"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3FDFA77F"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022995D2"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1065553C"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1A839E44" w14:textId="77777777" w:rsidR="00CA70B8" w:rsidRPr="00CA70B8" w:rsidRDefault="00CA70B8" w:rsidP="00CA70B8">
            <w:pPr>
              <w:spacing w:before="40" w:after="40"/>
              <w:rPr>
                <w:rFonts w:eastAsia="MS PGothic" w:cs="Segoe UI"/>
                <w:sz w:val="17"/>
                <w:szCs w:val="17"/>
                <w:lang w:eastAsia="ja-JP"/>
              </w:rPr>
            </w:pPr>
          </w:p>
        </w:tc>
      </w:tr>
      <w:tr w:rsidR="00CA70B8" w:rsidRPr="00CA70B8" w14:paraId="1A36051F" w14:textId="77777777" w:rsidTr="00ED3EC9">
        <w:trPr>
          <w:trHeight w:val="283"/>
        </w:trPr>
        <w:tc>
          <w:tcPr>
            <w:tcW w:w="459" w:type="dxa"/>
            <w:tcBorders>
              <w:top w:val="single" w:sz="4" w:space="0" w:color="auto"/>
              <w:left w:val="nil"/>
              <w:bottom w:val="single" w:sz="6" w:space="0" w:color="000000"/>
              <w:right w:val="single" w:sz="4" w:space="0" w:color="auto"/>
            </w:tcBorders>
          </w:tcPr>
          <w:p w14:paraId="39CEBAA3"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8c</w:t>
            </w:r>
          </w:p>
        </w:tc>
        <w:tc>
          <w:tcPr>
            <w:tcW w:w="4352" w:type="dxa"/>
            <w:tcBorders>
              <w:top w:val="single" w:sz="4" w:space="0" w:color="auto"/>
              <w:left w:val="single" w:sz="4" w:space="0" w:color="auto"/>
              <w:bottom w:val="single" w:sz="4" w:space="0" w:color="auto"/>
              <w:right w:val="single" w:sz="4" w:space="0" w:color="auto"/>
            </w:tcBorders>
            <w:noWrap/>
            <w:hideMark/>
          </w:tcPr>
          <w:p w14:paraId="4ADAE3D8" w14:textId="77777777" w:rsidR="00CA70B8" w:rsidRPr="00CA70B8" w:rsidRDefault="00CA70B8" w:rsidP="00CA70B8">
            <w:pPr>
              <w:spacing w:before="40" w:after="40"/>
              <w:ind w:left="794"/>
              <w:rPr>
                <w:rFonts w:cs="Segoe UI"/>
                <w:sz w:val="17"/>
                <w:szCs w:val="17"/>
                <w:lang w:eastAsia="zh-TW"/>
              </w:rPr>
            </w:pPr>
            <w:r w:rsidRPr="00CA70B8">
              <w:rPr>
                <w:rFonts w:ascii="新細明體" w:eastAsia="新細明體" w:hAnsi="新細明體" w:cs="Segoe UI" w:hint="eastAsia"/>
                <w:sz w:val="17"/>
                <w:szCs w:val="17"/>
                <w:lang w:eastAsia="zh-HK"/>
              </w:rPr>
              <w:t>其中：其他地產風險承擔</w:t>
            </w: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4A63AD22"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6CF5DF1E"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noWrap/>
          </w:tcPr>
          <w:p w14:paraId="2F7D8613"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7D8D4A42"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BFBFBF"/>
          </w:tcPr>
          <w:p w14:paraId="3066D17F"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737FB100" w14:textId="77777777" w:rsidR="00CA70B8" w:rsidRPr="00CA70B8" w:rsidRDefault="00CA70B8" w:rsidP="00CA70B8">
            <w:pPr>
              <w:spacing w:before="40" w:after="40"/>
              <w:rPr>
                <w:rFonts w:eastAsia="MS PGothic" w:cs="Segoe UI"/>
                <w:sz w:val="17"/>
                <w:szCs w:val="17"/>
                <w:lang w:eastAsia="ja-JP"/>
              </w:rPr>
            </w:pPr>
          </w:p>
        </w:tc>
        <w:tc>
          <w:tcPr>
            <w:tcW w:w="891" w:type="dxa"/>
            <w:tcBorders>
              <w:top w:val="single" w:sz="4" w:space="0" w:color="auto"/>
              <w:left w:val="single" w:sz="4" w:space="0" w:color="auto"/>
              <w:bottom w:val="single" w:sz="4" w:space="0" w:color="auto"/>
              <w:right w:val="single" w:sz="4" w:space="0" w:color="auto"/>
            </w:tcBorders>
          </w:tcPr>
          <w:p w14:paraId="04B6523A"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617D2D0C" w14:textId="77777777" w:rsidR="00CA70B8" w:rsidRPr="00CA70B8" w:rsidRDefault="00CA70B8" w:rsidP="00CA70B8">
            <w:pPr>
              <w:spacing w:before="40" w:after="40"/>
              <w:rPr>
                <w:rFonts w:eastAsia="MS PGothic" w:cs="Segoe UI"/>
                <w:sz w:val="17"/>
                <w:szCs w:val="17"/>
                <w:lang w:eastAsia="ja-JP"/>
              </w:rPr>
            </w:pPr>
          </w:p>
        </w:tc>
      </w:tr>
    </w:tbl>
    <w:p w14:paraId="256F2EFC" w14:textId="4C47C06D" w:rsidR="00CA70B8" w:rsidRDefault="00CA70B8" w:rsidP="00CA70B8">
      <w:pPr>
        <w:spacing w:before="40" w:after="40"/>
        <w:rPr>
          <w:rFonts w:cs="Segoe UI"/>
          <w:sz w:val="17"/>
          <w:szCs w:val="17"/>
          <w:u w:val="single"/>
          <w:lang w:eastAsia="zh-TW"/>
        </w:rPr>
      </w:pPr>
    </w:p>
    <w:p w14:paraId="77ADEDDC" w14:textId="77777777" w:rsidR="00050B75" w:rsidRPr="00CA70B8" w:rsidRDefault="00050B75" w:rsidP="00CA70B8">
      <w:pPr>
        <w:spacing w:before="40" w:after="40"/>
        <w:rPr>
          <w:rFonts w:cs="Segoe UI"/>
          <w:sz w:val="17"/>
          <w:szCs w:val="17"/>
          <w:u w:val="single"/>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2099"/>
        <w:gridCol w:w="2099"/>
        <w:gridCol w:w="2099"/>
        <w:gridCol w:w="3112"/>
      </w:tblGrid>
      <w:tr w:rsidR="00CA70B8" w:rsidRPr="00CA70B8" w14:paraId="63B93586" w14:textId="77777777" w:rsidTr="00ED3EC9">
        <w:trPr>
          <w:trHeight w:val="283"/>
        </w:trPr>
        <w:tc>
          <w:tcPr>
            <w:tcW w:w="459" w:type="dxa"/>
            <w:tcBorders>
              <w:top w:val="single" w:sz="4" w:space="0" w:color="auto"/>
              <w:left w:val="nil"/>
              <w:bottom w:val="nil"/>
              <w:right w:val="single" w:sz="4" w:space="0" w:color="auto"/>
            </w:tcBorders>
          </w:tcPr>
          <w:p w14:paraId="356A4048" w14:textId="77777777" w:rsidR="00CA70B8" w:rsidRPr="00CA70B8" w:rsidRDefault="00CA70B8" w:rsidP="00CA70B8">
            <w:pPr>
              <w:spacing w:before="40" w:after="40"/>
              <w:rPr>
                <w:rFonts w:cs="Segoe UI"/>
                <w:sz w:val="17"/>
                <w:szCs w:val="17"/>
                <w:lang w:eastAsia="zh-TW"/>
              </w:rPr>
            </w:pPr>
          </w:p>
        </w:tc>
        <w:tc>
          <w:tcPr>
            <w:tcW w:w="4292" w:type="dxa"/>
            <w:tcBorders>
              <w:top w:val="single" w:sz="4" w:space="0" w:color="auto"/>
              <w:left w:val="single" w:sz="4" w:space="0" w:color="auto"/>
              <w:bottom w:val="single" w:sz="4" w:space="0" w:color="auto"/>
              <w:right w:val="single" w:sz="4" w:space="0" w:color="auto"/>
            </w:tcBorders>
            <w:noWrap/>
          </w:tcPr>
          <w:p w14:paraId="4830CF9D" w14:textId="77777777" w:rsidR="00CA70B8" w:rsidRPr="00CA70B8" w:rsidRDefault="00CA70B8" w:rsidP="00CA70B8">
            <w:pPr>
              <w:spacing w:before="40" w:after="40"/>
              <w:rPr>
                <w:rFonts w:cs="Segoe UI"/>
                <w:sz w:val="17"/>
                <w:szCs w:val="17"/>
                <w:lang w:eastAsia="zh-TW"/>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1399A27D"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250%</w:t>
            </w: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07FB50D5"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400%</w:t>
            </w: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4F58B06D" w14:textId="4B1B180C"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18753684" w14:textId="556A4CD8" w:rsidR="00CA70B8" w:rsidRPr="00CA70B8" w:rsidRDefault="00A524C4" w:rsidP="00A524C4">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73409389" w14:textId="77777777" w:rsidTr="00ED3EC9">
        <w:trPr>
          <w:trHeight w:val="283"/>
        </w:trPr>
        <w:tc>
          <w:tcPr>
            <w:tcW w:w="459" w:type="dxa"/>
            <w:tcBorders>
              <w:top w:val="nil"/>
              <w:left w:val="nil"/>
              <w:bottom w:val="single" w:sz="4" w:space="0" w:color="auto"/>
              <w:right w:val="single" w:sz="4" w:space="0" w:color="auto"/>
            </w:tcBorders>
            <w:hideMark/>
          </w:tcPr>
          <w:p w14:paraId="53475222"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9</w:t>
            </w:r>
          </w:p>
        </w:tc>
        <w:tc>
          <w:tcPr>
            <w:tcW w:w="4292" w:type="dxa"/>
            <w:tcBorders>
              <w:top w:val="single" w:sz="4" w:space="0" w:color="auto"/>
              <w:left w:val="single" w:sz="4" w:space="0" w:color="auto"/>
              <w:bottom w:val="single" w:sz="4" w:space="0" w:color="auto"/>
              <w:right w:val="single" w:sz="4" w:space="0" w:color="auto"/>
            </w:tcBorders>
            <w:noWrap/>
            <w:hideMark/>
          </w:tcPr>
          <w:p w14:paraId="7226D73D" w14:textId="77777777" w:rsidR="00CA70B8" w:rsidRPr="00CA70B8" w:rsidRDefault="00CA70B8" w:rsidP="00CA70B8">
            <w:pPr>
              <w:spacing w:before="40" w:after="40"/>
              <w:rPr>
                <w:rFonts w:cs="Segoe UI"/>
                <w:sz w:val="17"/>
                <w:szCs w:val="17"/>
                <w:lang w:eastAsia="en-GB"/>
              </w:rPr>
            </w:pPr>
            <w:r w:rsidRPr="00CA70B8">
              <w:rPr>
                <w:rFonts w:ascii="新細明體" w:eastAsia="新細明體" w:hAnsi="新細明體" w:cs="Segoe UI" w:hint="eastAsia"/>
                <w:sz w:val="17"/>
                <w:szCs w:val="17"/>
                <w:lang w:eastAsia="zh-HK"/>
              </w:rPr>
              <w:t>股權風險承擔</w:t>
            </w:r>
          </w:p>
        </w:tc>
        <w:tc>
          <w:tcPr>
            <w:tcW w:w="2099" w:type="dxa"/>
            <w:tcBorders>
              <w:top w:val="single" w:sz="4" w:space="0" w:color="auto"/>
              <w:left w:val="single" w:sz="4" w:space="0" w:color="auto"/>
              <w:bottom w:val="single" w:sz="4" w:space="0" w:color="auto"/>
              <w:right w:val="single" w:sz="4" w:space="0" w:color="auto"/>
            </w:tcBorders>
            <w:noWrap/>
          </w:tcPr>
          <w:p w14:paraId="571C26C9" w14:textId="77777777" w:rsidR="00CA70B8" w:rsidRPr="00CA70B8" w:rsidRDefault="00CA70B8" w:rsidP="00CA70B8">
            <w:pPr>
              <w:spacing w:before="40" w:after="40"/>
              <w:rPr>
                <w:rFonts w:eastAsia="MS PGothic" w:cs="Segoe UI"/>
                <w:sz w:val="17"/>
                <w:szCs w:val="17"/>
                <w:lang w:eastAsia="ja-JP"/>
              </w:rPr>
            </w:pPr>
          </w:p>
        </w:tc>
        <w:tc>
          <w:tcPr>
            <w:tcW w:w="2099" w:type="dxa"/>
            <w:tcBorders>
              <w:top w:val="single" w:sz="4" w:space="0" w:color="auto"/>
              <w:left w:val="single" w:sz="4" w:space="0" w:color="auto"/>
              <w:bottom w:val="single" w:sz="4" w:space="0" w:color="auto"/>
              <w:right w:val="single" w:sz="4" w:space="0" w:color="auto"/>
            </w:tcBorders>
            <w:noWrap/>
          </w:tcPr>
          <w:p w14:paraId="6E08CEF3" w14:textId="77777777" w:rsidR="00CA70B8" w:rsidRPr="00CA70B8" w:rsidRDefault="00CA70B8" w:rsidP="00CA70B8">
            <w:pPr>
              <w:spacing w:before="40" w:after="40"/>
              <w:rPr>
                <w:rFonts w:eastAsia="MS PGothic" w:cs="Segoe UI"/>
                <w:sz w:val="17"/>
                <w:szCs w:val="17"/>
                <w:lang w:eastAsia="ja-JP"/>
              </w:rPr>
            </w:pPr>
          </w:p>
        </w:tc>
        <w:tc>
          <w:tcPr>
            <w:tcW w:w="2099" w:type="dxa"/>
            <w:tcBorders>
              <w:top w:val="single" w:sz="4" w:space="0" w:color="auto"/>
              <w:left w:val="single" w:sz="4" w:space="0" w:color="auto"/>
              <w:bottom w:val="single" w:sz="4" w:space="0" w:color="auto"/>
              <w:right w:val="single" w:sz="4" w:space="0" w:color="auto"/>
            </w:tcBorders>
            <w:noWrap/>
          </w:tcPr>
          <w:p w14:paraId="62F829A0"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6561C7F3" w14:textId="77777777" w:rsidR="00CA70B8" w:rsidRPr="00CA70B8" w:rsidRDefault="00CA70B8" w:rsidP="00CA70B8">
            <w:pPr>
              <w:spacing w:before="40" w:after="40"/>
              <w:rPr>
                <w:rFonts w:eastAsia="MS PGothic" w:cs="Segoe UI"/>
                <w:sz w:val="17"/>
                <w:szCs w:val="17"/>
                <w:lang w:eastAsia="ja-JP"/>
              </w:rPr>
            </w:pPr>
          </w:p>
        </w:tc>
      </w:tr>
    </w:tbl>
    <w:p w14:paraId="0F68DBF1" w14:textId="77777777" w:rsidR="00CA70B8" w:rsidRPr="00CA70B8" w:rsidRDefault="00CA70B8" w:rsidP="00CA70B8">
      <w:pPr>
        <w:spacing w:before="40" w:after="40"/>
        <w:rPr>
          <w:rFonts w:cs="Segoe UI"/>
          <w:sz w:val="17"/>
          <w:szCs w:val="17"/>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CA70B8" w:rsidRPr="00CA70B8" w14:paraId="031FD34D" w14:textId="77777777" w:rsidTr="00ED3EC9">
        <w:trPr>
          <w:trHeight w:val="283"/>
        </w:trPr>
        <w:tc>
          <w:tcPr>
            <w:tcW w:w="459" w:type="dxa"/>
            <w:tcBorders>
              <w:top w:val="single" w:sz="4" w:space="0" w:color="auto"/>
              <w:left w:val="nil"/>
              <w:bottom w:val="nil"/>
              <w:right w:val="single" w:sz="4" w:space="0" w:color="auto"/>
            </w:tcBorders>
          </w:tcPr>
          <w:p w14:paraId="44CA790D" w14:textId="77777777" w:rsidR="00CA70B8" w:rsidRPr="00CA70B8" w:rsidRDefault="00CA70B8" w:rsidP="00CA70B8">
            <w:pPr>
              <w:spacing w:before="40" w:after="40"/>
              <w:rPr>
                <w:rFonts w:cs="Segoe UI"/>
                <w:sz w:val="17"/>
                <w:szCs w:val="17"/>
                <w:lang w:eastAsia="en-GB"/>
              </w:rPr>
            </w:pPr>
          </w:p>
        </w:tc>
        <w:tc>
          <w:tcPr>
            <w:tcW w:w="4292" w:type="dxa"/>
            <w:tcBorders>
              <w:top w:val="single" w:sz="4" w:space="0" w:color="auto"/>
              <w:left w:val="single" w:sz="4" w:space="0" w:color="auto"/>
              <w:bottom w:val="single" w:sz="4" w:space="0" w:color="auto"/>
              <w:right w:val="single" w:sz="4" w:space="0" w:color="auto"/>
            </w:tcBorders>
            <w:noWrap/>
          </w:tcPr>
          <w:p w14:paraId="2692D306" w14:textId="77777777" w:rsidR="00CA70B8" w:rsidRPr="00CA70B8" w:rsidRDefault="00CA70B8" w:rsidP="00CA70B8">
            <w:pPr>
              <w:spacing w:before="40" w:after="40"/>
              <w:rPr>
                <w:rFonts w:cs="Segoe UI"/>
                <w:sz w:val="17"/>
                <w:szCs w:val="17"/>
                <w:lang w:eastAsia="en-GB"/>
              </w:rPr>
            </w:pP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69B644D9"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250%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107C3777"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400%</w:t>
            </w:r>
          </w:p>
        </w:tc>
        <w:tc>
          <w:tcPr>
            <w:tcW w:w="1574" w:type="dxa"/>
            <w:tcBorders>
              <w:top w:val="single" w:sz="4" w:space="0" w:color="auto"/>
              <w:left w:val="single" w:sz="4" w:space="0" w:color="auto"/>
              <w:bottom w:val="single" w:sz="4" w:space="0" w:color="auto"/>
              <w:right w:val="single" w:sz="4" w:space="0" w:color="auto"/>
            </w:tcBorders>
            <w:vAlign w:val="center"/>
          </w:tcPr>
          <w:p w14:paraId="086882A9"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1250%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2C694A3D" w14:textId="72147EB3"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5E51CC84" w14:textId="6ECC055D" w:rsidR="00CA70B8" w:rsidRPr="00CA70B8" w:rsidRDefault="00A524C4" w:rsidP="00CA70B8">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2F893F7E" w14:textId="77777777" w:rsidTr="00ED3EC9">
        <w:trPr>
          <w:trHeight w:val="283"/>
        </w:trPr>
        <w:tc>
          <w:tcPr>
            <w:tcW w:w="459" w:type="dxa"/>
            <w:tcBorders>
              <w:top w:val="nil"/>
              <w:left w:val="nil"/>
              <w:bottom w:val="single" w:sz="4" w:space="0" w:color="auto"/>
              <w:right w:val="single" w:sz="4" w:space="0" w:color="auto"/>
            </w:tcBorders>
            <w:hideMark/>
          </w:tcPr>
          <w:p w14:paraId="76F9E14C"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10</w:t>
            </w:r>
          </w:p>
        </w:tc>
        <w:tc>
          <w:tcPr>
            <w:tcW w:w="4292" w:type="dxa"/>
            <w:tcBorders>
              <w:top w:val="single" w:sz="4" w:space="0" w:color="auto"/>
              <w:left w:val="single" w:sz="4" w:space="0" w:color="auto"/>
              <w:bottom w:val="single" w:sz="4" w:space="0" w:color="auto"/>
              <w:right w:val="single" w:sz="4" w:space="0" w:color="auto"/>
            </w:tcBorders>
            <w:noWrap/>
            <w:hideMark/>
          </w:tcPr>
          <w:p w14:paraId="6B4526E2" w14:textId="77777777"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cs="微軟正黑體" w:hint="eastAsia"/>
                <w:bCs/>
                <w:sz w:val="17"/>
                <w:szCs w:val="17"/>
                <w:lang w:eastAsia="zh-TW"/>
              </w:rPr>
              <w:t>對商業實體的重大資本投資</w:t>
            </w:r>
          </w:p>
        </w:tc>
        <w:tc>
          <w:tcPr>
            <w:tcW w:w="1574" w:type="dxa"/>
            <w:tcBorders>
              <w:top w:val="single" w:sz="4" w:space="0" w:color="auto"/>
              <w:left w:val="single" w:sz="4" w:space="0" w:color="auto"/>
              <w:bottom w:val="single" w:sz="4" w:space="0" w:color="auto"/>
              <w:right w:val="single" w:sz="4" w:space="0" w:color="auto"/>
            </w:tcBorders>
            <w:noWrap/>
          </w:tcPr>
          <w:p w14:paraId="56F189D6" w14:textId="77777777" w:rsidR="00CA70B8" w:rsidRPr="00CA70B8" w:rsidRDefault="00CA70B8" w:rsidP="00CA70B8">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noWrap/>
          </w:tcPr>
          <w:p w14:paraId="0B41B993" w14:textId="77777777" w:rsidR="00CA70B8" w:rsidRPr="00CA70B8" w:rsidRDefault="00CA70B8" w:rsidP="00CA70B8">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73790647" w14:textId="77777777" w:rsidR="00CA70B8" w:rsidRPr="00CA70B8" w:rsidRDefault="00CA70B8" w:rsidP="00CA70B8">
            <w:pPr>
              <w:spacing w:before="40" w:after="40"/>
              <w:rPr>
                <w:rFonts w:eastAsia="MS PGothic" w:cs="Segoe UI"/>
                <w:sz w:val="17"/>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04F2D5BF"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72FEAEEA" w14:textId="77777777" w:rsidR="00CA70B8" w:rsidRPr="00CA70B8" w:rsidRDefault="00CA70B8" w:rsidP="00CA70B8">
            <w:pPr>
              <w:spacing w:before="40" w:after="40"/>
              <w:rPr>
                <w:rFonts w:eastAsia="MS PGothic" w:cs="Segoe UI"/>
                <w:sz w:val="17"/>
                <w:szCs w:val="17"/>
                <w:lang w:eastAsia="ja-JP"/>
              </w:rPr>
            </w:pPr>
          </w:p>
        </w:tc>
      </w:tr>
    </w:tbl>
    <w:p w14:paraId="5325B988" w14:textId="77777777" w:rsidR="00CA70B8" w:rsidRPr="00CA70B8" w:rsidRDefault="00CA70B8" w:rsidP="00CA70B8">
      <w:pPr>
        <w:spacing w:before="40" w:after="40"/>
        <w:rPr>
          <w:rFonts w:cs="Segoe UI"/>
          <w:sz w:val="17"/>
          <w:szCs w:val="17"/>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1574"/>
        <w:gridCol w:w="1574"/>
        <w:gridCol w:w="1574"/>
        <w:gridCol w:w="1575"/>
        <w:gridCol w:w="3112"/>
      </w:tblGrid>
      <w:tr w:rsidR="00CA70B8" w:rsidRPr="00CA70B8" w14:paraId="46F0F25A" w14:textId="77777777" w:rsidTr="00ED3EC9">
        <w:trPr>
          <w:trHeight w:val="283"/>
        </w:trPr>
        <w:tc>
          <w:tcPr>
            <w:tcW w:w="459" w:type="dxa"/>
            <w:tcBorders>
              <w:top w:val="single" w:sz="4" w:space="0" w:color="auto"/>
              <w:left w:val="nil"/>
              <w:bottom w:val="nil"/>
              <w:right w:val="single" w:sz="4" w:space="0" w:color="auto"/>
            </w:tcBorders>
          </w:tcPr>
          <w:p w14:paraId="694B8AC5" w14:textId="77777777" w:rsidR="00CA70B8" w:rsidRPr="00CA70B8" w:rsidRDefault="00CA70B8" w:rsidP="00CA70B8">
            <w:pPr>
              <w:spacing w:before="40" w:after="40"/>
              <w:rPr>
                <w:rFonts w:cs="Segoe UI"/>
                <w:sz w:val="17"/>
                <w:szCs w:val="17"/>
                <w:lang w:eastAsia="zh-TW"/>
              </w:rPr>
            </w:pPr>
          </w:p>
        </w:tc>
        <w:tc>
          <w:tcPr>
            <w:tcW w:w="4292" w:type="dxa"/>
            <w:tcBorders>
              <w:top w:val="single" w:sz="4" w:space="0" w:color="auto"/>
              <w:left w:val="single" w:sz="4" w:space="0" w:color="auto"/>
              <w:bottom w:val="single" w:sz="4" w:space="0" w:color="auto"/>
              <w:right w:val="single" w:sz="4" w:space="0" w:color="auto"/>
            </w:tcBorders>
            <w:noWrap/>
          </w:tcPr>
          <w:p w14:paraId="121784C8" w14:textId="77777777" w:rsidR="00CA70B8" w:rsidRPr="00CA70B8" w:rsidRDefault="00CA70B8" w:rsidP="00CA70B8">
            <w:pPr>
              <w:spacing w:before="40" w:after="40"/>
              <w:rPr>
                <w:rFonts w:cs="Segoe UI"/>
                <w:sz w:val="17"/>
                <w:szCs w:val="17"/>
                <w:lang w:eastAsia="zh-TW"/>
              </w:rPr>
            </w:pP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2B4D9EA3"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150%</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5BCB8C9C"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250%</w:t>
            </w:r>
          </w:p>
        </w:tc>
        <w:tc>
          <w:tcPr>
            <w:tcW w:w="1574" w:type="dxa"/>
            <w:tcBorders>
              <w:top w:val="single" w:sz="4" w:space="0" w:color="auto"/>
              <w:left w:val="single" w:sz="4" w:space="0" w:color="auto"/>
              <w:bottom w:val="single" w:sz="4" w:space="0" w:color="auto"/>
              <w:right w:val="single" w:sz="4" w:space="0" w:color="auto"/>
            </w:tcBorders>
            <w:vAlign w:val="center"/>
          </w:tcPr>
          <w:p w14:paraId="2ADE1BC2"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400%</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25DBA836" w14:textId="669096FC"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6D0E513" w14:textId="2D819CE2" w:rsidR="00CA70B8" w:rsidRPr="00CA70B8" w:rsidRDefault="00A524C4" w:rsidP="00CA70B8">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183EA25E" w14:textId="77777777" w:rsidTr="00ED3EC9">
        <w:trPr>
          <w:trHeight w:val="283"/>
        </w:trPr>
        <w:tc>
          <w:tcPr>
            <w:tcW w:w="459" w:type="dxa"/>
            <w:tcBorders>
              <w:top w:val="nil"/>
              <w:left w:val="nil"/>
              <w:bottom w:val="single" w:sz="4" w:space="0" w:color="auto"/>
              <w:right w:val="single" w:sz="4" w:space="0" w:color="auto"/>
            </w:tcBorders>
            <w:hideMark/>
          </w:tcPr>
          <w:p w14:paraId="248E48A1"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11</w:t>
            </w:r>
          </w:p>
        </w:tc>
        <w:tc>
          <w:tcPr>
            <w:tcW w:w="4292" w:type="dxa"/>
            <w:tcBorders>
              <w:top w:val="single" w:sz="4" w:space="0" w:color="auto"/>
              <w:left w:val="single" w:sz="4" w:space="0" w:color="auto"/>
              <w:bottom w:val="single" w:sz="4" w:space="0" w:color="auto"/>
              <w:right w:val="single" w:sz="4" w:space="0" w:color="auto"/>
            </w:tcBorders>
            <w:noWrap/>
            <w:hideMark/>
          </w:tcPr>
          <w:p w14:paraId="01850B7A" w14:textId="77777777"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TW"/>
              </w:rPr>
              <w:t>持有由金融業實體發行的資本票據及</w:t>
            </w:r>
            <w:r w:rsidRPr="00A524C4">
              <w:rPr>
                <w:rFonts w:ascii="細明體" w:eastAsia="細明體" w:hAnsi="細明體" w:cs="微軟正黑體" w:hint="eastAsia"/>
                <w:sz w:val="17"/>
                <w:szCs w:val="17"/>
                <w:lang w:eastAsia="zh-HK"/>
              </w:rPr>
              <w:t>該等</w:t>
            </w:r>
            <w:r w:rsidRPr="00A524C4">
              <w:rPr>
                <w:rFonts w:ascii="細明體" w:eastAsia="細明體" w:hAnsi="細明體" w:cs="微軟正黑體" w:hint="eastAsia"/>
                <w:sz w:val="17"/>
                <w:szCs w:val="17"/>
                <w:lang w:eastAsia="zh-TW"/>
              </w:rPr>
              <w:t>實體的非資本</w:t>
            </w:r>
            <w:r w:rsidRPr="00A524C4">
              <w:rPr>
                <w:rFonts w:eastAsia="細明體" w:cs="Segoe UI"/>
                <w:sz w:val="17"/>
                <w:szCs w:val="17"/>
                <w:lang w:eastAsia="zh-TW"/>
              </w:rPr>
              <w:t>LAC</w:t>
            </w:r>
            <w:r w:rsidRPr="00A524C4">
              <w:rPr>
                <w:rFonts w:ascii="細明體" w:eastAsia="細明體" w:hAnsi="細明體" w:cs="微軟正黑體" w:hint="eastAsia"/>
                <w:sz w:val="17"/>
                <w:szCs w:val="17"/>
                <w:lang w:eastAsia="zh-TW"/>
              </w:rPr>
              <w:t>負債</w:t>
            </w:r>
          </w:p>
        </w:tc>
        <w:tc>
          <w:tcPr>
            <w:tcW w:w="1574" w:type="dxa"/>
            <w:tcBorders>
              <w:top w:val="single" w:sz="4" w:space="0" w:color="auto"/>
              <w:left w:val="single" w:sz="4" w:space="0" w:color="auto"/>
              <w:bottom w:val="single" w:sz="4" w:space="0" w:color="auto"/>
              <w:right w:val="single" w:sz="4" w:space="0" w:color="auto"/>
            </w:tcBorders>
            <w:noWrap/>
          </w:tcPr>
          <w:p w14:paraId="681609A1" w14:textId="77777777" w:rsidR="00CA70B8" w:rsidRPr="00CA70B8" w:rsidRDefault="00CA70B8" w:rsidP="00CA70B8">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noWrap/>
          </w:tcPr>
          <w:p w14:paraId="307C5C2D" w14:textId="77777777" w:rsidR="00CA70B8" w:rsidRPr="00CA70B8" w:rsidRDefault="00CA70B8" w:rsidP="00CA70B8">
            <w:pPr>
              <w:spacing w:before="40" w:after="40"/>
              <w:rPr>
                <w:rFonts w:eastAsia="MS PGothic" w:cs="Segoe UI"/>
                <w:sz w:val="17"/>
                <w:szCs w:val="17"/>
                <w:lang w:eastAsia="ja-JP"/>
              </w:rPr>
            </w:pPr>
          </w:p>
        </w:tc>
        <w:tc>
          <w:tcPr>
            <w:tcW w:w="1574" w:type="dxa"/>
            <w:tcBorders>
              <w:top w:val="single" w:sz="4" w:space="0" w:color="auto"/>
              <w:left w:val="single" w:sz="4" w:space="0" w:color="auto"/>
              <w:bottom w:val="single" w:sz="4" w:space="0" w:color="auto"/>
              <w:right w:val="single" w:sz="4" w:space="0" w:color="auto"/>
            </w:tcBorders>
          </w:tcPr>
          <w:p w14:paraId="2DE904DD" w14:textId="77777777" w:rsidR="00CA70B8" w:rsidRPr="00CA70B8" w:rsidRDefault="00CA70B8" w:rsidP="00CA70B8">
            <w:pPr>
              <w:spacing w:before="40" w:after="40"/>
              <w:rPr>
                <w:rFonts w:eastAsia="MS PGothic" w:cs="Segoe UI"/>
                <w:sz w:val="17"/>
                <w:szCs w:val="17"/>
                <w:lang w:eastAsia="ja-JP"/>
              </w:rPr>
            </w:pPr>
          </w:p>
        </w:tc>
        <w:tc>
          <w:tcPr>
            <w:tcW w:w="1575" w:type="dxa"/>
            <w:tcBorders>
              <w:top w:val="single" w:sz="4" w:space="0" w:color="auto"/>
              <w:left w:val="single" w:sz="4" w:space="0" w:color="auto"/>
              <w:bottom w:val="single" w:sz="4" w:space="0" w:color="auto"/>
              <w:right w:val="single" w:sz="4" w:space="0" w:color="auto"/>
            </w:tcBorders>
            <w:noWrap/>
          </w:tcPr>
          <w:p w14:paraId="5F6C55F2"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5A29FF93" w14:textId="77777777" w:rsidR="00CA70B8" w:rsidRPr="00CA70B8" w:rsidRDefault="00CA70B8" w:rsidP="00CA70B8">
            <w:pPr>
              <w:spacing w:before="40" w:after="40"/>
              <w:rPr>
                <w:rFonts w:eastAsia="MS PGothic" w:cs="Segoe UI"/>
                <w:sz w:val="17"/>
                <w:szCs w:val="17"/>
                <w:lang w:eastAsia="ja-JP"/>
              </w:rPr>
            </w:pPr>
          </w:p>
        </w:tc>
      </w:tr>
    </w:tbl>
    <w:p w14:paraId="35E79C35" w14:textId="77777777" w:rsidR="00CA70B8" w:rsidRPr="00CA70B8" w:rsidRDefault="00CA70B8" w:rsidP="00CA70B8">
      <w:pPr>
        <w:spacing w:before="40" w:after="40"/>
        <w:rPr>
          <w:rFonts w:cs="Segoe UI"/>
          <w:sz w:val="17"/>
          <w:szCs w:val="17"/>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2"/>
        <w:gridCol w:w="3148"/>
        <w:gridCol w:w="3149"/>
        <w:gridCol w:w="3112"/>
      </w:tblGrid>
      <w:tr w:rsidR="00CA70B8" w:rsidRPr="00CA70B8" w14:paraId="0D7DB395" w14:textId="77777777" w:rsidTr="00ED3EC9">
        <w:trPr>
          <w:trHeight w:val="283"/>
        </w:trPr>
        <w:tc>
          <w:tcPr>
            <w:tcW w:w="459" w:type="dxa"/>
            <w:tcBorders>
              <w:top w:val="single" w:sz="4" w:space="0" w:color="auto"/>
              <w:left w:val="nil"/>
              <w:bottom w:val="nil"/>
              <w:right w:val="single" w:sz="4" w:space="0" w:color="auto"/>
            </w:tcBorders>
          </w:tcPr>
          <w:p w14:paraId="11606F9A" w14:textId="77777777" w:rsidR="00CA70B8" w:rsidRPr="00CA70B8" w:rsidRDefault="00CA70B8" w:rsidP="00CA70B8">
            <w:pPr>
              <w:spacing w:before="40" w:after="40"/>
              <w:rPr>
                <w:rFonts w:cs="Segoe UI"/>
                <w:sz w:val="17"/>
                <w:szCs w:val="17"/>
                <w:lang w:eastAsia="zh-TW"/>
              </w:rPr>
            </w:pPr>
          </w:p>
        </w:tc>
        <w:tc>
          <w:tcPr>
            <w:tcW w:w="4292" w:type="dxa"/>
            <w:tcBorders>
              <w:top w:val="single" w:sz="4" w:space="0" w:color="auto"/>
              <w:left w:val="single" w:sz="4" w:space="0" w:color="auto"/>
              <w:bottom w:val="single" w:sz="4" w:space="0" w:color="auto"/>
              <w:right w:val="single" w:sz="4" w:space="0" w:color="auto"/>
            </w:tcBorders>
            <w:noWrap/>
          </w:tcPr>
          <w:p w14:paraId="3BA63253" w14:textId="77777777" w:rsidR="00CA70B8" w:rsidRPr="00CA70B8" w:rsidRDefault="00CA70B8" w:rsidP="00CA70B8">
            <w:pPr>
              <w:spacing w:before="40" w:after="40"/>
              <w:rPr>
                <w:rFonts w:cs="Segoe UI"/>
                <w:sz w:val="17"/>
                <w:szCs w:val="17"/>
                <w:lang w:eastAsia="zh-TW"/>
              </w:rPr>
            </w:pPr>
          </w:p>
        </w:tc>
        <w:tc>
          <w:tcPr>
            <w:tcW w:w="3148" w:type="dxa"/>
            <w:tcBorders>
              <w:top w:val="single" w:sz="4" w:space="0" w:color="auto"/>
              <w:left w:val="single" w:sz="4" w:space="0" w:color="auto"/>
              <w:bottom w:val="single" w:sz="4" w:space="0" w:color="auto"/>
              <w:right w:val="single" w:sz="4" w:space="0" w:color="auto"/>
            </w:tcBorders>
            <w:noWrap/>
            <w:vAlign w:val="center"/>
            <w:hideMark/>
          </w:tcPr>
          <w:p w14:paraId="71E569A6"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150%</w:t>
            </w:r>
          </w:p>
        </w:tc>
        <w:tc>
          <w:tcPr>
            <w:tcW w:w="3149" w:type="dxa"/>
            <w:tcBorders>
              <w:top w:val="single" w:sz="4" w:space="0" w:color="auto"/>
              <w:left w:val="single" w:sz="4" w:space="0" w:color="auto"/>
              <w:bottom w:val="single" w:sz="4" w:space="0" w:color="auto"/>
              <w:right w:val="single" w:sz="4" w:space="0" w:color="auto"/>
            </w:tcBorders>
            <w:noWrap/>
            <w:vAlign w:val="center"/>
            <w:hideMark/>
          </w:tcPr>
          <w:p w14:paraId="0912FACC" w14:textId="7B062B93"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382C1065" w14:textId="45D3CE7B" w:rsidR="00CA70B8" w:rsidRPr="00CA70B8" w:rsidRDefault="00A524C4" w:rsidP="00A524C4">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3BF48E18" w14:textId="77777777" w:rsidTr="00ED3EC9">
        <w:trPr>
          <w:trHeight w:val="283"/>
        </w:trPr>
        <w:tc>
          <w:tcPr>
            <w:tcW w:w="459" w:type="dxa"/>
            <w:tcBorders>
              <w:top w:val="nil"/>
              <w:left w:val="nil"/>
              <w:bottom w:val="single" w:sz="6" w:space="0" w:color="auto"/>
              <w:right w:val="single" w:sz="4" w:space="0" w:color="auto"/>
            </w:tcBorders>
            <w:hideMark/>
          </w:tcPr>
          <w:p w14:paraId="2A5F1A25"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12</w:t>
            </w:r>
          </w:p>
        </w:tc>
        <w:tc>
          <w:tcPr>
            <w:tcW w:w="4292" w:type="dxa"/>
            <w:tcBorders>
              <w:top w:val="single" w:sz="4" w:space="0" w:color="auto"/>
              <w:left w:val="single" w:sz="4" w:space="0" w:color="auto"/>
              <w:bottom w:val="single" w:sz="4" w:space="0" w:color="auto"/>
              <w:right w:val="single" w:sz="4" w:space="0" w:color="auto"/>
            </w:tcBorders>
            <w:noWrap/>
            <w:hideMark/>
          </w:tcPr>
          <w:p w14:paraId="1D7ACE11" w14:textId="77777777"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HK"/>
              </w:rPr>
              <w:t>由</w:t>
            </w:r>
            <w:r w:rsidRPr="00A524C4">
              <w:rPr>
                <w:rFonts w:ascii="細明體" w:eastAsia="細明體" w:hAnsi="細明體" w:cs="微軟正黑體" w:hint="eastAsia"/>
                <w:sz w:val="17"/>
                <w:szCs w:val="17"/>
                <w:lang w:eastAsia="zh-TW"/>
              </w:rPr>
              <w:t>銀行及法團發行的後償債項</w:t>
            </w:r>
          </w:p>
        </w:tc>
        <w:tc>
          <w:tcPr>
            <w:tcW w:w="3148" w:type="dxa"/>
            <w:tcBorders>
              <w:top w:val="single" w:sz="4" w:space="0" w:color="auto"/>
              <w:left w:val="single" w:sz="4" w:space="0" w:color="auto"/>
              <w:bottom w:val="single" w:sz="4" w:space="0" w:color="auto"/>
              <w:right w:val="single" w:sz="4" w:space="0" w:color="auto"/>
            </w:tcBorders>
            <w:noWrap/>
          </w:tcPr>
          <w:p w14:paraId="0B4026BD" w14:textId="77777777" w:rsidR="00CA70B8" w:rsidRPr="00CA70B8" w:rsidRDefault="00CA70B8" w:rsidP="00CA70B8">
            <w:pPr>
              <w:spacing w:before="40" w:after="40"/>
              <w:rPr>
                <w:rFonts w:eastAsia="MS PGothic" w:cs="Segoe UI"/>
                <w:sz w:val="17"/>
                <w:szCs w:val="17"/>
                <w:lang w:eastAsia="ja-JP"/>
              </w:rPr>
            </w:pPr>
          </w:p>
        </w:tc>
        <w:tc>
          <w:tcPr>
            <w:tcW w:w="3149" w:type="dxa"/>
            <w:tcBorders>
              <w:top w:val="single" w:sz="4" w:space="0" w:color="auto"/>
              <w:left w:val="single" w:sz="4" w:space="0" w:color="auto"/>
              <w:bottom w:val="single" w:sz="4" w:space="0" w:color="auto"/>
              <w:right w:val="single" w:sz="4" w:space="0" w:color="auto"/>
            </w:tcBorders>
            <w:noWrap/>
          </w:tcPr>
          <w:p w14:paraId="371ADBDB"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1C712712" w14:textId="77777777" w:rsidR="00CA70B8" w:rsidRPr="00CA70B8" w:rsidRDefault="00CA70B8" w:rsidP="00CA70B8">
            <w:pPr>
              <w:spacing w:before="40" w:after="40"/>
              <w:rPr>
                <w:rFonts w:eastAsia="MS PGothic" w:cs="Segoe UI"/>
                <w:sz w:val="17"/>
                <w:szCs w:val="17"/>
                <w:lang w:eastAsia="ja-JP"/>
              </w:rPr>
            </w:pPr>
          </w:p>
        </w:tc>
      </w:tr>
    </w:tbl>
    <w:p w14:paraId="10B866B9" w14:textId="77777777" w:rsidR="00AD5981" w:rsidRPr="00CA70B8" w:rsidRDefault="00AD5981" w:rsidP="00CA70B8">
      <w:pPr>
        <w:spacing w:before="40" w:after="40"/>
        <w:rPr>
          <w:rFonts w:cs="Segoe UI"/>
          <w:sz w:val="17"/>
          <w:szCs w:val="17"/>
          <w:lang w:eastAsia="zh-TW"/>
        </w:rPr>
      </w:pPr>
    </w:p>
    <w:tbl>
      <w:tblPr>
        <w:tblW w:w="14166"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53"/>
        <w:gridCol w:w="2112"/>
        <w:gridCol w:w="2112"/>
        <w:gridCol w:w="2112"/>
        <w:gridCol w:w="3118"/>
      </w:tblGrid>
      <w:tr w:rsidR="00CA70B8" w:rsidRPr="00CA70B8" w14:paraId="34132D58" w14:textId="77777777" w:rsidTr="00ED3EC9">
        <w:trPr>
          <w:trHeight w:val="283"/>
        </w:trPr>
        <w:tc>
          <w:tcPr>
            <w:tcW w:w="459" w:type="dxa"/>
            <w:tcBorders>
              <w:top w:val="single" w:sz="4" w:space="0" w:color="auto"/>
              <w:left w:val="nil"/>
              <w:bottom w:val="nil"/>
              <w:right w:val="single" w:sz="4" w:space="0" w:color="auto"/>
            </w:tcBorders>
          </w:tcPr>
          <w:p w14:paraId="712C3B47" w14:textId="77777777" w:rsidR="00CA70B8" w:rsidRPr="00CA70B8" w:rsidRDefault="00CA70B8" w:rsidP="00CA70B8">
            <w:pPr>
              <w:spacing w:before="40" w:after="40"/>
              <w:rPr>
                <w:rFonts w:cs="Segoe UI"/>
                <w:sz w:val="17"/>
                <w:szCs w:val="17"/>
                <w:lang w:eastAsia="zh-TW"/>
              </w:rPr>
            </w:pPr>
          </w:p>
        </w:tc>
        <w:tc>
          <w:tcPr>
            <w:tcW w:w="4253" w:type="dxa"/>
            <w:tcBorders>
              <w:top w:val="single" w:sz="4" w:space="0" w:color="auto"/>
              <w:left w:val="single" w:sz="4" w:space="0" w:color="auto"/>
              <w:bottom w:val="single" w:sz="4" w:space="0" w:color="auto"/>
              <w:right w:val="single" w:sz="4" w:space="0" w:color="auto"/>
            </w:tcBorders>
            <w:noWrap/>
          </w:tcPr>
          <w:p w14:paraId="48EAF8C5" w14:textId="77777777" w:rsidR="00CA70B8" w:rsidRPr="00CA70B8" w:rsidRDefault="00CA70B8" w:rsidP="00CA70B8">
            <w:pPr>
              <w:spacing w:before="40" w:after="40"/>
              <w:rPr>
                <w:rFonts w:cs="Segoe UI"/>
                <w:sz w:val="17"/>
                <w:szCs w:val="17"/>
                <w:lang w:eastAsia="zh-TW"/>
              </w:rPr>
            </w:pP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79567FA5"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0%</w:t>
            </w: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066BD43B"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100%</w:t>
            </w:r>
          </w:p>
        </w:tc>
        <w:tc>
          <w:tcPr>
            <w:tcW w:w="2112" w:type="dxa"/>
            <w:tcBorders>
              <w:top w:val="single" w:sz="4" w:space="0" w:color="auto"/>
              <w:left w:val="single" w:sz="4" w:space="0" w:color="auto"/>
              <w:bottom w:val="single" w:sz="4" w:space="0" w:color="auto"/>
              <w:right w:val="single" w:sz="4" w:space="0" w:color="auto"/>
            </w:tcBorders>
            <w:noWrap/>
            <w:vAlign w:val="center"/>
            <w:hideMark/>
          </w:tcPr>
          <w:p w14:paraId="71B99580" w14:textId="67D939C7"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77A946EF" w14:textId="02BB13EF" w:rsidR="00CA70B8" w:rsidRPr="00CA70B8" w:rsidRDefault="00A524C4" w:rsidP="00A524C4">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7E65287B" w14:textId="77777777" w:rsidTr="00ED3EC9">
        <w:trPr>
          <w:trHeight w:val="283"/>
        </w:trPr>
        <w:tc>
          <w:tcPr>
            <w:tcW w:w="459" w:type="dxa"/>
            <w:tcBorders>
              <w:top w:val="nil"/>
              <w:left w:val="nil"/>
              <w:bottom w:val="single" w:sz="4" w:space="0" w:color="auto"/>
              <w:right w:val="single" w:sz="4" w:space="0" w:color="auto"/>
            </w:tcBorders>
            <w:hideMark/>
          </w:tcPr>
          <w:p w14:paraId="5EBF5FCF"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13</w:t>
            </w:r>
          </w:p>
        </w:tc>
        <w:tc>
          <w:tcPr>
            <w:tcW w:w="4253" w:type="dxa"/>
            <w:tcBorders>
              <w:top w:val="single" w:sz="4" w:space="0" w:color="auto"/>
              <w:left w:val="single" w:sz="4" w:space="0" w:color="auto"/>
              <w:bottom w:val="single" w:sz="4" w:space="0" w:color="auto"/>
              <w:right w:val="single" w:sz="4" w:space="0" w:color="auto"/>
            </w:tcBorders>
            <w:noWrap/>
            <w:hideMark/>
          </w:tcPr>
          <w:p w14:paraId="6ECB760B" w14:textId="77777777" w:rsidR="00CA70B8" w:rsidRPr="00A524C4" w:rsidRDefault="00CA70B8" w:rsidP="00CA70B8">
            <w:pPr>
              <w:spacing w:before="40" w:after="40"/>
              <w:rPr>
                <w:rFonts w:ascii="細明體" w:eastAsia="細明體" w:hAnsi="細明體" w:cs="Segoe UI"/>
                <w:sz w:val="17"/>
                <w:szCs w:val="17"/>
                <w:lang w:eastAsia="en-GB"/>
              </w:rPr>
            </w:pPr>
            <w:r w:rsidRPr="00A524C4">
              <w:rPr>
                <w:rFonts w:ascii="細明體" w:eastAsia="細明體" w:hAnsi="細明體" w:cs="Segoe UI" w:hint="eastAsia"/>
                <w:sz w:val="17"/>
                <w:szCs w:val="17"/>
                <w:lang w:eastAsia="zh-HK"/>
              </w:rPr>
              <w:t>現金及黃金</w:t>
            </w:r>
          </w:p>
        </w:tc>
        <w:tc>
          <w:tcPr>
            <w:tcW w:w="2112" w:type="dxa"/>
            <w:tcBorders>
              <w:top w:val="single" w:sz="4" w:space="0" w:color="auto"/>
              <w:left w:val="single" w:sz="4" w:space="0" w:color="auto"/>
              <w:bottom w:val="single" w:sz="4" w:space="0" w:color="auto"/>
              <w:right w:val="single" w:sz="4" w:space="0" w:color="auto"/>
            </w:tcBorders>
            <w:noWrap/>
          </w:tcPr>
          <w:p w14:paraId="0E7C68C7" w14:textId="77777777" w:rsidR="00CA70B8" w:rsidRPr="00CA70B8" w:rsidRDefault="00CA70B8" w:rsidP="00CA70B8">
            <w:pPr>
              <w:spacing w:before="40" w:after="40"/>
              <w:rPr>
                <w:rFonts w:eastAsia="MS PGothic" w:cs="Segoe UI"/>
                <w:sz w:val="17"/>
                <w:szCs w:val="17"/>
                <w:lang w:eastAsia="ja-JP"/>
              </w:rPr>
            </w:pPr>
          </w:p>
        </w:tc>
        <w:tc>
          <w:tcPr>
            <w:tcW w:w="2112" w:type="dxa"/>
            <w:tcBorders>
              <w:top w:val="single" w:sz="4" w:space="0" w:color="auto"/>
              <w:left w:val="single" w:sz="4" w:space="0" w:color="auto"/>
              <w:bottom w:val="single" w:sz="4" w:space="0" w:color="auto"/>
              <w:right w:val="single" w:sz="4" w:space="0" w:color="auto"/>
            </w:tcBorders>
            <w:noWrap/>
          </w:tcPr>
          <w:p w14:paraId="55CC599B" w14:textId="77777777" w:rsidR="00CA70B8" w:rsidRPr="00CA70B8" w:rsidRDefault="00CA70B8" w:rsidP="00CA70B8">
            <w:pPr>
              <w:spacing w:before="40" w:after="40"/>
              <w:rPr>
                <w:rFonts w:eastAsia="MS PGothic" w:cs="Segoe UI"/>
                <w:sz w:val="17"/>
                <w:szCs w:val="17"/>
                <w:lang w:eastAsia="ja-JP"/>
              </w:rPr>
            </w:pPr>
          </w:p>
        </w:tc>
        <w:tc>
          <w:tcPr>
            <w:tcW w:w="2112" w:type="dxa"/>
            <w:tcBorders>
              <w:top w:val="single" w:sz="4" w:space="0" w:color="auto"/>
              <w:left w:val="single" w:sz="4" w:space="0" w:color="auto"/>
              <w:bottom w:val="single" w:sz="4" w:space="0" w:color="auto"/>
              <w:right w:val="single" w:sz="4" w:space="0" w:color="auto"/>
            </w:tcBorders>
            <w:shd w:val="clear" w:color="auto" w:fill="auto"/>
            <w:noWrap/>
          </w:tcPr>
          <w:p w14:paraId="1B967BCF"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77186845" w14:textId="77777777" w:rsidR="00CA70B8" w:rsidRPr="00CA70B8" w:rsidRDefault="00CA70B8" w:rsidP="00CA70B8">
            <w:pPr>
              <w:spacing w:before="40" w:after="40"/>
              <w:rPr>
                <w:rFonts w:eastAsia="MS PGothic" w:cs="Segoe UI"/>
                <w:sz w:val="17"/>
                <w:szCs w:val="17"/>
                <w:lang w:eastAsia="ja-JP"/>
              </w:rPr>
            </w:pPr>
          </w:p>
        </w:tc>
      </w:tr>
    </w:tbl>
    <w:p w14:paraId="09CEFBFC" w14:textId="77777777" w:rsidR="00CA70B8" w:rsidRPr="00CA70B8" w:rsidRDefault="00CA70B8" w:rsidP="00CA70B8">
      <w:pPr>
        <w:spacing w:before="40" w:after="40"/>
        <w:rPr>
          <w:rFonts w:cs="Segoe UI"/>
          <w:sz w:val="17"/>
          <w:szCs w:val="17"/>
          <w:u w:val="single"/>
        </w:rPr>
      </w:pPr>
    </w:p>
    <w:tbl>
      <w:tblPr>
        <w:tblW w:w="14159"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37"/>
        <w:gridCol w:w="2115"/>
        <w:gridCol w:w="2115"/>
        <w:gridCol w:w="2115"/>
        <w:gridCol w:w="3118"/>
      </w:tblGrid>
      <w:tr w:rsidR="00CA70B8" w:rsidRPr="00CA70B8" w14:paraId="3DD929F4" w14:textId="77777777" w:rsidTr="00C60999">
        <w:trPr>
          <w:trHeight w:val="283"/>
        </w:trPr>
        <w:tc>
          <w:tcPr>
            <w:tcW w:w="459" w:type="dxa"/>
            <w:tcBorders>
              <w:top w:val="single" w:sz="4" w:space="0" w:color="auto"/>
              <w:left w:val="nil"/>
              <w:bottom w:val="nil"/>
              <w:right w:val="single" w:sz="4" w:space="0" w:color="auto"/>
            </w:tcBorders>
          </w:tcPr>
          <w:p w14:paraId="64A5AB6A" w14:textId="77777777" w:rsidR="00CA70B8" w:rsidRPr="00CA70B8" w:rsidRDefault="00CA70B8" w:rsidP="00CA70B8">
            <w:pPr>
              <w:spacing w:before="40" w:after="40"/>
              <w:rPr>
                <w:rFonts w:cs="Segoe UI"/>
                <w:sz w:val="17"/>
                <w:szCs w:val="17"/>
                <w:lang w:eastAsia="en-GB"/>
              </w:rPr>
            </w:pPr>
          </w:p>
        </w:tc>
        <w:tc>
          <w:tcPr>
            <w:tcW w:w="4237" w:type="dxa"/>
            <w:tcBorders>
              <w:top w:val="single" w:sz="4" w:space="0" w:color="auto"/>
              <w:left w:val="single" w:sz="4" w:space="0" w:color="auto"/>
              <w:bottom w:val="single" w:sz="4" w:space="0" w:color="auto"/>
              <w:right w:val="single" w:sz="4" w:space="0" w:color="auto"/>
            </w:tcBorders>
            <w:noWrap/>
          </w:tcPr>
          <w:p w14:paraId="42ADFC8A" w14:textId="77777777" w:rsidR="00CA70B8" w:rsidRPr="00CA70B8" w:rsidRDefault="00CA70B8" w:rsidP="00CA70B8">
            <w:pPr>
              <w:spacing w:before="40" w:after="40"/>
              <w:rPr>
                <w:rFonts w:cs="Segoe UI"/>
                <w:sz w:val="17"/>
                <w:szCs w:val="17"/>
                <w:lang w:eastAsia="en-GB"/>
              </w:rPr>
            </w:pPr>
          </w:p>
        </w:tc>
        <w:tc>
          <w:tcPr>
            <w:tcW w:w="2115" w:type="dxa"/>
            <w:tcBorders>
              <w:top w:val="single" w:sz="4" w:space="0" w:color="auto"/>
              <w:left w:val="single" w:sz="4" w:space="0" w:color="auto"/>
              <w:bottom w:val="single" w:sz="4" w:space="0" w:color="auto"/>
              <w:right w:val="single" w:sz="4" w:space="0" w:color="auto"/>
            </w:tcBorders>
            <w:noWrap/>
            <w:vAlign w:val="center"/>
            <w:hideMark/>
          </w:tcPr>
          <w:p w14:paraId="27BE1DB7"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0%</w:t>
            </w:r>
          </w:p>
        </w:tc>
        <w:tc>
          <w:tcPr>
            <w:tcW w:w="2115" w:type="dxa"/>
            <w:tcBorders>
              <w:top w:val="single" w:sz="4" w:space="0" w:color="auto"/>
              <w:left w:val="single" w:sz="4" w:space="0" w:color="auto"/>
              <w:bottom w:val="single" w:sz="4" w:space="0" w:color="auto"/>
              <w:right w:val="single" w:sz="4" w:space="0" w:color="auto"/>
            </w:tcBorders>
            <w:noWrap/>
            <w:vAlign w:val="center"/>
            <w:hideMark/>
          </w:tcPr>
          <w:p w14:paraId="4386B851"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20%</w:t>
            </w:r>
          </w:p>
        </w:tc>
        <w:tc>
          <w:tcPr>
            <w:tcW w:w="2115" w:type="dxa"/>
            <w:tcBorders>
              <w:top w:val="single" w:sz="4" w:space="0" w:color="auto"/>
              <w:left w:val="single" w:sz="4" w:space="0" w:color="auto"/>
              <w:bottom w:val="single" w:sz="4" w:space="0" w:color="auto"/>
              <w:right w:val="single" w:sz="4" w:space="0" w:color="auto"/>
            </w:tcBorders>
            <w:noWrap/>
            <w:vAlign w:val="center"/>
            <w:hideMark/>
          </w:tcPr>
          <w:p w14:paraId="2259D62B" w14:textId="40EF546C" w:rsidR="00CA70B8" w:rsidRPr="00CA70B8" w:rsidRDefault="00A524C4" w:rsidP="00CA70B8">
            <w:pPr>
              <w:spacing w:before="40" w:after="40"/>
              <w:jc w:val="center"/>
              <w:rPr>
                <w:rFonts w:eastAsia="MS PGothic" w:cs="Segoe UI"/>
                <w:sz w:val="17"/>
                <w:szCs w:val="17"/>
                <w:lang w:eastAsia="ja-JP"/>
              </w:rPr>
            </w:pPr>
            <w:r w:rsidRPr="00A524C4">
              <w:rPr>
                <w:rFonts w:ascii="細明體" w:eastAsia="細明體" w:hAnsi="細明體" w:cs="Segoe UI"/>
                <w:sz w:val="17"/>
                <w:szCs w:val="17"/>
                <w:lang w:eastAsia="ja-JP"/>
              </w:rPr>
              <w:t>其他</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6B79E1D2" w14:textId="2C102DD1" w:rsidR="00CA70B8" w:rsidRPr="00CA70B8" w:rsidRDefault="00A524C4" w:rsidP="00CA70B8">
            <w:pPr>
              <w:spacing w:before="40" w:after="40"/>
              <w:rPr>
                <w:rFonts w:eastAsia="MS PGothic" w:cs="Segoe UI"/>
                <w:sz w:val="17"/>
                <w:szCs w:val="17"/>
                <w:lang w:eastAsia="ja-JP"/>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34EA2CBD" w14:textId="77777777" w:rsidTr="00C60999">
        <w:trPr>
          <w:trHeight w:val="283"/>
        </w:trPr>
        <w:tc>
          <w:tcPr>
            <w:tcW w:w="459" w:type="dxa"/>
            <w:tcBorders>
              <w:top w:val="nil"/>
              <w:left w:val="nil"/>
              <w:bottom w:val="single" w:sz="4" w:space="0" w:color="auto"/>
              <w:right w:val="single" w:sz="4" w:space="0" w:color="auto"/>
            </w:tcBorders>
            <w:hideMark/>
          </w:tcPr>
          <w:p w14:paraId="4F2B4870"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14</w:t>
            </w:r>
          </w:p>
        </w:tc>
        <w:tc>
          <w:tcPr>
            <w:tcW w:w="4237" w:type="dxa"/>
            <w:tcBorders>
              <w:top w:val="single" w:sz="4" w:space="0" w:color="auto"/>
              <w:left w:val="single" w:sz="4" w:space="0" w:color="auto"/>
              <w:bottom w:val="single" w:sz="4" w:space="0" w:color="auto"/>
              <w:right w:val="single" w:sz="4" w:space="0" w:color="auto"/>
            </w:tcBorders>
            <w:noWrap/>
            <w:hideMark/>
          </w:tcPr>
          <w:p w14:paraId="4A86BF83" w14:textId="77777777" w:rsidR="00CA70B8" w:rsidRPr="00A524C4" w:rsidRDefault="00CA70B8" w:rsidP="00CA70B8">
            <w:pPr>
              <w:spacing w:before="40" w:after="40"/>
              <w:rPr>
                <w:rFonts w:ascii="細明體" w:eastAsia="細明體" w:hAnsi="細明體" w:cs="Segoe UI"/>
                <w:sz w:val="17"/>
                <w:szCs w:val="17"/>
                <w:lang w:eastAsia="zh-TW"/>
              </w:rPr>
            </w:pPr>
            <w:r w:rsidRPr="00A524C4">
              <w:rPr>
                <w:rFonts w:ascii="細明體" w:eastAsia="細明體" w:hAnsi="細明體" w:cs="微軟正黑體" w:hint="eastAsia"/>
                <w:sz w:val="17"/>
                <w:szCs w:val="17"/>
                <w:lang w:eastAsia="zh-HK"/>
              </w:rPr>
              <w:t>處於</w:t>
            </w:r>
            <w:r w:rsidRPr="00A524C4">
              <w:rPr>
                <w:rFonts w:ascii="細明體" w:eastAsia="細明體" w:hAnsi="細明體" w:cs="微軟正黑體" w:hint="eastAsia"/>
                <w:sz w:val="17"/>
                <w:szCs w:val="17"/>
                <w:lang w:eastAsia="zh-TW"/>
              </w:rPr>
              <w:t>結算或交收過程中的項目</w:t>
            </w:r>
          </w:p>
        </w:tc>
        <w:tc>
          <w:tcPr>
            <w:tcW w:w="2115" w:type="dxa"/>
            <w:tcBorders>
              <w:top w:val="single" w:sz="4" w:space="0" w:color="auto"/>
              <w:left w:val="single" w:sz="4" w:space="0" w:color="auto"/>
              <w:bottom w:val="single" w:sz="4" w:space="0" w:color="auto"/>
              <w:right w:val="single" w:sz="4" w:space="0" w:color="auto"/>
            </w:tcBorders>
            <w:noWrap/>
          </w:tcPr>
          <w:p w14:paraId="2E6DE1BA" w14:textId="77777777" w:rsidR="00CA70B8" w:rsidRPr="00CA70B8" w:rsidRDefault="00CA70B8" w:rsidP="00CA70B8">
            <w:pPr>
              <w:spacing w:before="40" w:after="40"/>
              <w:rPr>
                <w:rFonts w:eastAsia="MS PGothic" w:cs="Segoe UI"/>
                <w:sz w:val="17"/>
                <w:szCs w:val="17"/>
                <w:lang w:eastAsia="ja-JP"/>
              </w:rPr>
            </w:pPr>
          </w:p>
        </w:tc>
        <w:tc>
          <w:tcPr>
            <w:tcW w:w="2115" w:type="dxa"/>
            <w:tcBorders>
              <w:top w:val="single" w:sz="4" w:space="0" w:color="auto"/>
              <w:left w:val="single" w:sz="4" w:space="0" w:color="auto"/>
              <w:bottom w:val="single" w:sz="4" w:space="0" w:color="auto"/>
              <w:right w:val="single" w:sz="4" w:space="0" w:color="auto"/>
            </w:tcBorders>
            <w:noWrap/>
          </w:tcPr>
          <w:p w14:paraId="48796DF1" w14:textId="77777777" w:rsidR="00CA70B8" w:rsidRPr="00CA70B8" w:rsidRDefault="00CA70B8" w:rsidP="00CA70B8">
            <w:pPr>
              <w:spacing w:before="40" w:after="40"/>
              <w:rPr>
                <w:rFonts w:eastAsia="MS PGothic" w:cs="Segoe UI"/>
                <w:sz w:val="17"/>
                <w:szCs w:val="17"/>
                <w:lang w:eastAsia="ja-JP"/>
              </w:rPr>
            </w:pPr>
          </w:p>
        </w:tc>
        <w:tc>
          <w:tcPr>
            <w:tcW w:w="2115" w:type="dxa"/>
            <w:tcBorders>
              <w:top w:val="single" w:sz="4" w:space="0" w:color="auto"/>
              <w:left w:val="single" w:sz="4" w:space="0" w:color="auto"/>
              <w:bottom w:val="single" w:sz="4" w:space="0" w:color="auto"/>
              <w:right w:val="single" w:sz="4" w:space="0" w:color="auto"/>
            </w:tcBorders>
            <w:shd w:val="clear" w:color="auto" w:fill="auto"/>
            <w:noWrap/>
          </w:tcPr>
          <w:p w14:paraId="757B9A6D" w14:textId="77777777" w:rsidR="00CA70B8" w:rsidRPr="00CA70B8" w:rsidRDefault="00CA70B8" w:rsidP="00CA70B8">
            <w:pPr>
              <w:spacing w:before="40" w:after="40"/>
              <w:rPr>
                <w:rFonts w:eastAsia="MS PGothic" w:cs="Segoe UI"/>
                <w:sz w:val="17"/>
                <w:szCs w:val="17"/>
                <w:lang w:eastAsia="ja-JP"/>
              </w:rPr>
            </w:pPr>
          </w:p>
        </w:tc>
        <w:tc>
          <w:tcPr>
            <w:tcW w:w="3118" w:type="dxa"/>
            <w:tcBorders>
              <w:top w:val="single" w:sz="4" w:space="0" w:color="auto"/>
              <w:left w:val="single" w:sz="4" w:space="0" w:color="auto"/>
              <w:bottom w:val="single" w:sz="4" w:space="0" w:color="auto"/>
              <w:right w:val="single" w:sz="4" w:space="0" w:color="auto"/>
            </w:tcBorders>
            <w:noWrap/>
          </w:tcPr>
          <w:p w14:paraId="21E04CAC" w14:textId="77777777" w:rsidR="00CA70B8" w:rsidRPr="00CA70B8" w:rsidRDefault="00CA70B8" w:rsidP="00CA70B8">
            <w:pPr>
              <w:spacing w:before="40" w:after="40"/>
              <w:rPr>
                <w:rFonts w:eastAsia="MS PGothic" w:cs="Segoe UI"/>
                <w:sz w:val="17"/>
                <w:szCs w:val="17"/>
                <w:lang w:eastAsia="ja-JP"/>
              </w:rPr>
            </w:pPr>
          </w:p>
        </w:tc>
      </w:tr>
    </w:tbl>
    <w:p w14:paraId="16C328BA" w14:textId="77777777" w:rsidR="00CA70B8" w:rsidRPr="00CA70B8" w:rsidRDefault="00CA70B8" w:rsidP="00CA70B8">
      <w:pPr>
        <w:spacing w:before="40" w:after="40"/>
        <w:rPr>
          <w:rFonts w:cs="Segoe UI"/>
          <w:sz w:val="17"/>
          <w:szCs w:val="17"/>
          <w:lang w:eastAsia="zh-TW"/>
        </w:rPr>
      </w:pPr>
    </w:p>
    <w:tbl>
      <w:tblPr>
        <w:tblW w:w="14160"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291"/>
        <w:gridCol w:w="2099"/>
        <w:gridCol w:w="2099"/>
        <w:gridCol w:w="2100"/>
        <w:gridCol w:w="3112"/>
      </w:tblGrid>
      <w:tr w:rsidR="00CA70B8" w:rsidRPr="00CA70B8" w14:paraId="12A106AE" w14:textId="77777777" w:rsidTr="00ED3EC9">
        <w:trPr>
          <w:trHeight w:val="283"/>
        </w:trPr>
        <w:tc>
          <w:tcPr>
            <w:tcW w:w="459" w:type="dxa"/>
            <w:tcBorders>
              <w:top w:val="single" w:sz="4" w:space="0" w:color="auto"/>
              <w:left w:val="nil"/>
              <w:bottom w:val="nil"/>
              <w:right w:val="single" w:sz="4" w:space="0" w:color="auto"/>
            </w:tcBorders>
          </w:tcPr>
          <w:p w14:paraId="57FE27C8" w14:textId="77777777" w:rsidR="00CA70B8" w:rsidRPr="00CA70B8" w:rsidRDefault="00CA70B8" w:rsidP="00CA70B8">
            <w:pPr>
              <w:spacing w:before="40" w:after="40"/>
              <w:rPr>
                <w:rFonts w:cs="Segoe UI"/>
                <w:sz w:val="17"/>
                <w:szCs w:val="17"/>
                <w:lang w:eastAsia="zh-TW"/>
              </w:rPr>
            </w:pPr>
          </w:p>
        </w:tc>
        <w:tc>
          <w:tcPr>
            <w:tcW w:w="4291" w:type="dxa"/>
            <w:tcBorders>
              <w:top w:val="single" w:sz="4" w:space="0" w:color="auto"/>
              <w:left w:val="single" w:sz="4" w:space="0" w:color="auto"/>
              <w:bottom w:val="single" w:sz="4" w:space="0" w:color="auto"/>
              <w:right w:val="single" w:sz="4" w:space="0" w:color="auto"/>
            </w:tcBorders>
            <w:noWrap/>
          </w:tcPr>
          <w:p w14:paraId="4C49170C" w14:textId="77777777" w:rsidR="00CA70B8" w:rsidRPr="00CA70B8" w:rsidRDefault="00CA70B8" w:rsidP="00CA70B8">
            <w:pPr>
              <w:spacing w:before="40" w:after="40"/>
              <w:rPr>
                <w:rFonts w:cs="Segoe UI"/>
                <w:sz w:val="17"/>
                <w:szCs w:val="17"/>
                <w:lang w:eastAsia="zh-TW"/>
              </w:rPr>
            </w:pPr>
          </w:p>
        </w:tc>
        <w:tc>
          <w:tcPr>
            <w:tcW w:w="2099" w:type="dxa"/>
            <w:tcBorders>
              <w:top w:val="single" w:sz="4" w:space="0" w:color="auto"/>
              <w:left w:val="single" w:sz="4" w:space="0" w:color="auto"/>
              <w:bottom w:val="single" w:sz="4" w:space="0" w:color="auto"/>
              <w:right w:val="single" w:sz="4" w:space="0" w:color="auto"/>
            </w:tcBorders>
            <w:noWrap/>
            <w:vAlign w:val="center"/>
            <w:hideMark/>
          </w:tcPr>
          <w:p w14:paraId="2B05F6B6"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ED6654F" w14:textId="77777777" w:rsidR="00CA70B8" w:rsidRPr="00CA70B8" w:rsidRDefault="00CA70B8" w:rsidP="00CA70B8">
            <w:pPr>
              <w:spacing w:before="40" w:after="40"/>
              <w:jc w:val="center"/>
              <w:rPr>
                <w:rFonts w:eastAsia="MS PGothic" w:cs="Segoe UI"/>
                <w:sz w:val="17"/>
                <w:szCs w:val="17"/>
                <w:lang w:eastAsia="ja-JP"/>
              </w:rPr>
            </w:pPr>
            <w:r w:rsidRPr="00CA70B8">
              <w:rPr>
                <w:rFonts w:eastAsia="MS PGothic" w:cs="Segoe UI"/>
                <w:sz w:val="17"/>
                <w:szCs w:val="17"/>
                <w:lang w:eastAsia="ja-JP"/>
              </w:rPr>
              <w:t>1250%</w:t>
            </w:r>
          </w:p>
        </w:tc>
        <w:tc>
          <w:tcPr>
            <w:tcW w:w="2100" w:type="dxa"/>
            <w:tcBorders>
              <w:top w:val="single" w:sz="4" w:space="0" w:color="auto"/>
              <w:left w:val="single" w:sz="4" w:space="0" w:color="auto"/>
              <w:bottom w:val="single" w:sz="4" w:space="0" w:color="auto"/>
              <w:right w:val="single" w:sz="4" w:space="0" w:color="auto"/>
            </w:tcBorders>
            <w:vAlign w:val="center"/>
            <w:hideMark/>
          </w:tcPr>
          <w:p w14:paraId="21F93C3A" w14:textId="77777777" w:rsidR="00CA70B8" w:rsidRPr="00A524C4" w:rsidRDefault="00CA70B8" w:rsidP="00CA70B8">
            <w:pPr>
              <w:spacing w:before="40" w:after="40"/>
              <w:jc w:val="center"/>
              <w:rPr>
                <w:rFonts w:ascii="細明體" w:eastAsia="細明體" w:hAnsi="細明體" w:cs="Segoe UI"/>
                <w:sz w:val="17"/>
                <w:szCs w:val="17"/>
                <w:lang w:eastAsia="ja-JP"/>
              </w:rPr>
            </w:pPr>
            <w:r w:rsidRPr="00A524C4">
              <w:rPr>
                <w:rFonts w:ascii="細明體" w:eastAsia="細明體" w:hAnsi="細明體" w:cs="Segoe UI"/>
                <w:sz w:val="17"/>
                <w:szCs w:val="17"/>
                <w:lang w:eastAsia="ja-JP"/>
              </w:rPr>
              <w:t>其他</w:t>
            </w:r>
          </w:p>
        </w:tc>
        <w:tc>
          <w:tcPr>
            <w:tcW w:w="3112" w:type="dxa"/>
            <w:tcBorders>
              <w:top w:val="single" w:sz="4" w:space="0" w:color="auto"/>
              <w:left w:val="single" w:sz="4" w:space="0" w:color="auto"/>
              <w:bottom w:val="single" w:sz="4" w:space="0" w:color="auto"/>
              <w:right w:val="single" w:sz="4" w:space="0" w:color="auto"/>
            </w:tcBorders>
            <w:noWrap/>
            <w:vAlign w:val="center"/>
            <w:hideMark/>
          </w:tcPr>
          <w:p w14:paraId="71883D35" w14:textId="5DAB8F9C" w:rsidR="00CA70B8" w:rsidRPr="00C60999" w:rsidRDefault="00A524C4" w:rsidP="00CA70B8">
            <w:pPr>
              <w:spacing w:before="40" w:after="40"/>
              <w:rPr>
                <w:rFonts w:ascii="微軟正黑體" w:eastAsia="微軟正黑體" w:hAnsi="微軟正黑體" w:cs="微軟正黑體"/>
                <w:sz w:val="17"/>
                <w:szCs w:val="17"/>
                <w:lang w:eastAsia="zh-TW"/>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CA70B8" w:rsidRPr="00CA70B8" w14:paraId="22BBE09C" w14:textId="77777777" w:rsidTr="00ED3EC9">
        <w:trPr>
          <w:trHeight w:val="283"/>
        </w:trPr>
        <w:tc>
          <w:tcPr>
            <w:tcW w:w="459" w:type="dxa"/>
            <w:tcBorders>
              <w:top w:val="nil"/>
              <w:left w:val="nil"/>
              <w:bottom w:val="single" w:sz="6" w:space="0" w:color="auto"/>
              <w:right w:val="single" w:sz="4" w:space="0" w:color="auto"/>
            </w:tcBorders>
            <w:hideMark/>
          </w:tcPr>
          <w:p w14:paraId="4689EE65" w14:textId="77777777" w:rsidR="00CA70B8" w:rsidRPr="00CA70B8" w:rsidRDefault="00CA70B8" w:rsidP="00CA70B8">
            <w:pPr>
              <w:spacing w:before="40" w:after="40"/>
              <w:rPr>
                <w:rFonts w:cs="Segoe UI"/>
                <w:sz w:val="17"/>
                <w:szCs w:val="17"/>
                <w:lang w:eastAsia="en-GB"/>
              </w:rPr>
            </w:pPr>
            <w:r w:rsidRPr="00CA70B8">
              <w:rPr>
                <w:rFonts w:cs="Segoe UI"/>
                <w:sz w:val="17"/>
                <w:szCs w:val="17"/>
                <w:lang w:eastAsia="en-GB"/>
              </w:rPr>
              <w:t>15</w:t>
            </w:r>
          </w:p>
        </w:tc>
        <w:tc>
          <w:tcPr>
            <w:tcW w:w="4291" w:type="dxa"/>
            <w:tcBorders>
              <w:top w:val="single" w:sz="4" w:space="0" w:color="auto"/>
              <w:left w:val="single" w:sz="4" w:space="0" w:color="auto"/>
              <w:bottom w:val="single" w:sz="4" w:space="0" w:color="auto"/>
              <w:right w:val="single" w:sz="4" w:space="0" w:color="auto"/>
            </w:tcBorders>
            <w:noWrap/>
            <w:hideMark/>
          </w:tcPr>
          <w:p w14:paraId="348B6079" w14:textId="77777777" w:rsidR="00CA70B8" w:rsidRPr="00CA70B8" w:rsidRDefault="00CA70B8" w:rsidP="00CA70B8">
            <w:pPr>
              <w:spacing w:before="40" w:after="40"/>
              <w:rPr>
                <w:rFonts w:cs="Segoe UI"/>
                <w:sz w:val="17"/>
                <w:szCs w:val="17"/>
                <w:lang w:eastAsia="en-GB"/>
              </w:rPr>
            </w:pPr>
            <w:r w:rsidRPr="00CA70B8">
              <w:rPr>
                <w:rFonts w:ascii="新細明體" w:eastAsia="新細明體" w:hAnsi="新細明體" w:cs="Segoe UI" w:hint="eastAsia"/>
                <w:sz w:val="17"/>
                <w:szCs w:val="17"/>
                <w:lang w:eastAsia="zh-HK"/>
              </w:rPr>
              <w:t>其他風險承擔</w:t>
            </w:r>
          </w:p>
        </w:tc>
        <w:tc>
          <w:tcPr>
            <w:tcW w:w="2099" w:type="dxa"/>
            <w:tcBorders>
              <w:top w:val="single" w:sz="4" w:space="0" w:color="auto"/>
              <w:left w:val="single" w:sz="4" w:space="0" w:color="auto"/>
              <w:bottom w:val="single" w:sz="4" w:space="0" w:color="auto"/>
              <w:right w:val="single" w:sz="4" w:space="0" w:color="auto"/>
            </w:tcBorders>
            <w:noWrap/>
          </w:tcPr>
          <w:p w14:paraId="6200DC3E" w14:textId="77777777" w:rsidR="00CA70B8" w:rsidRPr="00CA70B8" w:rsidRDefault="00CA70B8" w:rsidP="00CA70B8">
            <w:pPr>
              <w:spacing w:before="40" w:after="40"/>
              <w:rPr>
                <w:rFonts w:eastAsia="MS PGothic" w:cs="Segoe UI"/>
                <w:sz w:val="17"/>
                <w:szCs w:val="17"/>
                <w:lang w:eastAsia="ja-JP"/>
              </w:rPr>
            </w:pPr>
          </w:p>
        </w:tc>
        <w:tc>
          <w:tcPr>
            <w:tcW w:w="2099" w:type="dxa"/>
            <w:tcBorders>
              <w:top w:val="single" w:sz="4" w:space="0" w:color="auto"/>
              <w:left w:val="single" w:sz="4" w:space="0" w:color="auto"/>
              <w:bottom w:val="single" w:sz="4" w:space="0" w:color="auto"/>
              <w:right w:val="single" w:sz="4" w:space="0" w:color="auto"/>
            </w:tcBorders>
          </w:tcPr>
          <w:p w14:paraId="560E3201" w14:textId="77777777" w:rsidR="00CA70B8" w:rsidRPr="00CA70B8" w:rsidRDefault="00CA70B8" w:rsidP="00CA70B8">
            <w:pPr>
              <w:spacing w:before="40" w:after="40"/>
              <w:rPr>
                <w:rFonts w:eastAsia="MS PGothic" w:cs="Segoe UI"/>
                <w:sz w:val="17"/>
                <w:szCs w:val="17"/>
                <w:lang w:eastAsia="ja-JP"/>
              </w:rPr>
            </w:pPr>
          </w:p>
        </w:tc>
        <w:tc>
          <w:tcPr>
            <w:tcW w:w="2100" w:type="dxa"/>
            <w:tcBorders>
              <w:top w:val="single" w:sz="4" w:space="0" w:color="auto"/>
              <w:left w:val="single" w:sz="4" w:space="0" w:color="auto"/>
              <w:bottom w:val="single" w:sz="4" w:space="0" w:color="auto"/>
              <w:right w:val="single" w:sz="4" w:space="0" w:color="auto"/>
            </w:tcBorders>
          </w:tcPr>
          <w:p w14:paraId="79A13763" w14:textId="77777777" w:rsidR="00CA70B8" w:rsidRPr="00CA70B8" w:rsidRDefault="00CA70B8" w:rsidP="00CA70B8">
            <w:pPr>
              <w:spacing w:before="40" w:after="40"/>
              <w:rPr>
                <w:rFonts w:eastAsia="MS PGothic" w:cs="Segoe UI"/>
                <w:sz w:val="17"/>
                <w:szCs w:val="17"/>
                <w:lang w:eastAsia="ja-JP"/>
              </w:rPr>
            </w:pPr>
          </w:p>
        </w:tc>
        <w:tc>
          <w:tcPr>
            <w:tcW w:w="3112" w:type="dxa"/>
            <w:tcBorders>
              <w:top w:val="single" w:sz="4" w:space="0" w:color="auto"/>
              <w:left w:val="single" w:sz="4" w:space="0" w:color="auto"/>
              <w:bottom w:val="single" w:sz="4" w:space="0" w:color="auto"/>
              <w:right w:val="single" w:sz="4" w:space="0" w:color="auto"/>
            </w:tcBorders>
            <w:noWrap/>
          </w:tcPr>
          <w:p w14:paraId="38D6C7CD" w14:textId="77777777" w:rsidR="00CA70B8" w:rsidRPr="00CA70B8" w:rsidRDefault="00CA70B8" w:rsidP="00CA70B8">
            <w:pPr>
              <w:spacing w:before="40" w:after="40"/>
              <w:rPr>
                <w:rFonts w:eastAsia="MS PGothic" w:cs="Segoe UI"/>
                <w:sz w:val="17"/>
                <w:szCs w:val="17"/>
                <w:lang w:eastAsia="ja-JP"/>
              </w:rPr>
            </w:pPr>
          </w:p>
        </w:tc>
      </w:tr>
    </w:tbl>
    <w:p w14:paraId="1CA4920C" w14:textId="5526C6C5" w:rsidR="00CA70B8" w:rsidRDefault="00CA70B8" w:rsidP="00CA70B8">
      <w:pPr>
        <w:spacing w:before="40" w:after="40"/>
        <w:rPr>
          <w:rFonts w:eastAsiaTheme="minorEastAsia"/>
          <w:sz w:val="22"/>
          <w:lang w:eastAsia="zh-TW"/>
        </w:rPr>
      </w:pPr>
    </w:p>
    <w:p w14:paraId="74AA8148" w14:textId="77777777" w:rsidR="00A128D1" w:rsidRDefault="00A128D1" w:rsidP="00A128D1">
      <w:pPr>
        <w:spacing w:before="40" w:after="40"/>
        <w:rPr>
          <w:sz w:val="22"/>
        </w:rPr>
      </w:pPr>
    </w:p>
    <w:tbl>
      <w:tblPr>
        <w:tblW w:w="14158"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459"/>
        <w:gridCol w:w="4363"/>
        <w:gridCol w:w="6269"/>
        <w:gridCol w:w="3067"/>
      </w:tblGrid>
      <w:tr w:rsidR="00A128D1" w:rsidRPr="0085293F" w14:paraId="3579143B" w14:textId="77777777" w:rsidTr="00742B82">
        <w:trPr>
          <w:trHeight w:val="283"/>
        </w:trPr>
        <w:tc>
          <w:tcPr>
            <w:tcW w:w="459" w:type="dxa"/>
            <w:tcBorders>
              <w:top w:val="single" w:sz="4" w:space="0" w:color="auto"/>
              <w:left w:val="nil"/>
              <w:bottom w:val="nil"/>
              <w:right w:val="single" w:sz="4" w:space="0" w:color="auto"/>
            </w:tcBorders>
          </w:tcPr>
          <w:p w14:paraId="4C2EA58F" w14:textId="189BB0B0" w:rsidR="00A128D1" w:rsidRPr="0085293F" w:rsidRDefault="00A128D1" w:rsidP="00A128D1">
            <w:pPr>
              <w:pStyle w:val="TableText"/>
              <w:rPr>
                <w:rFonts w:cs="Segoe UI"/>
                <w:szCs w:val="17"/>
                <w:lang w:eastAsia="en-GB"/>
              </w:rPr>
            </w:pPr>
          </w:p>
        </w:tc>
        <w:tc>
          <w:tcPr>
            <w:tcW w:w="4363" w:type="dxa"/>
            <w:tcBorders>
              <w:top w:val="single" w:sz="4" w:space="0" w:color="auto"/>
              <w:left w:val="single" w:sz="4" w:space="0" w:color="auto"/>
              <w:bottom w:val="single" w:sz="4" w:space="0" w:color="auto"/>
              <w:right w:val="single" w:sz="4" w:space="0" w:color="auto"/>
            </w:tcBorders>
            <w:noWrap/>
          </w:tcPr>
          <w:p w14:paraId="34924946" w14:textId="77777777" w:rsidR="00A128D1" w:rsidRPr="0085293F" w:rsidRDefault="00A128D1" w:rsidP="00A128D1">
            <w:pPr>
              <w:pStyle w:val="TableText"/>
              <w:rPr>
                <w:rFonts w:cs="Segoe UI"/>
                <w:szCs w:val="17"/>
                <w:lang w:eastAsia="en-GB"/>
              </w:rPr>
            </w:pPr>
          </w:p>
        </w:tc>
        <w:tc>
          <w:tcPr>
            <w:tcW w:w="6269" w:type="dxa"/>
            <w:tcBorders>
              <w:top w:val="single" w:sz="4" w:space="0" w:color="auto"/>
              <w:left w:val="single" w:sz="4" w:space="0" w:color="auto"/>
              <w:bottom w:val="single" w:sz="4" w:space="0" w:color="auto"/>
              <w:right w:val="single" w:sz="4" w:space="0" w:color="auto"/>
            </w:tcBorders>
            <w:vAlign w:val="center"/>
          </w:tcPr>
          <w:p w14:paraId="6B11D29A" w14:textId="3F471C0D" w:rsidR="00A128D1" w:rsidRPr="0085293F" w:rsidRDefault="00A128D1" w:rsidP="00A128D1">
            <w:pPr>
              <w:pStyle w:val="TableText"/>
              <w:jc w:val="center"/>
              <w:rPr>
                <w:rFonts w:eastAsia="MS PGothic" w:cs="Segoe UI"/>
                <w:szCs w:val="17"/>
                <w:lang w:eastAsia="ja-JP"/>
              </w:rPr>
            </w:pPr>
            <w:r>
              <w:rPr>
                <w:rFonts w:eastAsia="MS PGothic" w:cs="Segoe UI"/>
                <w:szCs w:val="17"/>
                <w:lang w:eastAsia="ja-JP"/>
              </w:rPr>
              <w:t>125</w:t>
            </w:r>
            <w:r w:rsidRPr="0085293F">
              <w:rPr>
                <w:rFonts w:eastAsia="MS PGothic" w:cs="Segoe UI"/>
                <w:szCs w:val="17"/>
                <w:lang w:eastAsia="ja-JP"/>
              </w:rPr>
              <w:t>0%</w:t>
            </w:r>
          </w:p>
        </w:tc>
        <w:tc>
          <w:tcPr>
            <w:tcW w:w="3067" w:type="dxa"/>
            <w:tcBorders>
              <w:top w:val="single" w:sz="4" w:space="0" w:color="auto"/>
              <w:left w:val="single" w:sz="4" w:space="0" w:color="auto"/>
              <w:bottom w:val="single" w:sz="4" w:space="0" w:color="auto"/>
              <w:right w:val="single" w:sz="4" w:space="0" w:color="auto"/>
            </w:tcBorders>
            <w:noWrap/>
            <w:vAlign w:val="center"/>
          </w:tcPr>
          <w:p w14:paraId="25C9456C" w14:textId="260BF81D" w:rsidR="00A128D1" w:rsidRPr="00965732" w:rsidRDefault="00A128D1" w:rsidP="00A128D1">
            <w:pPr>
              <w:spacing w:before="40" w:after="40"/>
              <w:rPr>
                <w:rFonts w:ascii="新細明體" w:eastAsia="新細明體" w:hAnsi="新細明體" w:cs="Segoe UI"/>
                <w:szCs w:val="17"/>
                <w:lang w:eastAsia="zh-HK"/>
              </w:rPr>
            </w:pPr>
            <w:r w:rsidRPr="00792E2D">
              <w:rPr>
                <w:rFonts w:ascii="細明體" w:eastAsia="細明體" w:hAnsi="細明體" w:cs="微軟正黑體" w:hint="eastAsia"/>
                <w:sz w:val="17"/>
                <w:szCs w:val="17"/>
                <w:lang w:eastAsia="zh-TW"/>
              </w:rPr>
              <w:t>總信用風險承擔</w:t>
            </w:r>
            <w:r w:rsidRPr="00792E2D">
              <w:rPr>
                <w:rFonts w:ascii="細明體" w:eastAsia="細明體" w:hAnsi="細明體" w:cs="微軟正黑體" w:hint="eastAsia"/>
                <w:sz w:val="17"/>
                <w:szCs w:val="17"/>
                <w:lang w:val="en-US" w:eastAsia="zh-HK"/>
              </w:rPr>
              <w:t>數</w:t>
            </w:r>
            <w:r w:rsidRPr="00792E2D">
              <w:rPr>
                <w:rFonts w:ascii="細明體" w:eastAsia="細明體" w:hAnsi="細明體" w:cs="微軟正黑體" w:hint="eastAsia"/>
                <w:sz w:val="17"/>
                <w:szCs w:val="17"/>
                <w:lang w:eastAsia="zh-TW"/>
              </w:rPr>
              <w:t>額（已將</w:t>
            </w:r>
            <w:r w:rsidRPr="009E0DD9">
              <w:rPr>
                <w:rFonts w:cs="Segoe UI"/>
                <w:sz w:val="17"/>
                <w:szCs w:val="17"/>
                <w:lang w:eastAsia="zh-TW"/>
              </w:rPr>
              <w:t>CCF</w:t>
            </w:r>
            <w:r w:rsidRPr="00792E2D">
              <w:rPr>
                <w:rFonts w:ascii="細明體" w:eastAsia="細明體" w:hAnsi="細明體" w:cs="微軟正黑體" w:hint="eastAsia"/>
                <w:sz w:val="17"/>
                <w:szCs w:val="17"/>
                <w:lang w:eastAsia="zh-TW"/>
              </w:rPr>
              <w:t>及減低信用風險措施計算在內）</w:t>
            </w:r>
          </w:p>
        </w:tc>
      </w:tr>
      <w:tr w:rsidR="00A128D1" w:rsidRPr="0085293F" w14:paraId="4C1B55FA" w14:textId="77777777" w:rsidTr="00742B82">
        <w:trPr>
          <w:trHeight w:val="283"/>
        </w:trPr>
        <w:tc>
          <w:tcPr>
            <w:tcW w:w="459" w:type="dxa"/>
            <w:tcBorders>
              <w:top w:val="nil"/>
              <w:left w:val="nil"/>
              <w:bottom w:val="single" w:sz="4" w:space="0" w:color="auto"/>
              <w:right w:val="single" w:sz="4" w:space="0" w:color="auto"/>
            </w:tcBorders>
          </w:tcPr>
          <w:p w14:paraId="0109E6AA" w14:textId="280A955A" w:rsidR="00A128D1" w:rsidRPr="0085293F" w:rsidRDefault="00A128D1" w:rsidP="00A128D1">
            <w:pPr>
              <w:pStyle w:val="TableText"/>
              <w:rPr>
                <w:rFonts w:cs="Segoe UI"/>
                <w:szCs w:val="17"/>
                <w:lang w:eastAsia="en-GB"/>
              </w:rPr>
            </w:pPr>
            <w:r w:rsidRPr="0085293F">
              <w:rPr>
                <w:rFonts w:cs="Segoe UI"/>
                <w:szCs w:val="17"/>
                <w:lang w:eastAsia="en-GB"/>
              </w:rPr>
              <w:t>1</w:t>
            </w:r>
            <w:r>
              <w:rPr>
                <w:rFonts w:cs="Segoe UI"/>
                <w:szCs w:val="17"/>
                <w:lang w:eastAsia="en-GB"/>
              </w:rPr>
              <w:t>5a</w:t>
            </w:r>
          </w:p>
        </w:tc>
        <w:tc>
          <w:tcPr>
            <w:tcW w:w="4363" w:type="dxa"/>
            <w:tcBorders>
              <w:top w:val="single" w:sz="4" w:space="0" w:color="auto"/>
              <w:left w:val="single" w:sz="4" w:space="0" w:color="auto"/>
              <w:bottom w:val="single" w:sz="4" w:space="0" w:color="auto"/>
              <w:right w:val="single" w:sz="4" w:space="0" w:color="auto"/>
            </w:tcBorders>
            <w:noWrap/>
          </w:tcPr>
          <w:p w14:paraId="73E2C951" w14:textId="31DCCD6B" w:rsidR="00A128D1" w:rsidRPr="003E3501" w:rsidRDefault="00A128D1" w:rsidP="00A128D1">
            <w:pPr>
              <w:spacing w:before="40" w:after="40"/>
              <w:rPr>
                <w:rFonts w:ascii="新細明體" w:eastAsia="新細明體" w:hAnsi="新細明體"/>
                <w:sz w:val="17"/>
                <w:szCs w:val="17"/>
                <w:lang w:eastAsia="zh-TW"/>
              </w:rPr>
            </w:pPr>
            <w:r w:rsidRPr="003E3501">
              <w:rPr>
                <w:rFonts w:ascii="新細明體" w:eastAsia="新細明體" w:hAnsi="新細明體" w:hint="eastAsia"/>
                <w:sz w:val="17"/>
                <w:szCs w:val="17"/>
                <w:lang w:eastAsia="zh-TW"/>
              </w:rPr>
              <w:t>第</w:t>
            </w:r>
            <w:r w:rsidRPr="003E3501">
              <w:rPr>
                <w:rFonts w:eastAsia="新細明體" w:cs="Segoe UI"/>
                <w:sz w:val="17"/>
                <w:szCs w:val="17"/>
                <w:lang w:eastAsia="zh-TW"/>
              </w:rPr>
              <w:t>1</w:t>
            </w:r>
            <w:r w:rsidRPr="003E3501">
              <w:rPr>
                <w:rFonts w:ascii="新細明體" w:eastAsia="新細明體" w:hAnsi="新細明體" w:hint="eastAsia"/>
                <w:sz w:val="17"/>
                <w:szCs w:val="17"/>
                <w:lang w:eastAsia="zh-HK"/>
              </w:rPr>
              <w:t>組</w:t>
            </w:r>
            <w:r w:rsidRPr="003E3501">
              <w:rPr>
                <w:rFonts w:ascii="新細明體" w:eastAsia="新細明體" w:hAnsi="新細明體" w:hint="eastAsia"/>
                <w:sz w:val="17"/>
                <w:szCs w:val="17"/>
                <w:lang w:eastAsia="zh-TW"/>
              </w:rPr>
              <w:t>加密資產風險承擔（不包括</w:t>
            </w:r>
            <w:r w:rsidR="00EB3936" w:rsidRPr="00EB3936">
              <w:rPr>
                <w:rFonts w:ascii="新細明體" w:eastAsia="新細明體" w:hAnsi="新細明體" w:hint="eastAsia"/>
                <w:sz w:val="17"/>
                <w:szCs w:val="17"/>
                <w:lang w:eastAsia="zh-TW"/>
              </w:rPr>
              <w:t>與</w:t>
            </w:r>
            <w:r w:rsidRPr="003E3501">
              <w:rPr>
                <w:rFonts w:ascii="新細明體" w:eastAsia="新細明體" w:hAnsi="新細明體" w:hint="eastAsia"/>
                <w:sz w:val="17"/>
                <w:szCs w:val="17"/>
                <w:lang w:eastAsia="zh-TW"/>
              </w:rPr>
              <w:t>特區政府或本地公營單位</w:t>
            </w:r>
            <w:r w:rsidR="00EB3936" w:rsidRPr="00EB3936">
              <w:rPr>
                <w:rFonts w:ascii="新細明體" w:eastAsia="新細明體" w:hAnsi="新細明體" w:hint="eastAsia"/>
                <w:sz w:val="17"/>
                <w:szCs w:val="17"/>
                <w:lang w:eastAsia="zh-TW"/>
              </w:rPr>
              <w:t>所</w:t>
            </w:r>
            <w:r w:rsidRPr="003E3501">
              <w:rPr>
                <w:rFonts w:ascii="新細明體" w:eastAsia="新細明體" w:hAnsi="新細明體" w:hint="eastAsia"/>
                <w:sz w:val="17"/>
                <w:szCs w:val="17"/>
                <w:lang w:eastAsia="zh-TW"/>
              </w:rPr>
              <w:t>發行的第</w:t>
            </w:r>
            <w:r w:rsidRPr="003E3501">
              <w:rPr>
                <w:rFonts w:eastAsia="新細明體" w:cs="Segoe UI"/>
                <w:sz w:val="17"/>
                <w:szCs w:val="17"/>
                <w:lang w:eastAsia="zh-TW"/>
              </w:rPr>
              <w:t>1a</w:t>
            </w:r>
            <w:r w:rsidRPr="003E3501">
              <w:rPr>
                <w:rFonts w:ascii="新細明體" w:eastAsia="新細明體" w:hAnsi="新細明體" w:hint="eastAsia"/>
                <w:sz w:val="17"/>
                <w:szCs w:val="17"/>
                <w:lang w:eastAsia="zh-TW"/>
              </w:rPr>
              <w:t>組加密資產相關</w:t>
            </w:r>
            <w:r w:rsidRPr="003E3501">
              <w:rPr>
                <w:rFonts w:ascii="新細明體" w:eastAsia="新細明體" w:hAnsi="新細明體" w:hint="eastAsia"/>
                <w:sz w:val="17"/>
                <w:szCs w:val="17"/>
                <w:lang w:eastAsia="zh-HK"/>
              </w:rPr>
              <w:t>的</w:t>
            </w:r>
            <w:r w:rsidRPr="003E3501">
              <w:rPr>
                <w:rFonts w:ascii="新細明體" w:eastAsia="新細明體" w:hAnsi="新細明體" w:hint="eastAsia"/>
                <w:sz w:val="17"/>
                <w:szCs w:val="17"/>
                <w:lang w:eastAsia="zh-TW"/>
              </w:rPr>
              <w:t>風險承擔）</w:t>
            </w:r>
          </w:p>
        </w:tc>
        <w:tc>
          <w:tcPr>
            <w:tcW w:w="6269" w:type="dxa"/>
            <w:tcBorders>
              <w:top w:val="single" w:sz="4" w:space="0" w:color="auto"/>
              <w:left w:val="single" w:sz="4" w:space="0" w:color="auto"/>
              <w:bottom w:val="single" w:sz="4" w:space="0" w:color="auto"/>
              <w:right w:val="single" w:sz="4" w:space="0" w:color="auto"/>
            </w:tcBorders>
          </w:tcPr>
          <w:p w14:paraId="5E522628" w14:textId="77777777" w:rsidR="00A128D1" w:rsidRPr="0085293F" w:rsidRDefault="00A128D1" w:rsidP="00A128D1">
            <w:pPr>
              <w:pStyle w:val="TableText"/>
              <w:rPr>
                <w:rFonts w:eastAsia="MS PGothic" w:cs="Segoe UI"/>
                <w:szCs w:val="17"/>
                <w:lang w:eastAsia="ja-JP"/>
              </w:rPr>
            </w:pPr>
          </w:p>
        </w:tc>
        <w:tc>
          <w:tcPr>
            <w:tcW w:w="3067" w:type="dxa"/>
            <w:tcBorders>
              <w:top w:val="single" w:sz="4" w:space="0" w:color="auto"/>
              <w:left w:val="single" w:sz="4" w:space="0" w:color="auto"/>
              <w:bottom w:val="single" w:sz="4" w:space="0" w:color="auto"/>
              <w:right w:val="single" w:sz="4" w:space="0" w:color="auto"/>
            </w:tcBorders>
            <w:noWrap/>
          </w:tcPr>
          <w:p w14:paraId="108EA9F8" w14:textId="77777777" w:rsidR="00A128D1" w:rsidRPr="0085293F" w:rsidRDefault="00A128D1" w:rsidP="00A128D1">
            <w:pPr>
              <w:pStyle w:val="TableText"/>
              <w:rPr>
                <w:rFonts w:cs="Segoe UI"/>
                <w:szCs w:val="17"/>
                <w:lang w:eastAsia="zh-TW"/>
              </w:rPr>
            </w:pPr>
          </w:p>
        </w:tc>
      </w:tr>
    </w:tbl>
    <w:p w14:paraId="4BA44FBA" w14:textId="77777777" w:rsidR="00A930C9" w:rsidRDefault="00A930C9" w:rsidP="00CA70B8">
      <w:pPr>
        <w:spacing w:before="40" w:after="40"/>
        <w:rPr>
          <w:rFonts w:eastAsiaTheme="minorEastAsia"/>
          <w:sz w:val="22"/>
          <w:lang w:eastAsia="zh-TW"/>
        </w:rPr>
      </w:pPr>
    </w:p>
    <w:p w14:paraId="6E9FA2EF" w14:textId="77777777" w:rsidR="0082311E" w:rsidRDefault="0082311E" w:rsidP="00CA70B8">
      <w:pPr>
        <w:spacing w:before="40" w:after="40"/>
        <w:rPr>
          <w:rFonts w:eastAsiaTheme="minorEastAsia"/>
          <w:sz w:val="22"/>
          <w:lang w:eastAsia="zh-TW"/>
        </w:rPr>
      </w:pPr>
    </w:p>
    <w:p w14:paraId="5B120AD3" w14:textId="77777777" w:rsidR="0082311E" w:rsidRDefault="0082311E" w:rsidP="00CA70B8">
      <w:pPr>
        <w:spacing w:before="40" w:after="40"/>
        <w:rPr>
          <w:rFonts w:eastAsiaTheme="minorEastAsia"/>
          <w:sz w:val="22"/>
          <w:lang w:eastAsia="zh-TW"/>
        </w:rPr>
      </w:pPr>
    </w:p>
    <w:p w14:paraId="5083804D" w14:textId="77777777" w:rsidR="0082311E" w:rsidRDefault="0082311E" w:rsidP="00CA70B8">
      <w:pPr>
        <w:spacing w:before="40" w:after="40"/>
        <w:rPr>
          <w:rFonts w:eastAsiaTheme="minorEastAsia"/>
          <w:sz w:val="22"/>
          <w:lang w:eastAsia="zh-TW"/>
        </w:rPr>
      </w:pPr>
    </w:p>
    <w:p w14:paraId="590EF4ED" w14:textId="77777777" w:rsidR="0082311E" w:rsidRDefault="0082311E" w:rsidP="00CA70B8">
      <w:pPr>
        <w:spacing w:before="40" w:after="40"/>
        <w:rPr>
          <w:rFonts w:eastAsiaTheme="minorEastAsia"/>
          <w:sz w:val="22"/>
          <w:lang w:eastAsia="zh-TW"/>
        </w:rPr>
      </w:pPr>
    </w:p>
    <w:p w14:paraId="0B1931D9" w14:textId="77777777" w:rsidR="0082311E" w:rsidRDefault="0082311E" w:rsidP="00CA70B8">
      <w:pPr>
        <w:spacing w:before="40" w:after="40"/>
        <w:rPr>
          <w:rFonts w:eastAsiaTheme="minorEastAsia"/>
          <w:sz w:val="22"/>
          <w:lang w:eastAsia="zh-TW"/>
        </w:rPr>
      </w:pPr>
    </w:p>
    <w:p w14:paraId="2960A6B6" w14:textId="77777777" w:rsidR="0082311E" w:rsidRPr="0082311E" w:rsidRDefault="0082311E" w:rsidP="00CA70B8">
      <w:pPr>
        <w:spacing w:before="40" w:after="40"/>
        <w:rPr>
          <w:rFonts w:eastAsiaTheme="minorEastAsia"/>
          <w:sz w:val="22"/>
          <w:lang w:eastAsia="zh-TW"/>
        </w:rPr>
      </w:pPr>
    </w:p>
    <w:p w14:paraId="708393DF" w14:textId="4F3BD4D4" w:rsidR="00CA70B8" w:rsidRPr="00B1427D" w:rsidRDefault="00CA70B8" w:rsidP="00C60999">
      <w:pPr>
        <w:suppressAutoHyphens/>
        <w:spacing w:after="120"/>
        <w:rPr>
          <w:u w:val="single"/>
          <w:lang w:val="en-US" w:eastAsia="ar-SA"/>
        </w:rPr>
      </w:pPr>
      <w:r w:rsidRPr="00C60999">
        <w:rPr>
          <w:rFonts w:ascii="細明體" w:eastAsia="細明體" w:hAnsi="細明體" w:cs="Segoe UI" w:hint="eastAsia"/>
          <w:u w:val="single"/>
          <w:lang w:eastAsia="ar-SA"/>
        </w:rPr>
        <w:t>風險承擔數額及應用於資產負債表外風險承擔的</w:t>
      </w:r>
      <w:r w:rsidRPr="00B1427D">
        <w:rPr>
          <w:rFonts w:hint="eastAsia"/>
          <w:u w:val="single"/>
          <w:lang w:eastAsia="ar-SA"/>
        </w:rPr>
        <w:t>CCF</w:t>
      </w:r>
      <w:r w:rsidR="008B4E0B" w:rsidRPr="00A524C4">
        <w:rPr>
          <w:rFonts w:ascii="細明體" w:eastAsia="細明體" w:hAnsi="細明體" w:cs="Segoe UI" w:hint="eastAsia"/>
          <w:u w:val="single"/>
          <w:lang w:eastAsia="ar-SA"/>
        </w:rPr>
        <w:t>（</w:t>
      </w:r>
      <w:r w:rsidRPr="00C60999">
        <w:rPr>
          <w:rFonts w:ascii="細明體" w:eastAsia="細明體" w:hAnsi="細明體" w:cs="Segoe UI" w:hint="eastAsia"/>
          <w:u w:val="single"/>
          <w:lang w:eastAsia="ar-SA"/>
        </w:rPr>
        <w:t>根據經轉換風險承擔的風險組別分類</w:t>
      </w:r>
      <w:r w:rsidR="008B4E0B" w:rsidRPr="00A524C4">
        <w:rPr>
          <w:rFonts w:ascii="細明體" w:eastAsia="細明體" w:hAnsi="細明體" w:cs="Segoe UI" w:hint="eastAsia"/>
          <w:u w:val="single"/>
          <w:lang w:eastAsia="ar-SA"/>
        </w:rPr>
        <w:t>）</w:t>
      </w:r>
      <w:r w:rsidR="00A524C4" w:rsidRPr="00A524C4">
        <w:rPr>
          <w:rFonts w:ascii="細明體" w:eastAsia="細明體" w:hAnsi="細明體" w:cs="Segoe UI" w:hint="eastAsia"/>
          <w:u w:val="single"/>
          <w:lang w:eastAsia="ar-SA"/>
        </w:rPr>
        <w:t>（</w:t>
      </w:r>
      <w:r w:rsidRPr="00A524C4">
        <w:rPr>
          <w:rFonts w:eastAsia="細明體" w:cs="Segoe UI"/>
          <w:u w:val="single"/>
          <w:lang w:eastAsia="ar-SA"/>
        </w:rPr>
        <w:t>BSC</w:t>
      </w:r>
      <w:r w:rsidRPr="00C60999">
        <w:rPr>
          <w:rFonts w:ascii="細明體" w:eastAsia="細明體" w:hAnsi="細明體" w:cs="Segoe UI" w:hint="eastAsia"/>
          <w:u w:val="single"/>
          <w:lang w:eastAsia="ar-SA"/>
        </w:rPr>
        <w:t>版本</w:t>
      </w:r>
      <w:r w:rsidR="00A524C4" w:rsidRPr="00A524C4">
        <w:rPr>
          <w:rFonts w:ascii="細明體" w:eastAsia="細明體" w:hAnsi="細明體" w:cs="Segoe UI" w:hint="eastAsia"/>
          <w:u w:val="single"/>
          <w:lang w:eastAsia="ar-SA"/>
        </w:rPr>
        <w:t>）</w:t>
      </w:r>
    </w:p>
    <w:tbl>
      <w:tblPr>
        <w:tblW w:w="14209" w:type="dxa"/>
        <w:tblInd w:w="108" w:type="dxa"/>
        <w:tblBorders>
          <w:top w:val="single" w:sz="4" w:space="0" w:color="BCBDBC"/>
          <w:left w:val="single" w:sz="4" w:space="0" w:color="BCBDBC"/>
          <w:bottom w:val="single" w:sz="4" w:space="0" w:color="BCBDBC"/>
          <w:right w:val="single" w:sz="4" w:space="0" w:color="BCBDBC"/>
          <w:insideH w:val="single" w:sz="6" w:space="0" w:color="BCBDBC"/>
          <w:insideV w:val="single" w:sz="6" w:space="0" w:color="BCBDBC"/>
        </w:tblBorders>
        <w:tblLayout w:type="fixed"/>
        <w:tblCellMar>
          <w:left w:w="99" w:type="dxa"/>
          <w:right w:w="99" w:type="dxa"/>
        </w:tblCellMar>
        <w:tblLook w:val="00A0" w:firstRow="1" w:lastRow="0" w:firstColumn="1" w:lastColumn="0" w:noHBand="0" w:noVBand="0"/>
      </w:tblPr>
      <w:tblGrid>
        <w:gridCol w:w="558"/>
        <w:gridCol w:w="4395"/>
        <w:gridCol w:w="2303"/>
        <w:gridCol w:w="2303"/>
        <w:gridCol w:w="2303"/>
        <w:gridCol w:w="2347"/>
      </w:tblGrid>
      <w:tr w:rsidR="00CA70B8" w:rsidRPr="00CA70B8" w14:paraId="258F0245" w14:textId="77777777" w:rsidTr="00C60999">
        <w:trPr>
          <w:trHeight w:val="402"/>
          <w:tblHeader/>
        </w:trPr>
        <w:tc>
          <w:tcPr>
            <w:tcW w:w="558" w:type="dxa"/>
            <w:tcBorders>
              <w:top w:val="nil"/>
              <w:left w:val="nil"/>
              <w:bottom w:val="nil"/>
              <w:right w:val="single" w:sz="4" w:space="0" w:color="auto"/>
            </w:tcBorders>
          </w:tcPr>
          <w:p w14:paraId="07643140" w14:textId="77777777" w:rsidR="00CA70B8" w:rsidRPr="00CA70B8" w:rsidRDefault="00CA70B8" w:rsidP="00CA70B8">
            <w:pPr>
              <w:snapToGrid w:val="0"/>
              <w:spacing w:before="40" w:after="40"/>
              <w:rPr>
                <w:rFonts w:eastAsia="MS PGothic" w:cs="Segoe UI"/>
                <w:sz w:val="17"/>
                <w:szCs w:val="17"/>
                <w:lang w:eastAsia="ja-JP"/>
              </w:rPr>
            </w:pPr>
          </w:p>
        </w:tc>
        <w:tc>
          <w:tcPr>
            <w:tcW w:w="4395" w:type="dxa"/>
            <w:vMerge w:val="restart"/>
            <w:tcBorders>
              <w:top w:val="single" w:sz="4" w:space="0" w:color="auto"/>
              <w:left w:val="single" w:sz="4" w:space="0" w:color="auto"/>
              <w:bottom w:val="single" w:sz="4" w:space="0" w:color="auto"/>
              <w:right w:val="single" w:sz="4" w:space="0" w:color="auto"/>
            </w:tcBorders>
            <w:noWrap/>
            <w:vAlign w:val="center"/>
          </w:tcPr>
          <w:p w14:paraId="29C217F4" w14:textId="77777777" w:rsidR="00CA70B8" w:rsidRPr="00CA70B8" w:rsidRDefault="00CA70B8" w:rsidP="00CA70B8">
            <w:pPr>
              <w:snapToGrid w:val="0"/>
              <w:spacing w:before="40" w:after="40"/>
              <w:jc w:val="center"/>
              <w:rPr>
                <w:rFonts w:eastAsia="MS PGothic" w:cs="Segoe UI"/>
                <w:sz w:val="17"/>
                <w:szCs w:val="17"/>
                <w:lang w:eastAsia="ja-JP"/>
              </w:rPr>
            </w:pPr>
            <w:r w:rsidRPr="00CA70B8">
              <w:rPr>
                <w:rFonts w:ascii="新細明體" w:eastAsia="新細明體" w:hAnsi="新細明體" w:cs="Segoe UI" w:hint="eastAsia"/>
                <w:sz w:val="17"/>
                <w:szCs w:val="17"/>
                <w:lang w:eastAsia="zh-HK"/>
              </w:rPr>
              <w:t>風險權重</w:t>
            </w:r>
            <w:r w:rsidRPr="00CA70B8">
              <w:rPr>
                <w:rFonts w:eastAsia="MS PGothic"/>
                <w:sz w:val="17"/>
                <w:szCs w:val="17"/>
                <w:vertAlign w:val="superscript"/>
                <w:lang w:eastAsia="ja-JP"/>
              </w:rPr>
              <w:t>#</w:t>
            </w:r>
          </w:p>
        </w:tc>
        <w:tc>
          <w:tcPr>
            <w:tcW w:w="2303" w:type="dxa"/>
            <w:tcBorders>
              <w:top w:val="single" w:sz="4" w:space="0" w:color="auto"/>
              <w:left w:val="single" w:sz="4" w:space="0" w:color="auto"/>
              <w:bottom w:val="single" w:sz="4" w:space="0" w:color="auto"/>
              <w:right w:val="single" w:sz="4" w:space="0" w:color="auto"/>
            </w:tcBorders>
            <w:noWrap/>
            <w:vAlign w:val="center"/>
          </w:tcPr>
          <w:p w14:paraId="161DC2DA"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lang w:eastAsia="en-GB"/>
              </w:rPr>
              <w:t>(a)</w:t>
            </w:r>
          </w:p>
        </w:tc>
        <w:tc>
          <w:tcPr>
            <w:tcW w:w="2303" w:type="dxa"/>
            <w:tcBorders>
              <w:top w:val="single" w:sz="4" w:space="0" w:color="auto"/>
              <w:left w:val="single" w:sz="4" w:space="0" w:color="auto"/>
              <w:bottom w:val="single" w:sz="4" w:space="0" w:color="auto"/>
              <w:right w:val="single" w:sz="4" w:space="0" w:color="auto"/>
            </w:tcBorders>
            <w:noWrap/>
            <w:vAlign w:val="center"/>
          </w:tcPr>
          <w:p w14:paraId="0EC8D9E9"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lang w:eastAsia="en-GB"/>
              </w:rPr>
              <w:t>(b)</w:t>
            </w:r>
          </w:p>
        </w:tc>
        <w:tc>
          <w:tcPr>
            <w:tcW w:w="2303" w:type="dxa"/>
            <w:tcBorders>
              <w:top w:val="single" w:sz="4" w:space="0" w:color="auto"/>
              <w:left w:val="single" w:sz="4" w:space="0" w:color="auto"/>
              <w:bottom w:val="single" w:sz="4" w:space="0" w:color="auto"/>
              <w:right w:val="single" w:sz="4" w:space="0" w:color="auto"/>
            </w:tcBorders>
            <w:noWrap/>
            <w:vAlign w:val="center"/>
          </w:tcPr>
          <w:p w14:paraId="4A5C7E06"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lang w:eastAsia="en-GB"/>
              </w:rPr>
              <w:t>(c)</w:t>
            </w:r>
          </w:p>
        </w:tc>
        <w:tc>
          <w:tcPr>
            <w:tcW w:w="2347" w:type="dxa"/>
            <w:tcBorders>
              <w:top w:val="single" w:sz="4" w:space="0" w:color="auto"/>
              <w:left w:val="single" w:sz="4" w:space="0" w:color="auto"/>
              <w:bottom w:val="single" w:sz="4" w:space="0" w:color="auto"/>
              <w:right w:val="single" w:sz="4" w:space="0" w:color="auto"/>
            </w:tcBorders>
            <w:vAlign w:val="center"/>
          </w:tcPr>
          <w:p w14:paraId="595B7B1E"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lang w:eastAsia="en-GB"/>
              </w:rPr>
              <w:t>(d)</w:t>
            </w:r>
          </w:p>
        </w:tc>
      </w:tr>
      <w:tr w:rsidR="00CA70B8" w:rsidRPr="00CA70B8" w14:paraId="51632F30" w14:textId="77777777" w:rsidTr="00C60999">
        <w:trPr>
          <w:cantSplit/>
          <w:trHeight w:val="586"/>
          <w:tblHeader/>
        </w:trPr>
        <w:tc>
          <w:tcPr>
            <w:tcW w:w="558" w:type="dxa"/>
            <w:tcBorders>
              <w:top w:val="nil"/>
              <w:left w:val="nil"/>
              <w:bottom w:val="single" w:sz="4" w:space="0" w:color="auto"/>
              <w:right w:val="single" w:sz="4" w:space="0" w:color="auto"/>
            </w:tcBorders>
          </w:tcPr>
          <w:p w14:paraId="7A56D8C5" w14:textId="77777777" w:rsidR="00CA70B8" w:rsidRPr="00CA70B8" w:rsidRDefault="00CA70B8" w:rsidP="00CA70B8">
            <w:pPr>
              <w:snapToGrid w:val="0"/>
              <w:spacing w:before="40" w:after="40"/>
              <w:rPr>
                <w:rFonts w:eastAsia="MS PGothic" w:cs="Segoe UI"/>
                <w:sz w:val="17"/>
                <w:szCs w:val="17"/>
                <w:lang w:eastAsia="ja-JP"/>
              </w:rPr>
            </w:pPr>
          </w:p>
        </w:tc>
        <w:tc>
          <w:tcPr>
            <w:tcW w:w="4395" w:type="dxa"/>
            <w:vMerge/>
            <w:tcBorders>
              <w:top w:val="single" w:sz="4" w:space="0" w:color="auto"/>
              <w:left w:val="single" w:sz="4" w:space="0" w:color="auto"/>
              <w:bottom w:val="single" w:sz="4" w:space="0" w:color="auto"/>
              <w:right w:val="single" w:sz="4" w:space="0" w:color="auto"/>
            </w:tcBorders>
            <w:noWrap/>
            <w:vAlign w:val="center"/>
          </w:tcPr>
          <w:p w14:paraId="70C6F73F" w14:textId="77777777" w:rsidR="00CA70B8" w:rsidRPr="00CA70B8" w:rsidRDefault="00CA70B8" w:rsidP="00CA70B8">
            <w:pPr>
              <w:snapToGrid w:val="0"/>
              <w:spacing w:before="40" w:after="40"/>
              <w:jc w:val="center"/>
              <w:rPr>
                <w:rFonts w:eastAsia="MS PGothic" w:cs="Segoe UI"/>
                <w:sz w:val="17"/>
                <w:szCs w:val="17"/>
                <w:lang w:eastAsia="ja-JP"/>
              </w:rPr>
            </w:pPr>
          </w:p>
        </w:tc>
        <w:tc>
          <w:tcPr>
            <w:tcW w:w="2303" w:type="dxa"/>
            <w:tcBorders>
              <w:top w:val="single" w:sz="4" w:space="0" w:color="auto"/>
              <w:left w:val="single" w:sz="4" w:space="0" w:color="auto"/>
              <w:bottom w:val="single" w:sz="4" w:space="0" w:color="auto"/>
              <w:right w:val="single" w:sz="4" w:space="0" w:color="auto"/>
            </w:tcBorders>
            <w:noWrap/>
            <w:vAlign w:val="center"/>
          </w:tcPr>
          <w:p w14:paraId="1C082B7E" w14:textId="77777777" w:rsidR="00CA70B8" w:rsidRPr="00CA70B8" w:rsidRDefault="00CA70B8" w:rsidP="00CA70B8">
            <w:pPr>
              <w:snapToGrid w:val="0"/>
              <w:spacing w:before="40" w:after="40"/>
              <w:jc w:val="center"/>
              <w:rPr>
                <w:rFonts w:ascii="新細明體" w:eastAsia="新細明體" w:hAnsi="新細明體" w:cs="Segoe UI"/>
                <w:sz w:val="17"/>
                <w:szCs w:val="17"/>
                <w:lang w:eastAsia="zh-HK"/>
              </w:rPr>
            </w:pPr>
            <w:r w:rsidRPr="00CA70B8">
              <w:rPr>
                <w:rFonts w:ascii="新細明體" w:eastAsia="新細明體" w:hAnsi="新細明體" w:cs="Segoe UI" w:hint="eastAsia"/>
                <w:sz w:val="17"/>
                <w:szCs w:val="17"/>
                <w:lang w:eastAsia="zh-HK"/>
              </w:rPr>
              <w:t>資產負債表內風險承擔</w:t>
            </w:r>
          </w:p>
        </w:tc>
        <w:tc>
          <w:tcPr>
            <w:tcW w:w="2303" w:type="dxa"/>
            <w:tcBorders>
              <w:top w:val="single" w:sz="4" w:space="0" w:color="auto"/>
              <w:left w:val="single" w:sz="4" w:space="0" w:color="auto"/>
              <w:bottom w:val="single" w:sz="4" w:space="0" w:color="auto"/>
              <w:right w:val="single" w:sz="4" w:space="0" w:color="auto"/>
            </w:tcBorders>
            <w:noWrap/>
            <w:vAlign w:val="center"/>
          </w:tcPr>
          <w:p w14:paraId="0DB48AEE" w14:textId="77777777" w:rsidR="005F657A" w:rsidRDefault="00CA70B8" w:rsidP="00CA70B8">
            <w:pPr>
              <w:snapToGrid w:val="0"/>
              <w:spacing w:before="40" w:after="40"/>
              <w:jc w:val="center"/>
              <w:rPr>
                <w:rFonts w:ascii="新細明體" w:eastAsia="新細明體" w:hAnsi="新細明體" w:cs="Segoe UI"/>
                <w:sz w:val="17"/>
                <w:szCs w:val="17"/>
                <w:lang w:eastAsia="zh-HK"/>
              </w:rPr>
            </w:pPr>
            <w:r w:rsidRPr="00CA70B8">
              <w:rPr>
                <w:rFonts w:ascii="新細明體" w:eastAsia="新細明體" w:hAnsi="新細明體" w:cs="Segoe UI"/>
                <w:sz w:val="17"/>
                <w:szCs w:val="17"/>
                <w:lang w:eastAsia="zh-HK"/>
              </w:rPr>
              <w:t>資</w:t>
            </w:r>
            <w:r w:rsidRPr="00CA70B8">
              <w:rPr>
                <w:rFonts w:ascii="新細明體" w:eastAsia="新細明體" w:hAnsi="新細明體" w:cs="Segoe UI" w:hint="eastAsia"/>
                <w:sz w:val="17"/>
                <w:szCs w:val="17"/>
                <w:lang w:eastAsia="zh-HK"/>
              </w:rPr>
              <w:t>產</w:t>
            </w:r>
            <w:r w:rsidRPr="00CA70B8">
              <w:rPr>
                <w:rFonts w:ascii="新細明體" w:eastAsia="新細明體" w:hAnsi="新細明體" w:cs="Segoe UI"/>
                <w:sz w:val="17"/>
                <w:szCs w:val="17"/>
                <w:lang w:eastAsia="zh-HK"/>
              </w:rPr>
              <w:t>負</w:t>
            </w:r>
            <w:r w:rsidRPr="00CA70B8">
              <w:rPr>
                <w:rFonts w:ascii="新細明體" w:eastAsia="新細明體" w:hAnsi="新細明體" w:cs="Segoe UI" w:hint="eastAsia"/>
                <w:sz w:val="17"/>
                <w:szCs w:val="17"/>
                <w:lang w:eastAsia="zh-HK"/>
              </w:rPr>
              <w:t>債表外風險承擔</w:t>
            </w:r>
          </w:p>
          <w:p w14:paraId="00794124" w14:textId="3C1BB326" w:rsidR="00CA70B8" w:rsidRPr="00CA70B8" w:rsidRDefault="00CA70B8" w:rsidP="00CA70B8">
            <w:pPr>
              <w:snapToGrid w:val="0"/>
              <w:spacing w:before="40" w:after="40"/>
              <w:jc w:val="center"/>
              <w:rPr>
                <w:rFonts w:ascii="新細明體" w:eastAsia="新細明體" w:hAnsi="新細明體" w:cs="Segoe UI"/>
                <w:sz w:val="17"/>
                <w:szCs w:val="17"/>
                <w:lang w:eastAsia="zh-HK"/>
              </w:rPr>
            </w:pPr>
            <w:r w:rsidRPr="00CA70B8">
              <w:rPr>
                <w:rFonts w:ascii="新細明體" w:eastAsia="新細明體" w:hAnsi="新細明體" w:cs="Segoe UI" w:hint="eastAsia"/>
                <w:sz w:val="17"/>
                <w:szCs w:val="17"/>
                <w:lang w:eastAsia="zh-HK"/>
              </w:rPr>
              <w:t>（未將</w:t>
            </w:r>
            <w:r w:rsidR="004B2E5F" w:rsidRPr="00CA70B8">
              <w:rPr>
                <w:rFonts w:cs="Segoe UI"/>
                <w:sz w:val="17"/>
                <w:szCs w:val="17"/>
                <w:lang w:eastAsia="zh-TW"/>
              </w:rPr>
              <w:t>CCF</w:t>
            </w:r>
            <w:r w:rsidRPr="00CA70B8">
              <w:rPr>
                <w:rFonts w:ascii="新細明體" w:eastAsia="新細明體" w:hAnsi="新細明體" w:cs="Segoe UI" w:hint="eastAsia"/>
                <w:sz w:val="17"/>
                <w:szCs w:val="17"/>
                <w:lang w:eastAsia="zh-HK"/>
              </w:rPr>
              <w:t>計算在內）</w:t>
            </w:r>
          </w:p>
        </w:tc>
        <w:tc>
          <w:tcPr>
            <w:tcW w:w="2303" w:type="dxa"/>
            <w:tcBorders>
              <w:top w:val="single" w:sz="4" w:space="0" w:color="auto"/>
              <w:left w:val="single" w:sz="4" w:space="0" w:color="auto"/>
              <w:bottom w:val="single" w:sz="4" w:space="0" w:color="auto"/>
              <w:right w:val="single" w:sz="4" w:space="0" w:color="auto"/>
            </w:tcBorders>
            <w:noWrap/>
            <w:vAlign w:val="center"/>
          </w:tcPr>
          <w:p w14:paraId="46C4B6AD" w14:textId="102DA72B" w:rsidR="00CA70B8" w:rsidRPr="00CA70B8" w:rsidRDefault="00CA70B8" w:rsidP="00A47331">
            <w:pPr>
              <w:snapToGrid w:val="0"/>
              <w:spacing w:before="40" w:after="40"/>
              <w:jc w:val="center"/>
              <w:rPr>
                <w:rFonts w:ascii="新細明體" w:eastAsia="新細明體" w:hAnsi="新細明體" w:cs="Segoe UI"/>
                <w:sz w:val="17"/>
                <w:szCs w:val="17"/>
                <w:lang w:eastAsia="zh-HK"/>
              </w:rPr>
            </w:pPr>
            <w:r w:rsidRPr="00CA70B8">
              <w:rPr>
                <w:rFonts w:ascii="新細明體" w:eastAsia="新細明體" w:hAnsi="新細明體" w:cs="Segoe UI" w:hint="eastAsia"/>
                <w:sz w:val="17"/>
                <w:szCs w:val="17"/>
                <w:lang w:eastAsia="zh-HK"/>
              </w:rPr>
              <w:t>加權平均</w:t>
            </w:r>
            <w:r w:rsidR="004B2E5F" w:rsidRPr="00CA70B8">
              <w:rPr>
                <w:rFonts w:cs="Segoe UI"/>
                <w:sz w:val="17"/>
                <w:szCs w:val="17"/>
                <w:lang w:eastAsia="zh-TW"/>
              </w:rPr>
              <w:t>CCF</w:t>
            </w:r>
            <w:r w:rsidRPr="00CA70B8">
              <w:rPr>
                <w:rFonts w:ascii="新細明體" w:eastAsia="新細明體" w:hAnsi="新細明體" w:cs="Segoe UI"/>
                <w:sz w:val="17"/>
                <w:szCs w:val="17"/>
                <w:lang w:eastAsia="zh-HK"/>
              </w:rPr>
              <w:t>*</w:t>
            </w:r>
          </w:p>
        </w:tc>
        <w:tc>
          <w:tcPr>
            <w:tcW w:w="2347" w:type="dxa"/>
            <w:tcBorders>
              <w:top w:val="single" w:sz="4" w:space="0" w:color="auto"/>
              <w:left w:val="single" w:sz="4" w:space="0" w:color="auto"/>
              <w:bottom w:val="single" w:sz="4" w:space="0" w:color="auto"/>
              <w:right w:val="single" w:sz="4" w:space="0" w:color="auto"/>
            </w:tcBorders>
            <w:vAlign w:val="center"/>
          </w:tcPr>
          <w:p w14:paraId="03A0F853" w14:textId="1CFE1911" w:rsidR="00CA70B8" w:rsidRPr="00CA70B8" w:rsidRDefault="00CA70B8" w:rsidP="00A47331">
            <w:pPr>
              <w:snapToGrid w:val="0"/>
              <w:spacing w:before="40" w:after="40"/>
              <w:jc w:val="center"/>
              <w:rPr>
                <w:rFonts w:ascii="新細明體" w:eastAsia="新細明體" w:hAnsi="新細明體" w:cs="Segoe UI"/>
                <w:sz w:val="17"/>
                <w:szCs w:val="17"/>
                <w:lang w:eastAsia="zh-HK"/>
              </w:rPr>
            </w:pPr>
            <w:r w:rsidRPr="00CA70B8">
              <w:rPr>
                <w:rFonts w:ascii="新細明體" w:eastAsia="新細明體" w:hAnsi="新細明體" w:cs="Segoe UI" w:hint="eastAsia"/>
                <w:sz w:val="17"/>
                <w:szCs w:val="17"/>
                <w:lang w:eastAsia="zh-HK"/>
              </w:rPr>
              <w:t>風險承擔（已將</w:t>
            </w:r>
            <w:r w:rsidR="004B2E5F" w:rsidRPr="00CA70B8">
              <w:rPr>
                <w:rFonts w:cs="Segoe UI"/>
                <w:sz w:val="17"/>
                <w:szCs w:val="17"/>
                <w:lang w:eastAsia="zh-TW"/>
              </w:rPr>
              <w:t>CCF</w:t>
            </w:r>
            <w:r w:rsidRPr="00CA70B8">
              <w:rPr>
                <w:rFonts w:ascii="新細明體" w:eastAsia="新細明體" w:hAnsi="新細明體" w:cs="Segoe UI" w:hint="eastAsia"/>
                <w:sz w:val="17"/>
                <w:szCs w:val="17"/>
                <w:lang w:eastAsia="zh-HK"/>
              </w:rPr>
              <w:t>及減低信用風險措施計算在內）</w:t>
            </w:r>
          </w:p>
        </w:tc>
      </w:tr>
      <w:tr w:rsidR="00CA70B8" w:rsidRPr="00CA70B8" w14:paraId="174317AD" w14:textId="77777777" w:rsidTr="00C60999">
        <w:trPr>
          <w:trHeight w:val="283"/>
        </w:trPr>
        <w:tc>
          <w:tcPr>
            <w:tcW w:w="558" w:type="dxa"/>
            <w:tcBorders>
              <w:top w:val="single" w:sz="4" w:space="0" w:color="auto"/>
              <w:left w:val="nil"/>
              <w:bottom w:val="single" w:sz="6" w:space="0" w:color="BCBDBC"/>
              <w:right w:val="single" w:sz="4" w:space="0" w:color="auto"/>
            </w:tcBorders>
          </w:tcPr>
          <w:p w14:paraId="651636A0" w14:textId="77777777" w:rsidR="00CA70B8" w:rsidRPr="00CA70B8" w:rsidRDefault="00CA70B8" w:rsidP="00CA70B8">
            <w:pPr>
              <w:snapToGrid w:val="0"/>
              <w:spacing w:before="40" w:after="40"/>
              <w:rPr>
                <w:rFonts w:cs="Segoe UI"/>
                <w:sz w:val="17"/>
                <w:szCs w:val="17"/>
                <w:lang w:eastAsia="en-GB"/>
              </w:rPr>
            </w:pPr>
            <w:r w:rsidRPr="00CA70B8">
              <w:rPr>
                <w:rFonts w:cs="Segoe UI"/>
                <w:sz w:val="17"/>
                <w:szCs w:val="17"/>
              </w:rPr>
              <w:t>1</w:t>
            </w:r>
          </w:p>
        </w:tc>
        <w:tc>
          <w:tcPr>
            <w:tcW w:w="4395" w:type="dxa"/>
            <w:tcBorders>
              <w:top w:val="single" w:sz="4" w:space="0" w:color="auto"/>
              <w:left w:val="single" w:sz="4" w:space="0" w:color="auto"/>
              <w:right w:val="single" w:sz="4" w:space="0" w:color="auto"/>
            </w:tcBorders>
            <w:noWrap/>
          </w:tcPr>
          <w:p w14:paraId="203A9170"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rPr>
              <w:t>40%</w:t>
            </w:r>
            <w:r w:rsidRPr="00CA70B8">
              <w:rPr>
                <w:rFonts w:ascii="新細明體" w:eastAsia="新細明體" w:hAnsi="新細明體" w:cs="Segoe UI" w:hint="eastAsia"/>
                <w:sz w:val="17"/>
                <w:szCs w:val="17"/>
                <w:lang w:eastAsia="zh-HK"/>
              </w:rPr>
              <w:t>以下</w:t>
            </w:r>
          </w:p>
        </w:tc>
        <w:tc>
          <w:tcPr>
            <w:tcW w:w="2303" w:type="dxa"/>
            <w:tcBorders>
              <w:top w:val="single" w:sz="4" w:space="0" w:color="auto"/>
              <w:left w:val="single" w:sz="4" w:space="0" w:color="auto"/>
              <w:bottom w:val="single" w:sz="6" w:space="0" w:color="BCBDBC"/>
              <w:right w:val="single" w:sz="4" w:space="0" w:color="auto"/>
            </w:tcBorders>
            <w:noWrap/>
            <w:vAlign w:val="center"/>
          </w:tcPr>
          <w:p w14:paraId="01EA2C17"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4" w:space="0" w:color="auto"/>
              <w:left w:val="single" w:sz="4" w:space="0" w:color="auto"/>
              <w:bottom w:val="single" w:sz="6" w:space="0" w:color="BCBDBC"/>
              <w:right w:val="single" w:sz="6" w:space="0" w:color="auto"/>
            </w:tcBorders>
            <w:noWrap/>
            <w:vAlign w:val="center"/>
          </w:tcPr>
          <w:p w14:paraId="0FAA1CE4"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4" w:space="0" w:color="auto"/>
              <w:left w:val="single" w:sz="6" w:space="0" w:color="auto"/>
              <w:bottom w:val="single" w:sz="6" w:space="0" w:color="BCBDBC"/>
              <w:right w:val="single" w:sz="6" w:space="0" w:color="auto"/>
            </w:tcBorders>
            <w:noWrap/>
            <w:vAlign w:val="center"/>
          </w:tcPr>
          <w:p w14:paraId="0C230298"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4" w:space="0" w:color="auto"/>
              <w:left w:val="single" w:sz="6" w:space="0" w:color="auto"/>
              <w:bottom w:val="single" w:sz="6" w:space="0" w:color="BCBDBC"/>
              <w:right w:val="single" w:sz="6" w:space="0" w:color="auto"/>
            </w:tcBorders>
          </w:tcPr>
          <w:p w14:paraId="36272855"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2B71659F" w14:textId="77777777" w:rsidTr="00C60999">
        <w:trPr>
          <w:trHeight w:val="283"/>
        </w:trPr>
        <w:tc>
          <w:tcPr>
            <w:tcW w:w="558" w:type="dxa"/>
            <w:tcBorders>
              <w:top w:val="single" w:sz="6" w:space="0" w:color="BCBDBC"/>
              <w:left w:val="nil"/>
              <w:bottom w:val="single" w:sz="6" w:space="0" w:color="BCBDBC"/>
              <w:right w:val="single" w:sz="4" w:space="0" w:color="auto"/>
            </w:tcBorders>
          </w:tcPr>
          <w:p w14:paraId="03F016AD" w14:textId="77777777" w:rsidR="00CA70B8" w:rsidRPr="00CA70B8" w:rsidRDefault="00CA70B8" w:rsidP="00CA70B8">
            <w:pPr>
              <w:snapToGrid w:val="0"/>
              <w:spacing w:before="40" w:after="40"/>
              <w:rPr>
                <w:rFonts w:cs="Segoe UI"/>
                <w:sz w:val="17"/>
                <w:szCs w:val="17"/>
                <w:lang w:eastAsia="en-GB"/>
              </w:rPr>
            </w:pPr>
            <w:r w:rsidRPr="00CA70B8">
              <w:rPr>
                <w:rFonts w:cs="Segoe UI"/>
                <w:sz w:val="17"/>
                <w:szCs w:val="17"/>
              </w:rPr>
              <w:t>2</w:t>
            </w:r>
          </w:p>
        </w:tc>
        <w:tc>
          <w:tcPr>
            <w:tcW w:w="4395" w:type="dxa"/>
            <w:tcBorders>
              <w:left w:val="single" w:sz="4" w:space="0" w:color="auto"/>
              <w:right w:val="single" w:sz="4" w:space="0" w:color="auto"/>
            </w:tcBorders>
            <w:noWrap/>
          </w:tcPr>
          <w:p w14:paraId="2CA2A19F"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rPr>
              <w:t>40</w:t>
            </w:r>
            <w:r w:rsidRPr="00CA70B8">
              <w:rPr>
                <w:rFonts w:ascii="新細明體" w:eastAsia="新細明體" w:hAnsi="新細明體" w:cs="Segoe UI" w:hint="eastAsia"/>
                <w:sz w:val="17"/>
                <w:szCs w:val="17"/>
                <w:lang w:eastAsia="zh-HK"/>
              </w:rPr>
              <w:t>至</w:t>
            </w:r>
            <w:r w:rsidRPr="00CA70B8">
              <w:rPr>
                <w:rFonts w:cs="Segoe UI"/>
                <w:sz w:val="17"/>
                <w:szCs w:val="17"/>
              </w:rPr>
              <w:t>70%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761F2222"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236D563C"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3491F438"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6" w:space="0" w:color="BCBDBC"/>
              <w:left w:val="single" w:sz="6" w:space="0" w:color="auto"/>
              <w:bottom w:val="single" w:sz="6" w:space="0" w:color="BCBDBC"/>
              <w:right w:val="single" w:sz="6" w:space="0" w:color="auto"/>
            </w:tcBorders>
          </w:tcPr>
          <w:p w14:paraId="5E52D991"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109E713C" w14:textId="77777777" w:rsidTr="00C60999">
        <w:trPr>
          <w:trHeight w:val="283"/>
        </w:trPr>
        <w:tc>
          <w:tcPr>
            <w:tcW w:w="558" w:type="dxa"/>
            <w:tcBorders>
              <w:top w:val="single" w:sz="6" w:space="0" w:color="BCBDBC"/>
              <w:left w:val="nil"/>
              <w:bottom w:val="single" w:sz="6" w:space="0" w:color="BCBDBC"/>
              <w:right w:val="single" w:sz="4" w:space="0" w:color="auto"/>
            </w:tcBorders>
          </w:tcPr>
          <w:p w14:paraId="3854455A" w14:textId="77777777" w:rsidR="00CA70B8" w:rsidRPr="00CA70B8" w:rsidRDefault="00CA70B8" w:rsidP="00CA70B8">
            <w:pPr>
              <w:snapToGrid w:val="0"/>
              <w:spacing w:before="40" w:after="40"/>
              <w:rPr>
                <w:rFonts w:cs="Segoe UI"/>
                <w:sz w:val="17"/>
                <w:szCs w:val="17"/>
                <w:lang w:eastAsia="en-GB"/>
              </w:rPr>
            </w:pPr>
            <w:r w:rsidRPr="00CA70B8">
              <w:rPr>
                <w:rFonts w:cs="Segoe UI"/>
                <w:sz w:val="17"/>
                <w:szCs w:val="17"/>
              </w:rPr>
              <w:t>3</w:t>
            </w:r>
          </w:p>
        </w:tc>
        <w:tc>
          <w:tcPr>
            <w:tcW w:w="4395" w:type="dxa"/>
            <w:tcBorders>
              <w:left w:val="single" w:sz="4" w:space="0" w:color="auto"/>
              <w:right w:val="single" w:sz="4" w:space="0" w:color="auto"/>
            </w:tcBorders>
            <w:noWrap/>
          </w:tcPr>
          <w:p w14:paraId="13F55734" w14:textId="77777777" w:rsidR="00CA70B8" w:rsidRPr="00CA70B8" w:rsidRDefault="00CA70B8" w:rsidP="00CA70B8">
            <w:pPr>
              <w:snapToGrid w:val="0"/>
              <w:spacing w:before="40" w:after="40"/>
              <w:jc w:val="center"/>
              <w:rPr>
                <w:rFonts w:cs="Segoe UI"/>
                <w:sz w:val="17"/>
                <w:szCs w:val="17"/>
                <w:highlight w:val="green"/>
                <w:lang w:eastAsia="en-GB"/>
              </w:rPr>
            </w:pPr>
            <w:r w:rsidRPr="00CA70B8">
              <w:rPr>
                <w:rFonts w:cs="Segoe UI"/>
                <w:sz w:val="17"/>
                <w:szCs w:val="17"/>
              </w:rPr>
              <w:t>100%</w:t>
            </w:r>
            <w:r w:rsidRPr="00CA70B8">
              <w:rPr>
                <w:rFonts w:ascii="新細明體" w:eastAsia="新細明體" w:hAnsi="新細明體" w:cs="Segoe UI" w:hint="eastAsia"/>
                <w:sz w:val="17"/>
                <w:szCs w:val="17"/>
                <w:lang w:eastAsia="zh-HK"/>
              </w:rPr>
              <w:t>至</w:t>
            </w:r>
            <w:r w:rsidRPr="00CA70B8">
              <w:rPr>
                <w:rFonts w:cs="Segoe UI"/>
                <w:sz w:val="17"/>
                <w:szCs w:val="17"/>
              </w:rPr>
              <w:t>120%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461F20A2"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3333D047"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65C9FD12"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6" w:space="0" w:color="BCBDBC"/>
              <w:left w:val="single" w:sz="6" w:space="0" w:color="auto"/>
              <w:bottom w:val="single" w:sz="6" w:space="0" w:color="BCBDBC"/>
              <w:right w:val="single" w:sz="6" w:space="0" w:color="auto"/>
            </w:tcBorders>
          </w:tcPr>
          <w:p w14:paraId="10FE8E1C"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0506A426" w14:textId="77777777" w:rsidTr="00C60999">
        <w:trPr>
          <w:trHeight w:val="283"/>
        </w:trPr>
        <w:tc>
          <w:tcPr>
            <w:tcW w:w="558" w:type="dxa"/>
            <w:tcBorders>
              <w:top w:val="single" w:sz="6" w:space="0" w:color="BCBDBC"/>
              <w:left w:val="nil"/>
              <w:bottom w:val="single" w:sz="6" w:space="0" w:color="BCBDBC"/>
              <w:right w:val="single" w:sz="4" w:space="0" w:color="auto"/>
            </w:tcBorders>
          </w:tcPr>
          <w:p w14:paraId="296AD2F4" w14:textId="77777777" w:rsidR="00CA70B8" w:rsidRPr="00CA70B8" w:rsidRDefault="00CA70B8" w:rsidP="00CA70B8">
            <w:pPr>
              <w:snapToGrid w:val="0"/>
              <w:spacing w:before="40" w:after="40"/>
              <w:rPr>
                <w:rFonts w:cs="Segoe UI"/>
                <w:sz w:val="17"/>
                <w:szCs w:val="17"/>
                <w:lang w:eastAsia="en-GB"/>
              </w:rPr>
            </w:pPr>
            <w:r w:rsidRPr="00CA70B8">
              <w:rPr>
                <w:rFonts w:cs="Segoe UI"/>
                <w:sz w:val="17"/>
                <w:szCs w:val="17"/>
              </w:rPr>
              <w:t>4</w:t>
            </w:r>
          </w:p>
        </w:tc>
        <w:tc>
          <w:tcPr>
            <w:tcW w:w="4395" w:type="dxa"/>
            <w:tcBorders>
              <w:left w:val="single" w:sz="4" w:space="0" w:color="auto"/>
              <w:right w:val="single" w:sz="4" w:space="0" w:color="auto"/>
            </w:tcBorders>
            <w:noWrap/>
          </w:tcPr>
          <w:p w14:paraId="022BB169"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rPr>
              <w:t>150%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6141C9A8"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33E21AEF"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043018B2"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6" w:space="0" w:color="BCBDBC"/>
              <w:left w:val="single" w:sz="6" w:space="0" w:color="auto"/>
              <w:bottom w:val="single" w:sz="6" w:space="0" w:color="BCBDBC"/>
              <w:right w:val="single" w:sz="6" w:space="0" w:color="auto"/>
            </w:tcBorders>
          </w:tcPr>
          <w:p w14:paraId="44301E49"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002F9D3B" w14:textId="77777777" w:rsidTr="00C60999">
        <w:trPr>
          <w:trHeight w:val="283"/>
        </w:trPr>
        <w:tc>
          <w:tcPr>
            <w:tcW w:w="558" w:type="dxa"/>
            <w:tcBorders>
              <w:top w:val="single" w:sz="6" w:space="0" w:color="BCBDBC"/>
              <w:left w:val="nil"/>
              <w:bottom w:val="single" w:sz="6" w:space="0" w:color="BCBDBC"/>
              <w:right w:val="single" w:sz="4" w:space="0" w:color="auto"/>
            </w:tcBorders>
          </w:tcPr>
          <w:p w14:paraId="6AD4002C" w14:textId="77777777" w:rsidR="00CA70B8" w:rsidRPr="00CA70B8" w:rsidRDefault="00CA70B8" w:rsidP="00CA70B8">
            <w:pPr>
              <w:snapToGrid w:val="0"/>
              <w:spacing w:before="40" w:after="40"/>
              <w:rPr>
                <w:rFonts w:cs="Segoe UI"/>
                <w:sz w:val="17"/>
                <w:szCs w:val="17"/>
                <w:lang w:eastAsia="en-GB"/>
              </w:rPr>
            </w:pPr>
            <w:r w:rsidRPr="00CA70B8">
              <w:rPr>
                <w:rFonts w:cs="Segoe UI"/>
                <w:sz w:val="17"/>
                <w:szCs w:val="17"/>
              </w:rPr>
              <w:t>5</w:t>
            </w:r>
          </w:p>
        </w:tc>
        <w:tc>
          <w:tcPr>
            <w:tcW w:w="4395" w:type="dxa"/>
            <w:tcBorders>
              <w:left w:val="single" w:sz="4" w:space="0" w:color="auto"/>
              <w:right w:val="single" w:sz="4" w:space="0" w:color="auto"/>
            </w:tcBorders>
            <w:noWrap/>
          </w:tcPr>
          <w:p w14:paraId="621784EE"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rPr>
              <w:t>250%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3B537C7F"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0CDBEC68"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6C090435"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6" w:space="0" w:color="BCBDBC"/>
              <w:left w:val="single" w:sz="6" w:space="0" w:color="auto"/>
              <w:bottom w:val="single" w:sz="6" w:space="0" w:color="BCBDBC"/>
              <w:right w:val="single" w:sz="6" w:space="0" w:color="auto"/>
            </w:tcBorders>
          </w:tcPr>
          <w:p w14:paraId="30F34876"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29976E18" w14:textId="77777777" w:rsidTr="00C60999">
        <w:trPr>
          <w:trHeight w:val="283"/>
        </w:trPr>
        <w:tc>
          <w:tcPr>
            <w:tcW w:w="558" w:type="dxa"/>
            <w:tcBorders>
              <w:top w:val="single" w:sz="6" w:space="0" w:color="BCBDBC"/>
              <w:left w:val="nil"/>
              <w:bottom w:val="single" w:sz="6" w:space="0" w:color="BCBDBC"/>
              <w:right w:val="single" w:sz="4" w:space="0" w:color="auto"/>
            </w:tcBorders>
          </w:tcPr>
          <w:p w14:paraId="3DAF830D" w14:textId="77777777" w:rsidR="00CA70B8" w:rsidRPr="00CA70B8" w:rsidRDefault="00CA70B8" w:rsidP="00CA70B8">
            <w:pPr>
              <w:snapToGrid w:val="0"/>
              <w:spacing w:before="40" w:after="40"/>
              <w:rPr>
                <w:rFonts w:cs="Segoe UI"/>
                <w:sz w:val="17"/>
                <w:szCs w:val="17"/>
                <w:lang w:eastAsia="en-GB"/>
              </w:rPr>
            </w:pPr>
            <w:r w:rsidRPr="00CA70B8">
              <w:rPr>
                <w:rFonts w:cs="Segoe UI"/>
                <w:sz w:val="17"/>
                <w:szCs w:val="17"/>
              </w:rPr>
              <w:t>6</w:t>
            </w:r>
          </w:p>
        </w:tc>
        <w:tc>
          <w:tcPr>
            <w:tcW w:w="4395" w:type="dxa"/>
            <w:tcBorders>
              <w:left w:val="single" w:sz="4" w:space="0" w:color="auto"/>
              <w:right w:val="single" w:sz="4" w:space="0" w:color="auto"/>
            </w:tcBorders>
            <w:noWrap/>
          </w:tcPr>
          <w:p w14:paraId="1143606B" w14:textId="77777777" w:rsidR="00CA70B8" w:rsidRPr="00CA70B8" w:rsidRDefault="00CA70B8" w:rsidP="00CA70B8">
            <w:pPr>
              <w:snapToGrid w:val="0"/>
              <w:spacing w:before="40" w:after="40"/>
              <w:jc w:val="center"/>
              <w:rPr>
                <w:rFonts w:cs="Segoe UI"/>
                <w:sz w:val="17"/>
                <w:szCs w:val="17"/>
                <w:lang w:eastAsia="en-GB"/>
              </w:rPr>
            </w:pPr>
            <w:r w:rsidRPr="00CA70B8">
              <w:rPr>
                <w:rFonts w:cs="Segoe UI"/>
                <w:sz w:val="17"/>
                <w:szCs w:val="17"/>
              </w:rPr>
              <w:t>400%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60D6B0CD"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274990B3"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4C40EFE7"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6" w:space="0" w:color="BCBDBC"/>
              <w:left w:val="single" w:sz="6" w:space="0" w:color="auto"/>
              <w:bottom w:val="single" w:sz="6" w:space="0" w:color="BCBDBC"/>
              <w:right w:val="single" w:sz="6" w:space="0" w:color="auto"/>
            </w:tcBorders>
          </w:tcPr>
          <w:p w14:paraId="724058B1"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367E6EFB" w14:textId="77777777" w:rsidTr="00C60999">
        <w:trPr>
          <w:trHeight w:val="283"/>
        </w:trPr>
        <w:tc>
          <w:tcPr>
            <w:tcW w:w="558" w:type="dxa"/>
            <w:tcBorders>
              <w:top w:val="single" w:sz="6" w:space="0" w:color="BCBDBC"/>
              <w:left w:val="nil"/>
              <w:bottom w:val="single" w:sz="6" w:space="0" w:color="BCBDBC"/>
              <w:right w:val="single" w:sz="4" w:space="0" w:color="auto"/>
            </w:tcBorders>
          </w:tcPr>
          <w:p w14:paraId="316768DC" w14:textId="77777777" w:rsidR="00CA70B8" w:rsidRPr="00CA70B8" w:rsidRDefault="00CA70B8" w:rsidP="00CA70B8">
            <w:pPr>
              <w:snapToGrid w:val="0"/>
              <w:spacing w:before="40" w:after="40"/>
              <w:rPr>
                <w:rFonts w:cs="Segoe UI"/>
                <w:sz w:val="17"/>
                <w:szCs w:val="17"/>
              </w:rPr>
            </w:pPr>
            <w:r w:rsidRPr="00CA70B8">
              <w:rPr>
                <w:rFonts w:cs="Segoe UI"/>
                <w:sz w:val="17"/>
                <w:szCs w:val="17"/>
                <w:lang w:eastAsia="en-GB"/>
              </w:rPr>
              <w:t>7</w:t>
            </w:r>
          </w:p>
        </w:tc>
        <w:tc>
          <w:tcPr>
            <w:tcW w:w="4395" w:type="dxa"/>
            <w:tcBorders>
              <w:left w:val="single" w:sz="4" w:space="0" w:color="auto"/>
              <w:right w:val="single" w:sz="4" w:space="0" w:color="auto"/>
            </w:tcBorders>
            <w:noWrap/>
          </w:tcPr>
          <w:p w14:paraId="672E871A" w14:textId="77777777" w:rsidR="00CA70B8" w:rsidRPr="00CA70B8" w:rsidRDefault="00CA70B8" w:rsidP="00CA70B8">
            <w:pPr>
              <w:snapToGrid w:val="0"/>
              <w:spacing w:before="40" w:after="40"/>
              <w:jc w:val="center"/>
              <w:rPr>
                <w:rFonts w:cs="Segoe UI"/>
                <w:sz w:val="17"/>
                <w:szCs w:val="17"/>
              </w:rPr>
            </w:pPr>
            <w:r w:rsidRPr="00CA70B8">
              <w:rPr>
                <w:rFonts w:cs="Segoe UI"/>
                <w:sz w:val="17"/>
                <w:szCs w:val="17"/>
                <w:lang w:eastAsia="en-GB"/>
              </w:rPr>
              <w:t>1,250%</w:t>
            </w:r>
          </w:p>
        </w:tc>
        <w:tc>
          <w:tcPr>
            <w:tcW w:w="2303" w:type="dxa"/>
            <w:tcBorders>
              <w:top w:val="single" w:sz="6" w:space="0" w:color="BCBDBC"/>
              <w:left w:val="single" w:sz="4" w:space="0" w:color="auto"/>
              <w:bottom w:val="single" w:sz="6" w:space="0" w:color="BCBDBC"/>
              <w:right w:val="single" w:sz="4" w:space="0" w:color="auto"/>
            </w:tcBorders>
            <w:noWrap/>
            <w:vAlign w:val="center"/>
          </w:tcPr>
          <w:p w14:paraId="7F01DFB6"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4" w:space="0" w:color="auto"/>
              <w:bottom w:val="single" w:sz="6" w:space="0" w:color="BCBDBC"/>
              <w:right w:val="single" w:sz="6" w:space="0" w:color="auto"/>
            </w:tcBorders>
            <w:noWrap/>
            <w:vAlign w:val="center"/>
          </w:tcPr>
          <w:p w14:paraId="05F03F35"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6" w:space="0" w:color="auto"/>
              <w:bottom w:val="single" w:sz="6" w:space="0" w:color="BCBDBC"/>
              <w:right w:val="single" w:sz="6" w:space="0" w:color="auto"/>
            </w:tcBorders>
            <w:noWrap/>
            <w:vAlign w:val="center"/>
          </w:tcPr>
          <w:p w14:paraId="6CB591EB"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6" w:space="0" w:color="BCBDBC"/>
              <w:left w:val="single" w:sz="6" w:space="0" w:color="auto"/>
              <w:bottom w:val="single" w:sz="6" w:space="0" w:color="BCBDBC"/>
              <w:right w:val="single" w:sz="6" w:space="0" w:color="auto"/>
            </w:tcBorders>
          </w:tcPr>
          <w:p w14:paraId="0CABD105"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72859D7C" w14:textId="77777777" w:rsidTr="00C60999">
        <w:trPr>
          <w:trHeight w:val="283"/>
        </w:trPr>
        <w:tc>
          <w:tcPr>
            <w:tcW w:w="558" w:type="dxa"/>
            <w:tcBorders>
              <w:top w:val="single" w:sz="6" w:space="0" w:color="BCBDBC"/>
              <w:left w:val="nil"/>
              <w:bottom w:val="single" w:sz="4" w:space="0" w:color="auto"/>
              <w:right w:val="single" w:sz="4" w:space="0" w:color="auto"/>
            </w:tcBorders>
          </w:tcPr>
          <w:p w14:paraId="2B745592" w14:textId="77777777" w:rsidR="00CA70B8" w:rsidRPr="00CA70B8" w:rsidRDefault="00CA70B8" w:rsidP="00CA70B8">
            <w:pPr>
              <w:snapToGrid w:val="0"/>
              <w:spacing w:before="40" w:after="40"/>
              <w:rPr>
                <w:rFonts w:cs="Segoe UI"/>
                <w:sz w:val="17"/>
                <w:szCs w:val="17"/>
              </w:rPr>
            </w:pPr>
            <w:r w:rsidRPr="00CA70B8">
              <w:rPr>
                <w:rFonts w:cs="Segoe UI"/>
                <w:sz w:val="17"/>
                <w:szCs w:val="17"/>
              </w:rPr>
              <w:t>8</w:t>
            </w:r>
          </w:p>
        </w:tc>
        <w:tc>
          <w:tcPr>
            <w:tcW w:w="4395" w:type="dxa"/>
            <w:tcBorders>
              <w:left w:val="single" w:sz="4" w:space="0" w:color="auto"/>
              <w:bottom w:val="single" w:sz="4" w:space="0" w:color="auto"/>
              <w:right w:val="single" w:sz="4" w:space="0" w:color="auto"/>
            </w:tcBorders>
            <w:noWrap/>
          </w:tcPr>
          <w:p w14:paraId="29039955" w14:textId="77777777" w:rsidR="00CA70B8" w:rsidRPr="00CA70B8" w:rsidRDefault="00CA70B8" w:rsidP="00CA70B8">
            <w:pPr>
              <w:snapToGrid w:val="0"/>
              <w:spacing w:before="40" w:after="40"/>
              <w:jc w:val="center"/>
              <w:rPr>
                <w:rFonts w:cs="Segoe UI"/>
                <w:sz w:val="17"/>
                <w:szCs w:val="17"/>
              </w:rPr>
            </w:pPr>
            <w:r w:rsidRPr="00CA70B8">
              <w:rPr>
                <w:rFonts w:ascii="新細明體" w:eastAsia="新細明體" w:hAnsi="新細明體" w:cs="Segoe UI" w:hint="eastAsia"/>
                <w:b/>
                <w:sz w:val="17"/>
                <w:szCs w:val="17"/>
                <w:lang w:eastAsia="zh-HK"/>
              </w:rPr>
              <w:t>總風險承擔</w:t>
            </w:r>
          </w:p>
        </w:tc>
        <w:tc>
          <w:tcPr>
            <w:tcW w:w="2303" w:type="dxa"/>
            <w:tcBorders>
              <w:top w:val="single" w:sz="6" w:space="0" w:color="BCBDBC"/>
              <w:left w:val="single" w:sz="4" w:space="0" w:color="auto"/>
              <w:bottom w:val="single" w:sz="4" w:space="0" w:color="auto"/>
              <w:right w:val="single" w:sz="4" w:space="0" w:color="auto"/>
            </w:tcBorders>
            <w:noWrap/>
            <w:vAlign w:val="center"/>
          </w:tcPr>
          <w:p w14:paraId="0A1E1CD0"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4" w:space="0" w:color="auto"/>
              <w:bottom w:val="single" w:sz="4" w:space="0" w:color="auto"/>
              <w:right w:val="single" w:sz="6" w:space="0" w:color="auto"/>
            </w:tcBorders>
            <w:noWrap/>
            <w:vAlign w:val="center"/>
          </w:tcPr>
          <w:p w14:paraId="4043FD40" w14:textId="77777777" w:rsidR="00CA70B8" w:rsidRPr="00CA70B8" w:rsidRDefault="00CA70B8" w:rsidP="00CA70B8">
            <w:pPr>
              <w:snapToGrid w:val="0"/>
              <w:spacing w:before="40" w:after="40"/>
              <w:rPr>
                <w:rFonts w:eastAsia="MS PGothic" w:cs="Segoe UI"/>
                <w:sz w:val="17"/>
                <w:szCs w:val="17"/>
                <w:lang w:eastAsia="ja-JP"/>
              </w:rPr>
            </w:pPr>
          </w:p>
        </w:tc>
        <w:tc>
          <w:tcPr>
            <w:tcW w:w="2303" w:type="dxa"/>
            <w:tcBorders>
              <w:top w:val="single" w:sz="6" w:space="0" w:color="BCBDBC"/>
              <w:left w:val="single" w:sz="6" w:space="0" w:color="auto"/>
              <w:bottom w:val="single" w:sz="4" w:space="0" w:color="auto"/>
              <w:right w:val="single" w:sz="6" w:space="0" w:color="auto"/>
            </w:tcBorders>
            <w:noWrap/>
            <w:vAlign w:val="center"/>
          </w:tcPr>
          <w:p w14:paraId="0B57681B" w14:textId="77777777" w:rsidR="00CA70B8" w:rsidRPr="00CA70B8" w:rsidRDefault="00CA70B8" w:rsidP="00CA70B8">
            <w:pPr>
              <w:snapToGrid w:val="0"/>
              <w:spacing w:before="40" w:after="40"/>
              <w:rPr>
                <w:rFonts w:eastAsia="MS PGothic" w:cs="Segoe UI"/>
                <w:sz w:val="17"/>
                <w:szCs w:val="17"/>
                <w:lang w:eastAsia="ja-JP"/>
              </w:rPr>
            </w:pPr>
          </w:p>
        </w:tc>
        <w:tc>
          <w:tcPr>
            <w:tcW w:w="2347" w:type="dxa"/>
            <w:tcBorders>
              <w:top w:val="single" w:sz="6" w:space="0" w:color="BCBDBC"/>
              <w:left w:val="single" w:sz="6" w:space="0" w:color="auto"/>
              <w:bottom w:val="single" w:sz="4" w:space="0" w:color="auto"/>
              <w:right w:val="single" w:sz="6" w:space="0" w:color="auto"/>
            </w:tcBorders>
          </w:tcPr>
          <w:p w14:paraId="33417DD8" w14:textId="77777777" w:rsidR="00CA70B8" w:rsidRPr="00CA70B8" w:rsidRDefault="00CA70B8" w:rsidP="00CA70B8">
            <w:pPr>
              <w:snapToGrid w:val="0"/>
              <w:spacing w:before="40" w:after="40"/>
              <w:rPr>
                <w:rFonts w:eastAsia="MS PGothic" w:cs="Segoe UI"/>
                <w:sz w:val="17"/>
                <w:szCs w:val="17"/>
                <w:lang w:eastAsia="ja-JP"/>
              </w:rPr>
            </w:pPr>
          </w:p>
        </w:tc>
      </w:tr>
      <w:tr w:rsidR="00CA70B8" w:rsidRPr="00CA70B8" w14:paraId="38EF4B44" w14:textId="77777777" w:rsidTr="00C60999">
        <w:trPr>
          <w:trHeight w:val="283"/>
        </w:trPr>
        <w:tc>
          <w:tcPr>
            <w:tcW w:w="14209" w:type="dxa"/>
            <w:gridSpan w:val="6"/>
            <w:tcBorders>
              <w:top w:val="single" w:sz="4" w:space="0" w:color="auto"/>
              <w:left w:val="nil"/>
              <w:bottom w:val="single" w:sz="4" w:space="0" w:color="auto"/>
              <w:right w:val="single" w:sz="6" w:space="0" w:color="auto"/>
            </w:tcBorders>
          </w:tcPr>
          <w:p w14:paraId="0AF78BF8" w14:textId="77777777" w:rsidR="00CA70B8" w:rsidRPr="00CA70B8" w:rsidRDefault="00CA70B8" w:rsidP="00CA70B8">
            <w:pPr>
              <w:keepLines/>
              <w:tabs>
                <w:tab w:val="left" w:pos="397"/>
                <w:tab w:val="left" w:pos="794"/>
                <w:tab w:val="left" w:pos="1191"/>
              </w:tabs>
              <w:snapToGrid w:val="0"/>
              <w:spacing w:before="20" w:after="20"/>
              <w:rPr>
                <w:rFonts w:cs="Segoe UI"/>
                <w:i/>
                <w:sz w:val="17"/>
                <w:szCs w:val="17"/>
                <w:lang w:eastAsia="zh-TW"/>
              </w:rPr>
            </w:pPr>
            <w:r w:rsidRPr="00CA70B8">
              <w:rPr>
                <w:rFonts w:ascii="新細明體" w:eastAsia="新細明體" w:hAnsi="新細明體" w:cs="Segoe UI" w:hint="eastAsia"/>
                <w:i/>
                <w:sz w:val="17"/>
                <w:szCs w:val="17"/>
                <w:lang w:eastAsia="zh-HK"/>
              </w:rPr>
              <w:t>注意事項</w:t>
            </w:r>
            <w:r w:rsidRPr="00CA70B8">
              <w:rPr>
                <w:rFonts w:ascii="新細明體" w:eastAsia="新細明體" w:hAnsi="新細明體" w:cs="Segoe UI" w:hint="eastAsia"/>
                <w:i/>
                <w:sz w:val="17"/>
                <w:szCs w:val="17"/>
                <w:lang w:eastAsia="zh-TW"/>
              </w:rPr>
              <w:t>：</w:t>
            </w:r>
          </w:p>
          <w:p w14:paraId="55C16E8D" w14:textId="466DA789" w:rsidR="00CA70B8" w:rsidRPr="00CA70B8" w:rsidRDefault="00CA70B8" w:rsidP="00CA70B8">
            <w:pPr>
              <w:snapToGrid w:val="0"/>
              <w:spacing w:before="40" w:after="40"/>
              <w:rPr>
                <w:rFonts w:cs="Segoe UI"/>
                <w:sz w:val="17"/>
                <w:szCs w:val="17"/>
                <w:lang w:eastAsia="zh-TW"/>
              </w:rPr>
            </w:pPr>
            <w:r w:rsidRPr="00CA70B8">
              <w:rPr>
                <w:rFonts w:cs="Segoe UI"/>
                <w:sz w:val="17"/>
                <w:szCs w:val="17"/>
                <w:lang w:eastAsia="zh-TW"/>
              </w:rPr>
              <w:t xml:space="preserve"># </w:t>
            </w:r>
            <w:r w:rsidRPr="00F30277">
              <w:rPr>
                <w:rFonts w:ascii="細明體" w:eastAsia="細明體" w:hAnsi="細明體" w:cs="Segoe UI" w:hint="eastAsia"/>
                <w:sz w:val="17"/>
                <w:szCs w:val="17"/>
                <w:lang w:eastAsia="zh-HK"/>
              </w:rPr>
              <w:t>認可機構應就上表未列出的適用風險權重</w:t>
            </w:r>
            <w:r w:rsidRPr="00F30277">
              <w:rPr>
                <w:rFonts w:ascii="細明體" w:eastAsia="細明體" w:hAnsi="細明體" w:cs="Segoe UI" w:hint="eastAsia"/>
                <w:sz w:val="17"/>
                <w:szCs w:val="17"/>
                <w:lang w:eastAsia="zh-TW"/>
              </w:rPr>
              <w:t>（</w:t>
            </w:r>
            <w:r w:rsidRPr="00F30277">
              <w:rPr>
                <w:rFonts w:ascii="細明體" w:eastAsia="細明體" w:hAnsi="細明體" w:cs="Segoe UI" w:hint="eastAsia"/>
                <w:sz w:val="17"/>
                <w:szCs w:val="17"/>
                <w:lang w:eastAsia="zh-HK"/>
              </w:rPr>
              <w:t>如有</w:t>
            </w:r>
            <w:r w:rsidRPr="00F30277">
              <w:rPr>
                <w:rFonts w:ascii="細明體" w:eastAsia="細明體" w:hAnsi="細明體" w:cs="Segoe UI" w:hint="eastAsia"/>
                <w:sz w:val="17"/>
                <w:szCs w:val="17"/>
                <w:lang w:eastAsia="zh-TW"/>
              </w:rPr>
              <w:t>）</w:t>
            </w:r>
            <w:r w:rsidR="004B2E5F" w:rsidRPr="00F30277">
              <w:rPr>
                <w:rFonts w:ascii="細明體" w:eastAsia="細明體" w:hAnsi="細明體" w:cs="Segoe UI" w:hint="eastAsia"/>
                <w:sz w:val="17"/>
                <w:szCs w:val="17"/>
                <w:lang w:eastAsia="zh-HK"/>
              </w:rPr>
              <w:t>加入附加</w:t>
            </w:r>
            <w:r w:rsidRPr="00F30277">
              <w:rPr>
                <w:rFonts w:ascii="細明體" w:eastAsia="細明體" w:hAnsi="細明體" w:cs="Segoe UI" w:hint="eastAsia"/>
                <w:sz w:val="17"/>
                <w:szCs w:val="17"/>
                <w:lang w:eastAsia="zh-HK"/>
              </w:rPr>
              <w:t>行</w:t>
            </w:r>
            <w:r w:rsidRPr="00F30277">
              <w:rPr>
                <w:rFonts w:ascii="細明體" w:eastAsia="細明體" w:hAnsi="細明體" w:cs="Segoe UI" w:hint="eastAsia"/>
                <w:sz w:val="17"/>
                <w:szCs w:val="17"/>
                <w:lang w:eastAsia="zh-TW"/>
              </w:rPr>
              <w:t>。</w:t>
            </w:r>
          </w:p>
          <w:p w14:paraId="78BAFFAB" w14:textId="75D59F2E" w:rsidR="00CA70B8" w:rsidRPr="00CA70B8" w:rsidRDefault="00CA70B8" w:rsidP="00C60999">
            <w:pPr>
              <w:keepLines/>
              <w:tabs>
                <w:tab w:val="left" w:pos="397"/>
                <w:tab w:val="left" w:pos="794"/>
                <w:tab w:val="left" w:pos="1191"/>
              </w:tabs>
              <w:snapToGrid w:val="0"/>
              <w:spacing w:before="20" w:after="20"/>
              <w:rPr>
                <w:rFonts w:eastAsia="MS PGothic" w:cs="Segoe UI"/>
                <w:sz w:val="17"/>
                <w:szCs w:val="17"/>
                <w:lang w:eastAsia="ja-JP"/>
              </w:rPr>
            </w:pPr>
            <w:r w:rsidRPr="00CA70B8">
              <w:rPr>
                <w:rFonts w:cs="Segoe UI"/>
                <w:sz w:val="17"/>
                <w:szCs w:val="17"/>
                <w:lang w:eastAsia="zh-TW"/>
              </w:rPr>
              <w:t xml:space="preserve">* </w:t>
            </w:r>
            <w:r w:rsidR="004B2E5F">
              <w:rPr>
                <w:rFonts w:ascii="新細明體" w:eastAsia="新細明體" w:hAnsi="新細明體" w:cs="Segoe UI" w:hint="eastAsia"/>
                <w:sz w:val="17"/>
                <w:szCs w:val="17"/>
                <w:lang w:eastAsia="zh-HK"/>
              </w:rPr>
              <w:t>權重是基於</w:t>
            </w:r>
            <w:r w:rsidRPr="00CA70B8">
              <w:rPr>
                <w:rFonts w:ascii="新細明體" w:eastAsia="新細明體" w:hAnsi="新細明體" w:cs="Segoe UI"/>
                <w:sz w:val="17"/>
                <w:szCs w:val="17"/>
                <w:lang w:eastAsia="zh-HK"/>
              </w:rPr>
              <w:t>資</w:t>
            </w:r>
            <w:r w:rsidRPr="00CA70B8">
              <w:rPr>
                <w:rFonts w:ascii="新細明體" w:eastAsia="新細明體" w:hAnsi="新細明體" w:cs="Segoe UI" w:hint="eastAsia"/>
                <w:sz w:val="17"/>
                <w:szCs w:val="17"/>
                <w:lang w:eastAsia="zh-HK"/>
              </w:rPr>
              <w:t>產</w:t>
            </w:r>
            <w:r w:rsidRPr="00CA70B8">
              <w:rPr>
                <w:rFonts w:ascii="新細明體" w:eastAsia="新細明體" w:hAnsi="新細明體" w:cs="Segoe UI"/>
                <w:sz w:val="17"/>
                <w:szCs w:val="17"/>
                <w:lang w:eastAsia="zh-HK"/>
              </w:rPr>
              <w:t>負</w:t>
            </w:r>
            <w:r w:rsidRPr="00CA70B8">
              <w:rPr>
                <w:rFonts w:ascii="新細明體" w:eastAsia="新細明體" w:hAnsi="新細明體" w:cs="Segoe UI" w:hint="eastAsia"/>
                <w:sz w:val="17"/>
                <w:szCs w:val="17"/>
                <w:lang w:eastAsia="zh-HK"/>
              </w:rPr>
              <w:t>債表外</w:t>
            </w:r>
            <w:r w:rsidRPr="00CA70B8">
              <w:rPr>
                <w:rFonts w:ascii="新細明體" w:eastAsia="新細明體" w:hAnsi="新細明體" w:cs="Segoe UI" w:hint="eastAsia"/>
                <w:sz w:val="17"/>
                <w:szCs w:val="17"/>
                <w:lang w:val="en-US" w:eastAsia="zh-HK"/>
              </w:rPr>
              <w:t>風險承擔（未將</w:t>
            </w:r>
            <w:r w:rsidR="00A47331" w:rsidRPr="00CA70B8">
              <w:rPr>
                <w:rFonts w:cs="Segoe UI"/>
                <w:sz w:val="17"/>
                <w:szCs w:val="17"/>
                <w:lang w:eastAsia="zh-TW"/>
              </w:rPr>
              <w:t>CCF</w:t>
            </w:r>
            <w:r w:rsidR="004B2E5F">
              <w:rPr>
                <w:rFonts w:ascii="新細明體" w:eastAsia="新細明體" w:hAnsi="新細明體" w:cs="Segoe UI" w:hint="eastAsia"/>
                <w:sz w:val="17"/>
                <w:szCs w:val="17"/>
                <w:lang w:val="en-US" w:eastAsia="zh-HK"/>
              </w:rPr>
              <w:t>計算在內）</w:t>
            </w:r>
            <w:r w:rsidRPr="00CA70B8">
              <w:rPr>
                <w:rFonts w:ascii="新細明體" w:eastAsia="新細明體" w:hAnsi="新細明體" w:cs="Segoe UI" w:hint="eastAsia"/>
                <w:sz w:val="17"/>
                <w:szCs w:val="17"/>
                <w:lang w:val="en-US" w:eastAsia="zh-TW"/>
              </w:rPr>
              <w:t>。</w:t>
            </w:r>
          </w:p>
        </w:tc>
      </w:tr>
    </w:tbl>
    <w:p w14:paraId="74273450" w14:textId="15ACB6A4" w:rsidR="00CA70B8" w:rsidRDefault="00CA70B8" w:rsidP="00272D6C">
      <w:pPr>
        <w:suppressAutoHyphens/>
        <w:spacing w:before="40" w:after="40"/>
        <w:rPr>
          <w:rFonts w:eastAsia="細明體" w:cs="Segoe UI"/>
          <w:u w:val="single"/>
          <w:lang w:eastAsia="ar-SA"/>
        </w:rPr>
      </w:pPr>
    </w:p>
    <w:tbl>
      <w:tblPr>
        <w:tblpPr w:leftFromText="180" w:rightFromText="180" w:vertAnchor="text" w:tblpX="108" w:tblpY="1"/>
        <w:tblOverlap w:val="never"/>
        <w:tblW w:w="0" w:type="auto"/>
        <w:tblLayout w:type="fixed"/>
        <w:tblLook w:val="0000" w:firstRow="0" w:lastRow="0" w:firstColumn="0" w:lastColumn="0" w:noHBand="0" w:noVBand="0"/>
      </w:tblPr>
      <w:tblGrid>
        <w:gridCol w:w="993"/>
        <w:gridCol w:w="12919"/>
      </w:tblGrid>
      <w:tr w:rsidR="00373588" w14:paraId="0943DFC6" w14:textId="77777777" w:rsidTr="00E4323A">
        <w:trPr>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742D4F30" w14:textId="77777777" w:rsidR="00373588" w:rsidRDefault="00373588" w:rsidP="00E4323A">
            <w:pPr>
              <w:pStyle w:val="TableNote"/>
              <w:keepNext/>
              <w:spacing w:before="40" w:after="40"/>
            </w:pPr>
            <w:proofErr w:type="spellStart"/>
            <w:r>
              <w:rPr>
                <w:rFonts w:eastAsia="細明體" w:hint="eastAsia"/>
                <w:b/>
                <w:sz w:val="17"/>
              </w:rPr>
              <w:t>註釋</w:t>
            </w:r>
            <w:proofErr w:type="spellEnd"/>
          </w:p>
        </w:tc>
      </w:tr>
      <w:tr w:rsidR="00373588" w14:paraId="0671027E" w14:textId="77777777" w:rsidTr="00E4323A">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BEC61CF" w14:textId="77777777" w:rsidR="00373588" w:rsidRDefault="00373588" w:rsidP="00E4323A">
            <w:pPr>
              <w:pStyle w:val="TableNote"/>
              <w:keepNext/>
              <w:spacing w:before="40" w:after="40"/>
            </w:pPr>
            <w:r>
              <w:rPr>
                <w:rFonts w:eastAsia="細明體" w:hint="eastAsia"/>
                <w:b/>
                <w:sz w:val="17"/>
              </w:rPr>
              <w:t>行</w:t>
            </w:r>
          </w:p>
        </w:tc>
      </w:tr>
      <w:tr w:rsidR="00373588" w14:paraId="03E1C2A8" w14:textId="77777777" w:rsidTr="00E4323A">
        <w:tc>
          <w:tcPr>
            <w:tcW w:w="993" w:type="dxa"/>
            <w:tcBorders>
              <w:top w:val="single" w:sz="4" w:space="0" w:color="000000"/>
              <w:left w:val="single" w:sz="4" w:space="0" w:color="000000"/>
              <w:bottom w:val="single" w:sz="4" w:space="0" w:color="000000"/>
            </w:tcBorders>
            <w:shd w:val="clear" w:color="auto" w:fill="auto"/>
          </w:tcPr>
          <w:p w14:paraId="38794968" w14:textId="77777777" w:rsidR="00373588" w:rsidRDefault="00373588" w:rsidP="00E4323A">
            <w:pPr>
              <w:pStyle w:val="TableNote"/>
              <w:keepNext/>
              <w:spacing w:before="40" w:after="40"/>
              <w:rPr>
                <w:rFonts w:eastAsia="細明體"/>
                <w:sz w:val="17"/>
                <w:szCs w:val="17"/>
              </w:rPr>
            </w:pPr>
            <w:proofErr w:type="spellStart"/>
            <w:r>
              <w:rPr>
                <w:rFonts w:eastAsia="細明體" w:hint="eastAsia"/>
                <w:sz w:val="17"/>
                <w:szCs w:val="17"/>
              </w:rPr>
              <w:t>所有</w:t>
            </w:r>
            <w:proofErr w:type="spellEnd"/>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2001E603" w14:textId="3F3E5E22" w:rsidR="00C71B05" w:rsidRDefault="00373588" w:rsidP="00E4323A">
            <w:pPr>
              <w:pStyle w:val="TableNote"/>
              <w:keepNext/>
              <w:spacing w:before="40" w:after="40"/>
              <w:rPr>
                <w:lang w:eastAsia="zh-TW"/>
              </w:rPr>
            </w:pPr>
            <w:r>
              <w:rPr>
                <w:rFonts w:eastAsia="細明體" w:hint="eastAsia"/>
                <w:sz w:val="17"/>
                <w:szCs w:val="17"/>
                <w:lang w:eastAsia="zh-TW"/>
              </w:rPr>
              <w:t>各行及其各自的定義與《資本規則》第</w:t>
            </w:r>
            <w:r>
              <w:rPr>
                <w:rFonts w:eastAsia="細明體"/>
                <w:sz w:val="17"/>
                <w:szCs w:val="17"/>
                <w:lang w:eastAsia="zh-TW"/>
              </w:rPr>
              <w:t>4</w:t>
            </w:r>
            <w:r>
              <w:rPr>
                <w:rFonts w:eastAsia="細明體" w:hint="eastAsia"/>
                <w:sz w:val="17"/>
                <w:szCs w:val="17"/>
                <w:lang w:eastAsia="zh-TW"/>
              </w:rPr>
              <w:t>部（就</w:t>
            </w:r>
            <w:r>
              <w:rPr>
                <w:rFonts w:eastAsia="細明體"/>
                <w:sz w:val="17"/>
                <w:szCs w:val="17"/>
                <w:lang w:eastAsia="zh-TW"/>
              </w:rPr>
              <w:t>STC</w:t>
            </w:r>
            <w:r>
              <w:rPr>
                <w:rFonts w:eastAsia="細明體" w:hint="eastAsia"/>
                <w:sz w:val="17"/>
                <w:szCs w:val="17"/>
                <w:lang w:eastAsia="zh-TW"/>
              </w:rPr>
              <w:t>計算法而言）或第</w:t>
            </w:r>
            <w:r>
              <w:rPr>
                <w:rFonts w:eastAsia="細明體"/>
                <w:sz w:val="17"/>
                <w:szCs w:val="17"/>
                <w:lang w:eastAsia="zh-TW"/>
              </w:rPr>
              <w:t>5</w:t>
            </w:r>
            <w:r>
              <w:rPr>
                <w:rFonts w:eastAsia="細明體" w:hint="eastAsia"/>
                <w:sz w:val="17"/>
                <w:szCs w:val="17"/>
                <w:lang w:eastAsia="zh-TW"/>
              </w:rPr>
              <w:t>部（就</w:t>
            </w:r>
            <w:r>
              <w:rPr>
                <w:rFonts w:eastAsia="細明體"/>
                <w:sz w:val="17"/>
                <w:szCs w:val="17"/>
                <w:lang w:eastAsia="zh-TW"/>
              </w:rPr>
              <w:t>BSC</w:t>
            </w:r>
            <w:r>
              <w:rPr>
                <w:rFonts w:eastAsia="細明體" w:hint="eastAsia"/>
                <w:sz w:val="17"/>
                <w:szCs w:val="17"/>
                <w:lang w:eastAsia="zh-TW"/>
              </w:rPr>
              <w:t>計算法而言）所採用的風險承擔分類一致。</w:t>
            </w:r>
            <w:r w:rsidR="003B3B7C" w:rsidRPr="005E679C">
              <w:rPr>
                <w:rFonts w:eastAsia="細明體" w:hint="eastAsia"/>
                <w:sz w:val="17"/>
                <w:szCs w:val="17"/>
                <w:lang w:eastAsia="zh-TW"/>
              </w:rPr>
              <w:t>這些</w:t>
            </w:r>
            <w:r w:rsidR="003B3B7C" w:rsidRPr="00180C3A">
              <w:rPr>
                <w:rFonts w:eastAsia="細明體" w:hint="eastAsia"/>
                <w:sz w:val="17"/>
                <w:szCs w:val="17"/>
                <w:lang w:eastAsia="zh-TW"/>
              </w:rPr>
              <w:t>應</w:t>
            </w:r>
            <w:r w:rsidR="003B3B7C" w:rsidRPr="005E679C">
              <w:rPr>
                <w:rFonts w:eastAsia="細明體" w:hint="eastAsia"/>
                <w:sz w:val="17"/>
                <w:szCs w:val="17"/>
                <w:lang w:eastAsia="zh-TW"/>
              </w:rPr>
              <w:t>包括</w:t>
            </w:r>
            <w:r w:rsidR="003B3B7C" w:rsidRPr="00180C3A">
              <w:rPr>
                <w:rFonts w:eastAsia="細明體" w:hint="eastAsia"/>
                <w:sz w:val="17"/>
                <w:szCs w:val="17"/>
                <w:lang w:eastAsia="zh-TW"/>
              </w:rPr>
              <w:t>第</w:t>
            </w:r>
            <w:r w:rsidR="003B3B7C" w:rsidRPr="00180C3A">
              <w:rPr>
                <w:rFonts w:eastAsia="細明體"/>
                <w:sz w:val="17"/>
                <w:szCs w:val="17"/>
                <w:lang w:eastAsia="zh-TW"/>
              </w:rPr>
              <w:t>1a</w:t>
            </w:r>
            <w:r w:rsidR="003B3B7C" w:rsidRPr="005E679C">
              <w:rPr>
                <w:rFonts w:eastAsia="細明體" w:hint="eastAsia"/>
                <w:sz w:val="17"/>
                <w:szCs w:val="17"/>
                <w:lang w:eastAsia="zh-TW"/>
              </w:rPr>
              <w:t>組</w:t>
            </w:r>
            <w:r w:rsidR="003B3B7C" w:rsidRPr="00180C3A">
              <w:rPr>
                <w:rFonts w:eastAsia="細明體" w:hint="eastAsia"/>
                <w:sz w:val="17"/>
                <w:szCs w:val="17"/>
                <w:lang w:eastAsia="zh-TW"/>
              </w:rPr>
              <w:t>加密資產風險承擔及第</w:t>
            </w:r>
            <w:r w:rsidR="003B3B7C" w:rsidRPr="006C5118">
              <w:rPr>
                <w:rFonts w:eastAsia="細明體"/>
                <w:sz w:val="17"/>
                <w:szCs w:val="17"/>
                <w:lang w:eastAsia="zh-TW"/>
              </w:rPr>
              <w:t>1b</w:t>
            </w:r>
            <w:r w:rsidR="003B3B7C" w:rsidRPr="005E679C">
              <w:rPr>
                <w:rFonts w:eastAsia="細明體" w:hint="eastAsia"/>
                <w:sz w:val="17"/>
                <w:szCs w:val="17"/>
                <w:lang w:eastAsia="zh-TW"/>
              </w:rPr>
              <w:t>組</w:t>
            </w:r>
            <w:r w:rsidR="003B3B7C" w:rsidRPr="00180C3A">
              <w:rPr>
                <w:rFonts w:eastAsia="細明體" w:hint="eastAsia"/>
                <w:sz w:val="17"/>
                <w:szCs w:val="17"/>
                <w:lang w:eastAsia="zh-TW"/>
              </w:rPr>
              <w:t>加密資產</w:t>
            </w:r>
            <w:r w:rsidR="003B3B7C" w:rsidRPr="00033178">
              <w:rPr>
                <w:rFonts w:eastAsia="細明體" w:hint="eastAsia"/>
                <w:sz w:val="17"/>
                <w:szCs w:val="17"/>
                <w:lang w:eastAsia="zh-TW"/>
              </w:rPr>
              <w:t>風險承擔。這些風險承擔應</w:t>
            </w:r>
            <w:r w:rsidR="003B3B7C" w:rsidRPr="00033178">
              <w:rPr>
                <w:rFonts w:eastAsia="細明體" w:hint="eastAsia"/>
                <w:sz w:val="17"/>
                <w:szCs w:val="17"/>
                <w:lang w:eastAsia="zh-HK"/>
              </w:rPr>
              <w:t>按</w:t>
            </w:r>
            <w:r w:rsidR="003B3B7C" w:rsidRPr="00F16DAB">
              <w:rPr>
                <w:rFonts w:eastAsia="細明體" w:hint="eastAsia"/>
                <w:sz w:val="17"/>
                <w:szCs w:val="17"/>
                <w:lang w:eastAsia="zh-HK"/>
              </w:rPr>
              <w:t>該</w:t>
            </w:r>
            <w:r w:rsidR="003B3B7C">
              <w:rPr>
                <w:rFonts w:eastAsia="細明體" w:hint="eastAsia"/>
                <w:sz w:val="17"/>
                <w:szCs w:val="17"/>
                <w:lang w:eastAsia="zh-HK"/>
              </w:rPr>
              <w:t>些</w:t>
            </w:r>
            <w:r w:rsidR="003B3B7C" w:rsidRPr="00033178">
              <w:rPr>
                <w:rFonts w:eastAsia="細明體" w:hint="eastAsia"/>
                <w:sz w:val="17"/>
                <w:szCs w:val="17"/>
                <w:lang w:eastAsia="zh-TW"/>
              </w:rPr>
              <w:t>風險承擔</w:t>
            </w:r>
            <w:r w:rsidR="00D9068B">
              <w:rPr>
                <w:rFonts w:eastAsia="細明體" w:hint="eastAsia"/>
                <w:sz w:val="17"/>
                <w:szCs w:val="17"/>
                <w:lang w:eastAsia="zh-TW"/>
              </w:rPr>
              <w:t>所</w:t>
            </w:r>
            <w:r w:rsidR="003B3B7C" w:rsidRPr="00033178">
              <w:rPr>
                <w:rFonts w:eastAsia="細明體" w:hint="eastAsia"/>
                <w:sz w:val="17"/>
                <w:szCs w:val="17"/>
                <w:lang w:eastAsia="zh-TW"/>
              </w:rPr>
              <w:t>關</w:t>
            </w:r>
            <w:r w:rsidR="003B3B7C">
              <w:rPr>
                <w:rFonts w:eastAsia="細明體" w:hint="eastAsia"/>
                <w:sz w:val="17"/>
                <w:szCs w:val="17"/>
                <w:lang w:eastAsia="zh-HK"/>
              </w:rPr>
              <w:t>乎</w:t>
            </w:r>
            <w:r w:rsidR="003B3B7C" w:rsidRPr="00033178">
              <w:rPr>
                <w:rFonts w:eastAsia="細明體" w:hint="eastAsia"/>
                <w:sz w:val="17"/>
                <w:szCs w:val="17"/>
                <w:lang w:eastAsia="zh-TW"/>
              </w:rPr>
              <w:t>的第</w:t>
            </w:r>
            <w:r w:rsidR="003B3B7C" w:rsidRPr="00033178">
              <w:rPr>
                <w:rFonts w:eastAsia="細明體"/>
                <w:sz w:val="17"/>
                <w:szCs w:val="17"/>
                <w:lang w:eastAsia="zh-TW"/>
              </w:rPr>
              <w:t>1a</w:t>
            </w:r>
            <w:r w:rsidR="003B3B7C" w:rsidRPr="00033178">
              <w:rPr>
                <w:rFonts w:eastAsia="細明體" w:hint="eastAsia"/>
                <w:sz w:val="17"/>
                <w:szCs w:val="17"/>
                <w:lang w:eastAsia="zh-TW"/>
              </w:rPr>
              <w:t>組加密資產的基礎傳統資產、第</w:t>
            </w:r>
            <w:r w:rsidR="003B3B7C" w:rsidRPr="00033178">
              <w:rPr>
                <w:rFonts w:eastAsia="細明體"/>
                <w:sz w:val="17"/>
                <w:szCs w:val="17"/>
                <w:lang w:eastAsia="zh-TW"/>
              </w:rPr>
              <w:t>1b</w:t>
            </w:r>
            <w:r w:rsidR="003B3B7C" w:rsidRPr="00033178">
              <w:rPr>
                <w:rFonts w:eastAsia="細明體" w:hint="eastAsia"/>
                <w:sz w:val="17"/>
                <w:szCs w:val="17"/>
                <w:lang w:eastAsia="zh-TW"/>
              </w:rPr>
              <w:t>組加密資產的參照資產，或相關贖回人</w:t>
            </w:r>
            <w:r w:rsidR="003B3B7C" w:rsidRPr="00033178">
              <w:rPr>
                <w:rFonts w:eastAsia="細明體"/>
                <w:sz w:val="17"/>
                <w:szCs w:val="17"/>
                <w:lang w:eastAsia="zh-TW"/>
              </w:rPr>
              <w:t>/</w:t>
            </w:r>
            <w:r w:rsidR="003B3B7C" w:rsidRPr="00033178">
              <w:rPr>
                <w:rFonts w:eastAsia="細明體" w:hint="eastAsia"/>
                <w:sz w:val="17"/>
                <w:szCs w:val="17"/>
                <w:lang w:eastAsia="zh-TW"/>
              </w:rPr>
              <w:t>成員持有人</w:t>
            </w:r>
            <w:r w:rsidR="003B3B7C" w:rsidRPr="00033178">
              <w:rPr>
                <w:rFonts w:eastAsia="細明體"/>
                <w:sz w:val="17"/>
                <w:szCs w:val="17"/>
                <w:lang w:eastAsia="zh-TW"/>
              </w:rPr>
              <w:t>/</w:t>
            </w:r>
            <w:r w:rsidR="003B3B7C" w:rsidRPr="00033178">
              <w:rPr>
                <w:rFonts w:eastAsia="細明體" w:hint="eastAsia"/>
                <w:sz w:val="17"/>
                <w:szCs w:val="17"/>
                <w:lang w:eastAsia="zh-TW"/>
              </w:rPr>
              <w:t>非成員持有人所屬的風險承擔類別進行填報。</w:t>
            </w:r>
            <w:r w:rsidR="005A2F48" w:rsidRPr="00033178">
              <w:rPr>
                <w:rFonts w:eastAsia="細明體" w:hint="eastAsia"/>
                <w:sz w:val="17"/>
                <w:szCs w:val="17"/>
                <w:lang w:eastAsia="zh-HK"/>
              </w:rPr>
              <w:t>惟</w:t>
            </w:r>
            <w:r w:rsidR="003B3B7C" w:rsidRPr="00033178">
              <w:rPr>
                <w:rFonts w:eastAsia="細明體" w:hint="eastAsia"/>
                <w:sz w:val="17"/>
                <w:szCs w:val="17"/>
                <w:lang w:eastAsia="zh-TW"/>
              </w:rPr>
              <w:t>使用</w:t>
            </w:r>
            <w:r w:rsidR="003B3B7C" w:rsidRPr="00033178">
              <w:rPr>
                <w:rFonts w:eastAsia="細明體"/>
                <w:sz w:val="17"/>
                <w:szCs w:val="17"/>
                <w:lang w:eastAsia="zh-TW"/>
              </w:rPr>
              <w:t>BSC</w:t>
            </w:r>
            <w:r w:rsidR="003B3B7C" w:rsidRPr="00033178">
              <w:rPr>
                <w:rFonts w:eastAsia="細明體" w:hint="eastAsia"/>
                <w:sz w:val="17"/>
                <w:szCs w:val="17"/>
                <w:lang w:eastAsia="zh-TW"/>
              </w:rPr>
              <w:t>計算法的認可機構，</w:t>
            </w:r>
            <w:r w:rsidR="005A2F48" w:rsidRPr="00033178">
              <w:rPr>
                <w:rFonts w:eastAsia="細明體" w:hint="eastAsia"/>
                <w:sz w:val="17"/>
                <w:szCs w:val="17"/>
                <w:lang w:eastAsia="zh-TW"/>
              </w:rPr>
              <w:t>應填報</w:t>
            </w:r>
            <w:r w:rsidR="003B3B7C" w:rsidRPr="00033178">
              <w:rPr>
                <w:rFonts w:eastAsia="細明體" w:hint="eastAsia"/>
                <w:sz w:val="17"/>
                <w:szCs w:val="17"/>
                <w:lang w:eastAsia="zh-TW"/>
              </w:rPr>
              <w:t>屬於第</w:t>
            </w:r>
            <w:r w:rsidR="003B3B7C" w:rsidRPr="00033178">
              <w:rPr>
                <w:rFonts w:eastAsia="細明體"/>
                <w:sz w:val="17"/>
                <w:szCs w:val="17"/>
                <w:lang w:eastAsia="zh-TW"/>
              </w:rPr>
              <w:t>15a</w:t>
            </w:r>
            <w:r w:rsidR="003B3B7C" w:rsidRPr="00033178">
              <w:rPr>
                <w:rFonts w:eastAsia="細明體" w:hint="eastAsia"/>
                <w:sz w:val="17"/>
                <w:szCs w:val="17"/>
                <w:lang w:eastAsia="zh-TW"/>
              </w:rPr>
              <w:t>行的風險承擔</w:t>
            </w:r>
            <w:r w:rsidR="004E7152" w:rsidRPr="00033178">
              <w:rPr>
                <w:rFonts w:eastAsia="細明體" w:hint="eastAsia"/>
                <w:sz w:val="17"/>
                <w:szCs w:val="17"/>
                <w:lang w:eastAsia="zh-TW"/>
              </w:rPr>
              <w:t>於該行中</w:t>
            </w:r>
            <w:r w:rsidR="003B3B7C" w:rsidRPr="00033178">
              <w:rPr>
                <w:rFonts w:eastAsia="細明體" w:hint="eastAsia"/>
                <w:sz w:val="17"/>
                <w:szCs w:val="17"/>
                <w:lang w:eastAsia="zh-TW"/>
              </w:rPr>
              <w:t>。</w:t>
            </w:r>
            <w:r w:rsidR="00A47331" w:rsidRPr="0074694F">
              <w:rPr>
                <w:rFonts w:eastAsia="細明體" w:hint="eastAsia"/>
                <w:sz w:val="17"/>
                <w:szCs w:val="17"/>
                <w:lang w:eastAsia="zh-TW"/>
              </w:rPr>
              <w:t>貸款分拆計算法不適用於香港。</w:t>
            </w:r>
          </w:p>
        </w:tc>
      </w:tr>
      <w:tr w:rsidR="00373588" w14:paraId="4A34F08D" w14:textId="77777777" w:rsidTr="00E4323A">
        <w:tc>
          <w:tcPr>
            <w:tcW w:w="993" w:type="dxa"/>
            <w:tcBorders>
              <w:top w:val="single" w:sz="4" w:space="0" w:color="000000"/>
              <w:left w:val="single" w:sz="4" w:space="0" w:color="000000"/>
              <w:bottom w:val="single" w:sz="4" w:space="0" w:color="000000"/>
            </w:tcBorders>
            <w:shd w:val="clear" w:color="auto" w:fill="auto"/>
          </w:tcPr>
          <w:p w14:paraId="06F5580A" w14:textId="36A668D8" w:rsidR="00373588" w:rsidRDefault="00A47331" w:rsidP="00E4323A">
            <w:pPr>
              <w:pStyle w:val="TableNote"/>
              <w:keepNext/>
              <w:spacing w:before="40" w:after="40"/>
              <w:rPr>
                <w:rFonts w:eastAsia="細明體"/>
                <w:i/>
                <w:sz w:val="17"/>
                <w:szCs w:val="17"/>
              </w:rPr>
            </w:pPr>
            <w:r>
              <w:rPr>
                <w:rFonts w:eastAsia="細明體" w:hint="eastAsia"/>
                <w:sz w:val="17"/>
                <w:szCs w:val="17"/>
                <w:lang w:eastAsia="zh-TW"/>
              </w:rPr>
              <w:t>11</w:t>
            </w:r>
            <w:r w:rsidR="00373588">
              <w:rPr>
                <w:rFonts w:eastAsia="細明體"/>
                <w:sz w:val="17"/>
                <w:szCs w:val="17"/>
              </w:rPr>
              <w:t xml:space="preserve">(STC) / </w:t>
            </w:r>
            <w:r>
              <w:rPr>
                <w:rFonts w:eastAsia="細明體" w:hint="eastAsia"/>
                <w:sz w:val="17"/>
                <w:szCs w:val="17"/>
                <w:lang w:eastAsia="zh-TW"/>
              </w:rPr>
              <w:t>8</w:t>
            </w:r>
            <w:r w:rsidR="00373588">
              <w:rPr>
                <w:rFonts w:eastAsia="細明體"/>
                <w:sz w:val="17"/>
                <w:szCs w:val="17"/>
              </w:rPr>
              <w:t xml:space="preserve"> (BSC)</w:t>
            </w:r>
          </w:p>
        </w:tc>
        <w:tc>
          <w:tcPr>
            <w:tcW w:w="12919" w:type="dxa"/>
            <w:tcBorders>
              <w:top w:val="single" w:sz="4" w:space="0" w:color="000000"/>
              <w:left w:val="single" w:sz="4" w:space="0" w:color="000000"/>
              <w:bottom w:val="single" w:sz="4" w:space="0" w:color="000000"/>
              <w:right w:val="single" w:sz="4" w:space="0" w:color="000000"/>
            </w:tcBorders>
            <w:shd w:val="clear" w:color="auto" w:fill="auto"/>
          </w:tcPr>
          <w:p w14:paraId="0D3F232B" w14:textId="38CE7C33" w:rsidR="00373588" w:rsidRDefault="00A47331" w:rsidP="00E4323A">
            <w:pPr>
              <w:pStyle w:val="TableNote"/>
              <w:keepNext/>
              <w:spacing w:before="40" w:after="40"/>
              <w:rPr>
                <w:lang w:eastAsia="zh-TW"/>
              </w:rPr>
            </w:pPr>
            <w:r w:rsidRPr="00FA3C27">
              <w:rPr>
                <w:rFonts w:ascii="新細明體" w:eastAsia="新細明體" w:hAnsi="新細明體" w:cs="Segoe UI" w:hint="eastAsia"/>
                <w:i/>
                <w:sz w:val="17"/>
                <w:szCs w:val="17"/>
                <w:lang w:eastAsia="zh-HK"/>
              </w:rPr>
              <w:t>總</w:t>
            </w:r>
            <w:r w:rsidRPr="00FA3C27">
              <w:rPr>
                <w:rFonts w:eastAsia="細明體" w:hint="eastAsia"/>
                <w:i/>
                <w:sz w:val="17"/>
                <w:szCs w:val="17"/>
                <w:lang w:eastAsia="zh-TW"/>
              </w:rPr>
              <w:t>風險承擔</w:t>
            </w:r>
            <w:r>
              <w:rPr>
                <w:rFonts w:eastAsia="細明體" w:hint="eastAsia"/>
                <w:sz w:val="17"/>
                <w:szCs w:val="17"/>
                <w:lang w:eastAsia="zh-TW"/>
              </w:rPr>
              <w:t>（</w:t>
            </w:r>
            <w:r w:rsidR="005F657A">
              <w:rPr>
                <w:rFonts w:eastAsia="細明體" w:hint="eastAsia"/>
                <w:sz w:val="17"/>
                <w:szCs w:val="17"/>
                <w:lang w:eastAsia="zh-HK"/>
              </w:rPr>
              <w:t>在</w:t>
            </w:r>
            <w:r w:rsidRPr="00FA3C27">
              <w:rPr>
                <w:rFonts w:eastAsia="細明體" w:hint="eastAsia"/>
                <w:sz w:val="17"/>
                <w:szCs w:val="17"/>
                <w:lang w:eastAsia="zh-TW"/>
              </w:rPr>
              <w:t>「風險承擔數額及應用於資產負債表外風險承擔的</w:t>
            </w:r>
            <w:r w:rsidRPr="00FA3C27">
              <w:rPr>
                <w:rFonts w:eastAsia="細明體"/>
                <w:sz w:val="17"/>
                <w:szCs w:val="17"/>
                <w:lang w:eastAsia="zh-TW"/>
              </w:rPr>
              <w:t>CCF</w:t>
            </w:r>
            <w:r w:rsidR="005F657A">
              <w:rPr>
                <w:rFonts w:eastAsia="細明體" w:hint="eastAsia"/>
                <w:sz w:val="17"/>
                <w:szCs w:val="17"/>
                <w:lang w:eastAsia="zh-TW"/>
              </w:rPr>
              <w:t>（</w:t>
            </w:r>
            <w:r w:rsidRPr="00FA3C27">
              <w:rPr>
                <w:rFonts w:eastAsia="細明體" w:hint="eastAsia"/>
                <w:sz w:val="17"/>
                <w:szCs w:val="17"/>
                <w:lang w:eastAsia="zh-TW"/>
              </w:rPr>
              <w:t>根據經轉換風險承擔的風險組別分類</w:t>
            </w:r>
            <w:r w:rsidR="005F657A">
              <w:rPr>
                <w:rFonts w:eastAsia="細明體" w:hint="eastAsia"/>
                <w:sz w:val="17"/>
                <w:szCs w:val="17"/>
                <w:lang w:eastAsia="zh-TW"/>
              </w:rPr>
              <w:t>）</w:t>
            </w:r>
            <w:r w:rsidR="00221CDC" w:rsidRPr="00BE60C1">
              <w:rPr>
                <w:rFonts w:eastAsia="細明體" w:hint="eastAsia"/>
                <w:sz w:val="17"/>
                <w:szCs w:val="17"/>
                <w:lang w:eastAsia="zh-TW"/>
              </w:rPr>
              <w:t>表</w:t>
            </w:r>
            <w:r w:rsidR="00567C99">
              <w:rPr>
                <w:rFonts w:eastAsia="細明體" w:hint="eastAsia"/>
                <w:sz w:val="17"/>
                <w:szCs w:val="17"/>
                <w:lang w:eastAsia="zh-TW"/>
              </w:rPr>
              <w:t>中</w:t>
            </w:r>
            <w:r w:rsidRPr="00FA3C27">
              <w:rPr>
                <w:rFonts w:eastAsia="細明體" w:hint="eastAsia"/>
                <w:sz w:val="17"/>
                <w:szCs w:val="17"/>
                <w:lang w:eastAsia="zh-TW"/>
              </w:rPr>
              <w:t>」</w:t>
            </w:r>
            <w:r>
              <w:rPr>
                <w:rFonts w:eastAsia="細明體" w:hint="eastAsia"/>
                <w:sz w:val="17"/>
                <w:szCs w:val="17"/>
                <w:lang w:eastAsia="zh-TW"/>
              </w:rPr>
              <w:t>）</w:t>
            </w:r>
            <w:r w:rsidR="00373588">
              <w:rPr>
                <w:rFonts w:eastAsia="細明體" w:hint="eastAsia"/>
                <w:sz w:val="17"/>
                <w:szCs w:val="17"/>
                <w:lang w:eastAsia="zh-TW"/>
              </w:rPr>
              <w:t>：認可機構如使用</w:t>
            </w:r>
            <w:r w:rsidR="00373588">
              <w:rPr>
                <w:rFonts w:eastAsia="細明體"/>
                <w:sz w:val="17"/>
                <w:szCs w:val="17"/>
                <w:lang w:eastAsia="zh-TW"/>
              </w:rPr>
              <w:t>STC</w:t>
            </w:r>
            <w:r w:rsidR="00373588">
              <w:rPr>
                <w:rFonts w:eastAsia="細明體" w:hint="eastAsia"/>
                <w:sz w:val="17"/>
                <w:szCs w:val="17"/>
                <w:lang w:eastAsia="zh-TW"/>
              </w:rPr>
              <w:t>計算法，</w:t>
            </w:r>
            <w:r w:rsidR="00373588">
              <w:rPr>
                <w:rFonts w:eastAsia="細明體"/>
                <w:sz w:val="17"/>
                <w:szCs w:val="17"/>
                <w:lang w:eastAsia="zh-TW"/>
              </w:rPr>
              <w:t>[CR5(STC):</w:t>
            </w:r>
            <w:r w:rsidR="000A5AE1">
              <w:rPr>
                <w:rFonts w:eastAsia="細明體" w:hint="eastAsia"/>
                <w:sz w:val="17"/>
                <w:szCs w:val="17"/>
                <w:lang w:eastAsia="zh-TW"/>
              </w:rPr>
              <w:t>11/</w:t>
            </w:r>
            <w:r w:rsidR="000A5AE1">
              <w:rPr>
                <w:rFonts w:eastAsia="細明體"/>
                <w:sz w:val="17"/>
                <w:szCs w:val="17"/>
                <w:lang w:eastAsia="zh-TW"/>
              </w:rPr>
              <w:t>d</w:t>
            </w:r>
            <w:r w:rsidR="00373588">
              <w:rPr>
                <w:rFonts w:eastAsia="細明體"/>
                <w:sz w:val="17"/>
                <w:szCs w:val="17"/>
                <w:lang w:eastAsia="zh-TW"/>
              </w:rPr>
              <w:t>]</w:t>
            </w:r>
            <w:r w:rsidR="00373588">
              <w:rPr>
                <w:rFonts w:eastAsia="細明體" w:hint="eastAsia"/>
                <w:sz w:val="17"/>
                <w:szCs w:val="17"/>
                <w:lang w:eastAsia="zh-TW"/>
              </w:rPr>
              <w:t>的值相等於</w:t>
            </w:r>
            <w:r w:rsidR="00373588">
              <w:rPr>
                <w:rFonts w:eastAsia="細明體"/>
                <w:sz w:val="17"/>
                <w:szCs w:val="17"/>
                <w:lang w:eastAsia="zh-TW"/>
              </w:rPr>
              <w:t>[CR4(STC):</w:t>
            </w:r>
            <w:r w:rsidR="000A5AE1">
              <w:rPr>
                <w:rFonts w:eastAsia="細明體"/>
                <w:sz w:val="17"/>
                <w:szCs w:val="17"/>
                <w:lang w:eastAsia="zh-TW"/>
              </w:rPr>
              <w:t>12</w:t>
            </w:r>
            <w:r w:rsidR="00373588">
              <w:rPr>
                <w:rFonts w:eastAsia="細明體"/>
                <w:sz w:val="17"/>
                <w:szCs w:val="17"/>
                <w:lang w:eastAsia="zh-TW"/>
              </w:rPr>
              <w:t>/c]</w:t>
            </w:r>
            <w:r w:rsidR="00373588">
              <w:rPr>
                <w:rFonts w:eastAsia="細明體" w:hint="eastAsia"/>
                <w:sz w:val="17"/>
                <w:szCs w:val="17"/>
                <w:lang w:eastAsia="zh-TW"/>
              </w:rPr>
              <w:t>及</w:t>
            </w:r>
            <w:r w:rsidR="00373588">
              <w:rPr>
                <w:rFonts w:eastAsia="細明體"/>
                <w:sz w:val="17"/>
                <w:szCs w:val="17"/>
                <w:lang w:eastAsia="zh-TW"/>
              </w:rPr>
              <w:t>[CR4(STC):</w:t>
            </w:r>
            <w:r w:rsidR="000A5AE1">
              <w:rPr>
                <w:rFonts w:eastAsia="細明體"/>
                <w:sz w:val="17"/>
                <w:szCs w:val="17"/>
                <w:lang w:eastAsia="zh-TW"/>
              </w:rPr>
              <w:t>12</w:t>
            </w:r>
            <w:r w:rsidR="00373588">
              <w:rPr>
                <w:rFonts w:eastAsia="細明體"/>
                <w:sz w:val="17"/>
                <w:szCs w:val="17"/>
                <w:lang w:eastAsia="zh-TW"/>
              </w:rPr>
              <w:t>/d]</w:t>
            </w:r>
            <w:r w:rsidR="00373588">
              <w:rPr>
                <w:rFonts w:eastAsia="細明體" w:hint="eastAsia"/>
                <w:sz w:val="17"/>
                <w:szCs w:val="17"/>
                <w:lang w:eastAsia="zh-TW"/>
              </w:rPr>
              <w:t>的值的和；認可機構如使用</w:t>
            </w:r>
            <w:r w:rsidR="00373588">
              <w:rPr>
                <w:rFonts w:eastAsia="細明體"/>
                <w:sz w:val="17"/>
                <w:szCs w:val="17"/>
                <w:lang w:eastAsia="zh-TW"/>
              </w:rPr>
              <w:t>BSC</w:t>
            </w:r>
            <w:r w:rsidR="00373588">
              <w:rPr>
                <w:rFonts w:eastAsia="細明體" w:hint="eastAsia"/>
                <w:sz w:val="17"/>
                <w:szCs w:val="17"/>
                <w:lang w:eastAsia="zh-TW"/>
              </w:rPr>
              <w:t>計算法，</w:t>
            </w:r>
            <w:r w:rsidR="00373588">
              <w:rPr>
                <w:rFonts w:eastAsia="細明體"/>
                <w:sz w:val="17"/>
                <w:szCs w:val="17"/>
                <w:lang w:eastAsia="zh-TW"/>
              </w:rPr>
              <w:t>CR5(BSC):</w:t>
            </w:r>
            <w:r w:rsidR="000A5AE1">
              <w:rPr>
                <w:rFonts w:eastAsia="細明體"/>
                <w:sz w:val="17"/>
                <w:szCs w:val="17"/>
                <w:lang w:eastAsia="zh-TW"/>
              </w:rPr>
              <w:t>8/d</w:t>
            </w:r>
            <w:r w:rsidR="00373588">
              <w:rPr>
                <w:rFonts w:eastAsia="細明體"/>
                <w:sz w:val="17"/>
                <w:szCs w:val="17"/>
                <w:lang w:eastAsia="zh-TW"/>
              </w:rPr>
              <w:t>]</w:t>
            </w:r>
            <w:r w:rsidR="00373588">
              <w:rPr>
                <w:rFonts w:eastAsia="細明體" w:hint="eastAsia"/>
                <w:sz w:val="17"/>
                <w:szCs w:val="17"/>
                <w:lang w:eastAsia="zh-TW"/>
              </w:rPr>
              <w:t>的值相等於</w:t>
            </w:r>
            <w:r w:rsidR="00373588">
              <w:rPr>
                <w:rFonts w:eastAsia="細明體"/>
                <w:sz w:val="17"/>
                <w:szCs w:val="17"/>
                <w:lang w:eastAsia="zh-TW"/>
              </w:rPr>
              <w:t>[CR4(BSC):</w:t>
            </w:r>
            <w:r w:rsidR="000A5AE1">
              <w:rPr>
                <w:rFonts w:eastAsia="細明體"/>
                <w:sz w:val="17"/>
                <w:szCs w:val="17"/>
                <w:lang w:eastAsia="zh-TW"/>
              </w:rPr>
              <w:t>16</w:t>
            </w:r>
            <w:r w:rsidR="00373588">
              <w:rPr>
                <w:rFonts w:eastAsia="細明體"/>
                <w:sz w:val="17"/>
                <w:szCs w:val="17"/>
                <w:lang w:eastAsia="zh-TW"/>
              </w:rPr>
              <w:t>/c]</w:t>
            </w:r>
            <w:r w:rsidR="00373588">
              <w:rPr>
                <w:rFonts w:eastAsia="細明體" w:hint="eastAsia"/>
                <w:sz w:val="17"/>
                <w:szCs w:val="17"/>
                <w:lang w:eastAsia="zh-TW"/>
              </w:rPr>
              <w:t>及</w:t>
            </w:r>
            <w:r w:rsidR="00373588">
              <w:rPr>
                <w:rFonts w:eastAsia="細明體"/>
                <w:sz w:val="17"/>
                <w:szCs w:val="17"/>
                <w:lang w:eastAsia="zh-TW"/>
              </w:rPr>
              <w:t>[CR4(BSC):</w:t>
            </w:r>
            <w:r w:rsidR="000A5AE1">
              <w:rPr>
                <w:rFonts w:eastAsia="細明體"/>
                <w:sz w:val="17"/>
                <w:szCs w:val="17"/>
                <w:lang w:eastAsia="zh-TW"/>
              </w:rPr>
              <w:t>16</w:t>
            </w:r>
            <w:r w:rsidR="00373588">
              <w:rPr>
                <w:rFonts w:eastAsia="細明體"/>
                <w:sz w:val="17"/>
                <w:szCs w:val="17"/>
                <w:lang w:eastAsia="zh-TW"/>
              </w:rPr>
              <w:t>/d]</w:t>
            </w:r>
            <w:r w:rsidR="00373588">
              <w:rPr>
                <w:rFonts w:eastAsia="細明體" w:hint="eastAsia"/>
                <w:sz w:val="17"/>
                <w:szCs w:val="17"/>
                <w:lang w:eastAsia="zh-TW"/>
              </w:rPr>
              <w:t>的值的和。</w:t>
            </w:r>
          </w:p>
        </w:tc>
      </w:tr>
    </w:tbl>
    <w:p w14:paraId="40128ECE" w14:textId="3A2409D3" w:rsidR="00CA70B8" w:rsidRPr="00C60999" w:rsidRDefault="00CA70B8" w:rsidP="00272D6C">
      <w:pPr>
        <w:suppressAutoHyphens/>
        <w:spacing w:before="40" w:after="40"/>
        <w:rPr>
          <w:rFonts w:eastAsia="細明體" w:cs="Segoe UI"/>
          <w:u w:val="single"/>
          <w:lang w:eastAsia="ar-SA"/>
        </w:rPr>
      </w:pPr>
    </w:p>
    <w:p w14:paraId="5D752460" w14:textId="77777777" w:rsidR="00272D6C" w:rsidRDefault="00272D6C" w:rsidP="00272D6C">
      <w:pPr>
        <w:keepNext/>
        <w:keepLines/>
        <w:tabs>
          <w:tab w:val="left" w:pos="426"/>
        </w:tabs>
        <w:spacing w:after="360"/>
        <w:ind w:leftChars="-283" w:left="-566"/>
        <w:outlineLvl w:val="0"/>
        <w:rPr>
          <w:rFonts w:eastAsiaTheme="minorEastAsia" w:cs="Segoe UI"/>
          <w:color w:val="AA322F"/>
          <w:sz w:val="28"/>
          <w:lang w:eastAsia="zh-TW"/>
        </w:rPr>
        <w:sectPr w:rsidR="00272D6C" w:rsidSect="00272D6C">
          <w:footerReference w:type="default" r:id="rId70"/>
          <w:pgSz w:w="16838" w:h="11906" w:orient="landscape"/>
          <w:pgMar w:top="1843" w:right="1440" w:bottom="1276" w:left="1276" w:header="720" w:footer="737" w:gutter="0"/>
          <w:cols w:space="720"/>
          <w:docGrid w:type="linesAndChars" w:linePitch="360"/>
        </w:sectPr>
      </w:pPr>
    </w:p>
    <w:p w14:paraId="10011CD3" w14:textId="77777777" w:rsidR="00272D6C" w:rsidRPr="00272D6C" w:rsidRDefault="00272D6C" w:rsidP="00D540EB">
      <w:pPr>
        <w:keepNext/>
        <w:numPr>
          <w:ilvl w:val="0"/>
          <w:numId w:val="35"/>
        </w:numPr>
        <w:suppressAutoHyphens/>
        <w:spacing w:before="360" w:after="240"/>
        <w:outlineLvl w:val="1"/>
        <w:rPr>
          <w:rFonts w:eastAsia="細明體"/>
          <w:color w:val="AA322F"/>
          <w:sz w:val="22"/>
          <w:lang w:eastAsia="ar-SA"/>
        </w:rPr>
      </w:pPr>
      <w:r w:rsidRPr="00272D6C">
        <w:rPr>
          <w:rFonts w:eastAsia="細明體" w:hint="eastAsia"/>
          <w:color w:val="AA322F"/>
          <w:sz w:val="24"/>
          <w:lang w:eastAsia="ar-SA"/>
        </w:rPr>
        <w:t>在內部評級基準計算法下的信用風險</w:t>
      </w:r>
    </w:p>
    <w:p w14:paraId="04674731" w14:textId="519C8736" w:rsidR="008A5FFD" w:rsidRPr="008A5FFD" w:rsidRDefault="008A5FFD" w:rsidP="008A5FFD">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8A5FFD">
        <w:rPr>
          <w:rFonts w:eastAsia="細明體" w:cs="Segoe UI" w:hint="eastAsia"/>
          <w:b w:val="0"/>
          <w:sz w:val="22"/>
        </w:rPr>
        <w:t>表</w:t>
      </w:r>
      <w:r w:rsidRPr="008A5FFD">
        <w:rPr>
          <w:rFonts w:ascii="Segoe UI" w:eastAsia="細明體" w:hAnsi="Segoe UI" w:cs="Segoe UI"/>
          <w:b w:val="0"/>
          <w:sz w:val="22"/>
        </w:rPr>
        <w:t>CRE</w:t>
      </w:r>
      <w:r w:rsidRPr="008A5FFD">
        <w:rPr>
          <w:rFonts w:eastAsia="細明體" w:cs="Segoe UI" w:hint="eastAsia"/>
          <w:b w:val="0"/>
          <w:sz w:val="22"/>
        </w:rPr>
        <w:t>：</w:t>
      </w:r>
      <w:r w:rsidRPr="008A5FFD">
        <w:rPr>
          <w:rFonts w:eastAsia="細明體" w:cs="Segoe UI" w:hint="eastAsia"/>
          <w:b w:val="0"/>
          <w:sz w:val="22"/>
          <w:szCs w:val="22"/>
        </w:rPr>
        <w:t>關於在</w:t>
      </w:r>
      <w:r w:rsidRPr="008A5FFD">
        <w:rPr>
          <w:rFonts w:ascii="Segoe UI" w:eastAsia="細明體" w:hAnsi="Segoe UI" w:cs="Segoe UI"/>
          <w:b w:val="0"/>
          <w:sz w:val="22"/>
          <w:szCs w:val="22"/>
        </w:rPr>
        <w:t>IRB</w:t>
      </w:r>
      <w:r w:rsidRPr="008A5FFD">
        <w:rPr>
          <w:rFonts w:eastAsia="細明體" w:cs="Segoe UI" w:hint="eastAsia"/>
          <w:b w:val="0"/>
          <w:sz w:val="22"/>
          <w:szCs w:val="22"/>
        </w:rPr>
        <w:t>計算法下計量信用風險所使用的內部模式的描述披露</w:t>
      </w:r>
    </w:p>
    <w:tbl>
      <w:tblPr>
        <w:tblW w:w="9106" w:type="dxa"/>
        <w:tblInd w:w="-459" w:type="dxa"/>
        <w:tblLayout w:type="fixed"/>
        <w:tblLook w:val="0000" w:firstRow="0" w:lastRow="0" w:firstColumn="0" w:lastColumn="0" w:noHBand="0" w:noVBand="0"/>
      </w:tblPr>
      <w:tblGrid>
        <w:gridCol w:w="2160"/>
        <w:gridCol w:w="6946"/>
      </w:tblGrid>
      <w:tr w:rsidR="00272D6C" w:rsidRPr="00272D6C" w14:paraId="37871D77" w14:textId="77777777" w:rsidTr="004A3D58">
        <w:tc>
          <w:tcPr>
            <w:tcW w:w="2160" w:type="dxa"/>
            <w:tcBorders>
              <w:top w:val="single" w:sz="4" w:space="0" w:color="000000"/>
              <w:bottom w:val="single" w:sz="4" w:space="0" w:color="000000"/>
            </w:tcBorders>
            <w:shd w:val="clear" w:color="auto" w:fill="auto"/>
          </w:tcPr>
          <w:p w14:paraId="6823A4F2"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3A7BB979"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提供用以計算信用風險的</w:t>
            </w:r>
            <w:r w:rsidRPr="00272D6C">
              <w:rPr>
                <w:rFonts w:eastAsia="細明體" w:cs="Segoe UI"/>
                <w:sz w:val="17"/>
                <w:lang w:eastAsia="ar-SA"/>
              </w:rPr>
              <w:t>風險加權數額的內部模式的額外資料，</w:t>
            </w:r>
            <w:r w:rsidRPr="00272D6C">
              <w:rPr>
                <w:rFonts w:eastAsia="細明體" w:cs="Segoe UI" w:hint="eastAsia"/>
                <w:sz w:val="17"/>
                <w:lang w:eastAsia="ar-SA"/>
              </w:rPr>
              <w:t>並描述該等模式在集團層面使用的主要特點及該等模式的範圍</w:t>
            </w:r>
            <w:r w:rsidRPr="00272D6C">
              <w:rPr>
                <w:rFonts w:eastAsia="細明體" w:cs="Segoe UI"/>
                <w:sz w:val="17"/>
                <w:lang w:eastAsia="ar-SA"/>
              </w:rPr>
              <w:t>。</w:t>
            </w:r>
          </w:p>
        </w:tc>
      </w:tr>
      <w:tr w:rsidR="00272D6C" w:rsidRPr="00272D6C" w14:paraId="7F2BBB44" w14:textId="77777777" w:rsidTr="004A3D58">
        <w:tc>
          <w:tcPr>
            <w:tcW w:w="2160" w:type="dxa"/>
            <w:tcBorders>
              <w:top w:val="single" w:sz="4" w:space="0" w:color="000000"/>
              <w:bottom w:val="single" w:sz="4" w:space="0" w:color="000000"/>
            </w:tcBorders>
            <w:shd w:val="clear" w:color="auto" w:fill="auto"/>
          </w:tcPr>
          <w:p w14:paraId="55823525"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7F3DC140"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在香港成立為法團並使用</w:t>
            </w:r>
            <w:r w:rsidRPr="00272D6C">
              <w:rPr>
                <w:rFonts w:eastAsia="細明體" w:cs="Segoe UI"/>
                <w:sz w:val="17"/>
                <w:lang w:eastAsia="ar-SA"/>
              </w:rPr>
              <w:t>IRB</w:t>
            </w:r>
            <w:r w:rsidRPr="00272D6C">
              <w:rPr>
                <w:rFonts w:eastAsia="細明體" w:cs="Segoe UI" w:hint="eastAsia"/>
                <w:sz w:val="17"/>
                <w:lang w:eastAsia="ar-SA"/>
              </w:rPr>
              <w:t>計算法計算其部分或全部風險承擔的認可機構，均須填報本表。認可機構須向使用者提供有關其</w:t>
            </w:r>
            <w:r w:rsidRPr="00272D6C">
              <w:rPr>
                <w:rFonts w:eastAsia="細明體" w:cs="Segoe UI" w:hint="eastAsia"/>
                <w:sz w:val="17"/>
                <w:lang w:eastAsia="zh-TW"/>
              </w:rPr>
              <w:t>使</w:t>
            </w:r>
            <w:r w:rsidRPr="00272D6C">
              <w:rPr>
                <w:rFonts w:eastAsia="細明體" w:cs="Segoe UI" w:hint="eastAsia"/>
                <w:sz w:val="17"/>
                <w:lang w:eastAsia="ar-SA"/>
              </w:rPr>
              <w:t>用內部模式</w:t>
            </w:r>
            <w:r w:rsidRPr="00272D6C">
              <w:rPr>
                <w:rFonts w:eastAsia="細明體" w:cs="Segoe UI" w:hint="eastAsia"/>
                <w:sz w:val="17"/>
                <w:lang w:eastAsia="zh-TW"/>
              </w:rPr>
              <w:t>的</w:t>
            </w:r>
            <w:r w:rsidRPr="00272D6C">
              <w:rPr>
                <w:rFonts w:eastAsia="細明體" w:cs="Segoe UI" w:hint="eastAsia"/>
                <w:sz w:val="17"/>
                <w:lang w:eastAsia="ar-SA"/>
              </w:rPr>
              <w:t>具參考價值資料。認可機構應描述</w:t>
            </w:r>
            <w:r w:rsidRPr="00272D6C">
              <w:rPr>
                <w:rFonts w:eastAsia="細明體" w:cs="Segoe UI" w:hint="eastAsia"/>
                <w:sz w:val="17"/>
                <w:lang w:eastAsia="zh-TW"/>
              </w:rPr>
              <w:t>應</w:t>
            </w:r>
            <w:r w:rsidRPr="00272D6C">
              <w:rPr>
                <w:rFonts w:eastAsia="細明體" w:cs="Segoe UI" w:hint="eastAsia"/>
                <w:sz w:val="17"/>
                <w:lang w:eastAsia="ar-SA"/>
              </w:rPr>
              <w:t>用在集團層面（按照監管綜合範圍）的模式的主要特點，並以敘述評註闡明如何斷定該等模式的範圍。該項敘述評註應包括就認可機構的每個監管組合</w:t>
            </w:r>
            <w:r w:rsidRPr="00272D6C">
              <w:rPr>
                <w:rFonts w:eastAsia="細明體" w:cs="Segoe UI" w:hint="eastAsia"/>
                <w:sz w:val="17"/>
                <w:lang w:eastAsia="zh-TW"/>
              </w:rPr>
              <w:t>而言</w:t>
            </w:r>
            <w:r w:rsidRPr="00272D6C">
              <w:rPr>
                <w:rFonts w:eastAsia="細明體" w:cs="Segoe UI" w:hint="eastAsia"/>
                <w:sz w:val="17"/>
                <w:lang w:eastAsia="ar-SA"/>
              </w:rPr>
              <w:t>，模式涵蓋</w:t>
            </w:r>
            <w:r w:rsidRPr="00272D6C">
              <w:rPr>
                <w:rFonts w:eastAsia="細明體" w:cs="Segoe UI"/>
                <w:sz w:val="17"/>
                <w:lang w:eastAsia="ar-SA"/>
              </w:rPr>
              <w:t>風險加權數額</w:t>
            </w:r>
            <w:r w:rsidRPr="00272D6C">
              <w:rPr>
                <w:rFonts w:eastAsia="細明體" w:cs="Segoe UI" w:hint="eastAsia"/>
                <w:sz w:val="17"/>
                <w:lang w:eastAsia="ar-SA"/>
              </w:rPr>
              <w:t>的</w:t>
            </w:r>
            <w:r w:rsidRPr="00272D6C">
              <w:rPr>
                <w:rFonts w:eastAsia="細明體" w:cs="Segoe UI"/>
                <w:sz w:val="17"/>
                <w:lang w:eastAsia="ar-SA"/>
              </w:rPr>
              <w:t>百分</w:t>
            </w:r>
            <w:r w:rsidRPr="00272D6C">
              <w:rPr>
                <w:rFonts w:eastAsia="細明體" w:cs="Segoe UI" w:hint="eastAsia"/>
                <w:sz w:val="17"/>
                <w:lang w:eastAsia="zh-TW"/>
              </w:rPr>
              <w:t>率</w:t>
            </w:r>
            <w:r w:rsidRPr="00272D6C">
              <w:rPr>
                <w:rFonts w:eastAsia="細明體" w:cs="Segoe UI"/>
                <w:sz w:val="17"/>
                <w:lang w:eastAsia="ar-SA"/>
              </w:rPr>
              <w:t>。</w:t>
            </w:r>
          </w:p>
        </w:tc>
      </w:tr>
      <w:tr w:rsidR="00272D6C" w:rsidRPr="00272D6C" w14:paraId="2B4E97F9" w14:textId="77777777" w:rsidTr="004A3D58">
        <w:tc>
          <w:tcPr>
            <w:tcW w:w="2160" w:type="dxa"/>
            <w:tcBorders>
              <w:top w:val="single" w:sz="4" w:space="0" w:color="000000"/>
              <w:bottom w:val="single" w:sz="4" w:space="0" w:color="000000"/>
            </w:tcBorders>
            <w:shd w:val="clear" w:color="auto" w:fill="auto"/>
          </w:tcPr>
          <w:p w14:paraId="4BBC2C31"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0CF843D2"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描述資料</w:t>
            </w:r>
            <w:r w:rsidRPr="00272D6C">
              <w:rPr>
                <w:rFonts w:eastAsia="細明體" w:cs="Segoe UI"/>
                <w:sz w:val="17"/>
                <w:lang w:eastAsia="ar-SA"/>
              </w:rPr>
              <w:t>。</w:t>
            </w:r>
          </w:p>
        </w:tc>
      </w:tr>
      <w:tr w:rsidR="00272D6C" w:rsidRPr="00272D6C" w14:paraId="21C792D1" w14:textId="77777777" w:rsidTr="004A3D58">
        <w:tc>
          <w:tcPr>
            <w:tcW w:w="2160" w:type="dxa"/>
            <w:tcBorders>
              <w:top w:val="single" w:sz="4" w:space="0" w:color="000000"/>
              <w:bottom w:val="single" w:sz="4" w:space="0" w:color="000000"/>
            </w:tcBorders>
            <w:shd w:val="clear" w:color="auto" w:fill="auto"/>
          </w:tcPr>
          <w:p w14:paraId="0128E648"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1916FBD3"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每年一次</w:t>
            </w:r>
            <w:r w:rsidRPr="00272D6C">
              <w:rPr>
                <w:rFonts w:eastAsia="細明體" w:cs="Segoe UI"/>
                <w:sz w:val="17"/>
                <w:lang w:eastAsia="ar-SA"/>
              </w:rPr>
              <w:t>。</w:t>
            </w:r>
          </w:p>
        </w:tc>
      </w:tr>
      <w:tr w:rsidR="00272D6C" w:rsidRPr="00272D6C" w14:paraId="7FB9F750" w14:textId="77777777" w:rsidTr="004A3D58">
        <w:tc>
          <w:tcPr>
            <w:tcW w:w="2160" w:type="dxa"/>
            <w:tcBorders>
              <w:top w:val="single" w:sz="4" w:space="0" w:color="000000"/>
              <w:bottom w:val="single" w:sz="4" w:space="0" w:color="000000"/>
            </w:tcBorders>
            <w:shd w:val="clear" w:color="auto" w:fill="auto"/>
          </w:tcPr>
          <w:p w14:paraId="00580DA5"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4D102721"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非固定。評註應包括就認可機構的每個監管組合</w:t>
            </w:r>
            <w:r w:rsidRPr="00272D6C">
              <w:rPr>
                <w:rFonts w:eastAsia="細明體" w:cs="Segoe UI" w:hint="eastAsia"/>
                <w:sz w:val="17"/>
                <w:lang w:eastAsia="zh-TW"/>
              </w:rPr>
              <w:t>而言</w:t>
            </w:r>
            <w:r w:rsidRPr="00272D6C">
              <w:rPr>
                <w:rFonts w:eastAsia="細明體" w:cs="Segoe UI" w:hint="eastAsia"/>
                <w:sz w:val="17"/>
                <w:lang w:eastAsia="ar-SA"/>
              </w:rPr>
              <w:t>，模式涵蓋</w:t>
            </w:r>
            <w:r w:rsidRPr="00272D6C">
              <w:rPr>
                <w:rFonts w:eastAsia="細明體" w:cs="Segoe UI"/>
                <w:sz w:val="17"/>
                <w:lang w:eastAsia="ar-SA"/>
              </w:rPr>
              <w:t>風險加權數額</w:t>
            </w:r>
            <w:r w:rsidRPr="00272D6C">
              <w:rPr>
                <w:rFonts w:eastAsia="細明體" w:cs="Segoe UI" w:hint="eastAsia"/>
                <w:sz w:val="17"/>
                <w:lang w:eastAsia="ar-SA"/>
              </w:rPr>
              <w:t>的</w:t>
            </w:r>
            <w:r w:rsidRPr="00272D6C">
              <w:rPr>
                <w:rFonts w:eastAsia="細明體" w:cs="Segoe UI"/>
                <w:sz w:val="17"/>
                <w:lang w:eastAsia="ar-SA"/>
              </w:rPr>
              <w:t>百分</w:t>
            </w:r>
            <w:r w:rsidRPr="00272D6C">
              <w:rPr>
                <w:rFonts w:eastAsia="細明體" w:cs="Segoe UI" w:hint="eastAsia"/>
                <w:sz w:val="17"/>
                <w:lang w:eastAsia="zh-TW"/>
              </w:rPr>
              <w:t>率</w:t>
            </w:r>
            <w:r w:rsidRPr="00272D6C">
              <w:rPr>
                <w:rFonts w:eastAsia="細明體" w:cs="Segoe UI"/>
                <w:sz w:val="17"/>
                <w:lang w:eastAsia="ar-SA"/>
              </w:rPr>
              <w:t>。</w:t>
            </w:r>
          </w:p>
        </w:tc>
      </w:tr>
      <w:tr w:rsidR="00272D6C" w:rsidRPr="00272D6C" w14:paraId="5182ACDD" w14:textId="77777777" w:rsidTr="004A3D58">
        <w:tc>
          <w:tcPr>
            <w:tcW w:w="2160" w:type="dxa"/>
            <w:tcBorders>
              <w:top w:val="single" w:sz="4" w:space="0" w:color="000000"/>
              <w:bottom w:val="single" w:sz="4" w:space="0" w:color="000000"/>
            </w:tcBorders>
            <w:shd w:val="clear" w:color="auto" w:fill="auto"/>
          </w:tcPr>
          <w:p w14:paraId="1C51B233"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《披露規則》相應條文：</w:t>
            </w:r>
          </w:p>
        </w:tc>
        <w:tc>
          <w:tcPr>
            <w:tcW w:w="6946" w:type="dxa"/>
            <w:tcBorders>
              <w:top w:val="single" w:sz="4" w:space="0" w:color="000000"/>
              <w:left w:val="single" w:sz="4" w:space="0" w:color="000000"/>
              <w:bottom w:val="single" w:sz="4" w:space="0" w:color="000000"/>
            </w:tcBorders>
            <w:shd w:val="clear" w:color="auto" w:fill="auto"/>
          </w:tcPr>
          <w:p w14:paraId="052E0501"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16P</w:t>
            </w:r>
          </w:p>
        </w:tc>
      </w:tr>
    </w:tbl>
    <w:p w14:paraId="1D2E684A" w14:textId="77777777" w:rsidR="00272D6C" w:rsidRPr="00272D6C" w:rsidRDefault="00272D6C" w:rsidP="004A3D58">
      <w:pPr>
        <w:suppressAutoHyphens/>
        <w:rPr>
          <w:rFonts w:eastAsia="細明體" w:cs="Segoe UI"/>
          <w:sz w:val="22"/>
          <w:lang w:eastAsia="ar-SA"/>
        </w:rPr>
      </w:pPr>
    </w:p>
    <w:tbl>
      <w:tblPr>
        <w:tblW w:w="9242" w:type="dxa"/>
        <w:tblInd w:w="-497" w:type="dxa"/>
        <w:tblLayout w:type="fixed"/>
        <w:tblCellMar>
          <w:left w:w="70" w:type="dxa"/>
          <w:right w:w="70" w:type="dxa"/>
        </w:tblCellMar>
        <w:tblLook w:val="0000" w:firstRow="0" w:lastRow="0" w:firstColumn="0" w:lastColumn="0" w:noHBand="0" w:noVBand="0"/>
      </w:tblPr>
      <w:tblGrid>
        <w:gridCol w:w="370"/>
        <w:gridCol w:w="8872"/>
      </w:tblGrid>
      <w:tr w:rsidR="00272D6C" w:rsidRPr="00272D6C" w14:paraId="3F73FF46" w14:textId="77777777" w:rsidTr="005171C5">
        <w:trPr>
          <w:trHeight w:val="448"/>
        </w:trPr>
        <w:tc>
          <w:tcPr>
            <w:tcW w:w="9242" w:type="dxa"/>
            <w:gridSpan w:val="2"/>
            <w:tcBorders>
              <w:top w:val="single" w:sz="4" w:space="0" w:color="000000"/>
              <w:bottom w:val="single" w:sz="4" w:space="0" w:color="000000"/>
            </w:tcBorders>
            <w:shd w:val="clear" w:color="auto" w:fill="auto"/>
            <w:vAlign w:val="center"/>
          </w:tcPr>
          <w:p w14:paraId="186395BC" w14:textId="77777777" w:rsidR="00272D6C" w:rsidRPr="00272D6C" w:rsidRDefault="00272D6C" w:rsidP="00272D6C">
            <w:pPr>
              <w:widowControl w:val="0"/>
              <w:suppressAutoHyphens/>
              <w:spacing w:before="40" w:after="40"/>
              <w:jc w:val="both"/>
              <w:rPr>
                <w:rFonts w:cs="Segoe UI"/>
                <w:lang w:eastAsia="ar-SA"/>
              </w:rPr>
            </w:pPr>
            <w:r w:rsidRPr="00272D6C">
              <w:rPr>
                <w:rFonts w:eastAsia="細明體" w:cs="Segoe UI" w:hint="eastAsia"/>
                <w:sz w:val="17"/>
                <w:szCs w:val="17"/>
                <w:lang w:eastAsia="ar-SA"/>
              </w:rPr>
              <w:t>認可機構應提供下述有關其使用內部模式的資料：</w:t>
            </w:r>
          </w:p>
        </w:tc>
      </w:tr>
      <w:tr w:rsidR="00272D6C" w:rsidRPr="00272D6C" w14:paraId="2187C6F8" w14:textId="77777777" w:rsidTr="005171C5">
        <w:trPr>
          <w:trHeight w:val="318"/>
        </w:trPr>
        <w:tc>
          <w:tcPr>
            <w:tcW w:w="370" w:type="dxa"/>
            <w:tcBorders>
              <w:top w:val="single" w:sz="4" w:space="0" w:color="000000"/>
              <w:bottom w:val="single" w:sz="4" w:space="0" w:color="000000"/>
            </w:tcBorders>
            <w:shd w:val="clear" w:color="auto" w:fill="auto"/>
          </w:tcPr>
          <w:p w14:paraId="60150030"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(a)</w:t>
            </w:r>
          </w:p>
        </w:tc>
        <w:tc>
          <w:tcPr>
            <w:tcW w:w="8872" w:type="dxa"/>
            <w:tcBorders>
              <w:top w:val="single" w:sz="4" w:space="0" w:color="000000"/>
              <w:bottom w:val="single" w:sz="4" w:space="0" w:color="000000"/>
            </w:tcBorders>
            <w:shd w:val="clear" w:color="auto" w:fill="auto"/>
            <w:vAlign w:val="center"/>
          </w:tcPr>
          <w:p w14:paraId="20B51086" w14:textId="77777777" w:rsidR="00272D6C" w:rsidRPr="00272D6C" w:rsidRDefault="00272D6C" w:rsidP="00D540EB">
            <w:pPr>
              <w:numPr>
                <w:ilvl w:val="0"/>
                <w:numId w:val="44"/>
              </w:numPr>
              <w:suppressAutoHyphens/>
              <w:spacing w:before="40" w:after="40"/>
              <w:jc w:val="both"/>
              <w:rPr>
                <w:rFonts w:eastAsia="細明體" w:cs="Segoe UI"/>
                <w:sz w:val="17"/>
                <w:lang w:eastAsia="ar-SA"/>
              </w:rPr>
            </w:pPr>
            <w:r w:rsidRPr="00272D6C">
              <w:rPr>
                <w:rFonts w:eastAsia="細明體" w:cs="Segoe UI" w:hint="eastAsia"/>
                <w:sz w:val="17"/>
                <w:lang w:eastAsia="ar-SA"/>
              </w:rPr>
              <w:t>內部模式的開發、管控及修訂；</w:t>
            </w:r>
          </w:p>
          <w:p w14:paraId="5D47AB69" w14:textId="0F78CCFC" w:rsidR="00272D6C" w:rsidRPr="00272D6C" w:rsidRDefault="00272D6C" w:rsidP="00D540EB">
            <w:pPr>
              <w:numPr>
                <w:ilvl w:val="0"/>
                <w:numId w:val="44"/>
              </w:numPr>
              <w:suppressAutoHyphens/>
              <w:spacing w:before="40" w:after="40"/>
              <w:jc w:val="both"/>
              <w:rPr>
                <w:rFonts w:cs="Segoe UI"/>
                <w:sz w:val="17"/>
                <w:lang w:eastAsia="ar-SA"/>
              </w:rPr>
            </w:pPr>
            <w:r w:rsidRPr="00272D6C">
              <w:rPr>
                <w:rFonts w:eastAsia="細明體" w:cs="Segoe UI" w:hint="eastAsia"/>
                <w:sz w:val="17"/>
                <w:lang w:eastAsia="ar-SA"/>
              </w:rPr>
              <w:t>參與信用風險模式的開發、核准及其後修訂</w:t>
            </w:r>
            <w:r w:rsidRPr="00272D6C">
              <w:rPr>
                <w:rFonts w:eastAsia="細明體" w:cs="Segoe UI" w:hint="eastAsia"/>
                <w:sz w:val="17"/>
                <w:lang w:eastAsia="zh-TW"/>
              </w:rPr>
              <w:t>的</w:t>
            </w:r>
            <w:r w:rsidRPr="00272D6C">
              <w:rPr>
                <w:rFonts w:eastAsia="細明體" w:cs="Segoe UI" w:hint="eastAsia"/>
                <w:sz w:val="17"/>
                <w:lang w:eastAsia="ar-SA"/>
              </w:rPr>
              <w:t>職能的角色</w:t>
            </w:r>
            <w:r w:rsidR="001F1BDA" w:rsidRPr="00272D6C">
              <w:rPr>
                <w:rFonts w:eastAsia="細明體" w:cs="Segoe UI" w:hint="eastAsia"/>
                <w:sz w:val="17"/>
                <w:lang w:eastAsia="ar-SA"/>
              </w:rPr>
              <w:t>。</w:t>
            </w:r>
          </w:p>
        </w:tc>
      </w:tr>
      <w:tr w:rsidR="00272D6C" w:rsidRPr="00272D6C" w14:paraId="0E3D3CDD" w14:textId="77777777" w:rsidTr="005171C5">
        <w:trPr>
          <w:trHeight w:val="318"/>
        </w:trPr>
        <w:tc>
          <w:tcPr>
            <w:tcW w:w="370" w:type="dxa"/>
            <w:tcBorders>
              <w:top w:val="single" w:sz="4" w:space="0" w:color="000000"/>
              <w:bottom w:val="single" w:sz="4" w:space="0" w:color="000000"/>
            </w:tcBorders>
            <w:shd w:val="clear" w:color="auto" w:fill="auto"/>
          </w:tcPr>
          <w:p w14:paraId="70E8DA2E"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(b)</w:t>
            </w:r>
          </w:p>
        </w:tc>
        <w:tc>
          <w:tcPr>
            <w:tcW w:w="8872" w:type="dxa"/>
            <w:tcBorders>
              <w:top w:val="single" w:sz="4" w:space="0" w:color="000000"/>
              <w:bottom w:val="single" w:sz="4" w:space="0" w:color="000000"/>
            </w:tcBorders>
            <w:shd w:val="clear" w:color="auto" w:fill="auto"/>
            <w:vAlign w:val="center"/>
          </w:tcPr>
          <w:p w14:paraId="3006F87E" w14:textId="77777777" w:rsidR="00272D6C" w:rsidRPr="00272D6C" w:rsidRDefault="00272D6C" w:rsidP="00D540EB">
            <w:pPr>
              <w:numPr>
                <w:ilvl w:val="0"/>
                <w:numId w:val="51"/>
              </w:numPr>
              <w:suppressAutoHyphens/>
              <w:spacing w:before="40" w:after="40"/>
              <w:jc w:val="both"/>
              <w:rPr>
                <w:rFonts w:eastAsia="細明體" w:cs="Segoe UI"/>
                <w:sz w:val="17"/>
                <w:lang w:eastAsia="ar-SA"/>
              </w:rPr>
            </w:pPr>
            <w:r w:rsidRPr="00272D6C">
              <w:rPr>
                <w:rFonts w:eastAsia="細明體" w:cs="Segoe UI" w:hint="eastAsia"/>
                <w:sz w:val="17"/>
                <w:lang w:eastAsia="ar-SA"/>
              </w:rPr>
              <w:t>風險管理職能及內部審計職能之間的關係；</w:t>
            </w:r>
          </w:p>
          <w:p w14:paraId="1677D544" w14:textId="285C92A6" w:rsidR="00272D6C" w:rsidRPr="00272D6C" w:rsidRDefault="00272D6C" w:rsidP="00D540EB">
            <w:pPr>
              <w:numPr>
                <w:ilvl w:val="0"/>
                <w:numId w:val="51"/>
              </w:numPr>
              <w:suppressAutoHyphens/>
              <w:spacing w:before="40" w:after="40"/>
              <w:jc w:val="both"/>
              <w:rPr>
                <w:rFonts w:cs="Segoe UI"/>
                <w:sz w:val="17"/>
                <w:lang w:eastAsia="ar-SA"/>
              </w:rPr>
            </w:pPr>
            <w:r w:rsidRPr="00272D6C">
              <w:rPr>
                <w:rFonts w:eastAsia="細明體" w:cs="Segoe UI" w:hint="eastAsia"/>
                <w:sz w:val="17"/>
                <w:lang w:eastAsia="ar-SA"/>
              </w:rPr>
              <w:t>確保負責檢討模式的職能與負責開發模式的職能之間保持獨立</w:t>
            </w:r>
            <w:r w:rsidRPr="00272D6C">
              <w:rPr>
                <w:rFonts w:eastAsia="細明體" w:cs="Segoe UI" w:hint="eastAsia"/>
                <w:sz w:val="17"/>
                <w:lang w:eastAsia="zh-TW"/>
              </w:rPr>
              <w:t>性</w:t>
            </w:r>
            <w:r w:rsidRPr="00272D6C">
              <w:rPr>
                <w:rFonts w:eastAsia="細明體" w:cs="Segoe UI" w:hint="eastAsia"/>
                <w:sz w:val="17"/>
                <w:lang w:eastAsia="ar-SA"/>
              </w:rPr>
              <w:t>的程序</w:t>
            </w:r>
            <w:r w:rsidR="001F1BDA" w:rsidRPr="00272D6C">
              <w:rPr>
                <w:rFonts w:eastAsia="細明體" w:cs="Segoe UI" w:hint="eastAsia"/>
                <w:sz w:val="17"/>
                <w:lang w:eastAsia="ar-SA"/>
              </w:rPr>
              <w:t>。</w:t>
            </w:r>
          </w:p>
        </w:tc>
      </w:tr>
      <w:tr w:rsidR="00272D6C" w:rsidRPr="00272D6C" w14:paraId="3A3EBEFE" w14:textId="77777777" w:rsidTr="005171C5">
        <w:trPr>
          <w:trHeight w:val="318"/>
        </w:trPr>
        <w:tc>
          <w:tcPr>
            <w:tcW w:w="370" w:type="dxa"/>
            <w:tcBorders>
              <w:top w:val="single" w:sz="4" w:space="0" w:color="000000"/>
              <w:bottom w:val="single" w:sz="4" w:space="0" w:color="000000"/>
            </w:tcBorders>
            <w:shd w:val="clear" w:color="auto" w:fill="auto"/>
          </w:tcPr>
          <w:p w14:paraId="5E54B5BD"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(c)</w:t>
            </w:r>
          </w:p>
        </w:tc>
        <w:tc>
          <w:tcPr>
            <w:tcW w:w="8872" w:type="dxa"/>
            <w:tcBorders>
              <w:top w:val="single" w:sz="4" w:space="0" w:color="000000"/>
              <w:bottom w:val="single" w:sz="4" w:space="0" w:color="000000"/>
            </w:tcBorders>
            <w:shd w:val="clear" w:color="auto" w:fill="auto"/>
            <w:vAlign w:val="center"/>
          </w:tcPr>
          <w:p w14:paraId="72CCEA20" w14:textId="0272BF81"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與信用風險模式相關的匯報範圍及主要內容</w:t>
            </w:r>
            <w:r w:rsidR="001F1BDA" w:rsidRPr="00272D6C">
              <w:rPr>
                <w:rFonts w:eastAsia="細明體" w:cs="Segoe UI" w:hint="eastAsia"/>
                <w:sz w:val="17"/>
                <w:lang w:eastAsia="ar-SA"/>
              </w:rPr>
              <w:t>。</w:t>
            </w:r>
          </w:p>
        </w:tc>
      </w:tr>
      <w:tr w:rsidR="00272D6C" w:rsidRPr="00272D6C" w14:paraId="0131427D" w14:textId="77777777" w:rsidTr="005171C5">
        <w:trPr>
          <w:trHeight w:val="318"/>
        </w:trPr>
        <w:tc>
          <w:tcPr>
            <w:tcW w:w="370" w:type="dxa"/>
            <w:tcBorders>
              <w:top w:val="single" w:sz="4" w:space="0" w:color="000000"/>
              <w:bottom w:val="single" w:sz="4" w:space="0" w:color="000000"/>
            </w:tcBorders>
            <w:shd w:val="clear" w:color="auto" w:fill="auto"/>
          </w:tcPr>
          <w:p w14:paraId="1431E95F" w14:textId="77777777" w:rsidR="00272D6C" w:rsidRPr="00272D6C" w:rsidRDefault="00272D6C" w:rsidP="00272D6C">
            <w:pPr>
              <w:widowControl w:val="0"/>
              <w:suppressAutoHyphens/>
              <w:spacing w:before="40" w:after="40"/>
              <w:rPr>
                <w:rFonts w:eastAsia="細明體" w:cs="Segoe UI"/>
                <w:lang w:val="fr-FR" w:eastAsia="ar-SA"/>
              </w:rPr>
            </w:pPr>
            <w:r w:rsidRPr="00272D6C">
              <w:rPr>
                <w:rFonts w:eastAsia="細明體" w:cs="Segoe UI"/>
                <w:sz w:val="17"/>
                <w:szCs w:val="17"/>
                <w:lang w:eastAsia="ar-SA"/>
              </w:rPr>
              <w:t>(d)</w:t>
            </w:r>
          </w:p>
        </w:tc>
        <w:tc>
          <w:tcPr>
            <w:tcW w:w="8872" w:type="dxa"/>
            <w:tcBorders>
              <w:top w:val="single" w:sz="4" w:space="0" w:color="000000"/>
              <w:bottom w:val="single" w:sz="4" w:space="0" w:color="000000"/>
            </w:tcBorders>
            <w:shd w:val="clear" w:color="auto" w:fill="auto"/>
            <w:vAlign w:val="center"/>
          </w:tcPr>
          <w:p w14:paraId="59D2A5D8" w14:textId="07295923"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val="fr-FR" w:eastAsia="zh-TW"/>
              </w:rPr>
              <w:t>就</w:t>
            </w:r>
            <w:r w:rsidRPr="00272D6C">
              <w:rPr>
                <w:rFonts w:eastAsia="細明體" w:cs="Segoe UI" w:hint="eastAsia"/>
                <w:sz w:val="17"/>
                <w:lang w:val="fr-FR" w:eastAsia="ar-SA"/>
              </w:rPr>
              <w:t>認可機構</w:t>
            </w:r>
            <w:r w:rsidRPr="00272D6C">
              <w:rPr>
                <w:rFonts w:eastAsia="細明體" w:cs="Segoe UI" w:hint="eastAsia"/>
                <w:sz w:val="17"/>
                <w:lang w:eastAsia="ar-SA"/>
              </w:rPr>
              <w:t>根</w:t>
            </w:r>
            <w:r w:rsidRPr="00272D6C">
              <w:rPr>
                <w:rFonts w:eastAsia="細明體" w:cs="Segoe UI"/>
                <w:sz w:val="17"/>
                <w:lang w:eastAsia="ar-SA"/>
              </w:rPr>
              <w:t>據《資本規則》</w:t>
            </w:r>
            <w:r w:rsidRPr="00272D6C">
              <w:rPr>
                <w:rFonts w:eastAsia="細明體" w:cs="Segoe UI" w:hint="eastAsia"/>
                <w:sz w:val="17"/>
                <w:lang w:eastAsia="ar-SA"/>
              </w:rPr>
              <w:t>獲金融管理專員</w:t>
            </w:r>
            <w:r w:rsidRPr="00272D6C">
              <w:rPr>
                <w:rFonts w:eastAsia="細明體" w:cs="Segoe UI"/>
                <w:sz w:val="17"/>
                <w:lang w:eastAsia="ar-SA"/>
              </w:rPr>
              <w:t>批准</w:t>
            </w:r>
            <w:r w:rsidRPr="00272D6C">
              <w:rPr>
                <w:rFonts w:eastAsia="細明體" w:cs="Segoe UI" w:hint="eastAsia"/>
                <w:sz w:val="17"/>
                <w:lang w:eastAsia="ar-SA"/>
              </w:rPr>
              <w:t>使用</w:t>
            </w:r>
            <w:r w:rsidRPr="00272D6C">
              <w:rPr>
                <w:rFonts w:eastAsia="細明體" w:cs="Segoe UI"/>
                <w:sz w:val="17"/>
                <w:lang w:eastAsia="ar-SA"/>
              </w:rPr>
              <w:t>IRB</w:t>
            </w:r>
            <w:r w:rsidRPr="00272D6C">
              <w:rPr>
                <w:rFonts w:eastAsia="細明體" w:cs="Segoe UI" w:hint="eastAsia"/>
                <w:sz w:val="17"/>
                <w:lang w:eastAsia="ar-SA"/>
              </w:rPr>
              <w:t>計算法計算其非證券化類別風險承擔的信用風險</w:t>
            </w:r>
            <w:r w:rsidRPr="00272D6C">
              <w:rPr>
                <w:rFonts w:eastAsia="細明體" w:cs="Segoe UI" w:hint="eastAsia"/>
                <w:sz w:val="17"/>
                <w:lang w:eastAsia="zh-TW"/>
              </w:rPr>
              <w:t>而言，該</w:t>
            </w:r>
            <w:proofErr w:type="gramStart"/>
            <w:r w:rsidRPr="00272D6C">
              <w:rPr>
                <w:rFonts w:eastAsia="細明體" w:cs="Segoe UI" w:hint="eastAsia"/>
                <w:sz w:val="17"/>
                <w:lang w:eastAsia="zh-TW"/>
              </w:rPr>
              <w:t>計算法獲</w:t>
            </w:r>
            <w:r w:rsidRPr="00272D6C">
              <w:rPr>
                <w:rFonts w:eastAsia="細明體" w:cs="Segoe UI"/>
                <w:sz w:val="17"/>
                <w:lang w:eastAsia="ar-SA"/>
              </w:rPr>
              <w:t>批准</w:t>
            </w:r>
            <w:proofErr w:type="gramEnd"/>
            <w:r w:rsidRPr="00272D6C">
              <w:rPr>
                <w:rFonts w:eastAsia="細明體" w:cs="Segoe UI"/>
                <w:sz w:val="17"/>
                <w:lang w:eastAsia="ar-SA"/>
              </w:rPr>
              <w:t>的範圍，</w:t>
            </w:r>
            <w:r w:rsidRPr="00272D6C">
              <w:rPr>
                <w:rFonts w:eastAsia="細明體" w:cs="Segoe UI" w:hint="eastAsia"/>
                <w:sz w:val="17"/>
                <w:lang w:eastAsia="ar-SA"/>
              </w:rPr>
              <w:t>連同</w:t>
            </w:r>
            <w:r w:rsidRPr="00272D6C">
              <w:rPr>
                <w:rFonts w:eastAsia="細明體" w:cs="Segoe UI" w:hint="eastAsia"/>
                <w:sz w:val="17"/>
                <w:lang w:eastAsia="zh-TW"/>
              </w:rPr>
              <w:t>按照</w:t>
            </w:r>
            <w:r w:rsidRPr="00272D6C">
              <w:rPr>
                <w:rFonts w:eastAsia="細明體" w:cs="Segoe UI" w:hint="eastAsia"/>
                <w:sz w:val="17"/>
                <w:lang w:eastAsia="ar-SA"/>
              </w:rPr>
              <w:t>基礎</w:t>
            </w:r>
            <w:r w:rsidRPr="00272D6C">
              <w:rPr>
                <w:rFonts w:eastAsia="細明體" w:cs="Segoe UI"/>
                <w:sz w:val="17"/>
                <w:lang w:eastAsia="ar-SA"/>
              </w:rPr>
              <w:t>IRB</w:t>
            </w:r>
            <w:r w:rsidRPr="00272D6C">
              <w:rPr>
                <w:rFonts w:eastAsia="細明體" w:cs="Segoe UI" w:hint="eastAsia"/>
                <w:sz w:val="17"/>
                <w:lang w:eastAsia="ar-SA"/>
              </w:rPr>
              <w:t>計算法及高級</w:t>
            </w:r>
            <w:r w:rsidRPr="00272D6C">
              <w:rPr>
                <w:rFonts w:eastAsia="細明體" w:cs="Segoe UI"/>
                <w:sz w:val="17"/>
                <w:lang w:eastAsia="ar-SA"/>
              </w:rPr>
              <w:t xml:space="preserve">IRB </w:t>
            </w:r>
            <w:r w:rsidRPr="00272D6C">
              <w:rPr>
                <w:rFonts w:eastAsia="細明體" w:cs="Segoe UI" w:hint="eastAsia"/>
                <w:sz w:val="17"/>
                <w:lang w:eastAsia="ar-SA"/>
              </w:rPr>
              <w:t>計算法劃分（如適用）的細目分類。認可機構</w:t>
            </w:r>
            <w:r w:rsidRPr="00272D6C">
              <w:rPr>
                <w:rFonts w:eastAsia="細明體" w:cs="Segoe UI" w:hint="eastAsia"/>
                <w:sz w:val="17"/>
                <w:lang w:eastAsia="zh-TW"/>
              </w:rPr>
              <w:t>尤其</w:t>
            </w:r>
            <w:r w:rsidRPr="00272D6C">
              <w:rPr>
                <w:rFonts w:eastAsia="細明體" w:cs="Segoe UI" w:hint="eastAsia"/>
                <w:sz w:val="17"/>
                <w:lang w:eastAsia="ar-SA"/>
              </w:rPr>
              <w:t>應說明受該</w:t>
            </w:r>
            <w:r w:rsidRPr="00272D6C">
              <w:rPr>
                <w:rFonts w:eastAsia="細明體" w:cs="Segoe UI" w:hint="eastAsia"/>
                <w:sz w:val="17"/>
                <w:lang w:eastAsia="zh-TW"/>
              </w:rPr>
              <w:t>分別</w:t>
            </w:r>
            <w:r w:rsidRPr="00272D6C">
              <w:rPr>
                <w:rFonts w:eastAsia="細明體" w:cs="Segoe UI" w:hint="eastAsia"/>
                <w:sz w:val="17"/>
                <w:lang w:eastAsia="ar-SA"/>
              </w:rPr>
              <w:t>披露的</w:t>
            </w:r>
            <w:r w:rsidRPr="00272D6C">
              <w:rPr>
                <w:rFonts w:eastAsia="細明體" w:cs="Segoe UI"/>
                <w:sz w:val="17"/>
                <w:lang w:eastAsia="ar-SA"/>
              </w:rPr>
              <w:t>IRB</w:t>
            </w:r>
            <w:r w:rsidRPr="00272D6C">
              <w:rPr>
                <w:rFonts w:eastAsia="細明體" w:cs="Segoe UI" w:hint="eastAsia"/>
                <w:sz w:val="17"/>
                <w:lang w:eastAsia="ar-SA"/>
              </w:rPr>
              <w:t>計算法所規限的風險承擔（根據</w:t>
            </w:r>
            <w:r w:rsidRPr="00272D6C">
              <w:rPr>
                <w:rFonts w:eastAsia="細明體" w:cs="Segoe UI"/>
                <w:sz w:val="17"/>
                <w:lang w:eastAsia="ar-SA"/>
              </w:rPr>
              <w:t>《資本規則》獲豁免</w:t>
            </w:r>
            <w:r w:rsidRPr="00272D6C">
              <w:rPr>
                <w:rFonts w:eastAsia="細明體" w:cs="Segoe UI" w:hint="eastAsia"/>
                <w:sz w:val="17"/>
                <w:lang w:eastAsia="ar-SA"/>
              </w:rPr>
              <w:t>者</w:t>
            </w:r>
            <w:r w:rsidRPr="00272D6C">
              <w:rPr>
                <w:rFonts w:eastAsia="細明體" w:cs="Segoe UI"/>
                <w:sz w:val="17"/>
                <w:lang w:eastAsia="ar-SA"/>
              </w:rPr>
              <w:t>除外</w:t>
            </w:r>
            <w:r w:rsidRPr="00272D6C">
              <w:rPr>
                <w:rFonts w:eastAsia="細明體" w:cs="Segoe UI" w:hint="eastAsia"/>
                <w:sz w:val="17"/>
                <w:lang w:eastAsia="ar-SA"/>
              </w:rPr>
              <w:t>）的性質</w:t>
            </w:r>
            <w:r w:rsidR="00514EEB" w:rsidRPr="00272D6C">
              <w:rPr>
                <w:rFonts w:eastAsia="細明體" w:cs="Segoe UI" w:hint="eastAsia"/>
                <w:sz w:val="17"/>
                <w:lang w:eastAsia="ar-SA"/>
              </w:rPr>
              <w:t>。</w:t>
            </w:r>
          </w:p>
        </w:tc>
      </w:tr>
      <w:tr w:rsidR="00272D6C" w:rsidRPr="00272D6C" w14:paraId="58AF11BC" w14:textId="77777777" w:rsidTr="005171C5">
        <w:trPr>
          <w:trHeight w:val="318"/>
        </w:trPr>
        <w:tc>
          <w:tcPr>
            <w:tcW w:w="370" w:type="dxa"/>
            <w:tcBorders>
              <w:top w:val="single" w:sz="4" w:space="0" w:color="000000"/>
              <w:bottom w:val="single" w:sz="4" w:space="0" w:color="000000"/>
            </w:tcBorders>
            <w:shd w:val="clear" w:color="auto" w:fill="auto"/>
          </w:tcPr>
          <w:p w14:paraId="59D061EB"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(e)</w:t>
            </w:r>
          </w:p>
        </w:tc>
        <w:tc>
          <w:tcPr>
            <w:tcW w:w="8872" w:type="dxa"/>
            <w:tcBorders>
              <w:top w:val="single" w:sz="4" w:space="0" w:color="000000"/>
              <w:bottom w:val="single" w:sz="4" w:space="0" w:color="000000"/>
            </w:tcBorders>
            <w:shd w:val="clear" w:color="auto" w:fill="auto"/>
            <w:vAlign w:val="center"/>
          </w:tcPr>
          <w:p w14:paraId="2A494A2B" w14:textId="448F4750" w:rsidR="00272D6C" w:rsidRPr="00272D6C" w:rsidRDefault="00272D6C" w:rsidP="00A9044D">
            <w:pPr>
              <w:suppressAutoHyphens/>
              <w:spacing w:before="40" w:after="40"/>
              <w:jc w:val="both"/>
              <w:rPr>
                <w:rFonts w:cs="Segoe UI"/>
                <w:sz w:val="17"/>
                <w:lang w:eastAsia="ar-SA"/>
              </w:rPr>
            </w:pPr>
            <w:r w:rsidRPr="00272D6C">
              <w:rPr>
                <w:rFonts w:eastAsia="細明體" w:cs="Segoe UI" w:hint="eastAsia"/>
                <w:sz w:val="17"/>
                <w:lang w:eastAsia="ar-SA"/>
              </w:rPr>
              <w:t>就每個組合而言，認可機構應指出集團內由</w:t>
            </w:r>
            <w:r w:rsidRPr="00272D6C">
              <w:rPr>
                <w:rFonts w:eastAsia="細明體" w:cs="Segoe UI"/>
                <w:sz w:val="17"/>
                <w:lang w:eastAsia="ar-SA"/>
              </w:rPr>
              <w:t>STC</w:t>
            </w:r>
            <w:r w:rsidRPr="00272D6C">
              <w:rPr>
                <w:rFonts w:eastAsia="細明體" w:cs="Segoe UI" w:hint="eastAsia"/>
                <w:sz w:val="17"/>
                <w:lang w:eastAsia="ar-SA"/>
              </w:rPr>
              <w:t>計算法（如有）、基礎</w:t>
            </w:r>
            <w:r w:rsidRPr="00272D6C">
              <w:rPr>
                <w:rFonts w:eastAsia="細明體" w:cs="Segoe UI"/>
                <w:sz w:val="17"/>
                <w:lang w:eastAsia="ar-SA"/>
              </w:rPr>
              <w:t>IRB</w:t>
            </w:r>
            <w:r w:rsidRPr="00272D6C">
              <w:rPr>
                <w:rFonts w:eastAsia="細明體" w:cs="Segoe UI" w:hint="eastAsia"/>
                <w:sz w:val="17"/>
                <w:lang w:eastAsia="ar-SA"/>
              </w:rPr>
              <w:t>計算法、高級</w:t>
            </w:r>
            <w:r w:rsidRPr="00272D6C">
              <w:rPr>
                <w:rFonts w:eastAsia="細明體" w:cs="Segoe UI"/>
                <w:sz w:val="17"/>
                <w:lang w:eastAsia="ar-SA"/>
              </w:rPr>
              <w:t>IRB</w:t>
            </w:r>
            <w:r w:rsidRPr="00272D6C">
              <w:rPr>
                <w:rFonts w:eastAsia="細明體" w:cs="Segoe UI" w:hint="eastAsia"/>
                <w:sz w:val="17"/>
                <w:lang w:eastAsia="ar-SA"/>
              </w:rPr>
              <w:t>計算法</w:t>
            </w:r>
            <w:r w:rsidRPr="00272D6C">
              <w:rPr>
                <w:rFonts w:eastAsia="細明體" w:cs="Segoe UI" w:hint="eastAsia"/>
                <w:sz w:val="17"/>
                <w:szCs w:val="17"/>
                <w:lang w:eastAsia="ar-SA"/>
              </w:rPr>
              <w:t>及其他</w:t>
            </w:r>
            <w:r w:rsidRPr="00272D6C">
              <w:rPr>
                <w:rFonts w:eastAsia="細明體" w:cs="Segoe UI"/>
                <w:sz w:val="17"/>
                <w:szCs w:val="17"/>
                <w:lang w:eastAsia="ar-SA"/>
              </w:rPr>
              <w:t>IRB</w:t>
            </w:r>
            <w:r w:rsidRPr="00272D6C">
              <w:rPr>
                <w:rFonts w:eastAsia="細明體" w:cs="Segoe UI" w:hint="eastAsia"/>
                <w:sz w:val="17"/>
                <w:lang w:eastAsia="ar-SA"/>
              </w:rPr>
              <w:t>計算法涵蓋的違責風險承擔</w:t>
            </w:r>
            <w:r w:rsidR="00AD5981">
              <w:rPr>
                <w:rFonts w:eastAsia="細明體" w:cs="Segoe UI" w:hint="eastAsia"/>
                <w:sz w:val="17"/>
                <w:lang w:eastAsia="ar-SA"/>
              </w:rPr>
              <w:t>（</w:t>
            </w:r>
            <w:r w:rsidR="00AD5981">
              <w:rPr>
                <w:rFonts w:eastAsia="細明體" w:cs="Segoe UI" w:hint="eastAsia"/>
                <w:sz w:val="17"/>
                <w:lang w:eastAsia="zh-TW"/>
              </w:rPr>
              <w:t>EAD</w:t>
            </w:r>
            <w:r w:rsidR="00AD5981" w:rsidRPr="00272D6C">
              <w:rPr>
                <w:rFonts w:eastAsia="細明體" w:cs="Segoe UI" w:hint="eastAsia"/>
                <w:sz w:val="17"/>
                <w:lang w:eastAsia="ar-SA"/>
              </w:rPr>
              <w:t>）</w:t>
            </w:r>
            <w:r w:rsidRPr="00272D6C">
              <w:rPr>
                <w:rFonts w:eastAsia="細明體" w:cs="Segoe UI" w:hint="eastAsia"/>
                <w:sz w:val="17"/>
                <w:lang w:eastAsia="ar-SA"/>
              </w:rPr>
              <w:t>部分（</w:t>
            </w:r>
            <w:r w:rsidR="00A9044D">
              <w:rPr>
                <w:rFonts w:eastAsia="細明體" w:cs="Segoe UI" w:hint="eastAsia"/>
                <w:sz w:val="17"/>
                <w:lang w:eastAsia="zh-HK"/>
              </w:rPr>
              <w:t>以</w:t>
            </w:r>
            <w:r w:rsidR="00AD5981">
              <w:rPr>
                <w:rFonts w:eastAsia="細明體" w:cs="Segoe UI" w:hint="eastAsia"/>
                <w:sz w:val="17"/>
                <w:lang w:eastAsia="zh-TW"/>
              </w:rPr>
              <w:t>EAD</w:t>
            </w:r>
            <w:r w:rsidR="00A9044D" w:rsidRPr="00A9044D">
              <w:rPr>
                <w:rFonts w:eastAsia="細明體" w:cs="Segoe UI" w:hint="eastAsia"/>
                <w:sz w:val="17"/>
                <w:lang w:eastAsia="zh-TW"/>
              </w:rPr>
              <w:t>總額</w:t>
            </w:r>
            <w:r w:rsidRPr="00272D6C">
              <w:rPr>
                <w:rFonts w:eastAsia="細明體" w:cs="Segoe UI" w:hint="eastAsia"/>
                <w:sz w:val="17"/>
                <w:lang w:eastAsia="zh-TW"/>
              </w:rPr>
              <w:t>的百分率</w:t>
            </w:r>
            <w:r w:rsidR="00A9044D" w:rsidRPr="00A9044D">
              <w:rPr>
                <w:rFonts w:eastAsia="細明體" w:cs="Segoe UI" w:hint="eastAsia"/>
                <w:sz w:val="17"/>
                <w:lang w:eastAsia="zh-TW"/>
              </w:rPr>
              <w:t>表示</w:t>
            </w:r>
            <w:r w:rsidRPr="00272D6C">
              <w:rPr>
                <w:rFonts w:eastAsia="細明體" w:cs="Segoe UI" w:hint="eastAsia"/>
                <w:sz w:val="17"/>
                <w:lang w:eastAsia="ar-SA"/>
              </w:rPr>
              <w:t>），以及與推行計劃有關的組合部分</w:t>
            </w:r>
            <w:r w:rsidR="00514EEB" w:rsidRPr="00272D6C">
              <w:rPr>
                <w:rFonts w:eastAsia="細明體" w:cs="Segoe UI" w:hint="eastAsia"/>
                <w:sz w:val="17"/>
                <w:lang w:eastAsia="ar-SA"/>
              </w:rPr>
              <w:t>。</w:t>
            </w:r>
          </w:p>
        </w:tc>
      </w:tr>
      <w:tr w:rsidR="00272D6C" w:rsidRPr="00272D6C" w14:paraId="67EB9F81" w14:textId="77777777" w:rsidTr="005171C5">
        <w:trPr>
          <w:trHeight w:val="318"/>
        </w:trPr>
        <w:tc>
          <w:tcPr>
            <w:tcW w:w="370" w:type="dxa"/>
            <w:tcBorders>
              <w:top w:val="single" w:sz="4" w:space="0" w:color="000000"/>
              <w:bottom w:val="single" w:sz="4" w:space="0" w:color="000000"/>
            </w:tcBorders>
            <w:shd w:val="clear" w:color="auto" w:fill="auto"/>
          </w:tcPr>
          <w:p w14:paraId="4F484964"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(f)</w:t>
            </w:r>
          </w:p>
        </w:tc>
        <w:tc>
          <w:tcPr>
            <w:tcW w:w="8872" w:type="dxa"/>
            <w:tcBorders>
              <w:top w:val="single" w:sz="4" w:space="0" w:color="000000"/>
              <w:bottom w:val="single" w:sz="4" w:space="0" w:color="000000"/>
            </w:tcBorders>
            <w:shd w:val="clear" w:color="auto" w:fill="auto"/>
            <w:vAlign w:val="center"/>
          </w:tcPr>
          <w:p w14:paraId="233450FB" w14:textId="77777777" w:rsidR="00272D6C" w:rsidRPr="00272D6C" w:rsidRDefault="00272D6C" w:rsidP="00D540EB">
            <w:pPr>
              <w:numPr>
                <w:ilvl w:val="0"/>
                <w:numId w:val="41"/>
              </w:numPr>
              <w:suppressAutoHyphens/>
              <w:spacing w:before="40" w:after="40"/>
              <w:jc w:val="both"/>
              <w:rPr>
                <w:rFonts w:eastAsia="細明體" w:cs="Segoe UI"/>
                <w:sz w:val="17"/>
                <w:lang w:eastAsia="ar-SA"/>
              </w:rPr>
            </w:pPr>
            <w:r w:rsidRPr="00272D6C">
              <w:rPr>
                <w:rFonts w:eastAsia="細明體" w:cs="Segoe UI" w:hint="eastAsia"/>
                <w:sz w:val="17"/>
                <w:lang w:eastAsia="ar-SA"/>
              </w:rPr>
              <w:t>每個組合所採用的主要模式的數目；</w:t>
            </w:r>
          </w:p>
          <w:p w14:paraId="291363E2" w14:textId="47AF9E4E" w:rsidR="00272D6C" w:rsidRPr="00272D6C" w:rsidRDefault="00272D6C" w:rsidP="00D540EB">
            <w:pPr>
              <w:numPr>
                <w:ilvl w:val="0"/>
                <w:numId w:val="41"/>
              </w:numPr>
              <w:suppressAutoHyphens/>
              <w:spacing w:before="40" w:after="40"/>
              <w:jc w:val="both"/>
              <w:rPr>
                <w:rFonts w:cs="Segoe UI"/>
                <w:sz w:val="17"/>
                <w:lang w:eastAsia="ar-SA"/>
              </w:rPr>
            </w:pPr>
            <w:r w:rsidRPr="00272D6C">
              <w:rPr>
                <w:rFonts w:eastAsia="細明體" w:cs="Segoe UI" w:hint="eastAsia"/>
                <w:sz w:val="17"/>
                <w:lang w:eastAsia="ar-SA"/>
              </w:rPr>
              <w:t>有關同一個組合內各模式的主要</w:t>
            </w:r>
            <w:r w:rsidRPr="00272D6C">
              <w:rPr>
                <w:rFonts w:eastAsia="細明體" w:cs="Segoe UI" w:hint="eastAsia"/>
                <w:sz w:val="17"/>
                <w:lang w:eastAsia="zh-TW"/>
              </w:rPr>
              <w:t>差</w:t>
            </w:r>
            <w:r w:rsidRPr="00272D6C">
              <w:rPr>
                <w:rFonts w:eastAsia="細明體" w:cs="Segoe UI" w:hint="eastAsia"/>
                <w:sz w:val="17"/>
                <w:lang w:eastAsia="ar-SA"/>
              </w:rPr>
              <w:t>別的扼要論述</w:t>
            </w:r>
            <w:r w:rsidR="001F1BDA" w:rsidRPr="00272D6C">
              <w:rPr>
                <w:rFonts w:eastAsia="細明體" w:cs="Segoe UI" w:hint="eastAsia"/>
                <w:sz w:val="17"/>
                <w:lang w:eastAsia="ar-SA"/>
              </w:rPr>
              <w:t>。</w:t>
            </w:r>
          </w:p>
        </w:tc>
      </w:tr>
      <w:tr w:rsidR="00272D6C" w:rsidRPr="00272D6C" w14:paraId="110A21BF" w14:textId="77777777" w:rsidTr="005171C5">
        <w:trPr>
          <w:trHeight w:val="318"/>
        </w:trPr>
        <w:tc>
          <w:tcPr>
            <w:tcW w:w="370" w:type="dxa"/>
            <w:tcBorders>
              <w:top w:val="single" w:sz="4" w:space="0" w:color="000000"/>
              <w:bottom w:val="single" w:sz="4" w:space="0" w:color="000000"/>
            </w:tcBorders>
            <w:shd w:val="clear" w:color="auto" w:fill="auto"/>
          </w:tcPr>
          <w:p w14:paraId="5552FFDD" w14:textId="77777777" w:rsidR="00272D6C" w:rsidRPr="00272D6C" w:rsidRDefault="00272D6C" w:rsidP="00272D6C">
            <w:pPr>
              <w:widowControl w:val="0"/>
              <w:suppressAutoHyphens/>
              <w:spacing w:before="40" w:after="40"/>
              <w:rPr>
                <w:rFonts w:eastAsia="細明體" w:cs="Segoe UI"/>
                <w:lang w:eastAsia="ar-SA"/>
              </w:rPr>
            </w:pPr>
            <w:r w:rsidRPr="00272D6C">
              <w:rPr>
                <w:rFonts w:eastAsia="細明體" w:cs="Segoe UI"/>
                <w:sz w:val="17"/>
                <w:szCs w:val="17"/>
                <w:lang w:eastAsia="ar-SA"/>
              </w:rPr>
              <w:t>(g)</w:t>
            </w:r>
          </w:p>
        </w:tc>
        <w:tc>
          <w:tcPr>
            <w:tcW w:w="8872" w:type="dxa"/>
            <w:tcBorders>
              <w:top w:val="single" w:sz="4" w:space="0" w:color="000000"/>
              <w:bottom w:val="single" w:sz="4" w:space="0" w:color="000000"/>
            </w:tcBorders>
            <w:shd w:val="clear" w:color="auto" w:fill="auto"/>
            <w:vAlign w:val="center"/>
          </w:tcPr>
          <w:p w14:paraId="6C2E9F9E" w14:textId="77777777" w:rsidR="00272D6C" w:rsidRPr="00272D6C" w:rsidRDefault="00272D6C" w:rsidP="00272D6C">
            <w:pPr>
              <w:suppressAutoHyphens/>
              <w:spacing w:before="40" w:after="40"/>
              <w:jc w:val="both"/>
              <w:rPr>
                <w:rFonts w:eastAsia="細明體" w:cs="Segoe UI"/>
                <w:sz w:val="17"/>
                <w:lang w:eastAsia="ar-SA"/>
              </w:rPr>
            </w:pPr>
            <w:r w:rsidRPr="00272D6C">
              <w:rPr>
                <w:rFonts w:eastAsia="細明體" w:cs="Segoe UI" w:hint="eastAsia"/>
                <w:sz w:val="17"/>
                <w:lang w:eastAsia="ar-SA"/>
              </w:rPr>
              <w:t>獲批准的模式的主要特點</w:t>
            </w:r>
            <w:r w:rsidRPr="00272D6C">
              <w:rPr>
                <w:rFonts w:eastAsia="細明體" w:cs="Segoe UI" w:hint="eastAsia"/>
                <w:sz w:val="17"/>
                <w:lang w:eastAsia="zh-TW"/>
              </w:rPr>
              <w:t>描述</w:t>
            </w:r>
            <w:r w:rsidRPr="00272D6C">
              <w:rPr>
                <w:rFonts w:eastAsia="細明體" w:cs="Segoe UI" w:hint="eastAsia"/>
                <w:sz w:val="17"/>
                <w:lang w:eastAsia="ar-SA"/>
              </w:rPr>
              <w:t>：</w:t>
            </w:r>
          </w:p>
          <w:p w14:paraId="53AE6489" w14:textId="77777777" w:rsidR="00272D6C" w:rsidRPr="00272D6C" w:rsidRDefault="00272D6C" w:rsidP="00D540EB">
            <w:pPr>
              <w:numPr>
                <w:ilvl w:val="0"/>
                <w:numId w:val="40"/>
              </w:numPr>
              <w:suppressAutoHyphens/>
              <w:spacing w:before="40" w:after="40"/>
              <w:jc w:val="both"/>
              <w:rPr>
                <w:rFonts w:eastAsia="細明體" w:cs="Segoe UI"/>
                <w:sz w:val="17"/>
                <w:lang w:eastAsia="ar-SA"/>
              </w:rPr>
            </w:pPr>
            <w:r w:rsidRPr="00272D6C">
              <w:rPr>
                <w:rFonts w:eastAsia="細明體" w:cs="Segoe UI" w:hint="eastAsia"/>
                <w:sz w:val="17"/>
                <w:lang w:eastAsia="ar-SA"/>
              </w:rPr>
              <w:t>違責或然率的估計與確認</w:t>
            </w:r>
            <w:r w:rsidRPr="00272D6C">
              <w:rPr>
                <w:rFonts w:eastAsia="細明體" w:cs="Segoe UI" w:hint="eastAsia"/>
                <w:sz w:val="17"/>
                <w:lang w:eastAsia="zh-TW"/>
              </w:rPr>
              <w:t>所使用的</w:t>
            </w:r>
            <w:r w:rsidRPr="00272D6C">
              <w:rPr>
                <w:rFonts w:eastAsia="細明體" w:cs="Segoe UI" w:hint="eastAsia"/>
                <w:sz w:val="17"/>
                <w:lang w:eastAsia="ar-SA"/>
              </w:rPr>
              <w:t>定義、方法及數據（例如如何估計低違責率組合的違責或然率、是否設有監管下限、在過去至少三個報告期內所觀察到的違責或然率與實際違責率之間的差異的</w:t>
            </w:r>
            <w:r w:rsidRPr="00272D6C">
              <w:rPr>
                <w:rFonts w:eastAsia="細明體" w:cs="Segoe UI" w:hint="eastAsia"/>
                <w:sz w:val="17"/>
                <w:lang w:eastAsia="zh-TW"/>
              </w:rPr>
              <w:t>驅動因素</w:t>
            </w:r>
            <w:r w:rsidRPr="00272D6C">
              <w:rPr>
                <w:rFonts w:eastAsia="細明體" w:cs="Segoe UI" w:hint="eastAsia"/>
                <w:sz w:val="17"/>
                <w:lang w:eastAsia="ar-SA"/>
              </w:rPr>
              <w:t>）；</w:t>
            </w:r>
          </w:p>
          <w:p w14:paraId="6453CA96" w14:textId="77777777" w:rsidR="00272D6C" w:rsidRPr="00272D6C" w:rsidRDefault="00272D6C" w:rsidP="00D540EB">
            <w:pPr>
              <w:numPr>
                <w:ilvl w:val="0"/>
                <w:numId w:val="40"/>
              </w:numPr>
              <w:suppressAutoHyphens/>
              <w:spacing w:before="40" w:after="40"/>
              <w:jc w:val="both"/>
              <w:rPr>
                <w:rFonts w:eastAsia="細明體" w:cs="Segoe UI"/>
                <w:sz w:val="17"/>
                <w:lang w:eastAsia="ar-SA"/>
              </w:rPr>
            </w:pPr>
            <w:r w:rsidRPr="00272D6C">
              <w:rPr>
                <w:rFonts w:eastAsia="細明體" w:cs="Segoe UI" w:hint="eastAsia"/>
                <w:sz w:val="17"/>
                <w:lang w:eastAsia="ar-SA"/>
              </w:rPr>
              <w:t>違責損失率（如適用）（例如在</w:t>
            </w:r>
            <w:r w:rsidRPr="00272D6C">
              <w:rPr>
                <w:rFonts w:eastAsia="細明體" w:cs="Segoe UI" w:hint="eastAsia"/>
                <w:sz w:val="17"/>
                <w:lang w:eastAsia="zh-TW"/>
              </w:rPr>
              <w:t>經濟下調狀況</w:t>
            </w:r>
            <w:r w:rsidRPr="00272D6C">
              <w:rPr>
                <w:rFonts w:eastAsia="細明體" w:cs="Segoe UI" w:hint="eastAsia"/>
                <w:sz w:val="17"/>
                <w:lang w:eastAsia="ar-SA"/>
              </w:rPr>
              <w:t>下違責損失率的計算方法；如何估計低違責率組合的違責損失率；由發生違責事件至結清有關風險承擔相距的時間）；及</w:t>
            </w:r>
          </w:p>
          <w:p w14:paraId="7D8FCF21" w14:textId="77777777" w:rsidR="00272D6C" w:rsidRPr="00272D6C" w:rsidRDefault="00272D6C" w:rsidP="00D540EB">
            <w:pPr>
              <w:numPr>
                <w:ilvl w:val="0"/>
                <w:numId w:val="40"/>
              </w:numPr>
              <w:suppressAutoHyphens/>
              <w:spacing w:before="40" w:after="40"/>
              <w:jc w:val="both"/>
              <w:rPr>
                <w:rFonts w:cs="Segoe UI"/>
                <w:sz w:val="17"/>
                <w:lang w:eastAsia="ar-SA"/>
              </w:rPr>
            </w:pPr>
            <w:r w:rsidRPr="00272D6C">
              <w:rPr>
                <w:rFonts w:eastAsia="細明體" w:cs="Segoe UI" w:hint="eastAsia"/>
                <w:sz w:val="17"/>
                <w:lang w:eastAsia="ar-SA"/>
              </w:rPr>
              <w:t>信貸轉換因數，包括</w:t>
            </w:r>
            <w:r w:rsidRPr="00272D6C">
              <w:rPr>
                <w:rFonts w:eastAsia="細明體" w:cs="Segoe UI" w:hint="eastAsia"/>
                <w:sz w:val="17"/>
                <w:lang w:eastAsia="zh-TW"/>
              </w:rPr>
              <w:t>得</w:t>
            </w:r>
            <w:r w:rsidRPr="00272D6C">
              <w:rPr>
                <w:rFonts w:eastAsia="細明體" w:cs="Segoe UI" w:hint="eastAsia"/>
                <w:sz w:val="17"/>
                <w:lang w:eastAsia="ar-SA"/>
              </w:rPr>
              <w:t>出該等變量所使用的假設（如適用）。</w:t>
            </w:r>
          </w:p>
        </w:tc>
      </w:tr>
    </w:tbl>
    <w:p w14:paraId="4CBD607F" w14:textId="77777777" w:rsidR="00272D6C" w:rsidRPr="00272D6C" w:rsidRDefault="00272D6C" w:rsidP="00272D6C">
      <w:pPr>
        <w:suppressAutoHyphens/>
        <w:rPr>
          <w:rFonts w:cs="Segoe UI"/>
          <w:lang w:eastAsia="ar-SA"/>
        </w:rPr>
        <w:sectPr w:rsidR="00272D6C" w:rsidRPr="00272D6C" w:rsidSect="00272D6C">
          <w:footerReference w:type="default" r:id="rId71"/>
          <w:pgSz w:w="11906" w:h="16838"/>
          <w:pgMar w:top="1440" w:right="1276" w:bottom="1276" w:left="1843" w:header="720" w:footer="737" w:gutter="0"/>
          <w:cols w:space="720"/>
          <w:docGrid w:type="linesAndChars" w:linePitch="360"/>
        </w:sectPr>
      </w:pPr>
    </w:p>
    <w:p w14:paraId="0720D5F6" w14:textId="0B6DE29F" w:rsidR="008A5FFD" w:rsidRPr="008A5FFD" w:rsidRDefault="008A5FFD" w:rsidP="00E669DB">
      <w:pPr>
        <w:pStyle w:val="Heading2"/>
        <w:keepNext w:val="0"/>
        <w:suppressAutoHyphens w:val="0"/>
        <w:spacing w:before="40" w:line="240" w:lineRule="auto"/>
        <w:ind w:left="-454" w:firstLine="596"/>
        <w:rPr>
          <w:rFonts w:ascii="Segoe UI" w:eastAsia="Times New Roman" w:hAnsi="Segoe UI"/>
          <w:b w:val="0"/>
          <w:bCs w:val="0"/>
          <w:sz w:val="22"/>
          <w:szCs w:val="20"/>
          <w:lang w:eastAsia="zh-TW"/>
        </w:rPr>
      </w:pPr>
      <w:r w:rsidRPr="008A5FFD">
        <w:rPr>
          <w:rFonts w:eastAsia="細明體" w:cs="Segoe UI" w:hint="eastAsia"/>
          <w:b w:val="0"/>
          <w:sz w:val="22"/>
        </w:rPr>
        <w:t>模版</w:t>
      </w:r>
      <w:r w:rsidRPr="008A5FFD">
        <w:rPr>
          <w:rFonts w:ascii="Segoe UI" w:eastAsia="細明體" w:hAnsi="Segoe UI" w:cs="Segoe UI"/>
          <w:b w:val="0"/>
          <w:sz w:val="22"/>
        </w:rPr>
        <w:t>CR6</w:t>
      </w:r>
      <w:r w:rsidRPr="008A5FFD">
        <w:rPr>
          <w:rFonts w:eastAsia="細明體" w:cs="Segoe UI" w:hint="eastAsia"/>
          <w:b w:val="0"/>
          <w:sz w:val="22"/>
        </w:rPr>
        <w:t>：按組合及違責或然率等級劃分的信用風險承擔</w:t>
      </w:r>
      <w:r w:rsidRPr="008A5FFD">
        <w:rPr>
          <w:rFonts w:ascii="細明體" w:eastAsia="細明體" w:hAnsi="細明體" w:cs="細明體" w:hint="eastAsia"/>
          <w:b w:val="0"/>
          <w:sz w:val="22"/>
        </w:rPr>
        <w:t>──</w:t>
      </w:r>
      <w:r w:rsidRPr="008A5FFD">
        <w:rPr>
          <w:rFonts w:ascii="Segoe UI" w:eastAsia="細明體" w:hAnsi="Segoe UI" w:cs="Segoe UI"/>
          <w:b w:val="0"/>
          <w:sz w:val="22"/>
        </w:rPr>
        <w:t>IRB</w:t>
      </w:r>
      <w:r w:rsidRPr="008A5FFD">
        <w:rPr>
          <w:rFonts w:eastAsia="細明體" w:cs="Segoe UI" w:hint="eastAsia"/>
          <w:b w:val="0"/>
          <w:sz w:val="22"/>
        </w:rPr>
        <w:t>計算法</w:t>
      </w:r>
    </w:p>
    <w:tbl>
      <w:tblPr>
        <w:tblW w:w="0" w:type="auto"/>
        <w:tblInd w:w="108" w:type="dxa"/>
        <w:tblLayout w:type="fixed"/>
        <w:tblLook w:val="0000" w:firstRow="0" w:lastRow="0" w:firstColumn="0" w:lastColumn="0" w:noHBand="0" w:noVBand="0"/>
      </w:tblPr>
      <w:tblGrid>
        <w:gridCol w:w="2127"/>
        <w:gridCol w:w="11765"/>
      </w:tblGrid>
      <w:tr w:rsidR="00272D6C" w:rsidRPr="00272D6C" w14:paraId="1D2935D6" w14:textId="77777777" w:rsidTr="005171C5">
        <w:tc>
          <w:tcPr>
            <w:tcW w:w="2127" w:type="dxa"/>
            <w:tcBorders>
              <w:top w:val="single" w:sz="4" w:space="0" w:color="000000"/>
              <w:bottom w:val="single" w:sz="4" w:space="0" w:color="000000"/>
            </w:tcBorders>
            <w:shd w:val="clear" w:color="auto" w:fill="auto"/>
          </w:tcPr>
          <w:p w14:paraId="4798FFEE"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539F310A"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提供在</w:t>
            </w:r>
            <w:r w:rsidRPr="00272D6C">
              <w:rPr>
                <w:rFonts w:eastAsia="細明體" w:cs="Segoe UI"/>
                <w:sz w:val="17"/>
                <w:lang w:eastAsia="ar-SA"/>
              </w:rPr>
              <w:t>IRB</w:t>
            </w:r>
            <w:r w:rsidRPr="00272D6C">
              <w:rPr>
                <w:rFonts w:eastAsia="細明體" w:cs="Segoe UI" w:hint="eastAsia"/>
                <w:sz w:val="17"/>
                <w:lang w:eastAsia="ar-SA"/>
              </w:rPr>
              <w:t>計算法下用以計算信用風險</w:t>
            </w:r>
            <w:r w:rsidRPr="00272D6C">
              <w:rPr>
                <w:rFonts w:eastAsia="細明體" w:cs="Segoe UI"/>
                <w:sz w:val="17"/>
                <w:lang w:eastAsia="ar-SA"/>
              </w:rPr>
              <w:t>資本規定的內部模式的主要參數，以提高風險加權數額</w:t>
            </w:r>
            <w:r w:rsidRPr="00272D6C">
              <w:rPr>
                <w:rFonts w:eastAsia="細明體" w:cs="Segoe UI" w:hint="eastAsia"/>
                <w:sz w:val="17"/>
                <w:lang w:eastAsia="ar-SA"/>
              </w:rPr>
              <w:t>計算的透明度及監管措施的可靠性。</w:t>
            </w:r>
          </w:p>
        </w:tc>
      </w:tr>
      <w:tr w:rsidR="00272D6C" w:rsidRPr="00272D6C" w14:paraId="13E0BD89" w14:textId="77777777" w:rsidTr="005171C5">
        <w:tc>
          <w:tcPr>
            <w:tcW w:w="2127" w:type="dxa"/>
            <w:tcBorders>
              <w:top w:val="single" w:sz="4" w:space="0" w:color="000000"/>
              <w:bottom w:val="single" w:sz="4" w:space="0" w:color="000000"/>
            </w:tcBorders>
            <w:shd w:val="clear" w:color="auto" w:fill="auto"/>
          </w:tcPr>
          <w:p w14:paraId="5103071E"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7C34E276"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在香港成立為法團並使用</w:t>
            </w:r>
            <w:r w:rsidRPr="00272D6C">
              <w:rPr>
                <w:rFonts w:eastAsia="細明體" w:cs="Segoe UI"/>
                <w:sz w:val="17"/>
                <w:lang w:eastAsia="ar-SA"/>
              </w:rPr>
              <w:t>IRB</w:t>
            </w:r>
            <w:r w:rsidRPr="00272D6C">
              <w:rPr>
                <w:rFonts w:eastAsia="細明體" w:cs="Segoe UI" w:hint="eastAsia"/>
                <w:sz w:val="17"/>
                <w:lang w:eastAsia="ar-SA"/>
              </w:rPr>
              <w:t>計算法計算其部分或全部風險承擔的認可機構，均須填報本模版。</w:t>
            </w:r>
          </w:p>
        </w:tc>
      </w:tr>
      <w:tr w:rsidR="00272D6C" w:rsidRPr="00272D6C" w14:paraId="5ADB639D" w14:textId="77777777" w:rsidTr="005171C5">
        <w:trPr>
          <w:trHeight w:val="275"/>
        </w:trPr>
        <w:tc>
          <w:tcPr>
            <w:tcW w:w="2127" w:type="dxa"/>
            <w:tcBorders>
              <w:top w:val="single" w:sz="4" w:space="0" w:color="000000"/>
              <w:bottom w:val="single" w:sz="4" w:space="0" w:color="000000"/>
            </w:tcBorders>
            <w:shd w:val="clear" w:color="auto" w:fill="auto"/>
          </w:tcPr>
          <w:p w14:paraId="2FD3DD34"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6DD9E2B6" w14:textId="77777777" w:rsidR="00272D6C" w:rsidRPr="00272D6C" w:rsidRDefault="00272D6C" w:rsidP="00272D6C">
            <w:pPr>
              <w:suppressAutoHyphens/>
              <w:spacing w:before="40" w:after="40"/>
              <w:jc w:val="both"/>
              <w:rPr>
                <w:rFonts w:cs="Segoe UI"/>
                <w:lang w:eastAsia="ar-SA"/>
              </w:rPr>
            </w:pPr>
            <w:r w:rsidRPr="00272D6C">
              <w:rPr>
                <w:rFonts w:eastAsia="細明體" w:cs="Segoe UI"/>
                <w:sz w:val="17"/>
                <w:lang w:eastAsia="ar-SA"/>
              </w:rPr>
              <w:t>(a)</w:t>
            </w:r>
            <w:r w:rsidRPr="00272D6C">
              <w:rPr>
                <w:rFonts w:eastAsia="細明體" w:cs="Segoe UI" w:hint="eastAsia"/>
                <w:sz w:val="17"/>
                <w:lang w:eastAsia="ar-SA"/>
              </w:rPr>
              <w:t>及</w:t>
            </w:r>
            <w:r w:rsidRPr="00272D6C">
              <w:rPr>
                <w:rFonts w:eastAsia="細明體" w:cs="Segoe UI"/>
                <w:sz w:val="17"/>
                <w:lang w:eastAsia="ar-SA"/>
              </w:rPr>
              <w:t>(b)</w:t>
            </w:r>
            <w:r w:rsidRPr="00272D6C">
              <w:rPr>
                <w:rFonts w:eastAsia="細明體" w:cs="Segoe UI" w:hint="eastAsia"/>
                <w:sz w:val="17"/>
                <w:lang w:eastAsia="ar-SA"/>
              </w:rPr>
              <w:t>欄是用作會計用途</w:t>
            </w:r>
            <w:r w:rsidRPr="00272D6C">
              <w:rPr>
                <w:rFonts w:eastAsia="細明體" w:cs="Segoe UI" w:hint="eastAsia"/>
                <w:sz w:val="17"/>
                <w:lang w:eastAsia="zh-TW"/>
              </w:rPr>
              <w:t>的</w:t>
            </w:r>
            <w:r w:rsidRPr="00272D6C">
              <w:rPr>
                <w:rFonts w:eastAsia="細明體" w:cs="Segoe UI" w:hint="eastAsia"/>
                <w:sz w:val="17"/>
                <w:lang w:eastAsia="ar-SA"/>
              </w:rPr>
              <w:t>帳面數額，</w:t>
            </w:r>
            <w:r w:rsidRPr="00272D6C">
              <w:rPr>
                <w:rFonts w:eastAsia="細明體" w:cs="Segoe UI"/>
                <w:sz w:val="17"/>
                <w:lang w:eastAsia="ar-SA"/>
              </w:rPr>
              <w:t>(c)</w:t>
            </w:r>
            <w:r w:rsidRPr="00272D6C">
              <w:rPr>
                <w:rFonts w:eastAsia="細明體" w:cs="Segoe UI" w:hint="eastAsia"/>
                <w:sz w:val="17"/>
                <w:lang w:eastAsia="ar-SA"/>
              </w:rPr>
              <w:t>至</w:t>
            </w:r>
            <w:r w:rsidRPr="00272D6C">
              <w:rPr>
                <w:rFonts w:eastAsia="細明體" w:cs="Segoe UI"/>
                <w:sz w:val="17"/>
                <w:lang w:eastAsia="ar-SA"/>
              </w:rPr>
              <w:t>(l)</w:t>
            </w:r>
            <w:r w:rsidRPr="00272D6C">
              <w:rPr>
                <w:rFonts w:eastAsia="細明體" w:cs="Segoe UI" w:hint="eastAsia"/>
                <w:sz w:val="17"/>
                <w:lang w:eastAsia="ar-SA"/>
              </w:rPr>
              <w:t>欄是用作監管用途</w:t>
            </w:r>
            <w:r w:rsidRPr="00272D6C">
              <w:rPr>
                <w:rFonts w:eastAsia="細明體" w:cs="Segoe UI" w:hint="eastAsia"/>
                <w:sz w:val="17"/>
                <w:lang w:eastAsia="zh-TW"/>
              </w:rPr>
              <w:t>的</w:t>
            </w:r>
            <w:r w:rsidRPr="00272D6C">
              <w:rPr>
                <w:rFonts w:eastAsia="細明體" w:cs="Segoe UI" w:hint="eastAsia"/>
                <w:sz w:val="17"/>
                <w:lang w:eastAsia="ar-SA"/>
              </w:rPr>
              <w:t>數額。所有的值均應基於為計算資本充足程度而適用的監管綜合範圍。</w:t>
            </w:r>
            <w:r w:rsidRPr="00272D6C">
              <w:rPr>
                <w:rFonts w:eastAsia="細明體" w:cs="Segoe UI"/>
                <w:sz w:val="17"/>
                <w:lang w:eastAsia="ar-SA"/>
              </w:rPr>
              <w:t xml:space="preserve"> </w:t>
            </w:r>
          </w:p>
        </w:tc>
      </w:tr>
      <w:tr w:rsidR="00272D6C" w:rsidRPr="00272D6C" w14:paraId="3AB06004" w14:textId="77777777" w:rsidTr="005171C5">
        <w:tc>
          <w:tcPr>
            <w:tcW w:w="2127" w:type="dxa"/>
            <w:tcBorders>
              <w:top w:val="single" w:sz="4" w:space="0" w:color="000000"/>
              <w:bottom w:val="single" w:sz="4" w:space="0" w:color="000000"/>
            </w:tcBorders>
            <w:shd w:val="clear" w:color="auto" w:fill="auto"/>
          </w:tcPr>
          <w:p w14:paraId="2D8975D9"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0D7ACA52"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每半年一次</w:t>
            </w:r>
            <w:r w:rsidRPr="00272D6C">
              <w:rPr>
                <w:rFonts w:eastAsia="細明體" w:cs="Segoe UI"/>
                <w:sz w:val="17"/>
                <w:lang w:eastAsia="ar-SA"/>
              </w:rPr>
              <w:t>。</w:t>
            </w:r>
          </w:p>
        </w:tc>
      </w:tr>
      <w:tr w:rsidR="00272D6C" w:rsidRPr="00272D6C" w14:paraId="1C1359F5" w14:textId="77777777" w:rsidTr="005171C5">
        <w:tc>
          <w:tcPr>
            <w:tcW w:w="2127" w:type="dxa"/>
            <w:tcBorders>
              <w:top w:val="single" w:sz="4" w:space="0" w:color="000000"/>
              <w:bottom w:val="single" w:sz="4" w:space="0" w:color="000000"/>
            </w:tcBorders>
            <w:shd w:val="clear" w:color="auto" w:fill="auto"/>
          </w:tcPr>
          <w:p w14:paraId="1B604416"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11765" w:type="dxa"/>
            <w:tcBorders>
              <w:top w:val="single" w:sz="4" w:space="0" w:color="000000"/>
              <w:left w:val="single" w:sz="4" w:space="0" w:color="000000"/>
              <w:bottom w:val="single" w:sz="4" w:space="0" w:color="000000"/>
            </w:tcBorders>
            <w:shd w:val="clear" w:color="auto" w:fill="auto"/>
          </w:tcPr>
          <w:p w14:paraId="5720B02C" w14:textId="609DCFAF" w:rsidR="00272D6C" w:rsidRPr="00272D6C" w:rsidRDefault="00272D6C" w:rsidP="00810112">
            <w:pPr>
              <w:suppressAutoHyphens/>
              <w:spacing w:before="40" w:after="40"/>
              <w:jc w:val="both"/>
              <w:rPr>
                <w:rFonts w:cs="Segoe UI"/>
                <w:sz w:val="17"/>
                <w:lang w:eastAsia="ar-SA"/>
              </w:rPr>
            </w:pPr>
            <w:r w:rsidRPr="00272D6C">
              <w:rPr>
                <w:rFonts w:eastAsia="細明體" w:cs="Segoe UI" w:hint="eastAsia"/>
                <w:sz w:val="17"/>
                <w:lang w:eastAsia="ar-SA"/>
              </w:rPr>
              <w:t>固定。認可機構如使用基礎</w:t>
            </w:r>
            <w:r w:rsidRPr="00272D6C">
              <w:rPr>
                <w:rFonts w:eastAsia="細明體" w:cs="Segoe UI"/>
                <w:sz w:val="17"/>
                <w:lang w:eastAsia="ar-SA"/>
              </w:rPr>
              <w:t>IRB</w:t>
            </w:r>
            <w:r w:rsidRPr="00272D6C">
              <w:rPr>
                <w:rFonts w:eastAsia="細明體" w:cs="Segoe UI" w:hint="eastAsia"/>
                <w:sz w:val="17"/>
                <w:lang w:eastAsia="ar-SA"/>
              </w:rPr>
              <w:t>計算法、高級</w:t>
            </w:r>
            <w:r w:rsidRPr="00272D6C">
              <w:rPr>
                <w:rFonts w:eastAsia="細明體" w:cs="Segoe UI"/>
                <w:sz w:val="17"/>
                <w:lang w:eastAsia="ar-SA"/>
              </w:rPr>
              <w:t>IRB</w:t>
            </w:r>
            <w:r w:rsidRPr="00272D6C">
              <w:rPr>
                <w:rFonts w:eastAsia="細明體" w:cs="Segoe UI" w:hint="eastAsia"/>
                <w:sz w:val="17"/>
                <w:lang w:eastAsia="ar-SA"/>
              </w:rPr>
              <w:t>計算法</w:t>
            </w:r>
            <w:r w:rsidR="00C1333A" w:rsidRPr="00C1333A">
              <w:rPr>
                <w:rFonts w:eastAsia="細明體" w:cs="Segoe UI" w:hint="eastAsia"/>
                <w:sz w:val="17"/>
                <w:lang w:eastAsia="ar-SA"/>
              </w:rPr>
              <w:t>及</w:t>
            </w:r>
            <w:r w:rsidR="00C1333A" w:rsidRPr="00C1333A">
              <w:rPr>
                <w:rFonts w:eastAsia="細明體" w:cs="Segoe UI"/>
                <w:sz w:val="17"/>
                <w:lang w:eastAsia="ar-SA"/>
              </w:rPr>
              <w:t>/</w:t>
            </w:r>
            <w:r w:rsidR="00C1333A" w:rsidRPr="00C1333A">
              <w:rPr>
                <w:rFonts w:eastAsia="細明體" w:cs="Segoe UI" w:hint="eastAsia"/>
                <w:sz w:val="17"/>
                <w:lang w:eastAsia="ar-SA"/>
              </w:rPr>
              <w:t>或</w:t>
            </w:r>
            <w:r w:rsidRPr="00272D6C">
              <w:rPr>
                <w:rFonts w:eastAsia="細明體" w:cs="Segoe UI" w:hint="eastAsia"/>
                <w:kern w:val="1"/>
                <w:sz w:val="17"/>
                <w:szCs w:val="17"/>
                <w:lang w:eastAsia="ar-SA"/>
              </w:rPr>
              <w:t>零售</w:t>
            </w:r>
            <w:r w:rsidRPr="00272D6C">
              <w:rPr>
                <w:rFonts w:eastAsia="細明體" w:cs="Segoe UI"/>
                <w:kern w:val="1"/>
                <w:sz w:val="17"/>
                <w:szCs w:val="17"/>
                <w:lang w:eastAsia="ar-SA"/>
              </w:rPr>
              <w:t>IRB</w:t>
            </w:r>
            <w:r w:rsidRPr="00272D6C">
              <w:rPr>
                <w:rFonts w:eastAsia="細明體" w:cs="Segoe UI" w:hint="eastAsia"/>
                <w:kern w:val="1"/>
                <w:sz w:val="17"/>
                <w:szCs w:val="17"/>
                <w:lang w:eastAsia="ar-SA"/>
              </w:rPr>
              <w:t>計算法</w:t>
            </w:r>
            <w:r w:rsidRPr="00272D6C">
              <w:rPr>
                <w:rFonts w:eastAsia="細明體" w:cs="Segoe UI" w:hint="eastAsia"/>
                <w:sz w:val="17"/>
                <w:lang w:eastAsia="ar-SA"/>
              </w:rPr>
              <w:t>，應</w:t>
            </w:r>
            <w:r w:rsidR="00810112">
              <w:rPr>
                <w:rFonts w:eastAsia="細明體" w:cs="Segoe UI" w:hint="eastAsia"/>
                <w:sz w:val="17"/>
                <w:lang w:eastAsia="zh-HK"/>
              </w:rPr>
              <w:t>就所</w:t>
            </w:r>
            <w:r w:rsidR="00810112" w:rsidRPr="00272D6C">
              <w:rPr>
                <w:rFonts w:eastAsia="細明體" w:cs="Segoe UI" w:hint="eastAsia"/>
                <w:sz w:val="17"/>
                <w:lang w:eastAsia="ar-SA"/>
              </w:rPr>
              <w:t>採用的</w:t>
            </w:r>
            <w:r w:rsidR="00810112" w:rsidRPr="00272D6C">
              <w:rPr>
                <w:rFonts w:eastAsia="細明體" w:cs="Segoe UI"/>
                <w:sz w:val="17"/>
                <w:lang w:eastAsia="ar-SA"/>
              </w:rPr>
              <w:t>IRB</w:t>
            </w:r>
            <w:r w:rsidR="00810112" w:rsidRPr="00272D6C">
              <w:rPr>
                <w:rFonts w:eastAsia="細明體" w:cs="Segoe UI" w:hint="eastAsia"/>
                <w:sz w:val="17"/>
                <w:lang w:eastAsia="ar-SA"/>
              </w:rPr>
              <w:t>計算法</w:t>
            </w:r>
            <w:r w:rsidR="00810112">
              <w:rPr>
                <w:rFonts w:eastAsia="細明體" w:cs="Segoe UI" w:hint="eastAsia"/>
                <w:sz w:val="17"/>
                <w:lang w:eastAsia="zh-HK"/>
              </w:rPr>
              <w:t>使用</w:t>
            </w:r>
            <w:r w:rsidRPr="00272D6C">
              <w:rPr>
                <w:rFonts w:eastAsia="細明體" w:cs="Segoe UI" w:hint="eastAsia"/>
                <w:sz w:val="17"/>
                <w:lang w:eastAsia="ar-SA"/>
              </w:rPr>
              <w:t>不同模版</w:t>
            </w:r>
            <w:r w:rsidR="00810112">
              <w:rPr>
                <w:rFonts w:eastAsia="細明體" w:cs="Segoe UI" w:hint="eastAsia"/>
                <w:sz w:val="17"/>
                <w:lang w:eastAsia="zh-HK"/>
              </w:rPr>
              <w:t>作</w:t>
            </w:r>
            <w:r w:rsidRPr="00272D6C">
              <w:rPr>
                <w:rFonts w:eastAsia="細明體" w:cs="Segoe UI" w:hint="eastAsia"/>
                <w:sz w:val="17"/>
                <w:lang w:eastAsia="ar-SA"/>
              </w:rPr>
              <w:t>披露。就所採用的每種</w:t>
            </w:r>
            <w:r w:rsidRPr="00272D6C">
              <w:rPr>
                <w:rFonts w:eastAsia="細明體" w:cs="Segoe UI"/>
                <w:sz w:val="17"/>
                <w:lang w:eastAsia="ar-SA"/>
              </w:rPr>
              <w:t>IRB</w:t>
            </w:r>
            <w:r w:rsidRPr="00272D6C">
              <w:rPr>
                <w:rFonts w:eastAsia="細明體" w:cs="Segoe UI" w:hint="eastAsia"/>
                <w:sz w:val="17"/>
                <w:lang w:eastAsia="ar-SA"/>
              </w:rPr>
              <w:t>計算法而言，認可機構應按以下主要</w:t>
            </w:r>
            <w:r w:rsidRPr="00272D6C">
              <w:rPr>
                <w:rFonts w:eastAsia="細明體" w:cs="Segoe UI"/>
                <w:sz w:val="17"/>
                <w:lang w:eastAsia="ar-SA"/>
              </w:rPr>
              <w:t>IRB</w:t>
            </w:r>
            <w:r w:rsidRPr="00272D6C">
              <w:rPr>
                <w:rFonts w:eastAsia="細明體" w:cs="Segoe UI" w:hint="eastAsia"/>
                <w:sz w:val="17"/>
                <w:lang w:eastAsia="ar-SA"/>
              </w:rPr>
              <w:t>類別及</w:t>
            </w:r>
            <w:r w:rsidRPr="00272D6C">
              <w:rPr>
                <w:rFonts w:eastAsia="細明體" w:cs="Segoe UI"/>
                <w:sz w:val="17"/>
                <w:lang w:eastAsia="ar-SA"/>
              </w:rPr>
              <w:t>/</w:t>
            </w:r>
            <w:r w:rsidRPr="00272D6C">
              <w:rPr>
                <w:rFonts w:eastAsia="細明體" w:cs="Segoe UI" w:hint="eastAsia"/>
                <w:sz w:val="17"/>
                <w:lang w:eastAsia="ar-SA"/>
              </w:rPr>
              <w:t>或子類別</w:t>
            </w:r>
            <w:r w:rsidR="00C1333A" w:rsidRPr="00C1333A">
              <w:rPr>
                <w:rFonts w:eastAsia="細明體" w:cs="Segoe UI" w:hint="eastAsia"/>
                <w:sz w:val="17"/>
                <w:lang w:eastAsia="ar-SA"/>
              </w:rPr>
              <w:t>（與《資本規則》所用的分類相符）</w:t>
            </w:r>
            <w:r w:rsidRPr="00272D6C">
              <w:rPr>
                <w:rFonts w:eastAsia="細明體" w:cs="Segoe UI" w:hint="eastAsia"/>
                <w:sz w:val="17"/>
                <w:lang w:eastAsia="ar-SA"/>
              </w:rPr>
              <w:t>披露使用</w:t>
            </w:r>
            <w:r w:rsidR="00C1333A" w:rsidRPr="00C1333A">
              <w:rPr>
                <w:rFonts w:eastAsia="細明體" w:cs="Segoe UI" w:hint="eastAsia"/>
                <w:sz w:val="17"/>
                <w:lang w:eastAsia="ar-SA"/>
              </w:rPr>
              <w:t>相關</w:t>
            </w:r>
            <w:r w:rsidRPr="00272D6C">
              <w:rPr>
                <w:rFonts w:eastAsia="細明體" w:cs="Segoe UI"/>
                <w:sz w:val="17"/>
                <w:lang w:eastAsia="ar-SA"/>
              </w:rPr>
              <w:t>IRB</w:t>
            </w:r>
            <w:r w:rsidRPr="00272D6C">
              <w:rPr>
                <w:rFonts w:eastAsia="細明體" w:cs="Segoe UI" w:hint="eastAsia"/>
                <w:sz w:val="17"/>
                <w:lang w:eastAsia="ar-SA"/>
              </w:rPr>
              <w:t>計算法的組合種類：</w:t>
            </w:r>
            <w:r w:rsidRPr="00272D6C">
              <w:rPr>
                <w:rFonts w:eastAsia="細明體" w:cs="Segoe UI"/>
                <w:sz w:val="17"/>
                <w:szCs w:val="17"/>
                <w:lang w:eastAsia="ar-SA"/>
              </w:rPr>
              <w:t>(</w:t>
            </w:r>
            <w:proofErr w:type="spellStart"/>
            <w:r w:rsidRPr="00272D6C">
              <w:rPr>
                <w:rFonts w:eastAsia="細明體" w:cs="Segoe UI"/>
                <w:sz w:val="17"/>
                <w:szCs w:val="17"/>
                <w:lang w:eastAsia="ar-SA"/>
              </w:rPr>
              <w:t>i</w:t>
            </w:r>
            <w:proofErr w:type="spellEnd"/>
            <w:r w:rsidRPr="00272D6C">
              <w:rPr>
                <w:rFonts w:eastAsia="細明體" w:cs="Segoe UI"/>
                <w:sz w:val="17"/>
                <w:szCs w:val="17"/>
                <w:lang w:eastAsia="ar-SA"/>
              </w:rPr>
              <w:t>)</w:t>
            </w:r>
            <w:r w:rsidRPr="00272D6C">
              <w:rPr>
                <w:rFonts w:eastAsia="細明體" w:cs="Segoe UI" w:hint="eastAsia"/>
                <w:sz w:val="17"/>
                <w:szCs w:val="17"/>
                <w:lang w:eastAsia="ar-SA"/>
              </w:rPr>
              <w:t xml:space="preserve"> </w:t>
            </w:r>
            <w:r w:rsidRPr="00272D6C">
              <w:rPr>
                <w:rFonts w:eastAsia="細明體" w:cs="Segoe UI" w:hint="eastAsia"/>
                <w:sz w:val="17"/>
                <w:szCs w:val="17"/>
                <w:lang w:eastAsia="ar-SA"/>
              </w:rPr>
              <w:t>官方實體；</w:t>
            </w:r>
            <w:r w:rsidRPr="00272D6C">
              <w:rPr>
                <w:rFonts w:eastAsia="細明體" w:cs="Segoe UI"/>
                <w:sz w:val="17"/>
                <w:szCs w:val="17"/>
                <w:lang w:eastAsia="ar-SA"/>
              </w:rPr>
              <w:t>(ii)</w:t>
            </w:r>
            <w:r w:rsidRPr="00272D6C">
              <w:rPr>
                <w:rFonts w:eastAsia="細明體" w:cs="Segoe UI" w:hint="eastAsia"/>
                <w:sz w:val="17"/>
                <w:szCs w:val="17"/>
                <w:lang w:eastAsia="ar-SA"/>
              </w:rPr>
              <w:t xml:space="preserve"> </w:t>
            </w:r>
            <w:r w:rsidRPr="00272D6C">
              <w:rPr>
                <w:rFonts w:eastAsia="細明體" w:cs="Segoe UI" w:hint="eastAsia"/>
                <w:sz w:val="17"/>
                <w:szCs w:val="17"/>
                <w:lang w:eastAsia="ar-SA"/>
              </w:rPr>
              <w:t>銀行；</w:t>
            </w:r>
            <w:r w:rsidRPr="00272D6C">
              <w:rPr>
                <w:rFonts w:eastAsia="細明體" w:cs="Segoe UI"/>
                <w:sz w:val="17"/>
                <w:szCs w:val="17"/>
                <w:lang w:eastAsia="ar-SA"/>
              </w:rPr>
              <w:t>(iii)</w:t>
            </w:r>
            <w:r w:rsidRPr="00272D6C">
              <w:rPr>
                <w:rFonts w:eastAsia="細明體" w:cs="Segoe UI" w:hint="eastAsia"/>
                <w:sz w:val="17"/>
                <w:szCs w:val="17"/>
                <w:lang w:eastAsia="ar-SA"/>
              </w:rPr>
              <w:t xml:space="preserve"> </w:t>
            </w:r>
            <w:r w:rsidRPr="00272D6C">
              <w:rPr>
                <w:rFonts w:eastAsia="細明體" w:cs="Segoe UI" w:hint="eastAsia"/>
                <w:sz w:val="17"/>
                <w:szCs w:val="17"/>
                <w:lang w:eastAsia="ar-SA"/>
              </w:rPr>
              <w:t>法團</w:t>
            </w:r>
            <w:r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專門性借貸（高波動性商業地產</w:t>
            </w:r>
            <w:r w:rsidRPr="00272D6C">
              <w:rPr>
                <w:rFonts w:eastAsia="細明體" w:cs="Segoe UI" w:hint="eastAsia"/>
                <w:kern w:val="1"/>
                <w:sz w:val="17"/>
                <w:szCs w:val="17"/>
                <w:lang w:eastAsia="ar-SA"/>
              </w:rPr>
              <w:t>除外</w:t>
            </w:r>
            <w:r w:rsidR="00C1333A" w:rsidRPr="00C1333A">
              <w:rPr>
                <w:rFonts w:eastAsia="細明體" w:cs="Segoe UI" w:hint="eastAsia"/>
                <w:sz w:val="17"/>
                <w:lang w:eastAsia="ar-SA"/>
              </w:rPr>
              <w:t>）</w:t>
            </w:r>
            <w:r w:rsidR="004F4861">
              <w:rPr>
                <w:rFonts w:eastAsia="細明體" w:cs="Segoe UI" w:hint="eastAsia"/>
                <w:sz w:val="17"/>
                <w:lang w:eastAsia="zh-TW"/>
              </w:rPr>
              <w:t>*</w:t>
            </w:r>
            <w:r w:rsidRPr="00272D6C">
              <w:rPr>
                <w:rFonts w:eastAsia="細明體" w:cs="Segoe UI" w:hint="eastAsia"/>
                <w:sz w:val="17"/>
                <w:szCs w:val="17"/>
                <w:lang w:eastAsia="ar-SA"/>
              </w:rPr>
              <w:t>；</w:t>
            </w:r>
            <w:r w:rsidRPr="00272D6C">
              <w:rPr>
                <w:rFonts w:eastAsia="細明體" w:cs="Segoe UI"/>
                <w:sz w:val="17"/>
                <w:szCs w:val="17"/>
                <w:lang w:eastAsia="ar-SA"/>
              </w:rPr>
              <w:t>(iv)</w:t>
            </w:r>
            <w:r w:rsidRPr="00272D6C">
              <w:rPr>
                <w:rFonts w:eastAsia="細明體" w:cs="Segoe UI" w:hint="eastAsia"/>
                <w:sz w:val="17"/>
                <w:szCs w:val="17"/>
                <w:lang w:eastAsia="ar-SA"/>
              </w:rPr>
              <w:t xml:space="preserve"> </w:t>
            </w:r>
            <w:r w:rsidRPr="00272D6C">
              <w:rPr>
                <w:rFonts w:eastAsia="細明體" w:cs="Segoe UI" w:hint="eastAsia"/>
                <w:sz w:val="17"/>
                <w:szCs w:val="17"/>
                <w:lang w:eastAsia="ar-SA"/>
              </w:rPr>
              <w:t>法團</w:t>
            </w:r>
            <w:r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中小型法團；</w:t>
            </w:r>
            <w:r w:rsidRPr="00272D6C">
              <w:rPr>
                <w:rFonts w:eastAsia="細明體" w:cs="Segoe UI"/>
                <w:sz w:val="17"/>
                <w:szCs w:val="17"/>
                <w:lang w:eastAsia="ar-SA"/>
              </w:rPr>
              <w:t xml:space="preserve"> (v)</w:t>
            </w:r>
            <w:r w:rsidRPr="00272D6C">
              <w:rPr>
                <w:rFonts w:eastAsia="細明體" w:cs="Segoe UI" w:hint="eastAsia"/>
                <w:sz w:val="17"/>
                <w:szCs w:val="17"/>
                <w:lang w:eastAsia="ar-SA"/>
              </w:rPr>
              <w:t xml:space="preserve"> </w:t>
            </w:r>
            <w:r w:rsidRPr="00272D6C">
              <w:rPr>
                <w:rFonts w:eastAsia="細明體" w:cs="Segoe UI" w:hint="eastAsia"/>
                <w:sz w:val="17"/>
                <w:szCs w:val="17"/>
                <w:lang w:eastAsia="ar-SA"/>
              </w:rPr>
              <w:t>法團</w:t>
            </w:r>
            <w:r w:rsidRPr="00272D6C">
              <w:rPr>
                <w:rFonts w:ascii="細明體" w:eastAsia="細明體" w:hAnsi="細明體" w:cs="細明體" w:hint="eastAsia"/>
                <w:sz w:val="17"/>
                <w:szCs w:val="17"/>
                <w:lang w:eastAsia="ar-SA"/>
              </w:rPr>
              <w:t>──</w:t>
            </w:r>
            <w:r w:rsidR="00C1333A" w:rsidRPr="00C1333A">
              <w:rPr>
                <w:rFonts w:ascii="細明體" w:eastAsia="細明體" w:hAnsi="細明體" w:cs="細明體" w:hint="eastAsia"/>
                <w:sz w:val="17"/>
                <w:szCs w:val="17"/>
                <w:lang w:eastAsia="ar-SA"/>
              </w:rPr>
              <w:t>專門性借貸（</w:t>
            </w:r>
            <w:r w:rsidRPr="00272D6C">
              <w:rPr>
                <w:rFonts w:eastAsia="細明體" w:cs="Segoe UI" w:hint="eastAsia"/>
                <w:sz w:val="17"/>
                <w:szCs w:val="17"/>
                <w:lang w:eastAsia="ar-SA"/>
              </w:rPr>
              <w:t>高波動性商業地產</w:t>
            </w:r>
            <w:r w:rsidR="00C1333A" w:rsidRPr="00C1333A">
              <w:rPr>
                <w:rFonts w:eastAsia="細明體" w:cs="Segoe UI" w:hint="eastAsia"/>
                <w:sz w:val="17"/>
                <w:lang w:eastAsia="ar-SA"/>
              </w:rPr>
              <w:t>）</w:t>
            </w:r>
            <w:r w:rsidR="004F4861">
              <w:rPr>
                <w:rFonts w:eastAsia="細明體" w:cs="Segoe UI" w:hint="eastAsia"/>
                <w:sz w:val="17"/>
                <w:lang w:eastAsia="zh-TW"/>
              </w:rPr>
              <w:t>*</w:t>
            </w:r>
            <w:r w:rsidRPr="00272D6C">
              <w:rPr>
                <w:rFonts w:eastAsia="細明體" w:cs="Segoe UI" w:hint="eastAsia"/>
                <w:sz w:val="17"/>
                <w:szCs w:val="17"/>
                <w:lang w:eastAsia="ar-SA"/>
              </w:rPr>
              <w:t>；</w:t>
            </w:r>
            <w:r w:rsidRPr="00272D6C">
              <w:rPr>
                <w:rFonts w:eastAsia="細明體" w:cs="Segoe UI"/>
                <w:sz w:val="17"/>
                <w:szCs w:val="17"/>
                <w:lang w:eastAsia="ar-SA"/>
              </w:rPr>
              <w:t xml:space="preserve"> (vi)</w:t>
            </w:r>
            <w:r w:rsidRPr="00272D6C">
              <w:rPr>
                <w:rFonts w:eastAsia="細明體" w:cs="Segoe UI" w:hint="eastAsia"/>
                <w:sz w:val="17"/>
                <w:szCs w:val="17"/>
                <w:lang w:eastAsia="ar-SA"/>
              </w:rPr>
              <w:t xml:space="preserve"> </w:t>
            </w:r>
            <w:r w:rsidR="00C1333A" w:rsidRPr="00C1333A">
              <w:rPr>
                <w:rFonts w:eastAsia="細明體" w:cs="Segoe UI" w:hint="eastAsia"/>
                <w:sz w:val="17"/>
                <w:szCs w:val="17"/>
                <w:lang w:eastAsia="ar-SA"/>
              </w:rPr>
              <w:t>法團</w:t>
            </w:r>
            <w:r w:rsidR="00C1333A" w:rsidRPr="00C1333A">
              <w:rPr>
                <w:rFonts w:ascii="微軟正黑體" w:eastAsia="微軟正黑體" w:hAnsi="微軟正黑體" w:cs="微軟正黑體" w:hint="eastAsia"/>
                <w:sz w:val="17"/>
                <w:szCs w:val="17"/>
                <w:lang w:eastAsia="ar-SA"/>
              </w:rPr>
              <w:t>──</w:t>
            </w:r>
            <w:r w:rsidR="00C1333A" w:rsidRPr="00C1333A">
              <w:rPr>
                <w:rFonts w:eastAsia="細明體" w:cs="Segoe UI" w:hint="eastAsia"/>
                <w:sz w:val="17"/>
                <w:szCs w:val="17"/>
                <w:lang w:eastAsia="ar-SA"/>
              </w:rPr>
              <w:t>大型法團；</w:t>
            </w:r>
            <w:r w:rsidR="00C1333A" w:rsidRPr="00C1333A">
              <w:rPr>
                <w:rFonts w:eastAsia="細明體" w:cs="Segoe UI"/>
                <w:sz w:val="17"/>
                <w:szCs w:val="17"/>
                <w:lang w:eastAsia="ar-SA"/>
              </w:rPr>
              <w:t xml:space="preserve">(vii) </w:t>
            </w:r>
            <w:r w:rsidR="00C1333A" w:rsidRPr="00C1333A">
              <w:rPr>
                <w:rFonts w:eastAsia="細明體" w:cs="Segoe UI" w:hint="eastAsia"/>
                <w:sz w:val="17"/>
                <w:szCs w:val="17"/>
                <w:lang w:eastAsia="ar-SA"/>
              </w:rPr>
              <w:t>法團</w:t>
            </w:r>
            <w:r w:rsidR="00C1333A" w:rsidRPr="00C1333A">
              <w:rPr>
                <w:rFonts w:ascii="微軟正黑體" w:eastAsia="微軟正黑體" w:hAnsi="微軟正黑體" w:cs="微軟正黑體" w:hint="eastAsia"/>
                <w:sz w:val="17"/>
                <w:szCs w:val="17"/>
                <w:lang w:eastAsia="ar-SA"/>
              </w:rPr>
              <w:t>──</w:t>
            </w:r>
            <w:r w:rsidR="00C1333A" w:rsidRPr="00C1333A">
              <w:rPr>
                <w:rFonts w:eastAsia="細明體" w:cs="Segoe UI" w:hint="eastAsia"/>
                <w:sz w:val="17"/>
                <w:szCs w:val="17"/>
                <w:lang w:eastAsia="ar-SA"/>
              </w:rPr>
              <w:t>視為法團的金融機構；</w:t>
            </w:r>
            <w:r w:rsidR="00C1333A" w:rsidRPr="00C1333A">
              <w:rPr>
                <w:rFonts w:eastAsia="細明體" w:cs="Segoe UI"/>
                <w:sz w:val="17"/>
                <w:szCs w:val="17"/>
                <w:lang w:eastAsia="ar-SA"/>
              </w:rPr>
              <w:t>(viii)</w:t>
            </w:r>
            <w:r w:rsidR="00C1333A">
              <w:rPr>
                <w:rFonts w:eastAsia="細明體" w:cs="Segoe UI"/>
                <w:sz w:val="17"/>
                <w:szCs w:val="17"/>
                <w:lang w:eastAsia="ar-SA"/>
              </w:rPr>
              <w:t xml:space="preserve"> </w:t>
            </w:r>
            <w:r w:rsidRPr="00272D6C">
              <w:rPr>
                <w:rFonts w:eastAsia="細明體" w:cs="Segoe UI" w:hint="eastAsia"/>
                <w:sz w:val="17"/>
                <w:szCs w:val="17"/>
                <w:lang w:eastAsia="ar-SA"/>
              </w:rPr>
              <w:t>法團</w:t>
            </w:r>
            <w:r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其他</w:t>
            </w:r>
            <w:r w:rsidR="00C1333A" w:rsidRPr="00272D6C">
              <w:rPr>
                <w:rFonts w:eastAsia="細明體" w:cs="Segoe UI" w:hint="eastAsia"/>
                <w:sz w:val="17"/>
                <w:szCs w:val="17"/>
                <w:lang w:eastAsia="ar-SA"/>
              </w:rPr>
              <w:t>法團</w:t>
            </w:r>
            <w:r w:rsidRPr="00272D6C">
              <w:rPr>
                <w:rFonts w:eastAsia="細明體" w:cs="Segoe UI" w:hint="eastAsia"/>
                <w:sz w:val="17"/>
                <w:szCs w:val="17"/>
                <w:lang w:eastAsia="ar-SA"/>
              </w:rPr>
              <w:t>；</w:t>
            </w:r>
            <w:r w:rsidRPr="00272D6C">
              <w:rPr>
                <w:rFonts w:eastAsia="細明體" w:cs="Segoe UI"/>
                <w:sz w:val="17"/>
                <w:szCs w:val="17"/>
                <w:lang w:eastAsia="ar-SA"/>
              </w:rPr>
              <w:t>(</w:t>
            </w:r>
            <w:r w:rsidR="000834AE">
              <w:rPr>
                <w:rFonts w:eastAsia="細明體" w:cs="Segoe UI"/>
                <w:sz w:val="17"/>
                <w:szCs w:val="17"/>
                <w:lang w:eastAsia="ar-SA"/>
              </w:rPr>
              <w:t>ix</w:t>
            </w:r>
            <w:r w:rsidRPr="00272D6C">
              <w:rPr>
                <w:rFonts w:eastAsia="細明體" w:cs="Segoe UI"/>
                <w:sz w:val="17"/>
                <w:szCs w:val="17"/>
                <w:lang w:eastAsia="ar-SA"/>
              </w:rPr>
              <w:t>)</w:t>
            </w:r>
            <w:r w:rsidRPr="00272D6C">
              <w:rPr>
                <w:rFonts w:eastAsia="細明體" w:cs="Segoe UI" w:hint="eastAsia"/>
                <w:sz w:val="17"/>
                <w:szCs w:val="17"/>
                <w:lang w:eastAsia="ar-SA"/>
              </w:rPr>
              <w:t xml:space="preserve"> </w:t>
            </w:r>
            <w:r w:rsidR="000834AE" w:rsidRPr="000834AE">
              <w:rPr>
                <w:rFonts w:eastAsia="細明體" w:cs="Segoe UI" w:hint="eastAsia"/>
                <w:sz w:val="17"/>
                <w:szCs w:val="17"/>
                <w:lang w:eastAsia="ar-SA"/>
              </w:rPr>
              <w:t>零售</w:t>
            </w:r>
            <w:r w:rsidR="000834AE" w:rsidRPr="000834AE">
              <w:rPr>
                <w:rFonts w:ascii="微軟正黑體" w:eastAsia="微軟正黑體" w:hAnsi="微軟正黑體" w:cs="微軟正黑體" w:hint="eastAsia"/>
                <w:sz w:val="17"/>
                <w:szCs w:val="17"/>
                <w:lang w:eastAsia="ar-SA"/>
              </w:rPr>
              <w:t>──</w:t>
            </w:r>
            <w:r w:rsidR="000834AE" w:rsidRPr="000834AE">
              <w:rPr>
                <w:rFonts w:eastAsia="細明體" w:cs="Segoe UI" w:hint="eastAsia"/>
                <w:sz w:val="17"/>
                <w:szCs w:val="17"/>
                <w:lang w:eastAsia="ar-SA"/>
              </w:rPr>
              <w:t>合資格循環式零售風險承擔（交易者）</w:t>
            </w:r>
            <w:r w:rsidRPr="00272D6C">
              <w:rPr>
                <w:rFonts w:eastAsia="細明體" w:cs="Segoe UI" w:hint="eastAsia"/>
                <w:sz w:val="17"/>
                <w:szCs w:val="17"/>
                <w:lang w:eastAsia="ar-SA"/>
              </w:rPr>
              <w:t>；</w:t>
            </w:r>
            <w:r w:rsidRPr="00272D6C">
              <w:rPr>
                <w:rFonts w:eastAsia="細明體" w:cs="Segoe UI"/>
                <w:sz w:val="17"/>
                <w:szCs w:val="17"/>
                <w:lang w:eastAsia="ar-SA"/>
              </w:rPr>
              <w:t>(</w:t>
            </w:r>
            <w:r w:rsidR="000834AE">
              <w:rPr>
                <w:rFonts w:eastAsia="細明體" w:cs="Segoe UI"/>
                <w:sz w:val="17"/>
                <w:szCs w:val="17"/>
                <w:lang w:eastAsia="ar-SA"/>
              </w:rPr>
              <w:t>x</w:t>
            </w:r>
            <w:r w:rsidRPr="00272D6C">
              <w:rPr>
                <w:rFonts w:eastAsia="細明體" w:cs="Segoe UI"/>
                <w:sz w:val="17"/>
                <w:szCs w:val="17"/>
                <w:lang w:eastAsia="ar-SA"/>
              </w:rPr>
              <w:t xml:space="preserve">) </w:t>
            </w:r>
            <w:r w:rsidRPr="00272D6C">
              <w:rPr>
                <w:rFonts w:eastAsia="細明體" w:cs="Segoe UI" w:hint="eastAsia"/>
                <w:sz w:val="17"/>
                <w:szCs w:val="17"/>
                <w:lang w:eastAsia="ar-SA"/>
              </w:rPr>
              <w:t>零售</w:t>
            </w:r>
            <w:r w:rsidRPr="00272D6C">
              <w:rPr>
                <w:rFonts w:ascii="細明體" w:eastAsia="細明體" w:hAnsi="細明體" w:cs="細明體" w:hint="eastAsia"/>
                <w:sz w:val="17"/>
                <w:szCs w:val="17"/>
                <w:lang w:eastAsia="ar-SA"/>
              </w:rPr>
              <w:t>──</w:t>
            </w:r>
            <w:r w:rsidRPr="00272D6C">
              <w:rPr>
                <w:rFonts w:eastAsia="細明體" w:cs="Segoe UI"/>
                <w:sz w:val="17"/>
                <w:szCs w:val="17"/>
                <w:lang w:eastAsia="ar-SA"/>
              </w:rPr>
              <w:t>合資格循環式零售風險承擔</w:t>
            </w:r>
            <w:r w:rsidR="000834AE" w:rsidRPr="000834AE">
              <w:rPr>
                <w:rFonts w:eastAsia="細明體" w:cs="Segoe UI" w:hint="eastAsia"/>
                <w:sz w:val="17"/>
                <w:szCs w:val="17"/>
                <w:lang w:eastAsia="ar-SA"/>
              </w:rPr>
              <w:t>（循環使用者）</w:t>
            </w:r>
            <w:r w:rsidRPr="00272D6C">
              <w:rPr>
                <w:rFonts w:eastAsia="細明體" w:cs="Segoe UI"/>
                <w:sz w:val="17"/>
                <w:szCs w:val="17"/>
                <w:lang w:eastAsia="ar-SA"/>
              </w:rPr>
              <w:t>；</w:t>
            </w:r>
            <w:r w:rsidRPr="00272D6C">
              <w:rPr>
                <w:rFonts w:eastAsia="細明體" w:cs="Segoe UI"/>
                <w:sz w:val="17"/>
                <w:szCs w:val="17"/>
                <w:lang w:eastAsia="ar-SA"/>
              </w:rPr>
              <w:t>(x</w:t>
            </w:r>
            <w:r w:rsidR="000834AE">
              <w:rPr>
                <w:rFonts w:eastAsia="細明體" w:cs="Segoe UI"/>
                <w:sz w:val="17"/>
                <w:szCs w:val="17"/>
                <w:lang w:eastAsia="ar-SA"/>
              </w:rPr>
              <w:t>i</w:t>
            </w:r>
            <w:r w:rsidRPr="00272D6C">
              <w:rPr>
                <w:rFonts w:eastAsia="細明體" w:cs="Segoe UI"/>
                <w:sz w:val="17"/>
                <w:szCs w:val="17"/>
                <w:lang w:eastAsia="ar-SA"/>
              </w:rPr>
              <w:t>)</w:t>
            </w:r>
            <w:r w:rsidRPr="00272D6C">
              <w:rPr>
                <w:rFonts w:eastAsia="細明體" w:cs="Segoe UI" w:hint="eastAsia"/>
                <w:sz w:val="17"/>
                <w:szCs w:val="17"/>
                <w:lang w:eastAsia="ar-SA"/>
              </w:rPr>
              <w:t xml:space="preserve"> </w:t>
            </w:r>
            <w:r w:rsidRPr="00272D6C">
              <w:rPr>
                <w:rFonts w:eastAsia="細明體" w:cs="Segoe UI" w:hint="eastAsia"/>
                <w:sz w:val="17"/>
                <w:szCs w:val="17"/>
                <w:lang w:eastAsia="ar-SA"/>
              </w:rPr>
              <w:t>零售</w:t>
            </w:r>
            <w:r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住宅按揭風險承擔（包括提供予個人及持物業空殼公司的按揭）；</w:t>
            </w:r>
            <w:r w:rsidRPr="00272D6C">
              <w:rPr>
                <w:rFonts w:eastAsia="細明體" w:cs="Segoe UI"/>
                <w:sz w:val="17"/>
                <w:szCs w:val="17"/>
                <w:lang w:eastAsia="ar-SA"/>
              </w:rPr>
              <w:t>(x</w:t>
            </w:r>
            <w:r w:rsidR="000834AE">
              <w:rPr>
                <w:rFonts w:eastAsia="細明體" w:cs="Segoe UI"/>
                <w:sz w:val="17"/>
                <w:szCs w:val="17"/>
                <w:lang w:eastAsia="ar-SA"/>
              </w:rPr>
              <w:t>ii</w:t>
            </w:r>
            <w:r w:rsidRPr="00272D6C">
              <w:rPr>
                <w:rFonts w:eastAsia="細明體" w:cs="Segoe UI"/>
                <w:sz w:val="17"/>
                <w:szCs w:val="17"/>
                <w:lang w:eastAsia="ar-SA"/>
              </w:rPr>
              <w:t>)</w:t>
            </w:r>
            <w:r w:rsidRPr="00272D6C">
              <w:rPr>
                <w:rFonts w:eastAsia="細明體" w:cs="Segoe UI" w:hint="eastAsia"/>
                <w:sz w:val="17"/>
                <w:szCs w:val="17"/>
                <w:lang w:eastAsia="ar-SA"/>
              </w:rPr>
              <w:t xml:space="preserve"> </w:t>
            </w:r>
            <w:r w:rsidRPr="00272D6C">
              <w:rPr>
                <w:rFonts w:eastAsia="細明體" w:cs="Segoe UI" w:hint="eastAsia"/>
                <w:sz w:val="17"/>
                <w:szCs w:val="17"/>
                <w:lang w:eastAsia="ar-SA"/>
              </w:rPr>
              <w:t>零售</w:t>
            </w:r>
            <w:r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小型業務零售風險承擔；及</w:t>
            </w:r>
            <w:r w:rsidRPr="00272D6C">
              <w:rPr>
                <w:rFonts w:eastAsia="細明體" w:cs="Segoe UI"/>
                <w:sz w:val="17"/>
                <w:szCs w:val="17"/>
                <w:lang w:eastAsia="ar-SA"/>
              </w:rPr>
              <w:t>(xi</w:t>
            </w:r>
            <w:r w:rsidR="000834AE">
              <w:rPr>
                <w:rFonts w:eastAsia="細明體" w:cs="Segoe UI"/>
                <w:sz w:val="17"/>
                <w:szCs w:val="17"/>
                <w:lang w:eastAsia="ar-SA"/>
              </w:rPr>
              <w:t>ii</w:t>
            </w:r>
            <w:r w:rsidRPr="00272D6C">
              <w:rPr>
                <w:rFonts w:eastAsia="細明體" w:cs="Segoe UI"/>
                <w:sz w:val="17"/>
                <w:szCs w:val="17"/>
                <w:lang w:eastAsia="ar-SA"/>
              </w:rPr>
              <w:t>)</w:t>
            </w:r>
            <w:r w:rsidRPr="00272D6C">
              <w:rPr>
                <w:rFonts w:eastAsia="細明體" w:cs="Segoe UI" w:hint="eastAsia"/>
                <w:sz w:val="17"/>
                <w:szCs w:val="17"/>
                <w:lang w:eastAsia="ar-SA"/>
              </w:rPr>
              <w:t xml:space="preserve"> </w:t>
            </w:r>
            <w:r w:rsidR="004F4861" w:rsidRPr="00272D6C">
              <w:rPr>
                <w:rFonts w:eastAsia="細明體" w:cs="Segoe UI" w:hint="eastAsia"/>
                <w:sz w:val="17"/>
                <w:szCs w:val="17"/>
                <w:lang w:eastAsia="ar-SA"/>
              </w:rPr>
              <w:t>零售</w:t>
            </w:r>
            <w:r w:rsidR="004F4861" w:rsidRPr="00272D6C">
              <w:rPr>
                <w:rFonts w:ascii="細明體" w:eastAsia="細明體" w:hAnsi="細明體" w:cs="細明體" w:hint="eastAsia"/>
                <w:sz w:val="17"/>
                <w:szCs w:val="17"/>
                <w:lang w:eastAsia="ar-SA"/>
              </w:rPr>
              <w:t>──</w:t>
            </w:r>
            <w:r w:rsidRPr="00272D6C">
              <w:rPr>
                <w:rFonts w:eastAsia="細明體" w:cs="Segoe UI" w:hint="eastAsia"/>
                <w:sz w:val="17"/>
                <w:szCs w:val="17"/>
                <w:lang w:eastAsia="ar-SA"/>
              </w:rPr>
              <w:t>其他對個人的零售風險承擔。按上述</w:t>
            </w:r>
            <w:r w:rsidRPr="00272D6C">
              <w:rPr>
                <w:rFonts w:eastAsia="細明體" w:cs="Segoe UI"/>
                <w:sz w:val="17"/>
                <w:szCs w:val="17"/>
                <w:lang w:eastAsia="ar-SA"/>
              </w:rPr>
              <w:t>(</w:t>
            </w:r>
            <w:proofErr w:type="spellStart"/>
            <w:r w:rsidRPr="00272D6C">
              <w:rPr>
                <w:rFonts w:eastAsia="細明體" w:cs="Segoe UI"/>
                <w:sz w:val="17"/>
                <w:szCs w:val="17"/>
                <w:lang w:eastAsia="ar-SA"/>
              </w:rPr>
              <w:t>i</w:t>
            </w:r>
            <w:proofErr w:type="spellEnd"/>
            <w:r w:rsidRPr="00272D6C">
              <w:rPr>
                <w:rFonts w:eastAsia="細明體" w:cs="Segoe UI"/>
                <w:sz w:val="17"/>
                <w:szCs w:val="17"/>
                <w:lang w:eastAsia="ar-SA"/>
              </w:rPr>
              <w:t>)</w:t>
            </w:r>
            <w:r w:rsidRPr="00272D6C">
              <w:rPr>
                <w:rFonts w:eastAsia="細明體" w:cs="Segoe UI" w:hint="eastAsia"/>
                <w:sz w:val="17"/>
                <w:szCs w:val="17"/>
                <w:lang w:eastAsia="ar-SA"/>
              </w:rPr>
              <w:t>至</w:t>
            </w:r>
            <w:r w:rsidRPr="00272D6C">
              <w:rPr>
                <w:rFonts w:eastAsia="細明體" w:cs="Segoe UI"/>
                <w:sz w:val="17"/>
                <w:szCs w:val="17"/>
                <w:lang w:eastAsia="ar-SA"/>
              </w:rPr>
              <w:t>(xi</w:t>
            </w:r>
            <w:r w:rsidR="0050526E">
              <w:rPr>
                <w:rFonts w:eastAsia="細明體" w:cs="Segoe UI"/>
                <w:sz w:val="17"/>
                <w:szCs w:val="17"/>
                <w:lang w:eastAsia="ar-SA"/>
              </w:rPr>
              <w:t>ii</w:t>
            </w:r>
            <w:r w:rsidRPr="00272D6C">
              <w:rPr>
                <w:rFonts w:eastAsia="細明體" w:cs="Segoe UI"/>
                <w:sz w:val="17"/>
                <w:szCs w:val="17"/>
                <w:lang w:eastAsia="ar-SA"/>
              </w:rPr>
              <w:t>)</w:t>
            </w:r>
            <w:r w:rsidRPr="00272D6C">
              <w:rPr>
                <w:rFonts w:eastAsia="細明體" w:cs="Segoe UI" w:hint="eastAsia"/>
                <w:sz w:val="17"/>
                <w:szCs w:val="17"/>
                <w:lang w:eastAsia="ar-SA"/>
              </w:rPr>
              <w:t>的每種</w:t>
            </w:r>
            <w:r w:rsidRPr="00272D6C">
              <w:rPr>
                <w:rFonts w:eastAsia="細明體" w:cs="Segoe UI"/>
                <w:sz w:val="17"/>
                <w:szCs w:val="17"/>
                <w:lang w:eastAsia="ar-SA"/>
              </w:rPr>
              <w:t>IRB</w:t>
            </w:r>
            <w:r w:rsidRPr="00272D6C">
              <w:rPr>
                <w:rFonts w:eastAsia="細明體" w:cs="Segoe UI" w:hint="eastAsia"/>
                <w:sz w:val="17"/>
                <w:szCs w:val="17"/>
                <w:lang w:eastAsia="ar-SA"/>
              </w:rPr>
              <w:t>類別</w:t>
            </w:r>
            <w:r w:rsidRPr="00272D6C">
              <w:rPr>
                <w:rFonts w:eastAsia="細明體" w:cs="Segoe UI"/>
                <w:sz w:val="17"/>
                <w:szCs w:val="17"/>
                <w:lang w:eastAsia="ar-SA"/>
              </w:rPr>
              <w:t>/</w:t>
            </w:r>
            <w:r w:rsidRPr="00272D6C">
              <w:rPr>
                <w:rFonts w:eastAsia="細明體" w:cs="Segoe UI" w:hint="eastAsia"/>
                <w:sz w:val="17"/>
                <w:szCs w:val="17"/>
                <w:lang w:eastAsia="ar-SA"/>
              </w:rPr>
              <w:t>子類別，將下表劃分為不同分部，並且於每一分部填報一種</w:t>
            </w:r>
            <w:r w:rsidRPr="00272D6C">
              <w:rPr>
                <w:rFonts w:eastAsia="細明體" w:cs="Segoe UI"/>
                <w:sz w:val="17"/>
                <w:szCs w:val="17"/>
                <w:lang w:eastAsia="ar-SA"/>
              </w:rPr>
              <w:t>IRB</w:t>
            </w:r>
            <w:r w:rsidRPr="00272D6C">
              <w:rPr>
                <w:rFonts w:eastAsia="細明體" w:cs="Segoe UI" w:hint="eastAsia"/>
                <w:sz w:val="17"/>
                <w:szCs w:val="17"/>
                <w:lang w:eastAsia="ar-SA"/>
              </w:rPr>
              <w:t>類別</w:t>
            </w:r>
            <w:r w:rsidRPr="00272D6C">
              <w:rPr>
                <w:rFonts w:eastAsia="細明體" w:cs="Segoe UI"/>
                <w:sz w:val="17"/>
                <w:szCs w:val="17"/>
                <w:lang w:eastAsia="ar-SA"/>
              </w:rPr>
              <w:t>/</w:t>
            </w:r>
            <w:r w:rsidRPr="00272D6C">
              <w:rPr>
                <w:rFonts w:eastAsia="細明體" w:cs="Segoe UI" w:hint="eastAsia"/>
                <w:sz w:val="17"/>
                <w:szCs w:val="17"/>
                <w:lang w:eastAsia="ar-SA"/>
              </w:rPr>
              <w:t>子類別。</w:t>
            </w:r>
            <w:r w:rsidR="004F4861" w:rsidRPr="000834AE">
              <w:rPr>
                <w:rFonts w:eastAsia="細明體" w:cs="Segoe UI" w:hint="eastAsia"/>
                <w:sz w:val="17"/>
                <w:szCs w:val="17"/>
                <w:lang w:eastAsia="ar-SA"/>
              </w:rPr>
              <w:t>（</w:t>
            </w:r>
            <w:r w:rsidR="004F4861">
              <w:rPr>
                <w:rFonts w:eastAsia="細明體" w:cs="Segoe UI" w:hint="eastAsia"/>
                <w:sz w:val="17"/>
                <w:szCs w:val="17"/>
                <w:lang w:eastAsia="zh-TW"/>
              </w:rPr>
              <w:t>*</w:t>
            </w:r>
            <w:r w:rsidR="004F4861">
              <w:rPr>
                <w:rFonts w:eastAsia="細明體" w:cs="Segoe UI" w:hint="eastAsia"/>
                <w:sz w:val="17"/>
                <w:szCs w:val="17"/>
                <w:lang w:eastAsia="zh-TW"/>
              </w:rPr>
              <w:t>僅適用於</w:t>
            </w:r>
            <w:r w:rsidR="004F4861">
              <w:rPr>
                <w:rFonts w:eastAsia="細明體" w:cs="Segoe UI" w:hint="eastAsia"/>
                <w:sz w:val="17"/>
                <w:szCs w:val="17"/>
                <w:lang w:eastAsia="zh-HK"/>
              </w:rPr>
              <w:t>使用</w:t>
            </w:r>
            <w:r w:rsidR="00721592">
              <w:rPr>
                <w:rFonts w:eastAsia="細明體" w:cs="Segoe UI" w:hint="eastAsia"/>
                <w:sz w:val="17"/>
                <w:szCs w:val="17"/>
                <w:lang w:eastAsia="zh-HK"/>
              </w:rPr>
              <w:t>基</w:t>
            </w:r>
            <w:r w:rsidR="00721592">
              <w:rPr>
                <w:rFonts w:eastAsia="細明體" w:cs="Segoe UI" w:hint="eastAsia"/>
                <w:sz w:val="17"/>
                <w:szCs w:val="17"/>
                <w:lang w:eastAsia="zh-TW"/>
              </w:rPr>
              <w:t>礎</w:t>
            </w:r>
            <w:r w:rsidR="004F4861">
              <w:rPr>
                <w:rFonts w:eastAsia="細明體" w:cs="Segoe UI"/>
                <w:sz w:val="17"/>
                <w:szCs w:val="17"/>
                <w:lang w:eastAsia="zh-TW"/>
              </w:rPr>
              <w:t>I</w:t>
            </w:r>
            <w:r w:rsidR="004F4861" w:rsidRPr="004F4861">
              <w:rPr>
                <w:rFonts w:eastAsia="細明體" w:cs="Segoe UI"/>
                <w:sz w:val="17"/>
                <w:szCs w:val="17"/>
                <w:lang w:eastAsia="zh-TW"/>
              </w:rPr>
              <w:t>RB</w:t>
            </w:r>
            <w:r w:rsidR="00721592">
              <w:rPr>
                <w:rFonts w:eastAsia="細明體" w:cs="Segoe UI" w:hint="eastAsia"/>
                <w:sz w:val="17"/>
                <w:szCs w:val="17"/>
                <w:lang w:eastAsia="zh-HK"/>
              </w:rPr>
              <w:t>計</w:t>
            </w:r>
            <w:r w:rsidR="00721592">
              <w:rPr>
                <w:rFonts w:eastAsia="細明體" w:cs="Segoe UI" w:hint="eastAsia"/>
                <w:sz w:val="17"/>
                <w:szCs w:val="17"/>
                <w:lang w:eastAsia="zh-TW"/>
              </w:rPr>
              <w:t>算</w:t>
            </w:r>
            <w:r w:rsidR="00721592">
              <w:rPr>
                <w:rFonts w:eastAsia="細明體" w:cs="Segoe UI" w:hint="eastAsia"/>
                <w:sz w:val="17"/>
                <w:szCs w:val="17"/>
                <w:lang w:eastAsia="zh-HK"/>
              </w:rPr>
              <w:t>法</w:t>
            </w:r>
            <w:r w:rsidR="004F4861" w:rsidRPr="004F4861">
              <w:rPr>
                <w:rFonts w:eastAsia="細明體" w:cs="Segoe UI" w:hint="eastAsia"/>
                <w:sz w:val="17"/>
                <w:szCs w:val="17"/>
                <w:lang w:eastAsia="zh-TW"/>
              </w:rPr>
              <w:t>或</w:t>
            </w:r>
            <w:r w:rsidR="00721592">
              <w:rPr>
                <w:rFonts w:eastAsia="細明體" w:cs="Segoe UI" w:hint="eastAsia"/>
                <w:sz w:val="17"/>
                <w:szCs w:val="17"/>
                <w:lang w:eastAsia="zh-HK"/>
              </w:rPr>
              <w:t>高級</w:t>
            </w:r>
            <w:r w:rsidR="004F4861">
              <w:rPr>
                <w:rFonts w:eastAsia="細明體" w:cs="Segoe UI"/>
                <w:sz w:val="17"/>
                <w:szCs w:val="17"/>
                <w:lang w:eastAsia="zh-TW"/>
              </w:rPr>
              <w:t>IRB</w:t>
            </w:r>
            <w:r w:rsidR="004F4861">
              <w:rPr>
                <w:rFonts w:eastAsia="細明體" w:cs="Segoe UI" w:hint="eastAsia"/>
                <w:sz w:val="17"/>
                <w:szCs w:val="17"/>
                <w:lang w:eastAsia="zh-HK"/>
              </w:rPr>
              <w:t>計</w:t>
            </w:r>
            <w:r w:rsidR="004F4861">
              <w:rPr>
                <w:rFonts w:eastAsia="細明體" w:cs="Segoe UI" w:hint="eastAsia"/>
                <w:sz w:val="17"/>
                <w:szCs w:val="17"/>
                <w:lang w:eastAsia="zh-TW"/>
              </w:rPr>
              <w:t>算</w:t>
            </w:r>
            <w:r w:rsidR="004F4861">
              <w:rPr>
                <w:rFonts w:eastAsia="細明體" w:cs="Segoe UI" w:hint="eastAsia"/>
                <w:sz w:val="17"/>
                <w:szCs w:val="17"/>
                <w:lang w:eastAsia="zh-HK"/>
              </w:rPr>
              <w:t>法</w:t>
            </w:r>
            <w:r w:rsidR="00721592">
              <w:rPr>
                <w:rFonts w:eastAsia="細明體" w:cs="Segoe UI" w:hint="eastAsia"/>
                <w:sz w:val="17"/>
                <w:szCs w:val="17"/>
                <w:lang w:eastAsia="zh-HK"/>
              </w:rPr>
              <w:t>計</w:t>
            </w:r>
            <w:r w:rsidR="00721592">
              <w:rPr>
                <w:rFonts w:eastAsia="細明體" w:cs="Segoe UI" w:hint="eastAsia"/>
                <w:sz w:val="17"/>
                <w:szCs w:val="17"/>
                <w:lang w:eastAsia="zh-TW"/>
              </w:rPr>
              <w:t>算</w:t>
            </w:r>
            <w:r w:rsidR="004F4861" w:rsidRPr="004F4861">
              <w:rPr>
                <w:rFonts w:eastAsia="細明體" w:cs="Segoe UI" w:hint="eastAsia"/>
                <w:sz w:val="17"/>
                <w:szCs w:val="17"/>
                <w:lang w:eastAsia="zh-TW"/>
              </w:rPr>
              <w:t>的專門</w:t>
            </w:r>
            <w:r w:rsidR="004F4861">
              <w:rPr>
                <w:rFonts w:eastAsia="細明體" w:cs="Segoe UI" w:hint="eastAsia"/>
                <w:sz w:val="17"/>
                <w:szCs w:val="17"/>
                <w:lang w:eastAsia="zh-HK"/>
              </w:rPr>
              <w:t>性</w:t>
            </w:r>
            <w:r w:rsidR="00810112" w:rsidRPr="00C1333A">
              <w:rPr>
                <w:rFonts w:ascii="細明體" w:eastAsia="細明體" w:hAnsi="細明體" w:cs="細明體" w:hint="eastAsia"/>
                <w:sz w:val="17"/>
                <w:szCs w:val="17"/>
                <w:lang w:eastAsia="ar-SA"/>
              </w:rPr>
              <w:t>借貸</w:t>
            </w:r>
            <w:r w:rsidR="00A9044D" w:rsidRPr="00272D6C">
              <w:rPr>
                <w:rFonts w:eastAsia="細明體" w:cs="Segoe UI" w:hint="eastAsia"/>
                <w:sz w:val="17"/>
                <w:szCs w:val="17"/>
                <w:lang w:eastAsia="ar-SA"/>
              </w:rPr>
              <w:t>。</w:t>
            </w:r>
            <w:r w:rsidR="004F4861" w:rsidRPr="000834AE">
              <w:rPr>
                <w:rFonts w:eastAsia="細明體" w:cs="Segoe UI" w:hint="eastAsia"/>
                <w:sz w:val="17"/>
                <w:szCs w:val="17"/>
                <w:lang w:eastAsia="ar-SA"/>
              </w:rPr>
              <w:t>）</w:t>
            </w:r>
          </w:p>
        </w:tc>
      </w:tr>
      <w:tr w:rsidR="00272D6C" w:rsidRPr="00272D6C" w14:paraId="3197176F" w14:textId="77777777" w:rsidTr="005171C5">
        <w:tc>
          <w:tcPr>
            <w:tcW w:w="2127" w:type="dxa"/>
            <w:tcBorders>
              <w:top w:val="single" w:sz="4" w:space="0" w:color="000000"/>
              <w:bottom w:val="single" w:sz="4" w:space="0" w:color="000000"/>
            </w:tcBorders>
            <w:shd w:val="clear" w:color="auto" w:fill="auto"/>
          </w:tcPr>
          <w:p w14:paraId="2D6EDAE8"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附加說明：</w:t>
            </w:r>
          </w:p>
        </w:tc>
        <w:tc>
          <w:tcPr>
            <w:tcW w:w="11765" w:type="dxa"/>
            <w:tcBorders>
              <w:top w:val="single" w:sz="4" w:space="0" w:color="000000"/>
              <w:left w:val="single" w:sz="4" w:space="0" w:color="000000"/>
              <w:bottom w:val="single" w:sz="4" w:space="0" w:color="000000"/>
            </w:tcBorders>
            <w:shd w:val="clear" w:color="auto" w:fill="auto"/>
          </w:tcPr>
          <w:p w14:paraId="10D0B406" w14:textId="18CBE947" w:rsidR="00272D6C" w:rsidRPr="00272D6C" w:rsidRDefault="00272D6C" w:rsidP="00A00304">
            <w:pPr>
              <w:suppressAutoHyphens/>
              <w:spacing w:before="40" w:after="40"/>
              <w:jc w:val="both"/>
              <w:rPr>
                <w:rFonts w:cs="Segoe UI"/>
                <w:sz w:val="17"/>
                <w:lang w:eastAsia="ar-SA"/>
              </w:rPr>
            </w:pPr>
            <w:r w:rsidRPr="00272D6C">
              <w:rPr>
                <w:rFonts w:eastAsia="細明體" w:cs="Segoe UI" w:hint="eastAsia"/>
                <w:sz w:val="17"/>
                <w:szCs w:val="17"/>
                <w:lang w:eastAsia="ar-SA"/>
              </w:rPr>
              <w:t>認可機構應以敘述評註闡明現行報告期內的任何重大</w:t>
            </w:r>
            <w:r w:rsidR="00A00304">
              <w:rPr>
                <w:rFonts w:eastAsia="細明體" w:cs="Segoe UI" w:hint="eastAsia"/>
                <w:sz w:val="17"/>
                <w:szCs w:val="17"/>
                <w:lang w:eastAsia="zh-HK"/>
              </w:rPr>
              <w:t>改</w:t>
            </w:r>
            <w:r w:rsidRPr="00272D6C">
              <w:rPr>
                <w:rFonts w:eastAsia="細明體" w:cs="Segoe UI" w:hint="eastAsia"/>
                <w:sz w:val="17"/>
                <w:szCs w:val="17"/>
                <w:lang w:eastAsia="ar-SA"/>
              </w:rPr>
              <w:t>變及引致該等</w:t>
            </w:r>
            <w:r w:rsidR="00A00304">
              <w:rPr>
                <w:rFonts w:eastAsia="細明體" w:cs="Segoe UI" w:hint="eastAsia"/>
                <w:sz w:val="17"/>
                <w:szCs w:val="17"/>
                <w:lang w:eastAsia="zh-HK"/>
              </w:rPr>
              <w:t>改</w:t>
            </w:r>
            <w:r w:rsidRPr="00272D6C">
              <w:rPr>
                <w:rFonts w:eastAsia="細明體" w:cs="Segoe UI" w:hint="eastAsia"/>
                <w:sz w:val="17"/>
                <w:szCs w:val="17"/>
                <w:lang w:eastAsia="ar-SA"/>
              </w:rPr>
              <w:t>變的主要驅動因素，以補充本模版。</w:t>
            </w:r>
          </w:p>
        </w:tc>
      </w:tr>
      <w:tr w:rsidR="00272D6C" w:rsidRPr="00272D6C" w14:paraId="244F35A3" w14:textId="77777777" w:rsidTr="005171C5">
        <w:tc>
          <w:tcPr>
            <w:tcW w:w="2127" w:type="dxa"/>
            <w:tcBorders>
              <w:top w:val="single" w:sz="4" w:space="0" w:color="000000"/>
              <w:bottom w:val="single" w:sz="4" w:space="0" w:color="000000"/>
            </w:tcBorders>
            <w:shd w:val="clear" w:color="auto" w:fill="auto"/>
          </w:tcPr>
          <w:p w14:paraId="0C6ABB38" w14:textId="77777777" w:rsidR="00272D6C" w:rsidRPr="00272D6C" w:rsidRDefault="00272D6C" w:rsidP="00272D6C">
            <w:pPr>
              <w:suppressAutoHyphens/>
              <w:spacing w:before="40" w:after="40"/>
              <w:rPr>
                <w:rFonts w:eastAsia="細明體" w:cs="Segoe UI"/>
                <w:szCs w:val="17"/>
                <w:lang w:eastAsia="ar-SA"/>
              </w:rPr>
            </w:pPr>
            <w:r w:rsidRPr="00272D6C">
              <w:rPr>
                <w:rFonts w:eastAsia="細明體" w:cs="Segoe UI" w:hint="eastAsia"/>
                <w:b/>
                <w:sz w:val="17"/>
                <w:szCs w:val="17"/>
                <w:lang w:eastAsia="ar-SA"/>
              </w:rPr>
              <w:t>《披露規則》相應條文：</w:t>
            </w:r>
          </w:p>
        </w:tc>
        <w:tc>
          <w:tcPr>
            <w:tcW w:w="11765" w:type="dxa"/>
            <w:tcBorders>
              <w:top w:val="single" w:sz="4" w:space="0" w:color="000000"/>
              <w:left w:val="single" w:sz="4" w:space="0" w:color="000000"/>
              <w:bottom w:val="single" w:sz="4" w:space="0" w:color="000000"/>
            </w:tcBorders>
            <w:shd w:val="clear" w:color="auto" w:fill="auto"/>
          </w:tcPr>
          <w:p w14:paraId="759D082A"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szCs w:val="17"/>
                <w:lang w:eastAsia="ar-SA"/>
              </w:rPr>
              <w:t>16Q</w:t>
            </w:r>
          </w:p>
        </w:tc>
      </w:tr>
    </w:tbl>
    <w:p w14:paraId="0DC963CB" w14:textId="72E07E7E" w:rsidR="00923C3F" w:rsidRDefault="00923C3F" w:rsidP="00272D6C">
      <w:pPr>
        <w:suppressAutoHyphens/>
        <w:spacing w:before="40" w:after="40"/>
        <w:rPr>
          <w:rFonts w:eastAsia="細明體" w:cs="Segoe UI"/>
          <w:sz w:val="22"/>
          <w:lang w:eastAsia="ar-SA"/>
        </w:rPr>
      </w:pPr>
      <w:r>
        <w:rPr>
          <w:rFonts w:eastAsia="細明體" w:cs="Segoe UI"/>
          <w:sz w:val="22"/>
          <w:lang w:eastAsia="ar-SA"/>
        </w:rPr>
        <w:br w:type="page"/>
      </w:r>
    </w:p>
    <w:tbl>
      <w:tblPr>
        <w:tblW w:w="0" w:type="auto"/>
        <w:tblInd w:w="108" w:type="dxa"/>
        <w:tblLayout w:type="fixed"/>
        <w:tblLook w:val="0000" w:firstRow="0" w:lastRow="0" w:firstColumn="0" w:lastColumn="0" w:noHBand="0" w:noVBand="0"/>
      </w:tblPr>
      <w:tblGrid>
        <w:gridCol w:w="1276"/>
        <w:gridCol w:w="1559"/>
        <w:gridCol w:w="1051"/>
        <w:gridCol w:w="934"/>
        <w:gridCol w:w="885"/>
        <w:gridCol w:w="958"/>
        <w:gridCol w:w="861"/>
        <w:gridCol w:w="910"/>
        <w:gridCol w:w="910"/>
        <w:gridCol w:w="909"/>
        <w:gridCol w:w="910"/>
        <w:gridCol w:w="909"/>
        <w:gridCol w:w="828"/>
        <w:gridCol w:w="1017"/>
      </w:tblGrid>
      <w:tr w:rsidR="00272D6C" w:rsidRPr="00272D6C" w14:paraId="6983AF45" w14:textId="77777777" w:rsidTr="005171C5">
        <w:trPr>
          <w:tblHeader/>
        </w:trPr>
        <w:tc>
          <w:tcPr>
            <w:tcW w:w="1276" w:type="dxa"/>
            <w:shd w:val="clear" w:color="auto" w:fill="auto"/>
          </w:tcPr>
          <w:p w14:paraId="0206115B" w14:textId="77777777" w:rsidR="00272D6C" w:rsidRPr="00272D6C" w:rsidRDefault="00272D6C" w:rsidP="00272D6C">
            <w:pPr>
              <w:suppressAutoHyphens/>
              <w:snapToGrid w:val="0"/>
              <w:jc w:val="center"/>
              <w:rPr>
                <w:rFonts w:eastAsia="細明體" w:cs="Segoe UI"/>
                <w:b/>
                <w:sz w:val="16"/>
                <w:szCs w:val="16"/>
                <w:lang w:eastAsia="ar-SA"/>
              </w:rPr>
            </w:pPr>
          </w:p>
        </w:tc>
        <w:tc>
          <w:tcPr>
            <w:tcW w:w="1559" w:type="dxa"/>
            <w:tcBorders>
              <w:top w:val="single" w:sz="4" w:space="0" w:color="000000"/>
              <w:left w:val="single" w:sz="4" w:space="0" w:color="000000"/>
            </w:tcBorders>
            <w:shd w:val="clear" w:color="auto" w:fill="auto"/>
          </w:tcPr>
          <w:p w14:paraId="3DD482C9" w14:textId="77777777" w:rsidR="00272D6C" w:rsidRPr="00272D6C" w:rsidRDefault="00272D6C" w:rsidP="00272D6C">
            <w:pPr>
              <w:suppressAutoHyphens/>
              <w:snapToGrid w:val="0"/>
              <w:jc w:val="center"/>
              <w:rPr>
                <w:rFonts w:eastAsia="細明體" w:cs="Segoe UI"/>
                <w:sz w:val="16"/>
                <w:szCs w:val="16"/>
                <w:lang w:eastAsia="ar-SA"/>
              </w:rPr>
            </w:pPr>
          </w:p>
        </w:tc>
        <w:tc>
          <w:tcPr>
            <w:tcW w:w="1051" w:type="dxa"/>
            <w:tcBorders>
              <w:top w:val="single" w:sz="4" w:space="0" w:color="000000"/>
              <w:left w:val="single" w:sz="4" w:space="0" w:color="000000"/>
              <w:bottom w:val="single" w:sz="4" w:space="0" w:color="000000"/>
            </w:tcBorders>
            <w:shd w:val="clear" w:color="auto" w:fill="auto"/>
          </w:tcPr>
          <w:p w14:paraId="1CAA31BD"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(a)</w:t>
            </w:r>
          </w:p>
        </w:tc>
        <w:tc>
          <w:tcPr>
            <w:tcW w:w="934" w:type="dxa"/>
            <w:tcBorders>
              <w:top w:val="single" w:sz="4" w:space="0" w:color="000000"/>
              <w:left w:val="single" w:sz="4" w:space="0" w:color="000000"/>
              <w:bottom w:val="single" w:sz="4" w:space="0" w:color="000000"/>
            </w:tcBorders>
            <w:shd w:val="clear" w:color="auto" w:fill="auto"/>
            <w:vAlign w:val="center"/>
          </w:tcPr>
          <w:p w14:paraId="4842EC89"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(b)</w:t>
            </w:r>
          </w:p>
        </w:tc>
        <w:tc>
          <w:tcPr>
            <w:tcW w:w="885" w:type="dxa"/>
            <w:tcBorders>
              <w:top w:val="single" w:sz="4" w:space="0" w:color="000000"/>
              <w:left w:val="single" w:sz="4" w:space="0" w:color="000000"/>
              <w:bottom w:val="single" w:sz="4" w:space="0" w:color="000000"/>
            </w:tcBorders>
            <w:shd w:val="clear" w:color="auto" w:fill="auto"/>
          </w:tcPr>
          <w:p w14:paraId="4A792B8B"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(c)</w:t>
            </w:r>
          </w:p>
        </w:tc>
        <w:tc>
          <w:tcPr>
            <w:tcW w:w="958" w:type="dxa"/>
            <w:tcBorders>
              <w:top w:val="single" w:sz="4" w:space="0" w:color="000000"/>
              <w:left w:val="single" w:sz="4" w:space="0" w:color="000000"/>
              <w:bottom w:val="single" w:sz="4" w:space="0" w:color="000000"/>
            </w:tcBorders>
            <w:shd w:val="clear" w:color="auto" w:fill="auto"/>
          </w:tcPr>
          <w:p w14:paraId="2588634B"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(d)</w:t>
            </w:r>
          </w:p>
        </w:tc>
        <w:tc>
          <w:tcPr>
            <w:tcW w:w="861" w:type="dxa"/>
            <w:tcBorders>
              <w:top w:val="single" w:sz="4" w:space="0" w:color="000000"/>
              <w:left w:val="single" w:sz="4" w:space="0" w:color="000000"/>
              <w:bottom w:val="single" w:sz="4" w:space="0" w:color="000000"/>
            </w:tcBorders>
            <w:shd w:val="clear" w:color="auto" w:fill="auto"/>
            <w:vAlign w:val="center"/>
          </w:tcPr>
          <w:p w14:paraId="7C55E805"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(e)</w:t>
            </w:r>
          </w:p>
        </w:tc>
        <w:tc>
          <w:tcPr>
            <w:tcW w:w="910" w:type="dxa"/>
            <w:tcBorders>
              <w:top w:val="single" w:sz="4" w:space="0" w:color="000000"/>
              <w:left w:val="single" w:sz="4" w:space="0" w:color="000000"/>
              <w:bottom w:val="single" w:sz="4" w:space="0" w:color="000000"/>
            </w:tcBorders>
            <w:shd w:val="clear" w:color="auto" w:fill="auto"/>
          </w:tcPr>
          <w:p w14:paraId="06B2F55E"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(f)</w:t>
            </w:r>
          </w:p>
        </w:tc>
        <w:tc>
          <w:tcPr>
            <w:tcW w:w="910" w:type="dxa"/>
            <w:tcBorders>
              <w:top w:val="single" w:sz="4" w:space="0" w:color="000000"/>
              <w:left w:val="single" w:sz="4" w:space="0" w:color="000000"/>
              <w:bottom w:val="single" w:sz="4" w:space="0" w:color="000000"/>
            </w:tcBorders>
            <w:shd w:val="clear" w:color="auto" w:fill="auto"/>
          </w:tcPr>
          <w:p w14:paraId="1A7BB9D8"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(g)</w:t>
            </w:r>
          </w:p>
        </w:tc>
        <w:tc>
          <w:tcPr>
            <w:tcW w:w="909" w:type="dxa"/>
            <w:tcBorders>
              <w:top w:val="single" w:sz="4" w:space="0" w:color="000000"/>
              <w:left w:val="single" w:sz="4" w:space="0" w:color="000000"/>
              <w:bottom w:val="single" w:sz="4" w:space="0" w:color="000000"/>
            </w:tcBorders>
            <w:shd w:val="clear" w:color="auto" w:fill="auto"/>
          </w:tcPr>
          <w:p w14:paraId="17954AC5"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(h)</w:t>
            </w:r>
          </w:p>
        </w:tc>
        <w:tc>
          <w:tcPr>
            <w:tcW w:w="910" w:type="dxa"/>
            <w:tcBorders>
              <w:top w:val="single" w:sz="4" w:space="0" w:color="000000"/>
              <w:left w:val="single" w:sz="4" w:space="0" w:color="000000"/>
              <w:bottom w:val="single" w:sz="4" w:space="0" w:color="000000"/>
            </w:tcBorders>
            <w:shd w:val="clear" w:color="auto" w:fill="auto"/>
          </w:tcPr>
          <w:p w14:paraId="55621CFD"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w:t>
            </w:r>
            <w:proofErr w:type="spellStart"/>
            <w:r w:rsidRPr="00272D6C">
              <w:rPr>
                <w:rFonts w:eastAsia="細明體" w:cs="Segoe UI"/>
                <w:sz w:val="16"/>
                <w:szCs w:val="16"/>
                <w:lang w:eastAsia="ar-SA"/>
              </w:rPr>
              <w:t>i</w:t>
            </w:r>
            <w:proofErr w:type="spellEnd"/>
            <w:r w:rsidRPr="00272D6C">
              <w:rPr>
                <w:rFonts w:eastAsia="細明體" w:cs="Segoe UI"/>
                <w:sz w:val="16"/>
                <w:szCs w:val="16"/>
                <w:lang w:eastAsia="ar-SA"/>
              </w:rPr>
              <w:t>)</w:t>
            </w:r>
          </w:p>
        </w:tc>
        <w:tc>
          <w:tcPr>
            <w:tcW w:w="909" w:type="dxa"/>
            <w:tcBorders>
              <w:top w:val="single" w:sz="4" w:space="0" w:color="000000"/>
              <w:left w:val="single" w:sz="4" w:space="0" w:color="000000"/>
              <w:bottom w:val="single" w:sz="4" w:space="0" w:color="000000"/>
            </w:tcBorders>
            <w:shd w:val="clear" w:color="auto" w:fill="auto"/>
          </w:tcPr>
          <w:p w14:paraId="2FFF034F"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(j)</w:t>
            </w:r>
          </w:p>
        </w:tc>
        <w:tc>
          <w:tcPr>
            <w:tcW w:w="828" w:type="dxa"/>
            <w:tcBorders>
              <w:top w:val="single" w:sz="4" w:space="0" w:color="000000"/>
              <w:left w:val="single" w:sz="4" w:space="0" w:color="000000"/>
              <w:bottom w:val="single" w:sz="4" w:space="0" w:color="000000"/>
            </w:tcBorders>
            <w:shd w:val="clear" w:color="auto" w:fill="auto"/>
          </w:tcPr>
          <w:p w14:paraId="652EA8AA"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(k)</w:t>
            </w: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4A098016" w14:textId="77777777" w:rsidR="00272D6C" w:rsidRPr="00272D6C" w:rsidRDefault="00272D6C" w:rsidP="00272D6C">
            <w:pPr>
              <w:suppressAutoHyphens/>
              <w:snapToGrid w:val="0"/>
              <w:jc w:val="center"/>
              <w:rPr>
                <w:rFonts w:cs="Segoe UI"/>
                <w:lang w:eastAsia="ar-SA"/>
              </w:rPr>
            </w:pPr>
            <w:r w:rsidRPr="00272D6C">
              <w:rPr>
                <w:rFonts w:eastAsia="細明體" w:cs="Segoe UI"/>
                <w:sz w:val="16"/>
                <w:szCs w:val="16"/>
                <w:lang w:eastAsia="ar-SA"/>
              </w:rPr>
              <w:t>(l)</w:t>
            </w:r>
          </w:p>
        </w:tc>
      </w:tr>
      <w:tr w:rsidR="00272D6C" w:rsidRPr="00272D6C" w14:paraId="65075944" w14:textId="77777777" w:rsidTr="005171C5">
        <w:trPr>
          <w:tblHeader/>
        </w:trPr>
        <w:tc>
          <w:tcPr>
            <w:tcW w:w="1276" w:type="dxa"/>
            <w:tcBorders>
              <w:bottom w:val="single" w:sz="4" w:space="0" w:color="000000"/>
            </w:tcBorders>
            <w:shd w:val="clear" w:color="auto" w:fill="auto"/>
            <w:vAlign w:val="center"/>
          </w:tcPr>
          <w:p w14:paraId="7BE7DDC1" w14:textId="77777777" w:rsidR="00272D6C" w:rsidRPr="00272D6C" w:rsidRDefault="00272D6C" w:rsidP="00272D6C">
            <w:pPr>
              <w:suppressAutoHyphens/>
              <w:snapToGrid w:val="0"/>
              <w:jc w:val="center"/>
              <w:rPr>
                <w:rFonts w:eastAsia="細明體" w:cs="Segoe UI"/>
                <w:b/>
                <w:sz w:val="16"/>
                <w:szCs w:val="16"/>
                <w:lang w:eastAsia="ar-SA"/>
              </w:rPr>
            </w:pPr>
          </w:p>
        </w:tc>
        <w:tc>
          <w:tcPr>
            <w:tcW w:w="1559" w:type="dxa"/>
            <w:tcBorders>
              <w:left w:val="single" w:sz="4" w:space="0" w:color="000000"/>
              <w:bottom w:val="single" w:sz="4" w:space="0" w:color="000000"/>
            </w:tcBorders>
            <w:shd w:val="clear" w:color="auto" w:fill="auto"/>
            <w:vAlign w:val="center"/>
          </w:tcPr>
          <w:p w14:paraId="09332057"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PD</w:t>
            </w:r>
            <w:r w:rsidRPr="00272D6C">
              <w:rPr>
                <w:rFonts w:eastAsia="細明體" w:cs="Segoe UI" w:hint="eastAsia"/>
                <w:sz w:val="16"/>
                <w:szCs w:val="16"/>
                <w:lang w:eastAsia="ar-SA"/>
              </w:rPr>
              <w:t>等級</w:t>
            </w:r>
          </w:p>
        </w:tc>
        <w:tc>
          <w:tcPr>
            <w:tcW w:w="1051" w:type="dxa"/>
            <w:tcBorders>
              <w:top w:val="single" w:sz="4" w:space="0" w:color="000000"/>
              <w:left w:val="single" w:sz="4" w:space="0" w:color="000000"/>
              <w:bottom w:val="single" w:sz="4" w:space="0" w:color="000000"/>
            </w:tcBorders>
            <w:shd w:val="clear" w:color="auto" w:fill="auto"/>
            <w:vAlign w:val="center"/>
          </w:tcPr>
          <w:p w14:paraId="096C5A63"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最初資產負債表內</w:t>
            </w:r>
            <w:r w:rsidRPr="00272D6C">
              <w:rPr>
                <w:rFonts w:eastAsia="細明體" w:cs="Segoe UI" w:hint="eastAsia"/>
                <w:sz w:val="17"/>
                <w:szCs w:val="17"/>
                <w:lang w:eastAsia="ar-SA"/>
              </w:rPr>
              <w:t>總</w:t>
            </w:r>
            <w:r w:rsidRPr="00272D6C">
              <w:rPr>
                <w:rFonts w:eastAsia="細明體" w:cs="Segoe UI" w:hint="eastAsia"/>
                <w:sz w:val="16"/>
                <w:szCs w:val="16"/>
                <w:lang w:eastAsia="ar-SA"/>
              </w:rPr>
              <w:t>風險承擔</w:t>
            </w:r>
          </w:p>
        </w:tc>
        <w:tc>
          <w:tcPr>
            <w:tcW w:w="934" w:type="dxa"/>
            <w:tcBorders>
              <w:top w:val="single" w:sz="4" w:space="0" w:color="000000"/>
              <w:left w:val="single" w:sz="4" w:space="0" w:color="000000"/>
              <w:bottom w:val="single" w:sz="4" w:space="0" w:color="000000"/>
            </w:tcBorders>
            <w:shd w:val="clear" w:color="auto" w:fill="auto"/>
            <w:vAlign w:val="center"/>
          </w:tcPr>
          <w:p w14:paraId="1CD444F5"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zh-TW"/>
              </w:rPr>
              <w:t>未將</w:t>
            </w:r>
            <w:r w:rsidRPr="00272D6C">
              <w:rPr>
                <w:rFonts w:eastAsia="細明體" w:cs="Segoe UI"/>
                <w:sz w:val="16"/>
                <w:szCs w:val="16"/>
                <w:lang w:eastAsia="ar-SA"/>
              </w:rPr>
              <w:t>CCF</w:t>
            </w:r>
            <w:r w:rsidRPr="00272D6C">
              <w:rPr>
                <w:rFonts w:eastAsia="細明體" w:cs="Segoe UI" w:hint="eastAsia"/>
                <w:sz w:val="16"/>
                <w:szCs w:val="16"/>
                <w:lang w:eastAsia="zh-TW"/>
              </w:rPr>
              <w:t>計算在內</w:t>
            </w:r>
            <w:r w:rsidRPr="00272D6C">
              <w:rPr>
                <w:rFonts w:eastAsia="細明體" w:cs="Segoe UI" w:hint="eastAsia"/>
                <w:sz w:val="16"/>
                <w:szCs w:val="16"/>
                <w:lang w:eastAsia="ar-SA"/>
              </w:rPr>
              <w:t>的資產負債表外風險承擔</w:t>
            </w:r>
          </w:p>
        </w:tc>
        <w:tc>
          <w:tcPr>
            <w:tcW w:w="885" w:type="dxa"/>
            <w:tcBorders>
              <w:top w:val="single" w:sz="4" w:space="0" w:color="000000"/>
              <w:left w:val="single" w:sz="4" w:space="0" w:color="000000"/>
              <w:bottom w:val="single" w:sz="4" w:space="0" w:color="000000"/>
            </w:tcBorders>
            <w:shd w:val="clear" w:color="auto" w:fill="auto"/>
            <w:vAlign w:val="center"/>
          </w:tcPr>
          <w:p w14:paraId="16663F4D"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平均</w:t>
            </w:r>
            <w:r w:rsidRPr="00272D6C">
              <w:rPr>
                <w:rFonts w:eastAsia="細明體" w:cs="Segoe UI"/>
                <w:sz w:val="16"/>
                <w:szCs w:val="16"/>
                <w:lang w:eastAsia="ar-SA"/>
              </w:rPr>
              <w:t>CCF</w:t>
            </w:r>
          </w:p>
        </w:tc>
        <w:tc>
          <w:tcPr>
            <w:tcW w:w="958" w:type="dxa"/>
            <w:tcBorders>
              <w:top w:val="single" w:sz="4" w:space="0" w:color="000000"/>
              <w:left w:val="single" w:sz="4" w:space="0" w:color="000000"/>
              <w:bottom w:val="single" w:sz="4" w:space="0" w:color="000000"/>
            </w:tcBorders>
            <w:shd w:val="clear" w:color="auto" w:fill="auto"/>
            <w:vAlign w:val="center"/>
          </w:tcPr>
          <w:p w14:paraId="6B972DB5"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zh-TW"/>
              </w:rPr>
              <w:t>已將</w:t>
            </w:r>
            <w:r w:rsidRPr="00272D6C">
              <w:rPr>
                <w:rFonts w:eastAsia="細明體" w:cs="Segoe UI" w:hint="eastAsia"/>
                <w:sz w:val="16"/>
                <w:szCs w:val="16"/>
                <w:lang w:eastAsia="ar-SA"/>
              </w:rPr>
              <w:t>減低信用風險措施及</w:t>
            </w:r>
            <w:r w:rsidRPr="00272D6C">
              <w:rPr>
                <w:rFonts w:eastAsia="細明體" w:cs="Segoe UI"/>
                <w:sz w:val="16"/>
                <w:szCs w:val="16"/>
                <w:lang w:eastAsia="ar-SA"/>
              </w:rPr>
              <w:t>CCF</w:t>
            </w:r>
            <w:r w:rsidRPr="00272D6C">
              <w:rPr>
                <w:rFonts w:eastAsia="細明體" w:cs="Segoe UI" w:hint="eastAsia"/>
                <w:sz w:val="16"/>
                <w:szCs w:val="16"/>
                <w:lang w:eastAsia="zh-TW"/>
              </w:rPr>
              <w:t>計算在內</w:t>
            </w:r>
            <w:r w:rsidRPr="00272D6C">
              <w:rPr>
                <w:rFonts w:eastAsia="細明體" w:cs="Segoe UI" w:hint="eastAsia"/>
                <w:sz w:val="16"/>
                <w:szCs w:val="16"/>
                <w:lang w:eastAsia="ar-SA"/>
              </w:rPr>
              <w:t>的</w:t>
            </w:r>
            <w:r w:rsidRPr="00272D6C">
              <w:rPr>
                <w:rFonts w:eastAsia="細明體" w:cs="Segoe UI"/>
                <w:sz w:val="16"/>
                <w:szCs w:val="16"/>
                <w:lang w:eastAsia="ar-SA"/>
              </w:rPr>
              <w:t>EAD</w:t>
            </w:r>
          </w:p>
        </w:tc>
        <w:tc>
          <w:tcPr>
            <w:tcW w:w="861" w:type="dxa"/>
            <w:tcBorders>
              <w:top w:val="single" w:sz="4" w:space="0" w:color="000000"/>
              <w:left w:val="single" w:sz="4" w:space="0" w:color="000000"/>
              <w:bottom w:val="single" w:sz="4" w:space="0" w:color="000000"/>
            </w:tcBorders>
            <w:shd w:val="clear" w:color="auto" w:fill="auto"/>
            <w:vAlign w:val="center"/>
          </w:tcPr>
          <w:p w14:paraId="21C17690"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平均</w:t>
            </w:r>
            <w:r w:rsidRPr="00272D6C">
              <w:rPr>
                <w:rFonts w:eastAsia="細明體" w:cs="Segoe UI"/>
                <w:sz w:val="16"/>
                <w:szCs w:val="16"/>
                <w:lang w:eastAsia="ar-SA"/>
              </w:rPr>
              <w:t>PD</w:t>
            </w:r>
          </w:p>
        </w:tc>
        <w:tc>
          <w:tcPr>
            <w:tcW w:w="910" w:type="dxa"/>
            <w:tcBorders>
              <w:top w:val="single" w:sz="4" w:space="0" w:color="000000"/>
              <w:left w:val="single" w:sz="4" w:space="0" w:color="000000"/>
              <w:bottom w:val="single" w:sz="4" w:space="0" w:color="000000"/>
            </w:tcBorders>
            <w:shd w:val="clear" w:color="auto" w:fill="auto"/>
            <w:vAlign w:val="center"/>
          </w:tcPr>
          <w:p w14:paraId="15EE24E4"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承擔義務人數目</w:t>
            </w:r>
          </w:p>
        </w:tc>
        <w:tc>
          <w:tcPr>
            <w:tcW w:w="910" w:type="dxa"/>
            <w:tcBorders>
              <w:top w:val="single" w:sz="4" w:space="0" w:color="000000"/>
              <w:left w:val="single" w:sz="4" w:space="0" w:color="000000"/>
              <w:bottom w:val="single" w:sz="4" w:space="0" w:color="000000"/>
            </w:tcBorders>
            <w:shd w:val="clear" w:color="auto" w:fill="auto"/>
            <w:vAlign w:val="center"/>
          </w:tcPr>
          <w:p w14:paraId="6C0A099B"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平均</w:t>
            </w:r>
            <w:r w:rsidRPr="00272D6C">
              <w:rPr>
                <w:rFonts w:eastAsia="細明體" w:cs="Segoe UI"/>
                <w:sz w:val="16"/>
                <w:szCs w:val="16"/>
                <w:lang w:eastAsia="ar-SA"/>
              </w:rPr>
              <w:t>LGD</w:t>
            </w:r>
          </w:p>
        </w:tc>
        <w:tc>
          <w:tcPr>
            <w:tcW w:w="909" w:type="dxa"/>
            <w:tcBorders>
              <w:top w:val="single" w:sz="4" w:space="0" w:color="000000"/>
              <w:left w:val="single" w:sz="4" w:space="0" w:color="000000"/>
              <w:bottom w:val="single" w:sz="4" w:space="0" w:color="000000"/>
            </w:tcBorders>
            <w:shd w:val="clear" w:color="auto" w:fill="auto"/>
            <w:vAlign w:val="center"/>
          </w:tcPr>
          <w:p w14:paraId="581F63C9"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平均到期期限</w:t>
            </w:r>
          </w:p>
        </w:tc>
        <w:tc>
          <w:tcPr>
            <w:tcW w:w="910" w:type="dxa"/>
            <w:tcBorders>
              <w:top w:val="single" w:sz="4" w:space="0" w:color="000000"/>
              <w:left w:val="single" w:sz="4" w:space="0" w:color="000000"/>
              <w:bottom w:val="single" w:sz="4" w:space="0" w:color="000000"/>
            </w:tcBorders>
            <w:shd w:val="clear" w:color="auto" w:fill="auto"/>
            <w:vAlign w:val="center"/>
          </w:tcPr>
          <w:p w14:paraId="47440630"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風險加權數額</w:t>
            </w:r>
          </w:p>
        </w:tc>
        <w:tc>
          <w:tcPr>
            <w:tcW w:w="909" w:type="dxa"/>
            <w:tcBorders>
              <w:top w:val="single" w:sz="4" w:space="0" w:color="000000"/>
              <w:left w:val="single" w:sz="4" w:space="0" w:color="000000"/>
              <w:bottom w:val="single" w:sz="4" w:space="0" w:color="000000"/>
            </w:tcBorders>
            <w:shd w:val="clear" w:color="auto" w:fill="auto"/>
            <w:vAlign w:val="center"/>
          </w:tcPr>
          <w:p w14:paraId="17AE360F"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風險加權數額密度</w:t>
            </w:r>
            <w:r w:rsidRPr="00272D6C">
              <w:rPr>
                <w:rFonts w:eastAsia="細明體" w:cs="Segoe UI"/>
                <w:sz w:val="16"/>
                <w:szCs w:val="16"/>
                <w:lang w:eastAsia="ar-SA"/>
              </w:rPr>
              <w:t xml:space="preserve"> </w:t>
            </w:r>
          </w:p>
        </w:tc>
        <w:tc>
          <w:tcPr>
            <w:tcW w:w="828" w:type="dxa"/>
            <w:tcBorders>
              <w:top w:val="single" w:sz="4" w:space="0" w:color="000000"/>
              <w:left w:val="single" w:sz="4" w:space="0" w:color="000000"/>
              <w:bottom w:val="single" w:sz="4" w:space="0" w:color="000000"/>
            </w:tcBorders>
            <w:shd w:val="clear" w:color="auto" w:fill="auto"/>
            <w:vAlign w:val="center"/>
          </w:tcPr>
          <w:p w14:paraId="115C9007"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EL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E2753" w14:textId="77777777" w:rsidR="00272D6C" w:rsidRPr="00272D6C" w:rsidRDefault="00272D6C" w:rsidP="00272D6C">
            <w:pPr>
              <w:suppressAutoHyphens/>
              <w:snapToGrid w:val="0"/>
              <w:jc w:val="center"/>
              <w:rPr>
                <w:rFonts w:cs="Segoe UI"/>
                <w:lang w:eastAsia="ar-SA"/>
              </w:rPr>
            </w:pPr>
            <w:r w:rsidRPr="00272D6C">
              <w:rPr>
                <w:rFonts w:eastAsia="細明體" w:cs="Segoe UI" w:hint="eastAsia"/>
                <w:sz w:val="16"/>
                <w:szCs w:val="16"/>
                <w:lang w:eastAsia="ar-SA"/>
              </w:rPr>
              <w:t>準備金</w:t>
            </w:r>
          </w:p>
        </w:tc>
      </w:tr>
      <w:tr w:rsidR="00272D6C" w:rsidRPr="00272D6C" w14:paraId="5DF04659" w14:textId="77777777" w:rsidTr="005171C5">
        <w:tc>
          <w:tcPr>
            <w:tcW w:w="1276" w:type="dxa"/>
            <w:vMerge w:val="restart"/>
            <w:tcBorders>
              <w:top w:val="single" w:sz="4" w:space="0" w:color="000000"/>
              <w:bottom w:val="single" w:sz="4" w:space="0" w:color="C0C0C0"/>
            </w:tcBorders>
            <w:shd w:val="clear" w:color="auto" w:fill="auto"/>
          </w:tcPr>
          <w:p w14:paraId="65F875CB" w14:textId="77777777" w:rsidR="00272D6C" w:rsidRPr="00272D6C" w:rsidRDefault="00272D6C" w:rsidP="00272D6C">
            <w:pPr>
              <w:suppressAutoHyphens/>
              <w:snapToGrid w:val="0"/>
              <w:rPr>
                <w:rFonts w:eastAsia="細明體" w:cs="Segoe UI"/>
                <w:sz w:val="16"/>
                <w:szCs w:val="16"/>
                <w:lang w:eastAsia="ar-SA"/>
              </w:rPr>
            </w:pPr>
            <w:r w:rsidRPr="00272D6C">
              <w:rPr>
                <w:rFonts w:eastAsia="細明體" w:cs="Segoe UI" w:hint="eastAsia"/>
                <w:sz w:val="16"/>
                <w:szCs w:val="16"/>
                <w:lang w:eastAsia="ar-SA"/>
              </w:rPr>
              <w:t>組合</w:t>
            </w:r>
            <w:r w:rsidRPr="00272D6C">
              <w:rPr>
                <w:rFonts w:eastAsia="細明體" w:cs="Segoe UI"/>
                <w:sz w:val="16"/>
                <w:szCs w:val="16"/>
                <w:lang w:eastAsia="ar-SA"/>
              </w:rPr>
              <w:t>(</w:t>
            </w:r>
            <w:proofErr w:type="spellStart"/>
            <w:r w:rsidRPr="00272D6C">
              <w:rPr>
                <w:rFonts w:eastAsia="細明體" w:cs="Segoe UI"/>
                <w:sz w:val="16"/>
                <w:szCs w:val="16"/>
                <w:lang w:eastAsia="ar-SA"/>
              </w:rPr>
              <w:t>i</w:t>
            </w:r>
            <w:proofErr w:type="spellEnd"/>
            <w:r w:rsidRPr="00272D6C">
              <w:rPr>
                <w:rFonts w:eastAsia="細明體" w:cs="Segoe UI"/>
                <w:sz w:val="16"/>
                <w:szCs w:val="16"/>
                <w:lang w:eastAsia="ar-SA"/>
              </w:rPr>
              <w:t xml:space="preserve">) – </w:t>
            </w:r>
            <w:r w:rsidRPr="00272D6C">
              <w:rPr>
                <w:rFonts w:eastAsia="細明體" w:cs="Segoe UI" w:hint="eastAsia"/>
                <w:sz w:val="16"/>
                <w:szCs w:val="16"/>
                <w:lang w:eastAsia="ar-SA"/>
              </w:rPr>
              <w:t>官方實體</w:t>
            </w:r>
          </w:p>
        </w:tc>
        <w:tc>
          <w:tcPr>
            <w:tcW w:w="1559" w:type="dxa"/>
            <w:tcBorders>
              <w:top w:val="single" w:sz="4" w:space="0" w:color="000000"/>
              <w:left w:val="single" w:sz="4" w:space="0" w:color="000000"/>
              <w:bottom w:val="single" w:sz="4" w:space="0" w:color="C0C0C0"/>
            </w:tcBorders>
            <w:shd w:val="clear" w:color="auto" w:fill="auto"/>
          </w:tcPr>
          <w:p w14:paraId="07CBE2C3"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 xml:space="preserve">0.00 </w:t>
            </w:r>
            <w:r w:rsidRPr="00272D6C">
              <w:rPr>
                <w:rFonts w:eastAsia="細明體" w:cs="Segoe UI" w:hint="eastAsia"/>
                <w:sz w:val="16"/>
                <w:szCs w:val="16"/>
                <w:lang w:eastAsia="zh-TW"/>
              </w:rPr>
              <w:t>至</w:t>
            </w:r>
            <w:r w:rsidRPr="00272D6C">
              <w:rPr>
                <w:rFonts w:eastAsia="細明體" w:cs="Segoe UI"/>
                <w:sz w:val="16"/>
                <w:szCs w:val="16"/>
                <w:lang w:eastAsia="ar-SA"/>
              </w:rPr>
              <w:t xml:space="preserve"> &lt; 0.15</w:t>
            </w:r>
          </w:p>
        </w:tc>
        <w:tc>
          <w:tcPr>
            <w:tcW w:w="1051" w:type="dxa"/>
            <w:tcBorders>
              <w:top w:val="single" w:sz="4" w:space="0" w:color="000000"/>
              <w:left w:val="single" w:sz="4" w:space="0" w:color="000000"/>
              <w:bottom w:val="single" w:sz="4" w:space="0" w:color="C0C0C0"/>
            </w:tcBorders>
            <w:shd w:val="clear" w:color="auto" w:fill="auto"/>
          </w:tcPr>
          <w:p w14:paraId="33C7098A"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000000"/>
              <w:left w:val="single" w:sz="4" w:space="0" w:color="000000"/>
              <w:bottom w:val="single" w:sz="4" w:space="0" w:color="C0C0C0"/>
            </w:tcBorders>
            <w:shd w:val="clear" w:color="auto" w:fill="auto"/>
          </w:tcPr>
          <w:p w14:paraId="75C5BD89"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000000"/>
              <w:left w:val="single" w:sz="4" w:space="0" w:color="000000"/>
              <w:bottom w:val="single" w:sz="4" w:space="0" w:color="C0C0C0"/>
            </w:tcBorders>
            <w:shd w:val="clear" w:color="auto" w:fill="auto"/>
          </w:tcPr>
          <w:p w14:paraId="3E0518C5"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000000"/>
              <w:left w:val="single" w:sz="4" w:space="0" w:color="000000"/>
              <w:bottom w:val="single" w:sz="4" w:space="0" w:color="C0C0C0"/>
            </w:tcBorders>
            <w:shd w:val="clear" w:color="auto" w:fill="auto"/>
          </w:tcPr>
          <w:p w14:paraId="64941BE6"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000000"/>
              <w:left w:val="single" w:sz="4" w:space="0" w:color="000000"/>
              <w:bottom w:val="single" w:sz="4" w:space="0" w:color="C0C0C0"/>
            </w:tcBorders>
            <w:shd w:val="clear" w:color="auto" w:fill="auto"/>
          </w:tcPr>
          <w:p w14:paraId="20FF3AB2"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C0C0C0"/>
            </w:tcBorders>
            <w:shd w:val="clear" w:color="auto" w:fill="auto"/>
          </w:tcPr>
          <w:p w14:paraId="7A7B86F7"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C0C0C0"/>
            </w:tcBorders>
            <w:shd w:val="clear" w:color="auto" w:fill="auto"/>
          </w:tcPr>
          <w:p w14:paraId="6FF5BCCB"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C0C0C0"/>
            </w:tcBorders>
            <w:shd w:val="clear" w:color="auto" w:fill="auto"/>
          </w:tcPr>
          <w:p w14:paraId="4158BCBE"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C0C0C0"/>
            </w:tcBorders>
            <w:shd w:val="clear" w:color="auto" w:fill="auto"/>
          </w:tcPr>
          <w:p w14:paraId="044DAEC0"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C0C0C0"/>
            </w:tcBorders>
            <w:shd w:val="clear" w:color="auto" w:fill="auto"/>
          </w:tcPr>
          <w:p w14:paraId="3335BA8B"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000000"/>
              <w:left w:val="single" w:sz="4" w:space="0" w:color="000000"/>
              <w:bottom w:val="single" w:sz="4" w:space="0" w:color="C0C0C0"/>
            </w:tcBorders>
            <w:shd w:val="clear" w:color="auto" w:fill="auto"/>
          </w:tcPr>
          <w:p w14:paraId="2F422237"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000000"/>
              <w:left w:val="single" w:sz="4" w:space="0" w:color="000000"/>
              <w:bottom w:val="single" w:sz="4" w:space="0" w:color="C0C0C0"/>
              <w:right w:val="single" w:sz="4" w:space="0" w:color="000000"/>
            </w:tcBorders>
            <w:shd w:val="clear" w:color="auto" w:fill="BFBFBF"/>
          </w:tcPr>
          <w:p w14:paraId="172768E8"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2DE766EE" w14:textId="77777777" w:rsidTr="005171C5">
        <w:tc>
          <w:tcPr>
            <w:tcW w:w="1276" w:type="dxa"/>
            <w:vMerge/>
            <w:tcBorders>
              <w:top w:val="single" w:sz="4" w:space="0" w:color="C0C0C0"/>
              <w:bottom w:val="single" w:sz="4" w:space="0" w:color="C0C0C0"/>
            </w:tcBorders>
            <w:shd w:val="clear" w:color="auto" w:fill="auto"/>
          </w:tcPr>
          <w:p w14:paraId="65C7BBC4"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3A7B3C93"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0.15</w:t>
            </w:r>
            <w:r w:rsidRPr="00272D6C">
              <w:rPr>
                <w:rFonts w:eastAsia="細明體" w:cs="Segoe UI" w:hint="eastAsia"/>
                <w:sz w:val="16"/>
                <w:szCs w:val="16"/>
                <w:lang w:eastAsia="zh-TW"/>
              </w:rPr>
              <w:t>至</w:t>
            </w:r>
            <w:r w:rsidRPr="00272D6C">
              <w:rPr>
                <w:rFonts w:eastAsia="細明體" w:cs="Segoe UI"/>
                <w:sz w:val="16"/>
                <w:szCs w:val="16"/>
                <w:lang w:eastAsia="ar-SA"/>
              </w:rPr>
              <w:t>&lt; 0.25</w:t>
            </w:r>
          </w:p>
        </w:tc>
        <w:tc>
          <w:tcPr>
            <w:tcW w:w="1051" w:type="dxa"/>
            <w:tcBorders>
              <w:top w:val="single" w:sz="4" w:space="0" w:color="C0C0C0"/>
              <w:left w:val="single" w:sz="4" w:space="0" w:color="000000"/>
              <w:bottom w:val="single" w:sz="4" w:space="0" w:color="C0C0C0"/>
            </w:tcBorders>
            <w:shd w:val="clear" w:color="auto" w:fill="auto"/>
          </w:tcPr>
          <w:p w14:paraId="24CF9C3C"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4BA9728D"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3E9C7360"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1302EFC9"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72B5B78D"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04F8BA4"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6ACF050"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38C0FD1"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5F47AE33"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5BF2BC4F"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0A2EFE1E"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47D76917"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4719276E" w14:textId="77777777" w:rsidTr="005171C5">
        <w:tc>
          <w:tcPr>
            <w:tcW w:w="1276" w:type="dxa"/>
            <w:vMerge/>
            <w:tcBorders>
              <w:top w:val="single" w:sz="4" w:space="0" w:color="C0C0C0"/>
              <w:bottom w:val="single" w:sz="4" w:space="0" w:color="C0C0C0"/>
            </w:tcBorders>
            <w:shd w:val="clear" w:color="auto" w:fill="auto"/>
          </w:tcPr>
          <w:p w14:paraId="21648E8E"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29BDAC1D"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0.25</w:t>
            </w:r>
            <w:r w:rsidRPr="00272D6C">
              <w:rPr>
                <w:rFonts w:eastAsia="細明體" w:cs="Segoe UI" w:hint="eastAsia"/>
                <w:sz w:val="16"/>
                <w:szCs w:val="16"/>
                <w:lang w:eastAsia="zh-TW"/>
              </w:rPr>
              <w:t>至</w:t>
            </w:r>
            <w:r w:rsidRPr="00272D6C">
              <w:rPr>
                <w:rFonts w:eastAsia="細明體" w:cs="Segoe UI"/>
                <w:sz w:val="16"/>
                <w:szCs w:val="16"/>
                <w:lang w:eastAsia="ar-SA"/>
              </w:rPr>
              <w:t>&lt; 0.50</w:t>
            </w:r>
          </w:p>
        </w:tc>
        <w:tc>
          <w:tcPr>
            <w:tcW w:w="1051" w:type="dxa"/>
            <w:tcBorders>
              <w:top w:val="single" w:sz="4" w:space="0" w:color="C0C0C0"/>
              <w:left w:val="single" w:sz="4" w:space="0" w:color="000000"/>
              <w:bottom w:val="single" w:sz="4" w:space="0" w:color="C0C0C0"/>
            </w:tcBorders>
            <w:shd w:val="clear" w:color="auto" w:fill="auto"/>
          </w:tcPr>
          <w:p w14:paraId="6C8095CC"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1BFF94F8"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3702AA43"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7C4AA0B5"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56042DD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95ECB0B"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4A06B91"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594B7C35"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3FE8D1A0"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61BEAED4"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6B45F4B2"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75C95044"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491AD2BC" w14:textId="77777777" w:rsidTr="005171C5">
        <w:tc>
          <w:tcPr>
            <w:tcW w:w="1276" w:type="dxa"/>
            <w:vMerge/>
            <w:tcBorders>
              <w:top w:val="single" w:sz="4" w:space="0" w:color="C0C0C0"/>
              <w:bottom w:val="single" w:sz="4" w:space="0" w:color="C0C0C0"/>
            </w:tcBorders>
            <w:shd w:val="clear" w:color="auto" w:fill="auto"/>
          </w:tcPr>
          <w:p w14:paraId="2B0A8200"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4D2A0813"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0.50</w:t>
            </w:r>
            <w:r w:rsidRPr="00272D6C">
              <w:rPr>
                <w:rFonts w:eastAsia="細明體" w:cs="Segoe UI" w:hint="eastAsia"/>
                <w:sz w:val="16"/>
                <w:szCs w:val="16"/>
                <w:lang w:eastAsia="zh-TW"/>
              </w:rPr>
              <w:t>至</w:t>
            </w:r>
            <w:r w:rsidRPr="00272D6C">
              <w:rPr>
                <w:rFonts w:eastAsia="細明體" w:cs="Segoe UI"/>
                <w:sz w:val="16"/>
                <w:szCs w:val="16"/>
                <w:lang w:eastAsia="ar-SA"/>
              </w:rPr>
              <w:t>&lt; 0.75</w:t>
            </w:r>
          </w:p>
        </w:tc>
        <w:tc>
          <w:tcPr>
            <w:tcW w:w="1051" w:type="dxa"/>
            <w:tcBorders>
              <w:top w:val="single" w:sz="4" w:space="0" w:color="C0C0C0"/>
              <w:left w:val="single" w:sz="4" w:space="0" w:color="000000"/>
              <w:bottom w:val="single" w:sz="4" w:space="0" w:color="C0C0C0"/>
            </w:tcBorders>
            <w:shd w:val="clear" w:color="auto" w:fill="auto"/>
          </w:tcPr>
          <w:p w14:paraId="6084A514"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5BBDEAD9"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1FE766F8"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0B65ED4C"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604D2EBC"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0C06CFFF"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C661A1D"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404B861"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422462A"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61EAACDF"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02F6CB58"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50E3AAC3"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4AB3F9DD" w14:textId="77777777" w:rsidTr="005171C5">
        <w:tc>
          <w:tcPr>
            <w:tcW w:w="1276" w:type="dxa"/>
            <w:vMerge/>
            <w:tcBorders>
              <w:top w:val="single" w:sz="4" w:space="0" w:color="C0C0C0"/>
              <w:bottom w:val="single" w:sz="4" w:space="0" w:color="C0C0C0"/>
            </w:tcBorders>
            <w:shd w:val="clear" w:color="auto" w:fill="auto"/>
          </w:tcPr>
          <w:p w14:paraId="25134340"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6F07B6A1"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0.75</w:t>
            </w:r>
            <w:r w:rsidRPr="00272D6C">
              <w:rPr>
                <w:rFonts w:eastAsia="細明體" w:cs="Segoe UI" w:hint="eastAsia"/>
                <w:sz w:val="16"/>
                <w:szCs w:val="16"/>
                <w:lang w:eastAsia="zh-TW"/>
              </w:rPr>
              <w:t>至</w:t>
            </w:r>
            <w:r w:rsidRPr="00272D6C">
              <w:rPr>
                <w:rFonts w:eastAsia="細明體" w:cs="Segoe UI"/>
                <w:sz w:val="16"/>
                <w:szCs w:val="16"/>
                <w:lang w:eastAsia="ar-SA"/>
              </w:rPr>
              <w:t>&lt; 2.50</w:t>
            </w:r>
          </w:p>
        </w:tc>
        <w:tc>
          <w:tcPr>
            <w:tcW w:w="1051" w:type="dxa"/>
            <w:tcBorders>
              <w:top w:val="single" w:sz="4" w:space="0" w:color="C0C0C0"/>
              <w:left w:val="single" w:sz="4" w:space="0" w:color="000000"/>
              <w:bottom w:val="single" w:sz="4" w:space="0" w:color="C0C0C0"/>
            </w:tcBorders>
            <w:shd w:val="clear" w:color="auto" w:fill="auto"/>
          </w:tcPr>
          <w:p w14:paraId="15F62A2A"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1FBC417C"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1428FCAE"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03724F65"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535C814C"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1ED935E0"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0DF4901F"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A499C25"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4F8420E"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30B14C9"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0B294D0C"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4A7D79BC"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34B0084C" w14:textId="77777777" w:rsidTr="005171C5">
        <w:tc>
          <w:tcPr>
            <w:tcW w:w="1276" w:type="dxa"/>
            <w:vMerge/>
            <w:tcBorders>
              <w:top w:val="single" w:sz="4" w:space="0" w:color="C0C0C0"/>
              <w:bottom w:val="single" w:sz="4" w:space="0" w:color="C0C0C0"/>
            </w:tcBorders>
            <w:shd w:val="clear" w:color="auto" w:fill="auto"/>
          </w:tcPr>
          <w:p w14:paraId="75856195"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18FD8A37"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2.50</w:t>
            </w:r>
            <w:r w:rsidRPr="00272D6C">
              <w:rPr>
                <w:rFonts w:eastAsia="細明體" w:cs="Segoe UI" w:hint="eastAsia"/>
                <w:sz w:val="16"/>
                <w:szCs w:val="16"/>
                <w:lang w:eastAsia="zh-TW"/>
              </w:rPr>
              <w:t>至</w:t>
            </w:r>
            <w:r w:rsidRPr="00272D6C">
              <w:rPr>
                <w:rFonts w:eastAsia="細明體" w:cs="Segoe UI"/>
                <w:sz w:val="16"/>
                <w:szCs w:val="16"/>
                <w:lang w:eastAsia="ar-SA"/>
              </w:rPr>
              <w:t>&lt; 10.00</w:t>
            </w:r>
          </w:p>
        </w:tc>
        <w:tc>
          <w:tcPr>
            <w:tcW w:w="1051" w:type="dxa"/>
            <w:tcBorders>
              <w:top w:val="single" w:sz="4" w:space="0" w:color="C0C0C0"/>
              <w:left w:val="single" w:sz="4" w:space="0" w:color="000000"/>
              <w:bottom w:val="single" w:sz="4" w:space="0" w:color="C0C0C0"/>
            </w:tcBorders>
            <w:shd w:val="clear" w:color="auto" w:fill="auto"/>
          </w:tcPr>
          <w:p w14:paraId="51AC27D6"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54811E00"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7868B6FF"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64413C09"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35A91896"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3320FAE0"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134528B0"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5F369C16"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D0EE204"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4F018E1E"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09B5E680"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2258688F"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5C4B1330" w14:textId="77777777" w:rsidTr="005171C5">
        <w:tc>
          <w:tcPr>
            <w:tcW w:w="1276" w:type="dxa"/>
            <w:vMerge/>
            <w:tcBorders>
              <w:top w:val="single" w:sz="4" w:space="0" w:color="C0C0C0"/>
              <w:bottom w:val="single" w:sz="4" w:space="0" w:color="C0C0C0"/>
            </w:tcBorders>
            <w:shd w:val="clear" w:color="auto" w:fill="auto"/>
          </w:tcPr>
          <w:p w14:paraId="603B16FC"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55EDB768"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10.00</w:t>
            </w:r>
            <w:r w:rsidRPr="00272D6C">
              <w:rPr>
                <w:rFonts w:eastAsia="細明體" w:cs="Segoe UI" w:hint="eastAsia"/>
                <w:sz w:val="16"/>
                <w:szCs w:val="16"/>
                <w:lang w:eastAsia="zh-TW"/>
              </w:rPr>
              <w:t>至</w:t>
            </w:r>
            <w:r w:rsidRPr="00272D6C">
              <w:rPr>
                <w:rFonts w:eastAsia="細明體" w:cs="Segoe UI"/>
                <w:sz w:val="16"/>
                <w:szCs w:val="16"/>
                <w:lang w:eastAsia="ar-SA"/>
              </w:rPr>
              <w:t>&lt; 100.00</w:t>
            </w:r>
          </w:p>
        </w:tc>
        <w:tc>
          <w:tcPr>
            <w:tcW w:w="1051" w:type="dxa"/>
            <w:tcBorders>
              <w:top w:val="single" w:sz="4" w:space="0" w:color="C0C0C0"/>
              <w:left w:val="single" w:sz="4" w:space="0" w:color="000000"/>
              <w:bottom w:val="single" w:sz="4" w:space="0" w:color="C0C0C0"/>
            </w:tcBorders>
            <w:shd w:val="clear" w:color="auto" w:fill="auto"/>
          </w:tcPr>
          <w:p w14:paraId="1BA20645"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31D757B7"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2D4CC85F"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75AFA386"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6E2142AA"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0D075EAF"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6EC81AD7"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0DBA9DF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B4A1FDC"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5B517AE"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3F5A6978"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0A8CF2CB"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6673B4B2" w14:textId="77777777" w:rsidTr="005171C5">
        <w:tc>
          <w:tcPr>
            <w:tcW w:w="1276" w:type="dxa"/>
            <w:vMerge/>
            <w:tcBorders>
              <w:top w:val="single" w:sz="4" w:space="0" w:color="C0C0C0"/>
              <w:bottom w:val="single" w:sz="4" w:space="0" w:color="C0C0C0"/>
            </w:tcBorders>
            <w:shd w:val="clear" w:color="auto" w:fill="auto"/>
          </w:tcPr>
          <w:p w14:paraId="472BF02E"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7BA9E315"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100.00 (</w:t>
            </w:r>
            <w:r w:rsidRPr="00272D6C">
              <w:rPr>
                <w:rFonts w:eastAsia="細明體" w:cs="Segoe UI" w:hint="eastAsia"/>
                <w:sz w:val="16"/>
                <w:szCs w:val="16"/>
                <w:lang w:eastAsia="ar-SA"/>
              </w:rPr>
              <w:t>違責</w:t>
            </w:r>
            <w:r w:rsidRPr="00272D6C">
              <w:rPr>
                <w:rFonts w:eastAsia="細明體" w:cs="Segoe UI"/>
                <w:sz w:val="16"/>
                <w:szCs w:val="16"/>
                <w:lang w:eastAsia="ar-SA"/>
              </w:rPr>
              <w:t>)</w:t>
            </w:r>
          </w:p>
        </w:tc>
        <w:tc>
          <w:tcPr>
            <w:tcW w:w="1051" w:type="dxa"/>
            <w:tcBorders>
              <w:top w:val="single" w:sz="4" w:space="0" w:color="C0C0C0"/>
              <w:left w:val="single" w:sz="4" w:space="0" w:color="000000"/>
              <w:bottom w:val="single" w:sz="4" w:space="0" w:color="C0C0C0"/>
            </w:tcBorders>
            <w:shd w:val="clear" w:color="auto" w:fill="auto"/>
          </w:tcPr>
          <w:p w14:paraId="3F799CAF"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377CA963"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447AFD34"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3D507D3F"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53E1AD0E"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13B8E3C1"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37062BA5"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02C52C31"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613CFFB5"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C2AAD87"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0C4FFEAB"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73E9ABE0"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08D7D8FD" w14:textId="77777777" w:rsidTr="005171C5">
        <w:tc>
          <w:tcPr>
            <w:tcW w:w="1276" w:type="dxa"/>
            <w:vMerge/>
            <w:tcBorders>
              <w:top w:val="single" w:sz="4" w:space="0" w:color="C0C0C0"/>
              <w:bottom w:val="single" w:sz="4" w:space="0" w:color="000000"/>
            </w:tcBorders>
            <w:shd w:val="clear" w:color="auto" w:fill="auto"/>
          </w:tcPr>
          <w:p w14:paraId="7FE80879"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000000"/>
            </w:tcBorders>
            <w:shd w:val="clear" w:color="auto" w:fill="auto"/>
          </w:tcPr>
          <w:p w14:paraId="0399F4CF"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小計</w:t>
            </w:r>
          </w:p>
        </w:tc>
        <w:tc>
          <w:tcPr>
            <w:tcW w:w="1051" w:type="dxa"/>
            <w:tcBorders>
              <w:top w:val="single" w:sz="4" w:space="0" w:color="C0C0C0"/>
              <w:left w:val="single" w:sz="4" w:space="0" w:color="000000"/>
              <w:bottom w:val="single" w:sz="4" w:space="0" w:color="000000"/>
            </w:tcBorders>
            <w:shd w:val="clear" w:color="auto" w:fill="auto"/>
          </w:tcPr>
          <w:p w14:paraId="44515D93"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000000"/>
            </w:tcBorders>
            <w:shd w:val="clear" w:color="auto" w:fill="auto"/>
          </w:tcPr>
          <w:p w14:paraId="007FA8F9"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000000"/>
            </w:tcBorders>
            <w:shd w:val="clear" w:color="auto" w:fill="auto"/>
          </w:tcPr>
          <w:p w14:paraId="3C820065"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000000"/>
            </w:tcBorders>
            <w:shd w:val="clear" w:color="auto" w:fill="auto"/>
          </w:tcPr>
          <w:p w14:paraId="6255F569"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000000"/>
            </w:tcBorders>
            <w:shd w:val="clear" w:color="auto" w:fill="auto"/>
          </w:tcPr>
          <w:p w14:paraId="16B4B6D5"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000000"/>
            </w:tcBorders>
            <w:shd w:val="clear" w:color="auto" w:fill="auto"/>
          </w:tcPr>
          <w:p w14:paraId="2DD6BC42"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000000"/>
            </w:tcBorders>
            <w:shd w:val="clear" w:color="auto" w:fill="auto"/>
          </w:tcPr>
          <w:p w14:paraId="2200F044"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000000"/>
            </w:tcBorders>
            <w:shd w:val="clear" w:color="auto" w:fill="auto"/>
          </w:tcPr>
          <w:p w14:paraId="190E34B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000000"/>
            </w:tcBorders>
            <w:shd w:val="clear" w:color="auto" w:fill="auto"/>
          </w:tcPr>
          <w:p w14:paraId="51088241"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000000"/>
            </w:tcBorders>
            <w:shd w:val="clear" w:color="auto" w:fill="auto"/>
          </w:tcPr>
          <w:p w14:paraId="4E79DF8A"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000000"/>
            </w:tcBorders>
            <w:shd w:val="clear" w:color="auto" w:fill="auto"/>
          </w:tcPr>
          <w:p w14:paraId="34818880"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000000"/>
              <w:right w:val="single" w:sz="4" w:space="0" w:color="000000"/>
            </w:tcBorders>
            <w:shd w:val="clear" w:color="auto" w:fill="auto"/>
          </w:tcPr>
          <w:p w14:paraId="685E6865"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0C3045FD" w14:textId="77777777" w:rsidTr="005171C5">
        <w:tc>
          <w:tcPr>
            <w:tcW w:w="1276" w:type="dxa"/>
            <w:vMerge w:val="restart"/>
            <w:tcBorders>
              <w:top w:val="single" w:sz="4" w:space="0" w:color="000000"/>
              <w:bottom w:val="single" w:sz="4" w:space="0" w:color="C0C0C0"/>
            </w:tcBorders>
            <w:shd w:val="clear" w:color="auto" w:fill="auto"/>
          </w:tcPr>
          <w:p w14:paraId="5BAC23C5" w14:textId="77777777" w:rsidR="00272D6C" w:rsidRPr="00272D6C" w:rsidRDefault="00272D6C" w:rsidP="00272D6C">
            <w:pPr>
              <w:suppressAutoHyphens/>
              <w:snapToGrid w:val="0"/>
              <w:rPr>
                <w:rFonts w:eastAsia="細明體" w:cs="Segoe UI"/>
                <w:sz w:val="16"/>
                <w:szCs w:val="16"/>
                <w:lang w:eastAsia="ar-SA"/>
              </w:rPr>
            </w:pPr>
            <w:r w:rsidRPr="00272D6C">
              <w:rPr>
                <w:rFonts w:eastAsia="細明體" w:cs="Segoe UI" w:hint="eastAsia"/>
                <w:sz w:val="16"/>
                <w:szCs w:val="16"/>
                <w:lang w:eastAsia="ar-SA"/>
              </w:rPr>
              <w:t>組合</w:t>
            </w:r>
            <w:r w:rsidRPr="00272D6C">
              <w:rPr>
                <w:rFonts w:eastAsia="細明體" w:cs="Segoe UI"/>
                <w:sz w:val="16"/>
                <w:szCs w:val="16"/>
                <w:lang w:eastAsia="ar-SA"/>
              </w:rPr>
              <w:t xml:space="preserve">(ii) – </w:t>
            </w:r>
            <w:r w:rsidRPr="00272D6C">
              <w:rPr>
                <w:rFonts w:eastAsia="細明體" w:cs="Segoe UI" w:hint="eastAsia"/>
                <w:sz w:val="16"/>
                <w:szCs w:val="16"/>
                <w:lang w:eastAsia="ar-SA"/>
              </w:rPr>
              <w:t>銀行</w:t>
            </w:r>
          </w:p>
        </w:tc>
        <w:tc>
          <w:tcPr>
            <w:tcW w:w="1559" w:type="dxa"/>
            <w:tcBorders>
              <w:top w:val="single" w:sz="4" w:space="0" w:color="000000"/>
              <w:left w:val="single" w:sz="4" w:space="0" w:color="000000"/>
              <w:bottom w:val="single" w:sz="4" w:space="0" w:color="C0C0C0"/>
            </w:tcBorders>
            <w:shd w:val="clear" w:color="auto" w:fill="auto"/>
          </w:tcPr>
          <w:p w14:paraId="75E52FCE"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0.00</w:t>
            </w:r>
            <w:r w:rsidRPr="00272D6C">
              <w:rPr>
                <w:rFonts w:eastAsia="細明體" w:cs="Segoe UI" w:hint="eastAsia"/>
                <w:sz w:val="16"/>
                <w:szCs w:val="16"/>
                <w:lang w:eastAsia="zh-TW"/>
              </w:rPr>
              <w:t>至</w:t>
            </w:r>
            <w:r w:rsidRPr="00272D6C">
              <w:rPr>
                <w:rFonts w:eastAsia="細明體" w:cs="Segoe UI"/>
                <w:sz w:val="16"/>
                <w:szCs w:val="16"/>
                <w:lang w:eastAsia="ar-SA"/>
              </w:rPr>
              <w:t>&lt; 0.15</w:t>
            </w:r>
          </w:p>
        </w:tc>
        <w:tc>
          <w:tcPr>
            <w:tcW w:w="1051" w:type="dxa"/>
            <w:tcBorders>
              <w:top w:val="single" w:sz="4" w:space="0" w:color="000000"/>
              <w:left w:val="single" w:sz="4" w:space="0" w:color="000000"/>
              <w:bottom w:val="single" w:sz="4" w:space="0" w:color="C0C0C0"/>
            </w:tcBorders>
            <w:shd w:val="clear" w:color="auto" w:fill="auto"/>
          </w:tcPr>
          <w:p w14:paraId="7467D99C"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000000"/>
              <w:left w:val="single" w:sz="4" w:space="0" w:color="000000"/>
              <w:bottom w:val="single" w:sz="4" w:space="0" w:color="C0C0C0"/>
            </w:tcBorders>
            <w:shd w:val="clear" w:color="auto" w:fill="auto"/>
          </w:tcPr>
          <w:p w14:paraId="4F14258A"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000000"/>
              <w:left w:val="single" w:sz="4" w:space="0" w:color="000000"/>
              <w:bottom w:val="single" w:sz="4" w:space="0" w:color="C0C0C0"/>
            </w:tcBorders>
            <w:shd w:val="clear" w:color="auto" w:fill="auto"/>
          </w:tcPr>
          <w:p w14:paraId="52F10050"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000000"/>
              <w:left w:val="single" w:sz="4" w:space="0" w:color="000000"/>
              <w:bottom w:val="single" w:sz="4" w:space="0" w:color="C0C0C0"/>
            </w:tcBorders>
            <w:shd w:val="clear" w:color="auto" w:fill="auto"/>
          </w:tcPr>
          <w:p w14:paraId="02A5ED76"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000000"/>
              <w:left w:val="single" w:sz="4" w:space="0" w:color="000000"/>
              <w:bottom w:val="single" w:sz="4" w:space="0" w:color="C0C0C0"/>
            </w:tcBorders>
            <w:shd w:val="clear" w:color="auto" w:fill="auto"/>
          </w:tcPr>
          <w:p w14:paraId="329366AA"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C0C0C0"/>
            </w:tcBorders>
            <w:shd w:val="clear" w:color="auto" w:fill="auto"/>
          </w:tcPr>
          <w:p w14:paraId="5BD65456"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C0C0C0"/>
            </w:tcBorders>
            <w:shd w:val="clear" w:color="auto" w:fill="auto"/>
          </w:tcPr>
          <w:p w14:paraId="486E4A26"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C0C0C0"/>
            </w:tcBorders>
            <w:shd w:val="clear" w:color="auto" w:fill="auto"/>
          </w:tcPr>
          <w:p w14:paraId="4A1F64A7"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C0C0C0"/>
            </w:tcBorders>
            <w:shd w:val="clear" w:color="auto" w:fill="auto"/>
          </w:tcPr>
          <w:p w14:paraId="31653422"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C0C0C0"/>
            </w:tcBorders>
            <w:shd w:val="clear" w:color="auto" w:fill="auto"/>
          </w:tcPr>
          <w:p w14:paraId="128DD18C"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000000"/>
              <w:left w:val="single" w:sz="4" w:space="0" w:color="000000"/>
              <w:bottom w:val="single" w:sz="4" w:space="0" w:color="C0C0C0"/>
            </w:tcBorders>
            <w:shd w:val="clear" w:color="auto" w:fill="auto"/>
          </w:tcPr>
          <w:p w14:paraId="65ACAF7D"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000000"/>
              <w:left w:val="single" w:sz="4" w:space="0" w:color="000000"/>
              <w:bottom w:val="single" w:sz="4" w:space="0" w:color="C0C0C0"/>
              <w:right w:val="single" w:sz="4" w:space="0" w:color="000000"/>
            </w:tcBorders>
            <w:shd w:val="clear" w:color="auto" w:fill="BFBFBF"/>
          </w:tcPr>
          <w:p w14:paraId="2CD54120"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687E5B87" w14:textId="77777777" w:rsidTr="005171C5">
        <w:tc>
          <w:tcPr>
            <w:tcW w:w="1276" w:type="dxa"/>
            <w:vMerge/>
            <w:tcBorders>
              <w:top w:val="single" w:sz="4" w:space="0" w:color="C0C0C0"/>
              <w:bottom w:val="single" w:sz="4" w:space="0" w:color="C0C0C0"/>
            </w:tcBorders>
            <w:shd w:val="clear" w:color="auto" w:fill="auto"/>
          </w:tcPr>
          <w:p w14:paraId="32F9BAD3"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3181082B"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0.15</w:t>
            </w:r>
            <w:r w:rsidRPr="00272D6C">
              <w:rPr>
                <w:rFonts w:eastAsia="細明體" w:cs="Segoe UI" w:hint="eastAsia"/>
                <w:sz w:val="16"/>
                <w:szCs w:val="16"/>
                <w:lang w:eastAsia="zh-TW"/>
              </w:rPr>
              <w:t>至</w:t>
            </w:r>
            <w:r w:rsidRPr="00272D6C">
              <w:rPr>
                <w:rFonts w:eastAsia="細明體" w:cs="Segoe UI"/>
                <w:sz w:val="16"/>
                <w:szCs w:val="16"/>
                <w:lang w:eastAsia="ar-SA"/>
              </w:rPr>
              <w:t>&lt; 0.25</w:t>
            </w:r>
          </w:p>
        </w:tc>
        <w:tc>
          <w:tcPr>
            <w:tcW w:w="1051" w:type="dxa"/>
            <w:tcBorders>
              <w:top w:val="single" w:sz="4" w:space="0" w:color="C0C0C0"/>
              <w:left w:val="single" w:sz="4" w:space="0" w:color="000000"/>
              <w:bottom w:val="single" w:sz="4" w:space="0" w:color="C0C0C0"/>
            </w:tcBorders>
            <w:shd w:val="clear" w:color="auto" w:fill="auto"/>
          </w:tcPr>
          <w:p w14:paraId="3E233974"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685FFD31"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458129C6"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072C7D21"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50C9198D"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DE629C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11DCFB21"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659AD9EF"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00A78177"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351E6B54"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6B0838BA"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35751A4A"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6FE31913" w14:textId="77777777" w:rsidTr="005171C5">
        <w:tc>
          <w:tcPr>
            <w:tcW w:w="1276" w:type="dxa"/>
            <w:vMerge/>
            <w:tcBorders>
              <w:top w:val="single" w:sz="4" w:space="0" w:color="C0C0C0"/>
              <w:bottom w:val="single" w:sz="4" w:space="0" w:color="C0C0C0"/>
            </w:tcBorders>
            <w:shd w:val="clear" w:color="auto" w:fill="auto"/>
          </w:tcPr>
          <w:p w14:paraId="528A314B"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1A91EFA0"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0.25</w:t>
            </w:r>
            <w:r w:rsidRPr="00272D6C">
              <w:rPr>
                <w:rFonts w:eastAsia="細明體" w:cs="Segoe UI" w:hint="eastAsia"/>
                <w:sz w:val="16"/>
                <w:szCs w:val="16"/>
                <w:lang w:eastAsia="zh-TW"/>
              </w:rPr>
              <w:t>至</w:t>
            </w:r>
            <w:r w:rsidRPr="00272D6C">
              <w:rPr>
                <w:rFonts w:eastAsia="細明體" w:cs="Segoe UI"/>
                <w:sz w:val="16"/>
                <w:szCs w:val="16"/>
                <w:lang w:eastAsia="ar-SA"/>
              </w:rPr>
              <w:t>&lt; 0.50</w:t>
            </w:r>
          </w:p>
        </w:tc>
        <w:tc>
          <w:tcPr>
            <w:tcW w:w="1051" w:type="dxa"/>
            <w:tcBorders>
              <w:top w:val="single" w:sz="4" w:space="0" w:color="C0C0C0"/>
              <w:left w:val="single" w:sz="4" w:space="0" w:color="000000"/>
              <w:bottom w:val="single" w:sz="4" w:space="0" w:color="C0C0C0"/>
            </w:tcBorders>
            <w:shd w:val="clear" w:color="auto" w:fill="auto"/>
          </w:tcPr>
          <w:p w14:paraId="6BA29DBF"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588A934F"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57421F54"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1EB8CD5B"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32AAEEDB"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629A1662"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C598ABD"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222C4609"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178784CA"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44FDF1BB"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5D2F5D30"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7D16D47F"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441B1201" w14:textId="77777777" w:rsidTr="005171C5">
        <w:tc>
          <w:tcPr>
            <w:tcW w:w="1276" w:type="dxa"/>
            <w:vMerge/>
            <w:tcBorders>
              <w:top w:val="single" w:sz="4" w:space="0" w:color="C0C0C0"/>
              <w:bottom w:val="single" w:sz="4" w:space="0" w:color="C0C0C0"/>
            </w:tcBorders>
            <w:shd w:val="clear" w:color="auto" w:fill="auto"/>
          </w:tcPr>
          <w:p w14:paraId="7645E15D"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71E3A98A"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0.50</w:t>
            </w:r>
            <w:r w:rsidRPr="00272D6C">
              <w:rPr>
                <w:rFonts w:eastAsia="細明體" w:cs="Segoe UI" w:hint="eastAsia"/>
                <w:sz w:val="16"/>
                <w:szCs w:val="16"/>
                <w:lang w:eastAsia="zh-TW"/>
              </w:rPr>
              <w:t>至</w:t>
            </w:r>
            <w:r w:rsidRPr="00272D6C">
              <w:rPr>
                <w:rFonts w:eastAsia="細明體" w:cs="Segoe UI"/>
                <w:sz w:val="16"/>
                <w:szCs w:val="16"/>
                <w:lang w:eastAsia="ar-SA"/>
              </w:rPr>
              <w:t>&lt; 0.75</w:t>
            </w:r>
          </w:p>
        </w:tc>
        <w:tc>
          <w:tcPr>
            <w:tcW w:w="1051" w:type="dxa"/>
            <w:tcBorders>
              <w:top w:val="single" w:sz="4" w:space="0" w:color="C0C0C0"/>
              <w:left w:val="single" w:sz="4" w:space="0" w:color="000000"/>
              <w:bottom w:val="single" w:sz="4" w:space="0" w:color="C0C0C0"/>
            </w:tcBorders>
            <w:shd w:val="clear" w:color="auto" w:fill="auto"/>
          </w:tcPr>
          <w:p w14:paraId="45EBFD9B"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096D017F"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35DF24FA"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4C9A5B5E"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58B0091A"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45A101F"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3E2961C2"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549829EA"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6C8CD910"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2701998"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5192D3E1"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08D73BBA"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61ABB707" w14:textId="77777777" w:rsidTr="005171C5">
        <w:tc>
          <w:tcPr>
            <w:tcW w:w="1276" w:type="dxa"/>
            <w:vMerge/>
            <w:tcBorders>
              <w:top w:val="single" w:sz="4" w:space="0" w:color="C0C0C0"/>
              <w:bottom w:val="single" w:sz="4" w:space="0" w:color="C0C0C0"/>
            </w:tcBorders>
            <w:shd w:val="clear" w:color="auto" w:fill="auto"/>
          </w:tcPr>
          <w:p w14:paraId="5D8E9C7C"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43161F02"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0.75</w:t>
            </w:r>
            <w:r w:rsidRPr="00272D6C">
              <w:rPr>
                <w:rFonts w:eastAsia="細明體" w:cs="Segoe UI" w:hint="eastAsia"/>
                <w:sz w:val="16"/>
                <w:szCs w:val="16"/>
                <w:lang w:eastAsia="zh-TW"/>
              </w:rPr>
              <w:t>至</w:t>
            </w:r>
            <w:r w:rsidRPr="00272D6C">
              <w:rPr>
                <w:rFonts w:eastAsia="細明體" w:cs="Segoe UI"/>
                <w:sz w:val="16"/>
                <w:szCs w:val="16"/>
                <w:lang w:eastAsia="ar-SA"/>
              </w:rPr>
              <w:t>&lt; 2.50</w:t>
            </w:r>
          </w:p>
        </w:tc>
        <w:tc>
          <w:tcPr>
            <w:tcW w:w="1051" w:type="dxa"/>
            <w:tcBorders>
              <w:top w:val="single" w:sz="4" w:space="0" w:color="C0C0C0"/>
              <w:left w:val="single" w:sz="4" w:space="0" w:color="000000"/>
              <w:bottom w:val="single" w:sz="4" w:space="0" w:color="C0C0C0"/>
            </w:tcBorders>
            <w:shd w:val="clear" w:color="auto" w:fill="auto"/>
          </w:tcPr>
          <w:p w14:paraId="42B06106"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03870018"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6D1B552F"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4C9FDC51"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2BD3ED2A"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C3E20A6"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6776993"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5E1A348C"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2E5EBA59"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031FB9DC"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7329D202"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266A9390"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4AC69D43" w14:textId="77777777" w:rsidTr="005171C5">
        <w:tc>
          <w:tcPr>
            <w:tcW w:w="1276" w:type="dxa"/>
            <w:vMerge/>
            <w:tcBorders>
              <w:top w:val="single" w:sz="4" w:space="0" w:color="C0C0C0"/>
              <w:bottom w:val="single" w:sz="4" w:space="0" w:color="C0C0C0"/>
            </w:tcBorders>
            <w:shd w:val="clear" w:color="auto" w:fill="auto"/>
          </w:tcPr>
          <w:p w14:paraId="13997ED5"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02A36B74"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2.50</w:t>
            </w:r>
            <w:r w:rsidRPr="00272D6C">
              <w:rPr>
                <w:rFonts w:eastAsia="細明體" w:cs="Segoe UI" w:hint="eastAsia"/>
                <w:sz w:val="16"/>
                <w:szCs w:val="16"/>
                <w:lang w:eastAsia="zh-TW"/>
              </w:rPr>
              <w:t>至</w:t>
            </w:r>
            <w:r w:rsidRPr="00272D6C">
              <w:rPr>
                <w:rFonts w:eastAsia="細明體" w:cs="Segoe UI"/>
                <w:sz w:val="16"/>
                <w:szCs w:val="16"/>
                <w:lang w:eastAsia="ar-SA"/>
              </w:rPr>
              <w:t>&lt; 10.00</w:t>
            </w:r>
          </w:p>
        </w:tc>
        <w:tc>
          <w:tcPr>
            <w:tcW w:w="1051" w:type="dxa"/>
            <w:tcBorders>
              <w:top w:val="single" w:sz="4" w:space="0" w:color="C0C0C0"/>
              <w:left w:val="single" w:sz="4" w:space="0" w:color="000000"/>
              <w:bottom w:val="single" w:sz="4" w:space="0" w:color="C0C0C0"/>
            </w:tcBorders>
            <w:shd w:val="clear" w:color="auto" w:fill="auto"/>
          </w:tcPr>
          <w:p w14:paraId="525DEBD9"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782DD233"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10E5F4BA"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60EA4355"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162603D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B6D775D"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41891017"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423B0C0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6E4897C5"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71F341BF"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1C2E2CDB"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327B99C3"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3653FE02" w14:textId="77777777" w:rsidTr="005171C5">
        <w:tc>
          <w:tcPr>
            <w:tcW w:w="1276" w:type="dxa"/>
            <w:vMerge/>
            <w:tcBorders>
              <w:top w:val="single" w:sz="4" w:space="0" w:color="C0C0C0"/>
              <w:bottom w:val="single" w:sz="4" w:space="0" w:color="C0C0C0"/>
            </w:tcBorders>
            <w:shd w:val="clear" w:color="auto" w:fill="auto"/>
          </w:tcPr>
          <w:p w14:paraId="408C01DC"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56302BB0"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10.00</w:t>
            </w:r>
            <w:r w:rsidRPr="00272D6C">
              <w:rPr>
                <w:rFonts w:eastAsia="細明體" w:cs="Segoe UI" w:hint="eastAsia"/>
                <w:sz w:val="16"/>
                <w:szCs w:val="16"/>
                <w:lang w:eastAsia="zh-TW"/>
              </w:rPr>
              <w:t>至</w:t>
            </w:r>
            <w:r w:rsidRPr="00272D6C">
              <w:rPr>
                <w:rFonts w:eastAsia="細明體" w:cs="Segoe UI"/>
                <w:sz w:val="16"/>
                <w:szCs w:val="16"/>
                <w:lang w:eastAsia="ar-SA"/>
              </w:rPr>
              <w:t>&lt; 100.00</w:t>
            </w:r>
          </w:p>
        </w:tc>
        <w:tc>
          <w:tcPr>
            <w:tcW w:w="1051" w:type="dxa"/>
            <w:tcBorders>
              <w:top w:val="single" w:sz="4" w:space="0" w:color="C0C0C0"/>
              <w:left w:val="single" w:sz="4" w:space="0" w:color="000000"/>
              <w:bottom w:val="single" w:sz="4" w:space="0" w:color="C0C0C0"/>
            </w:tcBorders>
            <w:shd w:val="clear" w:color="auto" w:fill="auto"/>
          </w:tcPr>
          <w:p w14:paraId="1108E5D1"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1D654577"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5126A518"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529872C4"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3D77BC5E"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358242F5"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614F7E8E"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41B6E75A"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20D63267"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54585090"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5B179886"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33434251"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6A3678D3" w14:textId="77777777" w:rsidTr="005171C5">
        <w:tc>
          <w:tcPr>
            <w:tcW w:w="1276" w:type="dxa"/>
            <w:vMerge/>
            <w:tcBorders>
              <w:top w:val="single" w:sz="4" w:space="0" w:color="C0C0C0"/>
              <w:bottom w:val="single" w:sz="4" w:space="0" w:color="C0C0C0"/>
            </w:tcBorders>
            <w:shd w:val="clear" w:color="auto" w:fill="auto"/>
          </w:tcPr>
          <w:p w14:paraId="4F4471BC"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C0C0C0"/>
            </w:tcBorders>
            <w:shd w:val="clear" w:color="auto" w:fill="auto"/>
          </w:tcPr>
          <w:p w14:paraId="0FCC1F6D"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100.00 (</w:t>
            </w:r>
            <w:r w:rsidRPr="00272D6C">
              <w:rPr>
                <w:rFonts w:eastAsia="細明體" w:cs="Segoe UI" w:hint="eastAsia"/>
                <w:sz w:val="16"/>
                <w:szCs w:val="16"/>
                <w:lang w:eastAsia="ar-SA"/>
              </w:rPr>
              <w:t>違責</w:t>
            </w:r>
            <w:r w:rsidRPr="00272D6C">
              <w:rPr>
                <w:rFonts w:eastAsia="細明體" w:cs="Segoe UI"/>
                <w:sz w:val="16"/>
                <w:szCs w:val="16"/>
                <w:lang w:eastAsia="ar-SA"/>
              </w:rPr>
              <w:t>)</w:t>
            </w:r>
          </w:p>
        </w:tc>
        <w:tc>
          <w:tcPr>
            <w:tcW w:w="1051" w:type="dxa"/>
            <w:tcBorders>
              <w:top w:val="single" w:sz="4" w:space="0" w:color="C0C0C0"/>
              <w:left w:val="single" w:sz="4" w:space="0" w:color="000000"/>
              <w:bottom w:val="single" w:sz="4" w:space="0" w:color="C0C0C0"/>
            </w:tcBorders>
            <w:shd w:val="clear" w:color="auto" w:fill="auto"/>
          </w:tcPr>
          <w:p w14:paraId="24DE622E"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C0C0C0"/>
            </w:tcBorders>
            <w:shd w:val="clear" w:color="auto" w:fill="auto"/>
          </w:tcPr>
          <w:p w14:paraId="0269406D"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C0C0C0"/>
            </w:tcBorders>
            <w:shd w:val="clear" w:color="auto" w:fill="auto"/>
          </w:tcPr>
          <w:p w14:paraId="1AD9548A"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C0C0C0"/>
            </w:tcBorders>
            <w:shd w:val="clear" w:color="auto" w:fill="auto"/>
          </w:tcPr>
          <w:p w14:paraId="1E8CFBCB"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C0C0C0"/>
            </w:tcBorders>
            <w:shd w:val="clear" w:color="auto" w:fill="auto"/>
          </w:tcPr>
          <w:p w14:paraId="21A45412"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3839E84B"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2091501A"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01BABA89"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C0C0C0"/>
            </w:tcBorders>
            <w:shd w:val="clear" w:color="auto" w:fill="auto"/>
          </w:tcPr>
          <w:p w14:paraId="7392B903"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C0C0C0"/>
            </w:tcBorders>
            <w:shd w:val="clear" w:color="auto" w:fill="auto"/>
          </w:tcPr>
          <w:p w14:paraId="5ED09E7A"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C0C0C0"/>
            </w:tcBorders>
            <w:shd w:val="clear" w:color="auto" w:fill="auto"/>
          </w:tcPr>
          <w:p w14:paraId="045C9EF1"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C0C0C0"/>
              <w:right w:val="single" w:sz="4" w:space="0" w:color="000000"/>
            </w:tcBorders>
            <w:shd w:val="clear" w:color="auto" w:fill="BFBFBF"/>
          </w:tcPr>
          <w:p w14:paraId="704A3740"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4DFCBCB5" w14:textId="77777777" w:rsidTr="005171C5">
        <w:tc>
          <w:tcPr>
            <w:tcW w:w="1276" w:type="dxa"/>
            <w:vMerge/>
            <w:tcBorders>
              <w:top w:val="single" w:sz="4" w:space="0" w:color="C0C0C0"/>
              <w:bottom w:val="single" w:sz="4" w:space="0" w:color="000000"/>
            </w:tcBorders>
            <w:shd w:val="clear" w:color="auto" w:fill="auto"/>
          </w:tcPr>
          <w:p w14:paraId="46C62A1E" w14:textId="77777777" w:rsidR="00272D6C" w:rsidRPr="00272D6C" w:rsidRDefault="00272D6C" w:rsidP="00272D6C">
            <w:pPr>
              <w:suppressAutoHyphens/>
              <w:snapToGrid w:val="0"/>
              <w:rPr>
                <w:rFonts w:eastAsia="細明體" w:cs="Segoe UI"/>
                <w:sz w:val="16"/>
                <w:szCs w:val="16"/>
                <w:lang w:eastAsia="ar-SA"/>
              </w:rPr>
            </w:pPr>
          </w:p>
        </w:tc>
        <w:tc>
          <w:tcPr>
            <w:tcW w:w="1559" w:type="dxa"/>
            <w:tcBorders>
              <w:top w:val="single" w:sz="4" w:space="0" w:color="C0C0C0"/>
              <w:left w:val="single" w:sz="4" w:space="0" w:color="000000"/>
              <w:bottom w:val="single" w:sz="4" w:space="0" w:color="000000"/>
            </w:tcBorders>
            <w:shd w:val="clear" w:color="auto" w:fill="auto"/>
          </w:tcPr>
          <w:p w14:paraId="3B4A9737"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hint="eastAsia"/>
                <w:sz w:val="16"/>
                <w:szCs w:val="16"/>
                <w:lang w:eastAsia="ar-SA"/>
              </w:rPr>
              <w:t>小計</w:t>
            </w:r>
          </w:p>
        </w:tc>
        <w:tc>
          <w:tcPr>
            <w:tcW w:w="1051" w:type="dxa"/>
            <w:tcBorders>
              <w:top w:val="single" w:sz="4" w:space="0" w:color="C0C0C0"/>
              <w:left w:val="single" w:sz="4" w:space="0" w:color="000000"/>
              <w:bottom w:val="single" w:sz="4" w:space="0" w:color="000000"/>
            </w:tcBorders>
            <w:shd w:val="clear" w:color="auto" w:fill="auto"/>
          </w:tcPr>
          <w:p w14:paraId="3797FC69"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C0C0C0"/>
              <w:left w:val="single" w:sz="4" w:space="0" w:color="000000"/>
              <w:bottom w:val="single" w:sz="4" w:space="0" w:color="000000"/>
            </w:tcBorders>
            <w:shd w:val="clear" w:color="auto" w:fill="auto"/>
          </w:tcPr>
          <w:p w14:paraId="5CBB2368"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C0C0C0"/>
              <w:left w:val="single" w:sz="4" w:space="0" w:color="000000"/>
              <w:bottom w:val="single" w:sz="4" w:space="0" w:color="000000"/>
            </w:tcBorders>
            <w:shd w:val="clear" w:color="auto" w:fill="auto"/>
          </w:tcPr>
          <w:p w14:paraId="124A2FC4"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C0C0C0"/>
              <w:left w:val="single" w:sz="4" w:space="0" w:color="000000"/>
              <w:bottom w:val="single" w:sz="4" w:space="0" w:color="000000"/>
            </w:tcBorders>
            <w:shd w:val="clear" w:color="auto" w:fill="auto"/>
          </w:tcPr>
          <w:p w14:paraId="431723A8"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C0C0C0"/>
              <w:left w:val="single" w:sz="4" w:space="0" w:color="000000"/>
              <w:bottom w:val="single" w:sz="4" w:space="0" w:color="000000"/>
            </w:tcBorders>
            <w:shd w:val="clear" w:color="auto" w:fill="auto"/>
          </w:tcPr>
          <w:p w14:paraId="69BFB95F"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000000"/>
            </w:tcBorders>
            <w:shd w:val="clear" w:color="auto" w:fill="auto"/>
          </w:tcPr>
          <w:p w14:paraId="7B376D71"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000000"/>
            </w:tcBorders>
            <w:shd w:val="clear" w:color="auto" w:fill="auto"/>
          </w:tcPr>
          <w:p w14:paraId="186E7287"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000000"/>
            </w:tcBorders>
            <w:shd w:val="clear" w:color="auto" w:fill="auto"/>
          </w:tcPr>
          <w:p w14:paraId="602C5CDD"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C0C0C0"/>
              <w:left w:val="single" w:sz="4" w:space="0" w:color="000000"/>
              <w:bottom w:val="single" w:sz="4" w:space="0" w:color="000000"/>
            </w:tcBorders>
            <w:shd w:val="clear" w:color="auto" w:fill="auto"/>
          </w:tcPr>
          <w:p w14:paraId="20F3707D"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C0C0C0"/>
              <w:left w:val="single" w:sz="4" w:space="0" w:color="000000"/>
              <w:bottom w:val="single" w:sz="4" w:space="0" w:color="000000"/>
            </w:tcBorders>
            <w:shd w:val="clear" w:color="auto" w:fill="auto"/>
          </w:tcPr>
          <w:p w14:paraId="362F3BF6"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C0C0C0"/>
              <w:left w:val="single" w:sz="4" w:space="0" w:color="000000"/>
              <w:bottom w:val="single" w:sz="4" w:space="0" w:color="000000"/>
            </w:tcBorders>
            <w:shd w:val="clear" w:color="auto" w:fill="auto"/>
          </w:tcPr>
          <w:p w14:paraId="4D1C09F5"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C0C0C0"/>
              <w:left w:val="single" w:sz="4" w:space="0" w:color="000000"/>
              <w:bottom w:val="single" w:sz="4" w:space="0" w:color="000000"/>
              <w:right w:val="single" w:sz="4" w:space="0" w:color="000000"/>
            </w:tcBorders>
            <w:shd w:val="clear" w:color="auto" w:fill="auto"/>
          </w:tcPr>
          <w:p w14:paraId="47B6E1AE"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6ABD48EC" w14:textId="77777777" w:rsidTr="005171C5">
        <w:tc>
          <w:tcPr>
            <w:tcW w:w="1276" w:type="dxa"/>
            <w:tcBorders>
              <w:top w:val="single" w:sz="4" w:space="0" w:color="000000"/>
              <w:bottom w:val="single" w:sz="4" w:space="0" w:color="000000"/>
            </w:tcBorders>
            <w:shd w:val="clear" w:color="auto" w:fill="auto"/>
          </w:tcPr>
          <w:p w14:paraId="73E04631" w14:textId="77777777" w:rsidR="00272D6C" w:rsidRPr="00272D6C" w:rsidRDefault="00272D6C" w:rsidP="00272D6C">
            <w:pPr>
              <w:suppressAutoHyphens/>
              <w:snapToGrid w:val="0"/>
              <w:rPr>
                <w:rFonts w:eastAsia="細明體" w:cs="Segoe UI"/>
                <w:sz w:val="16"/>
                <w:szCs w:val="16"/>
                <w:lang w:eastAsia="ar-SA"/>
              </w:rPr>
            </w:pPr>
            <w:r w:rsidRPr="00272D6C">
              <w:rPr>
                <w:rFonts w:eastAsia="細明體" w:cs="Segoe UI" w:hint="eastAsia"/>
                <w:sz w:val="16"/>
                <w:szCs w:val="16"/>
                <w:lang w:eastAsia="ar-SA"/>
              </w:rPr>
              <w:t>組合</w:t>
            </w:r>
            <w:r w:rsidRPr="00272D6C">
              <w:rPr>
                <w:rFonts w:eastAsia="細明體" w:cs="Segoe UI"/>
                <w:sz w:val="16"/>
                <w:szCs w:val="16"/>
                <w:lang w:eastAsia="ar-SA"/>
              </w:rPr>
              <w:t>(iii)…</w:t>
            </w:r>
          </w:p>
        </w:tc>
        <w:tc>
          <w:tcPr>
            <w:tcW w:w="1559" w:type="dxa"/>
            <w:tcBorders>
              <w:top w:val="single" w:sz="4" w:space="0" w:color="000000"/>
              <w:left w:val="single" w:sz="4" w:space="0" w:color="000000"/>
              <w:bottom w:val="single" w:sz="4" w:space="0" w:color="000000"/>
            </w:tcBorders>
            <w:shd w:val="clear" w:color="auto" w:fill="auto"/>
          </w:tcPr>
          <w:p w14:paraId="7DF1A8DA"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w:t>
            </w:r>
          </w:p>
        </w:tc>
        <w:tc>
          <w:tcPr>
            <w:tcW w:w="1051" w:type="dxa"/>
            <w:tcBorders>
              <w:top w:val="single" w:sz="4" w:space="0" w:color="000000"/>
              <w:left w:val="single" w:sz="4" w:space="0" w:color="000000"/>
              <w:bottom w:val="single" w:sz="4" w:space="0" w:color="000000"/>
            </w:tcBorders>
            <w:shd w:val="clear" w:color="auto" w:fill="auto"/>
          </w:tcPr>
          <w:p w14:paraId="3AE7B87E"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000000"/>
              <w:left w:val="single" w:sz="4" w:space="0" w:color="000000"/>
              <w:bottom w:val="single" w:sz="4" w:space="0" w:color="000000"/>
            </w:tcBorders>
            <w:shd w:val="clear" w:color="auto" w:fill="auto"/>
          </w:tcPr>
          <w:p w14:paraId="669D9901"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000000"/>
              <w:left w:val="single" w:sz="4" w:space="0" w:color="000000"/>
              <w:bottom w:val="single" w:sz="4" w:space="0" w:color="000000"/>
            </w:tcBorders>
            <w:shd w:val="clear" w:color="auto" w:fill="auto"/>
          </w:tcPr>
          <w:p w14:paraId="4703B665"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74792445"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000000"/>
              <w:left w:val="single" w:sz="4" w:space="0" w:color="000000"/>
              <w:bottom w:val="single" w:sz="4" w:space="0" w:color="000000"/>
            </w:tcBorders>
            <w:shd w:val="clear" w:color="auto" w:fill="auto"/>
          </w:tcPr>
          <w:p w14:paraId="66715444"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24BA8F71"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241DBA9E"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238D0DB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75535EBF"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1A66B39C"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000000"/>
              <w:left w:val="single" w:sz="4" w:space="0" w:color="000000"/>
              <w:bottom w:val="single" w:sz="4" w:space="0" w:color="000000"/>
            </w:tcBorders>
            <w:shd w:val="clear" w:color="auto" w:fill="auto"/>
          </w:tcPr>
          <w:p w14:paraId="710522A3"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6D0EC58B"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787F9933" w14:textId="77777777" w:rsidTr="005171C5">
        <w:tc>
          <w:tcPr>
            <w:tcW w:w="1276" w:type="dxa"/>
            <w:tcBorders>
              <w:top w:val="single" w:sz="4" w:space="0" w:color="000000"/>
              <w:bottom w:val="single" w:sz="4" w:space="0" w:color="000000"/>
            </w:tcBorders>
            <w:shd w:val="clear" w:color="auto" w:fill="auto"/>
          </w:tcPr>
          <w:p w14:paraId="7AA3876F" w14:textId="77777777" w:rsidR="00272D6C" w:rsidRPr="00272D6C" w:rsidRDefault="00272D6C" w:rsidP="00272D6C">
            <w:pPr>
              <w:suppressAutoHyphens/>
              <w:snapToGrid w:val="0"/>
              <w:rPr>
                <w:rFonts w:eastAsia="細明體" w:cs="Segoe UI"/>
                <w:sz w:val="16"/>
                <w:szCs w:val="16"/>
                <w:lang w:eastAsia="ar-SA"/>
              </w:rPr>
            </w:pPr>
            <w:r w:rsidRPr="00272D6C">
              <w:rPr>
                <w:rFonts w:eastAsia="細明體" w:cs="Segoe UI" w:hint="eastAsia"/>
                <w:sz w:val="16"/>
                <w:szCs w:val="16"/>
                <w:lang w:eastAsia="ar-SA"/>
              </w:rPr>
              <w:t>組合</w:t>
            </w:r>
            <w:r w:rsidRPr="00272D6C">
              <w:rPr>
                <w:rFonts w:eastAsia="細明體" w:cs="Segoe UI"/>
                <w:sz w:val="16"/>
                <w:szCs w:val="16"/>
                <w:lang w:eastAsia="ar-SA"/>
              </w:rPr>
              <w:t>(iv)…</w:t>
            </w:r>
          </w:p>
        </w:tc>
        <w:tc>
          <w:tcPr>
            <w:tcW w:w="1559" w:type="dxa"/>
            <w:tcBorders>
              <w:top w:val="single" w:sz="4" w:space="0" w:color="000000"/>
              <w:left w:val="single" w:sz="4" w:space="0" w:color="000000"/>
              <w:bottom w:val="single" w:sz="4" w:space="0" w:color="000000"/>
            </w:tcBorders>
            <w:shd w:val="clear" w:color="auto" w:fill="auto"/>
          </w:tcPr>
          <w:p w14:paraId="6E8F9745"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w:t>
            </w:r>
          </w:p>
        </w:tc>
        <w:tc>
          <w:tcPr>
            <w:tcW w:w="1051" w:type="dxa"/>
            <w:tcBorders>
              <w:top w:val="single" w:sz="4" w:space="0" w:color="000000"/>
              <w:left w:val="single" w:sz="4" w:space="0" w:color="000000"/>
              <w:bottom w:val="single" w:sz="4" w:space="0" w:color="000000"/>
            </w:tcBorders>
            <w:shd w:val="clear" w:color="auto" w:fill="auto"/>
          </w:tcPr>
          <w:p w14:paraId="15AB2C47"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000000"/>
              <w:left w:val="single" w:sz="4" w:space="0" w:color="000000"/>
              <w:bottom w:val="single" w:sz="4" w:space="0" w:color="000000"/>
            </w:tcBorders>
            <w:shd w:val="clear" w:color="auto" w:fill="auto"/>
          </w:tcPr>
          <w:p w14:paraId="62CE5D28"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000000"/>
              <w:left w:val="single" w:sz="4" w:space="0" w:color="000000"/>
              <w:bottom w:val="single" w:sz="4" w:space="0" w:color="000000"/>
            </w:tcBorders>
            <w:shd w:val="clear" w:color="auto" w:fill="auto"/>
          </w:tcPr>
          <w:p w14:paraId="21D8BEAB"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1317789F"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000000"/>
              <w:left w:val="single" w:sz="4" w:space="0" w:color="000000"/>
              <w:bottom w:val="single" w:sz="4" w:space="0" w:color="000000"/>
            </w:tcBorders>
            <w:shd w:val="clear" w:color="auto" w:fill="auto"/>
          </w:tcPr>
          <w:p w14:paraId="067B1EB8"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3C5619BD"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4E263788"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2B2D4E60"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042476EB"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05F2D823"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000000"/>
              <w:left w:val="single" w:sz="4" w:space="0" w:color="000000"/>
              <w:bottom w:val="single" w:sz="4" w:space="0" w:color="000000"/>
            </w:tcBorders>
            <w:shd w:val="clear" w:color="auto" w:fill="auto"/>
          </w:tcPr>
          <w:p w14:paraId="505A641F"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36BFD5F3"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52B6C70E" w14:textId="77777777" w:rsidTr="005171C5">
        <w:tc>
          <w:tcPr>
            <w:tcW w:w="1276" w:type="dxa"/>
            <w:tcBorders>
              <w:top w:val="single" w:sz="4" w:space="0" w:color="000000"/>
              <w:bottom w:val="single" w:sz="4" w:space="0" w:color="000000"/>
            </w:tcBorders>
            <w:shd w:val="clear" w:color="auto" w:fill="auto"/>
          </w:tcPr>
          <w:p w14:paraId="52253622" w14:textId="77777777" w:rsidR="00272D6C" w:rsidRPr="00272D6C" w:rsidRDefault="00272D6C" w:rsidP="00272D6C">
            <w:pPr>
              <w:suppressAutoHyphens/>
              <w:snapToGrid w:val="0"/>
              <w:rPr>
                <w:rFonts w:eastAsia="細明體" w:cs="Segoe UI"/>
                <w:sz w:val="16"/>
                <w:szCs w:val="16"/>
                <w:lang w:eastAsia="ar-SA"/>
              </w:rPr>
            </w:pPr>
            <w:r w:rsidRPr="00272D6C">
              <w:rPr>
                <w:rFonts w:eastAsia="細明體" w:cs="Segoe UI"/>
                <w:sz w:val="16"/>
                <w:szCs w:val="16"/>
                <w:lang w:eastAsia="ar-SA"/>
              </w:rPr>
              <w:t>…</w:t>
            </w:r>
          </w:p>
        </w:tc>
        <w:tc>
          <w:tcPr>
            <w:tcW w:w="1559" w:type="dxa"/>
            <w:tcBorders>
              <w:top w:val="single" w:sz="4" w:space="0" w:color="000000"/>
              <w:left w:val="single" w:sz="4" w:space="0" w:color="000000"/>
              <w:bottom w:val="single" w:sz="4" w:space="0" w:color="000000"/>
            </w:tcBorders>
            <w:shd w:val="clear" w:color="auto" w:fill="auto"/>
          </w:tcPr>
          <w:p w14:paraId="789A92E3" w14:textId="77777777" w:rsidR="00272D6C" w:rsidRPr="00272D6C" w:rsidRDefault="00272D6C" w:rsidP="00272D6C">
            <w:pPr>
              <w:suppressAutoHyphens/>
              <w:snapToGrid w:val="0"/>
              <w:jc w:val="center"/>
              <w:rPr>
                <w:rFonts w:eastAsia="細明體" w:cs="Segoe UI"/>
                <w:sz w:val="16"/>
                <w:szCs w:val="16"/>
                <w:lang w:eastAsia="ar-SA"/>
              </w:rPr>
            </w:pPr>
            <w:r w:rsidRPr="00272D6C">
              <w:rPr>
                <w:rFonts w:eastAsia="細明體" w:cs="Segoe UI"/>
                <w:sz w:val="16"/>
                <w:szCs w:val="16"/>
                <w:lang w:eastAsia="ar-SA"/>
              </w:rPr>
              <w:t>…</w:t>
            </w:r>
          </w:p>
        </w:tc>
        <w:tc>
          <w:tcPr>
            <w:tcW w:w="1051" w:type="dxa"/>
            <w:tcBorders>
              <w:top w:val="single" w:sz="4" w:space="0" w:color="000000"/>
              <w:left w:val="single" w:sz="4" w:space="0" w:color="000000"/>
              <w:bottom w:val="single" w:sz="4" w:space="0" w:color="000000"/>
            </w:tcBorders>
            <w:shd w:val="clear" w:color="auto" w:fill="auto"/>
          </w:tcPr>
          <w:p w14:paraId="5D01F4D1"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000000"/>
              <w:left w:val="single" w:sz="4" w:space="0" w:color="000000"/>
              <w:bottom w:val="single" w:sz="4" w:space="0" w:color="000000"/>
            </w:tcBorders>
            <w:shd w:val="clear" w:color="auto" w:fill="auto"/>
          </w:tcPr>
          <w:p w14:paraId="2F19D490"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000000"/>
              <w:left w:val="single" w:sz="4" w:space="0" w:color="000000"/>
              <w:bottom w:val="single" w:sz="4" w:space="0" w:color="000000"/>
            </w:tcBorders>
            <w:shd w:val="clear" w:color="auto" w:fill="auto"/>
          </w:tcPr>
          <w:p w14:paraId="0CFC5B9A"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4852DAC4"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000000"/>
              <w:left w:val="single" w:sz="4" w:space="0" w:color="000000"/>
              <w:bottom w:val="single" w:sz="4" w:space="0" w:color="000000"/>
            </w:tcBorders>
            <w:shd w:val="clear" w:color="auto" w:fill="auto"/>
          </w:tcPr>
          <w:p w14:paraId="2D9F7768"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59B4A154"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019DF779"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242B9C46"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3816EF91"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62F14D40"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000000"/>
              <w:left w:val="single" w:sz="4" w:space="0" w:color="000000"/>
              <w:bottom w:val="single" w:sz="4" w:space="0" w:color="000000"/>
            </w:tcBorders>
            <w:shd w:val="clear" w:color="auto" w:fill="auto"/>
          </w:tcPr>
          <w:p w14:paraId="5E2D81FD"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14:paraId="12E0BCC7" w14:textId="77777777" w:rsidR="00272D6C" w:rsidRPr="00272D6C" w:rsidRDefault="00272D6C" w:rsidP="00272D6C">
            <w:pPr>
              <w:suppressAutoHyphens/>
              <w:snapToGrid w:val="0"/>
              <w:rPr>
                <w:rFonts w:eastAsia="細明體" w:cs="Segoe UI"/>
                <w:sz w:val="16"/>
                <w:szCs w:val="16"/>
                <w:lang w:eastAsia="ar-SA"/>
              </w:rPr>
            </w:pPr>
          </w:p>
        </w:tc>
      </w:tr>
      <w:tr w:rsidR="00272D6C" w:rsidRPr="00272D6C" w14:paraId="3303A2FC" w14:textId="77777777" w:rsidTr="005171C5">
        <w:tc>
          <w:tcPr>
            <w:tcW w:w="2835" w:type="dxa"/>
            <w:gridSpan w:val="2"/>
            <w:tcBorders>
              <w:top w:val="single" w:sz="4" w:space="0" w:color="000000"/>
              <w:bottom w:val="single" w:sz="4" w:space="0" w:color="000000"/>
            </w:tcBorders>
            <w:shd w:val="clear" w:color="auto" w:fill="auto"/>
          </w:tcPr>
          <w:p w14:paraId="48FF36BB" w14:textId="77777777" w:rsidR="00272D6C" w:rsidRPr="00272D6C" w:rsidRDefault="00272D6C" w:rsidP="00272D6C">
            <w:pPr>
              <w:suppressAutoHyphens/>
              <w:snapToGrid w:val="0"/>
              <w:rPr>
                <w:rFonts w:eastAsia="細明體" w:cs="Segoe UI"/>
                <w:sz w:val="16"/>
                <w:szCs w:val="16"/>
                <w:lang w:eastAsia="ar-SA"/>
              </w:rPr>
            </w:pPr>
            <w:r w:rsidRPr="00272D6C">
              <w:rPr>
                <w:rFonts w:eastAsia="細明體" w:cs="Segoe UI" w:hint="eastAsia"/>
                <w:b/>
                <w:sz w:val="16"/>
                <w:szCs w:val="16"/>
                <w:lang w:eastAsia="ar-SA"/>
              </w:rPr>
              <w:t>總計（所有組合之和）</w:t>
            </w:r>
          </w:p>
        </w:tc>
        <w:tc>
          <w:tcPr>
            <w:tcW w:w="1051" w:type="dxa"/>
            <w:tcBorders>
              <w:top w:val="single" w:sz="4" w:space="0" w:color="000000"/>
              <w:left w:val="single" w:sz="4" w:space="0" w:color="000000"/>
              <w:bottom w:val="single" w:sz="4" w:space="0" w:color="000000"/>
            </w:tcBorders>
            <w:shd w:val="clear" w:color="auto" w:fill="auto"/>
          </w:tcPr>
          <w:p w14:paraId="01E38B30" w14:textId="77777777" w:rsidR="00272D6C" w:rsidRPr="00272D6C" w:rsidRDefault="00272D6C" w:rsidP="00272D6C">
            <w:pPr>
              <w:suppressAutoHyphens/>
              <w:snapToGrid w:val="0"/>
              <w:rPr>
                <w:rFonts w:eastAsia="細明體" w:cs="Segoe UI"/>
                <w:sz w:val="16"/>
                <w:szCs w:val="16"/>
                <w:lang w:eastAsia="ar-SA"/>
              </w:rPr>
            </w:pPr>
          </w:p>
        </w:tc>
        <w:tc>
          <w:tcPr>
            <w:tcW w:w="934" w:type="dxa"/>
            <w:tcBorders>
              <w:top w:val="single" w:sz="4" w:space="0" w:color="000000"/>
              <w:left w:val="single" w:sz="4" w:space="0" w:color="000000"/>
              <w:bottom w:val="single" w:sz="4" w:space="0" w:color="000000"/>
            </w:tcBorders>
            <w:shd w:val="clear" w:color="auto" w:fill="auto"/>
          </w:tcPr>
          <w:p w14:paraId="115F6F75" w14:textId="77777777" w:rsidR="00272D6C" w:rsidRPr="00272D6C" w:rsidRDefault="00272D6C" w:rsidP="00272D6C">
            <w:pPr>
              <w:suppressAutoHyphens/>
              <w:snapToGrid w:val="0"/>
              <w:rPr>
                <w:rFonts w:eastAsia="細明體" w:cs="Segoe UI"/>
                <w:sz w:val="16"/>
                <w:szCs w:val="16"/>
                <w:lang w:eastAsia="ar-SA"/>
              </w:rPr>
            </w:pPr>
          </w:p>
        </w:tc>
        <w:tc>
          <w:tcPr>
            <w:tcW w:w="885" w:type="dxa"/>
            <w:tcBorders>
              <w:top w:val="single" w:sz="4" w:space="0" w:color="000000"/>
              <w:left w:val="single" w:sz="4" w:space="0" w:color="000000"/>
              <w:bottom w:val="single" w:sz="4" w:space="0" w:color="000000"/>
            </w:tcBorders>
            <w:shd w:val="clear" w:color="auto" w:fill="auto"/>
          </w:tcPr>
          <w:p w14:paraId="154385C5" w14:textId="77777777" w:rsidR="00272D6C" w:rsidRPr="00272D6C" w:rsidRDefault="00272D6C" w:rsidP="00272D6C">
            <w:pPr>
              <w:suppressAutoHyphens/>
              <w:snapToGrid w:val="0"/>
              <w:rPr>
                <w:rFonts w:eastAsia="細明體" w:cs="Segoe UI"/>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5A6F8BC4" w14:textId="77777777" w:rsidR="00272D6C" w:rsidRPr="00272D6C" w:rsidRDefault="00272D6C" w:rsidP="00272D6C">
            <w:pPr>
              <w:suppressAutoHyphens/>
              <w:snapToGrid w:val="0"/>
              <w:rPr>
                <w:rFonts w:eastAsia="細明體" w:cs="Segoe UI"/>
                <w:sz w:val="16"/>
                <w:szCs w:val="16"/>
                <w:lang w:eastAsia="ar-SA"/>
              </w:rPr>
            </w:pPr>
          </w:p>
        </w:tc>
        <w:tc>
          <w:tcPr>
            <w:tcW w:w="861" w:type="dxa"/>
            <w:tcBorders>
              <w:top w:val="single" w:sz="4" w:space="0" w:color="000000"/>
              <w:left w:val="single" w:sz="4" w:space="0" w:color="000000"/>
              <w:bottom w:val="single" w:sz="4" w:space="0" w:color="000000"/>
            </w:tcBorders>
            <w:shd w:val="clear" w:color="auto" w:fill="auto"/>
          </w:tcPr>
          <w:p w14:paraId="0451B6B3"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4DDA91FF"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551FBA7A"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3D41C82A" w14:textId="77777777" w:rsidR="00272D6C" w:rsidRPr="00272D6C" w:rsidRDefault="00272D6C" w:rsidP="00272D6C">
            <w:pPr>
              <w:suppressAutoHyphens/>
              <w:snapToGrid w:val="0"/>
              <w:rPr>
                <w:rFonts w:eastAsia="細明體" w:cs="Segoe UI"/>
                <w:sz w:val="16"/>
                <w:szCs w:val="16"/>
                <w:lang w:eastAsia="ar-SA"/>
              </w:rPr>
            </w:pPr>
          </w:p>
        </w:tc>
        <w:tc>
          <w:tcPr>
            <w:tcW w:w="910" w:type="dxa"/>
            <w:tcBorders>
              <w:top w:val="single" w:sz="4" w:space="0" w:color="000000"/>
              <w:left w:val="single" w:sz="4" w:space="0" w:color="000000"/>
              <w:bottom w:val="single" w:sz="4" w:space="0" w:color="000000"/>
            </w:tcBorders>
            <w:shd w:val="clear" w:color="auto" w:fill="auto"/>
          </w:tcPr>
          <w:p w14:paraId="1FA8D80A" w14:textId="77777777" w:rsidR="00272D6C" w:rsidRPr="00272D6C" w:rsidRDefault="00272D6C" w:rsidP="00272D6C">
            <w:pPr>
              <w:suppressAutoHyphens/>
              <w:snapToGrid w:val="0"/>
              <w:rPr>
                <w:rFonts w:eastAsia="細明體" w:cs="Segoe UI"/>
                <w:sz w:val="16"/>
                <w:szCs w:val="16"/>
                <w:lang w:eastAsia="ar-SA"/>
              </w:rPr>
            </w:pPr>
          </w:p>
        </w:tc>
        <w:tc>
          <w:tcPr>
            <w:tcW w:w="909" w:type="dxa"/>
            <w:tcBorders>
              <w:top w:val="single" w:sz="4" w:space="0" w:color="000000"/>
              <w:left w:val="single" w:sz="4" w:space="0" w:color="000000"/>
              <w:bottom w:val="single" w:sz="4" w:space="0" w:color="000000"/>
            </w:tcBorders>
            <w:shd w:val="clear" w:color="auto" w:fill="auto"/>
          </w:tcPr>
          <w:p w14:paraId="2B74B6E0" w14:textId="77777777" w:rsidR="00272D6C" w:rsidRPr="00272D6C" w:rsidRDefault="00272D6C" w:rsidP="00272D6C">
            <w:pPr>
              <w:suppressAutoHyphens/>
              <w:snapToGrid w:val="0"/>
              <w:rPr>
                <w:rFonts w:eastAsia="細明體" w:cs="Segoe UI"/>
                <w:sz w:val="16"/>
                <w:szCs w:val="16"/>
                <w:lang w:eastAsia="ar-SA"/>
              </w:rPr>
            </w:pPr>
          </w:p>
        </w:tc>
        <w:tc>
          <w:tcPr>
            <w:tcW w:w="828" w:type="dxa"/>
            <w:tcBorders>
              <w:top w:val="single" w:sz="4" w:space="0" w:color="000000"/>
              <w:left w:val="single" w:sz="4" w:space="0" w:color="000000"/>
              <w:bottom w:val="single" w:sz="4" w:space="0" w:color="000000"/>
            </w:tcBorders>
            <w:shd w:val="clear" w:color="auto" w:fill="auto"/>
          </w:tcPr>
          <w:p w14:paraId="37986E8A" w14:textId="77777777" w:rsidR="00272D6C" w:rsidRPr="00272D6C" w:rsidRDefault="00272D6C" w:rsidP="00272D6C">
            <w:pPr>
              <w:suppressAutoHyphens/>
              <w:snapToGrid w:val="0"/>
              <w:rPr>
                <w:rFonts w:eastAsia="細明體" w:cs="Segoe UI"/>
                <w:sz w:val="16"/>
                <w:szCs w:val="16"/>
                <w:lang w:eastAsia="ar-SA"/>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tcPr>
          <w:p w14:paraId="6DD582B1" w14:textId="77777777" w:rsidR="00272D6C" w:rsidRPr="00272D6C" w:rsidRDefault="00272D6C" w:rsidP="00272D6C">
            <w:pPr>
              <w:suppressAutoHyphens/>
              <w:snapToGrid w:val="0"/>
              <w:rPr>
                <w:rFonts w:eastAsia="細明體" w:cs="Segoe UI"/>
                <w:sz w:val="16"/>
                <w:szCs w:val="16"/>
                <w:lang w:eastAsia="ar-SA"/>
              </w:rPr>
            </w:pPr>
          </w:p>
        </w:tc>
      </w:tr>
    </w:tbl>
    <w:p w14:paraId="2D905991" w14:textId="77777777" w:rsidR="00272D6C" w:rsidRPr="00272D6C" w:rsidRDefault="00272D6C" w:rsidP="00272D6C">
      <w:pPr>
        <w:suppressAutoHyphens/>
        <w:spacing w:before="40" w:after="40"/>
        <w:rPr>
          <w:rFonts w:eastAsia="細明體" w:cs="Segoe UI"/>
          <w:sz w:val="22"/>
          <w:lang w:eastAsia="ar-SA"/>
        </w:rPr>
      </w:pPr>
    </w:p>
    <w:tbl>
      <w:tblPr>
        <w:tblW w:w="0" w:type="auto"/>
        <w:tblInd w:w="108" w:type="dxa"/>
        <w:tblLayout w:type="fixed"/>
        <w:tblLook w:val="0000" w:firstRow="0" w:lastRow="0" w:firstColumn="0" w:lastColumn="0" w:noHBand="0" w:noVBand="0"/>
      </w:tblPr>
      <w:tblGrid>
        <w:gridCol w:w="851"/>
        <w:gridCol w:w="13061"/>
      </w:tblGrid>
      <w:tr w:rsidR="00272D6C" w:rsidRPr="00272D6C" w14:paraId="54CAC01F" w14:textId="77777777" w:rsidTr="005171C5">
        <w:trPr>
          <w:cantSplit/>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5C8D61C"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szCs w:val="17"/>
                <w:lang w:eastAsia="ar-SA"/>
              </w:rPr>
              <w:t>註釋</w:t>
            </w:r>
          </w:p>
        </w:tc>
      </w:tr>
      <w:tr w:rsidR="00272D6C" w:rsidRPr="00272D6C" w14:paraId="0B1FC6AA" w14:textId="77777777" w:rsidTr="005171C5">
        <w:trPr>
          <w:cantSplit/>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13937D6"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szCs w:val="17"/>
                <w:lang w:eastAsia="ar-SA"/>
              </w:rPr>
              <w:t>欄</w:t>
            </w:r>
          </w:p>
        </w:tc>
      </w:tr>
      <w:tr w:rsidR="00272D6C" w:rsidRPr="00272D6C" w14:paraId="077BEA52"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5D152AE5"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PD</w:t>
            </w:r>
            <w:r w:rsidRPr="00923C3F">
              <w:rPr>
                <w:rFonts w:eastAsia="細明體" w:cs="Segoe UI" w:hint="eastAsia"/>
                <w:sz w:val="17"/>
                <w:szCs w:val="17"/>
                <w:lang w:eastAsia="ar-SA"/>
              </w:rPr>
              <w:t>等級</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101B6EF2"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sz w:val="17"/>
                <w:szCs w:val="17"/>
                <w:lang w:eastAsia="ar-SA"/>
              </w:rPr>
              <w:t>PD</w:t>
            </w:r>
            <w:r w:rsidRPr="00272D6C">
              <w:rPr>
                <w:rFonts w:eastAsia="細明體" w:cs="Segoe UI" w:hint="eastAsia"/>
                <w:sz w:val="17"/>
                <w:szCs w:val="17"/>
                <w:lang w:eastAsia="ar-SA"/>
              </w:rPr>
              <w:t>等級不得更改。認可機構應將其計算風險加權數額所採用的</w:t>
            </w:r>
            <w:r w:rsidRPr="00272D6C">
              <w:rPr>
                <w:rFonts w:eastAsia="細明體" w:cs="Segoe UI"/>
                <w:sz w:val="17"/>
                <w:szCs w:val="17"/>
                <w:lang w:eastAsia="ar-SA"/>
              </w:rPr>
              <w:t>PD</w:t>
            </w:r>
            <w:r w:rsidRPr="00272D6C">
              <w:rPr>
                <w:rFonts w:eastAsia="細明體" w:cs="Segoe UI" w:hint="eastAsia"/>
                <w:sz w:val="17"/>
                <w:szCs w:val="17"/>
                <w:lang w:eastAsia="ar-SA"/>
              </w:rPr>
              <w:t>等級配</w:t>
            </w:r>
            <w:r w:rsidRPr="00272D6C">
              <w:rPr>
                <w:rFonts w:ascii="Calibri" w:eastAsia="細明體" w:hAnsi="Calibri" w:hint="eastAsia"/>
                <w:sz w:val="17"/>
                <w:szCs w:val="17"/>
                <w:lang w:eastAsia="zh-TW"/>
              </w:rPr>
              <w:t>予</w:t>
            </w:r>
            <w:r w:rsidRPr="00272D6C">
              <w:rPr>
                <w:rFonts w:eastAsia="細明體" w:cs="Segoe UI" w:hint="eastAsia"/>
                <w:sz w:val="17"/>
                <w:szCs w:val="17"/>
                <w:lang w:eastAsia="ar-SA"/>
              </w:rPr>
              <w:t>本模版所提供的</w:t>
            </w:r>
            <w:r w:rsidRPr="00272D6C">
              <w:rPr>
                <w:rFonts w:eastAsia="細明體" w:cs="Segoe UI"/>
                <w:sz w:val="17"/>
                <w:szCs w:val="17"/>
                <w:lang w:eastAsia="ar-SA"/>
              </w:rPr>
              <w:t>PD</w:t>
            </w:r>
            <w:r w:rsidRPr="00272D6C">
              <w:rPr>
                <w:rFonts w:eastAsia="細明體" w:cs="Segoe UI" w:hint="eastAsia"/>
                <w:sz w:val="17"/>
                <w:szCs w:val="17"/>
                <w:lang w:eastAsia="ar-SA"/>
              </w:rPr>
              <w:t>等級。</w:t>
            </w:r>
          </w:p>
        </w:tc>
      </w:tr>
      <w:tr w:rsidR="00272D6C" w:rsidRPr="00272D6C" w14:paraId="1F42263E"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37D90C4E"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(a)</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1CB9CEE0"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最初資產負債表內總風險承擔</w:t>
            </w:r>
            <w:r w:rsidRPr="00272D6C">
              <w:rPr>
                <w:rFonts w:eastAsia="細明體" w:cs="Segoe UI" w:hint="eastAsia"/>
                <w:sz w:val="17"/>
                <w:szCs w:val="17"/>
                <w:lang w:eastAsia="ar-SA"/>
              </w:rPr>
              <w:t>：</w:t>
            </w:r>
            <w:r w:rsidRPr="00272D6C">
              <w:rPr>
                <w:rFonts w:eastAsia="細明體" w:cs="Segoe UI" w:hint="eastAsia"/>
                <w:sz w:val="17"/>
                <w:szCs w:val="17"/>
                <w:lang w:eastAsia="zh-TW"/>
              </w:rPr>
              <w:t>未</w:t>
            </w:r>
            <w:r w:rsidRPr="00272D6C">
              <w:rPr>
                <w:rFonts w:eastAsia="細明體" w:cs="Segoe UI" w:hint="eastAsia"/>
                <w:sz w:val="17"/>
                <w:szCs w:val="17"/>
                <w:lang w:eastAsia="ar-SA"/>
              </w:rPr>
              <w:t>扣除會計準備金的資產負債表內風險承擔（</w:t>
            </w:r>
            <w:r w:rsidRPr="00272D6C">
              <w:rPr>
                <w:rFonts w:eastAsia="細明體" w:cs="Segoe UI" w:hint="eastAsia"/>
                <w:sz w:val="17"/>
                <w:szCs w:val="17"/>
                <w:lang w:eastAsia="zh-TW"/>
              </w:rPr>
              <w:t>未將</w:t>
            </w:r>
            <w:r w:rsidRPr="00272D6C">
              <w:rPr>
                <w:rFonts w:eastAsia="細明體" w:cs="Segoe UI" w:hint="eastAsia"/>
                <w:sz w:val="17"/>
                <w:szCs w:val="17"/>
                <w:lang w:eastAsia="ar-SA"/>
              </w:rPr>
              <w:t>認可減低信用風險措施的效果</w:t>
            </w:r>
            <w:r w:rsidRPr="00272D6C">
              <w:rPr>
                <w:rFonts w:eastAsia="細明體" w:hAnsi="Calibri" w:cs="Segoe UI" w:hint="eastAsia"/>
                <w:bCs/>
                <w:sz w:val="17"/>
                <w:szCs w:val="17"/>
                <w:lang w:eastAsia="zh-TW"/>
              </w:rPr>
              <w:t>計算在內</w:t>
            </w:r>
            <w:r w:rsidRPr="00272D6C">
              <w:rPr>
                <w:rFonts w:eastAsia="細明體" w:cs="Segoe UI" w:hint="eastAsia"/>
                <w:sz w:val="17"/>
                <w:szCs w:val="17"/>
                <w:lang w:eastAsia="ar-SA"/>
              </w:rPr>
              <w:t>）。</w:t>
            </w:r>
          </w:p>
        </w:tc>
      </w:tr>
      <w:tr w:rsidR="00272D6C" w:rsidRPr="00272D6C" w14:paraId="666FB0AD"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47C1DB36"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(b)</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7303736A" w14:textId="77777777" w:rsidR="00272D6C" w:rsidRPr="00272D6C" w:rsidRDefault="00272D6C" w:rsidP="00272D6C">
            <w:pPr>
              <w:suppressAutoHyphens/>
              <w:autoSpaceDE w:val="0"/>
              <w:rPr>
                <w:rFonts w:cs="Segoe UI"/>
                <w:lang w:eastAsia="ar-SA"/>
              </w:rPr>
            </w:pPr>
            <w:r w:rsidRPr="00272D6C">
              <w:rPr>
                <w:rFonts w:eastAsia="細明體" w:cs="Segoe UI" w:hint="eastAsia"/>
                <w:i/>
                <w:sz w:val="16"/>
                <w:szCs w:val="16"/>
                <w:lang w:eastAsia="zh-TW"/>
              </w:rPr>
              <w:t>未將</w:t>
            </w:r>
            <w:r w:rsidRPr="00272D6C">
              <w:rPr>
                <w:rFonts w:eastAsia="細明體" w:cs="Segoe UI"/>
                <w:i/>
                <w:sz w:val="16"/>
                <w:szCs w:val="16"/>
                <w:lang w:eastAsia="ar-SA"/>
              </w:rPr>
              <w:t>CCF</w:t>
            </w:r>
            <w:r w:rsidRPr="00272D6C">
              <w:rPr>
                <w:rFonts w:eastAsia="細明體" w:cs="Segoe UI" w:hint="eastAsia"/>
                <w:i/>
                <w:sz w:val="16"/>
                <w:szCs w:val="16"/>
                <w:lang w:eastAsia="zh-TW"/>
              </w:rPr>
              <w:t>計算在內</w:t>
            </w:r>
            <w:r w:rsidRPr="00272D6C">
              <w:rPr>
                <w:rFonts w:eastAsia="細明體" w:cs="Segoe UI" w:hint="eastAsia"/>
                <w:i/>
                <w:sz w:val="16"/>
                <w:szCs w:val="16"/>
                <w:lang w:eastAsia="ar-SA"/>
              </w:rPr>
              <w:t>的資產負債表外風險承擔</w:t>
            </w:r>
            <w:r w:rsidRPr="00272D6C">
              <w:rPr>
                <w:rFonts w:eastAsia="細明體" w:cs="Segoe UI" w:hint="eastAsia"/>
                <w:sz w:val="17"/>
                <w:szCs w:val="17"/>
                <w:lang w:eastAsia="ar-SA"/>
              </w:rPr>
              <w:t>：視情況而定，按照《資本規則》第</w:t>
            </w:r>
            <w:r w:rsidRPr="00272D6C">
              <w:rPr>
                <w:rFonts w:eastAsia="細明體" w:cs="Segoe UI" w:hint="eastAsia"/>
                <w:sz w:val="17"/>
                <w:szCs w:val="17"/>
                <w:lang w:eastAsia="ar-SA"/>
              </w:rPr>
              <w:t>6</w:t>
            </w:r>
            <w:r w:rsidRPr="00272D6C">
              <w:rPr>
                <w:rFonts w:eastAsia="細明體" w:cs="Segoe UI" w:hint="eastAsia"/>
                <w:sz w:val="17"/>
                <w:szCs w:val="17"/>
                <w:lang w:eastAsia="ar-SA"/>
              </w:rPr>
              <w:t>部的</w:t>
            </w:r>
            <w:r w:rsidRPr="00272D6C">
              <w:rPr>
                <w:rFonts w:eastAsia="細明體" w:cs="Segoe UI"/>
                <w:sz w:val="17"/>
                <w:szCs w:val="17"/>
                <w:lang w:eastAsia="ar-SA"/>
              </w:rPr>
              <w:t>規定</w:t>
            </w:r>
            <w:r w:rsidRPr="00272D6C">
              <w:rPr>
                <w:rFonts w:eastAsia="細明體" w:cs="Segoe UI" w:hint="eastAsia"/>
                <w:sz w:val="17"/>
                <w:szCs w:val="17"/>
                <w:lang w:eastAsia="ar-SA"/>
              </w:rPr>
              <w:t>斷定，並未</w:t>
            </w:r>
            <w:r w:rsidRPr="00272D6C">
              <w:rPr>
                <w:rFonts w:eastAsia="細明體" w:cs="Segoe UI" w:hint="eastAsia"/>
                <w:sz w:val="17"/>
                <w:szCs w:val="17"/>
                <w:lang w:eastAsia="zh-TW"/>
              </w:rPr>
              <w:t>將</w:t>
            </w:r>
            <w:r w:rsidRPr="00272D6C">
              <w:rPr>
                <w:rFonts w:eastAsia="細明體" w:cs="Segoe UI" w:hint="eastAsia"/>
                <w:sz w:val="17"/>
                <w:szCs w:val="17"/>
                <w:lang w:eastAsia="ar-SA"/>
              </w:rPr>
              <w:t>信用估值調整及準備金、</w:t>
            </w:r>
            <w:r w:rsidRPr="00272D6C">
              <w:rPr>
                <w:rFonts w:eastAsia="細明體" w:cs="Segoe UI"/>
                <w:sz w:val="17"/>
                <w:szCs w:val="17"/>
                <w:lang w:eastAsia="ar-SA"/>
              </w:rPr>
              <w:t>CCF</w:t>
            </w:r>
            <w:r w:rsidRPr="00272D6C">
              <w:rPr>
                <w:rFonts w:eastAsia="細明體" w:cs="Segoe UI" w:hint="eastAsia"/>
                <w:sz w:val="17"/>
                <w:szCs w:val="17"/>
                <w:lang w:eastAsia="ar-SA"/>
              </w:rPr>
              <w:t>及</w:t>
            </w:r>
            <w:r w:rsidRPr="00272D6C">
              <w:rPr>
                <w:rFonts w:eastAsia="細明體" w:cs="Segoe UI"/>
                <w:sz w:val="17"/>
                <w:szCs w:val="17"/>
                <w:lang w:eastAsia="ar-SA"/>
              </w:rPr>
              <w:t>認可減低信用風險措施的效果</w:t>
            </w:r>
            <w:r w:rsidRPr="00272D6C">
              <w:rPr>
                <w:rFonts w:eastAsia="細明體" w:hAnsi="Calibri" w:cs="Segoe UI" w:hint="eastAsia"/>
                <w:bCs/>
                <w:sz w:val="17"/>
                <w:szCs w:val="17"/>
                <w:lang w:eastAsia="zh-TW"/>
              </w:rPr>
              <w:t>計算在內</w:t>
            </w:r>
            <w:r w:rsidRPr="00272D6C">
              <w:rPr>
                <w:rFonts w:eastAsia="細明體" w:cs="Segoe UI"/>
                <w:sz w:val="17"/>
                <w:szCs w:val="17"/>
                <w:lang w:eastAsia="ar-SA"/>
              </w:rPr>
              <w:t>的風險承擔值</w:t>
            </w:r>
            <w:r w:rsidRPr="00272D6C">
              <w:rPr>
                <w:rFonts w:eastAsia="細明體" w:cs="Segoe UI" w:hint="eastAsia"/>
                <w:sz w:val="17"/>
                <w:szCs w:val="17"/>
                <w:lang w:eastAsia="ar-SA"/>
              </w:rPr>
              <w:t>。</w:t>
            </w:r>
          </w:p>
        </w:tc>
      </w:tr>
      <w:tr w:rsidR="00272D6C" w:rsidRPr="00272D6C" w14:paraId="2EACDF03"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65D9D0C2"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(c)</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702AA29A"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平均</w:t>
            </w:r>
            <w:r w:rsidRPr="00272D6C">
              <w:rPr>
                <w:rFonts w:eastAsia="細明體" w:cs="Segoe UI"/>
                <w:i/>
                <w:sz w:val="17"/>
                <w:szCs w:val="17"/>
                <w:lang w:eastAsia="ar-SA"/>
              </w:rPr>
              <w:t>CCF</w:t>
            </w:r>
            <w:r w:rsidRPr="00272D6C">
              <w:rPr>
                <w:rFonts w:eastAsia="細明體" w:cs="Segoe UI" w:hint="eastAsia"/>
                <w:sz w:val="17"/>
                <w:szCs w:val="17"/>
                <w:lang w:eastAsia="ar-SA"/>
              </w:rPr>
              <w:t>：按照《資本規則》的</w:t>
            </w:r>
            <w:r w:rsidRPr="00272D6C">
              <w:rPr>
                <w:rFonts w:eastAsia="細明體" w:cs="Segoe UI"/>
                <w:sz w:val="17"/>
                <w:szCs w:val="17"/>
                <w:lang w:eastAsia="ar-SA"/>
              </w:rPr>
              <w:t>規定</w:t>
            </w:r>
            <w:r w:rsidRPr="00272D6C">
              <w:rPr>
                <w:rFonts w:eastAsia="細明體" w:cs="Segoe UI" w:hint="eastAsia"/>
                <w:sz w:val="17"/>
                <w:szCs w:val="17"/>
                <w:lang w:eastAsia="ar-SA"/>
              </w:rPr>
              <w:t>斷定，將已</w:t>
            </w:r>
            <w:r w:rsidRPr="00272D6C">
              <w:rPr>
                <w:rFonts w:eastAsia="細明體" w:cs="Segoe UI" w:hint="eastAsia"/>
                <w:sz w:val="17"/>
                <w:szCs w:val="17"/>
                <w:lang w:eastAsia="zh-TW"/>
              </w:rPr>
              <w:t>將</w:t>
            </w:r>
            <w:r w:rsidRPr="00272D6C">
              <w:rPr>
                <w:rFonts w:eastAsia="細明體" w:cs="Segoe UI"/>
                <w:sz w:val="17"/>
                <w:szCs w:val="17"/>
                <w:lang w:eastAsia="ar-SA"/>
              </w:rPr>
              <w:t>CCF</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的</w:t>
            </w:r>
            <w:r w:rsidRPr="00272D6C">
              <w:rPr>
                <w:rFonts w:eastAsia="細明體" w:cs="Segoe UI"/>
                <w:sz w:val="17"/>
                <w:szCs w:val="17"/>
                <w:lang w:eastAsia="ar-SA"/>
              </w:rPr>
              <w:t>資產負債表外風險承擔</w:t>
            </w:r>
            <w:r w:rsidRPr="00272D6C">
              <w:rPr>
                <w:rFonts w:eastAsia="細明體" w:cs="Segoe UI" w:hint="eastAsia"/>
                <w:sz w:val="17"/>
                <w:szCs w:val="17"/>
                <w:lang w:eastAsia="ar-SA"/>
              </w:rPr>
              <w:t>的</w:t>
            </w:r>
            <w:r w:rsidRPr="00272D6C">
              <w:rPr>
                <w:rFonts w:eastAsia="細明體" w:cs="Segoe UI"/>
                <w:sz w:val="17"/>
                <w:szCs w:val="17"/>
                <w:lang w:eastAsia="ar-SA"/>
              </w:rPr>
              <w:t>EAD</w:t>
            </w:r>
            <w:r w:rsidRPr="00272D6C">
              <w:rPr>
                <w:rFonts w:eastAsia="細明體" w:cs="Segoe UI" w:hint="eastAsia"/>
                <w:sz w:val="17"/>
                <w:szCs w:val="17"/>
                <w:lang w:eastAsia="ar-SA"/>
              </w:rPr>
              <w:t>除以未</w:t>
            </w:r>
            <w:r w:rsidRPr="00272D6C">
              <w:rPr>
                <w:rFonts w:eastAsia="細明體" w:cs="Segoe UI" w:hint="eastAsia"/>
                <w:sz w:val="17"/>
                <w:szCs w:val="17"/>
                <w:lang w:eastAsia="zh-TW"/>
              </w:rPr>
              <w:t>將</w:t>
            </w:r>
            <w:r w:rsidRPr="00272D6C">
              <w:rPr>
                <w:rFonts w:eastAsia="細明體" w:cs="Segoe UI"/>
                <w:sz w:val="17"/>
                <w:szCs w:val="17"/>
                <w:lang w:eastAsia="ar-SA"/>
              </w:rPr>
              <w:t>CCF</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的資產負債表外風險承擔的</w:t>
            </w:r>
            <w:r w:rsidRPr="00272D6C">
              <w:rPr>
                <w:rFonts w:eastAsia="細明體" w:cs="Segoe UI"/>
                <w:sz w:val="17"/>
                <w:szCs w:val="17"/>
                <w:lang w:eastAsia="ar-SA"/>
              </w:rPr>
              <w:t>EAD</w:t>
            </w:r>
            <w:r w:rsidRPr="00272D6C">
              <w:rPr>
                <w:rFonts w:eastAsia="細明體" w:cs="Segoe UI" w:hint="eastAsia"/>
                <w:sz w:val="17"/>
                <w:szCs w:val="17"/>
                <w:lang w:eastAsia="ar-SA"/>
              </w:rPr>
              <w:t>。</w:t>
            </w:r>
          </w:p>
        </w:tc>
      </w:tr>
      <w:tr w:rsidR="00272D6C" w:rsidRPr="00272D6C" w14:paraId="3EFCB346"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38F453AD"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(d)</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103AE8AB"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6"/>
                <w:szCs w:val="16"/>
                <w:lang w:eastAsia="zh-TW"/>
              </w:rPr>
              <w:t>已將</w:t>
            </w:r>
            <w:r w:rsidRPr="00272D6C">
              <w:rPr>
                <w:rFonts w:eastAsia="細明體" w:cs="Segoe UI" w:hint="eastAsia"/>
                <w:i/>
                <w:sz w:val="16"/>
                <w:szCs w:val="16"/>
                <w:lang w:eastAsia="ar-SA"/>
              </w:rPr>
              <w:t>減低信用風險措施及</w:t>
            </w:r>
            <w:r w:rsidRPr="00272D6C">
              <w:rPr>
                <w:rFonts w:eastAsia="細明體" w:cs="Segoe UI"/>
                <w:i/>
                <w:sz w:val="16"/>
                <w:szCs w:val="16"/>
                <w:lang w:eastAsia="ar-SA"/>
              </w:rPr>
              <w:t>CCF</w:t>
            </w:r>
            <w:r w:rsidRPr="00272D6C">
              <w:rPr>
                <w:rFonts w:eastAsia="細明體" w:cs="Segoe UI" w:hint="eastAsia"/>
                <w:i/>
                <w:sz w:val="16"/>
                <w:szCs w:val="16"/>
                <w:lang w:eastAsia="zh-TW"/>
              </w:rPr>
              <w:t>計算在內</w:t>
            </w:r>
            <w:r w:rsidRPr="00272D6C">
              <w:rPr>
                <w:rFonts w:eastAsia="細明體" w:cs="Segoe UI" w:hint="eastAsia"/>
                <w:i/>
                <w:sz w:val="16"/>
                <w:szCs w:val="16"/>
                <w:lang w:eastAsia="ar-SA"/>
              </w:rPr>
              <w:t>的</w:t>
            </w:r>
            <w:r w:rsidRPr="00272D6C">
              <w:rPr>
                <w:rFonts w:eastAsia="細明體" w:cs="Segoe UI"/>
                <w:i/>
                <w:sz w:val="16"/>
                <w:szCs w:val="16"/>
                <w:lang w:eastAsia="ar-SA"/>
              </w:rPr>
              <w:t>EAD</w:t>
            </w:r>
            <w:r w:rsidRPr="00272D6C">
              <w:rPr>
                <w:rFonts w:eastAsia="細明體" w:cs="Segoe UI" w:hint="eastAsia"/>
                <w:sz w:val="17"/>
                <w:szCs w:val="17"/>
                <w:lang w:eastAsia="ar-SA"/>
              </w:rPr>
              <w:t>：按照</w:t>
            </w:r>
            <w:r w:rsidRPr="00272D6C">
              <w:rPr>
                <w:rFonts w:eastAsia="細明體" w:cs="Segoe UI"/>
                <w:sz w:val="17"/>
                <w:szCs w:val="17"/>
                <w:lang w:eastAsia="ar-SA"/>
              </w:rPr>
              <w:t>《資本規則》</w:t>
            </w:r>
            <w:r w:rsidRPr="00272D6C">
              <w:rPr>
                <w:rFonts w:eastAsia="細明體" w:cs="Segoe UI" w:hint="eastAsia"/>
                <w:sz w:val="17"/>
                <w:szCs w:val="17"/>
                <w:lang w:eastAsia="ar-SA"/>
              </w:rPr>
              <w:t>斷定並與計算資本規定相關的數額。</w:t>
            </w:r>
          </w:p>
        </w:tc>
      </w:tr>
      <w:tr w:rsidR="00272D6C" w:rsidRPr="00272D6C" w14:paraId="67F9CDBC"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7F766562"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(e)</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7C1C6273"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平均</w:t>
            </w:r>
            <w:r w:rsidRPr="00272D6C">
              <w:rPr>
                <w:rFonts w:eastAsia="細明體" w:cs="Segoe UI"/>
                <w:i/>
                <w:sz w:val="17"/>
                <w:szCs w:val="17"/>
                <w:lang w:eastAsia="ar-SA"/>
              </w:rPr>
              <w:t>PD</w:t>
            </w:r>
            <w:r w:rsidRPr="00272D6C">
              <w:rPr>
                <w:rFonts w:eastAsia="細明體" w:cs="Segoe UI" w:hint="eastAsia"/>
                <w:sz w:val="17"/>
                <w:szCs w:val="17"/>
                <w:lang w:eastAsia="ar-SA"/>
              </w:rPr>
              <w:t>：於同一行內的承擔義務人等級</w:t>
            </w:r>
            <w:r w:rsidRPr="00272D6C">
              <w:rPr>
                <w:rFonts w:eastAsia="細明體" w:cs="Segoe UI"/>
                <w:sz w:val="17"/>
                <w:szCs w:val="17"/>
                <w:lang w:eastAsia="ar-SA"/>
              </w:rPr>
              <w:t>PD</w:t>
            </w:r>
            <w:r w:rsidRPr="00272D6C">
              <w:rPr>
                <w:rFonts w:eastAsia="細明體" w:cs="Segoe UI" w:hint="eastAsia"/>
                <w:sz w:val="17"/>
                <w:szCs w:val="17"/>
                <w:lang w:eastAsia="ar-SA"/>
              </w:rPr>
              <w:t>的加權平均數，並以每名承擔義務人的</w:t>
            </w:r>
            <w:r w:rsidRPr="00272D6C">
              <w:rPr>
                <w:rFonts w:eastAsia="細明體" w:cs="Segoe UI"/>
                <w:sz w:val="17"/>
                <w:szCs w:val="17"/>
                <w:lang w:eastAsia="ar-SA"/>
              </w:rPr>
              <w:t>EAD</w:t>
            </w:r>
            <w:r w:rsidRPr="00272D6C">
              <w:rPr>
                <w:rFonts w:eastAsia="細明體" w:cs="Segoe UI"/>
                <w:sz w:val="17"/>
                <w:szCs w:val="17"/>
                <w:lang w:eastAsia="ar-SA"/>
              </w:rPr>
              <w:t>作</w:t>
            </w:r>
            <w:r w:rsidRPr="00272D6C">
              <w:rPr>
                <w:rFonts w:eastAsia="細明體" w:cs="Segoe UI" w:hint="eastAsia"/>
                <w:sz w:val="17"/>
                <w:szCs w:val="17"/>
                <w:lang w:eastAsia="ar-SA"/>
              </w:rPr>
              <w:t>為權重。</w:t>
            </w:r>
          </w:p>
        </w:tc>
      </w:tr>
      <w:tr w:rsidR="00272D6C" w:rsidRPr="00272D6C" w14:paraId="32977517"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75569E27"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(f)</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16FE3DD9"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承擔義務人數目</w:t>
            </w:r>
            <w:r w:rsidRPr="00272D6C">
              <w:rPr>
                <w:rFonts w:eastAsia="細明體" w:cs="Segoe UI" w:hint="eastAsia"/>
                <w:sz w:val="17"/>
                <w:szCs w:val="17"/>
                <w:lang w:eastAsia="ar-SA"/>
              </w:rPr>
              <w:t>：於同一</w:t>
            </w:r>
            <w:r w:rsidRPr="00272D6C">
              <w:rPr>
                <w:rFonts w:eastAsia="細明體" w:cs="Segoe UI"/>
                <w:sz w:val="17"/>
                <w:szCs w:val="17"/>
                <w:lang w:eastAsia="ar-SA"/>
              </w:rPr>
              <w:t>行內的個別</w:t>
            </w:r>
            <w:r w:rsidRPr="00272D6C">
              <w:rPr>
                <w:rFonts w:eastAsia="細明體" w:cs="Segoe UI" w:hint="eastAsia"/>
                <w:sz w:val="17"/>
                <w:szCs w:val="17"/>
                <w:lang w:eastAsia="ar-SA"/>
              </w:rPr>
              <w:t>承擔義務</w:t>
            </w:r>
            <w:r w:rsidRPr="00272D6C">
              <w:rPr>
                <w:rFonts w:eastAsia="細明體" w:cs="Segoe UI"/>
                <w:sz w:val="16"/>
                <w:szCs w:val="16"/>
                <w:lang w:eastAsia="ar-SA"/>
              </w:rPr>
              <w:t>人</w:t>
            </w:r>
            <w:r w:rsidRPr="00272D6C">
              <w:rPr>
                <w:rFonts w:eastAsia="細明體" w:cs="Segoe UI" w:hint="eastAsia"/>
                <w:sz w:val="17"/>
                <w:szCs w:val="17"/>
                <w:lang w:eastAsia="ar-SA"/>
              </w:rPr>
              <w:t>的數目。為披露目的，</w:t>
            </w:r>
            <w:r w:rsidRPr="00272D6C">
              <w:rPr>
                <w:rFonts w:eastAsia="細明體" w:cs="Segoe UI" w:hint="eastAsia"/>
                <w:sz w:val="17"/>
                <w:szCs w:val="17"/>
                <w:lang w:eastAsia="zh-TW"/>
              </w:rPr>
              <w:t>可以</w:t>
            </w:r>
            <w:r w:rsidRPr="00272D6C">
              <w:rPr>
                <w:rFonts w:eastAsia="細明體" w:cs="Segoe UI" w:hint="eastAsia"/>
                <w:sz w:val="17"/>
                <w:szCs w:val="17"/>
                <w:lang w:eastAsia="ar-SA"/>
              </w:rPr>
              <w:t>近似值（約數）</w:t>
            </w:r>
            <w:r w:rsidRPr="00272D6C">
              <w:rPr>
                <w:rFonts w:eastAsia="細明體" w:cs="Segoe UI" w:hint="eastAsia"/>
                <w:sz w:val="17"/>
                <w:szCs w:val="17"/>
                <w:lang w:eastAsia="zh-TW"/>
              </w:rPr>
              <w:t>填報</w:t>
            </w:r>
            <w:r w:rsidRPr="00272D6C">
              <w:rPr>
                <w:rFonts w:eastAsia="細明體" w:cs="Segoe UI" w:hint="eastAsia"/>
                <w:sz w:val="17"/>
                <w:szCs w:val="17"/>
                <w:lang w:eastAsia="ar-SA"/>
              </w:rPr>
              <w:t>承擔義務</w:t>
            </w:r>
            <w:r w:rsidRPr="00272D6C">
              <w:rPr>
                <w:rFonts w:eastAsia="細明體" w:cs="Segoe UI"/>
                <w:sz w:val="16"/>
                <w:szCs w:val="16"/>
                <w:lang w:eastAsia="ar-SA"/>
              </w:rPr>
              <w:t>人</w:t>
            </w:r>
            <w:r w:rsidRPr="00272D6C">
              <w:rPr>
                <w:rFonts w:eastAsia="細明體" w:cs="Segoe UI" w:hint="eastAsia"/>
                <w:sz w:val="17"/>
                <w:szCs w:val="17"/>
                <w:lang w:eastAsia="ar-SA"/>
              </w:rPr>
              <w:t>數目。</w:t>
            </w:r>
          </w:p>
        </w:tc>
      </w:tr>
      <w:tr w:rsidR="00272D6C" w:rsidRPr="00272D6C" w14:paraId="65F78FBF"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7773C33A"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(g)</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2F157A0A" w14:textId="31E98B92"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平均</w:t>
            </w:r>
            <w:r w:rsidRPr="00272D6C">
              <w:rPr>
                <w:rFonts w:eastAsia="細明體" w:cs="Segoe UI"/>
                <w:i/>
                <w:sz w:val="17"/>
                <w:szCs w:val="17"/>
                <w:lang w:eastAsia="ar-SA"/>
              </w:rPr>
              <w:t>LGD</w:t>
            </w:r>
            <w:r w:rsidRPr="00272D6C">
              <w:rPr>
                <w:rFonts w:eastAsia="細明體" w:cs="Segoe UI" w:hint="eastAsia"/>
                <w:sz w:val="17"/>
                <w:szCs w:val="17"/>
                <w:lang w:eastAsia="ar-SA"/>
              </w:rPr>
              <w:t>：屬同一</w:t>
            </w:r>
            <w:r w:rsidRPr="00272D6C">
              <w:rPr>
                <w:rFonts w:eastAsia="細明體" w:cs="Segoe UI"/>
                <w:sz w:val="17"/>
                <w:szCs w:val="17"/>
                <w:lang w:eastAsia="ar-SA"/>
              </w:rPr>
              <w:t>PD</w:t>
            </w:r>
            <w:r w:rsidRPr="00272D6C">
              <w:rPr>
                <w:rFonts w:eastAsia="細明體" w:cs="Segoe UI" w:hint="eastAsia"/>
                <w:sz w:val="17"/>
                <w:szCs w:val="17"/>
                <w:lang w:eastAsia="ar-SA"/>
              </w:rPr>
              <w:t>範圍（或就「小計」及「總計」</w:t>
            </w:r>
            <w:r w:rsidRPr="00272D6C">
              <w:rPr>
                <w:rFonts w:eastAsia="細明體" w:cs="Segoe UI"/>
                <w:sz w:val="17"/>
                <w:szCs w:val="17"/>
                <w:lang w:eastAsia="ar-SA"/>
              </w:rPr>
              <w:t>行</w:t>
            </w:r>
            <w:r w:rsidRPr="00272D6C">
              <w:rPr>
                <w:rFonts w:eastAsia="細明體" w:cs="Segoe UI" w:hint="eastAsia"/>
                <w:sz w:val="17"/>
                <w:szCs w:val="17"/>
                <w:lang w:eastAsia="ar-SA"/>
              </w:rPr>
              <w:t>（以適用者為準）而言屬同一組合）的承擔義務人等級</w:t>
            </w:r>
            <w:r w:rsidRPr="00272D6C">
              <w:rPr>
                <w:rFonts w:eastAsia="細明體" w:cs="Segoe UI"/>
                <w:sz w:val="17"/>
                <w:szCs w:val="17"/>
                <w:lang w:eastAsia="ar-SA"/>
              </w:rPr>
              <w:t>LGD</w:t>
            </w:r>
            <w:r w:rsidRPr="00272D6C">
              <w:rPr>
                <w:rFonts w:eastAsia="細明體" w:cs="Segoe UI" w:hint="eastAsia"/>
                <w:sz w:val="17"/>
                <w:szCs w:val="17"/>
                <w:lang w:eastAsia="ar-SA"/>
              </w:rPr>
              <w:t>的加權平均數，並以每名承擔義務人的</w:t>
            </w:r>
            <w:r w:rsidRPr="00272D6C">
              <w:rPr>
                <w:rFonts w:eastAsia="細明體" w:cs="Segoe UI"/>
                <w:sz w:val="17"/>
                <w:szCs w:val="17"/>
                <w:lang w:eastAsia="ar-SA"/>
              </w:rPr>
              <w:t>EAD</w:t>
            </w:r>
            <w:r w:rsidRPr="00272D6C">
              <w:rPr>
                <w:rFonts w:eastAsia="細明體" w:cs="Segoe UI"/>
                <w:sz w:val="17"/>
                <w:szCs w:val="17"/>
                <w:lang w:eastAsia="ar-SA"/>
              </w:rPr>
              <w:t>作</w:t>
            </w:r>
            <w:r w:rsidRPr="00272D6C">
              <w:rPr>
                <w:rFonts w:eastAsia="細明體" w:cs="Segoe UI" w:hint="eastAsia"/>
                <w:sz w:val="17"/>
                <w:szCs w:val="17"/>
                <w:lang w:eastAsia="ar-SA"/>
              </w:rPr>
              <w:t>為權重。有關</w:t>
            </w:r>
            <w:r w:rsidRPr="00272D6C">
              <w:rPr>
                <w:rFonts w:eastAsia="細明體" w:cs="Segoe UI"/>
                <w:sz w:val="17"/>
                <w:szCs w:val="17"/>
                <w:lang w:eastAsia="ar-SA"/>
              </w:rPr>
              <w:t>LGD</w:t>
            </w:r>
            <w:r w:rsidRPr="00272D6C">
              <w:rPr>
                <w:rFonts w:eastAsia="細明體" w:cs="Segoe UI" w:hint="eastAsia"/>
                <w:sz w:val="17"/>
                <w:szCs w:val="17"/>
                <w:lang w:eastAsia="ar-SA"/>
              </w:rPr>
              <w:t>應已</w:t>
            </w:r>
            <w:r w:rsidRPr="00272D6C">
              <w:rPr>
                <w:rFonts w:eastAsia="細明體" w:cs="Segoe UI" w:hint="eastAsia"/>
                <w:sz w:val="17"/>
                <w:szCs w:val="17"/>
                <w:lang w:eastAsia="zh-TW"/>
              </w:rPr>
              <w:t>將</w:t>
            </w:r>
            <w:r w:rsidRPr="00272D6C">
              <w:rPr>
                <w:rFonts w:eastAsia="細明體" w:cs="Segoe UI" w:hint="eastAsia"/>
                <w:sz w:val="17"/>
                <w:szCs w:val="17"/>
                <w:lang w:eastAsia="ar-SA"/>
              </w:rPr>
              <w:t>任何認可減低信用風險措施的效果</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w:t>
            </w:r>
          </w:p>
        </w:tc>
      </w:tr>
      <w:tr w:rsidR="00272D6C" w:rsidRPr="00272D6C" w14:paraId="0E6931F1"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6552827A"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(h)</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29647856"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平均到期期限</w:t>
            </w:r>
            <w:r w:rsidRPr="00272D6C">
              <w:rPr>
                <w:rFonts w:eastAsia="細明體" w:cs="Segoe UI" w:hint="eastAsia"/>
                <w:sz w:val="17"/>
                <w:szCs w:val="17"/>
                <w:lang w:eastAsia="ar-SA"/>
              </w:rPr>
              <w:t>：屬同一</w:t>
            </w:r>
            <w:r w:rsidRPr="00272D6C">
              <w:rPr>
                <w:rFonts w:eastAsia="細明體" w:cs="Segoe UI"/>
                <w:sz w:val="17"/>
                <w:szCs w:val="17"/>
                <w:lang w:eastAsia="ar-SA"/>
              </w:rPr>
              <w:t>PD</w:t>
            </w:r>
            <w:r w:rsidRPr="00272D6C">
              <w:rPr>
                <w:rFonts w:eastAsia="細明體" w:cs="Segoe UI" w:hint="eastAsia"/>
                <w:sz w:val="17"/>
                <w:szCs w:val="17"/>
                <w:lang w:eastAsia="ar-SA"/>
              </w:rPr>
              <w:t>範圍（或就「小計」及「總計」</w:t>
            </w:r>
            <w:r w:rsidRPr="00272D6C">
              <w:rPr>
                <w:rFonts w:eastAsia="細明體" w:cs="Segoe UI"/>
                <w:sz w:val="17"/>
                <w:szCs w:val="17"/>
                <w:lang w:eastAsia="ar-SA"/>
              </w:rPr>
              <w:t>行</w:t>
            </w:r>
            <w:r w:rsidRPr="00272D6C">
              <w:rPr>
                <w:rFonts w:eastAsia="細明體" w:cs="Segoe UI" w:hint="eastAsia"/>
                <w:sz w:val="17"/>
                <w:szCs w:val="17"/>
                <w:lang w:eastAsia="ar-SA"/>
              </w:rPr>
              <w:t>（以適用者為準）而言屬同一組合）的承擔義務人到期期限的加權平均數（以年數表示），並以每名承擔義務人的</w:t>
            </w:r>
            <w:r w:rsidRPr="00272D6C">
              <w:rPr>
                <w:rFonts w:eastAsia="細明體" w:cs="Segoe UI"/>
                <w:sz w:val="17"/>
                <w:szCs w:val="17"/>
                <w:lang w:eastAsia="ar-SA"/>
              </w:rPr>
              <w:t>EAD</w:t>
            </w:r>
            <w:r w:rsidRPr="00272D6C">
              <w:rPr>
                <w:rFonts w:eastAsia="細明體" w:cs="Segoe UI"/>
                <w:sz w:val="17"/>
                <w:szCs w:val="17"/>
                <w:lang w:eastAsia="ar-SA"/>
              </w:rPr>
              <w:t>作</w:t>
            </w:r>
            <w:r w:rsidRPr="00272D6C">
              <w:rPr>
                <w:rFonts w:eastAsia="細明體" w:cs="Segoe UI" w:hint="eastAsia"/>
                <w:sz w:val="17"/>
                <w:szCs w:val="17"/>
                <w:lang w:eastAsia="ar-SA"/>
              </w:rPr>
              <w:t>為權重。是項參數只有當該參數被用作計算</w:t>
            </w:r>
            <w:r w:rsidRPr="00272D6C">
              <w:rPr>
                <w:rFonts w:eastAsia="細明體" w:cs="Segoe UI"/>
                <w:sz w:val="17"/>
                <w:szCs w:val="17"/>
                <w:lang w:eastAsia="ar-SA"/>
              </w:rPr>
              <w:t>風險加權數額時才須填寫。</w:t>
            </w:r>
          </w:p>
        </w:tc>
      </w:tr>
      <w:tr w:rsidR="00272D6C" w:rsidRPr="00272D6C" w14:paraId="7A345DE9"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74ADB4F4"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w:t>
            </w:r>
            <w:proofErr w:type="spellStart"/>
            <w:r w:rsidRPr="00923C3F">
              <w:rPr>
                <w:rFonts w:eastAsia="細明體" w:cs="Segoe UI"/>
                <w:sz w:val="17"/>
                <w:szCs w:val="17"/>
                <w:lang w:eastAsia="ar-SA"/>
              </w:rPr>
              <w:t>i</w:t>
            </w:r>
            <w:proofErr w:type="spellEnd"/>
            <w:r w:rsidRPr="00923C3F">
              <w:rPr>
                <w:rFonts w:eastAsia="細明體" w:cs="Segoe UI"/>
                <w:sz w:val="17"/>
                <w:szCs w:val="17"/>
                <w:lang w:eastAsia="ar-SA"/>
              </w:rPr>
              <w:t>)</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4703DCA4"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風險加權數額</w:t>
            </w:r>
            <w:r w:rsidRPr="00272D6C">
              <w:rPr>
                <w:rFonts w:eastAsia="細明體" w:cs="Segoe UI" w:hint="eastAsia"/>
                <w:sz w:val="17"/>
                <w:szCs w:val="17"/>
                <w:lang w:eastAsia="ar-SA"/>
              </w:rPr>
              <w:t>：根據</w:t>
            </w:r>
            <w:r w:rsidRPr="00272D6C">
              <w:rPr>
                <w:rFonts w:eastAsia="細明體" w:cs="Segoe UI"/>
                <w:sz w:val="17"/>
                <w:szCs w:val="17"/>
                <w:lang w:eastAsia="ar-SA"/>
              </w:rPr>
              <w:t>《資本規則》第</w:t>
            </w:r>
            <w:r w:rsidRPr="00272D6C">
              <w:rPr>
                <w:rFonts w:eastAsia="細明體" w:cs="Segoe UI"/>
                <w:sz w:val="17"/>
                <w:szCs w:val="17"/>
                <w:lang w:eastAsia="ar-SA"/>
              </w:rPr>
              <w:t>6</w:t>
            </w:r>
            <w:r w:rsidRPr="00272D6C">
              <w:rPr>
                <w:rFonts w:eastAsia="細明體" w:cs="Segoe UI"/>
                <w:sz w:val="17"/>
                <w:szCs w:val="17"/>
                <w:lang w:eastAsia="ar-SA"/>
              </w:rPr>
              <w:t>部計算的</w:t>
            </w:r>
            <w:r w:rsidRPr="00272D6C">
              <w:rPr>
                <w:rFonts w:eastAsia="細明體" w:cs="Segoe UI" w:hint="eastAsia"/>
                <w:sz w:val="17"/>
                <w:szCs w:val="17"/>
                <w:lang w:eastAsia="ar-SA"/>
              </w:rPr>
              <w:t>風險加權數額。</w:t>
            </w:r>
          </w:p>
        </w:tc>
      </w:tr>
      <w:tr w:rsidR="00272D6C" w:rsidRPr="00272D6C" w14:paraId="1C281E9A"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4603A7C9"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(j)</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1548927A" w14:textId="61C117FE"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風險加權數額密度</w:t>
            </w:r>
            <w:r w:rsidRPr="00272D6C">
              <w:rPr>
                <w:rFonts w:eastAsia="細明體" w:cs="Segoe UI" w:hint="eastAsia"/>
                <w:sz w:val="17"/>
                <w:szCs w:val="17"/>
                <w:lang w:eastAsia="ar-SA"/>
              </w:rPr>
              <w:t>：將</w:t>
            </w:r>
            <w:r w:rsidRPr="00272D6C">
              <w:rPr>
                <w:rFonts w:eastAsia="細明體" w:cs="Segoe UI"/>
                <w:sz w:val="17"/>
                <w:szCs w:val="17"/>
                <w:lang w:eastAsia="ar-SA"/>
              </w:rPr>
              <w:t>(</w:t>
            </w:r>
            <w:proofErr w:type="spellStart"/>
            <w:r w:rsidRPr="00272D6C">
              <w:rPr>
                <w:rFonts w:eastAsia="細明體" w:cs="Segoe UI"/>
                <w:sz w:val="17"/>
                <w:szCs w:val="17"/>
                <w:lang w:eastAsia="ar-SA"/>
              </w:rPr>
              <w:t>i</w:t>
            </w:r>
            <w:proofErr w:type="spellEnd"/>
            <w:r w:rsidRPr="00272D6C">
              <w:rPr>
                <w:rFonts w:eastAsia="細明體" w:cs="Segoe UI"/>
                <w:sz w:val="17"/>
                <w:szCs w:val="17"/>
                <w:lang w:eastAsia="ar-SA"/>
              </w:rPr>
              <w:t>)</w:t>
            </w:r>
            <w:r w:rsidRPr="00272D6C">
              <w:rPr>
                <w:rFonts w:eastAsia="細明體" w:cs="Segoe UI"/>
                <w:sz w:val="17"/>
                <w:szCs w:val="17"/>
                <w:lang w:eastAsia="ar-SA"/>
              </w:rPr>
              <w:t>欄</w:t>
            </w:r>
            <w:r w:rsidRPr="00272D6C">
              <w:rPr>
                <w:rFonts w:eastAsia="細明體" w:cs="Segoe UI" w:hint="eastAsia"/>
                <w:sz w:val="17"/>
                <w:szCs w:val="17"/>
                <w:lang w:eastAsia="ar-SA"/>
              </w:rPr>
              <w:t>的總</w:t>
            </w:r>
            <w:r w:rsidRPr="00272D6C">
              <w:rPr>
                <w:rFonts w:eastAsia="細明體" w:cs="Segoe UI"/>
                <w:sz w:val="17"/>
                <w:szCs w:val="17"/>
                <w:lang w:eastAsia="ar-SA"/>
              </w:rPr>
              <w:t>風險加權數額除以</w:t>
            </w:r>
            <w:r w:rsidRPr="00272D6C">
              <w:rPr>
                <w:rFonts w:eastAsia="細明體" w:cs="Segoe UI"/>
                <w:sz w:val="17"/>
                <w:szCs w:val="17"/>
                <w:lang w:eastAsia="ar-SA"/>
              </w:rPr>
              <w:t>(d)</w:t>
            </w:r>
            <w:r w:rsidRPr="00272D6C">
              <w:rPr>
                <w:rFonts w:eastAsia="細明體" w:cs="Segoe UI" w:hint="eastAsia"/>
                <w:sz w:val="17"/>
                <w:szCs w:val="17"/>
                <w:lang w:eastAsia="ar-SA"/>
              </w:rPr>
              <w:t>欄的</w:t>
            </w:r>
            <w:r w:rsidRPr="00272D6C">
              <w:rPr>
                <w:rFonts w:eastAsia="細明體" w:cs="Segoe UI" w:hint="eastAsia"/>
                <w:sz w:val="17"/>
                <w:szCs w:val="17"/>
                <w:lang w:eastAsia="zh-TW"/>
              </w:rPr>
              <w:t>已將</w:t>
            </w:r>
            <w:r w:rsidRPr="00272D6C">
              <w:rPr>
                <w:rFonts w:eastAsia="細明體" w:cs="Segoe UI" w:hint="eastAsia"/>
                <w:sz w:val="17"/>
                <w:szCs w:val="17"/>
                <w:lang w:eastAsia="ar-SA"/>
              </w:rPr>
              <w:t>減低信用風險措施及</w:t>
            </w:r>
            <w:r w:rsidRPr="00272D6C">
              <w:rPr>
                <w:rFonts w:eastAsia="細明體" w:cs="Segoe UI"/>
                <w:sz w:val="17"/>
                <w:szCs w:val="17"/>
                <w:lang w:eastAsia="ar-SA"/>
              </w:rPr>
              <w:t>CCF</w:t>
            </w:r>
            <w:r w:rsidRPr="00272D6C">
              <w:rPr>
                <w:rFonts w:eastAsia="細明體" w:cs="Segoe UI" w:hint="eastAsia"/>
                <w:bCs/>
                <w:sz w:val="17"/>
                <w:szCs w:val="17"/>
                <w:lang w:eastAsia="zh-TW"/>
              </w:rPr>
              <w:t>計算在內</w:t>
            </w:r>
            <w:r w:rsidRPr="00272D6C">
              <w:rPr>
                <w:rFonts w:eastAsia="細明體" w:cs="Segoe UI" w:hint="eastAsia"/>
                <w:sz w:val="17"/>
                <w:szCs w:val="17"/>
                <w:lang w:eastAsia="ar-SA"/>
              </w:rPr>
              <w:t>的</w:t>
            </w:r>
            <w:r w:rsidRPr="00272D6C">
              <w:rPr>
                <w:rFonts w:eastAsia="細明體" w:cs="Segoe UI"/>
                <w:sz w:val="17"/>
                <w:szCs w:val="17"/>
                <w:lang w:eastAsia="ar-SA"/>
              </w:rPr>
              <w:t>EAD</w:t>
            </w:r>
            <w:r w:rsidRPr="00272D6C">
              <w:rPr>
                <w:rFonts w:eastAsia="細明體" w:cs="Segoe UI" w:hint="eastAsia"/>
                <w:sz w:val="17"/>
                <w:szCs w:val="17"/>
                <w:lang w:eastAsia="ar-SA"/>
              </w:rPr>
              <w:t>而得出。所得的比率應以百分比表示。</w:t>
            </w:r>
          </w:p>
        </w:tc>
      </w:tr>
      <w:tr w:rsidR="00272D6C" w:rsidRPr="00272D6C" w14:paraId="424C6BB3"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4A2AA9F9"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(k)</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61C79FDA"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i/>
                <w:sz w:val="17"/>
                <w:szCs w:val="17"/>
                <w:lang w:eastAsia="ar-SA"/>
              </w:rPr>
              <w:t>EL</w:t>
            </w:r>
            <w:r w:rsidRPr="00272D6C">
              <w:rPr>
                <w:rFonts w:eastAsia="細明體" w:cs="Segoe UI" w:hint="eastAsia"/>
                <w:sz w:val="17"/>
                <w:szCs w:val="17"/>
                <w:lang w:eastAsia="ar-SA"/>
              </w:rPr>
              <w:t>：預期損失是按照</w:t>
            </w:r>
            <w:r w:rsidRPr="00272D6C">
              <w:rPr>
                <w:rFonts w:eastAsia="細明體" w:cs="Segoe UI"/>
                <w:sz w:val="17"/>
                <w:szCs w:val="17"/>
                <w:lang w:eastAsia="ar-SA"/>
              </w:rPr>
              <w:t>《資本規則》第</w:t>
            </w:r>
            <w:r w:rsidRPr="00272D6C">
              <w:rPr>
                <w:rFonts w:eastAsia="細明體" w:cs="Segoe UI"/>
                <w:sz w:val="17"/>
                <w:szCs w:val="17"/>
                <w:lang w:eastAsia="ar-SA"/>
              </w:rPr>
              <w:t>6</w:t>
            </w:r>
            <w:r w:rsidRPr="00272D6C">
              <w:rPr>
                <w:rFonts w:eastAsia="細明體" w:cs="Segoe UI" w:hint="eastAsia"/>
                <w:sz w:val="17"/>
                <w:szCs w:val="17"/>
                <w:lang w:eastAsia="ar-SA"/>
              </w:rPr>
              <w:t>部第</w:t>
            </w:r>
            <w:r w:rsidRPr="00272D6C">
              <w:rPr>
                <w:rFonts w:eastAsia="細明體" w:cs="Segoe UI"/>
                <w:sz w:val="17"/>
                <w:szCs w:val="17"/>
                <w:lang w:eastAsia="ar-SA"/>
              </w:rPr>
              <w:t>11</w:t>
            </w:r>
            <w:r w:rsidRPr="00272D6C">
              <w:rPr>
                <w:rFonts w:eastAsia="細明體" w:cs="Segoe UI" w:hint="eastAsia"/>
                <w:sz w:val="17"/>
                <w:szCs w:val="17"/>
                <w:lang w:eastAsia="ar-SA"/>
              </w:rPr>
              <w:t>分部的規定計算。</w:t>
            </w:r>
          </w:p>
        </w:tc>
      </w:tr>
      <w:tr w:rsidR="00272D6C" w:rsidRPr="00272D6C" w14:paraId="2741CC4B"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08CC9563" w14:textId="77777777" w:rsidR="00272D6C" w:rsidRPr="00923C3F" w:rsidRDefault="00272D6C" w:rsidP="00272D6C">
            <w:pPr>
              <w:suppressAutoHyphens/>
              <w:spacing w:before="40" w:after="40"/>
              <w:jc w:val="both"/>
              <w:rPr>
                <w:rFonts w:eastAsia="細明體" w:cs="Segoe UI"/>
                <w:sz w:val="17"/>
                <w:szCs w:val="17"/>
                <w:lang w:eastAsia="ar-SA"/>
              </w:rPr>
            </w:pPr>
            <w:r w:rsidRPr="00923C3F">
              <w:rPr>
                <w:rFonts w:eastAsia="細明體" w:cs="Segoe UI"/>
                <w:sz w:val="17"/>
                <w:szCs w:val="17"/>
                <w:lang w:eastAsia="ar-SA"/>
              </w:rPr>
              <w:t>(l)</w:t>
            </w:r>
          </w:p>
        </w:tc>
        <w:tc>
          <w:tcPr>
            <w:tcW w:w="13061" w:type="dxa"/>
            <w:tcBorders>
              <w:top w:val="single" w:sz="4" w:space="0" w:color="000000"/>
              <w:left w:val="single" w:sz="4" w:space="0" w:color="000000"/>
              <w:bottom w:val="single" w:sz="4" w:space="0" w:color="000000"/>
              <w:right w:val="single" w:sz="4" w:space="0" w:color="000000"/>
            </w:tcBorders>
            <w:shd w:val="clear" w:color="auto" w:fill="auto"/>
          </w:tcPr>
          <w:p w14:paraId="2B8BA4E6" w14:textId="77777777" w:rsidR="00272D6C" w:rsidRPr="00272D6C" w:rsidRDefault="00272D6C" w:rsidP="00272D6C">
            <w:pPr>
              <w:keepNext/>
              <w:suppressAutoHyphens/>
              <w:spacing w:before="40" w:after="40"/>
              <w:jc w:val="both"/>
              <w:rPr>
                <w:rFonts w:cs="Segoe UI"/>
                <w:sz w:val="15"/>
                <w:lang w:eastAsia="ar-SA"/>
              </w:rPr>
            </w:pPr>
            <w:r w:rsidRPr="00272D6C">
              <w:rPr>
                <w:rFonts w:eastAsia="細明體" w:cs="Segoe UI" w:hint="eastAsia"/>
                <w:i/>
                <w:sz w:val="17"/>
                <w:szCs w:val="17"/>
                <w:lang w:eastAsia="ar-SA"/>
              </w:rPr>
              <w:t>準備金</w:t>
            </w:r>
            <w:r w:rsidRPr="00272D6C">
              <w:rPr>
                <w:rFonts w:eastAsia="細明體" w:cs="Segoe UI" w:hint="eastAsia"/>
                <w:sz w:val="17"/>
                <w:szCs w:val="17"/>
                <w:lang w:eastAsia="ar-SA"/>
              </w:rPr>
              <w:t>：合資格準備金的定義為</w:t>
            </w:r>
            <w:r w:rsidRPr="00272D6C">
              <w:rPr>
                <w:rFonts w:eastAsia="細明體" w:cs="Segoe UI"/>
                <w:sz w:val="17"/>
                <w:szCs w:val="17"/>
                <w:lang w:eastAsia="ar-SA"/>
              </w:rPr>
              <w:t>《資本規則》第</w:t>
            </w:r>
            <w:r w:rsidRPr="00272D6C">
              <w:rPr>
                <w:rFonts w:eastAsia="細明體" w:cs="Segoe UI"/>
                <w:sz w:val="17"/>
                <w:szCs w:val="17"/>
                <w:lang w:eastAsia="ar-SA"/>
              </w:rPr>
              <w:t>6</w:t>
            </w:r>
            <w:r w:rsidRPr="00272D6C">
              <w:rPr>
                <w:rFonts w:eastAsia="細明體" w:cs="Segoe UI" w:hint="eastAsia"/>
                <w:sz w:val="17"/>
                <w:szCs w:val="17"/>
                <w:lang w:eastAsia="ar-SA"/>
              </w:rPr>
              <w:t>部第</w:t>
            </w:r>
            <w:r w:rsidRPr="00272D6C">
              <w:rPr>
                <w:rFonts w:eastAsia="細明體" w:cs="Segoe UI"/>
                <w:sz w:val="17"/>
                <w:szCs w:val="17"/>
                <w:lang w:eastAsia="ar-SA"/>
              </w:rPr>
              <w:t>1</w:t>
            </w:r>
            <w:r w:rsidRPr="00272D6C">
              <w:rPr>
                <w:rFonts w:eastAsia="細明體" w:cs="Segoe UI" w:hint="eastAsia"/>
                <w:sz w:val="17"/>
                <w:szCs w:val="17"/>
                <w:lang w:eastAsia="ar-SA"/>
              </w:rPr>
              <w:t>分部所界定。</w:t>
            </w:r>
          </w:p>
        </w:tc>
      </w:tr>
    </w:tbl>
    <w:p w14:paraId="224730B1" w14:textId="77777777" w:rsidR="00272D6C" w:rsidRPr="00272D6C" w:rsidRDefault="00272D6C" w:rsidP="00272D6C">
      <w:pPr>
        <w:suppressAutoHyphens/>
        <w:rPr>
          <w:rFonts w:cs="Segoe UI"/>
          <w:lang w:eastAsia="ar-SA"/>
        </w:rPr>
        <w:sectPr w:rsidR="00272D6C" w:rsidRPr="00272D6C">
          <w:footerReference w:type="default" r:id="rId72"/>
          <w:pgSz w:w="16838" w:h="11906" w:orient="landscape"/>
          <w:pgMar w:top="1418" w:right="1440" w:bottom="1276" w:left="1440" w:header="720" w:footer="737" w:gutter="0"/>
          <w:cols w:space="720"/>
          <w:docGrid w:type="linesAndChars" w:linePitch="360"/>
        </w:sectPr>
      </w:pPr>
    </w:p>
    <w:p w14:paraId="12F5CB69" w14:textId="6F161DDC" w:rsidR="008A5FFD" w:rsidRPr="008A5FFD" w:rsidRDefault="008A5FFD" w:rsidP="008A5FFD">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8A5FFD">
        <w:rPr>
          <w:rFonts w:eastAsia="細明體" w:cs="Segoe UI" w:hint="eastAsia"/>
          <w:b w:val="0"/>
          <w:sz w:val="22"/>
        </w:rPr>
        <w:t>模版</w:t>
      </w:r>
      <w:r w:rsidRPr="008A5FFD">
        <w:rPr>
          <w:rFonts w:ascii="Segoe UI" w:eastAsia="細明體" w:hAnsi="Segoe UI" w:cs="Segoe UI"/>
          <w:b w:val="0"/>
          <w:sz w:val="22"/>
        </w:rPr>
        <w:t>CR7</w:t>
      </w:r>
      <w:r w:rsidRPr="008A5FFD">
        <w:rPr>
          <w:rFonts w:eastAsia="細明體" w:cs="Segoe UI" w:hint="eastAsia"/>
          <w:b w:val="0"/>
          <w:sz w:val="22"/>
        </w:rPr>
        <w:t>：使用認可信用衍生工具合約作為認可減低信用風險措施對風險加權數額的影響</w:t>
      </w:r>
      <w:r w:rsidRPr="008A5FFD">
        <w:rPr>
          <w:rFonts w:ascii="細明體" w:eastAsia="細明體" w:hAnsi="細明體" w:cs="細明體" w:hint="eastAsia"/>
          <w:b w:val="0"/>
          <w:sz w:val="22"/>
        </w:rPr>
        <w:t>──</w:t>
      </w:r>
      <w:r w:rsidRPr="008A5FFD">
        <w:rPr>
          <w:rFonts w:ascii="Segoe UI" w:eastAsia="細明體" w:hAnsi="Segoe UI" w:cs="Segoe UI"/>
          <w:b w:val="0"/>
          <w:sz w:val="22"/>
        </w:rPr>
        <w:t>IRB</w:t>
      </w:r>
      <w:r w:rsidRPr="008A5FFD">
        <w:rPr>
          <w:rFonts w:eastAsia="細明體" w:cs="Segoe UI" w:hint="eastAsia"/>
          <w:b w:val="0"/>
          <w:sz w:val="22"/>
        </w:rPr>
        <w:t>計算法</w:t>
      </w:r>
    </w:p>
    <w:tbl>
      <w:tblPr>
        <w:tblW w:w="9106" w:type="dxa"/>
        <w:tblInd w:w="-459" w:type="dxa"/>
        <w:tblLayout w:type="fixed"/>
        <w:tblLook w:val="0000" w:firstRow="0" w:lastRow="0" w:firstColumn="0" w:lastColumn="0" w:noHBand="0" w:noVBand="0"/>
      </w:tblPr>
      <w:tblGrid>
        <w:gridCol w:w="2160"/>
        <w:gridCol w:w="6946"/>
      </w:tblGrid>
      <w:tr w:rsidR="00272D6C" w:rsidRPr="00272D6C" w14:paraId="24F60B5E" w14:textId="77777777" w:rsidTr="00E93736">
        <w:tc>
          <w:tcPr>
            <w:tcW w:w="2160" w:type="dxa"/>
            <w:tcBorders>
              <w:top w:val="single" w:sz="4" w:space="0" w:color="000000"/>
              <w:bottom w:val="single" w:sz="4" w:space="0" w:color="000000"/>
            </w:tcBorders>
            <w:shd w:val="clear" w:color="auto" w:fill="auto"/>
          </w:tcPr>
          <w:p w14:paraId="5B12648A"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目的：</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6BA7F1D9" w14:textId="47C244E3" w:rsidR="00272D6C" w:rsidRPr="00272D6C" w:rsidRDefault="00272D6C" w:rsidP="00FB1555">
            <w:pPr>
              <w:suppressAutoHyphens/>
              <w:spacing w:before="40" w:after="40"/>
              <w:jc w:val="both"/>
              <w:rPr>
                <w:rFonts w:cs="Segoe UI"/>
                <w:sz w:val="17"/>
                <w:lang w:eastAsia="ar-SA"/>
              </w:rPr>
            </w:pPr>
            <w:r w:rsidRPr="00272D6C">
              <w:rPr>
                <w:rFonts w:eastAsia="細明體" w:cs="Segoe UI" w:hint="eastAsia"/>
                <w:sz w:val="17"/>
                <w:lang w:eastAsia="ar-SA"/>
              </w:rPr>
              <w:t>披露認可信用衍生工具合約對按</w:t>
            </w:r>
            <w:r w:rsidRPr="00272D6C">
              <w:rPr>
                <w:rFonts w:eastAsia="細明體" w:cs="Segoe UI"/>
                <w:sz w:val="17"/>
                <w:lang w:eastAsia="ar-SA"/>
              </w:rPr>
              <w:t>IRB</w:t>
            </w:r>
            <w:r w:rsidRPr="00272D6C">
              <w:rPr>
                <w:rFonts w:eastAsia="細明體" w:cs="Segoe UI" w:hint="eastAsia"/>
                <w:sz w:val="17"/>
                <w:lang w:eastAsia="ar-SA"/>
              </w:rPr>
              <w:t>計算法計算信用風險</w:t>
            </w:r>
            <w:r w:rsidRPr="00272D6C">
              <w:rPr>
                <w:rFonts w:eastAsia="細明體" w:cs="Segoe UI"/>
                <w:sz w:val="17"/>
                <w:lang w:eastAsia="ar-SA"/>
              </w:rPr>
              <w:t>資本規定的</w:t>
            </w:r>
            <w:r w:rsidRPr="00272D6C">
              <w:rPr>
                <w:rFonts w:eastAsia="細明體" w:cs="Segoe UI" w:hint="eastAsia"/>
                <w:sz w:val="17"/>
                <w:lang w:eastAsia="ar-SA"/>
              </w:rPr>
              <w:t>影響</w:t>
            </w:r>
            <w:r w:rsidRPr="00272D6C">
              <w:rPr>
                <w:rFonts w:eastAsia="細明體" w:cs="Segoe UI"/>
                <w:sz w:val="17"/>
                <w:lang w:eastAsia="ar-SA"/>
              </w:rPr>
              <w:t>。披露</w:t>
            </w:r>
            <w:r w:rsidRPr="00272D6C">
              <w:rPr>
                <w:rFonts w:eastAsia="細明體" w:cs="Segoe UI" w:hint="eastAsia"/>
                <w:sz w:val="17"/>
                <w:lang w:eastAsia="ar-SA"/>
              </w:rPr>
              <w:t>在</w:t>
            </w:r>
            <w:r w:rsidRPr="00272D6C">
              <w:rPr>
                <w:rFonts w:eastAsia="細明體" w:cs="Segoe UI" w:hint="eastAsia"/>
                <w:sz w:val="17"/>
                <w:lang w:eastAsia="zh-TW"/>
              </w:rPr>
              <w:t>未將</w:t>
            </w:r>
            <w:r w:rsidRPr="00272D6C">
              <w:rPr>
                <w:rFonts w:eastAsia="細明體" w:cs="Segoe UI" w:hint="eastAsia"/>
                <w:sz w:val="17"/>
                <w:lang w:eastAsia="ar-SA"/>
              </w:rPr>
              <w:t>認可信用衍生工具合約的減低風險效果</w:t>
            </w:r>
            <w:r w:rsidRPr="00272D6C">
              <w:rPr>
                <w:rFonts w:eastAsia="細明體" w:cs="Segoe UI" w:hint="eastAsia"/>
                <w:sz w:val="17"/>
                <w:lang w:eastAsia="zh-TW"/>
              </w:rPr>
              <w:t>計算在內</w:t>
            </w:r>
            <w:r w:rsidRPr="00272D6C">
              <w:rPr>
                <w:rFonts w:eastAsia="細明體" w:cs="Segoe UI" w:hint="eastAsia"/>
                <w:sz w:val="17"/>
                <w:lang w:eastAsia="ar-SA"/>
              </w:rPr>
              <w:t>的假設</w:t>
            </w:r>
            <w:r w:rsidR="00FB1555">
              <w:rPr>
                <w:rFonts w:eastAsia="細明體" w:cs="Segoe UI" w:hint="eastAsia"/>
                <w:sz w:val="17"/>
                <w:lang w:eastAsia="zh-HK"/>
              </w:rPr>
              <w:t>性</w:t>
            </w:r>
            <w:r w:rsidRPr="00272D6C">
              <w:rPr>
                <w:rFonts w:eastAsia="細明體" w:cs="Segoe UI"/>
                <w:sz w:val="17"/>
                <w:lang w:eastAsia="ar-SA"/>
              </w:rPr>
              <w:t>風險加權數額</w:t>
            </w:r>
            <w:r w:rsidRPr="00272D6C">
              <w:rPr>
                <w:rFonts w:eastAsia="細明體" w:cs="Segoe UI" w:hint="eastAsia"/>
                <w:sz w:val="17"/>
                <w:lang w:eastAsia="ar-SA"/>
              </w:rPr>
              <w:t>（下文</w:t>
            </w:r>
            <w:r w:rsidRPr="00272D6C">
              <w:rPr>
                <w:rFonts w:eastAsia="細明體" w:cs="Segoe UI"/>
                <w:sz w:val="17"/>
                <w:lang w:eastAsia="ar-SA"/>
              </w:rPr>
              <w:t>(a)</w:t>
            </w:r>
            <w:r w:rsidRPr="00272D6C">
              <w:rPr>
                <w:rFonts w:eastAsia="細明體" w:cs="Segoe UI"/>
                <w:sz w:val="17"/>
                <w:lang w:eastAsia="ar-SA"/>
              </w:rPr>
              <w:t>欄</w:t>
            </w:r>
            <w:r w:rsidRPr="00272D6C">
              <w:rPr>
                <w:rFonts w:eastAsia="細明體" w:cs="Segoe UI" w:hint="eastAsia"/>
                <w:sz w:val="17"/>
                <w:lang w:eastAsia="ar-SA"/>
              </w:rPr>
              <w:t>），以評估認可信用衍生工具合約對</w:t>
            </w:r>
            <w:r w:rsidRPr="00272D6C">
              <w:rPr>
                <w:rFonts w:eastAsia="細明體" w:cs="Segoe UI"/>
                <w:sz w:val="17"/>
                <w:lang w:eastAsia="ar-SA"/>
              </w:rPr>
              <w:t>風險加權數額</w:t>
            </w:r>
            <w:r w:rsidRPr="00272D6C">
              <w:rPr>
                <w:rFonts w:eastAsia="細明體" w:cs="Segoe UI" w:hint="eastAsia"/>
                <w:sz w:val="17"/>
                <w:lang w:eastAsia="ar-SA"/>
              </w:rPr>
              <w:t>的影響。不論計算</w:t>
            </w:r>
            <w:r w:rsidRPr="00272D6C">
              <w:rPr>
                <w:rFonts w:eastAsia="細明體" w:cs="Segoe UI"/>
                <w:sz w:val="17"/>
                <w:lang w:eastAsia="ar-SA"/>
              </w:rPr>
              <w:t>風險加權數額時</w:t>
            </w:r>
            <w:r w:rsidR="00702E1A" w:rsidRPr="00702E1A">
              <w:rPr>
                <w:rFonts w:eastAsia="細明體" w:cs="Segoe UI" w:hint="eastAsia"/>
                <w:sz w:val="17"/>
                <w:lang w:eastAsia="ar-SA"/>
              </w:rPr>
              <w:t>如何</w:t>
            </w:r>
            <w:r w:rsidRPr="00272D6C">
              <w:rPr>
                <w:rFonts w:eastAsia="細明體" w:cs="Segoe UI"/>
                <w:sz w:val="17"/>
                <w:lang w:eastAsia="ar-SA"/>
              </w:rPr>
              <w:t>計</w:t>
            </w:r>
            <w:r w:rsidRPr="00272D6C">
              <w:rPr>
                <w:rFonts w:eastAsia="細明體" w:cs="Segoe UI" w:hint="eastAsia"/>
                <w:sz w:val="17"/>
                <w:lang w:eastAsia="ar-SA"/>
              </w:rPr>
              <w:t>及</w:t>
            </w:r>
            <w:r w:rsidRPr="00272D6C">
              <w:rPr>
                <w:rFonts w:eastAsia="細明體" w:cs="Segoe UI"/>
                <w:sz w:val="17"/>
                <w:lang w:eastAsia="ar-SA"/>
              </w:rPr>
              <w:t>認可減低信用風險措施</w:t>
            </w:r>
            <w:r w:rsidRPr="00272D6C">
              <w:rPr>
                <w:rFonts w:eastAsia="細明體" w:cs="Segoe UI" w:hint="eastAsia"/>
                <w:sz w:val="17"/>
                <w:lang w:eastAsia="ar-SA"/>
              </w:rPr>
              <w:t>，</w:t>
            </w:r>
            <w:r w:rsidR="007C5143" w:rsidRPr="00272D6C">
              <w:rPr>
                <w:rFonts w:eastAsia="細明體" w:cs="Segoe UI" w:hint="eastAsia"/>
                <w:sz w:val="17"/>
                <w:lang w:eastAsia="ar-SA"/>
              </w:rPr>
              <w:t>認可機構</w:t>
            </w:r>
            <w:r w:rsidRPr="00272D6C">
              <w:rPr>
                <w:rFonts w:eastAsia="細明體" w:cs="Segoe UI" w:hint="eastAsia"/>
                <w:sz w:val="17"/>
                <w:lang w:eastAsia="ar-SA"/>
              </w:rPr>
              <w:t>均</w:t>
            </w:r>
            <w:r w:rsidRPr="00272D6C">
              <w:rPr>
                <w:rFonts w:eastAsia="細明體" w:cs="Segoe UI"/>
                <w:sz w:val="17"/>
                <w:lang w:eastAsia="ar-SA"/>
              </w:rPr>
              <w:t>須</w:t>
            </w:r>
            <w:r w:rsidRPr="00272D6C">
              <w:rPr>
                <w:rFonts w:eastAsia="細明體" w:cs="Segoe UI" w:hint="eastAsia"/>
                <w:sz w:val="17"/>
                <w:lang w:eastAsia="ar-SA"/>
              </w:rPr>
              <w:t>根據本模版要求作出</w:t>
            </w:r>
            <w:r w:rsidRPr="00272D6C">
              <w:rPr>
                <w:rFonts w:eastAsia="細明體" w:cs="Segoe UI"/>
                <w:sz w:val="17"/>
                <w:lang w:eastAsia="ar-SA"/>
              </w:rPr>
              <w:t>披露。</w:t>
            </w:r>
            <w:r w:rsidRPr="00272D6C">
              <w:rPr>
                <w:rFonts w:eastAsia="細明體" w:cs="Segoe UI"/>
                <w:sz w:val="17"/>
                <w:lang w:eastAsia="ar-SA"/>
              </w:rPr>
              <w:t xml:space="preserve"> </w:t>
            </w:r>
          </w:p>
        </w:tc>
      </w:tr>
      <w:tr w:rsidR="00272D6C" w:rsidRPr="00272D6C" w14:paraId="4D828F83" w14:textId="77777777" w:rsidTr="00E93736">
        <w:tc>
          <w:tcPr>
            <w:tcW w:w="2160" w:type="dxa"/>
            <w:tcBorders>
              <w:top w:val="single" w:sz="4" w:space="0" w:color="000000"/>
              <w:bottom w:val="single" w:sz="4" w:space="0" w:color="000000"/>
            </w:tcBorders>
            <w:shd w:val="clear" w:color="auto" w:fill="auto"/>
          </w:tcPr>
          <w:p w14:paraId="0E1EE09B"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適用範圍：</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519B4A69"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在香港成立為法團並使用</w:t>
            </w:r>
            <w:r w:rsidRPr="00272D6C">
              <w:rPr>
                <w:rFonts w:eastAsia="細明體" w:cs="Segoe UI"/>
                <w:sz w:val="17"/>
                <w:lang w:eastAsia="ar-SA"/>
              </w:rPr>
              <w:t>IRB</w:t>
            </w:r>
            <w:r w:rsidRPr="00272D6C">
              <w:rPr>
                <w:rFonts w:eastAsia="細明體" w:cs="Segoe UI" w:hint="eastAsia"/>
                <w:sz w:val="17"/>
                <w:lang w:eastAsia="ar-SA"/>
              </w:rPr>
              <w:t>計算法計算其部分或全部風險承擔的認可機構，均須填報本模版。</w:t>
            </w:r>
          </w:p>
        </w:tc>
      </w:tr>
      <w:tr w:rsidR="00272D6C" w:rsidRPr="00272D6C" w14:paraId="07C4D332" w14:textId="77777777" w:rsidTr="00E93736">
        <w:tc>
          <w:tcPr>
            <w:tcW w:w="2160" w:type="dxa"/>
            <w:tcBorders>
              <w:top w:val="single" w:sz="4" w:space="0" w:color="000000"/>
              <w:bottom w:val="single" w:sz="4" w:space="0" w:color="000000"/>
            </w:tcBorders>
            <w:shd w:val="clear" w:color="auto" w:fill="auto"/>
          </w:tcPr>
          <w:p w14:paraId="24C8679D" w14:textId="77777777" w:rsidR="00272D6C" w:rsidRPr="00272D6C" w:rsidRDefault="00272D6C" w:rsidP="00272D6C">
            <w:pPr>
              <w:suppressAutoHyphens/>
              <w:spacing w:before="40" w:after="40"/>
              <w:rPr>
                <w:rFonts w:eastAsia="細明體" w:cs="Segoe UI"/>
                <w:sz w:val="17"/>
                <w:lang w:eastAsia="ar-SA"/>
              </w:rPr>
            </w:pPr>
            <w:r w:rsidRPr="00272D6C">
              <w:rPr>
                <w:rFonts w:eastAsia="細明體" w:cs="Segoe UI" w:hint="eastAsia"/>
                <w:b/>
                <w:sz w:val="17"/>
                <w:lang w:eastAsia="ar-SA"/>
              </w:rPr>
              <w:t>內容：</w:t>
            </w:r>
            <w:r w:rsidRPr="00272D6C">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373BAF67"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sz w:val="17"/>
                <w:lang w:eastAsia="ar-SA"/>
              </w:rPr>
              <w:t>風險加權數額</w:t>
            </w:r>
            <w:r w:rsidRPr="00272D6C">
              <w:rPr>
                <w:rFonts w:eastAsia="細明體" w:cs="Segoe UI"/>
                <w:sz w:val="17"/>
                <w:lang w:eastAsia="ar-SA"/>
              </w:rPr>
              <w:t>。</w:t>
            </w:r>
          </w:p>
        </w:tc>
      </w:tr>
      <w:tr w:rsidR="00272D6C" w:rsidRPr="00272D6C" w14:paraId="5C6D305A" w14:textId="77777777" w:rsidTr="00E93736">
        <w:tc>
          <w:tcPr>
            <w:tcW w:w="2160" w:type="dxa"/>
            <w:tcBorders>
              <w:top w:val="single" w:sz="4" w:space="0" w:color="000000"/>
              <w:bottom w:val="single" w:sz="4" w:space="0" w:color="000000"/>
            </w:tcBorders>
            <w:shd w:val="clear" w:color="auto" w:fill="auto"/>
          </w:tcPr>
          <w:p w14:paraId="24E6D14C"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頻密程度：</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45F829ED"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每半年一次</w:t>
            </w:r>
            <w:r w:rsidRPr="00272D6C">
              <w:rPr>
                <w:rFonts w:eastAsia="細明體" w:cs="Segoe UI"/>
                <w:sz w:val="17"/>
                <w:lang w:eastAsia="ar-SA"/>
              </w:rPr>
              <w:t>。</w:t>
            </w:r>
          </w:p>
        </w:tc>
      </w:tr>
      <w:tr w:rsidR="00272D6C" w:rsidRPr="00272D6C" w14:paraId="3A7D5801" w14:textId="77777777" w:rsidTr="00E93736">
        <w:tc>
          <w:tcPr>
            <w:tcW w:w="2160" w:type="dxa"/>
            <w:tcBorders>
              <w:top w:val="single" w:sz="4" w:space="0" w:color="000000"/>
              <w:bottom w:val="single" w:sz="4" w:space="0" w:color="000000"/>
            </w:tcBorders>
            <w:shd w:val="clear" w:color="auto" w:fill="auto"/>
          </w:tcPr>
          <w:p w14:paraId="63E4E2EE"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lang w:eastAsia="ar-SA"/>
              </w:rPr>
              <w:t>格式：</w:t>
            </w:r>
            <w:r w:rsidRPr="00272D6C">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5EE2B66D"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固定。</w:t>
            </w:r>
            <w:r w:rsidRPr="00272D6C">
              <w:rPr>
                <w:rFonts w:eastAsia="細明體" w:cs="Segoe UI"/>
                <w:sz w:val="17"/>
                <w:lang w:eastAsia="ar-SA"/>
              </w:rPr>
              <w:t>欄是固定的</w:t>
            </w:r>
            <w:r w:rsidRPr="00272D6C">
              <w:rPr>
                <w:rFonts w:eastAsia="細明體" w:cs="Segoe UI" w:hint="eastAsia"/>
                <w:sz w:val="17"/>
                <w:lang w:eastAsia="ar-SA"/>
              </w:rPr>
              <w:t>；行的</w:t>
            </w:r>
            <w:r w:rsidRPr="00272D6C">
              <w:rPr>
                <w:rFonts w:eastAsia="細明體" w:cs="Segoe UI"/>
                <w:sz w:val="17"/>
                <w:lang w:eastAsia="ar-SA"/>
              </w:rPr>
              <w:t>IRB</w:t>
            </w:r>
            <w:r w:rsidRPr="00272D6C">
              <w:rPr>
                <w:rFonts w:eastAsia="細明體" w:cs="Segoe UI" w:hint="eastAsia"/>
                <w:sz w:val="17"/>
                <w:lang w:eastAsia="ar-SA"/>
              </w:rPr>
              <w:t>類別及子類別細目分類應按照《資本規則》第</w:t>
            </w:r>
            <w:r w:rsidRPr="00272D6C">
              <w:rPr>
                <w:rFonts w:eastAsia="細明體" w:cs="Segoe UI"/>
                <w:sz w:val="17"/>
                <w:lang w:eastAsia="ar-SA"/>
              </w:rPr>
              <w:t>142</w:t>
            </w:r>
            <w:r w:rsidRPr="00272D6C">
              <w:rPr>
                <w:rFonts w:eastAsia="細明體" w:cs="Segoe UI" w:hint="eastAsia"/>
                <w:sz w:val="17"/>
                <w:lang w:eastAsia="ar-SA"/>
              </w:rPr>
              <w:t>條表</w:t>
            </w:r>
            <w:r w:rsidRPr="00272D6C">
              <w:rPr>
                <w:rFonts w:eastAsia="細明體" w:cs="Segoe UI"/>
                <w:sz w:val="17"/>
                <w:lang w:eastAsia="ar-SA"/>
              </w:rPr>
              <w:t>16</w:t>
            </w:r>
            <w:r w:rsidRPr="00272D6C">
              <w:rPr>
                <w:rFonts w:eastAsia="細明體" w:cs="Segoe UI" w:hint="eastAsia"/>
                <w:sz w:val="17"/>
                <w:lang w:eastAsia="ar-SA"/>
              </w:rPr>
              <w:t>指明的風險承擔類別分類。</w:t>
            </w:r>
          </w:p>
        </w:tc>
      </w:tr>
      <w:tr w:rsidR="00272D6C" w:rsidRPr="00272D6C" w14:paraId="43776B87" w14:textId="77777777" w:rsidTr="00E93736">
        <w:tc>
          <w:tcPr>
            <w:tcW w:w="2160" w:type="dxa"/>
            <w:tcBorders>
              <w:top w:val="single" w:sz="4" w:space="0" w:color="000000"/>
              <w:bottom w:val="single" w:sz="4" w:space="0" w:color="000000"/>
            </w:tcBorders>
            <w:shd w:val="clear" w:color="auto" w:fill="auto"/>
          </w:tcPr>
          <w:p w14:paraId="75A5E11F"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szCs w:val="17"/>
                <w:lang w:eastAsia="ar-SA"/>
              </w:rPr>
              <w:t>附加說明：</w:t>
            </w:r>
          </w:p>
        </w:tc>
        <w:tc>
          <w:tcPr>
            <w:tcW w:w="6946" w:type="dxa"/>
            <w:tcBorders>
              <w:top w:val="single" w:sz="4" w:space="0" w:color="000000"/>
              <w:left w:val="single" w:sz="4" w:space="0" w:color="000000"/>
              <w:bottom w:val="single" w:sz="4" w:space="0" w:color="000000"/>
            </w:tcBorders>
            <w:shd w:val="clear" w:color="auto" w:fill="auto"/>
          </w:tcPr>
          <w:p w14:paraId="77BA5C64"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hint="eastAsia"/>
                <w:sz w:val="17"/>
                <w:lang w:eastAsia="ar-SA"/>
              </w:rPr>
              <w:t>認可機構應以敘述評註闡明用作減低信用風險措施的認可信用衍生工具對風險加權數額的影響，以補充本模版。</w:t>
            </w:r>
            <w:r w:rsidRPr="00272D6C">
              <w:rPr>
                <w:rFonts w:eastAsia="細明體" w:cs="Segoe UI"/>
                <w:sz w:val="17"/>
                <w:lang w:eastAsia="ar-SA"/>
              </w:rPr>
              <w:t xml:space="preserve"> </w:t>
            </w:r>
          </w:p>
        </w:tc>
      </w:tr>
      <w:tr w:rsidR="00272D6C" w:rsidRPr="00272D6C" w14:paraId="6B777841" w14:textId="77777777" w:rsidTr="00E93736">
        <w:tc>
          <w:tcPr>
            <w:tcW w:w="2160" w:type="dxa"/>
            <w:tcBorders>
              <w:top w:val="single" w:sz="4" w:space="0" w:color="000000"/>
              <w:bottom w:val="single" w:sz="4" w:space="0" w:color="000000"/>
            </w:tcBorders>
            <w:shd w:val="clear" w:color="auto" w:fill="auto"/>
          </w:tcPr>
          <w:p w14:paraId="5764F5FB" w14:textId="77777777" w:rsidR="00272D6C" w:rsidRPr="00272D6C" w:rsidRDefault="00272D6C" w:rsidP="00272D6C">
            <w:pPr>
              <w:suppressAutoHyphens/>
              <w:spacing w:before="40" w:after="40"/>
              <w:rPr>
                <w:rFonts w:eastAsia="細明體" w:cs="Segoe UI"/>
                <w:lang w:eastAsia="ar-SA"/>
              </w:rPr>
            </w:pPr>
            <w:r w:rsidRPr="00272D6C">
              <w:rPr>
                <w:rFonts w:eastAsia="細明體" w:cs="Segoe UI" w:hint="eastAsia"/>
                <w:b/>
                <w:sz w:val="17"/>
                <w:szCs w:val="17"/>
                <w:lang w:eastAsia="ar-SA"/>
              </w:rPr>
              <w:t>《披露規則》相應條文：</w:t>
            </w:r>
          </w:p>
        </w:tc>
        <w:tc>
          <w:tcPr>
            <w:tcW w:w="6946" w:type="dxa"/>
            <w:tcBorders>
              <w:top w:val="single" w:sz="4" w:space="0" w:color="000000"/>
              <w:left w:val="single" w:sz="4" w:space="0" w:color="000000"/>
              <w:bottom w:val="single" w:sz="4" w:space="0" w:color="000000"/>
            </w:tcBorders>
            <w:shd w:val="clear" w:color="auto" w:fill="auto"/>
          </w:tcPr>
          <w:p w14:paraId="573D7327" w14:textId="77777777" w:rsidR="00272D6C" w:rsidRPr="00272D6C" w:rsidRDefault="00272D6C" w:rsidP="00272D6C">
            <w:pPr>
              <w:suppressAutoHyphens/>
              <w:spacing w:before="40" w:after="40"/>
              <w:jc w:val="both"/>
              <w:rPr>
                <w:rFonts w:cs="Segoe UI"/>
                <w:sz w:val="17"/>
                <w:lang w:eastAsia="ar-SA"/>
              </w:rPr>
            </w:pPr>
            <w:r w:rsidRPr="00272D6C">
              <w:rPr>
                <w:rFonts w:eastAsia="細明體" w:cs="Segoe UI"/>
                <w:sz w:val="17"/>
                <w:lang w:eastAsia="ar-SA"/>
              </w:rPr>
              <w:t xml:space="preserve">16R </w:t>
            </w:r>
          </w:p>
        </w:tc>
      </w:tr>
    </w:tbl>
    <w:p w14:paraId="614D54B1" w14:textId="77777777" w:rsidR="00272D6C" w:rsidRPr="00272D6C" w:rsidRDefault="00272D6C" w:rsidP="00272D6C">
      <w:pPr>
        <w:suppressAutoHyphens/>
        <w:spacing w:before="120" w:after="120"/>
        <w:rPr>
          <w:rFonts w:eastAsia="細明體" w:cs="Segoe UI"/>
          <w:sz w:val="22"/>
          <w:lang w:eastAsia="ar-SA"/>
        </w:rPr>
      </w:pPr>
    </w:p>
    <w:tbl>
      <w:tblPr>
        <w:tblW w:w="9234" w:type="dxa"/>
        <w:tblInd w:w="-567" w:type="dxa"/>
        <w:tblLayout w:type="fixed"/>
        <w:tblCellMar>
          <w:left w:w="0" w:type="dxa"/>
          <w:right w:w="0" w:type="dxa"/>
        </w:tblCellMar>
        <w:tblLook w:val="0000" w:firstRow="0" w:lastRow="0" w:firstColumn="0" w:lastColumn="0" w:noHBand="0" w:noVBand="0"/>
      </w:tblPr>
      <w:tblGrid>
        <w:gridCol w:w="609"/>
        <w:gridCol w:w="5770"/>
        <w:gridCol w:w="1418"/>
        <w:gridCol w:w="1437"/>
      </w:tblGrid>
      <w:tr w:rsidR="00272D6C" w:rsidRPr="00272D6C" w14:paraId="0537969D" w14:textId="77777777" w:rsidTr="009752F0">
        <w:trPr>
          <w:trHeight w:val="263"/>
          <w:tblHeader/>
        </w:trPr>
        <w:tc>
          <w:tcPr>
            <w:tcW w:w="6379" w:type="dxa"/>
            <w:gridSpan w:val="2"/>
            <w:shd w:val="clear" w:color="auto" w:fill="auto"/>
            <w:vAlign w:val="center"/>
          </w:tcPr>
          <w:p w14:paraId="6EB6E689" w14:textId="77777777" w:rsidR="00272D6C" w:rsidRPr="00272D6C" w:rsidRDefault="00272D6C" w:rsidP="00272D6C">
            <w:pPr>
              <w:suppressAutoHyphens/>
              <w:snapToGrid w:val="0"/>
              <w:spacing w:before="40" w:after="40"/>
              <w:rPr>
                <w:rFonts w:eastAsia="細明體" w:cs="Segoe UI"/>
                <w:sz w:val="17"/>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9B7069C" w14:textId="77777777" w:rsidR="00272D6C" w:rsidRPr="00272D6C" w:rsidRDefault="00272D6C" w:rsidP="00272D6C">
            <w:pPr>
              <w:suppressAutoHyphens/>
              <w:snapToGrid w:val="0"/>
              <w:spacing w:before="40" w:after="40"/>
              <w:jc w:val="center"/>
              <w:rPr>
                <w:rFonts w:eastAsia="細明體" w:cs="Segoe UI"/>
                <w:bCs/>
                <w:sz w:val="17"/>
                <w:lang w:eastAsia="ar-SA"/>
              </w:rPr>
            </w:pPr>
            <w:r w:rsidRPr="00272D6C">
              <w:rPr>
                <w:rFonts w:eastAsia="細明體" w:cs="Segoe UI"/>
                <w:bCs/>
                <w:sz w:val="17"/>
                <w:lang w:eastAsia="ar-SA"/>
              </w:rPr>
              <w:t>(a)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7DC9" w14:textId="77777777" w:rsidR="00272D6C" w:rsidRPr="00272D6C" w:rsidRDefault="00272D6C" w:rsidP="00272D6C">
            <w:pPr>
              <w:suppressAutoHyphens/>
              <w:snapToGrid w:val="0"/>
              <w:spacing w:before="40" w:after="40"/>
              <w:jc w:val="center"/>
              <w:rPr>
                <w:rFonts w:cs="Segoe UI"/>
                <w:sz w:val="17"/>
                <w:lang w:eastAsia="ar-SA"/>
              </w:rPr>
            </w:pPr>
            <w:r w:rsidRPr="00272D6C">
              <w:rPr>
                <w:rFonts w:eastAsia="細明體" w:cs="Segoe UI"/>
                <w:bCs/>
                <w:sz w:val="17"/>
                <w:lang w:eastAsia="ar-SA"/>
              </w:rPr>
              <w:t>(b)</w:t>
            </w:r>
          </w:p>
        </w:tc>
      </w:tr>
      <w:tr w:rsidR="00272D6C" w:rsidRPr="00272D6C" w14:paraId="32074B49" w14:textId="77777777" w:rsidTr="009752F0">
        <w:trPr>
          <w:trHeight w:val="528"/>
          <w:tblHeader/>
        </w:trPr>
        <w:tc>
          <w:tcPr>
            <w:tcW w:w="6379" w:type="dxa"/>
            <w:gridSpan w:val="2"/>
            <w:tcBorders>
              <w:bottom w:val="single" w:sz="4" w:space="0" w:color="000000"/>
            </w:tcBorders>
            <w:shd w:val="clear" w:color="auto" w:fill="auto"/>
            <w:vAlign w:val="center"/>
          </w:tcPr>
          <w:p w14:paraId="4099ABA0" w14:textId="77777777" w:rsidR="00272D6C" w:rsidRPr="00272D6C" w:rsidRDefault="00272D6C" w:rsidP="00272D6C">
            <w:pPr>
              <w:suppressAutoHyphens/>
              <w:snapToGrid w:val="0"/>
              <w:spacing w:before="40" w:after="40"/>
              <w:rPr>
                <w:rFonts w:eastAsia="細明體" w:cs="Segoe UI"/>
                <w:sz w:val="17"/>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259E181" w14:textId="77777777" w:rsidR="00272D6C" w:rsidRPr="00272D6C" w:rsidRDefault="00272D6C" w:rsidP="00272D6C">
            <w:pPr>
              <w:suppressAutoHyphens/>
              <w:snapToGrid w:val="0"/>
              <w:spacing w:before="40" w:after="40"/>
              <w:jc w:val="center"/>
              <w:rPr>
                <w:rFonts w:eastAsia="細明體" w:cs="Segoe UI"/>
                <w:sz w:val="17"/>
                <w:lang w:eastAsia="ar-SA"/>
              </w:rPr>
            </w:pPr>
            <w:r w:rsidRPr="00272D6C">
              <w:rPr>
                <w:rFonts w:eastAsia="細明體" w:cs="Segoe UI" w:hint="eastAsia"/>
                <w:sz w:val="17"/>
                <w:lang w:eastAsia="zh-TW"/>
              </w:rPr>
              <w:t>未將</w:t>
            </w:r>
            <w:r w:rsidRPr="00272D6C">
              <w:rPr>
                <w:rFonts w:eastAsia="細明體" w:cs="Segoe UI" w:hint="eastAsia"/>
                <w:sz w:val="17"/>
                <w:lang w:eastAsia="ar-SA"/>
              </w:rPr>
              <w:t>信用衍生工具</w:t>
            </w:r>
            <w:r w:rsidRPr="00272D6C">
              <w:rPr>
                <w:rFonts w:eastAsia="細明體" w:cs="Segoe UI" w:hint="eastAsia"/>
                <w:sz w:val="17"/>
                <w:lang w:eastAsia="zh-TW"/>
              </w:rPr>
              <w:t>計算在內</w:t>
            </w:r>
            <w:r w:rsidRPr="00272D6C">
              <w:rPr>
                <w:rFonts w:eastAsia="細明體" w:cs="Segoe UI" w:hint="eastAsia"/>
                <w:sz w:val="17"/>
                <w:lang w:eastAsia="ar-SA"/>
              </w:rPr>
              <w:t>的風險加權數額</w:t>
            </w:r>
            <w:r w:rsidRPr="00272D6C">
              <w:rPr>
                <w:rFonts w:eastAsia="細明體" w:cs="Segoe UI"/>
                <w:sz w:val="17"/>
                <w:lang w:eastAsia="ar-SA"/>
              </w:rPr>
              <w:t xml:space="preserve"> </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FD89" w14:textId="77777777" w:rsidR="00272D6C" w:rsidRPr="00272D6C" w:rsidRDefault="00272D6C" w:rsidP="00272D6C">
            <w:pPr>
              <w:suppressAutoHyphens/>
              <w:snapToGrid w:val="0"/>
              <w:spacing w:before="40" w:after="40"/>
              <w:jc w:val="center"/>
              <w:rPr>
                <w:rFonts w:cs="Segoe UI"/>
                <w:sz w:val="17"/>
                <w:lang w:eastAsia="ar-SA"/>
              </w:rPr>
            </w:pPr>
            <w:r w:rsidRPr="00272D6C">
              <w:rPr>
                <w:rFonts w:eastAsia="細明體" w:cs="Segoe UI" w:hint="eastAsia"/>
                <w:sz w:val="17"/>
                <w:lang w:eastAsia="ar-SA"/>
              </w:rPr>
              <w:t>實際</w:t>
            </w:r>
            <w:r w:rsidRPr="00272D6C">
              <w:rPr>
                <w:rFonts w:eastAsia="細明體" w:cs="Segoe UI"/>
                <w:sz w:val="17"/>
                <w:lang w:eastAsia="ar-SA"/>
              </w:rPr>
              <w:t>風險加權數額</w:t>
            </w:r>
          </w:p>
        </w:tc>
      </w:tr>
      <w:tr w:rsidR="009752F0" w:rsidRPr="00272D6C" w14:paraId="6686F195" w14:textId="77777777" w:rsidTr="009752F0">
        <w:trPr>
          <w:cantSplit/>
          <w:trHeight w:val="285"/>
        </w:trPr>
        <w:tc>
          <w:tcPr>
            <w:tcW w:w="609" w:type="dxa"/>
            <w:tcBorders>
              <w:top w:val="single" w:sz="4" w:space="0" w:color="000000"/>
              <w:bottom w:val="single" w:sz="4" w:space="0" w:color="C0C0C0"/>
            </w:tcBorders>
            <w:shd w:val="clear" w:color="auto" w:fill="auto"/>
          </w:tcPr>
          <w:p w14:paraId="5CDFF32E" w14:textId="22628AE6"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sz w:val="17"/>
                <w:szCs w:val="17"/>
              </w:rPr>
              <w:t>1</w:t>
            </w:r>
          </w:p>
        </w:tc>
        <w:tc>
          <w:tcPr>
            <w:tcW w:w="5770" w:type="dxa"/>
            <w:tcBorders>
              <w:top w:val="single" w:sz="4" w:space="0" w:color="000000"/>
              <w:left w:val="single" w:sz="4" w:space="0" w:color="000000"/>
              <w:bottom w:val="single" w:sz="4" w:space="0" w:color="C0C0C0"/>
            </w:tcBorders>
            <w:shd w:val="clear" w:color="auto" w:fill="auto"/>
          </w:tcPr>
          <w:p w14:paraId="16810661" w14:textId="02D99B99"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法團</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專門性借貸（項目融資）</w:t>
            </w:r>
          </w:p>
        </w:tc>
        <w:tc>
          <w:tcPr>
            <w:tcW w:w="1418" w:type="dxa"/>
            <w:tcBorders>
              <w:top w:val="single" w:sz="4" w:space="0" w:color="000000"/>
              <w:left w:val="single" w:sz="4" w:space="0" w:color="000000"/>
              <w:bottom w:val="single" w:sz="4" w:space="0" w:color="C0C0C0"/>
            </w:tcBorders>
            <w:shd w:val="clear" w:color="auto" w:fill="auto"/>
          </w:tcPr>
          <w:p w14:paraId="6EDE6278"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000000"/>
              <w:left w:val="single" w:sz="4" w:space="0" w:color="000000"/>
              <w:bottom w:val="single" w:sz="4" w:space="0" w:color="C0C0C0"/>
              <w:right w:val="single" w:sz="4" w:space="0" w:color="000000"/>
            </w:tcBorders>
            <w:shd w:val="clear" w:color="auto" w:fill="auto"/>
          </w:tcPr>
          <w:p w14:paraId="64748E60"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7EE119DF" w14:textId="77777777" w:rsidTr="009752F0">
        <w:trPr>
          <w:cantSplit/>
          <w:trHeight w:val="270"/>
        </w:trPr>
        <w:tc>
          <w:tcPr>
            <w:tcW w:w="609" w:type="dxa"/>
            <w:tcBorders>
              <w:top w:val="single" w:sz="4" w:space="0" w:color="C0C0C0"/>
              <w:bottom w:val="single" w:sz="4" w:space="0" w:color="C0C0C0"/>
            </w:tcBorders>
            <w:shd w:val="clear" w:color="auto" w:fill="auto"/>
          </w:tcPr>
          <w:p w14:paraId="61EED2DE" w14:textId="34BB5093"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sz w:val="17"/>
                <w:szCs w:val="17"/>
              </w:rPr>
              <w:t>2</w:t>
            </w:r>
          </w:p>
        </w:tc>
        <w:tc>
          <w:tcPr>
            <w:tcW w:w="5770" w:type="dxa"/>
            <w:tcBorders>
              <w:top w:val="single" w:sz="4" w:space="0" w:color="C0C0C0"/>
              <w:left w:val="single" w:sz="4" w:space="0" w:color="000000"/>
              <w:bottom w:val="single" w:sz="4" w:space="0" w:color="C0C0C0"/>
            </w:tcBorders>
            <w:shd w:val="clear" w:color="auto" w:fill="auto"/>
          </w:tcPr>
          <w:p w14:paraId="221C8483" w14:textId="7132FBF8"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法團</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專門性借貸（物品融資）</w:t>
            </w:r>
          </w:p>
        </w:tc>
        <w:tc>
          <w:tcPr>
            <w:tcW w:w="1418" w:type="dxa"/>
            <w:tcBorders>
              <w:top w:val="single" w:sz="4" w:space="0" w:color="C0C0C0"/>
              <w:left w:val="single" w:sz="4" w:space="0" w:color="000000"/>
              <w:bottom w:val="single" w:sz="4" w:space="0" w:color="C0C0C0"/>
            </w:tcBorders>
            <w:shd w:val="clear" w:color="auto" w:fill="auto"/>
          </w:tcPr>
          <w:p w14:paraId="3B1464B7"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18689321"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6B8AFBA0" w14:textId="77777777" w:rsidTr="009752F0">
        <w:trPr>
          <w:cantSplit/>
          <w:trHeight w:val="270"/>
        </w:trPr>
        <w:tc>
          <w:tcPr>
            <w:tcW w:w="609" w:type="dxa"/>
            <w:tcBorders>
              <w:top w:val="single" w:sz="4" w:space="0" w:color="C0C0C0"/>
              <w:bottom w:val="single" w:sz="4" w:space="0" w:color="C0C0C0"/>
            </w:tcBorders>
            <w:shd w:val="clear" w:color="auto" w:fill="auto"/>
          </w:tcPr>
          <w:p w14:paraId="1CAA8BC1" w14:textId="03050353"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sz w:val="17"/>
                <w:szCs w:val="17"/>
              </w:rPr>
              <w:t>3</w:t>
            </w:r>
          </w:p>
        </w:tc>
        <w:tc>
          <w:tcPr>
            <w:tcW w:w="5770" w:type="dxa"/>
            <w:tcBorders>
              <w:top w:val="single" w:sz="4" w:space="0" w:color="C0C0C0"/>
              <w:left w:val="single" w:sz="4" w:space="0" w:color="000000"/>
              <w:bottom w:val="single" w:sz="4" w:space="0" w:color="C0C0C0"/>
            </w:tcBorders>
            <w:shd w:val="clear" w:color="auto" w:fill="auto"/>
          </w:tcPr>
          <w:p w14:paraId="55C03BCF" w14:textId="4BF94C8F"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法團</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專門性借貸（商品融資）</w:t>
            </w:r>
          </w:p>
        </w:tc>
        <w:tc>
          <w:tcPr>
            <w:tcW w:w="1418" w:type="dxa"/>
            <w:tcBorders>
              <w:top w:val="single" w:sz="4" w:space="0" w:color="C0C0C0"/>
              <w:left w:val="single" w:sz="4" w:space="0" w:color="000000"/>
              <w:bottom w:val="single" w:sz="4" w:space="0" w:color="C0C0C0"/>
            </w:tcBorders>
            <w:shd w:val="clear" w:color="auto" w:fill="auto"/>
          </w:tcPr>
          <w:p w14:paraId="4AC36617"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45305DCB"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01FECEC0" w14:textId="77777777" w:rsidTr="009752F0">
        <w:trPr>
          <w:cantSplit/>
          <w:trHeight w:val="270"/>
        </w:trPr>
        <w:tc>
          <w:tcPr>
            <w:tcW w:w="609" w:type="dxa"/>
            <w:tcBorders>
              <w:top w:val="single" w:sz="4" w:space="0" w:color="C0C0C0"/>
              <w:bottom w:val="single" w:sz="4" w:space="0" w:color="C0C0C0"/>
            </w:tcBorders>
            <w:shd w:val="clear" w:color="auto" w:fill="auto"/>
          </w:tcPr>
          <w:p w14:paraId="4DE422E2" w14:textId="7BD318DA"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sz w:val="17"/>
                <w:szCs w:val="17"/>
              </w:rPr>
              <w:t>4</w:t>
            </w:r>
          </w:p>
        </w:tc>
        <w:tc>
          <w:tcPr>
            <w:tcW w:w="5770" w:type="dxa"/>
            <w:tcBorders>
              <w:top w:val="single" w:sz="4" w:space="0" w:color="C0C0C0"/>
              <w:left w:val="single" w:sz="4" w:space="0" w:color="000000"/>
              <w:bottom w:val="single" w:sz="4" w:space="0" w:color="C0C0C0"/>
            </w:tcBorders>
            <w:shd w:val="clear" w:color="auto" w:fill="auto"/>
          </w:tcPr>
          <w:p w14:paraId="441B1862" w14:textId="35FAF745"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法團</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專門性借貸（具收益地產）</w:t>
            </w:r>
          </w:p>
        </w:tc>
        <w:tc>
          <w:tcPr>
            <w:tcW w:w="1418" w:type="dxa"/>
            <w:tcBorders>
              <w:top w:val="single" w:sz="4" w:space="0" w:color="C0C0C0"/>
              <w:left w:val="single" w:sz="4" w:space="0" w:color="000000"/>
              <w:bottom w:val="single" w:sz="4" w:space="0" w:color="C0C0C0"/>
            </w:tcBorders>
            <w:shd w:val="clear" w:color="auto" w:fill="auto"/>
          </w:tcPr>
          <w:p w14:paraId="5E835119"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6ECB22B1"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00E54E3E" w14:textId="77777777" w:rsidTr="009752F0">
        <w:trPr>
          <w:cantSplit/>
          <w:trHeight w:val="270"/>
        </w:trPr>
        <w:tc>
          <w:tcPr>
            <w:tcW w:w="609" w:type="dxa"/>
            <w:tcBorders>
              <w:top w:val="single" w:sz="4" w:space="0" w:color="C0C0C0"/>
              <w:bottom w:val="single" w:sz="4" w:space="0" w:color="C0C0C0"/>
            </w:tcBorders>
            <w:shd w:val="clear" w:color="auto" w:fill="auto"/>
          </w:tcPr>
          <w:p w14:paraId="274E4556" w14:textId="3A43608C"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sz w:val="17"/>
                <w:szCs w:val="17"/>
              </w:rPr>
              <w:t>5</w:t>
            </w:r>
          </w:p>
        </w:tc>
        <w:tc>
          <w:tcPr>
            <w:tcW w:w="5770" w:type="dxa"/>
            <w:tcBorders>
              <w:top w:val="single" w:sz="4" w:space="0" w:color="C0C0C0"/>
              <w:left w:val="single" w:sz="4" w:space="0" w:color="000000"/>
              <w:bottom w:val="single" w:sz="4" w:space="0" w:color="C0C0C0"/>
            </w:tcBorders>
            <w:shd w:val="clear" w:color="auto" w:fill="auto"/>
          </w:tcPr>
          <w:p w14:paraId="00C6C6D2" w14:textId="45DB9E5F"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法團</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專門性借貸（高波動性商業地產）</w:t>
            </w:r>
          </w:p>
        </w:tc>
        <w:tc>
          <w:tcPr>
            <w:tcW w:w="1418" w:type="dxa"/>
            <w:tcBorders>
              <w:top w:val="single" w:sz="4" w:space="0" w:color="C0C0C0"/>
              <w:left w:val="single" w:sz="4" w:space="0" w:color="000000"/>
              <w:bottom w:val="single" w:sz="4" w:space="0" w:color="C0C0C0"/>
            </w:tcBorders>
            <w:shd w:val="clear" w:color="auto" w:fill="auto"/>
          </w:tcPr>
          <w:p w14:paraId="64C610D9"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1D813545"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2B9A7E60" w14:textId="77777777" w:rsidTr="009752F0">
        <w:trPr>
          <w:cantSplit/>
          <w:trHeight w:val="270"/>
        </w:trPr>
        <w:tc>
          <w:tcPr>
            <w:tcW w:w="609" w:type="dxa"/>
            <w:tcBorders>
              <w:top w:val="single" w:sz="4" w:space="0" w:color="C0C0C0"/>
              <w:bottom w:val="single" w:sz="4" w:space="0" w:color="C0C0C0"/>
            </w:tcBorders>
            <w:shd w:val="clear" w:color="auto" w:fill="auto"/>
          </w:tcPr>
          <w:p w14:paraId="77F76082" w14:textId="15576F3E"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sz w:val="17"/>
                <w:szCs w:val="17"/>
              </w:rPr>
              <w:t>6</w:t>
            </w:r>
          </w:p>
        </w:tc>
        <w:tc>
          <w:tcPr>
            <w:tcW w:w="5770" w:type="dxa"/>
            <w:tcBorders>
              <w:top w:val="single" w:sz="4" w:space="0" w:color="C0C0C0"/>
              <w:left w:val="single" w:sz="4" w:space="0" w:color="000000"/>
              <w:bottom w:val="single" w:sz="4" w:space="0" w:color="C0C0C0"/>
            </w:tcBorders>
            <w:shd w:val="clear" w:color="auto" w:fill="auto"/>
          </w:tcPr>
          <w:p w14:paraId="683E6013" w14:textId="56535100" w:rsidR="009752F0" w:rsidRPr="009752F0" w:rsidRDefault="009752F0" w:rsidP="009752F0">
            <w:pPr>
              <w:suppressAutoHyphens/>
              <w:snapToGrid w:val="0"/>
              <w:spacing w:before="40" w:after="40"/>
              <w:ind w:left="57" w:right="142"/>
              <w:rPr>
                <w:rFonts w:eastAsia="細明體" w:cs="Segoe UI"/>
                <w:sz w:val="17"/>
                <w:szCs w:val="17"/>
                <w:lang w:eastAsia="ar-SA"/>
              </w:rPr>
            </w:pPr>
            <w:proofErr w:type="spellStart"/>
            <w:r w:rsidRPr="009752F0">
              <w:rPr>
                <w:rFonts w:eastAsia="細明體" w:hint="eastAsia"/>
                <w:sz w:val="17"/>
                <w:szCs w:val="17"/>
              </w:rPr>
              <w:t>法團</w:t>
            </w:r>
            <w:proofErr w:type="spellEnd"/>
            <w:r w:rsidRPr="009752F0">
              <w:rPr>
                <w:rFonts w:ascii="細明體" w:eastAsia="細明體" w:hAnsi="細明體" w:cs="細明體" w:hint="eastAsia"/>
                <w:sz w:val="17"/>
                <w:szCs w:val="17"/>
              </w:rPr>
              <w:t>──</w:t>
            </w:r>
            <w:proofErr w:type="spellStart"/>
            <w:r w:rsidRPr="009752F0">
              <w:rPr>
                <w:rFonts w:eastAsia="細明體" w:hint="eastAsia"/>
                <w:sz w:val="17"/>
                <w:szCs w:val="17"/>
              </w:rPr>
              <w:t>中小型法團</w:t>
            </w:r>
            <w:proofErr w:type="spellEnd"/>
          </w:p>
        </w:tc>
        <w:tc>
          <w:tcPr>
            <w:tcW w:w="1418" w:type="dxa"/>
            <w:tcBorders>
              <w:top w:val="single" w:sz="4" w:space="0" w:color="C0C0C0"/>
              <w:left w:val="single" w:sz="4" w:space="0" w:color="000000"/>
              <w:bottom w:val="single" w:sz="4" w:space="0" w:color="C0C0C0"/>
            </w:tcBorders>
            <w:shd w:val="clear" w:color="auto" w:fill="auto"/>
          </w:tcPr>
          <w:p w14:paraId="3BF8A03B"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4C27BD6B"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0EA26F27" w14:textId="77777777" w:rsidTr="009752F0">
        <w:trPr>
          <w:cantSplit/>
          <w:trHeight w:val="270"/>
        </w:trPr>
        <w:tc>
          <w:tcPr>
            <w:tcW w:w="609" w:type="dxa"/>
            <w:tcBorders>
              <w:top w:val="single" w:sz="4" w:space="0" w:color="C0C0C0"/>
              <w:bottom w:val="single" w:sz="4" w:space="0" w:color="C0C0C0"/>
            </w:tcBorders>
            <w:shd w:val="clear" w:color="auto" w:fill="auto"/>
          </w:tcPr>
          <w:p w14:paraId="60EEEDCF" w14:textId="55573EAC"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7</w:t>
            </w:r>
          </w:p>
        </w:tc>
        <w:tc>
          <w:tcPr>
            <w:tcW w:w="5770" w:type="dxa"/>
            <w:tcBorders>
              <w:top w:val="single" w:sz="4" w:space="0" w:color="C0C0C0"/>
              <w:left w:val="single" w:sz="4" w:space="0" w:color="000000"/>
              <w:bottom w:val="single" w:sz="4" w:space="0" w:color="C0C0C0"/>
            </w:tcBorders>
            <w:shd w:val="clear" w:color="auto" w:fill="auto"/>
          </w:tcPr>
          <w:p w14:paraId="4925FC3C" w14:textId="0F0C25E1" w:rsidR="009752F0" w:rsidRPr="009752F0" w:rsidRDefault="009752F0" w:rsidP="009752F0">
            <w:pPr>
              <w:suppressAutoHyphens/>
              <w:snapToGrid w:val="0"/>
              <w:spacing w:before="40" w:after="40"/>
              <w:ind w:left="57" w:right="142"/>
              <w:rPr>
                <w:rFonts w:eastAsia="細明體" w:cs="Segoe UI"/>
                <w:sz w:val="17"/>
                <w:szCs w:val="17"/>
                <w:lang w:eastAsia="ar-SA"/>
              </w:rPr>
            </w:pPr>
            <w:proofErr w:type="spellStart"/>
            <w:r w:rsidRPr="009752F0">
              <w:rPr>
                <w:rFonts w:eastAsia="細明體" w:hint="eastAsia"/>
                <w:sz w:val="17"/>
                <w:szCs w:val="17"/>
              </w:rPr>
              <w:t>法團</w:t>
            </w:r>
            <w:proofErr w:type="spellEnd"/>
            <w:r w:rsidRPr="009752F0">
              <w:rPr>
                <w:rFonts w:ascii="細明體" w:eastAsia="細明體" w:hAnsi="細明體" w:cs="細明體" w:hint="eastAsia"/>
                <w:sz w:val="17"/>
                <w:szCs w:val="17"/>
              </w:rPr>
              <w:t>──</w:t>
            </w:r>
            <w:r w:rsidRPr="009752F0">
              <w:rPr>
                <w:rFonts w:ascii="細明體" w:eastAsia="細明體" w:hAnsi="細明體" w:cs="細明體" w:hint="eastAsia"/>
                <w:sz w:val="17"/>
                <w:szCs w:val="17"/>
                <w:lang w:eastAsia="zh-HK"/>
              </w:rPr>
              <w:t>大</w:t>
            </w:r>
            <w:proofErr w:type="spellStart"/>
            <w:r w:rsidRPr="009752F0">
              <w:rPr>
                <w:rFonts w:eastAsia="細明體" w:hint="eastAsia"/>
                <w:sz w:val="17"/>
                <w:szCs w:val="17"/>
              </w:rPr>
              <w:t>型法團</w:t>
            </w:r>
            <w:proofErr w:type="spellEnd"/>
          </w:p>
        </w:tc>
        <w:tc>
          <w:tcPr>
            <w:tcW w:w="1418" w:type="dxa"/>
            <w:tcBorders>
              <w:top w:val="single" w:sz="4" w:space="0" w:color="C0C0C0"/>
              <w:left w:val="single" w:sz="4" w:space="0" w:color="000000"/>
              <w:bottom w:val="single" w:sz="4" w:space="0" w:color="C0C0C0"/>
            </w:tcBorders>
            <w:shd w:val="clear" w:color="auto" w:fill="auto"/>
          </w:tcPr>
          <w:p w14:paraId="514A6210"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2DA0D89B"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3E035756" w14:textId="77777777" w:rsidTr="009752F0">
        <w:trPr>
          <w:cantSplit/>
          <w:trHeight w:val="270"/>
        </w:trPr>
        <w:tc>
          <w:tcPr>
            <w:tcW w:w="609" w:type="dxa"/>
            <w:tcBorders>
              <w:top w:val="single" w:sz="4" w:space="0" w:color="C0C0C0"/>
              <w:bottom w:val="single" w:sz="4" w:space="0" w:color="C0C0C0"/>
            </w:tcBorders>
            <w:shd w:val="clear" w:color="auto" w:fill="auto"/>
          </w:tcPr>
          <w:p w14:paraId="088EF188" w14:textId="6015D099"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8</w:t>
            </w:r>
          </w:p>
        </w:tc>
        <w:tc>
          <w:tcPr>
            <w:tcW w:w="5770" w:type="dxa"/>
            <w:tcBorders>
              <w:top w:val="single" w:sz="4" w:space="0" w:color="C0C0C0"/>
              <w:left w:val="single" w:sz="4" w:space="0" w:color="000000"/>
              <w:bottom w:val="single" w:sz="4" w:space="0" w:color="C0C0C0"/>
            </w:tcBorders>
            <w:shd w:val="clear" w:color="auto" w:fill="auto"/>
          </w:tcPr>
          <w:p w14:paraId="6ED49105" w14:textId="3FF06FB3"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法團</w:t>
            </w:r>
            <w:proofErr w:type="gramStart"/>
            <w:r w:rsidRPr="009752F0">
              <w:rPr>
                <w:rFonts w:ascii="細明體" w:eastAsia="細明體" w:hAnsi="細明體" w:cs="細明體" w:hint="eastAsia"/>
                <w:sz w:val="17"/>
                <w:szCs w:val="17"/>
                <w:lang w:eastAsia="zh-TW"/>
              </w:rPr>
              <w:t>──視為</w:t>
            </w:r>
            <w:r w:rsidRPr="009752F0">
              <w:rPr>
                <w:rFonts w:ascii="細明體" w:eastAsia="細明體" w:hAnsi="細明體" w:cs="細明體" w:hint="eastAsia"/>
                <w:sz w:val="17"/>
                <w:szCs w:val="17"/>
                <w:lang w:eastAsia="zh-HK"/>
              </w:rPr>
              <w:t>法團的</w:t>
            </w:r>
            <w:proofErr w:type="gramEnd"/>
            <w:r w:rsidRPr="009752F0">
              <w:rPr>
                <w:rFonts w:ascii="細明體" w:eastAsia="細明體" w:hAnsi="細明體" w:cs="細明體" w:hint="eastAsia"/>
                <w:sz w:val="17"/>
                <w:szCs w:val="17"/>
                <w:lang w:eastAsia="zh-HK"/>
              </w:rPr>
              <w:t>金融機構</w:t>
            </w:r>
          </w:p>
        </w:tc>
        <w:tc>
          <w:tcPr>
            <w:tcW w:w="1418" w:type="dxa"/>
            <w:tcBorders>
              <w:top w:val="single" w:sz="4" w:space="0" w:color="C0C0C0"/>
              <w:left w:val="single" w:sz="4" w:space="0" w:color="000000"/>
              <w:bottom w:val="single" w:sz="4" w:space="0" w:color="C0C0C0"/>
            </w:tcBorders>
            <w:shd w:val="clear" w:color="auto" w:fill="auto"/>
          </w:tcPr>
          <w:p w14:paraId="6BCC69DF"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1C066FFF"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09C24E1C" w14:textId="77777777" w:rsidTr="009752F0">
        <w:trPr>
          <w:cantSplit/>
          <w:trHeight w:val="270"/>
        </w:trPr>
        <w:tc>
          <w:tcPr>
            <w:tcW w:w="609" w:type="dxa"/>
            <w:tcBorders>
              <w:top w:val="single" w:sz="4" w:space="0" w:color="C0C0C0"/>
              <w:bottom w:val="single" w:sz="4" w:space="0" w:color="C0C0C0"/>
            </w:tcBorders>
            <w:shd w:val="clear" w:color="auto" w:fill="auto"/>
          </w:tcPr>
          <w:p w14:paraId="213A65F2" w14:textId="77ECEC6D"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9</w:t>
            </w:r>
          </w:p>
        </w:tc>
        <w:tc>
          <w:tcPr>
            <w:tcW w:w="5770" w:type="dxa"/>
            <w:tcBorders>
              <w:top w:val="single" w:sz="4" w:space="0" w:color="C0C0C0"/>
              <w:left w:val="single" w:sz="4" w:space="0" w:color="000000"/>
              <w:bottom w:val="single" w:sz="4" w:space="0" w:color="C0C0C0"/>
            </w:tcBorders>
            <w:shd w:val="clear" w:color="auto" w:fill="auto"/>
          </w:tcPr>
          <w:p w14:paraId="5865B760" w14:textId="60C5F13E" w:rsidR="009752F0" w:rsidRPr="009752F0" w:rsidRDefault="009752F0" w:rsidP="009752F0">
            <w:pPr>
              <w:suppressAutoHyphens/>
              <w:snapToGrid w:val="0"/>
              <w:spacing w:before="40" w:after="40"/>
              <w:ind w:left="57" w:right="142"/>
              <w:rPr>
                <w:rFonts w:eastAsia="細明體" w:cs="Segoe UI"/>
                <w:sz w:val="17"/>
                <w:szCs w:val="17"/>
                <w:lang w:eastAsia="ar-SA"/>
              </w:rPr>
            </w:pPr>
            <w:proofErr w:type="spellStart"/>
            <w:r w:rsidRPr="009752F0">
              <w:rPr>
                <w:rFonts w:eastAsia="細明體" w:hint="eastAsia"/>
                <w:sz w:val="17"/>
                <w:szCs w:val="17"/>
              </w:rPr>
              <w:t>法團</w:t>
            </w:r>
            <w:proofErr w:type="spellEnd"/>
            <w:r w:rsidRPr="009752F0">
              <w:rPr>
                <w:rFonts w:ascii="細明體" w:eastAsia="細明體" w:hAnsi="細明體" w:cs="細明體" w:hint="eastAsia"/>
                <w:sz w:val="17"/>
                <w:szCs w:val="17"/>
              </w:rPr>
              <w:t>──</w:t>
            </w:r>
            <w:proofErr w:type="spellStart"/>
            <w:r w:rsidRPr="009752F0">
              <w:rPr>
                <w:rFonts w:eastAsia="細明體" w:hint="eastAsia"/>
                <w:sz w:val="17"/>
                <w:szCs w:val="17"/>
              </w:rPr>
              <w:t>其他法團</w:t>
            </w:r>
            <w:proofErr w:type="spellEnd"/>
          </w:p>
        </w:tc>
        <w:tc>
          <w:tcPr>
            <w:tcW w:w="1418" w:type="dxa"/>
            <w:tcBorders>
              <w:top w:val="single" w:sz="4" w:space="0" w:color="C0C0C0"/>
              <w:left w:val="single" w:sz="4" w:space="0" w:color="000000"/>
              <w:bottom w:val="single" w:sz="4" w:space="0" w:color="C0C0C0"/>
            </w:tcBorders>
            <w:shd w:val="clear" w:color="auto" w:fill="auto"/>
          </w:tcPr>
          <w:p w14:paraId="5138BC22"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08965187"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57F266A9" w14:textId="77777777" w:rsidTr="009752F0">
        <w:trPr>
          <w:cantSplit/>
          <w:trHeight w:val="270"/>
        </w:trPr>
        <w:tc>
          <w:tcPr>
            <w:tcW w:w="609" w:type="dxa"/>
            <w:tcBorders>
              <w:top w:val="single" w:sz="4" w:space="0" w:color="C0C0C0"/>
              <w:bottom w:val="single" w:sz="4" w:space="0" w:color="C0C0C0"/>
            </w:tcBorders>
            <w:shd w:val="clear" w:color="auto" w:fill="auto"/>
          </w:tcPr>
          <w:p w14:paraId="7E3B4622" w14:textId="5737140C"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10</w:t>
            </w:r>
          </w:p>
        </w:tc>
        <w:tc>
          <w:tcPr>
            <w:tcW w:w="5770" w:type="dxa"/>
            <w:tcBorders>
              <w:top w:val="single" w:sz="4" w:space="0" w:color="C0C0C0"/>
              <w:left w:val="single" w:sz="4" w:space="0" w:color="000000"/>
              <w:bottom w:val="single" w:sz="4" w:space="0" w:color="C0C0C0"/>
            </w:tcBorders>
            <w:shd w:val="clear" w:color="auto" w:fill="auto"/>
          </w:tcPr>
          <w:p w14:paraId="42FE8EDF" w14:textId="2DC8B56D"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HK"/>
              </w:rPr>
              <w:t>官方實體</w:t>
            </w:r>
            <w:r w:rsidRPr="009752F0">
              <w:rPr>
                <w:rFonts w:ascii="細明體" w:eastAsia="細明體" w:hAnsi="細明體" w:cs="細明體" w:hint="eastAsia"/>
                <w:sz w:val="17"/>
                <w:szCs w:val="17"/>
              </w:rPr>
              <w:t>──</w:t>
            </w:r>
            <w:proofErr w:type="spellStart"/>
            <w:r w:rsidRPr="009752F0">
              <w:rPr>
                <w:rFonts w:eastAsia="細明體" w:hint="eastAsia"/>
                <w:sz w:val="17"/>
                <w:szCs w:val="17"/>
              </w:rPr>
              <w:t>官方實體</w:t>
            </w:r>
            <w:proofErr w:type="spellEnd"/>
          </w:p>
        </w:tc>
        <w:tc>
          <w:tcPr>
            <w:tcW w:w="1418" w:type="dxa"/>
            <w:tcBorders>
              <w:top w:val="single" w:sz="4" w:space="0" w:color="C0C0C0"/>
              <w:left w:val="single" w:sz="4" w:space="0" w:color="000000"/>
              <w:bottom w:val="single" w:sz="4" w:space="0" w:color="C0C0C0"/>
            </w:tcBorders>
            <w:shd w:val="clear" w:color="auto" w:fill="auto"/>
          </w:tcPr>
          <w:p w14:paraId="3ABBD90E"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5382B1F8"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716A3122" w14:textId="77777777" w:rsidTr="009752F0">
        <w:trPr>
          <w:cantSplit/>
          <w:trHeight w:val="270"/>
        </w:trPr>
        <w:tc>
          <w:tcPr>
            <w:tcW w:w="609" w:type="dxa"/>
            <w:tcBorders>
              <w:top w:val="single" w:sz="4" w:space="0" w:color="C0C0C0"/>
              <w:bottom w:val="single" w:sz="4" w:space="0" w:color="C0C0C0"/>
            </w:tcBorders>
            <w:shd w:val="clear" w:color="auto" w:fill="auto"/>
          </w:tcPr>
          <w:p w14:paraId="09594CFF" w14:textId="7708F356"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11</w:t>
            </w:r>
          </w:p>
        </w:tc>
        <w:tc>
          <w:tcPr>
            <w:tcW w:w="5770" w:type="dxa"/>
            <w:tcBorders>
              <w:top w:val="single" w:sz="4" w:space="0" w:color="C0C0C0"/>
              <w:left w:val="single" w:sz="4" w:space="0" w:color="000000"/>
              <w:bottom w:val="single" w:sz="4" w:space="0" w:color="C0C0C0"/>
            </w:tcBorders>
            <w:shd w:val="clear" w:color="auto" w:fill="auto"/>
          </w:tcPr>
          <w:p w14:paraId="41EB7FD2" w14:textId="72B283D5"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HK"/>
              </w:rPr>
              <w:t>官方實體</w:t>
            </w:r>
            <w:r w:rsidRPr="009752F0">
              <w:rPr>
                <w:rFonts w:ascii="細明體" w:eastAsia="細明體" w:hAnsi="細明體" w:cs="細明體" w:hint="eastAsia"/>
                <w:sz w:val="17"/>
                <w:szCs w:val="17"/>
                <w:lang w:eastAsia="zh-TW"/>
              </w:rPr>
              <w:t>──</w:t>
            </w:r>
            <w:r w:rsidRPr="009752F0">
              <w:rPr>
                <w:rFonts w:eastAsia="細明體" w:hint="eastAsia"/>
                <w:sz w:val="17"/>
                <w:szCs w:val="17"/>
                <w:lang w:eastAsia="zh-TW"/>
              </w:rPr>
              <w:t>屬官方實體的非本地公營單位</w:t>
            </w:r>
          </w:p>
        </w:tc>
        <w:tc>
          <w:tcPr>
            <w:tcW w:w="1418" w:type="dxa"/>
            <w:tcBorders>
              <w:top w:val="single" w:sz="4" w:space="0" w:color="C0C0C0"/>
              <w:left w:val="single" w:sz="4" w:space="0" w:color="000000"/>
              <w:bottom w:val="single" w:sz="4" w:space="0" w:color="C0C0C0"/>
            </w:tcBorders>
            <w:shd w:val="clear" w:color="auto" w:fill="auto"/>
          </w:tcPr>
          <w:p w14:paraId="02936313"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6B4C83D3"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3DBB9B80" w14:textId="77777777" w:rsidTr="009752F0">
        <w:trPr>
          <w:cantSplit/>
          <w:trHeight w:val="270"/>
        </w:trPr>
        <w:tc>
          <w:tcPr>
            <w:tcW w:w="609" w:type="dxa"/>
            <w:tcBorders>
              <w:top w:val="single" w:sz="4" w:space="0" w:color="C0C0C0"/>
              <w:bottom w:val="single" w:sz="4" w:space="0" w:color="C0C0C0"/>
            </w:tcBorders>
            <w:shd w:val="clear" w:color="auto" w:fill="auto"/>
          </w:tcPr>
          <w:p w14:paraId="11EBE376" w14:textId="29578C94" w:rsidR="009752F0" w:rsidRPr="009752F0" w:rsidRDefault="00205121" w:rsidP="009752F0">
            <w:pPr>
              <w:suppressAutoHyphens/>
              <w:snapToGrid w:val="0"/>
              <w:spacing w:before="40" w:after="40"/>
              <w:ind w:left="57"/>
              <w:rPr>
                <w:rFonts w:eastAsia="細明體" w:cs="Segoe UI"/>
                <w:sz w:val="17"/>
                <w:szCs w:val="17"/>
                <w:lang w:eastAsia="ar-SA"/>
              </w:rPr>
            </w:pPr>
            <w:r>
              <w:rPr>
                <w:rFonts w:eastAsia="細明體" w:hint="eastAsia"/>
                <w:sz w:val="17"/>
                <w:szCs w:val="17"/>
                <w:lang w:eastAsia="zh-TW"/>
              </w:rPr>
              <w:t>12</w:t>
            </w:r>
          </w:p>
        </w:tc>
        <w:tc>
          <w:tcPr>
            <w:tcW w:w="5770" w:type="dxa"/>
            <w:tcBorders>
              <w:top w:val="single" w:sz="4" w:space="0" w:color="C0C0C0"/>
              <w:left w:val="single" w:sz="4" w:space="0" w:color="000000"/>
              <w:bottom w:val="single" w:sz="4" w:space="0" w:color="C0C0C0"/>
            </w:tcBorders>
            <w:shd w:val="clear" w:color="auto" w:fill="auto"/>
          </w:tcPr>
          <w:p w14:paraId="2181CDF5" w14:textId="3C13B5D8"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HK"/>
              </w:rPr>
              <w:t>官方實體</w:t>
            </w:r>
            <w:r w:rsidRPr="009752F0">
              <w:rPr>
                <w:rFonts w:ascii="細明體" w:eastAsia="細明體" w:hAnsi="細明體" w:cs="細明體" w:hint="eastAsia"/>
                <w:sz w:val="17"/>
                <w:szCs w:val="17"/>
                <w:lang w:eastAsia="zh-TW"/>
              </w:rPr>
              <w:t>──</w:t>
            </w:r>
            <w:r w:rsidRPr="009752F0">
              <w:rPr>
                <w:rFonts w:eastAsia="細明體" w:hint="eastAsia"/>
                <w:sz w:val="17"/>
                <w:szCs w:val="17"/>
                <w:lang w:eastAsia="zh-TW"/>
              </w:rPr>
              <w:t>多邊發展銀行</w:t>
            </w:r>
          </w:p>
        </w:tc>
        <w:tc>
          <w:tcPr>
            <w:tcW w:w="1418" w:type="dxa"/>
            <w:tcBorders>
              <w:top w:val="single" w:sz="4" w:space="0" w:color="C0C0C0"/>
              <w:left w:val="single" w:sz="4" w:space="0" w:color="000000"/>
              <w:bottom w:val="single" w:sz="4" w:space="0" w:color="C0C0C0"/>
            </w:tcBorders>
            <w:shd w:val="clear" w:color="auto" w:fill="auto"/>
          </w:tcPr>
          <w:p w14:paraId="0BC6EA4D"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69174B96"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5086437F" w14:textId="77777777" w:rsidTr="009752F0">
        <w:trPr>
          <w:cantSplit/>
          <w:trHeight w:val="270"/>
        </w:trPr>
        <w:tc>
          <w:tcPr>
            <w:tcW w:w="609" w:type="dxa"/>
            <w:tcBorders>
              <w:top w:val="single" w:sz="4" w:space="0" w:color="C0C0C0"/>
              <w:bottom w:val="single" w:sz="4" w:space="0" w:color="C0C0C0"/>
            </w:tcBorders>
            <w:shd w:val="clear" w:color="auto" w:fill="auto"/>
          </w:tcPr>
          <w:p w14:paraId="61494774" w14:textId="355CAA5A" w:rsidR="009752F0" w:rsidRPr="009752F0" w:rsidRDefault="00205121" w:rsidP="009752F0">
            <w:pPr>
              <w:suppressAutoHyphens/>
              <w:snapToGrid w:val="0"/>
              <w:spacing w:before="40" w:after="40"/>
              <w:ind w:left="57"/>
              <w:rPr>
                <w:rFonts w:eastAsia="細明體" w:cs="Segoe UI"/>
                <w:sz w:val="17"/>
                <w:szCs w:val="17"/>
                <w:lang w:eastAsia="ar-SA"/>
              </w:rPr>
            </w:pPr>
            <w:r>
              <w:rPr>
                <w:rFonts w:eastAsia="細明體" w:hint="eastAsia"/>
                <w:sz w:val="17"/>
                <w:szCs w:val="17"/>
                <w:lang w:eastAsia="zh-TW"/>
              </w:rPr>
              <w:t>13</w:t>
            </w:r>
          </w:p>
        </w:tc>
        <w:tc>
          <w:tcPr>
            <w:tcW w:w="5770" w:type="dxa"/>
            <w:tcBorders>
              <w:top w:val="single" w:sz="4" w:space="0" w:color="C0C0C0"/>
              <w:left w:val="single" w:sz="4" w:space="0" w:color="000000"/>
              <w:bottom w:val="single" w:sz="4" w:space="0" w:color="C0C0C0"/>
            </w:tcBorders>
            <w:shd w:val="clear" w:color="auto" w:fill="auto"/>
          </w:tcPr>
          <w:p w14:paraId="534711B2" w14:textId="3F001CCE"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銀行</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銀行（</w:t>
            </w:r>
            <w:r w:rsidRPr="009752F0">
              <w:rPr>
                <w:rFonts w:eastAsia="細明體" w:hint="eastAsia"/>
                <w:sz w:val="17"/>
                <w:szCs w:val="17"/>
                <w:lang w:eastAsia="zh-HK"/>
              </w:rPr>
              <w:t>不包括資產覆蓋債券</w:t>
            </w:r>
            <w:r w:rsidRPr="009752F0">
              <w:rPr>
                <w:rFonts w:eastAsia="細明體" w:hint="eastAsia"/>
                <w:sz w:val="17"/>
                <w:szCs w:val="17"/>
                <w:lang w:eastAsia="zh-TW"/>
              </w:rPr>
              <w:t>）</w:t>
            </w:r>
          </w:p>
        </w:tc>
        <w:tc>
          <w:tcPr>
            <w:tcW w:w="1418" w:type="dxa"/>
            <w:tcBorders>
              <w:top w:val="single" w:sz="4" w:space="0" w:color="C0C0C0"/>
              <w:left w:val="single" w:sz="4" w:space="0" w:color="000000"/>
              <w:bottom w:val="single" w:sz="4" w:space="0" w:color="C0C0C0"/>
            </w:tcBorders>
            <w:shd w:val="clear" w:color="auto" w:fill="auto"/>
          </w:tcPr>
          <w:p w14:paraId="687EAA5C"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5E5A7D50"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29C14D5F" w14:textId="77777777" w:rsidTr="009752F0">
        <w:trPr>
          <w:cantSplit/>
          <w:trHeight w:val="270"/>
        </w:trPr>
        <w:tc>
          <w:tcPr>
            <w:tcW w:w="609" w:type="dxa"/>
            <w:tcBorders>
              <w:top w:val="single" w:sz="4" w:space="0" w:color="C0C0C0"/>
              <w:bottom w:val="single" w:sz="4" w:space="0" w:color="C0C0C0"/>
            </w:tcBorders>
            <w:shd w:val="clear" w:color="auto" w:fill="auto"/>
          </w:tcPr>
          <w:p w14:paraId="49D84C62" w14:textId="67E98935" w:rsidR="009752F0" w:rsidRPr="009752F0" w:rsidRDefault="00205121" w:rsidP="009752F0">
            <w:pPr>
              <w:suppressAutoHyphens/>
              <w:snapToGrid w:val="0"/>
              <w:spacing w:before="40" w:after="40"/>
              <w:ind w:left="57"/>
              <w:rPr>
                <w:rFonts w:eastAsia="細明體" w:cs="Segoe UI"/>
                <w:sz w:val="17"/>
                <w:szCs w:val="17"/>
                <w:lang w:eastAsia="ar-SA"/>
              </w:rPr>
            </w:pPr>
            <w:r>
              <w:rPr>
                <w:rFonts w:eastAsia="細明體" w:hint="eastAsia"/>
                <w:sz w:val="17"/>
                <w:szCs w:val="17"/>
                <w:lang w:eastAsia="zh-TW"/>
              </w:rPr>
              <w:t>14</w:t>
            </w:r>
          </w:p>
        </w:tc>
        <w:tc>
          <w:tcPr>
            <w:tcW w:w="5770" w:type="dxa"/>
            <w:tcBorders>
              <w:top w:val="single" w:sz="4" w:space="0" w:color="C0C0C0"/>
              <w:left w:val="single" w:sz="4" w:space="0" w:color="000000"/>
              <w:bottom w:val="single" w:sz="4" w:space="0" w:color="C0C0C0"/>
            </w:tcBorders>
            <w:shd w:val="clear" w:color="auto" w:fill="auto"/>
          </w:tcPr>
          <w:p w14:paraId="09F71F00" w14:textId="40B78095"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銀行</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HK"/>
              </w:rPr>
              <w:t>合資格非銀行金融機構</w:t>
            </w:r>
          </w:p>
        </w:tc>
        <w:tc>
          <w:tcPr>
            <w:tcW w:w="1418" w:type="dxa"/>
            <w:tcBorders>
              <w:top w:val="single" w:sz="4" w:space="0" w:color="C0C0C0"/>
              <w:left w:val="single" w:sz="4" w:space="0" w:color="000000"/>
              <w:bottom w:val="single" w:sz="4" w:space="0" w:color="C0C0C0"/>
            </w:tcBorders>
            <w:shd w:val="clear" w:color="auto" w:fill="auto"/>
          </w:tcPr>
          <w:p w14:paraId="686CFCD8"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382CCD00"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3E2475E1" w14:textId="77777777" w:rsidTr="009752F0">
        <w:trPr>
          <w:cantSplit/>
          <w:trHeight w:val="270"/>
        </w:trPr>
        <w:tc>
          <w:tcPr>
            <w:tcW w:w="609" w:type="dxa"/>
            <w:tcBorders>
              <w:top w:val="single" w:sz="4" w:space="0" w:color="C0C0C0"/>
              <w:bottom w:val="single" w:sz="4" w:space="0" w:color="C0C0C0"/>
            </w:tcBorders>
            <w:shd w:val="clear" w:color="auto" w:fill="auto"/>
          </w:tcPr>
          <w:p w14:paraId="77C1FD37" w14:textId="780182DC" w:rsidR="009752F0" w:rsidRPr="009752F0" w:rsidRDefault="00205121" w:rsidP="009752F0">
            <w:pPr>
              <w:suppressAutoHyphens/>
              <w:snapToGrid w:val="0"/>
              <w:spacing w:before="40" w:after="40"/>
              <w:ind w:left="57"/>
              <w:rPr>
                <w:rFonts w:eastAsia="細明體" w:cs="Segoe UI"/>
                <w:sz w:val="17"/>
                <w:szCs w:val="17"/>
                <w:lang w:eastAsia="ar-SA"/>
              </w:rPr>
            </w:pPr>
            <w:r>
              <w:rPr>
                <w:rFonts w:eastAsia="細明體" w:hint="eastAsia"/>
                <w:sz w:val="17"/>
                <w:szCs w:val="17"/>
                <w:lang w:eastAsia="zh-TW"/>
              </w:rPr>
              <w:t>15</w:t>
            </w:r>
          </w:p>
        </w:tc>
        <w:tc>
          <w:tcPr>
            <w:tcW w:w="5770" w:type="dxa"/>
            <w:tcBorders>
              <w:top w:val="single" w:sz="4" w:space="0" w:color="C0C0C0"/>
              <w:left w:val="single" w:sz="4" w:space="0" w:color="000000"/>
              <w:bottom w:val="single" w:sz="4" w:space="0" w:color="C0C0C0"/>
            </w:tcBorders>
            <w:shd w:val="clear" w:color="auto" w:fill="auto"/>
          </w:tcPr>
          <w:p w14:paraId="681C20A9" w14:textId="6D062682"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銀行</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公營單位（不包括屬官方實體的非本地公營單位）</w:t>
            </w:r>
          </w:p>
        </w:tc>
        <w:tc>
          <w:tcPr>
            <w:tcW w:w="1418" w:type="dxa"/>
            <w:tcBorders>
              <w:top w:val="single" w:sz="4" w:space="0" w:color="C0C0C0"/>
              <w:left w:val="single" w:sz="4" w:space="0" w:color="000000"/>
              <w:bottom w:val="single" w:sz="4" w:space="0" w:color="C0C0C0"/>
            </w:tcBorders>
            <w:shd w:val="clear" w:color="auto" w:fill="auto"/>
          </w:tcPr>
          <w:p w14:paraId="1A1DF300"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0A00074B"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3193F893" w14:textId="77777777" w:rsidTr="009752F0">
        <w:trPr>
          <w:cantSplit/>
          <w:trHeight w:val="270"/>
        </w:trPr>
        <w:tc>
          <w:tcPr>
            <w:tcW w:w="609" w:type="dxa"/>
            <w:tcBorders>
              <w:top w:val="single" w:sz="4" w:space="0" w:color="C0C0C0"/>
              <w:bottom w:val="single" w:sz="4" w:space="0" w:color="C0C0C0"/>
            </w:tcBorders>
            <w:shd w:val="clear" w:color="auto" w:fill="auto"/>
          </w:tcPr>
          <w:p w14:paraId="17CB03F8" w14:textId="11C0BAA4"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16</w:t>
            </w:r>
          </w:p>
        </w:tc>
        <w:tc>
          <w:tcPr>
            <w:tcW w:w="5770" w:type="dxa"/>
            <w:tcBorders>
              <w:top w:val="single" w:sz="4" w:space="0" w:color="C0C0C0"/>
              <w:left w:val="single" w:sz="4" w:space="0" w:color="000000"/>
              <w:bottom w:val="single" w:sz="4" w:space="0" w:color="C0C0C0"/>
            </w:tcBorders>
            <w:shd w:val="clear" w:color="auto" w:fill="auto"/>
          </w:tcPr>
          <w:p w14:paraId="626402A7" w14:textId="7FA2830B"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HK"/>
              </w:rPr>
              <w:t>銀行</w:t>
            </w:r>
            <w:r w:rsidRPr="009752F0">
              <w:rPr>
                <w:rFonts w:ascii="細明體" w:eastAsia="細明體" w:hAnsi="細明體" w:cs="細明體" w:hint="eastAsia"/>
                <w:sz w:val="17"/>
                <w:szCs w:val="17"/>
                <w:lang w:eastAsia="zh-TW"/>
              </w:rPr>
              <w:t>──</w:t>
            </w:r>
            <w:r w:rsidRPr="009752F0">
              <w:rPr>
                <w:rFonts w:ascii="細明體" w:eastAsia="細明體" w:hAnsi="細明體" w:cs="細明體" w:hint="eastAsia"/>
                <w:sz w:val="17"/>
                <w:szCs w:val="17"/>
                <w:lang w:eastAsia="zh-HK"/>
              </w:rPr>
              <w:t>非</w:t>
            </w:r>
            <w:r w:rsidRPr="009752F0">
              <w:rPr>
                <w:rFonts w:eastAsia="細明體" w:hint="eastAsia"/>
                <w:sz w:val="17"/>
                <w:szCs w:val="17"/>
                <w:lang w:eastAsia="zh-HK"/>
              </w:rPr>
              <w:t>指明多邊組織</w:t>
            </w:r>
          </w:p>
        </w:tc>
        <w:tc>
          <w:tcPr>
            <w:tcW w:w="1418" w:type="dxa"/>
            <w:tcBorders>
              <w:top w:val="single" w:sz="4" w:space="0" w:color="C0C0C0"/>
              <w:left w:val="single" w:sz="4" w:space="0" w:color="000000"/>
              <w:bottom w:val="single" w:sz="4" w:space="0" w:color="C0C0C0"/>
            </w:tcBorders>
            <w:shd w:val="clear" w:color="auto" w:fill="auto"/>
          </w:tcPr>
          <w:p w14:paraId="31C6BE66"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308320F4"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3E3D863D" w14:textId="77777777" w:rsidTr="009752F0">
        <w:trPr>
          <w:cantSplit/>
          <w:trHeight w:val="270"/>
        </w:trPr>
        <w:tc>
          <w:tcPr>
            <w:tcW w:w="609" w:type="dxa"/>
            <w:tcBorders>
              <w:top w:val="single" w:sz="4" w:space="0" w:color="C0C0C0"/>
              <w:bottom w:val="single" w:sz="4" w:space="0" w:color="C0C0C0"/>
            </w:tcBorders>
            <w:shd w:val="clear" w:color="auto" w:fill="auto"/>
          </w:tcPr>
          <w:p w14:paraId="14B3E144" w14:textId="03375830"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17</w:t>
            </w:r>
          </w:p>
        </w:tc>
        <w:tc>
          <w:tcPr>
            <w:tcW w:w="5770" w:type="dxa"/>
            <w:tcBorders>
              <w:top w:val="single" w:sz="4" w:space="0" w:color="C0C0C0"/>
              <w:left w:val="single" w:sz="4" w:space="0" w:color="000000"/>
              <w:bottom w:val="single" w:sz="4" w:space="0" w:color="C0C0C0"/>
            </w:tcBorders>
            <w:shd w:val="clear" w:color="auto" w:fill="auto"/>
          </w:tcPr>
          <w:p w14:paraId="53D5BA94" w14:textId="7D3EE168"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HK"/>
              </w:rPr>
              <w:t>銀行</w:t>
            </w:r>
            <w:r w:rsidRPr="009752F0">
              <w:rPr>
                <w:rFonts w:ascii="細明體" w:eastAsia="細明體" w:hAnsi="細明體" w:cs="細明體" w:hint="eastAsia"/>
                <w:sz w:val="17"/>
                <w:szCs w:val="17"/>
              </w:rPr>
              <w:t>──</w:t>
            </w:r>
            <w:r w:rsidRPr="009752F0">
              <w:rPr>
                <w:rFonts w:eastAsia="細明體" w:hint="eastAsia"/>
                <w:sz w:val="17"/>
                <w:szCs w:val="17"/>
                <w:lang w:eastAsia="zh-HK"/>
              </w:rPr>
              <w:t>資產覆蓋債券</w:t>
            </w:r>
          </w:p>
        </w:tc>
        <w:tc>
          <w:tcPr>
            <w:tcW w:w="1418" w:type="dxa"/>
            <w:tcBorders>
              <w:top w:val="single" w:sz="4" w:space="0" w:color="C0C0C0"/>
              <w:left w:val="single" w:sz="4" w:space="0" w:color="000000"/>
              <w:bottom w:val="single" w:sz="4" w:space="0" w:color="C0C0C0"/>
            </w:tcBorders>
            <w:shd w:val="clear" w:color="auto" w:fill="auto"/>
          </w:tcPr>
          <w:p w14:paraId="4963A78B"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0F1F48EE"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45663FD1" w14:textId="77777777" w:rsidTr="009752F0">
        <w:trPr>
          <w:cantSplit/>
          <w:trHeight w:val="270"/>
        </w:trPr>
        <w:tc>
          <w:tcPr>
            <w:tcW w:w="609" w:type="dxa"/>
            <w:tcBorders>
              <w:top w:val="single" w:sz="4" w:space="0" w:color="C0C0C0"/>
              <w:bottom w:val="single" w:sz="4" w:space="0" w:color="C0C0C0"/>
            </w:tcBorders>
            <w:shd w:val="clear" w:color="auto" w:fill="auto"/>
          </w:tcPr>
          <w:p w14:paraId="59539957" w14:textId="43F16B05" w:rsidR="009752F0" w:rsidRPr="009752F0" w:rsidRDefault="00205121" w:rsidP="009752F0">
            <w:pPr>
              <w:suppressAutoHyphens/>
              <w:snapToGrid w:val="0"/>
              <w:spacing w:before="40" w:after="40"/>
              <w:ind w:left="57"/>
              <w:rPr>
                <w:rFonts w:eastAsia="細明體" w:cs="Segoe UI"/>
                <w:sz w:val="17"/>
                <w:szCs w:val="17"/>
                <w:lang w:eastAsia="ar-SA"/>
              </w:rPr>
            </w:pPr>
            <w:r>
              <w:rPr>
                <w:rFonts w:eastAsia="細明體" w:hint="eastAsia"/>
                <w:sz w:val="17"/>
                <w:szCs w:val="17"/>
                <w:lang w:eastAsia="zh-TW"/>
              </w:rPr>
              <w:t>18</w:t>
            </w:r>
          </w:p>
        </w:tc>
        <w:tc>
          <w:tcPr>
            <w:tcW w:w="5770" w:type="dxa"/>
            <w:tcBorders>
              <w:top w:val="single" w:sz="4" w:space="0" w:color="C0C0C0"/>
              <w:left w:val="single" w:sz="4" w:space="0" w:color="000000"/>
              <w:bottom w:val="single" w:sz="4" w:space="0" w:color="C0C0C0"/>
            </w:tcBorders>
            <w:shd w:val="clear" w:color="auto" w:fill="auto"/>
          </w:tcPr>
          <w:p w14:paraId="772E8DDF" w14:textId="525FAB1E"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零售</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小型業務零售風險承擔</w:t>
            </w:r>
          </w:p>
        </w:tc>
        <w:tc>
          <w:tcPr>
            <w:tcW w:w="1418" w:type="dxa"/>
            <w:tcBorders>
              <w:top w:val="single" w:sz="4" w:space="0" w:color="C0C0C0"/>
              <w:left w:val="single" w:sz="4" w:space="0" w:color="000000"/>
              <w:bottom w:val="single" w:sz="4" w:space="0" w:color="C0C0C0"/>
            </w:tcBorders>
            <w:shd w:val="clear" w:color="auto" w:fill="auto"/>
          </w:tcPr>
          <w:p w14:paraId="50059A19"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01F5951E"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601A0670" w14:textId="77777777" w:rsidTr="009752F0">
        <w:trPr>
          <w:cantSplit/>
          <w:trHeight w:val="270"/>
        </w:trPr>
        <w:tc>
          <w:tcPr>
            <w:tcW w:w="609" w:type="dxa"/>
            <w:tcBorders>
              <w:top w:val="single" w:sz="4" w:space="0" w:color="C0C0C0"/>
              <w:bottom w:val="single" w:sz="4" w:space="0" w:color="C0C0C0"/>
            </w:tcBorders>
            <w:shd w:val="clear" w:color="auto" w:fill="auto"/>
          </w:tcPr>
          <w:p w14:paraId="7EAB1D4D" w14:textId="5F721E84" w:rsidR="009752F0" w:rsidRPr="009752F0" w:rsidRDefault="00205121" w:rsidP="009752F0">
            <w:pPr>
              <w:suppressAutoHyphens/>
              <w:snapToGrid w:val="0"/>
              <w:spacing w:before="40" w:after="40"/>
              <w:ind w:left="57"/>
              <w:rPr>
                <w:rFonts w:eastAsia="細明體" w:cs="Segoe UI"/>
                <w:sz w:val="17"/>
                <w:szCs w:val="17"/>
                <w:lang w:eastAsia="ar-SA"/>
              </w:rPr>
            </w:pPr>
            <w:r>
              <w:rPr>
                <w:rFonts w:eastAsia="細明體" w:hint="eastAsia"/>
                <w:sz w:val="17"/>
                <w:szCs w:val="17"/>
                <w:lang w:eastAsia="zh-TW"/>
              </w:rPr>
              <w:t>19</w:t>
            </w:r>
          </w:p>
        </w:tc>
        <w:tc>
          <w:tcPr>
            <w:tcW w:w="5770" w:type="dxa"/>
            <w:tcBorders>
              <w:top w:val="single" w:sz="4" w:space="0" w:color="C0C0C0"/>
              <w:left w:val="single" w:sz="4" w:space="0" w:color="000000"/>
              <w:bottom w:val="single" w:sz="4" w:space="0" w:color="C0C0C0"/>
            </w:tcBorders>
            <w:shd w:val="clear" w:color="auto" w:fill="auto"/>
          </w:tcPr>
          <w:p w14:paraId="059004CB" w14:textId="68359012"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零售</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提供予個人的住宅按揭</w:t>
            </w:r>
          </w:p>
        </w:tc>
        <w:tc>
          <w:tcPr>
            <w:tcW w:w="1418" w:type="dxa"/>
            <w:tcBorders>
              <w:top w:val="single" w:sz="4" w:space="0" w:color="C0C0C0"/>
              <w:left w:val="single" w:sz="4" w:space="0" w:color="000000"/>
              <w:bottom w:val="single" w:sz="4" w:space="0" w:color="C0C0C0"/>
            </w:tcBorders>
            <w:shd w:val="clear" w:color="auto" w:fill="auto"/>
          </w:tcPr>
          <w:p w14:paraId="01148FEE" w14:textId="77777777" w:rsidR="009752F0" w:rsidRPr="00272D6C" w:rsidRDefault="009752F0" w:rsidP="009752F0">
            <w:pPr>
              <w:suppressAutoHyphens/>
              <w:snapToGrid w:val="0"/>
              <w:spacing w:before="40" w:after="40"/>
              <w:ind w:left="57"/>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0CE24913"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58A83182" w14:textId="77777777" w:rsidTr="009752F0">
        <w:trPr>
          <w:cantSplit/>
          <w:trHeight w:val="270"/>
        </w:trPr>
        <w:tc>
          <w:tcPr>
            <w:tcW w:w="609" w:type="dxa"/>
            <w:tcBorders>
              <w:top w:val="single" w:sz="4" w:space="0" w:color="C0C0C0"/>
              <w:bottom w:val="single" w:sz="4" w:space="0" w:color="C0C0C0"/>
            </w:tcBorders>
            <w:shd w:val="clear" w:color="auto" w:fill="auto"/>
          </w:tcPr>
          <w:p w14:paraId="6175E64B" w14:textId="3809AA56"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20</w:t>
            </w:r>
          </w:p>
        </w:tc>
        <w:tc>
          <w:tcPr>
            <w:tcW w:w="5770" w:type="dxa"/>
            <w:tcBorders>
              <w:top w:val="single" w:sz="4" w:space="0" w:color="C0C0C0"/>
              <w:left w:val="single" w:sz="4" w:space="0" w:color="000000"/>
              <w:bottom w:val="single" w:sz="4" w:space="0" w:color="C0C0C0"/>
            </w:tcBorders>
            <w:shd w:val="clear" w:color="auto" w:fill="auto"/>
          </w:tcPr>
          <w:p w14:paraId="0310A71D" w14:textId="0DB33239"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零售</w:t>
            </w:r>
            <w:proofErr w:type="gramStart"/>
            <w:r w:rsidRPr="009752F0">
              <w:rPr>
                <w:rFonts w:ascii="細明體" w:eastAsia="細明體" w:hAnsi="細明體" w:cs="細明體" w:hint="eastAsia"/>
                <w:sz w:val="17"/>
                <w:szCs w:val="17"/>
                <w:lang w:eastAsia="zh-TW"/>
              </w:rPr>
              <w:t>──</w:t>
            </w:r>
            <w:r w:rsidRPr="009752F0">
              <w:rPr>
                <w:rFonts w:eastAsia="細明體" w:hint="eastAsia"/>
                <w:sz w:val="17"/>
                <w:szCs w:val="17"/>
                <w:lang w:eastAsia="zh-TW"/>
              </w:rPr>
              <w:t>提供予持物業</w:t>
            </w:r>
            <w:proofErr w:type="gramEnd"/>
            <w:r w:rsidRPr="009752F0">
              <w:rPr>
                <w:rFonts w:eastAsia="細明體" w:hint="eastAsia"/>
                <w:sz w:val="17"/>
                <w:szCs w:val="17"/>
                <w:lang w:eastAsia="zh-TW"/>
              </w:rPr>
              <w:t>空殼公司的住宅按揭</w:t>
            </w:r>
          </w:p>
        </w:tc>
        <w:tc>
          <w:tcPr>
            <w:tcW w:w="1418" w:type="dxa"/>
            <w:tcBorders>
              <w:top w:val="single" w:sz="4" w:space="0" w:color="C0C0C0"/>
              <w:left w:val="single" w:sz="4" w:space="0" w:color="000000"/>
              <w:bottom w:val="single" w:sz="4" w:space="0" w:color="C0C0C0"/>
            </w:tcBorders>
            <w:shd w:val="clear" w:color="auto" w:fill="auto"/>
          </w:tcPr>
          <w:p w14:paraId="30E7AB2C" w14:textId="77777777" w:rsidR="009752F0" w:rsidRPr="00272D6C" w:rsidRDefault="009752F0" w:rsidP="009752F0">
            <w:pPr>
              <w:suppressAutoHyphens/>
              <w:snapToGrid w:val="0"/>
              <w:spacing w:before="40" w:after="40"/>
              <w:ind w:left="57"/>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429E9433"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59E1A014" w14:textId="77777777" w:rsidTr="009752F0">
        <w:trPr>
          <w:cantSplit/>
          <w:trHeight w:val="270"/>
        </w:trPr>
        <w:tc>
          <w:tcPr>
            <w:tcW w:w="609" w:type="dxa"/>
            <w:tcBorders>
              <w:top w:val="single" w:sz="4" w:space="0" w:color="C0C0C0"/>
              <w:bottom w:val="single" w:sz="4" w:space="0" w:color="C0C0C0"/>
            </w:tcBorders>
            <w:shd w:val="clear" w:color="auto" w:fill="auto"/>
          </w:tcPr>
          <w:p w14:paraId="47801EEB" w14:textId="3AD2B9DB"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2</w:t>
            </w:r>
            <w:r w:rsidR="00205121">
              <w:rPr>
                <w:rFonts w:eastAsia="細明體" w:hint="eastAsia"/>
                <w:sz w:val="17"/>
                <w:szCs w:val="17"/>
                <w:lang w:eastAsia="zh-TW"/>
              </w:rPr>
              <w:t>1</w:t>
            </w:r>
          </w:p>
        </w:tc>
        <w:tc>
          <w:tcPr>
            <w:tcW w:w="5770" w:type="dxa"/>
            <w:tcBorders>
              <w:top w:val="single" w:sz="4" w:space="0" w:color="C0C0C0"/>
              <w:left w:val="single" w:sz="4" w:space="0" w:color="000000"/>
              <w:bottom w:val="single" w:sz="4" w:space="0" w:color="C0C0C0"/>
            </w:tcBorders>
            <w:shd w:val="clear" w:color="auto" w:fill="auto"/>
          </w:tcPr>
          <w:p w14:paraId="192EFD48" w14:textId="75083BCE" w:rsidR="009752F0" w:rsidRPr="009752F0" w:rsidRDefault="009752F0" w:rsidP="00205121">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零售</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合資格循環式零售風險承擔（交易者）</w:t>
            </w:r>
          </w:p>
        </w:tc>
        <w:tc>
          <w:tcPr>
            <w:tcW w:w="1418" w:type="dxa"/>
            <w:tcBorders>
              <w:top w:val="single" w:sz="4" w:space="0" w:color="C0C0C0"/>
              <w:left w:val="single" w:sz="4" w:space="0" w:color="000000"/>
              <w:bottom w:val="single" w:sz="4" w:space="0" w:color="C0C0C0"/>
            </w:tcBorders>
            <w:shd w:val="clear" w:color="auto" w:fill="auto"/>
          </w:tcPr>
          <w:p w14:paraId="3AB779D0" w14:textId="77777777" w:rsidR="009752F0" w:rsidRPr="00272D6C" w:rsidRDefault="009752F0" w:rsidP="009752F0">
            <w:pPr>
              <w:suppressAutoHyphens/>
              <w:snapToGrid w:val="0"/>
              <w:spacing w:before="40" w:after="40"/>
              <w:ind w:left="57"/>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2BC9056B"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16548303" w14:textId="77777777" w:rsidTr="009752F0">
        <w:trPr>
          <w:cantSplit/>
          <w:trHeight w:val="270"/>
        </w:trPr>
        <w:tc>
          <w:tcPr>
            <w:tcW w:w="609" w:type="dxa"/>
            <w:tcBorders>
              <w:top w:val="single" w:sz="4" w:space="0" w:color="C0C0C0"/>
              <w:bottom w:val="single" w:sz="4" w:space="0" w:color="C0C0C0"/>
            </w:tcBorders>
            <w:shd w:val="clear" w:color="auto" w:fill="auto"/>
          </w:tcPr>
          <w:p w14:paraId="3FC700AC" w14:textId="21FDDBEE"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22</w:t>
            </w:r>
          </w:p>
        </w:tc>
        <w:tc>
          <w:tcPr>
            <w:tcW w:w="5770" w:type="dxa"/>
            <w:tcBorders>
              <w:top w:val="single" w:sz="4" w:space="0" w:color="C0C0C0"/>
              <w:left w:val="single" w:sz="4" w:space="0" w:color="000000"/>
              <w:bottom w:val="single" w:sz="4" w:space="0" w:color="C0C0C0"/>
            </w:tcBorders>
            <w:shd w:val="clear" w:color="auto" w:fill="auto"/>
          </w:tcPr>
          <w:p w14:paraId="5071A56B" w14:textId="22EB07EA"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零售</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合資格循環式零售風險承擔（循環使用者）</w:t>
            </w:r>
          </w:p>
        </w:tc>
        <w:tc>
          <w:tcPr>
            <w:tcW w:w="1418" w:type="dxa"/>
            <w:tcBorders>
              <w:top w:val="single" w:sz="4" w:space="0" w:color="C0C0C0"/>
              <w:left w:val="single" w:sz="4" w:space="0" w:color="000000"/>
              <w:bottom w:val="single" w:sz="4" w:space="0" w:color="C0C0C0"/>
            </w:tcBorders>
            <w:shd w:val="clear" w:color="auto" w:fill="auto"/>
          </w:tcPr>
          <w:p w14:paraId="32E3D908" w14:textId="77777777" w:rsidR="009752F0" w:rsidRPr="00272D6C" w:rsidRDefault="009752F0" w:rsidP="009752F0">
            <w:pPr>
              <w:suppressAutoHyphens/>
              <w:snapToGrid w:val="0"/>
              <w:spacing w:before="40" w:after="40"/>
              <w:ind w:left="57"/>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6A09D59B"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274EAAE1" w14:textId="77777777" w:rsidTr="009752F0">
        <w:trPr>
          <w:cantSplit/>
          <w:trHeight w:val="270"/>
        </w:trPr>
        <w:tc>
          <w:tcPr>
            <w:tcW w:w="609" w:type="dxa"/>
            <w:tcBorders>
              <w:top w:val="single" w:sz="4" w:space="0" w:color="C0C0C0"/>
              <w:bottom w:val="single" w:sz="4" w:space="0" w:color="C0C0C0"/>
            </w:tcBorders>
            <w:shd w:val="clear" w:color="auto" w:fill="auto"/>
          </w:tcPr>
          <w:p w14:paraId="4332CC8D" w14:textId="57EB4246" w:rsidR="009752F0" w:rsidRPr="009752F0" w:rsidRDefault="009752F0" w:rsidP="009752F0">
            <w:pPr>
              <w:suppressAutoHyphens/>
              <w:snapToGrid w:val="0"/>
              <w:spacing w:before="40" w:after="40"/>
              <w:ind w:left="57"/>
              <w:rPr>
                <w:rFonts w:eastAsia="細明體" w:cs="Segoe UI"/>
                <w:sz w:val="17"/>
                <w:szCs w:val="17"/>
                <w:lang w:eastAsia="ar-SA"/>
              </w:rPr>
            </w:pPr>
            <w:r w:rsidRPr="009752F0">
              <w:rPr>
                <w:rFonts w:eastAsia="細明體" w:hint="eastAsia"/>
                <w:sz w:val="17"/>
                <w:szCs w:val="17"/>
                <w:lang w:eastAsia="zh-TW"/>
              </w:rPr>
              <w:t>23</w:t>
            </w:r>
          </w:p>
        </w:tc>
        <w:tc>
          <w:tcPr>
            <w:tcW w:w="5770" w:type="dxa"/>
            <w:tcBorders>
              <w:top w:val="single" w:sz="4" w:space="0" w:color="C0C0C0"/>
              <w:left w:val="single" w:sz="4" w:space="0" w:color="000000"/>
              <w:bottom w:val="single" w:sz="4" w:space="0" w:color="C0C0C0"/>
            </w:tcBorders>
            <w:shd w:val="clear" w:color="auto" w:fill="auto"/>
          </w:tcPr>
          <w:p w14:paraId="0EDE1B7C" w14:textId="3B4AADF3" w:rsidR="009752F0" w:rsidRPr="009752F0" w:rsidRDefault="009752F0" w:rsidP="009752F0">
            <w:pPr>
              <w:suppressAutoHyphens/>
              <w:snapToGrid w:val="0"/>
              <w:spacing w:before="40" w:after="40"/>
              <w:ind w:left="57" w:right="142"/>
              <w:rPr>
                <w:rFonts w:eastAsia="細明體" w:cs="Segoe UI"/>
                <w:sz w:val="17"/>
                <w:szCs w:val="17"/>
                <w:lang w:eastAsia="ar-SA"/>
              </w:rPr>
            </w:pPr>
            <w:r w:rsidRPr="009752F0">
              <w:rPr>
                <w:rFonts w:eastAsia="細明體" w:hint="eastAsia"/>
                <w:sz w:val="17"/>
                <w:szCs w:val="17"/>
                <w:lang w:eastAsia="zh-TW"/>
              </w:rPr>
              <w:t>零售</w:t>
            </w:r>
            <w:proofErr w:type="gramStart"/>
            <w:r w:rsidRPr="009752F0">
              <w:rPr>
                <w:rFonts w:ascii="細明體" w:eastAsia="細明體" w:hAnsi="細明體" w:cs="細明體" w:hint="eastAsia"/>
                <w:sz w:val="17"/>
                <w:szCs w:val="17"/>
                <w:lang w:eastAsia="zh-TW"/>
              </w:rPr>
              <w:t>──</w:t>
            </w:r>
            <w:proofErr w:type="gramEnd"/>
            <w:r w:rsidRPr="009752F0">
              <w:rPr>
                <w:rFonts w:eastAsia="細明體" w:hint="eastAsia"/>
                <w:sz w:val="17"/>
                <w:szCs w:val="17"/>
                <w:lang w:eastAsia="zh-TW"/>
              </w:rPr>
              <w:t>其他對個人的零售風險承擔</w:t>
            </w:r>
          </w:p>
        </w:tc>
        <w:tc>
          <w:tcPr>
            <w:tcW w:w="1418" w:type="dxa"/>
            <w:tcBorders>
              <w:top w:val="single" w:sz="4" w:space="0" w:color="C0C0C0"/>
              <w:left w:val="single" w:sz="4" w:space="0" w:color="000000"/>
              <w:bottom w:val="single" w:sz="4" w:space="0" w:color="C0C0C0"/>
            </w:tcBorders>
            <w:shd w:val="clear" w:color="auto" w:fill="auto"/>
          </w:tcPr>
          <w:p w14:paraId="79D12ADA" w14:textId="77777777" w:rsidR="009752F0" w:rsidRPr="00272D6C" w:rsidRDefault="009752F0" w:rsidP="009752F0">
            <w:pPr>
              <w:suppressAutoHyphens/>
              <w:snapToGrid w:val="0"/>
              <w:spacing w:before="40" w:after="40"/>
              <w:ind w:left="57"/>
              <w:rPr>
                <w:rFonts w:eastAsia="細明體" w:cs="Segoe UI"/>
                <w:sz w:val="17"/>
                <w:lang w:eastAsia="ar-SA"/>
              </w:rPr>
            </w:pPr>
          </w:p>
        </w:tc>
        <w:tc>
          <w:tcPr>
            <w:tcW w:w="1437" w:type="dxa"/>
            <w:tcBorders>
              <w:top w:val="single" w:sz="4" w:space="0" w:color="C0C0C0"/>
              <w:left w:val="single" w:sz="4" w:space="0" w:color="000000"/>
              <w:bottom w:val="single" w:sz="4" w:space="0" w:color="C0C0C0"/>
              <w:right w:val="single" w:sz="4" w:space="0" w:color="000000"/>
            </w:tcBorders>
            <w:shd w:val="clear" w:color="auto" w:fill="auto"/>
          </w:tcPr>
          <w:p w14:paraId="6865DFFC"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5A6A8944" w14:textId="77777777" w:rsidTr="004F78E4">
        <w:trPr>
          <w:cantSplit/>
          <w:trHeight w:val="285"/>
        </w:trPr>
        <w:tc>
          <w:tcPr>
            <w:tcW w:w="609" w:type="dxa"/>
            <w:tcBorders>
              <w:top w:val="single" w:sz="4" w:space="0" w:color="BFBFBF" w:themeColor="background1" w:themeShade="BF"/>
              <w:bottom w:val="single" w:sz="4" w:space="0" w:color="BFBFBF" w:themeColor="background1" w:themeShade="BF"/>
            </w:tcBorders>
            <w:shd w:val="clear" w:color="auto" w:fill="auto"/>
          </w:tcPr>
          <w:p w14:paraId="2FD25455" w14:textId="607F03A2" w:rsidR="009752F0" w:rsidRPr="009752F0" w:rsidDel="005603B6" w:rsidRDefault="00205121" w:rsidP="009752F0">
            <w:pPr>
              <w:suppressAutoHyphens/>
              <w:snapToGrid w:val="0"/>
              <w:spacing w:before="40" w:after="40"/>
              <w:ind w:left="57"/>
              <w:rPr>
                <w:rFonts w:eastAsia="細明體"/>
                <w:sz w:val="17"/>
                <w:szCs w:val="17"/>
              </w:rPr>
            </w:pPr>
            <w:r>
              <w:rPr>
                <w:rFonts w:eastAsia="細明體" w:hint="eastAsia"/>
                <w:sz w:val="17"/>
                <w:szCs w:val="17"/>
                <w:lang w:eastAsia="zh-TW"/>
              </w:rPr>
              <w:t>24</w:t>
            </w:r>
          </w:p>
        </w:tc>
        <w:tc>
          <w:tcPr>
            <w:tcW w:w="5770" w:type="dxa"/>
            <w:tcBorders>
              <w:top w:val="single" w:sz="4" w:space="0" w:color="BFBFBF" w:themeColor="background1" w:themeShade="BF"/>
              <w:left w:val="single" w:sz="4" w:space="0" w:color="000000"/>
              <w:bottom w:val="single" w:sz="4" w:space="0" w:color="BFBFBF" w:themeColor="background1" w:themeShade="BF"/>
            </w:tcBorders>
            <w:shd w:val="clear" w:color="auto" w:fill="auto"/>
          </w:tcPr>
          <w:p w14:paraId="32FA11E1" w14:textId="10131532" w:rsidR="009752F0" w:rsidRPr="009752F0" w:rsidDel="005603B6" w:rsidRDefault="009752F0" w:rsidP="009752F0">
            <w:pPr>
              <w:suppressAutoHyphens/>
              <w:snapToGrid w:val="0"/>
              <w:spacing w:before="40" w:after="40"/>
              <w:ind w:left="57" w:right="140"/>
              <w:rPr>
                <w:rFonts w:eastAsia="細明體"/>
                <w:sz w:val="17"/>
                <w:szCs w:val="17"/>
                <w:lang w:eastAsia="zh-TW"/>
              </w:rPr>
            </w:pPr>
            <w:r w:rsidRPr="009752F0">
              <w:rPr>
                <w:rFonts w:eastAsia="細明體" w:hint="eastAsia"/>
                <w:sz w:val="17"/>
                <w:szCs w:val="17"/>
                <w:lang w:eastAsia="zh-TW"/>
              </w:rPr>
              <w:t>CIS</w:t>
            </w:r>
            <w:r w:rsidRPr="009752F0">
              <w:rPr>
                <w:rFonts w:ascii="細明體" w:eastAsia="細明體" w:hAnsi="細明體" w:cs="細明體" w:hint="eastAsia"/>
                <w:sz w:val="17"/>
                <w:szCs w:val="17"/>
                <w:lang w:eastAsia="zh-TW"/>
              </w:rPr>
              <w:t>──</w:t>
            </w:r>
            <w:r w:rsidRPr="009752F0">
              <w:rPr>
                <w:rFonts w:eastAsia="細明體" w:hint="eastAsia"/>
                <w:sz w:val="17"/>
                <w:szCs w:val="17"/>
                <w:lang w:eastAsia="zh-TW"/>
              </w:rPr>
              <w:t>CIS</w:t>
            </w:r>
            <w:r w:rsidRPr="009752F0">
              <w:rPr>
                <w:rFonts w:eastAsia="細明體" w:hint="eastAsia"/>
                <w:sz w:val="17"/>
                <w:szCs w:val="17"/>
                <w:lang w:eastAsia="zh-TW"/>
              </w:rPr>
              <w:t>風險承擔</w:t>
            </w:r>
          </w:p>
        </w:tc>
        <w:tc>
          <w:tcPr>
            <w:tcW w:w="1418" w:type="dxa"/>
            <w:tcBorders>
              <w:top w:val="single" w:sz="4" w:space="0" w:color="BFBFBF" w:themeColor="background1" w:themeShade="BF"/>
              <w:left w:val="single" w:sz="4" w:space="0" w:color="000000"/>
              <w:bottom w:val="single" w:sz="4" w:space="0" w:color="BFBFBF" w:themeColor="background1" w:themeShade="BF"/>
            </w:tcBorders>
            <w:shd w:val="clear" w:color="auto" w:fill="auto"/>
          </w:tcPr>
          <w:p w14:paraId="3E8CA5C7"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auto" w:fill="auto"/>
          </w:tcPr>
          <w:p w14:paraId="34C0903F"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46EC4563" w14:textId="77777777" w:rsidTr="004F78E4">
        <w:trPr>
          <w:cantSplit/>
          <w:trHeight w:val="285"/>
        </w:trPr>
        <w:tc>
          <w:tcPr>
            <w:tcW w:w="609" w:type="dxa"/>
            <w:tcBorders>
              <w:top w:val="single" w:sz="4" w:space="0" w:color="BFBFBF" w:themeColor="background1" w:themeShade="BF"/>
              <w:bottom w:val="single" w:sz="4" w:space="0" w:color="BFBFBF" w:themeColor="background1" w:themeShade="BF"/>
            </w:tcBorders>
            <w:shd w:val="clear" w:color="auto" w:fill="auto"/>
          </w:tcPr>
          <w:p w14:paraId="002CC175" w14:textId="504C3A1D" w:rsidR="009752F0" w:rsidRPr="009752F0" w:rsidRDefault="00205121" w:rsidP="009752F0">
            <w:pPr>
              <w:suppressAutoHyphens/>
              <w:snapToGrid w:val="0"/>
              <w:spacing w:before="40" w:after="40"/>
              <w:ind w:left="57"/>
              <w:rPr>
                <w:rFonts w:eastAsia="細明體"/>
                <w:sz w:val="17"/>
                <w:szCs w:val="17"/>
              </w:rPr>
            </w:pPr>
            <w:r>
              <w:rPr>
                <w:rFonts w:eastAsia="細明體" w:hint="eastAsia"/>
                <w:sz w:val="17"/>
                <w:szCs w:val="17"/>
                <w:lang w:eastAsia="zh-TW"/>
              </w:rPr>
              <w:t>25</w:t>
            </w:r>
          </w:p>
        </w:tc>
        <w:tc>
          <w:tcPr>
            <w:tcW w:w="5770" w:type="dxa"/>
            <w:tcBorders>
              <w:top w:val="single" w:sz="4" w:space="0" w:color="BFBFBF" w:themeColor="background1" w:themeShade="BF"/>
              <w:left w:val="single" w:sz="4" w:space="0" w:color="000000"/>
              <w:bottom w:val="single" w:sz="4" w:space="0" w:color="BFBFBF" w:themeColor="background1" w:themeShade="BF"/>
            </w:tcBorders>
            <w:shd w:val="clear" w:color="auto" w:fill="auto"/>
          </w:tcPr>
          <w:p w14:paraId="50064666" w14:textId="32064D2D" w:rsidR="009752F0" w:rsidRPr="009752F0" w:rsidRDefault="009752F0" w:rsidP="009752F0">
            <w:pPr>
              <w:suppressAutoHyphens/>
              <w:snapToGrid w:val="0"/>
              <w:spacing w:before="40" w:after="40"/>
              <w:ind w:left="57"/>
              <w:rPr>
                <w:rFonts w:eastAsia="細明體"/>
                <w:sz w:val="17"/>
                <w:szCs w:val="17"/>
                <w:lang w:eastAsia="zh-TW"/>
              </w:rPr>
            </w:pPr>
            <w:proofErr w:type="spellStart"/>
            <w:r w:rsidRPr="009752F0">
              <w:rPr>
                <w:rFonts w:eastAsia="細明體" w:hint="eastAsia"/>
                <w:sz w:val="17"/>
                <w:szCs w:val="17"/>
              </w:rPr>
              <w:t>其他</w:t>
            </w:r>
            <w:proofErr w:type="spellEnd"/>
            <w:r w:rsidRPr="009752F0">
              <w:rPr>
                <w:rFonts w:ascii="細明體" w:eastAsia="細明體" w:hAnsi="細明體" w:cs="細明體" w:hint="eastAsia"/>
                <w:sz w:val="17"/>
                <w:szCs w:val="17"/>
              </w:rPr>
              <w:t>──</w:t>
            </w:r>
            <w:proofErr w:type="spellStart"/>
            <w:r w:rsidRPr="009752F0">
              <w:rPr>
                <w:rFonts w:eastAsia="細明體" w:hint="eastAsia"/>
                <w:sz w:val="17"/>
                <w:szCs w:val="17"/>
              </w:rPr>
              <w:t>現金項目</w:t>
            </w:r>
            <w:proofErr w:type="spellEnd"/>
          </w:p>
        </w:tc>
        <w:tc>
          <w:tcPr>
            <w:tcW w:w="1418" w:type="dxa"/>
            <w:tcBorders>
              <w:top w:val="single" w:sz="4" w:space="0" w:color="BFBFBF" w:themeColor="background1" w:themeShade="BF"/>
              <w:left w:val="single" w:sz="4" w:space="0" w:color="000000"/>
              <w:bottom w:val="single" w:sz="4" w:space="0" w:color="BFBFBF" w:themeColor="background1" w:themeShade="BF"/>
            </w:tcBorders>
            <w:shd w:val="clear" w:color="auto" w:fill="auto"/>
          </w:tcPr>
          <w:p w14:paraId="1BC786EF"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auto" w:fill="auto"/>
          </w:tcPr>
          <w:p w14:paraId="50903273"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5399774A" w14:textId="77777777" w:rsidTr="004F78E4">
        <w:trPr>
          <w:cantSplit/>
          <w:trHeight w:val="285"/>
        </w:trPr>
        <w:tc>
          <w:tcPr>
            <w:tcW w:w="609" w:type="dxa"/>
            <w:tcBorders>
              <w:top w:val="single" w:sz="4" w:space="0" w:color="BFBFBF" w:themeColor="background1" w:themeShade="BF"/>
              <w:bottom w:val="single" w:sz="4" w:space="0" w:color="BFBFBF" w:themeColor="background1" w:themeShade="BF"/>
            </w:tcBorders>
            <w:shd w:val="clear" w:color="auto" w:fill="auto"/>
          </w:tcPr>
          <w:p w14:paraId="50EBD92F" w14:textId="168327C6" w:rsidR="009752F0" w:rsidRPr="009752F0" w:rsidRDefault="00205121" w:rsidP="009752F0">
            <w:pPr>
              <w:suppressAutoHyphens/>
              <w:snapToGrid w:val="0"/>
              <w:spacing w:before="40" w:after="40"/>
              <w:ind w:left="57"/>
              <w:rPr>
                <w:rFonts w:eastAsia="細明體"/>
                <w:sz w:val="17"/>
                <w:szCs w:val="17"/>
              </w:rPr>
            </w:pPr>
            <w:r>
              <w:rPr>
                <w:rFonts w:eastAsia="細明體" w:hint="eastAsia"/>
                <w:sz w:val="17"/>
                <w:szCs w:val="17"/>
                <w:lang w:eastAsia="zh-TW"/>
              </w:rPr>
              <w:t>26</w:t>
            </w:r>
          </w:p>
        </w:tc>
        <w:tc>
          <w:tcPr>
            <w:tcW w:w="5770" w:type="dxa"/>
            <w:tcBorders>
              <w:top w:val="single" w:sz="4" w:space="0" w:color="BFBFBF" w:themeColor="background1" w:themeShade="BF"/>
              <w:left w:val="single" w:sz="4" w:space="0" w:color="000000"/>
              <w:bottom w:val="single" w:sz="4" w:space="0" w:color="BFBFBF" w:themeColor="background1" w:themeShade="BF"/>
            </w:tcBorders>
            <w:shd w:val="clear" w:color="auto" w:fill="auto"/>
          </w:tcPr>
          <w:p w14:paraId="02F7BB0B" w14:textId="40999798" w:rsidR="009752F0" w:rsidRPr="009752F0" w:rsidRDefault="009752F0" w:rsidP="009752F0">
            <w:pPr>
              <w:suppressAutoHyphens/>
              <w:snapToGrid w:val="0"/>
              <w:spacing w:before="40" w:after="40"/>
              <w:ind w:left="57"/>
              <w:rPr>
                <w:rFonts w:eastAsia="細明體"/>
                <w:sz w:val="17"/>
                <w:szCs w:val="17"/>
              </w:rPr>
            </w:pPr>
            <w:proofErr w:type="spellStart"/>
            <w:r w:rsidRPr="009752F0">
              <w:rPr>
                <w:rFonts w:eastAsia="細明體" w:hint="eastAsia"/>
                <w:sz w:val="17"/>
                <w:szCs w:val="17"/>
              </w:rPr>
              <w:t>其他</w:t>
            </w:r>
            <w:proofErr w:type="spellEnd"/>
            <w:r w:rsidRPr="009752F0">
              <w:rPr>
                <w:rFonts w:ascii="細明體" w:eastAsia="細明體" w:hAnsi="細明體" w:cs="細明體" w:hint="eastAsia"/>
                <w:sz w:val="17"/>
                <w:szCs w:val="17"/>
              </w:rPr>
              <w:t>──</w:t>
            </w:r>
            <w:r w:rsidR="006429A8">
              <w:rPr>
                <w:rFonts w:eastAsia="細明體" w:hint="eastAsia"/>
                <w:sz w:val="17"/>
                <w:szCs w:val="17"/>
                <w:lang w:eastAsia="zh-HK"/>
              </w:rPr>
              <w:t>其他</w:t>
            </w:r>
            <w:proofErr w:type="spellStart"/>
            <w:r w:rsidR="006429A8" w:rsidRPr="009752F0">
              <w:rPr>
                <w:rFonts w:eastAsia="細明體" w:hint="eastAsia"/>
                <w:sz w:val="17"/>
                <w:szCs w:val="17"/>
              </w:rPr>
              <w:t>項目</w:t>
            </w:r>
            <w:proofErr w:type="spellEnd"/>
          </w:p>
        </w:tc>
        <w:tc>
          <w:tcPr>
            <w:tcW w:w="1418" w:type="dxa"/>
            <w:tcBorders>
              <w:top w:val="single" w:sz="4" w:space="0" w:color="BFBFBF" w:themeColor="background1" w:themeShade="BF"/>
              <w:left w:val="single" w:sz="4" w:space="0" w:color="000000"/>
              <w:bottom w:val="single" w:sz="4" w:space="0" w:color="BFBFBF" w:themeColor="background1" w:themeShade="BF"/>
            </w:tcBorders>
            <w:shd w:val="clear" w:color="auto" w:fill="auto"/>
          </w:tcPr>
          <w:p w14:paraId="74CF35BD"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BFBFBF" w:themeColor="background1" w:themeShade="BF"/>
              <w:left w:val="single" w:sz="4" w:space="0" w:color="000000"/>
              <w:bottom w:val="single" w:sz="4" w:space="0" w:color="BFBFBF" w:themeColor="background1" w:themeShade="BF"/>
              <w:right w:val="single" w:sz="4" w:space="0" w:color="000000"/>
            </w:tcBorders>
            <w:shd w:val="clear" w:color="auto" w:fill="auto"/>
          </w:tcPr>
          <w:p w14:paraId="4C4D7BF6" w14:textId="77777777" w:rsidR="009752F0" w:rsidRPr="00272D6C" w:rsidRDefault="009752F0" w:rsidP="009752F0">
            <w:pPr>
              <w:suppressAutoHyphens/>
              <w:snapToGrid w:val="0"/>
              <w:spacing w:before="40" w:after="40"/>
              <w:rPr>
                <w:rFonts w:eastAsia="細明體" w:cs="Segoe UI"/>
                <w:sz w:val="17"/>
                <w:lang w:eastAsia="ar-SA"/>
              </w:rPr>
            </w:pPr>
          </w:p>
        </w:tc>
      </w:tr>
      <w:tr w:rsidR="009752F0" w:rsidRPr="00272D6C" w14:paraId="31B01E99" w14:textId="77777777" w:rsidTr="004F78E4">
        <w:trPr>
          <w:cantSplit/>
          <w:trHeight w:val="285"/>
        </w:trPr>
        <w:tc>
          <w:tcPr>
            <w:tcW w:w="609" w:type="dxa"/>
            <w:tcBorders>
              <w:top w:val="single" w:sz="4" w:space="0" w:color="BFBFBF" w:themeColor="background1" w:themeShade="BF"/>
              <w:bottom w:val="single" w:sz="4" w:space="0" w:color="000000"/>
            </w:tcBorders>
            <w:shd w:val="clear" w:color="auto" w:fill="auto"/>
          </w:tcPr>
          <w:p w14:paraId="6BCC571C" w14:textId="0591CD4A" w:rsidR="009752F0" w:rsidRPr="009752F0" w:rsidRDefault="00205121" w:rsidP="009752F0">
            <w:pPr>
              <w:suppressAutoHyphens/>
              <w:snapToGrid w:val="0"/>
              <w:spacing w:before="40" w:after="40"/>
              <w:ind w:left="57"/>
              <w:rPr>
                <w:rFonts w:eastAsia="細明體"/>
                <w:sz w:val="17"/>
                <w:szCs w:val="17"/>
              </w:rPr>
            </w:pPr>
            <w:r>
              <w:rPr>
                <w:rFonts w:eastAsia="細明體" w:hint="eastAsia"/>
                <w:b/>
                <w:bCs/>
                <w:sz w:val="17"/>
                <w:szCs w:val="17"/>
                <w:lang w:eastAsia="zh-TW"/>
              </w:rPr>
              <w:t>27</w:t>
            </w:r>
          </w:p>
        </w:tc>
        <w:tc>
          <w:tcPr>
            <w:tcW w:w="5770" w:type="dxa"/>
            <w:tcBorders>
              <w:top w:val="single" w:sz="4" w:space="0" w:color="BFBFBF" w:themeColor="background1" w:themeShade="BF"/>
              <w:left w:val="single" w:sz="4" w:space="0" w:color="000000"/>
              <w:bottom w:val="single" w:sz="4" w:space="0" w:color="000000"/>
            </w:tcBorders>
            <w:shd w:val="clear" w:color="auto" w:fill="auto"/>
          </w:tcPr>
          <w:p w14:paraId="1936BDF1" w14:textId="2F847765" w:rsidR="009752F0" w:rsidRPr="009752F0" w:rsidRDefault="009752F0" w:rsidP="009752F0">
            <w:pPr>
              <w:suppressAutoHyphens/>
              <w:snapToGrid w:val="0"/>
              <w:spacing w:before="40" w:after="40"/>
              <w:ind w:left="57"/>
              <w:rPr>
                <w:rFonts w:eastAsia="細明體"/>
                <w:sz w:val="17"/>
                <w:szCs w:val="17"/>
                <w:lang w:eastAsia="zh-TW"/>
              </w:rPr>
            </w:pPr>
            <w:r w:rsidRPr="009752F0">
              <w:rPr>
                <w:rFonts w:eastAsia="細明體" w:hint="eastAsia"/>
                <w:b/>
                <w:bCs/>
                <w:sz w:val="17"/>
                <w:szCs w:val="17"/>
                <w:lang w:eastAsia="zh-TW"/>
              </w:rPr>
              <w:t>總計（在各</w:t>
            </w:r>
            <w:r w:rsidRPr="009752F0">
              <w:rPr>
                <w:rFonts w:eastAsia="細明體"/>
                <w:b/>
                <w:sz w:val="17"/>
                <w:szCs w:val="17"/>
                <w:lang w:eastAsia="zh-TW"/>
              </w:rPr>
              <w:t>IRB</w:t>
            </w:r>
            <w:r w:rsidRPr="009752F0">
              <w:rPr>
                <w:rFonts w:eastAsia="細明體" w:hint="eastAsia"/>
                <w:b/>
                <w:sz w:val="17"/>
                <w:szCs w:val="17"/>
                <w:lang w:eastAsia="zh-TW"/>
              </w:rPr>
              <w:t>計算法下</w:t>
            </w:r>
            <w:r w:rsidRPr="009752F0">
              <w:rPr>
                <w:rFonts w:eastAsia="細明體" w:hint="eastAsia"/>
                <w:b/>
                <w:bCs/>
                <w:sz w:val="17"/>
                <w:szCs w:val="17"/>
                <w:lang w:eastAsia="zh-TW"/>
              </w:rPr>
              <w:t>）</w:t>
            </w:r>
          </w:p>
        </w:tc>
        <w:tc>
          <w:tcPr>
            <w:tcW w:w="1418" w:type="dxa"/>
            <w:tcBorders>
              <w:top w:val="single" w:sz="4" w:space="0" w:color="BFBFBF" w:themeColor="background1" w:themeShade="BF"/>
              <w:left w:val="single" w:sz="4" w:space="0" w:color="000000"/>
              <w:bottom w:val="single" w:sz="4" w:space="0" w:color="000000"/>
            </w:tcBorders>
            <w:shd w:val="clear" w:color="auto" w:fill="auto"/>
          </w:tcPr>
          <w:p w14:paraId="64218843" w14:textId="77777777" w:rsidR="009752F0" w:rsidRPr="00272D6C" w:rsidRDefault="009752F0" w:rsidP="009752F0">
            <w:pPr>
              <w:suppressAutoHyphens/>
              <w:snapToGrid w:val="0"/>
              <w:spacing w:before="40" w:after="40"/>
              <w:rPr>
                <w:rFonts w:eastAsia="細明體" w:cs="Segoe UI"/>
                <w:sz w:val="17"/>
                <w:lang w:eastAsia="ar-SA"/>
              </w:rPr>
            </w:pPr>
          </w:p>
        </w:tc>
        <w:tc>
          <w:tcPr>
            <w:tcW w:w="1437" w:type="dxa"/>
            <w:tcBorders>
              <w:top w:val="single" w:sz="4" w:space="0" w:color="BFBFBF" w:themeColor="background1" w:themeShade="BF"/>
              <w:left w:val="single" w:sz="4" w:space="0" w:color="000000"/>
              <w:bottom w:val="single" w:sz="4" w:space="0" w:color="000000"/>
              <w:right w:val="single" w:sz="4" w:space="0" w:color="000000"/>
            </w:tcBorders>
            <w:shd w:val="clear" w:color="auto" w:fill="auto"/>
          </w:tcPr>
          <w:p w14:paraId="757557A4" w14:textId="77777777" w:rsidR="009752F0" w:rsidRPr="00272D6C" w:rsidRDefault="009752F0" w:rsidP="009752F0">
            <w:pPr>
              <w:suppressAutoHyphens/>
              <w:snapToGrid w:val="0"/>
              <w:spacing w:before="40" w:after="40"/>
              <w:rPr>
                <w:rFonts w:eastAsia="細明體" w:cs="Segoe UI"/>
                <w:sz w:val="17"/>
                <w:lang w:eastAsia="ar-SA"/>
              </w:rPr>
            </w:pPr>
          </w:p>
        </w:tc>
      </w:tr>
    </w:tbl>
    <w:p w14:paraId="672B47FF" w14:textId="77777777" w:rsidR="00272D6C" w:rsidRPr="00272D6C" w:rsidRDefault="00272D6C" w:rsidP="00272D6C">
      <w:pPr>
        <w:suppressAutoHyphens/>
        <w:spacing w:before="120" w:after="120"/>
        <w:ind w:left="-566"/>
        <w:rPr>
          <w:rFonts w:eastAsia="細明體" w:cs="Segoe UI"/>
          <w:sz w:val="22"/>
          <w:lang w:eastAsia="ar-SA"/>
        </w:rPr>
      </w:pPr>
    </w:p>
    <w:tbl>
      <w:tblPr>
        <w:tblW w:w="0" w:type="auto"/>
        <w:tblInd w:w="-469" w:type="dxa"/>
        <w:tblLayout w:type="fixed"/>
        <w:tblLook w:val="0000" w:firstRow="0" w:lastRow="0" w:firstColumn="0" w:lastColumn="0" w:noHBand="0" w:noVBand="0"/>
      </w:tblPr>
      <w:tblGrid>
        <w:gridCol w:w="567"/>
        <w:gridCol w:w="8897"/>
      </w:tblGrid>
      <w:tr w:rsidR="00272D6C" w:rsidRPr="00272D6C" w14:paraId="0242FD07" w14:textId="77777777" w:rsidTr="005171C5">
        <w:trPr>
          <w:tblHeader/>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0275F4F5"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szCs w:val="17"/>
                <w:lang w:eastAsia="ar-SA"/>
              </w:rPr>
              <w:t>註釋</w:t>
            </w:r>
          </w:p>
        </w:tc>
      </w:tr>
      <w:tr w:rsidR="00272D6C" w:rsidRPr="00272D6C" w14:paraId="74DA70EB" w14:textId="77777777" w:rsidTr="005171C5">
        <w:trPr>
          <w:trHeight w:val="153"/>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F1947D" w14:textId="77777777" w:rsidR="00272D6C" w:rsidRPr="00272D6C" w:rsidRDefault="00272D6C" w:rsidP="00272D6C">
            <w:pPr>
              <w:suppressAutoHyphens/>
              <w:spacing w:before="40" w:after="40"/>
              <w:jc w:val="both"/>
              <w:rPr>
                <w:rFonts w:cs="Segoe UI"/>
                <w:lang w:eastAsia="ar-SA"/>
              </w:rPr>
            </w:pPr>
            <w:r w:rsidRPr="00272D6C">
              <w:rPr>
                <w:rFonts w:eastAsia="細明體" w:cs="Segoe UI" w:hint="eastAsia"/>
                <w:b/>
                <w:sz w:val="17"/>
                <w:szCs w:val="17"/>
                <w:lang w:eastAsia="ar-SA"/>
              </w:rPr>
              <w:t>欄</w:t>
            </w:r>
          </w:p>
        </w:tc>
      </w:tr>
      <w:tr w:rsidR="00272D6C" w:rsidRPr="00272D6C" w14:paraId="593C0122" w14:textId="77777777" w:rsidTr="005171C5">
        <w:tc>
          <w:tcPr>
            <w:tcW w:w="567" w:type="dxa"/>
            <w:tcBorders>
              <w:top w:val="single" w:sz="4" w:space="0" w:color="000000"/>
              <w:left w:val="single" w:sz="4" w:space="0" w:color="000000"/>
              <w:bottom w:val="single" w:sz="4" w:space="0" w:color="000000"/>
            </w:tcBorders>
            <w:shd w:val="clear" w:color="auto" w:fill="auto"/>
          </w:tcPr>
          <w:p w14:paraId="7B2AE70C"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Cs w:val="17"/>
                <w:lang w:eastAsia="ar-SA"/>
              </w:rPr>
            </w:pPr>
            <w:r w:rsidRPr="00272D6C">
              <w:rPr>
                <w:rFonts w:eastAsia="細明體" w:cs="Segoe UI"/>
                <w:sz w:val="17"/>
                <w:szCs w:val="17"/>
                <w:lang w:eastAsia="ar-SA"/>
              </w:rPr>
              <w:t>(a)</w:t>
            </w:r>
          </w:p>
        </w:tc>
        <w:tc>
          <w:tcPr>
            <w:tcW w:w="8897" w:type="dxa"/>
            <w:tcBorders>
              <w:top w:val="single" w:sz="4" w:space="0" w:color="000000"/>
              <w:left w:val="single" w:sz="4" w:space="0" w:color="000000"/>
              <w:bottom w:val="single" w:sz="4" w:space="0" w:color="000000"/>
              <w:right w:val="single" w:sz="4" w:space="0" w:color="000000"/>
            </w:tcBorders>
            <w:shd w:val="clear" w:color="auto" w:fill="auto"/>
          </w:tcPr>
          <w:p w14:paraId="37EEA4FB" w14:textId="11D1B462" w:rsidR="00272D6C" w:rsidRPr="00272D6C" w:rsidRDefault="00272D6C" w:rsidP="00272D6C">
            <w:pPr>
              <w:keepNext/>
              <w:suppressAutoHyphens/>
              <w:spacing w:before="40" w:after="40"/>
              <w:jc w:val="both"/>
              <w:rPr>
                <w:rFonts w:cs="Segoe UI"/>
                <w:sz w:val="17"/>
                <w:lang w:eastAsia="ar-SA"/>
              </w:rPr>
            </w:pPr>
            <w:r w:rsidRPr="00272D6C">
              <w:rPr>
                <w:rFonts w:eastAsia="細明體" w:cs="Segoe UI" w:hint="eastAsia"/>
                <w:i/>
                <w:sz w:val="17"/>
                <w:lang w:eastAsia="zh-TW"/>
              </w:rPr>
              <w:t>未將</w:t>
            </w:r>
            <w:r w:rsidRPr="00272D6C">
              <w:rPr>
                <w:rFonts w:eastAsia="細明體" w:cs="Segoe UI" w:hint="eastAsia"/>
                <w:i/>
                <w:sz w:val="17"/>
                <w:lang w:eastAsia="ar-SA"/>
              </w:rPr>
              <w:t>信用衍生工具</w:t>
            </w:r>
            <w:r w:rsidRPr="00272D6C">
              <w:rPr>
                <w:rFonts w:eastAsia="細明體" w:cs="Segoe UI" w:hint="eastAsia"/>
                <w:i/>
                <w:sz w:val="17"/>
                <w:lang w:eastAsia="zh-TW"/>
              </w:rPr>
              <w:t>計算在內</w:t>
            </w:r>
            <w:r w:rsidRPr="00272D6C">
              <w:rPr>
                <w:rFonts w:eastAsia="細明體" w:cs="Segoe UI" w:hint="eastAsia"/>
                <w:i/>
                <w:sz w:val="17"/>
                <w:lang w:eastAsia="ar-SA"/>
              </w:rPr>
              <w:t>的風險加權數額</w:t>
            </w:r>
            <w:r w:rsidRPr="00272D6C">
              <w:rPr>
                <w:rFonts w:eastAsia="細明體" w:cs="Segoe UI" w:hint="eastAsia"/>
                <w:sz w:val="17"/>
                <w:szCs w:val="17"/>
                <w:lang w:eastAsia="ar-SA"/>
              </w:rPr>
              <w:t>：假設沒有</w:t>
            </w:r>
            <w:r w:rsidRPr="00272D6C">
              <w:rPr>
                <w:rFonts w:eastAsia="細明體" w:cs="Segoe UI" w:hint="eastAsia"/>
                <w:sz w:val="17"/>
                <w:szCs w:val="17"/>
                <w:lang w:eastAsia="zh-TW"/>
              </w:rPr>
              <w:t>計及</w:t>
            </w:r>
            <w:r w:rsidRPr="00272D6C">
              <w:rPr>
                <w:rFonts w:eastAsia="細明體" w:cs="Segoe UI" w:hint="eastAsia"/>
                <w:sz w:val="17"/>
                <w:szCs w:val="17"/>
                <w:lang w:eastAsia="ar-SA"/>
              </w:rPr>
              <w:t>任何認可信用衍生工具合約作為減低信用風險措施的假設</w:t>
            </w:r>
            <w:r w:rsidRPr="00272D6C">
              <w:rPr>
                <w:rFonts w:eastAsia="細明體" w:cs="Segoe UI" w:hint="eastAsia"/>
                <w:sz w:val="17"/>
                <w:szCs w:val="17"/>
                <w:lang w:eastAsia="zh-TW"/>
              </w:rPr>
              <w:t>性</w:t>
            </w:r>
            <w:r w:rsidRPr="00272D6C">
              <w:rPr>
                <w:rFonts w:eastAsia="細明體" w:cs="Segoe UI"/>
                <w:sz w:val="17"/>
                <w:szCs w:val="17"/>
                <w:lang w:eastAsia="ar-SA"/>
              </w:rPr>
              <w:t>風險加權數額</w:t>
            </w:r>
            <w:r w:rsidRPr="00272D6C">
              <w:rPr>
                <w:rFonts w:eastAsia="細明體" w:cs="Segoe UI" w:hint="eastAsia"/>
                <w:sz w:val="17"/>
                <w:szCs w:val="17"/>
                <w:lang w:eastAsia="ar-SA"/>
              </w:rPr>
              <w:t>。</w:t>
            </w:r>
          </w:p>
        </w:tc>
      </w:tr>
      <w:tr w:rsidR="00272D6C" w:rsidRPr="00272D6C" w14:paraId="2B9C8BC3" w14:textId="77777777" w:rsidTr="005171C5">
        <w:trPr>
          <w:trHeight w:val="373"/>
        </w:trPr>
        <w:tc>
          <w:tcPr>
            <w:tcW w:w="567" w:type="dxa"/>
            <w:tcBorders>
              <w:top w:val="single" w:sz="4" w:space="0" w:color="000000"/>
              <w:left w:val="single" w:sz="4" w:space="0" w:color="000000"/>
              <w:bottom w:val="single" w:sz="4" w:space="0" w:color="000000"/>
            </w:tcBorders>
            <w:shd w:val="clear" w:color="auto" w:fill="auto"/>
          </w:tcPr>
          <w:p w14:paraId="6E0447EC" w14:textId="77777777" w:rsidR="00272D6C" w:rsidRPr="00272D6C" w:rsidRDefault="00272D6C" w:rsidP="00272D6C">
            <w:pPr>
              <w:keepLines/>
              <w:widowControl w:val="0"/>
              <w:tabs>
                <w:tab w:val="left" w:pos="150"/>
                <w:tab w:val="left" w:pos="397"/>
                <w:tab w:val="left" w:pos="794"/>
                <w:tab w:val="left" w:pos="1191"/>
              </w:tabs>
              <w:suppressAutoHyphens/>
              <w:spacing w:before="40" w:after="40"/>
              <w:rPr>
                <w:rFonts w:eastAsia="細明體" w:cs="Segoe UI"/>
                <w:i/>
                <w:sz w:val="17"/>
                <w:szCs w:val="17"/>
                <w:lang w:eastAsia="ar-SA"/>
              </w:rPr>
            </w:pPr>
            <w:r w:rsidRPr="00272D6C">
              <w:rPr>
                <w:rFonts w:eastAsia="細明體" w:cs="Segoe UI"/>
                <w:sz w:val="17"/>
                <w:szCs w:val="17"/>
                <w:lang w:eastAsia="ar-SA"/>
              </w:rPr>
              <w:t>(b)</w:t>
            </w:r>
          </w:p>
        </w:tc>
        <w:tc>
          <w:tcPr>
            <w:tcW w:w="8897" w:type="dxa"/>
            <w:tcBorders>
              <w:top w:val="single" w:sz="4" w:space="0" w:color="000000"/>
              <w:left w:val="single" w:sz="4" w:space="0" w:color="000000"/>
              <w:bottom w:val="single" w:sz="4" w:space="0" w:color="000000"/>
              <w:right w:val="single" w:sz="4" w:space="0" w:color="000000"/>
            </w:tcBorders>
            <w:shd w:val="clear" w:color="auto" w:fill="auto"/>
          </w:tcPr>
          <w:p w14:paraId="278EC807" w14:textId="1FDB1423" w:rsidR="00272D6C" w:rsidRPr="00CD50ED" w:rsidRDefault="00272D6C" w:rsidP="00A9044D">
            <w:pPr>
              <w:suppressAutoHyphens/>
              <w:spacing w:before="40" w:after="40"/>
              <w:jc w:val="both"/>
              <w:rPr>
                <w:rFonts w:eastAsia="細明體" w:cs="Segoe UI"/>
                <w:sz w:val="17"/>
                <w:szCs w:val="17"/>
                <w:lang w:eastAsia="ar-SA"/>
              </w:rPr>
            </w:pPr>
            <w:r w:rsidRPr="00272D6C">
              <w:rPr>
                <w:rFonts w:eastAsia="細明體" w:cs="Segoe UI" w:hint="eastAsia"/>
                <w:i/>
                <w:sz w:val="17"/>
                <w:szCs w:val="17"/>
                <w:lang w:eastAsia="ar-SA"/>
              </w:rPr>
              <w:t>實際</w:t>
            </w:r>
            <w:r w:rsidRPr="00272D6C">
              <w:rPr>
                <w:rFonts w:eastAsia="細明體" w:cs="Segoe UI"/>
                <w:i/>
                <w:sz w:val="17"/>
                <w:szCs w:val="17"/>
                <w:lang w:eastAsia="ar-SA"/>
              </w:rPr>
              <w:t>風險加權數額</w:t>
            </w:r>
            <w:r w:rsidRPr="00272D6C">
              <w:rPr>
                <w:rFonts w:eastAsia="細明體" w:cs="Segoe UI"/>
                <w:sz w:val="17"/>
                <w:szCs w:val="17"/>
                <w:lang w:eastAsia="ar-SA"/>
              </w:rPr>
              <w:t>：</w:t>
            </w:r>
            <w:r w:rsidRPr="00272D6C">
              <w:rPr>
                <w:rFonts w:eastAsia="細明體" w:cs="Segoe UI" w:hint="eastAsia"/>
                <w:sz w:val="17"/>
                <w:szCs w:val="17"/>
                <w:lang w:eastAsia="ar-SA"/>
              </w:rPr>
              <w:t>按照</w:t>
            </w:r>
            <w:r w:rsidRPr="00272D6C">
              <w:rPr>
                <w:rFonts w:eastAsia="細明體" w:cs="Segoe UI"/>
                <w:sz w:val="17"/>
                <w:szCs w:val="17"/>
                <w:lang w:eastAsia="ar-SA"/>
              </w:rPr>
              <w:t>《資本規則》第</w:t>
            </w:r>
            <w:r w:rsidRPr="00272D6C">
              <w:rPr>
                <w:rFonts w:eastAsia="細明體" w:cs="Segoe UI"/>
                <w:sz w:val="17"/>
                <w:szCs w:val="17"/>
                <w:lang w:eastAsia="ar-SA"/>
              </w:rPr>
              <w:t>6</w:t>
            </w:r>
            <w:r w:rsidRPr="00272D6C">
              <w:rPr>
                <w:rFonts w:eastAsia="細明體" w:cs="Segoe UI" w:hint="eastAsia"/>
                <w:sz w:val="17"/>
                <w:szCs w:val="17"/>
                <w:lang w:eastAsia="ar-SA"/>
              </w:rPr>
              <w:t>部第</w:t>
            </w:r>
            <w:r w:rsidRPr="00272D6C">
              <w:rPr>
                <w:rFonts w:eastAsia="細明體" w:cs="Segoe UI"/>
                <w:sz w:val="17"/>
                <w:szCs w:val="17"/>
                <w:lang w:eastAsia="ar-SA"/>
              </w:rPr>
              <w:t>10</w:t>
            </w:r>
            <w:r w:rsidRPr="00272D6C">
              <w:rPr>
                <w:rFonts w:eastAsia="細明體" w:cs="Segoe UI" w:hint="eastAsia"/>
                <w:sz w:val="17"/>
                <w:szCs w:val="17"/>
                <w:lang w:eastAsia="ar-SA"/>
              </w:rPr>
              <w:t>分部計算、並已</w:t>
            </w:r>
            <w:r w:rsidRPr="00272D6C">
              <w:rPr>
                <w:rFonts w:eastAsia="細明體" w:cs="Segoe UI" w:hint="eastAsia"/>
                <w:sz w:val="17"/>
                <w:szCs w:val="17"/>
                <w:lang w:eastAsia="zh-TW"/>
              </w:rPr>
              <w:t>將</w:t>
            </w:r>
            <w:r w:rsidRPr="00272D6C">
              <w:rPr>
                <w:rFonts w:eastAsia="細明體" w:cs="Segoe UI" w:hint="eastAsia"/>
                <w:sz w:val="17"/>
                <w:szCs w:val="17"/>
                <w:lang w:eastAsia="ar-SA"/>
              </w:rPr>
              <w:t>認可信用衍生工具合約的減低信用風險效果</w:t>
            </w:r>
            <w:r w:rsidRPr="00272D6C">
              <w:rPr>
                <w:rFonts w:eastAsia="細明體" w:cs="Segoe UI" w:hint="eastAsia"/>
                <w:sz w:val="17"/>
                <w:szCs w:val="17"/>
                <w:lang w:eastAsia="zh-TW"/>
              </w:rPr>
              <w:t>計算在內</w:t>
            </w:r>
            <w:r w:rsidRPr="00272D6C">
              <w:rPr>
                <w:rFonts w:eastAsia="細明體" w:cs="Segoe UI" w:hint="eastAsia"/>
                <w:sz w:val="17"/>
                <w:szCs w:val="17"/>
                <w:lang w:eastAsia="ar-SA"/>
              </w:rPr>
              <w:t>的風險加權數額。</w:t>
            </w:r>
            <w:r w:rsidRPr="00272D6C">
              <w:rPr>
                <w:rFonts w:eastAsia="細明體" w:cs="Segoe UI"/>
                <w:sz w:val="17"/>
                <w:szCs w:val="17"/>
                <w:lang w:eastAsia="ar-SA"/>
              </w:rPr>
              <w:t>如認可機構在計算</w:t>
            </w:r>
            <w:r w:rsidRPr="00272D6C">
              <w:rPr>
                <w:rFonts w:eastAsia="細明體" w:cs="Segoe UI" w:hint="eastAsia"/>
                <w:sz w:val="17"/>
                <w:szCs w:val="17"/>
                <w:lang w:eastAsia="ar-SA"/>
              </w:rPr>
              <w:t>某</w:t>
            </w:r>
            <w:r w:rsidRPr="00272D6C">
              <w:rPr>
                <w:rFonts w:eastAsia="細明體" w:cs="Segoe UI"/>
                <w:sz w:val="17"/>
                <w:szCs w:val="17"/>
                <w:lang w:eastAsia="ar-SA"/>
              </w:rPr>
              <w:t>風險</w:t>
            </w:r>
            <w:r w:rsidRPr="00272D6C">
              <w:rPr>
                <w:rFonts w:eastAsia="細明體" w:cs="Segoe UI" w:hint="eastAsia"/>
                <w:sz w:val="17"/>
                <w:szCs w:val="17"/>
                <w:lang w:eastAsia="ar-SA"/>
              </w:rPr>
              <w:t>承擔</w:t>
            </w:r>
            <w:r w:rsidRPr="00272D6C">
              <w:rPr>
                <w:rFonts w:eastAsia="細明體" w:cs="Segoe UI"/>
                <w:sz w:val="17"/>
                <w:szCs w:val="17"/>
                <w:lang w:eastAsia="ar-SA"/>
              </w:rPr>
              <w:t>的風險加權數額時</w:t>
            </w:r>
            <w:r w:rsidR="00A9044D" w:rsidRPr="00A9044D">
              <w:rPr>
                <w:rFonts w:eastAsia="細明體" w:cs="Segoe UI" w:hint="eastAsia"/>
                <w:sz w:val="17"/>
                <w:szCs w:val="17"/>
                <w:lang w:eastAsia="ar-SA"/>
              </w:rPr>
              <w:t>未有</w:t>
            </w:r>
            <w:r w:rsidRPr="00272D6C">
              <w:rPr>
                <w:rFonts w:eastAsia="細明體" w:cs="Segoe UI"/>
                <w:sz w:val="17"/>
                <w:szCs w:val="17"/>
                <w:lang w:eastAsia="ar-SA"/>
              </w:rPr>
              <w:t>考慮認可信用衍生工具合約的減低信用風險效果，或</w:t>
            </w:r>
            <w:r w:rsidR="00CD50ED" w:rsidRPr="00272D6C">
              <w:rPr>
                <w:rFonts w:eastAsia="細明體" w:cs="Segoe UI"/>
                <w:sz w:val="17"/>
                <w:szCs w:val="17"/>
                <w:lang w:eastAsia="ar-SA"/>
              </w:rPr>
              <w:t>某些風險</w:t>
            </w:r>
            <w:r w:rsidR="00CD50ED" w:rsidRPr="00272D6C">
              <w:rPr>
                <w:rFonts w:eastAsia="細明體" w:cs="Segoe UI" w:hint="eastAsia"/>
                <w:sz w:val="17"/>
                <w:szCs w:val="17"/>
                <w:lang w:eastAsia="ar-SA"/>
              </w:rPr>
              <w:t>承擔</w:t>
            </w:r>
            <w:r w:rsidR="00CD50ED">
              <w:rPr>
                <w:rFonts w:eastAsia="細明體" w:cs="Segoe UI" w:hint="eastAsia"/>
                <w:sz w:val="17"/>
                <w:szCs w:val="17"/>
                <w:lang w:eastAsia="zh-HK"/>
              </w:rPr>
              <w:t>不合資格</w:t>
            </w:r>
            <w:r w:rsidR="00A9044D" w:rsidRPr="00A9044D">
              <w:rPr>
                <w:rFonts w:eastAsia="細明體" w:cs="Segoe UI" w:hint="eastAsia"/>
                <w:sz w:val="17"/>
                <w:szCs w:val="17"/>
                <w:lang w:eastAsia="zh-HK"/>
              </w:rPr>
              <w:t>從</w:t>
            </w:r>
            <w:r w:rsidRPr="00272D6C">
              <w:rPr>
                <w:rFonts w:eastAsia="細明體" w:cs="Segoe UI"/>
                <w:sz w:val="17"/>
                <w:szCs w:val="17"/>
                <w:lang w:eastAsia="ar-SA"/>
              </w:rPr>
              <w:t>信用衍生工具合約</w:t>
            </w:r>
            <w:r w:rsidR="00A9044D">
              <w:rPr>
                <w:rFonts w:eastAsia="細明體" w:cs="Segoe UI" w:hint="eastAsia"/>
                <w:sz w:val="17"/>
                <w:szCs w:val="17"/>
                <w:lang w:eastAsia="zh-HK"/>
              </w:rPr>
              <w:t>中</w:t>
            </w:r>
            <w:r w:rsidR="00A9044D" w:rsidRPr="00A9044D">
              <w:rPr>
                <w:rFonts w:eastAsia="細明體" w:cs="Segoe UI" w:hint="eastAsia"/>
                <w:sz w:val="17"/>
                <w:szCs w:val="17"/>
                <w:lang w:eastAsia="zh-HK"/>
              </w:rPr>
              <w:t>確認任何</w:t>
            </w:r>
            <w:r w:rsidRPr="00272D6C">
              <w:rPr>
                <w:rFonts w:eastAsia="細明體" w:cs="Segoe UI"/>
                <w:sz w:val="17"/>
                <w:szCs w:val="17"/>
                <w:lang w:eastAsia="ar-SA"/>
              </w:rPr>
              <w:t>減低信用風險效果，</w:t>
            </w:r>
            <w:r w:rsidR="00A9044D" w:rsidRPr="00A9044D">
              <w:rPr>
                <w:rFonts w:eastAsia="細明體" w:cs="Segoe UI" w:hint="eastAsia"/>
                <w:sz w:val="17"/>
                <w:szCs w:val="17"/>
                <w:lang w:eastAsia="ar-SA"/>
              </w:rPr>
              <w:t>則</w:t>
            </w:r>
            <w:r w:rsidRPr="00272D6C">
              <w:rPr>
                <w:rFonts w:eastAsia="細明體" w:cs="Segoe UI"/>
                <w:sz w:val="17"/>
                <w:szCs w:val="17"/>
                <w:lang w:eastAsia="ar-SA"/>
              </w:rPr>
              <w:t>認可機構應在</w:t>
            </w:r>
            <w:r w:rsidRPr="00272D6C">
              <w:rPr>
                <w:rFonts w:eastAsia="細明體" w:cs="Segoe UI" w:hint="eastAsia"/>
                <w:sz w:val="17"/>
                <w:szCs w:val="17"/>
                <w:lang w:eastAsia="ar-SA"/>
              </w:rPr>
              <w:t>(</w:t>
            </w:r>
            <w:r w:rsidRPr="00272D6C">
              <w:rPr>
                <w:rFonts w:eastAsia="細明體" w:cs="Segoe UI"/>
                <w:sz w:val="17"/>
                <w:szCs w:val="17"/>
                <w:lang w:eastAsia="ar-SA"/>
              </w:rPr>
              <w:t>a</w:t>
            </w:r>
            <w:r w:rsidRPr="00272D6C">
              <w:rPr>
                <w:rFonts w:eastAsia="細明體" w:cs="Segoe UI" w:hint="eastAsia"/>
                <w:sz w:val="17"/>
                <w:szCs w:val="17"/>
                <w:lang w:eastAsia="ar-SA"/>
              </w:rPr>
              <w:t>)</w:t>
            </w:r>
            <w:r w:rsidRPr="00272D6C">
              <w:rPr>
                <w:rFonts w:eastAsia="細明體" w:cs="Segoe UI" w:hint="eastAsia"/>
                <w:sz w:val="17"/>
                <w:szCs w:val="17"/>
                <w:lang w:eastAsia="ar-SA"/>
              </w:rPr>
              <w:t>和</w:t>
            </w:r>
            <w:r w:rsidRPr="00272D6C">
              <w:rPr>
                <w:rFonts w:eastAsia="細明體" w:cs="Segoe UI" w:hint="eastAsia"/>
                <w:sz w:val="17"/>
                <w:szCs w:val="17"/>
                <w:lang w:eastAsia="ar-SA"/>
              </w:rPr>
              <w:t>(</w:t>
            </w:r>
            <w:r w:rsidRPr="00272D6C">
              <w:rPr>
                <w:rFonts w:eastAsia="細明體" w:cs="Segoe UI"/>
                <w:sz w:val="17"/>
                <w:szCs w:val="17"/>
                <w:lang w:eastAsia="ar-SA"/>
              </w:rPr>
              <w:t>b</w:t>
            </w:r>
            <w:r w:rsidRPr="00272D6C">
              <w:rPr>
                <w:rFonts w:eastAsia="細明體" w:cs="Segoe UI" w:hint="eastAsia"/>
                <w:sz w:val="17"/>
                <w:szCs w:val="17"/>
                <w:lang w:eastAsia="ar-SA"/>
              </w:rPr>
              <w:t>)</w:t>
            </w:r>
            <w:r w:rsidRPr="00272D6C">
              <w:rPr>
                <w:rFonts w:eastAsia="細明體" w:cs="Segoe UI"/>
                <w:sz w:val="17"/>
                <w:szCs w:val="17"/>
                <w:lang w:eastAsia="ar-SA"/>
              </w:rPr>
              <w:t>欄</w:t>
            </w:r>
            <w:r w:rsidRPr="00272D6C">
              <w:rPr>
                <w:rFonts w:eastAsia="細明體" w:cs="Segoe UI" w:hint="eastAsia"/>
                <w:sz w:val="17"/>
                <w:szCs w:val="17"/>
                <w:lang w:eastAsia="ar-SA"/>
              </w:rPr>
              <w:t>填報相同金額。</w:t>
            </w:r>
          </w:p>
        </w:tc>
      </w:tr>
    </w:tbl>
    <w:p w14:paraId="2FAA7BCD" w14:textId="77777777" w:rsidR="00272D6C" w:rsidRPr="00272D6C" w:rsidRDefault="00272D6C" w:rsidP="00272D6C">
      <w:pPr>
        <w:suppressAutoHyphens/>
        <w:spacing w:before="120" w:after="120"/>
        <w:rPr>
          <w:rFonts w:eastAsia="細明體" w:cs="Segoe UI"/>
          <w:sz w:val="22"/>
          <w:lang w:eastAsia="ar-SA"/>
        </w:rPr>
        <w:sectPr w:rsidR="00272D6C" w:rsidRPr="00272D6C">
          <w:footerReference w:type="default" r:id="rId73"/>
          <w:pgSz w:w="11906" w:h="16838"/>
          <w:pgMar w:top="1440" w:right="1797" w:bottom="1440" w:left="1797" w:header="720" w:footer="737" w:gutter="0"/>
          <w:cols w:space="720"/>
          <w:docGrid w:type="linesAndChars" w:linePitch="360"/>
        </w:sectPr>
      </w:pPr>
    </w:p>
    <w:p w14:paraId="464933EC" w14:textId="151D8CDA" w:rsidR="000D5B78" w:rsidRPr="00893D12" w:rsidRDefault="00893D12" w:rsidP="00893D12">
      <w:pPr>
        <w:pStyle w:val="Heading2"/>
        <w:keepNext w:val="0"/>
        <w:suppressAutoHyphens w:val="0"/>
        <w:spacing w:before="40" w:line="240" w:lineRule="auto"/>
        <w:ind w:left="-454"/>
        <w:rPr>
          <w:rFonts w:ascii="細明體" w:eastAsia="細明體" w:hAnsi="細明體"/>
          <w:b w:val="0"/>
          <w:bCs w:val="0"/>
          <w:sz w:val="22"/>
          <w:szCs w:val="22"/>
          <w:lang w:eastAsia="zh-TW"/>
        </w:rPr>
      </w:pPr>
      <w:r w:rsidRPr="00893D12">
        <w:rPr>
          <w:rFonts w:ascii="細明體" w:eastAsia="細明體" w:hAnsi="細明體" w:cs="Segoe UI" w:hint="eastAsia"/>
          <w:b w:val="0"/>
          <w:sz w:val="22"/>
          <w:szCs w:val="22"/>
          <w:lang w:eastAsia="zh-TW"/>
        </w:rPr>
        <w:t>模版</w:t>
      </w:r>
      <w:r w:rsidRPr="00893D12">
        <w:rPr>
          <w:rFonts w:ascii="Segoe UI" w:eastAsia="細明體" w:hAnsi="Segoe UI" w:cs="Segoe UI"/>
          <w:b w:val="0"/>
          <w:sz w:val="22"/>
          <w:szCs w:val="22"/>
          <w:lang w:eastAsia="zh-TW"/>
        </w:rPr>
        <w:t>CR8</w:t>
      </w:r>
      <w:r w:rsidRPr="00893D12">
        <w:rPr>
          <w:rFonts w:ascii="細明體" w:eastAsia="細明體" w:hAnsi="細明體" w:cs="Segoe UI" w:hint="eastAsia"/>
          <w:b w:val="0"/>
          <w:sz w:val="22"/>
          <w:szCs w:val="22"/>
          <w:lang w:eastAsia="zh-TW"/>
        </w:rPr>
        <w:t>：在</w:t>
      </w:r>
      <w:r w:rsidRPr="00893D12">
        <w:rPr>
          <w:rFonts w:ascii="Segoe UI" w:eastAsia="細明體" w:hAnsi="Segoe UI" w:cs="Segoe UI"/>
          <w:b w:val="0"/>
          <w:sz w:val="22"/>
          <w:szCs w:val="22"/>
          <w:lang w:eastAsia="zh-TW"/>
        </w:rPr>
        <w:t>IRB</w:t>
      </w:r>
      <w:r w:rsidRPr="00893D12">
        <w:rPr>
          <w:rFonts w:ascii="細明體" w:eastAsia="細明體" w:hAnsi="細明體" w:cs="Segoe UI" w:hint="eastAsia"/>
          <w:b w:val="0"/>
          <w:sz w:val="22"/>
          <w:szCs w:val="22"/>
          <w:lang w:eastAsia="zh-TW"/>
        </w:rPr>
        <w:t>計算法下信用風險承擔的</w:t>
      </w:r>
      <w:r w:rsidRPr="00893D12">
        <w:rPr>
          <w:rFonts w:ascii="細明體" w:eastAsia="細明體" w:hAnsi="細明體" w:cs="Segoe UI"/>
          <w:b w:val="0"/>
          <w:sz w:val="22"/>
          <w:szCs w:val="22"/>
          <w:lang w:eastAsia="zh-TW"/>
        </w:rPr>
        <w:t>風險加權數額</w:t>
      </w:r>
      <w:r w:rsidRPr="00893D12">
        <w:rPr>
          <w:rFonts w:ascii="細明體" w:eastAsia="細明體" w:hAnsi="細明體" w:cs="Segoe UI" w:hint="eastAsia"/>
          <w:b w:val="0"/>
          <w:sz w:val="22"/>
          <w:szCs w:val="22"/>
          <w:lang w:eastAsia="zh-TW"/>
        </w:rPr>
        <w:t>流動表</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272D6C" w:rsidRPr="00272D6C" w14:paraId="5EE04A7C" w14:textId="77777777" w:rsidTr="00E93736">
        <w:tc>
          <w:tcPr>
            <w:tcW w:w="2160" w:type="dxa"/>
          </w:tcPr>
          <w:p w14:paraId="7DB088CA" w14:textId="77777777" w:rsidR="00272D6C" w:rsidRPr="00272D6C" w:rsidRDefault="00272D6C" w:rsidP="00272D6C">
            <w:pPr>
              <w:spacing w:before="40" w:after="40"/>
              <w:rPr>
                <w:rFonts w:eastAsia="細明體" w:cs="Segoe UI"/>
                <w:noProof/>
                <w:sz w:val="17"/>
                <w:lang w:eastAsia="zh-TW"/>
              </w:rPr>
            </w:pPr>
            <w:r w:rsidRPr="00272D6C">
              <w:rPr>
                <w:rFonts w:eastAsia="細明體" w:cs="Segoe UI" w:hint="eastAsia"/>
                <w:b/>
                <w:sz w:val="17"/>
                <w:lang w:eastAsia="zh-TW"/>
              </w:rPr>
              <w:t>目的：</w:t>
            </w:r>
            <w:r w:rsidRPr="00272D6C">
              <w:rPr>
                <w:rFonts w:eastAsia="細明體" w:cs="Segoe UI"/>
                <w:sz w:val="17"/>
                <w:lang w:eastAsia="en-GB"/>
              </w:rPr>
              <w:t xml:space="preserve"> </w:t>
            </w:r>
          </w:p>
        </w:tc>
        <w:tc>
          <w:tcPr>
            <w:tcW w:w="7088" w:type="dxa"/>
          </w:tcPr>
          <w:p w14:paraId="787C9801" w14:textId="77777777" w:rsidR="00272D6C" w:rsidRPr="00272D6C" w:rsidRDefault="00272D6C" w:rsidP="00272D6C">
            <w:pPr>
              <w:spacing w:before="40" w:after="40"/>
              <w:jc w:val="both"/>
              <w:rPr>
                <w:rFonts w:eastAsia="細明體" w:cs="Segoe UI"/>
                <w:sz w:val="17"/>
                <w:lang w:eastAsia="zh-TW"/>
              </w:rPr>
            </w:pPr>
            <w:r w:rsidRPr="00272D6C">
              <w:rPr>
                <w:rFonts w:eastAsia="細明體" w:cs="Segoe UI" w:hint="eastAsia"/>
                <w:sz w:val="17"/>
                <w:lang w:eastAsia="zh-TW"/>
              </w:rPr>
              <w:t>呈示</w:t>
            </w:r>
            <w:proofErr w:type="gramStart"/>
            <w:r w:rsidRPr="00272D6C">
              <w:rPr>
                <w:rFonts w:eastAsia="細明體" w:cs="Segoe UI" w:hint="eastAsia"/>
                <w:sz w:val="17"/>
                <w:lang w:eastAsia="zh-TW"/>
              </w:rPr>
              <w:t>一</w:t>
            </w:r>
            <w:proofErr w:type="gramEnd"/>
            <w:r w:rsidRPr="00272D6C">
              <w:rPr>
                <w:rFonts w:eastAsia="細明體" w:cs="Segoe UI" w:hint="eastAsia"/>
                <w:sz w:val="17"/>
                <w:lang w:eastAsia="zh-TW"/>
              </w:rPr>
              <w:t>流動表，解釋按</w:t>
            </w:r>
            <w:r w:rsidRPr="00272D6C">
              <w:rPr>
                <w:rFonts w:eastAsia="細明體" w:cs="Segoe UI"/>
                <w:sz w:val="17"/>
                <w:lang w:eastAsia="zh-TW"/>
              </w:rPr>
              <w:t>IRB</w:t>
            </w:r>
            <w:r w:rsidRPr="00272D6C">
              <w:rPr>
                <w:rFonts w:eastAsia="細明體" w:cs="Segoe UI" w:hint="eastAsia"/>
                <w:sz w:val="17"/>
                <w:lang w:eastAsia="zh-TW"/>
              </w:rPr>
              <w:t>計算法斷定的信用風險的風險加權數額的改變。</w:t>
            </w:r>
          </w:p>
        </w:tc>
      </w:tr>
      <w:tr w:rsidR="00272D6C" w:rsidRPr="00272D6C" w14:paraId="3255CFFC" w14:textId="77777777" w:rsidTr="00E93736">
        <w:tc>
          <w:tcPr>
            <w:tcW w:w="2160" w:type="dxa"/>
          </w:tcPr>
          <w:p w14:paraId="5D965515" w14:textId="77777777" w:rsidR="00272D6C" w:rsidRPr="00272D6C" w:rsidRDefault="00272D6C" w:rsidP="00272D6C">
            <w:pPr>
              <w:spacing w:before="40" w:after="40"/>
              <w:rPr>
                <w:rFonts w:eastAsia="細明體" w:cs="Segoe UI"/>
                <w:b/>
                <w:sz w:val="17"/>
                <w:lang w:eastAsia="en-GB"/>
              </w:rPr>
            </w:pPr>
            <w:proofErr w:type="spellStart"/>
            <w:r w:rsidRPr="00272D6C">
              <w:rPr>
                <w:rFonts w:eastAsia="細明體" w:cs="Segoe UI" w:hint="eastAsia"/>
                <w:b/>
                <w:sz w:val="17"/>
                <w:lang w:eastAsia="en-GB"/>
              </w:rPr>
              <w:t>適用範圍</w:t>
            </w:r>
            <w:proofErr w:type="spellEnd"/>
            <w:r w:rsidRPr="00272D6C">
              <w:rPr>
                <w:rFonts w:eastAsia="細明體" w:cs="Segoe UI" w:hint="eastAsia"/>
                <w:b/>
                <w:sz w:val="17"/>
                <w:lang w:eastAsia="en-GB"/>
              </w:rPr>
              <w:t>：</w:t>
            </w:r>
            <w:r w:rsidRPr="00272D6C">
              <w:rPr>
                <w:rFonts w:eastAsia="細明體" w:cs="Segoe UI"/>
                <w:b/>
                <w:sz w:val="17"/>
                <w:lang w:eastAsia="en-GB"/>
              </w:rPr>
              <w:t xml:space="preserve"> </w:t>
            </w:r>
          </w:p>
        </w:tc>
        <w:tc>
          <w:tcPr>
            <w:tcW w:w="7088" w:type="dxa"/>
          </w:tcPr>
          <w:p w14:paraId="6B4ADEE4" w14:textId="77777777" w:rsidR="00272D6C" w:rsidRPr="00272D6C" w:rsidRDefault="00272D6C" w:rsidP="00272D6C">
            <w:pPr>
              <w:spacing w:before="40" w:after="40"/>
              <w:jc w:val="both"/>
              <w:rPr>
                <w:rFonts w:eastAsia="細明體" w:cs="Segoe UI"/>
                <w:sz w:val="17"/>
                <w:lang w:eastAsia="zh-TW"/>
              </w:rPr>
            </w:pPr>
            <w:r w:rsidRPr="00272D6C">
              <w:rPr>
                <w:rFonts w:eastAsia="細明體" w:cs="Segoe UI" w:hint="eastAsia"/>
                <w:sz w:val="17"/>
                <w:lang w:eastAsia="zh-TW"/>
              </w:rPr>
              <w:t>在香港成立</w:t>
            </w:r>
            <w:proofErr w:type="gramStart"/>
            <w:r w:rsidRPr="00272D6C">
              <w:rPr>
                <w:rFonts w:eastAsia="細明體" w:cs="Segoe UI" w:hint="eastAsia"/>
                <w:sz w:val="17"/>
                <w:lang w:eastAsia="zh-TW"/>
              </w:rPr>
              <w:t>為法團並</w:t>
            </w:r>
            <w:proofErr w:type="gramEnd"/>
            <w:r w:rsidRPr="00272D6C">
              <w:rPr>
                <w:rFonts w:eastAsia="細明體" w:cs="Segoe UI" w:hint="eastAsia"/>
                <w:sz w:val="17"/>
                <w:lang w:eastAsia="zh-TW"/>
              </w:rPr>
              <w:t>使用</w:t>
            </w:r>
            <w:r w:rsidRPr="00272D6C">
              <w:rPr>
                <w:rFonts w:eastAsia="細明體" w:cs="Segoe UI"/>
                <w:sz w:val="17"/>
                <w:lang w:eastAsia="zh-TW"/>
              </w:rPr>
              <w:t>IRB</w:t>
            </w:r>
            <w:r w:rsidRPr="00272D6C">
              <w:rPr>
                <w:rFonts w:eastAsia="細明體" w:cs="Segoe UI"/>
                <w:sz w:val="17"/>
                <w:szCs w:val="17"/>
                <w:lang w:eastAsia="zh-TW"/>
              </w:rPr>
              <w:t>計算法</w:t>
            </w:r>
            <w:r w:rsidRPr="00272D6C">
              <w:rPr>
                <w:rFonts w:eastAsia="細明體" w:cs="Segoe UI" w:hint="eastAsia"/>
                <w:sz w:val="17"/>
                <w:lang w:eastAsia="zh-TW"/>
              </w:rPr>
              <w:t>計算其部分或全部風險承擔</w:t>
            </w:r>
            <w:r w:rsidRPr="00272D6C">
              <w:rPr>
                <w:rFonts w:eastAsia="細明體" w:cs="Segoe UI"/>
                <w:sz w:val="17"/>
                <w:lang w:eastAsia="zh-TW"/>
              </w:rPr>
              <w:t>的認可機構</w:t>
            </w:r>
            <w:r w:rsidRPr="00272D6C">
              <w:rPr>
                <w:rFonts w:eastAsia="細明體" w:cs="Segoe UI" w:hint="eastAsia"/>
                <w:sz w:val="17"/>
                <w:lang w:eastAsia="zh-TW"/>
              </w:rPr>
              <w:t>，</w:t>
            </w:r>
            <w:proofErr w:type="gramStart"/>
            <w:r w:rsidRPr="00272D6C">
              <w:rPr>
                <w:rFonts w:eastAsia="細明體" w:cs="Segoe UI" w:hint="eastAsia"/>
                <w:sz w:val="17"/>
                <w:lang w:eastAsia="zh-TW"/>
              </w:rPr>
              <w:t>均須填報本模</w:t>
            </w:r>
            <w:proofErr w:type="gramEnd"/>
            <w:r w:rsidRPr="00272D6C">
              <w:rPr>
                <w:rFonts w:eastAsia="細明體" w:cs="Segoe UI" w:hint="eastAsia"/>
                <w:sz w:val="17"/>
                <w:lang w:eastAsia="zh-TW"/>
              </w:rPr>
              <w:t>版。</w:t>
            </w:r>
          </w:p>
        </w:tc>
      </w:tr>
      <w:tr w:rsidR="00272D6C" w:rsidRPr="00272D6C" w14:paraId="46DA97CF" w14:textId="77777777" w:rsidTr="00E93736">
        <w:tc>
          <w:tcPr>
            <w:tcW w:w="2160" w:type="dxa"/>
          </w:tcPr>
          <w:p w14:paraId="2118B377" w14:textId="77777777" w:rsidR="00272D6C" w:rsidRPr="00272D6C" w:rsidRDefault="00272D6C" w:rsidP="00272D6C">
            <w:pPr>
              <w:spacing w:before="40" w:after="40"/>
              <w:rPr>
                <w:rFonts w:eastAsia="細明體" w:cs="Segoe UI"/>
                <w:b/>
                <w:sz w:val="17"/>
                <w:lang w:eastAsia="en-GB"/>
              </w:rPr>
            </w:pPr>
            <w:proofErr w:type="spellStart"/>
            <w:r w:rsidRPr="00272D6C">
              <w:rPr>
                <w:rFonts w:eastAsia="細明體" w:cs="Segoe UI" w:hint="eastAsia"/>
                <w:b/>
                <w:sz w:val="17"/>
                <w:lang w:eastAsia="en-GB"/>
              </w:rPr>
              <w:t>內容</w:t>
            </w:r>
            <w:proofErr w:type="spellEnd"/>
            <w:r w:rsidRPr="00272D6C">
              <w:rPr>
                <w:rFonts w:eastAsia="細明體" w:cs="Segoe UI" w:hint="eastAsia"/>
                <w:b/>
                <w:sz w:val="17"/>
                <w:lang w:eastAsia="en-GB"/>
              </w:rPr>
              <w:t>：</w:t>
            </w:r>
            <w:r w:rsidRPr="00272D6C">
              <w:rPr>
                <w:rFonts w:eastAsia="細明體" w:cs="Segoe UI"/>
                <w:b/>
                <w:sz w:val="17"/>
                <w:lang w:eastAsia="en-GB"/>
              </w:rPr>
              <w:t xml:space="preserve"> </w:t>
            </w:r>
          </w:p>
        </w:tc>
        <w:tc>
          <w:tcPr>
            <w:tcW w:w="7088" w:type="dxa"/>
          </w:tcPr>
          <w:p w14:paraId="4BA9A98E" w14:textId="77777777" w:rsidR="00272D6C" w:rsidRPr="00272D6C" w:rsidRDefault="00272D6C" w:rsidP="00272D6C">
            <w:pPr>
              <w:spacing w:before="40" w:after="40"/>
              <w:jc w:val="both"/>
              <w:rPr>
                <w:rFonts w:eastAsia="細明體" w:cs="Segoe UI"/>
                <w:b/>
                <w:sz w:val="17"/>
                <w:lang w:eastAsia="zh-TW"/>
              </w:rPr>
            </w:pPr>
            <w:r w:rsidRPr="00272D6C">
              <w:rPr>
                <w:rFonts w:eastAsia="細明體" w:cs="Segoe UI" w:hint="eastAsia"/>
                <w:sz w:val="17"/>
                <w:lang w:eastAsia="zh-TW"/>
              </w:rPr>
              <w:t>風險加權數額。在現行報告期內每項主要驅動因素引致的</w:t>
            </w:r>
            <w:r w:rsidRPr="00272D6C">
              <w:rPr>
                <w:rFonts w:eastAsia="細明體" w:cs="Segoe UI"/>
                <w:sz w:val="17"/>
                <w:szCs w:val="17"/>
                <w:lang w:eastAsia="zh-TW"/>
              </w:rPr>
              <w:t>風險加權數額</w:t>
            </w:r>
            <w:r w:rsidRPr="00272D6C">
              <w:rPr>
                <w:rFonts w:eastAsia="細明體" w:cs="Segoe UI" w:hint="eastAsia"/>
                <w:sz w:val="17"/>
                <w:szCs w:val="17"/>
                <w:lang w:eastAsia="zh-TW"/>
              </w:rPr>
              <w:t>的</w:t>
            </w:r>
            <w:r w:rsidRPr="00272D6C">
              <w:rPr>
                <w:rFonts w:eastAsia="細明體" w:cs="Segoe UI" w:hint="eastAsia"/>
                <w:sz w:val="17"/>
                <w:lang w:eastAsia="zh-TW"/>
              </w:rPr>
              <w:t>改</w:t>
            </w:r>
            <w:r w:rsidRPr="00272D6C">
              <w:rPr>
                <w:rFonts w:eastAsia="細明體" w:cs="Segoe UI" w:hint="eastAsia"/>
                <w:sz w:val="17"/>
                <w:szCs w:val="17"/>
                <w:lang w:eastAsia="zh-TW"/>
              </w:rPr>
              <w:t>變，應以認可機構對該</w:t>
            </w:r>
            <w:r w:rsidRPr="00272D6C">
              <w:rPr>
                <w:rFonts w:eastAsia="細明體" w:cs="Segoe UI"/>
                <w:sz w:val="17"/>
                <w:szCs w:val="17"/>
                <w:lang w:eastAsia="zh-TW"/>
              </w:rPr>
              <w:t>數字</w:t>
            </w:r>
            <w:r w:rsidRPr="00272D6C">
              <w:rPr>
                <w:rFonts w:eastAsia="細明體" w:cs="Segoe UI" w:hint="eastAsia"/>
                <w:sz w:val="17"/>
                <w:szCs w:val="17"/>
                <w:lang w:eastAsia="zh-TW"/>
              </w:rPr>
              <w:t>的合理估計為依據。</w:t>
            </w:r>
          </w:p>
        </w:tc>
      </w:tr>
      <w:tr w:rsidR="00272D6C" w:rsidRPr="00272D6C" w14:paraId="5676B2C5" w14:textId="77777777" w:rsidTr="00E93736">
        <w:tc>
          <w:tcPr>
            <w:tcW w:w="2160" w:type="dxa"/>
          </w:tcPr>
          <w:p w14:paraId="4AFEB744" w14:textId="77777777" w:rsidR="00272D6C" w:rsidRPr="00272D6C" w:rsidRDefault="00272D6C" w:rsidP="00272D6C">
            <w:pPr>
              <w:spacing w:before="40" w:after="40"/>
              <w:rPr>
                <w:rFonts w:eastAsia="細明體" w:cs="Segoe UI"/>
                <w:sz w:val="17"/>
                <w:lang w:eastAsia="en-GB"/>
              </w:rPr>
            </w:pPr>
            <w:proofErr w:type="spellStart"/>
            <w:r w:rsidRPr="00272D6C">
              <w:rPr>
                <w:rFonts w:eastAsia="細明體" w:cs="Segoe UI" w:hint="eastAsia"/>
                <w:b/>
                <w:sz w:val="17"/>
                <w:lang w:eastAsia="en-GB"/>
              </w:rPr>
              <w:t>頻密程度</w:t>
            </w:r>
            <w:proofErr w:type="spellEnd"/>
            <w:r w:rsidRPr="00272D6C">
              <w:rPr>
                <w:rFonts w:eastAsia="細明體" w:cs="Segoe UI" w:hint="eastAsia"/>
                <w:b/>
                <w:sz w:val="17"/>
                <w:lang w:eastAsia="en-GB"/>
              </w:rPr>
              <w:t>：</w:t>
            </w:r>
            <w:r w:rsidRPr="00272D6C">
              <w:rPr>
                <w:rFonts w:eastAsia="細明體" w:cs="Segoe UI"/>
                <w:sz w:val="17"/>
                <w:lang w:eastAsia="en-GB"/>
              </w:rPr>
              <w:t xml:space="preserve"> </w:t>
            </w:r>
          </w:p>
        </w:tc>
        <w:tc>
          <w:tcPr>
            <w:tcW w:w="7088" w:type="dxa"/>
          </w:tcPr>
          <w:p w14:paraId="28C98817" w14:textId="77777777" w:rsidR="00272D6C" w:rsidRPr="00272D6C" w:rsidRDefault="00272D6C" w:rsidP="00272D6C">
            <w:pPr>
              <w:spacing w:before="40" w:after="40"/>
              <w:jc w:val="both"/>
              <w:rPr>
                <w:rFonts w:eastAsia="細明體" w:cs="Segoe UI"/>
                <w:sz w:val="17"/>
                <w:lang w:eastAsia="en-GB"/>
              </w:rPr>
            </w:pPr>
            <w:proofErr w:type="spellStart"/>
            <w:r w:rsidRPr="00272D6C">
              <w:rPr>
                <w:rFonts w:eastAsia="細明體" w:cs="Segoe UI" w:hint="eastAsia"/>
                <w:sz w:val="17"/>
                <w:lang w:eastAsia="en-GB"/>
              </w:rPr>
              <w:t>每季一次</w:t>
            </w:r>
            <w:proofErr w:type="spellEnd"/>
            <w:r w:rsidRPr="00272D6C">
              <w:rPr>
                <w:rFonts w:eastAsia="細明體" w:cs="Segoe UI"/>
                <w:sz w:val="17"/>
                <w:szCs w:val="17"/>
                <w:lang w:eastAsia="zh-TW"/>
              </w:rPr>
              <w:t>。</w:t>
            </w:r>
          </w:p>
        </w:tc>
      </w:tr>
      <w:tr w:rsidR="00272D6C" w:rsidRPr="00272D6C" w14:paraId="61D1DCB9" w14:textId="77777777" w:rsidTr="00E93736">
        <w:tc>
          <w:tcPr>
            <w:tcW w:w="2160" w:type="dxa"/>
          </w:tcPr>
          <w:p w14:paraId="22B5164C" w14:textId="77777777" w:rsidR="00272D6C" w:rsidRPr="00272D6C" w:rsidRDefault="00272D6C" w:rsidP="00272D6C">
            <w:pPr>
              <w:spacing w:before="40" w:after="40"/>
              <w:rPr>
                <w:rFonts w:eastAsia="細明體" w:cs="Segoe UI"/>
                <w:sz w:val="17"/>
                <w:lang w:eastAsia="en-GB"/>
              </w:rPr>
            </w:pPr>
            <w:proofErr w:type="spellStart"/>
            <w:r w:rsidRPr="00272D6C">
              <w:rPr>
                <w:rFonts w:eastAsia="細明體" w:cs="Segoe UI" w:hint="eastAsia"/>
                <w:b/>
                <w:sz w:val="17"/>
                <w:lang w:eastAsia="en-GB"/>
              </w:rPr>
              <w:t>格式</w:t>
            </w:r>
            <w:proofErr w:type="spellEnd"/>
            <w:r w:rsidRPr="00272D6C">
              <w:rPr>
                <w:rFonts w:eastAsia="細明體" w:cs="Segoe UI" w:hint="eastAsia"/>
                <w:b/>
                <w:sz w:val="17"/>
                <w:lang w:eastAsia="en-GB"/>
              </w:rPr>
              <w:t>：</w:t>
            </w:r>
            <w:r w:rsidRPr="00272D6C">
              <w:rPr>
                <w:rFonts w:eastAsia="細明體" w:cs="Segoe UI"/>
                <w:sz w:val="17"/>
                <w:lang w:eastAsia="en-GB"/>
              </w:rPr>
              <w:t xml:space="preserve"> </w:t>
            </w:r>
          </w:p>
        </w:tc>
        <w:tc>
          <w:tcPr>
            <w:tcW w:w="7088" w:type="dxa"/>
          </w:tcPr>
          <w:p w14:paraId="18251636" w14:textId="77777777" w:rsidR="00272D6C" w:rsidRPr="00272D6C" w:rsidRDefault="00272D6C" w:rsidP="00272D6C">
            <w:pPr>
              <w:spacing w:before="40" w:after="40"/>
              <w:jc w:val="both"/>
              <w:rPr>
                <w:rFonts w:eastAsia="細明體" w:cs="Segoe UI"/>
                <w:sz w:val="17"/>
                <w:lang w:eastAsia="zh-TW"/>
              </w:rPr>
            </w:pPr>
            <w:r w:rsidRPr="00272D6C">
              <w:rPr>
                <w:rFonts w:eastAsia="細明體" w:cs="Segoe UI" w:hint="eastAsia"/>
                <w:sz w:val="17"/>
                <w:lang w:eastAsia="zh-TW"/>
              </w:rPr>
              <w:t>固定。</w:t>
            </w:r>
            <w:r w:rsidRPr="00272D6C">
              <w:rPr>
                <w:rFonts w:eastAsia="細明體" w:cs="Segoe UI"/>
                <w:sz w:val="17"/>
                <w:lang w:eastAsia="zh-TW"/>
              </w:rPr>
              <w:t>欄及</w:t>
            </w:r>
            <w:r w:rsidRPr="00272D6C">
              <w:rPr>
                <w:rFonts w:eastAsia="細明體" w:cs="Segoe UI" w:hint="eastAsia"/>
                <w:sz w:val="17"/>
                <w:lang w:eastAsia="zh-TW"/>
              </w:rPr>
              <w:t>第</w:t>
            </w:r>
            <w:r w:rsidRPr="00272D6C">
              <w:rPr>
                <w:rFonts w:eastAsia="細明體" w:cs="Segoe UI"/>
                <w:sz w:val="17"/>
                <w:lang w:eastAsia="zh-TW"/>
              </w:rPr>
              <w:t>1</w:t>
            </w:r>
            <w:r w:rsidRPr="00272D6C">
              <w:rPr>
                <w:rFonts w:eastAsia="細明體" w:cs="Segoe UI" w:hint="eastAsia"/>
                <w:sz w:val="17"/>
                <w:lang w:eastAsia="zh-TW"/>
              </w:rPr>
              <w:t>、</w:t>
            </w:r>
            <w:r w:rsidRPr="00272D6C">
              <w:rPr>
                <w:rFonts w:eastAsia="細明體" w:cs="Segoe UI"/>
                <w:sz w:val="17"/>
                <w:lang w:eastAsia="zh-TW"/>
              </w:rPr>
              <w:t>9</w:t>
            </w:r>
            <w:r w:rsidRPr="00272D6C">
              <w:rPr>
                <w:rFonts w:eastAsia="細明體" w:cs="Segoe UI"/>
                <w:sz w:val="17"/>
                <w:lang w:eastAsia="zh-TW"/>
              </w:rPr>
              <w:t>行</w:t>
            </w:r>
            <w:r w:rsidRPr="00272D6C">
              <w:rPr>
                <w:rFonts w:eastAsia="細明體" w:cs="Segoe UI" w:hint="eastAsia"/>
                <w:sz w:val="17"/>
                <w:lang w:eastAsia="zh-TW"/>
              </w:rPr>
              <w:t>不得更改。認可機構應在第</w:t>
            </w:r>
            <w:r w:rsidRPr="00272D6C">
              <w:rPr>
                <w:rFonts w:eastAsia="細明體" w:cs="Segoe UI"/>
                <w:sz w:val="17"/>
                <w:lang w:eastAsia="zh-TW"/>
              </w:rPr>
              <w:t>7</w:t>
            </w:r>
            <w:r w:rsidRPr="00272D6C">
              <w:rPr>
                <w:rFonts w:eastAsia="細明體" w:cs="Segoe UI" w:hint="eastAsia"/>
                <w:sz w:val="17"/>
                <w:lang w:eastAsia="zh-TW"/>
              </w:rPr>
              <w:t>與</w:t>
            </w:r>
            <w:r w:rsidRPr="00272D6C">
              <w:rPr>
                <w:rFonts w:eastAsia="細明體" w:cs="Segoe UI"/>
                <w:sz w:val="17"/>
                <w:lang w:eastAsia="zh-TW"/>
              </w:rPr>
              <w:t>8</w:t>
            </w:r>
            <w:r w:rsidRPr="00272D6C">
              <w:rPr>
                <w:rFonts w:eastAsia="細明體" w:cs="Segoe UI"/>
                <w:sz w:val="17"/>
                <w:lang w:eastAsia="zh-TW"/>
              </w:rPr>
              <w:t>行</w:t>
            </w:r>
            <w:r w:rsidRPr="00272D6C">
              <w:rPr>
                <w:rFonts w:eastAsia="細明體" w:cs="Segoe UI" w:hint="eastAsia"/>
                <w:sz w:val="17"/>
                <w:lang w:eastAsia="zh-TW"/>
              </w:rPr>
              <w:t>之間加入附加行，以披露任何在重大程度上引致風險加權數額變動的額外元素。</w:t>
            </w:r>
          </w:p>
        </w:tc>
      </w:tr>
      <w:tr w:rsidR="00272D6C" w:rsidRPr="00272D6C" w14:paraId="6342FE31" w14:textId="77777777" w:rsidTr="00E93736">
        <w:tc>
          <w:tcPr>
            <w:tcW w:w="2160" w:type="dxa"/>
          </w:tcPr>
          <w:p w14:paraId="4B0D8D82" w14:textId="77777777" w:rsidR="00272D6C" w:rsidRPr="00272D6C" w:rsidRDefault="00272D6C" w:rsidP="00272D6C">
            <w:pPr>
              <w:spacing w:before="40" w:after="40"/>
              <w:rPr>
                <w:rFonts w:eastAsia="細明體" w:cs="Segoe UI"/>
                <w:b/>
                <w:sz w:val="17"/>
                <w:lang w:eastAsia="en-GB"/>
              </w:rPr>
            </w:pPr>
            <w:proofErr w:type="spellStart"/>
            <w:r w:rsidRPr="00272D6C">
              <w:rPr>
                <w:rFonts w:eastAsia="細明體" w:cs="Segoe UI" w:hint="eastAsia"/>
                <w:b/>
                <w:sz w:val="17"/>
                <w:szCs w:val="17"/>
                <w:lang w:eastAsia="en-GB"/>
              </w:rPr>
              <w:t>附加說明</w:t>
            </w:r>
            <w:proofErr w:type="spellEnd"/>
            <w:r w:rsidRPr="00272D6C">
              <w:rPr>
                <w:rFonts w:eastAsia="細明體" w:cs="Segoe UI" w:hint="eastAsia"/>
                <w:b/>
                <w:sz w:val="17"/>
                <w:szCs w:val="17"/>
                <w:lang w:eastAsia="en-GB"/>
              </w:rPr>
              <w:t>：</w:t>
            </w:r>
          </w:p>
        </w:tc>
        <w:tc>
          <w:tcPr>
            <w:tcW w:w="7088" w:type="dxa"/>
          </w:tcPr>
          <w:p w14:paraId="61FA8812" w14:textId="47BEC24D" w:rsidR="00272D6C" w:rsidRPr="00272D6C" w:rsidRDefault="00272D6C" w:rsidP="00272D6C">
            <w:pPr>
              <w:spacing w:before="40" w:after="40"/>
              <w:jc w:val="both"/>
              <w:rPr>
                <w:rFonts w:eastAsia="細明體" w:cs="Segoe UI"/>
                <w:noProof/>
                <w:sz w:val="17"/>
                <w:lang w:eastAsia="zh-TW"/>
              </w:rPr>
            </w:pPr>
            <w:r w:rsidRPr="00272D6C">
              <w:rPr>
                <w:rFonts w:eastAsia="細明體" w:cs="Segoe UI" w:hint="eastAsia"/>
                <w:sz w:val="17"/>
                <w:szCs w:val="17"/>
                <w:lang w:eastAsia="zh-TW"/>
              </w:rPr>
              <w:t>認可機構應以敘述評</w:t>
            </w:r>
            <w:proofErr w:type="gramStart"/>
            <w:r w:rsidRPr="00272D6C">
              <w:rPr>
                <w:rFonts w:eastAsia="細明體" w:cs="Segoe UI" w:hint="eastAsia"/>
                <w:sz w:val="17"/>
                <w:szCs w:val="17"/>
                <w:lang w:eastAsia="zh-TW"/>
              </w:rPr>
              <w:t>註</w:t>
            </w:r>
            <w:proofErr w:type="gramEnd"/>
            <w:r w:rsidRPr="00272D6C">
              <w:rPr>
                <w:rFonts w:eastAsia="細明體" w:cs="Segoe UI" w:hint="eastAsia"/>
                <w:sz w:val="17"/>
                <w:szCs w:val="17"/>
                <w:lang w:eastAsia="zh-TW"/>
              </w:rPr>
              <w:t>闡明現行報告期內的任何重大</w:t>
            </w:r>
            <w:r w:rsidR="00CD50ED">
              <w:rPr>
                <w:rFonts w:eastAsia="細明體" w:cs="Segoe UI" w:hint="eastAsia"/>
                <w:sz w:val="17"/>
                <w:szCs w:val="17"/>
                <w:lang w:eastAsia="zh-HK"/>
              </w:rPr>
              <w:t>改</w:t>
            </w:r>
            <w:r w:rsidRPr="00272D6C">
              <w:rPr>
                <w:rFonts w:eastAsia="細明體" w:cs="Segoe UI" w:hint="eastAsia"/>
                <w:sz w:val="17"/>
                <w:szCs w:val="17"/>
                <w:lang w:eastAsia="zh-TW"/>
              </w:rPr>
              <w:t>變及引致該等</w:t>
            </w:r>
            <w:r w:rsidR="00CD50ED">
              <w:rPr>
                <w:rFonts w:eastAsia="細明體" w:cs="Segoe UI" w:hint="eastAsia"/>
                <w:sz w:val="17"/>
                <w:szCs w:val="17"/>
                <w:lang w:eastAsia="zh-HK"/>
              </w:rPr>
              <w:t>改</w:t>
            </w:r>
            <w:r w:rsidRPr="00272D6C">
              <w:rPr>
                <w:rFonts w:eastAsia="細明體" w:cs="Segoe UI" w:hint="eastAsia"/>
                <w:sz w:val="17"/>
                <w:szCs w:val="17"/>
                <w:lang w:eastAsia="zh-TW"/>
              </w:rPr>
              <w:t>變的主要驅動因素，以</w:t>
            </w:r>
            <w:proofErr w:type="gramStart"/>
            <w:r w:rsidRPr="00272D6C">
              <w:rPr>
                <w:rFonts w:eastAsia="細明體" w:cs="Segoe UI" w:hint="eastAsia"/>
                <w:sz w:val="17"/>
                <w:szCs w:val="17"/>
                <w:lang w:eastAsia="zh-TW"/>
              </w:rPr>
              <w:t>補充本模版</w:t>
            </w:r>
            <w:proofErr w:type="gramEnd"/>
            <w:r w:rsidRPr="00272D6C">
              <w:rPr>
                <w:rFonts w:eastAsia="細明體" w:cs="Segoe UI" w:hint="eastAsia"/>
                <w:sz w:val="17"/>
                <w:szCs w:val="17"/>
                <w:lang w:eastAsia="zh-TW"/>
              </w:rPr>
              <w:t>。</w:t>
            </w:r>
          </w:p>
        </w:tc>
      </w:tr>
      <w:tr w:rsidR="00272D6C" w:rsidRPr="00272D6C" w14:paraId="3D67D40F" w14:textId="77777777" w:rsidTr="00E93736">
        <w:tc>
          <w:tcPr>
            <w:tcW w:w="2160" w:type="dxa"/>
          </w:tcPr>
          <w:p w14:paraId="1C1E8DF9" w14:textId="77777777" w:rsidR="00272D6C" w:rsidRPr="00272D6C" w:rsidRDefault="00272D6C" w:rsidP="00272D6C">
            <w:pPr>
              <w:spacing w:before="40" w:after="40"/>
              <w:rPr>
                <w:rFonts w:eastAsia="細明體" w:cs="Segoe UI"/>
                <w:b/>
                <w:sz w:val="17"/>
                <w:szCs w:val="17"/>
                <w:lang w:eastAsia="zh-TW"/>
              </w:rPr>
            </w:pPr>
            <w:r w:rsidRPr="00272D6C">
              <w:rPr>
                <w:rFonts w:eastAsia="細明體" w:cs="Segoe UI" w:hint="eastAsia"/>
                <w:b/>
                <w:sz w:val="17"/>
                <w:szCs w:val="17"/>
                <w:lang w:eastAsia="zh-TW"/>
              </w:rPr>
              <w:t>《披露規則》相應條文：</w:t>
            </w:r>
          </w:p>
        </w:tc>
        <w:tc>
          <w:tcPr>
            <w:tcW w:w="7088" w:type="dxa"/>
          </w:tcPr>
          <w:p w14:paraId="5B3939B6" w14:textId="77777777" w:rsidR="00272D6C" w:rsidRPr="00272D6C" w:rsidRDefault="00272D6C" w:rsidP="00272D6C">
            <w:pPr>
              <w:spacing w:before="40" w:after="40"/>
              <w:jc w:val="both"/>
              <w:rPr>
                <w:rFonts w:eastAsia="細明體" w:cs="Segoe UI"/>
                <w:sz w:val="17"/>
                <w:szCs w:val="17"/>
                <w:lang w:eastAsia="en-GB"/>
              </w:rPr>
            </w:pPr>
            <w:r w:rsidRPr="00272D6C">
              <w:rPr>
                <w:rFonts w:eastAsia="細明體" w:cs="Segoe UI"/>
                <w:sz w:val="17"/>
                <w:szCs w:val="17"/>
                <w:lang w:eastAsia="en-GB"/>
              </w:rPr>
              <w:t>16S</w:t>
            </w:r>
          </w:p>
        </w:tc>
      </w:tr>
    </w:tbl>
    <w:p w14:paraId="533F0E3A" w14:textId="77777777" w:rsidR="00272D6C" w:rsidRPr="00272D6C" w:rsidRDefault="00272D6C" w:rsidP="00272D6C">
      <w:pPr>
        <w:spacing w:before="120" w:after="120"/>
        <w:rPr>
          <w:rFonts w:eastAsia="細明體" w:cs="Segoe UI"/>
          <w:sz w:val="22"/>
        </w:rPr>
      </w:pPr>
    </w:p>
    <w:tbl>
      <w:tblPr>
        <w:tblW w:w="9242"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7458"/>
        <w:gridCol w:w="1217"/>
      </w:tblGrid>
      <w:tr w:rsidR="00272D6C" w:rsidRPr="00272D6C" w14:paraId="059AE4F3" w14:textId="77777777" w:rsidTr="005171C5">
        <w:trPr>
          <w:cantSplit/>
          <w:trHeight w:val="107"/>
          <w:tblHeader/>
        </w:trPr>
        <w:tc>
          <w:tcPr>
            <w:tcW w:w="567" w:type="dxa"/>
            <w:tcBorders>
              <w:top w:val="nil"/>
              <w:left w:val="nil"/>
              <w:bottom w:val="nil"/>
              <w:right w:val="nil"/>
            </w:tcBorders>
          </w:tcPr>
          <w:p w14:paraId="3511AB8D" w14:textId="77777777" w:rsidR="00272D6C" w:rsidRPr="00272D6C" w:rsidRDefault="00272D6C" w:rsidP="00272D6C">
            <w:pPr>
              <w:snapToGrid w:val="0"/>
              <w:spacing w:before="40" w:after="40"/>
              <w:ind w:leftChars="-54" w:left="-108"/>
              <w:rPr>
                <w:rFonts w:eastAsia="細明體" w:cs="Segoe UI"/>
                <w:sz w:val="17"/>
                <w:lang w:eastAsia="en-GB"/>
              </w:rPr>
            </w:pPr>
          </w:p>
        </w:tc>
        <w:tc>
          <w:tcPr>
            <w:tcW w:w="7458" w:type="dxa"/>
            <w:tcBorders>
              <w:top w:val="nil"/>
              <w:left w:val="nil"/>
              <w:bottom w:val="nil"/>
              <w:right w:val="single" w:sz="4" w:space="0" w:color="auto"/>
            </w:tcBorders>
            <w:vAlign w:val="center"/>
          </w:tcPr>
          <w:p w14:paraId="01EF09F5" w14:textId="77777777" w:rsidR="00272D6C" w:rsidRPr="00272D6C" w:rsidRDefault="00272D6C" w:rsidP="00272D6C">
            <w:pPr>
              <w:snapToGrid w:val="0"/>
              <w:spacing w:before="40" w:after="40"/>
              <w:ind w:leftChars="-621" w:left="-1242"/>
              <w:rPr>
                <w:rFonts w:eastAsia="細明體" w:cs="Segoe UI"/>
                <w:sz w:val="17"/>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4A5DA54A" w14:textId="77777777" w:rsidR="00272D6C" w:rsidRPr="00272D6C" w:rsidRDefault="00272D6C" w:rsidP="00272D6C">
            <w:pPr>
              <w:snapToGrid w:val="0"/>
              <w:spacing w:before="40" w:after="40"/>
              <w:jc w:val="center"/>
              <w:rPr>
                <w:rFonts w:eastAsia="細明體" w:cs="Segoe UI"/>
                <w:bCs/>
                <w:sz w:val="17"/>
                <w:szCs w:val="17"/>
                <w:lang w:eastAsia="it-IT"/>
              </w:rPr>
            </w:pPr>
            <w:r w:rsidRPr="00272D6C">
              <w:rPr>
                <w:rFonts w:eastAsia="細明體" w:cs="Segoe UI"/>
                <w:bCs/>
                <w:sz w:val="17"/>
                <w:szCs w:val="17"/>
                <w:lang w:eastAsia="it-IT"/>
              </w:rPr>
              <w:t>(a)</w:t>
            </w:r>
          </w:p>
        </w:tc>
      </w:tr>
      <w:tr w:rsidR="00272D6C" w:rsidRPr="00272D6C" w14:paraId="01C060DA" w14:textId="77777777" w:rsidTr="005171C5">
        <w:trPr>
          <w:cantSplit/>
          <w:tblHeader/>
        </w:trPr>
        <w:tc>
          <w:tcPr>
            <w:tcW w:w="567" w:type="dxa"/>
            <w:tcBorders>
              <w:top w:val="nil"/>
              <w:left w:val="nil"/>
              <w:bottom w:val="single" w:sz="4" w:space="0" w:color="auto"/>
              <w:right w:val="nil"/>
            </w:tcBorders>
          </w:tcPr>
          <w:p w14:paraId="224DF953" w14:textId="77777777" w:rsidR="00272D6C" w:rsidRPr="00272D6C" w:rsidRDefault="00272D6C" w:rsidP="00272D6C">
            <w:pPr>
              <w:snapToGrid w:val="0"/>
              <w:spacing w:before="40" w:after="40"/>
              <w:rPr>
                <w:rFonts w:eastAsia="細明體" w:cs="Segoe UI"/>
                <w:sz w:val="17"/>
                <w:lang w:eastAsia="en-GB"/>
              </w:rPr>
            </w:pPr>
          </w:p>
        </w:tc>
        <w:tc>
          <w:tcPr>
            <w:tcW w:w="7458" w:type="dxa"/>
            <w:tcBorders>
              <w:top w:val="nil"/>
              <w:left w:val="nil"/>
              <w:bottom w:val="single" w:sz="4" w:space="0" w:color="auto"/>
              <w:right w:val="single" w:sz="4" w:space="0" w:color="auto"/>
            </w:tcBorders>
            <w:vAlign w:val="center"/>
          </w:tcPr>
          <w:p w14:paraId="24629DBA" w14:textId="77777777" w:rsidR="00272D6C" w:rsidRPr="00272D6C" w:rsidRDefault="00272D6C" w:rsidP="00272D6C">
            <w:pPr>
              <w:snapToGrid w:val="0"/>
              <w:spacing w:before="40" w:after="40"/>
              <w:rPr>
                <w:rFonts w:eastAsia="細明體" w:cs="Segoe UI"/>
                <w:sz w:val="17"/>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7649A15D" w14:textId="77777777" w:rsidR="00272D6C" w:rsidRPr="00272D6C" w:rsidRDefault="00272D6C" w:rsidP="00272D6C">
            <w:pPr>
              <w:snapToGrid w:val="0"/>
              <w:spacing w:before="40" w:after="40"/>
              <w:jc w:val="center"/>
              <w:rPr>
                <w:rFonts w:eastAsia="細明體" w:cs="Segoe UI"/>
                <w:b/>
                <w:bCs/>
                <w:sz w:val="17"/>
                <w:szCs w:val="17"/>
                <w:lang w:eastAsia="it-IT"/>
              </w:rPr>
            </w:pPr>
            <w:r w:rsidRPr="00272D6C">
              <w:rPr>
                <w:rFonts w:eastAsia="細明體" w:cs="Segoe UI" w:hint="eastAsia"/>
                <w:b/>
                <w:sz w:val="17"/>
                <w:lang w:eastAsia="zh-TW"/>
              </w:rPr>
              <w:t>數額</w:t>
            </w:r>
          </w:p>
        </w:tc>
      </w:tr>
      <w:tr w:rsidR="00272D6C" w:rsidRPr="00272D6C" w14:paraId="255D92F9" w14:textId="77777777" w:rsidTr="005171C5">
        <w:trPr>
          <w:cantSplit/>
          <w:tblHeader/>
        </w:trPr>
        <w:tc>
          <w:tcPr>
            <w:tcW w:w="567" w:type="dxa"/>
            <w:tcBorders>
              <w:top w:val="single" w:sz="4" w:space="0" w:color="auto"/>
              <w:left w:val="nil"/>
              <w:right w:val="single" w:sz="4" w:space="0" w:color="auto"/>
            </w:tcBorders>
          </w:tcPr>
          <w:p w14:paraId="4C504C9B" w14:textId="77777777" w:rsidR="00272D6C" w:rsidRPr="00272D6C" w:rsidRDefault="00272D6C" w:rsidP="00272D6C">
            <w:pPr>
              <w:snapToGrid w:val="0"/>
              <w:spacing w:before="40" w:after="40"/>
              <w:rPr>
                <w:rFonts w:eastAsia="細明體" w:cs="Segoe UI"/>
                <w:b/>
                <w:sz w:val="17"/>
                <w:lang w:eastAsia="en-GB"/>
              </w:rPr>
            </w:pPr>
            <w:r w:rsidRPr="00272D6C">
              <w:rPr>
                <w:rFonts w:eastAsia="細明體" w:cs="Segoe UI"/>
                <w:b/>
                <w:sz w:val="17"/>
                <w:lang w:eastAsia="en-GB"/>
              </w:rPr>
              <w:t>1</w:t>
            </w:r>
          </w:p>
        </w:tc>
        <w:tc>
          <w:tcPr>
            <w:tcW w:w="7458" w:type="dxa"/>
            <w:tcBorders>
              <w:top w:val="single" w:sz="4" w:space="0" w:color="auto"/>
              <w:left w:val="single" w:sz="4" w:space="0" w:color="auto"/>
              <w:right w:val="single" w:sz="4" w:space="0" w:color="auto"/>
            </w:tcBorders>
          </w:tcPr>
          <w:p w14:paraId="3F97C61B" w14:textId="77777777" w:rsidR="00272D6C" w:rsidRPr="00272D6C" w:rsidRDefault="00272D6C" w:rsidP="00272D6C">
            <w:pPr>
              <w:snapToGrid w:val="0"/>
              <w:spacing w:before="40" w:after="40"/>
              <w:rPr>
                <w:rFonts w:eastAsia="細明體" w:cs="Segoe UI"/>
                <w:b/>
                <w:noProof/>
                <w:sz w:val="17"/>
                <w:lang w:eastAsia="zh-TW"/>
              </w:rPr>
            </w:pPr>
            <w:r w:rsidRPr="00272D6C">
              <w:rPr>
                <w:rFonts w:eastAsia="細明體" w:cs="Segoe UI" w:hint="eastAsia"/>
                <w:b/>
                <w:sz w:val="17"/>
                <w:lang w:eastAsia="zh-TW"/>
              </w:rPr>
              <w:t>上一個報告期</w:t>
            </w:r>
            <w:r w:rsidRPr="00272D6C">
              <w:rPr>
                <w:rFonts w:eastAsia="細明體" w:cs="Segoe UI" w:hint="eastAsia"/>
                <w:b/>
                <w:sz w:val="17"/>
                <w:szCs w:val="17"/>
                <w:lang w:eastAsia="zh-TW"/>
              </w:rPr>
              <w:t>末</w:t>
            </w:r>
            <w:r w:rsidRPr="00272D6C">
              <w:rPr>
                <w:rFonts w:eastAsia="細明體" w:cs="Segoe UI"/>
                <w:b/>
                <w:sz w:val="17"/>
                <w:lang w:eastAsia="zh-TW"/>
              </w:rPr>
              <w:t>風險加權數額</w:t>
            </w:r>
          </w:p>
        </w:tc>
        <w:tc>
          <w:tcPr>
            <w:tcW w:w="1217" w:type="dxa"/>
            <w:tcBorders>
              <w:top w:val="single" w:sz="4" w:space="0" w:color="auto"/>
              <w:left w:val="single" w:sz="4" w:space="0" w:color="auto"/>
              <w:right w:val="single" w:sz="4" w:space="0" w:color="auto"/>
            </w:tcBorders>
            <w:vAlign w:val="center"/>
          </w:tcPr>
          <w:p w14:paraId="3C97C496" w14:textId="77777777" w:rsidR="00272D6C" w:rsidRPr="00272D6C" w:rsidRDefault="00272D6C" w:rsidP="00272D6C">
            <w:pPr>
              <w:snapToGrid w:val="0"/>
              <w:spacing w:before="40" w:after="40"/>
              <w:rPr>
                <w:rFonts w:eastAsia="細明體" w:cs="Segoe UI"/>
                <w:bCs/>
                <w:sz w:val="17"/>
                <w:lang w:eastAsia="zh-TW"/>
              </w:rPr>
            </w:pPr>
          </w:p>
        </w:tc>
      </w:tr>
      <w:tr w:rsidR="00272D6C" w:rsidRPr="00272D6C" w14:paraId="1DE2457E" w14:textId="77777777" w:rsidTr="005171C5">
        <w:trPr>
          <w:cantSplit/>
        </w:trPr>
        <w:tc>
          <w:tcPr>
            <w:tcW w:w="567" w:type="dxa"/>
            <w:tcBorders>
              <w:left w:val="nil"/>
              <w:right w:val="single" w:sz="4" w:space="0" w:color="auto"/>
            </w:tcBorders>
          </w:tcPr>
          <w:p w14:paraId="11DC2431"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sz w:val="17"/>
                <w:lang w:eastAsia="en-GB"/>
              </w:rPr>
              <w:t>2</w:t>
            </w:r>
          </w:p>
        </w:tc>
        <w:tc>
          <w:tcPr>
            <w:tcW w:w="7458" w:type="dxa"/>
            <w:tcBorders>
              <w:left w:val="single" w:sz="4" w:space="0" w:color="auto"/>
              <w:right w:val="single" w:sz="4" w:space="0" w:color="auto"/>
            </w:tcBorders>
          </w:tcPr>
          <w:p w14:paraId="45651516"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hint="eastAsia"/>
                <w:sz w:val="17"/>
                <w:lang w:eastAsia="zh-TW"/>
              </w:rPr>
              <w:t>資產規模</w:t>
            </w:r>
          </w:p>
        </w:tc>
        <w:tc>
          <w:tcPr>
            <w:tcW w:w="1217" w:type="dxa"/>
            <w:tcBorders>
              <w:left w:val="single" w:sz="4" w:space="0" w:color="auto"/>
              <w:right w:val="single" w:sz="4" w:space="0" w:color="auto"/>
            </w:tcBorders>
          </w:tcPr>
          <w:p w14:paraId="51E6CA0D" w14:textId="77777777" w:rsidR="00272D6C" w:rsidRPr="00272D6C" w:rsidRDefault="00272D6C" w:rsidP="00272D6C">
            <w:pPr>
              <w:snapToGrid w:val="0"/>
              <w:spacing w:before="40" w:after="40"/>
              <w:rPr>
                <w:rFonts w:eastAsia="細明體" w:cs="Segoe UI"/>
                <w:sz w:val="17"/>
                <w:lang w:eastAsia="en-GB"/>
              </w:rPr>
            </w:pPr>
          </w:p>
        </w:tc>
      </w:tr>
      <w:tr w:rsidR="00272D6C" w:rsidRPr="00272D6C" w14:paraId="0CF9B12D" w14:textId="77777777" w:rsidTr="005171C5">
        <w:trPr>
          <w:cantSplit/>
        </w:trPr>
        <w:tc>
          <w:tcPr>
            <w:tcW w:w="567" w:type="dxa"/>
            <w:tcBorders>
              <w:left w:val="nil"/>
              <w:right w:val="single" w:sz="4" w:space="0" w:color="auto"/>
            </w:tcBorders>
          </w:tcPr>
          <w:p w14:paraId="0C90B46A"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sz w:val="17"/>
                <w:lang w:eastAsia="en-GB"/>
              </w:rPr>
              <w:t>3</w:t>
            </w:r>
          </w:p>
        </w:tc>
        <w:tc>
          <w:tcPr>
            <w:tcW w:w="7458" w:type="dxa"/>
            <w:tcBorders>
              <w:left w:val="single" w:sz="4" w:space="0" w:color="auto"/>
              <w:right w:val="single" w:sz="4" w:space="0" w:color="auto"/>
            </w:tcBorders>
          </w:tcPr>
          <w:p w14:paraId="2665FE7B"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hint="eastAsia"/>
                <w:sz w:val="17"/>
                <w:lang w:eastAsia="zh-TW"/>
              </w:rPr>
              <w:t>資產質素</w:t>
            </w:r>
          </w:p>
        </w:tc>
        <w:tc>
          <w:tcPr>
            <w:tcW w:w="1217" w:type="dxa"/>
            <w:tcBorders>
              <w:left w:val="single" w:sz="4" w:space="0" w:color="auto"/>
              <w:right w:val="single" w:sz="4" w:space="0" w:color="auto"/>
            </w:tcBorders>
          </w:tcPr>
          <w:p w14:paraId="31E08276" w14:textId="77777777" w:rsidR="00272D6C" w:rsidRPr="00272D6C" w:rsidRDefault="00272D6C" w:rsidP="00272D6C">
            <w:pPr>
              <w:snapToGrid w:val="0"/>
              <w:spacing w:before="40" w:after="40"/>
              <w:rPr>
                <w:rFonts w:eastAsia="細明體" w:cs="Segoe UI"/>
                <w:sz w:val="17"/>
                <w:lang w:eastAsia="en-GB"/>
              </w:rPr>
            </w:pPr>
          </w:p>
        </w:tc>
      </w:tr>
      <w:tr w:rsidR="00272D6C" w:rsidRPr="00272D6C" w14:paraId="4FAE3B46" w14:textId="77777777" w:rsidTr="005171C5">
        <w:trPr>
          <w:cantSplit/>
        </w:trPr>
        <w:tc>
          <w:tcPr>
            <w:tcW w:w="567" w:type="dxa"/>
            <w:tcBorders>
              <w:left w:val="nil"/>
              <w:right w:val="single" w:sz="4" w:space="0" w:color="auto"/>
            </w:tcBorders>
          </w:tcPr>
          <w:p w14:paraId="620EC9B0"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sz w:val="17"/>
                <w:lang w:eastAsia="en-GB"/>
              </w:rPr>
              <w:t>4</w:t>
            </w:r>
          </w:p>
        </w:tc>
        <w:tc>
          <w:tcPr>
            <w:tcW w:w="7458" w:type="dxa"/>
            <w:tcBorders>
              <w:left w:val="single" w:sz="4" w:space="0" w:color="auto"/>
              <w:right w:val="single" w:sz="4" w:space="0" w:color="auto"/>
            </w:tcBorders>
          </w:tcPr>
          <w:p w14:paraId="6C5C4392"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hint="eastAsia"/>
                <w:sz w:val="17"/>
                <w:lang w:eastAsia="zh-TW"/>
              </w:rPr>
              <w:t>模式更新</w:t>
            </w:r>
          </w:p>
        </w:tc>
        <w:tc>
          <w:tcPr>
            <w:tcW w:w="1217" w:type="dxa"/>
            <w:tcBorders>
              <w:left w:val="single" w:sz="4" w:space="0" w:color="auto"/>
              <w:right w:val="single" w:sz="4" w:space="0" w:color="auto"/>
            </w:tcBorders>
          </w:tcPr>
          <w:p w14:paraId="2A9921B1" w14:textId="77777777" w:rsidR="00272D6C" w:rsidRPr="00272D6C" w:rsidRDefault="00272D6C" w:rsidP="00272D6C">
            <w:pPr>
              <w:snapToGrid w:val="0"/>
              <w:spacing w:before="40" w:after="40"/>
              <w:rPr>
                <w:rFonts w:eastAsia="細明體" w:cs="Segoe UI"/>
                <w:sz w:val="17"/>
                <w:lang w:eastAsia="en-GB"/>
              </w:rPr>
            </w:pPr>
          </w:p>
        </w:tc>
      </w:tr>
      <w:tr w:rsidR="00272D6C" w:rsidRPr="00272D6C" w14:paraId="37AB924E" w14:textId="77777777" w:rsidTr="005171C5">
        <w:trPr>
          <w:cantSplit/>
        </w:trPr>
        <w:tc>
          <w:tcPr>
            <w:tcW w:w="567" w:type="dxa"/>
            <w:tcBorders>
              <w:left w:val="nil"/>
              <w:right w:val="single" w:sz="4" w:space="0" w:color="auto"/>
            </w:tcBorders>
          </w:tcPr>
          <w:p w14:paraId="6A24BA34"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sz w:val="17"/>
                <w:lang w:eastAsia="en-GB"/>
              </w:rPr>
              <w:t>5</w:t>
            </w:r>
          </w:p>
        </w:tc>
        <w:tc>
          <w:tcPr>
            <w:tcW w:w="7458" w:type="dxa"/>
            <w:tcBorders>
              <w:left w:val="single" w:sz="4" w:space="0" w:color="auto"/>
              <w:right w:val="single" w:sz="4" w:space="0" w:color="auto"/>
            </w:tcBorders>
          </w:tcPr>
          <w:p w14:paraId="1E084B90"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hint="eastAsia"/>
                <w:sz w:val="17"/>
                <w:lang w:eastAsia="zh-TW"/>
              </w:rPr>
              <w:t>方法及政策</w:t>
            </w:r>
          </w:p>
        </w:tc>
        <w:tc>
          <w:tcPr>
            <w:tcW w:w="1217" w:type="dxa"/>
            <w:tcBorders>
              <w:left w:val="single" w:sz="4" w:space="0" w:color="auto"/>
              <w:right w:val="single" w:sz="4" w:space="0" w:color="auto"/>
            </w:tcBorders>
          </w:tcPr>
          <w:p w14:paraId="3F4791A7" w14:textId="77777777" w:rsidR="00272D6C" w:rsidRPr="00272D6C" w:rsidRDefault="00272D6C" w:rsidP="00272D6C">
            <w:pPr>
              <w:snapToGrid w:val="0"/>
              <w:spacing w:before="40" w:after="40"/>
              <w:rPr>
                <w:rFonts w:eastAsia="細明體" w:cs="Segoe UI"/>
                <w:sz w:val="17"/>
                <w:lang w:eastAsia="en-GB"/>
              </w:rPr>
            </w:pPr>
          </w:p>
        </w:tc>
      </w:tr>
      <w:tr w:rsidR="00272D6C" w:rsidRPr="00272D6C" w14:paraId="62C7FB72" w14:textId="77777777" w:rsidTr="005171C5">
        <w:trPr>
          <w:cantSplit/>
        </w:trPr>
        <w:tc>
          <w:tcPr>
            <w:tcW w:w="567" w:type="dxa"/>
            <w:tcBorders>
              <w:left w:val="nil"/>
              <w:right w:val="single" w:sz="4" w:space="0" w:color="auto"/>
            </w:tcBorders>
          </w:tcPr>
          <w:p w14:paraId="4C187D9F"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sz w:val="17"/>
                <w:lang w:eastAsia="en-GB"/>
              </w:rPr>
              <w:t>6</w:t>
            </w:r>
          </w:p>
        </w:tc>
        <w:tc>
          <w:tcPr>
            <w:tcW w:w="7458" w:type="dxa"/>
            <w:tcBorders>
              <w:left w:val="single" w:sz="4" w:space="0" w:color="auto"/>
              <w:right w:val="single" w:sz="4" w:space="0" w:color="auto"/>
            </w:tcBorders>
          </w:tcPr>
          <w:p w14:paraId="62981AF2"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hint="eastAsia"/>
                <w:sz w:val="17"/>
                <w:lang w:eastAsia="zh-TW"/>
              </w:rPr>
              <w:t>收購及</w:t>
            </w:r>
            <w:r w:rsidRPr="00272D6C">
              <w:rPr>
                <w:rFonts w:eastAsia="細明體" w:cs="Segoe UI" w:hint="eastAsia"/>
                <w:sz w:val="17"/>
                <w:szCs w:val="17"/>
                <w:lang w:eastAsia="zh-TW"/>
              </w:rPr>
              <w:t>處置</w:t>
            </w:r>
          </w:p>
        </w:tc>
        <w:tc>
          <w:tcPr>
            <w:tcW w:w="1217" w:type="dxa"/>
            <w:tcBorders>
              <w:left w:val="single" w:sz="4" w:space="0" w:color="auto"/>
              <w:right w:val="single" w:sz="4" w:space="0" w:color="auto"/>
            </w:tcBorders>
          </w:tcPr>
          <w:p w14:paraId="004E9C1F" w14:textId="77777777" w:rsidR="00272D6C" w:rsidRPr="00272D6C" w:rsidRDefault="00272D6C" w:rsidP="00272D6C">
            <w:pPr>
              <w:snapToGrid w:val="0"/>
              <w:spacing w:before="40" w:after="40"/>
              <w:rPr>
                <w:rFonts w:eastAsia="細明體" w:cs="Segoe UI"/>
                <w:sz w:val="17"/>
                <w:lang w:eastAsia="en-GB"/>
              </w:rPr>
            </w:pPr>
          </w:p>
        </w:tc>
      </w:tr>
      <w:tr w:rsidR="00272D6C" w:rsidRPr="00272D6C" w14:paraId="6C8F5140" w14:textId="77777777" w:rsidTr="005171C5">
        <w:trPr>
          <w:cantSplit/>
        </w:trPr>
        <w:tc>
          <w:tcPr>
            <w:tcW w:w="567" w:type="dxa"/>
            <w:tcBorders>
              <w:left w:val="nil"/>
              <w:right w:val="single" w:sz="4" w:space="0" w:color="auto"/>
            </w:tcBorders>
          </w:tcPr>
          <w:p w14:paraId="2D06285F"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sz w:val="17"/>
                <w:lang w:eastAsia="en-GB"/>
              </w:rPr>
              <w:t>7</w:t>
            </w:r>
          </w:p>
        </w:tc>
        <w:tc>
          <w:tcPr>
            <w:tcW w:w="7458" w:type="dxa"/>
            <w:tcBorders>
              <w:left w:val="single" w:sz="4" w:space="0" w:color="auto"/>
              <w:right w:val="single" w:sz="4" w:space="0" w:color="auto"/>
            </w:tcBorders>
          </w:tcPr>
          <w:p w14:paraId="60479236"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hint="eastAsia"/>
                <w:sz w:val="17"/>
                <w:lang w:eastAsia="zh-TW"/>
              </w:rPr>
              <w:t>外匯變動</w:t>
            </w:r>
          </w:p>
        </w:tc>
        <w:tc>
          <w:tcPr>
            <w:tcW w:w="1217" w:type="dxa"/>
            <w:tcBorders>
              <w:left w:val="single" w:sz="4" w:space="0" w:color="auto"/>
              <w:right w:val="single" w:sz="4" w:space="0" w:color="auto"/>
            </w:tcBorders>
          </w:tcPr>
          <w:p w14:paraId="34C10952" w14:textId="77777777" w:rsidR="00272D6C" w:rsidRPr="00272D6C" w:rsidRDefault="00272D6C" w:rsidP="00272D6C">
            <w:pPr>
              <w:snapToGrid w:val="0"/>
              <w:spacing w:before="40" w:after="40"/>
              <w:rPr>
                <w:rFonts w:eastAsia="細明體" w:cs="Segoe UI"/>
                <w:sz w:val="17"/>
                <w:lang w:eastAsia="en-GB"/>
              </w:rPr>
            </w:pPr>
          </w:p>
        </w:tc>
      </w:tr>
      <w:tr w:rsidR="00272D6C" w:rsidRPr="00272D6C" w14:paraId="39A7D9CB" w14:textId="77777777" w:rsidTr="005171C5">
        <w:trPr>
          <w:cantSplit/>
        </w:trPr>
        <w:tc>
          <w:tcPr>
            <w:tcW w:w="567" w:type="dxa"/>
            <w:tcBorders>
              <w:left w:val="nil"/>
              <w:right w:val="single" w:sz="4" w:space="0" w:color="auto"/>
            </w:tcBorders>
          </w:tcPr>
          <w:p w14:paraId="512CE282"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sz w:val="17"/>
                <w:lang w:eastAsia="en-GB"/>
              </w:rPr>
              <w:t>8</w:t>
            </w:r>
          </w:p>
        </w:tc>
        <w:tc>
          <w:tcPr>
            <w:tcW w:w="7458" w:type="dxa"/>
            <w:tcBorders>
              <w:left w:val="single" w:sz="4" w:space="0" w:color="auto"/>
              <w:right w:val="single" w:sz="4" w:space="0" w:color="auto"/>
            </w:tcBorders>
          </w:tcPr>
          <w:p w14:paraId="41FA828C" w14:textId="77777777" w:rsidR="00272D6C" w:rsidRPr="00272D6C" w:rsidRDefault="00272D6C" w:rsidP="00272D6C">
            <w:pPr>
              <w:snapToGrid w:val="0"/>
              <w:spacing w:before="40" w:after="40"/>
              <w:rPr>
                <w:rFonts w:eastAsia="細明體" w:cs="Segoe UI"/>
                <w:sz w:val="17"/>
                <w:lang w:eastAsia="en-GB"/>
              </w:rPr>
            </w:pPr>
            <w:r w:rsidRPr="00272D6C">
              <w:rPr>
                <w:rFonts w:eastAsia="細明體" w:cs="Segoe UI" w:hint="eastAsia"/>
                <w:sz w:val="17"/>
                <w:lang w:eastAsia="zh-TW"/>
              </w:rPr>
              <w:t>其他</w:t>
            </w:r>
          </w:p>
        </w:tc>
        <w:tc>
          <w:tcPr>
            <w:tcW w:w="1217" w:type="dxa"/>
            <w:tcBorders>
              <w:left w:val="single" w:sz="4" w:space="0" w:color="auto"/>
              <w:right w:val="single" w:sz="4" w:space="0" w:color="auto"/>
            </w:tcBorders>
          </w:tcPr>
          <w:p w14:paraId="426F0F39" w14:textId="77777777" w:rsidR="00272D6C" w:rsidRPr="00272D6C" w:rsidRDefault="00272D6C" w:rsidP="00272D6C">
            <w:pPr>
              <w:snapToGrid w:val="0"/>
              <w:spacing w:before="40" w:after="40"/>
              <w:rPr>
                <w:rFonts w:eastAsia="細明體" w:cs="Segoe UI"/>
                <w:sz w:val="17"/>
                <w:lang w:eastAsia="en-GB"/>
              </w:rPr>
            </w:pPr>
          </w:p>
        </w:tc>
      </w:tr>
      <w:tr w:rsidR="00272D6C" w:rsidRPr="00272D6C" w14:paraId="5870B902" w14:textId="77777777" w:rsidTr="005171C5">
        <w:trPr>
          <w:cantSplit/>
        </w:trPr>
        <w:tc>
          <w:tcPr>
            <w:tcW w:w="567" w:type="dxa"/>
            <w:tcBorders>
              <w:left w:val="nil"/>
              <w:bottom w:val="single" w:sz="4" w:space="0" w:color="auto"/>
              <w:right w:val="single" w:sz="4" w:space="0" w:color="auto"/>
            </w:tcBorders>
          </w:tcPr>
          <w:p w14:paraId="775B23A6" w14:textId="77777777" w:rsidR="00272D6C" w:rsidRPr="00272D6C" w:rsidRDefault="00272D6C" w:rsidP="00272D6C">
            <w:pPr>
              <w:snapToGrid w:val="0"/>
              <w:spacing w:before="40" w:after="40"/>
              <w:rPr>
                <w:rFonts w:eastAsia="細明體" w:cs="Segoe UI"/>
                <w:b/>
                <w:sz w:val="17"/>
                <w:lang w:eastAsia="en-GB"/>
              </w:rPr>
            </w:pPr>
            <w:r w:rsidRPr="00272D6C">
              <w:rPr>
                <w:rFonts w:eastAsia="細明體" w:cs="Segoe UI"/>
                <w:b/>
                <w:sz w:val="17"/>
                <w:lang w:eastAsia="en-GB"/>
              </w:rPr>
              <w:t>9</w:t>
            </w:r>
          </w:p>
        </w:tc>
        <w:tc>
          <w:tcPr>
            <w:tcW w:w="7458" w:type="dxa"/>
            <w:tcBorders>
              <w:left w:val="single" w:sz="4" w:space="0" w:color="auto"/>
              <w:bottom w:val="single" w:sz="4" w:space="0" w:color="auto"/>
              <w:right w:val="single" w:sz="4" w:space="0" w:color="auto"/>
            </w:tcBorders>
          </w:tcPr>
          <w:p w14:paraId="7E738E83" w14:textId="77777777" w:rsidR="00272D6C" w:rsidRPr="00272D6C" w:rsidRDefault="00272D6C" w:rsidP="00272D6C">
            <w:pPr>
              <w:snapToGrid w:val="0"/>
              <w:spacing w:before="40" w:after="40"/>
              <w:rPr>
                <w:rFonts w:eastAsia="細明體" w:cs="Segoe UI"/>
                <w:b/>
                <w:noProof/>
                <w:sz w:val="17"/>
                <w:lang w:eastAsia="zh-TW"/>
              </w:rPr>
            </w:pPr>
            <w:r w:rsidRPr="00272D6C">
              <w:rPr>
                <w:rFonts w:eastAsia="細明體" w:cs="Segoe UI" w:hint="eastAsia"/>
                <w:b/>
                <w:sz w:val="17"/>
                <w:lang w:eastAsia="zh-TW"/>
              </w:rPr>
              <w:t>報告期</w:t>
            </w:r>
            <w:r w:rsidRPr="00272D6C">
              <w:rPr>
                <w:rFonts w:eastAsia="細明體" w:cs="Segoe UI" w:hint="eastAsia"/>
                <w:b/>
                <w:sz w:val="17"/>
                <w:szCs w:val="17"/>
                <w:lang w:eastAsia="zh-TW"/>
              </w:rPr>
              <w:t>末</w:t>
            </w:r>
            <w:r w:rsidRPr="00272D6C">
              <w:rPr>
                <w:rFonts w:eastAsia="細明體" w:cs="Segoe UI"/>
                <w:b/>
                <w:sz w:val="17"/>
                <w:lang w:eastAsia="zh-TW"/>
              </w:rPr>
              <w:t>風險加權數額</w:t>
            </w:r>
          </w:p>
        </w:tc>
        <w:tc>
          <w:tcPr>
            <w:tcW w:w="1217" w:type="dxa"/>
            <w:tcBorders>
              <w:left w:val="single" w:sz="4" w:space="0" w:color="auto"/>
              <w:bottom w:val="single" w:sz="4" w:space="0" w:color="auto"/>
              <w:right w:val="single" w:sz="4" w:space="0" w:color="auto"/>
            </w:tcBorders>
          </w:tcPr>
          <w:p w14:paraId="322F377E" w14:textId="77777777" w:rsidR="00272D6C" w:rsidRPr="00272D6C" w:rsidRDefault="00272D6C" w:rsidP="00272D6C">
            <w:pPr>
              <w:snapToGrid w:val="0"/>
              <w:spacing w:before="40" w:after="40"/>
              <w:rPr>
                <w:rFonts w:eastAsia="細明體" w:cs="Segoe UI"/>
                <w:sz w:val="17"/>
                <w:lang w:eastAsia="zh-TW"/>
              </w:rPr>
            </w:pPr>
          </w:p>
        </w:tc>
      </w:tr>
    </w:tbl>
    <w:p w14:paraId="77767291" w14:textId="77777777" w:rsidR="00272D6C" w:rsidRPr="00272D6C" w:rsidRDefault="00272D6C" w:rsidP="00272D6C">
      <w:pPr>
        <w:spacing w:before="120" w:after="120"/>
        <w:ind w:leftChars="-283" w:left="-566"/>
        <w:rPr>
          <w:rFonts w:eastAsia="細明體" w:cs="Segoe UI"/>
          <w:sz w:val="22"/>
          <w:lang w:eastAsia="zh-TW"/>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272D6C" w:rsidRPr="00272D6C" w14:paraId="67FC7B3A" w14:textId="77777777" w:rsidTr="005171C5">
        <w:trPr>
          <w:tblHeader/>
        </w:trPr>
        <w:tc>
          <w:tcPr>
            <w:tcW w:w="9214" w:type="dxa"/>
            <w:gridSpan w:val="2"/>
            <w:shd w:val="clear" w:color="auto" w:fill="BFBFBF"/>
          </w:tcPr>
          <w:p w14:paraId="161613A6" w14:textId="77777777" w:rsidR="00272D6C" w:rsidRPr="00272D6C" w:rsidRDefault="00272D6C" w:rsidP="00272D6C">
            <w:pPr>
              <w:spacing w:before="40" w:after="40"/>
              <w:jc w:val="both"/>
              <w:rPr>
                <w:rFonts w:eastAsia="細明體" w:cs="Segoe UI"/>
                <w:b/>
                <w:sz w:val="17"/>
                <w:szCs w:val="17"/>
                <w:lang w:eastAsia="en-GB"/>
              </w:rPr>
            </w:pPr>
            <w:proofErr w:type="gramStart"/>
            <w:r w:rsidRPr="00272D6C">
              <w:rPr>
                <w:rFonts w:eastAsia="細明體" w:cs="Segoe UI" w:hint="eastAsia"/>
                <w:b/>
                <w:sz w:val="17"/>
                <w:szCs w:val="17"/>
                <w:lang w:eastAsia="zh-TW"/>
              </w:rPr>
              <w:t>註</w:t>
            </w:r>
            <w:proofErr w:type="gramEnd"/>
            <w:r w:rsidRPr="00272D6C">
              <w:rPr>
                <w:rFonts w:eastAsia="細明體" w:cs="Segoe UI" w:hint="eastAsia"/>
                <w:b/>
                <w:sz w:val="17"/>
                <w:szCs w:val="17"/>
                <w:lang w:eastAsia="zh-TW"/>
              </w:rPr>
              <w:t>釋</w:t>
            </w:r>
          </w:p>
        </w:tc>
      </w:tr>
      <w:tr w:rsidR="00272D6C" w:rsidRPr="00272D6C" w14:paraId="7A95173F" w14:textId="77777777" w:rsidTr="005171C5">
        <w:trPr>
          <w:trHeight w:val="153"/>
        </w:trPr>
        <w:tc>
          <w:tcPr>
            <w:tcW w:w="9214" w:type="dxa"/>
            <w:gridSpan w:val="2"/>
            <w:shd w:val="clear" w:color="auto" w:fill="F2F2F2"/>
          </w:tcPr>
          <w:p w14:paraId="5C105B8D" w14:textId="77777777" w:rsidR="00272D6C" w:rsidRPr="00272D6C" w:rsidRDefault="00272D6C" w:rsidP="00272D6C">
            <w:pPr>
              <w:spacing w:before="40" w:after="40"/>
              <w:jc w:val="both"/>
              <w:rPr>
                <w:rFonts w:eastAsia="細明體" w:cs="Segoe UI"/>
                <w:b/>
                <w:sz w:val="17"/>
                <w:szCs w:val="17"/>
                <w:lang w:eastAsia="en-GB"/>
              </w:rPr>
            </w:pPr>
            <w:r w:rsidRPr="00272D6C">
              <w:rPr>
                <w:rFonts w:eastAsia="細明體" w:cs="Segoe UI" w:hint="eastAsia"/>
                <w:b/>
                <w:sz w:val="17"/>
                <w:szCs w:val="17"/>
                <w:lang w:eastAsia="en-GB"/>
              </w:rPr>
              <w:t>行</w:t>
            </w:r>
          </w:p>
        </w:tc>
      </w:tr>
      <w:tr w:rsidR="00272D6C" w:rsidRPr="00272D6C" w14:paraId="7A9FD156" w14:textId="77777777" w:rsidTr="005171C5">
        <w:tc>
          <w:tcPr>
            <w:tcW w:w="567" w:type="dxa"/>
            <w:shd w:val="clear" w:color="auto" w:fill="auto"/>
          </w:tcPr>
          <w:p w14:paraId="44A9C2B9"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1</w:t>
            </w:r>
          </w:p>
        </w:tc>
        <w:tc>
          <w:tcPr>
            <w:tcW w:w="8647" w:type="dxa"/>
            <w:shd w:val="clear" w:color="auto" w:fill="auto"/>
          </w:tcPr>
          <w:p w14:paraId="3FA01058" w14:textId="77777777" w:rsidR="00272D6C" w:rsidRPr="00272D6C"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上一個報告期</w:t>
            </w:r>
            <w:r w:rsidRPr="00272D6C">
              <w:rPr>
                <w:rFonts w:eastAsia="細明體" w:cs="Segoe UI"/>
                <w:i/>
                <w:sz w:val="17"/>
                <w:szCs w:val="17"/>
                <w:lang w:eastAsia="zh-TW"/>
              </w:rPr>
              <w:t>末風險加權數額</w:t>
            </w:r>
            <w:r w:rsidRPr="00272D6C">
              <w:rPr>
                <w:rFonts w:eastAsia="細明體" w:cs="Segoe UI"/>
                <w:sz w:val="17"/>
                <w:szCs w:val="17"/>
                <w:lang w:eastAsia="zh-TW"/>
              </w:rPr>
              <w:t>：本行相等於上一個報告期</w:t>
            </w:r>
            <w:r w:rsidRPr="00272D6C">
              <w:rPr>
                <w:rFonts w:eastAsia="細明體" w:cs="Segoe UI"/>
                <w:sz w:val="17"/>
                <w:szCs w:val="17"/>
                <w:lang w:eastAsia="zh-TW"/>
              </w:rPr>
              <w:t>[CR8: 9/</w:t>
            </w:r>
            <w:proofErr w:type="gramStart"/>
            <w:r w:rsidRPr="00272D6C">
              <w:rPr>
                <w:rFonts w:eastAsia="細明體" w:cs="Segoe UI"/>
                <w:sz w:val="17"/>
                <w:szCs w:val="17"/>
                <w:lang w:eastAsia="zh-TW"/>
              </w:rPr>
              <w:t>a]</w:t>
            </w:r>
            <w:r w:rsidRPr="00272D6C">
              <w:rPr>
                <w:rFonts w:eastAsia="細明體" w:cs="Segoe UI" w:hint="eastAsia"/>
                <w:sz w:val="17"/>
                <w:szCs w:val="17"/>
                <w:lang w:eastAsia="zh-TW"/>
              </w:rPr>
              <w:t>的值</w:t>
            </w:r>
            <w:proofErr w:type="gramEnd"/>
            <w:r w:rsidRPr="00272D6C">
              <w:rPr>
                <w:rFonts w:eastAsia="細明體" w:cs="Segoe UI" w:hint="eastAsia"/>
                <w:sz w:val="17"/>
                <w:szCs w:val="17"/>
                <w:lang w:eastAsia="zh-TW"/>
              </w:rPr>
              <w:t>。</w:t>
            </w:r>
          </w:p>
        </w:tc>
      </w:tr>
      <w:tr w:rsidR="00272D6C" w:rsidRPr="00272D6C" w14:paraId="6266AD99" w14:textId="77777777" w:rsidTr="005171C5">
        <w:tc>
          <w:tcPr>
            <w:tcW w:w="567" w:type="dxa"/>
            <w:shd w:val="clear" w:color="auto" w:fill="auto"/>
          </w:tcPr>
          <w:p w14:paraId="602EDA7C"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2</w:t>
            </w:r>
          </w:p>
        </w:tc>
        <w:tc>
          <w:tcPr>
            <w:tcW w:w="8647" w:type="dxa"/>
            <w:shd w:val="clear" w:color="auto" w:fill="auto"/>
          </w:tcPr>
          <w:p w14:paraId="0080A5D6" w14:textId="77777777" w:rsidR="00272D6C" w:rsidRPr="00272D6C"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資產規模</w:t>
            </w:r>
            <w:r w:rsidRPr="00272D6C">
              <w:rPr>
                <w:rFonts w:eastAsia="細明體" w:cs="Segoe UI" w:hint="eastAsia"/>
                <w:sz w:val="17"/>
                <w:szCs w:val="17"/>
                <w:lang w:eastAsia="zh-TW"/>
              </w:rPr>
              <w:t>：</w:t>
            </w:r>
            <w:proofErr w:type="gramStart"/>
            <w:r w:rsidRPr="00272D6C">
              <w:rPr>
                <w:rFonts w:eastAsia="細明體" w:cs="Segoe UI" w:hint="eastAsia"/>
                <w:sz w:val="17"/>
                <w:szCs w:val="17"/>
                <w:lang w:eastAsia="zh-TW"/>
              </w:rPr>
              <w:t>帳面</w:t>
            </w:r>
            <w:proofErr w:type="gramEnd"/>
            <w:r w:rsidRPr="00272D6C">
              <w:rPr>
                <w:rFonts w:eastAsia="細明體" w:cs="Segoe UI" w:hint="eastAsia"/>
                <w:sz w:val="17"/>
                <w:szCs w:val="17"/>
                <w:lang w:eastAsia="zh-TW"/>
              </w:rPr>
              <w:t>規模及組成成分（包括推出新業務及債項到期）的有機變動而引致</w:t>
            </w:r>
            <w:r w:rsidRPr="00272D6C">
              <w:rPr>
                <w:rFonts w:eastAsia="細明體" w:cs="Segoe UI"/>
                <w:sz w:val="17"/>
                <w:szCs w:val="17"/>
                <w:lang w:eastAsia="zh-TW"/>
              </w:rPr>
              <w:t>風險加權數額的變動，</w:t>
            </w:r>
            <w:r w:rsidRPr="00272D6C">
              <w:rPr>
                <w:rFonts w:eastAsia="細明體" w:cs="Segoe UI" w:hint="eastAsia"/>
                <w:sz w:val="17"/>
                <w:szCs w:val="17"/>
                <w:lang w:eastAsia="zh-TW"/>
              </w:rPr>
              <w:t>但不包括收購及出售實體所引致</w:t>
            </w:r>
            <w:proofErr w:type="gramStart"/>
            <w:r w:rsidRPr="00272D6C">
              <w:rPr>
                <w:rFonts w:eastAsia="細明體" w:cs="Segoe UI" w:hint="eastAsia"/>
                <w:sz w:val="17"/>
                <w:szCs w:val="17"/>
                <w:lang w:eastAsia="zh-TW"/>
              </w:rPr>
              <w:t>帳面</w:t>
            </w:r>
            <w:proofErr w:type="gramEnd"/>
            <w:r w:rsidRPr="00272D6C">
              <w:rPr>
                <w:rFonts w:eastAsia="細明體" w:cs="Segoe UI" w:hint="eastAsia"/>
                <w:sz w:val="17"/>
                <w:szCs w:val="17"/>
                <w:lang w:eastAsia="zh-TW"/>
              </w:rPr>
              <w:t>規模的變動。</w:t>
            </w:r>
          </w:p>
        </w:tc>
      </w:tr>
      <w:tr w:rsidR="00272D6C" w:rsidRPr="00272D6C" w14:paraId="57224F96" w14:textId="77777777" w:rsidTr="005171C5">
        <w:tc>
          <w:tcPr>
            <w:tcW w:w="567" w:type="dxa"/>
            <w:shd w:val="clear" w:color="auto" w:fill="auto"/>
          </w:tcPr>
          <w:p w14:paraId="181EC2E4"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3</w:t>
            </w:r>
          </w:p>
        </w:tc>
        <w:tc>
          <w:tcPr>
            <w:tcW w:w="8647" w:type="dxa"/>
            <w:shd w:val="clear" w:color="auto" w:fill="auto"/>
          </w:tcPr>
          <w:p w14:paraId="6F2770E1" w14:textId="77777777" w:rsidR="00272D6C" w:rsidRPr="00272D6C"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資產質素</w:t>
            </w:r>
            <w:r w:rsidRPr="00272D6C">
              <w:rPr>
                <w:rFonts w:eastAsia="細明體" w:cs="Segoe UI" w:hint="eastAsia"/>
                <w:sz w:val="17"/>
                <w:szCs w:val="17"/>
                <w:lang w:eastAsia="zh-TW"/>
              </w:rPr>
              <w:t>：因借款人風險的變動（例如評級等級遷移或類似的效應）而引致認可機構經評定</w:t>
            </w:r>
            <w:r w:rsidRPr="00272D6C">
              <w:rPr>
                <w:rFonts w:eastAsia="細明體" w:cs="Segoe UI"/>
                <w:sz w:val="17"/>
                <w:szCs w:val="17"/>
                <w:lang w:eastAsia="zh-TW"/>
              </w:rPr>
              <w:t>的資產</w:t>
            </w:r>
            <w:r w:rsidRPr="00272D6C">
              <w:rPr>
                <w:rFonts w:eastAsia="細明體" w:cs="Segoe UI" w:hint="eastAsia"/>
                <w:sz w:val="17"/>
                <w:szCs w:val="17"/>
                <w:lang w:eastAsia="zh-TW"/>
              </w:rPr>
              <w:t>質素的變動。</w:t>
            </w:r>
          </w:p>
        </w:tc>
      </w:tr>
      <w:tr w:rsidR="00272D6C" w:rsidRPr="00272D6C" w14:paraId="0F5B8D31" w14:textId="77777777" w:rsidTr="005171C5">
        <w:tc>
          <w:tcPr>
            <w:tcW w:w="567" w:type="dxa"/>
            <w:shd w:val="clear" w:color="auto" w:fill="auto"/>
          </w:tcPr>
          <w:p w14:paraId="5A542467"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4</w:t>
            </w:r>
          </w:p>
        </w:tc>
        <w:tc>
          <w:tcPr>
            <w:tcW w:w="8647" w:type="dxa"/>
            <w:shd w:val="clear" w:color="auto" w:fill="auto"/>
          </w:tcPr>
          <w:p w14:paraId="6905675F" w14:textId="77777777" w:rsidR="00272D6C" w:rsidRPr="00272D6C"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模式更新</w:t>
            </w:r>
            <w:r w:rsidRPr="00272D6C">
              <w:rPr>
                <w:rFonts w:eastAsia="細明體" w:cs="Segoe UI" w:hint="eastAsia"/>
                <w:sz w:val="17"/>
                <w:szCs w:val="17"/>
                <w:lang w:eastAsia="zh-TW"/>
              </w:rPr>
              <w:t>：因模式的落實、模式範圍的</w:t>
            </w:r>
            <w:r w:rsidRPr="00272D6C">
              <w:rPr>
                <w:rFonts w:eastAsia="細明體" w:cs="Segoe UI"/>
                <w:sz w:val="17"/>
                <w:szCs w:val="17"/>
                <w:lang w:eastAsia="zh-TW"/>
              </w:rPr>
              <w:t>變</w:t>
            </w:r>
            <w:r w:rsidRPr="00272D6C">
              <w:rPr>
                <w:rFonts w:eastAsia="細明體" w:cs="Segoe UI" w:hint="eastAsia"/>
                <w:sz w:val="17"/>
                <w:szCs w:val="17"/>
                <w:lang w:eastAsia="zh-TW"/>
              </w:rPr>
              <w:t>更及為處理模式的弱點而作出的任何</w:t>
            </w:r>
            <w:r w:rsidRPr="00272D6C">
              <w:rPr>
                <w:rFonts w:eastAsia="細明體" w:cs="Segoe UI" w:hint="eastAsia"/>
                <w:color w:val="222222"/>
                <w:sz w:val="17"/>
                <w:lang w:eastAsia="zh-TW"/>
              </w:rPr>
              <w:t>重大</w:t>
            </w:r>
            <w:r w:rsidRPr="00272D6C">
              <w:rPr>
                <w:rFonts w:eastAsia="細明體" w:cs="Segoe UI" w:hint="eastAsia"/>
                <w:sz w:val="17"/>
                <w:szCs w:val="17"/>
                <w:lang w:eastAsia="zh-TW"/>
              </w:rPr>
              <w:t>變動所引致</w:t>
            </w:r>
            <w:r w:rsidRPr="00272D6C">
              <w:rPr>
                <w:rFonts w:eastAsia="細明體" w:cs="Segoe UI"/>
                <w:sz w:val="17"/>
                <w:szCs w:val="17"/>
                <w:lang w:eastAsia="zh-TW"/>
              </w:rPr>
              <w:t>風險加權數額的變動。</w:t>
            </w:r>
          </w:p>
        </w:tc>
      </w:tr>
      <w:tr w:rsidR="00272D6C" w:rsidRPr="00272D6C" w14:paraId="7E4C9264" w14:textId="77777777" w:rsidTr="005171C5">
        <w:tc>
          <w:tcPr>
            <w:tcW w:w="567" w:type="dxa"/>
            <w:shd w:val="clear" w:color="auto" w:fill="auto"/>
          </w:tcPr>
          <w:p w14:paraId="464456EF"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5</w:t>
            </w:r>
          </w:p>
        </w:tc>
        <w:tc>
          <w:tcPr>
            <w:tcW w:w="8647" w:type="dxa"/>
            <w:shd w:val="clear" w:color="auto" w:fill="auto"/>
          </w:tcPr>
          <w:p w14:paraId="46C7E943" w14:textId="5B8818B5" w:rsidR="00547B75"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方法及政策</w:t>
            </w:r>
            <w:r w:rsidRPr="00272D6C">
              <w:rPr>
                <w:rFonts w:eastAsia="細明體" w:cs="Segoe UI" w:hint="eastAsia"/>
                <w:sz w:val="17"/>
                <w:szCs w:val="17"/>
                <w:lang w:eastAsia="zh-TW"/>
              </w:rPr>
              <w:t>：由監管政策變動（例如新監管規例）導致計算方法的改變</w:t>
            </w:r>
            <w:r w:rsidRPr="00272D6C">
              <w:rPr>
                <w:rFonts w:ascii="細明體" w:eastAsia="細明體" w:hAnsi="細明體" w:cs="細明體"/>
                <w:sz w:val="17"/>
                <w:szCs w:val="17"/>
                <w:lang w:eastAsia="zh-TW"/>
              </w:rPr>
              <w:t>而</w:t>
            </w:r>
            <w:r w:rsidRPr="00272D6C">
              <w:rPr>
                <w:rFonts w:eastAsia="細明體" w:cs="Segoe UI" w:hint="eastAsia"/>
                <w:sz w:val="17"/>
                <w:szCs w:val="17"/>
                <w:lang w:eastAsia="zh-TW"/>
              </w:rPr>
              <w:t>引起的</w:t>
            </w:r>
            <w:r w:rsidRPr="00272D6C">
              <w:rPr>
                <w:rFonts w:eastAsia="細明體" w:cs="Segoe UI"/>
                <w:sz w:val="17"/>
                <w:szCs w:val="17"/>
                <w:lang w:eastAsia="zh-TW"/>
              </w:rPr>
              <w:t>風險加權數額的變動。</w:t>
            </w:r>
          </w:p>
          <w:p w14:paraId="0F28C78D" w14:textId="33573EFB" w:rsidR="00272D6C" w:rsidRPr="00547B75" w:rsidRDefault="00547B75" w:rsidP="00547B75">
            <w:pPr>
              <w:tabs>
                <w:tab w:val="left" w:pos="2207"/>
              </w:tabs>
              <w:rPr>
                <w:rFonts w:eastAsia="細明體" w:cs="Segoe UI"/>
                <w:sz w:val="17"/>
                <w:szCs w:val="17"/>
                <w:lang w:eastAsia="zh-TW"/>
              </w:rPr>
            </w:pPr>
            <w:r>
              <w:rPr>
                <w:rFonts w:eastAsia="細明體" w:cs="Segoe UI"/>
                <w:sz w:val="17"/>
                <w:szCs w:val="17"/>
                <w:lang w:eastAsia="zh-TW"/>
              </w:rPr>
              <w:tab/>
            </w:r>
          </w:p>
        </w:tc>
      </w:tr>
      <w:tr w:rsidR="00272D6C" w:rsidRPr="00272D6C" w14:paraId="676F424F" w14:textId="77777777" w:rsidTr="005171C5">
        <w:tc>
          <w:tcPr>
            <w:tcW w:w="567" w:type="dxa"/>
            <w:shd w:val="clear" w:color="auto" w:fill="auto"/>
          </w:tcPr>
          <w:p w14:paraId="5A990B79"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6</w:t>
            </w:r>
          </w:p>
        </w:tc>
        <w:tc>
          <w:tcPr>
            <w:tcW w:w="8647" w:type="dxa"/>
            <w:shd w:val="clear" w:color="auto" w:fill="auto"/>
          </w:tcPr>
          <w:p w14:paraId="3C5A189E" w14:textId="77777777" w:rsidR="00272D6C" w:rsidRPr="00272D6C"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收購及</w:t>
            </w:r>
            <w:r w:rsidRPr="00272D6C">
              <w:rPr>
                <w:rFonts w:eastAsia="細明體" w:cs="Segoe UI"/>
                <w:i/>
                <w:sz w:val="17"/>
                <w:szCs w:val="17"/>
                <w:lang w:eastAsia="zh-TW"/>
              </w:rPr>
              <w:t>處置</w:t>
            </w:r>
            <w:r w:rsidRPr="00272D6C">
              <w:rPr>
                <w:rFonts w:eastAsia="細明體" w:cs="Segoe UI" w:hint="eastAsia"/>
                <w:sz w:val="17"/>
                <w:szCs w:val="17"/>
                <w:lang w:eastAsia="zh-TW"/>
              </w:rPr>
              <w:t>：收購及處置實體令</w:t>
            </w:r>
            <w:proofErr w:type="gramStart"/>
            <w:r w:rsidRPr="00272D6C">
              <w:rPr>
                <w:rFonts w:eastAsia="細明體" w:cs="Segoe UI" w:hint="eastAsia"/>
                <w:sz w:val="17"/>
                <w:szCs w:val="17"/>
                <w:lang w:eastAsia="zh-TW"/>
              </w:rPr>
              <w:t>帳面</w:t>
            </w:r>
            <w:proofErr w:type="gramEnd"/>
            <w:r w:rsidRPr="00272D6C">
              <w:rPr>
                <w:rFonts w:eastAsia="細明體" w:cs="Segoe UI" w:hint="eastAsia"/>
                <w:sz w:val="17"/>
                <w:szCs w:val="17"/>
                <w:lang w:eastAsia="zh-TW"/>
              </w:rPr>
              <w:t>規模改變</w:t>
            </w:r>
            <w:r w:rsidRPr="00272D6C">
              <w:rPr>
                <w:rFonts w:ascii="新細明體" w:eastAsia="新細明體" w:hAnsi="新細明體" w:cs="Segoe UI"/>
                <w:sz w:val="17"/>
                <w:szCs w:val="17"/>
                <w:lang w:eastAsia="zh-TW"/>
              </w:rPr>
              <w:t>而</w:t>
            </w:r>
            <w:r w:rsidRPr="00272D6C">
              <w:rPr>
                <w:rFonts w:eastAsia="細明體" w:cs="Segoe UI" w:hint="eastAsia"/>
                <w:sz w:val="17"/>
                <w:szCs w:val="17"/>
                <w:lang w:eastAsia="zh-TW"/>
              </w:rPr>
              <w:t>引致</w:t>
            </w:r>
            <w:r w:rsidRPr="00272D6C">
              <w:rPr>
                <w:rFonts w:eastAsia="細明體" w:cs="Segoe UI"/>
                <w:sz w:val="17"/>
                <w:szCs w:val="17"/>
                <w:lang w:eastAsia="zh-TW"/>
              </w:rPr>
              <w:t>風險加權數額的變動。</w:t>
            </w:r>
          </w:p>
        </w:tc>
      </w:tr>
      <w:tr w:rsidR="00272D6C" w:rsidRPr="00272D6C" w14:paraId="4740F81B" w14:textId="77777777" w:rsidTr="005171C5">
        <w:tc>
          <w:tcPr>
            <w:tcW w:w="567" w:type="dxa"/>
            <w:shd w:val="clear" w:color="auto" w:fill="auto"/>
          </w:tcPr>
          <w:p w14:paraId="324FB388"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7</w:t>
            </w:r>
          </w:p>
        </w:tc>
        <w:tc>
          <w:tcPr>
            <w:tcW w:w="8647" w:type="dxa"/>
            <w:shd w:val="clear" w:color="auto" w:fill="auto"/>
          </w:tcPr>
          <w:p w14:paraId="36A73249" w14:textId="77777777" w:rsidR="00272D6C" w:rsidRPr="00272D6C"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外匯變動</w:t>
            </w:r>
            <w:r w:rsidRPr="00272D6C">
              <w:rPr>
                <w:rFonts w:eastAsia="細明體" w:cs="Segoe UI" w:hint="eastAsia"/>
                <w:sz w:val="17"/>
                <w:szCs w:val="17"/>
                <w:lang w:eastAsia="zh-TW"/>
              </w:rPr>
              <w:t>：匯率變動引致</w:t>
            </w:r>
            <w:r w:rsidRPr="00272D6C">
              <w:rPr>
                <w:rFonts w:eastAsia="細明體" w:cs="Segoe UI"/>
                <w:sz w:val="17"/>
                <w:szCs w:val="17"/>
                <w:lang w:eastAsia="zh-TW"/>
              </w:rPr>
              <w:t>風險加權數額的變動。</w:t>
            </w:r>
          </w:p>
        </w:tc>
      </w:tr>
      <w:tr w:rsidR="00272D6C" w:rsidRPr="00272D6C" w14:paraId="56158B89" w14:textId="77777777" w:rsidTr="005171C5">
        <w:trPr>
          <w:trHeight w:val="373"/>
        </w:trPr>
        <w:tc>
          <w:tcPr>
            <w:tcW w:w="567" w:type="dxa"/>
            <w:shd w:val="clear" w:color="auto" w:fill="auto"/>
          </w:tcPr>
          <w:p w14:paraId="227AF8A1"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8</w:t>
            </w:r>
          </w:p>
        </w:tc>
        <w:tc>
          <w:tcPr>
            <w:tcW w:w="8647" w:type="dxa"/>
            <w:shd w:val="clear" w:color="auto" w:fill="auto"/>
          </w:tcPr>
          <w:p w14:paraId="62A103A4" w14:textId="77777777" w:rsidR="00272D6C" w:rsidRPr="00272D6C" w:rsidRDefault="00272D6C" w:rsidP="00272D6C">
            <w:pPr>
              <w:keepNext/>
              <w:spacing w:before="40" w:after="40"/>
              <w:jc w:val="both"/>
              <w:rPr>
                <w:rFonts w:eastAsia="細明體" w:cs="Segoe UI"/>
                <w:sz w:val="17"/>
                <w:szCs w:val="17"/>
                <w:lang w:eastAsia="zh-TW"/>
              </w:rPr>
            </w:pPr>
            <w:r w:rsidRPr="00272D6C">
              <w:rPr>
                <w:rFonts w:eastAsia="細明體" w:cs="Segoe UI" w:hint="eastAsia"/>
                <w:i/>
                <w:sz w:val="17"/>
                <w:szCs w:val="17"/>
                <w:lang w:eastAsia="zh-TW"/>
              </w:rPr>
              <w:t>其他</w:t>
            </w:r>
            <w:r w:rsidRPr="00272D6C">
              <w:rPr>
                <w:rFonts w:eastAsia="細明體" w:cs="Segoe UI" w:hint="eastAsia"/>
                <w:sz w:val="17"/>
                <w:szCs w:val="17"/>
                <w:lang w:eastAsia="zh-TW"/>
              </w:rPr>
              <w:t>：此類別涵蓋未能歸因於上述任何類別的</w:t>
            </w:r>
            <w:r w:rsidRPr="00272D6C">
              <w:rPr>
                <w:rFonts w:eastAsia="細明體" w:cs="Segoe UI"/>
                <w:sz w:val="17"/>
                <w:szCs w:val="17"/>
                <w:lang w:eastAsia="zh-TW"/>
              </w:rPr>
              <w:t>風險加權數額</w:t>
            </w:r>
            <w:r w:rsidRPr="00272D6C">
              <w:rPr>
                <w:rFonts w:eastAsia="細明體" w:cs="Segoe UI" w:hint="eastAsia"/>
                <w:sz w:val="17"/>
                <w:szCs w:val="17"/>
                <w:lang w:eastAsia="zh-TW"/>
              </w:rPr>
              <w:t>的變動。認可機構應在第</w:t>
            </w:r>
            <w:r w:rsidRPr="00272D6C">
              <w:rPr>
                <w:rFonts w:eastAsia="細明體" w:cs="Segoe UI"/>
                <w:sz w:val="17"/>
                <w:szCs w:val="17"/>
                <w:lang w:eastAsia="zh-TW"/>
              </w:rPr>
              <w:t>7</w:t>
            </w:r>
            <w:r w:rsidRPr="00272D6C">
              <w:rPr>
                <w:rFonts w:eastAsia="細明體" w:cs="Segoe UI" w:hint="eastAsia"/>
                <w:sz w:val="17"/>
                <w:szCs w:val="17"/>
                <w:lang w:eastAsia="zh-TW"/>
              </w:rPr>
              <w:t>與</w:t>
            </w:r>
            <w:r w:rsidRPr="00272D6C">
              <w:rPr>
                <w:rFonts w:eastAsia="細明體" w:cs="Segoe UI"/>
                <w:sz w:val="17"/>
                <w:szCs w:val="17"/>
                <w:lang w:eastAsia="zh-TW"/>
              </w:rPr>
              <w:t>8</w:t>
            </w:r>
            <w:r w:rsidRPr="00272D6C">
              <w:rPr>
                <w:rFonts w:eastAsia="細明體" w:cs="Segoe UI"/>
                <w:sz w:val="17"/>
                <w:lang w:eastAsia="zh-TW"/>
              </w:rPr>
              <w:t>行</w:t>
            </w:r>
            <w:r w:rsidRPr="00272D6C">
              <w:rPr>
                <w:rFonts w:eastAsia="細明體" w:cs="Segoe UI" w:hint="eastAsia"/>
                <w:sz w:val="17"/>
                <w:szCs w:val="17"/>
                <w:lang w:eastAsia="zh-TW"/>
              </w:rPr>
              <w:t>之間加入</w:t>
            </w:r>
            <w:r w:rsidRPr="00272D6C">
              <w:rPr>
                <w:rFonts w:eastAsia="細明體" w:cs="Segoe UI" w:hint="eastAsia"/>
                <w:sz w:val="17"/>
                <w:lang w:eastAsia="zh-TW"/>
              </w:rPr>
              <w:t>附加</w:t>
            </w:r>
            <w:r w:rsidRPr="00272D6C">
              <w:rPr>
                <w:rFonts w:eastAsia="細明體" w:cs="Segoe UI" w:hint="eastAsia"/>
                <w:sz w:val="17"/>
                <w:szCs w:val="17"/>
                <w:lang w:eastAsia="zh-TW"/>
              </w:rPr>
              <w:t>行（稱為</w:t>
            </w:r>
            <w:r w:rsidRPr="00272D6C">
              <w:rPr>
                <w:rFonts w:eastAsia="細明體" w:cs="Segoe UI"/>
                <w:sz w:val="17"/>
                <w:szCs w:val="17"/>
                <w:lang w:eastAsia="zh-TW"/>
              </w:rPr>
              <w:t>7a</w:t>
            </w:r>
            <w:r w:rsidRPr="00272D6C">
              <w:rPr>
                <w:rFonts w:eastAsia="細明體" w:cs="Segoe UI" w:hint="eastAsia"/>
                <w:sz w:val="17"/>
                <w:szCs w:val="17"/>
                <w:lang w:eastAsia="zh-TW"/>
              </w:rPr>
              <w:t>、</w:t>
            </w:r>
            <w:r w:rsidRPr="00272D6C">
              <w:rPr>
                <w:rFonts w:eastAsia="細明體" w:cs="Segoe UI"/>
                <w:sz w:val="17"/>
                <w:szCs w:val="17"/>
                <w:lang w:eastAsia="zh-TW"/>
              </w:rPr>
              <w:t>7b</w:t>
            </w:r>
            <w:r w:rsidRPr="00272D6C">
              <w:rPr>
                <w:rFonts w:eastAsia="細明體" w:cs="Segoe UI" w:hint="eastAsia"/>
                <w:sz w:val="17"/>
                <w:szCs w:val="17"/>
                <w:lang w:eastAsia="zh-TW"/>
              </w:rPr>
              <w:t>等，如此類推），以披露引致現行報告期的</w:t>
            </w:r>
            <w:r w:rsidRPr="00272D6C">
              <w:rPr>
                <w:rFonts w:eastAsia="細明體" w:cs="Segoe UI"/>
                <w:sz w:val="17"/>
                <w:szCs w:val="17"/>
                <w:lang w:eastAsia="zh-TW"/>
              </w:rPr>
              <w:t>風險加權數額變動的</w:t>
            </w:r>
            <w:r w:rsidRPr="00272D6C">
              <w:rPr>
                <w:rFonts w:eastAsia="細明體" w:cs="Segoe UI" w:hint="eastAsia"/>
                <w:sz w:val="17"/>
                <w:szCs w:val="17"/>
                <w:lang w:eastAsia="zh-TW"/>
              </w:rPr>
              <w:t>其他</w:t>
            </w:r>
            <w:r w:rsidRPr="00272D6C">
              <w:rPr>
                <w:rFonts w:eastAsia="細明體" w:cs="Segoe UI"/>
                <w:sz w:val="17"/>
                <w:szCs w:val="17"/>
                <w:lang w:eastAsia="zh-TW"/>
              </w:rPr>
              <w:t>主要</w:t>
            </w:r>
            <w:r w:rsidRPr="00272D6C">
              <w:rPr>
                <w:rFonts w:eastAsia="細明體" w:cs="Segoe UI" w:hint="eastAsia"/>
                <w:sz w:val="17"/>
                <w:szCs w:val="17"/>
                <w:lang w:eastAsia="zh-TW"/>
              </w:rPr>
              <w:t>驅動</w:t>
            </w:r>
            <w:r w:rsidRPr="00272D6C">
              <w:rPr>
                <w:rFonts w:eastAsia="細明體" w:cs="Segoe UI"/>
                <w:sz w:val="17"/>
                <w:szCs w:val="17"/>
                <w:lang w:eastAsia="zh-TW"/>
              </w:rPr>
              <w:t>因素。</w:t>
            </w:r>
          </w:p>
        </w:tc>
      </w:tr>
      <w:tr w:rsidR="00272D6C" w:rsidRPr="00272D6C" w14:paraId="358F2CF4" w14:textId="77777777" w:rsidTr="005171C5">
        <w:trPr>
          <w:trHeight w:val="373"/>
        </w:trPr>
        <w:tc>
          <w:tcPr>
            <w:tcW w:w="567" w:type="dxa"/>
            <w:shd w:val="clear" w:color="auto" w:fill="auto"/>
          </w:tcPr>
          <w:p w14:paraId="1396E243" w14:textId="77777777" w:rsidR="00272D6C" w:rsidRPr="00272D6C" w:rsidRDefault="00272D6C" w:rsidP="00272D6C">
            <w:pPr>
              <w:keepLines/>
              <w:widowControl w:val="0"/>
              <w:tabs>
                <w:tab w:val="left" w:pos="150"/>
                <w:tab w:val="left" w:pos="397"/>
                <w:tab w:val="left" w:pos="794"/>
                <w:tab w:val="left" w:pos="1191"/>
              </w:tabs>
              <w:spacing w:before="40" w:after="40"/>
              <w:rPr>
                <w:rFonts w:eastAsia="細明體" w:cs="Segoe UI"/>
                <w:sz w:val="17"/>
                <w:szCs w:val="17"/>
                <w:lang w:eastAsia="en-GB"/>
              </w:rPr>
            </w:pPr>
            <w:r w:rsidRPr="00272D6C">
              <w:rPr>
                <w:rFonts w:eastAsia="細明體" w:cs="Segoe UI"/>
                <w:sz w:val="17"/>
                <w:szCs w:val="17"/>
                <w:lang w:eastAsia="en-GB"/>
              </w:rPr>
              <w:t>9</w:t>
            </w:r>
          </w:p>
        </w:tc>
        <w:tc>
          <w:tcPr>
            <w:tcW w:w="8647" w:type="dxa"/>
            <w:shd w:val="clear" w:color="auto" w:fill="auto"/>
          </w:tcPr>
          <w:p w14:paraId="1E72CF80" w14:textId="77777777" w:rsidR="00272D6C" w:rsidRPr="00272D6C" w:rsidRDefault="00272D6C" w:rsidP="00272D6C">
            <w:pPr>
              <w:spacing w:before="40" w:after="40"/>
              <w:jc w:val="both"/>
              <w:rPr>
                <w:rFonts w:eastAsia="細明體" w:cs="Segoe UI"/>
                <w:i/>
                <w:sz w:val="17"/>
                <w:szCs w:val="17"/>
                <w:lang w:eastAsia="zh-TW"/>
              </w:rPr>
            </w:pPr>
            <w:r w:rsidRPr="00272D6C">
              <w:rPr>
                <w:rFonts w:eastAsia="細明體" w:cs="Segoe UI" w:hint="eastAsia"/>
                <w:i/>
                <w:sz w:val="17"/>
                <w:szCs w:val="17"/>
                <w:lang w:eastAsia="zh-TW"/>
              </w:rPr>
              <w:t>報告期</w:t>
            </w:r>
            <w:r w:rsidRPr="00272D6C">
              <w:rPr>
                <w:rFonts w:eastAsia="細明體" w:cs="Segoe UI"/>
                <w:i/>
                <w:sz w:val="17"/>
                <w:szCs w:val="17"/>
                <w:lang w:eastAsia="zh-TW"/>
              </w:rPr>
              <w:t>末風險加權數額</w:t>
            </w:r>
            <w:r w:rsidRPr="00272D6C">
              <w:rPr>
                <w:rFonts w:eastAsia="細明體" w:cs="Segoe UI"/>
                <w:sz w:val="17"/>
                <w:szCs w:val="17"/>
                <w:lang w:eastAsia="zh-TW"/>
              </w:rPr>
              <w:t>：為</w:t>
            </w:r>
            <w:r w:rsidRPr="00272D6C">
              <w:rPr>
                <w:rFonts w:eastAsia="細明體" w:cs="Segoe UI" w:hint="eastAsia"/>
                <w:sz w:val="17"/>
                <w:szCs w:val="17"/>
                <w:lang w:eastAsia="zh-TW"/>
              </w:rPr>
              <w:t>第</w:t>
            </w:r>
            <w:r w:rsidRPr="00272D6C">
              <w:rPr>
                <w:rFonts w:eastAsia="細明體" w:cs="Segoe UI"/>
                <w:sz w:val="17"/>
                <w:szCs w:val="17"/>
                <w:lang w:eastAsia="zh-TW"/>
              </w:rPr>
              <w:t>1</w:t>
            </w:r>
            <w:r w:rsidRPr="00272D6C">
              <w:rPr>
                <w:rFonts w:eastAsia="細明體" w:cs="Segoe UI" w:hint="eastAsia"/>
                <w:sz w:val="17"/>
                <w:szCs w:val="17"/>
                <w:lang w:eastAsia="zh-TW"/>
              </w:rPr>
              <w:t>至</w:t>
            </w:r>
            <w:r w:rsidRPr="00272D6C">
              <w:rPr>
                <w:rFonts w:eastAsia="細明體" w:cs="Segoe UI"/>
                <w:sz w:val="17"/>
                <w:szCs w:val="17"/>
                <w:lang w:eastAsia="zh-TW"/>
              </w:rPr>
              <w:t>8</w:t>
            </w:r>
            <w:r w:rsidRPr="00272D6C">
              <w:rPr>
                <w:rFonts w:eastAsia="細明體" w:cs="Segoe UI" w:hint="eastAsia"/>
                <w:sz w:val="17"/>
                <w:szCs w:val="17"/>
                <w:lang w:eastAsia="zh-TW"/>
              </w:rPr>
              <w:t>行（</w:t>
            </w:r>
            <w:r w:rsidRPr="00272D6C">
              <w:rPr>
                <w:rFonts w:eastAsia="細明體" w:cs="Segoe UI"/>
                <w:sz w:val="17"/>
                <w:szCs w:val="17"/>
                <w:lang w:eastAsia="zh-TW"/>
              </w:rPr>
              <w:t>包括由</w:t>
            </w:r>
            <w:r w:rsidRPr="00272D6C">
              <w:rPr>
                <w:rFonts w:eastAsia="細明體" w:cs="Segoe UI" w:hint="eastAsia"/>
                <w:sz w:val="17"/>
                <w:szCs w:val="17"/>
                <w:lang w:eastAsia="zh-TW"/>
              </w:rPr>
              <w:t>認可機構加</w:t>
            </w:r>
            <w:r w:rsidRPr="00272D6C">
              <w:rPr>
                <w:rFonts w:eastAsia="細明體" w:cs="Segoe UI"/>
                <w:sz w:val="17"/>
                <w:szCs w:val="17"/>
                <w:lang w:eastAsia="zh-TW"/>
              </w:rPr>
              <w:t>入的</w:t>
            </w:r>
            <w:r w:rsidRPr="00272D6C">
              <w:rPr>
                <w:rFonts w:eastAsia="細明體" w:cs="Segoe UI" w:hint="eastAsia"/>
                <w:sz w:val="17"/>
                <w:szCs w:val="17"/>
                <w:lang w:eastAsia="zh-TW"/>
              </w:rPr>
              <w:t>額外行）的值的</w:t>
            </w:r>
            <w:proofErr w:type="gramStart"/>
            <w:r w:rsidRPr="00272D6C">
              <w:rPr>
                <w:rFonts w:eastAsia="細明體" w:cs="Segoe UI" w:hint="eastAsia"/>
                <w:sz w:val="17"/>
                <w:szCs w:val="17"/>
                <w:lang w:eastAsia="zh-TW"/>
              </w:rPr>
              <w:t>和</w:t>
            </w:r>
            <w:proofErr w:type="gramEnd"/>
            <w:r w:rsidRPr="00272D6C">
              <w:rPr>
                <w:rFonts w:eastAsia="細明體" w:cs="Segoe UI" w:hint="eastAsia"/>
                <w:sz w:val="17"/>
                <w:szCs w:val="17"/>
                <w:lang w:eastAsia="zh-TW"/>
              </w:rPr>
              <w:t>。</w:t>
            </w:r>
          </w:p>
        </w:tc>
      </w:tr>
    </w:tbl>
    <w:p w14:paraId="38C9B149" w14:textId="77777777" w:rsidR="00272D6C" w:rsidRDefault="00272D6C" w:rsidP="00272D6C">
      <w:pPr>
        <w:keepNext/>
        <w:keepLines/>
        <w:tabs>
          <w:tab w:val="left" w:pos="426"/>
        </w:tabs>
        <w:spacing w:after="360"/>
        <w:ind w:leftChars="-283" w:left="-566"/>
        <w:outlineLvl w:val="0"/>
        <w:rPr>
          <w:rFonts w:eastAsiaTheme="minorEastAsia" w:cs="Segoe UI"/>
          <w:color w:val="AA322F"/>
          <w:sz w:val="28"/>
          <w:lang w:eastAsia="zh-TW"/>
        </w:rPr>
        <w:sectPr w:rsidR="00272D6C" w:rsidSect="005171C5">
          <w:headerReference w:type="default" r:id="rId74"/>
          <w:footerReference w:type="default" r:id="rId75"/>
          <w:pgSz w:w="11906" w:h="16838"/>
          <w:pgMar w:top="1440" w:right="1800" w:bottom="1440" w:left="1800" w:header="851" w:footer="992" w:gutter="0"/>
          <w:cols w:space="425"/>
          <w:docGrid w:type="lines" w:linePitch="360"/>
        </w:sectPr>
      </w:pPr>
    </w:p>
    <w:p w14:paraId="0BCD451D" w14:textId="4D85199E" w:rsidR="00893D12" w:rsidRPr="00893D12" w:rsidRDefault="00893D12" w:rsidP="00893D12">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893D12">
        <w:rPr>
          <w:rFonts w:eastAsia="細明體" w:cs="Segoe UI" w:hint="eastAsia"/>
          <w:b w:val="0"/>
          <w:sz w:val="22"/>
        </w:rPr>
        <w:t>模版</w:t>
      </w:r>
      <w:r w:rsidRPr="00893D12">
        <w:rPr>
          <w:rFonts w:ascii="Segoe UI" w:eastAsia="細明體" w:hAnsi="Segoe UI" w:cs="Segoe UI"/>
          <w:b w:val="0"/>
          <w:sz w:val="22"/>
        </w:rPr>
        <w:t>CR9</w:t>
      </w:r>
      <w:r w:rsidRPr="00893D12">
        <w:rPr>
          <w:rFonts w:eastAsia="細明體" w:cs="Segoe UI" w:hint="eastAsia"/>
          <w:b w:val="0"/>
          <w:sz w:val="22"/>
        </w:rPr>
        <w:t>：按個別組合的違責或然率的回溯測試</w:t>
      </w:r>
      <w:r w:rsidRPr="00893D12">
        <w:rPr>
          <w:rFonts w:ascii="細明體" w:eastAsia="細明體" w:hAnsi="細明體" w:cs="細明體" w:hint="eastAsia"/>
          <w:b w:val="0"/>
          <w:sz w:val="22"/>
        </w:rPr>
        <w:t>──</w:t>
      </w:r>
      <w:r w:rsidRPr="00893D12">
        <w:rPr>
          <w:rFonts w:ascii="Segoe UI" w:eastAsia="細明體" w:hAnsi="Segoe UI" w:cs="Segoe UI"/>
          <w:b w:val="0"/>
          <w:sz w:val="22"/>
        </w:rPr>
        <w:t>IRB</w:t>
      </w:r>
      <w:r w:rsidRPr="00893D12">
        <w:rPr>
          <w:rFonts w:eastAsia="細明體" w:cs="Segoe UI" w:hint="eastAsia"/>
          <w:b w:val="0"/>
          <w:sz w:val="22"/>
        </w:rPr>
        <w:t>計算法</w:t>
      </w:r>
    </w:p>
    <w:tbl>
      <w:tblPr>
        <w:tblW w:w="9248" w:type="dxa"/>
        <w:tblInd w:w="-459" w:type="dxa"/>
        <w:tblLayout w:type="fixed"/>
        <w:tblLook w:val="0000" w:firstRow="0" w:lastRow="0" w:firstColumn="0" w:lastColumn="0" w:noHBand="0" w:noVBand="0"/>
      </w:tblPr>
      <w:tblGrid>
        <w:gridCol w:w="2160"/>
        <w:gridCol w:w="7088"/>
      </w:tblGrid>
      <w:tr w:rsidR="005171C5" w:rsidRPr="005171C5" w14:paraId="1AA549F4" w14:textId="77777777" w:rsidTr="00E93736">
        <w:tc>
          <w:tcPr>
            <w:tcW w:w="2160" w:type="dxa"/>
            <w:tcBorders>
              <w:top w:val="single" w:sz="4" w:space="0" w:color="000000"/>
              <w:bottom w:val="single" w:sz="4" w:space="0" w:color="000000"/>
            </w:tcBorders>
            <w:shd w:val="clear" w:color="auto" w:fill="auto"/>
          </w:tcPr>
          <w:p w14:paraId="01646DA6"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目的：</w:t>
            </w:r>
            <w:r w:rsidRPr="005171C5">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04CF2AB0"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zh-TW"/>
              </w:rPr>
              <w:t>提供</w:t>
            </w:r>
            <w:r w:rsidRPr="005171C5">
              <w:rPr>
                <w:rFonts w:eastAsia="細明體" w:cs="Segoe UI" w:hint="eastAsia"/>
                <w:sz w:val="17"/>
                <w:lang w:eastAsia="ar-SA"/>
              </w:rPr>
              <w:t>回溯測試數據，以</w:t>
            </w:r>
            <w:proofErr w:type="gramStart"/>
            <w:r w:rsidRPr="005171C5">
              <w:rPr>
                <w:rFonts w:eastAsia="細明體" w:cs="Segoe UI" w:hint="eastAsia"/>
                <w:sz w:val="17"/>
                <w:lang w:eastAsia="ar-SA"/>
              </w:rPr>
              <w:t>確認違責或然率</w:t>
            </w:r>
            <w:proofErr w:type="gramEnd"/>
            <w:r w:rsidRPr="005171C5">
              <w:rPr>
                <w:rFonts w:eastAsia="細明體" w:cs="Segoe UI" w:hint="eastAsia"/>
                <w:sz w:val="17"/>
                <w:lang w:eastAsia="ar-SA"/>
              </w:rPr>
              <w:t>的計算的可靠性，包括</w:t>
            </w:r>
            <w:r w:rsidRPr="005171C5">
              <w:rPr>
                <w:rFonts w:eastAsia="細明體" w:cs="Segoe UI" w:hint="eastAsia"/>
                <w:sz w:val="17"/>
                <w:lang w:eastAsia="zh-TW"/>
              </w:rPr>
              <w:t>在</w:t>
            </w:r>
            <w:r w:rsidRPr="005171C5">
              <w:rPr>
                <w:rFonts w:eastAsia="細明體" w:cs="Segoe UI"/>
                <w:sz w:val="17"/>
                <w:lang w:eastAsia="zh-TW"/>
              </w:rPr>
              <w:t>IRB</w:t>
            </w:r>
            <w:r w:rsidRPr="005171C5">
              <w:rPr>
                <w:rFonts w:eastAsia="細明體" w:cs="Segoe UI" w:hint="eastAsia"/>
                <w:sz w:val="17"/>
                <w:lang w:eastAsia="zh-TW"/>
              </w:rPr>
              <w:t>計算法下</w:t>
            </w:r>
            <w:r w:rsidRPr="005171C5">
              <w:rPr>
                <w:rFonts w:eastAsia="細明體" w:cs="Segoe UI" w:hint="eastAsia"/>
                <w:sz w:val="17"/>
                <w:lang w:eastAsia="ar-SA"/>
              </w:rPr>
              <w:t>用以計算資本規定</w:t>
            </w:r>
            <w:proofErr w:type="gramStart"/>
            <w:r w:rsidRPr="005171C5">
              <w:rPr>
                <w:rFonts w:eastAsia="細明體" w:cs="Segoe UI" w:hint="eastAsia"/>
                <w:sz w:val="17"/>
                <w:lang w:eastAsia="ar-SA"/>
              </w:rPr>
              <w:t>的違責或然率</w:t>
            </w:r>
            <w:proofErr w:type="gramEnd"/>
            <w:r w:rsidRPr="005171C5">
              <w:rPr>
                <w:rFonts w:eastAsia="細明體" w:cs="Segoe UI" w:hint="eastAsia"/>
                <w:sz w:val="17"/>
                <w:lang w:eastAsia="ar-SA"/>
              </w:rPr>
              <w:t>(PD)</w:t>
            </w:r>
            <w:r w:rsidRPr="005171C5">
              <w:rPr>
                <w:rFonts w:eastAsia="細明體" w:cs="Segoe UI" w:hint="eastAsia"/>
                <w:sz w:val="17"/>
                <w:lang w:eastAsia="ar-SA"/>
              </w:rPr>
              <w:t>與承擔義務人的</w:t>
            </w:r>
            <w:proofErr w:type="gramStart"/>
            <w:r w:rsidRPr="005171C5">
              <w:rPr>
                <w:rFonts w:eastAsia="細明體" w:cs="Segoe UI" w:hint="eastAsia"/>
                <w:sz w:val="17"/>
                <w:lang w:eastAsia="ar-SA"/>
              </w:rPr>
              <w:t>實際違責率</w:t>
            </w:r>
            <w:proofErr w:type="gramEnd"/>
            <w:r w:rsidRPr="005171C5">
              <w:rPr>
                <w:rFonts w:eastAsia="細明體" w:cs="Segoe UI" w:hint="eastAsia"/>
                <w:sz w:val="17"/>
                <w:lang w:eastAsia="ar-SA"/>
              </w:rPr>
              <w:t>的比較。</w:t>
            </w:r>
          </w:p>
        </w:tc>
      </w:tr>
      <w:tr w:rsidR="005171C5" w:rsidRPr="005171C5" w14:paraId="1BBE697B" w14:textId="77777777" w:rsidTr="00E93736">
        <w:tc>
          <w:tcPr>
            <w:tcW w:w="2160" w:type="dxa"/>
            <w:tcBorders>
              <w:top w:val="single" w:sz="4" w:space="0" w:color="000000"/>
              <w:bottom w:val="single" w:sz="4" w:space="0" w:color="000000"/>
            </w:tcBorders>
            <w:shd w:val="clear" w:color="auto" w:fill="auto"/>
          </w:tcPr>
          <w:p w14:paraId="5212D476" w14:textId="77777777" w:rsidR="005171C5" w:rsidRPr="005171C5" w:rsidRDefault="005171C5" w:rsidP="005171C5">
            <w:pPr>
              <w:suppressAutoHyphens/>
              <w:spacing w:before="40" w:after="40"/>
              <w:rPr>
                <w:rFonts w:eastAsia="細明體" w:cs="Segoe UI"/>
                <w:sz w:val="17"/>
                <w:lang w:eastAsia="ar-SA"/>
              </w:rPr>
            </w:pPr>
            <w:r w:rsidRPr="005171C5">
              <w:rPr>
                <w:rFonts w:eastAsia="細明體" w:cs="Segoe UI" w:hint="eastAsia"/>
                <w:b/>
                <w:sz w:val="17"/>
                <w:lang w:eastAsia="ar-SA"/>
              </w:rPr>
              <w:t>適用範圍：</w:t>
            </w:r>
            <w:r w:rsidRPr="005171C5">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409CF9D5" w14:textId="3CE5F8EA" w:rsidR="0022225D" w:rsidRPr="0022225D" w:rsidRDefault="0022225D" w:rsidP="0022225D">
            <w:pPr>
              <w:spacing w:before="40" w:after="40" w:line="259" w:lineRule="auto"/>
              <w:jc w:val="both"/>
              <w:rPr>
                <w:rFonts w:ascii="Calibri" w:eastAsia="細明體" w:hAnsi="Calibri"/>
                <w:sz w:val="17"/>
                <w:szCs w:val="22"/>
                <w:lang w:eastAsia="zh-TW"/>
              </w:rPr>
            </w:pPr>
            <w:r w:rsidRPr="0022225D">
              <w:rPr>
                <w:rFonts w:ascii="Calibri" w:eastAsia="細明體" w:hAnsi="Calibri" w:hint="eastAsia"/>
                <w:sz w:val="17"/>
                <w:szCs w:val="22"/>
                <w:lang w:eastAsia="zh-TW"/>
              </w:rPr>
              <w:t>在香港成立</w:t>
            </w:r>
            <w:proofErr w:type="gramStart"/>
            <w:r w:rsidRPr="0022225D">
              <w:rPr>
                <w:rFonts w:ascii="Calibri" w:eastAsia="細明體" w:hAnsi="Calibri" w:hint="eastAsia"/>
                <w:sz w:val="17"/>
                <w:szCs w:val="22"/>
                <w:lang w:eastAsia="zh-TW"/>
              </w:rPr>
              <w:t>為法團並</w:t>
            </w:r>
            <w:proofErr w:type="gramEnd"/>
            <w:r w:rsidRPr="0022225D">
              <w:rPr>
                <w:rFonts w:ascii="Calibri" w:eastAsia="細明體" w:hAnsi="Calibri" w:hint="eastAsia"/>
                <w:sz w:val="17"/>
                <w:szCs w:val="22"/>
                <w:lang w:eastAsia="zh-TW"/>
              </w:rPr>
              <w:t>使用高級</w:t>
            </w:r>
            <w:r w:rsidRPr="0022225D">
              <w:rPr>
                <w:rFonts w:ascii="Calibri" w:eastAsia="細明體" w:hAnsi="Calibri"/>
                <w:sz w:val="17"/>
                <w:szCs w:val="22"/>
                <w:lang w:eastAsia="zh-TW"/>
              </w:rPr>
              <w:t>IRB</w:t>
            </w:r>
            <w:r w:rsidRPr="0022225D">
              <w:rPr>
                <w:rFonts w:ascii="Calibri" w:eastAsia="細明體" w:hAnsi="Calibri" w:hint="eastAsia"/>
                <w:sz w:val="17"/>
                <w:szCs w:val="22"/>
                <w:lang w:eastAsia="zh-TW"/>
              </w:rPr>
              <w:t>計算法、基礎</w:t>
            </w:r>
            <w:r w:rsidRPr="0022225D">
              <w:rPr>
                <w:rFonts w:ascii="Calibri" w:eastAsia="細明體" w:hAnsi="Calibri"/>
                <w:sz w:val="17"/>
                <w:szCs w:val="22"/>
                <w:lang w:eastAsia="zh-TW"/>
              </w:rPr>
              <w:t>IRB</w:t>
            </w:r>
            <w:r w:rsidRPr="0022225D">
              <w:rPr>
                <w:rFonts w:ascii="Calibri" w:eastAsia="細明體" w:hAnsi="Calibri" w:hint="eastAsia"/>
                <w:sz w:val="17"/>
                <w:szCs w:val="22"/>
                <w:lang w:eastAsia="zh-TW"/>
              </w:rPr>
              <w:t>計算法</w:t>
            </w:r>
            <w:r w:rsidRPr="0022225D">
              <w:rPr>
                <w:rFonts w:ascii="Calibri" w:eastAsia="細明體" w:hAnsi="Calibri" w:hint="eastAsia"/>
                <w:sz w:val="17"/>
                <w:szCs w:val="22"/>
                <w:lang w:eastAsia="zh-HK"/>
              </w:rPr>
              <w:t>及</w:t>
            </w:r>
            <w:r w:rsidRPr="0022225D">
              <w:rPr>
                <w:rFonts w:ascii="Calibri" w:eastAsia="細明體" w:hAnsi="Calibri" w:hint="eastAsia"/>
                <w:sz w:val="17"/>
                <w:szCs w:val="22"/>
                <w:lang w:eastAsia="zh-TW"/>
              </w:rPr>
              <w:t>／</w:t>
            </w:r>
            <w:r w:rsidRPr="0022225D">
              <w:rPr>
                <w:rFonts w:ascii="Calibri" w:eastAsia="細明體" w:hAnsi="Calibri" w:hint="eastAsia"/>
                <w:sz w:val="17"/>
                <w:szCs w:val="22"/>
                <w:lang w:eastAsia="zh-HK"/>
              </w:rPr>
              <w:t>或零售</w:t>
            </w:r>
            <w:r w:rsidRPr="0022225D">
              <w:rPr>
                <w:rFonts w:ascii="Calibri" w:eastAsia="細明體" w:hAnsi="Calibri" w:hint="eastAsia"/>
                <w:sz w:val="17"/>
                <w:szCs w:val="22"/>
                <w:lang w:eastAsia="zh-TW"/>
              </w:rPr>
              <w:t>IRB</w:t>
            </w:r>
            <w:r w:rsidRPr="0022225D">
              <w:rPr>
                <w:rFonts w:ascii="Calibri" w:eastAsia="細明體" w:hAnsi="Calibri" w:hint="eastAsia"/>
                <w:sz w:val="17"/>
                <w:szCs w:val="22"/>
                <w:lang w:eastAsia="zh-HK"/>
              </w:rPr>
              <w:t>計算法</w:t>
            </w:r>
            <w:r w:rsidRPr="0022225D">
              <w:rPr>
                <w:rFonts w:ascii="Calibri" w:eastAsia="細明體" w:hAnsi="Calibri" w:hint="eastAsia"/>
                <w:sz w:val="17"/>
                <w:szCs w:val="22"/>
                <w:lang w:eastAsia="zh-TW"/>
              </w:rPr>
              <w:t>計算其信用風險的認可機構，</w:t>
            </w:r>
            <w:proofErr w:type="gramStart"/>
            <w:r w:rsidRPr="0022225D">
              <w:rPr>
                <w:rFonts w:ascii="Calibri" w:eastAsia="細明體" w:hAnsi="Calibri" w:hint="eastAsia"/>
                <w:sz w:val="17"/>
                <w:szCs w:val="22"/>
                <w:lang w:eastAsia="zh-TW"/>
              </w:rPr>
              <w:t>均須填報本模</w:t>
            </w:r>
            <w:proofErr w:type="gramEnd"/>
            <w:r w:rsidRPr="0022225D">
              <w:rPr>
                <w:rFonts w:ascii="Calibri" w:eastAsia="細明體" w:hAnsi="Calibri" w:hint="eastAsia"/>
                <w:sz w:val="17"/>
                <w:szCs w:val="22"/>
                <w:lang w:eastAsia="zh-TW"/>
              </w:rPr>
              <w:t>版。認可機構如</w:t>
            </w:r>
            <w:r w:rsidRPr="0022225D">
              <w:rPr>
                <w:rFonts w:ascii="Calibri" w:eastAsia="細明體" w:hAnsi="Calibri" w:hint="eastAsia"/>
                <w:sz w:val="17"/>
                <w:szCs w:val="22"/>
                <w:lang w:eastAsia="zh-HK"/>
              </w:rPr>
              <w:t>混合</w:t>
            </w:r>
            <w:r w:rsidRPr="0022225D">
              <w:rPr>
                <w:rFonts w:ascii="Calibri" w:eastAsia="細明體" w:hAnsi="Calibri" w:hint="eastAsia"/>
                <w:sz w:val="17"/>
                <w:szCs w:val="22"/>
                <w:lang w:eastAsia="zh-TW"/>
              </w:rPr>
              <w:t>使用基礎</w:t>
            </w:r>
            <w:r w:rsidRPr="0022225D">
              <w:rPr>
                <w:rFonts w:ascii="Calibri" w:eastAsia="細明體" w:hAnsi="Calibri"/>
                <w:sz w:val="17"/>
                <w:szCs w:val="22"/>
                <w:lang w:eastAsia="zh-TW"/>
              </w:rPr>
              <w:t>IRB</w:t>
            </w:r>
            <w:r w:rsidRPr="0022225D">
              <w:rPr>
                <w:rFonts w:ascii="Calibri" w:eastAsia="細明體" w:hAnsi="Calibri" w:hint="eastAsia"/>
                <w:sz w:val="17"/>
                <w:szCs w:val="22"/>
                <w:lang w:eastAsia="zh-TW"/>
              </w:rPr>
              <w:t>計算法、</w:t>
            </w:r>
            <w:r w:rsidRPr="003E512E">
              <w:rPr>
                <w:rFonts w:ascii="細明體" w:eastAsia="細明體" w:hAnsi="細明體" w:hint="eastAsia"/>
                <w:sz w:val="17"/>
                <w:szCs w:val="22"/>
                <w:lang w:eastAsia="zh-TW"/>
              </w:rPr>
              <w:t>高級</w:t>
            </w:r>
            <w:r w:rsidRPr="0022225D">
              <w:rPr>
                <w:rFonts w:ascii="Calibri" w:eastAsia="細明體" w:hAnsi="Calibri"/>
                <w:sz w:val="17"/>
                <w:szCs w:val="22"/>
                <w:lang w:eastAsia="zh-TW"/>
              </w:rPr>
              <w:t>IRB</w:t>
            </w:r>
            <w:r w:rsidRPr="0022225D">
              <w:rPr>
                <w:rFonts w:ascii="Calibri" w:eastAsia="細明體" w:hAnsi="Calibri" w:hint="eastAsia"/>
                <w:sz w:val="17"/>
                <w:szCs w:val="22"/>
                <w:lang w:eastAsia="zh-TW"/>
              </w:rPr>
              <w:t>計算法</w:t>
            </w:r>
            <w:r w:rsidRPr="0022225D">
              <w:rPr>
                <w:rFonts w:ascii="Calibri" w:eastAsia="細明體" w:hAnsi="Calibri" w:hint="eastAsia"/>
                <w:sz w:val="17"/>
                <w:szCs w:val="22"/>
                <w:lang w:eastAsia="zh-HK"/>
              </w:rPr>
              <w:t>及</w:t>
            </w:r>
            <w:r w:rsidRPr="0022225D">
              <w:rPr>
                <w:rFonts w:ascii="Calibri" w:eastAsia="細明體" w:hAnsi="Calibri" w:hint="eastAsia"/>
                <w:sz w:val="17"/>
                <w:szCs w:val="22"/>
                <w:lang w:eastAsia="zh-TW"/>
              </w:rPr>
              <w:t>／</w:t>
            </w:r>
            <w:r w:rsidRPr="0022225D">
              <w:rPr>
                <w:rFonts w:ascii="Calibri" w:eastAsia="細明體" w:hAnsi="Calibri" w:hint="eastAsia"/>
                <w:sz w:val="17"/>
                <w:szCs w:val="22"/>
                <w:lang w:eastAsia="zh-HK"/>
              </w:rPr>
              <w:t>或零售</w:t>
            </w:r>
            <w:r w:rsidRPr="0022225D">
              <w:rPr>
                <w:rFonts w:ascii="Calibri" w:eastAsia="細明體" w:hAnsi="Calibri" w:hint="eastAsia"/>
                <w:sz w:val="17"/>
                <w:szCs w:val="22"/>
                <w:lang w:eastAsia="zh-TW"/>
              </w:rPr>
              <w:t>IRB</w:t>
            </w:r>
            <w:r w:rsidRPr="0022225D">
              <w:rPr>
                <w:rFonts w:ascii="Calibri" w:eastAsia="細明體" w:hAnsi="Calibri" w:hint="eastAsia"/>
                <w:sz w:val="17"/>
                <w:szCs w:val="22"/>
                <w:lang w:eastAsia="zh-HK"/>
              </w:rPr>
              <w:t>計算法</w:t>
            </w:r>
            <w:r w:rsidRPr="0022225D">
              <w:rPr>
                <w:rFonts w:ascii="Calibri" w:eastAsia="細明體" w:hAnsi="Calibri" w:hint="eastAsia"/>
                <w:sz w:val="17"/>
                <w:szCs w:val="22"/>
                <w:lang w:eastAsia="zh-TW"/>
              </w:rPr>
              <w:t>，應</w:t>
            </w:r>
            <w:r w:rsidRPr="0022225D">
              <w:rPr>
                <w:rFonts w:ascii="Calibri" w:eastAsia="細明體" w:hAnsi="Calibri" w:hint="eastAsia"/>
                <w:sz w:val="17"/>
                <w:szCs w:val="22"/>
                <w:lang w:eastAsia="zh-HK"/>
              </w:rPr>
              <w:t>就每種計算法</w:t>
            </w:r>
            <w:r w:rsidRPr="0022225D">
              <w:rPr>
                <w:rFonts w:ascii="Calibri" w:eastAsia="細明體" w:hAnsi="Calibri" w:hint="eastAsia"/>
                <w:sz w:val="17"/>
                <w:szCs w:val="22"/>
                <w:lang w:eastAsia="zh-TW"/>
              </w:rPr>
              <w:t>使用不同模版</w:t>
            </w:r>
            <w:r w:rsidR="0036296C">
              <w:rPr>
                <w:rFonts w:ascii="Calibri" w:eastAsia="細明體" w:hAnsi="Calibri" w:hint="eastAsia"/>
                <w:sz w:val="17"/>
                <w:szCs w:val="22"/>
                <w:lang w:eastAsia="zh-HK"/>
              </w:rPr>
              <w:t>披</w:t>
            </w:r>
            <w:r w:rsidR="0036296C">
              <w:rPr>
                <w:rFonts w:ascii="Calibri" w:eastAsia="細明體" w:hAnsi="Calibri" w:hint="eastAsia"/>
                <w:sz w:val="17"/>
                <w:szCs w:val="22"/>
                <w:lang w:eastAsia="zh-TW"/>
              </w:rPr>
              <w:t>露</w:t>
            </w:r>
            <w:r w:rsidRPr="0022225D">
              <w:rPr>
                <w:rFonts w:ascii="Calibri" w:eastAsia="細明體" w:hAnsi="Calibri" w:hint="eastAsia"/>
                <w:sz w:val="17"/>
                <w:szCs w:val="22"/>
                <w:lang w:eastAsia="zh-TW"/>
              </w:rPr>
              <w:t>獨立的組合細目分類。</w:t>
            </w:r>
          </w:p>
          <w:p w14:paraId="04390D43" w14:textId="5D8B088A" w:rsidR="005171C5" w:rsidRPr="005171C5" w:rsidRDefault="0022225D" w:rsidP="0022225D">
            <w:pPr>
              <w:suppressAutoHyphens/>
              <w:spacing w:before="40" w:after="40"/>
              <w:jc w:val="both"/>
              <w:rPr>
                <w:rFonts w:cs="Segoe UI"/>
                <w:lang w:eastAsia="ar-SA"/>
              </w:rPr>
            </w:pPr>
            <w:r w:rsidRPr="0022225D">
              <w:rPr>
                <w:rFonts w:ascii="Calibri" w:eastAsia="細明體" w:hAnsi="Calibri" w:hint="eastAsia"/>
                <w:sz w:val="17"/>
                <w:szCs w:val="22"/>
                <w:lang w:eastAsia="zh-TW"/>
              </w:rPr>
              <w:t>認可機構應就用作對</w:t>
            </w:r>
            <w:r w:rsidRPr="003E512E">
              <w:rPr>
                <w:rFonts w:ascii="Calibri" w:eastAsia="細明體" w:hAnsi="Calibri" w:hint="eastAsia"/>
                <w:sz w:val="17"/>
                <w:szCs w:val="22"/>
                <w:lang w:eastAsia="zh-HK"/>
              </w:rPr>
              <w:t>承擔義務</w:t>
            </w:r>
            <w:r w:rsidRPr="0022225D">
              <w:rPr>
                <w:rFonts w:ascii="Calibri" w:eastAsia="細明體" w:hAnsi="Calibri" w:hint="eastAsia"/>
                <w:sz w:val="17"/>
                <w:szCs w:val="22"/>
                <w:lang w:eastAsia="zh-TW"/>
              </w:rPr>
              <w:t>人進行評級及編配</w:t>
            </w:r>
            <w:r w:rsidRPr="0022225D">
              <w:rPr>
                <w:rFonts w:ascii="Calibri" w:eastAsia="細明體" w:hAnsi="Calibri" w:hint="eastAsia"/>
                <w:sz w:val="17"/>
                <w:szCs w:val="22"/>
                <w:lang w:eastAsia="zh-TW"/>
              </w:rPr>
              <w:t>PD</w:t>
            </w:r>
            <w:r w:rsidRPr="0022225D">
              <w:rPr>
                <w:rFonts w:ascii="Calibri" w:eastAsia="細明體" w:hAnsi="Calibri" w:hint="eastAsia"/>
                <w:sz w:val="17"/>
                <w:szCs w:val="22"/>
                <w:lang w:eastAsia="zh-TW"/>
              </w:rPr>
              <w:t>值的內部模式（或模式的組合）的回溯測試，向使用者提供具參考價值的資料，並須使用不少於</w:t>
            </w:r>
            <w:r w:rsidRPr="0022225D">
              <w:rPr>
                <w:rFonts w:ascii="Calibri" w:eastAsia="細明體" w:hAnsi="Calibri"/>
                <w:sz w:val="17"/>
                <w:szCs w:val="22"/>
                <w:lang w:eastAsia="zh-TW"/>
              </w:rPr>
              <w:t>5</w:t>
            </w:r>
            <w:r w:rsidRPr="0022225D">
              <w:rPr>
                <w:rFonts w:ascii="Calibri" w:eastAsia="細明體" w:hAnsi="Calibri" w:hint="eastAsia"/>
                <w:sz w:val="17"/>
                <w:szCs w:val="22"/>
                <w:lang w:eastAsia="zh-TW"/>
              </w:rPr>
              <w:t>個年度的年度</w:t>
            </w:r>
            <w:proofErr w:type="gramStart"/>
            <w:r w:rsidRPr="0022225D">
              <w:rPr>
                <w:rFonts w:ascii="Calibri" w:eastAsia="細明體" w:hAnsi="Calibri" w:hint="eastAsia"/>
                <w:sz w:val="17"/>
                <w:szCs w:val="22"/>
                <w:lang w:eastAsia="zh-TW"/>
              </w:rPr>
              <w:t>違責率</w:t>
            </w:r>
            <w:proofErr w:type="gramEnd"/>
            <w:r w:rsidRPr="0022225D">
              <w:rPr>
                <w:rFonts w:ascii="Calibri" w:eastAsia="細明體" w:hAnsi="Calibri" w:hint="eastAsia"/>
                <w:sz w:val="17"/>
                <w:szCs w:val="22"/>
                <w:lang w:eastAsia="zh-TW"/>
              </w:rPr>
              <w:t>平均值，以便將</w:t>
            </w:r>
            <w:r w:rsidRPr="0022225D">
              <w:rPr>
                <w:rFonts w:ascii="Calibri" w:eastAsia="細明體" w:hAnsi="Calibri" w:hint="eastAsia"/>
                <w:sz w:val="17"/>
                <w:szCs w:val="22"/>
                <w:lang w:eastAsia="zh-TW"/>
              </w:rPr>
              <w:t>PD</w:t>
            </w:r>
            <w:r w:rsidRPr="0022225D">
              <w:rPr>
                <w:rFonts w:ascii="Calibri" w:eastAsia="細明體" w:hAnsi="Calibri" w:hint="eastAsia"/>
                <w:sz w:val="17"/>
                <w:szCs w:val="22"/>
                <w:lang w:eastAsia="zh-TW"/>
              </w:rPr>
              <w:t>值與一個較為穩定的</w:t>
            </w:r>
            <w:proofErr w:type="gramStart"/>
            <w:r w:rsidRPr="0022225D">
              <w:rPr>
                <w:rFonts w:ascii="Calibri" w:eastAsia="細明體" w:hAnsi="Calibri" w:hint="eastAsia"/>
                <w:sz w:val="17"/>
                <w:szCs w:val="22"/>
                <w:lang w:eastAsia="zh-TW"/>
              </w:rPr>
              <w:t>違責率作</w:t>
            </w:r>
            <w:proofErr w:type="gramEnd"/>
            <w:r w:rsidRPr="0022225D">
              <w:rPr>
                <w:rFonts w:ascii="Calibri" w:eastAsia="細明體" w:hAnsi="Calibri" w:hint="eastAsia"/>
                <w:sz w:val="17"/>
                <w:szCs w:val="22"/>
                <w:lang w:eastAsia="zh-TW"/>
              </w:rPr>
              <w:t>比較。認可機構亦可使用與其實際風險管理常規相符的較長歷史時期。所披露的模版應包括在集團層面（按照監管綜合範圍）所採用的主要模式，並以敘述評</w:t>
            </w:r>
            <w:proofErr w:type="gramStart"/>
            <w:r w:rsidRPr="0022225D">
              <w:rPr>
                <w:rFonts w:ascii="Calibri" w:eastAsia="細明體" w:hAnsi="Calibri" w:hint="eastAsia"/>
                <w:sz w:val="17"/>
                <w:szCs w:val="22"/>
                <w:lang w:eastAsia="zh-TW"/>
              </w:rPr>
              <w:t>註</w:t>
            </w:r>
            <w:proofErr w:type="gramEnd"/>
            <w:r w:rsidRPr="0022225D">
              <w:rPr>
                <w:rFonts w:ascii="Calibri" w:eastAsia="細明體" w:hAnsi="Calibri" w:hint="eastAsia"/>
                <w:sz w:val="17"/>
                <w:szCs w:val="22"/>
                <w:lang w:eastAsia="zh-TW"/>
              </w:rPr>
              <w:t>闡明所述模式的範圍如何斷定。就認可機構每一監管組合而言，該項評</w:t>
            </w:r>
            <w:proofErr w:type="gramStart"/>
            <w:r w:rsidRPr="0022225D">
              <w:rPr>
                <w:rFonts w:ascii="Calibri" w:eastAsia="細明體" w:hAnsi="Calibri" w:hint="eastAsia"/>
                <w:sz w:val="17"/>
                <w:szCs w:val="22"/>
                <w:lang w:eastAsia="zh-TW"/>
              </w:rPr>
              <w:t>註</w:t>
            </w:r>
            <w:proofErr w:type="gramEnd"/>
            <w:r w:rsidRPr="0022225D">
              <w:rPr>
                <w:rFonts w:ascii="Calibri" w:eastAsia="細明體" w:hAnsi="Calibri" w:hint="eastAsia"/>
                <w:sz w:val="17"/>
                <w:szCs w:val="22"/>
                <w:lang w:eastAsia="zh-TW"/>
              </w:rPr>
              <w:t>應包括已</w:t>
            </w:r>
            <w:proofErr w:type="gramStart"/>
            <w:r w:rsidRPr="0022225D">
              <w:rPr>
                <w:rFonts w:ascii="Calibri" w:eastAsia="細明體" w:hAnsi="Calibri" w:hint="eastAsia"/>
                <w:sz w:val="17"/>
                <w:szCs w:val="22"/>
                <w:lang w:eastAsia="zh-TW"/>
              </w:rPr>
              <w:t>於本模版</w:t>
            </w:r>
            <w:proofErr w:type="gramEnd"/>
            <w:r w:rsidRPr="0022225D">
              <w:rPr>
                <w:rFonts w:ascii="Calibri" w:eastAsia="細明體" w:hAnsi="Calibri" w:hint="eastAsia"/>
                <w:sz w:val="17"/>
                <w:szCs w:val="22"/>
                <w:lang w:eastAsia="zh-TW"/>
              </w:rPr>
              <w:t>顯示回溯測試結果的模式所涵蓋的</w:t>
            </w:r>
            <w:r w:rsidRPr="0022225D">
              <w:rPr>
                <w:rFonts w:ascii="Calibri" w:eastAsia="細明體" w:hAnsi="Calibri"/>
                <w:sz w:val="17"/>
                <w:szCs w:val="22"/>
                <w:lang w:eastAsia="zh-TW"/>
              </w:rPr>
              <w:t>風險加權數額</w:t>
            </w:r>
            <w:r w:rsidRPr="0022225D">
              <w:rPr>
                <w:rFonts w:ascii="Calibri" w:eastAsia="細明體" w:hAnsi="Calibri" w:hint="eastAsia"/>
                <w:sz w:val="17"/>
                <w:szCs w:val="22"/>
                <w:lang w:eastAsia="zh-TW"/>
              </w:rPr>
              <w:t>百分率。</w:t>
            </w:r>
          </w:p>
        </w:tc>
      </w:tr>
      <w:tr w:rsidR="005171C5" w:rsidRPr="005171C5" w14:paraId="1CEC11AB" w14:textId="77777777" w:rsidTr="00E93736">
        <w:tc>
          <w:tcPr>
            <w:tcW w:w="2160" w:type="dxa"/>
            <w:tcBorders>
              <w:top w:val="single" w:sz="4" w:space="0" w:color="000000"/>
              <w:bottom w:val="single" w:sz="4" w:space="0" w:color="000000"/>
            </w:tcBorders>
            <w:shd w:val="clear" w:color="auto" w:fill="auto"/>
          </w:tcPr>
          <w:p w14:paraId="72E1589D" w14:textId="77777777" w:rsidR="005171C5" w:rsidRPr="005171C5" w:rsidRDefault="005171C5" w:rsidP="005171C5">
            <w:pPr>
              <w:suppressAutoHyphens/>
              <w:spacing w:before="40" w:after="40"/>
              <w:rPr>
                <w:rFonts w:eastAsia="細明體" w:cs="Segoe UI"/>
                <w:sz w:val="17"/>
                <w:lang w:eastAsia="ar-SA"/>
              </w:rPr>
            </w:pPr>
            <w:r w:rsidRPr="005171C5">
              <w:rPr>
                <w:rFonts w:eastAsia="細明體" w:cs="Segoe UI" w:hint="eastAsia"/>
                <w:b/>
                <w:sz w:val="17"/>
                <w:lang w:eastAsia="ar-SA"/>
              </w:rPr>
              <w:t>內容：</w:t>
            </w:r>
            <w:r w:rsidRPr="005171C5">
              <w:rPr>
                <w:rFonts w:eastAsia="細明體" w:cs="Segoe UI"/>
                <w:b/>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4A11836F" w14:textId="77777777" w:rsidR="005171C5" w:rsidRPr="005171C5" w:rsidRDefault="005171C5" w:rsidP="005171C5">
            <w:pPr>
              <w:suppressAutoHyphens/>
              <w:spacing w:before="40" w:after="40"/>
              <w:jc w:val="both"/>
              <w:rPr>
                <w:rFonts w:cs="Segoe UI"/>
                <w:lang w:eastAsia="ar-SA"/>
              </w:rPr>
            </w:pPr>
            <w:r w:rsidRPr="005171C5">
              <w:rPr>
                <w:rFonts w:eastAsia="細明體" w:cs="Segoe UI" w:hint="eastAsia"/>
                <w:sz w:val="17"/>
                <w:lang w:eastAsia="ar-SA"/>
              </w:rPr>
              <w:t>在</w:t>
            </w:r>
            <w:r w:rsidRPr="005171C5">
              <w:rPr>
                <w:rFonts w:eastAsia="細明體" w:cs="Segoe UI"/>
                <w:sz w:val="17"/>
                <w:lang w:eastAsia="ar-SA"/>
              </w:rPr>
              <w:t>IRB</w:t>
            </w:r>
            <w:r w:rsidRPr="005171C5">
              <w:rPr>
                <w:rFonts w:eastAsia="細明體" w:cs="Segoe UI" w:hint="eastAsia"/>
                <w:sz w:val="17"/>
                <w:lang w:eastAsia="ar-SA"/>
              </w:rPr>
              <w:t>計算法下資本計算所使用的模式參數。</w:t>
            </w:r>
          </w:p>
        </w:tc>
      </w:tr>
      <w:tr w:rsidR="005171C5" w:rsidRPr="005171C5" w14:paraId="576A275D" w14:textId="77777777" w:rsidTr="00E93736">
        <w:tc>
          <w:tcPr>
            <w:tcW w:w="2160" w:type="dxa"/>
            <w:tcBorders>
              <w:top w:val="single" w:sz="4" w:space="0" w:color="000000"/>
              <w:bottom w:val="single" w:sz="4" w:space="0" w:color="000000"/>
            </w:tcBorders>
            <w:shd w:val="clear" w:color="auto" w:fill="auto"/>
          </w:tcPr>
          <w:p w14:paraId="276E8685"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頻密程度：</w:t>
            </w:r>
            <w:r w:rsidRPr="005171C5">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562B5509"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每年一次。如回溯測試的參考期間與周年報告期並不相合，而是與另一段時間間距（例如一段為期</w:t>
            </w:r>
            <w:r w:rsidRPr="005171C5">
              <w:rPr>
                <w:rFonts w:eastAsia="細明體" w:cs="Segoe UI"/>
                <w:sz w:val="17"/>
                <w:lang w:eastAsia="ar-SA"/>
              </w:rPr>
              <w:t>12</w:t>
            </w:r>
            <w:r w:rsidRPr="005171C5">
              <w:rPr>
                <w:rFonts w:eastAsia="細明體" w:cs="Segoe UI" w:hint="eastAsia"/>
                <w:sz w:val="17"/>
                <w:lang w:eastAsia="ar-SA"/>
              </w:rPr>
              <w:t>個月的間距）相合，則在本模版內使用的「年」一詞是指「就某模式進行回溯測試所採用的期間」，以便認可機構仍可披露實際上與其模式表現相應的值。認可機構應披露其用作回溯測試的時間範圍（觀察期）。</w:t>
            </w:r>
          </w:p>
        </w:tc>
      </w:tr>
      <w:tr w:rsidR="005171C5" w:rsidRPr="005171C5" w14:paraId="1DA60443" w14:textId="77777777" w:rsidTr="00E93736">
        <w:tc>
          <w:tcPr>
            <w:tcW w:w="2160" w:type="dxa"/>
            <w:tcBorders>
              <w:top w:val="single" w:sz="4" w:space="0" w:color="000000"/>
              <w:bottom w:val="single" w:sz="4" w:space="0" w:color="000000"/>
            </w:tcBorders>
            <w:shd w:val="clear" w:color="auto" w:fill="auto"/>
          </w:tcPr>
          <w:p w14:paraId="1E75069C"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格式：</w:t>
            </w:r>
            <w:r w:rsidRPr="005171C5">
              <w:rPr>
                <w:rFonts w:eastAsia="細明體" w:cs="Segoe UI"/>
                <w:sz w:val="17"/>
                <w:lang w:eastAsia="ar-SA"/>
              </w:rPr>
              <w:t xml:space="preserve"> </w:t>
            </w:r>
          </w:p>
        </w:tc>
        <w:tc>
          <w:tcPr>
            <w:tcW w:w="7088" w:type="dxa"/>
            <w:tcBorders>
              <w:top w:val="single" w:sz="4" w:space="0" w:color="000000"/>
              <w:left w:val="single" w:sz="4" w:space="0" w:color="000000"/>
              <w:bottom w:val="single" w:sz="4" w:space="0" w:color="000000"/>
            </w:tcBorders>
            <w:shd w:val="clear" w:color="auto" w:fill="auto"/>
          </w:tcPr>
          <w:p w14:paraId="0A8B50C3"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非固定</w:t>
            </w:r>
            <w:r w:rsidRPr="005171C5">
              <w:rPr>
                <w:rFonts w:eastAsia="細明體" w:cs="Segoe UI"/>
                <w:sz w:val="17"/>
                <w:lang w:eastAsia="ar-SA"/>
              </w:rPr>
              <w:t>。</w:t>
            </w:r>
          </w:p>
        </w:tc>
      </w:tr>
      <w:tr w:rsidR="005171C5" w:rsidRPr="005171C5" w14:paraId="37E6A6AD" w14:textId="77777777" w:rsidTr="00E93736">
        <w:tc>
          <w:tcPr>
            <w:tcW w:w="2160" w:type="dxa"/>
            <w:tcBorders>
              <w:top w:val="single" w:sz="4" w:space="0" w:color="000000"/>
              <w:bottom w:val="single" w:sz="4" w:space="0" w:color="000000"/>
            </w:tcBorders>
            <w:shd w:val="clear" w:color="auto" w:fill="auto"/>
          </w:tcPr>
          <w:p w14:paraId="04FE3365" w14:textId="77777777" w:rsidR="005171C5" w:rsidRPr="005171C5" w:rsidRDefault="005171C5" w:rsidP="005171C5">
            <w:pPr>
              <w:suppressAutoHyphens/>
              <w:spacing w:before="40" w:after="40"/>
              <w:rPr>
                <w:rFonts w:eastAsia="細明體" w:cs="Segoe UI"/>
                <w:szCs w:val="17"/>
                <w:lang w:eastAsia="ar-SA"/>
              </w:rPr>
            </w:pPr>
            <w:r w:rsidRPr="005171C5">
              <w:rPr>
                <w:rFonts w:eastAsia="細明體" w:cs="Segoe UI" w:hint="eastAsia"/>
                <w:b/>
                <w:sz w:val="17"/>
                <w:szCs w:val="17"/>
                <w:lang w:eastAsia="ar-SA"/>
              </w:rPr>
              <w:t>附加說明：</w:t>
            </w:r>
          </w:p>
        </w:tc>
        <w:tc>
          <w:tcPr>
            <w:tcW w:w="7088" w:type="dxa"/>
            <w:tcBorders>
              <w:top w:val="single" w:sz="4" w:space="0" w:color="000000"/>
              <w:left w:val="single" w:sz="4" w:space="0" w:color="000000"/>
              <w:bottom w:val="single" w:sz="4" w:space="0" w:color="000000"/>
            </w:tcBorders>
            <w:shd w:val="clear" w:color="auto" w:fill="auto"/>
          </w:tcPr>
          <w:p w14:paraId="27064DE2" w14:textId="02E26DF2" w:rsidR="005171C5" w:rsidRPr="005171C5" w:rsidRDefault="005171C5" w:rsidP="0057392C">
            <w:pPr>
              <w:suppressAutoHyphens/>
              <w:spacing w:before="40" w:after="40"/>
              <w:jc w:val="both"/>
              <w:rPr>
                <w:rFonts w:cs="Segoe UI"/>
                <w:sz w:val="17"/>
                <w:lang w:eastAsia="ar-SA"/>
              </w:rPr>
            </w:pPr>
            <w:r w:rsidRPr="005171C5">
              <w:rPr>
                <w:rFonts w:eastAsia="細明體" w:cs="Segoe UI" w:hint="eastAsia"/>
                <w:sz w:val="17"/>
                <w:szCs w:val="17"/>
                <w:lang w:eastAsia="ar-SA"/>
              </w:rPr>
              <w:t>認可機構應以敘述評註闡明現行報告期內的任何重大</w:t>
            </w:r>
            <w:r w:rsidR="0057392C" w:rsidRPr="0057392C">
              <w:rPr>
                <w:rFonts w:eastAsia="細明體" w:cs="Segoe UI" w:hint="eastAsia"/>
                <w:sz w:val="17"/>
                <w:szCs w:val="17"/>
                <w:lang w:eastAsia="ar-SA"/>
              </w:rPr>
              <w:t>改</w:t>
            </w:r>
            <w:r w:rsidRPr="005171C5">
              <w:rPr>
                <w:rFonts w:eastAsia="細明體" w:cs="Segoe UI" w:hint="eastAsia"/>
                <w:sz w:val="17"/>
                <w:szCs w:val="17"/>
                <w:lang w:eastAsia="ar-SA"/>
              </w:rPr>
              <w:t>變及引致該等</w:t>
            </w:r>
            <w:r w:rsidR="0057392C" w:rsidRPr="0057392C">
              <w:rPr>
                <w:rFonts w:eastAsia="細明體" w:cs="Segoe UI" w:hint="eastAsia"/>
                <w:sz w:val="17"/>
                <w:szCs w:val="17"/>
                <w:lang w:eastAsia="ar-SA"/>
              </w:rPr>
              <w:t>改</w:t>
            </w:r>
            <w:r w:rsidRPr="005171C5">
              <w:rPr>
                <w:rFonts w:eastAsia="細明體" w:cs="Segoe UI" w:hint="eastAsia"/>
                <w:sz w:val="17"/>
                <w:szCs w:val="17"/>
                <w:lang w:eastAsia="ar-SA"/>
              </w:rPr>
              <w:t>變的主要驅動因素，以補充本模版</w:t>
            </w:r>
            <w:r w:rsidRPr="005171C5">
              <w:rPr>
                <w:rFonts w:eastAsia="細明體" w:cs="Segoe UI" w:hint="eastAsia"/>
                <w:sz w:val="17"/>
                <w:lang w:eastAsia="ar-SA"/>
              </w:rPr>
              <w:t>。認可機構可考慮披露於年內其違責風險承擔已被糾正的風險承擔數額及承擔義務人數目，以補充本模版。</w:t>
            </w:r>
          </w:p>
        </w:tc>
      </w:tr>
      <w:tr w:rsidR="005171C5" w:rsidRPr="005171C5" w14:paraId="06B70C88" w14:textId="77777777" w:rsidTr="00E93736">
        <w:tc>
          <w:tcPr>
            <w:tcW w:w="2160" w:type="dxa"/>
            <w:tcBorders>
              <w:top w:val="single" w:sz="4" w:space="0" w:color="000000"/>
              <w:bottom w:val="single" w:sz="4" w:space="0" w:color="000000"/>
            </w:tcBorders>
            <w:shd w:val="clear" w:color="auto" w:fill="auto"/>
          </w:tcPr>
          <w:p w14:paraId="269510F1"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szCs w:val="17"/>
                <w:lang w:eastAsia="ar-SA"/>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3FB7BC13"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sz w:val="17"/>
                <w:lang w:eastAsia="ar-SA"/>
              </w:rPr>
              <w:t>16T</w:t>
            </w:r>
          </w:p>
        </w:tc>
      </w:tr>
    </w:tbl>
    <w:p w14:paraId="376878E6" w14:textId="77777777" w:rsidR="005171C5" w:rsidRPr="005171C5" w:rsidRDefault="005171C5" w:rsidP="005171C5">
      <w:pPr>
        <w:suppressAutoHyphens/>
        <w:spacing w:before="120" w:after="120"/>
        <w:rPr>
          <w:rFonts w:eastAsia="細明體" w:cs="Segoe UI"/>
          <w:sz w:val="22"/>
          <w:lang w:eastAsia="ar-SA"/>
        </w:rPr>
      </w:pPr>
    </w:p>
    <w:tbl>
      <w:tblPr>
        <w:tblW w:w="0" w:type="auto"/>
        <w:tblInd w:w="-459" w:type="dxa"/>
        <w:tblLayout w:type="fixed"/>
        <w:tblLook w:val="0000" w:firstRow="0" w:lastRow="0" w:firstColumn="0" w:lastColumn="0" w:noHBand="0" w:noVBand="0"/>
      </w:tblPr>
      <w:tblGrid>
        <w:gridCol w:w="851"/>
        <w:gridCol w:w="850"/>
        <w:gridCol w:w="851"/>
        <w:gridCol w:w="850"/>
        <w:gridCol w:w="1134"/>
        <w:gridCol w:w="851"/>
        <w:gridCol w:w="850"/>
        <w:gridCol w:w="993"/>
        <w:gridCol w:w="992"/>
        <w:gridCol w:w="1020"/>
      </w:tblGrid>
      <w:tr w:rsidR="005171C5" w:rsidRPr="005171C5" w14:paraId="30465131" w14:textId="77777777" w:rsidTr="005171C5">
        <w:trPr>
          <w:trHeight w:val="223"/>
          <w:tblHeader/>
        </w:trPr>
        <w:tc>
          <w:tcPr>
            <w:tcW w:w="851" w:type="dxa"/>
            <w:tcBorders>
              <w:top w:val="single" w:sz="4" w:space="0" w:color="000000"/>
              <w:bottom w:val="single" w:sz="4" w:space="0" w:color="000000"/>
            </w:tcBorders>
            <w:shd w:val="clear" w:color="auto" w:fill="auto"/>
            <w:vAlign w:val="center"/>
          </w:tcPr>
          <w:p w14:paraId="3DF2F1F0" w14:textId="77777777" w:rsidR="005171C5" w:rsidRPr="005171C5" w:rsidRDefault="005171C5" w:rsidP="005171C5">
            <w:pPr>
              <w:tabs>
                <w:tab w:val="right" w:leader="dot" w:pos="9242"/>
              </w:tabs>
              <w:suppressAutoHyphens/>
              <w:snapToGrid w:val="0"/>
              <w:ind w:hanging="131"/>
              <w:jc w:val="center"/>
              <w:rPr>
                <w:rFonts w:eastAsia="細明體" w:cs="Segoe UI"/>
                <w:spacing w:val="-14"/>
                <w:sz w:val="17"/>
                <w:lang w:eastAsia="ar-SA"/>
              </w:rPr>
            </w:pPr>
            <w:r w:rsidRPr="005171C5">
              <w:rPr>
                <w:rFonts w:eastAsia="細明體" w:cs="Segoe UI"/>
                <w:spacing w:val="-14"/>
                <w:sz w:val="17"/>
                <w:lang w:eastAsia="ar-SA"/>
              </w:rPr>
              <w:t>(a)</w:t>
            </w:r>
          </w:p>
        </w:tc>
        <w:tc>
          <w:tcPr>
            <w:tcW w:w="850" w:type="dxa"/>
            <w:tcBorders>
              <w:top w:val="single" w:sz="4" w:space="0" w:color="000000"/>
              <w:left w:val="single" w:sz="4" w:space="0" w:color="000000"/>
              <w:bottom w:val="single" w:sz="4" w:space="0" w:color="000000"/>
            </w:tcBorders>
            <w:shd w:val="clear" w:color="auto" w:fill="auto"/>
            <w:vAlign w:val="center"/>
          </w:tcPr>
          <w:p w14:paraId="2C384A9F" w14:textId="77777777" w:rsidR="005171C5" w:rsidRPr="005171C5" w:rsidRDefault="005171C5" w:rsidP="005171C5">
            <w:pPr>
              <w:suppressAutoHyphens/>
              <w:snapToGrid w:val="0"/>
              <w:jc w:val="center"/>
              <w:rPr>
                <w:rFonts w:eastAsia="細明體" w:cs="Segoe UI"/>
                <w:spacing w:val="-14"/>
                <w:sz w:val="17"/>
                <w:lang w:eastAsia="ar-SA"/>
              </w:rPr>
            </w:pPr>
            <w:r w:rsidRPr="005171C5">
              <w:rPr>
                <w:rFonts w:eastAsia="細明體" w:cs="Segoe UI"/>
                <w:spacing w:val="-14"/>
                <w:sz w:val="17"/>
                <w:lang w:eastAsia="ar-SA"/>
              </w:rPr>
              <w:t>(b)</w:t>
            </w:r>
          </w:p>
        </w:tc>
        <w:tc>
          <w:tcPr>
            <w:tcW w:w="851" w:type="dxa"/>
            <w:tcBorders>
              <w:top w:val="single" w:sz="4" w:space="0" w:color="000000"/>
              <w:left w:val="single" w:sz="4" w:space="0" w:color="000000"/>
              <w:bottom w:val="single" w:sz="4" w:space="0" w:color="000000"/>
            </w:tcBorders>
            <w:shd w:val="clear" w:color="auto" w:fill="auto"/>
            <w:vAlign w:val="center"/>
          </w:tcPr>
          <w:p w14:paraId="069385B7" w14:textId="77777777" w:rsidR="005171C5" w:rsidRPr="005171C5" w:rsidRDefault="005171C5" w:rsidP="005171C5">
            <w:pPr>
              <w:suppressAutoHyphens/>
              <w:snapToGrid w:val="0"/>
              <w:jc w:val="center"/>
              <w:rPr>
                <w:rFonts w:eastAsia="細明體" w:cs="Segoe UI"/>
                <w:spacing w:val="-14"/>
                <w:sz w:val="17"/>
                <w:lang w:eastAsia="ar-SA"/>
              </w:rPr>
            </w:pPr>
            <w:r w:rsidRPr="005171C5">
              <w:rPr>
                <w:rFonts w:eastAsia="細明體" w:cs="Segoe UI"/>
                <w:spacing w:val="-14"/>
                <w:sz w:val="17"/>
                <w:lang w:eastAsia="ar-SA"/>
              </w:rPr>
              <w:t>(c)</w:t>
            </w:r>
          </w:p>
        </w:tc>
        <w:tc>
          <w:tcPr>
            <w:tcW w:w="850" w:type="dxa"/>
            <w:tcBorders>
              <w:top w:val="single" w:sz="4" w:space="0" w:color="000000"/>
              <w:left w:val="single" w:sz="4" w:space="0" w:color="000000"/>
              <w:bottom w:val="single" w:sz="4" w:space="0" w:color="000000"/>
            </w:tcBorders>
            <w:shd w:val="clear" w:color="auto" w:fill="auto"/>
            <w:vAlign w:val="center"/>
          </w:tcPr>
          <w:p w14:paraId="647D69B0" w14:textId="77777777" w:rsidR="005171C5" w:rsidRPr="005171C5" w:rsidRDefault="005171C5" w:rsidP="005171C5">
            <w:pPr>
              <w:suppressAutoHyphens/>
              <w:snapToGrid w:val="0"/>
              <w:jc w:val="center"/>
              <w:rPr>
                <w:rFonts w:eastAsia="細明體" w:cs="Segoe UI"/>
                <w:spacing w:val="-14"/>
                <w:sz w:val="17"/>
                <w:lang w:eastAsia="ar-SA"/>
              </w:rPr>
            </w:pPr>
            <w:r w:rsidRPr="005171C5">
              <w:rPr>
                <w:rFonts w:eastAsia="細明體" w:cs="Segoe UI"/>
                <w:spacing w:val="-14"/>
                <w:sz w:val="17"/>
                <w:lang w:eastAsia="ar-SA"/>
              </w:rPr>
              <w:t>(d)</w:t>
            </w:r>
          </w:p>
        </w:tc>
        <w:tc>
          <w:tcPr>
            <w:tcW w:w="1134" w:type="dxa"/>
            <w:tcBorders>
              <w:top w:val="single" w:sz="4" w:space="0" w:color="000000"/>
              <w:left w:val="single" w:sz="4" w:space="0" w:color="000000"/>
              <w:bottom w:val="single" w:sz="4" w:space="0" w:color="000000"/>
            </w:tcBorders>
            <w:shd w:val="clear" w:color="auto" w:fill="auto"/>
            <w:vAlign w:val="center"/>
          </w:tcPr>
          <w:p w14:paraId="3A4C6539" w14:textId="77777777" w:rsidR="005171C5" w:rsidRPr="005171C5" w:rsidRDefault="005171C5" w:rsidP="005171C5">
            <w:pPr>
              <w:suppressAutoHyphens/>
              <w:snapToGrid w:val="0"/>
              <w:jc w:val="center"/>
              <w:rPr>
                <w:rFonts w:eastAsia="細明體" w:cs="Segoe UI"/>
                <w:spacing w:val="-14"/>
                <w:sz w:val="17"/>
                <w:lang w:eastAsia="ar-SA"/>
              </w:rPr>
            </w:pPr>
            <w:r w:rsidRPr="005171C5">
              <w:rPr>
                <w:rFonts w:eastAsia="細明體" w:cs="Segoe UI"/>
                <w:spacing w:val="-14"/>
                <w:sz w:val="17"/>
                <w:lang w:eastAsia="ar-SA"/>
              </w:rPr>
              <w:t>(e)</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1FD3FED8" w14:textId="77777777" w:rsidR="005171C5" w:rsidRPr="005171C5" w:rsidRDefault="005171C5" w:rsidP="005171C5">
            <w:pPr>
              <w:suppressAutoHyphens/>
              <w:snapToGrid w:val="0"/>
              <w:jc w:val="center"/>
              <w:rPr>
                <w:rFonts w:eastAsia="細明體" w:cs="Segoe UI"/>
                <w:spacing w:val="-14"/>
                <w:sz w:val="17"/>
                <w:lang w:eastAsia="ar-SA"/>
              </w:rPr>
            </w:pPr>
            <w:r w:rsidRPr="005171C5">
              <w:rPr>
                <w:rFonts w:eastAsia="細明體" w:cs="Segoe UI"/>
                <w:spacing w:val="-14"/>
                <w:sz w:val="17"/>
                <w:lang w:eastAsia="ar-SA"/>
              </w:rPr>
              <w:t>(f)</w:t>
            </w:r>
          </w:p>
        </w:tc>
        <w:tc>
          <w:tcPr>
            <w:tcW w:w="993" w:type="dxa"/>
            <w:tcBorders>
              <w:top w:val="single" w:sz="4" w:space="0" w:color="000000"/>
              <w:left w:val="single" w:sz="4" w:space="0" w:color="000000"/>
              <w:bottom w:val="single" w:sz="4" w:space="0" w:color="000000"/>
            </w:tcBorders>
            <w:shd w:val="clear" w:color="auto" w:fill="auto"/>
            <w:vAlign w:val="center"/>
          </w:tcPr>
          <w:p w14:paraId="22E474B8" w14:textId="77777777" w:rsidR="005171C5" w:rsidRPr="005171C5" w:rsidRDefault="005171C5" w:rsidP="005171C5">
            <w:pPr>
              <w:suppressAutoHyphens/>
              <w:snapToGrid w:val="0"/>
              <w:jc w:val="center"/>
              <w:rPr>
                <w:rFonts w:eastAsia="細明體" w:cs="Segoe UI"/>
                <w:spacing w:val="-14"/>
                <w:sz w:val="17"/>
                <w:lang w:eastAsia="ar-SA"/>
              </w:rPr>
            </w:pPr>
            <w:r w:rsidRPr="005171C5">
              <w:rPr>
                <w:rFonts w:eastAsia="細明體" w:cs="Segoe UI"/>
                <w:spacing w:val="-14"/>
                <w:sz w:val="17"/>
                <w:lang w:eastAsia="ar-SA"/>
              </w:rPr>
              <w:t>(g)</w:t>
            </w:r>
          </w:p>
        </w:tc>
        <w:tc>
          <w:tcPr>
            <w:tcW w:w="992" w:type="dxa"/>
            <w:tcBorders>
              <w:top w:val="single" w:sz="4" w:space="0" w:color="000000"/>
              <w:left w:val="single" w:sz="4" w:space="0" w:color="000000"/>
              <w:bottom w:val="single" w:sz="4" w:space="0" w:color="000000"/>
            </w:tcBorders>
            <w:shd w:val="clear" w:color="auto" w:fill="auto"/>
            <w:vAlign w:val="center"/>
          </w:tcPr>
          <w:p w14:paraId="315E7EED" w14:textId="77777777" w:rsidR="005171C5" w:rsidRPr="005171C5" w:rsidRDefault="005171C5" w:rsidP="005171C5">
            <w:pPr>
              <w:suppressAutoHyphens/>
              <w:snapToGrid w:val="0"/>
              <w:jc w:val="center"/>
              <w:rPr>
                <w:rFonts w:eastAsia="細明體" w:cs="Segoe UI"/>
                <w:spacing w:val="-14"/>
                <w:sz w:val="17"/>
                <w:lang w:eastAsia="ar-SA"/>
              </w:rPr>
            </w:pPr>
            <w:r w:rsidRPr="005171C5">
              <w:rPr>
                <w:rFonts w:eastAsia="細明體" w:cs="Segoe UI"/>
                <w:spacing w:val="-14"/>
                <w:sz w:val="17"/>
                <w:lang w:eastAsia="ar-SA"/>
              </w:rPr>
              <w:t>(h)</w:t>
            </w:r>
          </w:p>
        </w:tc>
        <w:tc>
          <w:tcPr>
            <w:tcW w:w="1020" w:type="dxa"/>
            <w:tcBorders>
              <w:top w:val="single" w:sz="4" w:space="0" w:color="000000"/>
              <w:left w:val="single" w:sz="4" w:space="0" w:color="000000"/>
              <w:bottom w:val="single" w:sz="4" w:space="0" w:color="000000"/>
            </w:tcBorders>
            <w:shd w:val="clear" w:color="auto" w:fill="auto"/>
            <w:vAlign w:val="center"/>
          </w:tcPr>
          <w:p w14:paraId="113819E6" w14:textId="77777777" w:rsidR="005171C5" w:rsidRPr="005171C5" w:rsidRDefault="005171C5" w:rsidP="005171C5">
            <w:pPr>
              <w:suppressAutoHyphens/>
              <w:snapToGrid w:val="0"/>
              <w:jc w:val="center"/>
              <w:rPr>
                <w:rFonts w:cs="Segoe UI"/>
                <w:sz w:val="17"/>
                <w:lang w:eastAsia="ar-SA"/>
              </w:rPr>
            </w:pPr>
            <w:r w:rsidRPr="005171C5">
              <w:rPr>
                <w:rFonts w:eastAsia="細明體" w:cs="Segoe UI"/>
                <w:spacing w:val="-14"/>
                <w:sz w:val="17"/>
                <w:lang w:eastAsia="ar-SA"/>
              </w:rPr>
              <w:t>(</w:t>
            </w:r>
            <w:proofErr w:type="spellStart"/>
            <w:r w:rsidRPr="005171C5">
              <w:rPr>
                <w:rFonts w:eastAsia="細明體" w:cs="Segoe UI"/>
                <w:spacing w:val="-14"/>
                <w:sz w:val="17"/>
                <w:lang w:eastAsia="ar-SA"/>
              </w:rPr>
              <w:t>i</w:t>
            </w:r>
            <w:proofErr w:type="spellEnd"/>
            <w:r w:rsidRPr="005171C5">
              <w:rPr>
                <w:rFonts w:eastAsia="細明體" w:cs="Segoe UI"/>
                <w:spacing w:val="-14"/>
                <w:sz w:val="17"/>
                <w:lang w:eastAsia="ar-SA"/>
              </w:rPr>
              <w:t>)</w:t>
            </w:r>
          </w:p>
        </w:tc>
      </w:tr>
      <w:tr w:rsidR="005171C5" w:rsidRPr="0036296C" w14:paraId="1F25EB75" w14:textId="77777777" w:rsidTr="005171C5">
        <w:trPr>
          <w:trHeight w:val="253"/>
          <w:tblHeader/>
        </w:trPr>
        <w:tc>
          <w:tcPr>
            <w:tcW w:w="851" w:type="dxa"/>
            <w:vMerge w:val="restart"/>
            <w:tcBorders>
              <w:top w:val="single" w:sz="4" w:space="0" w:color="000000"/>
              <w:bottom w:val="single" w:sz="4" w:space="0" w:color="000000"/>
            </w:tcBorders>
            <w:shd w:val="clear" w:color="auto" w:fill="auto"/>
            <w:vAlign w:val="center"/>
          </w:tcPr>
          <w:p w14:paraId="14A586F7" w14:textId="77777777" w:rsidR="005171C5" w:rsidRPr="0036296C" w:rsidRDefault="005171C5" w:rsidP="0036296C">
            <w:pPr>
              <w:tabs>
                <w:tab w:val="right" w:leader="dot" w:pos="9242"/>
              </w:tabs>
              <w:suppressAutoHyphens/>
              <w:snapToGrid w:val="0"/>
              <w:ind w:hanging="131"/>
              <w:jc w:val="center"/>
              <w:rPr>
                <w:rFonts w:eastAsia="細明體" w:cs="Segoe UI"/>
                <w:spacing w:val="-14"/>
                <w:sz w:val="16"/>
                <w:szCs w:val="16"/>
                <w:lang w:eastAsia="ar-SA"/>
              </w:rPr>
            </w:pPr>
            <w:r w:rsidRPr="0036296C">
              <w:rPr>
                <w:rFonts w:eastAsia="細明體" w:cs="Segoe UI" w:hint="eastAsia"/>
                <w:sz w:val="17"/>
                <w:lang w:eastAsia="ar-SA"/>
              </w:rPr>
              <w:t>組合</w:t>
            </w:r>
            <w:r w:rsidRPr="0036296C">
              <w:rPr>
                <w:rFonts w:eastAsia="細明體" w:cs="Segoe UI"/>
                <w:spacing w:val="-14"/>
                <w:sz w:val="16"/>
                <w:szCs w:val="16"/>
                <w:lang w:eastAsia="ar-SA"/>
              </w:rPr>
              <w:t>X</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2D37741E" w14:textId="77777777" w:rsidR="005171C5" w:rsidRPr="0036296C" w:rsidRDefault="005171C5" w:rsidP="005171C5">
            <w:pPr>
              <w:suppressAutoHyphens/>
              <w:snapToGrid w:val="0"/>
              <w:jc w:val="center"/>
              <w:rPr>
                <w:rFonts w:eastAsia="細明體" w:cs="Segoe UI"/>
                <w:spacing w:val="-14"/>
                <w:sz w:val="16"/>
                <w:szCs w:val="16"/>
                <w:lang w:eastAsia="ar-SA"/>
              </w:rPr>
            </w:pPr>
            <w:r w:rsidRPr="0036296C">
              <w:rPr>
                <w:rFonts w:eastAsia="細明體" w:cs="Segoe UI"/>
                <w:spacing w:val="-14"/>
                <w:sz w:val="16"/>
                <w:szCs w:val="16"/>
                <w:lang w:eastAsia="ar-SA"/>
              </w:rPr>
              <w:t xml:space="preserve">PD </w:t>
            </w:r>
            <w:r w:rsidRPr="0036296C">
              <w:rPr>
                <w:rFonts w:eastAsia="細明體" w:cs="Segoe UI" w:hint="eastAsia"/>
                <w:sz w:val="17"/>
                <w:lang w:eastAsia="ar-SA"/>
              </w:rPr>
              <w:t>範圍</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436E7A31" w14:textId="77777777" w:rsidR="005171C5" w:rsidRPr="0036296C" w:rsidRDefault="005171C5" w:rsidP="005171C5">
            <w:pPr>
              <w:suppressAutoHyphens/>
              <w:snapToGrid w:val="0"/>
              <w:jc w:val="center"/>
              <w:rPr>
                <w:rFonts w:eastAsia="細明體" w:cs="Segoe UI"/>
                <w:spacing w:val="-14"/>
                <w:sz w:val="16"/>
                <w:szCs w:val="16"/>
                <w:lang w:eastAsia="ar-SA"/>
              </w:rPr>
            </w:pPr>
            <w:r w:rsidRPr="0036296C">
              <w:rPr>
                <w:rFonts w:eastAsia="細明體" w:cs="Segoe UI" w:hint="eastAsia"/>
                <w:sz w:val="17"/>
                <w:lang w:eastAsia="ar-SA"/>
              </w:rPr>
              <w:t>外部評級等值</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005274BC" w14:textId="77777777" w:rsidR="005171C5" w:rsidRPr="0036296C" w:rsidRDefault="005171C5" w:rsidP="005171C5">
            <w:pPr>
              <w:suppressAutoHyphens/>
              <w:snapToGrid w:val="0"/>
              <w:jc w:val="center"/>
              <w:rPr>
                <w:rFonts w:eastAsia="細明體" w:cs="Segoe UI"/>
                <w:sz w:val="17"/>
                <w:lang w:eastAsia="ar-SA"/>
              </w:rPr>
            </w:pPr>
            <w:r w:rsidRPr="0036296C">
              <w:rPr>
                <w:rFonts w:eastAsia="細明體" w:cs="Segoe UI" w:hint="eastAsia"/>
                <w:sz w:val="17"/>
                <w:lang w:eastAsia="ar-SA"/>
              </w:rPr>
              <w:t>加權平均</w:t>
            </w:r>
            <w:r w:rsidRPr="0036296C">
              <w:rPr>
                <w:rFonts w:eastAsia="細明體" w:cs="Segoe UI"/>
                <w:sz w:val="17"/>
                <w:lang w:eastAsia="ar-SA"/>
              </w:rPr>
              <w:t xml:space="preserve"> PD</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654F5FC" w14:textId="77777777" w:rsidR="005171C5" w:rsidRPr="0036296C" w:rsidRDefault="005171C5" w:rsidP="005171C5">
            <w:pPr>
              <w:suppressAutoHyphens/>
              <w:snapToGrid w:val="0"/>
              <w:jc w:val="center"/>
              <w:rPr>
                <w:rFonts w:eastAsia="細明體" w:cs="Segoe UI"/>
                <w:sz w:val="17"/>
                <w:lang w:eastAsia="ar-SA"/>
              </w:rPr>
            </w:pPr>
            <w:r w:rsidRPr="0036296C">
              <w:rPr>
                <w:rFonts w:eastAsia="細明體" w:cs="Segoe UI" w:hint="eastAsia"/>
                <w:sz w:val="17"/>
                <w:lang w:eastAsia="ar-SA"/>
              </w:rPr>
              <w:t>按承擔義務人算術的平均</w:t>
            </w:r>
            <w:r w:rsidRPr="0036296C">
              <w:rPr>
                <w:rFonts w:eastAsia="細明體" w:cs="Segoe UI"/>
                <w:sz w:val="17"/>
                <w:lang w:eastAsia="ar-SA"/>
              </w:rPr>
              <w:t xml:space="preserve">PD </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46DAC66" w14:textId="77777777" w:rsidR="005171C5" w:rsidRPr="0036296C" w:rsidRDefault="005171C5" w:rsidP="005171C5">
            <w:pPr>
              <w:suppressAutoHyphens/>
              <w:snapToGrid w:val="0"/>
              <w:jc w:val="center"/>
              <w:rPr>
                <w:rFonts w:eastAsia="細明體" w:cs="Segoe UI"/>
                <w:spacing w:val="-14"/>
                <w:sz w:val="16"/>
                <w:szCs w:val="16"/>
                <w:lang w:eastAsia="ar-SA"/>
              </w:rPr>
            </w:pPr>
            <w:r w:rsidRPr="0036296C">
              <w:rPr>
                <w:rFonts w:eastAsia="細明體" w:cs="Segoe UI" w:hint="eastAsia"/>
                <w:sz w:val="17"/>
                <w:lang w:eastAsia="ar-SA"/>
              </w:rPr>
              <w:t>承擔義務人數目</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E7BA3D6" w14:textId="77777777" w:rsidR="005171C5" w:rsidRPr="0036296C" w:rsidRDefault="005171C5" w:rsidP="005171C5">
            <w:pPr>
              <w:suppressAutoHyphens/>
              <w:snapToGrid w:val="0"/>
              <w:jc w:val="center"/>
              <w:rPr>
                <w:rFonts w:eastAsia="細明體" w:cs="Segoe UI"/>
                <w:spacing w:val="-14"/>
                <w:sz w:val="16"/>
                <w:szCs w:val="16"/>
                <w:lang w:eastAsia="ar-SA"/>
              </w:rPr>
            </w:pPr>
            <w:r w:rsidRPr="0036296C">
              <w:rPr>
                <w:rFonts w:eastAsia="細明體" w:cs="Segoe UI" w:hint="eastAsia"/>
                <w:sz w:val="17"/>
                <w:lang w:eastAsia="ar-SA"/>
              </w:rPr>
              <w:t>年內違責承擔義務人</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18494055" w14:textId="77777777" w:rsidR="005171C5" w:rsidRPr="0036296C" w:rsidRDefault="005171C5" w:rsidP="005171C5">
            <w:pPr>
              <w:suppressAutoHyphens/>
              <w:snapToGrid w:val="0"/>
              <w:jc w:val="center"/>
              <w:rPr>
                <w:rFonts w:eastAsia="細明體" w:cs="Segoe UI"/>
                <w:spacing w:val="-14"/>
                <w:sz w:val="16"/>
                <w:szCs w:val="16"/>
                <w:lang w:eastAsia="ar-SA"/>
              </w:rPr>
            </w:pPr>
            <w:r w:rsidRPr="0036296C">
              <w:rPr>
                <w:rFonts w:eastAsia="細明體" w:cs="Segoe UI" w:hint="eastAsia"/>
                <w:sz w:val="17"/>
                <w:lang w:eastAsia="ar-SA"/>
              </w:rPr>
              <w:t>其中：年內新增的違責承擔義務人</w:t>
            </w:r>
          </w:p>
        </w:tc>
        <w:tc>
          <w:tcPr>
            <w:tcW w:w="1020" w:type="dxa"/>
            <w:vMerge w:val="restart"/>
            <w:tcBorders>
              <w:top w:val="single" w:sz="4" w:space="0" w:color="000000"/>
              <w:left w:val="single" w:sz="4" w:space="0" w:color="000000"/>
              <w:bottom w:val="single" w:sz="4" w:space="0" w:color="000000"/>
            </w:tcBorders>
            <w:shd w:val="clear" w:color="auto" w:fill="auto"/>
            <w:vAlign w:val="center"/>
          </w:tcPr>
          <w:p w14:paraId="4D35AC75" w14:textId="77777777" w:rsidR="005171C5" w:rsidRPr="0036296C" w:rsidRDefault="005171C5" w:rsidP="005171C5">
            <w:pPr>
              <w:suppressAutoHyphens/>
              <w:snapToGrid w:val="0"/>
              <w:jc w:val="center"/>
              <w:rPr>
                <w:rFonts w:cs="Segoe UI"/>
                <w:sz w:val="16"/>
                <w:szCs w:val="16"/>
                <w:lang w:eastAsia="ar-SA"/>
              </w:rPr>
            </w:pPr>
            <w:r w:rsidRPr="0036296C">
              <w:rPr>
                <w:rFonts w:eastAsia="細明體" w:cs="Segoe UI" w:hint="eastAsia"/>
                <w:sz w:val="17"/>
                <w:lang w:eastAsia="ar-SA"/>
              </w:rPr>
              <w:t>平均歷史年度違責率</w:t>
            </w:r>
            <w:r w:rsidRPr="0036296C">
              <w:rPr>
                <w:rFonts w:eastAsia="細明體" w:cs="Segoe UI"/>
                <w:sz w:val="17"/>
                <w:lang w:eastAsia="ar-SA"/>
              </w:rPr>
              <w:t xml:space="preserve"> </w:t>
            </w:r>
          </w:p>
        </w:tc>
      </w:tr>
      <w:tr w:rsidR="005171C5" w:rsidRPr="005171C5" w14:paraId="16355498" w14:textId="77777777" w:rsidTr="005171C5">
        <w:trPr>
          <w:trHeight w:val="129"/>
          <w:tblHeader/>
        </w:trPr>
        <w:tc>
          <w:tcPr>
            <w:tcW w:w="851" w:type="dxa"/>
            <w:vMerge/>
            <w:tcBorders>
              <w:top w:val="single" w:sz="4" w:space="0" w:color="000000"/>
              <w:bottom w:val="single" w:sz="4" w:space="0" w:color="000000"/>
            </w:tcBorders>
            <w:shd w:val="clear" w:color="auto" w:fill="auto"/>
          </w:tcPr>
          <w:p w14:paraId="0CC6B103" w14:textId="77777777" w:rsidR="005171C5" w:rsidRPr="005171C5" w:rsidRDefault="005171C5" w:rsidP="005171C5">
            <w:pPr>
              <w:suppressAutoHyphens/>
              <w:snapToGrid w:val="0"/>
              <w:spacing w:before="40" w:after="40"/>
              <w:rPr>
                <w:rFonts w:eastAsia="細明體" w:cs="Segoe UI"/>
                <w:spacing w:val="-14"/>
                <w:sz w:val="17"/>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3D817AD6" w14:textId="77777777" w:rsidR="005171C5" w:rsidRPr="005171C5" w:rsidRDefault="005171C5" w:rsidP="005171C5">
            <w:pPr>
              <w:suppressAutoHyphens/>
              <w:snapToGrid w:val="0"/>
              <w:spacing w:before="40" w:after="40"/>
              <w:rPr>
                <w:rFonts w:eastAsia="細明體" w:cs="Segoe UI"/>
                <w:spacing w:val="-14"/>
                <w:sz w:val="17"/>
                <w:lang w:eastAsia="ar-SA"/>
              </w:rPr>
            </w:pPr>
          </w:p>
        </w:tc>
        <w:tc>
          <w:tcPr>
            <w:tcW w:w="851" w:type="dxa"/>
            <w:vMerge/>
            <w:tcBorders>
              <w:top w:val="single" w:sz="4" w:space="0" w:color="000000"/>
              <w:left w:val="single" w:sz="4" w:space="0" w:color="000000"/>
              <w:bottom w:val="single" w:sz="4" w:space="0" w:color="000000"/>
            </w:tcBorders>
            <w:shd w:val="clear" w:color="auto" w:fill="auto"/>
          </w:tcPr>
          <w:p w14:paraId="2B5226CE" w14:textId="77777777" w:rsidR="005171C5" w:rsidRPr="005171C5" w:rsidRDefault="005171C5" w:rsidP="005171C5">
            <w:pPr>
              <w:suppressAutoHyphens/>
              <w:snapToGrid w:val="0"/>
              <w:spacing w:before="40" w:after="40"/>
              <w:rPr>
                <w:rFonts w:eastAsia="細明體" w:cs="Segoe UI"/>
                <w:spacing w:val="-14"/>
                <w:sz w:val="17"/>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09A7761F" w14:textId="77777777" w:rsidR="005171C5" w:rsidRPr="005171C5" w:rsidRDefault="005171C5" w:rsidP="005171C5">
            <w:pPr>
              <w:suppressAutoHyphens/>
              <w:snapToGrid w:val="0"/>
              <w:spacing w:before="40" w:after="40"/>
              <w:rPr>
                <w:rFonts w:eastAsia="細明體" w:cs="Segoe UI"/>
                <w:spacing w:val="-14"/>
                <w:sz w:val="17"/>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86B2919" w14:textId="77777777" w:rsidR="005171C5" w:rsidRPr="005171C5" w:rsidRDefault="005171C5" w:rsidP="005171C5">
            <w:pPr>
              <w:suppressAutoHyphens/>
              <w:snapToGrid w:val="0"/>
              <w:spacing w:before="40" w:after="40"/>
              <w:jc w:val="center"/>
              <w:rPr>
                <w:rFonts w:eastAsia="細明體" w:cs="Segoe UI"/>
                <w:spacing w:val="-14"/>
                <w:sz w:val="17"/>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421499DF" w14:textId="77777777" w:rsidR="005171C5" w:rsidRPr="005171C5" w:rsidRDefault="005171C5" w:rsidP="005171C5">
            <w:pPr>
              <w:suppressAutoHyphens/>
              <w:snapToGrid w:val="0"/>
              <w:jc w:val="center"/>
              <w:rPr>
                <w:rFonts w:eastAsia="細明體" w:cs="Segoe UI"/>
                <w:spacing w:val="-14"/>
                <w:sz w:val="17"/>
                <w:lang w:eastAsia="ar-SA"/>
              </w:rPr>
            </w:pPr>
            <w:r w:rsidRPr="0036296C">
              <w:rPr>
                <w:rFonts w:eastAsia="細明體" w:cs="Segoe UI" w:hint="eastAsia"/>
                <w:sz w:val="17"/>
                <w:lang w:eastAsia="ar-SA"/>
              </w:rPr>
              <w:t>年初</w:t>
            </w:r>
          </w:p>
        </w:tc>
        <w:tc>
          <w:tcPr>
            <w:tcW w:w="850" w:type="dxa"/>
            <w:tcBorders>
              <w:top w:val="single" w:sz="4" w:space="0" w:color="000000"/>
              <w:left w:val="single" w:sz="4" w:space="0" w:color="000000"/>
              <w:bottom w:val="single" w:sz="4" w:space="0" w:color="000000"/>
            </w:tcBorders>
            <w:shd w:val="clear" w:color="auto" w:fill="auto"/>
            <w:vAlign w:val="center"/>
          </w:tcPr>
          <w:p w14:paraId="2B5FC82B" w14:textId="77777777" w:rsidR="005171C5" w:rsidRPr="005171C5" w:rsidRDefault="005171C5" w:rsidP="005171C5">
            <w:pPr>
              <w:suppressAutoHyphens/>
              <w:snapToGrid w:val="0"/>
              <w:jc w:val="center"/>
              <w:rPr>
                <w:rFonts w:eastAsia="細明體" w:cs="Segoe UI"/>
                <w:spacing w:val="-14"/>
                <w:sz w:val="17"/>
                <w:lang w:eastAsia="ar-SA"/>
              </w:rPr>
            </w:pPr>
            <w:r w:rsidRPr="0036296C">
              <w:rPr>
                <w:rFonts w:eastAsia="細明體" w:cs="Segoe UI" w:hint="eastAsia"/>
                <w:sz w:val="17"/>
                <w:lang w:eastAsia="ar-SA"/>
              </w:rPr>
              <w:t>年底</w:t>
            </w:r>
          </w:p>
        </w:tc>
        <w:tc>
          <w:tcPr>
            <w:tcW w:w="993" w:type="dxa"/>
            <w:vMerge/>
            <w:tcBorders>
              <w:top w:val="single" w:sz="4" w:space="0" w:color="000000"/>
              <w:left w:val="single" w:sz="4" w:space="0" w:color="000000"/>
              <w:bottom w:val="single" w:sz="4" w:space="0" w:color="000000"/>
            </w:tcBorders>
            <w:shd w:val="clear" w:color="auto" w:fill="auto"/>
          </w:tcPr>
          <w:p w14:paraId="148EF064" w14:textId="77777777" w:rsidR="005171C5" w:rsidRPr="005171C5" w:rsidRDefault="005171C5" w:rsidP="005171C5">
            <w:pPr>
              <w:suppressAutoHyphens/>
              <w:snapToGrid w:val="0"/>
              <w:spacing w:before="40" w:after="40"/>
              <w:rPr>
                <w:rFonts w:eastAsia="細明體" w:cs="Segoe UI"/>
                <w:spacing w:val="-14"/>
                <w:sz w:val="17"/>
                <w:lang w:eastAsia="ar-SA"/>
              </w:rPr>
            </w:pPr>
          </w:p>
        </w:tc>
        <w:tc>
          <w:tcPr>
            <w:tcW w:w="992" w:type="dxa"/>
            <w:vMerge/>
            <w:tcBorders>
              <w:top w:val="single" w:sz="4" w:space="0" w:color="000000"/>
              <w:left w:val="single" w:sz="4" w:space="0" w:color="000000"/>
              <w:bottom w:val="single" w:sz="4" w:space="0" w:color="000000"/>
            </w:tcBorders>
            <w:shd w:val="clear" w:color="auto" w:fill="auto"/>
          </w:tcPr>
          <w:p w14:paraId="4AA8ECD7" w14:textId="77777777" w:rsidR="005171C5" w:rsidRPr="005171C5" w:rsidRDefault="005171C5" w:rsidP="005171C5">
            <w:pPr>
              <w:suppressAutoHyphens/>
              <w:snapToGrid w:val="0"/>
              <w:spacing w:before="40" w:after="40"/>
              <w:rPr>
                <w:rFonts w:eastAsia="細明體" w:cs="Segoe UI"/>
                <w:spacing w:val="-14"/>
                <w:sz w:val="17"/>
                <w:lang w:eastAsia="ar-SA"/>
              </w:rPr>
            </w:pPr>
          </w:p>
        </w:tc>
        <w:tc>
          <w:tcPr>
            <w:tcW w:w="1020" w:type="dxa"/>
            <w:vMerge/>
            <w:tcBorders>
              <w:top w:val="single" w:sz="4" w:space="0" w:color="000000"/>
              <w:left w:val="single" w:sz="4" w:space="0" w:color="000000"/>
              <w:bottom w:val="single" w:sz="4" w:space="0" w:color="000000"/>
            </w:tcBorders>
            <w:shd w:val="clear" w:color="auto" w:fill="auto"/>
          </w:tcPr>
          <w:p w14:paraId="4D92DD01" w14:textId="77777777" w:rsidR="005171C5" w:rsidRPr="005171C5" w:rsidRDefault="005171C5" w:rsidP="005171C5">
            <w:pPr>
              <w:suppressAutoHyphens/>
              <w:snapToGrid w:val="0"/>
              <w:spacing w:before="40" w:after="40"/>
              <w:rPr>
                <w:rFonts w:eastAsia="細明體" w:cs="Segoe UI"/>
                <w:spacing w:val="-14"/>
                <w:sz w:val="17"/>
                <w:lang w:eastAsia="ar-SA"/>
              </w:rPr>
            </w:pPr>
          </w:p>
        </w:tc>
      </w:tr>
      <w:tr w:rsidR="005171C5" w:rsidRPr="005171C5" w14:paraId="51026337" w14:textId="77777777" w:rsidTr="005171C5">
        <w:trPr>
          <w:tblHeader/>
        </w:trPr>
        <w:tc>
          <w:tcPr>
            <w:tcW w:w="851" w:type="dxa"/>
            <w:tcBorders>
              <w:top w:val="single" w:sz="4" w:space="0" w:color="000000"/>
              <w:bottom w:val="single" w:sz="4" w:space="0" w:color="C0C0C0"/>
            </w:tcBorders>
            <w:shd w:val="clear" w:color="auto" w:fill="auto"/>
          </w:tcPr>
          <w:p w14:paraId="16FB0DE8"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000000"/>
              <w:left w:val="single" w:sz="4" w:space="0" w:color="000000"/>
              <w:bottom w:val="single" w:sz="4" w:space="0" w:color="C0C0C0"/>
            </w:tcBorders>
            <w:shd w:val="clear" w:color="auto" w:fill="auto"/>
          </w:tcPr>
          <w:p w14:paraId="38514A15"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000000"/>
              <w:left w:val="single" w:sz="4" w:space="0" w:color="000000"/>
              <w:bottom w:val="single" w:sz="4" w:space="0" w:color="C0C0C0"/>
            </w:tcBorders>
            <w:shd w:val="clear" w:color="auto" w:fill="auto"/>
          </w:tcPr>
          <w:p w14:paraId="2193E870"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000000"/>
              <w:left w:val="single" w:sz="4" w:space="0" w:color="000000"/>
              <w:bottom w:val="single" w:sz="4" w:space="0" w:color="C0C0C0"/>
            </w:tcBorders>
            <w:shd w:val="clear" w:color="auto" w:fill="auto"/>
          </w:tcPr>
          <w:p w14:paraId="4248DE3D"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000000"/>
              <w:left w:val="single" w:sz="4" w:space="0" w:color="000000"/>
              <w:bottom w:val="single" w:sz="4" w:space="0" w:color="C0C0C0"/>
            </w:tcBorders>
            <w:shd w:val="clear" w:color="auto" w:fill="auto"/>
          </w:tcPr>
          <w:p w14:paraId="0082A3EE"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000000"/>
              <w:left w:val="single" w:sz="4" w:space="0" w:color="000000"/>
              <w:bottom w:val="single" w:sz="4" w:space="0" w:color="C0C0C0"/>
            </w:tcBorders>
            <w:shd w:val="clear" w:color="auto" w:fill="auto"/>
          </w:tcPr>
          <w:p w14:paraId="2ED785CD"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000000"/>
              <w:left w:val="single" w:sz="4" w:space="0" w:color="000000"/>
              <w:bottom w:val="single" w:sz="4" w:space="0" w:color="C0C0C0"/>
            </w:tcBorders>
            <w:shd w:val="clear" w:color="auto" w:fill="auto"/>
          </w:tcPr>
          <w:p w14:paraId="1D34E6FD"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000000"/>
              <w:left w:val="single" w:sz="4" w:space="0" w:color="000000"/>
              <w:bottom w:val="single" w:sz="4" w:space="0" w:color="C0C0C0"/>
            </w:tcBorders>
            <w:shd w:val="clear" w:color="auto" w:fill="auto"/>
          </w:tcPr>
          <w:p w14:paraId="118E2AE7"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000000"/>
              <w:left w:val="single" w:sz="4" w:space="0" w:color="000000"/>
              <w:bottom w:val="single" w:sz="4" w:space="0" w:color="C0C0C0"/>
            </w:tcBorders>
            <w:shd w:val="clear" w:color="auto" w:fill="auto"/>
          </w:tcPr>
          <w:p w14:paraId="1610977B" w14:textId="77777777" w:rsidR="005171C5" w:rsidRPr="005171C5" w:rsidRDefault="005171C5" w:rsidP="005171C5">
            <w:pPr>
              <w:suppressAutoHyphens/>
              <w:snapToGrid w:val="0"/>
              <w:spacing w:before="40" w:after="40"/>
              <w:rPr>
                <w:rFonts w:eastAsia="細明體" w:cs="Segoe UI"/>
                <w:sz w:val="17"/>
                <w:lang w:eastAsia="ar-SA"/>
              </w:rPr>
            </w:pPr>
          </w:p>
        </w:tc>
        <w:tc>
          <w:tcPr>
            <w:tcW w:w="1020" w:type="dxa"/>
            <w:tcBorders>
              <w:top w:val="single" w:sz="4" w:space="0" w:color="000000"/>
              <w:left w:val="single" w:sz="4" w:space="0" w:color="000000"/>
              <w:bottom w:val="single" w:sz="4" w:space="0" w:color="C0C0C0"/>
            </w:tcBorders>
            <w:shd w:val="clear" w:color="auto" w:fill="auto"/>
          </w:tcPr>
          <w:p w14:paraId="15900451"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266345A2" w14:textId="77777777" w:rsidTr="005171C5">
        <w:tc>
          <w:tcPr>
            <w:tcW w:w="851" w:type="dxa"/>
            <w:tcBorders>
              <w:top w:val="single" w:sz="4" w:space="0" w:color="C0C0C0"/>
              <w:bottom w:val="single" w:sz="4" w:space="0" w:color="C0C0C0"/>
            </w:tcBorders>
            <w:shd w:val="clear" w:color="auto" w:fill="auto"/>
          </w:tcPr>
          <w:p w14:paraId="63A5179F"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4F8820CD"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C0C0C0"/>
            </w:tcBorders>
            <w:shd w:val="clear" w:color="auto" w:fill="auto"/>
          </w:tcPr>
          <w:p w14:paraId="345F43D9"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45BA9A79"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22C4E81B"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C0C0C0"/>
            </w:tcBorders>
            <w:shd w:val="clear" w:color="auto" w:fill="auto"/>
          </w:tcPr>
          <w:p w14:paraId="7709069B"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304F6E5B"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7249713F"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068A7613" w14:textId="77777777" w:rsidR="005171C5" w:rsidRPr="005171C5" w:rsidRDefault="005171C5" w:rsidP="005171C5">
            <w:pPr>
              <w:suppressAutoHyphens/>
              <w:snapToGrid w:val="0"/>
              <w:spacing w:before="40" w:after="40"/>
              <w:rPr>
                <w:rFonts w:eastAsia="細明體" w:cs="Segoe UI"/>
                <w:sz w:val="17"/>
                <w:lang w:eastAsia="ar-SA"/>
              </w:rPr>
            </w:pPr>
          </w:p>
        </w:tc>
        <w:tc>
          <w:tcPr>
            <w:tcW w:w="1020" w:type="dxa"/>
            <w:tcBorders>
              <w:top w:val="single" w:sz="4" w:space="0" w:color="C0C0C0"/>
              <w:left w:val="single" w:sz="4" w:space="0" w:color="000000"/>
              <w:bottom w:val="single" w:sz="4" w:space="0" w:color="C0C0C0"/>
            </w:tcBorders>
            <w:shd w:val="clear" w:color="auto" w:fill="auto"/>
          </w:tcPr>
          <w:p w14:paraId="08E077DE"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1B74AC37" w14:textId="77777777" w:rsidTr="005171C5">
        <w:tc>
          <w:tcPr>
            <w:tcW w:w="851" w:type="dxa"/>
            <w:tcBorders>
              <w:top w:val="single" w:sz="4" w:space="0" w:color="C0C0C0"/>
              <w:bottom w:val="single" w:sz="4" w:space="0" w:color="C0C0C0"/>
            </w:tcBorders>
            <w:shd w:val="clear" w:color="auto" w:fill="auto"/>
          </w:tcPr>
          <w:p w14:paraId="4973245A"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61467BFE"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C0C0C0"/>
            </w:tcBorders>
            <w:shd w:val="clear" w:color="auto" w:fill="auto"/>
          </w:tcPr>
          <w:p w14:paraId="680F9D4E"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3A12B7F7"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7B285784"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C0C0C0"/>
            </w:tcBorders>
            <w:shd w:val="clear" w:color="auto" w:fill="auto"/>
          </w:tcPr>
          <w:p w14:paraId="55B26C85"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38FA170A"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6D52A39C"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165B94BB" w14:textId="77777777" w:rsidR="005171C5" w:rsidRPr="005171C5" w:rsidRDefault="005171C5" w:rsidP="005171C5">
            <w:pPr>
              <w:suppressAutoHyphens/>
              <w:snapToGrid w:val="0"/>
              <w:spacing w:before="40" w:after="40"/>
              <w:rPr>
                <w:rFonts w:eastAsia="細明體" w:cs="Segoe UI"/>
                <w:sz w:val="17"/>
                <w:lang w:eastAsia="ar-SA"/>
              </w:rPr>
            </w:pPr>
          </w:p>
        </w:tc>
        <w:tc>
          <w:tcPr>
            <w:tcW w:w="1020" w:type="dxa"/>
            <w:tcBorders>
              <w:top w:val="single" w:sz="4" w:space="0" w:color="C0C0C0"/>
              <w:left w:val="single" w:sz="4" w:space="0" w:color="000000"/>
              <w:bottom w:val="single" w:sz="4" w:space="0" w:color="C0C0C0"/>
            </w:tcBorders>
            <w:shd w:val="clear" w:color="auto" w:fill="auto"/>
          </w:tcPr>
          <w:p w14:paraId="5265838D"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5D10842A" w14:textId="77777777" w:rsidTr="005171C5">
        <w:tc>
          <w:tcPr>
            <w:tcW w:w="851" w:type="dxa"/>
            <w:tcBorders>
              <w:top w:val="single" w:sz="4" w:space="0" w:color="C0C0C0"/>
              <w:bottom w:val="single" w:sz="4" w:space="0" w:color="C0C0C0"/>
            </w:tcBorders>
            <w:shd w:val="clear" w:color="auto" w:fill="auto"/>
          </w:tcPr>
          <w:p w14:paraId="65FF7459"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141F6748"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C0C0C0"/>
            </w:tcBorders>
            <w:shd w:val="clear" w:color="auto" w:fill="auto"/>
          </w:tcPr>
          <w:p w14:paraId="13C9ECAE"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4489998A"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6DD4242A"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C0C0C0"/>
            </w:tcBorders>
            <w:shd w:val="clear" w:color="auto" w:fill="auto"/>
          </w:tcPr>
          <w:p w14:paraId="7E7C41B6"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7FF1D707"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7BD327BE"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6EA89C22" w14:textId="77777777" w:rsidR="005171C5" w:rsidRPr="005171C5" w:rsidRDefault="005171C5" w:rsidP="005171C5">
            <w:pPr>
              <w:suppressAutoHyphens/>
              <w:snapToGrid w:val="0"/>
              <w:spacing w:before="40" w:after="40"/>
              <w:rPr>
                <w:rFonts w:eastAsia="細明體" w:cs="Segoe UI"/>
                <w:sz w:val="17"/>
                <w:lang w:eastAsia="ar-SA"/>
              </w:rPr>
            </w:pPr>
          </w:p>
        </w:tc>
        <w:tc>
          <w:tcPr>
            <w:tcW w:w="1020" w:type="dxa"/>
            <w:tcBorders>
              <w:top w:val="single" w:sz="4" w:space="0" w:color="C0C0C0"/>
              <w:left w:val="single" w:sz="4" w:space="0" w:color="000000"/>
              <w:bottom w:val="single" w:sz="4" w:space="0" w:color="C0C0C0"/>
            </w:tcBorders>
            <w:shd w:val="clear" w:color="auto" w:fill="auto"/>
          </w:tcPr>
          <w:p w14:paraId="557AA4C9"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7FB73FF3" w14:textId="77777777" w:rsidTr="005171C5">
        <w:tc>
          <w:tcPr>
            <w:tcW w:w="851" w:type="dxa"/>
            <w:tcBorders>
              <w:top w:val="single" w:sz="4" w:space="0" w:color="C0C0C0"/>
              <w:bottom w:val="single" w:sz="4" w:space="0" w:color="000000"/>
            </w:tcBorders>
            <w:shd w:val="clear" w:color="auto" w:fill="auto"/>
          </w:tcPr>
          <w:p w14:paraId="5DAB3498"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000000"/>
            </w:tcBorders>
            <w:shd w:val="clear" w:color="auto" w:fill="auto"/>
          </w:tcPr>
          <w:p w14:paraId="0C0D964B"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000000"/>
            </w:tcBorders>
            <w:shd w:val="clear" w:color="auto" w:fill="auto"/>
          </w:tcPr>
          <w:p w14:paraId="004B8461"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000000"/>
            </w:tcBorders>
            <w:shd w:val="clear" w:color="auto" w:fill="auto"/>
          </w:tcPr>
          <w:p w14:paraId="6C223B80"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000000"/>
            </w:tcBorders>
            <w:shd w:val="clear" w:color="auto" w:fill="auto"/>
          </w:tcPr>
          <w:p w14:paraId="78519B87" w14:textId="77777777" w:rsidR="005171C5" w:rsidRPr="005171C5" w:rsidRDefault="005171C5" w:rsidP="005171C5">
            <w:pPr>
              <w:suppressAutoHyphens/>
              <w:snapToGrid w:val="0"/>
              <w:spacing w:before="40" w:after="40"/>
              <w:rPr>
                <w:rFonts w:eastAsia="細明體" w:cs="Segoe UI"/>
                <w:sz w:val="17"/>
                <w:lang w:eastAsia="ar-SA"/>
              </w:rPr>
            </w:pPr>
          </w:p>
        </w:tc>
        <w:tc>
          <w:tcPr>
            <w:tcW w:w="851" w:type="dxa"/>
            <w:tcBorders>
              <w:top w:val="single" w:sz="4" w:space="0" w:color="C0C0C0"/>
              <w:left w:val="single" w:sz="4" w:space="0" w:color="000000"/>
              <w:bottom w:val="single" w:sz="4" w:space="0" w:color="000000"/>
            </w:tcBorders>
            <w:shd w:val="clear" w:color="auto" w:fill="auto"/>
          </w:tcPr>
          <w:p w14:paraId="6DC88632" w14:textId="77777777" w:rsidR="005171C5" w:rsidRPr="005171C5" w:rsidRDefault="005171C5" w:rsidP="005171C5">
            <w:pPr>
              <w:suppressAutoHyphens/>
              <w:snapToGrid w:val="0"/>
              <w:spacing w:before="40" w:after="40"/>
              <w:rPr>
                <w:rFonts w:eastAsia="細明體" w:cs="Segoe UI"/>
                <w:sz w:val="17"/>
                <w:lang w:eastAsia="ar-SA"/>
              </w:rPr>
            </w:pPr>
          </w:p>
        </w:tc>
        <w:tc>
          <w:tcPr>
            <w:tcW w:w="850" w:type="dxa"/>
            <w:tcBorders>
              <w:top w:val="single" w:sz="4" w:space="0" w:color="C0C0C0"/>
              <w:left w:val="single" w:sz="4" w:space="0" w:color="000000"/>
              <w:bottom w:val="single" w:sz="4" w:space="0" w:color="000000"/>
            </w:tcBorders>
            <w:shd w:val="clear" w:color="auto" w:fill="auto"/>
          </w:tcPr>
          <w:p w14:paraId="40D12B9E"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000000"/>
            </w:tcBorders>
            <w:shd w:val="clear" w:color="auto" w:fill="auto"/>
          </w:tcPr>
          <w:p w14:paraId="33832531"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000000"/>
            </w:tcBorders>
            <w:shd w:val="clear" w:color="auto" w:fill="auto"/>
          </w:tcPr>
          <w:p w14:paraId="493685A4" w14:textId="77777777" w:rsidR="005171C5" w:rsidRPr="005171C5" w:rsidRDefault="005171C5" w:rsidP="005171C5">
            <w:pPr>
              <w:suppressAutoHyphens/>
              <w:snapToGrid w:val="0"/>
              <w:spacing w:before="40" w:after="40"/>
              <w:rPr>
                <w:rFonts w:eastAsia="細明體" w:cs="Segoe UI"/>
                <w:sz w:val="17"/>
                <w:lang w:eastAsia="ar-SA"/>
              </w:rPr>
            </w:pPr>
          </w:p>
        </w:tc>
        <w:tc>
          <w:tcPr>
            <w:tcW w:w="1020" w:type="dxa"/>
            <w:tcBorders>
              <w:top w:val="single" w:sz="4" w:space="0" w:color="C0C0C0"/>
              <w:left w:val="single" w:sz="4" w:space="0" w:color="000000"/>
              <w:bottom w:val="single" w:sz="4" w:space="0" w:color="000000"/>
            </w:tcBorders>
            <w:shd w:val="clear" w:color="auto" w:fill="auto"/>
          </w:tcPr>
          <w:p w14:paraId="4BB1D14C" w14:textId="77777777" w:rsidR="005171C5" w:rsidRPr="005171C5" w:rsidRDefault="005171C5" w:rsidP="005171C5">
            <w:pPr>
              <w:suppressAutoHyphens/>
              <w:snapToGrid w:val="0"/>
              <w:spacing w:before="40" w:after="40"/>
              <w:rPr>
                <w:rFonts w:eastAsia="細明體" w:cs="Segoe UI"/>
                <w:sz w:val="17"/>
                <w:lang w:eastAsia="ar-SA"/>
              </w:rPr>
            </w:pPr>
          </w:p>
        </w:tc>
      </w:tr>
    </w:tbl>
    <w:p w14:paraId="341D4A55" w14:textId="6DEFA373" w:rsidR="005171C5" w:rsidRPr="005171C5" w:rsidRDefault="005171C5" w:rsidP="005171C5">
      <w:pPr>
        <w:suppressAutoHyphens/>
        <w:spacing w:before="120" w:after="120"/>
        <w:ind w:left="-566"/>
        <w:rPr>
          <w:rFonts w:eastAsia="細明體" w:cs="Segoe UI"/>
          <w:sz w:val="22"/>
          <w:lang w:eastAsia="ar-SA"/>
        </w:rPr>
      </w:pPr>
    </w:p>
    <w:p w14:paraId="62B97EDC" w14:textId="77777777" w:rsidR="005171C5" w:rsidRPr="005171C5" w:rsidRDefault="005171C5" w:rsidP="005171C5">
      <w:pPr>
        <w:suppressAutoHyphens/>
        <w:spacing w:before="120" w:after="120"/>
        <w:ind w:left="-566"/>
        <w:rPr>
          <w:rFonts w:eastAsia="細明體" w:cs="Segoe UI"/>
          <w:sz w:val="22"/>
          <w:lang w:eastAsia="ar-SA"/>
        </w:rPr>
      </w:pPr>
    </w:p>
    <w:tbl>
      <w:tblPr>
        <w:tblW w:w="9234" w:type="dxa"/>
        <w:tblInd w:w="-469" w:type="dxa"/>
        <w:tblLayout w:type="fixed"/>
        <w:tblLook w:val="0000" w:firstRow="0" w:lastRow="0" w:firstColumn="0" w:lastColumn="0" w:noHBand="0" w:noVBand="0"/>
      </w:tblPr>
      <w:tblGrid>
        <w:gridCol w:w="567"/>
        <w:gridCol w:w="8667"/>
      </w:tblGrid>
      <w:tr w:rsidR="005171C5" w:rsidRPr="005171C5" w14:paraId="2BD6ECA4" w14:textId="77777777" w:rsidTr="003F0C1B">
        <w:trPr>
          <w:tblHeader/>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83607D2" w14:textId="77777777" w:rsidR="005171C5" w:rsidRPr="005171C5" w:rsidRDefault="005171C5" w:rsidP="005171C5">
            <w:pPr>
              <w:suppressAutoHyphens/>
              <w:spacing w:before="40" w:after="40"/>
              <w:jc w:val="both"/>
              <w:rPr>
                <w:rFonts w:cs="Segoe UI"/>
                <w:lang w:eastAsia="ar-SA"/>
              </w:rPr>
            </w:pPr>
            <w:r w:rsidRPr="005171C5">
              <w:rPr>
                <w:rFonts w:eastAsia="細明體" w:cs="Segoe UI" w:hint="eastAsia"/>
                <w:b/>
                <w:sz w:val="17"/>
                <w:szCs w:val="17"/>
                <w:lang w:eastAsia="ar-SA"/>
              </w:rPr>
              <w:t>註釋</w:t>
            </w:r>
          </w:p>
        </w:tc>
      </w:tr>
      <w:tr w:rsidR="005171C5" w:rsidRPr="005171C5" w14:paraId="2E582827" w14:textId="77777777" w:rsidTr="003F0C1B">
        <w:trPr>
          <w:trHeight w:val="15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F4111E3" w14:textId="77777777" w:rsidR="005171C5" w:rsidRPr="005171C5" w:rsidRDefault="005171C5" w:rsidP="005171C5">
            <w:pPr>
              <w:suppressAutoHyphens/>
              <w:spacing w:before="40" w:after="40"/>
              <w:jc w:val="both"/>
              <w:rPr>
                <w:rFonts w:cs="Segoe UI"/>
                <w:lang w:eastAsia="ar-SA"/>
              </w:rPr>
            </w:pPr>
            <w:r w:rsidRPr="005171C5">
              <w:rPr>
                <w:rFonts w:eastAsia="細明體" w:cs="Segoe UI" w:hint="eastAsia"/>
                <w:b/>
                <w:sz w:val="17"/>
                <w:szCs w:val="17"/>
                <w:lang w:eastAsia="ar-SA"/>
              </w:rPr>
              <w:t>欄</w:t>
            </w:r>
          </w:p>
        </w:tc>
      </w:tr>
      <w:tr w:rsidR="005171C5" w:rsidRPr="005171C5" w14:paraId="75C90230" w14:textId="77777777" w:rsidTr="003F0C1B">
        <w:tc>
          <w:tcPr>
            <w:tcW w:w="567" w:type="dxa"/>
            <w:tcBorders>
              <w:top w:val="single" w:sz="4" w:space="0" w:color="000000"/>
              <w:left w:val="single" w:sz="4" w:space="0" w:color="000000"/>
              <w:bottom w:val="single" w:sz="4" w:space="0" w:color="000000"/>
            </w:tcBorders>
            <w:shd w:val="clear" w:color="auto" w:fill="auto"/>
          </w:tcPr>
          <w:p w14:paraId="07092F39" w14:textId="77777777" w:rsidR="005171C5" w:rsidRPr="005171C5" w:rsidRDefault="005171C5" w:rsidP="005171C5">
            <w:pPr>
              <w:suppressAutoHyphens/>
              <w:spacing w:before="40" w:after="40"/>
              <w:jc w:val="both"/>
              <w:rPr>
                <w:rFonts w:eastAsia="細明體" w:cs="Segoe UI"/>
                <w:i/>
                <w:lang w:eastAsia="ar-SA"/>
              </w:rPr>
            </w:pPr>
            <w:r w:rsidRPr="005171C5">
              <w:rPr>
                <w:rFonts w:eastAsia="細明體" w:cs="Segoe UI"/>
                <w:sz w:val="17"/>
                <w:szCs w:val="17"/>
                <w:lang w:eastAsia="ar-SA"/>
              </w:rPr>
              <w:t>(a)</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06654306" w14:textId="56408820" w:rsidR="005171C5" w:rsidRPr="00043231" w:rsidRDefault="0022225D" w:rsidP="003A4B83">
            <w:pPr>
              <w:tabs>
                <w:tab w:val="left" w:pos="459"/>
              </w:tabs>
              <w:suppressAutoHyphens/>
              <w:spacing w:before="40" w:after="40"/>
              <w:jc w:val="both"/>
              <w:rPr>
                <w:rFonts w:eastAsia="細明體"/>
                <w:sz w:val="17"/>
                <w:szCs w:val="17"/>
                <w:lang w:eastAsia="zh-TW"/>
              </w:rPr>
            </w:pPr>
            <w:r w:rsidRPr="0022225D">
              <w:rPr>
                <w:rFonts w:eastAsia="細明體" w:hint="eastAsia"/>
                <w:i/>
                <w:sz w:val="17"/>
                <w:szCs w:val="17"/>
                <w:lang w:eastAsia="zh-TW"/>
              </w:rPr>
              <w:t>組合</w:t>
            </w:r>
            <w:r w:rsidRPr="0022225D">
              <w:rPr>
                <w:rFonts w:eastAsia="細明體"/>
                <w:i/>
                <w:sz w:val="17"/>
                <w:szCs w:val="17"/>
                <w:lang w:eastAsia="zh-TW"/>
              </w:rPr>
              <w:t>X</w:t>
            </w:r>
            <w:r w:rsidRPr="0022225D">
              <w:rPr>
                <w:rFonts w:eastAsia="細明體" w:hint="eastAsia"/>
                <w:sz w:val="17"/>
                <w:szCs w:val="17"/>
                <w:lang w:eastAsia="zh-TW"/>
              </w:rPr>
              <w:t>：組合的細目分類應遵從以下的主要</w:t>
            </w:r>
            <w:r w:rsidRPr="0022225D">
              <w:rPr>
                <w:rFonts w:eastAsia="細明體"/>
                <w:sz w:val="17"/>
                <w:szCs w:val="17"/>
                <w:lang w:eastAsia="zh-TW"/>
              </w:rPr>
              <w:t>IRB</w:t>
            </w:r>
            <w:r w:rsidRPr="0022225D">
              <w:rPr>
                <w:rFonts w:eastAsia="細明體" w:hint="eastAsia"/>
                <w:sz w:val="17"/>
                <w:szCs w:val="17"/>
                <w:lang w:eastAsia="zh-TW"/>
              </w:rPr>
              <w:t>類別及</w:t>
            </w:r>
            <w:r w:rsidRPr="0022225D">
              <w:rPr>
                <w:rFonts w:eastAsia="細明體"/>
                <w:sz w:val="17"/>
                <w:szCs w:val="17"/>
                <w:lang w:eastAsia="zh-TW"/>
              </w:rPr>
              <w:t>/</w:t>
            </w:r>
            <w:r w:rsidRPr="0022225D">
              <w:rPr>
                <w:rFonts w:eastAsia="細明體" w:hint="eastAsia"/>
                <w:sz w:val="17"/>
                <w:szCs w:val="17"/>
                <w:lang w:eastAsia="zh-TW"/>
              </w:rPr>
              <w:t>或子類別（與《資本規則》所用的分類相符）：</w:t>
            </w:r>
            <w:r w:rsidRPr="0022225D">
              <w:rPr>
                <w:rFonts w:eastAsia="細明體"/>
                <w:sz w:val="17"/>
                <w:szCs w:val="17"/>
                <w:lang w:eastAsia="zh-TW"/>
              </w:rPr>
              <w:t>(</w:t>
            </w:r>
            <w:proofErr w:type="spellStart"/>
            <w:r w:rsidRPr="0022225D">
              <w:rPr>
                <w:rFonts w:eastAsia="細明體"/>
                <w:sz w:val="17"/>
                <w:szCs w:val="17"/>
                <w:lang w:eastAsia="zh-TW"/>
              </w:rPr>
              <w:t>i</w:t>
            </w:r>
            <w:proofErr w:type="spellEnd"/>
            <w:r w:rsidRPr="0022225D">
              <w:rPr>
                <w:rFonts w:eastAsia="細明體"/>
                <w:sz w:val="17"/>
                <w:szCs w:val="17"/>
                <w:lang w:eastAsia="zh-TW"/>
              </w:rPr>
              <w:t>)</w:t>
            </w:r>
            <w:r w:rsidRPr="0022225D">
              <w:rPr>
                <w:rFonts w:eastAsia="細明體" w:hint="eastAsia"/>
                <w:sz w:val="17"/>
                <w:szCs w:val="17"/>
                <w:lang w:eastAsia="zh-TW"/>
              </w:rPr>
              <w:t xml:space="preserve"> </w:t>
            </w:r>
            <w:r w:rsidRPr="0022225D">
              <w:rPr>
                <w:rFonts w:eastAsia="細明體" w:hint="eastAsia"/>
                <w:sz w:val="17"/>
                <w:szCs w:val="17"/>
                <w:lang w:eastAsia="zh-TW"/>
              </w:rPr>
              <w:t>官方實體；</w:t>
            </w:r>
            <w:r w:rsidRPr="0022225D">
              <w:rPr>
                <w:rFonts w:eastAsia="細明體"/>
                <w:sz w:val="17"/>
                <w:szCs w:val="17"/>
                <w:lang w:eastAsia="zh-TW"/>
              </w:rPr>
              <w:t>(ii)</w:t>
            </w:r>
            <w:r w:rsidRPr="0022225D">
              <w:rPr>
                <w:rFonts w:eastAsia="細明體" w:hint="eastAsia"/>
                <w:sz w:val="17"/>
                <w:szCs w:val="17"/>
                <w:lang w:eastAsia="zh-TW"/>
              </w:rPr>
              <w:t xml:space="preserve"> </w:t>
            </w:r>
            <w:r w:rsidRPr="0022225D">
              <w:rPr>
                <w:rFonts w:eastAsia="細明體" w:hint="eastAsia"/>
                <w:sz w:val="17"/>
                <w:szCs w:val="17"/>
                <w:lang w:eastAsia="zh-TW"/>
              </w:rPr>
              <w:t>銀行；</w:t>
            </w:r>
            <w:r w:rsidRPr="0022225D">
              <w:rPr>
                <w:rFonts w:eastAsia="細明體"/>
                <w:sz w:val="17"/>
                <w:szCs w:val="17"/>
                <w:lang w:eastAsia="zh-TW"/>
              </w:rPr>
              <w:t>(iii)</w:t>
            </w:r>
            <w:r w:rsidRPr="0022225D">
              <w:rPr>
                <w:rFonts w:eastAsia="細明體" w:hint="eastAsia"/>
                <w:sz w:val="17"/>
                <w:szCs w:val="17"/>
                <w:lang w:eastAsia="zh-TW"/>
              </w:rPr>
              <w:t xml:space="preserve"> </w:t>
            </w:r>
            <w:r w:rsidRPr="0022225D">
              <w:rPr>
                <w:rFonts w:eastAsia="細明體" w:hint="eastAsia"/>
                <w:sz w:val="17"/>
                <w:szCs w:val="17"/>
                <w:lang w:eastAsia="zh-TW"/>
              </w:rPr>
              <w:t>法團</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專門性借貸（高波動性商業地產除外）</w:t>
            </w:r>
            <w:r w:rsidR="00E666DF">
              <w:rPr>
                <w:rFonts w:eastAsia="細明體" w:hint="eastAsia"/>
                <w:sz w:val="17"/>
                <w:szCs w:val="17"/>
                <w:lang w:eastAsia="zh-TW"/>
              </w:rPr>
              <w:t>*</w:t>
            </w:r>
            <w:r w:rsidRPr="0022225D">
              <w:rPr>
                <w:rFonts w:eastAsia="細明體" w:hint="eastAsia"/>
                <w:sz w:val="17"/>
                <w:szCs w:val="17"/>
                <w:lang w:eastAsia="zh-TW"/>
              </w:rPr>
              <w:t>；</w:t>
            </w:r>
            <w:r w:rsidRPr="0022225D">
              <w:rPr>
                <w:rFonts w:eastAsia="細明體"/>
                <w:sz w:val="17"/>
                <w:szCs w:val="17"/>
                <w:lang w:eastAsia="zh-TW"/>
              </w:rPr>
              <w:t>(iv)</w:t>
            </w:r>
            <w:r w:rsidRPr="0022225D">
              <w:rPr>
                <w:rFonts w:eastAsia="細明體" w:hint="eastAsia"/>
                <w:sz w:val="17"/>
                <w:szCs w:val="17"/>
                <w:lang w:eastAsia="zh-TW"/>
              </w:rPr>
              <w:t xml:space="preserve"> </w:t>
            </w:r>
            <w:r w:rsidRPr="0022225D">
              <w:rPr>
                <w:rFonts w:eastAsia="細明體" w:hint="eastAsia"/>
                <w:sz w:val="17"/>
                <w:szCs w:val="17"/>
                <w:lang w:eastAsia="zh-TW"/>
              </w:rPr>
              <w:t>法團</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中小型法團；</w:t>
            </w:r>
            <w:r w:rsidRPr="0022225D">
              <w:rPr>
                <w:rFonts w:eastAsia="細明體"/>
                <w:sz w:val="17"/>
                <w:szCs w:val="17"/>
                <w:lang w:eastAsia="zh-TW"/>
              </w:rPr>
              <w:t>(v)</w:t>
            </w:r>
            <w:r w:rsidRPr="0022225D">
              <w:rPr>
                <w:rFonts w:eastAsia="細明體" w:hint="eastAsia"/>
                <w:sz w:val="17"/>
                <w:szCs w:val="17"/>
                <w:lang w:eastAsia="zh-TW"/>
              </w:rPr>
              <w:t xml:space="preserve"> </w:t>
            </w:r>
            <w:r w:rsidRPr="0022225D">
              <w:rPr>
                <w:rFonts w:eastAsia="細明體" w:hint="eastAsia"/>
                <w:sz w:val="17"/>
                <w:szCs w:val="17"/>
                <w:lang w:eastAsia="zh-TW"/>
              </w:rPr>
              <w:t>法團</w:t>
            </w:r>
            <w:r w:rsidRPr="0022225D">
              <w:rPr>
                <w:rFonts w:ascii="細明體" w:eastAsia="細明體" w:hAnsi="細明體" w:cs="細明體" w:hint="eastAsia"/>
                <w:sz w:val="17"/>
                <w:szCs w:val="17"/>
                <w:lang w:eastAsia="zh-TW"/>
              </w:rPr>
              <w:t>──</w:t>
            </w:r>
            <w:r w:rsidRPr="0022225D">
              <w:rPr>
                <w:rFonts w:ascii="細明體" w:eastAsia="細明體" w:hAnsi="細明體" w:cs="細明體" w:hint="eastAsia"/>
                <w:sz w:val="17"/>
                <w:szCs w:val="17"/>
                <w:lang w:eastAsia="zh-HK"/>
              </w:rPr>
              <w:t>專門性借貸</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高波動性商業地產）</w:t>
            </w:r>
            <w:r w:rsidRPr="0022225D">
              <w:rPr>
                <w:rFonts w:eastAsia="細明體"/>
                <w:sz w:val="17"/>
                <w:szCs w:val="17"/>
                <w:lang w:eastAsia="zh-TW"/>
              </w:rPr>
              <w:t>*</w:t>
            </w:r>
            <w:r w:rsidRPr="0022225D">
              <w:rPr>
                <w:rFonts w:eastAsia="細明體" w:hint="eastAsia"/>
                <w:sz w:val="17"/>
                <w:szCs w:val="17"/>
                <w:lang w:eastAsia="zh-TW"/>
              </w:rPr>
              <w:t>；</w:t>
            </w:r>
            <w:r w:rsidRPr="0022225D">
              <w:rPr>
                <w:rFonts w:eastAsia="細明體"/>
                <w:sz w:val="17"/>
                <w:szCs w:val="17"/>
                <w:lang w:eastAsia="zh-TW"/>
              </w:rPr>
              <w:t xml:space="preserve"> (vi)</w:t>
            </w:r>
            <w:r w:rsidRPr="0022225D">
              <w:rPr>
                <w:rFonts w:eastAsia="細明體" w:hint="eastAsia"/>
                <w:sz w:val="17"/>
                <w:szCs w:val="17"/>
                <w:lang w:eastAsia="zh-TW"/>
              </w:rPr>
              <w:t xml:space="preserve"> </w:t>
            </w:r>
            <w:r w:rsidRPr="0022225D">
              <w:rPr>
                <w:rFonts w:eastAsia="細明體" w:hint="eastAsia"/>
                <w:sz w:val="17"/>
                <w:szCs w:val="17"/>
                <w:lang w:eastAsia="zh-HK"/>
              </w:rPr>
              <w:t>法團</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HK"/>
              </w:rPr>
              <w:t>大型法團</w:t>
            </w:r>
            <w:r w:rsidRPr="0022225D">
              <w:rPr>
                <w:rFonts w:eastAsia="細明體" w:hint="eastAsia"/>
                <w:sz w:val="17"/>
                <w:szCs w:val="17"/>
                <w:lang w:eastAsia="zh-TW"/>
              </w:rPr>
              <w:t>；</w:t>
            </w:r>
            <w:r w:rsidRPr="0022225D">
              <w:rPr>
                <w:rFonts w:eastAsia="細明體"/>
                <w:sz w:val="17"/>
                <w:szCs w:val="17"/>
                <w:lang w:eastAsia="zh-TW"/>
              </w:rPr>
              <w:t xml:space="preserve">(vii) </w:t>
            </w:r>
            <w:r w:rsidRPr="0022225D">
              <w:rPr>
                <w:rFonts w:eastAsia="細明體" w:hint="eastAsia"/>
                <w:sz w:val="17"/>
                <w:szCs w:val="17"/>
                <w:lang w:eastAsia="zh-HK"/>
              </w:rPr>
              <w:t>法團</w:t>
            </w:r>
            <w:r w:rsidRPr="0022225D">
              <w:rPr>
                <w:rFonts w:ascii="細明體" w:eastAsia="細明體" w:hAnsi="細明體" w:cs="細明體" w:hint="eastAsia"/>
                <w:sz w:val="17"/>
                <w:szCs w:val="17"/>
                <w:lang w:eastAsia="zh-TW"/>
              </w:rPr>
              <w:t>──</w:t>
            </w:r>
            <w:r w:rsidR="003A4B83">
              <w:rPr>
                <w:rFonts w:eastAsia="細明體" w:hint="eastAsia"/>
                <w:sz w:val="17"/>
                <w:szCs w:val="17"/>
                <w:lang w:eastAsia="zh-HK"/>
              </w:rPr>
              <w:t>視為</w:t>
            </w:r>
            <w:r w:rsidRPr="0022225D">
              <w:rPr>
                <w:rFonts w:eastAsia="細明體" w:hint="eastAsia"/>
                <w:sz w:val="17"/>
                <w:szCs w:val="17"/>
                <w:lang w:eastAsia="zh-HK"/>
              </w:rPr>
              <w:t>法團的金融機構</w:t>
            </w:r>
            <w:r w:rsidRPr="0022225D">
              <w:rPr>
                <w:rFonts w:eastAsia="細明體" w:hint="eastAsia"/>
                <w:sz w:val="17"/>
                <w:szCs w:val="17"/>
                <w:lang w:eastAsia="zh-TW"/>
              </w:rPr>
              <w:t>；</w:t>
            </w:r>
            <w:r w:rsidRPr="0022225D">
              <w:rPr>
                <w:rFonts w:eastAsia="細明體"/>
                <w:sz w:val="17"/>
                <w:szCs w:val="17"/>
                <w:lang w:eastAsia="zh-TW"/>
              </w:rPr>
              <w:t>(viii)</w:t>
            </w:r>
            <w:r w:rsidRPr="0022225D">
              <w:rPr>
                <w:rFonts w:eastAsia="細明體" w:hint="eastAsia"/>
                <w:sz w:val="17"/>
                <w:szCs w:val="17"/>
                <w:lang w:eastAsia="zh-TW"/>
              </w:rPr>
              <w:t>法團</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其他</w:t>
            </w:r>
            <w:r w:rsidRPr="0022225D">
              <w:rPr>
                <w:rFonts w:eastAsia="細明體" w:hint="eastAsia"/>
                <w:sz w:val="17"/>
                <w:szCs w:val="17"/>
                <w:lang w:eastAsia="zh-HK"/>
              </w:rPr>
              <w:t>法團</w:t>
            </w:r>
            <w:r w:rsidRPr="0022225D">
              <w:rPr>
                <w:rFonts w:eastAsia="細明體" w:hint="eastAsia"/>
                <w:sz w:val="17"/>
                <w:szCs w:val="17"/>
                <w:lang w:eastAsia="zh-TW"/>
              </w:rPr>
              <w:t>；</w:t>
            </w:r>
            <w:r w:rsidRPr="0022225D" w:rsidDel="00F4554B">
              <w:rPr>
                <w:rFonts w:eastAsia="細明體"/>
                <w:sz w:val="17"/>
                <w:szCs w:val="17"/>
                <w:lang w:eastAsia="zh-TW"/>
              </w:rPr>
              <w:t xml:space="preserve"> </w:t>
            </w:r>
            <w:r w:rsidRPr="0022225D">
              <w:rPr>
                <w:rFonts w:eastAsia="細明體"/>
                <w:sz w:val="17"/>
                <w:szCs w:val="17"/>
                <w:lang w:eastAsia="zh-TW"/>
              </w:rPr>
              <w:t>(ix)</w:t>
            </w:r>
            <w:r w:rsidRPr="0022225D">
              <w:rPr>
                <w:rFonts w:eastAsia="細明體" w:hint="eastAsia"/>
                <w:sz w:val="17"/>
                <w:szCs w:val="17"/>
                <w:lang w:eastAsia="zh-TW"/>
              </w:rPr>
              <w:t xml:space="preserve"> </w:t>
            </w:r>
            <w:r w:rsidRPr="0022225D">
              <w:rPr>
                <w:rFonts w:eastAsia="細明體" w:hint="eastAsia"/>
                <w:sz w:val="17"/>
                <w:szCs w:val="17"/>
                <w:lang w:eastAsia="zh-TW"/>
              </w:rPr>
              <w:t>零售</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合資格循環式零售風險承擔（</w:t>
            </w:r>
            <w:r w:rsidR="003A4B83">
              <w:rPr>
                <w:rFonts w:eastAsia="細明體" w:hint="eastAsia"/>
                <w:sz w:val="17"/>
                <w:szCs w:val="17"/>
                <w:lang w:eastAsia="zh-TW"/>
              </w:rPr>
              <w:t>交</w:t>
            </w:r>
            <w:r w:rsidR="003A4B83">
              <w:rPr>
                <w:rFonts w:eastAsia="細明體"/>
                <w:sz w:val="17"/>
                <w:szCs w:val="17"/>
                <w:lang w:eastAsia="zh-TW"/>
              </w:rPr>
              <w:t>易者</w:t>
            </w:r>
            <w:r w:rsidRPr="0022225D">
              <w:rPr>
                <w:rFonts w:eastAsia="細明體" w:hint="eastAsia"/>
                <w:sz w:val="17"/>
                <w:szCs w:val="17"/>
                <w:lang w:eastAsia="zh-TW"/>
              </w:rPr>
              <w:t>）；</w:t>
            </w:r>
            <w:r w:rsidRPr="0022225D">
              <w:rPr>
                <w:rFonts w:eastAsia="細明體"/>
                <w:sz w:val="17"/>
                <w:szCs w:val="17"/>
                <w:lang w:eastAsia="zh-TW"/>
              </w:rPr>
              <w:t xml:space="preserve">(x) </w:t>
            </w:r>
            <w:r w:rsidRPr="0022225D">
              <w:rPr>
                <w:rFonts w:eastAsia="細明體" w:hint="eastAsia"/>
                <w:sz w:val="17"/>
                <w:szCs w:val="17"/>
                <w:lang w:eastAsia="zh-HK"/>
              </w:rPr>
              <w:t>零售</w:t>
            </w:r>
            <w:r w:rsidRPr="0022225D">
              <w:rPr>
                <w:rFonts w:ascii="細明體" w:eastAsia="細明體" w:hAnsi="細明體" w:cs="細明體" w:hint="eastAsia"/>
                <w:sz w:val="17"/>
                <w:szCs w:val="17"/>
                <w:lang w:eastAsia="zh-TW"/>
              </w:rPr>
              <w:t>──</w:t>
            </w:r>
            <w:r w:rsidR="003A4B83" w:rsidRPr="0022225D">
              <w:rPr>
                <w:rFonts w:eastAsia="細明體" w:hint="eastAsia"/>
                <w:sz w:val="17"/>
                <w:szCs w:val="17"/>
                <w:lang w:eastAsia="zh-TW"/>
              </w:rPr>
              <w:t>合資格循環式零售風險承擔</w:t>
            </w:r>
            <w:r w:rsidRPr="0022225D">
              <w:rPr>
                <w:rFonts w:eastAsia="細明體" w:hint="eastAsia"/>
                <w:sz w:val="17"/>
                <w:szCs w:val="17"/>
                <w:lang w:eastAsia="zh-TW"/>
              </w:rPr>
              <w:t>（</w:t>
            </w:r>
            <w:r w:rsidR="003A4B83" w:rsidRPr="0022225D">
              <w:rPr>
                <w:rFonts w:eastAsia="細明體" w:hint="eastAsia"/>
                <w:sz w:val="17"/>
                <w:szCs w:val="17"/>
                <w:lang w:eastAsia="zh-TW"/>
              </w:rPr>
              <w:t>循環</w:t>
            </w:r>
            <w:r w:rsidR="003A4B83">
              <w:rPr>
                <w:rFonts w:eastAsia="細明體" w:hint="eastAsia"/>
                <w:sz w:val="17"/>
                <w:szCs w:val="17"/>
                <w:lang w:eastAsia="zh-HK"/>
              </w:rPr>
              <w:t>使用者</w:t>
            </w:r>
            <w:r w:rsidRPr="0022225D">
              <w:rPr>
                <w:rFonts w:eastAsia="細明體" w:hint="eastAsia"/>
                <w:sz w:val="17"/>
                <w:szCs w:val="17"/>
                <w:lang w:eastAsia="zh-TW"/>
              </w:rPr>
              <w:t>）；</w:t>
            </w:r>
            <w:r w:rsidRPr="0022225D">
              <w:rPr>
                <w:rFonts w:eastAsia="細明體"/>
                <w:sz w:val="17"/>
                <w:szCs w:val="17"/>
                <w:lang w:eastAsia="zh-TW"/>
              </w:rPr>
              <w:t xml:space="preserve"> (xi)</w:t>
            </w:r>
            <w:r w:rsidRPr="0022225D">
              <w:rPr>
                <w:rFonts w:eastAsia="細明體" w:hint="eastAsia"/>
                <w:sz w:val="17"/>
                <w:szCs w:val="17"/>
                <w:lang w:eastAsia="zh-TW"/>
              </w:rPr>
              <w:t xml:space="preserve"> </w:t>
            </w:r>
            <w:r w:rsidRPr="0022225D">
              <w:rPr>
                <w:rFonts w:eastAsia="細明體" w:hint="eastAsia"/>
                <w:sz w:val="17"/>
                <w:szCs w:val="17"/>
                <w:lang w:eastAsia="zh-TW"/>
              </w:rPr>
              <w:t>零售</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住宅按揭風險承擔（包括提供予個人及持物業空殼公司的按揭）；</w:t>
            </w:r>
            <w:r w:rsidRPr="0022225D">
              <w:rPr>
                <w:rFonts w:eastAsia="細明體"/>
                <w:sz w:val="17"/>
                <w:szCs w:val="17"/>
                <w:lang w:eastAsia="zh-TW"/>
              </w:rPr>
              <w:t>(x</w:t>
            </w:r>
            <w:r w:rsidRPr="0022225D">
              <w:rPr>
                <w:rFonts w:eastAsia="細明體" w:hint="eastAsia"/>
                <w:sz w:val="17"/>
                <w:szCs w:val="17"/>
                <w:lang w:eastAsia="zh-TW"/>
              </w:rPr>
              <w:t>i</w:t>
            </w:r>
            <w:r w:rsidRPr="0022225D">
              <w:rPr>
                <w:rFonts w:eastAsia="細明體"/>
                <w:sz w:val="17"/>
                <w:szCs w:val="17"/>
                <w:lang w:eastAsia="zh-TW"/>
              </w:rPr>
              <w:t>i)</w:t>
            </w:r>
            <w:r w:rsidRPr="0022225D">
              <w:rPr>
                <w:rFonts w:eastAsia="細明體" w:hint="eastAsia"/>
                <w:sz w:val="17"/>
                <w:szCs w:val="17"/>
                <w:lang w:eastAsia="zh-TW"/>
              </w:rPr>
              <w:t xml:space="preserve"> </w:t>
            </w:r>
            <w:r w:rsidRPr="0022225D">
              <w:rPr>
                <w:rFonts w:eastAsia="細明體" w:hint="eastAsia"/>
                <w:sz w:val="17"/>
                <w:szCs w:val="17"/>
                <w:lang w:eastAsia="zh-TW"/>
              </w:rPr>
              <w:t>零售</w:t>
            </w:r>
            <w:r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小型業務零售風險承擔；及</w:t>
            </w:r>
            <w:r w:rsidRPr="0022225D">
              <w:rPr>
                <w:rFonts w:eastAsia="細明體"/>
                <w:sz w:val="17"/>
                <w:szCs w:val="17"/>
                <w:lang w:eastAsia="zh-TW"/>
              </w:rPr>
              <w:t xml:space="preserve">(xiii) </w:t>
            </w:r>
            <w:r w:rsidR="00721592" w:rsidRPr="0022225D">
              <w:rPr>
                <w:rFonts w:eastAsia="細明體" w:hint="eastAsia"/>
                <w:sz w:val="17"/>
                <w:szCs w:val="17"/>
                <w:lang w:eastAsia="zh-TW"/>
              </w:rPr>
              <w:t>零售</w:t>
            </w:r>
            <w:r w:rsidR="00721592" w:rsidRPr="0022225D">
              <w:rPr>
                <w:rFonts w:ascii="細明體" w:eastAsia="細明體" w:hAnsi="細明體" w:cs="細明體" w:hint="eastAsia"/>
                <w:sz w:val="17"/>
                <w:szCs w:val="17"/>
                <w:lang w:eastAsia="zh-TW"/>
              </w:rPr>
              <w:t>──</w:t>
            </w:r>
            <w:r w:rsidRPr="0022225D">
              <w:rPr>
                <w:rFonts w:eastAsia="細明體" w:hint="eastAsia"/>
                <w:sz w:val="17"/>
                <w:szCs w:val="17"/>
                <w:lang w:eastAsia="zh-TW"/>
              </w:rPr>
              <w:t>其他對個人的零售風險承擔。（</w:t>
            </w:r>
            <w:r w:rsidRPr="0022225D">
              <w:rPr>
                <w:rFonts w:eastAsia="細明體"/>
                <w:sz w:val="17"/>
                <w:szCs w:val="17"/>
                <w:lang w:eastAsia="zh-TW"/>
              </w:rPr>
              <w:t>*</w:t>
            </w:r>
            <w:r w:rsidRPr="0022225D">
              <w:rPr>
                <w:rStyle w:val="shorttext"/>
                <w:rFonts w:eastAsia="細明體" w:hint="eastAsia"/>
                <w:color w:val="222222"/>
                <w:sz w:val="17"/>
                <w:szCs w:val="17"/>
                <w:lang w:eastAsia="zh-TW"/>
              </w:rPr>
              <w:t>僅適用於</w:t>
            </w:r>
            <w:r w:rsidRPr="0022225D">
              <w:rPr>
                <w:rFonts w:eastAsia="細明體" w:hint="eastAsia"/>
                <w:sz w:val="17"/>
                <w:szCs w:val="17"/>
                <w:lang w:eastAsia="zh-TW"/>
              </w:rPr>
              <w:t>使用基礎</w:t>
            </w:r>
            <w:r w:rsidRPr="0022225D">
              <w:rPr>
                <w:rFonts w:eastAsia="細明體"/>
                <w:sz w:val="17"/>
                <w:szCs w:val="17"/>
                <w:lang w:eastAsia="zh-TW"/>
              </w:rPr>
              <w:t>IRB</w:t>
            </w:r>
            <w:r w:rsidRPr="0022225D">
              <w:rPr>
                <w:rFonts w:eastAsia="細明體" w:hint="eastAsia"/>
                <w:sz w:val="17"/>
                <w:szCs w:val="17"/>
                <w:lang w:eastAsia="zh-TW"/>
              </w:rPr>
              <w:t>計算法或高級</w:t>
            </w:r>
            <w:r w:rsidRPr="0022225D">
              <w:rPr>
                <w:rFonts w:eastAsia="細明體"/>
                <w:sz w:val="17"/>
                <w:szCs w:val="17"/>
                <w:lang w:eastAsia="zh-TW"/>
              </w:rPr>
              <w:t>IRB</w:t>
            </w:r>
            <w:r w:rsidRPr="0022225D">
              <w:rPr>
                <w:rFonts w:eastAsia="細明體" w:hint="eastAsia"/>
                <w:sz w:val="17"/>
                <w:szCs w:val="17"/>
                <w:lang w:eastAsia="zh-TW"/>
              </w:rPr>
              <w:t>計算法計算的</w:t>
            </w:r>
            <w:r w:rsidRPr="0022225D">
              <w:rPr>
                <w:rFonts w:eastAsia="細明體" w:hint="eastAsia"/>
                <w:sz w:val="17"/>
                <w:szCs w:val="17"/>
                <w:lang w:eastAsia="zh-HK"/>
              </w:rPr>
              <w:t>專門性借貸</w:t>
            </w:r>
            <w:r w:rsidRPr="0022225D">
              <w:rPr>
                <w:rFonts w:eastAsia="細明體" w:hint="eastAsia"/>
                <w:sz w:val="17"/>
                <w:szCs w:val="17"/>
                <w:lang w:eastAsia="zh-TW"/>
              </w:rPr>
              <w:t>。）</w:t>
            </w:r>
          </w:p>
        </w:tc>
      </w:tr>
      <w:tr w:rsidR="005171C5" w:rsidRPr="005171C5" w14:paraId="5D567E54" w14:textId="77777777" w:rsidTr="003F0C1B">
        <w:trPr>
          <w:trHeight w:val="455"/>
        </w:trPr>
        <w:tc>
          <w:tcPr>
            <w:tcW w:w="567" w:type="dxa"/>
            <w:tcBorders>
              <w:top w:val="single" w:sz="4" w:space="0" w:color="000000"/>
              <w:left w:val="single" w:sz="4" w:space="0" w:color="000000"/>
              <w:bottom w:val="single" w:sz="4" w:space="0" w:color="000000"/>
            </w:tcBorders>
            <w:shd w:val="clear" w:color="auto" w:fill="auto"/>
          </w:tcPr>
          <w:p w14:paraId="3B65D071"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(b)</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4BFA5332" w14:textId="77777777" w:rsidR="005171C5" w:rsidRPr="005171C5" w:rsidRDefault="005171C5" w:rsidP="005171C5">
            <w:pPr>
              <w:suppressAutoHyphens/>
              <w:spacing w:before="60" w:after="120"/>
              <w:jc w:val="both"/>
              <w:rPr>
                <w:rFonts w:cs="Segoe UI"/>
                <w:sz w:val="15"/>
                <w:lang w:eastAsia="ar-SA"/>
              </w:rPr>
            </w:pPr>
            <w:r w:rsidRPr="005171C5">
              <w:rPr>
                <w:rFonts w:eastAsia="細明體" w:cs="Segoe UI"/>
                <w:i/>
                <w:sz w:val="17"/>
                <w:szCs w:val="17"/>
                <w:lang w:eastAsia="ar-SA"/>
              </w:rPr>
              <w:t>PD</w:t>
            </w:r>
            <w:r w:rsidRPr="005171C5">
              <w:rPr>
                <w:rFonts w:eastAsia="細明體" w:cs="Segoe UI" w:hint="eastAsia"/>
                <w:i/>
                <w:sz w:val="17"/>
                <w:szCs w:val="17"/>
                <w:lang w:eastAsia="ar-SA"/>
              </w:rPr>
              <w:t>範圍</w:t>
            </w:r>
            <w:r w:rsidRPr="005171C5">
              <w:rPr>
                <w:rFonts w:eastAsia="細明體" w:cs="Segoe UI" w:hint="eastAsia"/>
                <w:sz w:val="17"/>
                <w:szCs w:val="17"/>
                <w:lang w:eastAsia="ar-SA"/>
              </w:rPr>
              <w:t>：</w:t>
            </w:r>
            <w:r w:rsidRPr="005171C5">
              <w:rPr>
                <w:rFonts w:eastAsia="細明體" w:cs="Segoe UI" w:hint="eastAsia"/>
                <w:sz w:val="17"/>
                <w:szCs w:val="17"/>
                <w:lang w:eastAsia="zh-TW"/>
              </w:rPr>
              <w:t>就</w:t>
            </w:r>
            <w:r w:rsidRPr="005171C5">
              <w:rPr>
                <w:rFonts w:eastAsia="細明體" w:cs="Segoe UI" w:hint="eastAsia"/>
                <w:sz w:val="17"/>
                <w:szCs w:val="17"/>
                <w:lang w:eastAsia="ar-SA"/>
              </w:rPr>
              <w:t>有關組合</w:t>
            </w:r>
            <w:r w:rsidRPr="005171C5">
              <w:rPr>
                <w:rFonts w:eastAsia="細明體" w:cs="Segoe UI" w:hint="eastAsia"/>
                <w:sz w:val="17"/>
                <w:szCs w:val="17"/>
                <w:lang w:eastAsia="zh-TW"/>
              </w:rPr>
              <w:t>於期初編配予承擔義務人</w:t>
            </w:r>
            <w:r w:rsidRPr="005171C5">
              <w:rPr>
                <w:rFonts w:eastAsia="細明體" w:cs="Segoe UI" w:hint="eastAsia"/>
                <w:sz w:val="17"/>
                <w:szCs w:val="17"/>
                <w:lang w:eastAsia="ar-SA"/>
              </w:rPr>
              <w:t>的</w:t>
            </w:r>
            <w:r w:rsidRPr="005171C5">
              <w:rPr>
                <w:rFonts w:eastAsia="細明體" w:cs="Segoe UI"/>
                <w:sz w:val="17"/>
                <w:szCs w:val="17"/>
                <w:lang w:eastAsia="ar-SA"/>
              </w:rPr>
              <w:t>PD</w:t>
            </w:r>
            <w:r w:rsidRPr="005171C5">
              <w:rPr>
                <w:rFonts w:eastAsia="細明體" w:cs="Segoe UI" w:hint="eastAsia"/>
                <w:sz w:val="17"/>
                <w:szCs w:val="17"/>
                <w:lang w:eastAsia="ar-SA"/>
              </w:rPr>
              <w:t>值的最高及最低水平。</w:t>
            </w:r>
          </w:p>
        </w:tc>
      </w:tr>
      <w:tr w:rsidR="005171C5" w:rsidRPr="005171C5" w14:paraId="583AACCB" w14:textId="77777777" w:rsidTr="003F0C1B">
        <w:tc>
          <w:tcPr>
            <w:tcW w:w="567" w:type="dxa"/>
            <w:tcBorders>
              <w:top w:val="single" w:sz="4" w:space="0" w:color="000000"/>
              <w:left w:val="single" w:sz="4" w:space="0" w:color="000000"/>
              <w:bottom w:val="single" w:sz="4" w:space="0" w:color="000000"/>
            </w:tcBorders>
            <w:shd w:val="clear" w:color="auto" w:fill="auto"/>
          </w:tcPr>
          <w:p w14:paraId="5A393C33"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(c)</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60C748A4" w14:textId="77777777" w:rsidR="005171C5" w:rsidRPr="005171C5" w:rsidRDefault="005171C5" w:rsidP="005171C5">
            <w:pPr>
              <w:suppressAutoHyphens/>
              <w:spacing w:before="60" w:after="120"/>
              <w:jc w:val="both"/>
              <w:rPr>
                <w:rFonts w:cs="Segoe UI"/>
                <w:sz w:val="15"/>
                <w:lang w:eastAsia="ar-SA"/>
              </w:rPr>
            </w:pPr>
            <w:r w:rsidRPr="005171C5">
              <w:rPr>
                <w:rFonts w:eastAsia="細明體" w:cs="Segoe UI" w:hint="eastAsia"/>
                <w:i/>
                <w:sz w:val="17"/>
                <w:szCs w:val="17"/>
                <w:lang w:eastAsia="ar-SA"/>
              </w:rPr>
              <w:t>外部評級等值</w:t>
            </w:r>
            <w:r w:rsidRPr="005171C5">
              <w:rPr>
                <w:rFonts w:eastAsia="細明體" w:cs="Segoe UI" w:hint="eastAsia"/>
                <w:sz w:val="17"/>
                <w:szCs w:val="17"/>
                <w:lang w:eastAsia="ar-SA"/>
              </w:rPr>
              <w:t>：就每間</w:t>
            </w:r>
            <w:r w:rsidRPr="005171C5">
              <w:rPr>
                <w:rFonts w:eastAsia="細明體" w:cs="Segoe UI"/>
                <w:sz w:val="17"/>
                <w:szCs w:val="17"/>
                <w:lang w:eastAsia="ar-SA"/>
              </w:rPr>
              <w:t>ECAI</w:t>
            </w:r>
            <w:r w:rsidRPr="005171C5">
              <w:rPr>
                <w:rFonts w:eastAsia="細明體" w:cs="Segoe UI" w:hint="eastAsia"/>
                <w:sz w:val="17"/>
                <w:szCs w:val="17"/>
                <w:lang w:eastAsia="zh-TW"/>
              </w:rPr>
              <w:t>、</w:t>
            </w:r>
            <w:r w:rsidRPr="005171C5">
              <w:rPr>
                <w:rFonts w:eastAsia="細明體" w:cs="Segoe UI" w:hint="eastAsia"/>
                <w:sz w:val="17"/>
                <w:szCs w:val="17"/>
                <w:lang w:eastAsia="ar-SA"/>
              </w:rPr>
              <w:t>在香港或在認可機構營運的其他司法管轄區為審慎監管目的而獲認可的信用評級機構，填寫一欄。本欄可能不適用於沒有外部評級的零售組合。如有多於一間適用的</w:t>
            </w:r>
            <w:r w:rsidRPr="005171C5">
              <w:rPr>
                <w:rFonts w:eastAsia="細明體" w:cs="Segoe UI"/>
                <w:sz w:val="17"/>
                <w:szCs w:val="17"/>
                <w:lang w:eastAsia="ar-SA"/>
              </w:rPr>
              <w:t>ECAI</w:t>
            </w:r>
            <w:r w:rsidRPr="005171C5">
              <w:rPr>
                <w:rFonts w:eastAsia="細明體" w:cs="Segoe UI" w:hint="eastAsia"/>
                <w:sz w:val="17"/>
                <w:szCs w:val="17"/>
                <w:lang w:eastAsia="ar-SA"/>
              </w:rPr>
              <w:t>或信用評級機構，應加入欄</w:t>
            </w:r>
            <w:r w:rsidRPr="005171C5">
              <w:rPr>
                <w:rFonts w:eastAsia="細明體" w:cs="Segoe UI"/>
                <w:sz w:val="17"/>
                <w:szCs w:val="17"/>
                <w:lang w:eastAsia="ar-SA"/>
              </w:rPr>
              <w:t>(c)(</w:t>
            </w:r>
            <w:proofErr w:type="spellStart"/>
            <w:r w:rsidRPr="005171C5">
              <w:rPr>
                <w:rFonts w:eastAsia="細明體" w:cs="Segoe UI"/>
                <w:sz w:val="17"/>
                <w:szCs w:val="17"/>
                <w:lang w:eastAsia="ar-SA"/>
              </w:rPr>
              <w:t>i</w:t>
            </w:r>
            <w:proofErr w:type="spellEnd"/>
            <w:r w:rsidRPr="005171C5">
              <w:rPr>
                <w:rFonts w:eastAsia="細明體" w:cs="Segoe UI"/>
                <w:sz w:val="17"/>
                <w:szCs w:val="17"/>
                <w:lang w:eastAsia="ar-SA"/>
              </w:rPr>
              <w:t>)</w:t>
            </w:r>
            <w:r w:rsidRPr="005171C5">
              <w:rPr>
                <w:rFonts w:eastAsia="細明體" w:cs="Segoe UI" w:hint="eastAsia"/>
                <w:sz w:val="17"/>
                <w:szCs w:val="17"/>
                <w:lang w:eastAsia="ar-SA"/>
              </w:rPr>
              <w:t>、</w:t>
            </w:r>
            <w:r w:rsidRPr="005171C5">
              <w:rPr>
                <w:rFonts w:eastAsia="細明體" w:cs="Segoe UI"/>
                <w:sz w:val="17"/>
                <w:szCs w:val="17"/>
                <w:lang w:eastAsia="ar-SA"/>
              </w:rPr>
              <w:t>(c)(ii)</w:t>
            </w:r>
            <w:r w:rsidRPr="005171C5">
              <w:rPr>
                <w:rFonts w:eastAsia="細明體" w:cs="Segoe UI" w:hint="eastAsia"/>
                <w:sz w:val="17"/>
                <w:szCs w:val="17"/>
                <w:lang w:eastAsia="ar-SA"/>
              </w:rPr>
              <w:t>等如此類推，以作出披露。</w:t>
            </w:r>
          </w:p>
        </w:tc>
      </w:tr>
      <w:tr w:rsidR="005171C5" w:rsidRPr="005171C5" w14:paraId="04407DF5" w14:textId="77777777" w:rsidTr="003F0C1B">
        <w:tc>
          <w:tcPr>
            <w:tcW w:w="567" w:type="dxa"/>
            <w:tcBorders>
              <w:top w:val="single" w:sz="4" w:space="0" w:color="000000"/>
              <w:left w:val="single" w:sz="4" w:space="0" w:color="000000"/>
              <w:bottom w:val="single" w:sz="4" w:space="0" w:color="000000"/>
            </w:tcBorders>
            <w:shd w:val="clear" w:color="auto" w:fill="auto"/>
          </w:tcPr>
          <w:p w14:paraId="5E03D331"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(d)</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53C9EAC6" w14:textId="77777777" w:rsidR="005171C5" w:rsidRPr="005171C5" w:rsidRDefault="005171C5" w:rsidP="005171C5">
            <w:pPr>
              <w:suppressAutoHyphens/>
              <w:spacing w:before="60" w:after="120"/>
              <w:jc w:val="both"/>
              <w:rPr>
                <w:rFonts w:cs="Segoe UI"/>
                <w:sz w:val="15"/>
                <w:lang w:eastAsia="ar-SA"/>
              </w:rPr>
            </w:pPr>
            <w:r w:rsidRPr="005171C5">
              <w:rPr>
                <w:rFonts w:eastAsia="細明體" w:cs="Segoe UI" w:hint="eastAsia"/>
                <w:i/>
                <w:sz w:val="17"/>
                <w:szCs w:val="17"/>
                <w:lang w:eastAsia="ar-SA"/>
              </w:rPr>
              <w:t>加權平均</w:t>
            </w:r>
            <w:r w:rsidRPr="005171C5">
              <w:rPr>
                <w:rFonts w:eastAsia="細明體" w:cs="Segoe UI"/>
                <w:i/>
                <w:sz w:val="17"/>
                <w:szCs w:val="17"/>
                <w:lang w:eastAsia="ar-SA"/>
              </w:rPr>
              <w:t>PD</w:t>
            </w:r>
            <w:r w:rsidRPr="005171C5">
              <w:rPr>
                <w:rFonts w:eastAsia="細明體" w:cs="Segoe UI" w:hint="eastAsia"/>
                <w:sz w:val="17"/>
                <w:szCs w:val="17"/>
                <w:lang w:eastAsia="ar-SA"/>
              </w:rPr>
              <w:t>：</w:t>
            </w:r>
            <w:r w:rsidRPr="005171C5">
              <w:rPr>
                <w:rFonts w:eastAsia="細明體" w:cs="Segoe UI" w:hint="eastAsia"/>
                <w:sz w:val="17"/>
                <w:szCs w:val="17"/>
                <w:lang w:eastAsia="zh-TW"/>
              </w:rPr>
              <w:t>就</w:t>
            </w:r>
            <w:r w:rsidRPr="005171C5">
              <w:rPr>
                <w:rFonts w:eastAsia="細明體" w:cs="Segoe UI"/>
                <w:sz w:val="17"/>
                <w:szCs w:val="17"/>
                <w:lang w:eastAsia="ar-SA"/>
              </w:rPr>
              <w:t>IRB</w:t>
            </w:r>
            <w:r w:rsidRPr="005171C5">
              <w:rPr>
                <w:rFonts w:eastAsia="細明體" w:cs="Segoe UI" w:hint="eastAsia"/>
                <w:sz w:val="17"/>
                <w:szCs w:val="17"/>
                <w:lang w:eastAsia="ar-SA"/>
              </w:rPr>
              <w:t>計算法</w:t>
            </w:r>
            <w:r w:rsidRPr="005171C5">
              <w:rPr>
                <w:rFonts w:eastAsia="細明體" w:cs="Segoe UI" w:hint="eastAsia"/>
                <w:sz w:val="17"/>
                <w:szCs w:val="17"/>
                <w:lang w:eastAsia="zh-TW"/>
              </w:rPr>
              <w:t>下</w:t>
            </w:r>
            <w:r w:rsidRPr="005171C5">
              <w:rPr>
                <w:rFonts w:eastAsia="細明體" w:cs="Segoe UI" w:hint="eastAsia"/>
                <w:sz w:val="17"/>
                <w:szCs w:val="17"/>
                <w:lang w:eastAsia="ar-SA"/>
              </w:rPr>
              <w:t>認可的內部模式</w:t>
            </w:r>
            <w:r w:rsidRPr="005171C5">
              <w:rPr>
                <w:rFonts w:eastAsia="細明體" w:cs="Segoe UI" w:hint="eastAsia"/>
                <w:sz w:val="17"/>
                <w:szCs w:val="17"/>
                <w:lang w:eastAsia="zh-TW"/>
              </w:rPr>
              <w:t>，於期初編配予承擔義務人</w:t>
            </w:r>
            <w:r w:rsidRPr="005171C5">
              <w:rPr>
                <w:rFonts w:eastAsia="細明體" w:cs="Segoe UI" w:hint="eastAsia"/>
                <w:sz w:val="17"/>
                <w:szCs w:val="17"/>
                <w:lang w:eastAsia="ar-SA"/>
              </w:rPr>
              <w:t>的估計</w:t>
            </w:r>
            <w:r w:rsidRPr="005171C5">
              <w:rPr>
                <w:rFonts w:eastAsia="細明體" w:cs="Segoe UI"/>
                <w:sz w:val="17"/>
                <w:szCs w:val="17"/>
                <w:lang w:eastAsia="ar-SA"/>
              </w:rPr>
              <w:t>PD</w:t>
            </w:r>
            <w:r w:rsidRPr="005171C5">
              <w:rPr>
                <w:rFonts w:eastAsia="細明體" w:cs="Segoe UI" w:hint="eastAsia"/>
                <w:sz w:val="17"/>
                <w:szCs w:val="17"/>
                <w:lang w:eastAsia="ar-SA"/>
              </w:rPr>
              <w:t>值。</w:t>
            </w:r>
            <w:r w:rsidRPr="005171C5">
              <w:rPr>
                <w:rFonts w:eastAsia="細明體" w:cs="Segoe UI"/>
                <w:sz w:val="17"/>
                <w:szCs w:val="17"/>
                <w:lang w:eastAsia="ar-SA"/>
              </w:rPr>
              <w:t>PD</w:t>
            </w:r>
            <w:r w:rsidRPr="005171C5">
              <w:rPr>
                <w:rFonts w:eastAsia="細明體" w:cs="Segoe UI" w:hint="eastAsia"/>
                <w:sz w:val="17"/>
                <w:szCs w:val="17"/>
                <w:lang w:eastAsia="ar-SA"/>
              </w:rPr>
              <w:t>值以</w:t>
            </w:r>
            <w:r w:rsidRPr="005171C5">
              <w:rPr>
                <w:rFonts w:eastAsia="細明體" w:cs="Segoe UI"/>
                <w:sz w:val="17"/>
                <w:szCs w:val="17"/>
                <w:lang w:eastAsia="ar-SA"/>
              </w:rPr>
              <w:t>EAD</w:t>
            </w:r>
            <w:r w:rsidRPr="005171C5">
              <w:rPr>
                <w:rFonts w:eastAsia="細明體" w:cs="Segoe UI" w:hint="eastAsia"/>
                <w:sz w:val="17"/>
                <w:szCs w:val="17"/>
                <w:lang w:eastAsia="ar-SA"/>
              </w:rPr>
              <w:t>加權，而「權重」為期初沒有違責的</w:t>
            </w:r>
            <w:r w:rsidRPr="005171C5">
              <w:rPr>
                <w:rFonts w:eastAsia="細明體" w:cs="Segoe UI"/>
                <w:sz w:val="17"/>
                <w:szCs w:val="17"/>
                <w:lang w:eastAsia="ar-SA"/>
              </w:rPr>
              <w:t>EAD</w:t>
            </w:r>
            <w:r w:rsidRPr="005171C5">
              <w:rPr>
                <w:rFonts w:eastAsia="細明體" w:cs="Segoe UI" w:hint="eastAsia"/>
                <w:sz w:val="17"/>
                <w:szCs w:val="17"/>
                <w:lang w:eastAsia="ar-SA"/>
              </w:rPr>
              <w:t>。</w:t>
            </w:r>
            <w:r w:rsidRPr="005171C5">
              <w:rPr>
                <w:rFonts w:eastAsia="細明體" w:cs="Segoe UI"/>
                <w:sz w:val="17"/>
                <w:szCs w:val="17"/>
                <w:lang w:eastAsia="ar-SA"/>
              </w:rPr>
              <w:t xml:space="preserve"> </w:t>
            </w:r>
          </w:p>
        </w:tc>
      </w:tr>
      <w:tr w:rsidR="005171C5" w:rsidRPr="005171C5" w14:paraId="48D3BFE3" w14:textId="77777777" w:rsidTr="003F0C1B">
        <w:tc>
          <w:tcPr>
            <w:tcW w:w="567" w:type="dxa"/>
            <w:tcBorders>
              <w:top w:val="single" w:sz="4" w:space="0" w:color="000000"/>
              <w:left w:val="single" w:sz="4" w:space="0" w:color="000000"/>
              <w:bottom w:val="single" w:sz="4" w:space="0" w:color="000000"/>
            </w:tcBorders>
            <w:shd w:val="clear" w:color="auto" w:fill="auto"/>
          </w:tcPr>
          <w:p w14:paraId="392CD32E"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(e)</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07AE67E0" w14:textId="77777777" w:rsidR="005171C5" w:rsidRPr="005171C5" w:rsidRDefault="005171C5" w:rsidP="005171C5">
            <w:pPr>
              <w:suppressAutoHyphens/>
              <w:spacing w:before="60" w:after="120"/>
              <w:jc w:val="both"/>
              <w:rPr>
                <w:rFonts w:cs="Segoe UI"/>
                <w:sz w:val="15"/>
                <w:lang w:eastAsia="ar-SA"/>
              </w:rPr>
            </w:pPr>
            <w:r w:rsidRPr="005171C5">
              <w:rPr>
                <w:rFonts w:eastAsia="細明體" w:cs="Segoe UI" w:hint="eastAsia"/>
                <w:i/>
                <w:sz w:val="17"/>
                <w:szCs w:val="17"/>
                <w:lang w:eastAsia="ar-SA"/>
              </w:rPr>
              <w:t>按承擔義務人算術的平均</w:t>
            </w:r>
            <w:r w:rsidRPr="005171C5">
              <w:rPr>
                <w:rFonts w:eastAsia="細明體" w:cs="Segoe UI"/>
                <w:i/>
                <w:sz w:val="17"/>
                <w:szCs w:val="17"/>
                <w:lang w:eastAsia="ar-SA"/>
              </w:rPr>
              <w:t>PD</w:t>
            </w:r>
            <w:r w:rsidRPr="005171C5">
              <w:rPr>
                <w:rFonts w:eastAsia="細明體" w:cs="Segoe UI" w:hint="eastAsia"/>
                <w:sz w:val="17"/>
                <w:szCs w:val="17"/>
                <w:lang w:eastAsia="ar-SA"/>
              </w:rPr>
              <w:t>：為</w:t>
            </w:r>
            <w:r w:rsidRPr="005171C5">
              <w:rPr>
                <w:rFonts w:eastAsia="細明體" w:cs="Segoe UI" w:hint="eastAsia"/>
                <w:sz w:val="17"/>
                <w:szCs w:val="17"/>
                <w:lang w:eastAsia="zh-TW"/>
              </w:rPr>
              <w:t>期初的</w:t>
            </w:r>
            <w:r w:rsidRPr="005171C5">
              <w:rPr>
                <w:rFonts w:eastAsia="細明體" w:cs="Segoe UI"/>
                <w:sz w:val="17"/>
                <w:szCs w:val="17"/>
                <w:lang w:eastAsia="ar-SA"/>
              </w:rPr>
              <w:t>PD</w:t>
            </w:r>
            <w:r w:rsidRPr="005171C5">
              <w:rPr>
                <w:rFonts w:eastAsia="細明體" w:cs="Segoe UI" w:hint="eastAsia"/>
                <w:sz w:val="17"/>
                <w:szCs w:val="17"/>
                <w:lang w:eastAsia="ar-SA"/>
              </w:rPr>
              <w:t>簡單平均數，計算方法為合計在範圍內的承擔義務人的</w:t>
            </w:r>
            <w:r w:rsidRPr="005171C5">
              <w:rPr>
                <w:rFonts w:eastAsia="細明體" w:cs="Segoe UI"/>
                <w:sz w:val="17"/>
                <w:szCs w:val="17"/>
                <w:lang w:eastAsia="ar-SA"/>
              </w:rPr>
              <w:t>PD</w:t>
            </w:r>
            <w:r w:rsidRPr="005171C5">
              <w:rPr>
                <w:rFonts w:eastAsia="細明體" w:cs="Segoe UI" w:hint="eastAsia"/>
                <w:sz w:val="17"/>
                <w:szCs w:val="17"/>
                <w:lang w:eastAsia="ar-SA"/>
              </w:rPr>
              <w:t>值，然後除以在該範圍內的承擔義務人總數。</w:t>
            </w:r>
          </w:p>
        </w:tc>
      </w:tr>
      <w:tr w:rsidR="005171C5" w:rsidRPr="005171C5" w14:paraId="0E2B0654" w14:textId="77777777" w:rsidTr="003F0C1B">
        <w:tc>
          <w:tcPr>
            <w:tcW w:w="567" w:type="dxa"/>
            <w:tcBorders>
              <w:top w:val="single" w:sz="4" w:space="0" w:color="000000"/>
              <w:left w:val="single" w:sz="4" w:space="0" w:color="000000"/>
              <w:bottom w:val="single" w:sz="4" w:space="0" w:color="000000"/>
            </w:tcBorders>
            <w:shd w:val="clear" w:color="auto" w:fill="auto"/>
          </w:tcPr>
          <w:p w14:paraId="7E753430"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(f)</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716015A3" w14:textId="77777777" w:rsidR="005171C5" w:rsidRPr="005171C5" w:rsidRDefault="005171C5" w:rsidP="005171C5">
            <w:pPr>
              <w:suppressAutoHyphens/>
              <w:spacing w:before="60" w:after="120"/>
              <w:jc w:val="both"/>
              <w:rPr>
                <w:rFonts w:cs="Segoe UI"/>
                <w:sz w:val="15"/>
                <w:lang w:eastAsia="ar-SA"/>
              </w:rPr>
            </w:pPr>
            <w:r w:rsidRPr="005171C5">
              <w:rPr>
                <w:rFonts w:eastAsia="細明體" w:cs="Segoe UI" w:hint="eastAsia"/>
                <w:i/>
                <w:sz w:val="17"/>
                <w:szCs w:val="17"/>
                <w:lang w:eastAsia="ar-SA"/>
              </w:rPr>
              <w:t>承擔義務人數目</w:t>
            </w:r>
            <w:r w:rsidRPr="005171C5">
              <w:rPr>
                <w:rFonts w:eastAsia="細明體" w:cs="Segoe UI" w:hint="eastAsia"/>
                <w:sz w:val="17"/>
                <w:szCs w:val="17"/>
                <w:lang w:eastAsia="ar-SA"/>
              </w:rPr>
              <w:t>：須填報兩組資料：</w:t>
            </w:r>
            <w:r w:rsidRPr="005171C5">
              <w:rPr>
                <w:rFonts w:eastAsia="細明體" w:cs="Segoe UI" w:hint="eastAsia"/>
                <w:sz w:val="17"/>
                <w:szCs w:val="17"/>
                <w:lang w:eastAsia="zh-TW"/>
              </w:rPr>
              <w:t>應予匯報</w:t>
            </w:r>
            <w:r w:rsidRPr="005171C5">
              <w:rPr>
                <w:rFonts w:eastAsia="細明體" w:cs="Segoe UI" w:hint="eastAsia"/>
                <w:sz w:val="17"/>
                <w:szCs w:val="17"/>
                <w:lang w:eastAsia="ar-SA"/>
              </w:rPr>
              <w:t>的</w:t>
            </w:r>
            <w:r w:rsidRPr="005171C5">
              <w:rPr>
                <w:rFonts w:eastAsia="細明體" w:cs="Segoe UI"/>
                <w:sz w:val="17"/>
                <w:szCs w:val="17"/>
                <w:lang w:eastAsia="ar-SA"/>
              </w:rPr>
              <w:t>(</w:t>
            </w:r>
            <w:proofErr w:type="spellStart"/>
            <w:r w:rsidRPr="005171C5">
              <w:rPr>
                <w:rFonts w:eastAsia="細明體" w:cs="Segoe UI"/>
                <w:sz w:val="17"/>
                <w:szCs w:val="17"/>
                <w:lang w:eastAsia="ar-SA"/>
              </w:rPr>
              <w:t>i</w:t>
            </w:r>
            <w:proofErr w:type="spellEnd"/>
            <w:r w:rsidRPr="005171C5">
              <w:rPr>
                <w:rFonts w:eastAsia="細明體" w:cs="Segoe UI"/>
                <w:sz w:val="17"/>
                <w:szCs w:val="17"/>
                <w:lang w:eastAsia="ar-SA"/>
              </w:rPr>
              <w:t>)</w:t>
            </w:r>
            <w:r w:rsidRPr="005171C5">
              <w:rPr>
                <w:rFonts w:eastAsia="細明體" w:cs="Segoe UI" w:hint="eastAsia"/>
                <w:sz w:val="17"/>
                <w:szCs w:val="17"/>
                <w:lang w:eastAsia="ar-SA"/>
              </w:rPr>
              <w:t>年初承擔義務人數目；及</w:t>
            </w:r>
            <w:r w:rsidRPr="005171C5">
              <w:rPr>
                <w:rFonts w:eastAsia="細明體" w:cs="Segoe UI"/>
                <w:sz w:val="17"/>
                <w:szCs w:val="17"/>
                <w:lang w:eastAsia="ar-SA"/>
              </w:rPr>
              <w:t>(ii)</w:t>
            </w:r>
            <w:r w:rsidRPr="005171C5">
              <w:rPr>
                <w:rFonts w:eastAsia="細明體" w:cs="Segoe UI" w:hint="eastAsia"/>
                <w:sz w:val="17"/>
                <w:szCs w:val="17"/>
                <w:lang w:eastAsia="ar-SA"/>
              </w:rPr>
              <w:t>年底承擔義務人數目。「年初」子</w:t>
            </w:r>
            <w:r w:rsidRPr="005171C5">
              <w:rPr>
                <w:rFonts w:eastAsia="細明體" w:cs="Segoe UI"/>
                <w:sz w:val="17"/>
                <w:szCs w:val="17"/>
                <w:lang w:eastAsia="ar-SA"/>
              </w:rPr>
              <w:t>欄</w:t>
            </w:r>
            <w:r w:rsidRPr="005171C5">
              <w:rPr>
                <w:rFonts w:eastAsia="細明體" w:cs="Segoe UI" w:hint="eastAsia"/>
                <w:sz w:val="17"/>
                <w:szCs w:val="17"/>
                <w:lang w:eastAsia="ar-SA"/>
              </w:rPr>
              <w:t>應</w:t>
            </w:r>
            <w:r w:rsidRPr="005171C5">
              <w:rPr>
                <w:rFonts w:eastAsia="細明體" w:cs="Segoe UI"/>
                <w:sz w:val="17"/>
                <w:szCs w:val="17"/>
                <w:lang w:eastAsia="ar-SA"/>
              </w:rPr>
              <w:t>包括</w:t>
            </w:r>
            <w:r w:rsidRPr="005171C5">
              <w:rPr>
                <w:rFonts w:eastAsia="細明體" w:cs="Segoe UI" w:hint="eastAsia"/>
                <w:sz w:val="17"/>
                <w:szCs w:val="17"/>
                <w:lang w:eastAsia="ar-SA"/>
              </w:rPr>
              <w:t>於</w:t>
            </w:r>
            <w:r w:rsidRPr="005171C5">
              <w:rPr>
                <w:rFonts w:eastAsia="細明體" w:cs="Segoe UI"/>
                <w:sz w:val="17"/>
                <w:szCs w:val="17"/>
                <w:lang w:eastAsia="ar-SA"/>
              </w:rPr>
              <w:t>年初</w:t>
            </w:r>
            <w:r w:rsidRPr="005171C5">
              <w:rPr>
                <w:rFonts w:eastAsia="細明體" w:cs="Segoe UI" w:hint="eastAsia"/>
                <w:sz w:val="17"/>
                <w:szCs w:val="17"/>
                <w:lang w:eastAsia="zh-TW"/>
              </w:rPr>
              <w:t>沒有</w:t>
            </w:r>
            <w:r w:rsidRPr="005171C5">
              <w:rPr>
                <w:rFonts w:eastAsia="細明體" w:cs="Segoe UI"/>
                <w:sz w:val="17"/>
                <w:szCs w:val="17"/>
                <w:lang w:eastAsia="ar-SA"/>
              </w:rPr>
              <w:t>違責</w:t>
            </w:r>
            <w:r w:rsidRPr="005171C5">
              <w:rPr>
                <w:rFonts w:eastAsia="細明體" w:cs="Segoe UI" w:hint="eastAsia"/>
                <w:sz w:val="17"/>
                <w:szCs w:val="17"/>
                <w:lang w:eastAsia="zh-TW"/>
              </w:rPr>
              <w:t>而應予</w:t>
            </w:r>
            <w:r w:rsidRPr="005171C5">
              <w:rPr>
                <w:rFonts w:eastAsia="細明體" w:cs="Segoe UI" w:hint="eastAsia"/>
                <w:sz w:val="17"/>
                <w:szCs w:val="17"/>
                <w:lang w:eastAsia="ar-SA"/>
              </w:rPr>
              <w:t>披露</w:t>
            </w:r>
            <w:r w:rsidRPr="005171C5">
              <w:rPr>
                <w:rFonts w:eastAsia="細明體" w:cs="Segoe UI" w:hint="eastAsia"/>
                <w:sz w:val="17"/>
                <w:szCs w:val="17"/>
                <w:lang w:eastAsia="zh-TW"/>
              </w:rPr>
              <w:t>的</w:t>
            </w:r>
            <w:r w:rsidRPr="005171C5">
              <w:rPr>
                <w:rFonts w:eastAsia="細明體" w:cs="Segoe UI"/>
                <w:sz w:val="17"/>
                <w:szCs w:val="17"/>
                <w:lang w:eastAsia="ar-SA"/>
              </w:rPr>
              <w:t>承擔義務人</w:t>
            </w:r>
            <w:r w:rsidRPr="005171C5">
              <w:rPr>
                <w:rFonts w:eastAsia="細明體" w:cs="Segoe UI" w:hint="eastAsia"/>
                <w:sz w:val="17"/>
                <w:szCs w:val="17"/>
                <w:lang w:eastAsia="ar-SA"/>
              </w:rPr>
              <w:t>；「年底」子欄應包括該等</w:t>
            </w:r>
            <w:r w:rsidRPr="005171C5">
              <w:rPr>
                <w:rFonts w:eastAsia="細明體" w:cs="Segoe UI" w:hint="eastAsia"/>
                <w:sz w:val="17"/>
                <w:szCs w:val="17"/>
                <w:lang w:eastAsia="zh-TW"/>
              </w:rPr>
              <w:t>屬於</w:t>
            </w:r>
            <w:r w:rsidRPr="005171C5">
              <w:rPr>
                <w:rFonts w:eastAsia="細明體" w:cs="Segoe UI" w:hint="eastAsia"/>
                <w:sz w:val="17"/>
                <w:szCs w:val="17"/>
                <w:lang w:eastAsia="ar-SA"/>
              </w:rPr>
              <w:t>已被列入「年初」子</w:t>
            </w:r>
            <w:r w:rsidRPr="005171C5">
              <w:rPr>
                <w:rFonts w:eastAsia="細明體" w:cs="Segoe UI"/>
                <w:sz w:val="17"/>
                <w:szCs w:val="17"/>
                <w:lang w:eastAsia="ar-SA"/>
              </w:rPr>
              <w:t>欄</w:t>
            </w:r>
            <w:r w:rsidRPr="005171C5">
              <w:rPr>
                <w:rFonts w:eastAsia="細明體" w:cs="Segoe UI" w:hint="eastAsia"/>
                <w:sz w:val="17"/>
                <w:szCs w:val="17"/>
                <w:lang w:eastAsia="zh-TW"/>
              </w:rPr>
              <w:t>的</w:t>
            </w:r>
            <w:r w:rsidRPr="005171C5">
              <w:rPr>
                <w:rFonts w:eastAsia="細明體" w:cs="Segoe UI" w:hint="eastAsia"/>
                <w:sz w:val="17"/>
                <w:szCs w:val="17"/>
                <w:lang w:eastAsia="ar-SA"/>
              </w:rPr>
              <w:t>承擔義務人、並且沒有違責</w:t>
            </w:r>
            <w:r w:rsidRPr="005171C5">
              <w:rPr>
                <w:rFonts w:eastAsia="細明體" w:cs="Segoe UI"/>
                <w:sz w:val="17"/>
                <w:szCs w:val="17"/>
                <w:lang w:eastAsia="ar-SA"/>
              </w:rPr>
              <w:t>的</w:t>
            </w:r>
            <w:r w:rsidRPr="005171C5">
              <w:rPr>
                <w:rFonts w:eastAsia="細明體" w:cs="Segoe UI" w:hint="eastAsia"/>
                <w:sz w:val="17"/>
                <w:szCs w:val="17"/>
                <w:lang w:eastAsia="ar-SA"/>
              </w:rPr>
              <w:t>帳戶，加上年內</w:t>
            </w:r>
            <w:r w:rsidRPr="005171C5">
              <w:rPr>
                <w:rFonts w:eastAsia="細明體" w:cs="Segoe UI" w:hint="eastAsia"/>
                <w:sz w:val="17"/>
                <w:szCs w:val="17"/>
                <w:lang w:eastAsia="zh-TW"/>
              </w:rPr>
              <w:t>新</w:t>
            </w:r>
            <w:r w:rsidRPr="005171C5">
              <w:rPr>
                <w:rFonts w:eastAsia="細明體" w:cs="Segoe UI" w:hint="eastAsia"/>
                <w:sz w:val="17"/>
                <w:szCs w:val="17"/>
                <w:lang w:eastAsia="ar-SA"/>
              </w:rPr>
              <w:t>增的承擔義務人。</w:t>
            </w:r>
          </w:p>
        </w:tc>
      </w:tr>
      <w:tr w:rsidR="005171C5" w:rsidRPr="005171C5" w14:paraId="308DAFAF" w14:textId="77777777" w:rsidTr="003F0C1B">
        <w:tc>
          <w:tcPr>
            <w:tcW w:w="567" w:type="dxa"/>
            <w:tcBorders>
              <w:top w:val="single" w:sz="4" w:space="0" w:color="000000"/>
              <w:left w:val="single" w:sz="4" w:space="0" w:color="000000"/>
              <w:bottom w:val="single" w:sz="4" w:space="0" w:color="000000"/>
            </w:tcBorders>
            <w:shd w:val="clear" w:color="auto" w:fill="auto"/>
          </w:tcPr>
          <w:p w14:paraId="239E7E96"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(g)</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126B1191" w14:textId="77777777" w:rsidR="005171C5" w:rsidRPr="005171C5" w:rsidRDefault="005171C5" w:rsidP="005171C5">
            <w:pPr>
              <w:suppressAutoHyphens/>
              <w:spacing w:before="60" w:after="120"/>
              <w:jc w:val="both"/>
              <w:rPr>
                <w:rFonts w:cs="Segoe UI"/>
                <w:sz w:val="15"/>
                <w:lang w:eastAsia="ar-SA"/>
              </w:rPr>
            </w:pPr>
            <w:r w:rsidRPr="005171C5">
              <w:rPr>
                <w:rFonts w:eastAsia="細明體" w:cs="Segoe UI" w:hint="eastAsia"/>
                <w:i/>
                <w:sz w:val="17"/>
                <w:szCs w:val="17"/>
                <w:lang w:eastAsia="ar-SA"/>
              </w:rPr>
              <w:t>年內違責承擔義務人</w:t>
            </w:r>
            <w:r w:rsidRPr="005171C5">
              <w:rPr>
                <w:rFonts w:eastAsia="細明體" w:cs="Segoe UI" w:hint="eastAsia"/>
                <w:sz w:val="17"/>
                <w:szCs w:val="17"/>
                <w:lang w:eastAsia="ar-SA"/>
              </w:rPr>
              <w:t>：年內違責承擔義務人數目，包括：</w:t>
            </w:r>
            <w:r w:rsidRPr="005171C5">
              <w:rPr>
                <w:rFonts w:eastAsia="細明體" w:cs="Segoe UI"/>
                <w:sz w:val="17"/>
                <w:szCs w:val="17"/>
                <w:lang w:eastAsia="ar-SA"/>
              </w:rPr>
              <w:t>(</w:t>
            </w:r>
            <w:proofErr w:type="spellStart"/>
            <w:r w:rsidRPr="005171C5">
              <w:rPr>
                <w:rFonts w:eastAsia="細明體" w:cs="Segoe UI"/>
                <w:sz w:val="17"/>
                <w:szCs w:val="17"/>
                <w:lang w:eastAsia="ar-SA"/>
              </w:rPr>
              <w:t>i</w:t>
            </w:r>
            <w:proofErr w:type="spellEnd"/>
            <w:r w:rsidRPr="005171C5">
              <w:rPr>
                <w:rFonts w:eastAsia="細明體" w:cs="Segoe UI"/>
                <w:sz w:val="17"/>
                <w:szCs w:val="17"/>
                <w:lang w:eastAsia="ar-SA"/>
              </w:rPr>
              <w:t>)</w:t>
            </w:r>
            <w:r w:rsidRPr="005171C5">
              <w:rPr>
                <w:rFonts w:eastAsia="細明體" w:cs="Segoe UI" w:hint="eastAsia"/>
                <w:sz w:val="17"/>
                <w:szCs w:val="17"/>
                <w:lang w:eastAsia="ar-SA"/>
              </w:rPr>
              <w:t>年初無違責但於年內轉為違責的承擔義務人；及</w:t>
            </w:r>
            <w:r w:rsidRPr="005171C5">
              <w:rPr>
                <w:rFonts w:eastAsia="細明體" w:cs="Segoe UI"/>
                <w:sz w:val="17"/>
                <w:szCs w:val="17"/>
                <w:lang w:eastAsia="ar-SA"/>
              </w:rPr>
              <w:t>(ii)</w:t>
            </w:r>
            <w:r w:rsidRPr="005171C5">
              <w:rPr>
                <w:rFonts w:eastAsia="細明體" w:cs="Segoe UI" w:hint="eastAsia"/>
                <w:sz w:val="17"/>
                <w:szCs w:val="17"/>
                <w:lang w:eastAsia="ar-SA"/>
              </w:rPr>
              <w:t>於年內（藉批出或買入貸款、債務證券或資產負債表外承諾）</w:t>
            </w:r>
            <w:r w:rsidRPr="005171C5">
              <w:rPr>
                <w:rFonts w:eastAsia="細明體" w:cs="Segoe UI" w:hint="eastAsia"/>
                <w:sz w:val="17"/>
                <w:szCs w:val="17"/>
                <w:lang w:eastAsia="zh-TW"/>
              </w:rPr>
              <w:t>新增</w:t>
            </w:r>
            <w:r w:rsidRPr="005171C5">
              <w:rPr>
                <w:rFonts w:eastAsia="細明體" w:cs="Segoe UI" w:hint="eastAsia"/>
                <w:sz w:val="17"/>
                <w:szCs w:val="17"/>
                <w:lang w:eastAsia="ar-SA"/>
              </w:rPr>
              <w:t>、</w:t>
            </w:r>
            <w:r w:rsidRPr="005171C5">
              <w:rPr>
                <w:rFonts w:eastAsia="細明體" w:cs="Segoe UI" w:hint="eastAsia"/>
                <w:sz w:val="17"/>
                <w:szCs w:val="17"/>
                <w:lang w:eastAsia="zh-TW"/>
              </w:rPr>
              <w:t>本屬</w:t>
            </w:r>
            <w:r w:rsidRPr="005171C5">
              <w:rPr>
                <w:rFonts w:eastAsia="細明體" w:cs="Segoe UI" w:hint="eastAsia"/>
                <w:sz w:val="17"/>
                <w:szCs w:val="17"/>
                <w:lang w:eastAsia="ar-SA"/>
              </w:rPr>
              <w:t>無違責</w:t>
            </w:r>
            <w:r w:rsidRPr="005171C5">
              <w:rPr>
                <w:rFonts w:eastAsia="細明體" w:cs="Segoe UI" w:hint="eastAsia"/>
                <w:sz w:val="17"/>
                <w:szCs w:val="17"/>
                <w:lang w:eastAsia="zh-TW"/>
              </w:rPr>
              <w:t>但及後在年內</w:t>
            </w:r>
            <w:r w:rsidRPr="005171C5">
              <w:rPr>
                <w:rFonts w:eastAsia="細明體" w:cs="Segoe UI" w:hint="eastAsia"/>
                <w:sz w:val="17"/>
                <w:szCs w:val="17"/>
                <w:lang w:eastAsia="ar-SA"/>
              </w:rPr>
              <w:t>轉為違責的承擔義務人。在</w:t>
            </w:r>
            <w:r w:rsidRPr="005171C5">
              <w:rPr>
                <w:rFonts w:eastAsia="細明體" w:cs="Segoe UI"/>
                <w:sz w:val="17"/>
                <w:szCs w:val="17"/>
                <w:lang w:eastAsia="ar-SA"/>
              </w:rPr>
              <w:t>(ii)</w:t>
            </w:r>
            <w:r w:rsidRPr="005171C5">
              <w:rPr>
                <w:rFonts w:eastAsia="細明體" w:cs="Segoe UI" w:hint="eastAsia"/>
                <w:sz w:val="17"/>
                <w:szCs w:val="17"/>
                <w:lang w:eastAsia="ar-SA"/>
              </w:rPr>
              <w:t>項下的承擔義務人亦須於</w:t>
            </w:r>
            <w:r w:rsidRPr="005171C5">
              <w:rPr>
                <w:rFonts w:eastAsia="細明體" w:cs="Segoe UI"/>
                <w:sz w:val="17"/>
                <w:szCs w:val="17"/>
                <w:lang w:eastAsia="ar-SA"/>
              </w:rPr>
              <w:t>(h)</w:t>
            </w:r>
            <w:r w:rsidRPr="005171C5">
              <w:rPr>
                <w:rFonts w:eastAsia="細明體" w:cs="Segoe UI"/>
                <w:sz w:val="17"/>
                <w:szCs w:val="17"/>
                <w:lang w:eastAsia="ar-SA"/>
              </w:rPr>
              <w:t>欄</w:t>
            </w:r>
            <w:r w:rsidRPr="005171C5">
              <w:rPr>
                <w:rFonts w:eastAsia="細明體" w:cs="Segoe UI" w:hint="eastAsia"/>
                <w:sz w:val="17"/>
                <w:szCs w:val="17"/>
                <w:lang w:eastAsia="ar-SA"/>
              </w:rPr>
              <w:t>內另行</w:t>
            </w:r>
            <w:r w:rsidRPr="005171C5">
              <w:rPr>
                <w:rFonts w:eastAsia="細明體" w:cs="Segoe UI" w:hint="eastAsia"/>
                <w:sz w:val="17"/>
                <w:szCs w:val="17"/>
                <w:lang w:eastAsia="zh-TW"/>
              </w:rPr>
              <w:t>作出披露</w:t>
            </w:r>
            <w:r w:rsidRPr="005171C5">
              <w:rPr>
                <w:rFonts w:eastAsia="細明體" w:cs="Segoe UI" w:hint="eastAsia"/>
                <w:sz w:val="17"/>
                <w:szCs w:val="17"/>
                <w:lang w:eastAsia="ar-SA"/>
              </w:rPr>
              <w:t>。</w:t>
            </w:r>
          </w:p>
        </w:tc>
      </w:tr>
      <w:tr w:rsidR="005171C5" w:rsidRPr="005171C5" w14:paraId="26FA92EC" w14:textId="77777777" w:rsidTr="003F0C1B">
        <w:trPr>
          <w:trHeight w:val="373"/>
        </w:trPr>
        <w:tc>
          <w:tcPr>
            <w:tcW w:w="567" w:type="dxa"/>
            <w:tcBorders>
              <w:top w:val="single" w:sz="4" w:space="0" w:color="000000"/>
              <w:left w:val="single" w:sz="4" w:space="0" w:color="000000"/>
              <w:bottom w:val="single" w:sz="4" w:space="0" w:color="000000"/>
            </w:tcBorders>
            <w:shd w:val="clear" w:color="auto" w:fill="auto"/>
          </w:tcPr>
          <w:p w14:paraId="46999568"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(h)</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0D057F8A" w14:textId="77777777" w:rsidR="005171C5" w:rsidRPr="005171C5" w:rsidRDefault="005171C5" w:rsidP="005171C5">
            <w:pPr>
              <w:suppressAutoHyphens/>
              <w:spacing w:before="60" w:after="120"/>
              <w:jc w:val="both"/>
              <w:rPr>
                <w:rFonts w:cs="Segoe UI"/>
                <w:sz w:val="15"/>
                <w:lang w:eastAsia="ar-SA"/>
              </w:rPr>
            </w:pPr>
            <w:r w:rsidRPr="005171C5">
              <w:rPr>
                <w:rFonts w:eastAsia="細明體" w:cs="Segoe UI" w:hint="eastAsia"/>
                <w:i/>
                <w:sz w:val="17"/>
                <w:szCs w:val="17"/>
                <w:lang w:eastAsia="ar-SA"/>
              </w:rPr>
              <w:t>其中：年內新</w:t>
            </w:r>
            <w:r w:rsidRPr="005171C5">
              <w:rPr>
                <w:rFonts w:eastAsia="細明體" w:cs="Segoe UI" w:hint="eastAsia"/>
                <w:i/>
                <w:sz w:val="17"/>
                <w:szCs w:val="17"/>
                <w:lang w:eastAsia="zh-TW"/>
              </w:rPr>
              <w:t>增的</w:t>
            </w:r>
            <w:r w:rsidRPr="005171C5">
              <w:rPr>
                <w:rFonts w:eastAsia="細明體" w:cs="Segoe UI" w:hint="eastAsia"/>
                <w:i/>
                <w:sz w:val="17"/>
                <w:szCs w:val="17"/>
                <w:lang w:eastAsia="ar-SA"/>
              </w:rPr>
              <w:t>違責承擔義務人</w:t>
            </w:r>
            <w:r w:rsidRPr="005171C5">
              <w:rPr>
                <w:rFonts w:eastAsia="細明體" w:cs="Segoe UI" w:hint="eastAsia"/>
                <w:sz w:val="17"/>
                <w:szCs w:val="17"/>
                <w:lang w:eastAsia="ar-SA"/>
              </w:rPr>
              <w:t>：在過去</w:t>
            </w:r>
            <w:r w:rsidRPr="005171C5">
              <w:rPr>
                <w:rFonts w:eastAsia="細明體" w:cs="Segoe UI"/>
                <w:sz w:val="17"/>
                <w:szCs w:val="17"/>
                <w:lang w:eastAsia="ar-SA"/>
              </w:rPr>
              <w:t>12</w:t>
            </w:r>
            <w:r w:rsidRPr="005171C5">
              <w:rPr>
                <w:rFonts w:eastAsia="細明體" w:cs="Segoe UI" w:hint="eastAsia"/>
                <w:sz w:val="17"/>
                <w:szCs w:val="17"/>
                <w:lang w:eastAsia="ar-SA"/>
              </w:rPr>
              <w:t>個月內違責、但並未於上一財政年度末提供資金的承擔義務人數目。</w:t>
            </w:r>
          </w:p>
        </w:tc>
      </w:tr>
      <w:tr w:rsidR="005171C5" w:rsidRPr="005171C5" w14:paraId="632F8960" w14:textId="77777777" w:rsidTr="003F0C1B">
        <w:trPr>
          <w:trHeight w:val="373"/>
        </w:trPr>
        <w:tc>
          <w:tcPr>
            <w:tcW w:w="567" w:type="dxa"/>
            <w:tcBorders>
              <w:top w:val="single" w:sz="4" w:space="0" w:color="000000"/>
              <w:left w:val="single" w:sz="4" w:space="0" w:color="000000"/>
              <w:bottom w:val="single" w:sz="4" w:space="0" w:color="000000"/>
            </w:tcBorders>
            <w:shd w:val="clear" w:color="auto" w:fill="auto"/>
          </w:tcPr>
          <w:p w14:paraId="75E32DA4" w14:textId="77777777" w:rsidR="005171C5" w:rsidRPr="005171C5" w:rsidRDefault="005171C5" w:rsidP="005171C5">
            <w:pPr>
              <w:suppressAutoHyphens/>
              <w:spacing w:before="40" w:after="40"/>
              <w:jc w:val="both"/>
              <w:rPr>
                <w:rFonts w:eastAsia="細明體" w:cs="Segoe UI"/>
                <w:i/>
                <w:sz w:val="17"/>
                <w:szCs w:val="17"/>
                <w:lang w:eastAsia="ar-SA"/>
              </w:rPr>
            </w:pPr>
            <w:r w:rsidRPr="005171C5">
              <w:rPr>
                <w:rFonts w:eastAsia="細明體" w:cs="Segoe UI"/>
                <w:sz w:val="17"/>
                <w:szCs w:val="17"/>
                <w:lang w:eastAsia="ar-SA"/>
              </w:rPr>
              <w:t>(</w:t>
            </w:r>
            <w:proofErr w:type="spellStart"/>
            <w:r w:rsidRPr="005171C5">
              <w:rPr>
                <w:rFonts w:eastAsia="細明體" w:cs="Segoe UI"/>
                <w:sz w:val="17"/>
                <w:szCs w:val="17"/>
                <w:lang w:eastAsia="ar-SA"/>
              </w:rPr>
              <w:t>i</w:t>
            </w:r>
            <w:proofErr w:type="spellEnd"/>
            <w:r w:rsidRPr="005171C5">
              <w:rPr>
                <w:rFonts w:eastAsia="細明體" w:cs="Segoe UI"/>
                <w:sz w:val="17"/>
                <w:szCs w:val="17"/>
                <w:lang w:eastAsia="ar-SA"/>
              </w:rPr>
              <w:t>)</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14:paraId="275AD87A" w14:textId="77777777" w:rsidR="005171C5" w:rsidRPr="005171C5" w:rsidRDefault="005171C5" w:rsidP="005171C5">
            <w:pPr>
              <w:suppressAutoHyphens/>
              <w:spacing w:before="40" w:after="40"/>
              <w:jc w:val="both"/>
              <w:rPr>
                <w:rFonts w:eastAsia="細明體" w:cs="Segoe UI"/>
                <w:sz w:val="17"/>
                <w:szCs w:val="17"/>
                <w:lang w:eastAsia="zh-TW"/>
              </w:rPr>
            </w:pPr>
            <w:r w:rsidRPr="005171C5">
              <w:rPr>
                <w:rFonts w:eastAsia="細明體" w:cs="Segoe UI" w:hint="eastAsia"/>
                <w:i/>
                <w:sz w:val="17"/>
                <w:szCs w:val="17"/>
                <w:lang w:eastAsia="ar-SA"/>
              </w:rPr>
              <w:t>平均歷史年度違責率</w:t>
            </w:r>
            <w:r w:rsidRPr="005171C5">
              <w:rPr>
                <w:rFonts w:eastAsia="細明體" w:cs="Segoe UI" w:hint="eastAsia"/>
                <w:sz w:val="17"/>
                <w:szCs w:val="17"/>
                <w:lang w:eastAsia="ar-SA"/>
              </w:rPr>
              <w:t>：須填報不少於</w:t>
            </w:r>
            <w:r w:rsidRPr="005171C5">
              <w:rPr>
                <w:rFonts w:eastAsia="細明體" w:cs="Segoe UI"/>
                <w:sz w:val="17"/>
                <w:szCs w:val="17"/>
                <w:lang w:eastAsia="ar-SA"/>
              </w:rPr>
              <w:t>5</w:t>
            </w:r>
            <w:r w:rsidRPr="005171C5">
              <w:rPr>
                <w:rFonts w:eastAsia="細明體" w:cs="Segoe UI" w:hint="eastAsia"/>
                <w:sz w:val="17"/>
                <w:szCs w:val="17"/>
                <w:lang w:eastAsia="ar-SA"/>
              </w:rPr>
              <w:t>個年度的</w:t>
            </w:r>
            <w:r w:rsidRPr="005171C5">
              <w:rPr>
                <w:rFonts w:eastAsia="細明體" w:cs="Segoe UI" w:hint="eastAsia"/>
                <w:sz w:val="17"/>
                <w:szCs w:val="17"/>
                <w:lang w:eastAsia="zh-TW"/>
              </w:rPr>
              <w:t>年度</w:t>
            </w:r>
            <w:r w:rsidRPr="005171C5">
              <w:rPr>
                <w:rFonts w:eastAsia="細明體" w:cs="Segoe UI" w:hint="eastAsia"/>
                <w:sz w:val="17"/>
                <w:szCs w:val="17"/>
                <w:lang w:eastAsia="ar-SA"/>
              </w:rPr>
              <w:t>違責率平均值。年度違責率的計算，是將每年年初的承擔義務人在年內</w:t>
            </w:r>
            <w:r w:rsidRPr="005171C5">
              <w:rPr>
                <w:rFonts w:eastAsia="細明體" w:cs="Segoe UI" w:hint="eastAsia"/>
                <w:sz w:val="17"/>
                <w:szCs w:val="17"/>
                <w:lang w:eastAsia="zh-TW"/>
              </w:rPr>
              <w:t>轉為</w:t>
            </w:r>
            <w:r w:rsidRPr="005171C5">
              <w:rPr>
                <w:rFonts w:eastAsia="細明體" w:cs="Segoe UI" w:hint="eastAsia"/>
                <w:sz w:val="17"/>
                <w:szCs w:val="17"/>
                <w:lang w:eastAsia="ar-SA"/>
              </w:rPr>
              <w:t>違責的數目，除以</w:t>
            </w:r>
            <w:r w:rsidRPr="005171C5">
              <w:rPr>
                <w:rFonts w:eastAsia="細明體" w:cs="Segoe UI" w:hint="eastAsia"/>
                <w:sz w:val="17"/>
                <w:szCs w:val="17"/>
                <w:lang w:eastAsia="zh-TW"/>
              </w:rPr>
              <w:t>該年</w:t>
            </w:r>
            <w:r w:rsidRPr="005171C5">
              <w:rPr>
                <w:rFonts w:eastAsia="細明體" w:cs="Segoe UI" w:hint="eastAsia"/>
                <w:sz w:val="17"/>
                <w:szCs w:val="17"/>
                <w:lang w:eastAsia="ar-SA"/>
              </w:rPr>
              <w:t>年初的承擔義務人總數而得。</w:t>
            </w:r>
            <w:r w:rsidRPr="005171C5">
              <w:rPr>
                <w:rFonts w:eastAsia="細明體" w:cs="Segoe UI" w:hint="eastAsia"/>
                <w:sz w:val="17"/>
                <w:lang w:eastAsia="ar-SA"/>
              </w:rPr>
              <w:t>認可機構亦可使用與其實際風險管理</w:t>
            </w:r>
            <w:r w:rsidRPr="005171C5">
              <w:rPr>
                <w:rFonts w:eastAsia="細明體" w:cs="Segoe UI" w:hint="eastAsia"/>
                <w:sz w:val="17"/>
                <w:lang w:eastAsia="zh-TW"/>
              </w:rPr>
              <w:t>常規</w:t>
            </w:r>
            <w:r w:rsidRPr="005171C5">
              <w:rPr>
                <w:rFonts w:eastAsia="細明體" w:cs="Segoe UI" w:hint="eastAsia"/>
                <w:sz w:val="17"/>
                <w:lang w:eastAsia="ar-SA"/>
              </w:rPr>
              <w:t>相符的</w:t>
            </w:r>
            <w:r w:rsidRPr="005171C5">
              <w:rPr>
                <w:rFonts w:eastAsia="細明體" w:cs="Segoe UI" w:hint="eastAsia"/>
                <w:sz w:val="17"/>
                <w:lang w:eastAsia="zh-TW"/>
              </w:rPr>
              <w:t>較</w:t>
            </w:r>
            <w:r w:rsidRPr="005171C5">
              <w:rPr>
                <w:rFonts w:eastAsia="細明體" w:cs="Segoe UI" w:hint="eastAsia"/>
                <w:sz w:val="17"/>
                <w:lang w:eastAsia="ar-SA"/>
              </w:rPr>
              <w:t>長歷史時期</w:t>
            </w:r>
            <w:r w:rsidRPr="005171C5">
              <w:rPr>
                <w:rFonts w:eastAsia="細明體" w:cs="Segoe UI" w:hint="eastAsia"/>
                <w:sz w:val="17"/>
                <w:szCs w:val="17"/>
                <w:lang w:eastAsia="ar-SA"/>
              </w:rPr>
              <w:t>（即超過</w:t>
            </w:r>
            <w:r w:rsidRPr="005171C5">
              <w:rPr>
                <w:rFonts w:eastAsia="細明體" w:cs="Segoe UI"/>
                <w:sz w:val="17"/>
                <w:szCs w:val="17"/>
                <w:lang w:eastAsia="ar-SA"/>
              </w:rPr>
              <w:t>5</w:t>
            </w:r>
            <w:r w:rsidRPr="005171C5">
              <w:rPr>
                <w:rFonts w:eastAsia="細明體" w:cs="Segoe UI" w:hint="eastAsia"/>
                <w:sz w:val="17"/>
                <w:szCs w:val="17"/>
                <w:lang w:eastAsia="ar-SA"/>
              </w:rPr>
              <w:t>年）計算其平均歷史年度違責率。</w:t>
            </w:r>
          </w:p>
        </w:tc>
      </w:tr>
      <w:tr w:rsidR="005171C5" w:rsidRPr="005171C5" w14:paraId="2EFF348F" w14:textId="77777777" w:rsidTr="003F0C1B">
        <w:trPr>
          <w:trHeight w:val="37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1B60589" w14:textId="77777777" w:rsidR="005171C5" w:rsidRPr="005171C5" w:rsidRDefault="005171C5" w:rsidP="005171C5">
            <w:pPr>
              <w:suppressAutoHyphens/>
              <w:spacing w:before="40" w:after="40"/>
              <w:jc w:val="both"/>
              <w:rPr>
                <w:rFonts w:cs="Segoe UI"/>
                <w:sz w:val="15"/>
                <w:lang w:eastAsia="ar-SA"/>
              </w:rPr>
            </w:pPr>
            <w:r w:rsidRPr="005171C5">
              <w:rPr>
                <w:rFonts w:eastAsia="細明體" w:cs="Segoe UI" w:hint="eastAsia"/>
                <w:b/>
                <w:sz w:val="17"/>
                <w:szCs w:val="17"/>
                <w:lang w:eastAsia="ar-SA"/>
              </w:rPr>
              <w:t>行</w:t>
            </w:r>
          </w:p>
        </w:tc>
      </w:tr>
      <w:tr w:rsidR="005171C5" w:rsidRPr="005171C5" w14:paraId="261B3684" w14:textId="77777777" w:rsidTr="003F0C1B">
        <w:trPr>
          <w:trHeight w:val="37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9018FC" w14:textId="441A5EC3" w:rsidR="005171C5" w:rsidRPr="005171C5" w:rsidRDefault="0022225D" w:rsidP="0022225D">
            <w:pPr>
              <w:suppressAutoHyphens/>
              <w:spacing w:before="40" w:after="40"/>
              <w:jc w:val="both"/>
              <w:rPr>
                <w:rFonts w:cs="Segoe UI"/>
                <w:sz w:val="15"/>
                <w:lang w:eastAsia="ar-SA"/>
              </w:rPr>
            </w:pPr>
            <w:r>
              <w:rPr>
                <w:rFonts w:eastAsia="細明體" w:hint="eastAsia"/>
                <w:sz w:val="17"/>
                <w:szCs w:val="17"/>
                <w:lang w:eastAsia="zh-TW"/>
              </w:rPr>
              <w:t>認可機構不應為披露目的而</w:t>
            </w:r>
            <w:r>
              <w:rPr>
                <w:rFonts w:eastAsia="細明體" w:hint="eastAsia"/>
                <w:sz w:val="17"/>
                <w:szCs w:val="17"/>
                <w:lang w:eastAsia="zh-HK"/>
              </w:rPr>
              <w:t>將</w:t>
            </w:r>
            <w:r>
              <w:rPr>
                <w:rFonts w:eastAsia="細明體" w:hint="eastAsia"/>
                <w:kern w:val="1"/>
                <w:sz w:val="17"/>
                <w:szCs w:val="17"/>
                <w:lang w:eastAsia="zh-TW"/>
              </w:rPr>
              <w:t>承擔義務人等級</w:t>
            </w:r>
            <w:r w:rsidR="00382DAE">
              <w:rPr>
                <w:rFonts w:eastAsia="細明體" w:hint="eastAsia"/>
                <w:kern w:val="1"/>
                <w:sz w:val="17"/>
                <w:szCs w:val="17"/>
                <w:lang w:eastAsia="zh-HK"/>
              </w:rPr>
              <w:t>合併</w:t>
            </w:r>
            <w:r>
              <w:rPr>
                <w:rFonts w:eastAsia="細明體" w:hint="eastAsia"/>
                <w:sz w:val="17"/>
                <w:szCs w:val="17"/>
                <w:lang w:eastAsia="zh-TW"/>
              </w:rPr>
              <w:t>，除非</w:t>
            </w:r>
            <w:r>
              <w:rPr>
                <w:rFonts w:eastAsia="細明體" w:hint="eastAsia"/>
                <w:sz w:val="17"/>
                <w:szCs w:val="17"/>
                <w:lang w:eastAsia="zh-HK"/>
              </w:rPr>
              <w:t>這種</w:t>
            </w:r>
            <w:proofErr w:type="gramStart"/>
            <w:r>
              <w:rPr>
                <w:rFonts w:eastAsia="細明體" w:hint="eastAsia"/>
                <w:kern w:val="1"/>
                <w:sz w:val="17"/>
                <w:szCs w:val="17"/>
                <w:lang w:eastAsia="zh-TW"/>
              </w:rPr>
              <w:t>做法呈示的</w:t>
            </w:r>
            <w:proofErr w:type="gramEnd"/>
            <w:r>
              <w:rPr>
                <w:rFonts w:eastAsia="細明體" w:hint="eastAsia"/>
                <w:kern w:val="1"/>
                <w:sz w:val="17"/>
                <w:szCs w:val="17"/>
                <w:lang w:eastAsia="zh-TW"/>
              </w:rPr>
              <w:t>承擔義務人等級</w:t>
            </w:r>
            <w:r>
              <w:rPr>
                <w:rFonts w:eastAsia="細明體" w:hint="eastAsia"/>
                <w:sz w:val="17"/>
                <w:szCs w:val="17"/>
                <w:lang w:eastAsia="zh-TW"/>
              </w:rPr>
              <w:t>細目分類</w:t>
            </w:r>
            <w:r>
              <w:rPr>
                <w:rFonts w:eastAsia="細明體" w:hint="eastAsia"/>
                <w:kern w:val="1"/>
                <w:sz w:val="17"/>
                <w:szCs w:val="17"/>
                <w:lang w:eastAsia="zh-TW"/>
              </w:rPr>
              <w:t>（</w:t>
            </w:r>
            <w:r>
              <w:rPr>
                <w:rFonts w:eastAsia="細明體" w:hint="eastAsia"/>
                <w:sz w:val="17"/>
                <w:szCs w:val="17"/>
                <w:lang w:eastAsia="zh-TW"/>
              </w:rPr>
              <w:t>根據其使用的</w:t>
            </w:r>
            <w:r>
              <w:rPr>
                <w:rFonts w:eastAsia="細明體"/>
                <w:sz w:val="17"/>
                <w:szCs w:val="17"/>
                <w:lang w:eastAsia="zh-TW"/>
              </w:rPr>
              <w:t>IRB</w:t>
            </w:r>
            <w:r>
              <w:rPr>
                <w:rFonts w:eastAsia="細明體" w:hint="eastAsia"/>
                <w:sz w:val="17"/>
                <w:szCs w:val="17"/>
                <w:lang w:eastAsia="zh-TW"/>
              </w:rPr>
              <w:t>計算法），</w:t>
            </w:r>
            <w:r>
              <w:rPr>
                <w:rFonts w:eastAsia="細明體" w:hint="eastAsia"/>
                <w:kern w:val="1"/>
                <w:sz w:val="17"/>
                <w:szCs w:val="17"/>
                <w:lang w:eastAsia="zh-TW"/>
              </w:rPr>
              <w:t>能</w:t>
            </w:r>
            <w:r>
              <w:rPr>
                <w:rFonts w:eastAsia="細明體" w:hint="eastAsia"/>
                <w:sz w:val="17"/>
                <w:szCs w:val="17"/>
                <w:lang w:eastAsia="zh-TW"/>
              </w:rPr>
              <w:t>就其信用</w:t>
            </w:r>
            <w:r>
              <w:rPr>
                <w:rFonts w:eastAsia="細明體" w:hint="eastAsia"/>
                <w:kern w:val="1"/>
                <w:sz w:val="17"/>
                <w:szCs w:val="17"/>
                <w:lang w:eastAsia="zh-TW"/>
              </w:rPr>
              <w:t>風險承擔提供</w:t>
            </w:r>
            <w:r>
              <w:rPr>
                <w:rFonts w:eastAsia="細明體" w:hint="eastAsia"/>
                <w:sz w:val="17"/>
                <w:szCs w:val="17"/>
                <w:lang w:eastAsia="zh-TW"/>
              </w:rPr>
              <w:t>一致、合乎邏輯</w:t>
            </w:r>
            <w:r w:rsidR="000F7880" w:rsidRPr="003D3E5A">
              <w:rPr>
                <w:rFonts w:eastAsia="細明體"/>
                <w:sz w:val="17"/>
                <w:szCs w:val="17"/>
                <w:lang w:eastAsia="zh-TW"/>
              </w:rPr>
              <w:t>及</w:t>
            </w:r>
            <w:r w:rsidR="00E666DF">
              <w:rPr>
                <w:rFonts w:eastAsia="細明體" w:hint="eastAsia"/>
                <w:sz w:val="17"/>
                <w:szCs w:val="17"/>
                <w:lang w:eastAsia="zh-HK"/>
              </w:rPr>
              <w:t>中肯</w:t>
            </w:r>
            <w:r w:rsidRPr="003D3E5A">
              <w:rPr>
                <w:rFonts w:eastAsia="細明體"/>
                <w:sz w:val="17"/>
                <w:szCs w:val="17"/>
                <w:lang w:eastAsia="zh-TW"/>
              </w:rPr>
              <w:t>的</w:t>
            </w:r>
            <w:proofErr w:type="gramStart"/>
            <w:r>
              <w:rPr>
                <w:rFonts w:eastAsia="細明體" w:hint="eastAsia"/>
                <w:sz w:val="17"/>
                <w:szCs w:val="17"/>
                <w:lang w:eastAsia="zh-TW"/>
              </w:rPr>
              <w:t>的</w:t>
            </w:r>
            <w:proofErr w:type="gramEnd"/>
            <w:r>
              <w:rPr>
                <w:rFonts w:eastAsia="細明體" w:hint="eastAsia"/>
                <w:sz w:val="17"/>
                <w:szCs w:val="17"/>
                <w:lang w:eastAsia="zh-TW"/>
              </w:rPr>
              <w:t>區分。為</w:t>
            </w:r>
            <w:r>
              <w:rPr>
                <w:rFonts w:eastAsia="細明體" w:hint="eastAsia"/>
                <w:kern w:val="1"/>
                <w:sz w:val="17"/>
                <w:szCs w:val="17"/>
                <w:lang w:eastAsia="zh-TW"/>
              </w:rPr>
              <w:t>此</w:t>
            </w:r>
            <w:r>
              <w:rPr>
                <w:rFonts w:eastAsia="細明體" w:hint="eastAsia"/>
                <w:sz w:val="17"/>
                <w:szCs w:val="17"/>
                <w:lang w:eastAsia="zh-TW"/>
              </w:rPr>
              <w:t>目的，認可機構可按每</w:t>
            </w:r>
            <w:proofErr w:type="gramStart"/>
            <w:r>
              <w:rPr>
                <w:rFonts w:eastAsia="細明體" w:hint="eastAsia"/>
                <w:sz w:val="17"/>
                <w:szCs w:val="17"/>
                <w:lang w:eastAsia="zh-TW"/>
              </w:rPr>
              <w:t>個</w:t>
            </w:r>
            <w:proofErr w:type="gramEnd"/>
            <w:r>
              <w:rPr>
                <w:rFonts w:eastAsia="細明體" w:hint="eastAsia"/>
                <w:sz w:val="17"/>
                <w:szCs w:val="17"/>
                <w:lang w:eastAsia="zh-TW"/>
              </w:rPr>
              <w:t>監管組合披露</w:t>
            </w:r>
            <w:r>
              <w:rPr>
                <w:rFonts w:eastAsia="細明體" w:hint="eastAsia"/>
                <w:kern w:val="1"/>
                <w:sz w:val="17"/>
                <w:szCs w:val="17"/>
                <w:lang w:eastAsia="zh-TW"/>
              </w:rPr>
              <w:t>承擔義務人等級</w:t>
            </w:r>
            <w:r>
              <w:rPr>
                <w:rFonts w:eastAsia="細明體" w:hint="eastAsia"/>
                <w:sz w:val="17"/>
                <w:szCs w:val="17"/>
                <w:lang w:eastAsia="zh-TW"/>
              </w:rPr>
              <w:t>的細目分類以及其相應的</w:t>
            </w:r>
            <w:r>
              <w:rPr>
                <w:rFonts w:eastAsia="細明體"/>
                <w:sz w:val="17"/>
                <w:szCs w:val="17"/>
                <w:lang w:eastAsia="zh-TW"/>
              </w:rPr>
              <w:t>PD</w:t>
            </w:r>
            <w:r>
              <w:rPr>
                <w:rFonts w:eastAsia="細明體" w:hint="eastAsia"/>
                <w:sz w:val="17"/>
                <w:szCs w:val="17"/>
                <w:lang w:eastAsia="zh-TW"/>
              </w:rPr>
              <w:t>範圍</w:t>
            </w:r>
            <w:r>
              <w:rPr>
                <w:rFonts w:eastAsia="細明體" w:hint="eastAsia"/>
                <w:color w:val="000000"/>
                <w:sz w:val="17"/>
                <w:szCs w:val="17"/>
                <w:lang w:eastAsia="zh-TW"/>
              </w:rPr>
              <w:t>。</w:t>
            </w:r>
          </w:p>
        </w:tc>
      </w:tr>
    </w:tbl>
    <w:p w14:paraId="7D073DEA" w14:textId="77777777" w:rsidR="005171C5" w:rsidRPr="005171C5" w:rsidRDefault="005171C5" w:rsidP="005171C5">
      <w:pPr>
        <w:suppressAutoHyphens/>
        <w:spacing w:before="60" w:after="120"/>
        <w:jc w:val="both"/>
        <w:rPr>
          <w:rFonts w:eastAsia="細明體" w:cs="Segoe UI"/>
          <w:sz w:val="22"/>
          <w:lang w:eastAsia="ar-SA"/>
        </w:rPr>
      </w:pPr>
    </w:p>
    <w:p w14:paraId="19DF43A7" w14:textId="77777777" w:rsidR="005171C5" w:rsidRPr="005171C5" w:rsidRDefault="005171C5" w:rsidP="005171C5">
      <w:pPr>
        <w:suppressAutoHyphens/>
        <w:rPr>
          <w:rFonts w:cs="Segoe UI"/>
          <w:lang w:eastAsia="ar-SA"/>
        </w:rPr>
        <w:sectPr w:rsidR="005171C5" w:rsidRPr="005171C5">
          <w:headerReference w:type="default" r:id="rId76"/>
          <w:footerReference w:type="default" r:id="rId77"/>
          <w:pgSz w:w="11906" w:h="16838"/>
          <w:pgMar w:top="1440" w:right="1797" w:bottom="1440" w:left="1797" w:header="720" w:footer="737" w:gutter="0"/>
          <w:cols w:space="720"/>
          <w:docGrid w:type="linesAndChars" w:linePitch="360"/>
        </w:sectPr>
      </w:pPr>
    </w:p>
    <w:p w14:paraId="7E9D028C" w14:textId="42B2463E" w:rsidR="00893D12" w:rsidRPr="00893D12" w:rsidRDefault="00893D12" w:rsidP="00E669DB">
      <w:pPr>
        <w:pStyle w:val="Heading2"/>
        <w:keepNext w:val="0"/>
        <w:suppressAutoHyphens w:val="0"/>
        <w:spacing w:before="40" w:line="240" w:lineRule="auto"/>
        <w:ind w:left="-454" w:firstLine="596"/>
        <w:rPr>
          <w:rFonts w:ascii="細明體" w:eastAsia="細明體" w:hAnsi="細明體"/>
          <w:b w:val="0"/>
          <w:bCs w:val="0"/>
          <w:sz w:val="22"/>
          <w:szCs w:val="20"/>
          <w:lang w:eastAsia="zh-TW"/>
        </w:rPr>
      </w:pPr>
      <w:r w:rsidRPr="00893D12">
        <w:rPr>
          <w:rFonts w:ascii="細明體" w:eastAsia="細明體" w:hAnsi="細明體" w:cs="微軟正黑體" w:hint="eastAsia"/>
          <w:b w:val="0"/>
          <w:bCs w:val="0"/>
          <w:sz w:val="22"/>
          <w:szCs w:val="20"/>
          <w:lang w:eastAsia="zh-TW"/>
        </w:rPr>
        <w:t>模版</w:t>
      </w:r>
      <w:r w:rsidRPr="00893D12">
        <w:rPr>
          <w:rFonts w:ascii="Segoe UI" w:eastAsia="細明體" w:hAnsi="Segoe UI" w:cs="Segoe UI"/>
          <w:b w:val="0"/>
          <w:bCs w:val="0"/>
          <w:sz w:val="22"/>
          <w:szCs w:val="20"/>
          <w:lang w:eastAsia="zh-TW"/>
        </w:rPr>
        <w:t>CR10</w:t>
      </w:r>
      <w:r w:rsidRPr="00893D12">
        <w:rPr>
          <w:rFonts w:ascii="細明體" w:eastAsia="細明體" w:hAnsi="細明體" w:cs="微軟正黑體" w:hint="eastAsia"/>
          <w:b w:val="0"/>
          <w:bCs w:val="0"/>
          <w:sz w:val="22"/>
          <w:szCs w:val="20"/>
          <w:lang w:eastAsia="zh-TW"/>
        </w:rPr>
        <w:t>：在監管分類準則計算法下的專門性借貸</w:t>
      </w:r>
      <w:proofErr w:type="gramStart"/>
      <w:r w:rsidRPr="00893D12">
        <w:rPr>
          <w:rFonts w:ascii="細明體" w:eastAsia="細明體" w:hAnsi="細明體" w:cs="微軟正黑體" w:hint="eastAsia"/>
          <w:b w:val="0"/>
          <w:bCs w:val="0"/>
          <w:sz w:val="22"/>
          <w:szCs w:val="20"/>
          <w:lang w:eastAsia="zh-TW"/>
        </w:rPr>
        <w:t>──</w:t>
      </w:r>
      <w:proofErr w:type="gramEnd"/>
      <w:r w:rsidRPr="00893D12">
        <w:rPr>
          <w:rFonts w:ascii="Segoe UI" w:eastAsia="細明體" w:hAnsi="Segoe UI" w:cs="Segoe UI"/>
          <w:b w:val="0"/>
          <w:bCs w:val="0"/>
          <w:sz w:val="22"/>
          <w:szCs w:val="20"/>
          <w:lang w:eastAsia="zh-TW"/>
        </w:rPr>
        <w:t>IRB</w:t>
      </w:r>
      <w:r w:rsidRPr="00893D12">
        <w:rPr>
          <w:rFonts w:ascii="細明體" w:eastAsia="細明體" w:hAnsi="細明體" w:cs="微軟正黑體" w:hint="eastAsia"/>
          <w:b w:val="0"/>
          <w:bCs w:val="0"/>
          <w:sz w:val="22"/>
          <w:szCs w:val="20"/>
          <w:lang w:eastAsia="zh-TW"/>
        </w:rPr>
        <w:t>計算法</w:t>
      </w:r>
    </w:p>
    <w:tbl>
      <w:tblPr>
        <w:tblW w:w="0" w:type="auto"/>
        <w:tblInd w:w="108" w:type="dxa"/>
        <w:tblLayout w:type="fixed"/>
        <w:tblLook w:val="0000" w:firstRow="0" w:lastRow="0" w:firstColumn="0" w:lastColumn="0" w:noHBand="0" w:noVBand="0"/>
      </w:tblPr>
      <w:tblGrid>
        <w:gridCol w:w="2127"/>
        <w:gridCol w:w="11373"/>
      </w:tblGrid>
      <w:tr w:rsidR="005171C5" w:rsidRPr="005171C5" w14:paraId="2F6E4694" w14:textId="77777777" w:rsidTr="0029639E">
        <w:tc>
          <w:tcPr>
            <w:tcW w:w="2127" w:type="dxa"/>
            <w:tcBorders>
              <w:top w:val="single" w:sz="4" w:space="0" w:color="000000"/>
              <w:bottom w:val="single" w:sz="4" w:space="0" w:color="000000"/>
            </w:tcBorders>
            <w:shd w:val="clear" w:color="auto" w:fill="auto"/>
          </w:tcPr>
          <w:p w14:paraId="4D5B7218"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目的：</w:t>
            </w:r>
            <w:r w:rsidRPr="005171C5">
              <w:rPr>
                <w:rFonts w:eastAsia="細明體" w:cs="Segoe UI"/>
                <w:sz w:val="17"/>
                <w:lang w:eastAsia="ar-SA"/>
              </w:rPr>
              <w:t xml:space="preserve"> </w:t>
            </w:r>
          </w:p>
        </w:tc>
        <w:tc>
          <w:tcPr>
            <w:tcW w:w="11373" w:type="dxa"/>
            <w:tcBorders>
              <w:top w:val="single" w:sz="4" w:space="0" w:color="000000"/>
              <w:left w:val="single" w:sz="4" w:space="0" w:color="000000"/>
              <w:bottom w:val="single" w:sz="4" w:space="0" w:color="000000"/>
            </w:tcBorders>
            <w:shd w:val="clear" w:color="auto" w:fill="auto"/>
          </w:tcPr>
          <w:p w14:paraId="4834DF7B" w14:textId="6F3661B3" w:rsidR="005171C5" w:rsidRPr="005171C5" w:rsidRDefault="005171C5" w:rsidP="007D2C96">
            <w:pPr>
              <w:suppressAutoHyphens/>
              <w:spacing w:before="40" w:after="40"/>
              <w:jc w:val="both"/>
              <w:rPr>
                <w:rFonts w:cs="Segoe UI"/>
                <w:sz w:val="17"/>
                <w:lang w:eastAsia="ar-SA"/>
              </w:rPr>
            </w:pPr>
            <w:r w:rsidRPr="005171C5">
              <w:rPr>
                <w:rFonts w:eastAsia="細明體" w:cs="Segoe UI" w:hint="eastAsia"/>
                <w:sz w:val="17"/>
                <w:lang w:eastAsia="ar-SA"/>
              </w:rPr>
              <w:t>提供有關監管分類準則計算法下的專門性借貸的量化資料。</w:t>
            </w:r>
          </w:p>
        </w:tc>
      </w:tr>
      <w:tr w:rsidR="005171C5" w:rsidRPr="005171C5" w14:paraId="1C1AB7D6" w14:textId="77777777" w:rsidTr="0029639E">
        <w:tc>
          <w:tcPr>
            <w:tcW w:w="2127" w:type="dxa"/>
            <w:tcBorders>
              <w:top w:val="single" w:sz="4" w:space="0" w:color="000000"/>
              <w:bottom w:val="single" w:sz="4" w:space="0" w:color="000000"/>
            </w:tcBorders>
            <w:shd w:val="clear" w:color="auto" w:fill="auto"/>
          </w:tcPr>
          <w:p w14:paraId="34966DE3" w14:textId="77777777" w:rsidR="005171C5" w:rsidRPr="005171C5" w:rsidRDefault="005171C5" w:rsidP="005171C5">
            <w:pPr>
              <w:suppressAutoHyphens/>
              <w:spacing w:before="40" w:after="40"/>
              <w:rPr>
                <w:rFonts w:eastAsia="細明體" w:cs="Segoe UI"/>
                <w:sz w:val="17"/>
                <w:lang w:eastAsia="ar-SA"/>
              </w:rPr>
            </w:pPr>
            <w:r w:rsidRPr="005171C5">
              <w:rPr>
                <w:rFonts w:eastAsia="細明體" w:cs="Segoe UI" w:hint="eastAsia"/>
                <w:b/>
                <w:sz w:val="17"/>
                <w:lang w:eastAsia="ar-SA"/>
              </w:rPr>
              <w:t>適用範圍：</w:t>
            </w:r>
            <w:r w:rsidRPr="005171C5">
              <w:rPr>
                <w:rFonts w:eastAsia="細明體" w:cs="Segoe UI"/>
                <w:b/>
                <w:sz w:val="17"/>
                <w:lang w:eastAsia="ar-SA"/>
              </w:rPr>
              <w:t xml:space="preserve"> </w:t>
            </w:r>
          </w:p>
        </w:tc>
        <w:tc>
          <w:tcPr>
            <w:tcW w:w="11373" w:type="dxa"/>
            <w:tcBorders>
              <w:top w:val="single" w:sz="4" w:space="0" w:color="000000"/>
              <w:left w:val="single" w:sz="4" w:space="0" w:color="000000"/>
              <w:bottom w:val="single" w:sz="4" w:space="0" w:color="000000"/>
            </w:tcBorders>
            <w:shd w:val="clear" w:color="auto" w:fill="auto"/>
          </w:tcPr>
          <w:p w14:paraId="0A027A4E" w14:textId="0BA03717" w:rsidR="005171C5" w:rsidRPr="005171C5" w:rsidRDefault="005171C5" w:rsidP="0022225D">
            <w:pPr>
              <w:suppressAutoHyphens/>
              <w:spacing w:before="40" w:after="40"/>
              <w:jc w:val="both"/>
              <w:rPr>
                <w:rFonts w:cs="Segoe UI"/>
                <w:lang w:eastAsia="ar-SA"/>
              </w:rPr>
            </w:pPr>
            <w:r w:rsidRPr="005171C5">
              <w:rPr>
                <w:rFonts w:eastAsia="細明體" w:cs="Segoe UI" w:hint="eastAsia"/>
                <w:sz w:val="17"/>
                <w:lang w:eastAsia="ar-SA"/>
              </w:rPr>
              <w:t>在香港成立為法團並使用以下計算法的認可機構均須填報本模版：</w:t>
            </w:r>
            <w:r w:rsidRPr="005171C5">
              <w:rPr>
                <w:rFonts w:eastAsia="細明體" w:cs="Segoe UI"/>
                <w:sz w:val="17"/>
                <w:lang w:eastAsia="ar-SA"/>
              </w:rPr>
              <w:t>(I)</w:t>
            </w:r>
            <w:r w:rsidRPr="005171C5">
              <w:rPr>
                <w:rFonts w:eastAsia="細明體" w:cs="Segoe UI" w:hint="eastAsia"/>
                <w:sz w:val="17"/>
                <w:lang w:eastAsia="ar-SA"/>
              </w:rPr>
              <w:t xml:space="preserve"> </w:t>
            </w:r>
            <w:r w:rsidRPr="005171C5">
              <w:rPr>
                <w:rFonts w:eastAsia="細明體" w:cs="Segoe UI" w:hint="eastAsia"/>
                <w:sz w:val="17"/>
                <w:lang w:eastAsia="ar-SA"/>
              </w:rPr>
              <w:t>監管分類準則計算法</w:t>
            </w:r>
            <w:r w:rsidRPr="005171C5">
              <w:rPr>
                <w:rFonts w:ascii="細明體" w:eastAsia="細明體" w:hAnsi="細明體" w:cs="細明體" w:hint="eastAsia"/>
                <w:sz w:val="17"/>
                <w:lang w:eastAsia="ar-SA"/>
              </w:rPr>
              <w:t>──</w:t>
            </w:r>
            <w:r w:rsidRPr="005171C5">
              <w:rPr>
                <w:rFonts w:eastAsia="細明體" w:cs="Segoe UI" w:hint="eastAsia"/>
                <w:sz w:val="17"/>
                <w:lang w:eastAsia="ar-SA"/>
              </w:rPr>
              <w:t>高波動性商業地產；</w:t>
            </w:r>
            <w:r w:rsidR="006878B7">
              <w:rPr>
                <w:rFonts w:eastAsia="細明體" w:cs="Segoe UI" w:hint="eastAsia"/>
                <w:sz w:val="17"/>
                <w:lang w:eastAsia="zh-HK"/>
              </w:rPr>
              <w:t>及</w:t>
            </w:r>
            <w:r w:rsidR="006878B7">
              <w:rPr>
                <w:rFonts w:eastAsia="細明體" w:cs="Segoe UI" w:hint="eastAsia"/>
                <w:sz w:val="17"/>
                <w:lang w:eastAsia="zh-TW"/>
              </w:rPr>
              <w:t xml:space="preserve"> </w:t>
            </w:r>
            <w:r w:rsidRPr="005171C5">
              <w:rPr>
                <w:rFonts w:eastAsia="細明體" w:cs="Segoe UI"/>
                <w:sz w:val="17"/>
                <w:lang w:eastAsia="ar-SA"/>
              </w:rPr>
              <w:t xml:space="preserve">(II) </w:t>
            </w:r>
            <w:r w:rsidRPr="005171C5">
              <w:rPr>
                <w:rFonts w:eastAsia="細明體" w:cs="Segoe UI" w:hint="eastAsia"/>
                <w:sz w:val="17"/>
                <w:lang w:eastAsia="ar-SA"/>
              </w:rPr>
              <w:t>監管分類準則計算法</w:t>
            </w:r>
            <w:r w:rsidRPr="005171C5">
              <w:rPr>
                <w:rFonts w:ascii="細明體" w:eastAsia="細明體" w:hAnsi="細明體" w:cs="細明體" w:hint="eastAsia"/>
                <w:sz w:val="17"/>
                <w:lang w:eastAsia="ar-SA"/>
              </w:rPr>
              <w:t>──</w:t>
            </w:r>
            <w:r w:rsidRPr="005171C5">
              <w:rPr>
                <w:rFonts w:eastAsia="細明體" w:cs="Segoe UI" w:hint="eastAsia"/>
                <w:sz w:val="17"/>
                <w:lang w:eastAsia="ar-SA"/>
              </w:rPr>
              <w:t>高波動性商業地產除外。</w:t>
            </w:r>
          </w:p>
        </w:tc>
      </w:tr>
      <w:tr w:rsidR="005171C5" w:rsidRPr="005171C5" w14:paraId="3439BE23" w14:textId="77777777" w:rsidTr="0029639E">
        <w:trPr>
          <w:trHeight w:val="275"/>
        </w:trPr>
        <w:tc>
          <w:tcPr>
            <w:tcW w:w="2127" w:type="dxa"/>
            <w:tcBorders>
              <w:top w:val="single" w:sz="4" w:space="0" w:color="000000"/>
              <w:bottom w:val="single" w:sz="4" w:space="0" w:color="000000"/>
            </w:tcBorders>
            <w:shd w:val="clear" w:color="auto" w:fill="auto"/>
          </w:tcPr>
          <w:p w14:paraId="480B5ABE" w14:textId="77777777" w:rsidR="005171C5" w:rsidRPr="005171C5" w:rsidRDefault="005171C5" w:rsidP="005171C5">
            <w:pPr>
              <w:suppressAutoHyphens/>
              <w:spacing w:before="40" w:after="40"/>
              <w:rPr>
                <w:rFonts w:eastAsia="細明體" w:cs="Segoe UI"/>
                <w:sz w:val="17"/>
                <w:lang w:eastAsia="ar-SA"/>
              </w:rPr>
            </w:pPr>
            <w:r w:rsidRPr="005171C5">
              <w:rPr>
                <w:rFonts w:eastAsia="細明體" w:cs="Segoe UI" w:hint="eastAsia"/>
                <w:b/>
                <w:sz w:val="17"/>
                <w:lang w:eastAsia="ar-SA"/>
              </w:rPr>
              <w:t>內容：</w:t>
            </w:r>
            <w:r w:rsidRPr="005171C5">
              <w:rPr>
                <w:rFonts w:eastAsia="細明體" w:cs="Segoe UI"/>
                <w:b/>
                <w:sz w:val="17"/>
                <w:lang w:eastAsia="ar-SA"/>
              </w:rPr>
              <w:t xml:space="preserve"> </w:t>
            </w:r>
          </w:p>
        </w:tc>
        <w:tc>
          <w:tcPr>
            <w:tcW w:w="11373" w:type="dxa"/>
            <w:tcBorders>
              <w:top w:val="single" w:sz="4" w:space="0" w:color="000000"/>
              <w:left w:val="single" w:sz="4" w:space="0" w:color="000000"/>
              <w:bottom w:val="single" w:sz="4" w:space="0" w:color="000000"/>
            </w:tcBorders>
            <w:shd w:val="clear" w:color="auto" w:fill="auto"/>
          </w:tcPr>
          <w:p w14:paraId="76A5083B" w14:textId="77777777" w:rsidR="005171C5" w:rsidRPr="005171C5" w:rsidRDefault="005171C5" w:rsidP="005171C5">
            <w:pPr>
              <w:suppressAutoHyphens/>
              <w:spacing w:before="40" w:after="40"/>
              <w:jc w:val="both"/>
              <w:rPr>
                <w:rFonts w:cs="Segoe UI"/>
                <w:lang w:eastAsia="ar-SA"/>
              </w:rPr>
            </w:pPr>
            <w:r w:rsidRPr="005171C5">
              <w:rPr>
                <w:rFonts w:eastAsia="細明體" w:cs="Segoe UI" w:hint="eastAsia"/>
                <w:sz w:val="17"/>
                <w:lang w:eastAsia="ar-SA"/>
              </w:rPr>
              <w:t>帳面值、風險承擔數額及風險加權數額。</w:t>
            </w:r>
          </w:p>
        </w:tc>
      </w:tr>
      <w:tr w:rsidR="005171C5" w:rsidRPr="005171C5" w14:paraId="3CAE779F" w14:textId="77777777" w:rsidTr="0029639E">
        <w:tc>
          <w:tcPr>
            <w:tcW w:w="2127" w:type="dxa"/>
            <w:tcBorders>
              <w:top w:val="single" w:sz="4" w:space="0" w:color="000000"/>
              <w:bottom w:val="single" w:sz="4" w:space="0" w:color="000000"/>
            </w:tcBorders>
            <w:shd w:val="clear" w:color="auto" w:fill="auto"/>
          </w:tcPr>
          <w:p w14:paraId="2640248D"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頻密程度：</w:t>
            </w:r>
            <w:r w:rsidRPr="005171C5">
              <w:rPr>
                <w:rFonts w:eastAsia="細明體" w:cs="Segoe UI"/>
                <w:sz w:val="17"/>
                <w:lang w:eastAsia="ar-SA"/>
              </w:rPr>
              <w:t xml:space="preserve"> </w:t>
            </w:r>
          </w:p>
        </w:tc>
        <w:tc>
          <w:tcPr>
            <w:tcW w:w="11373" w:type="dxa"/>
            <w:tcBorders>
              <w:top w:val="single" w:sz="4" w:space="0" w:color="000000"/>
              <w:left w:val="single" w:sz="4" w:space="0" w:color="000000"/>
              <w:bottom w:val="single" w:sz="4" w:space="0" w:color="000000"/>
            </w:tcBorders>
            <w:shd w:val="clear" w:color="auto" w:fill="auto"/>
          </w:tcPr>
          <w:p w14:paraId="05C6F4EA"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每半年一次</w:t>
            </w:r>
            <w:r w:rsidRPr="005171C5">
              <w:rPr>
                <w:rFonts w:eastAsia="細明體" w:cs="Segoe UI"/>
                <w:sz w:val="17"/>
                <w:lang w:eastAsia="ar-SA"/>
              </w:rPr>
              <w:t>。</w:t>
            </w:r>
          </w:p>
        </w:tc>
      </w:tr>
      <w:tr w:rsidR="005171C5" w:rsidRPr="005171C5" w14:paraId="4FA16EFB" w14:textId="77777777" w:rsidTr="0029639E">
        <w:tc>
          <w:tcPr>
            <w:tcW w:w="2127" w:type="dxa"/>
            <w:tcBorders>
              <w:top w:val="single" w:sz="4" w:space="0" w:color="000000"/>
              <w:bottom w:val="single" w:sz="4" w:space="0" w:color="000000"/>
            </w:tcBorders>
            <w:shd w:val="clear" w:color="auto" w:fill="auto"/>
          </w:tcPr>
          <w:p w14:paraId="0C2FD499"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格式：</w:t>
            </w:r>
            <w:r w:rsidRPr="005171C5">
              <w:rPr>
                <w:rFonts w:eastAsia="細明體" w:cs="Segoe UI"/>
                <w:sz w:val="17"/>
                <w:lang w:eastAsia="ar-SA"/>
              </w:rPr>
              <w:t xml:space="preserve"> </w:t>
            </w:r>
          </w:p>
        </w:tc>
        <w:tc>
          <w:tcPr>
            <w:tcW w:w="11373" w:type="dxa"/>
            <w:tcBorders>
              <w:top w:val="single" w:sz="4" w:space="0" w:color="000000"/>
              <w:left w:val="single" w:sz="4" w:space="0" w:color="000000"/>
              <w:bottom w:val="single" w:sz="4" w:space="0" w:color="000000"/>
            </w:tcBorders>
            <w:shd w:val="clear" w:color="auto" w:fill="auto"/>
          </w:tcPr>
          <w:p w14:paraId="21FBB026"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非固定</w:t>
            </w:r>
            <w:r w:rsidRPr="005171C5">
              <w:rPr>
                <w:rFonts w:eastAsia="細明體" w:cs="Segoe UI"/>
                <w:sz w:val="17"/>
                <w:lang w:eastAsia="ar-SA"/>
              </w:rPr>
              <w:t>。</w:t>
            </w:r>
          </w:p>
        </w:tc>
      </w:tr>
      <w:tr w:rsidR="005171C5" w:rsidRPr="005171C5" w14:paraId="048B9B8F" w14:textId="77777777" w:rsidTr="0029639E">
        <w:tc>
          <w:tcPr>
            <w:tcW w:w="2127" w:type="dxa"/>
            <w:tcBorders>
              <w:top w:val="single" w:sz="4" w:space="0" w:color="000000"/>
              <w:bottom w:val="single" w:sz="4" w:space="0" w:color="000000"/>
            </w:tcBorders>
            <w:shd w:val="clear" w:color="auto" w:fill="auto"/>
          </w:tcPr>
          <w:p w14:paraId="7F2B7077" w14:textId="77777777" w:rsidR="005171C5" w:rsidRPr="005171C5" w:rsidRDefault="005171C5" w:rsidP="005171C5">
            <w:pPr>
              <w:suppressAutoHyphens/>
              <w:spacing w:before="40" w:after="40"/>
              <w:rPr>
                <w:rFonts w:eastAsia="細明體" w:cs="Segoe UI"/>
                <w:szCs w:val="17"/>
                <w:lang w:eastAsia="ar-SA"/>
              </w:rPr>
            </w:pPr>
            <w:r w:rsidRPr="005171C5">
              <w:rPr>
                <w:rFonts w:eastAsia="細明體" w:cs="Segoe UI" w:hint="eastAsia"/>
                <w:b/>
                <w:sz w:val="17"/>
                <w:szCs w:val="17"/>
                <w:lang w:eastAsia="ar-SA"/>
              </w:rPr>
              <w:t>附加說明：</w:t>
            </w:r>
          </w:p>
        </w:tc>
        <w:tc>
          <w:tcPr>
            <w:tcW w:w="11373" w:type="dxa"/>
            <w:tcBorders>
              <w:top w:val="single" w:sz="4" w:space="0" w:color="000000"/>
              <w:left w:val="single" w:sz="4" w:space="0" w:color="000000"/>
              <w:bottom w:val="single" w:sz="4" w:space="0" w:color="000000"/>
            </w:tcBorders>
            <w:shd w:val="clear" w:color="auto" w:fill="auto"/>
          </w:tcPr>
          <w:p w14:paraId="40868AE7" w14:textId="46C08AA1" w:rsidR="005171C5" w:rsidRPr="005171C5" w:rsidRDefault="005171C5" w:rsidP="0057392C">
            <w:pPr>
              <w:suppressAutoHyphens/>
              <w:spacing w:before="40" w:after="40"/>
              <w:jc w:val="both"/>
              <w:rPr>
                <w:rFonts w:cs="Segoe UI"/>
                <w:sz w:val="17"/>
                <w:lang w:eastAsia="ar-SA"/>
              </w:rPr>
            </w:pPr>
            <w:r w:rsidRPr="005171C5">
              <w:rPr>
                <w:rFonts w:eastAsia="細明體" w:cs="Segoe UI" w:hint="eastAsia"/>
                <w:sz w:val="17"/>
                <w:szCs w:val="17"/>
                <w:lang w:eastAsia="ar-SA"/>
              </w:rPr>
              <w:t>認可機構應以敘述評註闡明現行報告期內的任何重大</w:t>
            </w:r>
            <w:r w:rsidR="0057392C" w:rsidRPr="0057392C">
              <w:rPr>
                <w:rFonts w:eastAsia="細明體" w:cs="Segoe UI" w:hint="eastAsia"/>
                <w:sz w:val="17"/>
                <w:szCs w:val="17"/>
                <w:lang w:eastAsia="ar-SA"/>
              </w:rPr>
              <w:t>改</w:t>
            </w:r>
            <w:r w:rsidRPr="005171C5">
              <w:rPr>
                <w:rFonts w:eastAsia="細明體" w:cs="Segoe UI" w:hint="eastAsia"/>
                <w:sz w:val="17"/>
                <w:szCs w:val="17"/>
                <w:lang w:eastAsia="ar-SA"/>
              </w:rPr>
              <w:t>變及引致該等</w:t>
            </w:r>
            <w:r w:rsidR="0057392C" w:rsidRPr="0057392C">
              <w:rPr>
                <w:rFonts w:eastAsia="細明體" w:cs="Segoe UI" w:hint="eastAsia"/>
                <w:sz w:val="17"/>
                <w:szCs w:val="17"/>
                <w:lang w:eastAsia="ar-SA"/>
              </w:rPr>
              <w:t>改</w:t>
            </w:r>
            <w:r w:rsidRPr="005171C5">
              <w:rPr>
                <w:rFonts w:eastAsia="細明體" w:cs="Segoe UI" w:hint="eastAsia"/>
                <w:sz w:val="17"/>
                <w:szCs w:val="17"/>
                <w:lang w:eastAsia="ar-SA"/>
              </w:rPr>
              <w:t>變的主要驅動因素</w:t>
            </w:r>
            <w:r w:rsidRPr="005171C5">
              <w:rPr>
                <w:rFonts w:eastAsia="細明體" w:cs="Segoe UI" w:hint="eastAsia"/>
                <w:sz w:val="17"/>
                <w:lang w:eastAsia="ar-SA"/>
              </w:rPr>
              <w:t>，以補充本模版。</w:t>
            </w:r>
          </w:p>
        </w:tc>
      </w:tr>
      <w:tr w:rsidR="005171C5" w:rsidRPr="005171C5" w14:paraId="1F145155" w14:textId="77777777" w:rsidTr="0029639E">
        <w:tc>
          <w:tcPr>
            <w:tcW w:w="2127" w:type="dxa"/>
            <w:tcBorders>
              <w:top w:val="single" w:sz="4" w:space="0" w:color="000000"/>
              <w:bottom w:val="single" w:sz="4" w:space="0" w:color="000000"/>
            </w:tcBorders>
            <w:shd w:val="clear" w:color="auto" w:fill="auto"/>
          </w:tcPr>
          <w:p w14:paraId="7ADB760B"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szCs w:val="17"/>
                <w:lang w:eastAsia="ar-SA"/>
              </w:rPr>
              <w:t>《披露規則》相應條文：</w:t>
            </w:r>
          </w:p>
        </w:tc>
        <w:tc>
          <w:tcPr>
            <w:tcW w:w="11373" w:type="dxa"/>
            <w:tcBorders>
              <w:top w:val="single" w:sz="4" w:space="0" w:color="000000"/>
              <w:left w:val="single" w:sz="4" w:space="0" w:color="000000"/>
              <w:bottom w:val="single" w:sz="4" w:space="0" w:color="000000"/>
            </w:tcBorders>
            <w:shd w:val="clear" w:color="auto" w:fill="auto"/>
          </w:tcPr>
          <w:p w14:paraId="504C6D92"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sz w:val="17"/>
                <w:lang w:eastAsia="ar-SA"/>
              </w:rPr>
              <w:t>16U</w:t>
            </w:r>
          </w:p>
        </w:tc>
      </w:tr>
    </w:tbl>
    <w:p w14:paraId="133C7541" w14:textId="77777777" w:rsidR="005171C5" w:rsidRPr="005171C5" w:rsidRDefault="005171C5" w:rsidP="00D540EB">
      <w:pPr>
        <w:numPr>
          <w:ilvl w:val="0"/>
          <w:numId w:val="42"/>
        </w:numPr>
        <w:suppressAutoHyphens/>
        <w:spacing w:before="120"/>
        <w:ind w:left="426" w:hanging="284"/>
        <w:rPr>
          <w:rFonts w:cs="Segoe UI"/>
          <w:lang w:eastAsia="ar-SA"/>
        </w:rPr>
      </w:pPr>
      <w:r w:rsidRPr="005171C5">
        <w:rPr>
          <w:rFonts w:eastAsia="細明體" w:cs="Segoe UI" w:hint="eastAsia"/>
          <w:b/>
          <w:sz w:val="17"/>
          <w:lang w:eastAsia="ar-SA"/>
        </w:rPr>
        <w:t>監管分類準則計算法</w:t>
      </w:r>
      <w:r w:rsidRPr="005171C5">
        <w:rPr>
          <w:rFonts w:ascii="細明體" w:eastAsia="細明體" w:hAnsi="細明體" w:cs="Segoe UI" w:hint="eastAsia"/>
          <w:b/>
          <w:sz w:val="17"/>
          <w:lang w:eastAsia="ar-SA"/>
        </w:rPr>
        <w:t>──</w:t>
      </w:r>
      <w:r w:rsidRPr="005171C5">
        <w:rPr>
          <w:rFonts w:eastAsia="細明體" w:cs="Segoe UI" w:hint="eastAsia"/>
          <w:b/>
          <w:sz w:val="17"/>
          <w:lang w:eastAsia="ar-SA"/>
        </w:rPr>
        <w:t>高波動性商業地產</w:t>
      </w:r>
    </w:p>
    <w:tbl>
      <w:tblPr>
        <w:tblW w:w="0" w:type="auto"/>
        <w:tblInd w:w="99" w:type="dxa"/>
        <w:tblLayout w:type="fixed"/>
        <w:tblCellMar>
          <w:left w:w="99" w:type="dxa"/>
          <w:right w:w="99" w:type="dxa"/>
        </w:tblCellMar>
        <w:tblLook w:val="0000" w:firstRow="0" w:lastRow="0" w:firstColumn="0" w:lastColumn="0" w:noHBand="0" w:noVBand="0"/>
      </w:tblPr>
      <w:tblGrid>
        <w:gridCol w:w="1461"/>
        <w:gridCol w:w="3069"/>
        <w:gridCol w:w="6"/>
        <w:gridCol w:w="1560"/>
        <w:gridCol w:w="1701"/>
        <w:gridCol w:w="986"/>
        <w:gridCol w:w="6"/>
        <w:gridCol w:w="1134"/>
        <w:gridCol w:w="992"/>
        <w:gridCol w:w="1134"/>
      </w:tblGrid>
      <w:tr w:rsidR="005171C5" w:rsidRPr="005171C5" w14:paraId="5D6B4915" w14:textId="77777777" w:rsidTr="005604D5">
        <w:trPr>
          <w:trHeight w:val="272"/>
          <w:tblHeader/>
        </w:trPr>
        <w:tc>
          <w:tcPr>
            <w:tcW w:w="1461" w:type="dxa"/>
            <w:tcBorders>
              <w:bottom w:val="single" w:sz="4" w:space="0" w:color="000000"/>
            </w:tcBorders>
            <w:shd w:val="clear" w:color="auto" w:fill="auto"/>
            <w:vAlign w:val="center"/>
          </w:tcPr>
          <w:p w14:paraId="116B001B" w14:textId="77777777" w:rsidR="005171C5" w:rsidRPr="005171C5" w:rsidRDefault="005171C5" w:rsidP="005171C5">
            <w:pPr>
              <w:suppressAutoHyphens/>
              <w:snapToGrid w:val="0"/>
              <w:spacing w:before="40" w:after="40"/>
              <w:jc w:val="center"/>
              <w:rPr>
                <w:rFonts w:cs="Segoe UI"/>
                <w:sz w:val="17"/>
                <w:lang w:eastAsia="ar-SA"/>
              </w:rPr>
            </w:pPr>
          </w:p>
        </w:tc>
        <w:tc>
          <w:tcPr>
            <w:tcW w:w="3075" w:type="dxa"/>
            <w:gridSpan w:val="2"/>
            <w:tcBorders>
              <w:bottom w:val="single" w:sz="4" w:space="0" w:color="000000"/>
            </w:tcBorders>
            <w:shd w:val="clear" w:color="auto" w:fill="auto"/>
            <w:vAlign w:val="center"/>
          </w:tcPr>
          <w:p w14:paraId="50EFB5D8" w14:textId="77777777" w:rsidR="005171C5" w:rsidRPr="005171C5" w:rsidRDefault="005171C5" w:rsidP="005171C5">
            <w:pPr>
              <w:suppressAutoHyphens/>
              <w:snapToGrid w:val="0"/>
              <w:spacing w:before="40" w:after="40"/>
              <w:jc w:val="center"/>
              <w:rPr>
                <w:rFonts w:eastAsia="細明體" w:cs="Segoe UI"/>
                <w:sz w:val="17"/>
                <w:lang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14:paraId="171FF57D"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(a)</w:t>
            </w:r>
          </w:p>
        </w:tc>
        <w:tc>
          <w:tcPr>
            <w:tcW w:w="1701" w:type="dxa"/>
            <w:tcBorders>
              <w:top w:val="single" w:sz="4" w:space="0" w:color="000000"/>
              <w:left w:val="single" w:sz="4" w:space="0" w:color="000000"/>
              <w:bottom w:val="single" w:sz="4" w:space="0" w:color="000000"/>
            </w:tcBorders>
            <w:shd w:val="clear" w:color="auto" w:fill="auto"/>
            <w:vAlign w:val="center"/>
          </w:tcPr>
          <w:p w14:paraId="401983F8"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(b)</w:t>
            </w:r>
          </w:p>
        </w:tc>
        <w:tc>
          <w:tcPr>
            <w:tcW w:w="992" w:type="dxa"/>
            <w:gridSpan w:val="2"/>
            <w:tcBorders>
              <w:top w:val="single" w:sz="4" w:space="0" w:color="000000"/>
              <w:left w:val="single" w:sz="4" w:space="0" w:color="000000"/>
              <w:bottom w:val="single" w:sz="4" w:space="0" w:color="000000"/>
            </w:tcBorders>
            <w:shd w:val="clear" w:color="auto" w:fill="auto"/>
          </w:tcPr>
          <w:p w14:paraId="2DE8867B"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(c)</w:t>
            </w:r>
          </w:p>
        </w:tc>
        <w:tc>
          <w:tcPr>
            <w:tcW w:w="1134" w:type="dxa"/>
            <w:tcBorders>
              <w:top w:val="single" w:sz="4" w:space="0" w:color="000000"/>
              <w:left w:val="single" w:sz="4" w:space="0" w:color="000000"/>
              <w:bottom w:val="single" w:sz="4" w:space="0" w:color="000000"/>
            </w:tcBorders>
            <w:shd w:val="clear" w:color="auto" w:fill="auto"/>
            <w:vAlign w:val="center"/>
          </w:tcPr>
          <w:p w14:paraId="4C7BD7CD"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(d)</w:t>
            </w:r>
          </w:p>
        </w:tc>
        <w:tc>
          <w:tcPr>
            <w:tcW w:w="992" w:type="dxa"/>
            <w:tcBorders>
              <w:top w:val="single" w:sz="4" w:space="0" w:color="000000"/>
              <w:left w:val="single" w:sz="4" w:space="0" w:color="000000"/>
              <w:bottom w:val="single" w:sz="4" w:space="0" w:color="000000"/>
            </w:tcBorders>
            <w:shd w:val="clear" w:color="auto" w:fill="auto"/>
          </w:tcPr>
          <w:p w14:paraId="4612B960"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E72E9" w14:textId="77777777" w:rsidR="005171C5" w:rsidRPr="005171C5" w:rsidRDefault="005171C5" w:rsidP="005171C5">
            <w:pPr>
              <w:suppressAutoHyphens/>
              <w:snapToGrid w:val="0"/>
              <w:spacing w:before="40" w:after="40"/>
              <w:jc w:val="center"/>
              <w:rPr>
                <w:rFonts w:cs="Segoe UI"/>
                <w:sz w:val="17"/>
                <w:lang w:eastAsia="ar-SA"/>
              </w:rPr>
            </w:pPr>
            <w:r w:rsidRPr="005171C5">
              <w:rPr>
                <w:rFonts w:eastAsia="細明體" w:cs="Segoe UI"/>
                <w:sz w:val="17"/>
                <w:lang w:eastAsia="ar-SA"/>
              </w:rPr>
              <w:t>(f)</w:t>
            </w:r>
          </w:p>
        </w:tc>
      </w:tr>
      <w:tr w:rsidR="005171C5" w:rsidRPr="005171C5" w14:paraId="212E33FF" w14:textId="77777777" w:rsidTr="005604D5">
        <w:trPr>
          <w:trHeight w:val="369"/>
          <w:tblHeader/>
        </w:trPr>
        <w:tc>
          <w:tcPr>
            <w:tcW w:w="1461" w:type="dxa"/>
            <w:tcBorders>
              <w:top w:val="single" w:sz="4" w:space="0" w:color="C0C0C0"/>
              <w:bottom w:val="single" w:sz="4" w:space="0" w:color="000000"/>
            </w:tcBorders>
            <w:shd w:val="clear" w:color="auto" w:fill="auto"/>
            <w:vAlign w:val="center"/>
          </w:tcPr>
          <w:p w14:paraId="77DF8ECE"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監管評級等級</w:t>
            </w:r>
          </w:p>
        </w:tc>
        <w:tc>
          <w:tcPr>
            <w:tcW w:w="3069" w:type="dxa"/>
            <w:tcBorders>
              <w:top w:val="single" w:sz="4" w:space="0" w:color="C0C0C0"/>
              <w:left w:val="single" w:sz="4" w:space="0" w:color="000000"/>
              <w:bottom w:val="single" w:sz="4" w:space="0" w:color="000000"/>
            </w:tcBorders>
            <w:shd w:val="clear" w:color="auto" w:fill="auto"/>
            <w:vAlign w:val="center"/>
          </w:tcPr>
          <w:p w14:paraId="56766F6B"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尚餘到期期限</w:t>
            </w:r>
          </w:p>
        </w:tc>
        <w:tc>
          <w:tcPr>
            <w:tcW w:w="1566" w:type="dxa"/>
            <w:gridSpan w:val="2"/>
            <w:tcBorders>
              <w:top w:val="single" w:sz="4" w:space="0" w:color="C0C0C0"/>
              <w:left w:val="single" w:sz="4" w:space="0" w:color="000000"/>
              <w:bottom w:val="single" w:sz="4" w:space="0" w:color="000000"/>
            </w:tcBorders>
            <w:shd w:val="clear" w:color="auto" w:fill="auto"/>
            <w:vAlign w:val="center"/>
          </w:tcPr>
          <w:p w14:paraId="189D3C02" w14:textId="1B5D542B"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資產負債表內</w:t>
            </w:r>
            <w:r w:rsidR="0057392C" w:rsidRPr="0057392C">
              <w:rPr>
                <w:rFonts w:eastAsia="細明體" w:cs="Segoe UI" w:hint="eastAsia"/>
                <w:sz w:val="17"/>
                <w:lang w:eastAsia="ar-SA"/>
              </w:rPr>
              <w:t>風險承擔</w:t>
            </w:r>
            <w:r w:rsidRPr="005171C5">
              <w:rPr>
                <w:rFonts w:eastAsia="細明體" w:cs="Segoe UI" w:hint="eastAsia"/>
                <w:sz w:val="17"/>
                <w:lang w:eastAsia="ar-SA"/>
              </w:rPr>
              <w:t>數額</w:t>
            </w:r>
          </w:p>
        </w:tc>
        <w:tc>
          <w:tcPr>
            <w:tcW w:w="1701" w:type="dxa"/>
            <w:tcBorders>
              <w:top w:val="single" w:sz="4" w:space="0" w:color="C0C0C0"/>
              <w:left w:val="single" w:sz="4" w:space="0" w:color="000000"/>
              <w:bottom w:val="single" w:sz="4" w:space="0" w:color="000000"/>
            </w:tcBorders>
            <w:shd w:val="clear" w:color="auto" w:fill="auto"/>
            <w:vAlign w:val="center"/>
          </w:tcPr>
          <w:p w14:paraId="6313CDED" w14:textId="6B071D05"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資產負債表外</w:t>
            </w:r>
            <w:r w:rsidR="0057392C" w:rsidRPr="0057392C">
              <w:rPr>
                <w:rFonts w:eastAsia="細明體" w:cs="Segoe UI" w:hint="eastAsia"/>
                <w:sz w:val="17"/>
                <w:lang w:eastAsia="ar-SA"/>
              </w:rPr>
              <w:t>風險承擔</w:t>
            </w:r>
            <w:r w:rsidRPr="005171C5">
              <w:rPr>
                <w:rFonts w:eastAsia="細明體" w:cs="Segoe UI" w:hint="eastAsia"/>
                <w:sz w:val="17"/>
                <w:lang w:eastAsia="ar-SA"/>
              </w:rPr>
              <w:t>數額</w:t>
            </w:r>
          </w:p>
        </w:tc>
        <w:tc>
          <w:tcPr>
            <w:tcW w:w="986" w:type="dxa"/>
            <w:tcBorders>
              <w:top w:val="single" w:sz="4" w:space="0" w:color="C0C0C0"/>
              <w:left w:val="single" w:sz="4" w:space="0" w:color="000000"/>
              <w:bottom w:val="single" w:sz="4" w:space="0" w:color="000000"/>
            </w:tcBorders>
            <w:shd w:val="clear" w:color="auto" w:fill="auto"/>
            <w:vAlign w:val="center"/>
          </w:tcPr>
          <w:p w14:paraId="09CFD597"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監管風險權重</w:t>
            </w:r>
          </w:p>
        </w:tc>
        <w:tc>
          <w:tcPr>
            <w:tcW w:w="1140" w:type="dxa"/>
            <w:gridSpan w:val="2"/>
            <w:tcBorders>
              <w:top w:val="single" w:sz="4" w:space="0" w:color="C0C0C0"/>
              <w:left w:val="single" w:sz="4" w:space="0" w:color="000000"/>
              <w:bottom w:val="single" w:sz="4" w:space="0" w:color="000000"/>
            </w:tcBorders>
            <w:shd w:val="clear" w:color="auto" w:fill="auto"/>
            <w:vAlign w:val="center"/>
          </w:tcPr>
          <w:p w14:paraId="0541C931"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EAD</w:t>
            </w:r>
            <w:r w:rsidRPr="005171C5">
              <w:rPr>
                <w:rFonts w:eastAsia="細明體" w:cs="Segoe UI" w:hint="eastAsia"/>
                <w:sz w:val="17"/>
                <w:lang w:eastAsia="ar-SA"/>
              </w:rPr>
              <w:t>數額</w:t>
            </w:r>
          </w:p>
        </w:tc>
        <w:tc>
          <w:tcPr>
            <w:tcW w:w="992" w:type="dxa"/>
            <w:tcBorders>
              <w:top w:val="single" w:sz="4" w:space="0" w:color="C0C0C0"/>
              <w:left w:val="single" w:sz="4" w:space="0" w:color="000000"/>
              <w:bottom w:val="single" w:sz="4" w:space="0" w:color="000000"/>
            </w:tcBorders>
            <w:shd w:val="clear" w:color="auto" w:fill="auto"/>
            <w:vAlign w:val="center"/>
          </w:tcPr>
          <w:p w14:paraId="47D00D47"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風險加權數額</w:t>
            </w:r>
          </w:p>
        </w:tc>
        <w:tc>
          <w:tcPr>
            <w:tcW w:w="1134" w:type="dxa"/>
            <w:tcBorders>
              <w:top w:val="single" w:sz="4" w:space="0" w:color="C0C0C0"/>
              <w:left w:val="single" w:sz="4" w:space="0" w:color="000000"/>
              <w:bottom w:val="single" w:sz="4" w:space="0" w:color="000000"/>
              <w:right w:val="single" w:sz="4" w:space="0" w:color="000000"/>
            </w:tcBorders>
            <w:shd w:val="clear" w:color="auto" w:fill="auto"/>
            <w:vAlign w:val="center"/>
          </w:tcPr>
          <w:p w14:paraId="139A4AA4" w14:textId="77777777" w:rsidR="005171C5" w:rsidRPr="005171C5" w:rsidRDefault="005171C5" w:rsidP="005171C5">
            <w:pPr>
              <w:suppressAutoHyphens/>
              <w:snapToGrid w:val="0"/>
              <w:spacing w:before="40" w:after="40"/>
              <w:jc w:val="center"/>
              <w:rPr>
                <w:rFonts w:cs="Segoe UI"/>
                <w:sz w:val="17"/>
                <w:lang w:eastAsia="ar-SA"/>
              </w:rPr>
            </w:pPr>
            <w:r w:rsidRPr="005171C5">
              <w:rPr>
                <w:rFonts w:eastAsia="細明體" w:cs="Segoe UI" w:hint="eastAsia"/>
                <w:sz w:val="17"/>
                <w:lang w:eastAsia="ar-SA"/>
              </w:rPr>
              <w:t>預期損失額</w:t>
            </w:r>
          </w:p>
        </w:tc>
      </w:tr>
      <w:tr w:rsidR="005171C5" w:rsidRPr="005171C5" w14:paraId="701E254A" w14:textId="77777777" w:rsidTr="005604D5">
        <w:trPr>
          <w:trHeight w:val="210"/>
        </w:trPr>
        <w:tc>
          <w:tcPr>
            <w:tcW w:w="1461" w:type="dxa"/>
            <w:tcBorders>
              <w:top w:val="single" w:sz="4" w:space="0" w:color="000000"/>
              <w:bottom w:val="single" w:sz="4" w:space="0" w:color="C0C0C0"/>
            </w:tcBorders>
            <w:shd w:val="clear" w:color="auto" w:fill="auto"/>
            <w:vAlign w:val="center"/>
          </w:tcPr>
          <w:p w14:paraId="048D7CE1"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優</w:t>
            </w:r>
            <w:r w:rsidRPr="005171C5">
              <w:rPr>
                <w:rFonts w:eastAsia="細明體" w:cs="Segoe UI"/>
                <w:sz w:val="17"/>
                <w:lang w:eastAsia="ar-SA"/>
              </w:rPr>
              <w:t>^</w:t>
            </w:r>
          </w:p>
        </w:tc>
        <w:tc>
          <w:tcPr>
            <w:tcW w:w="3069" w:type="dxa"/>
            <w:tcBorders>
              <w:top w:val="single" w:sz="4" w:space="0" w:color="000000"/>
              <w:left w:val="single" w:sz="4" w:space="0" w:color="000000"/>
              <w:bottom w:val="single" w:sz="4" w:space="0" w:color="C0C0C0"/>
            </w:tcBorders>
            <w:shd w:val="clear" w:color="auto" w:fill="auto"/>
            <w:vAlign w:val="center"/>
          </w:tcPr>
          <w:p w14:paraId="42FC82E7"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年以下</w:t>
            </w:r>
          </w:p>
        </w:tc>
        <w:tc>
          <w:tcPr>
            <w:tcW w:w="1566" w:type="dxa"/>
            <w:gridSpan w:val="2"/>
            <w:tcBorders>
              <w:top w:val="single" w:sz="4" w:space="0" w:color="000000"/>
              <w:left w:val="single" w:sz="4" w:space="0" w:color="000000"/>
              <w:bottom w:val="single" w:sz="4" w:space="0" w:color="C0C0C0"/>
            </w:tcBorders>
            <w:shd w:val="clear" w:color="auto" w:fill="auto"/>
            <w:vAlign w:val="center"/>
          </w:tcPr>
          <w:p w14:paraId="6C36B67A" w14:textId="77777777" w:rsidR="005171C5" w:rsidRPr="005171C5" w:rsidRDefault="005171C5" w:rsidP="005171C5">
            <w:pPr>
              <w:suppressAutoHyphens/>
              <w:snapToGrid w:val="0"/>
              <w:spacing w:before="40" w:after="40"/>
              <w:rPr>
                <w:rFonts w:eastAsia="細明體" w:cs="Segoe UI"/>
                <w:sz w:val="17"/>
                <w:lang w:eastAsia="ar-SA"/>
              </w:rPr>
            </w:pPr>
          </w:p>
        </w:tc>
        <w:tc>
          <w:tcPr>
            <w:tcW w:w="1701" w:type="dxa"/>
            <w:tcBorders>
              <w:top w:val="single" w:sz="4" w:space="0" w:color="000000"/>
              <w:left w:val="single" w:sz="4" w:space="0" w:color="000000"/>
              <w:bottom w:val="single" w:sz="4" w:space="0" w:color="C0C0C0"/>
            </w:tcBorders>
            <w:shd w:val="clear" w:color="auto" w:fill="auto"/>
            <w:vAlign w:val="center"/>
          </w:tcPr>
          <w:p w14:paraId="0A034901"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000000"/>
              <w:left w:val="single" w:sz="4" w:space="0" w:color="000000"/>
              <w:bottom w:val="single" w:sz="4" w:space="0" w:color="C0C0C0"/>
            </w:tcBorders>
            <w:shd w:val="clear" w:color="auto" w:fill="auto"/>
          </w:tcPr>
          <w:p w14:paraId="3B146762"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70%</w:t>
            </w:r>
          </w:p>
        </w:tc>
        <w:tc>
          <w:tcPr>
            <w:tcW w:w="1140" w:type="dxa"/>
            <w:gridSpan w:val="2"/>
            <w:tcBorders>
              <w:top w:val="single" w:sz="4" w:space="0" w:color="000000"/>
              <w:left w:val="single" w:sz="4" w:space="0" w:color="000000"/>
              <w:bottom w:val="single" w:sz="4" w:space="0" w:color="C0C0C0"/>
            </w:tcBorders>
            <w:shd w:val="clear" w:color="auto" w:fill="auto"/>
          </w:tcPr>
          <w:p w14:paraId="18CEE109"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000000"/>
              <w:left w:val="single" w:sz="4" w:space="0" w:color="000000"/>
              <w:bottom w:val="single" w:sz="4" w:space="0" w:color="C0C0C0"/>
            </w:tcBorders>
            <w:shd w:val="clear" w:color="auto" w:fill="auto"/>
          </w:tcPr>
          <w:p w14:paraId="539BE638"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000000"/>
              <w:left w:val="single" w:sz="4" w:space="0" w:color="000000"/>
              <w:bottom w:val="single" w:sz="4" w:space="0" w:color="C0C0C0"/>
              <w:right w:val="single" w:sz="4" w:space="0" w:color="000000"/>
            </w:tcBorders>
            <w:shd w:val="clear" w:color="auto" w:fill="auto"/>
          </w:tcPr>
          <w:p w14:paraId="1EDBC4EB"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220DED85" w14:textId="77777777" w:rsidTr="005604D5">
        <w:trPr>
          <w:trHeight w:val="210"/>
        </w:trPr>
        <w:tc>
          <w:tcPr>
            <w:tcW w:w="1461" w:type="dxa"/>
            <w:tcBorders>
              <w:top w:val="single" w:sz="4" w:space="0" w:color="C0C0C0"/>
              <w:bottom w:val="single" w:sz="4" w:space="0" w:color="C0C0C0"/>
            </w:tcBorders>
            <w:shd w:val="clear" w:color="auto" w:fill="auto"/>
            <w:vAlign w:val="center"/>
          </w:tcPr>
          <w:p w14:paraId="4F897162"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優</w:t>
            </w:r>
          </w:p>
        </w:tc>
        <w:tc>
          <w:tcPr>
            <w:tcW w:w="3069" w:type="dxa"/>
            <w:tcBorders>
              <w:top w:val="single" w:sz="4" w:space="0" w:color="C0C0C0"/>
              <w:left w:val="single" w:sz="4" w:space="0" w:color="000000"/>
              <w:bottom w:val="single" w:sz="4" w:space="0" w:color="C0C0C0"/>
            </w:tcBorders>
            <w:shd w:val="clear" w:color="auto" w:fill="auto"/>
            <w:vAlign w:val="center"/>
          </w:tcPr>
          <w:p w14:paraId="66CF8CD9"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年或以上</w:t>
            </w:r>
          </w:p>
        </w:tc>
        <w:tc>
          <w:tcPr>
            <w:tcW w:w="1566" w:type="dxa"/>
            <w:gridSpan w:val="2"/>
            <w:tcBorders>
              <w:top w:val="single" w:sz="4" w:space="0" w:color="C0C0C0"/>
              <w:left w:val="single" w:sz="4" w:space="0" w:color="000000"/>
              <w:bottom w:val="single" w:sz="4" w:space="0" w:color="C0C0C0"/>
            </w:tcBorders>
            <w:shd w:val="clear" w:color="auto" w:fill="auto"/>
            <w:vAlign w:val="center"/>
          </w:tcPr>
          <w:p w14:paraId="435B4F47" w14:textId="77777777" w:rsidR="005171C5" w:rsidRPr="005171C5" w:rsidRDefault="005171C5" w:rsidP="005171C5">
            <w:pPr>
              <w:suppressAutoHyphens/>
              <w:snapToGrid w:val="0"/>
              <w:spacing w:before="40" w:after="40"/>
              <w:rPr>
                <w:rFonts w:eastAsia="細明體" w:cs="Segoe UI"/>
                <w:sz w:val="17"/>
                <w:lang w:eastAsia="ar-SA"/>
              </w:rPr>
            </w:pPr>
          </w:p>
        </w:tc>
        <w:tc>
          <w:tcPr>
            <w:tcW w:w="1701" w:type="dxa"/>
            <w:tcBorders>
              <w:top w:val="single" w:sz="4" w:space="0" w:color="C0C0C0"/>
              <w:left w:val="single" w:sz="4" w:space="0" w:color="000000"/>
              <w:bottom w:val="single" w:sz="4" w:space="0" w:color="C0C0C0"/>
            </w:tcBorders>
            <w:shd w:val="clear" w:color="auto" w:fill="auto"/>
            <w:vAlign w:val="center"/>
          </w:tcPr>
          <w:p w14:paraId="20FD2698"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C0C0C0"/>
              <w:left w:val="single" w:sz="4" w:space="0" w:color="000000"/>
              <w:bottom w:val="single" w:sz="4" w:space="0" w:color="C0C0C0"/>
            </w:tcBorders>
            <w:shd w:val="clear" w:color="auto" w:fill="auto"/>
          </w:tcPr>
          <w:p w14:paraId="2ABE59DB"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95%</w:t>
            </w:r>
          </w:p>
        </w:tc>
        <w:tc>
          <w:tcPr>
            <w:tcW w:w="1140" w:type="dxa"/>
            <w:gridSpan w:val="2"/>
            <w:tcBorders>
              <w:top w:val="single" w:sz="4" w:space="0" w:color="C0C0C0"/>
              <w:left w:val="single" w:sz="4" w:space="0" w:color="000000"/>
              <w:bottom w:val="single" w:sz="4" w:space="0" w:color="C0C0C0"/>
            </w:tcBorders>
            <w:shd w:val="clear" w:color="auto" w:fill="auto"/>
          </w:tcPr>
          <w:p w14:paraId="6389E8B8"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3CB1C398"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right w:val="single" w:sz="4" w:space="0" w:color="000000"/>
            </w:tcBorders>
            <w:shd w:val="clear" w:color="auto" w:fill="auto"/>
          </w:tcPr>
          <w:p w14:paraId="0AA97584"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698403CC" w14:textId="77777777" w:rsidTr="005604D5">
        <w:trPr>
          <w:trHeight w:val="210"/>
        </w:trPr>
        <w:tc>
          <w:tcPr>
            <w:tcW w:w="1461" w:type="dxa"/>
            <w:tcBorders>
              <w:top w:val="single" w:sz="4" w:space="0" w:color="C0C0C0"/>
              <w:bottom w:val="single" w:sz="4" w:space="0" w:color="C0C0C0"/>
            </w:tcBorders>
            <w:shd w:val="clear" w:color="auto" w:fill="auto"/>
            <w:vAlign w:val="center"/>
          </w:tcPr>
          <w:p w14:paraId="0B5DD35F"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良</w:t>
            </w:r>
            <w:r w:rsidRPr="005171C5">
              <w:rPr>
                <w:rFonts w:eastAsia="細明體" w:cs="Segoe UI"/>
                <w:sz w:val="17"/>
                <w:lang w:eastAsia="ar-SA"/>
              </w:rPr>
              <w:t>^</w:t>
            </w:r>
          </w:p>
        </w:tc>
        <w:tc>
          <w:tcPr>
            <w:tcW w:w="3069" w:type="dxa"/>
            <w:tcBorders>
              <w:top w:val="single" w:sz="4" w:space="0" w:color="C0C0C0"/>
              <w:left w:val="single" w:sz="4" w:space="0" w:color="000000"/>
              <w:bottom w:val="single" w:sz="4" w:space="0" w:color="C0C0C0"/>
            </w:tcBorders>
            <w:shd w:val="clear" w:color="auto" w:fill="auto"/>
            <w:vAlign w:val="center"/>
          </w:tcPr>
          <w:p w14:paraId="2982A500"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年以下</w:t>
            </w:r>
          </w:p>
        </w:tc>
        <w:tc>
          <w:tcPr>
            <w:tcW w:w="1566" w:type="dxa"/>
            <w:gridSpan w:val="2"/>
            <w:tcBorders>
              <w:top w:val="single" w:sz="4" w:space="0" w:color="C0C0C0"/>
              <w:left w:val="single" w:sz="4" w:space="0" w:color="000000"/>
              <w:bottom w:val="single" w:sz="4" w:space="0" w:color="C0C0C0"/>
            </w:tcBorders>
            <w:shd w:val="clear" w:color="auto" w:fill="auto"/>
            <w:vAlign w:val="center"/>
          </w:tcPr>
          <w:p w14:paraId="1400C167" w14:textId="77777777" w:rsidR="005171C5" w:rsidRPr="005171C5" w:rsidRDefault="005171C5" w:rsidP="005171C5">
            <w:pPr>
              <w:suppressAutoHyphens/>
              <w:snapToGrid w:val="0"/>
              <w:spacing w:before="40" w:after="40"/>
              <w:rPr>
                <w:rFonts w:eastAsia="細明體" w:cs="Segoe UI"/>
                <w:sz w:val="17"/>
                <w:lang w:eastAsia="ar-SA"/>
              </w:rPr>
            </w:pPr>
          </w:p>
        </w:tc>
        <w:tc>
          <w:tcPr>
            <w:tcW w:w="1701" w:type="dxa"/>
            <w:tcBorders>
              <w:top w:val="single" w:sz="4" w:space="0" w:color="C0C0C0"/>
              <w:left w:val="single" w:sz="4" w:space="0" w:color="000000"/>
              <w:bottom w:val="single" w:sz="4" w:space="0" w:color="C0C0C0"/>
            </w:tcBorders>
            <w:shd w:val="clear" w:color="auto" w:fill="auto"/>
            <w:vAlign w:val="center"/>
          </w:tcPr>
          <w:p w14:paraId="7C083C12"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C0C0C0"/>
              <w:left w:val="single" w:sz="4" w:space="0" w:color="000000"/>
              <w:bottom w:val="single" w:sz="4" w:space="0" w:color="C0C0C0"/>
            </w:tcBorders>
            <w:shd w:val="clear" w:color="auto" w:fill="auto"/>
          </w:tcPr>
          <w:p w14:paraId="62F56C75"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95%</w:t>
            </w:r>
          </w:p>
        </w:tc>
        <w:tc>
          <w:tcPr>
            <w:tcW w:w="1140" w:type="dxa"/>
            <w:gridSpan w:val="2"/>
            <w:tcBorders>
              <w:top w:val="single" w:sz="4" w:space="0" w:color="C0C0C0"/>
              <w:left w:val="single" w:sz="4" w:space="0" w:color="000000"/>
              <w:bottom w:val="single" w:sz="4" w:space="0" w:color="C0C0C0"/>
            </w:tcBorders>
            <w:shd w:val="clear" w:color="auto" w:fill="auto"/>
          </w:tcPr>
          <w:p w14:paraId="7C4EB053"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71CF489A"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right w:val="single" w:sz="4" w:space="0" w:color="000000"/>
            </w:tcBorders>
            <w:shd w:val="clear" w:color="auto" w:fill="auto"/>
          </w:tcPr>
          <w:p w14:paraId="38211DE1"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15C05E6B" w14:textId="77777777" w:rsidTr="005604D5">
        <w:trPr>
          <w:trHeight w:val="210"/>
        </w:trPr>
        <w:tc>
          <w:tcPr>
            <w:tcW w:w="1461" w:type="dxa"/>
            <w:tcBorders>
              <w:top w:val="single" w:sz="4" w:space="0" w:color="C0C0C0"/>
              <w:bottom w:val="single" w:sz="4" w:space="0" w:color="C0C0C0"/>
            </w:tcBorders>
            <w:shd w:val="clear" w:color="auto" w:fill="auto"/>
            <w:vAlign w:val="center"/>
          </w:tcPr>
          <w:p w14:paraId="089298C2"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良</w:t>
            </w:r>
          </w:p>
        </w:tc>
        <w:tc>
          <w:tcPr>
            <w:tcW w:w="3069" w:type="dxa"/>
            <w:tcBorders>
              <w:top w:val="single" w:sz="4" w:space="0" w:color="C0C0C0"/>
              <w:left w:val="single" w:sz="4" w:space="0" w:color="000000"/>
              <w:bottom w:val="single" w:sz="4" w:space="0" w:color="C0C0C0"/>
            </w:tcBorders>
            <w:shd w:val="clear" w:color="auto" w:fill="auto"/>
            <w:vAlign w:val="center"/>
          </w:tcPr>
          <w:p w14:paraId="7AFAF050"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年或以上</w:t>
            </w:r>
          </w:p>
        </w:tc>
        <w:tc>
          <w:tcPr>
            <w:tcW w:w="1566" w:type="dxa"/>
            <w:gridSpan w:val="2"/>
            <w:tcBorders>
              <w:top w:val="single" w:sz="4" w:space="0" w:color="C0C0C0"/>
              <w:left w:val="single" w:sz="4" w:space="0" w:color="000000"/>
              <w:bottom w:val="single" w:sz="4" w:space="0" w:color="C0C0C0"/>
            </w:tcBorders>
            <w:shd w:val="clear" w:color="auto" w:fill="auto"/>
            <w:vAlign w:val="center"/>
          </w:tcPr>
          <w:p w14:paraId="07E222DB" w14:textId="77777777" w:rsidR="005171C5" w:rsidRPr="005171C5" w:rsidRDefault="005171C5" w:rsidP="005171C5">
            <w:pPr>
              <w:suppressAutoHyphens/>
              <w:snapToGrid w:val="0"/>
              <w:spacing w:before="40" w:after="40"/>
              <w:rPr>
                <w:rFonts w:eastAsia="細明體" w:cs="Segoe UI"/>
                <w:sz w:val="17"/>
                <w:lang w:eastAsia="ar-SA"/>
              </w:rPr>
            </w:pPr>
          </w:p>
        </w:tc>
        <w:tc>
          <w:tcPr>
            <w:tcW w:w="1701" w:type="dxa"/>
            <w:tcBorders>
              <w:top w:val="single" w:sz="4" w:space="0" w:color="C0C0C0"/>
              <w:left w:val="single" w:sz="4" w:space="0" w:color="000000"/>
              <w:bottom w:val="single" w:sz="4" w:space="0" w:color="C0C0C0"/>
            </w:tcBorders>
            <w:shd w:val="clear" w:color="auto" w:fill="auto"/>
            <w:vAlign w:val="center"/>
          </w:tcPr>
          <w:p w14:paraId="095FCD5B"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C0C0C0"/>
              <w:left w:val="single" w:sz="4" w:space="0" w:color="000000"/>
              <w:bottom w:val="single" w:sz="4" w:space="0" w:color="C0C0C0"/>
            </w:tcBorders>
            <w:shd w:val="clear" w:color="auto" w:fill="auto"/>
          </w:tcPr>
          <w:p w14:paraId="3B55CC76"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120%</w:t>
            </w:r>
          </w:p>
        </w:tc>
        <w:tc>
          <w:tcPr>
            <w:tcW w:w="1140" w:type="dxa"/>
            <w:gridSpan w:val="2"/>
            <w:tcBorders>
              <w:top w:val="single" w:sz="4" w:space="0" w:color="C0C0C0"/>
              <w:left w:val="single" w:sz="4" w:space="0" w:color="000000"/>
              <w:bottom w:val="single" w:sz="4" w:space="0" w:color="C0C0C0"/>
            </w:tcBorders>
            <w:shd w:val="clear" w:color="auto" w:fill="auto"/>
          </w:tcPr>
          <w:p w14:paraId="6591B1BE"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215CAEED"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right w:val="single" w:sz="4" w:space="0" w:color="000000"/>
            </w:tcBorders>
            <w:shd w:val="clear" w:color="auto" w:fill="auto"/>
          </w:tcPr>
          <w:p w14:paraId="7BAF78F6"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6EC51674" w14:textId="77777777" w:rsidTr="005604D5">
        <w:trPr>
          <w:trHeight w:val="210"/>
        </w:trPr>
        <w:tc>
          <w:tcPr>
            <w:tcW w:w="1461" w:type="dxa"/>
            <w:tcBorders>
              <w:top w:val="single" w:sz="4" w:space="0" w:color="C0C0C0"/>
              <w:bottom w:val="single" w:sz="4" w:space="0" w:color="C0C0C0"/>
            </w:tcBorders>
            <w:shd w:val="clear" w:color="auto" w:fill="auto"/>
            <w:vAlign w:val="center"/>
          </w:tcPr>
          <w:p w14:paraId="0FF2FBD3"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尚可</w:t>
            </w:r>
          </w:p>
        </w:tc>
        <w:tc>
          <w:tcPr>
            <w:tcW w:w="3069" w:type="dxa"/>
            <w:tcBorders>
              <w:top w:val="single" w:sz="4" w:space="0" w:color="C0C0C0"/>
              <w:left w:val="single" w:sz="4" w:space="0" w:color="000000"/>
              <w:bottom w:val="single" w:sz="4" w:space="0" w:color="C0C0C0"/>
            </w:tcBorders>
            <w:shd w:val="clear" w:color="auto" w:fill="BFBFBF"/>
            <w:vAlign w:val="center"/>
          </w:tcPr>
          <w:p w14:paraId="77B39608" w14:textId="77777777" w:rsidR="005171C5" w:rsidRPr="005171C5" w:rsidRDefault="005171C5" w:rsidP="005171C5">
            <w:pPr>
              <w:suppressAutoHyphens/>
              <w:snapToGrid w:val="0"/>
              <w:spacing w:before="40" w:after="40"/>
              <w:rPr>
                <w:rFonts w:eastAsia="細明體" w:cs="Segoe UI"/>
                <w:sz w:val="17"/>
                <w:lang w:eastAsia="ar-SA"/>
              </w:rPr>
            </w:pPr>
          </w:p>
        </w:tc>
        <w:tc>
          <w:tcPr>
            <w:tcW w:w="1566" w:type="dxa"/>
            <w:gridSpan w:val="2"/>
            <w:tcBorders>
              <w:top w:val="single" w:sz="4" w:space="0" w:color="C0C0C0"/>
              <w:left w:val="single" w:sz="4" w:space="0" w:color="000000"/>
              <w:bottom w:val="single" w:sz="4" w:space="0" w:color="C0C0C0"/>
            </w:tcBorders>
            <w:shd w:val="clear" w:color="auto" w:fill="auto"/>
            <w:vAlign w:val="center"/>
          </w:tcPr>
          <w:p w14:paraId="3F8F9C94" w14:textId="77777777" w:rsidR="005171C5" w:rsidRPr="005171C5" w:rsidRDefault="005171C5" w:rsidP="005171C5">
            <w:pPr>
              <w:suppressAutoHyphens/>
              <w:snapToGrid w:val="0"/>
              <w:spacing w:before="40" w:after="40"/>
              <w:rPr>
                <w:rFonts w:eastAsia="細明體" w:cs="Segoe UI"/>
                <w:sz w:val="17"/>
                <w:lang w:eastAsia="ar-SA"/>
              </w:rPr>
            </w:pPr>
          </w:p>
        </w:tc>
        <w:tc>
          <w:tcPr>
            <w:tcW w:w="1701" w:type="dxa"/>
            <w:tcBorders>
              <w:top w:val="single" w:sz="4" w:space="0" w:color="C0C0C0"/>
              <w:left w:val="single" w:sz="4" w:space="0" w:color="000000"/>
              <w:bottom w:val="single" w:sz="4" w:space="0" w:color="C0C0C0"/>
            </w:tcBorders>
            <w:shd w:val="clear" w:color="auto" w:fill="auto"/>
            <w:vAlign w:val="center"/>
          </w:tcPr>
          <w:p w14:paraId="0376B45C"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C0C0C0"/>
              <w:left w:val="single" w:sz="4" w:space="0" w:color="000000"/>
              <w:bottom w:val="single" w:sz="4" w:space="0" w:color="C0C0C0"/>
            </w:tcBorders>
            <w:shd w:val="clear" w:color="auto" w:fill="auto"/>
          </w:tcPr>
          <w:p w14:paraId="7BF1D1AF"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140%</w:t>
            </w:r>
          </w:p>
        </w:tc>
        <w:tc>
          <w:tcPr>
            <w:tcW w:w="1140" w:type="dxa"/>
            <w:gridSpan w:val="2"/>
            <w:tcBorders>
              <w:top w:val="single" w:sz="4" w:space="0" w:color="C0C0C0"/>
              <w:left w:val="single" w:sz="4" w:space="0" w:color="000000"/>
              <w:bottom w:val="single" w:sz="4" w:space="0" w:color="C0C0C0"/>
            </w:tcBorders>
            <w:shd w:val="clear" w:color="auto" w:fill="auto"/>
          </w:tcPr>
          <w:p w14:paraId="0706237C"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118BF7BC"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right w:val="single" w:sz="4" w:space="0" w:color="000000"/>
            </w:tcBorders>
            <w:shd w:val="clear" w:color="auto" w:fill="auto"/>
          </w:tcPr>
          <w:p w14:paraId="41AB96CD"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01DE4ABA" w14:textId="77777777" w:rsidTr="005604D5">
        <w:trPr>
          <w:trHeight w:val="210"/>
        </w:trPr>
        <w:tc>
          <w:tcPr>
            <w:tcW w:w="1461" w:type="dxa"/>
            <w:tcBorders>
              <w:top w:val="single" w:sz="4" w:space="0" w:color="C0C0C0"/>
              <w:bottom w:val="single" w:sz="4" w:space="0" w:color="C0C0C0"/>
            </w:tcBorders>
            <w:shd w:val="clear" w:color="auto" w:fill="auto"/>
            <w:vAlign w:val="center"/>
          </w:tcPr>
          <w:p w14:paraId="19FB5422"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欠佳</w:t>
            </w:r>
          </w:p>
        </w:tc>
        <w:tc>
          <w:tcPr>
            <w:tcW w:w="3069" w:type="dxa"/>
            <w:tcBorders>
              <w:top w:val="single" w:sz="4" w:space="0" w:color="C0C0C0"/>
              <w:left w:val="single" w:sz="4" w:space="0" w:color="000000"/>
              <w:bottom w:val="single" w:sz="4" w:space="0" w:color="C0C0C0"/>
            </w:tcBorders>
            <w:shd w:val="clear" w:color="auto" w:fill="BFBFBF"/>
            <w:vAlign w:val="center"/>
          </w:tcPr>
          <w:p w14:paraId="59D756B8" w14:textId="77777777" w:rsidR="005171C5" w:rsidRPr="005171C5" w:rsidRDefault="005171C5" w:rsidP="005171C5">
            <w:pPr>
              <w:suppressAutoHyphens/>
              <w:snapToGrid w:val="0"/>
              <w:spacing w:before="40" w:after="40"/>
              <w:rPr>
                <w:rFonts w:eastAsia="細明體" w:cs="Segoe UI"/>
                <w:sz w:val="17"/>
                <w:lang w:eastAsia="ar-SA"/>
              </w:rPr>
            </w:pPr>
          </w:p>
        </w:tc>
        <w:tc>
          <w:tcPr>
            <w:tcW w:w="1566" w:type="dxa"/>
            <w:gridSpan w:val="2"/>
            <w:tcBorders>
              <w:top w:val="single" w:sz="4" w:space="0" w:color="C0C0C0"/>
              <w:left w:val="single" w:sz="4" w:space="0" w:color="000000"/>
              <w:bottom w:val="single" w:sz="4" w:space="0" w:color="C0C0C0"/>
            </w:tcBorders>
            <w:shd w:val="clear" w:color="auto" w:fill="auto"/>
            <w:vAlign w:val="center"/>
          </w:tcPr>
          <w:p w14:paraId="3526BDCA" w14:textId="77777777" w:rsidR="005171C5" w:rsidRPr="005171C5" w:rsidRDefault="005171C5" w:rsidP="005171C5">
            <w:pPr>
              <w:suppressAutoHyphens/>
              <w:snapToGrid w:val="0"/>
              <w:spacing w:before="40" w:after="40"/>
              <w:rPr>
                <w:rFonts w:eastAsia="細明體" w:cs="Segoe UI"/>
                <w:sz w:val="17"/>
                <w:lang w:eastAsia="ar-SA"/>
              </w:rPr>
            </w:pPr>
          </w:p>
        </w:tc>
        <w:tc>
          <w:tcPr>
            <w:tcW w:w="1701" w:type="dxa"/>
            <w:tcBorders>
              <w:top w:val="single" w:sz="4" w:space="0" w:color="C0C0C0"/>
              <w:left w:val="single" w:sz="4" w:space="0" w:color="000000"/>
              <w:bottom w:val="single" w:sz="4" w:space="0" w:color="C0C0C0"/>
            </w:tcBorders>
            <w:shd w:val="clear" w:color="auto" w:fill="auto"/>
            <w:vAlign w:val="center"/>
          </w:tcPr>
          <w:p w14:paraId="2A4BCC45"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C0C0C0"/>
              <w:left w:val="single" w:sz="4" w:space="0" w:color="000000"/>
              <w:bottom w:val="single" w:sz="4" w:space="0" w:color="C0C0C0"/>
            </w:tcBorders>
            <w:shd w:val="clear" w:color="auto" w:fill="auto"/>
          </w:tcPr>
          <w:p w14:paraId="38E83D65"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250%</w:t>
            </w:r>
          </w:p>
        </w:tc>
        <w:tc>
          <w:tcPr>
            <w:tcW w:w="1140" w:type="dxa"/>
            <w:gridSpan w:val="2"/>
            <w:tcBorders>
              <w:top w:val="single" w:sz="4" w:space="0" w:color="C0C0C0"/>
              <w:left w:val="single" w:sz="4" w:space="0" w:color="000000"/>
              <w:bottom w:val="single" w:sz="4" w:space="0" w:color="C0C0C0"/>
            </w:tcBorders>
            <w:shd w:val="clear" w:color="auto" w:fill="auto"/>
          </w:tcPr>
          <w:p w14:paraId="40882CB9"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432897AA"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right w:val="single" w:sz="4" w:space="0" w:color="000000"/>
            </w:tcBorders>
            <w:shd w:val="clear" w:color="auto" w:fill="auto"/>
          </w:tcPr>
          <w:p w14:paraId="074F222A"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3DC75AFD" w14:textId="77777777" w:rsidTr="005604D5">
        <w:trPr>
          <w:trHeight w:val="210"/>
        </w:trPr>
        <w:tc>
          <w:tcPr>
            <w:tcW w:w="1461" w:type="dxa"/>
            <w:tcBorders>
              <w:top w:val="single" w:sz="4" w:space="0" w:color="C0C0C0"/>
              <w:bottom w:val="single" w:sz="4" w:space="0" w:color="C0C0C0"/>
            </w:tcBorders>
            <w:shd w:val="clear" w:color="auto" w:fill="auto"/>
            <w:vAlign w:val="center"/>
          </w:tcPr>
          <w:p w14:paraId="47E56E27"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違責</w:t>
            </w:r>
          </w:p>
        </w:tc>
        <w:tc>
          <w:tcPr>
            <w:tcW w:w="3069" w:type="dxa"/>
            <w:tcBorders>
              <w:top w:val="single" w:sz="4" w:space="0" w:color="C0C0C0"/>
              <w:left w:val="single" w:sz="4" w:space="0" w:color="000000"/>
              <w:bottom w:val="single" w:sz="4" w:space="0" w:color="C0C0C0"/>
            </w:tcBorders>
            <w:shd w:val="clear" w:color="auto" w:fill="BFBFBF"/>
            <w:vAlign w:val="center"/>
          </w:tcPr>
          <w:p w14:paraId="47BFAAEE" w14:textId="77777777" w:rsidR="005171C5" w:rsidRPr="005171C5" w:rsidRDefault="005171C5" w:rsidP="005171C5">
            <w:pPr>
              <w:suppressAutoHyphens/>
              <w:snapToGrid w:val="0"/>
              <w:spacing w:before="40" w:after="40"/>
              <w:rPr>
                <w:rFonts w:eastAsia="細明體" w:cs="Segoe UI"/>
                <w:sz w:val="17"/>
                <w:lang w:eastAsia="ar-SA"/>
              </w:rPr>
            </w:pPr>
          </w:p>
        </w:tc>
        <w:tc>
          <w:tcPr>
            <w:tcW w:w="1566" w:type="dxa"/>
            <w:gridSpan w:val="2"/>
            <w:tcBorders>
              <w:top w:val="single" w:sz="4" w:space="0" w:color="C0C0C0"/>
              <w:left w:val="single" w:sz="4" w:space="0" w:color="000000"/>
              <w:bottom w:val="single" w:sz="4" w:space="0" w:color="C0C0C0"/>
            </w:tcBorders>
            <w:shd w:val="clear" w:color="auto" w:fill="auto"/>
            <w:vAlign w:val="center"/>
          </w:tcPr>
          <w:p w14:paraId="1F0D585C" w14:textId="77777777" w:rsidR="005171C5" w:rsidRPr="005171C5" w:rsidRDefault="005171C5" w:rsidP="005171C5">
            <w:pPr>
              <w:suppressAutoHyphens/>
              <w:snapToGrid w:val="0"/>
              <w:spacing w:before="40" w:after="40"/>
              <w:rPr>
                <w:rFonts w:eastAsia="細明體" w:cs="Segoe UI"/>
                <w:sz w:val="17"/>
                <w:lang w:eastAsia="ar-SA"/>
              </w:rPr>
            </w:pPr>
          </w:p>
        </w:tc>
        <w:tc>
          <w:tcPr>
            <w:tcW w:w="1701" w:type="dxa"/>
            <w:tcBorders>
              <w:top w:val="single" w:sz="4" w:space="0" w:color="C0C0C0"/>
              <w:left w:val="single" w:sz="4" w:space="0" w:color="000000"/>
              <w:bottom w:val="single" w:sz="4" w:space="0" w:color="C0C0C0"/>
            </w:tcBorders>
            <w:shd w:val="clear" w:color="auto" w:fill="auto"/>
            <w:vAlign w:val="center"/>
          </w:tcPr>
          <w:p w14:paraId="5E038A7A"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C0C0C0"/>
              <w:left w:val="single" w:sz="4" w:space="0" w:color="000000"/>
              <w:bottom w:val="single" w:sz="4" w:space="0" w:color="C0C0C0"/>
            </w:tcBorders>
            <w:shd w:val="clear" w:color="auto" w:fill="auto"/>
          </w:tcPr>
          <w:p w14:paraId="48E447FB"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0%</w:t>
            </w:r>
          </w:p>
        </w:tc>
        <w:tc>
          <w:tcPr>
            <w:tcW w:w="1140" w:type="dxa"/>
            <w:gridSpan w:val="2"/>
            <w:tcBorders>
              <w:top w:val="single" w:sz="4" w:space="0" w:color="C0C0C0"/>
              <w:left w:val="single" w:sz="4" w:space="0" w:color="000000"/>
              <w:bottom w:val="single" w:sz="4" w:space="0" w:color="C0C0C0"/>
            </w:tcBorders>
            <w:shd w:val="clear" w:color="auto" w:fill="auto"/>
          </w:tcPr>
          <w:p w14:paraId="78AA43F8"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36FE6E7D"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C0C0C0"/>
              <w:right w:val="single" w:sz="4" w:space="0" w:color="000000"/>
            </w:tcBorders>
            <w:shd w:val="clear" w:color="auto" w:fill="auto"/>
          </w:tcPr>
          <w:p w14:paraId="59E192BE"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0F61ECDB" w14:textId="77777777" w:rsidTr="005604D5">
        <w:trPr>
          <w:trHeight w:val="225"/>
        </w:trPr>
        <w:tc>
          <w:tcPr>
            <w:tcW w:w="1461" w:type="dxa"/>
            <w:tcBorders>
              <w:top w:val="single" w:sz="4" w:space="0" w:color="C0C0C0"/>
              <w:bottom w:val="single" w:sz="4" w:space="0" w:color="000000"/>
            </w:tcBorders>
            <w:shd w:val="clear" w:color="auto" w:fill="auto"/>
            <w:vAlign w:val="center"/>
          </w:tcPr>
          <w:p w14:paraId="23FA7F31"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總計</w:t>
            </w:r>
          </w:p>
        </w:tc>
        <w:tc>
          <w:tcPr>
            <w:tcW w:w="3069" w:type="dxa"/>
            <w:tcBorders>
              <w:top w:val="single" w:sz="4" w:space="0" w:color="C0C0C0"/>
              <w:left w:val="single" w:sz="4" w:space="0" w:color="000000"/>
              <w:bottom w:val="single" w:sz="4" w:space="0" w:color="000000"/>
            </w:tcBorders>
            <w:shd w:val="clear" w:color="auto" w:fill="BFBFBF"/>
            <w:vAlign w:val="center"/>
          </w:tcPr>
          <w:p w14:paraId="5BEE4820" w14:textId="77777777" w:rsidR="005171C5" w:rsidRPr="005171C5" w:rsidRDefault="005171C5" w:rsidP="005171C5">
            <w:pPr>
              <w:suppressAutoHyphens/>
              <w:snapToGrid w:val="0"/>
              <w:spacing w:before="40" w:after="40"/>
              <w:rPr>
                <w:rFonts w:eastAsia="細明體" w:cs="Segoe UI"/>
                <w:sz w:val="17"/>
                <w:lang w:eastAsia="ar-SA"/>
              </w:rPr>
            </w:pPr>
          </w:p>
        </w:tc>
        <w:tc>
          <w:tcPr>
            <w:tcW w:w="1566" w:type="dxa"/>
            <w:gridSpan w:val="2"/>
            <w:tcBorders>
              <w:top w:val="single" w:sz="4" w:space="0" w:color="C0C0C0"/>
              <w:left w:val="single" w:sz="4" w:space="0" w:color="000000"/>
              <w:bottom w:val="single" w:sz="4" w:space="0" w:color="000000"/>
            </w:tcBorders>
            <w:shd w:val="clear" w:color="auto" w:fill="auto"/>
            <w:vAlign w:val="center"/>
          </w:tcPr>
          <w:p w14:paraId="5F51DED9"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 xml:space="preserve">　</w:t>
            </w:r>
          </w:p>
        </w:tc>
        <w:tc>
          <w:tcPr>
            <w:tcW w:w="1701" w:type="dxa"/>
            <w:tcBorders>
              <w:top w:val="single" w:sz="4" w:space="0" w:color="C0C0C0"/>
              <w:left w:val="single" w:sz="4" w:space="0" w:color="000000"/>
              <w:bottom w:val="single" w:sz="4" w:space="0" w:color="000000"/>
            </w:tcBorders>
            <w:shd w:val="clear" w:color="auto" w:fill="auto"/>
            <w:vAlign w:val="center"/>
          </w:tcPr>
          <w:p w14:paraId="62DF01E6" w14:textId="77777777" w:rsidR="005171C5" w:rsidRPr="005171C5" w:rsidRDefault="005171C5" w:rsidP="005171C5">
            <w:pPr>
              <w:suppressAutoHyphens/>
              <w:snapToGrid w:val="0"/>
              <w:spacing w:before="40" w:after="40"/>
              <w:rPr>
                <w:rFonts w:eastAsia="細明體" w:cs="Segoe UI"/>
                <w:sz w:val="17"/>
                <w:lang w:eastAsia="ar-SA"/>
              </w:rPr>
            </w:pPr>
          </w:p>
        </w:tc>
        <w:tc>
          <w:tcPr>
            <w:tcW w:w="986" w:type="dxa"/>
            <w:tcBorders>
              <w:top w:val="single" w:sz="4" w:space="0" w:color="C0C0C0"/>
              <w:left w:val="single" w:sz="4" w:space="0" w:color="000000"/>
              <w:bottom w:val="single" w:sz="4" w:space="0" w:color="000000"/>
            </w:tcBorders>
            <w:shd w:val="clear" w:color="auto" w:fill="BFBFBF"/>
          </w:tcPr>
          <w:p w14:paraId="2058B0F2" w14:textId="77777777" w:rsidR="005171C5" w:rsidRPr="005171C5" w:rsidRDefault="005171C5" w:rsidP="005171C5">
            <w:pPr>
              <w:suppressAutoHyphens/>
              <w:snapToGrid w:val="0"/>
              <w:spacing w:before="40" w:after="40"/>
              <w:rPr>
                <w:rFonts w:eastAsia="細明體" w:cs="Segoe UI"/>
                <w:sz w:val="17"/>
                <w:lang w:eastAsia="ar-SA"/>
              </w:rPr>
            </w:pPr>
          </w:p>
        </w:tc>
        <w:tc>
          <w:tcPr>
            <w:tcW w:w="1140" w:type="dxa"/>
            <w:gridSpan w:val="2"/>
            <w:tcBorders>
              <w:top w:val="single" w:sz="4" w:space="0" w:color="C0C0C0"/>
              <w:left w:val="single" w:sz="4" w:space="0" w:color="000000"/>
              <w:bottom w:val="single" w:sz="4" w:space="0" w:color="000000"/>
            </w:tcBorders>
            <w:shd w:val="clear" w:color="auto" w:fill="auto"/>
          </w:tcPr>
          <w:p w14:paraId="0588E5F8"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000000"/>
            </w:tcBorders>
            <w:shd w:val="clear" w:color="auto" w:fill="auto"/>
          </w:tcPr>
          <w:p w14:paraId="6FEB1B74" w14:textId="77777777" w:rsidR="005171C5" w:rsidRPr="005171C5" w:rsidRDefault="005171C5" w:rsidP="005171C5">
            <w:pPr>
              <w:suppressAutoHyphens/>
              <w:snapToGrid w:val="0"/>
              <w:spacing w:before="40" w:after="40"/>
              <w:rPr>
                <w:rFonts w:eastAsia="細明體" w:cs="Segoe UI"/>
                <w:sz w:val="17"/>
                <w:lang w:eastAsia="ar-SA"/>
              </w:rPr>
            </w:pPr>
          </w:p>
        </w:tc>
        <w:tc>
          <w:tcPr>
            <w:tcW w:w="1134" w:type="dxa"/>
            <w:tcBorders>
              <w:top w:val="single" w:sz="4" w:space="0" w:color="C0C0C0"/>
              <w:left w:val="single" w:sz="4" w:space="0" w:color="000000"/>
              <w:bottom w:val="single" w:sz="4" w:space="0" w:color="000000"/>
              <w:right w:val="single" w:sz="4" w:space="0" w:color="000000"/>
            </w:tcBorders>
            <w:shd w:val="clear" w:color="auto" w:fill="auto"/>
          </w:tcPr>
          <w:p w14:paraId="29893278"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2DF57925" w14:textId="77777777" w:rsidTr="00B961B5">
        <w:trPr>
          <w:trHeight w:val="225"/>
        </w:trPr>
        <w:tc>
          <w:tcPr>
            <w:tcW w:w="12049" w:type="dxa"/>
            <w:gridSpan w:val="10"/>
            <w:tcBorders>
              <w:top w:val="single" w:sz="4" w:space="0" w:color="000000"/>
              <w:bottom w:val="single" w:sz="4" w:space="0" w:color="000000"/>
            </w:tcBorders>
            <w:shd w:val="clear" w:color="auto" w:fill="auto"/>
            <w:vAlign w:val="center"/>
          </w:tcPr>
          <w:p w14:paraId="3AC83712" w14:textId="77777777" w:rsidR="005171C5" w:rsidRPr="005171C5" w:rsidRDefault="005171C5" w:rsidP="005171C5">
            <w:pPr>
              <w:suppressAutoHyphens/>
              <w:snapToGrid w:val="0"/>
              <w:spacing w:before="40" w:after="40"/>
              <w:rPr>
                <w:rFonts w:cs="Segoe UI"/>
                <w:sz w:val="17"/>
                <w:lang w:eastAsia="ar-SA"/>
              </w:rPr>
            </w:pPr>
            <w:r w:rsidRPr="005171C5">
              <w:rPr>
                <w:rFonts w:eastAsia="細明體" w:cs="Segoe UI"/>
                <w:sz w:val="17"/>
                <w:lang w:eastAsia="ar-SA"/>
              </w:rPr>
              <w:t xml:space="preserve">^ </w:t>
            </w:r>
            <w:r w:rsidRPr="005171C5">
              <w:rPr>
                <w:rFonts w:eastAsia="細明體" w:cs="Segoe UI" w:hint="eastAsia"/>
                <w:sz w:val="17"/>
                <w:lang w:eastAsia="ar-SA"/>
              </w:rPr>
              <w:t>使用優惠風險權重。</w:t>
            </w:r>
          </w:p>
        </w:tc>
      </w:tr>
    </w:tbl>
    <w:p w14:paraId="3EAADDCF" w14:textId="77777777" w:rsidR="005171C5" w:rsidRPr="005171C5" w:rsidRDefault="005171C5" w:rsidP="00D540EB">
      <w:pPr>
        <w:numPr>
          <w:ilvl w:val="0"/>
          <w:numId w:val="42"/>
        </w:numPr>
        <w:suppressAutoHyphens/>
        <w:spacing w:before="40" w:after="40"/>
        <w:ind w:left="426" w:hanging="284"/>
        <w:rPr>
          <w:rFonts w:cs="Segoe UI"/>
          <w:lang w:eastAsia="ar-SA"/>
        </w:rPr>
      </w:pPr>
      <w:r w:rsidRPr="005171C5">
        <w:rPr>
          <w:rFonts w:eastAsia="細明體" w:cs="Segoe UI" w:hint="eastAsia"/>
          <w:b/>
          <w:sz w:val="17"/>
          <w:lang w:eastAsia="ar-SA"/>
        </w:rPr>
        <w:t>監管分類準則計算法</w:t>
      </w:r>
      <w:r w:rsidRPr="005171C5">
        <w:rPr>
          <w:rFonts w:ascii="細明體" w:eastAsia="細明體" w:hAnsi="細明體" w:cs="Segoe UI" w:hint="eastAsia"/>
          <w:b/>
          <w:sz w:val="17"/>
          <w:lang w:eastAsia="ar-SA"/>
        </w:rPr>
        <w:t>──</w:t>
      </w:r>
      <w:r w:rsidRPr="005171C5">
        <w:rPr>
          <w:rFonts w:eastAsia="細明體" w:cs="Segoe UI" w:hint="eastAsia"/>
          <w:b/>
          <w:sz w:val="17"/>
          <w:lang w:eastAsia="ar-SA"/>
        </w:rPr>
        <w:t>高波動性商業地產除外</w:t>
      </w:r>
    </w:p>
    <w:tbl>
      <w:tblPr>
        <w:tblW w:w="0" w:type="auto"/>
        <w:tblInd w:w="107" w:type="dxa"/>
        <w:tblLayout w:type="fixed"/>
        <w:tblCellMar>
          <w:left w:w="99" w:type="dxa"/>
          <w:right w:w="99" w:type="dxa"/>
        </w:tblCellMar>
        <w:tblLook w:val="0000" w:firstRow="0" w:lastRow="0" w:firstColumn="0" w:lastColumn="0" w:noHBand="0" w:noVBand="0"/>
      </w:tblPr>
      <w:tblGrid>
        <w:gridCol w:w="1461"/>
        <w:gridCol w:w="3066"/>
        <w:gridCol w:w="1630"/>
        <w:gridCol w:w="1631"/>
        <w:gridCol w:w="993"/>
        <w:gridCol w:w="652"/>
        <w:gridCol w:w="652"/>
        <w:gridCol w:w="652"/>
        <w:gridCol w:w="652"/>
        <w:gridCol w:w="652"/>
        <w:gridCol w:w="992"/>
        <w:gridCol w:w="854"/>
        <w:gridCol w:w="20"/>
      </w:tblGrid>
      <w:tr w:rsidR="005171C5" w:rsidRPr="005171C5" w14:paraId="692EAECB" w14:textId="77777777" w:rsidTr="005171C5">
        <w:trPr>
          <w:trHeight w:val="272"/>
          <w:tblHeader/>
        </w:trPr>
        <w:tc>
          <w:tcPr>
            <w:tcW w:w="1461" w:type="dxa"/>
            <w:tcBorders>
              <w:bottom w:val="single" w:sz="4" w:space="0" w:color="000000"/>
            </w:tcBorders>
            <w:shd w:val="clear" w:color="auto" w:fill="auto"/>
            <w:vAlign w:val="center"/>
          </w:tcPr>
          <w:p w14:paraId="3C0C21F8" w14:textId="77777777" w:rsidR="005171C5" w:rsidRPr="005171C5" w:rsidRDefault="005171C5" w:rsidP="005171C5">
            <w:pPr>
              <w:suppressAutoHyphens/>
              <w:snapToGrid w:val="0"/>
              <w:spacing w:before="40" w:after="40"/>
              <w:jc w:val="center"/>
              <w:rPr>
                <w:rFonts w:cs="Segoe UI"/>
                <w:sz w:val="17"/>
                <w:lang w:eastAsia="ar-SA"/>
              </w:rPr>
            </w:pPr>
          </w:p>
        </w:tc>
        <w:tc>
          <w:tcPr>
            <w:tcW w:w="3066" w:type="dxa"/>
            <w:tcBorders>
              <w:bottom w:val="single" w:sz="4" w:space="0" w:color="000000"/>
            </w:tcBorders>
            <w:shd w:val="clear" w:color="auto" w:fill="auto"/>
            <w:vAlign w:val="center"/>
          </w:tcPr>
          <w:p w14:paraId="388003C8" w14:textId="77777777" w:rsidR="005171C5" w:rsidRPr="005171C5" w:rsidRDefault="005171C5" w:rsidP="005171C5">
            <w:pPr>
              <w:suppressAutoHyphens/>
              <w:snapToGrid w:val="0"/>
              <w:spacing w:before="40" w:after="40"/>
              <w:jc w:val="center"/>
              <w:rPr>
                <w:rFonts w:eastAsia="細明體" w:cs="Segoe UI"/>
                <w:sz w:val="17"/>
                <w:lang w:eastAsia="ar-SA"/>
              </w:rPr>
            </w:pPr>
          </w:p>
        </w:tc>
        <w:tc>
          <w:tcPr>
            <w:tcW w:w="1630" w:type="dxa"/>
            <w:tcBorders>
              <w:top w:val="single" w:sz="4" w:space="0" w:color="000000"/>
              <w:left w:val="single" w:sz="4" w:space="0" w:color="000000"/>
              <w:bottom w:val="single" w:sz="4" w:space="0" w:color="000000"/>
            </w:tcBorders>
            <w:shd w:val="clear" w:color="auto" w:fill="auto"/>
            <w:vAlign w:val="center"/>
          </w:tcPr>
          <w:p w14:paraId="221DDD95"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(a)</w:t>
            </w:r>
          </w:p>
        </w:tc>
        <w:tc>
          <w:tcPr>
            <w:tcW w:w="1631" w:type="dxa"/>
            <w:tcBorders>
              <w:top w:val="single" w:sz="4" w:space="0" w:color="000000"/>
              <w:left w:val="single" w:sz="4" w:space="0" w:color="000000"/>
              <w:bottom w:val="single" w:sz="4" w:space="0" w:color="000000"/>
            </w:tcBorders>
            <w:shd w:val="clear" w:color="auto" w:fill="auto"/>
            <w:vAlign w:val="center"/>
          </w:tcPr>
          <w:p w14:paraId="6ECA735E"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(b)</w:t>
            </w:r>
          </w:p>
        </w:tc>
        <w:tc>
          <w:tcPr>
            <w:tcW w:w="993" w:type="dxa"/>
            <w:tcBorders>
              <w:top w:val="single" w:sz="4" w:space="0" w:color="000000"/>
              <w:left w:val="single" w:sz="4" w:space="0" w:color="000000"/>
              <w:bottom w:val="single" w:sz="4" w:space="0" w:color="000000"/>
            </w:tcBorders>
            <w:shd w:val="clear" w:color="auto" w:fill="auto"/>
            <w:vAlign w:val="center"/>
          </w:tcPr>
          <w:p w14:paraId="67B8DFF9"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(c)</w:t>
            </w:r>
          </w:p>
        </w:tc>
        <w:tc>
          <w:tcPr>
            <w:tcW w:w="652" w:type="dxa"/>
            <w:tcBorders>
              <w:top w:val="single" w:sz="4" w:space="0" w:color="000000"/>
              <w:left w:val="single" w:sz="4" w:space="0" w:color="000000"/>
              <w:bottom w:val="single" w:sz="4" w:space="0" w:color="000000"/>
            </w:tcBorders>
            <w:shd w:val="clear" w:color="auto" w:fill="auto"/>
            <w:vAlign w:val="center"/>
          </w:tcPr>
          <w:p w14:paraId="3A7532FE"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(d)(</w:t>
            </w:r>
            <w:proofErr w:type="spellStart"/>
            <w:r w:rsidRPr="005171C5">
              <w:rPr>
                <w:rFonts w:eastAsia="細明體" w:cs="Segoe UI"/>
                <w:sz w:val="17"/>
                <w:lang w:eastAsia="ar-SA"/>
              </w:rPr>
              <w:t>i</w:t>
            </w:r>
            <w:proofErr w:type="spellEnd"/>
            <w:r w:rsidRPr="005171C5">
              <w:rPr>
                <w:rFonts w:eastAsia="細明體" w:cs="Segoe UI"/>
                <w:sz w:val="17"/>
                <w:lang w:eastAsia="ar-SA"/>
              </w:rPr>
              <w:t>)</w:t>
            </w:r>
          </w:p>
        </w:tc>
        <w:tc>
          <w:tcPr>
            <w:tcW w:w="652" w:type="dxa"/>
            <w:tcBorders>
              <w:top w:val="single" w:sz="4" w:space="0" w:color="000000"/>
              <w:left w:val="single" w:sz="4" w:space="0" w:color="000000"/>
              <w:bottom w:val="single" w:sz="4" w:space="0" w:color="000000"/>
            </w:tcBorders>
            <w:shd w:val="clear" w:color="auto" w:fill="auto"/>
            <w:vAlign w:val="center"/>
          </w:tcPr>
          <w:p w14:paraId="3D320474"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(d)(ii)</w:t>
            </w:r>
          </w:p>
        </w:tc>
        <w:tc>
          <w:tcPr>
            <w:tcW w:w="652" w:type="dxa"/>
            <w:tcBorders>
              <w:top w:val="single" w:sz="4" w:space="0" w:color="000000"/>
              <w:left w:val="single" w:sz="4" w:space="0" w:color="000000"/>
              <w:bottom w:val="single" w:sz="4" w:space="0" w:color="000000"/>
            </w:tcBorders>
            <w:shd w:val="clear" w:color="auto" w:fill="auto"/>
            <w:vAlign w:val="center"/>
          </w:tcPr>
          <w:p w14:paraId="42E1A93C"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(d)(iii)</w:t>
            </w:r>
          </w:p>
        </w:tc>
        <w:tc>
          <w:tcPr>
            <w:tcW w:w="652" w:type="dxa"/>
            <w:tcBorders>
              <w:top w:val="single" w:sz="4" w:space="0" w:color="000000"/>
              <w:left w:val="single" w:sz="4" w:space="0" w:color="000000"/>
              <w:bottom w:val="single" w:sz="4" w:space="0" w:color="000000"/>
            </w:tcBorders>
            <w:shd w:val="clear" w:color="auto" w:fill="auto"/>
            <w:vAlign w:val="center"/>
          </w:tcPr>
          <w:p w14:paraId="66264D7E"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(d)(iv)</w:t>
            </w:r>
          </w:p>
        </w:tc>
        <w:tc>
          <w:tcPr>
            <w:tcW w:w="652" w:type="dxa"/>
            <w:tcBorders>
              <w:top w:val="single" w:sz="4" w:space="0" w:color="000000"/>
              <w:left w:val="single" w:sz="4" w:space="0" w:color="000000"/>
              <w:bottom w:val="single" w:sz="4" w:space="0" w:color="000000"/>
            </w:tcBorders>
            <w:shd w:val="clear" w:color="auto" w:fill="auto"/>
            <w:vAlign w:val="center"/>
          </w:tcPr>
          <w:p w14:paraId="6677CDC9"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(d)(v)</w:t>
            </w:r>
          </w:p>
        </w:tc>
        <w:tc>
          <w:tcPr>
            <w:tcW w:w="992" w:type="dxa"/>
            <w:tcBorders>
              <w:top w:val="single" w:sz="4" w:space="0" w:color="000000"/>
              <w:left w:val="single" w:sz="4" w:space="0" w:color="000000"/>
              <w:bottom w:val="single" w:sz="4" w:space="0" w:color="000000"/>
            </w:tcBorders>
            <w:shd w:val="clear" w:color="auto" w:fill="auto"/>
            <w:vAlign w:val="center"/>
          </w:tcPr>
          <w:p w14:paraId="1D1E9142"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(e)</w:t>
            </w:r>
          </w:p>
        </w:tc>
        <w:tc>
          <w:tcPr>
            <w:tcW w:w="8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74068" w14:textId="77777777" w:rsidR="005171C5" w:rsidRPr="005171C5" w:rsidRDefault="005171C5" w:rsidP="005171C5">
            <w:pPr>
              <w:suppressAutoHyphens/>
              <w:snapToGrid w:val="0"/>
              <w:spacing w:before="40" w:after="40"/>
              <w:jc w:val="center"/>
              <w:rPr>
                <w:rFonts w:cs="Segoe UI"/>
                <w:sz w:val="17"/>
                <w:lang w:eastAsia="ar-SA"/>
              </w:rPr>
            </w:pPr>
            <w:r w:rsidRPr="005171C5">
              <w:rPr>
                <w:rFonts w:eastAsia="細明體" w:cs="Segoe UI"/>
                <w:sz w:val="17"/>
                <w:lang w:eastAsia="ar-SA"/>
              </w:rPr>
              <w:t>(f)</w:t>
            </w:r>
          </w:p>
        </w:tc>
      </w:tr>
      <w:tr w:rsidR="005171C5" w:rsidRPr="005171C5" w14:paraId="61D3B415" w14:textId="77777777" w:rsidTr="005171C5">
        <w:trPr>
          <w:trHeight w:val="272"/>
          <w:tblHeader/>
        </w:trPr>
        <w:tc>
          <w:tcPr>
            <w:tcW w:w="1461" w:type="dxa"/>
            <w:vMerge w:val="restart"/>
            <w:tcBorders>
              <w:top w:val="single" w:sz="4" w:space="0" w:color="000000"/>
              <w:bottom w:val="single" w:sz="4" w:space="0" w:color="C0C0C0"/>
            </w:tcBorders>
            <w:shd w:val="clear" w:color="auto" w:fill="auto"/>
            <w:vAlign w:val="center"/>
          </w:tcPr>
          <w:p w14:paraId="3EF499DB"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szCs w:val="17"/>
                <w:lang w:val="en-US" w:eastAsia="ar-SA"/>
              </w:rPr>
              <w:t>監管評級等級</w:t>
            </w:r>
          </w:p>
        </w:tc>
        <w:tc>
          <w:tcPr>
            <w:tcW w:w="3066" w:type="dxa"/>
            <w:vMerge w:val="restart"/>
            <w:tcBorders>
              <w:top w:val="single" w:sz="4" w:space="0" w:color="000000"/>
              <w:left w:val="single" w:sz="4" w:space="0" w:color="000000"/>
              <w:bottom w:val="single" w:sz="4" w:space="0" w:color="C0C0C0"/>
            </w:tcBorders>
            <w:shd w:val="clear" w:color="auto" w:fill="auto"/>
            <w:vAlign w:val="center"/>
          </w:tcPr>
          <w:p w14:paraId="48BF46EB"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尚餘到期期限</w:t>
            </w:r>
          </w:p>
        </w:tc>
        <w:tc>
          <w:tcPr>
            <w:tcW w:w="1630" w:type="dxa"/>
            <w:vMerge w:val="restart"/>
            <w:tcBorders>
              <w:top w:val="single" w:sz="4" w:space="0" w:color="000000"/>
              <w:left w:val="single" w:sz="4" w:space="0" w:color="000000"/>
              <w:bottom w:val="single" w:sz="4" w:space="0" w:color="C0C0C0"/>
            </w:tcBorders>
            <w:shd w:val="clear" w:color="auto" w:fill="auto"/>
            <w:vAlign w:val="center"/>
          </w:tcPr>
          <w:p w14:paraId="6D106F79" w14:textId="55E2C0C1"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資產負債表內</w:t>
            </w:r>
            <w:r w:rsidR="0057392C" w:rsidRPr="0057392C">
              <w:rPr>
                <w:rFonts w:eastAsia="細明體" w:cs="Segoe UI" w:hint="eastAsia"/>
                <w:sz w:val="17"/>
                <w:lang w:eastAsia="ar-SA"/>
              </w:rPr>
              <w:t>風險承擔</w:t>
            </w:r>
            <w:r w:rsidRPr="005171C5">
              <w:rPr>
                <w:rFonts w:eastAsia="細明體" w:cs="Segoe UI" w:hint="eastAsia"/>
                <w:sz w:val="17"/>
                <w:lang w:eastAsia="ar-SA"/>
              </w:rPr>
              <w:t>數額</w:t>
            </w:r>
          </w:p>
        </w:tc>
        <w:tc>
          <w:tcPr>
            <w:tcW w:w="1631" w:type="dxa"/>
            <w:vMerge w:val="restart"/>
            <w:tcBorders>
              <w:top w:val="single" w:sz="4" w:space="0" w:color="000000"/>
              <w:left w:val="single" w:sz="4" w:space="0" w:color="000000"/>
              <w:bottom w:val="single" w:sz="4" w:space="0" w:color="C0C0C0"/>
            </w:tcBorders>
            <w:shd w:val="clear" w:color="auto" w:fill="auto"/>
            <w:vAlign w:val="center"/>
          </w:tcPr>
          <w:p w14:paraId="2A916773" w14:textId="40915562"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資產負債表外</w:t>
            </w:r>
            <w:r w:rsidR="0057392C" w:rsidRPr="0057392C">
              <w:rPr>
                <w:rFonts w:eastAsia="細明體" w:cs="Segoe UI" w:hint="eastAsia"/>
                <w:sz w:val="17"/>
                <w:lang w:eastAsia="ar-SA"/>
              </w:rPr>
              <w:t>風險承擔</w:t>
            </w:r>
            <w:r w:rsidRPr="005171C5">
              <w:rPr>
                <w:rFonts w:eastAsia="細明體" w:cs="Segoe UI" w:hint="eastAsia"/>
                <w:sz w:val="17"/>
                <w:lang w:eastAsia="ar-SA"/>
              </w:rPr>
              <w:t>數額</w:t>
            </w:r>
          </w:p>
        </w:tc>
        <w:tc>
          <w:tcPr>
            <w:tcW w:w="993" w:type="dxa"/>
            <w:vMerge w:val="restart"/>
            <w:tcBorders>
              <w:top w:val="single" w:sz="4" w:space="0" w:color="000000"/>
              <w:left w:val="single" w:sz="4" w:space="0" w:color="000000"/>
              <w:bottom w:val="single" w:sz="4" w:space="0" w:color="C0C0C0"/>
            </w:tcBorders>
            <w:shd w:val="clear" w:color="auto" w:fill="auto"/>
            <w:vAlign w:val="center"/>
          </w:tcPr>
          <w:p w14:paraId="273A6F3C"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監管風險權重</w:t>
            </w:r>
          </w:p>
        </w:tc>
        <w:tc>
          <w:tcPr>
            <w:tcW w:w="3260" w:type="dxa"/>
            <w:gridSpan w:val="5"/>
            <w:tcBorders>
              <w:top w:val="single" w:sz="4" w:space="0" w:color="000000"/>
              <w:left w:val="single" w:sz="4" w:space="0" w:color="000000"/>
              <w:bottom w:val="single" w:sz="4" w:space="0" w:color="000000"/>
            </w:tcBorders>
            <w:shd w:val="clear" w:color="auto" w:fill="auto"/>
            <w:vAlign w:val="center"/>
          </w:tcPr>
          <w:p w14:paraId="07CA1D14"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EAD</w:t>
            </w:r>
            <w:r w:rsidRPr="005171C5">
              <w:rPr>
                <w:rFonts w:eastAsia="細明體" w:cs="Segoe UI" w:hint="eastAsia"/>
                <w:sz w:val="17"/>
                <w:lang w:eastAsia="ar-SA"/>
              </w:rPr>
              <w:t>數額</w:t>
            </w:r>
          </w:p>
        </w:tc>
        <w:tc>
          <w:tcPr>
            <w:tcW w:w="992" w:type="dxa"/>
            <w:vMerge w:val="restart"/>
            <w:tcBorders>
              <w:top w:val="single" w:sz="4" w:space="0" w:color="000000"/>
              <w:left w:val="single" w:sz="4" w:space="0" w:color="000000"/>
              <w:bottom w:val="single" w:sz="4" w:space="0" w:color="C0C0C0"/>
            </w:tcBorders>
            <w:shd w:val="clear" w:color="auto" w:fill="auto"/>
            <w:vAlign w:val="center"/>
          </w:tcPr>
          <w:p w14:paraId="6FCA384B"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風險加權數額</w:t>
            </w:r>
          </w:p>
        </w:tc>
        <w:tc>
          <w:tcPr>
            <w:tcW w:w="874" w:type="dxa"/>
            <w:gridSpan w:val="2"/>
            <w:vMerge w:val="restart"/>
            <w:tcBorders>
              <w:top w:val="single" w:sz="4" w:space="0" w:color="000000"/>
              <w:left w:val="single" w:sz="4" w:space="0" w:color="000000"/>
              <w:bottom w:val="single" w:sz="4" w:space="0" w:color="C0C0C0"/>
              <w:right w:val="single" w:sz="4" w:space="0" w:color="000000"/>
            </w:tcBorders>
            <w:shd w:val="clear" w:color="auto" w:fill="auto"/>
            <w:vAlign w:val="center"/>
          </w:tcPr>
          <w:p w14:paraId="3BDE7FA5" w14:textId="77777777" w:rsidR="005171C5" w:rsidRPr="005171C5" w:rsidRDefault="005171C5" w:rsidP="005171C5">
            <w:pPr>
              <w:suppressAutoHyphens/>
              <w:snapToGrid w:val="0"/>
              <w:spacing w:before="40" w:after="40"/>
              <w:jc w:val="center"/>
              <w:rPr>
                <w:rFonts w:cs="Segoe UI"/>
                <w:sz w:val="17"/>
                <w:lang w:eastAsia="ar-SA"/>
              </w:rPr>
            </w:pPr>
            <w:r w:rsidRPr="005171C5">
              <w:rPr>
                <w:rFonts w:eastAsia="細明體" w:cs="Segoe UI" w:hint="eastAsia"/>
                <w:sz w:val="17"/>
                <w:lang w:eastAsia="ar-SA"/>
              </w:rPr>
              <w:t>預期損失額</w:t>
            </w:r>
          </w:p>
        </w:tc>
      </w:tr>
      <w:tr w:rsidR="005171C5" w:rsidRPr="005171C5" w14:paraId="6043C654" w14:textId="77777777" w:rsidTr="005171C5">
        <w:trPr>
          <w:trHeight w:val="125"/>
        </w:trPr>
        <w:tc>
          <w:tcPr>
            <w:tcW w:w="1461" w:type="dxa"/>
            <w:vMerge/>
            <w:tcBorders>
              <w:top w:val="single" w:sz="4" w:space="0" w:color="C0C0C0"/>
              <w:bottom w:val="single" w:sz="4" w:space="0" w:color="000000"/>
            </w:tcBorders>
            <w:shd w:val="clear" w:color="auto" w:fill="auto"/>
            <w:vAlign w:val="center"/>
          </w:tcPr>
          <w:p w14:paraId="11B06CFD" w14:textId="77777777" w:rsidR="005171C5" w:rsidRPr="005171C5" w:rsidRDefault="005171C5" w:rsidP="005171C5">
            <w:pPr>
              <w:suppressAutoHyphens/>
              <w:snapToGrid w:val="0"/>
              <w:spacing w:before="40" w:after="40"/>
              <w:rPr>
                <w:rFonts w:eastAsia="細明體" w:cs="Segoe UI"/>
                <w:sz w:val="17"/>
                <w:lang w:eastAsia="ar-SA"/>
              </w:rPr>
            </w:pPr>
          </w:p>
        </w:tc>
        <w:tc>
          <w:tcPr>
            <w:tcW w:w="3066" w:type="dxa"/>
            <w:vMerge/>
            <w:tcBorders>
              <w:top w:val="single" w:sz="4" w:space="0" w:color="C0C0C0"/>
              <w:left w:val="single" w:sz="4" w:space="0" w:color="000000"/>
              <w:bottom w:val="single" w:sz="4" w:space="0" w:color="000000"/>
            </w:tcBorders>
            <w:shd w:val="clear" w:color="auto" w:fill="auto"/>
            <w:vAlign w:val="center"/>
          </w:tcPr>
          <w:p w14:paraId="3851D3D8" w14:textId="77777777" w:rsidR="005171C5" w:rsidRPr="005171C5" w:rsidRDefault="005171C5" w:rsidP="005171C5">
            <w:pPr>
              <w:suppressAutoHyphens/>
              <w:snapToGrid w:val="0"/>
              <w:spacing w:before="40" w:after="40"/>
              <w:jc w:val="center"/>
              <w:rPr>
                <w:rFonts w:eastAsia="細明體" w:cs="Segoe UI"/>
                <w:sz w:val="17"/>
                <w:lang w:eastAsia="ar-SA"/>
              </w:rPr>
            </w:pPr>
          </w:p>
        </w:tc>
        <w:tc>
          <w:tcPr>
            <w:tcW w:w="1630" w:type="dxa"/>
            <w:vMerge/>
            <w:tcBorders>
              <w:top w:val="single" w:sz="4" w:space="0" w:color="C0C0C0"/>
              <w:left w:val="single" w:sz="4" w:space="0" w:color="000000"/>
              <w:bottom w:val="single" w:sz="4" w:space="0" w:color="000000"/>
            </w:tcBorders>
            <w:shd w:val="clear" w:color="auto" w:fill="auto"/>
            <w:vAlign w:val="center"/>
          </w:tcPr>
          <w:p w14:paraId="3638C635" w14:textId="77777777" w:rsidR="005171C5" w:rsidRPr="005171C5" w:rsidRDefault="005171C5" w:rsidP="005171C5">
            <w:pPr>
              <w:suppressAutoHyphens/>
              <w:snapToGrid w:val="0"/>
              <w:spacing w:before="40" w:after="40"/>
              <w:jc w:val="center"/>
              <w:rPr>
                <w:rFonts w:eastAsia="細明體" w:cs="Segoe UI"/>
                <w:sz w:val="17"/>
                <w:lang w:eastAsia="ar-SA"/>
              </w:rPr>
            </w:pPr>
          </w:p>
        </w:tc>
        <w:tc>
          <w:tcPr>
            <w:tcW w:w="1631" w:type="dxa"/>
            <w:vMerge/>
            <w:tcBorders>
              <w:top w:val="single" w:sz="4" w:space="0" w:color="C0C0C0"/>
              <w:left w:val="single" w:sz="4" w:space="0" w:color="000000"/>
              <w:bottom w:val="single" w:sz="4" w:space="0" w:color="000000"/>
            </w:tcBorders>
            <w:shd w:val="clear" w:color="auto" w:fill="auto"/>
            <w:vAlign w:val="center"/>
          </w:tcPr>
          <w:p w14:paraId="3B18B6B2" w14:textId="77777777" w:rsidR="005171C5" w:rsidRPr="005171C5" w:rsidRDefault="005171C5" w:rsidP="005171C5">
            <w:pPr>
              <w:suppressAutoHyphens/>
              <w:snapToGrid w:val="0"/>
              <w:spacing w:before="40" w:after="40"/>
              <w:jc w:val="center"/>
              <w:rPr>
                <w:rFonts w:eastAsia="細明體" w:cs="Segoe UI"/>
                <w:sz w:val="17"/>
                <w:lang w:eastAsia="ar-SA"/>
              </w:rPr>
            </w:pPr>
          </w:p>
        </w:tc>
        <w:tc>
          <w:tcPr>
            <w:tcW w:w="993" w:type="dxa"/>
            <w:vMerge/>
            <w:tcBorders>
              <w:top w:val="single" w:sz="4" w:space="0" w:color="C0C0C0"/>
              <w:left w:val="single" w:sz="4" w:space="0" w:color="000000"/>
              <w:bottom w:val="single" w:sz="4" w:space="0" w:color="000000"/>
            </w:tcBorders>
            <w:shd w:val="clear" w:color="auto" w:fill="auto"/>
            <w:vAlign w:val="center"/>
          </w:tcPr>
          <w:p w14:paraId="3E25A388" w14:textId="77777777" w:rsidR="005171C5" w:rsidRPr="005171C5" w:rsidRDefault="005171C5" w:rsidP="005171C5">
            <w:pPr>
              <w:suppressAutoHyphens/>
              <w:snapToGrid w:val="0"/>
              <w:spacing w:before="40" w:after="40"/>
              <w:jc w:val="center"/>
              <w:rPr>
                <w:rFonts w:eastAsia="細明體" w:cs="Segoe UI"/>
                <w:sz w:val="17"/>
                <w:lang w:eastAsia="ar-SA"/>
              </w:rPr>
            </w:pPr>
          </w:p>
        </w:tc>
        <w:tc>
          <w:tcPr>
            <w:tcW w:w="652" w:type="dxa"/>
            <w:tcBorders>
              <w:top w:val="single" w:sz="4" w:space="0" w:color="000000"/>
              <w:left w:val="single" w:sz="4" w:space="0" w:color="000000"/>
              <w:bottom w:val="single" w:sz="4" w:space="0" w:color="000000"/>
            </w:tcBorders>
            <w:shd w:val="clear" w:color="auto" w:fill="auto"/>
            <w:vAlign w:val="center"/>
          </w:tcPr>
          <w:p w14:paraId="44FF5C37"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PF</w:t>
            </w:r>
          </w:p>
        </w:tc>
        <w:tc>
          <w:tcPr>
            <w:tcW w:w="652" w:type="dxa"/>
            <w:tcBorders>
              <w:top w:val="single" w:sz="4" w:space="0" w:color="000000"/>
              <w:left w:val="single" w:sz="4" w:space="0" w:color="000000"/>
              <w:bottom w:val="single" w:sz="4" w:space="0" w:color="000000"/>
            </w:tcBorders>
            <w:shd w:val="clear" w:color="auto" w:fill="auto"/>
            <w:vAlign w:val="center"/>
          </w:tcPr>
          <w:p w14:paraId="13819295"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OF</w:t>
            </w:r>
          </w:p>
        </w:tc>
        <w:tc>
          <w:tcPr>
            <w:tcW w:w="652" w:type="dxa"/>
            <w:tcBorders>
              <w:top w:val="single" w:sz="4" w:space="0" w:color="000000"/>
              <w:left w:val="single" w:sz="4" w:space="0" w:color="000000"/>
              <w:bottom w:val="single" w:sz="4" w:space="0" w:color="000000"/>
            </w:tcBorders>
            <w:shd w:val="clear" w:color="auto" w:fill="auto"/>
            <w:vAlign w:val="center"/>
          </w:tcPr>
          <w:p w14:paraId="6CE1277B"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CF</w:t>
            </w:r>
          </w:p>
        </w:tc>
        <w:tc>
          <w:tcPr>
            <w:tcW w:w="652" w:type="dxa"/>
            <w:tcBorders>
              <w:top w:val="single" w:sz="4" w:space="0" w:color="000000"/>
              <w:left w:val="single" w:sz="4" w:space="0" w:color="000000"/>
              <w:bottom w:val="single" w:sz="4" w:space="0" w:color="000000"/>
            </w:tcBorders>
            <w:shd w:val="clear" w:color="auto" w:fill="auto"/>
            <w:vAlign w:val="center"/>
          </w:tcPr>
          <w:p w14:paraId="14B49338"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sz w:val="17"/>
                <w:lang w:eastAsia="ar-SA"/>
              </w:rPr>
              <w:t>IPRE</w:t>
            </w:r>
          </w:p>
        </w:tc>
        <w:tc>
          <w:tcPr>
            <w:tcW w:w="652" w:type="dxa"/>
            <w:tcBorders>
              <w:top w:val="single" w:sz="4" w:space="0" w:color="000000"/>
              <w:left w:val="single" w:sz="4" w:space="0" w:color="000000"/>
              <w:bottom w:val="single" w:sz="4" w:space="0" w:color="000000"/>
            </w:tcBorders>
            <w:shd w:val="clear" w:color="auto" w:fill="auto"/>
            <w:vAlign w:val="center"/>
          </w:tcPr>
          <w:p w14:paraId="6E8096CB" w14:textId="77777777" w:rsidR="005171C5" w:rsidRPr="005171C5" w:rsidRDefault="005171C5" w:rsidP="005171C5">
            <w:pPr>
              <w:suppressAutoHyphens/>
              <w:snapToGrid w:val="0"/>
              <w:spacing w:before="40" w:after="40"/>
              <w:jc w:val="center"/>
              <w:rPr>
                <w:rFonts w:eastAsia="細明體" w:cs="Segoe UI"/>
                <w:sz w:val="17"/>
                <w:lang w:eastAsia="ar-SA"/>
              </w:rPr>
            </w:pPr>
            <w:r w:rsidRPr="005171C5">
              <w:rPr>
                <w:rFonts w:eastAsia="細明體" w:cs="Segoe UI" w:hint="eastAsia"/>
                <w:sz w:val="17"/>
                <w:lang w:eastAsia="ar-SA"/>
              </w:rPr>
              <w:t>總計</w:t>
            </w:r>
          </w:p>
        </w:tc>
        <w:tc>
          <w:tcPr>
            <w:tcW w:w="992" w:type="dxa"/>
            <w:vMerge/>
            <w:tcBorders>
              <w:top w:val="single" w:sz="4" w:space="0" w:color="C0C0C0"/>
              <w:left w:val="single" w:sz="4" w:space="0" w:color="000000"/>
              <w:bottom w:val="single" w:sz="4" w:space="0" w:color="000000"/>
            </w:tcBorders>
            <w:shd w:val="clear" w:color="auto" w:fill="auto"/>
            <w:vAlign w:val="center"/>
          </w:tcPr>
          <w:p w14:paraId="5625E693" w14:textId="77777777" w:rsidR="005171C5" w:rsidRPr="005171C5" w:rsidRDefault="005171C5" w:rsidP="005171C5">
            <w:pPr>
              <w:suppressAutoHyphens/>
              <w:snapToGrid w:val="0"/>
              <w:spacing w:before="40" w:after="40"/>
              <w:jc w:val="center"/>
              <w:rPr>
                <w:rFonts w:eastAsia="細明體" w:cs="Segoe UI"/>
                <w:sz w:val="17"/>
                <w:lang w:eastAsia="ar-SA"/>
              </w:rPr>
            </w:pPr>
          </w:p>
        </w:tc>
        <w:tc>
          <w:tcPr>
            <w:tcW w:w="874" w:type="dxa"/>
            <w:gridSpan w:val="2"/>
            <w:vMerge/>
            <w:tcBorders>
              <w:top w:val="single" w:sz="4" w:space="0" w:color="C0C0C0"/>
              <w:left w:val="single" w:sz="4" w:space="0" w:color="000000"/>
              <w:bottom w:val="single" w:sz="4" w:space="0" w:color="000000"/>
              <w:right w:val="single" w:sz="4" w:space="0" w:color="000000"/>
            </w:tcBorders>
            <w:shd w:val="clear" w:color="auto" w:fill="auto"/>
            <w:vAlign w:val="center"/>
          </w:tcPr>
          <w:p w14:paraId="070B86EC" w14:textId="77777777" w:rsidR="005171C5" w:rsidRPr="005171C5" w:rsidRDefault="005171C5" w:rsidP="005171C5">
            <w:pPr>
              <w:suppressAutoHyphens/>
              <w:snapToGrid w:val="0"/>
              <w:spacing w:before="40" w:after="40"/>
              <w:jc w:val="center"/>
              <w:rPr>
                <w:rFonts w:eastAsia="細明體" w:cs="Segoe UI"/>
                <w:sz w:val="17"/>
                <w:lang w:eastAsia="ar-SA"/>
              </w:rPr>
            </w:pPr>
          </w:p>
        </w:tc>
      </w:tr>
      <w:tr w:rsidR="005171C5" w:rsidRPr="005171C5" w14:paraId="1BD977E1" w14:textId="77777777" w:rsidTr="005171C5">
        <w:trPr>
          <w:trHeight w:val="210"/>
        </w:trPr>
        <w:tc>
          <w:tcPr>
            <w:tcW w:w="1461" w:type="dxa"/>
            <w:tcBorders>
              <w:top w:val="single" w:sz="4" w:space="0" w:color="C0C0C0"/>
              <w:bottom w:val="single" w:sz="4" w:space="0" w:color="C0C0C0"/>
            </w:tcBorders>
            <w:shd w:val="clear" w:color="auto" w:fill="auto"/>
            <w:vAlign w:val="center"/>
          </w:tcPr>
          <w:p w14:paraId="231C6001"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優</w:t>
            </w:r>
            <w:r w:rsidRPr="005171C5">
              <w:rPr>
                <w:rFonts w:eastAsia="細明體" w:cs="Segoe UI"/>
                <w:sz w:val="17"/>
                <w:lang w:eastAsia="ar-SA"/>
              </w:rPr>
              <w:t>^</w:t>
            </w:r>
          </w:p>
        </w:tc>
        <w:tc>
          <w:tcPr>
            <w:tcW w:w="3066" w:type="dxa"/>
            <w:tcBorders>
              <w:top w:val="single" w:sz="4" w:space="0" w:color="000000"/>
              <w:left w:val="single" w:sz="4" w:space="0" w:color="000000"/>
              <w:bottom w:val="single" w:sz="4" w:space="0" w:color="C0C0C0"/>
            </w:tcBorders>
            <w:shd w:val="clear" w:color="auto" w:fill="auto"/>
            <w:vAlign w:val="center"/>
          </w:tcPr>
          <w:p w14:paraId="129BD7E3"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年以下</w:t>
            </w:r>
          </w:p>
        </w:tc>
        <w:tc>
          <w:tcPr>
            <w:tcW w:w="1630" w:type="dxa"/>
            <w:tcBorders>
              <w:top w:val="single" w:sz="4" w:space="0" w:color="000000"/>
              <w:left w:val="single" w:sz="4" w:space="0" w:color="000000"/>
              <w:bottom w:val="single" w:sz="4" w:space="0" w:color="C0C0C0"/>
            </w:tcBorders>
            <w:shd w:val="clear" w:color="auto" w:fill="auto"/>
            <w:vAlign w:val="center"/>
          </w:tcPr>
          <w:p w14:paraId="7FB5EAEA" w14:textId="77777777" w:rsidR="005171C5" w:rsidRPr="005171C5" w:rsidRDefault="005171C5" w:rsidP="005171C5">
            <w:pPr>
              <w:suppressAutoHyphens/>
              <w:snapToGrid w:val="0"/>
              <w:spacing w:before="40" w:after="40"/>
              <w:rPr>
                <w:rFonts w:eastAsia="細明體" w:cs="Segoe UI"/>
                <w:sz w:val="17"/>
                <w:lang w:eastAsia="ar-SA"/>
              </w:rPr>
            </w:pPr>
          </w:p>
        </w:tc>
        <w:tc>
          <w:tcPr>
            <w:tcW w:w="1631" w:type="dxa"/>
            <w:tcBorders>
              <w:top w:val="single" w:sz="4" w:space="0" w:color="000000"/>
              <w:left w:val="single" w:sz="4" w:space="0" w:color="000000"/>
              <w:bottom w:val="single" w:sz="4" w:space="0" w:color="C0C0C0"/>
            </w:tcBorders>
            <w:shd w:val="clear" w:color="auto" w:fill="auto"/>
            <w:vAlign w:val="center"/>
          </w:tcPr>
          <w:p w14:paraId="01020FD8"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47267642"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50%</w:t>
            </w:r>
          </w:p>
        </w:tc>
        <w:tc>
          <w:tcPr>
            <w:tcW w:w="652" w:type="dxa"/>
            <w:tcBorders>
              <w:top w:val="single" w:sz="4" w:space="0" w:color="000000"/>
              <w:left w:val="single" w:sz="4" w:space="0" w:color="000000"/>
              <w:bottom w:val="single" w:sz="4" w:space="0" w:color="C0C0C0"/>
            </w:tcBorders>
            <w:shd w:val="clear" w:color="auto" w:fill="auto"/>
          </w:tcPr>
          <w:p w14:paraId="2993A2F0"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000000"/>
              <w:left w:val="single" w:sz="4" w:space="0" w:color="000000"/>
              <w:bottom w:val="single" w:sz="4" w:space="0" w:color="C0C0C0"/>
            </w:tcBorders>
            <w:shd w:val="clear" w:color="auto" w:fill="auto"/>
          </w:tcPr>
          <w:p w14:paraId="1FDE91C7"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000000"/>
              <w:left w:val="single" w:sz="4" w:space="0" w:color="000000"/>
              <w:bottom w:val="single" w:sz="4" w:space="0" w:color="C0C0C0"/>
            </w:tcBorders>
            <w:shd w:val="clear" w:color="auto" w:fill="auto"/>
          </w:tcPr>
          <w:p w14:paraId="388B48CC"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000000"/>
              <w:left w:val="single" w:sz="4" w:space="0" w:color="000000"/>
              <w:bottom w:val="single" w:sz="4" w:space="0" w:color="C0C0C0"/>
            </w:tcBorders>
            <w:shd w:val="clear" w:color="auto" w:fill="auto"/>
          </w:tcPr>
          <w:p w14:paraId="52749B37"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000000"/>
              <w:left w:val="single" w:sz="4" w:space="0" w:color="000000"/>
              <w:bottom w:val="single" w:sz="4" w:space="0" w:color="C0C0C0"/>
            </w:tcBorders>
            <w:shd w:val="clear" w:color="auto" w:fill="auto"/>
          </w:tcPr>
          <w:p w14:paraId="5E737667"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0E923D11"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C0C0C0"/>
              <w:right w:val="single" w:sz="4" w:space="0" w:color="000000"/>
            </w:tcBorders>
            <w:shd w:val="clear" w:color="auto" w:fill="auto"/>
          </w:tcPr>
          <w:p w14:paraId="1B3D5B04"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3CB88560" w14:textId="77777777" w:rsidTr="005171C5">
        <w:trPr>
          <w:trHeight w:val="210"/>
        </w:trPr>
        <w:tc>
          <w:tcPr>
            <w:tcW w:w="1461" w:type="dxa"/>
            <w:tcBorders>
              <w:top w:val="single" w:sz="4" w:space="0" w:color="C0C0C0"/>
              <w:bottom w:val="single" w:sz="4" w:space="0" w:color="C0C0C0"/>
            </w:tcBorders>
            <w:shd w:val="clear" w:color="auto" w:fill="auto"/>
            <w:vAlign w:val="center"/>
          </w:tcPr>
          <w:p w14:paraId="00D8BAE6"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優</w:t>
            </w:r>
          </w:p>
        </w:tc>
        <w:tc>
          <w:tcPr>
            <w:tcW w:w="3066" w:type="dxa"/>
            <w:tcBorders>
              <w:top w:val="single" w:sz="4" w:space="0" w:color="C0C0C0"/>
              <w:left w:val="single" w:sz="4" w:space="0" w:color="000000"/>
              <w:bottom w:val="single" w:sz="4" w:space="0" w:color="C0C0C0"/>
            </w:tcBorders>
            <w:shd w:val="clear" w:color="auto" w:fill="auto"/>
            <w:vAlign w:val="center"/>
          </w:tcPr>
          <w:p w14:paraId="1586B9F6"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年或以上</w:t>
            </w:r>
          </w:p>
        </w:tc>
        <w:tc>
          <w:tcPr>
            <w:tcW w:w="1630" w:type="dxa"/>
            <w:tcBorders>
              <w:top w:val="single" w:sz="4" w:space="0" w:color="C0C0C0"/>
              <w:left w:val="single" w:sz="4" w:space="0" w:color="000000"/>
              <w:bottom w:val="single" w:sz="4" w:space="0" w:color="C0C0C0"/>
            </w:tcBorders>
            <w:shd w:val="clear" w:color="auto" w:fill="auto"/>
            <w:vAlign w:val="center"/>
          </w:tcPr>
          <w:p w14:paraId="6C98D2E1" w14:textId="77777777" w:rsidR="005171C5" w:rsidRPr="005171C5" w:rsidRDefault="005171C5" w:rsidP="005171C5">
            <w:pPr>
              <w:suppressAutoHyphens/>
              <w:snapToGrid w:val="0"/>
              <w:spacing w:before="40" w:after="40"/>
              <w:rPr>
                <w:rFonts w:eastAsia="細明體" w:cs="Segoe UI"/>
                <w:sz w:val="17"/>
                <w:lang w:eastAsia="ar-SA"/>
              </w:rPr>
            </w:pPr>
          </w:p>
        </w:tc>
        <w:tc>
          <w:tcPr>
            <w:tcW w:w="1631" w:type="dxa"/>
            <w:tcBorders>
              <w:top w:val="single" w:sz="4" w:space="0" w:color="C0C0C0"/>
              <w:left w:val="single" w:sz="4" w:space="0" w:color="000000"/>
              <w:bottom w:val="single" w:sz="4" w:space="0" w:color="C0C0C0"/>
            </w:tcBorders>
            <w:shd w:val="clear" w:color="auto" w:fill="auto"/>
            <w:vAlign w:val="center"/>
          </w:tcPr>
          <w:p w14:paraId="3DDEF624"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2D9590A1"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70%</w:t>
            </w:r>
          </w:p>
        </w:tc>
        <w:tc>
          <w:tcPr>
            <w:tcW w:w="652" w:type="dxa"/>
            <w:tcBorders>
              <w:top w:val="single" w:sz="4" w:space="0" w:color="C0C0C0"/>
              <w:left w:val="single" w:sz="4" w:space="0" w:color="000000"/>
              <w:bottom w:val="single" w:sz="4" w:space="0" w:color="C0C0C0"/>
            </w:tcBorders>
            <w:shd w:val="clear" w:color="auto" w:fill="auto"/>
          </w:tcPr>
          <w:p w14:paraId="5DDA4A40"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1A5F6A52"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597E82EF"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6571FF09"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6151F1E8"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1FBA31DE"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C0C0C0"/>
              <w:right w:val="single" w:sz="4" w:space="0" w:color="000000"/>
            </w:tcBorders>
            <w:shd w:val="clear" w:color="auto" w:fill="auto"/>
          </w:tcPr>
          <w:p w14:paraId="4517CA4B"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542776E8" w14:textId="77777777" w:rsidTr="005171C5">
        <w:trPr>
          <w:trHeight w:val="210"/>
        </w:trPr>
        <w:tc>
          <w:tcPr>
            <w:tcW w:w="1461" w:type="dxa"/>
            <w:tcBorders>
              <w:top w:val="single" w:sz="4" w:space="0" w:color="C0C0C0"/>
              <w:bottom w:val="single" w:sz="4" w:space="0" w:color="C0C0C0"/>
            </w:tcBorders>
            <w:shd w:val="clear" w:color="auto" w:fill="auto"/>
            <w:vAlign w:val="center"/>
          </w:tcPr>
          <w:p w14:paraId="0DE17D75"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良</w:t>
            </w:r>
            <w:r w:rsidRPr="005171C5">
              <w:rPr>
                <w:rFonts w:eastAsia="細明體" w:cs="Segoe UI"/>
                <w:sz w:val="17"/>
                <w:lang w:eastAsia="ar-SA"/>
              </w:rPr>
              <w:t>^</w:t>
            </w:r>
          </w:p>
        </w:tc>
        <w:tc>
          <w:tcPr>
            <w:tcW w:w="3066" w:type="dxa"/>
            <w:tcBorders>
              <w:top w:val="single" w:sz="4" w:space="0" w:color="C0C0C0"/>
              <w:left w:val="single" w:sz="4" w:space="0" w:color="000000"/>
              <w:bottom w:val="single" w:sz="4" w:space="0" w:color="C0C0C0"/>
            </w:tcBorders>
            <w:shd w:val="clear" w:color="auto" w:fill="auto"/>
            <w:vAlign w:val="center"/>
          </w:tcPr>
          <w:p w14:paraId="1E96B338"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年以下</w:t>
            </w:r>
          </w:p>
        </w:tc>
        <w:tc>
          <w:tcPr>
            <w:tcW w:w="1630" w:type="dxa"/>
            <w:tcBorders>
              <w:top w:val="single" w:sz="4" w:space="0" w:color="C0C0C0"/>
              <w:left w:val="single" w:sz="4" w:space="0" w:color="000000"/>
              <w:bottom w:val="single" w:sz="4" w:space="0" w:color="C0C0C0"/>
            </w:tcBorders>
            <w:shd w:val="clear" w:color="auto" w:fill="auto"/>
            <w:vAlign w:val="center"/>
          </w:tcPr>
          <w:p w14:paraId="16662A49" w14:textId="77777777" w:rsidR="005171C5" w:rsidRPr="005171C5" w:rsidRDefault="005171C5" w:rsidP="005171C5">
            <w:pPr>
              <w:suppressAutoHyphens/>
              <w:snapToGrid w:val="0"/>
              <w:spacing w:before="40" w:after="40"/>
              <w:rPr>
                <w:rFonts w:eastAsia="細明體" w:cs="Segoe UI"/>
                <w:sz w:val="17"/>
                <w:lang w:eastAsia="ar-SA"/>
              </w:rPr>
            </w:pPr>
          </w:p>
        </w:tc>
        <w:tc>
          <w:tcPr>
            <w:tcW w:w="1631" w:type="dxa"/>
            <w:tcBorders>
              <w:top w:val="single" w:sz="4" w:space="0" w:color="C0C0C0"/>
              <w:left w:val="single" w:sz="4" w:space="0" w:color="000000"/>
              <w:bottom w:val="single" w:sz="4" w:space="0" w:color="C0C0C0"/>
            </w:tcBorders>
            <w:shd w:val="clear" w:color="auto" w:fill="auto"/>
            <w:vAlign w:val="center"/>
          </w:tcPr>
          <w:p w14:paraId="6870FC2C"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51871307"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70%</w:t>
            </w:r>
          </w:p>
        </w:tc>
        <w:tc>
          <w:tcPr>
            <w:tcW w:w="652" w:type="dxa"/>
            <w:tcBorders>
              <w:top w:val="single" w:sz="4" w:space="0" w:color="C0C0C0"/>
              <w:left w:val="single" w:sz="4" w:space="0" w:color="000000"/>
              <w:bottom w:val="single" w:sz="4" w:space="0" w:color="C0C0C0"/>
            </w:tcBorders>
            <w:shd w:val="clear" w:color="auto" w:fill="auto"/>
          </w:tcPr>
          <w:p w14:paraId="45F1D4BA"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697AAD99"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2262B21B"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3F578263"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1B31DBDF"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62CCAD90"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C0C0C0"/>
              <w:right w:val="single" w:sz="4" w:space="0" w:color="000000"/>
            </w:tcBorders>
            <w:shd w:val="clear" w:color="auto" w:fill="auto"/>
          </w:tcPr>
          <w:p w14:paraId="612B45F3"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051B9233" w14:textId="77777777" w:rsidTr="005171C5">
        <w:trPr>
          <w:trHeight w:val="210"/>
        </w:trPr>
        <w:tc>
          <w:tcPr>
            <w:tcW w:w="1461" w:type="dxa"/>
            <w:tcBorders>
              <w:top w:val="single" w:sz="4" w:space="0" w:color="C0C0C0"/>
              <w:bottom w:val="single" w:sz="4" w:space="0" w:color="C0C0C0"/>
            </w:tcBorders>
            <w:shd w:val="clear" w:color="auto" w:fill="auto"/>
            <w:vAlign w:val="center"/>
          </w:tcPr>
          <w:p w14:paraId="0909973F"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良</w:t>
            </w:r>
          </w:p>
        </w:tc>
        <w:tc>
          <w:tcPr>
            <w:tcW w:w="3066" w:type="dxa"/>
            <w:tcBorders>
              <w:top w:val="single" w:sz="4" w:space="0" w:color="C0C0C0"/>
              <w:left w:val="single" w:sz="4" w:space="0" w:color="000000"/>
              <w:bottom w:val="single" w:sz="4" w:space="0" w:color="C0C0C0"/>
            </w:tcBorders>
            <w:shd w:val="clear" w:color="auto" w:fill="auto"/>
            <w:vAlign w:val="center"/>
          </w:tcPr>
          <w:p w14:paraId="4FFC141E"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 xml:space="preserve">2.5 </w:t>
            </w:r>
            <w:r w:rsidRPr="005171C5">
              <w:rPr>
                <w:rFonts w:eastAsia="細明體" w:cs="Segoe UI" w:hint="eastAsia"/>
                <w:sz w:val="17"/>
                <w:lang w:eastAsia="ar-SA"/>
              </w:rPr>
              <w:t>年或以上</w:t>
            </w:r>
          </w:p>
        </w:tc>
        <w:tc>
          <w:tcPr>
            <w:tcW w:w="1630" w:type="dxa"/>
            <w:tcBorders>
              <w:top w:val="single" w:sz="4" w:space="0" w:color="C0C0C0"/>
              <w:left w:val="single" w:sz="4" w:space="0" w:color="000000"/>
              <w:bottom w:val="single" w:sz="4" w:space="0" w:color="C0C0C0"/>
            </w:tcBorders>
            <w:shd w:val="clear" w:color="auto" w:fill="auto"/>
            <w:vAlign w:val="center"/>
          </w:tcPr>
          <w:p w14:paraId="149CA0A3" w14:textId="77777777" w:rsidR="005171C5" w:rsidRPr="005171C5" w:rsidRDefault="005171C5" w:rsidP="005171C5">
            <w:pPr>
              <w:suppressAutoHyphens/>
              <w:snapToGrid w:val="0"/>
              <w:spacing w:before="40" w:after="40"/>
              <w:rPr>
                <w:rFonts w:eastAsia="細明體" w:cs="Segoe UI"/>
                <w:sz w:val="17"/>
                <w:lang w:eastAsia="ar-SA"/>
              </w:rPr>
            </w:pPr>
          </w:p>
        </w:tc>
        <w:tc>
          <w:tcPr>
            <w:tcW w:w="1631" w:type="dxa"/>
            <w:tcBorders>
              <w:top w:val="single" w:sz="4" w:space="0" w:color="C0C0C0"/>
              <w:left w:val="single" w:sz="4" w:space="0" w:color="000000"/>
              <w:bottom w:val="single" w:sz="4" w:space="0" w:color="C0C0C0"/>
            </w:tcBorders>
            <w:shd w:val="clear" w:color="auto" w:fill="auto"/>
            <w:vAlign w:val="center"/>
          </w:tcPr>
          <w:p w14:paraId="57CB499B"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2CD3A896"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90%</w:t>
            </w:r>
          </w:p>
        </w:tc>
        <w:tc>
          <w:tcPr>
            <w:tcW w:w="652" w:type="dxa"/>
            <w:tcBorders>
              <w:top w:val="single" w:sz="4" w:space="0" w:color="C0C0C0"/>
              <w:left w:val="single" w:sz="4" w:space="0" w:color="000000"/>
              <w:bottom w:val="single" w:sz="4" w:space="0" w:color="C0C0C0"/>
            </w:tcBorders>
            <w:shd w:val="clear" w:color="auto" w:fill="auto"/>
          </w:tcPr>
          <w:p w14:paraId="4EF73DD6"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7E0C0F2F"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2FAF731D"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78DFEEE2"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41DC3BA7"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38E950B5"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C0C0C0"/>
              <w:right w:val="single" w:sz="4" w:space="0" w:color="000000"/>
            </w:tcBorders>
            <w:shd w:val="clear" w:color="auto" w:fill="auto"/>
          </w:tcPr>
          <w:p w14:paraId="69C9FDD4"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3AFF770A" w14:textId="77777777" w:rsidTr="005171C5">
        <w:trPr>
          <w:trHeight w:val="210"/>
        </w:trPr>
        <w:tc>
          <w:tcPr>
            <w:tcW w:w="1461" w:type="dxa"/>
            <w:tcBorders>
              <w:top w:val="single" w:sz="4" w:space="0" w:color="C0C0C0"/>
              <w:bottom w:val="single" w:sz="4" w:space="0" w:color="C0C0C0"/>
            </w:tcBorders>
            <w:shd w:val="clear" w:color="auto" w:fill="auto"/>
            <w:vAlign w:val="center"/>
          </w:tcPr>
          <w:p w14:paraId="0DC45C63"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尚可</w:t>
            </w:r>
          </w:p>
        </w:tc>
        <w:tc>
          <w:tcPr>
            <w:tcW w:w="3066" w:type="dxa"/>
            <w:tcBorders>
              <w:top w:val="single" w:sz="4" w:space="0" w:color="C0C0C0"/>
              <w:left w:val="single" w:sz="4" w:space="0" w:color="000000"/>
              <w:bottom w:val="single" w:sz="4" w:space="0" w:color="C0C0C0"/>
            </w:tcBorders>
            <w:shd w:val="clear" w:color="auto" w:fill="BFBFBF"/>
            <w:vAlign w:val="center"/>
          </w:tcPr>
          <w:p w14:paraId="4118FBBC" w14:textId="77777777" w:rsidR="005171C5" w:rsidRPr="005171C5" w:rsidRDefault="005171C5" w:rsidP="005171C5">
            <w:pPr>
              <w:suppressAutoHyphens/>
              <w:snapToGrid w:val="0"/>
              <w:spacing w:before="40" w:after="40"/>
              <w:rPr>
                <w:rFonts w:eastAsia="細明體" w:cs="Segoe UI"/>
                <w:sz w:val="17"/>
                <w:lang w:eastAsia="ar-SA"/>
              </w:rPr>
            </w:pPr>
          </w:p>
        </w:tc>
        <w:tc>
          <w:tcPr>
            <w:tcW w:w="1630" w:type="dxa"/>
            <w:tcBorders>
              <w:top w:val="single" w:sz="4" w:space="0" w:color="C0C0C0"/>
              <w:left w:val="single" w:sz="4" w:space="0" w:color="000000"/>
              <w:bottom w:val="single" w:sz="4" w:space="0" w:color="C0C0C0"/>
            </w:tcBorders>
            <w:shd w:val="clear" w:color="auto" w:fill="auto"/>
            <w:vAlign w:val="center"/>
          </w:tcPr>
          <w:p w14:paraId="767E36DB" w14:textId="77777777" w:rsidR="005171C5" w:rsidRPr="005171C5" w:rsidRDefault="005171C5" w:rsidP="005171C5">
            <w:pPr>
              <w:suppressAutoHyphens/>
              <w:snapToGrid w:val="0"/>
              <w:spacing w:before="40" w:after="40"/>
              <w:rPr>
                <w:rFonts w:eastAsia="細明體" w:cs="Segoe UI"/>
                <w:sz w:val="17"/>
                <w:lang w:eastAsia="ar-SA"/>
              </w:rPr>
            </w:pPr>
          </w:p>
        </w:tc>
        <w:tc>
          <w:tcPr>
            <w:tcW w:w="1631" w:type="dxa"/>
            <w:tcBorders>
              <w:top w:val="single" w:sz="4" w:space="0" w:color="C0C0C0"/>
              <w:left w:val="single" w:sz="4" w:space="0" w:color="000000"/>
              <w:bottom w:val="single" w:sz="4" w:space="0" w:color="C0C0C0"/>
            </w:tcBorders>
            <w:shd w:val="clear" w:color="auto" w:fill="auto"/>
            <w:vAlign w:val="center"/>
          </w:tcPr>
          <w:p w14:paraId="630B6E69"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48979FEA"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115%</w:t>
            </w:r>
          </w:p>
        </w:tc>
        <w:tc>
          <w:tcPr>
            <w:tcW w:w="652" w:type="dxa"/>
            <w:tcBorders>
              <w:top w:val="single" w:sz="4" w:space="0" w:color="C0C0C0"/>
              <w:left w:val="single" w:sz="4" w:space="0" w:color="000000"/>
              <w:bottom w:val="single" w:sz="4" w:space="0" w:color="C0C0C0"/>
            </w:tcBorders>
            <w:shd w:val="clear" w:color="auto" w:fill="auto"/>
          </w:tcPr>
          <w:p w14:paraId="7BDEB1D1"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295888A7"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447F2D88"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5E02A374"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26458C4F"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55246D24"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C0C0C0"/>
              <w:right w:val="single" w:sz="4" w:space="0" w:color="000000"/>
            </w:tcBorders>
            <w:shd w:val="clear" w:color="auto" w:fill="auto"/>
          </w:tcPr>
          <w:p w14:paraId="717BF1FD"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3E381B53" w14:textId="77777777" w:rsidTr="005171C5">
        <w:trPr>
          <w:trHeight w:val="210"/>
        </w:trPr>
        <w:tc>
          <w:tcPr>
            <w:tcW w:w="1461" w:type="dxa"/>
            <w:tcBorders>
              <w:top w:val="single" w:sz="4" w:space="0" w:color="C0C0C0"/>
              <w:bottom w:val="single" w:sz="4" w:space="0" w:color="C0C0C0"/>
            </w:tcBorders>
            <w:shd w:val="clear" w:color="auto" w:fill="auto"/>
            <w:vAlign w:val="center"/>
          </w:tcPr>
          <w:p w14:paraId="7586857C"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欠佳</w:t>
            </w:r>
          </w:p>
        </w:tc>
        <w:tc>
          <w:tcPr>
            <w:tcW w:w="3066" w:type="dxa"/>
            <w:tcBorders>
              <w:top w:val="single" w:sz="4" w:space="0" w:color="C0C0C0"/>
              <w:left w:val="single" w:sz="4" w:space="0" w:color="000000"/>
              <w:bottom w:val="single" w:sz="4" w:space="0" w:color="C0C0C0"/>
            </w:tcBorders>
            <w:shd w:val="clear" w:color="auto" w:fill="BFBFBF"/>
            <w:vAlign w:val="center"/>
          </w:tcPr>
          <w:p w14:paraId="44BBD17E" w14:textId="77777777" w:rsidR="005171C5" w:rsidRPr="005171C5" w:rsidRDefault="005171C5" w:rsidP="005171C5">
            <w:pPr>
              <w:suppressAutoHyphens/>
              <w:snapToGrid w:val="0"/>
              <w:spacing w:before="40" w:after="40"/>
              <w:rPr>
                <w:rFonts w:eastAsia="細明體" w:cs="Segoe UI"/>
                <w:sz w:val="17"/>
                <w:lang w:eastAsia="ar-SA"/>
              </w:rPr>
            </w:pPr>
          </w:p>
        </w:tc>
        <w:tc>
          <w:tcPr>
            <w:tcW w:w="1630" w:type="dxa"/>
            <w:tcBorders>
              <w:top w:val="single" w:sz="4" w:space="0" w:color="C0C0C0"/>
              <w:left w:val="single" w:sz="4" w:space="0" w:color="000000"/>
              <w:bottom w:val="single" w:sz="4" w:space="0" w:color="C0C0C0"/>
            </w:tcBorders>
            <w:shd w:val="clear" w:color="auto" w:fill="auto"/>
            <w:vAlign w:val="center"/>
          </w:tcPr>
          <w:p w14:paraId="7460BAE4" w14:textId="77777777" w:rsidR="005171C5" w:rsidRPr="005171C5" w:rsidRDefault="005171C5" w:rsidP="005171C5">
            <w:pPr>
              <w:suppressAutoHyphens/>
              <w:snapToGrid w:val="0"/>
              <w:spacing w:before="40" w:after="40"/>
              <w:rPr>
                <w:rFonts w:eastAsia="細明體" w:cs="Segoe UI"/>
                <w:sz w:val="17"/>
                <w:lang w:eastAsia="ar-SA"/>
              </w:rPr>
            </w:pPr>
          </w:p>
        </w:tc>
        <w:tc>
          <w:tcPr>
            <w:tcW w:w="1631" w:type="dxa"/>
            <w:tcBorders>
              <w:top w:val="single" w:sz="4" w:space="0" w:color="C0C0C0"/>
              <w:left w:val="single" w:sz="4" w:space="0" w:color="000000"/>
              <w:bottom w:val="single" w:sz="4" w:space="0" w:color="C0C0C0"/>
            </w:tcBorders>
            <w:shd w:val="clear" w:color="auto" w:fill="auto"/>
            <w:vAlign w:val="center"/>
          </w:tcPr>
          <w:p w14:paraId="3DEEC127"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0B74C69E"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250%</w:t>
            </w:r>
          </w:p>
        </w:tc>
        <w:tc>
          <w:tcPr>
            <w:tcW w:w="652" w:type="dxa"/>
            <w:tcBorders>
              <w:top w:val="single" w:sz="4" w:space="0" w:color="C0C0C0"/>
              <w:left w:val="single" w:sz="4" w:space="0" w:color="000000"/>
              <w:bottom w:val="single" w:sz="4" w:space="0" w:color="C0C0C0"/>
            </w:tcBorders>
            <w:shd w:val="clear" w:color="auto" w:fill="auto"/>
          </w:tcPr>
          <w:p w14:paraId="19F45FE3"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4F0F3BB0"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1671BFEF"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24DCE401"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4923CC56"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7D62CE23"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C0C0C0"/>
              <w:right w:val="single" w:sz="4" w:space="0" w:color="000000"/>
            </w:tcBorders>
            <w:shd w:val="clear" w:color="auto" w:fill="auto"/>
          </w:tcPr>
          <w:p w14:paraId="528B1F2E"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4B0E3448" w14:textId="77777777" w:rsidTr="005171C5">
        <w:trPr>
          <w:trHeight w:val="210"/>
        </w:trPr>
        <w:tc>
          <w:tcPr>
            <w:tcW w:w="1461" w:type="dxa"/>
            <w:tcBorders>
              <w:top w:val="single" w:sz="4" w:space="0" w:color="C0C0C0"/>
              <w:bottom w:val="single" w:sz="4" w:space="0" w:color="C0C0C0"/>
            </w:tcBorders>
            <w:shd w:val="clear" w:color="auto" w:fill="auto"/>
            <w:vAlign w:val="center"/>
          </w:tcPr>
          <w:p w14:paraId="097D2369"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違責</w:t>
            </w:r>
          </w:p>
        </w:tc>
        <w:tc>
          <w:tcPr>
            <w:tcW w:w="3066" w:type="dxa"/>
            <w:tcBorders>
              <w:top w:val="single" w:sz="4" w:space="0" w:color="C0C0C0"/>
              <w:left w:val="single" w:sz="4" w:space="0" w:color="000000"/>
              <w:bottom w:val="single" w:sz="4" w:space="0" w:color="C0C0C0"/>
            </w:tcBorders>
            <w:shd w:val="clear" w:color="auto" w:fill="BFBFBF"/>
            <w:vAlign w:val="center"/>
          </w:tcPr>
          <w:p w14:paraId="20C427F9" w14:textId="77777777" w:rsidR="005171C5" w:rsidRPr="005171C5" w:rsidRDefault="005171C5" w:rsidP="005171C5">
            <w:pPr>
              <w:suppressAutoHyphens/>
              <w:snapToGrid w:val="0"/>
              <w:spacing w:before="40" w:after="40"/>
              <w:rPr>
                <w:rFonts w:eastAsia="細明體" w:cs="Segoe UI"/>
                <w:sz w:val="17"/>
                <w:lang w:eastAsia="ar-SA"/>
              </w:rPr>
            </w:pPr>
          </w:p>
        </w:tc>
        <w:tc>
          <w:tcPr>
            <w:tcW w:w="1630" w:type="dxa"/>
            <w:tcBorders>
              <w:top w:val="single" w:sz="4" w:space="0" w:color="C0C0C0"/>
              <w:left w:val="single" w:sz="4" w:space="0" w:color="000000"/>
              <w:bottom w:val="single" w:sz="4" w:space="0" w:color="C0C0C0"/>
            </w:tcBorders>
            <w:shd w:val="clear" w:color="auto" w:fill="auto"/>
            <w:vAlign w:val="center"/>
          </w:tcPr>
          <w:p w14:paraId="203E311C" w14:textId="77777777" w:rsidR="005171C5" w:rsidRPr="005171C5" w:rsidRDefault="005171C5" w:rsidP="005171C5">
            <w:pPr>
              <w:suppressAutoHyphens/>
              <w:snapToGrid w:val="0"/>
              <w:spacing w:before="40" w:after="40"/>
              <w:rPr>
                <w:rFonts w:eastAsia="細明體" w:cs="Segoe UI"/>
                <w:sz w:val="17"/>
                <w:lang w:eastAsia="ar-SA"/>
              </w:rPr>
            </w:pPr>
          </w:p>
        </w:tc>
        <w:tc>
          <w:tcPr>
            <w:tcW w:w="1631" w:type="dxa"/>
            <w:tcBorders>
              <w:top w:val="single" w:sz="4" w:space="0" w:color="C0C0C0"/>
              <w:left w:val="single" w:sz="4" w:space="0" w:color="000000"/>
              <w:bottom w:val="single" w:sz="4" w:space="0" w:color="C0C0C0"/>
            </w:tcBorders>
            <w:shd w:val="clear" w:color="auto" w:fill="auto"/>
            <w:vAlign w:val="center"/>
          </w:tcPr>
          <w:p w14:paraId="0CEEB4C0"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3C98D85B"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sz w:val="17"/>
                <w:lang w:eastAsia="ar-SA"/>
              </w:rPr>
              <w:t>0%</w:t>
            </w:r>
          </w:p>
        </w:tc>
        <w:tc>
          <w:tcPr>
            <w:tcW w:w="652" w:type="dxa"/>
            <w:tcBorders>
              <w:top w:val="single" w:sz="4" w:space="0" w:color="C0C0C0"/>
              <w:left w:val="single" w:sz="4" w:space="0" w:color="000000"/>
              <w:bottom w:val="single" w:sz="4" w:space="0" w:color="C0C0C0"/>
            </w:tcBorders>
            <w:shd w:val="clear" w:color="auto" w:fill="auto"/>
          </w:tcPr>
          <w:p w14:paraId="4EB0F426"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75932E84"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2A6C808E"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1F8C9224"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C0C0C0"/>
            </w:tcBorders>
            <w:shd w:val="clear" w:color="auto" w:fill="auto"/>
          </w:tcPr>
          <w:p w14:paraId="6ECF3EA6"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C0C0C0"/>
            </w:tcBorders>
            <w:shd w:val="clear" w:color="auto" w:fill="auto"/>
          </w:tcPr>
          <w:p w14:paraId="1FA362C3"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C0C0C0"/>
              <w:right w:val="single" w:sz="4" w:space="0" w:color="000000"/>
            </w:tcBorders>
            <w:shd w:val="clear" w:color="auto" w:fill="auto"/>
          </w:tcPr>
          <w:p w14:paraId="5A10A170"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5A4B1AD5" w14:textId="77777777" w:rsidTr="005171C5">
        <w:trPr>
          <w:trHeight w:val="225"/>
        </w:trPr>
        <w:tc>
          <w:tcPr>
            <w:tcW w:w="1461" w:type="dxa"/>
            <w:tcBorders>
              <w:top w:val="single" w:sz="4" w:space="0" w:color="C0C0C0"/>
              <w:bottom w:val="single" w:sz="4" w:space="0" w:color="000000"/>
            </w:tcBorders>
            <w:shd w:val="clear" w:color="auto" w:fill="auto"/>
            <w:vAlign w:val="center"/>
          </w:tcPr>
          <w:p w14:paraId="7AF88BE3"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總計</w:t>
            </w:r>
          </w:p>
        </w:tc>
        <w:tc>
          <w:tcPr>
            <w:tcW w:w="3066" w:type="dxa"/>
            <w:tcBorders>
              <w:top w:val="single" w:sz="4" w:space="0" w:color="C0C0C0"/>
              <w:left w:val="single" w:sz="4" w:space="0" w:color="000000"/>
              <w:bottom w:val="single" w:sz="4" w:space="0" w:color="000000"/>
            </w:tcBorders>
            <w:shd w:val="clear" w:color="auto" w:fill="BFBFBF"/>
            <w:vAlign w:val="center"/>
          </w:tcPr>
          <w:p w14:paraId="2C1B8C96" w14:textId="77777777" w:rsidR="005171C5" w:rsidRPr="005171C5" w:rsidRDefault="005171C5" w:rsidP="005171C5">
            <w:pPr>
              <w:suppressAutoHyphens/>
              <w:snapToGrid w:val="0"/>
              <w:spacing w:before="40" w:after="40"/>
              <w:rPr>
                <w:rFonts w:eastAsia="細明體" w:cs="Segoe UI"/>
                <w:sz w:val="17"/>
                <w:lang w:eastAsia="ar-SA"/>
              </w:rPr>
            </w:pPr>
          </w:p>
        </w:tc>
        <w:tc>
          <w:tcPr>
            <w:tcW w:w="1630" w:type="dxa"/>
            <w:tcBorders>
              <w:top w:val="single" w:sz="4" w:space="0" w:color="C0C0C0"/>
              <w:left w:val="single" w:sz="4" w:space="0" w:color="000000"/>
              <w:bottom w:val="single" w:sz="4" w:space="0" w:color="000000"/>
            </w:tcBorders>
            <w:shd w:val="clear" w:color="auto" w:fill="auto"/>
            <w:vAlign w:val="center"/>
          </w:tcPr>
          <w:p w14:paraId="37ED198E" w14:textId="77777777" w:rsidR="005171C5" w:rsidRPr="005171C5" w:rsidRDefault="005171C5" w:rsidP="005171C5">
            <w:pPr>
              <w:suppressAutoHyphens/>
              <w:snapToGrid w:val="0"/>
              <w:spacing w:before="40" w:after="40"/>
              <w:rPr>
                <w:rFonts w:eastAsia="細明體" w:cs="Segoe UI"/>
                <w:sz w:val="17"/>
                <w:lang w:eastAsia="ar-SA"/>
              </w:rPr>
            </w:pPr>
            <w:r w:rsidRPr="005171C5">
              <w:rPr>
                <w:rFonts w:eastAsia="細明體" w:cs="Segoe UI" w:hint="eastAsia"/>
                <w:sz w:val="17"/>
                <w:lang w:eastAsia="ar-SA"/>
              </w:rPr>
              <w:t xml:space="preserve">　</w:t>
            </w:r>
          </w:p>
        </w:tc>
        <w:tc>
          <w:tcPr>
            <w:tcW w:w="1631" w:type="dxa"/>
            <w:tcBorders>
              <w:top w:val="single" w:sz="4" w:space="0" w:color="C0C0C0"/>
              <w:left w:val="single" w:sz="4" w:space="0" w:color="000000"/>
              <w:bottom w:val="single" w:sz="4" w:space="0" w:color="000000"/>
            </w:tcBorders>
            <w:shd w:val="clear" w:color="auto" w:fill="auto"/>
            <w:vAlign w:val="center"/>
          </w:tcPr>
          <w:p w14:paraId="1DFA25DE" w14:textId="77777777" w:rsidR="005171C5" w:rsidRPr="005171C5" w:rsidRDefault="005171C5" w:rsidP="005171C5">
            <w:pPr>
              <w:suppressAutoHyphens/>
              <w:snapToGrid w:val="0"/>
              <w:spacing w:before="40" w:after="40"/>
              <w:rPr>
                <w:rFonts w:eastAsia="細明體" w:cs="Segoe UI"/>
                <w:sz w:val="17"/>
                <w:lang w:eastAsia="ar-SA"/>
              </w:rPr>
            </w:pPr>
          </w:p>
        </w:tc>
        <w:tc>
          <w:tcPr>
            <w:tcW w:w="993" w:type="dxa"/>
            <w:tcBorders>
              <w:top w:val="single" w:sz="4" w:space="0" w:color="C0C0C0"/>
              <w:left w:val="single" w:sz="4" w:space="0" w:color="000000"/>
              <w:bottom w:val="single" w:sz="4" w:space="0" w:color="000000"/>
            </w:tcBorders>
            <w:shd w:val="clear" w:color="auto" w:fill="BFBFBF"/>
          </w:tcPr>
          <w:p w14:paraId="208B81DA"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000000"/>
            </w:tcBorders>
            <w:shd w:val="clear" w:color="auto" w:fill="auto"/>
          </w:tcPr>
          <w:p w14:paraId="2301579F"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000000"/>
            </w:tcBorders>
            <w:shd w:val="clear" w:color="auto" w:fill="auto"/>
          </w:tcPr>
          <w:p w14:paraId="058B36EC"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000000"/>
            </w:tcBorders>
            <w:shd w:val="clear" w:color="auto" w:fill="auto"/>
          </w:tcPr>
          <w:p w14:paraId="48C6AC23"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000000"/>
            </w:tcBorders>
            <w:shd w:val="clear" w:color="auto" w:fill="auto"/>
          </w:tcPr>
          <w:p w14:paraId="08C6A198" w14:textId="77777777" w:rsidR="005171C5" w:rsidRPr="005171C5" w:rsidRDefault="005171C5" w:rsidP="005171C5">
            <w:pPr>
              <w:suppressAutoHyphens/>
              <w:snapToGrid w:val="0"/>
              <w:spacing w:before="40" w:after="40"/>
              <w:rPr>
                <w:rFonts w:eastAsia="細明體" w:cs="Segoe UI"/>
                <w:sz w:val="17"/>
                <w:lang w:eastAsia="ar-SA"/>
              </w:rPr>
            </w:pPr>
          </w:p>
        </w:tc>
        <w:tc>
          <w:tcPr>
            <w:tcW w:w="652" w:type="dxa"/>
            <w:tcBorders>
              <w:top w:val="single" w:sz="4" w:space="0" w:color="C0C0C0"/>
              <w:left w:val="single" w:sz="4" w:space="0" w:color="000000"/>
              <w:bottom w:val="single" w:sz="4" w:space="0" w:color="000000"/>
            </w:tcBorders>
            <w:shd w:val="clear" w:color="auto" w:fill="auto"/>
          </w:tcPr>
          <w:p w14:paraId="473206C1" w14:textId="77777777" w:rsidR="005171C5" w:rsidRPr="005171C5" w:rsidRDefault="005171C5" w:rsidP="005171C5">
            <w:pPr>
              <w:suppressAutoHyphens/>
              <w:snapToGrid w:val="0"/>
              <w:spacing w:before="40" w:after="40"/>
              <w:rPr>
                <w:rFonts w:eastAsia="細明體" w:cs="Segoe UI"/>
                <w:sz w:val="17"/>
                <w:lang w:eastAsia="ar-SA"/>
              </w:rPr>
            </w:pPr>
          </w:p>
        </w:tc>
        <w:tc>
          <w:tcPr>
            <w:tcW w:w="992" w:type="dxa"/>
            <w:tcBorders>
              <w:top w:val="single" w:sz="4" w:space="0" w:color="C0C0C0"/>
              <w:left w:val="single" w:sz="4" w:space="0" w:color="000000"/>
              <w:bottom w:val="single" w:sz="4" w:space="0" w:color="000000"/>
            </w:tcBorders>
            <w:shd w:val="clear" w:color="auto" w:fill="auto"/>
          </w:tcPr>
          <w:p w14:paraId="6539FF57" w14:textId="77777777" w:rsidR="005171C5" w:rsidRPr="005171C5" w:rsidRDefault="005171C5" w:rsidP="005171C5">
            <w:pPr>
              <w:suppressAutoHyphens/>
              <w:snapToGrid w:val="0"/>
              <w:spacing w:before="40" w:after="40"/>
              <w:rPr>
                <w:rFonts w:eastAsia="細明體" w:cs="Segoe UI"/>
                <w:sz w:val="17"/>
                <w:lang w:eastAsia="ar-SA"/>
              </w:rPr>
            </w:pPr>
          </w:p>
        </w:tc>
        <w:tc>
          <w:tcPr>
            <w:tcW w:w="874" w:type="dxa"/>
            <w:gridSpan w:val="2"/>
            <w:tcBorders>
              <w:top w:val="single" w:sz="4" w:space="0" w:color="C0C0C0"/>
              <w:left w:val="single" w:sz="4" w:space="0" w:color="000000"/>
              <w:bottom w:val="single" w:sz="4" w:space="0" w:color="000000"/>
              <w:right w:val="single" w:sz="4" w:space="0" w:color="000000"/>
            </w:tcBorders>
            <w:shd w:val="clear" w:color="auto" w:fill="auto"/>
          </w:tcPr>
          <w:p w14:paraId="7D0595A7" w14:textId="77777777" w:rsidR="005171C5" w:rsidRPr="005171C5" w:rsidRDefault="005171C5" w:rsidP="005171C5">
            <w:pPr>
              <w:suppressAutoHyphens/>
              <w:snapToGrid w:val="0"/>
              <w:spacing w:before="40" w:after="40"/>
              <w:rPr>
                <w:rFonts w:eastAsia="細明體" w:cs="Segoe UI"/>
                <w:sz w:val="17"/>
                <w:lang w:eastAsia="ar-SA"/>
              </w:rPr>
            </w:pPr>
          </w:p>
        </w:tc>
      </w:tr>
      <w:tr w:rsidR="005171C5" w:rsidRPr="005171C5" w14:paraId="5DCE64DC" w14:textId="77777777" w:rsidTr="005171C5">
        <w:trPr>
          <w:gridAfter w:val="1"/>
          <w:wAfter w:w="20" w:type="dxa"/>
          <w:trHeight w:val="97"/>
        </w:trPr>
        <w:tc>
          <w:tcPr>
            <w:tcW w:w="13887" w:type="dxa"/>
            <w:gridSpan w:val="12"/>
            <w:tcBorders>
              <w:top w:val="single" w:sz="4" w:space="0" w:color="000000"/>
              <w:bottom w:val="single" w:sz="4" w:space="0" w:color="000000"/>
            </w:tcBorders>
            <w:shd w:val="clear" w:color="auto" w:fill="auto"/>
            <w:vAlign w:val="center"/>
          </w:tcPr>
          <w:p w14:paraId="0E513E44" w14:textId="77777777" w:rsidR="005171C5" w:rsidRPr="005171C5" w:rsidRDefault="005171C5" w:rsidP="005171C5">
            <w:pPr>
              <w:suppressAutoHyphens/>
              <w:rPr>
                <w:rFonts w:cs="Segoe UI"/>
                <w:lang w:eastAsia="ar-SA"/>
              </w:rPr>
            </w:pPr>
            <w:r w:rsidRPr="005171C5">
              <w:rPr>
                <w:rFonts w:eastAsia="細明體" w:cs="Segoe UI"/>
                <w:sz w:val="17"/>
                <w:szCs w:val="17"/>
                <w:lang w:eastAsia="ar-SA"/>
              </w:rPr>
              <w:t xml:space="preserve">^ </w:t>
            </w:r>
            <w:r w:rsidRPr="005171C5">
              <w:rPr>
                <w:rFonts w:eastAsia="細明體" w:cs="Segoe UI" w:hint="eastAsia"/>
                <w:sz w:val="17"/>
                <w:szCs w:val="17"/>
                <w:lang w:eastAsia="ar-SA"/>
              </w:rPr>
              <w:t>使用優惠風險權重。</w:t>
            </w:r>
          </w:p>
        </w:tc>
      </w:tr>
    </w:tbl>
    <w:p w14:paraId="52002190" w14:textId="77777777" w:rsidR="005171C5" w:rsidRPr="005171C5" w:rsidRDefault="005171C5" w:rsidP="005171C5">
      <w:pPr>
        <w:suppressAutoHyphens/>
        <w:spacing w:before="40" w:after="40"/>
        <w:rPr>
          <w:rFonts w:eastAsia="細明體" w:cs="Segoe UI"/>
          <w:b/>
          <w:sz w:val="17"/>
          <w:lang w:eastAsia="ar-SA"/>
        </w:rPr>
      </w:pPr>
    </w:p>
    <w:p w14:paraId="1134A3D7" w14:textId="77777777" w:rsidR="005171C5" w:rsidRPr="005171C5" w:rsidRDefault="005171C5" w:rsidP="005171C5">
      <w:pPr>
        <w:suppressAutoHyphens/>
        <w:spacing w:before="60" w:after="120"/>
        <w:jc w:val="both"/>
        <w:rPr>
          <w:rFonts w:eastAsia="細明體" w:cs="Segoe UI"/>
          <w:sz w:val="22"/>
          <w:lang w:eastAsia="ar-SA"/>
        </w:rPr>
      </w:pPr>
    </w:p>
    <w:tbl>
      <w:tblPr>
        <w:tblW w:w="0" w:type="auto"/>
        <w:tblInd w:w="108" w:type="dxa"/>
        <w:tblLayout w:type="fixed"/>
        <w:tblLook w:val="0000" w:firstRow="0" w:lastRow="0" w:firstColumn="0" w:lastColumn="0" w:noHBand="0" w:noVBand="0"/>
      </w:tblPr>
      <w:tblGrid>
        <w:gridCol w:w="567"/>
        <w:gridCol w:w="13345"/>
      </w:tblGrid>
      <w:tr w:rsidR="005171C5" w:rsidRPr="005171C5" w14:paraId="239981EE" w14:textId="77777777" w:rsidTr="005171C5">
        <w:trPr>
          <w:cantSplit/>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B7E33E4" w14:textId="77777777" w:rsidR="005171C5" w:rsidRPr="005171C5" w:rsidRDefault="005171C5" w:rsidP="005171C5">
            <w:pPr>
              <w:keepNext/>
              <w:suppressAutoHyphens/>
              <w:spacing w:before="40" w:after="40"/>
              <w:jc w:val="both"/>
              <w:rPr>
                <w:rFonts w:cs="Segoe UI"/>
                <w:sz w:val="15"/>
                <w:lang w:eastAsia="ar-SA"/>
              </w:rPr>
            </w:pPr>
            <w:r w:rsidRPr="005171C5">
              <w:rPr>
                <w:rFonts w:eastAsia="細明體" w:cs="Segoe UI" w:hint="eastAsia"/>
                <w:b/>
                <w:sz w:val="17"/>
                <w:szCs w:val="17"/>
                <w:lang w:eastAsia="ar-SA"/>
              </w:rPr>
              <w:t>註釋</w:t>
            </w:r>
          </w:p>
        </w:tc>
      </w:tr>
      <w:tr w:rsidR="005171C5" w:rsidRPr="005171C5" w14:paraId="3153AF5A" w14:textId="77777777" w:rsidTr="005171C5">
        <w:trPr>
          <w:cantSplit/>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1A419B" w14:textId="77777777" w:rsidR="005171C5" w:rsidRPr="005171C5" w:rsidRDefault="005171C5" w:rsidP="005171C5">
            <w:pPr>
              <w:keepNext/>
              <w:suppressAutoHyphens/>
              <w:spacing w:before="40" w:after="40"/>
              <w:jc w:val="both"/>
              <w:rPr>
                <w:rFonts w:cs="Segoe UI"/>
                <w:sz w:val="15"/>
                <w:lang w:eastAsia="ar-SA"/>
              </w:rPr>
            </w:pPr>
            <w:r w:rsidRPr="005171C5">
              <w:rPr>
                <w:rFonts w:eastAsia="細明體" w:cs="Segoe UI" w:hint="eastAsia"/>
                <w:b/>
                <w:sz w:val="17"/>
                <w:szCs w:val="17"/>
                <w:lang w:eastAsia="ar-SA"/>
              </w:rPr>
              <w:t>欄</w:t>
            </w:r>
          </w:p>
        </w:tc>
      </w:tr>
      <w:tr w:rsidR="005171C5" w:rsidRPr="005171C5" w14:paraId="2A5FDC8D" w14:textId="77777777" w:rsidTr="005171C5">
        <w:trPr>
          <w:cantSplit/>
        </w:trPr>
        <w:tc>
          <w:tcPr>
            <w:tcW w:w="567" w:type="dxa"/>
            <w:tcBorders>
              <w:top w:val="single" w:sz="4" w:space="0" w:color="000000"/>
              <w:left w:val="single" w:sz="4" w:space="0" w:color="000000"/>
              <w:bottom w:val="single" w:sz="4" w:space="0" w:color="000000"/>
            </w:tcBorders>
            <w:shd w:val="clear" w:color="auto" w:fill="auto"/>
          </w:tcPr>
          <w:p w14:paraId="727AD394" w14:textId="77777777" w:rsidR="005171C5" w:rsidRPr="005171C5" w:rsidRDefault="005171C5" w:rsidP="005171C5">
            <w:pPr>
              <w:keepNext/>
              <w:suppressAutoHyphens/>
              <w:spacing w:before="40" w:after="40"/>
              <w:jc w:val="both"/>
              <w:rPr>
                <w:rFonts w:eastAsia="細明體" w:cs="Segoe UI"/>
                <w:i/>
                <w:iCs/>
                <w:color w:val="000000"/>
                <w:sz w:val="15"/>
                <w:szCs w:val="17"/>
                <w:lang w:eastAsia="ar-SA"/>
              </w:rPr>
            </w:pPr>
            <w:r w:rsidRPr="005171C5">
              <w:rPr>
                <w:rFonts w:eastAsia="細明體" w:cs="Segoe UI"/>
                <w:sz w:val="17"/>
                <w:szCs w:val="17"/>
                <w:lang w:eastAsia="ar-SA"/>
              </w:rPr>
              <w:t>(a)</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6D13C455" w14:textId="1E75E89C" w:rsidR="005171C5" w:rsidRPr="005171C5" w:rsidRDefault="005171C5" w:rsidP="005171C5">
            <w:pPr>
              <w:keepNext/>
              <w:suppressAutoHyphens/>
              <w:spacing w:before="40" w:after="40"/>
              <w:jc w:val="both"/>
              <w:rPr>
                <w:rFonts w:cs="Segoe UI"/>
                <w:sz w:val="17"/>
                <w:lang w:eastAsia="ar-SA"/>
              </w:rPr>
            </w:pPr>
            <w:r w:rsidRPr="005171C5">
              <w:rPr>
                <w:rFonts w:eastAsia="細明體" w:cs="Segoe UI" w:hint="eastAsia"/>
                <w:i/>
                <w:iCs/>
                <w:color w:val="000000"/>
                <w:sz w:val="17"/>
                <w:szCs w:val="17"/>
                <w:lang w:eastAsia="ar-SA"/>
              </w:rPr>
              <w:t>資產負債表內</w:t>
            </w:r>
            <w:r w:rsidR="0057392C" w:rsidRPr="0057392C">
              <w:rPr>
                <w:rFonts w:eastAsia="細明體" w:cs="Segoe UI" w:hint="eastAsia"/>
                <w:i/>
                <w:iCs/>
                <w:color w:val="000000"/>
                <w:sz w:val="17"/>
                <w:szCs w:val="17"/>
                <w:lang w:eastAsia="ar-SA"/>
              </w:rPr>
              <w:t>風險承擔</w:t>
            </w:r>
            <w:r w:rsidRPr="005171C5">
              <w:rPr>
                <w:rFonts w:eastAsia="細明體" w:cs="Segoe UI" w:hint="eastAsia"/>
                <w:i/>
                <w:iCs/>
                <w:color w:val="000000"/>
                <w:sz w:val="17"/>
                <w:szCs w:val="17"/>
                <w:lang w:eastAsia="ar-SA"/>
              </w:rPr>
              <w:t>數額</w:t>
            </w:r>
            <w:r w:rsidRPr="005171C5">
              <w:rPr>
                <w:rFonts w:eastAsia="細明體" w:cs="Segoe UI" w:hint="eastAsia"/>
                <w:iCs/>
                <w:color w:val="000000"/>
                <w:sz w:val="17"/>
                <w:szCs w:val="17"/>
                <w:lang w:eastAsia="ar-SA"/>
              </w:rPr>
              <w:t>：監管綜合範圍下的風險承擔的帳面值（扣除備抵及撇帳）。</w:t>
            </w:r>
          </w:p>
        </w:tc>
      </w:tr>
      <w:tr w:rsidR="005171C5" w:rsidRPr="005171C5" w14:paraId="354CEB58" w14:textId="77777777" w:rsidTr="005171C5">
        <w:trPr>
          <w:cantSplit/>
        </w:trPr>
        <w:tc>
          <w:tcPr>
            <w:tcW w:w="567" w:type="dxa"/>
            <w:tcBorders>
              <w:top w:val="single" w:sz="4" w:space="0" w:color="000000"/>
              <w:left w:val="single" w:sz="4" w:space="0" w:color="000000"/>
              <w:bottom w:val="single" w:sz="4" w:space="0" w:color="000000"/>
            </w:tcBorders>
            <w:shd w:val="clear" w:color="auto" w:fill="auto"/>
          </w:tcPr>
          <w:p w14:paraId="3A9CE7D0" w14:textId="77777777" w:rsidR="005171C5" w:rsidRPr="005171C5" w:rsidRDefault="005171C5" w:rsidP="005171C5">
            <w:pPr>
              <w:keepNext/>
              <w:suppressAutoHyphens/>
              <w:spacing w:before="40" w:after="40"/>
              <w:jc w:val="both"/>
              <w:rPr>
                <w:rFonts w:eastAsia="細明體" w:cs="Segoe UI"/>
                <w:i/>
                <w:iCs/>
                <w:color w:val="000000"/>
                <w:sz w:val="17"/>
                <w:szCs w:val="17"/>
                <w:lang w:eastAsia="ar-SA"/>
              </w:rPr>
            </w:pPr>
            <w:r w:rsidRPr="005171C5">
              <w:rPr>
                <w:rFonts w:eastAsia="細明體" w:cs="Segoe UI"/>
                <w:sz w:val="17"/>
                <w:szCs w:val="17"/>
                <w:lang w:eastAsia="ar-SA"/>
              </w:rPr>
              <w:t>(b)</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3075E131" w14:textId="01A0424A" w:rsidR="005171C5" w:rsidRPr="005171C5" w:rsidRDefault="005171C5" w:rsidP="005171C5">
            <w:pPr>
              <w:keepNext/>
              <w:suppressAutoHyphens/>
              <w:spacing w:before="40" w:after="40"/>
              <w:jc w:val="both"/>
              <w:rPr>
                <w:rFonts w:cs="Segoe UI"/>
                <w:sz w:val="15"/>
                <w:lang w:eastAsia="ar-SA"/>
              </w:rPr>
            </w:pPr>
            <w:r w:rsidRPr="005171C5">
              <w:rPr>
                <w:rFonts w:eastAsia="細明體" w:cs="Segoe UI" w:hint="eastAsia"/>
                <w:i/>
                <w:iCs/>
                <w:color w:val="000000"/>
                <w:sz w:val="17"/>
                <w:szCs w:val="17"/>
                <w:lang w:eastAsia="ar-SA"/>
              </w:rPr>
              <w:t>資產負債表外</w:t>
            </w:r>
            <w:r w:rsidR="0057392C" w:rsidRPr="0057392C">
              <w:rPr>
                <w:rFonts w:eastAsia="細明體" w:cs="Segoe UI" w:hint="eastAsia"/>
                <w:i/>
                <w:iCs/>
                <w:color w:val="000000"/>
                <w:sz w:val="17"/>
                <w:szCs w:val="17"/>
                <w:lang w:eastAsia="ar-SA"/>
              </w:rPr>
              <w:t>風險承擔</w:t>
            </w:r>
            <w:r w:rsidRPr="005171C5">
              <w:rPr>
                <w:rFonts w:eastAsia="細明體" w:cs="Segoe UI" w:hint="eastAsia"/>
                <w:i/>
                <w:iCs/>
                <w:color w:val="000000"/>
                <w:sz w:val="17"/>
                <w:szCs w:val="17"/>
                <w:lang w:eastAsia="ar-SA"/>
              </w:rPr>
              <w:t>數額</w:t>
            </w:r>
            <w:r w:rsidRPr="005171C5">
              <w:rPr>
                <w:rFonts w:eastAsia="細明體" w:cs="Segoe UI" w:hint="eastAsia"/>
                <w:iCs/>
                <w:color w:val="000000"/>
                <w:sz w:val="17"/>
                <w:szCs w:val="17"/>
                <w:lang w:eastAsia="ar-SA"/>
              </w:rPr>
              <w:t>：</w:t>
            </w:r>
            <w:r w:rsidRPr="005171C5">
              <w:rPr>
                <w:rFonts w:eastAsia="細明體" w:cs="Segoe UI" w:hint="eastAsia"/>
                <w:iCs/>
                <w:color w:val="000000"/>
                <w:sz w:val="17"/>
                <w:szCs w:val="17"/>
                <w:lang w:eastAsia="zh-TW"/>
              </w:rPr>
              <w:t>未將</w:t>
            </w:r>
            <w:r w:rsidRPr="005171C5">
              <w:rPr>
                <w:rFonts w:eastAsia="細明體" w:cs="Segoe UI" w:hint="eastAsia"/>
                <w:iCs/>
                <w:color w:val="000000"/>
                <w:sz w:val="17"/>
                <w:szCs w:val="17"/>
                <w:lang w:eastAsia="zh-TW"/>
              </w:rPr>
              <w:t>CCF</w:t>
            </w:r>
            <w:r w:rsidRPr="005171C5">
              <w:rPr>
                <w:rFonts w:eastAsia="細明體" w:cs="Segoe UI" w:hint="eastAsia"/>
                <w:iCs/>
                <w:color w:val="000000"/>
                <w:sz w:val="17"/>
                <w:szCs w:val="17"/>
                <w:lang w:eastAsia="ar-SA"/>
              </w:rPr>
              <w:t>及任何認可減低信用風險措施的效果</w:t>
            </w:r>
            <w:r w:rsidRPr="005171C5">
              <w:rPr>
                <w:rFonts w:eastAsia="細明體" w:hAnsi="Calibri" w:cs="Segoe UI" w:hint="eastAsia"/>
                <w:bCs/>
                <w:sz w:val="17"/>
                <w:szCs w:val="17"/>
                <w:lang w:eastAsia="zh-TW"/>
              </w:rPr>
              <w:t>計算在內</w:t>
            </w:r>
            <w:r w:rsidRPr="005171C5">
              <w:rPr>
                <w:rFonts w:eastAsia="細明體" w:cs="Segoe UI" w:hint="eastAsia"/>
                <w:iCs/>
                <w:color w:val="000000"/>
                <w:sz w:val="17"/>
                <w:szCs w:val="17"/>
                <w:lang w:eastAsia="ar-SA"/>
              </w:rPr>
              <w:t>的風險承擔帳面值。</w:t>
            </w:r>
          </w:p>
        </w:tc>
      </w:tr>
      <w:tr w:rsidR="00304959" w:rsidRPr="005171C5" w14:paraId="4B2C3BE2" w14:textId="77777777" w:rsidTr="005171C5">
        <w:trPr>
          <w:cantSplit/>
        </w:trPr>
        <w:tc>
          <w:tcPr>
            <w:tcW w:w="567" w:type="dxa"/>
            <w:tcBorders>
              <w:top w:val="single" w:sz="4" w:space="0" w:color="000000"/>
              <w:left w:val="single" w:sz="4" w:space="0" w:color="000000"/>
              <w:bottom w:val="single" w:sz="4" w:space="0" w:color="000000"/>
            </w:tcBorders>
            <w:shd w:val="clear" w:color="auto" w:fill="auto"/>
          </w:tcPr>
          <w:p w14:paraId="62ED60F0" w14:textId="77777777" w:rsidR="00304959" w:rsidRPr="005171C5" w:rsidRDefault="00304959" w:rsidP="00304959">
            <w:pPr>
              <w:keepNext/>
              <w:suppressAutoHyphens/>
              <w:spacing w:before="40" w:after="40"/>
              <w:jc w:val="both"/>
              <w:rPr>
                <w:rFonts w:eastAsia="細明體" w:cs="Segoe UI"/>
                <w:i/>
                <w:iCs/>
                <w:color w:val="000000"/>
                <w:sz w:val="17"/>
                <w:szCs w:val="17"/>
                <w:lang w:eastAsia="ar-SA"/>
              </w:rPr>
            </w:pPr>
            <w:r w:rsidRPr="005171C5">
              <w:rPr>
                <w:rFonts w:eastAsia="細明體" w:cs="Segoe UI"/>
                <w:sz w:val="17"/>
                <w:szCs w:val="17"/>
                <w:lang w:eastAsia="ar-SA"/>
              </w:rPr>
              <w:t>(c)</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47ACCC73" w14:textId="3C677CD4" w:rsidR="00304959" w:rsidRPr="005171C5" w:rsidRDefault="00304959" w:rsidP="00BC2A77">
            <w:pPr>
              <w:keepNext/>
              <w:suppressAutoHyphens/>
              <w:spacing w:before="40" w:after="40"/>
              <w:jc w:val="both"/>
              <w:rPr>
                <w:rFonts w:cs="Segoe UI"/>
                <w:sz w:val="15"/>
                <w:lang w:eastAsia="ar-SA"/>
              </w:rPr>
            </w:pPr>
            <w:r>
              <w:rPr>
                <w:rFonts w:eastAsia="細明體" w:hint="eastAsia"/>
                <w:i/>
                <w:iCs/>
                <w:color w:val="000000"/>
                <w:sz w:val="17"/>
                <w:szCs w:val="17"/>
                <w:lang w:eastAsia="zh-TW"/>
              </w:rPr>
              <w:t>監管風險權重</w:t>
            </w:r>
            <w:r>
              <w:rPr>
                <w:rFonts w:eastAsia="細明體" w:hint="eastAsia"/>
                <w:iCs/>
                <w:color w:val="000000"/>
                <w:sz w:val="17"/>
                <w:szCs w:val="17"/>
                <w:lang w:eastAsia="zh-TW"/>
              </w:rPr>
              <w:t>：按照《資本規則》第</w:t>
            </w:r>
            <w:r>
              <w:rPr>
                <w:rFonts w:eastAsia="細明體"/>
                <w:iCs/>
                <w:color w:val="000000"/>
                <w:sz w:val="17"/>
                <w:szCs w:val="17"/>
                <w:lang w:eastAsia="zh-TW"/>
              </w:rPr>
              <w:t>6</w:t>
            </w:r>
            <w:r>
              <w:rPr>
                <w:rFonts w:eastAsia="細明體" w:hint="eastAsia"/>
                <w:iCs/>
                <w:color w:val="000000"/>
                <w:sz w:val="17"/>
                <w:szCs w:val="17"/>
                <w:lang w:eastAsia="zh-TW"/>
              </w:rPr>
              <w:t>部第</w:t>
            </w:r>
            <w:r>
              <w:rPr>
                <w:rFonts w:eastAsia="細明體"/>
                <w:iCs/>
                <w:color w:val="000000"/>
                <w:sz w:val="17"/>
                <w:szCs w:val="17"/>
                <w:lang w:eastAsia="zh-TW"/>
              </w:rPr>
              <w:t>5</w:t>
            </w:r>
            <w:r>
              <w:rPr>
                <w:rFonts w:eastAsia="細明體" w:hint="eastAsia"/>
                <w:iCs/>
                <w:color w:val="000000"/>
                <w:sz w:val="17"/>
                <w:szCs w:val="17"/>
                <w:lang w:eastAsia="zh-TW"/>
              </w:rPr>
              <w:t>分部（監管分類準則計算法下的專門性借貸）</w:t>
            </w:r>
            <w:r>
              <w:rPr>
                <w:rFonts w:eastAsia="細明體" w:hint="eastAsia"/>
                <w:iCs/>
                <w:color w:val="000000"/>
                <w:sz w:val="17"/>
                <w:szCs w:val="17"/>
                <w:lang w:eastAsia="zh-HK"/>
              </w:rPr>
              <w:t>配予相應監管評級</w:t>
            </w:r>
            <w:r w:rsidR="00BC2A77">
              <w:rPr>
                <w:rFonts w:eastAsia="細明體" w:hint="eastAsia"/>
                <w:iCs/>
                <w:color w:val="000000"/>
                <w:sz w:val="17"/>
                <w:szCs w:val="17"/>
                <w:lang w:eastAsia="zh-HK"/>
              </w:rPr>
              <w:t>等</w:t>
            </w:r>
            <w:r>
              <w:rPr>
                <w:rFonts w:eastAsia="細明體" w:hint="eastAsia"/>
                <w:iCs/>
                <w:color w:val="000000"/>
                <w:sz w:val="17"/>
                <w:szCs w:val="17"/>
                <w:lang w:eastAsia="zh-HK"/>
              </w:rPr>
              <w:t>級的</w:t>
            </w:r>
            <w:r>
              <w:rPr>
                <w:rFonts w:eastAsia="細明體" w:hint="eastAsia"/>
                <w:iCs/>
                <w:color w:val="000000"/>
                <w:sz w:val="17"/>
                <w:szCs w:val="17"/>
                <w:lang w:eastAsia="zh-TW"/>
              </w:rPr>
              <w:t>風險權重。表內的權重值不得更改。</w:t>
            </w:r>
          </w:p>
        </w:tc>
      </w:tr>
      <w:tr w:rsidR="00304959" w:rsidRPr="005171C5" w14:paraId="65DE8F9D" w14:textId="77777777" w:rsidTr="005171C5">
        <w:trPr>
          <w:cantSplit/>
        </w:trPr>
        <w:tc>
          <w:tcPr>
            <w:tcW w:w="567" w:type="dxa"/>
            <w:tcBorders>
              <w:top w:val="single" w:sz="4" w:space="0" w:color="000000"/>
              <w:left w:val="single" w:sz="4" w:space="0" w:color="000000"/>
              <w:bottom w:val="single" w:sz="4" w:space="0" w:color="000000"/>
            </w:tcBorders>
            <w:shd w:val="clear" w:color="auto" w:fill="auto"/>
          </w:tcPr>
          <w:p w14:paraId="7B021A59" w14:textId="77777777" w:rsidR="00304959" w:rsidRPr="005171C5" w:rsidRDefault="00304959" w:rsidP="00304959">
            <w:pPr>
              <w:keepNext/>
              <w:suppressAutoHyphens/>
              <w:spacing w:before="40" w:after="40"/>
              <w:jc w:val="both"/>
              <w:rPr>
                <w:rFonts w:eastAsia="細明體" w:cs="Segoe UI"/>
                <w:i/>
                <w:iCs/>
                <w:color w:val="000000"/>
                <w:sz w:val="17"/>
                <w:szCs w:val="17"/>
                <w:lang w:eastAsia="ar-SA"/>
              </w:rPr>
            </w:pPr>
            <w:r w:rsidRPr="005171C5">
              <w:rPr>
                <w:rFonts w:eastAsia="細明體" w:cs="Segoe UI"/>
                <w:sz w:val="17"/>
                <w:szCs w:val="17"/>
                <w:lang w:eastAsia="ar-SA"/>
              </w:rPr>
              <w:t>(d)</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1AB9D2F4" w14:textId="71F3E19B" w:rsidR="00304959" w:rsidRPr="005171C5" w:rsidRDefault="00304959" w:rsidP="00304959">
            <w:pPr>
              <w:keepNext/>
              <w:suppressAutoHyphens/>
              <w:spacing w:before="40" w:after="40"/>
              <w:jc w:val="both"/>
              <w:rPr>
                <w:rFonts w:cs="Segoe UI"/>
                <w:sz w:val="15"/>
                <w:lang w:eastAsia="ar-SA"/>
              </w:rPr>
            </w:pPr>
            <w:r>
              <w:rPr>
                <w:rFonts w:eastAsia="細明體"/>
                <w:i/>
                <w:iCs/>
                <w:color w:val="000000"/>
                <w:sz w:val="17"/>
                <w:szCs w:val="17"/>
                <w:lang w:eastAsia="zh-TW"/>
              </w:rPr>
              <w:t>EAD</w:t>
            </w:r>
            <w:r w:rsidRPr="00F30277">
              <w:rPr>
                <w:rFonts w:eastAsia="細明體" w:hint="eastAsia"/>
                <w:i/>
                <w:sz w:val="17"/>
                <w:szCs w:val="17"/>
                <w:lang w:eastAsia="zh-TW"/>
              </w:rPr>
              <w:t>數額</w:t>
            </w:r>
            <w:r>
              <w:rPr>
                <w:rFonts w:eastAsia="細明體" w:hint="eastAsia"/>
                <w:iCs/>
                <w:color w:val="000000"/>
                <w:sz w:val="17"/>
                <w:szCs w:val="17"/>
                <w:lang w:eastAsia="zh-TW"/>
              </w:rPr>
              <w:t>：與計算資本規定相關、已將減低信用風險措施的效果及</w:t>
            </w:r>
            <w:r>
              <w:rPr>
                <w:rFonts w:eastAsia="細明體"/>
                <w:iCs/>
                <w:color w:val="000000"/>
                <w:sz w:val="17"/>
                <w:szCs w:val="17"/>
                <w:lang w:eastAsia="zh-TW"/>
              </w:rPr>
              <w:t>CCF</w:t>
            </w:r>
            <w:r>
              <w:rPr>
                <w:rFonts w:eastAsia="細明體" w:hint="eastAsia"/>
                <w:bCs/>
                <w:sz w:val="17"/>
                <w:szCs w:val="17"/>
                <w:lang w:eastAsia="zh-TW"/>
              </w:rPr>
              <w:t>計算在內</w:t>
            </w:r>
            <w:r>
              <w:rPr>
                <w:rFonts w:eastAsia="細明體" w:hint="eastAsia"/>
                <w:iCs/>
                <w:color w:val="000000"/>
                <w:sz w:val="17"/>
                <w:szCs w:val="17"/>
                <w:lang w:eastAsia="zh-TW"/>
              </w:rPr>
              <w:t>的數額。就高波動性商業地產以外的專門性借貸而言，認可機構應</w:t>
            </w:r>
            <w:r>
              <w:rPr>
                <w:rFonts w:eastAsia="細明體" w:hint="eastAsia"/>
                <w:iCs/>
                <w:color w:val="000000"/>
                <w:sz w:val="17"/>
                <w:szCs w:val="17"/>
                <w:lang w:eastAsia="zh-HK"/>
              </w:rPr>
              <w:t>提供以下各項的</w:t>
            </w:r>
            <w:r>
              <w:rPr>
                <w:rFonts w:eastAsia="細明體" w:hint="eastAsia"/>
                <w:iCs/>
                <w:color w:val="000000"/>
                <w:sz w:val="17"/>
                <w:szCs w:val="17"/>
                <w:lang w:eastAsia="zh-TW"/>
              </w:rPr>
              <w:t>風險承擔數額：</w:t>
            </w:r>
            <w:r>
              <w:rPr>
                <w:rFonts w:eastAsia="細明體"/>
                <w:iCs/>
                <w:color w:val="000000"/>
                <w:sz w:val="17"/>
                <w:szCs w:val="17"/>
                <w:lang w:eastAsia="zh-TW"/>
              </w:rPr>
              <w:t xml:space="preserve"> (d)(</w:t>
            </w:r>
            <w:proofErr w:type="spellStart"/>
            <w:r>
              <w:rPr>
                <w:rFonts w:eastAsia="細明體"/>
                <w:iCs/>
                <w:color w:val="000000"/>
                <w:sz w:val="17"/>
                <w:szCs w:val="17"/>
                <w:lang w:eastAsia="zh-TW"/>
              </w:rPr>
              <w:t>i</w:t>
            </w:r>
            <w:proofErr w:type="spellEnd"/>
            <w:r>
              <w:rPr>
                <w:rFonts w:eastAsia="細明體"/>
                <w:iCs/>
                <w:color w:val="000000"/>
                <w:sz w:val="17"/>
                <w:szCs w:val="17"/>
                <w:lang w:eastAsia="zh-TW"/>
              </w:rPr>
              <w:t xml:space="preserve">) </w:t>
            </w:r>
            <w:r>
              <w:rPr>
                <w:rFonts w:eastAsia="細明體"/>
                <w:i/>
                <w:iCs/>
                <w:color w:val="000000"/>
                <w:sz w:val="17"/>
                <w:szCs w:val="17"/>
                <w:lang w:eastAsia="zh-TW"/>
              </w:rPr>
              <w:t>PF</w:t>
            </w:r>
            <w:r>
              <w:rPr>
                <w:rFonts w:eastAsia="細明體"/>
                <w:iCs/>
                <w:color w:val="000000"/>
                <w:sz w:val="17"/>
                <w:szCs w:val="17"/>
                <w:lang w:eastAsia="zh-TW"/>
              </w:rPr>
              <w:t xml:space="preserve"> – </w:t>
            </w:r>
            <w:r>
              <w:rPr>
                <w:rFonts w:eastAsia="細明體" w:hint="eastAsia"/>
                <w:iCs/>
                <w:color w:val="000000"/>
                <w:sz w:val="17"/>
                <w:szCs w:val="17"/>
                <w:lang w:eastAsia="zh-TW"/>
              </w:rPr>
              <w:t>項目融資；</w:t>
            </w:r>
            <w:r>
              <w:rPr>
                <w:rFonts w:eastAsia="細明體"/>
                <w:iCs/>
                <w:color w:val="000000"/>
                <w:sz w:val="17"/>
                <w:szCs w:val="17"/>
                <w:lang w:eastAsia="zh-TW"/>
              </w:rPr>
              <w:t xml:space="preserve">(d)(ii) </w:t>
            </w:r>
            <w:r>
              <w:rPr>
                <w:rFonts w:eastAsia="細明體"/>
                <w:i/>
                <w:iCs/>
                <w:color w:val="000000"/>
                <w:sz w:val="17"/>
                <w:szCs w:val="17"/>
                <w:lang w:eastAsia="zh-TW"/>
              </w:rPr>
              <w:t>OF</w:t>
            </w:r>
            <w:r>
              <w:rPr>
                <w:rFonts w:eastAsia="細明體"/>
                <w:iCs/>
                <w:color w:val="000000"/>
                <w:sz w:val="17"/>
                <w:szCs w:val="17"/>
                <w:lang w:eastAsia="zh-TW"/>
              </w:rPr>
              <w:t xml:space="preserve"> – </w:t>
            </w:r>
            <w:r>
              <w:rPr>
                <w:rFonts w:eastAsia="細明體" w:hint="eastAsia"/>
                <w:iCs/>
                <w:color w:val="000000"/>
                <w:sz w:val="17"/>
                <w:szCs w:val="17"/>
                <w:lang w:eastAsia="zh-TW"/>
              </w:rPr>
              <w:t>物品融資；</w:t>
            </w:r>
            <w:r>
              <w:rPr>
                <w:rFonts w:eastAsia="細明體"/>
                <w:iCs/>
                <w:color w:val="000000"/>
                <w:sz w:val="17"/>
                <w:szCs w:val="17"/>
                <w:lang w:eastAsia="zh-TW"/>
              </w:rPr>
              <w:t xml:space="preserve">(d)(iii) </w:t>
            </w:r>
            <w:r>
              <w:rPr>
                <w:rFonts w:eastAsia="細明體"/>
                <w:i/>
                <w:iCs/>
                <w:color w:val="000000"/>
                <w:sz w:val="17"/>
                <w:szCs w:val="17"/>
                <w:lang w:eastAsia="zh-TW"/>
              </w:rPr>
              <w:t>CF</w:t>
            </w:r>
            <w:r>
              <w:rPr>
                <w:rFonts w:eastAsia="細明體"/>
                <w:iCs/>
                <w:color w:val="000000"/>
                <w:sz w:val="17"/>
                <w:szCs w:val="17"/>
                <w:lang w:eastAsia="zh-TW"/>
              </w:rPr>
              <w:t xml:space="preserve"> – </w:t>
            </w:r>
            <w:r>
              <w:rPr>
                <w:rFonts w:eastAsia="細明體" w:hint="eastAsia"/>
                <w:iCs/>
                <w:color w:val="000000"/>
                <w:sz w:val="17"/>
                <w:szCs w:val="17"/>
                <w:lang w:eastAsia="zh-TW"/>
              </w:rPr>
              <w:t>商品融資；及</w:t>
            </w:r>
            <w:r>
              <w:rPr>
                <w:rFonts w:eastAsia="細明體"/>
                <w:iCs/>
                <w:color w:val="000000"/>
                <w:sz w:val="17"/>
                <w:szCs w:val="17"/>
                <w:lang w:eastAsia="zh-TW"/>
              </w:rPr>
              <w:t xml:space="preserve">(d)(iv) </w:t>
            </w:r>
            <w:r>
              <w:rPr>
                <w:rFonts w:eastAsia="細明體"/>
                <w:i/>
                <w:iCs/>
                <w:color w:val="000000"/>
                <w:sz w:val="17"/>
                <w:szCs w:val="17"/>
                <w:lang w:eastAsia="zh-TW"/>
              </w:rPr>
              <w:t>IPRE</w:t>
            </w:r>
            <w:r>
              <w:rPr>
                <w:rFonts w:eastAsia="細明體"/>
                <w:iCs/>
                <w:color w:val="000000"/>
                <w:sz w:val="17"/>
                <w:szCs w:val="17"/>
                <w:lang w:eastAsia="zh-TW"/>
              </w:rPr>
              <w:t xml:space="preserve"> – </w:t>
            </w:r>
            <w:r>
              <w:rPr>
                <w:rFonts w:eastAsia="細明體" w:hint="eastAsia"/>
                <w:iCs/>
                <w:color w:val="000000"/>
                <w:sz w:val="17"/>
                <w:szCs w:val="17"/>
                <w:lang w:eastAsia="zh-TW"/>
              </w:rPr>
              <w:t>具收益地產。</w:t>
            </w:r>
            <w:r>
              <w:rPr>
                <w:rFonts w:eastAsia="細明體"/>
                <w:iCs/>
                <w:color w:val="000000"/>
                <w:sz w:val="17"/>
                <w:szCs w:val="17"/>
                <w:lang w:eastAsia="zh-TW"/>
              </w:rPr>
              <w:t>(d)(</w:t>
            </w:r>
            <w:proofErr w:type="gramStart"/>
            <w:r>
              <w:rPr>
                <w:rFonts w:eastAsia="細明體"/>
                <w:iCs/>
                <w:color w:val="000000"/>
                <w:sz w:val="17"/>
                <w:szCs w:val="17"/>
                <w:lang w:eastAsia="zh-TW"/>
              </w:rPr>
              <w:t>v)</w:t>
            </w:r>
            <w:r>
              <w:rPr>
                <w:rFonts w:eastAsia="細明體" w:hint="eastAsia"/>
                <w:iCs/>
                <w:color w:val="000000"/>
                <w:sz w:val="17"/>
                <w:szCs w:val="17"/>
                <w:lang w:eastAsia="zh-TW"/>
              </w:rPr>
              <w:t>欄為</w:t>
            </w:r>
            <w:proofErr w:type="gramEnd"/>
            <w:r>
              <w:rPr>
                <w:rFonts w:eastAsia="細明體"/>
                <w:iCs/>
                <w:color w:val="000000"/>
                <w:sz w:val="17"/>
                <w:szCs w:val="17"/>
                <w:lang w:eastAsia="zh-TW"/>
              </w:rPr>
              <w:t>(d)(</w:t>
            </w:r>
            <w:proofErr w:type="spellStart"/>
            <w:r>
              <w:rPr>
                <w:rFonts w:eastAsia="細明體"/>
                <w:iCs/>
                <w:color w:val="000000"/>
                <w:sz w:val="17"/>
                <w:szCs w:val="17"/>
                <w:lang w:eastAsia="zh-TW"/>
              </w:rPr>
              <w:t>i</w:t>
            </w:r>
            <w:proofErr w:type="spellEnd"/>
            <w:r>
              <w:rPr>
                <w:rFonts w:eastAsia="細明體"/>
                <w:iCs/>
                <w:color w:val="000000"/>
                <w:sz w:val="17"/>
                <w:szCs w:val="17"/>
                <w:lang w:eastAsia="zh-TW"/>
              </w:rPr>
              <w:t>)</w:t>
            </w:r>
            <w:r>
              <w:rPr>
                <w:rFonts w:eastAsia="細明體" w:hint="eastAsia"/>
                <w:iCs/>
                <w:color w:val="000000"/>
                <w:sz w:val="17"/>
                <w:szCs w:val="17"/>
                <w:lang w:eastAsia="zh-TW"/>
              </w:rPr>
              <w:t>至</w:t>
            </w:r>
            <w:r>
              <w:rPr>
                <w:rFonts w:eastAsia="細明體"/>
                <w:iCs/>
                <w:color w:val="000000"/>
                <w:sz w:val="17"/>
                <w:szCs w:val="17"/>
                <w:lang w:eastAsia="zh-TW"/>
              </w:rPr>
              <w:t>(d)(iv)</w:t>
            </w:r>
            <w:r>
              <w:rPr>
                <w:rFonts w:eastAsia="細明體" w:hint="eastAsia"/>
                <w:iCs/>
                <w:color w:val="000000"/>
                <w:sz w:val="17"/>
                <w:szCs w:val="17"/>
                <w:lang w:eastAsia="zh-TW"/>
              </w:rPr>
              <w:t>欄所填報的值的總和。</w:t>
            </w:r>
          </w:p>
        </w:tc>
      </w:tr>
      <w:tr w:rsidR="00304959" w:rsidRPr="005171C5" w14:paraId="7F3DB63D" w14:textId="77777777" w:rsidTr="005171C5">
        <w:trPr>
          <w:cantSplit/>
        </w:trPr>
        <w:tc>
          <w:tcPr>
            <w:tcW w:w="567" w:type="dxa"/>
            <w:tcBorders>
              <w:top w:val="single" w:sz="4" w:space="0" w:color="000000"/>
              <w:left w:val="single" w:sz="4" w:space="0" w:color="000000"/>
              <w:bottom w:val="single" w:sz="4" w:space="0" w:color="000000"/>
            </w:tcBorders>
            <w:shd w:val="clear" w:color="auto" w:fill="auto"/>
          </w:tcPr>
          <w:p w14:paraId="263863FC" w14:textId="77777777" w:rsidR="00304959" w:rsidRPr="005171C5" w:rsidRDefault="00304959" w:rsidP="00304959">
            <w:pPr>
              <w:keepNext/>
              <w:suppressAutoHyphens/>
              <w:spacing w:before="40" w:after="40"/>
              <w:jc w:val="both"/>
              <w:rPr>
                <w:rFonts w:eastAsia="細明體" w:cs="Segoe UI"/>
                <w:i/>
                <w:sz w:val="17"/>
                <w:szCs w:val="17"/>
                <w:lang w:eastAsia="ar-SA"/>
              </w:rPr>
            </w:pPr>
            <w:r w:rsidRPr="005171C5">
              <w:rPr>
                <w:rFonts w:eastAsia="細明體" w:cs="Segoe UI"/>
                <w:sz w:val="17"/>
                <w:szCs w:val="17"/>
                <w:lang w:eastAsia="ar-SA"/>
              </w:rPr>
              <w:t>(e)</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5C608E3E" w14:textId="3422F6C3" w:rsidR="00304959" w:rsidRPr="005171C5" w:rsidRDefault="00304959" w:rsidP="00304959">
            <w:pPr>
              <w:keepNext/>
              <w:suppressAutoHyphens/>
              <w:spacing w:before="40" w:after="40"/>
              <w:jc w:val="both"/>
              <w:rPr>
                <w:rFonts w:cs="Segoe UI"/>
                <w:sz w:val="15"/>
                <w:lang w:eastAsia="ar-SA"/>
              </w:rPr>
            </w:pPr>
            <w:r>
              <w:rPr>
                <w:rFonts w:eastAsia="細明體" w:hint="eastAsia"/>
                <w:i/>
                <w:sz w:val="17"/>
                <w:szCs w:val="17"/>
                <w:lang w:eastAsia="zh-TW"/>
              </w:rPr>
              <w:t>風險加權數額</w:t>
            </w:r>
            <w:r>
              <w:rPr>
                <w:rFonts w:eastAsia="細明體" w:hint="eastAsia"/>
                <w:sz w:val="17"/>
                <w:szCs w:val="17"/>
                <w:lang w:eastAsia="zh-TW"/>
              </w:rPr>
              <w:t>：</w:t>
            </w:r>
            <w:r>
              <w:rPr>
                <w:rFonts w:eastAsia="細明體" w:hint="eastAsia"/>
                <w:iCs/>
                <w:color w:val="000000"/>
                <w:sz w:val="17"/>
                <w:szCs w:val="17"/>
                <w:lang w:eastAsia="zh-TW"/>
              </w:rPr>
              <w:t>就高波動性商業地產以外的專門性借貸而言，本</w:t>
            </w:r>
            <w:r>
              <w:rPr>
                <w:rFonts w:eastAsia="細明體"/>
                <w:sz w:val="17"/>
                <w:szCs w:val="17"/>
                <w:lang w:eastAsia="zh-TW"/>
              </w:rPr>
              <w:t>欄相等於</w:t>
            </w:r>
            <w:r>
              <w:rPr>
                <w:rFonts w:eastAsia="細明體"/>
                <w:sz w:val="17"/>
                <w:szCs w:val="17"/>
                <w:lang w:eastAsia="zh-TW"/>
              </w:rPr>
              <w:t>(c)</w:t>
            </w:r>
            <w:r>
              <w:rPr>
                <w:rFonts w:eastAsia="細明體"/>
                <w:sz w:val="17"/>
                <w:szCs w:val="17"/>
                <w:lang w:eastAsia="zh-TW"/>
              </w:rPr>
              <w:t>欄</w:t>
            </w:r>
            <w:r>
              <w:rPr>
                <w:rFonts w:eastAsia="細明體" w:hint="eastAsia"/>
                <w:sz w:val="17"/>
                <w:szCs w:val="17"/>
                <w:lang w:eastAsia="zh-TW"/>
              </w:rPr>
              <w:t>及</w:t>
            </w:r>
            <w:r>
              <w:rPr>
                <w:rFonts w:eastAsia="細明體"/>
                <w:sz w:val="17"/>
                <w:szCs w:val="17"/>
                <w:lang w:eastAsia="zh-TW"/>
              </w:rPr>
              <w:t>(d)(v)</w:t>
            </w:r>
            <w:r>
              <w:rPr>
                <w:rFonts w:eastAsia="細明體"/>
                <w:sz w:val="17"/>
                <w:szCs w:val="17"/>
                <w:lang w:eastAsia="zh-TW"/>
              </w:rPr>
              <w:t>欄</w:t>
            </w:r>
            <w:r>
              <w:rPr>
                <w:rFonts w:eastAsia="細明體" w:hint="eastAsia"/>
                <w:sz w:val="17"/>
                <w:szCs w:val="17"/>
                <w:lang w:eastAsia="zh-TW"/>
              </w:rPr>
              <w:t>的值的積；</w:t>
            </w:r>
            <w:r>
              <w:rPr>
                <w:rFonts w:eastAsia="細明體" w:hint="eastAsia"/>
                <w:iCs/>
                <w:color w:val="000000"/>
                <w:sz w:val="17"/>
                <w:szCs w:val="17"/>
                <w:lang w:eastAsia="zh-TW"/>
              </w:rPr>
              <w:t>就高波動性商業地產的專門性借貸而言，</w:t>
            </w:r>
            <w:r>
              <w:rPr>
                <w:rFonts w:eastAsia="細明體" w:hint="eastAsia"/>
                <w:sz w:val="17"/>
                <w:szCs w:val="17"/>
                <w:lang w:eastAsia="zh-TW"/>
              </w:rPr>
              <w:t>本</w:t>
            </w:r>
            <w:r>
              <w:rPr>
                <w:rFonts w:eastAsia="細明體"/>
                <w:sz w:val="17"/>
                <w:szCs w:val="17"/>
                <w:lang w:eastAsia="zh-TW"/>
              </w:rPr>
              <w:t>欄相等於</w:t>
            </w:r>
            <w:r>
              <w:rPr>
                <w:rFonts w:eastAsia="細明體"/>
                <w:sz w:val="17"/>
                <w:szCs w:val="17"/>
                <w:lang w:eastAsia="zh-TW"/>
              </w:rPr>
              <w:t>(c)</w:t>
            </w:r>
            <w:r>
              <w:rPr>
                <w:rFonts w:eastAsia="細明體"/>
                <w:sz w:val="17"/>
                <w:szCs w:val="17"/>
                <w:lang w:eastAsia="zh-TW"/>
              </w:rPr>
              <w:t>欄</w:t>
            </w:r>
            <w:r>
              <w:rPr>
                <w:rFonts w:eastAsia="細明體" w:hint="eastAsia"/>
                <w:sz w:val="17"/>
                <w:szCs w:val="17"/>
                <w:lang w:eastAsia="zh-TW"/>
              </w:rPr>
              <w:t>及</w:t>
            </w:r>
            <w:r>
              <w:rPr>
                <w:rFonts w:eastAsia="細明體"/>
                <w:sz w:val="17"/>
                <w:szCs w:val="17"/>
                <w:lang w:eastAsia="zh-TW"/>
              </w:rPr>
              <w:t>(d)</w:t>
            </w:r>
            <w:r>
              <w:rPr>
                <w:rFonts w:eastAsia="細明體"/>
                <w:sz w:val="17"/>
                <w:szCs w:val="17"/>
                <w:lang w:eastAsia="zh-TW"/>
              </w:rPr>
              <w:t>欄</w:t>
            </w:r>
            <w:r>
              <w:rPr>
                <w:rFonts w:eastAsia="細明體" w:hint="eastAsia"/>
                <w:sz w:val="17"/>
                <w:szCs w:val="17"/>
                <w:lang w:eastAsia="zh-TW"/>
              </w:rPr>
              <w:t>的值的積。</w:t>
            </w:r>
          </w:p>
        </w:tc>
      </w:tr>
      <w:tr w:rsidR="00304959" w:rsidRPr="005171C5" w14:paraId="4D3F2C36" w14:textId="77777777" w:rsidTr="005171C5">
        <w:trPr>
          <w:cantSplit/>
        </w:trPr>
        <w:tc>
          <w:tcPr>
            <w:tcW w:w="567" w:type="dxa"/>
            <w:tcBorders>
              <w:top w:val="single" w:sz="4" w:space="0" w:color="000000"/>
              <w:left w:val="single" w:sz="4" w:space="0" w:color="000000"/>
              <w:bottom w:val="single" w:sz="4" w:space="0" w:color="000000"/>
            </w:tcBorders>
            <w:shd w:val="clear" w:color="auto" w:fill="auto"/>
          </w:tcPr>
          <w:p w14:paraId="7D853A91" w14:textId="77777777" w:rsidR="00304959" w:rsidRPr="005171C5" w:rsidRDefault="00304959" w:rsidP="00304959">
            <w:pPr>
              <w:keepNext/>
              <w:suppressAutoHyphens/>
              <w:spacing w:before="40" w:after="40"/>
              <w:jc w:val="both"/>
              <w:rPr>
                <w:rFonts w:eastAsia="細明體" w:cs="Segoe UI"/>
                <w:i/>
                <w:iCs/>
                <w:color w:val="000000"/>
                <w:sz w:val="17"/>
                <w:szCs w:val="17"/>
                <w:lang w:eastAsia="ar-SA"/>
              </w:rPr>
            </w:pPr>
            <w:r w:rsidRPr="005171C5">
              <w:rPr>
                <w:rFonts w:eastAsia="細明體" w:cs="Segoe UI"/>
                <w:sz w:val="17"/>
                <w:szCs w:val="17"/>
                <w:lang w:eastAsia="ar-SA"/>
              </w:rPr>
              <w:t>(f)</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7B24C8FB" w14:textId="3C616FA1" w:rsidR="00304959" w:rsidRPr="005171C5" w:rsidRDefault="00304959" w:rsidP="00304959">
            <w:pPr>
              <w:keepNext/>
              <w:suppressAutoHyphens/>
              <w:spacing w:before="40" w:after="40"/>
              <w:jc w:val="both"/>
              <w:rPr>
                <w:rFonts w:cs="Segoe UI"/>
                <w:sz w:val="15"/>
                <w:lang w:eastAsia="ar-SA"/>
              </w:rPr>
            </w:pPr>
            <w:r>
              <w:rPr>
                <w:rFonts w:eastAsia="細明體" w:hint="eastAsia"/>
                <w:i/>
                <w:iCs/>
                <w:color w:val="000000"/>
                <w:sz w:val="17"/>
                <w:szCs w:val="17"/>
                <w:lang w:eastAsia="zh-TW"/>
              </w:rPr>
              <w:t>預期損失額</w:t>
            </w:r>
            <w:r>
              <w:rPr>
                <w:rFonts w:eastAsia="細明體" w:hint="eastAsia"/>
                <w:iCs/>
                <w:color w:val="000000"/>
                <w:sz w:val="17"/>
                <w:szCs w:val="17"/>
                <w:lang w:eastAsia="zh-TW"/>
              </w:rPr>
              <w:t>：該</w:t>
            </w:r>
            <w:r>
              <w:rPr>
                <w:rFonts w:eastAsia="細明體" w:hint="eastAsia"/>
                <w:sz w:val="17"/>
                <w:szCs w:val="17"/>
                <w:lang w:eastAsia="zh-TW"/>
              </w:rPr>
              <w:t>數額</w:t>
            </w:r>
            <w:r>
              <w:rPr>
                <w:rFonts w:eastAsia="細明體" w:hint="eastAsia"/>
                <w:iCs/>
                <w:color w:val="000000"/>
                <w:sz w:val="17"/>
                <w:szCs w:val="17"/>
                <w:lang w:eastAsia="zh-TW"/>
              </w:rPr>
              <w:t>為按照《資本規則》第</w:t>
            </w:r>
            <w:r>
              <w:rPr>
                <w:rFonts w:eastAsia="細明體"/>
                <w:iCs/>
                <w:color w:val="000000"/>
                <w:sz w:val="17"/>
                <w:szCs w:val="17"/>
                <w:lang w:eastAsia="zh-TW"/>
              </w:rPr>
              <w:t>6</w:t>
            </w:r>
            <w:r>
              <w:rPr>
                <w:rFonts w:eastAsia="細明體" w:hint="eastAsia"/>
                <w:iCs/>
                <w:color w:val="000000"/>
                <w:sz w:val="17"/>
                <w:szCs w:val="17"/>
                <w:lang w:eastAsia="zh-TW"/>
              </w:rPr>
              <w:t>部第</w:t>
            </w:r>
            <w:r>
              <w:rPr>
                <w:rFonts w:eastAsia="細明體"/>
                <w:iCs/>
                <w:color w:val="000000"/>
                <w:sz w:val="17"/>
                <w:szCs w:val="17"/>
                <w:lang w:eastAsia="zh-TW"/>
              </w:rPr>
              <w:t>11</w:t>
            </w:r>
            <w:r>
              <w:rPr>
                <w:rFonts w:eastAsia="細明體" w:hint="eastAsia"/>
                <w:iCs/>
                <w:color w:val="000000"/>
                <w:sz w:val="17"/>
                <w:szCs w:val="17"/>
                <w:lang w:eastAsia="zh-TW"/>
              </w:rPr>
              <w:t>分部計算的預期損失額。</w:t>
            </w:r>
          </w:p>
        </w:tc>
      </w:tr>
    </w:tbl>
    <w:p w14:paraId="0B8FE42B" w14:textId="77777777" w:rsidR="005171C5" w:rsidRPr="005171C5" w:rsidRDefault="005171C5" w:rsidP="005171C5">
      <w:pPr>
        <w:suppressAutoHyphens/>
        <w:rPr>
          <w:rFonts w:eastAsia="新細明體" w:cs="Segoe UI"/>
          <w:lang w:eastAsia="zh-TW"/>
        </w:rPr>
      </w:pPr>
    </w:p>
    <w:p w14:paraId="2797D00D" w14:textId="77777777" w:rsidR="005171C5" w:rsidRDefault="005171C5" w:rsidP="00272D6C">
      <w:pPr>
        <w:keepNext/>
        <w:keepLines/>
        <w:tabs>
          <w:tab w:val="left" w:pos="426"/>
        </w:tabs>
        <w:spacing w:after="360"/>
        <w:ind w:leftChars="-283" w:left="-566"/>
        <w:outlineLvl w:val="0"/>
        <w:rPr>
          <w:rFonts w:eastAsiaTheme="minorEastAsia" w:cs="Segoe UI"/>
          <w:color w:val="AA322F"/>
          <w:sz w:val="28"/>
          <w:lang w:eastAsia="zh-TW"/>
        </w:rPr>
        <w:sectPr w:rsidR="005171C5" w:rsidSect="005171C5">
          <w:footerReference w:type="default" r:id="rId78"/>
          <w:pgSz w:w="16838" w:h="11906" w:orient="landscape"/>
          <w:pgMar w:top="1800" w:right="1440" w:bottom="1800" w:left="1440" w:header="851" w:footer="992" w:gutter="0"/>
          <w:cols w:space="425"/>
          <w:docGrid w:type="lines" w:linePitch="360"/>
        </w:sectPr>
      </w:pPr>
    </w:p>
    <w:p w14:paraId="44F7A710" w14:textId="77777777" w:rsidR="005171C5" w:rsidRPr="005171C5" w:rsidRDefault="005171C5" w:rsidP="0029639E">
      <w:pPr>
        <w:keepNext/>
        <w:keepLines/>
        <w:tabs>
          <w:tab w:val="num" w:pos="0"/>
          <w:tab w:val="left" w:pos="426"/>
        </w:tabs>
        <w:suppressAutoHyphens/>
        <w:spacing w:after="360"/>
        <w:ind w:left="-426"/>
        <w:outlineLvl w:val="0"/>
        <w:rPr>
          <w:rFonts w:eastAsia="細明體" w:cs="Segoe UI"/>
          <w:color w:val="AA322F"/>
          <w:sz w:val="28"/>
          <w:lang w:eastAsia="ar-SA"/>
        </w:rPr>
      </w:pPr>
      <w:r w:rsidRPr="005171C5">
        <w:rPr>
          <w:rFonts w:eastAsia="細明體" w:cs="Segoe UI" w:hint="eastAsia"/>
          <w:color w:val="AA322F"/>
          <w:sz w:val="28"/>
          <w:lang w:eastAsia="ar-SA"/>
        </w:rPr>
        <w:t>第</w:t>
      </w:r>
      <w:r w:rsidRPr="005171C5">
        <w:rPr>
          <w:rFonts w:eastAsia="細明體" w:cs="Segoe UI"/>
          <w:color w:val="AA322F"/>
          <w:sz w:val="28"/>
          <w:lang w:eastAsia="ar-SA"/>
        </w:rPr>
        <w:t>IV</w:t>
      </w:r>
      <w:r w:rsidRPr="005171C5">
        <w:rPr>
          <w:rFonts w:eastAsia="細明體" w:cs="Segoe UI" w:hint="eastAsia"/>
          <w:color w:val="AA322F"/>
          <w:sz w:val="28"/>
          <w:lang w:eastAsia="ar-SA"/>
        </w:rPr>
        <w:t>部：對手方信用風險</w:t>
      </w:r>
    </w:p>
    <w:p w14:paraId="558748CF" w14:textId="7789E4B5" w:rsidR="005171C5" w:rsidRDefault="005171C5" w:rsidP="0029639E">
      <w:pPr>
        <w:suppressAutoHyphens/>
        <w:spacing w:before="180" w:after="180"/>
        <w:ind w:left="-426"/>
        <w:jc w:val="both"/>
        <w:rPr>
          <w:rFonts w:eastAsia="細明體" w:cs="Segoe UI"/>
          <w:lang w:eastAsia="ar-SA"/>
        </w:rPr>
      </w:pPr>
      <w:r w:rsidRPr="005171C5">
        <w:rPr>
          <w:rFonts w:eastAsia="細明體" w:cs="Segoe UI" w:hint="eastAsia"/>
          <w:lang w:eastAsia="ar-SA"/>
        </w:rPr>
        <w:t>除文意另有要求外，對手方信用風險部分（本文件第</w:t>
      </w:r>
      <w:r w:rsidRPr="005171C5">
        <w:rPr>
          <w:rFonts w:eastAsia="細明體" w:cs="Segoe UI"/>
          <w:lang w:eastAsia="ar-SA"/>
        </w:rPr>
        <w:t>IV</w:t>
      </w:r>
      <w:r w:rsidRPr="005171C5">
        <w:rPr>
          <w:rFonts w:eastAsia="細明體" w:cs="Segoe UI" w:hint="eastAsia"/>
          <w:lang w:eastAsia="ar-SA"/>
        </w:rPr>
        <w:t>部）的範圍包括</w:t>
      </w:r>
      <w:r w:rsidR="00640E84">
        <w:rPr>
          <w:rFonts w:eastAsia="細明體" w:cs="Segoe UI" w:hint="eastAsia"/>
          <w:lang w:eastAsia="zh-HK"/>
        </w:rPr>
        <w:t>因</w:t>
      </w:r>
      <w:r w:rsidRPr="005171C5">
        <w:rPr>
          <w:rFonts w:eastAsia="細明體" w:cs="Segoe UI" w:hint="eastAsia"/>
          <w:lang w:eastAsia="ar-SA"/>
        </w:rPr>
        <w:t>銀行帳及交易帳內</w:t>
      </w:r>
      <w:r w:rsidRPr="005171C5">
        <w:rPr>
          <w:rFonts w:eastAsia="細明體" w:cs="Segoe UI" w:hint="eastAsia"/>
          <w:lang w:eastAsia="zh-HK"/>
        </w:rPr>
        <w:t>的交易</w:t>
      </w:r>
      <w:r w:rsidR="00640E84">
        <w:rPr>
          <w:rFonts w:eastAsia="細明體" w:cs="Segoe UI" w:hint="eastAsia"/>
          <w:lang w:eastAsia="zh-HK"/>
        </w:rPr>
        <w:t>而</w:t>
      </w:r>
      <w:r w:rsidRPr="005171C5">
        <w:rPr>
          <w:rFonts w:eastAsia="細明體" w:cs="Segoe UI" w:hint="eastAsia"/>
          <w:lang w:eastAsia="zh-HK"/>
        </w:rPr>
        <w:t>對</w:t>
      </w:r>
      <w:r w:rsidR="00640E84" w:rsidRPr="00640E84">
        <w:rPr>
          <w:rFonts w:eastAsia="細明體" w:cs="Segoe UI" w:hint="eastAsia"/>
          <w:lang w:eastAsia="zh-HK"/>
        </w:rPr>
        <w:t>中央交易對手方</w:t>
      </w:r>
      <w:r w:rsidRPr="005171C5">
        <w:rPr>
          <w:rFonts w:eastAsia="細明體" w:cs="Segoe UI" w:hint="eastAsia"/>
          <w:lang w:eastAsia="zh-HK"/>
        </w:rPr>
        <w:t>及其他</w:t>
      </w:r>
      <w:r w:rsidRPr="005171C5">
        <w:rPr>
          <w:rFonts w:eastAsia="細明體" w:cs="Segoe UI" w:hint="eastAsia"/>
          <w:lang w:eastAsia="ar-SA"/>
        </w:rPr>
        <w:t>對手方</w:t>
      </w:r>
      <w:r w:rsidR="00186F18" w:rsidRPr="00186F18">
        <w:rPr>
          <w:rFonts w:eastAsia="細明體" w:cs="Segoe UI" w:hint="eastAsia"/>
          <w:lang w:eastAsia="ar-SA"/>
        </w:rPr>
        <w:t>產生</w:t>
      </w:r>
      <w:r w:rsidRPr="005171C5">
        <w:rPr>
          <w:rFonts w:eastAsia="細明體" w:cs="Segoe UI" w:hint="eastAsia"/>
          <w:lang w:eastAsia="ar-SA"/>
        </w:rPr>
        <w:t>的所有對手方信用風險承擔，</w:t>
      </w:r>
      <w:r w:rsidRPr="005171C5">
        <w:rPr>
          <w:rFonts w:eastAsia="細明體" w:cs="Segoe UI" w:hint="eastAsia"/>
          <w:lang w:eastAsia="zh-HK"/>
        </w:rPr>
        <w:t>以及對</w:t>
      </w:r>
      <w:r w:rsidR="00640E84" w:rsidRPr="00640E84">
        <w:rPr>
          <w:rFonts w:eastAsia="細明體" w:cs="Segoe UI" w:hint="eastAsia"/>
          <w:lang w:eastAsia="zh-HK"/>
        </w:rPr>
        <w:t>中央交易對手方</w:t>
      </w:r>
      <w:r w:rsidRPr="005171C5">
        <w:rPr>
          <w:rFonts w:eastAsia="細明體" w:cs="Segoe UI" w:hint="eastAsia"/>
          <w:lang w:eastAsia="zh-HK"/>
        </w:rPr>
        <w:t>的違責基金承擔</w:t>
      </w:r>
      <w:r w:rsidR="00640E84">
        <w:rPr>
          <w:rFonts w:eastAsia="細明體" w:cs="Segoe UI" w:hint="eastAsia"/>
          <w:lang w:eastAsia="zh-HK"/>
        </w:rPr>
        <w:t>所</w:t>
      </w:r>
      <w:r w:rsidR="00640E84" w:rsidRPr="00640E84">
        <w:rPr>
          <w:rFonts w:eastAsia="細明體" w:cs="Segoe UI" w:hint="eastAsia"/>
          <w:lang w:eastAsia="zh-HK"/>
        </w:rPr>
        <w:t>產生</w:t>
      </w:r>
      <w:r w:rsidRPr="005171C5">
        <w:rPr>
          <w:rFonts w:eastAsia="細明體" w:cs="Segoe UI" w:hint="eastAsia"/>
          <w:lang w:eastAsia="zh-HK"/>
        </w:rPr>
        <w:t>的</w:t>
      </w:r>
      <w:r w:rsidRPr="005171C5">
        <w:rPr>
          <w:rFonts w:eastAsia="細明體" w:cs="Segoe UI" w:hint="eastAsia"/>
          <w:lang w:eastAsia="ar-SA"/>
        </w:rPr>
        <w:t>風險承擔</w:t>
      </w:r>
      <w:r w:rsidR="00640E84" w:rsidRPr="00640E84">
        <w:rPr>
          <w:rFonts w:eastAsia="細明體" w:cs="Segoe UI" w:hint="eastAsia"/>
          <w:lang w:eastAsia="ar-SA"/>
        </w:rPr>
        <w:t>，這些風險承擔</w:t>
      </w:r>
      <w:r w:rsidR="00640E84" w:rsidRPr="005171C5">
        <w:rPr>
          <w:rFonts w:eastAsia="細明體" w:cs="Segoe UI" w:hint="eastAsia"/>
          <w:lang w:eastAsia="zh-HK"/>
        </w:rPr>
        <w:t>受</w:t>
      </w:r>
      <w:r w:rsidR="00640E84" w:rsidRPr="005171C5">
        <w:rPr>
          <w:rFonts w:eastAsia="細明體" w:cs="Segoe UI"/>
          <w:lang w:eastAsia="ar-SA"/>
        </w:rPr>
        <w:t>《資本規則》第</w:t>
      </w:r>
      <w:r w:rsidR="00640E84" w:rsidRPr="005171C5">
        <w:rPr>
          <w:rFonts w:eastAsia="細明體" w:cs="Segoe UI"/>
          <w:lang w:eastAsia="ar-SA"/>
        </w:rPr>
        <w:t>6A</w:t>
      </w:r>
      <w:r w:rsidR="00640E84" w:rsidRPr="005171C5">
        <w:rPr>
          <w:rFonts w:eastAsia="細明體" w:cs="Segoe UI" w:hint="eastAsia"/>
          <w:lang w:eastAsia="ar-SA"/>
        </w:rPr>
        <w:t>部</w:t>
      </w:r>
      <w:r w:rsidR="00C71B05" w:rsidRPr="00D166E2">
        <w:rPr>
          <w:rFonts w:eastAsia="細明體" w:cs="Segoe UI" w:hint="eastAsia"/>
          <w:lang w:eastAsia="ar-SA"/>
        </w:rPr>
        <w:t>和第</w:t>
      </w:r>
      <w:r w:rsidR="00C71B05" w:rsidRPr="00D166E2">
        <w:rPr>
          <w:rFonts w:eastAsia="細明體" w:cs="Segoe UI"/>
          <w:lang w:eastAsia="ar-SA"/>
        </w:rPr>
        <w:t>12</w:t>
      </w:r>
      <w:r w:rsidR="00C71B05" w:rsidRPr="00D166E2">
        <w:rPr>
          <w:rFonts w:eastAsia="細明體" w:cs="Segoe UI" w:hint="eastAsia"/>
          <w:lang w:eastAsia="ar-SA"/>
        </w:rPr>
        <w:t>部</w:t>
      </w:r>
      <w:r w:rsidR="00640E84">
        <w:rPr>
          <w:rFonts w:eastAsia="細明體" w:cs="Segoe UI" w:hint="eastAsia"/>
          <w:lang w:eastAsia="zh-HK"/>
        </w:rPr>
        <w:t>所</w:t>
      </w:r>
      <w:r w:rsidR="00640E84" w:rsidRPr="005171C5">
        <w:rPr>
          <w:rFonts w:eastAsia="細明體" w:cs="Segoe UI" w:hint="eastAsia"/>
          <w:lang w:eastAsia="zh-HK"/>
        </w:rPr>
        <w:t>規限</w:t>
      </w:r>
      <w:r w:rsidRPr="005171C5">
        <w:rPr>
          <w:rFonts w:eastAsia="細明體" w:cs="Segoe UI" w:hint="eastAsia"/>
          <w:lang w:eastAsia="ar-SA"/>
        </w:rPr>
        <w:t>。</w:t>
      </w:r>
    </w:p>
    <w:p w14:paraId="08BA4ECA" w14:textId="098DA0CD" w:rsidR="005171C5" w:rsidRDefault="005171C5" w:rsidP="005171C5">
      <w:pPr>
        <w:suppressAutoHyphens/>
        <w:spacing w:before="180" w:after="180"/>
        <w:ind w:left="-566"/>
        <w:jc w:val="both"/>
        <w:rPr>
          <w:rFonts w:eastAsia="細明體" w:cs="Segoe UI"/>
          <w:lang w:eastAsia="ar-SA"/>
        </w:rPr>
      </w:pPr>
    </w:p>
    <w:p w14:paraId="4F952E88" w14:textId="008BFC1B" w:rsidR="00893D12" w:rsidRPr="00893D12" w:rsidRDefault="00893D12" w:rsidP="00893D12">
      <w:pPr>
        <w:pStyle w:val="Heading2"/>
        <w:keepNext w:val="0"/>
        <w:suppressAutoHyphens w:val="0"/>
        <w:spacing w:before="40" w:line="240" w:lineRule="auto"/>
        <w:ind w:left="-454"/>
        <w:rPr>
          <w:rFonts w:ascii="細明體" w:eastAsia="細明體" w:hAnsi="細明體"/>
          <w:b w:val="0"/>
          <w:bCs w:val="0"/>
          <w:sz w:val="22"/>
          <w:szCs w:val="20"/>
          <w:lang w:eastAsia="zh-TW"/>
        </w:rPr>
      </w:pPr>
      <w:r w:rsidRPr="00893D12">
        <w:rPr>
          <w:rFonts w:ascii="細明體" w:eastAsia="細明體" w:hAnsi="細明體" w:cs="微軟正黑體" w:hint="eastAsia"/>
          <w:b w:val="0"/>
          <w:bCs w:val="0"/>
          <w:sz w:val="22"/>
          <w:szCs w:val="20"/>
          <w:lang w:eastAsia="zh-TW"/>
        </w:rPr>
        <w:t>表</w:t>
      </w:r>
      <w:r w:rsidRPr="00893D12">
        <w:rPr>
          <w:rFonts w:ascii="Segoe UI" w:eastAsia="細明體" w:hAnsi="Segoe UI" w:cs="Segoe UI"/>
          <w:b w:val="0"/>
          <w:bCs w:val="0"/>
          <w:sz w:val="22"/>
          <w:szCs w:val="20"/>
          <w:lang w:eastAsia="zh-TW"/>
        </w:rPr>
        <w:t>CCRA</w:t>
      </w:r>
      <w:r w:rsidRPr="00893D12">
        <w:rPr>
          <w:rFonts w:ascii="細明體" w:eastAsia="細明體" w:hAnsi="細明體" w:cs="微軟正黑體" w:hint="eastAsia"/>
          <w:b w:val="0"/>
          <w:bCs w:val="0"/>
          <w:sz w:val="22"/>
          <w:szCs w:val="20"/>
          <w:lang w:eastAsia="zh-TW"/>
        </w:rPr>
        <w:t>：關於對手方信用風險（包括經中央交易對手方結算產生者）的描述披露</w:t>
      </w:r>
    </w:p>
    <w:tbl>
      <w:tblPr>
        <w:tblW w:w="9106" w:type="dxa"/>
        <w:tblInd w:w="-459" w:type="dxa"/>
        <w:tblLayout w:type="fixed"/>
        <w:tblLook w:val="0000" w:firstRow="0" w:lastRow="0" w:firstColumn="0" w:lastColumn="0" w:noHBand="0" w:noVBand="0"/>
      </w:tblPr>
      <w:tblGrid>
        <w:gridCol w:w="2160"/>
        <w:gridCol w:w="6946"/>
      </w:tblGrid>
      <w:tr w:rsidR="005171C5" w:rsidRPr="005171C5" w14:paraId="74DEC368" w14:textId="77777777" w:rsidTr="0029639E">
        <w:tc>
          <w:tcPr>
            <w:tcW w:w="2160" w:type="dxa"/>
            <w:tcBorders>
              <w:top w:val="single" w:sz="4" w:space="0" w:color="000000"/>
              <w:bottom w:val="single" w:sz="4" w:space="0" w:color="000000"/>
            </w:tcBorders>
            <w:shd w:val="clear" w:color="auto" w:fill="auto"/>
          </w:tcPr>
          <w:p w14:paraId="617613A6"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目的：</w:t>
            </w:r>
            <w:r w:rsidRPr="005171C5">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09DCC0D8"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zh-TW"/>
              </w:rPr>
              <w:t>描述</w:t>
            </w:r>
            <w:r w:rsidRPr="005171C5">
              <w:rPr>
                <w:rFonts w:eastAsia="細明體" w:cs="Segoe UI" w:hint="eastAsia"/>
                <w:sz w:val="17"/>
                <w:lang w:eastAsia="ar-SA"/>
              </w:rPr>
              <w:t>對手方信用風險管理目標及政策，包括但不限於關乎設定營運限額、採用擔保及其他形式的減低信用風險措施、</w:t>
            </w:r>
            <w:r w:rsidRPr="005171C5">
              <w:rPr>
                <w:rFonts w:eastAsia="細明體" w:cs="Segoe UI" w:hint="eastAsia"/>
                <w:sz w:val="17"/>
                <w:lang w:eastAsia="zh-TW"/>
              </w:rPr>
              <w:t>及自身</w:t>
            </w:r>
            <w:r w:rsidRPr="005171C5">
              <w:rPr>
                <w:rFonts w:eastAsia="細明體" w:cs="Segoe UI" w:hint="eastAsia"/>
                <w:sz w:val="17"/>
                <w:lang w:eastAsia="ar-SA"/>
              </w:rPr>
              <w:t>信用</w:t>
            </w:r>
            <w:proofErr w:type="gramStart"/>
            <w:r w:rsidRPr="005171C5">
              <w:rPr>
                <w:rFonts w:eastAsia="細明體" w:cs="Segoe UI" w:hint="eastAsia"/>
                <w:sz w:val="17"/>
                <w:lang w:eastAsia="ar-SA"/>
              </w:rPr>
              <w:t>評級</w:t>
            </w:r>
            <w:r w:rsidRPr="005171C5">
              <w:rPr>
                <w:rFonts w:eastAsia="細明體" w:cs="Segoe UI" w:hint="eastAsia"/>
                <w:sz w:val="17"/>
                <w:lang w:eastAsia="zh-TW"/>
              </w:rPr>
              <w:t>遭</w:t>
            </w:r>
            <w:r w:rsidRPr="005171C5">
              <w:rPr>
                <w:rFonts w:eastAsia="細明體" w:cs="Segoe UI" w:hint="eastAsia"/>
                <w:sz w:val="17"/>
                <w:lang w:eastAsia="ar-SA"/>
              </w:rPr>
              <w:t>下</w:t>
            </w:r>
            <w:proofErr w:type="gramEnd"/>
            <w:r w:rsidRPr="005171C5">
              <w:rPr>
                <w:rFonts w:eastAsia="細明體" w:cs="Segoe UI" w:hint="eastAsia"/>
                <w:sz w:val="17"/>
                <w:lang w:eastAsia="ar-SA"/>
              </w:rPr>
              <w:t>調的預期影響</w:t>
            </w:r>
            <w:r w:rsidRPr="005171C5">
              <w:rPr>
                <w:rFonts w:eastAsia="細明體" w:cs="Segoe UI" w:hint="eastAsia"/>
                <w:sz w:val="17"/>
                <w:lang w:eastAsia="zh-TW"/>
              </w:rPr>
              <w:t>等事宜</w:t>
            </w:r>
            <w:r w:rsidRPr="005171C5">
              <w:rPr>
                <w:rFonts w:eastAsia="細明體" w:cs="Segoe UI" w:hint="eastAsia"/>
                <w:sz w:val="17"/>
                <w:lang w:eastAsia="ar-SA"/>
              </w:rPr>
              <w:t>。</w:t>
            </w:r>
          </w:p>
        </w:tc>
      </w:tr>
      <w:tr w:rsidR="005171C5" w:rsidRPr="005171C5" w14:paraId="152D9DFE" w14:textId="77777777" w:rsidTr="0029639E">
        <w:tc>
          <w:tcPr>
            <w:tcW w:w="2160" w:type="dxa"/>
            <w:tcBorders>
              <w:top w:val="single" w:sz="4" w:space="0" w:color="000000"/>
              <w:bottom w:val="single" w:sz="4" w:space="0" w:color="000000"/>
            </w:tcBorders>
            <w:shd w:val="clear" w:color="auto" w:fill="auto"/>
          </w:tcPr>
          <w:p w14:paraId="20FB5BAD" w14:textId="77777777" w:rsidR="005171C5" w:rsidRPr="005171C5" w:rsidRDefault="005171C5" w:rsidP="005171C5">
            <w:pPr>
              <w:suppressAutoHyphens/>
              <w:spacing w:before="40" w:after="40"/>
              <w:rPr>
                <w:rFonts w:eastAsia="細明體" w:cs="Segoe UI"/>
                <w:sz w:val="17"/>
                <w:lang w:eastAsia="ar-SA"/>
              </w:rPr>
            </w:pPr>
            <w:r w:rsidRPr="005171C5">
              <w:rPr>
                <w:rFonts w:eastAsia="細明體" w:cs="Segoe UI" w:hint="eastAsia"/>
                <w:b/>
                <w:sz w:val="17"/>
                <w:lang w:eastAsia="ar-SA"/>
              </w:rPr>
              <w:t>適用範圍：</w:t>
            </w:r>
            <w:r w:rsidRPr="005171C5">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65F8CF17" w14:textId="77777777" w:rsidR="005171C5" w:rsidRPr="005171C5" w:rsidRDefault="005171C5" w:rsidP="005171C5">
            <w:pPr>
              <w:suppressAutoHyphens/>
              <w:spacing w:before="40" w:after="40"/>
              <w:jc w:val="both"/>
              <w:rPr>
                <w:rFonts w:cs="Segoe UI"/>
                <w:lang w:eastAsia="ar-SA"/>
              </w:rPr>
            </w:pPr>
            <w:r w:rsidRPr="005171C5">
              <w:rPr>
                <w:rFonts w:eastAsia="細明體" w:cs="Segoe UI" w:hint="eastAsia"/>
                <w:sz w:val="17"/>
                <w:lang w:eastAsia="ar-SA"/>
              </w:rPr>
              <w:t>所有在香港成立為法團的認可機構均須填報本表。</w:t>
            </w:r>
          </w:p>
        </w:tc>
      </w:tr>
      <w:tr w:rsidR="005171C5" w:rsidRPr="005171C5" w14:paraId="452A8AEA" w14:textId="77777777" w:rsidTr="0029639E">
        <w:tc>
          <w:tcPr>
            <w:tcW w:w="2160" w:type="dxa"/>
            <w:tcBorders>
              <w:top w:val="single" w:sz="4" w:space="0" w:color="000000"/>
              <w:bottom w:val="single" w:sz="4" w:space="0" w:color="000000"/>
            </w:tcBorders>
            <w:shd w:val="clear" w:color="auto" w:fill="auto"/>
          </w:tcPr>
          <w:p w14:paraId="1212DDB0" w14:textId="77777777" w:rsidR="005171C5" w:rsidRPr="005171C5" w:rsidRDefault="005171C5" w:rsidP="005171C5">
            <w:pPr>
              <w:suppressAutoHyphens/>
              <w:spacing w:before="40" w:after="40"/>
              <w:rPr>
                <w:rFonts w:eastAsia="細明體" w:cs="Segoe UI"/>
                <w:sz w:val="17"/>
                <w:lang w:eastAsia="ar-SA"/>
              </w:rPr>
            </w:pPr>
            <w:r w:rsidRPr="005171C5">
              <w:rPr>
                <w:rFonts w:eastAsia="細明體" w:cs="Segoe UI" w:hint="eastAsia"/>
                <w:b/>
                <w:sz w:val="17"/>
                <w:lang w:eastAsia="ar-SA"/>
              </w:rPr>
              <w:t>內容：</w:t>
            </w:r>
            <w:r w:rsidRPr="005171C5">
              <w:rPr>
                <w:rFonts w:eastAsia="細明體" w:cs="Segoe UI"/>
                <w:b/>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78CF5631" w14:textId="77777777" w:rsidR="005171C5" w:rsidRPr="005171C5" w:rsidRDefault="005171C5" w:rsidP="005171C5">
            <w:pPr>
              <w:suppressAutoHyphens/>
              <w:spacing w:before="40" w:after="40"/>
              <w:jc w:val="both"/>
              <w:rPr>
                <w:rFonts w:cs="Segoe UI"/>
                <w:lang w:eastAsia="ar-SA"/>
              </w:rPr>
            </w:pPr>
            <w:r w:rsidRPr="005171C5">
              <w:rPr>
                <w:rFonts w:eastAsia="細明體" w:cs="Segoe UI" w:hint="eastAsia"/>
                <w:sz w:val="17"/>
                <w:lang w:eastAsia="ar-SA"/>
              </w:rPr>
              <w:t>描述資料</w:t>
            </w:r>
            <w:r w:rsidRPr="005171C5">
              <w:rPr>
                <w:rFonts w:eastAsia="細明體" w:cs="Segoe UI"/>
                <w:sz w:val="17"/>
                <w:lang w:eastAsia="ar-SA"/>
              </w:rPr>
              <w:t>。</w:t>
            </w:r>
          </w:p>
        </w:tc>
      </w:tr>
      <w:tr w:rsidR="005171C5" w:rsidRPr="005171C5" w14:paraId="2A2DFD81" w14:textId="77777777" w:rsidTr="0029639E">
        <w:tc>
          <w:tcPr>
            <w:tcW w:w="2160" w:type="dxa"/>
            <w:tcBorders>
              <w:top w:val="single" w:sz="4" w:space="0" w:color="000000"/>
              <w:bottom w:val="single" w:sz="4" w:space="0" w:color="000000"/>
            </w:tcBorders>
            <w:shd w:val="clear" w:color="auto" w:fill="auto"/>
          </w:tcPr>
          <w:p w14:paraId="0C200941"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頻密程度：</w:t>
            </w:r>
            <w:r w:rsidRPr="005171C5">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440FB8B6"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每年一次</w:t>
            </w:r>
            <w:r w:rsidRPr="005171C5">
              <w:rPr>
                <w:rFonts w:eastAsia="細明體" w:cs="Segoe UI"/>
                <w:sz w:val="17"/>
                <w:lang w:eastAsia="ar-SA"/>
              </w:rPr>
              <w:t>。</w:t>
            </w:r>
          </w:p>
        </w:tc>
      </w:tr>
      <w:tr w:rsidR="005171C5" w:rsidRPr="005171C5" w14:paraId="61C8AA63" w14:textId="77777777" w:rsidTr="0029639E">
        <w:tc>
          <w:tcPr>
            <w:tcW w:w="2160" w:type="dxa"/>
            <w:tcBorders>
              <w:top w:val="single" w:sz="4" w:space="0" w:color="000000"/>
              <w:bottom w:val="single" w:sz="4" w:space="0" w:color="000000"/>
            </w:tcBorders>
            <w:shd w:val="clear" w:color="auto" w:fill="auto"/>
          </w:tcPr>
          <w:p w14:paraId="4162FA1B"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lang w:eastAsia="ar-SA"/>
              </w:rPr>
              <w:t>格式：</w:t>
            </w:r>
            <w:r w:rsidRPr="005171C5">
              <w:rPr>
                <w:rFonts w:eastAsia="細明體" w:cs="Segoe UI"/>
                <w:sz w:val="17"/>
                <w:lang w:eastAsia="ar-SA"/>
              </w:rPr>
              <w:t xml:space="preserve"> </w:t>
            </w:r>
          </w:p>
        </w:tc>
        <w:tc>
          <w:tcPr>
            <w:tcW w:w="6946" w:type="dxa"/>
            <w:tcBorders>
              <w:top w:val="single" w:sz="4" w:space="0" w:color="000000"/>
              <w:left w:val="single" w:sz="4" w:space="0" w:color="000000"/>
              <w:bottom w:val="single" w:sz="4" w:space="0" w:color="000000"/>
            </w:tcBorders>
            <w:shd w:val="clear" w:color="auto" w:fill="auto"/>
          </w:tcPr>
          <w:p w14:paraId="0D21B926"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非固定</w:t>
            </w:r>
            <w:r w:rsidRPr="005171C5">
              <w:rPr>
                <w:rFonts w:eastAsia="細明體" w:cs="Segoe UI"/>
                <w:sz w:val="17"/>
                <w:lang w:eastAsia="ar-SA"/>
              </w:rPr>
              <w:t>。</w:t>
            </w:r>
          </w:p>
        </w:tc>
      </w:tr>
      <w:tr w:rsidR="005171C5" w:rsidRPr="005171C5" w14:paraId="460FDA9A" w14:textId="77777777" w:rsidTr="0029639E">
        <w:tc>
          <w:tcPr>
            <w:tcW w:w="2160" w:type="dxa"/>
            <w:tcBorders>
              <w:top w:val="single" w:sz="4" w:space="0" w:color="000000"/>
              <w:bottom w:val="single" w:sz="4" w:space="0" w:color="000000"/>
            </w:tcBorders>
            <w:shd w:val="clear" w:color="auto" w:fill="auto"/>
          </w:tcPr>
          <w:p w14:paraId="6A3D9205" w14:textId="77777777" w:rsidR="005171C5" w:rsidRPr="005171C5" w:rsidRDefault="005171C5" w:rsidP="005171C5">
            <w:pPr>
              <w:suppressAutoHyphens/>
              <w:spacing w:before="40" w:after="40"/>
              <w:rPr>
                <w:rFonts w:eastAsia="細明體" w:cs="Segoe UI"/>
                <w:lang w:eastAsia="ar-SA"/>
              </w:rPr>
            </w:pPr>
            <w:r w:rsidRPr="005171C5">
              <w:rPr>
                <w:rFonts w:eastAsia="細明體" w:cs="Segoe UI" w:hint="eastAsia"/>
                <w:b/>
                <w:sz w:val="17"/>
                <w:szCs w:val="17"/>
                <w:lang w:eastAsia="ar-SA"/>
              </w:rPr>
              <w:t>《披露規則》相應條文：</w:t>
            </w:r>
          </w:p>
        </w:tc>
        <w:tc>
          <w:tcPr>
            <w:tcW w:w="6946" w:type="dxa"/>
            <w:tcBorders>
              <w:top w:val="single" w:sz="4" w:space="0" w:color="000000"/>
              <w:left w:val="single" w:sz="4" w:space="0" w:color="000000"/>
              <w:bottom w:val="single" w:sz="4" w:space="0" w:color="000000"/>
            </w:tcBorders>
            <w:shd w:val="clear" w:color="auto" w:fill="auto"/>
          </w:tcPr>
          <w:p w14:paraId="5717C5E6"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sz w:val="17"/>
                <w:lang w:eastAsia="ar-SA"/>
              </w:rPr>
              <w:t>16V</w:t>
            </w:r>
          </w:p>
        </w:tc>
      </w:tr>
    </w:tbl>
    <w:p w14:paraId="69421BD0" w14:textId="77777777" w:rsidR="005171C5" w:rsidRPr="005171C5" w:rsidRDefault="005171C5" w:rsidP="005171C5">
      <w:pPr>
        <w:suppressAutoHyphens/>
        <w:spacing w:before="120" w:after="120"/>
        <w:rPr>
          <w:rFonts w:eastAsia="細明體" w:cs="Segoe UI"/>
          <w:sz w:val="22"/>
          <w:lang w:eastAsia="ar-SA"/>
        </w:rPr>
      </w:pPr>
    </w:p>
    <w:tbl>
      <w:tblPr>
        <w:tblW w:w="9242" w:type="dxa"/>
        <w:tblInd w:w="-497" w:type="dxa"/>
        <w:tblLayout w:type="fixed"/>
        <w:tblCellMar>
          <w:left w:w="70" w:type="dxa"/>
          <w:right w:w="70" w:type="dxa"/>
        </w:tblCellMar>
        <w:tblLook w:val="0000" w:firstRow="0" w:lastRow="0" w:firstColumn="0" w:lastColumn="0" w:noHBand="0" w:noVBand="0"/>
      </w:tblPr>
      <w:tblGrid>
        <w:gridCol w:w="370"/>
        <w:gridCol w:w="8872"/>
      </w:tblGrid>
      <w:tr w:rsidR="005171C5" w:rsidRPr="005171C5" w14:paraId="1B99FA7D" w14:textId="77777777" w:rsidTr="005171C5">
        <w:trPr>
          <w:trHeight w:val="448"/>
        </w:trPr>
        <w:tc>
          <w:tcPr>
            <w:tcW w:w="9242" w:type="dxa"/>
            <w:gridSpan w:val="2"/>
            <w:tcBorders>
              <w:top w:val="single" w:sz="4" w:space="0" w:color="000000"/>
              <w:bottom w:val="single" w:sz="4" w:space="0" w:color="000000"/>
            </w:tcBorders>
            <w:shd w:val="clear" w:color="auto" w:fill="auto"/>
            <w:vAlign w:val="center"/>
          </w:tcPr>
          <w:p w14:paraId="2831DA8C" w14:textId="77777777" w:rsidR="005171C5" w:rsidRPr="005171C5" w:rsidRDefault="005171C5" w:rsidP="005171C5">
            <w:pPr>
              <w:widowControl w:val="0"/>
              <w:suppressAutoHyphens/>
              <w:spacing w:before="40" w:after="40"/>
              <w:jc w:val="both"/>
              <w:rPr>
                <w:rFonts w:cs="Segoe UI"/>
                <w:lang w:eastAsia="ar-SA"/>
              </w:rPr>
            </w:pPr>
            <w:r w:rsidRPr="005171C5">
              <w:rPr>
                <w:rFonts w:eastAsia="細明體" w:cs="Segoe UI" w:hint="eastAsia"/>
                <w:sz w:val="17"/>
                <w:szCs w:val="17"/>
                <w:lang w:eastAsia="ar-SA"/>
              </w:rPr>
              <w:t>認可機構應披露：</w:t>
            </w:r>
          </w:p>
        </w:tc>
      </w:tr>
      <w:tr w:rsidR="005171C5" w:rsidRPr="005171C5" w14:paraId="055D2433" w14:textId="77777777" w:rsidTr="005171C5">
        <w:trPr>
          <w:trHeight w:val="318"/>
        </w:trPr>
        <w:tc>
          <w:tcPr>
            <w:tcW w:w="370" w:type="dxa"/>
            <w:tcBorders>
              <w:top w:val="single" w:sz="4" w:space="0" w:color="000000"/>
              <w:bottom w:val="single" w:sz="4" w:space="0" w:color="000000"/>
            </w:tcBorders>
            <w:shd w:val="clear" w:color="auto" w:fill="auto"/>
          </w:tcPr>
          <w:p w14:paraId="7D2B47C7" w14:textId="77777777" w:rsidR="005171C5" w:rsidRPr="005171C5" w:rsidRDefault="005171C5" w:rsidP="005171C5">
            <w:pPr>
              <w:widowControl w:val="0"/>
              <w:suppressAutoHyphens/>
              <w:spacing w:before="40" w:after="40"/>
              <w:rPr>
                <w:rFonts w:eastAsia="細明體" w:cs="Segoe UI"/>
                <w:lang w:eastAsia="ar-SA"/>
              </w:rPr>
            </w:pPr>
            <w:r w:rsidRPr="005171C5">
              <w:rPr>
                <w:rFonts w:eastAsia="細明體" w:cs="Segoe UI"/>
                <w:sz w:val="17"/>
                <w:szCs w:val="17"/>
                <w:lang w:eastAsia="ar-SA"/>
              </w:rPr>
              <w:t>(a)</w:t>
            </w:r>
          </w:p>
        </w:tc>
        <w:tc>
          <w:tcPr>
            <w:tcW w:w="8872" w:type="dxa"/>
            <w:tcBorders>
              <w:top w:val="single" w:sz="4" w:space="0" w:color="000000"/>
              <w:bottom w:val="single" w:sz="4" w:space="0" w:color="000000"/>
            </w:tcBorders>
            <w:shd w:val="clear" w:color="auto" w:fill="auto"/>
            <w:vAlign w:val="center"/>
          </w:tcPr>
          <w:p w14:paraId="006D8A3E"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其與對手方信用風險相關的風險管理目標及政策；</w:t>
            </w:r>
          </w:p>
        </w:tc>
      </w:tr>
      <w:tr w:rsidR="005171C5" w:rsidRPr="005171C5" w14:paraId="4C697522" w14:textId="77777777" w:rsidTr="005171C5">
        <w:trPr>
          <w:trHeight w:val="318"/>
        </w:trPr>
        <w:tc>
          <w:tcPr>
            <w:tcW w:w="370" w:type="dxa"/>
            <w:tcBorders>
              <w:top w:val="single" w:sz="4" w:space="0" w:color="000000"/>
              <w:bottom w:val="single" w:sz="4" w:space="0" w:color="000000"/>
            </w:tcBorders>
            <w:shd w:val="clear" w:color="auto" w:fill="auto"/>
          </w:tcPr>
          <w:p w14:paraId="61426A6E" w14:textId="77777777" w:rsidR="005171C5" w:rsidRPr="005171C5" w:rsidRDefault="005171C5" w:rsidP="005171C5">
            <w:pPr>
              <w:widowControl w:val="0"/>
              <w:suppressAutoHyphens/>
              <w:spacing w:before="40" w:after="40"/>
              <w:rPr>
                <w:rFonts w:eastAsia="細明體" w:cs="Segoe UI"/>
                <w:lang w:eastAsia="ar-SA"/>
              </w:rPr>
            </w:pPr>
            <w:r w:rsidRPr="005171C5">
              <w:rPr>
                <w:rFonts w:eastAsia="細明體" w:cs="Segoe UI"/>
                <w:sz w:val="17"/>
                <w:szCs w:val="17"/>
                <w:lang w:eastAsia="ar-SA"/>
              </w:rPr>
              <w:t>(b)</w:t>
            </w:r>
          </w:p>
        </w:tc>
        <w:tc>
          <w:tcPr>
            <w:tcW w:w="8872" w:type="dxa"/>
            <w:tcBorders>
              <w:top w:val="single" w:sz="4" w:space="0" w:color="000000"/>
              <w:bottom w:val="single" w:sz="4" w:space="0" w:color="000000"/>
            </w:tcBorders>
            <w:shd w:val="clear" w:color="auto" w:fill="auto"/>
            <w:vAlign w:val="center"/>
          </w:tcPr>
          <w:p w14:paraId="4BF9E23F"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就對手方信用風險承擔及對中央交易對手方的信用風險承擔而言，其設定以內部資本界定</w:t>
            </w:r>
            <w:r w:rsidRPr="005171C5">
              <w:rPr>
                <w:rFonts w:eastAsia="細明體" w:cs="Segoe UI" w:hint="eastAsia"/>
                <w:sz w:val="17"/>
                <w:lang w:eastAsia="zh-TW"/>
              </w:rPr>
              <w:t>的</w:t>
            </w:r>
            <w:r w:rsidRPr="005171C5">
              <w:rPr>
                <w:rFonts w:eastAsia="細明體" w:cs="Segoe UI" w:hint="eastAsia"/>
                <w:sz w:val="17"/>
                <w:lang w:eastAsia="ar-SA"/>
              </w:rPr>
              <w:t>營運限額的方法；</w:t>
            </w:r>
          </w:p>
        </w:tc>
      </w:tr>
      <w:tr w:rsidR="005171C5" w:rsidRPr="005171C5" w14:paraId="3A841FA4" w14:textId="77777777" w:rsidTr="005171C5">
        <w:trPr>
          <w:trHeight w:val="318"/>
        </w:trPr>
        <w:tc>
          <w:tcPr>
            <w:tcW w:w="370" w:type="dxa"/>
            <w:tcBorders>
              <w:top w:val="single" w:sz="4" w:space="0" w:color="000000"/>
              <w:bottom w:val="single" w:sz="4" w:space="0" w:color="000000"/>
            </w:tcBorders>
            <w:shd w:val="clear" w:color="auto" w:fill="auto"/>
          </w:tcPr>
          <w:p w14:paraId="04BF88EC" w14:textId="77777777" w:rsidR="005171C5" w:rsidRPr="005171C5" w:rsidRDefault="005171C5" w:rsidP="005171C5">
            <w:pPr>
              <w:widowControl w:val="0"/>
              <w:suppressAutoHyphens/>
              <w:spacing w:before="40" w:after="40"/>
              <w:rPr>
                <w:rFonts w:eastAsia="細明體" w:cs="Segoe UI"/>
                <w:lang w:eastAsia="ar-SA"/>
              </w:rPr>
            </w:pPr>
            <w:r w:rsidRPr="005171C5">
              <w:rPr>
                <w:rFonts w:eastAsia="細明體" w:cs="Segoe UI"/>
                <w:sz w:val="17"/>
                <w:szCs w:val="17"/>
                <w:lang w:eastAsia="ar-SA"/>
              </w:rPr>
              <w:t>(c)</w:t>
            </w:r>
          </w:p>
        </w:tc>
        <w:tc>
          <w:tcPr>
            <w:tcW w:w="8872" w:type="dxa"/>
            <w:tcBorders>
              <w:top w:val="single" w:sz="4" w:space="0" w:color="000000"/>
              <w:bottom w:val="single" w:sz="4" w:space="0" w:color="000000"/>
            </w:tcBorders>
            <w:shd w:val="clear" w:color="auto" w:fill="auto"/>
            <w:vAlign w:val="center"/>
          </w:tcPr>
          <w:p w14:paraId="42F48AF8"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其與擔保及其他形式的減低信用風險措施</w:t>
            </w:r>
            <w:r w:rsidRPr="005171C5">
              <w:rPr>
                <w:rFonts w:eastAsia="細明體" w:cs="Segoe UI" w:hint="eastAsia"/>
                <w:sz w:val="17"/>
                <w:lang w:eastAsia="zh-TW"/>
              </w:rPr>
              <w:t>、</w:t>
            </w:r>
            <w:r w:rsidRPr="005171C5">
              <w:rPr>
                <w:rFonts w:eastAsia="細明體" w:cs="Segoe UI" w:hint="eastAsia"/>
                <w:sz w:val="17"/>
                <w:lang w:eastAsia="ar-SA"/>
              </w:rPr>
              <w:t>及對於對手方信用風險（包括對中央交易對手方的信用風險承擔）的評估有關的政策；</w:t>
            </w:r>
          </w:p>
        </w:tc>
      </w:tr>
      <w:tr w:rsidR="005171C5" w:rsidRPr="005171C5" w14:paraId="1B576050" w14:textId="77777777" w:rsidTr="005171C5">
        <w:trPr>
          <w:trHeight w:val="318"/>
        </w:trPr>
        <w:tc>
          <w:tcPr>
            <w:tcW w:w="370" w:type="dxa"/>
            <w:tcBorders>
              <w:top w:val="single" w:sz="4" w:space="0" w:color="000000"/>
              <w:bottom w:val="single" w:sz="4" w:space="0" w:color="000000"/>
            </w:tcBorders>
            <w:shd w:val="clear" w:color="auto" w:fill="auto"/>
          </w:tcPr>
          <w:p w14:paraId="79BE9E5B" w14:textId="77777777" w:rsidR="005171C5" w:rsidRPr="005171C5" w:rsidRDefault="005171C5" w:rsidP="005171C5">
            <w:pPr>
              <w:widowControl w:val="0"/>
              <w:suppressAutoHyphens/>
              <w:spacing w:before="40" w:after="40"/>
              <w:rPr>
                <w:rFonts w:eastAsia="細明體" w:cs="Segoe UI"/>
                <w:szCs w:val="17"/>
                <w:lang w:eastAsia="ar-SA"/>
              </w:rPr>
            </w:pPr>
            <w:r w:rsidRPr="005171C5">
              <w:rPr>
                <w:rFonts w:eastAsia="細明體" w:cs="Segoe UI"/>
                <w:sz w:val="17"/>
                <w:szCs w:val="17"/>
                <w:lang w:eastAsia="ar-SA"/>
              </w:rPr>
              <w:t>(d)</w:t>
            </w:r>
          </w:p>
        </w:tc>
        <w:tc>
          <w:tcPr>
            <w:tcW w:w="8872" w:type="dxa"/>
            <w:tcBorders>
              <w:top w:val="single" w:sz="4" w:space="0" w:color="000000"/>
              <w:bottom w:val="single" w:sz="4" w:space="0" w:color="000000"/>
            </w:tcBorders>
            <w:shd w:val="clear" w:color="auto" w:fill="auto"/>
            <w:vAlign w:val="center"/>
          </w:tcPr>
          <w:p w14:paraId="20CE09B6" w14:textId="77777777" w:rsidR="005171C5" w:rsidRPr="005171C5" w:rsidRDefault="005171C5" w:rsidP="0029639E">
            <w:pPr>
              <w:suppressAutoHyphens/>
              <w:spacing w:before="40" w:after="40"/>
              <w:ind w:right="26"/>
              <w:jc w:val="both"/>
              <w:rPr>
                <w:rFonts w:cs="Segoe UI"/>
                <w:sz w:val="17"/>
                <w:lang w:eastAsia="ar-SA"/>
              </w:rPr>
            </w:pPr>
            <w:r w:rsidRPr="005171C5">
              <w:rPr>
                <w:rFonts w:eastAsia="細明體" w:cs="Segoe UI" w:hint="eastAsia"/>
                <w:sz w:val="17"/>
                <w:szCs w:val="17"/>
                <w:lang w:eastAsia="ar-SA"/>
              </w:rPr>
              <w:t>其</w:t>
            </w:r>
            <w:r w:rsidRPr="005171C5">
              <w:rPr>
                <w:rFonts w:eastAsia="細明體" w:cs="Segoe UI" w:hint="eastAsia"/>
                <w:sz w:val="17"/>
                <w:lang w:eastAsia="ar-SA"/>
              </w:rPr>
              <w:t>與</w:t>
            </w:r>
            <w:r w:rsidRPr="005171C5">
              <w:rPr>
                <w:rFonts w:eastAsia="細明體" w:cs="Segoe UI"/>
                <w:sz w:val="17"/>
                <w:szCs w:val="17"/>
                <w:lang w:val="en-US" w:eastAsia="ar-SA"/>
              </w:rPr>
              <w:t>一般錯向風險</w:t>
            </w:r>
            <w:r w:rsidRPr="005171C5">
              <w:rPr>
                <w:rFonts w:eastAsia="細明體" w:cs="Segoe UI" w:hint="eastAsia"/>
                <w:sz w:val="17"/>
                <w:szCs w:val="17"/>
                <w:lang w:val="en-US" w:eastAsia="ar-SA"/>
              </w:rPr>
              <w:t>（</w:t>
            </w:r>
            <w:r w:rsidRPr="005171C5">
              <w:rPr>
                <w:rFonts w:eastAsia="細明體" w:cs="Segoe UI"/>
                <w:sz w:val="17"/>
                <w:szCs w:val="17"/>
                <w:lang w:val="en-US" w:eastAsia="ar-SA"/>
              </w:rPr>
              <w:t>即當對手方的違責或然率與一般市場風險因素有同向關係時所產生的風險</w:t>
            </w:r>
            <w:r w:rsidRPr="005171C5">
              <w:rPr>
                <w:rFonts w:eastAsia="細明體" w:cs="Segoe UI" w:hint="eastAsia"/>
                <w:sz w:val="17"/>
                <w:szCs w:val="17"/>
                <w:lang w:val="en-US" w:eastAsia="ar-SA"/>
              </w:rPr>
              <w:t>）</w:t>
            </w:r>
            <w:r w:rsidRPr="005171C5">
              <w:rPr>
                <w:rFonts w:eastAsia="細明體" w:cs="Segoe UI"/>
                <w:sz w:val="17"/>
                <w:szCs w:val="17"/>
                <w:lang w:eastAsia="ar-SA"/>
              </w:rPr>
              <w:t>及特定錯向風險</w:t>
            </w:r>
            <w:r w:rsidRPr="005171C5">
              <w:rPr>
                <w:rFonts w:eastAsia="細明體" w:cs="Segoe UI" w:hint="eastAsia"/>
                <w:sz w:val="17"/>
                <w:szCs w:val="17"/>
                <w:lang w:val="en-US" w:eastAsia="ar-SA"/>
              </w:rPr>
              <w:t>（為</w:t>
            </w:r>
            <w:r w:rsidRPr="005171C5">
              <w:rPr>
                <w:rFonts w:eastAsia="細明體" w:cs="Segoe UI" w:hint="eastAsia"/>
                <w:iCs/>
                <w:color w:val="000000"/>
                <w:sz w:val="17"/>
                <w:szCs w:val="17"/>
                <w:lang w:eastAsia="ar-SA"/>
              </w:rPr>
              <w:t>《資本規則》</w:t>
            </w:r>
            <w:r w:rsidRPr="005171C5">
              <w:rPr>
                <w:rFonts w:eastAsia="細明體" w:cs="Segoe UI"/>
                <w:sz w:val="17"/>
                <w:szCs w:val="17"/>
                <w:lang w:eastAsia="ar-SA"/>
              </w:rPr>
              <w:t>第</w:t>
            </w:r>
            <w:r w:rsidRPr="005171C5">
              <w:rPr>
                <w:rFonts w:eastAsia="細明體" w:cs="Segoe UI" w:hint="eastAsia"/>
                <w:sz w:val="17"/>
                <w:szCs w:val="17"/>
                <w:lang w:eastAsia="ar-SA"/>
              </w:rPr>
              <w:t>6A</w:t>
            </w:r>
            <w:r w:rsidRPr="005171C5">
              <w:rPr>
                <w:rFonts w:eastAsia="細明體" w:cs="Segoe UI" w:hint="eastAsia"/>
                <w:sz w:val="17"/>
                <w:szCs w:val="17"/>
                <w:lang w:eastAsia="ar-SA"/>
              </w:rPr>
              <w:t>部</w:t>
            </w:r>
            <w:r w:rsidRPr="005171C5">
              <w:rPr>
                <w:rFonts w:eastAsia="細明體" w:cs="Segoe UI"/>
                <w:sz w:val="17"/>
                <w:szCs w:val="17"/>
                <w:lang w:eastAsia="ar-SA"/>
              </w:rPr>
              <w:t>所界定</w:t>
            </w:r>
            <w:r w:rsidRPr="005171C5">
              <w:rPr>
                <w:rFonts w:eastAsia="細明體" w:cs="Segoe UI" w:hint="eastAsia"/>
                <w:sz w:val="17"/>
                <w:szCs w:val="17"/>
                <w:lang w:val="en-US" w:eastAsia="ar-SA"/>
              </w:rPr>
              <w:t>）</w:t>
            </w:r>
            <w:r w:rsidRPr="005171C5">
              <w:rPr>
                <w:rFonts w:eastAsia="細明體" w:cs="Segoe UI"/>
                <w:sz w:val="17"/>
                <w:szCs w:val="17"/>
                <w:lang w:eastAsia="ar-SA"/>
              </w:rPr>
              <w:t>的</w:t>
            </w:r>
            <w:r w:rsidRPr="005171C5">
              <w:rPr>
                <w:rFonts w:eastAsia="細明體" w:cs="Segoe UI" w:hint="eastAsia"/>
                <w:sz w:val="17"/>
                <w:lang w:eastAsia="ar-SA"/>
              </w:rPr>
              <w:t>風險承擔有關的政策；</w:t>
            </w:r>
          </w:p>
        </w:tc>
      </w:tr>
      <w:tr w:rsidR="005171C5" w:rsidRPr="005171C5" w14:paraId="0B352FD2" w14:textId="77777777" w:rsidTr="005171C5">
        <w:trPr>
          <w:trHeight w:val="318"/>
        </w:trPr>
        <w:tc>
          <w:tcPr>
            <w:tcW w:w="370" w:type="dxa"/>
            <w:tcBorders>
              <w:top w:val="single" w:sz="4" w:space="0" w:color="000000"/>
              <w:bottom w:val="single" w:sz="4" w:space="0" w:color="000000"/>
            </w:tcBorders>
            <w:shd w:val="clear" w:color="auto" w:fill="auto"/>
          </w:tcPr>
          <w:p w14:paraId="0216A4B3" w14:textId="77777777" w:rsidR="005171C5" w:rsidRPr="005171C5" w:rsidRDefault="005171C5" w:rsidP="005171C5">
            <w:pPr>
              <w:widowControl w:val="0"/>
              <w:suppressAutoHyphens/>
              <w:spacing w:before="40" w:after="40"/>
              <w:rPr>
                <w:rFonts w:eastAsia="細明體" w:cs="Segoe UI"/>
                <w:lang w:eastAsia="ar-SA"/>
              </w:rPr>
            </w:pPr>
            <w:r w:rsidRPr="005171C5">
              <w:rPr>
                <w:rFonts w:eastAsia="細明體" w:cs="Segoe UI"/>
                <w:sz w:val="17"/>
                <w:szCs w:val="17"/>
                <w:lang w:eastAsia="ar-SA"/>
              </w:rPr>
              <w:t>(e)</w:t>
            </w:r>
          </w:p>
        </w:tc>
        <w:tc>
          <w:tcPr>
            <w:tcW w:w="8872" w:type="dxa"/>
            <w:tcBorders>
              <w:top w:val="single" w:sz="4" w:space="0" w:color="000000"/>
              <w:bottom w:val="single" w:sz="4" w:space="0" w:color="000000"/>
            </w:tcBorders>
            <w:shd w:val="clear" w:color="auto" w:fill="auto"/>
            <w:vAlign w:val="center"/>
          </w:tcPr>
          <w:p w14:paraId="39B90D04"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zh-TW"/>
              </w:rPr>
              <w:t>當</w:t>
            </w:r>
            <w:r w:rsidRPr="005171C5">
              <w:rPr>
                <w:rFonts w:eastAsia="細明體" w:cs="Segoe UI" w:hint="eastAsia"/>
                <w:sz w:val="17"/>
                <w:lang w:eastAsia="ar-SA"/>
              </w:rPr>
              <w:t>信用</w:t>
            </w:r>
            <w:proofErr w:type="gramStart"/>
            <w:r w:rsidRPr="005171C5">
              <w:rPr>
                <w:rFonts w:eastAsia="細明體" w:cs="Segoe UI" w:hint="eastAsia"/>
                <w:sz w:val="17"/>
                <w:lang w:eastAsia="ar-SA"/>
              </w:rPr>
              <w:t>評級</w:t>
            </w:r>
            <w:r w:rsidRPr="005171C5">
              <w:rPr>
                <w:rFonts w:eastAsia="細明體" w:cs="Segoe UI" w:hint="eastAsia"/>
                <w:sz w:val="17"/>
                <w:lang w:eastAsia="zh-TW"/>
              </w:rPr>
              <w:t>遭</w:t>
            </w:r>
            <w:r w:rsidRPr="005171C5">
              <w:rPr>
                <w:rFonts w:eastAsia="細明體" w:cs="Segoe UI" w:hint="eastAsia"/>
                <w:sz w:val="17"/>
                <w:lang w:eastAsia="ar-SA"/>
              </w:rPr>
              <w:t>下</w:t>
            </w:r>
            <w:proofErr w:type="gramEnd"/>
            <w:r w:rsidRPr="005171C5">
              <w:rPr>
                <w:rFonts w:eastAsia="細明體" w:cs="Segoe UI" w:hint="eastAsia"/>
                <w:sz w:val="17"/>
                <w:lang w:eastAsia="ar-SA"/>
              </w:rPr>
              <w:t>調</w:t>
            </w:r>
            <w:r w:rsidRPr="005171C5">
              <w:rPr>
                <w:rFonts w:eastAsia="細明體" w:cs="Segoe UI" w:hint="eastAsia"/>
                <w:sz w:val="17"/>
                <w:lang w:eastAsia="zh-TW"/>
              </w:rPr>
              <w:t>時</w:t>
            </w:r>
            <w:r w:rsidRPr="005171C5">
              <w:rPr>
                <w:rFonts w:eastAsia="細明體" w:cs="Segoe UI" w:hint="eastAsia"/>
                <w:sz w:val="17"/>
                <w:lang w:eastAsia="ar-SA"/>
              </w:rPr>
              <w:t>的影響（以認可機構將須提供的抵押品數額的方式表示）。</w:t>
            </w:r>
          </w:p>
        </w:tc>
      </w:tr>
    </w:tbl>
    <w:p w14:paraId="12783BD9" w14:textId="77777777" w:rsidR="005171C5" w:rsidRPr="005171C5" w:rsidRDefault="005171C5" w:rsidP="005171C5">
      <w:pPr>
        <w:suppressAutoHyphens/>
        <w:rPr>
          <w:rFonts w:eastAsia="細明體" w:cs="Segoe UI"/>
          <w:lang w:eastAsia="ar-SA"/>
        </w:rPr>
      </w:pPr>
    </w:p>
    <w:p w14:paraId="4AC995AE" w14:textId="77777777" w:rsidR="005171C5" w:rsidRDefault="005171C5" w:rsidP="005171C5">
      <w:pPr>
        <w:spacing w:before="40" w:after="40" w:line="259" w:lineRule="auto"/>
        <w:rPr>
          <w:rFonts w:ascii="Calibri" w:eastAsia="細明體" w:hAnsi="Calibri"/>
          <w:sz w:val="22"/>
          <w:szCs w:val="22"/>
          <w:lang w:eastAsia="zh-TW"/>
        </w:rPr>
        <w:sectPr w:rsidR="005171C5" w:rsidSect="005171C5">
          <w:footerReference w:type="default" r:id="rId79"/>
          <w:pgSz w:w="11906" w:h="16838"/>
          <w:pgMar w:top="1440" w:right="1797" w:bottom="1440" w:left="1560" w:header="720" w:footer="737" w:gutter="0"/>
          <w:cols w:space="720"/>
          <w:docGrid w:type="linesAndChars" w:linePitch="360"/>
        </w:sectPr>
      </w:pPr>
    </w:p>
    <w:p w14:paraId="1B0C7642" w14:textId="5F976C9C" w:rsidR="00893D12" w:rsidRPr="00893D12" w:rsidRDefault="00893D12" w:rsidP="00893D12">
      <w:pPr>
        <w:pStyle w:val="Heading2"/>
        <w:keepNext w:val="0"/>
        <w:suppressAutoHyphens w:val="0"/>
        <w:spacing w:before="40" w:line="240" w:lineRule="auto"/>
        <w:ind w:left="-454"/>
        <w:rPr>
          <w:rFonts w:ascii="細明體" w:eastAsia="細明體" w:hAnsi="細明體"/>
          <w:b w:val="0"/>
          <w:bCs w:val="0"/>
          <w:sz w:val="22"/>
          <w:szCs w:val="20"/>
          <w:lang w:eastAsia="zh-TW"/>
        </w:rPr>
      </w:pPr>
      <w:r w:rsidRPr="00893D12">
        <w:rPr>
          <w:rFonts w:ascii="細明體" w:eastAsia="細明體" w:hAnsi="細明體" w:cs="微軟正黑體" w:hint="eastAsia"/>
          <w:b w:val="0"/>
          <w:bCs w:val="0"/>
          <w:sz w:val="22"/>
          <w:szCs w:val="20"/>
          <w:lang w:eastAsia="zh-TW"/>
        </w:rPr>
        <w:t>模版</w:t>
      </w:r>
      <w:r w:rsidRPr="00105156">
        <w:rPr>
          <w:rFonts w:ascii="Segoe UI" w:eastAsia="細明體" w:hAnsi="Segoe UI" w:cs="Segoe UI"/>
          <w:b w:val="0"/>
          <w:bCs w:val="0"/>
          <w:sz w:val="22"/>
          <w:szCs w:val="20"/>
          <w:lang w:eastAsia="zh-TW"/>
        </w:rPr>
        <w:t>CCR1</w:t>
      </w:r>
      <w:r w:rsidRPr="00893D12">
        <w:rPr>
          <w:rFonts w:ascii="細明體" w:eastAsia="細明體" w:hAnsi="細明體" w:cs="微軟正黑體" w:hint="eastAsia"/>
          <w:b w:val="0"/>
          <w:bCs w:val="0"/>
          <w:sz w:val="22"/>
          <w:szCs w:val="20"/>
          <w:lang w:eastAsia="zh-TW"/>
        </w:rPr>
        <w:t>：按計算法劃分的對手方信用風險承擔（對中央交易對手方的風險承擔除外）分析</w:t>
      </w:r>
    </w:p>
    <w:tbl>
      <w:tblPr>
        <w:tblW w:w="9394" w:type="dxa"/>
        <w:tblInd w:w="-459" w:type="dxa"/>
        <w:tblLayout w:type="fixed"/>
        <w:tblLook w:val="0000" w:firstRow="0" w:lastRow="0" w:firstColumn="0" w:lastColumn="0" w:noHBand="0" w:noVBand="0"/>
      </w:tblPr>
      <w:tblGrid>
        <w:gridCol w:w="2160"/>
        <w:gridCol w:w="7234"/>
      </w:tblGrid>
      <w:tr w:rsidR="005171C5" w:rsidRPr="005171C5" w14:paraId="4EE99CE7" w14:textId="77777777" w:rsidTr="0029639E">
        <w:tc>
          <w:tcPr>
            <w:tcW w:w="2160" w:type="dxa"/>
            <w:tcBorders>
              <w:top w:val="single" w:sz="4" w:space="0" w:color="000000"/>
              <w:bottom w:val="single" w:sz="4" w:space="0" w:color="000000"/>
            </w:tcBorders>
            <w:shd w:val="clear" w:color="auto" w:fill="auto"/>
          </w:tcPr>
          <w:p w14:paraId="655360D2"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目的：</w:t>
            </w:r>
            <w:r w:rsidRPr="005171C5">
              <w:rPr>
                <w:rFonts w:ascii="Calibri" w:eastAsia="細明體" w:hAnsi="Calibri"/>
                <w:sz w:val="17"/>
                <w:szCs w:val="22"/>
                <w:lang w:eastAsia="zh-CN"/>
              </w:rPr>
              <w:t xml:space="preserve"> </w:t>
            </w:r>
          </w:p>
        </w:tc>
        <w:tc>
          <w:tcPr>
            <w:tcW w:w="7234" w:type="dxa"/>
            <w:tcBorders>
              <w:top w:val="single" w:sz="4" w:space="0" w:color="000000"/>
              <w:left w:val="single" w:sz="4" w:space="0" w:color="000000"/>
              <w:bottom w:val="single" w:sz="4" w:space="0" w:color="000000"/>
            </w:tcBorders>
            <w:shd w:val="clear" w:color="auto" w:fill="auto"/>
          </w:tcPr>
          <w:p w14:paraId="4AB64E60" w14:textId="4F2E97B4"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就違責風險的風險承擔（對中央交易對手方的風險承擔除外）、風險加權數額及（如適用的話）用以計算衍生工具合約及</w:t>
            </w:r>
            <w:r w:rsidRPr="005171C5">
              <w:rPr>
                <w:rFonts w:eastAsia="細明體" w:cs="Segoe UI" w:hint="cs"/>
                <w:sz w:val="17"/>
                <w:lang w:eastAsia="ar-SA"/>
              </w:rPr>
              <w:t>SFT</w:t>
            </w:r>
            <w:r w:rsidRPr="005171C5">
              <w:rPr>
                <w:rFonts w:eastAsia="細明體" w:cs="Segoe UI" w:hint="eastAsia"/>
                <w:sz w:val="17"/>
                <w:lang w:eastAsia="ar-SA"/>
              </w:rPr>
              <w:t>的違責風險的風險承擔的計算法下使用的主要參數，提供詳盡細目分類。</w:t>
            </w:r>
          </w:p>
        </w:tc>
      </w:tr>
      <w:tr w:rsidR="005171C5" w:rsidRPr="005171C5" w14:paraId="1CBBACD4" w14:textId="77777777" w:rsidTr="0029639E">
        <w:tc>
          <w:tcPr>
            <w:tcW w:w="2160" w:type="dxa"/>
            <w:tcBorders>
              <w:top w:val="single" w:sz="4" w:space="0" w:color="000000"/>
              <w:bottom w:val="single" w:sz="4" w:space="0" w:color="000000"/>
            </w:tcBorders>
            <w:shd w:val="clear" w:color="auto" w:fill="auto"/>
          </w:tcPr>
          <w:p w14:paraId="73353690" w14:textId="77777777" w:rsidR="005171C5" w:rsidRPr="005171C5" w:rsidRDefault="005171C5" w:rsidP="005171C5">
            <w:pPr>
              <w:spacing w:before="40" w:after="40" w:line="259" w:lineRule="auto"/>
              <w:rPr>
                <w:rFonts w:ascii="Calibri" w:eastAsia="細明體" w:hAnsi="Calibri"/>
                <w:sz w:val="17"/>
                <w:szCs w:val="22"/>
                <w:lang w:eastAsia="zh-CN"/>
              </w:rPr>
            </w:pPr>
            <w:r w:rsidRPr="005171C5">
              <w:rPr>
                <w:rFonts w:ascii="Calibri" w:eastAsia="細明體" w:hAnsi="Calibri" w:hint="eastAsia"/>
                <w:b/>
                <w:sz w:val="17"/>
                <w:szCs w:val="22"/>
                <w:lang w:eastAsia="zh-CN"/>
              </w:rPr>
              <w:t>適用範</w:t>
            </w:r>
            <w:proofErr w:type="gramStart"/>
            <w:r w:rsidRPr="005171C5">
              <w:rPr>
                <w:rFonts w:ascii="Calibri" w:eastAsia="細明體" w:hAnsi="Calibri" w:hint="eastAsia"/>
                <w:b/>
                <w:sz w:val="17"/>
                <w:szCs w:val="22"/>
                <w:lang w:eastAsia="zh-CN"/>
              </w:rPr>
              <w:t>圍</w:t>
            </w:r>
            <w:proofErr w:type="gramEnd"/>
            <w:r w:rsidRPr="005171C5">
              <w:rPr>
                <w:rFonts w:ascii="Calibri" w:eastAsia="細明體" w:hAnsi="Calibri" w:hint="eastAsia"/>
                <w:b/>
                <w:sz w:val="17"/>
                <w:szCs w:val="22"/>
                <w:lang w:eastAsia="zh-CN"/>
              </w:rPr>
              <w:t>：</w:t>
            </w:r>
            <w:r w:rsidRPr="005171C5">
              <w:rPr>
                <w:rFonts w:ascii="Calibri" w:eastAsia="細明體" w:hAnsi="Calibri"/>
                <w:b/>
                <w:sz w:val="17"/>
                <w:szCs w:val="22"/>
                <w:lang w:eastAsia="zh-CN"/>
              </w:rPr>
              <w:t xml:space="preserve"> </w:t>
            </w:r>
          </w:p>
        </w:tc>
        <w:tc>
          <w:tcPr>
            <w:tcW w:w="7234" w:type="dxa"/>
            <w:tcBorders>
              <w:top w:val="single" w:sz="4" w:space="0" w:color="000000"/>
              <w:left w:val="single" w:sz="4" w:space="0" w:color="000000"/>
              <w:bottom w:val="single" w:sz="4" w:space="0" w:color="000000"/>
            </w:tcBorders>
            <w:shd w:val="clear" w:color="auto" w:fill="auto"/>
          </w:tcPr>
          <w:p w14:paraId="5B7B1AB0" w14:textId="77777777" w:rsidR="005171C5" w:rsidRPr="005171C5" w:rsidRDefault="005171C5" w:rsidP="005171C5">
            <w:pPr>
              <w:spacing w:before="40" w:after="40" w:line="259" w:lineRule="auto"/>
              <w:jc w:val="both"/>
              <w:rPr>
                <w:rFonts w:ascii="Calibri" w:eastAsia="新細明體" w:hAnsi="Calibri"/>
                <w:sz w:val="22"/>
                <w:szCs w:val="22"/>
                <w:lang w:eastAsia="zh-TW"/>
              </w:rPr>
            </w:pPr>
            <w:r w:rsidRPr="005171C5">
              <w:rPr>
                <w:rFonts w:ascii="Calibri" w:eastAsia="細明體" w:hAnsi="Calibri" w:hint="eastAsia"/>
                <w:sz w:val="17"/>
                <w:szCs w:val="22"/>
                <w:lang w:eastAsia="zh-TW"/>
              </w:rPr>
              <w:t>所有在香港成立</w:t>
            </w:r>
            <w:proofErr w:type="gramStart"/>
            <w:r w:rsidRPr="005171C5">
              <w:rPr>
                <w:rFonts w:ascii="Calibri" w:eastAsia="細明體" w:hAnsi="Calibri" w:hint="eastAsia"/>
                <w:sz w:val="17"/>
                <w:szCs w:val="22"/>
                <w:lang w:eastAsia="zh-TW"/>
              </w:rPr>
              <w:t>為法團的</w:t>
            </w:r>
            <w:proofErr w:type="gramEnd"/>
            <w:r w:rsidRPr="005171C5">
              <w:rPr>
                <w:rFonts w:ascii="Calibri" w:eastAsia="細明體" w:hAnsi="Calibri" w:hint="eastAsia"/>
                <w:sz w:val="17"/>
                <w:szCs w:val="22"/>
                <w:lang w:eastAsia="zh-TW"/>
              </w:rPr>
              <w:t>認可機構</w:t>
            </w:r>
            <w:proofErr w:type="gramStart"/>
            <w:r w:rsidRPr="005171C5">
              <w:rPr>
                <w:rFonts w:ascii="Calibri" w:eastAsia="細明體" w:hAnsi="Calibri" w:hint="eastAsia"/>
                <w:sz w:val="17"/>
                <w:szCs w:val="22"/>
                <w:lang w:eastAsia="zh-TW"/>
              </w:rPr>
              <w:t>均須填報本模</w:t>
            </w:r>
            <w:proofErr w:type="gramEnd"/>
            <w:r w:rsidRPr="005171C5">
              <w:rPr>
                <w:rFonts w:ascii="Calibri" w:eastAsia="細明體" w:hAnsi="Calibri" w:hint="eastAsia"/>
                <w:sz w:val="17"/>
                <w:szCs w:val="22"/>
                <w:lang w:eastAsia="zh-TW"/>
              </w:rPr>
              <w:t>版。</w:t>
            </w:r>
          </w:p>
        </w:tc>
      </w:tr>
      <w:tr w:rsidR="005171C5" w:rsidRPr="005171C5" w14:paraId="1B3C7154" w14:textId="77777777" w:rsidTr="0029639E">
        <w:tc>
          <w:tcPr>
            <w:tcW w:w="2160" w:type="dxa"/>
            <w:tcBorders>
              <w:top w:val="single" w:sz="4" w:space="0" w:color="000000"/>
              <w:bottom w:val="single" w:sz="4" w:space="0" w:color="000000"/>
            </w:tcBorders>
            <w:shd w:val="clear" w:color="auto" w:fill="auto"/>
          </w:tcPr>
          <w:p w14:paraId="66E20127" w14:textId="77777777" w:rsidR="005171C5" w:rsidRPr="005171C5" w:rsidRDefault="005171C5" w:rsidP="005171C5">
            <w:pPr>
              <w:spacing w:before="40" w:after="40" w:line="259" w:lineRule="auto"/>
              <w:rPr>
                <w:rFonts w:ascii="Calibri" w:eastAsia="細明體" w:hAnsi="Calibri"/>
                <w:sz w:val="17"/>
                <w:szCs w:val="22"/>
                <w:lang w:eastAsia="zh-CN"/>
              </w:rPr>
            </w:pPr>
            <w:proofErr w:type="gramStart"/>
            <w:r w:rsidRPr="005171C5">
              <w:rPr>
                <w:rFonts w:ascii="Calibri" w:eastAsia="細明體" w:hAnsi="Calibri" w:hint="eastAsia"/>
                <w:b/>
                <w:sz w:val="17"/>
                <w:szCs w:val="22"/>
                <w:lang w:eastAsia="zh-CN"/>
              </w:rPr>
              <w:t>內</w:t>
            </w:r>
            <w:proofErr w:type="gramEnd"/>
            <w:r w:rsidRPr="005171C5">
              <w:rPr>
                <w:rFonts w:ascii="Calibri" w:eastAsia="細明體" w:hAnsi="Calibri" w:hint="eastAsia"/>
                <w:b/>
                <w:sz w:val="17"/>
                <w:szCs w:val="22"/>
                <w:lang w:eastAsia="zh-CN"/>
              </w:rPr>
              <w:t>容：</w:t>
            </w:r>
            <w:r w:rsidRPr="005171C5">
              <w:rPr>
                <w:rFonts w:ascii="Calibri" w:eastAsia="細明體" w:hAnsi="Calibri"/>
                <w:b/>
                <w:sz w:val="17"/>
                <w:szCs w:val="22"/>
                <w:lang w:eastAsia="zh-CN"/>
              </w:rPr>
              <w:t xml:space="preserve"> </w:t>
            </w:r>
          </w:p>
        </w:tc>
        <w:tc>
          <w:tcPr>
            <w:tcW w:w="7234" w:type="dxa"/>
            <w:tcBorders>
              <w:top w:val="single" w:sz="4" w:space="0" w:color="000000"/>
              <w:left w:val="single" w:sz="4" w:space="0" w:color="000000"/>
              <w:bottom w:val="single" w:sz="4" w:space="0" w:color="000000"/>
            </w:tcBorders>
            <w:shd w:val="clear" w:color="auto" w:fill="auto"/>
          </w:tcPr>
          <w:p w14:paraId="07532198" w14:textId="497EB7F8" w:rsidR="005171C5" w:rsidRPr="005171C5" w:rsidRDefault="005171C5" w:rsidP="005171C5">
            <w:pPr>
              <w:spacing w:before="40" w:after="40" w:line="259" w:lineRule="auto"/>
              <w:jc w:val="both"/>
              <w:rPr>
                <w:rFonts w:ascii="Calibri" w:eastAsia="新細明體" w:hAnsi="Calibri"/>
                <w:sz w:val="22"/>
                <w:szCs w:val="22"/>
                <w:lang w:eastAsia="zh-TW"/>
              </w:rPr>
            </w:pPr>
            <w:proofErr w:type="gramStart"/>
            <w:r w:rsidRPr="005171C5">
              <w:rPr>
                <w:rFonts w:ascii="Calibri" w:eastAsia="細明體" w:hAnsi="Calibri" w:hint="eastAsia"/>
                <w:sz w:val="17"/>
                <w:szCs w:val="22"/>
                <w:lang w:eastAsia="zh-TW"/>
              </w:rPr>
              <w:t>違責風險</w:t>
            </w:r>
            <w:proofErr w:type="gramEnd"/>
            <w:r w:rsidRPr="005171C5">
              <w:rPr>
                <w:rFonts w:ascii="Calibri" w:eastAsia="細明體" w:hAnsi="Calibri" w:hint="eastAsia"/>
                <w:sz w:val="17"/>
                <w:szCs w:val="22"/>
                <w:lang w:eastAsia="zh-TW"/>
              </w:rPr>
              <w:t>的風險承擔（對中央交易對手方的風險承擔除外）、風險加權數額及用以計算認可機構於衍生工具合約及</w:t>
            </w:r>
            <w:r w:rsidRPr="005171C5">
              <w:rPr>
                <w:rFonts w:eastAsia="細明體" w:cs="Segoe UI"/>
                <w:sz w:val="17"/>
                <w:szCs w:val="22"/>
                <w:lang w:eastAsia="zh-TW"/>
              </w:rPr>
              <w:t>SFT</w:t>
            </w:r>
            <w:proofErr w:type="gramStart"/>
            <w:r w:rsidRPr="005171C5">
              <w:rPr>
                <w:rFonts w:ascii="Calibri" w:eastAsia="細明體" w:hAnsi="Calibri" w:hint="eastAsia"/>
                <w:sz w:val="17"/>
                <w:szCs w:val="22"/>
                <w:lang w:eastAsia="zh-TW"/>
              </w:rPr>
              <w:t>的違責風險</w:t>
            </w:r>
            <w:proofErr w:type="gramEnd"/>
            <w:r w:rsidRPr="005171C5">
              <w:rPr>
                <w:rFonts w:ascii="Calibri" w:eastAsia="細明體" w:hAnsi="Calibri" w:hint="eastAsia"/>
                <w:sz w:val="17"/>
                <w:szCs w:val="22"/>
                <w:lang w:eastAsia="zh-TW"/>
              </w:rPr>
              <w:t>的風險承擔的計算法下使用的參數。</w:t>
            </w:r>
          </w:p>
        </w:tc>
      </w:tr>
      <w:tr w:rsidR="005171C5" w:rsidRPr="005171C5" w14:paraId="033E00D8" w14:textId="77777777" w:rsidTr="0029639E">
        <w:tc>
          <w:tcPr>
            <w:tcW w:w="2160" w:type="dxa"/>
            <w:tcBorders>
              <w:top w:val="single" w:sz="4" w:space="0" w:color="000000"/>
              <w:bottom w:val="single" w:sz="4" w:space="0" w:color="000000"/>
            </w:tcBorders>
            <w:shd w:val="clear" w:color="auto" w:fill="auto"/>
          </w:tcPr>
          <w:p w14:paraId="78D46453"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頻密程度：</w:t>
            </w:r>
            <w:r w:rsidRPr="005171C5">
              <w:rPr>
                <w:rFonts w:ascii="Calibri" w:eastAsia="細明體" w:hAnsi="Calibri"/>
                <w:sz w:val="17"/>
                <w:szCs w:val="22"/>
                <w:lang w:eastAsia="zh-CN"/>
              </w:rPr>
              <w:t xml:space="preserve"> </w:t>
            </w:r>
          </w:p>
        </w:tc>
        <w:tc>
          <w:tcPr>
            <w:tcW w:w="7234" w:type="dxa"/>
            <w:tcBorders>
              <w:top w:val="single" w:sz="4" w:space="0" w:color="000000"/>
              <w:left w:val="single" w:sz="4" w:space="0" w:color="000000"/>
              <w:bottom w:val="single" w:sz="4" w:space="0" w:color="000000"/>
            </w:tcBorders>
            <w:shd w:val="clear" w:color="auto" w:fill="auto"/>
          </w:tcPr>
          <w:p w14:paraId="0719C8EE"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每半年一次</w:t>
            </w:r>
            <w:r w:rsidRPr="005171C5">
              <w:rPr>
                <w:rFonts w:eastAsia="細明體" w:cs="Segoe UI"/>
                <w:sz w:val="17"/>
                <w:lang w:eastAsia="ar-SA"/>
              </w:rPr>
              <w:t>。</w:t>
            </w:r>
          </w:p>
        </w:tc>
      </w:tr>
      <w:tr w:rsidR="005171C5" w:rsidRPr="005171C5" w14:paraId="1F91A281" w14:textId="77777777" w:rsidTr="0029639E">
        <w:tc>
          <w:tcPr>
            <w:tcW w:w="2160" w:type="dxa"/>
            <w:tcBorders>
              <w:top w:val="single" w:sz="4" w:space="0" w:color="000000"/>
              <w:bottom w:val="single" w:sz="4" w:space="0" w:color="000000"/>
            </w:tcBorders>
            <w:shd w:val="clear" w:color="auto" w:fill="auto"/>
          </w:tcPr>
          <w:p w14:paraId="7CB322A6"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格式：</w:t>
            </w:r>
            <w:r w:rsidRPr="005171C5">
              <w:rPr>
                <w:rFonts w:ascii="Calibri" w:eastAsia="細明體" w:hAnsi="Calibri"/>
                <w:sz w:val="17"/>
                <w:szCs w:val="22"/>
                <w:lang w:eastAsia="zh-CN"/>
              </w:rPr>
              <w:t xml:space="preserve"> </w:t>
            </w:r>
          </w:p>
        </w:tc>
        <w:tc>
          <w:tcPr>
            <w:tcW w:w="7234" w:type="dxa"/>
            <w:tcBorders>
              <w:top w:val="single" w:sz="4" w:space="0" w:color="000000"/>
              <w:left w:val="single" w:sz="4" w:space="0" w:color="000000"/>
              <w:bottom w:val="single" w:sz="4" w:space="0" w:color="000000"/>
            </w:tcBorders>
            <w:shd w:val="clear" w:color="auto" w:fill="auto"/>
          </w:tcPr>
          <w:p w14:paraId="7F4545BF"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固定</w:t>
            </w:r>
            <w:r w:rsidRPr="005171C5">
              <w:rPr>
                <w:rFonts w:eastAsia="細明體" w:cs="Segoe UI"/>
                <w:sz w:val="17"/>
                <w:lang w:eastAsia="ar-SA"/>
              </w:rPr>
              <w:t>。</w:t>
            </w:r>
          </w:p>
        </w:tc>
      </w:tr>
      <w:tr w:rsidR="005171C5" w:rsidRPr="005171C5" w14:paraId="68AC2A51" w14:textId="77777777" w:rsidTr="0029639E">
        <w:tc>
          <w:tcPr>
            <w:tcW w:w="2160" w:type="dxa"/>
            <w:tcBorders>
              <w:top w:val="single" w:sz="4" w:space="0" w:color="000000"/>
              <w:bottom w:val="single" w:sz="4" w:space="0" w:color="000000"/>
            </w:tcBorders>
            <w:shd w:val="clear" w:color="auto" w:fill="auto"/>
          </w:tcPr>
          <w:p w14:paraId="3113FAEB" w14:textId="77777777" w:rsidR="005171C5" w:rsidRPr="005171C5" w:rsidRDefault="005171C5" w:rsidP="005171C5">
            <w:pPr>
              <w:spacing w:before="40" w:after="40" w:line="259" w:lineRule="auto"/>
              <w:rPr>
                <w:rFonts w:ascii="Calibri" w:eastAsia="細明體" w:hAnsi="Calibri"/>
                <w:sz w:val="22"/>
                <w:szCs w:val="17"/>
                <w:lang w:eastAsia="zh-CN"/>
              </w:rPr>
            </w:pPr>
            <w:r w:rsidRPr="005171C5">
              <w:rPr>
                <w:rFonts w:ascii="Calibri" w:eastAsia="細明體" w:hAnsi="Calibri" w:hint="eastAsia"/>
                <w:b/>
                <w:sz w:val="17"/>
                <w:szCs w:val="17"/>
                <w:lang w:eastAsia="zh-CN"/>
              </w:rPr>
              <w:t>附加說明：</w:t>
            </w:r>
          </w:p>
        </w:tc>
        <w:tc>
          <w:tcPr>
            <w:tcW w:w="7234" w:type="dxa"/>
            <w:tcBorders>
              <w:top w:val="single" w:sz="4" w:space="0" w:color="000000"/>
              <w:left w:val="single" w:sz="4" w:space="0" w:color="000000"/>
              <w:bottom w:val="single" w:sz="4" w:space="0" w:color="000000"/>
            </w:tcBorders>
            <w:shd w:val="clear" w:color="auto" w:fill="auto"/>
          </w:tcPr>
          <w:p w14:paraId="668DCADB" w14:textId="35B3ADFC" w:rsidR="005171C5" w:rsidRPr="005171C5" w:rsidRDefault="005171C5" w:rsidP="00186F18">
            <w:pPr>
              <w:suppressAutoHyphens/>
              <w:spacing w:before="40" w:after="40"/>
              <w:jc w:val="both"/>
              <w:rPr>
                <w:rFonts w:cs="Segoe UI"/>
                <w:sz w:val="17"/>
                <w:lang w:eastAsia="ar-SA"/>
              </w:rPr>
            </w:pPr>
            <w:r w:rsidRPr="005171C5">
              <w:rPr>
                <w:rFonts w:eastAsia="細明體" w:cs="Segoe UI" w:hint="eastAsia"/>
                <w:sz w:val="17"/>
                <w:szCs w:val="17"/>
                <w:lang w:eastAsia="ar-SA"/>
              </w:rPr>
              <w:t>認可機構應以敘述評註闡明現行報告期內其</w:t>
            </w:r>
            <w:r w:rsidRPr="005171C5">
              <w:rPr>
                <w:rFonts w:eastAsia="細明體" w:cs="Segoe UI"/>
                <w:sz w:val="17"/>
                <w:szCs w:val="17"/>
                <w:lang w:eastAsia="ar-SA"/>
              </w:rPr>
              <w:t>風險加權數額</w:t>
            </w:r>
            <w:r w:rsidRPr="005171C5">
              <w:rPr>
                <w:rFonts w:eastAsia="細明體" w:cs="Segoe UI" w:hint="eastAsia"/>
                <w:sz w:val="17"/>
                <w:szCs w:val="17"/>
                <w:lang w:eastAsia="ar-SA"/>
              </w:rPr>
              <w:t>的任何重大</w:t>
            </w:r>
            <w:r w:rsidR="00186F18" w:rsidRPr="00186F18">
              <w:rPr>
                <w:rFonts w:eastAsia="細明體" w:cs="Segoe UI" w:hint="eastAsia"/>
                <w:sz w:val="17"/>
                <w:szCs w:val="17"/>
                <w:lang w:eastAsia="ar-SA"/>
              </w:rPr>
              <w:t>改</w:t>
            </w:r>
            <w:r w:rsidRPr="005171C5">
              <w:rPr>
                <w:rFonts w:eastAsia="細明體" w:cs="Segoe UI" w:hint="eastAsia"/>
                <w:sz w:val="17"/>
                <w:szCs w:val="17"/>
                <w:lang w:eastAsia="ar-SA"/>
              </w:rPr>
              <w:t>變及引致該等</w:t>
            </w:r>
            <w:r w:rsidR="00186F18" w:rsidRPr="00186F18">
              <w:rPr>
                <w:rFonts w:eastAsia="細明體" w:cs="Segoe UI" w:hint="eastAsia"/>
                <w:sz w:val="17"/>
                <w:szCs w:val="17"/>
                <w:lang w:eastAsia="ar-SA"/>
              </w:rPr>
              <w:t>改</w:t>
            </w:r>
            <w:r w:rsidRPr="005171C5">
              <w:rPr>
                <w:rFonts w:eastAsia="細明體" w:cs="Segoe UI" w:hint="eastAsia"/>
                <w:sz w:val="17"/>
                <w:szCs w:val="17"/>
                <w:lang w:eastAsia="ar-SA"/>
              </w:rPr>
              <w:t>變的主要驅動因素，以補充本模版。</w:t>
            </w:r>
          </w:p>
        </w:tc>
      </w:tr>
      <w:tr w:rsidR="005171C5" w:rsidRPr="005171C5" w14:paraId="18241CDD" w14:textId="77777777" w:rsidTr="0029639E">
        <w:tc>
          <w:tcPr>
            <w:tcW w:w="2160" w:type="dxa"/>
            <w:tcBorders>
              <w:top w:val="single" w:sz="4" w:space="0" w:color="000000"/>
              <w:bottom w:val="single" w:sz="4" w:space="0" w:color="000000"/>
            </w:tcBorders>
            <w:shd w:val="clear" w:color="auto" w:fill="auto"/>
          </w:tcPr>
          <w:p w14:paraId="2FE061CF" w14:textId="77777777" w:rsidR="005171C5" w:rsidRPr="005171C5" w:rsidRDefault="005171C5" w:rsidP="005171C5">
            <w:pPr>
              <w:spacing w:before="40" w:after="40" w:line="259" w:lineRule="auto"/>
              <w:rPr>
                <w:rFonts w:ascii="Calibri" w:eastAsia="細明體" w:hAnsi="Calibri"/>
                <w:sz w:val="22"/>
                <w:szCs w:val="17"/>
                <w:lang w:eastAsia="zh-TW"/>
              </w:rPr>
            </w:pPr>
            <w:r w:rsidRPr="005171C5">
              <w:rPr>
                <w:rFonts w:ascii="Calibri" w:eastAsia="細明體" w:hAnsi="Calibri" w:hint="eastAsia"/>
                <w:b/>
                <w:sz w:val="17"/>
                <w:szCs w:val="17"/>
                <w:lang w:eastAsia="zh-TW"/>
              </w:rPr>
              <w:t>《披露規則》相應條文：</w:t>
            </w:r>
          </w:p>
        </w:tc>
        <w:tc>
          <w:tcPr>
            <w:tcW w:w="7234" w:type="dxa"/>
            <w:tcBorders>
              <w:top w:val="single" w:sz="4" w:space="0" w:color="000000"/>
              <w:left w:val="single" w:sz="4" w:space="0" w:color="000000"/>
              <w:bottom w:val="single" w:sz="4" w:space="0" w:color="000000"/>
            </w:tcBorders>
            <w:shd w:val="clear" w:color="auto" w:fill="auto"/>
          </w:tcPr>
          <w:p w14:paraId="4E1509C1"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sz w:val="17"/>
                <w:szCs w:val="17"/>
                <w:lang w:eastAsia="ar-SA"/>
              </w:rPr>
              <w:t>16W</w:t>
            </w:r>
          </w:p>
        </w:tc>
      </w:tr>
    </w:tbl>
    <w:p w14:paraId="3C740567" w14:textId="77777777" w:rsidR="005171C5" w:rsidRPr="005171C5" w:rsidRDefault="005171C5" w:rsidP="005171C5">
      <w:pPr>
        <w:spacing w:before="120" w:after="120" w:line="259" w:lineRule="auto"/>
        <w:ind w:left="-566"/>
        <w:rPr>
          <w:rFonts w:ascii="Calibri" w:eastAsia="細明體" w:hAnsi="Calibri"/>
          <w:sz w:val="22"/>
          <w:szCs w:val="22"/>
          <w:lang w:eastAsia="zh-CN"/>
        </w:rPr>
      </w:pPr>
    </w:p>
    <w:tbl>
      <w:tblPr>
        <w:tblW w:w="0" w:type="auto"/>
        <w:tblInd w:w="-459" w:type="dxa"/>
        <w:tblLayout w:type="fixed"/>
        <w:tblLook w:val="0000" w:firstRow="0" w:lastRow="0" w:firstColumn="0" w:lastColumn="0" w:noHBand="0" w:noVBand="0"/>
      </w:tblPr>
      <w:tblGrid>
        <w:gridCol w:w="425"/>
        <w:gridCol w:w="2977"/>
        <w:gridCol w:w="851"/>
        <w:gridCol w:w="850"/>
        <w:gridCol w:w="993"/>
        <w:gridCol w:w="1134"/>
        <w:gridCol w:w="1275"/>
        <w:gridCol w:w="870"/>
      </w:tblGrid>
      <w:tr w:rsidR="005171C5" w:rsidRPr="005171C5" w14:paraId="7283C3A9" w14:textId="77777777" w:rsidTr="005171C5">
        <w:trPr>
          <w:cantSplit/>
          <w:tblHeader/>
        </w:trPr>
        <w:tc>
          <w:tcPr>
            <w:tcW w:w="425" w:type="dxa"/>
            <w:shd w:val="clear" w:color="auto" w:fill="auto"/>
          </w:tcPr>
          <w:p w14:paraId="4A002652"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2977" w:type="dxa"/>
            <w:shd w:val="clear" w:color="auto" w:fill="auto"/>
            <w:vAlign w:val="center"/>
          </w:tcPr>
          <w:p w14:paraId="02CAF2D5" w14:textId="77777777" w:rsidR="005171C5" w:rsidRPr="005171C5" w:rsidRDefault="005171C5" w:rsidP="005171C5">
            <w:pPr>
              <w:suppressAutoHyphens/>
              <w:snapToGrid w:val="0"/>
              <w:spacing w:before="40" w:after="40"/>
              <w:ind w:left="-958"/>
              <w:rPr>
                <w:rFonts w:eastAsia="細明體" w:cs="Segoe UI"/>
                <w:sz w:val="17"/>
                <w:szCs w:val="17"/>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3ED27D17" w14:textId="77777777" w:rsidR="005171C5" w:rsidRPr="005171C5" w:rsidRDefault="005171C5" w:rsidP="005171C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(a)</w:t>
            </w:r>
          </w:p>
        </w:tc>
        <w:tc>
          <w:tcPr>
            <w:tcW w:w="850" w:type="dxa"/>
            <w:tcBorders>
              <w:top w:val="single" w:sz="4" w:space="0" w:color="000000"/>
              <w:left w:val="single" w:sz="4" w:space="0" w:color="000000"/>
              <w:bottom w:val="single" w:sz="4" w:space="0" w:color="000000"/>
            </w:tcBorders>
            <w:shd w:val="clear" w:color="auto" w:fill="auto"/>
            <w:vAlign w:val="center"/>
          </w:tcPr>
          <w:p w14:paraId="2C15BF8A" w14:textId="77777777" w:rsidR="005171C5" w:rsidRPr="005171C5" w:rsidRDefault="005171C5" w:rsidP="005171C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(b)</w:t>
            </w:r>
          </w:p>
        </w:tc>
        <w:tc>
          <w:tcPr>
            <w:tcW w:w="993" w:type="dxa"/>
            <w:tcBorders>
              <w:top w:val="single" w:sz="4" w:space="0" w:color="000000"/>
              <w:left w:val="single" w:sz="4" w:space="0" w:color="000000"/>
              <w:bottom w:val="single" w:sz="4" w:space="0" w:color="000000"/>
            </w:tcBorders>
            <w:shd w:val="clear" w:color="auto" w:fill="auto"/>
            <w:vAlign w:val="center"/>
          </w:tcPr>
          <w:p w14:paraId="5961D5FE" w14:textId="77777777" w:rsidR="005171C5" w:rsidRPr="005171C5" w:rsidRDefault="005171C5" w:rsidP="005171C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(c)</w:t>
            </w:r>
          </w:p>
        </w:tc>
        <w:tc>
          <w:tcPr>
            <w:tcW w:w="1134" w:type="dxa"/>
            <w:tcBorders>
              <w:top w:val="single" w:sz="4" w:space="0" w:color="000000"/>
              <w:left w:val="single" w:sz="4" w:space="0" w:color="000000"/>
              <w:bottom w:val="single" w:sz="4" w:space="0" w:color="000000"/>
            </w:tcBorders>
            <w:shd w:val="clear" w:color="auto" w:fill="auto"/>
            <w:vAlign w:val="center"/>
          </w:tcPr>
          <w:p w14:paraId="195B4858" w14:textId="77777777" w:rsidR="005171C5" w:rsidRPr="005171C5" w:rsidRDefault="005171C5" w:rsidP="005171C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(d)</w:t>
            </w:r>
          </w:p>
        </w:tc>
        <w:tc>
          <w:tcPr>
            <w:tcW w:w="1275" w:type="dxa"/>
            <w:tcBorders>
              <w:top w:val="single" w:sz="4" w:space="0" w:color="000000"/>
              <w:left w:val="single" w:sz="4" w:space="0" w:color="000000"/>
              <w:bottom w:val="single" w:sz="4" w:space="0" w:color="000000"/>
            </w:tcBorders>
            <w:shd w:val="clear" w:color="auto" w:fill="auto"/>
            <w:vAlign w:val="center"/>
          </w:tcPr>
          <w:p w14:paraId="5DF30DFE" w14:textId="77777777" w:rsidR="005171C5" w:rsidRPr="005171C5" w:rsidRDefault="005171C5" w:rsidP="005171C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(e)</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A1B0" w14:textId="77777777" w:rsidR="005171C5" w:rsidRPr="005171C5" w:rsidRDefault="005171C5" w:rsidP="005171C5">
            <w:pPr>
              <w:suppressAutoHyphens/>
              <w:snapToGrid w:val="0"/>
              <w:spacing w:before="40" w:after="40"/>
              <w:jc w:val="center"/>
              <w:rPr>
                <w:rFonts w:cs="Segoe UI"/>
                <w:sz w:val="17"/>
                <w:lang w:eastAsia="ar-SA"/>
              </w:rPr>
            </w:pPr>
            <w:r w:rsidRPr="005171C5">
              <w:rPr>
                <w:rFonts w:eastAsia="細明體" w:cs="Segoe UI"/>
                <w:sz w:val="17"/>
                <w:szCs w:val="17"/>
                <w:lang w:eastAsia="ar-SA"/>
              </w:rPr>
              <w:t>(f)</w:t>
            </w:r>
          </w:p>
        </w:tc>
      </w:tr>
      <w:tr w:rsidR="005171C5" w:rsidRPr="005171C5" w14:paraId="398E7776" w14:textId="77777777" w:rsidTr="005171C5">
        <w:trPr>
          <w:cantSplit/>
          <w:tblHeader/>
        </w:trPr>
        <w:tc>
          <w:tcPr>
            <w:tcW w:w="425" w:type="dxa"/>
            <w:tcBorders>
              <w:bottom w:val="single" w:sz="4" w:space="0" w:color="000000"/>
            </w:tcBorders>
            <w:shd w:val="clear" w:color="auto" w:fill="auto"/>
          </w:tcPr>
          <w:p w14:paraId="43F62BB9"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2977" w:type="dxa"/>
            <w:tcBorders>
              <w:bottom w:val="single" w:sz="4" w:space="0" w:color="000000"/>
            </w:tcBorders>
            <w:shd w:val="clear" w:color="auto" w:fill="auto"/>
            <w:vAlign w:val="center"/>
          </w:tcPr>
          <w:p w14:paraId="55F81F76"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2ADBE81B" w14:textId="77777777" w:rsidR="005171C5" w:rsidRPr="005171C5" w:rsidRDefault="005171C5" w:rsidP="005171C5">
            <w:pPr>
              <w:suppressAutoHyphens/>
              <w:snapToGrid w:val="0"/>
              <w:spacing w:before="40" w:after="40"/>
              <w:jc w:val="center"/>
              <w:rPr>
                <w:rFonts w:eastAsia="細明體" w:cs="Segoe UI"/>
                <w:spacing w:val="-12"/>
                <w:sz w:val="17"/>
                <w:szCs w:val="17"/>
                <w:lang w:eastAsia="ar-SA"/>
              </w:rPr>
            </w:pPr>
            <w:r w:rsidRPr="005171C5">
              <w:rPr>
                <w:rFonts w:eastAsia="細明體" w:cs="Segoe UI" w:hint="eastAsia"/>
                <w:spacing w:val="-12"/>
                <w:sz w:val="17"/>
                <w:szCs w:val="17"/>
                <w:lang w:eastAsia="ar-SA"/>
              </w:rPr>
              <w:t>重置成本</w:t>
            </w:r>
          </w:p>
        </w:tc>
        <w:tc>
          <w:tcPr>
            <w:tcW w:w="850" w:type="dxa"/>
            <w:tcBorders>
              <w:top w:val="single" w:sz="4" w:space="0" w:color="000000"/>
              <w:left w:val="single" w:sz="4" w:space="0" w:color="000000"/>
              <w:bottom w:val="single" w:sz="4" w:space="0" w:color="000000"/>
            </w:tcBorders>
            <w:shd w:val="clear" w:color="auto" w:fill="auto"/>
            <w:vAlign w:val="center"/>
          </w:tcPr>
          <w:p w14:paraId="51641F69" w14:textId="77777777" w:rsidR="005171C5" w:rsidRPr="005171C5" w:rsidRDefault="005171C5" w:rsidP="005171C5">
            <w:pPr>
              <w:suppressAutoHyphens/>
              <w:snapToGrid w:val="0"/>
              <w:spacing w:before="40" w:after="40"/>
              <w:jc w:val="center"/>
              <w:rPr>
                <w:rFonts w:eastAsia="細明體" w:cs="Segoe UI"/>
                <w:spacing w:val="-12"/>
                <w:sz w:val="17"/>
                <w:szCs w:val="17"/>
                <w:lang w:eastAsia="ar-SA"/>
              </w:rPr>
            </w:pPr>
            <w:r w:rsidRPr="005171C5">
              <w:rPr>
                <w:rFonts w:eastAsia="細明體" w:cs="Segoe UI" w:hint="eastAsia"/>
                <w:spacing w:val="-12"/>
                <w:sz w:val="17"/>
                <w:szCs w:val="17"/>
                <w:lang w:eastAsia="ar-SA"/>
              </w:rPr>
              <w:t>潛在未來風險承擔</w:t>
            </w:r>
          </w:p>
        </w:tc>
        <w:tc>
          <w:tcPr>
            <w:tcW w:w="993" w:type="dxa"/>
            <w:tcBorders>
              <w:top w:val="single" w:sz="4" w:space="0" w:color="000000"/>
              <w:left w:val="single" w:sz="4" w:space="0" w:color="000000"/>
              <w:bottom w:val="single" w:sz="4" w:space="0" w:color="000000"/>
            </w:tcBorders>
            <w:shd w:val="clear" w:color="auto" w:fill="auto"/>
            <w:vAlign w:val="center"/>
          </w:tcPr>
          <w:p w14:paraId="0915E38D" w14:textId="77777777" w:rsidR="005171C5" w:rsidRPr="005171C5" w:rsidRDefault="005171C5" w:rsidP="005171C5">
            <w:pPr>
              <w:suppressAutoHyphens/>
              <w:snapToGrid w:val="0"/>
              <w:spacing w:before="40" w:after="40"/>
              <w:jc w:val="center"/>
              <w:rPr>
                <w:rFonts w:eastAsia="細明體" w:cs="Segoe UI"/>
                <w:spacing w:val="-12"/>
                <w:sz w:val="17"/>
                <w:szCs w:val="17"/>
                <w:lang w:eastAsia="ar-SA"/>
              </w:rPr>
            </w:pPr>
            <w:r w:rsidRPr="005171C5">
              <w:rPr>
                <w:rFonts w:eastAsia="細明體" w:cs="Segoe UI" w:hint="eastAsia"/>
                <w:spacing w:val="-12"/>
                <w:sz w:val="17"/>
                <w:szCs w:val="17"/>
                <w:lang w:eastAsia="ar-SA"/>
              </w:rPr>
              <w:t>有效預期正風險承擔</w:t>
            </w:r>
          </w:p>
        </w:tc>
        <w:tc>
          <w:tcPr>
            <w:tcW w:w="1134" w:type="dxa"/>
            <w:tcBorders>
              <w:top w:val="single" w:sz="4" w:space="0" w:color="000000"/>
              <w:left w:val="single" w:sz="4" w:space="0" w:color="000000"/>
              <w:bottom w:val="single" w:sz="4" w:space="0" w:color="000000"/>
            </w:tcBorders>
            <w:shd w:val="clear" w:color="auto" w:fill="auto"/>
            <w:vAlign w:val="center"/>
          </w:tcPr>
          <w:p w14:paraId="27C75AFC" w14:textId="77777777" w:rsidR="005171C5" w:rsidRPr="005171C5" w:rsidRDefault="005171C5" w:rsidP="005171C5">
            <w:pPr>
              <w:suppressAutoHyphens/>
              <w:snapToGrid w:val="0"/>
              <w:spacing w:before="40" w:after="40"/>
              <w:jc w:val="center"/>
              <w:rPr>
                <w:rFonts w:eastAsia="細明體" w:cs="Segoe UI"/>
                <w:spacing w:val="-12"/>
                <w:sz w:val="17"/>
                <w:szCs w:val="17"/>
                <w:lang w:eastAsia="ar-SA"/>
              </w:rPr>
            </w:pPr>
            <w:r w:rsidRPr="005171C5">
              <w:rPr>
                <w:rFonts w:eastAsia="細明體" w:cs="Segoe UI" w:hint="eastAsia"/>
                <w:spacing w:val="-12"/>
                <w:sz w:val="17"/>
                <w:szCs w:val="17"/>
                <w:lang w:eastAsia="ar-SA"/>
              </w:rPr>
              <w:t>用作計算違責風險的風險承擔的</w:t>
            </w:r>
            <w:r w:rsidRPr="005171C5">
              <w:rPr>
                <w:rFonts w:eastAsia="細明體" w:cs="Segoe UI"/>
                <w:spacing w:val="-12"/>
                <w:sz w:val="17"/>
                <w:szCs w:val="17"/>
                <w:lang w:eastAsia="ar-SA"/>
              </w:rPr>
              <w:t xml:space="preserve">α </w:t>
            </w:r>
          </w:p>
        </w:tc>
        <w:tc>
          <w:tcPr>
            <w:tcW w:w="1275" w:type="dxa"/>
            <w:tcBorders>
              <w:top w:val="single" w:sz="4" w:space="0" w:color="000000"/>
              <w:left w:val="single" w:sz="4" w:space="0" w:color="000000"/>
              <w:bottom w:val="single" w:sz="4" w:space="0" w:color="000000"/>
            </w:tcBorders>
            <w:shd w:val="clear" w:color="auto" w:fill="auto"/>
            <w:vAlign w:val="center"/>
          </w:tcPr>
          <w:p w14:paraId="25FA4952" w14:textId="77777777" w:rsidR="005171C5" w:rsidRPr="005171C5" w:rsidRDefault="005171C5" w:rsidP="005171C5">
            <w:pPr>
              <w:suppressAutoHyphens/>
              <w:snapToGrid w:val="0"/>
              <w:spacing w:before="40" w:after="40"/>
              <w:jc w:val="center"/>
              <w:rPr>
                <w:rFonts w:eastAsia="細明體" w:cs="Segoe UI"/>
                <w:spacing w:val="-12"/>
                <w:sz w:val="17"/>
                <w:szCs w:val="17"/>
                <w:lang w:eastAsia="ar-SA"/>
              </w:rPr>
            </w:pPr>
            <w:r w:rsidRPr="005171C5">
              <w:rPr>
                <w:rFonts w:eastAsia="細明體" w:cs="Segoe UI" w:hint="eastAsia"/>
                <w:spacing w:val="-12"/>
                <w:sz w:val="17"/>
                <w:szCs w:val="17"/>
                <w:lang w:eastAsia="zh-TW"/>
              </w:rPr>
              <w:t>已將</w:t>
            </w:r>
            <w:r w:rsidRPr="005171C5">
              <w:rPr>
                <w:rFonts w:eastAsia="細明體" w:cs="Segoe UI" w:hint="eastAsia"/>
                <w:spacing w:val="-12"/>
                <w:sz w:val="17"/>
                <w:szCs w:val="17"/>
                <w:lang w:eastAsia="ar-SA"/>
              </w:rPr>
              <w:t>減低信用風險措施</w:t>
            </w:r>
            <w:r w:rsidRPr="005171C5">
              <w:rPr>
                <w:rFonts w:eastAsia="細明體" w:cs="Segoe UI" w:hint="eastAsia"/>
                <w:bCs/>
                <w:sz w:val="17"/>
                <w:szCs w:val="17"/>
                <w:lang w:eastAsia="zh-TW"/>
              </w:rPr>
              <w:t>計算在內</w:t>
            </w:r>
            <w:proofErr w:type="gramStart"/>
            <w:r w:rsidRPr="005171C5">
              <w:rPr>
                <w:rFonts w:eastAsia="細明體" w:cs="Segoe UI" w:hint="eastAsia"/>
                <w:spacing w:val="-12"/>
                <w:sz w:val="17"/>
                <w:szCs w:val="17"/>
                <w:lang w:eastAsia="ar-SA"/>
              </w:rPr>
              <w:t>的違責風險</w:t>
            </w:r>
            <w:proofErr w:type="gramEnd"/>
            <w:r w:rsidRPr="005171C5">
              <w:rPr>
                <w:rFonts w:eastAsia="細明體" w:cs="Segoe UI" w:hint="eastAsia"/>
                <w:spacing w:val="-12"/>
                <w:sz w:val="17"/>
                <w:szCs w:val="17"/>
                <w:lang w:eastAsia="ar-SA"/>
              </w:rPr>
              <w:t>的風險承擔</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B851E" w14:textId="77777777" w:rsidR="005171C5" w:rsidRPr="005171C5" w:rsidRDefault="005171C5" w:rsidP="005171C5">
            <w:pPr>
              <w:suppressAutoHyphens/>
              <w:snapToGrid w:val="0"/>
              <w:spacing w:before="40" w:after="40"/>
              <w:jc w:val="center"/>
              <w:rPr>
                <w:rFonts w:cs="Segoe UI"/>
                <w:sz w:val="17"/>
                <w:lang w:eastAsia="ar-SA"/>
              </w:rPr>
            </w:pPr>
            <w:r w:rsidRPr="005171C5">
              <w:rPr>
                <w:rFonts w:eastAsia="細明體" w:cs="Segoe UI" w:hint="eastAsia"/>
                <w:spacing w:val="-12"/>
                <w:sz w:val="17"/>
                <w:szCs w:val="17"/>
                <w:lang w:eastAsia="ar-SA"/>
              </w:rPr>
              <w:t>風險加權數額</w:t>
            </w:r>
          </w:p>
        </w:tc>
      </w:tr>
      <w:tr w:rsidR="005171C5" w:rsidRPr="005171C5" w14:paraId="35104376" w14:textId="77777777" w:rsidTr="005171C5">
        <w:trPr>
          <w:cantSplit/>
        </w:trPr>
        <w:tc>
          <w:tcPr>
            <w:tcW w:w="425" w:type="dxa"/>
            <w:tcBorders>
              <w:top w:val="single" w:sz="4" w:space="0" w:color="C0C0C0"/>
              <w:bottom w:val="single" w:sz="4" w:space="0" w:color="C0C0C0"/>
            </w:tcBorders>
            <w:shd w:val="clear" w:color="auto" w:fill="auto"/>
          </w:tcPr>
          <w:p w14:paraId="2989C01D"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1</w:t>
            </w:r>
          </w:p>
        </w:tc>
        <w:tc>
          <w:tcPr>
            <w:tcW w:w="2977" w:type="dxa"/>
            <w:tcBorders>
              <w:top w:val="single" w:sz="4" w:space="0" w:color="C0C0C0"/>
              <w:left w:val="single" w:sz="4" w:space="0" w:color="000000"/>
              <w:bottom w:val="single" w:sz="4" w:space="0" w:color="C0C0C0"/>
            </w:tcBorders>
            <w:shd w:val="clear" w:color="auto" w:fill="auto"/>
          </w:tcPr>
          <w:p w14:paraId="249BCEA3"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SA-CCR</w:t>
            </w:r>
            <w:r w:rsidRPr="005171C5">
              <w:rPr>
                <w:rFonts w:eastAsia="細明體" w:cs="Segoe UI" w:hint="eastAsia"/>
                <w:sz w:val="17"/>
                <w:szCs w:val="17"/>
                <w:lang w:eastAsia="ar-SA"/>
              </w:rPr>
              <w:t>計算法（對於衍生工具合約）</w:t>
            </w:r>
          </w:p>
        </w:tc>
        <w:tc>
          <w:tcPr>
            <w:tcW w:w="851" w:type="dxa"/>
            <w:tcBorders>
              <w:top w:val="single" w:sz="4" w:space="0" w:color="C0C0C0"/>
              <w:left w:val="single" w:sz="4" w:space="0" w:color="000000"/>
              <w:bottom w:val="single" w:sz="4" w:space="0" w:color="C0C0C0"/>
            </w:tcBorders>
            <w:shd w:val="clear" w:color="auto" w:fill="auto"/>
          </w:tcPr>
          <w:p w14:paraId="0852FC3D"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C0C0C0"/>
            </w:tcBorders>
            <w:shd w:val="clear" w:color="auto" w:fill="auto"/>
          </w:tcPr>
          <w:p w14:paraId="72A36C66"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C0C0C0"/>
            </w:tcBorders>
            <w:shd w:val="clear" w:color="auto" w:fill="BFBFBF"/>
          </w:tcPr>
          <w:p w14:paraId="028286C2"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64788423"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1.4</w:t>
            </w:r>
          </w:p>
        </w:tc>
        <w:tc>
          <w:tcPr>
            <w:tcW w:w="1275" w:type="dxa"/>
            <w:tcBorders>
              <w:top w:val="single" w:sz="4" w:space="0" w:color="C0C0C0"/>
              <w:left w:val="single" w:sz="4" w:space="0" w:color="000000"/>
              <w:bottom w:val="single" w:sz="4" w:space="0" w:color="C0C0C0"/>
            </w:tcBorders>
            <w:shd w:val="clear" w:color="auto" w:fill="auto"/>
          </w:tcPr>
          <w:p w14:paraId="7E720D60"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C0C0C0"/>
              <w:right w:val="single" w:sz="4" w:space="0" w:color="000000"/>
            </w:tcBorders>
            <w:shd w:val="clear" w:color="auto" w:fill="auto"/>
          </w:tcPr>
          <w:p w14:paraId="78782AD6" w14:textId="77777777" w:rsidR="005171C5" w:rsidRPr="005171C5" w:rsidRDefault="005171C5" w:rsidP="005171C5">
            <w:pPr>
              <w:suppressAutoHyphens/>
              <w:snapToGrid w:val="0"/>
              <w:spacing w:before="40" w:after="40"/>
              <w:rPr>
                <w:rFonts w:eastAsia="細明體" w:cs="Segoe UI"/>
                <w:sz w:val="17"/>
                <w:szCs w:val="17"/>
                <w:lang w:eastAsia="ar-SA"/>
              </w:rPr>
            </w:pPr>
          </w:p>
        </w:tc>
      </w:tr>
      <w:tr w:rsidR="001B39FD" w:rsidRPr="005171C5" w14:paraId="069A7F54" w14:textId="77777777" w:rsidTr="005171C5">
        <w:trPr>
          <w:cantSplit/>
        </w:trPr>
        <w:tc>
          <w:tcPr>
            <w:tcW w:w="425" w:type="dxa"/>
            <w:tcBorders>
              <w:top w:val="single" w:sz="4" w:space="0" w:color="C0C0C0"/>
              <w:bottom w:val="single" w:sz="4" w:space="0" w:color="C0C0C0"/>
            </w:tcBorders>
            <w:shd w:val="clear" w:color="auto" w:fill="auto"/>
          </w:tcPr>
          <w:p w14:paraId="4BF8D91D"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1a</w:t>
            </w:r>
          </w:p>
        </w:tc>
        <w:tc>
          <w:tcPr>
            <w:tcW w:w="2977" w:type="dxa"/>
            <w:tcBorders>
              <w:top w:val="single" w:sz="4" w:space="0" w:color="C0C0C0"/>
              <w:left w:val="single" w:sz="4" w:space="0" w:color="000000"/>
              <w:bottom w:val="single" w:sz="4" w:space="0" w:color="C0C0C0"/>
            </w:tcBorders>
            <w:shd w:val="clear" w:color="auto" w:fill="auto"/>
          </w:tcPr>
          <w:p w14:paraId="24ADFFCF" w14:textId="77777777" w:rsidR="005171C5" w:rsidRPr="005171C5" w:rsidRDefault="005171C5" w:rsidP="005171C5">
            <w:pPr>
              <w:suppressAutoHyphens/>
              <w:snapToGrid w:val="0"/>
              <w:spacing w:before="40" w:after="40"/>
              <w:rPr>
                <w:rFonts w:eastAsia="細明體" w:cs="Segoe UI"/>
                <w:sz w:val="17"/>
                <w:szCs w:val="17"/>
                <w:lang w:eastAsia="zh-TW"/>
              </w:rPr>
            </w:pPr>
            <w:r w:rsidRPr="005171C5">
              <w:rPr>
                <w:rFonts w:eastAsia="細明體" w:cs="Segoe UI" w:hint="eastAsia"/>
                <w:sz w:val="17"/>
                <w:szCs w:val="17"/>
                <w:lang w:eastAsia="ar-SA"/>
              </w:rPr>
              <w:t>現行風險承擔方法（對於衍生工具合約）</w:t>
            </w:r>
          </w:p>
        </w:tc>
        <w:tc>
          <w:tcPr>
            <w:tcW w:w="851" w:type="dxa"/>
            <w:tcBorders>
              <w:top w:val="single" w:sz="4" w:space="0" w:color="C0C0C0"/>
              <w:left w:val="single" w:sz="4" w:space="0" w:color="000000"/>
              <w:bottom w:val="single" w:sz="4" w:space="0" w:color="C0C0C0"/>
            </w:tcBorders>
            <w:shd w:val="clear" w:color="auto" w:fill="FFFFFF"/>
          </w:tcPr>
          <w:p w14:paraId="423B6C9C"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C0C0C0"/>
            </w:tcBorders>
            <w:shd w:val="clear" w:color="auto" w:fill="FFFFFF"/>
          </w:tcPr>
          <w:p w14:paraId="7CC2704A"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C0C0C0"/>
            </w:tcBorders>
            <w:shd w:val="clear" w:color="auto" w:fill="BFBFBF"/>
          </w:tcPr>
          <w:p w14:paraId="4A5ABBFF"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15EAFBE2"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1.4</w:t>
            </w:r>
          </w:p>
        </w:tc>
        <w:tc>
          <w:tcPr>
            <w:tcW w:w="1275" w:type="dxa"/>
            <w:tcBorders>
              <w:top w:val="single" w:sz="4" w:space="0" w:color="C0C0C0"/>
              <w:left w:val="single" w:sz="4" w:space="0" w:color="000000"/>
              <w:bottom w:val="single" w:sz="4" w:space="0" w:color="C0C0C0"/>
            </w:tcBorders>
            <w:shd w:val="clear" w:color="auto" w:fill="auto"/>
          </w:tcPr>
          <w:p w14:paraId="72CDC332"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C0C0C0"/>
              <w:right w:val="single" w:sz="4" w:space="0" w:color="000000"/>
            </w:tcBorders>
            <w:shd w:val="clear" w:color="auto" w:fill="auto"/>
          </w:tcPr>
          <w:p w14:paraId="5AC65AE9" w14:textId="77777777" w:rsidR="005171C5" w:rsidRPr="005171C5" w:rsidRDefault="005171C5" w:rsidP="005171C5">
            <w:pPr>
              <w:suppressAutoHyphens/>
              <w:snapToGrid w:val="0"/>
              <w:spacing w:before="40" w:after="40"/>
              <w:rPr>
                <w:rFonts w:eastAsia="細明體" w:cs="Segoe UI"/>
                <w:sz w:val="17"/>
                <w:szCs w:val="17"/>
                <w:lang w:eastAsia="ar-SA"/>
              </w:rPr>
            </w:pPr>
          </w:p>
        </w:tc>
      </w:tr>
      <w:tr w:rsidR="001B39FD" w:rsidRPr="005171C5" w14:paraId="2E278F7E" w14:textId="77777777" w:rsidTr="005171C5">
        <w:trPr>
          <w:cantSplit/>
        </w:trPr>
        <w:tc>
          <w:tcPr>
            <w:tcW w:w="425" w:type="dxa"/>
            <w:tcBorders>
              <w:top w:val="single" w:sz="4" w:space="0" w:color="C0C0C0"/>
              <w:bottom w:val="single" w:sz="4" w:space="0" w:color="C0C0C0"/>
            </w:tcBorders>
            <w:shd w:val="clear" w:color="auto" w:fill="auto"/>
          </w:tcPr>
          <w:p w14:paraId="7D018008" w14:textId="2DE01178" w:rsidR="00A930C9" w:rsidRPr="005171C5" w:rsidRDefault="00C71B05" w:rsidP="005171C5">
            <w:pPr>
              <w:suppressAutoHyphens/>
              <w:snapToGrid w:val="0"/>
              <w:spacing w:before="40" w:after="40"/>
              <w:rPr>
                <w:rFonts w:eastAsia="細明體" w:cs="Segoe UI"/>
                <w:sz w:val="17"/>
                <w:szCs w:val="17"/>
                <w:lang w:eastAsia="ar-SA"/>
              </w:rPr>
            </w:pPr>
            <w:r w:rsidRPr="006A01A2">
              <w:rPr>
                <w:rFonts w:eastAsia="細明體" w:cs="Segoe UI" w:hint="eastAsia"/>
                <w:sz w:val="17"/>
                <w:szCs w:val="17"/>
                <w:lang w:eastAsia="ar-SA"/>
              </w:rPr>
              <w:t>1b</w:t>
            </w:r>
          </w:p>
        </w:tc>
        <w:tc>
          <w:tcPr>
            <w:tcW w:w="2977" w:type="dxa"/>
            <w:tcBorders>
              <w:top w:val="single" w:sz="4" w:space="0" w:color="C0C0C0"/>
              <w:left w:val="single" w:sz="4" w:space="0" w:color="000000"/>
              <w:bottom w:val="single" w:sz="4" w:space="0" w:color="C0C0C0"/>
            </w:tcBorders>
            <w:shd w:val="clear" w:color="auto" w:fill="auto"/>
          </w:tcPr>
          <w:p w14:paraId="3D99A399" w14:textId="69E96D6B" w:rsidR="00A930C9" w:rsidRPr="00DB1ECE" w:rsidRDefault="00C84D84" w:rsidP="005171C5">
            <w:pPr>
              <w:suppressAutoHyphens/>
              <w:snapToGrid w:val="0"/>
              <w:spacing w:before="40" w:after="40"/>
              <w:rPr>
                <w:rFonts w:ascii="細明體" w:eastAsia="細明體" w:hAnsi="細明體" w:cs="Segoe UI"/>
                <w:sz w:val="17"/>
                <w:szCs w:val="17"/>
                <w:lang w:eastAsia="zh-TW"/>
              </w:rPr>
            </w:pPr>
            <w:r w:rsidRPr="00C84D84">
              <w:rPr>
                <w:rFonts w:ascii="細明體" w:eastAsia="細明體" w:hAnsi="細明體" w:cs="Segoe UI" w:hint="eastAsia"/>
                <w:sz w:val="17"/>
                <w:szCs w:val="17"/>
                <w:lang w:eastAsia="zh-TW"/>
              </w:rPr>
              <w:t>適用於</w:t>
            </w:r>
            <w:r w:rsidR="00863837" w:rsidRPr="00DB1ECE">
              <w:rPr>
                <w:rFonts w:ascii="細明體" w:eastAsia="細明體" w:hAnsi="細明體" w:cs="Segoe UI" w:hint="eastAsia"/>
                <w:sz w:val="17"/>
                <w:szCs w:val="17"/>
                <w:lang w:eastAsia="zh-TW"/>
              </w:rPr>
              <w:t>第</w:t>
            </w:r>
            <w:r w:rsidR="00863837" w:rsidRPr="006A01A2">
              <w:rPr>
                <w:rFonts w:eastAsia="細明體" w:cs="Segoe UI" w:hint="eastAsia"/>
                <w:sz w:val="17"/>
                <w:szCs w:val="17"/>
                <w:lang w:eastAsia="ar-SA"/>
              </w:rPr>
              <w:t>2b</w:t>
            </w:r>
            <w:r w:rsidR="00863837" w:rsidRPr="00DB1ECE">
              <w:rPr>
                <w:rFonts w:ascii="細明體" w:eastAsia="細明體" w:hAnsi="細明體" w:cs="Segoe UI" w:hint="eastAsia"/>
                <w:sz w:val="17"/>
                <w:szCs w:val="17"/>
                <w:lang w:eastAsia="zh-TW"/>
              </w:rPr>
              <w:t>組加密資產衍生工具合約的方法</w:t>
            </w:r>
          </w:p>
        </w:tc>
        <w:tc>
          <w:tcPr>
            <w:tcW w:w="851" w:type="dxa"/>
            <w:tcBorders>
              <w:top w:val="single" w:sz="4" w:space="0" w:color="C0C0C0"/>
              <w:left w:val="single" w:sz="4" w:space="0" w:color="000000"/>
              <w:bottom w:val="single" w:sz="4" w:space="0" w:color="C0C0C0"/>
            </w:tcBorders>
            <w:shd w:val="clear" w:color="auto" w:fill="FFFFFF"/>
          </w:tcPr>
          <w:p w14:paraId="4A26059D" w14:textId="77777777" w:rsidR="00A930C9" w:rsidRPr="005171C5" w:rsidRDefault="00A930C9"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C0C0C0"/>
            </w:tcBorders>
            <w:shd w:val="clear" w:color="auto" w:fill="FFFFFF"/>
          </w:tcPr>
          <w:p w14:paraId="2FB23A7E" w14:textId="77777777" w:rsidR="00A930C9" w:rsidRPr="005171C5" w:rsidRDefault="00A930C9"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C0C0C0"/>
            </w:tcBorders>
            <w:shd w:val="clear" w:color="auto" w:fill="BFBFBF"/>
          </w:tcPr>
          <w:p w14:paraId="637AC12C" w14:textId="77777777" w:rsidR="00A930C9" w:rsidRPr="005171C5" w:rsidRDefault="00A930C9"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7751A72C" w14:textId="1CD5909A" w:rsidR="00A930C9" w:rsidRPr="005171C5" w:rsidRDefault="00863837"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1.4</w:t>
            </w:r>
          </w:p>
        </w:tc>
        <w:tc>
          <w:tcPr>
            <w:tcW w:w="1275" w:type="dxa"/>
            <w:tcBorders>
              <w:top w:val="single" w:sz="4" w:space="0" w:color="C0C0C0"/>
              <w:left w:val="single" w:sz="4" w:space="0" w:color="000000"/>
              <w:bottom w:val="single" w:sz="4" w:space="0" w:color="C0C0C0"/>
            </w:tcBorders>
            <w:shd w:val="clear" w:color="auto" w:fill="auto"/>
          </w:tcPr>
          <w:p w14:paraId="12873C4C" w14:textId="77777777" w:rsidR="00A930C9" w:rsidRPr="005171C5" w:rsidRDefault="00A930C9"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C0C0C0"/>
              <w:right w:val="single" w:sz="4" w:space="0" w:color="000000"/>
            </w:tcBorders>
            <w:shd w:val="clear" w:color="auto" w:fill="auto"/>
          </w:tcPr>
          <w:p w14:paraId="6920E614" w14:textId="77777777" w:rsidR="00A930C9" w:rsidRPr="005171C5" w:rsidRDefault="00A930C9" w:rsidP="005171C5">
            <w:pPr>
              <w:suppressAutoHyphens/>
              <w:snapToGrid w:val="0"/>
              <w:spacing w:before="40" w:after="40"/>
              <w:rPr>
                <w:rFonts w:eastAsia="細明體" w:cs="Segoe UI"/>
                <w:sz w:val="17"/>
                <w:szCs w:val="17"/>
                <w:lang w:eastAsia="ar-SA"/>
              </w:rPr>
            </w:pPr>
          </w:p>
        </w:tc>
      </w:tr>
      <w:tr w:rsidR="001B39FD" w:rsidRPr="005171C5" w14:paraId="309FAF59" w14:textId="77777777" w:rsidTr="005171C5">
        <w:trPr>
          <w:cantSplit/>
        </w:trPr>
        <w:tc>
          <w:tcPr>
            <w:tcW w:w="425" w:type="dxa"/>
            <w:tcBorders>
              <w:top w:val="single" w:sz="4" w:space="0" w:color="C0C0C0"/>
              <w:bottom w:val="single" w:sz="4" w:space="0" w:color="C0C0C0"/>
            </w:tcBorders>
            <w:shd w:val="clear" w:color="auto" w:fill="auto"/>
          </w:tcPr>
          <w:p w14:paraId="70137575"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2</w:t>
            </w:r>
          </w:p>
        </w:tc>
        <w:tc>
          <w:tcPr>
            <w:tcW w:w="2977" w:type="dxa"/>
            <w:tcBorders>
              <w:top w:val="single" w:sz="4" w:space="0" w:color="C0C0C0"/>
              <w:left w:val="single" w:sz="4" w:space="0" w:color="000000"/>
              <w:bottom w:val="single" w:sz="4" w:space="0" w:color="C0C0C0"/>
            </w:tcBorders>
            <w:shd w:val="clear" w:color="auto" w:fill="auto"/>
          </w:tcPr>
          <w:p w14:paraId="358DEF55"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IMM(CCR)</w:t>
            </w:r>
            <w:r w:rsidRPr="005171C5">
              <w:rPr>
                <w:rFonts w:eastAsia="細明體" w:cs="Segoe UI" w:hint="eastAsia"/>
                <w:sz w:val="17"/>
                <w:szCs w:val="17"/>
                <w:lang w:eastAsia="ar-SA"/>
              </w:rPr>
              <w:t>計算法</w:t>
            </w:r>
          </w:p>
        </w:tc>
        <w:tc>
          <w:tcPr>
            <w:tcW w:w="851" w:type="dxa"/>
            <w:tcBorders>
              <w:top w:val="single" w:sz="4" w:space="0" w:color="C0C0C0"/>
              <w:left w:val="single" w:sz="4" w:space="0" w:color="000000"/>
              <w:bottom w:val="single" w:sz="4" w:space="0" w:color="C0C0C0"/>
            </w:tcBorders>
            <w:shd w:val="clear" w:color="auto" w:fill="BFBFBF"/>
          </w:tcPr>
          <w:p w14:paraId="21236407"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C0C0C0"/>
            </w:tcBorders>
            <w:shd w:val="clear" w:color="auto" w:fill="BFBFBF"/>
          </w:tcPr>
          <w:p w14:paraId="65C11358"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C0C0C0"/>
            </w:tcBorders>
            <w:shd w:val="clear" w:color="auto" w:fill="auto"/>
          </w:tcPr>
          <w:p w14:paraId="3B0FF6A7"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6E763CC8"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275" w:type="dxa"/>
            <w:tcBorders>
              <w:top w:val="single" w:sz="4" w:space="0" w:color="C0C0C0"/>
              <w:left w:val="single" w:sz="4" w:space="0" w:color="000000"/>
              <w:bottom w:val="single" w:sz="4" w:space="0" w:color="C0C0C0"/>
            </w:tcBorders>
            <w:shd w:val="clear" w:color="auto" w:fill="auto"/>
          </w:tcPr>
          <w:p w14:paraId="4906B5DF"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C0C0C0"/>
              <w:right w:val="single" w:sz="4" w:space="0" w:color="000000"/>
            </w:tcBorders>
            <w:shd w:val="clear" w:color="auto" w:fill="auto"/>
          </w:tcPr>
          <w:p w14:paraId="217C1789" w14:textId="77777777" w:rsidR="005171C5" w:rsidRPr="005171C5" w:rsidRDefault="005171C5" w:rsidP="005171C5">
            <w:pPr>
              <w:suppressAutoHyphens/>
              <w:snapToGrid w:val="0"/>
              <w:spacing w:before="40" w:after="40"/>
              <w:rPr>
                <w:rFonts w:eastAsia="細明體" w:cs="Segoe UI"/>
                <w:sz w:val="17"/>
                <w:szCs w:val="17"/>
                <w:lang w:eastAsia="ar-SA"/>
              </w:rPr>
            </w:pPr>
          </w:p>
        </w:tc>
      </w:tr>
      <w:tr w:rsidR="001B39FD" w:rsidRPr="005171C5" w14:paraId="7B82597E" w14:textId="77777777" w:rsidTr="005171C5">
        <w:trPr>
          <w:cantSplit/>
        </w:trPr>
        <w:tc>
          <w:tcPr>
            <w:tcW w:w="425" w:type="dxa"/>
            <w:tcBorders>
              <w:top w:val="single" w:sz="4" w:space="0" w:color="C0C0C0"/>
              <w:bottom w:val="single" w:sz="4" w:space="0" w:color="C0C0C0"/>
            </w:tcBorders>
            <w:shd w:val="clear" w:color="auto" w:fill="auto"/>
          </w:tcPr>
          <w:p w14:paraId="7916B53B"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3</w:t>
            </w:r>
          </w:p>
        </w:tc>
        <w:tc>
          <w:tcPr>
            <w:tcW w:w="2977" w:type="dxa"/>
            <w:tcBorders>
              <w:top w:val="single" w:sz="4" w:space="0" w:color="C0C0C0"/>
              <w:left w:val="single" w:sz="4" w:space="0" w:color="000000"/>
              <w:bottom w:val="single" w:sz="4" w:space="0" w:color="C0C0C0"/>
            </w:tcBorders>
            <w:shd w:val="clear" w:color="auto" w:fill="auto"/>
          </w:tcPr>
          <w:p w14:paraId="773398B5" w14:textId="4926751D"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ar-SA"/>
              </w:rPr>
              <w:t>簡易方法（對於</w:t>
            </w:r>
            <w:r w:rsidRPr="005171C5">
              <w:rPr>
                <w:rFonts w:eastAsia="細明體" w:cs="Segoe UI" w:hint="cs"/>
                <w:sz w:val="17"/>
                <w:szCs w:val="17"/>
                <w:lang w:eastAsia="ar-SA"/>
              </w:rPr>
              <w:t>SFT</w:t>
            </w:r>
            <w:r w:rsidRPr="005171C5">
              <w:rPr>
                <w:rFonts w:eastAsia="細明體" w:cs="Segoe UI" w:hint="eastAsia"/>
                <w:sz w:val="17"/>
                <w:szCs w:val="17"/>
                <w:lang w:eastAsia="ar-SA"/>
              </w:rPr>
              <w:t>）</w:t>
            </w:r>
          </w:p>
        </w:tc>
        <w:tc>
          <w:tcPr>
            <w:tcW w:w="851" w:type="dxa"/>
            <w:tcBorders>
              <w:top w:val="single" w:sz="4" w:space="0" w:color="C0C0C0"/>
              <w:left w:val="single" w:sz="4" w:space="0" w:color="000000"/>
              <w:bottom w:val="single" w:sz="4" w:space="0" w:color="C0C0C0"/>
            </w:tcBorders>
            <w:shd w:val="clear" w:color="auto" w:fill="BFBFBF"/>
          </w:tcPr>
          <w:p w14:paraId="117656C3"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C0C0C0"/>
            </w:tcBorders>
            <w:shd w:val="clear" w:color="auto" w:fill="BFBFBF"/>
          </w:tcPr>
          <w:p w14:paraId="03EB25D3"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C0C0C0"/>
            </w:tcBorders>
            <w:shd w:val="clear" w:color="auto" w:fill="BFBFBF"/>
          </w:tcPr>
          <w:p w14:paraId="6F16BEDB"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BFBFBF"/>
          </w:tcPr>
          <w:p w14:paraId="56A4C208"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275" w:type="dxa"/>
            <w:tcBorders>
              <w:top w:val="single" w:sz="4" w:space="0" w:color="C0C0C0"/>
              <w:left w:val="single" w:sz="4" w:space="0" w:color="000000"/>
              <w:bottom w:val="single" w:sz="4" w:space="0" w:color="C0C0C0"/>
            </w:tcBorders>
            <w:shd w:val="clear" w:color="auto" w:fill="auto"/>
          </w:tcPr>
          <w:p w14:paraId="09B48B18"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C0C0C0"/>
              <w:right w:val="single" w:sz="4" w:space="0" w:color="000000"/>
            </w:tcBorders>
            <w:shd w:val="clear" w:color="auto" w:fill="auto"/>
          </w:tcPr>
          <w:p w14:paraId="6E48D78E" w14:textId="77777777" w:rsidR="005171C5" w:rsidRPr="005171C5" w:rsidRDefault="005171C5" w:rsidP="005171C5">
            <w:pPr>
              <w:suppressAutoHyphens/>
              <w:snapToGrid w:val="0"/>
              <w:spacing w:before="40" w:after="40"/>
              <w:rPr>
                <w:rFonts w:eastAsia="細明體" w:cs="Segoe UI"/>
                <w:sz w:val="17"/>
                <w:szCs w:val="17"/>
                <w:lang w:eastAsia="ar-SA"/>
              </w:rPr>
            </w:pPr>
          </w:p>
        </w:tc>
      </w:tr>
      <w:tr w:rsidR="001B39FD" w:rsidRPr="005171C5" w14:paraId="3C940914" w14:textId="77777777" w:rsidTr="005171C5">
        <w:trPr>
          <w:cantSplit/>
        </w:trPr>
        <w:tc>
          <w:tcPr>
            <w:tcW w:w="425" w:type="dxa"/>
            <w:tcBorders>
              <w:top w:val="single" w:sz="4" w:space="0" w:color="C0C0C0"/>
              <w:bottom w:val="single" w:sz="4" w:space="0" w:color="C0C0C0"/>
            </w:tcBorders>
            <w:shd w:val="clear" w:color="auto" w:fill="auto"/>
          </w:tcPr>
          <w:p w14:paraId="52B0412A"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4</w:t>
            </w:r>
          </w:p>
        </w:tc>
        <w:tc>
          <w:tcPr>
            <w:tcW w:w="2977" w:type="dxa"/>
            <w:tcBorders>
              <w:top w:val="single" w:sz="4" w:space="0" w:color="C0C0C0"/>
              <w:left w:val="single" w:sz="4" w:space="0" w:color="000000"/>
              <w:bottom w:val="single" w:sz="4" w:space="0" w:color="C0C0C0"/>
            </w:tcBorders>
            <w:shd w:val="clear" w:color="auto" w:fill="auto"/>
          </w:tcPr>
          <w:p w14:paraId="4EC0D4FA" w14:textId="6367A7D5"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ar-SA"/>
              </w:rPr>
              <w:t>全面方法（對於</w:t>
            </w:r>
            <w:r w:rsidRPr="005171C5">
              <w:rPr>
                <w:rFonts w:eastAsia="細明體" w:cs="Segoe UI" w:hint="cs"/>
                <w:sz w:val="17"/>
                <w:szCs w:val="17"/>
                <w:lang w:eastAsia="ar-SA"/>
              </w:rPr>
              <w:t>SFT</w:t>
            </w:r>
            <w:r w:rsidRPr="005171C5">
              <w:rPr>
                <w:rFonts w:eastAsia="細明體" w:cs="Segoe UI" w:hint="eastAsia"/>
                <w:sz w:val="17"/>
                <w:szCs w:val="17"/>
                <w:lang w:eastAsia="ar-SA"/>
              </w:rPr>
              <w:t>）</w:t>
            </w:r>
          </w:p>
        </w:tc>
        <w:tc>
          <w:tcPr>
            <w:tcW w:w="851" w:type="dxa"/>
            <w:tcBorders>
              <w:top w:val="single" w:sz="4" w:space="0" w:color="C0C0C0"/>
              <w:left w:val="single" w:sz="4" w:space="0" w:color="000000"/>
              <w:bottom w:val="single" w:sz="4" w:space="0" w:color="C0C0C0"/>
            </w:tcBorders>
            <w:shd w:val="clear" w:color="auto" w:fill="BFBFBF"/>
          </w:tcPr>
          <w:p w14:paraId="56B76A2A"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C0C0C0"/>
            </w:tcBorders>
            <w:shd w:val="clear" w:color="auto" w:fill="BFBFBF"/>
          </w:tcPr>
          <w:p w14:paraId="5570A3F3"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C0C0C0"/>
            </w:tcBorders>
            <w:shd w:val="clear" w:color="auto" w:fill="BFBFBF"/>
          </w:tcPr>
          <w:p w14:paraId="5D4E812F"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BFBFBF"/>
          </w:tcPr>
          <w:p w14:paraId="27BED519"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275" w:type="dxa"/>
            <w:tcBorders>
              <w:top w:val="single" w:sz="4" w:space="0" w:color="C0C0C0"/>
              <w:left w:val="single" w:sz="4" w:space="0" w:color="000000"/>
              <w:bottom w:val="single" w:sz="4" w:space="0" w:color="C0C0C0"/>
            </w:tcBorders>
            <w:shd w:val="clear" w:color="auto" w:fill="auto"/>
          </w:tcPr>
          <w:p w14:paraId="5F01DE92"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C0C0C0"/>
              <w:right w:val="single" w:sz="4" w:space="0" w:color="000000"/>
            </w:tcBorders>
            <w:shd w:val="clear" w:color="auto" w:fill="auto"/>
          </w:tcPr>
          <w:p w14:paraId="65C4739C" w14:textId="77777777" w:rsidR="005171C5" w:rsidRPr="005171C5" w:rsidRDefault="005171C5" w:rsidP="005171C5">
            <w:pPr>
              <w:suppressAutoHyphens/>
              <w:snapToGrid w:val="0"/>
              <w:spacing w:before="40" w:after="40"/>
              <w:rPr>
                <w:rFonts w:eastAsia="細明體" w:cs="Segoe UI"/>
                <w:sz w:val="17"/>
                <w:szCs w:val="17"/>
                <w:lang w:eastAsia="ar-SA"/>
              </w:rPr>
            </w:pPr>
          </w:p>
        </w:tc>
      </w:tr>
      <w:tr w:rsidR="001B39FD" w:rsidRPr="005171C5" w14:paraId="18743FC1" w14:textId="77777777" w:rsidTr="005171C5">
        <w:trPr>
          <w:cantSplit/>
        </w:trPr>
        <w:tc>
          <w:tcPr>
            <w:tcW w:w="425" w:type="dxa"/>
            <w:tcBorders>
              <w:top w:val="single" w:sz="4" w:space="0" w:color="C0C0C0"/>
              <w:bottom w:val="single" w:sz="4" w:space="0" w:color="C0C0C0"/>
            </w:tcBorders>
            <w:shd w:val="clear" w:color="auto" w:fill="auto"/>
          </w:tcPr>
          <w:p w14:paraId="162D2334"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5</w:t>
            </w:r>
          </w:p>
        </w:tc>
        <w:tc>
          <w:tcPr>
            <w:tcW w:w="2977" w:type="dxa"/>
            <w:tcBorders>
              <w:top w:val="single" w:sz="4" w:space="0" w:color="C0C0C0"/>
              <w:left w:val="single" w:sz="4" w:space="0" w:color="000000"/>
              <w:bottom w:val="single" w:sz="4" w:space="0" w:color="C0C0C0"/>
            </w:tcBorders>
            <w:shd w:val="clear" w:color="auto" w:fill="auto"/>
          </w:tcPr>
          <w:p w14:paraId="5CAC3AAF" w14:textId="1A9E8F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ar-SA"/>
              </w:rPr>
              <w:t>風險值（對於</w:t>
            </w:r>
            <w:r w:rsidRPr="005171C5">
              <w:rPr>
                <w:rFonts w:eastAsia="細明體" w:cs="Segoe UI" w:hint="cs"/>
                <w:sz w:val="17"/>
                <w:szCs w:val="17"/>
                <w:lang w:eastAsia="ar-SA"/>
              </w:rPr>
              <w:t>SFT</w:t>
            </w:r>
            <w:r w:rsidRPr="005171C5">
              <w:rPr>
                <w:rFonts w:eastAsia="細明體" w:cs="Segoe UI" w:hint="eastAsia"/>
                <w:sz w:val="17"/>
                <w:szCs w:val="17"/>
                <w:lang w:eastAsia="ar-SA"/>
              </w:rPr>
              <w:t>）</w:t>
            </w:r>
          </w:p>
        </w:tc>
        <w:tc>
          <w:tcPr>
            <w:tcW w:w="851" w:type="dxa"/>
            <w:tcBorders>
              <w:top w:val="single" w:sz="4" w:space="0" w:color="C0C0C0"/>
              <w:left w:val="single" w:sz="4" w:space="0" w:color="000000"/>
              <w:bottom w:val="single" w:sz="4" w:space="0" w:color="C0C0C0"/>
            </w:tcBorders>
            <w:shd w:val="clear" w:color="auto" w:fill="BFBFBF"/>
          </w:tcPr>
          <w:p w14:paraId="56543FA3"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C0C0C0"/>
            </w:tcBorders>
            <w:shd w:val="clear" w:color="auto" w:fill="BFBFBF"/>
          </w:tcPr>
          <w:p w14:paraId="791A37EA"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C0C0C0"/>
            </w:tcBorders>
            <w:shd w:val="clear" w:color="auto" w:fill="BFBFBF"/>
          </w:tcPr>
          <w:p w14:paraId="7DDFF4D4"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BFBFBF"/>
          </w:tcPr>
          <w:p w14:paraId="13C06DB7"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275" w:type="dxa"/>
            <w:tcBorders>
              <w:top w:val="single" w:sz="4" w:space="0" w:color="C0C0C0"/>
              <w:left w:val="single" w:sz="4" w:space="0" w:color="000000"/>
              <w:bottom w:val="single" w:sz="4" w:space="0" w:color="C0C0C0"/>
            </w:tcBorders>
            <w:shd w:val="clear" w:color="auto" w:fill="auto"/>
          </w:tcPr>
          <w:p w14:paraId="583DD354"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C0C0C0"/>
              <w:right w:val="single" w:sz="4" w:space="0" w:color="000000"/>
            </w:tcBorders>
            <w:shd w:val="clear" w:color="auto" w:fill="auto"/>
          </w:tcPr>
          <w:p w14:paraId="56E13327" w14:textId="77777777" w:rsidR="005171C5" w:rsidRPr="005171C5" w:rsidRDefault="005171C5" w:rsidP="005171C5">
            <w:pPr>
              <w:suppressAutoHyphens/>
              <w:snapToGrid w:val="0"/>
              <w:spacing w:before="40" w:after="40"/>
              <w:rPr>
                <w:rFonts w:eastAsia="細明體" w:cs="Segoe UI"/>
                <w:sz w:val="17"/>
                <w:szCs w:val="17"/>
                <w:lang w:eastAsia="ar-SA"/>
              </w:rPr>
            </w:pPr>
          </w:p>
        </w:tc>
      </w:tr>
      <w:tr w:rsidR="00883F2A" w:rsidRPr="005171C5" w14:paraId="6298FD41" w14:textId="77777777" w:rsidTr="005171C5">
        <w:trPr>
          <w:cantSplit/>
          <w:trHeight w:val="205"/>
        </w:trPr>
        <w:tc>
          <w:tcPr>
            <w:tcW w:w="425" w:type="dxa"/>
            <w:tcBorders>
              <w:top w:val="single" w:sz="4" w:space="0" w:color="C0C0C0"/>
              <w:bottom w:val="single" w:sz="4" w:space="0" w:color="000000"/>
            </w:tcBorders>
            <w:shd w:val="clear" w:color="auto" w:fill="auto"/>
          </w:tcPr>
          <w:p w14:paraId="3EBE87C2" w14:textId="77777777" w:rsidR="005171C5" w:rsidRPr="005171C5" w:rsidRDefault="005171C5" w:rsidP="005171C5">
            <w:pPr>
              <w:suppressAutoHyphens/>
              <w:snapToGrid w:val="0"/>
              <w:spacing w:before="40" w:after="40"/>
              <w:rPr>
                <w:rFonts w:eastAsia="細明體" w:cs="Segoe UI"/>
                <w:b/>
                <w:sz w:val="17"/>
                <w:szCs w:val="17"/>
                <w:lang w:eastAsia="ar-SA"/>
              </w:rPr>
            </w:pPr>
            <w:r w:rsidRPr="005171C5">
              <w:rPr>
                <w:rFonts w:eastAsia="細明體" w:cs="Segoe UI"/>
                <w:sz w:val="17"/>
                <w:szCs w:val="17"/>
                <w:lang w:eastAsia="ar-SA"/>
              </w:rPr>
              <w:t>6</w:t>
            </w:r>
          </w:p>
        </w:tc>
        <w:tc>
          <w:tcPr>
            <w:tcW w:w="2977" w:type="dxa"/>
            <w:tcBorders>
              <w:top w:val="single" w:sz="4" w:space="0" w:color="C0C0C0"/>
              <w:left w:val="single" w:sz="4" w:space="0" w:color="000000"/>
              <w:bottom w:val="single" w:sz="4" w:space="0" w:color="000000"/>
            </w:tcBorders>
            <w:shd w:val="clear" w:color="auto" w:fill="auto"/>
          </w:tcPr>
          <w:p w14:paraId="2E6B039B" w14:textId="77777777" w:rsidR="005171C5" w:rsidRPr="005171C5" w:rsidRDefault="005171C5" w:rsidP="005171C5">
            <w:pPr>
              <w:suppressAutoHyphens/>
              <w:snapToGrid w:val="0"/>
              <w:spacing w:before="40" w:after="40"/>
              <w:rPr>
                <w:rFonts w:eastAsia="細明體" w:cs="Segoe UI"/>
                <w:sz w:val="17"/>
                <w:szCs w:val="17"/>
                <w:lang w:eastAsia="ar-SA"/>
              </w:rPr>
            </w:pPr>
            <w:r w:rsidRPr="005171C5">
              <w:rPr>
                <w:rFonts w:eastAsia="細明體" w:cs="Segoe UI" w:hint="eastAsia"/>
                <w:b/>
                <w:sz w:val="17"/>
                <w:szCs w:val="17"/>
                <w:lang w:eastAsia="ar-SA"/>
              </w:rPr>
              <w:t>總計</w:t>
            </w:r>
          </w:p>
        </w:tc>
        <w:tc>
          <w:tcPr>
            <w:tcW w:w="851" w:type="dxa"/>
            <w:tcBorders>
              <w:top w:val="single" w:sz="4" w:space="0" w:color="C0C0C0"/>
              <w:left w:val="single" w:sz="4" w:space="0" w:color="000000"/>
              <w:bottom w:val="single" w:sz="4" w:space="0" w:color="000000"/>
            </w:tcBorders>
            <w:shd w:val="clear" w:color="auto" w:fill="BFBFBF"/>
          </w:tcPr>
          <w:p w14:paraId="5A761AE3"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50" w:type="dxa"/>
            <w:tcBorders>
              <w:top w:val="single" w:sz="4" w:space="0" w:color="C0C0C0"/>
              <w:left w:val="single" w:sz="4" w:space="0" w:color="000000"/>
              <w:bottom w:val="single" w:sz="4" w:space="0" w:color="000000"/>
            </w:tcBorders>
            <w:shd w:val="clear" w:color="auto" w:fill="BFBFBF"/>
          </w:tcPr>
          <w:p w14:paraId="7FF25E89"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993" w:type="dxa"/>
            <w:tcBorders>
              <w:top w:val="single" w:sz="4" w:space="0" w:color="C0C0C0"/>
              <w:left w:val="single" w:sz="4" w:space="0" w:color="000000"/>
              <w:bottom w:val="single" w:sz="4" w:space="0" w:color="000000"/>
            </w:tcBorders>
            <w:shd w:val="clear" w:color="auto" w:fill="BFBFBF"/>
          </w:tcPr>
          <w:p w14:paraId="1021B970"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000000"/>
            </w:tcBorders>
            <w:shd w:val="clear" w:color="auto" w:fill="BFBFBF"/>
          </w:tcPr>
          <w:p w14:paraId="78D3C757"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1275" w:type="dxa"/>
            <w:tcBorders>
              <w:top w:val="single" w:sz="4" w:space="0" w:color="C0C0C0"/>
              <w:left w:val="single" w:sz="4" w:space="0" w:color="000000"/>
              <w:bottom w:val="single" w:sz="4" w:space="0" w:color="000000"/>
            </w:tcBorders>
            <w:shd w:val="clear" w:color="auto" w:fill="BFBFBF"/>
          </w:tcPr>
          <w:p w14:paraId="6F9343A6" w14:textId="77777777" w:rsidR="005171C5" w:rsidRPr="005171C5" w:rsidRDefault="005171C5" w:rsidP="005171C5">
            <w:pPr>
              <w:suppressAutoHyphens/>
              <w:snapToGrid w:val="0"/>
              <w:spacing w:before="40" w:after="40"/>
              <w:rPr>
                <w:rFonts w:eastAsia="細明體" w:cs="Segoe UI"/>
                <w:sz w:val="17"/>
                <w:szCs w:val="17"/>
                <w:lang w:eastAsia="ar-SA"/>
              </w:rPr>
            </w:pPr>
          </w:p>
        </w:tc>
        <w:tc>
          <w:tcPr>
            <w:tcW w:w="870" w:type="dxa"/>
            <w:tcBorders>
              <w:top w:val="single" w:sz="4" w:space="0" w:color="C0C0C0"/>
              <w:left w:val="single" w:sz="4" w:space="0" w:color="000000"/>
              <w:bottom w:val="single" w:sz="4" w:space="0" w:color="000000"/>
              <w:right w:val="single" w:sz="4" w:space="0" w:color="000000"/>
            </w:tcBorders>
            <w:shd w:val="clear" w:color="auto" w:fill="auto"/>
          </w:tcPr>
          <w:p w14:paraId="7F9718A2" w14:textId="77777777" w:rsidR="005171C5" w:rsidRPr="005171C5" w:rsidRDefault="005171C5" w:rsidP="005171C5">
            <w:pPr>
              <w:suppressAutoHyphens/>
              <w:snapToGrid w:val="0"/>
              <w:spacing w:before="40" w:after="40"/>
              <w:rPr>
                <w:rFonts w:eastAsia="細明體" w:cs="Segoe UI"/>
                <w:sz w:val="17"/>
                <w:szCs w:val="17"/>
                <w:lang w:eastAsia="ar-SA"/>
              </w:rPr>
            </w:pPr>
          </w:p>
        </w:tc>
      </w:tr>
    </w:tbl>
    <w:p w14:paraId="223890F0" w14:textId="77777777" w:rsidR="005171C5" w:rsidRPr="005171C5" w:rsidRDefault="005171C5" w:rsidP="005171C5">
      <w:pPr>
        <w:spacing w:before="120" w:after="120" w:line="259" w:lineRule="auto"/>
        <w:ind w:left="-566"/>
        <w:rPr>
          <w:rFonts w:ascii="Calibri" w:eastAsia="細明體" w:hAnsi="Calibri"/>
          <w:sz w:val="22"/>
          <w:szCs w:val="22"/>
          <w:lang w:eastAsia="zh-CN"/>
        </w:rPr>
      </w:pPr>
    </w:p>
    <w:tbl>
      <w:tblPr>
        <w:tblW w:w="0" w:type="auto"/>
        <w:tblInd w:w="-469" w:type="dxa"/>
        <w:tblLayout w:type="fixed"/>
        <w:tblLook w:val="0000" w:firstRow="0" w:lastRow="0" w:firstColumn="0" w:lastColumn="0" w:noHBand="0" w:noVBand="0"/>
      </w:tblPr>
      <w:tblGrid>
        <w:gridCol w:w="425"/>
        <w:gridCol w:w="9185"/>
      </w:tblGrid>
      <w:tr w:rsidR="005171C5" w:rsidRPr="005171C5" w14:paraId="4A160BE6" w14:textId="77777777" w:rsidTr="005171C5">
        <w:trPr>
          <w:tblHeader/>
        </w:trPr>
        <w:tc>
          <w:tcPr>
            <w:tcW w:w="9610" w:type="dxa"/>
            <w:gridSpan w:val="2"/>
            <w:tcBorders>
              <w:top w:val="single" w:sz="4" w:space="0" w:color="000000"/>
              <w:left w:val="single" w:sz="4" w:space="0" w:color="000000"/>
              <w:bottom w:val="single" w:sz="4" w:space="0" w:color="000000"/>
              <w:right w:val="single" w:sz="4" w:space="0" w:color="000000"/>
            </w:tcBorders>
            <w:shd w:val="clear" w:color="auto" w:fill="BFBFBF"/>
          </w:tcPr>
          <w:p w14:paraId="6F1D175C" w14:textId="77777777" w:rsidR="005171C5" w:rsidRPr="005171C5" w:rsidRDefault="005171C5" w:rsidP="005171C5">
            <w:pPr>
              <w:spacing w:before="40" w:after="40" w:line="259" w:lineRule="auto"/>
              <w:jc w:val="both"/>
              <w:rPr>
                <w:rFonts w:ascii="Calibri" w:eastAsia="新細明體" w:hAnsi="Calibri"/>
                <w:sz w:val="22"/>
                <w:szCs w:val="22"/>
                <w:lang w:eastAsia="zh-CN"/>
              </w:rPr>
            </w:pPr>
            <w:r w:rsidRPr="005171C5">
              <w:rPr>
                <w:rFonts w:ascii="Calibri" w:eastAsia="細明體" w:hAnsi="Calibri" w:hint="eastAsia"/>
                <w:b/>
                <w:sz w:val="17"/>
                <w:szCs w:val="17"/>
                <w:lang w:eastAsia="zh-CN"/>
              </w:rPr>
              <w:t>註釋</w:t>
            </w:r>
          </w:p>
        </w:tc>
      </w:tr>
      <w:tr w:rsidR="005171C5" w:rsidRPr="005171C5" w14:paraId="26DFCE74" w14:textId="77777777" w:rsidTr="005171C5">
        <w:trPr>
          <w:trHeight w:val="153"/>
        </w:trPr>
        <w:tc>
          <w:tcPr>
            <w:tcW w:w="9610"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D34A8D" w14:textId="77777777" w:rsidR="005171C5" w:rsidRPr="005171C5" w:rsidRDefault="005171C5" w:rsidP="005171C5">
            <w:pPr>
              <w:spacing w:before="40" w:after="40" w:line="259" w:lineRule="auto"/>
              <w:jc w:val="both"/>
              <w:rPr>
                <w:rFonts w:ascii="Calibri" w:eastAsia="新細明體" w:hAnsi="Calibri"/>
                <w:sz w:val="22"/>
                <w:szCs w:val="22"/>
                <w:lang w:eastAsia="zh-CN"/>
              </w:rPr>
            </w:pPr>
            <w:proofErr w:type="gramStart"/>
            <w:r w:rsidRPr="005171C5">
              <w:rPr>
                <w:rFonts w:ascii="Calibri" w:eastAsia="細明體" w:hAnsi="Calibri" w:hint="eastAsia"/>
                <w:b/>
                <w:sz w:val="17"/>
                <w:szCs w:val="17"/>
                <w:lang w:eastAsia="zh-CN"/>
              </w:rPr>
              <w:t>欄</w:t>
            </w:r>
            <w:proofErr w:type="gramEnd"/>
          </w:p>
        </w:tc>
      </w:tr>
      <w:tr w:rsidR="005171C5" w:rsidRPr="005171C5" w14:paraId="0C8AEB8D" w14:textId="77777777" w:rsidTr="005171C5">
        <w:tc>
          <w:tcPr>
            <w:tcW w:w="425" w:type="dxa"/>
            <w:tcBorders>
              <w:top w:val="single" w:sz="4" w:space="0" w:color="000000"/>
              <w:left w:val="single" w:sz="4" w:space="0" w:color="000000"/>
              <w:bottom w:val="single" w:sz="4" w:space="0" w:color="000000"/>
            </w:tcBorders>
            <w:shd w:val="clear" w:color="auto" w:fill="auto"/>
          </w:tcPr>
          <w:p w14:paraId="72FFF9B3" w14:textId="77777777" w:rsidR="005171C5" w:rsidRPr="005171C5" w:rsidRDefault="005171C5" w:rsidP="005171C5">
            <w:pPr>
              <w:keepLines/>
              <w:widowControl w:val="0"/>
              <w:suppressAutoHyphens/>
              <w:spacing w:before="20" w:after="20"/>
              <w:ind w:right="-108"/>
              <w:rPr>
                <w:rFonts w:eastAsia="細明體" w:cs="Segoe UI"/>
                <w:i/>
                <w:sz w:val="17"/>
                <w:szCs w:val="17"/>
                <w:lang w:eastAsia="ar-SA"/>
              </w:rPr>
            </w:pPr>
            <w:r w:rsidRPr="005171C5">
              <w:rPr>
                <w:rFonts w:eastAsia="細明體" w:cs="Segoe UI"/>
                <w:sz w:val="17"/>
                <w:szCs w:val="17"/>
                <w:lang w:eastAsia="ar-SA"/>
              </w:rPr>
              <w:t>(a)</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6E4FF585" w14:textId="40911526" w:rsidR="005171C5" w:rsidRPr="006A01A2" w:rsidRDefault="005171C5" w:rsidP="00CA45BA">
            <w:pPr>
              <w:keepNext/>
              <w:suppressAutoHyphens/>
              <w:spacing w:before="40" w:after="40"/>
              <w:jc w:val="both"/>
              <w:rPr>
                <w:rFonts w:eastAsiaTheme="minorEastAsia" w:cs="Segoe UI"/>
                <w:sz w:val="17"/>
                <w:szCs w:val="17"/>
                <w:lang w:eastAsia="zh-TW"/>
              </w:rPr>
            </w:pPr>
            <w:r w:rsidRPr="005171C5">
              <w:rPr>
                <w:rFonts w:eastAsia="細明體" w:cs="Segoe UI" w:hint="eastAsia"/>
                <w:i/>
                <w:sz w:val="17"/>
                <w:szCs w:val="17"/>
                <w:lang w:eastAsia="ar-SA"/>
              </w:rPr>
              <w:t>重置成本</w:t>
            </w:r>
            <w:r w:rsidRPr="005171C5">
              <w:rPr>
                <w:rFonts w:eastAsia="細明體" w:cs="Segoe UI" w:hint="eastAsia"/>
                <w:sz w:val="17"/>
                <w:szCs w:val="17"/>
                <w:lang w:eastAsia="ar-SA"/>
              </w:rPr>
              <w:t>：就</w:t>
            </w:r>
            <w:r w:rsidRPr="005171C5">
              <w:rPr>
                <w:rFonts w:eastAsia="細明體" w:cs="Segoe UI"/>
                <w:sz w:val="17"/>
                <w:szCs w:val="17"/>
                <w:lang w:eastAsia="ar-SA"/>
              </w:rPr>
              <w:t>SA-CCR</w:t>
            </w:r>
            <w:r w:rsidRPr="005171C5">
              <w:rPr>
                <w:rFonts w:eastAsia="細明體" w:cs="Segoe UI" w:hint="eastAsia"/>
                <w:sz w:val="17"/>
                <w:szCs w:val="17"/>
                <w:lang w:eastAsia="ar-SA"/>
              </w:rPr>
              <w:t>計算法而言，指按照</w:t>
            </w:r>
            <w:r w:rsidRPr="005171C5">
              <w:rPr>
                <w:rFonts w:eastAsia="細明體" w:cs="Segoe UI"/>
                <w:sz w:val="17"/>
                <w:szCs w:val="17"/>
                <w:lang w:eastAsia="ar-SA"/>
              </w:rPr>
              <w:t>《資本規則》第</w:t>
            </w:r>
            <w:r w:rsidRPr="005171C5">
              <w:rPr>
                <w:rFonts w:eastAsia="細明體" w:cs="Segoe UI"/>
                <w:sz w:val="17"/>
                <w:szCs w:val="17"/>
                <w:lang w:eastAsia="ar-SA"/>
              </w:rPr>
              <w:t>6A</w:t>
            </w:r>
            <w:r w:rsidRPr="005171C5">
              <w:rPr>
                <w:rFonts w:eastAsia="細明體" w:cs="Segoe UI" w:hint="eastAsia"/>
                <w:sz w:val="17"/>
                <w:szCs w:val="17"/>
                <w:lang w:eastAsia="ar-SA"/>
              </w:rPr>
              <w:t>部</w:t>
            </w:r>
            <w:r w:rsidRPr="005171C5">
              <w:rPr>
                <w:rFonts w:eastAsia="細明體" w:cs="Segoe UI" w:hint="eastAsia"/>
                <w:sz w:val="17"/>
                <w:szCs w:val="17"/>
                <w:lang w:eastAsia="zh-HK"/>
              </w:rPr>
              <w:t>第</w:t>
            </w:r>
            <w:r w:rsidRPr="005171C5">
              <w:rPr>
                <w:rFonts w:eastAsia="細明體" w:cs="Segoe UI" w:hint="eastAsia"/>
                <w:sz w:val="17"/>
                <w:szCs w:val="17"/>
                <w:lang w:eastAsia="zh-TW"/>
              </w:rPr>
              <w:t>1A</w:t>
            </w:r>
            <w:r w:rsidRPr="005171C5">
              <w:rPr>
                <w:rFonts w:eastAsia="細明體" w:cs="Segoe UI" w:hint="eastAsia"/>
                <w:sz w:val="17"/>
                <w:szCs w:val="17"/>
                <w:lang w:eastAsia="zh-HK"/>
              </w:rPr>
              <w:t>分部</w:t>
            </w:r>
            <w:r w:rsidRPr="005171C5">
              <w:rPr>
                <w:rFonts w:eastAsia="細明體" w:cs="Segoe UI" w:hint="eastAsia"/>
                <w:sz w:val="17"/>
                <w:szCs w:val="17"/>
                <w:lang w:eastAsia="ar-SA"/>
              </w:rPr>
              <w:t>使用</w:t>
            </w:r>
            <w:r w:rsidRPr="005171C5">
              <w:rPr>
                <w:rFonts w:eastAsia="細明體" w:cs="Segoe UI"/>
                <w:sz w:val="17"/>
                <w:szCs w:val="17"/>
                <w:lang w:eastAsia="ar-SA"/>
              </w:rPr>
              <w:t>SA-CCR</w:t>
            </w:r>
            <w:r w:rsidRPr="005171C5">
              <w:rPr>
                <w:rFonts w:eastAsia="細明體" w:cs="Segoe UI" w:hint="eastAsia"/>
                <w:sz w:val="17"/>
                <w:szCs w:val="17"/>
                <w:lang w:eastAsia="ar-SA"/>
              </w:rPr>
              <w:t>計算法計算的重置成本。就現行風險承擔方法而言，</w:t>
            </w:r>
            <w:r w:rsidRPr="00C60999">
              <w:rPr>
                <w:rFonts w:eastAsia="細明體" w:cs="Segoe UI" w:hint="eastAsia"/>
                <w:sz w:val="17"/>
                <w:szCs w:val="17"/>
                <w:lang w:eastAsia="ar-SA"/>
              </w:rPr>
              <w:t>指按照《資本規則》第</w:t>
            </w:r>
            <w:r w:rsidRPr="00C60999">
              <w:rPr>
                <w:rFonts w:eastAsia="細明體" w:cs="Segoe UI"/>
                <w:sz w:val="17"/>
                <w:szCs w:val="17"/>
                <w:lang w:eastAsia="ar-SA"/>
              </w:rPr>
              <w:t>6A</w:t>
            </w:r>
            <w:r w:rsidRPr="00C60999">
              <w:rPr>
                <w:rFonts w:eastAsia="細明體" w:cs="Segoe UI" w:hint="eastAsia"/>
                <w:sz w:val="17"/>
                <w:szCs w:val="17"/>
                <w:lang w:eastAsia="ar-SA"/>
              </w:rPr>
              <w:t>部</w:t>
            </w:r>
            <w:r w:rsidRPr="00C60999">
              <w:rPr>
                <w:rFonts w:eastAsia="細明體" w:cs="Segoe UI" w:hint="eastAsia"/>
                <w:sz w:val="17"/>
                <w:szCs w:val="17"/>
                <w:lang w:eastAsia="zh-HK"/>
              </w:rPr>
              <w:t>第</w:t>
            </w:r>
            <w:r w:rsidRPr="00C60999">
              <w:rPr>
                <w:rFonts w:eastAsia="細明體" w:cs="Segoe UI"/>
                <w:sz w:val="17"/>
                <w:szCs w:val="17"/>
                <w:lang w:eastAsia="zh-TW"/>
              </w:rPr>
              <w:t>2A</w:t>
            </w:r>
            <w:r w:rsidRPr="00C60999">
              <w:rPr>
                <w:rFonts w:eastAsia="細明體" w:cs="Segoe UI" w:hint="eastAsia"/>
                <w:sz w:val="17"/>
                <w:szCs w:val="17"/>
                <w:lang w:eastAsia="zh-HK"/>
              </w:rPr>
              <w:t>分部</w:t>
            </w:r>
            <w:r w:rsidRPr="00C60999">
              <w:rPr>
                <w:rFonts w:eastAsia="細明體" w:cs="Segoe UI" w:hint="eastAsia"/>
                <w:sz w:val="17"/>
                <w:szCs w:val="17"/>
                <w:lang w:eastAsia="ar-SA"/>
              </w:rPr>
              <w:t>使用現行風</w:t>
            </w:r>
            <w:r w:rsidRPr="00D166E2">
              <w:rPr>
                <w:rFonts w:eastAsia="細明體" w:cs="Segoe UI" w:hint="eastAsia"/>
                <w:sz w:val="17"/>
                <w:szCs w:val="17"/>
                <w:lang w:eastAsia="ar-SA"/>
              </w:rPr>
              <w:t>險承擔方法計算的重置成本。</w:t>
            </w:r>
            <w:r w:rsidR="005D4322" w:rsidRPr="00D166E2">
              <w:rPr>
                <w:rFonts w:eastAsia="細明體" w:cs="Segoe UI" w:hint="eastAsia"/>
                <w:sz w:val="17"/>
                <w:szCs w:val="17"/>
                <w:lang w:eastAsia="ar-SA"/>
              </w:rPr>
              <w:t>就</w:t>
            </w:r>
            <w:r w:rsidR="00F30901" w:rsidRPr="00F30901">
              <w:rPr>
                <w:rFonts w:eastAsia="細明體" w:cs="Segoe UI" w:hint="eastAsia"/>
                <w:sz w:val="17"/>
                <w:szCs w:val="17"/>
                <w:lang w:eastAsia="ar-SA"/>
              </w:rPr>
              <w:t>適用於</w:t>
            </w:r>
            <w:r w:rsidR="00863837" w:rsidRPr="00D166E2">
              <w:rPr>
                <w:rFonts w:eastAsia="細明體" w:cs="Segoe UI" w:hint="eastAsia"/>
                <w:sz w:val="17"/>
                <w:szCs w:val="17"/>
                <w:lang w:eastAsia="ar-SA"/>
              </w:rPr>
              <w:t>第</w:t>
            </w:r>
            <w:r w:rsidR="00863837" w:rsidRPr="00D166E2">
              <w:rPr>
                <w:rFonts w:eastAsia="細明體" w:cs="Segoe UI"/>
                <w:sz w:val="17"/>
                <w:szCs w:val="17"/>
                <w:lang w:eastAsia="ar-SA"/>
              </w:rPr>
              <w:t>2b</w:t>
            </w:r>
            <w:r w:rsidR="00863837" w:rsidRPr="00D166E2">
              <w:rPr>
                <w:rFonts w:eastAsia="細明體" w:cs="Segoe UI" w:hint="eastAsia"/>
                <w:sz w:val="17"/>
                <w:szCs w:val="17"/>
                <w:lang w:eastAsia="ar-SA"/>
              </w:rPr>
              <w:t>組加密資產衍生工具合約的方法</w:t>
            </w:r>
            <w:r w:rsidR="005D4322" w:rsidRPr="00D166E2">
              <w:rPr>
                <w:rFonts w:eastAsia="細明體" w:cs="Segoe UI" w:hint="eastAsia"/>
                <w:sz w:val="17"/>
                <w:szCs w:val="17"/>
                <w:lang w:eastAsia="ar-SA"/>
              </w:rPr>
              <w:t>而言，</w:t>
            </w:r>
            <w:r w:rsidR="00487774" w:rsidRPr="00D166E2">
              <w:rPr>
                <w:rFonts w:eastAsia="細明體" w:cs="Segoe UI" w:hint="eastAsia"/>
                <w:sz w:val="17"/>
                <w:szCs w:val="17"/>
                <w:lang w:eastAsia="ar-SA"/>
              </w:rPr>
              <w:t>指</w:t>
            </w:r>
            <w:r w:rsidR="008E56F7" w:rsidRPr="00D166E2">
              <w:rPr>
                <w:rFonts w:eastAsia="細明體" w:cs="Segoe UI" w:hint="eastAsia"/>
                <w:sz w:val="17"/>
                <w:szCs w:val="17"/>
                <w:lang w:eastAsia="ar-SA"/>
              </w:rPr>
              <w:t>《資本規則》</w:t>
            </w:r>
            <w:r w:rsidR="00487774" w:rsidRPr="00D166E2">
              <w:rPr>
                <w:rFonts w:eastAsia="細明體" w:cs="Segoe UI" w:hint="eastAsia"/>
                <w:sz w:val="17"/>
                <w:szCs w:val="17"/>
                <w:lang w:eastAsia="ar-SA"/>
              </w:rPr>
              <w:t>第</w:t>
            </w:r>
            <w:r w:rsidR="00487774" w:rsidRPr="00D166E2">
              <w:rPr>
                <w:rFonts w:eastAsia="細明體" w:cs="Segoe UI"/>
                <w:sz w:val="17"/>
                <w:szCs w:val="17"/>
                <w:lang w:eastAsia="ar-SA"/>
              </w:rPr>
              <w:t>377</w:t>
            </w:r>
            <w:r w:rsidR="006A01A2" w:rsidRPr="00D166E2">
              <w:rPr>
                <w:rFonts w:eastAsia="細明體" w:cs="Segoe UI"/>
                <w:sz w:val="17"/>
                <w:szCs w:val="17"/>
                <w:lang w:eastAsia="ar-SA"/>
              </w:rPr>
              <w:t>(</w:t>
            </w:r>
            <w:r w:rsidR="00487774" w:rsidRPr="00D166E2">
              <w:rPr>
                <w:rFonts w:eastAsia="細明體" w:cs="Segoe UI"/>
                <w:sz w:val="17"/>
                <w:szCs w:val="17"/>
                <w:lang w:eastAsia="ar-SA"/>
              </w:rPr>
              <w:t>1</w:t>
            </w:r>
            <w:r w:rsidR="006A01A2" w:rsidRPr="00D166E2">
              <w:rPr>
                <w:rFonts w:eastAsia="細明體" w:cs="Segoe UI"/>
                <w:sz w:val="17"/>
                <w:szCs w:val="17"/>
                <w:lang w:eastAsia="ar-SA"/>
              </w:rPr>
              <w:t>)(</w:t>
            </w:r>
            <w:proofErr w:type="gramStart"/>
            <w:r w:rsidR="00487774" w:rsidRPr="00D166E2">
              <w:rPr>
                <w:rFonts w:eastAsia="細明體" w:cs="Segoe UI"/>
                <w:sz w:val="17"/>
                <w:szCs w:val="17"/>
                <w:lang w:eastAsia="ar-SA"/>
              </w:rPr>
              <w:t>a</w:t>
            </w:r>
            <w:r w:rsidR="006A01A2" w:rsidRPr="00D166E2">
              <w:rPr>
                <w:rFonts w:eastAsia="細明體" w:cs="Segoe UI"/>
                <w:sz w:val="17"/>
                <w:szCs w:val="17"/>
                <w:lang w:eastAsia="ar-SA"/>
              </w:rPr>
              <w:t>)</w:t>
            </w:r>
            <w:r w:rsidR="008E56F7" w:rsidRPr="00D166E2">
              <w:rPr>
                <w:rFonts w:eastAsia="細明體" w:cs="Segoe UI" w:hint="eastAsia"/>
                <w:sz w:val="17"/>
                <w:szCs w:val="17"/>
                <w:lang w:eastAsia="ar-SA"/>
              </w:rPr>
              <w:t>條所述</w:t>
            </w:r>
            <w:r w:rsidR="00487774" w:rsidRPr="00D166E2">
              <w:rPr>
                <w:rFonts w:eastAsia="細明體" w:cs="Segoe UI" w:hint="eastAsia"/>
                <w:sz w:val="17"/>
                <w:szCs w:val="17"/>
                <w:lang w:eastAsia="ar-SA"/>
              </w:rPr>
              <w:t>的</w:t>
            </w:r>
            <w:r w:rsidR="008E56F7" w:rsidRPr="00D166E2">
              <w:rPr>
                <w:rFonts w:eastAsia="細明體" w:cs="Segoe UI" w:hint="eastAsia"/>
                <w:sz w:val="17"/>
                <w:szCs w:val="17"/>
                <w:lang w:eastAsia="ar-SA"/>
              </w:rPr>
              <w:t>重</w:t>
            </w:r>
            <w:r w:rsidR="008E56F7" w:rsidRPr="006A01A2">
              <w:rPr>
                <w:rFonts w:eastAsia="細明體" w:cs="Segoe UI" w:hint="eastAsia"/>
                <w:sz w:val="17"/>
                <w:szCs w:val="17"/>
                <w:lang w:eastAsia="ar-SA"/>
              </w:rPr>
              <w:t>置成本</w:t>
            </w:r>
            <w:proofErr w:type="gramEnd"/>
            <w:r w:rsidR="008E56F7" w:rsidRPr="006A01A2">
              <w:rPr>
                <w:rFonts w:eastAsia="細明體" w:cs="Segoe UI" w:hint="eastAsia"/>
                <w:sz w:val="17"/>
                <w:szCs w:val="17"/>
                <w:lang w:eastAsia="ar-SA"/>
              </w:rPr>
              <w:t>。</w:t>
            </w:r>
          </w:p>
        </w:tc>
      </w:tr>
      <w:tr w:rsidR="005171C5" w:rsidRPr="005171C5" w14:paraId="74630A3B" w14:textId="77777777" w:rsidTr="005171C5">
        <w:trPr>
          <w:trHeight w:val="373"/>
        </w:trPr>
        <w:tc>
          <w:tcPr>
            <w:tcW w:w="425" w:type="dxa"/>
            <w:tcBorders>
              <w:top w:val="single" w:sz="4" w:space="0" w:color="000000"/>
              <w:left w:val="single" w:sz="4" w:space="0" w:color="000000"/>
              <w:bottom w:val="single" w:sz="4" w:space="0" w:color="000000"/>
            </w:tcBorders>
            <w:shd w:val="clear" w:color="auto" w:fill="auto"/>
          </w:tcPr>
          <w:p w14:paraId="487B39FE"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(b)</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3A6CA0D6" w14:textId="3A7681E6" w:rsidR="005171C5" w:rsidRPr="005171C5" w:rsidRDefault="005171C5" w:rsidP="00CA45BA">
            <w:pPr>
              <w:keepNext/>
              <w:suppressAutoHyphens/>
              <w:spacing w:before="40" w:after="40" w:line="259" w:lineRule="auto"/>
              <w:jc w:val="both"/>
              <w:rPr>
                <w:rFonts w:eastAsia="細明體" w:cs="Segoe UI"/>
                <w:sz w:val="17"/>
                <w:szCs w:val="17"/>
                <w:lang w:eastAsia="ar-SA"/>
              </w:rPr>
            </w:pPr>
            <w:r w:rsidRPr="005171C5">
              <w:rPr>
                <w:rFonts w:eastAsia="細明體" w:cs="Segoe UI" w:hint="eastAsia"/>
                <w:i/>
                <w:sz w:val="17"/>
                <w:szCs w:val="17"/>
                <w:lang w:eastAsia="ar-SA"/>
              </w:rPr>
              <w:t>潛在未來風險承擔</w:t>
            </w:r>
            <w:r w:rsidRPr="005171C5">
              <w:rPr>
                <w:rFonts w:eastAsia="細明體" w:cs="Segoe UI" w:hint="eastAsia"/>
                <w:sz w:val="17"/>
                <w:szCs w:val="17"/>
                <w:lang w:eastAsia="ar-SA"/>
              </w:rPr>
              <w:t>：就</w:t>
            </w:r>
            <w:r w:rsidRPr="005171C5">
              <w:rPr>
                <w:rFonts w:eastAsia="細明體" w:cs="Segoe UI"/>
                <w:sz w:val="17"/>
                <w:szCs w:val="17"/>
                <w:lang w:eastAsia="ar-SA"/>
              </w:rPr>
              <w:t>SA-CCR</w:t>
            </w:r>
            <w:r w:rsidRPr="005171C5">
              <w:rPr>
                <w:rFonts w:eastAsia="細明體" w:cs="Segoe UI" w:hint="eastAsia"/>
                <w:sz w:val="17"/>
                <w:szCs w:val="17"/>
                <w:lang w:eastAsia="ar-SA"/>
              </w:rPr>
              <w:t>計算法而言，指按照</w:t>
            </w:r>
            <w:r w:rsidRPr="005171C5">
              <w:rPr>
                <w:rFonts w:eastAsia="細明體" w:cs="Segoe UI"/>
                <w:sz w:val="17"/>
                <w:szCs w:val="17"/>
                <w:lang w:eastAsia="ar-SA"/>
              </w:rPr>
              <w:t>《資本規則》第</w:t>
            </w:r>
            <w:r w:rsidRPr="005171C5">
              <w:rPr>
                <w:rFonts w:eastAsia="細明體" w:cs="Segoe UI"/>
                <w:sz w:val="17"/>
                <w:szCs w:val="17"/>
                <w:lang w:eastAsia="ar-SA"/>
              </w:rPr>
              <w:t>6A</w:t>
            </w:r>
            <w:r w:rsidRPr="005171C5">
              <w:rPr>
                <w:rFonts w:eastAsia="細明體" w:cs="Segoe UI" w:hint="eastAsia"/>
                <w:sz w:val="17"/>
                <w:szCs w:val="17"/>
                <w:lang w:eastAsia="ar-SA"/>
              </w:rPr>
              <w:t>部</w:t>
            </w:r>
            <w:r w:rsidRPr="005171C5">
              <w:rPr>
                <w:rFonts w:eastAsia="細明體" w:cs="Segoe UI" w:hint="eastAsia"/>
                <w:sz w:val="17"/>
                <w:szCs w:val="17"/>
                <w:lang w:eastAsia="zh-HK"/>
              </w:rPr>
              <w:t>第</w:t>
            </w:r>
            <w:r w:rsidRPr="005171C5">
              <w:rPr>
                <w:rFonts w:eastAsia="細明體" w:cs="Segoe UI" w:hint="eastAsia"/>
                <w:sz w:val="17"/>
                <w:szCs w:val="17"/>
                <w:lang w:eastAsia="zh-TW"/>
              </w:rPr>
              <w:t>1A</w:t>
            </w:r>
            <w:r w:rsidRPr="005171C5">
              <w:rPr>
                <w:rFonts w:eastAsia="細明體" w:cs="Segoe UI" w:hint="eastAsia"/>
                <w:sz w:val="17"/>
                <w:szCs w:val="17"/>
                <w:lang w:eastAsia="zh-HK"/>
              </w:rPr>
              <w:t>分部</w:t>
            </w:r>
            <w:r w:rsidRPr="005171C5">
              <w:rPr>
                <w:rFonts w:eastAsia="細明體" w:cs="Segoe UI" w:hint="eastAsia"/>
                <w:sz w:val="17"/>
                <w:szCs w:val="17"/>
                <w:lang w:eastAsia="ar-SA"/>
              </w:rPr>
              <w:t>使用</w:t>
            </w:r>
            <w:r w:rsidRPr="005171C5">
              <w:rPr>
                <w:rFonts w:eastAsia="細明體" w:cs="Segoe UI"/>
                <w:sz w:val="17"/>
                <w:szCs w:val="17"/>
                <w:lang w:eastAsia="ar-SA"/>
              </w:rPr>
              <w:t>SA-CCR</w:t>
            </w:r>
            <w:r w:rsidRPr="005171C5">
              <w:rPr>
                <w:rFonts w:eastAsia="細明體" w:cs="Segoe UI" w:hint="eastAsia"/>
                <w:sz w:val="17"/>
                <w:szCs w:val="17"/>
                <w:lang w:eastAsia="ar-SA"/>
              </w:rPr>
              <w:t>計算法計算的潛在未來風險承擔。就現行風險承擔方法而言，指按照《資本規則》</w:t>
            </w:r>
            <w:r w:rsidRPr="005171C5">
              <w:rPr>
                <w:rFonts w:eastAsia="細明體" w:cs="Segoe UI"/>
                <w:sz w:val="17"/>
                <w:szCs w:val="17"/>
                <w:lang w:eastAsia="ar-SA"/>
              </w:rPr>
              <w:t>第</w:t>
            </w:r>
            <w:r w:rsidRPr="005171C5">
              <w:rPr>
                <w:rFonts w:eastAsia="細明體" w:cs="Segoe UI"/>
                <w:sz w:val="17"/>
                <w:szCs w:val="17"/>
                <w:lang w:eastAsia="ar-SA"/>
              </w:rPr>
              <w:t>6A</w:t>
            </w:r>
            <w:r w:rsidRPr="005171C5">
              <w:rPr>
                <w:rFonts w:eastAsia="細明體" w:cs="Segoe UI" w:hint="eastAsia"/>
                <w:sz w:val="17"/>
                <w:szCs w:val="17"/>
                <w:lang w:eastAsia="ar-SA"/>
              </w:rPr>
              <w:t>部</w:t>
            </w:r>
            <w:r w:rsidRPr="005171C5">
              <w:rPr>
                <w:rFonts w:eastAsia="細明體" w:cs="Segoe UI" w:hint="eastAsia"/>
                <w:sz w:val="17"/>
                <w:szCs w:val="17"/>
                <w:lang w:eastAsia="zh-HK"/>
              </w:rPr>
              <w:t>第</w:t>
            </w:r>
            <w:r w:rsidRPr="005171C5">
              <w:rPr>
                <w:rFonts w:eastAsia="細明體" w:cs="Segoe UI" w:hint="eastAsia"/>
                <w:sz w:val="17"/>
                <w:szCs w:val="17"/>
                <w:lang w:eastAsia="zh-TW"/>
              </w:rPr>
              <w:t>2A</w:t>
            </w:r>
            <w:r w:rsidRPr="005171C5">
              <w:rPr>
                <w:rFonts w:eastAsia="細明體" w:cs="Segoe UI" w:hint="eastAsia"/>
                <w:sz w:val="17"/>
                <w:szCs w:val="17"/>
                <w:lang w:eastAsia="zh-HK"/>
              </w:rPr>
              <w:t>分部</w:t>
            </w:r>
            <w:r w:rsidRPr="005171C5">
              <w:rPr>
                <w:rFonts w:eastAsia="細明體" w:cs="Segoe UI" w:hint="eastAsia"/>
                <w:sz w:val="17"/>
                <w:szCs w:val="17"/>
                <w:lang w:eastAsia="ar-SA"/>
              </w:rPr>
              <w:t>使用現行風險承擔方法計算的潛在未來風險承擔。</w:t>
            </w:r>
            <w:r w:rsidR="005D4322" w:rsidRPr="00CA45BA">
              <w:rPr>
                <w:rFonts w:eastAsia="細明體" w:cs="Segoe UI" w:hint="eastAsia"/>
                <w:sz w:val="17"/>
                <w:szCs w:val="17"/>
                <w:lang w:eastAsia="ar-SA"/>
              </w:rPr>
              <w:t>就</w:t>
            </w:r>
            <w:r w:rsidR="00F30901" w:rsidRPr="00F30901">
              <w:rPr>
                <w:rFonts w:eastAsia="細明體" w:cs="Segoe UI" w:hint="eastAsia"/>
                <w:sz w:val="17"/>
                <w:szCs w:val="17"/>
                <w:lang w:eastAsia="ar-SA"/>
              </w:rPr>
              <w:t>適用於</w:t>
            </w:r>
            <w:r w:rsidR="00F766F7" w:rsidRPr="00CA45BA">
              <w:rPr>
                <w:rFonts w:eastAsia="細明體" w:cs="Segoe UI" w:hint="eastAsia"/>
                <w:sz w:val="17"/>
                <w:szCs w:val="17"/>
                <w:lang w:eastAsia="ar-SA"/>
              </w:rPr>
              <w:t>第</w:t>
            </w:r>
            <w:r w:rsidR="00F766F7" w:rsidRPr="00CA45BA">
              <w:rPr>
                <w:rFonts w:eastAsia="細明體" w:cs="Segoe UI" w:hint="eastAsia"/>
                <w:sz w:val="17"/>
                <w:szCs w:val="17"/>
                <w:lang w:eastAsia="ar-SA"/>
              </w:rPr>
              <w:t>2b</w:t>
            </w:r>
            <w:r w:rsidR="00F766F7" w:rsidRPr="00CA45BA">
              <w:rPr>
                <w:rFonts w:eastAsia="細明體" w:cs="Segoe UI" w:hint="eastAsia"/>
                <w:sz w:val="17"/>
                <w:szCs w:val="17"/>
                <w:lang w:eastAsia="ar-SA"/>
              </w:rPr>
              <w:t>組加密資產衍生工具合約的方法</w:t>
            </w:r>
            <w:r w:rsidR="005D4322" w:rsidRPr="00CA45BA">
              <w:rPr>
                <w:rFonts w:eastAsia="細明體" w:cs="Segoe UI" w:hint="eastAsia"/>
                <w:sz w:val="17"/>
                <w:szCs w:val="17"/>
                <w:lang w:eastAsia="ar-SA"/>
              </w:rPr>
              <w:t>而言，</w:t>
            </w:r>
            <w:r w:rsidR="00F766F7" w:rsidRPr="00CA45BA">
              <w:rPr>
                <w:rFonts w:eastAsia="細明體" w:cs="Segoe UI" w:hint="eastAsia"/>
                <w:sz w:val="17"/>
                <w:szCs w:val="17"/>
                <w:lang w:eastAsia="ar-SA"/>
              </w:rPr>
              <w:t>指</w:t>
            </w:r>
            <w:r w:rsidR="00F7347A" w:rsidRPr="00CA45BA">
              <w:rPr>
                <w:rFonts w:eastAsia="細明體" w:cs="Segoe UI" w:hint="eastAsia"/>
                <w:sz w:val="17"/>
                <w:szCs w:val="17"/>
                <w:lang w:eastAsia="ar-SA"/>
              </w:rPr>
              <w:t>《資本規則》</w:t>
            </w:r>
            <w:r w:rsidR="00F766F7" w:rsidRPr="00CA45BA">
              <w:rPr>
                <w:rFonts w:eastAsia="細明體" w:cs="Segoe UI" w:hint="eastAsia"/>
                <w:sz w:val="17"/>
                <w:szCs w:val="17"/>
                <w:lang w:eastAsia="ar-SA"/>
              </w:rPr>
              <w:t>第</w:t>
            </w:r>
            <w:r w:rsidR="00F766F7" w:rsidRPr="00CA45BA">
              <w:rPr>
                <w:rFonts w:eastAsia="細明體" w:cs="Segoe UI" w:hint="eastAsia"/>
                <w:sz w:val="17"/>
                <w:szCs w:val="17"/>
                <w:lang w:eastAsia="ar-SA"/>
              </w:rPr>
              <w:t>377</w:t>
            </w:r>
            <w:r w:rsidR="006A01A2" w:rsidRPr="00CA45BA">
              <w:rPr>
                <w:rFonts w:eastAsia="細明體" w:cs="Segoe UI"/>
                <w:sz w:val="17"/>
                <w:szCs w:val="17"/>
                <w:lang w:eastAsia="ar-SA"/>
              </w:rPr>
              <w:t>(</w:t>
            </w:r>
            <w:r w:rsidR="00F766F7" w:rsidRPr="00CA45BA">
              <w:rPr>
                <w:rFonts w:eastAsia="細明體" w:cs="Segoe UI" w:hint="eastAsia"/>
                <w:sz w:val="17"/>
                <w:szCs w:val="17"/>
                <w:lang w:eastAsia="ar-SA"/>
              </w:rPr>
              <w:t>1</w:t>
            </w:r>
            <w:r w:rsidR="006A01A2" w:rsidRPr="00CA45BA">
              <w:rPr>
                <w:rFonts w:eastAsia="細明體" w:cs="Segoe UI"/>
                <w:sz w:val="17"/>
                <w:szCs w:val="17"/>
                <w:lang w:eastAsia="ar-SA"/>
              </w:rPr>
              <w:t>)(</w:t>
            </w:r>
            <w:proofErr w:type="gramStart"/>
            <w:r w:rsidR="00F766F7" w:rsidRPr="00CA45BA">
              <w:rPr>
                <w:rFonts w:eastAsia="細明體" w:cs="Segoe UI" w:hint="eastAsia"/>
                <w:sz w:val="17"/>
                <w:szCs w:val="17"/>
                <w:lang w:eastAsia="ar-SA"/>
              </w:rPr>
              <w:t>b</w:t>
            </w:r>
            <w:r w:rsidR="006A01A2" w:rsidRPr="00CA45BA">
              <w:rPr>
                <w:rFonts w:eastAsia="細明體" w:cs="Segoe UI"/>
                <w:sz w:val="17"/>
                <w:szCs w:val="17"/>
                <w:lang w:eastAsia="ar-SA"/>
              </w:rPr>
              <w:t>)</w:t>
            </w:r>
            <w:r w:rsidR="00F7347A" w:rsidRPr="00CA45BA">
              <w:rPr>
                <w:rFonts w:eastAsia="細明體" w:cs="Segoe UI" w:hint="eastAsia"/>
                <w:sz w:val="17"/>
                <w:szCs w:val="17"/>
                <w:lang w:eastAsia="ar-SA"/>
              </w:rPr>
              <w:t>條所述</w:t>
            </w:r>
            <w:r w:rsidR="00F766F7" w:rsidRPr="00CA45BA">
              <w:rPr>
                <w:rFonts w:eastAsia="細明體" w:cs="Segoe UI" w:hint="eastAsia"/>
                <w:sz w:val="17"/>
                <w:szCs w:val="17"/>
                <w:lang w:eastAsia="ar-SA"/>
              </w:rPr>
              <w:t>的</w:t>
            </w:r>
            <w:r w:rsidR="00F7347A" w:rsidRPr="00CA45BA">
              <w:rPr>
                <w:rFonts w:eastAsia="細明體" w:cs="Segoe UI" w:hint="eastAsia"/>
                <w:sz w:val="17"/>
                <w:szCs w:val="17"/>
                <w:lang w:eastAsia="ar-SA"/>
              </w:rPr>
              <w:t>潛在未來風險承擔</w:t>
            </w:r>
            <w:proofErr w:type="gramEnd"/>
            <w:r w:rsidR="00F7347A" w:rsidRPr="00CA45BA">
              <w:rPr>
                <w:rFonts w:eastAsia="細明體" w:cs="Segoe UI" w:hint="eastAsia"/>
                <w:sz w:val="17"/>
                <w:szCs w:val="17"/>
                <w:lang w:eastAsia="ar-SA"/>
              </w:rPr>
              <w:t>。</w:t>
            </w:r>
          </w:p>
        </w:tc>
      </w:tr>
      <w:tr w:rsidR="005171C5" w:rsidRPr="005171C5" w14:paraId="499A39DC" w14:textId="77777777" w:rsidTr="005171C5">
        <w:tc>
          <w:tcPr>
            <w:tcW w:w="425" w:type="dxa"/>
            <w:tcBorders>
              <w:top w:val="single" w:sz="4" w:space="0" w:color="000000"/>
              <w:left w:val="single" w:sz="4" w:space="0" w:color="000000"/>
              <w:bottom w:val="single" w:sz="4" w:space="0" w:color="000000"/>
            </w:tcBorders>
            <w:shd w:val="clear" w:color="auto" w:fill="auto"/>
          </w:tcPr>
          <w:p w14:paraId="168C6722" w14:textId="034C350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(c)</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235D33D5" w14:textId="77777777" w:rsidR="005171C5" w:rsidRPr="005171C5" w:rsidRDefault="005171C5" w:rsidP="005171C5">
            <w:pPr>
              <w:keepNext/>
              <w:suppressAutoHyphens/>
              <w:spacing w:before="40" w:after="40"/>
              <w:jc w:val="both"/>
              <w:rPr>
                <w:rFonts w:cs="Segoe UI"/>
                <w:sz w:val="15"/>
                <w:lang w:eastAsia="ar-SA"/>
              </w:rPr>
            </w:pPr>
            <w:r w:rsidRPr="005171C5">
              <w:rPr>
                <w:rFonts w:eastAsia="細明體" w:cs="Segoe UI" w:hint="eastAsia"/>
                <w:i/>
                <w:sz w:val="17"/>
                <w:szCs w:val="17"/>
                <w:lang w:eastAsia="ar-SA"/>
              </w:rPr>
              <w:t>有效預期</w:t>
            </w:r>
            <w:r w:rsidRPr="005171C5">
              <w:rPr>
                <w:rFonts w:eastAsia="細明體" w:cs="Segoe UI" w:hint="eastAsia"/>
                <w:i/>
                <w:color w:val="000000"/>
                <w:sz w:val="17"/>
                <w:szCs w:val="17"/>
                <w:lang w:eastAsia="ar-SA"/>
              </w:rPr>
              <w:t>正</w:t>
            </w:r>
            <w:r w:rsidRPr="005171C5">
              <w:rPr>
                <w:rFonts w:eastAsia="細明體" w:cs="Segoe UI" w:hint="eastAsia"/>
                <w:i/>
                <w:sz w:val="17"/>
                <w:szCs w:val="17"/>
                <w:lang w:eastAsia="ar-SA"/>
              </w:rPr>
              <w:t>風險承擔</w:t>
            </w:r>
            <w:r w:rsidRPr="005171C5">
              <w:rPr>
                <w:rFonts w:eastAsia="細明體" w:cs="Segoe UI" w:hint="eastAsia"/>
                <w:sz w:val="17"/>
                <w:szCs w:val="17"/>
                <w:lang w:eastAsia="ar-SA"/>
              </w:rPr>
              <w:t>：涵義見</w:t>
            </w:r>
            <w:r w:rsidRPr="005171C5">
              <w:rPr>
                <w:rFonts w:eastAsia="細明體" w:cs="Segoe UI"/>
                <w:sz w:val="17"/>
                <w:szCs w:val="17"/>
                <w:lang w:eastAsia="ar-SA"/>
              </w:rPr>
              <w:t>《資本規則》</w:t>
            </w:r>
            <w:r w:rsidRPr="005171C5">
              <w:rPr>
                <w:rFonts w:eastAsia="細明體" w:cs="Segoe UI" w:hint="eastAsia"/>
                <w:sz w:val="17"/>
                <w:szCs w:val="17"/>
                <w:lang w:eastAsia="ar-SA"/>
              </w:rPr>
              <w:t>。</w:t>
            </w:r>
          </w:p>
        </w:tc>
      </w:tr>
      <w:tr w:rsidR="005171C5" w:rsidRPr="005171C5" w14:paraId="1BDBB705" w14:textId="77777777" w:rsidTr="005171C5">
        <w:tc>
          <w:tcPr>
            <w:tcW w:w="425" w:type="dxa"/>
            <w:tcBorders>
              <w:top w:val="single" w:sz="4" w:space="0" w:color="000000"/>
              <w:left w:val="single" w:sz="4" w:space="0" w:color="000000"/>
              <w:bottom w:val="single" w:sz="4" w:space="0" w:color="000000"/>
            </w:tcBorders>
            <w:shd w:val="clear" w:color="auto" w:fill="auto"/>
          </w:tcPr>
          <w:p w14:paraId="3CAA91B3"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(d)</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76A465A1" w14:textId="52CAF889" w:rsidR="005171C5" w:rsidRPr="006A01A2" w:rsidRDefault="005171C5" w:rsidP="00A477C4">
            <w:pPr>
              <w:keepLines/>
              <w:widowControl w:val="0"/>
              <w:tabs>
                <w:tab w:val="left" w:pos="150"/>
                <w:tab w:val="left" w:pos="397"/>
                <w:tab w:val="left" w:pos="794"/>
                <w:tab w:val="left" w:pos="1191"/>
              </w:tabs>
              <w:spacing w:before="20" w:after="20" w:line="259" w:lineRule="auto"/>
              <w:jc w:val="both"/>
              <w:rPr>
                <w:rFonts w:ascii="Calibri" w:eastAsiaTheme="minorEastAsia" w:hAnsi="Calibri"/>
                <w:sz w:val="17"/>
                <w:szCs w:val="17"/>
                <w:lang w:eastAsia="zh-TW"/>
              </w:rPr>
            </w:pPr>
            <w:r w:rsidRPr="005171C5">
              <w:rPr>
                <w:rFonts w:ascii="Calibri" w:eastAsia="細明體" w:hAnsi="Calibri" w:hint="eastAsia"/>
                <w:i/>
                <w:sz w:val="17"/>
                <w:szCs w:val="17"/>
                <w:lang w:eastAsia="zh-TW"/>
              </w:rPr>
              <w:t>用作</w:t>
            </w:r>
            <w:proofErr w:type="gramStart"/>
            <w:r w:rsidRPr="005171C5">
              <w:rPr>
                <w:rFonts w:ascii="Calibri" w:eastAsia="細明體" w:hAnsi="Calibri" w:hint="eastAsia"/>
                <w:i/>
                <w:sz w:val="17"/>
                <w:szCs w:val="17"/>
                <w:lang w:eastAsia="zh-TW"/>
              </w:rPr>
              <w:t>計算違責風險</w:t>
            </w:r>
            <w:proofErr w:type="gramEnd"/>
            <w:r w:rsidRPr="005171C5">
              <w:rPr>
                <w:rFonts w:ascii="Calibri" w:eastAsia="細明體" w:hAnsi="Calibri" w:hint="eastAsia"/>
                <w:i/>
                <w:sz w:val="17"/>
                <w:szCs w:val="17"/>
                <w:lang w:eastAsia="zh-TW"/>
              </w:rPr>
              <w:t>的風險承擔的</w:t>
            </w:r>
            <w:r w:rsidRPr="005171C5">
              <w:rPr>
                <w:rFonts w:ascii="Calibri" w:eastAsia="細明體" w:hAnsi="Calibri"/>
                <w:i/>
                <w:sz w:val="17"/>
                <w:szCs w:val="17"/>
                <w:lang w:eastAsia="zh-CN"/>
              </w:rPr>
              <w:t>α</w:t>
            </w:r>
            <w:r w:rsidRPr="005171C5">
              <w:rPr>
                <w:rFonts w:ascii="Calibri" w:eastAsia="細明體" w:hAnsi="Calibri" w:hint="eastAsia"/>
                <w:sz w:val="17"/>
                <w:szCs w:val="17"/>
                <w:lang w:eastAsia="zh-TW"/>
              </w:rPr>
              <w:t>：</w:t>
            </w:r>
            <w:r w:rsidR="00C46667">
              <w:rPr>
                <w:rFonts w:ascii="Calibri" w:eastAsia="細明體" w:hAnsi="Calibri" w:hint="eastAsia"/>
                <w:sz w:val="17"/>
                <w:szCs w:val="17"/>
                <w:lang w:eastAsia="zh-HK"/>
              </w:rPr>
              <w:t>就</w:t>
            </w:r>
            <w:r w:rsidRPr="002C6D3F">
              <w:rPr>
                <w:rFonts w:ascii="Calibri" w:eastAsia="細明體" w:hAnsi="Calibri" w:hint="eastAsia"/>
                <w:sz w:val="17"/>
                <w:szCs w:val="17"/>
                <w:lang w:eastAsia="zh-TW"/>
              </w:rPr>
              <w:t>現行風險承擔方法、</w:t>
            </w:r>
            <w:r w:rsidRPr="002C6D3F">
              <w:rPr>
                <w:rFonts w:ascii="Calibri" w:eastAsia="細明體" w:hAnsi="Calibri"/>
                <w:sz w:val="17"/>
                <w:szCs w:val="17"/>
                <w:lang w:eastAsia="zh-TW"/>
              </w:rPr>
              <w:t>SA-CCR</w:t>
            </w:r>
            <w:r w:rsidRPr="002C6D3F">
              <w:rPr>
                <w:rFonts w:ascii="Calibri" w:eastAsia="細明體" w:hAnsi="Calibri" w:hint="eastAsia"/>
                <w:sz w:val="17"/>
                <w:szCs w:val="17"/>
                <w:lang w:eastAsia="zh-TW"/>
              </w:rPr>
              <w:t>計算法</w:t>
            </w:r>
            <w:r w:rsidR="006A01A2" w:rsidRPr="002C6D3F">
              <w:rPr>
                <w:rFonts w:ascii="Calibri" w:eastAsia="細明體" w:hAnsi="Calibri" w:hint="eastAsia"/>
                <w:sz w:val="17"/>
                <w:szCs w:val="17"/>
                <w:lang w:eastAsia="zh-TW"/>
              </w:rPr>
              <w:t>、</w:t>
            </w:r>
            <w:r w:rsidRPr="002C6D3F">
              <w:rPr>
                <w:rFonts w:ascii="Calibri" w:eastAsia="細明體" w:hAnsi="Calibri"/>
                <w:sz w:val="17"/>
                <w:szCs w:val="17"/>
                <w:lang w:eastAsia="zh-TW"/>
              </w:rPr>
              <w:t>IMM(CCR)</w:t>
            </w:r>
            <w:r w:rsidRPr="002C6D3F">
              <w:rPr>
                <w:rFonts w:ascii="Calibri" w:eastAsia="細明體" w:hAnsi="Calibri" w:hint="eastAsia"/>
                <w:sz w:val="17"/>
                <w:szCs w:val="17"/>
                <w:lang w:eastAsia="zh-TW"/>
              </w:rPr>
              <w:t>計算法</w:t>
            </w:r>
            <w:r w:rsidR="00A477C4" w:rsidRPr="002C6D3F">
              <w:rPr>
                <w:rFonts w:eastAsia="細明體" w:cs="Segoe UI" w:hint="eastAsia"/>
                <w:sz w:val="17"/>
                <w:szCs w:val="17"/>
                <w:lang w:eastAsia="ar-SA"/>
              </w:rPr>
              <w:t>或</w:t>
            </w:r>
            <w:r w:rsidR="00F30901" w:rsidRPr="00F30901">
              <w:rPr>
                <w:rFonts w:eastAsia="細明體" w:cs="Segoe UI" w:hint="eastAsia"/>
                <w:sz w:val="17"/>
                <w:szCs w:val="17"/>
                <w:lang w:eastAsia="ar-SA"/>
              </w:rPr>
              <w:t>適用於</w:t>
            </w:r>
            <w:r w:rsidR="00A477C4" w:rsidRPr="002C6D3F">
              <w:rPr>
                <w:rFonts w:eastAsia="細明體" w:cs="Segoe UI" w:hint="eastAsia"/>
                <w:sz w:val="17"/>
                <w:szCs w:val="17"/>
                <w:lang w:eastAsia="ar-SA"/>
              </w:rPr>
              <w:t>第</w:t>
            </w:r>
            <w:r w:rsidR="00A477C4" w:rsidRPr="002C6D3F">
              <w:rPr>
                <w:rFonts w:eastAsia="細明體" w:cs="Segoe UI" w:hint="eastAsia"/>
                <w:sz w:val="17"/>
                <w:szCs w:val="17"/>
                <w:lang w:eastAsia="ar-SA"/>
              </w:rPr>
              <w:t>2b</w:t>
            </w:r>
            <w:r w:rsidR="00A477C4" w:rsidRPr="002C6D3F">
              <w:rPr>
                <w:rFonts w:eastAsia="細明體" w:cs="Segoe UI" w:hint="eastAsia"/>
                <w:sz w:val="17"/>
                <w:szCs w:val="17"/>
                <w:lang w:eastAsia="ar-SA"/>
              </w:rPr>
              <w:t>組加密資產衍生工具合約的方法</w:t>
            </w:r>
            <w:r w:rsidRPr="002C6D3F">
              <w:rPr>
                <w:rFonts w:ascii="Calibri" w:eastAsia="細明體" w:hAnsi="Calibri" w:hint="eastAsia"/>
                <w:sz w:val="17"/>
                <w:szCs w:val="17"/>
                <w:lang w:eastAsia="zh-TW"/>
              </w:rPr>
              <w:t>（以適用者為準）</w:t>
            </w:r>
            <w:r w:rsidR="006A01A2" w:rsidRPr="002C6D3F">
              <w:rPr>
                <w:rFonts w:ascii="Calibri" w:eastAsia="細明體" w:hAnsi="Calibri" w:hint="eastAsia"/>
                <w:sz w:val="17"/>
                <w:szCs w:val="17"/>
                <w:lang w:eastAsia="zh-HK"/>
              </w:rPr>
              <w:t>的行</w:t>
            </w:r>
            <w:r w:rsidR="00C46667">
              <w:rPr>
                <w:rFonts w:ascii="Calibri" w:eastAsia="細明體" w:hAnsi="Calibri" w:hint="eastAsia"/>
                <w:sz w:val="17"/>
                <w:szCs w:val="17"/>
                <w:lang w:eastAsia="zh-HK"/>
              </w:rPr>
              <w:t>而言</w:t>
            </w:r>
            <w:r w:rsidRPr="002C6D3F">
              <w:rPr>
                <w:rFonts w:ascii="Calibri" w:eastAsia="細明體" w:hAnsi="Calibri" w:hint="eastAsia"/>
                <w:sz w:val="17"/>
                <w:szCs w:val="17"/>
                <w:lang w:eastAsia="zh-TW"/>
              </w:rPr>
              <w:t>，指</w:t>
            </w:r>
            <w:r w:rsidRPr="002C6D3F">
              <w:rPr>
                <w:rFonts w:ascii="Calibri" w:eastAsia="細明體" w:hAnsi="Calibri"/>
                <w:sz w:val="17"/>
                <w:szCs w:val="17"/>
                <w:lang w:eastAsia="zh-TW"/>
              </w:rPr>
              <w:t>《資本規則》</w:t>
            </w:r>
            <w:r w:rsidR="005D4322" w:rsidRPr="002C6D3F">
              <w:rPr>
                <w:rFonts w:ascii="Calibri" w:eastAsia="細明體" w:hAnsi="Calibri" w:hint="eastAsia"/>
                <w:sz w:val="17"/>
                <w:szCs w:val="17"/>
                <w:lang w:eastAsia="zh-HK"/>
              </w:rPr>
              <w:t>所</w:t>
            </w:r>
            <w:r w:rsidRPr="002C6D3F">
              <w:rPr>
                <w:rFonts w:ascii="Calibri" w:eastAsia="細明體" w:hAnsi="Calibri" w:hint="eastAsia"/>
                <w:sz w:val="17"/>
                <w:szCs w:val="17"/>
                <w:lang w:eastAsia="zh-TW"/>
              </w:rPr>
              <w:t>指明</w:t>
            </w:r>
            <w:r w:rsidRPr="005171C5">
              <w:rPr>
                <w:rFonts w:ascii="Calibri" w:eastAsia="細明體" w:hAnsi="Calibri" w:hint="eastAsia"/>
                <w:sz w:val="17"/>
                <w:szCs w:val="17"/>
                <w:lang w:eastAsia="zh-TW"/>
              </w:rPr>
              <w:t>適用於認可機構的</w:t>
            </w:r>
            <w:r w:rsidRPr="005171C5">
              <w:rPr>
                <w:rFonts w:ascii="Calibri" w:eastAsia="細明體" w:hAnsi="Calibri"/>
                <w:sz w:val="17"/>
                <w:szCs w:val="17"/>
                <w:lang w:eastAsia="zh-CN"/>
              </w:rPr>
              <w:t>α</w:t>
            </w:r>
            <w:r w:rsidRPr="005171C5">
              <w:rPr>
                <w:rFonts w:ascii="Calibri" w:eastAsia="細明體" w:hAnsi="Calibri" w:hint="eastAsia"/>
                <w:sz w:val="17"/>
                <w:szCs w:val="17"/>
                <w:lang w:eastAsia="zh-TW"/>
              </w:rPr>
              <w:t>。</w:t>
            </w:r>
          </w:p>
        </w:tc>
      </w:tr>
      <w:tr w:rsidR="005171C5" w:rsidRPr="005171C5" w14:paraId="4FB58D4B" w14:textId="77777777" w:rsidTr="005171C5">
        <w:trPr>
          <w:trHeight w:val="5360"/>
        </w:trPr>
        <w:tc>
          <w:tcPr>
            <w:tcW w:w="425" w:type="dxa"/>
            <w:tcBorders>
              <w:top w:val="single" w:sz="4" w:space="0" w:color="000000"/>
              <w:left w:val="single" w:sz="4" w:space="0" w:color="000000"/>
              <w:bottom w:val="single" w:sz="4" w:space="0" w:color="000000"/>
            </w:tcBorders>
            <w:shd w:val="clear" w:color="auto" w:fill="auto"/>
          </w:tcPr>
          <w:p w14:paraId="5708F316"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(e)</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0D627CA5" w14:textId="3F8FF815"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sz w:val="17"/>
                <w:szCs w:val="17"/>
                <w:lang w:eastAsia="zh-TW"/>
              </w:rPr>
            </w:pPr>
            <w:r w:rsidRPr="005171C5">
              <w:rPr>
                <w:rFonts w:ascii="Calibri" w:eastAsia="細明體" w:hAnsi="Calibri" w:hint="eastAsia"/>
                <w:i/>
                <w:spacing w:val="-12"/>
                <w:sz w:val="17"/>
                <w:szCs w:val="17"/>
                <w:lang w:eastAsia="zh-TW"/>
              </w:rPr>
              <w:t>已將減低信用風險措施</w:t>
            </w:r>
            <w:r w:rsidRPr="005171C5">
              <w:rPr>
                <w:rFonts w:ascii="Calibri" w:eastAsia="細明體" w:hAnsi="Calibri" w:hint="eastAsia"/>
                <w:bCs/>
                <w:i/>
                <w:sz w:val="17"/>
                <w:szCs w:val="17"/>
                <w:lang w:eastAsia="zh-TW"/>
              </w:rPr>
              <w:t>計算在內</w:t>
            </w:r>
            <w:proofErr w:type="gramStart"/>
            <w:r w:rsidRPr="005171C5">
              <w:rPr>
                <w:rFonts w:ascii="Calibri" w:eastAsia="細明體" w:hAnsi="Calibri" w:hint="eastAsia"/>
                <w:i/>
                <w:spacing w:val="-12"/>
                <w:sz w:val="17"/>
                <w:szCs w:val="17"/>
                <w:lang w:eastAsia="zh-TW"/>
              </w:rPr>
              <w:t>的違責風險</w:t>
            </w:r>
            <w:proofErr w:type="gramEnd"/>
            <w:r w:rsidRPr="005171C5">
              <w:rPr>
                <w:rFonts w:ascii="Calibri" w:eastAsia="細明體" w:hAnsi="Calibri" w:hint="eastAsia"/>
                <w:i/>
                <w:spacing w:val="-12"/>
                <w:sz w:val="17"/>
                <w:szCs w:val="17"/>
                <w:lang w:eastAsia="zh-TW"/>
              </w:rPr>
              <w:t>的風險承擔</w:t>
            </w:r>
            <w:r w:rsidRPr="005171C5">
              <w:rPr>
                <w:rFonts w:ascii="Calibri" w:eastAsia="細明體" w:hAnsi="Calibri" w:hint="eastAsia"/>
                <w:sz w:val="17"/>
                <w:szCs w:val="17"/>
                <w:lang w:eastAsia="zh-TW"/>
              </w:rPr>
              <w:t>：</w:t>
            </w:r>
            <w:r w:rsidRPr="005171C5">
              <w:rPr>
                <w:rFonts w:ascii="Calibri" w:eastAsia="細明體" w:hAnsi="Calibri" w:hint="eastAsia"/>
                <w:sz w:val="17"/>
                <w:szCs w:val="17"/>
                <w:lang w:eastAsia="zh-HK"/>
              </w:rPr>
              <w:t>就</w:t>
            </w:r>
            <w:r w:rsidRPr="005171C5">
              <w:rPr>
                <w:rFonts w:ascii="Calibri" w:eastAsia="細明體" w:hAnsi="Calibri" w:hint="eastAsia"/>
                <w:sz w:val="17"/>
                <w:szCs w:val="17"/>
                <w:lang w:val="en-US" w:eastAsia="zh-TW"/>
              </w:rPr>
              <w:t>SA-CCR</w:t>
            </w:r>
            <w:r w:rsidRPr="005171C5">
              <w:rPr>
                <w:rFonts w:ascii="Calibri" w:eastAsia="細明體" w:hAnsi="Calibri" w:hint="eastAsia"/>
                <w:sz w:val="17"/>
                <w:szCs w:val="17"/>
                <w:lang w:val="en-US" w:eastAsia="zh-TW"/>
              </w:rPr>
              <w:t>計算法</w:t>
            </w:r>
            <w:r w:rsidRPr="005171C5">
              <w:rPr>
                <w:rFonts w:ascii="新細明體" w:eastAsia="新細明體" w:hAnsi="新細明體" w:cs="新細明體" w:hint="eastAsia"/>
                <w:sz w:val="17"/>
                <w:szCs w:val="17"/>
                <w:lang w:eastAsia="zh-TW"/>
              </w:rPr>
              <w:t>、</w:t>
            </w:r>
            <w:r w:rsidRPr="005171C5">
              <w:rPr>
                <w:rFonts w:ascii="Calibri" w:eastAsia="細明體" w:hAnsi="Calibri" w:hint="eastAsia"/>
                <w:sz w:val="17"/>
                <w:szCs w:val="17"/>
                <w:lang w:eastAsia="zh-TW"/>
              </w:rPr>
              <w:t>現行風險承擔方法</w:t>
            </w:r>
            <w:r w:rsidRPr="005171C5">
              <w:rPr>
                <w:rFonts w:ascii="新細明體" w:eastAsia="新細明體" w:hAnsi="新細明體" w:cs="新細明體" w:hint="eastAsia"/>
                <w:sz w:val="17"/>
                <w:szCs w:val="17"/>
                <w:lang w:eastAsia="zh-TW"/>
              </w:rPr>
              <w:t>、</w:t>
            </w:r>
            <w:r w:rsidRPr="005171C5">
              <w:rPr>
                <w:rFonts w:ascii="Calibri" w:eastAsia="細明體" w:hAnsi="Calibri"/>
                <w:sz w:val="17"/>
                <w:szCs w:val="17"/>
                <w:lang w:eastAsia="zh-TW"/>
              </w:rPr>
              <w:t>IMM(CCR)</w:t>
            </w:r>
            <w:r w:rsidRPr="005171C5">
              <w:rPr>
                <w:rFonts w:ascii="Calibri" w:eastAsia="細明體" w:hAnsi="Calibri" w:hint="eastAsia"/>
                <w:sz w:val="17"/>
                <w:szCs w:val="17"/>
                <w:lang w:eastAsia="zh-TW"/>
              </w:rPr>
              <w:t>計算法</w:t>
            </w:r>
            <w:r w:rsidRPr="005171C5">
              <w:rPr>
                <w:rFonts w:ascii="新細明體" w:eastAsia="新細明體" w:hAnsi="新細明體" w:cs="新細明體" w:hint="eastAsia"/>
                <w:sz w:val="17"/>
                <w:szCs w:val="17"/>
                <w:lang w:eastAsia="zh-TW"/>
              </w:rPr>
              <w:t>、</w:t>
            </w:r>
            <w:r w:rsidR="00F30901" w:rsidRPr="00F30901">
              <w:rPr>
                <w:rFonts w:ascii="新細明體" w:eastAsia="新細明體" w:hAnsi="新細明體" w:cs="新細明體" w:hint="eastAsia"/>
                <w:sz w:val="17"/>
                <w:szCs w:val="17"/>
                <w:lang w:eastAsia="zh-TW"/>
              </w:rPr>
              <w:t>適用於</w:t>
            </w:r>
            <w:r w:rsidR="00F766F7" w:rsidRPr="006A01A2">
              <w:rPr>
                <w:rFonts w:eastAsia="細明體" w:cs="Segoe UI" w:hint="eastAsia"/>
                <w:sz w:val="17"/>
                <w:szCs w:val="17"/>
                <w:lang w:eastAsia="ar-SA"/>
              </w:rPr>
              <w:t>第</w:t>
            </w:r>
            <w:r w:rsidR="00F766F7" w:rsidRPr="006A01A2">
              <w:rPr>
                <w:rFonts w:eastAsia="細明體" w:cs="Segoe UI" w:hint="eastAsia"/>
                <w:sz w:val="17"/>
                <w:szCs w:val="17"/>
                <w:lang w:eastAsia="ar-SA"/>
              </w:rPr>
              <w:t>2b</w:t>
            </w:r>
            <w:r w:rsidR="00F766F7" w:rsidRPr="006A01A2">
              <w:rPr>
                <w:rFonts w:eastAsia="細明體" w:cs="Segoe UI" w:hint="eastAsia"/>
                <w:sz w:val="17"/>
                <w:szCs w:val="17"/>
                <w:lang w:eastAsia="ar-SA"/>
              </w:rPr>
              <w:t>組加密資產衍生工具合約的方法</w:t>
            </w:r>
            <w:r w:rsidR="003C13EC">
              <w:rPr>
                <w:rFonts w:eastAsia="細明體" w:cs="Segoe UI" w:hint="eastAsia"/>
                <w:sz w:val="17"/>
                <w:szCs w:val="17"/>
                <w:lang w:eastAsia="zh-HK"/>
              </w:rPr>
              <w:t>、</w:t>
            </w:r>
            <w:r w:rsidRPr="005171C5">
              <w:rPr>
                <w:rFonts w:ascii="Calibri" w:eastAsia="細明體" w:hAnsi="Calibri"/>
                <w:sz w:val="17"/>
                <w:szCs w:val="17"/>
                <w:lang w:eastAsia="zh-TW"/>
              </w:rPr>
              <w:t>《資本規則》</w:t>
            </w:r>
            <w:r w:rsidRPr="005171C5">
              <w:rPr>
                <w:rFonts w:ascii="Calibri" w:eastAsia="細明體" w:hAnsi="Calibri" w:hint="eastAsia"/>
                <w:sz w:val="17"/>
                <w:szCs w:val="17"/>
                <w:lang w:eastAsia="zh-HK"/>
              </w:rPr>
              <w:t>第</w:t>
            </w:r>
            <w:r w:rsidRPr="005171C5">
              <w:rPr>
                <w:rFonts w:ascii="Calibri" w:eastAsia="細明體" w:hAnsi="Calibri" w:hint="eastAsia"/>
                <w:sz w:val="17"/>
                <w:szCs w:val="17"/>
                <w:lang w:eastAsia="zh-TW"/>
              </w:rPr>
              <w:t>226MJ</w:t>
            </w:r>
            <w:r w:rsidRPr="005171C5">
              <w:rPr>
                <w:rFonts w:ascii="Calibri" w:eastAsia="細明體" w:hAnsi="Calibri" w:hint="eastAsia"/>
                <w:sz w:val="17"/>
                <w:szCs w:val="17"/>
                <w:lang w:eastAsia="zh-HK"/>
              </w:rPr>
              <w:t>條</w:t>
            </w:r>
            <w:r w:rsidRPr="005171C5">
              <w:rPr>
                <w:rFonts w:ascii="Calibri" w:eastAsia="細明體" w:hAnsi="Calibri" w:hint="eastAsia"/>
                <w:color w:val="000000"/>
                <w:sz w:val="17"/>
                <w:szCs w:val="17"/>
                <w:lang w:eastAsia="zh-TW"/>
              </w:rPr>
              <w:t>涵蓋</w:t>
            </w:r>
            <w:r w:rsidRPr="005171C5">
              <w:rPr>
                <w:rFonts w:ascii="Calibri" w:eastAsia="細明體" w:hAnsi="Calibri" w:hint="eastAsia"/>
                <w:sz w:val="17"/>
                <w:szCs w:val="17"/>
                <w:lang w:eastAsia="zh-HK"/>
              </w:rPr>
              <w:t>並</w:t>
            </w:r>
            <w:r w:rsidRPr="005171C5">
              <w:rPr>
                <w:rFonts w:ascii="Calibri" w:eastAsia="細明體" w:hAnsi="Calibri" w:hint="eastAsia"/>
                <w:sz w:val="17"/>
                <w:szCs w:val="17"/>
                <w:lang w:val="en-US" w:eastAsia="zh-TW"/>
              </w:rPr>
              <w:t>使</w:t>
            </w:r>
            <w:r w:rsidRPr="005171C5">
              <w:rPr>
                <w:rFonts w:ascii="Calibri" w:eastAsia="細明體" w:hAnsi="Calibri" w:hint="eastAsia"/>
                <w:sz w:val="17"/>
                <w:szCs w:val="17"/>
                <w:lang w:val="en-US" w:eastAsia="zh-HK"/>
              </w:rPr>
              <w:t>用簡易方法計入</w:t>
            </w:r>
            <w:r w:rsidRPr="005171C5">
              <w:rPr>
                <w:rFonts w:ascii="Calibri" w:eastAsia="細明體" w:hAnsi="Calibri" w:hint="eastAsia"/>
                <w:sz w:val="17"/>
                <w:szCs w:val="17"/>
                <w:lang w:eastAsia="zh-TW"/>
              </w:rPr>
              <w:t>減低信用風險措施的效果</w:t>
            </w:r>
            <w:r w:rsidRPr="005171C5">
              <w:rPr>
                <w:rFonts w:ascii="Calibri" w:eastAsia="細明體" w:hAnsi="Calibri" w:hint="eastAsia"/>
                <w:sz w:val="17"/>
                <w:szCs w:val="17"/>
                <w:lang w:eastAsia="zh-HK"/>
              </w:rPr>
              <w:t>的</w:t>
            </w:r>
            <w:r w:rsidRPr="005171C5">
              <w:rPr>
                <w:rFonts w:eastAsia="細明體" w:cs="Segoe UI"/>
                <w:sz w:val="17"/>
                <w:szCs w:val="17"/>
                <w:lang w:eastAsia="zh-TW"/>
              </w:rPr>
              <w:t>SFT</w:t>
            </w:r>
            <w:r w:rsidR="00F766F7" w:rsidRPr="002B37AB">
              <w:rPr>
                <w:rFonts w:eastAsia="細明體" w:cs="Segoe UI" w:hint="eastAsia"/>
                <w:sz w:val="17"/>
                <w:szCs w:val="17"/>
                <w:lang w:eastAsia="ar-SA"/>
              </w:rPr>
              <w:t>（加密資產</w:t>
            </w:r>
            <w:r w:rsidR="00A477C4" w:rsidRPr="005171C5">
              <w:rPr>
                <w:rFonts w:ascii="Calibri" w:eastAsia="細明體" w:hAnsi="Calibri" w:hint="eastAsia"/>
                <w:sz w:val="17"/>
                <w:szCs w:val="17"/>
                <w:lang w:eastAsia="zh-HK"/>
              </w:rPr>
              <w:t>的</w:t>
            </w:r>
            <w:r w:rsidR="00A477C4" w:rsidRPr="005171C5">
              <w:rPr>
                <w:rFonts w:eastAsia="細明體" w:cs="Segoe UI"/>
                <w:sz w:val="17"/>
                <w:szCs w:val="17"/>
                <w:lang w:eastAsia="zh-TW"/>
              </w:rPr>
              <w:t>SFT</w:t>
            </w:r>
            <w:r w:rsidR="00F766F7" w:rsidRPr="002B37AB">
              <w:rPr>
                <w:rFonts w:eastAsia="細明體" w:cs="Segoe UI" w:hint="eastAsia"/>
                <w:sz w:val="17"/>
                <w:szCs w:val="17"/>
                <w:lang w:eastAsia="ar-SA"/>
              </w:rPr>
              <w:t>除外）</w:t>
            </w:r>
            <w:r w:rsidRPr="005171C5">
              <w:rPr>
                <w:rFonts w:ascii="Calibri" w:eastAsia="細明體" w:hAnsi="Calibri" w:hint="eastAsia"/>
                <w:sz w:val="17"/>
                <w:szCs w:val="17"/>
                <w:lang w:eastAsia="zh-TW"/>
              </w:rPr>
              <w:t>，</w:t>
            </w:r>
            <w:r w:rsidRPr="005171C5">
              <w:rPr>
                <w:rFonts w:ascii="Calibri" w:eastAsia="細明體" w:hAnsi="Calibri" w:hint="eastAsia"/>
                <w:sz w:val="17"/>
                <w:szCs w:val="17"/>
                <w:lang w:eastAsia="zh-HK"/>
              </w:rPr>
              <w:t>及</w:t>
            </w:r>
            <w:r w:rsidRPr="005171C5">
              <w:rPr>
                <w:rFonts w:ascii="Calibri" w:eastAsia="細明體" w:hAnsi="Calibri"/>
                <w:sz w:val="17"/>
                <w:szCs w:val="17"/>
                <w:lang w:eastAsia="zh-TW"/>
              </w:rPr>
              <w:t>《資本規則》</w:t>
            </w:r>
            <w:r w:rsidRPr="005171C5">
              <w:rPr>
                <w:rFonts w:ascii="Calibri" w:eastAsia="細明體" w:hAnsi="Calibri" w:hint="eastAsia"/>
                <w:sz w:val="17"/>
                <w:szCs w:val="17"/>
                <w:lang w:eastAsia="zh-HK"/>
              </w:rPr>
              <w:t>第</w:t>
            </w:r>
            <w:r w:rsidRPr="005171C5">
              <w:rPr>
                <w:rFonts w:ascii="Calibri" w:eastAsia="細明體" w:hAnsi="Calibri" w:hint="eastAsia"/>
                <w:sz w:val="17"/>
                <w:szCs w:val="17"/>
                <w:lang w:eastAsia="zh-TW"/>
              </w:rPr>
              <w:t>226MK</w:t>
            </w:r>
            <w:r w:rsidRPr="005171C5">
              <w:rPr>
                <w:rFonts w:ascii="Calibri" w:eastAsia="細明體" w:hAnsi="Calibri" w:hint="eastAsia"/>
                <w:sz w:val="17"/>
                <w:szCs w:val="17"/>
                <w:lang w:eastAsia="zh-HK"/>
              </w:rPr>
              <w:t>或</w:t>
            </w:r>
            <w:r w:rsidRPr="005171C5">
              <w:rPr>
                <w:rFonts w:ascii="Calibri" w:eastAsia="細明體" w:hAnsi="Calibri" w:hint="eastAsia"/>
                <w:sz w:val="17"/>
                <w:szCs w:val="17"/>
                <w:lang w:eastAsia="zh-TW"/>
              </w:rPr>
              <w:t>226ML</w:t>
            </w:r>
            <w:r w:rsidRPr="005171C5">
              <w:rPr>
                <w:rFonts w:ascii="Calibri" w:eastAsia="細明體" w:hAnsi="Calibri" w:hint="eastAsia"/>
                <w:sz w:val="17"/>
                <w:szCs w:val="17"/>
                <w:lang w:eastAsia="zh-HK"/>
              </w:rPr>
              <w:t>條</w:t>
            </w:r>
            <w:r w:rsidRPr="005171C5">
              <w:rPr>
                <w:rFonts w:ascii="Calibri" w:eastAsia="細明體" w:hAnsi="Calibri" w:hint="eastAsia"/>
                <w:color w:val="000000"/>
                <w:sz w:val="17"/>
                <w:szCs w:val="17"/>
                <w:lang w:eastAsia="zh-TW"/>
              </w:rPr>
              <w:t>涵蓋</w:t>
            </w:r>
            <w:r w:rsidRPr="005171C5">
              <w:rPr>
                <w:rFonts w:ascii="Calibri" w:eastAsia="細明體" w:hAnsi="Calibri" w:hint="eastAsia"/>
                <w:color w:val="000000"/>
                <w:sz w:val="17"/>
                <w:szCs w:val="17"/>
                <w:lang w:eastAsia="zh-HK"/>
              </w:rPr>
              <w:t>的</w:t>
            </w:r>
            <w:r w:rsidRPr="005171C5">
              <w:rPr>
                <w:rFonts w:eastAsia="細明體" w:cs="Segoe UI"/>
                <w:sz w:val="17"/>
                <w:szCs w:val="17"/>
                <w:lang w:eastAsia="zh-TW"/>
              </w:rPr>
              <w:t>SFT</w:t>
            </w:r>
            <w:r w:rsidR="00826D50" w:rsidRPr="00826D50">
              <w:rPr>
                <w:rFonts w:eastAsia="細明體" w:cs="Segoe UI" w:hint="eastAsia"/>
                <w:sz w:val="17"/>
                <w:szCs w:val="17"/>
                <w:lang w:eastAsia="zh-TW"/>
              </w:rPr>
              <w:t>（加密資產</w:t>
            </w:r>
            <w:r w:rsidR="00A477C4" w:rsidRPr="005171C5">
              <w:rPr>
                <w:rFonts w:ascii="Calibri" w:eastAsia="細明體" w:hAnsi="Calibri" w:hint="eastAsia"/>
                <w:sz w:val="17"/>
                <w:szCs w:val="17"/>
                <w:lang w:eastAsia="zh-HK"/>
              </w:rPr>
              <w:t>的</w:t>
            </w:r>
            <w:r w:rsidR="00A477C4" w:rsidRPr="005171C5">
              <w:rPr>
                <w:rFonts w:eastAsia="細明體" w:cs="Segoe UI"/>
                <w:sz w:val="17"/>
                <w:szCs w:val="17"/>
                <w:lang w:eastAsia="zh-TW"/>
              </w:rPr>
              <w:t>SFT</w:t>
            </w:r>
            <w:r w:rsidR="00826D50" w:rsidRPr="00826D50">
              <w:rPr>
                <w:rFonts w:eastAsia="細明體" w:cs="Segoe UI" w:hint="eastAsia"/>
                <w:sz w:val="17"/>
                <w:szCs w:val="17"/>
                <w:lang w:eastAsia="zh-TW"/>
              </w:rPr>
              <w:t>除外）</w:t>
            </w:r>
            <w:r w:rsidRPr="005171C5">
              <w:rPr>
                <w:rFonts w:ascii="Calibri" w:eastAsia="細明體" w:hAnsi="Calibri" w:hint="eastAsia"/>
                <w:sz w:val="17"/>
                <w:szCs w:val="17"/>
                <w:lang w:eastAsia="zh-TW"/>
              </w:rPr>
              <w:t>而言，指</w:t>
            </w:r>
            <w:r w:rsidRPr="005171C5">
              <w:rPr>
                <w:rFonts w:ascii="Calibri" w:eastAsia="細明體" w:hAnsi="Calibri"/>
                <w:sz w:val="17"/>
                <w:szCs w:val="17"/>
                <w:lang w:eastAsia="zh-TW"/>
              </w:rPr>
              <w:t>《資本規則》</w:t>
            </w:r>
            <w:r w:rsidRPr="005171C5">
              <w:rPr>
                <w:rFonts w:ascii="Calibri" w:eastAsia="細明體" w:hAnsi="Calibri" w:hint="eastAsia"/>
                <w:sz w:val="17"/>
                <w:szCs w:val="17"/>
                <w:lang w:eastAsia="zh-TW"/>
              </w:rPr>
              <w:t>所界定的違責風險的風險承擔或違責風險的未結清風險承擔（以適用者為準）。</w:t>
            </w:r>
            <w:r w:rsidRPr="005171C5">
              <w:rPr>
                <w:rFonts w:ascii="Calibri" w:eastAsia="細明體" w:hAnsi="Calibri" w:hint="eastAsia"/>
                <w:sz w:val="17"/>
                <w:szCs w:val="17"/>
                <w:lang w:eastAsia="zh-HK"/>
              </w:rPr>
              <w:t>就</w:t>
            </w:r>
            <w:r w:rsidRPr="005171C5">
              <w:rPr>
                <w:rFonts w:ascii="Calibri" w:eastAsia="細明體" w:hAnsi="Calibri"/>
                <w:sz w:val="17"/>
                <w:szCs w:val="17"/>
                <w:lang w:eastAsia="zh-TW"/>
              </w:rPr>
              <w:t>《資本規則》</w:t>
            </w:r>
            <w:r w:rsidRPr="005171C5">
              <w:rPr>
                <w:rFonts w:ascii="Calibri" w:eastAsia="細明體" w:hAnsi="Calibri" w:hint="eastAsia"/>
                <w:sz w:val="17"/>
                <w:szCs w:val="17"/>
                <w:lang w:eastAsia="zh-HK"/>
              </w:rPr>
              <w:t>第</w:t>
            </w:r>
            <w:r w:rsidRPr="005171C5">
              <w:rPr>
                <w:rFonts w:ascii="Calibri" w:eastAsia="細明體" w:hAnsi="Calibri" w:hint="eastAsia"/>
                <w:sz w:val="17"/>
                <w:szCs w:val="17"/>
                <w:lang w:eastAsia="zh-TW"/>
              </w:rPr>
              <w:t>226MJ</w:t>
            </w:r>
            <w:r w:rsidRPr="005171C5">
              <w:rPr>
                <w:rFonts w:ascii="Calibri" w:eastAsia="細明體" w:hAnsi="Calibri" w:hint="eastAsia"/>
                <w:sz w:val="17"/>
                <w:szCs w:val="17"/>
                <w:lang w:eastAsia="zh-HK"/>
              </w:rPr>
              <w:t>條</w:t>
            </w:r>
            <w:r w:rsidRPr="005171C5">
              <w:rPr>
                <w:rFonts w:ascii="Calibri" w:eastAsia="細明體" w:hAnsi="Calibri" w:hint="eastAsia"/>
                <w:color w:val="000000"/>
                <w:sz w:val="17"/>
                <w:szCs w:val="17"/>
                <w:lang w:eastAsia="zh-TW"/>
              </w:rPr>
              <w:t>涵蓋</w:t>
            </w:r>
            <w:r w:rsidRPr="005171C5">
              <w:rPr>
                <w:rFonts w:ascii="Calibri" w:eastAsia="細明體" w:hAnsi="Calibri" w:hint="eastAsia"/>
                <w:sz w:val="17"/>
                <w:szCs w:val="17"/>
                <w:lang w:eastAsia="zh-HK"/>
              </w:rPr>
              <w:t>並</w:t>
            </w:r>
            <w:r w:rsidRPr="005171C5">
              <w:rPr>
                <w:rFonts w:ascii="Calibri" w:eastAsia="細明體" w:hAnsi="Calibri" w:hint="eastAsia"/>
                <w:sz w:val="17"/>
                <w:szCs w:val="17"/>
                <w:lang w:val="en-US" w:eastAsia="zh-TW"/>
              </w:rPr>
              <w:t>使</w:t>
            </w:r>
            <w:r w:rsidRPr="005171C5">
              <w:rPr>
                <w:rFonts w:ascii="Calibri" w:eastAsia="細明體" w:hAnsi="Calibri" w:hint="eastAsia"/>
                <w:sz w:val="17"/>
                <w:szCs w:val="17"/>
                <w:lang w:val="en-US" w:eastAsia="zh-HK"/>
              </w:rPr>
              <w:t>用</w:t>
            </w:r>
            <w:r w:rsidRPr="005171C5">
              <w:rPr>
                <w:rFonts w:ascii="Calibri" w:eastAsia="細明體" w:hAnsi="Calibri"/>
                <w:sz w:val="17"/>
                <w:szCs w:val="17"/>
                <w:lang w:eastAsia="zh-TW"/>
              </w:rPr>
              <w:t>《資本規則》</w:t>
            </w:r>
            <w:r w:rsidRPr="005171C5">
              <w:rPr>
                <w:rFonts w:ascii="Calibri" w:eastAsia="細明體" w:hAnsi="Calibri" w:hint="eastAsia"/>
                <w:sz w:val="17"/>
                <w:szCs w:val="17"/>
                <w:lang w:val="en-US" w:eastAsia="zh-HK"/>
              </w:rPr>
              <w:t>第</w:t>
            </w:r>
            <w:r w:rsidRPr="005171C5">
              <w:rPr>
                <w:rFonts w:ascii="Calibri" w:eastAsia="細明體" w:hAnsi="Calibri" w:hint="eastAsia"/>
                <w:sz w:val="17"/>
                <w:szCs w:val="17"/>
                <w:lang w:val="en-US" w:eastAsia="zh-TW"/>
              </w:rPr>
              <w:t>4</w:t>
            </w:r>
            <w:r w:rsidRPr="005171C5">
              <w:rPr>
                <w:rFonts w:ascii="Calibri" w:eastAsia="細明體" w:hAnsi="Calibri" w:hint="eastAsia"/>
                <w:sz w:val="17"/>
                <w:szCs w:val="17"/>
                <w:lang w:val="en-US" w:eastAsia="zh-HK"/>
              </w:rPr>
              <w:t>部全面方法計入</w:t>
            </w:r>
            <w:r w:rsidRPr="005171C5">
              <w:rPr>
                <w:rFonts w:ascii="Calibri" w:eastAsia="細明體" w:hAnsi="Calibri" w:hint="eastAsia"/>
                <w:sz w:val="17"/>
                <w:szCs w:val="17"/>
                <w:lang w:eastAsia="zh-TW"/>
              </w:rPr>
              <w:t>減低信用風險措施的效果的</w:t>
            </w:r>
            <w:r w:rsidRPr="005171C5">
              <w:rPr>
                <w:rFonts w:eastAsia="細明體" w:cs="Segoe UI"/>
                <w:sz w:val="17"/>
                <w:szCs w:val="17"/>
                <w:lang w:eastAsia="zh-TW"/>
              </w:rPr>
              <w:t>SFT</w:t>
            </w:r>
            <w:r w:rsidR="00A477C4" w:rsidRPr="00826D50">
              <w:rPr>
                <w:rFonts w:eastAsia="細明體" w:cs="Segoe UI" w:hint="eastAsia"/>
                <w:sz w:val="17"/>
                <w:szCs w:val="17"/>
                <w:lang w:eastAsia="zh-TW"/>
              </w:rPr>
              <w:t>（加密資產</w:t>
            </w:r>
            <w:r w:rsidR="00A477C4" w:rsidRPr="005171C5">
              <w:rPr>
                <w:rFonts w:ascii="Calibri" w:eastAsia="細明體" w:hAnsi="Calibri" w:hint="eastAsia"/>
                <w:sz w:val="17"/>
                <w:szCs w:val="17"/>
                <w:lang w:eastAsia="zh-HK"/>
              </w:rPr>
              <w:t>的</w:t>
            </w:r>
            <w:r w:rsidR="00A477C4" w:rsidRPr="005171C5">
              <w:rPr>
                <w:rFonts w:eastAsia="細明體" w:cs="Segoe UI"/>
                <w:sz w:val="17"/>
                <w:szCs w:val="17"/>
                <w:lang w:eastAsia="zh-TW"/>
              </w:rPr>
              <w:t>SFT</w:t>
            </w:r>
            <w:r w:rsidR="00A477C4" w:rsidRPr="00826D50">
              <w:rPr>
                <w:rFonts w:eastAsia="細明體" w:cs="Segoe UI" w:hint="eastAsia"/>
                <w:sz w:val="17"/>
                <w:szCs w:val="17"/>
                <w:lang w:eastAsia="zh-TW"/>
              </w:rPr>
              <w:t>除外）</w:t>
            </w:r>
            <w:r w:rsidRPr="005171C5">
              <w:rPr>
                <w:rFonts w:ascii="Calibri" w:eastAsia="細明體" w:hAnsi="Calibri" w:hint="eastAsia"/>
                <w:sz w:val="17"/>
                <w:szCs w:val="17"/>
                <w:lang w:eastAsia="zh-TW"/>
              </w:rPr>
              <w:t>而言，</w:t>
            </w:r>
            <w:r w:rsidRPr="005171C5">
              <w:rPr>
                <w:rFonts w:ascii="Calibri" w:eastAsia="新細明體" w:hAnsi="Calibri" w:hint="eastAsia"/>
                <w:sz w:val="17"/>
                <w:szCs w:val="17"/>
                <w:lang w:eastAsia="zh-HK"/>
              </w:rPr>
              <w:t>第</w:t>
            </w:r>
            <w:r w:rsidRPr="005171C5">
              <w:rPr>
                <w:rFonts w:ascii="Calibri" w:eastAsia="新細明體" w:hAnsi="Calibri" w:hint="eastAsia"/>
                <w:sz w:val="17"/>
                <w:szCs w:val="17"/>
                <w:lang w:eastAsia="zh-TW"/>
              </w:rPr>
              <w:t>4</w:t>
            </w:r>
            <w:r w:rsidRPr="005171C5">
              <w:rPr>
                <w:rFonts w:ascii="Calibri" w:eastAsia="新細明體" w:hAnsi="Calibri" w:hint="eastAsia"/>
                <w:sz w:val="17"/>
                <w:szCs w:val="17"/>
                <w:lang w:eastAsia="zh-HK"/>
              </w:rPr>
              <w:t>行</w:t>
            </w:r>
            <w:r w:rsidRPr="005171C5">
              <w:rPr>
                <w:rFonts w:ascii="Calibri" w:eastAsia="細明體" w:hAnsi="Calibri" w:hint="eastAsia"/>
                <w:sz w:val="17"/>
                <w:szCs w:val="17"/>
                <w:lang w:eastAsia="zh-TW"/>
              </w:rPr>
              <w:t>披露的數額應為已將</w:t>
            </w:r>
            <w:r w:rsidRPr="005171C5">
              <w:rPr>
                <w:rFonts w:ascii="Calibri" w:eastAsia="細明體" w:hAnsi="Calibri" w:hint="eastAsia"/>
                <w:sz w:val="17"/>
                <w:szCs w:val="17"/>
                <w:lang w:eastAsia="zh-HK"/>
              </w:rPr>
              <w:t>在</w:t>
            </w:r>
            <w:r w:rsidRPr="005171C5">
              <w:rPr>
                <w:rFonts w:eastAsia="細明體" w:cs="Segoe UI"/>
                <w:sz w:val="17"/>
                <w:szCs w:val="17"/>
                <w:lang w:eastAsia="zh-TW"/>
              </w:rPr>
              <w:t>SFT</w:t>
            </w:r>
            <w:r w:rsidRPr="005171C5">
              <w:rPr>
                <w:rFonts w:ascii="Calibri" w:eastAsia="細明體" w:hAnsi="Calibri" w:hint="eastAsia"/>
                <w:sz w:val="17"/>
                <w:szCs w:val="17"/>
                <w:lang w:eastAsia="zh-HK"/>
              </w:rPr>
              <w:t>下收取的</w:t>
            </w:r>
            <w:r w:rsidRPr="005171C5">
              <w:rPr>
                <w:rFonts w:ascii="Calibri" w:eastAsia="細明體" w:hAnsi="Calibri" w:hint="eastAsia"/>
                <w:sz w:val="17"/>
                <w:szCs w:val="17"/>
                <w:lang w:eastAsia="zh-TW"/>
              </w:rPr>
              <w:t>任何認可抵押品計算在內的數額。</w:t>
            </w:r>
            <w:r w:rsidR="003C1286" w:rsidRPr="003C1286">
              <w:rPr>
                <w:rFonts w:ascii="Calibri" w:eastAsia="細明體" w:hAnsi="Calibri" w:hint="eastAsia"/>
                <w:sz w:val="17"/>
                <w:szCs w:val="17"/>
                <w:lang w:eastAsia="zh-TW"/>
              </w:rPr>
              <w:t>就加密資產的</w:t>
            </w:r>
            <w:r w:rsidR="00D943CF" w:rsidRPr="005171C5">
              <w:rPr>
                <w:rFonts w:eastAsia="細明體" w:cs="Segoe UI"/>
                <w:sz w:val="17"/>
                <w:szCs w:val="17"/>
                <w:lang w:eastAsia="zh-TW"/>
              </w:rPr>
              <w:t>SFT</w:t>
            </w:r>
            <w:r w:rsidR="003C1286" w:rsidRPr="003C1286">
              <w:rPr>
                <w:rFonts w:ascii="Calibri" w:eastAsia="細明體" w:hAnsi="Calibri" w:hint="eastAsia"/>
                <w:sz w:val="17"/>
                <w:szCs w:val="17"/>
                <w:lang w:eastAsia="zh-TW"/>
              </w:rPr>
              <w:t>而言</w:t>
            </w:r>
            <w:r w:rsidR="003C1286" w:rsidRPr="00826D50">
              <w:rPr>
                <w:rFonts w:ascii="Calibri" w:eastAsia="細明體" w:hAnsi="Calibri" w:hint="eastAsia"/>
                <w:sz w:val="17"/>
                <w:szCs w:val="17"/>
                <w:lang w:eastAsia="zh-TW"/>
              </w:rPr>
              <w:t>，</w:t>
            </w:r>
            <w:r w:rsidR="003C1286" w:rsidRPr="003C1286">
              <w:rPr>
                <w:rFonts w:ascii="Calibri" w:eastAsia="細明體" w:hAnsi="Calibri" w:hint="eastAsia"/>
                <w:sz w:val="17"/>
                <w:szCs w:val="17"/>
                <w:lang w:eastAsia="zh-TW"/>
              </w:rPr>
              <w:t>指根據《資本</w:t>
            </w:r>
            <w:r w:rsidR="003C1286" w:rsidRPr="008F5C23">
              <w:rPr>
                <w:rFonts w:ascii="Calibri" w:eastAsia="細明體" w:hAnsi="Calibri" w:hint="eastAsia"/>
                <w:sz w:val="17"/>
                <w:szCs w:val="17"/>
                <w:lang w:eastAsia="zh-TW"/>
              </w:rPr>
              <w:t>規則》第</w:t>
            </w:r>
            <w:r w:rsidR="003C1286" w:rsidRPr="00587408">
              <w:rPr>
                <w:rFonts w:eastAsia="細明體" w:cs="Segoe UI"/>
                <w:sz w:val="17"/>
                <w:szCs w:val="17"/>
                <w:lang w:eastAsia="zh-TW"/>
              </w:rPr>
              <w:t>6A</w:t>
            </w:r>
            <w:r w:rsidR="003C1286" w:rsidRPr="00587408">
              <w:rPr>
                <w:rFonts w:ascii="Calibri" w:eastAsia="細明體" w:hAnsi="Calibri" w:hint="eastAsia"/>
                <w:sz w:val="17"/>
                <w:szCs w:val="17"/>
                <w:lang w:eastAsia="zh-TW"/>
              </w:rPr>
              <w:t>部第</w:t>
            </w:r>
            <w:r w:rsidR="003C1286" w:rsidRPr="00587408">
              <w:rPr>
                <w:rFonts w:eastAsia="細明體" w:cs="Segoe UI"/>
                <w:sz w:val="17"/>
                <w:szCs w:val="17"/>
                <w:lang w:eastAsia="zh-TW"/>
              </w:rPr>
              <w:t>2B</w:t>
            </w:r>
            <w:r w:rsidR="003C1286" w:rsidRPr="00587408">
              <w:rPr>
                <w:rFonts w:ascii="Calibri" w:eastAsia="細明體" w:hAnsi="Calibri" w:hint="eastAsia"/>
                <w:sz w:val="17"/>
                <w:szCs w:val="17"/>
                <w:lang w:eastAsia="zh-TW"/>
              </w:rPr>
              <w:t>分部</w:t>
            </w:r>
            <w:r w:rsidR="00E0105B" w:rsidRPr="00587408">
              <w:rPr>
                <w:rFonts w:ascii="新細明體" w:eastAsia="新細明體" w:hAnsi="新細明體" w:cs="新細明體" w:hint="eastAsia"/>
                <w:sz w:val="17"/>
                <w:szCs w:val="17"/>
                <w:lang w:eastAsia="zh-TW"/>
              </w:rPr>
              <w:t>、</w:t>
            </w:r>
            <w:r w:rsidR="00E0105B" w:rsidRPr="00587408">
              <w:rPr>
                <w:rFonts w:ascii="新細明體" w:eastAsia="新細明體" w:hAnsi="新細明體" w:cs="新細明體" w:hint="eastAsia"/>
                <w:sz w:val="17"/>
                <w:szCs w:val="17"/>
                <w:lang w:eastAsia="zh-HK"/>
              </w:rPr>
              <w:t>並</w:t>
            </w:r>
            <w:r w:rsidR="005A2F48" w:rsidRPr="00587408">
              <w:rPr>
                <w:rFonts w:ascii="新細明體" w:eastAsia="新細明體" w:hAnsi="新細明體" w:cs="新細明體" w:hint="eastAsia"/>
                <w:sz w:val="17"/>
                <w:szCs w:val="17"/>
                <w:lang w:eastAsia="zh-HK"/>
              </w:rPr>
              <w:t>在</w:t>
            </w:r>
            <w:r w:rsidR="00756347" w:rsidRPr="00587408">
              <w:rPr>
                <w:rFonts w:ascii="Calibri" w:eastAsia="細明體" w:hAnsi="Calibri" w:hint="eastAsia"/>
                <w:sz w:val="17"/>
                <w:szCs w:val="17"/>
                <w:lang w:eastAsia="zh-TW"/>
              </w:rPr>
              <w:t>《資本規則》第</w:t>
            </w:r>
            <w:r w:rsidR="00756347" w:rsidRPr="00587408">
              <w:rPr>
                <w:rFonts w:eastAsia="細明體" w:cs="Segoe UI"/>
                <w:sz w:val="17"/>
                <w:szCs w:val="17"/>
                <w:lang w:eastAsia="zh-TW"/>
              </w:rPr>
              <w:t>378</w:t>
            </w:r>
            <w:r w:rsidR="00756347" w:rsidRPr="00587408">
              <w:rPr>
                <w:rFonts w:ascii="Calibri" w:eastAsia="細明體" w:hAnsi="Calibri" w:hint="eastAsia"/>
                <w:color w:val="000000"/>
                <w:sz w:val="17"/>
                <w:szCs w:val="17"/>
                <w:lang w:eastAsia="zh-TW"/>
              </w:rPr>
              <w:t>條</w:t>
            </w:r>
            <w:r w:rsidR="00756347" w:rsidRPr="00587408">
              <w:rPr>
                <w:rFonts w:ascii="Calibri" w:eastAsia="細明體" w:hAnsi="Calibri" w:hint="eastAsia"/>
                <w:sz w:val="17"/>
                <w:szCs w:val="17"/>
                <w:lang w:eastAsia="zh-TW"/>
              </w:rPr>
              <w:t>所</w:t>
            </w:r>
            <w:r w:rsidR="00E0105B" w:rsidRPr="00587408">
              <w:rPr>
                <w:rFonts w:ascii="Calibri" w:eastAsia="細明體" w:hAnsi="Calibri" w:hint="eastAsia"/>
                <w:sz w:val="17"/>
                <w:szCs w:val="17"/>
                <w:lang w:eastAsia="zh-HK"/>
              </w:rPr>
              <w:t>載</w:t>
            </w:r>
            <w:r w:rsidR="00756347" w:rsidRPr="00587408">
              <w:rPr>
                <w:rFonts w:ascii="Calibri" w:eastAsia="細明體" w:hAnsi="Calibri" w:hint="eastAsia"/>
                <w:sz w:val="17"/>
                <w:szCs w:val="17"/>
                <w:lang w:eastAsia="zh-HK"/>
              </w:rPr>
              <w:t>變通</w:t>
            </w:r>
            <w:r w:rsidR="001441DF" w:rsidRPr="00587408">
              <w:rPr>
                <w:rFonts w:ascii="Calibri" w:eastAsia="細明體" w:hAnsi="Calibri" w:hint="eastAsia"/>
                <w:sz w:val="17"/>
                <w:szCs w:val="17"/>
                <w:lang w:eastAsia="zh-HK"/>
              </w:rPr>
              <w:t>的</w:t>
            </w:r>
            <w:proofErr w:type="gramStart"/>
            <w:r w:rsidR="00E0105B" w:rsidRPr="00587408">
              <w:rPr>
                <w:rFonts w:ascii="Calibri" w:eastAsia="細明體" w:hAnsi="Calibri" w:hint="eastAsia"/>
                <w:sz w:val="17"/>
                <w:szCs w:val="17"/>
                <w:lang w:eastAsia="zh-HK"/>
              </w:rPr>
              <w:t>規限</w:t>
            </w:r>
            <w:r w:rsidR="005A2F48" w:rsidRPr="00587408">
              <w:rPr>
                <w:rFonts w:ascii="Calibri" w:eastAsia="細明體" w:hAnsi="Calibri" w:hint="eastAsia"/>
                <w:sz w:val="17"/>
                <w:szCs w:val="17"/>
                <w:lang w:eastAsia="zh-HK"/>
              </w:rPr>
              <w:t>下</w:t>
            </w:r>
            <w:proofErr w:type="gramEnd"/>
            <w:r w:rsidR="005A2F48" w:rsidRPr="00587408">
              <w:rPr>
                <w:rFonts w:ascii="Calibri" w:eastAsia="細明體" w:hAnsi="Calibri" w:hint="eastAsia"/>
                <w:sz w:val="17"/>
                <w:szCs w:val="17"/>
                <w:lang w:eastAsia="zh-TW"/>
              </w:rPr>
              <w:t>計算</w:t>
            </w:r>
            <w:proofErr w:type="gramStart"/>
            <w:r w:rsidR="005A2F48" w:rsidRPr="00587408">
              <w:rPr>
                <w:rFonts w:ascii="Calibri" w:eastAsia="細明體" w:hAnsi="Calibri" w:hint="eastAsia"/>
                <w:sz w:val="17"/>
                <w:szCs w:val="17"/>
                <w:lang w:eastAsia="zh-TW"/>
              </w:rPr>
              <w:t>的</w:t>
            </w:r>
            <w:r w:rsidR="001441DF" w:rsidRPr="00587408">
              <w:rPr>
                <w:rFonts w:ascii="Calibri" w:eastAsia="細明體" w:hAnsi="Calibri" w:hint="eastAsia"/>
                <w:sz w:val="17"/>
                <w:szCs w:val="17"/>
                <w:lang w:eastAsia="zh-TW"/>
              </w:rPr>
              <w:t>違責風險</w:t>
            </w:r>
            <w:proofErr w:type="gramEnd"/>
            <w:r w:rsidR="001441DF" w:rsidRPr="00587408">
              <w:rPr>
                <w:rFonts w:ascii="Calibri" w:eastAsia="細明體" w:hAnsi="Calibri" w:hint="eastAsia"/>
                <w:sz w:val="17"/>
                <w:szCs w:val="17"/>
                <w:lang w:eastAsia="zh-TW"/>
              </w:rPr>
              <w:t>的風險承擔。</w:t>
            </w:r>
          </w:p>
          <w:p w14:paraId="16547DC4"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sz w:val="17"/>
                <w:szCs w:val="17"/>
                <w:lang w:eastAsia="zh-TW"/>
              </w:rPr>
            </w:pPr>
          </w:p>
          <w:p w14:paraId="4269880B"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sz w:val="17"/>
                <w:szCs w:val="17"/>
                <w:lang w:eastAsia="zh-TW"/>
              </w:rPr>
            </w:pPr>
            <w:r w:rsidRPr="005171C5">
              <w:rPr>
                <w:rFonts w:ascii="Calibri" w:eastAsia="細明體" w:hAnsi="Calibri" w:hint="eastAsia"/>
                <w:sz w:val="17"/>
                <w:szCs w:val="17"/>
                <w:lang w:eastAsia="zh-HK"/>
              </w:rPr>
              <w:t>如屬</w:t>
            </w:r>
            <w:r w:rsidRPr="005171C5">
              <w:rPr>
                <w:rFonts w:ascii="Calibri" w:eastAsia="細明體" w:hAnsi="Calibri" w:hint="eastAsia"/>
                <w:sz w:val="17"/>
                <w:szCs w:val="17"/>
                <w:lang w:val="en-US" w:eastAsia="zh-TW"/>
              </w:rPr>
              <w:t>使</w:t>
            </w:r>
            <w:r w:rsidRPr="005171C5">
              <w:rPr>
                <w:rFonts w:ascii="Calibri" w:eastAsia="細明體" w:hAnsi="Calibri" w:hint="eastAsia"/>
                <w:sz w:val="17"/>
                <w:szCs w:val="17"/>
                <w:lang w:val="en-US" w:eastAsia="zh-HK"/>
              </w:rPr>
              <w:t>用</w:t>
            </w:r>
            <w:r w:rsidRPr="005171C5">
              <w:rPr>
                <w:rFonts w:ascii="Calibri" w:eastAsia="細明體" w:hAnsi="Calibri"/>
                <w:sz w:val="17"/>
                <w:szCs w:val="17"/>
                <w:lang w:eastAsia="zh-TW"/>
              </w:rPr>
              <w:t>《資本規則》</w:t>
            </w:r>
            <w:r w:rsidRPr="005171C5">
              <w:rPr>
                <w:rFonts w:ascii="Calibri" w:eastAsia="細明體" w:hAnsi="Calibri" w:hint="eastAsia"/>
                <w:sz w:val="17"/>
                <w:szCs w:val="17"/>
                <w:lang w:val="en-US" w:eastAsia="zh-HK"/>
              </w:rPr>
              <w:t>第</w:t>
            </w:r>
            <w:r w:rsidRPr="005171C5">
              <w:rPr>
                <w:rFonts w:ascii="Calibri" w:eastAsia="細明體" w:hAnsi="Calibri" w:hint="eastAsia"/>
                <w:sz w:val="17"/>
                <w:szCs w:val="17"/>
                <w:lang w:val="en-US" w:eastAsia="zh-TW"/>
              </w:rPr>
              <w:t>4</w:t>
            </w:r>
            <w:r w:rsidRPr="005171C5">
              <w:rPr>
                <w:rFonts w:ascii="Calibri" w:eastAsia="細明體" w:hAnsi="Calibri" w:hint="eastAsia"/>
                <w:sz w:val="17"/>
                <w:szCs w:val="17"/>
                <w:lang w:val="en-US" w:eastAsia="zh-HK"/>
              </w:rPr>
              <w:t>及</w:t>
            </w:r>
            <w:r w:rsidRPr="005171C5">
              <w:rPr>
                <w:rFonts w:ascii="Calibri" w:eastAsia="細明體" w:hAnsi="Calibri" w:hint="eastAsia"/>
                <w:sz w:val="17"/>
                <w:szCs w:val="17"/>
                <w:lang w:val="en-US" w:eastAsia="zh-TW"/>
              </w:rPr>
              <w:t>5</w:t>
            </w:r>
            <w:r w:rsidRPr="005171C5">
              <w:rPr>
                <w:rFonts w:ascii="Calibri" w:eastAsia="細明體" w:hAnsi="Calibri" w:hint="eastAsia"/>
                <w:sz w:val="17"/>
                <w:szCs w:val="17"/>
                <w:lang w:val="en-US" w:eastAsia="zh-HK"/>
              </w:rPr>
              <w:t>部</w:t>
            </w:r>
            <w:r w:rsidRPr="005171C5">
              <w:rPr>
                <w:rFonts w:ascii="Calibri" w:eastAsia="細明體" w:hAnsi="Calibri" w:hint="eastAsia"/>
                <w:color w:val="000000"/>
                <w:sz w:val="17"/>
                <w:szCs w:val="17"/>
                <w:lang w:eastAsia="zh-HK"/>
              </w:rPr>
              <w:t>計入</w:t>
            </w:r>
            <w:r w:rsidRPr="005171C5">
              <w:rPr>
                <w:rFonts w:ascii="Calibri" w:eastAsia="細明體" w:hAnsi="Calibri" w:hint="eastAsia"/>
                <w:color w:val="000000"/>
                <w:sz w:val="17"/>
                <w:szCs w:val="17"/>
                <w:lang w:eastAsia="zh-TW"/>
              </w:rPr>
              <w:t>減低信用風險措施效果</w:t>
            </w:r>
            <w:r w:rsidRPr="005171C5">
              <w:rPr>
                <w:rFonts w:ascii="Calibri" w:eastAsia="細明體" w:hAnsi="Calibri" w:hint="eastAsia"/>
                <w:color w:val="000000"/>
                <w:sz w:val="17"/>
                <w:szCs w:val="17"/>
                <w:lang w:eastAsia="zh-HK"/>
              </w:rPr>
              <w:t>的</w:t>
            </w:r>
            <w:r w:rsidRPr="005171C5">
              <w:rPr>
                <w:rFonts w:ascii="Calibri" w:eastAsia="細明體" w:hAnsi="Calibri" w:hint="eastAsia"/>
                <w:color w:val="000000"/>
                <w:sz w:val="17"/>
                <w:szCs w:val="17"/>
                <w:lang w:eastAsia="zh-TW"/>
              </w:rPr>
              <w:t>認可擔保及認可信用衍生工具合約</w:t>
            </w:r>
            <w:r w:rsidRPr="005171C5">
              <w:rPr>
                <w:rFonts w:ascii="Calibri" w:eastAsia="細明體" w:hAnsi="Calibri" w:hint="eastAsia"/>
                <w:sz w:val="17"/>
                <w:szCs w:val="17"/>
                <w:lang w:eastAsia="zh-TW"/>
              </w:rPr>
              <w:t>，</w:t>
            </w:r>
            <w:r w:rsidRPr="005171C5">
              <w:rPr>
                <w:rFonts w:ascii="Calibri" w:eastAsia="細明體" w:hAnsi="Calibri" w:hint="eastAsia"/>
                <w:sz w:val="17"/>
                <w:szCs w:val="17"/>
                <w:lang w:eastAsia="zh-HK"/>
              </w:rPr>
              <w:t>在計及</w:t>
            </w:r>
            <w:r w:rsidRPr="005171C5">
              <w:rPr>
                <w:rFonts w:ascii="Calibri" w:eastAsia="細明體" w:hAnsi="Calibri" w:hint="eastAsia"/>
                <w:color w:val="000000"/>
                <w:sz w:val="17"/>
                <w:szCs w:val="17"/>
                <w:lang w:eastAsia="zh-TW"/>
              </w:rPr>
              <w:t>擔保</w:t>
            </w:r>
            <w:r w:rsidRPr="005171C5">
              <w:rPr>
                <w:rFonts w:ascii="Calibri" w:eastAsia="細明體" w:hAnsi="Calibri" w:hint="eastAsia"/>
                <w:color w:val="000000"/>
                <w:sz w:val="17"/>
                <w:szCs w:val="17"/>
                <w:lang w:eastAsia="zh-HK"/>
              </w:rPr>
              <w:t>或</w:t>
            </w:r>
            <w:r w:rsidRPr="005171C5">
              <w:rPr>
                <w:rFonts w:ascii="Calibri" w:eastAsia="細明體" w:hAnsi="Calibri" w:hint="eastAsia"/>
                <w:color w:val="000000"/>
                <w:sz w:val="17"/>
                <w:szCs w:val="17"/>
                <w:lang w:eastAsia="zh-TW"/>
              </w:rPr>
              <w:t>信用衍生工具合約</w:t>
            </w:r>
            <w:r w:rsidRPr="005171C5">
              <w:rPr>
                <w:rFonts w:ascii="Calibri" w:eastAsia="細明體" w:hAnsi="Calibri" w:hint="eastAsia"/>
                <w:color w:val="000000"/>
                <w:sz w:val="17"/>
                <w:szCs w:val="17"/>
                <w:lang w:eastAsia="zh-HK"/>
              </w:rPr>
              <w:t>後</w:t>
            </w:r>
            <w:r w:rsidRPr="005171C5">
              <w:rPr>
                <w:rFonts w:ascii="Calibri" w:eastAsia="細明體" w:hAnsi="Calibri" w:hint="eastAsia"/>
                <w:sz w:val="17"/>
                <w:szCs w:val="17"/>
                <w:lang w:eastAsia="zh-HK"/>
              </w:rPr>
              <w:t>的</w:t>
            </w:r>
            <w:r w:rsidRPr="005171C5">
              <w:rPr>
                <w:rFonts w:ascii="Calibri" w:eastAsia="細明體" w:hAnsi="Calibri" w:hint="eastAsia"/>
                <w:sz w:val="17"/>
                <w:szCs w:val="17"/>
                <w:lang w:eastAsia="zh-TW"/>
              </w:rPr>
              <w:t>違責風險的風險承擔</w:t>
            </w:r>
            <w:r w:rsidRPr="005171C5">
              <w:rPr>
                <w:rFonts w:ascii="Calibri" w:eastAsia="細明體" w:hAnsi="Calibri" w:hint="eastAsia"/>
                <w:sz w:val="17"/>
                <w:szCs w:val="17"/>
                <w:lang w:val="en-US" w:eastAsia="zh-TW"/>
              </w:rPr>
              <w:t>（</w:t>
            </w:r>
            <w:r w:rsidRPr="005171C5">
              <w:rPr>
                <w:rFonts w:ascii="Calibri" w:eastAsia="細明體" w:hAnsi="Calibri" w:hint="eastAsia"/>
                <w:sz w:val="17"/>
                <w:szCs w:val="17"/>
                <w:lang w:eastAsia="zh-TW"/>
              </w:rPr>
              <w:t>或違責風險的未結清風險承擔</w:t>
            </w:r>
            <w:r w:rsidRPr="005171C5">
              <w:rPr>
                <w:rFonts w:ascii="Calibri" w:eastAsia="細明體" w:hAnsi="Calibri" w:hint="eastAsia"/>
                <w:sz w:val="17"/>
                <w:szCs w:val="17"/>
                <w:lang w:val="en-US" w:eastAsia="zh-TW"/>
              </w:rPr>
              <w:t>）</w:t>
            </w:r>
            <w:r w:rsidRPr="005171C5">
              <w:rPr>
                <w:rFonts w:ascii="Calibri" w:eastAsia="細明體" w:hAnsi="Calibri" w:hint="eastAsia"/>
                <w:sz w:val="17"/>
                <w:szCs w:val="17"/>
                <w:lang w:val="en-US" w:eastAsia="zh-HK"/>
              </w:rPr>
              <w:t>應相等於</w:t>
            </w:r>
            <w:r w:rsidRPr="005171C5">
              <w:rPr>
                <w:rFonts w:ascii="Calibri" w:eastAsia="細明體" w:hAnsi="Calibri" w:hint="eastAsia"/>
                <w:color w:val="000000"/>
                <w:sz w:val="17"/>
                <w:szCs w:val="17"/>
                <w:lang w:eastAsia="zh-TW"/>
              </w:rPr>
              <w:t>《資本規則》</w:t>
            </w:r>
            <w:r w:rsidRPr="005171C5">
              <w:rPr>
                <w:rFonts w:ascii="Calibri" w:eastAsia="細明體" w:hAnsi="Calibri" w:hint="eastAsia"/>
                <w:color w:val="000000"/>
                <w:sz w:val="17"/>
                <w:szCs w:val="17"/>
                <w:lang w:eastAsia="zh-HK"/>
              </w:rPr>
              <w:t>所界</w:t>
            </w:r>
            <w:r w:rsidRPr="005171C5">
              <w:rPr>
                <w:rFonts w:ascii="Calibri" w:eastAsia="細明體" w:hAnsi="Calibri" w:hint="eastAsia"/>
                <w:color w:val="000000"/>
                <w:sz w:val="17"/>
                <w:szCs w:val="17"/>
                <w:lang w:eastAsia="zh-TW"/>
              </w:rPr>
              <w:t>定</w:t>
            </w:r>
            <w:r w:rsidRPr="005171C5">
              <w:rPr>
                <w:rFonts w:ascii="Calibri" w:eastAsia="細明體" w:hAnsi="Calibri" w:hint="eastAsia"/>
                <w:color w:val="000000"/>
                <w:sz w:val="17"/>
                <w:szCs w:val="17"/>
                <w:lang w:eastAsia="zh-HK"/>
              </w:rPr>
              <w:t>的</w:t>
            </w:r>
            <w:r w:rsidRPr="005171C5">
              <w:rPr>
                <w:rFonts w:ascii="Calibri" w:eastAsia="細明體" w:hAnsi="Calibri" w:hint="eastAsia"/>
                <w:sz w:val="17"/>
                <w:szCs w:val="17"/>
                <w:lang w:eastAsia="zh-TW"/>
              </w:rPr>
              <w:t>違責風險的風險承擔</w:t>
            </w:r>
            <w:r w:rsidRPr="005171C5">
              <w:rPr>
                <w:rFonts w:ascii="Calibri" w:eastAsia="細明體" w:hAnsi="Calibri" w:hint="eastAsia"/>
                <w:sz w:val="17"/>
                <w:szCs w:val="17"/>
                <w:lang w:val="en-US" w:eastAsia="zh-TW"/>
              </w:rPr>
              <w:t>（</w:t>
            </w:r>
            <w:r w:rsidRPr="005171C5">
              <w:rPr>
                <w:rFonts w:ascii="Calibri" w:eastAsia="細明體" w:hAnsi="Calibri" w:hint="eastAsia"/>
                <w:sz w:val="17"/>
                <w:szCs w:val="17"/>
                <w:lang w:eastAsia="zh-TW"/>
              </w:rPr>
              <w:t>或違責風險的未結清風險承擔</w:t>
            </w:r>
            <w:r w:rsidRPr="005171C5">
              <w:rPr>
                <w:rFonts w:ascii="Calibri" w:eastAsia="細明體" w:hAnsi="Calibri" w:hint="eastAsia"/>
                <w:sz w:val="17"/>
                <w:szCs w:val="17"/>
                <w:lang w:val="en-US" w:eastAsia="zh-TW"/>
              </w:rPr>
              <w:t>）</w:t>
            </w:r>
            <w:r w:rsidRPr="005171C5">
              <w:rPr>
                <w:rFonts w:ascii="Calibri" w:eastAsia="細明體" w:hAnsi="Calibri" w:hint="eastAsia"/>
                <w:sz w:val="17"/>
                <w:szCs w:val="17"/>
                <w:lang w:eastAsia="zh-TW"/>
              </w:rPr>
              <w:t>。</w:t>
            </w:r>
          </w:p>
          <w:p w14:paraId="6594DE8B"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sz w:val="17"/>
                <w:szCs w:val="17"/>
                <w:lang w:eastAsia="zh-TW"/>
              </w:rPr>
            </w:pPr>
          </w:p>
          <w:p w14:paraId="1B2A5E74" w14:textId="6A5E7E1F"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color w:val="000000"/>
                <w:sz w:val="17"/>
                <w:szCs w:val="17"/>
                <w:lang w:eastAsia="zh-TW"/>
              </w:rPr>
            </w:pPr>
            <w:r w:rsidRPr="005171C5">
              <w:rPr>
                <w:rFonts w:ascii="Calibri" w:eastAsia="細明體" w:hAnsi="Calibri" w:hint="eastAsia"/>
                <w:color w:val="000000"/>
                <w:sz w:val="17"/>
                <w:szCs w:val="17"/>
                <w:lang w:eastAsia="zh-TW"/>
              </w:rPr>
              <w:t>如《資本規則》</w:t>
            </w:r>
            <w:r w:rsidRPr="005171C5">
              <w:rPr>
                <w:rFonts w:ascii="Calibri" w:eastAsia="細明體" w:hAnsi="Calibri" w:hint="eastAsia"/>
                <w:color w:val="000000"/>
                <w:sz w:val="17"/>
                <w:szCs w:val="17"/>
                <w:lang w:eastAsia="zh-HK"/>
              </w:rPr>
              <w:t>第</w:t>
            </w:r>
            <w:r w:rsidRPr="005171C5">
              <w:rPr>
                <w:rFonts w:ascii="Calibri" w:eastAsia="細明體" w:hAnsi="Calibri" w:hint="eastAsia"/>
                <w:color w:val="000000"/>
                <w:sz w:val="17"/>
                <w:szCs w:val="17"/>
                <w:lang w:eastAsia="zh-TW"/>
              </w:rPr>
              <w:t>6</w:t>
            </w:r>
            <w:r w:rsidRPr="005171C5">
              <w:rPr>
                <w:rFonts w:ascii="Calibri" w:eastAsia="細明體" w:hAnsi="Calibri" w:hint="eastAsia"/>
                <w:color w:val="000000"/>
                <w:sz w:val="17"/>
                <w:szCs w:val="17"/>
                <w:lang w:eastAsia="zh-HK"/>
              </w:rPr>
              <w:t>部的</w:t>
            </w:r>
            <w:r w:rsidRPr="005171C5">
              <w:rPr>
                <w:rFonts w:ascii="Calibri" w:eastAsia="細明體" w:hAnsi="Calibri" w:hint="eastAsia"/>
                <w:color w:val="000000"/>
                <w:sz w:val="17"/>
                <w:szCs w:val="17"/>
                <w:lang w:eastAsia="zh-TW"/>
              </w:rPr>
              <w:t>風險權重函數中會考慮《資本規則》第</w:t>
            </w:r>
            <w:r w:rsidRPr="005171C5">
              <w:rPr>
                <w:rFonts w:ascii="Calibri" w:eastAsia="細明體" w:hAnsi="Calibri"/>
                <w:color w:val="000000"/>
                <w:sz w:val="17"/>
                <w:szCs w:val="17"/>
                <w:lang w:eastAsia="zh-TW"/>
              </w:rPr>
              <w:t>226MJ</w:t>
            </w:r>
            <w:r w:rsidRPr="005171C5">
              <w:rPr>
                <w:rFonts w:ascii="Calibri" w:eastAsia="細明體" w:hAnsi="Calibri" w:hint="eastAsia"/>
                <w:color w:val="000000"/>
                <w:sz w:val="17"/>
                <w:szCs w:val="17"/>
                <w:lang w:eastAsia="zh-TW"/>
              </w:rPr>
              <w:t>條涵蓋的</w:t>
            </w:r>
            <w:r w:rsidRPr="005171C5">
              <w:rPr>
                <w:rFonts w:eastAsia="細明體" w:cs="Segoe UI"/>
                <w:color w:val="000000"/>
                <w:sz w:val="17"/>
                <w:szCs w:val="17"/>
                <w:lang w:eastAsia="zh-TW"/>
              </w:rPr>
              <w:t>SFT</w:t>
            </w:r>
            <w:r w:rsidRPr="005171C5">
              <w:rPr>
                <w:rFonts w:ascii="Calibri" w:eastAsia="細明體" w:hAnsi="Calibri" w:hint="eastAsia"/>
                <w:color w:val="000000"/>
                <w:sz w:val="17"/>
                <w:szCs w:val="17"/>
                <w:lang w:eastAsia="zh-HK"/>
              </w:rPr>
              <w:t>的</w:t>
            </w:r>
            <w:r w:rsidRPr="005171C5">
              <w:rPr>
                <w:rFonts w:ascii="Calibri" w:eastAsia="細明體" w:hAnsi="Calibri" w:hint="eastAsia"/>
                <w:color w:val="000000"/>
                <w:sz w:val="17"/>
                <w:szCs w:val="17"/>
                <w:lang w:eastAsia="zh-TW"/>
              </w:rPr>
              <w:t>認可抵押品、認可擔保及認可信用衍生工具合約帶來的減低信用風險措施效果，本欄相等於未將減低信用風險措施</w:t>
            </w:r>
            <w:r w:rsidRPr="005171C5">
              <w:rPr>
                <w:rFonts w:ascii="Calibri" w:eastAsia="細明體" w:hAnsi="Calibri" w:hint="eastAsia"/>
                <w:bCs/>
                <w:sz w:val="17"/>
                <w:szCs w:val="17"/>
                <w:lang w:eastAsia="zh-TW"/>
              </w:rPr>
              <w:t>計算在內</w:t>
            </w:r>
            <w:proofErr w:type="gramStart"/>
            <w:r w:rsidRPr="005171C5">
              <w:rPr>
                <w:rFonts w:ascii="Calibri" w:eastAsia="細明體" w:hAnsi="Calibri" w:hint="eastAsia"/>
                <w:color w:val="000000"/>
                <w:sz w:val="17"/>
                <w:szCs w:val="17"/>
                <w:lang w:eastAsia="zh-TW"/>
              </w:rPr>
              <w:t>的違責風險</w:t>
            </w:r>
            <w:proofErr w:type="gramEnd"/>
            <w:r w:rsidRPr="005171C5">
              <w:rPr>
                <w:rFonts w:ascii="Calibri" w:eastAsia="細明體" w:hAnsi="Calibri" w:hint="eastAsia"/>
                <w:color w:val="000000"/>
                <w:sz w:val="17"/>
                <w:szCs w:val="17"/>
                <w:lang w:eastAsia="zh-TW"/>
              </w:rPr>
              <w:t>的風險承擔，因有關的減低信用風險措施的效果不會在合資格</w:t>
            </w:r>
            <w:r w:rsidRPr="005171C5">
              <w:rPr>
                <w:rFonts w:ascii="Calibri" w:eastAsia="細明體" w:hAnsi="Calibri"/>
                <w:color w:val="000000"/>
                <w:sz w:val="17"/>
                <w:szCs w:val="17"/>
                <w:lang w:eastAsia="zh-TW"/>
              </w:rPr>
              <w:t>IRB</w:t>
            </w:r>
            <w:r w:rsidRPr="005171C5">
              <w:rPr>
                <w:rFonts w:ascii="Calibri" w:eastAsia="細明體" w:hAnsi="Calibri" w:hint="eastAsia"/>
                <w:color w:val="000000"/>
                <w:sz w:val="17"/>
                <w:szCs w:val="17"/>
                <w:lang w:eastAsia="zh-TW"/>
              </w:rPr>
              <w:t>風險承擔的</w:t>
            </w:r>
            <w:r w:rsidRPr="005171C5">
              <w:rPr>
                <w:rFonts w:ascii="Calibri" w:eastAsia="細明體" w:hAnsi="Calibri"/>
                <w:color w:val="000000"/>
                <w:sz w:val="17"/>
                <w:szCs w:val="17"/>
                <w:lang w:eastAsia="zh-TW"/>
              </w:rPr>
              <w:t>EAD</w:t>
            </w:r>
            <w:r w:rsidRPr="005171C5">
              <w:rPr>
                <w:rFonts w:ascii="Calibri" w:eastAsia="細明體" w:hAnsi="Calibri" w:hint="eastAsia"/>
                <w:color w:val="000000"/>
                <w:sz w:val="17"/>
                <w:szCs w:val="17"/>
                <w:lang w:eastAsia="zh-TW"/>
              </w:rPr>
              <w:t>內反映。</w:t>
            </w:r>
          </w:p>
          <w:p w14:paraId="43764775"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color w:val="000000"/>
                <w:sz w:val="17"/>
                <w:szCs w:val="17"/>
                <w:lang w:eastAsia="zh-TW"/>
              </w:rPr>
            </w:pPr>
          </w:p>
          <w:p w14:paraId="2BA019A3"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color w:val="000000"/>
                <w:sz w:val="17"/>
                <w:szCs w:val="17"/>
                <w:lang w:eastAsia="zh-TW"/>
              </w:rPr>
            </w:pPr>
            <w:r w:rsidRPr="005171C5">
              <w:rPr>
                <w:rFonts w:ascii="Calibri" w:eastAsia="細明體" w:hAnsi="Calibri" w:hint="eastAsia"/>
                <w:color w:val="000000"/>
                <w:sz w:val="17"/>
                <w:szCs w:val="17"/>
                <w:lang w:eastAsia="zh-HK"/>
              </w:rPr>
              <w:t>就本披</w:t>
            </w:r>
            <w:r w:rsidRPr="005171C5">
              <w:rPr>
                <w:rFonts w:ascii="Calibri" w:eastAsia="細明體" w:hAnsi="Calibri" w:hint="eastAsia"/>
                <w:color w:val="000000"/>
                <w:sz w:val="17"/>
                <w:szCs w:val="17"/>
                <w:lang w:eastAsia="zh-TW"/>
              </w:rPr>
              <w:t>露模版</w:t>
            </w:r>
            <w:r w:rsidRPr="005171C5">
              <w:rPr>
                <w:rFonts w:ascii="Calibri" w:eastAsia="細明體" w:hAnsi="Calibri" w:hint="eastAsia"/>
                <w:color w:val="000000"/>
                <w:sz w:val="17"/>
                <w:szCs w:val="17"/>
                <w:lang w:eastAsia="zh-HK"/>
              </w:rPr>
              <w:t>而言</w:t>
            </w:r>
            <w:r w:rsidRPr="005171C5">
              <w:rPr>
                <w:rFonts w:ascii="Calibri" w:eastAsia="細明體" w:hAnsi="Calibri" w:hint="eastAsia"/>
                <w:color w:val="000000"/>
                <w:sz w:val="17"/>
                <w:szCs w:val="17"/>
                <w:lang w:eastAsia="zh-TW"/>
              </w:rPr>
              <w:t xml:space="preserve"> </w:t>
            </w:r>
            <w:r w:rsidRPr="005171C5">
              <w:rPr>
                <w:rFonts w:ascii="Calibri" w:eastAsia="細明體" w:hAnsi="Calibri"/>
                <w:color w:val="000000"/>
                <w:sz w:val="17"/>
                <w:szCs w:val="17"/>
                <w:lang w:eastAsia="zh-TW"/>
              </w:rPr>
              <w:t>–</w:t>
            </w:r>
          </w:p>
          <w:p w14:paraId="38045CA7" w14:textId="77777777" w:rsidR="005171C5" w:rsidRPr="005171C5" w:rsidRDefault="005171C5" w:rsidP="00D540EB">
            <w:pPr>
              <w:keepNext/>
              <w:numPr>
                <w:ilvl w:val="0"/>
                <w:numId w:val="46"/>
              </w:numPr>
              <w:suppressAutoHyphens/>
              <w:spacing w:before="40" w:after="40" w:line="259" w:lineRule="auto"/>
              <w:jc w:val="both"/>
              <w:rPr>
                <w:rFonts w:eastAsia="細明體" w:cs="Segoe UI"/>
                <w:color w:val="000000"/>
                <w:sz w:val="17"/>
                <w:szCs w:val="17"/>
                <w:lang w:eastAsia="ar-SA"/>
              </w:rPr>
            </w:pPr>
            <w:r w:rsidRPr="005171C5">
              <w:rPr>
                <w:rFonts w:eastAsia="細明體" w:cs="Segoe UI" w:hint="eastAsia"/>
                <w:sz w:val="17"/>
                <w:szCs w:val="17"/>
                <w:lang w:eastAsia="ar-SA"/>
              </w:rPr>
              <w:t>減低信用風險措施</w:t>
            </w:r>
            <w:r w:rsidRPr="005171C5">
              <w:rPr>
                <w:rFonts w:eastAsia="細明體" w:cs="Segoe UI" w:hint="eastAsia"/>
                <w:sz w:val="17"/>
                <w:szCs w:val="17"/>
                <w:lang w:eastAsia="zh-HK"/>
              </w:rPr>
              <w:t>不包括認可機構在淨額計算組合以外收取的</w:t>
            </w:r>
            <w:r w:rsidRPr="005171C5">
              <w:rPr>
                <w:rFonts w:eastAsia="細明體" w:cs="Segoe UI" w:hint="eastAsia"/>
                <w:color w:val="000000"/>
                <w:sz w:val="17"/>
                <w:szCs w:val="17"/>
                <w:lang w:eastAsia="ar-SA"/>
              </w:rPr>
              <w:t>認可抵押品</w:t>
            </w:r>
            <w:r w:rsidRPr="005171C5">
              <w:rPr>
                <w:rFonts w:eastAsia="細明體" w:cs="Segoe UI" w:hint="eastAsia"/>
                <w:sz w:val="17"/>
                <w:szCs w:val="17"/>
                <w:lang w:eastAsia="ar-SA"/>
              </w:rPr>
              <w:t>，</w:t>
            </w:r>
            <w:r w:rsidRPr="005171C5">
              <w:rPr>
                <w:rFonts w:eastAsia="細明體" w:cs="Segoe UI" w:hint="eastAsia"/>
                <w:sz w:val="17"/>
                <w:szCs w:val="17"/>
                <w:lang w:eastAsia="zh-HK"/>
              </w:rPr>
              <w:t>而該</w:t>
            </w:r>
            <w:r w:rsidRPr="005171C5">
              <w:rPr>
                <w:rFonts w:eastAsia="細明體" w:cs="Segoe UI" w:hint="eastAsia"/>
                <w:color w:val="000000"/>
                <w:sz w:val="17"/>
                <w:szCs w:val="17"/>
                <w:lang w:eastAsia="ar-SA"/>
              </w:rPr>
              <w:t>抵押品</w:t>
            </w:r>
            <w:r w:rsidRPr="005171C5">
              <w:rPr>
                <w:rFonts w:eastAsia="細明體" w:cs="Segoe UI" w:hint="eastAsia"/>
                <w:color w:val="000000"/>
                <w:sz w:val="17"/>
                <w:szCs w:val="17"/>
                <w:lang w:eastAsia="zh-HK"/>
              </w:rPr>
              <w:t>並沒有</w:t>
            </w:r>
            <w:r w:rsidRPr="005171C5">
              <w:rPr>
                <w:rFonts w:eastAsia="細明體" w:cs="Segoe UI" w:hint="eastAsia"/>
                <w:color w:val="000000"/>
                <w:sz w:val="17"/>
                <w:szCs w:val="17"/>
                <w:lang w:eastAsia="ar-SA"/>
              </w:rPr>
              <w:t>被指定為僅用於抵銷違責風險的風險承擔的損失。</w:t>
            </w:r>
          </w:p>
          <w:p w14:paraId="1A6355BA" w14:textId="77777777" w:rsidR="005171C5" w:rsidRPr="005171C5" w:rsidRDefault="005171C5" w:rsidP="00D540EB">
            <w:pPr>
              <w:keepNext/>
              <w:numPr>
                <w:ilvl w:val="0"/>
                <w:numId w:val="46"/>
              </w:numPr>
              <w:suppressAutoHyphens/>
              <w:spacing w:before="40" w:after="40" w:line="259" w:lineRule="auto"/>
              <w:jc w:val="both"/>
              <w:rPr>
                <w:rFonts w:eastAsia="細明體" w:cs="Segoe UI"/>
                <w:sz w:val="17"/>
                <w:szCs w:val="17"/>
                <w:lang w:eastAsia="ar-SA"/>
              </w:rPr>
            </w:pPr>
            <w:r w:rsidRPr="005171C5">
              <w:rPr>
                <w:rFonts w:eastAsia="細明體" w:cs="Segoe UI" w:hint="eastAsia"/>
                <w:sz w:val="17"/>
                <w:szCs w:val="17"/>
                <w:lang w:eastAsia="zh-HK"/>
              </w:rPr>
              <w:t>簡易方法</w:t>
            </w:r>
            <w:r w:rsidRPr="005171C5">
              <w:rPr>
                <w:rFonts w:eastAsia="細明體" w:cs="Segoe UI" w:hint="eastAsia"/>
                <w:sz w:val="17"/>
                <w:szCs w:val="17"/>
                <w:lang w:eastAsia="zh-HK"/>
              </w:rPr>
              <w:t xml:space="preserve"> </w:t>
            </w:r>
            <w:r w:rsidRPr="005171C5">
              <w:rPr>
                <w:rFonts w:eastAsia="細明體" w:cs="Segoe UI"/>
                <w:color w:val="000000"/>
                <w:sz w:val="17"/>
                <w:szCs w:val="17"/>
                <w:lang w:eastAsia="zh-TW"/>
              </w:rPr>
              <w:t>–</w:t>
            </w:r>
          </w:p>
          <w:p w14:paraId="6FDC78FD" w14:textId="77777777" w:rsidR="005171C5" w:rsidRPr="005171C5" w:rsidRDefault="005171C5" w:rsidP="00D540EB">
            <w:pPr>
              <w:keepNext/>
              <w:numPr>
                <w:ilvl w:val="0"/>
                <w:numId w:val="54"/>
              </w:numPr>
              <w:suppressAutoHyphens/>
              <w:spacing w:before="40" w:after="40" w:line="259" w:lineRule="auto"/>
              <w:jc w:val="both"/>
              <w:rPr>
                <w:rFonts w:eastAsia="細明體" w:cs="Segoe UI"/>
                <w:sz w:val="17"/>
                <w:szCs w:val="17"/>
                <w:lang w:eastAsia="ar-SA"/>
              </w:rPr>
            </w:pPr>
            <w:r w:rsidRPr="005171C5">
              <w:rPr>
                <w:rFonts w:eastAsia="細明體" w:cs="Segoe UI" w:hint="eastAsia"/>
                <w:sz w:val="17"/>
                <w:szCs w:val="17"/>
                <w:lang w:eastAsia="zh-HK"/>
              </w:rPr>
              <w:t>如屬</w:t>
            </w:r>
            <w:r w:rsidRPr="005171C5">
              <w:rPr>
                <w:rFonts w:eastAsia="細明體" w:cs="Segoe UI" w:hint="eastAsia"/>
                <w:sz w:val="17"/>
                <w:szCs w:val="17"/>
                <w:lang w:eastAsia="zh-TW"/>
              </w:rPr>
              <w:t>STC</w:t>
            </w:r>
            <w:r w:rsidRPr="005171C5">
              <w:rPr>
                <w:rFonts w:eastAsia="細明體" w:cs="Segoe UI" w:hint="eastAsia"/>
                <w:sz w:val="17"/>
                <w:szCs w:val="17"/>
                <w:lang w:eastAsia="zh-HK"/>
              </w:rPr>
              <w:t>計</w:t>
            </w:r>
            <w:r w:rsidRPr="005171C5">
              <w:rPr>
                <w:rFonts w:eastAsia="細明體" w:cs="Segoe UI" w:hint="eastAsia"/>
                <w:sz w:val="17"/>
                <w:szCs w:val="17"/>
                <w:lang w:eastAsia="zh-TW"/>
              </w:rPr>
              <w:t>算</w:t>
            </w:r>
            <w:r w:rsidRPr="005171C5">
              <w:rPr>
                <w:rFonts w:eastAsia="細明體" w:cs="Segoe UI" w:hint="eastAsia"/>
                <w:sz w:val="17"/>
                <w:szCs w:val="17"/>
                <w:lang w:eastAsia="zh-HK"/>
              </w:rPr>
              <w:t>法</w:t>
            </w:r>
            <w:r w:rsidRPr="005171C5">
              <w:rPr>
                <w:rFonts w:eastAsia="細明體" w:cs="Segoe UI" w:hint="eastAsia"/>
                <w:color w:val="000000"/>
                <w:sz w:val="17"/>
                <w:szCs w:val="17"/>
                <w:lang w:eastAsia="ar-SA"/>
              </w:rPr>
              <w:t>，</w:t>
            </w:r>
            <w:r w:rsidRPr="005171C5">
              <w:rPr>
                <w:rFonts w:eastAsia="細明體" w:cs="Segoe UI" w:hint="eastAsia"/>
                <w:color w:val="000000"/>
                <w:sz w:val="17"/>
                <w:szCs w:val="17"/>
                <w:lang w:eastAsia="zh-HK"/>
              </w:rPr>
              <w:t>指</w:t>
            </w:r>
            <w:r w:rsidRPr="005171C5">
              <w:rPr>
                <w:rFonts w:eastAsia="細明體" w:cs="Segoe UI" w:hint="eastAsia"/>
                <w:color w:val="000000"/>
                <w:sz w:val="17"/>
                <w:szCs w:val="17"/>
                <w:lang w:eastAsia="ar-SA"/>
              </w:rPr>
              <w:t>《資本規則》第</w:t>
            </w:r>
            <w:r w:rsidRPr="005171C5">
              <w:rPr>
                <w:rFonts w:eastAsia="細明體" w:cs="Segoe UI" w:hint="eastAsia"/>
                <w:color w:val="000000"/>
                <w:sz w:val="17"/>
                <w:szCs w:val="17"/>
                <w:lang w:eastAsia="zh-TW"/>
              </w:rPr>
              <w:t>4</w:t>
            </w:r>
            <w:r w:rsidRPr="005171C5">
              <w:rPr>
                <w:rFonts w:eastAsia="細明體" w:cs="Segoe UI" w:hint="eastAsia"/>
                <w:color w:val="000000"/>
                <w:sz w:val="17"/>
                <w:szCs w:val="17"/>
                <w:lang w:eastAsia="zh-HK"/>
              </w:rPr>
              <w:t>部第</w:t>
            </w:r>
            <w:r w:rsidRPr="005171C5">
              <w:rPr>
                <w:rFonts w:eastAsia="細明體" w:cs="Segoe UI" w:hint="eastAsia"/>
                <w:color w:val="000000"/>
                <w:sz w:val="17"/>
                <w:szCs w:val="17"/>
                <w:lang w:eastAsia="zh-TW"/>
              </w:rPr>
              <w:t>6</w:t>
            </w:r>
            <w:r w:rsidRPr="005171C5">
              <w:rPr>
                <w:rFonts w:eastAsia="細明體" w:cs="Segoe UI" w:hint="eastAsia"/>
                <w:color w:val="000000"/>
                <w:sz w:val="17"/>
                <w:szCs w:val="17"/>
                <w:lang w:eastAsia="zh-HK"/>
              </w:rPr>
              <w:t>分部列明的簡易方法</w:t>
            </w:r>
            <w:r w:rsidRPr="005171C5">
              <w:rPr>
                <w:rFonts w:eastAsia="細明體" w:cs="Segoe UI" w:hint="eastAsia"/>
                <w:sz w:val="17"/>
                <w:szCs w:val="17"/>
                <w:lang w:eastAsia="ar-SA"/>
              </w:rPr>
              <w:t>；</w:t>
            </w:r>
            <w:r w:rsidRPr="005171C5">
              <w:rPr>
                <w:rFonts w:eastAsia="細明體" w:cs="Segoe UI" w:hint="eastAsia"/>
                <w:sz w:val="17"/>
                <w:szCs w:val="17"/>
                <w:lang w:eastAsia="zh-HK"/>
              </w:rPr>
              <w:t>及</w:t>
            </w:r>
          </w:p>
          <w:p w14:paraId="2AB3D315" w14:textId="2578C30E" w:rsidR="005171C5" w:rsidRPr="00FA6322" w:rsidRDefault="005171C5" w:rsidP="00D540EB">
            <w:pPr>
              <w:keepNext/>
              <w:numPr>
                <w:ilvl w:val="0"/>
                <w:numId w:val="54"/>
              </w:numPr>
              <w:suppressAutoHyphens/>
              <w:spacing w:before="40" w:after="40" w:line="259" w:lineRule="auto"/>
              <w:jc w:val="both"/>
              <w:rPr>
                <w:rFonts w:eastAsia="細明體" w:cs="Segoe UI"/>
                <w:sz w:val="17"/>
                <w:szCs w:val="17"/>
                <w:lang w:eastAsia="ar-SA"/>
              </w:rPr>
            </w:pPr>
            <w:r w:rsidRPr="005171C5">
              <w:rPr>
                <w:rFonts w:eastAsia="細明體" w:cs="Segoe UI" w:hint="eastAsia"/>
                <w:sz w:val="17"/>
                <w:szCs w:val="17"/>
                <w:lang w:eastAsia="zh-HK"/>
              </w:rPr>
              <w:t>如屬</w:t>
            </w:r>
            <w:r w:rsidRPr="005171C5">
              <w:rPr>
                <w:rFonts w:eastAsia="細明體" w:cs="Segoe UI" w:hint="eastAsia"/>
                <w:sz w:val="17"/>
                <w:szCs w:val="17"/>
                <w:lang w:eastAsia="zh-TW"/>
              </w:rPr>
              <w:t>BSC</w:t>
            </w:r>
            <w:r w:rsidRPr="005171C5">
              <w:rPr>
                <w:rFonts w:eastAsia="細明體" w:cs="Segoe UI" w:hint="eastAsia"/>
                <w:sz w:val="17"/>
                <w:szCs w:val="17"/>
                <w:lang w:eastAsia="zh-HK"/>
              </w:rPr>
              <w:t>計</w:t>
            </w:r>
            <w:r w:rsidRPr="005171C5">
              <w:rPr>
                <w:rFonts w:eastAsia="細明體" w:cs="Segoe UI" w:hint="eastAsia"/>
                <w:sz w:val="17"/>
                <w:szCs w:val="17"/>
                <w:lang w:eastAsia="zh-TW"/>
              </w:rPr>
              <w:t>算</w:t>
            </w:r>
            <w:r w:rsidRPr="005171C5">
              <w:rPr>
                <w:rFonts w:eastAsia="細明體" w:cs="Segoe UI" w:hint="eastAsia"/>
                <w:sz w:val="17"/>
                <w:szCs w:val="17"/>
                <w:lang w:eastAsia="zh-HK"/>
              </w:rPr>
              <w:t>法</w:t>
            </w:r>
            <w:r w:rsidRPr="005171C5">
              <w:rPr>
                <w:rFonts w:eastAsia="細明體" w:cs="Segoe UI" w:hint="eastAsia"/>
                <w:color w:val="000000"/>
                <w:sz w:val="17"/>
                <w:szCs w:val="17"/>
                <w:lang w:eastAsia="ar-SA"/>
              </w:rPr>
              <w:t>，</w:t>
            </w:r>
            <w:r w:rsidRPr="005171C5">
              <w:rPr>
                <w:rFonts w:eastAsia="細明體" w:cs="Segoe UI" w:hint="eastAsia"/>
                <w:color w:val="000000"/>
                <w:sz w:val="17"/>
                <w:szCs w:val="17"/>
                <w:lang w:eastAsia="zh-HK"/>
              </w:rPr>
              <w:t>指</w:t>
            </w:r>
            <w:r w:rsidRPr="005171C5">
              <w:rPr>
                <w:rFonts w:eastAsia="細明體" w:cs="Segoe UI" w:hint="eastAsia"/>
                <w:color w:val="000000"/>
                <w:sz w:val="17"/>
                <w:szCs w:val="17"/>
                <w:lang w:eastAsia="ar-SA"/>
              </w:rPr>
              <w:t>《資本規則》第</w:t>
            </w:r>
            <w:r w:rsidRPr="005171C5">
              <w:rPr>
                <w:rFonts w:eastAsia="細明體" w:cs="Segoe UI" w:hint="eastAsia"/>
                <w:color w:val="000000"/>
                <w:sz w:val="17"/>
                <w:szCs w:val="17"/>
                <w:lang w:eastAsia="zh-TW"/>
              </w:rPr>
              <w:t>5</w:t>
            </w:r>
            <w:r w:rsidRPr="005171C5">
              <w:rPr>
                <w:rFonts w:eastAsia="細明體" w:cs="Segoe UI" w:hint="eastAsia"/>
                <w:color w:val="000000"/>
                <w:sz w:val="17"/>
                <w:szCs w:val="17"/>
                <w:lang w:eastAsia="zh-HK"/>
              </w:rPr>
              <w:t>部第</w:t>
            </w:r>
            <w:r w:rsidRPr="005171C5">
              <w:rPr>
                <w:rFonts w:eastAsia="細明體" w:cs="Segoe UI" w:hint="eastAsia"/>
                <w:color w:val="000000"/>
                <w:sz w:val="17"/>
                <w:szCs w:val="17"/>
                <w:lang w:eastAsia="zh-TW"/>
              </w:rPr>
              <w:t>5</w:t>
            </w:r>
            <w:r w:rsidRPr="005171C5">
              <w:rPr>
                <w:rFonts w:eastAsia="細明體" w:cs="Segoe UI" w:hint="eastAsia"/>
                <w:color w:val="000000"/>
                <w:sz w:val="17"/>
                <w:szCs w:val="17"/>
                <w:lang w:eastAsia="zh-HK"/>
              </w:rPr>
              <w:t>分部列明的減</w:t>
            </w:r>
            <w:r w:rsidRPr="005171C5">
              <w:rPr>
                <w:rFonts w:eastAsia="細明體" w:cs="Segoe UI" w:hint="eastAsia"/>
                <w:color w:val="000000"/>
                <w:sz w:val="17"/>
                <w:szCs w:val="17"/>
                <w:lang w:eastAsia="zh-TW"/>
              </w:rPr>
              <w:t>低</w:t>
            </w:r>
            <w:r w:rsidRPr="005171C5">
              <w:rPr>
                <w:rFonts w:eastAsia="細明體" w:cs="Segoe UI" w:hint="eastAsia"/>
                <w:color w:val="000000"/>
                <w:sz w:val="17"/>
                <w:szCs w:val="17"/>
                <w:lang w:eastAsia="ar-SA"/>
              </w:rPr>
              <w:t>風險承擔</w:t>
            </w:r>
            <w:r w:rsidRPr="005171C5">
              <w:rPr>
                <w:rFonts w:eastAsia="細明體" w:cs="Segoe UI" w:hint="eastAsia"/>
                <w:color w:val="000000"/>
                <w:sz w:val="17"/>
                <w:szCs w:val="17"/>
                <w:lang w:eastAsia="zh-HK"/>
              </w:rPr>
              <w:t>的</w:t>
            </w:r>
            <w:r w:rsidRPr="005171C5">
              <w:rPr>
                <w:rFonts w:eastAsia="細明體" w:cs="Segoe UI" w:hint="eastAsia"/>
                <w:color w:val="000000"/>
                <w:sz w:val="17"/>
                <w:szCs w:val="17"/>
                <w:lang w:eastAsia="zh-TW"/>
              </w:rPr>
              <w:t>風險加權數額</w:t>
            </w:r>
            <w:r w:rsidRPr="005171C5">
              <w:rPr>
                <w:rFonts w:eastAsia="細明體" w:cs="Segoe UI" w:hint="eastAsia"/>
                <w:color w:val="000000"/>
                <w:sz w:val="17"/>
                <w:szCs w:val="17"/>
                <w:lang w:eastAsia="zh-HK"/>
              </w:rPr>
              <w:t>的方法</w:t>
            </w:r>
            <w:r w:rsidRPr="005171C5">
              <w:rPr>
                <w:rFonts w:eastAsia="細明體" w:cs="Segoe UI" w:hint="eastAsia"/>
                <w:color w:val="000000"/>
                <w:sz w:val="17"/>
                <w:szCs w:val="17"/>
                <w:lang w:eastAsia="ar-SA"/>
              </w:rPr>
              <w:t>。</w:t>
            </w:r>
          </w:p>
        </w:tc>
      </w:tr>
      <w:tr w:rsidR="005171C5" w:rsidRPr="005171C5" w14:paraId="4F85F7D1" w14:textId="77777777" w:rsidTr="005171C5">
        <w:tc>
          <w:tcPr>
            <w:tcW w:w="425" w:type="dxa"/>
            <w:tcBorders>
              <w:top w:val="single" w:sz="4" w:space="0" w:color="000000"/>
              <w:left w:val="single" w:sz="4" w:space="0" w:color="000000"/>
              <w:bottom w:val="single" w:sz="4" w:space="0" w:color="000000"/>
            </w:tcBorders>
            <w:shd w:val="clear" w:color="auto" w:fill="auto"/>
          </w:tcPr>
          <w:p w14:paraId="02FA46B9"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(f)</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5677DDD4" w14:textId="77777777" w:rsidR="005171C5" w:rsidRPr="005171C5" w:rsidRDefault="005171C5" w:rsidP="005171C5">
            <w:pPr>
              <w:spacing w:after="160" w:line="259" w:lineRule="auto"/>
              <w:rPr>
                <w:rFonts w:ascii="Calibri" w:eastAsia="新細明體" w:hAnsi="Calibri"/>
                <w:sz w:val="22"/>
                <w:szCs w:val="22"/>
                <w:lang w:eastAsia="zh-TW"/>
              </w:rPr>
            </w:pPr>
            <w:r w:rsidRPr="005171C5">
              <w:rPr>
                <w:rFonts w:ascii="Calibri" w:eastAsia="細明體" w:hAnsi="Calibri" w:hint="eastAsia"/>
                <w:i/>
                <w:sz w:val="17"/>
                <w:szCs w:val="17"/>
                <w:lang w:eastAsia="zh-TW"/>
              </w:rPr>
              <w:t>風險加權數額</w:t>
            </w:r>
            <w:r w:rsidRPr="005171C5">
              <w:rPr>
                <w:rFonts w:ascii="Calibri" w:eastAsia="細明體" w:hAnsi="Calibri" w:hint="eastAsia"/>
                <w:sz w:val="17"/>
                <w:szCs w:val="17"/>
                <w:lang w:eastAsia="zh-TW"/>
              </w:rPr>
              <w:t>：已將減低信用風險措施</w:t>
            </w:r>
            <w:r w:rsidRPr="005171C5">
              <w:rPr>
                <w:rFonts w:ascii="Calibri" w:eastAsia="細明體" w:hAnsi="Calibri" w:hint="eastAsia"/>
                <w:bCs/>
                <w:sz w:val="17"/>
                <w:szCs w:val="17"/>
                <w:lang w:eastAsia="zh-TW"/>
              </w:rPr>
              <w:t>計算在內</w:t>
            </w:r>
            <w:proofErr w:type="gramStart"/>
            <w:r w:rsidRPr="005171C5">
              <w:rPr>
                <w:rFonts w:ascii="Calibri" w:eastAsia="細明體" w:hAnsi="Calibri" w:hint="eastAsia"/>
                <w:sz w:val="17"/>
                <w:szCs w:val="17"/>
                <w:lang w:eastAsia="zh-TW"/>
              </w:rPr>
              <w:t>的違責風險</w:t>
            </w:r>
            <w:proofErr w:type="gramEnd"/>
            <w:r w:rsidRPr="005171C5">
              <w:rPr>
                <w:rFonts w:ascii="Calibri" w:eastAsia="細明體" w:hAnsi="Calibri" w:hint="eastAsia"/>
                <w:sz w:val="17"/>
                <w:szCs w:val="17"/>
                <w:lang w:eastAsia="zh-TW"/>
              </w:rPr>
              <w:t>的風險承擔與適用於有關對手方的風險權重的積。</w:t>
            </w:r>
          </w:p>
        </w:tc>
      </w:tr>
      <w:tr w:rsidR="005171C5" w:rsidRPr="005171C5" w14:paraId="2991D9D5" w14:textId="77777777" w:rsidTr="005171C5">
        <w:tc>
          <w:tcPr>
            <w:tcW w:w="9610" w:type="dxa"/>
            <w:gridSpan w:val="2"/>
            <w:tcBorders>
              <w:top w:val="single" w:sz="4" w:space="0" w:color="000000"/>
              <w:left w:val="single" w:sz="4" w:space="0" w:color="000000"/>
              <w:bottom w:val="single" w:sz="4" w:space="0" w:color="000000"/>
              <w:right w:val="single" w:sz="4" w:space="0" w:color="000000"/>
            </w:tcBorders>
            <w:shd w:val="clear" w:color="auto" w:fill="F2F2F2"/>
          </w:tcPr>
          <w:p w14:paraId="6180E9AF" w14:textId="77777777" w:rsidR="005171C5" w:rsidRPr="005171C5" w:rsidRDefault="005171C5" w:rsidP="005171C5">
            <w:pPr>
              <w:spacing w:before="40" w:after="40" w:line="259" w:lineRule="auto"/>
              <w:jc w:val="both"/>
              <w:rPr>
                <w:rFonts w:ascii="Calibri" w:eastAsia="新細明體" w:hAnsi="Calibri"/>
                <w:sz w:val="22"/>
                <w:szCs w:val="22"/>
                <w:lang w:eastAsia="zh-CN"/>
              </w:rPr>
            </w:pPr>
            <w:r w:rsidRPr="005171C5">
              <w:rPr>
                <w:rFonts w:ascii="Calibri" w:eastAsia="細明體" w:hAnsi="Calibri" w:hint="eastAsia"/>
                <w:b/>
                <w:sz w:val="17"/>
                <w:szCs w:val="17"/>
                <w:lang w:eastAsia="zh-CN"/>
              </w:rPr>
              <w:t>行</w:t>
            </w:r>
          </w:p>
        </w:tc>
      </w:tr>
      <w:tr w:rsidR="005171C5" w:rsidRPr="005171C5" w14:paraId="346A601B" w14:textId="77777777" w:rsidTr="005171C5">
        <w:tc>
          <w:tcPr>
            <w:tcW w:w="425" w:type="dxa"/>
            <w:tcBorders>
              <w:top w:val="single" w:sz="4" w:space="0" w:color="000000"/>
              <w:left w:val="single" w:sz="4" w:space="0" w:color="000000"/>
              <w:bottom w:val="single" w:sz="4" w:space="0" w:color="000000"/>
            </w:tcBorders>
            <w:shd w:val="clear" w:color="auto" w:fill="auto"/>
          </w:tcPr>
          <w:p w14:paraId="5B5E9280"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1</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56271556"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171C5">
              <w:rPr>
                <w:rFonts w:ascii="Calibri" w:eastAsia="細明體" w:hAnsi="Calibri"/>
                <w:i/>
                <w:sz w:val="17"/>
                <w:szCs w:val="17"/>
                <w:lang w:eastAsia="zh-TW"/>
              </w:rPr>
              <w:t>SA-CCR</w:t>
            </w:r>
            <w:r w:rsidRPr="005171C5">
              <w:rPr>
                <w:rFonts w:ascii="Calibri" w:eastAsia="細明體" w:hAnsi="Calibri" w:hint="eastAsia"/>
                <w:i/>
                <w:sz w:val="17"/>
                <w:szCs w:val="17"/>
                <w:lang w:eastAsia="zh-TW"/>
              </w:rPr>
              <w:t>計算法（對於衍生工具合約）</w:t>
            </w:r>
            <w:r w:rsidRPr="005171C5">
              <w:rPr>
                <w:rFonts w:ascii="Calibri" w:eastAsia="細明體" w:hAnsi="Calibri" w:hint="eastAsia"/>
                <w:sz w:val="17"/>
                <w:szCs w:val="17"/>
                <w:lang w:eastAsia="zh-TW"/>
              </w:rPr>
              <w:t>：</w:t>
            </w:r>
            <w:r w:rsidRPr="005171C5">
              <w:rPr>
                <w:rFonts w:ascii="Calibri" w:eastAsia="細明體" w:hAnsi="Calibri" w:hint="eastAsia"/>
                <w:sz w:val="17"/>
                <w:szCs w:val="17"/>
                <w:lang w:val="en-US" w:eastAsia="zh-HK"/>
              </w:rPr>
              <w:t>認</w:t>
            </w:r>
            <w:r w:rsidRPr="005171C5">
              <w:rPr>
                <w:rFonts w:ascii="Calibri" w:eastAsia="細明體" w:hAnsi="Calibri" w:hint="eastAsia"/>
                <w:sz w:val="17"/>
                <w:szCs w:val="17"/>
                <w:lang w:val="en-US" w:eastAsia="zh-TW"/>
              </w:rPr>
              <w:t>可機構如使用</w:t>
            </w:r>
            <w:r w:rsidRPr="005171C5">
              <w:rPr>
                <w:rFonts w:ascii="Calibri" w:eastAsia="細明體" w:hAnsi="Calibri" w:hint="eastAsia"/>
                <w:sz w:val="17"/>
                <w:szCs w:val="17"/>
                <w:lang w:val="en-US" w:eastAsia="zh-TW"/>
              </w:rPr>
              <w:t>SA-CCR</w:t>
            </w:r>
            <w:r w:rsidRPr="005171C5">
              <w:rPr>
                <w:rFonts w:ascii="Calibri" w:eastAsia="細明體" w:hAnsi="Calibri" w:hint="eastAsia"/>
                <w:sz w:val="17"/>
                <w:szCs w:val="17"/>
                <w:lang w:val="en-US" w:eastAsia="zh-TW"/>
              </w:rPr>
              <w:t>計算法計算衍生工具合約的違責風險的風險承擔，</w:t>
            </w:r>
            <w:r w:rsidRPr="005171C5">
              <w:rPr>
                <w:rFonts w:ascii="Calibri" w:eastAsia="細明體" w:hAnsi="Calibri" w:hint="eastAsia"/>
                <w:sz w:val="17"/>
                <w:szCs w:val="17"/>
                <w:lang w:val="en-US" w:eastAsia="zh-HK"/>
              </w:rPr>
              <w:t>應在</w:t>
            </w:r>
            <w:r w:rsidRPr="005171C5">
              <w:rPr>
                <w:rFonts w:ascii="Calibri" w:eastAsia="細明體" w:hAnsi="Calibri" w:hint="eastAsia"/>
                <w:sz w:val="17"/>
                <w:szCs w:val="17"/>
                <w:lang w:val="en-US" w:eastAsia="zh-TW"/>
              </w:rPr>
              <w:t>(</w:t>
            </w:r>
            <w:r w:rsidRPr="005171C5">
              <w:rPr>
                <w:rFonts w:ascii="Calibri" w:eastAsia="細明體" w:hAnsi="Calibri"/>
                <w:sz w:val="17"/>
                <w:szCs w:val="17"/>
                <w:lang w:val="en-US" w:eastAsia="zh-HK"/>
              </w:rPr>
              <w:t>a)</w:t>
            </w:r>
            <w:r w:rsidRPr="005171C5">
              <w:rPr>
                <w:rFonts w:ascii="Calibri" w:eastAsia="細明體" w:hAnsi="Calibri" w:hint="eastAsia"/>
                <w:sz w:val="17"/>
                <w:szCs w:val="17"/>
                <w:lang w:val="en-US" w:eastAsia="zh-HK"/>
              </w:rPr>
              <w:t>至</w:t>
            </w:r>
            <w:r w:rsidRPr="005171C5">
              <w:rPr>
                <w:rFonts w:ascii="Calibri" w:eastAsia="細明體" w:hAnsi="Calibri" w:hint="eastAsia"/>
                <w:sz w:val="17"/>
                <w:szCs w:val="17"/>
                <w:lang w:val="en-US" w:eastAsia="zh-TW"/>
              </w:rPr>
              <w:t>(f)</w:t>
            </w:r>
            <w:r w:rsidRPr="005171C5">
              <w:rPr>
                <w:rFonts w:ascii="Calibri" w:eastAsia="細明體" w:hAnsi="Calibri" w:hint="eastAsia"/>
                <w:sz w:val="17"/>
                <w:szCs w:val="17"/>
                <w:lang w:val="en-US" w:eastAsia="zh-HK"/>
              </w:rPr>
              <w:t xml:space="preserve"> </w:t>
            </w:r>
            <w:r w:rsidRPr="005171C5">
              <w:rPr>
                <w:rFonts w:ascii="Calibri" w:eastAsia="細明體" w:hAnsi="Calibri" w:hint="eastAsia"/>
                <w:sz w:val="17"/>
                <w:szCs w:val="17"/>
                <w:lang w:val="en-US" w:eastAsia="zh-HK"/>
              </w:rPr>
              <w:t>欄</w:t>
            </w:r>
            <w:r w:rsidRPr="005171C5">
              <w:rPr>
                <w:rFonts w:ascii="Calibri" w:eastAsia="細明體" w:hAnsi="Calibri" w:hint="eastAsia"/>
                <w:sz w:val="17"/>
                <w:szCs w:val="17"/>
                <w:lang w:val="en-US" w:eastAsia="zh-TW"/>
              </w:rPr>
              <w:t>填報有關數字（如適用）</w:t>
            </w:r>
            <w:proofErr w:type="gramStart"/>
            <w:r w:rsidRPr="005171C5">
              <w:rPr>
                <w:rFonts w:ascii="Calibri" w:eastAsia="細明體" w:hAnsi="Calibri" w:hint="eastAsia"/>
                <w:sz w:val="17"/>
                <w:szCs w:val="17"/>
                <w:lang w:val="en-US" w:eastAsia="zh-TW"/>
              </w:rPr>
              <w:t>。</w:t>
            </w:r>
            <w:r w:rsidRPr="005171C5">
              <w:rPr>
                <w:rFonts w:ascii="Calibri" w:eastAsia="新細明體" w:hAnsi="Calibri"/>
                <w:sz w:val="17"/>
                <w:szCs w:val="17"/>
                <w:lang w:eastAsia="zh-TW"/>
              </w:rPr>
              <w:t>[</w:t>
            </w:r>
            <w:proofErr w:type="gramEnd"/>
            <w:r w:rsidRPr="005171C5">
              <w:rPr>
                <w:rFonts w:ascii="Calibri" w:eastAsia="新細明體" w:hAnsi="Calibri"/>
                <w:sz w:val="17"/>
                <w:szCs w:val="17"/>
                <w:lang w:eastAsia="zh-TW"/>
              </w:rPr>
              <w:t>CCR1: 1/f]</w:t>
            </w:r>
            <w:r w:rsidRPr="005171C5">
              <w:rPr>
                <w:rFonts w:ascii="Calibri" w:eastAsia="細明體" w:hAnsi="Calibri" w:hint="eastAsia"/>
                <w:sz w:val="17"/>
                <w:szCs w:val="17"/>
                <w:lang w:val="en-US" w:eastAsia="zh-CN"/>
              </w:rPr>
              <w:t>的值應相等於</w:t>
            </w:r>
            <w:r w:rsidRPr="005171C5">
              <w:rPr>
                <w:rFonts w:ascii="Calibri" w:eastAsia="新細明體" w:hAnsi="Calibri"/>
                <w:sz w:val="17"/>
                <w:szCs w:val="17"/>
                <w:lang w:eastAsia="zh-TW"/>
              </w:rPr>
              <w:t>[OV1: 7/a]</w:t>
            </w:r>
            <w:r w:rsidRPr="005171C5">
              <w:rPr>
                <w:rFonts w:ascii="Calibri" w:eastAsia="細明體" w:hAnsi="Calibri" w:hint="eastAsia"/>
                <w:sz w:val="17"/>
                <w:szCs w:val="17"/>
                <w:lang w:val="en-US" w:eastAsia="zh-CN"/>
              </w:rPr>
              <w:t>的值。</w:t>
            </w:r>
          </w:p>
        </w:tc>
      </w:tr>
      <w:tr w:rsidR="005171C5" w:rsidRPr="005171C5" w14:paraId="561CEF7C" w14:textId="77777777" w:rsidTr="005171C5">
        <w:tc>
          <w:tcPr>
            <w:tcW w:w="425" w:type="dxa"/>
            <w:tcBorders>
              <w:top w:val="single" w:sz="4" w:space="0" w:color="000000"/>
              <w:left w:val="single" w:sz="4" w:space="0" w:color="000000"/>
              <w:bottom w:val="single" w:sz="4" w:space="0" w:color="000000"/>
            </w:tcBorders>
            <w:shd w:val="clear" w:color="auto" w:fill="auto"/>
          </w:tcPr>
          <w:p w14:paraId="6FF5B9CE"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1a</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40E61769"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171C5">
              <w:rPr>
                <w:rFonts w:ascii="Calibri" w:eastAsia="細明體" w:hAnsi="Calibri" w:hint="eastAsia"/>
                <w:i/>
                <w:sz w:val="17"/>
                <w:szCs w:val="17"/>
                <w:lang w:eastAsia="zh-TW"/>
              </w:rPr>
              <w:t>現行風險承擔方法（對於衍生工具合約）</w:t>
            </w:r>
            <w:r w:rsidRPr="005171C5">
              <w:rPr>
                <w:rFonts w:ascii="Calibri" w:eastAsia="細明體" w:hAnsi="Calibri" w:hint="eastAsia"/>
                <w:sz w:val="17"/>
                <w:szCs w:val="17"/>
                <w:lang w:eastAsia="zh-TW"/>
              </w:rPr>
              <w:t>：</w:t>
            </w:r>
            <w:r w:rsidRPr="005171C5">
              <w:rPr>
                <w:rFonts w:ascii="Calibri" w:eastAsia="細明體" w:hAnsi="Calibri" w:hint="eastAsia"/>
                <w:sz w:val="17"/>
                <w:szCs w:val="17"/>
                <w:lang w:val="en-US" w:eastAsia="zh-TW"/>
              </w:rPr>
              <w:t>認可機構如使用</w:t>
            </w:r>
            <w:r w:rsidRPr="005171C5">
              <w:rPr>
                <w:rFonts w:ascii="Calibri" w:eastAsia="細明體" w:hAnsi="Calibri" w:hint="eastAsia"/>
                <w:sz w:val="17"/>
                <w:szCs w:val="17"/>
                <w:lang w:eastAsia="zh-TW"/>
              </w:rPr>
              <w:t>現行風險承擔方法</w:t>
            </w:r>
            <w:r w:rsidRPr="005171C5">
              <w:rPr>
                <w:rFonts w:ascii="Calibri" w:eastAsia="細明體" w:hAnsi="Calibri" w:hint="eastAsia"/>
                <w:sz w:val="17"/>
                <w:szCs w:val="17"/>
                <w:lang w:val="en-US" w:eastAsia="zh-TW"/>
              </w:rPr>
              <w:t>計算衍生工具合約</w:t>
            </w:r>
            <w:proofErr w:type="gramStart"/>
            <w:r w:rsidRPr="005171C5">
              <w:rPr>
                <w:rFonts w:ascii="Calibri" w:eastAsia="細明體" w:hAnsi="Calibri" w:hint="eastAsia"/>
                <w:sz w:val="17"/>
                <w:szCs w:val="17"/>
                <w:lang w:val="en-US" w:eastAsia="zh-HK"/>
              </w:rPr>
              <w:t>的</w:t>
            </w:r>
            <w:r w:rsidRPr="005171C5">
              <w:rPr>
                <w:rFonts w:ascii="Calibri" w:eastAsia="細明體" w:hAnsi="Calibri" w:hint="eastAsia"/>
                <w:sz w:val="17"/>
                <w:szCs w:val="17"/>
                <w:lang w:val="en-US" w:eastAsia="zh-TW"/>
              </w:rPr>
              <w:t>違責風險</w:t>
            </w:r>
            <w:proofErr w:type="gramEnd"/>
            <w:r w:rsidRPr="005171C5">
              <w:rPr>
                <w:rFonts w:ascii="Calibri" w:eastAsia="細明體" w:hAnsi="Calibri" w:hint="eastAsia"/>
                <w:sz w:val="17"/>
                <w:szCs w:val="17"/>
                <w:lang w:val="en-US" w:eastAsia="zh-TW"/>
              </w:rPr>
              <w:t>的風險承擔，則應在</w:t>
            </w:r>
            <w:r w:rsidRPr="005171C5">
              <w:rPr>
                <w:rFonts w:ascii="Calibri" w:eastAsia="細明體" w:hAnsi="Calibri"/>
                <w:sz w:val="17"/>
                <w:szCs w:val="17"/>
                <w:lang w:val="en-US" w:eastAsia="zh-TW"/>
              </w:rPr>
              <w:t>(a)</w:t>
            </w:r>
            <w:r w:rsidRPr="005171C5">
              <w:rPr>
                <w:rFonts w:ascii="Calibri" w:eastAsia="細明體" w:hAnsi="Calibri" w:hint="eastAsia"/>
                <w:sz w:val="17"/>
                <w:szCs w:val="17"/>
                <w:lang w:val="en-US" w:eastAsia="zh-TW"/>
              </w:rPr>
              <w:t>至</w:t>
            </w:r>
            <w:r w:rsidRPr="005171C5">
              <w:rPr>
                <w:rFonts w:ascii="Calibri" w:eastAsia="細明體" w:hAnsi="Calibri"/>
                <w:sz w:val="17"/>
                <w:szCs w:val="17"/>
                <w:lang w:val="en-US" w:eastAsia="zh-TW"/>
              </w:rPr>
              <w:t>(f)</w:t>
            </w:r>
            <w:r w:rsidRPr="005171C5">
              <w:rPr>
                <w:rFonts w:ascii="Calibri" w:eastAsia="細明體" w:hAnsi="Calibri"/>
                <w:sz w:val="17"/>
                <w:szCs w:val="17"/>
                <w:lang w:val="en-US" w:eastAsia="zh-TW"/>
              </w:rPr>
              <w:t>欄</w:t>
            </w:r>
            <w:r w:rsidRPr="005171C5">
              <w:rPr>
                <w:rFonts w:ascii="Calibri" w:eastAsia="細明體" w:hAnsi="Calibri" w:hint="eastAsia"/>
                <w:sz w:val="17"/>
                <w:szCs w:val="17"/>
                <w:lang w:val="en-US" w:eastAsia="zh-TW"/>
              </w:rPr>
              <w:t>填報有關數字（如適用）。</w:t>
            </w:r>
            <w:r w:rsidRPr="005171C5">
              <w:rPr>
                <w:rFonts w:ascii="Calibri" w:eastAsia="新細明體" w:hAnsi="Calibri"/>
                <w:sz w:val="17"/>
                <w:szCs w:val="17"/>
                <w:lang w:eastAsia="zh-TW"/>
              </w:rPr>
              <w:t>[CCR1: 1a/</w:t>
            </w:r>
            <w:proofErr w:type="gramStart"/>
            <w:r w:rsidRPr="005171C5">
              <w:rPr>
                <w:rFonts w:ascii="Calibri" w:eastAsia="新細明體" w:hAnsi="Calibri"/>
                <w:sz w:val="17"/>
                <w:szCs w:val="17"/>
                <w:lang w:eastAsia="zh-TW"/>
              </w:rPr>
              <w:t>f]</w:t>
            </w:r>
            <w:r w:rsidRPr="005171C5">
              <w:rPr>
                <w:rFonts w:ascii="Calibri" w:eastAsia="細明體" w:hAnsi="Calibri" w:hint="eastAsia"/>
                <w:sz w:val="17"/>
                <w:szCs w:val="17"/>
                <w:lang w:val="en-US" w:eastAsia="zh-CN"/>
              </w:rPr>
              <w:t>的值應相等於</w:t>
            </w:r>
            <w:proofErr w:type="gramEnd"/>
            <w:r w:rsidRPr="005171C5">
              <w:rPr>
                <w:rFonts w:ascii="Calibri" w:eastAsia="新細明體" w:hAnsi="Calibri"/>
                <w:sz w:val="17"/>
                <w:szCs w:val="17"/>
                <w:lang w:eastAsia="zh-TW"/>
              </w:rPr>
              <w:t>[OV1: 7a/a]</w:t>
            </w:r>
            <w:r w:rsidRPr="005171C5">
              <w:rPr>
                <w:rFonts w:ascii="Calibri" w:eastAsia="細明體" w:hAnsi="Calibri" w:hint="eastAsia"/>
                <w:sz w:val="17"/>
                <w:szCs w:val="17"/>
                <w:lang w:val="en-US" w:eastAsia="zh-CN"/>
              </w:rPr>
              <w:t>的值。</w:t>
            </w:r>
          </w:p>
        </w:tc>
      </w:tr>
      <w:tr w:rsidR="00D540EB" w:rsidRPr="005171C5" w14:paraId="0D3A43FB" w14:textId="77777777" w:rsidTr="005171C5">
        <w:tc>
          <w:tcPr>
            <w:tcW w:w="425" w:type="dxa"/>
            <w:tcBorders>
              <w:top w:val="single" w:sz="4" w:space="0" w:color="000000"/>
              <w:left w:val="single" w:sz="4" w:space="0" w:color="000000"/>
              <w:bottom w:val="single" w:sz="4" w:space="0" w:color="000000"/>
            </w:tcBorders>
            <w:shd w:val="clear" w:color="auto" w:fill="auto"/>
          </w:tcPr>
          <w:p w14:paraId="31586D69" w14:textId="29219FE6" w:rsidR="00D540EB" w:rsidRPr="005171C5" w:rsidRDefault="00826D50" w:rsidP="005171C5">
            <w:pPr>
              <w:keepLines/>
              <w:widowControl w:val="0"/>
              <w:tabs>
                <w:tab w:val="left" w:pos="150"/>
                <w:tab w:val="left" w:pos="397"/>
                <w:tab w:val="left" w:pos="794"/>
                <w:tab w:val="left" w:pos="1191"/>
              </w:tabs>
              <w:spacing w:before="20" w:after="20" w:line="259" w:lineRule="auto"/>
              <w:rPr>
                <w:rFonts w:ascii="Calibri" w:eastAsia="細明體" w:hAnsi="Calibri"/>
                <w:sz w:val="17"/>
                <w:szCs w:val="17"/>
                <w:lang w:eastAsia="zh-CN"/>
              </w:rPr>
            </w:pPr>
            <w:r w:rsidRPr="00D943CF">
              <w:rPr>
                <w:rFonts w:ascii="Calibri" w:eastAsia="細明體" w:hAnsi="Calibri" w:hint="eastAsia"/>
                <w:sz w:val="17"/>
                <w:szCs w:val="17"/>
                <w:lang w:eastAsia="zh-CN"/>
              </w:rPr>
              <w:t>1b</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286A332E" w14:textId="07F8E728" w:rsidR="00D540EB" w:rsidRPr="00D943CF" w:rsidRDefault="00C84D84" w:rsidP="00756347">
            <w:pPr>
              <w:keepLines/>
              <w:widowControl w:val="0"/>
              <w:tabs>
                <w:tab w:val="left" w:pos="150"/>
                <w:tab w:val="left" w:pos="397"/>
                <w:tab w:val="left" w:pos="794"/>
                <w:tab w:val="left" w:pos="1191"/>
              </w:tabs>
              <w:spacing w:before="20" w:after="20" w:line="259" w:lineRule="auto"/>
              <w:jc w:val="both"/>
              <w:rPr>
                <w:rFonts w:ascii="Calibri" w:eastAsia="細明體" w:hAnsi="Calibri"/>
                <w:sz w:val="17"/>
                <w:szCs w:val="17"/>
                <w:lang w:val="en-US" w:eastAsia="zh-TW"/>
              </w:rPr>
            </w:pPr>
            <w:r w:rsidRPr="00C84D84">
              <w:rPr>
                <w:rFonts w:ascii="細明體" w:eastAsia="細明體" w:hAnsi="細明體" w:cs="Segoe UI" w:hint="eastAsia"/>
                <w:i/>
                <w:sz w:val="17"/>
                <w:szCs w:val="17"/>
                <w:lang w:eastAsia="zh-TW"/>
              </w:rPr>
              <w:t>適用於</w:t>
            </w:r>
            <w:r w:rsidR="00826D50" w:rsidRPr="00DB1ECE">
              <w:rPr>
                <w:rFonts w:ascii="細明體" w:eastAsia="細明體" w:hAnsi="細明體" w:cs="Segoe UI" w:hint="eastAsia"/>
                <w:i/>
                <w:sz w:val="17"/>
                <w:szCs w:val="17"/>
                <w:lang w:eastAsia="zh-TW"/>
              </w:rPr>
              <w:t>第</w:t>
            </w:r>
            <w:r w:rsidR="00826D50" w:rsidRPr="00D943CF">
              <w:rPr>
                <w:rFonts w:eastAsia="細明體" w:cs="Segoe UI"/>
                <w:i/>
                <w:sz w:val="17"/>
                <w:szCs w:val="17"/>
                <w:lang w:eastAsia="ar-SA"/>
              </w:rPr>
              <w:t>2b</w:t>
            </w:r>
            <w:r w:rsidR="00826D50" w:rsidRPr="00DB1ECE">
              <w:rPr>
                <w:rFonts w:ascii="細明體" w:eastAsia="細明體" w:hAnsi="細明體" w:cs="Segoe UI" w:hint="eastAsia"/>
                <w:i/>
                <w:sz w:val="17"/>
                <w:szCs w:val="17"/>
                <w:lang w:eastAsia="zh-TW"/>
              </w:rPr>
              <w:t>組加密資產衍生工具合約的方法</w:t>
            </w:r>
            <w:r w:rsidR="00826D50" w:rsidRPr="00756347">
              <w:rPr>
                <w:rFonts w:ascii="Calibri" w:eastAsia="細明體" w:hAnsi="Calibri" w:hint="eastAsia"/>
                <w:sz w:val="17"/>
                <w:szCs w:val="17"/>
                <w:lang w:val="en-US" w:eastAsia="zh-TW"/>
              </w:rPr>
              <w:t>：</w:t>
            </w:r>
            <w:r w:rsidR="005A2F48" w:rsidRPr="00DE31CA">
              <w:rPr>
                <w:rFonts w:ascii="Calibri" w:eastAsia="細明體" w:hAnsi="Calibri" w:hint="eastAsia"/>
                <w:sz w:val="17"/>
                <w:szCs w:val="17"/>
                <w:lang w:val="en-US" w:eastAsia="zh-HK"/>
              </w:rPr>
              <w:t>按</w:t>
            </w:r>
            <w:r w:rsidR="005A2F48" w:rsidRPr="00DE31CA">
              <w:rPr>
                <w:rFonts w:ascii="Calibri" w:eastAsia="細明體" w:hAnsi="Calibri" w:hint="eastAsia"/>
                <w:sz w:val="17"/>
                <w:szCs w:val="17"/>
                <w:lang w:val="en-US" w:eastAsia="zh-TW"/>
              </w:rPr>
              <w:t>《資本規則》第</w:t>
            </w:r>
            <w:r w:rsidR="005A2F48" w:rsidRPr="00DE31CA">
              <w:rPr>
                <w:rFonts w:ascii="Calibri" w:eastAsia="細明體" w:hAnsi="Calibri"/>
                <w:sz w:val="17"/>
                <w:szCs w:val="17"/>
                <w:lang w:val="en-US" w:eastAsia="zh-TW"/>
              </w:rPr>
              <w:t>377</w:t>
            </w:r>
            <w:r w:rsidR="005A2F48" w:rsidRPr="00DE31CA">
              <w:rPr>
                <w:rFonts w:ascii="Calibri" w:eastAsia="細明體" w:hAnsi="Calibri" w:hint="eastAsia"/>
                <w:sz w:val="17"/>
                <w:szCs w:val="17"/>
                <w:lang w:val="en-US" w:eastAsia="zh-TW"/>
              </w:rPr>
              <w:t>條</w:t>
            </w:r>
            <w:r w:rsidR="005A2F48" w:rsidRPr="00DE31CA">
              <w:rPr>
                <w:rFonts w:ascii="Calibri" w:eastAsia="細明體" w:hAnsi="Calibri" w:hint="eastAsia"/>
                <w:sz w:val="17"/>
                <w:szCs w:val="17"/>
                <w:lang w:val="en-US" w:eastAsia="zh-HK"/>
              </w:rPr>
              <w:t>的方法</w:t>
            </w:r>
            <w:r w:rsidR="005A2F48" w:rsidRPr="00DE31CA">
              <w:rPr>
                <w:rFonts w:ascii="Calibri" w:eastAsia="細明體" w:hAnsi="Calibri" w:hint="eastAsia"/>
                <w:sz w:val="17"/>
                <w:szCs w:val="17"/>
                <w:lang w:val="en-US" w:eastAsia="zh-TW"/>
              </w:rPr>
              <w:t>計算</w:t>
            </w:r>
            <w:r w:rsidR="005A2F48" w:rsidRPr="00DE31CA">
              <w:rPr>
                <w:rFonts w:ascii="Calibri" w:eastAsia="細明體" w:hAnsi="Calibri" w:hint="eastAsia"/>
                <w:sz w:val="17"/>
                <w:szCs w:val="17"/>
                <w:lang w:val="en-US" w:eastAsia="zh-HK"/>
              </w:rPr>
              <w:t>的</w:t>
            </w:r>
            <w:r w:rsidR="005A2F48" w:rsidRPr="00DE31CA">
              <w:rPr>
                <w:rFonts w:ascii="Calibri" w:eastAsia="細明體" w:hAnsi="Calibri" w:hint="eastAsia"/>
                <w:sz w:val="17"/>
                <w:szCs w:val="17"/>
                <w:lang w:eastAsia="zh-TW"/>
              </w:rPr>
              <w:t>、</w:t>
            </w:r>
            <w:r w:rsidR="005A2F48" w:rsidRPr="00914B8E">
              <w:rPr>
                <w:rFonts w:ascii="Calibri" w:eastAsia="細明體" w:hAnsi="Calibri" w:hint="eastAsia"/>
                <w:sz w:val="17"/>
                <w:szCs w:val="17"/>
                <w:lang w:val="en-US" w:eastAsia="zh-TW"/>
              </w:rPr>
              <w:t>第</w:t>
            </w:r>
            <w:r w:rsidR="005A2F48" w:rsidRPr="00DB1ECE">
              <w:rPr>
                <w:rFonts w:eastAsia="細明體" w:cs="Segoe UI"/>
                <w:sz w:val="17"/>
                <w:szCs w:val="17"/>
                <w:lang w:val="en-US" w:eastAsia="zh-TW"/>
              </w:rPr>
              <w:t>2b</w:t>
            </w:r>
            <w:r w:rsidR="005A2F48">
              <w:rPr>
                <w:rFonts w:ascii="Calibri" w:eastAsia="細明體" w:hAnsi="Calibri" w:hint="eastAsia"/>
                <w:sz w:val="17"/>
                <w:szCs w:val="17"/>
                <w:lang w:val="en-US" w:eastAsia="zh-HK"/>
              </w:rPr>
              <w:t>組</w:t>
            </w:r>
            <w:r w:rsidR="005A2F48" w:rsidRPr="007B61A7">
              <w:rPr>
                <w:rFonts w:ascii="Calibri" w:eastAsia="細明體" w:hAnsi="Calibri" w:hint="eastAsia"/>
                <w:sz w:val="17"/>
                <w:szCs w:val="17"/>
                <w:lang w:val="en-US" w:eastAsia="zh-TW"/>
              </w:rPr>
              <w:t>加密資產衍生工具合約的</w:t>
            </w:r>
            <w:r w:rsidR="005A2F48" w:rsidRPr="00914B8E">
              <w:rPr>
                <w:rFonts w:ascii="Calibri" w:eastAsia="細明體" w:hAnsi="Calibri" w:hint="eastAsia"/>
                <w:sz w:val="17"/>
                <w:szCs w:val="17"/>
                <w:lang w:val="en-US" w:eastAsia="zh-TW"/>
              </w:rPr>
              <w:t>違</w:t>
            </w:r>
            <w:r w:rsidR="005A2F48" w:rsidRPr="005171C5">
              <w:rPr>
                <w:rFonts w:ascii="Calibri" w:eastAsia="細明體" w:hAnsi="Calibri" w:hint="eastAsia"/>
                <w:sz w:val="17"/>
                <w:szCs w:val="17"/>
                <w:lang w:eastAsia="zh-TW"/>
              </w:rPr>
              <w:t>責</w:t>
            </w:r>
            <w:r w:rsidR="005A2F48" w:rsidRPr="00914B8E">
              <w:rPr>
                <w:rFonts w:ascii="Calibri" w:eastAsia="細明體" w:hAnsi="Calibri" w:hint="eastAsia"/>
                <w:sz w:val="17"/>
                <w:szCs w:val="17"/>
                <w:lang w:val="en-US" w:eastAsia="zh-TW"/>
              </w:rPr>
              <w:t>風險</w:t>
            </w:r>
            <w:r w:rsidR="005A2F48" w:rsidRPr="005171C5">
              <w:rPr>
                <w:rFonts w:ascii="Calibri" w:eastAsia="細明體" w:hAnsi="Calibri" w:hint="eastAsia"/>
                <w:sz w:val="17"/>
                <w:szCs w:val="17"/>
                <w:lang w:val="en-US" w:eastAsia="zh-TW"/>
              </w:rPr>
              <w:t>的</w:t>
            </w:r>
            <w:r w:rsidR="005A2F48" w:rsidRPr="007B61A7">
              <w:rPr>
                <w:rFonts w:ascii="Calibri" w:eastAsia="細明體" w:hAnsi="Calibri" w:hint="eastAsia"/>
                <w:sz w:val="17"/>
                <w:szCs w:val="17"/>
                <w:lang w:val="en-US" w:eastAsia="zh-TW"/>
              </w:rPr>
              <w:t>風險承擔</w:t>
            </w:r>
            <w:r w:rsidR="00826D50" w:rsidRPr="007B61A7">
              <w:rPr>
                <w:rFonts w:ascii="Calibri" w:eastAsia="細明體" w:hAnsi="Calibri" w:hint="eastAsia"/>
                <w:sz w:val="17"/>
                <w:szCs w:val="17"/>
                <w:lang w:val="en-US" w:eastAsia="zh-TW"/>
              </w:rPr>
              <w:t>。</w:t>
            </w:r>
            <w:r w:rsidR="00826D50" w:rsidRPr="007B61A7">
              <w:rPr>
                <w:rFonts w:ascii="Calibri" w:eastAsia="細明體" w:hAnsi="Calibri"/>
                <w:sz w:val="17"/>
                <w:szCs w:val="17"/>
                <w:lang w:val="en-US" w:eastAsia="zh-TW"/>
              </w:rPr>
              <w:t>[CCR1:1b/</w:t>
            </w:r>
            <w:proofErr w:type="gramStart"/>
            <w:r w:rsidR="00826D50" w:rsidRPr="007B61A7">
              <w:rPr>
                <w:rFonts w:ascii="Calibri" w:eastAsia="細明體" w:hAnsi="Calibri"/>
                <w:sz w:val="17"/>
                <w:szCs w:val="17"/>
                <w:lang w:val="en-US" w:eastAsia="zh-TW"/>
              </w:rPr>
              <w:t>f]</w:t>
            </w:r>
            <w:r w:rsidR="002816A8" w:rsidRPr="007B61A7">
              <w:rPr>
                <w:rFonts w:ascii="Calibri" w:eastAsia="細明體" w:hAnsi="Calibri" w:hint="eastAsia"/>
                <w:sz w:val="17"/>
                <w:szCs w:val="17"/>
                <w:lang w:val="en-US" w:eastAsia="zh-TW"/>
              </w:rPr>
              <w:t>的值應相等於</w:t>
            </w:r>
            <w:proofErr w:type="gramEnd"/>
            <w:r w:rsidR="00826D50" w:rsidRPr="007B61A7">
              <w:rPr>
                <w:rFonts w:ascii="Calibri" w:eastAsia="細明體" w:hAnsi="Calibri"/>
                <w:sz w:val="17"/>
                <w:szCs w:val="17"/>
                <w:lang w:val="en-US" w:eastAsia="zh-TW"/>
              </w:rPr>
              <w:t>[OV1:8a/a]</w:t>
            </w:r>
            <w:r w:rsidR="002816A8" w:rsidRPr="007B61A7">
              <w:rPr>
                <w:rFonts w:ascii="Calibri" w:eastAsia="細明體" w:hAnsi="Calibri" w:hint="eastAsia"/>
                <w:sz w:val="17"/>
                <w:szCs w:val="17"/>
                <w:lang w:val="en-US" w:eastAsia="zh-TW"/>
              </w:rPr>
              <w:t>的值</w:t>
            </w:r>
            <w:r w:rsidR="00826D50" w:rsidRPr="007B61A7">
              <w:rPr>
                <w:rFonts w:ascii="Calibri" w:eastAsia="細明體" w:hAnsi="Calibri" w:hint="eastAsia"/>
                <w:sz w:val="17"/>
                <w:szCs w:val="17"/>
                <w:lang w:val="en-US" w:eastAsia="zh-TW"/>
              </w:rPr>
              <w:t>。</w:t>
            </w:r>
          </w:p>
        </w:tc>
      </w:tr>
      <w:tr w:rsidR="005171C5" w:rsidRPr="005171C5" w14:paraId="4EC08C77" w14:textId="77777777" w:rsidTr="005171C5">
        <w:tc>
          <w:tcPr>
            <w:tcW w:w="425" w:type="dxa"/>
            <w:tcBorders>
              <w:top w:val="single" w:sz="4" w:space="0" w:color="000000"/>
              <w:left w:val="single" w:sz="4" w:space="0" w:color="000000"/>
              <w:bottom w:val="single" w:sz="4" w:space="0" w:color="000000"/>
            </w:tcBorders>
            <w:shd w:val="clear" w:color="auto" w:fill="auto"/>
          </w:tcPr>
          <w:p w14:paraId="2F1C47CE"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2</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6AFB88EB"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171C5">
              <w:rPr>
                <w:rFonts w:ascii="Calibri" w:eastAsia="細明體" w:hAnsi="Calibri"/>
                <w:i/>
                <w:sz w:val="17"/>
                <w:szCs w:val="17"/>
                <w:lang w:eastAsia="zh-TW"/>
              </w:rPr>
              <w:t>IMM(CCR)</w:t>
            </w:r>
            <w:r w:rsidRPr="005171C5">
              <w:rPr>
                <w:rFonts w:ascii="Calibri" w:eastAsia="細明體" w:hAnsi="Calibri" w:hint="eastAsia"/>
                <w:i/>
                <w:sz w:val="17"/>
                <w:szCs w:val="17"/>
                <w:lang w:eastAsia="zh-TW"/>
              </w:rPr>
              <w:t>計算法</w:t>
            </w:r>
            <w:r w:rsidRPr="005171C5">
              <w:rPr>
                <w:rFonts w:ascii="Calibri" w:eastAsia="細明體" w:hAnsi="Calibri" w:hint="eastAsia"/>
                <w:sz w:val="17"/>
                <w:szCs w:val="17"/>
                <w:lang w:eastAsia="zh-TW"/>
              </w:rPr>
              <w:t>：涵義見</w:t>
            </w:r>
            <w:r w:rsidRPr="005171C5">
              <w:rPr>
                <w:rFonts w:ascii="Calibri" w:eastAsia="細明體" w:hAnsi="Calibri"/>
                <w:sz w:val="17"/>
                <w:szCs w:val="17"/>
                <w:lang w:eastAsia="zh-TW"/>
              </w:rPr>
              <w:t>《資本規則》</w:t>
            </w:r>
            <w:proofErr w:type="gramStart"/>
            <w:r w:rsidRPr="005171C5">
              <w:rPr>
                <w:rFonts w:ascii="Calibri" w:eastAsia="細明體" w:hAnsi="Calibri" w:hint="eastAsia"/>
                <w:sz w:val="17"/>
                <w:szCs w:val="17"/>
                <w:lang w:eastAsia="zh-TW"/>
              </w:rPr>
              <w:t>。</w:t>
            </w:r>
            <w:r w:rsidRPr="005171C5">
              <w:rPr>
                <w:rFonts w:ascii="Calibri" w:eastAsia="新細明體" w:hAnsi="Calibri"/>
                <w:sz w:val="17"/>
                <w:szCs w:val="17"/>
                <w:lang w:eastAsia="zh-TW"/>
              </w:rPr>
              <w:t>[</w:t>
            </w:r>
            <w:proofErr w:type="gramEnd"/>
            <w:r w:rsidRPr="005171C5">
              <w:rPr>
                <w:rFonts w:ascii="Calibri" w:eastAsia="新細明體" w:hAnsi="Calibri"/>
                <w:sz w:val="17"/>
                <w:szCs w:val="17"/>
                <w:lang w:eastAsia="zh-TW"/>
              </w:rPr>
              <w:t>CCR1: 2/f]</w:t>
            </w:r>
            <w:r w:rsidRPr="005171C5">
              <w:rPr>
                <w:rFonts w:ascii="Calibri" w:eastAsia="細明體" w:hAnsi="Calibri" w:hint="eastAsia"/>
                <w:sz w:val="17"/>
                <w:szCs w:val="17"/>
                <w:lang w:val="en-US" w:eastAsia="zh-CN"/>
              </w:rPr>
              <w:t>的值應相等於</w:t>
            </w:r>
            <w:r w:rsidRPr="005171C5">
              <w:rPr>
                <w:rFonts w:ascii="Calibri" w:eastAsia="細明體" w:hAnsi="Calibri" w:hint="eastAsia"/>
                <w:sz w:val="17"/>
                <w:szCs w:val="17"/>
                <w:lang w:val="en-US" w:eastAsia="zh-TW"/>
              </w:rPr>
              <w:t>[CCR7:</w:t>
            </w:r>
            <w:r w:rsidRPr="005171C5">
              <w:rPr>
                <w:rFonts w:ascii="Calibri" w:eastAsia="細明體" w:hAnsi="Calibri"/>
                <w:sz w:val="17"/>
                <w:szCs w:val="17"/>
                <w:lang w:val="en-US" w:eastAsia="zh-CN"/>
              </w:rPr>
              <w:t xml:space="preserve"> </w:t>
            </w:r>
            <w:r w:rsidRPr="005171C5">
              <w:rPr>
                <w:rFonts w:ascii="Calibri" w:eastAsia="細明體" w:hAnsi="Calibri" w:hint="eastAsia"/>
                <w:sz w:val="17"/>
                <w:szCs w:val="17"/>
                <w:lang w:val="en-US" w:eastAsia="zh-TW"/>
              </w:rPr>
              <w:t>9/</w:t>
            </w:r>
            <w:r w:rsidRPr="005171C5">
              <w:rPr>
                <w:rFonts w:ascii="Calibri" w:eastAsia="細明體" w:hAnsi="Calibri"/>
                <w:sz w:val="17"/>
                <w:szCs w:val="17"/>
                <w:lang w:val="en-US" w:eastAsia="zh-CN"/>
              </w:rPr>
              <w:t>a]</w:t>
            </w:r>
            <w:r w:rsidRPr="005171C5">
              <w:rPr>
                <w:rFonts w:ascii="Calibri" w:eastAsia="細明體" w:hAnsi="Calibri" w:hint="eastAsia"/>
                <w:sz w:val="17"/>
                <w:szCs w:val="17"/>
                <w:lang w:val="en-US" w:eastAsia="zh-HK"/>
              </w:rPr>
              <w:t>及</w:t>
            </w:r>
            <w:r w:rsidRPr="005171C5">
              <w:rPr>
                <w:rFonts w:ascii="Calibri" w:eastAsia="新細明體" w:hAnsi="Calibri"/>
                <w:sz w:val="17"/>
                <w:szCs w:val="17"/>
                <w:lang w:eastAsia="zh-TW"/>
              </w:rPr>
              <w:t>[OV1: 8/a]</w:t>
            </w:r>
            <w:r w:rsidRPr="005171C5">
              <w:rPr>
                <w:rFonts w:ascii="Calibri" w:eastAsia="細明體" w:hAnsi="Calibri" w:hint="eastAsia"/>
                <w:sz w:val="17"/>
                <w:szCs w:val="17"/>
                <w:lang w:val="en-US" w:eastAsia="zh-CN"/>
              </w:rPr>
              <w:t>的值。</w:t>
            </w:r>
          </w:p>
        </w:tc>
      </w:tr>
      <w:tr w:rsidR="005171C5" w:rsidRPr="005171C5" w14:paraId="65EFDEE5" w14:textId="77777777" w:rsidTr="005171C5">
        <w:tc>
          <w:tcPr>
            <w:tcW w:w="425" w:type="dxa"/>
            <w:tcBorders>
              <w:top w:val="single" w:sz="4" w:space="0" w:color="000000"/>
              <w:left w:val="single" w:sz="4" w:space="0" w:color="000000"/>
              <w:bottom w:val="single" w:sz="4" w:space="0" w:color="000000"/>
            </w:tcBorders>
            <w:shd w:val="clear" w:color="auto" w:fill="auto"/>
          </w:tcPr>
          <w:p w14:paraId="4BD99D0D"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3</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766AE42B" w14:textId="5528E956" w:rsidR="005171C5" w:rsidRPr="005171C5" w:rsidRDefault="005171C5" w:rsidP="005171C5">
            <w:pPr>
              <w:spacing w:after="160" w:line="259" w:lineRule="auto"/>
              <w:rPr>
                <w:rFonts w:ascii="Calibri" w:eastAsia="細明體" w:hAnsi="Calibri"/>
                <w:sz w:val="17"/>
                <w:szCs w:val="17"/>
                <w:lang w:eastAsia="zh-TW"/>
              </w:rPr>
            </w:pPr>
            <w:r w:rsidRPr="005171C5">
              <w:rPr>
                <w:rFonts w:ascii="Calibri" w:eastAsia="細明體" w:hAnsi="Calibri" w:hint="eastAsia"/>
                <w:i/>
                <w:sz w:val="17"/>
                <w:szCs w:val="17"/>
                <w:lang w:eastAsia="zh-TW"/>
              </w:rPr>
              <w:t>簡易方法（對於</w:t>
            </w:r>
            <w:r w:rsidRPr="005171C5">
              <w:rPr>
                <w:rFonts w:eastAsia="細明體" w:cs="Segoe UI"/>
                <w:i/>
                <w:sz w:val="17"/>
                <w:szCs w:val="17"/>
                <w:lang w:eastAsia="zh-TW"/>
              </w:rPr>
              <w:t>SFT</w:t>
            </w:r>
            <w:r w:rsidRPr="005171C5">
              <w:rPr>
                <w:rFonts w:ascii="Calibri" w:eastAsia="細明體" w:hAnsi="Calibri" w:hint="eastAsia"/>
                <w:i/>
                <w:sz w:val="17"/>
                <w:szCs w:val="17"/>
                <w:lang w:eastAsia="zh-TW"/>
              </w:rPr>
              <w:t>）</w:t>
            </w:r>
            <w:r w:rsidRPr="005171C5">
              <w:rPr>
                <w:rFonts w:ascii="Calibri" w:eastAsia="細明體" w:hAnsi="Calibri" w:hint="eastAsia"/>
                <w:sz w:val="17"/>
                <w:szCs w:val="17"/>
                <w:lang w:eastAsia="zh-TW"/>
              </w:rPr>
              <w:t>：下述認可機構對</w:t>
            </w:r>
            <w:r w:rsidRPr="005171C5">
              <w:rPr>
                <w:rFonts w:eastAsia="細明體" w:cs="Segoe UI"/>
                <w:sz w:val="17"/>
                <w:szCs w:val="17"/>
                <w:lang w:eastAsia="zh-TW"/>
              </w:rPr>
              <w:t>SFT</w:t>
            </w:r>
            <w:r w:rsidRPr="005171C5">
              <w:rPr>
                <w:rFonts w:ascii="Calibri" w:eastAsia="細明體" w:hAnsi="Calibri" w:hint="eastAsia"/>
                <w:sz w:val="17"/>
                <w:szCs w:val="17"/>
                <w:lang w:eastAsia="zh-TW"/>
              </w:rPr>
              <w:t>的已將減低信用風險措施</w:t>
            </w:r>
            <w:r w:rsidRPr="005171C5">
              <w:rPr>
                <w:rFonts w:ascii="Calibri" w:eastAsia="細明體" w:hAnsi="Calibri" w:hint="eastAsia"/>
                <w:bCs/>
                <w:sz w:val="17"/>
                <w:szCs w:val="17"/>
                <w:lang w:eastAsia="zh-TW"/>
              </w:rPr>
              <w:t>計算在內</w:t>
            </w:r>
            <w:proofErr w:type="gramStart"/>
            <w:r w:rsidRPr="005171C5">
              <w:rPr>
                <w:rFonts w:ascii="Calibri" w:eastAsia="細明體" w:hAnsi="Calibri" w:hint="eastAsia"/>
                <w:sz w:val="17"/>
                <w:szCs w:val="17"/>
                <w:lang w:eastAsia="zh-TW"/>
              </w:rPr>
              <w:t>的違責風險</w:t>
            </w:r>
            <w:proofErr w:type="gramEnd"/>
            <w:r w:rsidRPr="005171C5">
              <w:rPr>
                <w:rFonts w:ascii="Calibri" w:eastAsia="細明體" w:hAnsi="Calibri" w:hint="eastAsia"/>
                <w:sz w:val="17"/>
                <w:szCs w:val="17"/>
                <w:lang w:eastAsia="zh-TW"/>
              </w:rPr>
              <w:t>的風險承擔及風險加權數額：</w:t>
            </w:r>
          </w:p>
          <w:p w14:paraId="7DC04DC3" w14:textId="1D8C7245" w:rsidR="005171C5" w:rsidRPr="005171C5" w:rsidRDefault="005171C5" w:rsidP="00D540EB">
            <w:pPr>
              <w:keepNext/>
              <w:numPr>
                <w:ilvl w:val="0"/>
                <w:numId w:val="46"/>
              </w:numPr>
              <w:suppressAutoHyphens/>
              <w:spacing w:before="40" w:after="40" w:line="259" w:lineRule="auto"/>
              <w:ind w:left="470" w:hanging="426"/>
              <w:jc w:val="both"/>
              <w:rPr>
                <w:rFonts w:eastAsia="細明體" w:cs="Segoe UI"/>
                <w:sz w:val="17"/>
                <w:szCs w:val="17"/>
                <w:lang w:eastAsia="ar-SA"/>
              </w:rPr>
            </w:pPr>
            <w:r w:rsidRPr="005171C5">
              <w:rPr>
                <w:rFonts w:eastAsia="細明體" w:cs="Segoe UI" w:hint="eastAsia"/>
                <w:sz w:val="17"/>
                <w:szCs w:val="17"/>
                <w:lang w:eastAsia="ar-SA"/>
              </w:rPr>
              <w:t>並非使用</w:t>
            </w:r>
            <w:r w:rsidRPr="005171C5">
              <w:rPr>
                <w:rFonts w:eastAsia="細明體" w:cs="Segoe UI"/>
                <w:sz w:val="17"/>
                <w:szCs w:val="17"/>
                <w:lang w:eastAsia="ar-SA"/>
              </w:rPr>
              <w:t>IMM(CCR)</w:t>
            </w:r>
            <w:r w:rsidRPr="005171C5">
              <w:rPr>
                <w:rFonts w:eastAsia="細明體" w:cs="Segoe UI" w:hint="eastAsia"/>
                <w:sz w:val="17"/>
                <w:szCs w:val="17"/>
                <w:lang w:eastAsia="ar-SA"/>
              </w:rPr>
              <w:t>計算法計算其對</w:t>
            </w:r>
            <w:r w:rsidRPr="005171C5">
              <w:rPr>
                <w:rFonts w:eastAsia="細明體" w:cs="Segoe UI" w:hint="eastAsia"/>
                <w:sz w:val="17"/>
                <w:szCs w:val="17"/>
                <w:lang w:eastAsia="ar-SA"/>
              </w:rPr>
              <w:t>SFT</w:t>
            </w:r>
            <w:r w:rsidRPr="005171C5">
              <w:rPr>
                <w:rFonts w:eastAsia="細明體" w:cs="Segoe UI" w:hint="eastAsia"/>
                <w:sz w:val="17"/>
                <w:szCs w:val="17"/>
                <w:lang w:eastAsia="ar-SA"/>
              </w:rPr>
              <w:t>的違責風險的風險承擔的認可機構；</w:t>
            </w:r>
          </w:p>
          <w:p w14:paraId="557433B1" w14:textId="3008755E" w:rsidR="005171C5" w:rsidRPr="005171C5" w:rsidRDefault="005171C5" w:rsidP="00D540EB">
            <w:pPr>
              <w:keepNext/>
              <w:numPr>
                <w:ilvl w:val="0"/>
                <w:numId w:val="46"/>
              </w:numPr>
              <w:suppressAutoHyphens/>
              <w:spacing w:before="40" w:after="40" w:line="259" w:lineRule="auto"/>
              <w:ind w:left="470" w:hanging="426"/>
              <w:jc w:val="both"/>
              <w:rPr>
                <w:rFonts w:eastAsia="細明體" w:cs="Segoe UI"/>
                <w:sz w:val="17"/>
                <w:szCs w:val="17"/>
                <w:lang w:eastAsia="ar-SA"/>
              </w:rPr>
            </w:pPr>
            <w:r w:rsidRPr="005171C5">
              <w:rPr>
                <w:rFonts w:eastAsia="細明體" w:cs="Segoe UI" w:hint="eastAsia"/>
                <w:sz w:val="17"/>
                <w:szCs w:val="17"/>
                <w:lang w:eastAsia="ar-SA"/>
              </w:rPr>
              <w:t>使用</w:t>
            </w:r>
            <w:r w:rsidRPr="005171C5">
              <w:rPr>
                <w:rFonts w:eastAsia="細明體" w:cs="Segoe UI"/>
                <w:sz w:val="17"/>
                <w:szCs w:val="17"/>
                <w:lang w:eastAsia="ar-SA"/>
              </w:rPr>
              <w:t>《資本規則》第</w:t>
            </w:r>
            <w:r w:rsidRPr="005171C5">
              <w:rPr>
                <w:rFonts w:eastAsia="細明體" w:cs="Segoe UI"/>
                <w:sz w:val="17"/>
                <w:szCs w:val="17"/>
                <w:lang w:eastAsia="ar-SA"/>
              </w:rPr>
              <w:t>4</w:t>
            </w:r>
            <w:r w:rsidRPr="005171C5">
              <w:rPr>
                <w:rFonts w:eastAsia="細明體" w:cs="Segoe UI"/>
                <w:sz w:val="17"/>
                <w:szCs w:val="17"/>
                <w:lang w:eastAsia="ar-SA"/>
              </w:rPr>
              <w:t>部列明的簡易方法或《資本規則》</w:t>
            </w:r>
            <w:r w:rsidRPr="005171C5">
              <w:rPr>
                <w:rFonts w:eastAsia="細明體" w:cs="Segoe UI" w:hint="eastAsia"/>
                <w:sz w:val="17"/>
                <w:szCs w:val="17"/>
                <w:lang w:eastAsia="ar-SA"/>
              </w:rPr>
              <w:t>第</w:t>
            </w:r>
            <w:r w:rsidRPr="005171C5">
              <w:rPr>
                <w:rFonts w:eastAsia="細明體" w:cs="Segoe UI"/>
                <w:sz w:val="17"/>
                <w:szCs w:val="17"/>
                <w:lang w:eastAsia="ar-SA"/>
              </w:rPr>
              <w:t>5</w:t>
            </w:r>
            <w:r w:rsidRPr="005171C5">
              <w:rPr>
                <w:rFonts w:eastAsia="細明體" w:cs="Segoe UI" w:hint="eastAsia"/>
                <w:sz w:val="17"/>
                <w:szCs w:val="17"/>
                <w:lang w:eastAsia="ar-SA"/>
              </w:rPr>
              <w:t>部列明的認可抵押品處理方法，以計及在</w:t>
            </w:r>
            <w:r w:rsidRPr="005171C5">
              <w:rPr>
                <w:rFonts w:eastAsia="細明體" w:cs="Segoe UI" w:hint="eastAsia"/>
                <w:sz w:val="17"/>
                <w:szCs w:val="17"/>
                <w:lang w:eastAsia="ar-SA"/>
              </w:rPr>
              <w:t>SFT</w:t>
            </w:r>
            <w:r w:rsidRPr="005171C5">
              <w:rPr>
                <w:rFonts w:eastAsia="細明體" w:cs="Segoe UI" w:hint="eastAsia"/>
                <w:sz w:val="17"/>
                <w:szCs w:val="17"/>
                <w:lang w:eastAsia="ar-SA"/>
              </w:rPr>
              <w:t>下收取的認可抵押品的認可機構。</w:t>
            </w:r>
          </w:p>
        </w:tc>
      </w:tr>
      <w:tr w:rsidR="005171C5" w:rsidRPr="005171C5" w14:paraId="0CBAA1A1" w14:textId="77777777" w:rsidTr="005171C5">
        <w:tc>
          <w:tcPr>
            <w:tcW w:w="425" w:type="dxa"/>
            <w:tcBorders>
              <w:top w:val="single" w:sz="4" w:space="0" w:color="000000"/>
              <w:left w:val="single" w:sz="4" w:space="0" w:color="000000"/>
              <w:bottom w:val="single" w:sz="4" w:space="0" w:color="000000"/>
            </w:tcBorders>
            <w:shd w:val="clear" w:color="auto" w:fill="auto"/>
          </w:tcPr>
          <w:p w14:paraId="3E46EFFA"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4</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42711C2B" w14:textId="323E39CF"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細明體" w:hAnsi="Calibri"/>
                <w:sz w:val="17"/>
                <w:szCs w:val="17"/>
                <w:lang w:eastAsia="zh-TW"/>
              </w:rPr>
            </w:pPr>
            <w:r w:rsidRPr="005171C5">
              <w:rPr>
                <w:rFonts w:ascii="Calibri" w:eastAsia="細明體" w:hAnsi="Calibri" w:hint="eastAsia"/>
                <w:i/>
                <w:sz w:val="17"/>
                <w:szCs w:val="17"/>
                <w:lang w:eastAsia="zh-TW"/>
              </w:rPr>
              <w:t>全面方法（對於</w:t>
            </w:r>
            <w:r w:rsidRPr="005171C5">
              <w:rPr>
                <w:rFonts w:eastAsia="細明體" w:cs="Segoe UI"/>
                <w:i/>
                <w:sz w:val="17"/>
                <w:szCs w:val="17"/>
                <w:lang w:eastAsia="zh-TW"/>
              </w:rPr>
              <w:t>SFT</w:t>
            </w:r>
            <w:r w:rsidRPr="005171C5">
              <w:rPr>
                <w:rFonts w:ascii="Calibri" w:eastAsia="細明體" w:hAnsi="Calibri" w:hint="eastAsia"/>
                <w:i/>
                <w:sz w:val="17"/>
                <w:szCs w:val="17"/>
                <w:lang w:eastAsia="zh-TW"/>
              </w:rPr>
              <w:t>）</w:t>
            </w:r>
            <w:r w:rsidRPr="005171C5">
              <w:rPr>
                <w:rFonts w:ascii="Calibri" w:eastAsia="細明體" w:hAnsi="Calibri" w:hint="eastAsia"/>
                <w:sz w:val="17"/>
                <w:szCs w:val="17"/>
                <w:lang w:eastAsia="zh-TW"/>
              </w:rPr>
              <w:t>：下述認可機構對</w:t>
            </w:r>
            <w:r w:rsidRPr="005171C5">
              <w:rPr>
                <w:rFonts w:eastAsia="細明體" w:cs="Segoe UI"/>
                <w:sz w:val="17"/>
                <w:szCs w:val="17"/>
                <w:lang w:eastAsia="zh-TW"/>
              </w:rPr>
              <w:t>SFT</w:t>
            </w:r>
            <w:r w:rsidRPr="005171C5">
              <w:rPr>
                <w:rFonts w:ascii="Calibri" w:eastAsia="細明體" w:hAnsi="Calibri" w:hint="eastAsia"/>
                <w:sz w:val="17"/>
                <w:szCs w:val="17"/>
                <w:lang w:eastAsia="zh-TW"/>
              </w:rPr>
              <w:t>的</w:t>
            </w:r>
            <w:r w:rsidR="00186F18" w:rsidRPr="00186F18">
              <w:rPr>
                <w:rFonts w:ascii="Calibri" w:eastAsia="細明體" w:hAnsi="Calibri" w:hint="eastAsia"/>
                <w:sz w:val="17"/>
                <w:szCs w:val="17"/>
                <w:lang w:eastAsia="zh-TW"/>
              </w:rPr>
              <w:t>、</w:t>
            </w:r>
            <w:r w:rsidRPr="005171C5">
              <w:rPr>
                <w:rFonts w:ascii="Calibri" w:eastAsia="細明體" w:hAnsi="Calibri" w:hint="eastAsia"/>
                <w:sz w:val="17"/>
                <w:szCs w:val="17"/>
                <w:lang w:eastAsia="zh-TW"/>
              </w:rPr>
              <w:t>已將減低信用風險措施計算在內</w:t>
            </w:r>
            <w:proofErr w:type="gramStart"/>
            <w:r w:rsidRPr="005171C5">
              <w:rPr>
                <w:rFonts w:ascii="Calibri" w:eastAsia="細明體" w:hAnsi="Calibri" w:hint="eastAsia"/>
                <w:sz w:val="17"/>
                <w:szCs w:val="17"/>
                <w:lang w:eastAsia="zh-TW"/>
              </w:rPr>
              <w:t>的違責風險</w:t>
            </w:r>
            <w:proofErr w:type="gramEnd"/>
            <w:r w:rsidRPr="005171C5">
              <w:rPr>
                <w:rFonts w:ascii="Calibri" w:eastAsia="細明體" w:hAnsi="Calibri" w:hint="eastAsia"/>
                <w:sz w:val="17"/>
                <w:szCs w:val="17"/>
                <w:lang w:eastAsia="zh-TW"/>
              </w:rPr>
              <w:t>的風險承擔及風險加權數額：</w:t>
            </w:r>
          </w:p>
          <w:p w14:paraId="08526901" w14:textId="183C8C8C" w:rsidR="005171C5" w:rsidRPr="005171C5" w:rsidRDefault="005171C5" w:rsidP="00D540EB">
            <w:pPr>
              <w:keepNext/>
              <w:numPr>
                <w:ilvl w:val="0"/>
                <w:numId w:val="46"/>
              </w:numPr>
              <w:suppressAutoHyphens/>
              <w:spacing w:before="40" w:after="40" w:line="259" w:lineRule="auto"/>
              <w:ind w:left="470" w:hanging="470"/>
              <w:jc w:val="both"/>
              <w:rPr>
                <w:rFonts w:eastAsia="細明體" w:cs="Segoe UI"/>
                <w:sz w:val="17"/>
                <w:szCs w:val="17"/>
                <w:lang w:eastAsia="ar-SA"/>
              </w:rPr>
            </w:pPr>
            <w:r w:rsidRPr="005171C5">
              <w:rPr>
                <w:rFonts w:eastAsia="細明體" w:cs="Segoe UI" w:hint="eastAsia"/>
                <w:sz w:val="17"/>
                <w:szCs w:val="17"/>
                <w:lang w:eastAsia="ar-SA"/>
              </w:rPr>
              <w:t>並非使用</w:t>
            </w:r>
            <w:r w:rsidRPr="005171C5">
              <w:rPr>
                <w:rFonts w:eastAsia="細明體" w:cs="Segoe UI"/>
                <w:sz w:val="17"/>
                <w:szCs w:val="17"/>
                <w:lang w:eastAsia="ar-SA"/>
              </w:rPr>
              <w:t>IMM(CCR)</w:t>
            </w:r>
            <w:r w:rsidRPr="005171C5">
              <w:rPr>
                <w:rFonts w:eastAsia="細明體" w:cs="Segoe UI" w:hint="eastAsia"/>
                <w:sz w:val="17"/>
                <w:szCs w:val="17"/>
                <w:lang w:eastAsia="ar-SA"/>
              </w:rPr>
              <w:t>計算法計算其對</w:t>
            </w:r>
            <w:r w:rsidRPr="005171C5">
              <w:rPr>
                <w:rFonts w:eastAsia="細明體" w:cs="Segoe UI" w:hint="eastAsia"/>
                <w:sz w:val="17"/>
                <w:szCs w:val="17"/>
                <w:lang w:eastAsia="ar-SA"/>
              </w:rPr>
              <w:t>SFT</w:t>
            </w:r>
            <w:r w:rsidRPr="005171C5">
              <w:rPr>
                <w:rFonts w:eastAsia="細明體" w:cs="Segoe UI" w:hint="eastAsia"/>
                <w:sz w:val="17"/>
                <w:szCs w:val="17"/>
                <w:lang w:eastAsia="ar-SA"/>
              </w:rPr>
              <w:t>的違責風險的風險承擔的認可機構；</w:t>
            </w:r>
          </w:p>
          <w:p w14:paraId="2A1F4A76" w14:textId="4FAD8419" w:rsidR="005171C5" w:rsidRDefault="005171C5" w:rsidP="00D540EB">
            <w:pPr>
              <w:keepNext/>
              <w:numPr>
                <w:ilvl w:val="0"/>
                <w:numId w:val="46"/>
              </w:numPr>
              <w:suppressAutoHyphens/>
              <w:spacing w:before="40" w:after="40" w:line="259" w:lineRule="auto"/>
              <w:ind w:left="470" w:hanging="470"/>
              <w:jc w:val="both"/>
              <w:rPr>
                <w:rFonts w:eastAsia="細明體" w:cs="Segoe UI"/>
                <w:sz w:val="17"/>
                <w:szCs w:val="17"/>
                <w:lang w:eastAsia="ar-SA"/>
              </w:rPr>
            </w:pPr>
            <w:r w:rsidRPr="005171C5">
              <w:rPr>
                <w:rFonts w:eastAsia="細明體" w:cs="Segoe UI" w:hint="eastAsia"/>
                <w:sz w:val="17"/>
                <w:szCs w:val="17"/>
                <w:lang w:eastAsia="ar-SA"/>
              </w:rPr>
              <w:t>使用</w:t>
            </w:r>
            <w:r w:rsidRPr="005171C5">
              <w:rPr>
                <w:rFonts w:eastAsia="細明體" w:cs="Segoe UI"/>
                <w:sz w:val="17"/>
                <w:szCs w:val="17"/>
                <w:lang w:eastAsia="ar-SA"/>
              </w:rPr>
              <w:t>《資本規則》第</w:t>
            </w:r>
            <w:r w:rsidRPr="005171C5">
              <w:rPr>
                <w:rFonts w:eastAsia="細明體" w:cs="Segoe UI"/>
                <w:sz w:val="17"/>
                <w:szCs w:val="17"/>
                <w:lang w:eastAsia="ar-SA"/>
              </w:rPr>
              <w:t>4</w:t>
            </w:r>
            <w:r w:rsidRPr="005171C5">
              <w:rPr>
                <w:rFonts w:eastAsia="細明體" w:cs="Segoe UI"/>
                <w:sz w:val="17"/>
                <w:szCs w:val="17"/>
                <w:lang w:eastAsia="ar-SA"/>
              </w:rPr>
              <w:t>部列明的</w:t>
            </w:r>
            <w:r w:rsidRPr="005171C5">
              <w:rPr>
                <w:rFonts w:eastAsia="細明體" w:cs="Segoe UI" w:hint="eastAsia"/>
                <w:sz w:val="17"/>
                <w:szCs w:val="17"/>
                <w:lang w:eastAsia="ar-SA"/>
              </w:rPr>
              <w:t>全面方法以計及在</w:t>
            </w:r>
            <w:r w:rsidRPr="005171C5">
              <w:rPr>
                <w:rFonts w:eastAsia="細明體" w:cs="Segoe UI" w:hint="eastAsia"/>
                <w:sz w:val="17"/>
                <w:szCs w:val="17"/>
                <w:lang w:eastAsia="ar-SA"/>
              </w:rPr>
              <w:t>SFT</w:t>
            </w:r>
            <w:r w:rsidRPr="005171C5">
              <w:rPr>
                <w:rFonts w:eastAsia="細明體" w:cs="Segoe UI" w:hint="eastAsia"/>
                <w:sz w:val="17"/>
                <w:szCs w:val="17"/>
                <w:lang w:eastAsia="ar-SA"/>
              </w:rPr>
              <w:t>下收取的認可抵押品，及</w:t>
            </w:r>
            <w:r w:rsidRPr="005171C5">
              <w:rPr>
                <w:rFonts w:eastAsia="細明體" w:cs="Segoe UI"/>
                <w:sz w:val="17"/>
                <w:szCs w:val="17"/>
                <w:lang w:eastAsia="ar-SA"/>
              </w:rPr>
              <w:t>/</w:t>
            </w:r>
            <w:r w:rsidRPr="005171C5">
              <w:rPr>
                <w:rFonts w:eastAsia="細明體" w:cs="Segoe UI" w:hint="eastAsia"/>
                <w:sz w:val="17"/>
                <w:szCs w:val="17"/>
                <w:lang w:eastAsia="ar-SA"/>
              </w:rPr>
              <w:t>或使用</w:t>
            </w:r>
            <w:r w:rsidRPr="005171C5">
              <w:rPr>
                <w:rFonts w:eastAsia="細明體" w:cs="Segoe UI"/>
                <w:sz w:val="17"/>
                <w:szCs w:val="17"/>
                <w:lang w:eastAsia="ar-SA"/>
              </w:rPr>
              <w:t>《資本規則》所提供的方法</w:t>
            </w:r>
            <w:r w:rsidRPr="005171C5">
              <w:rPr>
                <w:rFonts w:eastAsia="細明體" w:cs="Segoe UI" w:hint="eastAsia"/>
                <w:sz w:val="17"/>
                <w:szCs w:val="17"/>
                <w:lang w:eastAsia="ar-SA"/>
              </w:rPr>
              <w:t>（除</w:t>
            </w:r>
            <w:r w:rsidRPr="005171C5">
              <w:rPr>
                <w:rFonts w:eastAsia="細明體" w:cs="Segoe UI"/>
                <w:sz w:val="17"/>
                <w:szCs w:val="17"/>
                <w:lang w:eastAsia="ar-SA"/>
              </w:rPr>
              <w:t>下述的風險值模式</w:t>
            </w:r>
            <w:r w:rsidRPr="005171C5">
              <w:rPr>
                <w:rFonts w:eastAsia="細明體" w:cs="Segoe UI" w:hint="eastAsia"/>
                <w:sz w:val="17"/>
                <w:szCs w:val="17"/>
                <w:lang w:eastAsia="ar-SA"/>
              </w:rPr>
              <w:t>的方法外）以計及</w:t>
            </w:r>
            <w:r w:rsidRPr="005171C5">
              <w:rPr>
                <w:rFonts w:eastAsia="細明體" w:cs="Segoe UI" w:hint="eastAsia"/>
                <w:sz w:val="17"/>
                <w:szCs w:val="17"/>
                <w:lang w:eastAsia="zh-HK"/>
              </w:rPr>
              <w:t>可作淨額計算的</w:t>
            </w:r>
            <w:r w:rsidRPr="005171C5">
              <w:rPr>
                <w:rFonts w:eastAsia="細明體" w:cs="Segoe UI" w:hint="eastAsia"/>
                <w:sz w:val="17"/>
                <w:szCs w:val="17"/>
                <w:lang w:eastAsia="zh-TW"/>
              </w:rPr>
              <w:t>SFT</w:t>
            </w:r>
            <w:r w:rsidRPr="005171C5">
              <w:rPr>
                <w:rFonts w:eastAsia="細明體" w:cs="Segoe UI" w:hint="eastAsia"/>
                <w:sz w:val="17"/>
                <w:szCs w:val="17"/>
                <w:lang w:eastAsia="ar-SA"/>
              </w:rPr>
              <w:t>的認可淨額計算的認可機構</w:t>
            </w:r>
            <w:r w:rsidR="00DC166C" w:rsidRPr="005171C5">
              <w:rPr>
                <w:rFonts w:eastAsia="細明體" w:cs="Segoe UI" w:hint="eastAsia"/>
                <w:sz w:val="17"/>
                <w:szCs w:val="17"/>
                <w:lang w:eastAsia="ar-SA"/>
              </w:rPr>
              <w:t>；</w:t>
            </w:r>
          </w:p>
          <w:p w14:paraId="5C92F47F" w14:textId="4A04787F" w:rsidR="00826D50" w:rsidRPr="005171C5" w:rsidRDefault="00AE31FF" w:rsidP="00BB6409">
            <w:pPr>
              <w:keepNext/>
              <w:numPr>
                <w:ilvl w:val="0"/>
                <w:numId w:val="46"/>
              </w:numPr>
              <w:suppressAutoHyphens/>
              <w:spacing w:before="40" w:after="40" w:line="259" w:lineRule="auto"/>
              <w:ind w:left="470" w:hanging="470"/>
              <w:jc w:val="both"/>
              <w:rPr>
                <w:rFonts w:eastAsia="細明體" w:cs="Segoe UI"/>
                <w:sz w:val="17"/>
                <w:szCs w:val="17"/>
                <w:lang w:eastAsia="ar-SA"/>
              </w:rPr>
            </w:pPr>
            <w:r w:rsidRPr="00BB6409">
              <w:rPr>
                <w:rFonts w:eastAsia="細明體" w:cs="Segoe UI" w:hint="eastAsia"/>
                <w:sz w:val="17"/>
                <w:szCs w:val="17"/>
                <w:lang w:eastAsia="ar-SA"/>
              </w:rPr>
              <w:t>使</w:t>
            </w:r>
            <w:r w:rsidR="00660079" w:rsidRPr="00BB6409">
              <w:rPr>
                <w:rFonts w:eastAsia="細明體" w:cs="Segoe UI" w:hint="eastAsia"/>
                <w:sz w:val="17"/>
                <w:szCs w:val="17"/>
                <w:lang w:eastAsia="ar-SA"/>
              </w:rPr>
              <w:t>用</w:t>
            </w:r>
            <w:r w:rsidRPr="00BB6409">
              <w:rPr>
                <w:rFonts w:eastAsia="細明體" w:cs="Segoe UI" w:hint="eastAsia"/>
                <w:sz w:val="17"/>
                <w:szCs w:val="17"/>
                <w:lang w:eastAsia="ar-SA"/>
              </w:rPr>
              <w:t>《資本規則》</w:t>
            </w:r>
            <w:r w:rsidRPr="00BB6409" w:rsidDel="002D28A2">
              <w:rPr>
                <w:rFonts w:eastAsia="細明體" w:cs="Segoe UI" w:hint="eastAsia"/>
                <w:sz w:val="17"/>
                <w:szCs w:val="17"/>
                <w:lang w:eastAsia="ar-SA"/>
              </w:rPr>
              <w:t>第</w:t>
            </w:r>
            <w:r w:rsidR="00660079" w:rsidRPr="00BB6409">
              <w:rPr>
                <w:rFonts w:eastAsia="細明體" w:cs="Segoe UI"/>
                <w:sz w:val="17"/>
                <w:szCs w:val="17"/>
                <w:lang w:eastAsia="ar-SA"/>
              </w:rPr>
              <w:t>6A</w:t>
            </w:r>
            <w:r w:rsidR="00660079" w:rsidRPr="00BB6409">
              <w:rPr>
                <w:rFonts w:eastAsia="細明體" w:cs="Segoe UI" w:hint="eastAsia"/>
                <w:sz w:val="17"/>
                <w:szCs w:val="17"/>
                <w:lang w:eastAsia="ar-SA"/>
              </w:rPr>
              <w:t>部第</w:t>
            </w:r>
            <w:r w:rsidR="00660079" w:rsidRPr="00BB6409">
              <w:rPr>
                <w:rFonts w:eastAsia="細明體" w:cs="Segoe UI"/>
                <w:sz w:val="17"/>
                <w:szCs w:val="17"/>
                <w:lang w:eastAsia="ar-SA"/>
              </w:rPr>
              <w:t>2B</w:t>
            </w:r>
            <w:r w:rsidR="00660079" w:rsidRPr="00BB6409">
              <w:rPr>
                <w:rFonts w:eastAsia="細明體" w:cs="Segoe UI" w:hint="eastAsia"/>
                <w:sz w:val="17"/>
                <w:szCs w:val="17"/>
                <w:lang w:eastAsia="ar-SA"/>
              </w:rPr>
              <w:t>分部</w:t>
            </w:r>
            <w:r w:rsidR="00DC231A" w:rsidRPr="00BB6409">
              <w:rPr>
                <w:rFonts w:eastAsia="細明體" w:cs="Segoe UI" w:hint="eastAsia"/>
                <w:sz w:val="17"/>
                <w:szCs w:val="17"/>
                <w:lang w:eastAsia="zh-HK"/>
              </w:rPr>
              <w:t>所</w:t>
            </w:r>
            <w:r w:rsidR="008B2804" w:rsidRPr="00BB6409">
              <w:rPr>
                <w:rFonts w:eastAsia="新細明體" w:cs="Segoe UI" w:hint="eastAsia"/>
                <w:sz w:val="17"/>
                <w:szCs w:val="17"/>
                <w:lang w:eastAsia="zh-HK"/>
              </w:rPr>
              <w:t>載</w:t>
            </w:r>
            <w:r w:rsidR="003A4197" w:rsidRPr="00BB6409">
              <w:rPr>
                <w:rFonts w:eastAsia="新細明體" w:cs="Segoe UI" w:hint="eastAsia"/>
                <w:sz w:val="17"/>
                <w:szCs w:val="17"/>
                <w:lang w:eastAsia="zh-HK"/>
              </w:rPr>
              <w:t>（</w:t>
            </w:r>
            <w:r w:rsidR="002D28A2" w:rsidRPr="00BB6409">
              <w:rPr>
                <w:rFonts w:eastAsia="細明體" w:cs="Segoe UI" w:hint="eastAsia"/>
                <w:sz w:val="17"/>
                <w:szCs w:val="17"/>
                <w:lang w:eastAsia="zh-HK"/>
              </w:rPr>
              <w:t>並經</w:t>
            </w:r>
            <w:r w:rsidR="002D28A2" w:rsidRPr="00BB6409">
              <w:rPr>
                <w:rFonts w:eastAsia="細明體" w:cs="Segoe UI" w:hint="eastAsia"/>
                <w:sz w:val="17"/>
                <w:szCs w:val="17"/>
                <w:lang w:eastAsia="ar-SA"/>
              </w:rPr>
              <w:t>《資本規則》第</w:t>
            </w:r>
            <w:r w:rsidR="002D28A2" w:rsidRPr="00BB6409">
              <w:rPr>
                <w:rFonts w:eastAsia="細明體" w:cs="Segoe UI"/>
                <w:sz w:val="17"/>
                <w:szCs w:val="17"/>
                <w:lang w:eastAsia="ar-SA"/>
              </w:rPr>
              <w:t>378</w:t>
            </w:r>
            <w:r w:rsidR="002D28A2" w:rsidRPr="00BB6409">
              <w:rPr>
                <w:rFonts w:eastAsia="細明體" w:cs="Segoe UI" w:hint="eastAsia"/>
                <w:sz w:val="17"/>
                <w:szCs w:val="17"/>
                <w:lang w:eastAsia="ar-SA"/>
              </w:rPr>
              <w:t>條</w:t>
            </w:r>
            <w:r w:rsidR="00B5478E" w:rsidRPr="00BB6409">
              <w:rPr>
                <w:rFonts w:eastAsia="細明體" w:cs="Segoe UI" w:hint="eastAsia"/>
                <w:sz w:val="17"/>
                <w:szCs w:val="17"/>
                <w:lang w:eastAsia="zh-HK"/>
              </w:rPr>
              <w:t>變通</w:t>
            </w:r>
            <w:r w:rsidR="003A4197" w:rsidRPr="00BB6409">
              <w:rPr>
                <w:rFonts w:eastAsia="細明體" w:cs="Segoe UI" w:hint="eastAsia"/>
                <w:sz w:val="17"/>
                <w:szCs w:val="17"/>
                <w:lang w:eastAsia="zh-HK"/>
              </w:rPr>
              <w:t>）</w:t>
            </w:r>
            <w:r w:rsidRPr="005171C5">
              <w:rPr>
                <w:rFonts w:eastAsia="細明體" w:cs="Segoe UI"/>
                <w:sz w:val="17"/>
                <w:szCs w:val="17"/>
                <w:lang w:eastAsia="ar-SA"/>
              </w:rPr>
              <w:t>的</w:t>
            </w:r>
            <w:r w:rsidRPr="00660079">
              <w:rPr>
                <w:rFonts w:eastAsia="細明體" w:cs="Segoe UI" w:hint="eastAsia"/>
                <w:sz w:val="17"/>
                <w:szCs w:val="17"/>
                <w:lang w:eastAsia="ar-SA"/>
              </w:rPr>
              <w:t>方法</w:t>
            </w:r>
            <w:r w:rsidR="001441DF" w:rsidRPr="00660079">
              <w:rPr>
                <w:rFonts w:eastAsia="細明體" w:cs="Segoe UI" w:hint="eastAsia"/>
                <w:sz w:val="17"/>
                <w:szCs w:val="17"/>
                <w:lang w:eastAsia="ar-SA"/>
              </w:rPr>
              <w:t>，計算</w:t>
            </w:r>
            <w:r w:rsidR="001441DF">
              <w:rPr>
                <w:rFonts w:eastAsia="細明體" w:cs="Segoe UI" w:hint="eastAsia"/>
                <w:sz w:val="17"/>
                <w:szCs w:val="17"/>
                <w:lang w:eastAsia="zh-HK"/>
              </w:rPr>
              <w:t>其</w:t>
            </w:r>
            <w:r w:rsidR="001441DF" w:rsidRPr="00660079">
              <w:rPr>
                <w:rFonts w:eastAsia="細明體" w:cs="Segoe UI" w:hint="eastAsia"/>
                <w:sz w:val="17"/>
                <w:szCs w:val="17"/>
                <w:lang w:eastAsia="ar-SA"/>
              </w:rPr>
              <w:t>加</w:t>
            </w:r>
            <w:r w:rsidR="00660079" w:rsidRPr="00660079">
              <w:rPr>
                <w:rFonts w:eastAsia="細明體" w:cs="Segoe UI" w:hint="eastAsia"/>
                <w:sz w:val="17"/>
                <w:szCs w:val="17"/>
                <w:lang w:eastAsia="ar-SA"/>
              </w:rPr>
              <w:t>密資產</w:t>
            </w:r>
            <w:r w:rsidR="00DC231A">
              <w:rPr>
                <w:rFonts w:eastAsia="細明體" w:cs="Segoe UI" w:hint="eastAsia"/>
                <w:sz w:val="17"/>
                <w:szCs w:val="17"/>
                <w:lang w:eastAsia="zh-HK"/>
              </w:rPr>
              <w:t>的</w:t>
            </w:r>
            <w:r w:rsidR="00660079" w:rsidRPr="00660079">
              <w:rPr>
                <w:rFonts w:eastAsia="細明體" w:cs="Segoe UI"/>
                <w:sz w:val="17"/>
                <w:szCs w:val="17"/>
                <w:lang w:eastAsia="ar-SA"/>
              </w:rPr>
              <w:t>SFT</w:t>
            </w:r>
            <w:r w:rsidR="00DC231A">
              <w:rPr>
                <w:rFonts w:eastAsia="細明體" w:cs="Segoe UI" w:hint="eastAsia"/>
                <w:sz w:val="17"/>
                <w:szCs w:val="17"/>
                <w:lang w:eastAsia="zh-HK"/>
              </w:rPr>
              <w:t>的</w:t>
            </w:r>
            <w:r w:rsidR="00660079">
              <w:rPr>
                <w:rFonts w:eastAsia="細明體" w:cs="Segoe UI" w:hint="eastAsia"/>
                <w:sz w:val="17"/>
                <w:szCs w:val="17"/>
                <w:lang w:eastAsia="ar-SA"/>
              </w:rPr>
              <w:t>違</w:t>
            </w:r>
            <w:r w:rsidR="00052EC2">
              <w:rPr>
                <w:rFonts w:eastAsia="細明體" w:cs="Segoe UI" w:hint="eastAsia"/>
                <w:sz w:val="17"/>
                <w:szCs w:val="17"/>
                <w:lang w:eastAsia="ar-SA"/>
              </w:rPr>
              <w:t>責</w:t>
            </w:r>
            <w:r w:rsidR="00052EC2" w:rsidRPr="005171C5">
              <w:rPr>
                <w:rFonts w:eastAsia="細明體" w:cs="Segoe UI" w:hint="eastAsia"/>
                <w:sz w:val="17"/>
                <w:szCs w:val="17"/>
                <w:lang w:eastAsia="ar-SA"/>
              </w:rPr>
              <w:t>風險的風險承擔的</w:t>
            </w:r>
            <w:r w:rsidR="00660079" w:rsidRPr="00660079">
              <w:rPr>
                <w:rFonts w:eastAsia="細明體" w:cs="Segoe UI" w:hint="eastAsia"/>
                <w:sz w:val="17"/>
                <w:szCs w:val="17"/>
                <w:lang w:eastAsia="ar-SA"/>
              </w:rPr>
              <w:t>認可機構</w:t>
            </w:r>
            <w:r w:rsidR="00052EC2" w:rsidRPr="005171C5">
              <w:rPr>
                <w:rFonts w:eastAsia="細明體" w:cs="Segoe UI" w:hint="eastAsia"/>
                <w:sz w:val="17"/>
                <w:szCs w:val="17"/>
                <w:lang w:eastAsia="ar-SA"/>
              </w:rPr>
              <w:t>。</w:t>
            </w:r>
          </w:p>
        </w:tc>
      </w:tr>
      <w:tr w:rsidR="005171C5" w:rsidRPr="005171C5" w14:paraId="348AC474" w14:textId="77777777" w:rsidTr="005171C5">
        <w:tc>
          <w:tcPr>
            <w:tcW w:w="425" w:type="dxa"/>
            <w:tcBorders>
              <w:top w:val="single" w:sz="4" w:space="0" w:color="000000"/>
              <w:left w:val="single" w:sz="4" w:space="0" w:color="000000"/>
              <w:bottom w:val="single" w:sz="4" w:space="0" w:color="000000"/>
            </w:tcBorders>
            <w:shd w:val="clear" w:color="auto" w:fill="auto"/>
          </w:tcPr>
          <w:p w14:paraId="6ED749C5"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5</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5435F1D1" w14:textId="5577DBEA" w:rsidR="005171C5" w:rsidRPr="005171C5" w:rsidRDefault="005171C5" w:rsidP="00B20503">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171C5">
              <w:rPr>
                <w:rFonts w:ascii="Calibri" w:eastAsia="細明體" w:hAnsi="Calibri" w:hint="eastAsia"/>
                <w:i/>
                <w:sz w:val="17"/>
                <w:szCs w:val="17"/>
                <w:lang w:eastAsia="zh-TW"/>
              </w:rPr>
              <w:t>風險值（對於</w:t>
            </w:r>
            <w:r w:rsidRPr="005171C5">
              <w:rPr>
                <w:rFonts w:eastAsia="細明體" w:cs="Segoe UI"/>
                <w:i/>
                <w:sz w:val="17"/>
                <w:szCs w:val="17"/>
                <w:lang w:eastAsia="zh-TW"/>
              </w:rPr>
              <w:t>SFT</w:t>
            </w:r>
            <w:r w:rsidRPr="005171C5">
              <w:rPr>
                <w:rFonts w:ascii="Calibri" w:eastAsia="細明體" w:hAnsi="Calibri" w:hint="eastAsia"/>
                <w:i/>
                <w:sz w:val="17"/>
                <w:szCs w:val="17"/>
                <w:lang w:eastAsia="zh-TW"/>
              </w:rPr>
              <w:t>）</w:t>
            </w:r>
            <w:r w:rsidRPr="005171C5">
              <w:rPr>
                <w:rFonts w:ascii="Calibri" w:eastAsia="細明體" w:hAnsi="Calibri" w:hint="eastAsia"/>
                <w:sz w:val="17"/>
                <w:szCs w:val="17"/>
                <w:lang w:eastAsia="zh-TW"/>
              </w:rPr>
              <w:t>：本</w:t>
            </w:r>
            <w:r w:rsidRPr="005171C5">
              <w:rPr>
                <w:rFonts w:ascii="Calibri" w:eastAsia="細明體" w:hAnsi="Calibri"/>
                <w:sz w:val="17"/>
                <w:szCs w:val="17"/>
                <w:lang w:eastAsia="zh-TW"/>
              </w:rPr>
              <w:t>行</w:t>
            </w:r>
            <w:r w:rsidRPr="005171C5">
              <w:rPr>
                <w:rFonts w:ascii="Calibri" w:eastAsia="細明體" w:hAnsi="Calibri" w:hint="eastAsia"/>
                <w:sz w:val="17"/>
                <w:szCs w:val="17"/>
                <w:lang w:val="en-US" w:eastAsia="zh-TW"/>
              </w:rPr>
              <w:t>供使用</w:t>
            </w:r>
            <w:r w:rsidRPr="005171C5">
              <w:rPr>
                <w:rFonts w:ascii="Calibri" w:eastAsia="細明體" w:hAnsi="Calibri" w:hint="eastAsia"/>
                <w:sz w:val="17"/>
                <w:szCs w:val="17"/>
                <w:lang w:eastAsia="zh-TW"/>
              </w:rPr>
              <w:t>風險值</w:t>
            </w:r>
            <w:r w:rsidRPr="005171C5">
              <w:rPr>
                <w:rFonts w:ascii="Calibri" w:eastAsia="細明體" w:hAnsi="Calibri" w:hint="eastAsia"/>
                <w:sz w:val="17"/>
                <w:szCs w:val="17"/>
                <w:lang w:eastAsia="zh-TW"/>
              </w:rPr>
              <w:t>(</w:t>
            </w:r>
            <w:proofErr w:type="spellStart"/>
            <w:r w:rsidRPr="005171C5">
              <w:rPr>
                <w:rFonts w:ascii="Calibri" w:eastAsia="細明體" w:hAnsi="Calibri" w:hint="eastAsia"/>
                <w:sz w:val="17"/>
                <w:szCs w:val="17"/>
                <w:lang w:eastAsia="zh-TW"/>
              </w:rPr>
              <w:t>VaR</w:t>
            </w:r>
            <w:proofErr w:type="spellEnd"/>
            <w:r w:rsidRPr="005171C5">
              <w:rPr>
                <w:rFonts w:ascii="Calibri" w:eastAsia="細明體" w:hAnsi="Calibri" w:hint="eastAsia"/>
                <w:sz w:val="17"/>
                <w:szCs w:val="17"/>
                <w:lang w:eastAsia="zh-TW"/>
              </w:rPr>
              <w:t>)</w:t>
            </w:r>
            <w:r w:rsidRPr="005171C5">
              <w:rPr>
                <w:rFonts w:ascii="Calibri" w:eastAsia="細明體" w:hAnsi="Calibri" w:hint="eastAsia"/>
                <w:sz w:val="17"/>
                <w:szCs w:val="17"/>
                <w:lang w:eastAsia="zh-TW"/>
              </w:rPr>
              <w:t>模式</w:t>
            </w:r>
            <w:r w:rsidR="000C25D1" w:rsidRPr="000C25D1">
              <w:rPr>
                <w:rFonts w:ascii="Calibri" w:eastAsia="細明體" w:hAnsi="Calibri" w:hint="eastAsia"/>
                <w:sz w:val="17"/>
                <w:szCs w:val="17"/>
                <w:lang w:eastAsia="zh-TW"/>
              </w:rPr>
              <w:t>計算</w:t>
            </w:r>
            <w:r w:rsidRPr="005171C5">
              <w:rPr>
                <w:rFonts w:ascii="Calibri" w:eastAsia="細明體" w:hAnsi="Calibri" w:hint="eastAsia"/>
                <w:sz w:val="17"/>
                <w:szCs w:val="17"/>
                <w:lang w:eastAsia="zh-TW"/>
              </w:rPr>
              <w:t>其</w:t>
            </w:r>
            <w:r w:rsidR="000737AC" w:rsidRPr="000737AC">
              <w:rPr>
                <w:rFonts w:ascii="Calibri" w:eastAsia="細明體" w:hAnsi="Calibri" w:hint="eastAsia"/>
                <w:sz w:val="17"/>
                <w:szCs w:val="17"/>
                <w:lang w:eastAsia="zh-TW"/>
              </w:rPr>
              <w:t>單一</w:t>
            </w:r>
            <w:r w:rsidR="006A0641" w:rsidRPr="005171C5">
              <w:rPr>
                <w:rFonts w:eastAsia="細明體" w:cs="Segoe UI" w:hint="eastAsia"/>
                <w:sz w:val="17"/>
                <w:szCs w:val="17"/>
                <w:lang w:eastAsia="zh-TW"/>
              </w:rPr>
              <w:t>SFT</w:t>
            </w:r>
            <w:r w:rsidR="000737AC" w:rsidRPr="000737AC">
              <w:rPr>
                <w:rFonts w:ascii="Calibri" w:eastAsia="細明體" w:hAnsi="Calibri" w:hint="eastAsia"/>
                <w:sz w:val="17"/>
                <w:szCs w:val="17"/>
                <w:lang w:eastAsia="zh-TW"/>
              </w:rPr>
              <w:t>或可作淨額計算的</w:t>
            </w:r>
            <w:r w:rsidR="006A0641" w:rsidRPr="005171C5">
              <w:rPr>
                <w:rFonts w:eastAsia="細明體" w:cs="Segoe UI" w:hint="eastAsia"/>
                <w:sz w:val="17"/>
                <w:szCs w:val="17"/>
                <w:lang w:eastAsia="zh-TW"/>
              </w:rPr>
              <w:t>SFT</w:t>
            </w:r>
            <w:proofErr w:type="gramStart"/>
            <w:r w:rsidRPr="005171C5">
              <w:rPr>
                <w:rFonts w:ascii="Calibri" w:eastAsia="細明體" w:hAnsi="Calibri" w:hint="eastAsia"/>
                <w:sz w:val="17"/>
                <w:szCs w:val="17"/>
                <w:lang w:eastAsia="zh-TW"/>
              </w:rPr>
              <w:t>違責風險</w:t>
            </w:r>
            <w:proofErr w:type="gramEnd"/>
            <w:r w:rsidRPr="005171C5">
              <w:rPr>
                <w:rFonts w:ascii="Calibri" w:eastAsia="細明體" w:hAnsi="Calibri" w:hint="eastAsia"/>
                <w:sz w:val="17"/>
                <w:szCs w:val="17"/>
                <w:lang w:eastAsia="zh-TW"/>
              </w:rPr>
              <w:t>的風險承擔</w:t>
            </w:r>
            <w:r w:rsidR="00186F18" w:rsidRPr="00186F18">
              <w:rPr>
                <w:rFonts w:ascii="Calibri" w:eastAsia="細明體" w:hAnsi="Calibri" w:hint="eastAsia"/>
                <w:sz w:val="17"/>
                <w:szCs w:val="17"/>
                <w:lang w:eastAsia="zh-TW"/>
              </w:rPr>
              <w:t>的認可機構</w:t>
            </w:r>
            <w:r w:rsidRPr="005171C5">
              <w:rPr>
                <w:rFonts w:ascii="Calibri" w:eastAsia="細明體" w:hAnsi="Calibri" w:hint="eastAsia"/>
                <w:sz w:val="17"/>
                <w:szCs w:val="17"/>
                <w:lang w:eastAsia="zh-TW"/>
              </w:rPr>
              <w:t>，以披露如是計算而得</w:t>
            </w:r>
            <w:proofErr w:type="gramStart"/>
            <w:r w:rsidRPr="005171C5">
              <w:rPr>
                <w:rFonts w:ascii="Calibri" w:eastAsia="細明體" w:hAnsi="Calibri" w:hint="eastAsia"/>
                <w:sz w:val="17"/>
                <w:szCs w:val="17"/>
                <w:lang w:eastAsia="zh-TW"/>
              </w:rPr>
              <w:t>的違責風險</w:t>
            </w:r>
            <w:proofErr w:type="gramEnd"/>
            <w:r w:rsidRPr="005171C5">
              <w:rPr>
                <w:rFonts w:ascii="Calibri" w:eastAsia="細明體" w:hAnsi="Calibri" w:hint="eastAsia"/>
                <w:sz w:val="17"/>
                <w:szCs w:val="17"/>
                <w:lang w:eastAsia="zh-TW"/>
              </w:rPr>
              <w:t>的風險承擔及相關</w:t>
            </w:r>
            <w:r w:rsidRPr="005171C5">
              <w:rPr>
                <w:rFonts w:ascii="Calibri" w:eastAsia="細明體" w:hAnsi="Calibri"/>
                <w:sz w:val="17"/>
                <w:szCs w:val="17"/>
                <w:lang w:eastAsia="zh-TW"/>
              </w:rPr>
              <w:t>風險加權數額</w:t>
            </w:r>
            <w:r w:rsidRPr="005171C5">
              <w:rPr>
                <w:rFonts w:ascii="Calibri" w:eastAsia="細明體" w:hAnsi="Calibri" w:hint="eastAsia"/>
                <w:sz w:val="17"/>
                <w:szCs w:val="17"/>
                <w:lang w:eastAsia="zh-TW"/>
              </w:rPr>
              <w:t>。</w:t>
            </w:r>
          </w:p>
        </w:tc>
      </w:tr>
      <w:tr w:rsidR="005171C5" w:rsidRPr="005171C5" w14:paraId="3948D710" w14:textId="77777777" w:rsidTr="005171C5">
        <w:tc>
          <w:tcPr>
            <w:tcW w:w="425" w:type="dxa"/>
            <w:tcBorders>
              <w:top w:val="single" w:sz="4" w:space="0" w:color="000000"/>
              <w:left w:val="single" w:sz="4" w:space="0" w:color="000000"/>
              <w:bottom w:val="single" w:sz="4" w:space="0" w:color="000000"/>
            </w:tcBorders>
            <w:shd w:val="clear" w:color="auto" w:fill="auto"/>
          </w:tcPr>
          <w:p w14:paraId="4A9F74B3" w14:textId="77777777" w:rsidR="005171C5" w:rsidRPr="005171C5" w:rsidRDefault="005171C5" w:rsidP="005171C5">
            <w:pPr>
              <w:keepLines/>
              <w:widowControl w:val="0"/>
              <w:tabs>
                <w:tab w:val="left" w:pos="150"/>
                <w:tab w:val="left" w:pos="397"/>
                <w:tab w:val="left" w:pos="794"/>
                <w:tab w:val="left" w:pos="1191"/>
              </w:tabs>
              <w:spacing w:before="20" w:after="20" w:line="259" w:lineRule="auto"/>
              <w:rPr>
                <w:rFonts w:ascii="Calibri" w:eastAsia="細明體" w:hAnsi="Calibri"/>
                <w:i/>
                <w:sz w:val="17"/>
                <w:szCs w:val="17"/>
                <w:lang w:eastAsia="zh-CN"/>
              </w:rPr>
            </w:pPr>
            <w:r w:rsidRPr="005171C5">
              <w:rPr>
                <w:rFonts w:ascii="Calibri" w:eastAsia="細明體" w:hAnsi="Calibri"/>
                <w:sz w:val="17"/>
                <w:szCs w:val="17"/>
                <w:lang w:eastAsia="zh-CN"/>
              </w:rPr>
              <w:t>6</w:t>
            </w:r>
          </w:p>
        </w:tc>
        <w:tc>
          <w:tcPr>
            <w:tcW w:w="9185" w:type="dxa"/>
            <w:tcBorders>
              <w:top w:val="single" w:sz="4" w:space="0" w:color="000000"/>
              <w:left w:val="single" w:sz="4" w:space="0" w:color="000000"/>
              <w:bottom w:val="single" w:sz="4" w:space="0" w:color="000000"/>
              <w:right w:val="single" w:sz="4" w:space="0" w:color="000000"/>
            </w:tcBorders>
            <w:shd w:val="clear" w:color="auto" w:fill="auto"/>
          </w:tcPr>
          <w:p w14:paraId="624CD9B5" w14:textId="77777777" w:rsidR="005171C5" w:rsidRPr="005171C5" w:rsidRDefault="005171C5" w:rsidP="005171C5">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171C5">
              <w:rPr>
                <w:rFonts w:ascii="Calibri" w:eastAsia="細明體" w:hAnsi="Calibri" w:hint="eastAsia"/>
                <w:i/>
                <w:sz w:val="17"/>
                <w:szCs w:val="17"/>
                <w:lang w:eastAsia="zh-TW"/>
              </w:rPr>
              <w:t>總計</w:t>
            </w:r>
            <w:r w:rsidRPr="005171C5">
              <w:rPr>
                <w:rFonts w:ascii="Calibri" w:eastAsia="細明體" w:hAnsi="Calibri" w:hint="eastAsia"/>
                <w:sz w:val="17"/>
                <w:szCs w:val="17"/>
                <w:lang w:eastAsia="zh-TW"/>
              </w:rPr>
              <w:t>：在本</w:t>
            </w:r>
            <w:r w:rsidRPr="005171C5">
              <w:rPr>
                <w:rFonts w:ascii="Calibri" w:eastAsia="細明體" w:hAnsi="Calibri"/>
                <w:sz w:val="17"/>
                <w:szCs w:val="17"/>
                <w:lang w:eastAsia="zh-TW"/>
              </w:rPr>
              <w:t>行</w:t>
            </w:r>
            <w:r w:rsidRPr="005171C5">
              <w:rPr>
                <w:rFonts w:ascii="Calibri" w:eastAsia="細明體" w:hAnsi="Calibri" w:hint="eastAsia"/>
                <w:sz w:val="17"/>
                <w:szCs w:val="17"/>
                <w:lang w:eastAsia="zh-TW"/>
              </w:rPr>
              <w:t>填報第</w:t>
            </w:r>
            <w:r w:rsidRPr="005171C5">
              <w:rPr>
                <w:rFonts w:ascii="Calibri" w:eastAsia="細明體" w:hAnsi="Calibri"/>
                <w:sz w:val="17"/>
                <w:szCs w:val="17"/>
                <w:lang w:eastAsia="zh-TW"/>
              </w:rPr>
              <w:t>1</w:t>
            </w:r>
            <w:r w:rsidRPr="005171C5">
              <w:rPr>
                <w:rFonts w:ascii="Calibri" w:eastAsia="細明體" w:hAnsi="Calibri" w:hint="eastAsia"/>
                <w:sz w:val="17"/>
                <w:szCs w:val="17"/>
                <w:lang w:eastAsia="zh-TW"/>
              </w:rPr>
              <w:t>至</w:t>
            </w:r>
            <w:r w:rsidRPr="005171C5">
              <w:rPr>
                <w:rFonts w:ascii="Calibri" w:eastAsia="細明體" w:hAnsi="Calibri"/>
                <w:sz w:val="17"/>
                <w:szCs w:val="17"/>
                <w:lang w:eastAsia="zh-TW"/>
              </w:rPr>
              <w:t>5</w:t>
            </w:r>
            <w:r w:rsidRPr="005171C5">
              <w:rPr>
                <w:rFonts w:ascii="Calibri" w:eastAsia="細明體" w:hAnsi="Calibri"/>
                <w:sz w:val="17"/>
                <w:szCs w:val="17"/>
                <w:lang w:eastAsia="zh-TW"/>
              </w:rPr>
              <w:t>行</w:t>
            </w:r>
            <w:r w:rsidRPr="005171C5">
              <w:rPr>
                <w:rFonts w:ascii="Calibri" w:eastAsia="細明體" w:hAnsi="Calibri" w:hint="eastAsia"/>
                <w:sz w:val="17"/>
                <w:szCs w:val="17"/>
                <w:lang w:eastAsia="zh-TW"/>
              </w:rPr>
              <w:t>的值的</w:t>
            </w:r>
            <w:proofErr w:type="gramStart"/>
            <w:r w:rsidRPr="005171C5">
              <w:rPr>
                <w:rFonts w:ascii="Calibri" w:eastAsia="細明體" w:hAnsi="Calibri" w:hint="eastAsia"/>
                <w:sz w:val="17"/>
                <w:szCs w:val="17"/>
                <w:lang w:eastAsia="zh-TW"/>
              </w:rPr>
              <w:t>和</w:t>
            </w:r>
            <w:proofErr w:type="gramEnd"/>
            <w:r w:rsidRPr="005171C5">
              <w:rPr>
                <w:rFonts w:ascii="Calibri" w:eastAsia="細明體" w:hAnsi="Calibri" w:hint="eastAsia"/>
                <w:sz w:val="17"/>
                <w:szCs w:val="17"/>
                <w:lang w:eastAsia="zh-TW"/>
              </w:rPr>
              <w:t>。</w:t>
            </w:r>
          </w:p>
        </w:tc>
      </w:tr>
    </w:tbl>
    <w:p w14:paraId="3A6F4047" w14:textId="77777777" w:rsidR="005171C5" w:rsidRPr="005171C5" w:rsidRDefault="005171C5" w:rsidP="0028643C">
      <w:pPr>
        <w:suppressAutoHyphens/>
        <w:spacing w:after="120"/>
        <w:rPr>
          <w:rFonts w:cs="Segoe UI"/>
          <w:lang w:eastAsia="ar-SA"/>
        </w:rPr>
      </w:pPr>
    </w:p>
    <w:p w14:paraId="3E79022F" w14:textId="77777777" w:rsidR="005171C5" w:rsidRDefault="005171C5" w:rsidP="005171C5">
      <w:pPr>
        <w:suppressAutoHyphens/>
        <w:spacing w:before="180" w:after="180"/>
        <w:ind w:left="-566"/>
        <w:jc w:val="both"/>
        <w:rPr>
          <w:rFonts w:eastAsia="細明體" w:cs="Segoe UI"/>
          <w:lang w:eastAsia="ar-SA"/>
        </w:rPr>
        <w:sectPr w:rsidR="005171C5" w:rsidSect="005171C5">
          <w:headerReference w:type="default" r:id="rId80"/>
          <w:footerReference w:type="default" r:id="rId81"/>
          <w:pgSz w:w="11906" w:h="16838"/>
          <w:pgMar w:top="1440" w:right="1276" w:bottom="1440" w:left="1418" w:header="720" w:footer="737" w:gutter="0"/>
          <w:cols w:space="720"/>
          <w:docGrid w:type="linesAndChars" w:linePitch="360"/>
        </w:sectPr>
      </w:pPr>
    </w:p>
    <w:p w14:paraId="2E311495" w14:textId="5A6552CF" w:rsidR="00105156" w:rsidRPr="00105156" w:rsidRDefault="00105156" w:rsidP="0029639E">
      <w:pPr>
        <w:pStyle w:val="Heading2"/>
        <w:keepNext w:val="0"/>
        <w:suppressAutoHyphens w:val="0"/>
        <w:spacing w:before="40" w:line="240" w:lineRule="auto"/>
        <w:ind w:firstLine="142"/>
        <w:rPr>
          <w:rFonts w:ascii="Segoe UI" w:eastAsia="Times New Roman" w:hAnsi="Segoe UI"/>
          <w:b w:val="0"/>
          <w:bCs w:val="0"/>
          <w:sz w:val="22"/>
          <w:szCs w:val="20"/>
          <w:lang w:eastAsia="zh-TW"/>
        </w:rPr>
      </w:pPr>
      <w:r w:rsidRPr="00105156">
        <w:rPr>
          <w:rFonts w:ascii="Calibri" w:eastAsia="細明體" w:hAnsi="Calibri" w:hint="eastAsia"/>
          <w:b w:val="0"/>
          <w:sz w:val="22"/>
          <w:szCs w:val="22"/>
          <w:lang w:eastAsia="zh-TW"/>
        </w:rPr>
        <w:t>模版</w:t>
      </w:r>
      <w:r w:rsidRPr="00105156">
        <w:rPr>
          <w:rFonts w:ascii="Segoe UI" w:eastAsia="細明體" w:hAnsi="Segoe UI" w:cs="Segoe UI"/>
          <w:b w:val="0"/>
          <w:sz w:val="22"/>
          <w:szCs w:val="22"/>
          <w:lang w:eastAsia="zh-TW"/>
        </w:rPr>
        <w:t>CCR3</w:t>
      </w:r>
      <w:r w:rsidRPr="00105156">
        <w:rPr>
          <w:rFonts w:ascii="Calibri" w:eastAsia="細明體" w:hAnsi="Calibri" w:hint="eastAsia"/>
          <w:b w:val="0"/>
          <w:sz w:val="22"/>
          <w:szCs w:val="22"/>
          <w:lang w:eastAsia="zh-TW"/>
        </w:rPr>
        <w:t>：按風險承擔</w:t>
      </w:r>
      <w:proofErr w:type="gramStart"/>
      <w:r w:rsidRPr="00105156">
        <w:rPr>
          <w:rFonts w:ascii="Calibri" w:eastAsia="細明體" w:hAnsi="Calibri" w:hint="eastAsia"/>
          <w:b w:val="0"/>
          <w:sz w:val="22"/>
          <w:szCs w:val="22"/>
          <w:lang w:eastAsia="zh-TW"/>
        </w:rPr>
        <w:t>類別和按風險</w:t>
      </w:r>
      <w:proofErr w:type="gramEnd"/>
      <w:r w:rsidRPr="00105156">
        <w:rPr>
          <w:rFonts w:ascii="Calibri" w:eastAsia="細明體" w:hAnsi="Calibri" w:hint="eastAsia"/>
          <w:b w:val="0"/>
          <w:sz w:val="22"/>
          <w:szCs w:val="22"/>
          <w:lang w:eastAsia="zh-TW"/>
        </w:rPr>
        <w:t>權重</w:t>
      </w:r>
      <w:r w:rsidRPr="00105156">
        <w:rPr>
          <w:rFonts w:ascii="Calibri" w:eastAsia="細明體" w:hAnsi="Calibri" w:hint="eastAsia"/>
          <w:b w:val="0"/>
          <w:color w:val="000000"/>
          <w:sz w:val="22"/>
          <w:szCs w:val="22"/>
          <w:lang w:eastAsia="zh-TW"/>
        </w:rPr>
        <w:t>劃</w:t>
      </w:r>
      <w:r w:rsidRPr="00105156">
        <w:rPr>
          <w:rFonts w:ascii="Calibri" w:eastAsia="細明體" w:hAnsi="Calibri" w:hint="eastAsia"/>
          <w:b w:val="0"/>
          <w:sz w:val="22"/>
          <w:szCs w:val="22"/>
          <w:lang w:eastAsia="zh-TW"/>
        </w:rPr>
        <w:t>分的</w:t>
      </w:r>
      <w:r w:rsidRPr="0028643C">
        <w:rPr>
          <w:rFonts w:ascii="Calibri" w:eastAsia="細明體" w:hAnsi="Calibri" w:hint="eastAsia"/>
          <w:b w:val="0"/>
          <w:sz w:val="22"/>
          <w:szCs w:val="22"/>
          <w:lang w:eastAsia="zh-TW"/>
        </w:rPr>
        <w:t>對手方</w:t>
      </w:r>
      <w:r w:rsidRPr="00105156">
        <w:rPr>
          <w:rFonts w:ascii="細明體" w:eastAsia="細明體" w:hAnsi="細明體" w:hint="eastAsia"/>
          <w:b w:val="0"/>
          <w:sz w:val="22"/>
          <w:szCs w:val="22"/>
          <w:lang w:eastAsia="zh-HK"/>
        </w:rPr>
        <w:t>信用</w:t>
      </w:r>
      <w:r w:rsidRPr="00105156">
        <w:rPr>
          <w:rFonts w:ascii="Calibri" w:eastAsia="細明體" w:hAnsi="Calibri" w:hint="eastAsia"/>
          <w:b w:val="0"/>
          <w:sz w:val="22"/>
          <w:szCs w:val="22"/>
          <w:lang w:eastAsia="zh-TW"/>
        </w:rPr>
        <w:t>風險承擔（對中央交易對手方的風險承擔除外）</w:t>
      </w:r>
      <w:proofErr w:type="gramStart"/>
      <w:r w:rsidRPr="00105156">
        <w:rPr>
          <w:rFonts w:ascii="細明體" w:eastAsia="細明體" w:hAnsi="細明體" w:cs="細明體" w:hint="eastAsia"/>
          <w:b w:val="0"/>
          <w:sz w:val="22"/>
          <w:szCs w:val="22"/>
          <w:lang w:eastAsia="zh-TW"/>
        </w:rPr>
        <w:t>──</w:t>
      </w:r>
      <w:proofErr w:type="gramEnd"/>
      <w:r w:rsidRPr="00105156">
        <w:rPr>
          <w:rFonts w:ascii="Segoe UI" w:eastAsia="細明體" w:hAnsi="Segoe UI" w:cs="Segoe UI"/>
          <w:b w:val="0"/>
          <w:sz w:val="22"/>
          <w:szCs w:val="22"/>
          <w:lang w:eastAsia="zh-TW"/>
        </w:rPr>
        <w:t>STC</w:t>
      </w:r>
      <w:r w:rsidRPr="00105156">
        <w:rPr>
          <w:rFonts w:ascii="Calibri" w:eastAsia="細明體" w:hAnsi="Calibri" w:hint="eastAsia"/>
          <w:b w:val="0"/>
          <w:sz w:val="22"/>
          <w:szCs w:val="22"/>
          <w:lang w:eastAsia="zh-TW"/>
        </w:rPr>
        <w:t>計算法</w:t>
      </w:r>
      <w:r w:rsidRPr="00105156">
        <w:rPr>
          <w:rFonts w:ascii="Calibri" w:eastAsia="細明體" w:hAnsi="Calibri"/>
          <w:b w:val="0"/>
          <w:sz w:val="22"/>
          <w:szCs w:val="22"/>
          <w:lang w:eastAsia="zh-TW"/>
        </w:rPr>
        <w:t>或</w:t>
      </w:r>
      <w:r w:rsidRPr="00105156">
        <w:rPr>
          <w:rFonts w:ascii="Segoe UI" w:eastAsia="細明體" w:hAnsi="Segoe UI" w:cs="Segoe UI"/>
          <w:b w:val="0"/>
          <w:sz w:val="22"/>
          <w:szCs w:val="22"/>
          <w:lang w:eastAsia="zh-TW"/>
        </w:rPr>
        <w:t>BSC</w:t>
      </w:r>
      <w:r w:rsidRPr="00105156">
        <w:rPr>
          <w:rFonts w:ascii="Calibri" w:eastAsia="細明體" w:hAnsi="Calibri" w:hint="eastAsia"/>
          <w:b w:val="0"/>
          <w:sz w:val="22"/>
          <w:szCs w:val="22"/>
          <w:lang w:eastAsia="zh-TW"/>
        </w:rPr>
        <w:t>計算法</w:t>
      </w:r>
    </w:p>
    <w:tbl>
      <w:tblPr>
        <w:tblW w:w="13892" w:type="dxa"/>
        <w:tblInd w:w="108" w:type="dxa"/>
        <w:tblLayout w:type="fixed"/>
        <w:tblLook w:val="0000" w:firstRow="0" w:lastRow="0" w:firstColumn="0" w:lastColumn="0" w:noHBand="0" w:noVBand="0"/>
      </w:tblPr>
      <w:tblGrid>
        <w:gridCol w:w="2127"/>
        <w:gridCol w:w="11765"/>
      </w:tblGrid>
      <w:tr w:rsidR="005171C5" w:rsidRPr="005171C5" w14:paraId="41D1652A" w14:textId="77777777" w:rsidTr="005171C5">
        <w:tc>
          <w:tcPr>
            <w:tcW w:w="2127" w:type="dxa"/>
            <w:tcBorders>
              <w:top w:val="single" w:sz="4" w:space="0" w:color="000000"/>
              <w:bottom w:val="single" w:sz="4" w:space="0" w:color="000000"/>
            </w:tcBorders>
            <w:shd w:val="clear" w:color="auto" w:fill="auto"/>
          </w:tcPr>
          <w:p w14:paraId="0EE9C7E6"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目的：</w:t>
            </w:r>
            <w:r w:rsidRPr="005171C5">
              <w:rPr>
                <w:rFonts w:ascii="Calibri" w:eastAsia="細明體" w:hAnsi="Calibri"/>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39A67488" w14:textId="74FE55F8" w:rsidR="005171C5" w:rsidRPr="005171C5" w:rsidRDefault="005171C5" w:rsidP="005171C5">
            <w:pPr>
              <w:suppressAutoHyphens/>
              <w:spacing w:before="40" w:after="40"/>
              <w:jc w:val="both"/>
              <w:rPr>
                <w:rFonts w:cs="Segoe UI"/>
                <w:sz w:val="17"/>
                <w:lang w:eastAsia="zh-TW"/>
              </w:rPr>
            </w:pPr>
            <w:r w:rsidRPr="005171C5">
              <w:rPr>
                <w:rFonts w:eastAsia="細明體" w:cs="Segoe UI" w:hint="eastAsia"/>
                <w:sz w:val="17"/>
                <w:lang w:eastAsia="zh-TW"/>
              </w:rPr>
              <w:t>就受</w:t>
            </w:r>
            <w:r w:rsidRPr="005171C5">
              <w:rPr>
                <w:rFonts w:eastAsia="細明體" w:cs="Segoe UI"/>
                <w:sz w:val="17"/>
                <w:lang w:eastAsia="zh-TW"/>
              </w:rPr>
              <w:t>STC</w:t>
            </w:r>
            <w:r w:rsidRPr="005171C5">
              <w:rPr>
                <w:rFonts w:eastAsia="細明體" w:cs="Segoe UI" w:hint="eastAsia"/>
                <w:sz w:val="17"/>
                <w:lang w:eastAsia="zh-TW"/>
              </w:rPr>
              <w:t>計算法或</w:t>
            </w:r>
            <w:r w:rsidRPr="005171C5">
              <w:rPr>
                <w:rFonts w:eastAsia="細明體" w:cs="Segoe UI"/>
                <w:sz w:val="17"/>
                <w:lang w:eastAsia="zh-TW"/>
              </w:rPr>
              <w:t>BSC</w:t>
            </w:r>
            <w:r w:rsidRPr="005171C5">
              <w:rPr>
                <w:rFonts w:eastAsia="細明體" w:cs="Segoe UI" w:hint="eastAsia"/>
                <w:sz w:val="17"/>
                <w:lang w:eastAsia="zh-TW"/>
              </w:rPr>
              <w:t>計算法所</w:t>
            </w:r>
            <w:proofErr w:type="gramStart"/>
            <w:r w:rsidRPr="005171C5">
              <w:rPr>
                <w:rFonts w:eastAsia="細明體" w:cs="Segoe UI" w:hint="eastAsia"/>
                <w:sz w:val="17"/>
                <w:lang w:eastAsia="zh-TW"/>
              </w:rPr>
              <w:t>規</w:t>
            </w:r>
            <w:proofErr w:type="gramEnd"/>
            <w:r w:rsidRPr="005171C5">
              <w:rPr>
                <w:rFonts w:eastAsia="細明體" w:cs="Segoe UI" w:hint="eastAsia"/>
                <w:sz w:val="17"/>
                <w:lang w:eastAsia="zh-TW"/>
              </w:rPr>
              <w:t>限的衍生工具合約及</w:t>
            </w:r>
            <w:r w:rsidRPr="005171C5">
              <w:rPr>
                <w:rFonts w:eastAsia="細明體" w:cs="Segoe UI" w:hint="eastAsia"/>
                <w:sz w:val="17"/>
                <w:lang w:eastAsia="zh-TW"/>
              </w:rPr>
              <w:t>SFT</w:t>
            </w:r>
            <w:r w:rsidRPr="005171C5">
              <w:rPr>
                <w:rFonts w:eastAsia="細明體" w:cs="Segoe UI" w:hint="eastAsia"/>
                <w:sz w:val="17"/>
                <w:lang w:eastAsia="zh-TW"/>
              </w:rPr>
              <w:t>，展示按風險承擔</w:t>
            </w:r>
            <w:proofErr w:type="gramStart"/>
            <w:r w:rsidRPr="005171C5">
              <w:rPr>
                <w:rFonts w:eastAsia="細明體" w:cs="Segoe UI" w:hint="eastAsia"/>
                <w:sz w:val="17"/>
                <w:lang w:eastAsia="zh-TW"/>
              </w:rPr>
              <w:t>類別和按風險</w:t>
            </w:r>
            <w:proofErr w:type="gramEnd"/>
            <w:r w:rsidRPr="005171C5">
              <w:rPr>
                <w:rFonts w:eastAsia="細明體" w:cs="Segoe UI" w:hint="eastAsia"/>
                <w:sz w:val="17"/>
                <w:lang w:eastAsia="zh-TW"/>
              </w:rPr>
              <w:t>權重（後者所代表的風險程度，歸屬於在相應計算法下的風險承擔）劃分</w:t>
            </w:r>
            <w:proofErr w:type="gramStart"/>
            <w:r w:rsidRPr="005171C5">
              <w:rPr>
                <w:rFonts w:eastAsia="細明體" w:cs="Segoe UI" w:hint="eastAsia"/>
                <w:sz w:val="17"/>
                <w:lang w:eastAsia="zh-TW"/>
              </w:rPr>
              <w:t>的違責風險</w:t>
            </w:r>
            <w:proofErr w:type="gramEnd"/>
            <w:r w:rsidRPr="005171C5">
              <w:rPr>
                <w:rFonts w:eastAsia="細明體" w:cs="Segoe UI" w:hint="eastAsia"/>
                <w:sz w:val="17"/>
                <w:lang w:eastAsia="zh-TW"/>
              </w:rPr>
              <w:t>的風險承擔（對中央交易對手方的風險承擔除外）細目分類，不論使用何種計算法</w:t>
            </w:r>
            <w:proofErr w:type="gramStart"/>
            <w:r w:rsidRPr="005171C5">
              <w:rPr>
                <w:rFonts w:eastAsia="細明體" w:cs="Segoe UI" w:hint="eastAsia"/>
                <w:sz w:val="17"/>
                <w:lang w:eastAsia="zh-TW"/>
              </w:rPr>
              <w:t>斷定違責風險</w:t>
            </w:r>
            <w:proofErr w:type="gramEnd"/>
            <w:r w:rsidRPr="005171C5">
              <w:rPr>
                <w:rFonts w:eastAsia="細明體" w:cs="Segoe UI" w:hint="eastAsia"/>
                <w:sz w:val="17"/>
                <w:lang w:eastAsia="zh-TW"/>
              </w:rPr>
              <w:t>的風險承擔數額。</w:t>
            </w:r>
          </w:p>
        </w:tc>
      </w:tr>
      <w:tr w:rsidR="005171C5" w:rsidRPr="005171C5" w14:paraId="61CAD199" w14:textId="77777777" w:rsidTr="005171C5">
        <w:tc>
          <w:tcPr>
            <w:tcW w:w="2127" w:type="dxa"/>
            <w:tcBorders>
              <w:top w:val="single" w:sz="4" w:space="0" w:color="000000"/>
              <w:bottom w:val="single" w:sz="4" w:space="0" w:color="000000"/>
            </w:tcBorders>
            <w:shd w:val="clear" w:color="auto" w:fill="auto"/>
          </w:tcPr>
          <w:p w14:paraId="1922DB58" w14:textId="77777777" w:rsidR="005171C5" w:rsidRPr="005171C5" w:rsidRDefault="005171C5" w:rsidP="005171C5">
            <w:pPr>
              <w:spacing w:before="40" w:after="40" w:line="259" w:lineRule="auto"/>
              <w:rPr>
                <w:rFonts w:ascii="Calibri" w:eastAsia="細明體" w:hAnsi="Calibri"/>
                <w:sz w:val="17"/>
                <w:szCs w:val="22"/>
                <w:lang w:eastAsia="zh-CN"/>
              </w:rPr>
            </w:pPr>
            <w:r w:rsidRPr="005171C5">
              <w:rPr>
                <w:rFonts w:ascii="Calibri" w:eastAsia="細明體" w:hAnsi="Calibri" w:hint="eastAsia"/>
                <w:b/>
                <w:sz w:val="17"/>
                <w:szCs w:val="22"/>
                <w:lang w:eastAsia="zh-CN"/>
              </w:rPr>
              <w:t>適用範</w:t>
            </w:r>
            <w:proofErr w:type="gramStart"/>
            <w:r w:rsidRPr="005171C5">
              <w:rPr>
                <w:rFonts w:ascii="Calibri" w:eastAsia="細明體" w:hAnsi="Calibri" w:hint="eastAsia"/>
                <w:b/>
                <w:sz w:val="17"/>
                <w:szCs w:val="22"/>
                <w:lang w:eastAsia="zh-CN"/>
              </w:rPr>
              <w:t>圍</w:t>
            </w:r>
            <w:proofErr w:type="gramEnd"/>
            <w:r w:rsidRPr="005171C5">
              <w:rPr>
                <w:rFonts w:ascii="Calibri" w:eastAsia="細明體" w:hAnsi="Calibri" w:hint="eastAsia"/>
                <w:b/>
                <w:sz w:val="17"/>
                <w:szCs w:val="22"/>
                <w:lang w:eastAsia="zh-CN"/>
              </w:rPr>
              <w:t>：</w:t>
            </w:r>
            <w:r w:rsidRPr="005171C5">
              <w:rPr>
                <w:rFonts w:ascii="Calibri" w:eastAsia="細明體" w:hAnsi="Calibri"/>
                <w:b/>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694585B3" w14:textId="33F7BE1B" w:rsidR="005171C5" w:rsidRPr="004C140E" w:rsidRDefault="005171C5" w:rsidP="005171C5">
            <w:pPr>
              <w:spacing w:before="40" w:after="40" w:line="259" w:lineRule="auto"/>
              <w:jc w:val="both"/>
              <w:rPr>
                <w:rFonts w:eastAsia="細明體" w:cs="Segoe UI"/>
                <w:sz w:val="17"/>
                <w:szCs w:val="22"/>
                <w:lang w:eastAsia="zh-TW"/>
              </w:rPr>
            </w:pPr>
            <w:proofErr w:type="gramStart"/>
            <w:r w:rsidRPr="004C140E">
              <w:rPr>
                <w:rFonts w:eastAsia="細明體" w:cs="Segoe UI" w:hint="eastAsia"/>
                <w:sz w:val="17"/>
                <w:szCs w:val="22"/>
                <w:lang w:eastAsia="zh-TW"/>
              </w:rPr>
              <w:t>本模版</w:t>
            </w:r>
            <w:proofErr w:type="gramEnd"/>
            <w:r w:rsidRPr="004C140E">
              <w:rPr>
                <w:rFonts w:eastAsia="細明體" w:cs="Segoe UI" w:hint="eastAsia"/>
                <w:sz w:val="17"/>
                <w:szCs w:val="22"/>
                <w:lang w:eastAsia="zh-TW"/>
              </w:rPr>
              <w:t>備有</w:t>
            </w:r>
            <w:r w:rsidRPr="004C140E">
              <w:rPr>
                <w:rFonts w:eastAsia="細明體" w:cs="Segoe UI"/>
                <w:sz w:val="17"/>
                <w:szCs w:val="22"/>
                <w:lang w:eastAsia="zh-TW"/>
              </w:rPr>
              <w:t>STC</w:t>
            </w:r>
            <w:r w:rsidRPr="004C140E">
              <w:rPr>
                <w:rFonts w:eastAsia="細明體" w:cs="Segoe UI" w:hint="eastAsia"/>
                <w:sz w:val="17"/>
                <w:szCs w:val="22"/>
                <w:lang w:eastAsia="zh-TW"/>
              </w:rPr>
              <w:t>版本及</w:t>
            </w:r>
            <w:r w:rsidRPr="004C140E">
              <w:rPr>
                <w:rFonts w:eastAsia="細明體" w:cs="Segoe UI"/>
                <w:sz w:val="17"/>
                <w:szCs w:val="22"/>
                <w:lang w:eastAsia="zh-TW"/>
              </w:rPr>
              <w:t>BSC</w:t>
            </w:r>
            <w:r w:rsidRPr="004C140E">
              <w:rPr>
                <w:rFonts w:eastAsia="細明體" w:cs="Segoe UI" w:hint="eastAsia"/>
                <w:sz w:val="17"/>
                <w:szCs w:val="22"/>
                <w:lang w:eastAsia="zh-TW"/>
              </w:rPr>
              <w:t>版本；在香港成立</w:t>
            </w:r>
            <w:proofErr w:type="gramStart"/>
            <w:r w:rsidRPr="004C140E">
              <w:rPr>
                <w:rFonts w:eastAsia="細明體" w:cs="Segoe UI" w:hint="eastAsia"/>
                <w:sz w:val="17"/>
                <w:szCs w:val="22"/>
                <w:lang w:eastAsia="zh-TW"/>
              </w:rPr>
              <w:t>為法團的</w:t>
            </w:r>
            <w:proofErr w:type="gramEnd"/>
            <w:r w:rsidRPr="004C140E">
              <w:rPr>
                <w:rFonts w:eastAsia="細明體" w:cs="Segoe UI" w:hint="eastAsia"/>
                <w:sz w:val="17"/>
                <w:szCs w:val="22"/>
                <w:lang w:eastAsia="zh-TW"/>
              </w:rPr>
              <w:t>認可機構並持有受</w:t>
            </w:r>
            <w:r w:rsidRPr="004C140E">
              <w:rPr>
                <w:rFonts w:eastAsia="細明體" w:cs="Segoe UI"/>
                <w:sz w:val="17"/>
                <w:szCs w:val="17"/>
                <w:lang w:eastAsia="zh-TW"/>
              </w:rPr>
              <w:t>STC</w:t>
            </w:r>
            <w:r w:rsidRPr="004C140E">
              <w:rPr>
                <w:rFonts w:eastAsia="細明體" w:cs="Segoe UI" w:hint="eastAsia"/>
                <w:sz w:val="17"/>
                <w:szCs w:val="17"/>
                <w:lang w:eastAsia="zh-TW"/>
              </w:rPr>
              <w:t>計算法或</w:t>
            </w:r>
            <w:r w:rsidRPr="004C140E">
              <w:rPr>
                <w:rFonts w:eastAsia="細明體" w:cs="Segoe UI"/>
                <w:sz w:val="17"/>
                <w:szCs w:val="17"/>
                <w:lang w:eastAsia="zh-TW"/>
              </w:rPr>
              <w:t>BSC</w:t>
            </w:r>
            <w:r w:rsidRPr="004C140E">
              <w:rPr>
                <w:rFonts w:eastAsia="細明體" w:cs="Segoe UI" w:hint="eastAsia"/>
                <w:sz w:val="17"/>
                <w:szCs w:val="17"/>
                <w:lang w:eastAsia="zh-TW"/>
              </w:rPr>
              <w:t>計算法所限的對手方</w:t>
            </w:r>
            <w:r w:rsidR="008F72B1" w:rsidRPr="004C140E">
              <w:rPr>
                <w:rFonts w:eastAsia="細明體" w:cs="Segoe UI" w:hint="eastAsia"/>
                <w:sz w:val="17"/>
                <w:szCs w:val="17"/>
                <w:lang w:eastAsia="zh-TW"/>
              </w:rPr>
              <w:t>信用</w:t>
            </w:r>
            <w:r w:rsidRPr="004C140E">
              <w:rPr>
                <w:rFonts w:eastAsia="細明體" w:cs="Segoe UI" w:hint="eastAsia"/>
                <w:sz w:val="17"/>
                <w:szCs w:val="17"/>
                <w:lang w:eastAsia="zh-TW"/>
              </w:rPr>
              <w:t>風險承擔者</w:t>
            </w:r>
            <w:r w:rsidRPr="004C140E">
              <w:rPr>
                <w:rFonts w:eastAsia="細明體" w:cs="Segoe UI" w:hint="eastAsia"/>
                <w:sz w:val="17"/>
                <w:szCs w:val="22"/>
                <w:lang w:eastAsia="zh-TW"/>
              </w:rPr>
              <w:t>，</w:t>
            </w:r>
            <w:proofErr w:type="gramStart"/>
            <w:r w:rsidRPr="004C140E">
              <w:rPr>
                <w:rFonts w:eastAsia="細明體" w:cs="Segoe UI" w:hint="eastAsia"/>
                <w:sz w:val="17"/>
                <w:szCs w:val="22"/>
                <w:lang w:eastAsia="zh-TW"/>
              </w:rPr>
              <w:t>均須填報本模</w:t>
            </w:r>
            <w:proofErr w:type="gramEnd"/>
            <w:r w:rsidRPr="004C140E">
              <w:rPr>
                <w:rFonts w:eastAsia="細明體" w:cs="Segoe UI" w:hint="eastAsia"/>
                <w:sz w:val="17"/>
                <w:szCs w:val="22"/>
                <w:lang w:eastAsia="zh-TW"/>
              </w:rPr>
              <w:t>版。使用</w:t>
            </w:r>
            <w:r w:rsidRPr="004C140E">
              <w:rPr>
                <w:rFonts w:eastAsia="細明體" w:cs="Segoe UI"/>
                <w:sz w:val="17"/>
                <w:szCs w:val="22"/>
                <w:lang w:eastAsia="zh-TW"/>
              </w:rPr>
              <w:t>STC</w:t>
            </w:r>
            <w:r w:rsidRPr="004C140E">
              <w:rPr>
                <w:rFonts w:eastAsia="細明體" w:cs="Segoe UI" w:hint="eastAsia"/>
                <w:sz w:val="17"/>
                <w:szCs w:val="22"/>
                <w:lang w:eastAsia="zh-TW"/>
              </w:rPr>
              <w:t>計算法的認可機構應</w:t>
            </w:r>
            <w:proofErr w:type="gramStart"/>
            <w:r w:rsidRPr="004C140E">
              <w:rPr>
                <w:rFonts w:eastAsia="細明體" w:cs="Segoe UI" w:hint="eastAsia"/>
                <w:sz w:val="17"/>
                <w:szCs w:val="22"/>
                <w:lang w:eastAsia="zh-TW"/>
              </w:rPr>
              <w:t>使用本模版</w:t>
            </w:r>
            <w:proofErr w:type="gramEnd"/>
            <w:r w:rsidRPr="004C140E">
              <w:rPr>
                <w:rFonts w:eastAsia="細明體" w:cs="Segoe UI" w:hint="eastAsia"/>
                <w:sz w:val="17"/>
                <w:szCs w:val="22"/>
                <w:lang w:eastAsia="zh-TW"/>
              </w:rPr>
              <w:t>的</w:t>
            </w:r>
            <w:r w:rsidRPr="004C140E">
              <w:rPr>
                <w:rFonts w:eastAsia="細明體" w:cs="Segoe UI"/>
                <w:sz w:val="17"/>
                <w:szCs w:val="22"/>
                <w:lang w:eastAsia="zh-TW"/>
              </w:rPr>
              <w:t>STC</w:t>
            </w:r>
            <w:r w:rsidRPr="004C140E">
              <w:rPr>
                <w:rFonts w:eastAsia="細明體" w:cs="Segoe UI" w:hint="eastAsia"/>
                <w:sz w:val="17"/>
                <w:szCs w:val="22"/>
                <w:lang w:eastAsia="zh-TW"/>
              </w:rPr>
              <w:t>版本；使用</w:t>
            </w:r>
            <w:r w:rsidRPr="004C140E">
              <w:rPr>
                <w:rFonts w:eastAsia="細明體" w:cs="Segoe UI"/>
                <w:sz w:val="17"/>
                <w:szCs w:val="22"/>
                <w:lang w:eastAsia="zh-TW"/>
              </w:rPr>
              <w:t>BSC</w:t>
            </w:r>
            <w:r w:rsidRPr="004C140E">
              <w:rPr>
                <w:rFonts w:eastAsia="細明體" w:cs="Segoe UI" w:hint="eastAsia"/>
                <w:sz w:val="17"/>
                <w:szCs w:val="22"/>
                <w:lang w:eastAsia="zh-TW"/>
              </w:rPr>
              <w:t>計算法的認可機構應</w:t>
            </w:r>
            <w:proofErr w:type="gramStart"/>
            <w:r w:rsidRPr="004C140E">
              <w:rPr>
                <w:rFonts w:eastAsia="細明體" w:cs="Segoe UI" w:hint="eastAsia"/>
                <w:sz w:val="17"/>
                <w:szCs w:val="22"/>
                <w:lang w:eastAsia="zh-TW"/>
              </w:rPr>
              <w:t>使用本模版</w:t>
            </w:r>
            <w:proofErr w:type="gramEnd"/>
            <w:r w:rsidRPr="004C140E">
              <w:rPr>
                <w:rFonts w:eastAsia="細明體" w:cs="Segoe UI" w:hint="eastAsia"/>
                <w:sz w:val="17"/>
                <w:szCs w:val="22"/>
                <w:lang w:eastAsia="zh-TW"/>
              </w:rPr>
              <w:t>的</w:t>
            </w:r>
            <w:r w:rsidRPr="004C140E">
              <w:rPr>
                <w:rFonts w:eastAsia="細明體" w:cs="Segoe UI"/>
                <w:sz w:val="17"/>
                <w:szCs w:val="22"/>
                <w:lang w:eastAsia="zh-TW"/>
              </w:rPr>
              <w:t>BSC</w:t>
            </w:r>
            <w:r w:rsidRPr="004C140E">
              <w:rPr>
                <w:rFonts w:eastAsia="細明體" w:cs="Segoe UI" w:hint="eastAsia"/>
                <w:sz w:val="17"/>
                <w:szCs w:val="22"/>
                <w:lang w:eastAsia="zh-TW"/>
              </w:rPr>
              <w:t>版本。</w:t>
            </w:r>
            <w:r w:rsidR="0088617C" w:rsidRPr="004C140E">
              <w:rPr>
                <w:rFonts w:eastAsia="細明體" w:cs="Segoe UI" w:hint="eastAsia"/>
                <w:sz w:val="17"/>
                <w:szCs w:val="22"/>
                <w:lang w:eastAsia="zh-TW"/>
              </w:rPr>
              <w:t>混合</w:t>
            </w:r>
            <w:r w:rsidRPr="004C140E">
              <w:rPr>
                <w:rFonts w:eastAsia="細明體" w:cs="Segoe UI" w:hint="eastAsia"/>
                <w:sz w:val="17"/>
                <w:szCs w:val="22"/>
                <w:lang w:eastAsia="zh-TW"/>
              </w:rPr>
              <w:t>使用</w:t>
            </w:r>
            <w:r w:rsidR="0071591E" w:rsidRPr="004C140E">
              <w:rPr>
                <w:rFonts w:eastAsia="細明體" w:cs="Segoe UI"/>
                <w:sz w:val="17"/>
                <w:szCs w:val="22"/>
                <w:lang w:eastAsia="zh-TW"/>
              </w:rPr>
              <w:t>STC</w:t>
            </w:r>
            <w:r w:rsidR="0071591E" w:rsidRPr="004C140E">
              <w:rPr>
                <w:rFonts w:eastAsia="細明體" w:cs="Segoe UI" w:hint="eastAsia"/>
                <w:sz w:val="17"/>
                <w:szCs w:val="22"/>
                <w:lang w:eastAsia="zh-TW"/>
              </w:rPr>
              <w:t>計算法和</w:t>
            </w:r>
            <w:r w:rsidRPr="004C140E">
              <w:rPr>
                <w:rFonts w:eastAsia="細明體" w:cs="Segoe UI"/>
                <w:sz w:val="17"/>
                <w:szCs w:val="22"/>
                <w:lang w:eastAsia="zh-TW"/>
              </w:rPr>
              <w:t>IRB</w:t>
            </w:r>
            <w:r w:rsidRPr="004C140E">
              <w:rPr>
                <w:rFonts w:eastAsia="細明體" w:cs="Segoe UI" w:hint="eastAsia"/>
                <w:sz w:val="17"/>
                <w:szCs w:val="22"/>
                <w:lang w:eastAsia="zh-TW"/>
              </w:rPr>
              <w:t>計算法的認可機構應</w:t>
            </w:r>
            <w:r w:rsidR="001D3A08" w:rsidRPr="004C140E">
              <w:rPr>
                <w:rFonts w:eastAsia="細明體" w:cs="Segoe UI" w:hint="eastAsia"/>
                <w:sz w:val="17"/>
                <w:szCs w:val="22"/>
                <w:lang w:eastAsia="zh-HK"/>
              </w:rPr>
              <w:t>在</w:t>
            </w:r>
            <w:r w:rsidRPr="004C140E">
              <w:rPr>
                <w:rFonts w:eastAsia="細明體" w:cs="Segoe UI"/>
                <w:sz w:val="17"/>
                <w:szCs w:val="22"/>
                <w:lang w:eastAsia="zh-TW"/>
              </w:rPr>
              <w:t>STC</w:t>
            </w:r>
            <w:r w:rsidRPr="004C140E">
              <w:rPr>
                <w:rFonts w:eastAsia="細明體" w:cs="Segoe UI" w:hint="eastAsia"/>
                <w:sz w:val="17"/>
                <w:szCs w:val="22"/>
                <w:lang w:eastAsia="zh-TW"/>
              </w:rPr>
              <w:t>版本</w:t>
            </w:r>
            <w:r w:rsidR="001D3A08" w:rsidRPr="004C140E">
              <w:rPr>
                <w:rFonts w:eastAsia="細明體" w:cs="Segoe UI" w:hint="eastAsia"/>
                <w:sz w:val="17"/>
                <w:szCs w:val="22"/>
                <w:lang w:eastAsia="zh-HK"/>
              </w:rPr>
              <w:t>中</w:t>
            </w:r>
            <w:r w:rsidRPr="004C140E">
              <w:rPr>
                <w:rFonts w:eastAsia="細明體" w:cs="Segoe UI" w:hint="eastAsia"/>
                <w:sz w:val="17"/>
                <w:szCs w:val="22"/>
                <w:lang w:eastAsia="zh-TW"/>
              </w:rPr>
              <w:t>填報</w:t>
            </w:r>
            <w:r w:rsidR="00DC231A" w:rsidRPr="004C140E">
              <w:rPr>
                <w:rFonts w:eastAsia="細明體" w:cs="Segoe UI" w:hint="eastAsia"/>
                <w:sz w:val="17"/>
                <w:szCs w:val="22"/>
                <w:lang w:eastAsia="zh-HK"/>
              </w:rPr>
              <w:t>其受</w:t>
            </w:r>
            <w:r w:rsidR="0071591E" w:rsidRPr="004C140E">
              <w:rPr>
                <w:rFonts w:eastAsia="細明體" w:cs="Segoe UI"/>
                <w:sz w:val="17"/>
                <w:szCs w:val="22"/>
                <w:lang w:eastAsia="zh-TW"/>
              </w:rPr>
              <w:t>STC</w:t>
            </w:r>
            <w:r w:rsidR="0071591E" w:rsidRPr="004C140E">
              <w:rPr>
                <w:rFonts w:eastAsia="細明體" w:cs="Segoe UI" w:hint="eastAsia"/>
                <w:sz w:val="17"/>
                <w:szCs w:val="22"/>
                <w:lang w:eastAsia="zh-TW"/>
              </w:rPr>
              <w:t>計算法</w:t>
            </w:r>
            <w:r w:rsidR="009C643D" w:rsidRPr="004C140E">
              <w:rPr>
                <w:rFonts w:eastAsia="細明體" w:cs="Segoe UI" w:hint="eastAsia"/>
                <w:sz w:val="17"/>
                <w:szCs w:val="22"/>
                <w:lang w:eastAsia="zh-HK"/>
              </w:rPr>
              <w:t>所</w:t>
            </w:r>
            <w:proofErr w:type="gramStart"/>
            <w:r w:rsidR="00DC231A" w:rsidRPr="004C140E">
              <w:rPr>
                <w:rFonts w:eastAsia="細明體" w:cs="Segoe UI" w:hint="eastAsia"/>
                <w:sz w:val="17"/>
                <w:szCs w:val="22"/>
                <w:lang w:eastAsia="zh-HK"/>
              </w:rPr>
              <w:t>規</w:t>
            </w:r>
            <w:proofErr w:type="gramEnd"/>
            <w:r w:rsidR="00DC231A" w:rsidRPr="004C140E">
              <w:rPr>
                <w:rFonts w:eastAsia="細明體" w:cs="Segoe UI" w:hint="eastAsia"/>
                <w:sz w:val="17"/>
                <w:szCs w:val="22"/>
                <w:lang w:eastAsia="zh-HK"/>
              </w:rPr>
              <w:t>限</w:t>
            </w:r>
            <w:r w:rsidR="0071591E" w:rsidRPr="004C140E">
              <w:rPr>
                <w:rFonts w:eastAsia="細明體" w:cs="Segoe UI" w:hint="eastAsia"/>
                <w:sz w:val="17"/>
                <w:szCs w:val="22"/>
                <w:lang w:eastAsia="zh-TW"/>
              </w:rPr>
              <w:t>的</w:t>
            </w:r>
            <w:r w:rsidRPr="004C140E">
              <w:rPr>
                <w:rFonts w:eastAsia="細明體" w:cs="Segoe UI" w:hint="eastAsia"/>
                <w:sz w:val="17"/>
                <w:szCs w:val="22"/>
                <w:lang w:eastAsia="zh-TW"/>
              </w:rPr>
              <w:t>風險承擔。然而，認可機構如符合以下條件，則可選擇不</w:t>
            </w:r>
            <w:proofErr w:type="gramStart"/>
            <w:r w:rsidRPr="004C140E">
              <w:rPr>
                <w:rFonts w:eastAsia="細明體" w:cs="Segoe UI" w:hint="eastAsia"/>
                <w:sz w:val="17"/>
                <w:szCs w:val="22"/>
                <w:lang w:eastAsia="zh-TW"/>
              </w:rPr>
              <w:t>披露本模版</w:t>
            </w:r>
            <w:proofErr w:type="gramEnd"/>
            <w:r w:rsidRPr="004C140E">
              <w:rPr>
                <w:rFonts w:eastAsia="細明體" w:cs="Segoe UI" w:hint="eastAsia"/>
                <w:sz w:val="17"/>
                <w:szCs w:val="22"/>
                <w:lang w:eastAsia="zh-TW"/>
              </w:rPr>
              <w:t>所要求的資料：</w:t>
            </w:r>
            <w:r w:rsidRPr="004C140E">
              <w:rPr>
                <w:rFonts w:eastAsia="細明體" w:cs="Segoe UI"/>
                <w:sz w:val="17"/>
                <w:szCs w:val="22"/>
                <w:lang w:eastAsia="zh-TW"/>
              </w:rPr>
              <w:t xml:space="preserve"> </w:t>
            </w:r>
          </w:p>
          <w:p w14:paraId="2B270FDA" w14:textId="77777777" w:rsidR="005171C5" w:rsidRPr="005171C5" w:rsidRDefault="005171C5" w:rsidP="00D540EB">
            <w:pPr>
              <w:widowControl w:val="0"/>
              <w:numPr>
                <w:ilvl w:val="0"/>
                <w:numId w:val="43"/>
              </w:numPr>
              <w:suppressAutoHyphens/>
              <w:autoSpaceDE w:val="0"/>
              <w:spacing w:line="259" w:lineRule="auto"/>
              <w:ind w:left="459" w:hanging="459"/>
              <w:jc w:val="both"/>
              <w:rPr>
                <w:rFonts w:eastAsia="細明體" w:cs="Segoe UI"/>
                <w:color w:val="000000"/>
                <w:sz w:val="17"/>
                <w:szCs w:val="24"/>
                <w:lang w:eastAsia="ar-SA"/>
              </w:rPr>
            </w:pPr>
            <w:r w:rsidRPr="005171C5">
              <w:rPr>
                <w:rFonts w:eastAsia="細明體" w:cs="Segoe UI" w:hint="eastAsia"/>
                <w:color w:val="000000"/>
                <w:sz w:val="17"/>
                <w:szCs w:val="24"/>
                <w:lang w:val="en-US" w:eastAsia="ar-SA"/>
              </w:rPr>
              <w:t>按</w:t>
            </w:r>
            <w:r w:rsidRPr="005171C5">
              <w:rPr>
                <w:rFonts w:eastAsia="細明體" w:cs="Segoe UI"/>
                <w:color w:val="000000"/>
                <w:sz w:val="17"/>
                <w:szCs w:val="17"/>
                <w:lang w:eastAsia="ar-SA"/>
              </w:rPr>
              <w:t>STC</w:t>
            </w:r>
            <w:r w:rsidRPr="005171C5">
              <w:rPr>
                <w:rFonts w:eastAsia="細明體" w:cs="Segoe UI" w:hint="eastAsia"/>
                <w:color w:val="000000"/>
                <w:sz w:val="17"/>
                <w:szCs w:val="17"/>
                <w:lang w:eastAsia="ar-SA"/>
              </w:rPr>
              <w:t>計算法</w:t>
            </w:r>
            <w:r w:rsidRPr="005171C5">
              <w:rPr>
                <w:rFonts w:eastAsia="細明體" w:cs="Segoe UI" w:hint="eastAsia"/>
                <w:color w:val="000000"/>
                <w:sz w:val="17"/>
                <w:szCs w:val="17"/>
                <w:lang w:val="en-US" w:eastAsia="ar-SA"/>
              </w:rPr>
              <w:t>或</w:t>
            </w:r>
            <w:r w:rsidRPr="005171C5">
              <w:rPr>
                <w:rFonts w:eastAsia="細明體" w:cs="Segoe UI"/>
                <w:color w:val="000000"/>
                <w:sz w:val="17"/>
                <w:szCs w:val="17"/>
                <w:lang w:eastAsia="ar-SA"/>
              </w:rPr>
              <w:t>BSC</w:t>
            </w:r>
            <w:r w:rsidRPr="005171C5">
              <w:rPr>
                <w:rFonts w:eastAsia="細明體" w:cs="Segoe UI" w:hint="eastAsia"/>
                <w:color w:val="000000"/>
                <w:sz w:val="17"/>
                <w:szCs w:val="17"/>
                <w:lang w:eastAsia="ar-SA"/>
              </w:rPr>
              <w:t>計算法</w:t>
            </w:r>
            <w:r w:rsidRPr="005171C5">
              <w:rPr>
                <w:rFonts w:eastAsia="細明體" w:cs="Segoe UI"/>
                <w:color w:val="000000"/>
                <w:sz w:val="17"/>
                <w:szCs w:val="24"/>
                <w:lang w:eastAsia="ar-SA"/>
              </w:rPr>
              <w:t>計</w:t>
            </w:r>
            <w:r w:rsidRPr="005171C5">
              <w:rPr>
                <w:rFonts w:eastAsia="細明體" w:cs="Segoe UI" w:hint="eastAsia"/>
                <w:color w:val="000000"/>
                <w:sz w:val="17"/>
                <w:szCs w:val="24"/>
                <w:lang w:eastAsia="ar-SA"/>
              </w:rPr>
              <w:t>算</w:t>
            </w:r>
            <w:r w:rsidRPr="005171C5">
              <w:rPr>
                <w:rFonts w:eastAsia="細明體" w:cs="Segoe UI"/>
                <w:color w:val="000000"/>
                <w:sz w:val="17"/>
                <w:szCs w:val="17"/>
                <w:lang w:val="en-US" w:eastAsia="ar-SA"/>
              </w:rPr>
              <w:t>所</w:t>
            </w:r>
            <w:r w:rsidRPr="005171C5">
              <w:rPr>
                <w:rFonts w:eastAsia="細明體" w:cs="Segoe UI"/>
                <w:color w:val="000000"/>
                <w:sz w:val="17"/>
                <w:szCs w:val="24"/>
                <w:lang w:eastAsia="ar-SA"/>
              </w:rPr>
              <w:t>得的</w:t>
            </w:r>
            <w:r w:rsidRPr="005171C5">
              <w:rPr>
                <w:rFonts w:eastAsia="細明體" w:cs="Segoe UI" w:hint="eastAsia"/>
                <w:color w:val="000000"/>
                <w:sz w:val="17"/>
                <w:szCs w:val="24"/>
                <w:lang w:val="en-US" w:eastAsia="ar-SA"/>
              </w:rPr>
              <w:t>違責</w:t>
            </w:r>
            <w:r w:rsidRPr="005171C5">
              <w:rPr>
                <w:rFonts w:eastAsia="細明體" w:cs="Segoe UI"/>
                <w:color w:val="000000"/>
                <w:sz w:val="17"/>
                <w:szCs w:val="24"/>
                <w:lang w:eastAsia="ar-SA"/>
              </w:rPr>
              <w:t>風險</w:t>
            </w:r>
            <w:r w:rsidRPr="005171C5">
              <w:rPr>
                <w:rFonts w:eastAsia="細明體" w:cs="Segoe UI" w:hint="eastAsia"/>
                <w:color w:val="000000"/>
                <w:sz w:val="17"/>
                <w:szCs w:val="24"/>
                <w:lang w:val="en-US" w:eastAsia="ar-SA"/>
              </w:rPr>
              <w:t>的風險</w:t>
            </w:r>
            <w:r w:rsidRPr="005171C5">
              <w:rPr>
                <w:rFonts w:eastAsia="細明體" w:cs="Segoe UI"/>
                <w:color w:val="000000"/>
                <w:sz w:val="17"/>
                <w:szCs w:val="24"/>
                <w:lang w:eastAsia="ar-SA"/>
              </w:rPr>
              <w:t>承擔</w:t>
            </w:r>
            <w:r w:rsidRPr="005171C5">
              <w:rPr>
                <w:rFonts w:eastAsia="細明體" w:cs="Segoe UI" w:hint="eastAsia"/>
                <w:color w:val="000000"/>
                <w:sz w:val="17"/>
                <w:szCs w:val="24"/>
                <w:lang w:val="en-US" w:eastAsia="ar-SA"/>
              </w:rPr>
              <w:t>數</w:t>
            </w:r>
            <w:r w:rsidRPr="005171C5">
              <w:rPr>
                <w:rFonts w:eastAsia="細明體" w:cs="Segoe UI"/>
                <w:color w:val="000000"/>
                <w:sz w:val="17"/>
                <w:szCs w:val="24"/>
                <w:lang w:eastAsia="ar-SA"/>
              </w:rPr>
              <w:t>額及</w:t>
            </w:r>
            <w:r w:rsidRPr="005171C5">
              <w:rPr>
                <w:rFonts w:eastAsia="細明體" w:cs="Segoe UI" w:hint="eastAsia"/>
                <w:color w:val="000000"/>
                <w:sz w:val="17"/>
                <w:szCs w:val="24"/>
                <w:lang w:val="en-US" w:eastAsia="ar-SA"/>
              </w:rPr>
              <w:t>違責風險的風險承擔的</w:t>
            </w:r>
            <w:r w:rsidRPr="005171C5">
              <w:rPr>
                <w:rFonts w:eastAsia="細明體" w:cs="Segoe UI"/>
                <w:color w:val="000000"/>
                <w:sz w:val="17"/>
                <w:szCs w:val="24"/>
                <w:lang w:eastAsia="ar-SA"/>
              </w:rPr>
              <w:t>風險加權數額屬微不足道；</w:t>
            </w:r>
          </w:p>
          <w:p w14:paraId="1497E049" w14:textId="77777777" w:rsidR="005171C5" w:rsidRPr="005171C5" w:rsidRDefault="005171C5" w:rsidP="00D540EB">
            <w:pPr>
              <w:widowControl w:val="0"/>
              <w:numPr>
                <w:ilvl w:val="0"/>
                <w:numId w:val="43"/>
              </w:numPr>
              <w:suppressAutoHyphens/>
              <w:autoSpaceDE w:val="0"/>
              <w:spacing w:line="259" w:lineRule="auto"/>
              <w:ind w:left="459" w:hanging="459"/>
              <w:jc w:val="both"/>
              <w:rPr>
                <w:rFonts w:eastAsia="細明體" w:cs="Segoe UI"/>
                <w:color w:val="000000"/>
                <w:sz w:val="17"/>
                <w:szCs w:val="24"/>
                <w:lang w:eastAsia="ar-SA"/>
              </w:rPr>
            </w:pPr>
            <w:r w:rsidRPr="005171C5">
              <w:rPr>
                <w:rFonts w:eastAsia="細明體" w:cs="Segoe UI"/>
                <w:color w:val="000000"/>
                <w:sz w:val="17"/>
                <w:szCs w:val="24"/>
                <w:lang w:eastAsia="ar-SA"/>
              </w:rPr>
              <w:t>認可機構已在披露</w:t>
            </w:r>
            <w:r w:rsidRPr="005171C5">
              <w:rPr>
                <w:rFonts w:eastAsia="細明體" w:cs="Segoe UI" w:hint="eastAsia"/>
                <w:color w:val="000000"/>
                <w:sz w:val="17"/>
                <w:szCs w:val="24"/>
                <w:lang w:eastAsia="ar-SA"/>
              </w:rPr>
              <w:t>報表</w:t>
            </w:r>
            <w:r w:rsidRPr="005171C5">
              <w:rPr>
                <w:rFonts w:eastAsia="細明體" w:cs="Segoe UI"/>
                <w:color w:val="000000"/>
                <w:sz w:val="17"/>
                <w:szCs w:val="24"/>
                <w:lang w:eastAsia="ar-SA"/>
              </w:rPr>
              <w:t>中清楚述明此事實；及</w:t>
            </w:r>
          </w:p>
          <w:p w14:paraId="21840BF1" w14:textId="77777777" w:rsidR="005171C5" w:rsidRPr="005171C5" w:rsidRDefault="005171C5" w:rsidP="00D540EB">
            <w:pPr>
              <w:widowControl w:val="0"/>
              <w:numPr>
                <w:ilvl w:val="0"/>
                <w:numId w:val="43"/>
              </w:numPr>
              <w:suppressAutoHyphens/>
              <w:autoSpaceDE w:val="0"/>
              <w:spacing w:line="259" w:lineRule="auto"/>
              <w:ind w:left="459" w:hanging="459"/>
              <w:jc w:val="both"/>
              <w:rPr>
                <w:rFonts w:eastAsia="新細明體" w:cs="Segoe UI"/>
                <w:color w:val="000000"/>
                <w:sz w:val="24"/>
                <w:szCs w:val="24"/>
                <w:lang w:val="en-US" w:eastAsia="ar-SA"/>
              </w:rPr>
            </w:pPr>
            <w:r w:rsidRPr="005171C5">
              <w:rPr>
                <w:rFonts w:eastAsia="細明體" w:cs="Segoe UI"/>
                <w:color w:val="000000"/>
                <w:sz w:val="17"/>
                <w:szCs w:val="24"/>
                <w:lang w:eastAsia="ar-SA"/>
              </w:rPr>
              <w:t>認可</w:t>
            </w:r>
            <w:r w:rsidRPr="005171C5">
              <w:rPr>
                <w:rFonts w:eastAsia="細明體" w:cs="Segoe UI" w:hint="eastAsia"/>
                <w:color w:val="000000"/>
                <w:sz w:val="17"/>
                <w:szCs w:val="17"/>
                <w:lang w:val="en-US" w:eastAsia="ar-SA"/>
              </w:rPr>
              <w:t>機構</w:t>
            </w:r>
            <w:r w:rsidRPr="005171C5">
              <w:rPr>
                <w:rFonts w:eastAsia="細明體" w:cs="Segoe UI"/>
                <w:color w:val="000000"/>
                <w:sz w:val="17"/>
                <w:szCs w:val="24"/>
                <w:lang w:eastAsia="ar-SA"/>
              </w:rPr>
              <w:t>已在</w:t>
            </w:r>
            <w:r w:rsidRPr="005171C5">
              <w:rPr>
                <w:rFonts w:eastAsia="細明體" w:cs="Segoe UI" w:hint="eastAsia"/>
                <w:color w:val="000000"/>
                <w:sz w:val="17"/>
                <w:szCs w:val="24"/>
                <w:lang w:eastAsia="ar-SA"/>
              </w:rPr>
              <w:t>敘述評註</w:t>
            </w:r>
            <w:r w:rsidRPr="005171C5">
              <w:rPr>
                <w:rFonts w:eastAsia="細明體" w:cs="Segoe UI"/>
                <w:color w:val="000000"/>
                <w:sz w:val="17"/>
                <w:szCs w:val="24"/>
                <w:lang w:eastAsia="ar-SA"/>
              </w:rPr>
              <w:t>闡明其認為有關資料對資料使用者不具參考價值的原因，包括有關組合</w:t>
            </w:r>
            <w:r w:rsidRPr="005171C5">
              <w:rPr>
                <w:rFonts w:eastAsia="細明體" w:cs="Segoe UI" w:hint="eastAsia"/>
                <w:color w:val="000000"/>
                <w:sz w:val="17"/>
                <w:szCs w:val="24"/>
                <w:lang w:val="en-US" w:eastAsia="ar-SA"/>
              </w:rPr>
              <w:t>所包含的風險承擔</w:t>
            </w:r>
            <w:r w:rsidRPr="005171C5">
              <w:rPr>
                <w:rFonts w:eastAsia="細明體" w:cs="Segoe UI"/>
                <w:color w:val="000000"/>
                <w:sz w:val="17"/>
                <w:szCs w:val="24"/>
                <w:lang w:eastAsia="ar-SA"/>
              </w:rPr>
              <w:t>的說明及</w:t>
            </w:r>
            <w:r w:rsidRPr="005171C5">
              <w:rPr>
                <w:rFonts w:eastAsia="細明體" w:cs="Segoe UI" w:hint="eastAsia"/>
                <w:color w:val="000000"/>
                <w:sz w:val="17"/>
                <w:szCs w:val="24"/>
                <w:lang w:val="en-US" w:eastAsia="ar-SA"/>
              </w:rPr>
              <w:t>有關風險承擔</w:t>
            </w:r>
            <w:r w:rsidRPr="005171C5">
              <w:rPr>
                <w:rFonts w:eastAsia="細明體" w:cs="Segoe UI"/>
                <w:color w:val="000000"/>
                <w:sz w:val="17"/>
                <w:szCs w:val="24"/>
                <w:lang w:eastAsia="ar-SA"/>
              </w:rPr>
              <w:t>的合計總風險加權數額。</w:t>
            </w:r>
          </w:p>
        </w:tc>
      </w:tr>
      <w:tr w:rsidR="005171C5" w:rsidRPr="005171C5" w14:paraId="40B057FF" w14:textId="77777777" w:rsidTr="005171C5">
        <w:trPr>
          <w:trHeight w:val="275"/>
        </w:trPr>
        <w:tc>
          <w:tcPr>
            <w:tcW w:w="2127" w:type="dxa"/>
            <w:tcBorders>
              <w:top w:val="single" w:sz="4" w:space="0" w:color="000000"/>
              <w:bottom w:val="single" w:sz="4" w:space="0" w:color="000000"/>
            </w:tcBorders>
            <w:shd w:val="clear" w:color="auto" w:fill="auto"/>
          </w:tcPr>
          <w:p w14:paraId="3CD7CB80" w14:textId="77777777" w:rsidR="005171C5" w:rsidRPr="005171C5" w:rsidRDefault="005171C5" w:rsidP="005171C5">
            <w:pPr>
              <w:spacing w:before="40" w:after="40" w:line="259" w:lineRule="auto"/>
              <w:rPr>
                <w:rFonts w:ascii="Calibri" w:eastAsia="細明體" w:hAnsi="Calibri"/>
                <w:sz w:val="17"/>
                <w:szCs w:val="22"/>
                <w:lang w:eastAsia="zh-CN"/>
              </w:rPr>
            </w:pPr>
            <w:proofErr w:type="gramStart"/>
            <w:r w:rsidRPr="005171C5">
              <w:rPr>
                <w:rFonts w:ascii="Calibri" w:eastAsia="細明體" w:hAnsi="Calibri"/>
                <w:b/>
                <w:sz w:val="17"/>
                <w:szCs w:val="22"/>
                <w:lang w:eastAsia="zh-CN"/>
              </w:rPr>
              <w:t>內</w:t>
            </w:r>
            <w:proofErr w:type="gramEnd"/>
            <w:r w:rsidRPr="005171C5">
              <w:rPr>
                <w:rFonts w:ascii="Calibri" w:eastAsia="細明體" w:hAnsi="Calibri"/>
                <w:b/>
                <w:sz w:val="17"/>
                <w:szCs w:val="22"/>
                <w:lang w:eastAsia="zh-CN"/>
              </w:rPr>
              <w:t>容：</w:t>
            </w:r>
            <w:r w:rsidRPr="005171C5">
              <w:rPr>
                <w:rFonts w:ascii="Calibri" w:eastAsia="細明體" w:hAnsi="Calibri"/>
                <w:b/>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3DA6BD13" w14:textId="77777777" w:rsidR="005171C5" w:rsidRPr="005171C5" w:rsidRDefault="005171C5" w:rsidP="005171C5">
            <w:pPr>
              <w:spacing w:before="40" w:after="40" w:line="259" w:lineRule="auto"/>
              <w:jc w:val="both"/>
              <w:rPr>
                <w:rFonts w:ascii="Calibri" w:eastAsia="新細明體" w:hAnsi="Calibri"/>
                <w:sz w:val="22"/>
                <w:szCs w:val="22"/>
                <w:lang w:eastAsia="zh-TW"/>
              </w:rPr>
            </w:pPr>
            <w:proofErr w:type="gramStart"/>
            <w:r w:rsidRPr="005171C5">
              <w:rPr>
                <w:rFonts w:ascii="Calibri" w:eastAsia="細明體" w:hAnsi="Calibri" w:hint="eastAsia"/>
                <w:sz w:val="17"/>
                <w:szCs w:val="22"/>
                <w:lang w:eastAsia="zh-TW"/>
              </w:rPr>
              <w:t>違責風險</w:t>
            </w:r>
            <w:proofErr w:type="gramEnd"/>
            <w:r w:rsidRPr="005171C5">
              <w:rPr>
                <w:rFonts w:ascii="Calibri" w:eastAsia="細明體" w:hAnsi="Calibri" w:hint="eastAsia"/>
                <w:sz w:val="17"/>
                <w:szCs w:val="22"/>
                <w:lang w:eastAsia="zh-TW"/>
              </w:rPr>
              <w:t>的風險承擔數額。</w:t>
            </w:r>
          </w:p>
        </w:tc>
      </w:tr>
      <w:tr w:rsidR="005171C5" w:rsidRPr="005171C5" w14:paraId="41FDCC2C" w14:textId="77777777" w:rsidTr="005171C5">
        <w:tc>
          <w:tcPr>
            <w:tcW w:w="2127" w:type="dxa"/>
            <w:tcBorders>
              <w:top w:val="single" w:sz="4" w:space="0" w:color="000000"/>
              <w:bottom w:val="single" w:sz="4" w:space="0" w:color="000000"/>
            </w:tcBorders>
            <w:shd w:val="clear" w:color="auto" w:fill="auto"/>
          </w:tcPr>
          <w:p w14:paraId="482CA029"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頻密程度：</w:t>
            </w:r>
            <w:r w:rsidRPr="005171C5">
              <w:rPr>
                <w:rFonts w:ascii="Calibri" w:eastAsia="細明體" w:hAnsi="Calibri"/>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73092C84"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每半年一次</w:t>
            </w:r>
            <w:r w:rsidRPr="005171C5">
              <w:rPr>
                <w:rFonts w:eastAsia="細明體" w:cs="Segoe UI"/>
                <w:sz w:val="17"/>
                <w:lang w:eastAsia="ar-SA"/>
              </w:rPr>
              <w:t>。</w:t>
            </w:r>
          </w:p>
        </w:tc>
      </w:tr>
      <w:tr w:rsidR="005171C5" w:rsidRPr="005171C5" w14:paraId="2BCBA9DC" w14:textId="77777777" w:rsidTr="005171C5">
        <w:tc>
          <w:tcPr>
            <w:tcW w:w="2127" w:type="dxa"/>
            <w:tcBorders>
              <w:top w:val="single" w:sz="4" w:space="0" w:color="000000"/>
              <w:bottom w:val="single" w:sz="4" w:space="0" w:color="000000"/>
            </w:tcBorders>
            <w:shd w:val="clear" w:color="auto" w:fill="auto"/>
          </w:tcPr>
          <w:p w14:paraId="408E9684"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格式：</w:t>
            </w:r>
            <w:r w:rsidRPr="005171C5">
              <w:rPr>
                <w:rFonts w:ascii="Calibri" w:eastAsia="細明體" w:hAnsi="Calibri"/>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39311A53" w14:textId="77777777" w:rsidR="005171C5" w:rsidRPr="005171C5" w:rsidRDefault="005171C5" w:rsidP="005171C5">
            <w:pPr>
              <w:suppressAutoHyphens/>
              <w:spacing w:before="40" w:after="40"/>
              <w:jc w:val="both"/>
              <w:rPr>
                <w:rFonts w:cs="Segoe UI"/>
                <w:sz w:val="17"/>
                <w:lang w:eastAsia="zh-TW"/>
              </w:rPr>
            </w:pPr>
            <w:r w:rsidRPr="005171C5">
              <w:rPr>
                <w:rFonts w:eastAsia="細明體" w:cs="Segoe UI" w:hint="eastAsia"/>
                <w:sz w:val="17"/>
                <w:lang w:eastAsia="zh-TW"/>
              </w:rPr>
              <w:t>固定。欄是固定的，</w:t>
            </w:r>
            <w:proofErr w:type="gramStart"/>
            <w:r w:rsidRPr="005171C5">
              <w:rPr>
                <w:rFonts w:eastAsia="細明體" w:cs="Segoe UI" w:hint="eastAsia"/>
                <w:sz w:val="17"/>
                <w:lang w:eastAsia="zh-TW"/>
              </w:rPr>
              <w:t>在</w:t>
            </w:r>
            <w:r w:rsidRPr="005171C5">
              <w:rPr>
                <w:rFonts w:eastAsia="細明體" w:cs="Segoe UI"/>
                <w:sz w:val="17"/>
                <w:lang w:eastAsia="zh-TW"/>
              </w:rPr>
              <w:t>本模版</w:t>
            </w:r>
            <w:proofErr w:type="gramEnd"/>
            <w:r w:rsidRPr="005171C5">
              <w:rPr>
                <w:rFonts w:eastAsia="細明體" w:cs="Segoe UI"/>
                <w:sz w:val="17"/>
                <w:lang w:eastAsia="zh-TW"/>
              </w:rPr>
              <w:t>的</w:t>
            </w:r>
            <w:r w:rsidRPr="005171C5">
              <w:rPr>
                <w:rFonts w:eastAsia="細明體" w:cs="Segoe UI"/>
                <w:sz w:val="17"/>
                <w:lang w:eastAsia="zh-TW"/>
              </w:rPr>
              <w:t>STC</w:t>
            </w:r>
            <w:r w:rsidRPr="005171C5">
              <w:rPr>
                <w:rFonts w:eastAsia="細明體" w:cs="Segoe UI" w:hint="eastAsia"/>
                <w:sz w:val="17"/>
                <w:lang w:eastAsia="zh-TW"/>
              </w:rPr>
              <w:t>版本及</w:t>
            </w:r>
            <w:r w:rsidRPr="005171C5">
              <w:rPr>
                <w:rFonts w:eastAsia="細明體" w:cs="Segoe UI"/>
                <w:sz w:val="17"/>
                <w:lang w:eastAsia="zh-TW"/>
              </w:rPr>
              <w:t>BSC</w:t>
            </w:r>
            <w:r w:rsidRPr="005171C5">
              <w:rPr>
                <w:rFonts w:eastAsia="細明體" w:cs="Segoe UI" w:hint="eastAsia"/>
                <w:sz w:val="17"/>
                <w:lang w:eastAsia="zh-TW"/>
              </w:rPr>
              <w:t>版本的行分別反映《資本規則》所界定的風險承擔類別（如適用）。</w:t>
            </w:r>
          </w:p>
        </w:tc>
      </w:tr>
      <w:tr w:rsidR="005171C5" w:rsidRPr="005171C5" w14:paraId="183C867F" w14:textId="77777777" w:rsidTr="005171C5">
        <w:tc>
          <w:tcPr>
            <w:tcW w:w="2127" w:type="dxa"/>
            <w:tcBorders>
              <w:top w:val="single" w:sz="4" w:space="0" w:color="000000"/>
              <w:bottom w:val="single" w:sz="4" w:space="0" w:color="000000"/>
            </w:tcBorders>
            <w:shd w:val="clear" w:color="auto" w:fill="auto"/>
          </w:tcPr>
          <w:p w14:paraId="3F40303E" w14:textId="77777777" w:rsidR="005171C5" w:rsidRPr="005171C5" w:rsidRDefault="005171C5" w:rsidP="005171C5">
            <w:pPr>
              <w:spacing w:before="40" w:after="40" w:line="259" w:lineRule="auto"/>
              <w:rPr>
                <w:rFonts w:ascii="Calibri" w:eastAsia="細明體" w:hAnsi="Calibri"/>
                <w:sz w:val="22"/>
                <w:szCs w:val="17"/>
                <w:lang w:eastAsia="zh-CN"/>
              </w:rPr>
            </w:pPr>
            <w:r w:rsidRPr="005171C5">
              <w:rPr>
                <w:rFonts w:ascii="Calibri" w:eastAsia="細明體" w:hAnsi="Calibri" w:hint="eastAsia"/>
                <w:b/>
                <w:sz w:val="17"/>
                <w:szCs w:val="17"/>
                <w:lang w:eastAsia="zh-CN"/>
              </w:rPr>
              <w:t>附加說明：</w:t>
            </w:r>
          </w:p>
        </w:tc>
        <w:tc>
          <w:tcPr>
            <w:tcW w:w="11765" w:type="dxa"/>
            <w:tcBorders>
              <w:top w:val="single" w:sz="4" w:space="0" w:color="000000"/>
              <w:left w:val="single" w:sz="4" w:space="0" w:color="000000"/>
              <w:bottom w:val="single" w:sz="4" w:space="0" w:color="000000"/>
            </w:tcBorders>
            <w:shd w:val="clear" w:color="auto" w:fill="auto"/>
          </w:tcPr>
          <w:p w14:paraId="1C8793C4" w14:textId="42398BEA" w:rsidR="005171C5" w:rsidRPr="005171C5" w:rsidRDefault="005171C5" w:rsidP="00186F18">
            <w:pPr>
              <w:suppressAutoHyphens/>
              <w:spacing w:before="40" w:after="40"/>
              <w:jc w:val="both"/>
              <w:rPr>
                <w:rFonts w:cs="Segoe UI"/>
                <w:sz w:val="17"/>
                <w:lang w:eastAsia="zh-TW"/>
              </w:rPr>
            </w:pPr>
            <w:r w:rsidRPr="005171C5">
              <w:rPr>
                <w:rFonts w:eastAsia="細明體" w:cs="Segoe UI" w:hint="eastAsia"/>
                <w:sz w:val="17"/>
                <w:szCs w:val="17"/>
                <w:lang w:eastAsia="zh-TW"/>
              </w:rPr>
              <w:t>認可機構應以敘述評</w:t>
            </w:r>
            <w:proofErr w:type="gramStart"/>
            <w:r w:rsidRPr="005171C5">
              <w:rPr>
                <w:rFonts w:eastAsia="細明體" w:cs="Segoe UI" w:hint="eastAsia"/>
                <w:sz w:val="17"/>
                <w:szCs w:val="17"/>
                <w:lang w:eastAsia="zh-TW"/>
              </w:rPr>
              <w:t>註</w:t>
            </w:r>
            <w:proofErr w:type="gramEnd"/>
            <w:r w:rsidRPr="005171C5">
              <w:rPr>
                <w:rFonts w:eastAsia="細明體" w:cs="Segoe UI" w:hint="eastAsia"/>
                <w:sz w:val="17"/>
                <w:szCs w:val="17"/>
                <w:lang w:eastAsia="zh-TW"/>
              </w:rPr>
              <w:t>闡明現行報告期內的任何重大</w:t>
            </w:r>
            <w:r w:rsidR="00186F18" w:rsidRPr="00186F18">
              <w:rPr>
                <w:rFonts w:eastAsia="細明體" w:cs="Segoe UI" w:hint="eastAsia"/>
                <w:sz w:val="17"/>
                <w:szCs w:val="17"/>
                <w:lang w:eastAsia="zh-TW"/>
              </w:rPr>
              <w:t>改</w:t>
            </w:r>
            <w:r w:rsidRPr="005171C5">
              <w:rPr>
                <w:rFonts w:eastAsia="細明體" w:cs="Segoe UI" w:hint="eastAsia"/>
                <w:sz w:val="17"/>
                <w:szCs w:val="17"/>
                <w:lang w:eastAsia="zh-TW"/>
              </w:rPr>
              <w:t>變及引致該等</w:t>
            </w:r>
            <w:r w:rsidR="00186F18" w:rsidRPr="00186F18">
              <w:rPr>
                <w:rFonts w:eastAsia="細明體" w:cs="Segoe UI" w:hint="eastAsia"/>
                <w:sz w:val="17"/>
                <w:szCs w:val="17"/>
                <w:lang w:eastAsia="zh-TW"/>
              </w:rPr>
              <w:t>改</w:t>
            </w:r>
            <w:r w:rsidRPr="005171C5">
              <w:rPr>
                <w:rFonts w:eastAsia="細明體" w:cs="Segoe UI" w:hint="eastAsia"/>
                <w:sz w:val="17"/>
                <w:szCs w:val="17"/>
                <w:lang w:eastAsia="zh-TW"/>
              </w:rPr>
              <w:t>變的主要驅動因素，以</w:t>
            </w:r>
            <w:proofErr w:type="gramStart"/>
            <w:r w:rsidRPr="005171C5">
              <w:rPr>
                <w:rFonts w:eastAsia="細明體" w:cs="Segoe UI" w:hint="eastAsia"/>
                <w:sz w:val="17"/>
                <w:szCs w:val="17"/>
                <w:lang w:eastAsia="zh-TW"/>
              </w:rPr>
              <w:t>補充本模版</w:t>
            </w:r>
            <w:proofErr w:type="gramEnd"/>
            <w:r w:rsidRPr="005171C5">
              <w:rPr>
                <w:rFonts w:eastAsia="細明體" w:cs="Segoe UI" w:hint="eastAsia"/>
                <w:sz w:val="17"/>
                <w:szCs w:val="17"/>
                <w:lang w:eastAsia="zh-TW"/>
              </w:rPr>
              <w:t>。</w:t>
            </w:r>
            <w:r w:rsidRPr="005171C5">
              <w:rPr>
                <w:rFonts w:eastAsia="細明體" w:cs="Segoe UI"/>
                <w:sz w:val="17"/>
                <w:lang w:eastAsia="zh-TW"/>
              </w:rPr>
              <w:t xml:space="preserve"> </w:t>
            </w:r>
          </w:p>
        </w:tc>
      </w:tr>
      <w:tr w:rsidR="005171C5" w:rsidRPr="005171C5" w14:paraId="34CF1EAC" w14:textId="77777777" w:rsidTr="005171C5">
        <w:tc>
          <w:tcPr>
            <w:tcW w:w="2127" w:type="dxa"/>
            <w:tcBorders>
              <w:top w:val="single" w:sz="4" w:space="0" w:color="000000"/>
              <w:bottom w:val="single" w:sz="4" w:space="0" w:color="000000"/>
            </w:tcBorders>
            <w:shd w:val="clear" w:color="auto" w:fill="auto"/>
          </w:tcPr>
          <w:p w14:paraId="650063C4" w14:textId="77777777" w:rsidR="005171C5" w:rsidRPr="005171C5" w:rsidRDefault="005171C5" w:rsidP="005171C5">
            <w:pPr>
              <w:spacing w:before="40" w:after="40" w:line="259" w:lineRule="auto"/>
              <w:rPr>
                <w:rFonts w:ascii="Calibri" w:eastAsia="細明體" w:hAnsi="Calibri"/>
                <w:sz w:val="22"/>
                <w:szCs w:val="17"/>
                <w:lang w:eastAsia="zh-TW"/>
              </w:rPr>
            </w:pPr>
            <w:r w:rsidRPr="005171C5">
              <w:rPr>
                <w:rFonts w:ascii="Calibri" w:eastAsia="細明體" w:hAnsi="Calibri" w:hint="eastAsia"/>
                <w:b/>
                <w:sz w:val="17"/>
                <w:szCs w:val="17"/>
                <w:lang w:eastAsia="zh-TW"/>
              </w:rPr>
              <w:t>《披露規則》相應條文：</w:t>
            </w:r>
          </w:p>
        </w:tc>
        <w:tc>
          <w:tcPr>
            <w:tcW w:w="11765" w:type="dxa"/>
            <w:tcBorders>
              <w:top w:val="single" w:sz="4" w:space="0" w:color="000000"/>
              <w:left w:val="single" w:sz="4" w:space="0" w:color="000000"/>
              <w:bottom w:val="single" w:sz="4" w:space="0" w:color="000000"/>
            </w:tcBorders>
            <w:shd w:val="clear" w:color="auto" w:fill="auto"/>
          </w:tcPr>
          <w:p w14:paraId="5B0047CB"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sz w:val="17"/>
                <w:szCs w:val="17"/>
                <w:lang w:eastAsia="ar-SA"/>
              </w:rPr>
              <w:t>16Y</w:t>
            </w:r>
          </w:p>
        </w:tc>
      </w:tr>
    </w:tbl>
    <w:p w14:paraId="0D0AE357" w14:textId="6DFD1B3D" w:rsidR="001D25C6" w:rsidRDefault="001D25C6">
      <w:pPr>
        <w:suppressAutoHyphens/>
        <w:spacing w:after="120"/>
        <w:rPr>
          <w:rFonts w:eastAsia="細明體" w:cs="Segoe UI"/>
          <w:u w:val="single"/>
          <w:lang w:eastAsia="ar-SA"/>
        </w:rPr>
      </w:pPr>
    </w:p>
    <w:p w14:paraId="220AE427" w14:textId="0F7AE73A" w:rsidR="001D25C6" w:rsidRDefault="001D25C6">
      <w:pPr>
        <w:suppressAutoHyphens/>
        <w:spacing w:after="120"/>
        <w:rPr>
          <w:rFonts w:eastAsia="細明體" w:cs="Segoe UI"/>
          <w:u w:val="single"/>
          <w:lang w:eastAsia="ar-SA"/>
        </w:rPr>
      </w:pPr>
    </w:p>
    <w:p w14:paraId="7905596F" w14:textId="77777777" w:rsidR="001D25C6" w:rsidRDefault="001D25C6">
      <w:pPr>
        <w:suppressAutoHyphens/>
        <w:spacing w:after="120"/>
        <w:rPr>
          <w:rFonts w:eastAsia="細明體" w:cs="Segoe UI"/>
          <w:u w:val="single"/>
          <w:lang w:eastAsia="ar-SA"/>
        </w:rPr>
      </w:pPr>
    </w:p>
    <w:p w14:paraId="799E6626" w14:textId="2B9F70BB" w:rsidR="00235AF2" w:rsidRDefault="00235AF2">
      <w:pPr>
        <w:suppressAutoHyphens/>
        <w:spacing w:after="120"/>
        <w:rPr>
          <w:rFonts w:eastAsia="細明體" w:cs="Segoe UI"/>
          <w:u w:val="single"/>
          <w:lang w:eastAsia="ar-SA"/>
        </w:rPr>
      </w:pPr>
    </w:p>
    <w:p w14:paraId="6F14D783" w14:textId="1F1166B8" w:rsidR="005171C5" w:rsidRPr="0028643C" w:rsidRDefault="004E4CB8" w:rsidP="0028643C">
      <w:pPr>
        <w:suppressAutoHyphens/>
        <w:spacing w:after="120"/>
        <w:rPr>
          <w:rFonts w:eastAsia="細明體" w:cs="Segoe UI"/>
          <w:u w:val="single"/>
          <w:lang w:eastAsia="ar-SA"/>
        </w:rPr>
      </w:pPr>
      <w:r w:rsidRPr="0028643C">
        <w:rPr>
          <w:rFonts w:eastAsia="細明體" w:cs="Segoe UI" w:hint="eastAsia"/>
          <w:u w:val="single"/>
          <w:lang w:eastAsia="ar-SA"/>
        </w:rPr>
        <w:t>供使用</w:t>
      </w:r>
      <w:r w:rsidR="005171C5" w:rsidRPr="0028643C">
        <w:rPr>
          <w:rFonts w:eastAsia="細明體" w:cs="Segoe UI"/>
          <w:u w:val="single"/>
          <w:lang w:eastAsia="ar-SA"/>
        </w:rPr>
        <w:t>STC</w:t>
      </w:r>
      <w:r w:rsidR="005171C5" w:rsidRPr="0028643C">
        <w:rPr>
          <w:rFonts w:eastAsia="細明體" w:cs="Segoe UI" w:hint="eastAsia"/>
          <w:u w:val="single"/>
          <w:lang w:eastAsia="ar-SA"/>
        </w:rPr>
        <w:t>計算法的認可機構使用的版本（「</w:t>
      </w:r>
      <w:r w:rsidR="005171C5" w:rsidRPr="0028643C">
        <w:rPr>
          <w:rFonts w:eastAsia="細明體" w:cs="Segoe UI"/>
          <w:u w:val="single"/>
          <w:lang w:eastAsia="ar-SA"/>
        </w:rPr>
        <w:t>STC</w:t>
      </w:r>
      <w:r w:rsidR="005171C5" w:rsidRPr="0028643C">
        <w:rPr>
          <w:rFonts w:eastAsia="細明體" w:cs="Segoe UI" w:hint="eastAsia"/>
          <w:u w:val="single"/>
          <w:lang w:eastAsia="ar-SA"/>
        </w:rPr>
        <w:t>版本」）</w:t>
      </w:r>
    </w:p>
    <w:tbl>
      <w:tblPr>
        <w:tblW w:w="11898" w:type="dxa"/>
        <w:tblInd w:w="108" w:type="dxa"/>
        <w:tblLayout w:type="fixed"/>
        <w:tblCellMar>
          <w:left w:w="99" w:type="dxa"/>
          <w:right w:w="99" w:type="dxa"/>
        </w:tblCellMar>
        <w:tblLook w:val="0000" w:firstRow="0" w:lastRow="0" w:firstColumn="0" w:lastColumn="0" w:noHBand="0" w:noVBand="0"/>
      </w:tblPr>
      <w:tblGrid>
        <w:gridCol w:w="397"/>
        <w:gridCol w:w="2551"/>
        <w:gridCol w:w="624"/>
        <w:gridCol w:w="624"/>
        <w:gridCol w:w="624"/>
        <w:gridCol w:w="624"/>
        <w:gridCol w:w="624"/>
        <w:gridCol w:w="624"/>
        <w:gridCol w:w="624"/>
        <w:gridCol w:w="624"/>
        <w:gridCol w:w="624"/>
        <w:gridCol w:w="624"/>
        <w:gridCol w:w="624"/>
        <w:gridCol w:w="2086"/>
      </w:tblGrid>
      <w:tr w:rsidR="008F72B1" w:rsidRPr="005171C5" w14:paraId="587DAB1C" w14:textId="77777777" w:rsidTr="0028643C">
        <w:trPr>
          <w:trHeight w:val="175"/>
          <w:tblHeader/>
        </w:trPr>
        <w:tc>
          <w:tcPr>
            <w:tcW w:w="397" w:type="dxa"/>
            <w:shd w:val="clear" w:color="auto" w:fill="auto"/>
          </w:tcPr>
          <w:p w14:paraId="6899D005" w14:textId="77777777" w:rsidR="008F72B1" w:rsidRPr="005171C5" w:rsidRDefault="008F72B1" w:rsidP="005171C5">
            <w:pPr>
              <w:suppressAutoHyphens/>
              <w:snapToGrid w:val="0"/>
              <w:spacing w:before="40" w:after="40"/>
              <w:rPr>
                <w:rFonts w:cs="Segoe UI"/>
                <w:sz w:val="16"/>
                <w:szCs w:val="16"/>
                <w:lang w:eastAsia="zh-TW"/>
              </w:rPr>
            </w:pPr>
          </w:p>
        </w:tc>
        <w:tc>
          <w:tcPr>
            <w:tcW w:w="2551" w:type="dxa"/>
            <w:tcBorders>
              <w:bottom w:val="single" w:sz="4" w:space="0" w:color="000000"/>
            </w:tcBorders>
            <w:shd w:val="clear" w:color="auto" w:fill="auto"/>
            <w:vAlign w:val="center"/>
          </w:tcPr>
          <w:p w14:paraId="6FCE3830"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000000"/>
              <w:left w:val="single" w:sz="4" w:space="0" w:color="000000"/>
              <w:bottom w:val="single" w:sz="4" w:space="0" w:color="000000"/>
            </w:tcBorders>
            <w:shd w:val="clear" w:color="auto" w:fill="auto"/>
            <w:vAlign w:val="center"/>
          </w:tcPr>
          <w:p w14:paraId="554E8A9D" w14:textId="77777777" w:rsidR="008F72B1" w:rsidRPr="005171C5" w:rsidRDefault="008F72B1" w:rsidP="005171C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(a)</w:t>
            </w:r>
          </w:p>
        </w:tc>
        <w:tc>
          <w:tcPr>
            <w:tcW w:w="624" w:type="dxa"/>
            <w:tcBorders>
              <w:top w:val="single" w:sz="4" w:space="0" w:color="000000"/>
              <w:left w:val="single" w:sz="4" w:space="0" w:color="000000"/>
              <w:bottom w:val="single" w:sz="4" w:space="0" w:color="000000"/>
            </w:tcBorders>
            <w:shd w:val="clear" w:color="auto" w:fill="auto"/>
            <w:vAlign w:val="center"/>
          </w:tcPr>
          <w:p w14:paraId="41288892" w14:textId="77777777" w:rsidR="008F72B1" w:rsidRPr="005171C5" w:rsidRDefault="008F72B1" w:rsidP="005171C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(b)</w:t>
            </w:r>
          </w:p>
        </w:tc>
        <w:tc>
          <w:tcPr>
            <w:tcW w:w="624" w:type="dxa"/>
            <w:tcBorders>
              <w:top w:val="single" w:sz="4" w:space="0" w:color="000000"/>
              <w:left w:val="single" w:sz="4" w:space="0" w:color="000000"/>
              <w:bottom w:val="single" w:sz="4" w:space="0" w:color="000000"/>
            </w:tcBorders>
            <w:shd w:val="clear" w:color="auto" w:fill="auto"/>
            <w:vAlign w:val="center"/>
          </w:tcPr>
          <w:p w14:paraId="294A1E71" w14:textId="77777777" w:rsidR="008F72B1" w:rsidRPr="005171C5" w:rsidRDefault="008F72B1" w:rsidP="005171C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(c)</w:t>
            </w:r>
          </w:p>
        </w:tc>
        <w:tc>
          <w:tcPr>
            <w:tcW w:w="624" w:type="dxa"/>
            <w:tcBorders>
              <w:top w:val="single" w:sz="4" w:space="0" w:color="000000"/>
              <w:left w:val="single" w:sz="4" w:space="0" w:color="000000"/>
              <w:bottom w:val="single" w:sz="4" w:space="0" w:color="000000"/>
              <w:right w:val="single" w:sz="4" w:space="0" w:color="000000"/>
            </w:tcBorders>
            <w:vAlign w:val="center"/>
          </w:tcPr>
          <w:p w14:paraId="1B7E9963" w14:textId="77777777" w:rsidR="008F72B1" w:rsidRPr="005171C5" w:rsidRDefault="008F72B1" w:rsidP="000630FC">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(ca)</w:t>
            </w:r>
          </w:p>
        </w:tc>
        <w:tc>
          <w:tcPr>
            <w:tcW w:w="624" w:type="dxa"/>
            <w:tcBorders>
              <w:top w:val="single" w:sz="4" w:space="0" w:color="000000"/>
              <w:left w:val="single" w:sz="4" w:space="0" w:color="000000"/>
              <w:bottom w:val="single" w:sz="4" w:space="0" w:color="000000"/>
              <w:right w:val="single" w:sz="4" w:space="0" w:color="000000"/>
            </w:tcBorders>
            <w:vAlign w:val="center"/>
          </w:tcPr>
          <w:p w14:paraId="62CF379D" w14:textId="4B985819" w:rsidR="008F72B1" w:rsidRPr="005171C5" w:rsidRDefault="008F72B1" w:rsidP="000630FC">
            <w:pPr>
              <w:suppressAutoHyphens/>
              <w:snapToGrid w:val="0"/>
              <w:spacing w:before="40" w:after="40"/>
              <w:jc w:val="center"/>
              <w:rPr>
                <w:rFonts w:eastAsia="細明體" w:cs="Segoe UI"/>
                <w:sz w:val="16"/>
                <w:szCs w:val="16"/>
                <w:lang w:eastAsia="ar-SA"/>
              </w:rPr>
            </w:pPr>
            <w:r>
              <w:rPr>
                <w:rFonts w:eastAsia="細明體" w:cs="Segoe UI" w:hint="eastAsia"/>
                <w:sz w:val="16"/>
                <w:szCs w:val="16"/>
                <w:lang w:eastAsia="zh-TW"/>
              </w:rPr>
              <w:t>(</w:t>
            </w:r>
            <w:proofErr w:type="spellStart"/>
            <w:r w:rsidRPr="005171C5">
              <w:rPr>
                <w:rFonts w:eastAsia="細明體" w:cs="Segoe UI"/>
                <w:sz w:val="16"/>
                <w:szCs w:val="16"/>
                <w:lang w:eastAsia="ar-SA"/>
              </w:rPr>
              <w:t>cb</w:t>
            </w:r>
            <w:proofErr w:type="spellEnd"/>
            <w:r w:rsidRPr="005171C5">
              <w:rPr>
                <w:rFonts w:eastAsia="細明體" w:cs="Segoe UI"/>
                <w:sz w:val="16"/>
                <w:szCs w:val="16"/>
                <w:lang w:eastAsia="ar-SA"/>
              </w:rPr>
              <w:t>)</w:t>
            </w:r>
          </w:p>
        </w:tc>
        <w:tc>
          <w:tcPr>
            <w:tcW w:w="624" w:type="dxa"/>
            <w:tcBorders>
              <w:top w:val="single" w:sz="4" w:space="0" w:color="000000"/>
              <w:left w:val="single" w:sz="4" w:space="0" w:color="000000"/>
              <w:bottom w:val="single" w:sz="4" w:space="0" w:color="000000"/>
            </w:tcBorders>
            <w:shd w:val="clear" w:color="auto" w:fill="auto"/>
            <w:vAlign w:val="center"/>
          </w:tcPr>
          <w:p w14:paraId="4B4D5FF0" w14:textId="77777777" w:rsidR="008F72B1" w:rsidRPr="005171C5" w:rsidRDefault="008F72B1" w:rsidP="005171C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(d)</w:t>
            </w:r>
          </w:p>
        </w:tc>
        <w:tc>
          <w:tcPr>
            <w:tcW w:w="624" w:type="dxa"/>
            <w:tcBorders>
              <w:top w:val="single" w:sz="4" w:space="0" w:color="000000"/>
              <w:left w:val="single" w:sz="4" w:space="0" w:color="000000"/>
              <w:bottom w:val="single" w:sz="4" w:space="0" w:color="000000"/>
            </w:tcBorders>
            <w:shd w:val="clear" w:color="auto" w:fill="auto"/>
            <w:vAlign w:val="center"/>
          </w:tcPr>
          <w:p w14:paraId="72664BEE" w14:textId="77777777" w:rsidR="008F72B1" w:rsidRPr="005171C5" w:rsidRDefault="008F72B1" w:rsidP="005171C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(e)</w:t>
            </w:r>
          </w:p>
        </w:tc>
        <w:tc>
          <w:tcPr>
            <w:tcW w:w="624" w:type="dxa"/>
            <w:tcBorders>
              <w:top w:val="single" w:sz="4" w:space="0" w:color="000000"/>
              <w:left w:val="single" w:sz="4" w:space="0" w:color="000000"/>
              <w:bottom w:val="single" w:sz="4" w:space="0" w:color="000000"/>
              <w:right w:val="single" w:sz="4" w:space="0" w:color="000000"/>
            </w:tcBorders>
            <w:vAlign w:val="center"/>
          </w:tcPr>
          <w:p w14:paraId="597BF02E" w14:textId="4E1C00E0" w:rsidR="008F72B1" w:rsidRPr="005171C5" w:rsidRDefault="008F72B1" w:rsidP="000630FC">
            <w:pPr>
              <w:suppressAutoHyphens/>
              <w:snapToGrid w:val="0"/>
              <w:spacing w:before="40" w:after="40"/>
              <w:jc w:val="center"/>
              <w:rPr>
                <w:rFonts w:eastAsia="細明體" w:cs="Segoe UI"/>
                <w:sz w:val="16"/>
                <w:szCs w:val="16"/>
                <w:lang w:eastAsia="ar-SA"/>
              </w:rPr>
            </w:pPr>
            <w:r>
              <w:rPr>
                <w:rFonts w:eastAsia="細明體" w:cs="Segoe UI" w:hint="eastAsia"/>
                <w:sz w:val="16"/>
                <w:szCs w:val="16"/>
                <w:lang w:eastAsia="zh-TW"/>
              </w:rPr>
              <w:t>(</w:t>
            </w:r>
            <w:proofErr w:type="spellStart"/>
            <w:r w:rsidRPr="005171C5">
              <w:rPr>
                <w:rFonts w:eastAsia="細明體" w:cs="Segoe UI"/>
                <w:sz w:val="16"/>
                <w:szCs w:val="16"/>
                <w:lang w:eastAsia="ar-SA"/>
              </w:rPr>
              <w:t>ea</w:t>
            </w:r>
            <w:proofErr w:type="spellEnd"/>
            <w:r w:rsidRPr="005171C5">
              <w:rPr>
                <w:rFonts w:eastAsia="細明體" w:cs="Segoe UI"/>
                <w:sz w:val="16"/>
                <w:szCs w:val="16"/>
                <w:lang w:eastAsia="ar-SA"/>
              </w:rPr>
              <w:t>)</w:t>
            </w:r>
          </w:p>
        </w:tc>
        <w:tc>
          <w:tcPr>
            <w:tcW w:w="624" w:type="dxa"/>
            <w:tcBorders>
              <w:top w:val="single" w:sz="4" w:space="0" w:color="000000"/>
              <w:left w:val="single" w:sz="4" w:space="0" w:color="000000"/>
              <w:bottom w:val="single" w:sz="4" w:space="0" w:color="000000"/>
            </w:tcBorders>
            <w:shd w:val="clear" w:color="auto" w:fill="auto"/>
            <w:vAlign w:val="center"/>
          </w:tcPr>
          <w:p w14:paraId="02BA0555" w14:textId="77777777" w:rsidR="008F72B1" w:rsidRPr="005171C5" w:rsidRDefault="008F72B1" w:rsidP="000630FC">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(f)</w:t>
            </w:r>
          </w:p>
        </w:tc>
        <w:tc>
          <w:tcPr>
            <w:tcW w:w="624" w:type="dxa"/>
            <w:tcBorders>
              <w:top w:val="single" w:sz="4" w:space="0" w:color="000000"/>
              <w:left w:val="single" w:sz="4" w:space="0" w:color="000000"/>
              <w:bottom w:val="single" w:sz="4" w:space="0" w:color="000000"/>
            </w:tcBorders>
            <w:shd w:val="clear" w:color="auto" w:fill="auto"/>
            <w:vAlign w:val="center"/>
          </w:tcPr>
          <w:p w14:paraId="356B4195" w14:textId="34B960C8" w:rsidR="008F72B1" w:rsidRPr="005171C5" w:rsidRDefault="008F72B1" w:rsidP="00452783">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(g)</w:t>
            </w:r>
          </w:p>
        </w:tc>
        <w:tc>
          <w:tcPr>
            <w:tcW w:w="624" w:type="dxa"/>
            <w:tcBorders>
              <w:top w:val="single" w:sz="4" w:space="0" w:color="000000"/>
              <w:left w:val="single" w:sz="4" w:space="0" w:color="000000"/>
              <w:bottom w:val="single" w:sz="4" w:space="0" w:color="000000"/>
            </w:tcBorders>
            <w:shd w:val="clear" w:color="auto" w:fill="auto"/>
            <w:vAlign w:val="center"/>
          </w:tcPr>
          <w:p w14:paraId="5BAD035B" w14:textId="77777777" w:rsidR="008F72B1" w:rsidRPr="005171C5" w:rsidRDefault="008F72B1" w:rsidP="005171C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(h)</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A968" w14:textId="77777777" w:rsidR="008F72B1" w:rsidRPr="005171C5" w:rsidRDefault="008F72B1" w:rsidP="005171C5">
            <w:pPr>
              <w:suppressAutoHyphens/>
              <w:snapToGrid w:val="0"/>
              <w:spacing w:before="40" w:after="40"/>
              <w:jc w:val="center"/>
              <w:rPr>
                <w:rFonts w:cs="Segoe UI"/>
                <w:sz w:val="16"/>
                <w:szCs w:val="16"/>
                <w:lang w:eastAsia="ar-SA"/>
              </w:rPr>
            </w:pPr>
            <w:r w:rsidRPr="005171C5">
              <w:rPr>
                <w:rFonts w:eastAsia="細明體" w:cs="Segoe UI"/>
                <w:sz w:val="16"/>
                <w:szCs w:val="16"/>
                <w:lang w:eastAsia="ar-SA"/>
              </w:rPr>
              <w:t>(</w:t>
            </w:r>
            <w:proofErr w:type="spellStart"/>
            <w:r w:rsidRPr="005171C5">
              <w:rPr>
                <w:rFonts w:eastAsia="細明體" w:cs="Segoe UI"/>
                <w:sz w:val="16"/>
                <w:szCs w:val="16"/>
                <w:lang w:eastAsia="ar-SA"/>
              </w:rPr>
              <w:t>i</w:t>
            </w:r>
            <w:proofErr w:type="spellEnd"/>
            <w:r w:rsidRPr="005171C5">
              <w:rPr>
                <w:rFonts w:eastAsia="細明體" w:cs="Segoe UI"/>
                <w:sz w:val="16"/>
                <w:szCs w:val="16"/>
                <w:lang w:eastAsia="ar-SA"/>
              </w:rPr>
              <w:t>)</w:t>
            </w:r>
          </w:p>
        </w:tc>
      </w:tr>
      <w:tr w:rsidR="008F72B1" w:rsidRPr="005171C5" w14:paraId="5EDBE719" w14:textId="77777777" w:rsidTr="0028643C">
        <w:trPr>
          <w:cantSplit/>
          <w:trHeight w:val="586"/>
          <w:tblHeader/>
        </w:trPr>
        <w:tc>
          <w:tcPr>
            <w:tcW w:w="397" w:type="dxa"/>
            <w:tcBorders>
              <w:bottom w:val="single" w:sz="4" w:space="0" w:color="000000"/>
            </w:tcBorders>
            <w:shd w:val="clear" w:color="auto" w:fill="auto"/>
          </w:tcPr>
          <w:p w14:paraId="681A3114"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551" w:type="dxa"/>
            <w:tcBorders>
              <w:top w:val="single" w:sz="4" w:space="0" w:color="000000"/>
              <w:left w:val="single" w:sz="4" w:space="0" w:color="000000"/>
              <w:bottom w:val="single" w:sz="4" w:space="0" w:color="000000"/>
              <w:tl2br w:val="single" w:sz="4" w:space="0" w:color="auto"/>
            </w:tcBorders>
            <w:shd w:val="clear" w:color="auto" w:fill="auto"/>
            <w:vAlign w:val="center"/>
          </w:tcPr>
          <w:p w14:paraId="4FD9B949" w14:textId="77777777" w:rsidR="008F72B1" w:rsidRPr="005171C5" w:rsidRDefault="008F72B1" w:rsidP="005171C5">
            <w:pPr>
              <w:suppressAutoHyphens/>
              <w:snapToGrid w:val="0"/>
              <w:spacing w:before="40" w:after="40"/>
              <w:jc w:val="right"/>
              <w:rPr>
                <w:rFonts w:eastAsia="細明體" w:cs="Segoe UI"/>
                <w:sz w:val="16"/>
                <w:szCs w:val="16"/>
                <w:lang w:eastAsia="zh-TW"/>
              </w:rPr>
            </w:pPr>
            <w:r w:rsidRPr="005171C5">
              <w:rPr>
                <w:rFonts w:eastAsia="細明體" w:cs="Segoe UI"/>
                <w:sz w:val="16"/>
                <w:szCs w:val="16"/>
                <w:lang w:eastAsia="zh-TW"/>
              </w:rPr>
              <w:t xml:space="preserve">                                  </w:t>
            </w:r>
            <w:r w:rsidRPr="005171C5">
              <w:rPr>
                <w:rFonts w:eastAsia="細明體" w:cs="Segoe UI" w:hint="eastAsia"/>
                <w:sz w:val="16"/>
                <w:szCs w:val="16"/>
                <w:lang w:eastAsia="zh-TW"/>
              </w:rPr>
              <w:t>風險權重</w:t>
            </w:r>
          </w:p>
          <w:p w14:paraId="6EA60A5F" w14:textId="77777777" w:rsidR="008F72B1" w:rsidRPr="005171C5" w:rsidRDefault="008F72B1" w:rsidP="005171C5">
            <w:pPr>
              <w:suppressAutoHyphens/>
              <w:snapToGrid w:val="0"/>
              <w:spacing w:before="40" w:after="40"/>
              <w:rPr>
                <w:rFonts w:eastAsia="細明體" w:cs="Segoe UI"/>
                <w:sz w:val="16"/>
                <w:szCs w:val="16"/>
                <w:lang w:eastAsia="zh-TW"/>
              </w:rPr>
            </w:pPr>
            <w:r w:rsidRPr="005171C5">
              <w:rPr>
                <w:rFonts w:eastAsia="細明體" w:cs="Segoe UI" w:hint="eastAsia"/>
                <w:sz w:val="16"/>
                <w:szCs w:val="16"/>
                <w:lang w:eastAsia="zh-TW"/>
              </w:rPr>
              <w:t>風險承擔類別</w:t>
            </w:r>
          </w:p>
        </w:tc>
        <w:tc>
          <w:tcPr>
            <w:tcW w:w="62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E8CB14" w14:textId="77777777"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0%</w:t>
            </w:r>
          </w:p>
        </w:tc>
        <w:tc>
          <w:tcPr>
            <w:tcW w:w="624" w:type="dxa"/>
            <w:tcBorders>
              <w:left w:val="single" w:sz="4" w:space="0" w:color="auto"/>
            </w:tcBorders>
            <w:shd w:val="clear" w:color="auto" w:fill="auto"/>
            <w:vAlign w:val="center"/>
          </w:tcPr>
          <w:p w14:paraId="67C3C61C" w14:textId="77777777"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10%</w:t>
            </w:r>
          </w:p>
        </w:tc>
        <w:tc>
          <w:tcPr>
            <w:tcW w:w="624" w:type="dxa"/>
            <w:tcBorders>
              <w:top w:val="single" w:sz="4" w:space="0" w:color="000000"/>
              <w:left w:val="single" w:sz="4" w:space="0" w:color="000000"/>
              <w:bottom w:val="single" w:sz="4" w:space="0" w:color="000000"/>
            </w:tcBorders>
            <w:shd w:val="clear" w:color="auto" w:fill="auto"/>
            <w:vAlign w:val="center"/>
          </w:tcPr>
          <w:p w14:paraId="35BCC1D0" w14:textId="77777777"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20%</w:t>
            </w:r>
          </w:p>
        </w:tc>
        <w:tc>
          <w:tcPr>
            <w:tcW w:w="624" w:type="dxa"/>
            <w:tcBorders>
              <w:top w:val="single" w:sz="4" w:space="0" w:color="000000"/>
              <w:left w:val="single" w:sz="4" w:space="0" w:color="000000"/>
              <w:bottom w:val="single" w:sz="4" w:space="0" w:color="000000"/>
              <w:right w:val="single" w:sz="4" w:space="0" w:color="000000"/>
            </w:tcBorders>
            <w:vAlign w:val="center"/>
          </w:tcPr>
          <w:p w14:paraId="25641285" w14:textId="46C2AB27" w:rsidR="008F72B1" w:rsidRPr="005171C5" w:rsidRDefault="008F72B1" w:rsidP="008C2555">
            <w:pPr>
              <w:suppressAutoHyphens/>
              <w:snapToGrid w:val="0"/>
              <w:spacing w:before="40" w:after="40"/>
              <w:jc w:val="center"/>
              <w:rPr>
                <w:rFonts w:eastAsia="細明體" w:cs="Segoe UI"/>
                <w:sz w:val="16"/>
                <w:szCs w:val="16"/>
                <w:lang w:eastAsia="ar-SA"/>
              </w:rPr>
            </w:pPr>
            <w:r>
              <w:rPr>
                <w:rFonts w:eastAsia="細明體" w:cs="Segoe UI" w:hint="eastAsia"/>
                <w:sz w:val="16"/>
                <w:szCs w:val="16"/>
                <w:lang w:eastAsia="zh-TW"/>
              </w:rPr>
              <w:t>30%</w:t>
            </w:r>
          </w:p>
        </w:tc>
        <w:tc>
          <w:tcPr>
            <w:tcW w:w="624" w:type="dxa"/>
            <w:tcBorders>
              <w:top w:val="single" w:sz="4" w:space="0" w:color="000000"/>
              <w:left w:val="single" w:sz="4" w:space="0" w:color="000000"/>
              <w:bottom w:val="single" w:sz="4" w:space="0" w:color="000000"/>
              <w:right w:val="single" w:sz="4" w:space="0" w:color="000000"/>
            </w:tcBorders>
            <w:vAlign w:val="center"/>
          </w:tcPr>
          <w:p w14:paraId="0B273683" w14:textId="3677E220" w:rsidR="008F72B1" w:rsidRPr="005171C5" w:rsidRDefault="008F72B1" w:rsidP="0028643C">
            <w:pPr>
              <w:suppressAutoHyphens/>
              <w:snapToGrid w:val="0"/>
              <w:spacing w:before="40" w:after="40"/>
              <w:jc w:val="center"/>
              <w:rPr>
                <w:rFonts w:eastAsia="細明體" w:cs="Segoe UI"/>
                <w:sz w:val="16"/>
                <w:szCs w:val="16"/>
                <w:lang w:eastAsia="ar-SA"/>
              </w:rPr>
            </w:pPr>
            <w:r>
              <w:rPr>
                <w:rFonts w:eastAsia="細明體" w:cs="Segoe UI" w:hint="eastAsia"/>
                <w:sz w:val="16"/>
                <w:szCs w:val="16"/>
                <w:lang w:eastAsia="zh-TW"/>
              </w:rPr>
              <w:t>4</w:t>
            </w:r>
            <w:r w:rsidRPr="005171C5">
              <w:rPr>
                <w:rFonts w:eastAsia="細明體" w:cs="Segoe UI"/>
                <w:sz w:val="16"/>
                <w:szCs w:val="16"/>
                <w:lang w:eastAsia="ar-SA"/>
              </w:rPr>
              <w:t>0%</w:t>
            </w:r>
          </w:p>
        </w:tc>
        <w:tc>
          <w:tcPr>
            <w:tcW w:w="624" w:type="dxa"/>
            <w:tcBorders>
              <w:top w:val="single" w:sz="4" w:space="0" w:color="000000"/>
              <w:left w:val="single" w:sz="4" w:space="0" w:color="000000"/>
              <w:bottom w:val="single" w:sz="4" w:space="0" w:color="000000"/>
            </w:tcBorders>
            <w:shd w:val="clear" w:color="auto" w:fill="auto"/>
            <w:vAlign w:val="center"/>
          </w:tcPr>
          <w:p w14:paraId="1C197B90" w14:textId="77777777"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50%</w:t>
            </w:r>
          </w:p>
        </w:tc>
        <w:tc>
          <w:tcPr>
            <w:tcW w:w="624" w:type="dxa"/>
            <w:tcBorders>
              <w:top w:val="single" w:sz="4" w:space="0" w:color="000000"/>
              <w:left w:val="single" w:sz="4" w:space="0" w:color="000000"/>
              <w:bottom w:val="single" w:sz="4" w:space="0" w:color="000000"/>
            </w:tcBorders>
            <w:shd w:val="clear" w:color="auto" w:fill="auto"/>
            <w:vAlign w:val="center"/>
          </w:tcPr>
          <w:p w14:paraId="18A60A33" w14:textId="77777777"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75%</w:t>
            </w:r>
          </w:p>
        </w:tc>
        <w:tc>
          <w:tcPr>
            <w:tcW w:w="624" w:type="dxa"/>
            <w:tcBorders>
              <w:top w:val="single" w:sz="4" w:space="0" w:color="000000"/>
              <w:left w:val="single" w:sz="4" w:space="0" w:color="000000"/>
              <w:bottom w:val="single" w:sz="4" w:space="0" w:color="000000"/>
              <w:right w:val="single" w:sz="4" w:space="0" w:color="000000"/>
            </w:tcBorders>
            <w:vAlign w:val="center"/>
          </w:tcPr>
          <w:p w14:paraId="34E1F38F" w14:textId="23029DF9" w:rsidR="008F72B1" w:rsidRPr="005171C5" w:rsidRDefault="008F72B1" w:rsidP="0028643C">
            <w:pPr>
              <w:suppressAutoHyphens/>
              <w:snapToGrid w:val="0"/>
              <w:spacing w:before="40" w:after="40"/>
              <w:jc w:val="center"/>
              <w:rPr>
                <w:rFonts w:eastAsia="細明體" w:cs="Segoe UI"/>
                <w:sz w:val="16"/>
                <w:szCs w:val="16"/>
                <w:lang w:eastAsia="ar-SA"/>
              </w:rPr>
            </w:pPr>
            <w:r>
              <w:rPr>
                <w:rFonts w:eastAsia="細明體" w:cs="Segoe UI" w:hint="eastAsia"/>
                <w:sz w:val="16"/>
                <w:szCs w:val="16"/>
                <w:lang w:eastAsia="zh-TW"/>
              </w:rPr>
              <w:t>8</w:t>
            </w:r>
            <w:r w:rsidRPr="005171C5">
              <w:rPr>
                <w:rFonts w:eastAsia="細明體" w:cs="Segoe UI"/>
                <w:sz w:val="16"/>
                <w:szCs w:val="16"/>
                <w:lang w:eastAsia="ar-SA"/>
              </w:rPr>
              <w:t>5%</w:t>
            </w:r>
          </w:p>
        </w:tc>
        <w:tc>
          <w:tcPr>
            <w:tcW w:w="624" w:type="dxa"/>
            <w:tcBorders>
              <w:top w:val="single" w:sz="4" w:space="0" w:color="000000"/>
              <w:left w:val="single" w:sz="4" w:space="0" w:color="000000"/>
              <w:bottom w:val="single" w:sz="4" w:space="0" w:color="000000"/>
            </w:tcBorders>
            <w:shd w:val="clear" w:color="auto" w:fill="auto"/>
            <w:vAlign w:val="center"/>
          </w:tcPr>
          <w:p w14:paraId="5B499528" w14:textId="77777777"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100%</w:t>
            </w:r>
          </w:p>
        </w:tc>
        <w:tc>
          <w:tcPr>
            <w:tcW w:w="624" w:type="dxa"/>
            <w:tcBorders>
              <w:top w:val="single" w:sz="4" w:space="0" w:color="000000"/>
              <w:left w:val="single" w:sz="4" w:space="0" w:color="000000"/>
              <w:bottom w:val="single" w:sz="4" w:space="0" w:color="000000"/>
            </w:tcBorders>
            <w:shd w:val="clear" w:color="auto" w:fill="auto"/>
            <w:vAlign w:val="center"/>
          </w:tcPr>
          <w:p w14:paraId="30EC0210" w14:textId="352CD07C"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sz w:val="16"/>
                <w:szCs w:val="16"/>
                <w:lang w:eastAsia="ar-SA"/>
              </w:rPr>
              <w:t>150%</w:t>
            </w:r>
          </w:p>
        </w:tc>
        <w:tc>
          <w:tcPr>
            <w:tcW w:w="624" w:type="dxa"/>
            <w:tcBorders>
              <w:top w:val="single" w:sz="4" w:space="0" w:color="000000"/>
              <w:left w:val="single" w:sz="4" w:space="0" w:color="000000"/>
              <w:bottom w:val="single" w:sz="4" w:space="0" w:color="000000"/>
            </w:tcBorders>
            <w:shd w:val="clear" w:color="auto" w:fill="auto"/>
            <w:vAlign w:val="center"/>
          </w:tcPr>
          <w:p w14:paraId="217CA9FB" w14:textId="77777777" w:rsidR="008F72B1" w:rsidRPr="005171C5" w:rsidRDefault="008F72B1" w:rsidP="008C2555">
            <w:pPr>
              <w:suppressAutoHyphens/>
              <w:snapToGrid w:val="0"/>
              <w:spacing w:before="40" w:after="40"/>
              <w:jc w:val="center"/>
              <w:rPr>
                <w:rFonts w:eastAsia="細明體" w:cs="Segoe UI"/>
                <w:sz w:val="16"/>
                <w:szCs w:val="16"/>
                <w:lang w:eastAsia="ar-SA"/>
              </w:rPr>
            </w:pPr>
            <w:r w:rsidRPr="005171C5">
              <w:rPr>
                <w:rFonts w:eastAsia="細明體" w:cs="Segoe UI" w:hint="eastAsia"/>
                <w:sz w:val="16"/>
                <w:szCs w:val="16"/>
                <w:lang w:eastAsia="ar-SA"/>
              </w:rPr>
              <w:t>其他</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B50F" w14:textId="77777777" w:rsidR="008F72B1" w:rsidRPr="005171C5" w:rsidRDefault="008F72B1" w:rsidP="005171C5">
            <w:pPr>
              <w:suppressAutoHyphens/>
              <w:snapToGrid w:val="0"/>
              <w:spacing w:before="40" w:after="40"/>
              <w:rPr>
                <w:rFonts w:cs="Segoe UI"/>
                <w:sz w:val="16"/>
                <w:szCs w:val="16"/>
                <w:lang w:eastAsia="zh-TW"/>
              </w:rPr>
            </w:pPr>
            <w:r w:rsidRPr="005171C5">
              <w:rPr>
                <w:rFonts w:eastAsia="細明體" w:cs="Segoe UI" w:hint="eastAsia"/>
                <w:sz w:val="16"/>
                <w:szCs w:val="16"/>
                <w:lang w:eastAsia="zh-TW"/>
              </w:rPr>
              <w:t>已將減低信用風險措施計算在內的</w:t>
            </w:r>
            <w:proofErr w:type="gramStart"/>
            <w:r w:rsidRPr="005171C5">
              <w:rPr>
                <w:rFonts w:eastAsia="細明體" w:cs="Segoe UI" w:hint="eastAsia"/>
                <w:sz w:val="16"/>
                <w:szCs w:val="16"/>
                <w:lang w:eastAsia="zh-TW"/>
              </w:rPr>
              <w:t>總違責</w:t>
            </w:r>
            <w:proofErr w:type="gramEnd"/>
            <w:r w:rsidRPr="005171C5">
              <w:rPr>
                <w:rFonts w:eastAsia="細明體" w:cs="Segoe UI" w:hint="eastAsia"/>
                <w:sz w:val="16"/>
                <w:szCs w:val="16"/>
                <w:lang w:eastAsia="zh-TW"/>
              </w:rPr>
              <w:t>風險的風險承擔</w:t>
            </w:r>
          </w:p>
        </w:tc>
      </w:tr>
      <w:tr w:rsidR="008F72B1" w:rsidRPr="005171C5" w14:paraId="56D01994" w14:textId="77777777" w:rsidTr="0028643C">
        <w:trPr>
          <w:trHeight w:val="283"/>
        </w:trPr>
        <w:tc>
          <w:tcPr>
            <w:tcW w:w="397" w:type="dxa"/>
            <w:tcBorders>
              <w:top w:val="single" w:sz="4" w:space="0" w:color="000000"/>
              <w:bottom w:val="single" w:sz="4" w:space="0" w:color="C0C0C0"/>
            </w:tcBorders>
            <w:shd w:val="clear" w:color="auto" w:fill="auto"/>
          </w:tcPr>
          <w:p w14:paraId="353DA471"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sz w:val="16"/>
                <w:szCs w:val="16"/>
                <w:lang w:eastAsia="ar-SA"/>
              </w:rPr>
              <w:t>1</w:t>
            </w:r>
          </w:p>
        </w:tc>
        <w:tc>
          <w:tcPr>
            <w:tcW w:w="2551" w:type="dxa"/>
            <w:tcBorders>
              <w:top w:val="single" w:sz="4" w:space="0" w:color="000000"/>
              <w:left w:val="single" w:sz="4" w:space="0" w:color="000000"/>
              <w:bottom w:val="single" w:sz="4" w:space="0" w:color="C0C0C0"/>
            </w:tcBorders>
            <w:shd w:val="clear" w:color="auto" w:fill="auto"/>
            <w:vAlign w:val="center"/>
          </w:tcPr>
          <w:p w14:paraId="18DA4E48"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官方實體風險承擔</w:t>
            </w:r>
          </w:p>
        </w:tc>
        <w:tc>
          <w:tcPr>
            <w:tcW w:w="624" w:type="dxa"/>
            <w:tcBorders>
              <w:top w:val="single" w:sz="4" w:space="0" w:color="000000"/>
              <w:left w:val="single" w:sz="4" w:space="0" w:color="000000"/>
              <w:bottom w:val="single" w:sz="4" w:space="0" w:color="C0C0C0"/>
            </w:tcBorders>
            <w:shd w:val="clear" w:color="auto" w:fill="auto"/>
            <w:vAlign w:val="center"/>
          </w:tcPr>
          <w:p w14:paraId="09F9E1B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tcBorders>
            <w:shd w:val="clear" w:color="auto" w:fill="auto"/>
            <w:vAlign w:val="center"/>
          </w:tcPr>
          <w:p w14:paraId="52552736"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tcBorders>
            <w:shd w:val="clear" w:color="auto" w:fill="auto"/>
            <w:vAlign w:val="center"/>
          </w:tcPr>
          <w:p w14:paraId="27F5D3E3"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right w:val="single" w:sz="4" w:space="0" w:color="000000"/>
            </w:tcBorders>
          </w:tcPr>
          <w:p w14:paraId="1CCE6D54"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right w:val="single" w:sz="4" w:space="0" w:color="000000"/>
            </w:tcBorders>
          </w:tcPr>
          <w:p w14:paraId="3644FC65"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tcBorders>
            <w:shd w:val="clear" w:color="auto" w:fill="auto"/>
          </w:tcPr>
          <w:p w14:paraId="14444F4D"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tcBorders>
            <w:shd w:val="clear" w:color="auto" w:fill="auto"/>
          </w:tcPr>
          <w:p w14:paraId="1BA30428"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right w:val="single" w:sz="4" w:space="0" w:color="000000"/>
            </w:tcBorders>
          </w:tcPr>
          <w:p w14:paraId="57E33B6F"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tcBorders>
            <w:shd w:val="clear" w:color="auto" w:fill="auto"/>
            <w:vAlign w:val="center"/>
          </w:tcPr>
          <w:p w14:paraId="436C076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tcBorders>
            <w:shd w:val="clear" w:color="auto" w:fill="auto"/>
            <w:vAlign w:val="center"/>
          </w:tcPr>
          <w:p w14:paraId="22652B2D"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000000"/>
              <w:left w:val="single" w:sz="4" w:space="0" w:color="000000"/>
              <w:bottom w:val="single" w:sz="4" w:space="0" w:color="C0C0C0"/>
            </w:tcBorders>
            <w:shd w:val="clear" w:color="auto" w:fill="auto"/>
            <w:vAlign w:val="center"/>
          </w:tcPr>
          <w:p w14:paraId="442A5C1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086" w:type="dxa"/>
            <w:tcBorders>
              <w:top w:val="single" w:sz="4" w:space="0" w:color="000000"/>
              <w:left w:val="single" w:sz="4" w:space="0" w:color="000000"/>
              <w:bottom w:val="single" w:sz="4" w:space="0" w:color="C0C0C0"/>
              <w:right w:val="single" w:sz="4" w:space="0" w:color="000000"/>
            </w:tcBorders>
            <w:shd w:val="clear" w:color="auto" w:fill="auto"/>
            <w:vAlign w:val="center"/>
          </w:tcPr>
          <w:p w14:paraId="281C0A9E" w14:textId="77777777" w:rsidR="008F72B1" w:rsidRPr="005171C5" w:rsidRDefault="008F72B1" w:rsidP="005171C5">
            <w:pPr>
              <w:suppressAutoHyphens/>
              <w:snapToGrid w:val="0"/>
              <w:spacing w:before="40" w:after="40"/>
              <w:rPr>
                <w:rFonts w:eastAsia="細明體" w:cs="Segoe UI"/>
                <w:sz w:val="16"/>
                <w:szCs w:val="16"/>
                <w:lang w:eastAsia="ar-SA"/>
              </w:rPr>
            </w:pPr>
          </w:p>
        </w:tc>
      </w:tr>
      <w:tr w:rsidR="008F72B1" w:rsidRPr="005171C5" w14:paraId="5751B6E6" w14:textId="77777777" w:rsidTr="0028643C">
        <w:trPr>
          <w:trHeight w:val="283"/>
        </w:trPr>
        <w:tc>
          <w:tcPr>
            <w:tcW w:w="397" w:type="dxa"/>
            <w:tcBorders>
              <w:top w:val="single" w:sz="4" w:space="0" w:color="C0C0C0"/>
              <w:bottom w:val="single" w:sz="4" w:space="0" w:color="C0C0C0"/>
            </w:tcBorders>
            <w:shd w:val="clear" w:color="auto" w:fill="auto"/>
          </w:tcPr>
          <w:p w14:paraId="087215DD"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sz w:val="16"/>
                <w:szCs w:val="16"/>
                <w:lang w:eastAsia="ar-SA"/>
              </w:rPr>
              <w:t>2</w:t>
            </w:r>
          </w:p>
        </w:tc>
        <w:tc>
          <w:tcPr>
            <w:tcW w:w="2551" w:type="dxa"/>
            <w:tcBorders>
              <w:top w:val="single" w:sz="4" w:space="0" w:color="C0C0C0"/>
              <w:left w:val="single" w:sz="4" w:space="0" w:color="000000"/>
              <w:bottom w:val="single" w:sz="4" w:space="0" w:color="C0C0C0"/>
            </w:tcBorders>
            <w:shd w:val="clear" w:color="auto" w:fill="auto"/>
            <w:vAlign w:val="center"/>
          </w:tcPr>
          <w:p w14:paraId="1BBD839F"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公營單位風險承擔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506F376A"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55ADB061"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5468BEEC"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5171357C"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7F1DA70A"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1A170B1C"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0111F67C"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2929A733"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3E001330"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23ECFE9B"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5300C365"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5F54E7E9" w14:textId="77777777" w:rsidR="008F72B1" w:rsidRPr="005171C5" w:rsidRDefault="008F72B1" w:rsidP="005171C5">
            <w:pPr>
              <w:suppressAutoHyphens/>
              <w:snapToGrid w:val="0"/>
              <w:spacing w:before="40" w:after="40"/>
              <w:rPr>
                <w:rFonts w:eastAsia="細明體" w:cs="Segoe UI"/>
                <w:sz w:val="16"/>
                <w:szCs w:val="16"/>
                <w:lang w:eastAsia="ar-SA"/>
              </w:rPr>
            </w:pPr>
          </w:p>
        </w:tc>
      </w:tr>
      <w:tr w:rsidR="008F72B1" w:rsidRPr="005171C5" w14:paraId="21D601E8" w14:textId="77777777" w:rsidTr="0028643C">
        <w:trPr>
          <w:trHeight w:val="283"/>
        </w:trPr>
        <w:tc>
          <w:tcPr>
            <w:tcW w:w="397" w:type="dxa"/>
            <w:tcBorders>
              <w:top w:val="single" w:sz="4" w:space="0" w:color="C0C0C0"/>
              <w:bottom w:val="single" w:sz="4" w:space="0" w:color="C0C0C0"/>
            </w:tcBorders>
            <w:shd w:val="clear" w:color="auto" w:fill="auto"/>
          </w:tcPr>
          <w:p w14:paraId="660BD0F2"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sz w:val="16"/>
                <w:szCs w:val="16"/>
                <w:lang w:eastAsia="ar-SA"/>
              </w:rPr>
              <w:t>3</w:t>
            </w:r>
          </w:p>
        </w:tc>
        <w:tc>
          <w:tcPr>
            <w:tcW w:w="2551" w:type="dxa"/>
            <w:tcBorders>
              <w:top w:val="single" w:sz="4" w:space="0" w:color="C0C0C0"/>
              <w:left w:val="single" w:sz="4" w:space="0" w:color="000000"/>
              <w:bottom w:val="single" w:sz="4" w:space="0" w:color="C0C0C0"/>
            </w:tcBorders>
            <w:shd w:val="clear" w:color="auto" w:fill="auto"/>
            <w:vAlign w:val="center"/>
          </w:tcPr>
          <w:p w14:paraId="6E5BBF6F" w14:textId="77777777" w:rsidR="008F72B1" w:rsidRPr="005171C5" w:rsidRDefault="008F72B1" w:rsidP="005171C5">
            <w:pPr>
              <w:suppressAutoHyphens/>
              <w:snapToGrid w:val="0"/>
              <w:spacing w:before="40" w:after="40"/>
              <w:rPr>
                <w:rFonts w:eastAsia="細明體" w:cs="Segoe UI"/>
                <w:sz w:val="16"/>
                <w:szCs w:val="16"/>
                <w:lang w:eastAsia="zh-TW"/>
              </w:rPr>
            </w:pPr>
            <w:r w:rsidRPr="005171C5">
              <w:rPr>
                <w:rFonts w:eastAsia="細明體" w:cs="Segoe UI" w:hint="eastAsia"/>
                <w:sz w:val="16"/>
                <w:szCs w:val="16"/>
                <w:lang w:eastAsia="zh-TW"/>
              </w:rPr>
              <w:t>多邊發展銀行風險承擔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50CBF843"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3C0014C2"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45892F21"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3AE1DB02"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059BA349"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65D79DF5"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1BD39B0B"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1FEFC313"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4C1B6DB8"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534D0010"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0F0090D0"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23C042F9" w14:textId="77777777" w:rsidR="008F72B1" w:rsidRPr="005171C5" w:rsidRDefault="008F72B1" w:rsidP="005171C5">
            <w:pPr>
              <w:suppressAutoHyphens/>
              <w:snapToGrid w:val="0"/>
              <w:spacing w:before="40" w:after="40"/>
              <w:rPr>
                <w:rFonts w:eastAsia="細明體" w:cs="Segoe UI"/>
                <w:sz w:val="16"/>
                <w:szCs w:val="16"/>
                <w:lang w:eastAsia="zh-TW"/>
              </w:rPr>
            </w:pPr>
          </w:p>
        </w:tc>
      </w:tr>
      <w:tr w:rsidR="008F72B1" w:rsidRPr="005171C5" w14:paraId="39E65773" w14:textId="77777777" w:rsidTr="0028643C">
        <w:trPr>
          <w:trHeight w:val="283"/>
        </w:trPr>
        <w:tc>
          <w:tcPr>
            <w:tcW w:w="397" w:type="dxa"/>
            <w:tcBorders>
              <w:top w:val="single" w:sz="4" w:space="0" w:color="C0C0C0"/>
              <w:bottom w:val="single" w:sz="4" w:space="0" w:color="C0C0C0"/>
            </w:tcBorders>
            <w:shd w:val="clear" w:color="auto" w:fill="auto"/>
          </w:tcPr>
          <w:p w14:paraId="2A13E4A5"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zh-TW"/>
              </w:rPr>
              <w:t>4</w:t>
            </w:r>
          </w:p>
        </w:tc>
        <w:tc>
          <w:tcPr>
            <w:tcW w:w="2551" w:type="dxa"/>
            <w:tcBorders>
              <w:top w:val="single" w:sz="4" w:space="0" w:color="C0C0C0"/>
              <w:left w:val="single" w:sz="4" w:space="0" w:color="000000"/>
              <w:bottom w:val="single" w:sz="4" w:space="0" w:color="C0C0C0"/>
            </w:tcBorders>
            <w:shd w:val="clear" w:color="auto" w:fill="auto"/>
            <w:vAlign w:val="center"/>
          </w:tcPr>
          <w:p w14:paraId="58374CBB" w14:textId="77777777" w:rsidR="008F72B1" w:rsidRPr="005171C5" w:rsidRDefault="008F72B1" w:rsidP="005171C5">
            <w:pPr>
              <w:suppressAutoHyphens/>
              <w:snapToGrid w:val="0"/>
              <w:spacing w:before="40" w:after="40"/>
              <w:rPr>
                <w:rFonts w:eastAsia="細明體" w:cs="Segoe UI"/>
                <w:sz w:val="16"/>
                <w:szCs w:val="16"/>
                <w:lang w:eastAsia="zh-HK"/>
              </w:rPr>
            </w:pPr>
            <w:r w:rsidRPr="005171C5">
              <w:rPr>
                <w:rFonts w:eastAsia="細明體" w:cs="Segoe UI" w:hint="eastAsia"/>
                <w:sz w:val="16"/>
                <w:szCs w:val="16"/>
                <w:lang w:eastAsia="zh-HK"/>
              </w:rPr>
              <w:t>非指明多邊組織風險承擔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5C878403"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55E05E60"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3481CCC6"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72998FEF"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0833B306"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696F69B5"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723730A6"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4A523FB9"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506379F1"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1349F54F"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063241B0"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510EA540" w14:textId="77777777" w:rsidR="008F72B1" w:rsidRPr="005171C5" w:rsidRDefault="008F72B1" w:rsidP="005171C5">
            <w:pPr>
              <w:suppressAutoHyphens/>
              <w:snapToGrid w:val="0"/>
              <w:spacing w:before="40" w:after="40"/>
              <w:rPr>
                <w:rFonts w:eastAsia="細明體" w:cs="Segoe UI"/>
                <w:sz w:val="16"/>
                <w:szCs w:val="16"/>
                <w:lang w:eastAsia="zh-TW"/>
              </w:rPr>
            </w:pPr>
          </w:p>
        </w:tc>
      </w:tr>
      <w:tr w:rsidR="008F72B1" w:rsidRPr="005171C5" w14:paraId="5BD46464" w14:textId="77777777" w:rsidTr="0028643C">
        <w:trPr>
          <w:trHeight w:val="283"/>
        </w:trPr>
        <w:tc>
          <w:tcPr>
            <w:tcW w:w="397" w:type="dxa"/>
            <w:tcBorders>
              <w:top w:val="single" w:sz="4" w:space="0" w:color="C0C0C0"/>
              <w:bottom w:val="single" w:sz="4" w:space="0" w:color="C0C0C0"/>
            </w:tcBorders>
            <w:shd w:val="clear" w:color="auto" w:fill="auto"/>
          </w:tcPr>
          <w:p w14:paraId="54B5B064" w14:textId="1346EC4F"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zh-TW"/>
              </w:rPr>
              <w:t>5</w:t>
            </w:r>
          </w:p>
        </w:tc>
        <w:tc>
          <w:tcPr>
            <w:tcW w:w="2551" w:type="dxa"/>
            <w:tcBorders>
              <w:top w:val="single" w:sz="4" w:space="0" w:color="C0C0C0"/>
              <w:left w:val="single" w:sz="4" w:space="0" w:color="000000"/>
              <w:bottom w:val="single" w:sz="4" w:space="0" w:color="C0C0C0"/>
            </w:tcBorders>
            <w:shd w:val="clear" w:color="auto" w:fill="auto"/>
            <w:vAlign w:val="center"/>
          </w:tcPr>
          <w:p w14:paraId="593CCF75"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銀行風險承擔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0CEFA143"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600A2E13"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0775B690"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49E96736"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1A29711A"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5D69F6B1"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4529CB7A"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6F6FE5BA"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32CD0BAE"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7F45D678"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67D78532"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521DC9D2" w14:textId="77777777" w:rsidR="008F72B1" w:rsidRPr="005171C5" w:rsidRDefault="008F72B1" w:rsidP="005171C5">
            <w:pPr>
              <w:suppressAutoHyphens/>
              <w:snapToGrid w:val="0"/>
              <w:spacing w:before="40" w:after="40"/>
              <w:rPr>
                <w:rFonts w:eastAsia="細明體" w:cs="Segoe UI"/>
                <w:sz w:val="16"/>
                <w:szCs w:val="16"/>
                <w:lang w:eastAsia="ar-SA"/>
              </w:rPr>
            </w:pPr>
          </w:p>
        </w:tc>
      </w:tr>
      <w:tr w:rsidR="008F72B1" w:rsidRPr="005171C5" w14:paraId="37751DA8" w14:textId="77777777" w:rsidTr="0028643C">
        <w:trPr>
          <w:trHeight w:val="283"/>
        </w:trPr>
        <w:tc>
          <w:tcPr>
            <w:tcW w:w="397" w:type="dxa"/>
            <w:tcBorders>
              <w:top w:val="single" w:sz="4" w:space="0" w:color="C0C0C0"/>
              <w:bottom w:val="single" w:sz="4" w:space="0" w:color="C0C0C0"/>
            </w:tcBorders>
            <w:shd w:val="clear" w:color="auto" w:fill="auto"/>
          </w:tcPr>
          <w:p w14:paraId="7E1C27C4" w14:textId="77777777" w:rsidR="008F72B1" w:rsidRPr="005171C5" w:rsidDel="00ED5449" w:rsidRDefault="008F72B1" w:rsidP="005171C5">
            <w:pPr>
              <w:suppressAutoHyphens/>
              <w:snapToGrid w:val="0"/>
              <w:spacing w:before="40" w:after="40"/>
              <w:rPr>
                <w:rFonts w:eastAsia="細明體" w:cs="Segoe UI"/>
                <w:sz w:val="16"/>
                <w:szCs w:val="16"/>
                <w:lang w:eastAsia="zh-TW"/>
              </w:rPr>
            </w:pPr>
            <w:r w:rsidRPr="005171C5">
              <w:rPr>
                <w:rFonts w:eastAsia="細明體" w:cs="Segoe UI" w:hint="eastAsia"/>
                <w:sz w:val="16"/>
                <w:szCs w:val="16"/>
                <w:lang w:eastAsia="zh-TW"/>
              </w:rPr>
              <w:t>6</w:t>
            </w:r>
          </w:p>
        </w:tc>
        <w:tc>
          <w:tcPr>
            <w:tcW w:w="2551" w:type="dxa"/>
            <w:tcBorders>
              <w:top w:val="single" w:sz="4" w:space="0" w:color="C0C0C0"/>
              <w:left w:val="single" w:sz="4" w:space="0" w:color="000000"/>
              <w:bottom w:val="single" w:sz="4" w:space="0" w:color="C0C0C0"/>
            </w:tcBorders>
            <w:shd w:val="clear" w:color="auto" w:fill="auto"/>
            <w:vAlign w:val="center"/>
          </w:tcPr>
          <w:p w14:paraId="192E896F"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zh-HK"/>
              </w:rPr>
              <w:t>合資格非銀行金融機構風險承擔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295B2B4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29985FB2"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5A70D636"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35D6C03E"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0A99D036"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630E12DF"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2DF6DB5D"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724A5D44"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29E8FBC8"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6A0FE7B8"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2AC9B568"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17411952" w14:textId="77777777" w:rsidR="008F72B1" w:rsidRPr="005171C5" w:rsidRDefault="008F72B1" w:rsidP="005171C5">
            <w:pPr>
              <w:suppressAutoHyphens/>
              <w:snapToGrid w:val="0"/>
              <w:spacing w:before="40" w:after="40"/>
              <w:rPr>
                <w:rFonts w:eastAsia="細明體" w:cs="Segoe UI"/>
                <w:sz w:val="16"/>
                <w:szCs w:val="16"/>
                <w:lang w:eastAsia="ar-SA"/>
              </w:rPr>
            </w:pPr>
          </w:p>
        </w:tc>
      </w:tr>
      <w:tr w:rsidR="008F72B1" w:rsidRPr="005171C5" w14:paraId="666A8C96" w14:textId="77777777" w:rsidTr="0028643C">
        <w:trPr>
          <w:trHeight w:val="283"/>
        </w:trPr>
        <w:tc>
          <w:tcPr>
            <w:tcW w:w="397" w:type="dxa"/>
            <w:tcBorders>
              <w:top w:val="single" w:sz="4" w:space="0" w:color="C0C0C0"/>
              <w:bottom w:val="single" w:sz="4" w:space="0" w:color="C0C0C0"/>
            </w:tcBorders>
            <w:shd w:val="clear" w:color="auto" w:fill="auto"/>
          </w:tcPr>
          <w:p w14:paraId="6234A4FA" w14:textId="22E43C36" w:rsidR="008F72B1" w:rsidRPr="005171C5" w:rsidRDefault="002A3B39" w:rsidP="005171C5">
            <w:pPr>
              <w:suppressAutoHyphens/>
              <w:snapToGrid w:val="0"/>
              <w:spacing w:before="40" w:after="40"/>
              <w:rPr>
                <w:rFonts w:eastAsia="細明體" w:cs="Segoe UI"/>
                <w:sz w:val="16"/>
                <w:szCs w:val="16"/>
                <w:lang w:eastAsia="ar-SA"/>
              </w:rPr>
            </w:pPr>
            <w:r>
              <w:rPr>
                <w:rFonts w:eastAsia="細明體" w:cs="Segoe UI"/>
                <w:sz w:val="16"/>
                <w:szCs w:val="16"/>
                <w:lang w:eastAsia="zh-TW"/>
              </w:rPr>
              <w:t>7</w:t>
            </w:r>
          </w:p>
        </w:tc>
        <w:tc>
          <w:tcPr>
            <w:tcW w:w="2551" w:type="dxa"/>
            <w:tcBorders>
              <w:top w:val="single" w:sz="4" w:space="0" w:color="C0C0C0"/>
              <w:left w:val="single" w:sz="4" w:space="0" w:color="000000"/>
              <w:bottom w:val="single" w:sz="4" w:space="0" w:color="C0C0C0"/>
            </w:tcBorders>
            <w:shd w:val="clear" w:color="auto" w:fill="auto"/>
            <w:vAlign w:val="center"/>
          </w:tcPr>
          <w:p w14:paraId="18A9F84B" w14:textId="47010528" w:rsidR="008F72B1" w:rsidRPr="005171C5" w:rsidRDefault="002A3B39" w:rsidP="005171C5">
            <w:pPr>
              <w:suppressAutoHyphens/>
              <w:snapToGrid w:val="0"/>
              <w:spacing w:before="40" w:after="40"/>
              <w:rPr>
                <w:rFonts w:eastAsia="細明體" w:cs="Segoe UI"/>
                <w:sz w:val="16"/>
                <w:szCs w:val="16"/>
                <w:lang w:eastAsia="ar-SA"/>
              </w:rPr>
            </w:pPr>
            <w:r>
              <w:rPr>
                <w:rFonts w:eastAsia="細明體" w:cs="Segoe UI" w:hint="eastAsia"/>
                <w:sz w:val="16"/>
                <w:szCs w:val="16"/>
                <w:lang w:eastAsia="zh-HK"/>
              </w:rPr>
              <w:t>一</w:t>
            </w:r>
            <w:r w:rsidR="008F72B1" w:rsidRPr="005171C5">
              <w:rPr>
                <w:rFonts w:eastAsia="細明體" w:cs="Segoe UI" w:hint="eastAsia"/>
                <w:sz w:val="16"/>
                <w:szCs w:val="16"/>
                <w:lang w:eastAsia="zh-HK"/>
              </w:rPr>
              <w:t>般</w:t>
            </w:r>
            <w:r w:rsidR="008F72B1" w:rsidRPr="005171C5">
              <w:rPr>
                <w:rFonts w:eastAsia="細明體" w:cs="Segoe UI" w:hint="eastAsia"/>
                <w:sz w:val="16"/>
                <w:szCs w:val="16"/>
                <w:lang w:eastAsia="ar-SA"/>
              </w:rPr>
              <w:t>法團風險承擔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4BA7172F"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643139EB"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2844665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63173AF3"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0D3D5538"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3ECD97C1"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704396C2"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6BFB93E6"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2D65CF7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35D5249B"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517FEA02"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33412D10" w14:textId="77777777" w:rsidR="008F72B1" w:rsidRPr="005171C5" w:rsidRDefault="008F72B1" w:rsidP="005171C5">
            <w:pPr>
              <w:suppressAutoHyphens/>
              <w:snapToGrid w:val="0"/>
              <w:spacing w:before="40" w:after="40"/>
              <w:rPr>
                <w:rFonts w:eastAsia="細明體" w:cs="Segoe UI"/>
                <w:sz w:val="16"/>
                <w:szCs w:val="16"/>
                <w:lang w:eastAsia="ar-SA"/>
              </w:rPr>
            </w:pPr>
          </w:p>
        </w:tc>
      </w:tr>
      <w:tr w:rsidR="008F72B1" w:rsidRPr="005171C5" w14:paraId="03D80452" w14:textId="77777777" w:rsidTr="0028643C">
        <w:trPr>
          <w:trHeight w:val="283"/>
        </w:trPr>
        <w:tc>
          <w:tcPr>
            <w:tcW w:w="397" w:type="dxa"/>
            <w:tcBorders>
              <w:top w:val="single" w:sz="4" w:space="0" w:color="C0C0C0"/>
              <w:bottom w:val="single" w:sz="4" w:space="0" w:color="C0C0C0"/>
            </w:tcBorders>
            <w:shd w:val="clear" w:color="auto" w:fill="auto"/>
          </w:tcPr>
          <w:p w14:paraId="7F189F88" w14:textId="6046A56D" w:rsidR="008F72B1" w:rsidRPr="005171C5" w:rsidRDefault="008F72B1" w:rsidP="005171C5">
            <w:pPr>
              <w:suppressAutoHyphens/>
              <w:snapToGrid w:val="0"/>
              <w:spacing w:before="40" w:after="40"/>
              <w:rPr>
                <w:rFonts w:eastAsia="細明體" w:cs="Segoe UI"/>
                <w:sz w:val="16"/>
                <w:szCs w:val="16"/>
                <w:lang w:eastAsia="ar-SA"/>
              </w:rPr>
            </w:pPr>
            <w:r w:rsidRPr="005171C5" w:rsidDel="00ED5449">
              <w:rPr>
                <w:rFonts w:eastAsia="細明體" w:cs="Segoe UI" w:hint="eastAsia"/>
                <w:sz w:val="16"/>
                <w:szCs w:val="16"/>
                <w:lang w:eastAsia="zh-TW"/>
              </w:rPr>
              <w:t>8</w:t>
            </w:r>
          </w:p>
        </w:tc>
        <w:tc>
          <w:tcPr>
            <w:tcW w:w="2551" w:type="dxa"/>
            <w:tcBorders>
              <w:top w:val="single" w:sz="4" w:space="0" w:color="C0C0C0"/>
              <w:left w:val="single" w:sz="4" w:space="0" w:color="000000"/>
              <w:bottom w:val="single" w:sz="4" w:space="0" w:color="C0C0C0"/>
            </w:tcBorders>
            <w:shd w:val="clear" w:color="auto" w:fill="auto"/>
            <w:vAlign w:val="center"/>
          </w:tcPr>
          <w:p w14:paraId="6EAD1805" w14:textId="34DCDBC0"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零售風險承擔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017F5C26"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0DFED9AD"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3EEF65A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011BE4DE"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2627D9FD"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4EAC69D9"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tcPr>
          <w:p w14:paraId="4765865E"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right w:val="single" w:sz="4" w:space="0" w:color="000000"/>
            </w:tcBorders>
          </w:tcPr>
          <w:p w14:paraId="1CE0AA81"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71F9CEFB"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17867543"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C0C0C0"/>
            </w:tcBorders>
            <w:shd w:val="clear" w:color="auto" w:fill="auto"/>
            <w:vAlign w:val="center"/>
          </w:tcPr>
          <w:p w14:paraId="66FFA99A"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791A5FBE" w14:textId="77777777" w:rsidR="008F72B1" w:rsidRPr="005171C5" w:rsidRDefault="008F72B1" w:rsidP="005171C5">
            <w:pPr>
              <w:suppressAutoHyphens/>
              <w:snapToGrid w:val="0"/>
              <w:spacing w:before="40" w:after="40"/>
              <w:rPr>
                <w:rFonts w:eastAsia="細明體" w:cs="Segoe UI"/>
                <w:sz w:val="16"/>
                <w:szCs w:val="16"/>
                <w:lang w:eastAsia="ar-SA"/>
              </w:rPr>
            </w:pPr>
          </w:p>
        </w:tc>
      </w:tr>
      <w:tr w:rsidR="008F72B1" w:rsidRPr="005171C5" w14:paraId="4F4F0D7E" w14:textId="77777777" w:rsidTr="0028643C">
        <w:trPr>
          <w:trHeight w:val="283"/>
        </w:trPr>
        <w:tc>
          <w:tcPr>
            <w:tcW w:w="397" w:type="dxa"/>
            <w:tcBorders>
              <w:top w:val="single" w:sz="4" w:space="0" w:color="C0C0C0"/>
              <w:bottom w:val="single" w:sz="4" w:space="0" w:color="C0C0C0"/>
            </w:tcBorders>
            <w:shd w:val="clear" w:color="auto" w:fill="auto"/>
          </w:tcPr>
          <w:p w14:paraId="26BB58D6" w14:textId="177DD05D" w:rsidR="008F72B1" w:rsidRPr="005171C5" w:rsidRDefault="002A3B39" w:rsidP="005171C5">
            <w:pPr>
              <w:suppressAutoHyphens/>
              <w:snapToGrid w:val="0"/>
              <w:spacing w:before="40" w:after="40"/>
              <w:rPr>
                <w:rFonts w:eastAsia="細明體" w:cs="Segoe UI"/>
                <w:sz w:val="16"/>
                <w:szCs w:val="16"/>
                <w:lang w:eastAsia="ar-SA"/>
              </w:rPr>
            </w:pPr>
            <w:r>
              <w:rPr>
                <w:rFonts w:eastAsia="細明體" w:cs="Segoe UI" w:hint="eastAsia"/>
                <w:sz w:val="16"/>
                <w:szCs w:val="16"/>
                <w:lang w:eastAsia="zh-TW"/>
              </w:rPr>
              <w:t>9</w:t>
            </w:r>
          </w:p>
        </w:tc>
        <w:tc>
          <w:tcPr>
            <w:tcW w:w="2551" w:type="dxa"/>
            <w:tcBorders>
              <w:top w:val="single" w:sz="4" w:space="0" w:color="C0C0C0"/>
              <w:left w:val="single" w:sz="4" w:space="0" w:color="000000"/>
              <w:bottom w:val="single" w:sz="4" w:space="0" w:color="C0C0C0"/>
            </w:tcBorders>
            <w:shd w:val="clear" w:color="auto" w:fill="auto"/>
            <w:vAlign w:val="center"/>
          </w:tcPr>
          <w:p w14:paraId="7C4BE201" w14:textId="6CBB9E18" w:rsidR="008F72B1" w:rsidRPr="005171C5" w:rsidRDefault="008F72B1" w:rsidP="005171C5">
            <w:pPr>
              <w:suppressAutoHyphens/>
              <w:snapToGrid w:val="0"/>
              <w:spacing w:before="40" w:after="40"/>
              <w:rPr>
                <w:rFonts w:eastAsia="細明體" w:cs="Segoe UI"/>
                <w:sz w:val="16"/>
                <w:szCs w:val="16"/>
                <w:lang w:eastAsia="zh-TW"/>
              </w:rPr>
            </w:pPr>
            <w:r w:rsidRPr="005171C5">
              <w:rPr>
                <w:rFonts w:eastAsia="細明體" w:cs="Segoe UI" w:hint="eastAsia"/>
                <w:sz w:val="16"/>
                <w:szCs w:val="16"/>
                <w:lang w:eastAsia="zh-HK"/>
              </w:rPr>
              <w:t>違責</w:t>
            </w:r>
            <w:r w:rsidRPr="005171C5">
              <w:rPr>
                <w:rFonts w:eastAsia="細明體" w:cs="Segoe UI" w:hint="eastAsia"/>
                <w:sz w:val="16"/>
                <w:szCs w:val="16"/>
                <w:lang w:eastAsia="zh-TW"/>
              </w:rPr>
              <w:t>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062A3F85"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1DD38E3C"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3B0ECD7C"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41EDE51D"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5E7B65EC"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6C7BD35E"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6568AA9E"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7B6657C5"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204221BF"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2415558F"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5ACB4253"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42BC5D2B" w14:textId="77777777" w:rsidR="008F72B1" w:rsidRPr="005171C5" w:rsidRDefault="008F72B1" w:rsidP="005171C5">
            <w:pPr>
              <w:suppressAutoHyphens/>
              <w:snapToGrid w:val="0"/>
              <w:spacing w:before="40" w:after="40"/>
              <w:rPr>
                <w:rFonts w:eastAsia="細明體" w:cs="Segoe UI"/>
                <w:sz w:val="16"/>
                <w:szCs w:val="16"/>
                <w:lang w:eastAsia="zh-TW"/>
              </w:rPr>
            </w:pPr>
          </w:p>
        </w:tc>
      </w:tr>
      <w:tr w:rsidR="008F72B1" w:rsidRPr="005171C5" w14:paraId="2071D43C" w14:textId="77777777" w:rsidTr="0028643C">
        <w:trPr>
          <w:trHeight w:val="283"/>
        </w:trPr>
        <w:tc>
          <w:tcPr>
            <w:tcW w:w="397" w:type="dxa"/>
            <w:tcBorders>
              <w:top w:val="single" w:sz="4" w:space="0" w:color="C0C0C0"/>
              <w:bottom w:val="single" w:sz="4" w:space="0" w:color="C0C0C0"/>
            </w:tcBorders>
            <w:shd w:val="clear" w:color="auto" w:fill="auto"/>
          </w:tcPr>
          <w:p w14:paraId="26C57091" w14:textId="03AE43A3"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zh-TW"/>
              </w:rPr>
              <w:t>1</w:t>
            </w:r>
            <w:r w:rsidR="002A3B39">
              <w:rPr>
                <w:rFonts w:eastAsia="細明體" w:cs="Segoe UI" w:hint="eastAsia"/>
                <w:sz w:val="16"/>
                <w:szCs w:val="16"/>
                <w:lang w:eastAsia="zh-TW"/>
              </w:rPr>
              <w:t>0</w:t>
            </w:r>
          </w:p>
        </w:tc>
        <w:tc>
          <w:tcPr>
            <w:tcW w:w="2551" w:type="dxa"/>
            <w:tcBorders>
              <w:top w:val="single" w:sz="4" w:space="0" w:color="C0C0C0"/>
              <w:left w:val="single" w:sz="4" w:space="0" w:color="000000"/>
              <w:bottom w:val="single" w:sz="4" w:space="0" w:color="C0C0C0"/>
            </w:tcBorders>
            <w:shd w:val="clear" w:color="auto" w:fill="auto"/>
            <w:vAlign w:val="center"/>
          </w:tcPr>
          <w:p w14:paraId="7F7C43B0" w14:textId="77777777" w:rsidR="008F72B1" w:rsidRPr="005171C5" w:rsidRDefault="008F72B1" w:rsidP="005171C5">
            <w:pPr>
              <w:suppressAutoHyphens/>
              <w:snapToGrid w:val="0"/>
              <w:spacing w:before="40" w:after="40"/>
              <w:rPr>
                <w:rFonts w:eastAsia="細明體" w:cs="Segoe UI"/>
                <w:sz w:val="16"/>
                <w:szCs w:val="16"/>
                <w:lang w:eastAsia="zh-TW"/>
              </w:rPr>
            </w:pPr>
            <w:r w:rsidRPr="005171C5">
              <w:rPr>
                <w:rFonts w:eastAsia="細明體" w:cs="Segoe UI" w:hint="eastAsia"/>
                <w:sz w:val="16"/>
                <w:szCs w:val="16"/>
                <w:lang w:eastAsia="zh-HK"/>
              </w:rPr>
              <w:t>其他風險承擔</w:t>
            </w:r>
          </w:p>
        </w:tc>
        <w:tc>
          <w:tcPr>
            <w:tcW w:w="624" w:type="dxa"/>
            <w:tcBorders>
              <w:top w:val="single" w:sz="4" w:space="0" w:color="C0C0C0"/>
              <w:left w:val="single" w:sz="4" w:space="0" w:color="000000"/>
              <w:bottom w:val="single" w:sz="4" w:space="0" w:color="C0C0C0"/>
            </w:tcBorders>
            <w:shd w:val="clear" w:color="auto" w:fill="auto"/>
            <w:vAlign w:val="center"/>
          </w:tcPr>
          <w:p w14:paraId="5D3DAF0C"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22713FCB"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0C36834C"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2257C384"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1BF46EAE"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3664E431"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tcPr>
          <w:p w14:paraId="5793069D"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right w:val="single" w:sz="4" w:space="0" w:color="000000"/>
            </w:tcBorders>
          </w:tcPr>
          <w:p w14:paraId="3E719492"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265D6F38"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69808A70"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624" w:type="dxa"/>
            <w:tcBorders>
              <w:top w:val="single" w:sz="4" w:space="0" w:color="C0C0C0"/>
              <w:left w:val="single" w:sz="4" w:space="0" w:color="000000"/>
              <w:bottom w:val="single" w:sz="4" w:space="0" w:color="C0C0C0"/>
            </w:tcBorders>
            <w:shd w:val="clear" w:color="auto" w:fill="auto"/>
            <w:vAlign w:val="center"/>
          </w:tcPr>
          <w:p w14:paraId="0C059746" w14:textId="77777777" w:rsidR="008F72B1" w:rsidRPr="005171C5" w:rsidRDefault="008F72B1" w:rsidP="005171C5">
            <w:pPr>
              <w:suppressAutoHyphens/>
              <w:snapToGrid w:val="0"/>
              <w:spacing w:before="40" w:after="40"/>
              <w:rPr>
                <w:rFonts w:eastAsia="細明體" w:cs="Segoe UI"/>
                <w:sz w:val="16"/>
                <w:szCs w:val="16"/>
                <w:lang w:eastAsia="zh-TW"/>
              </w:rPr>
            </w:pPr>
          </w:p>
        </w:tc>
        <w:tc>
          <w:tcPr>
            <w:tcW w:w="2086" w:type="dxa"/>
            <w:tcBorders>
              <w:top w:val="single" w:sz="4" w:space="0" w:color="C0C0C0"/>
              <w:left w:val="single" w:sz="4" w:space="0" w:color="000000"/>
              <w:bottom w:val="single" w:sz="4" w:space="0" w:color="C0C0C0"/>
              <w:right w:val="single" w:sz="4" w:space="0" w:color="000000"/>
            </w:tcBorders>
            <w:shd w:val="clear" w:color="auto" w:fill="auto"/>
            <w:vAlign w:val="center"/>
          </w:tcPr>
          <w:p w14:paraId="4D891EDD" w14:textId="77777777" w:rsidR="008F72B1" w:rsidRPr="005171C5" w:rsidRDefault="008F72B1" w:rsidP="005171C5">
            <w:pPr>
              <w:suppressAutoHyphens/>
              <w:snapToGrid w:val="0"/>
              <w:spacing w:before="40" w:after="40"/>
              <w:rPr>
                <w:rFonts w:eastAsia="細明體" w:cs="Segoe UI"/>
                <w:sz w:val="16"/>
                <w:szCs w:val="16"/>
                <w:lang w:eastAsia="zh-TW"/>
              </w:rPr>
            </w:pPr>
          </w:p>
        </w:tc>
      </w:tr>
      <w:tr w:rsidR="008F72B1" w:rsidRPr="005171C5" w14:paraId="0E605B00" w14:textId="77777777" w:rsidTr="0028643C">
        <w:trPr>
          <w:trHeight w:val="251"/>
        </w:trPr>
        <w:tc>
          <w:tcPr>
            <w:tcW w:w="397" w:type="dxa"/>
            <w:tcBorders>
              <w:top w:val="single" w:sz="4" w:space="0" w:color="C0C0C0"/>
              <w:bottom w:val="single" w:sz="4" w:space="0" w:color="000000"/>
            </w:tcBorders>
            <w:shd w:val="clear" w:color="auto" w:fill="auto"/>
          </w:tcPr>
          <w:p w14:paraId="69920585" w14:textId="2B327BB1" w:rsidR="008F72B1" w:rsidRPr="005171C5" w:rsidRDefault="002A3B39" w:rsidP="005171C5">
            <w:pPr>
              <w:suppressAutoHyphens/>
              <w:snapToGrid w:val="0"/>
              <w:spacing w:before="40" w:after="40"/>
              <w:rPr>
                <w:rFonts w:eastAsia="細明體" w:cs="Segoe UI"/>
                <w:sz w:val="16"/>
                <w:szCs w:val="16"/>
                <w:lang w:eastAsia="ar-SA"/>
              </w:rPr>
            </w:pPr>
            <w:r>
              <w:rPr>
                <w:rFonts w:eastAsia="細明體" w:cs="Segoe UI" w:hint="eastAsia"/>
                <w:sz w:val="16"/>
                <w:szCs w:val="16"/>
                <w:lang w:eastAsia="zh-TW"/>
              </w:rPr>
              <w:t>11</w:t>
            </w:r>
          </w:p>
        </w:tc>
        <w:tc>
          <w:tcPr>
            <w:tcW w:w="2551" w:type="dxa"/>
            <w:tcBorders>
              <w:top w:val="single" w:sz="4" w:space="0" w:color="C0C0C0"/>
              <w:left w:val="single" w:sz="4" w:space="0" w:color="000000"/>
              <w:bottom w:val="single" w:sz="4" w:space="0" w:color="000000"/>
            </w:tcBorders>
            <w:shd w:val="clear" w:color="auto" w:fill="auto"/>
            <w:vAlign w:val="center"/>
          </w:tcPr>
          <w:p w14:paraId="21EAB2DC" w14:textId="77777777" w:rsidR="008F72B1" w:rsidRPr="008C2555" w:rsidRDefault="008F72B1" w:rsidP="005171C5">
            <w:pPr>
              <w:suppressAutoHyphens/>
              <w:snapToGrid w:val="0"/>
              <w:spacing w:before="40" w:after="40"/>
              <w:rPr>
                <w:rFonts w:eastAsia="細明體" w:cs="Segoe UI"/>
                <w:b/>
                <w:sz w:val="16"/>
                <w:szCs w:val="16"/>
                <w:lang w:eastAsia="ar-SA"/>
              </w:rPr>
            </w:pPr>
            <w:r w:rsidRPr="008C2555">
              <w:rPr>
                <w:rFonts w:eastAsia="細明體" w:cs="Segoe UI" w:hint="eastAsia"/>
                <w:b/>
                <w:sz w:val="16"/>
                <w:szCs w:val="16"/>
                <w:lang w:eastAsia="ar-SA"/>
              </w:rPr>
              <w:t>總計</w:t>
            </w:r>
          </w:p>
        </w:tc>
        <w:tc>
          <w:tcPr>
            <w:tcW w:w="624" w:type="dxa"/>
            <w:tcBorders>
              <w:top w:val="single" w:sz="4" w:space="0" w:color="C0C0C0"/>
              <w:left w:val="single" w:sz="4" w:space="0" w:color="000000"/>
              <w:bottom w:val="single" w:sz="4" w:space="0" w:color="000000"/>
            </w:tcBorders>
            <w:shd w:val="clear" w:color="auto" w:fill="auto"/>
            <w:vAlign w:val="center"/>
          </w:tcPr>
          <w:p w14:paraId="43DC673B"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 xml:space="preserve">　</w:t>
            </w:r>
          </w:p>
        </w:tc>
        <w:tc>
          <w:tcPr>
            <w:tcW w:w="624" w:type="dxa"/>
            <w:tcBorders>
              <w:top w:val="single" w:sz="4" w:space="0" w:color="C0C0C0"/>
              <w:left w:val="single" w:sz="4" w:space="0" w:color="000000"/>
              <w:bottom w:val="single" w:sz="4" w:space="0" w:color="000000"/>
            </w:tcBorders>
            <w:shd w:val="clear" w:color="auto" w:fill="auto"/>
            <w:vAlign w:val="center"/>
          </w:tcPr>
          <w:p w14:paraId="79711CF2"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 xml:space="preserve">　</w:t>
            </w:r>
          </w:p>
        </w:tc>
        <w:tc>
          <w:tcPr>
            <w:tcW w:w="624" w:type="dxa"/>
            <w:tcBorders>
              <w:top w:val="single" w:sz="4" w:space="0" w:color="C0C0C0"/>
              <w:left w:val="single" w:sz="4" w:space="0" w:color="000000"/>
              <w:bottom w:val="single" w:sz="4" w:space="0" w:color="000000"/>
            </w:tcBorders>
            <w:shd w:val="clear" w:color="auto" w:fill="auto"/>
            <w:vAlign w:val="center"/>
          </w:tcPr>
          <w:p w14:paraId="083726EE"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 xml:space="preserve">　</w:t>
            </w:r>
          </w:p>
        </w:tc>
        <w:tc>
          <w:tcPr>
            <w:tcW w:w="624" w:type="dxa"/>
            <w:tcBorders>
              <w:top w:val="single" w:sz="4" w:space="0" w:color="C0C0C0"/>
              <w:left w:val="single" w:sz="4" w:space="0" w:color="000000"/>
              <w:bottom w:val="single" w:sz="4" w:space="0" w:color="000000"/>
              <w:right w:val="single" w:sz="4" w:space="0" w:color="000000"/>
            </w:tcBorders>
          </w:tcPr>
          <w:p w14:paraId="46DD2AAA"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000000"/>
              <w:right w:val="single" w:sz="4" w:space="0" w:color="000000"/>
            </w:tcBorders>
          </w:tcPr>
          <w:p w14:paraId="2DBA8A0F"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000000"/>
            </w:tcBorders>
            <w:shd w:val="clear" w:color="auto" w:fill="auto"/>
          </w:tcPr>
          <w:p w14:paraId="7CE4705C"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000000"/>
            </w:tcBorders>
            <w:shd w:val="clear" w:color="auto" w:fill="auto"/>
          </w:tcPr>
          <w:p w14:paraId="62B770C8"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000000"/>
              <w:right w:val="single" w:sz="4" w:space="0" w:color="000000"/>
            </w:tcBorders>
          </w:tcPr>
          <w:p w14:paraId="326E9022"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624" w:type="dxa"/>
            <w:tcBorders>
              <w:top w:val="single" w:sz="4" w:space="0" w:color="C0C0C0"/>
              <w:left w:val="single" w:sz="4" w:space="0" w:color="000000"/>
              <w:bottom w:val="single" w:sz="4" w:space="0" w:color="000000"/>
            </w:tcBorders>
            <w:shd w:val="clear" w:color="auto" w:fill="auto"/>
            <w:vAlign w:val="center"/>
          </w:tcPr>
          <w:p w14:paraId="569C3C45"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 xml:space="preserve">　</w:t>
            </w:r>
          </w:p>
        </w:tc>
        <w:tc>
          <w:tcPr>
            <w:tcW w:w="624" w:type="dxa"/>
            <w:tcBorders>
              <w:top w:val="single" w:sz="4" w:space="0" w:color="C0C0C0"/>
              <w:left w:val="single" w:sz="4" w:space="0" w:color="000000"/>
              <w:bottom w:val="single" w:sz="4" w:space="0" w:color="000000"/>
            </w:tcBorders>
            <w:shd w:val="clear" w:color="auto" w:fill="auto"/>
            <w:vAlign w:val="center"/>
          </w:tcPr>
          <w:p w14:paraId="42C10DB1" w14:textId="77777777" w:rsidR="008F72B1" w:rsidRPr="005171C5" w:rsidRDefault="008F72B1" w:rsidP="005171C5">
            <w:pPr>
              <w:suppressAutoHyphens/>
              <w:snapToGrid w:val="0"/>
              <w:spacing w:before="40" w:after="40"/>
              <w:rPr>
                <w:rFonts w:eastAsia="細明體" w:cs="Segoe UI"/>
                <w:sz w:val="16"/>
                <w:szCs w:val="16"/>
                <w:lang w:eastAsia="ar-SA"/>
              </w:rPr>
            </w:pPr>
            <w:r w:rsidRPr="005171C5">
              <w:rPr>
                <w:rFonts w:eastAsia="細明體" w:cs="Segoe UI" w:hint="eastAsia"/>
                <w:sz w:val="16"/>
                <w:szCs w:val="16"/>
                <w:lang w:eastAsia="ar-SA"/>
              </w:rPr>
              <w:t xml:space="preserve">　</w:t>
            </w:r>
          </w:p>
        </w:tc>
        <w:tc>
          <w:tcPr>
            <w:tcW w:w="624" w:type="dxa"/>
            <w:tcBorders>
              <w:top w:val="single" w:sz="4" w:space="0" w:color="C0C0C0"/>
              <w:left w:val="single" w:sz="4" w:space="0" w:color="000000"/>
              <w:bottom w:val="single" w:sz="4" w:space="0" w:color="000000"/>
            </w:tcBorders>
            <w:shd w:val="clear" w:color="auto" w:fill="auto"/>
            <w:vAlign w:val="center"/>
          </w:tcPr>
          <w:p w14:paraId="1F85998E" w14:textId="77777777" w:rsidR="008F72B1" w:rsidRPr="005171C5" w:rsidRDefault="008F72B1" w:rsidP="005171C5">
            <w:pPr>
              <w:suppressAutoHyphens/>
              <w:snapToGrid w:val="0"/>
              <w:spacing w:before="40" w:after="40"/>
              <w:rPr>
                <w:rFonts w:eastAsia="細明體" w:cs="Segoe UI"/>
                <w:sz w:val="16"/>
                <w:szCs w:val="16"/>
                <w:lang w:eastAsia="ar-SA"/>
              </w:rPr>
            </w:pPr>
          </w:p>
        </w:tc>
        <w:tc>
          <w:tcPr>
            <w:tcW w:w="2086" w:type="dxa"/>
            <w:tcBorders>
              <w:top w:val="single" w:sz="4" w:space="0" w:color="C0C0C0"/>
              <w:left w:val="single" w:sz="4" w:space="0" w:color="000000"/>
              <w:bottom w:val="single" w:sz="4" w:space="0" w:color="000000"/>
              <w:right w:val="single" w:sz="4" w:space="0" w:color="000000"/>
            </w:tcBorders>
            <w:shd w:val="clear" w:color="auto" w:fill="auto"/>
            <w:vAlign w:val="center"/>
          </w:tcPr>
          <w:p w14:paraId="6360A9D6" w14:textId="77777777" w:rsidR="008F72B1" w:rsidRPr="005171C5" w:rsidRDefault="008F72B1" w:rsidP="005171C5">
            <w:pPr>
              <w:suppressAutoHyphens/>
              <w:snapToGrid w:val="0"/>
              <w:spacing w:before="40" w:after="40"/>
              <w:rPr>
                <w:rFonts w:cs="Segoe UI"/>
                <w:sz w:val="16"/>
                <w:szCs w:val="16"/>
                <w:lang w:eastAsia="ar-SA"/>
              </w:rPr>
            </w:pPr>
            <w:r w:rsidRPr="005171C5">
              <w:rPr>
                <w:rFonts w:eastAsia="細明體" w:cs="Segoe UI" w:hint="eastAsia"/>
                <w:sz w:val="16"/>
                <w:szCs w:val="16"/>
                <w:lang w:eastAsia="ar-SA"/>
              </w:rPr>
              <w:t xml:space="preserve">　</w:t>
            </w:r>
          </w:p>
        </w:tc>
      </w:tr>
    </w:tbl>
    <w:p w14:paraId="51804EF1" w14:textId="77777777" w:rsidR="005171C5" w:rsidRPr="0028643C" w:rsidRDefault="005171C5" w:rsidP="0028643C">
      <w:pPr>
        <w:suppressAutoHyphens/>
        <w:spacing w:after="120"/>
        <w:rPr>
          <w:rFonts w:eastAsia="細明體" w:cs="Segoe UI"/>
          <w:u w:val="single"/>
          <w:lang w:eastAsia="ar-SA"/>
        </w:rPr>
      </w:pPr>
      <w:r w:rsidRPr="0028643C">
        <w:rPr>
          <w:rFonts w:eastAsia="細明體" w:cs="Segoe UI"/>
          <w:lang w:eastAsia="ar-SA"/>
        </w:rPr>
        <w:br w:type="page"/>
      </w:r>
      <w:r w:rsidRPr="0028643C">
        <w:rPr>
          <w:rFonts w:eastAsia="細明體" w:cs="Segoe UI" w:hint="eastAsia"/>
          <w:u w:val="single"/>
          <w:lang w:eastAsia="ar-SA"/>
        </w:rPr>
        <w:t>供使用</w:t>
      </w:r>
      <w:r w:rsidRPr="0028643C">
        <w:rPr>
          <w:rFonts w:eastAsia="細明體" w:cs="Segoe UI"/>
          <w:u w:val="single"/>
          <w:lang w:eastAsia="ar-SA"/>
        </w:rPr>
        <w:t>BSC</w:t>
      </w:r>
      <w:r w:rsidRPr="0028643C">
        <w:rPr>
          <w:rFonts w:eastAsia="細明體" w:cs="Segoe UI" w:hint="eastAsia"/>
          <w:u w:val="single"/>
          <w:lang w:eastAsia="ar-SA"/>
        </w:rPr>
        <w:t>計算法的認可機構使用的版本（「</w:t>
      </w:r>
      <w:r w:rsidRPr="0028643C">
        <w:rPr>
          <w:rFonts w:eastAsia="細明體" w:cs="Segoe UI"/>
          <w:u w:val="single"/>
          <w:lang w:eastAsia="ar-SA"/>
        </w:rPr>
        <w:t>BSC</w:t>
      </w:r>
      <w:r w:rsidRPr="0028643C">
        <w:rPr>
          <w:rFonts w:eastAsia="細明體" w:cs="Segoe UI" w:hint="eastAsia"/>
          <w:u w:val="single"/>
          <w:lang w:eastAsia="ar-SA"/>
        </w:rPr>
        <w:t>版本」）</w:t>
      </w:r>
    </w:p>
    <w:tbl>
      <w:tblPr>
        <w:tblW w:w="0" w:type="auto"/>
        <w:tblInd w:w="108" w:type="dxa"/>
        <w:tblLayout w:type="fixed"/>
        <w:tblCellMar>
          <w:left w:w="99" w:type="dxa"/>
          <w:right w:w="99" w:type="dxa"/>
        </w:tblCellMar>
        <w:tblLook w:val="0000" w:firstRow="0" w:lastRow="0" w:firstColumn="0" w:lastColumn="0" w:noHBand="0" w:noVBand="0"/>
      </w:tblPr>
      <w:tblGrid>
        <w:gridCol w:w="558"/>
        <w:gridCol w:w="3572"/>
        <w:gridCol w:w="680"/>
        <w:gridCol w:w="680"/>
        <w:gridCol w:w="680"/>
        <w:gridCol w:w="680"/>
        <w:gridCol w:w="680"/>
        <w:gridCol w:w="1039"/>
        <w:gridCol w:w="3402"/>
      </w:tblGrid>
      <w:tr w:rsidR="00167437" w:rsidRPr="005171C5" w14:paraId="4351346B" w14:textId="77777777" w:rsidTr="0084302C">
        <w:trPr>
          <w:cantSplit/>
          <w:trHeight w:val="302"/>
          <w:tblHeader/>
        </w:trPr>
        <w:tc>
          <w:tcPr>
            <w:tcW w:w="558" w:type="dxa"/>
            <w:shd w:val="clear" w:color="auto" w:fill="auto"/>
          </w:tcPr>
          <w:p w14:paraId="759BA116"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3572" w:type="dxa"/>
            <w:tcBorders>
              <w:bottom w:val="single" w:sz="4" w:space="0" w:color="auto"/>
              <w:right w:val="single" w:sz="4" w:space="0" w:color="auto"/>
            </w:tcBorders>
            <w:shd w:val="clear" w:color="auto" w:fill="auto"/>
            <w:vAlign w:val="center"/>
          </w:tcPr>
          <w:p w14:paraId="6E7FC24C" w14:textId="77777777" w:rsidR="00167437" w:rsidRPr="005171C5" w:rsidRDefault="00167437" w:rsidP="00167437">
            <w:pPr>
              <w:suppressAutoHyphens/>
              <w:snapToGrid w:val="0"/>
              <w:spacing w:before="40" w:after="40"/>
              <w:jc w:val="right"/>
              <w:rPr>
                <w:rFonts w:eastAsia="細明體" w:cs="Segoe UI"/>
                <w:sz w:val="17"/>
                <w:szCs w:val="17"/>
                <w:lang w:eastAsia="zh-TW"/>
              </w:rPr>
            </w:pPr>
          </w:p>
        </w:tc>
        <w:tc>
          <w:tcPr>
            <w:tcW w:w="680" w:type="dxa"/>
            <w:tcBorders>
              <w:top w:val="single" w:sz="4" w:space="0" w:color="000000"/>
              <w:left w:val="single" w:sz="4" w:space="0" w:color="auto"/>
              <w:bottom w:val="single" w:sz="4" w:space="0" w:color="000000"/>
            </w:tcBorders>
            <w:shd w:val="clear" w:color="auto" w:fill="auto"/>
            <w:vAlign w:val="center"/>
          </w:tcPr>
          <w:p w14:paraId="364DE0CF" w14:textId="6A82631E" w:rsidR="00167437" w:rsidRPr="005171C5" w:rsidRDefault="00167437" w:rsidP="00167437">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(a)</w:t>
            </w:r>
          </w:p>
        </w:tc>
        <w:tc>
          <w:tcPr>
            <w:tcW w:w="680" w:type="dxa"/>
            <w:tcBorders>
              <w:top w:val="single" w:sz="4" w:space="0" w:color="000000"/>
              <w:left w:val="single" w:sz="4" w:space="0" w:color="000000"/>
              <w:bottom w:val="single" w:sz="4" w:space="0" w:color="000000"/>
            </w:tcBorders>
            <w:shd w:val="clear" w:color="auto" w:fill="auto"/>
            <w:vAlign w:val="center"/>
          </w:tcPr>
          <w:p w14:paraId="64B64122" w14:textId="27215343" w:rsidR="00167437" w:rsidRPr="005171C5" w:rsidRDefault="00167437" w:rsidP="00167437">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(b)</w:t>
            </w:r>
          </w:p>
        </w:tc>
        <w:tc>
          <w:tcPr>
            <w:tcW w:w="680" w:type="dxa"/>
            <w:tcBorders>
              <w:top w:val="single" w:sz="4" w:space="0" w:color="000000"/>
              <w:left w:val="single" w:sz="4" w:space="0" w:color="000000"/>
              <w:bottom w:val="single" w:sz="4" w:space="0" w:color="000000"/>
            </w:tcBorders>
            <w:shd w:val="clear" w:color="auto" w:fill="auto"/>
            <w:vAlign w:val="center"/>
          </w:tcPr>
          <w:p w14:paraId="3EEDB0AF" w14:textId="230BB9C1" w:rsidR="00167437" w:rsidRPr="005171C5" w:rsidRDefault="00167437" w:rsidP="00167437">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(c)</w:t>
            </w:r>
          </w:p>
        </w:tc>
        <w:tc>
          <w:tcPr>
            <w:tcW w:w="680" w:type="dxa"/>
            <w:tcBorders>
              <w:top w:val="single" w:sz="4" w:space="0" w:color="000000"/>
              <w:left w:val="single" w:sz="4" w:space="0" w:color="000000"/>
              <w:bottom w:val="single" w:sz="4" w:space="0" w:color="000000"/>
            </w:tcBorders>
            <w:shd w:val="clear" w:color="auto" w:fill="auto"/>
            <w:vAlign w:val="center"/>
          </w:tcPr>
          <w:p w14:paraId="3FA002AA" w14:textId="4FE92BD2" w:rsidR="00167437" w:rsidRPr="005171C5" w:rsidRDefault="00167437" w:rsidP="00167437">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(d)</w:t>
            </w:r>
          </w:p>
        </w:tc>
        <w:tc>
          <w:tcPr>
            <w:tcW w:w="680" w:type="dxa"/>
            <w:tcBorders>
              <w:top w:val="single" w:sz="4" w:space="0" w:color="000000"/>
              <w:left w:val="single" w:sz="4" w:space="0" w:color="000000"/>
              <w:bottom w:val="single" w:sz="4" w:space="0" w:color="000000"/>
            </w:tcBorders>
            <w:shd w:val="clear" w:color="auto" w:fill="auto"/>
            <w:vAlign w:val="center"/>
          </w:tcPr>
          <w:p w14:paraId="78930C78" w14:textId="5B96C027" w:rsidR="00167437" w:rsidRPr="005171C5" w:rsidRDefault="00167437" w:rsidP="00167437">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(f)</w:t>
            </w:r>
          </w:p>
        </w:tc>
        <w:tc>
          <w:tcPr>
            <w:tcW w:w="1039" w:type="dxa"/>
            <w:tcBorders>
              <w:top w:val="single" w:sz="4" w:space="0" w:color="000000"/>
              <w:left w:val="single" w:sz="4" w:space="0" w:color="000000"/>
              <w:bottom w:val="single" w:sz="4" w:space="0" w:color="000000"/>
              <w:right w:val="single" w:sz="4" w:space="0" w:color="000000"/>
            </w:tcBorders>
            <w:vAlign w:val="center"/>
          </w:tcPr>
          <w:p w14:paraId="3C525A32" w14:textId="30DDA8F7" w:rsidR="00167437" w:rsidRPr="005171C5" w:rsidRDefault="00167437" w:rsidP="00167437">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(h)</w:t>
            </w:r>
          </w:p>
        </w:tc>
        <w:tc>
          <w:tcPr>
            <w:tcW w:w="3402" w:type="dxa"/>
            <w:tcBorders>
              <w:top w:val="single" w:sz="4" w:space="0" w:color="000000"/>
              <w:left w:val="single" w:sz="4" w:space="0" w:color="000000"/>
              <w:bottom w:val="single" w:sz="4" w:space="0" w:color="000000"/>
              <w:right w:val="single" w:sz="4" w:space="0" w:color="000000"/>
            </w:tcBorders>
            <w:vAlign w:val="center"/>
          </w:tcPr>
          <w:p w14:paraId="3E5AFAB8" w14:textId="42A7CA4C" w:rsidR="00167437" w:rsidRPr="005171C5" w:rsidRDefault="00167437" w:rsidP="00167437">
            <w:pPr>
              <w:suppressAutoHyphens/>
              <w:snapToGrid w:val="0"/>
              <w:spacing w:before="40" w:after="40"/>
              <w:jc w:val="center"/>
              <w:rPr>
                <w:rFonts w:eastAsia="細明體" w:cs="Segoe UI"/>
                <w:sz w:val="17"/>
                <w:szCs w:val="17"/>
                <w:lang w:eastAsia="zh-TW"/>
              </w:rPr>
            </w:pPr>
            <w:r w:rsidRPr="005171C5">
              <w:rPr>
                <w:rFonts w:eastAsia="細明體" w:cs="Segoe UI"/>
                <w:sz w:val="17"/>
                <w:szCs w:val="17"/>
                <w:lang w:eastAsia="ar-SA"/>
              </w:rPr>
              <w:t>(</w:t>
            </w:r>
            <w:proofErr w:type="spellStart"/>
            <w:r w:rsidRPr="005171C5">
              <w:rPr>
                <w:rFonts w:eastAsia="細明體" w:cs="Segoe UI"/>
                <w:sz w:val="17"/>
                <w:szCs w:val="17"/>
                <w:lang w:eastAsia="ar-SA"/>
              </w:rPr>
              <w:t>i</w:t>
            </w:r>
            <w:proofErr w:type="spellEnd"/>
            <w:r w:rsidRPr="005171C5">
              <w:rPr>
                <w:rFonts w:eastAsia="細明體" w:cs="Segoe UI"/>
                <w:sz w:val="17"/>
                <w:szCs w:val="17"/>
                <w:lang w:eastAsia="ar-SA"/>
              </w:rPr>
              <w:t>)</w:t>
            </w:r>
          </w:p>
        </w:tc>
      </w:tr>
      <w:tr w:rsidR="00167437" w:rsidRPr="005171C5" w14:paraId="42518BA0" w14:textId="77777777" w:rsidTr="0028643C">
        <w:trPr>
          <w:cantSplit/>
          <w:trHeight w:val="302"/>
          <w:tblHeader/>
        </w:trPr>
        <w:tc>
          <w:tcPr>
            <w:tcW w:w="558" w:type="dxa"/>
            <w:tcBorders>
              <w:bottom w:val="single" w:sz="4" w:space="0" w:color="000000"/>
            </w:tcBorders>
            <w:shd w:val="clear" w:color="auto" w:fill="auto"/>
          </w:tcPr>
          <w:p w14:paraId="18CFC1A0"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3572" w:type="dxa"/>
            <w:tcBorders>
              <w:top w:val="single" w:sz="4" w:space="0" w:color="auto"/>
              <w:left w:val="single" w:sz="4" w:space="0" w:color="000000"/>
              <w:bottom w:val="single" w:sz="4" w:space="0" w:color="000000"/>
              <w:tl2br w:val="single" w:sz="4" w:space="0" w:color="auto"/>
            </w:tcBorders>
            <w:shd w:val="clear" w:color="auto" w:fill="auto"/>
            <w:vAlign w:val="center"/>
          </w:tcPr>
          <w:p w14:paraId="7543D430" w14:textId="77777777" w:rsidR="00167437" w:rsidRPr="005171C5" w:rsidRDefault="00167437" w:rsidP="00167437">
            <w:pPr>
              <w:suppressAutoHyphens/>
              <w:snapToGrid w:val="0"/>
              <w:spacing w:before="40" w:after="40"/>
              <w:jc w:val="right"/>
              <w:rPr>
                <w:rFonts w:eastAsia="細明體" w:cs="Segoe UI"/>
                <w:sz w:val="17"/>
                <w:szCs w:val="17"/>
                <w:lang w:eastAsia="zh-TW"/>
              </w:rPr>
            </w:pPr>
            <w:r w:rsidRPr="005171C5">
              <w:rPr>
                <w:rFonts w:eastAsia="細明體" w:cs="Segoe UI"/>
                <w:sz w:val="17"/>
                <w:szCs w:val="17"/>
                <w:lang w:eastAsia="zh-TW"/>
              </w:rPr>
              <w:t xml:space="preserve">                                  </w:t>
            </w:r>
            <w:r w:rsidRPr="005171C5">
              <w:rPr>
                <w:rFonts w:eastAsia="細明體" w:cs="Segoe UI" w:hint="eastAsia"/>
                <w:sz w:val="17"/>
                <w:szCs w:val="17"/>
                <w:lang w:eastAsia="zh-TW"/>
              </w:rPr>
              <w:t>風險權重</w:t>
            </w:r>
          </w:p>
          <w:p w14:paraId="46303710" w14:textId="77777777" w:rsidR="00167437" w:rsidRPr="005171C5" w:rsidRDefault="00167437" w:rsidP="00167437">
            <w:pPr>
              <w:suppressAutoHyphens/>
              <w:snapToGrid w:val="0"/>
              <w:spacing w:before="40" w:after="40"/>
              <w:rPr>
                <w:rFonts w:eastAsia="細明體" w:cs="Segoe UI"/>
                <w:sz w:val="17"/>
                <w:szCs w:val="17"/>
                <w:lang w:eastAsia="zh-TW"/>
              </w:rPr>
            </w:pPr>
            <w:r w:rsidRPr="005171C5">
              <w:rPr>
                <w:rFonts w:eastAsia="細明體" w:cs="Segoe UI" w:hint="eastAsia"/>
                <w:sz w:val="17"/>
                <w:szCs w:val="17"/>
                <w:lang w:eastAsia="zh-TW"/>
              </w:rPr>
              <w:t>風險承擔類別</w:t>
            </w:r>
          </w:p>
        </w:tc>
        <w:tc>
          <w:tcPr>
            <w:tcW w:w="680" w:type="dxa"/>
            <w:tcBorders>
              <w:top w:val="single" w:sz="4" w:space="0" w:color="000000"/>
              <w:left w:val="single" w:sz="4" w:space="0" w:color="000000"/>
              <w:bottom w:val="single" w:sz="4" w:space="0" w:color="000000"/>
            </w:tcBorders>
            <w:shd w:val="clear" w:color="auto" w:fill="auto"/>
            <w:vAlign w:val="center"/>
          </w:tcPr>
          <w:p w14:paraId="42BD43F1" w14:textId="77777777" w:rsidR="00167437" w:rsidRPr="005171C5" w:rsidRDefault="00167437" w:rsidP="008C255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0%</w:t>
            </w:r>
          </w:p>
        </w:tc>
        <w:tc>
          <w:tcPr>
            <w:tcW w:w="680" w:type="dxa"/>
            <w:tcBorders>
              <w:top w:val="single" w:sz="4" w:space="0" w:color="000000"/>
              <w:left w:val="single" w:sz="4" w:space="0" w:color="000000"/>
              <w:bottom w:val="single" w:sz="4" w:space="0" w:color="000000"/>
            </w:tcBorders>
            <w:shd w:val="clear" w:color="auto" w:fill="auto"/>
            <w:vAlign w:val="center"/>
          </w:tcPr>
          <w:p w14:paraId="71E45A4D" w14:textId="77777777" w:rsidR="00167437" w:rsidRPr="005171C5" w:rsidRDefault="00167437" w:rsidP="008C255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10%</w:t>
            </w:r>
          </w:p>
        </w:tc>
        <w:tc>
          <w:tcPr>
            <w:tcW w:w="680" w:type="dxa"/>
            <w:tcBorders>
              <w:top w:val="single" w:sz="4" w:space="0" w:color="000000"/>
              <w:left w:val="single" w:sz="4" w:space="0" w:color="000000"/>
              <w:bottom w:val="single" w:sz="4" w:space="0" w:color="000000"/>
            </w:tcBorders>
            <w:shd w:val="clear" w:color="auto" w:fill="auto"/>
            <w:vAlign w:val="center"/>
          </w:tcPr>
          <w:p w14:paraId="3E4DB215" w14:textId="2EB38DA1" w:rsidR="00167437" w:rsidRPr="005171C5" w:rsidRDefault="00167437" w:rsidP="008C255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20%</w:t>
            </w:r>
          </w:p>
        </w:tc>
        <w:tc>
          <w:tcPr>
            <w:tcW w:w="680" w:type="dxa"/>
            <w:tcBorders>
              <w:top w:val="single" w:sz="4" w:space="0" w:color="000000"/>
              <w:left w:val="single" w:sz="4" w:space="0" w:color="000000"/>
              <w:bottom w:val="single" w:sz="4" w:space="0" w:color="000000"/>
            </w:tcBorders>
            <w:shd w:val="clear" w:color="auto" w:fill="auto"/>
            <w:vAlign w:val="center"/>
          </w:tcPr>
          <w:p w14:paraId="45B593AA" w14:textId="77777777" w:rsidR="00167437" w:rsidRPr="005171C5" w:rsidRDefault="00167437" w:rsidP="008C255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50%</w:t>
            </w:r>
          </w:p>
        </w:tc>
        <w:tc>
          <w:tcPr>
            <w:tcW w:w="680" w:type="dxa"/>
            <w:tcBorders>
              <w:top w:val="single" w:sz="4" w:space="0" w:color="000000"/>
              <w:left w:val="single" w:sz="4" w:space="0" w:color="000000"/>
              <w:bottom w:val="single" w:sz="4" w:space="0" w:color="000000"/>
            </w:tcBorders>
            <w:shd w:val="clear" w:color="auto" w:fill="auto"/>
            <w:vAlign w:val="center"/>
          </w:tcPr>
          <w:p w14:paraId="61EEB7E6" w14:textId="6049DF9C" w:rsidR="00167437" w:rsidRPr="005171C5" w:rsidRDefault="00167437" w:rsidP="008C2555">
            <w:pPr>
              <w:suppressAutoHyphens/>
              <w:snapToGrid w:val="0"/>
              <w:spacing w:before="40" w:after="40"/>
              <w:jc w:val="center"/>
              <w:rPr>
                <w:rFonts w:eastAsia="細明體" w:cs="Segoe UI"/>
                <w:sz w:val="17"/>
                <w:szCs w:val="17"/>
                <w:lang w:eastAsia="ar-SA"/>
              </w:rPr>
            </w:pPr>
            <w:r w:rsidRPr="005171C5">
              <w:rPr>
                <w:rFonts w:eastAsia="細明體" w:cs="Segoe UI"/>
                <w:sz w:val="17"/>
                <w:szCs w:val="17"/>
                <w:lang w:eastAsia="ar-SA"/>
              </w:rPr>
              <w:t>100%</w:t>
            </w:r>
          </w:p>
        </w:tc>
        <w:tc>
          <w:tcPr>
            <w:tcW w:w="1039" w:type="dxa"/>
            <w:tcBorders>
              <w:top w:val="single" w:sz="4" w:space="0" w:color="000000"/>
              <w:left w:val="single" w:sz="4" w:space="0" w:color="000000"/>
              <w:bottom w:val="single" w:sz="4" w:space="0" w:color="000000"/>
              <w:right w:val="single" w:sz="4" w:space="0" w:color="000000"/>
            </w:tcBorders>
            <w:vAlign w:val="center"/>
          </w:tcPr>
          <w:p w14:paraId="2A4FEB53" w14:textId="77777777" w:rsidR="00167437" w:rsidRPr="005171C5" w:rsidRDefault="00167437" w:rsidP="0028643C">
            <w:pPr>
              <w:suppressAutoHyphens/>
              <w:snapToGrid w:val="0"/>
              <w:spacing w:before="40" w:after="40"/>
              <w:jc w:val="center"/>
              <w:rPr>
                <w:rFonts w:eastAsia="細明體" w:cs="Segoe UI"/>
                <w:sz w:val="17"/>
                <w:szCs w:val="17"/>
                <w:lang w:eastAsia="ar-SA"/>
              </w:rPr>
            </w:pPr>
            <w:r w:rsidRPr="005171C5">
              <w:rPr>
                <w:rFonts w:eastAsia="細明體" w:cs="Segoe UI" w:hint="eastAsia"/>
                <w:sz w:val="17"/>
                <w:szCs w:val="17"/>
                <w:lang w:eastAsia="ar-SA"/>
              </w:rPr>
              <w:t>其他</w:t>
            </w:r>
          </w:p>
        </w:tc>
        <w:tc>
          <w:tcPr>
            <w:tcW w:w="3402" w:type="dxa"/>
            <w:tcBorders>
              <w:top w:val="single" w:sz="4" w:space="0" w:color="000000"/>
              <w:left w:val="single" w:sz="4" w:space="0" w:color="000000"/>
              <w:bottom w:val="single" w:sz="4" w:space="0" w:color="000000"/>
              <w:right w:val="single" w:sz="4" w:space="0" w:color="000000"/>
            </w:tcBorders>
            <w:vAlign w:val="center"/>
          </w:tcPr>
          <w:p w14:paraId="5703A804" w14:textId="77777777" w:rsidR="00167437" w:rsidRPr="005171C5" w:rsidRDefault="00167437" w:rsidP="00167437">
            <w:pPr>
              <w:suppressAutoHyphens/>
              <w:snapToGrid w:val="0"/>
              <w:spacing w:before="40" w:after="40"/>
              <w:rPr>
                <w:rFonts w:eastAsia="細明體" w:cs="Segoe UI"/>
                <w:sz w:val="17"/>
                <w:szCs w:val="17"/>
                <w:lang w:eastAsia="zh-TW"/>
              </w:rPr>
            </w:pPr>
            <w:r w:rsidRPr="005171C5">
              <w:rPr>
                <w:rFonts w:eastAsia="細明體" w:cs="Segoe UI" w:hint="eastAsia"/>
                <w:sz w:val="17"/>
                <w:szCs w:val="17"/>
                <w:lang w:eastAsia="zh-TW"/>
              </w:rPr>
              <w:t>已將減低信用風險措施計算在內的</w:t>
            </w:r>
            <w:proofErr w:type="gramStart"/>
            <w:r w:rsidRPr="005171C5">
              <w:rPr>
                <w:rFonts w:eastAsia="細明體" w:cs="Segoe UI" w:hint="eastAsia"/>
                <w:sz w:val="17"/>
                <w:szCs w:val="17"/>
                <w:lang w:eastAsia="zh-TW"/>
              </w:rPr>
              <w:t>總違責</w:t>
            </w:r>
            <w:proofErr w:type="gramEnd"/>
            <w:r w:rsidRPr="005171C5">
              <w:rPr>
                <w:rFonts w:eastAsia="細明體" w:cs="Segoe UI" w:hint="eastAsia"/>
                <w:sz w:val="17"/>
                <w:szCs w:val="17"/>
                <w:lang w:eastAsia="zh-TW"/>
              </w:rPr>
              <w:t>風險的風險承擔</w:t>
            </w:r>
          </w:p>
        </w:tc>
      </w:tr>
      <w:tr w:rsidR="00167437" w:rsidRPr="005171C5" w14:paraId="79DFDAF9" w14:textId="77777777" w:rsidTr="0028643C">
        <w:trPr>
          <w:trHeight w:val="283"/>
        </w:trPr>
        <w:tc>
          <w:tcPr>
            <w:tcW w:w="558" w:type="dxa"/>
            <w:tcBorders>
              <w:top w:val="single" w:sz="4" w:space="0" w:color="000000"/>
              <w:bottom w:val="single" w:sz="4" w:space="0" w:color="C0C0C0"/>
            </w:tcBorders>
            <w:shd w:val="clear" w:color="auto" w:fill="auto"/>
          </w:tcPr>
          <w:p w14:paraId="4D6661B9"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1</w:t>
            </w:r>
          </w:p>
        </w:tc>
        <w:tc>
          <w:tcPr>
            <w:tcW w:w="3572" w:type="dxa"/>
            <w:tcBorders>
              <w:top w:val="single" w:sz="4" w:space="0" w:color="000000"/>
              <w:left w:val="single" w:sz="4" w:space="0" w:color="000000"/>
              <w:bottom w:val="single" w:sz="4" w:space="0" w:color="C0C0C0"/>
            </w:tcBorders>
            <w:shd w:val="clear" w:color="auto" w:fill="auto"/>
            <w:vAlign w:val="center"/>
          </w:tcPr>
          <w:p w14:paraId="6BBFE5EC"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ar-SA"/>
              </w:rPr>
              <w:t>官方實體風險承擔</w:t>
            </w:r>
          </w:p>
        </w:tc>
        <w:tc>
          <w:tcPr>
            <w:tcW w:w="680" w:type="dxa"/>
            <w:tcBorders>
              <w:top w:val="single" w:sz="4" w:space="0" w:color="000000"/>
              <w:left w:val="single" w:sz="4" w:space="0" w:color="000000"/>
              <w:bottom w:val="single" w:sz="4" w:space="0" w:color="C0C0C0"/>
            </w:tcBorders>
            <w:shd w:val="clear" w:color="auto" w:fill="auto"/>
            <w:vAlign w:val="center"/>
          </w:tcPr>
          <w:p w14:paraId="3BE48845"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000000"/>
              <w:left w:val="single" w:sz="4" w:space="0" w:color="000000"/>
              <w:bottom w:val="single" w:sz="4" w:space="0" w:color="C0C0C0"/>
            </w:tcBorders>
            <w:shd w:val="clear" w:color="auto" w:fill="auto"/>
            <w:vAlign w:val="center"/>
          </w:tcPr>
          <w:p w14:paraId="494C8A85"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000000"/>
              <w:left w:val="single" w:sz="4" w:space="0" w:color="000000"/>
              <w:bottom w:val="single" w:sz="4" w:space="0" w:color="C0C0C0"/>
            </w:tcBorders>
            <w:shd w:val="clear" w:color="auto" w:fill="auto"/>
            <w:vAlign w:val="center"/>
          </w:tcPr>
          <w:p w14:paraId="186AE6C9"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000000"/>
              <w:left w:val="single" w:sz="4" w:space="0" w:color="000000"/>
              <w:bottom w:val="single" w:sz="4" w:space="0" w:color="C0C0C0"/>
            </w:tcBorders>
            <w:shd w:val="clear" w:color="auto" w:fill="auto"/>
          </w:tcPr>
          <w:p w14:paraId="58247806"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000000"/>
              <w:left w:val="single" w:sz="4" w:space="0" w:color="000000"/>
              <w:bottom w:val="single" w:sz="4" w:space="0" w:color="C0C0C0"/>
            </w:tcBorders>
            <w:shd w:val="clear" w:color="auto" w:fill="auto"/>
            <w:vAlign w:val="center"/>
          </w:tcPr>
          <w:p w14:paraId="0A1D5134"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1039" w:type="dxa"/>
            <w:tcBorders>
              <w:top w:val="single" w:sz="4" w:space="0" w:color="000000"/>
              <w:left w:val="single" w:sz="4" w:space="0" w:color="000000"/>
              <w:bottom w:val="single" w:sz="4" w:space="0" w:color="C0C0C0"/>
              <w:right w:val="single" w:sz="4" w:space="0" w:color="000000"/>
            </w:tcBorders>
          </w:tcPr>
          <w:p w14:paraId="50A69F34"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3402" w:type="dxa"/>
            <w:tcBorders>
              <w:top w:val="single" w:sz="4" w:space="0" w:color="000000"/>
              <w:left w:val="single" w:sz="4" w:space="0" w:color="000000"/>
              <w:bottom w:val="single" w:sz="4" w:space="0" w:color="C0C0C0"/>
              <w:right w:val="single" w:sz="4" w:space="0" w:color="000000"/>
            </w:tcBorders>
          </w:tcPr>
          <w:p w14:paraId="23366C27" w14:textId="77777777" w:rsidR="00167437" w:rsidRPr="005171C5" w:rsidRDefault="00167437" w:rsidP="00167437">
            <w:pPr>
              <w:suppressAutoHyphens/>
              <w:snapToGrid w:val="0"/>
              <w:spacing w:before="40" w:after="40"/>
              <w:rPr>
                <w:rFonts w:eastAsia="細明體" w:cs="Segoe UI"/>
                <w:sz w:val="17"/>
                <w:szCs w:val="17"/>
                <w:lang w:eastAsia="ar-SA"/>
              </w:rPr>
            </w:pPr>
          </w:p>
        </w:tc>
      </w:tr>
      <w:tr w:rsidR="00167437" w:rsidRPr="005171C5" w14:paraId="6930EBA6" w14:textId="77777777" w:rsidTr="0028643C">
        <w:trPr>
          <w:trHeight w:val="283"/>
        </w:trPr>
        <w:tc>
          <w:tcPr>
            <w:tcW w:w="558" w:type="dxa"/>
            <w:tcBorders>
              <w:top w:val="single" w:sz="4" w:space="0" w:color="C0C0C0"/>
              <w:bottom w:val="single" w:sz="4" w:space="0" w:color="C0C0C0"/>
            </w:tcBorders>
            <w:shd w:val="clear" w:color="auto" w:fill="auto"/>
          </w:tcPr>
          <w:p w14:paraId="1BE07540"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2</w:t>
            </w:r>
          </w:p>
        </w:tc>
        <w:tc>
          <w:tcPr>
            <w:tcW w:w="3572" w:type="dxa"/>
            <w:tcBorders>
              <w:top w:val="single" w:sz="4" w:space="0" w:color="C0C0C0"/>
              <w:left w:val="single" w:sz="4" w:space="0" w:color="000000"/>
              <w:bottom w:val="single" w:sz="4" w:space="0" w:color="C0C0C0"/>
            </w:tcBorders>
            <w:shd w:val="clear" w:color="auto" w:fill="auto"/>
            <w:vAlign w:val="center"/>
          </w:tcPr>
          <w:p w14:paraId="0CFED638"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ar-SA"/>
              </w:rPr>
              <w:t>公營單位風險承擔</w:t>
            </w:r>
          </w:p>
        </w:tc>
        <w:tc>
          <w:tcPr>
            <w:tcW w:w="680" w:type="dxa"/>
            <w:tcBorders>
              <w:top w:val="single" w:sz="4" w:space="0" w:color="C0C0C0"/>
              <w:left w:val="single" w:sz="4" w:space="0" w:color="000000"/>
              <w:bottom w:val="single" w:sz="4" w:space="0" w:color="C0C0C0"/>
            </w:tcBorders>
            <w:shd w:val="clear" w:color="auto" w:fill="auto"/>
            <w:vAlign w:val="center"/>
          </w:tcPr>
          <w:p w14:paraId="276CDE23"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1692BC9C"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165A62A0"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tcPr>
          <w:p w14:paraId="24863F36"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4D33BF1A"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1039" w:type="dxa"/>
            <w:tcBorders>
              <w:top w:val="single" w:sz="4" w:space="0" w:color="C0C0C0"/>
              <w:left w:val="single" w:sz="4" w:space="0" w:color="000000"/>
              <w:bottom w:val="single" w:sz="4" w:space="0" w:color="C0C0C0"/>
              <w:right w:val="single" w:sz="4" w:space="0" w:color="000000"/>
            </w:tcBorders>
          </w:tcPr>
          <w:p w14:paraId="6230110D"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3402" w:type="dxa"/>
            <w:tcBorders>
              <w:top w:val="single" w:sz="4" w:space="0" w:color="C0C0C0"/>
              <w:left w:val="single" w:sz="4" w:space="0" w:color="000000"/>
              <w:bottom w:val="single" w:sz="4" w:space="0" w:color="C0C0C0"/>
              <w:right w:val="single" w:sz="4" w:space="0" w:color="000000"/>
            </w:tcBorders>
          </w:tcPr>
          <w:p w14:paraId="690B14FC" w14:textId="77777777" w:rsidR="00167437" w:rsidRPr="005171C5" w:rsidRDefault="00167437" w:rsidP="00167437">
            <w:pPr>
              <w:suppressAutoHyphens/>
              <w:snapToGrid w:val="0"/>
              <w:spacing w:before="40" w:after="40"/>
              <w:rPr>
                <w:rFonts w:eastAsia="細明體" w:cs="Segoe UI"/>
                <w:sz w:val="17"/>
                <w:szCs w:val="17"/>
                <w:lang w:eastAsia="ar-SA"/>
              </w:rPr>
            </w:pPr>
          </w:p>
        </w:tc>
      </w:tr>
      <w:tr w:rsidR="00167437" w:rsidRPr="005171C5" w14:paraId="0494318B" w14:textId="77777777" w:rsidTr="0028643C">
        <w:trPr>
          <w:trHeight w:val="283"/>
        </w:trPr>
        <w:tc>
          <w:tcPr>
            <w:tcW w:w="558" w:type="dxa"/>
            <w:tcBorders>
              <w:top w:val="single" w:sz="4" w:space="0" w:color="C0C0C0"/>
              <w:bottom w:val="single" w:sz="4" w:space="0" w:color="C0C0C0"/>
            </w:tcBorders>
            <w:shd w:val="clear" w:color="auto" w:fill="auto"/>
          </w:tcPr>
          <w:p w14:paraId="14CD32EC"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3</w:t>
            </w:r>
          </w:p>
        </w:tc>
        <w:tc>
          <w:tcPr>
            <w:tcW w:w="3572" w:type="dxa"/>
            <w:tcBorders>
              <w:top w:val="single" w:sz="4" w:space="0" w:color="C0C0C0"/>
              <w:left w:val="single" w:sz="4" w:space="0" w:color="000000"/>
              <w:bottom w:val="single" w:sz="4" w:space="0" w:color="C0C0C0"/>
            </w:tcBorders>
            <w:shd w:val="clear" w:color="auto" w:fill="auto"/>
            <w:vAlign w:val="center"/>
          </w:tcPr>
          <w:p w14:paraId="1F2745A1" w14:textId="77777777" w:rsidR="00167437" w:rsidRPr="005171C5" w:rsidRDefault="00167437" w:rsidP="00167437">
            <w:pPr>
              <w:suppressAutoHyphens/>
              <w:snapToGrid w:val="0"/>
              <w:spacing w:before="40" w:after="40"/>
              <w:rPr>
                <w:rFonts w:eastAsia="細明體" w:cs="Segoe UI"/>
                <w:sz w:val="17"/>
                <w:szCs w:val="17"/>
                <w:lang w:eastAsia="zh-TW"/>
              </w:rPr>
            </w:pPr>
            <w:r w:rsidRPr="005171C5">
              <w:rPr>
                <w:rFonts w:eastAsia="細明體" w:cs="Segoe UI" w:hint="eastAsia"/>
                <w:sz w:val="17"/>
                <w:szCs w:val="17"/>
                <w:lang w:eastAsia="zh-TW"/>
              </w:rPr>
              <w:t>多邊發展銀行風險承擔</w:t>
            </w:r>
          </w:p>
        </w:tc>
        <w:tc>
          <w:tcPr>
            <w:tcW w:w="680" w:type="dxa"/>
            <w:tcBorders>
              <w:top w:val="single" w:sz="4" w:space="0" w:color="C0C0C0"/>
              <w:left w:val="single" w:sz="4" w:space="0" w:color="000000"/>
              <w:bottom w:val="single" w:sz="4" w:space="0" w:color="C0C0C0"/>
            </w:tcBorders>
            <w:shd w:val="clear" w:color="auto" w:fill="auto"/>
            <w:vAlign w:val="center"/>
          </w:tcPr>
          <w:p w14:paraId="40A6E650"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vAlign w:val="center"/>
          </w:tcPr>
          <w:p w14:paraId="5DDE6713"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vAlign w:val="center"/>
          </w:tcPr>
          <w:p w14:paraId="38251FD7"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tcPr>
          <w:p w14:paraId="03435014"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vAlign w:val="center"/>
          </w:tcPr>
          <w:p w14:paraId="4863C1FE"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1039" w:type="dxa"/>
            <w:tcBorders>
              <w:top w:val="single" w:sz="4" w:space="0" w:color="C0C0C0"/>
              <w:left w:val="single" w:sz="4" w:space="0" w:color="000000"/>
              <w:bottom w:val="single" w:sz="4" w:space="0" w:color="C0C0C0"/>
              <w:right w:val="single" w:sz="4" w:space="0" w:color="000000"/>
            </w:tcBorders>
          </w:tcPr>
          <w:p w14:paraId="6009508F"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3402" w:type="dxa"/>
            <w:tcBorders>
              <w:top w:val="single" w:sz="4" w:space="0" w:color="C0C0C0"/>
              <w:left w:val="single" w:sz="4" w:space="0" w:color="000000"/>
              <w:bottom w:val="single" w:sz="4" w:space="0" w:color="C0C0C0"/>
              <w:right w:val="single" w:sz="4" w:space="0" w:color="000000"/>
            </w:tcBorders>
          </w:tcPr>
          <w:p w14:paraId="60645816" w14:textId="77777777" w:rsidR="00167437" w:rsidRPr="005171C5" w:rsidRDefault="00167437" w:rsidP="00167437">
            <w:pPr>
              <w:suppressAutoHyphens/>
              <w:snapToGrid w:val="0"/>
              <w:spacing w:before="40" w:after="40"/>
              <w:rPr>
                <w:rFonts w:eastAsia="細明體" w:cs="Segoe UI"/>
                <w:sz w:val="17"/>
                <w:szCs w:val="17"/>
                <w:lang w:eastAsia="zh-TW"/>
              </w:rPr>
            </w:pPr>
          </w:p>
        </w:tc>
      </w:tr>
      <w:tr w:rsidR="00167437" w:rsidRPr="005171C5" w14:paraId="360BD9B3" w14:textId="77777777" w:rsidTr="0028643C">
        <w:trPr>
          <w:trHeight w:val="283"/>
        </w:trPr>
        <w:tc>
          <w:tcPr>
            <w:tcW w:w="558" w:type="dxa"/>
            <w:tcBorders>
              <w:top w:val="single" w:sz="4" w:space="0" w:color="C0C0C0"/>
              <w:bottom w:val="single" w:sz="4" w:space="0" w:color="C0C0C0"/>
            </w:tcBorders>
            <w:shd w:val="clear" w:color="auto" w:fill="auto"/>
          </w:tcPr>
          <w:p w14:paraId="443D440A"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sz w:val="17"/>
                <w:szCs w:val="17"/>
                <w:lang w:eastAsia="ar-SA"/>
              </w:rPr>
              <w:t>4</w:t>
            </w:r>
          </w:p>
        </w:tc>
        <w:tc>
          <w:tcPr>
            <w:tcW w:w="3572" w:type="dxa"/>
            <w:tcBorders>
              <w:top w:val="single" w:sz="4" w:space="0" w:color="C0C0C0"/>
              <w:left w:val="single" w:sz="4" w:space="0" w:color="000000"/>
              <w:bottom w:val="single" w:sz="4" w:space="0" w:color="C0C0C0"/>
            </w:tcBorders>
            <w:shd w:val="clear" w:color="auto" w:fill="auto"/>
            <w:vAlign w:val="center"/>
          </w:tcPr>
          <w:p w14:paraId="7D68035A" w14:textId="77777777" w:rsidR="00167437" w:rsidRPr="005171C5" w:rsidRDefault="00167437" w:rsidP="00167437">
            <w:pPr>
              <w:suppressAutoHyphens/>
              <w:snapToGrid w:val="0"/>
              <w:spacing w:before="40" w:after="40"/>
              <w:rPr>
                <w:rFonts w:eastAsia="細明體" w:cs="Segoe UI"/>
                <w:sz w:val="17"/>
                <w:szCs w:val="17"/>
                <w:lang w:eastAsia="zh-TW"/>
              </w:rPr>
            </w:pPr>
            <w:r w:rsidRPr="005171C5">
              <w:rPr>
                <w:rFonts w:eastAsia="細明體" w:cs="Segoe UI" w:hint="eastAsia"/>
                <w:sz w:val="17"/>
                <w:szCs w:val="17"/>
                <w:lang w:eastAsia="zh-HK"/>
              </w:rPr>
              <w:t>非指明多邊組織風險承擔</w:t>
            </w:r>
          </w:p>
        </w:tc>
        <w:tc>
          <w:tcPr>
            <w:tcW w:w="680" w:type="dxa"/>
            <w:tcBorders>
              <w:top w:val="single" w:sz="4" w:space="0" w:color="C0C0C0"/>
              <w:left w:val="single" w:sz="4" w:space="0" w:color="000000"/>
              <w:bottom w:val="single" w:sz="4" w:space="0" w:color="C0C0C0"/>
            </w:tcBorders>
            <w:shd w:val="clear" w:color="auto" w:fill="auto"/>
            <w:vAlign w:val="center"/>
          </w:tcPr>
          <w:p w14:paraId="1A559E17"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vAlign w:val="center"/>
          </w:tcPr>
          <w:p w14:paraId="619E9EB6"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vAlign w:val="center"/>
          </w:tcPr>
          <w:p w14:paraId="1D3B9B77"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tcPr>
          <w:p w14:paraId="12C7D490"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680" w:type="dxa"/>
            <w:tcBorders>
              <w:top w:val="single" w:sz="4" w:space="0" w:color="C0C0C0"/>
              <w:left w:val="single" w:sz="4" w:space="0" w:color="000000"/>
              <w:bottom w:val="single" w:sz="4" w:space="0" w:color="C0C0C0"/>
            </w:tcBorders>
            <w:shd w:val="clear" w:color="auto" w:fill="auto"/>
            <w:vAlign w:val="center"/>
          </w:tcPr>
          <w:p w14:paraId="173251DC"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1039" w:type="dxa"/>
            <w:tcBorders>
              <w:top w:val="single" w:sz="4" w:space="0" w:color="C0C0C0"/>
              <w:left w:val="single" w:sz="4" w:space="0" w:color="000000"/>
              <w:bottom w:val="single" w:sz="4" w:space="0" w:color="C0C0C0"/>
              <w:right w:val="single" w:sz="4" w:space="0" w:color="000000"/>
            </w:tcBorders>
          </w:tcPr>
          <w:p w14:paraId="3406A501" w14:textId="77777777" w:rsidR="00167437" w:rsidRPr="005171C5" w:rsidRDefault="00167437" w:rsidP="00167437">
            <w:pPr>
              <w:suppressAutoHyphens/>
              <w:snapToGrid w:val="0"/>
              <w:spacing w:before="40" w:after="40"/>
              <w:rPr>
                <w:rFonts w:eastAsia="細明體" w:cs="Segoe UI"/>
                <w:sz w:val="17"/>
                <w:szCs w:val="17"/>
                <w:lang w:eastAsia="zh-TW"/>
              </w:rPr>
            </w:pPr>
          </w:p>
        </w:tc>
        <w:tc>
          <w:tcPr>
            <w:tcW w:w="3402" w:type="dxa"/>
            <w:tcBorders>
              <w:top w:val="single" w:sz="4" w:space="0" w:color="C0C0C0"/>
              <w:left w:val="single" w:sz="4" w:space="0" w:color="000000"/>
              <w:bottom w:val="single" w:sz="4" w:space="0" w:color="C0C0C0"/>
              <w:right w:val="single" w:sz="4" w:space="0" w:color="000000"/>
            </w:tcBorders>
          </w:tcPr>
          <w:p w14:paraId="7DF4DE94" w14:textId="77777777" w:rsidR="00167437" w:rsidRPr="005171C5" w:rsidRDefault="00167437" w:rsidP="00167437">
            <w:pPr>
              <w:suppressAutoHyphens/>
              <w:snapToGrid w:val="0"/>
              <w:spacing w:before="40" w:after="40"/>
              <w:rPr>
                <w:rFonts w:eastAsia="細明體" w:cs="Segoe UI"/>
                <w:sz w:val="17"/>
                <w:szCs w:val="17"/>
                <w:lang w:eastAsia="zh-TW"/>
              </w:rPr>
            </w:pPr>
          </w:p>
        </w:tc>
      </w:tr>
      <w:tr w:rsidR="00167437" w:rsidRPr="005171C5" w14:paraId="381FB5F8" w14:textId="77777777" w:rsidTr="0028643C">
        <w:trPr>
          <w:trHeight w:val="283"/>
        </w:trPr>
        <w:tc>
          <w:tcPr>
            <w:tcW w:w="558" w:type="dxa"/>
            <w:tcBorders>
              <w:top w:val="single" w:sz="4" w:space="0" w:color="C0C0C0"/>
              <w:bottom w:val="single" w:sz="4" w:space="0" w:color="C0C0C0"/>
            </w:tcBorders>
            <w:shd w:val="clear" w:color="auto" w:fill="auto"/>
          </w:tcPr>
          <w:p w14:paraId="7FAB88E8" w14:textId="0D1455B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zh-TW"/>
              </w:rPr>
              <w:t>5</w:t>
            </w:r>
          </w:p>
        </w:tc>
        <w:tc>
          <w:tcPr>
            <w:tcW w:w="3572" w:type="dxa"/>
            <w:tcBorders>
              <w:top w:val="single" w:sz="4" w:space="0" w:color="C0C0C0"/>
              <w:left w:val="single" w:sz="4" w:space="0" w:color="000000"/>
              <w:bottom w:val="single" w:sz="4" w:space="0" w:color="C0C0C0"/>
            </w:tcBorders>
            <w:shd w:val="clear" w:color="auto" w:fill="auto"/>
            <w:vAlign w:val="center"/>
          </w:tcPr>
          <w:p w14:paraId="72B02729"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ar-SA"/>
              </w:rPr>
              <w:t>銀行風險承擔</w:t>
            </w:r>
          </w:p>
        </w:tc>
        <w:tc>
          <w:tcPr>
            <w:tcW w:w="680" w:type="dxa"/>
            <w:tcBorders>
              <w:top w:val="single" w:sz="4" w:space="0" w:color="C0C0C0"/>
              <w:left w:val="single" w:sz="4" w:space="0" w:color="000000"/>
              <w:bottom w:val="single" w:sz="4" w:space="0" w:color="C0C0C0"/>
            </w:tcBorders>
            <w:shd w:val="clear" w:color="auto" w:fill="auto"/>
            <w:vAlign w:val="center"/>
          </w:tcPr>
          <w:p w14:paraId="6ADB4BE6"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79FBA811"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466B9B92"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tcPr>
          <w:p w14:paraId="293C1292"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00A13F6A"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1039" w:type="dxa"/>
            <w:tcBorders>
              <w:top w:val="single" w:sz="4" w:space="0" w:color="C0C0C0"/>
              <w:left w:val="single" w:sz="4" w:space="0" w:color="000000"/>
              <w:bottom w:val="single" w:sz="4" w:space="0" w:color="C0C0C0"/>
              <w:right w:val="single" w:sz="4" w:space="0" w:color="000000"/>
            </w:tcBorders>
          </w:tcPr>
          <w:p w14:paraId="492E73AA"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3402" w:type="dxa"/>
            <w:tcBorders>
              <w:top w:val="single" w:sz="4" w:space="0" w:color="C0C0C0"/>
              <w:left w:val="single" w:sz="4" w:space="0" w:color="000000"/>
              <w:bottom w:val="single" w:sz="4" w:space="0" w:color="C0C0C0"/>
              <w:right w:val="single" w:sz="4" w:space="0" w:color="000000"/>
            </w:tcBorders>
          </w:tcPr>
          <w:p w14:paraId="16182A69" w14:textId="77777777" w:rsidR="00167437" w:rsidRPr="005171C5" w:rsidRDefault="00167437" w:rsidP="00167437">
            <w:pPr>
              <w:suppressAutoHyphens/>
              <w:snapToGrid w:val="0"/>
              <w:spacing w:before="40" w:after="40"/>
              <w:rPr>
                <w:rFonts w:eastAsia="細明體" w:cs="Segoe UI"/>
                <w:sz w:val="17"/>
                <w:szCs w:val="17"/>
                <w:lang w:eastAsia="ar-SA"/>
              </w:rPr>
            </w:pPr>
          </w:p>
        </w:tc>
      </w:tr>
      <w:tr w:rsidR="00167437" w:rsidRPr="005171C5" w14:paraId="2A71B97C" w14:textId="77777777" w:rsidTr="0028643C">
        <w:trPr>
          <w:trHeight w:val="283"/>
        </w:trPr>
        <w:tc>
          <w:tcPr>
            <w:tcW w:w="558" w:type="dxa"/>
            <w:tcBorders>
              <w:top w:val="single" w:sz="4" w:space="0" w:color="C0C0C0"/>
              <w:bottom w:val="single" w:sz="4" w:space="0" w:color="C0C0C0"/>
            </w:tcBorders>
            <w:shd w:val="clear" w:color="auto" w:fill="auto"/>
          </w:tcPr>
          <w:p w14:paraId="4F6B0224" w14:textId="15C43D69" w:rsidR="00167437" w:rsidRPr="005171C5" w:rsidRDefault="00167437" w:rsidP="00167437">
            <w:pPr>
              <w:suppressAutoHyphens/>
              <w:snapToGrid w:val="0"/>
              <w:spacing w:before="40" w:after="40"/>
              <w:rPr>
                <w:rFonts w:eastAsia="細明體" w:cs="Segoe UI"/>
                <w:sz w:val="17"/>
                <w:szCs w:val="17"/>
                <w:lang w:eastAsia="ar-SA"/>
              </w:rPr>
            </w:pPr>
            <w:r w:rsidRPr="005171C5" w:rsidDel="005D1390">
              <w:rPr>
                <w:rFonts w:eastAsia="細明體" w:cs="Segoe UI"/>
                <w:sz w:val="17"/>
                <w:szCs w:val="17"/>
                <w:lang w:eastAsia="ar-SA"/>
              </w:rPr>
              <w:t>6</w:t>
            </w:r>
          </w:p>
        </w:tc>
        <w:tc>
          <w:tcPr>
            <w:tcW w:w="3572" w:type="dxa"/>
            <w:tcBorders>
              <w:top w:val="single" w:sz="4" w:space="0" w:color="C0C0C0"/>
              <w:left w:val="single" w:sz="4" w:space="0" w:color="000000"/>
              <w:bottom w:val="single" w:sz="4" w:space="0" w:color="C0C0C0"/>
            </w:tcBorders>
            <w:shd w:val="clear" w:color="auto" w:fill="auto"/>
            <w:vAlign w:val="center"/>
          </w:tcPr>
          <w:p w14:paraId="573E043B"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hint="eastAsia"/>
                <w:sz w:val="17"/>
                <w:szCs w:val="17"/>
                <w:lang w:eastAsia="ar-SA"/>
              </w:rPr>
              <w:t>其他</w:t>
            </w:r>
            <w:r w:rsidRPr="005171C5">
              <w:rPr>
                <w:rFonts w:eastAsia="細明體" w:cs="Segoe UI"/>
                <w:sz w:val="17"/>
                <w:szCs w:val="17"/>
                <w:lang w:eastAsia="ar-SA"/>
              </w:rPr>
              <w:t>風險承擔</w:t>
            </w:r>
          </w:p>
        </w:tc>
        <w:tc>
          <w:tcPr>
            <w:tcW w:w="680" w:type="dxa"/>
            <w:tcBorders>
              <w:top w:val="single" w:sz="4" w:space="0" w:color="C0C0C0"/>
              <w:left w:val="single" w:sz="4" w:space="0" w:color="000000"/>
              <w:bottom w:val="single" w:sz="4" w:space="0" w:color="C0C0C0"/>
            </w:tcBorders>
            <w:shd w:val="clear" w:color="auto" w:fill="auto"/>
            <w:vAlign w:val="center"/>
          </w:tcPr>
          <w:p w14:paraId="01353BE8"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7247D90B"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495E69D1"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tcPr>
          <w:p w14:paraId="460E4ED1"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C0C0C0"/>
            </w:tcBorders>
            <w:shd w:val="clear" w:color="auto" w:fill="auto"/>
            <w:vAlign w:val="center"/>
          </w:tcPr>
          <w:p w14:paraId="2DF2843D"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1039" w:type="dxa"/>
            <w:tcBorders>
              <w:top w:val="single" w:sz="4" w:space="0" w:color="C0C0C0"/>
              <w:left w:val="single" w:sz="4" w:space="0" w:color="000000"/>
              <w:bottom w:val="single" w:sz="4" w:space="0" w:color="C0C0C0"/>
              <w:right w:val="single" w:sz="4" w:space="0" w:color="000000"/>
            </w:tcBorders>
          </w:tcPr>
          <w:p w14:paraId="0AC1DEE5"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3402" w:type="dxa"/>
            <w:tcBorders>
              <w:top w:val="single" w:sz="4" w:space="0" w:color="C0C0C0"/>
              <w:left w:val="single" w:sz="4" w:space="0" w:color="000000"/>
              <w:bottom w:val="single" w:sz="4" w:space="0" w:color="C0C0C0"/>
              <w:right w:val="single" w:sz="4" w:space="0" w:color="000000"/>
            </w:tcBorders>
          </w:tcPr>
          <w:p w14:paraId="4A90A75F" w14:textId="77777777" w:rsidR="00167437" w:rsidRPr="005171C5" w:rsidRDefault="00167437" w:rsidP="00167437">
            <w:pPr>
              <w:suppressAutoHyphens/>
              <w:snapToGrid w:val="0"/>
              <w:spacing w:before="40" w:after="40"/>
              <w:rPr>
                <w:rFonts w:eastAsia="細明體" w:cs="Segoe UI"/>
                <w:sz w:val="17"/>
                <w:szCs w:val="17"/>
                <w:lang w:eastAsia="ar-SA"/>
              </w:rPr>
            </w:pPr>
          </w:p>
        </w:tc>
      </w:tr>
      <w:tr w:rsidR="00167437" w:rsidRPr="005171C5" w14:paraId="1AD8B0D9" w14:textId="77777777" w:rsidTr="0028643C">
        <w:trPr>
          <w:trHeight w:val="283"/>
        </w:trPr>
        <w:tc>
          <w:tcPr>
            <w:tcW w:w="558" w:type="dxa"/>
            <w:tcBorders>
              <w:top w:val="single" w:sz="4" w:space="0" w:color="C0C0C0"/>
              <w:bottom w:val="single" w:sz="4" w:space="0" w:color="000000"/>
            </w:tcBorders>
            <w:shd w:val="clear" w:color="auto" w:fill="auto"/>
          </w:tcPr>
          <w:p w14:paraId="57D99FD6" w14:textId="6029127D" w:rsidR="00167437" w:rsidRPr="005171C5" w:rsidRDefault="00167437" w:rsidP="00167437">
            <w:pPr>
              <w:suppressAutoHyphens/>
              <w:snapToGrid w:val="0"/>
              <w:spacing w:before="40" w:after="40"/>
              <w:rPr>
                <w:rFonts w:eastAsia="細明體" w:cs="Segoe UI"/>
                <w:b/>
                <w:sz w:val="17"/>
                <w:szCs w:val="17"/>
                <w:lang w:eastAsia="ar-SA"/>
              </w:rPr>
            </w:pPr>
            <w:r>
              <w:rPr>
                <w:rFonts w:eastAsia="細明體" w:cs="Segoe UI"/>
                <w:sz w:val="17"/>
                <w:szCs w:val="17"/>
                <w:lang w:eastAsia="ar-SA"/>
              </w:rPr>
              <w:t>7</w:t>
            </w:r>
          </w:p>
        </w:tc>
        <w:tc>
          <w:tcPr>
            <w:tcW w:w="3572" w:type="dxa"/>
            <w:tcBorders>
              <w:top w:val="single" w:sz="4" w:space="0" w:color="C0C0C0"/>
              <w:left w:val="single" w:sz="4" w:space="0" w:color="000000"/>
              <w:bottom w:val="single" w:sz="4" w:space="0" w:color="000000"/>
            </w:tcBorders>
            <w:shd w:val="clear" w:color="auto" w:fill="auto"/>
            <w:vAlign w:val="center"/>
          </w:tcPr>
          <w:p w14:paraId="52D5C9B4" w14:textId="77777777" w:rsidR="00167437" w:rsidRPr="005171C5" w:rsidRDefault="00167437" w:rsidP="00167437">
            <w:pPr>
              <w:suppressAutoHyphens/>
              <w:snapToGrid w:val="0"/>
              <w:spacing w:before="40" w:after="40"/>
              <w:rPr>
                <w:rFonts w:eastAsia="細明體" w:cs="Segoe UI"/>
                <w:sz w:val="17"/>
                <w:szCs w:val="17"/>
                <w:lang w:eastAsia="ar-SA"/>
              </w:rPr>
            </w:pPr>
            <w:r w:rsidRPr="005171C5">
              <w:rPr>
                <w:rFonts w:eastAsia="細明體" w:cs="Segoe UI" w:hint="eastAsia"/>
                <w:b/>
                <w:sz w:val="17"/>
                <w:szCs w:val="17"/>
                <w:lang w:eastAsia="ar-SA"/>
              </w:rPr>
              <w:t>總計</w:t>
            </w:r>
          </w:p>
        </w:tc>
        <w:tc>
          <w:tcPr>
            <w:tcW w:w="680" w:type="dxa"/>
            <w:tcBorders>
              <w:top w:val="single" w:sz="4" w:space="0" w:color="C0C0C0"/>
              <w:left w:val="single" w:sz="4" w:space="0" w:color="000000"/>
              <w:bottom w:val="single" w:sz="4" w:space="0" w:color="000000"/>
            </w:tcBorders>
            <w:shd w:val="clear" w:color="auto" w:fill="auto"/>
            <w:vAlign w:val="center"/>
          </w:tcPr>
          <w:p w14:paraId="6EA7ECFB"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000000"/>
            </w:tcBorders>
            <w:shd w:val="clear" w:color="auto" w:fill="auto"/>
            <w:vAlign w:val="center"/>
          </w:tcPr>
          <w:p w14:paraId="3B3B5D48"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000000"/>
            </w:tcBorders>
            <w:shd w:val="clear" w:color="auto" w:fill="auto"/>
            <w:vAlign w:val="center"/>
          </w:tcPr>
          <w:p w14:paraId="6F7675FC"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000000"/>
            </w:tcBorders>
            <w:shd w:val="clear" w:color="auto" w:fill="auto"/>
          </w:tcPr>
          <w:p w14:paraId="2E9934CA"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680" w:type="dxa"/>
            <w:tcBorders>
              <w:top w:val="single" w:sz="4" w:space="0" w:color="C0C0C0"/>
              <w:left w:val="single" w:sz="4" w:space="0" w:color="000000"/>
              <w:bottom w:val="single" w:sz="4" w:space="0" w:color="000000"/>
            </w:tcBorders>
            <w:shd w:val="clear" w:color="auto" w:fill="auto"/>
            <w:vAlign w:val="center"/>
          </w:tcPr>
          <w:p w14:paraId="468B071E"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1039" w:type="dxa"/>
            <w:tcBorders>
              <w:top w:val="single" w:sz="4" w:space="0" w:color="C0C0C0"/>
              <w:left w:val="single" w:sz="4" w:space="0" w:color="000000"/>
              <w:bottom w:val="single" w:sz="4" w:space="0" w:color="000000"/>
              <w:right w:val="single" w:sz="4" w:space="0" w:color="000000"/>
            </w:tcBorders>
          </w:tcPr>
          <w:p w14:paraId="5A699E6B" w14:textId="77777777" w:rsidR="00167437" w:rsidRPr="005171C5" w:rsidRDefault="00167437" w:rsidP="00167437">
            <w:pPr>
              <w:suppressAutoHyphens/>
              <w:snapToGrid w:val="0"/>
              <w:spacing w:before="40" w:after="40"/>
              <w:rPr>
                <w:rFonts w:eastAsia="細明體" w:cs="Segoe UI"/>
                <w:sz w:val="17"/>
                <w:szCs w:val="17"/>
                <w:lang w:eastAsia="ar-SA"/>
              </w:rPr>
            </w:pPr>
          </w:p>
        </w:tc>
        <w:tc>
          <w:tcPr>
            <w:tcW w:w="3402" w:type="dxa"/>
            <w:tcBorders>
              <w:top w:val="single" w:sz="4" w:space="0" w:color="C0C0C0"/>
              <w:left w:val="single" w:sz="4" w:space="0" w:color="000000"/>
              <w:bottom w:val="single" w:sz="4" w:space="0" w:color="000000"/>
              <w:right w:val="single" w:sz="4" w:space="0" w:color="000000"/>
            </w:tcBorders>
          </w:tcPr>
          <w:p w14:paraId="20EF63E9" w14:textId="77777777" w:rsidR="00167437" w:rsidRPr="005171C5" w:rsidRDefault="00167437" w:rsidP="00167437">
            <w:pPr>
              <w:suppressAutoHyphens/>
              <w:snapToGrid w:val="0"/>
              <w:spacing w:before="40" w:after="40"/>
              <w:rPr>
                <w:rFonts w:eastAsia="細明體" w:cs="Segoe UI"/>
                <w:sz w:val="17"/>
                <w:szCs w:val="17"/>
                <w:lang w:eastAsia="ar-SA"/>
              </w:rPr>
            </w:pPr>
          </w:p>
        </w:tc>
      </w:tr>
    </w:tbl>
    <w:p w14:paraId="06052816" w14:textId="77777777" w:rsidR="005171C5" w:rsidRPr="005171C5" w:rsidRDefault="005171C5" w:rsidP="005171C5">
      <w:pPr>
        <w:spacing w:before="40" w:after="40" w:line="259" w:lineRule="auto"/>
        <w:rPr>
          <w:rFonts w:ascii="Calibri" w:eastAsia="細明體" w:hAnsi="Calibri"/>
          <w:sz w:val="22"/>
          <w:szCs w:val="22"/>
          <w:u w:val="single"/>
          <w:lang w:eastAsia="zh-CN"/>
        </w:rPr>
      </w:pPr>
    </w:p>
    <w:tbl>
      <w:tblPr>
        <w:tblpPr w:leftFromText="180" w:rightFromText="180" w:vertAnchor="text" w:tblpX="108" w:tblpY="1"/>
        <w:tblOverlap w:val="never"/>
        <w:tblW w:w="0" w:type="auto"/>
        <w:tblLayout w:type="fixed"/>
        <w:tblLook w:val="0000" w:firstRow="0" w:lastRow="0" w:firstColumn="0" w:lastColumn="0" w:noHBand="0" w:noVBand="0"/>
      </w:tblPr>
      <w:tblGrid>
        <w:gridCol w:w="567"/>
        <w:gridCol w:w="13345"/>
      </w:tblGrid>
      <w:tr w:rsidR="005171C5" w:rsidRPr="005171C5" w14:paraId="31C1483B" w14:textId="77777777" w:rsidTr="00415AF7">
        <w:trPr>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0EDF90C3" w14:textId="77777777" w:rsidR="005171C5" w:rsidRPr="005171C5" w:rsidRDefault="005171C5" w:rsidP="00415AF7">
            <w:pPr>
              <w:spacing w:before="40" w:after="40" w:line="259" w:lineRule="auto"/>
              <w:jc w:val="both"/>
              <w:rPr>
                <w:rFonts w:ascii="Calibri" w:eastAsia="新細明體" w:hAnsi="Calibri"/>
                <w:sz w:val="22"/>
                <w:szCs w:val="22"/>
                <w:lang w:eastAsia="zh-CN"/>
              </w:rPr>
            </w:pPr>
            <w:r w:rsidRPr="005171C5">
              <w:rPr>
                <w:rFonts w:ascii="Calibri" w:eastAsia="細明體" w:hAnsi="Calibri" w:hint="eastAsia"/>
                <w:b/>
                <w:sz w:val="17"/>
                <w:szCs w:val="22"/>
                <w:lang w:eastAsia="zh-CN"/>
              </w:rPr>
              <w:t>註釋</w:t>
            </w:r>
          </w:p>
        </w:tc>
      </w:tr>
      <w:tr w:rsidR="005171C5" w:rsidRPr="005171C5" w14:paraId="233F7A17" w14:textId="77777777" w:rsidTr="00415AF7">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FCCC89" w14:textId="77777777" w:rsidR="005171C5" w:rsidRPr="005171C5" w:rsidRDefault="005171C5" w:rsidP="00415AF7">
            <w:pPr>
              <w:spacing w:before="40" w:after="40" w:line="259" w:lineRule="auto"/>
              <w:jc w:val="both"/>
              <w:rPr>
                <w:rFonts w:ascii="Calibri" w:eastAsia="新細明體" w:hAnsi="Calibri"/>
                <w:sz w:val="22"/>
                <w:szCs w:val="22"/>
                <w:lang w:eastAsia="zh-CN"/>
              </w:rPr>
            </w:pPr>
            <w:proofErr w:type="gramStart"/>
            <w:r w:rsidRPr="005171C5">
              <w:rPr>
                <w:rFonts w:ascii="Calibri" w:eastAsia="細明體" w:hAnsi="Calibri" w:hint="eastAsia"/>
                <w:b/>
                <w:sz w:val="17"/>
                <w:szCs w:val="22"/>
                <w:lang w:eastAsia="zh-CN"/>
              </w:rPr>
              <w:t>欄</w:t>
            </w:r>
            <w:proofErr w:type="gramEnd"/>
          </w:p>
        </w:tc>
      </w:tr>
      <w:tr w:rsidR="005171C5" w:rsidRPr="005171C5" w14:paraId="5D1DD61E" w14:textId="77777777" w:rsidTr="00415AF7">
        <w:tc>
          <w:tcPr>
            <w:tcW w:w="567" w:type="dxa"/>
            <w:tcBorders>
              <w:top w:val="single" w:sz="4" w:space="0" w:color="000000"/>
              <w:left w:val="single" w:sz="4" w:space="0" w:color="000000"/>
              <w:bottom w:val="single" w:sz="4" w:space="0" w:color="000000"/>
            </w:tcBorders>
            <w:shd w:val="clear" w:color="auto" w:fill="auto"/>
          </w:tcPr>
          <w:p w14:paraId="553B816C" w14:textId="77777777" w:rsidR="005171C5" w:rsidRPr="005171C5" w:rsidRDefault="005171C5" w:rsidP="00415AF7">
            <w:pPr>
              <w:keepNext/>
              <w:suppressAutoHyphens/>
              <w:spacing w:before="40" w:after="40"/>
              <w:jc w:val="both"/>
              <w:rPr>
                <w:rFonts w:eastAsia="細明體" w:cs="Segoe UI"/>
                <w:sz w:val="17"/>
                <w:szCs w:val="17"/>
                <w:lang w:eastAsia="ar-SA"/>
              </w:rPr>
            </w:pPr>
            <w:r w:rsidRPr="005171C5">
              <w:rPr>
                <w:rFonts w:eastAsia="細明體" w:cs="Segoe UI"/>
                <w:sz w:val="17"/>
                <w:szCs w:val="17"/>
                <w:lang w:eastAsia="ar-SA"/>
              </w:rPr>
              <w:t>(</w:t>
            </w:r>
            <w:proofErr w:type="spellStart"/>
            <w:r w:rsidRPr="005171C5">
              <w:rPr>
                <w:rFonts w:eastAsia="細明體" w:cs="Segoe UI"/>
                <w:sz w:val="17"/>
                <w:szCs w:val="17"/>
                <w:lang w:eastAsia="ar-SA"/>
              </w:rPr>
              <w:t>i</w:t>
            </w:r>
            <w:proofErr w:type="spellEnd"/>
            <w:r w:rsidRPr="005171C5">
              <w:rPr>
                <w:rFonts w:eastAsia="細明體" w:cs="Segoe UI"/>
                <w:sz w:val="17"/>
                <w:szCs w:val="17"/>
                <w:lang w:eastAsia="ar-SA"/>
              </w:rPr>
              <w:t xml:space="preserve">) </w:t>
            </w:r>
          </w:p>
        </w:tc>
        <w:tc>
          <w:tcPr>
            <w:tcW w:w="13345" w:type="dxa"/>
            <w:tcBorders>
              <w:top w:val="single" w:sz="4" w:space="0" w:color="000000"/>
              <w:left w:val="single" w:sz="4" w:space="0" w:color="000000"/>
              <w:bottom w:val="single" w:sz="4" w:space="0" w:color="000000"/>
              <w:right w:val="single" w:sz="4" w:space="0" w:color="000000"/>
            </w:tcBorders>
            <w:shd w:val="clear" w:color="auto" w:fill="auto"/>
          </w:tcPr>
          <w:p w14:paraId="66E0E77F" w14:textId="77777777" w:rsidR="005171C5" w:rsidRPr="005171C5" w:rsidRDefault="005171C5" w:rsidP="00415AF7">
            <w:pPr>
              <w:keepNext/>
              <w:suppressAutoHyphens/>
              <w:spacing w:before="40" w:after="40"/>
              <w:jc w:val="both"/>
              <w:rPr>
                <w:rFonts w:cs="Segoe UI"/>
                <w:sz w:val="15"/>
                <w:lang w:eastAsia="ar-SA"/>
              </w:rPr>
            </w:pPr>
            <w:r w:rsidRPr="005171C5">
              <w:rPr>
                <w:rFonts w:eastAsia="細明體" w:cs="Segoe UI" w:hint="eastAsia"/>
                <w:sz w:val="17"/>
                <w:szCs w:val="17"/>
                <w:lang w:eastAsia="ar-SA"/>
              </w:rPr>
              <w:t>為</w:t>
            </w:r>
            <w:r w:rsidRPr="005171C5">
              <w:rPr>
                <w:rFonts w:eastAsia="細明體" w:cs="Segoe UI"/>
                <w:sz w:val="17"/>
                <w:szCs w:val="17"/>
                <w:lang w:eastAsia="ar-SA"/>
              </w:rPr>
              <w:t>(a)</w:t>
            </w:r>
            <w:r w:rsidRPr="005171C5">
              <w:rPr>
                <w:rFonts w:eastAsia="細明體" w:cs="Segoe UI" w:hint="eastAsia"/>
                <w:sz w:val="17"/>
                <w:szCs w:val="17"/>
                <w:lang w:eastAsia="ar-SA"/>
              </w:rPr>
              <w:t>至</w:t>
            </w:r>
            <w:r w:rsidRPr="005171C5">
              <w:rPr>
                <w:rFonts w:eastAsia="細明體" w:cs="Segoe UI"/>
                <w:sz w:val="17"/>
                <w:szCs w:val="17"/>
                <w:lang w:eastAsia="ar-SA"/>
              </w:rPr>
              <w:t>(h)</w:t>
            </w:r>
            <w:r w:rsidRPr="005171C5">
              <w:rPr>
                <w:rFonts w:eastAsia="細明體" w:cs="Segoe UI"/>
                <w:sz w:val="17"/>
                <w:szCs w:val="17"/>
                <w:lang w:eastAsia="ar-SA"/>
              </w:rPr>
              <w:t>欄</w:t>
            </w:r>
            <w:r w:rsidRPr="005171C5">
              <w:rPr>
                <w:rFonts w:eastAsia="細明體" w:cs="Segoe UI" w:hint="eastAsia"/>
                <w:sz w:val="17"/>
                <w:szCs w:val="17"/>
                <w:lang w:eastAsia="ar-SA"/>
              </w:rPr>
              <w:t>的值的和。</w:t>
            </w:r>
          </w:p>
        </w:tc>
      </w:tr>
      <w:tr w:rsidR="005171C5" w:rsidRPr="005171C5" w14:paraId="50A385D3" w14:textId="77777777" w:rsidTr="00415AF7">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CAC14B7" w14:textId="77777777" w:rsidR="005171C5" w:rsidRPr="005171C5" w:rsidRDefault="005171C5" w:rsidP="00415AF7">
            <w:pPr>
              <w:spacing w:before="40" w:after="40" w:line="259" w:lineRule="auto"/>
              <w:jc w:val="both"/>
              <w:rPr>
                <w:rFonts w:ascii="Calibri" w:eastAsia="新細明體" w:hAnsi="Calibri"/>
                <w:sz w:val="22"/>
                <w:szCs w:val="22"/>
                <w:lang w:eastAsia="zh-CN"/>
              </w:rPr>
            </w:pPr>
            <w:r w:rsidRPr="005171C5">
              <w:rPr>
                <w:rFonts w:ascii="Calibri" w:eastAsia="細明體" w:hAnsi="Calibri" w:hint="eastAsia"/>
                <w:b/>
                <w:sz w:val="17"/>
                <w:szCs w:val="22"/>
                <w:lang w:eastAsia="zh-CN"/>
              </w:rPr>
              <w:t>行</w:t>
            </w:r>
          </w:p>
        </w:tc>
      </w:tr>
      <w:tr w:rsidR="005171C5" w:rsidRPr="005171C5" w14:paraId="41223309" w14:textId="77777777" w:rsidTr="00415AF7">
        <w:tc>
          <w:tcPr>
            <w:tcW w:w="567" w:type="dxa"/>
            <w:tcBorders>
              <w:top w:val="single" w:sz="4" w:space="0" w:color="000000"/>
              <w:left w:val="single" w:sz="4" w:space="0" w:color="000000"/>
              <w:bottom w:val="single" w:sz="4" w:space="0" w:color="000000"/>
            </w:tcBorders>
            <w:shd w:val="clear" w:color="auto" w:fill="auto"/>
          </w:tcPr>
          <w:p w14:paraId="2C51C539" w14:textId="77777777" w:rsidR="005171C5" w:rsidRPr="005171C5" w:rsidRDefault="005171C5" w:rsidP="00415AF7">
            <w:pPr>
              <w:keepNext/>
              <w:suppressAutoHyphens/>
              <w:spacing w:before="40" w:after="40"/>
              <w:jc w:val="both"/>
              <w:rPr>
                <w:rFonts w:eastAsia="細明體" w:cs="Segoe UI"/>
                <w:sz w:val="17"/>
                <w:szCs w:val="17"/>
                <w:lang w:eastAsia="ar-SA"/>
              </w:rPr>
            </w:pPr>
            <w:r w:rsidRPr="005171C5">
              <w:rPr>
                <w:rFonts w:eastAsia="細明體" w:cs="Segoe UI" w:hint="eastAsia"/>
                <w:sz w:val="17"/>
                <w:szCs w:val="17"/>
                <w:lang w:eastAsia="ar-SA"/>
              </w:rPr>
              <w:t>所有</w:t>
            </w:r>
          </w:p>
        </w:tc>
        <w:tc>
          <w:tcPr>
            <w:tcW w:w="1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DFD1" w14:textId="3B0B727F" w:rsidR="005171C5" w:rsidRPr="0067144E" w:rsidRDefault="005171C5" w:rsidP="00415AF7">
            <w:pPr>
              <w:keepNext/>
              <w:suppressAutoHyphens/>
              <w:spacing w:before="40" w:after="40"/>
              <w:jc w:val="both"/>
              <w:rPr>
                <w:rFonts w:eastAsia="細明體" w:cs="Segoe UI"/>
                <w:sz w:val="17"/>
                <w:szCs w:val="17"/>
                <w:lang w:eastAsia="zh-TW"/>
              </w:rPr>
            </w:pPr>
            <w:r w:rsidRPr="005171C5">
              <w:rPr>
                <w:rFonts w:eastAsia="細明體" w:cs="Segoe UI" w:hint="eastAsia"/>
                <w:sz w:val="17"/>
                <w:szCs w:val="17"/>
                <w:lang w:eastAsia="zh-TW"/>
              </w:rPr>
              <w:t>各行及其各自的定義與《資本規則》第</w:t>
            </w:r>
            <w:r w:rsidRPr="005171C5">
              <w:rPr>
                <w:rFonts w:eastAsia="細明體" w:cs="Segoe UI"/>
                <w:sz w:val="17"/>
                <w:szCs w:val="17"/>
                <w:lang w:eastAsia="zh-TW"/>
              </w:rPr>
              <w:t>4</w:t>
            </w:r>
            <w:r w:rsidRPr="005171C5">
              <w:rPr>
                <w:rFonts w:eastAsia="細明體" w:cs="Segoe UI" w:hint="eastAsia"/>
                <w:sz w:val="17"/>
                <w:szCs w:val="17"/>
                <w:lang w:eastAsia="zh-TW"/>
              </w:rPr>
              <w:t>部（如屬</w:t>
            </w:r>
            <w:r w:rsidRPr="005171C5">
              <w:rPr>
                <w:rFonts w:eastAsia="細明體" w:cs="Segoe UI"/>
                <w:sz w:val="17"/>
                <w:szCs w:val="17"/>
                <w:lang w:eastAsia="zh-TW"/>
              </w:rPr>
              <w:t>STC</w:t>
            </w:r>
            <w:r w:rsidRPr="005171C5">
              <w:rPr>
                <w:rFonts w:eastAsia="細明體" w:cs="Segoe UI" w:hint="eastAsia"/>
                <w:sz w:val="17"/>
                <w:szCs w:val="17"/>
                <w:lang w:eastAsia="zh-TW"/>
              </w:rPr>
              <w:t>計算法）或第</w:t>
            </w:r>
            <w:r w:rsidRPr="005171C5">
              <w:rPr>
                <w:rFonts w:eastAsia="細明體" w:cs="Segoe UI"/>
                <w:sz w:val="17"/>
                <w:szCs w:val="17"/>
                <w:lang w:eastAsia="zh-TW"/>
              </w:rPr>
              <w:t>5</w:t>
            </w:r>
            <w:r w:rsidRPr="005171C5">
              <w:rPr>
                <w:rFonts w:eastAsia="細明體" w:cs="Segoe UI" w:hint="eastAsia"/>
                <w:sz w:val="17"/>
                <w:szCs w:val="17"/>
                <w:lang w:eastAsia="zh-TW"/>
              </w:rPr>
              <w:t>部（如屬</w:t>
            </w:r>
            <w:r w:rsidRPr="005171C5">
              <w:rPr>
                <w:rFonts w:eastAsia="細明體" w:cs="Segoe UI"/>
                <w:sz w:val="17"/>
                <w:szCs w:val="17"/>
                <w:lang w:eastAsia="zh-TW"/>
              </w:rPr>
              <w:t>BSC</w:t>
            </w:r>
            <w:r w:rsidRPr="005171C5">
              <w:rPr>
                <w:rFonts w:eastAsia="細明體" w:cs="Segoe UI" w:hint="eastAsia"/>
                <w:sz w:val="17"/>
                <w:szCs w:val="17"/>
                <w:lang w:eastAsia="zh-TW"/>
              </w:rPr>
              <w:t>計算法）所採用的風險承擔類</w:t>
            </w:r>
            <w:r w:rsidR="00A72975">
              <w:rPr>
                <w:rFonts w:eastAsia="細明體" w:cs="Segoe UI" w:hint="eastAsia"/>
                <w:sz w:val="17"/>
                <w:szCs w:val="17"/>
                <w:lang w:eastAsia="zh-TW"/>
              </w:rPr>
              <w:t>別</w:t>
            </w:r>
            <w:r w:rsidRPr="005171C5">
              <w:rPr>
                <w:rFonts w:eastAsia="細明體" w:cs="Segoe UI" w:hint="eastAsia"/>
                <w:sz w:val="17"/>
                <w:szCs w:val="17"/>
                <w:lang w:eastAsia="zh-TW"/>
              </w:rPr>
              <w:t>一致</w:t>
            </w:r>
            <w:r w:rsidR="0035315D" w:rsidRPr="005171C5">
              <w:rPr>
                <w:rFonts w:ascii="Calibri" w:eastAsia="細明體" w:hAnsi="Calibri" w:hint="eastAsia"/>
                <w:sz w:val="17"/>
                <w:szCs w:val="22"/>
                <w:lang w:eastAsia="zh-TW"/>
              </w:rPr>
              <w:t>，</w:t>
            </w:r>
            <w:r w:rsidR="0035315D">
              <w:rPr>
                <w:rFonts w:eastAsia="細明體" w:cs="Segoe UI" w:hint="eastAsia"/>
                <w:sz w:val="17"/>
                <w:szCs w:val="17"/>
                <w:lang w:eastAsia="zh-TW"/>
              </w:rPr>
              <w:t>而「其他風險承擔」則包括</w:t>
            </w:r>
            <w:r w:rsidR="00CC4B73">
              <w:rPr>
                <w:rFonts w:eastAsia="細明體" w:cs="Segoe UI" w:hint="eastAsia"/>
                <w:sz w:val="17"/>
                <w:szCs w:val="17"/>
                <w:lang w:eastAsia="zh-HK"/>
              </w:rPr>
              <w:t>未有</w:t>
            </w:r>
            <w:proofErr w:type="gramStart"/>
            <w:r w:rsidR="00CC4B73">
              <w:rPr>
                <w:rFonts w:eastAsia="細明體" w:cs="Segoe UI" w:hint="eastAsia"/>
                <w:sz w:val="17"/>
                <w:szCs w:val="17"/>
                <w:lang w:eastAsia="zh-HK"/>
              </w:rPr>
              <w:t>在</w:t>
            </w:r>
            <w:r w:rsidR="00F16B1E">
              <w:rPr>
                <w:rFonts w:eastAsia="細明體" w:cs="Segoe UI" w:hint="eastAsia"/>
                <w:sz w:val="17"/>
                <w:szCs w:val="17"/>
                <w:lang w:eastAsia="zh-HK"/>
              </w:rPr>
              <w:t>本</w:t>
            </w:r>
            <w:r w:rsidR="0035315D" w:rsidRPr="0035315D">
              <w:rPr>
                <w:rFonts w:eastAsia="細明體" w:cs="Segoe UI" w:hint="eastAsia"/>
                <w:sz w:val="17"/>
                <w:szCs w:val="17"/>
                <w:lang w:eastAsia="zh-TW"/>
              </w:rPr>
              <w:t>模版</w:t>
            </w:r>
            <w:proofErr w:type="gramEnd"/>
            <w:r w:rsidR="0035315D" w:rsidRPr="0035315D">
              <w:rPr>
                <w:rFonts w:eastAsia="細明體" w:cs="Segoe UI" w:hint="eastAsia"/>
                <w:sz w:val="17"/>
                <w:szCs w:val="17"/>
                <w:lang w:eastAsia="zh-TW"/>
              </w:rPr>
              <w:t>其他地方指明的任何其他相關風險承擔類別。認可機構</w:t>
            </w:r>
            <w:r w:rsidR="00FA6A6B">
              <w:rPr>
                <w:rFonts w:eastAsia="細明體" w:cs="Segoe UI" w:hint="eastAsia"/>
                <w:sz w:val="17"/>
                <w:szCs w:val="17"/>
                <w:lang w:eastAsia="zh-TW"/>
              </w:rPr>
              <w:t>應在</w:t>
            </w:r>
            <w:r w:rsidR="00F16B1E">
              <w:rPr>
                <w:rFonts w:eastAsia="細明體" w:cs="Segoe UI" w:hint="eastAsia"/>
                <w:sz w:val="17"/>
                <w:szCs w:val="17"/>
                <w:lang w:eastAsia="zh-TW"/>
              </w:rPr>
              <w:t>衍生工具合約及</w:t>
            </w:r>
            <w:r w:rsidR="00F16B1E" w:rsidRPr="005171C5">
              <w:rPr>
                <w:rFonts w:eastAsia="細明體" w:cs="Segoe UI"/>
                <w:sz w:val="17"/>
                <w:szCs w:val="17"/>
                <w:lang w:eastAsia="zh-TW"/>
              </w:rPr>
              <w:t>S</w:t>
            </w:r>
            <w:r w:rsidR="00F16B1E">
              <w:rPr>
                <w:rFonts w:eastAsia="細明體" w:cs="Segoe UI"/>
                <w:sz w:val="17"/>
                <w:szCs w:val="17"/>
                <w:lang w:eastAsia="zh-TW"/>
              </w:rPr>
              <w:t>FT</w:t>
            </w:r>
            <w:r w:rsidR="00F16B1E">
              <w:rPr>
                <w:rFonts w:eastAsia="細明體" w:cs="Segoe UI" w:hint="eastAsia"/>
                <w:sz w:val="17"/>
                <w:szCs w:val="17"/>
                <w:lang w:eastAsia="zh-TW"/>
              </w:rPr>
              <w:t>的對手</w:t>
            </w:r>
            <w:r w:rsidR="00F16B1E">
              <w:rPr>
                <w:rFonts w:eastAsia="細明體" w:cs="Segoe UI" w:hint="eastAsia"/>
                <w:sz w:val="17"/>
                <w:szCs w:val="17"/>
                <w:lang w:eastAsia="zh-HK"/>
              </w:rPr>
              <w:t>方</w:t>
            </w:r>
            <w:r w:rsidR="00F16B1E">
              <w:rPr>
                <w:rFonts w:eastAsia="細明體" w:cs="Segoe UI" w:hint="eastAsia"/>
                <w:sz w:val="17"/>
                <w:szCs w:val="17"/>
                <w:lang w:eastAsia="zh-TW"/>
              </w:rPr>
              <w:t>所屬的風險承擔類別</w:t>
            </w:r>
            <w:r w:rsidR="00CC4B73" w:rsidRPr="005171C5">
              <w:rPr>
                <w:rFonts w:eastAsia="細明體" w:cs="Segoe UI" w:hint="eastAsia"/>
                <w:sz w:val="17"/>
                <w:szCs w:val="17"/>
                <w:lang w:eastAsia="zh-TW"/>
              </w:rPr>
              <w:t>（</w:t>
            </w:r>
            <w:r w:rsidR="00CC4B73">
              <w:rPr>
                <w:rFonts w:eastAsia="細明體" w:cs="Segoe UI" w:hint="eastAsia"/>
                <w:sz w:val="17"/>
                <w:szCs w:val="17"/>
                <w:lang w:eastAsia="zh-HK"/>
              </w:rPr>
              <w:t>及</w:t>
            </w:r>
            <w:r w:rsidR="00CC4B73" w:rsidRPr="0035315D">
              <w:rPr>
                <w:rFonts w:eastAsia="細明體" w:cs="Segoe UI" w:hint="eastAsia"/>
                <w:sz w:val="17"/>
                <w:szCs w:val="17"/>
                <w:lang w:eastAsia="zh-TW"/>
              </w:rPr>
              <w:t>如以</w:t>
            </w:r>
            <w:r w:rsidR="00CC4B73">
              <w:rPr>
                <w:rFonts w:eastAsia="細明體" w:cs="Segoe UI" w:hint="eastAsia"/>
                <w:sz w:val="17"/>
                <w:szCs w:val="17"/>
                <w:lang w:eastAsia="zh-TW"/>
              </w:rPr>
              <w:t>風險</w:t>
            </w:r>
            <w:r w:rsidR="00CC4B73" w:rsidRPr="0035315D">
              <w:rPr>
                <w:rFonts w:eastAsia="細明體" w:cs="Segoe UI" w:hint="eastAsia"/>
                <w:sz w:val="17"/>
                <w:szCs w:val="17"/>
                <w:lang w:eastAsia="zh-TW"/>
              </w:rPr>
              <w:t>權</w:t>
            </w:r>
            <w:r w:rsidR="00CC4B73">
              <w:rPr>
                <w:rFonts w:eastAsia="細明體" w:cs="Segoe UI" w:hint="eastAsia"/>
                <w:sz w:val="17"/>
                <w:szCs w:val="17"/>
                <w:lang w:eastAsia="zh-HK"/>
              </w:rPr>
              <w:t>重的</w:t>
            </w:r>
            <w:r w:rsidR="00CC4B73" w:rsidRPr="00E3342E">
              <w:rPr>
                <w:rFonts w:eastAsia="細明體" w:cs="Segoe UI" w:hint="eastAsia"/>
                <w:sz w:val="17"/>
                <w:szCs w:val="17"/>
                <w:lang w:eastAsia="zh-HK"/>
              </w:rPr>
              <w:t>替</w:t>
            </w:r>
            <w:r w:rsidR="00CC4B73">
              <w:rPr>
                <w:rFonts w:eastAsia="細明體" w:cs="Segoe UI" w:hint="eastAsia"/>
                <w:sz w:val="17"/>
                <w:szCs w:val="17"/>
                <w:lang w:eastAsia="zh-HK"/>
              </w:rPr>
              <w:t>代</w:t>
            </w:r>
            <w:r w:rsidR="00CC4B73" w:rsidRPr="0035315D">
              <w:rPr>
                <w:rFonts w:eastAsia="細明體" w:cs="Segoe UI" w:hint="eastAsia"/>
                <w:sz w:val="17"/>
                <w:szCs w:val="17"/>
                <w:lang w:eastAsia="zh-TW"/>
              </w:rPr>
              <w:t>計入</w:t>
            </w:r>
            <w:r w:rsidR="00CC4B73" w:rsidRPr="00FA6A6B">
              <w:rPr>
                <w:rFonts w:eastAsia="細明體" w:cs="Segoe UI" w:hint="eastAsia"/>
                <w:sz w:val="17"/>
                <w:szCs w:val="17"/>
                <w:lang w:eastAsia="zh-TW"/>
              </w:rPr>
              <w:t>減低信用風險措施</w:t>
            </w:r>
            <w:r w:rsidR="00CC4B73" w:rsidRPr="0035315D">
              <w:rPr>
                <w:rFonts w:eastAsia="細明體" w:cs="Segoe UI"/>
                <w:sz w:val="17"/>
                <w:szCs w:val="17"/>
                <w:lang w:eastAsia="zh-TW"/>
              </w:rPr>
              <w:t>,</w:t>
            </w:r>
            <w:r w:rsidR="00CC4B73">
              <w:rPr>
                <w:rFonts w:eastAsia="細明體" w:cs="Segoe UI" w:hint="eastAsia"/>
                <w:sz w:val="17"/>
                <w:szCs w:val="17"/>
                <w:lang w:eastAsia="zh-HK"/>
              </w:rPr>
              <w:t>，在</w:t>
            </w:r>
            <w:r w:rsidR="00CC4B73" w:rsidRPr="00FA6A6B">
              <w:rPr>
                <w:rFonts w:eastAsia="細明體" w:cs="Segoe UI" w:hint="eastAsia"/>
                <w:sz w:val="17"/>
                <w:szCs w:val="17"/>
                <w:lang w:eastAsia="zh-TW"/>
              </w:rPr>
              <w:t>減低信用風險措施</w:t>
            </w:r>
            <w:r w:rsidR="00CC4B73" w:rsidRPr="0035315D">
              <w:rPr>
                <w:rFonts w:eastAsia="細明體" w:cs="Segoe UI" w:hint="eastAsia"/>
                <w:sz w:val="17"/>
                <w:szCs w:val="17"/>
                <w:lang w:eastAsia="zh-TW"/>
              </w:rPr>
              <w:t>所屬的類別</w:t>
            </w:r>
            <w:r w:rsidR="00CC4B73" w:rsidRPr="005171C5">
              <w:rPr>
                <w:rFonts w:eastAsia="細明體" w:cs="Segoe UI" w:hint="eastAsia"/>
                <w:sz w:val="17"/>
                <w:szCs w:val="17"/>
                <w:lang w:eastAsia="zh-TW"/>
              </w:rPr>
              <w:t>）</w:t>
            </w:r>
            <w:r w:rsidR="00F16B1E">
              <w:rPr>
                <w:rFonts w:eastAsia="細明體" w:cs="Segoe UI" w:hint="eastAsia"/>
                <w:sz w:val="17"/>
                <w:szCs w:val="17"/>
                <w:lang w:eastAsia="zh-TW"/>
              </w:rPr>
              <w:t>中</w:t>
            </w:r>
            <w:r w:rsidR="00F16B1E">
              <w:rPr>
                <w:rFonts w:eastAsia="細明體" w:cs="Segoe UI" w:hint="eastAsia"/>
                <w:sz w:val="17"/>
                <w:szCs w:val="17"/>
                <w:lang w:eastAsia="zh-HK"/>
              </w:rPr>
              <w:t>填</w:t>
            </w:r>
            <w:r w:rsidR="00FA6A6B">
              <w:rPr>
                <w:rFonts w:eastAsia="細明體" w:cs="Segoe UI" w:hint="eastAsia"/>
                <w:sz w:val="17"/>
                <w:szCs w:val="17"/>
                <w:lang w:eastAsia="zh-TW"/>
              </w:rPr>
              <w:t>報</w:t>
            </w:r>
            <w:proofErr w:type="gramStart"/>
            <w:r w:rsidR="00FA6A6B">
              <w:rPr>
                <w:rFonts w:eastAsia="細明體" w:cs="Segoe UI" w:hint="eastAsia"/>
                <w:sz w:val="17"/>
                <w:szCs w:val="17"/>
                <w:lang w:eastAsia="zh-TW"/>
              </w:rPr>
              <w:t>其違</w:t>
            </w:r>
            <w:r w:rsidR="00FA6A6B">
              <w:rPr>
                <w:rFonts w:eastAsia="細明體" w:cs="Segoe UI" w:hint="eastAsia"/>
                <w:sz w:val="17"/>
                <w:szCs w:val="17"/>
                <w:lang w:eastAsia="zh-HK"/>
              </w:rPr>
              <w:t>責</w:t>
            </w:r>
            <w:r w:rsidR="0035315D" w:rsidRPr="0035315D">
              <w:rPr>
                <w:rFonts w:eastAsia="細明體" w:cs="Segoe UI" w:hint="eastAsia"/>
                <w:sz w:val="17"/>
                <w:szCs w:val="17"/>
                <w:lang w:eastAsia="zh-TW"/>
              </w:rPr>
              <w:t>風險</w:t>
            </w:r>
            <w:proofErr w:type="gramEnd"/>
            <w:r w:rsidR="00FA6A6B">
              <w:rPr>
                <w:rFonts w:eastAsia="細明體" w:cs="Segoe UI" w:hint="eastAsia"/>
                <w:sz w:val="17"/>
                <w:szCs w:val="17"/>
                <w:lang w:eastAsia="zh-HK"/>
              </w:rPr>
              <w:t>的</w:t>
            </w:r>
            <w:r w:rsidR="00FA6A6B" w:rsidRPr="0035315D">
              <w:rPr>
                <w:rFonts w:eastAsia="細明體" w:cs="Segoe UI" w:hint="eastAsia"/>
                <w:sz w:val="17"/>
                <w:szCs w:val="17"/>
                <w:lang w:eastAsia="zh-TW"/>
              </w:rPr>
              <w:t>風險</w:t>
            </w:r>
            <w:r w:rsidR="0035315D" w:rsidRPr="0035315D">
              <w:rPr>
                <w:rFonts w:eastAsia="細明體" w:cs="Segoe UI" w:hint="eastAsia"/>
                <w:sz w:val="17"/>
                <w:szCs w:val="17"/>
                <w:lang w:eastAsia="zh-TW"/>
              </w:rPr>
              <w:t>承擔</w:t>
            </w:r>
            <w:r w:rsidR="00FA6A6B" w:rsidRPr="005171C5">
              <w:rPr>
                <w:rFonts w:ascii="Calibri" w:eastAsia="細明體" w:hAnsi="Calibri" w:hint="eastAsia"/>
                <w:sz w:val="17"/>
                <w:szCs w:val="22"/>
                <w:lang w:eastAsia="zh-TW"/>
              </w:rPr>
              <w:t>，</w:t>
            </w:r>
            <w:r w:rsidR="00AE2166">
              <w:rPr>
                <w:rFonts w:eastAsia="細明體" w:cs="Segoe UI" w:hint="eastAsia"/>
                <w:sz w:val="17"/>
                <w:szCs w:val="17"/>
                <w:lang w:eastAsia="zh-TW"/>
              </w:rPr>
              <w:t>而</w:t>
            </w:r>
            <w:r w:rsidR="00AE2166">
              <w:rPr>
                <w:rFonts w:eastAsia="細明體" w:cs="Segoe UI" w:hint="eastAsia"/>
                <w:sz w:val="17"/>
                <w:szCs w:val="17"/>
                <w:lang w:eastAsia="zh-HK"/>
              </w:rPr>
              <w:t>填</w:t>
            </w:r>
            <w:r w:rsidR="00E3342E">
              <w:rPr>
                <w:rFonts w:eastAsia="細明體" w:cs="Segoe UI" w:hint="eastAsia"/>
                <w:sz w:val="17"/>
                <w:szCs w:val="17"/>
                <w:lang w:eastAsia="zh-TW"/>
              </w:rPr>
              <w:t>報的風險</w:t>
            </w:r>
            <w:r w:rsidR="00E3342E" w:rsidRPr="0035315D">
              <w:rPr>
                <w:rFonts w:eastAsia="細明體" w:cs="Segoe UI" w:hint="eastAsia"/>
                <w:sz w:val="17"/>
                <w:szCs w:val="17"/>
                <w:lang w:eastAsia="zh-TW"/>
              </w:rPr>
              <w:t>權</w:t>
            </w:r>
            <w:r w:rsidR="00E3342E">
              <w:rPr>
                <w:rFonts w:eastAsia="細明體" w:cs="Segoe UI" w:hint="eastAsia"/>
                <w:sz w:val="17"/>
                <w:szCs w:val="17"/>
                <w:lang w:eastAsia="zh-HK"/>
              </w:rPr>
              <w:t>重</w:t>
            </w:r>
            <w:r w:rsidR="00C25A60">
              <w:rPr>
                <w:rFonts w:eastAsia="細明體" w:cs="Segoe UI" w:hint="eastAsia"/>
                <w:sz w:val="17"/>
                <w:szCs w:val="17"/>
                <w:lang w:eastAsia="zh-TW"/>
              </w:rPr>
              <w:t>應</w:t>
            </w:r>
            <w:r w:rsidR="00C25A60">
              <w:rPr>
                <w:rFonts w:eastAsia="細明體" w:cs="Segoe UI" w:hint="eastAsia"/>
                <w:sz w:val="17"/>
                <w:szCs w:val="17"/>
                <w:lang w:eastAsia="zh-HK"/>
              </w:rPr>
              <w:t>相應地</w:t>
            </w:r>
            <w:r w:rsidR="00CF1179">
              <w:rPr>
                <w:rFonts w:eastAsia="細明體" w:cs="Segoe UI" w:hint="eastAsia"/>
                <w:sz w:val="17"/>
                <w:szCs w:val="17"/>
                <w:lang w:eastAsia="zh-HK"/>
              </w:rPr>
              <w:t>代</w:t>
            </w:r>
            <w:r w:rsidR="00CF1179">
              <w:rPr>
                <w:rFonts w:eastAsia="細明體" w:cs="Segoe UI" w:hint="eastAsia"/>
                <w:sz w:val="17"/>
                <w:szCs w:val="17"/>
                <w:lang w:eastAsia="zh-TW"/>
              </w:rPr>
              <w:t>表</w:t>
            </w:r>
            <w:r w:rsidR="00CC4B73">
              <w:rPr>
                <w:rFonts w:eastAsia="細明體" w:cs="Segoe UI" w:hint="eastAsia"/>
                <w:sz w:val="17"/>
                <w:szCs w:val="17"/>
                <w:lang w:eastAsia="zh-HK"/>
              </w:rPr>
              <w:t>歸</w:t>
            </w:r>
            <w:r w:rsidR="00CC4B73">
              <w:rPr>
                <w:rFonts w:eastAsia="細明體" w:cs="Segoe UI" w:hint="eastAsia"/>
                <w:sz w:val="17"/>
                <w:szCs w:val="17"/>
                <w:lang w:eastAsia="zh-TW"/>
              </w:rPr>
              <w:t>屬</w:t>
            </w:r>
            <w:r w:rsidR="00CC4B73">
              <w:rPr>
                <w:rFonts w:eastAsia="細明體" w:cs="Segoe UI" w:hint="eastAsia"/>
                <w:sz w:val="17"/>
                <w:szCs w:val="17"/>
                <w:lang w:eastAsia="zh-HK"/>
              </w:rPr>
              <w:t>於</w:t>
            </w:r>
            <w:r w:rsidR="0035315D" w:rsidRPr="0035315D">
              <w:rPr>
                <w:rFonts w:eastAsia="細明體" w:cs="Segoe UI" w:hint="eastAsia"/>
                <w:sz w:val="17"/>
                <w:szCs w:val="17"/>
                <w:lang w:eastAsia="zh-TW"/>
              </w:rPr>
              <w:t>對手</w:t>
            </w:r>
            <w:r w:rsidR="00E3342E">
              <w:rPr>
                <w:rFonts w:eastAsia="細明體" w:cs="Segoe UI" w:hint="eastAsia"/>
                <w:sz w:val="17"/>
                <w:szCs w:val="17"/>
                <w:lang w:eastAsia="zh-HK"/>
              </w:rPr>
              <w:t>方</w:t>
            </w:r>
            <w:r w:rsidR="0035315D" w:rsidRPr="0035315D">
              <w:rPr>
                <w:rFonts w:eastAsia="細明體" w:cs="Segoe UI" w:hint="eastAsia"/>
                <w:sz w:val="17"/>
                <w:szCs w:val="17"/>
                <w:lang w:eastAsia="zh-TW"/>
              </w:rPr>
              <w:t>或</w:t>
            </w:r>
            <w:r w:rsidR="00C25A60" w:rsidRPr="00FA6A6B">
              <w:rPr>
                <w:rFonts w:eastAsia="細明體" w:cs="Segoe UI" w:hint="eastAsia"/>
                <w:sz w:val="17"/>
                <w:szCs w:val="17"/>
                <w:lang w:eastAsia="zh-TW"/>
              </w:rPr>
              <w:t>減低信用風險措施</w:t>
            </w:r>
            <w:r w:rsidR="009A4591" w:rsidRPr="0035315D">
              <w:rPr>
                <w:rFonts w:eastAsia="細明體" w:cs="Segoe UI" w:hint="eastAsia"/>
                <w:sz w:val="17"/>
                <w:szCs w:val="17"/>
                <w:lang w:eastAsia="zh-TW"/>
              </w:rPr>
              <w:t>的風險</w:t>
            </w:r>
            <w:r w:rsidR="009A4591">
              <w:rPr>
                <w:rFonts w:eastAsia="細明體" w:cs="Segoe UI" w:hint="eastAsia"/>
                <w:sz w:val="17"/>
                <w:szCs w:val="17"/>
                <w:lang w:eastAsia="zh-HK"/>
              </w:rPr>
              <w:t>程度</w:t>
            </w:r>
            <w:r w:rsidR="0035315D" w:rsidRPr="0035315D">
              <w:rPr>
                <w:rFonts w:eastAsia="細明體" w:cs="Segoe UI" w:hint="eastAsia"/>
                <w:sz w:val="17"/>
                <w:szCs w:val="17"/>
                <w:lang w:eastAsia="zh-TW"/>
              </w:rPr>
              <w:t>。</w:t>
            </w:r>
            <w:r w:rsidR="0067144E" w:rsidRPr="005E679C">
              <w:rPr>
                <w:rFonts w:eastAsia="細明體" w:hint="eastAsia"/>
                <w:sz w:val="17"/>
                <w:szCs w:val="17"/>
                <w:lang w:eastAsia="zh-TW"/>
              </w:rPr>
              <w:t>這應包括</w:t>
            </w:r>
            <w:r w:rsidR="00374C72" w:rsidRPr="00374C72">
              <w:rPr>
                <w:rFonts w:eastAsia="細明體" w:cs="Segoe UI" w:hint="eastAsia"/>
                <w:sz w:val="17"/>
                <w:szCs w:val="17"/>
                <w:lang w:eastAsia="zh-TW"/>
              </w:rPr>
              <w:t>加密資產</w:t>
            </w:r>
            <w:r w:rsidR="0035778A">
              <w:rPr>
                <w:rFonts w:eastAsia="細明體" w:cs="Segoe UI" w:hint="eastAsia"/>
                <w:sz w:val="17"/>
                <w:szCs w:val="17"/>
                <w:lang w:eastAsia="zh-HK"/>
              </w:rPr>
              <w:t>的</w:t>
            </w:r>
            <w:r w:rsidR="00374C72" w:rsidRPr="00374C72">
              <w:rPr>
                <w:rFonts w:eastAsia="細明體" w:cs="Segoe UI" w:hint="eastAsia"/>
                <w:sz w:val="17"/>
                <w:szCs w:val="17"/>
                <w:lang w:eastAsia="zh-TW"/>
              </w:rPr>
              <w:t>衍生工具合約或</w:t>
            </w:r>
            <w:r w:rsidR="00374C72" w:rsidRPr="00374C72">
              <w:rPr>
                <w:rFonts w:eastAsia="細明體" w:cs="Segoe UI"/>
                <w:sz w:val="17"/>
                <w:szCs w:val="17"/>
                <w:lang w:eastAsia="zh-TW"/>
              </w:rPr>
              <w:t>SFT</w:t>
            </w:r>
            <w:r w:rsidR="0088617C">
              <w:rPr>
                <w:rFonts w:eastAsia="細明體" w:cs="Segoe UI" w:hint="eastAsia"/>
                <w:sz w:val="17"/>
                <w:szCs w:val="17"/>
                <w:lang w:eastAsia="zh-TW"/>
              </w:rPr>
              <w:t>所產生</w:t>
            </w:r>
            <w:proofErr w:type="gramStart"/>
            <w:r w:rsidR="00DC231A" w:rsidRPr="0035315D">
              <w:rPr>
                <w:rFonts w:eastAsia="細明體" w:cs="Segoe UI" w:hint="eastAsia"/>
                <w:sz w:val="17"/>
                <w:szCs w:val="17"/>
                <w:lang w:eastAsia="zh-TW"/>
              </w:rPr>
              <w:t>的</w:t>
            </w:r>
            <w:r w:rsidR="00374C72" w:rsidRPr="00374C72">
              <w:rPr>
                <w:rFonts w:eastAsia="細明體" w:cs="Segoe UI" w:hint="eastAsia"/>
                <w:sz w:val="17"/>
                <w:szCs w:val="17"/>
                <w:lang w:eastAsia="zh-TW"/>
              </w:rPr>
              <w:t>違</w:t>
            </w:r>
            <w:r w:rsidR="00052EC2">
              <w:rPr>
                <w:rFonts w:eastAsia="細明體" w:cs="Segoe UI" w:hint="eastAsia"/>
                <w:sz w:val="17"/>
                <w:szCs w:val="17"/>
                <w:lang w:eastAsia="zh-HK"/>
              </w:rPr>
              <w:t>責</w:t>
            </w:r>
            <w:r w:rsidR="00374C72" w:rsidRPr="00374C72">
              <w:rPr>
                <w:rFonts w:eastAsia="細明體" w:cs="Segoe UI" w:hint="eastAsia"/>
                <w:sz w:val="17"/>
                <w:szCs w:val="17"/>
                <w:lang w:eastAsia="zh-TW"/>
              </w:rPr>
              <w:t>風險</w:t>
            </w:r>
            <w:proofErr w:type="gramEnd"/>
            <w:r w:rsidR="00DC231A" w:rsidRPr="0035315D">
              <w:rPr>
                <w:rFonts w:eastAsia="細明體" w:cs="Segoe UI" w:hint="eastAsia"/>
                <w:sz w:val="17"/>
                <w:szCs w:val="17"/>
                <w:lang w:eastAsia="zh-TW"/>
              </w:rPr>
              <w:t>的</w:t>
            </w:r>
            <w:r w:rsidR="00DC231A" w:rsidRPr="00374C72">
              <w:rPr>
                <w:rFonts w:eastAsia="細明體" w:cs="Segoe UI" w:hint="eastAsia"/>
                <w:sz w:val="17"/>
                <w:szCs w:val="17"/>
                <w:lang w:eastAsia="zh-TW"/>
              </w:rPr>
              <w:t>風險</w:t>
            </w:r>
            <w:r w:rsidR="00374C72" w:rsidRPr="00374C72">
              <w:rPr>
                <w:rFonts w:eastAsia="細明體" w:cs="Segoe UI" w:hint="eastAsia"/>
                <w:sz w:val="17"/>
                <w:szCs w:val="17"/>
                <w:lang w:eastAsia="zh-TW"/>
              </w:rPr>
              <w:t>承擔。</w:t>
            </w:r>
          </w:p>
        </w:tc>
      </w:tr>
    </w:tbl>
    <w:p w14:paraId="580CBF81" w14:textId="77777777" w:rsidR="005171C5" w:rsidRPr="005171C5" w:rsidRDefault="005171C5" w:rsidP="0028643C">
      <w:pPr>
        <w:suppressAutoHyphens/>
        <w:spacing w:after="120"/>
        <w:rPr>
          <w:rFonts w:cs="Segoe UI"/>
          <w:lang w:eastAsia="ar-SA"/>
        </w:rPr>
      </w:pPr>
    </w:p>
    <w:p w14:paraId="0CB081F5" w14:textId="77777777" w:rsidR="00595243" w:rsidRDefault="00595243" w:rsidP="00665A23">
      <w:pPr>
        <w:pStyle w:val="Heading2"/>
        <w:keepNext w:val="0"/>
        <w:suppressAutoHyphens w:val="0"/>
        <w:spacing w:before="40" w:line="240" w:lineRule="auto"/>
        <w:ind w:left="-454" w:firstLine="454"/>
        <w:rPr>
          <w:rFonts w:ascii="Calibri" w:hAnsi="Calibri"/>
          <w:vanish/>
          <w:sz w:val="22"/>
          <w:szCs w:val="22"/>
          <w:lang w:eastAsia="zh-TW"/>
        </w:rPr>
        <w:sectPr w:rsidR="00595243" w:rsidSect="00DF5004">
          <w:footerReference w:type="default" r:id="rId82"/>
          <w:pgSz w:w="16838" w:h="11906" w:orient="landscape"/>
          <w:pgMar w:top="1560" w:right="1440" w:bottom="1797" w:left="1440" w:header="720" w:footer="737" w:gutter="0"/>
          <w:cols w:space="720"/>
          <w:docGrid w:type="linesAndChars" w:linePitch="360"/>
        </w:sectPr>
      </w:pPr>
    </w:p>
    <w:p w14:paraId="4B44D5AB" w14:textId="42C499C3" w:rsidR="00105156" w:rsidRPr="000A6135" w:rsidRDefault="00665A23" w:rsidP="0029639E">
      <w:pPr>
        <w:pStyle w:val="Heading2"/>
        <w:keepNext w:val="0"/>
        <w:suppressAutoHyphens w:val="0"/>
        <w:spacing w:before="40" w:line="240" w:lineRule="auto"/>
        <w:ind w:left="-454" w:firstLine="596"/>
        <w:rPr>
          <w:rFonts w:ascii="細明體" w:eastAsia="細明體" w:hAnsi="細明體"/>
          <w:b w:val="0"/>
          <w:bCs w:val="0"/>
          <w:sz w:val="22"/>
          <w:szCs w:val="20"/>
          <w:lang w:eastAsia="zh-TW"/>
        </w:rPr>
      </w:pPr>
      <w:r w:rsidRPr="000A6135">
        <w:rPr>
          <w:rFonts w:ascii="細明體" w:eastAsia="細明體" w:hAnsi="細明體" w:cs="微軟正黑體" w:hint="eastAsia"/>
          <w:b w:val="0"/>
          <w:bCs w:val="0"/>
          <w:sz w:val="22"/>
          <w:szCs w:val="20"/>
          <w:lang w:eastAsia="zh-TW"/>
        </w:rPr>
        <w:t>模版</w:t>
      </w:r>
      <w:r w:rsidRPr="000A6135">
        <w:rPr>
          <w:rFonts w:ascii="Segoe UI" w:eastAsia="細明體" w:hAnsi="Segoe UI" w:cs="Segoe UI"/>
          <w:b w:val="0"/>
          <w:bCs w:val="0"/>
          <w:sz w:val="22"/>
          <w:szCs w:val="20"/>
          <w:lang w:eastAsia="zh-TW"/>
        </w:rPr>
        <w:t>CCR4</w:t>
      </w:r>
      <w:r w:rsidRPr="000A6135">
        <w:rPr>
          <w:rFonts w:ascii="細明體" w:eastAsia="細明體" w:hAnsi="細明體" w:cs="微軟正黑體" w:hint="eastAsia"/>
          <w:b w:val="0"/>
          <w:bCs w:val="0"/>
          <w:sz w:val="22"/>
          <w:szCs w:val="20"/>
          <w:lang w:eastAsia="zh-TW"/>
        </w:rPr>
        <w:t>：按組合</w:t>
      </w:r>
      <w:proofErr w:type="gramStart"/>
      <w:r w:rsidRPr="000A6135">
        <w:rPr>
          <w:rFonts w:ascii="細明體" w:eastAsia="細明體" w:hAnsi="細明體" w:cs="微軟正黑體" w:hint="eastAsia"/>
          <w:b w:val="0"/>
          <w:bCs w:val="0"/>
          <w:sz w:val="22"/>
          <w:szCs w:val="20"/>
          <w:lang w:eastAsia="zh-TW"/>
        </w:rPr>
        <w:t>及違責或然率</w:t>
      </w:r>
      <w:proofErr w:type="gramEnd"/>
      <w:r w:rsidRPr="000A6135">
        <w:rPr>
          <w:rFonts w:ascii="細明體" w:eastAsia="細明體" w:hAnsi="細明體" w:cs="微軟正黑體" w:hint="eastAsia"/>
          <w:b w:val="0"/>
          <w:bCs w:val="0"/>
          <w:sz w:val="22"/>
          <w:szCs w:val="20"/>
          <w:lang w:eastAsia="zh-TW"/>
        </w:rPr>
        <w:t>等級劃分的對手方信用風險承擔（對中央交易對手方的風險承擔除外）</w:t>
      </w:r>
      <w:proofErr w:type="gramStart"/>
      <w:r w:rsidRPr="000A6135">
        <w:rPr>
          <w:rFonts w:ascii="細明體" w:eastAsia="細明體" w:hAnsi="細明體" w:cs="微軟正黑體" w:hint="eastAsia"/>
          <w:b w:val="0"/>
          <w:bCs w:val="0"/>
          <w:sz w:val="22"/>
          <w:szCs w:val="20"/>
          <w:lang w:eastAsia="zh-TW"/>
        </w:rPr>
        <w:t>──</w:t>
      </w:r>
      <w:proofErr w:type="gramEnd"/>
      <w:r w:rsidRPr="000A6135">
        <w:rPr>
          <w:rFonts w:ascii="Segoe UI" w:eastAsia="細明體" w:hAnsi="Segoe UI" w:cs="Segoe UI"/>
          <w:b w:val="0"/>
          <w:bCs w:val="0"/>
          <w:sz w:val="22"/>
          <w:szCs w:val="20"/>
          <w:lang w:eastAsia="zh-TW"/>
        </w:rPr>
        <w:t>IRB</w:t>
      </w:r>
      <w:r w:rsidRPr="000A6135">
        <w:rPr>
          <w:rFonts w:ascii="細明體" w:eastAsia="細明體" w:hAnsi="細明體" w:cs="微軟正黑體" w:hint="eastAsia"/>
          <w:b w:val="0"/>
          <w:bCs w:val="0"/>
          <w:sz w:val="22"/>
          <w:szCs w:val="20"/>
          <w:lang w:eastAsia="zh-TW"/>
        </w:rPr>
        <w:t>計算法</w:t>
      </w:r>
    </w:p>
    <w:tbl>
      <w:tblPr>
        <w:tblW w:w="0" w:type="auto"/>
        <w:tblInd w:w="108" w:type="dxa"/>
        <w:tblLayout w:type="fixed"/>
        <w:tblLook w:val="0000" w:firstRow="0" w:lastRow="0" w:firstColumn="0" w:lastColumn="0" w:noHBand="0" w:noVBand="0"/>
      </w:tblPr>
      <w:tblGrid>
        <w:gridCol w:w="2127"/>
        <w:gridCol w:w="11765"/>
      </w:tblGrid>
      <w:tr w:rsidR="005171C5" w:rsidRPr="005171C5" w14:paraId="3DF65061" w14:textId="77777777" w:rsidTr="005171C5">
        <w:tc>
          <w:tcPr>
            <w:tcW w:w="2127" w:type="dxa"/>
            <w:tcBorders>
              <w:top w:val="single" w:sz="4" w:space="0" w:color="000000"/>
              <w:bottom w:val="single" w:sz="4" w:space="0" w:color="000000"/>
            </w:tcBorders>
            <w:shd w:val="clear" w:color="auto" w:fill="auto"/>
          </w:tcPr>
          <w:p w14:paraId="7058F5FE" w14:textId="77777777" w:rsidR="005171C5" w:rsidRPr="005171C5" w:rsidRDefault="005171C5" w:rsidP="005171C5">
            <w:pPr>
              <w:spacing w:before="40" w:after="40" w:line="259" w:lineRule="auto"/>
              <w:rPr>
                <w:rFonts w:ascii="Calibri" w:eastAsia="細明體" w:hAnsi="Calibri"/>
                <w:sz w:val="22"/>
                <w:szCs w:val="22"/>
                <w:lang w:eastAsia="zh-TW"/>
              </w:rPr>
            </w:pPr>
            <w:r w:rsidRPr="005171C5">
              <w:rPr>
                <w:rFonts w:ascii="Calibri" w:eastAsia="細明體" w:hAnsi="Calibri" w:hint="eastAsia"/>
                <w:b/>
                <w:sz w:val="17"/>
                <w:szCs w:val="22"/>
                <w:lang w:eastAsia="zh-TW"/>
              </w:rPr>
              <w:t>目的：</w:t>
            </w:r>
            <w:r w:rsidRPr="005171C5">
              <w:rPr>
                <w:rFonts w:ascii="Calibri" w:eastAsia="細明體" w:hAnsi="Calibri"/>
                <w:sz w:val="17"/>
                <w:szCs w:val="22"/>
                <w:lang w:eastAsia="zh-TW"/>
              </w:rPr>
              <w:t xml:space="preserve"> </w:t>
            </w:r>
          </w:p>
        </w:tc>
        <w:tc>
          <w:tcPr>
            <w:tcW w:w="11765" w:type="dxa"/>
            <w:tcBorders>
              <w:top w:val="single" w:sz="4" w:space="0" w:color="000000"/>
              <w:left w:val="single" w:sz="4" w:space="0" w:color="000000"/>
              <w:bottom w:val="single" w:sz="4" w:space="0" w:color="000000"/>
            </w:tcBorders>
            <w:shd w:val="clear" w:color="auto" w:fill="auto"/>
          </w:tcPr>
          <w:p w14:paraId="1FE20C15" w14:textId="0B4BAA01" w:rsidR="005171C5" w:rsidRPr="005171C5" w:rsidRDefault="005171C5" w:rsidP="00AC5021">
            <w:pPr>
              <w:suppressAutoHyphens/>
              <w:spacing w:before="40" w:after="40"/>
              <w:jc w:val="both"/>
              <w:rPr>
                <w:rFonts w:cs="Segoe UI"/>
                <w:sz w:val="17"/>
                <w:lang w:eastAsia="zh-TW"/>
              </w:rPr>
            </w:pPr>
            <w:r w:rsidRPr="005171C5">
              <w:rPr>
                <w:rFonts w:eastAsia="細明體" w:cs="Segoe UI" w:hint="eastAsia"/>
                <w:sz w:val="17"/>
                <w:lang w:eastAsia="zh-TW"/>
              </w:rPr>
              <w:t>提供在</w:t>
            </w:r>
            <w:r w:rsidRPr="005171C5">
              <w:rPr>
                <w:rFonts w:eastAsia="細明體" w:cs="Segoe UI"/>
                <w:sz w:val="17"/>
                <w:lang w:eastAsia="zh-TW"/>
              </w:rPr>
              <w:t>IRB</w:t>
            </w:r>
            <w:r w:rsidRPr="005171C5">
              <w:rPr>
                <w:rFonts w:eastAsia="細明體" w:cs="Segoe UI" w:hint="eastAsia"/>
                <w:sz w:val="17"/>
                <w:lang w:eastAsia="zh-TW"/>
              </w:rPr>
              <w:t>計算法下用以計算對手方信用風險資本規定（由中央交易對手方的違責風險的風險承擔所產生者除外）的所有相關參數。</w:t>
            </w:r>
          </w:p>
        </w:tc>
      </w:tr>
      <w:tr w:rsidR="005171C5" w:rsidRPr="005171C5" w14:paraId="6B45C10E" w14:textId="77777777" w:rsidTr="005171C5">
        <w:tc>
          <w:tcPr>
            <w:tcW w:w="2127" w:type="dxa"/>
            <w:tcBorders>
              <w:top w:val="single" w:sz="4" w:space="0" w:color="000000"/>
              <w:bottom w:val="single" w:sz="4" w:space="0" w:color="000000"/>
            </w:tcBorders>
            <w:shd w:val="clear" w:color="auto" w:fill="auto"/>
          </w:tcPr>
          <w:p w14:paraId="2D766F68" w14:textId="77777777" w:rsidR="005171C5" w:rsidRPr="005171C5" w:rsidRDefault="005171C5" w:rsidP="005171C5">
            <w:pPr>
              <w:spacing w:before="40" w:after="40" w:line="259" w:lineRule="auto"/>
              <w:rPr>
                <w:rFonts w:ascii="Calibri" w:eastAsia="細明體" w:hAnsi="Calibri"/>
                <w:sz w:val="17"/>
                <w:szCs w:val="22"/>
                <w:lang w:eastAsia="zh-CN"/>
              </w:rPr>
            </w:pPr>
            <w:r w:rsidRPr="005171C5">
              <w:rPr>
                <w:rFonts w:ascii="Calibri" w:eastAsia="細明體" w:hAnsi="Calibri" w:hint="eastAsia"/>
                <w:b/>
                <w:sz w:val="17"/>
                <w:szCs w:val="22"/>
                <w:lang w:eastAsia="zh-CN"/>
              </w:rPr>
              <w:t>適用範</w:t>
            </w:r>
            <w:proofErr w:type="gramStart"/>
            <w:r w:rsidRPr="005171C5">
              <w:rPr>
                <w:rFonts w:ascii="Calibri" w:eastAsia="細明體" w:hAnsi="Calibri" w:hint="eastAsia"/>
                <w:b/>
                <w:sz w:val="17"/>
                <w:szCs w:val="22"/>
                <w:lang w:eastAsia="zh-CN"/>
              </w:rPr>
              <w:t>圍</w:t>
            </w:r>
            <w:proofErr w:type="gramEnd"/>
            <w:r w:rsidRPr="005171C5">
              <w:rPr>
                <w:rFonts w:ascii="Calibri" w:eastAsia="細明體" w:hAnsi="Calibri" w:hint="eastAsia"/>
                <w:b/>
                <w:sz w:val="17"/>
                <w:szCs w:val="22"/>
                <w:lang w:eastAsia="zh-CN"/>
              </w:rPr>
              <w:t>：</w:t>
            </w:r>
            <w:r w:rsidRPr="005171C5">
              <w:rPr>
                <w:rFonts w:ascii="Calibri" w:eastAsia="細明體" w:hAnsi="Calibri"/>
                <w:b/>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339CBE47" w14:textId="77777777" w:rsidR="005171C5" w:rsidRPr="005171C5" w:rsidRDefault="005171C5" w:rsidP="00EE39F2">
            <w:pPr>
              <w:spacing w:before="40" w:line="259" w:lineRule="auto"/>
              <w:jc w:val="both"/>
              <w:rPr>
                <w:rFonts w:ascii="Calibri" w:eastAsia="細明體" w:hAnsi="Calibri"/>
                <w:sz w:val="17"/>
                <w:szCs w:val="22"/>
                <w:lang w:eastAsia="zh-TW"/>
              </w:rPr>
            </w:pPr>
            <w:r w:rsidRPr="005171C5">
              <w:rPr>
                <w:rFonts w:ascii="Calibri" w:eastAsia="細明體" w:hAnsi="Calibri" w:hint="eastAsia"/>
                <w:sz w:val="17"/>
                <w:szCs w:val="22"/>
                <w:lang w:eastAsia="zh-TW"/>
              </w:rPr>
              <w:t>在香港成立</w:t>
            </w:r>
            <w:proofErr w:type="gramStart"/>
            <w:r w:rsidRPr="005171C5">
              <w:rPr>
                <w:rFonts w:ascii="Calibri" w:eastAsia="細明體" w:hAnsi="Calibri" w:hint="eastAsia"/>
                <w:sz w:val="17"/>
                <w:szCs w:val="22"/>
                <w:lang w:eastAsia="zh-TW"/>
              </w:rPr>
              <w:t>為法團並</w:t>
            </w:r>
            <w:proofErr w:type="gramEnd"/>
            <w:r w:rsidRPr="005171C5">
              <w:rPr>
                <w:rFonts w:ascii="Calibri" w:eastAsia="細明體" w:hAnsi="Calibri" w:hint="eastAsia"/>
                <w:sz w:val="17"/>
                <w:szCs w:val="22"/>
                <w:lang w:eastAsia="zh-TW"/>
              </w:rPr>
              <w:t>使用</w:t>
            </w:r>
            <w:r w:rsidRPr="005171C5">
              <w:rPr>
                <w:rFonts w:ascii="Calibri" w:eastAsia="細明體" w:hAnsi="Calibri"/>
                <w:sz w:val="17"/>
                <w:szCs w:val="22"/>
                <w:lang w:eastAsia="zh-TW"/>
              </w:rPr>
              <w:t>IRB</w:t>
            </w:r>
            <w:r w:rsidRPr="005171C5">
              <w:rPr>
                <w:rFonts w:ascii="Calibri" w:eastAsia="細明體" w:hAnsi="Calibri" w:hint="eastAsia"/>
                <w:sz w:val="17"/>
                <w:szCs w:val="22"/>
                <w:lang w:eastAsia="zh-TW"/>
              </w:rPr>
              <w:t>計算法計算其部分或全部風險承擔的認可機構，不論使用何種計算法</w:t>
            </w:r>
            <w:proofErr w:type="gramStart"/>
            <w:r w:rsidRPr="005171C5">
              <w:rPr>
                <w:rFonts w:ascii="Calibri" w:eastAsia="細明體" w:hAnsi="Calibri" w:hint="eastAsia"/>
                <w:sz w:val="17"/>
                <w:szCs w:val="22"/>
                <w:lang w:eastAsia="zh-TW"/>
              </w:rPr>
              <w:t>斷定違責風險</w:t>
            </w:r>
            <w:proofErr w:type="gramEnd"/>
            <w:r w:rsidRPr="005171C5">
              <w:rPr>
                <w:rFonts w:ascii="Calibri" w:eastAsia="細明體" w:hAnsi="Calibri" w:hint="eastAsia"/>
                <w:sz w:val="17"/>
                <w:szCs w:val="22"/>
                <w:lang w:eastAsia="zh-TW"/>
              </w:rPr>
              <w:t>的風險承擔數額，</w:t>
            </w:r>
            <w:proofErr w:type="gramStart"/>
            <w:r w:rsidRPr="005171C5">
              <w:rPr>
                <w:rFonts w:ascii="Calibri" w:eastAsia="細明體" w:hAnsi="Calibri" w:hint="eastAsia"/>
                <w:sz w:val="17"/>
                <w:szCs w:val="22"/>
                <w:lang w:eastAsia="zh-TW"/>
              </w:rPr>
              <w:t>均須填報本模</w:t>
            </w:r>
            <w:proofErr w:type="gramEnd"/>
            <w:r w:rsidRPr="005171C5">
              <w:rPr>
                <w:rFonts w:ascii="Calibri" w:eastAsia="細明體" w:hAnsi="Calibri" w:hint="eastAsia"/>
                <w:sz w:val="17"/>
                <w:szCs w:val="22"/>
                <w:lang w:eastAsia="zh-TW"/>
              </w:rPr>
              <w:t>版。</w:t>
            </w:r>
          </w:p>
          <w:p w14:paraId="1F3C66F0" w14:textId="77777777" w:rsidR="005171C5" w:rsidRPr="005171C5" w:rsidRDefault="005171C5" w:rsidP="005171C5">
            <w:pPr>
              <w:spacing w:before="40" w:after="40" w:line="259" w:lineRule="auto"/>
              <w:jc w:val="both"/>
              <w:rPr>
                <w:rFonts w:ascii="Calibri" w:eastAsia="新細明體" w:hAnsi="Calibri"/>
                <w:sz w:val="22"/>
                <w:szCs w:val="22"/>
                <w:lang w:eastAsia="zh-TW"/>
              </w:rPr>
            </w:pPr>
            <w:r w:rsidRPr="005171C5">
              <w:rPr>
                <w:rFonts w:ascii="Calibri" w:eastAsia="細明體" w:hAnsi="Calibri" w:hint="eastAsia"/>
                <w:sz w:val="17"/>
                <w:szCs w:val="22"/>
                <w:lang w:eastAsia="zh-TW"/>
              </w:rPr>
              <w:t>認可機構應（按照適用於該機構的監管綜合範圍）披露其用於集團層面所計算的主要模式，並於敘述評</w:t>
            </w:r>
            <w:proofErr w:type="gramStart"/>
            <w:r w:rsidRPr="005171C5">
              <w:rPr>
                <w:rFonts w:ascii="Calibri" w:eastAsia="細明體" w:hAnsi="Calibri" w:hint="eastAsia"/>
                <w:sz w:val="17"/>
                <w:szCs w:val="22"/>
                <w:lang w:eastAsia="zh-TW"/>
              </w:rPr>
              <w:t>註</w:t>
            </w:r>
            <w:proofErr w:type="gramEnd"/>
            <w:r w:rsidRPr="005171C5">
              <w:rPr>
                <w:rFonts w:ascii="Calibri" w:eastAsia="細明體" w:hAnsi="Calibri" w:hint="eastAsia"/>
                <w:sz w:val="17"/>
                <w:szCs w:val="22"/>
                <w:lang w:eastAsia="zh-TW"/>
              </w:rPr>
              <w:t>闡明該等模式的範圍如何劃定。該評</w:t>
            </w:r>
            <w:proofErr w:type="gramStart"/>
            <w:r w:rsidRPr="005171C5">
              <w:rPr>
                <w:rFonts w:ascii="Calibri" w:eastAsia="細明體" w:hAnsi="Calibri" w:hint="eastAsia"/>
                <w:sz w:val="17"/>
                <w:szCs w:val="22"/>
                <w:lang w:eastAsia="zh-TW"/>
              </w:rPr>
              <w:t>註</w:t>
            </w:r>
            <w:proofErr w:type="gramEnd"/>
            <w:r w:rsidRPr="005171C5">
              <w:rPr>
                <w:rFonts w:ascii="Calibri" w:eastAsia="細明體" w:hAnsi="Calibri" w:hint="eastAsia"/>
                <w:sz w:val="17"/>
                <w:szCs w:val="22"/>
                <w:lang w:eastAsia="zh-TW"/>
              </w:rPr>
              <w:t>亦應包括就每</w:t>
            </w:r>
            <w:proofErr w:type="gramStart"/>
            <w:r w:rsidRPr="005171C5">
              <w:rPr>
                <w:rFonts w:ascii="Calibri" w:eastAsia="細明體" w:hAnsi="Calibri" w:hint="eastAsia"/>
                <w:sz w:val="17"/>
                <w:szCs w:val="22"/>
                <w:lang w:eastAsia="zh-TW"/>
              </w:rPr>
              <w:t>個</w:t>
            </w:r>
            <w:proofErr w:type="gramEnd"/>
            <w:r w:rsidRPr="005171C5">
              <w:rPr>
                <w:rFonts w:ascii="Calibri" w:eastAsia="細明體" w:hAnsi="Calibri" w:hint="eastAsia"/>
                <w:sz w:val="17"/>
                <w:szCs w:val="22"/>
                <w:lang w:eastAsia="zh-TW"/>
              </w:rPr>
              <w:t>監管組合而言，被該等模式所涵蓋的風險加權數額的百分率。</w:t>
            </w:r>
          </w:p>
        </w:tc>
      </w:tr>
      <w:tr w:rsidR="005171C5" w:rsidRPr="005171C5" w14:paraId="04557D73" w14:textId="77777777" w:rsidTr="005171C5">
        <w:trPr>
          <w:trHeight w:val="275"/>
        </w:trPr>
        <w:tc>
          <w:tcPr>
            <w:tcW w:w="2127" w:type="dxa"/>
            <w:tcBorders>
              <w:top w:val="single" w:sz="4" w:space="0" w:color="000000"/>
              <w:bottom w:val="single" w:sz="4" w:space="0" w:color="000000"/>
            </w:tcBorders>
            <w:shd w:val="clear" w:color="auto" w:fill="auto"/>
          </w:tcPr>
          <w:p w14:paraId="6E0C14F1" w14:textId="77777777" w:rsidR="005171C5" w:rsidRPr="005171C5" w:rsidRDefault="005171C5" w:rsidP="005171C5">
            <w:pPr>
              <w:spacing w:before="40" w:after="40" w:line="259" w:lineRule="auto"/>
              <w:rPr>
                <w:rFonts w:ascii="Calibri" w:eastAsia="細明體" w:hAnsi="Calibri"/>
                <w:sz w:val="17"/>
                <w:szCs w:val="22"/>
                <w:lang w:eastAsia="zh-CN"/>
              </w:rPr>
            </w:pPr>
            <w:proofErr w:type="gramStart"/>
            <w:r w:rsidRPr="005171C5">
              <w:rPr>
                <w:rFonts w:ascii="Calibri" w:eastAsia="細明體" w:hAnsi="Calibri" w:hint="eastAsia"/>
                <w:b/>
                <w:sz w:val="17"/>
                <w:szCs w:val="22"/>
                <w:lang w:eastAsia="zh-CN"/>
              </w:rPr>
              <w:t>內</w:t>
            </w:r>
            <w:proofErr w:type="gramEnd"/>
            <w:r w:rsidRPr="005171C5">
              <w:rPr>
                <w:rFonts w:ascii="Calibri" w:eastAsia="細明體" w:hAnsi="Calibri" w:hint="eastAsia"/>
                <w:b/>
                <w:sz w:val="17"/>
                <w:szCs w:val="22"/>
                <w:lang w:eastAsia="zh-CN"/>
              </w:rPr>
              <w:t>容：</w:t>
            </w:r>
            <w:r w:rsidRPr="005171C5">
              <w:rPr>
                <w:rFonts w:ascii="Calibri" w:eastAsia="細明體" w:hAnsi="Calibri"/>
                <w:b/>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608C6041" w14:textId="4C301357" w:rsidR="005171C5" w:rsidRPr="005171C5" w:rsidRDefault="005171C5" w:rsidP="00146821">
            <w:pPr>
              <w:spacing w:before="40" w:after="40" w:line="259" w:lineRule="auto"/>
              <w:jc w:val="both"/>
              <w:rPr>
                <w:rFonts w:ascii="Calibri" w:eastAsia="新細明體" w:hAnsi="Calibri"/>
                <w:sz w:val="22"/>
                <w:szCs w:val="22"/>
                <w:lang w:eastAsia="zh-TW"/>
              </w:rPr>
            </w:pPr>
            <w:r w:rsidRPr="005171C5">
              <w:rPr>
                <w:rFonts w:ascii="Calibri" w:eastAsia="細明體" w:hAnsi="Calibri" w:hint="eastAsia"/>
                <w:sz w:val="17"/>
                <w:szCs w:val="22"/>
                <w:lang w:eastAsia="zh-TW"/>
              </w:rPr>
              <w:t>風險加權數額及用以計算對手方</w:t>
            </w:r>
            <w:r w:rsidR="00AC5021" w:rsidRPr="005171C5">
              <w:rPr>
                <w:rFonts w:ascii="Calibri" w:eastAsia="細明體" w:hAnsi="Calibri" w:hint="eastAsia"/>
                <w:sz w:val="17"/>
                <w:szCs w:val="22"/>
                <w:lang w:eastAsia="zh-TW"/>
              </w:rPr>
              <w:t>信用</w:t>
            </w:r>
            <w:r w:rsidRPr="005171C5">
              <w:rPr>
                <w:rFonts w:ascii="Calibri" w:eastAsia="細明體" w:hAnsi="Calibri" w:hint="eastAsia"/>
                <w:sz w:val="17"/>
                <w:szCs w:val="22"/>
                <w:lang w:eastAsia="zh-TW"/>
              </w:rPr>
              <w:t>風險承擔（不包括經</w:t>
            </w:r>
            <w:r w:rsidR="00146821" w:rsidRPr="005171C5">
              <w:rPr>
                <w:rFonts w:eastAsia="細明體" w:cs="Segoe UI" w:hint="eastAsia"/>
                <w:sz w:val="17"/>
                <w:lang w:eastAsia="zh-TW"/>
              </w:rPr>
              <w:t>中央交易對手方</w:t>
            </w:r>
            <w:r w:rsidRPr="005171C5">
              <w:rPr>
                <w:rFonts w:ascii="Calibri" w:eastAsia="細明體" w:hAnsi="Calibri" w:hint="eastAsia"/>
                <w:sz w:val="17"/>
                <w:szCs w:val="22"/>
                <w:lang w:eastAsia="zh-TW"/>
              </w:rPr>
              <w:t>結算的風險承擔）的參數，並且以</w:t>
            </w:r>
            <w:r w:rsidRPr="005171C5">
              <w:rPr>
                <w:rFonts w:ascii="Calibri" w:eastAsia="細明體" w:hAnsi="Calibri"/>
                <w:sz w:val="17"/>
                <w:szCs w:val="22"/>
                <w:lang w:eastAsia="zh-TW"/>
              </w:rPr>
              <w:t>IRB</w:t>
            </w:r>
            <w:r w:rsidRPr="005171C5">
              <w:rPr>
                <w:rFonts w:ascii="Calibri" w:eastAsia="細明體" w:hAnsi="Calibri" w:hint="eastAsia"/>
                <w:sz w:val="17"/>
                <w:szCs w:val="22"/>
                <w:lang w:eastAsia="zh-TW"/>
              </w:rPr>
              <w:t>計算法計算信用風險。所有</w:t>
            </w:r>
            <w:proofErr w:type="gramStart"/>
            <w:r w:rsidRPr="005171C5">
              <w:rPr>
                <w:rFonts w:ascii="Calibri" w:eastAsia="細明體" w:hAnsi="Calibri" w:hint="eastAsia"/>
                <w:sz w:val="17"/>
                <w:szCs w:val="22"/>
                <w:lang w:eastAsia="zh-TW"/>
              </w:rPr>
              <w:t>披露均應基於</w:t>
            </w:r>
            <w:proofErr w:type="gramEnd"/>
            <w:r w:rsidRPr="005171C5">
              <w:rPr>
                <w:rFonts w:ascii="Calibri" w:eastAsia="細明體" w:hAnsi="Calibri" w:hint="eastAsia"/>
                <w:sz w:val="17"/>
                <w:szCs w:val="22"/>
                <w:lang w:eastAsia="zh-TW"/>
              </w:rPr>
              <w:t>為計算資本充足程度而適用的監管綜合範圍。</w:t>
            </w:r>
          </w:p>
        </w:tc>
      </w:tr>
      <w:tr w:rsidR="005171C5" w:rsidRPr="005171C5" w14:paraId="1DA04117" w14:textId="77777777" w:rsidTr="005171C5">
        <w:tc>
          <w:tcPr>
            <w:tcW w:w="2127" w:type="dxa"/>
            <w:tcBorders>
              <w:top w:val="single" w:sz="4" w:space="0" w:color="000000"/>
              <w:bottom w:val="single" w:sz="4" w:space="0" w:color="000000"/>
            </w:tcBorders>
            <w:shd w:val="clear" w:color="auto" w:fill="auto"/>
          </w:tcPr>
          <w:p w14:paraId="5EBA6477"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頻密程度：</w:t>
            </w:r>
            <w:r w:rsidRPr="005171C5">
              <w:rPr>
                <w:rFonts w:ascii="Calibri" w:eastAsia="細明體" w:hAnsi="Calibri"/>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2FAD1235"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hint="eastAsia"/>
                <w:sz w:val="17"/>
                <w:lang w:eastAsia="ar-SA"/>
              </w:rPr>
              <w:t>每半年一次</w:t>
            </w:r>
            <w:r w:rsidRPr="005171C5">
              <w:rPr>
                <w:rFonts w:eastAsia="細明體" w:cs="Segoe UI"/>
                <w:sz w:val="17"/>
                <w:lang w:eastAsia="ar-SA"/>
              </w:rPr>
              <w:t>。</w:t>
            </w:r>
          </w:p>
        </w:tc>
      </w:tr>
      <w:tr w:rsidR="005171C5" w:rsidRPr="005171C5" w14:paraId="7EF9FEED" w14:textId="77777777" w:rsidTr="005171C5">
        <w:tc>
          <w:tcPr>
            <w:tcW w:w="2127" w:type="dxa"/>
            <w:tcBorders>
              <w:top w:val="single" w:sz="4" w:space="0" w:color="000000"/>
              <w:bottom w:val="single" w:sz="4" w:space="0" w:color="000000"/>
            </w:tcBorders>
            <w:shd w:val="clear" w:color="auto" w:fill="auto"/>
          </w:tcPr>
          <w:p w14:paraId="27EDCDEC" w14:textId="77777777" w:rsidR="005171C5" w:rsidRPr="005171C5" w:rsidRDefault="005171C5" w:rsidP="005171C5">
            <w:pPr>
              <w:spacing w:before="40" w:after="40" w:line="259" w:lineRule="auto"/>
              <w:rPr>
                <w:rFonts w:ascii="Calibri" w:eastAsia="細明體" w:hAnsi="Calibri"/>
                <w:sz w:val="22"/>
                <w:szCs w:val="22"/>
                <w:lang w:eastAsia="zh-CN"/>
              </w:rPr>
            </w:pPr>
            <w:r w:rsidRPr="005171C5">
              <w:rPr>
                <w:rFonts w:ascii="Calibri" w:eastAsia="細明體" w:hAnsi="Calibri" w:hint="eastAsia"/>
                <w:b/>
                <w:sz w:val="17"/>
                <w:szCs w:val="22"/>
                <w:lang w:eastAsia="zh-CN"/>
              </w:rPr>
              <w:t>格式：</w:t>
            </w:r>
            <w:r w:rsidRPr="005171C5">
              <w:rPr>
                <w:rFonts w:ascii="Calibri" w:eastAsia="細明體" w:hAnsi="Calibri"/>
                <w:sz w:val="17"/>
                <w:szCs w:val="22"/>
                <w:lang w:eastAsia="zh-CN"/>
              </w:rPr>
              <w:t xml:space="preserve"> </w:t>
            </w:r>
          </w:p>
        </w:tc>
        <w:tc>
          <w:tcPr>
            <w:tcW w:w="11765" w:type="dxa"/>
            <w:tcBorders>
              <w:top w:val="single" w:sz="4" w:space="0" w:color="000000"/>
              <w:left w:val="single" w:sz="4" w:space="0" w:color="000000"/>
              <w:bottom w:val="single" w:sz="4" w:space="0" w:color="000000"/>
            </w:tcBorders>
            <w:shd w:val="clear" w:color="auto" w:fill="auto"/>
          </w:tcPr>
          <w:p w14:paraId="6901A3E9" w14:textId="77777777" w:rsidR="005171C5" w:rsidRPr="005171C5" w:rsidRDefault="005171C5" w:rsidP="005171C5">
            <w:pPr>
              <w:tabs>
                <w:tab w:val="left" w:pos="459"/>
              </w:tabs>
              <w:suppressAutoHyphens/>
              <w:spacing w:before="40" w:after="40"/>
              <w:jc w:val="both"/>
              <w:rPr>
                <w:rFonts w:cs="Segoe UI"/>
                <w:sz w:val="17"/>
                <w:lang w:eastAsia="zh-TW"/>
              </w:rPr>
            </w:pPr>
            <w:r w:rsidRPr="005171C5">
              <w:rPr>
                <w:rFonts w:eastAsia="細明體" w:cs="Segoe UI" w:hint="eastAsia"/>
                <w:sz w:val="17"/>
                <w:lang w:eastAsia="zh-TW"/>
              </w:rPr>
              <w:t>固定。認可機構如就信用風險使用基礎</w:t>
            </w:r>
            <w:r w:rsidRPr="005171C5">
              <w:rPr>
                <w:rFonts w:eastAsia="細明體" w:cs="Segoe UI"/>
                <w:sz w:val="17"/>
                <w:lang w:eastAsia="zh-TW"/>
              </w:rPr>
              <w:t>IRB</w:t>
            </w:r>
            <w:r w:rsidRPr="005171C5">
              <w:rPr>
                <w:rFonts w:eastAsia="細明體" w:cs="Segoe UI" w:hint="eastAsia"/>
                <w:sz w:val="17"/>
                <w:lang w:eastAsia="zh-TW"/>
              </w:rPr>
              <w:t>計算法及高級</w:t>
            </w:r>
            <w:r w:rsidRPr="005171C5">
              <w:rPr>
                <w:rFonts w:eastAsia="細明體" w:cs="Segoe UI"/>
                <w:sz w:val="17"/>
                <w:lang w:eastAsia="zh-TW"/>
              </w:rPr>
              <w:t>IRB</w:t>
            </w:r>
            <w:r w:rsidRPr="005171C5">
              <w:rPr>
                <w:rFonts w:eastAsia="細明體" w:cs="Segoe UI" w:hint="eastAsia"/>
                <w:sz w:val="17"/>
                <w:lang w:eastAsia="zh-TW"/>
              </w:rPr>
              <w:t>計算法計算，則應在不同模版披露該兩種計算法。就所採用的每種</w:t>
            </w:r>
            <w:r w:rsidRPr="005171C5">
              <w:rPr>
                <w:rFonts w:eastAsia="細明體" w:cs="Segoe UI"/>
                <w:sz w:val="17"/>
                <w:lang w:eastAsia="zh-TW"/>
              </w:rPr>
              <w:t>IRB</w:t>
            </w:r>
            <w:r w:rsidRPr="005171C5">
              <w:rPr>
                <w:rFonts w:eastAsia="細明體" w:cs="Segoe UI" w:hint="eastAsia"/>
                <w:sz w:val="17"/>
                <w:lang w:eastAsia="zh-TW"/>
              </w:rPr>
              <w:t>計算法而言，認可機構應按以下主要</w:t>
            </w:r>
            <w:r w:rsidRPr="005171C5">
              <w:rPr>
                <w:rFonts w:eastAsia="細明體" w:cs="Segoe UI"/>
                <w:sz w:val="17"/>
                <w:lang w:eastAsia="zh-TW"/>
              </w:rPr>
              <w:t>IRB</w:t>
            </w:r>
            <w:r w:rsidRPr="005171C5">
              <w:rPr>
                <w:rFonts w:eastAsia="細明體" w:cs="Segoe UI" w:hint="eastAsia"/>
                <w:sz w:val="17"/>
                <w:lang w:eastAsia="zh-TW"/>
              </w:rPr>
              <w:t>類別披露須使用</w:t>
            </w:r>
            <w:r w:rsidRPr="005171C5">
              <w:rPr>
                <w:rFonts w:eastAsia="細明體" w:cs="Segoe UI"/>
                <w:sz w:val="17"/>
                <w:lang w:eastAsia="zh-TW"/>
              </w:rPr>
              <w:t>IRB</w:t>
            </w:r>
            <w:r w:rsidRPr="005171C5">
              <w:rPr>
                <w:rFonts w:eastAsia="細明體" w:cs="Segoe UI" w:hint="eastAsia"/>
                <w:sz w:val="17"/>
                <w:lang w:eastAsia="zh-TW"/>
              </w:rPr>
              <w:t>計算法的組合種類（與《資本規則》所用的分類相符）：</w:t>
            </w:r>
            <w:r w:rsidRPr="005171C5">
              <w:rPr>
                <w:rFonts w:eastAsia="細明體" w:cs="Segoe UI"/>
                <w:sz w:val="17"/>
                <w:lang w:eastAsia="zh-TW"/>
              </w:rPr>
              <w:t>(</w:t>
            </w:r>
            <w:proofErr w:type="spellStart"/>
            <w:r w:rsidRPr="005171C5">
              <w:rPr>
                <w:rFonts w:eastAsia="細明體" w:cs="Segoe UI"/>
                <w:sz w:val="17"/>
                <w:lang w:eastAsia="zh-TW"/>
              </w:rPr>
              <w:t>i</w:t>
            </w:r>
            <w:proofErr w:type="spellEnd"/>
            <w:r w:rsidRPr="005171C5">
              <w:rPr>
                <w:rFonts w:eastAsia="細明體" w:cs="Segoe UI"/>
                <w:sz w:val="17"/>
                <w:lang w:eastAsia="zh-TW"/>
              </w:rPr>
              <w:t>)</w:t>
            </w:r>
            <w:r w:rsidRPr="005171C5">
              <w:rPr>
                <w:rFonts w:eastAsia="細明體" w:cs="Segoe UI" w:hint="eastAsia"/>
                <w:sz w:val="17"/>
                <w:lang w:eastAsia="zh-TW"/>
              </w:rPr>
              <w:t xml:space="preserve"> </w:t>
            </w:r>
            <w:r w:rsidRPr="005171C5">
              <w:rPr>
                <w:rFonts w:eastAsia="細明體" w:cs="Segoe UI" w:hint="eastAsia"/>
                <w:sz w:val="17"/>
                <w:lang w:eastAsia="zh-TW"/>
              </w:rPr>
              <w:t>官方實體；</w:t>
            </w:r>
            <w:r w:rsidRPr="005171C5">
              <w:rPr>
                <w:rFonts w:eastAsia="細明體" w:cs="Segoe UI"/>
                <w:sz w:val="17"/>
                <w:lang w:eastAsia="zh-TW"/>
              </w:rPr>
              <w:t>(ii)</w:t>
            </w:r>
            <w:r w:rsidRPr="005171C5">
              <w:rPr>
                <w:rFonts w:eastAsia="細明體" w:cs="Segoe UI" w:hint="eastAsia"/>
                <w:sz w:val="17"/>
                <w:lang w:eastAsia="zh-TW"/>
              </w:rPr>
              <w:t xml:space="preserve"> </w:t>
            </w:r>
            <w:r w:rsidRPr="005171C5">
              <w:rPr>
                <w:rFonts w:eastAsia="細明體" w:cs="Segoe UI" w:hint="eastAsia"/>
                <w:sz w:val="17"/>
                <w:lang w:eastAsia="zh-TW"/>
              </w:rPr>
              <w:t>銀行；</w:t>
            </w:r>
            <w:r w:rsidRPr="005171C5">
              <w:rPr>
                <w:rFonts w:eastAsia="細明體" w:cs="Segoe UI"/>
                <w:sz w:val="17"/>
                <w:lang w:eastAsia="zh-TW"/>
              </w:rPr>
              <w:t>(iii)</w:t>
            </w:r>
            <w:r w:rsidRPr="005171C5">
              <w:rPr>
                <w:rFonts w:eastAsia="細明體" w:cs="Segoe UI" w:hint="eastAsia"/>
                <w:sz w:val="17"/>
                <w:lang w:eastAsia="zh-TW"/>
              </w:rPr>
              <w:t xml:space="preserve"> </w:t>
            </w:r>
            <w:r w:rsidRPr="005171C5">
              <w:rPr>
                <w:rFonts w:eastAsia="細明體" w:cs="Segoe UI" w:hint="eastAsia"/>
                <w:sz w:val="17"/>
                <w:lang w:eastAsia="zh-TW"/>
              </w:rPr>
              <w:t>法團；及</w:t>
            </w:r>
            <w:r w:rsidRPr="005171C5">
              <w:rPr>
                <w:rFonts w:eastAsia="細明體" w:cs="Segoe UI"/>
                <w:sz w:val="17"/>
                <w:lang w:eastAsia="zh-TW"/>
              </w:rPr>
              <w:t>(iv)</w:t>
            </w:r>
            <w:r w:rsidRPr="005171C5">
              <w:rPr>
                <w:rFonts w:eastAsia="細明體" w:cs="Segoe UI" w:hint="eastAsia"/>
                <w:sz w:val="17"/>
                <w:lang w:eastAsia="zh-TW"/>
              </w:rPr>
              <w:t xml:space="preserve"> </w:t>
            </w:r>
            <w:r w:rsidRPr="005171C5">
              <w:rPr>
                <w:rFonts w:eastAsia="細明體" w:cs="Segoe UI" w:hint="eastAsia"/>
                <w:sz w:val="17"/>
                <w:lang w:eastAsia="zh-TW"/>
              </w:rPr>
              <w:t>零售。按上述</w:t>
            </w:r>
            <w:r w:rsidRPr="005171C5">
              <w:rPr>
                <w:rFonts w:eastAsia="細明體" w:cs="Segoe UI" w:hint="eastAsia"/>
                <w:sz w:val="17"/>
                <w:lang w:eastAsia="zh-TW"/>
              </w:rPr>
              <w:t>(</w:t>
            </w:r>
            <w:proofErr w:type="spellStart"/>
            <w:r w:rsidRPr="005171C5">
              <w:rPr>
                <w:rFonts w:eastAsia="細明體" w:cs="Segoe UI"/>
                <w:sz w:val="17"/>
                <w:lang w:eastAsia="zh-TW"/>
              </w:rPr>
              <w:t>i</w:t>
            </w:r>
            <w:proofErr w:type="spellEnd"/>
            <w:r w:rsidRPr="005171C5">
              <w:rPr>
                <w:rFonts w:eastAsia="細明體" w:cs="Segoe UI" w:hint="eastAsia"/>
                <w:sz w:val="17"/>
                <w:lang w:eastAsia="zh-TW"/>
              </w:rPr>
              <w:t>)</w:t>
            </w:r>
            <w:r w:rsidRPr="005171C5">
              <w:rPr>
                <w:rFonts w:eastAsia="細明體" w:cs="Segoe UI" w:hint="eastAsia"/>
                <w:sz w:val="17"/>
                <w:lang w:eastAsia="zh-TW"/>
              </w:rPr>
              <w:t>至</w:t>
            </w:r>
            <w:r w:rsidRPr="005171C5">
              <w:rPr>
                <w:rFonts w:eastAsia="細明體" w:cs="Segoe UI" w:hint="eastAsia"/>
                <w:sz w:val="17"/>
                <w:lang w:eastAsia="zh-TW"/>
              </w:rPr>
              <w:t>(</w:t>
            </w:r>
            <w:r w:rsidRPr="005171C5">
              <w:rPr>
                <w:rFonts w:eastAsia="細明體" w:cs="Segoe UI"/>
                <w:sz w:val="17"/>
                <w:lang w:eastAsia="zh-TW"/>
              </w:rPr>
              <w:t>iv</w:t>
            </w:r>
            <w:r w:rsidRPr="005171C5">
              <w:rPr>
                <w:rFonts w:eastAsia="細明體" w:cs="Segoe UI" w:hint="eastAsia"/>
                <w:sz w:val="17"/>
                <w:lang w:eastAsia="zh-TW"/>
              </w:rPr>
              <w:t>)</w:t>
            </w:r>
            <w:r w:rsidRPr="005171C5">
              <w:rPr>
                <w:rFonts w:eastAsia="細明體" w:cs="Segoe UI" w:hint="eastAsia"/>
                <w:sz w:val="17"/>
                <w:lang w:eastAsia="zh-TW"/>
              </w:rPr>
              <w:t>的每種</w:t>
            </w:r>
            <w:r w:rsidRPr="005171C5">
              <w:rPr>
                <w:rFonts w:eastAsia="細明體" w:cs="Segoe UI"/>
                <w:sz w:val="17"/>
                <w:lang w:eastAsia="zh-TW"/>
              </w:rPr>
              <w:t>IRB</w:t>
            </w:r>
            <w:r w:rsidRPr="005171C5">
              <w:rPr>
                <w:rFonts w:eastAsia="細明體" w:cs="Segoe UI" w:hint="eastAsia"/>
                <w:sz w:val="17"/>
                <w:lang w:eastAsia="zh-TW"/>
              </w:rPr>
              <w:t>類別，將下表劃分為不同部分</w:t>
            </w:r>
            <w:r w:rsidRPr="005171C5">
              <w:rPr>
                <w:rFonts w:eastAsia="細明體" w:cs="Segoe UI" w:hint="eastAsia"/>
                <w:sz w:val="17"/>
                <w:szCs w:val="17"/>
                <w:lang w:eastAsia="zh-TW"/>
              </w:rPr>
              <w:t>，並且於每一分部填報一種</w:t>
            </w:r>
            <w:r w:rsidRPr="005171C5">
              <w:rPr>
                <w:rFonts w:eastAsia="細明體" w:cs="Segoe UI"/>
                <w:sz w:val="17"/>
                <w:szCs w:val="17"/>
                <w:lang w:eastAsia="zh-TW"/>
              </w:rPr>
              <w:t>IRB</w:t>
            </w:r>
            <w:r w:rsidRPr="005171C5">
              <w:rPr>
                <w:rFonts w:eastAsia="細明體" w:cs="Segoe UI" w:hint="eastAsia"/>
                <w:sz w:val="17"/>
                <w:szCs w:val="17"/>
                <w:lang w:eastAsia="zh-TW"/>
              </w:rPr>
              <w:t>類別</w:t>
            </w:r>
            <w:r w:rsidRPr="005171C5">
              <w:rPr>
                <w:rFonts w:eastAsia="細明體" w:cs="Segoe UI" w:hint="eastAsia"/>
                <w:sz w:val="17"/>
                <w:lang w:eastAsia="zh-TW"/>
              </w:rPr>
              <w:t>。</w:t>
            </w:r>
          </w:p>
        </w:tc>
      </w:tr>
      <w:tr w:rsidR="005171C5" w:rsidRPr="005171C5" w14:paraId="4C726E59" w14:textId="77777777" w:rsidTr="005171C5">
        <w:tc>
          <w:tcPr>
            <w:tcW w:w="2127" w:type="dxa"/>
            <w:tcBorders>
              <w:top w:val="single" w:sz="4" w:space="0" w:color="000000"/>
              <w:bottom w:val="single" w:sz="4" w:space="0" w:color="000000"/>
            </w:tcBorders>
            <w:shd w:val="clear" w:color="auto" w:fill="auto"/>
          </w:tcPr>
          <w:p w14:paraId="57B5CFC5" w14:textId="77777777" w:rsidR="005171C5" w:rsidRPr="005171C5" w:rsidRDefault="005171C5" w:rsidP="005171C5">
            <w:pPr>
              <w:spacing w:before="40" w:after="40" w:line="259" w:lineRule="auto"/>
              <w:rPr>
                <w:rFonts w:ascii="Calibri" w:eastAsia="細明體" w:hAnsi="Calibri"/>
                <w:sz w:val="22"/>
                <w:szCs w:val="17"/>
                <w:lang w:eastAsia="zh-CN"/>
              </w:rPr>
            </w:pPr>
            <w:r w:rsidRPr="005171C5">
              <w:rPr>
                <w:rFonts w:ascii="Calibri" w:eastAsia="細明體" w:hAnsi="Calibri" w:hint="eastAsia"/>
                <w:b/>
                <w:sz w:val="17"/>
                <w:szCs w:val="17"/>
                <w:lang w:eastAsia="zh-CN"/>
              </w:rPr>
              <w:t>附加說明：</w:t>
            </w:r>
          </w:p>
        </w:tc>
        <w:tc>
          <w:tcPr>
            <w:tcW w:w="11765" w:type="dxa"/>
            <w:tcBorders>
              <w:top w:val="single" w:sz="4" w:space="0" w:color="000000"/>
              <w:left w:val="single" w:sz="4" w:space="0" w:color="000000"/>
              <w:bottom w:val="single" w:sz="4" w:space="0" w:color="000000"/>
            </w:tcBorders>
            <w:shd w:val="clear" w:color="auto" w:fill="auto"/>
          </w:tcPr>
          <w:p w14:paraId="74F09433" w14:textId="48566514" w:rsidR="005171C5" w:rsidRPr="005171C5" w:rsidRDefault="005171C5" w:rsidP="00146821">
            <w:pPr>
              <w:suppressAutoHyphens/>
              <w:spacing w:before="40" w:after="40"/>
              <w:jc w:val="both"/>
              <w:rPr>
                <w:rFonts w:cs="Segoe UI"/>
                <w:sz w:val="17"/>
                <w:lang w:eastAsia="zh-TW"/>
              </w:rPr>
            </w:pPr>
            <w:r w:rsidRPr="005171C5">
              <w:rPr>
                <w:rFonts w:eastAsia="細明體" w:cs="Segoe UI" w:hint="eastAsia"/>
                <w:sz w:val="17"/>
                <w:szCs w:val="17"/>
                <w:lang w:eastAsia="zh-TW"/>
              </w:rPr>
              <w:t>認可機構應以敘述評</w:t>
            </w:r>
            <w:proofErr w:type="gramStart"/>
            <w:r w:rsidRPr="005171C5">
              <w:rPr>
                <w:rFonts w:eastAsia="細明體" w:cs="Segoe UI" w:hint="eastAsia"/>
                <w:sz w:val="17"/>
                <w:szCs w:val="17"/>
                <w:lang w:eastAsia="zh-TW"/>
              </w:rPr>
              <w:t>註</w:t>
            </w:r>
            <w:proofErr w:type="gramEnd"/>
            <w:r w:rsidRPr="005171C5">
              <w:rPr>
                <w:rFonts w:eastAsia="細明體" w:cs="Segoe UI" w:hint="eastAsia"/>
                <w:sz w:val="17"/>
                <w:szCs w:val="17"/>
                <w:lang w:eastAsia="zh-TW"/>
              </w:rPr>
              <w:t>闡明現行報告期內的任何重大</w:t>
            </w:r>
            <w:r w:rsidR="00146821" w:rsidRPr="00146821">
              <w:rPr>
                <w:rFonts w:eastAsia="細明體" w:cs="Segoe UI" w:hint="eastAsia"/>
                <w:sz w:val="17"/>
                <w:szCs w:val="17"/>
                <w:lang w:eastAsia="zh-TW"/>
              </w:rPr>
              <w:t>改</w:t>
            </w:r>
            <w:r w:rsidRPr="005171C5">
              <w:rPr>
                <w:rFonts w:eastAsia="細明體" w:cs="Segoe UI" w:hint="eastAsia"/>
                <w:sz w:val="17"/>
                <w:szCs w:val="17"/>
                <w:lang w:eastAsia="zh-TW"/>
              </w:rPr>
              <w:t>變及引致該等</w:t>
            </w:r>
            <w:r w:rsidR="00146821" w:rsidRPr="00146821">
              <w:rPr>
                <w:rFonts w:eastAsia="細明體" w:cs="Segoe UI" w:hint="eastAsia"/>
                <w:sz w:val="17"/>
                <w:szCs w:val="17"/>
                <w:lang w:eastAsia="zh-TW"/>
              </w:rPr>
              <w:t>改</w:t>
            </w:r>
            <w:r w:rsidRPr="005171C5">
              <w:rPr>
                <w:rFonts w:eastAsia="細明體" w:cs="Segoe UI" w:hint="eastAsia"/>
                <w:sz w:val="17"/>
                <w:szCs w:val="17"/>
                <w:lang w:eastAsia="zh-TW"/>
              </w:rPr>
              <w:t>變的主要驅動因素，以</w:t>
            </w:r>
            <w:proofErr w:type="gramStart"/>
            <w:r w:rsidRPr="005171C5">
              <w:rPr>
                <w:rFonts w:eastAsia="細明體" w:cs="Segoe UI" w:hint="eastAsia"/>
                <w:sz w:val="17"/>
                <w:szCs w:val="17"/>
                <w:lang w:eastAsia="zh-TW"/>
              </w:rPr>
              <w:t>補充本模版</w:t>
            </w:r>
            <w:proofErr w:type="gramEnd"/>
            <w:r w:rsidRPr="005171C5">
              <w:rPr>
                <w:rFonts w:eastAsia="細明體" w:cs="Segoe UI" w:hint="eastAsia"/>
                <w:sz w:val="17"/>
                <w:szCs w:val="17"/>
                <w:lang w:eastAsia="zh-TW"/>
              </w:rPr>
              <w:t>。</w:t>
            </w:r>
          </w:p>
        </w:tc>
      </w:tr>
      <w:tr w:rsidR="005171C5" w:rsidRPr="005171C5" w14:paraId="2044B23E" w14:textId="77777777" w:rsidTr="005171C5">
        <w:tc>
          <w:tcPr>
            <w:tcW w:w="2127" w:type="dxa"/>
            <w:tcBorders>
              <w:top w:val="single" w:sz="4" w:space="0" w:color="000000"/>
              <w:bottom w:val="single" w:sz="4" w:space="0" w:color="000000"/>
            </w:tcBorders>
            <w:shd w:val="clear" w:color="auto" w:fill="auto"/>
          </w:tcPr>
          <w:p w14:paraId="5D00360E" w14:textId="77777777" w:rsidR="005171C5" w:rsidRPr="005171C5" w:rsidRDefault="005171C5" w:rsidP="005171C5">
            <w:pPr>
              <w:spacing w:before="40" w:after="40" w:line="259" w:lineRule="auto"/>
              <w:rPr>
                <w:rFonts w:ascii="Calibri" w:eastAsia="細明體" w:hAnsi="Calibri"/>
                <w:sz w:val="22"/>
                <w:szCs w:val="17"/>
                <w:lang w:eastAsia="zh-TW"/>
              </w:rPr>
            </w:pPr>
            <w:r w:rsidRPr="005171C5">
              <w:rPr>
                <w:rFonts w:ascii="Calibri" w:eastAsia="細明體" w:hAnsi="Calibri" w:hint="eastAsia"/>
                <w:b/>
                <w:sz w:val="17"/>
                <w:szCs w:val="17"/>
                <w:lang w:eastAsia="zh-TW"/>
              </w:rPr>
              <w:t>《披露規則》相應條文：</w:t>
            </w:r>
          </w:p>
        </w:tc>
        <w:tc>
          <w:tcPr>
            <w:tcW w:w="11765" w:type="dxa"/>
            <w:tcBorders>
              <w:top w:val="single" w:sz="4" w:space="0" w:color="000000"/>
              <w:left w:val="single" w:sz="4" w:space="0" w:color="000000"/>
              <w:bottom w:val="single" w:sz="4" w:space="0" w:color="000000"/>
            </w:tcBorders>
            <w:shd w:val="clear" w:color="auto" w:fill="auto"/>
          </w:tcPr>
          <w:p w14:paraId="6C269C3D" w14:textId="77777777" w:rsidR="005171C5" w:rsidRPr="005171C5" w:rsidRDefault="005171C5" w:rsidP="005171C5">
            <w:pPr>
              <w:suppressAutoHyphens/>
              <w:spacing w:before="40" w:after="40"/>
              <w:jc w:val="both"/>
              <w:rPr>
                <w:rFonts w:cs="Segoe UI"/>
                <w:sz w:val="17"/>
                <w:lang w:eastAsia="ar-SA"/>
              </w:rPr>
            </w:pPr>
            <w:r w:rsidRPr="005171C5">
              <w:rPr>
                <w:rFonts w:eastAsia="細明體" w:cs="Segoe UI"/>
                <w:sz w:val="17"/>
                <w:szCs w:val="17"/>
                <w:lang w:eastAsia="ar-SA"/>
              </w:rPr>
              <w:t>16Z</w:t>
            </w:r>
          </w:p>
        </w:tc>
      </w:tr>
    </w:tbl>
    <w:p w14:paraId="0676C586" w14:textId="0D3313C4" w:rsidR="005171C5" w:rsidRDefault="005171C5" w:rsidP="00746E0A">
      <w:pPr>
        <w:spacing w:before="120" w:after="40" w:line="259" w:lineRule="auto"/>
        <w:rPr>
          <w:rFonts w:ascii="Calibri" w:eastAsia="細明體" w:hAnsi="Calibri"/>
          <w:sz w:val="22"/>
          <w:szCs w:val="22"/>
          <w:lang w:eastAsia="zh-CN"/>
        </w:rPr>
      </w:pPr>
    </w:p>
    <w:p w14:paraId="7B8A0836" w14:textId="4C85B16F" w:rsidR="00746E0A" w:rsidRDefault="00746E0A" w:rsidP="005171C5">
      <w:pPr>
        <w:spacing w:before="40" w:after="40" w:line="259" w:lineRule="auto"/>
        <w:rPr>
          <w:rFonts w:ascii="Calibri" w:eastAsia="細明體" w:hAnsi="Calibri"/>
          <w:sz w:val="22"/>
          <w:szCs w:val="22"/>
          <w:lang w:eastAsia="zh-CN"/>
        </w:rPr>
      </w:pPr>
    </w:p>
    <w:p w14:paraId="3FF4CE55" w14:textId="42DFA250" w:rsidR="00746E0A" w:rsidRDefault="00746E0A" w:rsidP="005171C5">
      <w:pPr>
        <w:spacing w:before="40" w:after="40" w:line="259" w:lineRule="auto"/>
        <w:rPr>
          <w:rFonts w:ascii="Calibri" w:eastAsia="細明體" w:hAnsi="Calibri"/>
          <w:sz w:val="22"/>
          <w:szCs w:val="22"/>
          <w:lang w:eastAsia="zh-CN"/>
        </w:rPr>
      </w:pPr>
    </w:p>
    <w:p w14:paraId="1862B254" w14:textId="654725AC" w:rsidR="00746E0A" w:rsidRDefault="00746E0A" w:rsidP="005171C5">
      <w:pPr>
        <w:spacing w:before="40" w:after="40" w:line="259" w:lineRule="auto"/>
        <w:rPr>
          <w:rFonts w:ascii="Calibri" w:eastAsia="細明體" w:hAnsi="Calibri"/>
          <w:sz w:val="22"/>
          <w:szCs w:val="22"/>
          <w:lang w:eastAsia="zh-CN"/>
        </w:rPr>
      </w:pPr>
    </w:p>
    <w:p w14:paraId="393713AC" w14:textId="747A73F7" w:rsidR="00746E0A" w:rsidRDefault="00746E0A" w:rsidP="005171C5">
      <w:pPr>
        <w:spacing w:before="40" w:after="40" w:line="259" w:lineRule="auto"/>
        <w:rPr>
          <w:rFonts w:ascii="Calibri" w:eastAsia="細明體" w:hAnsi="Calibri"/>
          <w:sz w:val="22"/>
          <w:szCs w:val="22"/>
          <w:lang w:eastAsia="zh-CN"/>
        </w:rPr>
      </w:pPr>
    </w:p>
    <w:p w14:paraId="2DB6ED17" w14:textId="77777777" w:rsidR="00746E0A" w:rsidRPr="005171C5" w:rsidRDefault="00746E0A" w:rsidP="005171C5">
      <w:pPr>
        <w:spacing w:before="40" w:after="40" w:line="259" w:lineRule="auto"/>
        <w:rPr>
          <w:rFonts w:ascii="Calibri" w:eastAsia="細明體" w:hAnsi="Calibri"/>
          <w:sz w:val="22"/>
          <w:szCs w:val="22"/>
          <w:lang w:eastAsia="zh-CN"/>
        </w:rPr>
      </w:pPr>
    </w:p>
    <w:tbl>
      <w:tblPr>
        <w:tblW w:w="0" w:type="auto"/>
        <w:tblInd w:w="108" w:type="dxa"/>
        <w:tblLayout w:type="fixed"/>
        <w:tblLook w:val="0000" w:firstRow="0" w:lastRow="0" w:firstColumn="0" w:lastColumn="0" w:noHBand="0" w:noVBand="0"/>
      </w:tblPr>
      <w:tblGrid>
        <w:gridCol w:w="1276"/>
        <w:gridCol w:w="1701"/>
        <w:gridCol w:w="1802"/>
        <w:gridCol w:w="1519"/>
        <w:gridCol w:w="1519"/>
        <w:gridCol w:w="1518"/>
        <w:gridCol w:w="1519"/>
        <w:gridCol w:w="1519"/>
        <w:gridCol w:w="1539"/>
      </w:tblGrid>
      <w:tr w:rsidR="005171C5" w:rsidRPr="005171C5" w14:paraId="165A030A" w14:textId="77777777" w:rsidTr="00EE39F2">
        <w:trPr>
          <w:trHeight w:val="69"/>
          <w:tblHeader/>
        </w:trPr>
        <w:tc>
          <w:tcPr>
            <w:tcW w:w="1276" w:type="dxa"/>
            <w:shd w:val="clear" w:color="auto" w:fill="auto"/>
          </w:tcPr>
          <w:p w14:paraId="158466B8" w14:textId="77777777" w:rsidR="005171C5" w:rsidRPr="005171C5" w:rsidRDefault="005171C5" w:rsidP="00EE39F2">
            <w:pPr>
              <w:snapToGrid w:val="0"/>
              <w:spacing w:line="259" w:lineRule="auto"/>
              <w:jc w:val="center"/>
              <w:rPr>
                <w:rFonts w:ascii="Calibri" w:eastAsia="細明體" w:hAnsi="Calibri"/>
                <w:b/>
                <w:sz w:val="16"/>
                <w:szCs w:val="16"/>
                <w:lang w:eastAsia="zh-CN"/>
              </w:rPr>
            </w:pPr>
          </w:p>
        </w:tc>
        <w:tc>
          <w:tcPr>
            <w:tcW w:w="1701" w:type="dxa"/>
            <w:vMerge w:val="restart"/>
            <w:tcBorders>
              <w:top w:val="single" w:sz="4" w:space="0" w:color="000000"/>
              <w:left w:val="single" w:sz="4" w:space="0" w:color="000000"/>
            </w:tcBorders>
            <w:shd w:val="clear" w:color="auto" w:fill="auto"/>
            <w:vAlign w:val="center"/>
          </w:tcPr>
          <w:p w14:paraId="13656DCC" w14:textId="35707D11"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PD</w:t>
            </w:r>
            <w:r w:rsidRPr="005171C5">
              <w:rPr>
                <w:rFonts w:ascii="Calibri" w:eastAsia="細明體" w:hAnsi="Calibri" w:hint="eastAsia"/>
                <w:sz w:val="16"/>
                <w:szCs w:val="16"/>
                <w:lang w:eastAsia="zh-CN"/>
              </w:rPr>
              <w:t>等級</w:t>
            </w:r>
          </w:p>
        </w:tc>
        <w:tc>
          <w:tcPr>
            <w:tcW w:w="1802" w:type="dxa"/>
            <w:tcBorders>
              <w:top w:val="single" w:sz="4" w:space="0" w:color="000000"/>
              <w:left w:val="single" w:sz="4" w:space="0" w:color="000000"/>
              <w:bottom w:val="single" w:sz="4" w:space="0" w:color="000000"/>
            </w:tcBorders>
            <w:shd w:val="clear" w:color="auto" w:fill="auto"/>
          </w:tcPr>
          <w:p w14:paraId="3531F37E"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(a)</w:t>
            </w:r>
          </w:p>
        </w:tc>
        <w:tc>
          <w:tcPr>
            <w:tcW w:w="1519" w:type="dxa"/>
            <w:tcBorders>
              <w:top w:val="single" w:sz="4" w:space="0" w:color="000000"/>
              <w:left w:val="single" w:sz="4" w:space="0" w:color="000000"/>
              <w:bottom w:val="single" w:sz="4" w:space="0" w:color="000000"/>
            </w:tcBorders>
            <w:shd w:val="clear" w:color="auto" w:fill="auto"/>
            <w:vAlign w:val="center"/>
          </w:tcPr>
          <w:p w14:paraId="5856EE15"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(b)</w:t>
            </w:r>
          </w:p>
        </w:tc>
        <w:tc>
          <w:tcPr>
            <w:tcW w:w="1519" w:type="dxa"/>
            <w:tcBorders>
              <w:top w:val="single" w:sz="4" w:space="0" w:color="000000"/>
              <w:left w:val="single" w:sz="4" w:space="0" w:color="000000"/>
              <w:bottom w:val="single" w:sz="4" w:space="0" w:color="000000"/>
            </w:tcBorders>
            <w:shd w:val="clear" w:color="auto" w:fill="auto"/>
          </w:tcPr>
          <w:p w14:paraId="19F87625"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(c)</w:t>
            </w:r>
          </w:p>
        </w:tc>
        <w:tc>
          <w:tcPr>
            <w:tcW w:w="1518" w:type="dxa"/>
            <w:tcBorders>
              <w:top w:val="single" w:sz="4" w:space="0" w:color="000000"/>
              <w:left w:val="single" w:sz="4" w:space="0" w:color="000000"/>
              <w:bottom w:val="single" w:sz="4" w:space="0" w:color="000000"/>
            </w:tcBorders>
            <w:shd w:val="clear" w:color="auto" w:fill="auto"/>
          </w:tcPr>
          <w:p w14:paraId="6BD92D19"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(d)</w:t>
            </w:r>
          </w:p>
        </w:tc>
        <w:tc>
          <w:tcPr>
            <w:tcW w:w="1519" w:type="dxa"/>
            <w:tcBorders>
              <w:top w:val="single" w:sz="4" w:space="0" w:color="000000"/>
              <w:left w:val="single" w:sz="4" w:space="0" w:color="000000"/>
              <w:bottom w:val="single" w:sz="4" w:space="0" w:color="000000"/>
            </w:tcBorders>
            <w:shd w:val="clear" w:color="auto" w:fill="auto"/>
            <w:vAlign w:val="center"/>
          </w:tcPr>
          <w:p w14:paraId="05A4191D"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(e)</w:t>
            </w:r>
          </w:p>
        </w:tc>
        <w:tc>
          <w:tcPr>
            <w:tcW w:w="1519" w:type="dxa"/>
            <w:tcBorders>
              <w:top w:val="single" w:sz="4" w:space="0" w:color="000000"/>
              <w:left w:val="single" w:sz="4" w:space="0" w:color="000000"/>
              <w:bottom w:val="single" w:sz="4" w:space="0" w:color="000000"/>
            </w:tcBorders>
            <w:shd w:val="clear" w:color="auto" w:fill="auto"/>
          </w:tcPr>
          <w:p w14:paraId="036418EC"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(f)</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321CCFBB" w14:textId="77777777" w:rsidR="005171C5" w:rsidRPr="005171C5" w:rsidRDefault="005171C5" w:rsidP="00EE39F2">
            <w:pPr>
              <w:snapToGrid w:val="0"/>
              <w:spacing w:line="259" w:lineRule="auto"/>
              <w:jc w:val="center"/>
              <w:rPr>
                <w:rFonts w:ascii="Calibri" w:eastAsia="新細明體" w:hAnsi="Calibri"/>
                <w:sz w:val="22"/>
                <w:szCs w:val="22"/>
                <w:lang w:eastAsia="zh-CN"/>
              </w:rPr>
            </w:pPr>
            <w:r w:rsidRPr="005171C5">
              <w:rPr>
                <w:rFonts w:ascii="Calibri" w:eastAsia="細明體" w:hAnsi="Calibri"/>
                <w:sz w:val="16"/>
                <w:szCs w:val="16"/>
                <w:lang w:eastAsia="zh-CN"/>
              </w:rPr>
              <w:t>(g)</w:t>
            </w:r>
          </w:p>
        </w:tc>
      </w:tr>
      <w:tr w:rsidR="005171C5" w:rsidRPr="005171C5" w14:paraId="0ED7F843" w14:textId="77777777" w:rsidTr="00EE39F2">
        <w:trPr>
          <w:trHeight w:val="284"/>
          <w:tblHeader/>
        </w:trPr>
        <w:tc>
          <w:tcPr>
            <w:tcW w:w="1276" w:type="dxa"/>
            <w:tcBorders>
              <w:bottom w:val="single" w:sz="4" w:space="0" w:color="000000"/>
            </w:tcBorders>
            <w:shd w:val="clear" w:color="auto" w:fill="auto"/>
            <w:vAlign w:val="center"/>
          </w:tcPr>
          <w:p w14:paraId="163362C3" w14:textId="77777777" w:rsidR="005171C5" w:rsidRPr="005171C5" w:rsidRDefault="005171C5" w:rsidP="00EE39F2">
            <w:pPr>
              <w:snapToGrid w:val="0"/>
              <w:spacing w:line="259" w:lineRule="auto"/>
              <w:jc w:val="center"/>
              <w:rPr>
                <w:rFonts w:ascii="Calibri" w:eastAsia="細明體" w:hAnsi="Calibri"/>
                <w:b/>
                <w:sz w:val="16"/>
                <w:szCs w:val="16"/>
                <w:lang w:eastAsia="zh-CN"/>
              </w:rPr>
            </w:pPr>
          </w:p>
        </w:tc>
        <w:tc>
          <w:tcPr>
            <w:tcW w:w="1701" w:type="dxa"/>
            <w:vMerge/>
            <w:tcBorders>
              <w:left w:val="single" w:sz="4" w:space="0" w:color="000000"/>
              <w:bottom w:val="single" w:sz="4" w:space="0" w:color="000000"/>
            </w:tcBorders>
            <w:shd w:val="clear" w:color="auto" w:fill="auto"/>
          </w:tcPr>
          <w:p w14:paraId="4C609B4C" w14:textId="77777777" w:rsidR="005171C5" w:rsidRPr="005171C5" w:rsidRDefault="005171C5" w:rsidP="00EE39F2">
            <w:pPr>
              <w:snapToGrid w:val="0"/>
              <w:spacing w:line="259" w:lineRule="auto"/>
              <w:jc w:val="center"/>
              <w:rPr>
                <w:rFonts w:ascii="Calibri" w:eastAsia="細明體" w:hAnsi="Calibri"/>
                <w:sz w:val="16"/>
                <w:szCs w:val="16"/>
                <w:lang w:eastAsia="zh-CN"/>
              </w:rPr>
            </w:pPr>
          </w:p>
        </w:tc>
        <w:tc>
          <w:tcPr>
            <w:tcW w:w="1802" w:type="dxa"/>
            <w:tcBorders>
              <w:top w:val="single" w:sz="4" w:space="0" w:color="000000"/>
              <w:left w:val="single" w:sz="4" w:space="0" w:color="000000"/>
              <w:bottom w:val="single" w:sz="4" w:space="0" w:color="000000"/>
            </w:tcBorders>
            <w:shd w:val="clear" w:color="auto" w:fill="auto"/>
            <w:vAlign w:val="center"/>
          </w:tcPr>
          <w:p w14:paraId="31327EE3" w14:textId="77777777" w:rsidR="005171C5" w:rsidRPr="005171C5" w:rsidRDefault="005171C5" w:rsidP="00EE39F2">
            <w:pPr>
              <w:snapToGrid w:val="0"/>
              <w:spacing w:line="259" w:lineRule="auto"/>
              <w:jc w:val="center"/>
              <w:rPr>
                <w:rFonts w:ascii="Calibri" w:eastAsia="細明體" w:hAnsi="Calibri"/>
                <w:sz w:val="16"/>
                <w:szCs w:val="16"/>
                <w:lang w:eastAsia="zh-TW"/>
              </w:rPr>
            </w:pPr>
            <w:r w:rsidRPr="005171C5">
              <w:rPr>
                <w:rFonts w:ascii="Calibri" w:eastAsia="細明體" w:hAnsi="Calibri" w:hint="eastAsia"/>
                <w:sz w:val="16"/>
                <w:szCs w:val="16"/>
                <w:lang w:eastAsia="zh-TW"/>
              </w:rPr>
              <w:t>已將減低信用風險措施</w:t>
            </w:r>
            <w:r w:rsidRPr="005171C5">
              <w:rPr>
                <w:rFonts w:ascii="Calibri" w:eastAsia="細明體" w:hAnsi="Calibri" w:hint="eastAsia"/>
                <w:bCs/>
                <w:sz w:val="17"/>
                <w:szCs w:val="17"/>
                <w:lang w:eastAsia="zh-TW"/>
              </w:rPr>
              <w:t>計算在內</w:t>
            </w:r>
            <w:r w:rsidRPr="005171C5">
              <w:rPr>
                <w:rFonts w:ascii="Calibri" w:eastAsia="細明體" w:hAnsi="Calibri" w:hint="eastAsia"/>
                <w:sz w:val="16"/>
                <w:szCs w:val="16"/>
                <w:lang w:eastAsia="zh-TW"/>
              </w:rPr>
              <w:t>的</w:t>
            </w:r>
            <w:r w:rsidRPr="005171C5">
              <w:rPr>
                <w:rFonts w:ascii="Calibri" w:eastAsia="細明體" w:hAnsi="Calibri"/>
                <w:sz w:val="16"/>
                <w:szCs w:val="16"/>
                <w:lang w:eastAsia="zh-TW"/>
              </w:rPr>
              <w:t>EAD</w:t>
            </w:r>
          </w:p>
        </w:tc>
        <w:tc>
          <w:tcPr>
            <w:tcW w:w="1519" w:type="dxa"/>
            <w:tcBorders>
              <w:top w:val="single" w:sz="4" w:space="0" w:color="000000"/>
              <w:left w:val="single" w:sz="4" w:space="0" w:color="000000"/>
              <w:bottom w:val="single" w:sz="4" w:space="0" w:color="000000"/>
            </w:tcBorders>
            <w:shd w:val="clear" w:color="auto" w:fill="auto"/>
            <w:vAlign w:val="center"/>
          </w:tcPr>
          <w:p w14:paraId="793AA0DB"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hint="eastAsia"/>
                <w:sz w:val="16"/>
                <w:szCs w:val="16"/>
                <w:lang w:eastAsia="zh-CN"/>
              </w:rPr>
              <w:t>平均</w:t>
            </w:r>
            <w:r w:rsidRPr="005171C5">
              <w:rPr>
                <w:rFonts w:ascii="Calibri" w:eastAsia="細明體" w:hAnsi="Calibri"/>
                <w:sz w:val="16"/>
                <w:szCs w:val="16"/>
                <w:lang w:eastAsia="zh-CN"/>
              </w:rPr>
              <w:t>PD</w:t>
            </w:r>
          </w:p>
        </w:tc>
        <w:tc>
          <w:tcPr>
            <w:tcW w:w="1519" w:type="dxa"/>
            <w:tcBorders>
              <w:top w:val="single" w:sz="4" w:space="0" w:color="000000"/>
              <w:left w:val="single" w:sz="4" w:space="0" w:color="000000"/>
              <w:bottom w:val="single" w:sz="4" w:space="0" w:color="000000"/>
            </w:tcBorders>
            <w:shd w:val="clear" w:color="auto" w:fill="auto"/>
            <w:vAlign w:val="center"/>
          </w:tcPr>
          <w:p w14:paraId="5939DBF5"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hint="eastAsia"/>
                <w:sz w:val="16"/>
                <w:szCs w:val="16"/>
                <w:lang w:eastAsia="zh-CN"/>
              </w:rPr>
              <w:t>承</w:t>
            </w:r>
            <w:proofErr w:type="gramStart"/>
            <w:r w:rsidRPr="005171C5">
              <w:rPr>
                <w:rFonts w:ascii="Calibri" w:eastAsia="細明體" w:hAnsi="Calibri" w:hint="eastAsia"/>
                <w:sz w:val="16"/>
                <w:szCs w:val="16"/>
                <w:lang w:eastAsia="zh-CN"/>
              </w:rPr>
              <w:t>擔</w:t>
            </w:r>
            <w:proofErr w:type="gramEnd"/>
            <w:r w:rsidRPr="005171C5">
              <w:rPr>
                <w:rFonts w:ascii="Calibri" w:eastAsia="細明體" w:hAnsi="Calibri" w:hint="eastAsia"/>
                <w:sz w:val="16"/>
                <w:szCs w:val="16"/>
                <w:lang w:eastAsia="zh-CN"/>
              </w:rPr>
              <w:t>義</w:t>
            </w:r>
            <w:proofErr w:type="gramStart"/>
            <w:r w:rsidRPr="005171C5">
              <w:rPr>
                <w:rFonts w:ascii="Calibri" w:eastAsia="細明體" w:hAnsi="Calibri" w:hint="eastAsia"/>
                <w:sz w:val="16"/>
                <w:szCs w:val="16"/>
                <w:lang w:eastAsia="zh-CN"/>
              </w:rPr>
              <w:t>務</w:t>
            </w:r>
            <w:proofErr w:type="gramEnd"/>
            <w:r w:rsidRPr="005171C5">
              <w:rPr>
                <w:rFonts w:ascii="Calibri" w:eastAsia="細明體" w:hAnsi="Calibri" w:hint="eastAsia"/>
                <w:sz w:val="16"/>
                <w:szCs w:val="16"/>
                <w:lang w:eastAsia="zh-CN"/>
              </w:rPr>
              <w:t>人</w:t>
            </w:r>
            <w:proofErr w:type="gramStart"/>
            <w:r w:rsidRPr="005171C5">
              <w:rPr>
                <w:rFonts w:ascii="Calibri" w:eastAsia="細明體" w:hAnsi="Calibri" w:hint="eastAsia"/>
                <w:sz w:val="16"/>
                <w:szCs w:val="16"/>
                <w:lang w:eastAsia="zh-CN"/>
              </w:rPr>
              <w:t>數</w:t>
            </w:r>
            <w:proofErr w:type="gramEnd"/>
            <w:r w:rsidRPr="005171C5">
              <w:rPr>
                <w:rFonts w:ascii="Calibri" w:eastAsia="細明體" w:hAnsi="Calibri" w:hint="eastAsia"/>
                <w:sz w:val="16"/>
                <w:szCs w:val="16"/>
                <w:lang w:eastAsia="zh-CN"/>
              </w:rPr>
              <w:t>目</w:t>
            </w:r>
          </w:p>
        </w:tc>
        <w:tc>
          <w:tcPr>
            <w:tcW w:w="1518" w:type="dxa"/>
            <w:tcBorders>
              <w:top w:val="single" w:sz="4" w:space="0" w:color="000000"/>
              <w:left w:val="single" w:sz="4" w:space="0" w:color="000000"/>
              <w:bottom w:val="single" w:sz="4" w:space="0" w:color="000000"/>
            </w:tcBorders>
            <w:shd w:val="clear" w:color="auto" w:fill="auto"/>
            <w:vAlign w:val="center"/>
          </w:tcPr>
          <w:p w14:paraId="1BB81D26"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hint="eastAsia"/>
                <w:sz w:val="16"/>
                <w:szCs w:val="16"/>
                <w:lang w:eastAsia="zh-CN"/>
              </w:rPr>
              <w:t>平均</w:t>
            </w:r>
            <w:r w:rsidRPr="005171C5">
              <w:rPr>
                <w:rFonts w:ascii="Calibri" w:eastAsia="細明體" w:hAnsi="Calibri"/>
                <w:sz w:val="16"/>
                <w:szCs w:val="16"/>
                <w:lang w:eastAsia="zh-CN"/>
              </w:rPr>
              <w:t>LGD</w:t>
            </w:r>
          </w:p>
        </w:tc>
        <w:tc>
          <w:tcPr>
            <w:tcW w:w="1519" w:type="dxa"/>
            <w:tcBorders>
              <w:top w:val="single" w:sz="4" w:space="0" w:color="000000"/>
              <w:left w:val="single" w:sz="4" w:space="0" w:color="000000"/>
              <w:bottom w:val="single" w:sz="4" w:space="0" w:color="000000"/>
            </w:tcBorders>
            <w:shd w:val="clear" w:color="auto" w:fill="auto"/>
            <w:vAlign w:val="center"/>
          </w:tcPr>
          <w:p w14:paraId="0142F7CD"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hint="eastAsia"/>
                <w:sz w:val="16"/>
                <w:szCs w:val="16"/>
                <w:lang w:eastAsia="zh-CN"/>
              </w:rPr>
              <w:t>平均到期期限</w:t>
            </w:r>
          </w:p>
        </w:tc>
        <w:tc>
          <w:tcPr>
            <w:tcW w:w="1519" w:type="dxa"/>
            <w:tcBorders>
              <w:top w:val="single" w:sz="4" w:space="0" w:color="000000"/>
              <w:left w:val="single" w:sz="4" w:space="0" w:color="000000"/>
              <w:bottom w:val="single" w:sz="4" w:space="0" w:color="000000"/>
            </w:tcBorders>
            <w:shd w:val="clear" w:color="auto" w:fill="auto"/>
            <w:vAlign w:val="center"/>
          </w:tcPr>
          <w:p w14:paraId="01292168"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hint="eastAsia"/>
                <w:sz w:val="16"/>
                <w:szCs w:val="16"/>
                <w:lang w:eastAsia="zh-CN"/>
              </w:rPr>
              <w:t>風險加</w:t>
            </w:r>
            <w:proofErr w:type="gramStart"/>
            <w:r w:rsidRPr="005171C5">
              <w:rPr>
                <w:rFonts w:ascii="Calibri" w:eastAsia="細明體" w:hAnsi="Calibri" w:hint="eastAsia"/>
                <w:sz w:val="16"/>
                <w:szCs w:val="16"/>
                <w:lang w:eastAsia="zh-CN"/>
              </w:rPr>
              <w:t>權數</w:t>
            </w:r>
            <w:proofErr w:type="gramEnd"/>
            <w:r w:rsidRPr="005171C5">
              <w:rPr>
                <w:rFonts w:ascii="Calibri" w:eastAsia="細明體" w:hAnsi="Calibri" w:hint="eastAsia"/>
                <w:sz w:val="16"/>
                <w:szCs w:val="16"/>
                <w:lang w:eastAsia="zh-CN"/>
              </w:rPr>
              <w:t>額</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35386" w14:textId="77777777" w:rsidR="005171C5" w:rsidRPr="005171C5" w:rsidRDefault="005171C5" w:rsidP="00EE39F2">
            <w:pPr>
              <w:snapToGrid w:val="0"/>
              <w:spacing w:line="259" w:lineRule="auto"/>
              <w:jc w:val="center"/>
              <w:rPr>
                <w:rFonts w:ascii="Calibri" w:eastAsia="新細明體" w:hAnsi="Calibri"/>
                <w:sz w:val="22"/>
                <w:szCs w:val="22"/>
                <w:lang w:eastAsia="zh-CN"/>
              </w:rPr>
            </w:pPr>
            <w:r w:rsidRPr="005171C5">
              <w:rPr>
                <w:rFonts w:ascii="Calibri" w:eastAsia="細明體" w:hAnsi="Calibri" w:hint="eastAsia"/>
                <w:sz w:val="16"/>
                <w:szCs w:val="16"/>
                <w:lang w:eastAsia="zh-CN"/>
              </w:rPr>
              <w:t>風險加</w:t>
            </w:r>
            <w:proofErr w:type="gramStart"/>
            <w:r w:rsidRPr="005171C5">
              <w:rPr>
                <w:rFonts w:ascii="Calibri" w:eastAsia="細明體" w:hAnsi="Calibri" w:hint="eastAsia"/>
                <w:sz w:val="16"/>
                <w:szCs w:val="16"/>
                <w:lang w:eastAsia="zh-CN"/>
              </w:rPr>
              <w:t>權數</w:t>
            </w:r>
            <w:proofErr w:type="gramEnd"/>
            <w:r w:rsidRPr="005171C5">
              <w:rPr>
                <w:rFonts w:ascii="Calibri" w:eastAsia="細明體" w:hAnsi="Calibri" w:hint="eastAsia"/>
                <w:sz w:val="16"/>
                <w:szCs w:val="16"/>
                <w:lang w:eastAsia="zh-CN"/>
              </w:rPr>
              <w:t>額密度</w:t>
            </w:r>
            <w:r w:rsidRPr="005171C5">
              <w:rPr>
                <w:rFonts w:ascii="Calibri" w:eastAsia="細明體" w:hAnsi="Calibri"/>
                <w:sz w:val="16"/>
                <w:szCs w:val="16"/>
                <w:lang w:eastAsia="zh-CN"/>
              </w:rPr>
              <w:t xml:space="preserve"> </w:t>
            </w:r>
          </w:p>
        </w:tc>
      </w:tr>
      <w:tr w:rsidR="005171C5" w:rsidRPr="005171C5" w14:paraId="55DF02C5" w14:textId="77777777" w:rsidTr="005171C5">
        <w:tc>
          <w:tcPr>
            <w:tcW w:w="1276" w:type="dxa"/>
            <w:vMerge w:val="restart"/>
            <w:tcBorders>
              <w:top w:val="single" w:sz="4" w:space="0" w:color="000000"/>
              <w:bottom w:val="single" w:sz="4" w:space="0" w:color="C0C0C0"/>
            </w:tcBorders>
            <w:shd w:val="clear" w:color="auto" w:fill="auto"/>
          </w:tcPr>
          <w:p w14:paraId="0E5BCC7E" w14:textId="77777777" w:rsidR="005171C5" w:rsidRPr="005171C5" w:rsidRDefault="005171C5" w:rsidP="00EE39F2">
            <w:pPr>
              <w:snapToGrid w:val="0"/>
              <w:spacing w:line="259" w:lineRule="auto"/>
              <w:rPr>
                <w:rFonts w:ascii="Calibri" w:eastAsia="細明體" w:hAnsi="Calibri"/>
                <w:sz w:val="16"/>
                <w:szCs w:val="16"/>
                <w:lang w:eastAsia="zh-CN"/>
              </w:rPr>
            </w:pPr>
            <w:r w:rsidRPr="005171C5">
              <w:rPr>
                <w:rFonts w:ascii="Calibri" w:eastAsia="細明體" w:hAnsi="Calibri" w:hint="eastAsia"/>
                <w:sz w:val="16"/>
                <w:szCs w:val="16"/>
                <w:lang w:eastAsia="zh-CN"/>
              </w:rPr>
              <w:t>組合</w:t>
            </w:r>
            <w:r w:rsidRPr="005171C5">
              <w:rPr>
                <w:rFonts w:ascii="Calibri" w:eastAsia="細明體" w:hAnsi="Calibri"/>
                <w:sz w:val="16"/>
                <w:szCs w:val="16"/>
                <w:lang w:eastAsia="zh-CN"/>
              </w:rPr>
              <w:t>(</w:t>
            </w:r>
            <w:proofErr w:type="spellStart"/>
            <w:r w:rsidRPr="005171C5">
              <w:rPr>
                <w:rFonts w:ascii="Calibri" w:eastAsia="細明體" w:hAnsi="Calibri"/>
                <w:sz w:val="16"/>
                <w:szCs w:val="16"/>
                <w:lang w:eastAsia="zh-CN"/>
              </w:rPr>
              <w:t>i</w:t>
            </w:r>
            <w:proofErr w:type="spellEnd"/>
            <w:r w:rsidRPr="005171C5">
              <w:rPr>
                <w:rFonts w:ascii="Calibri" w:eastAsia="細明體" w:hAnsi="Calibri"/>
                <w:sz w:val="16"/>
                <w:szCs w:val="16"/>
                <w:lang w:eastAsia="zh-CN"/>
              </w:rPr>
              <w:t xml:space="preserve">) – </w:t>
            </w:r>
            <w:r w:rsidRPr="005171C5">
              <w:rPr>
                <w:rFonts w:ascii="Calibri" w:eastAsia="細明體" w:hAnsi="Calibri" w:hint="eastAsia"/>
                <w:sz w:val="16"/>
                <w:szCs w:val="16"/>
                <w:lang w:eastAsia="zh-CN"/>
              </w:rPr>
              <w:t>官方實體</w:t>
            </w:r>
          </w:p>
        </w:tc>
        <w:tc>
          <w:tcPr>
            <w:tcW w:w="1701" w:type="dxa"/>
            <w:tcBorders>
              <w:top w:val="single" w:sz="4" w:space="0" w:color="000000"/>
              <w:left w:val="single" w:sz="4" w:space="0" w:color="000000"/>
              <w:bottom w:val="single" w:sz="4" w:space="0" w:color="C0C0C0"/>
            </w:tcBorders>
            <w:shd w:val="clear" w:color="auto" w:fill="auto"/>
          </w:tcPr>
          <w:p w14:paraId="72C0A4B2" w14:textId="377AD5FC"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0.00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 xml:space="preserve"> &lt; 0.15</w:t>
            </w:r>
          </w:p>
        </w:tc>
        <w:tc>
          <w:tcPr>
            <w:tcW w:w="1802" w:type="dxa"/>
            <w:tcBorders>
              <w:top w:val="single" w:sz="4" w:space="0" w:color="000000"/>
              <w:left w:val="single" w:sz="4" w:space="0" w:color="000000"/>
              <w:bottom w:val="single" w:sz="4" w:space="0" w:color="C0C0C0"/>
            </w:tcBorders>
            <w:shd w:val="clear" w:color="auto" w:fill="auto"/>
          </w:tcPr>
          <w:p w14:paraId="637B3B9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09A9AF8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4DC087B1"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000000"/>
              <w:left w:val="single" w:sz="4" w:space="0" w:color="000000"/>
              <w:bottom w:val="single" w:sz="4" w:space="0" w:color="C0C0C0"/>
            </w:tcBorders>
            <w:shd w:val="clear" w:color="auto" w:fill="auto"/>
          </w:tcPr>
          <w:p w14:paraId="6E22787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3B74BEB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08C5E0A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000000"/>
              <w:left w:val="single" w:sz="4" w:space="0" w:color="000000"/>
              <w:bottom w:val="single" w:sz="4" w:space="0" w:color="C0C0C0"/>
              <w:right w:val="single" w:sz="4" w:space="0" w:color="000000"/>
            </w:tcBorders>
            <w:shd w:val="clear" w:color="auto" w:fill="auto"/>
          </w:tcPr>
          <w:p w14:paraId="2A493766"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62E3108A" w14:textId="77777777" w:rsidTr="005171C5">
        <w:tc>
          <w:tcPr>
            <w:tcW w:w="1276" w:type="dxa"/>
            <w:vMerge/>
            <w:tcBorders>
              <w:top w:val="single" w:sz="4" w:space="0" w:color="C0C0C0"/>
              <w:bottom w:val="single" w:sz="4" w:space="0" w:color="C0C0C0"/>
            </w:tcBorders>
            <w:shd w:val="clear" w:color="auto" w:fill="auto"/>
          </w:tcPr>
          <w:p w14:paraId="677A1AAD"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525E5A41"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0.15</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0.25</w:t>
            </w:r>
          </w:p>
        </w:tc>
        <w:tc>
          <w:tcPr>
            <w:tcW w:w="1802" w:type="dxa"/>
            <w:tcBorders>
              <w:top w:val="single" w:sz="4" w:space="0" w:color="C0C0C0"/>
              <w:left w:val="single" w:sz="4" w:space="0" w:color="000000"/>
              <w:bottom w:val="single" w:sz="4" w:space="0" w:color="C0C0C0"/>
            </w:tcBorders>
            <w:shd w:val="clear" w:color="auto" w:fill="auto"/>
          </w:tcPr>
          <w:p w14:paraId="08B94FAD"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8324E1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CEA31E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4F884BB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3ACCC607"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5CD5D6A1"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1297C166"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7DB322E1" w14:textId="77777777" w:rsidTr="005171C5">
        <w:tc>
          <w:tcPr>
            <w:tcW w:w="1276" w:type="dxa"/>
            <w:vMerge/>
            <w:tcBorders>
              <w:top w:val="single" w:sz="4" w:space="0" w:color="C0C0C0"/>
              <w:bottom w:val="single" w:sz="4" w:space="0" w:color="C0C0C0"/>
            </w:tcBorders>
            <w:shd w:val="clear" w:color="auto" w:fill="auto"/>
          </w:tcPr>
          <w:p w14:paraId="3BFE579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27735DC7"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0.25</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0.50</w:t>
            </w:r>
          </w:p>
        </w:tc>
        <w:tc>
          <w:tcPr>
            <w:tcW w:w="1802" w:type="dxa"/>
            <w:tcBorders>
              <w:top w:val="single" w:sz="4" w:space="0" w:color="C0C0C0"/>
              <w:left w:val="single" w:sz="4" w:space="0" w:color="000000"/>
              <w:bottom w:val="single" w:sz="4" w:space="0" w:color="C0C0C0"/>
            </w:tcBorders>
            <w:shd w:val="clear" w:color="auto" w:fill="auto"/>
          </w:tcPr>
          <w:p w14:paraId="0FE162ED"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549CEA73"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2DB1B2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4AACF3F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8192EC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924DB38"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05FAB309"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17C0EC6B" w14:textId="77777777" w:rsidTr="005171C5">
        <w:tc>
          <w:tcPr>
            <w:tcW w:w="1276" w:type="dxa"/>
            <w:vMerge/>
            <w:tcBorders>
              <w:top w:val="single" w:sz="4" w:space="0" w:color="C0C0C0"/>
              <w:bottom w:val="single" w:sz="4" w:space="0" w:color="C0C0C0"/>
            </w:tcBorders>
            <w:shd w:val="clear" w:color="auto" w:fill="auto"/>
          </w:tcPr>
          <w:p w14:paraId="5C4DFDE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37139EC1"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0.50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0.75</w:t>
            </w:r>
          </w:p>
        </w:tc>
        <w:tc>
          <w:tcPr>
            <w:tcW w:w="1802" w:type="dxa"/>
            <w:tcBorders>
              <w:top w:val="single" w:sz="4" w:space="0" w:color="C0C0C0"/>
              <w:left w:val="single" w:sz="4" w:space="0" w:color="000000"/>
              <w:bottom w:val="single" w:sz="4" w:space="0" w:color="C0C0C0"/>
            </w:tcBorders>
            <w:shd w:val="clear" w:color="auto" w:fill="auto"/>
          </w:tcPr>
          <w:p w14:paraId="06BE1F4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6C3372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A284BE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06F5C51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1D972F8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C07AAB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5D2CB8F8"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4A89DA5D" w14:textId="77777777" w:rsidTr="005171C5">
        <w:tc>
          <w:tcPr>
            <w:tcW w:w="1276" w:type="dxa"/>
            <w:vMerge/>
            <w:tcBorders>
              <w:top w:val="single" w:sz="4" w:space="0" w:color="C0C0C0"/>
              <w:bottom w:val="single" w:sz="4" w:space="0" w:color="C0C0C0"/>
            </w:tcBorders>
            <w:shd w:val="clear" w:color="auto" w:fill="auto"/>
          </w:tcPr>
          <w:p w14:paraId="5F3A950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6574AE78"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0.75</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2.50</w:t>
            </w:r>
          </w:p>
        </w:tc>
        <w:tc>
          <w:tcPr>
            <w:tcW w:w="1802" w:type="dxa"/>
            <w:tcBorders>
              <w:top w:val="single" w:sz="4" w:space="0" w:color="C0C0C0"/>
              <w:left w:val="single" w:sz="4" w:space="0" w:color="000000"/>
              <w:bottom w:val="single" w:sz="4" w:space="0" w:color="C0C0C0"/>
            </w:tcBorders>
            <w:shd w:val="clear" w:color="auto" w:fill="auto"/>
          </w:tcPr>
          <w:p w14:paraId="48562BE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CDE1B0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5FBE94A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2D5AD491"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1099941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ED33941"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384858F7"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452D627C" w14:textId="77777777" w:rsidTr="005171C5">
        <w:tc>
          <w:tcPr>
            <w:tcW w:w="1276" w:type="dxa"/>
            <w:vMerge/>
            <w:tcBorders>
              <w:top w:val="single" w:sz="4" w:space="0" w:color="C0C0C0"/>
              <w:bottom w:val="single" w:sz="4" w:space="0" w:color="C0C0C0"/>
            </w:tcBorders>
            <w:shd w:val="clear" w:color="auto" w:fill="auto"/>
          </w:tcPr>
          <w:p w14:paraId="258B0B7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62427F82"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2.50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10.00</w:t>
            </w:r>
          </w:p>
        </w:tc>
        <w:tc>
          <w:tcPr>
            <w:tcW w:w="1802" w:type="dxa"/>
            <w:tcBorders>
              <w:top w:val="single" w:sz="4" w:space="0" w:color="C0C0C0"/>
              <w:left w:val="single" w:sz="4" w:space="0" w:color="000000"/>
              <w:bottom w:val="single" w:sz="4" w:space="0" w:color="C0C0C0"/>
            </w:tcBorders>
            <w:shd w:val="clear" w:color="auto" w:fill="auto"/>
          </w:tcPr>
          <w:p w14:paraId="2C22846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33F408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C9A9F2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02D98D6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F11FB8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1FEB982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2C39EC5C"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5819A952" w14:textId="77777777" w:rsidTr="005171C5">
        <w:tc>
          <w:tcPr>
            <w:tcW w:w="1276" w:type="dxa"/>
            <w:vMerge/>
            <w:tcBorders>
              <w:top w:val="single" w:sz="4" w:space="0" w:color="C0C0C0"/>
              <w:bottom w:val="single" w:sz="4" w:space="0" w:color="C0C0C0"/>
            </w:tcBorders>
            <w:shd w:val="clear" w:color="auto" w:fill="auto"/>
          </w:tcPr>
          <w:p w14:paraId="7927F973"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0D9998C8"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10.00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100.00</w:t>
            </w:r>
          </w:p>
        </w:tc>
        <w:tc>
          <w:tcPr>
            <w:tcW w:w="1802" w:type="dxa"/>
            <w:tcBorders>
              <w:top w:val="single" w:sz="4" w:space="0" w:color="C0C0C0"/>
              <w:left w:val="single" w:sz="4" w:space="0" w:color="000000"/>
              <w:bottom w:val="single" w:sz="4" w:space="0" w:color="C0C0C0"/>
            </w:tcBorders>
            <w:shd w:val="clear" w:color="auto" w:fill="auto"/>
          </w:tcPr>
          <w:p w14:paraId="5886E8A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A973643"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6099703"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58F30C6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F30B698"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0AD9CED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60E1F8FB"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36D8AF74" w14:textId="77777777" w:rsidTr="005171C5">
        <w:tc>
          <w:tcPr>
            <w:tcW w:w="1276" w:type="dxa"/>
            <w:vMerge/>
            <w:tcBorders>
              <w:top w:val="single" w:sz="4" w:space="0" w:color="C0C0C0"/>
              <w:bottom w:val="single" w:sz="4" w:space="0" w:color="C0C0C0"/>
            </w:tcBorders>
            <w:shd w:val="clear" w:color="auto" w:fill="auto"/>
          </w:tcPr>
          <w:p w14:paraId="6B819D7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66827635"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100.00 (</w:t>
            </w:r>
            <w:r w:rsidRPr="005171C5">
              <w:rPr>
                <w:rFonts w:ascii="Calibri" w:eastAsia="細明體" w:hAnsi="Calibri" w:hint="eastAsia"/>
                <w:sz w:val="16"/>
                <w:szCs w:val="16"/>
                <w:lang w:eastAsia="zh-CN"/>
              </w:rPr>
              <w:t>違責</w:t>
            </w:r>
            <w:r w:rsidRPr="005171C5">
              <w:rPr>
                <w:rFonts w:ascii="Calibri" w:eastAsia="細明體" w:hAnsi="Calibri"/>
                <w:sz w:val="16"/>
                <w:szCs w:val="16"/>
                <w:lang w:eastAsia="zh-CN"/>
              </w:rPr>
              <w:t>)</w:t>
            </w:r>
          </w:p>
        </w:tc>
        <w:tc>
          <w:tcPr>
            <w:tcW w:w="1802" w:type="dxa"/>
            <w:tcBorders>
              <w:top w:val="single" w:sz="4" w:space="0" w:color="C0C0C0"/>
              <w:left w:val="single" w:sz="4" w:space="0" w:color="000000"/>
              <w:bottom w:val="single" w:sz="4" w:space="0" w:color="C0C0C0"/>
            </w:tcBorders>
            <w:shd w:val="clear" w:color="auto" w:fill="auto"/>
          </w:tcPr>
          <w:p w14:paraId="35FDADE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004C71D"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325781B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6218560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5AA9DAE8"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13FDA3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49A41579"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6E781A4E" w14:textId="77777777" w:rsidTr="005171C5">
        <w:tc>
          <w:tcPr>
            <w:tcW w:w="1276" w:type="dxa"/>
            <w:vMerge/>
            <w:tcBorders>
              <w:top w:val="single" w:sz="4" w:space="0" w:color="C0C0C0"/>
              <w:bottom w:val="single" w:sz="4" w:space="0" w:color="000000"/>
            </w:tcBorders>
            <w:shd w:val="clear" w:color="auto" w:fill="auto"/>
          </w:tcPr>
          <w:p w14:paraId="31CFCF9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000000"/>
            </w:tcBorders>
            <w:shd w:val="clear" w:color="auto" w:fill="auto"/>
          </w:tcPr>
          <w:p w14:paraId="0C5B43D3"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hint="eastAsia"/>
                <w:sz w:val="16"/>
                <w:szCs w:val="16"/>
                <w:lang w:eastAsia="zh-CN"/>
              </w:rPr>
              <w:t>小計</w:t>
            </w:r>
          </w:p>
        </w:tc>
        <w:tc>
          <w:tcPr>
            <w:tcW w:w="1802" w:type="dxa"/>
            <w:tcBorders>
              <w:top w:val="single" w:sz="4" w:space="0" w:color="C0C0C0"/>
              <w:left w:val="single" w:sz="4" w:space="0" w:color="000000"/>
              <w:bottom w:val="single" w:sz="4" w:space="0" w:color="000000"/>
            </w:tcBorders>
            <w:shd w:val="clear" w:color="auto" w:fill="auto"/>
          </w:tcPr>
          <w:p w14:paraId="2445AE13"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2033E02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012A019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000000"/>
            </w:tcBorders>
            <w:shd w:val="clear" w:color="auto" w:fill="auto"/>
          </w:tcPr>
          <w:p w14:paraId="438AFEA1"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46572FF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19D90FD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000000"/>
              <w:right w:val="single" w:sz="4" w:space="0" w:color="000000"/>
            </w:tcBorders>
            <w:shd w:val="clear" w:color="auto" w:fill="auto"/>
          </w:tcPr>
          <w:p w14:paraId="3741B2E0"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13C8DDD0" w14:textId="77777777" w:rsidTr="005171C5">
        <w:tc>
          <w:tcPr>
            <w:tcW w:w="1276" w:type="dxa"/>
            <w:vMerge w:val="restart"/>
            <w:tcBorders>
              <w:top w:val="single" w:sz="4" w:space="0" w:color="000000"/>
              <w:bottom w:val="single" w:sz="4" w:space="0" w:color="C0C0C0"/>
            </w:tcBorders>
            <w:shd w:val="clear" w:color="auto" w:fill="auto"/>
          </w:tcPr>
          <w:p w14:paraId="109627DD" w14:textId="77777777" w:rsidR="005171C5" w:rsidRPr="005171C5" w:rsidRDefault="005171C5" w:rsidP="00EE39F2">
            <w:pPr>
              <w:snapToGrid w:val="0"/>
              <w:spacing w:line="259" w:lineRule="auto"/>
              <w:rPr>
                <w:rFonts w:ascii="Calibri" w:eastAsia="細明體" w:hAnsi="Calibri"/>
                <w:sz w:val="16"/>
                <w:szCs w:val="16"/>
                <w:lang w:eastAsia="zh-CN"/>
              </w:rPr>
            </w:pPr>
            <w:r w:rsidRPr="005171C5">
              <w:rPr>
                <w:rFonts w:ascii="Calibri" w:eastAsia="細明體" w:hAnsi="Calibri" w:hint="eastAsia"/>
                <w:sz w:val="16"/>
                <w:szCs w:val="16"/>
                <w:lang w:eastAsia="zh-CN"/>
              </w:rPr>
              <w:t>組合</w:t>
            </w:r>
            <w:r w:rsidRPr="005171C5">
              <w:rPr>
                <w:rFonts w:ascii="Calibri" w:eastAsia="細明體" w:hAnsi="Calibri"/>
                <w:sz w:val="16"/>
                <w:szCs w:val="16"/>
                <w:lang w:eastAsia="zh-CN"/>
              </w:rPr>
              <w:t xml:space="preserve">(ii) – </w:t>
            </w:r>
            <w:r w:rsidRPr="005171C5">
              <w:rPr>
                <w:rFonts w:ascii="Calibri" w:eastAsia="細明體" w:hAnsi="Calibri" w:hint="eastAsia"/>
                <w:sz w:val="16"/>
                <w:szCs w:val="16"/>
                <w:lang w:eastAsia="zh-CN"/>
              </w:rPr>
              <w:t>銀行</w:t>
            </w:r>
          </w:p>
        </w:tc>
        <w:tc>
          <w:tcPr>
            <w:tcW w:w="1701" w:type="dxa"/>
            <w:tcBorders>
              <w:top w:val="single" w:sz="4" w:space="0" w:color="000000"/>
              <w:left w:val="single" w:sz="4" w:space="0" w:color="000000"/>
              <w:bottom w:val="single" w:sz="4" w:space="0" w:color="C0C0C0"/>
            </w:tcBorders>
            <w:shd w:val="clear" w:color="auto" w:fill="auto"/>
          </w:tcPr>
          <w:p w14:paraId="6B83F0C5"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0.00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0.15</w:t>
            </w:r>
          </w:p>
        </w:tc>
        <w:tc>
          <w:tcPr>
            <w:tcW w:w="1802" w:type="dxa"/>
            <w:tcBorders>
              <w:top w:val="single" w:sz="4" w:space="0" w:color="000000"/>
              <w:left w:val="single" w:sz="4" w:space="0" w:color="000000"/>
              <w:bottom w:val="single" w:sz="4" w:space="0" w:color="C0C0C0"/>
            </w:tcBorders>
            <w:shd w:val="clear" w:color="auto" w:fill="auto"/>
          </w:tcPr>
          <w:p w14:paraId="3FB8AB3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2A8CCAA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764622B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000000"/>
              <w:left w:val="single" w:sz="4" w:space="0" w:color="000000"/>
              <w:bottom w:val="single" w:sz="4" w:space="0" w:color="C0C0C0"/>
            </w:tcBorders>
            <w:shd w:val="clear" w:color="auto" w:fill="auto"/>
          </w:tcPr>
          <w:p w14:paraId="7BAE57A3"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6A64F8F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C0C0C0"/>
            </w:tcBorders>
            <w:shd w:val="clear" w:color="auto" w:fill="auto"/>
          </w:tcPr>
          <w:p w14:paraId="3EB09D4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000000"/>
              <w:left w:val="single" w:sz="4" w:space="0" w:color="000000"/>
              <w:bottom w:val="single" w:sz="4" w:space="0" w:color="C0C0C0"/>
              <w:right w:val="single" w:sz="4" w:space="0" w:color="000000"/>
            </w:tcBorders>
            <w:shd w:val="clear" w:color="auto" w:fill="auto"/>
          </w:tcPr>
          <w:p w14:paraId="188DD248"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390DBC0C" w14:textId="77777777" w:rsidTr="005171C5">
        <w:tc>
          <w:tcPr>
            <w:tcW w:w="1276" w:type="dxa"/>
            <w:vMerge/>
            <w:tcBorders>
              <w:top w:val="single" w:sz="4" w:space="0" w:color="C0C0C0"/>
              <w:bottom w:val="single" w:sz="4" w:space="0" w:color="C0C0C0"/>
            </w:tcBorders>
            <w:shd w:val="clear" w:color="auto" w:fill="auto"/>
          </w:tcPr>
          <w:p w14:paraId="1BF23D3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372454B5"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0.15</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0.25</w:t>
            </w:r>
          </w:p>
        </w:tc>
        <w:tc>
          <w:tcPr>
            <w:tcW w:w="1802" w:type="dxa"/>
            <w:tcBorders>
              <w:top w:val="single" w:sz="4" w:space="0" w:color="C0C0C0"/>
              <w:left w:val="single" w:sz="4" w:space="0" w:color="000000"/>
              <w:bottom w:val="single" w:sz="4" w:space="0" w:color="C0C0C0"/>
            </w:tcBorders>
            <w:shd w:val="clear" w:color="auto" w:fill="auto"/>
          </w:tcPr>
          <w:p w14:paraId="07D26DC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ECA7D2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9311A4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5BCA54C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C237CE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87CB576"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634A6B92"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34568613" w14:textId="77777777" w:rsidTr="005171C5">
        <w:tc>
          <w:tcPr>
            <w:tcW w:w="1276" w:type="dxa"/>
            <w:vMerge/>
            <w:tcBorders>
              <w:top w:val="single" w:sz="4" w:space="0" w:color="C0C0C0"/>
              <w:bottom w:val="single" w:sz="4" w:space="0" w:color="C0C0C0"/>
            </w:tcBorders>
            <w:shd w:val="clear" w:color="auto" w:fill="auto"/>
          </w:tcPr>
          <w:p w14:paraId="5EF3E37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4D6919AD"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0.25</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0.50</w:t>
            </w:r>
          </w:p>
        </w:tc>
        <w:tc>
          <w:tcPr>
            <w:tcW w:w="1802" w:type="dxa"/>
            <w:tcBorders>
              <w:top w:val="single" w:sz="4" w:space="0" w:color="C0C0C0"/>
              <w:left w:val="single" w:sz="4" w:space="0" w:color="000000"/>
              <w:bottom w:val="single" w:sz="4" w:space="0" w:color="C0C0C0"/>
            </w:tcBorders>
            <w:shd w:val="clear" w:color="auto" w:fill="auto"/>
          </w:tcPr>
          <w:p w14:paraId="540AE17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07816A7"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5A09D3A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460925A7"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7F640C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D20B6B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1B0F4854"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01F8194B" w14:textId="77777777" w:rsidTr="005171C5">
        <w:tc>
          <w:tcPr>
            <w:tcW w:w="1276" w:type="dxa"/>
            <w:vMerge/>
            <w:tcBorders>
              <w:top w:val="single" w:sz="4" w:space="0" w:color="C0C0C0"/>
              <w:bottom w:val="single" w:sz="4" w:space="0" w:color="C0C0C0"/>
            </w:tcBorders>
            <w:shd w:val="clear" w:color="auto" w:fill="auto"/>
          </w:tcPr>
          <w:p w14:paraId="76624C48"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34156E01"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0.50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0.75</w:t>
            </w:r>
          </w:p>
        </w:tc>
        <w:tc>
          <w:tcPr>
            <w:tcW w:w="1802" w:type="dxa"/>
            <w:tcBorders>
              <w:top w:val="single" w:sz="4" w:space="0" w:color="C0C0C0"/>
              <w:left w:val="single" w:sz="4" w:space="0" w:color="000000"/>
              <w:bottom w:val="single" w:sz="4" w:space="0" w:color="C0C0C0"/>
            </w:tcBorders>
            <w:shd w:val="clear" w:color="auto" w:fill="auto"/>
          </w:tcPr>
          <w:p w14:paraId="3529DBF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1E8E7D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F1279F7"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02DE03A7"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1A3EC828"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59159A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6428880C"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319F5B22" w14:textId="77777777" w:rsidTr="005171C5">
        <w:tc>
          <w:tcPr>
            <w:tcW w:w="1276" w:type="dxa"/>
            <w:vMerge/>
            <w:tcBorders>
              <w:top w:val="single" w:sz="4" w:space="0" w:color="C0C0C0"/>
              <w:bottom w:val="single" w:sz="4" w:space="0" w:color="C0C0C0"/>
            </w:tcBorders>
            <w:shd w:val="clear" w:color="auto" w:fill="auto"/>
          </w:tcPr>
          <w:p w14:paraId="25EEF91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5BD591BC"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0.75</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2.50</w:t>
            </w:r>
          </w:p>
        </w:tc>
        <w:tc>
          <w:tcPr>
            <w:tcW w:w="1802" w:type="dxa"/>
            <w:tcBorders>
              <w:top w:val="single" w:sz="4" w:space="0" w:color="C0C0C0"/>
              <w:left w:val="single" w:sz="4" w:space="0" w:color="000000"/>
              <w:bottom w:val="single" w:sz="4" w:space="0" w:color="C0C0C0"/>
            </w:tcBorders>
            <w:shd w:val="clear" w:color="auto" w:fill="auto"/>
          </w:tcPr>
          <w:p w14:paraId="2B44CF9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09DD663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0DA838C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09982057"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C1D537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C18D0D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5F11315B"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701C33DC" w14:textId="77777777" w:rsidTr="005171C5">
        <w:tc>
          <w:tcPr>
            <w:tcW w:w="1276" w:type="dxa"/>
            <w:vMerge/>
            <w:tcBorders>
              <w:top w:val="single" w:sz="4" w:space="0" w:color="C0C0C0"/>
              <w:bottom w:val="single" w:sz="4" w:space="0" w:color="C0C0C0"/>
            </w:tcBorders>
            <w:shd w:val="clear" w:color="auto" w:fill="auto"/>
          </w:tcPr>
          <w:p w14:paraId="4977F07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19518351"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2.50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10.00</w:t>
            </w:r>
          </w:p>
        </w:tc>
        <w:tc>
          <w:tcPr>
            <w:tcW w:w="1802" w:type="dxa"/>
            <w:tcBorders>
              <w:top w:val="single" w:sz="4" w:space="0" w:color="C0C0C0"/>
              <w:left w:val="single" w:sz="4" w:space="0" w:color="000000"/>
              <w:bottom w:val="single" w:sz="4" w:space="0" w:color="C0C0C0"/>
            </w:tcBorders>
            <w:shd w:val="clear" w:color="auto" w:fill="auto"/>
          </w:tcPr>
          <w:p w14:paraId="67276BB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6E5CAC56"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44C636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318EC33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CE493A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801A371"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71E81936"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3AE6A6CD" w14:textId="77777777" w:rsidTr="005171C5">
        <w:tc>
          <w:tcPr>
            <w:tcW w:w="1276" w:type="dxa"/>
            <w:vMerge/>
            <w:tcBorders>
              <w:top w:val="single" w:sz="4" w:space="0" w:color="C0C0C0"/>
              <w:bottom w:val="single" w:sz="4" w:space="0" w:color="C0C0C0"/>
            </w:tcBorders>
            <w:shd w:val="clear" w:color="auto" w:fill="auto"/>
          </w:tcPr>
          <w:p w14:paraId="04FE79E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3196896D"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10.00</w:t>
            </w:r>
            <w:r w:rsidRPr="005171C5">
              <w:rPr>
                <w:rFonts w:ascii="Calibri" w:eastAsia="細明體" w:hAnsi="Calibri" w:hint="eastAsia"/>
                <w:sz w:val="16"/>
                <w:szCs w:val="16"/>
                <w:lang w:eastAsia="zh-TW"/>
              </w:rPr>
              <w:t>至</w:t>
            </w:r>
            <w:r w:rsidRPr="005171C5">
              <w:rPr>
                <w:rFonts w:ascii="Calibri" w:eastAsia="細明體" w:hAnsi="Calibri"/>
                <w:sz w:val="16"/>
                <w:szCs w:val="16"/>
                <w:lang w:eastAsia="zh-CN"/>
              </w:rPr>
              <w:t>&lt; 100.00</w:t>
            </w:r>
          </w:p>
        </w:tc>
        <w:tc>
          <w:tcPr>
            <w:tcW w:w="1802" w:type="dxa"/>
            <w:tcBorders>
              <w:top w:val="single" w:sz="4" w:space="0" w:color="C0C0C0"/>
              <w:left w:val="single" w:sz="4" w:space="0" w:color="000000"/>
              <w:bottom w:val="single" w:sz="4" w:space="0" w:color="C0C0C0"/>
            </w:tcBorders>
            <w:shd w:val="clear" w:color="auto" w:fill="auto"/>
          </w:tcPr>
          <w:p w14:paraId="7722E88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113F32ED"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091644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24C0916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0A97945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742342C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07C565FF"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21F7ADB1" w14:textId="77777777" w:rsidTr="005171C5">
        <w:tc>
          <w:tcPr>
            <w:tcW w:w="1276" w:type="dxa"/>
            <w:vMerge/>
            <w:tcBorders>
              <w:top w:val="single" w:sz="4" w:space="0" w:color="C0C0C0"/>
              <w:bottom w:val="single" w:sz="4" w:space="0" w:color="C0C0C0"/>
            </w:tcBorders>
            <w:shd w:val="clear" w:color="auto" w:fill="auto"/>
          </w:tcPr>
          <w:p w14:paraId="3D99E508"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C0C0C0"/>
            </w:tcBorders>
            <w:shd w:val="clear" w:color="auto" w:fill="auto"/>
          </w:tcPr>
          <w:p w14:paraId="53F44696"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100.00 (</w:t>
            </w:r>
            <w:r w:rsidRPr="005171C5">
              <w:rPr>
                <w:rFonts w:ascii="Calibri" w:eastAsia="細明體" w:hAnsi="Calibri" w:hint="eastAsia"/>
                <w:sz w:val="16"/>
                <w:szCs w:val="16"/>
                <w:lang w:eastAsia="zh-CN"/>
              </w:rPr>
              <w:t>違責</w:t>
            </w:r>
            <w:r w:rsidRPr="005171C5">
              <w:rPr>
                <w:rFonts w:ascii="Calibri" w:eastAsia="細明體" w:hAnsi="Calibri"/>
                <w:sz w:val="16"/>
                <w:szCs w:val="16"/>
                <w:lang w:eastAsia="zh-CN"/>
              </w:rPr>
              <w:t>)</w:t>
            </w:r>
          </w:p>
        </w:tc>
        <w:tc>
          <w:tcPr>
            <w:tcW w:w="1802" w:type="dxa"/>
            <w:tcBorders>
              <w:top w:val="single" w:sz="4" w:space="0" w:color="C0C0C0"/>
              <w:left w:val="single" w:sz="4" w:space="0" w:color="000000"/>
              <w:bottom w:val="single" w:sz="4" w:space="0" w:color="C0C0C0"/>
            </w:tcBorders>
            <w:shd w:val="clear" w:color="auto" w:fill="auto"/>
          </w:tcPr>
          <w:p w14:paraId="5D44CAC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3324D9F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27C9A04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C0C0C0"/>
            </w:tcBorders>
            <w:shd w:val="clear" w:color="auto" w:fill="auto"/>
          </w:tcPr>
          <w:p w14:paraId="7D15D62B"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49C639CA"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C0C0C0"/>
            </w:tcBorders>
            <w:shd w:val="clear" w:color="auto" w:fill="auto"/>
          </w:tcPr>
          <w:p w14:paraId="54A3D21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C0C0C0"/>
              <w:right w:val="single" w:sz="4" w:space="0" w:color="000000"/>
            </w:tcBorders>
            <w:shd w:val="clear" w:color="auto" w:fill="auto"/>
          </w:tcPr>
          <w:p w14:paraId="2BC0E400"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7F7DFB01" w14:textId="77777777" w:rsidTr="005171C5">
        <w:tc>
          <w:tcPr>
            <w:tcW w:w="1276" w:type="dxa"/>
            <w:vMerge/>
            <w:tcBorders>
              <w:top w:val="single" w:sz="4" w:space="0" w:color="C0C0C0"/>
              <w:bottom w:val="single" w:sz="4" w:space="0" w:color="000000"/>
            </w:tcBorders>
            <w:shd w:val="clear" w:color="auto" w:fill="auto"/>
          </w:tcPr>
          <w:p w14:paraId="35CF230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701" w:type="dxa"/>
            <w:tcBorders>
              <w:top w:val="single" w:sz="4" w:space="0" w:color="C0C0C0"/>
              <w:left w:val="single" w:sz="4" w:space="0" w:color="000000"/>
              <w:bottom w:val="single" w:sz="4" w:space="0" w:color="000000"/>
            </w:tcBorders>
            <w:shd w:val="clear" w:color="auto" w:fill="auto"/>
          </w:tcPr>
          <w:p w14:paraId="667FF1E6"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hint="eastAsia"/>
                <w:sz w:val="16"/>
                <w:szCs w:val="16"/>
                <w:lang w:eastAsia="zh-CN"/>
              </w:rPr>
              <w:t>小計</w:t>
            </w:r>
          </w:p>
        </w:tc>
        <w:tc>
          <w:tcPr>
            <w:tcW w:w="1802" w:type="dxa"/>
            <w:tcBorders>
              <w:top w:val="single" w:sz="4" w:space="0" w:color="C0C0C0"/>
              <w:left w:val="single" w:sz="4" w:space="0" w:color="000000"/>
              <w:bottom w:val="single" w:sz="4" w:space="0" w:color="000000"/>
            </w:tcBorders>
            <w:shd w:val="clear" w:color="auto" w:fill="auto"/>
          </w:tcPr>
          <w:p w14:paraId="556FF86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43990D7D"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61A7433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C0C0C0"/>
              <w:left w:val="single" w:sz="4" w:space="0" w:color="000000"/>
              <w:bottom w:val="single" w:sz="4" w:space="0" w:color="000000"/>
            </w:tcBorders>
            <w:shd w:val="clear" w:color="auto" w:fill="auto"/>
          </w:tcPr>
          <w:p w14:paraId="68CB31E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56476F3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C0C0C0"/>
              <w:left w:val="single" w:sz="4" w:space="0" w:color="000000"/>
              <w:bottom w:val="single" w:sz="4" w:space="0" w:color="000000"/>
            </w:tcBorders>
            <w:shd w:val="clear" w:color="auto" w:fill="auto"/>
          </w:tcPr>
          <w:p w14:paraId="0D81B50C"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C0C0C0"/>
              <w:left w:val="single" w:sz="4" w:space="0" w:color="000000"/>
              <w:bottom w:val="single" w:sz="4" w:space="0" w:color="000000"/>
              <w:right w:val="single" w:sz="4" w:space="0" w:color="000000"/>
            </w:tcBorders>
            <w:shd w:val="clear" w:color="auto" w:fill="auto"/>
          </w:tcPr>
          <w:p w14:paraId="440B45B5"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5D0BA867" w14:textId="77777777" w:rsidTr="005171C5">
        <w:tc>
          <w:tcPr>
            <w:tcW w:w="1276" w:type="dxa"/>
            <w:tcBorders>
              <w:top w:val="single" w:sz="4" w:space="0" w:color="000000"/>
              <w:bottom w:val="single" w:sz="4" w:space="0" w:color="000000"/>
            </w:tcBorders>
            <w:shd w:val="clear" w:color="auto" w:fill="auto"/>
          </w:tcPr>
          <w:p w14:paraId="1F1355CB" w14:textId="77777777" w:rsidR="005171C5" w:rsidRPr="005171C5" w:rsidRDefault="005171C5" w:rsidP="00EE39F2">
            <w:pPr>
              <w:snapToGrid w:val="0"/>
              <w:spacing w:line="259" w:lineRule="auto"/>
              <w:rPr>
                <w:rFonts w:ascii="Calibri" w:eastAsia="細明體" w:hAnsi="Calibri"/>
                <w:sz w:val="16"/>
                <w:szCs w:val="16"/>
                <w:lang w:eastAsia="zh-CN"/>
              </w:rPr>
            </w:pPr>
            <w:r w:rsidRPr="005171C5">
              <w:rPr>
                <w:rFonts w:ascii="Calibri" w:eastAsia="細明體" w:hAnsi="Calibri" w:hint="eastAsia"/>
                <w:sz w:val="16"/>
                <w:szCs w:val="16"/>
                <w:lang w:eastAsia="zh-CN"/>
              </w:rPr>
              <w:t>組合</w:t>
            </w:r>
            <w:r w:rsidRPr="005171C5">
              <w:rPr>
                <w:rFonts w:ascii="Calibri" w:eastAsia="細明體" w:hAnsi="Calibri"/>
                <w:sz w:val="16"/>
                <w:szCs w:val="16"/>
                <w:lang w:eastAsia="zh-CN"/>
              </w:rPr>
              <w:t>(iii)…</w:t>
            </w:r>
          </w:p>
        </w:tc>
        <w:tc>
          <w:tcPr>
            <w:tcW w:w="1701" w:type="dxa"/>
            <w:tcBorders>
              <w:top w:val="single" w:sz="4" w:space="0" w:color="000000"/>
              <w:left w:val="single" w:sz="4" w:space="0" w:color="000000"/>
              <w:bottom w:val="single" w:sz="4" w:space="0" w:color="000000"/>
            </w:tcBorders>
            <w:shd w:val="clear" w:color="auto" w:fill="auto"/>
          </w:tcPr>
          <w:p w14:paraId="43CF0D1C"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w:t>
            </w:r>
          </w:p>
        </w:tc>
        <w:tc>
          <w:tcPr>
            <w:tcW w:w="1802" w:type="dxa"/>
            <w:tcBorders>
              <w:top w:val="single" w:sz="4" w:space="0" w:color="000000"/>
              <w:left w:val="single" w:sz="4" w:space="0" w:color="000000"/>
              <w:bottom w:val="single" w:sz="4" w:space="0" w:color="000000"/>
            </w:tcBorders>
            <w:shd w:val="clear" w:color="auto" w:fill="auto"/>
          </w:tcPr>
          <w:p w14:paraId="7936C62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455BF3D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73A5A7A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000000"/>
              <w:left w:val="single" w:sz="4" w:space="0" w:color="000000"/>
              <w:bottom w:val="single" w:sz="4" w:space="0" w:color="000000"/>
            </w:tcBorders>
            <w:shd w:val="clear" w:color="auto" w:fill="auto"/>
          </w:tcPr>
          <w:p w14:paraId="351DFF9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5AE26392"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3A12C895"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7DA5CF39"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11206903" w14:textId="77777777" w:rsidTr="005171C5">
        <w:tc>
          <w:tcPr>
            <w:tcW w:w="1276" w:type="dxa"/>
            <w:tcBorders>
              <w:top w:val="single" w:sz="4" w:space="0" w:color="000000"/>
              <w:bottom w:val="single" w:sz="4" w:space="0" w:color="000000"/>
            </w:tcBorders>
            <w:shd w:val="clear" w:color="auto" w:fill="auto"/>
          </w:tcPr>
          <w:p w14:paraId="23486A6F" w14:textId="77777777" w:rsidR="005171C5" w:rsidRPr="005171C5" w:rsidRDefault="005171C5" w:rsidP="00EE39F2">
            <w:pPr>
              <w:snapToGrid w:val="0"/>
              <w:spacing w:line="259" w:lineRule="auto"/>
              <w:rPr>
                <w:rFonts w:ascii="Calibri" w:eastAsia="細明體" w:hAnsi="Calibri"/>
                <w:sz w:val="16"/>
                <w:szCs w:val="16"/>
                <w:lang w:eastAsia="zh-CN"/>
              </w:rPr>
            </w:pPr>
            <w:r w:rsidRPr="005171C5">
              <w:rPr>
                <w:rFonts w:ascii="Calibri" w:eastAsia="細明體" w:hAnsi="Calibri" w:hint="eastAsia"/>
                <w:sz w:val="16"/>
                <w:szCs w:val="16"/>
                <w:lang w:eastAsia="zh-CN"/>
              </w:rPr>
              <w:t>組合</w:t>
            </w:r>
            <w:r w:rsidRPr="005171C5">
              <w:rPr>
                <w:rFonts w:ascii="Calibri" w:eastAsia="細明體" w:hAnsi="Calibri"/>
                <w:sz w:val="16"/>
                <w:szCs w:val="16"/>
                <w:lang w:eastAsia="zh-CN"/>
              </w:rPr>
              <w:t>(iv)…</w:t>
            </w:r>
          </w:p>
        </w:tc>
        <w:tc>
          <w:tcPr>
            <w:tcW w:w="1701" w:type="dxa"/>
            <w:tcBorders>
              <w:top w:val="single" w:sz="4" w:space="0" w:color="000000"/>
              <w:left w:val="single" w:sz="4" w:space="0" w:color="000000"/>
              <w:bottom w:val="single" w:sz="4" w:space="0" w:color="000000"/>
            </w:tcBorders>
            <w:shd w:val="clear" w:color="auto" w:fill="auto"/>
          </w:tcPr>
          <w:p w14:paraId="2C27F732" w14:textId="77777777" w:rsidR="005171C5" w:rsidRPr="005171C5" w:rsidRDefault="005171C5" w:rsidP="00EE39F2">
            <w:pPr>
              <w:snapToGrid w:val="0"/>
              <w:spacing w:line="259" w:lineRule="auto"/>
              <w:jc w:val="center"/>
              <w:rPr>
                <w:rFonts w:ascii="Calibri" w:eastAsia="細明體" w:hAnsi="Calibri"/>
                <w:sz w:val="16"/>
                <w:szCs w:val="16"/>
                <w:lang w:eastAsia="zh-CN"/>
              </w:rPr>
            </w:pPr>
            <w:r w:rsidRPr="005171C5">
              <w:rPr>
                <w:rFonts w:ascii="Calibri" w:eastAsia="細明體" w:hAnsi="Calibri"/>
                <w:sz w:val="16"/>
                <w:szCs w:val="16"/>
                <w:lang w:eastAsia="zh-CN"/>
              </w:rPr>
              <w:t>…</w:t>
            </w:r>
          </w:p>
        </w:tc>
        <w:tc>
          <w:tcPr>
            <w:tcW w:w="1802" w:type="dxa"/>
            <w:tcBorders>
              <w:top w:val="single" w:sz="4" w:space="0" w:color="000000"/>
              <w:left w:val="single" w:sz="4" w:space="0" w:color="000000"/>
              <w:bottom w:val="single" w:sz="4" w:space="0" w:color="000000"/>
            </w:tcBorders>
            <w:shd w:val="clear" w:color="auto" w:fill="auto"/>
          </w:tcPr>
          <w:p w14:paraId="14430EF6"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6BA1A604"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336ADF9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000000"/>
              <w:left w:val="single" w:sz="4" w:space="0" w:color="000000"/>
              <w:bottom w:val="single" w:sz="4" w:space="0" w:color="000000"/>
            </w:tcBorders>
            <w:shd w:val="clear" w:color="auto" w:fill="auto"/>
          </w:tcPr>
          <w:p w14:paraId="260F77BF"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3A71AB76"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35CB95E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5E417B34" w14:textId="77777777" w:rsidR="005171C5" w:rsidRPr="005171C5" w:rsidRDefault="005171C5" w:rsidP="00EE39F2">
            <w:pPr>
              <w:snapToGrid w:val="0"/>
              <w:spacing w:line="259" w:lineRule="auto"/>
              <w:rPr>
                <w:rFonts w:ascii="Calibri" w:eastAsia="細明體" w:hAnsi="Calibri"/>
                <w:sz w:val="16"/>
                <w:szCs w:val="16"/>
                <w:lang w:eastAsia="zh-CN"/>
              </w:rPr>
            </w:pPr>
          </w:p>
        </w:tc>
      </w:tr>
      <w:tr w:rsidR="005171C5" w:rsidRPr="005171C5" w14:paraId="0CBE1601" w14:textId="77777777" w:rsidTr="005171C5">
        <w:tc>
          <w:tcPr>
            <w:tcW w:w="2977" w:type="dxa"/>
            <w:gridSpan w:val="2"/>
            <w:tcBorders>
              <w:top w:val="single" w:sz="4" w:space="0" w:color="000000"/>
              <w:bottom w:val="single" w:sz="4" w:space="0" w:color="000000"/>
            </w:tcBorders>
            <w:shd w:val="clear" w:color="auto" w:fill="auto"/>
          </w:tcPr>
          <w:p w14:paraId="236959E1" w14:textId="77777777" w:rsidR="005171C5" w:rsidRPr="005171C5" w:rsidRDefault="005171C5" w:rsidP="00EE39F2">
            <w:pPr>
              <w:snapToGrid w:val="0"/>
              <w:spacing w:line="259" w:lineRule="auto"/>
              <w:rPr>
                <w:rFonts w:ascii="Calibri" w:eastAsia="細明體" w:hAnsi="Calibri"/>
                <w:sz w:val="16"/>
                <w:szCs w:val="16"/>
                <w:lang w:eastAsia="zh-CN"/>
              </w:rPr>
            </w:pPr>
            <w:r w:rsidRPr="005171C5">
              <w:rPr>
                <w:rFonts w:ascii="Calibri" w:eastAsia="細明體" w:hAnsi="Calibri" w:hint="eastAsia"/>
                <w:b/>
                <w:sz w:val="16"/>
                <w:szCs w:val="16"/>
                <w:lang w:eastAsia="zh-CN"/>
              </w:rPr>
              <w:t>總計（所有組合）</w:t>
            </w:r>
          </w:p>
        </w:tc>
        <w:tc>
          <w:tcPr>
            <w:tcW w:w="1802" w:type="dxa"/>
            <w:tcBorders>
              <w:top w:val="single" w:sz="4" w:space="0" w:color="000000"/>
              <w:left w:val="single" w:sz="4" w:space="0" w:color="000000"/>
              <w:bottom w:val="single" w:sz="4" w:space="0" w:color="000000"/>
            </w:tcBorders>
            <w:shd w:val="clear" w:color="auto" w:fill="auto"/>
          </w:tcPr>
          <w:p w14:paraId="1BA9D2A6"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5D02EFD6"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54B7D429"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8" w:type="dxa"/>
            <w:tcBorders>
              <w:top w:val="single" w:sz="4" w:space="0" w:color="000000"/>
              <w:left w:val="single" w:sz="4" w:space="0" w:color="000000"/>
              <w:bottom w:val="single" w:sz="4" w:space="0" w:color="000000"/>
            </w:tcBorders>
            <w:shd w:val="clear" w:color="auto" w:fill="auto"/>
          </w:tcPr>
          <w:p w14:paraId="2B53068E"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2B2F5160"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19" w:type="dxa"/>
            <w:tcBorders>
              <w:top w:val="single" w:sz="4" w:space="0" w:color="000000"/>
              <w:left w:val="single" w:sz="4" w:space="0" w:color="000000"/>
              <w:bottom w:val="single" w:sz="4" w:space="0" w:color="000000"/>
            </w:tcBorders>
            <w:shd w:val="clear" w:color="auto" w:fill="auto"/>
          </w:tcPr>
          <w:p w14:paraId="515196E8" w14:textId="77777777" w:rsidR="005171C5" w:rsidRPr="005171C5" w:rsidRDefault="005171C5" w:rsidP="00EE39F2">
            <w:pPr>
              <w:snapToGrid w:val="0"/>
              <w:spacing w:line="259" w:lineRule="auto"/>
              <w:rPr>
                <w:rFonts w:ascii="Calibri" w:eastAsia="細明體" w:hAnsi="Calibri"/>
                <w:sz w:val="16"/>
                <w:szCs w:val="16"/>
                <w:lang w:eastAsia="zh-CN"/>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217239D" w14:textId="77777777" w:rsidR="005171C5" w:rsidRPr="005171C5" w:rsidRDefault="005171C5" w:rsidP="00EE39F2">
            <w:pPr>
              <w:snapToGrid w:val="0"/>
              <w:spacing w:line="259" w:lineRule="auto"/>
              <w:rPr>
                <w:rFonts w:ascii="Calibri" w:eastAsia="細明體" w:hAnsi="Calibri"/>
                <w:sz w:val="16"/>
                <w:szCs w:val="16"/>
                <w:lang w:eastAsia="zh-CN"/>
              </w:rPr>
            </w:pPr>
          </w:p>
        </w:tc>
      </w:tr>
    </w:tbl>
    <w:p w14:paraId="735EE147" w14:textId="77777777" w:rsidR="005171C5" w:rsidRPr="005171C5" w:rsidRDefault="005171C5" w:rsidP="005171C5">
      <w:pPr>
        <w:spacing w:before="40" w:after="40" w:line="259" w:lineRule="auto"/>
        <w:rPr>
          <w:rFonts w:ascii="Calibri" w:eastAsia="細明體" w:hAnsi="Calibri"/>
          <w:sz w:val="22"/>
          <w:szCs w:val="22"/>
          <w:lang w:eastAsia="zh-CN"/>
        </w:rPr>
      </w:pPr>
    </w:p>
    <w:tbl>
      <w:tblPr>
        <w:tblW w:w="0" w:type="auto"/>
        <w:tblInd w:w="108" w:type="dxa"/>
        <w:tblLayout w:type="fixed"/>
        <w:tblLook w:val="0000" w:firstRow="0" w:lastRow="0" w:firstColumn="0" w:lastColumn="0" w:noHBand="0" w:noVBand="0"/>
      </w:tblPr>
      <w:tblGrid>
        <w:gridCol w:w="851"/>
        <w:gridCol w:w="13061"/>
      </w:tblGrid>
      <w:tr w:rsidR="005171C5" w:rsidRPr="005171C5" w14:paraId="73B6DDE7" w14:textId="77777777" w:rsidTr="005171C5">
        <w:trPr>
          <w:cantSplit/>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9F5547C" w14:textId="77777777" w:rsidR="005171C5" w:rsidRPr="005171C5" w:rsidRDefault="005171C5" w:rsidP="005171C5">
            <w:pPr>
              <w:spacing w:before="40" w:after="40" w:line="259" w:lineRule="auto"/>
              <w:jc w:val="both"/>
              <w:rPr>
                <w:rFonts w:ascii="Calibri" w:eastAsia="新細明體" w:hAnsi="Calibri"/>
                <w:sz w:val="22"/>
                <w:szCs w:val="22"/>
                <w:lang w:eastAsia="zh-CN"/>
              </w:rPr>
            </w:pPr>
            <w:r w:rsidRPr="005171C5">
              <w:rPr>
                <w:rFonts w:ascii="Calibri" w:eastAsia="細明體" w:hAnsi="Calibri" w:hint="eastAsia"/>
                <w:b/>
                <w:sz w:val="17"/>
                <w:szCs w:val="17"/>
                <w:lang w:eastAsia="zh-CN"/>
              </w:rPr>
              <w:t>註釋</w:t>
            </w:r>
          </w:p>
        </w:tc>
      </w:tr>
      <w:tr w:rsidR="005171C5" w:rsidRPr="005171C5" w14:paraId="4B2406DE" w14:textId="77777777" w:rsidTr="005171C5">
        <w:trPr>
          <w:cantSplit/>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96BE459" w14:textId="77777777" w:rsidR="005171C5" w:rsidRPr="005171C5" w:rsidRDefault="005171C5" w:rsidP="005171C5">
            <w:pPr>
              <w:spacing w:before="40" w:after="40" w:line="259" w:lineRule="auto"/>
              <w:jc w:val="both"/>
              <w:rPr>
                <w:rFonts w:ascii="Calibri" w:eastAsia="新細明體" w:hAnsi="Calibri"/>
                <w:sz w:val="22"/>
                <w:szCs w:val="22"/>
                <w:lang w:eastAsia="zh-CN"/>
              </w:rPr>
            </w:pPr>
            <w:proofErr w:type="gramStart"/>
            <w:r w:rsidRPr="005171C5">
              <w:rPr>
                <w:rFonts w:ascii="Calibri" w:eastAsia="細明體" w:hAnsi="Calibri" w:hint="eastAsia"/>
                <w:b/>
                <w:sz w:val="17"/>
                <w:szCs w:val="17"/>
                <w:lang w:eastAsia="zh-CN"/>
              </w:rPr>
              <w:t>欄</w:t>
            </w:r>
            <w:proofErr w:type="gramEnd"/>
          </w:p>
        </w:tc>
      </w:tr>
      <w:tr w:rsidR="005171C5" w:rsidRPr="005171C5" w14:paraId="6822F7C2"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40285900" w14:textId="77777777" w:rsidR="005171C5" w:rsidRPr="005171C5" w:rsidRDefault="005171C5" w:rsidP="005171C5">
            <w:pPr>
              <w:spacing w:before="40" w:after="40" w:line="259" w:lineRule="auto"/>
              <w:jc w:val="both"/>
              <w:rPr>
                <w:rFonts w:ascii="Calibri" w:eastAsia="細明體" w:hAnsi="Calibri"/>
                <w:sz w:val="17"/>
                <w:szCs w:val="17"/>
                <w:lang w:eastAsia="zh-CN"/>
              </w:rPr>
            </w:pPr>
            <w:r w:rsidRPr="005171C5">
              <w:rPr>
                <w:rFonts w:ascii="Calibri" w:eastAsia="細明體" w:hAnsi="Calibri"/>
                <w:i/>
                <w:sz w:val="17"/>
                <w:szCs w:val="17"/>
                <w:lang w:eastAsia="zh-CN"/>
              </w:rPr>
              <w:t>PD</w:t>
            </w:r>
            <w:r w:rsidRPr="005171C5">
              <w:rPr>
                <w:rFonts w:ascii="Calibri" w:eastAsia="細明體" w:hAnsi="Calibri" w:hint="eastAsia"/>
                <w:i/>
                <w:sz w:val="17"/>
                <w:szCs w:val="17"/>
                <w:lang w:eastAsia="zh-CN"/>
              </w:rPr>
              <w:t>等級</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337C" w14:textId="77777777" w:rsidR="005171C5" w:rsidRPr="005171C5" w:rsidRDefault="005171C5" w:rsidP="005171C5">
            <w:pPr>
              <w:keepNext/>
              <w:suppressAutoHyphens/>
              <w:spacing w:before="40" w:after="40"/>
              <w:jc w:val="both"/>
              <w:rPr>
                <w:rFonts w:cs="Segoe UI"/>
                <w:sz w:val="15"/>
                <w:lang w:eastAsia="zh-TW"/>
              </w:rPr>
            </w:pPr>
            <w:r w:rsidRPr="005171C5">
              <w:rPr>
                <w:rFonts w:eastAsia="細明體" w:cs="Segoe UI"/>
                <w:sz w:val="17"/>
                <w:szCs w:val="17"/>
                <w:lang w:eastAsia="zh-TW"/>
              </w:rPr>
              <w:t>PD</w:t>
            </w:r>
            <w:r w:rsidRPr="005171C5">
              <w:rPr>
                <w:rFonts w:eastAsia="細明體" w:cs="Segoe UI" w:hint="eastAsia"/>
                <w:sz w:val="17"/>
                <w:szCs w:val="17"/>
                <w:lang w:eastAsia="zh-TW"/>
              </w:rPr>
              <w:t>等級不得更改。認可機構應將其計算風險加權數額所採用的</w:t>
            </w:r>
            <w:r w:rsidRPr="005171C5">
              <w:rPr>
                <w:rFonts w:eastAsia="細明體" w:cs="Segoe UI"/>
                <w:sz w:val="17"/>
                <w:szCs w:val="17"/>
                <w:lang w:eastAsia="zh-TW"/>
              </w:rPr>
              <w:t>PD</w:t>
            </w:r>
            <w:r w:rsidRPr="005171C5">
              <w:rPr>
                <w:rFonts w:eastAsia="細明體" w:cs="Segoe UI" w:hint="eastAsia"/>
                <w:sz w:val="17"/>
                <w:szCs w:val="17"/>
                <w:lang w:eastAsia="zh-TW"/>
              </w:rPr>
              <w:t>等級配予本模版所提供的</w:t>
            </w:r>
            <w:r w:rsidRPr="005171C5">
              <w:rPr>
                <w:rFonts w:eastAsia="細明體" w:cs="Segoe UI"/>
                <w:sz w:val="17"/>
                <w:szCs w:val="17"/>
                <w:lang w:eastAsia="zh-TW"/>
              </w:rPr>
              <w:t>PD</w:t>
            </w:r>
            <w:r w:rsidRPr="005171C5">
              <w:rPr>
                <w:rFonts w:eastAsia="細明體" w:cs="Segoe UI" w:hint="eastAsia"/>
                <w:sz w:val="17"/>
                <w:szCs w:val="17"/>
                <w:lang w:eastAsia="zh-TW"/>
              </w:rPr>
              <w:t>等級。</w:t>
            </w:r>
          </w:p>
        </w:tc>
      </w:tr>
      <w:tr w:rsidR="005171C5" w:rsidRPr="005171C5" w14:paraId="4F82361A"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2087B3E8" w14:textId="77777777" w:rsidR="005171C5" w:rsidRPr="005171C5" w:rsidRDefault="005171C5" w:rsidP="005171C5">
            <w:pPr>
              <w:spacing w:before="40" w:after="40" w:line="259" w:lineRule="auto"/>
              <w:jc w:val="both"/>
              <w:rPr>
                <w:rFonts w:ascii="Calibri" w:eastAsia="細明體" w:hAnsi="Calibri"/>
                <w:i/>
                <w:sz w:val="17"/>
                <w:szCs w:val="17"/>
                <w:lang w:eastAsia="zh-CN"/>
              </w:rPr>
            </w:pPr>
            <w:r w:rsidRPr="005171C5">
              <w:rPr>
                <w:rFonts w:ascii="Calibri" w:eastAsia="細明體" w:hAnsi="Calibri"/>
                <w:sz w:val="17"/>
                <w:szCs w:val="17"/>
                <w:lang w:eastAsia="zh-CN"/>
              </w:rPr>
              <w:t>(a)</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8A60" w14:textId="7E6FF218" w:rsidR="005171C5" w:rsidRPr="005171C5" w:rsidRDefault="005171C5" w:rsidP="005171C5">
            <w:pPr>
              <w:keepNext/>
              <w:suppressAutoHyphens/>
              <w:spacing w:before="40" w:after="40"/>
              <w:jc w:val="both"/>
              <w:rPr>
                <w:rFonts w:cs="Segoe UI"/>
                <w:sz w:val="15"/>
                <w:lang w:eastAsia="zh-TW"/>
              </w:rPr>
            </w:pPr>
            <w:r w:rsidRPr="005171C5">
              <w:rPr>
                <w:rFonts w:eastAsia="細明體" w:cs="Segoe UI" w:hint="eastAsia"/>
                <w:i/>
                <w:sz w:val="16"/>
                <w:szCs w:val="16"/>
                <w:lang w:eastAsia="zh-TW"/>
              </w:rPr>
              <w:t>已將減低信用風險措施</w:t>
            </w:r>
            <w:r w:rsidRPr="005171C5">
              <w:rPr>
                <w:rFonts w:eastAsia="細明體" w:cs="Segoe UI" w:hint="eastAsia"/>
                <w:bCs/>
                <w:i/>
                <w:sz w:val="17"/>
                <w:szCs w:val="17"/>
                <w:lang w:eastAsia="zh-TW"/>
              </w:rPr>
              <w:t>計算在內</w:t>
            </w:r>
            <w:r w:rsidRPr="005171C5">
              <w:rPr>
                <w:rFonts w:eastAsia="細明體" w:cs="Segoe UI" w:hint="eastAsia"/>
                <w:i/>
                <w:sz w:val="16"/>
                <w:szCs w:val="16"/>
                <w:lang w:eastAsia="zh-TW"/>
              </w:rPr>
              <w:t>的</w:t>
            </w:r>
            <w:r w:rsidRPr="005171C5">
              <w:rPr>
                <w:rFonts w:eastAsia="細明體" w:cs="Segoe UI"/>
                <w:i/>
                <w:sz w:val="16"/>
                <w:szCs w:val="16"/>
                <w:lang w:eastAsia="zh-TW"/>
              </w:rPr>
              <w:t>EAD</w:t>
            </w:r>
            <w:r w:rsidRPr="005171C5">
              <w:rPr>
                <w:rFonts w:eastAsia="細明體" w:cs="Segoe UI" w:hint="eastAsia"/>
                <w:sz w:val="17"/>
                <w:szCs w:val="17"/>
                <w:lang w:eastAsia="zh-TW"/>
              </w:rPr>
              <w:t>：以適用計算法就對手方</w:t>
            </w:r>
            <w:r w:rsidRPr="005171C5">
              <w:rPr>
                <w:rFonts w:eastAsia="細明體" w:cs="Segoe UI" w:hint="eastAsia"/>
                <w:sz w:val="17"/>
                <w:szCs w:val="17"/>
                <w:lang w:eastAsia="zh-HK"/>
              </w:rPr>
              <w:t>信用</w:t>
            </w:r>
            <w:r w:rsidRPr="005171C5">
              <w:rPr>
                <w:rFonts w:eastAsia="細明體" w:cs="Segoe UI" w:hint="eastAsia"/>
                <w:sz w:val="17"/>
                <w:szCs w:val="17"/>
                <w:lang w:eastAsia="zh-TW"/>
              </w:rPr>
              <w:t>風險計算資本規定，已將認可減低信用風險措施的效果計算在內但未扣除會計準備金的相關數額。</w:t>
            </w:r>
          </w:p>
        </w:tc>
      </w:tr>
      <w:tr w:rsidR="005171C5" w:rsidRPr="005171C5" w14:paraId="66FB3F46"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51626A3F" w14:textId="77777777" w:rsidR="005171C5" w:rsidRPr="005171C5" w:rsidRDefault="005171C5" w:rsidP="005171C5">
            <w:pPr>
              <w:spacing w:before="40" w:after="40" w:line="259" w:lineRule="auto"/>
              <w:jc w:val="both"/>
              <w:rPr>
                <w:rFonts w:ascii="Calibri" w:eastAsia="細明體" w:hAnsi="Calibri"/>
                <w:i/>
                <w:sz w:val="17"/>
                <w:szCs w:val="17"/>
                <w:lang w:eastAsia="zh-CN"/>
              </w:rPr>
            </w:pPr>
            <w:r w:rsidRPr="005171C5">
              <w:rPr>
                <w:rFonts w:ascii="Calibri" w:eastAsia="細明體" w:hAnsi="Calibri"/>
                <w:sz w:val="17"/>
                <w:szCs w:val="17"/>
                <w:lang w:eastAsia="zh-CN"/>
              </w:rPr>
              <w:t>(b)</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2D4D1" w14:textId="77777777" w:rsidR="005171C5" w:rsidRPr="005171C5" w:rsidRDefault="005171C5" w:rsidP="005171C5">
            <w:pPr>
              <w:keepNext/>
              <w:suppressAutoHyphens/>
              <w:spacing w:before="40" w:after="40"/>
              <w:jc w:val="both"/>
              <w:rPr>
                <w:rFonts w:cs="Segoe UI"/>
                <w:sz w:val="15"/>
                <w:lang w:eastAsia="zh-TW"/>
              </w:rPr>
            </w:pPr>
            <w:r w:rsidRPr="005171C5">
              <w:rPr>
                <w:rFonts w:eastAsia="細明體" w:cs="Segoe UI" w:hint="eastAsia"/>
                <w:i/>
                <w:sz w:val="17"/>
                <w:szCs w:val="17"/>
                <w:lang w:eastAsia="zh-TW"/>
              </w:rPr>
              <w:t>平均</w:t>
            </w:r>
            <w:r w:rsidRPr="005171C5">
              <w:rPr>
                <w:rFonts w:eastAsia="細明體" w:cs="Segoe UI"/>
                <w:i/>
                <w:sz w:val="17"/>
                <w:szCs w:val="17"/>
                <w:lang w:eastAsia="zh-TW"/>
              </w:rPr>
              <w:t>PD</w:t>
            </w:r>
            <w:r w:rsidRPr="005171C5">
              <w:rPr>
                <w:rFonts w:eastAsia="細明體" w:cs="Segoe UI" w:hint="eastAsia"/>
                <w:sz w:val="17"/>
                <w:szCs w:val="17"/>
                <w:lang w:eastAsia="zh-TW"/>
              </w:rPr>
              <w:t>：於同一行內的承擔義務人等級</w:t>
            </w:r>
            <w:r w:rsidRPr="005171C5">
              <w:rPr>
                <w:rFonts w:eastAsia="細明體" w:cs="Segoe UI"/>
                <w:sz w:val="17"/>
                <w:szCs w:val="17"/>
                <w:lang w:eastAsia="zh-TW"/>
              </w:rPr>
              <w:t>PD</w:t>
            </w:r>
            <w:r w:rsidRPr="005171C5">
              <w:rPr>
                <w:rFonts w:eastAsia="細明體" w:cs="Segoe UI" w:hint="eastAsia"/>
                <w:sz w:val="17"/>
                <w:szCs w:val="17"/>
                <w:lang w:eastAsia="zh-TW"/>
              </w:rPr>
              <w:t>的加權平均數，並以每名承擔義務人的</w:t>
            </w:r>
            <w:r w:rsidRPr="005171C5">
              <w:rPr>
                <w:rFonts w:eastAsia="細明體" w:cs="Segoe UI"/>
                <w:sz w:val="17"/>
                <w:szCs w:val="17"/>
                <w:lang w:eastAsia="zh-TW"/>
              </w:rPr>
              <w:t>EAD</w:t>
            </w:r>
            <w:r w:rsidRPr="005171C5">
              <w:rPr>
                <w:rFonts w:eastAsia="細明體" w:cs="Segoe UI"/>
                <w:sz w:val="17"/>
                <w:szCs w:val="17"/>
                <w:lang w:eastAsia="zh-TW"/>
              </w:rPr>
              <w:t>作</w:t>
            </w:r>
            <w:r w:rsidRPr="005171C5">
              <w:rPr>
                <w:rFonts w:eastAsia="細明體" w:cs="Segoe UI" w:hint="eastAsia"/>
                <w:sz w:val="17"/>
                <w:szCs w:val="17"/>
                <w:lang w:eastAsia="zh-TW"/>
              </w:rPr>
              <w:t>為權重。</w:t>
            </w:r>
          </w:p>
        </w:tc>
      </w:tr>
      <w:tr w:rsidR="005171C5" w:rsidRPr="005171C5" w14:paraId="4FA72466"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4FB7491B" w14:textId="77777777" w:rsidR="005171C5" w:rsidRPr="005171C5" w:rsidRDefault="005171C5" w:rsidP="005171C5">
            <w:pPr>
              <w:spacing w:before="40" w:after="40" w:line="259" w:lineRule="auto"/>
              <w:jc w:val="both"/>
              <w:rPr>
                <w:rFonts w:ascii="Calibri" w:eastAsia="細明體" w:hAnsi="Calibri"/>
                <w:i/>
                <w:sz w:val="17"/>
                <w:szCs w:val="17"/>
                <w:lang w:eastAsia="zh-CN"/>
              </w:rPr>
            </w:pPr>
            <w:r w:rsidRPr="005171C5">
              <w:rPr>
                <w:rFonts w:ascii="Calibri" w:eastAsia="細明體" w:hAnsi="Calibri"/>
                <w:sz w:val="17"/>
                <w:szCs w:val="17"/>
                <w:lang w:eastAsia="zh-CN"/>
              </w:rPr>
              <w:t>(c)</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C6122" w14:textId="77777777" w:rsidR="005171C5" w:rsidRPr="005171C5" w:rsidRDefault="005171C5" w:rsidP="005171C5">
            <w:pPr>
              <w:keepNext/>
              <w:suppressAutoHyphens/>
              <w:spacing w:before="40" w:after="40"/>
              <w:jc w:val="both"/>
              <w:rPr>
                <w:rFonts w:cs="Segoe UI"/>
                <w:sz w:val="15"/>
                <w:lang w:eastAsia="zh-TW"/>
              </w:rPr>
            </w:pPr>
            <w:r w:rsidRPr="005171C5">
              <w:rPr>
                <w:rFonts w:eastAsia="細明體" w:cs="Segoe UI" w:hint="eastAsia"/>
                <w:i/>
                <w:sz w:val="17"/>
                <w:szCs w:val="17"/>
                <w:lang w:eastAsia="zh-TW"/>
              </w:rPr>
              <w:t>承擔義務人數目</w:t>
            </w:r>
            <w:r w:rsidRPr="005171C5">
              <w:rPr>
                <w:rFonts w:eastAsia="細明體" w:cs="Segoe UI" w:hint="eastAsia"/>
                <w:sz w:val="17"/>
                <w:szCs w:val="17"/>
                <w:lang w:eastAsia="zh-TW"/>
              </w:rPr>
              <w:t>：於同一</w:t>
            </w:r>
            <w:r w:rsidRPr="005171C5">
              <w:rPr>
                <w:rFonts w:eastAsia="細明體" w:cs="Segoe UI"/>
                <w:sz w:val="17"/>
                <w:szCs w:val="17"/>
                <w:lang w:eastAsia="zh-TW"/>
              </w:rPr>
              <w:t>行內的個別</w:t>
            </w:r>
            <w:r w:rsidRPr="005171C5">
              <w:rPr>
                <w:rFonts w:eastAsia="細明體" w:cs="Segoe UI" w:hint="eastAsia"/>
                <w:sz w:val="17"/>
                <w:szCs w:val="17"/>
                <w:lang w:eastAsia="zh-TW"/>
              </w:rPr>
              <w:t>承擔義務</w:t>
            </w:r>
            <w:r w:rsidRPr="005171C5">
              <w:rPr>
                <w:rFonts w:eastAsia="細明體" w:cs="Segoe UI"/>
                <w:sz w:val="16"/>
                <w:szCs w:val="16"/>
                <w:lang w:eastAsia="zh-TW"/>
              </w:rPr>
              <w:t>人</w:t>
            </w:r>
            <w:r w:rsidRPr="005171C5">
              <w:rPr>
                <w:rFonts w:eastAsia="細明體" w:cs="Segoe UI" w:hint="eastAsia"/>
                <w:sz w:val="17"/>
                <w:szCs w:val="17"/>
                <w:lang w:eastAsia="zh-TW"/>
              </w:rPr>
              <w:t>的數目。為披露目的，可以近似值（約數）填報承擔義務</w:t>
            </w:r>
            <w:r w:rsidRPr="005171C5">
              <w:rPr>
                <w:rFonts w:eastAsia="細明體" w:cs="Segoe UI"/>
                <w:sz w:val="16"/>
                <w:szCs w:val="16"/>
                <w:lang w:eastAsia="zh-TW"/>
              </w:rPr>
              <w:t>人</w:t>
            </w:r>
            <w:r w:rsidRPr="005171C5">
              <w:rPr>
                <w:rFonts w:eastAsia="細明體" w:cs="Segoe UI" w:hint="eastAsia"/>
                <w:sz w:val="17"/>
                <w:szCs w:val="17"/>
                <w:lang w:eastAsia="zh-TW"/>
              </w:rPr>
              <w:t>數目。</w:t>
            </w:r>
          </w:p>
        </w:tc>
      </w:tr>
      <w:tr w:rsidR="005171C5" w:rsidRPr="005171C5" w14:paraId="57C5525C"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5A2C4F18" w14:textId="77777777" w:rsidR="005171C5" w:rsidRPr="005171C5" w:rsidRDefault="005171C5" w:rsidP="005171C5">
            <w:pPr>
              <w:spacing w:before="40" w:after="40" w:line="259" w:lineRule="auto"/>
              <w:jc w:val="both"/>
              <w:rPr>
                <w:rFonts w:ascii="Calibri" w:eastAsia="細明體" w:hAnsi="Calibri"/>
                <w:i/>
                <w:sz w:val="17"/>
                <w:szCs w:val="17"/>
                <w:lang w:eastAsia="zh-CN"/>
              </w:rPr>
            </w:pPr>
            <w:r w:rsidRPr="005171C5">
              <w:rPr>
                <w:rFonts w:ascii="Calibri" w:eastAsia="細明體" w:hAnsi="Calibri"/>
                <w:sz w:val="17"/>
                <w:szCs w:val="17"/>
                <w:lang w:eastAsia="zh-CN"/>
              </w:rPr>
              <w:t>(d)</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33717" w14:textId="77777777" w:rsidR="005171C5" w:rsidRPr="005171C5" w:rsidRDefault="005171C5" w:rsidP="005171C5">
            <w:pPr>
              <w:suppressAutoHyphens/>
              <w:spacing w:before="40" w:after="40"/>
              <w:jc w:val="both"/>
              <w:rPr>
                <w:rFonts w:cs="Segoe UI"/>
                <w:sz w:val="15"/>
                <w:lang w:eastAsia="zh-TW"/>
              </w:rPr>
            </w:pPr>
            <w:r w:rsidRPr="005171C5">
              <w:rPr>
                <w:rFonts w:eastAsia="細明體" w:cs="Segoe UI" w:hint="eastAsia"/>
                <w:i/>
                <w:sz w:val="17"/>
                <w:szCs w:val="17"/>
                <w:lang w:eastAsia="zh-TW"/>
              </w:rPr>
              <w:t>平均</w:t>
            </w:r>
            <w:r w:rsidRPr="005171C5">
              <w:rPr>
                <w:rFonts w:eastAsia="細明體" w:cs="Segoe UI"/>
                <w:i/>
                <w:sz w:val="17"/>
                <w:szCs w:val="17"/>
                <w:lang w:eastAsia="zh-TW"/>
              </w:rPr>
              <w:t>LGD</w:t>
            </w:r>
            <w:r w:rsidRPr="005171C5">
              <w:rPr>
                <w:rFonts w:eastAsia="細明體" w:cs="Segoe UI" w:hint="eastAsia"/>
                <w:sz w:val="17"/>
                <w:szCs w:val="17"/>
                <w:lang w:eastAsia="zh-TW"/>
              </w:rPr>
              <w:t>：屬同一</w:t>
            </w:r>
            <w:r w:rsidRPr="005171C5">
              <w:rPr>
                <w:rFonts w:eastAsia="細明體" w:cs="Segoe UI"/>
                <w:sz w:val="17"/>
                <w:szCs w:val="17"/>
                <w:lang w:eastAsia="zh-TW"/>
              </w:rPr>
              <w:t>PD</w:t>
            </w:r>
            <w:r w:rsidRPr="005171C5">
              <w:rPr>
                <w:rFonts w:eastAsia="細明體" w:cs="Segoe UI" w:hint="eastAsia"/>
                <w:sz w:val="17"/>
                <w:szCs w:val="17"/>
                <w:lang w:eastAsia="zh-TW"/>
              </w:rPr>
              <w:t>範圍</w:t>
            </w:r>
            <w:proofErr w:type="gramStart"/>
            <w:r w:rsidRPr="005171C5">
              <w:rPr>
                <w:rFonts w:eastAsia="細明體" w:cs="Segoe UI" w:hint="eastAsia"/>
                <w:sz w:val="17"/>
                <w:szCs w:val="17"/>
                <w:lang w:eastAsia="zh-TW"/>
              </w:rPr>
              <w:t>（</w:t>
            </w:r>
            <w:proofErr w:type="gramEnd"/>
            <w:r w:rsidRPr="005171C5">
              <w:rPr>
                <w:rFonts w:eastAsia="細明體" w:cs="Segoe UI" w:hint="eastAsia"/>
                <w:sz w:val="17"/>
                <w:szCs w:val="17"/>
                <w:lang w:eastAsia="zh-TW"/>
              </w:rPr>
              <w:t>或就「小計」及「總計」</w:t>
            </w:r>
            <w:r w:rsidRPr="005171C5">
              <w:rPr>
                <w:rFonts w:eastAsia="細明體" w:cs="Segoe UI"/>
                <w:sz w:val="17"/>
                <w:szCs w:val="17"/>
                <w:lang w:eastAsia="zh-TW"/>
              </w:rPr>
              <w:t>行</w:t>
            </w:r>
            <w:proofErr w:type="gramStart"/>
            <w:r w:rsidRPr="005171C5">
              <w:rPr>
                <w:rFonts w:eastAsia="細明體" w:cs="Segoe UI" w:hint="eastAsia"/>
                <w:sz w:val="17"/>
                <w:szCs w:val="17"/>
                <w:lang w:eastAsia="zh-TW"/>
              </w:rPr>
              <w:t>（</w:t>
            </w:r>
            <w:proofErr w:type="gramEnd"/>
            <w:r w:rsidRPr="005171C5">
              <w:rPr>
                <w:rFonts w:eastAsia="細明體" w:cs="Segoe UI" w:hint="eastAsia"/>
                <w:sz w:val="17"/>
                <w:szCs w:val="17"/>
                <w:lang w:eastAsia="zh-TW"/>
              </w:rPr>
              <w:t>以適用者為</w:t>
            </w:r>
            <w:proofErr w:type="gramStart"/>
            <w:r w:rsidRPr="005171C5">
              <w:rPr>
                <w:rFonts w:eastAsia="細明體" w:cs="Segoe UI" w:hint="eastAsia"/>
                <w:sz w:val="17"/>
                <w:szCs w:val="17"/>
                <w:lang w:eastAsia="zh-TW"/>
              </w:rPr>
              <w:t>準）</w:t>
            </w:r>
            <w:proofErr w:type="gramEnd"/>
            <w:r w:rsidRPr="005171C5">
              <w:rPr>
                <w:rFonts w:eastAsia="細明體" w:cs="Segoe UI" w:hint="eastAsia"/>
                <w:sz w:val="17"/>
                <w:szCs w:val="17"/>
                <w:lang w:eastAsia="zh-TW"/>
              </w:rPr>
              <w:t>而言屬同一組合</w:t>
            </w:r>
            <w:proofErr w:type="gramStart"/>
            <w:r w:rsidRPr="005171C5">
              <w:rPr>
                <w:rFonts w:eastAsia="細明體" w:cs="Segoe UI" w:hint="eastAsia"/>
                <w:sz w:val="17"/>
                <w:szCs w:val="17"/>
                <w:lang w:eastAsia="zh-TW"/>
              </w:rPr>
              <w:t>）</w:t>
            </w:r>
            <w:proofErr w:type="gramEnd"/>
            <w:r w:rsidRPr="005171C5">
              <w:rPr>
                <w:rFonts w:eastAsia="細明體" w:cs="Segoe UI" w:hint="eastAsia"/>
                <w:sz w:val="17"/>
                <w:szCs w:val="17"/>
                <w:lang w:eastAsia="zh-TW"/>
              </w:rPr>
              <w:t>的承擔義務人等級</w:t>
            </w:r>
            <w:r w:rsidRPr="005171C5">
              <w:rPr>
                <w:rFonts w:eastAsia="細明體" w:cs="Segoe UI"/>
                <w:sz w:val="17"/>
                <w:szCs w:val="17"/>
                <w:lang w:eastAsia="zh-TW"/>
              </w:rPr>
              <w:t>LGD</w:t>
            </w:r>
            <w:r w:rsidRPr="005171C5">
              <w:rPr>
                <w:rFonts w:eastAsia="細明體" w:cs="Segoe UI" w:hint="eastAsia"/>
                <w:sz w:val="17"/>
                <w:szCs w:val="17"/>
                <w:lang w:eastAsia="zh-TW"/>
              </w:rPr>
              <w:t>的加權平均數，並以每名承擔義務人的</w:t>
            </w:r>
            <w:r w:rsidRPr="005171C5">
              <w:rPr>
                <w:rFonts w:eastAsia="細明體" w:cs="Segoe UI"/>
                <w:sz w:val="17"/>
                <w:szCs w:val="17"/>
                <w:lang w:eastAsia="zh-TW"/>
              </w:rPr>
              <w:t>EAD</w:t>
            </w:r>
            <w:r w:rsidRPr="005171C5">
              <w:rPr>
                <w:rFonts w:eastAsia="細明體" w:cs="Segoe UI"/>
                <w:sz w:val="17"/>
                <w:szCs w:val="17"/>
                <w:lang w:eastAsia="zh-TW"/>
              </w:rPr>
              <w:t>作</w:t>
            </w:r>
            <w:r w:rsidRPr="005171C5">
              <w:rPr>
                <w:rFonts w:eastAsia="細明體" w:cs="Segoe UI" w:hint="eastAsia"/>
                <w:sz w:val="17"/>
                <w:szCs w:val="17"/>
                <w:lang w:eastAsia="zh-TW"/>
              </w:rPr>
              <w:t>為權重。有關</w:t>
            </w:r>
            <w:r w:rsidRPr="005171C5">
              <w:rPr>
                <w:rFonts w:eastAsia="細明體" w:cs="Segoe UI"/>
                <w:sz w:val="17"/>
                <w:szCs w:val="17"/>
                <w:lang w:eastAsia="zh-TW"/>
              </w:rPr>
              <w:t>LGD</w:t>
            </w:r>
            <w:r w:rsidRPr="005171C5">
              <w:rPr>
                <w:rFonts w:eastAsia="細明體" w:cs="Segoe UI" w:hint="eastAsia"/>
                <w:sz w:val="17"/>
                <w:szCs w:val="17"/>
                <w:lang w:eastAsia="zh-TW"/>
              </w:rPr>
              <w:t>應已將任何認可減低信用風險措施的效果計算在內。</w:t>
            </w:r>
          </w:p>
        </w:tc>
      </w:tr>
      <w:tr w:rsidR="005171C5" w:rsidRPr="005171C5" w14:paraId="1E475DCB"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47F56791" w14:textId="77777777" w:rsidR="005171C5" w:rsidRPr="005171C5" w:rsidRDefault="005171C5" w:rsidP="005171C5">
            <w:pPr>
              <w:spacing w:before="40" w:after="40" w:line="259" w:lineRule="auto"/>
              <w:jc w:val="both"/>
              <w:rPr>
                <w:rFonts w:ascii="Calibri" w:eastAsia="細明體" w:hAnsi="Calibri"/>
                <w:i/>
                <w:sz w:val="17"/>
                <w:szCs w:val="17"/>
                <w:lang w:eastAsia="zh-CN"/>
              </w:rPr>
            </w:pPr>
            <w:r w:rsidRPr="005171C5">
              <w:rPr>
                <w:rFonts w:ascii="Calibri" w:eastAsia="細明體" w:hAnsi="Calibri"/>
                <w:sz w:val="17"/>
                <w:szCs w:val="17"/>
                <w:lang w:eastAsia="zh-CN"/>
              </w:rPr>
              <w:t>(e)</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FED8" w14:textId="77777777" w:rsidR="005171C5" w:rsidRPr="005171C5" w:rsidRDefault="005171C5" w:rsidP="005171C5">
            <w:pPr>
              <w:suppressAutoHyphens/>
              <w:spacing w:before="40" w:after="40"/>
              <w:jc w:val="both"/>
              <w:rPr>
                <w:rFonts w:cs="Segoe UI"/>
                <w:sz w:val="15"/>
                <w:lang w:eastAsia="zh-TW"/>
              </w:rPr>
            </w:pPr>
            <w:r w:rsidRPr="005171C5">
              <w:rPr>
                <w:rFonts w:eastAsia="細明體" w:cs="Segoe UI" w:hint="eastAsia"/>
                <w:i/>
                <w:sz w:val="17"/>
                <w:szCs w:val="17"/>
                <w:lang w:eastAsia="zh-TW"/>
              </w:rPr>
              <w:t>平均到期期限</w:t>
            </w:r>
            <w:r w:rsidRPr="005171C5">
              <w:rPr>
                <w:rFonts w:eastAsia="細明體" w:cs="Segoe UI" w:hint="eastAsia"/>
                <w:sz w:val="17"/>
                <w:szCs w:val="17"/>
                <w:lang w:eastAsia="zh-TW"/>
              </w:rPr>
              <w:t>：屬同一</w:t>
            </w:r>
            <w:r w:rsidRPr="005171C5">
              <w:rPr>
                <w:rFonts w:eastAsia="細明體" w:cs="Segoe UI"/>
                <w:sz w:val="17"/>
                <w:szCs w:val="17"/>
                <w:lang w:eastAsia="zh-TW"/>
              </w:rPr>
              <w:t>PD</w:t>
            </w:r>
            <w:r w:rsidRPr="005171C5">
              <w:rPr>
                <w:rFonts w:eastAsia="細明體" w:cs="Segoe UI" w:hint="eastAsia"/>
                <w:sz w:val="17"/>
                <w:szCs w:val="17"/>
                <w:lang w:eastAsia="zh-TW"/>
              </w:rPr>
              <w:t>範圍</w:t>
            </w:r>
            <w:proofErr w:type="gramStart"/>
            <w:r w:rsidRPr="005171C5">
              <w:rPr>
                <w:rFonts w:eastAsia="細明體" w:cs="Segoe UI" w:hint="eastAsia"/>
                <w:sz w:val="17"/>
                <w:szCs w:val="17"/>
                <w:lang w:eastAsia="zh-TW"/>
              </w:rPr>
              <w:t>（</w:t>
            </w:r>
            <w:proofErr w:type="gramEnd"/>
            <w:r w:rsidRPr="005171C5">
              <w:rPr>
                <w:rFonts w:eastAsia="細明體" w:cs="Segoe UI" w:hint="eastAsia"/>
                <w:sz w:val="17"/>
                <w:szCs w:val="17"/>
                <w:lang w:eastAsia="zh-TW"/>
              </w:rPr>
              <w:t>或就「小計」及「總計」</w:t>
            </w:r>
            <w:r w:rsidRPr="005171C5">
              <w:rPr>
                <w:rFonts w:eastAsia="細明體" w:cs="Segoe UI"/>
                <w:sz w:val="17"/>
                <w:szCs w:val="17"/>
                <w:lang w:eastAsia="zh-TW"/>
              </w:rPr>
              <w:t>行</w:t>
            </w:r>
            <w:proofErr w:type="gramStart"/>
            <w:r w:rsidRPr="005171C5">
              <w:rPr>
                <w:rFonts w:eastAsia="細明體" w:cs="Segoe UI" w:hint="eastAsia"/>
                <w:sz w:val="17"/>
                <w:szCs w:val="17"/>
                <w:lang w:eastAsia="zh-TW"/>
              </w:rPr>
              <w:t>（</w:t>
            </w:r>
            <w:proofErr w:type="gramEnd"/>
            <w:r w:rsidRPr="005171C5">
              <w:rPr>
                <w:rFonts w:eastAsia="細明體" w:cs="Segoe UI" w:hint="eastAsia"/>
                <w:sz w:val="17"/>
                <w:szCs w:val="17"/>
                <w:lang w:eastAsia="zh-TW"/>
              </w:rPr>
              <w:t>以適用者為</w:t>
            </w:r>
            <w:proofErr w:type="gramStart"/>
            <w:r w:rsidRPr="005171C5">
              <w:rPr>
                <w:rFonts w:eastAsia="細明體" w:cs="Segoe UI" w:hint="eastAsia"/>
                <w:sz w:val="17"/>
                <w:szCs w:val="17"/>
                <w:lang w:eastAsia="zh-TW"/>
              </w:rPr>
              <w:t>準）</w:t>
            </w:r>
            <w:proofErr w:type="gramEnd"/>
            <w:r w:rsidRPr="005171C5">
              <w:rPr>
                <w:rFonts w:eastAsia="細明體" w:cs="Segoe UI" w:hint="eastAsia"/>
                <w:sz w:val="17"/>
                <w:szCs w:val="17"/>
                <w:lang w:eastAsia="zh-TW"/>
              </w:rPr>
              <w:t>而言屬同一組合</w:t>
            </w:r>
            <w:proofErr w:type="gramStart"/>
            <w:r w:rsidRPr="005171C5">
              <w:rPr>
                <w:rFonts w:eastAsia="細明體" w:cs="Segoe UI" w:hint="eastAsia"/>
                <w:sz w:val="17"/>
                <w:szCs w:val="17"/>
                <w:lang w:eastAsia="zh-TW"/>
              </w:rPr>
              <w:t>）</w:t>
            </w:r>
            <w:proofErr w:type="gramEnd"/>
            <w:r w:rsidRPr="005171C5">
              <w:rPr>
                <w:rFonts w:eastAsia="細明體" w:cs="Segoe UI" w:hint="eastAsia"/>
                <w:sz w:val="17"/>
                <w:szCs w:val="17"/>
                <w:lang w:eastAsia="zh-TW"/>
              </w:rPr>
              <w:t>的承擔義務人到期期限的加權平均數（以年數表示），並以每名承擔義務人的</w:t>
            </w:r>
            <w:r w:rsidRPr="005171C5">
              <w:rPr>
                <w:rFonts w:eastAsia="細明體" w:cs="Segoe UI"/>
                <w:sz w:val="17"/>
                <w:szCs w:val="17"/>
                <w:lang w:eastAsia="zh-TW"/>
              </w:rPr>
              <w:t>EAD</w:t>
            </w:r>
            <w:r w:rsidRPr="005171C5">
              <w:rPr>
                <w:rFonts w:eastAsia="細明體" w:cs="Segoe UI"/>
                <w:sz w:val="17"/>
                <w:szCs w:val="17"/>
                <w:lang w:eastAsia="zh-TW"/>
              </w:rPr>
              <w:t>作</w:t>
            </w:r>
            <w:r w:rsidRPr="005171C5">
              <w:rPr>
                <w:rFonts w:eastAsia="細明體" w:cs="Segoe UI" w:hint="eastAsia"/>
                <w:sz w:val="17"/>
                <w:szCs w:val="17"/>
                <w:lang w:eastAsia="zh-TW"/>
              </w:rPr>
              <w:t>為權重。是項參數只有當該參數被用作計算</w:t>
            </w:r>
            <w:r w:rsidRPr="005171C5">
              <w:rPr>
                <w:rFonts w:eastAsia="細明體" w:cs="Segoe UI"/>
                <w:sz w:val="17"/>
                <w:szCs w:val="17"/>
                <w:lang w:eastAsia="zh-TW"/>
              </w:rPr>
              <w:t>風險加權數額時才須填寫。</w:t>
            </w:r>
          </w:p>
        </w:tc>
      </w:tr>
      <w:tr w:rsidR="005171C5" w:rsidRPr="005171C5" w14:paraId="7FFD7324"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32E5E680" w14:textId="77777777" w:rsidR="005171C5" w:rsidRPr="005171C5" w:rsidRDefault="005171C5" w:rsidP="005171C5">
            <w:pPr>
              <w:spacing w:before="40" w:after="40" w:line="259" w:lineRule="auto"/>
              <w:jc w:val="both"/>
              <w:rPr>
                <w:rFonts w:ascii="Calibri" w:eastAsia="細明體" w:hAnsi="Calibri"/>
                <w:i/>
                <w:sz w:val="17"/>
                <w:szCs w:val="17"/>
                <w:lang w:eastAsia="zh-CN"/>
              </w:rPr>
            </w:pPr>
            <w:r w:rsidRPr="005171C5">
              <w:rPr>
                <w:rFonts w:ascii="Calibri" w:eastAsia="細明體" w:hAnsi="Calibri"/>
                <w:sz w:val="17"/>
                <w:szCs w:val="17"/>
                <w:lang w:eastAsia="zh-CN"/>
              </w:rPr>
              <w:t>(f)</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875B" w14:textId="77777777" w:rsidR="005171C5" w:rsidRPr="005171C5" w:rsidRDefault="005171C5" w:rsidP="005171C5">
            <w:pPr>
              <w:keepNext/>
              <w:suppressAutoHyphens/>
              <w:spacing w:before="40" w:after="40"/>
              <w:jc w:val="both"/>
              <w:rPr>
                <w:rFonts w:cs="Segoe UI"/>
                <w:sz w:val="15"/>
                <w:lang w:eastAsia="zh-TW"/>
              </w:rPr>
            </w:pPr>
            <w:r w:rsidRPr="005171C5">
              <w:rPr>
                <w:rFonts w:eastAsia="細明體" w:cs="Segoe UI" w:hint="eastAsia"/>
                <w:i/>
                <w:sz w:val="17"/>
                <w:szCs w:val="17"/>
                <w:lang w:eastAsia="zh-TW"/>
              </w:rPr>
              <w:t>風險加權數額</w:t>
            </w:r>
            <w:r w:rsidRPr="005171C5">
              <w:rPr>
                <w:rFonts w:eastAsia="細明體" w:cs="Segoe UI" w:hint="eastAsia"/>
                <w:sz w:val="17"/>
                <w:szCs w:val="17"/>
                <w:lang w:eastAsia="zh-TW"/>
              </w:rPr>
              <w:t>：</w:t>
            </w:r>
            <w:r w:rsidRPr="005171C5">
              <w:rPr>
                <w:rFonts w:eastAsia="細明體" w:cs="Segoe UI"/>
                <w:sz w:val="17"/>
                <w:szCs w:val="17"/>
                <w:lang w:eastAsia="zh-TW"/>
              </w:rPr>
              <w:t>根據《資本規則》第</w:t>
            </w:r>
            <w:r w:rsidRPr="005171C5">
              <w:rPr>
                <w:rFonts w:eastAsia="細明體" w:cs="Segoe UI"/>
                <w:sz w:val="17"/>
                <w:szCs w:val="17"/>
                <w:lang w:eastAsia="zh-TW"/>
              </w:rPr>
              <w:t>6</w:t>
            </w:r>
            <w:r w:rsidRPr="005171C5">
              <w:rPr>
                <w:rFonts w:eastAsia="細明體" w:cs="Segoe UI"/>
                <w:sz w:val="17"/>
                <w:szCs w:val="17"/>
                <w:lang w:eastAsia="zh-TW"/>
              </w:rPr>
              <w:t>部計算的</w:t>
            </w:r>
            <w:r w:rsidRPr="005171C5">
              <w:rPr>
                <w:rFonts w:eastAsia="細明體" w:cs="Segoe UI" w:hint="eastAsia"/>
                <w:sz w:val="17"/>
                <w:szCs w:val="17"/>
                <w:lang w:eastAsia="zh-TW"/>
              </w:rPr>
              <w:t>風險加權數額</w:t>
            </w:r>
            <w:r w:rsidRPr="005171C5">
              <w:rPr>
                <w:rFonts w:eastAsia="細明體" w:cs="Segoe UI"/>
                <w:sz w:val="17"/>
                <w:szCs w:val="17"/>
                <w:lang w:eastAsia="zh-TW"/>
              </w:rPr>
              <w:t>。</w:t>
            </w:r>
          </w:p>
        </w:tc>
      </w:tr>
      <w:tr w:rsidR="005171C5" w:rsidRPr="005171C5" w14:paraId="214EAACD" w14:textId="77777777" w:rsidTr="005171C5">
        <w:trPr>
          <w:cantSplit/>
        </w:trPr>
        <w:tc>
          <w:tcPr>
            <w:tcW w:w="851" w:type="dxa"/>
            <w:tcBorders>
              <w:top w:val="single" w:sz="4" w:space="0" w:color="000000"/>
              <w:left w:val="single" w:sz="4" w:space="0" w:color="000000"/>
              <w:bottom w:val="single" w:sz="4" w:space="0" w:color="000000"/>
            </w:tcBorders>
            <w:shd w:val="clear" w:color="auto" w:fill="auto"/>
          </w:tcPr>
          <w:p w14:paraId="3937180D" w14:textId="77777777" w:rsidR="005171C5" w:rsidRPr="005171C5" w:rsidRDefault="005171C5" w:rsidP="005171C5">
            <w:pPr>
              <w:spacing w:before="40" w:after="40" w:line="259" w:lineRule="auto"/>
              <w:jc w:val="both"/>
              <w:rPr>
                <w:rFonts w:ascii="Calibri" w:eastAsia="細明體" w:hAnsi="Calibri"/>
                <w:i/>
                <w:sz w:val="17"/>
                <w:szCs w:val="17"/>
                <w:lang w:eastAsia="zh-CN"/>
              </w:rPr>
            </w:pPr>
            <w:r w:rsidRPr="005171C5">
              <w:rPr>
                <w:rFonts w:ascii="Calibri" w:eastAsia="細明體" w:hAnsi="Calibri"/>
                <w:sz w:val="17"/>
                <w:szCs w:val="17"/>
                <w:lang w:eastAsia="zh-CN"/>
              </w:rPr>
              <w:t>(g)</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27AD3" w14:textId="27A782D9" w:rsidR="005171C5" w:rsidRPr="005171C5" w:rsidRDefault="005171C5" w:rsidP="005171C5">
            <w:pPr>
              <w:spacing w:after="160" w:line="259" w:lineRule="auto"/>
              <w:rPr>
                <w:rFonts w:ascii="Calibri" w:eastAsia="新細明體" w:hAnsi="Calibri"/>
                <w:sz w:val="22"/>
                <w:szCs w:val="22"/>
                <w:lang w:eastAsia="zh-TW"/>
              </w:rPr>
            </w:pPr>
            <w:r w:rsidRPr="005171C5">
              <w:rPr>
                <w:rFonts w:ascii="Calibri" w:eastAsia="細明體" w:hAnsi="Calibri" w:hint="eastAsia"/>
                <w:i/>
                <w:sz w:val="17"/>
                <w:szCs w:val="17"/>
                <w:lang w:eastAsia="zh-TW"/>
              </w:rPr>
              <w:t>風險加權數額密度</w:t>
            </w:r>
            <w:r w:rsidRPr="005171C5">
              <w:rPr>
                <w:rFonts w:ascii="Calibri" w:eastAsia="細明體" w:hAnsi="Calibri" w:hint="eastAsia"/>
                <w:sz w:val="17"/>
                <w:szCs w:val="17"/>
                <w:lang w:eastAsia="zh-TW"/>
              </w:rPr>
              <w:t>：將</w:t>
            </w:r>
            <w:r w:rsidRPr="005171C5">
              <w:rPr>
                <w:rFonts w:ascii="Calibri" w:eastAsia="細明體" w:hAnsi="Calibri"/>
                <w:sz w:val="17"/>
                <w:szCs w:val="17"/>
                <w:lang w:eastAsia="zh-TW"/>
              </w:rPr>
              <w:t>(f)</w:t>
            </w:r>
            <w:r w:rsidRPr="005171C5">
              <w:rPr>
                <w:rFonts w:ascii="Calibri" w:eastAsia="細明體" w:hAnsi="Calibri"/>
                <w:sz w:val="17"/>
                <w:szCs w:val="17"/>
                <w:lang w:eastAsia="zh-TW"/>
              </w:rPr>
              <w:t>欄</w:t>
            </w:r>
            <w:r w:rsidRPr="005171C5">
              <w:rPr>
                <w:rFonts w:ascii="Calibri" w:eastAsia="細明體" w:hAnsi="Calibri" w:hint="eastAsia"/>
                <w:sz w:val="17"/>
                <w:szCs w:val="17"/>
                <w:lang w:eastAsia="zh-TW"/>
              </w:rPr>
              <w:t>的總</w:t>
            </w:r>
            <w:r w:rsidRPr="005171C5">
              <w:rPr>
                <w:rFonts w:ascii="Calibri" w:eastAsia="細明體" w:hAnsi="Calibri"/>
                <w:sz w:val="17"/>
                <w:szCs w:val="17"/>
                <w:lang w:eastAsia="zh-TW"/>
              </w:rPr>
              <w:t>風險加權數額除以</w:t>
            </w:r>
            <w:r w:rsidRPr="005171C5">
              <w:rPr>
                <w:rFonts w:ascii="Calibri" w:eastAsia="細明體" w:hAnsi="Calibri"/>
                <w:sz w:val="17"/>
                <w:szCs w:val="17"/>
                <w:lang w:eastAsia="zh-TW"/>
              </w:rPr>
              <w:t>(a)</w:t>
            </w:r>
            <w:r w:rsidRPr="005171C5">
              <w:rPr>
                <w:rFonts w:ascii="Calibri" w:eastAsia="細明體" w:hAnsi="Calibri"/>
                <w:sz w:val="17"/>
                <w:szCs w:val="17"/>
                <w:lang w:eastAsia="zh-TW"/>
              </w:rPr>
              <w:t>欄</w:t>
            </w:r>
            <w:r w:rsidRPr="005171C5">
              <w:rPr>
                <w:rFonts w:ascii="Calibri" w:eastAsia="細明體" w:hAnsi="Calibri" w:hint="eastAsia"/>
                <w:sz w:val="17"/>
                <w:szCs w:val="17"/>
                <w:lang w:eastAsia="zh-TW"/>
              </w:rPr>
              <w:t>的已將減低信用風險措施</w:t>
            </w:r>
            <w:r w:rsidRPr="005171C5">
              <w:rPr>
                <w:rFonts w:ascii="Calibri" w:eastAsia="細明體" w:hAnsi="Calibri" w:hint="eastAsia"/>
                <w:bCs/>
                <w:sz w:val="17"/>
                <w:szCs w:val="17"/>
                <w:lang w:eastAsia="zh-TW"/>
              </w:rPr>
              <w:t>計算在內</w:t>
            </w:r>
            <w:r w:rsidRPr="005171C5">
              <w:rPr>
                <w:rFonts w:ascii="Calibri" w:eastAsia="細明體" w:hAnsi="Calibri" w:hint="eastAsia"/>
                <w:sz w:val="17"/>
                <w:szCs w:val="17"/>
                <w:lang w:eastAsia="zh-TW"/>
              </w:rPr>
              <w:t>的</w:t>
            </w:r>
            <w:r w:rsidRPr="005171C5">
              <w:rPr>
                <w:rFonts w:ascii="Calibri" w:eastAsia="細明體" w:hAnsi="Calibri"/>
                <w:sz w:val="17"/>
                <w:szCs w:val="17"/>
                <w:lang w:eastAsia="zh-TW"/>
              </w:rPr>
              <w:t>EAD</w:t>
            </w:r>
            <w:r w:rsidRPr="005171C5">
              <w:rPr>
                <w:rFonts w:ascii="Calibri" w:eastAsia="細明體" w:hAnsi="Calibri" w:hint="eastAsia"/>
                <w:sz w:val="17"/>
                <w:szCs w:val="17"/>
                <w:lang w:eastAsia="zh-TW"/>
              </w:rPr>
              <w:t>而得出。所得的比率應以百分比表示。</w:t>
            </w:r>
          </w:p>
        </w:tc>
      </w:tr>
    </w:tbl>
    <w:p w14:paraId="61FB2C26" w14:textId="77777777" w:rsidR="005171C5" w:rsidRPr="005171C5" w:rsidRDefault="005171C5" w:rsidP="0028643C">
      <w:pPr>
        <w:suppressAutoHyphens/>
        <w:spacing w:after="120"/>
        <w:rPr>
          <w:rFonts w:cs="Segoe UI"/>
          <w:lang w:eastAsia="ar-SA"/>
        </w:rPr>
      </w:pPr>
    </w:p>
    <w:p w14:paraId="2A7A8927" w14:textId="77777777" w:rsidR="00595243" w:rsidRDefault="00595243" w:rsidP="00665A23">
      <w:pPr>
        <w:pStyle w:val="Heading2"/>
        <w:keepNext w:val="0"/>
        <w:suppressAutoHyphens w:val="0"/>
        <w:spacing w:before="40" w:line="240" w:lineRule="auto"/>
        <w:ind w:left="-454"/>
        <w:rPr>
          <w:rFonts w:ascii="Calibri" w:hAnsi="Calibri"/>
          <w:vanish/>
          <w:sz w:val="22"/>
          <w:szCs w:val="22"/>
          <w:lang w:eastAsia="zh-TW"/>
        </w:rPr>
        <w:sectPr w:rsidR="00595243" w:rsidSect="00DF5004">
          <w:footerReference w:type="default" r:id="rId83"/>
          <w:pgSz w:w="16838" w:h="11906" w:orient="landscape"/>
          <w:pgMar w:top="1560" w:right="1440" w:bottom="1797" w:left="1440" w:header="720" w:footer="737" w:gutter="0"/>
          <w:cols w:space="720"/>
          <w:docGrid w:type="linesAndChars" w:linePitch="360"/>
        </w:sectPr>
      </w:pPr>
    </w:p>
    <w:p w14:paraId="17B058C8" w14:textId="4C7FADCA" w:rsidR="00665A23" w:rsidRPr="00665A23" w:rsidRDefault="00665A23" w:rsidP="00665A23">
      <w:pPr>
        <w:pStyle w:val="Heading2"/>
        <w:keepNext w:val="0"/>
        <w:suppressAutoHyphens w:val="0"/>
        <w:spacing w:before="40" w:line="240" w:lineRule="auto"/>
        <w:ind w:left="-454"/>
        <w:rPr>
          <w:rFonts w:ascii="細明體" w:eastAsia="細明體" w:hAnsi="細明體"/>
          <w:b w:val="0"/>
          <w:bCs w:val="0"/>
          <w:sz w:val="22"/>
          <w:szCs w:val="20"/>
          <w:lang w:eastAsia="zh-TW"/>
        </w:rPr>
      </w:pPr>
      <w:r w:rsidRPr="00665A23">
        <w:rPr>
          <w:rFonts w:ascii="細明體" w:eastAsia="細明體" w:hAnsi="細明體" w:cs="微軟正黑體" w:hint="eastAsia"/>
          <w:b w:val="0"/>
          <w:bCs w:val="0"/>
          <w:sz w:val="22"/>
          <w:szCs w:val="20"/>
          <w:lang w:eastAsia="zh-TW"/>
        </w:rPr>
        <w:t>模版</w:t>
      </w:r>
      <w:r w:rsidRPr="00665A23">
        <w:rPr>
          <w:rFonts w:ascii="Segoe UI" w:eastAsia="細明體" w:hAnsi="Segoe UI" w:cs="Segoe UI"/>
          <w:b w:val="0"/>
          <w:bCs w:val="0"/>
          <w:sz w:val="22"/>
          <w:szCs w:val="20"/>
          <w:lang w:eastAsia="zh-TW"/>
        </w:rPr>
        <w:t>CCR5</w:t>
      </w:r>
      <w:r w:rsidRPr="00665A23">
        <w:rPr>
          <w:rFonts w:ascii="細明體" w:eastAsia="細明體" w:hAnsi="細明體" w:cs="微軟正黑體" w:hint="eastAsia"/>
          <w:b w:val="0"/>
          <w:bCs w:val="0"/>
          <w:sz w:val="22"/>
          <w:szCs w:val="20"/>
          <w:lang w:eastAsia="zh-TW"/>
        </w:rPr>
        <w:t>：作為</w:t>
      </w:r>
      <w:r w:rsidRPr="0028643C">
        <w:rPr>
          <w:rFonts w:ascii="細明體" w:eastAsia="細明體" w:hAnsi="細明體" w:cs="微軟正黑體" w:hint="eastAsia"/>
          <w:b w:val="0"/>
          <w:bCs w:val="0"/>
          <w:sz w:val="22"/>
          <w:szCs w:val="20"/>
          <w:lang w:eastAsia="zh-TW"/>
        </w:rPr>
        <w:t>對手方</w:t>
      </w:r>
      <w:r w:rsidRPr="00665A23">
        <w:rPr>
          <w:rFonts w:ascii="細明體" w:eastAsia="細明體" w:hAnsi="細明體" w:cs="微軟正黑體" w:hint="eastAsia"/>
          <w:b w:val="0"/>
          <w:bCs w:val="0"/>
          <w:sz w:val="22"/>
          <w:szCs w:val="20"/>
          <w:lang w:eastAsia="zh-TW"/>
        </w:rPr>
        <w:t>信用風險承擔（包括經中央交易對手方結算的合約或交易者）的抵押品組成</w:t>
      </w:r>
    </w:p>
    <w:tbl>
      <w:tblPr>
        <w:tblW w:w="9248" w:type="dxa"/>
        <w:tblInd w:w="-459" w:type="dxa"/>
        <w:tblLayout w:type="fixed"/>
        <w:tblLook w:val="0000" w:firstRow="0" w:lastRow="0" w:firstColumn="0" w:lastColumn="0" w:noHBand="0" w:noVBand="0"/>
      </w:tblPr>
      <w:tblGrid>
        <w:gridCol w:w="2160"/>
        <w:gridCol w:w="7088"/>
      </w:tblGrid>
      <w:tr w:rsidR="00BC269C" w:rsidRPr="00BC269C" w14:paraId="20D22164" w14:textId="77777777" w:rsidTr="0029639E">
        <w:tc>
          <w:tcPr>
            <w:tcW w:w="2160" w:type="dxa"/>
            <w:tcBorders>
              <w:top w:val="single" w:sz="4" w:space="0" w:color="000000"/>
              <w:bottom w:val="single" w:sz="4" w:space="0" w:color="000000"/>
            </w:tcBorders>
            <w:shd w:val="clear" w:color="auto" w:fill="auto"/>
          </w:tcPr>
          <w:p w14:paraId="0C2D1924"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目的：</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vAlign w:val="center"/>
          </w:tcPr>
          <w:p w14:paraId="392A24CA" w14:textId="3C7AE25B" w:rsidR="00BC269C" w:rsidRPr="00AC5021" w:rsidRDefault="00BC269C" w:rsidP="00AC5021">
            <w:pPr>
              <w:suppressAutoHyphens/>
              <w:spacing w:before="40" w:after="40"/>
              <w:jc w:val="both"/>
              <w:rPr>
                <w:rFonts w:cs="Segoe UI"/>
                <w:sz w:val="17"/>
                <w:lang w:eastAsia="ar-SA"/>
              </w:rPr>
            </w:pPr>
            <w:r w:rsidRPr="00AC5021">
              <w:rPr>
                <w:rFonts w:eastAsia="細明體" w:cs="Segoe UI" w:hint="eastAsia"/>
                <w:sz w:val="17"/>
                <w:lang w:eastAsia="ar-SA"/>
              </w:rPr>
              <w:t>就以下所有類別的抵押品提供細目分類︰就衍生工具合約或</w:t>
            </w:r>
            <w:r w:rsidRPr="00191262">
              <w:rPr>
                <w:rFonts w:eastAsia="細明體" w:cs="Segoe UI"/>
                <w:sz w:val="17"/>
                <w:lang w:eastAsia="ar-SA"/>
              </w:rPr>
              <w:t>SFT</w:t>
            </w:r>
            <w:r w:rsidRPr="00AC5021">
              <w:rPr>
                <w:rFonts w:eastAsia="細明體" w:cs="Segoe UI" w:hint="eastAsia"/>
                <w:sz w:val="17"/>
                <w:lang w:eastAsia="ar-SA"/>
              </w:rPr>
              <w:t>（包括經中央交易對手方結算的合約或交易）的</w:t>
            </w:r>
            <w:r w:rsidRPr="0028643C">
              <w:rPr>
                <w:rFonts w:eastAsia="細明體" w:cs="Segoe UI" w:hint="eastAsia"/>
                <w:sz w:val="17"/>
                <w:lang w:eastAsia="ar-SA"/>
              </w:rPr>
              <w:t>對手方</w:t>
            </w:r>
            <w:r w:rsidR="00AC5021" w:rsidRPr="00AC5021">
              <w:rPr>
                <w:rFonts w:eastAsia="細明體" w:cs="Segoe UI" w:hint="eastAsia"/>
                <w:sz w:val="17"/>
                <w:lang w:eastAsia="ar-SA"/>
              </w:rPr>
              <w:t>信用</w:t>
            </w:r>
            <w:r w:rsidRPr="00AC5021">
              <w:rPr>
                <w:rFonts w:eastAsia="細明體" w:cs="Segoe UI" w:hint="eastAsia"/>
                <w:sz w:val="17"/>
                <w:lang w:eastAsia="ar-SA"/>
              </w:rPr>
              <w:t>風險承擔而言，為</w:t>
            </w:r>
            <w:r w:rsidRPr="00AC5021">
              <w:rPr>
                <w:rFonts w:ascii="細明體" w:eastAsia="細明體" w:hAnsi="細明體" w:cs="細明體" w:hint="eastAsia"/>
                <w:color w:val="222222"/>
                <w:sz w:val="17"/>
                <w:lang w:eastAsia="ar-SA"/>
              </w:rPr>
              <w:t>支持</w:t>
            </w:r>
            <w:r w:rsidRPr="00AC5021">
              <w:rPr>
                <w:rFonts w:eastAsia="細明體" w:cs="Segoe UI" w:hint="eastAsia"/>
                <w:sz w:val="17"/>
                <w:lang w:eastAsia="ar-SA"/>
              </w:rPr>
              <w:t>或減少該等風險承擔而提供的抵押品或</w:t>
            </w:r>
            <w:r w:rsidRPr="00AC5021">
              <w:rPr>
                <w:rFonts w:eastAsia="細明體" w:cs="Segoe UI" w:hint="eastAsia"/>
                <w:sz w:val="17"/>
                <w:szCs w:val="17"/>
                <w:lang w:eastAsia="ar-SA"/>
              </w:rPr>
              <w:t>收取</w:t>
            </w:r>
            <w:r w:rsidRPr="00AC5021">
              <w:rPr>
                <w:rFonts w:eastAsia="細明體" w:cs="Segoe UI" w:hint="eastAsia"/>
                <w:sz w:val="17"/>
                <w:lang w:eastAsia="ar-SA"/>
              </w:rPr>
              <w:t>的認可抵押品。</w:t>
            </w:r>
          </w:p>
        </w:tc>
      </w:tr>
      <w:tr w:rsidR="00BC269C" w:rsidRPr="00BC269C" w14:paraId="05553375" w14:textId="77777777" w:rsidTr="0029639E">
        <w:tc>
          <w:tcPr>
            <w:tcW w:w="2160" w:type="dxa"/>
            <w:tcBorders>
              <w:top w:val="single" w:sz="4" w:space="0" w:color="000000"/>
              <w:bottom w:val="single" w:sz="4" w:space="0" w:color="000000"/>
            </w:tcBorders>
            <w:shd w:val="clear" w:color="auto" w:fill="auto"/>
          </w:tcPr>
          <w:p w14:paraId="3857C229" w14:textId="77777777" w:rsidR="00BC269C" w:rsidRPr="00BC269C" w:rsidRDefault="00BC269C" w:rsidP="00BC269C">
            <w:pPr>
              <w:spacing w:before="40" w:after="40" w:line="259" w:lineRule="auto"/>
              <w:rPr>
                <w:rFonts w:ascii="Calibri" w:eastAsia="細明體" w:hAnsi="Calibri"/>
                <w:sz w:val="17"/>
                <w:szCs w:val="22"/>
                <w:lang w:eastAsia="zh-CN"/>
              </w:rPr>
            </w:pPr>
            <w:r w:rsidRPr="00BC269C">
              <w:rPr>
                <w:rFonts w:ascii="Calibri" w:eastAsia="細明體" w:hAnsi="Calibri" w:hint="eastAsia"/>
                <w:b/>
                <w:sz w:val="17"/>
                <w:szCs w:val="22"/>
                <w:lang w:eastAsia="zh-CN"/>
              </w:rPr>
              <w:t>適用範</w:t>
            </w:r>
            <w:proofErr w:type="gramStart"/>
            <w:r w:rsidRPr="00BC269C">
              <w:rPr>
                <w:rFonts w:ascii="Calibri" w:eastAsia="細明體" w:hAnsi="Calibri" w:hint="eastAsia"/>
                <w:b/>
                <w:sz w:val="17"/>
                <w:szCs w:val="22"/>
                <w:lang w:eastAsia="zh-CN"/>
              </w:rPr>
              <w:t>圍</w:t>
            </w:r>
            <w:proofErr w:type="gramEnd"/>
            <w:r w:rsidRPr="00BC269C">
              <w:rPr>
                <w:rFonts w:ascii="Calibri" w:eastAsia="細明體" w:hAnsi="Calibri" w:hint="eastAsia"/>
                <w:b/>
                <w:sz w:val="17"/>
                <w:szCs w:val="22"/>
                <w:lang w:eastAsia="zh-CN"/>
              </w:rPr>
              <w:t>：</w:t>
            </w:r>
            <w:r w:rsidRPr="00BC269C">
              <w:rPr>
                <w:rFonts w:ascii="Calibri" w:eastAsia="細明體" w:hAnsi="Calibri"/>
                <w:b/>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vAlign w:val="center"/>
          </w:tcPr>
          <w:p w14:paraId="19C067A7" w14:textId="77777777" w:rsidR="00BC269C" w:rsidRPr="00BC269C" w:rsidRDefault="00BC269C" w:rsidP="00BC269C">
            <w:pPr>
              <w:spacing w:before="40" w:after="40" w:line="259" w:lineRule="auto"/>
              <w:jc w:val="both"/>
              <w:rPr>
                <w:rFonts w:ascii="Calibri" w:eastAsia="新細明體" w:hAnsi="Calibri"/>
                <w:sz w:val="22"/>
                <w:szCs w:val="22"/>
                <w:lang w:eastAsia="zh-TW"/>
              </w:rPr>
            </w:pPr>
            <w:r w:rsidRPr="00BC269C">
              <w:rPr>
                <w:rFonts w:ascii="Calibri" w:eastAsia="細明體" w:hAnsi="Calibri" w:hint="eastAsia"/>
                <w:sz w:val="17"/>
                <w:szCs w:val="22"/>
                <w:lang w:eastAsia="zh-TW"/>
              </w:rPr>
              <w:t>所有在香港成立</w:t>
            </w:r>
            <w:proofErr w:type="gramStart"/>
            <w:r w:rsidRPr="00BC269C">
              <w:rPr>
                <w:rFonts w:ascii="Calibri" w:eastAsia="細明體" w:hAnsi="Calibri" w:hint="eastAsia"/>
                <w:sz w:val="17"/>
                <w:szCs w:val="22"/>
                <w:lang w:eastAsia="zh-TW"/>
              </w:rPr>
              <w:t>為法團的</w:t>
            </w:r>
            <w:proofErr w:type="gramEnd"/>
            <w:r w:rsidRPr="00BC269C">
              <w:rPr>
                <w:rFonts w:ascii="Calibri" w:eastAsia="細明體" w:hAnsi="Calibri" w:hint="eastAsia"/>
                <w:sz w:val="17"/>
                <w:szCs w:val="22"/>
                <w:lang w:eastAsia="zh-TW"/>
              </w:rPr>
              <w:t>認可機構</w:t>
            </w:r>
            <w:proofErr w:type="gramStart"/>
            <w:r w:rsidRPr="00BC269C">
              <w:rPr>
                <w:rFonts w:ascii="Calibri" w:eastAsia="細明體" w:hAnsi="Calibri" w:hint="eastAsia"/>
                <w:sz w:val="17"/>
                <w:szCs w:val="22"/>
                <w:lang w:eastAsia="zh-TW"/>
              </w:rPr>
              <w:t>均須填報本模</w:t>
            </w:r>
            <w:proofErr w:type="gramEnd"/>
            <w:r w:rsidRPr="00BC269C">
              <w:rPr>
                <w:rFonts w:ascii="Calibri" w:eastAsia="細明體" w:hAnsi="Calibri" w:hint="eastAsia"/>
                <w:sz w:val="17"/>
                <w:szCs w:val="22"/>
                <w:lang w:eastAsia="zh-TW"/>
              </w:rPr>
              <w:t>版。</w:t>
            </w:r>
          </w:p>
        </w:tc>
      </w:tr>
      <w:tr w:rsidR="00BC269C" w:rsidRPr="00BC269C" w14:paraId="454AB40D" w14:textId="77777777" w:rsidTr="0029639E">
        <w:tc>
          <w:tcPr>
            <w:tcW w:w="2160" w:type="dxa"/>
            <w:tcBorders>
              <w:top w:val="single" w:sz="4" w:space="0" w:color="000000"/>
              <w:bottom w:val="single" w:sz="4" w:space="0" w:color="000000"/>
            </w:tcBorders>
            <w:shd w:val="clear" w:color="auto" w:fill="auto"/>
          </w:tcPr>
          <w:p w14:paraId="30A3D56A" w14:textId="77777777" w:rsidR="00BC269C" w:rsidRPr="00BC269C" w:rsidRDefault="00BC269C" w:rsidP="00BC269C">
            <w:pPr>
              <w:spacing w:before="40" w:after="40" w:line="259" w:lineRule="auto"/>
              <w:rPr>
                <w:rFonts w:ascii="Calibri" w:eastAsia="細明體" w:hAnsi="Calibri"/>
                <w:sz w:val="17"/>
                <w:szCs w:val="17"/>
                <w:lang w:eastAsia="zh-CN"/>
              </w:rPr>
            </w:pPr>
            <w:proofErr w:type="gramStart"/>
            <w:r w:rsidRPr="00BC269C">
              <w:rPr>
                <w:rFonts w:ascii="Calibri" w:eastAsia="細明體" w:hAnsi="Calibri" w:hint="eastAsia"/>
                <w:b/>
                <w:sz w:val="17"/>
                <w:szCs w:val="22"/>
                <w:lang w:eastAsia="zh-CN"/>
              </w:rPr>
              <w:t>內</w:t>
            </w:r>
            <w:proofErr w:type="gramEnd"/>
            <w:r w:rsidRPr="00BC269C">
              <w:rPr>
                <w:rFonts w:ascii="Calibri" w:eastAsia="細明體" w:hAnsi="Calibri" w:hint="eastAsia"/>
                <w:b/>
                <w:sz w:val="17"/>
                <w:szCs w:val="22"/>
                <w:lang w:eastAsia="zh-CN"/>
              </w:rPr>
              <w:t>容：</w:t>
            </w:r>
            <w:r w:rsidRPr="00BC269C">
              <w:rPr>
                <w:rFonts w:ascii="Calibri" w:eastAsia="細明體" w:hAnsi="Calibri"/>
                <w:b/>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vAlign w:val="center"/>
          </w:tcPr>
          <w:p w14:paraId="183F090B" w14:textId="514A8643" w:rsidR="00BC269C" w:rsidRPr="00BC269C" w:rsidRDefault="00BC269C" w:rsidP="00BC269C">
            <w:pPr>
              <w:spacing w:before="40" w:after="40" w:line="259" w:lineRule="auto"/>
              <w:jc w:val="both"/>
              <w:rPr>
                <w:rFonts w:ascii="Calibri" w:eastAsia="新細明體" w:hAnsi="Calibri"/>
                <w:sz w:val="22"/>
                <w:szCs w:val="22"/>
                <w:lang w:eastAsia="zh-TW"/>
              </w:rPr>
            </w:pPr>
            <w:r w:rsidRPr="00BC269C">
              <w:rPr>
                <w:rFonts w:ascii="Calibri" w:eastAsia="細明體" w:hAnsi="Calibri" w:hint="eastAsia"/>
                <w:sz w:val="17"/>
                <w:szCs w:val="17"/>
                <w:lang w:eastAsia="zh-TW"/>
              </w:rPr>
              <w:t>就衍生工具合約或</w:t>
            </w:r>
            <w:r w:rsidRPr="0028643C">
              <w:rPr>
                <w:rFonts w:eastAsia="細明體" w:cs="Segoe UI"/>
                <w:sz w:val="17"/>
                <w:lang w:eastAsia="ar-SA"/>
              </w:rPr>
              <w:t>SFT</w:t>
            </w:r>
            <w:r w:rsidRPr="00BC269C">
              <w:rPr>
                <w:rFonts w:ascii="Calibri" w:eastAsia="細明體" w:hAnsi="Calibri" w:hint="eastAsia"/>
                <w:sz w:val="17"/>
                <w:szCs w:val="17"/>
                <w:lang w:eastAsia="zh-TW"/>
              </w:rPr>
              <w:t>所提供的抵押品及所收取的認可抵押品的</w:t>
            </w:r>
            <w:proofErr w:type="gramStart"/>
            <w:r w:rsidRPr="00BC269C">
              <w:rPr>
                <w:rFonts w:ascii="Calibri" w:eastAsia="細明體" w:hAnsi="Calibri" w:hint="eastAsia"/>
                <w:sz w:val="17"/>
                <w:szCs w:val="17"/>
                <w:lang w:eastAsia="zh-TW"/>
              </w:rPr>
              <w:t>帳面</w:t>
            </w:r>
            <w:proofErr w:type="gramEnd"/>
            <w:r w:rsidRPr="00BC269C">
              <w:rPr>
                <w:rFonts w:ascii="Calibri" w:eastAsia="細明體" w:hAnsi="Calibri" w:hint="eastAsia"/>
                <w:sz w:val="17"/>
                <w:szCs w:val="17"/>
                <w:lang w:eastAsia="zh-TW"/>
              </w:rPr>
              <w:t>值，不論該等合約或交易是否透過</w:t>
            </w:r>
            <w:r w:rsidRPr="00BC269C">
              <w:rPr>
                <w:rFonts w:ascii="Calibri" w:eastAsia="細明體" w:hAnsi="Calibri" w:hint="eastAsia"/>
                <w:sz w:val="17"/>
                <w:szCs w:val="22"/>
                <w:lang w:eastAsia="zh-TW"/>
              </w:rPr>
              <w:t>中央交易對手方</w:t>
            </w:r>
            <w:r w:rsidRPr="00BC269C">
              <w:rPr>
                <w:rFonts w:ascii="Calibri" w:eastAsia="細明體" w:hAnsi="Calibri" w:hint="eastAsia"/>
                <w:sz w:val="17"/>
                <w:szCs w:val="17"/>
                <w:lang w:eastAsia="zh-TW"/>
              </w:rPr>
              <w:t>結算及有關抵押品是否提供予</w:t>
            </w:r>
            <w:r w:rsidRPr="00BC269C">
              <w:rPr>
                <w:rFonts w:ascii="Calibri" w:eastAsia="細明體" w:hAnsi="Calibri" w:hint="eastAsia"/>
                <w:sz w:val="17"/>
                <w:szCs w:val="22"/>
                <w:lang w:eastAsia="zh-TW"/>
              </w:rPr>
              <w:t>中央交易對手方</w:t>
            </w:r>
            <w:r w:rsidRPr="00BC269C">
              <w:rPr>
                <w:rFonts w:ascii="Calibri" w:eastAsia="細明體" w:hAnsi="Calibri" w:hint="eastAsia"/>
                <w:sz w:val="17"/>
                <w:szCs w:val="17"/>
                <w:lang w:eastAsia="zh-TW"/>
              </w:rPr>
              <w:t>。</w:t>
            </w:r>
          </w:p>
        </w:tc>
      </w:tr>
      <w:tr w:rsidR="00BC269C" w:rsidRPr="00BC269C" w14:paraId="7C06165B" w14:textId="77777777" w:rsidTr="0029639E">
        <w:tc>
          <w:tcPr>
            <w:tcW w:w="2160" w:type="dxa"/>
            <w:tcBorders>
              <w:top w:val="single" w:sz="4" w:space="0" w:color="000000"/>
              <w:bottom w:val="single" w:sz="4" w:space="0" w:color="000000"/>
            </w:tcBorders>
            <w:shd w:val="clear" w:color="auto" w:fill="auto"/>
          </w:tcPr>
          <w:p w14:paraId="5DEA3462"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頻密程度：</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vAlign w:val="center"/>
          </w:tcPr>
          <w:p w14:paraId="7CE86F63"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sz w:val="17"/>
                <w:lang w:eastAsia="ar-SA"/>
              </w:rPr>
              <w:t>每半年一次</w:t>
            </w:r>
            <w:r w:rsidRPr="00BC269C">
              <w:rPr>
                <w:rFonts w:eastAsia="細明體" w:cs="Segoe UI"/>
                <w:sz w:val="17"/>
                <w:lang w:eastAsia="ar-SA"/>
              </w:rPr>
              <w:t>。</w:t>
            </w:r>
          </w:p>
        </w:tc>
      </w:tr>
      <w:tr w:rsidR="00BC269C" w:rsidRPr="00BC269C" w14:paraId="4916DE6B" w14:textId="77777777" w:rsidTr="0029639E">
        <w:tc>
          <w:tcPr>
            <w:tcW w:w="2160" w:type="dxa"/>
            <w:tcBorders>
              <w:top w:val="single" w:sz="4" w:space="0" w:color="000000"/>
              <w:bottom w:val="single" w:sz="4" w:space="0" w:color="000000"/>
            </w:tcBorders>
            <w:shd w:val="clear" w:color="auto" w:fill="auto"/>
          </w:tcPr>
          <w:p w14:paraId="1094A8C2"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格式：</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vAlign w:val="center"/>
          </w:tcPr>
          <w:p w14:paraId="321ACC28"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sz w:val="17"/>
                <w:lang w:eastAsia="ar-SA"/>
              </w:rPr>
              <w:t>非固定。</w:t>
            </w:r>
            <w:r w:rsidRPr="00BC269C">
              <w:rPr>
                <w:rFonts w:eastAsia="細明體" w:cs="Segoe UI"/>
                <w:sz w:val="17"/>
                <w:lang w:eastAsia="ar-SA"/>
              </w:rPr>
              <w:t>欄是固定的</w:t>
            </w:r>
            <w:r w:rsidRPr="00BC269C">
              <w:rPr>
                <w:rFonts w:eastAsia="細明體" w:cs="Segoe UI" w:hint="eastAsia"/>
                <w:sz w:val="17"/>
                <w:lang w:eastAsia="ar-SA"/>
              </w:rPr>
              <w:t>；</w:t>
            </w:r>
            <w:r w:rsidRPr="00BC269C">
              <w:rPr>
                <w:rFonts w:eastAsia="細明體" w:cs="Segoe UI"/>
                <w:sz w:val="17"/>
                <w:lang w:eastAsia="ar-SA"/>
              </w:rPr>
              <w:t>行是非固定的，其中</w:t>
            </w:r>
            <w:r w:rsidRPr="00BC269C">
              <w:rPr>
                <w:rFonts w:eastAsia="細明體" w:cs="Segoe UI"/>
                <w:bCs/>
                <w:sz w:val="17"/>
                <w:lang w:eastAsia="ar-SA"/>
              </w:rPr>
              <w:t>可獲認可的抵押品</w:t>
            </w:r>
            <w:r w:rsidRPr="00BC269C">
              <w:rPr>
                <w:rFonts w:eastAsia="細明體" w:cs="Segoe UI" w:hint="eastAsia"/>
                <w:sz w:val="17"/>
                <w:lang w:eastAsia="ar-SA"/>
              </w:rPr>
              <w:t>種類為</w:t>
            </w:r>
            <w:r w:rsidRPr="00BC269C">
              <w:rPr>
                <w:rFonts w:eastAsia="細明體" w:cs="Segoe UI"/>
                <w:sz w:val="17"/>
                <w:lang w:eastAsia="ar-SA"/>
              </w:rPr>
              <w:t>《資本規則》</w:t>
            </w:r>
            <w:r w:rsidRPr="00BC269C">
              <w:rPr>
                <w:rFonts w:eastAsia="細明體" w:cs="Segoe UI"/>
                <w:sz w:val="17"/>
                <w:szCs w:val="17"/>
                <w:lang w:eastAsia="ar-SA"/>
              </w:rPr>
              <w:t>第</w:t>
            </w:r>
            <w:r w:rsidRPr="00BC269C">
              <w:rPr>
                <w:rFonts w:eastAsia="細明體" w:cs="Segoe UI" w:hint="eastAsia"/>
                <w:sz w:val="17"/>
                <w:szCs w:val="17"/>
                <w:lang w:eastAsia="ar-SA"/>
              </w:rPr>
              <w:t>4</w:t>
            </w:r>
            <w:r w:rsidRPr="00BC269C">
              <w:rPr>
                <w:rFonts w:eastAsia="細明體" w:cs="Segoe UI"/>
                <w:sz w:val="17"/>
                <w:szCs w:val="17"/>
                <w:lang w:eastAsia="ar-SA"/>
              </w:rPr>
              <w:t>部</w:t>
            </w:r>
            <w:r w:rsidRPr="00BC269C">
              <w:rPr>
                <w:rFonts w:eastAsia="細明體" w:cs="Segoe UI" w:hint="eastAsia"/>
                <w:sz w:val="17"/>
                <w:szCs w:val="17"/>
                <w:lang w:eastAsia="ar-SA"/>
              </w:rPr>
              <w:t>第</w:t>
            </w:r>
            <w:r w:rsidRPr="00BC269C">
              <w:rPr>
                <w:rFonts w:eastAsia="細明體" w:cs="Segoe UI" w:hint="eastAsia"/>
                <w:sz w:val="17"/>
                <w:szCs w:val="17"/>
                <w:lang w:eastAsia="ar-SA"/>
              </w:rPr>
              <w:t>5</w:t>
            </w:r>
            <w:r w:rsidRPr="00BC269C">
              <w:rPr>
                <w:rFonts w:eastAsia="細明體" w:cs="Segoe UI" w:hint="eastAsia"/>
                <w:sz w:val="17"/>
                <w:szCs w:val="17"/>
                <w:lang w:eastAsia="ar-SA"/>
              </w:rPr>
              <w:t>分部</w:t>
            </w:r>
            <w:r w:rsidRPr="00BC269C">
              <w:rPr>
                <w:rFonts w:eastAsia="細明體" w:cs="Segoe UI" w:hint="eastAsia"/>
                <w:sz w:val="17"/>
                <w:lang w:eastAsia="ar-SA"/>
              </w:rPr>
              <w:t>、</w:t>
            </w:r>
            <w:r w:rsidRPr="00BC269C">
              <w:rPr>
                <w:rFonts w:eastAsia="細明體" w:cs="Segoe UI"/>
                <w:sz w:val="17"/>
                <w:szCs w:val="17"/>
                <w:lang w:eastAsia="ar-SA"/>
              </w:rPr>
              <w:t>第</w:t>
            </w:r>
            <w:r w:rsidRPr="00BC269C">
              <w:rPr>
                <w:rFonts w:eastAsia="細明體" w:cs="Segoe UI" w:hint="eastAsia"/>
                <w:sz w:val="17"/>
                <w:szCs w:val="17"/>
                <w:lang w:eastAsia="ar-SA"/>
              </w:rPr>
              <w:t>5</w:t>
            </w:r>
            <w:r w:rsidRPr="00BC269C">
              <w:rPr>
                <w:rFonts w:eastAsia="細明體" w:cs="Segoe UI"/>
                <w:sz w:val="17"/>
                <w:szCs w:val="17"/>
                <w:lang w:eastAsia="ar-SA"/>
              </w:rPr>
              <w:t>部</w:t>
            </w:r>
            <w:r w:rsidRPr="00BC269C">
              <w:rPr>
                <w:rFonts w:eastAsia="細明體" w:cs="Segoe UI" w:hint="eastAsia"/>
                <w:sz w:val="17"/>
                <w:szCs w:val="17"/>
                <w:lang w:eastAsia="ar-SA"/>
              </w:rPr>
              <w:t>第</w:t>
            </w:r>
            <w:r w:rsidRPr="00BC269C">
              <w:rPr>
                <w:rFonts w:eastAsia="細明體" w:cs="Segoe UI" w:hint="eastAsia"/>
                <w:sz w:val="17"/>
                <w:szCs w:val="17"/>
                <w:lang w:eastAsia="ar-SA"/>
              </w:rPr>
              <w:t>5</w:t>
            </w:r>
            <w:r w:rsidRPr="00BC269C">
              <w:rPr>
                <w:rFonts w:eastAsia="細明體" w:cs="Segoe UI" w:hint="eastAsia"/>
                <w:sz w:val="17"/>
                <w:szCs w:val="17"/>
                <w:lang w:eastAsia="ar-SA"/>
              </w:rPr>
              <w:t>分部</w:t>
            </w:r>
            <w:r w:rsidRPr="00BC269C">
              <w:rPr>
                <w:rFonts w:eastAsia="細明體" w:cs="Segoe UI" w:hint="eastAsia"/>
                <w:sz w:val="17"/>
                <w:lang w:eastAsia="ar-SA"/>
              </w:rPr>
              <w:t>或</w:t>
            </w:r>
            <w:r w:rsidRPr="00BC269C">
              <w:rPr>
                <w:rFonts w:eastAsia="細明體" w:cs="Segoe UI"/>
                <w:sz w:val="17"/>
                <w:szCs w:val="17"/>
                <w:lang w:eastAsia="ar-SA"/>
              </w:rPr>
              <w:t>第</w:t>
            </w:r>
            <w:r w:rsidRPr="00BC269C">
              <w:rPr>
                <w:rFonts w:eastAsia="細明體" w:cs="Segoe UI"/>
                <w:sz w:val="17"/>
                <w:szCs w:val="17"/>
                <w:lang w:eastAsia="ar-SA"/>
              </w:rPr>
              <w:t>6</w:t>
            </w:r>
            <w:r w:rsidRPr="00BC269C">
              <w:rPr>
                <w:rFonts w:eastAsia="細明體" w:cs="Segoe UI"/>
                <w:sz w:val="17"/>
                <w:szCs w:val="17"/>
                <w:lang w:eastAsia="ar-SA"/>
              </w:rPr>
              <w:t>部</w:t>
            </w:r>
            <w:r w:rsidRPr="00BC269C">
              <w:rPr>
                <w:rFonts w:eastAsia="細明體" w:cs="Segoe UI" w:hint="eastAsia"/>
                <w:sz w:val="17"/>
                <w:szCs w:val="17"/>
                <w:lang w:eastAsia="ar-SA"/>
              </w:rPr>
              <w:t>第</w:t>
            </w:r>
            <w:r w:rsidRPr="00BC269C">
              <w:rPr>
                <w:rFonts w:eastAsia="細明體" w:cs="Segoe UI"/>
                <w:sz w:val="17"/>
                <w:szCs w:val="17"/>
                <w:lang w:eastAsia="ar-SA"/>
              </w:rPr>
              <w:t>10</w:t>
            </w:r>
            <w:r w:rsidRPr="00BC269C">
              <w:rPr>
                <w:rFonts w:eastAsia="細明體" w:cs="Segoe UI" w:hint="eastAsia"/>
                <w:sz w:val="17"/>
                <w:szCs w:val="17"/>
                <w:lang w:eastAsia="ar-SA"/>
              </w:rPr>
              <w:t>分部</w:t>
            </w:r>
            <w:r w:rsidRPr="00BC269C">
              <w:rPr>
                <w:rFonts w:eastAsia="細明體" w:cs="Segoe UI" w:hint="eastAsia"/>
                <w:sz w:val="17"/>
                <w:lang w:eastAsia="ar-SA"/>
              </w:rPr>
              <w:t>（</w:t>
            </w:r>
            <w:r w:rsidRPr="00BC269C">
              <w:rPr>
                <w:rFonts w:eastAsia="細明體" w:cs="Segoe UI" w:hint="eastAsia"/>
                <w:sz w:val="17"/>
                <w:szCs w:val="17"/>
                <w:lang w:eastAsia="ar-SA"/>
              </w:rPr>
              <w:t>視情況而定）所</w:t>
            </w:r>
            <w:r w:rsidRPr="00BC269C">
              <w:rPr>
                <w:rFonts w:eastAsia="細明體" w:cs="Segoe UI"/>
                <w:sz w:val="17"/>
                <w:lang w:eastAsia="ar-SA"/>
              </w:rPr>
              <w:t>指明的種類。</w:t>
            </w:r>
          </w:p>
        </w:tc>
      </w:tr>
      <w:tr w:rsidR="00BC269C" w:rsidRPr="00BC269C" w14:paraId="4A7F6E0B" w14:textId="77777777" w:rsidTr="0029639E">
        <w:tc>
          <w:tcPr>
            <w:tcW w:w="2160" w:type="dxa"/>
            <w:tcBorders>
              <w:top w:val="single" w:sz="4" w:space="0" w:color="000000"/>
              <w:bottom w:val="single" w:sz="4" w:space="0" w:color="000000"/>
            </w:tcBorders>
            <w:shd w:val="clear" w:color="auto" w:fill="auto"/>
          </w:tcPr>
          <w:p w14:paraId="0D5F7814" w14:textId="77777777" w:rsidR="00BC269C" w:rsidRPr="00BC269C" w:rsidRDefault="00BC269C" w:rsidP="00BC269C">
            <w:pPr>
              <w:spacing w:before="40" w:after="40" w:line="259" w:lineRule="auto"/>
              <w:rPr>
                <w:rFonts w:ascii="Calibri" w:eastAsia="細明體" w:hAnsi="Calibri"/>
                <w:sz w:val="22"/>
                <w:szCs w:val="17"/>
                <w:lang w:eastAsia="zh-CN"/>
              </w:rPr>
            </w:pPr>
            <w:r w:rsidRPr="00BC269C">
              <w:rPr>
                <w:rFonts w:ascii="Calibri" w:eastAsia="細明體" w:hAnsi="Calibri" w:hint="eastAsia"/>
                <w:b/>
                <w:sz w:val="17"/>
                <w:szCs w:val="17"/>
                <w:lang w:eastAsia="zh-CN"/>
              </w:rPr>
              <w:t>附加說明：</w:t>
            </w:r>
          </w:p>
        </w:tc>
        <w:tc>
          <w:tcPr>
            <w:tcW w:w="7088" w:type="dxa"/>
            <w:tcBorders>
              <w:top w:val="single" w:sz="4" w:space="0" w:color="000000"/>
              <w:left w:val="single" w:sz="4" w:space="0" w:color="000000"/>
              <w:bottom w:val="single" w:sz="4" w:space="0" w:color="000000"/>
            </w:tcBorders>
            <w:shd w:val="clear" w:color="auto" w:fill="auto"/>
            <w:vAlign w:val="center"/>
          </w:tcPr>
          <w:p w14:paraId="228E5C80" w14:textId="2D5701BC" w:rsidR="00BC269C" w:rsidRPr="00BC269C" w:rsidRDefault="00BC269C" w:rsidP="00146821">
            <w:pPr>
              <w:suppressAutoHyphens/>
              <w:spacing w:before="40" w:after="40"/>
              <w:jc w:val="both"/>
              <w:rPr>
                <w:rFonts w:cs="Segoe UI"/>
                <w:sz w:val="17"/>
                <w:lang w:eastAsia="ar-SA"/>
              </w:rPr>
            </w:pPr>
            <w:r w:rsidRPr="00BC269C">
              <w:rPr>
                <w:rFonts w:eastAsia="細明體" w:cs="Segoe UI" w:hint="eastAsia"/>
                <w:sz w:val="17"/>
                <w:szCs w:val="17"/>
                <w:lang w:eastAsia="ar-SA"/>
              </w:rPr>
              <w:t>認可機構應以敘述評註闡明現行報告期內的任何重大</w:t>
            </w:r>
            <w:r w:rsidR="00146821" w:rsidRPr="00146821">
              <w:rPr>
                <w:rFonts w:eastAsia="細明體" w:cs="Segoe UI" w:hint="eastAsia"/>
                <w:sz w:val="17"/>
                <w:szCs w:val="17"/>
                <w:lang w:eastAsia="ar-SA"/>
              </w:rPr>
              <w:t>改</w:t>
            </w:r>
            <w:r w:rsidRPr="00BC269C">
              <w:rPr>
                <w:rFonts w:eastAsia="細明體" w:cs="Segoe UI" w:hint="eastAsia"/>
                <w:sz w:val="17"/>
                <w:szCs w:val="17"/>
                <w:lang w:eastAsia="ar-SA"/>
              </w:rPr>
              <w:t>變及引致該等</w:t>
            </w:r>
            <w:r w:rsidR="00146821" w:rsidRPr="00146821">
              <w:rPr>
                <w:rFonts w:eastAsia="細明體" w:cs="Segoe UI" w:hint="eastAsia"/>
                <w:sz w:val="17"/>
                <w:szCs w:val="17"/>
                <w:lang w:eastAsia="ar-SA"/>
              </w:rPr>
              <w:t>改</w:t>
            </w:r>
            <w:r w:rsidRPr="00BC269C">
              <w:rPr>
                <w:rFonts w:eastAsia="細明體" w:cs="Segoe UI" w:hint="eastAsia"/>
                <w:sz w:val="17"/>
                <w:szCs w:val="17"/>
                <w:lang w:eastAsia="ar-SA"/>
              </w:rPr>
              <w:t>變的主要驅動因素，以補充本模版。</w:t>
            </w:r>
          </w:p>
        </w:tc>
      </w:tr>
      <w:tr w:rsidR="00BC269C" w:rsidRPr="00BC269C" w14:paraId="40392844" w14:textId="77777777" w:rsidTr="0029639E">
        <w:tc>
          <w:tcPr>
            <w:tcW w:w="2160" w:type="dxa"/>
            <w:tcBorders>
              <w:top w:val="single" w:sz="4" w:space="0" w:color="000000"/>
              <w:bottom w:val="single" w:sz="4" w:space="0" w:color="000000"/>
            </w:tcBorders>
            <w:shd w:val="clear" w:color="auto" w:fill="auto"/>
          </w:tcPr>
          <w:p w14:paraId="15AD8A25" w14:textId="77777777" w:rsidR="00BC269C" w:rsidRPr="00BC269C" w:rsidRDefault="00BC269C" w:rsidP="00BC269C">
            <w:pPr>
              <w:spacing w:before="40" w:after="40" w:line="259" w:lineRule="auto"/>
              <w:rPr>
                <w:rFonts w:ascii="Calibri" w:eastAsia="細明體" w:hAnsi="Calibri"/>
                <w:sz w:val="22"/>
                <w:szCs w:val="17"/>
                <w:lang w:eastAsia="zh-TW"/>
              </w:rPr>
            </w:pPr>
            <w:r w:rsidRPr="00BC269C">
              <w:rPr>
                <w:rFonts w:ascii="Calibri" w:eastAsia="細明體" w:hAnsi="Calibri" w:hint="eastAsia"/>
                <w:b/>
                <w:sz w:val="17"/>
                <w:szCs w:val="17"/>
                <w:lang w:eastAsia="zh-TW"/>
              </w:rPr>
              <w:t>《披露規則》相應條文：</w:t>
            </w:r>
          </w:p>
        </w:tc>
        <w:tc>
          <w:tcPr>
            <w:tcW w:w="7088" w:type="dxa"/>
            <w:tcBorders>
              <w:top w:val="single" w:sz="4" w:space="0" w:color="000000"/>
              <w:left w:val="single" w:sz="4" w:space="0" w:color="000000"/>
              <w:bottom w:val="single" w:sz="4" w:space="0" w:color="000000"/>
            </w:tcBorders>
            <w:shd w:val="clear" w:color="auto" w:fill="auto"/>
            <w:vAlign w:val="center"/>
          </w:tcPr>
          <w:p w14:paraId="3D99615E"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sz w:val="17"/>
                <w:szCs w:val="17"/>
                <w:lang w:eastAsia="ar-SA"/>
              </w:rPr>
              <w:t>16ZA</w:t>
            </w:r>
          </w:p>
        </w:tc>
      </w:tr>
    </w:tbl>
    <w:p w14:paraId="6BCA9FBA" w14:textId="77777777" w:rsidR="00BC269C" w:rsidRPr="00BC269C" w:rsidRDefault="00BC269C" w:rsidP="00BC269C">
      <w:pPr>
        <w:spacing w:before="120" w:after="120" w:line="259" w:lineRule="auto"/>
        <w:rPr>
          <w:rFonts w:ascii="Calibri" w:eastAsia="細明體" w:hAnsi="Calibri"/>
          <w:sz w:val="22"/>
          <w:szCs w:val="22"/>
          <w:lang w:eastAsia="zh-CN"/>
        </w:rPr>
      </w:pPr>
    </w:p>
    <w:tbl>
      <w:tblPr>
        <w:tblW w:w="0" w:type="auto"/>
        <w:tblInd w:w="-459" w:type="dxa"/>
        <w:tblLayout w:type="fixed"/>
        <w:tblLook w:val="0000" w:firstRow="0" w:lastRow="0" w:firstColumn="0" w:lastColumn="0" w:noHBand="0" w:noVBand="0"/>
      </w:tblPr>
      <w:tblGrid>
        <w:gridCol w:w="2385"/>
        <w:gridCol w:w="1140"/>
        <w:gridCol w:w="1140"/>
        <w:gridCol w:w="1140"/>
        <w:gridCol w:w="1141"/>
        <w:gridCol w:w="1134"/>
        <w:gridCol w:w="1182"/>
      </w:tblGrid>
      <w:tr w:rsidR="00BC269C" w:rsidRPr="00BC269C" w14:paraId="2170B292" w14:textId="77777777" w:rsidTr="00E932DC">
        <w:trPr>
          <w:cantSplit/>
          <w:tblHeader/>
        </w:trPr>
        <w:tc>
          <w:tcPr>
            <w:tcW w:w="2385" w:type="dxa"/>
            <w:shd w:val="clear" w:color="auto" w:fill="auto"/>
          </w:tcPr>
          <w:p w14:paraId="575E9968"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000000"/>
              <w:left w:val="single" w:sz="4" w:space="0" w:color="000000"/>
              <w:bottom w:val="single" w:sz="4" w:space="0" w:color="000000"/>
            </w:tcBorders>
            <w:shd w:val="clear" w:color="auto" w:fill="auto"/>
            <w:vAlign w:val="center"/>
          </w:tcPr>
          <w:p w14:paraId="633007EA"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sz w:val="17"/>
                <w:szCs w:val="17"/>
                <w:lang w:eastAsia="ar-SA"/>
              </w:rPr>
              <w:t>(a)</w:t>
            </w:r>
          </w:p>
        </w:tc>
        <w:tc>
          <w:tcPr>
            <w:tcW w:w="1140" w:type="dxa"/>
            <w:tcBorders>
              <w:top w:val="single" w:sz="4" w:space="0" w:color="000000"/>
              <w:left w:val="single" w:sz="4" w:space="0" w:color="000000"/>
              <w:bottom w:val="single" w:sz="4" w:space="0" w:color="000000"/>
            </w:tcBorders>
            <w:shd w:val="clear" w:color="auto" w:fill="auto"/>
          </w:tcPr>
          <w:p w14:paraId="44AC93BE"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sz w:val="17"/>
                <w:szCs w:val="17"/>
                <w:lang w:eastAsia="ar-SA"/>
              </w:rPr>
              <w:t>(b)</w:t>
            </w:r>
          </w:p>
        </w:tc>
        <w:tc>
          <w:tcPr>
            <w:tcW w:w="1140" w:type="dxa"/>
            <w:tcBorders>
              <w:top w:val="single" w:sz="4" w:space="0" w:color="000000"/>
              <w:left w:val="single" w:sz="4" w:space="0" w:color="000000"/>
              <w:bottom w:val="single" w:sz="4" w:space="0" w:color="000000"/>
            </w:tcBorders>
            <w:shd w:val="clear" w:color="auto" w:fill="auto"/>
          </w:tcPr>
          <w:p w14:paraId="2BACC3E8"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sz w:val="17"/>
                <w:szCs w:val="17"/>
                <w:lang w:eastAsia="ar-SA"/>
              </w:rPr>
              <w:t>(c)</w:t>
            </w:r>
          </w:p>
        </w:tc>
        <w:tc>
          <w:tcPr>
            <w:tcW w:w="1141" w:type="dxa"/>
            <w:tcBorders>
              <w:top w:val="single" w:sz="4" w:space="0" w:color="000000"/>
              <w:left w:val="single" w:sz="4" w:space="0" w:color="000000"/>
              <w:bottom w:val="single" w:sz="4" w:space="0" w:color="000000"/>
            </w:tcBorders>
            <w:shd w:val="clear" w:color="auto" w:fill="auto"/>
          </w:tcPr>
          <w:p w14:paraId="1DE453A1"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sz w:val="17"/>
                <w:szCs w:val="17"/>
                <w:lang w:eastAsia="ar-SA"/>
              </w:rPr>
              <w:t>(d)</w:t>
            </w:r>
          </w:p>
        </w:tc>
        <w:tc>
          <w:tcPr>
            <w:tcW w:w="1134" w:type="dxa"/>
            <w:tcBorders>
              <w:top w:val="single" w:sz="4" w:space="0" w:color="000000"/>
              <w:left w:val="single" w:sz="4" w:space="0" w:color="000000"/>
              <w:bottom w:val="single" w:sz="4" w:space="0" w:color="000000"/>
            </w:tcBorders>
            <w:shd w:val="clear" w:color="auto" w:fill="auto"/>
          </w:tcPr>
          <w:p w14:paraId="5B6911BE"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sz w:val="17"/>
                <w:szCs w:val="17"/>
                <w:lang w:eastAsia="ar-SA"/>
              </w:rPr>
              <w:t>(e)</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68DA8016" w14:textId="77777777" w:rsidR="00BC269C" w:rsidRPr="00BC269C" w:rsidRDefault="00BC269C" w:rsidP="00BC269C">
            <w:pPr>
              <w:suppressAutoHyphens/>
              <w:snapToGrid w:val="0"/>
              <w:spacing w:before="40" w:after="40"/>
              <w:jc w:val="center"/>
              <w:rPr>
                <w:rFonts w:cs="Segoe UI"/>
                <w:sz w:val="17"/>
                <w:lang w:eastAsia="ar-SA"/>
              </w:rPr>
            </w:pPr>
            <w:r w:rsidRPr="00BC269C">
              <w:rPr>
                <w:rFonts w:eastAsia="細明體" w:cs="Segoe UI"/>
                <w:sz w:val="17"/>
                <w:szCs w:val="17"/>
                <w:lang w:eastAsia="ar-SA"/>
              </w:rPr>
              <w:t>(f)</w:t>
            </w:r>
          </w:p>
        </w:tc>
      </w:tr>
      <w:tr w:rsidR="00BC269C" w:rsidRPr="00BC269C" w14:paraId="43F64931" w14:textId="77777777" w:rsidTr="00E932DC">
        <w:trPr>
          <w:cantSplit/>
          <w:tblHeader/>
        </w:trPr>
        <w:tc>
          <w:tcPr>
            <w:tcW w:w="2385" w:type="dxa"/>
            <w:shd w:val="clear" w:color="auto" w:fill="auto"/>
          </w:tcPr>
          <w:p w14:paraId="7B7F5810" w14:textId="77777777" w:rsidR="00BC269C" w:rsidRPr="00BC269C" w:rsidRDefault="00BC269C" w:rsidP="00BC269C">
            <w:pPr>
              <w:suppressAutoHyphens/>
              <w:snapToGrid w:val="0"/>
              <w:spacing w:before="40" w:after="40"/>
              <w:rPr>
                <w:rFonts w:eastAsia="細明體" w:cs="Segoe UI"/>
                <w:spacing w:val="-16"/>
                <w:sz w:val="17"/>
                <w:szCs w:val="17"/>
                <w:lang w:eastAsia="ar-SA"/>
              </w:rPr>
            </w:pPr>
          </w:p>
        </w:tc>
        <w:tc>
          <w:tcPr>
            <w:tcW w:w="4561" w:type="dxa"/>
            <w:gridSpan w:val="4"/>
            <w:tcBorders>
              <w:top w:val="single" w:sz="4" w:space="0" w:color="000000"/>
              <w:left w:val="single" w:sz="4" w:space="0" w:color="000000"/>
              <w:bottom w:val="single" w:sz="4" w:space="0" w:color="000000"/>
            </w:tcBorders>
            <w:shd w:val="clear" w:color="auto" w:fill="auto"/>
            <w:vAlign w:val="center"/>
          </w:tcPr>
          <w:p w14:paraId="5F625386" w14:textId="77777777" w:rsidR="00BC269C" w:rsidRPr="00BC269C" w:rsidRDefault="00BC269C" w:rsidP="00BC269C">
            <w:pPr>
              <w:suppressAutoHyphens/>
              <w:snapToGrid w:val="0"/>
              <w:spacing w:before="40" w:after="40"/>
              <w:jc w:val="center"/>
              <w:rPr>
                <w:rFonts w:eastAsia="細明體" w:cs="Segoe UI"/>
                <w:sz w:val="17"/>
                <w:lang w:eastAsia="ar-SA"/>
              </w:rPr>
            </w:pPr>
            <w:r w:rsidRPr="00BC269C">
              <w:rPr>
                <w:rFonts w:eastAsia="細明體" w:cs="Segoe UI" w:hint="eastAsia"/>
                <w:sz w:val="17"/>
                <w:szCs w:val="17"/>
                <w:lang w:eastAsia="ar-SA"/>
              </w:rPr>
              <w:t>衍生工具合約</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2B234E" w14:textId="7DEA5113" w:rsidR="00BC269C" w:rsidRPr="00BC269C" w:rsidRDefault="00AC5021" w:rsidP="00BC269C">
            <w:pPr>
              <w:suppressAutoHyphens/>
              <w:snapToGrid w:val="0"/>
              <w:spacing w:before="40" w:after="40"/>
              <w:jc w:val="center"/>
              <w:rPr>
                <w:rFonts w:cs="Segoe UI"/>
                <w:sz w:val="17"/>
                <w:lang w:eastAsia="ar-SA"/>
              </w:rPr>
            </w:pPr>
            <w:r>
              <w:rPr>
                <w:rFonts w:eastAsia="細明體" w:cs="Segoe UI"/>
                <w:sz w:val="17"/>
                <w:lang w:eastAsia="ar-SA"/>
              </w:rPr>
              <w:t>S</w:t>
            </w:r>
            <w:r w:rsidR="00BC269C" w:rsidRPr="00BC269C">
              <w:rPr>
                <w:rFonts w:eastAsia="細明體" w:cs="Segoe UI" w:hint="eastAsia"/>
                <w:sz w:val="17"/>
                <w:lang w:eastAsia="ar-SA"/>
              </w:rPr>
              <w:t>FT</w:t>
            </w:r>
            <w:r w:rsidR="00BC269C" w:rsidRPr="00BC269C">
              <w:rPr>
                <w:rFonts w:eastAsia="細明體"/>
                <w:sz w:val="17"/>
                <w:szCs w:val="17"/>
                <w:vertAlign w:val="superscript"/>
                <w:lang w:eastAsia="ar-SA"/>
              </w:rPr>
              <w:footnoteReference w:id="14"/>
            </w:r>
          </w:p>
        </w:tc>
      </w:tr>
      <w:tr w:rsidR="00BC269C" w:rsidRPr="00BC269C" w14:paraId="164DAFDF" w14:textId="77777777" w:rsidTr="00E932DC">
        <w:trPr>
          <w:cantSplit/>
          <w:trHeight w:val="310"/>
          <w:tblHeader/>
        </w:trPr>
        <w:tc>
          <w:tcPr>
            <w:tcW w:w="2385" w:type="dxa"/>
            <w:vMerge w:val="restart"/>
            <w:tcBorders>
              <w:bottom w:val="single" w:sz="4" w:space="0" w:color="C0C0C0"/>
            </w:tcBorders>
            <w:shd w:val="clear" w:color="auto" w:fill="auto"/>
          </w:tcPr>
          <w:p w14:paraId="5A62BF2E" w14:textId="77777777" w:rsidR="00BC269C" w:rsidRPr="00BC269C" w:rsidRDefault="00BC269C" w:rsidP="00BC269C">
            <w:pPr>
              <w:suppressAutoHyphens/>
              <w:snapToGrid w:val="0"/>
              <w:spacing w:before="40" w:after="40"/>
              <w:rPr>
                <w:rFonts w:eastAsia="細明體" w:cs="Segoe UI"/>
                <w:spacing w:val="-16"/>
                <w:sz w:val="17"/>
                <w:szCs w:val="17"/>
                <w:lang w:eastAsia="ar-SA"/>
              </w:rPr>
            </w:pPr>
          </w:p>
        </w:tc>
        <w:tc>
          <w:tcPr>
            <w:tcW w:w="2280" w:type="dxa"/>
            <w:gridSpan w:val="2"/>
            <w:tcBorders>
              <w:top w:val="single" w:sz="4" w:space="0" w:color="000000"/>
              <w:left w:val="single" w:sz="4" w:space="0" w:color="000000"/>
              <w:bottom w:val="single" w:sz="4" w:space="0" w:color="000000"/>
            </w:tcBorders>
            <w:shd w:val="clear" w:color="auto" w:fill="auto"/>
            <w:vAlign w:val="center"/>
          </w:tcPr>
          <w:p w14:paraId="194D3482"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hint="eastAsia"/>
                <w:sz w:val="17"/>
                <w:szCs w:val="17"/>
                <w:lang w:eastAsia="ar-SA"/>
              </w:rPr>
              <w:t>收取的認可抵押品的</w:t>
            </w:r>
          </w:p>
          <w:p w14:paraId="41E42F2D"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hint="eastAsia"/>
                <w:sz w:val="17"/>
                <w:szCs w:val="17"/>
                <w:lang w:eastAsia="ar-SA"/>
              </w:rPr>
              <w:t>公平價值</w:t>
            </w:r>
          </w:p>
        </w:tc>
        <w:tc>
          <w:tcPr>
            <w:tcW w:w="2281" w:type="dxa"/>
            <w:gridSpan w:val="2"/>
            <w:tcBorders>
              <w:top w:val="single" w:sz="4" w:space="0" w:color="000000"/>
              <w:left w:val="single" w:sz="4" w:space="0" w:color="000000"/>
              <w:bottom w:val="single" w:sz="4" w:space="0" w:color="000000"/>
            </w:tcBorders>
            <w:shd w:val="clear" w:color="auto" w:fill="auto"/>
            <w:vAlign w:val="center"/>
          </w:tcPr>
          <w:p w14:paraId="69F2A3EB" w14:textId="77777777" w:rsidR="00BC269C" w:rsidRPr="00BC269C" w:rsidRDefault="00BC269C" w:rsidP="00BC269C">
            <w:pPr>
              <w:suppressAutoHyphens/>
              <w:snapToGrid w:val="0"/>
              <w:spacing w:before="40" w:after="40"/>
              <w:jc w:val="center"/>
              <w:rPr>
                <w:rFonts w:ascii="細明體" w:eastAsia="細明體" w:hAnsi="細明體" w:cs="細明體"/>
                <w:sz w:val="17"/>
                <w:szCs w:val="17"/>
                <w:lang w:eastAsia="ar-SA"/>
              </w:rPr>
            </w:pPr>
            <w:r w:rsidRPr="00BC269C">
              <w:rPr>
                <w:rFonts w:eastAsia="細明體" w:cs="Segoe UI" w:hint="eastAsia"/>
                <w:sz w:val="17"/>
                <w:szCs w:val="17"/>
                <w:lang w:eastAsia="ar-SA"/>
              </w:rPr>
              <w:t>提供的抵押品的公平價值</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C874EA8"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ascii="細明體" w:eastAsia="細明體" w:hAnsi="細明體" w:cs="細明體" w:hint="eastAsia"/>
                <w:sz w:val="17"/>
                <w:szCs w:val="17"/>
                <w:lang w:eastAsia="ar-SA"/>
              </w:rPr>
              <w:t>收</w:t>
            </w:r>
            <w:r w:rsidRPr="00BC269C">
              <w:rPr>
                <w:rFonts w:eastAsia="細明體" w:cs="Segoe UI" w:hint="eastAsia"/>
                <w:sz w:val="17"/>
                <w:szCs w:val="17"/>
                <w:lang w:eastAsia="ar-SA"/>
              </w:rPr>
              <w:t>取的認可抵押品的公平價值</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E1462C" w14:textId="77777777" w:rsidR="00BC269C" w:rsidRPr="00BC269C" w:rsidRDefault="00BC269C" w:rsidP="00BC269C">
            <w:pPr>
              <w:suppressAutoHyphens/>
              <w:snapToGrid w:val="0"/>
              <w:spacing w:before="40" w:after="40"/>
              <w:jc w:val="center"/>
              <w:rPr>
                <w:rFonts w:cs="Segoe UI"/>
                <w:sz w:val="17"/>
                <w:lang w:eastAsia="ar-SA"/>
              </w:rPr>
            </w:pPr>
            <w:r w:rsidRPr="00BC269C">
              <w:rPr>
                <w:rFonts w:eastAsia="細明體" w:cs="Segoe UI" w:hint="eastAsia"/>
                <w:sz w:val="17"/>
                <w:szCs w:val="17"/>
                <w:lang w:eastAsia="ar-SA"/>
              </w:rPr>
              <w:t>提供的抵押品的公平價值</w:t>
            </w:r>
          </w:p>
        </w:tc>
      </w:tr>
      <w:tr w:rsidR="00BC269C" w:rsidRPr="00BC269C" w14:paraId="1EFB1184" w14:textId="77777777" w:rsidTr="00E932DC">
        <w:trPr>
          <w:cantSplit/>
          <w:trHeight w:val="310"/>
          <w:tblHeader/>
        </w:trPr>
        <w:tc>
          <w:tcPr>
            <w:tcW w:w="2385" w:type="dxa"/>
            <w:vMerge/>
            <w:tcBorders>
              <w:top w:val="single" w:sz="4" w:space="0" w:color="C0C0C0"/>
              <w:bottom w:val="single" w:sz="4" w:space="0" w:color="000000"/>
            </w:tcBorders>
            <w:shd w:val="clear" w:color="auto" w:fill="auto"/>
          </w:tcPr>
          <w:p w14:paraId="3D60C618" w14:textId="77777777" w:rsidR="00BC269C" w:rsidRPr="00BC269C" w:rsidRDefault="00BC269C" w:rsidP="00BC269C">
            <w:pPr>
              <w:suppressAutoHyphens/>
              <w:snapToGrid w:val="0"/>
              <w:spacing w:before="40" w:after="40"/>
              <w:rPr>
                <w:rFonts w:eastAsia="細明體" w:cs="Segoe UI"/>
                <w:spacing w:val="-16"/>
                <w:sz w:val="17"/>
                <w:szCs w:val="17"/>
                <w:lang w:eastAsia="ar-SA"/>
              </w:rPr>
            </w:pPr>
          </w:p>
        </w:tc>
        <w:tc>
          <w:tcPr>
            <w:tcW w:w="1140" w:type="dxa"/>
            <w:tcBorders>
              <w:top w:val="single" w:sz="4" w:space="0" w:color="000000"/>
              <w:left w:val="single" w:sz="4" w:space="0" w:color="000000"/>
              <w:bottom w:val="single" w:sz="4" w:space="0" w:color="000000"/>
            </w:tcBorders>
            <w:shd w:val="clear" w:color="auto" w:fill="auto"/>
            <w:vAlign w:val="center"/>
          </w:tcPr>
          <w:p w14:paraId="449C5684"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hint="eastAsia"/>
                <w:sz w:val="17"/>
                <w:szCs w:val="17"/>
                <w:lang w:eastAsia="ar-SA"/>
              </w:rPr>
              <w:t>分隔的</w:t>
            </w:r>
          </w:p>
        </w:tc>
        <w:tc>
          <w:tcPr>
            <w:tcW w:w="1140" w:type="dxa"/>
            <w:tcBorders>
              <w:top w:val="single" w:sz="4" w:space="0" w:color="000000"/>
              <w:left w:val="single" w:sz="4" w:space="0" w:color="000000"/>
              <w:bottom w:val="single" w:sz="4" w:space="0" w:color="000000"/>
            </w:tcBorders>
            <w:shd w:val="clear" w:color="auto" w:fill="auto"/>
            <w:vAlign w:val="center"/>
          </w:tcPr>
          <w:p w14:paraId="3CAFF0F4" w14:textId="77777777" w:rsidR="00BC269C" w:rsidRPr="00BC269C" w:rsidRDefault="00BC269C" w:rsidP="00BC269C">
            <w:pPr>
              <w:suppressAutoHyphens/>
              <w:snapToGrid w:val="0"/>
              <w:spacing w:before="40" w:after="40"/>
              <w:ind w:left="-88" w:right="-120"/>
              <w:jc w:val="center"/>
              <w:rPr>
                <w:rFonts w:eastAsia="細明體" w:cs="Segoe UI"/>
                <w:sz w:val="17"/>
                <w:szCs w:val="17"/>
                <w:lang w:eastAsia="ar-SA"/>
              </w:rPr>
            </w:pPr>
            <w:r w:rsidRPr="00BC269C">
              <w:rPr>
                <w:rFonts w:eastAsia="細明體" w:cs="Segoe UI" w:hint="eastAsia"/>
                <w:sz w:val="17"/>
                <w:szCs w:val="17"/>
                <w:lang w:eastAsia="ar-SA"/>
              </w:rPr>
              <w:t>非分隔的</w:t>
            </w:r>
          </w:p>
        </w:tc>
        <w:tc>
          <w:tcPr>
            <w:tcW w:w="1140" w:type="dxa"/>
            <w:tcBorders>
              <w:top w:val="single" w:sz="4" w:space="0" w:color="000000"/>
              <w:left w:val="single" w:sz="4" w:space="0" w:color="000000"/>
              <w:bottom w:val="single" w:sz="4" w:space="0" w:color="000000"/>
            </w:tcBorders>
            <w:shd w:val="clear" w:color="auto" w:fill="auto"/>
            <w:vAlign w:val="center"/>
          </w:tcPr>
          <w:p w14:paraId="44BB82CD"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hint="eastAsia"/>
                <w:sz w:val="17"/>
                <w:szCs w:val="17"/>
                <w:lang w:eastAsia="ar-SA"/>
              </w:rPr>
              <w:t>分隔的</w:t>
            </w:r>
          </w:p>
        </w:tc>
        <w:tc>
          <w:tcPr>
            <w:tcW w:w="1141" w:type="dxa"/>
            <w:tcBorders>
              <w:top w:val="single" w:sz="4" w:space="0" w:color="000000"/>
              <w:left w:val="single" w:sz="4" w:space="0" w:color="000000"/>
              <w:bottom w:val="single" w:sz="4" w:space="0" w:color="000000"/>
            </w:tcBorders>
            <w:shd w:val="clear" w:color="auto" w:fill="auto"/>
            <w:vAlign w:val="center"/>
          </w:tcPr>
          <w:p w14:paraId="6895DB38" w14:textId="77777777" w:rsidR="00BC269C" w:rsidRPr="00BC269C" w:rsidRDefault="00BC269C" w:rsidP="00BC269C">
            <w:pPr>
              <w:suppressAutoHyphens/>
              <w:snapToGrid w:val="0"/>
              <w:spacing w:before="40" w:after="40"/>
              <w:ind w:left="-88" w:right="-120"/>
              <w:jc w:val="center"/>
              <w:rPr>
                <w:rFonts w:eastAsia="細明體" w:cs="Segoe UI"/>
                <w:spacing w:val="-16"/>
                <w:sz w:val="17"/>
                <w:szCs w:val="17"/>
                <w:lang w:eastAsia="ar-SA"/>
              </w:rPr>
            </w:pPr>
            <w:r w:rsidRPr="00BC269C">
              <w:rPr>
                <w:rFonts w:eastAsia="細明體" w:cs="Segoe UI" w:hint="eastAsia"/>
                <w:sz w:val="17"/>
                <w:szCs w:val="17"/>
                <w:lang w:eastAsia="ar-SA"/>
              </w:rPr>
              <w:t>非分隔</w:t>
            </w:r>
            <w:r w:rsidRPr="00BC269C">
              <w:rPr>
                <w:rFonts w:eastAsia="細明體" w:cs="Segoe UI" w:hint="eastAsia"/>
                <w:spacing w:val="-16"/>
                <w:sz w:val="17"/>
                <w:szCs w:val="17"/>
                <w:lang w:eastAsia="ar-SA"/>
              </w:rPr>
              <w:t>的</w:t>
            </w:r>
          </w:p>
        </w:tc>
        <w:tc>
          <w:tcPr>
            <w:tcW w:w="1134" w:type="dxa"/>
            <w:vMerge/>
            <w:tcBorders>
              <w:top w:val="single" w:sz="4" w:space="0" w:color="C0C0C0"/>
              <w:left w:val="single" w:sz="4" w:space="0" w:color="000000"/>
              <w:bottom w:val="single" w:sz="4" w:space="0" w:color="000000"/>
            </w:tcBorders>
            <w:shd w:val="clear" w:color="auto" w:fill="auto"/>
          </w:tcPr>
          <w:p w14:paraId="5807F0FF" w14:textId="77777777" w:rsidR="00BC269C" w:rsidRPr="00BC269C" w:rsidRDefault="00BC269C" w:rsidP="00BC269C">
            <w:pPr>
              <w:suppressAutoHyphens/>
              <w:snapToGrid w:val="0"/>
              <w:spacing w:before="40" w:after="40"/>
              <w:rPr>
                <w:rFonts w:eastAsia="細明體" w:cs="Segoe UI"/>
                <w:spacing w:val="-16"/>
                <w:sz w:val="17"/>
                <w:szCs w:val="17"/>
                <w:lang w:eastAsia="ar-SA"/>
              </w:rPr>
            </w:pPr>
          </w:p>
        </w:tc>
        <w:tc>
          <w:tcPr>
            <w:tcW w:w="1182" w:type="dxa"/>
            <w:vMerge/>
            <w:tcBorders>
              <w:top w:val="single" w:sz="4" w:space="0" w:color="C0C0C0"/>
              <w:left w:val="single" w:sz="4" w:space="0" w:color="000000"/>
              <w:bottom w:val="single" w:sz="4" w:space="0" w:color="000000"/>
              <w:right w:val="single" w:sz="4" w:space="0" w:color="000000"/>
            </w:tcBorders>
            <w:shd w:val="clear" w:color="auto" w:fill="auto"/>
          </w:tcPr>
          <w:p w14:paraId="43B557EE" w14:textId="77777777" w:rsidR="00BC269C" w:rsidRPr="00BC269C" w:rsidRDefault="00BC269C" w:rsidP="00BC269C">
            <w:pPr>
              <w:suppressAutoHyphens/>
              <w:snapToGrid w:val="0"/>
              <w:spacing w:before="40" w:after="40"/>
              <w:rPr>
                <w:rFonts w:eastAsia="細明體" w:cs="Segoe UI"/>
                <w:spacing w:val="-16"/>
                <w:sz w:val="17"/>
                <w:szCs w:val="17"/>
                <w:lang w:eastAsia="ar-SA"/>
              </w:rPr>
            </w:pPr>
          </w:p>
        </w:tc>
      </w:tr>
      <w:tr w:rsidR="00BC269C" w:rsidRPr="00BC269C" w14:paraId="5AEF14D4" w14:textId="77777777" w:rsidTr="00E932DC">
        <w:trPr>
          <w:cantSplit/>
        </w:trPr>
        <w:tc>
          <w:tcPr>
            <w:tcW w:w="2385" w:type="dxa"/>
            <w:tcBorders>
              <w:top w:val="single" w:sz="4" w:space="0" w:color="000000"/>
              <w:bottom w:val="single" w:sz="4" w:space="0" w:color="C0C0C0"/>
            </w:tcBorders>
            <w:shd w:val="clear" w:color="auto" w:fill="auto"/>
          </w:tcPr>
          <w:p w14:paraId="20DBB671"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現金－本地貨幣</w:t>
            </w:r>
            <w:r w:rsidRPr="00BC269C">
              <w:rPr>
                <w:rFonts w:eastAsia="細明體" w:cs="Segoe UI"/>
                <w:sz w:val="17"/>
                <w:szCs w:val="17"/>
                <w:lang w:eastAsia="ar-SA"/>
              </w:rPr>
              <w:t xml:space="preserve"> </w:t>
            </w:r>
            <w:r w:rsidRPr="00BC269C">
              <w:rPr>
                <w:rFonts w:eastAsia="細明體"/>
                <w:sz w:val="17"/>
                <w:szCs w:val="17"/>
                <w:vertAlign w:val="superscript"/>
                <w:lang w:eastAsia="ar-SA"/>
              </w:rPr>
              <w:footnoteReference w:id="15"/>
            </w:r>
          </w:p>
        </w:tc>
        <w:tc>
          <w:tcPr>
            <w:tcW w:w="1140" w:type="dxa"/>
            <w:tcBorders>
              <w:top w:val="single" w:sz="4" w:space="0" w:color="C0C0C0"/>
              <w:left w:val="single" w:sz="4" w:space="0" w:color="000000"/>
              <w:bottom w:val="single" w:sz="4" w:space="0" w:color="C0C0C0"/>
            </w:tcBorders>
            <w:shd w:val="clear" w:color="auto" w:fill="auto"/>
          </w:tcPr>
          <w:p w14:paraId="27F2DD73"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2B265ACC"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79760BAA"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40AA6481"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63DE8A7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6B73F79C"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0E646F99" w14:textId="77777777" w:rsidTr="00E932DC">
        <w:trPr>
          <w:cantSplit/>
        </w:trPr>
        <w:tc>
          <w:tcPr>
            <w:tcW w:w="2385" w:type="dxa"/>
            <w:tcBorders>
              <w:top w:val="single" w:sz="4" w:space="0" w:color="C0C0C0"/>
              <w:bottom w:val="single" w:sz="4" w:space="0" w:color="C0C0C0"/>
            </w:tcBorders>
            <w:shd w:val="clear" w:color="auto" w:fill="auto"/>
          </w:tcPr>
          <w:p w14:paraId="20FEFE48"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現金－其他貨幣</w:t>
            </w:r>
          </w:p>
        </w:tc>
        <w:tc>
          <w:tcPr>
            <w:tcW w:w="1140" w:type="dxa"/>
            <w:tcBorders>
              <w:top w:val="single" w:sz="4" w:space="0" w:color="C0C0C0"/>
              <w:left w:val="single" w:sz="4" w:space="0" w:color="000000"/>
              <w:bottom w:val="single" w:sz="4" w:space="0" w:color="C0C0C0"/>
            </w:tcBorders>
            <w:shd w:val="clear" w:color="auto" w:fill="auto"/>
          </w:tcPr>
          <w:p w14:paraId="716DCDE5"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1C80BDCF"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11FE6C2B"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68886969"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5440DF66"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57C7285D"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75147961" w14:textId="77777777" w:rsidTr="00E932DC">
        <w:trPr>
          <w:cantSplit/>
        </w:trPr>
        <w:tc>
          <w:tcPr>
            <w:tcW w:w="2385" w:type="dxa"/>
            <w:tcBorders>
              <w:top w:val="single" w:sz="4" w:space="0" w:color="C0C0C0"/>
              <w:bottom w:val="single" w:sz="4" w:space="0" w:color="C0C0C0"/>
            </w:tcBorders>
            <w:shd w:val="clear" w:color="auto" w:fill="auto"/>
          </w:tcPr>
          <w:p w14:paraId="3E1A0511"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本地國債</w:t>
            </w:r>
          </w:p>
        </w:tc>
        <w:tc>
          <w:tcPr>
            <w:tcW w:w="1140" w:type="dxa"/>
            <w:tcBorders>
              <w:top w:val="single" w:sz="4" w:space="0" w:color="C0C0C0"/>
              <w:left w:val="single" w:sz="4" w:space="0" w:color="000000"/>
              <w:bottom w:val="single" w:sz="4" w:space="0" w:color="C0C0C0"/>
            </w:tcBorders>
            <w:shd w:val="clear" w:color="auto" w:fill="auto"/>
          </w:tcPr>
          <w:p w14:paraId="074137C5"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6C0524D4"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1C62D5EC"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16B590C9"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4E801E86"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241FDAAA"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51CB50C1" w14:textId="77777777" w:rsidTr="00E932DC">
        <w:trPr>
          <w:cantSplit/>
        </w:trPr>
        <w:tc>
          <w:tcPr>
            <w:tcW w:w="2385" w:type="dxa"/>
            <w:tcBorders>
              <w:top w:val="single" w:sz="4" w:space="0" w:color="C0C0C0"/>
              <w:bottom w:val="single" w:sz="4" w:space="0" w:color="C0C0C0"/>
            </w:tcBorders>
            <w:shd w:val="clear" w:color="auto" w:fill="auto"/>
          </w:tcPr>
          <w:p w14:paraId="2D818556"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其他國債</w:t>
            </w:r>
          </w:p>
        </w:tc>
        <w:tc>
          <w:tcPr>
            <w:tcW w:w="1140" w:type="dxa"/>
            <w:tcBorders>
              <w:top w:val="single" w:sz="4" w:space="0" w:color="C0C0C0"/>
              <w:left w:val="single" w:sz="4" w:space="0" w:color="000000"/>
              <w:bottom w:val="single" w:sz="4" w:space="0" w:color="C0C0C0"/>
            </w:tcBorders>
            <w:shd w:val="clear" w:color="auto" w:fill="auto"/>
          </w:tcPr>
          <w:p w14:paraId="5CE4FAE6"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577A2E68"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0553385B"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64A5B61A"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4447E261"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14C48266"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598B401A" w14:textId="77777777" w:rsidTr="00E932DC">
        <w:trPr>
          <w:cantSplit/>
        </w:trPr>
        <w:tc>
          <w:tcPr>
            <w:tcW w:w="2385" w:type="dxa"/>
            <w:tcBorders>
              <w:top w:val="single" w:sz="4" w:space="0" w:color="C0C0C0"/>
              <w:bottom w:val="single" w:sz="4" w:space="0" w:color="C0C0C0"/>
            </w:tcBorders>
            <w:shd w:val="clear" w:color="auto" w:fill="auto"/>
          </w:tcPr>
          <w:p w14:paraId="7FE5E3CF"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政府機構債券</w:t>
            </w:r>
          </w:p>
        </w:tc>
        <w:tc>
          <w:tcPr>
            <w:tcW w:w="1140" w:type="dxa"/>
            <w:tcBorders>
              <w:top w:val="single" w:sz="4" w:space="0" w:color="C0C0C0"/>
              <w:left w:val="single" w:sz="4" w:space="0" w:color="000000"/>
              <w:bottom w:val="single" w:sz="4" w:space="0" w:color="C0C0C0"/>
            </w:tcBorders>
            <w:shd w:val="clear" w:color="auto" w:fill="auto"/>
          </w:tcPr>
          <w:p w14:paraId="31618B63"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062D334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0F15DEC0"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550F340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434CE1CA"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777EE104"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275D96AC" w14:textId="77777777" w:rsidTr="00E932DC">
        <w:trPr>
          <w:cantSplit/>
        </w:trPr>
        <w:tc>
          <w:tcPr>
            <w:tcW w:w="2385" w:type="dxa"/>
            <w:tcBorders>
              <w:top w:val="single" w:sz="4" w:space="0" w:color="C0C0C0"/>
              <w:bottom w:val="single" w:sz="4" w:space="0" w:color="C0C0C0"/>
            </w:tcBorders>
            <w:shd w:val="clear" w:color="auto" w:fill="auto"/>
          </w:tcPr>
          <w:p w14:paraId="4E2703C8"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法團債券</w:t>
            </w:r>
          </w:p>
        </w:tc>
        <w:tc>
          <w:tcPr>
            <w:tcW w:w="1140" w:type="dxa"/>
            <w:tcBorders>
              <w:top w:val="single" w:sz="4" w:space="0" w:color="C0C0C0"/>
              <w:left w:val="single" w:sz="4" w:space="0" w:color="000000"/>
              <w:bottom w:val="single" w:sz="4" w:space="0" w:color="C0C0C0"/>
            </w:tcBorders>
            <w:shd w:val="clear" w:color="auto" w:fill="auto"/>
          </w:tcPr>
          <w:p w14:paraId="49C8DD6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39E3B3A1"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6F6F0C30"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12339270"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5F85960C"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22DA2F84"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6E36E55D" w14:textId="77777777" w:rsidTr="00E932DC">
        <w:trPr>
          <w:cantSplit/>
        </w:trPr>
        <w:tc>
          <w:tcPr>
            <w:tcW w:w="2385" w:type="dxa"/>
            <w:tcBorders>
              <w:top w:val="single" w:sz="4" w:space="0" w:color="C0C0C0"/>
              <w:bottom w:val="single" w:sz="4" w:space="0" w:color="C0C0C0"/>
            </w:tcBorders>
            <w:shd w:val="clear" w:color="auto" w:fill="auto"/>
          </w:tcPr>
          <w:p w14:paraId="4C6A1568"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股權證券</w:t>
            </w:r>
          </w:p>
        </w:tc>
        <w:tc>
          <w:tcPr>
            <w:tcW w:w="1140" w:type="dxa"/>
            <w:tcBorders>
              <w:top w:val="single" w:sz="4" w:space="0" w:color="C0C0C0"/>
              <w:left w:val="single" w:sz="4" w:space="0" w:color="000000"/>
              <w:bottom w:val="single" w:sz="4" w:space="0" w:color="C0C0C0"/>
            </w:tcBorders>
            <w:shd w:val="clear" w:color="auto" w:fill="auto"/>
          </w:tcPr>
          <w:p w14:paraId="1CC41737"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29BB6A0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15E06318"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5C46588C"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11BFE1FB"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094D1BF9"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2FDAE700" w14:textId="77777777" w:rsidTr="00E932DC">
        <w:trPr>
          <w:cantSplit/>
        </w:trPr>
        <w:tc>
          <w:tcPr>
            <w:tcW w:w="2385" w:type="dxa"/>
            <w:tcBorders>
              <w:top w:val="single" w:sz="4" w:space="0" w:color="C0C0C0"/>
              <w:bottom w:val="single" w:sz="4" w:space="0" w:color="C0C0C0"/>
            </w:tcBorders>
            <w:shd w:val="clear" w:color="auto" w:fill="auto"/>
          </w:tcPr>
          <w:p w14:paraId="4B0A0CAE"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sz w:val="17"/>
                <w:szCs w:val="17"/>
                <w:lang w:eastAsia="ar-SA"/>
              </w:rPr>
              <w:t>其他抵押品</w:t>
            </w:r>
          </w:p>
        </w:tc>
        <w:tc>
          <w:tcPr>
            <w:tcW w:w="1140" w:type="dxa"/>
            <w:tcBorders>
              <w:top w:val="single" w:sz="4" w:space="0" w:color="C0C0C0"/>
              <w:left w:val="single" w:sz="4" w:space="0" w:color="000000"/>
              <w:bottom w:val="single" w:sz="4" w:space="0" w:color="C0C0C0"/>
            </w:tcBorders>
            <w:shd w:val="clear" w:color="auto" w:fill="auto"/>
          </w:tcPr>
          <w:p w14:paraId="5B955EA1"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0C5C2427"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45E3A198"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48BB0B40"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4AAB7795"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2F176719"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4F7720CA" w14:textId="77777777" w:rsidTr="00E932DC">
        <w:trPr>
          <w:cantSplit/>
        </w:trPr>
        <w:tc>
          <w:tcPr>
            <w:tcW w:w="2385" w:type="dxa"/>
            <w:tcBorders>
              <w:top w:val="single" w:sz="4" w:space="0" w:color="C0C0C0"/>
              <w:bottom w:val="single" w:sz="4" w:space="0" w:color="C0C0C0"/>
            </w:tcBorders>
            <w:shd w:val="clear" w:color="auto" w:fill="auto"/>
          </w:tcPr>
          <w:p w14:paraId="7BDCB853"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sz w:val="17"/>
                <w:szCs w:val="17"/>
                <w:lang w:eastAsia="ar-SA"/>
              </w:rPr>
              <w:t>…</w:t>
            </w:r>
          </w:p>
        </w:tc>
        <w:tc>
          <w:tcPr>
            <w:tcW w:w="1140" w:type="dxa"/>
            <w:tcBorders>
              <w:top w:val="single" w:sz="4" w:space="0" w:color="C0C0C0"/>
              <w:left w:val="single" w:sz="4" w:space="0" w:color="000000"/>
              <w:bottom w:val="single" w:sz="4" w:space="0" w:color="C0C0C0"/>
            </w:tcBorders>
            <w:shd w:val="clear" w:color="auto" w:fill="auto"/>
          </w:tcPr>
          <w:p w14:paraId="5D983360"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32F7C105"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0" w:type="dxa"/>
            <w:tcBorders>
              <w:top w:val="single" w:sz="4" w:space="0" w:color="C0C0C0"/>
              <w:left w:val="single" w:sz="4" w:space="0" w:color="000000"/>
              <w:bottom w:val="single" w:sz="4" w:space="0" w:color="C0C0C0"/>
            </w:tcBorders>
            <w:shd w:val="clear" w:color="auto" w:fill="auto"/>
          </w:tcPr>
          <w:p w14:paraId="65B499C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41" w:type="dxa"/>
            <w:tcBorders>
              <w:top w:val="single" w:sz="4" w:space="0" w:color="C0C0C0"/>
              <w:left w:val="single" w:sz="4" w:space="0" w:color="000000"/>
              <w:bottom w:val="single" w:sz="4" w:space="0" w:color="C0C0C0"/>
            </w:tcBorders>
            <w:shd w:val="clear" w:color="auto" w:fill="auto"/>
          </w:tcPr>
          <w:p w14:paraId="5C7D6E7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34" w:type="dxa"/>
            <w:tcBorders>
              <w:top w:val="single" w:sz="4" w:space="0" w:color="C0C0C0"/>
              <w:left w:val="single" w:sz="4" w:space="0" w:color="000000"/>
              <w:bottom w:val="single" w:sz="4" w:space="0" w:color="C0C0C0"/>
            </w:tcBorders>
            <w:shd w:val="clear" w:color="auto" w:fill="auto"/>
          </w:tcPr>
          <w:p w14:paraId="5304BEE0"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1182" w:type="dxa"/>
            <w:tcBorders>
              <w:top w:val="single" w:sz="4" w:space="0" w:color="C0C0C0"/>
              <w:left w:val="single" w:sz="4" w:space="0" w:color="000000"/>
              <w:bottom w:val="single" w:sz="4" w:space="0" w:color="C0C0C0"/>
              <w:right w:val="single" w:sz="4" w:space="0" w:color="000000"/>
            </w:tcBorders>
            <w:shd w:val="clear" w:color="auto" w:fill="auto"/>
          </w:tcPr>
          <w:p w14:paraId="781B6ED0"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3F00262B" w14:textId="77777777" w:rsidTr="00E932DC">
        <w:trPr>
          <w:cantSplit/>
        </w:trPr>
        <w:tc>
          <w:tcPr>
            <w:tcW w:w="2385" w:type="dxa"/>
            <w:tcBorders>
              <w:top w:val="single" w:sz="4" w:space="0" w:color="C0C0C0"/>
              <w:bottom w:val="single" w:sz="4" w:space="0" w:color="000000"/>
            </w:tcBorders>
            <w:shd w:val="clear" w:color="auto" w:fill="auto"/>
          </w:tcPr>
          <w:p w14:paraId="2831CFB5" w14:textId="77777777" w:rsidR="00BC269C" w:rsidRPr="00BC269C" w:rsidRDefault="00BC269C" w:rsidP="00BC269C">
            <w:pPr>
              <w:suppressAutoHyphens/>
              <w:snapToGrid w:val="0"/>
              <w:spacing w:before="40" w:after="40"/>
              <w:rPr>
                <w:rFonts w:eastAsia="細明體" w:cs="Segoe UI"/>
                <w:b/>
                <w:sz w:val="17"/>
                <w:szCs w:val="17"/>
                <w:lang w:eastAsia="ar-SA"/>
              </w:rPr>
            </w:pPr>
            <w:r w:rsidRPr="00BC269C">
              <w:rPr>
                <w:rFonts w:eastAsia="細明體" w:cs="Segoe UI" w:hint="eastAsia"/>
                <w:b/>
                <w:sz w:val="17"/>
                <w:szCs w:val="17"/>
                <w:lang w:eastAsia="ar-SA"/>
              </w:rPr>
              <w:t>總計</w:t>
            </w:r>
          </w:p>
        </w:tc>
        <w:tc>
          <w:tcPr>
            <w:tcW w:w="1140" w:type="dxa"/>
            <w:tcBorders>
              <w:top w:val="single" w:sz="4" w:space="0" w:color="C0C0C0"/>
              <w:left w:val="single" w:sz="4" w:space="0" w:color="000000"/>
              <w:bottom w:val="single" w:sz="4" w:space="0" w:color="000000"/>
            </w:tcBorders>
            <w:shd w:val="clear" w:color="auto" w:fill="auto"/>
          </w:tcPr>
          <w:p w14:paraId="19FA22EE" w14:textId="77777777" w:rsidR="00BC269C" w:rsidRPr="00BC269C" w:rsidRDefault="00BC269C" w:rsidP="00BC269C">
            <w:pPr>
              <w:suppressAutoHyphens/>
              <w:snapToGrid w:val="0"/>
              <w:spacing w:before="40" w:after="40"/>
              <w:rPr>
                <w:rFonts w:eastAsia="細明體" w:cs="Segoe UI"/>
                <w:b/>
                <w:sz w:val="17"/>
                <w:szCs w:val="17"/>
                <w:lang w:eastAsia="ar-SA"/>
              </w:rPr>
            </w:pPr>
          </w:p>
        </w:tc>
        <w:tc>
          <w:tcPr>
            <w:tcW w:w="1140" w:type="dxa"/>
            <w:tcBorders>
              <w:top w:val="single" w:sz="4" w:space="0" w:color="C0C0C0"/>
              <w:left w:val="single" w:sz="4" w:space="0" w:color="000000"/>
              <w:bottom w:val="single" w:sz="4" w:space="0" w:color="000000"/>
            </w:tcBorders>
            <w:shd w:val="clear" w:color="auto" w:fill="auto"/>
          </w:tcPr>
          <w:p w14:paraId="2C1AC593" w14:textId="77777777" w:rsidR="00BC269C" w:rsidRPr="00BC269C" w:rsidRDefault="00BC269C" w:rsidP="00BC269C">
            <w:pPr>
              <w:suppressAutoHyphens/>
              <w:snapToGrid w:val="0"/>
              <w:spacing w:before="40" w:after="40"/>
              <w:rPr>
                <w:rFonts w:eastAsia="細明體" w:cs="Segoe UI"/>
                <w:b/>
                <w:sz w:val="17"/>
                <w:szCs w:val="17"/>
                <w:lang w:eastAsia="ar-SA"/>
              </w:rPr>
            </w:pPr>
          </w:p>
        </w:tc>
        <w:tc>
          <w:tcPr>
            <w:tcW w:w="1140" w:type="dxa"/>
            <w:tcBorders>
              <w:top w:val="single" w:sz="4" w:space="0" w:color="C0C0C0"/>
              <w:left w:val="single" w:sz="4" w:space="0" w:color="000000"/>
              <w:bottom w:val="single" w:sz="4" w:space="0" w:color="000000"/>
            </w:tcBorders>
            <w:shd w:val="clear" w:color="auto" w:fill="auto"/>
          </w:tcPr>
          <w:p w14:paraId="1A1A6C53" w14:textId="77777777" w:rsidR="00BC269C" w:rsidRPr="00BC269C" w:rsidRDefault="00BC269C" w:rsidP="00BC269C">
            <w:pPr>
              <w:suppressAutoHyphens/>
              <w:snapToGrid w:val="0"/>
              <w:spacing w:before="40" w:after="40"/>
              <w:rPr>
                <w:rFonts w:eastAsia="細明體" w:cs="Segoe UI"/>
                <w:b/>
                <w:sz w:val="17"/>
                <w:szCs w:val="17"/>
                <w:lang w:eastAsia="ar-SA"/>
              </w:rPr>
            </w:pPr>
          </w:p>
        </w:tc>
        <w:tc>
          <w:tcPr>
            <w:tcW w:w="1141" w:type="dxa"/>
            <w:tcBorders>
              <w:top w:val="single" w:sz="4" w:space="0" w:color="C0C0C0"/>
              <w:left w:val="single" w:sz="4" w:space="0" w:color="000000"/>
              <w:bottom w:val="single" w:sz="4" w:space="0" w:color="000000"/>
            </w:tcBorders>
            <w:shd w:val="clear" w:color="auto" w:fill="auto"/>
          </w:tcPr>
          <w:p w14:paraId="02BA706B" w14:textId="77777777" w:rsidR="00BC269C" w:rsidRPr="00BC269C" w:rsidRDefault="00BC269C" w:rsidP="00BC269C">
            <w:pPr>
              <w:suppressAutoHyphens/>
              <w:snapToGrid w:val="0"/>
              <w:spacing w:before="40" w:after="40"/>
              <w:rPr>
                <w:rFonts w:eastAsia="細明體" w:cs="Segoe UI"/>
                <w:b/>
                <w:sz w:val="17"/>
                <w:szCs w:val="17"/>
                <w:lang w:eastAsia="ar-SA"/>
              </w:rPr>
            </w:pPr>
          </w:p>
        </w:tc>
        <w:tc>
          <w:tcPr>
            <w:tcW w:w="1134" w:type="dxa"/>
            <w:tcBorders>
              <w:top w:val="single" w:sz="4" w:space="0" w:color="C0C0C0"/>
              <w:left w:val="single" w:sz="4" w:space="0" w:color="000000"/>
              <w:bottom w:val="single" w:sz="4" w:space="0" w:color="000000"/>
            </w:tcBorders>
            <w:shd w:val="clear" w:color="auto" w:fill="auto"/>
          </w:tcPr>
          <w:p w14:paraId="45775831" w14:textId="77777777" w:rsidR="00BC269C" w:rsidRPr="00BC269C" w:rsidRDefault="00BC269C" w:rsidP="00BC269C">
            <w:pPr>
              <w:suppressAutoHyphens/>
              <w:snapToGrid w:val="0"/>
              <w:spacing w:before="40" w:after="40"/>
              <w:rPr>
                <w:rFonts w:eastAsia="細明體" w:cs="Segoe UI"/>
                <w:b/>
                <w:sz w:val="17"/>
                <w:szCs w:val="17"/>
                <w:lang w:eastAsia="ar-SA"/>
              </w:rPr>
            </w:pPr>
          </w:p>
        </w:tc>
        <w:tc>
          <w:tcPr>
            <w:tcW w:w="1182" w:type="dxa"/>
            <w:tcBorders>
              <w:top w:val="single" w:sz="4" w:space="0" w:color="C0C0C0"/>
              <w:left w:val="single" w:sz="4" w:space="0" w:color="000000"/>
              <w:bottom w:val="single" w:sz="4" w:space="0" w:color="000000"/>
              <w:right w:val="single" w:sz="4" w:space="0" w:color="000000"/>
            </w:tcBorders>
            <w:shd w:val="clear" w:color="auto" w:fill="auto"/>
          </w:tcPr>
          <w:p w14:paraId="0E7F26CC" w14:textId="77777777" w:rsidR="00BC269C" w:rsidRPr="00BC269C" w:rsidRDefault="00BC269C" w:rsidP="00BC269C">
            <w:pPr>
              <w:suppressAutoHyphens/>
              <w:snapToGrid w:val="0"/>
              <w:spacing w:before="40" w:after="40"/>
              <w:rPr>
                <w:rFonts w:eastAsia="細明體" w:cs="Segoe UI"/>
                <w:b/>
                <w:sz w:val="17"/>
                <w:szCs w:val="17"/>
                <w:lang w:eastAsia="ar-SA"/>
              </w:rPr>
            </w:pPr>
          </w:p>
        </w:tc>
      </w:tr>
    </w:tbl>
    <w:p w14:paraId="03C51318" w14:textId="77777777" w:rsidR="00BC269C" w:rsidRPr="00BC269C" w:rsidRDefault="00BC269C" w:rsidP="00BC269C">
      <w:pPr>
        <w:suppressAutoHyphens/>
        <w:spacing w:before="120" w:after="120"/>
        <w:ind w:left="-206"/>
        <w:rPr>
          <w:rFonts w:eastAsia="細明體" w:cs="Segoe UI"/>
          <w:sz w:val="22"/>
          <w:lang w:eastAsia="ar-SA"/>
        </w:rPr>
      </w:pPr>
    </w:p>
    <w:p w14:paraId="3A7A4088" w14:textId="3136B12B" w:rsidR="00595243" w:rsidRDefault="00595243" w:rsidP="00BC269C">
      <w:pPr>
        <w:suppressAutoHyphens/>
        <w:spacing w:before="120" w:after="120"/>
        <w:ind w:left="-206"/>
        <w:rPr>
          <w:rFonts w:eastAsia="細明體" w:cs="Segoe UI"/>
          <w:sz w:val="22"/>
          <w:lang w:eastAsia="ar-SA"/>
        </w:rPr>
      </w:pPr>
      <w:r>
        <w:rPr>
          <w:rFonts w:eastAsia="細明體" w:cs="Segoe UI"/>
          <w:sz w:val="22"/>
          <w:lang w:eastAsia="ar-SA"/>
        </w:rPr>
        <w:br w:type="page"/>
      </w:r>
    </w:p>
    <w:tbl>
      <w:tblPr>
        <w:tblW w:w="9234" w:type="dxa"/>
        <w:tblInd w:w="-469" w:type="dxa"/>
        <w:tblLayout w:type="fixed"/>
        <w:tblLook w:val="0000" w:firstRow="0" w:lastRow="0" w:firstColumn="0" w:lastColumn="0" w:noHBand="0" w:noVBand="0"/>
      </w:tblPr>
      <w:tblGrid>
        <w:gridCol w:w="851"/>
        <w:gridCol w:w="8383"/>
      </w:tblGrid>
      <w:tr w:rsidR="00BC269C" w:rsidRPr="00BC269C" w14:paraId="47D50FBE" w14:textId="77777777" w:rsidTr="00E932DC">
        <w:trPr>
          <w:tblHeader/>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0D649AB" w14:textId="77777777" w:rsidR="00BC269C" w:rsidRPr="00BC269C" w:rsidRDefault="00BC269C" w:rsidP="00BC269C">
            <w:pPr>
              <w:spacing w:before="40" w:after="40" w:line="259" w:lineRule="auto"/>
              <w:jc w:val="both"/>
              <w:rPr>
                <w:rFonts w:ascii="Calibri" w:eastAsia="新細明體" w:hAnsi="Calibri"/>
                <w:sz w:val="22"/>
                <w:szCs w:val="22"/>
                <w:lang w:eastAsia="zh-CN"/>
              </w:rPr>
            </w:pPr>
            <w:r w:rsidRPr="00BC269C">
              <w:rPr>
                <w:rFonts w:ascii="Calibri" w:eastAsia="細明體" w:hAnsi="Calibri" w:hint="eastAsia"/>
                <w:b/>
                <w:sz w:val="17"/>
                <w:szCs w:val="17"/>
                <w:lang w:eastAsia="zh-CN"/>
              </w:rPr>
              <w:t>註釋</w:t>
            </w:r>
          </w:p>
        </w:tc>
      </w:tr>
      <w:tr w:rsidR="00BC269C" w:rsidRPr="00BC269C" w14:paraId="01730189" w14:textId="77777777" w:rsidTr="00E932DC">
        <w:trPr>
          <w:trHeight w:val="15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C9D812" w14:textId="77777777" w:rsidR="00BC269C" w:rsidRPr="00BC269C" w:rsidRDefault="00BC269C" w:rsidP="00BC269C">
            <w:pPr>
              <w:spacing w:before="40" w:after="40" w:line="259" w:lineRule="auto"/>
              <w:jc w:val="both"/>
              <w:rPr>
                <w:rFonts w:ascii="Calibri" w:eastAsia="新細明體" w:hAnsi="Calibri"/>
                <w:sz w:val="22"/>
                <w:szCs w:val="22"/>
                <w:lang w:eastAsia="zh-CN"/>
              </w:rPr>
            </w:pPr>
            <w:proofErr w:type="gramStart"/>
            <w:r w:rsidRPr="00BC269C">
              <w:rPr>
                <w:rFonts w:ascii="Calibri" w:eastAsia="細明體" w:hAnsi="Calibri" w:hint="eastAsia"/>
                <w:b/>
                <w:sz w:val="17"/>
                <w:szCs w:val="17"/>
                <w:lang w:eastAsia="zh-CN"/>
              </w:rPr>
              <w:t>欄</w:t>
            </w:r>
            <w:proofErr w:type="gramEnd"/>
          </w:p>
        </w:tc>
      </w:tr>
      <w:tr w:rsidR="00BC269C" w:rsidRPr="00BC269C" w14:paraId="63773D4A" w14:textId="77777777" w:rsidTr="00E932DC">
        <w:tc>
          <w:tcPr>
            <w:tcW w:w="851" w:type="dxa"/>
            <w:tcBorders>
              <w:top w:val="single" w:sz="4" w:space="0" w:color="000000"/>
              <w:left w:val="single" w:sz="4" w:space="0" w:color="000000"/>
              <w:bottom w:val="single" w:sz="4" w:space="0" w:color="000000"/>
            </w:tcBorders>
            <w:shd w:val="clear" w:color="auto" w:fill="auto"/>
          </w:tcPr>
          <w:p w14:paraId="340E93D3"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i/>
                <w:sz w:val="22"/>
                <w:szCs w:val="17"/>
                <w:lang w:eastAsia="zh-CN"/>
              </w:rPr>
            </w:pPr>
            <w:r w:rsidRPr="00BC269C">
              <w:rPr>
                <w:rFonts w:ascii="Calibri" w:eastAsia="細明體" w:hAnsi="Calibri"/>
                <w:sz w:val="17"/>
                <w:szCs w:val="17"/>
                <w:lang w:eastAsia="zh-CN"/>
              </w:rPr>
              <w:t>(a)</w:t>
            </w:r>
            <w:r w:rsidRPr="00BC269C">
              <w:rPr>
                <w:rFonts w:ascii="Calibri" w:eastAsia="細明體" w:hAnsi="Calibri" w:hint="eastAsia"/>
                <w:sz w:val="17"/>
                <w:szCs w:val="17"/>
                <w:lang w:eastAsia="zh-CN"/>
              </w:rPr>
              <w:t>、</w:t>
            </w:r>
            <w:r w:rsidRPr="00BC269C">
              <w:rPr>
                <w:rFonts w:ascii="Calibri" w:eastAsia="細明體" w:hAnsi="Calibri"/>
                <w:sz w:val="17"/>
                <w:szCs w:val="17"/>
                <w:lang w:eastAsia="zh-CN"/>
              </w:rPr>
              <w:t>(b)</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(e)</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2E49E231" w14:textId="2135468E" w:rsidR="00BC269C" w:rsidRPr="00BC269C" w:rsidRDefault="00BC269C" w:rsidP="00BC269C">
            <w:pPr>
              <w:keepNext/>
              <w:suppressAutoHyphens/>
              <w:spacing w:before="40" w:after="40"/>
              <w:jc w:val="both"/>
              <w:rPr>
                <w:rFonts w:cs="Segoe UI"/>
                <w:sz w:val="17"/>
                <w:lang w:eastAsia="ar-SA"/>
              </w:rPr>
            </w:pPr>
            <w:r w:rsidRPr="00BC269C">
              <w:rPr>
                <w:rFonts w:eastAsia="細明體" w:cs="Segoe UI" w:hint="eastAsia"/>
                <w:i/>
                <w:sz w:val="17"/>
                <w:szCs w:val="17"/>
                <w:lang w:eastAsia="ar-SA"/>
              </w:rPr>
              <w:t>收取的認可抵押品的公平價值</w:t>
            </w:r>
            <w:r w:rsidRPr="00BC269C">
              <w:rPr>
                <w:rFonts w:eastAsia="細明體" w:cs="Segoe UI" w:hint="eastAsia"/>
                <w:sz w:val="17"/>
                <w:szCs w:val="17"/>
                <w:lang w:eastAsia="ar-SA"/>
              </w:rPr>
              <w:t>：所披露的收取的認可抵押品的公平價值應為已</w:t>
            </w:r>
            <w:r w:rsidRPr="00BC269C">
              <w:rPr>
                <w:rFonts w:ascii="細明體" w:eastAsia="細明體" w:hAnsi="細明體" w:cs="細明體" w:hint="eastAsia"/>
                <w:color w:val="222222"/>
                <w:sz w:val="17"/>
                <w:lang w:eastAsia="ar-SA"/>
              </w:rPr>
              <w:t>作</w:t>
            </w:r>
            <w:r w:rsidRPr="00BC269C">
              <w:rPr>
                <w:rFonts w:eastAsia="細明體" w:cs="Segoe UI" w:hint="eastAsia"/>
                <w:color w:val="222222"/>
                <w:sz w:val="17"/>
                <w:lang w:eastAsia="ar-SA"/>
              </w:rPr>
              <w:t>出</w:t>
            </w:r>
            <w:r w:rsidRPr="00BC269C">
              <w:rPr>
                <w:rFonts w:eastAsia="細明體" w:cs="Segoe UI" w:hint="eastAsia"/>
                <w:sz w:val="17"/>
                <w:szCs w:val="17"/>
                <w:lang w:eastAsia="ar-SA"/>
              </w:rPr>
              <w:t>任何扣減（如適用）的公平價值，即在</w:t>
            </w:r>
            <w:r w:rsidRPr="00BC269C">
              <w:rPr>
                <w:rFonts w:ascii="細明體" w:eastAsia="細明體" w:hAnsi="細明體" w:cs="細明體" w:hint="eastAsia"/>
                <w:color w:val="222222"/>
                <w:sz w:val="17"/>
                <w:lang w:eastAsia="ar-SA"/>
              </w:rPr>
              <w:t>作</w:t>
            </w:r>
            <w:r w:rsidRPr="00BC269C">
              <w:rPr>
                <w:rFonts w:eastAsia="細明體" w:cs="Segoe UI" w:hint="eastAsia"/>
                <w:color w:val="222222"/>
                <w:sz w:val="17"/>
                <w:lang w:eastAsia="ar-SA"/>
              </w:rPr>
              <w:t>出</w:t>
            </w:r>
            <w:r w:rsidRPr="00BC269C">
              <w:rPr>
                <w:rFonts w:eastAsia="細明體" w:cs="Segoe UI" w:hint="eastAsia"/>
                <w:sz w:val="17"/>
                <w:szCs w:val="17"/>
                <w:lang w:eastAsia="ar-SA"/>
              </w:rPr>
              <w:t>扣減後所收取的認可抵押品的價值會減少（即</w:t>
            </w:r>
            <w:r w:rsidRPr="00BC269C">
              <w:rPr>
                <w:rFonts w:eastAsia="細明體" w:cs="Segoe UI"/>
                <w:sz w:val="17"/>
                <w:szCs w:val="17"/>
                <w:lang w:eastAsia="ar-SA"/>
              </w:rPr>
              <w:t>C(1-Hs)</w:t>
            </w:r>
            <w:r w:rsidRPr="00BC269C">
              <w:rPr>
                <w:rFonts w:eastAsia="細明體" w:cs="Segoe UI" w:hint="eastAsia"/>
                <w:sz w:val="17"/>
                <w:szCs w:val="17"/>
                <w:lang w:eastAsia="ar-SA"/>
              </w:rPr>
              <w:t>）。</w:t>
            </w:r>
          </w:p>
        </w:tc>
      </w:tr>
      <w:tr w:rsidR="00BC269C" w:rsidRPr="00BC269C" w14:paraId="4B31470F" w14:textId="77777777" w:rsidTr="00E932DC">
        <w:tc>
          <w:tcPr>
            <w:tcW w:w="851" w:type="dxa"/>
            <w:tcBorders>
              <w:top w:val="single" w:sz="4" w:space="0" w:color="000000"/>
              <w:left w:val="single" w:sz="4" w:space="0" w:color="000000"/>
              <w:bottom w:val="single" w:sz="4" w:space="0" w:color="000000"/>
            </w:tcBorders>
            <w:shd w:val="clear" w:color="auto" w:fill="auto"/>
          </w:tcPr>
          <w:p w14:paraId="70772D03"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i/>
                <w:sz w:val="22"/>
                <w:szCs w:val="17"/>
                <w:lang w:eastAsia="zh-CN"/>
              </w:rPr>
            </w:pPr>
            <w:r w:rsidRPr="00BC269C">
              <w:rPr>
                <w:rFonts w:ascii="Calibri" w:eastAsia="細明體" w:hAnsi="Calibri"/>
                <w:sz w:val="17"/>
                <w:szCs w:val="17"/>
                <w:lang w:eastAsia="zh-CN"/>
              </w:rPr>
              <w:t>(c)</w:t>
            </w:r>
            <w:r w:rsidRPr="00BC269C">
              <w:rPr>
                <w:rFonts w:ascii="Calibri" w:eastAsia="細明體" w:hAnsi="Calibri" w:hint="eastAsia"/>
                <w:sz w:val="17"/>
                <w:szCs w:val="17"/>
                <w:lang w:eastAsia="zh-CN"/>
              </w:rPr>
              <w:t>、</w:t>
            </w:r>
            <w:r w:rsidRPr="00BC269C">
              <w:rPr>
                <w:rFonts w:ascii="Calibri" w:eastAsia="細明體" w:hAnsi="Calibri"/>
                <w:sz w:val="17"/>
                <w:szCs w:val="17"/>
                <w:lang w:eastAsia="zh-CN"/>
              </w:rPr>
              <w:t xml:space="preserve">(d) </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(f)</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2706CE9E" w14:textId="13E08AC8" w:rsidR="00BC269C" w:rsidRPr="00BC269C" w:rsidRDefault="00BC269C" w:rsidP="00BC269C">
            <w:pPr>
              <w:keepNext/>
              <w:suppressAutoHyphens/>
              <w:spacing w:before="40" w:after="40"/>
              <w:jc w:val="both"/>
              <w:rPr>
                <w:rFonts w:cs="Segoe UI"/>
                <w:sz w:val="17"/>
                <w:lang w:eastAsia="ar-SA"/>
              </w:rPr>
            </w:pPr>
            <w:r w:rsidRPr="00BC269C">
              <w:rPr>
                <w:rFonts w:eastAsia="細明體" w:cs="Segoe UI" w:hint="eastAsia"/>
                <w:i/>
                <w:sz w:val="17"/>
                <w:szCs w:val="17"/>
                <w:lang w:eastAsia="ar-SA"/>
              </w:rPr>
              <w:t>提供的抵押品的公平價值</w:t>
            </w:r>
            <w:r w:rsidRPr="00BC269C">
              <w:rPr>
                <w:rFonts w:eastAsia="細明體" w:cs="Segoe UI" w:hint="eastAsia"/>
                <w:sz w:val="17"/>
                <w:szCs w:val="17"/>
                <w:lang w:eastAsia="ar-SA"/>
              </w:rPr>
              <w:t>：所披露的提供的抵押品的公平價值應為已</w:t>
            </w:r>
            <w:r w:rsidRPr="00BC269C">
              <w:rPr>
                <w:rFonts w:ascii="細明體" w:eastAsia="細明體" w:hAnsi="細明體" w:cs="細明體" w:hint="eastAsia"/>
                <w:color w:val="222222"/>
                <w:sz w:val="17"/>
                <w:lang w:eastAsia="ar-SA"/>
              </w:rPr>
              <w:t>作</w:t>
            </w:r>
            <w:r w:rsidRPr="00BC269C">
              <w:rPr>
                <w:rFonts w:eastAsia="細明體" w:cs="Segoe UI" w:hint="eastAsia"/>
                <w:color w:val="222222"/>
                <w:sz w:val="17"/>
                <w:lang w:eastAsia="ar-SA"/>
              </w:rPr>
              <w:t>出</w:t>
            </w:r>
            <w:r w:rsidRPr="00BC269C">
              <w:rPr>
                <w:rFonts w:eastAsia="細明體" w:cs="Segoe UI" w:hint="eastAsia"/>
                <w:sz w:val="17"/>
                <w:szCs w:val="17"/>
                <w:lang w:eastAsia="ar-SA"/>
              </w:rPr>
              <w:t>任何扣減（如適用）的公平價值，即在</w:t>
            </w:r>
            <w:r w:rsidRPr="00BC269C">
              <w:rPr>
                <w:rFonts w:ascii="細明體" w:eastAsia="細明體" w:hAnsi="細明體" w:cs="細明體" w:hint="eastAsia"/>
                <w:color w:val="222222"/>
                <w:sz w:val="17"/>
                <w:lang w:eastAsia="ar-SA"/>
              </w:rPr>
              <w:t>作</w:t>
            </w:r>
            <w:r w:rsidRPr="00BC269C">
              <w:rPr>
                <w:rFonts w:eastAsia="細明體" w:cs="Segoe UI" w:hint="eastAsia"/>
                <w:color w:val="222222"/>
                <w:sz w:val="17"/>
                <w:lang w:eastAsia="ar-SA"/>
              </w:rPr>
              <w:t>出</w:t>
            </w:r>
            <w:r w:rsidRPr="00BC269C">
              <w:rPr>
                <w:rFonts w:eastAsia="細明體" w:cs="Segoe UI" w:hint="eastAsia"/>
                <w:sz w:val="17"/>
                <w:szCs w:val="17"/>
                <w:lang w:eastAsia="ar-SA"/>
              </w:rPr>
              <w:t>扣減後所提供的抵押品的價值（為一項風險承擔）會增加（即</w:t>
            </w:r>
            <w:r w:rsidRPr="00BC269C">
              <w:rPr>
                <w:rFonts w:eastAsia="細明體" w:cs="Segoe UI"/>
                <w:sz w:val="17"/>
                <w:szCs w:val="17"/>
                <w:lang w:eastAsia="ar-SA"/>
              </w:rPr>
              <w:t>E(1+Hs)</w:t>
            </w:r>
            <w:r w:rsidRPr="00BC269C">
              <w:rPr>
                <w:rFonts w:eastAsia="細明體" w:cs="Segoe UI" w:hint="eastAsia"/>
                <w:sz w:val="17"/>
                <w:szCs w:val="17"/>
                <w:lang w:eastAsia="ar-SA"/>
              </w:rPr>
              <w:t>）。</w:t>
            </w:r>
          </w:p>
        </w:tc>
      </w:tr>
      <w:tr w:rsidR="00BC269C" w:rsidRPr="00BC269C" w14:paraId="4405F9C6" w14:textId="77777777" w:rsidTr="00E932DC">
        <w:trPr>
          <w:trHeight w:val="373"/>
        </w:trPr>
        <w:tc>
          <w:tcPr>
            <w:tcW w:w="851" w:type="dxa"/>
            <w:tcBorders>
              <w:top w:val="single" w:sz="4" w:space="0" w:color="000000"/>
              <w:left w:val="single" w:sz="4" w:space="0" w:color="000000"/>
              <w:bottom w:val="single" w:sz="4" w:space="0" w:color="000000"/>
            </w:tcBorders>
            <w:shd w:val="clear" w:color="auto" w:fill="auto"/>
          </w:tcPr>
          <w:p w14:paraId="3C7FE51D"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i/>
                <w:sz w:val="22"/>
                <w:szCs w:val="17"/>
                <w:lang w:eastAsia="zh-CN"/>
              </w:rPr>
            </w:pPr>
            <w:r w:rsidRPr="00BC269C">
              <w:rPr>
                <w:rFonts w:ascii="Calibri" w:eastAsia="細明體" w:hAnsi="Calibri"/>
                <w:sz w:val="17"/>
                <w:szCs w:val="17"/>
                <w:lang w:eastAsia="zh-CN"/>
              </w:rPr>
              <w:t>(a)</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(c)</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11855B23" w14:textId="5FFD90EC" w:rsidR="00BC269C" w:rsidRPr="00BC269C" w:rsidRDefault="00BC269C" w:rsidP="00BC269C">
            <w:pPr>
              <w:keepNext/>
              <w:suppressAutoHyphens/>
              <w:spacing w:before="40" w:after="40"/>
              <w:jc w:val="both"/>
              <w:rPr>
                <w:rFonts w:cs="Segoe UI"/>
                <w:sz w:val="17"/>
                <w:lang w:eastAsia="ar-SA"/>
              </w:rPr>
            </w:pPr>
            <w:r w:rsidRPr="00BC269C">
              <w:rPr>
                <w:rFonts w:eastAsia="細明體" w:cs="Segoe UI" w:hint="eastAsia"/>
                <w:i/>
                <w:sz w:val="17"/>
                <w:szCs w:val="17"/>
                <w:lang w:eastAsia="ar-SA"/>
              </w:rPr>
              <w:t>分隔的</w:t>
            </w:r>
            <w:r w:rsidRPr="00BC269C">
              <w:rPr>
                <w:rFonts w:eastAsia="細明體" w:cs="Segoe UI" w:hint="eastAsia"/>
                <w:sz w:val="17"/>
                <w:szCs w:val="17"/>
                <w:lang w:eastAsia="ar-SA"/>
              </w:rPr>
              <w:t>：指以破產隔離的方式持有的抵押品。</w:t>
            </w:r>
          </w:p>
        </w:tc>
      </w:tr>
      <w:tr w:rsidR="00BC269C" w:rsidRPr="00BC269C" w14:paraId="5C19857B" w14:textId="77777777" w:rsidTr="00E932DC">
        <w:trPr>
          <w:trHeight w:val="373"/>
        </w:trPr>
        <w:tc>
          <w:tcPr>
            <w:tcW w:w="851" w:type="dxa"/>
            <w:tcBorders>
              <w:top w:val="single" w:sz="4" w:space="0" w:color="000000"/>
              <w:left w:val="single" w:sz="4" w:space="0" w:color="000000"/>
              <w:bottom w:val="single" w:sz="4" w:space="0" w:color="000000"/>
            </w:tcBorders>
            <w:shd w:val="clear" w:color="auto" w:fill="auto"/>
          </w:tcPr>
          <w:p w14:paraId="344BF347" w14:textId="2838E24A" w:rsidR="00BC269C" w:rsidRPr="00BC269C" w:rsidRDefault="00BC269C" w:rsidP="00447B41">
            <w:pPr>
              <w:keepLines/>
              <w:widowControl w:val="0"/>
              <w:tabs>
                <w:tab w:val="left" w:pos="150"/>
                <w:tab w:val="left" w:pos="397"/>
                <w:tab w:val="left" w:pos="794"/>
                <w:tab w:val="left" w:pos="1191"/>
              </w:tabs>
              <w:spacing w:before="40" w:after="40" w:line="259" w:lineRule="auto"/>
              <w:rPr>
                <w:rFonts w:ascii="Calibri" w:eastAsia="細明體" w:hAnsi="Calibri"/>
                <w:i/>
                <w:sz w:val="22"/>
                <w:szCs w:val="17"/>
                <w:lang w:eastAsia="zh-CN"/>
              </w:rPr>
            </w:pPr>
            <w:r w:rsidRPr="00BC269C">
              <w:rPr>
                <w:rFonts w:ascii="Calibri" w:eastAsia="細明體" w:hAnsi="Calibri"/>
                <w:sz w:val="17"/>
                <w:szCs w:val="17"/>
                <w:lang w:eastAsia="zh-CN"/>
              </w:rPr>
              <w:t>(b)</w:t>
            </w:r>
            <w:r w:rsidR="007D180E" w:rsidRPr="001D1285">
              <w:rPr>
                <w:rFonts w:ascii="Calibri" w:eastAsia="細明體" w:hAnsi="Calibri" w:cs="Segoe UI" w:hint="eastAsia"/>
                <w:kern w:val="2"/>
                <w:sz w:val="17"/>
                <w:szCs w:val="17"/>
                <w:lang w:eastAsia="zh-HK"/>
              </w:rPr>
              <w:t>及</w:t>
            </w:r>
            <w:r w:rsidRPr="00BC269C">
              <w:rPr>
                <w:rFonts w:ascii="Calibri" w:eastAsia="細明體" w:hAnsi="Calibri"/>
                <w:sz w:val="17"/>
                <w:szCs w:val="17"/>
                <w:lang w:eastAsia="zh-CN"/>
              </w:rPr>
              <w:t>(d)</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60C0B62B" w14:textId="77777777" w:rsidR="00BC269C" w:rsidRPr="00BC269C" w:rsidRDefault="00BC269C" w:rsidP="00BC269C">
            <w:pPr>
              <w:keepNext/>
              <w:suppressAutoHyphens/>
              <w:spacing w:before="40" w:after="40"/>
              <w:jc w:val="both"/>
              <w:rPr>
                <w:rFonts w:cs="Segoe UI"/>
                <w:sz w:val="17"/>
                <w:lang w:eastAsia="ar-SA"/>
              </w:rPr>
            </w:pPr>
            <w:r w:rsidRPr="00BC269C">
              <w:rPr>
                <w:rFonts w:eastAsia="細明體" w:cs="Segoe UI" w:hint="eastAsia"/>
                <w:i/>
                <w:sz w:val="17"/>
                <w:szCs w:val="17"/>
                <w:lang w:eastAsia="ar-SA"/>
              </w:rPr>
              <w:t>非分隔的</w:t>
            </w:r>
            <w:r w:rsidRPr="00BC269C">
              <w:rPr>
                <w:rFonts w:eastAsia="細明體" w:cs="Segoe UI" w:hint="eastAsia"/>
                <w:sz w:val="17"/>
                <w:szCs w:val="17"/>
                <w:lang w:eastAsia="ar-SA"/>
              </w:rPr>
              <w:t>：指非以破產隔離的方式持有的抵押品。</w:t>
            </w:r>
          </w:p>
        </w:tc>
      </w:tr>
    </w:tbl>
    <w:p w14:paraId="5A22B52B" w14:textId="77777777" w:rsidR="00BC269C" w:rsidRPr="00BC269C" w:rsidRDefault="00BC269C" w:rsidP="00BC269C">
      <w:pPr>
        <w:spacing w:before="120" w:after="120" w:line="259" w:lineRule="auto"/>
        <w:rPr>
          <w:rFonts w:ascii="Calibri" w:eastAsia="細明體" w:hAnsi="Calibri"/>
          <w:sz w:val="22"/>
          <w:szCs w:val="22"/>
          <w:lang w:eastAsia="zh-TW"/>
        </w:rPr>
      </w:pPr>
    </w:p>
    <w:p w14:paraId="008D2BA2" w14:textId="77777777" w:rsidR="00BC269C" w:rsidRPr="00BC269C" w:rsidRDefault="00BC269C" w:rsidP="00BC269C">
      <w:pPr>
        <w:spacing w:after="160" w:line="259" w:lineRule="auto"/>
        <w:rPr>
          <w:rFonts w:ascii="Calibri" w:eastAsia="細明體" w:hAnsi="Calibri"/>
          <w:sz w:val="22"/>
          <w:szCs w:val="22"/>
          <w:lang w:eastAsia="zh-TW"/>
        </w:rPr>
      </w:pPr>
    </w:p>
    <w:p w14:paraId="191CB802" w14:textId="77777777" w:rsidR="00BC269C" w:rsidRDefault="00BC269C" w:rsidP="00BC269C">
      <w:pPr>
        <w:suppressAutoHyphens/>
        <w:spacing w:after="120"/>
        <w:rPr>
          <w:rFonts w:cs="Segoe UI"/>
          <w:lang w:eastAsia="ar-SA"/>
        </w:rPr>
        <w:sectPr w:rsidR="00BC269C" w:rsidSect="00595243">
          <w:footerReference w:type="default" r:id="rId84"/>
          <w:pgSz w:w="11906" w:h="16838"/>
          <w:pgMar w:top="1440" w:right="1797" w:bottom="1440" w:left="1560" w:header="720" w:footer="737" w:gutter="0"/>
          <w:cols w:space="720"/>
          <w:docGrid w:type="linesAndChars" w:linePitch="360"/>
        </w:sectPr>
      </w:pPr>
    </w:p>
    <w:p w14:paraId="63A4E2EA" w14:textId="65F428B7" w:rsidR="008D234D" w:rsidRPr="008D234D" w:rsidRDefault="008D234D" w:rsidP="008D234D">
      <w:pPr>
        <w:pStyle w:val="Heading2"/>
        <w:keepNext w:val="0"/>
        <w:suppressAutoHyphens w:val="0"/>
        <w:spacing w:before="40" w:line="240" w:lineRule="auto"/>
        <w:ind w:left="-454"/>
        <w:rPr>
          <w:rFonts w:ascii="Segoe UI" w:eastAsia="Times New Roman" w:hAnsi="Segoe UI"/>
          <w:b w:val="0"/>
          <w:bCs w:val="0"/>
          <w:sz w:val="22"/>
          <w:szCs w:val="20"/>
          <w:lang w:eastAsia="zh-TW"/>
        </w:rPr>
      </w:pPr>
      <w:r w:rsidRPr="008D234D">
        <w:rPr>
          <w:rFonts w:ascii="Calibri" w:eastAsia="細明體" w:hAnsi="Calibri" w:hint="eastAsia"/>
          <w:b w:val="0"/>
          <w:sz w:val="22"/>
          <w:szCs w:val="22"/>
          <w:lang w:eastAsia="zh-TW"/>
        </w:rPr>
        <w:t>模版</w:t>
      </w:r>
      <w:r w:rsidRPr="008D234D">
        <w:rPr>
          <w:rFonts w:ascii="Segoe UI" w:eastAsia="細明體" w:hAnsi="Segoe UI" w:cs="Segoe UI"/>
          <w:b w:val="0"/>
          <w:sz w:val="22"/>
          <w:szCs w:val="22"/>
          <w:lang w:eastAsia="zh-TW"/>
        </w:rPr>
        <w:t>CCR6</w:t>
      </w:r>
      <w:r w:rsidRPr="008D234D">
        <w:rPr>
          <w:rFonts w:ascii="Calibri" w:eastAsia="細明體" w:hAnsi="Calibri" w:hint="eastAsia"/>
          <w:b w:val="0"/>
          <w:sz w:val="22"/>
          <w:szCs w:val="22"/>
          <w:lang w:eastAsia="zh-TW"/>
        </w:rPr>
        <w:t>：信用相關衍生工具合約</w:t>
      </w:r>
    </w:p>
    <w:tbl>
      <w:tblPr>
        <w:tblW w:w="9248" w:type="dxa"/>
        <w:tblInd w:w="-459" w:type="dxa"/>
        <w:tblLayout w:type="fixed"/>
        <w:tblLook w:val="0000" w:firstRow="0" w:lastRow="0" w:firstColumn="0" w:lastColumn="0" w:noHBand="0" w:noVBand="0"/>
      </w:tblPr>
      <w:tblGrid>
        <w:gridCol w:w="2160"/>
        <w:gridCol w:w="7088"/>
      </w:tblGrid>
      <w:tr w:rsidR="00BC269C" w:rsidRPr="00BC269C" w14:paraId="17690BBF" w14:textId="77777777" w:rsidTr="0029639E">
        <w:tc>
          <w:tcPr>
            <w:tcW w:w="2160" w:type="dxa"/>
            <w:tcBorders>
              <w:top w:val="single" w:sz="4" w:space="0" w:color="000000"/>
              <w:bottom w:val="single" w:sz="4" w:space="0" w:color="000000"/>
            </w:tcBorders>
            <w:shd w:val="clear" w:color="auto" w:fill="auto"/>
          </w:tcPr>
          <w:p w14:paraId="6BF5927A"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目的：</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47014962"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sz w:val="17"/>
                <w:lang w:eastAsia="ar-SA"/>
              </w:rPr>
              <w:t>披露信用相關衍生工具合約的數額，該數額須細分為</w:t>
            </w:r>
            <w:r w:rsidRPr="00BC269C">
              <w:rPr>
                <w:rFonts w:eastAsia="細明體" w:cs="Segoe UI" w:hint="eastAsia"/>
                <w:bCs/>
                <w:sz w:val="17"/>
                <w:szCs w:val="17"/>
                <w:lang w:eastAsia="ar-SA"/>
              </w:rPr>
              <w:t>購</w:t>
            </w:r>
            <w:r w:rsidRPr="00BC269C">
              <w:rPr>
                <w:rFonts w:eastAsia="細明體" w:cs="Segoe UI" w:hint="eastAsia"/>
                <w:sz w:val="17"/>
                <w:lang w:eastAsia="ar-SA"/>
              </w:rPr>
              <w:t>買的信用保障和出售的信用保障。</w:t>
            </w:r>
          </w:p>
        </w:tc>
      </w:tr>
      <w:tr w:rsidR="00BC269C" w:rsidRPr="00BC269C" w14:paraId="1AEA8483" w14:textId="77777777" w:rsidTr="0029639E">
        <w:tc>
          <w:tcPr>
            <w:tcW w:w="2160" w:type="dxa"/>
            <w:tcBorders>
              <w:top w:val="single" w:sz="4" w:space="0" w:color="000000"/>
              <w:bottom w:val="single" w:sz="4" w:space="0" w:color="000000"/>
            </w:tcBorders>
            <w:shd w:val="clear" w:color="auto" w:fill="auto"/>
          </w:tcPr>
          <w:p w14:paraId="33F45B61" w14:textId="77777777" w:rsidR="00BC269C" w:rsidRPr="00BC269C" w:rsidRDefault="00BC269C" w:rsidP="00BC269C">
            <w:pPr>
              <w:spacing w:before="40" w:after="40" w:line="259" w:lineRule="auto"/>
              <w:rPr>
                <w:rFonts w:ascii="Calibri" w:eastAsia="細明體" w:hAnsi="Calibri"/>
                <w:sz w:val="17"/>
                <w:szCs w:val="22"/>
                <w:lang w:eastAsia="zh-CN"/>
              </w:rPr>
            </w:pPr>
            <w:r w:rsidRPr="00BC269C">
              <w:rPr>
                <w:rFonts w:ascii="Calibri" w:eastAsia="細明體" w:hAnsi="Calibri" w:hint="eastAsia"/>
                <w:b/>
                <w:sz w:val="17"/>
                <w:szCs w:val="22"/>
                <w:lang w:eastAsia="zh-CN"/>
              </w:rPr>
              <w:t>適用範</w:t>
            </w:r>
            <w:proofErr w:type="gramStart"/>
            <w:r w:rsidRPr="00BC269C">
              <w:rPr>
                <w:rFonts w:ascii="Calibri" w:eastAsia="細明體" w:hAnsi="Calibri" w:hint="eastAsia"/>
                <w:b/>
                <w:sz w:val="17"/>
                <w:szCs w:val="22"/>
                <w:lang w:eastAsia="zh-CN"/>
              </w:rPr>
              <w:t>圍</w:t>
            </w:r>
            <w:proofErr w:type="gramEnd"/>
            <w:r w:rsidRPr="00BC269C">
              <w:rPr>
                <w:rFonts w:ascii="Calibri" w:eastAsia="細明體" w:hAnsi="Calibri" w:hint="eastAsia"/>
                <w:b/>
                <w:sz w:val="17"/>
                <w:szCs w:val="22"/>
                <w:lang w:eastAsia="zh-CN"/>
              </w:rPr>
              <w:t>：</w:t>
            </w:r>
            <w:r w:rsidRPr="00BC269C">
              <w:rPr>
                <w:rFonts w:ascii="Calibri" w:eastAsia="細明體" w:hAnsi="Calibri"/>
                <w:b/>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40626C88" w14:textId="77777777" w:rsidR="00BC269C" w:rsidRPr="00BC269C" w:rsidRDefault="00BC269C" w:rsidP="00BC269C">
            <w:pPr>
              <w:spacing w:before="40" w:after="40" w:line="259" w:lineRule="auto"/>
              <w:jc w:val="both"/>
              <w:rPr>
                <w:rFonts w:ascii="Calibri" w:eastAsia="新細明體" w:hAnsi="Calibri"/>
                <w:sz w:val="22"/>
                <w:szCs w:val="22"/>
                <w:lang w:eastAsia="zh-TW"/>
              </w:rPr>
            </w:pPr>
            <w:r w:rsidRPr="00BC269C">
              <w:rPr>
                <w:rFonts w:ascii="Calibri" w:eastAsia="細明體" w:hAnsi="Calibri" w:hint="eastAsia"/>
                <w:sz w:val="17"/>
                <w:szCs w:val="22"/>
                <w:lang w:eastAsia="zh-TW"/>
              </w:rPr>
              <w:t>所有在香港成立</w:t>
            </w:r>
            <w:proofErr w:type="gramStart"/>
            <w:r w:rsidRPr="00BC269C">
              <w:rPr>
                <w:rFonts w:ascii="Calibri" w:eastAsia="細明體" w:hAnsi="Calibri" w:hint="eastAsia"/>
                <w:sz w:val="17"/>
                <w:szCs w:val="22"/>
                <w:lang w:eastAsia="zh-TW"/>
              </w:rPr>
              <w:t>為法團的</w:t>
            </w:r>
            <w:proofErr w:type="gramEnd"/>
            <w:r w:rsidRPr="00BC269C">
              <w:rPr>
                <w:rFonts w:ascii="Calibri" w:eastAsia="細明體" w:hAnsi="Calibri" w:hint="eastAsia"/>
                <w:sz w:val="17"/>
                <w:szCs w:val="22"/>
                <w:lang w:eastAsia="zh-TW"/>
              </w:rPr>
              <w:t>認可機構</w:t>
            </w:r>
            <w:proofErr w:type="gramStart"/>
            <w:r w:rsidRPr="00BC269C">
              <w:rPr>
                <w:rFonts w:ascii="Calibri" w:eastAsia="細明體" w:hAnsi="Calibri" w:hint="eastAsia"/>
                <w:sz w:val="17"/>
                <w:szCs w:val="22"/>
                <w:lang w:eastAsia="zh-TW"/>
              </w:rPr>
              <w:t>均須填報本模</w:t>
            </w:r>
            <w:proofErr w:type="gramEnd"/>
            <w:r w:rsidRPr="00BC269C">
              <w:rPr>
                <w:rFonts w:ascii="Calibri" w:eastAsia="細明體" w:hAnsi="Calibri" w:hint="eastAsia"/>
                <w:sz w:val="17"/>
                <w:szCs w:val="22"/>
                <w:lang w:eastAsia="zh-TW"/>
              </w:rPr>
              <w:t>版。</w:t>
            </w:r>
          </w:p>
        </w:tc>
      </w:tr>
      <w:tr w:rsidR="00BC269C" w:rsidRPr="00BC269C" w14:paraId="0E9B3BB9" w14:textId="77777777" w:rsidTr="0029639E">
        <w:tc>
          <w:tcPr>
            <w:tcW w:w="2160" w:type="dxa"/>
            <w:tcBorders>
              <w:top w:val="single" w:sz="4" w:space="0" w:color="000000"/>
              <w:bottom w:val="single" w:sz="4" w:space="0" w:color="000000"/>
            </w:tcBorders>
            <w:shd w:val="clear" w:color="auto" w:fill="auto"/>
          </w:tcPr>
          <w:p w14:paraId="31EA46AB" w14:textId="77777777" w:rsidR="00BC269C" w:rsidRPr="00BC269C" w:rsidRDefault="00BC269C" w:rsidP="00BC269C">
            <w:pPr>
              <w:spacing w:before="40" w:after="40" w:line="259" w:lineRule="auto"/>
              <w:rPr>
                <w:rFonts w:ascii="Calibri" w:eastAsia="細明體" w:hAnsi="Calibri"/>
                <w:sz w:val="17"/>
                <w:szCs w:val="22"/>
                <w:lang w:eastAsia="zh-CN"/>
              </w:rPr>
            </w:pPr>
            <w:proofErr w:type="gramStart"/>
            <w:r w:rsidRPr="00BC269C">
              <w:rPr>
                <w:rFonts w:ascii="Calibri" w:eastAsia="細明體" w:hAnsi="Calibri" w:hint="eastAsia"/>
                <w:b/>
                <w:sz w:val="17"/>
                <w:szCs w:val="22"/>
                <w:lang w:eastAsia="zh-CN"/>
              </w:rPr>
              <w:t>內</w:t>
            </w:r>
            <w:proofErr w:type="gramEnd"/>
            <w:r w:rsidRPr="00BC269C">
              <w:rPr>
                <w:rFonts w:ascii="Calibri" w:eastAsia="細明體" w:hAnsi="Calibri" w:hint="eastAsia"/>
                <w:b/>
                <w:sz w:val="17"/>
                <w:szCs w:val="22"/>
                <w:lang w:eastAsia="zh-CN"/>
              </w:rPr>
              <w:t>容：</w:t>
            </w:r>
            <w:r w:rsidRPr="00BC269C">
              <w:rPr>
                <w:rFonts w:ascii="Calibri" w:eastAsia="細明體" w:hAnsi="Calibri"/>
                <w:b/>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03A5E6FD" w14:textId="77777777" w:rsidR="00BC269C" w:rsidRPr="00BC269C" w:rsidRDefault="00BC269C" w:rsidP="00BC269C">
            <w:pPr>
              <w:spacing w:before="40" w:after="40" w:line="259" w:lineRule="auto"/>
              <w:jc w:val="both"/>
              <w:rPr>
                <w:rFonts w:ascii="Calibri" w:eastAsia="新細明體" w:hAnsi="Calibri"/>
                <w:sz w:val="22"/>
                <w:szCs w:val="22"/>
                <w:lang w:eastAsia="zh-TW"/>
              </w:rPr>
            </w:pPr>
            <w:r w:rsidRPr="00BC269C">
              <w:rPr>
                <w:rFonts w:ascii="Calibri" w:eastAsia="細明體" w:hAnsi="Calibri" w:hint="eastAsia"/>
                <w:sz w:val="17"/>
                <w:szCs w:val="22"/>
                <w:lang w:eastAsia="zh-TW"/>
              </w:rPr>
              <w:t>信用相關衍生工具合約的名義數額（未作任何淨額計算）及公平價值。</w:t>
            </w:r>
          </w:p>
        </w:tc>
      </w:tr>
      <w:tr w:rsidR="00BC269C" w:rsidRPr="00BC269C" w14:paraId="0EAFB8D1" w14:textId="77777777" w:rsidTr="0029639E">
        <w:tc>
          <w:tcPr>
            <w:tcW w:w="2160" w:type="dxa"/>
            <w:tcBorders>
              <w:top w:val="single" w:sz="4" w:space="0" w:color="000000"/>
              <w:bottom w:val="single" w:sz="4" w:space="0" w:color="000000"/>
            </w:tcBorders>
            <w:shd w:val="clear" w:color="auto" w:fill="auto"/>
          </w:tcPr>
          <w:p w14:paraId="744EEA71"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頻密程度：</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1284E0C6"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sz w:val="17"/>
                <w:lang w:eastAsia="ar-SA"/>
              </w:rPr>
              <w:t>每半年一次</w:t>
            </w:r>
            <w:r w:rsidRPr="00BC269C">
              <w:rPr>
                <w:rFonts w:eastAsia="細明體" w:cs="Segoe UI"/>
                <w:sz w:val="17"/>
                <w:lang w:eastAsia="ar-SA"/>
              </w:rPr>
              <w:t>。</w:t>
            </w:r>
          </w:p>
        </w:tc>
      </w:tr>
      <w:tr w:rsidR="00BC269C" w:rsidRPr="00BC269C" w14:paraId="6DA1A6C9" w14:textId="77777777" w:rsidTr="0029639E">
        <w:tc>
          <w:tcPr>
            <w:tcW w:w="2160" w:type="dxa"/>
            <w:tcBorders>
              <w:top w:val="single" w:sz="4" w:space="0" w:color="000000"/>
              <w:bottom w:val="single" w:sz="4" w:space="0" w:color="000000"/>
            </w:tcBorders>
            <w:shd w:val="clear" w:color="auto" w:fill="auto"/>
          </w:tcPr>
          <w:p w14:paraId="0651D5D6"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格式：</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0C853728"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sz w:val="17"/>
                <w:lang w:eastAsia="ar-SA"/>
              </w:rPr>
              <w:t>非固定。欄是固定的；行（「總名義數額」及與公平價值有關者除外）是</w:t>
            </w:r>
            <w:r w:rsidRPr="00BC269C">
              <w:rPr>
                <w:rFonts w:eastAsia="細明體" w:cs="Segoe UI"/>
                <w:sz w:val="17"/>
                <w:lang w:eastAsia="ar-SA"/>
              </w:rPr>
              <w:t>非固定</w:t>
            </w:r>
            <w:r w:rsidRPr="00BC269C">
              <w:rPr>
                <w:rFonts w:eastAsia="細明體" w:cs="Segoe UI" w:hint="eastAsia"/>
                <w:sz w:val="17"/>
                <w:lang w:eastAsia="ar-SA"/>
              </w:rPr>
              <w:t>的</w:t>
            </w:r>
            <w:r w:rsidRPr="00BC269C">
              <w:rPr>
                <w:rFonts w:eastAsia="細明體" w:cs="Segoe UI"/>
                <w:sz w:val="17"/>
                <w:lang w:eastAsia="ar-SA"/>
              </w:rPr>
              <w:t>。</w:t>
            </w:r>
          </w:p>
        </w:tc>
      </w:tr>
      <w:tr w:rsidR="00BC269C" w:rsidRPr="00BC269C" w14:paraId="686A0BC1" w14:textId="77777777" w:rsidTr="0029639E">
        <w:tc>
          <w:tcPr>
            <w:tcW w:w="2160" w:type="dxa"/>
            <w:tcBorders>
              <w:top w:val="single" w:sz="4" w:space="0" w:color="000000"/>
              <w:bottom w:val="single" w:sz="4" w:space="0" w:color="000000"/>
            </w:tcBorders>
            <w:shd w:val="clear" w:color="auto" w:fill="auto"/>
          </w:tcPr>
          <w:p w14:paraId="6D886221" w14:textId="77777777" w:rsidR="00BC269C" w:rsidRPr="00BC269C" w:rsidRDefault="00BC269C" w:rsidP="00BC269C">
            <w:pPr>
              <w:spacing w:before="40" w:after="40" w:line="259" w:lineRule="auto"/>
              <w:rPr>
                <w:rFonts w:ascii="Calibri" w:eastAsia="細明體" w:hAnsi="Calibri"/>
                <w:sz w:val="22"/>
                <w:szCs w:val="17"/>
                <w:lang w:eastAsia="zh-CN"/>
              </w:rPr>
            </w:pPr>
            <w:r w:rsidRPr="00BC269C">
              <w:rPr>
                <w:rFonts w:ascii="Calibri" w:eastAsia="細明體" w:hAnsi="Calibri" w:hint="eastAsia"/>
                <w:b/>
                <w:sz w:val="17"/>
                <w:szCs w:val="17"/>
                <w:lang w:eastAsia="zh-CN"/>
              </w:rPr>
              <w:t>附加說明：</w:t>
            </w:r>
          </w:p>
        </w:tc>
        <w:tc>
          <w:tcPr>
            <w:tcW w:w="7088" w:type="dxa"/>
            <w:tcBorders>
              <w:top w:val="single" w:sz="4" w:space="0" w:color="000000"/>
              <w:left w:val="single" w:sz="4" w:space="0" w:color="000000"/>
              <w:bottom w:val="single" w:sz="4" w:space="0" w:color="000000"/>
            </w:tcBorders>
            <w:shd w:val="clear" w:color="auto" w:fill="auto"/>
          </w:tcPr>
          <w:p w14:paraId="24298899" w14:textId="2FF8C429" w:rsidR="00BC269C" w:rsidRPr="00BC269C" w:rsidRDefault="00BC269C" w:rsidP="00872CF6">
            <w:pPr>
              <w:suppressAutoHyphens/>
              <w:spacing w:before="40" w:after="40"/>
              <w:jc w:val="both"/>
              <w:rPr>
                <w:rFonts w:cs="Segoe UI"/>
                <w:sz w:val="17"/>
                <w:lang w:eastAsia="ar-SA"/>
              </w:rPr>
            </w:pPr>
            <w:r w:rsidRPr="00BC269C">
              <w:rPr>
                <w:rFonts w:eastAsia="細明體" w:cs="Segoe UI" w:hint="eastAsia"/>
                <w:sz w:val="17"/>
                <w:szCs w:val="17"/>
                <w:lang w:eastAsia="ar-SA"/>
              </w:rPr>
              <w:t>認可機構應以敘述評註闡明現行報告期內的任何重大</w:t>
            </w:r>
            <w:r w:rsidR="00872CF6" w:rsidRPr="00872CF6">
              <w:rPr>
                <w:rFonts w:eastAsia="細明體" w:cs="Segoe UI" w:hint="eastAsia"/>
                <w:sz w:val="17"/>
                <w:szCs w:val="17"/>
                <w:lang w:eastAsia="ar-SA"/>
              </w:rPr>
              <w:t>改</w:t>
            </w:r>
            <w:r w:rsidRPr="00BC269C">
              <w:rPr>
                <w:rFonts w:eastAsia="細明體" w:cs="Segoe UI" w:hint="eastAsia"/>
                <w:sz w:val="17"/>
                <w:szCs w:val="17"/>
                <w:lang w:eastAsia="ar-SA"/>
              </w:rPr>
              <w:t>變及引致該等</w:t>
            </w:r>
            <w:r w:rsidR="00872CF6" w:rsidRPr="00872CF6">
              <w:rPr>
                <w:rFonts w:eastAsia="細明體" w:cs="Segoe UI" w:hint="eastAsia"/>
                <w:sz w:val="17"/>
                <w:szCs w:val="17"/>
                <w:lang w:eastAsia="ar-SA"/>
              </w:rPr>
              <w:t>改</w:t>
            </w:r>
            <w:r w:rsidRPr="00BC269C">
              <w:rPr>
                <w:rFonts w:eastAsia="細明體" w:cs="Segoe UI" w:hint="eastAsia"/>
                <w:sz w:val="17"/>
                <w:szCs w:val="17"/>
                <w:lang w:eastAsia="ar-SA"/>
              </w:rPr>
              <w:t>變的主要驅動因素，以補充本模版。</w:t>
            </w:r>
          </w:p>
        </w:tc>
      </w:tr>
      <w:tr w:rsidR="00BC269C" w:rsidRPr="00BC269C" w14:paraId="596B6831" w14:textId="77777777" w:rsidTr="0029639E">
        <w:tc>
          <w:tcPr>
            <w:tcW w:w="2160" w:type="dxa"/>
            <w:tcBorders>
              <w:top w:val="single" w:sz="4" w:space="0" w:color="000000"/>
              <w:bottom w:val="single" w:sz="4" w:space="0" w:color="000000"/>
            </w:tcBorders>
            <w:shd w:val="clear" w:color="auto" w:fill="auto"/>
          </w:tcPr>
          <w:p w14:paraId="4751D177" w14:textId="77777777" w:rsidR="00BC269C" w:rsidRPr="00BC269C" w:rsidRDefault="00BC269C" w:rsidP="00BC269C">
            <w:pPr>
              <w:spacing w:before="40" w:after="40" w:line="259" w:lineRule="auto"/>
              <w:rPr>
                <w:rFonts w:ascii="Calibri" w:eastAsia="細明體" w:hAnsi="Calibri"/>
                <w:sz w:val="22"/>
                <w:szCs w:val="17"/>
                <w:lang w:eastAsia="zh-TW"/>
              </w:rPr>
            </w:pPr>
            <w:r w:rsidRPr="00BC269C">
              <w:rPr>
                <w:rFonts w:ascii="Calibri" w:eastAsia="細明體" w:hAnsi="Calibri" w:hint="eastAsia"/>
                <w:b/>
                <w:sz w:val="17"/>
                <w:szCs w:val="17"/>
                <w:lang w:eastAsia="zh-TW"/>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28DDA0B7"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sz w:val="17"/>
                <w:szCs w:val="17"/>
                <w:lang w:eastAsia="ar-SA"/>
              </w:rPr>
              <w:t>16ZB</w:t>
            </w:r>
          </w:p>
        </w:tc>
      </w:tr>
    </w:tbl>
    <w:p w14:paraId="0889063B" w14:textId="77777777" w:rsidR="00BC269C" w:rsidRPr="00BC269C" w:rsidRDefault="00BC269C" w:rsidP="00BC269C">
      <w:pPr>
        <w:spacing w:before="120" w:after="120" w:line="259" w:lineRule="auto"/>
        <w:ind w:left="-566"/>
        <w:rPr>
          <w:rFonts w:ascii="Calibri" w:eastAsia="細明體" w:hAnsi="Calibri"/>
          <w:sz w:val="22"/>
          <w:szCs w:val="22"/>
          <w:lang w:eastAsia="zh-CN"/>
        </w:rPr>
      </w:pPr>
    </w:p>
    <w:tbl>
      <w:tblPr>
        <w:tblW w:w="0" w:type="auto"/>
        <w:tblInd w:w="-459" w:type="dxa"/>
        <w:tblLayout w:type="fixed"/>
        <w:tblLook w:val="0000" w:firstRow="0" w:lastRow="0" w:firstColumn="0" w:lastColumn="0" w:noHBand="0" w:noVBand="0"/>
      </w:tblPr>
      <w:tblGrid>
        <w:gridCol w:w="4927"/>
        <w:gridCol w:w="2143"/>
        <w:gridCol w:w="2164"/>
      </w:tblGrid>
      <w:tr w:rsidR="00BC269C" w:rsidRPr="00BC269C" w14:paraId="74A66F94" w14:textId="77777777" w:rsidTr="00E932DC">
        <w:trPr>
          <w:cantSplit/>
          <w:tblHeader/>
        </w:trPr>
        <w:tc>
          <w:tcPr>
            <w:tcW w:w="4927" w:type="dxa"/>
            <w:shd w:val="clear" w:color="auto" w:fill="auto"/>
            <w:vAlign w:val="center"/>
          </w:tcPr>
          <w:p w14:paraId="0BC0C487"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43" w:type="dxa"/>
            <w:tcBorders>
              <w:top w:val="single" w:sz="4" w:space="0" w:color="000000"/>
              <w:left w:val="single" w:sz="4" w:space="0" w:color="000000"/>
              <w:bottom w:val="single" w:sz="4" w:space="0" w:color="000000"/>
            </w:tcBorders>
            <w:shd w:val="clear" w:color="auto" w:fill="auto"/>
            <w:vAlign w:val="center"/>
          </w:tcPr>
          <w:p w14:paraId="7D402044"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bCs/>
                <w:sz w:val="17"/>
                <w:szCs w:val="17"/>
                <w:lang w:eastAsia="ar-SA"/>
              </w:rPr>
              <w:t>(a)</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2DDDF" w14:textId="77777777" w:rsidR="00BC269C" w:rsidRPr="00BC269C" w:rsidRDefault="00BC269C" w:rsidP="00BC269C">
            <w:pPr>
              <w:suppressAutoHyphens/>
              <w:snapToGrid w:val="0"/>
              <w:spacing w:before="40" w:after="40"/>
              <w:jc w:val="center"/>
              <w:rPr>
                <w:rFonts w:cs="Segoe UI"/>
                <w:sz w:val="17"/>
                <w:lang w:eastAsia="ar-SA"/>
              </w:rPr>
            </w:pPr>
            <w:r w:rsidRPr="00BC269C">
              <w:rPr>
                <w:rFonts w:eastAsia="細明體" w:cs="Segoe UI"/>
                <w:sz w:val="17"/>
                <w:szCs w:val="17"/>
                <w:lang w:eastAsia="ar-SA"/>
              </w:rPr>
              <w:t>(b)</w:t>
            </w:r>
          </w:p>
        </w:tc>
      </w:tr>
      <w:tr w:rsidR="00BC269C" w:rsidRPr="00BC269C" w14:paraId="5E59C688" w14:textId="77777777" w:rsidTr="00E932DC">
        <w:trPr>
          <w:cantSplit/>
          <w:tblHeader/>
        </w:trPr>
        <w:tc>
          <w:tcPr>
            <w:tcW w:w="4927" w:type="dxa"/>
            <w:tcBorders>
              <w:bottom w:val="single" w:sz="4" w:space="0" w:color="000000"/>
            </w:tcBorders>
            <w:shd w:val="clear" w:color="auto" w:fill="auto"/>
            <w:vAlign w:val="center"/>
          </w:tcPr>
          <w:p w14:paraId="30136A1E"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43" w:type="dxa"/>
            <w:tcBorders>
              <w:top w:val="single" w:sz="4" w:space="0" w:color="000000"/>
              <w:left w:val="single" w:sz="4" w:space="0" w:color="000000"/>
              <w:bottom w:val="single" w:sz="4" w:space="0" w:color="000000"/>
            </w:tcBorders>
            <w:shd w:val="clear" w:color="auto" w:fill="auto"/>
            <w:vAlign w:val="center"/>
          </w:tcPr>
          <w:p w14:paraId="73DAC35B" w14:textId="77777777" w:rsidR="00BC269C" w:rsidRPr="00BC269C" w:rsidRDefault="00BC269C" w:rsidP="00BC269C">
            <w:pPr>
              <w:suppressAutoHyphens/>
              <w:snapToGrid w:val="0"/>
              <w:spacing w:before="40" w:after="40"/>
              <w:jc w:val="center"/>
              <w:rPr>
                <w:rFonts w:eastAsia="細明體" w:cs="Segoe UI"/>
                <w:sz w:val="17"/>
                <w:szCs w:val="17"/>
                <w:lang w:eastAsia="ar-SA"/>
              </w:rPr>
            </w:pPr>
            <w:r w:rsidRPr="00BC269C">
              <w:rPr>
                <w:rFonts w:eastAsia="細明體" w:cs="Segoe UI" w:hint="eastAsia"/>
                <w:bCs/>
                <w:sz w:val="17"/>
                <w:szCs w:val="17"/>
                <w:lang w:eastAsia="ar-SA"/>
              </w:rPr>
              <w:t>購買的保障</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7EAF" w14:textId="77777777" w:rsidR="00BC269C" w:rsidRPr="00BC269C" w:rsidRDefault="00BC269C" w:rsidP="00BC269C">
            <w:pPr>
              <w:suppressAutoHyphens/>
              <w:snapToGrid w:val="0"/>
              <w:spacing w:before="40" w:after="40"/>
              <w:jc w:val="center"/>
              <w:rPr>
                <w:rFonts w:cs="Segoe UI"/>
                <w:sz w:val="17"/>
                <w:lang w:eastAsia="ar-SA"/>
              </w:rPr>
            </w:pPr>
            <w:r w:rsidRPr="00BC269C">
              <w:rPr>
                <w:rFonts w:eastAsia="細明體" w:cs="Segoe UI" w:hint="eastAsia"/>
                <w:sz w:val="17"/>
                <w:szCs w:val="17"/>
                <w:lang w:eastAsia="ar-SA"/>
              </w:rPr>
              <w:t>出售的保障</w:t>
            </w:r>
          </w:p>
        </w:tc>
      </w:tr>
      <w:tr w:rsidR="00BC269C" w:rsidRPr="00BC269C" w14:paraId="1A147341" w14:textId="77777777" w:rsidTr="00E932DC">
        <w:trPr>
          <w:cantSplit/>
        </w:trPr>
        <w:tc>
          <w:tcPr>
            <w:tcW w:w="4927" w:type="dxa"/>
            <w:tcBorders>
              <w:top w:val="single" w:sz="4" w:space="0" w:color="000000"/>
              <w:bottom w:val="single" w:sz="4" w:space="0" w:color="C0C0C0"/>
            </w:tcBorders>
            <w:shd w:val="clear" w:color="auto" w:fill="auto"/>
          </w:tcPr>
          <w:p w14:paraId="352229C5"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b/>
                <w:sz w:val="17"/>
                <w:szCs w:val="17"/>
                <w:lang w:eastAsia="ar-SA"/>
              </w:rPr>
              <w:t>名義數額</w:t>
            </w:r>
          </w:p>
        </w:tc>
        <w:tc>
          <w:tcPr>
            <w:tcW w:w="2143" w:type="dxa"/>
            <w:tcBorders>
              <w:top w:val="single" w:sz="4" w:space="0" w:color="000000"/>
              <w:left w:val="single" w:sz="4" w:space="0" w:color="000000"/>
              <w:bottom w:val="single" w:sz="4" w:space="0" w:color="C0C0C0"/>
            </w:tcBorders>
            <w:shd w:val="clear" w:color="auto" w:fill="D9D9D9"/>
          </w:tcPr>
          <w:p w14:paraId="7AA946A6"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000000"/>
              <w:left w:val="single" w:sz="4" w:space="0" w:color="000000"/>
              <w:bottom w:val="single" w:sz="4" w:space="0" w:color="C0C0C0"/>
              <w:right w:val="single" w:sz="4" w:space="0" w:color="000000"/>
            </w:tcBorders>
            <w:shd w:val="clear" w:color="auto" w:fill="D9D9D9"/>
          </w:tcPr>
          <w:p w14:paraId="4B085793"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0465BB0A" w14:textId="77777777" w:rsidTr="00E932DC">
        <w:trPr>
          <w:cantSplit/>
        </w:trPr>
        <w:tc>
          <w:tcPr>
            <w:tcW w:w="4927" w:type="dxa"/>
            <w:tcBorders>
              <w:top w:val="single" w:sz="4" w:space="0" w:color="C0C0C0"/>
              <w:bottom w:val="single" w:sz="4" w:space="0" w:color="C0C0C0"/>
            </w:tcBorders>
            <w:shd w:val="clear" w:color="auto" w:fill="auto"/>
          </w:tcPr>
          <w:p w14:paraId="1D9637B8" w14:textId="77777777" w:rsidR="00BC269C" w:rsidRPr="00BC269C" w:rsidRDefault="00BC269C" w:rsidP="00BC269C">
            <w:pPr>
              <w:suppressAutoHyphens/>
              <w:snapToGrid w:val="0"/>
              <w:spacing w:before="40" w:after="40"/>
              <w:ind w:left="174"/>
              <w:rPr>
                <w:rFonts w:eastAsia="細明體" w:cs="Segoe UI"/>
                <w:sz w:val="17"/>
                <w:szCs w:val="17"/>
                <w:lang w:eastAsia="ar-SA"/>
              </w:rPr>
            </w:pPr>
            <w:r w:rsidRPr="00BC269C">
              <w:rPr>
                <w:rFonts w:eastAsia="細明體" w:cs="Segoe UI" w:hint="eastAsia"/>
                <w:sz w:val="17"/>
                <w:szCs w:val="17"/>
                <w:lang w:val="en-US" w:eastAsia="ar-SA"/>
              </w:rPr>
              <w:t>單一名稱信用違責掉期</w:t>
            </w:r>
          </w:p>
        </w:tc>
        <w:tc>
          <w:tcPr>
            <w:tcW w:w="2143" w:type="dxa"/>
            <w:tcBorders>
              <w:top w:val="single" w:sz="4" w:space="0" w:color="C0C0C0"/>
              <w:left w:val="single" w:sz="4" w:space="0" w:color="000000"/>
              <w:bottom w:val="single" w:sz="4" w:space="0" w:color="C0C0C0"/>
            </w:tcBorders>
            <w:shd w:val="clear" w:color="auto" w:fill="auto"/>
          </w:tcPr>
          <w:p w14:paraId="26E43CAD"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auto"/>
          </w:tcPr>
          <w:p w14:paraId="1CF8807B"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65C37FAD" w14:textId="77777777" w:rsidTr="00E932DC">
        <w:trPr>
          <w:cantSplit/>
        </w:trPr>
        <w:tc>
          <w:tcPr>
            <w:tcW w:w="4927" w:type="dxa"/>
            <w:tcBorders>
              <w:top w:val="single" w:sz="4" w:space="0" w:color="C0C0C0"/>
              <w:bottom w:val="single" w:sz="4" w:space="0" w:color="C0C0C0"/>
            </w:tcBorders>
            <w:shd w:val="clear" w:color="auto" w:fill="auto"/>
          </w:tcPr>
          <w:p w14:paraId="4DC525A1" w14:textId="77777777" w:rsidR="00BC269C" w:rsidRPr="00BC269C" w:rsidRDefault="00BC269C" w:rsidP="00BC269C">
            <w:pPr>
              <w:suppressAutoHyphens/>
              <w:snapToGrid w:val="0"/>
              <w:spacing w:before="40" w:after="40"/>
              <w:ind w:left="174"/>
              <w:rPr>
                <w:rFonts w:eastAsia="細明體" w:cs="Segoe UI"/>
                <w:sz w:val="17"/>
                <w:szCs w:val="17"/>
                <w:lang w:eastAsia="ar-SA"/>
              </w:rPr>
            </w:pPr>
            <w:r w:rsidRPr="00BC269C">
              <w:rPr>
                <w:rFonts w:eastAsia="細明體" w:cs="Segoe UI" w:hint="eastAsia"/>
                <w:sz w:val="17"/>
                <w:szCs w:val="17"/>
                <w:lang w:val="en-US" w:eastAsia="ar-SA"/>
              </w:rPr>
              <w:t>指數信用違責掉期</w:t>
            </w:r>
          </w:p>
        </w:tc>
        <w:tc>
          <w:tcPr>
            <w:tcW w:w="2143" w:type="dxa"/>
            <w:tcBorders>
              <w:top w:val="single" w:sz="4" w:space="0" w:color="C0C0C0"/>
              <w:left w:val="single" w:sz="4" w:space="0" w:color="000000"/>
              <w:bottom w:val="single" w:sz="4" w:space="0" w:color="C0C0C0"/>
            </w:tcBorders>
            <w:shd w:val="clear" w:color="auto" w:fill="auto"/>
          </w:tcPr>
          <w:p w14:paraId="1F4177C5"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auto"/>
          </w:tcPr>
          <w:p w14:paraId="2D9C71B9"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62835D16" w14:textId="77777777" w:rsidTr="00E932DC">
        <w:trPr>
          <w:cantSplit/>
        </w:trPr>
        <w:tc>
          <w:tcPr>
            <w:tcW w:w="4927" w:type="dxa"/>
            <w:tcBorders>
              <w:top w:val="single" w:sz="4" w:space="0" w:color="C0C0C0"/>
              <w:bottom w:val="single" w:sz="4" w:space="0" w:color="C0C0C0"/>
            </w:tcBorders>
            <w:shd w:val="clear" w:color="auto" w:fill="auto"/>
          </w:tcPr>
          <w:p w14:paraId="1805F5E7" w14:textId="77777777" w:rsidR="00BC269C" w:rsidRPr="00BC269C" w:rsidRDefault="00BC269C" w:rsidP="00BC269C">
            <w:pPr>
              <w:suppressAutoHyphens/>
              <w:snapToGrid w:val="0"/>
              <w:spacing w:before="40" w:after="40"/>
              <w:ind w:left="174"/>
              <w:rPr>
                <w:rFonts w:eastAsia="細明體" w:cs="Segoe UI"/>
                <w:sz w:val="17"/>
                <w:szCs w:val="17"/>
                <w:lang w:eastAsia="ar-SA"/>
              </w:rPr>
            </w:pPr>
            <w:r w:rsidRPr="00BC269C">
              <w:rPr>
                <w:rFonts w:eastAsia="細明體" w:cs="Segoe UI" w:hint="eastAsia"/>
                <w:sz w:val="17"/>
                <w:szCs w:val="17"/>
                <w:lang w:val="en-US" w:eastAsia="ar-SA"/>
              </w:rPr>
              <w:t>總回報掉期</w:t>
            </w:r>
          </w:p>
        </w:tc>
        <w:tc>
          <w:tcPr>
            <w:tcW w:w="2143" w:type="dxa"/>
            <w:tcBorders>
              <w:top w:val="single" w:sz="4" w:space="0" w:color="C0C0C0"/>
              <w:left w:val="single" w:sz="4" w:space="0" w:color="000000"/>
              <w:bottom w:val="single" w:sz="4" w:space="0" w:color="C0C0C0"/>
            </w:tcBorders>
            <w:shd w:val="clear" w:color="auto" w:fill="auto"/>
          </w:tcPr>
          <w:p w14:paraId="37B76188"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auto"/>
          </w:tcPr>
          <w:p w14:paraId="1125643E"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7884C34E" w14:textId="77777777" w:rsidTr="00E932DC">
        <w:trPr>
          <w:cantSplit/>
        </w:trPr>
        <w:tc>
          <w:tcPr>
            <w:tcW w:w="4927" w:type="dxa"/>
            <w:tcBorders>
              <w:top w:val="single" w:sz="4" w:space="0" w:color="C0C0C0"/>
              <w:bottom w:val="single" w:sz="4" w:space="0" w:color="C0C0C0"/>
            </w:tcBorders>
            <w:shd w:val="clear" w:color="auto" w:fill="auto"/>
          </w:tcPr>
          <w:p w14:paraId="64970888" w14:textId="77777777" w:rsidR="00BC269C" w:rsidRPr="00BC269C" w:rsidRDefault="00BC269C" w:rsidP="00BC269C">
            <w:pPr>
              <w:suppressAutoHyphens/>
              <w:snapToGrid w:val="0"/>
              <w:spacing w:before="40" w:after="40"/>
              <w:ind w:left="174"/>
              <w:rPr>
                <w:rFonts w:eastAsia="細明體" w:cs="Segoe UI"/>
                <w:sz w:val="17"/>
                <w:szCs w:val="17"/>
                <w:lang w:eastAsia="ar-SA"/>
              </w:rPr>
            </w:pPr>
            <w:r w:rsidRPr="00BC269C">
              <w:rPr>
                <w:rFonts w:eastAsia="細明體" w:cs="Segoe UI" w:hint="eastAsia"/>
                <w:sz w:val="17"/>
                <w:szCs w:val="17"/>
                <w:lang w:val="en-US" w:eastAsia="ar-SA"/>
              </w:rPr>
              <w:t>信用相關期權</w:t>
            </w:r>
          </w:p>
        </w:tc>
        <w:tc>
          <w:tcPr>
            <w:tcW w:w="2143" w:type="dxa"/>
            <w:tcBorders>
              <w:top w:val="single" w:sz="4" w:space="0" w:color="C0C0C0"/>
              <w:left w:val="single" w:sz="4" w:space="0" w:color="000000"/>
              <w:bottom w:val="single" w:sz="4" w:space="0" w:color="C0C0C0"/>
            </w:tcBorders>
            <w:shd w:val="clear" w:color="auto" w:fill="auto"/>
          </w:tcPr>
          <w:p w14:paraId="112F26B2"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auto"/>
          </w:tcPr>
          <w:p w14:paraId="58EC339C"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24130449" w14:textId="77777777" w:rsidTr="00E932DC">
        <w:trPr>
          <w:cantSplit/>
        </w:trPr>
        <w:tc>
          <w:tcPr>
            <w:tcW w:w="4927" w:type="dxa"/>
            <w:tcBorders>
              <w:top w:val="single" w:sz="4" w:space="0" w:color="C0C0C0"/>
              <w:bottom w:val="single" w:sz="4" w:space="0" w:color="C0C0C0"/>
            </w:tcBorders>
            <w:shd w:val="clear" w:color="auto" w:fill="auto"/>
          </w:tcPr>
          <w:p w14:paraId="18458D29" w14:textId="77777777" w:rsidR="00BC269C" w:rsidRPr="00BC269C" w:rsidRDefault="00BC269C" w:rsidP="00BC269C">
            <w:pPr>
              <w:suppressAutoHyphens/>
              <w:snapToGrid w:val="0"/>
              <w:spacing w:before="40" w:after="40"/>
              <w:ind w:left="174"/>
              <w:rPr>
                <w:rFonts w:eastAsia="細明體" w:cs="Segoe UI"/>
                <w:sz w:val="17"/>
                <w:szCs w:val="17"/>
                <w:lang w:eastAsia="ar-SA"/>
              </w:rPr>
            </w:pPr>
            <w:r w:rsidRPr="00BC269C">
              <w:rPr>
                <w:rFonts w:eastAsia="細明體" w:cs="Segoe UI" w:hint="eastAsia"/>
                <w:sz w:val="17"/>
                <w:szCs w:val="17"/>
                <w:lang w:val="en-US" w:eastAsia="ar-SA"/>
              </w:rPr>
              <w:t>其他信用相關衍生工具合約</w:t>
            </w:r>
          </w:p>
        </w:tc>
        <w:tc>
          <w:tcPr>
            <w:tcW w:w="2143" w:type="dxa"/>
            <w:tcBorders>
              <w:top w:val="single" w:sz="4" w:space="0" w:color="C0C0C0"/>
              <w:left w:val="single" w:sz="4" w:space="0" w:color="000000"/>
              <w:bottom w:val="single" w:sz="4" w:space="0" w:color="C0C0C0"/>
            </w:tcBorders>
            <w:shd w:val="clear" w:color="auto" w:fill="auto"/>
          </w:tcPr>
          <w:p w14:paraId="3F452141"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auto"/>
          </w:tcPr>
          <w:p w14:paraId="5A199FC4"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1F390B45" w14:textId="77777777" w:rsidTr="00E932DC">
        <w:trPr>
          <w:cantSplit/>
        </w:trPr>
        <w:tc>
          <w:tcPr>
            <w:tcW w:w="4927" w:type="dxa"/>
            <w:tcBorders>
              <w:top w:val="single" w:sz="4" w:space="0" w:color="C0C0C0"/>
              <w:bottom w:val="single" w:sz="4" w:space="0" w:color="C0C0C0"/>
            </w:tcBorders>
            <w:shd w:val="clear" w:color="auto" w:fill="auto"/>
          </w:tcPr>
          <w:p w14:paraId="08983572" w14:textId="77777777" w:rsidR="00BC269C" w:rsidRPr="00BC269C" w:rsidRDefault="00BC269C" w:rsidP="00BC269C">
            <w:pPr>
              <w:suppressAutoHyphens/>
              <w:snapToGrid w:val="0"/>
              <w:spacing w:before="40" w:after="40"/>
              <w:ind w:firstLineChars="100" w:firstLine="170"/>
              <w:rPr>
                <w:rFonts w:eastAsia="細明體" w:cs="Segoe UI"/>
                <w:sz w:val="17"/>
                <w:szCs w:val="17"/>
                <w:lang w:eastAsia="ar-SA"/>
              </w:rPr>
            </w:pPr>
            <w:r w:rsidRPr="00BC269C">
              <w:rPr>
                <w:rFonts w:eastAsia="細明體" w:cs="Segoe UI" w:hint="eastAsia"/>
                <w:b/>
                <w:sz w:val="17"/>
                <w:szCs w:val="17"/>
                <w:lang w:eastAsia="ar-SA"/>
              </w:rPr>
              <w:t>總名義數額</w:t>
            </w:r>
          </w:p>
        </w:tc>
        <w:tc>
          <w:tcPr>
            <w:tcW w:w="2143" w:type="dxa"/>
            <w:tcBorders>
              <w:top w:val="single" w:sz="4" w:space="0" w:color="C0C0C0"/>
              <w:left w:val="single" w:sz="4" w:space="0" w:color="000000"/>
              <w:bottom w:val="single" w:sz="4" w:space="0" w:color="C0C0C0"/>
            </w:tcBorders>
            <w:shd w:val="clear" w:color="auto" w:fill="auto"/>
          </w:tcPr>
          <w:p w14:paraId="5247107C"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auto"/>
          </w:tcPr>
          <w:p w14:paraId="0B50361F"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0F624D1B" w14:textId="77777777" w:rsidTr="00E932DC">
        <w:trPr>
          <w:cantSplit/>
        </w:trPr>
        <w:tc>
          <w:tcPr>
            <w:tcW w:w="4927" w:type="dxa"/>
            <w:tcBorders>
              <w:top w:val="single" w:sz="4" w:space="0" w:color="C0C0C0"/>
              <w:bottom w:val="single" w:sz="4" w:space="0" w:color="C0C0C0"/>
            </w:tcBorders>
            <w:shd w:val="clear" w:color="auto" w:fill="auto"/>
          </w:tcPr>
          <w:p w14:paraId="6A721EE5" w14:textId="77777777" w:rsidR="00BC269C" w:rsidRPr="00BC269C" w:rsidRDefault="00BC269C" w:rsidP="00BC269C">
            <w:pPr>
              <w:suppressAutoHyphens/>
              <w:snapToGrid w:val="0"/>
              <w:spacing w:before="40" w:after="40"/>
              <w:rPr>
                <w:rFonts w:eastAsia="細明體" w:cs="Segoe UI"/>
                <w:sz w:val="17"/>
                <w:szCs w:val="17"/>
                <w:lang w:eastAsia="ar-SA"/>
              </w:rPr>
            </w:pPr>
            <w:r w:rsidRPr="00BC269C">
              <w:rPr>
                <w:rFonts w:eastAsia="細明體" w:cs="Segoe UI" w:hint="eastAsia"/>
                <w:b/>
                <w:sz w:val="17"/>
                <w:szCs w:val="17"/>
                <w:lang w:eastAsia="ar-SA"/>
              </w:rPr>
              <w:t>公平價值</w:t>
            </w:r>
          </w:p>
        </w:tc>
        <w:tc>
          <w:tcPr>
            <w:tcW w:w="2143" w:type="dxa"/>
            <w:tcBorders>
              <w:top w:val="single" w:sz="4" w:space="0" w:color="C0C0C0"/>
              <w:left w:val="single" w:sz="4" w:space="0" w:color="000000"/>
              <w:bottom w:val="single" w:sz="4" w:space="0" w:color="C0C0C0"/>
            </w:tcBorders>
            <w:shd w:val="clear" w:color="auto" w:fill="D9D9D9"/>
          </w:tcPr>
          <w:p w14:paraId="37182650"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D9D9D9"/>
          </w:tcPr>
          <w:p w14:paraId="34828CDA"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5F305DE4" w14:textId="77777777" w:rsidTr="00E932DC">
        <w:trPr>
          <w:cantSplit/>
        </w:trPr>
        <w:tc>
          <w:tcPr>
            <w:tcW w:w="4927" w:type="dxa"/>
            <w:tcBorders>
              <w:top w:val="single" w:sz="4" w:space="0" w:color="C0C0C0"/>
              <w:bottom w:val="single" w:sz="4" w:space="0" w:color="C0C0C0"/>
            </w:tcBorders>
            <w:shd w:val="clear" w:color="auto" w:fill="auto"/>
          </w:tcPr>
          <w:p w14:paraId="4934CA58" w14:textId="77777777" w:rsidR="00BC269C" w:rsidRPr="00BC269C" w:rsidRDefault="00BC269C" w:rsidP="00BC269C">
            <w:pPr>
              <w:suppressAutoHyphens/>
              <w:snapToGrid w:val="0"/>
              <w:spacing w:before="40" w:after="40"/>
              <w:ind w:left="174"/>
              <w:rPr>
                <w:rFonts w:eastAsia="細明體" w:cs="Segoe UI"/>
                <w:sz w:val="17"/>
                <w:szCs w:val="17"/>
                <w:lang w:eastAsia="ar-SA"/>
              </w:rPr>
            </w:pPr>
            <w:r w:rsidRPr="00BC269C">
              <w:rPr>
                <w:rFonts w:eastAsia="細明體" w:cs="Segoe UI" w:hint="eastAsia"/>
                <w:sz w:val="17"/>
                <w:szCs w:val="17"/>
                <w:lang w:eastAsia="ar-SA"/>
              </w:rPr>
              <w:t>正公平價值（資產）</w:t>
            </w:r>
          </w:p>
        </w:tc>
        <w:tc>
          <w:tcPr>
            <w:tcW w:w="2143" w:type="dxa"/>
            <w:tcBorders>
              <w:top w:val="single" w:sz="4" w:space="0" w:color="C0C0C0"/>
              <w:left w:val="single" w:sz="4" w:space="0" w:color="000000"/>
              <w:bottom w:val="single" w:sz="4" w:space="0" w:color="C0C0C0"/>
            </w:tcBorders>
            <w:shd w:val="clear" w:color="auto" w:fill="auto"/>
          </w:tcPr>
          <w:p w14:paraId="09435B07"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C0C0C0"/>
              <w:right w:val="single" w:sz="4" w:space="0" w:color="000000"/>
            </w:tcBorders>
            <w:shd w:val="clear" w:color="auto" w:fill="auto"/>
          </w:tcPr>
          <w:p w14:paraId="7807D2D6" w14:textId="77777777" w:rsidR="00BC269C" w:rsidRPr="00BC269C" w:rsidRDefault="00BC269C" w:rsidP="00BC269C">
            <w:pPr>
              <w:suppressAutoHyphens/>
              <w:snapToGrid w:val="0"/>
              <w:spacing w:before="40" w:after="40"/>
              <w:rPr>
                <w:rFonts w:eastAsia="細明體" w:cs="Segoe UI"/>
                <w:sz w:val="17"/>
                <w:szCs w:val="17"/>
                <w:lang w:eastAsia="ar-SA"/>
              </w:rPr>
            </w:pPr>
          </w:p>
        </w:tc>
      </w:tr>
      <w:tr w:rsidR="00BC269C" w:rsidRPr="00BC269C" w14:paraId="22AFED11" w14:textId="77777777" w:rsidTr="00E932DC">
        <w:trPr>
          <w:cantSplit/>
        </w:trPr>
        <w:tc>
          <w:tcPr>
            <w:tcW w:w="4927" w:type="dxa"/>
            <w:tcBorders>
              <w:top w:val="single" w:sz="4" w:space="0" w:color="C0C0C0"/>
              <w:bottom w:val="single" w:sz="4" w:space="0" w:color="000000"/>
            </w:tcBorders>
            <w:shd w:val="clear" w:color="auto" w:fill="auto"/>
          </w:tcPr>
          <w:p w14:paraId="5D8EE14C" w14:textId="77777777" w:rsidR="00BC269C" w:rsidRPr="00BC269C" w:rsidRDefault="00BC269C" w:rsidP="00BC269C">
            <w:pPr>
              <w:suppressAutoHyphens/>
              <w:snapToGrid w:val="0"/>
              <w:spacing w:before="40" w:after="40"/>
              <w:ind w:left="174"/>
              <w:rPr>
                <w:rFonts w:eastAsia="細明體" w:cs="Segoe UI"/>
                <w:sz w:val="17"/>
                <w:szCs w:val="17"/>
                <w:lang w:eastAsia="ar-SA"/>
              </w:rPr>
            </w:pPr>
            <w:r w:rsidRPr="00BC269C">
              <w:rPr>
                <w:rFonts w:eastAsia="細明體" w:cs="Segoe UI" w:hint="eastAsia"/>
                <w:sz w:val="17"/>
                <w:szCs w:val="17"/>
                <w:lang w:eastAsia="ar-SA"/>
              </w:rPr>
              <w:t>負公平價值（負債）</w:t>
            </w:r>
          </w:p>
        </w:tc>
        <w:tc>
          <w:tcPr>
            <w:tcW w:w="2143" w:type="dxa"/>
            <w:tcBorders>
              <w:top w:val="single" w:sz="4" w:space="0" w:color="C0C0C0"/>
              <w:left w:val="single" w:sz="4" w:space="0" w:color="000000"/>
              <w:bottom w:val="single" w:sz="4" w:space="0" w:color="000000"/>
            </w:tcBorders>
            <w:shd w:val="clear" w:color="auto" w:fill="auto"/>
          </w:tcPr>
          <w:p w14:paraId="4D6608E9" w14:textId="77777777" w:rsidR="00BC269C" w:rsidRPr="00BC269C" w:rsidRDefault="00BC269C" w:rsidP="00BC269C">
            <w:pPr>
              <w:suppressAutoHyphens/>
              <w:snapToGrid w:val="0"/>
              <w:spacing w:before="40" w:after="40"/>
              <w:rPr>
                <w:rFonts w:eastAsia="細明體" w:cs="Segoe UI"/>
                <w:sz w:val="17"/>
                <w:szCs w:val="17"/>
                <w:lang w:eastAsia="ar-SA"/>
              </w:rPr>
            </w:pPr>
          </w:p>
        </w:tc>
        <w:tc>
          <w:tcPr>
            <w:tcW w:w="2164" w:type="dxa"/>
            <w:tcBorders>
              <w:top w:val="single" w:sz="4" w:space="0" w:color="C0C0C0"/>
              <w:left w:val="single" w:sz="4" w:space="0" w:color="000000"/>
              <w:bottom w:val="single" w:sz="4" w:space="0" w:color="000000"/>
              <w:right w:val="single" w:sz="4" w:space="0" w:color="000000"/>
            </w:tcBorders>
            <w:shd w:val="clear" w:color="auto" w:fill="auto"/>
          </w:tcPr>
          <w:p w14:paraId="5E70A67D" w14:textId="77777777" w:rsidR="00BC269C" w:rsidRPr="00BC269C" w:rsidRDefault="00BC269C" w:rsidP="00BC269C">
            <w:pPr>
              <w:suppressAutoHyphens/>
              <w:snapToGrid w:val="0"/>
              <w:spacing w:before="40" w:after="40"/>
              <w:rPr>
                <w:rFonts w:eastAsia="細明體" w:cs="Segoe UI"/>
                <w:sz w:val="17"/>
                <w:szCs w:val="17"/>
                <w:lang w:eastAsia="ar-SA"/>
              </w:rPr>
            </w:pPr>
          </w:p>
        </w:tc>
      </w:tr>
    </w:tbl>
    <w:p w14:paraId="52266EFB" w14:textId="77777777" w:rsidR="00BC269C" w:rsidRPr="00BC269C" w:rsidRDefault="00BC269C" w:rsidP="00BC269C">
      <w:pPr>
        <w:spacing w:before="120" w:after="120" w:line="259" w:lineRule="auto"/>
        <w:ind w:left="-566"/>
        <w:rPr>
          <w:rFonts w:ascii="Calibri" w:eastAsia="細明體" w:hAnsi="Calibri"/>
          <w:sz w:val="22"/>
          <w:szCs w:val="22"/>
          <w:lang w:eastAsia="zh-CN"/>
        </w:rPr>
      </w:pPr>
    </w:p>
    <w:p w14:paraId="2993B4FB" w14:textId="77777777" w:rsidR="00BC269C" w:rsidRDefault="00BC269C" w:rsidP="00BC269C">
      <w:pPr>
        <w:spacing w:before="40" w:after="40" w:line="259" w:lineRule="auto"/>
        <w:jc w:val="both"/>
        <w:rPr>
          <w:rFonts w:ascii="Calibri" w:eastAsia="細明體" w:hAnsi="Calibri"/>
          <w:sz w:val="22"/>
          <w:szCs w:val="22"/>
          <w:lang w:eastAsia="zh-TW"/>
        </w:rPr>
        <w:sectPr w:rsidR="00BC269C">
          <w:footerReference w:type="default" r:id="rId85"/>
          <w:pgSz w:w="11906" w:h="16838"/>
          <w:pgMar w:top="1440" w:right="1797" w:bottom="1440" w:left="1797" w:header="720" w:footer="737" w:gutter="0"/>
          <w:cols w:space="720"/>
          <w:docGrid w:type="linesAndChars" w:linePitch="360"/>
        </w:sectPr>
      </w:pPr>
    </w:p>
    <w:p w14:paraId="69B4C0B4" w14:textId="2F90BBAB" w:rsidR="008D234D" w:rsidRPr="000D57AC" w:rsidRDefault="008D234D" w:rsidP="008D234D">
      <w:pPr>
        <w:pStyle w:val="Heading2"/>
        <w:keepNext w:val="0"/>
        <w:suppressAutoHyphens w:val="0"/>
        <w:spacing w:before="40" w:line="240" w:lineRule="auto"/>
        <w:ind w:left="-454"/>
        <w:rPr>
          <w:rFonts w:ascii="細明體" w:eastAsia="細明體" w:hAnsi="細明體" w:cs="微軟正黑體"/>
          <w:b w:val="0"/>
          <w:bCs w:val="0"/>
          <w:sz w:val="22"/>
          <w:szCs w:val="20"/>
          <w:lang w:eastAsia="zh-TW"/>
        </w:rPr>
      </w:pPr>
      <w:r w:rsidRPr="008D234D">
        <w:rPr>
          <w:rFonts w:ascii="細明體" w:eastAsia="細明體" w:hAnsi="細明體" w:cs="微軟正黑體" w:hint="eastAsia"/>
          <w:b w:val="0"/>
          <w:bCs w:val="0"/>
          <w:sz w:val="22"/>
          <w:szCs w:val="20"/>
          <w:lang w:eastAsia="zh-TW"/>
        </w:rPr>
        <w:t>模版</w:t>
      </w:r>
      <w:r w:rsidRPr="000D57AC">
        <w:rPr>
          <w:rFonts w:ascii="Segoe UI" w:eastAsia="細明體" w:hAnsi="Segoe UI" w:cs="Segoe UI"/>
          <w:b w:val="0"/>
          <w:bCs w:val="0"/>
          <w:sz w:val="22"/>
          <w:szCs w:val="20"/>
          <w:lang w:eastAsia="zh-TW"/>
        </w:rPr>
        <w:t>CCR7</w:t>
      </w:r>
      <w:r w:rsidRPr="000D57AC">
        <w:rPr>
          <w:rFonts w:ascii="細明體" w:eastAsia="細明體" w:hAnsi="細明體" w:cs="微軟正黑體" w:hint="eastAsia"/>
          <w:b w:val="0"/>
          <w:bCs w:val="0"/>
          <w:sz w:val="22"/>
          <w:szCs w:val="20"/>
          <w:lang w:eastAsia="zh-TW"/>
        </w:rPr>
        <w:t>：</w:t>
      </w:r>
      <w:r w:rsidRPr="008D234D">
        <w:rPr>
          <w:rFonts w:ascii="細明體" w:eastAsia="細明體" w:hAnsi="細明體" w:cs="微軟正黑體" w:hint="eastAsia"/>
          <w:b w:val="0"/>
          <w:bCs w:val="0"/>
          <w:sz w:val="22"/>
          <w:szCs w:val="20"/>
          <w:lang w:eastAsia="zh-TW"/>
        </w:rPr>
        <w:t>在</w:t>
      </w:r>
      <w:r w:rsidRPr="000D57AC">
        <w:rPr>
          <w:rFonts w:ascii="Segoe UI" w:eastAsia="細明體" w:hAnsi="Segoe UI" w:cs="Segoe UI"/>
          <w:b w:val="0"/>
          <w:bCs w:val="0"/>
          <w:sz w:val="22"/>
          <w:szCs w:val="20"/>
          <w:lang w:eastAsia="zh-TW"/>
        </w:rPr>
        <w:t>IMM(CCR)</w:t>
      </w:r>
      <w:r w:rsidRPr="008D234D">
        <w:rPr>
          <w:rFonts w:ascii="細明體" w:eastAsia="細明體" w:hAnsi="細明體" w:cs="微軟正黑體" w:hint="eastAsia"/>
          <w:b w:val="0"/>
          <w:bCs w:val="0"/>
          <w:sz w:val="22"/>
          <w:szCs w:val="20"/>
          <w:lang w:eastAsia="zh-TW"/>
        </w:rPr>
        <w:t>計算法</w:t>
      </w:r>
      <w:proofErr w:type="gramStart"/>
      <w:r w:rsidRPr="008D234D">
        <w:rPr>
          <w:rFonts w:ascii="細明體" w:eastAsia="細明體" w:hAnsi="細明體" w:cs="微軟正黑體" w:hint="eastAsia"/>
          <w:b w:val="0"/>
          <w:bCs w:val="0"/>
          <w:sz w:val="22"/>
          <w:szCs w:val="20"/>
          <w:lang w:eastAsia="zh-TW"/>
        </w:rPr>
        <w:t>下違責</w:t>
      </w:r>
      <w:proofErr w:type="gramEnd"/>
      <w:r w:rsidRPr="008D234D">
        <w:rPr>
          <w:rFonts w:ascii="細明體" w:eastAsia="細明體" w:hAnsi="細明體" w:cs="微軟正黑體" w:hint="eastAsia"/>
          <w:b w:val="0"/>
          <w:bCs w:val="0"/>
          <w:sz w:val="22"/>
          <w:szCs w:val="20"/>
          <w:lang w:eastAsia="zh-TW"/>
        </w:rPr>
        <w:t>風險的風險承擔的風險加權數額流動表</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BC269C" w:rsidRPr="00BC269C" w14:paraId="7A584402" w14:textId="77777777" w:rsidTr="0029639E">
        <w:tc>
          <w:tcPr>
            <w:tcW w:w="2160" w:type="dxa"/>
          </w:tcPr>
          <w:p w14:paraId="6515AB61" w14:textId="77777777" w:rsidR="00BC269C" w:rsidRPr="00BC269C" w:rsidRDefault="00BC269C" w:rsidP="00BC269C">
            <w:pPr>
              <w:spacing w:before="40" w:after="40" w:line="259" w:lineRule="auto"/>
              <w:rPr>
                <w:rFonts w:ascii="Calibri" w:eastAsia="細明體" w:hAnsi="Calibri"/>
                <w:noProof/>
                <w:sz w:val="17"/>
                <w:szCs w:val="22"/>
                <w:lang w:eastAsia="zh-TW"/>
              </w:rPr>
            </w:pPr>
            <w:r w:rsidRPr="00BC269C">
              <w:rPr>
                <w:rFonts w:ascii="Calibri" w:eastAsia="細明體" w:hAnsi="Calibri" w:hint="eastAsia"/>
                <w:b/>
                <w:sz w:val="17"/>
                <w:szCs w:val="22"/>
                <w:lang w:eastAsia="zh-TW"/>
              </w:rPr>
              <w:t>目的：</w:t>
            </w:r>
            <w:r w:rsidRPr="00BC269C">
              <w:rPr>
                <w:rFonts w:ascii="Calibri" w:eastAsia="細明體" w:hAnsi="Calibri"/>
                <w:sz w:val="17"/>
                <w:szCs w:val="22"/>
                <w:lang w:eastAsia="en-GB"/>
              </w:rPr>
              <w:t xml:space="preserve"> </w:t>
            </w:r>
          </w:p>
        </w:tc>
        <w:tc>
          <w:tcPr>
            <w:tcW w:w="7088" w:type="dxa"/>
          </w:tcPr>
          <w:p w14:paraId="0B5C98A2" w14:textId="77777777" w:rsidR="00BC269C" w:rsidRPr="00BC269C" w:rsidRDefault="00BC269C" w:rsidP="00BC269C">
            <w:pPr>
              <w:spacing w:before="40" w:after="40" w:line="259" w:lineRule="auto"/>
              <w:jc w:val="both"/>
              <w:rPr>
                <w:rFonts w:ascii="Calibri" w:eastAsia="細明體" w:hAnsi="Calibri"/>
                <w:sz w:val="17"/>
                <w:szCs w:val="22"/>
                <w:lang w:eastAsia="zh-TW"/>
              </w:rPr>
            </w:pPr>
            <w:r w:rsidRPr="00BC269C">
              <w:rPr>
                <w:rFonts w:ascii="Calibri" w:eastAsia="細明體" w:hAnsi="Calibri" w:hint="eastAsia"/>
                <w:sz w:val="17"/>
                <w:szCs w:val="22"/>
                <w:lang w:eastAsia="zh-TW"/>
              </w:rPr>
              <w:t>呈示</w:t>
            </w:r>
            <w:proofErr w:type="gramStart"/>
            <w:r w:rsidRPr="00BC269C">
              <w:rPr>
                <w:rFonts w:ascii="Calibri" w:eastAsia="細明體" w:hAnsi="Calibri" w:hint="eastAsia"/>
                <w:sz w:val="17"/>
                <w:szCs w:val="22"/>
                <w:lang w:eastAsia="zh-TW"/>
              </w:rPr>
              <w:t>一</w:t>
            </w:r>
            <w:proofErr w:type="gramEnd"/>
            <w:r w:rsidRPr="00BC269C">
              <w:rPr>
                <w:rFonts w:ascii="Calibri" w:eastAsia="細明體" w:hAnsi="Calibri" w:hint="eastAsia"/>
                <w:sz w:val="17"/>
                <w:szCs w:val="22"/>
                <w:lang w:eastAsia="zh-TW"/>
              </w:rPr>
              <w:t>流動表，解釋按</w:t>
            </w:r>
            <w:r w:rsidRPr="00BC269C">
              <w:rPr>
                <w:rFonts w:ascii="Calibri" w:eastAsia="細明體" w:hAnsi="Calibri"/>
                <w:sz w:val="17"/>
                <w:szCs w:val="22"/>
                <w:lang w:eastAsia="zh-TW"/>
              </w:rPr>
              <w:t>IMM(CCR)</w:t>
            </w:r>
            <w:r w:rsidRPr="00BC269C">
              <w:rPr>
                <w:rFonts w:ascii="Calibri" w:eastAsia="細明體" w:hAnsi="Calibri" w:hint="eastAsia"/>
                <w:sz w:val="17"/>
                <w:szCs w:val="22"/>
                <w:lang w:eastAsia="zh-TW"/>
              </w:rPr>
              <w:t>計算法斷定</w:t>
            </w:r>
            <w:proofErr w:type="gramStart"/>
            <w:r w:rsidRPr="00BC269C">
              <w:rPr>
                <w:rFonts w:ascii="Calibri" w:eastAsia="細明體" w:hAnsi="Calibri" w:hint="eastAsia"/>
                <w:sz w:val="17"/>
                <w:szCs w:val="22"/>
                <w:lang w:eastAsia="zh-TW"/>
              </w:rPr>
              <w:t>的違責風險</w:t>
            </w:r>
            <w:proofErr w:type="gramEnd"/>
            <w:r w:rsidRPr="00BC269C">
              <w:rPr>
                <w:rFonts w:ascii="Calibri" w:eastAsia="細明體" w:hAnsi="Calibri" w:hint="eastAsia"/>
                <w:sz w:val="17"/>
                <w:szCs w:val="22"/>
                <w:lang w:eastAsia="zh-TW"/>
              </w:rPr>
              <w:t>的風險承擔，其風險加權數額的改變。</w:t>
            </w:r>
          </w:p>
        </w:tc>
      </w:tr>
      <w:tr w:rsidR="00BC269C" w:rsidRPr="00BC269C" w14:paraId="16D386D6" w14:textId="77777777" w:rsidTr="0029639E">
        <w:tc>
          <w:tcPr>
            <w:tcW w:w="2160" w:type="dxa"/>
          </w:tcPr>
          <w:p w14:paraId="2735F3AB" w14:textId="77777777" w:rsidR="00BC269C" w:rsidRPr="00BC269C" w:rsidRDefault="00BC269C" w:rsidP="00BC269C">
            <w:pPr>
              <w:spacing w:before="40" w:after="40" w:line="259" w:lineRule="auto"/>
              <w:rPr>
                <w:rFonts w:ascii="Calibri" w:eastAsia="細明體" w:hAnsi="Calibri"/>
                <w:b/>
                <w:sz w:val="17"/>
                <w:szCs w:val="22"/>
                <w:lang w:eastAsia="en-GB"/>
              </w:rPr>
            </w:pPr>
            <w:proofErr w:type="spellStart"/>
            <w:r w:rsidRPr="00BC269C">
              <w:rPr>
                <w:rFonts w:ascii="Calibri" w:eastAsia="細明體" w:hAnsi="Calibri" w:hint="eastAsia"/>
                <w:b/>
                <w:sz w:val="17"/>
                <w:szCs w:val="22"/>
                <w:lang w:eastAsia="en-GB"/>
              </w:rPr>
              <w:t>適用範圍</w:t>
            </w:r>
            <w:proofErr w:type="spellEnd"/>
            <w:r w:rsidRPr="00BC269C">
              <w:rPr>
                <w:rFonts w:ascii="Calibri" w:eastAsia="細明體" w:hAnsi="Calibri" w:hint="eastAsia"/>
                <w:b/>
                <w:sz w:val="17"/>
                <w:szCs w:val="22"/>
                <w:lang w:eastAsia="en-GB"/>
              </w:rPr>
              <w:t>：</w:t>
            </w:r>
            <w:r w:rsidRPr="00BC269C">
              <w:rPr>
                <w:rFonts w:ascii="Calibri" w:eastAsia="細明體" w:hAnsi="Calibri"/>
                <w:b/>
                <w:sz w:val="17"/>
                <w:szCs w:val="22"/>
                <w:lang w:eastAsia="en-GB"/>
              </w:rPr>
              <w:t xml:space="preserve"> </w:t>
            </w:r>
          </w:p>
        </w:tc>
        <w:tc>
          <w:tcPr>
            <w:tcW w:w="7088" w:type="dxa"/>
          </w:tcPr>
          <w:p w14:paraId="5BD1B32C" w14:textId="77777777" w:rsidR="00BC269C" w:rsidRPr="00BC269C" w:rsidRDefault="00BC269C" w:rsidP="00BC269C">
            <w:pPr>
              <w:spacing w:before="40" w:after="40" w:line="259" w:lineRule="auto"/>
              <w:jc w:val="both"/>
              <w:rPr>
                <w:rFonts w:ascii="Calibri" w:eastAsia="細明體" w:hAnsi="Calibri"/>
                <w:sz w:val="17"/>
                <w:szCs w:val="22"/>
                <w:lang w:eastAsia="zh-TW"/>
              </w:rPr>
            </w:pPr>
            <w:r w:rsidRPr="00BC269C">
              <w:rPr>
                <w:rFonts w:ascii="Calibri" w:eastAsia="細明體" w:hAnsi="Calibri" w:hint="eastAsia"/>
                <w:sz w:val="17"/>
                <w:szCs w:val="22"/>
                <w:lang w:eastAsia="zh-TW"/>
              </w:rPr>
              <w:t>在香港成立</w:t>
            </w:r>
            <w:proofErr w:type="gramStart"/>
            <w:r w:rsidRPr="00BC269C">
              <w:rPr>
                <w:rFonts w:ascii="Calibri" w:eastAsia="細明體" w:hAnsi="Calibri" w:hint="eastAsia"/>
                <w:sz w:val="17"/>
                <w:szCs w:val="22"/>
                <w:lang w:eastAsia="zh-TW"/>
              </w:rPr>
              <w:t>為法團並</w:t>
            </w:r>
            <w:proofErr w:type="gramEnd"/>
            <w:r w:rsidRPr="00BC269C">
              <w:rPr>
                <w:rFonts w:ascii="Calibri" w:eastAsia="細明體" w:hAnsi="Calibri" w:hint="eastAsia"/>
                <w:sz w:val="17"/>
                <w:szCs w:val="22"/>
                <w:lang w:eastAsia="zh-TW"/>
              </w:rPr>
              <w:t>使用</w:t>
            </w:r>
            <w:r w:rsidRPr="00BC269C">
              <w:rPr>
                <w:rFonts w:ascii="Calibri" w:eastAsia="細明體" w:hAnsi="Calibri"/>
                <w:sz w:val="17"/>
                <w:szCs w:val="22"/>
                <w:lang w:eastAsia="zh-TW"/>
              </w:rPr>
              <w:t>IMM(CCR)</w:t>
            </w:r>
            <w:r w:rsidRPr="00BC269C">
              <w:rPr>
                <w:rFonts w:ascii="Calibri" w:eastAsia="細明體" w:hAnsi="Calibri" w:hint="eastAsia"/>
                <w:sz w:val="17"/>
                <w:szCs w:val="22"/>
                <w:lang w:eastAsia="zh-TW"/>
              </w:rPr>
              <w:t>計算法</w:t>
            </w:r>
            <w:proofErr w:type="gramStart"/>
            <w:r w:rsidRPr="00BC269C">
              <w:rPr>
                <w:rFonts w:ascii="Calibri" w:eastAsia="細明體" w:hAnsi="Calibri" w:hint="eastAsia"/>
                <w:sz w:val="17"/>
                <w:szCs w:val="22"/>
                <w:lang w:eastAsia="zh-TW"/>
              </w:rPr>
              <w:t>計量違責風險</w:t>
            </w:r>
            <w:proofErr w:type="gramEnd"/>
            <w:r w:rsidRPr="00BC269C">
              <w:rPr>
                <w:rFonts w:ascii="Calibri" w:eastAsia="細明體" w:hAnsi="Calibri" w:hint="eastAsia"/>
                <w:sz w:val="17"/>
                <w:szCs w:val="22"/>
                <w:lang w:eastAsia="zh-TW"/>
              </w:rPr>
              <w:t>的風險承擔</w:t>
            </w:r>
            <w:r w:rsidRPr="00BC269C">
              <w:rPr>
                <w:rFonts w:ascii="Calibri" w:eastAsia="細明體" w:hAnsi="Calibri"/>
                <w:sz w:val="17"/>
                <w:szCs w:val="22"/>
                <w:lang w:eastAsia="zh-TW"/>
              </w:rPr>
              <w:t>的認可機構</w:t>
            </w:r>
            <w:r w:rsidRPr="00BC269C">
              <w:rPr>
                <w:rFonts w:ascii="Calibri" w:eastAsia="細明體" w:hAnsi="Calibri" w:hint="eastAsia"/>
                <w:sz w:val="17"/>
                <w:szCs w:val="22"/>
                <w:lang w:eastAsia="zh-TW"/>
              </w:rPr>
              <w:t>，不論使用何種信用風險計算法以</w:t>
            </w:r>
            <w:proofErr w:type="gramStart"/>
            <w:r w:rsidRPr="00BC269C">
              <w:rPr>
                <w:rFonts w:ascii="Calibri" w:eastAsia="細明體" w:hAnsi="Calibri" w:hint="eastAsia"/>
                <w:sz w:val="17"/>
                <w:szCs w:val="22"/>
                <w:lang w:eastAsia="zh-TW"/>
              </w:rPr>
              <w:t>計算違責風險</w:t>
            </w:r>
            <w:proofErr w:type="gramEnd"/>
            <w:r w:rsidRPr="00BC269C">
              <w:rPr>
                <w:rFonts w:ascii="Calibri" w:eastAsia="細明體" w:hAnsi="Calibri" w:hint="eastAsia"/>
                <w:sz w:val="17"/>
                <w:szCs w:val="22"/>
                <w:lang w:eastAsia="zh-TW"/>
              </w:rPr>
              <w:t>的風險承擔的風險加權數額，</w:t>
            </w:r>
            <w:proofErr w:type="gramStart"/>
            <w:r w:rsidRPr="00BC269C">
              <w:rPr>
                <w:rFonts w:ascii="Calibri" w:eastAsia="細明體" w:hAnsi="Calibri" w:hint="eastAsia"/>
                <w:sz w:val="17"/>
                <w:szCs w:val="22"/>
                <w:lang w:eastAsia="zh-TW"/>
              </w:rPr>
              <w:t>均須填報本模</w:t>
            </w:r>
            <w:proofErr w:type="gramEnd"/>
            <w:r w:rsidRPr="00BC269C">
              <w:rPr>
                <w:rFonts w:ascii="Calibri" w:eastAsia="細明體" w:hAnsi="Calibri" w:hint="eastAsia"/>
                <w:sz w:val="17"/>
                <w:szCs w:val="22"/>
                <w:lang w:eastAsia="zh-TW"/>
              </w:rPr>
              <w:t>版。</w:t>
            </w:r>
          </w:p>
        </w:tc>
      </w:tr>
      <w:tr w:rsidR="00BC269C" w:rsidRPr="00BC269C" w14:paraId="615B05A3" w14:textId="77777777" w:rsidTr="0029639E">
        <w:tc>
          <w:tcPr>
            <w:tcW w:w="2160" w:type="dxa"/>
          </w:tcPr>
          <w:p w14:paraId="4BE89024" w14:textId="77777777" w:rsidR="00BC269C" w:rsidRPr="00BC269C" w:rsidRDefault="00BC269C" w:rsidP="00BC269C">
            <w:pPr>
              <w:spacing w:before="40" w:after="40" w:line="259" w:lineRule="auto"/>
              <w:rPr>
                <w:rFonts w:ascii="Calibri" w:eastAsia="細明體" w:hAnsi="Calibri"/>
                <w:b/>
                <w:sz w:val="17"/>
                <w:szCs w:val="22"/>
                <w:lang w:eastAsia="en-GB"/>
              </w:rPr>
            </w:pPr>
            <w:proofErr w:type="spellStart"/>
            <w:r w:rsidRPr="00BC269C">
              <w:rPr>
                <w:rFonts w:ascii="Calibri" w:eastAsia="細明體" w:hAnsi="Calibri" w:hint="eastAsia"/>
                <w:b/>
                <w:sz w:val="17"/>
                <w:szCs w:val="22"/>
                <w:lang w:eastAsia="en-GB"/>
              </w:rPr>
              <w:t>內容</w:t>
            </w:r>
            <w:proofErr w:type="spellEnd"/>
            <w:r w:rsidRPr="00BC269C">
              <w:rPr>
                <w:rFonts w:ascii="Calibri" w:eastAsia="細明體" w:hAnsi="Calibri" w:hint="eastAsia"/>
                <w:b/>
                <w:sz w:val="17"/>
                <w:szCs w:val="22"/>
                <w:lang w:eastAsia="en-GB"/>
              </w:rPr>
              <w:t>：</w:t>
            </w:r>
            <w:r w:rsidRPr="00BC269C">
              <w:rPr>
                <w:rFonts w:ascii="Calibri" w:eastAsia="細明體" w:hAnsi="Calibri"/>
                <w:b/>
                <w:sz w:val="17"/>
                <w:szCs w:val="22"/>
                <w:lang w:eastAsia="en-GB"/>
              </w:rPr>
              <w:t xml:space="preserve"> </w:t>
            </w:r>
          </w:p>
        </w:tc>
        <w:tc>
          <w:tcPr>
            <w:tcW w:w="7088" w:type="dxa"/>
          </w:tcPr>
          <w:p w14:paraId="33EE8B19" w14:textId="77777777" w:rsidR="00BC269C" w:rsidRPr="00BC269C" w:rsidRDefault="00BC269C" w:rsidP="00BC269C">
            <w:pPr>
              <w:spacing w:before="40" w:after="40" w:line="259" w:lineRule="auto"/>
              <w:jc w:val="both"/>
              <w:rPr>
                <w:rFonts w:ascii="Calibri" w:eastAsia="細明體" w:hAnsi="Calibri"/>
                <w:b/>
                <w:sz w:val="17"/>
                <w:szCs w:val="22"/>
                <w:lang w:eastAsia="zh-TW"/>
              </w:rPr>
            </w:pPr>
            <w:proofErr w:type="gramStart"/>
            <w:r w:rsidRPr="00BC269C">
              <w:rPr>
                <w:rFonts w:ascii="Calibri" w:eastAsia="細明體" w:hAnsi="Calibri" w:hint="eastAsia"/>
                <w:sz w:val="17"/>
                <w:szCs w:val="22"/>
                <w:lang w:eastAsia="zh-TW"/>
              </w:rPr>
              <w:t>違責風險</w:t>
            </w:r>
            <w:proofErr w:type="gramEnd"/>
            <w:r w:rsidRPr="00BC269C">
              <w:rPr>
                <w:rFonts w:ascii="Calibri" w:eastAsia="細明體" w:hAnsi="Calibri" w:hint="eastAsia"/>
                <w:sz w:val="17"/>
                <w:szCs w:val="22"/>
                <w:lang w:eastAsia="zh-TW"/>
              </w:rPr>
              <w:t>的風險承擔的風險加權數額（即不包括在模版</w:t>
            </w:r>
            <w:r w:rsidRPr="00BC269C">
              <w:rPr>
                <w:rFonts w:ascii="Calibri" w:eastAsia="細明體" w:hAnsi="Calibri"/>
                <w:sz w:val="17"/>
                <w:szCs w:val="22"/>
                <w:lang w:eastAsia="zh-TW"/>
              </w:rPr>
              <w:t>CR8</w:t>
            </w:r>
            <w:r w:rsidRPr="00BC269C">
              <w:rPr>
                <w:rFonts w:ascii="Calibri" w:eastAsia="細明體" w:hAnsi="Calibri" w:hint="eastAsia"/>
                <w:sz w:val="17"/>
                <w:szCs w:val="22"/>
                <w:lang w:eastAsia="zh-TW"/>
              </w:rPr>
              <w:t>所披露的信用風險）。在現行報告期內每項主要驅動因素引致的風險加權數額的改變，應以認可機構對該</w:t>
            </w:r>
            <w:r w:rsidRPr="00BC269C">
              <w:rPr>
                <w:rFonts w:ascii="Calibri" w:eastAsia="細明體" w:hAnsi="Calibri"/>
                <w:sz w:val="17"/>
                <w:szCs w:val="22"/>
                <w:lang w:eastAsia="zh-TW"/>
              </w:rPr>
              <w:t>數字的</w:t>
            </w:r>
            <w:r w:rsidRPr="00BC269C">
              <w:rPr>
                <w:rFonts w:ascii="Calibri" w:eastAsia="細明體" w:hAnsi="Calibri" w:hint="eastAsia"/>
                <w:sz w:val="17"/>
                <w:szCs w:val="22"/>
                <w:lang w:eastAsia="zh-TW"/>
              </w:rPr>
              <w:t>合理估計為依據。</w:t>
            </w:r>
          </w:p>
        </w:tc>
      </w:tr>
      <w:tr w:rsidR="00BC269C" w:rsidRPr="00BC269C" w14:paraId="0A6CA1D0" w14:textId="77777777" w:rsidTr="0029639E">
        <w:tc>
          <w:tcPr>
            <w:tcW w:w="2160" w:type="dxa"/>
          </w:tcPr>
          <w:p w14:paraId="7BF429F5" w14:textId="77777777" w:rsidR="00BC269C" w:rsidRPr="00BC269C" w:rsidRDefault="00BC269C" w:rsidP="00BC269C">
            <w:pPr>
              <w:spacing w:before="40" w:after="40" w:line="259" w:lineRule="auto"/>
              <w:rPr>
                <w:rFonts w:ascii="Calibri" w:eastAsia="細明體" w:hAnsi="Calibri"/>
                <w:sz w:val="17"/>
                <w:szCs w:val="22"/>
                <w:lang w:eastAsia="en-GB"/>
              </w:rPr>
            </w:pPr>
            <w:proofErr w:type="spellStart"/>
            <w:r w:rsidRPr="00BC269C">
              <w:rPr>
                <w:rFonts w:ascii="Calibri" w:eastAsia="細明體" w:hAnsi="Calibri" w:hint="eastAsia"/>
                <w:b/>
                <w:sz w:val="17"/>
                <w:szCs w:val="22"/>
                <w:lang w:eastAsia="en-GB"/>
              </w:rPr>
              <w:t>頻密程度</w:t>
            </w:r>
            <w:proofErr w:type="spellEnd"/>
            <w:r w:rsidRPr="00BC269C">
              <w:rPr>
                <w:rFonts w:ascii="Calibri" w:eastAsia="細明體" w:hAnsi="Calibri" w:hint="eastAsia"/>
                <w:b/>
                <w:sz w:val="17"/>
                <w:szCs w:val="22"/>
                <w:lang w:eastAsia="en-GB"/>
              </w:rPr>
              <w:t>：</w:t>
            </w:r>
            <w:r w:rsidRPr="00BC269C">
              <w:rPr>
                <w:rFonts w:ascii="Calibri" w:eastAsia="細明體" w:hAnsi="Calibri"/>
                <w:sz w:val="17"/>
                <w:szCs w:val="22"/>
                <w:lang w:eastAsia="en-GB"/>
              </w:rPr>
              <w:t xml:space="preserve"> </w:t>
            </w:r>
          </w:p>
        </w:tc>
        <w:tc>
          <w:tcPr>
            <w:tcW w:w="7088" w:type="dxa"/>
          </w:tcPr>
          <w:p w14:paraId="60FAA3D9" w14:textId="77777777" w:rsidR="00BC269C" w:rsidRPr="00BC269C" w:rsidRDefault="00BC269C" w:rsidP="00BC269C">
            <w:pPr>
              <w:spacing w:before="40" w:after="40" w:line="259" w:lineRule="auto"/>
              <w:jc w:val="both"/>
              <w:rPr>
                <w:rFonts w:ascii="Calibri" w:eastAsia="細明體" w:hAnsi="Calibri"/>
                <w:sz w:val="17"/>
                <w:szCs w:val="22"/>
                <w:lang w:eastAsia="en-GB"/>
              </w:rPr>
            </w:pPr>
            <w:proofErr w:type="spellStart"/>
            <w:r w:rsidRPr="00BC269C">
              <w:rPr>
                <w:rFonts w:ascii="Calibri" w:eastAsia="細明體" w:hAnsi="Calibri" w:hint="eastAsia"/>
                <w:sz w:val="17"/>
                <w:szCs w:val="22"/>
                <w:lang w:eastAsia="en-GB"/>
              </w:rPr>
              <w:t>每季一次</w:t>
            </w:r>
            <w:proofErr w:type="spellEnd"/>
            <w:r w:rsidRPr="00BC269C">
              <w:rPr>
                <w:rFonts w:ascii="Calibri" w:eastAsia="細明體" w:hAnsi="Calibri"/>
                <w:sz w:val="17"/>
                <w:szCs w:val="17"/>
                <w:lang w:eastAsia="zh-TW"/>
              </w:rPr>
              <w:t>。</w:t>
            </w:r>
          </w:p>
        </w:tc>
      </w:tr>
      <w:tr w:rsidR="00BC269C" w:rsidRPr="00BC269C" w14:paraId="624948CE" w14:textId="77777777" w:rsidTr="0029639E">
        <w:tc>
          <w:tcPr>
            <w:tcW w:w="2160" w:type="dxa"/>
          </w:tcPr>
          <w:p w14:paraId="04886436" w14:textId="77777777" w:rsidR="00BC269C" w:rsidRPr="00BC269C" w:rsidRDefault="00BC269C" w:rsidP="00BC269C">
            <w:pPr>
              <w:spacing w:before="40" w:after="40" w:line="259" w:lineRule="auto"/>
              <w:rPr>
                <w:rFonts w:ascii="Calibri" w:eastAsia="細明體" w:hAnsi="Calibri"/>
                <w:sz w:val="17"/>
                <w:szCs w:val="22"/>
                <w:lang w:eastAsia="en-GB"/>
              </w:rPr>
            </w:pPr>
            <w:proofErr w:type="spellStart"/>
            <w:r w:rsidRPr="00BC269C">
              <w:rPr>
                <w:rFonts w:ascii="Calibri" w:eastAsia="細明體" w:hAnsi="Calibri" w:hint="eastAsia"/>
                <w:b/>
                <w:sz w:val="17"/>
                <w:szCs w:val="22"/>
                <w:lang w:eastAsia="en-GB"/>
              </w:rPr>
              <w:t>格式</w:t>
            </w:r>
            <w:proofErr w:type="spellEnd"/>
            <w:r w:rsidRPr="00BC269C">
              <w:rPr>
                <w:rFonts w:ascii="Calibri" w:eastAsia="細明體" w:hAnsi="Calibri" w:hint="eastAsia"/>
                <w:b/>
                <w:sz w:val="17"/>
                <w:szCs w:val="22"/>
                <w:lang w:eastAsia="en-GB"/>
              </w:rPr>
              <w:t>：</w:t>
            </w:r>
            <w:r w:rsidRPr="00BC269C">
              <w:rPr>
                <w:rFonts w:ascii="Calibri" w:eastAsia="細明體" w:hAnsi="Calibri"/>
                <w:sz w:val="17"/>
                <w:szCs w:val="22"/>
                <w:lang w:eastAsia="en-GB"/>
              </w:rPr>
              <w:t xml:space="preserve"> </w:t>
            </w:r>
          </w:p>
        </w:tc>
        <w:tc>
          <w:tcPr>
            <w:tcW w:w="7088" w:type="dxa"/>
          </w:tcPr>
          <w:p w14:paraId="7F790F34" w14:textId="77777777" w:rsidR="00BC269C" w:rsidRPr="00BC269C" w:rsidRDefault="00BC269C" w:rsidP="00BC269C">
            <w:pPr>
              <w:spacing w:before="40" w:after="40" w:line="259" w:lineRule="auto"/>
              <w:jc w:val="both"/>
              <w:rPr>
                <w:rFonts w:ascii="Calibri" w:eastAsia="細明體" w:hAnsi="Calibri"/>
                <w:sz w:val="17"/>
                <w:szCs w:val="22"/>
                <w:lang w:eastAsia="zh-TW"/>
              </w:rPr>
            </w:pPr>
            <w:r w:rsidRPr="00BC269C">
              <w:rPr>
                <w:rFonts w:ascii="Calibri" w:eastAsia="細明體" w:hAnsi="Calibri" w:hint="eastAsia"/>
                <w:sz w:val="17"/>
                <w:szCs w:val="22"/>
                <w:lang w:eastAsia="zh-TW"/>
              </w:rPr>
              <w:t>固定。</w:t>
            </w:r>
            <w:r w:rsidRPr="00BC269C">
              <w:rPr>
                <w:rFonts w:ascii="Calibri" w:eastAsia="細明體" w:hAnsi="Calibri"/>
                <w:sz w:val="17"/>
                <w:szCs w:val="22"/>
                <w:lang w:eastAsia="zh-TW"/>
              </w:rPr>
              <w:t>欄及</w:t>
            </w:r>
            <w:r w:rsidRPr="00BC269C">
              <w:rPr>
                <w:rFonts w:ascii="Calibri" w:eastAsia="細明體" w:hAnsi="Calibri" w:hint="eastAsia"/>
                <w:sz w:val="17"/>
                <w:szCs w:val="17"/>
                <w:lang w:eastAsia="zh-TW"/>
              </w:rPr>
              <w:t>第</w:t>
            </w:r>
            <w:r w:rsidRPr="00BC269C">
              <w:rPr>
                <w:rFonts w:ascii="Calibri" w:eastAsia="細明體" w:hAnsi="Calibri"/>
                <w:sz w:val="17"/>
                <w:szCs w:val="22"/>
                <w:lang w:eastAsia="zh-TW"/>
              </w:rPr>
              <w:t>1</w:t>
            </w:r>
            <w:r w:rsidRPr="00BC269C">
              <w:rPr>
                <w:rFonts w:ascii="Calibri" w:eastAsia="細明體" w:hAnsi="Calibri" w:hint="eastAsia"/>
                <w:sz w:val="17"/>
                <w:szCs w:val="22"/>
                <w:lang w:eastAsia="zh-TW"/>
              </w:rPr>
              <w:t>、</w:t>
            </w:r>
            <w:r w:rsidRPr="00BC269C">
              <w:rPr>
                <w:rFonts w:ascii="Calibri" w:eastAsia="細明體" w:hAnsi="Calibri"/>
                <w:sz w:val="17"/>
                <w:szCs w:val="22"/>
                <w:lang w:eastAsia="zh-TW"/>
              </w:rPr>
              <w:t>9</w:t>
            </w:r>
            <w:r w:rsidRPr="00BC269C">
              <w:rPr>
                <w:rFonts w:ascii="Calibri" w:eastAsia="細明體" w:hAnsi="Calibri"/>
                <w:sz w:val="17"/>
                <w:szCs w:val="17"/>
                <w:lang w:eastAsia="zh-TW"/>
              </w:rPr>
              <w:t>行</w:t>
            </w:r>
            <w:r w:rsidRPr="00BC269C">
              <w:rPr>
                <w:rFonts w:ascii="Calibri" w:eastAsia="細明體" w:hAnsi="Calibri" w:hint="eastAsia"/>
                <w:sz w:val="17"/>
                <w:szCs w:val="22"/>
                <w:lang w:eastAsia="zh-TW"/>
              </w:rPr>
              <w:t>不得更改。認可機構應在</w:t>
            </w:r>
            <w:r w:rsidRPr="00BC269C">
              <w:rPr>
                <w:rFonts w:ascii="Calibri" w:eastAsia="細明體" w:hAnsi="Calibri" w:hint="eastAsia"/>
                <w:sz w:val="17"/>
                <w:szCs w:val="17"/>
                <w:lang w:eastAsia="zh-TW"/>
              </w:rPr>
              <w:t>第</w:t>
            </w:r>
            <w:r w:rsidRPr="00BC269C">
              <w:rPr>
                <w:rFonts w:ascii="Calibri" w:eastAsia="細明體" w:hAnsi="Calibri"/>
                <w:sz w:val="17"/>
                <w:szCs w:val="22"/>
                <w:lang w:eastAsia="zh-TW"/>
              </w:rPr>
              <w:t>7</w:t>
            </w:r>
            <w:r w:rsidRPr="00BC269C">
              <w:rPr>
                <w:rFonts w:ascii="Calibri" w:eastAsia="細明體" w:hAnsi="Calibri" w:hint="eastAsia"/>
                <w:sz w:val="17"/>
                <w:szCs w:val="22"/>
                <w:lang w:eastAsia="zh-TW"/>
              </w:rPr>
              <w:t>與</w:t>
            </w:r>
            <w:r w:rsidRPr="00BC269C">
              <w:rPr>
                <w:rFonts w:ascii="Calibri" w:eastAsia="細明體" w:hAnsi="Calibri"/>
                <w:sz w:val="17"/>
                <w:szCs w:val="22"/>
                <w:lang w:eastAsia="zh-TW"/>
              </w:rPr>
              <w:t>8</w:t>
            </w:r>
            <w:r w:rsidRPr="00BC269C">
              <w:rPr>
                <w:rFonts w:ascii="Calibri" w:eastAsia="細明體" w:hAnsi="Calibri"/>
                <w:sz w:val="17"/>
                <w:szCs w:val="17"/>
                <w:lang w:eastAsia="zh-TW"/>
              </w:rPr>
              <w:t>行</w:t>
            </w:r>
            <w:r w:rsidRPr="00BC269C">
              <w:rPr>
                <w:rFonts w:ascii="Calibri" w:eastAsia="細明體" w:hAnsi="Calibri" w:hint="eastAsia"/>
                <w:sz w:val="17"/>
                <w:szCs w:val="22"/>
                <w:lang w:eastAsia="zh-TW"/>
              </w:rPr>
              <w:t>之間加入附加行，以披露任何在重大程度上引致風險加權數額變動的額外元素。</w:t>
            </w:r>
          </w:p>
        </w:tc>
      </w:tr>
      <w:tr w:rsidR="00BC269C" w:rsidRPr="00BC269C" w14:paraId="7C13D2D8" w14:textId="77777777" w:rsidTr="0029639E">
        <w:tc>
          <w:tcPr>
            <w:tcW w:w="2160" w:type="dxa"/>
          </w:tcPr>
          <w:p w14:paraId="307AFE0C" w14:textId="77777777" w:rsidR="00BC269C" w:rsidRPr="00BC269C" w:rsidRDefault="00BC269C" w:rsidP="00BC269C">
            <w:pPr>
              <w:spacing w:before="40" w:after="40" w:line="259" w:lineRule="auto"/>
              <w:rPr>
                <w:rFonts w:ascii="Calibri" w:eastAsia="細明體" w:hAnsi="Calibri"/>
                <w:b/>
                <w:sz w:val="17"/>
                <w:szCs w:val="22"/>
                <w:lang w:eastAsia="en-GB"/>
              </w:rPr>
            </w:pPr>
            <w:proofErr w:type="spellStart"/>
            <w:r w:rsidRPr="00BC269C">
              <w:rPr>
                <w:rFonts w:ascii="Calibri" w:eastAsia="細明體" w:hAnsi="Calibri" w:hint="eastAsia"/>
                <w:b/>
                <w:sz w:val="17"/>
                <w:szCs w:val="17"/>
                <w:lang w:eastAsia="en-GB"/>
              </w:rPr>
              <w:t>附加說明</w:t>
            </w:r>
            <w:proofErr w:type="spellEnd"/>
            <w:r w:rsidRPr="00BC269C">
              <w:rPr>
                <w:rFonts w:ascii="Calibri" w:eastAsia="細明體" w:hAnsi="Calibri" w:hint="eastAsia"/>
                <w:b/>
                <w:sz w:val="17"/>
                <w:szCs w:val="17"/>
                <w:lang w:eastAsia="en-GB"/>
              </w:rPr>
              <w:t>：</w:t>
            </w:r>
          </w:p>
        </w:tc>
        <w:tc>
          <w:tcPr>
            <w:tcW w:w="7088" w:type="dxa"/>
          </w:tcPr>
          <w:p w14:paraId="7970EBD2" w14:textId="4DE694B7" w:rsidR="00BC269C" w:rsidRPr="00BC269C" w:rsidRDefault="00BC269C" w:rsidP="00872CF6">
            <w:pPr>
              <w:spacing w:before="40" w:after="40" w:line="259" w:lineRule="auto"/>
              <w:jc w:val="both"/>
              <w:rPr>
                <w:rFonts w:ascii="Calibri" w:eastAsia="細明體" w:hAnsi="Calibri"/>
                <w:noProof/>
                <w:sz w:val="17"/>
                <w:szCs w:val="22"/>
                <w:lang w:eastAsia="zh-TW"/>
              </w:rPr>
            </w:pPr>
            <w:r w:rsidRPr="00BC269C">
              <w:rPr>
                <w:rFonts w:ascii="Calibri" w:eastAsia="細明體" w:hAnsi="Calibri" w:hint="eastAsia"/>
                <w:sz w:val="17"/>
                <w:szCs w:val="17"/>
                <w:lang w:eastAsia="zh-TW"/>
              </w:rPr>
              <w:t>認可機構應以敘述評</w:t>
            </w:r>
            <w:proofErr w:type="gramStart"/>
            <w:r w:rsidRPr="00BC269C">
              <w:rPr>
                <w:rFonts w:ascii="Calibri" w:eastAsia="細明體" w:hAnsi="Calibri" w:hint="eastAsia"/>
                <w:sz w:val="17"/>
                <w:szCs w:val="17"/>
                <w:lang w:eastAsia="zh-TW"/>
              </w:rPr>
              <w:t>註</w:t>
            </w:r>
            <w:proofErr w:type="gramEnd"/>
            <w:r w:rsidRPr="00BC269C">
              <w:rPr>
                <w:rFonts w:ascii="Calibri" w:eastAsia="細明體" w:hAnsi="Calibri" w:hint="eastAsia"/>
                <w:sz w:val="17"/>
                <w:szCs w:val="17"/>
                <w:lang w:eastAsia="zh-TW"/>
              </w:rPr>
              <w:t>闡明現行報告期內的任何重大</w:t>
            </w:r>
            <w:r w:rsidR="00872CF6" w:rsidRPr="00872CF6">
              <w:rPr>
                <w:rFonts w:ascii="Calibri" w:eastAsia="細明體" w:hAnsi="Calibri" w:hint="eastAsia"/>
                <w:sz w:val="17"/>
                <w:szCs w:val="17"/>
                <w:lang w:eastAsia="zh-TW"/>
              </w:rPr>
              <w:t>改</w:t>
            </w:r>
            <w:r w:rsidRPr="00BC269C">
              <w:rPr>
                <w:rFonts w:ascii="Calibri" w:eastAsia="細明體" w:hAnsi="Calibri" w:hint="eastAsia"/>
                <w:sz w:val="17"/>
                <w:szCs w:val="17"/>
                <w:lang w:eastAsia="zh-TW"/>
              </w:rPr>
              <w:t>變及引致該等</w:t>
            </w:r>
            <w:r w:rsidR="00872CF6" w:rsidRPr="00872CF6">
              <w:rPr>
                <w:rFonts w:ascii="Calibri" w:eastAsia="細明體" w:hAnsi="Calibri" w:hint="eastAsia"/>
                <w:sz w:val="17"/>
                <w:szCs w:val="17"/>
                <w:lang w:eastAsia="zh-TW"/>
              </w:rPr>
              <w:t>改</w:t>
            </w:r>
            <w:r w:rsidRPr="00BC269C">
              <w:rPr>
                <w:rFonts w:ascii="Calibri" w:eastAsia="細明體" w:hAnsi="Calibri" w:hint="eastAsia"/>
                <w:sz w:val="17"/>
                <w:szCs w:val="17"/>
                <w:lang w:eastAsia="zh-TW"/>
              </w:rPr>
              <w:t>變的主要驅動因素，以</w:t>
            </w:r>
            <w:proofErr w:type="gramStart"/>
            <w:r w:rsidRPr="00BC269C">
              <w:rPr>
                <w:rFonts w:ascii="Calibri" w:eastAsia="細明體" w:hAnsi="Calibri" w:hint="eastAsia"/>
                <w:sz w:val="17"/>
                <w:szCs w:val="17"/>
                <w:lang w:eastAsia="zh-TW"/>
              </w:rPr>
              <w:t>補充本模版</w:t>
            </w:r>
            <w:proofErr w:type="gramEnd"/>
            <w:r w:rsidRPr="00BC269C">
              <w:rPr>
                <w:rFonts w:ascii="Calibri" w:eastAsia="細明體" w:hAnsi="Calibri" w:hint="eastAsia"/>
                <w:sz w:val="17"/>
                <w:szCs w:val="17"/>
                <w:lang w:eastAsia="zh-TW"/>
              </w:rPr>
              <w:t>。</w:t>
            </w:r>
          </w:p>
        </w:tc>
      </w:tr>
      <w:tr w:rsidR="00BC269C" w:rsidRPr="00BC269C" w14:paraId="6992BE40" w14:textId="77777777" w:rsidTr="0029639E">
        <w:tc>
          <w:tcPr>
            <w:tcW w:w="2160" w:type="dxa"/>
          </w:tcPr>
          <w:p w14:paraId="1F8C968A" w14:textId="77777777" w:rsidR="00BC269C" w:rsidRPr="00BC269C" w:rsidRDefault="00BC269C" w:rsidP="00BC269C">
            <w:pPr>
              <w:spacing w:before="40" w:after="40" w:line="259" w:lineRule="auto"/>
              <w:rPr>
                <w:rFonts w:ascii="Calibri" w:eastAsia="細明體" w:hAnsi="Calibri"/>
                <w:b/>
                <w:sz w:val="17"/>
                <w:szCs w:val="17"/>
                <w:lang w:eastAsia="zh-TW"/>
              </w:rPr>
            </w:pPr>
            <w:r w:rsidRPr="00BC269C">
              <w:rPr>
                <w:rFonts w:ascii="Calibri" w:eastAsia="細明體" w:hAnsi="Calibri" w:hint="eastAsia"/>
                <w:b/>
                <w:sz w:val="17"/>
                <w:szCs w:val="17"/>
                <w:lang w:eastAsia="zh-TW"/>
              </w:rPr>
              <w:t>《披露規則》相應條文：</w:t>
            </w:r>
          </w:p>
        </w:tc>
        <w:tc>
          <w:tcPr>
            <w:tcW w:w="7088" w:type="dxa"/>
          </w:tcPr>
          <w:p w14:paraId="6F77FF87" w14:textId="77777777" w:rsidR="00BC269C" w:rsidRPr="00BC269C" w:rsidRDefault="00BC269C" w:rsidP="00BC269C">
            <w:pPr>
              <w:spacing w:before="40" w:after="40" w:line="259" w:lineRule="auto"/>
              <w:jc w:val="both"/>
              <w:rPr>
                <w:rFonts w:ascii="Calibri" w:eastAsia="細明體" w:hAnsi="Calibri"/>
                <w:sz w:val="17"/>
                <w:szCs w:val="17"/>
                <w:lang w:eastAsia="en-GB"/>
              </w:rPr>
            </w:pPr>
            <w:r w:rsidRPr="00BC269C">
              <w:rPr>
                <w:rFonts w:ascii="Calibri" w:eastAsia="細明體" w:hAnsi="Calibri"/>
                <w:sz w:val="17"/>
                <w:szCs w:val="17"/>
                <w:lang w:eastAsia="zh-CN"/>
              </w:rPr>
              <w:t>16ZC</w:t>
            </w:r>
          </w:p>
        </w:tc>
      </w:tr>
    </w:tbl>
    <w:p w14:paraId="3D997FC8" w14:textId="77777777" w:rsidR="00BC269C" w:rsidRPr="00BC269C" w:rsidRDefault="00BC269C" w:rsidP="00BC269C">
      <w:pPr>
        <w:spacing w:line="259" w:lineRule="auto"/>
        <w:rPr>
          <w:rFonts w:ascii="Calibri" w:eastAsia="細明體" w:hAnsi="Calibri"/>
          <w:sz w:val="22"/>
          <w:szCs w:val="22"/>
        </w:rPr>
      </w:pPr>
    </w:p>
    <w:tbl>
      <w:tblPr>
        <w:tblW w:w="9242"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425"/>
        <w:gridCol w:w="7600"/>
        <w:gridCol w:w="1217"/>
      </w:tblGrid>
      <w:tr w:rsidR="00BC269C" w:rsidRPr="00BC269C" w14:paraId="40CA6047" w14:textId="77777777" w:rsidTr="00E932DC">
        <w:trPr>
          <w:cantSplit/>
          <w:trHeight w:val="107"/>
          <w:tblHeader/>
        </w:trPr>
        <w:tc>
          <w:tcPr>
            <w:tcW w:w="425" w:type="dxa"/>
            <w:tcBorders>
              <w:top w:val="nil"/>
              <w:left w:val="nil"/>
              <w:bottom w:val="nil"/>
              <w:right w:val="nil"/>
            </w:tcBorders>
          </w:tcPr>
          <w:p w14:paraId="44C7F007" w14:textId="77777777" w:rsidR="00BC269C" w:rsidRPr="00BC269C" w:rsidRDefault="00BC269C" w:rsidP="00BC269C">
            <w:pPr>
              <w:snapToGrid w:val="0"/>
              <w:spacing w:before="40" w:after="40" w:line="259" w:lineRule="auto"/>
              <w:ind w:leftChars="-54" w:left="-108"/>
              <w:rPr>
                <w:rFonts w:ascii="Calibri" w:eastAsia="細明體" w:hAnsi="Calibri"/>
                <w:sz w:val="17"/>
                <w:szCs w:val="22"/>
                <w:lang w:eastAsia="en-GB"/>
              </w:rPr>
            </w:pPr>
          </w:p>
        </w:tc>
        <w:tc>
          <w:tcPr>
            <w:tcW w:w="7600" w:type="dxa"/>
            <w:tcBorders>
              <w:top w:val="nil"/>
              <w:left w:val="nil"/>
              <w:bottom w:val="nil"/>
              <w:right w:val="single" w:sz="4" w:space="0" w:color="auto"/>
            </w:tcBorders>
            <w:vAlign w:val="center"/>
          </w:tcPr>
          <w:p w14:paraId="45500440" w14:textId="77777777" w:rsidR="00BC269C" w:rsidRPr="00BC269C" w:rsidRDefault="00BC269C" w:rsidP="00BC269C">
            <w:pPr>
              <w:snapToGrid w:val="0"/>
              <w:spacing w:before="40" w:after="40" w:line="259" w:lineRule="auto"/>
              <w:ind w:leftChars="-621" w:left="-1242"/>
              <w:rPr>
                <w:rFonts w:ascii="Calibri" w:eastAsia="細明體" w:hAnsi="Calibri"/>
                <w:sz w:val="17"/>
                <w:szCs w:val="22"/>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29BFDE92" w14:textId="77777777" w:rsidR="00BC269C" w:rsidRPr="00BC269C" w:rsidRDefault="00BC269C" w:rsidP="00BC269C">
            <w:pPr>
              <w:snapToGrid w:val="0"/>
              <w:spacing w:before="40" w:after="40" w:line="259" w:lineRule="auto"/>
              <w:jc w:val="center"/>
              <w:rPr>
                <w:rFonts w:ascii="Calibri" w:eastAsia="細明體" w:hAnsi="Calibri"/>
                <w:bCs/>
                <w:sz w:val="17"/>
                <w:szCs w:val="17"/>
                <w:lang w:eastAsia="it-IT"/>
              </w:rPr>
            </w:pPr>
            <w:r w:rsidRPr="00BC269C">
              <w:rPr>
                <w:rFonts w:ascii="Calibri" w:eastAsia="細明體" w:hAnsi="Calibri"/>
                <w:bCs/>
                <w:sz w:val="17"/>
                <w:szCs w:val="17"/>
                <w:lang w:eastAsia="it-IT"/>
              </w:rPr>
              <w:t>(a)</w:t>
            </w:r>
          </w:p>
        </w:tc>
      </w:tr>
      <w:tr w:rsidR="00BC269C" w:rsidRPr="00BC269C" w14:paraId="6221326F" w14:textId="77777777" w:rsidTr="00E932DC">
        <w:trPr>
          <w:cantSplit/>
          <w:tblHeader/>
        </w:trPr>
        <w:tc>
          <w:tcPr>
            <w:tcW w:w="425" w:type="dxa"/>
            <w:tcBorders>
              <w:top w:val="nil"/>
              <w:left w:val="nil"/>
              <w:bottom w:val="single" w:sz="4" w:space="0" w:color="auto"/>
              <w:right w:val="nil"/>
            </w:tcBorders>
          </w:tcPr>
          <w:p w14:paraId="2EDC6A72"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c>
          <w:tcPr>
            <w:tcW w:w="7600" w:type="dxa"/>
            <w:tcBorders>
              <w:top w:val="nil"/>
              <w:left w:val="nil"/>
              <w:bottom w:val="single" w:sz="4" w:space="0" w:color="auto"/>
              <w:right w:val="single" w:sz="4" w:space="0" w:color="auto"/>
            </w:tcBorders>
            <w:vAlign w:val="center"/>
          </w:tcPr>
          <w:p w14:paraId="58EC6B68"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c>
          <w:tcPr>
            <w:tcW w:w="1217" w:type="dxa"/>
            <w:tcBorders>
              <w:top w:val="single" w:sz="4" w:space="0" w:color="auto"/>
              <w:left w:val="single" w:sz="4" w:space="0" w:color="auto"/>
              <w:bottom w:val="single" w:sz="4" w:space="0" w:color="auto"/>
              <w:right w:val="single" w:sz="4" w:space="0" w:color="auto"/>
            </w:tcBorders>
            <w:vAlign w:val="center"/>
          </w:tcPr>
          <w:p w14:paraId="00E16660" w14:textId="77777777" w:rsidR="00BC269C" w:rsidRPr="00BC269C" w:rsidRDefault="00BC269C" w:rsidP="00BC269C">
            <w:pPr>
              <w:snapToGrid w:val="0"/>
              <w:spacing w:before="40" w:after="40" w:line="259" w:lineRule="auto"/>
              <w:jc w:val="center"/>
              <w:rPr>
                <w:rFonts w:ascii="Calibri" w:eastAsia="細明體" w:hAnsi="Calibri"/>
                <w:b/>
                <w:bCs/>
                <w:sz w:val="17"/>
                <w:szCs w:val="17"/>
                <w:lang w:eastAsia="it-IT"/>
              </w:rPr>
            </w:pPr>
            <w:r w:rsidRPr="00BC269C">
              <w:rPr>
                <w:rFonts w:ascii="Calibri" w:eastAsia="細明體" w:hAnsi="Calibri" w:hint="eastAsia"/>
                <w:b/>
                <w:sz w:val="17"/>
                <w:szCs w:val="22"/>
                <w:lang w:eastAsia="zh-TW"/>
              </w:rPr>
              <w:t>數額</w:t>
            </w:r>
          </w:p>
        </w:tc>
      </w:tr>
      <w:tr w:rsidR="00BC269C" w:rsidRPr="00BC269C" w14:paraId="0176A4D2" w14:textId="77777777" w:rsidTr="00E932DC">
        <w:trPr>
          <w:cantSplit/>
          <w:tblHeader/>
        </w:trPr>
        <w:tc>
          <w:tcPr>
            <w:tcW w:w="425" w:type="dxa"/>
            <w:tcBorders>
              <w:top w:val="single" w:sz="4" w:space="0" w:color="auto"/>
              <w:left w:val="nil"/>
              <w:right w:val="single" w:sz="4" w:space="0" w:color="auto"/>
            </w:tcBorders>
          </w:tcPr>
          <w:p w14:paraId="2E98CA0E" w14:textId="77777777" w:rsidR="00BC269C" w:rsidRPr="00BC269C" w:rsidRDefault="00BC269C" w:rsidP="00BC269C">
            <w:pPr>
              <w:snapToGrid w:val="0"/>
              <w:spacing w:before="40" w:after="40" w:line="259" w:lineRule="auto"/>
              <w:rPr>
                <w:rFonts w:ascii="Calibri" w:eastAsia="細明體" w:hAnsi="Calibri"/>
                <w:b/>
                <w:sz w:val="17"/>
                <w:szCs w:val="22"/>
                <w:lang w:eastAsia="en-GB"/>
              </w:rPr>
            </w:pPr>
            <w:r w:rsidRPr="00BC269C">
              <w:rPr>
                <w:rFonts w:ascii="Calibri" w:eastAsia="細明體" w:hAnsi="Calibri"/>
                <w:b/>
                <w:sz w:val="17"/>
                <w:szCs w:val="22"/>
                <w:lang w:eastAsia="en-GB"/>
              </w:rPr>
              <w:t>1</w:t>
            </w:r>
          </w:p>
        </w:tc>
        <w:tc>
          <w:tcPr>
            <w:tcW w:w="7600" w:type="dxa"/>
            <w:tcBorders>
              <w:top w:val="single" w:sz="4" w:space="0" w:color="auto"/>
              <w:left w:val="single" w:sz="4" w:space="0" w:color="auto"/>
              <w:right w:val="single" w:sz="4" w:space="0" w:color="auto"/>
            </w:tcBorders>
            <w:vAlign w:val="center"/>
          </w:tcPr>
          <w:p w14:paraId="368C5873" w14:textId="77777777" w:rsidR="00BC269C" w:rsidRPr="00BC269C" w:rsidRDefault="00BC269C" w:rsidP="00BC269C">
            <w:pPr>
              <w:snapToGrid w:val="0"/>
              <w:spacing w:before="40" w:after="40" w:line="259" w:lineRule="auto"/>
              <w:rPr>
                <w:rFonts w:ascii="Calibri" w:eastAsia="細明體" w:hAnsi="Calibri"/>
                <w:b/>
                <w:noProof/>
                <w:sz w:val="17"/>
                <w:szCs w:val="22"/>
                <w:lang w:eastAsia="zh-TW"/>
              </w:rPr>
            </w:pPr>
            <w:r w:rsidRPr="00BC269C">
              <w:rPr>
                <w:rFonts w:ascii="Calibri" w:eastAsia="細明體" w:hAnsi="Calibri" w:hint="eastAsia"/>
                <w:b/>
                <w:sz w:val="17"/>
                <w:szCs w:val="22"/>
                <w:lang w:eastAsia="zh-TW"/>
              </w:rPr>
              <w:t>上一個報告期</w:t>
            </w:r>
            <w:r w:rsidRPr="00BC269C">
              <w:rPr>
                <w:rFonts w:ascii="Calibri" w:eastAsia="細明體" w:hAnsi="Calibri"/>
                <w:b/>
                <w:sz w:val="17"/>
                <w:szCs w:val="22"/>
                <w:lang w:eastAsia="zh-TW"/>
              </w:rPr>
              <w:t>末風險加權數額</w:t>
            </w:r>
          </w:p>
        </w:tc>
        <w:tc>
          <w:tcPr>
            <w:tcW w:w="1217" w:type="dxa"/>
            <w:tcBorders>
              <w:top w:val="single" w:sz="4" w:space="0" w:color="auto"/>
              <w:left w:val="single" w:sz="4" w:space="0" w:color="auto"/>
              <w:right w:val="single" w:sz="4" w:space="0" w:color="auto"/>
            </w:tcBorders>
            <w:vAlign w:val="center"/>
          </w:tcPr>
          <w:p w14:paraId="4129F3B1" w14:textId="77777777" w:rsidR="00BC269C" w:rsidRPr="00BC269C" w:rsidRDefault="00BC269C" w:rsidP="00BC269C">
            <w:pPr>
              <w:snapToGrid w:val="0"/>
              <w:spacing w:before="40" w:after="40" w:line="259" w:lineRule="auto"/>
              <w:rPr>
                <w:rFonts w:ascii="Calibri" w:eastAsia="細明體" w:hAnsi="Calibri"/>
                <w:bCs/>
                <w:sz w:val="17"/>
                <w:szCs w:val="22"/>
                <w:lang w:eastAsia="zh-TW"/>
              </w:rPr>
            </w:pPr>
          </w:p>
        </w:tc>
      </w:tr>
      <w:tr w:rsidR="00BC269C" w:rsidRPr="00BC269C" w14:paraId="1A2FF6DE" w14:textId="77777777" w:rsidTr="00E932DC">
        <w:trPr>
          <w:cantSplit/>
        </w:trPr>
        <w:tc>
          <w:tcPr>
            <w:tcW w:w="425" w:type="dxa"/>
            <w:tcBorders>
              <w:left w:val="nil"/>
              <w:right w:val="single" w:sz="4" w:space="0" w:color="auto"/>
            </w:tcBorders>
          </w:tcPr>
          <w:p w14:paraId="3F9DC5C2"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sz w:val="17"/>
                <w:szCs w:val="22"/>
                <w:lang w:eastAsia="en-GB"/>
              </w:rPr>
              <w:t>2</w:t>
            </w:r>
          </w:p>
        </w:tc>
        <w:tc>
          <w:tcPr>
            <w:tcW w:w="7600" w:type="dxa"/>
            <w:tcBorders>
              <w:left w:val="single" w:sz="4" w:space="0" w:color="auto"/>
              <w:right w:val="single" w:sz="4" w:space="0" w:color="auto"/>
            </w:tcBorders>
            <w:vAlign w:val="center"/>
          </w:tcPr>
          <w:p w14:paraId="22B88988"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hint="eastAsia"/>
                <w:sz w:val="17"/>
                <w:szCs w:val="22"/>
                <w:lang w:eastAsia="zh-TW"/>
              </w:rPr>
              <w:t>資產規模</w:t>
            </w:r>
          </w:p>
        </w:tc>
        <w:tc>
          <w:tcPr>
            <w:tcW w:w="1217" w:type="dxa"/>
            <w:tcBorders>
              <w:left w:val="single" w:sz="4" w:space="0" w:color="auto"/>
              <w:right w:val="single" w:sz="4" w:space="0" w:color="auto"/>
            </w:tcBorders>
          </w:tcPr>
          <w:p w14:paraId="1C80F47C"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r>
      <w:tr w:rsidR="00BC269C" w:rsidRPr="00BC269C" w14:paraId="40126B05" w14:textId="77777777" w:rsidTr="00E932DC">
        <w:trPr>
          <w:cantSplit/>
        </w:trPr>
        <w:tc>
          <w:tcPr>
            <w:tcW w:w="425" w:type="dxa"/>
            <w:tcBorders>
              <w:left w:val="nil"/>
              <w:right w:val="single" w:sz="4" w:space="0" w:color="auto"/>
            </w:tcBorders>
          </w:tcPr>
          <w:p w14:paraId="3D1E5081"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sz w:val="17"/>
                <w:szCs w:val="22"/>
                <w:lang w:eastAsia="en-GB"/>
              </w:rPr>
              <w:t>3</w:t>
            </w:r>
          </w:p>
        </w:tc>
        <w:tc>
          <w:tcPr>
            <w:tcW w:w="7600" w:type="dxa"/>
            <w:tcBorders>
              <w:left w:val="single" w:sz="4" w:space="0" w:color="auto"/>
              <w:right w:val="single" w:sz="4" w:space="0" w:color="auto"/>
            </w:tcBorders>
            <w:vAlign w:val="center"/>
          </w:tcPr>
          <w:p w14:paraId="4F0344FF"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hint="eastAsia"/>
                <w:sz w:val="17"/>
                <w:szCs w:val="22"/>
                <w:lang w:eastAsia="zh-TW"/>
              </w:rPr>
              <w:t>對手方的信用質素</w:t>
            </w:r>
          </w:p>
        </w:tc>
        <w:tc>
          <w:tcPr>
            <w:tcW w:w="1217" w:type="dxa"/>
            <w:tcBorders>
              <w:left w:val="single" w:sz="4" w:space="0" w:color="auto"/>
              <w:right w:val="single" w:sz="4" w:space="0" w:color="auto"/>
            </w:tcBorders>
          </w:tcPr>
          <w:p w14:paraId="4B7AC633"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r>
      <w:tr w:rsidR="00BC269C" w:rsidRPr="00BC269C" w14:paraId="6C6974CC" w14:textId="77777777" w:rsidTr="00E932DC">
        <w:trPr>
          <w:cantSplit/>
        </w:trPr>
        <w:tc>
          <w:tcPr>
            <w:tcW w:w="425" w:type="dxa"/>
            <w:tcBorders>
              <w:left w:val="nil"/>
              <w:right w:val="single" w:sz="4" w:space="0" w:color="auto"/>
            </w:tcBorders>
          </w:tcPr>
          <w:p w14:paraId="1DA06627"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sz w:val="17"/>
                <w:szCs w:val="22"/>
                <w:lang w:eastAsia="en-GB"/>
              </w:rPr>
              <w:t>4</w:t>
            </w:r>
          </w:p>
        </w:tc>
        <w:tc>
          <w:tcPr>
            <w:tcW w:w="7600" w:type="dxa"/>
            <w:tcBorders>
              <w:left w:val="single" w:sz="4" w:space="0" w:color="auto"/>
              <w:right w:val="single" w:sz="4" w:space="0" w:color="auto"/>
            </w:tcBorders>
            <w:vAlign w:val="center"/>
          </w:tcPr>
          <w:p w14:paraId="2D7B96A6"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hint="eastAsia"/>
                <w:sz w:val="17"/>
                <w:szCs w:val="22"/>
                <w:lang w:eastAsia="zh-TW"/>
              </w:rPr>
              <w:t>模式更新</w:t>
            </w:r>
          </w:p>
        </w:tc>
        <w:tc>
          <w:tcPr>
            <w:tcW w:w="1217" w:type="dxa"/>
            <w:tcBorders>
              <w:left w:val="single" w:sz="4" w:space="0" w:color="auto"/>
              <w:right w:val="single" w:sz="4" w:space="0" w:color="auto"/>
            </w:tcBorders>
          </w:tcPr>
          <w:p w14:paraId="794F25C8"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r>
      <w:tr w:rsidR="00BC269C" w:rsidRPr="00BC269C" w14:paraId="0EC8CD47" w14:textId="77777777" w:rsidTr="00E932DC">
        <w:trPr>
          <w:cantSplit/>
        </w:trPr>
        <w:tc>
          <w:tcPr>
            <w:tcW w:w="425" w:type="dxa"/>
            <w:tcBorders>
              <w:left w:val="nil"/>
              <w:right w:val="single" w:sz="4" w:space="0" w:color="auto"/>
            </w:tcBorders>
          </w:tcPr>
          <w:p w14:paraId="24B29BCA"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sz w:val="17"/>
                <w:szCs w:val="22"/>
                <w:lang w:eastAsia="en-GB"/>
              </w:rPr>
              <w:t>5</w:t>
            </w:r>
          </w:p>
        </w:tc>
        <w:tc>
          <w:tcPr>
            <w:tcW w:w="7600" w:type="dxa"/>
            <w:tcBorders>
              <w:left w:val="single" w:sz="4" w:space="0" w:color="auto"/>
              <w:right w:val="single" w:sz="4" w:space="0" w:color="auto"/>
            </w:tcBorders>
            <w:vAlign w:val="center"/>
          </w:tcPr>
          <w:p w14:paraId="730F5A96"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hint="eastAsia"/>
                <w:sz w:val="17"/>
                <w:szCs w:val="22"/>
                <w:lang w:eastAsia="zh-TW"/>
              </w:rPr>
              <w:t>方法及政策</w:t>
            </w:r>
          </w:p>
        </w:tc>
        <w:tc>
          <w:tcPr>
            <w:tcW w:w="1217" w:type="dxa"/>
            <w:tcBorders>
              <w:left w:val="single" w:sz="4" w:space="0" w:color="auto"/>
              <w:right w:val="single" w:sz="4" w:space="0" w:color="auto"/>
            </w:tcBorders>
          </w:tcPr>
          <w:p w14:paraId="2F133443"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r>
      <w:tr w:rsidR="00BC269C" w:rsidRPr="00BC269C" w14:paraId="2A437359" w14:textId="77777777" w:rsidTr="00E932DC">
        <w:trPr>
          <w:cantSplit/>
        </w:trPr>
        <w:tc>
          <w:tcPr>
            <w:tcW w:w="425" w:type="dxa"/>
            <w:tcBorders>
              <w:left w:val="nil"/>
              <w:right w:val="single" w:sz="4" w:space="0" w:color="auto"/>
            </w:tcBorders>
          </w:tcPr>
          <w:p w14:paraId="4877D597"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sz w:val="17"/>
                <w:szCs w:val="22"/>
                <w:lang w:eastAsia="en-GB"/>
              </w:rPr>
              <w:t>6</w:t>
            </w:r>
          </w:p>
        </w:tc>
        <w:tc>
          <w:tcPr>
            <w:tcW w:w="7600" w:type="dxa"/>
            <w:tcBorders>
              <w:left w:val="single" w:sz="4" w:space="0" w:color="auto"/>
              <w:right w:val="single" w:sz="4" w:space="0" w:color="auto"/>
            </w:tcBorders>
            <w:vAlign w:val="center"/>
          </w:tcPr>
          <w:p w14:paraId="3849CF8F"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hint="eastAsia"/>
                <w:sz w:val="17"/>
                <w:szCs w:val="22"/>
                <w:lang w:eastAsia="zh-TW"/>
              </w:rPr>
              <w:t>收購及處置</w:t>
            </w:r>
          </w:p>
        </w:tc>
        <w:tc>
          <w:tcPr>
            <w:tcW w:w="1217" w:type="dxa"/>
            <w:tcBorders>
              <w:left w:val="single" w:sz="4" w:space="0" w:color="auto"/>
              <w:right w:val="single" w:sz="4" w:space="0" w:color="auto"/>
            </w:tcBorders>
          </w:tcPr>
          <w:p w14:paraId="02AC624A"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r>
      <w:tr w:rsidR="00BC269C" w:rsidRPr="00BC269C" w14:paraId="0453800B" w14:textId="77777777" w:rsidTr="00E932DC">
        <w:trPr>
          <w:cantSplit/>
        </w:trPr>
        <w:tc>
          <w:tcPr>
            <w:tcW w:w="425" w:type="dxa"/>
            <w:tcBorders>
              <w:left w:val="nil"/>
              <w:right w:val="single" w:sz="4" w:space="0" w:color="auto"/>
            </w:tcBorders>
          </w:tcPr>
          <w:p w14:paraId="78ACD53A"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sz w:val="17"/>
                <w:szCs w:val="22"/>
                <w:lang w:eastAsia="en-GB"/>
              </w:rPr>
              <w:t>7</w:t>
            </w:r>
          </w:p>
        </w:tc>
        <w:tc>
          <w:tcPr>
            <w:tcW w:w="7600" w:type="dxa"/>
            <w:tcBorders>
              <w:left w:val="single" w:sz="4" w:space="0" w:color="auto"/>
              <w:right w:val="single" w:sz="4" w:space="0" w:color="auto"/>
            </w:tcBorders>
            <w:vAlign w:val="center"/>
          </w:tcPr>
          <w:p w14:paraId="197D163F"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hint="eastAsia"/>
                <w:sz w:val="17"/>
                <w:szCs w:val="22"/>
                <w:lang w:eastAsia="zh-TW"/>
              </w:rPr>
              <w:t>外匯變動</w:t>
            </w:r>
          </w:p>
        </w:tc>
        <w:tc>
          <w:tcPr>
            <w:tcW w:w="1217" w:type="dxa"/>
            <w:tcBorders>
              <w:left w:val="single" w:sz="4" w:space="0" w:color="auto"/>
              <w:right w:val="single" w:sz="4" w:space="0" w:color="auto"/>
            </w:tcBorders>
          </w:tcPr>
          <w:p w14:paraId="6ECB323F"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r>
      <w:tr w:rsidR="00BC269C" w:rsidRPr="00BC269C" w14:paraId="102519AD" w14:textId="77777777" w:rsidTr="00E932DC">
        <w:trPr>
          <w:cantSplit/>
        </w:trPr>
        <w:tc>
          <w:tcPr>
            <w:tcW w:w="425" w:type="dxa"/>
            <w:tcBorders>
              <w:left w:val="nil"/>
              <w:right w:val="single" w:sz="4" w:space="0" w:color="auto"/>
            </w:tcBorders>
          </w:tcPr>
          <w:p w14:paraId="1263E1DE"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sz w:val="17"/>
                <w:szCs w:val="22"/>
                <w:lang w:eastAsia="en-GB"/>
              </w:rPr>
              <w:t>8</w:t>
            </w:r>
          </w:p>
        </w:tc>
        <w:tc>
          <w:tcPr>
            <w:tcW w:w="7600" w:type="dxa"/>
            <w:tcBorders>
              <w:left w:val="single" w:sz="4" w:space="0" w:color="auto"/>
              <w:right w:val="single" w:sz="4" w:space="0" w:color="auto"/>
            </w:tcBorders>
            <w:vAlign w:val="center"/>
          </w:tcPr>
          <w:p w14:paraId="1CDCBA26" w14:textId="77777777" w:rsidR="00BC269C" w:rsidRPr="00BC269C" w:rsidRDefault="00BC269C" w:rsidP="00BC269C">
            <w:pPr>
              <w:snapToGrid w:val="0"/>
              <w:spacing w:before="40" w:after="40" w:line="259" w:lineRule="auto"/>
              <w:rPr>
                <w:rFonts w:ascii="Calibri" w:eastAsia="細明體" w:hAnsi="Calibri"/>
                <w:sz w:val="17"/>
                <w:szCs w:val="22"/>
                <w:lang w:eastAsia="en-GB"/>
              </w:rPr>
            </w:pPr>
            <w:r w:rsidRPr="00BC269C">
              <w:rPr>
                <w:rFonts w:ascii="Calibri" w:eastAsia="細明體" w:hAnsi="Calibri" w:hint="eastAsia"/>
                <w:sz w:val="17"/>
                <w:szCs w:val="22"/>
                <w:lang w:eastAsia="zh-TW"/>
              </w:rPr>
              <w:t>其他</w:t>
            </w:r>
          </w:p>
        </w:tc>
        <w:tc>
          <w:tcPr>
            <w:tcW w:w="1217" w:type="dxa"/>
            <w:tcBorders>
              <w:left w:val="single" w:sz="4" w:space="0" w:color="auto"/>
              <w:right w:val="single" w:sz="4" w:space="0" w:color="auto"/>
            </w:tcBorders>
          </w:tcPr>
          <w:p w14:paraId="5ADDF5A1" w14:textId="77777777" w:rsidR="00BC269C" w:rsidRPr="00BC269C" w:rsidRDefault="00BC269C" w:rsidP="00BC269C">
            <w:pPr>
              <w:snapToGrid w:val="0"/>
              <w:spacing w:before="40" w:after="40" w:line="259" w:lineRule="auto"/>
              <w:rPr>
                <w:rFonts w:ascii="Calibri" w:eastAsia="細明體" w:hAnsi="Calibri"/>
                <w:sz w:val="17"/>
                <w:szCs w:val="22"/>
                <w:lang w:eastAsia="en-GB"/>
              </w:rPr>
            </w:pPr>
          </w:p>
        </w:tc>
      </w:tr>
      <w:tr w:rsidR="00BC269C" w:rsidRPr="00BC269C" w14:paraId="209EC28A" w14:textId="77777777" w:rsidTr="00E932DC">
        <w:trPr>
          <w:cantSplit/>
        </w:trPr>
        <w:tc>
          <w:tcPr>
            <w:tcW w:w="425" w:type="dxa"/>
            <w:tcBorders>
              <w:left w:val="nil"/>
              <w:bottom w:val="single" w:sz="4" w:space="0" w:color="auto"/>
              <w:right w:val="single" w:sz="4" w:space="0" w:color="auto"/>
            </w:tcBorders>
          </w:tcPr>
          <w:p w14:paraId="7A56C2CF" w14:textId="77777777" w:rsidR="00BC269C" w:rsidRPr="00BC269C" w:rsidRDefault="00BC269C" w:rsidP="00BC269C">
            <w:pPr>
              <w:snapToGrid w:val="0"/>
              <w:spacing w:before="40" w:after="40" w:line="259" w:lineRule="auto"/>
              <w:rPr>
                <w:rFonts w:ascii="Calibri" w:eastAsia="細明體" w:hAnsi="Calibri"/>
                <w:b/>
                <w:sz w:val="17"/>
                <w:szCs w:val="22"/>
                <w:lang w:eastAsia="en-GB"/>
              </w:rPr>
            </w:pPr>
            <w:r w:rsidRPr="00BC269C">
              <w:rPr>
                <w:rFonts w:ascii="Calibri" w:eastAsia="細明體" w:hAnsi="Calibri"/>
                <w:b/>
                <w:sz w:val="17"/>
                <w:szCs w:val="22"/>
                <w:lang w:eastAsia="en-GB"/>
              </w:rPr>
              <w:t>9</w:t>
            </w:r>
          </w:p>
        </w:tc>
        <w:tc>
          <w:tcPr>
            <w:tcW w:w="7600" w:type="dxa"/>
            <w:tcBorders>
              <w:left w:val="single" w:sz="4" w:space="0" w:color="auto"/>
              <w:bottom w:val="single" w:sz="4" w:space="0" w:color="auto"/>
              <w:right w:val="single" w:sz="4" w:space="0" w:color="auto"/>
            </w:tcBorders>
            <w:vAlign w:val="center"/>
          </w:tcPr>
          <w:p w14:paraId="6D7C6B8B" w14:textId="77777777" w:rsidR="00BC269C" w:rsidRPr="00BC269C" w:rsidRDefault="00BC269C" w:rsidP="00BC269C">
            <w:pPr>
              <w:snapToGrid w:val="0"/>
              <w:spacing w:before="40" w:after="40" w:line="259" w:lineRule="auto"/>
              <w:rPr>
                <w:rFonts w:ascii="Calibri" w:eastAsia="細明體" w:hAnsi="Calibri"/>
                <w:b/>
                <w:noProof/>
                <w:sz w:val="17"/>
                <w:szCs w:val="22"/>
                <w:lang w:eastAsia="zh-TW"/>
              </w:rPr>
            </w:pPr>
            <w:r w:rsidRPr="00BC269C">
              <w:rPr>
                <w:rFonts w:ascii="Calibri" w:eastAsia="細明體" w:hAnsi="Calibri" w:hint="eastAsia"/>
                <w:b/>
                <w:sz w:val="17"/>
                <w:szCs w:val="22"/>
                <w:lang w:eastAsia="zh-TW"/>
              </w:rPr>
              <w:t>報告期</w:t>
            </w:r>
            <w:r w:rsidRPr="00BC269C">
              <w:rPr>
                <w:rFonts w:ascii="細明體" w:eastAsia="細明體" w:hAnsi="細明體" w:cs="細明體"/>
                <w:b/>
                <w:sz w:val="17"/>
                <w:szCs w:val="22"/>
                <w:lang w:eastAsia="zh-TW"/>
              </w:rPr>
              <w:t>末</w:t>
            </w:r>
            <w:r w:rsidRPr="00BC269C">
              <w:rPr>
                <w:rFonts w:ascii="Calibri" w:eastAsia="細明體" w:hAnsi="Calibri"/>
                <w:b/>
                <w:sz w:val="17"/>
                <w:szCs w:val="22"/>
                <w:lang w:eastAsia="zh-TW"/>
              </w:rPr>
              <w:t>風險加權數額</w:t>
            </w:r>
          </w:p>
        </w:tc>
        <w:tc>
          <w:tcPr>
            <w:tcW w:w="1217" w:type="dxa"/>
            <w:tcBorders>
              <w:left w:val="single" w:sz="4" w:space="0" w:color="auto"/>
              <w:bottom w:val="single" w:sz="4" w:space="0" w:color="auto"/>
              <w:right w:val="single" w:sz="4" w:space="0" w:color="auto"/>
            </w:tcBorders>
          </w:tcPr>
          <w:p w14:paraId="5936A683" w14:textId="77777777" w:rsidR="00BC269C" w:rsidRPr="00BC269C" w:rsidRDefault="00BC269C" w:rsidP="00BC269C">
            <w:pPr>
              <w:snapToGrid w:val="0"/>
              <w:spacing w:before="40" w:after="40" w:line="259" w:lineRule="auto"/>
              <w:rPr>
                <w:rFonts w:ascii="Calibri" w:eastAsia="細明體" w:hAnsi="Calibri"/>
                <w:sz w:val="17"/>
                <w:szCs w:val="22"/>
                <w:lang w:eastAsia="zh-TW"/>
              </w:rPr>
            </w:pPr>
          </w:p>
        </w:tc>
      </w:tr>
    </w:tbl>
    <w:p w14:paraId="0599DE89" w14:textId="68370048" w:rsidR="00BC269C" w:rsidRDefault="00BC269C" w:rsidP="00BC269C">
      <w:pPr>
        <w:spacing w:line="259" w:lineRule="auto"/>
        <w:ind w:leftChars="-283" w:left="-566"/>
        <w:rPr>
          <w:rFonts w:ascii="Calibri" w:eastAsia="細明體" w:hAnsi="Calibri"/>
          <w:sz w:val="22"/>
          <w:szCs w:val="22"/>
          <w:lang w:eastAsia="zh-TW"/>
        </w:rPr>
      </w:pPr>
    </w:p>
    <w:p w14:paraId="2112B814" w14:textId="77777777" w:rsidR="00746E0A" w:rsidRPr="00BC269C" w:rsidRDefault="00746E0A" w:rsidP="00BC269C">
      <w:pPr>
        <w:spacing w:line="259" w:lineRule="auto"/>
        <w:ind w:leftChars="-283" w:left="-566"/>
        <w:rPr>
          <w:rFonts w:ascii="Calibri" w:eastAsia="細明體" w:hAnsi="Calibri"/>
          <w:sz w:val="22"/>
          <w:szCs w:val="22"/>
          <w:lang w:eastAsia="zh-TW"/>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789"/>
      </w:tblGrid>
      <w:tr w:rsidR="00BC269C" w:rsidRPr="00BC269C" w14:paraId="04E24819" w14:textId="77777777" w:rsidTr="00E932DC">
        <w:trPr>
          <w:tblHeader/>
        </w:trPr>
        <w:tc>
          <w:tcPr>
            <w:tcW w:w="9214" w:type="dxa"/>
            <w:gridSpan w:val="2"/>
            <w:shd w:val="clear" w:color="auto" w:fill="BFBFBF"/>
          </w:tcPr>
          <w:p w14:paraId="7AFADC4C" w14:textId="77777777" w:rsidR="00BC269C" w:rsidRPr="00BC269C" w:rsidRDefault="00BC269C" w:rsidP="00BC269C">
            <w:pPr>
              <w:spacing w:before="40" w:after="40" w:line="259" w:lineRule="auto"/>
              <w:jc w:val="both"/>
              <w:rPr>
                <w:rFonts w:ascii="Calibri" w:eastAsia="細明體" w:hAnsi="Calibri"/>
                <w:b/>
                <w:sz w:val="17"/>
                <w:szCs w:val="17"/>
                <w:lang w:eastAsia="en-GB"/>
              </w:rPr>
            </w:pPr>
            <w:proofErr w:type="gramStart"/>
            <w:r w:rsidRPr="00BC269C">
              <w:rPr>
                <w:rFonts w:ascii="Calibri" w:eastAsia="細明體" w:hAnsi="Calibri" w:hint="eastAsia"/>
                <w:b/>
                <w:sz w:val="17"/>
                <w:szCs w:val="17"/>
                <w:lang w:eastAsia="zh-TW"/>
              </w:rPr>
              <w:t>註</w:t>
            </w:r>
            <w:proofErr w:type="gramEnd"/>
            <w:r w:rsidRPr="00BC269C">
              <w:rPr>
                <w:rFonts w:ascii="Calibri" w:eastAsia="細明體" w:hAnsi="Calibri" w:hint="eastAsia"/>
                <w:b/>
                <w:sz w:val="17"/>
                <w:szCs w:val="17"/>
                <w:lang w:eastAsia="zh-TW"/>
              </w:rPr>
              <w:t>釋</w:t>
            </w:r>
          </w:p>
        </w:tc>
      </w:tr>
      <w:tr w:rsidR="00BC269C" w:rsidRPr="00BC269C" w14:paraId="7E4D2C72" w14:textId="77777777" w:rsidTr="00E932DC">
        <w:trPr>
          <w:trHeight w:val="153"/>
        </w:trPr>
        <w:tc>
          <w:tcPr>
            <w:tcW w:w="9214" w:type="dxa"/>
            <w:gridSpan w:val="2"/>
            <w:shd w:val="clear" w:color="auto" w:fill="F2F2F2"/>
          </w:tcPr>
          <w:p w14:paraId="77F49D8D" w14:textId="77777777" w:rsidR="00BC269C" w:rsidRPr="00BC269C" w:rsidRDefault="00BC269C" w:rsidP="00BC269C">
            <w:pPr>
              <w:spacing w:before="40" w:after="40" w:line="259" w:lineRule="auto"/>
              <w:jc w:val="both"/>
              <w:rPr>
                <w:rFonts w:ascii="Calibri" w:eastAsia="細明體" w:hAnsi="Calibri"/>
                <w:b/>
                <w:sz w:val="17"/>
                <w:szCs w:val="17"/>
                <w:lang w:eastAsia="en-GB"/>
              </w:rPr>
            </w:pPr>
            <w:r w:rsidRPr="00BC269C">
              <w:rPr>
                <w:rFonts w:ascii="Calibri" w:eastAsia="細明體" w:hAnsi="Calibri" w:hint="eastAsia"/>
                <w:b/>
                <w:sz w:val="17"/>
                <w:szCs w:val="17"/>
                <w:lang w:eastAsia="en-GB"/>
              </w:rPr>
              <w:t>行</w:t>
            </w:r>
          </w:p>
        </w:tc>
      </w:tr>
      <w:tr w:rsidR="00BC269C" w:rsidRPr="00BC269C" w14:paraId="604760EE" w14:textId="77777777" w:rsidTr="00E932DC">
        <w:tc>
          <w:tcPr>
            <w:tcW w:w="425" w:type="dxa"/>
            <w:shd w:val="clear" w:color="auto" w:fill="auto"/>
          </w:tcPr>
          <w:p w14:paraId="71AF05ED"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1</w:t>
            </w:r>
          </w:p>
        </w:tc>
        <w:tc>
          <w:tcPr>
            <w:tcW w:w="8789" w:type="dxa"/>
            <w:shd w:val="clear" w:color="auto" w:fill="auto"/>
          </w:tcPr>
          <w:p w14:paraId="62834051" w14:textId="77777777" w:rsidR="00BC269C" w:rsidRPr="00BC269C" w:rsidRDefault="00BC269C" w:rsidP="00BC269C">
            <w:pPr>
              <w:keepNext/>
              <w:spacing w:before="40" w:after="40" w:line="259" w:lineRule="auto"/>
              <w:jc w:val="both"/>
              <w:rPr>
                <w:rFonts w:ascii="Calibri" w:eastAsia="細明體" w:hAnsi="Calibri"/>
                <w:sz w:val="17"/>
                <w:szCs w:val="17"/>
                <w:lang w:eastAsia="zh-TW"/>
              </w:rPr>
            </w:pPr>
            <w:r w:rsidRPr="00BC269C">
              <w:rPr>
                <w:rFonts w:ascii="Calibri" w:eastAsia="細明體" w:hAnsi="Calibri" w:hint="eastAsia"/>
                <w:i/>
                <w:sz w:val="17"/>
                <w:szCs w:val="17"/>
                <w:lang w:eastAsia="zh-TW"/>
              </w:rPr>
              <w:t>上一個報告期</w:t>
            </w:r>
            <w:r w:rsidRPr="00BC269C">
              <w:rPr>
                <w:rFonts w:ascii="細明體" w:eastAsia="細明體" w:hAnsi="細明體" w:cs="細明體"/>
                <w:i/>
                <w:sz w:val="17"/>
                <w:szCs w:val="22"/>
                <w:lang w:eastAsia="zh-TW"/>
              </w:rPr>
              <w:t>末</w:t>
            </w:r>
            <w:r w:rsidRPr="00BC269C">
              <w:rPr>
                <w:rFonts w:ascii="Calibri" w:eastAsia="細明體" w:hAnsi="Calibri"/>
                <w:i/>
                <w:sz w:val="17"/>
                <w:szCs w:val="17"/>
                <w:lang w:eastAsia="zh-TW"/>
              </w:rPr>
              <w:t>風險加權數額</w:t>
            </w:r>
            <w:r w:rsidRPr="00BC269C">
              <w:rPr>
                <w:rFonts w:ascii="Calibri" w:eastAsia="細明體" w:hAnsi="Calibri"/>
                <w:sz w:val="17"/>
                <w:szCs w:val="17"/>
                <w:lang w:eastAsia="zh-TW"/>
              </w:rPr>
              <w:t>：本行相等於上一個報告期</w:t>
            </w:r>
            <w:r w:rsidRPr="00BC269C">
              <w:rPr>
                <w:rFonts w:ascii="Calibri" w:eastAsia="細明體" w:hAnsi="Calibri"/>
                <w:sz w:val="17"/>
                <w:szCs w:val="17"/>
                <w:lang w:eastAsia="zh-TW"/>
              </w:rPr>
              <w:t>[CCR7: 9/</w:t>
            </w:r>
            <w:proofErr w:type="gramStart"/>
            <w:r w:rsidRPr="00BC269C">
              <w:rPr>
                <w:rFonts w:ascii="Calibri" w:eastAsia="細明體" w:hAnsi="Calibri"/>
                <w:sz w:val="17"/>
                <w:szCs w:val="17"/>
                <w:lang w:eastAsia="zh-TW"/>
              </w:rPr>
              <w:t>a]</w:t>
            </w:r>
            <w:r w:rsidRPr="00BC269C">
              <w:rPr>
                <w:rFonts w:ascii="Calibri" w:eastAsia="細明體" w:hAnsi="Calibri" w:hint="eastAsia"/>
                <w:sz w:val="17"/>
                <w:szCs w:val="17"/>
                <w:lang w:eastAsia="zh-TW"/>
              </w:rPr>
              <w:t>的值</w:t>
            </w:r>
            <w:proofErr w:type="gramEnd"/>
            <w:r w:rsidRPr="00BC269C">
              <w:rPr>
                <w:rFonts w:ascii="Calibri" w:eastAsia="細明體" w:hAnsi="Calibri" w:hint="eastAsia"/>
                <w:sz w:val="17"/>
                <w:szCs w:val="17"/>
                <w:lang w:eastAsia="zh-TW"/>
              </w:rPr>
              <w:t>，亦相等於</w:t>
            </w:r>
            <w:r w:rsidRPr="00BC269C">
              <w:rPr>
                <w:rFonts w:ascii="Calibri" w:eastAsia="細明體" w:hAnsi="Calibri"/>
                <w:sz w:val="17"/>
                <w:szCs w:val="17"/>
                <w:lang w:eastAsia="zh-TW"/>
              </w:rPr>
              <w:t xml:space="preserve">[OV1: </w:t>
            </w:r>
            <w:r w:rsidRPr="00BC269C">
              <w:rPr>
                <w:rFonts w:ascii="Calibri" w:eastAsia="細明體" w:hAnsi="Calibri" w:hint="eastAsia"/>
                <w:sz w:val="17"/>
                <w:szCs w:val="17"/>
                <w:lang w:eastAsia="zh-TW"/>
              </w:rPr>
              <w:t>8</w:t>
            </w:r>
            <w:r w:rsidRPr="00BC269C">
              <w:rPr>
                <w:rFonts w:ascii="Calibri" w:eastAsia="細明體" w:hAnsi="Calibri"/>
                <w:sz w:val="17"/>
                <w:szCs w:val="17"/>
                <w:lang w:eastAsia="zh-TW"/>
              </w:rPr>
              <w:t>/b]</w:t>
            </w:r>
            <w:r w:rsidRPr="00BC269C">
              <w:rPr>
                <w:rFonts w:ascii="Calibri" w:eastAsia="細明體" w:hAnsi="Calibri" w:hint="eastAsia"/>
                <w:sz w:val="17"/>
                <w:szCs w:val="17"/>
                <w:lang w:eastAsia="zh-TW"/>
              </w:rPr>
              <w:t>的值。</w:t>
            </w:r>
          </w:p>
        </w:tc>
      </w:tr>
      <w:tr w:rsidR="00BC269C" w:rsidRPr="00BC269C" w14:paraId="305FAE72" w14:textId="77777777" w:rsidTr="00E932DC">
        <w:trPr>
          <w:trHeight w:val="252"/>
        </w:trPr>
        <w:tc>
          <w:tcPr>
            <w:tcW w:w="425" w:type="dxa"/>
            <w:shd w:val="clear" w:color="auto" w:fill="auto"/>
          </w:tcPr>
          <w:p w14:paraId="2D5E6DD1"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2</w:t>
            </w:r>
          </w:p>
        </w:tc>
        <w:tc>
          <w:tcPr>
            <w:tcW w:w="8789" w:type="dxa"/>
            <w:shd w:val="clear" w:color="auto" w:fill="auto"/>
          </w:tcPr>
          <w:p w14:paraId="1AA7BF39" w14:textId="77777777" w:rsidR="00BC269C" w:rsidRPr="00BC269C" w:rsidRDefault="00BC269C" w:rsidP="00BC269C">
            <w:pPr>
              <w:keepNext/>
              <w:spacing w:before="40" w:after="40" w:line="259" w:lineRule="auto"/>
              <w:jc w:val="both"/>
              <w:rPr>
                <w:rFonts w:ascii="Calibri" w:eastAsia="細明體" w:hAnsi="Calibri"/>
                <w:sz w:val="17"/>
                <w:szCs w:val="17"/>
                <w:lang w:eastAsia="zh-TW"/>
              </w:rPr>
            </w:pPr>
            <w:r w:rsidRPr="00BC269C">
              <w:rPr>
                <w:rFonts w:ascii="Calibri" w:eastAsia="細明體" w:hAnsi="Calibri" w:hint="eastAsia"/>
                <w:i/>
                <w:sz w:val="17"/>
                <w:szCs w:val="17"/>
                <w:lang w:eastAsia="zh-TW"/>
              </w:rPr>
              <w:t>資產規模</w:t>
            </w:r>
            <w:r w:rsidRPr="00BC269C">
              <w:rPr>
                <w:rFonts w:ascii="Calibri" w:eastAsia="細明體" w:hAnsi="Calibri" w:hint="eastAsia"/>
                <w:sz w:val="17"/>
                <w:szCs w:val="17"/>
                <w:lang w:eastAsia="zh-TW"/>
              </w:rPr>
              <w:t>：</w:t>
            </w:r>
            <w:proofErr w:type="gramStart"/>
            <w:r w:rsidRPr="00BC269C">
              <w:rPr>
                <w:rFonts w:ascii="Calibri" w:eastAsia="細明體" w:hAnsi="Calibri" w:hint="eastAsia"/>
                <w:sz w:val="17"/>
                <w:szCs w:val="17"/>
                <w:lang w:eastAsia="zh-TW"/>
              </w:rPr>
              <w:t>帳面</w:t>
            </w:r>
            <w:proofErr w:type="gramEnd"/>
            <w:r w:rsidRPr="00BC269C">
              <w:rPr>
                <w:rFonts w:ascii="Calibri" w:eastAsia="細明體" w:hAnsi="Calibri" w:hint="eastAsia"/>
                <w:sz w:val="17"/>
                <w:szCs w:val="17"/>
                <w:lang w:eastAsia="zh-TW"/>
              </w:rPr>
              <w:t>規模及組成成分（包括推出新業務及風險承擔到期）的有機變動而引致</w:t>
            </w:r>
            <w:r w:rsidRPr="00BC269C">
              <w:rPr>
                <w:rFonts w:ascii="Calibri" w:eastAsia="細明體" w:hAnsi="Calibri"/>
                <w:sz w:val="17"/>
                <w:szCs w:val="17"/>
                <w:lang w:eastAsia="zh-TW"/>
              </w:rPr>
              <w:t>風險加權數額的變動，</w:t>
            </w:r>
            <w:r w:rsidRPr="00BC269C">
              <w:rPr>
                <w:rFonts w:ascii="Calibri" w:eastAsia="細明體" w:hAnsi="Calibri" w:hint="eastAsia"/>
                <w:sz w:val="17"/>
                <w:szCs w:val="17"/>
                <w:lang w:eastAsia="zh-TW"/>
              </w:rPr>
              <w:t>但不包括收購及出售實體而引致</w:t>
            </w:r>
            <w:proofErr w:type="gramStart"/>
            <w:r w:rsidRPr="00BC269C">
              <w:rPr>
                <w:rFonts w:ascii="Calibri" w:eastAsia="細明體" w:hAnsi="Calibri" w:hint="eastAsia"/>
                <w:sz w:val="17"/>
                <w:szCs w:val="17"/>
                <w:lang w:eastAsia="zh-TW"/>
              </w:rPr>
              <w:t>帳面</w:t>
            </w:r>
            <w:proofErr w:type="gramEnd"/>
            <w:r w:rsidRPr="00BC269C">
              <w:rPr>
                <w:rFonts w:ascii="Calibri" w:eastAsia="細明體" w:hAnsi="Calibri" w:hint="eastAsia"/>
                <w:sz w:val="17"/>
                <w:szCs w:val="17"/>
                <w:lang w:eastAsia="zh-TW"/>
              </w:rPr>
              <w:t>規模的變動。</w:t>
            </w:r>
          </w:p>
        </w:tc>
      </w:tr>
      <w:tr w:rsidR="00BC269C" w:rsidRPr="00BC269C" w14:paraId="53788D68" w14:textId="77777777" w:rsidTr="00E932DC">
        <w:tc>
          <w:tcPr>
            <w:tcW w:w="425" w:type="dxa"/>
            <w:shd w:val="clear" w:color="auto" w:fill="auto"/>
          </w:tcPr>
          <w:p w14:paraId="61B422DB"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3</w:t>
            </w:r>
          </w:p>
        </w:tc>
        <w:tc>
          <w:tcPr>
            <w:tcW w:w="8789" w:type="dxa"/>
            <w:shd w:val="clear" w:color="auto" w:fill="auto"/>
          </w:tcPr>
          <w:p w14:paraId="56AA046C" w14:textId="77777777" w:rsidR="00BC269C" w:rsidRPr="00BC269C" w:rsidRDefault="00BC269C" w:rsidP="00BC269C">
            <w:pPr>
              <w:keepNext/>
              <w:spacing w:before="40" w:after="40" w:line="259" w:lineRule="auto"/>
              <w:jc w:val="both"/>
              <w:rPr>
                <w:rFonts w:ascii="Calibri" w:eastAsia="細明體" w:hAnsi="Calibri"/>
                <w:sz w:val="17"/>
                <w:szCs w:val="17"/>
                <w:lang w:eastAsia="zh-TW"/>
              </w:rPr>
            </w:pPr>
            <w:r w:rsidRPr="00BC269C">
              <w:rPr>
                <w:rFonts w:ascii="Calibri" w:eastAsia="細明體" w:hAnsi="Calibri" w:hint="eastAsia"/>
                <w:i/>
                <w:sz w:val="17"/>
                <w:szCs w:val="17"/>
                <w:lang w:eastAsia="zh-TW"/>
              </w:rPr>
              <w:t>對手方的信用質素</w:t>
            </w:r>
            <w:r w:rsidRPr="00BC269C">
              <w:rPr>
                <w:rFonts w:ascii="Calibri" w:eastAsia="細明體" w:hAnsi="Calibri" w:hint="eastAsia"/>
                <w:sz w:val="17"/>
                <w:szCs w:val="17"/>
                <w:lang w:eastAsia="zh-TW"/>
              </w:rPr>
              <w:t>：因認可機構的對手方的經評定信用質素變動</w:t>
            </w:r>
            <w:r w:rsidRPr="00BC269C">
              <w:rPr>
                <w:rFonts w:ascii="Calibri" w:eastAsia="細明體" w:hAnsi="Calibri"/>
                <w:sz w:val="17"/>
                <w:szCs w:val="17"/>
                <w:lang w:eastAsia="zh-TW"/>
              </w:rPr>
              <w:t>而</w:t>
            </w:r>
            <w:r w:rsidRPr="00BC269C">
              <w:rPr>
                <w:rFonts w:ascii="Calibri" w:eastAsia="細明體" w:hAnsi="Calibri" w:hint="eastAsia"/>
                <w:sz w:val="17"/>
                <w:szCs w:val="17"/>
                <w:lang w:eastAsia="zh-TW"/>
              </w:rPr>
              <w:t>引致風險加權數額的變動，不論認可</w:t>
            </w:r>
            <w:r w:rsidRPr="00BC269C">
              <w:rPr>
                <w:rFonts w:ascii="Calibri" w:eastAsia="細明體" w:hAnsi="Calibri" w:hint="eastAsia"/>
                <w:sz w:val="17"/>
                <w:szCs w:val="22"/>
                <w:lang w:eastAsia="zh-TW"/>
              </w:rPr>
              <w:t>機</w:t>
            </w:r>
            <w:r w:rsidRPr="00BC269C">
              <w:rPr>
                <w:rFonts w:ascii="Calibri" w:eastAsia="細明體" w:hAnsi="Calibri" w:hint="eastAsia"/>
                <w:sz w:val="17"/>
                <w:szCs w:val="17"/>
                <w:lang w:eastAsia="zh-TW"/>
              </w:rPr>
              <w:t>構使用何</w:t>
            </w:r>
            <w:r w:rsidRPr="00BC269C">
              <w:rPr>
                <w:rFonts w:ascii="Calibri" w:eastAsia="細明體" w:hAnsi="Calibri"/>
                <w:sz w:val="17"/>
                <w:szCs w:val="17"/>
                <w:lang w:eastAsia="zh-TW"/>
              </w:rPr>
              <w:t>種</w:t>
            </w:r>
            <w:r w:rsidRPr="00BC269C">
              <w:rPr>
                <w:rFonts w:ascii="Calibri" w:eastAsia="細明體" w:hAnsi="Calibri" w:hint="eastAsia"/>
                <w:sz w:val="17"/>
                <w:szCs w:val="17"/>
                <w:lang w:eastAsia="zh-TW"/>
              </w:rPr>
              <w:t>信用風險計算法。本</w:t>
            </w:r>
            <w:r w:rsidRPr="00BC269C">
              <w:rPr>
                <w:rFonts w:ascii="Calibri" w:eastAsia="細明體" w:hAnsi="Calibri"/>
                <w:sz w:val="17"/>
                <w:szCs w:val="17"/>
                <w:lang w:eastAsia="zh-TW"/>
              </w:rPr>
              <w:t>行亦包括由於在</w:t>
            </w:r>
            <w:r w:rsidRPr="00BC269C">
              <w:rPr>
                <w:rFonts w:ascii="Calibri" w:eastAsia="細明體" w:hAnsi="Calibri"/>
                <w:sz w:val="17"/>
                <w:szCs w:val="17"/>
                <w:lang w:eastAsia="zh-TW"/>
              </w:rPr>
              <w:t>IRB</w:t>
            </w:r>
            <w:r w:rsidRPr="00BC269C">
              <w:rPr>
                <w:rFonts w:ascii="Calibri" w:eastAsia="細明體" w:hAnsi="Calibri" w:hint="eastAsia"/>
                <w:sz w:val="17"/>
                <w:szCs w:val="17"/>
                <w:lang w:eastAsia="zh-TW"/>
              </w:rPr>
              <w:t>計算法下所用的內部模式的變動引致的潛在變動。</w:t>
            </w:r>
          </w:p>
        </w:tc>
      </w:tr>
      <w:tr w:rsidR="00BC269C" w:rsidRPr="00BC269C" w14:paraId="62E3D12C" w14:textId="77777777" w:rsidTr="00E932DC">
        <w:tc>
          <w:tcPr>
            <w:tcW w:w="425" w:type="dxa"/>
            <w:shd w:val="clear" w:color="auto" w:fill="auto"/>
          </w:tcPr>
          <w:p w14:paraId="52D5B761"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4</w:t>
            </w:r>
          </w:p>
        </w:tc>
        <w:tc>
          <w:tcPr>
            <w:tcW w:w="8789" w:type="dxa"/>
            <w:shd w:val="clear" w:color="auto" w:fill="auto"/>
          </w:tcPr>
          <w:p w14:paraId="6BE8F3F4" w14:textId="77777777" w:rsidR="00BC269C" w:rsidRPr="00BC269C" w:rsidRDefault="00BC269C" w:rsidP="00BC269C">
            <w:pPr>
              <w:keepNext/>
              <w:spacing w:before="40" w:after="40" w:line="259" w:lineRule="auto"/>
              <w:jc w:val="both"/>
              <w:rPr>
                <w:rFonts w:ascii="Calibri" w:eastAsia="細明體" w:hAnsi="Calibri"/>
                <w:sz w:val="17"/>
                <w:szCs w:val="17"/>
                <w:lang w:val="en-US" w:eastAsia="zh-TW"/>
              </w:rPr>
            </w:pPr>
            <w:r w:rsidRPr="00BC269C">
              <w:rPr>
                <w:rFonts w:ascii="Calibri" w:eastAsia="細明體" w:hAnsi="Calibri" w:hint="eastAsia"/>
                <w:i/>
                <w:sz w:val="17"/>
                <w:szCs w:val="17"/>
                <w:lang w:eastAsia="zh-TW"/>
              </w:rPr>
              <w:t>模式更新</w:t>
            </w:r>
            <w:r w:rsidRPr="00BC269C">
              <w:rPr>
                <w:rFonts w:ascii="Calibri" w:eastAsia="細明體" w:hAnsi="Calibri" w:hint="eastAsia"/>
                <w:sz w:val="17"/>
                <w:szCs w:val="17"/>
                <w:lang w:eastAsia="zh-TW"/>
              </w:rPr>
              <w:t>：就</w:t>
            </w:r>
            <w:r w:rsidRPr="00BC269C">
              <w:rPr>
                <w:rFonts w:ascii="Calibri" w:eastAsia="細明體" w:hAnsi="Calibri"/>
                <w:sz w:val="17"/>
                <w:szCs w:val="17"/>
                <w:lang w:eastAsia="zh-TW"/>
              </w:rPr>
              <w:t>IMM(CCR)</w:t>
            </w:r>
            <w:r w:rsidRPr="00BC269C">
              <w:rPr>
                <w:rFonts w:ascii="Calibri" w:eastAsia="細明體" w:hAnsi="Calibri" w:hint="eastAsia"/>
                <w:sz w:val="17"/>
                <w:szCs w:val="22"/>
                <w:lang w:eastAsia="zh-TW"/>
              </w:rPr>
              <w:t>計算法</w:t>
            </w:r>
            <w:r w:rsidRPr="00BC269C">
              <w:rPr>
                <w:rFonts w:ascii="Calibri" w:eastAsia="細明體" w:hAnsi="Calibri" w:hint="eastAsia"/>
                <w:sz w:val="17"/>
                <w:szCs w:val="17"/>
                <w:lang w:eastAsia="zh-TW"/>
              </w:rPr>
              <w:t>所使用模式而言，指因模式的落實、模式範圍的</w:t>
            </w:r>
            <w:r w:rsidRPr="00BC269C">
              <w:rPr>
                <w:rFonts w:ascii="Calibri" w:eastAsia="細明體" w:hAnsi="Calibri"/>
                <w:sz w:val="17"/>
                <w:szCs w:val="17"/>
                <w:lang w:eastAsia="zh-TW"/>
              </w:rPr>
              <w:t>變</w:t>
            </w:r>
            <w:r w:rsidRPr="00BC269C">
              <w:rPr>
                <w:rFonts w:ascii="Calibri" w:eastAsia="細明體" w:hAnsi="Calibri" w:hint="eastAsia"/>
                <w:sz w:val="17"/>
                <w:szCs w:val="17"/>
                <w:lang w:eastAsia="zh-TW"/>
              </w:rPr>
              <w:t>更及為處理模式的弱點而作出的任何</w:t>
            </w:r>
            <w:r w:rsidRPr="00BC269C">
              <w:rPr>
                <w:rFonts w:ascii="Calibri" w:eastAsia="細明體" w:hAnsi="Calibri"/>
                <w:color w:val="222222"/>
                <w:sz w:val="17"/>
                <w:szCs w:val="22"/>
                <w:lang w:eastAsia="zh-TW"/>
              </w:rPr>
              <w:t>重大</w:t>
            </w:r>
            <w:r w:rsidRPr="00BC269C">
              <w:rPr>
                <w:rFonts w:ascii="Calibri" w:eastAsia="細明體" w:hAnsi="Calibri" w:hint="eastAsia"/>
                <w:sz w:val="17"/>
                <w:szCs w:val="17"/>
                <w:lang w:eastAsia="zh-TW"/>
              </w:rPr>
              <w:t>變動引致風險加權數額的變動。</w:t>
            </w:r>
          </w:p>
        </w:tc>
      </w:tr>
      <w:tr w:rsidR="00BC269C" w:rsidRPr="00BC269C" w14:paraId="034E248F" w14:textId="77777777" w:rsidTr="00E932DC">
        <w:tc>
          <w:tcPr>
            <w:tcW w:w="425" w:type="dxa"/>
            <w:shd w:val="clear" w:color="auto" w:fill="auto"/>
          </w:tcPr>
          <w:p w14:paraId="58DC76CD"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5</w:t>
            </w:r>
          </w:p>
        </w:tc>
        <w:tc>
          <w:tcPr>
            <w:tcW w:w="8789" w:type="dxa"/>
            <w:shd w:val="clear" w:color="auto" w:fill="auto"/>
          </w:tcPr>
          <w:p w14:paraId="1CC66CF1" w14:textId="77777777" w:rsidR="00BC269C" w:rsidRPr="00BC269C" w:rsidRDefault="00BC269C" w:rsidP="00BC269C">
            <w:pPr>
              <w:keepNext/>
              <w:spacing w:before="40" w:after="40" w:line="259" w:lineRule="auto"/>
              <w:jc w:val="both"/>
              <w:rPr>
                <w:rFonts w:ascii="Calibri" w:eastAsia="細明體" w:hAnsi="Calibri"/>
                <w:sz w:val="17"/>
                <w:szCs w:val="17"/>
                <w:lang w:eastAsia="zh-TW"/>
              </w:rPr>
            </w:pPr>
            <w:r w:rsidRPr="00BC269C">
              <w:rPr>
                <w:rFonts w:ascii="Calibri" w:eastAsia="細明體" w:hAnsi="Calibri" w:hint="eastAsia"/>
                <w:i/>
                <w:sz w:val="17"/>
                <w:szCs w:val="17"/>
                <w:lang w:eastAsia="zh-TW"/>
              </w:rPr>
              <w:t>方法及政策</w:t>
            </w:r>
            <w:r w:rsidRPr="00BC269C">
              <w:rPr>
                <w:rFonts w:ascii="Calibri" w:eastAsia="細明體" w:hAnsi="Calibri" w:hint="eastAsia"/>
                <w:sz w:val="17"/>
                <w:szCs w:val="17"/>
                <w:lang w:eastAsia="zh-TW"/>
              </w:rPr>
              <w:t>：與使用</w:t>
            </w:r>
            <w:r w:rsidRPr="00BC269C">
              <w:rPr>
                <w:rFonts w:ascii="Calibri" w:eastAsia="細明體" w:hAnsi="Calibri"/>
                <w:sz w:val="17"/>
                <w:szCs w:val="17"/>
                <w:lang w:eastAsia="zh-TW"/>
              </w:rPr>
              <w:t>IMM(CCR)</w:t>
            </w:r>
            <w:r w:rsidRPr="00BC269C">
              <w:rPr>
                <w:rFonts w:ascii="Calibri" w:eastAsia="細明體" w:hAnsi="Calibri" w:hint="eastAsia"/>
                <w:sz w:val="17"/>
                <w:szCs w:val="22"/>
                <w:lang w:eastAsia="zh-TW"/>
              </w:rPr>
              <w:t>計算法</w:t>
            </w:r>
            <w:r w:rsidRPr="00BC269C">
              <w:rPr>
                <w:rFonts w:ascii="Calibri" w:eastAsia="細明體" w:hAnsi="Calibri" w:hint="eastAsia"/>
                <w:sz w:val="17"/>
                <w:szCs w:val="17"/>
                <w:lang w:eastAsia="zh-TW"/>
              </w:rPr>
              <w:t>有關、由監管政策變動（例如新監管規例）導致的計算方法改變而引起的</w:t>
            </w:r>
            <w:r w:rsidRPr="00BC269C">
              <w:rPr>
                <w:rFonts w:ascii="Calibri" w:eastAsia="細明體" w:hAnsi="Calibri"/>
                <w:sz w:val="17"/>
                <w:szCs w:val="17"/>
                <w:lang w:eastAsia="zh-TW"/>
              </w:rPr>
              <w:t>風險加權數額的變動。</w:t>
            </w:r>
          </w:p>
        </w:tc>
      </w:tr>
      <w:tr w:rsidR="00BC269C" w:rsidRPr="00BC269C" w14:paraId="7D406B68" w14:textId="77777777" w:rsidTr="00E932DC">
        <w:tc>
          <w:tcPr>
            <w:tcW w:w="425" w:type="dxa"/>
            <w:shd w:val="clear" w:color="auto" w:fill="auto"/>
          </w:tcPr>
          <w:p w14:paraId="67DD2E9B"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6</w:t>
            </w:r>
          </w:p>
        </w:tc>
        <w:tc>
          <w:tcPr>
            <w:tcW w:w="8789" w:type="dxa"/>
            <w:shd w:val="clear" w:color="auto" w:fill="auto"/>
          </w:tcPr>
          <w:p w14:paraId="2B51D40B" w14:textId="77777777" w:rsidR="00BC269C" w:rsidRPr="00BC269C" w:rsidRDefault="00BC269C" w:rsidP="00BC269C">
            <w:pPr>
              <w:keepNext/>
              <w:spacing w:before="40" w:after="40" w:line="259" w:lineRule="auto"/>
              <w:jc w:val="both"/>
              <w:rPr>
                <w:rFonts w:ascii="Calibri" w:eastAsia="細明體" w:hAnsi="Calibri"/>
                <w:sz w:val="17"/>
                <w:szCs w:val="17"/>
                <w:lang w:val="en-US" w:eastAsia="zh-TW"/>
              </w:rPr>
            </w:pPr>
            <w:r w:rsidRPr="00BC269C">
              <w:rPr>
                <w:rFonts w:ascii="Calibri" w:eastAsia="細明體" w:hAnsi="Calibri" w:hint="eastAsia"/>
                <w:i/>
                <w:sz w:val="17"/>
                <w:szCs w:val="17"/>
                <w:lang w:eastAsia="zh-TW"/>
              </w:rPr>
              <w:t>收購及</w:t>
            </w:r>
            <w:r w:rsidRPr="00BC269C">
              <w:rPr>
                <w:rFonts w:ascii="Calibri" w:eastAsia="細明體" w:hAnsi="Calibri"/>
                <w:i/>
                <w:sz w:val="17"/>
                <w:szCs w:val="17"/>
                <w:lang w:eastAsia="zh-TW"/>
              </w:rPr>
              <w:t>處置</w:t>
            </w:r>
            <w:r w:rsidRPr="00BC269C">
              <w:rPr>
                <w:rFonts w:ascii="Calibri" w:eastAsia="細明體" w:hAnsi="Calibri" w:hint="eastAsia"/>
                <w:sz w:val="17"/>
                <w:szCs w:val="17"/>
                <w:lang w:eastAsia="zh-TW"/>
              </w:rPr>
              <w:t>：收購及處置實體令</w:t>
            </w:r>
            <w:proofErr w:type="gramStart"/>
            <w:r w:rsidRPr="00BC269C">
              <w:rPr>
                <w:rFonts w:ascii="Calibri" w:eastAsia="細明體" w:hAnsi="Calibri" w:hint="eastAsia"/>
                <w:sz w:val="17"/>
                <w:szCs w:val="17"/>
                <w:lang w:eastAsia="zh-TW"/>
              </w:rPr>
              <w:t>帳面</w:t>
            </w:r>
            <w:proofErr w:type="gramEnd"/>
            <w:r w:rsidRPr="00BC269C">
              <w:rPr>
                <w:rFonts w:ascii="Calibri" w:eastAsia="細明體" w:hAnsi="Calibri" w:hint="eastAsia"/>
                <w:sz w:val="17"/>
                <w:szCs w:val="17"/>
                <w:lang w:eastAsia="zh-TW"/>
              </w:rPr>
              <w:t>規模改變而引致風險加權數額的變動。</w:t>
            </w:r>
          </w:p>
        </w:tc>
      </w:tr>
      <w:tr w:rsidR="00BC269C" w:rsidRPr="00BC269C" w14:paraId="2DA2DCAE" w14:textId="77777777" w:rsidTr="00E932DC">
        <w:trPr>
          <w:trHeight w:val="309"/>
        </w:trPr>
        <w:tc>
          <w:tcPr>
            <w:tcW w:w="425" w:type="dxa"/>
            <w:shd w:val="clear" w:color="auto" w:fill="auto"/>
          </w:tcPr>
          <w:p w14:paraId="2B656493"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7</w:t>
            </w:r>
          </w:p>
        </w:tc>
        <w:tc>
          <w:tcPr>
            <w:tcW w:w="8789" w:type="dxa"/>
            <w:shd w:val="clear" w:color="auto" w:fill="auto"/>
          </w:tcPr>
          <w:p w14:paraId="6BD0358A" w14:textId="77777777" w:rsidR="00BC269C" w:rsidRPr="00BC269C" w:rsidRDefault="00BC269C" w:rsidP="00BC269C">
            <w:pPr>
              <w:keepNext/>
              <w:spacing w:before="40" w:after="40" w:line="259" w:lineRule="auto"/>
              <w:jc w:val="both"/>
              <w:rPr>
                <w:rFonts w:ascii="Calibri" w:eastAsia="細明體" w:hAnsi="Calibri"/>
                <w:sz w:val="17"/>
                <w:szCs w:val="17"/>
                <w:lang w:eastAsia="zh-TW"/>
              </w:rPr>
            </w:pPr>
            <w:r w:rsidRPr="00BC269C">
              <w:rPr>
                <w:rFonts w:ascii="Calibri" w:eastAsia="細明體" w:hAnsi="Calibri" w:hint="eastAsia"/>
                <w:i/>
                <w:sz w:val="17"/>
                <w:szCs w:val="17"/>
                <w:lang w:eastAsia="zh-TW"/>
              </w:rPr>
              <w:t>外匯變動</w:t>
            </w:r>
            <w:r w:rsidRPr="00BC269C">
              <w:rPr>
                <w:rFonts w:ascii="Calibri" w:eastAsia="細明體" w:hAnsi="Calibri" w:hint="eastAsia"/>
                <w:sz w:val="17"/>
                <w:szCs w:val="17"/>
                <w:lang w:eastAsia="zh-TW"/>
              </w:rPr>
              <w:t>：匯率變動引致風險加權數額的變動。</w:t>
            </w:r>
          </w:p>
        </w:tc>
      </w:tr>
      <w:tr w:rsidR="00BC269C" w:rsidRPr="00BC269C" w14:paraId="788BE992" w14:textId="77777777" w:rsidTr="00E932DC">
        <w:trPr>
          <w:trHeight w:val="373"/>
        </w:trPr>
        <w:tc>
          <w:tcPr>
            <w:tcW w:w="425" w:type="dxa"/>
            <w:shd w:val="clear" w:color="auto" w:fill="auto"/>
          </w:tcPr>
          <w:p w14:paraId="5BF8C844"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8</w:t>
            </w:r>
          </w:p>
        </w:tc>
        <w:tc>
          <w:tcPr>
            <w:tcW w:w="8789" w:type="dxa"/>
            <w:shd w:val="clear" w:color="auto" w:fill="auto"/>
          </w:tcPr>
          <w:p w14:paraId="7227B65C" w14:textId="77777777" w:rsidR="00BC269C" w:rsidRPr="00BC269C" w:rsidRDefault="00BC269C" w:rsidP="00BC269C">
            <w:pPr>
              <w:keepNext/>
              <w:spacing w:before="40" w:after="40" w:line="259" w:lineRule="auto"/>
              <w:jc w:val="both"/>
              <w:rPr>
                <w:rFonts w:ascii="Calibri" w:eastAsia="細明體" w:hAnsi="Calibri"/>
                <w:sz w:val="17"/>
                <w:szCs w:val="17"/>
                <w:lang w:eastAsia="zh-TW"/>
              </w:rPr>
            </w:pPr>
            <w:r w:rsidRPr="00BC269C">
              <w:rPr>
                <w:rFonts w:ascii="Calibri" w:eastAsia="細明體" w:hAnsi="Calibri" w:hint="eastAsia"/>
                <w:i/>
                <w:sz w:val="17"/>
                <w:szCs w:val="17"/>
                <w:lang w:eastAsia="zh-TW"/>
              </w:rPr>
              <w:t>其他：</w:t>
            </w:r>
            <w:r w:rsidRPr="00BC269C">
              <w:rPr>
                <w:rFonts w:ascii="Calibri" w:eastAsia="細明體" w:hAnsi="Calibri" w:hint="eastAsia"/>
                <w:sz w:val="17"/>
                <w:szCs w:val="17"/>
                <w:lang w:eastAsia="zh-TW"/>
              </w:rPr>
              <w:t>此類別涵蓋未能歸因於上述任何類別的風險加權數額的變動。認可機構應在第</w:t>
            </w:r>
            <w:r w:rsidRPr="00BC269C">
              <w:rPr>
                <w:rFonts w:ascii="Calibri" w:eastAsia="細明體" w:hAnsi="Calibri"/>
                <w:sz w:val="17"/>
                <w:szCs w:val="17"/>
                <w:lang w:eastAsia="zh-TW"/>
              </w:rPr>
              <w:t>7</w:t>
            </w:r>
            <w:r w:rsidRPr="00BC269C">
              <w:rPr>
                <w:rFonts w:ascii="Calibri" w:eastAsia="細明體" w:hAnsi="Calibri" w:hint="eastAsia"/>
                <w:sz w:val="17"/>
                <w:szCs w:val="17"/>
                <w:lang w:eastAsia="zh-TW"/>
              </w:rPr>
              <w:t>與</w:t>
            </w:r>
            <w:r w:rsidRPr="00BC269C">
              <w:rPr>
                <w:rFonts w:ascii="Calibri" w:eastAsia="細明體" w:hAnsi="Calibri"/>
                <w:sz w:val="17"/>
                <w:szCs w:val="17"/>
                <w:lang w:eastAsia="zh-TW"/>
              </w:rPr>
              <w:t>8</w:t>
            </w:r>
            <w:r w:rsidRPr="00BC269C">
              <w:rPr>
                <w:rFonts w:ascii="Calibri" w:eastAsia="細明體" w:hAnsi="Calibri"/>
                <w:sz w:val="17"/>
                <w:szCs w:val="17"/>
                <w:lang w:eastAsia="zh-TW"/>
              </w:rPr>
              <w:t>行</w:t>
            </w:r>
            <w:r w:rsidRPr="00BC269C">
              <w:rPr>
                <w:rFonts w:ascii="Calibri" w:eastAsia="細明體" w:hAnsi="Calibri" w:hint="eastAsia"/>
                <w:sz w:val="17"/>
                <w:szCs w:val="17"/>
                <w:lang w:eastAsia="zh-TW"/>
              </w:rPr>
              <w:t>之間加入</w:t>
            </w:r>
            <w:r w:rsidRPr="00BC269C">
              <w:rPr>
                <w:rFonts w:ascii="Calibri" w:eastAsia="細明體" w:hAnsi="Calibri" w:hint="eastAsia"/>
                <w:sz w:val="17"/>
                <w:szCs w:val="22"/>
                <w:lang w:eastAsia="zh-TW"/>
              </w:rPr>
              <w:t>附加</w:t>
            </w:r>
            <w:r w:rsidRPr="00BC269C">
              <w:rPr>
                <w:rFonts w:ascii="Calibri" w:eastAsia="細明體" w:hAnsi="Calibri" w:hint="eastAsia"/>
                <w:sz w:val="17"/>
                <w:szCs w:val="17"/>
                <w:lang w:eastAsia="zh-TW"/>
              </w:rPr>
              <w:t>行（稱為</w:t>
            </w:r>
            <w:r w:rsidRPr="00BC269C">
              <w:rPr>
                <w:rFonts w:ascii="Calibri" w:eastAsia="細明體" w:hAnsi="Calibri"/>
                <w:sz w:val="17"/>
                <w:szCs w:val="17"/>
                <w:lang w:eastAsia="zh-TW"/>
              </w:rPr>
              <w:t>7a</w:t>
            </w:r>
            <w:r w:rsidRPr="00BC269C">
              <w:rPr>
                <w:rFonts w:ascii="Calibri" w:eastAsia="細明體" w:hAnsi="Calibri" w:hint="eastAsia"/>
                <w:sz w:val="17"/>
                <w:szCs w:val="17"/>
                <w:lang w:eastAsia="zh-TW"/>
              </w:rPr>
              <w:t>、</w:t>
            </w:r>
            <w:r w:rsidRPr="00BC269C">
              <w:rPr>
                <w:rFonts w:ascii="Calibri" w:eastAsia="細明體" w:hAnsi="Calibri"/>
                <w:sz w:val="17"/>
                <w:szCs w:val="17"/>
                <w:lang w:eastAsia="zh-TW"/>
              </w:rPr>
              <w:t>7b</w:t>
            </w:r>
            <w:r w:rsidRPr="00BC269C">
              <w:rPr>
                <w:rFonts w:ascii="Calibri" w:eastAsia="細明體" w:hAnsi="Calibri" w:hint="eastAsia"/>
                <w:sz w:val="17"/>
                <w:szCs w:val="17"/>
                <w:lang w:eastAsia="zh-TW"/>
              </w:rPr>
              <w:t>等，如此類推），以披露引致現行報告期的風險加權數額變動的其他主要驅動因素。</w:t>
            </w:r>
          </w:p>
        </w:tc>
      </w:tr>
      <w:tr w:rsidR="00BC269C" w:rsidRPr="00BC269C" w14:paraId="2AC730C3" w14:textId="77777777" w:rsidTr="00E932DC">
        <w:trPr>
          <w:trHeight w:val="373"/>
        </w:trPr>
        <w:tc>
          <w:tcPr>
            <w:tcW w:w="425" w:type="dxa"/>
            <w:shd w:val="clear" w:color="auto" w:fill="auto"/>
          </w:tcPr>
          <w:p w14:paraId="2A8C7383"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sz w:val="17"/>
                <w:szCs w:val="17"/>
                <w:lang w:eastAsia="en-GB"/>
              </w:rPr>
            </w:pPr>
            <w:r w:rsidRPr="00BC269C">
              <w:rPr>
                <w:rFonts w:ascii="Calibri" w:eastAsia="細明體" w:hAnsi="Calibri"/>
                <w:sz w:val="17"/>
                <w:szCs w:val="17"/>
                <w:lang w:eastAsia="en-GB"/>
              </w:rPr>
              <w:t>9</w:t>
            </w:r>
          </w:p>
        </w:tc>
        <w:tc>
          <w:tcPr>
            <w:tcW w:w="8789" w:type="dxa"/>
            <w:shd w:val="clear" w:color="auto" w:fill="auto"/>
          </w:tcPr>
          <w:p w14:paraId="69382A99" w14:textId="77777777" w:rsidR="00BC269C" w:rsidRPr="00BC269C" w:rsidRDefault="00BC269C" w:rsidP="00BC269C">
            <w:pPr>
              <w:keepNext/>
              <w:spacing w:before="40" w:after="40" w:line="259" w:lineRule="auto"/>
              <w:jc w:val="both"/>
              <w:rPr>
                <w:rFonts w:ascii="Calibri" w:eastAsia="細明體" w:hAnsi="Calibri"/>
                <w:i/>
                <w:sz w:val="17"/>
                <w:szCs w:val="17"/>
                <w:lang w:val="en-US" w:eastAsia="zh-TW"/>
              </w:rPr>
            </w:pPr>
            <w:r w:rsidRPr="00BC269C">
              <w:rPr>
                <w:rFonts w:ascii="Calibri" w:eastAsia="細明體" w:hAnsi="Calibri" w:hint="eastAsia"/>
                <w:i/>
                <w:sz w:val="17"/>
                <w:szCs w:val="17"/>
                <w:lang w:eastAsia="zh-TW"/>
              </w:rPr>
              <w:t>報告期</w:t>
            </w:r>
            <w:r w:rsidRPr="00BC269C">
              <w:rPr>
                <w:rFonts w:ascii="細明體" w:eastAsia="細明體" w:hAnsi="細明體" w:cs="細明體"/>
                <w:i/>
                <w:sz w:val="17"/>
                <w:szCs w:val="22"/>
                <w:lang w:eastAsia="zh-TW"/>
              </w:rPr>
              <w:t>末</w:t>
            </w:r>
            <w:r w:rsidRPr="00BC269C">
              <w:rPr>
                <w:rFonts w:ascii="Calibri" w:eastAsia="細明體" w:hAnsi="Calibri" w:hint="eastAsia"/>
                <w:i/>
                <w:sz w:val="17"/>
                <w:szCs w:val="17"/>
                <w:lang w:eastAsia="zh-TW"/>
              </w:rPr>
              <w:t>風險加權數額</w:t>
            </w:r>
            <w:r w:rsidRPr="00BC269C">
              <w:rPr>
                <w:rFonts w:ascii="Calibri" w:eastAsia="細明體" w:hAnsi="Calibri" w:hint="eastAsia"/>
                <w:sz w:val="17"/>
                <w:szCs w:val="17"/>
                <w:lang w:eastAsia="zh-TW"/>
              </w:rPr>
              <w:t>：為第</w:t>
            </w:r>
            <w:r w:rsidRPr="00BC269C">
              <w:rPr>
                <w:rFonts w:ascii="Calibri" w:eastAsia="細明體" w:hAnsi="Calibri"/>
                <w:sz w:val="17"/>
                <w:szCs w:val="17"/>
                <w:lang w:eastAsia="zh-TW"/>
              </w:rPr>
              <w:t>1</w:t>
            </w:r>
            <w:r w:rsidRPr="00BC269C">
              <w:rPr>
                <w:rFonts w:ascii="Calibri" w:eastAsia="細明體" w:hAnsi="Calibri" w:hint="eastAsia"/>
                <w:sz w:val="17"/>
                <w:szCs w:val="17"/>
                <w:lang w:eastAsia="zh-TW"/>
              </w:rPr>
              <w:t>至</w:t>
            </w:r>
            <w:r w:rsidRPr="00BC269C">
              <w:rPr>
                <w:rFonts w:ascii="Calibri" w:eastAsia="細明體" w:hAnsi="Calibri"/>
                <w:sz w:val="17"/>
                <w:szCs w:val="17"/>
                <w:lang w:eastAsia="zh-TW"/>
              </w:rPr>
              <w:t>8</w:t>
            </w:r>
            <w:r w:rsidRPr="00BC269C">
              <w:rPr>
                <w:rFonts w:ascii="Calibri" w:eastAsia="細明體" w:hAnsi="Calibri"/>
                <w:sz w:val="17"/>
                <w:szCs w:val="17"/>
                <w:lang w:eastAsia="zh-TW"/>
              </w:rPr>
              <w:t>行</w:t>
            </w:r>
            <w:r w:rsidRPr="00BC269C">
              <w:rPr>
                <w:rFonts w:ascii="Calibri" w:eastAsia="細明體" w:hAnsi="Calibri" w:hint="eastAsia"/>
                <w:sz w:val="17"/>
                <w:szCs w:val="17"/>
                <w:lang w:eastAsia="zh-TW"/>
              </w:rPr>
              <w:t>（</w:t>
            </w:r>
            <w:r w:rsidRPr="00BC269C">
              <w:rPr>
                <w:rFonts w:ascii="Calibri" w:eastAsia="細明體" w:hAnsi="Calibri"/>
                <w:sz w:val="17"/>
                <w:szCs w:val="17"/>
                <w:lang w:eastAsia="zh-TW"/>
              </w:rPr>
              <w:t>包括由</w:t>
            </w:r>
            <w:r w:rsidRPr="00BC269C">
              <w:rPr>
                <w:rFonts w:ascii="Calibri" w:eastAsia="細明體" w:hAnsi="Calibri" w:hint="eastAsia"/>
                <w:sz w:val="17"/>
                <w:szCs w:val="17"/>
                <w:lang w:eastAsia="zh-TW"/>
              </w:rPr>
              <w:t>認可機構加</w:t>
            </w:r>
            <w:r w:rsidRPr="00BC269C">
              <w:rPr>
                <w:rFonts w:ascii="Calibri" w:eastAsia="細明體" w:hAnsi="Calibri"/>
                <w:sz w:val="17"/>
                <w:szCs w:val="17"/>
                <w:lang w:eastAsia="zh-TW"/>
              </w:rPr>
              <w:t>入的</w:t>
            </w:r>
            <w:r w:rsidRPr="00BC269C">
              <w:rPr>
                <w:rFonts w:ascii="Calibri" w:eastAsia="細明體" w:hAnsi="Calibri" w:hint="eastAsia"/>
                <w:sz w:val="17"/>
                <w:szCs w:val="17"/>
                <w:lang w:eastAsia="zh-TW"/>
              </w:rPr>
              <w:t>額外行）的值的</w:t>
            </w:r>
            <w:proofErr w:type="gramStart"/>
            <w:r w:rsidRPr="00BC269C">
              <w:rPr>
                <w:rFonts w:ascii="Calibri" w:eastAsia="細明體" w:hAnsi="Calibri" w:hint="eastAsia"/>
                <w:sz w:val="17"/>
                <w:szCs w:val="17"/>
                <w:lang w:eastAsia="zh-TW"/>
              </w:rPr>
              <w:t>和</w:t>
            </w:r>
            <w:proofErr w:type="gramEnd"/>
            <w:r w:rsidRPr="00BC269C">
              <w:rPr>
                <w:rFonts w:ascii="Calibri" w:eastAsia="細明體" w:hAnsi="Calibri" w:hint="eastAsia"/>
                <w:sz w:val="17"/>
                <w:szCs w:val="17"/>
                <w:lang w:eastAsia="zh-TW"/>
              </w:rPr>
              <w:t>，亦相等於</w:t>
            </w:r>
            <w:r w:rsidRPr="00BC269C">
              <w:rPr>
                <w:rFonts w:ascii="Calibri" w:eastAsia="細明體" w:hAnsi="Calibri"/>
                <w:sz w:val="17"/>
                <w:szCs w:val="17"/>
                <w:lang w:eastAsia="zh-TW"/>
              </w:rPr>
              <w:t xml:space="preserve">[OV1: </w:t>
            </w:r>
            <w:r w:rsidRPr="00BC269C">
              <w:rPr>
                <w:rFonts w:ascii="Calibri" w:eastAsia="細明體" w:hAnsi="Calibri" w:hint="eastAsia"/>
                <w:sz w:val="17"/>
                <w:szCs w:val="17"/>
                <w:lang w:eastAsia="zh-TW"/>
              </w:rPr>
              <w:t>8</w:t>
            </w:r>
            <w:r w:rsidRPr="00BC269C">
              <w:rPr>
                <w:rFonts w:ascii="Calibri" w:eastAsia="細明體" w:hAnsi="Calibri"/>
                <w:sz w:val="17"/>
                <w:szCs w:val="17"/>
                <w:lang w:eastAsia="zh-TW"/>
              </w:rPr>
              <w:t>/</w:t>
            </w:r>
            <w:proofErr w:type="gramStart"/>
            <w:r w:rsidRPr="00BC269C">
              <w:rPr>
                <w:rFonts w:ascii="Calibri" w:eastAsia="細明體" w:hAnsi="Calibri"/>
                <w:sz w:val="17"/>
                <w:szCs w:val="17"/>
                <w:lang w:eastAsia="zh-TW"/>
              </w:rPr>
              <w:t>a]</w:t>
            </w:r>
            <w:r w:rsidRPr="00BC269C">
              <w:rPr>
                <w:rFonts w:ascii="Calibri" w:eastAsia="細明體" w:hAnsi="Calibri" w:hint="eastAsia"/>
                <w:sz w:val="17"/>
                <w:szCs w:val="17"/>
                <w:lang w:eastAsia="zh-HK"/>
              </w:rPr>
              <w:t>及</w:t>
            </w:r>
            <w:proofErr w:type="gramEnd"/>
            <w:r w:rsidRPr="00BC269C">
              <w:rPr>
                <w:rFonts w:ascii="Calibri" w:eastAsia="細明體" w:hAnsi="Calibri"/>
                <w:sz w:val="17"/>
                <w:szCs w:val="17"/>
                <w:lang w:eastAsia="zh-TW"/>
              </w:rPr>
              <w:t>[</w:t>
            </w:r>
            <w:r w:rsidRPr="00BC269C">
              <w:rPr>
                <w:rFonts w:ascii="Calibri" w:eastAsia="細明體" w:hAnsi="Calibri" w:hint="eastAsia"/>
                <w:sz w:val="17"/>
                <w:szCs w:val="17"/>
                <w:lang w:eastAsia="zh-TW"/>
              </w:rPr>
              <w:t>CCR</w:t>
            </w:r>
            <w:r w:rsidRPr="00BC269C">
              <w:rPr>
                <w:rFonts w:ascii="Calibri" w:eastAsia="細明體" w:hAnsi="Calibri"/>
                <w:sz w:val="17"/>
                <w:szCs w:val="17"/>
                <w:lang w:eastAsia="zh-TW"/>
              </w:rPr>
              <w:t xml:space="preserve">1: </w:t>
            </w:r>
            <w:r w:rsidRPr="00BC269C">
              <w:rPr>
                <w:rFonts w:ascii="Calibri" w:eastAsia="細明體" w:hAnsi="Calibri" w:hint="eastAsia"/>
                <w:sz w:val="17"/>
                <w:szCs w:val="17"/>
                <w:lang w:eastAsia="zh-TW"/>
              </w:rPr>
              <w:t>2</w:t>
            </w:r>
            <w:r w:rsidRPr="00BC269C">
              <w:rPr>
                <w:rFonts w:ascii="Calibri" w:eastAsia="細明體" w:hAnsi="Calibri"/>
                <w:sz w:val="17"/>
                <w:szCs w:val="17"/>
                <w:lang w:eastAsia="zh-TW"/>
              </w:rPr>
              <w:t>/f]</w:t>
            </w:r>
            <w:r w:rsidRPr="00BC269C">
              <w:rPr>
                <w:rFonts w:ascii="Calibri" w:eastAsia="細明體" w:hAnsi="Calibri" w:hint="eastAsia"/>
                <w:sz w:val="17"/>
                <w:szCs w:val="17"/>
                <w:lang w:eastAsia="zh-TW"/>
              </w:rPr>
              <w:t>的值。</w:t>
            </w:r>
          </w:p>
        </w:tc>
      </w:tr>
    </w:tbl>
    <w:p w14:paraId="36A66203" w14:textId="77777777" w:rsidR="00BC269C" w:rsidRPr="00BC269C" w:rsidRDefault="00BC269C" w:rsidP="00BC269C">
      <w:pPr>
        <w:spacing w:after="160" w:line="259" w:lineRule="auto"/>
        <w:rPr>
          <w:rFonts w:ascii="Calibri" w:eastAsia="新細明體" w:hAnsi="Calibri"/>
          <w:sz w:val="22"/>
          <w:szCs w:val="22"/>
          <w:lang w:eastAsia="zh-TW"/>
        </w:rPr>
        <w:sectPr w:rsidR="00BC269C" w:rsidRPr="00BC269C">
          <w:footerReference w:type="default" r:id="rId86"/>
          <w:pgSz w:w="11906" w:h="16838"/>
          <w:pgMar w:top="1440" w:right="1797" w:bottom="1440" w:left="1797" w:header="720" w:footer="737" w:gutter="0"/>
          <w:cols w:space="720"/>
          <w:docGrid w:type="linesAndChars" w:linePitch="360"/>
        </w:sectPr>
      </w:pPr>
    </w:p>
    <w:p w14:paraId="7B052717" w14:textId="16C5012B" w:rsidR="00A24744" w:rsidRPr="00A24744" w:rsidRDefault="00A24744" w:rsidP="0029639E">
      <w:pPr>
        <w:pStyle w:val="Heading2"/>
        <w:keepNext w:val="0"/>
        <w:suppressAutoHyphens w:val="0"/>
        <w:spacing w:before="40" w:line="240" w:lineRule="auto"/>
        <w:ind w:left="-454" w:firstLine="28"/>
        <w:rPr>
          <w:rFonts w:ascii="細明體" w:eastAsia="細明體" w:hAnsi="細明體"/>
          <w:b w:val="0"/>
          <w:bCs w:val="0"/>
          <w:sz w:val="22"/>
          <w:szCs w:val="20"/>
          <w:lang w:eastAsia="zh-TW"/>
        </w:rPr>
      </w:pPr>
      <w:r w:rsidRPr="00A24744">
        <w:rPr>
          <w:rFonts w:ascii="細明體" w:eastAsia="細明體" w:hAnsi="細明體" w:cs="微軟正黑體" w:hint="eastAsia"/>
          <w:b w:val="0"/>
          <w:bCs w:val="0"/>
          <w:sz w:val="22"/>
          <w:szCs w:val="20"/>
          <w:lang w:eastAsia="zh-TW"/>
        </w:rPr>
        <w:t>模版</w:t>
      </w:r>
      <w:r w:rsidRPr="00A24744">
        <w:rPr>
          <w:rFonts w:ascii="Segoe UI" w:eastAsia="細明體" w:hAnsi="Segoe UI" w:cs="Segoe UI"/>
          <w:b w:val="0"/>
          <w:bCs w:val="0"/>
          <w:sz w:val="22"/>
          <w:szCs w:val="20"/>
          <w:lang w:eastAsia="zh-TW"/>
        </w:rPr>
        <w:t>CCR8</w:t>
      </w:r>
      <w:r w:rsidRPr="00A24744">
        <w:rPr>
          <w:rFonts w:ascii="細明體" w:eastAsia="細明體" w:hAnsi="細明體" w:cs="微軟正黑體" w:hint="eastAsia"/>
          <w:b w:val="0"/>
          <w:bCs w:val="0"/>
          <w:sz w:val="22"/>
          <w:szCs w:val="20"/>
          <w:lang w:eastAsia="zh-TW"/>
        </w:rPr>
        <w:t>：對中央交易對手方的風險承擔</w:t>
      </w:r>
    </w:p>
    <w:tbl>
      <w:tblPr>
        <w:tblW w:w="9248" w:type="dxa"/>
        <w:tblInd w:w="-459" w:type="dxa"/>
        <w:tblLayout w:type="fixed"/>
        <w:tblLook w:val="0000" w:firstRow="0" w:lastRow="0" w:firstColumn="0" w:lastColumn="0" w:noHBand="0" w:noVBand="0"/>
      </w:tblPr>
      <w:tblGrid>
        <w:gridCol w:w="2160"/>
        <w:gridCol w:w="7088"/>
      </w:tblGrid>
      <w:tr w:rsidR="00BC269C" w:rsidRPr="00BC269C" w14:paraId="6F94C4E1" w14:textId="77777777" w:rsidTr="0029639E">
        <w:tc>
          <w:tcPr>
            <w:tcW w:w="2160" w:type="dxa"/>
            <w:tcBorders>
              <w:top w:val="single" w:sz="4" w:space="0" w:color="000000"/>
              <w:bottom w:val="single" w:sz="4" w:space="0" w:color="000000"/>
            </w:tcBorders>
            <w:shd w:val="clear" w:color="auto" w:fill="auto"/>
          </w:tcPr>
          <w:p w14:paraId="3CF72098" w14:textId="77777777" w:rsidR="00BC269C" w:rsidRPr="00BC269C" w:rsidRDefault="00BC269C" w:rsidP="00BC269C">
            <w:pPr>
              <w:spacing w:before="40" w:after="40" w:line="259" w:lineRule="auto"/>
              <w:rPr>
                <w:rFonts w:ascii="Calibri" w:eastAsia="細明體" w:hAnsi="Calibri"/>
                <w:color w:val="000000"/>
                <w:kern w:val="1"/>
                <w:sz w:val="22"/>
                <w:szCs w:val="17"/>
                <w:lang w:eastAsia="zh-CN"/>
              </w:rPr>
            </w:pPr>
            <w:r w:rsidRPr="00BC269C">
              <w:rPr>
                <w:rFonts w:ascii="Calibri" w:eastAsia="細明體" w:hAnsi="Calibri" w:hint="eastAsia"/>
                <w:b/>
                <w:sz w:val="17"/>
                <w:szCs w:val="22"/>
                <w:lang w:eastAsia="zh-CN"/>
              </w:rPr>
              <w:t>目的：</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6FAA33DE"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color w:val="000000"/>
                <w:kern w:val="1"/>
                <w:sz w:val="17"/>
                <w:szCs w:val="17"/>
                <w:lang w:eastAsia="ar-SA"/>
              </w:rPr>
              <w:t>就對合資格及不合資格中央交易對手方的風險承擔及對應的風險加權數額，提供細目分類，包括對中央交易對手方的違責風險的風險承擔；及向中央交易對手方提供開倉保證金而產生的信用風險承擔，及對該等中央交易對手方作出的違責基金承擔而產生的信用風險承擔</w:t>
            </w:r>
            <w:r w:rsidRPr="00BC269C">
              <w:rPr>
                <w:rFonts w:eastAsia="細明體" w:cs="Segoe UI" w:hint="eastAsia"/>
                <w:sz w:val="17"/>
                <w:lang w:eastAsia="ar-SA"/>
              </w:rPr>
              <w:t>。</w:t>
            </w:r>
          </w:p>
        </w:tc>
      </w:tr>
      <w:tr w:rsidR="00BC269C" w:rsidRPr="00BC269C" w14:paraId="29DC17A8" w14:textId="77777777" w:rsidTr="0029639E">
        <w:tc>
          <w:tcPr>
            <w:tcW w:w="2160" w:type="dxa"/>
            <w:tcBorders>
              <w:top w:val="single" w:sz="4" w:space="0" w:color="000000"/>
              <w:bottom w:val="single" w:sz="4" w:space="0" w:color="000000"/>
            </w:tcBorders>
            <w:shd w:val="clear" w:color="auto" w:fill="auto"/>
          </w:tcPr>
          <w:p w14:paraId="3951E80C" w14:textId="77777777" w:rsidR="00BC269C" w:rsidRPr="00BC269C" w:rsidRDefault="00BC269C" w:rsidP="00BC269C">
            <w:pPr>
              <w:spacing w:before="40" w:after="40" w:line="259" w:lineRule="auto"/>
              <w:rPr>
                <w:rFonts w:ascii="Calibri" w:eastAsia="細明體" w:hAnsi="Calibri"/>
                <w:sz w:val="17"/>
                <w:szCs w:val="22"/>
                <w:lang w:eastAsia="zh-CN"/>
              </w:rPr>
            </w:pPr>
            <w:r w:rsidRPr="00BC269C">
              <w:rPr>
                <w:rFonts w:ascii="Calibri" w:eastAsia="細明體" w:hAnsi="Calibri" w:hint="eastAsia"/>
                <w:b/>
                <w:sz w:val="17"/>
                <w:szCs w:val="22"/>
                <w:lang w:eastAsia="zh-CN"/>
              </w:rPr>
              <w:t>適用範</w:t>
            </w:r>
            <w:proofErr w:type="gramStart"/>
            <w:r w:rsidRPr="00BC269C">
              <w:rPr>
                <w:rFonts w:ascii="Calibri" w:eastAsia="細明體" w:hAnsi="Calibri" w:hint="eastAsia"/>
                <w:b/>
                <w:sz w:val="17"/>
                <w:szCs w:val="22"/>
                <w:lang w:eastAsia="zh-CN"/>
              </w:rPr>
              <w:t>圍</w:t>
            </w:r>
            <w:proofErr w:type="gramEnd"/>
            <w:r w:rsidRPr="00BC269C">
              <w:rPr>
                <w:rFonts w:ascii="Calibri" w:eastAsia="細明體" w:hAnsi="Calibri" w:hint="eastAsia"/>
                <w:b/>
                <w:sz w:val="17"/>
                <w:szCs w:val="22"/>
                <w:lang w:eastAsia="zh-CN"/>
              </w:rPr>
              <w:t>：</w:t>
            </w:r>
            <w:r w:rsidRPr="00BC269C">
              <w:rPr>
                <w:rFonts w:ascii="Calibri" w:eastAsia="細明體" w:hAnsi="Calibri"/>
                <w:b/>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163FD506" w14:textId="77777777" w:rsidR="00BC269C" w:rsidRPr="00BC269C" w:rsidRDefault="00BC269C" w:rsidP="00BC269C">
            <w:pPr>
              <w:spacing w:before="40" w:after="40" w:line="259" w:lineRule="auto"/>
              <w:jc w:val="both"/>
              <w:rPr>
                <w:rFonts w:ascii="Calibri" w:eastAsia="新細明體" w:hAnsi="Calibri"/>
                <w:sz w:val="22"/>
                <w:szCs w:val="22"/>
                <w:lang w:eastAsia="zh-TW"/>
              </w:rPr>
            </w:pPr>
            <w:r w:rsidRPr="00BC269C">
              <w:rPr>
                <w:rFonts w:ascii="Calibri" w:eastAsia="細明體" w:hAnsi="Calibri" w:hint="eastAsia"/>
                <w:sz w:val="17"/>
                <w:szCs w:val="22"/>
                <w:lang w:eastAsia="zh-TW"/>
              </w:rPr>
              <w:t>所有在香港成立</w:t>
            </w:r>
            <w:proofErr w:type="gramStart"/>
            <w:r w:rsidRPr="00BC269C">
              <w:rPr>
                <w:rFonts w:ascii="Calibri" w:eastAsia="細明體" w:hAnsi="Calibri" w:hint="eastAsia"/>
                <w:sz w:val="17"/>
                <w:szCs w:val="22"/>
                <w:lang w:eastAsia="zh-TW"/>
              </w:rPr>
              <w:t>為法團的</w:t>
            </w:r>
            <w:proofErr w:type="gramEnd"/>
            <w:r w:rsidRPr="00BC269C">
              <w:rPr>
                <w:rFonts w:ascii="Calibri" w:eastAsia="細明體" w:hAnsi="Calibri" w:hint="eastAsia"/>
                <w:sz w:val="17"/>
                <w:szCs w:val="22"/>
                <w:lang w:eastAsia="zh-TW"/>
              </w:rPr>
              <w:t>認可機構</w:t>
            </w:r>
            <w:proofErr w:type="gramStart"/>
            <w:r w:rsidRPr="00BC269C">
              <w:rPr>
                <w:rFonts w:ascii="Calibri" w:eastAsia="細明體" w:hAnsi="Calibri" w:hint="eastAsia"/>
                <w:sz w:val="17"/>
                <w:szCs w:val="22"/>
                <w:lang w:eastAsia="zh-TW"/>
              </w:rPr>
              <w:t>均須填報本模</w:t>
            </w:r>
            <w:proofErr w:type="gramEnd"/>
            <w:r w:rsidRPr="00BC269C">
              <w:rPr>
                <w:rFonts w:ascii="Calibri" w:eastAsia="細明體" w:hAnsi="Calibri" w:hint="eastAsia"/>
                <w:sz w:val="17"/>
                <w:szCs w:val="22"/>
                <w:lang w:eastAsia="zh-TW"/>
              </w:rPr>
              <w:t>版。</w:t>
            </w:r>
          </w:p>
        </w:tc>
      </w:tr>
      <w:tr w:rsidR="00BC269C" w:rsidRPr="00BC269C" w14:paraId="78219F59" w14:textId="77777777" w:rsidTr="0029639E">
        <w:tc>
          <w:tcPr>
            <w:tcW w:w="2160" w:type="dxa"/>
            <w:tcBorders>
              <w:top w:val="single" w:sz="4" w:space="0" w:color="000000"/>
              <w:bottom w:val="single" w:sz="4" w:space="0" w:color="000000"/>
            </w:tcBorders>
            <w:shd w:val="clear" w:color="auto" w:fill="auto"/>
          </w:tcPr>
          <w:p w14:paraId="7B843EA7" w14:textId="77777777" w:rsidR="00BC269C" w:rsidRPr="00BC269C" w:rsidRDefault="00BC269C" w:rsidP="00BC269C">
            <w:pPr>
              <w:spacing w:before="40" w:after="40" w:line="259" w:lineRule="auto"/>
              <w:rPr>
                <w:rFonts w:ascii="Calibri" w:eastAsia="細明體" w:hAnsi="Calibri"/>
                <w:sz w:val="17"/>
                <w:szCs w:val="22"/>
                <w:lang w:eastAsia="zh-CN"/>
              </w:rPr>
            </w:pPr>
            <w:proofErr w:type="gramStart"/>
            <w:r w:rsidRPr="00BC269C">
              <w:rPr>
                <w:rFonts w:ascii="Calibri" w:eastAsia="細明體" w:hAnsi="Calibri" w:hint="eastAsia"/>
                <w:b/>
                <w:sz w:val="17"/>
                <w:szCs w:val="22"/>
                <w:lang w:eastAsia="zh-CN"/>
              </w:rPr>
              <w:t>內</w:t>
            </w:r>
            <w:proofErr w:type="gramEnd"/>
            <w:r w:rsidRPr="00BC269C">
              <w:rPr>
                <w:rFonts w:ascii="Calibri" w:eastAsia="細明體" w:hAnsi="Calibri" w:hint="eastAsia"/>
                <w:b/>
                <w:sz w:val="17"/>
                <w:szCs w:val="22"/>
                <w:lang w:eastAsia="zh-CN"/>
              </w:rPr>
              <w:t>容：</w:t>
            </w:r>
            <w:r w:rsidRPr="00BC269C">
              <w:rPr>
                <w:rFonts w:ascii="Calibri" w:eastAsia="細明體" w:hAnsi="Calibri"/>
                <w:b/>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1B647678" w14:textId="77777777" w:rsidR="00BC269C" w:rsidRPr="00BC269C" w:rsidRDefault="00BC269C" w:rsidP="00BC269C">
            <w:pPr>
              <w:spacing w:before="40" w:after="40" w:line="259" w:lineRule="auto"/>
              <w:jc w:val="both"/>
              <w:rPr>
                <w:rFonts w:ascii="Calibri" w:eastAsia="新細明體" w:hAnsi="Calibri"/>
                <w:sz w:val="22"/>
                <w:szCs w:val="22"/>
                <w:lang w:eastAsia="zh-TW"/>
              </w:rPr>
            </w:pPr>
            <w:r w:rsidRPr="00BC269C">
              <w:rPr>
                <w:rFonts w:ascii="Calibri" w:eastAsia="細明體" w:hAnsi="Calibri" w:hint="eastAsia"/>
                <w:sz w:val="17"/>
                <w:szCs w:val="22"/>
                <w:lang w:eastAsia="zh-TW"/>
              </w:rPr>
              <w:t>已將認可減低信用風險措施</w:t>
            </w:r>
            <w:r w:rsidRPr="00BC269C">
              <w:rPr>
                <w:rFonts w:ascii="Calibri" w:eastAsia="細明體" w:hAnsi="Calibri" w:hint="eastAsia"/>
                <w:bCs/>
                <w:sz w:val="17"/>
                <w:szCs w:val="17"/>
                <w:lang w:eastAsia="zh-TW"/>
              </w:rPr>
              <w:t>計算在內</w:t>
            </w:r>
            <w:r w:rsidRPr="00BC269C">
              <w:rPr>
                <w:rFonts w:ascii="Calibri" w:eastAsia="細明體" w:hAnsi="Calibri" w:hint="eastAsia"/>
                <w:sz w:val="17"/>
                <w:szCs w:val="22"/>
                <w:lang w:eastAsia="zh-TW"/>
              </w:rPr>
              <w:t>的對中央交易對手方的風險承擔及對應對中央交易對手方的風險承擔的風險加權數額。</w:t>
            </w:r>
          </w:p>
        </w:tc>
      </w:tr>
      <w:tr w:rsidR="00BC269C" w:rsidRPr="00BC269C" w14:paraId="27A33E2B" w14:textId="77777777" w:rsidTr="0029639E">
        <w:tc>
          <w:tcPr>
            <w:tcW w:w="2160" w:type="dxa"/>
            <w:tcBorders>
              <w:top w:val="single" w:sz="4" w:space="0" w:color="000000"/>
              <w:bottom w:val="single" w:sz="4" w:space="0" w:color="000000"/>
            </w:tcBorders>
            <w:shd w:val="clear" w:color="auto" w:fill="auto"/>
          </w:tcPr>
          <w:p w14:paraId="3CEB1DA8"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頻密程度：</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22DD877B"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sz w:val="17"/>
                <w:lang w:eastAsia="ar-SA"/>
              </w:rPr>
              <w:t>每半年一次</w:t>
            </w:r>
            <w:r w:rsidRPr="00BC269C">
              <w:rPr>
                <w:rFonts w:eastAsia="細明體" w:cs="Segoe UI"/>
                <w:sz w:val="17"/>
                <w:lang w:eastAsia="ar-SA"/>
              </w:rPr>
              <w:t>。</w:t>
            </w:r>
          </w:p>
        </w:tc>
      </w:tr>
      <w:tr w:rsidR="00BC269C" w:rsidRPr="00BC269C" w14:paraId="291B436E" w14:textId="77777777" w:rsidTr="0029639E">
        <w:trPr>
          <w:trHeight w:val="207"/>
        </w:trPr>
        <w:tc>
          <w:tcPr>
            <w:tcW w:w="2160" w:type="dxa"/>
            <w:tcBorders>
              <w:top w:val="single" w:sz="4" w:space="0" w:color="000000"/>
              <w:bottom w:val="single" w:sz="4" w:space="0" w:color="000000"/>
            </w:tcBorders>
            <w:shd w:val="clear" w:color="auto" w:fill="auto"/>
          </w:tcPr>
          <w:p w14:paraId="3C94D236" w14:textId="77777777" w:rsidR="00BC269C" w:rsidRPr="00BC269C" w:rsidRDefault="00BC269C" w:rsidP="00BC269C">
            <w:pPr>
              <w:spacing w:before="40" w:after="40" w:line="259" w:lineRule="auto"/>
              <w:rPr>
                <w:rFonts w:ascii="Calibri" w:eastAsia="細明體" w:hAnsi="Calibri"/>
                <w:sz w:val="22"/>
                <w:szCs w:val="22"/>
                <w:lang w:eastAsia="zh-CN"/>
              </w:rPr>
            </w:pPr>
            <w:r w:rsidRPr="00BC269C">
              <w:rPr>
                <w:rFonts w:ascii="Calibri" w:eastAsia="細明體" w:hAnsi="Calibri" w:hint="eastAsia"/>
                <w:b/>
                <w:sz w:val="17"/>
                <w:szCs w:val="22"/>
                <w:lang w:eastAsia="zh-CN"/>
              </w:rPr>
              <w:t>格式：</w:t>
            </w:r>
            <w:r w:rsidRPr="00BC269C">
              <w:rPr>
                <w:rFonts w:ascii="Calibri" w:eastAsia="細明體" w:hAnsi="Calibri"/>
                <w:sz w:val="17"/>
                <w:szCs w:val="22"/>
                <w:lang w:eastAsia="zh-CN"/>
              </w:rPr>
              <w:t xml:space="preserve"> </w:t>
            </w:r>
          </w:p>
        </w:tc>
        <w:tc>
          <w:tcPr>
            <w:tcW w:w="7088" w:type="dxa"/>
            <w:tcBorders>
              <w:top w:val="single" w:sz="4" w:space="0" w:color="000000"/>
              <w:left w:val="single" w:sz="4" w:space="0" w:color="000000"/>
              <w:bottom w:val="single" w:sz="4" w:space="0" w:color="000000"/>
            </w:tcBorders>
            <w:shd w:val="clear" w:color="auto" w:fill="auto"/>
          </w:tcPr>
          <w:p w14:paraId="34512C3F"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sz w:val="17"/>
                <w:lang w:eastAsia="ar-SA"/>
              </w:rPr>
              <w:t>固定。認可機構應提供對合資格及不合資格中央交易對手方的風險承擔的細目分類。</w:t>
            </w:r>
          </w:p>
        </w:tc>
      </w:tr>
      <w:tr w:rsidR="00BC269C" w:rsidRPr="00BC269C" w14:paraId="6527244F" w14:textId="77777777" w:rsidTr="0029639E">
        <w:trPr>
          <w:trHeight w:val="469"/>
        </w:trPr>
        <w:tc>
          <w:tcPr>
            <w:tcW w:w="2160" w:type="dxa"/>
            <w:tcBorders>
              <w:top w:val="single" w:sz="4" w:space="0" w:color="000000"/>
              <w:bottom w:val="single" w:sz="4" w:space="0" w:color="000000"/>
            </w:tcBorders>
            <w:shd w:val="clear" w:color="auto" w:fill="auto"/>
          </w:tcPr>
          <w:p w14:paraId="15F6A4EF" w14:textId="77777777" w:rsidR="00BC269C" w:rsidRPr="00BC269C" w:rsidRDefault="00BC269C" w:rsidP="00BC269C">
            <w:pPr>
              <w:spacing w:before="40" w:after="40" w:line="259" w:lineRule="auto"/>
              <w:rPr>
                <w:rFonts w:ascii="Calibri" w:eastAsia="細明體" w:hAnsi="Calibri"/>
                <w:sz w:val="22"/>
                <w:szCs w:val="17"/>
                <w:lang w:eastAsia="zh-CN"/>
              </w:rPr>
            </w:pPr>
            <w:r w:rsidRPr="00BC269C">
              <w:rPr>
                <w:rFonts w:ascii="Calibri" w:eastAsia="細明體" w:hAnsi="Calibri" w:hint="eastAsia"/>
                <w:b/>
                <w:sz w:val="17"/>
                <w:szCs w:val="17"/>
                <w:lang w:eastAsia="zh-CN"/>
              </w:rPr>
              <w:t>附加說明：</w:t>
            </w:r>
          </w:p>
        </w:tc>
        <w:tc>
          <w:tcPr>
            <w:tcW w:w="7088" w:type="dxa"/>
            <w:tcBorders>
              <w:top w:val="single" w:sz="4" w:space="0" w:color="000000"/>
              <w:left w:val="single" w:sz="4" w:space="0" w:color="000000"/>
              <w:bottom w:val="single" w:sz="4" w:space="0" w:color="000000"/>
            </w:tcBorders>
            <w:shd w:val="clear" w:color="auto" w:fill="auto"/>
          </w:tcPr>
          <w:p w14:paraId="322233BA" w14:textId="4552B31D" w:rsidR="00BC269C" w:rsidRPr="00BC269C" w:rsidRDefault="00BC269C" w:rsidP="00872CF6">
            <w:pPr>
              <w:suppressAutoHyphens/>
              <w:spacing w:before="40" w:after="40"/>
              <w:jc w:val="both"/>
              <w:rPr>
                <w:rFonts w:cs="Segoe UI"/>
                <w:sz w:val="17"/>
                <w:lang w:eastAsia="ar-SA"/>
              </w:rPr>
            </w:pPr>
            <w:r w:rsidRPr="00BC269C">
              <w:rPr>
                <w:rFonts w:eastAsia="細明體" w:cs="Segoe UI" w:hint="eastAsia"/>
                <w:sz w:val="17"/>
                <w:szCs w:val="17"/>
                <w:lang w:eastAsia="ar-SA"/>
              </w:rPr>
              <w:t>認可機構應以敘述評註闡明現行報告期內的任何重大</w:t>
            </w:r>
            <w:r w:rsidR="00872CF6" w:rsidRPr="00872CF6">
              <w:rPr>
                <w:rFonts w:eastAsia="細明體" w:cs="Segoe UI" w:hint="eastAsia"/>
                <w:sz w:val="17"/>
                <w:szCs w:val="17"/>
                <w:lang w:eastAsia="ar-SA"/>
              </w:rPr>
              <w:t>改</w:t>
            </w:r>
            <w:r w:rsidRPr="00BC269C">
              <w:rPr>
                <w:rFonts w:eastAsia="細明體" w:cs="Segoe UI" w:hint="eastAsia"/>
                <w:sz w:val="17"/>
                <w:szCs w:val="17"/>
                <w:lang w:eastAsia="ar-SA"/>
              </w:rPr>
              <w:t>變及引致該等</w:t>
            </w:r>
            <w:r w:rsidR="00872CF6" w:rsidRPr="00872CF6">
              <w:rPr>
                <w:rFonts w:eastAsia="細明體" w:cs="Segoe UI" w:hint="eastAsia"/>
                <w:sz w:val="17"/>
                <w:szCs w:val="17"/>
                <w:lang w:eastAsia="ar-SA"/>
              </w:rPr>
              <w:t>改</w:t>
            </w:r>
            <w:r w:rsidRPr="00BC269C">
              <w:rPr>
                <w:rFonts w:eastAsia="細明體" w:cs="Segoe UI" w:hint="eastAsia"/>
                <w:sz w:val="17"/>
                <w:szCs w:val="17"/>
                <w:lang w:eastAsia="ar-SA"/>
              </w:rPr>
              <w:t>變的主要驅動因素，以補充本模版。</w:t>
            </w:r>
          </w:p>
        </w:tc>
      </w:tr>
      <w:tr w:rsidR="00BC269C" w:rsidRPr="00BC269C" w14:paraId="2805099E" w14:textId="77777777" w:rsidTr="0029639E">
        <w:tc>
          <w:tcPr>
            <w:tcW w:w="2160" w:type="dxa"/>
            <w:tcBorders>
              <w:top w:val="single" w:sz="4" w:space="0" w:color="000000"/>
              <w:bottom w:val="single" w:sz="4" w:space="0" w:color="000000"/>
            </w:tcBorders>
            <w:shd w:val="clear" w:color="auto" w:fill="auto"/>
          </w:tcPr>
          <w:p w14:paraId="29A8DE51" w14:textId="77777777" w:rsidR="00BC269C" w:rsidRPr="00BC269C" w:rsidRDefault="00BC269C" w:rsidP="00BC269C">
            <w:pPr>
              <w:spacing w:before="40" w:after="40" w:line="259" w:lineRule="auto"/>
              <w:rPr>
                <w:rFonts w:ascii="Calibri" w:eastAsia="細明體" w:hAnsi="Calibri"/>
                <w:sz w:val="22"/>
                <w:szCs w:val="17"/>
                <w:lang w:eastAsia="zh-TW"/>
              </w:rPr>
            </w:pPr>
            <w:r w:rsidRPr="00BC269C">
              <w:rPr>
                <w:rFonts w:ascii="Calibri" w:eastAsia="細明體" w:hAnsi="Calibri" w:hint="eastAsia"/>
                <w:b/>
                <w:sz w:val="17"/>
                <w:szCs w:val="17"/>
                <w:lang w:eastAsia="zh-TW"/>
              </w:rPr>
              <w:t>《披露規則》相應條文：</w:t>
            </w:r>
          </w:p>
        </w:tc>
        <w:tc>
          <w:tcPr>
            <w:tcW w:w="7088" w:type="dxa"/>
            <w:tcBorders>
              <w:top w:val="single" w:sz="4" w:space="0" w:color="000000"/>
              <w:left w:val="single" w:sz="4" w:space="0" w:color="000000"/>
              <w:bottom w:val="single" w:sz="4" w:space="0" w:color="000000"/>
            </w:tcBorders>
            <w:shd w:val="clear" w:color="auto" w:fill="auto"/>
          </w:tcPr>
          <w:p w14:paraId="4E658751"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sz w:val="17"/>
                <w:szCs w:val="17"/>
                <w:lang w:eastAsia="ar-SA"/>
              </w:rPr>
              <w:t>16ZD</w:t>
            </w:r>
          </w:p>
        </w:tc>
      </w:tr>
    </w:tbl>
    <w:p w14:paraId="644EA80C" w14:textId="77777777" w:rsidR="00BC269C" w:rsidRPr="00BC269C" w:rsidRDefault="00BC269C" w:rsidP="00BC269C">
      <w:pPr>
        <w:spacing w:after="160" w:line="120" w:lineRule="auto"/>
        <w:rPr>
          <w:rFonts w:ascii="Calibri" w:eastAsia="細明體" w:hAnsi="Calibri"/>
          <w:sz w:val="22"/>
          <w:szCs w:val="22"/>
          <w:lang w:eastAsia="zh-CN"/>
        </w:rPr>
      </w:pPr>
    </w:p>
    <w:tbl>
      <w:tblPr>
        <w:tblW w:w="9234" w:type="dxa"/>
        <w:tblInd w:w="-459" w:type="dxa"/>
        <w:tblLayout w:type="fixed"/>
        <w:tblLook w:val="0000" w:firstRow="0" w:lastRow="0" w:firstColumn="0" w:lastColumn="0" w:noHBand="0" w:noVBand="0"/>
      </w:tblPr>
      <w:tblGrid>
        <w:gridCol w:w="433"/>
        <w:gridCol w:w="5946"/>
        <w:gridCol w:w="1701"/>
        <w:gridCol w:w="1154"/>
      </w:tblGrid>
      <w:tr w:rsidR="00BC269C" w:rsidRPr="00BC269C" w14:paraId="4DD199AA" w14:textId="77777777" w:rsidTr="00746E0A">
        <w:trPr>
          <w:trHeight w:val="123"/>
          <w:tblHeader/>
        </w:trPr>
        <w:tc>
          <w:tcPr>
            <w:tcW w:w="433" w:type="dxa"/>
            <w:shd w:val="clear" w:color="auto" w:fill="auto"/>
            <w:vAlign w:val="center"/>
          </w:tcPr>
          <w:p w14:paraId="3891B04C" w14:textId="77777777" w:rsidR="00BC269C" w:rsidRPr="00BC269C" w:rsidRDefault="00BC269C" w:rsidP="00BC269C">
            <w:pPr>
              <w:suppressAutoHyphens/>
              <w:snapToGrid w:val="0"/>
              <w:spacing w:before="40" w:after="40"/>
              <w:jc w:val="center"/>
              <w:rPr>
                <w:rFonts w:eastAsia="細明體" w:cs="Segoe UI"/>
                <w:sz w:val="17"/>
                <w:lang w:eastAsia="ar-SA"/>
              </w:rPr>
            </w:pPr>
          </w:p>
        </w:tc>
        <w:tc>
          <w:tcPr>
            <w:tcW w:w="5946" w:type="dxa"/>
            <w:shd w:val="clear" w:color="auto" w:fill="auto"/>
            <w:vAlign w:val="center"/>
          </w:tcPr>
          <w:p w14:paraId="48252894" w14:textId="77777777" w:rsidR="00BC269C" w:rsidRPr="00BC269C" w:rsidRDefault="00BC269C" w:rsidP="00BC269C">
            <w:pPr>
              <w:suppressAutoHyphens/>
              <w:snapToGrid w:val="0"/>
              <w:spacing w:before="40" w:after="40"/>
              <w:jc w:val="center"/>
              <w:rPr>
                <w:rFonts w:eastAsia="細明體" w:cs="Segoe UI"/>
                <w:sz w:val="17"/>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4928EDB" w14:textId="77777777" w:rsidR="00BC269C" w:rsidRPr="00BC269C" w:rsidRDefault="00BC269C" w:rsidP="00BC269C">
            <w:pPr>
              <w:suppressAutoHyphens/>
              <w:snapToGrid w:val="0"/>
              <w:spacing w:before="40" w:after="40"/>
              <w:jc w:val="center"/>
              <w:rPr>
                <w:rFonts w:eastAsia="細明體" w:cs="Segoe UI"/>
                <w:bCs/>
                <w:sz w:val="17"/>
                <w:lang w:eastAsia="ar-SA"/>
              </w:rPr>
            </w:pPr>
            <w:r w:rsidRPr="00BC269C">
              <w:rPr>
                <w:rFonts w:eastAsia="細明體" w:cs="Segoe UI"/>
                <w:bCs/>
                <w:sz w:val="17"/>
                <w:lang w:eastAsia="ar-SA"/>
              </w:rPr>
              <w:t>(a)</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4047" w14:textId="77777777" w:rsidR="00BC269C" w:rsidRPr="00BC269C" w:rsidRDefault="00BC269C" w:rsidP="00BC269C">
            <w:pPr>
              <w:suppressAutoHyphens/>
              <w:snapToGrid w:val="0"/>
              <w:spacing w:before="40" w:after="40"/>
              <w:jc w:val="center"/>
              <w:rPr>
                <w:rFonts w:cs="Segoe UI"/>
                <w:sz w:val="17"/>
                <w:lang w:eastAsia="ar-SA"/>
              </w:rPr>
            </w:pPr>
            <w:r w:rsidRPr="00BC269C">
              <w:rPr>
                <w:rFonts w:eastAsia="細明體" w:cs="Segoe UI"/>
                <w:bCs/>
                <w:sz w:val="17"/>
                <w:lang w:eastAsia="ar-SA"/>
              </w:rPr>
              <w:t>(b)</w:t>
            </w:r>
          </w:p>
        </w:tc>
      </w:tr>
      <w:tr w:rsidR="00BC269C" w:rsidRPr="00BC269C" w14:paraId="247072C8" w14:textId="77777777" w:rsidTr="00746E0A">
        <w:trPr>
          <w:trHeight w:val="369"/>
          <w:tblHeader/>
        </w:trPr>
        <w:tc>
          <w:tcPr>
            <w:tcW w:w="433" w:type="dxa"/>
            <w:tcBorders>
              <w:bottom w:val="single" w:sz="4" w:space="0" w:color="000000"/>
            </w:tcBorders>
            <w:shd w:val="clear" w:color="auto" w:fill="auto"/>
            <w:vAlign w:val="center"/>
          </w:tcPr>
          <w:p w14:paraId="7D00FF99" w14:textId="77777777" w:rsidR="00BC269C" w:rsidRPr="00BC269C" w:rsidRDefault="00BC269C" w:rsidP="00BC269C">
            <w:pPr>
              <w:suppressAutoHyphens/>
              <w:snapToGrid w:val="0"/>
              <w:spacing w:before="40" w:after="40"/>
              <w:jc w:val="center"/>
              <w:rPr>
                <w:rFonts w:eastAsia="細明體" w:cs="Segoe UI"/>
                <w:sz w:val="17"/>
                <w:lang w:eastAsia="ar-SA"/>
              </w:rPr>
            </w:pPr>
          </w:p>
        </w:tc>
        <w:tc>
          <w:tcPr>
            <w:tcW w:w="5946" w:type="dxa"/>
            <w:tcBorders>
              <w:bottom w:val="single" w:sz="4" w:space="0" w:color="000000"/>
            </w:tcBorders>
            <w:shd w:val="clear" w:color="auto" w:fill="auto"/>
            <w:vAlign w:val="center"/>
          </w:tcPr>
          <w:p w14:paraId="2A5A7F8D" w14:textId="77777777" w:rsidR="00BC269C" w:rsidRPr="00BC269C" w:rsidRDefault="00BC269C" w:rsidP="00BC269C">
            <w:pPr>
              <w:suppressAutoHyphens/>
              <w:snapToGrid w:val="0"/>
              <w:spacing w:before="40" w:after="40"/>
              <w:jc w:val="center"/>
              <w:rPr>
                <w:rFonts w:eastAsia="細明體" w:cs="Segoe UI"/>
                <w:sz w:val="17"/>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6CDC1E82" w14:textId="77777777" w:rsidR="00BC269C" w:rsidRPr="00BC269C" w:rsidRDefault="00BC269C" w:rsidP="00BC269C">
            <w:pPr>
              <w:suppressAutoHyphens/>
              <w:snapToGrid w:val="0"/>
              <w:spacing w:before="40" w:after="40"/>
              <w:jc w:val="center"/>
              <w:rPr>
                <w:rFonts w:eastAsia="細明體" w:cs="Segoe UI"/>
                <w:bCs/>
                <w:sz w:val="17"/>
                <w:lang w:eastAsia="ar-SA"/>
              </w:rPr>
            </w:pPr>
            <w:r w:rsidRPr="00BC269C">
              <w:rPr>
                <w:rFonts w:eastAsia="細明體" w:cs="Segoe UI" w:hint="eastAsia"/>
                <w:bCs/>
                <w:sz w:val="17"/>
                <w:lang w:eastAsia="zh-TW"/>
              </w:rPr>
              <w:t>已將</w:t>
            </w:r>
            <w:r w:rsidRPr="00BC269C">
              <w:rPr>
                <w:rFonts w:eastAsia="細明體" w:cs="Segoe UI" w:hint="eastAsia"/>
                <w:bCs/>
                <w:sz w:val="17"/>
                <w:lang w:eastAsia="ar-SA"/>
              </w:rPr>
              <w:t>減低信用風險措施</w:t>
            </w:r>
            <w:r w:rsidRPr="00BC269C">
              <w:rPr>
                <w:rFonts w:eastAsia="細明體" w:cs="Segoe UI" w:hint="eastAsia"/>
                <w:bCs/>
                <w:sz w:val="17"/>
                <w:szCs w:val="17"/>
                <w:lang w:eastAsia="zh-TW"/>
              </w:rPr>
              <w:t>計算在內</w:t>
            </w:r>
            <w:r w:rsidRPr="00BC269C">
              <w:rPr>
                <w:rFonts w:eastAsia="細明體" w:cs="Segoe UI" w:hint="eastAsia"/>
                <w:bCs/>
                <w:sz w:val="17"/>
                <w:lang w:eastAsia="ar-SA"/>
              </w:rPr>
              <w:t>的風險承擔</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5CB5" w14:textId="77777777" w:rsidR="00BC269C" w:rsidRPr="00BC269C" w:rsidRDefault="00BC269C" w:rsidP="00BC269C">
            <w:pPr>
              <w:suppressAutoHyphens/>
              <w:snapToGrid w:val="0"/>
              <w:spacing w:before="40" w:after="40"/>
              <w:ind w:left="34" w:right="48"/>
              <w:jc w:val="center"/>
              <w:rPr>
                <w:rFonts w:cs="Segoe UI"/>
                <w:sz w:val="17"/>
                <w:lang w:eastAsia="ar-SA"/>
              </w:rPr>
            </w:pPr>
            <w:r w:rsidRPr="00BC269C">
              <w:rPr>
                <w:rFonts w:eastAsia="細明體" w:cs="Segoe UI" w:hint="eastAsia"/>
                <w:bCs/>
                <w:sz w:val="17"/>
                <w:lang w:eastAsia="ar-SA"/>
              </w:rPr>
              <w:t>風險加權數額</w:t>
            </w:r>
          </w:p>
        </w:tc>
      </w:tr>
      <w:tr w:rsidR="00BC269C" w:rsidRPr="00BC269C" w14:paraId="0FA3B943" w14:textId="77777777" w:rsidTr="007B761C">
        <w:trPr>
          <w:trHeight w:val="137"/>
        </w:trPr>
        <w:tc>
          <w:tcPr>
            <w:tcW w:w="433" w:type="dxa"/>
            <w:tcBorders>
              <w:top w:val="single" w:sz="4" w:space="0" w:color="000000"/>
              <w:bottom w:val="single" w:sz="4" w:space="0" w:color="C0C0C0"/>
            </w:tcBorders>
            <w:shd w:val="clear" w:color="auto" w:fill="auto"/>
          </w:tcPr>
          <w:p w14:paraId="08F03322" w14:textId="77777777" w:rsidR="00BC269C" w:rsidRPr="00BC269C" w:rsidRDefault="00BC269C" w:rsidP="00BC269C">
            <w:pPr>
              <w:suppressAutoHyphens/>
              <w:snapToGrid w:val="0"/>
              <w:spacing w:before="40" w:after="40"/>
              <w:rPr>
                <w:rFonts w:eastAsia="細明體" w:cs="Segoe UI"/>
                <w:b/>
                <w:bCs/>
                <w:sz w:val="17"/>
                <w:lang w:eastAsia="ar-SA"/>
              </w:rPr>
            </w:pPr>
            <w:r w:rsidRPr="00BC269C">
              <w:rPr>
                <w:rFonts w:eastAsia="細明體" w:cs="Segoe UI"/>
                <w:b/>
                <w:bCs/>
                <w:sz w:val="17"/>
                <w:lang w:eastAsia="ar-SA"/>
              </w:rPr>
              <w:t>1</w:t>
            </w:r>
          </w:p>
        </w:tc>
        <w:tc>
          <w:tcPr>
            <w:tcW w:w="5946" w:type="dxa"/>
            <w:tcBorders>
              <w:top w:val="single" w:sz="4" w:space="0" w:color="000000"/>
              <w:left w:val="single" w:sz="4" w:space="0" w:color="000000"/>
              <w:bottom w:val="single" w:sz="4" w:space="0" w:color="C0C0C0"/>
            </w:tcBorders>
            <w:shd w:val="clear" w:color="auto" w:fill="auto"/>
          </w:tcPr>
          <w:p w14:paraId="01E655FA"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b/>
                <w:bCs/>
                <w:sz w:val="17"/>
                <w:lang w:eastAsia="ar-SA"/>
              </w:rPr>
              <w:t>認可機構作為結算成員或結算客戶</w:t>
            </w:r>
            <w:r w:rsidRPr="00BC269C">
              <w:rPr>
                <w:rFonts w:eastAsia="細明體"/>
                <w:b/>
                <w:bCs/>
                <w:sz w:val="17"/>
                <w:vertAlign w:val="superscript"/>
                <w:lang w:eastAsia="ar-SA"/>
              </w:rPr>
              <w:footnoteReference w:id="16"/>
            </w:r>
            <w:r w:rsidRPr="00BC269C">
              <w:rPr>
                <w:rFonts w:eastAsia="細明體" w:cs="Segoe UI" w:hint="eastAsia"/>
                <w:b/>
                <w:bCs/>
                <w:sz w:val="17"/>
                <w:lang w:eastAsia="ar-SA"/>
              </w:rPr>
              <w:t>對合資格中央交易對手方的風險承擔（總額）</w:t>
            </w:r>
          </w:p>
        </w:tc>
        <w:tc>
          <w:tcPr>
            <w:tcW w:w="1701" w:type="dxa"/>
            <w:tcBorders>
              <w:top w:val="single" w:sz="4" w:space="0" w:color="000000"/>
              <w:left w:val="single" w:sz="4" w:space="0" w:color="000000"/>
              <w:bottom w:val="single" w:sz="4" w:space="0" w:color="C0C0C0"/>
            </w:tcBorders>
            <w:shd w:val="clear" w:color="auto" w:fill="D9D9D9"/>
            <w:vAlign w:val="bottom"/>
          </w:tcPr>
          <w:p w14:paraId="7C7D1B41"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000000"/>
              <w:left w:val="single" w:sz="4" w:space="0" w:color="000000"/>
              <w:bottom w:val="single" w:sz="4" w:space="0" w:color="C0C0C0"/>
              <w:right w:val="single" w:sz="4" w:space="0" w:color="000000"/>
            </w:tcBorders>
            <w:shd w:val="clear" w:color="auto" w:fill="auto"/>
            <w:vAlign w:val="bottom"/>
          </w:tcPr>
          <w:p w14:paraId="668B78BC"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3F5BAB8A" w14:textId="77777777" w:rsidTr="007B761C">
        <w:trPr>
          <w:trHeight w:val="241"/>
        </w:trPr>
        <w:tc>
          <w:tcPr>
            <w:tcW w:w="433" w:type="dxa"/>
            <w:tcBorders>
              <w:top w:val="single" w:sz="4" w:space="0" w:color="C0C0C0"/>
              <w:bottom w:val="single" w:sz="4" w:space="0" w:color="C0C0C0"/>
            </w:tcBorders>
            <w:shd w:val="clear" w:color="auto" w:fill="auto"/>
          </w:tcPr>
          <w:p w14:paraId="17070793"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2</w:t>
            </w:r>
          </w:p>
        </w:tc>
        <w:tc>
          <w:tcPr>
            <w:tcW w:w="5946" w:type="dxa"/>
            <w:tcBorders>
              <w:top w:val="single" w:sz="4" w:space="0" w:color="C0C0C0"/>
              <w:left w:val="single" w:sz="4" w:space="0" w:color="000000"/>
              <w:bottom w:val="single" w:sz="4" w:space="0" w:color="C0C0C0"/>
            </w:tcBorders>
            <w:shd w:val="clear" w:color="auto" w:fill="auto"/>
          </w:tcPr>
          <w:p w14:paraId="03BA49C7"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對合資格中央交易對手方的違責風險的風險承擔（不包括於第</w:t>
            </w:r>
            <w:r w:rsidRPr="00BC269C">
              <w:rPr>
                <w:rFonts w:eastAsia="細明體" w:cs="Segoe UI"/>
                <w:sz w:val="17"/>
                <w:lang w:eastAsia="ar-SA"/>
              </w:rPr>
              <w:t>7</w:t>
            </w:r>
            <w:r w:rsidRPr="00BC269C">
              <w:rPr>
                <w:rFonts w:eastAsia="細明體" w:cs="Segoe UI" w:hint="eastAsia"/>
                <w:sz w:val="17"/>
                <w:lang w:eastAsia="ar-SA"/>
              </w:rPr>
              <w:t>至</w:t>
            </w:r>
            <w:r w:rsidRPr="00BC269C">
              <w:rPr>
                <w:rFonts w:eastAsia="細明體" w:cs="Segoe UI"/>
                <w:sz w:val="17"/>
                <w:lang w:eastAsia="ar-SA"/>
              </w:rPr>
              <w:t>10</w:t>
            </w:r>
            <w:r w:rsidRPr="00BC269C">
              <w:rPr>
                <w:rFonts w:eastAsia="細明體" w:cs="Segoe UI" w:hint="eastAsia"/>
                <w:sz w:val="17"/>
                <w:lang w:eastAsia="ar-SA"/>
              </w:rPr>
              <w:t>行披露的項目），其中：</w:t>
            </w:r>
          </w:p>
        </w:tc>
        <w:tc>
          <w:tcPr>
            <w:tcW w:w="1701" w:type="dxa"/>
            <w:tcBorders>
              <w:top w:val="single" w:sz="4" w:space="0" w:color="C0C0C0"/>
              <w:left w:val="single" w:sz="4" w:space="0" w:color="000000"/>
              <w:bottom w:val="single" w:sz="4" w:space="0" w:color="C0C0C0"/>
            </w:tcBorders>
            <w:shd w:val="clear" w:color="auto" w:fill="auto"/>
            <w:vAlign w:val="bottom"/>
          </w:tcPr>
          <w:p w14:paraId="1CAD13B0"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36D909D9"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6E411C5C" w14:textId="77777777" w:rsidTr="007B761C">
        <w:trPr>
          <w:trHeight w:val="300"/>
        </w:trPr>
        <w:tc>
          <w:tcPr>
            <w:tcW w:w="433" w:type="dxa"/>
            <w:tcBorders>
              <w:top w:val="single" w:sz="4" w:space="0" w:color="C0C0C0"/>
              <w:bottom w:val="single" w:sz="4" w:space="0" w:color="C0C0C0"/>
            </w:tcBorders>
            <w:shd w:val="clear" w:color="auto" w:fill="auto"/>
          </w:tcPr>
          <w:p w14:paraId="3AD0A194"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3</w:t>
            </w:r>
          </w:p>
        </w:tc>
        <w:tc>
          <w:tcPr>
            <w:tcW w:w="5946" w:type="dxa"/>
            <w:tcBorders>
              <w:top w:val="single" w:sz="4" w:space="0" w:color="C0C0C0"/>
              <w:left w:val="single" w:sz="4" w:space="0" w:color="000000"/>
              <w:bottom w:val="single" w:sz="4" w:space="0" w:color="C0C0C0"/>
            </w:tcBorders>
            <w:shd w:val="clear" w:color="auto" w:fill="auto"/>
          </w:tcPr>
          <w:p w14:paraId="70D37970"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w:t>
            </w:r>
            <w:proofErr w:type="spellStart"/>
            <w:r w:rsidRPr="00BC269C">
              <w:rPr>
                <w:rFonts w:eastAsia="細明體" w:cs="Segoe UI"/>
                <w:sz w:val="17"/>
                <w:lang w:eastAsia="ar-SA"/>
              </w:rPr>
              <w:t>i</w:t>
            </w:r>
            <w:proofErr w:type="spellEnd"/>
            <w:r w:rsidRPr="00BC269C">
              <w:rPr>
                <w:rFonts w:eastAsia="細明體" w:cs="Segoe UI"/>
                <w:sz w:val="17"/>
                <w:lang w:eastAsia="ar-SA"/>
              </w:rPr>
              <w:t xml:space="preserve">) </w:t>
            </w:r>
            <w:r w:rsidRPr="00BC269C">
              <w:rPr>
                <w:rFonts w:eastAsia="細明體" w:cs="Segoe UI" w:hint="eastAsia"/>
                <w:sz w:val="17"/>
                <w:lang w:eastAsia="ar-SA"/>
              </w:rPr>
              <w:t>場外衍生工具交易</w:t>
            </w:r>
          </w:p>
        </w:tc>
        <w:tc>
          <w:tcPr>
            <w:tcW w:w="1701" w:type="dxa"/>
            <w:tcBorders>
              <w:top w:val="single" w:sz="4" w:space="0" w:color="C0C0C0"/>
              <w:left w:val="single" w:sz="4" w:space="0" w:color="000000"/>
              <w:bottom w:val="single" w:sz="4" w:space="0" w:color="C0C0C0"/>
            </w:tcBorders>
            <w:shd w:val="clear" w:color="auto" w:fill="auto"/>
            <w:vAlign w:val="bottom"/>
          </w:tcPr>
          <w:p w14:paraId="7BE6B33F"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5C7777F0"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4F45F4D4" w14:textId="77777777" w:rsidTr="007B761C">
        <w:trPr>
          <w:trHeight w:val="300"/>
        </w:trPr>
        <w:tc>
          <w:tcPr>
            <w:tcW w:w="433" w:type="dxa"/>
            <w:tcBorders>
              <w:top w:val="single" w:sz="4" w:space="0" w:color="C0C0C0"/>
              <w:bottom w:val="single" w:sz="4" w:space="0" w:color="C0C0C0"/>
            </w:tcBorders>
            <w:shd w:val="clear" w:color="auto" w:fill="auto"/>
          </w:tcPr>
          <w:p w14:paraId="52E9DE05"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4</w:t>
            </w:r>
          </w:p>
        </w:tc>
        <w:tc>
          <w:tcPr>
            <w:tcW w:w="5946" w:type="dxa"/>
            <w:tcBorders>
              <w:top w:val="single" w:sz="4" w:space="0" w:color="C0C0C0"/>
              <w:left w:val="single" w:sz="4" w:space="0" w:color="000000"/>
              <w:bottom w:val="single" w:sz="4" w:space="0" w:color="C0C0C0"/>
            </w:tcBorders>
            <w:shd w:val="clear" w:color="auto" w:fill="auto"/>
          </w:tcPr>
          <w:p w14:paraId="70F75588"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xml:space="preserve">(ii) </w:t>
            </w:r>
            <w:r w:rsidRPr="00BC269C">
              <w:rPr>
                <w:rFonts w:eastAsia="細明體" w:cs="Segoe UI" w:hint="eastAsia"/>
                <w:sz w:val="17"/>
                <w:lang w:eastAsia="ar-SA"/>
              </w:rPr>
              <w:t>交易所買賣衍生工具合約</w:t>
            </w:r>
          </w:p>
        </w:tc>
        <w:tc>
          <w:tcPr>
            <w:tcW w:w="1701" w:type="dxa"/>
            <w:tcBorders>
              <w:top w:val="single" w:sz="4" w:space="0" w:color="C0C0C0"/>
              <w:left w:val="single" w:sz="4" w:space="0" w:color="000000"/>
              <w:bottom w:val="single" w:sz="4" w:space="0" w:color="C0C0C0"/>
            </w:tcBorders>
            <w:shd w:val="clear" w:color="auto" w:fill="auto"/>
            <w:vAlign w:val="bottom"/>
          </w:tcPr>
          <w:p w14:paraId="5B993BF0"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209D5801"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50C72A81" w14:textId="77777777" w:rsidTr="007B761C">
        <w:trPr>
          <w:trHeight w:val="300"/>
        </w:trPr>
        <w:tc>
          <w:tcPr>
            <w:tcW w:w="433" w:type="dxa"/>
            <w:tcBorders>
              <w:top w:val="single" w:sz="4" w:space="0" w:color="C0C0C0"/>
              <w:bottom w:val="single" w:sz="4" w:space="0" w:color="C0C0C0"/>
            </w:tcBorders>
            <w:shd w:val="clear" w:color="auto" w:fill="auto"/>
          </w:tcPr>
          <w:p w14:paraId="49CE5A62"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5</w:t>
            </w:r>
          </w:p>
        </w:tc>
        <w:tc>
          <w:tcPr>
            <w:tcW w:w="5946" w:type="dxa"/>
            <w:tcBorders>
              <w:top w:val="single" w:sz="4" w:space="0" w:color="C0C0C0"/>
              <w:left w:val="single" w:sz="4" w:space="0" w:color="000000"/>
              <w:bottom w:val="single" w:sz="4" w:space="0" w:color="C0C0C0"/>
            </w:tcBorders>
            <w:shd w:val="clear" w:color="auto" w:fill="auto"/>
          </w:tcPr>
          <w:p w14:paraId="0C6E34A0" w14:textId="10AE4883"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xml:space="preserve">(iii) </w:t>
            </w:r>
            <w:r w:rsidR="00427044">
              <w:rPr>
                <w:rFonts w:eastAsia="細明體" w:cs="Segoe UI" w:hint="eastAsia"/>
                <w:sz w:val="17"/>
                <w:lang w:eastAsia="zh-TW"/>
              </w:rPr>
              <w:t>SFT</w:t>
            </w:r>
          </w:p>
        </w:tc>
        <w:tc>
          <w:tcPr>
            <w:tcW w:w="1701" w:type="dxa"/>
            <w:tcBorders>
              <w:top w:val="single" w:sz="4" w:space="0" w:color="C0C0C0"/>
              <w:left w:val="single" w:sz="4" w:space="0" w:color="000000"/>
              <w:bottom w:val="single" w:sz="4" w:space="0" w:color="C0C0C0"/>
            </w:tcBorders>
            <w:shd w:val="clear" w:color="auto" w:fill="auto"/>
            <w:vAlign w:val="bottom"/>
          </w:tcPr>
          <w:p w14:paraId="7AE59B7D"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558B018C"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029554B5" w14:textId="77777777" w:rsidTr="007B761C">
        <w:trPr>
          <w:trHeight w:val="217"/>
        </w:trPr>
        <w:tc>
          <w:tcPr>
            <w:tcW w:w="433" w:type="dxa"/>
            <w:tcBorders>
              <w:top w:val="single" w:sz="4" w:space="0" w:color="C0C0C0"/>
              <w:bottom w:val="single" w:sz="4" w:space="0" w:color="C0C0C0"/>
            </w:tcBorders>
            <w:shd w:val="clear" w:color="auto" w:fill="auto"/>
          </w:tcPr>
          <w:p w14:paraId="03B67E1E"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6</w:t>
            </w:r>
          </w:p>
        </w:tc>
        <w:tc>
          <w:tcPr>
            <w:tcW w:w="5946" w:type="dxa"/>
            <w:tcBorders>
              <w:top w:val="single" w:sz="4" w:space="0" w:color="C0C0C0"/>
              <w:left w:val="single" w:sz="4" w:space="0" w:color="000000"/>
              <w:bottom w:val="single" w:sz="4" w:space="0" w:color="C0C0C0"/>
            </w:tcBorders>
            <w:shd w:val="clear" w:color="auto" w:fill="auto"/>
          </w:tcPr>
          <w:p w14:paraId="0B1103EB"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xml:space="preserve">(iv) </w:t>
            </w:r>
            <w:r w:rsidRPr="00BC269C">
              <w:rPr>
                <w:rFonts w:eastAsia="細明體" w:cs="Segoe UI" w:hint="eastAsia"/>
                <w:sz w:val="17"/>
                <w:lang w:eastAsia="ar-SA"/>
              </w:rPr>
              <w:t>受有效跨產品淨額結算協議規限的淨額計算組合</w:t>
            </w:r>
          </w:p>
        </w:tc>
        <w:tc>
          <w:tcPr>
            <w:tcW w:w="1701" w:type="dxa"/>
            <w:tcBorders>
              <w:top w:val="single" w:sz="4" w:space="0" w:color="C0C0C0"/>
              <w:left w:val="single" w:sz="4" w:space="0" w:color="000000"/>
              <w:bottom w:val="single" w:sz="4" w:space="0" w:color="C0C0C0"/>
            </w:tcBorders>
            <w:shd w:val="clear" w:color="auto" w:fill="auto"/>
            <w:vAlign w:val="bottom"/>
          </w:tcPr>
          <w:p w14:paraId="26CFF8A2"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1382236A"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14FB321A" w14:textId="77777777" w:rsidTr="007B761C">
        <w:trPr>
          <w:trHeight w:val="300"/>
        </w:trPr>
        <w:tc>
          <w:tcPr>
            <w:tcW w:w="433" w:type="dxa"/>
            <w:tcBorders>
              <w:top w:val="single" w:sz="4" w:space="0" w:color="C0C0C0"/>
              <w:bottom w:val="single" w:sz="4" w:space="0" w:color="C0C0C0"/>
            </w:tcBorders>
            <w:shd w:val="clear" w:color="auto" w:fill="auto"/>
          </w:tcPr>
          <w:p w14:paraId="35DF43E6"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7</w:t>
            </w:r>
          </w:p>
        </w:tc>
        <w:tc>
          <w:tcPr>
            <w:tcW w:w="5946" w:type="dxa"/>
            <w:tcBorders>
              <w:top w:val="single" w:sz="4" w:space="0" w:color="C0C0C0"/>
              <w:left w:val="single" w:sz="4" w:space="0" w:color="000000"/>
              <w:bottom w:val="single" w:sz="4" w:space="0" w:color="C0C0C0"/>
            </w:tcBorders>
            <w:shd w:val="clear" w:color="auto" w:fill="auto"/>
          </w:tcPr>
          <w:p w14:paraId="513CA579"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分隔的開倉保證金</w:t>
            </w:r>
          </w:p>
        </w:tc>
        <w:tc>
          <w:tcPr>
            <w:tcW w:w="1701" w:type="dxa"/>
            <w:tcBorders>
              <w:top w:val="single" w:sz="4" w:space="0" w:color="C0C0C0"/>
              <w:left w:val="single" w:sz="4" w:space="0" w:color="000000"/>
              <w:bottom w:val="single" w:sz="4" w:space="0" w:color="C0C0C0"/>
            </w:tcBorders>
            <w:shd w:val="clear" w:color="auto" w:fill="auto"/>
            <w:vAlign w:val="bottom"/>
          </w:tcPr>
          <w:p w14:paraId="1EA4F86A"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D9D9D9"/>
            <w:vAlign w:val="bottom"/>
          </w:tcPr>
          <w:p w14:paraId="39DAABBD"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47084139" w14:textId="77777777" w:rsidTr="007B761C">
        <w:trPr>
          <w:trHeight w:val="300"/>
        </w:trPr>
        <w:tc>
          <w:tcPr>
            <w:tcW w:w="433" w:type="dxa"/>
            <w:tcBorders>
              <w:top w:val="single" w:sz="4" w:space="0" w:color="C0C0C0"/>
              <w:bottom w:val="single" w:sz="4" w:space="0" w:color="C0C0C0"/>
            </w:tcBorders>
            <w:shd w:val="clear" w:color="auto" w:fill="auto"/>
          </w:tcPr>
          <w:p w14:paraId="03BDCB04"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8</w:t>
            </w:r>
          </w:p>
        </w:tc>
        <w:tc>
          <w:tcPr>
            <w:tcW w:w="5946" w:type="dxa"/>
            <w:tcBorders>
              <w:top w:val="single" w:sz="4" w:space="0" w:color="C0C0C0"/>
              <w:left w:val="single" w:sz="4" w:space="0" w:color="000000"/>
              <w:bottom w:val="single" w:sz="4" w:space="0" w:color="C0C0C0"/>
            </w:tcBorders>
            <w:shd w:val="clear" w:color="auto" w:fill="auto"/>
          </w:tcPr>
          <w:p w14:paraId="23221B71"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非分隔的開倉保證金</w:t>
            </w:r>
          </w:p>
        </w:tc>
        <w:tc>
          <w:tcPr>
            <w:tcW w:w="1701" w:type="dxa"/>
            <w:tcBorders>
              <w:top w:val="single" w:sz="4" w:space="0" w:color="C0C0C0"/>
              <w:left w:val="single" w:sz="4" w:space="0" w:color="000000"/>
              <w:bottom w:val="single" w:sz="4" w:space="0" w:color="C0C0C0"/>
            </w:tcBorders>
            <w:shd w:val="clear" w:color="auto" w:fill="auto"/>
            <w:vAlign w:val="bottom"/>
          </w:tcPr>
          <w:p w14:paraId="6E83805C"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45E0401C"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6B60E541" w14:textId="77777777" w:rsidTr="007B761C">
        <w:trPr>
          <w:trHeight w:val="300"/>
        </w:trPr>
        <w:tc>
          <w:tcPr>
            <w:tcW w:w="433" w:type="dxa"/>
            <w:tcBorders>
              <w:top w:val="single" w:sz="4" w:space="0" w:color="C0C0C0"/>
              <w:bottom w:val="single" w:sz="4" w:space="0" w:color="C0C0C0"/>
            </w:tcBorders>
            <w:shd w:val="clear" w:color="auto" w:fill="auto"/>
          </w:tcPr>
          <w:p w14:paraId="22BAF363"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9</w:t>
            </w:r>
          </w:p>
        </w:tc>
        <w:tc>
          <w:tcPr>
            <w:tcW w:w="5946" w:type="dxa"/>
            <w:tcBorders>
              <w:top w:val="single" w:sz="4" w:space="0" w:color="C0C0C0"/>
              <w:left w:val="single" w:sz="4" w:space="0" w:color="000000"/>
              <w:bottom w:val="single" w:sz="4" w:space="0" w:color="C0C0C0"/>
            </w:tcBorders>
            <w:shd w:val="clear" w:color="auto" w:fill="auto"/>
          </w:tcPr>
          <w:p w14:paraId="7917E1F8"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以資金支持的違責基金承擔</w:t>
            </w:r>
          </w:p>
        </w:tc>
        <w:tc>
          <w:tcPr>
            <w:tcW w:w="1701" w:type="dxa"/>
            <w:tcBorders>
              <w:top w:val="single" w:sz="4" w:space="0" w:color="C0C0C0"/>
              <w:left w:val="single" w:sz="4" w:space="0" w:color="000000"/>
              <w:bottom w:val="single" w:sz="4" w:space="0" w:color="C0C0C0"/>
            </w:tcBorders>
            <w:shd w:val="clear" w:color="auto" w:fill="auto"/>
            <w:vAlign w:val="bottom"/>
          </w:tcPr>
          <w:p w14:paraId="2444F276"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04166D04"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0AAA05C8" w14:textId="77777777" w:rsidTr="007B761C">
        <w:trPr>
          <w:trHeight w:val="300"/>
        </w:trPr>
        <w:tc>
          <w:tcPr>
            <w:tcW w:w="433" w:type="dxa"/>
            <w:tcBorders>
              <w:top w:val="single" w:sz="4" w:space="0" w:color="C0C0C0"/>
              <w:bottom w:val="single" w:sz="4" w:space="0" w:color="C0C0C0"/>
            </w:tcBorders>
            <w:shd w:val="clear" w:color="auto" w:fill="auto"/>
          </w:tcPr>
          <w:p w14:paraId="7F47CE4B"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10</w:t>
            </w:r>
          </w:p>
        </w:tc>
        <w:tc>
          <w:tcPr>
            <w:tcW w:w="5946" w:type="dxa"/>
            <w:tcBorders>
              <w:top w:val="single" w:sz="4" w:space="0" w:color="C0C0C0"/>
              <w:left w:val="single" w:sz="4" w:space="0" w:color="000000"/>
              <w:bottom w:val="single" w:sz="4" w:space="0" w:color="C0C0C0"/>
            </w:tcBorders>
            <w:shd w:val="clear" w:color="auto" w:fill="auto"/>
          </w:tcPr>
          <w:p w14:paraId="00C211CE"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非以資金支持的違責基金承擔</w:t>
            </w:r>
          </w:p>
        </w:tc>
        <w:tc>
          <w:tcPr>
            <w:tcW w:w="1701" w:type="dxa"/>
            <w:tcBorders>
              <w:top w:val="single" w:sz="4" w:space="0" w:color="C0C0C0"/>
              <w:left w:val="single" w:sz="4" w:space="0" w:color="000000"/>
              <w:bottom w:val="single" w:sz="4" w:space="0" w:color="C0C0C0"/>
            </w:tcBorders>
            <w:shd w:val="clear" w:color="auto" w:fill="auto"/>
            <w:vAlign w:val="bottom"/>
          </w:tcPr>
          <w:p w14:paraId="3031B75F" w14:textId="77777777" w:rsidR="00BC269C" w:rsidRPr="00BC269C" w:rsidRDefault="00BC269C" w:rsidP="00BC269C">
            <w:pPr>
              <w:suppressAutoHyphens/>
              <w:snapToGrid w:val="0"/>
              <w:spacing w:before="40" w:after="40"/>
              <w:rPr>
                <w:rFonts w:eastAsia="細明體" w:cs="Segoe UI"/>
                <w:sz w:val="17"/>
                <w:lang w:eastAsia="ar-SA"/>
              </w:rPr>
            </w:pP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7E547F71" w14:textId="77777777" w:rsidR="00BC269C" w:rsidRPr="00BC269C" w:rsidRDefault="00BC269C" w:rsidP="00BC269C">
            <w:pPr>
              <w:suppressAutoHyphens/>
              <w:snapToGrid w:val="0"/>
              <w:spacing w:before="40" w:after="40"/>
              <w:rPr>
                <w:rFonts w:eastAsia="細明體" w:cs="Segoe UI"/>
                <w:sz w:val="17"/>
                <w:lang w:eastAsia="ar-SA"/>
              </w:rPr>
            </w:pPr>
          </w:p>
        </w:tc>
      </w:tr>
      <w:tr w:rsidR="00BC269C" w:rsidRPr="00BC269C" w14:paraId="7ED6362E" w14:textId="77777777" w:rsidTr="007B761C">
        <w:trPr>
          <w:trHeight w:val="87"/>
        </w:trPr>
        <w:tc>
          <w:tcPr>
            <w:tcW w:w="433" w:type="dxa"/>
            <w:tcBorders>
              <w:top w:val="single" w:sz="4" w:space="0" w:color="000000"/>
              <w:bottom w:val="single" w:sz="4" w:space="0" w:color="C0C0C0"/>
            </w:tcBorders>
            <w:shd w:val="clear" w:color="auto" w:fill="auto"/>
          </w:tcPr>
          <w:p w14:paraId="37AC7EEE" w14:textId="77777777" w:rsidR="00BC269C" w:rsidRPr="00BC269C" w:rsidRDefault="00BC269C" w:rsidP="00BC269C">
            <w:pPr>
              <w:suppressAutoHyphens/>
              <w:snapToGrid w:val="0"/>
              <w:spacing w:before="40" w:after="40"/>
              <w:rPr>
                <w:rFonts w:eastAsia="細明體" w:cs="Segoe UI"/>
                <w:b/>
                <w:bCs/>
                <w:sz w:val="17"/>
                <w:lang w:eastAsia="ar-SA"/>
              </w:rPr>
            </w:pPr>
            <w:r w:rsidRPr="00BC269C">
              <w:rPr>
                <w:rFonts w:eastAsia="細明體" w:cs="Segoe UI"/>
                <w:b/>
                <w:bCs/>
                <w:sz w:val="17"/>
                <w:lang w:eastAsia="ar-SA"/>
              </w:rPr>
              <w:t>11</w:t>
            </w:r>
          </w:p>
        </w:tc>
        <w:tc>
          <w:tcPr>
            <w:tcW w:w="5946" w:type="dxa"/>
            <w:tcBorders>
              <w:top w:val="single" w:sz="4" w:space="0" w:color="000000"/>
              <w:left w:val="single" w:sz="4" w:space="0" w:color="000000"/>
              <w:bottom w:val="single" w:sz="4" w:space="0" w:color="C0C0C0"/>
            </w:tcBorders>
            <w:shd w:val="clear" w:color="auto" w:fill="auto"/>
          </w:tcPr>
          <w:p w14:paraId="6F8E4FEB"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b/>
                <w:bCs/>
                <w:sz w:val="17"/>
                <w:lang w:eastAsia="ar-SA"/>
              </w:rPr>
              <w:t>認可機構作為結算成員或結算客戶對不合資格中央交易對手方的風險承擔（總額）</w:t>
            </w:r>
          </w:p>
        </w:tc>
        <w:tc>
          <w:tcPr>
            <w:tcW w:w="1701" w:type="dxa"/>
            <w:tcBorders>
              <w:top w:val="single" w:sz="4" w:space="0" w:color="000000"/>
              <w:left w:val="single" w:sz="4" w:space="0" w:color="000000"/>
              <w:bottom w:val="single" w:sz="4" w:space="0" w:color="C0C0C0"/>
            </w:tcBorders>
            <w:shd w:val="clear" w:color="auto" w:fill="D9D9D9"/>
            <w:vAlign w:val="bottom"/>
          </w:tcPr>
          <w:p w14:paraId="419CD3F2"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000000"/>
              <w:left w:val="single" w:sz="4" w:space="0" w:color="000000"/>
              <w:bottom w:val="single" w:sz="4" w:space="0" w:color="C0C0C0"/>
              <w:right w:val="single" w:sz="4" w:space="0" w:color="000000"/>
            </w:tcBorders>
            <w:shd w:val="clear" w:color="auto" w:fill="auto"/>
            <w:vAlign w:val="bottom"/>
          </w:tcPr>
          <w:p w14:paraId="387BC235"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5CDC43EF" w14:textId="77777777" w:rsidTr="007B761C">
        <w:trPr>
          <w:trHeight w:val="319"/>
        </w:trPr>
        <w:tc>
          <w:tcPr>
            <w:tcW w:w="433" w:type="dxa"/>
            <w:tcBorders>
              <w:top w:val="single" w:sz="4" w:space="0" w:color="C0C0C0"/>
              <w:bottom w:val="single" w:sz="4" w:space="0" w:color="C0C0C0"/>
            </w:tcBorders>
            <w:shd w:val="clear" w:color="auto" w:fill="auto"/>
          </w:tcPr>
          <w:p w14:paraId="7AE97520"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12</w:t>
            </w:r>
          </w:p>
        </w:tc>
        <w:tc>
          <w:tcPr>
            <w:tcW w:w="5946" w:type="dxa"/>
            <w:tcBorders>
              <w:top w:val="single" w:sz="4" w:space="0" w:color="C0C0C0"/>
              <w:left w:val="single" w:sz="4" w:space="0" w:color="000000"/>
              <w:bottom w:val="single" w:sz="4" w:space="0" w:color="C0C0C0"/>
            </w:tcBorders>
            <w:shd w:val="clear" w:color="auto" w:fill="auto"/>
          </w:tcPr>
          <w:p w14:paraId="693F348C"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對不合資格中央交易對手方的違責風險的風險承擔（不包括於第</w:t>
            </w:r>
            <w:r w:rsidRPr="00BC269C">
              <w:rPr>
                <w:rFonts w:eastAsia="細明體" w:cs="Segoe UI"/>
                <w:sz w:val="17"/>
                <w:lang w:eastAsia="ar-SA"/>
              </w:rPr>
              <w:t>17</w:t>
            </w:r>
            <w:r w:rsidRPr="00BC269C">
              <w:rPr>
                <w:rFonts w:eastAsia="細明體" w:cs="Segoe UI" w:hint="eastAsia"/>
                <w:sz w:val="17"/>
                <w:lang w:eastAsia="ar-SA"/>
              </w:rPr>
              <w:t>至</w:t>
            </w:r>
            <w:r w:rsidRPr="00BC269C">
              <w:rPr>
                <w:rFonts w:eastAsia="細明體" w:cs="Segoe UI"/>
                <w:sz w:val="17"/>
                <w:lang w:eastAsia="ar-SA"/>
              </w:rPr>
              <w:t>20</w:t>
            </w:r>
            <w:r w:rsidRPr="00BC269C">
              <w:rPr>
                <w:rFonts w:eastAsia="細明體" w:cs="Segoe UI" w:hint="eastAsia"/>
                <w:sz w:val="17"/>
                <w:lang w:eastAsia="ar-SA"/>
              </w:rPr>
              <w:t>行披露的項目），其中：</w:t>
            </w:r>
          </w:p>
        </w:tc>
        <w:tc>
          <w:tcPr>
            <w:tcW w:w="1701" w:type="dxa"/>
            <w:tcBorders>
              <w:top w:val="single" w:sz="4" w:space="0" w:color="C0C0C0"/>
              <w:left w:val="single" w:sz="4" w:space="0" w:color="000000"/>
              <w:bottom w:val="single" w:sz="4" w:space="0" w:color="C0C0C0"/>
            </w:tcBorders>
            <w:shd w:val="clear" w:color="auto" w:fill="auto"/>
            <w:vAlign w:val="bottom"/>
          </w:tcPr>
          <w:p w14:paraId="38CFDCAA"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19513EA0"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5EDDCC2D" w14:textId="77777777" w:rsidTr="007B761C">
        <w:trPr>
          <w:trHeight w:val="50"/>
        </w:trPr>
        <w:tc>
          <w:tcPr>
            <w:tcW w:w="433" w:type="dxa"/>
            <w:tcBorders>
              <w:top w:val="single" w:sz="4" w:space="0" w:color="C0C0C0"/>
              <w:bottom w:val="single" w:sz="4" w:space="0" w:color="C0C0C0"/>
            </w:tcBorders>
            <w:shd w:val="clear" w:color="auto" w:fill="auto"/>
          </w:tcPr>
          <w:p w14:paraId="0927106E"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13</w:t>
            </w:r>
          </w:p>
        </w:tc>
        <w:tc>
          <w:tcPr>
            <w:tcW w:w="5946" w:type="dxa"/>
            <w:tcBorders>
              <w:top w:val="single" w:sz="4" w:space="0" w:color="C0C0C0"/>
              <w:left w:val="single" w:sz="4" w:space="0" w:color="000000"/>
              <w:bottom w:val="single" w:sz="4" w:space="0" w:color="C0C0C0"/>
            </w:tcBorders>
            <w:shd w:val="clear" w:color="auto" w:fill="auto"/>
          </w:tcPr>
          <w:p w14:paraId="3AADEEF4"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w:t>
            </w:r>
            <w:proofErr w:type="spellStart"/>
            <w:r w:rsidRPr="00BC269C">
              <w:rPr>
                <w:rFonts w:eastAsia="細明體" w:cs="Segoe UI"/>
                <w:sz w:val="17"/>
                <w:lang w:eastAsia="ar-SA"/>
              </w:rPr>
              <w:t>i</w:t>
            </w:r>
            <w:proofErr w:type="spellEnd"/>
            <w:r w:rsidRPr="00BC269C">
              <w:rPr>
                <w:rFonts w:eastAsia="細明體" w:cs="Segoe UI"/>
                <w:sz w:val="17"/>
                <w:lang w:eastAsia="ar-SA"/>
              </w:rPr>
              <w:t xml:space="preserve">) </w:t>
            </w:r>
            <w:r w:rsidRPr="00BC269C">
              <w:rPr>
                <w:rFonts w:eastAsia="細明體" w:cs="Segoe UI" w:hint="eastAsia"/>
                <w:sz w:val="17"/>
                <w:lang w:eastAsia="ar-SA"/>
              </w:rPr>
              <w:t>場外衍生工具交易</w:t>
            </w:r>
          </w:p>
        </w:tc>
        <w:tc>
          <w:tcPr>
            <w:tcW w:w="1701" w:type="dxa"/>
            <w:tcBorders>
              <w:top w:val="single" w:sz="4" w:space="0" w:color="C0C0C0"/>
              <w:left w:val="single" w:sz="4" w:space="0" w:color="000000"/>
              <w:bottom w:val="single" w:sz="4" w:space="0" w:color="C0C0C0"/>
            </w:tcBorders>
            <w:shd w:val="clear" w:color="auto" w:fill="auto"/>
            <w:vAlign w:val="bottom"/>
          </w:tcPr>
          <w:p w14:paraId="3DB4D9D0"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5E14CBDD"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6FA64245" w14:textId="77777777" w:rsidTr="007B761C">
        <w:trPr>
          <w:trHeight w:val="50"/>
        </w:trPr>
        <w:tc>
          <w:tcPr>
            <w:tcW w:w="433" w:type="dxa"/>
            <w:tcBorders>
              <w:top w:val="single" w:sz="4" w:space="0" w:color="C0C0C0"/>
              <w:bottom w:val="single" w:sz="4" w:space="0" w:color="C0C0C0"/>
            </w:tcBorders>
            <w:shd w:val="clear" w:color="auto" w:fill="auto"/>
          </w:tcPr>
          <w:p w14:paraId="7DEED3F4"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14</w:t>
            </w:r>
          </w:p>
        </w:tc>
        <w:tc>
          <w:tcPr>
            <w:tcW w:w="5946" w:type="dxa"/>
            <w:tcBorders>
              <w:top w:val="single" w:sz="4" w:space="0" w:color="C0C0C0"/>
              <w:left w:val="single" w:sz="4" w:space="0" w:color="000000"/>
              <w:bottom w:val="single" w:sz="4" w:space="0" w:color="C0C0C0"/>
            </w:tcBorders>
            <w:shd w:val="clear" w:color="auto" w:fill="auto"/>
          </w:tcPr>
          <w:p w14:paraId="4E463046"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xml:space="preserve">(ii) </w:t>
            </w:r>
            <w:r w:rsidRPr="00BC269C">
              <w:rPr>
                <w:rFonts w:eastAsia="細明體" w:cs="Segoe UI" w:hint="eastAsia"/>
                <w:sz w:val="17"/>
                <w:lang w:eastAsia="ar-SA"/>
              </w:rPr>
              <w:t>交易所買賣衍生工具合約</w:t>
            </w:r>
          </w:p>
        </w:tc>
        <w:tc>
          <w:tcPr>
            <w:tcW w:w="1701" w:type="dxa"/>
            <w:tcBorders>
              <w:top w:val="single" w:sz="4" w:space="0" w:color="C0C0C0"/>
              <w:left w:val="single" w:sz="4" w:space="0" w:color="000000"/>
              <w:bottom w:val="single" w:sz="4" w:space="0" w:color="C0C0C0"/>
            </w:tcBorders>
            <w:shd w:val="clear" w:color="auto" w:fill="auto"/>
            <w:vAlign w:val="bottom"/>
          </w:tcPr>
          <w:p w14:paraId="75B6D859"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0296D642"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7B7FD7CC" w14:textId="77777777" w:rsidTr="007B761C">
        <w:trPr>
          <w:trHeight w:val="300"/>
        </w:trPr>
        <w:tc>
          <w:tcPr>
            <w:tcW w:w="433" w:type="dxa"/>
            <w:tcBorders>
              <w:top w:val="single" w:sz="4" w:space="0" w:color="C0C0C0"/>
              <w:bottom w:val="single" w:sz="4" w:space="0" w:color="C0C0C0"/>
            </w:tcBorders>
            <w:shd w:val="clear" w:color="auto" w:fill="auto"/>
          </w:tcPr>
          <w:p w14:paraId="584935EC"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15</w:t>
            </w:r>
          </w:p>
        </w:tc>
        <w:tc>
          <w:tcPr>
            <w:tcW w:w="5946" w:type="dxa"/>
            <w:tcBorders>
              <w:top w:val="single" w:sz="4" w:space="0" w:color="C0C0C0"/>
              <w:left w:val="single" w:sz="4" w:space="0" w:color="000000"/>
              <w:bottom w:val="single" w:sz="4" w:space="0" w:color="C0C0C0"/>
            </w:tcBorders>
            <w:shd w:val="clear" w:color="auto" w:fill="auto"/>
          </w:tcPr>
          <w:p w14:paraId="0BA67C06" w14:textId="09208F6D"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xml:space="preserve">(iii) </w:t>
            </w:r>
            <w:r w:rsidR="00427044">
              <w:rPr>
                <w:rFonts w:eastAsia="細明體" w:cs="Segoe UI" w:hint="eastAsia"/>
                <w:sz w:val="17"/>
                <w:lang w:eastAsia="zh-TW"/>
              </w:rPr>
              <w:t>SFT</w:t>
            </w:r>
          </w:p>
        </w:tc>
        <w:tc>
          <w:tcPr>
            <w:tcW w:w="1701" w:type="dxa"/>
            <w:tcBorders>
              <w:top w:val="single" w:sz="4" w:space="0" w:color="C0C0C0"/>
              <w:left w:val="single" w:sz="4" w:space="0" w:color="000000"/>
              <w:bottom w:val="single" w:sz="4" w:space="0" w:color="C0C0C0"/>
            </w:tcBorders>
            <w:shd w:val="clear" w:color="auto" w:fill="auto"/>
            <w:vAlign w:val="bottom"/>
          </w:tcPr>
          <w:p w14:paraId="0CF0AB21"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07E1C644"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41D7A5AB" w14:textId="77777777" w:rsidTr="007B761C">
        <w:trPr>
          <w:trHeight w:val="81"/>
        </w:trPr>
        <w:tc>
          <w:tcPr>
            <w:tcW w:w="433" w:type="dxa"/>
            <w:tcBorders>
              <w:top w:val="single" w:sz="4" w:space="0" w:color="C0C0C0"/>
              <w:bottom w:val="single" w:sz="4" w:space="0" w:color="C0C0C0"/>
            </w:tcBorders>
            <w:shd w:val="clear" w:color="auto" w:fill="auto"/>
          </w:tcPr>
          <w:p w14:paraId="728696AE"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16</w:t>
            </w:r>
          </w:p>
        </w:tc>
        <w:tc>
          <w:tcPr>
            <w:tcW w:w="5946" w:type="dxa"/>
            <w:tcBorders>
              <w:top w:val="single" w:sz="4" w:space="0" w:color="C0C0C0"/>
              <w:left w:val="single" w:sz="4" w:space="0" w:color="000000"/>
              <w:bottom w:val="single" w:sz="4" w:space="0" w:color="C0C0C0"/>
            </w:tcBorders>
            <w:shd w:val="clear" w:color="auto" w:fill="auto"/>
          </w:tcPr>
          <w:p w14:paraId="304F8EDE"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xml:space="preserve">(iv) </w:t>
            </w:r>
            <w:r w:rsidRPr="00BC269C">
              <w:rPr>
                <w:rFonts w:eastAsia="細明體" w:cs="Segoe UI" w:hint="eastAsia"/>
                <w:sz w:val="17"/>
                <w:lang w:eastAsia="ar-SA"/>
              </w:rPr>
              <w:t>受有效跨產品淨額結算協議規限的淨額計算組合</w:t>
            </w:r>
          </w:p>
        </w:tc>
        <w:tc>
          <w:tcPr>
            <w:tcW w:w="1701" w:type="dxa"/>
            <w:tcBorders>
              <w:top w:val="single" w:sz="4" w:space="0" w:color="C0C0C0"/>
              <w:left w:val="single" w:sz="4" w:space="0" w:color="000000"/>
              <w:bottom w:val="single" w:sz="4" w:space="0" w:color="C0C0C0"/>
            </w:tcBorders>
            <w:shd w:val="clear" w:color="auto" w:fill="auto"/>
            <w:vAlign w:val="bottom"/>
          </w:tcPr>
          <w:p w14:paraId="7728A5A6"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6D67CAB0"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6BFAA740" w14:textId="77777777" w:rsidTr="007B761C">
        <w:trPr>
          <w:trHeight w:val="300"/>
        </w:trPr>
        <w:tc>
          <w:tcPr>
            <w:tcW w:w="433" w:type="dxa"/>
            <w:tcBorders>
              <w:top w:val="single" w:sz="4" w:space="0" w:color="C0C0C0"/>
              <w:bottom w:val="single" w:sz="4" w:space="0" w:color="C0C0C0"/>
            </w:tcBorders>
            <w:shd w:val="clear" w:color="auto" w:fill="auto"/>
          </w:tcPr>
          <w:p w14:paraId="08FB61F9"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17</w:t>
            </w:r>
          </w:p>
        </w:tc>
        <w:tc>
          <w:tcPr>
            <w:tcW w:w="5946" w:type="dxa"/>
            <w:tcBorders>
              <w:top w:val="single" w:sz="4" w:space="0" w:color="C0C0C0"/>
              <w:left w:val="single" w:sz="4" w:space="0" w:color="000000"/>
              <w:bottom w:val="single" w:sz="4" w:space="0" w:color="C0C0C0"/>
            </w:tcBorders>
            <w:shd w:val="clear" w:color="auto" w:fill="auto"/>
          </w:tcPr>
          <w:p w14:paraId="2EEA408F"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分隔的開倉保證金</w:t>
            </w:r>
          </w:p>
        </w:tc>
        <w:tc>
          <w:tcPr>
            <w:tcW w:w="1701" w:type="dxa"/>
            <w:tcBorders>
              <w:top w:val="single" w:sz="4" w:space="0" w:color="C0C0C0"/>
              <w:left w:val="single" w:sz="4" w:space="0" w:color="000000"/>
              <w:bottom w:val="single" w:sz="4" w:space="0" w:color="C0C0C0"/>
            </w:tcBorders>
            <w:shd w:val="clear" w:color="auto" w:fill="auto"/>
            <w:vAlign w:val="bottom"/>
          </w:tcPr>
          <w:p w14:paraId="6BBB8324"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D9D9D9"/>
            <w:vAlign w:val="bottom"/>
          </w:tcPr>
          <w:p w14:paraId="13A2EA13"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27066627" w14:textId="77777777" w:rsidTr="007B761C">
        <w:trPr>
          <w:trHeight w:val="300"/>
        </w:trPr>
        <w:tc>
          <w:tcPr>
            <w:tcW w:w="433" w:type="dxa"/>
            <w:tcBorders>
              <w:top w:val="single" w:sz="4" w:space="0" w:color="C0C0C0"/>
              <w:bottom w:val="single" w:sz="4" w:space="0" w:color="C0C0C0"/>
            </w:tcBorders>
            <w:shd w:val="clear" w:color="auto" w:fill="auto"/>
          </w:tcPr>
          <w:p w14:paraId="09EF45FA"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18</w:t>
            </w:r>
          </w:p>
        </w:tc>
        <w:tc>
          <w:tcPr>
            <w:tcW w:w="5946" w:type="dxa"/>
            <w:tcBorders>
              <w:top w:val="single" w:sz="4" w:space="0" w:color="C0C0C0"/>
              <w:left w:val="single" w:sz="4" w:space="0" w:color="000000"/>
              <w:bottom w:val="single" w:sz="4" w:space="0" w:color="C0C0C0"/>
            </w:tcBorders>
            <w:shd w:val="clear" w:color="auto" w:fill="auto"/>
          </w:tcPr>
          <w:p w14:paraId="3B5C47E2"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非分隔的開倉保證金</w:t>
            </w:r>
          </w:p>
        </w:tc>
        <w:tc>
          <w:tcPr>
            <w:tcW w:w="1701" w:type="dxa"/>
            <w:tcBorders>
              <w:top w:val="single" w:sz="4" w:space="0" w:color="C0C0C0"/>
              <w:left w:val="single" w:sz="4" w:space="0" w:color="000000"/>
              <w:bottom w:val="single" w:sz="4" w:space="0" w:color="C0C0C0"/>
            </w:tcBorders>
            <w:shd w:val="clear" w:color="auto" w:fill="auto"/>
            <w:vAlign w:val="bottom"/>
          </w:tcPr>
          <w:p w14:paraId="5E3E8E8E"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20EFB52E"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6376FD41" w14:textId="77777777" w:rsidTr="007B761C">
        <w:trPr>
          <w:trHeight w:val="300"/>
        </w:trPr>
        <w:tc>
          <w:tcPr>
            <w:tcW w:w="433" w:type="dxa"/>
            <w:tcBorders>
              <w:top w:val="single" w:sz="4" w:space="0" w:color="C0C0C0"/>
              <w:bottom w:val="single" w:sz="4" w:space="0" w:color="C0C0C0"/>
            </w:tcBorders>
            <w:shd w:val="clear" w:color="auto" w:fill="auto"/>
          </w:tcPr>
          <w:p w14:paraId="3B89A1BD"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19</w:t>
            </w:r>
          </w:p>
        </w:tc>
        <w:tc>
          <w:tcPr>
            <w:tcW w:w="5946" w:type="dxa"/>
            <w:tcBorders>
              <w:top w:val="single" w:sz="4" w:space="0" w:color="C0C0C0"/>
              <w:left w:val="single" w:sz="4" w:space="0" w:color="000000"/>
              <w:bottom w:val="single" w:sz="4" w:space="0" w:color="C0C0C0"/>
            </w:tcBorders>
            <w:shd w:val="clear" w:color="auto" w:fill="auto"/>
          </w:tcPr>
          <w:p w14:paraId="2A0E92A6"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以資金支持的違責基金承擔</w:t>
            </w:r>
          </w:p>
        </w:tc>
        <w:tc>
          <w:tcPr>
            <w:tcW w:w="1701" w:type="dxa"/>
            <w:tcBorders>
              <w:top w:val="single" w:sz="4" w:space="0" w:color="C0C0C0"/>
              <w:left w:val="single" w:sz="4" w:space="0" w:color="000000"/>
              <w:bottom w:val="single" w:sz="4" w:space="0" w:color="C0C0C0"/>
            </w:tcBorders>
            <w:shd w:val="clear" w:color="auto" w:fill="auto"/>
            <w:vAlign w:val="bottom"/>
          </w:tcPr>
          <w:p w14:paraId="0C1CAC9F"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 </w:t>
            </w:r>
          </w:p>
        </w:tc>
        <w:tc>
          <w:tcPr>
            <w:tcW w:w="1154" w:type="dxa"/>
            <w:tcBorders>
              <w:top w:val="single" w:sz="4" w:space="0" w:color="C0C0C0"/>
              <w:left w:val="single" w:sz="4" w:space="0" w:color="000000"/>
              <w:bottom w:val="single" w:sz="4" w:space="0" w:color="C0C0C0"/>
              <w:right w:val="single" w:sz="4" w:space="0" w:color="000000"/>
            </w:tcBorders>
            <w:shd w:val="clear" w:color="auto" w:fill="auto"/>
            <w:vAlign w:val="bottom"/>
          </w:tcPr>
          <w:p w14:paraId="4316F9B9" w14:textId="77777777" w:rsidR="00BC269C" w:rsidRPr="00BC269C" w:rsidRDefault="00BC269C" w:rsidP="00BC269C">
            <w:pPr>
              <w:suppressAutoHyphens/>
              <w:snapToGrid w:val="0"/>
              <w:spacing w:before="40" w:after="40"/>
              <w:rPr>
                <w:rFonts w:cs="Segoe UI"/>
                <w:sz w:val="17"/>
                <w:lang w:eastAsia="ar-SA"/>
              </w:rPr>
            </w:pPr>
            <w:r w:rsidRPr="00BC269C">
              <w:rPr>
                <w:rFonts w:eastAsia="細明體" w:cs="Segoe UI"/>
                <w:sz w:val="17"/>
                <w:lang w:eastAsia="ar-SA"/>
              </w:rPr>
              <w:t> </w:t>
            </w:r>
          </w:p>
        </w:tc>
      </w:tr>
      <w:tr w:rsidR="00BC269C" w:rsidRPr="00BC269C" w14:paraId="27199597" w14:textId="77777777" w:rsidTr="007B761C">
        <w:trPr>
          <w:trHeight w:val="300"/>
        </w:trPr>
        <w:tc>
          <w:tcPr>
            <w:tcW w:w="433" w:type="dxa"/>
            <w:tcBorders>
              <w:top w:val="single" w:sz="4" w:space="0" w:color="C0C0C0"/>
              <w:bottom w:val="single" w:sz="4" w:space="0" w:color="auto"/>
            </w:tcBorders>
            <w:shd w:val="clear" w:color="auto" w:fill="auto"/>
          </w:tcPr>
          <w:p w14:paraId="66DE98A7"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sz w:val="17"/>
                <w:lang w:eastAsia="ar-SA"/>
              </w:rPr>
              <w:t>20</w:t>
            </w:r>
          </w:p>
        </w:tc>
        <w:tc>
          <w:tcPr>
            <w:tcW w:w="5946" w:type="dxa"/>
            <w:tcBorders>
              <w:top w:val="single" w:sz="4" w:space="0" w:color="C0C0C0"/>
              <w:left w:val="single" w:sz="4" w:space="0" w:color="000000"/>
              <w:bottom w:val="single" w:sz="4" w:space="0" w:color="auto"/>
            </w:tcBorders>
            <w:shd w:val="clear" w:color="auto" w:fill="auto"/>
          </w:tcPr>
          <w:p w14:paraId="04932A0B" w14:textId="77777777" w:rsidR="00BC269C" w:rsidRPr="00BC269C" w:rsidRDefault="00BC269C" w:rsidP="00BC269C">
            <w:pPr>
              <w:suppressAutoHyphens/>
              <w:snapToGrid w:val="0"/>
              <w:spacing w:before="40" w:after="40"/>
              <w:rPr>
                <w:rFonts w:eastAsia="細明體" w:cs="Segoe UI"/>
                <w:sz w:val="17"/>
                <w:lang w:eastAsia="ar-SA"/>
              </w:rPr>
            </w:pPr>
            <w:r w:rsidRPr="00BC269C">
              <w:rPr>
                <w:rFonts w:eastAsia="細明體" w:cs="Segoe UI" w:hint="eastAsia"/>
                <w:sz w:val="17"/>
                <w:lang w:eastAsia="ar-SA"/>
              </w:rPr>
              <w:t>非以資金支持的違責基金承擔</w:t>
            </w:r>
          </w:p>
        </w:tc>
        <w:tc>
          <w:tcPr>
            <w:tcW w:w="1701" w:type="dxa"/>
            <w:tcBorders>
              <w:top w:val="single" w:sz="4" w:space="0" w:color="C0C0C0"/>
              <w:left w:val="single" w:sz="4" w:space="0" w:color="000000"/>
              <w:bottom w:val="single" w:sz="4" w:space="0" w:color="auto"/>
            </w:tcBorders>
            <w:shd w:val="clear" w:color="auto" w:fill="auto"/>
            <w:vAlign w:val="bottom"/>
          </w:tcPr>
          <w:p w14:paraId="1CC0A6A3" w14:textId="77777777" w:rsidR="00BC269C" w:rsidRPr="00BC269C" w:rsidRDefault="00BC269C" w:rsidP="00BC269C">
            <w:pPr>
              <w:suppressAutoHyphens/>
              <w:snapToGrid w:val="0"/>
              <w:spacing w:before="40" w:after="40"/>
              <w:rPr>
                <w:rFonts w:eastAsia="細明體" w:cs="Segoe UI"/>
                <w:sz w:val="17"/>
                <w:lang w:eastAsia="ar-SA"/>
              </w:rPr>
            </w:pPr>
          </w:p>
        </w:tc>
        <w:tc>
          <w:tcPr>
            <w:tcW w:w="1154" w:type="dxa"/>
            <w:tcBorders>
              <w:top w:val="single" w:sz="4" w:space="0" w:color="C0C0C0"/>
              <w:left w:val="single" w:sz="4" w:space="0" w:color="000000"/>
              <w:bottom w:val="single" w:sz="4" w:space="0" w:color="auto"/>
              <w:right w:val="single" w:sz="4" w:space="0" w:color="000000"/>
            </w:tcBorders>
            <w:shd w:val="clear" w:color="auto" w:fill="auto"/>
            <w:vAlign w:val="bottom"/>
          </w:tcPr>
          <w:p w14:paraId="25C58F5C" w14:textId="77777777" w:rsidR="00BC269C" w:rsidRPr="00BC269C" w:rsidRDefault="00BC269C" w:rsidP="00BC269C">
            <w:pPr>
              <w:suppressAutoHyphens/>
              <w:snapToGrid w:val="0"/>
              <w:spacing w:before="40" w:after="40"/>
              <w:rPr>
                <w:rFonts w:eastAsia="細明體" w:cs="Segoe UI"/>
                <w:sz w:val="17"/>
                <w:lang w:eastAsia="ar-SA"/>
              </w:rPr>
            </w:pPr>
          </w:p>
        </w:tc>
      </w:tr>
    </w:tbl>
    <w:p w14:paraId="043ADF05" w14:textId="41D54E91" w:rsidR="007B761C" w:rsidRDefault="007B761C">
      <w:pPr>
        <w:rPr>
          <w:lang w:eastAsia="zh-TW"/>
        </w:rPr>
      </w:pPr>
    </w:p>
    <w:p w14:paraId="2F33EC3D" w14:textId="77777777" w:rsidR="00746E0A" w:rsidRDefault="00746E0A">
      <w:pPr>
        <w:rPr>
          <w:lang w:eastAsia="zh-TW"/>
        </w:rPr>
      </w:pPr>
    </w:p>
    <w:tbl>
      <w:tblPr>
        <w:tblW w:w="9234" w:type="dxa"/>
        <w:tblInd w:w="-469" w:type="dxa"/>
        <w:tblLayout w:type="fixed"/>
        <w:tblLook w:val="0000" w:firstRow="0" w:lastRow="0" w:firstColumn="0" w:lastColumn="0" w:noHBand="0" w:noVBand="0"/>
      </w:tblPr>
      <w:tblGrid>
        <w:gridCol w:w="851"/>
        <w:gridCol w:w="8383"/>
      </w:tblGrid>
      <w:tr w:rsidR="00BC269C" w:rsidRPr="00BC269C" w14:paraId="775E4576" w14:textId="77777777" w:rsidTr="007B761C">
        <w:trPr>
          <w:tblHeader/>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BFBFBF"/>
          </w:tcPr>
          <w:p w14:paraId="1B8C7B2E" w14:textId="77777777" w:rsidR="00BC269C" w:rsidRPr="00BC269C" w:rsidRDefault="00BC269C" w:rsidP="00BC269C">
            <w:pPr>
              <w:spacing w:before="40" w:after="40" w:line="259" w:lineRule="auto"/>
              <w:jc w:val="both"/>
              <w:rPr>
                <w:rFonts w:ascii="Calibri" w:eastAsia="新細明體" w:hAnsi="Calibri"/>
                <w:sz w:val="22"/>
                <w:szCs w:val="22"/>
                <w:lang w:eastAsia="zh-CN"/>
              </w:rPr>
            </w:pPr>
            <w:r w:rsidRPr="00BC269C">
              <w:rPr>
                <w:rFonts w:ascii="Calibri" w:eastAsia="細明體" w:hAnsi="Calibri" w:hint="eastAsia"/>
                <w:b/>
                <w:sz w:val="17"/>
                <w:szCs w:val="17"/>
                <w:lang w:eastAsia="zh-CN"/>
              </w:rPr>
              <w:t>註釋</w:t>
            </w:r>
          </w:p>
        </w:tc>
      </w:tr>
      <w:tr w:rsidR="00BC269C" w:rsidRPr="00BC269C" w14:paraId="4DE55E27" w14:textId="77777777" w:rsidTr="007B761C">
        <w:trPr>
          <w:trHeight w:val="15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69BB115" w14:textId="77777777" w:rsidR="00BC269C" w:rsidRPr="00BC269C" w:rsidRDefault="00BC269C" w:rsidP="00BC269C">
            <w:pPr>
              <w:spacing w:before="40" w:after="40" w:line="259" w:lineRule="auto"/>
              <w:jc w:val="both"/>
              <w:rPr>
                <w:rFonts w:ascii="Calibri" w:eastAsia="新細明體" w:hAnsi="Calibri"/>
                <w:sz w:val="22"/>
                <w:szCs w:val="22"/>
                <w:lang w:eastAsia="zh-CN"/>
              </w:rPr>
            </w:pPr>
            <w:proofErr w:type="gramStart"/>
            <w:r w:rsidRPr="00BC269C">
              <w:rPr>
                <w:rFonts w:ascii="Calibri" w:eastAsia="細明體" w:hAnsi="Calibri" w:hint="eastAsia"/>
                <w:b/>
                <w:sz w:val="17"/>
                <w:szCs w:val="17"/>
                <w:lang w:eastAsia="zh-CN"/>
              </w:rPr>
              <w:t>欄</w:t>
            </w:r>
            <w:proofErr w:type="gramEnd"/>
          </w:p>
        </w:tc>
      </w:tr>
      <w:tr w:rsidR="00BC269C" w:rsidRPr="00A51540" w14:paraId="71CF392A"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7359CAD1"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bCs/>
                <w:i/>
                <w:sz w:val="22"/>
                <w:szCs w:val="22"/>
                <w:lang w:eastAsia="zh-CN"/>
              </w:rPr>
            </w:pPr>
            <w:r w:rsidRPr="00BC269C">
              <w:rPr>
                <w:rFonts w:ascii="Calibri" w:eastAsia="細明體" w:hAnsi="Calibri"/>
                <w:sz w:val="17"/>
                <w:szCs w:val="17"/>
                <w:lang w:eastAsia="zh-CN"/>
              </w:rPr>
              <w:t>(a)</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56C6AD29" w14:textId="77777777" w:rsidR="00BC269C" w:rsidRPr="00BC269C" w:rsidRDefault="00BC269C" w:rsidP="00BC269C">
            <w:pPr>
              <w:suppressAutoHyphens/>
              <w:spacing w:before="40" w:after="40"/>
              <w:jc w:val="both"/>
              <w:rPr>
                <w:rFonts w:eastAsia="細明體" w:cs="Segoe UI"/>
                <w:sz w:val="17"/>
                <w:lang w:eastAsia="ar-SA"/>
              </w:rPr>
            </w:pPr>
            <w:r w:rsidRPr="00BC269C">
              <w:rPr>
                <w:rFonts w:eastAsia="細明體" w:cs="Segoe UI" w:hint="eastAsia"/>
                <w:bCs/>
                <w:i/>
                <w:sz w:val="17"/>
                <w:lang w:eastAsia="zh-TW"/>
              </w:rPr>
              <w:t>已將</w:t>
            </w:r>
            <w:r w:rsidRPr="00BC269C">
              <w:rPr>
                <w:rFonts w:eastAsia="細明體" w:cs="Segoe UI" w:hint="eastAsia"/>
                <w:bCs/>
                <w:i/>
                <w:sz w:val="17"/>
                <w:lang w:eastAsia="ar-SA"/>
              </w:rPr>
              <w:t>減低信用風險措施</w:t>
            </w:r>
            <w:r w:rsidRPr="00BC269C">
              <w:rPr>
                <w:rFonts w:eastAsia="細明體" w:cs="Segoe UI" w:hint="eastAsia"/>
                <w:bCs/>
                <w:i/>
                <w:sz w:val="17"/>
                <w:szCs w:val="17"/>
                <w:lang w:eastAsia="zh-TW"/>
              </w:rPr>
              <w:t>計算在內</w:t>
            </w:r>
            <w:r w:rsidRPr="00BC269C">
              <w:rPr>
                <w:rFonts w:eastAsia="細明體" w:cs="Segoe UI" w:hint="eastAsia"/>
                <w:bCs/>
                <w:i/>
                <w:sz w:val="17"/>
                <w:lang w:eastAsia="ar-SA"/>
              </w:rPr>
              <w:t>的風險承擔</w:t>
            </w:r>
            <w:r w:rsidRPr="00BC269C">
              <w:rPr>
                <w:rFonts w:eastAsia="細明體" w:cs="Segoe UI" w:hint="eastAsia"/>
                <w:bCs/>
                <w:sz w:val="17"/>
                <w:lang w:eastAsia="ar-SA"/>
              </w:rPr>
              <w:t>：</w:t>
            </w:r>
          </w:p>
          <w:p w14:paraId="1EEDD3D7" w14:textId="0B9DB352" w:rsidR="00BC269C" w:rsidRPr="00BC269C" w:rsidRDefault="00BC269C" w:rsidP="006651A2">
            <w:pPr>
              <w:keepNext/>
              <w:numPr>
                <w:ilvl w:val="0"/>
                <w:numId w:val="47"/>
              </w:numPr>
              <w:suppressAutoHyphens/>
              <w:spacing w:before="40" w:after="40" w:line="259" w:lineRule="auto"/>
              <w:jc w:val="both"/>
              <w:rPr>
                <w:rFonts w:eastAsia="細明體" w:cs="Segoe UI"/>
                <w:sz w:val="17"/>
                <w:lang w:eastAsia="ar-SA"/>
              </w:rPr>
            </w:pPr>
            <w:r w:rsidRPr="00BC269C">
              <w:rPr>
                <w:rFonts w:eastAsia="細明體" w:cs="Segoe UI" w:hint="eastAsia"/>
                <w:sz w:val="17"/>
                <w:lang w:eastAsia="ar-SA"/>
              </w:rPr>
              <w:t>就第</w:t>
            </w:r>
            <w:r w:rsidRPr="00BC269C">
              <w:rPr>
                <w:rFonts w:eastAsia="細明體" w:cs="Segoe UI"/>
                <w:sz w:val="17"/>
                <w:lang w:eastAsia="ar-SA"/>
              </w:rPr>
              <w:t>2</w:t>
            </w:r>
            <w:r w:rsidRPr="00BC269C">
              <w:rPr>
                <w:rFonts w:eastAsia="細明體" w:cs="Segoe UI" w:hint="eastAsia"/>
                <w:sz w:val="17"/>
                <w:lang w:eastAsia="ar-SA"/>
              </w:rPr>
              <w:t>至</w:t>
            </w:r>
            <w:r w:rsidRPr="00BC269C">
              <w:rPr>
                <w:rFonts w:eastAsia="細明體" w:cs="Segoe UI"/>
                <w:sz w:val="17"/>
                <w:lang w:eastAsia="ar-SA"/>
              </w:rPr>
              <w:t>6</w:t>
            </w:r>
            <w:r w:rsidRPr="00BC269C">
              <w:rPr>
                <w:rFonts w:eastAsia="細明體" w:cs="Segoe UI"/>
                <w:sz w:val="17"/>
                <w:lang w:eastAsia="ar-SA"/>
              </w:rPr>
              <w:t>行</w:t>
            </w:r>
            <w:r w:rsidRPr="00BC269C">
              <w:rPr>
                <w:rFonts w:eastAsia="細明體" w:cs="Segoe UI" w:hint="eastAsia"/>
                <w:sz w:val="17"/>
                <w:lang w:eastAsia="ar-SA"/>
              </w:rPr>
              <w:t>及第</w:t>
            </w:r>
            <w:r w:rsidRPr="00BC269C">
              <w:rPr>
                <w:rFonts w:eastAsia="細明體" w:cs="Segoe UI"/>
                <w:sz w:val="17"/>
                <w:lang w:eastAsia="ar-SA"/>
              </w:rPr>
              <w:t>12</w:t>
            </w:r>
            <w:r w:rsidRPr="00BC269C">
              <w:rPr>
                <w:rFonts w:eastAsia="細明體" w:cs="Segoe UI" w:hint="eastAsia"/>
                <w:sz w:val="17"/>
                <w:lang w:eastAsia="ar-SA"/>
              </w:rPr>
              <w:t>至</w:t>
            </w:r>
            <w:r w:rsidRPr="00BC269C">
              <w:rPr>
                <w:rFonts w:eastAsia="細明體" w:cs="Segoe UI"/>
                <w:sz w:val="17"/>
                <w:lang w:eastAsia="ar-SA"/>
              </w:rPr>
              <w:t>16</w:t>
            </w:r>
            <w:r w:rsidRPr="00BC269C">
              <w:rPr>
                <w:rFonts w:eastAsia="細明體" w:cs="Segoe UI"/>
                <w:sz w:val="17"/>
                <w:lang w:eastAsia="ar-SA"/>
              </w:rPr>
              <w:t>行</w:t>
            </w:r>
            <w:r w:rsidRPr="00BC269C">
              <w:rPr>
                <w:rFonts w:eastAsia="細明體" w:cs="Segoe UI" w:hint="eastAsia"/>
                <w:sz w:val="17"/>
                <w:lang w:eastAsia="ar-SA"/>
              </w:rPr>
              <w:t>而言，有關數額應為</w:t>
            </w:r>
            <w:r w:rsidR="00966835" w:rsidRPr="00776E7C">
              <w:rPr>
                <w:rFonts w:eastAsia="細明體" w:cs="Segoe UI" w:hint="eastAsia"/>
                <w:sz w:val="17"/>
                <w:lang w:eastAsia="ar-SA"/>
              </w:rPr>
              <w:t>《資本規則》所界定的「違責風險的未結清風險承擔」或「違責風險的風險承擔」（視情況而定），並屬</w:t>
            </w:r>
            <w:r w:rsidR="00A51540" w:rsidRPr="00776E7C">
              <w:rPr>
                <w:rFonts w:eastAsia="細明體" w:cs="Segoe UI" w:hint="eastAsia"/>
                <w:sz w:val="17"/>
                <w:lang w:eastAsia="ar-SA"/>
              </w:rPr>
              <w:t>就</w:t>
            </w:r>
            <w:r w:rsidRPr="00776E7C">
              <w:rPr>
                <w:rFonts w:eastAsia="細明體" w:cs="Segoe UI" w:hint="eastAsia"/>
                <w:sz w:val="17"/>
                <w:lang w:eastAsia="ar-SA"/>
              </w:rPr>
              <w:t>衍生工具合約或</w:t>
            </w:r>
            <w:r w:rsidR="00427044" w:rsidRPr="00776E7C">
              <w:rPr>
                <w:rFonts w:eastAsia="細明體" w:cs="Segoe UI"/>
                <w:sz w:val="17"/>
                <w:lang w:eastAsia="ar-SA"/>
              </w:rPr>
              <w:t>SFT</w:t>
            </w:r>
            <w:r w:rsidR="00A51540" w:rsidRPr="00776E7C">
              <w:rPr>
                <w:rFonts w:eastAsia="細明體" w:cs="Segoe UI" w:hint="eastAsia"/>
                <w:sz w:val="17"/>
                <w:lang w:eastAsia="ar-SA"/>
              </w:rPr>
              <w:t>按照</w:t>
            </w:r>
            <w:r w:rsidR="00A51540" w:rsidRPr="00776E7C">
              <w:rPr>
                <w:rFonts w:eastAsia="細明體" w:cs="Segoe UI"/>
                <w:sz w:val="17"/>
                <w:lang w:eastAsia="ar-SA"/>
              </w:rPr>
              <w:t>《資本規則》</w:t>
            </w:r>
            <w:r w:rsidR="00A51540" w:rsidRPr="00776E7C">
              <w:rPr>
                <w:rFonts w:eastAsia="細明體" w:cs="Segoe UI" w:hint="eastAsia"/>
                <w:sz w:val="17"/>
                <w:lang w:eastAsia="ar-SA"/>
              </w:rPr>
              <w:t>第</w:t>
            </w:r>
            <w:r w:rsidR="00A51540" w:rsidRPr="00776E7C">
              <w:rPr>
                <w:rFonts w:eastAsia="細明體" w:cs="Segoe UI"/>
                <w:sz w:val="17"/>
                <w:lang w:eastAsia="ar-SA"/>
              </w:rPr>
              <w:t>6A</w:t>
            </w:r>
            <w:r w:rsidR="00A51540" w:rsidRPr="00776E7C">
              <w:rPr>
                <w:rFonts w:eastAsia="細明體" w:cs="Segoe UI" w:hint="eastAsia"/>
                <w:sz w:val="17"/>
                <w:lang w:eastAsia="ar-SA"/>
              </w:rPr>
              <w:t>部及（如適用）第</w:t>
            </w:r>
            <w:r w:rsidR="00A51540" w:rsidRPr="00776E7C">
              <w:rPr>
                <w:rFonts w:eastAsia="細明體" w:cs="Segoe UI"/>
                <w:sz w:val="17"/>
                <w:lang w:eastAsia="ar-SA"/>
              </w:rPr>
              <w:t>12</w:t>
            </w:r>
            <w:r w:rsidR="00A51540" w:rsidRPr="00776E7C">
              <w:rPr>
                <w:rFonts w:eastAsia="細明體" w:cs="Segoe UI" w:hint="eastAsia"/>
                <w:sz w:val="17"/>
                <w:lang w:eastAsia="ar-SA"/>
              </w:rPr>
              <w:t>部第</w:t>
            </w:r>
            <w:r w:rsidR="00A51540" w:rsidRPr="00776E7C">
              <w:rPr>
                <w:rFonts w:eastAsia="細明體" w:cs="Segoe UI"/>
                <w:sz w:val="17"/>
                <w:lang w:eastAsia="ar-SA"/>
              </w:rPr>
              <w:t>3</w:t>
            </w:r>
            <w:r w:rsidR="00A51540" w:rsidRPr="00776E7C">
              <w:rPr>
                <w:rFonts w:eastAsia="細明體" w:cs="Segoe UI" w:hint="eastAsia"/>
                <w:sz w:val="17"/>
                <w:lang w:eastAsia="ar-SA"/>
              </w:rPr>
              <w:t>分部所計算的</w:t>
            </w:r>
            <w:r w:rsidR="00966835" w:rsidRPr="00776E7C">
              <w:rPr>
                <w:rFonts w:eastAsia="細明體" w:cs="Segoe UI" w:hint="eastAsia"/>
                <w:sz w:val="17"/>
                <w:lang w:eastAsia="ar-SA"/>
              </w:rPr>
              <w:t>的數額</w:t>
            </w:r>
            <w:r w:rsidRPr="00776E7C">
              <w:rPr>
                <w:rFonts w:eastAsia="細明體" w:cs="Segoe UI" w:hint="eastAsia"/>
                <w:sz w:val="17"/>
                <w:lang w:eastAsia="ar-SA"/>
              </w:rPr>
              <w:t>。</w:t>
            </w:r>
            <w:r w:rsidRPr="00BC269C">
              <w:rPr>
                <w:rFonts w:eastAsia="細明體" w:cs="Segoe UI" w:hint="eastAsia"/>
                <w:sz w:val="17"/>
                <w:lang w:eastAsia="ar-SA"/>
              </w:rPr>
              <w:t>就《資本規則》第</w:t>
            </w:r>
            <w:r w:rsidRPr="00BC269C">
              <w:rPr>
                <w:rFonts w:eastAsia="細明體" w:cs="Segoe UI"/>
                <w:sz w:val="17"/>
                <w:lang w:eastAsia="ar-SA"/>
              </w:rPr>
              <w:t>226MJ</w:t>
            </w:r>
            <w:r w:rsidRPr="00BC269C">
              <w:rPr>
                <w:rFonts w:eastAsia="細明體" w:cs="Segoe UI" w:hint="eastAsia"/>
                <w:sz w:val="17"/>
                <w:lang w:eastAsia="ar-SA"/>
              </w:rPr>
              <w:t>條涵蓋的</w:t>
            </w:r>
            <w:r w:rsidRPr="00BC269C">
              <w:rPr>
                <w:rFonts w:eastAsia="細明體" w:cs="Segoe UI" w:hint="eastAsia"/>
                <w:sz w:val="17"/>
                <w:lang w:eastAsia="zh-HK"/>
              </w:rPr>
              <w:t>、</w:t>
            </w:r>
            <w:r w:rsidRPr="00BC269C">
              <w:rPr>
                <w:rFonts w:eastAsia="細明體" w:cs="Segoe UI" w:hint="eastAsia"/>
                <w:sz w:val="17"/>
                <w:lang w:eastAsia="ar-SA"/>
              </w:rPr>
              <w:t>按《資本規則》</w:t>
            </w:r>
            <w:r w:rsidRPr="00BC269C">
              <w:rPr>
                <w:rFonts w:eastAsia="細明體" w:cs="Segoe UI"/>
                <w:sz w:val="17"/>
                <w:lang w:eastAsia="ar-SA"/>
              </w:rPr>
              <w:t xml:space="preserve"> </w:t>
            </w:r>
            <w:r w:rsidRPr="00BC269C">
              <w:rPr>
                <w:rFonts w:eastAsia="細明體" w:cs="Segoe UI" w:hint="eastAsia"/>
                <w:sz w:val="17"/>
                <w:lang w:eastAsia="ar-SA"/>
              </w:rPr>
              <w:t>第</w:t>
            </w:r>
            <w:r w:rsidRPr="00BC269C">
              <w:rPr>
                <w:rFonts w:eastAsia="細明體" w:cs="Segoe UI"/>
                <w:sz w:val="17"/>
                <w:lang w:eastAsia="ar-SA"/>
              </w:rPr>
              <w:t>4</w:t>
            </w:r>
            <w:r w:rsidRPr="00BC269C">
              <w:rPr>
                <w:rFonts w:eastAsia="細明體" w:cs="Segoe UI" w:hint="eastAsia"/>
                <w:sz w:val="17"/>
                <w:lang w:eastAsia="ar-SA"/>
              </w:rPr>
              <w:t>部全面方法</w:t>
            </w:r>
            <w:r w:rsidRPr="00BC269C">
              <w:rPr>
                <w:rFonts w:eastAsia="細明體" w:cs="Segoe UI" w:hint="eastAsia"/>
                <w:sz w:val="17"/>
                <w:lang w:eastAsia="zh-HK"/>
              </w:rPr>
              <w:t>計入</w:t>
            </w:r>
            <w:r w:rsidRPr="00BC269C">
              <w:rPr>
                <w:rFonts w:eastAsia="細明體" w:cs="Segoe UI" w:hint="eastAsia"/>
                <w:sz w:val="17"/>
                <w:lang w:eastAsia="ar-SA"/>
              </w:rPr>
              <w:t>任何收到的認可扺押品</w:t>
            </w:r>
            <w:r w:rsidRPr="00BC269C">
              <w:rPr>
                <w:rFonts w:eastAsia="細明體" w:cs="Segoe UI" w:hint="eastAsia"/>
                <w:sz w:val="17"/>
                <w:lang w:eastAsia="zh-HK"/>
              </w:rPr>
              <w:t>的</w:t>
            </w:r>
            <w:r w:rsidRPr="00BC269C">
              <w:rPr>
                <w:rFonts w:eastAsia="細明體" w:cs="Segoe UI" w:hint="eastAsia"/>
                <w:sz w:val="17"/>
                <w:lang w:eastAsia="ar-SA"/>
              </w:rPr>
              <w:t>減低信用風險措施</w:t>
            </w:r>
            <w:r w:rsidRPr="00BC269C">
              <w:rPr>
                <w:rFonts w:eastAsia="細明體" w:cs="Segoe UI" w:hint="eastAsia"/>
                <w:sz w:val="17"/>
                <w:lang w:eastAsia="zh-HK"/>
              </w:rPr>
              <w:t>效果的</w:t>
            </w:r>
            <w:r w:rsidRPr="00BC269C">
              <w:rPr>
                <w:rFonts w:eastAsia="細明體" w:cs="Segoe UI" w:hint="eastAsia"/>
                <w:sz w:val="17"/>
                <w:lang w:eastAsia="ar-SA"/>
              </w:rPr>
              <w:t>任何</w:t>
            </w:r>
            <w:r w:rsidR="00427044">
              <w:rPr>
                <w:rFonts w:eastAsia="細明體" w:cs="Segoe UI" w:hint="cs"/>
                <w:sz w:val="17"/>
                <w:lang w:eastAsia="ar-SA"/>
              </w:rPr>
              <w:t>SFT</w:t>
            </w:r>
            <w:r w:rsidRPr="00BC269C">
              <w:rPr>
                <w:rFonts w:eastAsia="細明體" w:cs="Segoe UI" w:hint="eastAsia"/>
                <w:sz w:val="17"/>
                <w:lang w:eastAsia="zh-HK"/>
              </w:rPr>
              <w:t>而言</w:t>
            </w:r>
            <w:r w:rsidRPr="00BC269C">
              <w:rPr>
                <w:rFonts w:eastAsia="細明體" w:cs="Segoe UI" w:hint="eastAsia"/>
                <w:sz w:val="17"/>
                <w:lang w:eastAsia="ar-SA"/>
              </w:rPr>
              <w:t>，所披露的數額應為</w:t>
            </w:r>
            <w:r w:rsidRPr="00BC269C">
              <w:rPr>
                <w:rFonts w:eastAsia="細明體" w:cs="Segoe UI" w:hint="eastAsia"/>
                <w:sz w:val="17"/>
                <w:lang w:eastAsia="zh-HK"/>
              </w:rPr>
              <w:t>根</w:t>
            </w:r>
            <w:r w:rsidRPr="00BC269C">
              <w:rPr>
                <w:rFonts w:eastAsia="細明體" w:cs="Segoe UI" w:hint="eastAsia"/>
                <w:sz w:val="17"/>
                <w:lang w:eastAsia="zh-TW"/>
              </w:rPr>
              <w:t>據</w:t>
            </w:r>
            <w:r w:rsidRPr="00BC269C">
              <w:rPr>
                <w:rFonts w:eastAsia="細明體" w:cs="Segoe UI"/>
                <w:sz w:val="17"/>
                <w:lang w:eastAsia="ar-SA"/>
              </w:rPr>
              <w:t>《資本規則》</w:t>
            </w:r>
            <w:r w:rsidRPr="00BC269C">
              <w:rPr>
                <w:rFonts w:eastAsia="細明體" w:cs="Segoe UI" w:hint="eastAsia"/>
                <w:sz w:val="17"/>
                <w:lang w:eastAsia="zh-HK"/>
              </w:rPr>
              <w:t>第</w:t>
            </w:r>
            <w:r w:rsidRPr="00BC269C">
              <w:rPr>
                <w:rFonts w:eastAsia="細明體" w:cs="Segoe UI" w:hint="eastAsia"/>
                <w:sz w:val="17"/>
                <w:lang w:eastAsia="zh-TW"/>
              </w:rPr>
              <w:t>88</w:t>
            </w:r>
            <w:r w:rsidRPr="00BC269C">
              <w:rPr>
                <w:rFonts w:eastAsia="細明體" w:cs="Segoe UI" w:hint="eastAsia"/>
                <w:sz w:val="17"/>
                <w:lang w:eastAsia="zh-HK"/>
              </w:rPr>
              <w:t>條計算的淨信用風險承擔</w:t>
            </w:r>
            <w:r w:rsidRPr="00BC269C">
              <w:rPr>
                <w:rFonts w:eastAsia="細明體" w:cs="Segoe UI" w:hint="eastAsia"/>
                <w:sz w:val="17"/>
                <w:lang w:eastAsia="ar-SA"/>
              </w:rPr>
              <w:t>。</w:t>
            </w:r>
          </w:p>
          <w:p w14:paraId="24E49FB2" w14:textId="77777777" w:rsidR="00BC269C" w:rsidRPr="00BC269C" w:rsidRDefault="00BC269C" w:rsidP="00D540EB">
            <w:pPr>
              <w:keepNext/>
              <w:numPr>
                <w:ilvl w:val="0"/>
                <w:numId w:val="47"/>
              </w:numPr>
              <w:suppressAutoHyphens/>
              <w:spacing w:before="40" w:after="40" w:line="259" w:lineRule="auto"/>
              <w:jc w:val="both"/>
              <w:rPr>
                <w:rFonts w:cs="Segoe UI"/>
                <w:sz w:val="17"/>
                <w:lang w:eastAsia="ar-SA"/>
              </w:rPr>
            </w:pPr>
            <w:r w:rsidRPr="00BC269C">
              <w:rPr>
                <w:rFonts w:eastAsia="細明體" w:cs="Segoe UI" w:hint="eastAsia"/>
                <w:sz w:val="17"/>
                <w:lang w:eastAsia="ar-SA"/>
              </w:rPr>
              <w:t>就第</w:t>
            </w:r>
            <w:r w:rsidRPr="00BC269C">
              <w:rPr>
                <w:rFonts w:eastAsia="細明體" w:cs="Segoe UI"/>
                <w:sz w:val="17"/>
                <w:lang w:eastAsia="ar-SA"/>
              </w:rPr>
              <w:t>7</w:t>
            </w:r>
            <w:r w:rsidRPr="00BC269C">
              <w:rPr>
                <w:rFonts w:eastAsia="細明體" w:cs="Segoe UI" w:hint="eastAsia"/>
                <w:sz w:val="17"/>
                <w:lang w:eastAsia="ar-SA"/>
              </w:rPr>
              <w:t>至</w:t>
            </w:r>
            <w:r w:rsidRPr="00BC269C">
              <w:rPr>
                <w:rFonts w:eastAsia="細明體" w:cs="Segoe UI"/>
                <w:sz w:val="17"/>
                <w:lang w:eastAsia="ar-SA"/>
              </w:rPr>
              <w:t>10</w:t>
            </w:r>
            <w:r w:rsidRPr="00BC269C">
              <w:rPr>
                <w:rFonts w:eastAsia="細明體" w:cs="Segoe UI"/>
                <w:sz w:val="17"/>
                <w:lang w:eastAsia="ar-SA"/>
              </w:rPr>
              <w:t>行</w:t>
            </w:r>
            <w:r w:rsidRPr="00BC269C">
              <w:rPr>
                <w:rFonts w:eastAsia="細明體" w:cs="Segoe UI" w:hint="eastAsia"/>
                <w:sz w:val="17"/>
                <w:lang w:eastAsia="ar-SA"/>
              </w:rPr>
              <w:t>及第</w:t>
            </w:r>
            <w:r w:rsidRPr="00BC269C">
              <w:rPr>
                <w:rFonts w:eastAsia="細明體" w:cs="Segoe UI"/>
                <w:sz w:val="17"/>
                <w:lang w:eastAsia="ar-SA"/>
              </w:rPr>
              <w:t>17</w:t>
            </w:r>
            <w:r w:rsidRPr="00BC269C">
              <w:rPr>
                <w:rFonts w:eastAsia="細明體" w:cs="Segoe UI" w:hint="eastAsia"/>
                <w:sz w:val="17"/>
                <w:lang w:eastAsia="ar-SA"/>
              </w:rPr>
              <w:t>至</w:t>
            </w:r>
            <w:r w:rsidRPr="00BC269C">
              <w:rPr>
                <w:rFonts w:eastAsia="細明體" w:cs="Segoe UI"/>
                <w:sz w:val="17"/>
                <w:lang w:eastAsia="ar-SA"/>
              </w:rPr>
              <w:t>20</w:t>
            </w:r>
            <w:r w:rsidRPr="00BC269C">
              <w:rPr>
                <w:rFonts w:eastAsia="細明體" w:cs="Segoe UI"/>
                <w:sz w:val="17"/>
                <w:lang w:eastAsia="ar-SA"/>
              </w:rPr>
              <w:t>行</w:t>
            </w:r>
            <w:r w:rsidRPr="00BC269C">
              <w:rPr>
                <w:rFonts w:eastAsia="細明體" w:cs="Segoe UI" w:hint="eastAsia"/>
                <w:sz w:val="17"/>
                <w:lang w:eastAsia="ar-SA"/>
              </w:rPr>
              <w:t>而言，有關數額應為認可機構提供的開倉保證金的數額或認可機構作出或承諾的違責基金承擔的數額。</w:t>
            </w:r>
          </w:p>
        </w:tc>
      </w:tr>
      <w:tr w:rsidR="00BC269C" w:rsidRPr="00BC269C" w14:paraId="52FD26EA"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35D107BB" w14:textId="77777777" w:rsidR="00BC269C" w:rsidRPr="00BC269C" w:rsidRDefault="00BC269C" w:rsidP="00BC269C">
            <w:pPr>
              <w:keepLines/>
              <w:widowControl w:val="0"/>
              <w:tabs>
                <w:tab w:val="left" w:pos="150"/>
                <w:tab w:val="left" w:pos="397"/>
                <w:tab w:val="left" w:pos="794"/>
                <w:tab w:val="left" w:pos="1191"/>
              </w:tabs>
              <w:spacing w:before="40" w:after="40" w:line="259" w:lineRule="auto"/>
              <w:rPr>
                <w:rFonts w:ascii="Calibri" w:eastAsia="細明體" w:hAnsi="Calibri"/>
                <w:i/>
                <w:sz w:val="22"/>
                <w:szCs w:val="17"/>
                <w:lang w:eastAsia="zh-CN"/>
              </w:rPr>
            </w:pPr>
            <w:r w:rsidRPr="00BC269C">
              <w:rPr>
                <w:rFonts w:ascii="Calibri" w:eastAsia="細明體" w:hAnsi="Calibri"/>
                <w:sz w:val="17"/>
                <w:szCs w:val="17"/>
                <w:lang w:eastAsia="zh-CN"/>
              </w:rPr>
              <w:t>(b)</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2F2253FF" w14:textId="77777777" w:rsidR="00BC269C" w:rsidRPr="00BC269C" w:rsidRDefault="00BC269C" w:rsidP="00BC269C">
            <w:pPr>
              <w:keepNext/>
              <w:suppressAutoHyphens/>
              <w:spacing w:before="40" w:after="40"/>
              <w:jc w:val="both"/>
              <w:rPr>
                <w:rFonts w:cs="Segoe UI"/>
                <w:sz w:val="17"/>
                <w:lang w:eastAsia="ar-SA"/>
              </w:rPr>
            </w:pPr>
            <w:r w:rsidRPr="00BC269C">
              <w:rPr>
                <w:rFonts w:eastAsia="細明體" w:cs="Segoe UI" w:hint="eastAsia"/>
                <w:i/>
                <w:sz w:val="17"/>
                <w:szCs w:val="17"/>
                <w:lang w:eastAsia="ar-SA"/>
              </w:rPr>
              <w:t>風險加權數額</w:t>
            </w:r>
            <w:r w:rsidRPr="00BC269C">
              <w:rPr>
                <w:rFonts w:eastAsia="細明體" w:cs="Segoe UI" w:hint="eastAsia"/>
                <w:bCs/>
                <w:sz w:val="17"/>
                <w:lang w:eastAsia="ar-SA"/>
              </w:rPr>
              <w:t>：</w:t>
            </w:r>
            <w:r w:rsidRPr="00BC269C">
              <w:rPr>
                <w:rFonts w:eastAsia="細明體" w:cs="Segoe UI" w:hint="eastAsia"/>
                <w:sz w:val="17"/>
                <w:szCs w:val="17"/>
                <w:lang w:eastAsia="ar-SA"/>
              </w:rPr>
              <w:t>按照《資本規則》第</w:t>
            </w:r>
            <w:r w:rsidRPr="00BC269C">
              <w:rPr>
                <w:rFonts w:eastAsia="細明體" w:cs="Segoe UI"/>
                <w:sz w:val="17"/>
                <w:szCs w:val="17"/>
                <w:lang w:eastAsia="ar-SA"/>
              </w:rPr>
              <w:t>6A</w:t>
            </w:r>
            <w:r w:rsidRPr="00BC269C">
              <w:rPr>
                <w:rFonts w:eastAsia="細明體" w:cs="Segoe UI" w:hint="eastAsia"/>
                <w:sz w:val="17"/>
                <w:szCs w:val="17"/>
                <w:lang w:eastAsia="ar-SA"/>
              </w:rPr>
              <w:t>部第</w:t>
            </w:r>
            <w:r w:rsidRPr="00BC269C">
              <w:rPr>
                <w:rFonts w:eastAsia="細明體" w:cs="Segoe UI"/>
                <w:sz w:val="17"/>
                <w:szCs w:val="17"/>
                <w:lang w:eastAsia="ar-SA"/>
              </w:rPr>
              <w:t>4</w:t>
            </w:r>
            <w:r w:rsidRPr="00BC269C">
              <w:rPr>
                <w:rFonts w:eastAsia="細明體" w:cs="Segoe UI" w:hint="eastAsia"/>
                <w:sz w:val="17"/>
                <w:szCs w:val="17"/>
                <w:lang w:eastAsia="ar-SA"/>
              </w:rPr>
              <w:t>分部計算的</w:t>
            </w:r>
            <w:r w:rsidRPr="00BC269C">
              <w:rPr>
                <w:rFonts w:eastAsia="細明體" w:cs="Segoe UI"/>
                <w:sz w:val="17"/>
                <w:szCs w:val="17"/>
                <w:lang w:eastAsia="ar-SA"/>
              </w:rPr>
              <w:t>風險加權數額</w:t>
            </w:r>
            <w:r w:rsidRPr="00BC269C">
              <w:rPr>
                <w:rFonts w:eastAsia="細明體" w:cs="Segoe UI" w:hint="eastAsia"/>
                <w:sz w:val="17"/>
                <w:szCs w:val="17"/>
                <w:lang w:eastAsia="ar-SA"/>
              </w:rPr>
              <w:t>。</w:t>
            </w:r>
          </w:p>
        </w:tc>
      </w:tr>
      <w:tr w:rsidR="00BC269C" w:rsidRPr="00BC269C" w14:paraId="03D6C3D5" w14:textId="77777777" w:rsidTr="007B761C">
        <w:trPr>
          <w:trHeight w:val="373"/>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CAD192" w14:textId="77777777" w:rsidR="00BC269C" w:rsidRPr="00BC269C" w:rsidRDefault="00BC269C" w:rsidP="00BC269C">
            <w:pPr>
              <w:spacing w:before="40" w:after="40" w:line="259" w:lineRule="auto"/>
              <w:jc w:val="both"/>
              <w:rPr>
                <w:rFonts w:ascii="Calibri" w:eastAsia="新細明體" w:hAnsi="Calibri"/>
                <w:sz w:val="22"/>
                <w:szCs w:val="22"/>
                <w:lang w:eastAsia="zh-CN"/>
              </w:rPr>
            </w:pPr>
            <w:r w:rsidRPr="00BC269C">
              <w:rPr>
                <w:rFonts w:ascii="Calibri" w:eastAsia="細明體" w:hAnsi="Calibri" w:hint="eastAsia"/>
                <w:b/>
                <w:sz w:val="17"/>
                <w:szCs w:val="17"/>
                <w:lang w:eastAsia="zh-CN"/>
              </w:rPr>
              <w:t>行</w:t>
            </w:r>
          </w:p>
        </w:tc>
      </w:tr>
      <w:tr w:rsidR="00BC269C" w:rsidRPr="00BC269C" w14:paraId="552A26A0" w14:textId="77777777" w:rsidTr="007B761C">
        <w:trPr>
          <w:trHeight w:val="1110"/>
        </w:trPr>
        <w:tc>
          <w:tcPr>
            <w:tcW w:w="851" w:type="dxa"/>
            <w:tcBorders>
              <w:top w:val="single" w:sz="4" w:space="0" w:color="000000"/>
              <w:left w:val="single" w:sz="4" w:space="0" w:color="000000"/>
              <w:bottom w:val="single" w:sz="4" w:space="0" w:color="000000"/>
            </w:tcBorders>
            <w:shd w:val="clear" w:color="auto" w:fill="auto"/>
          </w:tcPr>
          <w:p w14:paraId="6123642B"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1</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11</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25C6C2C1"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i/>
                <w:sz w:val="17"/>
                <w:szCs w:val="17"/>
                <w:lang w:eastAsia="ar-SA"/>
              </w:rPr>
              <w:t>認可機構作為結算成員或結算客戶對合資格中央交易對手方</w:t>
            </w:r>
            <w:r w:rsidRPr="00BC269C">
              <w:rPr>
                <w:rFonts w:eastAsia="細明體" w:cs="Segoe UI"/>
                <w:i/>
                <w:sz w:val="17"/>
                <w:szCs w:val="17"/>
                <w:lang w:eastAsia="ar-SA"/>
              </w:rPr>
              <w:t>/</w:t>
            </w:r>
            <w:r w:rsidRPr="00BC269C">
              <w:rPr>
                <w:rFonts w:eastAsia="細明體" w:cs="Segoe UI" w:hint="eastAsia"/>
                <w:i/>
                <w:sz w:val="17"/>
                <w:szCs w:val="17"/>
                <w:lang w:eastAsia="ar-SA"/>
              </w:rPr>
              <w:t>不合資格中央交易對手方的風險承擔（總額）</w:t>
            </w:r>
            <w:r w:rsidRPr="00BC269C">
              <w:rPr>
                <w:rFonts w:eastAsia="細明體" w:cs="Segoe UI" w:hint="eastAsia"/>
                <w:sz w:val="17"/>
                <w:szCs w:val="17"/>
                <w:lang w:eastAsia="ar-SA"/>
              </w:rPr>
              <w:t>：就</w:t>
            </w:r>
            <w:r w:rsidRPr="00BC269C">
              <w:rPr>
                <w:rFonts w:eastAsia="細明體" w:cs="Segoe UI"/>
                <w:sz w:val="17"/>
                <w:szCs w:val="17"/>
                <w:lang w:eastAsia="ar-SA"/>
              </w:rPr>
              <w:t>(b)</w:t>
            </w:r>
            <w:r w:rsidRPr="00BC269C">
              <w:rPr>
                <w:rFonts w:eastAsia="細明體" w:cs="Segoe UI"/>
                <w:sz w:val="17"/>
                <w:szCs w:val="17"/>
                <w:lang w:eastAsia="ar-SA"/>
              </w:rPr>
              <w:t>欄</w:t>
            </w:r>
            <w:r w:rsidRPr="00BC269C">
              <w:rPr>
                <w:rFonts w:eastAsia="細明體" w:cs="Segoe UI" w:hint="eastAsia"/>
                <w:sz w:val="17"/>
                <w:szCs w:val="17"/>
                <w:lang w:eastAsia="ar-SA"/>
              </w:rPr>
              <w:t>而言，第</w:t>
            </w:r>
            <w:r w:rsidRPr="00BC269C">
              <w:rPr>
                <w:rFonts w:eastAsia="細明體" w:cs="Segoe UI"/>
                <w:sz w:val="17"/>
                <w:szCs w:val="17"/>
                <w:lang w:eastAsia="ar-SA"/>
              </w:rPr>
              <w:t>1</w:t>
            </w:r>
            <w:r w:rsidRPr="00BC269C">
              <w:rPr>
                <w:rFonts w:eastAsia="細明體" w:cs="Segoe UI" w:hint="eastAsia"/>
                <w:sz w:val="17"/>
                <w:szCs w:val="17"/>
                <w:lang w:eastAsia="ar-SA"/>
              </w:rPr>
              <w:t>行的值應相等於第</w:t>
            </w:r>
            <w:r w:rsidRPr="00BC269C">
              <w:rPr>
                <w:rFonts w:eastAsia="細明體" w:cs="Segoe UI"/>
                <w:sz w:val="17"/>
                <w:szCs w:val="17"/>
                <w:lang w:eastAsia="ar-SA"/>
              </w:rPr>
              <w:t>2</w:t>
            </w:r>
            <w:r w:rsidRPr="00BC269C">
              <w:rPr>
                <w:rFonts w:eastAsia="細明體" w:cs="Segoe UI" w:hint="eastAsia"/>
                <w:sz w:val="17"/>
                <w:szCs w:val="17"/>
                <w:lang w:eastAsia="ar-SA"/>
              </w:rPr>
              <w:t>、</w:t>
            </w:r>
            <w:r w:rsidRPr="00BC269C">
              <w:rPr>
                <w:rFonts w:eastAsia="細明體" w:cs="Segoe UI"/>
                <w:sz w:val="17"/>
                <w:szCs w:val="17"/>
                <w:lang w:eastAsia="ar-SA"/>
              </w:rPr>
              <w:t>8</w:t>
            </w:r>
            <w:r w:rsidRPr="00BC269C">
              <w:rPr>
                <w:rFonts w:eastAsia="細明體" w:cs="Segoe UI" w:hint="eastAsia"/>
                <w:sz w:val="17"/>
                <w:szCs w:val="17"/>
                <w:lang w:eastAsia="ar-SA"/>
              </w:rPr>
              <w:t>、</w:t>
            </w:r>
            <w:r w:rsidRPr="00BC269C">
              <w:rPr>
                <w:rFonts w:eastAsia="細明體" w:cs="Segoe UI"/>
                <w:sz w:val="17"/>
                <w:szCs w:val="17"/>
                <w:lang w:eastAsia="ar-SA"/>
              </w:rPr>
              <w:t>9</w:t>
            </w:r>
            <w:r w:rsidRPr="00BC269C">
              <w:rPr>
                <w:rFonts w:eastAsia="細明體" w:cs="Segoe UI" w:hint="eastAsia"/>
                <w:sz w:val="17"/>
                <w:szCs w:val="17"/>
                <w:lang w:eastAsia="ar-SA"/>
              </w:rPr>
              <w:t>及</w:t>
            </w:r>
            <w:r w:rsidRPr="00BC269C">
              <w:rPr>
                <w:rFonts w:eastAsia="細明體" w:cs="Segoe UI"/>
                <w:sz w:val="17"/>
                <w:szCs w:val="17"/>
                <w:lang w:eastAsia="ar-SA"/>
              </w:rPr>
              <w:t>10</w:t>
            </w:r>
            <w:r w:rsidRPr="00BC269C">
              <w:rPr>
                <w:rFonts w:eastAsia="細明體" w:cs="Segoe UI"/>
                <w:sz w:val="17"/>
                <w:szCs w:val="17"/>
                <w:lang w:eastAsia="ar-SA"/>
              </w:rPr>
              <w:t>行</w:t>
            </w:r>
            <w:r w:rsidRPr="00BC269C">
              <w:rPr>
                <w:rFonts w:eastAsia="細明體" w:cs="Segoe UI" w:hint="eastAsia"/>
                <w:sz w:val="17"/>
                <w:szCs w:val="17"/>
                <w:lang w:eastAsia="ar-SA"/>
              </w:rPr>
              <w:t>的值的和；第</w:t>
            </w:r>
            <w:r w:rsidRPr="00BC269C">
              <w:rPr>
                <w:rFonts w:eastAsia="細明體" w:cs="Segoe UI"/>
                <w:sz w:val="17"/>
                <w:szCs w:val="17"/>
                <w:lang w:eastAsia="ar-SA"/>
              </w:rPr>
              <w:t>11</w:t>
            </w:r>
            <w:r w:rsidRPr="00BC269C">
              <w:rPr>
                <w:rFonts w:eastAsia="細明體" w:cs="Segoe UI"/>
                <w:sz w:val="17"/>
                <w:szCs w:val="17"/>
                <w:lang w:eastAsia="ar-SA"/>
              </w:rPr>
              <w:t>行</w:t>
            </w:r>
            <w:r w:rsidRPr="00BC269C">
              <w:rPr>
                <w:rFonts w:eastAsia="細明體" w:cs="Segoe UI" w:hint="eastAsia"/>
                <w:sz w:val="17"/>
                <w:szCs w:val="17"/>
                <w:lang w:eastAsia="ar-SA"/>
              </w:rPr>
              <w:t>的值應相等於第</w:t>
            </w:r>
            <w:r w:rsidRPr="00BC269C">
              <w:rPr>
                <w:rFonts w:eastAsia="細明體" w:cs="Segoe UI"/>
                <w:sz w:val="17"/>
                <w:szCs w:val="17"/>
                <w:lang w:eastAsia="ar-SA"/>
              </w:rPr>
              <w:t>12</w:t>
            </w:r>
            <w:r w:rsidRPr="00BC269C">
              <w:rPr>
                <w:rFonts w:eastAsia="細明體" w:cs="Segoe UI" w:hint="eastAsia"/>
                <w:sz w:val="17"/>
                <w:szCs w:val="17"/>
                <w:lang w:eastAsia="ar-SA"/>
              </w:rPr>
              <w:t>、</w:t>
            </w:r>
            <w:r w:rsidRPr="00BC269C">
              <w:rPr>
                <w:rFonts w:eastAsia="細明體" w:cs="Segoe UI"/>
                <w:sz w:val="17"/>
                <w:szCs w:val="17"/>
                <w:lang w:eastAsia="ar-SA"/>
              </w:rPr>
              <w:t>18</w:t>
            </w:r>
            <w:r w:rsidRPr="00BC269C">
              <w:rPr>
                <w:rFonts w:eastAsia="細明體" w:cs="Segoe UI" w:hint="eastAsia"/>
                <w:sz w:val="17"/>
                <w:szCs w:val="17"/>
                <w:lang w:eastAsia="ar-SA"/>
              </w:rPr>
              <w:t>、</w:t>
            </w:r>
            <w:r w:rsidRPr="00BC269C">
              <w:rPr>
                <w:rFonts w:eastAsia="細明體" w:cs="Segoe UI"/>
                <w:sz w:val="17"/>
                <w:szCs w:val="17"/>
                <w:lang w:eastAsia="ar-SA"/>
              </w:rPr>
              <w:t>19</w:t>
            </w:r>
            <w:r w:rsidRPr="00BC269C">
              <w:rPr>
                <w:rFonts w:eastAsia="細明體" w:cs="Segoe UI" w:hint="eastAsia"/>
                <w:sz w:val="17"/>
                <w:szCs w:val="17"/>
                <w:lang w:eastAsia="ar-SA"/>
              </w:rPr>
              <w:t>及</w:t>
            </w:r>
            <w:r w:rsidRPr="00BC269C">
              <w:rPr>
                <w:rFonts w:eastAsia="細明體" w:cs="Segoe UI"/>
                <w:sz w:val="17"/>
                <w:szCs w:val="17"/>
                <w:lang w:eastAsia="ar-SA"/>
              </w:rPr>
              <w:t>20</w:t>
            </w:r>
            <w:r w:rsidRPr="00BC269C">
              <w:rPr>
                <w:rFonts w:eastAsia="細明體" w:cs="Segoe UI"/>
                <w:sz w:val="17"/>
                <w:szCs w:val="17"/>
                <w:lang w:eastAsia="ar-SA"/>
              </w:rPr>
              <w:t>行</w:t>
            </w:r>
            <w:r w:rsidRPr="00BC269C">
              <w:rPr>
                <w:rFonts w:eastAsia="細明體" w:cs="Segoe UI" w:hint="eastAsia"/>
                <w:sz w:val="17"/>
                <w:szCs w:val="17"/>
                <w:lang w:eastAsia="ar-SA"/>
              </w:rPr>
              <w:t>的值的和。</w:t>
            </w:r>
            <w:r w:rsidRPr="00BC269C">
              <w:rPr>
                <w:rFonts w:eastAsia="細明體" w:cs="Segoe UI"/>
                <w:sz w:val="17"/>
                <w:szCs w:val="17"/>
                <w:lang w:eastAsia="ar-SA"/>
              </w:rPr>
              <w:t>(</w:t>
            </w:r>
            <w:proofErr w:type="gramStart"/>
            <w:r w:rsidRPr="00BC269C">
              <w:rPr>
                <w:rFonts w:eastAsia="細明體" w:cs="Segoe UI"/>
                <w:sz w:val="17"/>
                <w:szCs w:val="17"/>
                <w:lang w:eastAsia="ar-SA"/>
              </w:rPr>
              <w:t>a)</w:t>
            </w:r>
            <w:r w:rsidRPr="00BC269C">
              <w:rPr>
                <w:rFonts w:eastAsia="細明體" w:cs="Segoe UI"/>
                <w:sz w:val="17"/>
                <w:szCs w:val="17"/>
                <w:lang w:eastAsia="ar-SA"/>
              </w:rPr>
              <w:t>欄</w:t>
            </w:r>
            <w:r w:rsidRPr="00BC269C">
              <w:rPr>
                <w:rFonts w:eastAsia="細明體" w:cs="Segoe UI" w:hint="eastAsia"/>
                <w:sz w:val="17"/>
                <w:szCs w:val="17"/>
                <w:lang w:eastAsia="ar-SA"/>
              </w:rPr>
              <w:t>應留空</w:t>
            </w:r>
            <w:proofErr w:type="gramEnd"/>
            <w:r w:rsidRPr="00BC269C">
              <w:rPr>
                <w:rFonts w:eastAsia="細明體" w:cs="Segoe UI" w:hint="eastAsia"/>
                <w:sz w:val="17"/>
                <w:szCs w:val="17"/>
                <w:lang w:eastAsia="ar-SA"/>
              </w:rPr>
              <w:t>。</w:t>
            </w:r>
          </w:p>
        </w:tc>
      </w:tr>
      <w:tr w:rsidR="00BC269C" w:rsidRPr="00BC269C" w14:paraId="3FB1562E"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4D18B106"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2</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12</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474C1868" w14:textId="77777777" w:rsidR="00BC269C" w:rsidRPr="00BC269C" w:rsidRDefault="00BC269C" w:rsidP="00BC269C">
            <w:pPr>
              <w:suppressAutoHyphens/>
              <w:spacing w:before="40" w:after="40"/>
              <w:jc w:val="both"/>
              <w:rPr>
                <w:rFonts w:eastAsia="細明體" w:cs="Segoe UI"/>
                <w:sz w:val="17"/>
                <w:szCs w:val="17"/>
                <w:lang w:eastAsia="ar-SA"/>
              </w:rPr>
            </w:pPr>
            <w:r w:rsidRPr="00BC269C">
              <w:rPr>
                <w:rFonts w:eastAsia="細明體" w:cs="Segoe UI" w:hint="eastAsia"/>
                <w:i/>
                <w:sz w:val="17"/>
                <w:szCs w:val="17"/>
                <w:lang w:eastAsia="ar-SA"/>
              </w:rPr>
              <w:t>對合資格中央交易對手方</w:t>
            </w:r>
            <w:r w:rsidRPr="00BC269C">
              <w:rPr>
                <w:rFonts w:eastAsia="細明體" w:cs="Segoe UI"/>
                <w:i/>
                <w:sz w:val="17"/>
                <w:szCs w:val="17"/>
                <w:lang w:eastAsia="ar-SA"/>
              </w:rPr>
              <w:t>/</w:t>
            </w:r>
            <w:r w:rsidRPr="00BC269C">
              <w:rPr>
                <w:rFonts w:eastAsia="細明體" w:cs="Segoe UI" w:hint="eastAsia"/>
                <w:i/>
                <w:sz w:val="17"/>
                <w:szCs w:val="17"/>
                <w:lang w:eastAsia="ar-SA"/>
              </w:rPr>
              <w:t>不合資格中央交易對手方的違責風險的風險承擔（不包括於第</w:t>
            </w:r>
            <w:r w:rsidRPr="00BC269C">
              <w:rPr>
                <w:rFonts w:eastAsia="細明體" w:cs="Segoe UI"/>
                <w:i/>
                <w:sz w:val="17"/>
                <w:szCs w:val="17"/>
                <w:lang w:eastAsia="ar-SA"/>
              </w:rPr>
              <w:t>7</w:t>
            </w:r>
            <w:r w:rsidRPr="00BC269C">
              <w:rPr>
                <w:rFonts w:eastAsia="細明體" w:cs="Segoe UI" w:hint="eastAsia"/>
                <w:i/>
                <w:sz w:val="17"/>
                <w:szCs w:val="17"/>
                <w:lang w:eastAsia="ar-SA"/>
              </w:rPr>
              <w:t>至</w:t>
            </w:r>
            <w:r w:rsidRPr="00BC269C">
              <w:rPr>
                <w:rFonts w:eastAsia="細明體" w:cs="Segoe UI"/>
                <w:i/>
                <w:sz w:val="17"/>
                <w:szCs w:val="17"/>
                <w:lang w:eastAsia="ar-SA"/>
              </w:rPr>
              <w:t>10</w:t>
            </w:r>
            <w:r w:rsidRPr="00BC269C">
              <w:rPr>
                <w:rFonts w:eastAsia="細明體" w:cs="Segoe UI" w:hint="eastAsia"/>
                <w:i/>
                <w:sz w:val="17"/>
                <w:szCs w:val="17"/>
                <w:lang w:eastAsia="ar-SA"/>
              </w:rPr>
              <w:t>行</w:t>
            </w:r>
            <w:r w:rsidRPr="00BC269C">
              <w:rPr>
                <w:rFonts w:eastAsia="細明體" w:cs="Segoe UI"/>
                <w:i/>
                <w:sz w:val="17"/>
                <w:szCs w:val="17"/>
                <w:lang w:eastAsia="ar-SA"/>
              </w:rPr>
              <w:t xml:space="preserve"> / </w:t>
            </w:r>
            <w:r w:rsidRPr="00BC269C">
              <w:rPr>
                <w:rFonts w:eastAsia="細明體" w:cs="Segoe UI" w:hint="eastAsia"/>
                <w:i/>
                <w:sz w:val="17"/>
                <w:szCs w:val="17"/>
                <w:lang w:eastAsia="ar-SA"/>
              </w:rPr>
              <w:t>第</w:t>
            </w:r>
            <w:r w:rsidRPr="00BC269C">
              <w:rPr>
                <w:rFonts w:eastAsia="細明體" w:cs="Segoe UI"/>
                <w:i/>
                <w:sz w:val="17"/>
                <w:szCs w:val="17"/>
                <w:lang w:eastAsia="ar-SA"/>
              </w:rPr>
              <w:t>17</w:t>
            </w:r>
            <w:r w:rsidRPr="00BC269C">
              <w:rPr>
                <w:rFonts w:eastAsia="細明體" w:cs="Segoe UI" w:hint="eastAsia"/>
                <w:i/>
                <w:sz w:val="17"/>
                <w:szCs w:val="17"/>
                <w:lang w:eastAsia="ar-SA"/>
              </w:rPr>
              <w:t>至</w:t>
            </w:r>
            <w:r w:rsidRPr="00BC269C">
              <w:rPr>
                <w:rFonts w:eastAsia="細明體" w:cs="Segoe UI"/>
                <w:i/>
                <w:sz w:val="17"/>
                <w:szCs w:val="17"/>
                <w:lang w:eastAsia="ar-SA"/>
              </w:rPr>
              <w:t>20</w:t>
            </w:r>
            <w:r w:rsidRPr="00BC269C">
              <w:rPr>
                <w:rFonts w:eastAsia="細明體" w:cs="Segoe UI" w:hint="eastAsia"/>
                <w:i/>
                <w:sz w:val="17"/>
                <w:szCs w:val="17"/>
                <w:lang w:eastAsia="ar-SA"/>
              </w:rPr>
              <w:t>行披露的項目）</w:t>
            </w:r>
            <w:r w:rsidRPr="00BC269C">
              <w:rPr>
                <w:rFonts w:eastAsia="細明體" w:cs="Segoe UI" w:hint="eastAsia"/>
                <w:sz w:val="17"/>
                <w:szCs w:val="17"/>
                <w:lang w:eastAsia="ar-SA"/>
              </w:rPr>
              <w:t>：所披露的違責風險的風險承擔應包括按照《資本規則》第</w:t>
            </w:r>
            <w:r w:rsidRPr="00BC269C">
              <w:rPr>
                <w:rFonts w:eastAsia="細明體" w:cs="Segoe UI"/>
                <w:sz w:val="17"/>
                <w:szCs w:val="17"/>
                <w:lang w:eastAsia="ar-SA"/>
              </w:rPr>
              <w:t>6A</w:t>
            </w:r>
            <w:r w:rsidRPr="00BC269C">
              <w:rPr>
                <w:rFonts w:eastAsia="細明體" w:cs="Segoe UI" w:hint="eastAsia"/>
                <w:sz w:val="17"/>
                <w:szCs w:val="17"/>
                <w:lang w:eastAsia="ar-SA"/>
              </w:rPr>
              <w:t>部第</w:t>
            </w:r>
            <w:r w:rsidRPr="00BC269C">
              <w:rPr>
                <w:rFonts w:eastAsia="細明體" w:cs="Segoe UI"/>
                <w:sz w:val="17"/>
                <w:szCs w:val="17"/>
                <w:lang w:eastAsia="ar-SA"/>
              </w:rPr>
              <w:t>4</w:t>
            </w:r>
            <w:r w:rsidRPr="00BC269C">
              <w:rPr>
                <w:rFonts w:eastAsia="細明體" w:cs="Segoe UI" w:hint="eastAsia"/>
                <w:sz w:val="17"/>
                <w:szCs w:val="17"/>
                <w:lang w:eastAsia="ar-SA"/>
              </w:rPr>
              <w:t>分部列載的規定為（或被視作為）對合資格中央交易對手方或不合資格中央交易對手方的違責風險的風險承擔的所有風險承擔。</w:t>
            </w:r>
            <w:r w:rsidRPr="00BC269C">
              <w:rPr>
                <w:rFonts w:eastAsia="細明體" w:cs="Segoe UI"/>
                <w:sz w:val="17"/>
                <w:szCs w:val="17"/>
                <w:lang w:eastAsia="ar-SA"/>
              </w:rPr>
              <w:t xml:space="preserve"> </w:t>
            </w:r>
          </w:p>
          <w:p w14:paraId="4D5136D5" w14:textId="77777777" w:rsidR="00BC269C" w:rsidRPr="00BC269C" w:rsidRDefault="00BC269C" w:rsidP="00BC269C">
            <w:pPr>
              <w:keepNext/>
              <w:suppressAutoHyphens/>
              <w:spacing w:before="40" w:after="40"/>
              <w:jc w:val="both"/>
              <w:rPr>
                <w:rFonts w:cs="Segoe UI"/>
                <w:sz w:val="17"/>
                <w:lang w:eastAsia="ar-SA"/>
              </w:rPr>
            </w:pPr>
            <w:r w:rsidRPr="00BC269C">
              <w:rPr>
                <w:rFonts w:eastAsia="細明體" w:cs="Segoe UI" w:hint="eastAsia"/>
                <w:sz w:val="17"/>
                <w:szCs w:val="17"/>
                <w:lang w:eastAsia="ar-SA"/>
              </w:rPr>
              <w:t>第</w:t>
            </w:r>
            <w:r w:rsidRPr="00BC269C">
              <w:rPr>
                <w:rFonts w:eastAsia="細明體" w:cs="Segoe UI"/>
                <w:sz w:val="17"/>
                <w:szCs w:val="17"/>
                <w:lang w:eastAsia="ar-SA"/>
              </w:rPr>
              <w:t>2</w:t>
            </w:r>
            <w:r w:rsidRPr="00BC269C">
              <w:rPr>
                <w:rFonts w:eastAsia="細明體" w:cs="Segoe UI"/>
                <w:sz w:val="17"/>
                <w:szCs w:val="17"/>
                <w:lang w:eastAsia="ar-SA"/>
              </w:rPr>
              <w:t>行</w:t>
            </w:r>
            <w:r w:rsidRPr="00BC269C">
              <w:rPr>
                <w:rFonts w:eastAsia="細明體" w:cs="Segoe UI" w:hint="eastAsia"/>
                <w:sz w:val="17"/>
                <w:szCs w:val="17"/>
                <w:lang w:eastAsia="ar-SA"/>
              </w:rPr>
              <w:t>的值應相等於第</w:t>
            </w:r>
            <w:r w:rsidRPr="00BC269C">
              <w:rPr>
                <w:rFonts w:eastAsia="細明體" w:cs="Segoe UI"/>
                <w:sz w:val="17"/>
                <w:szCs w:val="17"/>
                <w:lang w:eastAsia="ar-SA"/>
              </w:rPr>
              <w:t xml:space="preserve">3 </w:t>
            </w:r>
            <w:r w:rsidRPr="00BC269C">
              <w:rPr>
                <w:rFonts w:eastAsia="細明體" w:cs="Segoe UI" w:hint="eastAsia"/>
                <w:sz w:val="17"/>
                <w:szCs w:val="17"/>
                <w:lang w:eastAsia="ar-SA"/>
              </w:rPr>
              <w:t>至</w:t>
            </w:r>
            <w:r w:rsidRPr="00BC269C">
              <w:rPr>
                <w:rFonts w:eastAsia="細明體" w:cs="Segoe UI"/>
                <w:sz w:val="17"/>
                <w:szCs w:val="17"/>
                <w:lang w:eastAsia="ar-SA"/>
              </w:rPr>
              <w:t>6</w:t>
            </w:r>
            <w:r w:rsidRPr="00BC269C">
              <w:rPr>
                <w:rFonts w:eastAsia="細明體" w:cs="Segoe UI"/>
                <w:sz w:val="17"/>
                <w:szCs w:val="17"/>
                <w:lang w:eastAsia="ar-SA"/>
              </w:rPr>
              <w:t>行</w:t>
            </w:r>
            <w:r w:rsidRPr="00BC269C">
              <w:rPr>
                <w:rFonts w:eastAsia="細明體" w:cs="Segoe UI" w:hint="eastAsia"/>
                <w:sz w:val="17"/>
                <w:szCs w:val="17"/>
                <w:lang w:eastAsia="ar-SA"/>
              </w:rPr>
              <w:t>的值的和；第</w:t>
            </w:r>
            <w:r w:rsidRPr="00BC269C">
              <w:rPr>
                <w:rFonts w:eastAsia="細明體" w:cs="Segoe UI"/>
                <w:sz w:val="17"/>
                <w:szCs w:val="17"/>
                <w:lang w:eastAsia="ar-SA"/>
              </w:rPr>
              <w:t>12</w:t>
            </w:r>
            <w:r w:rsidRPr="00BC269C">
              <w:rPr>
                <w:rFonts w:eastAsia="細明體" w:cs="Segoe UI"/>
                <w:sz w:val="17"/>
                <w:szCs w:val="17"/>
                <w:lang w:eastAsia="ar-SA"/>
              </w:rPr>
              <w:t>行</w:t>
            </w:r>
            <w:r w:rsidRPr="00BC269C">
              <w:rPr>
                <w:rFonts w:eastAsia="細明體" w:cs="Segoe UI" w:hint="eastAsia"/>
                <w:sz w:val="17"/>
                <w:szCs w:val="17"/>
                <w:lang w:eastAsia="ar-SA"/>
              </w:rPr>
              <w:t>的值應相等於第</w:t>
            </w:r>
            <w:r w:rsidRPr="00BC269C">
              <w:rPr>
                <w:rFonts w:eastAsia="細明體" w:cs="Segoe UI"/>
                <w:sz w:val="17"/>
                <w:szCs w:val="17"/>
                <w:lang w:eastAsia="ar-SA"/>
              </w:rPr>
              <w:t>13</w:t>
            </w:r>
            <w:r w:rsidRPr="00BC269C">
              <w:rPr>
                <w:rFonts w:eastAsia="細明體" w:cs="Segoe UI" w:hint="eastAsia"/>
                <w:sz w:val="17"/>
                <w:szCs w:val="17"/>
                <w:lang w:eastAsia="ar-SA"/>
              </w:rPr>
              <w:t>至</w:t>
            </w:r>
            <w:r w:rsidRPr="00BC269C">
              <w:rPr>
                <w:rFonts w:eastAsia="細明體" w:cs="Segoe UI"/>
                <w:sz w:val="17"/>
                <w:szCs w:val="17"/>
                <w:lang w:eastAsia="ar-SA"/>
              </w:rPr>
              <w:t>16</w:t>
            </w:r>
            <w:r w:rsidRPr="00BC269C">
              <w:rPr>
                <w:rFonts w:eastAsia="細明體" w:cs="Segoe UI"/>
                <w:sz w:val="17"/>
                <w:szCs w:val="17"/>
                <w:lang w:eastAsia="ar-SA"/>
              </w:rPr>
              <w:t>行</w:t>
            </w:r>
            <w:r w:rsidRPr="00BC269C">
              <w:rPr>
                <w:rFonts w:eastAsia="細明體" w:cs="Segoe UI" w:hint="eastAsia"/>
                <w:sz w:val="17"/>
                <w:szCs w:val="17"/>
                <w:lang w:eastAsia="ar-SA"/>
              </w:rPr>
              <w:t>的值的和。</w:t>
            </w:r>
          </w:p>
        </w:tc>
      </w:tr>
      <w:tr w:rsidR="00BC269C" w:rsidRPr="00BC269C" w14:paraId="53716869"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11440385"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3</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13</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7947D2DD"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i/>
                <w:sz w:val="17"/>
                <w:szCs w:val="17"/>
                <w:lang w:eastAsia="ar-SA"/>
              </w:rPr>
              <w:t>(</w:t>
            </w:r>
            <w:proofErr w:type="spellStart"/>
            <w:r w:rsidRPr="00BC269C">
              <w:rPr>
                <w:rFonts w:eastAsia="細明體" w:cs="Segoe UI"/>
                <w:i/>
                <w:sz w:val="17"/>
                <w:szCs w:val="17"/>
                <w:lang w:eastAsia="ar-SA"/>
              </w:rPr>
              <w:t>i</w:t>
            </w:r>
            <w:proofErr w:type="spellEnd"/>
            <w:r w:rsidRPr="00BC269C">
              <w:rPr>
                <w:rFonts w:eastAsia="細明體" w:cs="Segoe UI"/>
                <w:i/>
                <w:sz w:val="17"/>
                <w:szCs w:val="17"/>
                <w:lang w:eastAsia="ar-SA"/>
              </w:rPr>
              <w:t xml:space="preserve">) </w:t>
            </w:r>
            <w:r w:rsidRPr="00BC269C">
              <w:rPr>
                <w:rFonts w:eastAsia="細明體" w:cs="Segoe UI" w:hint="eastAsia"/>
                <w:i/>
                <w:sz w:val="17"/>
                <w:szCs w:val="17"/>
                <w:lang w:eastAsia="ar-SA"/>
              </w:rPr>
              <w:t>場外衍生工具交易</w:t>
            </w:r>
            <w:r w:rsidRPr="00BC269C">
              <w:rPr>
                <w:rFonts w:eastAsia="細明體" w:cs="Segoe UI" w:hint="eastAsia"/>
                <w:sz w:val="17"/>
                <w:szCs w:val="17"/>
                <w:lang w:eastAsia="ar-SA"/>
              </w:rPr>
              <w:t>：具有</w:t>
            </w:r>
            <w:r w:rsidRPr="00BC269C">
              <w:rPr>
                <w:rFonts w:eastAsia="細明體" w:cs="Segoe UI"/>
                <w:sz w:val="17"/>
                <w:szCs w:val="17"/>
                <w:lang w:eastAsia="ar-SA"/>
              </w:rPr>
              <w:t>《資本規則》所賦予的</w:t>
            </w:r>
            <w:r w:rsidRPr="00BC269C">
              <w:rPr>
                <w:rFonts w:eastAsia="細明體" w:cs="Segoe UI" w:hint="eastAsia"/>
                <w:sz w:val="17"/>
                <w:szCs w:val="17"/>
                <w:lang w:eastAsia="ar-SA"/>
              </w:rPr>
              <w:t>涵義。</w:t>
            </w:r>
          </w:p>
        </w:tc>
      </w:tr>
      <w:tr w:rsidR="00BC269C" w:rsidRPr="00BC269C" w14:paraId="654D719E"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40BF755D"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4</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14</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0C0635DF" w14:textId="77777777" w:rsidR="00BC269C" w:rsidRPr="00BC269C" w:rsidRDefault="00BC269C" w:rsidP="00BC269C">
            <w:pPr>
              <w:keepNext/>
              <w:suppressAutoHyphens/>
              <w:spacing w:before="40" w:after="40"/>
              <w:jc w:val="both"/>
              <w:rPr>
                <w:rFonts w:cs="Segoe UI"/>
                <w:sz w:val="17"/>
                <w:lang w:eastAsia="ar-SA"/>
              </w:rPr>
            </w:pPr>
            <w:r w:rsidRPr="00BC269C">
              <w:rPr>
                <w:rFonts w:eastAsia="細明體" w:cs="Segoe UI"/>
                <w:i/>
                <w:sz w:val="17"/>
                <w:szCs w:val="17"/>
                <w:lang w:eastAsia="ar-SA"/>
              </w:rPr>
              <w:t xml:space="preserve">(ii) </w:t>
            </w:r>
            <w:r w:rsidRPr="00BC269C">
              <w:rPr>
                <w:rFonts w:eastAsia="細明體" w:cs="Segoe UI" w:hint="eastAsia"/>
                <w:i/>
                <w:sz w:val="17"/>
                <w:szCs w:val="17"/>
                <w:lang w:eastAsia="ar-SA"/>
              </w:rPr>
              <w:t>交易所買賣衍生工具合約</w:t>
            </w:r>
            <w:r w:rsidRPr="00BC269C">
              <w:rPr>
                <w:rFonts w:eastAsia="細明體" w:cs="Segoe UI" w:hint="eastAsia"/>
                <w:sz w:val="17"/>
                <w:szCs w:val="17"/>
                <w:lang w:eastAsia="ar-SA"/>
              </w:rPr>
              <w:t>：場外衍生工具交易以外的衍生工具合約。</w:t>
            </w:r>
          </w:p>
        </w:tc>
      </w:tr>
      <w:tr w:rsidR="00BC269C" w:rsidRPr="00BC269C" w14:paraId="7174921C"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670CB0C8"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5</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15</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6CE6E88E" w14:textId="6E90B69C" w:rsidR="00BC269C" w:rsidRPr="00BC269C" w:rsidRDefault="00BC269C" w:rsidP="00427044">
            <w:pPr>
              <w:keepNext/>
              <w:suppressAutoHyphens/>
              <w:spacing w:before="40" w:after="40"/>
              <w:jc w:val="both"/>
              <w:rPr>
                <w:rFonts w:cs="Segoe UI"/>
                <w:sz w:val="17"/>
                <w:lang w:eastAsia="ar-SA"/>
              </w:rPr>
            </w:pPr>
            <w:r w:rsidRPr="00BC269C">
              <w:rPr>
                <w:rFonts w:eastAsia="細明體" w:cs="Segoe UI"/>
                <w:i/>
                <w:sz w:val="17"/>
                <w:szCs w:val="17"/>
                <w:lang w:eastAsia="ar-SA"/>
              </w:rPr>
              <w:t xml:space="preserve">(iii) </w:t>
            </w:r>
            <w:r w:rsidR="00427044">
              <w:rPr>
                <w:rFonts w:eastAsia="細明體" w:cs="Segoe UI" w:hint="cs"/>
                <w:i/>
                <w:sz w:val="17"/>
                <w:szCs w:val="17"/>
                <w:lang w:eastAsia="ar-SA"/>
              </w:rPr>
              <w:t>S</w:t>
            </w:r>
            <w:r w:rsidR="00427044">
              <w:rPr>
                <w:rFonts w:eastAsia="細明體" w:cs="Segoe UI"/>
                <w:i/>
                <w:sz w:val="17"/>
                <w:szCs w:val="17"/>
                <w:lang w:eastAsia="ar-SA"/>
              </w:rPr>
              <w:t>FT</w:t>
            </w:r>
            <w:r w:rsidRPr="00BC269C">
              <w:rPr>
                <w:rFonts w:eastAsia="細明體" w:cs="Segoe UI" w:hint="eastAsia"/>
                <w:sz w:val="17"/>
                <w:szCs w:val="17"/>
                <w:lang w:eastAsia="ar-SA"/>
              </w:rPr>
              <w:t>：具有</w:t>
            </w:r>
            <w:r w:rsidRPr="00BC269C">
              <w:rPr>
                <w:rFonts w:eastAsia="細明體" w:cs="Segoe UI"/>
                <w:sz w:val="17"/>
                <w:szCs w:val="17"/>
                <w:lang w:eastAsia="ar-SA"/>
              </w:rPr>
              <w:t>《資本規則》所賦予的</w:t>
            </w:r>
            <w:r w:rsidRPr="00BC269C">
              <w:rPr>
                <w:rFonts w:eastAsia="細明體" w:cs="Segoe UI" w:hint="eastAsia"/>
                <w:sz w:val="17"/>
                <w:szCs w:val="17"/>
                <w:lang w:eastAsia="ar-SA"/>
              </w:rPr>
              <w:t>涵義。</w:t>
            </w:r>
          </w:p>
        </w:tc>
      </w:tr>
      <w:tr w:rsidR="00BC269C" w:rsidRPr="00BC269C" w14:paraId="5C15447B"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20162633"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6</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16</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1874594B" w14:textId="77777777" w:rsidR="00BC269C" w:rsidRDefault="00BC269C" w:rsidP="00BC269C">
            <w:pPr>
              <w:keepNext/>
              <w:suppressAutoHyphens/>
              <w:spacing w:before="40" w:after="40"/>
              <w:jc w:val="both"/>
              <w:rPr>
                <w:rFonts w:eastAsia="細明體" w:cs="Segoe UI"/>
                <w:sz w:val="17"/>
                <w:szCs w:val="17"/>
                <w:lang w:eastAsia="ar-SA"/>
              </w:rPr>
            </w:pPr>
            <w:r w:rsidRPr="00BC269C">
              <w:rPr>
                <w:rFonts w:eastAsia="細明體" w:cs="Segoe UI"/>
                <w:i/>
                <w:sz w:val="17"/>
                <w:szCs w:val="17"/>
                <w:lang w:eastAsia="ar-SA"/>
              </w:rPr>
              <w:t xml:space="preserve">(iv) </w:t>
            </w:r>
            <w:r w:rsidRPr="00BC269C">
              <w:rPr>
                <w:rFonts w:eastAsia="細明體" w:cs="Segoe UI" w:hint="eastAsia"/>
                <w:i/>
                <w:sz w:val="17"/>
                <w:szCs w:val="17"/>
                <w:lang w:eastAsia="ar-SA"/>
              </w:rPr>
              <w:t>受有效跨產品淨額結算協議規限的淨額計算組合</w:t>
            </w:r>
            <w:r w:rsidRPr="00BC269C">
              <w:rPr>
                <w:rFonts w:eastAsia="細明體" w:cs="Segoe UI" w:hint="eastAsia"/>
                <w:sz w:val="17"/>
                <w:szCs w:val="17"/>
                <w:lang w:eastAsia="ar-SA"/>
              </w:rPr>
              <w:t>：</w:t>
            </w:r>
            <w:r w:rsidRPr="00BC269C">
              <w:rPr>
                <w:rFonts w:eastAsia="細明體" w:cs="Segoe UI"/>
                <w:sz w:val="17"/>
                <w:szCs w:val="17"/>
                <w:lang w:eastAsia="ar-SA"/>
              </w:rPr>
              <w:t>《資本規則》所界定的淨額計算組合，</w:t>
            </w:r>
            <w:r w:rsidRPr="00BC269C">
              <w:rPr>
                <w:rFonts w:eastAsia="細明體" w:cs="Segoe UI" w:hint="eastAsia"/>
                <w:sz w:val="17"/>
                <w:szCs w:val="17"/>
                <w:lang w:eastAsia="ar-SA"/>
              </w:rPr>
              <w:t>該</w:t>
            </w:r>
            <w:r w:rsidRPr="00BC269C">
              <w:rPr>
                <w:rFonts w:eastAsia="細明體" w:cs="Segoe UI"/>
                <w:sz w:val="17"/>
                <w:szCs w:val="17"/>
                <w:lang w:eastAsia="ar-SA"/>
              </w:rPr>
              <w:t>淨額計算可按照有效跨產品淨額結算協議作出。</w:t>
            </w:r>
            <w:r w:rsidRPr="00BC269C">
              <w:rPr>
                <w:rFonts w:eastAsia="細明體" w:cs="Segoe UI"/>
                <w:sz w:val="17"/>
                <w:szCs w:val="17"/>
                <w:lang w:eastAsia="ar-SA"/>
              </w:rPr>
              <w:t xml:space="preserve"> </w:t>
            </w:r>
          </w:p>
          <w:p w14:paraId="0CC426E8" w14:textId="3F361299" w:rsidR="00746E0A" w:rsidRPr="00BC269C" w:rsidRDefault="00746E0A" w:rsidP="00BC269C">
            <w:pPr>
              <w:keepNext/>
              <w:suppressAutoHyphens/>
              <w:spacing w:before="40" w:after="40"/>
              <w:jc w:val="both"/>
              <w:rPr>
                <w:rFonts w:cs="Segoe UI"/>
                <w:sz w:val="17"/>
                <w:lang w:eastAsia="ar-SA"/>
              </w:rPr>
            </w:pPr>
          </w:p>
        </w:tc>
      </w:tr>
      <w:tr w:rsidR="00BC269C" w:rsidRPr="00BC269C" w14:paraId="1FEBD4F2"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36F11759"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7</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17</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5A19840D"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i/>
                <w:sz w:val="17"/>
                <w:szCs w:val="17"/>
                <w:lang w:eastAsia="ar-SA"/>
              </w:rPr>
              <w:t>分隔的開倉保證金</w:t>
            </w:r>
            <w:r w:rsidRPr="00BC269C">
              <w:rPr>
                <w:rFonts w:eastAsia="細明體" w:cs="Segoe UI" w:hint="eastAsia"/>
                <w:sz w:val="17"/>
                <w:szCs w:val="17"/>
                <w:lang w:eastAsia="ar-SA"/>
              </w:rPr>
              <w:t>：</w:t>
            </w:r>
            <w:r w:rsidRPr="00BC269C">
              <w:rPr>
                <w:rFonts w:eastAsia="細明體" w:cs="Segoe UI" w:hint="eastAsia"/>
                <w:sz w:val="17"/>
                <w:szCs w:val="17"/>
                <w:lang w:eastAsia="zh-TW"/>
              </w:rPr>
              <w:t>指</w:t>
            </w:r>
            <w:r w:rsidRPr="00BC269C">
              <w:rPr>
                <w:rFonts w:eastAsia="細明體" w:cs="Segoe UI" w:hint="eastAsia"/>
                <w:sz w:val="17"/>
                <w:szCs w:val="17"/>
                <w:lang w:eastAsia="ar-SA"/>
              </w:rPr>
              <w:t>以破產隔離</w:t>
            </w:r>
            <w:r w:rsidRPr="00BC269C">
              <w:rPr>
                <w:rFonts w:eastAsia="細明體" w:cs="Segoe UI" w:hint="eastAsia"/>
                <w:sz w:val="17"/>
                <w:szCs w:val="17"/>
                <w:lang w:eastAsia="zh-TW"/>
              </w:rPr>
              <w:t>的</w:t>
            </w:r>
            <w:r w:rsidRPr="00BC269C">
              <w:rPr>
                <w:rFonts w:eastAsia="細明體" w:cs="Segoe UI" w:hint="eastAsia"/>
                <w:sz w:val="17"/>
                <w:szCs w:val="17"/>
                <w:lang w:eastAsia="ar-SA"/>
              </w:rPr>
              <w:t>方式持有的開倉保證金。就本模版而言，開倉保證金不包括對某中央交易對手方</w:t>
            </w:r>
            <w:r w:rsidRPr="00BC269C">
              <w:rPr>
                <w:rFonts w:eastAsia="細明體" w:cs="Segoe UI"/>
                <w:sz w:val="17"/>
                <w:szCs w:val="17"/>
                <w:lang w:eastAsia="ar-SA"/>
              </w:rPr>
              <w:t>的互相</w:t>
            </w:r>
            <w:r w:rsidRPr="00BC269C">
              <w:rPr>
                <w:rFonts w:eastAsia="細明體" w:cs="Segoe UI" w:hint="eastAsia"/>
                <w:sz w:val="17"/>
                <w:szCs w:val="17"/>
                <w:lang w:eastAsia="ar-SA"/>
              </w:rPr>
              <w:t>分擔損失安排作出的承擔（即在中央交易對手方利用開倉保證金使結算成員分擔損失的情況下，該保證金將被視作違責基金的風險承擔）。</w:t>
            </w:r>
          </w:p>
        </w:tc>
      </w:tr>
      <w:tr w:rsidR="00BC269C" w:rsidRPr="00BC269C" w14:paraId="1BFDB591"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355502CF"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8</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18</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19599033" w14:textId="77777777" w:rsidR="00BC269C" w:rsidRPr="00BC269C" w:rsidRDefault="00BC269C" w:rsidP="00BC269C">
            <w:pPr>
              <w:keepNext/>
              <w:suppressAutoHyphens/>
              <w:spacing w:before="40" w:after="40"/>
              <w:jc w:val="both"/>
              <w:rPr>
                <w:rFonts w:cs="Segoe UI"/>
                <w:sz w:val="17"/>
                <w:lang w:eastAsia="ar-SA"/>
              </w:rPr>
            </w:pPr>
            <w:r w:rsidRPr="00BC269C">
              <w:rPr>
                <w:rFonts w:eastAsia="細明體" w:cs="Segoe UI" w:hint="eastAsia"/>
                <w:i/>
                <w:sz w:val="17"/>
                <w:szCs w:val="17"/>
                <w:lang w:eastAsia="ar-SA"/>
              </w:rPr>
              <w:t>非分隔的開倉保證金</w:t>
            </w:r>
            <w:r w:rsidRPr="00BC269C">
              <w:rPr>
                <w:rFonts w:eastAsia="細明體" w:cs="Segoe UI" w:hint="eastAsia"/>
                <w:sz w:val="17"/>
                <w:szCs w:val="17"/>
                <w:lang w:eastAsia="ar-SA"/>
              </w:rPr>
              <w:t>：指非以破產隔離</w:t>
            </w:r>
            <w:r w:rsidRPr="00BC269C">
              <w:rPr>
                <w:rFonts w:eastAsia="細明體" w:cs="Segoe UI" w:hint="eastAsia"/>
                <w:sz w:val="17"/>
                <w:szCs w:val="17"/>
                <w:lang w:eastAsia="zh-TW"/>
              </w:rPr>
              <w:t>的</w:t>
            </w:r>
            <w:r w:rsidRPr="00BC269C">
              <w:rPr>
                <w:rFonts w:eastAsia="細明體" w:cs="Segoe UI" w:hint="eastAsia"/>
                <w:sz w:val="17"/>
                <w:szCs w:val="17"/>
                <w:lang w:eastAsia="ar-SA"/>
              </w:rPr>
              <w:t>方式持有的開倉保證金。與上文相仿，就本模版而言開倉保證金不包括對某中央交易對手方</w:t>
            </w:r>
            <w:r w:rsidRPr="00BC269C">
              <w:rPr>
                <w:rFonts w:eastAsia="細明體" w:cs="Segoe UI"/>
                <w:sz w:val="17"/>
                <w:szCs w:val="17"/>
                <w:lang w:eastAsia="ar-SA"/>
              </w:rPr>
              <w:t>的互相</w:t>
            </w:r>
            <w:r w:rsidRPr="00BC269C">
              <w:rPr>
                <w:rFonts w:eastAsia="細明體" w:cs="Segoe UI" w:hint="eastAsia"/>
                <w:sz w:val="17"/>
                <w:szCs w:val="17"/>
                <w:lang w:eastAsia="ar-SA"/>
              </w:rPr>
              <w:t>分擔損失安排作出的承擔。</w:t>
            </w:r>
          </w:p>
        </w:tc>
      </w:tr>
      <w:tr w:rsidR="00BC269C" w:rsidRPr="00BC269C" w14:paraId="672A0078"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6F2B48A0"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9</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19</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6A8E10DE"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i/>
                <w:sz w:val="17"/>
                <w:szCs w:val="17"/>
                <w:lang w:eastAsia="ar-SA"/>
              </w:rPr>
              <w:t>以資金支持的違責基金承擔</w:t>
            </w:r>
            <w:r w:rsidRPr="00BC269C">
              <w:rPr>
                <w:rFonts w:eastAsia="細明體" w:cs="Segoe UI" w:hint="eastAsia"/>
                <w:sz w:val="17"/>
                <w:szCs w:val="17"/>
                <w:lang w:eastAsia="ar-SA"/>
              </w:rPr>
              <w:t>：本用語的涵義應與</w:t>
            </w:r>
            <w:r w:rsidRPr="00BC269C">
              <w:rPr>
                <w:rFonts w:eastAsia="細明體" w:cs="Segoe UI"/>
                <w:sz w:val="17"/>
                <w:szCs w:val="17"/>
                <w:lang w:eastAsia="ar-SA"/>
              </w:rPr>
              <w:t>《資本規則》下「</w:t>
            </w:r>
            <w:r w:rsidRPr="00BC269C">
              <w:rPr>
                <w:rFonts w:eastAsia="細明體" w:cs="Segoe UI" w:hint="eastAsia"/>
                <w:sz w:val="17"/>
                <w:szCs w:val="17"/>
                <w:lang w:eastAsia="ar-SA"/>
              </w:rPr>
              <w:t>違責基金承擔」的涵義及</w:t>
            </w:r>
            <w:r w:rsidRPr="00BC269C">
              <w:rPr>
                <w:rFonts w:eastAsia="細明體" w:cs="Segoe UI"/>
                <w:sz w:val="17"/>
                <w:szCs w:val="17"/>
                <w:lang w:eastAsia="ar-SA"/>
              </w:rPr>
              <w:t>《資本規則》第</w:t>
            </w:r>
            <w:r w:rsidRPr="00BC269C">
              <w:rPr>
                <w:rFonts w:eastAsia="細明體" w:cs="Segoe UI"/>
                <w:sz w:val="17"/>
                <w:szCs w:val="17"/>
                <w:lang w:eastAsia="ar-SA"/>
              </w:rPr>
              <w:t>6A</w:t>
            </w:r>
            <w:r w:rsidRPr="00BC269C">
              <w:rPr>
                <w:rFonts w:eastAsia="細明體" w:cs="Segoe UI" w:hint="eastAsia"/>
                <w:sz w:val="17"/>
                <w:szCs w:val="17"/>
                <w:lang w:eastAsia="ar-SA"/>
              </w:rPr>
              <w:t>部第</w:t>
            </w:r>
            <w:r w:rsidRPr="00BC269C">
              <w:rPr>
                <w:rFonts w:eastAsia="細明體" w:cs="Segoe UI"/>
                <w:sz w:val="17"/>
                <w:szCs w:val="17"/>
                <w:lang w:eastAsia="ar-SA"/>
              </w:rPr>
              <w:t>4</w:t>
            </w:r>
            <w:r w:rsidRPr="00BC269C">
              <w:rPr>
                <w:rFonts w:eastAsia="細明體" w:cs="Segoe UI" w:hint="eastAsia"/>
                <w:sz w:val="17"/>
                <w:szCs w:val="17"/>
                <w:lang w:eastAsia="ar-SA"/>
              </w:rPr>
              <w:t>分部對「以資金支持的違責基金承擔」的用法一致。</w:t>
            </w:r>
          </w:p>
        </w:tc>
      </w:tr>
      <w:tr w:rsidR="00BC269C" w:rsidRPr="00BC269C" w14:paraId="20E2BCB5" w14:textId="77777777" w:rsidTr="007B761C">
        <w:trPr>
          <w:trHeight w:val="373"/>
        </w:trPr>
        <w:tc>
          <w:tcPr>
            <w:tcW w:w="851" w:type="dxa"/>
            <w:tcBorders>
              <w:top w:val="single" w:sz="4" w:space="0" w:color="000000"/>
              <w:left w:val="single" w:sz="4" w:space="0" w:color="000000"/>
              <w:bottom w:val="single" w:sz="4" w:space="0" w:color="000000"/>
            </w:tcBorders>
            <w:shd w:val="clear" w:color="auto" w:fill="auto"/>
          </w:tcPr>
          <w:p w14:paraId="5160E40B" w14:textId="77777777" w:rsidR="00BC269C" w:rsidRPr="00BC269C" w:rsidRDefault="00BC269C" w:rsidP="00BC269C">
            <w:pPr>
              <w:spacing w:before="40" w:after="40" w:line="259" w:lineRule="auto"/>
              <w:jc w:val="both"/>
              <w:rPr>
                <w:rFonts w:ascii="Calibri" w:eastAsia="細明體" w:hAnsi="Calibri"/>
                <w:i/>
                <w:sz w:val="22"/>
                <w:szCs w:val="17"/>
                <w:lang w:eastAsia="zh-CN"/>
              </w:rPr>
            </w:pPr>
            <w:r w:rsidRPr="00BC269C">
              <w:rPr>
                <w:rFonts w:ascii="Calibri" w:eastAsia="細明體" w:hAnsi="Calibri"/>
                <w:sz w:val="17"/>
                <w:szCs w:val="17"/>
                <w:lang w:eastAsia="zh-CN"/>
              </w:rPr>
              <w:t>10</w:t>
            </w:r>
            <w:r w:rsidRPr="00BC269C">
              <w:rPr>
                <w:rFonts w:ascii="Calibri" w:eastAsia="細明體" w:hAnsi="Calibri" w:hint="eastAsia"/>
                <w:sz w:val="17"/>
                <w:szCs w:val="17"/>
                <w:lang w:eastAsia="zh-CN"/>
              </w:rPr>
              <w:t>及</w:t>
            </w:r>
            <w:r w:rsidRPr="00BC269C">
              <w:rPr>
                <w:rFonts w:ascii="Calibri" w:eastAsia="細明體" w:hAnsi="Calibri"/>
                <w:sz w:val="17"/>
                <w:szCs w:val="17"/>
                <w:lang w:eastAsia="zh-CN"/>
              </w:rPr>
              <w:t>20</w:t>
            </w:r>
          </w:p>
        </w:tc>
        <w:tc>
          <w:tcPr>
            <w:tcW w:w="8383" w:type="dxa"/>
            <w:tcBorders>
              <w:top w:val="single" w:sz="4" w:space="0" w:color="000000"/>
              <w:left w:val="single" w:sz="4" w:space="0" w:color="000000"/>
              <w:bottom w:val="single" w:sz="4" w:space="0" w:color="000000"/>
              <w:right w:val="single" w:sz="4" w:space="0" w:color="000000"/>
            </w:tcBorders>
            <w:shd w:val="clear" w:color="auto" w:fill="auto"/>
          </w:tcPr>
          <w:p w14:paraId="0D195BC8" w14:textId="77777777" w:rsidR="00BC269C" w:rsidRPr="00BC269C" w:rsidRDefault="00BC269C" w:rsidP="00BC269C">
            <w:pPr>
              <w:suppressAutoHyphens/>
              <w:spacing w:before="40" w:after="40"/>
              <w:jc w:val="both"/>
              <w:rPr>
                <w:rFonts w:cs="Segoe UI"/>
                <w:sz w:val="17"/>
                <w:lang w:eastAsia="ar-SA"/>
              </w:rPr>
            </w:pPr>
            <w:r w:rsidRPr="00BC269C">
              <w:rPr>
                <w:rFonts w:eastAsia="細明體" w:cs="Segoe UI" w:hint="eastAsia"/>
                <w:i/>
                <w:sz w:val="17"/>
                <w:szCs w:val="17"/>
                <w:lang w:eastAsia="ar-SA"/>
              </w:rPr>
              <w:t>非以資金支持的違責基金承擔</w:t>
            </w:r>
            <w:r w:rsidRPr="00BC269C">
              <w:rPr>
                <w:rFonts w:eastAsia="細明體" w:cs="Segoe UI" w:hint="eastAsia"/>
                <w:sz w:val="17"/>
                <w:szCs w:val="17"/>
                <w:lang w:eastAsia="ar-SA"/>
              </w:rPr>
              <w:t>：本用語的涵義應與</w:t>
            </w:r>
            <w:r w:rsidRPr="00BC269C">
              <w:rPr>
                <w:rFonts w:eastAsia="細明體" w:cs="Segoe UI"/>
                <w:sz w:val="17"/>
                <w:szCs w:val="17"/>
                <w:lang w:eastAsia="ar-SA"/>
              </w:rPr>
              <w:t>《資本規則》下「違</w:t>
            </w:r>
            <w:r w:rsidRPr="00BC269C">
              <w:rPr>
                <w:rFonts w:eastAsia="細明體" w:cs="Segoe UI" w:hint="eastAsia"/>
                <w:sz w:val="17"/>
                <w:szCs w:val="17"/>
                <w:lang w:eastAsia="ar-SA"/>
              </w:rPr>
              <w:t>責基金承擔」的涵義及</w:t>
            </w:r>
            <w:r w:rsidRPr="00BC269C">
              <w:rPr>
                <w:rFonts w:eastAsia="細明體" w:cs="Segoe UI"/>
                <w:sz w:val="17"/>
                <w:szCs w:val="17"/>
                <w:lang w:eastAsia="ar-SA"/>
              </w:rPr>
              <w:t>《資本規則》第</w:t>
            </w:r>
            <w:r w:rsidRPr="00BC269C">
              <w:rPr>
                <w:rFonts w:eastAsia="細明體" w:cs="Segoe UI"/>
                <w:sz w:val="17"/>
                <w:szCs w:val="17"/>
                <w:lang w:eastAsia="ar-SA"/>
              </w:rPr>
              <w:t>6A</w:t>
            </w:r>
            <w:r w:rsidRPr="00BC269C">
              <w:rPr>
                <w:rFonts w:eastAsia="細明體" w:cs="Segoe UI" w:hint="eastAsia"/>
                <w:sz w:val="17"/>
                <w:szCs w:val="17"/>
                <w:lang w:eastAsia="ar-SA"/>
              </w:rPr>
              <w:t>部第</w:t>
            </w:r>
            <w:r w:rsidRPr="00BC269C">
              <w:rPr>
                <w:rFonts w:eastAsia="細明體" w:cs="Segoe UI"/>
                <w:sz w:val="17"/>
                <w:szCs w:val="17"/>
                <w:lang w:eastAsia="ar-SA"/>
              </w:rPr>
              <w:t>4</w:t>
            </w:r>
            <w:r w:rsidRPr="00BC269C">
              <w:rPr>
                <w:rFonts w:eastAsia="細明體" w:cs="Segoe UI" w:hint="eastAsia"/>
                <w:sz w:val="17"/>
                <w:szCs w:val="17"/>
                <w:lang w:eastAsia="ar-SA"/>
              </w:rPr>
              <w:t>分部對「非以資金支持的違責基金承擔」的用法一致。</w:t>
            </w:r>
          </w:p>
        </w:tc>
      </w:tr>
    </w:tbl>
    <w:p w14:paraId="356E364F" w14:textId="77777777" w:rsidR="00BC269C" w:rsidRPr="00BC269C" w:rsidRDefault="00BC269C" w:rsidP="00BC269C">
      <w:pPr>
        <w:spacing w:after="160" w:line="259" w:lineRule="auto"/>
        <w:rPr>
          <w:rFonts w:ascii="Calibri" w:eastAsia="新細明體" w:hAnsi="Calibri"/>
          <w:sz w:val="22"/>
          <w:szCs w:val="22"/>
          <w:lang w:eastAsia="zh-TW"/>
        </w:rPr>
      </w:pPr>
    </w:p>
    <w:p w14:paraId="60264445" w14:textId="77777777" w:rsidR="00BC269C" w:rsidRPr="00BC269C" w:rsidRDefault="00BC269C" w:rsidP="00BC269C">
      <w:pPr>
        <w:spacing w:after="160" w:line="259" w:lineRule="auto"/>
        <w:rPr>
          <w:rFonts w:ascii="Calibri" w:eastAsia="新細明體" w:hAnsi="Calibri"/>
          <w:sz w:val="22"/>
          <w:szCs w:val="22"/>
          <w:lang w:eastAsia="zh-TW"/>
        </w:rPr>
      </w:pPr>
    </w:p>
    <w:p w14:paraId="32A6FCEB" w14:textId="77777777" w:rsidR="005171C5" w:rsidRPr="005171C5" w:rsidRDefault="005171C5" w:rsidP="005171C5">
      <w:pPr>
        <w:suppressAutoHyphens/>
        <w:spacing w:before="180" w:after="180"/>
        <w:ind w:left="-566"/>
        <w:jc w:val="both"/>
        <w:rPr>
          <w:rFonts w:eastAsia="細明體" w:cs="Segoe UI"/>
          <w:lang w:eastAsia="ar-SA"/>
        </w:rPr>
        <w:sectPr w:rsidR="005171C5" w:rsidRPr="005171C5" w:rsidSect="005171C5">
          <w:footerReference w:type="default" r:id="rId87"/>
          <w:pgSz w:w="11906" w:h="16838"/>
          <w:pgMar w:top="1440" w:right="1797" w:bottom="1440" w:left="1560" w:header="720" w:footer="737" w:gutter="0"/>
          <w:cols w:space="720"/>
          <w:docGrid w:type="linesAndChars" w:linePitch="360"/>
        </w:sectPr>
      </w:pPr>
    </w:p>
    <w:p w14:paraId="7A0DC480" w14:textId="3AFAD08A" w:rsidR="00E932DC" w:rsidRPr="00E932DC" w:rsidRDefault="00E932DC" w:rsidP="00A94770">
      <w:pPr>
        <w:keepNext/>
        <w:keepLines/>
        <w:tabs>
          <w:tab w:val="left" w:pos="426"/>
          <w:tab w:val="left" w:pos="794"/>
        </w:tabs>
        <w:spacing w:after="360"/>
        <w:ind w:hanging="426"/>
        <w:outlineLvl w:val="0"/>
        <w:rPr>
          <w:rFonts w:eastAsia="新細明體" w:cs="Segoe UI"/>
          <w:color w:val="AA322F"/>
          <w:sz w:val="28"/>
          <w:lang w:eastAsia="zh-TW"/>
        </w:rPr>
      </w:pPr>
      <w:r w:rsidRPr="00E932DC">
        <w:rPr>
          <w:rFonts w:eastAsia="新細明體" w:cs="Segoe UI"/>
          <w:color w:val="AA322F"/>
          <w:sz w:val="28"/>
          <w:lang w:eastAsia="zh-HK"/>
        </w:rPr>
        <w:t>第</w:t>
      </w:r>
      <w:r w:rsidRPr="00133644">
        <w:rPr>
          <w:rFonts w:eastAsia="新細明體" w:cs="Segoe UI"/>
          <w:color w:val="AA322F"/>
          <w:sz w:val="28"/>
          <w:lang w:eastAsia="zh-TW"/>
        </w:rPr>
        <w:t>IVA</w:t>
      </w:r>
      <w:r w:rsidRPr="00E932DC">
        <w:rPr>
          <w:rFonts w:eastAsia="新細明體" w:cs="Segoe UI"/>
          <w:color w:val="AA322F"/>
          <w:sz w:val="28"/>
          <w:lang w:eastAsia="zh-HK"/>
        </w:rPr>
        <w:t>部</w:t>
      </w:r>
      <w:r w:rsidRPr="00E932DC">
        <w:rPr>
          <w:rFonts w:eastAsia="新細明體" w:cs="Segoe UI"/>
          <w:color w:val="AA322F"/>
          <w:sz w:val="28"/>
          <w:lang w:eastAsia="zh-TW"/>
        </w:rPr>
        <w:t>：</w:t>
      </w:r>
      <w:r w:rsidRPr="00E932DC">
        <w:rPr>
          <w:rFonts w:eastAsia="新細明體" w:cs="Segoe UI" w:hint="eastAsia"/>
          <w:color w:val="AA322F"/>
          <w:sz w:val="28"/>
          <w:lang w:eastAsia="zh-TW"/>
        </w:rPr>
        <w:t>CVA</w:t>
      </w:r>
      <w:r w:rsidRPr="00E932DC">
        <w:rPr>
          <w:rFonts w:eastAsia="新細明體" w:cs="Segoe UI" w:hint="eastAsia"/>
          <w:color w:val="AA322F"/>
          <w:sz w:val="28"/>
          <w:lang w:eastAsia="zh-HK"/>
        </w:rPr>
        <w:t>風險</w:t>
      </w:r>
    </w:p>
    <w:p w14:paraId="0FC41433" w14:textId="00EC8A06" w:rsidR="00A24744" w:rsidRPr="005A22C2" w:rsidRDefault="00A24744" w:rsidP="00A24744">
      <w:pPr>
        <w:pStyle w:val="Heading2"/>
        <w:keepNext w:val="0"/>
        <w:suppressAutoHyphens w:val="0"/>
        <w:spacing w:before="40" w:line="240" w:lineRule="auto"/>
        <w:ind w:left="-454"/>
        <w:rPr>
          <w:rFonts w:ascii="細明體" w:eastAsia="細明體" w:hAnsi="細明體"/>
          <w:b w:val="0"/>
          <w:bCs w:val="0"/>
          <w:sz w:val="22"/>
          <w:szCs w:val="20"/>
          <w:lang w:eastAsia="zh-TW"/>
        </w:rPr>
      </w:pPr>
      <w:r w:rsidRPr="005A22C2">
        <w:rPr>
          <w:rFonts w:ascii="細明體" w:eastAsia="細明體" w:hAnsi="細明體" w:cs="微軟正黑體" w:hint="eastAsia"/>
          <w:b w:val="0"/>
          <w:bCs w:val="0"/>
          <w:sz w:val="22"/>
          <w:szCs w:val="20"/>
          <w:lang w:eastAsia="zh-TW"/>
        </w:rPr>
        <w:t>表</w:t>
      </w:r>
      <w:r w:rsidRPr="005A22C2">
        <w:rPr>
          <w:rFonts w:ascii="Segoe UI" w:eastAsia="細明體" w:hAnsi="Segoe UI" w:cs="Segoe UI"/>
          <w:b w:val="0"/>
          <w:bCs w:val="0"/>
          <w:sz w:val="22"/>
          <w:szCs w:val="20"/>
          <w:lang w:eastAsia="zh-TW"/>
        </w:rPr>
        <w:t>CVAA</w:t>
      </w:r>
      <w:r w:rsidRPr="005A22C2">
        <w:rPr>
          <w:rFonts w:ascii="細明體" w:eastAsia="細明體" w:hAnsi="細明體" w:cs="微軟正黑體" w:hint="eastAsia"/>
          <w:b w:val="0"/>
          <w:bCs w:val="0"/>
          <w:sz w:val="22"/>
          <w:szCs w:val="20"/>
          <w:lang w:eastAsia="zh-TW"/>
        </w:rPr>
        <w:t>：關於</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hint="eastAsia"/>
          <w:b w:val="0"/>
          <w:bCs w:val="0"/>
          <w:sz w:val="22"/>
          <w:szCs w:val="20"/>
          <w:lang w:eastAsia="zh-TW"/>
        </w:rPr>
        <w:t>風險的描述披露</w:t>
      </w:r>
    </w:p>
    <w:tbl>
      <w:tblPr>
        <w:tblW w:w="9106"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946"/>
      </w:tblGrid>
      <w:tr w:rsidR="005A22C2" w:rsidRPr="005A22C2" w14:paraId="1568F993" w14:textId="77777777" w:rsidTr="00A94770">
        <w:tc>
          <w:tcPr>
            <w:tcW w:w="2160" w:type="dxa"/>
            <w:tcBorders>
              <w:top w:val="single" w:sz="4" w:space="0" w:color="auto"/>
              <w:left w:val="nil"/>
              <w:bottom w:val="single" w:sz="4" w:space="0" w:color="auto"/>
              <w:right w:val="single" w:sz="4" w:space="0" w:color="auto"/>
            </w:tcBorders>
            <w:hideMark/>
          </w:tcPr>
          <w:p w14:paraId="33606075" w14:textId="77777777" w:rsidR="00E932DC" w:rsidRPr="005A22C2" w:rsidRDefault="00E932DC" w:rsidP="00E932DC">
            <w:pPr>
              <w:spacing w:before="40" w:after="40"/>
              <w:rPr>
                <w:rFonts w:eastAsia="新細明體" w:cs="Segoe UI"/>
                <w:noProof/>
                <w:sz w:val="17"/>
                <w:lang w:eastAsia="zh-TW"/>
              </w:rPr>
            </w:pPr>
            <w:r w:rsidRPr="005A22C2">
              <w:rPr>
                <w:rFonts w:eastAsia="新細明體" w:cs="Segoe UI"/>
                <w:b/>
                <w:sz w:val="17"/>
                <w:lang w:eastAsia="zh-TW"/>
              </w:rPr>
              <w:t>目的</w:t>
            </w:r>
            <w:r w:rsidRPr="005A22C2">
              <w:rPr>
                <w:rFonts w:eastAsia="新細明體" w:cs="Segoe UI"/>
                <w:b/>
                <w:sz w:val="17"/>
                <w:lang w:eastAsia="zh-TW"/>
              </w:rPr>
              <w:t>:</w:t>
            </w:r>
          </w:p>
        </w:tc>
        <w:tc>
          <w:tcPr>
            <w:tcW w:w="6946" w:type="dxa"/>
            <w:tcBorders>
              <w:top w:val="single" w:sz="4" w:space="0" w:color="auto"/>
              <w:left w:val="single" w:sz="4" w:space="0" w:color="auto"/>
              <w:bottom w:val="single" w:sz="4" w:space="0" w:color="auto"/>
              <w:right w:val="nil"/>
            </w:tcBorders>
            <w:hideMark/>
          </w:tcPr>
          <w:p w14:paraId="1361438B" w14:textId="6B2BD27D"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ascii="新細明體" w:eastAsia="新細明體" w:hAnsi="新細明體" w:cs="Segoe UI" w:hint="eastAsia"/>
                <w:sz w:val="17"/>
                <w:szCs w:val="17"/>
                <w:lang w:eastAsia="zh-HK"/>
              </w:rPr>
              <w:t>就</w:t>
            </w:r>
            <w:r w:rsidRPr="005A22C2">
              <w:rPr>
                <w:rFonts w:eastAsia="新細明體" w:cs="Segoe UI"/>
                <w:sz w:val="17"/>
                <w:szCs w:val="17"/>
                <w:lang w:eastAsia="zh-TW"/>
              </w:rPr>
              <w:t>CVA</w:t>
            </w:r>
            <w:r w:rsidRPr="005A22C2">
              <w:rPr>
                <w:rFonts w:eastAsia="新細明體" w:cs="Segoe UI"/>
                <w:sz w:val="17"/>
                <w:szCs w:val="17"/>
                <w:lang w:eastAsia="zh-TW"/>
              </w:rPr>
              <w:t>風險的風險管理目標及政策</w:t>
            </w:r>
            <w:r w:rsidRPr="005A22C2">
              <w:rPr>
                <w:rFonts w:eastAsia="新細明體" w:cs="Segoe UI" w:hint="eastAsia"/>
                <w:sz w:val="17"/>
                <w:szCs w:val="17"/>
                <w:lang w:eastAsia="zh-HK"/>
              </w:rPr>
              <w:t>提</w:t>
            </w:r>
            <w:r w:rsidRPr="005A22C2">
              <w:rPr>
                <w:rFonts w:eastAsia="新細明體" w:cs="Segoe UI" w:hint="eastAsia"/>
                <w:sz w:val="17"/>
                <w:szCs w:val="17"/>
                <w:lang w:eastAsia="zh-TW"/>
              </w:rPr>
              <w:t>供</w:t>
            </w:r>
            <w:r w:rsidRPr="005A22C2">
              <w:rPr>
                <w:rFonts w:eastAsia="新細明體" w:cs="Segoe UI" w:hint="eastAsia"/>
                <w:sz w:val="17"/>
                <w:szCs w:val="17"/>
                <w:lang w:eastAsia="zh-HK"/>
              </w:rPr>
              <w:t>描</w:t>
            </w:r>
            <w:r w:rsidRPr="005A22C2">
              <w:rPr>
                <w:rFonts w:eastAsia="新細明體" w:cs="Segoe UI" w:hint="eastAsia"/>
                <w:sz w:val="17"/>
                <w:szCs w:val="17"/>
                <w:lang w:eastAsia="zh-TW"/>
              </w:rPr>
              <w:t>述。</w:t>
            </w:r>
          </w:p>
        </w:tc>
      </w:tr>
      <w:tr w:rsidR="005A22C2" w:rsidRPr="005A22C2" w14:paraId="357A5672" w14:textId="77777777" w:rsidTr="00A94770">
        <w:tc>
          <w:tcPr>
            <w:tcW w:w="2160" w:type="dxa"/>
            <w:tcBorders>
              <w:top w:val="single" w:sz="4" w:space="0" w:color="auto"/>
              <w:left w:val="nil"/>
              <w:bottom w:val="single" w:sz="4" w:space="0" w:color="auto"/>
              <w:right w:val="single" w:sz="4" w:space="0" w:color="auto"/>
            </w:tcBorders>
            <w:hideMark/>
          </w:tcPr>
          <w:p w14:paraId="773B3A37" w14:textId="77777777" w:rsidR="00E932DC" w:rsidRPr="005A22C2" w:rsidRDefault="00E932DC" w:rsidP="00E932DC">
            <w:pPr>
              <w:spacing w:before="40" w:after="40"/>
              <w:rPr>
                <w:rFonts w:eastAsia="新細明體" w:cs="Segoe UI"/>
                <w:b/>
                <w:sz w:val="17"/>
                <w:lang w:eastAsia="zh-TW"/>
              </w:rPr>
            </w:pPr>
            <w:r w:rsidRPr="005A22C2">
              <w:rPr>
                <w:rFonts w:eastAsia="新細明體" w:cs="Segoe UI"/>
                <w:b/>
                <w:sz w:val="17"/>
                <w:lang w:eastAsia="zh-TW"/>
              </w:rPr>
              <w:t>適用範圍</w:t>
            </w:r>
            <w:r w:rsidRPr="005A22C2">
              <w:rPr>
                <w:rFonts w:eastAsia="新細明體" w:cs="Segoe UI"/>
                <w:b/>
                <w:sz w:val="17"/>
                <w:lang w:eastAsia="zh-TW"/>
              </w:rPr>
              <w:t>:</w:t>
            </w:r>
          </w:p>
        </w:tc>
        <w:tc>
          <w:tcPr>
            <w:tcW w:w="6946" w:type="dxa"/>
            <w:tcBorders>
              <w:top w:val="single" w:sz="4" w:space="0" w:color="auto"/>
              <w:left w:val="single" w:sz="4" w:space="0" w:color="auto"/>
              <w:bottom w:val="single" w:sz="4" w:space="0" w:color="auto"/>
              <w:right w:val="nil"/>
            </w:tcBorders>
            <w:hideMark/>
          </w:tcPr>
          <w:p w14:paraId="36354A90" w14:textId="17CFDFCB" w:rsidR="00E932DC" w:rsidRPr="005A22C2" w:rsidRDefault="00E932DC" w:rsidP="003A5912">
            <w:pPr>
              <w:spacing w:before="40" w:after="40"/>
              <w:jc w:val="both"/>
              <w:rPr>
                <w:rFonts w:eastAsia="新細明體" w:cs="Segoe UI"/>
                <w:sz w:val="17"/>
                <w:lang w:eastAsia="zh-TW"/>
              </w:rPr>
            </w:pPr>
            <w:r w:rsidRPr="005A22C2">
              <w:rPr>
                <w:rFonts w:eastAsia="新細明體" w:cs="Segoe UI"/>
                <w:sz w:val="17"/>
                <w:szCs w:val="22"/>
                <w:lang w:eastAsia="zh-HK"/>
              </w:rPr>
              <w:t>所有</w:t>
            </w:r>
            <w:r w:rsidRPr="005A22C2">
              <w:rPr>
                <w:rFonts w:eastAsia="新細明體" w:cs="Segoe UI"/>
                <w:sz w:val="17"/>
                <w:lang w:eastAsia="zh-TW"/>
              </w:rPr>
              <w:t>在香港成立為法團並</w:t>
            </w:r>
            <w:r w:rsidRPr="005A22C2">
              <w:rPr>
                <w:rFonts w:eastAsia="新細明體" w:cs="Segoe UI"/>
                <w:sz w:val="17"/>
                <w:lang w:eastAsia="zh-HK"/>
              </w:rPr>
              <w:t>須</w:t>
            </w:r>
            <w:r w:rsidRPr="005A22C2">
              <w:rPr>
                <w:rFonts w:eastAsia="新細明體" w:cs="Segoe UI" w:hint="eastAsia"/>
                <w:sz w:val="17"/>
                <w:lang w:eastAsia="zh-HK"/>
              </w:rPr>
              <w:t>計算</w:t>
            </w:r>
            <w:r w:rsidRPr="005A22C2">
              <w:rPr>
                <w:rFonts w:eastAsia="新細明體" w:cs="Segoe UI"/>
                <w:sz w:val="17"/>
                <w:lang w:eastAsia="zh-TW"/>
              </w:rPr>
              <w:t>CVA</w:t>
            </w:r>
            <w:r w:rsidRPr="005A22C2">
              <w:rPr>
                <w:rFonts w:eastAsia="新細明體" w:cs="Segoe UI"/>
                <w:sz w:val="17"/>
                <w:lang w:eastAsia="zh-TW"/>
              </w:rPr>
              <w:t>風險資本</w:t>
            </w:r>
            <w:r w:rsidRPr="005A22C2">
              <w:rPr>
                <w:rFonts w:eastAsia="新細明體" w:cs="Segoe UI" w:hint="eastAsia"/>
                <w:sz w:val="17"/>
                <w:lang w:eastAsia="zh-HK"/>
              </w:rPr>
              <w:t>要</w:t>
            </w:r>
            <w:r w:rsidRPr="005A22C2">
              <w:rPr>
                <w:rFonts w:eastAsia="新細明體" w:cs="Segoe UI" w:hint="eastAsia"/>
                <w:sz w:val="17"/>
                <w:lang w:eastAsia="zh-TW"/>
              </w:rPr>
              <w:t>求</w:t>
            </w:r>
            <w:r w:rsidRPr="005A22C2">
              <w:rPr>
                <w:rFonts w:eastAsia="新細明體" w:cs="Segoe UI"/>
                <w:sz w:val="17"/>
                <w:lang w:eastAsia="zh-TW"/>
              </w:rPr>
              <w:t>的認可機構，</w:t>
            </w:r>
            <w:r w:rsidRPr="005A22C2">
              <w:rPr>
                <w:rFonts w:eastAsia="新細明體" w:cs="Segoe UI"/>
                <w:sz w:val="17"/>
                <w:lang w:eastAsia="zh-HK"/>
              </w:rPr>
              <w:t>包括</w:t>
            </w:r>
            <w:r w:rsidR="003A5912" w:rsidRPr="005A22C2">
              <w:rPr>
                <w:rFonts w:eastAsia="新細明體" w:cs="Segoe UI"/>
                <w:sz w:val="17"/>
                <w:lang w:val="en-US" w:eastAsia="zh-HK"/>
              </w:rPr>
              <w:t>《資本規則》所訂明</w:t>
            </w:r>
            <w:r w:rsidRPr="005A22C2">
              <w:rPr>
                <w:rFonts w:eastAsia="新細明體" w:cs="Segoe UI"/>
                <w:sz w:val="17"/>
                <w:lang w:eastAsia="zh-HK"/>
              </w:rPr>
              <w:t>合資格並已選擇</w:t>
            </w:r>
            <w:r w:rsidRPr="005A22C2">
              <w:rPr>
                <w:rFonts w:eastAsia="新細明體" w:cs="Segoe UI" w:hint="eastAsia"/>
                <w:sz w:val="17"/>
                <w:lang w:val="en-US" w:eastAsia="zh-HK"/>
              </w:rPr>
              <w:t>按</w:t>
            </w:r>
            <w:r w:rsidR="003A5912" w:rsidRPr="005A22C2">
              <w:rPr>
                <w:rFonts w:eastAsia="新細明體" w:cs="Segoe UI" w:hint="eastAsia"/>
                <w:sz w:val="17"/>
                <w:lang w:val="en-US" w:eastAsia="zh-HK"/>
              </w:rPr>
              <w:t>其</w:t>
            </w:r>
            <w:r w:rsidR="003A5912" w:rsidRPr="005A22C2">
              <w:rPr>
                <w:rFonts w:eastAsia="新細明體" w:cs="Segoe UI" w:hint="eastAsia"/>
                <w:sz w:val="17"/>
                <w:lang w:val="en-US" w:eastAsia="zh-HK"/>
              </w:rPr>
              <w:t>100%</w:t>
            </w:r>
            <w:r w:rsidRPr="005A22C2">
              <w:rPr>
                <w:rFonts w:eastAsia="新細明體" w:cs="Segoe UI"/>
                <w:sz w:val="17"/>
                <w:lang w:val="en-US" w:eastAsia="zh-HK"/>
              </w:rPr>
              <w:t>對手方信用風險承擔</w:t>
            </w:r>
            <w:r w:rsidRPr="005A22C2">
              <w:rPr>
                <w:rFonts w:eastAsia="新細明體" w:cs="Segoe UI" w:hint="eastAsia"/>
                <w:sz w:val="17"/>
                <w:lang w:val="en-US" w:eastAsia="zh-HK"/>
              </w:rPr>
              <w:t>的</w:t>
            </w:r>
            <w:r w:rsidRPr="005A22C2">
              <w:rPr>
                <w:rFonts w:eastAsia="新細明體" w:cs="Segoe UI"/>
                <w:sz w:val="17"/>
                <w:lang w:eastAsia="zh-HK"/>
              </w:rPr>
              <w:t>風險加權數額計算</w:t>
            </w:r>
            <w:r w:rsidRPr="005A22C2">
              <w:rPr>
                <w:rFonts w:eastAsia="新細明體" w:cs="Segoe UI"/>
                <w:sz w:val="17"/>
                <w:lang w:eastAsia="zh-TW"/>
              </w:rPr>
              <w:t>CVA</w:t>
            </w:r>
            <w:r w:rsidRPr="005A22C2">
              <w:rPr>
                <w:rFonts w:eastAsia="新細明體" w:cs="Segoe UI"/>
                <w:sz w:val="17"/>
                <w:lang w:eastAsia="zh-HK"/>
              </w:rPr>
              <w:t>風險的</w:t>
            </w:r>
            <w:r w:rsidRPr="005A22C2">
              <w:rPr>
                <w:rFonts w:eastAsia="新細明體" w:cs="Segoe UI"/>
                <w:sz w:val="17"/>
                <w:lang w:eastAsia="zh-TW"/>
              </w:rPr>
              <w:t>風險加權數額</w:t>
            </w:r>
            <w:r w:rsidRPr="005A22C2">
              <w:rPr>
                <w:rFonts w:eastAsia="新細明體" w:cs="Segoe UI"/>
                <w:sz w:val="17"/>
                <w:lang w:eastAsia="zh-HK"/>
              </w:rPr>
              <w:t>的認可機構</w:t>
            </w:r>
            <w:r w:rsidRPr="005A22C2">
              <w:rPr>
                <w:rFonts w:eastAsia="新細明體" w:cs="Segoe UI"/>
                <w:sz w:val="17"/>
                <w:lang w:eastAsia="zh-TW"/>
              </w:rPr>
              <w:t>，均須填報本表。</w:t>
            </w:r>
          </w:p>
        </w:tc>
      </w:tr>
      <w:tr w:rsidR="005A22C2" w:rsidRPr="005A22C2" w14:paraId="695E9564" w14:textId="77777777" w:rsidTr="00A94770">
        <w:tc>
          <w:tcPr>
            <w:tcW w:w="2160" w:type="dxa"/>
            <w:tcBorders>
              <w:top w:val="single" w:sz="4" w:space="0" w:color="auto"/>
              <w:left w:val="nil"/>
              <w:bottom w:val="single" w:sz="4" w:space="0" w:color="auto"/>
              <w:right w:val="single" w:sz="4" w:space="0" w:color="auto"/>
            </w:tcBorders>
            <w:hideMark/>
          </w:tcPr>
          <w:p w14:paraId="31532EFA"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5F3E054F" w14:textId="77777777" w:rsidR="00E932DC" w:rsidRPr="005A22C2" w:rsidRDefault="00E932DC" w:rsidP="00E932DC">
            <w:pPr>
              <w:spacing w:before="40" w:after="40"/>
              <w:jc w:val="both"/>
              <w:rPr>
                <w:rFonts w:eastAsia="新細明體" w:cs="Segoe UI"/>
                <w:sz w:val="17"/>
                <w:lang w:eastAsia="en-GB"/>
              </w:rPr>
            </w:pPr>
            <w:proofErr w:type="spellStart"/>
            <w:r w:rsidRPr="005A22C2">
              <w:rPr>
                <w:rFonts w:eastAsia="新細明體" w:cs="Segoe UI"/>
                <w:sz w:val="17"/>
                <w:lang w:eastAsia="en-GB"/>
              </w:rPr>
              <w:t>描述資料</w:t>
            </w:r>
            <w:proofErr w:type="spellEnd"/>
            <w:r w:rsidRPr="005A22C2">
              <w:rPr>
                <w:rFonts w:eastAsia="新細明體" w:cs="Segoe UI"/>
                <w:sz w:val="17"/>
                <w:lang w:eastAsia="en-GB"/>
              </w:rPr>
              <w:t>。</w:t>
            </w:r>
          </w:p>
        </w:tc>
      </w:tr>
      <w:tr w:rsidR="005A22C2" w:rsidRPr="005A22C2" w14:paraId="60F6992D" w14:textId="77777777" w:rsidTr="00A94770">
        <w:tc>
          <w:tcPr>
            <w:tcW w:w="2160" w:type="dxa"/>
            <w:tcBorders>
              <w:top w:val="single" w:sz="4" w:space="0" w:color="auto"/>
              <w:left w:val="nil"/>
              <w:bottom w:val="single" w:sz="4" w:space="0" w:color="auto"/>
              <w:right w:val="single" w:sz="4" w:space="0" w:color="auto"/>
            </w:tcBorders>
            <w:hideMark/>
          </w:tcPr>
          <w:p w14:paraId="6C961A88"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5584C140" w14:textId="77777777" w:rsidR="00E932DC" w:rsidRPr="005A22C2" w:rsidRDefault="00E932DC" w:rsidP="00E932DC">
            <w:pPr>
              <w:spacing w:before="40" w:after="40"/>
              <w:jc w:val="both"/>
              <w:rPr>
                <w:rFonts w:eastAsia="新細明體" w:cs="Segoe UI"/>
                <w:sz w:val="17"/>
                <w:lang w:eastAsia="en-GB"/>
              </w:rPr>
            </w:pPr>
            <w:proofErr w:type="spellStart"/>
            <w:r w:rsidRPr="005A22C2">
              <w:rPr>
                <w:rFonts w:eastAsia="新細明體" w:cs="Segoe UI"/>
                <w:sz w:val="17"/>
                <w:lang w:eastAsia="en-GB"/>
              </w:rPr>
              <w:t>每年一次</w:t>
            </w:r>
            <w:proofErr w:type="spellEnd"/>
            <w:r w:rsidRPr="005A22C2">
              <w:rPr>
                <w:rFonts w:eastAsia="新細明體" w:cs="Segoe UI"/>
                <w:sz w:val="17"/>
                <w:lang w:eastAsia="en-GB"/>
              </w:rPr>
              <w:t>。</w:t>
            </w:r>
          </w:p>
        </w:tc>
      </w:tr>
      <w:tr w:rsidR="005A22C2" w:rsidRPr="005A22C2" w14:paraId="73135822" w14:textId="77777777" w:rsidTr="00A94770">
        <w:tc>
          <w:tcPr>
            <w:tcW w:w="2160" w:type="dxa"/>
            <w:tcBorders>
              <w:top w:val="single" w:sz="4" w:space="0" w:color="auto"/>
              <w:left w:val="nil"/>
              <w:bottom w:val="single" w:sz="4" w:space="0" w:color="auto"/>
              <w:right w:val="single" w:sz="4" w:space="0" w:color="auto"/>
            </w:tcBorders>
            <w:hideMark/>
          </w:tcPr>
          <w:p w14:paraId="6F5F46E2"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352F4FC0" w14:textId="77777777" w:rsidR="00E932DC" w:rsidRPr="005A22C2" w:rsidRDefault="00E932DC" w:rsidP="00E932DC">
            <w:pPr>
              <w:spacing w:before="40" w:after="40"/>
              <w:jc w:val="both"/>
              <w:rPr>
                <w:rFonts w:eastAsia="新細明體" w:cs="Segoe UI"/>
                <w:sz w:val="17"/>
                <w:lang w:eastAsia="en-GB"/>
              </w:rPr>
            </w:pPr>
            <w:r w:rsidRPr="005A22C2">
              <w:rPr>
                <w:rFonts w:eastAsia="新細明體" w:cs="Segoe UI"/>
                <w:sz w:val="17"/>
                <w:lang w:eastAsia="zh-HK"/>
              </w:rPr>
              <w:t>非固定</w:t>
            </w:r>
            <w:r w:rsidRPr="005A22C2">
              <w:rPr>
                <w:rFonts w:eastAsia="新細明體" w:cs="Segoe UI"/>
                <w:sz w:val="17"/>
                <w:lang w:eastAsia="zh-TW"/>
              </w:rPr>
              <w:t>。</w:t>
            </w:r>
          </w:p>
        </w:tc>
      </w:tr>
      <w:tr w:rsidR="005A22C2" w:rsidRPr="005A22C2" w14:paraId="4897FF8E" w14:textId="77777777" w:rsidTr="00A94770">
        <w:tc>
          <w:tcPr>
            <w:tcW w:w="2160" w:type="dxa"/>
            <w:tcBorders>
              <w:top w:val="single" w:sz="4" w:space="0" w:color="auto"/>
              <w:left w:val="nil"/>
              <w:bottom w:val="single" w:sz="4" w:space="0" w:color="auto"/>
              <w:right w:val="single" w:sz="4" w:space="0" w:color="auto"/>
            </w:tcBorders>
            <w:hideMark/>
          </w:tcPr>
          <w:p w14:paraId="4828F2F5" w14:textId="77777777" w:rsidR="00E932DC" w:rsidRPr="005A22C2" w:rsidRDefault="00E932DC" w:rsidP="00E932DC">
            <w:pPr>
              <w:spacing w:before="40" w:after="40"/>
              <w:rPr>
                <w:rFonts w:eastAsia="新細明體" w:cs="Segoe UI"/>
                <w:b/>
                <w:sz w:val="17"/>
                <w:lang w:eastAsia="zh-TW"/>
              </w:rPr>
            </w:pPr>
            <w:r w:rsidRPr="005A22C2">
              <w:rPr>
                <w:rFonts w:eastAsia="新細明體" w:cs="Segoe UI"/>
                <w:b/>
                <w:sz w:val="17"/>
                <w:lang w:eastAsia="zh-TW"/>
              </w:rPr>
              <w:t>《披露規則》相應條文：</w:t>
            </w:r>
          </w:p>
        </w:tc>
        <w:tc>
          <w:tcPr>
            <w:tcW w:w="6946" w:type="dxa"/>
            <w:tcBorders>
              <w:top w:val="single" w:sz="4" w:space="0" w:color="auto"/>
              <w:left w:val="single" w:sz="4" w:space="0" w:color="auto"/>
              <w:bottom w:val="single" w:sz="4" w:space="0" w:color="auto"/>
              <w:right w:val="nil"/>
            </w:tcBorders>
          </w:tcPr>
          <w:p w14:paraId="65FD7C57" w14:textId="77777777" w:rsidR="00E932DC" w:rsidRPr="005A22C2" w:rsidRDefault="00E932DC" w:rsidP="00E932DC">
            <w:pPr>
              <w:spacing w:before="40" w:after="40"/>
              <w:jc w:val="both"/>
              <w:rPr>
                <w:rFonts w:eastAsia="新細明體" w:cs="Segoe UI"/>
                <w:sz w:val="17"/>
                <w:lang w:eastAsia="en-GB"/>
              </w:rPr>
            </w:pPr>
            <w:r w:rsidRPr="005A22C2">
              <w:rPr>
                <w:rFonts w:eastAsia="DengXian" w:cs="Segoe UI" w:hint="eastAsia"/>
                <w:sz w:val="17"/>
                <w:lang w:eastAsia="zh-CN"/>
              </w:rPr>
              <w:t>16ZOA</w:t>
            </w:r>
          </w:p>
        </w:tc>
      </w:tr>
    </w:tbl>
    <w:p w14:paraId="0A33BE49" w14:textId="77777777" w:rsidR="00E932DC" w:rsidRPr="005A22C2" w:rsidRDefault="00E932DC" w:rsidP="00E932DC">
      <w:pPr>
        <w:spacing w:before="120" w:after="120"/>
        <w:rPr>
          <w:rFonts w:eastAsia="新細明體" w:cs="Segoe UI"/>
          <w:sz w:val="22"/>
        </w:rPr>
      </w:pPr>
    </w:p>
    <w:tbl>
      <w:tblPr>
        <w:tblW w:w="9106" w:type="dxa"/>
        <w:tblInd w:w="-459" w:type="dxa"/>
        <w:tblCellMar>
          <w:left w:w="70" w:type="dxa"/>
          <w:right w:w="70" w:type="dxa"/>
        </w:tblCellMar>
        <w:tblLook w:val="00A0" w:firstRow="1" w:lastRow="0" w:firstColumn="1" w:lastColumn="0" w:noHBand="0" w:noVBand="0"/>
      </w:tblPr>
      <w:tblGrid>
        <w:gridCol w:w="408"/>
        <w:gridCol w:w="8698"/>
      </w:tblGrid>
      <w:tr w:rsidR="005A22C2" w:rsidRPr="005A22C2" w14:paraId="6C43546B" w14:textId="77777777" w:rsidTr="00D8439A">
        <w:trPr>
          <w:trHeight w:val="448"/>
        </w:trPr>
        <w:tc>
          <w:tcPr>
            <w:tcW w:w="9072" w:type="dxa"/>
            <w:gridSpan w:val="2"/>
            <w:tcBorders>
              <w:top w:val="single" w:sz="4" w:space="0" w:color="auto"/>
              <w:left w:val="nil"/>
              <w:bottom w:val="single" w:sz="4" w:space="0" w:color="auto"/>
              <w:right w:val="nil"/>
            </w:tcBorders>
            <w:shd w:val="clear" w:color="auto" w:fill="F2F2F2"/>
            <w:vAlign w:val="center"/>
            <w:hideMark/>
          </w:tcPr>
          <w:p w14:paraId="7E17A5DF" w14:textId="49D13975" w:rsidR="00E932DC" w:rsidRPr="005A22C2" w:rsidRDefault="00E932DC" w:rsidP="00872CF6">
            <w:pPr>
              <w:widowControl w:val="0"/>
              <w:tabs>
                <w:tab w:val="left" w:pos="540"/>
              </w:tabs>
              <w:spacing w:before="40" w:after="40"/>
              <w:jc w:val="both"/>
              <w:rPr>
                <w:rFonts w:eastAsia="新細明體" w:cs="Segoe UI"/>
                <w:sz w:val="17"/>
                <w:szCs w:val="17"/>
                <w:lang w:eastAsia="zh-TW"/>
              </w:rPr>
            </w:pPr>
            <w:r w:rsidRPr="005A22C2">
              <w:rPr>
                <w:rFonts w:eastAsia="新細明體" w:cs="Segoe UI"/>
                <w:sz w:val="17"/>
                <w:szCs w:val="17"/>
                <w:lang w:eastAsia="zh-TW"/>
              </w:rPr>
              <w:t>認可機構應</w:t>
            </w:r>
            <w:r w:rsidR="00872CF6" w:rsidRPr="005A22C2">
              <w:rPr>
                <w:rFonts w:eastAsia="新細明體" w:cs="Segoe UI"/>
                <w:sz w:val="17"/>
                <w:szCs w:val="17"/>
                <w:lang w:val="en-US" w:eastAsia="zh-HK"/>
              </w:rPr>
              <w:t>如下</w:t>
            </w:r>
            <w:r w:rsidR="00A46E1B" w:rsidRPr="005A22C2">
              <w:rPr>
                <w:rFonts w:eastAsia="新細明體" w:cs="Segoe UI" w:hint="eastAsia"/>
                <w:sz w:val="17"/>
                <w:szCs w:val="17"/>
                <w:lang w:val="en-US" w:eastAsia="zh-HK"/>
              </w:rPr>
              <w:t>描述</w:t>
            </w:r>
            <w:r w:rsidRPr="005A22C2">
              <w:rPr>
                <w:rFonts w:eastAsia="新細明體" w:cs="Segoe UI" w:hint="eastAsia"/>
                <w:sz w:val="17"/>
                <w:szCs w:val="17"/>
                <w:lang w:eastAsia="zh-HK"/>
              </w:rPr>
              <w:t>其</w:t>
            </w:r>
            <w:r w:rsidRPr="005A22C2">
              <w:rPr>
                <w:rFonts w:eastAsia="新細明體" w:cs="Segoe UI"/>
                <w:sz w:val="17"/>
                <w:szCs w:val="17"/>
                <w:lang w:eastAsia="zh-TW"/>
              </w:rPr>
              <w:t>CVA</w:t>
            </w:r>
            <w:r w:rsidRPr="005A22C2">
              <w:rPr>
                <w:rFonts w:eastAsia="新細明體" w:cs="Segoe UI"/>
                <w:sz w:val="17"/>
                <w:szCs w:val="17"/>
                <w:lang w:eastAsia="zh-TW"/>
              </w:rPr>
              <w:t>風險的風險管理目標及政策</w:t>
            </w:r>
            <w:r w:rsidRPr="005A22C2">
              <w:rPr>
                <w:rFonts w:eastAsia="新細明體" w:cs="Segoe UI"/>
                <w:sz w:val="17"/>
                <w:szCs w:val="17"/>
                <w:lang w:val="en-US" w:eastAsia="zh-TW"/>
              </w:rPr>
              <w:t>：</w:t>
            </w:r>
          </w:p>
        </w:tc>
      </w:tr>
      <w:tr w:rsidR="005A22C2" w:rsidRPr="005A22C2" w14:paraId="4026B56C" w14:textId="77777777" w:rsidTr="00D8439A">
        <w:trPr>
          <w:trHeight w:val="306"/>
        </w:trPr>
        <w:tc>
          <w:tcPr>
            <w:tcW w:w="406" w:type="dxa"/>
            <w:tcBorders>
              <w:top w:val="single" w:sz="4" w:space="0" w:color="auto"/>
              <w:left w:val="nil"/>
              <w:bottom w:val="single" w:sz="4" w:space="0" w:color="auto"/>
              <w:right w:val="nil"/>
            </w:tcBorders>
            <w:noWrap/>
            <w:vAlign w:val="center"/>
            <w:hideMark/>
          </w:tcPr>
          <w:p w14:paraId="6E0A892D" w14:textId="77777777" w:rsidR="00E932DC" w:rsidRPr="005A22C2" w:rsidRDefault="00E932DC" w:rsidP="00E932DC">
            <w:pPr>
              <w:spacing w:before="40" w:after="40"/>
              <w:jc w:val="both"/>
              <w:rPr>
                <w:rFonts w:eastAsia="新細明體" w:cs="Segoe UI"/>
                <w:sz w:val="17"/>
                <w:lang w:eastAsia="fr-FR"/>
              </w:rPr>
            </w:pPr>
            <w:r w:rsidRPr="005A22C2">
              <w:rPr>
                <w:rFonts w:eastAsia="新細明體" w:cs="Segoe UI"/>
                <w:sz w:val="17"/>
                <w:lang w:eastAsia="fr-FR"/>
              </w:rPr>
              <w:t>(a)</w:t>
            </w:r>
          </w:p>
        </w:tc>
        <w:tc>
          <w:tcPr>
            <w:tcW w:w="8666" w:type="dxa"/>
            <w:tcBorders>
              <w:top w:val="single" w:sz="4" w:space="0" w:color="auto"/>
              <w:left w:val="nil"/>
              <w:bottom w:val="single" w:sz="4" w:space="0" w:color="auto"/>
              <w:right w:val="nil"/>
            </w:tcBorders>
            <w:vAlign w:val="center"/>
            <w:hideMark/>
          </w:tcPr>
          <w:p w14:paraId="253D6A60" w14:textId="1F1F27E1"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TW"/>
              </w:rPr>
              <w:t>認可機構</w:t>
            </w:r>
            <w:r w:rsidRPr="005A22C2">
              <w:rPr>
                <w:rFonts w:eastAsia="新細明體" w:cs="Segoe UI" w:hint="eastAsia"/>
                <w:sz w:val="17"/>
                <w:szCs w:val="17"/>
                <w:lang w:eastAsia="zh-HK"/>
              </w:rPr>
              <w:t>用作</w:t>
            </w:r>
            <w:r w:rsidRPr="005A22C2">
              <w:rPr>
                <w:rFonts w:eastAsia="新細明體" w:cs="Segoe UI"/>
                <w:sz w:val="17"/>
                <w:szCs w:val="17"/>
                <w:lang w:val="en-US" w:eastAsia="zh-TW"/>
              </w:rPr>
              <w:t>識別、計量、監察及管控</w:t>
            </w:r>
            <w:r w:rsidRPr="005A22C2">
              <w:rPr>
                <w:rFonts w:eastAsia="新細明體" w:cs="Segoe UI" w:hint="eastAsia"/>
                <w:sz w:val="17"/>
                <w:szCs w:val="17"/>
                <w:lang w:val="en-US" w:eastAsia="zh-HK"/>
              </w:rPr>
              <w:t>其</w:t>
            </w:r>
            <w:r w:rsidRPr="005A22C2">
              <w:rPr>
                <w:rFonts w:eastAsia="新細明體" w:cs="Segoe UI"/>
                <w:sz w:val="17"/>
                <w:szCs w:val="17"/>
                <w:lang w:val="en-US" w:eastAsia="zh-TW"/>
              </w:rPr>
              <w:t>CVA</w:t>
            </w:r>
            <w:r w:rsidRPr="005A22C2">
              <w:rPr>
                <w:rFonts w:eastAsia="新細明體" w:cs="Segoe UI"/>
                <w:sz w:val="17"/>
                <w:szCs w:val="17"/>
                <w:lang w:val="en-US" w:eastAsia="zh-TW"/>
              </w:rPr>
              <w:t>風險而實施的程序</w:t>
            </w:r>
            <w:r w:rsidRPr="005A22C2">
              <w:rPr>
                <w:rFonts w:eastAsia="新細明體" w:cs="Segoe UI" w:hint="eastAsia"/>
                <w:sz w:val="17"/>
                <w:szCs w:val="17"/>
                <w:lang w:val="en-US" w:eastAsia="zh-HK"/>
              </w:rPr>
              <w:t>的闡</w:t>
            </w:r>
            <w:r w:rsidRPr="005A22C2">
              <w:rPr>
                <w:rFonts w:eastAsia="新細明體" w:cs="Segoe UI" w:hint="eastAsia"/>
                <w:sz w:val="17"/>
                <w:szCs w:val="17"/>
                <w:lang w:val="en-US" w:eastAsia="zh-TW"/>
              </w:rPr>
              <w:t>述</w:t>
            </w:r>
            <w:r w:rsidRPr="005A22C2">
              <w:rPr>
                <w:rFonts w:eastAsia="新細明體" w:cs="Segoe UI" w:hint="eastAsia"/>
                <w:sz w:val="17"/>
                <w:szCs w:val="17"/>
                <w:lang w:val="en-US" w:eastAsia="zh-HK"/>
              </w:rPr>
              <w:t>及</w:t>
            </w:r>
            <w:r w:rsidRPr="005A22C2">
              <w:rPr>
                <w:rFonts w:eastAsia="新細明體" w:cs="Segoe UI" w:hint="eastAsia"/>
                <w:sz w:val="17"/>
                <w:szCs w:val="17"/>
                <w:lang w:val="en-US" w:eastAsia="zh-TW"/>
              </w:rPr>
              <w:t>/</w:t>
            </w:r>
            <w:r w:rsidRPr="005A22C2">
              <w:rPr>
                <w:rFonts w:eastAsia="新細明體" w:cs="Segoe UI" w:hint="eastAsia"/>
                <w:sz w:val="17"/>
                <w:szCs w:val="17"/>
                <w:lang w:val="en-US" w:eastAsia="zh-HK"/>
              </w:rPr>
              <w:t>或描</w:t>
            </w:r>
            <w:r w:rsidRPr="005A22C2">
              <w:rPr>
                <w:rFonts w:eastAsia="新細明體" w:cs="Segoe UI" w:hint="eastAsia"/>
                <w:sz w:val="17"/>
                <w:szCs w:val="17"/>
                <w:lang w:val="en-US" w:eastAsia="zh-TW"/>
              </w:rPr>
              <w:t>述</w:t>
            </w:r>
            <w:r w:rsidRPr="005A22C2">
              <w:rPr>
                <w:rFonts w:eastAsia="新細明體" w:cs="Segoe UI"/>
                <w:sz w:val="17"/>
                <w:szCs w:val="24"/>
                <w:lang w:val="en-US" w:eastAsia="zh-TW"/>
              </w:rPr>
              <w:t>，</w:t>
            </w:r>
            <w:r w:rsidR="00DF5ADD" w:rsidRPr="005A22C2">
              <w:rPr>
                <w:rFonts w:eastAsia="新細明體" w:cs="Segoe UI" w:hint="eastAsia"/>
                <w:sz w:val="17"/>
                <w:szCs w:val="24"/>
                <w:lang w:val="en-US" w:eastAsia="zh-HK"/>
              </w:rPr>
              <w:t>當中</w:t>
            </w:r>
            <w:r w:rsidRPr="005A22C2">
              <w:rPr>
                <w:rFonts w:eastAsia="新細明體" w:cs="Segoe UI"/>
                <w:sz w:val="17"/>
                <w:szCs w:val="17"/>
                <w:lang w:val="en-US" w:eastAsia="zh-TW"/>
              </w:rPr>
              <w:t>包括對沖</w:t>
            </w:r>
            <w:r w:rsidRPr="005A22C2">
              <w:rPr>
                <w:rFonts w:eastAsia="新細明體" w:cs="Segoe UI"/>
                <w:sz w:val="17"/>
                <w:szCs w:val="17"/>
                <w:lang w:val="en-US" w:eastAsia="zh-TW"/>
              </w:rPr>
              <w:t>CVA</w:t>
            </w:r>
            <w:r w:rsidRPr="005A22C2">
              <w:rPr>
                <w:rFonts w:eastAsia="新細明體" w:cs="Segoe UI"/>
                <w:sz w:val="17"/>
                <w:szCs w:val="17"/>
                <w:lang w:val="en-US" w:eastAsia="zh-HK"/>
              </w:rPr>
              <w:t>風險的</w:t>
            </w:r>
            <w:r w:rsidRPr="005A22C2">
              <w:rPr>
                <w:rFonts w:eastAsia="新細明體" w:cs="Segoe UI"/>
                <w:sz w:val="17"/>
                <w:szCs w:val="17"/>
                <w:lang w:val="en-US" w:eastAsia="zh-TW"/>
              </w:rPr>
              <w:t>政策及監察對沖的持續有效性的程序。</w:t>
            </w:r>
          </w:p>
        </w:tc>
      </w:tr>
      <w:tr w:rsidR="005A22C2" w:rsidRPr="005A22C2" w14:paraId="07CC1409" w14:textId="77777777" w:rsidTr="00D8439A">
        <w:trPr>
          <w:trHeight w:val="306"/>
        </w:trPr>
        <w:tc>
          <w:tcPr>
            <w:tcW w:w="406" w:type="dxa"/>
            <w:tcBorders>
              <w:top w:val="single" w:sz="4" w:space="0" w:color="auto"/>
              <w:left w:val="nil"/>
              <w:bottom w:val="single" w:sz="4" w:space="0" w:color="auto"/>
              <w:right w:val="nil"/>
            </w:tcBorders>
            <w:noWrap/>
            <w:vAlign w:val="center"/>
            <w:hideMark/>
          </w:tcPr>
          <w:p w14:paraId="280AD431" w14:textId="77777777" w:rsidR="00E932DC" w:rsidRPr="005A22C2" w:rsidRDefault="00E932DC" w:rsidP="00E932DC">
            <w:pPr>
              <w:spacing w:before="40" w:after="40"/>
              <w:jc w:val="both"/>
              <w:rPr>
                <w:rFonts w:eastAsia="新細明體" w:cs="Segoe UI"/>
                <w:sz w:val="17"/>
                <w:lang w:eastAsia="fr-FR"/>
              </w:rPr>
            </w:pPr>
            <w:r w:rsidRPr="005A22C2">
              <w:rPr>
                <w:rFonts w:eastAsia="新細明體" w:cs="Segoe UI"/>
                <w:sz w:val="17"/>
                <w:lang w:eastAsia="fr-FR"/>
              </w:rPr>
              <w:t>(b)</w:t>
            </w:r>
          </w:p>
        </w:tc>
        <w:tc>
          <w:tcPr>
            <w:tcW w:w="8666" w:type="dxa"/>
            <w:tcBorders>
              <w:top w:val="single" w:sz="4" w:space="0" w:color="auto"/>
              <w:left w:val="nil"/>
              <w:bottom w:val="single" w:sz="4" w:space="0" w:color="auto"/>
              <w:right w:val="nil"/>
            </w:tcBorders>
            <w:vAlign w:val="center"/>
            <w:hideMark/>
          </w:tcPr>
          <w:p w14:paraId="427B1B1E" w14:textId="61609A90" w:rsidR="00E932DC" w:rsidRPr="005A22C2" w:rsidRDefault="00E932DC" w:rsidP="000471F6">
            <w:pPr>
              <w:widowControl w:val="0"/>
              <w:autoSpaceDE w:val="0"/>
              <w:autoSpaceDN w:val="0"/>
              <w:adjustRightInd w:val="0"/>
              <w:jc w:val="both"/>
              <w:rPr>
                <w:rFonts w:eastAsia="新細明體" w:cs="Segoe UI"/>
                <w:sz w:val="17"/>
                <w:szCs w:val="17"/>
                <w:lang w:val="en-US" w:eastAsia="zh-HK"/>
              </w:rPr>
            </w:pPr>
            <w:r w:rsidRPr="005A22C2">
              <w:rPr>
                <w:rFonts w:eastAsia="新細明體" w:cs="Segoe UI"/>
                <w:sz w:val="17"/>
                <w:szCs w:val="17"/>
                <w:lang w:val="en-US" w:eastAsia="zh-HK"/>
              </w:rPr>
              <w:t>認可機構是否</w:t>
            </w:r>
            <w:r w:rsidR="00012380" w:rsidRPr="005A22C2">
              <w:rPr>
                <w:rFonts w:eastAsia="新細明體" w:cs="Segoe UI"/>
                <w:sz w:val="17"/>
                <w:lang w:val="en-US" w:eastAsia="zh-HK"/>
              </w:rPr>
              <w:t>《資本規則》所訂明</w:t>
            </w:r>
            <w:r w:rsidRPr="005A22C2">
              <w:rPr>
                <w:rFonts w:eastAsia="新細明體" w:cs="Segoe UI"/>
                <w:sz w:val="17"/>
                <w:szCs w:val="17"/>
                <w:lang w:val="en-US" w:eastAsia="zh-HK"/>
              </w:rPr>
              <w:t>合資格並已選擇</w:t>
            </w:r>
            <w:r w:rsidRPr="005A22C2">
              <w:rPr>
                <w:rFonts w:eastAsia="新細明體" w:cs="Segoe UI" w:hint="eastAsia"/>
                <w:sz w:val="17"/>
                <w:szCs w:val="17"/>
                <w:lang w:eastAsia="zh-HK"/>
              </w:rPr>
              <w:t>將</w:t>
            </w:r>
            <w:r w:rsidR="00012380" w:rsidRPr="005A22C2">
              <w:rPr>
                <w:rFonts w:eastAsia="新細明體" w:cs="Segoe UI" w:hint="eastAsia"/>
                <w:sz w:val="17"/>
                <w:szCs w:val="17"/>
                <w:lang w:eastAsia="zh-HK"/>
              </w:rPr>
              <w:t>其</w:t>
            </w:r>
            <w:r w:rsidRPr="005A22C2">
              <w:rPr>
                <w:rFonts w:eastAsia="新細明體" w:cs="Segoe UI"/>
                <w:sz w:val="17"/>
                <w:szCs w:val="17"/>
                <w:lang w:eastAsia="zh-HK"/>
              </w:rPr>
              <w:t>CVA</w:t>
            </w:r>
            <w:r w:rsidRPr="005A22C2">
              <w:rPr>
                <w:rFonts w:eastAsia="新細明體" w:cs="Segoe UI"/>
                <w:sz w:val="17"/>
                <w:szCs w:val="17"/>
                <w:lang w:eastAsia="zh-HK"/>
              </w:rPr>
              <w:t>風險的風險加權數額</w:t>
            </w:r>
            <w:r w:rsidRPr="005A22C2">
              <w:rPr>
                <w:rFonts w:eastAsia="新細明體" w:cs="Segoe UI" w:hint="eastAsia"/>
                <w:sz w:val="17"/>
                <w:szCs w:val="17"/>
                <w:lang w:eastAsia="zh-HK"/>
              </w:rPr>
              <w:t>設定為</w:t>
            </w:r>
            <w:r w:rsidR="000471F6" w:rsidRPr="005A22C2">
              <w:rPr>
                <w:rFonts w:eastAsia="新細明體" w:cs="Segoe UI" w:hint="eastAsia"/>
                <w:sz w:val="17"/>
                <w:szCs w:val="17"/>
                <w:lang w:eastAsia="zh-HK"/>
              </w:rPr>
              <w:t>其</w:t>
            </w:r>
            <w:r w:rsidR="000471F6" w:rsidRPr="005A22C2">
              <w:rPr>
                <w:rFonts w:eastAsia="新細明體" w:cs="Segoe UI" w:hint="eastAsia"/>
                <w:sz w:val="17"/>
                <w:szCs w:val="17"/>
                <w:lang w:eastAsia="zh-TW"/>
              </w:rPr>
              <w:t>100%</w:t>
            </w:r>
            <w:r w:rsidRPr="005A22C2">
              <w:rPr>
                <w:rFonts w:eastAsia="新細明體" w:cs="Segoe UI"/>
                <w:sz w:val="17"/>
                <w:szCs w:val="17"/>
                <w:lang w:eastAsia="zh-HK"/>
              </w:rPr>
              <w:t>對手方信用風險承擔</w:t>
            </w:r>
            <w:r w:rsidRPr="005A22C2">
              <w:rPr>
                <w:rFonts w:eastAsia="新細明體" w:cs="Segoe UI" w:hint="eastAsia"/>
                <w:sz w:val="17"/>
                <w:szCs w:val="17"/>
                <w:lang w:eastAsia="zh-HK"/>
              </w:rPr>
              <w:t>的</w:t>
            </w:r>
            <w:r w:rsidRPr="005A22C2">
              <w:rPr>
                <w:rFonts w:eastAsia="新細明體" w:cs="Segoe UI"/>
                <w:sz w:val="17"/>
                <w:szCs w:val="17"/>
                <w:lang w:eastAsia="zh-HK"/>
              </w:rPr>
              <w:t>風險加權數額</w:t>
            </w:r>
            <w:r w:rsidRPr="005A22C2">
              <w:rPr>
                <w:rFonts w:eastAsia="新細明體" w:cs="Segoe UI"/>
                <w:sz w:val="17"/>
                <w:szCs w:val="17"/>
                <w:lang w:eastAsia="zh-TW"/>
              </w:rPr>
              <w:t>。</w:t>
            </w:r>
          </w:p>
        </w:tc>
      </w:tr>
    </w:tbl>
    <w:p w14:paraId="2DD096A9" w14:textId="77777777" w:rsidR="00E932DC" w:rsidRDefault="00E932DC">
      <w:pPr>
        <w:rPr>
          <w:lang w:eastAsia="zh-TW"/>
        </w:rPr>
        <w:sectPr w:rsidR="00E932DC">
          <w:footerReference w:type="default" r:id="rId88"/>
          <w:pgSz w:w="11906" w:h="16838"/>
          <w:pgMar w:top="1440" w:right="1800" w:bottom="1440" w:left="1800" w:header="851" w:footer="992" w:gutter="0"/>
          <w:cols w:space="425"/>
          <w:docGrid w:type="lines" w:linePitch="360"/>
        </w:sectPr>
      </w:pPr>
    </w:p>
    <w:p w14:paraId="4B2CF448" w14:textId="16481AEA" w:rsidR="00E932DC" w:rsidRPr="005A22C2" w:rsidRDefault="00A24744" w:rsidP="00A24744">
      <w:pPr>
        <w:pStyle w:val="Heading2"/>
        <w:keepNext w:val="0"/>
        <w:suppressAutoHyphens w:val="0"/>
        <w:spacing w:before="40" w:line="240" w:lineRule="auto"/>
        <w:ind w:left="-454"/>
        <w:rPr>
          <w:rFonts w:ascii="細明體" w:eastAsia="細明體" w:hAnsi="細明體"/>
          <w:b w:val="0"/>
          <w:bCs w:val="0"/>
          <w:sz w:val="22"/>
          <w:szCs w:val="20"/>
          <w:lang w:eastAsia="zh-TW"/>
        </w:rPr>
      </w:pPr>
      <w:r w:rsidRPr="005A22C2">
        <w:rPr>
          <w:rFonts w:ascii="細明體" w:eastAsia="細明體" w:hAnsi="細明體" w:cs="微軟正黑體" w:hint="eastAsia"/>
          <w:b w:val="0"/>
          <w:bCs w:val="0"/>
          <w:sz w:val="22"/>
          <w:szCs w:val="20"/>
          <w:lang w:eastAsia="zh-TW"/>
        </w:rPr>
        <w:t>模版</w:t>
      </w:r>
      <w:r w:rsidRPr="005A22C2">
        <w:rPr>
          <w:rFonts w:ascii="Segoe UI" w:eastAsia="細明體" w:hAnsi="Segoe UI" w:cs="Segoe UI"/>
          <w:b w:val="0"/>
          <w:bCs w:val="0"/>
          <w:sz w:val="22"/>
          <w:szCs w:val="20"/>
          <w:lang w:eastAsia="zh-TW"/>
        </w:rPr>
        <w:t>CVA1</w:t>
      </w:r>
      <w:r w:rsidRPr="005A22C2">
        <w:rPr>
          <w:rFonts w:ascii="細明體" w:eastAsia="細明體" w:hAnsi="細明體" w:cs="微軟正黑體" w:hint="eastAsia"/>
          <w:b w:val="0"/>
          <w:bCs w:val="0"/>
          <w:sz w:val="22"/>
          <w:szCs w:val="20"/>
          <w:lang w:eastAsia="zh-TW"/>
        </w:rPr>
        <w:t>：在簡化基本</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hint="eastAsia"/>
          <w:b w:val="0"/>
          <w:bCs w:val="0"/>
          <w:sz w:val="22"/>
          <w:szCs w:val="20"/>
          <w:lang w:eastAsia="zh-TW"/>
        </w:rPr>
        <w:t>計算法下的</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hint="eastAsia"/>
          <w:b w:val="0"/>
          <w:bCs w:val="0"/>
          <w:sz w:val="22"/>
          <w:szCs w:val="20"/>
          <w:lang w:eastAsia="zh-TW"/>
        </w:rPr>
        <w:t>風險</w:t>
      </w:r>
    </w:p>
    <w:tbl>
      <w:tblPr>
        <w:tblW w:w="9106"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946"/>
      </w:tblGrid>
      <w:tr w:rsidR="005A22C2" w:rsidRPr="005A22C2" w14:paraId="1764FD3E" w14:textId="77777777" w:rsidTr="00A94770">
        <w:tc>
          <w:tcPr>
            <w:tcW w:w="2160" w:type="dxa"/>
            <w:tcBorders>
              <w:top w:val="single" w:sz="4" w:space="0" w:color="auto"/>
              <w:left w:val="nil"/>
              <w:bottom w:val="single" w:sz="4" w:space="0" w:color="auto"/>
              <w:right w:val="single" w:sz="4" w:space="0" w:color="auto"/>
            </w:tcBorders>
            <w:hideMark/>
          </w:tcPr>
          <w:p w14:paraId="6967D21D" w14:textId="77777777" w:rsidR="00E932DC" w:rsidRPr="005A22C2" w:rsidRDefault="00E932DC" w:rsidP="00E932DC">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4EF490D4" w14:textId="72AAD56D" w:rsidR="00E932DC" w:rsidRPr="005A22C2" w:rsidRDefault="00E932DC" w:rsidP="00E932DC">
            <w:pPr>
              <w:widowControl w:val="0"/>
              <w:autoSpaceDE w:val="0"/>
              <w:autoSpaceDN w:val="0"/>
              <w:adjustRightInd w:val="0"/>
              <w:jc w:val="both"/>
              <w:rPr>
                <w:rFonts w:eastAsia="新細明體" w:cs="Segoe UI"/>
                <w:sz w:val="17"/>
                <w:szCs w:val="17"/>
                <w:lang w:val="en-US" w:eastAsia="zh-HK"/>
              </w:rPr>
            </w:pPr>
            <w:r w:rsidRPr="005A22C2">
              <w:rPr>
                <w:rFonts w:eastAsia="新細明體" w:cs="Segoe UI"/>
                <w:sz w:val="17"/>
                <w:szCs w:val="17"/>
                <w:lang w:val="en-US" w:eastAsia="zh-HK"/>
              </w:rPr>
              <w:t>提供在簡化基本</w:t>
            </w:r>
            <w:r w:rsidRPr="005A22C2">
              <w:rPr>
                <w:rFonts w:eastAsia="新細明體" w:cs="Segoe UI"/>
                <w:sz w:val="17"/>
                <w:szCs w:val="17"/>
                <w:lang w:eastAsia="zh-HK"/>
              </w:rPr>
              <w:t>CVA</w:t>
            </w:r>
            <w:r w:rsidRPr="005A22C2">
              <w:rPr>
                <w:rFonts w:eastAsia="新細明體" w:cs="Segoe UI"/>
                <w:sz w:val="17"/>
                <w:szCs w:val="17"/>
                <w:lang w:eastAsia="zh-HK"/>
              </w:rPr>
              <w:t>計算法下</w:t>
            </w:r>
            <w:r w:rsidRPr="005A22C2">
              <w:rPr>
                <w:rFonts w:eastAsia="新細明體" w:cs="Segoe UI" w:hint="eastAsia"/>
                <w:sz w:val="17"/>
                <w:szCs w:val="17"/>
                <w:lang w:eastAsia="zh-HK"/>
              </w:rPr>
              <w:t>用</w:t>
            </w:r>
            <w:r w:rsidRPr="005A22C2">
              <w:rPr>
                <w:rFonts w:ascii="新細明體" w:eastAsia="新細明體" w:hAnsi="新細明體" w:cs="Segoe UI" w:hint="eastAsia"/>
                <w:sz w:val="17"/>
                <w:szCs w:val="17"/>
                <w:lang w:val="en-US" w:eastAsia="zh-TW"/>
              </w:rPr>
              <w:t>於</w:t>
            </w:r>
            <w:r w:rsidRPr="005A22C2">
              <w:rPr>
                <w:rFonts w:eastAsia="新細明體" w:cs="Segoe UI"/>
                <w:sz w:val="17"/>
                <w:szCs w:val="17"/>
                <w:lang w:eastAsia="zh-HK"/>
              </w:rPr>
              <w:t>計算</w:t>
            </w:r>
            <w:r w:rsidRPr="005A22C2">
              <w:rPr>
                <w:rFonts w:eastAsia="新細明體" w:cs="Segoe UI"/>
                <w:sz w:val="17"/>
                <w:szCs w:val="17"/>
                <w:lang w:eastAsia="zh-TW"/>
              </w:rPr>
              <w:t>CVA</w:t>
            </w:r>
            <w:r w:rsidRPr="005A22C2">
              <w:rPr>
                <w:rFonts w:eastAsia="新細明體" w:cs="Segoe UI"/>
                <w:sz w:val="17"/>
                <w:szCs w:val="17"/>
                <w:lang w:eastAsia="zh-HK"/>
              </w:rPr>
              <w:t>風險資本要求的組成部分</w:t>
            </w:r>
            <w:r w:rsidRPr="005A22C2">
              <w:rPr>
                <w:rFonts w:eastAsia="新細明體" w:cs="Segoe UI"/>
                <w:sz w:val="17"/>
                <w:szCs w:val="17"/>
                <w:lang w:eastAsia="zh-TW"/>
              </w:rPr>
              <w:t>。</w:t>
            </w:r>
          </w:p>
        </w:tc>
      </w:tr>
      <w:tr w:rsidR="005A22C2" w:rsidRPr="005A22C2" w14:paraId="417E24CF" w14:textId="77777777" w:rsidTr="00A94770">
        <w:tc>
          <w:tcPr>
            <w:tcW w:w="2160" w:type="dxa"/>
            <w:tcBorders>
              <w:top w:val="single" w:sz="4" w:space="0" w:color="auto"/>
              <w:left w:val="nil"/>
              <w:bottom w:val="single" w:sz="4" w:space="0" w:color="auto"/>
              <w:right w:val="single" w:sz="4" w:space="0" w:color="auto"/>
            </w:tcBorders>
            <w:hideMark/>
          </w:tcPr>
          <w:p w14:paraId="18540067"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69A030D4" w14:textId="1ECA9DA0"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在香港成立為法團並使用簡化基本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計算法計算</w:t>
            </w:r>
            <w:r w:rsidRPr="005A22C2">
              <w:rPr>
                <w:rFonts w:eastAsia="新細明體" w:cs="Segoe UI" w:hint="eastAsia"/>
                <w:sz w:val="17"/>
                <w:szCs w:val="17"/>
                <w:lang w:val="en-US" w:eastAsia="zh-HK"/>
              </w:rPr>
              <w:t>其</w:t>
            </w:r>
            <w:r w:rsidRPr="005A22C2">
              <w:rPr>
                <w:rFonts w:eastAsia="新細明體" w:cs="Segoe UI"/>
                <w:sz w:val="17"/>
                <w:szCs w:val="17"/>
                <w:lang w:val="en-US" w:eastAsia="zh-HK"/>
              </w:rPr>
              <w:t>部分或所有</w:t>
            </w:r>
            <w:r w:rsidRPr="005A22C2">
              <w:rPr>
                <w:rFonts w:eastAsia="新細明體" w:cs="Segoe UI" w:hint="eastAsia"/>
                <w:sz w:val="17"/>
                <w:szCs w:val="17"/>
                <w:lang w:val="en-US" w:eastAsia="zh-HK"/>
              </w:rPr>
              <w:t>的</w:t>
            </w:r>
            <w:r w:rsidRPr="005A22C2">
              <w:rPr>
                <w:rFonts w:eastAsia="新細明體" w:cs="Segoe UI"/>
                <w:sz w:val="17"/>
                <w:szCs w:val="17"/>
                <w:lang w:val="en-US" w:eastAsia="zh-TW"/>
              </w:rPr>
              <w:t>CVA</w:t>
            </w:r>
            <w:r w:rsidRPr="005A22C2">
              <w:rPr>
                <w:rFonts w:eastAsia="新細明體" w:cs="Segoe UI"/>
                <w:sz w:val="17"/>
                <w:szCs w:val="17"/>
                <w:lang w:val="en-US" w:eastAsia="zh-HK"/>
              </w:rPr>
              <w:t>風險資本要求的認可機構均須填報本模版</w:t>
            </w:r>
            <w:r w:rsidRPr="005A22C2">
              <w:rPr>
                <w:rFonts w:eastAsia="新細明體" w:cs="Segoe UI"/>
                <w:sz w:val="17"/>
                <w:szCs w:val="17"/>
                <w:lang w:val="en-US" w:eastAsia="zh-TW"/>
              </w:rPr>
              <w:t>。</w:t>
            </w:r>
            <w:r w:rsidRPr="005A22C2">
              <w:rPr>
                <w:rFonts w:eastAsia="新細明體" w:cs="Segoe UI"/>
                <w:sz w:val="17"/>
                <w:szCs w:val="17"/>
                <w:lang w:val="en-US" w:eastAsia="zh-HK"/>
              </w:rPr>
              <w:t>認可機構應只填報在簡化基本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計算法下從淨額計算組合得出的資本要求</w:t>
            </w:r>
            <w:r w:rsidRPr="005A22C2">
              <w:rPr>
                <w:rFonts w:eastAsia="新細明體" w:cs="Segoe UI"/>
                <w:sz w:val="17"/>
                <w:szCs w:val="17"/>
                <w:lang w:val="en-US" w:eastAsia="zh-TW"/>
              </w:rPr>
              <w:t>。</w:t>
            </w:r>
          </w:p>
        </w:tc>
      </w:tr>
      <w:tr w:rsidR="005A22C2" w:rsidRPr="005A22C2" w14:paraId="62176949" w14:textId="77777777" w:rsidTr="00A94770">
        <w:tc>
          <w:tcPr>
            <w:tcW w:w="2160" w:type="dxa"/>
            <w:tcBorders>
              <w:top w:val="single" w:sz="4" w:space="0" w:color="auto"/>
              <w:left w:val="nil"/>
              <w:bottom w:val="single" w:sz="4" w:space="0" w:color="auto"/>
              <w:right w:val="single" w:sz="4" w:space="0" w:color="auto"/>
            </w:tcBorders>
            <w:hideMark/>
          </w:tcPr>
          <w:p w14:paraId="1F56F357"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65C217C9" w14:textId="77777777" w:rsidR="00E932DC" w:rsidRPr="005A22C2" w:rsidRDefault="00E932DC" w:rsidP="00E932DC">
            <w:pPr>
              <w:spacing w:before="40" w:after="40"/>
              <w:jc w:val="both"/>
              <w:rPr>
                <w:rFonts w:eastAsia="新細明體" w:cs="Segoe UI"/>
                <w:sz w:val="17"/>
                <w:szCs w:val="17"/>
              </w:rPr>
            </w:pPr>
            <w:r w:rsidRPr="005A22C2">
              <w:rPr>
                <w:rFonts w:eastAsia="新細明體" w:cs="Segoe UI"/>
                <w:sz w:val="17"/>
                <w:szCs w:val="17"/>
                <w:lang w:eastAsia="zh-HK"/>
              </w:rPr>
              <w:t>資本要求</w:t>
            </w:r>
            <w:r w:rsidRPr="005A22C2">
              <w:rPr>
                <w:rFonts w:eastAsia="新細明體" w:cs="Segoe UI"/>
                <w:sz w:val="17"/>
                <w:szCs w:val="17"/>
                <w:lang w:eastAsia="zh-TW"/>
              </w:rPr>
              <w:t>。</w:t>
            </w:r>
          </w:p>
        </w:tc>
      </w:tr>
      <w:tr w:rsidR="005A22C2" w:rsidRPr="005A22C2" w14:paraId="17BB58E4" w14:textId="77777777" w:rsidTr="00A94770">
        <w:tc>
          <w:tcPr>
            <w:tcW w:w="2160" w:type="dxa"/>
            <w:tcBorders>
              <w:top w:val="single" w:sz="4" w:space="0" w:color="auto"/>
              <w:left w:val="nil"/>
              <w:bottom w:val="single" w:sz="4" w:space="0" w:color="auto"/>
              <w:right w:val="single" w:sz="4" w:space="0" w:color="auto"/>
            </w:tcBorders>
            <w:hideMark/>
          </w:tcPr>
          <w:p w14:paraId="372F0B9B"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22DD1D57" w14:textId="77777777" w:rsidR="00E932DC" w:rsidRPr="005A22C2" w:rsidRDefault="00E932DC" w:rsidP="00E932DC">
            <w:pPr>
              <w:spacing w:before="40" w:after="40"/>
              <w:jc w:val="both"/>
              <w:rPr>
                <w:rFonts w:eastAsia="新細明體" w:cs="Segoe UI"/>
                <w:sz w:val="17"/>
                <w:lang w:eastAsia="en-GB"/>
              </w:rPr>
            </w:pPr>
            <w:proofErr w:type="spellStart"/>
            <w:r w:rsidRPr="005A22C2">
              <w:rPr>
                <w:rFonts w:eastAsia="新細明體" w:cs="Segoe UI"/>
                <w:sz w:val="17"/>
                <w:lang w:eastAsia="en-GB"/>
              </w:rPr>
              <w:t>每半年一次</w:t>
            </w:r>
            <w:proofErr w:type="spellEnd"/>
            <w:r w:rsidRPr="005A22C2">
              <w:rPr>
                <w:rFonts w:eastAsia="新細明體" w:cs="Segoe UI"/>
                <w:sz w:val="17"/>
                <w:lang w:eastAsia="en-GB"/>
              </w:rPr>
              <w:t>。</w:t>
            </w:r>
          </w:p>
        </w:tc>
      </w:tr>
      <w:tr w:rsidR="005A22C2" w:rsidRPr="005A22C2" w14:paraId="16B7A4E8" w14:textId="77777777" w:rsidTr="00A94770">
        <w:tc>
          <w:tcPr>
            <w:tcW w:w="2160" w:type="dxa"/>
            <w:tcBorders>
              <w:top w:val="single" w:sz="4" w:space="0" w:color="auto"/>
              <w:left w:val="nil"/>
              <w:bottom w:val="single" w:sz="4" w:space="0" w:color="auto"/>
              <w:right w:val="single" w:sz="4" w:space="0" w:color="auto"/>
            </w:tcBorders>
            <w:hideMark/>
          </w:tcPr>
          <w:p w14:paraId="094DE4D8"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0C50E6EC" w14:textId="77777777" w:rsidR="00E932DC" w:rsidRPr="005A22C2" w:rsidRDefault="00E932DC" w:rsidP="00E932DC">
            <w:pPr>
              <w:spacing w:before="40" w:after="40"/>
              <w:jc w:val="both"/>
              <w:rPr>
                <w:rFonts w:eastAsia="新細明體" w:cs="Segoe UI"/>
                <w:sz w:val="17"/>
                <w:lang w:eastAsia="zh-TW"/>
              </w:rPr>
            </w:pPr>
            <w:r w:rsidRPr="005A22C2">
              <w:rPr>
                <w:rFonts w:eastAsia="新細明體" w:cs="Segoe UI"/>
                <w:sz w:val="17"/>
                <w:lang w:eastAsia="zh-HK"/>
              </w:rPr>
              <w:t>固定</w:t>
            </w:r>
            <w:r w:rsidRPr="005A22C2">
              <w:rPr>
                <w:rFonts w:eastAsia="新細明體" w:cs="Segoe UI"/>
                <w:sz w:val="17"/>
                <w:lang w:eastAsia="zh-TW"/>
              </w:rPr>
              <w:t>。</w:t>
            </w:r>
          </w:p>
        </w:tc>
      </w:tr>
      <w:tr w:rsidR="005A22C2" w:rsidRPr="005A22C2" w14:paraId="784F5710" w14:textId="77777777" w:rsidTr="00A94770">
        <w:tc>
          <w:tcPr>
            <w:tcW w:w="2160" w:type="dxa"/>
            <w:tcBorders>
              <w:top w:val="single" w:sz="4" w:space="0" w:color="auto"/>
              <w:left w:val="nil"/>
              <w:bottom w:val="single" w:sz="4" w:space="0" w:color="auto"/>
              <w:right w:val="single" w:sz="4" w:space="0" w:color="auto"/>
            </w:tcBorders>
            <w:hideMark/>
          </w:tcPr>
          <w:p w14:paraId="1E3E2276"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szCs w:val="17"/>
                <w:lang w:eastAsia="en-GB"/>
              </w:rPr>
              <w:t>附加說明</w:t>
            </w:r>
            <w:proofErr w:type="spellEnd"/>
            <w:r w:rsidRPr="005A22C2">
              <w:rPr>
                <w:rFonts w:eastAsia="新細明體" w:cs="Segoe UI"/>
                <w:b/>
                <w:sz w:val="17"/>
                <w:szCs w:val="17"/>
                <w:lang w:eastAsia="en-GB"/>
              </w:rPr>
              <w:t>：</w:t>
            </w:r>
          </w:p>
        </w:tc>
        <w:tc>
          <w:tcPr>
            <w:tcW w:w="6946" w:type="dxa"/>
            <w:tcBorders>
              <w:top w:val="single" w:sz="4" w:space="0" w:color="auto"/>
              <w:left w:val="single" w:sz="4" w:space="0" w:color="auto"/>
              <w:bottom w:val="single" w:sz="4" w:space="0" w:color="auto"/>
              <w:right w:val="nil"/>
            </w:tcBorders>
            <w:hideMark/>
          </w:tcPr>
          <w:p w14:paraId="50BCDBF6" w14:textId="1CC24039" w:rsidR="00E932DC" w:rsidRPr="005A22C2" w:rsidRDefault="00C956ED" w:rsidP="00C956ED">
            <w:pPr>
              <w:widowControl w:val="0"/>
              <w:autoSpaceDE w:val="0"/>
              <w:autoSpaceDN w:val="0"/>
              <w:adjustRightInd w:val="0"/>
              <w:jc w:val="both"/>
              <w:rPr>
                <w:rFonts w:eastAsia="新細明體" w:cs="Segoe UI"/>
                <w:sz w:val="17"/>
                <w:szCs w:val="17"/>
                <w:lang w:val="en-US" w:eastAsia="zh-HK"/>
              </w:rPr>
            </w:pPr>
            <w:r w:rsidRPr="005A22C2">
              <w:rPr>
                <w:rFonts w:eastAsia="新細明體" w:cs="Segoe UI"/>
                <w:sz w:val="17"/>
                <w:szCs w:val="17"/>
                <w:lang w:val="en-US" w:eastAsia="zh-HK"/>
              </w:rPr>
              <w:t>認可機構須</w:t>
            </w:r>
            <w:r w:rsidRPr="005A22C2">
              <w:rPr>
                <w:rFonts w:eastAsia="新細明體" w:cs="Segoe UI" w:hint="eastAsia"/>
                <w:sz w:val="17"/>
                <w:szCs w:val="17"/>
                <w:lang w:val="en-US" w:eastAsia="zh-HK"/>
              </w:rPr>
              <w:t>描述其</w:t>
            </w:r>
            <w:r w:rsidRPr="005A22C2">
              <w:rPr>
                <w:rFonts w:eastAsia="新細明體" w:cs="Segoe UI"/>
                <w:sz w:val="17"/>
                <w:szCs w:val="17"/>
                <w:lang w:val="en-US" w:eastAsia="zh-HK"/>
              </w:rPr>
              <w:t>所使用</w:t>
            </w:r>
            <w:r w:rsidRPr="005A22C2">
              <w:rPr>
                <w:rFonts w:eastAsia="新細明體" w:cs="Segoe UI" w:hint="eastAsia"/>
                <w:sz w:val="17"/>
                <w:szCs w:val="17"/>
                <w:lang w:val="en-US" w:eastAsia="zh-HK"/>
              </w:rPr>
              <w:t>的</w:t>
            </w:r>
            <w:r w:rsidRPr="005A22C2">
              <w:rPr>
                <w:rFonts w:eastAsia="新細明體" w:cs="Segoe UI"/>
                <w:sz w:val="17"/>
                <w:szCs w:val="17"/>
                <w:lang w:val="en-US" w:eastAsia="zh-TW"/>
              </w:rPr>
              <w:t>CVA</w:t>
            </w:r>
            <w:r w:rsidRPr="005A22C2">
              <w:rPr>
                <w:rFonts w:eastAsia="新細明體" w:cs="Segoe UI"/>
                <w:sz w:val="17"/>
                <w:szCs w:val="17"/>
                <w:lang w:val="en-US" w:eastAsia="zh-HK"/>
              </w:rPr>
              <w:t>對沖</w:t>
            </w:r>
            <w:r w:rsidR="00AC57FA" w:rsidRPr="005A22C2">
              <w:rPr>
                <w:rFonts w:eastAsia="新細明體" w:cs="Segoe UI" w:hint="eastAsia"/>
                <w:sz w:val="17"/>
                <w:szCs w:val="17"/>
                <w:lang w:val="en-US" w:eastAsia="zh-HK"/>
              </w:rPr>
              <w:t>的</w:t>
            </w:r>
            <w:r w:rsidRPr="005A22C2">
              <w:rPr>
                <w:rFonts w:eastAsia="新細明體" w:cs="Segoe UI" w:hint="eastAsia"/>
                <w:sz w:val="17"/>
                <w:szCs w:val="17"/>
                <w:lang w:val="en-US" w:eastAsia="zh-HK"/>
              </w:rPr>
              <w:t>種</w:t>
            </w:r>
            <w:r w:rsidRPr="005A22C2">
              <w:rPr>
                <w:rFonts w:eastAsia="新細明體" w:cs="Segoe UI"/>
                <w:sz w:val="17"/>
                <w:szCs w:val="17"/>
                <w:lang w:val="en-US" w:eastAsia="zh-HK"/>
              </w:rPr>
              <w:t>類</w:t>
            </w:r>
            <w:r w:rsidRPr="005A22C2">
              <w:rPr>
                <w:rFonts w:eastAsia="新細明體" w:cs="Segoe UI" w:hint="eastAsia"/>
                <w:sz w:val="17"/>
                <w:szCs w:val="17"/>
                <w:lang w:val="en-US" w:eastAsia="zh-HK"/>
              </w:rPr>
              <w:t>，</w:t>
            </w:r>
            <w:r w:rsidR="00E932DC" w:rsidRPr="005A22C2">
              <w:rPr>
                <w:rFonts w:eastAsia="新細明體" w:cs="Segoe UI"/>
                <w:sz w:val="17"/>
                <w:szCs w:val="17"/>
                <w:lang w:val="en-US" w:eastAsia="zh-HK"/>
              </w:rPr>
              <w:t>即使在簡化基本</w:t>
            </w:r>
            <w:r w:rsidR="00E932DC" w:rsidRPr="005A22C2">
              <w:rPr>
                <w:rFonts w:eastAsia="新細明體" w:cs="Segoe UI"/>
                <w:sz w:val="17"/>
                <w:szCs w:val="17"/>
                <w:lang w:val="en-US" w:eastAsia="zh-TW"/>
              </w:rPr>
              <w:t>CVA</w:t>
            </w:r>
            <w:r w:rsidR="00E932DC" w:rsidRPr="005A22C2">
              <w:rPr>
                <w:rFonts w:eastAsia="新細明體" w:cs="Segoe UI"/>
                <w:sz w:val="17"/>
                <w:szCs w:val="17"/>
                <w:lang w:val="en-US" w:eastAsia="zh-HK"/>
              </w:rPr>
              <w:t>計算法下未有計及</w:t>
            </w:r>
            <w:r w:rsidR="00E932DC" w:rsidRPr="005A22C2">
              <w:rPr>
                <w:rFonts w:eastAsia="新細明體" w:cs="Segoe UI" w:hint="eastAsia"/>
                <w:sz w:val="17"/>
                <w:szCs w:val="17"/>
                <w:lang w:val="en-US" w:eastAsia="zh-HK"/>
              </w:rPr>
              <w:t>的</w:t>
            </w:r>
            <w:r w:rsidR="00E932DC" w:rsidRPr="005A22C2">
              <w:rPr>
                <w:rFonts w:eastAsia="新細明體" w:cs="Segoe UI"/>
                <w:sz w:val="17"/>
                <w:szCs w:val="17"/>
                <w:lang w:val="en-US" w:eastAsia="zh-TW"/>
              </w:rPr>
              <w:t>CVA</w:t>
            </w:r>
            <w:r w:rsidR="00E932DC" w:rsidRPr="005A22C2">
              <w:rPr>
                <w:rFonts w:eastAsia="新細明體" w:cs="Segoe UI"/>
                <w:sz w:val="17"/>
                <w:szCs w:val="17"/>
                <w:lang w:val="en-US" w:eastAsia="zh-HK"/>
              </w:rPr>
              <w:t>對沖</w:t>
            </w:r>
            <w:r w:rsidR="00E932DC" w:rsidRPr="005A22C2">
              <w:rPr>
                <w:rFonts w:eastAsia="新細明體" w:cs="Segoe UI"/>
                <w:sz w:val="17"/>
                <w:szCs w:val="17"/>
                <w:lang w:val="en-US" w:eastAsia="zh-TW"/>
              </w:rPr>
              <w:t>。</w:t>
            </w:r>
          </w:p>
        </w:tc>
      </w:tr>
      <w:tr w:rsidR="005A22C2" w:rsidRPr="005A22C2" w14:paraId="5E576020" w14:textId="77777777" w:rsidTr="00A94770">
        <w:tc>
          <w:tcPr>
            <w:tcW w:w="2160" w:type="dxa"/>
            <w:tcBorders>
              <w:top w:val="single" w:sz="4" w:space="0" w:color="auto"/>
              <w:left w:val="nil"/>
              <w:bottom w:val="single" w:sz="4" w:space="0" w:color="auto"/>
              <w:right w:val="single" w:sz="4" w:space="0" w:color="auto"/>
            </w:tcBorders>
            <w:hideMark/>
          </w:tcPr>
          <w:p w14:paraId="16CBF3D5" w14:textId="77777777" w:rsidR="00E932DC" w:rsidRPr="005A22C2" w:rsidRDefault="00E932DC" w:rsidP="00E932DC">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6946" w:type="dxa"/>
            <w:tcBorders>
              <w:top w:val="single" w:sz="4" w:space="0" w:color="auto"/>
              <w:left w:val="single" w:sz="4" w:space="0" w:color="auto"/>
              <w:bottom w:val="single" w:sz="4" w:space="0" w:color="auto"/>
              <w:right w:val="nil"/>
            </w:tcBorders>
          </w:tcPr>
          <w:p w14:paraId="2955DEF7" w14:textId="77777777" w:rsidR="00E932DC" w:rsidRPr="005A22C2" w:rsidRDefault="00E932DC" w:rsidP="00E932DC">
            <w:pPr>
              <w:spacing w:before="40" w:after="40"/>
              <w:jc w:val="both"/>
              <w:rPr>
                <w:rFonts w:eastAsia="新細明體" w:cs="Segoe UI"/>
                <w:sz w:val="17"/>
                <w:lang w:eastAsia="en-GB"/>
              </w:rPr>
            </w:pPr>
            <w:r w:rsidRPr="005A22C2">
              <w:rPr>
                <w:rFonts w:eastAsia="DengXian" w:cs="Segoe UI" w:hint="eastAsia"/>
                <w:sz w:val="17"/>
                <w:lang w:eastAsia="zh-CN"/>
              </w:rPr>
              <w:t>16ZOC</w:t>
            </w:r>
          </w:p>
        </w:tc>
      </w:tr>
    </w:tbl>
    <w:p w14:paraId="590FA6E1" w14:textId="77777777" w:rsidR="00E932DC" w:rsidRPr="005A22C2" w:rsidRDefault="00E932DC" w:rsidP="00E932DC">
      <w:pPr>
        <w:rPr>
          <w:rFonts w:eastAsia="新細明體" w:cs="Segoe UI"/>
        </w:rPr>
      </w:pPr>
    </w:p>
    <w:p w14:paraId="4881FE39" w14:textId="77777777" w:rsidR="00E932DC" w:rsidRPr="005A22C2" w:rsidRDefault="00E932DC" w:rsidP="00E932DC">
      <w:pPr>
        <w:rPr>
          <w:rFonts w:eastAsia="新細明體" w:cs="Segoe UI"/>
        </w:rPr>
      </w:pPr>
    </w:p>
    <w:tbl>
      <w:tblPr>
        <w:tblW w:w="9214"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2552"/>
        <w:gridCol w:w="3260"/>
        <w:gridCol w:w="2835"/>
      </w:tblGrid>
      <w:tr w:rsidR="005A22C2" w:rsidRPr="005A22C2" w14:paraId="46C87872" w14:textId="77777777" w:rsidTr="00E932DC">
        <w:trPr>
          <w:cantSplit/>
          <w:tblHeader/>
        </w:trPr>
        <w:tc>
          <w:tcPr>
            <w:tcW w:w="3119" w:type="dxa"/>
            <w:gridSpan w:val="2"/>
            <w:tcBorders>
              <w:top w:val="nil"/>
              <w:left w:val="nil"/>
              <w:bottom w:val="nil"/>
              <w:right w:val="single" w:sz="4" w:space="0" w:color="auto"/>
            </w:tcBorders>
            <w:vAlign w:val="center"/>
          </w:tcPr>
          <w:p w14:paraId="3E02AD8B" w14:textId="77777777" w:rsidR="00E932DC" w:rsidRPr="005A22C2" w:rsidRDefault="00E932DC" w:rsidP="00E932DC">
            <w:pPr>
              <w:snapToGrid w:val="0"/>
              <w:spacing w:before="40" w:after="40"/>
              <w:rPr>
                <w:rFonts w:eastAsia="新細明體" w:cs="Segoe UI"/>
                <w:sz w:val="17"/>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7C8895D"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rPr>
              <w:t>(a)</w:t>
            </w:r>
          </w:p>
        </w:tc>
        <w:tc>
          <w:tcPr>
            <w:tcW w:w="2835" w:type="dxa"/>
            <w:tcBorders>
              <w:top w:val="single" w:sz="4" w:space="0" w:color="auto"/>
              <w:left w:val="single" w:sz="4" w:space="0" w:color="auto"/>
              <w:bottom w:val="single" w:sz="4" w:space="0" w:color="auto"/>
              <w:right w:val="single" w:sz="4" w:space="0" w:color="auto"/>
            </w:tcBorders>
            <w:hideMark/>
          </w:tcPr>
          <w:p w14:paraId="334A5C6C"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rPr>
              <w:t>(b)</w:t>
            </w:r>
          </w:p>
        </w:tc>
      </w:tr>
      <w:tr w:rsidR="005A22C2" w:rsidRPr="005A22C2" w14:paraId="2F3C63D1" w14:textId="77777777" w:rsidTr="00E932DC">
        <w:trPr>
          <w:cantSplit/>
          <w:tblHeader/>
        </w:trPr>
        <w:tc>
          <w:tcPr>
            <w:tcW w:w="3119" w:type="dxa"/>
            <w:gridSpan w:val="2"/>
            <w:tcBorders>
              <w:top w:val="nil"/>
              <w:left w:val="nil"/>
              <w:bottom w:val="single" w:sz="4" w:space="0" w:color="auto"/>
              <w:right w:val="single" w:sz="4" w:space="0" w:color="auto"/>
            </w:tcBorders>
            <w:vAlign w:val="center"/>
          </w:tcPr>
          <w:p w14:paraId="13C185C2" w14:textId="77777777" w:rsidR="00E932DC" w:rsidRPr="005A22C2" w:rsidRDefault="00E932DC" w:rsidP="00E932DC">
            <w:pPr>
              <w:snapToGrid w:val="0"/>
              <w:spacing w:before="40" w:after="40"/>
              <w:rPr>
                <w:rFonts w:eastAsia="新細明體" w:cs="Segoe UI"/>
                <w:sz w:val="17"/>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2351CE0"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lang w:eastAsia="zh-HK"/>
              </w:rPr>
              <w:t>組成部分</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A17618" w14:textId="77777777" w:rsidR="00E932DC" w:rsidRPr="005A22C2" w:rsidRDefault="00E932DC" w:rsidP="00E932DC">
            <w:pPr>
              <w:snapToGrid w:val="0"/>
              <w:spacing w:before="40" w:after="40"/>
              <w:jc w:val="center"/>
              <w:rPr>
                <w:rFonts w:eastAsia="新細明體" w:cs="Segoe UI"/>
                <w:sz w:val="17"/>
                <w:lang w:eastAsia="zh-TW"/>
              </w:rPr>
            </w:pPr>
            <w:r w:rsidRPr="005A22C2">
              <w:rPr>
                <w:rFonts w:eastAsia="新細明體" w:cs="Segoe UI"/>
                <w:sz w:val="17"/>
                <w:szCs w:val="17"/>
                <w:lang w:eastAsia="zh-TW"/>
              </w:rPr>
              <w:t>簡化基本</w:t>
            </w:r>
            <w:r w:rsidRPr="005A22C2">
              <w:rPr>
                <w:rFonts w:eastAsia="新細明體" w:cs="Segoe UI"/>
                <w:sz w:val="17"/>
                <w:szCs w:val="17"/>
                <w:lang w:eastAsia="zh-TW"/>
              </w:rPr>
              <w:t>CVA</w:t>
            </w:r>
            <w:r w:rsidRPr="005A22C2">
              <w:rPr>
                <w:rFonts w:eastAsia="新細明體" w:cs="Segoe UI"/>
                <w:sz w:val="17"/>
                <w:szCs w:val="17"/>
                <w:lang w:eastAsia="zh-TW"/>
              </w:rPr>
              <w:t>計算法</w:t>
            </w:r>
            <w:r w:rsidRPr="005A22C2">
              <w:rPr>
                <w:rFonts w:eastAsia="新細明體" w:cs="Segoe UI"/>
                <w:sz w:val="17"/>
                <w:szCs w:val="17"/>
                <w:lang w:eastAsia="zh-HK"/>
              </w:rPr>
              <w:t>下的</w:t>
            </w:r>
            <w:r w:rsidRPr="005A22C2">
              <w:rPr>
                <w:rFonts w:eastAsia="新細明體" w:cs="Segoe UI"/>
                <w:sz w:val="17"/>
                <w:szCs w:val="17"/>
                <w:lang w:eastAsia="zh-HK"/>
              </w:rPr>
              <w:br/>
            </w:r>
            <w:r w:rsidRPr="005A22C2">
              <w:rPr>
                <w:rFonts w:eastAsia="新細明體" w:cs="Segoe UI"/>
                <w:sz w:val="17"/>
                <w:szCs w:val="17"/>
                <w:lang w:eastAsia="zh-TW"/>
              </w:rPr>
              <w:t>CVA</w:t>
            </w:r>
            <w:r w:rsidRPr="005A22C2">
              <w:rPr>
                <w:rFonts w:eastAsia="新細明體" w:cs="Segoe UI"/>
                <w:sz w:val="17"/>
                <w:szCs w:val="17"/>
                <w:lang w:eastAsia="zh-HK"/>
              </w:rPr>
              <w:t>風險資本要求</w:t>
            </w:r>
          </w:p>
        </w:tc>
      </w:tr>
      <w:tr w:rsidR="001B39FD" w:rsidRPr="005A22C2" w14:paraId="1518FEA2"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3ACE2563"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1</w:t>
            </w:r>
          </w:p>
        </w:tc>
        <w:tc>
          <w:tcPr>
            <w:tcW w:w="2552" w:type="dxa"/>
            <w:tcBorders>
              <w:top w:val="single" w:sz="4" w:space="0" w:color="A6A6A6"/>
              <w:left w:val="single" w:sz="4" w:space="0" w:color="auto"/>
              <w:bottom w:val="single" w:sz="4" w:space="0" w:color="A6A6A6"/>
              <w:right w:val="single" w:sz="4" w:space="0" w:color="auto"/>
            </w:tcBorders>
            <w:hideMark/>
          </w:tcPr>
          <w:p w14:paraId="117D265A" w14:textId="644298A8" w:rsidR="00E932DC" w:rsidRPr="005A22C2" w:rsidRDefault="00E932DC" w:rsidP="00E932DC">
            <w:pPr>
              <w:snapToGrid w:val="0"/>
              <w:spacing w:before="40" w:after="40"/>
              <w:rPr>
                <w:rFonts w:eastAsia="新細明體" w:cs="Segoe UI"/>
                <w:sz w:val="17"/>
                <w:lang w:eastAsia="zh-TW"/>
              </w:rPr>
            </w:pPr>
            <w:r w:rsidRPr="005A22C2">
              <w:rPr>
                <w:rFonts w:eastAsia="新細明體" w:cs="Segoe UI"/>
                <w:sz w:val="17"/>
                <w:lang w:eastAsia="zh-TW"/>
              </w:rPr>
              <w:t>CVA</w:t>
            </w:r>
            <w:r w:rsidRPr="005A22C2">
              <w:rPr>
                <w:rFonts w:eastAsia="新細明體" w:cs="Segoe UI"/>
                <w:sz w:val="17"/>
                <w:lang w:eastAsia="zh-HK"/>
              </w:rPr>
              <w:t>風險的</w:t>
            </w:r>
            <w:r w:rsidRPr="005A22C2">
              <w:rPr>
                <w:rFonts w:eastAsia="新細明體" w:cs="Segoe UI" w:hint="eastAsia"/>
                <w:sz w:val="17"/>
                <w:lang w:eastAsia="zh-HK"/>
              </w:rPr>
              <w:t>系統性</w:t>
            </w:r>
            <w:r w:rsidRPr="005A22C2">
              <w:rPr>
                <w:rFonts w:eastAsia="新細明體" w:cs="Segoe UI"/>
                <w:sz w:val="17"/>
                <w:lang w:eastAsia="zh-HK"/>
              </w:rPr>
              <w:t>組成部分</w:t>
            </w:r>
            <w:r w:rsidR="00EC772A" w:rsidRPr="005A22C2">
              <w:rPr>
                <w:rFonts w:eastAsia="新細明體" w:cs="Segoe UI" w:hint="eastAsia"/>
                <w:sz w:val="17"/>
                <w:lang w:eastAsia="zh-HK"/>
              </w:rPr>
              <w:t>的</w:t>
            </w:r>
            <w:r w:rsidRPr="005A22C2">
              <w:rPr>
                <w:rFonts w:eastAsia="新細明體" w:cs="Segoe UI"/>
                <w:sz w:val="17"/>
                <w:lang w:eastAsia="zh-HK"/>
              </w:rPr>
              <w:t>合計</w:t>
            </w:r>
          </w:p>
        </w:tc>
        <w:tc>
          <w:tcPr>
            <w:tcW w:w="3260" w:type="dxa"/>
            <w:tcBorders>
              <w:top w:val="single" w:sz="4" w:space="0" w:color="A6A6A6"/>
              <w:left w:val="single" w:sz="4" w:space="0" w:color="auto"/>
              <w:bottom w:val="single" w:sz="4" w:space="0" w:color="A6A6A6"/>
              <w:right w:val="single" w:sz="4" w:space="0" w:color="auto"/>
            </w:tcBorders>
            <w:vAlign w:val="center"/>
          </w:tcPr>
          <w:p w14:paraId="093506F1" w14:textId="77777777" w:rsidR="00E932DC" w:rsidRPr="005A22C2" w:rsidRDefault="00E932DC" w:rsidP="00E932DC">
            <w:pPr>
              <w:snapToGrid w:val="0"/>
              <w:spacing w:before="40" w:after="40"/>
              <w:rPr>
                <w:rFonts w:eastAsia="新細明體" w:cs="Segoe UI"/>
                <w:sz w:val="17"/>
                <w:lang w:eastAsia="zh-TW"/>
              </w:rPr>
            </w:pPr>
          </w:p>
        </w:tc>
        <w:tc>
          <w:tcPr>
            <w:tcW w:w="2835" w:type="dxa"/>
            <w:tcBorders>
              <w:top w:val="single" w:sz="4" w:space="0" w:color="A6A6A6"/>
              <w:left w:val="single" w:sz="4" w:space="0" w:color="auto"/>
              <w:bottom w:val="single" w:sz="4" w:space="0" w:color="A6A6A6"/>
              <w:right w:val="single" w:sz="4" w:space="0" w:color="auto"/>
            </w:tcBorders>
            <w:shd w:val="clear" w:color="auto" w:fill="BFBFBF"/>
          </w:tcPr>
          <w:p w14:paraId="52580086" w14:textId="77777777" w:rsidR="00E932DC" w:rsidRPr="005A22C2" w:rsidRDefault="00E932DC" w:rsidP="00E932DC">
            <w:pPr>
              <w:snapToGrid w:val="0"/>
              <w:spacing w:before="40" w:after="40"/>
              <w:rPr>
                <w:rFonts w:eastAsia="新細明體" w:cs="Segoe UI"/>
                <w:sz w:val="17"/>
                <w:lang w:eastAsia="zh-TW"/>
              </w:rPr>
            </w:pPr>
          </w:p>
        </w:tc>
      </w:tr>
      <w:tr w:rsidR="001B39FD" w:rsidRPr="005A22C2" w14:paraId="65E582E3"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7AED3A2E"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2</w:t>
            </w:r>
          </w:p>
        </w:tc>
        <w:tc>
          <w:tcPr>
            <w:tcW w:w="2552" w:type="dxa"/>
            <w:tcBorders>
              <w:top w:val="single" w:sz="4" w:space="0" w:color="A6A6A6"/>
              <w:left w:val="single" w:sz="4" w:space="0" w:color="auto"/>
              <w:bottom w:val="single" w:sz="4" w:space="0" w:color="A6A6A6"/>
              <w:right w:val="single" w:sz="4" w:space="0" w:color="auto"/>
            </w:tcBorders>
            <w:hideMark/>
          </w:tcPr>
          <w:p w14:paraId="79DDF2CA" w14:textId="598B28DF" w:rsidR="00E932DC" w:rsidRPr="005A22C2" w:rsidRDefault="00E932DC" w:rsidP="00E932DC">
            <w:pPr>
              <w:snapToGrid w:val="0"/>
              <w:spacing w:before="40" w:after="40"/>
              <w:rPr>
                <w:rFonts w:eastAsia="新細明體" w:cs="Segoe UI"/>
                <w:sz w:val="17"/>
                <w:lang w:eastAsia="zh-TW"/>
              </w:rPr>
            </w:pPr>
            <w:r w:rsidRPr="005A22C2">
              <w:rPr>
                <w:rFonts w:eastAsia="新細明體" w:cs="Segoe UI"/>
                <w:sz w:val="17"/>
                <w:lang w:eastAsia="zh-TW"/>
              </w:rPr>
              <w:t>CVA</w:t>
            </w:r>
            <w:r w:rsidRPr="005A22C2">
              <w:rPr>
                <w:rFonts w:eastAsia="新細明體" w:cs="Segoe UI"/>
                <w:sz w:val="17"/>
                <w:lang w:eastAsia="zh-HK"/>
              </w:rPr>
              <w:t>風險的</w:t>
            </w:r>
            <w:r w:rsidRPr="005A22C2">
              <w:rPr>
                <w:rFonts w:ascii="新細明體" w:eastAsia="新細明體" w:hAnsi="新細明體" w:cs="Segoe UI" w:hint="eastAsia"/>
                <w:sz w:val="17"/>
                <w:lang w:eastAsia="zh-TW"/>
              </w:rPr>
              <w:t>獨特</w:t>
            </w:r>
            <w:r w:rsidRPr="005A22C2">
              <w:rPr>
                <w:rFonts w:eastAsia="新細明體" w:cs="Segoe UI"/>
                <w:sz w:val="17"/>
                <w:lang w:eastAsia="zh-HK"/>
              </w:rPr>
              <w:t>組成部分</w:t>
            </w:r>
            <w:r w:rsidR="00EC772A" w:rsidRPr="005A22C2">
              <w:rPr>
                <w:rFonts w:eastAsia="新細明體" w:cs="Segoe UI" w:hint="eastAsia"/>
                <w:sz w:val="17"/>
                <w:lang w:eastAsia="zh-HK"/>
              </w:rPr>
              <w:t>的</w:t>
            </w:r>
            <w:r w:rsidRPr="005A22C2">
              <w:rPr>
                <w:rFonts w:eastAsia="新細明體" w:cs="Segoe UI"/>
                <w:sz w:val="17"/>
                <w:lang w:eastAsia="zh-HK"/>
              </w:rPr>
              <w:t>合計</w:t>
            </w:r>
          </w:p>
        </w:tc>
        <w:tc>
          <w:tcPr>
            <w:tcW w:w="3260" w:type="dxa"/>
            <w:tcBorders>
              <w:top w:val="single" w:sz="4" w:space="0" w:color="A6A6A6"/>
              <w:left w:val="single" w:sz="4" w:space="0" w:color="auto"/>
              <w:bottom w:val="single" w:sz="4" w:space="0" w:color="A6A6A6"/>
              <w:right w:val="single" w:sz="4" w:space="0" w:color="auto"/>
            </w:tcBorders>
            <w:vAlign w:val="center"/>
          </w:tcPr>
          <w:p w14:paraId="52B827CB" w14:textId="77777777" w:rsidR="00E932DC" w:rsidRPr="005A22C2" w:rsidRDefault="00E932DC" w:rsidP="00E932DC">
            <w:pPr>
              <w:snapToGrid w:val="0"/>
              <w:spacing w:before="40" w:after="40"/>
              <w:rPr>
                <w:rFonts w:eastAsia="新細明體" w:cs="Segoe UI"/>
                <w:sz w:val="17"/>
                <w:lang w:eastAsia="zh-TW"/>
              </w:rPr>
            </w:pPr>
          </w:p>
        </w:tc>
        <w:tc>
          <w:tcPr>
            <w:tcW w:w="2835" w:type="dxa"/>
            <w:tcBorders>
              <w:top w:val="single" w:sz="4" w:space="0" w:color="A6A6A6"/>
              <w:left w:val="single" w:sz="4" w:space="0" w:color="auto"/>
              <w:bottom w:val="single" w:sz="4" w:space="0" w:color="A6A6A6"/>
              <w:right w:val="single" w:sz="4" w:space="0" w:color="auto"/>
            </w:tcBorders>
            <w:shd w:val="clear" w:color="auto" w:fill="BFBFBF"/>
          </w:tcPr>
          <w:p w14:paraId="7DDB6CAF" w14:textId="77777777" w:rsidR="00E932DC" w:rsidRPr="005A22C2" w:rsidRDefault="00E932DC" w:rsidP="00E932DC">
            <w:pPr>
              <w:snapToGrid w:val="0"/>
              <w:spacing w:before="40" w:after="40"/>
              <w:rPr>
                <w:rFonts w:eastAsia="新細明體" w:cs="Segoe UI"/>
                <w:sz w:val="17"/>
                <w:lang w:eastAsia="zh-TW"/>
              </w:rPr>
            </w:pPr>
          </w:p>
        </w:tc>
      </w:tr>
      <w:tr w:rsidR="001B39FD" w:rsidRPr="005A22C2" w14:paraId="54B38D99" w14:textId="77777777" w:rsidTr="00E932DC">
        <w:trPr>
          <w:cantSplit/>
        </w:trPr>
        <w:tc>
          <w:tcPr>
            <w:tcW w:w="567" w:type="dxa"/>
            <w:tcBorders>
              <w:top w:val="single" w:sz="4" w:space="0" w:color="A6A6A6"/>
              <w:left w:val="nil"/>
              <w:bottom w:val="single" w:sz="4" w:space="0" w:color="auto"/>
              <w:right w:val="single" w:sz="4" w:space="0" w:color="auto"/>
            </w:tcBorders>
            <w:vAlign w:val="center"/>
            <w:hideMark/>
          </w:tcPr>
          <w:p w14:paraId="30DB2E7C"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3</w:t>
            </w:r>
          </w:p>
        </w:tc>
        <w:tc>
          <w:tcPr>
            <w:tcW w:w="2552" w:type="dxa"/>
            <w:tcBorders>
              <w:top w:val="single" w:sz="4" w:space="0" w:color="A6A6A6"/>
              <w:left w:val="single" w:sz="4" w:space="0" w:color="auto"/>
              <w:bottom w:val="single" w:sz="4" w:space="0" w:color="auto"/>
              <w:right w:val="single" w:sz="4" w:space="0" w:color="auto"/>
            </w:tcBorders>
            <w:hideMark/>
          </w:tcPr>
          <w:p w14:paraId="639313BA" w14:textId="77777777" w:rsidR="00E932DC" w:rsidRPr="005A22C2" w:rsidRDefault="00E932DC" w:rsidP="00E932DC">
            <w:pPr>
              <w:snapToGrid w:val="0"/>
              <w:spacing w:before="40" w:after="40"/>
              <w:rPr>
                <w:rFonts w:eastAsia="新細明體" w:cs="Segoe UI"/>
                <w:b/>
                <w:sz w:val="17"/>
              </w:rPr>
            </w:pPr>
            <w:r w:rsidRPr="005A22C2">
              <w:rPr>
                <w:rFonts w:eastAsia="新細明體" w:cs="Segoe UI"/>
                <w:b/>
                <w:sz w:val="17"/>
                <w:lang w:eastAsia="zh-HK"/>
              </w:rPr>
              <w:t>總計</w:t>
            </w:r>
          </w:p>
        </w:tc>
        <w:tc>
          <w:tcPr>
            <w:tcW w:w="3260" w:type="dxa"/>
            <w:tcBorders>
              <w:top w:val="single" w:sz="4" w:space="0" w:color="A6A6A6"/>
              <w:left w:val="single" w:sz="4" w:space="0" w:color="auto"/>
              <w:bottom w:val="single" w:sz="4" w:space="0" w:color="auto"/>
              <w:right w:val="single" w:sz="4" w:space="0" w:color="auto"/>
            </w:tcBorders>
            <w:shd w:val="clear" w:color="auto" w:fill="BFBFBF"/>
            <w:vAlign w:val="center"/>
          </w:tcPr>
          <w:p w14:paraId="1C68A7C1" w14:textId="77777777" w:rsidR="00E932DC" w:rsidRPr="005A22C2" w:rsidRDefault="00E932DC" w:rsidP="00E932DC">
            <w:pPr>
              <w:snapToGrid w:val="0"/>
              <w:spacing w:before="40" w:after="40"/>
              <w:rPr>
                <w:rFonts w:eastAsia="新細明體" w:cs="Segoe UI"/>
                <w:sz w:val="17"/>
              </w:rPr>
            </w:pPr>
          </w:p>
        </w:tc>
        <w:tc>
          <w:tcPr>
            <w:tcW w:w="2835" w:type="dxa"/>
            <w:tcBorders>
              <w:top w:val="single" w:sz="4" w:space="0" w:color="A6A6A6"/>
              <w:left w:val="single" w:sz="4" w:space="0" w:color="auto"/>
              <w:bottom w:val="single" w:sz="4" w:space="0" w:color="auto"/>
              <w:right w:val="single" w:sz="4" w:space="0" w:color="auto"/>
            </w:tcBorders>
          </w:tcPr>
          <w:p w14:paraId="75F86124" w14:textId="77777777" w:rsidR="00E932DC" w:rsidRPr="005A22C2" w:rsidRDefault="00E932DC" w:rsidP="00E932DC">
            <w:pPr>
              <w:snapToGrid w:val="0"/>
              <w:spacing w:before="40" w:after="40"/>
              <w:rPr>
                <w:rFonts w:eastAsia="新細明體" w:cs="Segoe UI"/>
                <w:sz w:val="17"/>
              </w:rPr>
            </w:pPr>
          </w:p>
        </w:tc>
      </w:tr>
    </w:tbl>
    <w:p w14:paraId="074C199A" w14:textId="77777777" w:rsidR="00E932DC" w:rsidRPr="005A22C2" w:rsidRDefault="00E932DC" w:rsidP="00E932DC">
      <w:pPr>
        <w:rPr>
          <w:rFonts w:eastAsia="新細明體" w:cs="Segoe UI"/>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563"/>
      </w:tblGrid>
      <w:tr w:rsidR="005A22C2" w:rsidRPr="005A22C2" w14:paraId="55CF98EF" w14:textId="77777777" w:rsidTr="00E932DC">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D7ED575" w14:textId="77777777" w:rsidR="00E932DC" w:rsidRPr="005A22C2" w:rsidRDefault="00E932DC" w:rsidP="00E932DC">
            <w:pPr>
              <w:spacing w:before="40" w:after="40"/>
              <w:jc w:val="both"/>
              <w:rPr>
                <w:rFonts w:eastAsia="新細明體" w:cs="Segoe UI"/>
                <w:b/>
                <w:sz w:val="17"/>
                <w:szCs w:val="17"/>
                <w:lang w:eastAsia="en-GB"/>
              </w:rPr>
            </w:pPr>
            <w:r w:rsidRPr="005A22C2">
              <w:rPr>
                <w:rFonts w:eastAsia="新細明體" w:cs="Segoe UI"/>
                <w:b/>
                <w:sz w:val="17"/>
                <w:szCs w:val="17"/>
                <w:lang w:eastAsia="zh-HK"/>
              </w:rPr>
              <w:t>註釋</w:t>
            </w:r>
          </w:p>
        </w:tc>
      </w:tr>
      <w:tr w:rsidR="005A22C2" w:rsidRPr="005A22C2" w14:paraId="4026C6DA" w14:textId="77777777" w:rsidTr="00E932DC">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82AE1D7" w14:textId="43D4F090" w:rsidR="00E932DC" w:rsidRPr="005A22C2" w:rsidRDefault="00E932DC" w:rsidP="00E932DC">
            <w:pPr>
              <w:spacing w:before="40" w:after="40"/>
              <w:jc w:val="both"/>
              <w:rPr>
                <w:rFonts w:eastAsia="新細明體" w:cs="Segoe UI"/>
                <w:i/>
                <w:lang w:eastAsia="fr-FR"/>
              </w:rPr>
            </w:pPr>
            <w:r w:rsidRPr="005A22C2">
              <w:rPr>
                <w:rFonts w:eastAsia="新細明體" w:cs="Segoe UI"/>
                <w:b/>
                <w:sz w:val="17"/>
                <w:szCs w:val="17"/>
                <w:lang w:eastAsia="zh-HK"/>
              </w:rPr>
              <w:t>行</w:t>
            </w:r>
          </w:p>
        </w:tc>
      </w:tr>
      <w:tr w:rsidR="005A22C2" w:rsidRPr="005A22C2" w14:paraId="6DE0806D"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2AA7798E"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1</w:t>
            </w:r>
          </w:p>
        </w:tc>
        <w:tc>
          <w:tcPr>
            <w:tcW w:w="8563" w:type="dxa"/>
            <w:tcBorders>
              <w:top w:val="single" w:sz="4" w:space="0" w:color="auto"/>
              <w:left w:val="single" w:sz="4" w:space="0" w:color="auto"/>
              <w:bottom w:val="single" w:sz="4" w:space="0" w:color="auto"/>
              <w:right w:val="single" w:sz="4" w:space="0" w:color="auto"/>
            </w:tcBorders>
            <w:hideMark/>
          </w:tcPr>
          <w:p w14:paraId="75EF06B0" w14:textId="7104ECED"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i/>
                <w:iCs/>
                <w:sz w:val="17"/>
                <w:szCs w:val="17"/>
                <w:lang w:val="en-US" w:eastAsia="zh-TW"/>
              </w:rPr>
              <w:t>CVA</w:t>
            </w:r>
            <w:r w:rsidRPr="005A22C2">
              <w:rPr>
                <w:rFonts w:eastAsia="新細明體" w:cs="Segoe UI"/>
                <w:i/>
                <w:iCs/>
                <w:sz w:val="17"/>
                <w:szCs w:val="17"/>
                <w:lang w:val="en-US" w:eastAsia="zh-HK"/>
              </w:rPr>
              <w:t>風險的系統</w:t>
            </w:r>
            <w:r w:rsidRPr="005A22C2">
              <w:rPr>
                <w:rFonts w:eastAsia="新細明體" w:cs="Segoe UI" w:hint="eastAsia"/>
                <w:i/>
                <w:iCs/>
                <w:sz w:val="17"/>
                <w:szCs w:val="17"/>
                <w:lang w:val="en-US" w:eastAsia="zh-HK"/>
              </w:rPr>
              <w:t>性</w:t>
            </w:r>
            <w:r w:rsidRPr="005A22C2">
              <w:rPr>
                <w:rFonts w:eastAsia="新細明體" w:cs="Segoe UI"/>
                <w:i/>
                <w:iCs/>
                <w:sz w:val="17"/>
                <w:szCs w:val="17"/>
                <w:lang w:val="en-US" w:eastAsia="zh-HK"/>
              </w:rPr>
              <w:t>組成部分</w:t>
            </w:r>
            <w:r w:rsidR="00C96F40" w:rsidRPr="005A22C2">
              <w:rPr>
                <w:rFonts w:eastAsia="新細明體" w:cs="Segoe UI" w:hint="eastAsia"/>
                <w:i/>
                <w:iCs/>
                <w:sz w:val="17"/>
                <w:szCs w:val="17"/>
                <w:lang w:val="en-US" w:eastAsia="zh-HK"/>
              </w:rPr>
              <w:t>的</w:t>
            </w:r>
            <w:r w:rsidRPr="005A22C2">
              <w:rPr>
                <w:rFonts w:eastAsia="新細明體" w:cs="Segoe UI" w:hint="eastAsia"/>
                <w:i/>
                <w:iCs/>
                <w:sz w:val="17"/>
                <w:szCs w:val="17"/>
                <w:lang w:val="en-US" w:eastAsia="zh-HK"/>
              </w:rPr>
              <w:t>合計</w:t>
            </w:r>
            <w:r w:rsidRPr="005A22C2">
              <w:rPr>
                <w:rFonts w:eastAsia="新細明體" w:cs="Segoe UI"/>
                <w:iCs/>
                <w:sz w:val="17"/>
                <w:szCs w:val="17"/>
                <w:lang w:val="en-US" w:eastAsia="zh-TW"/>
              </w:rPr>
              <w:t>：</w:t>
            </w:r>
            <w:r w:rsidRPr="005A22C2">
              <w:rPr>
                <w:rFonts w:eastAsia="新細明體" w:cs="Segoe UI"/>
                <w:sz w:val="17"/>
                <w:szCs w:val="17"/>
                <w:lang w:val="en-US" w:eastAsia="zh-HK"/>
              </w:rPr>
              <w:t>按照</w:t>
            </w:r>
            <w:r w:rsidRPr="005A22C2">
              <w:rPr>
                <w:rFonts w:eastAsia="新細明體" w:cs="Segoe UI"/>
                <w:sz w:val="17"/>
                <w:szCs w:val="17"/>
                <w:lang w:val="en-US" w:eastAsia="zh-TW"/>
              </w:rPr>
              <w:t>《</w:t>
            </w:r>
            <w:r w:rsidRPr="005A22C2">
              <w:rPr>
                <w:rFonts w:eastAsia="新細明體" w:cs="Segoe UI"/>
                <w:sz w:val="17"/>
                <w:szCs w:val="17"/>
                <w:lang w:val="en-US" w:eastAsia="zh-HK"/>
              </w:rPr>
              <w:t>資本規則</w:t>
            </w:r>
            <w:r w:rsidRPr="005A22C2">
              <w:rPr>
                <w:rFonts w:eastAsia="新細明體" w:cs="Segoe UI"/>
                <w:sz w:val="17"/>
                <w:szCs w:val="17"/>
                <w:lang w:val="en-US" w:eastAsia="zh-TW"/>
              </w:rPr>
              <w:t>》第</w:t>
            </w:r>
            <w:r w:rsidRPr="005A22C2">
              <w:rPr>
                <w:rFonts w:eastAsia="新細明體" w:cs="Segoe UI"/>
                <w:sz w:val="17"/>
                <w:szCs w:val="17"/>
                <w:lang w:val="en-US" w:eastAsia="zh-TW"/>
              </w:rPr>
              <w:t>8A</w:t>
            </w:r>
            <w:r w:rsidRPr="005A22C2">
              <w:rPr>
                <w:rFonts w:eastAsia="新細明體" w:cs="Segoe UI"/>
                <w:sz w:val="17"/>
                <w:szCs w:val="17"/>
                <w:lang w:val="en-US" w:eastAsia="zh-TW"/>
              </w:rPr>
              <w:t>部</w:t>
            </w:r>
            <w:r w:rsidRPr="005A22C2">
              <w:rPr>
                <w:rFonts w:ascii="新細明體" w:eastAsia="新細明體" w:hAnsi="新細明體" w:cs="Segoe UI"/>
                <w:sz w:val="17"/>
                <w:szCs w:val="17"/>
                <w:lang w:val="en-US" w:eastAsia="zh-HK"/>
              </w:rPr>
              <w:t>計算</w:t>
            </w:r>
            <w:r w:rsidR="00C96F40" w:rsidRPr="005A22C2">
              <w:rPr>
                <w:rFonts w:ascii="新細明體" w:eastAsia="新細明體" w:hAnsi="新細明體" w:cs="Segoe UI" w:hint="eastAsia"/>
                <w:sz w:val="17"/>
                <w:szCs w:val="17"/>
                <w:lang w:val="en-US" w:eastAsia="zh-HK"/>
              </w:rPr>
              <w:t>的</w:t>
            </w:r>
            <w:r w:rsidRPr="005A22C2">
              <w:rPr>
                <w:rFonts w:ascii="新細明體" w:eastAsia="新細明體" w:hAnsi="新細明體" w:cs="Segoe UI" w:hint="eastAsia"/>
                <w:sz w:val="17"/>
                <w:szCs w:val="17"/>
                <w:lang w:val="en-US" w:eastAsia="zh-HK"/>
              </w:rPr>
              <w:t>在</w:t>
            </w:r>
            <w:r w:rsidRPr="005A22C2">
              <w:rPr>
                <w:rFonts w:eastAsia="新細明體" w:cs="Segoe UI"/>
                <w:sz w:val="17"/>
                <w:szCs w:val="17"/>
                <w:lang w:val="en-US" w:eastAsia="zh-HK"/>
              </w:rPr>
              <w:t>完</w:t>
            </w:r>
            <w:r w:rsidRPr="005A22C2">
              <w:rPr>
                <w:rFonts w:eastAsia="新細明體" w:cs="Segoe UI" w:hint="eastAsia"/>
                <w:sz w:val="17"/>
                <w:szCs w:val="17"/>
                <w:lang w:val="en-US" w:eastAsia="zh-HK"/>
              </w:rPr>
              <w:t>全</w:t>
            </w:r>
            <w:r w:rsidRPr="005A22C2">
              <w:rPr>
                <w:rFonts w:eastAsia="新細明體" w:cs="Segoe UI"/>
                <w:sz w:val="17"/>
                <w:szCs w:val="17"/>
                <w:lang w:val="en-US" w:eastAsia="zh-HK"/>
              </w:rPr>
              <w:t>相關</w:t>
            </w:r>
            <w:r w:rsidRPr="005A22C2">
              <w:rPr>
                <w:rFonts w:eastAsia="新細明體" w:cs="Segoe UI" w:hint="eastAsia"/>
                <w:iCs/>
                <w:sz w:val="17"/>
                <w:szCs w:val="17"/>
                <w:lang w:val="en-US" w:eastAsia="zh-HK"/>
              </w:rPr>
              <w:t>性假設下</w:t>
            </w:r>
            <w:r w:rsidRPr="005A22C2">
              <w:rPr>
                <w:rFonts w:eastAsia="新細明體" w:cs="Segoe UI"/>
                <w:sz w:val="17"/>
                <w:szCs w:val="17"/>
                <w:lang w:val="en-US" w:eastAsia="zh-TW"/>
              </w:rPr>
              <w:t>(</w:t>
            </w:r>
            <w:proofErr w:type="spellStart"/>
            <w:r w:rsidRPr="005A22C2">
              <w:rPr>
                <w:rFonts w:eastAsia="新細明體" w:cs="Segoe UI"/>
                <w:sz w:val="16"/>
                <w:szCs w:val="17"/>
                <w:lang w:val="en-US" w:eastAsia="zh-TW"/>
              </w:rPr>
              <w:t>Σ</w:t>
            </w:r>
            <w:proofErr w:type="gramStart"/>
            <w:r w:rsidRPr="005A22C2">
              <w:rPr>
                <w:rFonts w:eastAsia="新細明體" w:cs="Segoe UI"/>
                <w:sz w:val="16"/>
                <w:vertAlign w:val="subscript"/>
                <w:lang w:val="en-US" w:eastAsia="zh-TW"/>
              </w:rPr>
              <w:t>C</w:t>
            </w:r>
            <w:r w:rsidRPr="005A22C2">
              <w:rPr>
                <w:rFonts w:eastAsia="新細明體" w:cs="Segoe UI"/>
                <w:sz w:val="16"/>
                <w:szCs w:val="17"/>
                <w:lang w:val="en-US" w:eastAsia="zh-TW"/>
              </w:rPr>
              <w:t>SCVA</w:t>
            </w:r>
            <w:r w:rsidRPr="005A22C2">
              <w:rPr>
                <w:rFonts w:eastAsia="新細明體" w:cs="Segoe UI"/>
                <w:vertAlign w:val="subscript"/>
                <w:lang w:val="en-US" w:eastAsia="zh-TW"/>
              </w:rPr>
              <w:t>c</w:t>
            </w:r>
            <w:proofErr w:type="spellEnd"/>
            <w:r w:rsidRPr="005A22C2">
              <w:rPr>
                <w:rFonts w:eastAsia="新細明體" w:cs="Segoe UI"/>
                <w:sz w:val="17"/>
                <w:szCs w:val="17"/>
                <w:lang w:val="en-US" w:eastAsia="zh-TW"/>
              </w:rPr>
              <w:t>)</w:t>
            </w:r>
            <w:r w:rsidRPr="005A22C2">
              <w:rPr>
                <w:rFonts w:eastAsia="新細明體" w:cs="Segoe UI"/>
                <w:sz w:val="17"/>
                <w:szCs w:val="17"/>
                <w:lang w:eastAsia="zh-HK"/>
              </w:rPr>
              <w:t>的資本要求</w:t>
            </w:r>
            <w:proofErr w:type="gramEnd"/>
            <w:r w:rsidRPr="005A22C2">
              <w:rPr>
                <w:rFonts w:eastAsia="新細明體" w:cs="Segoe UI"/>
                <w:sz w:val="17"/>
                <w:szCs w:val="17"/>
                <w:lang w:val="en-US" w:eastAsia="zh-TW"/>
              </w:rPr>
              <w:t>。</w:t>
            </w:r>
            <w:r w:rsidRPr="005A22C2">
              <w:rPr>
                <w:rFonts w:eastAsia="新細明體" w:cs="Segoe UI"/>
                <w:sz w:val="17"/>
                <w:szCs w:val="17"/>
                <w:lang w:val="en-US" w:eastAsia="zh-TW"/>
              </w:rPr>
              <w:t xml:space="preserve"> </w:t>
            </w:r>
          </w:p>
        </w:tc>
      </w:tr>
      <w:tr w:rsidR="005A22C2" w:rsidRPr="005A22C2" w14:paraId="66BDAD11"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58ABC46A"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2</w:t>
            </w:r>
          </w:p>
        </w:tc>
        <w:tc>
          <w:tcPr>
            <w:tcW w:w="8563" w:type="dxa"/>
            <w:tcBorders>
              <w:top w:val="single" w:sz="4" w:space="0" w:color="auto"/>
              <w:left w:val="single" w:sz="4" w:space="0" w:color="auto"/>
              <w:bottom w:val="single" w:sz="4" w:space="0" w:color="auto"/>
              <w:right w:val="single" w:sz="4" w:space="0" w:color="auto"/>
            </w:tcBorders>
            <w:hideMark/>
          </w:tcPr>
          <w:p w14:paraId="509B0939" w14:textId="18B12F5E"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i/>
                <w:iCs/>
                <w:sz w:val="17"/>
                <w:szCs w:val="17"/>
                <w:lang w:val="en-US" w:eastAsia="zh-TW"/>
              </w:rPr>
              <w:t>CVA</w:t>
            </w:r>
            <w:r w:rsidRPr="005A22C2">
              <w:rPr>
                <w:rFonts w:eastAsia="新細明體" w:cs="Segoe UI"/>
                <w:i/>
                <w:iCs/>
                <w:sz w:val="17"/>
                <w:szCs w:val="17"/>
                <w:lang w:val="en-US" w:eastAsia="zh-HK"/>
              </w:rPr>
              <w:t>風險的</w:t>
            </w:r>
            <w:r w:rsidRPr="005A22C2">
              <w:rPr>
                <w:rFonts w:ascii="新細明體" w:eastAsia="新細明體" w:hAnsi="新細明體" w:cs="Segoe UI" w:hint="eastAsia"/>
                <w:i/>
                <w:iCs/>
                <w:sz w:val="17"/>
                <w:szCs w:val="17"/>
                <w:lang w:val="en-US" w:eastAsia="zh-TW"/>
              </w:rPr>
              <w:t>獨特</w:t>
            </w:r>
            <w:r w:rsidRPr="005A22C2">
              <w:rPr>
                <w:rFonts w:eastAsia="新細明體" w:cs="Segoe UI"/>
                <w:i/>
                <w:iCs/>
                <w:sz w:val="17"/>
                <w:szCs w:val="17"/>
                <w:lang w:val="en-US" w:eastAsia="zh-HK"/>
              </w:rPr>
              <w:t>組成部分</w:t>
            </w:r>
            <w:r w:rsidR="00C96F40" w:rsidRPr="005A22C2">
              <w:rPr>
                <w:rFonts w:eastAsia="新細明體" w:cs="Segoe UI" w:hint="eastAsia"/>
                <w:i/>
                <w:iCs/>
                <w:sz w:val="17"/>
                <w:szCs w:val="17"/>
                <w:lang w:val="en-US" w:eastAsia="zh-HK"/>
              </w:rPr>
              <w:t>的</w:t>
            </w:r>
            <w:r w:rsidRPr="005A22C2">
              <w:rPr>
                <w:rFonts w:eastAsia="新細明體" w:cs="Segoe UI" w:hint="eastAsia"/>
                <w:i/>
                <w:iCs/>
                <w:sz w:val="17"/>
                <w:szCs w:val="17"/>
                <w:lang w:val="en-US" w:eastAsia="zh-HK"/>
              </w:rPr>
              <w:t>合計</w:t>
            </w:r>
            <w:r w:rsidRPr="005A22C2">
              <w:rPr>
                <w:rFonts w:eastAsia="新細明體" w:cs="Segoe UI"/>
                <w:iCs/>
                <w:sz w:val="17"/>
                <w:szCs w:val="17"/>
                <w:lang w:val="en-US" w:eastAsia="zh-TW"/>
              </w:rPr>
              <w:t>：</w:t>
            </w:r>
            <w:r w:rsidRPr="005A22C2">
              <w:rPr>
                <w:rFonts w:eastAsia="新細明體" w:cs="Segoe UI"/>
                <w:sz w:val="17"/>
                <w:szCs w:val="17"/>
                <w:lang w:val="en-US" w:eastAsia="zh-HK"/>
              </w:rPr>
              <w:t>按照</w:t>
            </w:r>
            <w:r w:rsidRPr="005A22C2">
              <w:rPr>
                <w:rFonts w:eastAsia="新細明體" w:cs="Segoe UI"/>
                <w:sz w:val="17"/>
                <w:szCs w:val="17"/>
                <w:lang w:val="en-US" w:eastAsia="zh-TW"/>
              </w:rPr>
              <w:t>《</w:t>
            </w:r>
            <w:r w:rsidRPr="005A22C2">
              <w:rPr>
                <w:rFonts w:eastAsia="新細明體" w:cs="Segoe UI"/>
                <w:sz w:val="17"/>
                <w:szCs w:val="17"/>
                <w:lang w:val="en-US" w:eastAsia="zh-HK"/>
              </w:rPr>
              <w:t>資本規則</w:t>
            </w:r>
            <w:r w:rsidRPr="005A22C2">
              <w:rPr>
                <w:rFonts w:eastAsia="新細明體" w:cs="Segoe UI"/>
                <w:sz w:val="17"/>
                <w:szCs w:val="17"/>
                <w:lang w:val="en-US" w:eastAsia="zh-TW"/>
              </w:rPr>
              <w:t>》第</w:t>
            </w:r>
            <w:r w:rsidRPr="005A22C2">
              <w:rPr>
                <w:rFonts w:eastAsia="新細明體" w:cs="Segoe UI"/>
                <w:sz w:val="17"/>
                <w:szCs w:val="17"/>
                <w:lang w:val="en-US" w:eastAsia="zh-TW"/>
              </w:rPr>
              <w:t>8A</w:t>
            </w:r>
            <w:r w:rsidRPr="005A22C2">
              <w:rPr>
                <w:rFonts w:eastAsia="新細明體" w:cs="Segoe UI"/>
                <w:sz w:val="17"/>
                <w:szCs w:val="17"/>
                <w:lang w:val="en-US" w:eastAsia="zh-TW"/>
              </w:rPr>
              <w:t>部</w:t>
            </w:r>
            <w:r w:rsidRPr="005A22C2">
              <w:rPr>
                <w:rFonts w:ascii="新細明體" w:eastAsia="新細明體" w:hAnsi="新細明體" w:cs="Segoe UI"/>
                <w:sz w:val="17"/>
                <w:szCs w:val="17"/>
                <w:lang w:val="en-US" w:eastAsia="zh-HK"/>
              </w:rPr>
              <w:t>計算</w:t>
            </w:r>
            <w:r w:rsidRPr="005A22C2">
              <w:rPr>
                <w:rFonts w:ascii="新細明體" w:eastAsia="新細明體" w:hAnsi="新細明體" w:cs="Segoe UI" w:hint="eastAsia"/>
                <w:sz w:val="17"/>
                <w:szCs w:val="17"/>
                <w:lang w:val="en-US" w:eastAsia="zh-TW"/>
              </w:rPr>
              <w:t>的</w:t>
            </w:r>
            <w:r w:rsidRPr="005A22C2">
              <w:rPr>
                <w:rFonts w:eastAsia="新細明體" w:cs="Segoe UI"/>
                <w:iCs/>
                <w:sz w:val="17"/>
                <w:szCs w:val="17"/>
                <w:lang w:val="en-US" w:eastAsia="zh-HK"/>
              </w:rPr>
              <w:t>零相關</w:t>
            </w:r>
            <w:r w:rsidRPr="005A22C2">
              <w:rPr>
                <w:rFonts w:eastAsia="新細明體" w:cs="Segoe UI" w:hint="eastAsia"/>
                <w:iCs/>
                <w:sz w:val="17"/>
                <w:szCs w:val="17"/>
                <w:lang w:val="en-US" w:eastAsia="zh-HK"/>
              </w:rPr>
              <w:t>性假設下</w:t>
            </w:r>
            <w:r w:rsidRPr="005A22C2">
              <w:rPr>
                <w:rFonts w:eastAsia="新細明體" w:cs="Segoe UI"/>
                <w:sz w:val="17"/>
                <w:szCs w:val="17"/>
                <w:lang w:val="en-US" w:eastAsia="zh-TW"/>
              </w:rPr>
              <w:t>(sqrt(Σ</w:t>
            </w:r>
            <w:r w:rsidRPr="005A22C2">
              <w:rPr>
                <w:rFonts w:eastAsia="新細明體" w:cs="Segoe UI"/>
                <w:vertAlign w:val="subscript"/>
                <w:lang w:val="en-US" w:eastAsia="zh-TW"/>
              </w:rPr>
              <w:t>c</w:t>
            </w:r>
            <w:r w:rsidRPr="005A22C2">
              <w:rPr>
                <w:rFonts w:eastAsia="新細明體" w:cs="Segoe UI"/>
                <w:sz w:val="17"/>
                <w:szCs w:val="17"/>
                <w:lang w:val="en-US" w:eastAsia="zh-TW"/>
              </w:rPr>
              <w:t>SCVA</w:t>
            </w:r>
            <w:r w:rsidRPr="005A22C2">
              <w:rPr>
                <w:rFonts w:eastAsia="新細明體" w:cs="Segoe UI"/>
                <w:vertAlign w:val="subscript"/>
                <w:lang w:val="en-US" w:eastAsia="zh-TW"/>
              </w:rPr>
              <w:t>c</w:t>
            </w:r>
            <w:r w:rsidRPr="005A22C2">
              <w:rPr>
                <w:rFonts w:eastAsia="新細明體" w:cs="Segoe UI"/>
                <w:sz w:val="17"/>
                <w:szCs w:val="17"/>
                <w:vertAlign w:val="superscript"/>
                <w:lang w:val="en-US" w:eastAsia="zh-TW"/>
              </w:rPr>
              <w:t>2</w:t>
            </w:r>
            <w:proofErr w:type="gramStart"/>
            <w:r w:rsidRPr="005A22C2">
              <w:rPr>
                <w:rFonts w:eastAsia="新細明體" w:cs="Segoe UI"/>
                <w:sz w:val="17"/>
                <w:szCs w:val="17"/>
                <w:lang w:val="en-US" w:eastAsia="zh-TW"/>
              </w:rPr>
              <w:t>) )</w:t>
            </w:r>
            <w:r w:rsidRPr="005A22C2">
              <w:rPr>
                <w:rFonts w:eastAsia="新細明體" w:cs="Segoe UI"/>
                <w:sz w:val="17"/>
                <w:szCs w:val="17"/>
                <w:lang w:val="en-US" w:eastAsia="zh-HK"/>
              </w:rPr>
              <w:t>的資本要求</w:t>
            </w:r>
            <w:proofErr w:type="gramEnd"/>
            <w:r w:rsidRPr="005A22C2">
              <w:rPr>
                <w:rFonts w:eastAsia="新細明體" w:cs="Segoe UI"/>
                <w:sz w:val="17"/>
                <w:szCs w:val="17"/>
                <w:lang w:val="en-US" w:eastAsia="zh-TW"/>
              </w:rPr>
              <w:t>。</w:t>
            </w:r>
            <w:r w:rsidRPr="005A22C2">
              <w:rPr>
                <w:rFonts w:eastAsia="新細明體" w:cs="Segoe UI"/>
                <w:sz w:val="17"/>
                <w:szCs w:val="17"/>
                <w:lang w:val="en-US" w:eastAsia="zh-TW"/>
              </w:rPr>
              <w:t xml:space="preserve"> </w:t>
            </w:r>
          </w:p>
        </w:tc>
      </w:tr>
      <w:tr w:rsidR="005A22C2" w:rsidRPr="005A22C2" w14:paraId="6DBDA4DD"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15A54B75"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3</w:t>
            </w:r>
          </w:p>
        </w:tc>
        <w:tc>
          <w:tcPr>
            <w:tcW w:w="8563" w:type="dxa"/>
            <w:tcBorders>
              <w:top w:val="single" w:sz="4" w:space="0" w:color="auto"/>
              <w:left w:val="single" w:sz="4" w:space="0" w:color="auto"/>
              <w:bottom w:val="single" w:sz="4" w:space="0" w:color="auto"/>
              <w:right w:val="single" w:sz="4" w:space="0" w:color="auto"/>
            </w:tcBorders>
            <w:hideMark/>
          </w:tcPr>
          <w:p w14:paraId="014C78A9" w14:textId="07E1AE12" w:rsidR="00E932DC" w:rsidRPr="005A22C2" w:rsidRDefault="00E932DC" w:rsidP="00E932DC">
            <w:pPr>
              <w:widowControl w:val="0"/>
              <w:autoSpaceDE w:val="0"/>
              <w:autoSpaceDN w:val="0"/>
              <w:adjustRightInd w:val="0"/>
              <w:jc w:val="both"/>
              <w:rPr>
                <w:rFonts w:eastAsia="新細明體" w:cs="Segoe UI"/>
                <w:iCs/>
                <w:sz w:val="17"/>
                <w:szCs w:val="17"/>
                <w:lang w:eastAsia="zh-TW"/>
              </w:rPr>
            </w:pPr>
            <w:r w:rsidRPr="005A22C2">
              <w:rPr>
                <w:rFonts w:eastAsia="新細明體" w:cs="Segoe UI"/>
                <w:i/>
                <w:iCs/>
                <w:sz w:val="17"/>
                <w:szCs w:val="17"/>
                <w:lang w:val="en-US" w:eastAsia="zh-HK"/>
              </w:rPr>
              <w:t>總計</w:t>
            </w:r>
            <w:r w:rsidRPr="005A22C2">
              <w:rPr>
                <w:rFonts w:eastAsia="新細明體" w:cs="Segoe UI"/>
                <w:iCs/>
                <w:sz w:val="17"/>
                <w:szCs w:val="17"/>
                <w:lang w:val="en-US" w:eastAsia="zh-TW"/>
              </w:rPr>
              <w:t>：</w:t>
            </w:r>
            <w:r w:rsidRPr="005A22C2">
              <w:rPr>
                <w:rFonts w:eastAsia="新細明體" w:cs="Segoe UI"/>
                <w:iCs/>
                <w:sz w:val="17"/>
                <w:szCs w:val="17"/>
                <w:lang w:val="en-US" w:eastAsia="zh-HK"/>
              </w:rPr>
              <w:t>這是</w:t>
            </w:r>
            <w:r w:rsidRPr="005A22C2">
              <w:rPr>
                <w:rFonts w:eastAsia="新細明體" w:cs="Segoe UI"/>
                <w:sz w:val="17"/>
                <w:szCs w:val="17"/>
                <w:lang w:val="en-US" w:eastAsia="zh-HK"/>
              </w:rPr>
              <w:t>按照</w:t>
            </w:r>
            <w:r w:rsidRPr="005A22C2">
              <w:rPr>
                <w:rFonts w:eastAsia="新細明體" w:cs="Segoe UI"/>
                <w:sz w:val="17"/>
                <w:szCs w:val="17"/>
                <w:lang w:val="en-US" w:eastAsia="zh-TW"/>
              </w:rPr>
              <w:t>《</w:t>
            </w:r>
            <w:r w:rsidRPr="005A22C2">
              <w:rPr>
                <w:rFonts w:eastAsia="新細明體" w:cs="Segoe UI"/>
                <w:sz w:val="17"/>
                <w:szCs w:val="17"/>
                <w:lang w:val="en-US" w:eastAsia="zh-HK"/>
              </w:rPr>
              <w:t>資本規則</w:t>
            </w:r>
            <w:r w:rsidRPr="005A22C2">
              <w:rPr>
                <w:rFonts w:eastAsia="新細明體" w:cs="Segoe UI"/>
                <w:sz w:val="17"/>
                <w:szCs w:val="17"/>
                <w:lang w:val="en-US" w:eastAsia="zh-TW"/>
              </w:rPr>
              <w:t>》第</w:t>
            </w:r>
            <w:r w:rsidRPr="005A22C2">
              <w:rPr>
                <w:rFonts w:eastAsia="新細明體" w:cs="Segoe UI"/>
                <w:sz w:val="17"/>
                <w:szCs w:val="17"/>
                <w:lang w:val="en-US" w:eastAsia="zh-TW"/>
              </w:rPr>
              <w:t>8A</w:t>
            </w:r>
            <w:r w:rsidRPr="005A22C2">
              <w:rPr>
                <w:rFonts w:eastAsia="新細明體" w:cs="Segoe UI"/>
                <w:sz w:val="17"/>
                <w:szCs w:val="17"/>
                <w:lang w:val="en-US" w:eastAsia="zh-TW"/>
              </w:rPr>
              <w:t>部</w:t>
            </w:r>
            <w:r w:rsidRPr="005A22C2">
              <w:rPr>
                <w:rFonts w:eastAsia="新細明體" w:cs="Segoe UI"/>
                <w:sz w:val="17"/>
                <w:szCs w:val="17"/>
                <w:lang w:val="en-US" w:eastAsia="zh-HK"/>
              </w:rPr>
              <w:t>計算</w:t>
            </w:r>
            <w:r w:rsidRPr="005A22C2">
              <w:rPr>
                <w:rFonts w:ascii="新細明體" w:eastAsia="新細明體" w:hAnsi="新細明體"/>
                <w:sz w:val="17"/>
                <w:szCs w:val="17"/>
                <w:lang w:val="en-US" w:eastAsia="zh-TW"/>
              </w:rPr>
              <w:t>的</w:t>
            </w:r>
            <w:r w:rsidRPr="005A22C2">
              <w:rPr>
                <w:rFonts w:eastAsia="新細明體" w:cs="Segoe UI"/>
                <w:sz w:val="17"/>
                <w:szCs w:val="17"/>
                <w:lang w:val="en-US" w:eastAsia="zh-HK"/>
              </w:rPr>
              <w:t>簡化基本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計算法下的</w:t>
            </w:r>
            <w:r w:rsidRPr="005A22C2">
              <w:rPr>
                <w:rFonts w:eastAsia="新細明體" w:cs="Segoe UI"/>
                <w:sz w:val="17"/>
                <w:szCs w:val="17"/>
                <w:lang w:val="en-US" w:eastAsia="zh-TW"/>
              </w:rPr>
              <w:t>CVA</w:t>
            </w:r>
            <w:r w:rsidRPr="005A22C2">
              <w:rPr>
                <w:rFonts w:eastAsia="新細明體" w:cs="Segoe UI"/>
                <w:sz w:val="17"/>
                <w:szCs w:val="17"/>
                <w:lang w:val="en-US" w:eastAsia="zh-HK"/>
              </w:rPr>
              <w:t>風險資本要求</w:t>
            </w:r>
            <w:r w:rsidR="00911A47" w:rsidRPr="005A22C2">
              <w:rPr>
                <w:rFonts w:eastAsia="新細明體" w:cs="Segoe UI" w:hint="eastAsia"/>
                <w:sz w:val="17"/>
                <w:szCs w:val="17"/>
                <w:lang w:eastAsia="zh-HK"/>
              </w:rPr>
              <w:t>（</w:t>
            </w:r>
            <w:r w:rsidRPr="005A22C2">
              <w:rPr>
                <w:rFonts w:eastAsia="新細明體" w:cs="Segoe UI"/>
                <w:iCs/>
                <w:sz w:val="17"/>
                <w:szCs w:val="17"/>
                <w:lang w:val="en-US" w:eastAsia="zh-HK"/>
              </w:rPr>
              <w:t>即</w:t>
            </w:r>
            <w:r w:rsidRPr="005A22C2">
              <w:rPr>
                <w:rFonts w:eastAsia="新細明體" w:cs="Segoe UI"/>
                <w:iCs/>
                <w:sz w:val="17"/>
                <w:szCs w:val="17"/>
                <w:lang w:val="en-US" w:eastAsia="zh-HK"/>
              </w:rPr>
              <w:t xml:space="preserve"> </w:t>
            </w:r>
            <w:proofErr w:type="spellStart"/>
            <w:r w:rsidRPr="005A22C2">
              <w:rPr>
                <w:rFonts w:eastAsia="新細明體" w:cs="Segoe UI"/>
                <w:iCs/>
                <w:sz w:val="17"/>
                <w:szCs w:val="17"/>
                <w:lang w:val="en-US" w:eastAsia="zh-TW"/>
              </w:rPr>
              <w:t>BA_CVA</w:t>
            </w:r>
            <w:r w:rsidRPr="005A22C2">
              <w:rPr>
                <w:rFonts w:eastAsia="新細明體" w:cs="Segoe UI"/>
                <w:iCs/>
                <w:sz w:val="17"/>
                <w:szCs w:val="17"/>
                <w:vertAlign w:val="subscript"/>
                <w:lang w:val="en-US" w:eastAsia="zh-TW"/>
              </w:rPr>
              <w:t>reduced</w:t>
            </w:r>
            <w:proofErr w:type="spellEnd"/>
            <w:r w:rsidR="0016125B" w:rsidRPr="005A22C2">
              <w:rPr>
                <w:rFonts w:eastAsia="新細明體" w:cs="Segoe UI" w:hint="eastAsia"/>
                <w:iCs/>
                <w:sz w:val="17"/>
                <w:szCs w:val="17"/>
                <w:lang w:eastAsia="zh-TW"/>
              </w:rPr>
              <w:t>）</w:t>
            </w:r>
            <w:r w:rsidRPr="005A22C2">
              <w:rPr>
                <w:rFonts w:eastAsia="新細明體" w:cs="Segoe UI"/>
                <w:sz w:val="17"/>
                <w:szCs w:val="17"/>
                <w:lang w:val="en-US" w:eastAsia="zh-TW"/>
              </w:rPr>
              <w:t>。</w:t>
            </w:r>
            <w:r w:rsidRPr="005A22C2">
              <w:rPr>
                <w:rFonts w:eastAsia="新細明體" w:cs="Segoe UI"/>
                <w:sz w:val="17"/>
                <w:szCs w:val="17"/>
                <w:lang w:val="en-US" w:eastAsia="zh-HK"/>
              </w:rPr>
              <w:t>若認可機構就所有</w:t>
            </w:r>
            <w:r w:rsidRPr="005A22C2">
              <w:rPr>
                <w:rFonts w:eastAsia="新細明體" w:cs="Segoe UI"/>
                <w:sz w:val="17"/>
                <w:szCs w:val="17"/>
                <w:lang w:val="en-US" w:eastAsia="zh-TW"/>
              </w:rPr>
              <w:t>CVA</w:t>
            </w:r>
            <w:r w:rsidRPr="005A22C2">
              <w:rPr>
                <w:rFonts w:eastAsia="新細明體" w:cs="Segoe UI"/>
                <w:sz w:val="17"/>
                <w:szCs w:val="17"/>
                <w:lang w:val="en-US" w:eastAsia="zh-HK"/>
              </w:rPr>
              <w:t>風險承擔僅採用簡化基本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w:t>
            </w:r>
            <w:r w:rsidRPr="005A22C2">
              <w:rPr>
                <w:rFonts w:eastAsia="新細明體" w:cs="Segoe UI"/>
                <w:sz w:val="17"/>
                <w:szCs w:val="17"/>
                <w:lang w:val="en-US" w:eastAsia="zh-TW"/>
              </w:rPr>
              <w:t>，</w:t>
            </w:r>
            <w:r w:rsidRPr="005A22C2">
              <w:rPr>
                <w:rFonts w:eastAsia="新細明體" w:cs="Segoe UI"/>
                <w:sz w:val="17"/>
                <w:szCs w:val="17"/>
                <w:lang w:val="en-US" w:eastAsia="zh-HK"/>
              </w:rPr>
              <w:t>則</w:t>
            </w:r>
            <w:r w:rsidRPr="005A22C2">
              <w:rPr>
                <w:rFonts w:eastAsia="新細明體" w:cs="Segoe UI"/>
                <w:sz w:val="17"/>
                <w:szCs w:val="17"/>
                <w:lang w:val="en-US" w:eastAsia="zh-TW"/>
              </w:rPr>
              <w:t>[CVA1:3/</w:t>
            </w:r>
            <w:proofErr w:type="gramStart"/>
            <w:r w:rsidRPr="005A22C2">
              <w:rPr>
                <w:rFonts w:eastAsia="新細明體" w:cs="Segoe UI"/>
                <w:sz w:val="17"/>
                <w:szCs w:val="17"/>
                <w:lang w:val="en-US" w:eastAsia="zh-TW"/>
              </w:rPr>
              <w:t>b]</w:t>
            </w:r>
            <w:r w:rsidRPr="005A22C2">
              <w:rPr>
                <w:rFonts w:eastAsia="新細明體" w:cs="Segoe UI"/>
                <w:sz w:val="17"/>
                <w:szCs w:val="17"/>
                <w:lang w:val="en-US" w:eastAsia="zh-HK"/>
              </w:rPr>
              <w:t>的值應</w:t>
            </w:r>
            <w:r w:rsidRPr="005A22C2">
              <w:rPr>
                <w:rFonts w:eastAsia="新細明體" w:cs="Segoe UI" w:hint="eastAsia"/>
                <w:sz w:val="17"/>
                <w:szCs w:val="17"/>
                <w:lang w:val="en-US" w:eastAsia="zh-HK"/>
              </w:rPr>
              <w:t>相</w:t>
            </w:r>
            <w:r w:rsidRPr="005A22C2">
              <w:rPr>
                <w:rFonts w:eastAsia="新細明體" w:cs="Segoe UI"/>
                <w:sz w:val="17"/>
                <w:szCs w:val="17"/>
                <w:lang w:val="en-US" w:eastAsia="zh-HK"/>
              </w:rPr>
              <w:t>等於</w:t>
            </w:r>
            <w:proofErr w:type="gramEnd"/>
            <w:r w:rsidRPr="005A22C2">
              <w:rPr>
                <w:rFonts w:eastAsia="新細明體" w:cs="Segoe UI"/>
                <w:sz w:val="17"/>
                <w:szCs w:val="17"/>
                <w:lang w:val="en-US" w:eastAsia="zh-TW"/>
              </w:rPr>
              <w:t>[OV1:10/c]</w:t>
            </w:r>
            <w:r w:rsidRPr="005A22C2">
              <w:rPr>
                <w:rFonts w:eastAsia="新細明體" w:cs="Segoe UI"/>
                <w:sz w:val="17"/>
                <w:szCs w:val="17"/>
                <w:lang w:val="en-US" w:eastAsia="zh-HK"/>
              </w:rPr>
              <w:t>的值</w:t>
            </w:r>
            <w:r w:rsidRPr="005A22C2">
              <w:rPr>
                <w:rFonts w:eastAsia="新細明體" w:cs="Segoe UI"/>
                <w:sz w:val="17"/>
                <w:szCs w:val="17"/>
                <w:lang w:val="en-US" w:eastAsia="zh-TW"/>
              </w:rPr>
              <w:t>。</w:t>
            </w:r>
          </w:p>
        </w:tc>
      </w:tr>
    </w:tbl>
    <w:p w14:paraId="5083CC53" w14:textId="77777777" w:rsidR="00E932DC" w:rsidRDefault="00E932DC" w:rsidP="00E932DC">
      <w:pPr>
        <w:spacing w:before="40" w:after="40"/>
        <w:jc w:val="both"/>
        <w:rPr>
          <w:rFonts w:eastAsia="新細明體" w:cs="Segoe UI"/>
          <w:sz w:val="17"/>
          <w:lang w:eastAsia="fr-FR"/>
        </w:rPr>
        <w:sectPr w:rsidR="00E932DC">
          <w:footerReference w:type="default" r:id="rId89"/>
          <w:pgSz w:w="11906" w:h="16838"/>
          <w:pgMar w:top="1440" w:right="1800" w:bottom="1440" w:left="1800" w:header="851" w:footer="992" w:gutter="0"/>
          <w:cols w:space="425"/>
          <w:docGrid w:type="lines" w:linePitch="360"/>
        </w:sectPr>
      </w:pPr>
    </w:p>
    <w:p w14:paraId="1069FB4F" w14:textId="11D0C4BF" w:rsidR="00A24744" w:rsidRPr="005A22C2" w:rsidRDefault="00A24744" w:rsidP="00A24744">
      <w:pPr>
        <w:pStyle w:val="Heading2"/>
        <w:keepNext w:val="0"/>
        <w:suppressAutoHyphens w:val="0"/>
        <w:spacing w:before="40" w:line="240" w:lineRule="auto"/>
        <w:ind w:left="-454"/>
        <w:rPr>
          <w:rFonts w:ascii="細明體" w:eastAsia="細明體" w:hAnsi="細明體"/>
          <w:b w:val="0"/>
          <w:bCs w:val="0"/>
          <w:sz w:val="22"/>
          <w:szCs w:val="20"/>
          <w:lang w:eastAsia="zh-TW"/>
        </w:rPr>
      </w:pPr>
      <w:r w:rsidRPr="005A22C2">
        <w:rPr>
          <w:rFonts w:ascii="細明體" w:eastAsia="細明體" w:hAnsi="細明體" w:cs="微軟正黑體" w:hint="eastAsia"/>
          <w:b w:val="0"/>
          <w:bCs w:val="0"/>
          <w:sz w:val="22"/>
          <w:szCs w:val="20"/>
          <w:lang w:eastAsia="zh-TW"/>
        </w:rPr>
        <w:t>模版</w:t>
      </w:r>
      <w:r w:rsidRPr="005A22C2">
        <w:rPr>
          <w:rFonts w:ascii="Segoe UI" w:eastAsia="細明體" w:hAnsi="Segoe UI" w:cs="Segoe UI"/>
          <w:b w:val="0"/>
          <w:bCs w:val="0"/>
          <w:sz w:val="22"/>
          <w:szCs w:val="20"/>
          <w:lang w:eastAsia="zh-TW"/>
        </w:rPr>
        <w:t>CVA2</w:t>
      </w:r>
      <w:r w:rsidRPr="005A22C2">
        <w:rPr>
          <w:rFonts w:ascii="細明體" w:eastAsia="細明體" w:hAnsi="細明體" w:cs="微軟正黑體" w:hint="eastAsia"/>
          <w:b w:val="0"/>
          <w:bCs w:val="0"/>
          <w:sz w:val="22"/>
          <w:szCs w:val="20"/>
          <w:lang w:eastAsia="zh-TW"/>
        </w:rPr>
        <w:t>：在完整基本</w:t>
      </w:r>
      <w:r w:rsidR="00BA6AF5" w:rsidRPr="005A22C2">
        <w:rPr>
          <w:rFonts w:ascii="Segoe UI" w:eastAsia="細明體" w:hAnsi="Segoe UI" w:cs="Segoe UI"/>
          <w:b w:val="0"/>
          <w:bCs w:val="0"/>
          <w:sz w:val="22"/>
          <w:szCs w:val="20"/>
          <w:lang w:eastAsia="zh-TW"/>
        </w:rPr>
        <w:t>CVA</w:t>
      </w:r>
      <w:r w:rsidRPr="005A22C2">
        <w:rPr>
          <w:rFonts w:ascii="細明體" w:eastAsia="細明體" w:hAnsi="細明體" w:cs="微軟正黑體" w:hint="eastAsia"/>
          <w:b w:val="0"/>
          <w:bCs w:val="0"/>
          <w:sz w:val="22"/>
          <w:szCs w:val="20"/>
          <w:lang w:eastAsia="zh-TW"/>
        </w:rPr>
        <w:t>計算法下的</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hint="eastAsia"/>
          <w:b w:val="0"/>
          <w:bCs w:val="0"/>
          <w:sz w:val="22"/>
          <w:szCs w:val="20"/>
          <w:lang w:eastAsia="zh-TW"/>
        </w:rPr>
        <w:t>風險</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5A22C2" w:rsidRPr="005A22C2" w14:paraId="4ADBB6FD" w14:textId="77777777" w:rsidTr="00A94770">
        <w:tc>
          <w:tcPr>
            <w:tcW w:w="2160" w:type="dxa"/>
            <w:tcBorders>
              <w:top w:val="single" w:sz="4" w:space="0" w:color="auto"/>
              <w:left w:val="nil"/>
              <w:bottom w:val="single" w:sz="4" w:space="0" w:color="auto"/>
              <w:right w:val="single" w:sz="4" w:space="0" w:color="auto"/>
            </w:tcBorders>
            <w:hideMark/>
          </w:tcPr>
          <w:p w14:paraId="438B15CC" w14:textId="77777777" w:rsidR="00E932DC" w:rsidRPr="005A22C2" w:rsidRDefault="00E932DC" w:rsidP="00E932DC">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49CFFAF7" w14:textId="6858809D" w:rsidR="00E932DC" w:rsidRPr="005A22C2" w:rsidRDefault="00E932DC" w:rsidP="004D0753">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eastAsia="zh-TW"/>
              </w:rPr>
              <w:t>提供在</w:t>
            </w:r>
            <w:r w:rsidRPr="005A22C2">
              <w:rPr>
                <w:rFonts w:eastAsia="新細明體" w:cs="Segoe UI" w:hint="eastAsia"/>
                <w:sz w:val="17"/>
                <w:szCs w:val="17"/>
                <w:lang w:eastAsia="zh-HK"/>
              </w:rPr>
              <w:t>完整</w:t>
            </w:r>
            <w:r w:rsidRPr="005A22C2">
              <w:rPr>
                <w:rFonts w:eastAsia="新細明體" w:cs="Segoe UI"/>
                <w:sz w:val="17"/>
                <w:szCs w:val="17"/>
                <w:lang w:eastAsia="zh-TW"/>
              </w:rPr>
              <w:t>基本</w:t>
            </w:r>
            <w:r w:rsidRPr="005A22C2">
              <w:rPr>
                <w:rFonts w:eastAsia="新細明體" w:cs="Segoe UI"/>
                <w:sz w:val="17"/>
                <w:szCs w:val="17"/>
                <w:lang w:eastAsia="zh-TW"/>
              </w:rPr>
              <w:t>CVA</w:t>
            </w:r>
            <w:r w:rsidRPr="005A22C2">
              <w:rPr>
                <w:rFonts w:eastAsia="新細明體" w:cs="Segoe UI"/>
                <w:sz w:val="17"/>
                <w:szCs w:val="17"/>
                <w:lang w:eastAsia="zh-TW"/>
              </w:rPr>
              <w:t>計算法下用</w:t>
            </w:r>
            <w:r w:rsidRPr="005A22C2">
              <w:rPr>
                <w:rFonts w:ascii="新細明體" w:eastAsia="新細明體" w:hAnsi="新細明體" w:cs="Segoe UI" w:hint="eastAsia"/>
                <w:sz w:val="17"/>
                <w:szCs w:val="17"/>
                <w:lang w:val="en-US" w:eastAsia="zh-TW"/>
              </w:rPr>
              <w:t>於</w:t>
            </w:r>
            <w:r w:rsidRPr="005A22C2">
              <w:rPr>
                <w:rFonts w:eastAsia="新細明體" w:cs="Segoe UI"/>
                <w:sz w:val="17"/>
                <w:szCs w:val="17"/>
                <w:lang w:eastAsia="zh-TW"/>
              </w:rPr>
              <w:t>計算</w:t>
            </w:r>
            <w:r w:rsidRPr="005A22C2">
              <w:rPr>
                <w:rFonts w:eastAsia="新細明體" w:cs="Segoe UI"/>
                <w:sz w:val="17"/>
                <w:szCs w:val="17"/>
                <w:lang w:eastAsia="zh-TW"/>
              </w:rPr>
              <w:t>CVA</w:t>
            </w:r>
            <w:r w:rsidRPr="005A22C2">
              <w:rPr>
                <w:rFonts w:eastAsia="新細明體" w:cs="Segoe UI"/>
                <w:sz w:val="17"/>
                <w:szCs w:val="17"/>
                <w:lang w:eastAsia="zh-TW"/>
              </w:rPr>
              <w:t>風險資本要求的組成部分。</w:t>
            </w:r>
          </w:p>
        </w:tc>
      </w:tr>
      <w:tr w:rsidR="005A22C2" w:rsidRPr="005A22C2" w14:paraId="417ABD87" w14:textId="77777777" w:rsidTr="00A94770">
        <w:tc>
          <w:tcPr>
            <w:tcW w:w="2160" w:type="dxa"/>
            <w:tcBorders>
              <w:top w:val="single" w:sz="4" w:space="0" w:color="auto"/>
              <w:left w:val="nil"/>
              <w:bottom w:val="single" w:sz="4" w:space="0" w:color="auto"/>
              <w:right w:val="single" w:sz="4" w:space="0" w:color="auto"/>
            </w:tcBorders>
            <w:hideMark/>
          </w:tcPr>
          <w:p w14:paraId="6A07D8E8"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4A1923AF" w14:textId="17E42435"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在香港成立為法團並使用</w:t>
            </w:r>
            <w:r w:rsidRPr="005A22C2">
              <w:rPr>
                <w:rFonts w:ascii="新細明體" w:eastAsia="新細明體" w:hAnsi="新細明體" w:cs="Segoe UI" w:hint="eastAsia"/>
                <w:sz w:val="17"/>
                <w:szCs w:val="17"/>
                <w:lang w:eastAsia="zh-TW"/>
              </w:rPr>
              <w:t>完整</w:t>
            </w:r>
            <w:r w:rsidRPr="005A22C2">
              <w:rPr>
                <w:rFonts w:eastAsia="新細明體" w:cs="Segoe UI"/>
                <w:sz w:val="17"/>
                <w:szCs w:val="17"/>
                <w:lang w:val="en-US" w:eastAsia="zh-HK"/>
              </w:rPr>
              <w:t>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計算法計算</w:t>
            </w:r>
            <w:r w:rsidRPr="005A22C2">
              <w:rPr>
                <w:rFonts w:eastAsia="新細明體" w:cs="Segoe UI" w:hint="eastAsia"/>
                <w:sz w:val="17"/>
                <w:szCs w:val="17"/>
                <w:lang w:val="en-US" w:eastAsia="zh-HK"/>
              </w:rPr>
              <w:t>其</w:t>
            </w:r>
            <w:r w:rsidRPr="005A22C2">
              <w:rPr>
                <w:rFonts w:eastAsia="新細明體" w:cs="Segoe UI"/>
                <w:sz w:val="17"/>
                <w:szCs w:val="17"/>
                <w:lang w:val="en-US" w:eastAsia="zh-HK"/>
              </w:rPr>
              <w:t>部分或所有的</w:t>
            </w:r>
            <w:r w:rsidRPr="005A22C2">
              <w:rPr>
                <w:rFonts w:eastAsia="新細明體" w:cs="Segoe UI"/>
                <w:sz w:val="17"/>
                <w:szCs w:val="17"/>
                <w:lang w:val="en-US" w:eastAsia="zh-TW"/>
              </w:rPr>
              <w:t>CVA</w:t>
            </w:r>
            <w:r w:rsidRPr="005A22C2">
              <w:rPr>
                <w:rFonts w:eastAsia="新細明體" w:cs="Segoe UI"/>
                <w:sz w:val="17"/>
                <w:szCs w:val="17"/>
                <w:lang w:val="en-US" w:eastAsia="zh-HK"/>
              </w:rPr>
              <w:t>風險資本要求的認可機構均須填報本模版</w:t>
            </w:r>
            <w:r w:rsidRPr="005A22C2">
              <w:rPr>
                <w:rFonts w:eastAsia="新細明體" w:cs="Segoe UI"/>
                <w:sz w:val="17"/>
                <w:szCs w:val="17"/>
                <w:lang w:val="en-US" w:eastAsia="zh-TW"/>
              </w:rPr>
              <w:t>。</w:t>
            </w:r>
            <w:r w:rsidRPr="005A22C2">
              <w:rPr>
                <w:rFonts w:eastAsia="新細明體" w:cs="Segoe UI"/>
                <w:sz w:val="17"/>
                <w:szCs w:val="17"/>
                <w:lang w:val="en-US" w:eastAsia="zh-HK"/>
              </w:rPr>
              <w:t>認可機構應只填報在</w:t>
            </w:r>
            <w:r w:rsidRPr="005A22C2">
              <w:rPr>
                <w:rFonts w:ascii="新細明體" w:eastAsia="新細明體" w:hAnsi="新細明體" w:cs="Segoe UI" w:hint="eastAsia"/>
                <w:sz w:val="17"/>
                <w:szCs w:val="17"/>
                <w:lang w:eastAsia="zh-TW"/>
              </w:rPr>
              <w:t>完整</w:t>
            </w:r>
            <w:r w:rsidRPr="005A22C2">
              <w:rPr>
                <w:rFonts w:eastAsia="新細明體" w:cs="Segoe UI"/>
                <w:sz w:val="17"/>
                <w:szCs w:val="17"/>
                <w:lang w:val="en-US" w:eastAsia="zh-HK"/>
              </w:rPr>
              <w:t>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計算法下從淨額計算組合得出的資本要求</w:t>
            </w:r>
            <w:r w:rsidRPr="005A22C2">
              <w:rPr>
                <w:rFonts w:eastAsia="新細明體" w:cs="Segoe UI"/>
                <w:sz w:val="17"/>
                <w:szCs w:val="17"/>
                <w:lang w:val="en-US" w:eastAsia="zh-TW"/>
              </w:rPr>
              <w:t>。</w:t>
            </w:r>
          </w:p>
        </w:tc>
      </w:tr>
      <w:tr w:rsidR="005A22C2" w:rsidRPr="005A22C2" w14:paraId="21CE1CCC" w14:textId="77777777" w:rsidTr="00A94770">
        <w:tc>
          <w:tcPr>
            <w:tcW w:w="2160" w:type="dxa"/>
            <w:tcBorders>
              <w:top w:val="single" w:sz="4" w:space="0" w:color="auto"/>
              <w:left w:val="nil"/>
              <w:bottom w:val="single" w:sz="4" w:space="0" w:color="auto"/>
              <w:right w:val="single" w:sz="4" w:space="0" w:color="auto"/>
            </w:tcBorders>
            <w:hideMark/>
          </w:tcPr>
          <w:p w14:paraId="1CC5AC6D"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667496E8" w14:textId="77777777" w:rsidR="00E932DC" w:rsidRPr="005A22C2" w:rsidRDefault="00E932DC" w:rsidP="00E932DC">
            <w:pPr>
              <w:spacing w:before="40" w:after="40"/>
              <w:jc w:val="both"/>
              <w:rPr>
                <w:rFonts w:eastAsia="新細明體" w:cs="Segoe UI"/>
                <w:sz w:val="17"/>
                <w:szCs w:val="17"/>
              </w:rPr>
            </w:pPr>
            <w:r w:rsidRPr="005A22C2">
              <w:rPr>
                <w:rFonts w:eastAsia="新細明體" w:cs="Segoe UI"/>
                <w:sz w:val="17"/>
                <w:szCs w:val="17"/>
                <w:lang w:eastAsia="zh-HK"/>
              </w:rPr>
              <w:t>資本要求</w:t>
            </w:r>
            <w:r w:rsidRPr="005A22C2">
              <w:rPr>
                <w:rFonts w:eastAsia="新細明體" w:cs="Segoe UI"/>
                <w:sz w:val="17"/>
                <w:szCs w:val="17"/>
                <w:lang w:eastAsia="zh-TW"/>
              </w:rPr>
              <w:t>。</w:t>
            </w:r>
          </w:p>
        </w:tc>
      </w:tr>
      <w:tr w:rsidR="005A22C2" w:rsidRPr="005A22C2" w14:paraId="4467D22E" w14:textId="77777777" w:rsidTr="00A94770">
        <w:tc>
          <w:tcPr>
            <w:tcW w:w="2160" w:type="dxa"/>
            <w:tcBorders>
              <w:top w:val="single" w:sz="4" w:space="0" w:color="auto"/>
              <w:left w:val="nil"/>
              <w:bottom w:val="single" w:sz="4" w:space="0" w:color="auto"/>
              <w:right w:val="single" w:sz="4" w:space="0" w:color="auto"/>
            </w:tcBorders>
            <w:hideMark/>
          </w:tcPr>
          <w:p w14:paraId="7B3381C4"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02063D3C" w14:textId="77777777" w:rsidR="00E932DC" w:rsidRPr="005A22C2" w:rsidRDefault="00E932DC" w:rsidP="00E932DC">
            <w:pPr>
              <w:spacing w:before="40" w:after="40"/>
              <w:jc w:val="both"/>
              <w:rPr>
                <w:rFonts w:eastAsia="新細明體" w:cs="Segoe UI"/>
                <w:sz w:val="17"/>
                <w:lang w:eastAsia="en-GB"/>
              </w:rPr>
            </w:pPr>
            <w:proofErr w:type="spellStart"/>
            <w:r w:rsidRPr="005A22C2">
              <w:rPr>
                <w:rFonts w:eastAsia="新細明體" w:cs="Segoe UI"/>
                <w:sz w:val="17"/>
                <w:lang w:eastAsia="en-GB"/>
              </w:rPr>
              <w:t>每半年一次</w:t>
            </w:r>
            <w:proofErr w:type="spellEnd"/>
            <w:r w:rsidRPr="005A22C2">
              <w:rPr>
                <w:rFonts w:eastAsia="新細明體" w:cs="Segoe UI"/>
                <w:sz w:val="17"/>
                <w:lang w:eastAsia="en-GB"/>
              </w:rPr>
              <w:t>。</w:t>
            </w:r>
          </w:p>
        </w:tc>
      </w:tr>
      <w:tr w:rsidR="005A22C2" w:rsidRPr="005A22C2" w14:paraId="1DADD15E" w14:textId="77777777" w:rsidTr="00A94770">
        <w:tc>
          <w:tcPr>
            <w:tcW w:w="2160" w:type="dxa"/>
            <w:tcBorders>
              <w:top w:val="single" w:sz="4" w:space="0" w:color="auto"/>
              <w:left w:val="nil"/>
              <w:bottom w:val="single" w:sz="4" w:space="0" w:color="auto"/>
              <w:right w:val="single" w:sz="4" w:space="0" w:color="auto"/>
            </w:tcBorders>
            <w:hideMark/>
          </w:tcPr>
          <w:p w14:paraId="5DF70F12"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6A0A06A5" w14:textId="0EE58D69" w:rsidR="00E932DC" w:rsidRPr="005A22C2" w:rsidRDefault="00E932DC" w:rsidP="00951C95">
            <w:pPr>
              <w:spacing w:before="40" w:after="40"/>
              <w:jc w:val="both"/>
              <w:rPr>
                <w:rFonts w:eastAsia="新細明體" w:cs="Segoe UI"/>
                <w:sz w:val="17"/>
                <w:lang w:eastAsia="zh-TW"/>
              </w:rPr>
            </w:pPr>
            <w:r w:rsidRPr="005A22C2">
              <w:rPr>
                <w:rFonts w:eastAsia="新細明體" w:cs="Segoe UI"/>
                <w:sz w:val="17"/>
                <w:lang w:eastAsia="zh-TW"/>
              </w:rPr>
              <w:t>固定。</w:t>
            </w:r>
            <w:r w:rsidRPr="005A22C2">
              <w:rPr>
                <w:rFonts w:eastAsia="新細明體" w:cs="Segoe UI"/>
                <w:sz w:val="17"/>
                <w:lang w:eastAsia="zh-HK"/>
              </w:rPr>
              <w:t>可加</w:t>
            </w:r>
            <w:r w:rsidR="00951C95" w:rsidRPr="005A22C2">
              <w:rPr>
                <w:rFonts w:eastAsia="新細明體" w:cs="Segoe UI" w:hint="eastAsia"/>
                <w:sz w:val="17"/>
                <w:lang w:eastAsia="zh-HK"/>
              </w:rPr>
              <w:t>入附加</w:t>
            </w:r>
            <w:r w:rsidRPr="005A22C2">
              <w:rPr>
                <w:rFonts w:eastAsia="新細明體" w:cs="Segoe UI"/>
                <w:sz w:val="17"/>
                <w:lang w:eastAsia="zh-HK"/>
              </w:rPr>
              <w:t>行以填報其他風險的細目分類</w:t>
            </w:r>
            <w:r w:rsidRPr="005A22C2">
              <w:rPr>
                <w:rFonts w:eastAsia="新細明體" w:cs="Segoe UI"/>
                <w:sz w:val="17"/>
                <w:lang w:eastAsia="zh-TW"/>
              </w:rPr>
              <w:t>。</w:t>
            </w:r>
          </w:p>
        </w:tc>
      </w:tr>
      <w:tr w:rsidR="005A22C2" w:rsidRPr="005A22C2" w14:paraId="6FCF6EAE" w14:textId="77777777" w:rsidTr="00A94770">
        <w:tc>
          <w:tcPr>
            <w:tcW w:w="2160" w:type="dxa"/>
            <w:tcBorders>
              <w:top w:val="single" w:sz="4" w:space="0" w:color="auto"/>
              <w:left w:val="nil"/>
              <w:bottom w:val="single" w:sz="4" w:space="0" w:color="auto"/>
              <w:right w:val="single" w:sz="4" w:space="0" w:color="auto"/>
            </w:tcBorders>
            <w:hideMark/>
          </w:tcPr>
          <w:p w14:paraId="3045CC6E" w14:textId="77777777" w:rsidR="00E932DC" w:rsidRPr="005A22C2" w:rsidRDefault="00E932DC" w:rsidP="00E932DC">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tcPr>
          <w:p w14:paraId="00C0642B" w14:textId="77777777" w:rsidR="00E932DC" w:rsidRPr="005A22C2" w:rsidRDefault="00E932DC" w:rsidP="00E932DC">
            <w:pPr>
              <w:spacing w:before="40" w:after="40"/>
              <w:jc w:val="both"/>
              <w:rPr>
                <w:rFonts w:eastAsia="新細明體" w:cs="Segoe UI"/>
                <w:sz w:val="17"/>
                <w:lang w:eastAsia="en-GB"/>
              </w:rPr>
            </w:pPr>
            <w:r w:rsidRPr="005A22C2">
              <w:rPr>
                <w:rFonts w:ascii="DengXian" w:eastAsia="DengXian" w:hAnsi="DengXian" w:cs="Segoe UI" w:hint="eastAsia"/>
                <w:sz w:val="17"/>
                <w:lang w:eastAsia="zh-CN"/>
              </w:rPr>
              <w:t>16</w:t>
            </w:r>
            <w:r w:rsidRPr="005A22C2">
              <w:rPr>
                <w:rFonts w:ascii="DengXian" w:eastAsia="DengXian" w:hAnsi="DengXian" w:cs="Segoe UI"/>
                <w:sz w:val="17"/>
                <w:lang w:eastAsia="zh-CN"/>
              </w:rPr>
              <w:t>ZOD</w:t>
            </w:r>
          </w:p>
        </w:tc>
      </w:tr>
    </w:tbl>
    <w:p w14:paraId="03D5F7BC" w14:textId="77777777" w:rsidR="00E932DC" w:rsidRPr="005A22C2" w:rsidRDefault="00E932DC" w:rsidP="00E932DC">
      <w:pPr>
        <w:rPr>
          <w:rFonts w:eastAsia="新細明體" w:cs="Segoe UI"/>
        </w:rPr>
      </w:pPr>
    </w:p>
    <w:tbl>
      <w:tblPr>
        <w:tblW w:w="9214"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2552"/>
        <w:gridCol w:w="6095"/>
      </w:tblGrid>
      <w:tr w:rsidR="005A22C2" w:rsidRPr="005A22C2" w14:paraId="155C67E0" w14:textId="77777777" w:rsidTr="00E932DC">
        <w:trPr>
          <w:cantSplit/>
          <w:tblHeader/>
        </w:trPr>
        <w:tc>
          <w:tcPr>
            <w:tcW w:w="3119" w:type="dxa"/>
            <w:gridSpan w:val="2"/>
            <w:tcBorders>
              <w:top w:val="nil"/>
              <w:left w:val="nil"/>
              <w:bottom w:val="nil"/>
              <w:right w:val="single" w:sz="4" w:space="0" w:color="auto"/>
            </w:tcBorders>
            <w:vAlign w:val="center"/>
          </w:tcPr>
          <w:p w14:paraId="428DA351" w14:textId="77777777" w:rsidR="00E932DC" w:rsidRPr="005A22C2" w:rsidRDefault="00E932DC" w:rsidP="00E932DC">
            <w:pPr>
              <w:snapToGrid w:val="0"/>
              <w:spacing w:before="40" w:after="40"/>
              <w:rPr>
                <w:rFonts w:eastAsia="新細明體" w:cs="Segoe UI"/>
                <w:sz w:val="17"/>
                <w:lang w:eastAsia="fr-FR"/>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4EBF20DC"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rPr>
              <w:t>(a)</w:t>
            </w:r>
          </w:p>
        </w:tc>
      </w:tr>
      <w:tr w:rsidR="005A22C2" w:rsidRPr="005A22C2" w14:paraId="2E3B71A5" w14:textId="77777777" w:rsidTr="00E932DC">
        <w:trPr>
          <w:cantSplit/>
          <w:tblHeader/>
        </w:trPr>
        <w:tc>
          <w:tcPr>
            <w:tcW w:w="3119" w:type="dxa"/>
            <w:gridSpan w:val="2"/>
            <w:tcBorders>
              <w:top w:val="nil"/>
              <w:left w:val="nil"/>
              <w:bottom w:val="single" w:sz="4" w:space="0" w:color="auto"/>
              <w:right w:val="single" w:sz="4" w:space="0" w:color="auto"/>
            </w:tcBorders>
            <w:vAlign w:val="center"/>
          </w:tcPr>
          <w:p w14:paraId="1509A896" w14:textId="77777777" w:rsidR="00E932DC" w:rsidRPr="005A22C2" w:rsidRDefault="00E932DC" w:rsidP="00E932DC">
            <w:pPr>
              <w:snapToGrid w:val="0"/>
              <w:spacing w:before="40" w:after="40"/>
              <w:rPr>
                <w:rFonts w:eastAsia="新細明體" w:cs="Segoe UI"/>
                <w:sz w:val="17"/>
                <w:lang w:eastAsia="fr-FR"/>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2E953C6A" w14:textId="15812A4D" w:rsidR="00E932DC" w:rsidRPr="005A22C2" w:rsidRDefault="00E932DC" w:rsidP="00E932DC">
            <w:pPr>
              <w:snapToGrid w:val="0"/>
              <w:spacing w:before="40" w:after="40"/>
              <w:jc w:val="center"/>
              <w:rPr>
                <w:rFonts w:eastAsia="新細明體" w:cs="Segoe UI"/>
                <w:sz w:val="17"/>
                <w:lang w:eastAsia="zh-TW"/>
              </w:rPr>
            </w:pPr>
            <w:r w:rsidRPr="005A22C2">
              <w:rPr>
                <w:rFonts w:ascii="新細明體" w:eastAsia="新細明體" w:hAnsi="新細明體" w:hint="eastAsia"/>
                <w:sz w:val="17"/>
                <w:szCs w:val="17"/>
                <w:lang w:eastAsia="zh-TW"/>
              </w:rPr>
              <w:t>完整</w:t>
            </w:r>
            <w:r w:rsidRPr="005A22C2">
              <w:rPr>
                <w:rFonts w:eastAsia="新細明體" w:cs="Segoe UI"/>
                <w:sz w:val="17"/>
                <w:szCs w:val="17"/>
                <w:lang w:eastAsia="zh-HK"/>
              </w:rPr>
              <w:t>基本</w:t>
            </w:r>
            <w:r w:rsidRPr="005A22C2">
              <w:rPr>
                <w:rFonts w:eastAsia="新細明體" w:cs="Segoe UI"/>
                <w:sz w:val="17"/>
                <w:szCs w:val="17"/>
                <w:lang w:eastAsia="zh-TW"/>
              </w:rPr>
              <w:t>CVA</w:t>
            </w:r>
            <w:r w:rsidRPr="005A22C2">
              <w:rPr>
                <w:rFonts w:eastAsia="新細明體" w:cs="Segoe UI"/>
                <w:sz w:val="17"/>
                <w:szCs w:val="17"/>
                <w:lang w:eastAsia="zh-HK"/>
              </w:rPr>
              <w:t>計算法下的</w:t>
            </w:r>
            <w:r w:rsidRPr="005A22C2">
              <w:rPr>
                <w:rFonts w:eastAsia="新細明體" w:cs="Segoe UI"/>
                <w:sz w:val="17"/>
                <w:szCs w:val="17"/>
                <w:lang w:eastAsia="zh-TW"/>
              </w:rPr>
              <w:t>CVA</w:t>
            </w:r>
            <w:r w:rsidRPr="005A22C2">
              <w:rPr>
                <w:rFonts w:eastAsia="新細明體" w:cs="Segoe UI"/>
                <w:sz w:val="17"/>
                <w:szCs w:val="17"/>
                <w:lang w:eastAsia="zh-HK"/>
              </w:rPr>
              <w:t>風險資本要求</w:t>
            </w:r>
          </w:p>
        </w:tc>
      </w:tr>
      <w:tr w:rsidR="005A22C2" w:rsidRPr="005A22C2" w14:paraId="0A0B858E"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39839731"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1</w:t>
            </w:r>
          </w:p>
        </w:tc>
        <w:tc>
          <w:tcPr>
            <w:tcW w:w="2552" w:type="dxa"/>
            <w:tcBorders>
              <w:top w:val="single" w:sz="4" w:space="0" w:color="A6A6A6"/>
              <w:left w:val="single" w:sz="4" w:space="0" w:color="auto"/>
              <w:bottom w:val="single" w:sz="4" w:space="0" w:color="A6A6A6"/>
              <w:right w:val="single" w:sz="4" w:space="0" w:color="auto"/>
            </w:tcBorders>
            <w:hideMark/>
          </w:tcPr>
          <w:p w14:paraId="084BFAE3" w14:textId="77777777" w:rsidR="00E932DC" w:rsidRPr="005A22C2" w:rsidRDefault="00E932DC" w:rsidP="00E932DC">
            <w:pPr>
              <w:snapToGrid w:val="0"/>
              <w:spacing w:before="40" w:after="40"/>
              <w:rPr>
                <w:rFonts w:eastAsia="新細明體" w:cs="Segoe UI"/>
                <w:sz w:val="17"/>
              </w:rPr>
            </w:pPr>
            <w:proofErr w:type="spellStart"/>
            <w:r w:rsidRPr="005A22C2">
              <w:rPr>
                <w:rFonts w:eastAsia="新細明體" w:cs="Segoe UI"/>
                <w:iCs/>
                <w:sz w:val="17"/>
                <w:szCs w:val="17"/>
              </w:rPr>
              <w:t>BA_CVA</w:t>
            </w:r>
            <w:r w:rsidRPr="005A22C2">
              <w:rPr>
                <w:rFonts w:eastAsia="新細明體" w:cs="Segoe UI"/>
                <w:iCs/>
                <w:sz w:val="17"/>
                <w:szCs w:val="17"/>
                <w:vertAlign w:val="subscript"/>
              </w:rPr>
              <w:t>reduced</w:t>
            </w:r>
            <w:proofErr w:type="spellEnd"/>
          </w:p>
        </w:tc>
        <w:tc>
          <w:tcPr>
            <w:tcW w:w="6095" w:type="dxa"/>
            <w:tcBorders>
              <w:top w:val="single" w:sz="4" w:space="0" w:color="A6A6A6"/>
              <w:left w:val="single" w:sz="4" w:space="0" w:color="auto"/>
              <w:bottom w:val="single" w:sz="4" w:space="0" w:color="A6A6A6"/>
              <w:right w:val="single" w:sz="4" w:space="0" w:color="auto"/>
            </w:tcBorders>
            <w:vAlign w:val="center"/>
          </w:tcPr>
          <w:p w14:paraId="65E47FE6" w14:textId="77777777" w:rsidR="00E932DC" w:rsidRPr="005A22C2" w:rsidRDefault="00E932DC" w:rsidP="00E932DC">
            <w:pPr>
              <w:snapToGrid w:val="0"/>
              <w:spacing w:before="40" w:after="40"/>
              <w:rPr>
                <w:rFonts w:eastAsia="新細明體" w:cs="Segoe UI"/>
                <w:sz w:val="17"/>
              </w:rPr>
            </w:pPr>
          </w:p>
        </w:tc>
      </w:tr>
      <w:tr w:rsidR="005A22C2" w:rsidRPr="005A22C2" w14:paraId="14895F66"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770F5ABF"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2</w:t>
            </w:r>
          </w:p>
        </w:tc>
        <w:tc>
          <w:tcPr>
            <w:tcW w:w="2552" w:type="dxa"/>
            <w:tcBorders>
              <w:top w:val="single" w:sz="4" w:space="0" w:color="A6A6A6"/>
              <w:left w:val="single" w:sz="4" w:space="0" w:color="auto"/>
              <w:bottom w:val="single" w:sz="4" w:space="0" w:color="A6A6A6"/>
              <w:right w:val="single" w:sz="4" w:space="0" w:color="auto"/>
            </w:tcBorders>
            <w:hideMark/>
          </w:tcPr>
          <w:p w14:paraId="23193A23" w14:textId="77777777" w:rsidR="00E932DC" w:rsidRPr="005A22C2" w:rsidRDefault="00E932DC" w:rsidP="00E932DC">
            <w:pPr>
              <w:snapToGrid w:val="0"/>
              <w:spacing w:before="40" w:after="40"/>
              <w:rPr>
                <w:rFonts w:eastAsia="新細明體" w:cs="Segoe UI"/>
                <w:sz w:val="17"/>
              </w:rPr>
            </w:pPr>
            <w:proofErr w:type="spellStart"/>
            <w:r w:rsidRPr="005A22C2">
              <w:rPr>
                <w:rFonts w:eastAsia="新細明體" w:cs="Segoe UI"/>
                <w:iCs/>
                <w:sz w:val="17"/>
                <w:szCs w:val="17"/>
              </w:rPr>
              <w:t>BA_CVA</w:t>
            </w:r>
            <w:r w:rsidRPr="005A22C2">
              <w:rPr>
                <w:rFonts w:eastAsia="新細明體" w:cs="Segoe UI"/>
                <w:iCs/>
                <w:sz w:val="17"/>
                <w:szCs w:val="17"/>
                <w:vertAlign w:val="subscript"/>
              </w:rPr>
              <w:t>hedged</w:t>
            </w:r>
            <w:proofErr w:type="spellEnd"/>
          </w:p>
        </w:tc>
        <w:tc>
          <w:tcPr>
            <w:tcW w:w="6095" w:type="dxa"/>
            <w:tcBorders>
              <w:top w:val="single" w:sz="4" w:space="0" w:color="A6A6A6"/>
              <w:left w:val="single" w:sz="4" w:space="0" w:color="auto"/>
              <w:bottom w:val="single" w:sz="4" w:space="0" w:color="A6A6A6"/>
              <w:right w:val="single" w:sz="4" w:space="0" w:color="auto"/>
            </w:tcBorders>
            <w:vAlign w:val="center"/>
          </w:tcPr>
          <w:p w14:paraId="19D82829" w14:textId="77777777" w:rsidR="00E932DC" w:rsidRPr="005A22C2" w:rsidRDefault="00E932DC" w:rsidP="00E932DC">
            <w:pPr>
              <w:snapToGrid w:val="0"/>
              <w:spacing w:before="40" w:after="40"/>
              <w:rPr>
                <w:rFonts w:eastAsia="新細明體" w:cs="Segoe UI"/>
                <w:sz w:val="17"/>
              </w:rPr>
            </w:pPr>
          </w:p>
        </w:tc>
      </w:tr>
      <w:tr w:rsidR="005A22C2" w:rsidRPr="005A22C2" w14:paraId="77774575" w14:textId="77777777" w:rsidTr="00E932DC">
        <w:trPr>
          <w:cantSplit/>
        </w:trPr>
        <w:tc>
          <w:tcPr>
            <w:tcW w:w="567" w:type="dxa"/>
            <w:tcBorders>
              <w:top w:val="single" w:sz="4" w:space="0" w:color="A6A6A6"/>
              <w:left w:val="nil"/>
              <w:bottom w:val="single" w:sz="4" w:space="0" w:color="auto"/>
              <w:right w:val="single" w:sz="4" w:space="0" w:color="auto"/>
            </w:tcBorders>
            <w:vAlign w:val="center"/>
            <w:hideMark/>
          </w:tcPr>
          <w:p w14:paraId="751D8FDD"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3</w:t>
            </w:r>
          </w:p>
        </w:tc>
        <w:tc>
          <w:tcPr>
            <w:tcW w:w="2552" w:type="dxa"/>
            <w:tcBorders>
              <w:top w:val="single" w:sz="4" w:space="0" w:color="A6A6A6"/>
              <w:left w:val="single" w:sz="4" w:space="0" w:color="auto"/>
              <w:bottom w:val="single" w:sz="4" w:space="0" w:color="auto"/>
              <w:right w:val="single" w:sz="4" w:space="0" w:color="auto"/>
            </w:tcBorders>
            <w:hideMark/>
          </w:tcPr>
          <w:p w14:paraId="0A24F9E3" w14:textId="77777777" w:rsidR="00E932DC" w:rsidRPr="005A22C2" w:rsidRDefault="00E932DC" w:rsidP="00E932DC">
            <w:pPr>
              <w:snapToGrid w:val="0"/>
              <w:spacing w:before="40" w:after="40"/>
              <w:rPr>
                <w:rFonts w:eastAsia="新細明體" w:cs="Segoe UI"/>
                <w:b/>
                <w:sz w:val="17"/>
              </w:rPr>
            </w:pPr>
            <w:r w:rsidRPr="005A22C2">
              <w:rPr>
                <w:rFonts w:eastAsia="新細明體" w:cs="Segoe UI"/>
                <w:b/>
                <w:sz w:val="17"/>
                <w:lang w:eastAsia="zh-HK"/>
              </w:rPr>
              <w:t>總計</w:t>
            </w:r>
          </w:p>
        </w:tc>
        <w:tc>
          <w:tcPr>
            <w:tcW w:w="6095" w:type="dxa"/>
            <w:tcBorders>
              <w:top w:val="single" w:sz="4" w:space="0" w:color="A6A6A6"/>
              <w:left w:val="single" w:sz="4" w:space="0" w:color="auto"/>
              <w:bottom w:val="single" w:sz="4" w:space="0" w:color="auto"/>
              <w:right w:val="single" w:sz="4" w:space="0" w:color="auto"/>
            </w:tcBorders>
            <w:vAlign w:val="center"/>
          </w:tcPr>
          <w:p w14:paraId="479342D2" w14:textId="77777777" w:rsidR="00E932DC" w:rsidRPr="005A22C2" w:rsidRDefault="00E932DC" w:rsidP="00E932DC">
            <w:pPr>
              <w:snapToGrid w:val="0"/>
              <w:spacing w:before="40" w:after="40"/>
              <w:rPr>
                <w:rFonts w:eastAsia="新細明體" w:cs="Segoe UI"/>
                <w:sz w:val="17"/>
              </w:rPr>
            </w:pPr>
          </w:p>
        </w:tc>
      </w:tr>
    </w:tbl>
    <w:p w14:paraId="35B08B2C" w14:textId="77777777" w:rsidR="00E932DC" w:rsidRPr="005A22C2" w:rsidRDefault="00E932DC" w:rsidP="00E932DC">
      <w:pPr>
        <w:rPr>
          <w:rFonts w:eastAsia="新細明體" w:cs="Segoe UI"/>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563"/>
      </w:tblGrid>
      <w:tr w:rsidR="005A22C2" w:rsidRPr="005A22C2" w14:paraId="04A97E13" w14:textId="77777777" w:rsidTr="00E932DC">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0D7DF97" w14:textId="77777777" w:rsidR="00E932DC" w:rsidRPr="005A22C2" w:rsidRDefault="00E932DC" w:rsidP="00E932DC">
            <w:pPr>
              <w:spacing w:before="40" w:after="40"/>
              <w:jc w:val="both"/>
              <w:rPr>
                <w:rFonts w:eastAsia="新細明體" w:cs="Segoe UI"/>
                <w:b/>
                <w:sz w:val="17"/>
                <w:szCs w:val="17"/>
                <w:lang w:eastAsia="en-GB"/>
              </w:rPr>
            </w:pPr>
            <w:r w:rsidRPr="005A22C2">
              <w:rPr>
                <w:rFonts w:eastAsia="新細明體" w:cs="Segoe UI"/>
                <w:b/>
                <w:sz w:val="17"/>
                <w:szCs w:val="17"/>
                <w:lang w:eastAsia="zh-HK"/>
              </w:rPr>
              <w:t>註釋</w:t>
            </w:r>
          </w:p>
        </w:tc>
      </w:tr>
      <w:tr w:rsidR="005A22C2" w:rsidRPr="005A22C2" w14:paraId="09E2B917" w14:textId="77777777" w:rsidTr="00E932DC">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55646B0" w14:textId="351BFBDA" w:rsidR="00E932DC" w:rsidRPr="005A22C2" w:rsidRDefault="00E932DC" w:rsidP="00E932DC">
            <w:pPr>
              <w:spacing w:before="40" w:after="40"/>
              <w:jc w:val="both"/>
              <w:rPr>
                <w:rFonts w:eastAsia="新細明體" w:cs="Segoe UI"/>
                <w:i/>
                <w:lang w:eastAsia="fr-FR"/>
              </w:rPr>
            </w:pPr>
            <w:r w:rsidRPr="005A22C2">
              <w:rPr>
                <w:rFonts w:eastAsia="新細明體" w:cs="Segoe UI"/>
                <w:b/>
                <w:sz w:val="17"/>
                <w:szCs w:val="17"/>
                <w:lang w:eastAsia="zh-HK"/>
              </w:rPr>
              <w:t>行</w:t>
            </w:r>
          </w:p>
        </w:tc>
      </w:tr>
      <w:tr w:rsidR="005A22C2" w:rsidRPr="005A22C2" w14:paraId="0E1C2D1C"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59E3513D"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1</w:t>
            </w:r>
          </w:p>
        </w:tc>
        <w:tc>
          <w:tcPr>
            <w:tcW w:w="8563" w:type="dxa"/>
            <w:tcBorders>
              <w:top w:val="single" w:sz="4" w:space="0" w:color="auto"/>
              <w:left w:val="single" w:sz="4" w:space="0" w:color="auto"/>
              <w:bottom w:val="single" w:sz="4" w:space="0" w:color="auto"/>
              <w:right w:val="single" w:sz="4" w:space="0" w:color="auto"/>
            </w:tcBorders>
            <w:hideMark/>
          </w:tcPr>
          <w:p w14:paraId="00B07F9C" w14:textId="1C5F12E0" w:rsidR="00E932DC" w:rsidRPr="005A22C2" w:rsidRDefault="00E932DC" w:rsidP="00E932DC">
            <w:pPr>
              <w:widowControl w:val="0"/>
              <w:autoSpaceDE w:val="0"/>
              <w:autoSpaceDN w:val="0"/>
              <w:adjustRightInd w:val="0"/>
              <w:jc w:val="both"/>
              <w:rPr>
                <w:rFonts w:eastAsia="新細明體" w:cs="Segoe UI"/>
                <w:sz w:val="17"/>
                <w:szCs w:val="17"/>
                <w:lang w:val="en-US" w:eastAsia="zh-TW"/>
              </w:rPr>
            </w:pPr>
            <w:proofErr w:type="spellStart"/>
            <w:r w:rsidRPr="005A22C2">
              <w:rPr>
                <w:rFonts w:eastAsia="新細明體" w:cs="Segoe UI"/>
                <w:i/>
                <w:iCs/>
                <w:sz w:val="17"/>
                <w:szCs w:val="17"/>
                <w:lang w:val="en-US" w:eastAsia="zh-TW"/>
              </w:rPr>
              <w:t>BA_CVA</w:t>
            </w:r>
            <w:r w:rsidRPr="005A22C2">
              <w:rPr>
                <w:rFonts w:eastAsia="新細明體" w:cs="Segoe UI"/>
                <w:i/>
                <w:iCs/>
                <w:sz w:val="17"/>
                <w:szCs w:val="17"/>
                <w:vertAlign w:val="subscript"/>
                <w:lang w:val="en-US" w:eastAsia="zh-TW"/>
              </w:rPr>
              <w:t>reduced</w:t>
            </w:r>
            <w:proofErr w:type="spellEnd"/>
            <w:r w:rsidRPr="005A22C2">
              <w:rPr>
                <w:rFonts w:eastAsia="新細明體" w:cs="Segoe UI"/>
                <w:sz w:val="17"/>
                <w:szCs w:val="17"/>
                <w:lang w:val="en-US" w:eastAsia="zh-TW"/>
              </w:rPr>
              <w:t>：</w:t>
            </w:r>
            <w:r w:rsidRPr="005A22C2">
              <w:rPr>
                <w:rFonts w:eastAsia="新細明體" w:cs="Segoe UI"/>
                <w:sz w:val="17"/>
                <w:szCs w:val="17"/>
                <w:lang w:val="en-US" w:eastAsia="zh-HK"/>
              </w:rPr>
              <w:t>按照</w:t>
            </w:r>
            <w:r w:rsidRPr="005A22C2">
              <w:rPr>
                <w:rFonts w:eastAsia="新細明體" w:cs="Segoe UI"/>
                <w:sz w:val="17"/>
                <w:szCs w:val="17"/>
                <w:lang w:val="en-US" w:eastAsia="zh-TW"/>
              </w:rPr>
              <w:t>《</w:t>
            </w:r>
            <w:r w:rsidRPr="005A22C2">
              <w:rPr>
                <w:rFonts w:eastAsia="新細明體" w:cs="Segoe UI"/>
                <w:sz w:val="17"/>
                <w:szCs w:val="17"/>
                <w:lang w:val="en-US" w:eastAsia="zh-HK"/>
              </w:rPr>
              <w:t>資本規則</w:t>
            </w:r>
            <w:r w:rsidRPr="005A22C2">
              <w:rPr>
                <w:rFonts w:eastAsia="新細明體" w:cs="Segoe UI"/>
                <w:sz w:val="17"/>
                <w:szCs w:val="17"/>
                <w:lang w:val="en-US" w:eastAsia="zh-TW"/>
              </w:rPr>
              <w:t>》第</w:t>
            </w:r>
            <w:r w:rsidRPr="005A22C2">
              <w:rPr>
                <w:rFonts w:eastAsia="新細明體" w:cs="Segoe UI"/>
                <w:sz w:val="17"/>
                <w:szCs w:val="17"/>
                <w:lang w:val="en-US" w:eastAsia="zh-TW"/>
              </w:rPr>
              <w:t>8A</w:t>
            </w:r>
            <w:r w:rsidRPr="005A22C2">
              <w:rPr>
                <w:rFonts w:eastAsia="新細明體" w:cs="Segoe UI"/>
                <w:sz w:val="17"/>
                <w:szCs w:val="17"/>
                <w:lang w:val="en-US" w:eastAsia="zh-TW"/>
              </w:rPr>
              <w:t>部</w:t>
            </w:r>
            <w:r w:rsidRPr="005A22C2">
              <w:rPr>
                <w:rFonts w:eastAsia="新細明體" w:cs="Segoe UI"/>
                <w:sz w:val="17"/>
                <w:szCs w:val="17"/>
                <w:lang w:val="en-US" w:eastAsia="zh-HK"/>
              </w:rPr>
              <w:t>計算的</w:t>
            </w:r>
            <w:proofErr w:type="spellStart"/>
            <w:r w:rsidRPr="005A22C2">
              <w:rPr>
                <w:rFonts w:eastAsia="新細明體" w:cs="Segoe UI"/>
                <w:iCs/>
                <w:sz w:val="17"/>
                <w:szCs w:val="17"/>
                <w:lang w:eastAsia="zh-HK"/>
              </w:rPr>
              <w:t>BA_CVA</w:t>
            </w:r>
            <w:r w:rsidRPr="005A22C2">
              <w:rPr>
                <w:rFonts w:eastAsia="新細明體" w:cs="Segoe UI"/>
                <w:iCs/>
                <w:sz w:val="17"/>
                <w:szCs w:val="17"/>
                <w:vertAlign w:val="subscript"/>
                <w:lang w:eastAsia="zh-HK"/>
              </w:rPr>
              <w:t>reduced</w:t>
            </w:r>
            <w:proofErr w:type="spellEnd"/>
            <w:r w:rsidRPr="005A22C2">
              <w:rPr>
                <w:rFonts w:eastAsia="新細明體" w:cs="Segoe UI"/>
                <w:sz w:val="17"/>
                <w:szCs w:val="17"/>
                <w:lang w:val="en-US" w:eastAsia="zh-TW"/>
              </w:rPr>
              <w:t>。</w:t>
            </w:r>
          </w:p>
        </w:tc>
      </w:tr>
      <w:tr w:rsidR="005A22C2" w:rsidRPr="005A22C2" w14:paraId="2BE9405C"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69FB4FCE"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2</w:t>
            </w:r>
          </w:p>
        </w:tc>
        <w:tc>
          <w:tcPr>
            <w:tcW w:w="8563" w:type="dxa"/>
            <w:tcBorders>
              <w:top w:val="single" w:sz="4" w:space="0" w:color="auto"/>
              <w:left w:val="single" w:sz="4" w:space="0" w:color="auto"/>
              <w:bottom w:val="single" w:sz="4" w:space="0" w:color="auto"/>
              <w:right w:val="single" w:sz="4" w:space="0" w:color="auto"/>
            </w:tcBorders>
            <w:hideMark/>
          </w:tcPr>
          <w:p w14:paraId="693185DC" w14:textId="5D93E0E0" w:rsidR="00E932DC" w:rsidRPr="005A22C2" w:rsidRDefault="00E932DC" w:rsidP="00E932DC">
            <w:pPr>
              <w:widowControl w:val="0"/>
              <w:autoSpaceDE w:val="0"/>
              <w:autoSpaceDN w:val="0"/>
              <w:adjustRightInd w:val="0"/>
              <w:jc w:val="both"/>
              <w:rPr>
                <w:rFonts w:eastAsia="新細明體" w:cs="Segoe UI"/>
                <w:sz w:val="17"/>
                <w:szCs w:val="17"/>
                <w:lang w:val="en-US" w:eastAsia="zh-TW"/>
              </w:rPr>
            </w:pPr>
            <w:proofErr w:type="spellStart"/>
            <w:r w:rsidRPr="005A22C2">
              <w:rPr>
                <w:rFonts w:eastAsia="新細明體" w:cs="Segoe UI"/>
                <w:i/>
                <w:iCs/>
                <w:sz w:val="17"/>
                <w:szCs w:val="17"/>
                <w:lang w:val="en-US" w:eastAsia="zh-TW"/>
              </w:rPr>
              <w:t>BA_CVA</w:t>
            </w:r>
            <w:r w:rsidRPr="005A22C2">
              <w:rPr>
                <w:rFonts w:eastAsia="新細明體" w:cs="Segoe UI"/>
                <w:i/>
                <w:iCs/>
                <w:sz w:val="17"/>
                <w:szCs w:val="17"/>
                <w:vertAlign w:val="subscript"/>
                <w:lang w:val="en-US" w:eastAsia="zh-TW"/>
              </w:rPr>
              <w:t>hedged</w:t>
            </w:r>
            <w:proofErr w:type="spellEnd"/>
            <w:r w:rsidRPr="005A22C2">
              <w:rPr>
                <w:rFonts w:eastAsia="新細明體" w:cs="Segoe UI"/>
                <w:sz w:val="17"/>
                <w:szCs w:val="17"/>
                <w:lang w:val="en-US" w:eastAsia="zh-TW"/>
              </w:rPr>
              <w:t>：</w:t>
            </w:r>
            <w:r w:rsidRPr="005A22C2">
              <w:rPr>
                <w:rFonts w:eastAsia="新細明體" w:cs="Segoe UI"/>
                <w:sz w:val="17"/>
                <w:szCs w:val="17"/>
                <w:lang w:val="en-US" w:eastAsia="zh-HK"/>
              </w:rPr>
              <w:t>按照</w:t>
            </w:r>
            <w:r w:rsidRPr="005A22C2">
              <w:rPr>
                <w:rFonts w:eastAsia="新細明體" w:cs="Segoe UI"/>
                <w:sz w:val="17"/>
                <w:szCs w:val="17"/>
                <w:lang w:val="en-US" w:eastAsia="zh-TW"/>
              </w:rPr>
              <w:t>《</w:t>
            </w:r>
            <w:r w:rsidRPr="005A22C2">
              <w:rPr>
                <w:rFonts w:eastAsia="新細明體" w:cs="Segoe UI"/>
                <w:sz w:val="17"/>
                <w:szCs w:val="17"/>
                <w:lang w:val="en-US" w:eastAsia="zh-HK"/>
              </w:rPr>
              <w:t>資本規則</w:t>
            </w:r>
            <w:r w:rsidRPr="005A22C2">
              <w:rPr>
                <w:rFonts w:eastAsia="新細明體" w:cs="Segoe UI"/>
                <w:sz w:val="17"/>
                <w:szCs w:val="17"/>
                <w:lang w:val="en-US" w:eastAsia="zh-TW"/>
              </w:rPr>
              <w:t>》第</w:t>
            </w:r>
            <w:r w:rsidRPr="005A22C2">
              <w:rPr>
                <w:rFonts w:eastAsia="新細明體" w:cs="Segoe UI"/>
                <w:sz w:val="17"/>
                <w:szCs w:val="17"/>
                <w:lang w:val="en-US" w:eastAsia="zh-TW"/>
              </w:rPr>
              <w:t>8A</w:t>
            </w:r>
            <w:r w:rsidRPr="005A22C2">
              <w:rPr>
                <w:rFonts w:eastAsia="新細明體" w:cs="Segoe UI"/>
                <w:sz w:val="17"/>
                <w:szCs w:val="17"/>
                <w:lang w:val="en-US" w:eastAsia="zh-TW"/>
              </w:rPr>
              <w:t>部</w:t>
            </w:r>
            <w:r w:rsidRPr="005A22C2">
              <w:rPr>
                <w:rFonts w:eastAsia="新細明體" w:cs="Segoe UI"/>
                <w:sz w:val="17"/>
                <w:szCs w:val="17"/>
                <w:lang w:val="en-US" w:eastAsia="zh-HK"/>
              </w:rPr>
              <w:t>計算的</w:t>
            </w:r>
            <w:proofErr w:type="spellStart"/>
            <w:r w:rsidRPr="005A22C2">
              <w:rPr>
                <w:rFonts w:eastAsia="新細明體" w:cs="Segoe UI"/>
                <w:iCs/>
                <w:sz w:val="17"/>
                <w:szCs w:val="17"/>
                <w:lang w:eastAsia="zh-HK"/>
              </w:rPr>
              <w:t>BA_CVA</w:t>
            </w:r>
            <w:r w:rsidRPr="005A22C2">
              <w:rPr>
                <w:rFonts w:eastAsia="新細明體" w:cs="Segoe UI"/>
                <w:iCs/>
                <w:sz w:val="17"/>
                <w:szCs w:val="17"/>
                <w:vertAlign w:val="subscript"/>
                <w:lang w:eastAsia="zh-HK"/>
              </w:rPr>
              <w:t>hedged</w:t>
            </w:r>
            <w:proofErr w:type="spellEnd"/>
            <w:r w:rsidRPr="005A22C2">
              <w:rPr>
                <w:rFonts w:eastAsia="新細明體" w:cs="Segoe UI"/>
                <w:sz w:val="17"/>
                <w:szCs w:val="17"/>
                <w:lang w:val="en-US" w:eastAsia="zh-TW"/>
              </w:rPr>
              <w:t>。</w:t>
            </w:r>
          </w:p>
        </w:tc>
      </w:tr>
      <w:tr w:rsidR="005A22C2" w:rsidRPr="005A22C2" w14:paraId="365C0181"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2E56D16E"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3</w:t>
            </w:r>
          </w:p>
        </w:tc>
        <w:tc>
          <w:tcPr>
            <w:tcW w:w="8563" w:type="dxa"/>
            <w:tcBorders>
              <w:top w:val="single" w:sz="4" w:space="0" w:color="auto"/>
              <w:left w:val="single" w:sz="4" w:space="0" w:color="auto"/>
              <w:bottom w:val="single" w:sz="4" w:space="0" w:color="auto"/>
              <w:right w:val="single" w:sz="4" w:space="0" w:color="auto"/>
            </w:tcBorders>
            <w:hideMark/>
          </w:tcPr>
          <w:p w14:paraId="53AD31CA" w14:textId="1BC4FD3D" w:rsidR="00E932DC" w:rsidRPr="005A22C2" w:rsidRDefault="00E932DC" w:rsidP="00E932DC">
            <w:pPr>
              <w:widowControl w:val="0"/>
              <w:autoSpaceDE w:val="0"/>
              <w:autoSpaceDN w:val="0"/>
              <w:adjustRightInd w:val="0"/>
              <w:jc w:val="both"/>
              <w:rPr>
                <w:rFonts w:eastAsia="新細明體" w:cs="Segoe UI"/>
                <w:sz w:val="17"/>
                <w:szCs w:val="17"/>
                <w:lang w:eastAsia="zh-HK"/>
              </w:rPr>
            </w:pPr>
            <w:r w:rsidRPr="005A22C2">
              <w:rPr>
                <w:rFonts w:eastAsia="新細明體" w:cs="Segoe UI"/>
                <w:i/>
                <w:iCs/>
                <w:sz w:val="17"/>
                <w:szCs w:val="17"/>
                <w:lang w:eastAsia="zh-HK"/>
              </w:rPr>
              <w:t>總計</w:t>
            </w:r>
            <w:r w:rsidRPr="005A22C2">
              <w:rPr>
                <w:rFonts w:eastAsia="新細明體" w:cs="Segoe UI"/>
                <w:iCs/>
                <w:sz w:val="17"/>
                <w:szCs w:val="17"/>
                <w:lang w:eastAsia="zh-TW"/>
              </w:rPr>
              <w:t>：</w:t>
            </w:r>
            <w:r w:rsidRPr="005A22C2">
              <w:rPr>
                <w:rFonts w:eastAsia="新細明體" w:cs="Segoe UI"/>
                <w:iCs/>
                <w:sz w:val="17"/>
                <w:szCs w:val="17"/>
                <w:lang w:eastAsia="zh-HK"/>
              </w:rPr>
              <w:t>這是</w:t>
            </w:r>
            <w:r w:rsidRPr="005A22C2">
              <w:rPr>
                <w:rFonts w:eastAsia="新細明體" w:cs="Segoe UI"/>
                <w:sz w:val="17"/>
                <w:szCs w:val="17"/>
                <w:lang w:val="en-US" w:eastAsia="zh-HK"/>
              </w:rPr>
              <w:t>按照</w:t>
            </w:r>
            <w:r w:rsidRPr="005A22C2">
              <w:rPr>
                <w:rFonts w:eastAsia="新細明體" w:cs="Segoe UI"/>
                <w:sz w:val="17"/>
                <w:szCs w:val="17"/>
                <w:lang w:val="en-US" w:eastAsia="zh-TW"/>
              </w:rPr>
              <w:t>《</w:t>
            </w:r>
            <w:r w:rsidRPr="005A22C2">
              <w:rPr>
                <w:rFonts w:eastAsia="新細明體" w:cs="Segoe UI"/>
                <w:sz w:val="17"/>
                <w:szCs w:val="17"/>
                <w:lang w:val="en-US" w:eastAsia="zh-HK"/>
              </w:rPr>
              <w:t>資本規則</w:t>
            </w:r>
            <w:r w:rsidRPr="005A22C2">
              <w:rPr>
                <w:rFonts w:eastAsia="新細明體" w:cs="Segoe UI"/>
                <w:sz w:val="17"/>
                <w:szCs w:val="17"/>
                <w:lang w:val="en-US" w:eastAsia="zh-TW"/>
              </w:rPr>
              <w:t>》第</w:t>
            </w:r>
            <w:r w:rsidRPr="005A22C2">
              <w:rPr>
                <w:rFonts w:eastAsia="新細明體" w:cs="Segoe UI"/>
                <w:sz w:val="17"/>
                <w:szCs w:val="17"/>
                <w:lang w:val="en-US" w:eastAsia="zh-TW"/>
              </w:rPr>
              <w:t>8A</w:t>
            </w:r>
            <w:r w:rsidRPr="005A22C2">
              <w:rPr>
                <w:rFonts w:eastAsia="新細明體" w:cs="Segoe UI"/>
                <w:sz w:val="17"/>
                <w:szCs w:val="17"/>
                <w:lang w:val="en-US" w:eastAsia="zh-TW"/>
              </w:rPr>
              <w:t>部</w:t>
            </w:r>
            <w:r w:rsidRPr="005A22C2">
              <w:rPr>
                <w:rFonts w:eastAsia="新細明體" w:cs="Segoe UI"/>
                <w:sz w:val="17"/>
                <w:szCs w:val="17"/>
                <w:lang w:val="en-US" w:eastAsia="zh-HK"/>
              </w:rPr>
              <w:t>計算</w:t>
            </w:r>
            <w:r w:rsidR="00FD34BD" w:rsidRPr="005A22C2">
              <w:rPr>
                <w:rFonts w:eastAsia="新細明體" w:cs="Segoe UI" w:hint="eastAsia"/>
                <w:sz w:val="17"/>
                <w:szCs w:val="17"/>
                <w:lang w:val="en-US" w:eastAsia="zh-HK"/>
              </w:rPr>
              <w:t>所</w:t>
            </w:r>
            <w:r w:rsidRPr="005A22C2">
              <w:rPr>
                <w:rFonts w:eastAsia="新細明體" w:cs="Segoe UI" w:hint="eastAsia"/>
                <w:sz w:val="17"/>
                <w:szCs w:val="17"/>
                <w:lang w:val="en-US" w:eastAsia="zh-HK"/>
              </w:rPr>
              <w:t>得</w:t>
            </w:r>
            <w:r w:rsidRPr="005A22C2">
              <w:rPr>
                <w:rFonts w:eastAsia="新細明體" w:cs="Segoe UI"/>
                <w:sz w:val="17"/>
                <w:szCs w:val="17"/>
                <w:lang w:val="en-US" w:eastAsia="zh-HK"/>
              </w:rPr>
              <w:t>的</w:t>
            </w:r>
            <w:r w:rsidRPr="005A22C2">
              <w:rPr>
                <w:rFonts w:ascii="新細明體" w:eastAsia="新細明體" w:hAnsi="新細明體" w:cs="Segoe UI" w:hint="eastAsia"/>
                <w:sz w:val="17"/>
                <w:szCs w:val="17"/>
                <w:lang w:eastAsia="zh-TW"/>
              </w:rPr>
              <w:t>完整</w:t>
            </w:r>
            <w:r w:rsidRPr="005A22C2">
              <w:rPr>
                <w:rFonts w:eastAsia="新細明體" w:cs="Segoe UI"/>
                <w:sz w:val="17"/>
                <w:szCs w:val="17"/>
                <w:lang w:val="en-US" w:eastAsia="zh-HK"/>
              </w:rPr>
              <w:t>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計算法下的</w:t>
            </w:r>
            <w:r w:rsidRPr="005A22C2">
              <w:rPr>
                <w:rFonts w:eastAsia="新細明體" w:cs="Segoe UI"/>
                <w:sz w:val="17"/>
                <w:szCs w:val="17"/>
                <w:lang w:val="en-US" w:eastAsia="zh-TW"/>
              </w:rPr>
              <w:t>CVA</w:t>
            </w:r>
            <w:r w:rsidRPr="005A22C2">
              <w:rPr>
                <w:rFonts w:eastAsia="新細明體" w:cs="Segoe UI"/>
                <w:sz w:val="17"/>
                <w:szCs w:val="17"/>
                <w:lang w:val="en-US" w:eastAsia="zh-HK"/>
              </w:rPr>
              <w:t>風險資本要求</w:t>
            </w:r>
            <w:r w:rsidR="00621822" w:rsidRPr="005A22C2">
              <w:rPr>
                <w:rFonts w:eastAsia="新細明體" w:cs="Segoe UI" w:hint="eastAsia"/>
                <w:sz w:val="17"/>
                <w:szCs w:val="17"/>
                <w:lang w:eastAsia="zh-HK"/>
              </w:rPr>
              <w:t>（</w:t>
            </w:r>
            <w:r w:rsidRPr="005A22C2">
              <w:rPr>
                <w:rFonts w:eastAsia="新細明體" w:cs="Segoe UI"/>
                <w:iCs/>
                <w:sz w:val="17"/>
                <w:szCs w:val="17"/>
                <w:lang w:val="en-US" w:eastAsia="zh-HK"/>
              </w:rPr>
              <w:t>即</w:t>
            </w:r>
            <w:r w:rsidRPr="005A22C2">
              <w:rPr>
                <w:rFonts w:eastAsia="新細明體" w:cs="Segoe UI"/>
                <w:iCs/>
                <w:sz w:val="17"/>
                <w:szCs w:val="17"/>
                <w:lang w:val="en-US" w:eastAsia="zh-HK"/>
              </w:rPr>
              <w:t xml:space="preserve"> </w:t>
            </w:r>
            <w:proofErr w:type="spellStart"/>
            <w:r w:rsidRPr="005A22C2">
              <w:rPr>
                <w:rFonts w:eastAsia="新細明體" w:cs="Segoe UI"/>
                <w:iCs/>
                <w:sz w:val="17"/>
                <w:szCs w:val="17"/>
                <w:lang w:val="en-US" w:eastAsia="zh-TW"/>
              </w:rPr>
              <w:t>BA_CVA</w:t>
            </w:r>
            <w:r w:rsidRPr="005A22C2">
              <w:rPr>
                <w:rFonts w:eastAsia="新細明體" w:cs="Segoe UI"/>
                <w:iCs/>
                <w:sz w:val="17"/>
                <w:szCs w:val="17"/>
                <w:vertAlign w:val="subscript"/>
                <w:lang w:val="en-US" w:eastAsia="zh-TW"/>
              </w:rPr>
              <w:t>full</w:t>
            </w:r>
            <w:proofErr w:type="spellEnd"/>
            <w:r w:rsidR="00621822" w:rsidRPr="005A22C2">
              <w:rPr>
                <w:rFonts w:ascii="新細明體" w:eastAsia="新細明體" w:hAnsi="新細明體" w:cs="Segoe UI" w:hint="eastAsia"/>
                <w:sz w:val="17"/>
                <w:szCs w:val="17"/>
                <w:lang w:eastAsia="zh-TW"/>
              </w:rPr>
              <w:t>）</w:t>
            </w:r>
            <w:r w:rsidRPr="005A22C2">
              <w:rPr>
                <w:rFonts w:eastAsia="新細明體" w:cs="Segoe UI"/>
                <w:sz w:val="17"/>
                <w:szCs w:val="17"/>
                <w:lang w:val="en-US" w:eastAsia="zh-TW"/>
              </w:rPr>
              <w:t>。</w:t>
            </w:r>
            <w:r w:rsidRPr="005A22C2">
              <w:rPr>
                <w:rFonts w:eastAsia="新細明體" w:cs="Segoe UI"/>
                <w:sz w:val="17"/>
                <w:szCs w:val="17"/>
                <w:lang w:val="en-US" w:eastAsia="zh-HK"/>
              </w:rPr>
              <w:t>若認可機構就所有</w:t>
            </w:r>
            <w:r w:rsidRPr="005A22C2">
              <w:rPr>
                <w:rFonts w:eastAsia="新細明體" w:cs="Segoe UI"/>
                <w:sz w:val="17"/>
                <w:szCs w:val="17"/>
                <w:lang w:val="en-US" w:eastAsia="zh-TW"/>
              </w:rPr>
              <w:t>CVA</w:t>
            </w:r>
            <w:r w:rsidRPr="005A22C2">
              <w:rPr>
                <w:rFonts w:eastAsia="新細明體" w:cs="Segoe UI"/>
                <w:sz w:val="17"/>
                <w:szCs w:val="17"/>
                <w:lang w:val="en-US" w:eastAsia="zh-HK"/>
              </w:rPr>
              <w:t>風險承擔僅採用</w:t>
            </w:r>
            <w:r w:rsidRPr="005A22C2">
              <w:rPr>
                <w:rFonts w:ascii="新細明體" w:eastAsia="新細明體" w:hAnsi="新細明體" w:cs="Segoe UI" w:hint="eastAsia"/>
                <w:sz w:val="17"/>
                <w:szCs w:val="17"/>
                <w:lang w:eastAsia="zh-TW"/>
              </w:rPr>
              <w:t>完整</w:t>
            </w:r>
            <w:r w:rsidRPr="005A22C2">
              <w:rPr>
                <w:rFonts w:eastAsia="新細明體" w:cs="Segoe UI"/>
                <w:sz w:val="17"/>
                <w:szCs w:val="17"/>
                <w:lang w:val="en-US" w:eastAsia="zh-HK"/>
              </w:rPr>
              <w:t>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w:t>
            </w:r>
            <w:r w:rsidRPr="005A22C2">
              <w:rPr>
                <w:rFonts w:eastAsia="新細明體" w:cs="Segoe UI"/>
                <w:sz w:val="17"/>
                <w:szCs w:val="17"/>
                <w:lang w:val="en-US" w:eastAsia="zh-TW"/>
              </w:rPr>
              <w:t>，</w:t>
            </w:r>
            <w:r w:rsidRPr="005A22C2">
              <w:rPr>
                <w:rFonts w:eastAsia="新細明體" w:cs="Segoe UI"/>
                <w:sz w:val="17"/>
                <w:szCs w:val="17"/>
                <w:lang w:val="en-US" w:eastAsia="zh-HK"/>
              </w:rPr>
              <w:t>則</w:t>
            </w:r>
            <w:r w:rsidRPr="005A22C2">
              <w:rPr>
                <w:rFonts w:eastAsia="新細明體" w:cs="Segoe UI"/>
                <w:sz w:val="17"/>
                <w:szCs w:val="17"/>
                <w:lang w:val="en-US" w:eastAsia="zh-TW"/>
              </w:rPr>
              <w:t>[CVA2:3/</w:t>
            </w:r>
            <w:proofErr w:type="gramStart"/>
            <w:r w:rsidRPr="005A22C2">
              <w:rPr>
                <w:rFonts w:eastAsia="新細明體" w:cs="Segoe UI"/>
                <w:sz w:val="17"/>
                <w:szCs w:val="17"/>
                <w:lang w:val="en-US" w:eastAsia="zh-TW"/>
              </w:rPr>
              <w:t>a]</w:t>
            </w:r>
            <w:r w:rsidRPr="005A22C2">
              <w:rPr>
                <w:rFonts w:eastAsia="新細明體" w:cs="Segoe UI"/>
                <w:sz w:val="17"/>
                <w:szCs w:val="17"/>
                <w:lang w:val="en-US" w:eastAsia="zh-HK"/>
              </w:rPr>
              <w:t>的值應</w:t>
            </w:r>
            <w:r w:rsidRPr="005A22C2">
              <w:rPr>
                <w:rFonts w:eastAsia="新細明體" w:cs="Segoe UI" w:hint="eastAsia"/>
                <w:sz w:val="17"/>
                <w:szCs w:val="17"/>
                <w:lang w:val="en-US" w:eastAsia="zh-HK"/>
              </w:rPr>
              <w:t>相</w:t>
            </w:r>
            <w:r w:rsidRPr="005A22C2">
              <w:rPr>
                <w:rFonts w:eastAsia="新細明體" w:cs="Segoe UI"/>
                <w:sz w:val="17"/>
                <w:szCs w:val="17"/>
                <w:lang w:val="en-US" w:eastAsia="zh-HK"/>
              </w:rPr>
              <w:t>等於</w:t>
            </w:r>
            <w:proofErr w:type="gramEnd"/>
            <w:r w:rsidRPr="005A22C2">
              <w:rPr>
                <w:rFonts w:eastAsia="新細明體" w:cs="Segoe UI"/>
                <w:sz w:val="17"/>
                <w:szCs w:val="17"/>
                <w:lang w:val="en-US" w:eastAsia="zh-TW"/>
              </w:rPr>
              <w:t>[OV1:10/c]</w:t>
            </w:r>
            <w:r w:rsidRPr="005A22C2">
              <w:rPr>
                <w:rFonts w:eastAsia="新細明體" w:cs="Segoe UI"/>
                <w:sz w:val="17"/>
                <w:szCs w:val="17"/>
                <w:lang w:val="en-US" w:eastAsia="zh-HK"/>
              </w:rPr>
              <w:t>的值</w:t>
            </w:r>
            <w:r w:rsidRPr="005A22C2">
              <w:rPr>
                <w:rFonts w:eastAsia="新細明體" w:cs="Segoe UI"/>
                <w:sz w:val="17"/>
                <w:szCs w:val="17"/>
                <w:lang w:val="en-US" w:eastAsia="zh-TW"/>
              </w:rPr>
              <w:t>。</w:t>
            </w:r>
          </w:p>
        </w:tc>
      </w:tr>
    </w:tbl>
    <w:p w14:paraId="02B273A8" w14:textId="77777777" w:rsidR="00E932DC" w:rsidRPr="00E932DC" w:rsidRDefault="00E932DC" w:rsidP="00E932DC">
      <w:pPr>
        <w:rPr>
          <w:rFonts w:eastAsia="新細明體" w:cs="Segoe UI"/>
          <w:lang w:eastAsia="zh-TW"/>
        </w:rPr>
        <w:sectPr w:rsidR="00E932DC" w:rsidRPr="00E932DC">
          <w:footerReference w:type="default" r:id="rId90"/>
          <w:pgSz w:w="11906" w:h="16838" w:code="9"/>
          <w:pgMar w:top="1440" w:right="1797" w:bottom="1440" w:left="1797" w:header="851" w:footer="737" w:gutter="0"/>
          <w:cols w:space="425"/>
          <w:docGrid w:type="lines" w:linePitch="360"/>
        </w:sectPr>
      </w:pPr>
    </w:p>
    <w:p w14:paraId="1A82484C" w14:textId="7D0ED51C" w:rsidR="00BA6AF5" w:rsidRPr="005A22C2" w:rsidRDefault="00BA6AF5" w:rsidP="00BA6AF5">
      <w:pPr>
        <w:pStyle w:val="Heading2"/>
        <w:keepNext w:val="0"/>
        <w:suppressAutoHyphens w:val="0"/>
        <w:spacing w:before="40" w:line="240" w:lineRule="auto"/>
        <w:ind w:left="-454"/>
        <w:rPr>
          <w:rFonts w:ascii="細明體" w:eastAsia="細明體" w:hAnsi="細明體"/>
          <w:b w:val="0"/>
          <w:bCs w:val="0"/>
          <w:sz w:val="22"/>
          <w:szCs w:val="20"/>
          <w:lang w:eastAsia="zh-TW"/>
        </w:rPr>
      </w:pPr>
      <w:r w:rsidRPr="005A22C2">
        <w:rPr>
          <w:rFonts w:ascii="細明體" w:eastAsia="細明體" w:hAnsi="細明體" w:cs="微軟正黑體" w:hint="eastAsia"/>
          <w:b w:val="0"/>
          <w:bCs w:val="0"/>
          <w:sz w:val="22"/>
          <w:szCs w:val="20"/>
          <w:lang w:eastAsia="zh-TW"/>
        </w:rPr>
        <w:t>表</w:t>
      </w:r>
      <w:r w:rsidRPr="005A22C2">
        <w:rPr>
          <w:rFonts w:ascii="Segoe UI" w:eastAsia="細明體" w:hAnsi="Segoe UI" w:cs="Segoe UI"/>
          <w:b w:val="0"/>
          <w:bCs w:val="0"/>
          <w:sz w:val="22"/>
          <w:szCs w:val="20"/>
          <w:lang w:eastAsia="zh-TW"/>
        </w:rPr>
        <w:t>CVAB</w:t>
      </w:r>
      <w:r w:rsidRPr="005A22C2">
        <w:rPr>
          <w:rFonts w:ascii="細明體" w:eastAsia="細明體" w:hAnsi="細明體" w:cs="微軟正黑體" w:hint="eastAsia"/>
          <w:b w:val="0"/>
          <w:bCs w:val="0"/>
          <w:sz w:val="22"/>
          <w:szCs w:val="20"/>
          <w:lang w:eastAsia="zh-TW"/>
        </w:rPr>
        <w:t>：使用標準</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hint="eastAsia"/>
          <w:b w:val="0"/>
          <w:bCs w:val="0"/>
          <w:sz w:val="22"/>
          <w:szCs w:val="20"/>
          <w:lang w:eastAsia="zh-TW"/>
        </w:rPr>
        <w:t>計算法的認可機構的額外描述披露</w:t>
      </w:r>
    </w:p>
    <w:tbl>
      <w:tblPr>
        <w:tblW w:w="9106"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946"/>
      </w:tblGrid>
      <w:tr w:rsidR="005A22C2" w:rsidRPr="005A22C2" w14:paraId="19CE921D" w14:textId="77777777" w:rsidTr="00A94770">
        <w:tc>
          <w:tcPr>
            <w:tcW w:w="2160" w:type="dxa"/>
            <w:tcBorders>
              <w:top w:val="single" w:sz="4" w:space="0" w:color="auto"/>
              <w:left w:val="nil"/>
              <w:bottom w:val="single" w:sz="4" w:space="0" w:color="auto"/>
              <w:right w:val="single" w:sz="4" w:space="0" w:color="auto"/>
            </w:tcBorders>
            <w:hideMark/>
          </w:tcPr>
          <w:p w14:paraId="537A1C08" w14:textId="77777777" w:rsidR="00E932DC" w:rsidRPr="005A22C2" w:rsidRDefault="00E932DC" w:rsidP="00E932DC">
            <w:pPr>
              <w:spacing w:before="40" w:after="40"/>
              <w:rPr>
                <w:rFonts w:eastAsia="新細明體" w:cs="Segoe UI"/>
                <w:noProof/>
                <w:sz w:val="17"/>
                <w:lang w:eastAsia="zh-TW"/>
              </w:rPr>
            </w:pPr>
            <w:proofErr w:type="spellStart"/>
            <w:r w:rsidRPr="005A22C2">
              <w:rPr>
                <w:rFonts w:eastAsia="新細明體" w:cs="Segoe UI"/>
                <w:b/>
                <w:sz w:val="17"/>
                <w:lang w:eastAsia="en-GB"/>
              </w:rPr>
              <w:t>目的</w:t>
            </w:r>
            <w:proofErr w:type="spellEnd"/>
            <w:r w:rsidRPr="005A22C2">
              <w:rPr>
                <w:rFonts w:eastAsia="新細明體" w:cs="Segoe UI"/>
                <w:b/>
                <w:sz w:val="17"/>
                <w:lang w:eastAsia="zh-TW"/>
              </w:rPr>
              <w:t>：</w:t>
            </w:r>
          </w:p>
        </w:tc>
        <w:tc>
          <w:tcPr>
            <w:tcW w:w="6946" w:type="dxa"/>
            <w:tcBorders>
              <w:top w:val="single" w:sz="4" w:space="0" w:color="auto"/>
              <w:left w:val="single" w:sz="4" w:space="0" w:color="auto"/>
              <w:bottom w:val="single" w:sz="4" w:space="0" w:color="auto"/>
              <w:right w:val="nil"/>
            </w:tcBorders>
            <w:hideMark/>
          </w:tcPr>
          <w:p w14:paraId="0E923381" w14:textId="41D035F2"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提供認可機構</w:t>
            </w:r>
            <w:r w:rsidR="004652AE" w:rsidRPr="005A22C2">
              <w:rPr>
                <w:rFonts w:eastAsia="新細明體" w:cs="Segoe UI" w:hint="eastAsia"/>
                <w:sz w:val="17"/>
                <w:szCs w:val="17"/>
                <w:lang w:val="en-US" w:eastAsia="zh-HK"/>
              </w:rPr>
              <w:t>的</w:t>
            </w:r>
            <w:r w:rsidRPr="005A22C2">
              <w:rPr>
                <w:rFonts w:eastAsia="新細明體" w:cs="Segoe UI"/>
                <w:sz w:val="17"/>
                <w:szCs w:val="17"/>
                <w:lang w:val="en-US" w:eastAsia="zh-TW"/>
              </w:rPr>
              <w:t>CVA</w:t>
            </w:r>
            <w:r w:rsidRPr="005A22C2">
              <w:rPr>
                <w:rFonts w:eastAsia="新細明體" w:cs="Segoe UI"/>
                <w:sz w:val="17"/>
                <w:szCs w:val="17"/>
                <w:lang w:val="en-US" w:eastAsia="zh-HK"/>
              </w:rPr>
              <w:t>風險管理</w:t>
            </w:r>
            <w:r w:rsidRPr="005A22C2">
              <w:rPr>
                <w:rFonts w:eastAsia="新細明體" w:cs="Segoe UI" w:hint="eastAsia"/>
                <w:sz w:val="17"/>
                <w:szCs w:val="17"/>
                <w:lang w:val="en-US" w:eastAsia="zh-HK"/>
              </w:rPr>
              <w:t>框架</w:t>
            </w:r>
            <w:r w:rsidRPr="005A22C2">
              <w:rPr>
                <w:rFonts w:eastAsia="新細明體" w:cs="Segoe UI"/>
                <w:sz w:val="17"/>
                <w:szCs w:val="17"/>
                <w:lang w:val="en-US" w:eastAsia="zh-HK"/>
              </w:rPr>
              <w:t>的主要特點</w:t>
            </w:r>
            <w:r w:rsidRPr="005A22C2">
              <w:rPr>
                <w:rFonts w:eastAsia="新細明體" w:cs="Segoe UI"/>
                <w:sz w:val="17"/>
                <w:szCs w:val="17"/>
                <w:lang w:val="en-US" w:eastAsia="zh-TW"/>
              </w:rPr>
              <w:t>。</w:t>
            </w:r>
            <w:r w:rsidRPr="005A22C2">
              <w:rPr>
                <w:rFonts w:eastAsia="新細明體" w:cs="Segoe UI"/>
                <w:sz w:val="17"/>
                <w:szCs w:val="17"/>
                <w:lang w:val="en-US" w:eastAsia="zh-TW"/>
              </w:rPr>
              <w:t xml:space="preserve"> </w:t>
            </w:r>
          </w:p>
        </w:tc>
      </w:tr>
      <w:tr w:rsidR="005A22C2" w:rsidRPr="005A22C2" w14:paraId="69EE97CD" w14:textId="77777777" w:rsidTr="00A94770">
        <w:tc>
          <w:tcPr>
            <w:tcW w:w="2160" w:type="dxa"/>
            <w:tcBorders>
              <w:top w:val="single" w:sz="4" w:space="0" w:color="auto"/>
              <w:left w:val="nil"/>
              <w:bottom w:val="single" w:sz="4" w:space="0" w:color="auto"/>
              <w:right w:val="single" w:sz="4" w:space="0" w:color="auto"/>
            </w:tcBorders>
            <w:hideMark/>
          </w:tcPr>
          <w:p w14:paraId="24C8297F"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zh-TW"/>
              </w:rPr>
              <w:t>：</w:t>
            </w:r>
          </w:p>
        </w:tc>
        <w:tc>
          <w:tcPr>
            <w:tcW w:w="6946" w:type="dxa"/>
            <w:tcBorders>
              <w:top w:val="single" w:sz="4" w:space="0" w:color="auto"/>
              <w:left w:val="single" w:sz="4" w:space="0" w:color="auto"/>
              <w:bottom w:val="single" w:sz="4" w:space="0" w:color="auto"/>
              <w:right w:val="nil"/>
            </w:tcBorders>
            <w:hideMark/>
          </w:tcPr>
          <w:p w14:paraId="2DECA123" w14:textId="6BB255C2"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在香港成立為法團並使用標準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計算法計算</w:t>
            </w:r>
            <w:r w:rsidRPr="005A22C2">
              <w:rPr>
                <w:rFonts w:eastAsia="新細明體" w:cs="Segoe UI" w:hint="eastAsia"/>
                <w:sz w:val="17"/>
                <w:szCs w:val="17"/>
                <w:lang w:val="en-US" w:eastAsia="zh-HK"/>
              </w:rPr>
              <w:t>其</w:t>
            </w:r>
            <w:r w:rsidRPr="005A22C2">
              <w:rPr>
                <w:rFonts w:eastAsia="新細明體" w:cs="Segoe UI"/>
                <w:sz w:val="17"/>
                <w:szCs w:val="17"/>
                <w:lang w:val="en-US" w:eastAsia="zh-HK"/>
              </w:rPr>
              <w:t>部分或所有</w:t>
            </w:r>
            <w:r w:rsidRPr="005A22C2">
              <w:rPr>
                <w:rFonts w:eastAsia="新細明體" w:cs="Segoe UI" w:hint="eastAsia"/>
                <w:sz w:val="17"/>
                <w:szCs w:val="17"/>
                <w:lang w:val="en-US" w:eastAsia="zh-HK"/>
              </w:rPr>
              <w:t>的</w:t>
            </w:r>
            <w:r w:rsidRPr="005A22C2">
              <w:rPr>
                <w:rFonts w:eastAsia="新細明體" w:cs="Segoe UI"/>
                <w:sz w:val="17"/>
                <w:szCs w:val="17"/>
                <w:lang w:val="en-US" w:eastAsia="zh-TW"/>
              </w:rPr>
              <w:t>CVA</w:t>
            </w:r>
            <w:r w:rsidRPr="005A22C2">
              <w:rPr>
                <w:rFonts w:eastAsia="新細明體" w:cs="Segoe UI" w:hint="eastAsia"/>
                <w:sz w:val="17"/>
                <w:szCs w:val="17"/>
                <w:lang w:val="en-US" w:eastAsia="zh-HK"/>
              </w:rPr>
              <w:t>風險</w:t>
            </w:r>
            <w:r w:rsidRPr="005A22C2">
              <w:rPr>
                <w:rFonts w:eastAsia="新細明體" w:cs="Segoe UI"/>
                <w:sz w:val="17"/>
                <w:szCs w:val="17"/>
                <w:lang w:val="en-US" w:eastAsia="zh-HK"/>
              </w:rPr>
              <w:t>資本要求的認可機構均須填報本表</w:t>
            </w:r>
            <w:r w:rsidRPr="005A22C2">
              <w:rPr>
                <w:rFonts w:eastAsia="新細明體" w:cs="Segoe UI"/>
                <w:sz w:val="17"/>
                <w:szCs w:val="17"/>
                <w:lang w:val="en-US" w:eastAsia="zh-TW"/>
              </w:rPr>
              <w:t>。</w:t>
            </w:r>
          </w:p>
        </w:tc>
      </w:tr>
      <w:tr w:rsidR="005A22C2" w:rsidRPr="005A22C2" w14:paraId="1BA87D76" w14:textId="77777777" w:rsidTr="00A94770">
        <w:tc>
          <w:tcPr>
            <w:tcW w:w="2160" w:type="dxa"/>
            <w:tcBorders>
              <w:top w:val="single" w:sz="4" w:space="0" w:color="auto"/>
              <w:left w:val="nil"/>
              <w:bottom w:val="single" w:sz="4" w:space="0" w:color="auto"/>
              <w:right w:val="single" w:sz="4" w:space="0" w:color="auto"/>
            </w:tcBorders>
            <w:hideMark/>
          </w:tcPr>
          <w:p w14:paraId="01427662" w14:textId="77777777" w:rsidR="00E932DC" w:rsidRPr="005A22C2" w:rsidRDefault="00E932DC" w:rsidP="00E932DC">
            <w:pPr>
              <w:spacing w:before="40" w:after="40"/>
              <w:rPr>
                <w:rFonts w:eastAsia="新細明體" w:cs="Segoe UI"/>
                <w:b/>
                <w:sz w:val="17"/>
                <w:lang w:eastAsia="zh-TW"/>
              </w:rPr>
            </w:pPr>
            <w:r w:rsidRPr="005A22C2">
              <w:rPr>
                <w:rFonts w:eastAsia="新細明體" w:cs="Segoe UI"/>
                <w:b/>
                <w:sz w:val="17"/>
                <w:lang w:eastAsia="zh-TW"/>
              </w:rPr>
              <w:t>內容：</w:t>
            </w:r>
          </w:p>
        </w:tc>
        <w:tc>
          <w:tcPr>
            <w:tcW w:w="6946" w:type="dxa"/>
            <w:tcBorders>
              <w:top w:val="single" w:sz="4" w:space="0" w:color="auto"/>
              <w:left w:val="single" w:sz="4" w:space="0" w:color="auto"/>
              <w:bottom w:val="single" w:sz="4" w:space="0" w:color="auto"/>
              <w:right w:val="nil"/>
            </w:tcBorders>
            <w:hideMark/>
          </w:tcPr>
          <w:p w14:paraId="6DC43815" w14:textId="77777777" w:rsidR="00E932DC" w:rsidRPr="005A22C2" w:rsidRDefault="00E932DC" w:rsidP="00E932DC">
            <w:pPr>
              <w:spacing w:before="40" w:after="40"/>
              <w:jc w:val="both"/>
              <w:rPr>
                <w:rFonts w:eastAsia="新細明體" w:cs="Segoe UI"/>
                <w:sz w:val="17"/>
                <w:lang w:eastAsia="zh-TW"/>
              </w:rPr>
            </w:pPr>
            <w:r w:rsidRPr="005A22C2">
              <w:rPr>
                <w:rFonts w:eastAsia="新細明體" w:cs="Segoe UI"/>
                <w:sz w:val="17"/>
                <w:lang w:eastAsia="zh-HK"/>
              </w:rPr>
              <w:t>描述資料</w:t>
            </w:r>
            <w:r w:rsidRPr="005A22C2">
              <w:rPr>
                <w:rFonts w:eastAsia="新細明體" w:cs="Segoe UI"/>
                <w:sz w:val="17"/>
                <w:lang w:eastAsia="zh-TW"/>
              </w:rPr>
              <w:t>。</w:t>
            </w:r>
          </w:p>
        </w:tc>
      </w:tr>
      <w:tr w:rsidR="005A22C2" w:rsidRPr="005A22C2" w14:paraId="7B333AE8" w14:textId="77777777" w:rsidTr="00A94770">
        <w:tc>
          <w:tcPr>
            <w:tcW w:w="2160" w:type="dxa"/>
            <w:tcBorders>
              <w:top w:val="single" w:sz="4" w:space="0" w:color="auto"/>
              <w:left w:val="nil"/>
              <w:bottom w:val="single" w:sz="4" w:space="0" w:color="auto"/>
              <w:right w:val="single" w:sz="4" w:space="0" w:color="auto"/>
            </w:tcBorders>
            <w:hideMark/>
          </w:tcPr>
          <w:p w14:paraId="29E1D23D" w14:textId="77777777" w:rsidR="00E932DC" w:rsidRPr="005A22C2" w:rsidRDefault="00E932DC" w:rsidP="00E932DC">
            <w:pPr>
              <w:spacing w:before="40" w:after="40"/>
              <w:rPr>
                <w:rFonts w:eastAsia="新細明體" w:cs="Segoe UI"/>
                <w:sz w:val="17"/>
                <w:lang w:eastAsia="zh-TW"/>
              </w:rPr>
            </w:pPr>
            <w:r w:rsidRPr="005A22C2">
              <w:rPr>
                <w:rFonts w:eastAsia="新細明體" w:cs="Segoe UI"/>
                <w:b/>
                <w:sz w:val="17"/>
                <w:lang w:eastAsia="zh-TW"/>
              </w:rPr>
              <w:t>頻密程度：</w:t>
            </w:r>
          </w:p>
        </w:tc>
        <w:tc>
          <w:tcPr>
            <w:tcW w:w="6946" w:type="dxa"/>
            <w:tcBorders>
              <w:top w:val="single" w:sz="4" w:space="0" w:color="auto"/>
              <w:left w:val="single" w:sz="4" w:space="0" w:color="auto"/>
              <w:bottom w:val="single" w:sz="4" w:space="0" w:color="auto"/>
              <w:right w:val="nil"/>
            </w:tcBorders>
            <w:hideMark/>
          </w:tcPr>
          <w:p w14:paraId="574B34BE" w14:textId="77777777" w:rsidR="00E932DC" w:rsidRPr="005A22C2" w:rsidRDefault="00E932DC" w:rsidP="00E932DC">
            <w:pPr>
              <w:spacing w:before="40" w:after="40"/>
              <w:jc w:val="both"/>
              <w:rPr>
                <w:rFonts w:eastAsia="新細明體" w:cs="Segoe UI"/>
                <w:sz w:val="17"/>
                <w:lang w:eastAsia="zh-TW"/>
              </w:rPr>
            </w:pPr>
            <w:r w:rsidRPr="005A22C2">
              <w:rPr>
                <w:rFonts w:eastAsia="新細明體" w:cs="Segoe UI"/>
                <w:sz w:val="17"/>
                <w:lang w:eastAsia="zh-TW"/>
              </w:rPr>
              <w:t>每年一次。</w:t>
            </w:r>
          </w:p>
        </w:tc>
      </w:tr>
      <w:tr w:rsidR="005A22C2" w:rsidRPr="005A22C2" w14:paraId="0749E0F2" w14:textId="77777777" w:rsidTr="00A94770">
        <w:tc>
          <w:tcPr>
            <w:tcW w:w="2160" w:type="dxa"/>
            <w:tcBorders>
              <w:top w:val="single" w:sz="4" w:space="0" w:color="auto"/>
              <w:left w:val="nil"/>
              <w:bottom w:val="single" w:sz="4" w:space="0" w:color="auto"/>
              <w:right w:val="single" w:sz="4" w:space="0" w:color="auto"/>
            </w:tcBorders>
            <w:hideMark/>
          </w:tcPr>
          <w:p w14:paraId="7767C6F8" w14:textId="77777777" w:rsidR="00E932DC" w:rsidRPr="005A22C2" w:rsidRDefault="00E932DC" w:rsidP="00E932DC">
            <w:pPr>
              <w:spacing w:before="40" w:after="40"/>
              <w:rPr>
                <w:rFonts w:eastAsia="新細明體" w:cs="Segoe UI"/>
                <w:sz w:val="17"/>
                <w:lang w:eastAsia="zh-TW"/>
              </w:rPr>
            </w:pPr>
            <w:r w:rsidRPr="005A22C2">
              <w:rPr>
                <w:rFonts w:eastAsia="新細明體" w:cs="Segoe UI"/>
                <w:b/>
                <w:sz w:val="17"/>
                <w:lang w:eastAsia="zh-TW"/>
              </w:rPr>
              <w:t>格式：</w:t>
            </w:r>
          </w:p>
        </w:tc>
        <w:tc>
          <w:tcPr>
            <w:tcW w:w="6946" w:type="dxa"/>
            <w:tcBorders>
              <w:top w:val="single" w:sz="4" w:space="0" w:color="auto"/>
              <w:left w:val="single" w:sz="4" w:space="0" w:color="auto"/>
              <w:bottom w:val="single" w:sz="4" w:space="0" w:color="auto"/>
              <w:right w:val="nil"/>
            </w:tcBorders>
            <w:hideMark/>
          </w:tcPr>
          <w:p w14:paraId="63491F7D" w14:textId="77777777" w:rsidR="00E932DC" w:rsidRPr="005A22C2" w:rsidRDefault="00E932DC" w:rsidP="00E932DC">
            <w:pPr>
              <w:spacing w:before="40" w:after="40"/>
              <w:jc w:val="both"/>
              <w:rPr>
                <w:rFonts w:eastAsia="新細明體" w:cs="Segoe UI"/>
                <w:sz w:val="17"/>
                <w:lang w:eastAsia="zh-TW"/>
              </w:rPr>
            </w:pPr>
            <w:r w:rsidRPr="005A22C2">
              <w:rPr>
                <w:rFonts w:eastAsia="新細明體" w:cs="Segoe UI"/>
                <w:sz w:val="17"/>
                <w:lang w:eastAsia="zh-HK"/>
              </w:rPr>
              <w:t>非固定</w:t>
            </w:r>
            <w:r w:rsidRPr="005A22C2">
              <w:rPr>
                <w:rFonts w:eastAsia="新細明體" w:cs="Segoe UI"/>
                <w:sz w:val="17"/>
                <w:lang w:eastAsia="zh-TW"/>
              </w:rPr>
              <w:t>。</w:t>
            </w:r>
          </w:p>
        </w:tc>
      </w:tr>
      <w:tr w:rsidR="005A22C2" w:rsidRPr="005A22C2" w14:paraId="66E4CC5E" w14:textId="77777777" w:rsidTr="00A94770">
        <w:tc>
          <w:tcPr>
            <w:tcW w:w="2160" w:type="dxa"/>
            <w:tcBorders>
              <w:top w:val="single" w:sz="4" w:space="0" w:color="auto"/>
              <w:left w:val="nil"/>
              <w:bottom w:val="single" w:sz="4" w:space="0" w:color="auto"/>
              <w:right w:val="single" w:sz="4" w:space="0" w:color="auto"/>
            </w:tcBorders>
            <w:hideMark/>
          </w:tcPr>
          <w:p w14:paraId="384751EC" w14:textId="77777777" w:rsidR="00E932DC" w:rsidRPr="005A22C2" w:rsidRDefault="00E932DC" w:rsidP="00E932DC">
            <w:pPr>
              <w:spacing w:before="40" w:after="40"/>
              <w:rPr>
                <w:rFonts w:eastAsia="新細明體" w:cs="Segoe UI"/>
                <w:b/>
                <w:sz w:val="17"/>
                <w:lang w:eastAsia="zh-TW"/>
              </w:rPr>
            </w:pPr>
            <w:r w:rsidRPr="005A22C2">
              <w:rPr>
                <w:rFonts w:eastAsia="新細明體" w:cs="Segoe UI"/>
                <w:b/>
                <w:sz w:val="17"/>
                <w:lang w:eastAsia="zh-TW"/>
              </w:rPr>
              <w:t>《披露規則》相應條文：</w:t>
            </w:r>
          </w:p>
        </w:tc>
        <w:tc>
          <w:tcPr>
            <w:tcW w:w="6946" w:type="dxa"/>
            <w:tcBorders>
              <w:top w:val="single" w:sz="4" w:space="0" w:color="auto"/>
              <w:left w:val="single" w:sz="4" w:space="0" w:color="auto"/>
              <w:bottom w:val="single" w:sz="4" w:space="0" w:color="auto"/>
              <w:right w:val="nil"/>
            </w:tcBorders>
          </w:tcPr>
          <w:p w14:paraId="231E9271" w14:textId="77777777" w:rsidR="00E932DC" w:rsidRPr="005A22C2" w:rsidRDefault="00E932DC" w:rsidP="00E932DC">
            <w:pPr>
              <w:spacing w:before="40" w:after="40"/>
              <w:jc w:val="both"/>
              <w:rPr>
                <w:rFonts w:eastAsia="新細明體" w:cs="Segoe UI"/>
                <w:sz w:val="17"/>
                <w:lang w:eastAsia="zh-TW"/>
              </w:rPr>
            </w:pPr>
            <w:r w:rsidRPr="005A22C2">
              <w:rPr>
                <w:rFonts w:eastAsia="新細明體" w:cs="Segoe UI"/>
                <w:sz w:val="17"/>
                <w:lang w:eastAsia="zh-TW"/>
              </w:rPr>
              <w:t>16ZOB</w:t>
            </w:r>
          </w:p>
        </w:tc>
      </w:tr>
    </w:tbl>
    <w:p w14:paraId="728131C0" w14:textId="77777777" w:rsidR="00E932DC" w:rsidRPr="005A22C2" w:rsidRDefault="00E932DC" w:rsidP="00E932DC">
      <w:pPr>
        <w:spacing w:before="120" w:after="120"/>
        <w:rPr>
          <w:rFonts w:eastAsia="新細明體" w:cs="Segoe UI"/>
          <w:sz w:val="22"/>
          <w:lang w:eastAsia="zh-TW"/>
        </w:rPr>
      </w:pPr>
    </w:p>
    <w:tbl>
      <w:tblPr>
        <w:tblW w:w="9112" w:type="dxa"/>
        <w:jc w:val="center"/>
        <w:tblCellMar>
          <w:left w:w="70" w:type="dxa"/>
          <w:right w:w="70" w:type="dxa"/>
        </w:tblCellMar>
        <w:tblLook w:val="00A0" w:firstRow="1" w:lastRow="0" w:firstColumn="1" w:lastColumn="0" w:noHBand="0" w:noVBand="0"/>
      </w:tblPr>
      <w:tblGrid>
        <w:gridCol w:w="545"/>
        <w:gridCol w:w="8557"/>
        <w:gridCol w:w="10"/>
      </w:tblGrid>
      <w:tr w:rsidR="005A22C2" w:rsidRPr="005A22C2" w14:paraId="00643891" w14:textId="77777777" w:rsidTr="00DF503C">
        <w:trPr>
          <w:trHeight w:val="448"/>
          <w:jc w:val="center"/>
        </w:trPr>
        <w:tc>
          <w:tcPr>
            <w:tcW w:w="9112" w:type="dxa"/>
            <w:gridSpan w:val="3"/>
            <w:tcBorders>
              <w:top w:val="single" w:sz="4" w:space="0" w:color="auto"/>
              <w:left w:val="nil"/>
              <w:bottom w:val="single" w:sz="4" w:space="0" w:color="auto"/>
              <w:right w:val="nil"/>
            </w:tcBorders>
            <w:shd w:val="clear" w:color="auto" w:fill="F2F2F2"/>
            <w:vAlign w:val="center"/>
            <w:hideMark/>
          </w:tcPr>
          <w:p w14:paraId="615E7966" w14:textId="4E29F5B8" w:rsidR="00E932DC" w:rsidRPr="005A22C2" w:rsidRDefault="00E932DC" w:rsidP="004652AE">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認可機構應提供</w:t>
            </w:r>
            <w:r w:rsidR="004652AE" w:rsidRPr="005A22C2">
              <w:rPr>
                <w:rFonts w:eastAsia="新細明體" w:cs="Segoe UI" w:hint="eastAsia"/>
                <w:sz w:val="17"/>
                <w:szCs w:val="17"/>
                <w:lang w:val="en-US" w:eastAsia="zh-HK"/>
              </w:rPr>
              <w:t>以下</w:t>
            </w:r>
            <w:r w:rsidRPr="005A22C2">
              <w:rPr>
                <w:rFonts w:eastAsia="新細明體" w:cs="Segoe UI"/>
                <w:sz w:val="17"/>
                <w:szCs w:val="17"/>
                <w:lang w:val="en-US" w:eastAsia="zh-HK"/>
              </w:rPr>
              <w:t>有關</w:t>
            </w:r>
            <w:r w:rsidRPr="005A22C2">
              <w:rPr>
                <w:rFonts w:eastAsia="新細明體" w:cs="Segoe UI" w:hint="eastAsia"/>
                <w:sz w:val="17"/>
                <w:szCs w:val="17"/>
                <w:lang w:val="en-US" w:eastAsia="zh-HK"/>
              </w:rPr>
              <w:t>其</w:t>
            </w:r>
            <w:r w:rsidRPr="005A22C2">
              <w:rPr>
                <w:rFonts w:eastAsia="新細明體" w:cs="Segoe UI"/>
                <w:sz w:val="17"/>
                <w:szCs w:val="17"/>
                <w:lang w:val="en-US" w:eastAsia="zh-TW"/>
              </w:rPr>
              <w:t>CVA</w:t>
            </w:r>
            <w:r w:rsidRPr="005A22C2">
              <w:rPr>
                <w:rFonts w:eastAsia="新細明體" w:cs="Segoe UI"/>
                <w:sz w:val="17"/>
                <w:szCs w:val="17"/>
                <w:lang w:val="en-US" w:eastAsia="zh-HK"/>
              </w:rPr>
              <w:t>風險管理</w:t>
            </w:r>
            <w:r w:rsidRPr="005A22C2">
              <w:rPr>
                <w:rFonts w:eastAsia="新細明體" w:cs="Segoe UI" w:hint="eastAsia"/>
                <w:sz w:val="17"/>
                <w:szCs w:val="17"/>
                <w:lang w:val="en-US" w:eastAsia="zh-HK"/>
              </w:rPr>
              <w:t>框架</w:t>
            </w:r>
            <w:r w:rsidRPr="005A22C2">
              <w:rPr>
                <w:rFonts w:eastAsia="新細明體" w:cs="Segoe UI"/>
                <w:sz w:val="17"/>
                <w:szCs w:val="17"/>
                <w:lang w:val="en-US" w:eastAsia="zh-HK"/>
              </w:rPr>
              <w:t>的資料</w:t>
            </w:r>
            <w:r w:rsidRPr="005A22C2">
              <w:rPr>
                <w:rFonts w:eastAsia="新細明體" w:cs="Segoe UI"/>
                <w:sz w:val="17"/>
                <w:szCs w:val="17"/>
                <w:lang w:val="en-US" w:eastAsia="zh-TW"/>
              </w:rPr>
              <w:t>：</w:t>
            </w:r>
          </w:p>
        </w:tc>
      </w:tr>
      <w:tr w:rsidR="005A22C2" w:rsidRPr="005A22C2" w14:paraId="168441DE" w14:textId="77777777" w:rsidTr="007B761C">
        <w:trPr>
          <w:gridAfter w:val="1"/>
          <w:wAfter w:w="10" w:type="dxa"/>
          <w:trHeight w:val="306"/>
          <w:jc w:val="center"/>
        </w:trPr>
        <w:tc>
          <w:tcPr>
            <w:tcW w:w="545" w:type="dxa"/>
            <w:tcBorders>
              <w:top w:val="single" w:sz="4" w:space="0" w:color="auto"/>
              <w:left w:val="nil"/>
              <w:bottom w:val="single" w:sz="4" w:space="0" w:color="auto"/>
              <w:right w:val="nil"/>
            </w:tcBorders>
            <w:noWrap/>
            <w:vAlign w:val="center"/>
            <w:hideMark/>
          </w:tcPr>
          <w:p w14:paraId="1FDAC57B" w14:textId="77777777" w:rsidR="00E932DC" w:rsidRPr="005A22C2" w:rsidRDefault="00E932DC" w:rsidP="00E932DC">
            <w:pPr>
              <w:spacing w:before="40" w:after="40"/>
              <w:jc w:val="both"/>
              <w:rPr>
                <w:rFonts w:eastAsia="新細明體" w:cs="Segoe UI"/>
                <w:sz w:val="17"/>
                <w:lang w:eastAsia="fr-FR"/>
              </w:rPr>
            </w:pPr>
            <w:r w:rsidRPr="005A22C2">
              <w:rPr>
                <w:rFonts w:eastAsia="新細明體" w:cs="Segoe UI"/>
                <w:sz w:val="17"/>
                <w:lang w:eastAsia="fr-FR"/>
              </w:rPr>
              <w:t>(a)</w:t>
            </w:r>
          </w:p>
        </w:tc>
        <w:tc>
          <w:tcPr>
            <w:tcW w:w="8557" w:type="dxa"/>
            <w:tcBorders>
              <w:top w:val="single" w:sz="4" w:space="0" w:color="auto"/>
              <w:left w:val="nil"/>
              <w:bottom w:val="single" w:sz="4" w:space="0" w:color="auto"/>
              <w:right w:val="nil"/>
            </w:tcBorders>
            <w:vAlign w:val="center"/>
            <w:hideMark/>
          </w:tcPr>
          <w:p w14:paraId="26D6B902" w14:textId="3E58CF8E" w:rsidR="00E932DC" w:rsidRPr="005A22C2" w:rsidRDefault="00E932DC" w:rsidP="00DF503C">
            <w:pPr>
              <w:widowControl w:val="0"/>
              <w:autoSpaceDE w:val="0"/>
              <w:autoSpaceDN w:val="0"/>
              <w:adjustRightInd w:val="0"/>
              <w:ind w:firstLine="14"/>
              <w:jc w:val="both"/>
              <w:rPr>
                <w:rFonts w:eastAsia="新細明體" w:cs="Segoe UI"/>
                <w:sz w:val="17"/>
                <w:szCs w:val="17"/>
                <w:lang w:val="en-US" w:eastAsia="zh-TW"/>
              </w:rPr>
            </w:pPr>
            <w:r w:rsidRPr="005A22C2">
              <w:rPr>
                <w:rFonts w:eastAsia="新細明體" w:cs="Segoe UI"/>
                <w:sz w:val="17"/>
                <w:szCs w:val="17"/>
                <w:lang w:val="en-US" w:eastAsia="zh-HK"/>
              </w:rPr>
              <w:t>認可機構的</w:t>
            </w:r>
            <w:r w:rsidRPr="005A22C2">
              <w:rPr>
                <w:rFonts w:eastAsia="新細明體" w:cs="Segoe UI"/>
                <w:sz w:val="17"/>
                <w:szCs w:val="17"/>
                <w:lang w:val="en-US" w:eastAsia="zh-TW"/>
              </w:rPr>
              <w:t>CVA</w:t>
            </w:r>
            <w:r w:rsidRPr="005A22C2">
              <w:rPr>
                <w:rFonts w:eastAsia="新細明體" w:cs="Segoe UI"/>
                <w:sz w:val="17"/>
                <w:szCs w:val="17"/>
                <w:lang w:val="en-US" w:eastAsia="zh-HK"/>
              </w:rPr>
              <w:t>風險管理</w:t>
            </w:r>
            <w:r w:rsidRPr="005A22C2">
              <w:rPr>
                <w:rFonts w:eastAsia="新細明體" w:cs="Segoe UI" w:hint="eastAsia"/>
                <w:sz w:val="17"/>
                <w:szCs w:val="17"/>
                <w:lang w:val="en-US" w:eastAsia="zh-HK"/>
              </w:rPr>
              <w:t>框架</w:t>
            </w:r>
            <w:r w:rsidRPr="005A22C2">
              <w:rPr>
                <w:rFonts w:eastAsia="新細明體" w:cs="Segoe UI"/>
                <w:sz w:val="17"/>
                <w:szCs w:val="17"/>
                <w:lang w:val="en-US" w:eastAsia="zh-HK"/>
              </w:rPr>
              <w:t>的</w:t>
            </w:r>
            <w:r w:rsidRPr="005A22C2">
              <w:rPr>
                <w:rFonts w:eastAsia="新細明體" w:cs="Segoe UI" w:hint="eastAsia"/>
                <w:sz w:val="17"/>
                <w:szCs w:val="17"/>
                <w:lang w:val="en-US" w:eastAsia="zh-HK"/>
              </w:rPr>
              <w:t>描述</w:t>
            </w:r>
            <w:r w:rsidRPr="005A22C2">
              <w:rPr>
                <w:rFonts w:eastAsia="新細明體" w:cs="Segoe UI"/>
                <w:sz w:val="17"/>
                <w:szCs w:val="17"/>
                <w:lang w:val="en-US" w:eastAsia="zh-TW"/>
              </w:rPr>
              <w:t>。</w:t>
            </w:r>
            <w:r w:rsidRPr="005A22C2">
              <w:rPr>
                <w:rFonts w:eastAsia="新細明體" w:cs="Segoe UI"/>
                <w:sz w:val="17"/>
                <w:szCs w:val="17"/>
                <w:lang w:val="en-US" w:eastAsia="zh-TW"/>
              </w:rPr>
              <w:t xml:space="preserve"> </w:t>
            </w:r>
          </w:p>
        </w:tc>
      </w:tr>
      <w:tr w:rsidR="005A22C2" w:rsidRPr="005A22C2" w14:paraId="078FD809" w14:textId="77777777" w:rsidTr="007B761C">
        <w:trPr>
          <w:gridAfter w:val="1"/>
          <w:wAfter w:w="10" w:type="dxa"/>
          <w:trHeight w:val="306"/>
          <w:jc w:val="center"/>
        </w:trPr>
        <w:tc>
          <w:tcPr>
            <w:tcW w:w="545" w:type="dxa"/>
            <w:tcBorders>
              <w:top w:val="single" w:sz="4" w:space="0" w:color="auto"/>
              <w:left w:val="nil"/>
              <w:bottom w:val="single" w:sz="4" w:space="0" w:color="auto"/>
              <w:right w:val="nil"/>
            </w:tcBorders>
            <w:noWrap/>
            <w:vAlign w:val="center"/>
            <w:hideMark/>
          </w:tcPr>
          <w:p w14:paraId="6ADFA7B4" w14:textId="77777777" w:rsidR="00E932DC" w:rsidRPr="005A22C2" w:rsidRDefault="00E932DC" w:rsidP="00E932DC">
            <w:pPr>
              <w:spacing w:before="40" w:after="40"/>
              <w:jc w:val="both"/>
              <w:rPr>
                <w:rFonts w:eastAsia="新細明體" w:cs="Segoe UI"/>
                <w:sz w:val="17"/>
                <w:lang w:eastAsia="fr-FR"/>
              </w:rPr>
            </w:pPr>
            <w:r w:rsidRPr="005A22C2">
              <w:rPr>
                <w:rFonts w:eastAsia="新細明體" w:cs="Segoe UI"/>
                <w:sz w:val="17"/>
                <w:lang w:eastAsia="fr-FR"/>
              </w:rPr>
              <w:t>(b)</w:t>
            </w:r>
          </w:p>
        </w:tc>
        <w:tc>
          <w:tcPr>
            <w:tcW w:w="8557" w:type="dxa"/>
            <w:tcBorders>
              <w:top w:val="single" w:sz="4" w:space="0" w:color="auto"/>
              <w:left w:val="nil"/>
              <w:bottom w:val="single" w:sz="4" w:space="0" w:color="auto"/>
              <w:right w:val="nil"/>
            </w:tcBorders>
            <w:vAlign w:val="center"/>
            <w:hideMark/>
          </w:tcPr>
          <w:p w14:paraId="21319E3A" w14:textId="3145DF0B" w:rsidR="00E932DC" w:rsidRPr="005A22C2" w:rsidRDefault="00E932DC" w:rsidP="00DF503C">
            <w:pPr>
              <w:widowControl w:val="0"/>
              <w:autoSpaceDE w:val="0"/>
              <w:autoSpaceDN w:val="0"/>
              <w:adjustRightInd w:val="0"/>
              <w:ind w:firstLine="14"/>
              <w:jc w:val="both"/>
              <w:rPr>
                <w:rFonts w:eastAsia="新細明體" w:cs="Segoe UI"/>
                <w:sz w:val="17"/>
                <w:szCs w:val="17"/>
                <w:lang w:val="en-US" w:eastAsia="zh-TW"/>
              </w:rPr>
            </w:pPr>
            <w:r w:rsidRPr="005A22C2">
              <w:rPr>
                <w:rFonts w:eastAsia="新細明體" w:cs="Segoe UI"/>
                <w:sz w:val="17"/>
                <w:szCs w:val="17"/>
                <w:lang w:val="en-US" w:eastAsia="zh-HK"/>
              </w:rPr>
              <w:t>高級管理</w:t>
            </w:r>
            <w:r w:rsidRPr="005A22C2">
              <w:rPr>
                <w:rFonts w:eastAsia="新細明體" w:cs="Segoe UI" w:hint="eastAsia"/>
                <w:sz w:val="17"/>
                <w:szCs w:val="17"/>
                <w:lang w:val="en-US" w:eastAsia="zh-HK"/>
              </w:rPr>
              <w:t>人員</w:t>
            </w:r>
            <w:r w:rsidRPr="005A22C2">
              <w:rPr>
                <w:rFonts w:eastAsia="新細明體" w:cs="Segoe UI"/>
                <w:sz w:val="17"/>
                <w:szCs w:val="17"/>
                <w:lang w:val="en-US" w:eastAsia="zh-HK"/>
              </w:rPr>
              <w:t>如何參與</w:t>
            </w:r>
            <w:r w:rsidRPr="005A22C2">
              <w:rPr>
                <w:rFonts w:eastAsia="新細明體" w:cs="Segoe UI"/>
                <w:sz w:val="17"/>
                <w:szCs w:val="17"/>
                <w:lang w:val="en-US" w:eastAsia="zh-TW"/>
              </w:rPr>
              <w:t>CVA</w:t>
            </w:r>
            <w:r w:rsidRPr="005A22C2">
              <w:rPr>
                <w:rFonts w:eastAsia="新細明體" w:cs="Segoe UI"/>
                <w:sz w:val="17"/>
                <w:szCs w:val="17"/>
                <w:lang w:val="en-US" w:eastAsia="zh-HK"/>
              </w:rPr>
              <w:t>風險管理</w:t>
            </w:r>
            <w:r w:rsidRPr="005A22C2">
              <w:rPr>
                <w:rFonts w:eastAsia="新細明體" w:cs="Segoe UI" w:hint="eastAsia"/>
                <w:sz w:val="17"/>
                <w:szCs w:val="17"/>
                <w:lang w:val="en-US" w:eastAsia="zh-HK"/>
              </w:rPr>
              <w:t>框架</w:t>
            </w:r>
            <w:r w:rsidRPr="005A22C2">
              <w:rPr>
                <w:rFonts w:eastAsia="新細明體" w:cs="Segoe UI"/>
                <w:sz w:val="17"/>
                <w:szCs w:val="17"/>
                <w:lang w:val="en-US" w:eastAsia="zh-HK"/>
              </w:rPr>
              <w:t>的</w:t>
            </w:r>
            <w:r w:rsidRPr="005A22C2">
              <w:rPr>
                <w:rFonts w:eastAsia="新細明體" w:cs="Segoe UI" w:hint="eastAsia"/>
                <w:sz w:val="17"/>
                <w:szCs w:val="17"/>
                <w:lang w:val="en-US" w:eastAsia="zh-HK"/>
              </w:rPr>
              <w:t>描述</w:t>
            </w:r>
            <w:r w:rsidRPr="005A22C2">
              <w:rPr>
                <w:rFonts w:eastAsia="新細明體" w:cs="Segoe UI"/>
                <w:sz w:val="17"/>
                <w:szCs w:val="17"/>
                <w:lang w:val="en-US" w:eastAsia="zh-TW"/>
              </w:rPr>
              <w:t>。</w:t>
            </w:r>
          </w:p>
        </w:tc>
      </w:tr>
      <w:tr w:rsidR="005A22C2" w:rsidRPr="005A22C2" w14:paraId="2545F4D6" w14:textId="77777777" w:rsidTr="007B761C">
        <w:trPr>
          <w:gridAfter w:val="1"/>
          <w:wAfter w:w="10" w:type="dxa"/>
          <w:trHeight w:val="306"/>
          <w:jc w:val="center"/>
        </w:trPr>
        <w:tc>
          <w:tcPr>
            <w:tcW w:w="545" w:type="dxa"/>
            <w:tcBorders>
              <w:top w:val="single" w:sz="4" w:space="0" w:color="auto"/>
              <w:left w:val="nil"/>
              <w:bottom w:val="single" w:sz="4" w:space="0" w:color="auto"/>
              <w:right w:val="nil"/>
            </w:tcBorders>
            <w:noWrap/>
            <w:vAlign w:val="center"/>
            <w:hideMark/>
          </w:tcPr>
          <w:p w14:paraId="345F9741" w14:textId="77777777" w:rsidR="00E932DC" w:rsidRPr="005A22C2" w:rsidRDefault="00E932DC" w:rsidP="00E932DC">
            <w:pPr>
              <w:spacing w:before="40" w:after="40"/>
              <w:jc w:val="both"/>
              <w:rPr>
                <w:rFonts w:eastAsia="新細明體" w:cs="Segoe UI"/>
                <w:sz w:val="17"/>
                <w:lang w:eastAsia="fr-FR"/>
              </w:rPr>
            </w:pPr>
            <w:r w:rsidRPr="005A22C2">
              <w:rPr>
                <w:rFonts w:eastAsia="新細明體" w:cs="Segoe UI"/>
                <w:sz w:val="17"/>
                <w:lang w:eastAsia="fr-FR"/>
              </w:rPr>
              <w:t>(c)</w:t>
            </w:r>
          </w:p>
        </w:tc>
        <w:tc>
          <w:tcPr>
            <w:tcW w:w="8557" w:type="dxa"/>
            <w:tcBorders>
              <w:top w:val="single" w:sz="4" w:space="0" w:color="auto"/>
              <w:left w:val="nil"/>
              <w:bottom w:val="single" w:sz="4" w:space="0" w:color="auto"/>
              <w:right w:val="nil"/>
            </w:tcBorders>
            <w:vAlign w:val="center"/>
            <w:hideMark/>
          </w:tcPr>
          <w:p w14:paraId="523A651D" w14:textId="3879EED0" w:rsidR="00E932DC" w:rsidRPr="005A22C2" w:rsidRDefault="00E932DC" w:rsidP="00360B12">
            <w:pPr>
              <w:widowControl w:val="0"/>
              <w:autoSpaceDE w:val="0"/>
              <w:autoSpaceDN w:val="0"/>
              <w:adjustRightInd w:val="0"/>
              <w:ind w:firstLine="14"/>
              <w:jc w:val="both"/>
              <w:rPr>
                <w:rFonts w:eastAsia="新細明體" w:cs="Segoe UI"/>
                <w:sz w:val="17"/>
                <w:szCs w:val="17"/>
                <w:lang w:eastAsia="zh-HK"/>
              </w:rPr>
            </w:pPr>
            <w:r w:rsidRPr="005A22C2">
              <w:rPr>
                <w:rFonts w:eastAsia="新細明體" w:cs="Segoe UI"/>
                <w:sz w:val="17"/>
                <w:szCs w:val="17"/>
                <w:lang w:val="en-US" w:eastAsia="zh-TW"/>
              </w:rPr>
              <w:t>CVA</w:t>
            </w:r>
            <w:r w:rsidRPr="005A22C2">
              <w:rPr>
                <w:rFonts w:eastAsia="新細明體" w:cs="Segoe UI"/>
                <w:sz w:val="17"/>
                <w:szCs w:val="17"/>
                <w:lang w:val="en-US" w:eastAsia="zh-HK"/>
              </w:rPr>
              <w:t>風險管理</w:t>
            </w:r>
            <w:r w:rsidRPr="005A22C2">
              <w:rPr>
                <w:rFonts w:eastAsia="新細明體" w:cs="Segoe UI" w:hint="eastAsia"/>
                <w:sz w:val="17"/>
                <w:szCs w:val="17"/>
                <w:lang w:val="en-US" w:eastAsia="zh-HK"/>
              </w:rPr>
              <w:t>框架</w:t>
            </w:r>
            <w:r w:rsidRPr="005A22C2">
              <w:rPr>
                <w:rFonts w:eastAsia="新細明體" w:cs="Segoe UI"/>
                <w:sz w:val="17"/>
                <w:szCs w:val="17"/>
                <w:lang w:val="en-US" w:eastAsia="zh-HK"/>
              </w:rPr>
              <w:t>的管治</w:t>
            </w:r>
            <w:r w:rsidRPr="005A22C2">
              <w:rPr>
                <w:rFonts w:eastAsia="新細明體" w:cs="Segoe UI" w:hint="eastAsia"/>
                <w:sz w:val="17"/>
                <w:szCs w:val="17"/>
                <w:lang w:val="en-US" w:eastAsia="zh-HK"/>
              </w:rPr>
              <w:t>概覽</w:t>
            </w:r>
            <w:r w:rsidR="00621822" w:rsidRPr="005A22C2">
              <w:rPr>
                <w:rFonts w:eastAsia="新細明體" w:cs="Segoe UI" w:hint="eastAsia"/>
                <w:sz w:val="17"/>
                <w:szCs w:val="17"/>
                <w:lang w:eastAsia="zh-HK"/>
              </w:rPr>
              <w:t>（</w:t>
            </w:r>
            <w:r w:rsidRPr="005A22C2">
              <w:rPr>
                <w:rFonts w:eastAsia="新細明體" w:cs="Segoe UI"/>
                <w:sz w:val="17"/>
                <w:szCs w:val="17"/>
                <w:lang w:val="en-US" w:eastAsia="zh-HK"/>
              </w:rPr>
              <w:t>例如文件紀錄</w:t>
            </w:r>
            <w:r w:rsidRPr="005A22C2">
              <w:rPr>
                <w:rFonts w:eastAsia="新細明體" w:cs="Segoe UI"/>
                <w:sz w:val="17"/>
                <w:szCs w:val="17"/>
                <w:lang w:val="en-US" w:eastAsia="zh-TW"/>
              </w:rPr>
              <w:t>、</w:t>
            </w:r>
            <w:r w:rsidRPr="005A22C2">
              <w:rPr>
                <w:rFonts w:eastAsia="新細明體" w:cs="Segoe UI" w:hint="eastAsia"/>
                <w:sz w:val="17"/>
                <w:szCs w:val="17"/>
                <w:lang w:val="en-US" w:eastAsia="zh-HK"/>
              </w:rPr>
              <w:t>獨立</w:t>
            </w:r>
            <w:r w:rsidR="00360B12" w:rsidRPr="005A22C2">
              <w:rPr>
                <w:rFonts w:eastAsia="新細明體" w:cs="Segoe UI" w:hint="eastAsia"/>
                <w:sz w:val="17"/>
                <w:szCs w:val="17"/>
                <w:lang w:val="en-US" w:eastAsia="zh-HK"/>
              </w:rPr>
              <w:t>管</w:t>
            </w:r>
            <w:r w:rsidRPr="005A22C2">
              <w:rPr>
                <w:rFonts w:eastAsia="新細明體" w:cs="Segoe UI" w:hint="eastAsia"/>
                <w:sz w:val="17"/>
                <w:szCs w:val="17"/>
                <w:lang w:val="en-US" w:eastAsia="zh-HK"/>
              </w:rPr>
              <w:t>控單位</w:t>
            </w:r>
            <w:r w:rsidRPr="005A22C2">
              <w:rPr>
                <w:rFonts w:eastAsia="新細明體" w:cs="Segoe UI"/>
                <w:sz w:val="17"/>
                <w:szCs w:val="17"/>
                <w:lang w:val="en-US" w:eastAsia="zh-TW"/>
              </w:rPr>
              <w:t>、</w:t>
            </w:r>
            <w:r w:rsidRPr="005A22C2">
              <w:rPr>
                <w:rFonts w:eastAsia="新細明體" w:cs="Segoe UI"/>
                <w:sz w:val="17"/>
                <w:szCs w:val="17"/>
                <w:lang w:val="en-US" w:eastAsia="zh-HK"/>
              </w:rPr>
              <w:t>獨立</w:t>
            </w:r>
            <w:r w:rsidRPr="005A22C2">
              <w:rPr>
                <w:rFonts w:eastAsia="新細明體" w:cs="Segoe UI" w:hint="eastAsia"/>
                <w:sz w:val="17"/>
                <w:szCs w:val="17"/>
                <w:lang w:eastAsia="zh-HK"/>
              </w:rPr>
              <w:t>覆核</w:t>
            </w:r>
            <w:r w:rsidRPr="005A22C2">
              <w:rPr>
                <w:rFonts w:eastAsia="新細明體" w:cs="Segoe UI"/>
                <w:sz w:val="17"/>
                <w:szCs w:val="17"/>
                <w:lang w:val="en-US" w:eastAsia="zh-TW"/>
              </w:rPr>
              <w:t>、</w:t>
            </w:r>
            <w:r w:rsidRPr="005A22C2">
              <w:rPr>
                <w:rFonts w:eastAsia="新細明體" w:cs="Segoe UI" w:hint="eastAsia"/>
                <w:sz w:val="17"/>
                <w:szCs w:val="17"/>
                <w:lang w:val="en-US" w:eastAsia="zh-HK"/>
              </w:rPr>
              <w:t>獨立於業</w:t>
            </w:r>
            <w:r w:rsidRPr="005A22C2">
              <w:rPr>
                <w:rFonts w:eastAsia="新細明體" w:cs="Segoe UI" w:hint="eastAsia"/>
                <w:sz w:val="17"/>
                <w:szCs w:val="17"/>
                <w:lang w:val="en-US" w:eastAsia="zh-TW"/>
              </w:rPr>
              <w:t>務</w:t>
            </w:r>
            <w:r w:rsidRPr="005A22C2">
              <w:rPr>
                <w:rFonts w:eastAsia="新細明體" w:cs="Segoe UI" w:hint="eastAsia"/>
                <w:sz w:val="17"/>
                <w:szCs w:val="17"/>
                <w:lang w:val="en-US" w:eastAsia="zh-HK"/>
              </w:rPr>
              <w:t>線外的方式取得</w:t>
            </w:r>
            <w:r w:rsidRPr="005A22C2">
              <w:rPr>
                <w:rFonts w:eastAsia="新細明體" w:cs="Segoe UI"/>
                <w:sz w:val="17"/>
                <w:szCs w:val="17"/>
                <w:lang w:val="en-US" w:eastAsia="zh-HK"/>
              </w:rPr>
              <w:t>數據</w:t>
            </w:r>
            <w:r w:rsidR="00621822" w:rsidRPr="005A22C2">
              <w:rPr>
                <w:rFonts w:eastAsia="新細明體" w:cs="Segoe UI" w:hint="eastAsia"/>
                <w:sz w:val="17"/>
                <w:szCs w:val="17"/>
                <w:lang w:eastAsia="zh-HK"/>
              </w:rPr>
              <w:t>）</w:t>
            </w:r>
            <w:r w:rsidRPr="005A22C2">
              <w:rPr>
                <w:rFonts w:eastAsia="新細明體" w:cs="Segoe UI"/>
                <w:sz w:val="17"/>
                <w:szCs w:val="17"/>
                <w:lang w:val="en-US" w:eastAsia="zh-TW"/>
              </w:rPr>
              <w:t>。</w:t>
            </w:r>
          </w:p>
        </w:tc>
      </w:tr>
    </w:tbl>
    <w:p w14:paraId="07EF478E" w14:textId="77777777" w:rsidR="00E932DC" w:rsidRDefault="00E932DC" w:rsidP="00E932DC">
      <w:pPr>
        <w:spacing w:before="120" w:after="120"/>
        <w:rPr>
          <w:rFonts w:eastAsia="新細明體" w:cs="Segoe UI"/>
          <w:sz w:val="22"/>
          <w:lang w:val="en-US" w:eastAsia="zh-TW"/>
        </w:rPr>
        <w:sectPr w:rsidR="00E932DC">
          <w:footerReference w:type="default" r:id="rId91"/>
          <w:pgSz w:w="11906" w:h="16838" w:code="9"/>
          <w:pgMar w:top="1440" w:right="1797" w:bottom="1440" w:left="1797" w:header="851" w:footer="737" w:gutter="0"/>
          <w:cols w:space="425"/>
          <w:docGrid w:type="lines" w:linePitch="360"/>
        </w:sectPr>
      </w:pPr>
    </w:p>
    <w:p w14:paraId="4596C2BA" w14:textId="21C29C13" w:rsidR="00BA6AF5" w:rsidRPr="005A22C2" w:rsidRDefault="00BA6AF5" w:rsidP="00BA6AF5">
      <w:pPr>
        <w:pStyle w:val="Heading2"/>
        <w:keepNext w:val="0"/>
        <w:suppressAutoHyphens w:val="0"/>
        <w:spacing w:before="40" w:line="240" w:lineRule="auto"/>
        <w:ind w:left="-454"/>
        <w:rPr>
          <w:rFonts w:ascii="細明體" w:eastAsia="細明體" w:hAnsi="細明體" w:cs="微軟正黑體"/>
          <w:b w:val="0"/>
          <w:bCs w:val="0"/>
          <w:sz w:val="22"/>
          <w:szCs w:val="20"/>
          <w:lang w:eastAsia="zh-TW"/>
        </w:rPr>
      </w:pPr>
      <w:r w:rsidRPr="005A22C2">
        <w:rPr>
          <w:rFonts w:ascii="細明體" w:eastAsia="細明體" w:hAnsi="細明體" w:cs="微軟正黑體"/>
          <w:b w:val="0"/>
          <w:bCs w:val="0"/>
          <w:sz w:val="22"/>
          <w:szCs w:val="20"/>
          <w:lang w:eastAsia="zh-TW"/>
        </w:rPr>
        <w:t>模版</w:t>
      </w:r>
      <w:r w:rsidRPr="005A22C2">
        <w:rPr>
          <w:rFonts w:ascii="Segoe UI" w:eastAsia="細明體" w:hAnsi="Segoe UI" w:cs="Segoe UI"/>
          <w:b w:val="0"/>
          <w:bCs w:val="0"/>
          <w:sz w:val="22"/>
          <w:szCs w:val="20"/>
          <w:lang w:eastAsia="zh-TW"/>
        </w:rPr>
        <w:t>CVA3</w:t>
      </w:r>
      <w:r w:rsidRPr="005A22C2">
        <w:rPr>
          <w:rFonts w:ascii="細明體" w:eastAsia="細明體" w:hAnsi="細明體" w:cs="微軟正黑體"/>
          <w:b w:val="0"/>
          <w:bCs w:val="0"/>
          <w:sz w:val="22"/>
          <w:szCs w:val="20"/>
          <w:lang w:eastAsia="zh-TW"/>
        </w:rPr>
        <w:t>：</w:t>
      </w:r>
      <w:r w:rsidRPr="005A22C2">
        <w:rPr>
          <w:rFonts w:ascii="細明體" w:eastAsia="細明體" w:hAnsi="細明體" w:cs="微軟正黑體" w:hint="eastAsia"/>
          <w:b w:val="0"/>
          <w:bCs w:val="0"/>
          <w:sz w:val="22"/>
          <w:szCs w:val="20"/>
          <w:lang w:eastAsia="zh-TW"/>
        </w:rPr>
        <w:t>在</w:t>
      </w:r>
      <w:r w:rsidRPr="005A22C2">
        <w:rPr>
          <w:rFonts w:ascii="細明體" w:eastAsia="細明體" w:hAnsi="細明體" w:cs="微軟正黑體"/>
          <w:b w:val="0"/>
          <w:bCs w:val="0"/>
          <w:sz w:val="22"/>
          <w:szCs w:val="20"/>
          <w:lang w:eastAsia="zh-TW"/>
        </w:rPr>
        <w:t>標準</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b w:val="0"/>
          <w:bCs w:val="0"/>
          <w:sz w:val="22"/>
          <w:szCs w:val="20"/>
          <w:lang w:eastAsia="zh-TW"/>
        </w:rPr>
        <w:t>計算法下的</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b w:val="0"/>
          <w:bCs w:val="0"/>
          <w:sz w:val="22"/>
          <w:szCs w:val="20"/>
          <w:lang w:eastAsia="zh-TW"/>
        </w:rPr>
        <w:t>風險</w:t>
      </w:r>
    </w:p>
    <w:tbl>
      <w:tblPr>
        <w:tblW w:w="9390"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230"/>
      </w:tblGrid>
      <w:tr w:rsidR="005A22C2" w:rsidRPr="005A22C2" w14:paraId="6CD3258E" w14:textId="77777777" w:rsidTr="00A94770">
        <w:tc>
          <w:tcPr>
            <w:tcW w:w="2160" w:type="dxa"/>
            <w:tcBorders>
              <w:top w:val="single" w:sz="4" w:space="0" w:color="auto"/>
              <w:left w:val="nil"/>
              <w:bottom w:val="single" w:sz="4" w:space="0" w:color="auto"/>
              <w:right w:val="single" w:sz="4" w:space="0" w:color="auto"/>
            </w:tcBorders>
            <w:hideMark/>
          </w:tcPr>
          <w:p w14:paraId="6FEBE9FD" w14:textId="77777777" w:rsidR="00E932DC" w:rsidRPr="005A22C2" w:rsidRDefault="00E932DC" w:rsidP="00E932DC">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7230" w:type="dxa"/>
            <w:tcBorders>
              <w:top w:val="single" w:sz="4" w:space="0" w:color="auto"/>
              <w:left w:val="single" w:sz="4" w:space="0" w:color="auto"/>
              <w:bottom w:val="single" w:sz="4" w:space="0" w:color="auto"/>
              <w:right w:val="nil"/>
            </w:tcBorders>
            <w:hideMark/>
          </w:tcPr>
          <w:p w14:paraId="487C8A51" w14:textId="27F740AE"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提供</w:t>
            </w:r>
            <w:r w:rsidRPr="005A22C2">
              <w:rPr>
                <w:rFonts w:ascii="新細明體" w:eastAsia="新細明體" w:hAnsi="新細明體" w:cs="Segoe UI" w:hint="eastAsia"/>
                <w:sz w:val="17"/>
                <w:szCs w:val="17"/>
                <w:lang w:val="en-US" w:eastAsia="zh-TW"/>
              </w:rPr>
              <w:t>在</w:t>
            </w:r>
            <w:r w:rsidRPr="005A22C2">
              <w:rPr>
                <w:rFonts w:eastAsia="新細明體" w:cs="Segoe UI"/>
                <w:sz w:val="17"/>
                <w:szCs w:val="17"/>
                <w:lang w:val="en-US" w:eastAsia="zh-HK"/>
              </w:rPr>
              <w:t>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計算法下</w:t>
            </w:r>
            <w:r w:rsidRPr="005A22C2">
              <w:rPr>
                <w:rFonts w:ascii="新細明體" w:eastAsia="新細明體" w:hAnsi="新細明體" w:cs="Segoe UI" w:hint="eastAsia"/>
                <w:sz w:val="17"/>
                <w:szCs w:val="17"/>
                <w:lang w:val="en-US" w:eastAsia="zh-TW"/>
              </w:rPr>
              <w:t>用於計算</w:t>
            </w:r>
            <w:r w:rsidRPr="005A22C2">
              <w:rPr>
                <w:rFonts w:eastAsia="新細明體" w:cs="Segoe UI"/>
                <w:sz w:val="17"/>
                <w:szCs w:val="17"/>
                <w:lang w:val="en-US" w:eastAsia="zh-TW"/>
              </w:rPr>
              <w:t>CVA</w:t>
            </w:r>
            <w:r w:rsidRPr="005A22C2">
              <w:rPr>
                <w:rFonts w:eastAsia="新細明體" w:cs="Segoe UI"/>
                <w:sz w:val="17"/>
                <w:szCs w:val="17"/>
                <w:lang w:val="en-US" w:eastAsia="zh-HK"/>
              </w:rPr>
              <w:t>風險資本要求的</w:t>
            </w:r>
            <w:r w:rsidRPr="005A22C2">
              <w:rPr>
                <w:rFonts w:eastAsia="新細明體" w:cs="Segoe UI"/>
                <w:sz w:val="17"/>
                <w:szCs w:val="17"/>
                <w:lang w:eastAsia="zh-TW"/>
              </w:rPr>
              <w:t>組成</w:t>
            </w:r>
            <w:r w:rsidRPr="005A22C2">
              <w:rPr>
                <w:rFonts w:eastAsia="DengXian" w:cs="Segoe UI" w:hint="eastAsia"/>
                <w:sz w:val="17"/>
                <w:szCs w:val="17"/>
                <w:lang w:eastAsia="zh-TW"/>
              </w:rPr>
              <w:t>部分</w:t>
            </w:r>
            <w:r w:rsidRPr="005A22C2">
              <w:rPr>
                <w:rFonts w:eastAsia="新細明體" w:cs="Segoe UI"/>
                <w:sz w:val="17"/>
                <w:szCs w:val="17"/>
                <w:lang w:val="en-US" w:eastAsia="zh-TW"/>
              </w:rPr>
              <w:t>。</w:t>
            </w:r>
          </w:p>
        </w:tc>
      </w:tr>
      <w:tr w:rsidR="005A22C2" w:rsidRPr="005A22C2" w14:paraId="70D608C6" w14:textId="77777777" w:rsidTr="00A94770">
        <w:tc>
          <w:tcPr>
            <w:tcW w:w="2160" w:type="dxa"/>
            <w:tcBorders>
              <w:top w:val="single" w:sz="4" w:space="0" w:color="auto"/>
              <w:left w:val="nil"/>
              <w:bottom w:val="single" w:sz="4" w:space="0" w:color="auto"/>
              <w:right w:val="single" w:sz="4" w:space="0" w:color="auto"/>
            </w:tcBorders>
            <w:hideMark/>
          </w:tcPr>
          <w:p w14:paraId="7B54BA82"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7230" w:type="dxa"/>
            <w:tcBorders>
              <w:top w:val="single" w:sz="4" w:space="0" w:color="auto"/>
              <w:left w:val="single" w:sz="4" w:space="0" w:color="auto"/>
              <w:bottom w:val="single" w:sz="4" w:space="0" w:color="auto"/>
              <w:right w:val="nil"/>
            </w:tcBorders>
            <w:hideMark/>
          </w:tcPr>
          <w:p w14:paraId="7C840C3A" w14:textId="53791466"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在香港成立為法團並使用標準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計算法計算</w:t>
            </w:r>
            <w:r w:rsidRPr="005A22C2">
              <w:rPr>
                <w:rFonts w:eastAsia="新細明體" w:cs="Segoe UI" w:hint="eastAsia"/>
                <w:sz w:val="17"/>
                <w:szCs w:val="17"/>
                <w:lang w:val="en-US" w:eastAsia="zh-HK"/>
              </w:rPr>
              <w:t>其</w:t>
            </w:r>
            <w:r w:rsidRPr="005A22C2">
              <w:rPr>
                <w:rFonts w:eastAsia="新細明體" w:cs="Segoe UI"/>
                <w:sz w:val="17"/>
                <w:szCs w:val="17"/>
                <w:lang w:val="en-US" w:eastAsia="zh-HK"/>
              </w:rPr>
              <w:t>部分或所有的</w:t>
            </w:r>
            <w:r w:rsidRPr="005A22C2">
              <w:rPr>
                <w:rFonts w:eastAsia="新細明體" w:cs="Segoe UI"/>
                <w:sz w:val="17"/>
                <w:szCs w:val="17"/>
                <w:lang w:val="en-US" w:eastAsia="zh-TW"/>
              </w:rPr>
              <w:t>CVA</w:t>
            </w:r>
            <w:r w:rsidRPr="005A22C2">
              <w:rPr>
                <w:rFonts w:eastAsia="新細明體" w:cs="Segoe UI"/>
                <w:sz w:val="17"/>
                <w:szCs w:val="17"/>
                <w:lang w:val="en-US" w:eastAsia="zh-HK"/>
              </w:rPr>
              <w:t>風險資本要求的認可機構均須填報本模版</w:t>
            </w:r>
            <w:r w:rsidRPr="005A22C2">
              <w:rPr>
                <w:rFonts w:eastAsia="新細明體" w:cs="Segoe UI"/>
                <w:sz w:val="17"/>
                <w:szCs w:val="17"/>
                <w:lang w:val="en-US" w:eastAsia="zh-TW"/>
              </w:rPr>
              <w:t>。</w:t>
            </w:r>
          </w:p>
        </w:tc>
      </w:tr>
      <w:tr w:rsidR="005A22C2" w:rsidRPr="005A22C2" w14:paraId="25D2AB91" w14:textId="77777777" w:rsidTr="00A94770">
        <w:tc>
          <w:tcPr>
            <w:tcW w:w="2160" w:type="dxa"/>
            <w:tcBorders>
              <w:top w:val="single" w:sz="4" w:space="0" w:color="auto"/>
              <w:left w:val="nil"/>
              <w:bottom w:val="single" w:sz="4" w:space="0" w:color="auto"/>
              <w:right w:val="single" w:sz="4" w:space="0" w:color="auto"/>
            </w:tcBorders>
            <w:hideMark/>
          </w:tcPr>
          <w:p w14:paraId="5E1B8FEF"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7230" w:type="dxa"/>
            <w:tcBorders>
              <w:top w:val="single" w:sz="4" w:space="0" w:color="auto"/>
              <w:left w:val="single" w:sz="4" w:space="0" w:color="auto"/>
              <w:bottom w:val="single" w:sz="4" w:space="0" w:color="auto"/>
              <w:right w:val="nil"/>
            </w:tcBorders>
            <w:hideMark/>
          </w:tcPr>
          <w:p w14:paraId="626DB557" w14:textId="77777777" w:rsidR="00E932DC" w:rsidRPr="005A22C2" w:rsidRDefault="00E932DC" w:rsidP="00E932DC">
            <w:pPr>
              <w:spacing w:before="40" w:after="40"/>
              <w:jc w:val="both"/>
              <w:rPr>
                <w:rFonts w:eastAsia="新細明體" w:cs="Segoe UI"/>
                <w:sz w:val="17"/>
                <w:szCs w:val="17"/>
              </w:rPr>
            </w:pPr>
            <w:r w:rsidRPr="005A22C2">
              <w:rPr>
                <w:rFonts w:eastAsia="新細明體" w:cs="Segoe UI"/>
                <w:sz w:val="17"/>
                <w:szCs w:val="17"/>
                <w:lang w:eastAsia="zh-HK"/>
              </w:rPr>
              <w:t>資本要求</w:t>
            </w:r>
            <w:r w:rsidRPr="005A22C2">
              <w:rPr>
                <w:rFonts w:eastAsia="新細明體" w:cs="Segoe UI"/>
                <w:sz w:val="17"/>
                <w:szCs w:val="17"/>
                <w:lang w:eastAsia="zh-TW"/>
              </w:rPr>
              <w:t>。</w:t>
            </w:r>
          </w:p>
        </w:tc>
      </w:tr>
      <w:tr w:rsidR="005A22C2" w:rsidRPr="005A22C2" w14:paraId="3F0B4517" w14:textId="77777777" w:rsidTr="00A94770">
        <w:tc>
          <w:tcPr>
            <w:tcW w:w="2160" w:type="dxa"/>
            <w:tcBorders>
              <w:top w:val="single" w:sz="4" w:space="0" w:color="auto"/>
              <w:left w:val="nil"/>
              <w:bottom w:val="single" w:sz="4" w:space="0" w:color="auto"/>
              <w:right w:val="single" w:sz="4" w:space="0" w:color="auto"/>
            </w:tcBorders>
            <w:hideMark/>
          </w:tcPr>
          <w:p w14:paraId="1E0C8ECD"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7230" w:type="dxa"/>
            <w:tcBorders>
              <w:top w:val="single" w:sz="4" w:space="0" w:color="auto"/>
              <w:left w:val="single" w:sz="4" w:space="0" w:color="auto"/>
              <w:bottom w:val="single" w:sz="4" w:space="0" w:color="auto"/>
              <w:right w:val="nil"/>
            </w:tcBorders>
            <w:hideMark/>
          </w:tcPr>
          <w:p w14:paraId="62CF1FFE" w14:textId="77777777" w:rsidR="00E932DC" w:rsidRPr="005A22C2" w:rsidRDefault="00E932DC" w:rsidP="00E932DC">
            <w:pPr>
              <w:spacing w:before="40" w:after="40"/>
              <w:jc w:val="both"/>
              <w:rPr>
                <w:rFonts w:eastAsia="新細明體" w:cs="Segoe UI"/>
                <w:sz w:val="17"/>
                <w:lang w:eastAsia="en-GB"/>
              </w:rPr>
            </w:pPr>
            <w:proofErr w:type="spellStart"/>
            <w:r w:rsidRPr="005A22C2">
              <w:rPr>
                <w:rFonts w:eastAsia="新細明體" w:cs="Segoe UI"/>
                <w:sz w:val="17"/>
                <w:lang w:eastAsia="en-GB"/>
              </w:rPr>
              <w:t>每半年一次</w:t>
            </w:r>
            <w:proofErr w:type="spellEnd"/>
            <w:r w:rsidRPr="005A22C2">
              <w:rPr>
                <w:rFonts w:eastAsia="新細明體" w:cs="Segoe UI"/>
                <w:sz w:val="17"/>
                <w:lang w:eastAsia="en-GB"/>
              </w:rPr>
              <w:t>。</w:t>
            </w:r>
          </w:p>
        </w:tc>
      </w:tr>
      <w:tr w:rsidR="005A22C2" w:rsidRPr="005A22C2" w14:paraId="76EF060C" w14:textId="77777777" w:rsidTr="00A94770">
        <w:tc>
          <w:tcPr>
            <w:tcW w:w="2160" w:type="dxa"/>
            <w:tcBorders>
              <w:top w:val="single" w:sz="4" w:space="0" w:color="auto"/>
              <w:left w:val="nil"/>
              <w:bottom w:val="single" w:sz="4" w:space="0" w:color="auto"/>
              <w:right w:val="single" w:sz="4" w:space="0" w:color="auto"/>
            </w:tcBorders>
            <w:hideMark/>
          </w:tcPr>
          <w:p w14:paraId="2E6659D3"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7230" w:type="dxa"/>
            <w:tcBorders>
              <w:top w:val="single" w:sz="4" w:space="0" w:color="auto"/>
              <w:left w:val="single" w:sz="4" w:space="0" w:color="auto"/>
              <w:bottom w:val="single" w:sz="4" w:space="0" w:color="auto"/>
              <w:right w:val="nil"/>
            </w:tcBorders>
            <w:hideMark/>
          </w:tcPr>
          <w:p w14:paraId="2790BEA8" w14:textId="7B706F0D" w:rsidR="00E932DC" w:rsidRPr="005A22C2" w:rsidRDefault="00E932DC" w:rsidP="00070E01">
            <w:pPr>
              <w:spacing w:before="40" w:after="40"/>
              <w:jc w:val="both"/>
              <w:rPr>
                <w:rFonts w:eastAsia="新細明體" w:cs="Segoe UI"/>
                <w:sz w:val="17"/>
                <w:lang w:eastAsia="zh-TW"/>
              </w:rPr>
            </w:pPr>
            <w:r w:rsidRPr="005A22C2">
              <w:rPr>
                <w:rFonts w:eastAsia="新細明體" w:cs="Segoe UI"/>
                <w:sz w:val="17"/>
                <w:lang w:eastAsia="zh-TW"/>
              </w:rPr>
              <w:t>固定。</w:t>
            </w:r>
            <w:r w:rsidRPr="005A22C2">
              <w:rPr>
                <w:rFonts w:eastAsia="新細明體" w:cs="Segoe UI"/>
                <w:sz w:val="17"/>
                <w:lang w:eastAsia="zh-HK"/>
              </w:rPr>
              <w:t>可加</w:t>
            </w:r>
            <w:r w:rsidR="00070E01" w:rsidRPr="005A22C2">
              <w:rPr>
                <w:rFonts w:eastAsia="新細明體" w:cs="Segoe UI" w:hint="eastAsia"/>
                <w:sz w:val="17"/>
                <w:lang w:eastAsia="zh-HK"/>
              </w:rPr>
              <w:t>入附加</w:t>
            </w:r>
            <w:r w:rsidRPr="005A22C2">
              <w:rPr>
                <w:rFonts w:eastAsia="新細明體" w:cs="Segoe UI"/>
                <w:sz w:val="17"/>
                <w:lang w:eastAsia="zh-HK"/>
              </w:rPr>
              <w:t>行以填報其他風險的細目分類</w:t>
            </w:r>
            <w:r w:rsidRPr="005A22C2">
              <w:rPr>
                <w:rFonts w:eastAsia="新細明體" w:cs="Segoe UI"/>
                <w:sz w:val="17"/>
                <w:lang w:eastAsia="zh-TW"/>
              </w:rPr>
              <w:t>。</w:t>
            </w:r>
          </w:p>
        </w:tc>
      </w:tr>
      <w:tr w:rsidR="005A22C2" w:rsidRPr="005A22C2" w14:paraId="4E961160" w14:textId="77777777" w:rsidTr="00A94770">
        <w:tc>
          <w:tcPr>
            <w:tcW w:w="2160" w:type="dxa"/>
            <w:tcBorders>
              <w:top w:val="single" w:sz="4" w:space="0" w:color="auto"/>
              <w:left w:val="nil"/>
              <w:bottom w:val="single" w:sz="4" w:space="0" w:color="auto"/>
              <w:right w:val="single" w:sz="4" w:space="0" w:color="auto"/>
            </w:tcBorders>
            <w:hideMark/>
          </w:tcPr>
          <w:p w14:paraId="4AC80474" w14:textId="77777777" w:rsidR="00E932DC" w:rsidRPr="005A22C2" w:rsidRDefault="00E932DC" w:rsidP="00E932DC">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7230" w:type="dxa"/>
            <w:tcBorders>
              <w:top w:val="single" w:sz="4" w:space="0" w:color="auto"/>
              <w:left w:val="single" w:sz="4" w:space="0" w:color="auto"/>
              <w:bottom w:val="single" w:sz="4" w:space="0" w:color="auto"/>
              <w:right w:val="nil"/>
            </w:tcBorders>
          </w:tcPr>
          <w:p w14:paraId="765FA6FC" w14:textId="77777777" w:rsidR="00E932DC" w:rsidRPr="005A22C2" w:rsidRDefault="00E932DC" w:rsidP="00E932DC">
            <w:pPr>
              <w:spacing w:before="40" w:after="40"/>
              <w:jc w:val="both"/>
              <w:rPr>
                <w:rFonts w:eastAsia="新細明體" w:cs="Segoe UI"/>
                <w:sz w:val="17"/>
                <w:lang w:eastAsia="en-GB"/>
              </w:rPr>
            </w:pPr>
            <w:r w:rsidRPr="005A22C2">
              <w:rPr>
                <w:rFonts w:eastAsia="新細明體" w:cs="Segoe UI"/>
                <w:sz w:val="17"/>
                <w:lang w:eastAsia="en-GB"/>
              </w:rPr>
              <w:t>16ZOE</w:t>
            </w:r>
          </w:p>
        </w:tc>
      </w:tr>
    </w:tbl>
    <w:p w14:paraId="6E256537" w14:textId="77777777" w:rsidR="00E932DC" w:rsidRPr="005A22C2" w:rsidRDefault="00E932DC" w:rsidP="00E932DC">
      <w:pPr>
        <w:rPr>
          <w:rFonts w:eastAsia="新細明體" w:cs="Segoe UI"/>
        </w:rPr>
      </w:pPr>
    </w:p>
    <w:tbl>
      <w:tblPr>
        <w:tblW w:w="0"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2552"/>
        <w:gridCol w:w="3260"/>
        <w:gridCol w:w="2977"/>
      </w:tblGrid>
      <w:tr w:rsidR="005A22C2" w:rsidRPr="005A22C2" w14:paraId="23A297BE" w14:textId="77777777" w:rsidTr="00E932DC">
        <w:trPr>
          <w:cantSplit/>
          <w:tblHeader/>
        </w:trPr>
        <w:tc>
          <w:tcPr>
            <w:tcW w:w="3119" w:type="dxa"/>
            <w:gridSpan w:val="2"/>
            <w:tcBorders>
              <w:top w:val="nil"/>
              <w:left w:val="nil"/>
              <w:bottom w:val="nil"/>
              <w:right w:val="single" w:sz="4" w:space="0" w:color="auto"/>
            </w:tcBorders>
            <w:vAlign w:val="center"/>
          </w:tcPr>
          <w:p w14:paraId="2BA8EAEA" w14:textId="77777777" w:rsidR="00E932DC" w:rsidRPr="005A22C2" w:rsidRDefault="00E932DC" w:rsidP="00E932DC">
            <w:pPr>
              <w:snapToGrid w:val="0"/>
              <w:spacing w:before="40" w:after="40"/>
              <w:rPr>
                <w:rFonts w:eastAsia="新細明體" w:cs="Segoe UI"/>
                <w:sz w:val="17"/>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A48D745"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rPr>
              <w:t>(a)</w:t>
            </w:r>
          </w:p>
        </w:tc>
        <w:tc>
          <w:tcPr>
            <w:tcW w:w="2977" w:type="dxa"/>
            <w:tcBorders>
              <w:top w:val="single" w:sz="4" w:space="0" w:color="auto"/>
              <w:left w:val="single" w:sz="4" w:space="0" w:color="auto"/>
              <w:bottom w:val="single" w:sz="4" w:space="0" w:color="auto"/>
              <w:right w:val="single" w:sz="4" w:space="0" w:color="auto"/>
            </w:tcBorders>
            <w:hideMark/>
          </w:tcPr>
          <w:p w14:paraId="277737C0"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rPr>
              <w:t>(b)</w:t>
            </w:r>
          </w:p>
        </w:tc>
      </w:tr>
      <w:tr w:rsidR="005A22C2" w:rsidRPr="005A22C2" w14:paraId="6EC74CF3" w14:textId="77777777" w:rsidTr="00E932DC">
        <w:trPr>
          <w:cantSplit/>
          <w:tblHeader/>
        </w:trPr>
        <w:tc>
          <w:tcPr>
            <w:tcW w:w="3119" w:type="dxa"/>
            <w:gridSpan w:val="2"/>
            <w:tcBorders>
              <w:top w:val="nil"/>
              <w:left w:val="nil"/>
              <w:bottom w:val="single" w:sz="4" w:space="0" w:color="auto"/>
              <w:right w:val="single" w:sz="4" w:space="0" w:color="auto"/>
            </w:tcBorders>
            <w:vAlign w:val="center"/>
          </w:tcPr>
          <w:p w14:paraId="2FA42971" w14:textId="77777777" w:rsidR="00E932DC" w:rsidRPr="005A22C2" w:rsidRDefault="00E932DC" w:rsidP="00E932DC">
            <w:pPr>
              <w:snapToGrid w:val="0"/>
              <w:spacing w:before="40" w:after="40"/>
              <w:rPr>
                <w:rFonts w:eastAsia="新細明體" w:cs="Segoe UI"/>
                <w:sz w:val="17"/>
                <w:lang w:eastAsia="fr-FR"/>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47D6B096" w14:textId="77777777" w:rsidR="00E932DC" w:rsidRPr="005A22C2" w:rsidRDefault="00E932DC" w:rsidP="00E932DC">
            <w:pPr>
              <w:snapToGrid w:val="0"/>
              <w:spacing w:before="40" w:after="40"/>
              <w:jc w:val="center"/>
              <w:rPr>
                <w:rFonts w:eastAsia="新細明體" w:cs="Segoe UI"/>
                <w:sz w:val="17"/>
                <w:lang w:eastAsia="zh-TW"/>
              </w:rPr>
            </w:pPr>
            <w:r w:rsidRPr="005A22C2">
              <w:rPr>
                <w:rFonts w:eastAsia="新細明體" w:cs="Segoe UI"/>
                <w:sz w:val="17"/>
                <w:szCs w:val="17"/>
                <w:lang w:eastAsia="zh-HK"/>
              </w:rPr>
              <w:t>標準</w:t>
            </w:r>
            <w:r w:rsidRPr="005A22C2">
              <w:rPr>
                <w:rFonts w:eastAsia="新細明體" w:cs="Segoe UI"/>
                <w:sz w:val="17"/>
                <w:szCs w:val="17"/>
                <w:lang w:eastAsia="zh-TW"/>
              </w:rPr>
              <w:t>CVA</w:t>
            </w:r>
            <w:r w:rsidRPr="005A22C2">
              <w:rPr>
                <w:rFonts w:eastAsia="新細明體" w:cs="Segoe UI"/>
                <w:sz w:val="17"/>
                <w:szCs w:val="17"/>
                <w:lang w:eastAsia="zh-HK"/>
              </w:rPr>
              <w:t>計算法下的</w:t>
            </w:r>
            <w:r w:rsidRPr="005A22C2">
              <w:rPr>
                <w:rFonts w:eastAsia="新細明體" w:cs="Segoe UI"/>
                <w:sz w:val="17"/>
                <w:szCs w:val="17"/>
                <w:lang w:eastAsia="zh-TW"/>
              </w:rPr>
              <w:t>CVA</w:t>
            </w:r>
            <w:r w:rsidRPr="005A22C2">
              <w:rPr>
                <w:rFonts w:eastAsia="新細明體" w:cs="Segoe UI"/>
                <w:sz w:val="17"/>
                <w:szCs w:val="17"/>
                <w:lang w:eastAsia="zh-HK"/>
              </w:rPr>
              <w:t>風險資本要求</w:t>
            </w:r>
            <w:r w:rsidRPr="005A22C2">
              <w:rPr>
                <w:rFonts w:eastAsia="新細明體" w:cs="Segoe UI"/>
                <w:sz w:val="17"/>
                <w:szCs w:val="17"/>
                <w:lang w:eastAsia="zh-TW"/>
              </w:rPr>
              <w:t xml:space="preserve">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4150D9"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lang w:eastAsia="zh-HK"/>
              </w:rPr>
              <w:t>對手方數目</w:t>
            </w:r>
          </w:p>
        </w:tc>
      </w:tr>
      <w:tr w:rsidR="001B39FD" w:rsidRPr="005A22C2" w14:paraId="70B0883B"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6EE0085A"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1</w:t>
            </w:r>
          </w:p>
        </w:tc>
        <w:tc>
          <w:tcPr>
            <w:tcW w:w="2552" w:type="dxa"/>
            <w:tcBorders>
              <w:top w:val="single" w:sz="4" w:space="0" w:color="A6A6A6"/>
              <w:left w:val="single" w:sz="4" w:space="0" w:color="auto"/>
              <w:bottom w:val="single" w:sz="4" w:space="0" w:color="A6A6A6"/>
              <w:right w:val="single" w:sz="4" w:space="0" w:color="auto"/>
            </w:tcBorders>
            <w:hideMark/>
          </w:tcPr>
          <w:p w14:paraId="23AD4B20"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lang w:eastAsia="zh-HK"/>
              </w:rPr>
              <w:t>利率風險</w:t>
            </w:r>
          </w:p>
        </w:tc>
        <w:tc>
          <w:tcPr>
            <w:tcW w:w="3260" w:type="dxa"/>
            <w:tcBorders>
              <w:top w:val="single" w:sz="4" w:space="0" w:color="A6A6A6"/>
              <w:left w:val="single" w:sz="4" w:space="0" w:color="auto"/>
              <w:bottom w:val="single" w:sz="4" w:space="0" w:color="A6A6A6"/>
              <w:right w:val="single" w:sz="4" w:space="0" w:color="auto"/>
            </w:tcBorders>
            <w:vAlign w:val="center"/>
          </w:tcPr>
          <w:p w14:paraId="4A27C9CA" w14:textId="77777777" w:rsidR="00E932DC" w:rsidRPr="005A22C2" w:rsidRDefault="00E932DC" w:rsidP="00E932DC">
            <w:pPr>
              <w:snapToGrid w:val="0"/>
              <w:spacing w:before="40" w:after="40"/>
              <w:rPr>
                <w:rFonts w:eastAsia="新細明體" w:cs="Segoe UI"/>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737528F1" w14:textId="77777777" w:rsidR="00E932DC" w:rsidRPr="005A22C2" w:rsidRDefault="00E932DC" w:rsidP="00E932DC">
            <w:pPr>
              <w:snapToGrid w:val="0"/>
              <w:spacing w:before="40" w:after="40"/>
              <w:rPr>
                <w:rFonts w:eastAsia="新細明體" w:cs="Segoe UI"/>
                <w:sz w:val="17"/>
              </w:rPr>
            </w:pPr>
          </w:p>
        </w:tc>
      </w:tr>
      <w:tr w:rsidR="001B39FD" w:rsidRPr="005A22C2" w14:paraId="3157531E"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3F6721D1"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2</w:t>
            </w:r>
          </w:p>
        </w:tc>
        <w:tc>
          <w:tcPr>
            <w:tcW w:w="2552" w:type="dxa"/>
            <w:tcBorders>
              <w:top w:val="single" w:sz="4" w:space="0" w:color="A6A6A6"/>
              <w:left w:val="single" w:sz="4" w:space="0" w:color="auto"/>
              <w:bottom w:val="single" w:sz="4" w:space="0" w:color="A6A6A6"/>
              <w:right w:val="single" w:sz="4" w:space="0" w:color="auto"/>
            </w:tcBorders>
            <w:hideMark/>
          </w:tcPr>
          <w:p w14:paraId="7289156E"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lang w:eastAsia="zh-HK"/>
              </w:rPr>
              <w:t>外匯風險</w:t>
            </w:r>
          </w:p>
        </w:tc>
        <w:tc>
          <w:tcPr>
            <w:tcW w:w="3260" w:type="dxa"/>
            <w:tcBorders>
              <w:top w:val="single" w:sz="4" w:space="0" w:color="A6A6A6"/>
              <w:left w:val="single" w:sz="4" w:space="0" w:color="auto"/>
              <w:bottom w:val="single" w:sz="4" w:space="0" w:color="A6A6A6"/>
              <w:right w:val="single" w:sz="4" w:space="0" w:color="auto"/>
            </w:tcBorders>
            <w:vAlign w:val="center"/>
          </w:tcPr>
          <w:p w14:paraId="10081A3F" w14:textId="77777777" w:rsidR="00E932DC" w:rsidRPr="005A22C2" w:rsidRDefault="00E932DC" w:rsidP="00E932DC">
            <w:pPr>
              <w:snapToGrid w:val="0"/>
              <w:spacing w:before="40" w:after="40"/>
              <w:rPr>
                <w:rFonts w:eastAsia="新細明體" w:cs="Segoe UI"/>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21E38AFA" w14:textId="77777777" w:rsidR="00E932DC" w:rsidRPr="005A22C2" w:rsidRDefault="00E932DC" w:rsidP="00E932DC">
            <w:pPr>
              <w:snapToGrid w:val="0"/>
              <w:spacing w:before="40" w:after="40"/>
              <w:rPr>
                <w:rFonts w:eastAsia="新細明體" w:cs="Segoe UI"/>
                <w:sz w:val="17"/>
              </w:rPr>
            </w:pPr>
          </w:p>
        </w:tc>
      </w:tr>
      <w:tr w:rsidR="001B39FD" w:rsidRPr="005A22C2" w14:paraId="0B372FDB"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7E1C6582"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3</w:t>
            </w:r>
          </w:p>
        </w:tc>
        <w:tc>
          <w:tcPr>
            <w:tcW w:w="2552" w:type="dxa"/>
            <w:tcBorders>
              <w:top w:val="single" w:sz="4" w:space="0" w:color="A6A6A6"/>
              <w:left w:val="single" w:sz="4" w:space="0" w:color="auto"/>
              <w:bottom w:val="single" w:sz="4" w:space="0" w:color="A6A6A6"/>
              <w:right w:val="single" w:sz="4" w:space="0" w:color="auto"/>
            </w:tcBorders>
            <w:hideMark/>
          </w:tcPr>
          <w:p w14:paraId="226F3499" w14:textId="77777777" w:rsidR="00E932DC" w:rsidRPr="005A22C2" w:rsidRDefault="00E932DC" w:rsidP="00E932DC">
            <w:pPr>
              <w:snapToGrid w:val="0"/>
              <w:spacing w:before="40" w:after="40"/>
              <w:rPr>
                <w:rFonts w:eastAsia="DengXian" w:cs="Segoe UI"/>
                <w:sz w:val="17"/>
                <w:lang w:eastAsia="zh-TW"/>
              </w:rPr>
            </w:pPr>
            <w:r w:rsidRPr="005A22C2">
              <w:rPr>
                <w:rFonts w:eastAsia="新細明體" w:cs="Segoe UI"/>
                <w:sz w:val="17"/>
                <w:lang w:eastAsia="zh-HK"/>
              </w:rPr>
              <w:t>參考信用利差風險</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1F419B8A" w14:textId="77777777" w:rsidR="00E932DC" w:rsidRPr="005A22C2" w:rsidRDefault="00E932DC" w:rsidP="00E932DC">
            <w:pPr>
              <w:snapToGrid w:val="0"/>
              <w:spacing w:before="40" w:after="40"/>
              <w:rPr>
                <w:rFonts w:eastAsia="新細明體" w:cs="Segoe UI"/>
                <w:sz w:val="17"/>
                <w:lang w:eastAsia="zh-TW"/>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32F8BB53" w14:textId="77777777" w:rsidR="00E932DC" w:rsidRPr="005A22C2" w:rsidRDefault="00E932DC" w:rsidP="00E932DC">
            <w:pPr>
              <w:snapToGrid w:val="0"/>
              <w:spacing w:before="40" w:after="40"/>
              <w:rPr>
                <w:rFonts w:eastAsia="新細明體" w:cs="Segoe UI"/>
                <w:sz w:val="17"/>
                <w:lang w:eastAsia="zh-TW"/>
              </w:rPr>
            </w:pPr>
          </w:p>
        </w:tc>
      </w:tr>
      <w:tr w:rsidR="001B39FD" w:rsidRPr="005A22C2" w14:paraId="073E5D93"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5F3389B9"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4</w:t>
            </w:r>
          </w:p>
        </w:tc>
        <w:tc>
          <w:tcPr>
            <w:tcW w:w="2552" w:type="dxa"/>
            <w:tcBorders>
              <w:top w:val="single" w:sz="4" w:space="0" w:color="A6A6A6"/>
              <w:left w:val="single" w:sz="4" w:space="0" w:color="auto"/>
              <w:bottom w:val="single" w:sz="4" w:space="0" w:color="A6A6A6"/>
              <w:right w:val="single" w:sz="4" w:space="0" w:color="auto"/>
            </w:tcBorders>
            <w:hideMark/>
          </w:tcPr>
          <w:p w14:paraId="57375BA4"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lang w:eastAsia="zh-HK"/>
              </w:rPr>
              <w:t>股權風險</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01C38FD4" w14:textId="77777777" w:rsidR="00E932DC" w:rsidRPr="005A22C2" w:rsidRDefault="00E932DC" w:rsidP="00E932DC">
            <w:pPr>
              <w:snapToGrid w:val="0"/>
              <w:spacing w:before="40" w:after="40"/>
              <w:rPr>
                <w:rFonts w:eastAsia="新細明體" w:cs="Segoe UI"/>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4671650C" w14:textId="77777777" w:rsidR="00E932DC" w:rsidRPr="005A22C2" w:rsidRDefault="00E932DC" w:rsidP="00E932DC">
            <w:pPr>
              <w:snapToGrid w:val="0"/>
              <w:spacing w:before="40" w:after="40"/>
              <w:rPr>
                <w:rFonts w:eastAsia="新細明體" w:cs="Segoe UI"/>
                <w:sz w:val="17"/>
              </w:rPr>
            </w:pPr>
          </w:p>
        </w:tc>
      </w:tr>
      <w:tr w:rsidR="001B39FD" w:rsidRPr="005A22C2" w14:paraId="7CE30A70"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7E987D35"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5</w:t>
            </w:r>
          </w:p>
        </w:tc>
        <w:tc>
          <w:tcPr>
            <w:tcW w:w="2552" w:type="dxa"/>
            <w:tcBorders>
              <w:top w:val="single" w:sz="4" w:space="0" w:color="A6A6A6"/>
              <w:left w:val="single" w:sz="4" w:space="0" w:color="auto"/>
              <w:bottom w:val="single" w:sz="4" w:space="0" w:color="A6A6A6"/>
              <w:right w:val="single" w:sz="4" w:space="0" w:color="auto"/>
            </w:tcBorders>
            <w:hideMark/>
          </w:tcPr>
          <w:p w14:paraId="3B084BEC"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lang w:eastAsia="zh-HK"/>
              </w:rPr>
              <w:t>商品風險</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48556557" w14:textId="77777777" w:rsidR="00E932DC" w:rsidRPr="005A22C2" w:rsidRDefault="00E932DC" w:rsidP="00E932DC">
            <w:pPr>
              <w:snapToGrid w:val="0"/>
              <w:spacing w:before="40" w:after="40"/>
              <w:rPr>
                <w:rFonts w:eastAsia="新細明體" w:cs="Segoe UI"/>
                <w:sz w:val="17"/>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0F1D94D3" w14:textId="77777777" w:rsidR="00E932DC" w:rsidRPr="005A22C2" w:rsidRDefault="00E932DC" w:rsidP="00E932DC">
            <w:pPr>
              <w:snapToGrid w:val="0"/>
              <w:spacing w:before="40" w:after="40"/>
              <w:rPr>
                <w:rFonts w:eastAsia="新細明體" w:cs="Segoe UI"/>
                <w:sz w:val="17"/>
              </w:rPr>
            </w:pPr>
          </w:p>
        </w:tc>
      </w:tr>
      <w:tr w:rsidR="001B39FD" w:rsidRPr="005A22C2" w14:paraId="138D9705" w14:textId="77777777" w:rsidTr="00E932DC">
        <w:trPr>
          <w:cantSplit/>
        </w:trPr>
        <w:tc>
          <w:tcPr>
            <w:tcW w:w="567" w:type="dxa"/>
            <w:tcBorders>
              <w:top w:val="single" w:sz="4" w:space="0" w:color="A6A6A6"/>
              <w:left w:val="nil"/>
              <w:bottom w:val="single" w:sz="4" w:space="0" w:color="A6A6A6"/>
              <w:right w:val="single" w:sz="4" w:space="0" w:color="auto"/>
            </w:tcBorders>
            <w:vAlign w:val="center"/>
            <w:hideMark/>
          </w:tcPr>
          <w:p w14:paraId="2D1455D6"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6</w:t>
            </w:r>
          </w:p>
        </w:tc>
        <w:tc>
          <w:tcPr>
            <w:tcW w:w="2552" w:type="dxa"/>
            <w:tcBorders>
              <w:top w:val="single" w:sz="4" w:space="0" w:color="A6A6A6"/>
              <w:left w:val="single" w:sz="4" w:space="0" w:color="auto"/>
              <w:bottom w:val="single" w:sz="4" w:space="0" w:color="A6A6A6"/>
              <w:right w:val="single" w:sz="4" w:space="0" w:color="auto"/>
            </w:tcBorders>
            <w:hideMark/>
          </w:tcPr>
          <w:p w14:paraId="002DC2FF" w14:textId="77777777" w:rsidR="00E932DC" w:rsidRPr="005A22C2" w:rsidRDefault="00E932DC" w:rsidP="00E932DC">
            <w:pPr>
              <w:snapToGrid w:val="0"/>
              <w:spacing w:before="40" w:after="40"/>
              <w:rPr>
                <w:rFonts w:eastAsia="新細明體" w:cs="Segoe UI"/>
                <w:sz w:val="17"/>
                <w:lang w:eastAsia="zh-TW"/>
              </w:rPr>
            </w:pPr>
            <w:r w:rsidRPr="005A22C2">
              <w:rPr>
                <w:rFonts w:eastAsia="新細明體" w:cs="Segoe UI"/>
                <w:sz w:val="17"/>
                <w:lang w:eastAsia="zh-HK"/>
              </w:rPr>
              <w:t>對手方信用利差風險</w:t>
            </w:r>
          </w:p>
        </w:tc>
        <w:tc>
          <w:tcPr>
            <w:tcW w:w="3260" w:type="dxa"/>
            <w:tcBorders>
              <w:top w:val="single" w:sz="4" w:space="0" w:color="A6A6A6"/>
              <w:left w:val="single" w:sz="4" w:space="0" w:color="auto"/>
              <w:bottom w:val="single" w:sz="4" w:space="0" w:color="A6A6A6"/>
              <w:right w:val="single" w:sz="4" w:space="0" w:color="auto"/>
            </w:tcBorders>
            <w:shd w:val="clear" w:color="auto" w:fill="FFFFFF"/>
            <w:vAlign w:val="center"/>
          </w:tcPr>
          <w:p w14:paraId="769E525A" w14:textId="77777777" w:rsidR="00E932DC" w:rsidRPr="005A22C2" w:rsidRDefault="00E932DC" w:rsidP="00E932DC">
            <w:pPr>
              <w:snapToGrid w:val="0"/>
              <w:spacing w:before="40" w:after="40"/>
              <w:rPr>
                <w:rFonts w:eastAsia="新細明體" w:cs="Segoe UI"/>
                <w:sz w:val="17"/>
                <w:lang w:eastAsia="zh-TW"/>
              </w:rPr>
            </w:pPr>
          </w:p>
        </w:tc>
        <w:tc>
          <w:tcPr>
            <w:tcW w:w="2977" w:type="dxa"/>
            <w:tcBorders>
              <w:top w:val="single" w:sz="4" w:space="0" w:color="A6A6A6"/>
              <w:left w:val="single" w:sz="4" w:space="0" w:color="auto"/>
              <w:bottom w:val="single" w:sz="4" w:space="0" w:color="A6A6A6"/>
              <w:right w:val="single" w:sz="4" w:space="0" w:color="auto"/>
            </w:tcBorders>
            <w:shd w:val="clear" w:color="auto" w:fill="BFBFBF"/>
          </w:tcPr>
          <w:p w14:paraId="32CA3CDC" w14:textId="77777777" w:rsidR="00E932DC" w:rsidRPr="005A22C2" w:rsidRDefault="00E932DC" w:rsidP="00E932DC">
            <w:pPr>
              <w:snapToGrid w:val="0"/>
              <w:spacing w:before="40" w:after="40"/>
              <w:rPr>
                <w:rFonts w:eastAsia="新細明體" w:cs="Segoe UI"/>
                <w:sz w:val="17"/>
                <w:lang w:eastAsia="zh-TW"/>
              </w:rPr>
            </w:pPr>
          </w:p>
        </w:tc>
      </w:tr>
      <w:tr w:rsidR="001B39FD" w:rsidRPr="005A22C2" w14:paraId="40EE70B2" w14:textId="77777777" w:rsidTr="00E932DC">
        <w:trPr>
          <w:cantSplit/>
        </w:trPr>
        <w:tc>
          <w:tcPr>
            <w:tcW w:w="567" w:type="dxa"/>
            <w:tcBorders>
              <w:top w:val="single" w:sz="4" w:space="0" w:color="A6A6A6"/>
              <w:left w:val="nil"/>
              <w:bottom w:val="single" w:sz="4" w:space="0" w:color="auto"/>
              <w:right w:val="single" w:sz="4" w:space="0" w:color="auto"/>
            </w:tcBorders>
            <w:vAlign w:val="center"/>
            <w:hideMark/>
          </w:tcPr>
          <w:p w14:paraId="39E75F27"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7</w:t>
            </w:r>
          </w:p>
        </w:tc>
        <w:tc>
          <w:tcPr>
            <w:tcW w:w="2552" w:type="dxa"/>
            <w:tcBorders>
              <w:top w:val="single" w:sz="4" w:space="0" w:color="A6A6A6"/>
              <w:left w:val="single" w:sz="4" w:space="0" w:color="auto"/>
              <w:bottom w:val="single" w:sz="4" w:space="0" w:color="auto"/>
              <w:right w:val="single" w:sz="4" w:space="0" w:color="auto"/>
            </w:tcBorders>
            <w:hideMark/>
          </w:tcPr>
          <w:p w14:paraId="7C3A27D1" w14:textId="055A1E5A" w:rsidR="00E932DC" w:rsidRPr="005A22C2" w:rsidRDefault="00E932DC" w:rsidP="00E932DC">
            <w:pPr>
              <w:snapToGrid w:val="0"/>
              <w:spacing w:before="40" w:after="40"/>
              <w:rPr>
                <w:rFonts w:eastAsia="新細明體" w:cs="Segoe UI"/>
                <w:b/>
                <w:sz w:val="17"/>
                <w:lang w:eastAsia="zh-HK"/>
              </w:rPr>
            </w:pPr>
            <w:r w:rsidRPr="005A22C2">
              <w:rPr>
                <w:rFonts w:eastAsia="新細明體" w:cs="Segoe UI"/>
                <w:b/>
                <w:sz w:val="17"/>
                <w:lang w:eastAsia="zh-HK"/>
              </w:rPr>
              <w:t>總計</w:t>
            </w:r>
            <w:r w:rsidR="00904AEB" w:rsidRPr="005A22C2">
              <w:rPr>
                <w:rFonts w:eastAsia="新細明體" w:cs="Segoe UI" w:hint="eastAsia"/>
                <w:b/>
                <w:sz w:val="17"/>
                <w:lang w:eastAsia="zh-HK"/>
              </w:rPr>
              <w:t>（</w:t>
            </w:r>
            <w:r w:rsidRPr="005A22C2">
              <w:rPr>
                <w:rFonts w:eastAsia="新細明體" w:cs="Segoe UI" w:hint="eastAsia"/>
                <w:b/>
                <w:sz w:val="17"/>
                <w:lang w:eastAsia="zh-HK"/>
              </w:rPr>
              <w:t>第</w:t>
            </w:r>
            <w:r w:rsidRPr="005A22C2">
              <w:rPr>
                <w:rFonts w:eastAsia="新細明體" w:cs="Segoe UI"/>
                <w:b/>
                <w:sz w:val="17"/>
                <w:lang w:eastAsia="zh-TW"/>
              </w:rPr>
              <w:t>1</w:t>
            </w:r>
            <w:r w:rsidRPr="005A22C2">
              <w:rPr>
                <w:rFonts w:eastAsia="新細明體" w:cs="Segoe UI"/>
                <w:b/>
                <w:sz w:val="17"/>
                <w:lang w:eastAsia="zh-HK"/>
              </w:rPr>
              <w:t>至</w:t>
            </w:r>
            <w:r w:rsidRPr="005A22C2">
              <w:rPr>
                <w:rFonts w:eastAsia="新細明體" w:cs="Segoe UI"/>
                <w:b/>
                <w:sz w:val="17"/>
                <w:lang w:eastAsia="zh-TW"/>
              </w:rPr>
              <w:t>6</w:t>
            </w:r>
            <w:r w:rsidRPr="005A22C2">
              <w:rPr>
                <w:rFonts w:eastAsia="新細明體" w:cs="Segoe UI"/>
                <w:b/>
                <w:sz w:val="17"/>
                <w:lang w:eastAsia="zh-HK"/>
              </w:rPr>
              <w:t>行的總和</w:t>
            </w:r>
            <w:r w:rsidR="00904AEB" w:rsidRPr="005A22C2">
              <w:rPr>
                <w:rFonts w:eastAsia="新細明體" w:cs="Segoe UI" w:hint="eastAsia"/>
                <w:b/>
                <w:sz w:val="17"/>
                <w:szCs w:val="17"/>
                <w:lang w:eastAsia="zh-HK"/>
              </w:rPr>
              <w:t>）</w:t>
            </w:r>
          </w:p>
        </w:tc>
        <w:tc>
          <w:tcPr>
            <w:tcW w:w="3260" w:type="dxa"/>
            <w:tcBorders>
              <w:top w:val="single" w:sz="4" w:space="0" w:color="A6A6A6"/>
              <w:left w:val="single" w:sz="4" w:space="0" w:color="auto"/>
              <w:bottom w:val="single" w:sz="4" w:space="0" w:color="auto"/>
              <w:right w:val="single" w:sz="4" w:space="0" w:color="auto"/>
            </w:tcBorders>
            <w:shd w:val="clear" w:color="auto" w:fill="FFFFFF"/>
            <w:vAlign w:val="center"/>
          </w:tcPr>
          <w:p w14:paraId="5E167629" w14:textId="77777777" w:rsidR="00E932DC" w:rsidRPr="005A22C2" w:rsidRDefault="00E932DC" w:rsidP="00E932DC">
            <w:pPr>
              <w:snapToGrid w:val="0"/>
              <w:spacing w:before="40" w:after="40"/>
              <w:rPr>
                <w:rFonts w:eastAsia="新細明體" w:cs="Segoe UI"/>
                <w:sz w:val="17"/>
                <w:lang w:eastAsia="zh-TW"/>
              </w:rPr>
            </w:pPr>
          </w:p>
        </w:tc>
        <w:tc>
          <w:tcPr>
            <w:tcW w:w="2977" w:type="dxa"/>
            <w:tcBorders>
              <w:top w:val="single" w:sz="4" w:space="0" w:color="A6A6A6"/>
              <w:left w:val="single" w:sz="4" w:space="0" w:color="auto"/>
              <w:bottom w:val="single" w:sz="4" w:space="0" w:color="auto"/>
              <w:right w:val="single" w:sz="4" w:space="0" w:color="auto"/>
            </w:tcBorders>
          </w:tcPr>
          <w:p w14:paraId="1EBFD8D7" w14:textId="77777777" w:rsidR="00E932DC" w:rsidRPr="005A22C2" w:rsidRDefault="00E932DC" w:rsidP="00E932DC">
            <w:pPr>
              <w:snapToGrid w:val="0"/>
              <w:spacing w:before="40" w:after="40"/>
              <w:rPr>
                <w:rFonts w:eastAsia="新細明體" w:cs="Segoe UI"/>
                <w:sz w:val="17"/>
                <w:lang w:eastAsia="zh-TW"/>
              </w:rPr>
            </w:pPr>
          </w:p>
        </w:tc>
      </w:tr>
    </w:tbl>
    <w:p w14:paraId="1666262C" w14:textId="77777777" w:rsidR="00E932DC" w:rsidRPr="005A22C2" w:rsidRDefault="00E932DC" w:rsidP="00E932DC">
      <w:pPr>
        <w:rPr>
          <w:rFonts w:eastAsia="新細明體" w:cs="Segoe UI"/>
          <w:lang w:eastAsia="zh-TW"/>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705"/>
      </w:tblGrid>
      <w:tr w:rsidR="005A22C2" w:rsidRPr="005A22C2" w14:paraId="299B68FF" w14:textId="77777777" w:rsidTr="00E932DC">
        <w:trPr>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7D320BA" w14:textId="77777777" w:rsidR="00E932DC" w:rsidRPr="005A22C2" w:rsidRDefault="00E932DC" w:rsidP="00E932DC">
            <w:pPr>
              <w:spacing w:before="40" w:after="40"/>
              <w:jc w:val="both"/>
              <w:rPr>
                <w:rFonts w:eastAsia="新細明體" w:cs="Segoe UI"/>
                <w:b/>
                <w:sz w:val="17"/>
                <w:szCs w:val="17"/>
                <w:lang w:eastAsia="en-GB"/>
              </w:rPr>
            </w:pPr>
            <w:r w:rsidRPr="005A22C2">
              <w:rPr>
                <w:rFonts w:eastAsia="新細明體" w:cs="Segoe UI"/>
                <w:b/>
                <w:sz w:val="17"/>
                <w:szCs w:val="17"/>
                <w:lang w:eastAsia="zh-HK"/>
              </w:rPr>
              <w:t>註釋</w:t>
            </w:r>
          </w:p>
        </w:tc>
      </w:tr>
      <w:tr w:rsidR="005A22C2" w:rsidRPr="005A22C2" w14:paraId="0D5D4E94" w14:textId="77777777" w:rsidTr="00E932DC">
        <w:tc>
          <w:tcPr>
            <w:tcW w:w="9356"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A17C7EB" w14:textId="22D5FFC0" w:rsidR="00E932DC" w:rsidRPr="005A22C2" w:rsidRDefault="00E932DC" w:rsidP="00E932DC">
            <w:pPr>
              <w:spacing w:before="40" w:after="40"/>
              <w:jc w:val="both"/>
              <w:rPr>
                <w:rFonts w:eastAsia="新細明體" w:cs="Segoe UI"/>
                <w:i/>
                <w:lang w:eastAsia="fr-FR"/>
              </w:rPr>
            </w:pPr>
            <w:r w:rsidRPr="005A22C2">
              <w:rPr>
                <w:rFonts w:eastAsia="新細明體" w:cs="Segoe UI"/>
                <w:b/>
                <w:sz w:val="17"/>
                <w:szCs w:val="17"/>
                <w:lang w:eastAsia="zh-HK"/>
              </w:rPr>
              <w:t>行</w:t>
            </w:r>
          </w:p>
        </w:tc>
      </w:tr>
      <w:tr w:rsidR="005A22C2" w:rsidRPr="005A22C2" w14:paraId="394B33C1"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4F9C2CD3"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7</w:t>
            </w:r>
          </w:p>
        </w:tc>
        <w:tc>
          <w:tcPr>
            <w:tcW w:w="8705" w:type="dxa"/>
            <w:tcBorders>
              <w:top w:val="single" w:sz="4" w:space="0" w:color="auto"/>
              <w:left w:val="single" w:sz="4" w:space="0" w:color="auto"/>
              <w:bottom w:val="single" w:sz="4" w:space="0" w:color="auto"/>
              <w:right w:val="single" w:sz="4" w:space="0" w:color="auto"/>
            </w:tcBorders>
            <w:hideMark/>
          </w:tcPr>
          <w:p w14:paraId="3570892C" w14:textId="2BC21BB5" w:rsidR="00E932DC" w:rsidRPr="005A22C2" w:rsidRDefault="00E932DC" w:rsidP="00E932DC">
            <w:pPr>
              <w:widowControl w:val="0"/>
              <w:autoSpaceDE w:val="0"/>
              <w:autoSpaceDN w:val="0"/>
              <w:adjustRightInd w:val="0"/>
              <w:jc w:val="both"/>
              <w:rPr>
                <w:rFonts w:eastAsia="新細明體" w:cs="Segoe UI"/>
                <w:sz w:val="15"/>
                <w:szCs w:val="15"/>
                <w:lang w:val="en-US" w:eastAsia="zh-TW"/>
              </w:rPr>
            </w:pPr>
            <w:r w:rsidRPr="005A22C2">
              <w:rPr>
                <w:rFonts w:eastAsia="新細明體" w:cs="Segoe UI"/>
                <w:i/>
                <w:sz w:val="17"/>
                <w:szCs w:val="17"/>
                <w:lang w:val="en-US" w:eastAsia="zh-HK"/>
              </w:rPr>
              <w:t>總計</w:t>
            </w:r>
            <w:r w:rsidRPr="005A22C2">
              <w:rPr>
                <w:rFonts w:eastAsia="新細明體" w:cs="Segoe UI"/>
                <w:sz w:val="17"/>
                <w:szCs w:val="17"/>
                <w:lang w:val="en-US" w:eastAsia="zh-TW"/>
              </w:rPr>
              <w:t>：</w:t>
            </w:r>
            <w:r w:rsidRPr="005A22C2">
              <w:rPr>
                <w:rFonts w:eastAsia="新細明體" w:cs="Segoe UI"/>
                <w:sz w:val="17"/>
                <w:szCs w:val="17"/>
                <w:lang w:val="en-US" w:eastAsia="zh-HK"/>
              </w:rPr>
              <w:t>就</w:t>
            </w:r>
            <w:r w:rsidRPr="005A22C2">
              <w:rPr>
                <w:rFonts w:eastAsia="新細明體" w:cs="Segoe UI"/>
                <w:sz w:val="17"/>
                <w:szCs w:val="17"/>
                <w:lang w:val="en-US" w:eastAsia="zh-TW"/>
              </w:rPr>
              <w:t>(a)</w:t>
            </w:r>
            <w:r w:rsidRPr="005A22C2">
              <w:rPr>
                <w:rFonts w:eastAsia="新細明體" w:cs="Segoe UI"/>
                <w:sz w:val="17"/>
                <w:szCs w:val="17"/>
                <w:lang w:val="en-US" w:eastAsia="zh-HK"/>
              </w:rPr>
              <w:t>欄而言</w:t>
            </w:r>
            <w:r w:rsidRPr="005A22C2">
              <w:rPr>
                <w:rFonts w:eastAsia="新細明體" w:cs="Segoe UI"/>
                <w:sz w:val="17"/>
                <w:szCs w:val="17"/>
                <w:lang w:val="en-US" w:eastAsia="zh-TW"/>
              </w:rPr>
              <w:t>，</w:t>
            </w:r>
            <w:r w:rsidR="00C46C00" w:rsidRPr="005A22C2">
              <w:rPr>
                <w:rFonts w:eastAsia="新細明體" w:cs="Segoe UI" w:hint="eastAsia"/>
                <w:sz w:val="17"/>
                <w:szCs w:val="17"/>
                <w:lang w:val="en-US" w:eastAsia="zh-HK"/>
              </w:rPr>
              <w:t>這是</w:t>
            </w:r>
            <w:r w:rsidRPr="005A22C2">
              <w:rPr>
                <w:rFonts w:eastAsia="新細明體" w:cs="Segoe UI" w:hint="eastAsia"/>
                <w:sz w:val="17"/>
                <w:szCs w:val="17"/>
                <w:lang w:val="en-US" w:eastAsia="zh-HK"/>
              </w:rPr>
              <w:t>第</w:t>
            </w:r>
            <w:r w:rsidRPr="005A22C2">
              <w:rPr>
                <w:rFonts w:eastAsia="新細明體" w:cs="Segoe UI"/>
                <w:sz w:val="17"/>
                <w:szCs w:val="17"/>
                <w:lang w:val="en-US" w:eastAsia="zh-TW"/>
              </w:rPr>
              <w:t>1</w:t>
            </w:r>
            <w:r w:rsidRPr="005A22C2">
              <w:rPr>
                <w:rFonts w:eastAsia="新細明體" w:cs="Segoe UI"/>
                <w:sz w:val="17"/>
                <w:szCs w:val="17"/>
                <w:lang w:val="en-US" w:eastAsia="zh-HK"/>
              </w:rPr>
              <w:t>至</w:t>
            </w:r>
            <w:r w:rsidRPr="005A22C2">
              <w:rPr>
                <w:rFonts w:eastAsia="新細明體" w:cs="Segoe UI"/>
                <w:sz w:val="17"/>
                <w:szCs w:val="17"/>
                <w:lang w:val="en-US" w:eastAsia="zh-TW"/>
              </w:rPr>
              <w:t>6</w:t>
            </w:r>
            <w:r w:rsidRPr="005A22C2">
              <w:rPr>
                <w:rFonts w:eastAsia="新細明體" w:cs="Segoe UI"/>
                <w:sz w:val="17"/>
                <w:szCs w:val="17"/>
                <w:lang w:val="en-US" w:eastAsia="zh-HK"/>
              </w:rPr>
              <w:t>行的值的總和</w:t>
            </w:r>
            <w:r w:rsidRPr="005A22C2">
              <w:rPr>
                <w:rFonts w:eastAsia="新細明體" w:cs="Segoe UI"/>
                <w:sz w:val="17"/>
                <w:szCs w:val="17"/>
                <w:lang w:val="en-US" w:eastAsia="zh-TW"/>
              </w:rPr>
              <w:t>；</w:t>
            </w:r>
            <w:r w:rsidR="00C46C00" w:rsidRPr="005A22C2">
              <w:rPr>
                <w:rFonts w:eastAsia="新細明體" w:cs="Segoe UI" w:hint="eastAsia"/>
                <w:sz w:val="17"/>
                <w:szCs w:val="17"/>
                <w:lang w:val="en-US" w:eastAsia="zh-HK"/>
              </w:rPr>
              <w:t>及</w:t>
            </w:r>
            <w:r w:rsidRPr="005A22C2">
              <w:rPr>
                <w:rFonts w:eastAsia="新細明體" w:cs="Segoe UI"/>
                <w:sz w:val="17"/>
                <w:szCs w:val="17"/>
                <w:lang w:val="en-US" w:eastAsia="zh-HK"/>
              </w:rPr>
              <w:t>若認可機構就所有</w:t>
            </w:r>
            <w:r w:rsidRPr="005A22C2">
              <w:rPr>
                <w:rFonts w:eastAsia="新細明體" w:cs="Segoe UI"/>
                <w:sz w:val="17"/>
                <w:szCs w:val="17"/>
                <w:lang w:val="en-US" w:eastAsia="zh-TW"/>
              </w:rPr>
              <w:t>CVA</w:t>
            </w:r>
            <w:r w:rsidRPr="005A22C2">
              <w:rPr>
                <w:rFonts w:eastAsia="新細明體" w:cs="Segoe UI"/>
                <w:sz w:val="17"/>
                <w:szCs w:val="17"/>
                <w:lang w:val="en-US" w:eastAsia="zh-HK"/>
              </w:rPr>
              <w:t>風險承擔僅採用標準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w:t>
            </w:r>
            <w:r w:rsidRPr="005A22C2">
              <w:rPr>
                <w:rFonts w:eastAsia="新細明體" w:cs="Segoe UI"/>
                <w:sz w:val="17"/>
                <w:szCs w:val="17"/>
                <w:lang w:val="en-US" w:eastAsia="zh-TW"/>
              </w:rPr>
              <w:t>，</w:t>
            </w:r>
            <w:r w:rsidR="00342D97" w:rsidRPr="005A22C2">
              <w:rPr>
                <w:rFonts w:eastAsia="新細明體" w:cs="Segoe UI" w:hint="eastAsia"/>
                <w:sz w:val="17"/>
                <w:szCs w:val="17"/>
                <w:lang w:val="en-US" w:eastAsia="zh-HK"/>
              </w:rPr>
              <w:t>此總計</w:t>
            </w:r>
            <w:r w:rsidRPr="005A22C2">
              <w:rPr>
                <w:rFonts w:eastAsia="新細明體" w:cs="Segoe UI"/>
                <w:sz w:val="17"/>
                <w:szCs w:val="17"/>
                <w:lang w:val="en-US" w:eastAsia="zh-HK"/>
              </w:rPr>
              <w:t>應相等於</w:t>
            </w:r>
            <w:r w:rsidRPr="005A22C2">
              <w:rPr>
                <w:rFonts w:eastAsia="新細明體" w:cs="Segoe UI"/>
                <w:sz w:val="17"/>
                <w:szCs w:val="17"/>
                <w:lang w:val="en-US" w:eastAsia="zh-TW"/>
              </w:rPr>
              <w:t>[OV1</w:t>
            </w:r>
            <w:r w:rsidR="00914927" w:rsidRPr="005A22C2">
              <w:rPr>
                <w:rFonts w:eastAsia="新細明體" w:cs="Segoe UI"/>
                <w:sz w:val="17"/>
                <w:szCs w:val="17"/>
                <w:lang w:val="en-US" w:eastAsia="zh-TW"/>
              </w:rPr>
              <w:t>:</w:t>
            </w:r>
            <w:r w:rsidRPr="005A22C2">
              <w:rPr>
                <w:rFonts w:eastAsia="新細明體" w:cs="Segoe UI"/>
                <w:sz w:val="17"/>
                <w:szCs w:val="17"/>
                <w:lang w:val="en-US" w:eastAsia="zh-TW"/>
              </w:rPr>
              <w:t>10/c]</w:t>
            </w:r>
            <w:r w:rsidRPr="005A22C2">
              <w:rPr>
                <w:rFonts w:eastAsia="新細明體" w:cs="Segoe UI"/>
                <w:sz w:val="17"/>
                <w:szCs w:val="17"/>
                <w:lang w:val="en-US" w:eastAsia="zh-HK"/>
              </w:rPr>
              <w:t>的值</w:t>
            </w:r>
            <w:r w:rsidRPr="005A22C2">
              <w:rPr>
                <w:rFonts w:eastAsia="新細明體" w:cs="Segoe UI"/>
                <w:sz w:val="17"/>
                <w:szCs w:val="17"/>
                <w:lang w:val="en-US" w:eastAsia="zh-TW"/>
              </w:rPr>
              <w:t>。</w:t>
            </w:r>
            <w:r w:rsidRPr="005A22C2">
              <w:rPr>
                <w:rFonts w:eastAsia="新細明體" w:cs="Segoe UI"/>
                <w:sz w:val="17"/>
                <w:szCs w:val="17"/>
                <w:lang w:val="en-US" w:eastAsia="zh-TW"/>
              </w:rPr>
              <w:t xml:space="preserve"> </w:t>
            </w:r>
          </w:p>
        </w:tc>
      </w:tr>
    </w:tbl>
    <w:p w14:paraId="150D33A1" w14:textId="77777777" w:rsidR="00E932DC" w:rsidRPr="00E932DC" w:rsidRDefault="00E932DC" w:rsidP="00E932DC">
      <w:pPr>
        <w:rPr>
          <w:rFonts w:eastAsia="新細明體" w:cs="Segoe UI"/>
          <w:lang w:eastAsia="zh-TW"/>
        </w:rPr>
      </w:pPr>
    </w:p>
    <w:p w14:paraId="36826A07" w14:textId="77777777" w:rsidR="00E932DC" w:rsidRPr="00E932DC" w:rsidRDefault="00E932DC" w:rsidP="00E932DC">
      <w:pPr>
        <w:rPr>
          <w:rFonts w:eastAsia="新細明體" w:cs="Segoe UI"/>
          <w:lang w:eastAsia="zh-TW"/>
        </w:rPr>
        <w:sectPr w:rsidR="00E932DC" w:rsidRPr="00E932DC">
          <w:footerReference w:type="default" r:id="rId92"/>
          <w:pgSz w:w="11906" w:h="16838" w:code="9"/>
          <w:pgMar w:top="1440" w:right="1797" w:bottom="1440" w:left="1797" w:header="851" w:footer="737" w:gutter="0"/>
          <w:cols w:space="425"/>
          <w:docGrid w:type="lines" w:linePitch="360"/>
        </w:sectPr>
      </w:pPr>
    </w:p>
    <w:p w14:paraId="483B58C0" w14:textId="658C3F69" w:rsidR="00BA6AF5" w:rsidRPr="005A22C2" w:rsidRDefault="00BA6AF5" w:rsidP="00BA6AF5">
      <w:pPr>
        <w:pStyle w:val="Heading2"/>
        <w:keepNext w:val="0"/>
        <w:suppressAutoHyphens w:val="0"/>
        <w:spacing w:before="40" w:line="240" w:lineRule="auto"/>
        <w:ind w:left="-454"/>
        <w:rPr>
          <w:rFonts w:ascii="細明體" w:eastAsia="細明體" w:hAnsi="細明體" w:cs="微軟正黑體"/>
          <w:b w:val="0"/>
          <w:bCs w:val="0"/>
          <w:sz w:val="22"/>
          <w:szCs w:val="20"/>
          <w:lang w:eastAsia="zh-TW"/>
        </w:rPr>
      </w:pPr>
      <w:r w:rsidRPr="005A22C2">
        <w:rPr>
          <w:rFonts w:ascii="細明體" w:eastAsia="細明體" w:hAnsi="細明體" w:cs="微軟正黑體"/>
          <w:b w:val="0"/>
          <w:bCs w:val="0"/>
          <w:sz w:val="22"/>
          <w:szCs w:val="20"/>
          <w:lang w:eastAsia="zh-TW"/>
        </w:rPr>
        <w:t>模版</w:t>
      </w:r>
      <w:r w:rsidRPr="005A22C2">
        <w:rPr>
          <w:rFonts w:ascii="Segoe UI" w:eastAsia="細明體" w:hAnsi="Segoe UI" w:cs="Segoe UI"/>
          <w:b w:val="0"/>
          <w:bCs w:val="0"/>
          <w:sz w:val="22"/>
          <w:szCs w:val="20"/>
          <w:lang w:eastAsia="zh-TW"/>
        </w:rPr>
        <w:t>CVA4</w:t>
      </w:r>
      <w:r w:rsidRPr="005A22C2">
        <w:rPr>
          <w:rFonts w:ascii="細明體" w:eastAsia="細明體" w:hAnsi="細明體" w:cs="微軟正黑體"/>
          <w:b w:val="0"/>
          <w:bCs w:val="0"/>
          <w:sz w:val="22"/>
          <w:szCs w:val="20"/>
          <w:lang w:eastAsia="zh-TW"/>
        </w:rPr>
        <w:t>：</w:t>
      </w:r>
      <w:r w:rsidRPr="005A22C2">
        <w:rPr>
          <w:rFonts w:ascii="細明體" w:eastAsia="細明體" w:hAnsi="細明體" w:cs="微軟正黑體" w:hint="eastAsia"/>
          <w:b w:val="0"/>
          <w:bCs w:val="0"/>
          <w:sz w:val="22"/>
          <w:szCs w:val="20"/>
          <w:lang w:eastAsia="zh-TW"/>
        </w:rPr>
        <w:t>在</w:t>
      </w:r>
      <w:r w:rsidRPr="005A22C2">
        <w:rPr>
          <w:rFonts w:ascii="細明體" w:eastAsia="細明體" w:hAnsi="細明體" w:cs="微軟正黑體"/>
          <w:b w:val="0"/>
          <w:bCs w:val="0"/>
          <w:sz w:val="22"/>
          <w:szCs w:val="20"/>
          <w:lang w:eastAsia="zh-TW"/>
        </w:rPr>
        <w:t>標準</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b w:val="0"/>
          <w:bCs w:val="0"/>
          <w:sz w:val="22"/>
          <w:szCs w:val="20"/>
          <w:lang w:eastAsia="zh-TW"/>
        </w:rPr>
        <w:t>計算法下</w:t>
      </w:r>
      <w:r w:rsidRPr="005A22C2">
        <w:rPr>
          <w:rFonts w:ascii="Segoe UI" w:eastAsia="細明體" w:hAnsi="Segoe UI" w:cs="Segoe UI"/>
          <w:b w:val="0"/>
          <w:bCs w:val="0"/>
          <w:sz w:val="22"/>
          <w:szCs w:val="20"/>
          <w:lang w:eastAsia="zh-TW"/>
        </w:rPr>
        <w:t>CVA</w:t>
      </w:r>
      <w:r w:rsidRPr="005A22C2">
        <w:rPr>
          <w:rFonts w:ascii="細明體" w:eastAsia="細明體" w:hAnsi="細明體" w:cs="微軟正黑體"/>
          <w:b w:val="0"/>
          <w:bCs w:val="0"/>
          <w:sz w:val="22"/>
          <w:szCs w:val="20"/>
          <w:lang w:eastAsia="zh-TW"/>
        </w:rPr>
        <w:t>風險承擔的風險加權數額流動表</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5A22C2" w:rsidRPr="005A22C2" w14:paraId="2214796A" w14:textId="77777777" w:rsidTr="00A94770">
        <w:tc>
          <w:tcPr>
            <w:tcW w:w="2160" w:type="dxa"/>
            <w:tcBorders>
              <w:top w:val="single" w:sz="4" w:space="0" w:color="auto"/>
              <w:left w:val="nil"/>
              <w:bottom w:val="single" w:sz="4" w:space="0" w:color="auto"/>
              <w:right w:val="single" w:sz="4" w:space="0" w:color="auto"/>
            </w:tcBorders>
            <w:hideMark/>
          </w:tcPr>
          <w:p w14:paraId="4A030C85" w14:textId="77777777" w:rsidR="00E932DC" w:rsidRPr="005A22C2" w:rsidRDefault="00E932DC" w:rsidP="00E932DC">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720417DD" w14:textId="00915BB8" w:rsidR="00E932DC" w:rsidRPr="005A22C2" w:rsidRDefault="00E932DC" w:rsidP="00A76465">
            <w:pPr>
              <w:widowControl w:val="0"/>
              <w:autoSpaceDE w:val="0"/>
              <w:autoSpaceDN w:val="0"/>
              <w:adjustRightInd w:val="0"/>
              <w:jc w:val="both"/>
              <w:rPr>
                <w:rFonts w:eastAsia="新細明體" w:cs="Segoe UI"/>
                <w:sz w:val="17"/>
                <w:szCs w:val="17"/>
                <w:lang w:val="en-US" w:eastAsia="zh-TW"/>
              </w:rPr>
            </w:pPr>
            <w:r w:rsidRPr="005A22C2">
              <w:rPr>
                <w:rFonts w:ascii="新細明體" w:eastAsia="新細明體" w:hAnsi="新細明體" w:hint="eastAsia"/>
                <w:sz w:val="17"/>
                <w:szCs w:val="17"/>
                <w:lang w:val="en-US" w:eastAsia="zh-HK"/>
              </w:rPr>
              <w:t>呈示</w:t>
            </w:r>
            <w:r w:rsidR="00872CF6" w:rsidRPr="005A22C2">
              <w:rPr>
                <w:rFonts w:ascii="新細明體" w:eastAsia="新細明體" w:hAnsi="新細明體"/>
                <w:sz w:val="17"/>
                <w:szCs w:val="17"/>
                <w:lang w:val="en-US" w:eastAsia="zh-TW"/>
              </w:rPr>
              <w:t>一</w:t>
            </w:r>
            <w:r w:rsidRPr="005A22C2">
              <w:rPr>
                <w:rFonts w:ascii="新細明體" w:eastAsia="新細明體" w:hAnsi="新細明體"/>
                <w:sz w:val="17"/>
                <w:szCs w:val="17"/>
                <w:lang w:val="en-US" w:eastAsia="zh-TW"/>
              </w:rPr>
              <w:t>流動表</w:t>
            </w:r>
            <w:r w:rsidRPr="005A22C2">
              <w:rPr>
                <w:rFonts w:eastAsia="新細明體" w:cs="Segoe UI"/>
                <w:sz w:val="17"/>
                <w:szCs w:val="17"/>
                <w:lang w:val="en-US" w:eastAsia="zh-TW"/>
              </w:rPr>
              <w:t>，</w:t>
            </w:r>
            <w:r w:rsidRPr="005A22C2">
              <w:rPr>
                <w:rFonts w:eastAsia="新細明體" w:cs="Segoe UI" w:hint="eastAsia"/>
                <w:sz w:val="17"/>
                <w:szCs w:val="17"/>
                <w:lang w:val="en-US" w:eastAsia="zh-HK"/>
              </w:rPr>
              <w:t>解</w:t>
            </w:r>
            <w:r w:rsidRPr="005A22C2">
              <w:rPr>
                <w:rFonts w:eastAsia="新細明體" w:cs="Segoe UI" w:hint="eastAsia"/>
                <w:sz w:val="17"/>
                <w:szCs w:val="17"/>
                <w:lang w:val="en-US" w:eastAsia="zh-TW"/>
              </w:rPr>
              <w:t>釋</w:t>
            </w:r>
            <w:r w:rsidRPr="005A22C2">
              <w:rPr>
                <w:rFonts w:eastAsia="新細明體" w:cs="Segoe UI" w:hint="eastAsia"/>
                <w:sz w:val="17"/>
                <w:szCs w:val="17"/>
                <w:lang w:val="en-US" w:eastAsia="zh-HK"/>
              </w:rPr>
              <w:t>按</w:t>
            </w:r>
            <w:r w:rsidRPr="005A22C2">
              <w:rPr>
                <w:rFonts w:eastAsia="新細明體" w:cs="Segoe UI"/>
                <w:sz w:val="17"/>
                <w:szCs w:val="17"/>
                <w:lang w:val="en-US" w:eastAsia="zh-HK"/>
              </w:rPr>
              <w:t>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w:t>
            </w:r>
            <w:r w:rsidRPr="005A22C2">
              <w:rPr>
                <w:rFonts w:eastAsia="新細明體" w:cs="Segoe UI" w:hint="eastAsia"/>
                <w:sz w:val="17"/>
                <w:szCs w:val="17"/>
                <w:lang w:val="en-US" w:eastAsia="zh-HK"/>
              </w:rPr>
              <w:t>斷</w:t>
            </w:r>
            <w:r w:rsidRPr="005A22C2">
              <w:rPr>
                <w:rFonts w:eastAsia="新細明體" w:cs="Segoe UI"/>
                <w:sz w:val="17"/>
                <w:szCs w:val="17"/>
                <w:lang w:val="en-US" w:eastAsia="zh-HK"/>
              </w:rPr>
              <w:t>定</w:t>
            </w:r>
            <w:r w:rsidRPr="005A22C2">
              <w:rPr>
                <w:rFonts w:eastAsia="新細明體" w:cs="Segoe UI" w:hint="eastAsia"/>
                <w:sz w:val="17"/>
                <w:szCs w:val="17"/>
                <w:lang w:val="en-US" w:eastAsia="zh-HK"/>
              </w:rPr>
              <w:t>的</w:t>
            </w:r>
            <w:r w:rsidRPr="005A22C2">
              <w:rPr>
                <w:rFonts w:eastAsia="新細明體" w:cs="Segoe UI"/>
                <w:sz w:val="17"/>
                <w:szCs w:val="17"/>
                <w:lang w:val="en-US" w:eastAsia="zh-TW"/>
              </w:rPr>
              <w:t>CVA</w:t>
            </w:r>
            <w:r w:rsidRPr="005A22C2">
              <w:rPr>
                <w:rFonts w:eastAsia="新細明體" w:cs="Segoe UI"/>
                <w:sz w:val="17"/>
                <w:szCs w:val="17"/>
                <w:lang w:val="en-US" w:eastAsia="zh-HK"/>
              </w:rPr>
              <w:t>風險的</w:t>
            </w:r>
            <w:r w:rsidRPr="005A22C2">
              <w:rPr>
                <w:rFonts w:eastAsia="新細明體" w:cs="Segoe UI"/>
                <w:sz w:val="17"/>
                <w:szCs w:val="17"/>
                <w:lang w:val="en-US" w:eastAsia="zh-TW"/>
              </w:rPr>
              <w:t>風險加權數額</w:t>
            </w:r>
            <w:r w:rsidRPr="005A22C2">
              <w:rPr>
                <w:rFonts w:eastAsia="細明體" w:cs="Segoe UI" w:hint="eastAsia"/>
                <w:sz w:val="17"/>
                <w:szCs w:val="24"/>
                <w:lang w:val="en-US" w:eastAsia="zh-TW"/>
              </w:rPr>
              <w:t>的</w:t>
            </w:r>
            <w:r w:rsidR="00A76465" w:rsidRPr="005A22C2">
              <w:rPr>
                <w:rFonts w:eastAsia="細明體" w:cs="Segoe UI" w:hint="eastAsia"/>
                <w:sz w:val="17"/>
                <w:szCs w:val="24"/>
                <w:lang w:val="en-US" w:eastAsia="zh-HK"/>
              </w:rPr>
              <w:t>改</w:t>
            </w:r>
            <w:r w:rsidRPr="005A22C2">
              <w:rPr>
                <w:rFonts w:eastAsia="新細明體" w:cs="Segoe UI"/>
                <w:sz w:val="17"/>
                <w:szCs w:val="17"/>
                <w:lang w:val="en-US" w:eastAsia="zh-HK"/>
              </w:rPr>
              <w:t>變</w:t>
            </w:r>
            <w:r w:rsidRPr="005A22C2">
              <w:rPr>
                <w:rFonts w:eastAsia="新細明體" w:cs="Segoe UI"/>
                <w:sz w:val="17"/>
                <w:szCs w:val="17"/>
                <w:lang w:val="en-US" w:eastAsia="zh-TW"/>
              </w:rPr>
              <w:t>。</w:t>
            </w:r>
            <w:r w:rsidRPr="005A22C2">
              <w:rPr>
                <w:rFonts w:eastAsia="新細明體" w:cs="Segoe UI"/>
                <w:sz w:val="17"/>
                <w:szCs w:val="17"/>
                <w:lang w:val="en-US" w:eastAsia="zh-TW"/>
              </w:rPr>
              <w:t xml:space="preserve">  </w:t>
            </w:r>
          </w:p>
        </w:tc>
      </w:tr>
      <w:tr w:rsidR="005A22C2" w:rsidRPr="005A22C2" w14:paraId="56C4C69E" w14:textId="77777777" w:rsidTr="00A94770">
        <w:tc>
          <w:tcPr>
            <w:tcW w:w="2160" w:type="dxa"/>
            <w:tcBorders>
              <w:top w:val="single" w:sz="4" w:space="0" w:color="auto"/>
              <w:left w:val="nil"/>
              <w:bottom w:val="single" w:sz="4" w:space="0" w:color="auto"/>
              <w:right w:val="single" w:sz="4" w:space="0" w:color="auto"/>
            </w:tcBorders>
            <w:hideMark/>
          </w:tcPr>
          <w:p w14:paraId="0682A25D"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5C9B8EDE" w14:textId="337F4809" w:rsidR="00E932DC" w:rsidRPr="005A22C2" w:rsidRDefault="00E932DC" w:rsidP="00E932DC">
            <w:pPr>
              <w:widowControl w:val="0"/>
              <w:autoSpaceDE w:val="0"/>
              <w:autoSpaceDN w:val="0"/>
              <w:adjustRightInd w:val="0"/>
              <w:jc w:val="both"/>
              <w:rPr>
                <w:rFonts w:eastAsia="新細明體" w:cs="Segoe UI"/>
                <w:sz w:val="17"/>
                <w:szCs w:val="17"/>
                <w:lang w:val="en-US" w:eastAsia="zh-HK"/>
              </w:rPr>
            </w:pPr>
            <w:r w:rsidRPr="005A22C2">
              <w:rPr>
                <w:rFonts w:eastAsia="新細明體" w:cs="Segoe UI"/>
                <w:sz w:val="17"/>
                <w:szCs w:val="17"/>
                <w:lang w:val="en-US" w:eastAsia="zh-HK"/>
              </w:rPr>
              <w:t>在香港成立為法團並使用標準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計算法計算</w:t>
            </w:r>
            <w:r w:rsidRPr="005A22C2">
              <w:rPr>
                <w:rFonts w:eastAsia="新細明體" w:cs="Segoe UI" w:hint="eastAsia"/>
                <w:sz w:val="17"/>
                <w:szCs w:val="17"/>
                <w:lang w:val="en-US" w:eastAsia="zh-HK"/>
              </w:rPr>
              <w:t>其</w:t>
            </w:r>
            <w:r w:rsidRPr="005A22C2">
              <w:rPr>
                <w:rFonts w:eastAsia="新細明體" w:cs="Segoe UI"/>
                <w:sz w:val="17"/>
                <w:szCs w:val="17"/>
                <w:lang w:val="en-US" w:eastAsia="zh-HK"/>
              </w:rPr>
              <w:t>部分或所有</w:t>
            </w:r>
            <w:r w:rsidRPr="005A22C2">
              <w:rPr>
                <w:rFonts w:eastAsia="新細明體" w:cs="Segoe UI" w:hint="eastAsia"/>
                <w:sz w:val="17"/>
                <w:szCs w:val="17"/>
                <w:lang w:val="en-US" w:eastAsia="zh-HK"/>
              </w:rPr>
              <w:t>的</w:t>
            </w:r>
            <w:r w:rsidRPr="005A22C2">
              <w:rPr>
                <w:rFonts w:eastAsia="新細明體" w:cs="Segoe UI"/>
                <w:sz w:val="17"/>
                <w:szCs w:val="17"/>
                <w:lang w:val="en-US" w:eastAsia="zh-TW"/>
              </w:rPr>
              <w:t>CVA</w:t>
            </w:r>
            <w:r w:rsidRPr="005A22C2">
              <w:rPr>
                <w:rFonts w:eastAsia="新細明體" w:cs="Segoe UI"/>
                <w:sz w:val="17"/>
                <w:szCs w:val="17"/>
                <w:lang w:val="en-US" w:eastAsia="zh-HK"/>
              </w:rPr>
              <w:t>風險資本要求的認可機構均須填報本模版</w:t>
            </w:r>
            <w:r w:rsidRPr="005A22C2">
              <w:rPr>
                <w:rFonts w:eastAsia="新細明體" w:cs="Segoe UI"/>
                <w:sz w:val="17"/>
                <w:szCs w:val="17"/>
                <w:lang w:val="en-US" w:eastAsia="zh-TW"/>
              </w:rPr>
              <w:t>。</w:t>
            </w:r>
          </w:p>
        </w:tc>
      </w:tr>
      <w:tr w:rsidR="005A22C2" w:rsidRPr="005A22C2" w14:paraId="72313B1C" w14:textId="77777777" w:rsidTr="00A94770">
        <w:tc>
          <w:tcPr>
            <w:tcW w:w="2160" w:type="dxa"/>
            <w:tcBorders>
              <w:top w:val="single" w:sz="4" w:space="0" w:color="auto"/>
              <w:left w:val="nil"/>
              <w:bottom w:val="single" w:sz="4" w:space="0" w:color="auto"/>
              <w:right w:val="single" w:sz="4" w:space="0" w:color="auto"/>
            </w:tcBorders>
            <w:hideMark/>
          </w:tcPr>
          <w:p w14:paraId="560491C9"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0859A590" w14:textId="7330A3CF"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TW"/>
              </w:rPr>
              <w:t>CVA</w:t>
            </w:r>
            <w:r w:rsidRPr="005A22C2">
              <w:rPr>
                <w:rFonts w:eastAsia="新細明體" w:cs="Segoe UI"/>
                <w:sz w:val="17"/>
                <w:szCs w:val="17"/>
                <w:lang w:val="en-US" w:eastAsia="zh-HK"/>
              </w:rPr>
              <w:t>風險的</w:t>
            </w:r>
            <w:r w:rsidRPr="005A22C2">
              <w:rPr>
                <w:rFonts w:eastAsia="新細明體" w:cs="Segoe UI"/>
                <w:sz w:val="17"/>
                <w:szCs w:val="17"/>
                <w:lang w:val="en-US" w:eastAsia="zh-TW"/>
              </w:rPr>
              <w:t>風險加權數額。</w:t>
            </w:r>
            <w:r w:rsidRPr="005A22C2">
              <w:rPr>
                <w:rFonts w:eastAsia="新細明體" w:cs="Segoe UI"/>
                <w:sz w:val="17"/>
                <w:szCs w:val="17"/>
                <w:lang w:val="en-US" w:eastAsia="zh-HK"/>
              </w:rPr>
              <w:t>報告期內每項主要驅動因素</w:t>
            </w:r>
            <w:r w:rsidRPr="005A22C2">
              <w:rPr>
                <w:rFonts w:eastAsia="細明體" w:cs="Segoe UI" w:hint="eastAsia"/>
                <w:sz w:val="17"/>
                <w:szCs w:val="24"/>
                <w:lang w:val="en-US" w:eastAsia="zh-TW"/>
              </w:rPr>
              <w:t>引致</w:t>
            </w:r>
            <w:r w:rsidRPr="005A22C2">
              <w:rPr>
                <w:rFonts w:eastAsia="新細明體" w:cs="Segoe UI" w:hint="eastAsia"/>
                <w:sz w:val="17"/>
                <w:szCs w:val="17"/>
                <w:lang w:val="en-US" w:eastAsia="zh-HK"/>
              </w:rPr>
              <w:t>的</w:t>
            </w:r>
            <w:r w:rsidRPr="005A22C2">
              <w:rPr>
                <w:rFonts w:eastAsia="新細明體" w:cs="Segoe UI"/>
                <w:sz w:val="17"/>
                <w:szCs w:val="17"/>
                <w:lang w:val="en-US" w:eastAsia="zh-HK"/>
              </w:rPr>
              <w:t>風險加權數額的</w:t>
            </w:r>
            <w:r w:rsidRPr="005A22C2">
              <w:rPr>
                <w:rFonts w:eastAsia="細明體" w:cs="Segoe UI" w:hint="eastAsia"/>
                <w:sz w:val="17"/>
                <w:szCs w:val="24"/>
                <w:lang w:val="en-US" w:eastAsia="zh-TW"/>
              </w:rPr>
              <w:t>改變</w:t>
            </w:r>
            <w:r w:rsidRPr="005A22C2">
              <w:rPr>
                <w:rFonts w:eastAsia="新細明體" w:cs="Segoe UI"/>
                <w:sz w:val="17"/>
                <w:szCs w:val="17"/>
                <w:lang w:val="en-US" w:eastAsia="zh-TW"/>
              </w:rPr>
              <w:t>，</w:t>
            </w:r>
            <w:r w:rsidRPr="005A22C2">
              <w:rPr>
                <w:rFonts w:eastAsia="新細明體" w:cs="Segoe UI"/>
                <w:sz w:val="17"/>
                <w:szCs w:val="17"/>
                <w:lang w:val="en-US" w:eastAsia="zh-HK"/>
              </w:rPr>
              <w:t>應</w:t>
            </w:r>
            <w:r w:rsidR="00872CF6" w:rsidRPr="005A22C2">
              <w:rPr>
                <w:rFonts w:eastAsia="新細明體" w:cs="Segoe UI" w:hint="eastAsia"/>
                <w:sz w:val="17"/>
                <w:szCs w:val="17"/>
                <w:lang w:val="en-US" w:eastAsia="zh-HK"/>
              </w:rPr>
              <w:t>基於</w:t>
            </w:r>
            <w:r w:rsidRPr="005A22C2">
              <w:rPr>
                <w:rFonts w:eastAsia="新細明體" w:cs="Segoe UI"/>
                <w:sz w:val="17"/>
                <w:szCs w:val="17"/>
                <w:lang w:val="en-US" w:eastAsia="zh-HK"/>
              </w:rPr>
              <w:t>認可機構</w:t>
            </w:r>
            <w:r w:rsidRPr="005A22C2">
              <w:rPr>
                <w:rFonts w:eastAsia="新細明體" w:cs="Segoe UI" w:hint="eastAsia"/>
                <w:sz w:val="17"/>
                <w:szCs w:val="17"/>
                <w:lang w:val="en-US" w:eastAsia="zh-HK"/>
              </w:rPr>
              <w:t>對</w:t>
            </w:r>
            <w:r w:rsidRPr="005A22C2">
              <w:rPr>
                <w:rFonts w:eastAsia="新細明體" w:cs="Segoe UI"/>
                <w:sz w:val="17"/>
                <w:szCs w:val="17"/>
                <w:lang w:val="en-US" w:eastAsia="zh-HK"/>
              </w:rPr>
              <w:t>該數</w:t>
            </w:r>
            <w:r w:rsidRPr="005A22C2">
              <w:rPr>
                <w:rFonts w:eastAsia="細明體" w:cs="Segoe UI"/>
                <w:sz w:val="17"/>
                <w:szCs w:val="24"/>
                <w:lang w:val="en-US" w:eastAsia="zh-TW"/>
              </w:rPr>
              <w:t>字</w:t>
            </w:r>
            <w:r w:rsidRPr="005A22C2">
              <w:rPr>
                <w:rFonts w:eastAsia="新細明體" w:cs="Segoe UI"/>
                <w:sz w:val="17"/>
                <w:szCs w:val="17"/>
                <w:lang w:val="en-US" w:eastAsia="zh-HK"/>
              </w:rPr>
              <w:t>的合理估</w:t>
            </w:r>
            <w:r w:rsidRPr="005A22C2">
              <w:rPr>
                <w:rFonts w:eastAsia="細明體" w:cs="Segoe UI" w:hint="eastAsia"/>
                <w:sz w:val="17"/>
                <w:szCs w:val="24"/>
                <w:lang w:val="en-US" w:eastAsia="zh-TW"/>
              </w:rPr>
              <w:t>計</w:t>
            </w:r>
            <w:r w:rsidRPr="005A22C2">
              <w:rPr>
                <w:rFonts w:eastAsia="新細明體" w:cs="Segoe UI"/>
                <w:sz w:val="17"/>
                <w:szCs w:val="17"/>
                <w:lang w:val="en-US" w:eastAsia="zh-TW"/>
              </w:rPr>
              <w:t>。</w:t>
            </w:r>
          </w:p>
        </w:tc>
      </w:tr>
      <w:tr w:rsidR="005A22C2" w:rsidRPr="005A22C2" w14:paraId="323FBDB4" w14:textId="77777777" w:rsidTr="00A94770">
        <w:tc>
          <w:tcPr>
            <w:tcW w:w="2160" w:type="dxa"/>
            <w:tcBorders>
              <w:top w:val="single" w:sz="4" w:space="0" w:color="auto"/>
              <w:left w:val="nil"/>
              <w:bottom w:val="single" w:sz="4" w:space="0" w:color="auto"/>
              <w:right w:val="single" w:sz="4" w:space="0" w:color="auto"/>
            </w:tcBorders>
            <w:hideMark/>
          </w:tcPr>
          <w:p w14:paraId="65B58B0B"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00A4182A" w14:textId="77777777" w:rsidR="00E932DC" w:rsidRPr="005A22C2" w:rsidRDefault="00E932DC" w:rsidP="00E932DC">
            <w:pPr>
              <w:spacing w:before="40" w:after="40"/>
              <w:jc w:val="both"/>
              <w:rPr>
                <w:rFonts w:eastAsia="新細明體" w:cs="Segoe UI"/>
                <w:sz w:val="17"/>
                <w:lang w:eastAsia="en-GB"/>
              </w:rPr>
            </w:pPr>
            <w:proofErr w:type="spellStart"/>
            <w:r w:rsidRPr="005A22C2">
              <w:rPr>
                <w:rFonts w:eastAsia="新細明體" w:cs="Segoe UI"/>
                <w:sz w:val="17"/>
                <w:lang w:eastAsia="en-GB"/>
              </w:rPr>
              <w:t>每季一次</w:t>
            </w:r>
            <w:proofErr w:type="spellEnd"/>
            <w:r w:rsidRPr="005A22C2">
              <w:rPr>
                <w:rFonts w:eastAsia="新細明體" w:cs="Segoe UI"/>
                <w:sz w:val="17"/>
                <w:lang w:eastAsia="en-GB"/>
              </w:rPr>
              <w:t>。</w:t>
            </w:r>
          </w:p>
        </w:tc>
      </w:tr>
      <w:tr w:rsidR="005A22C2" w:rsidRPr="005A22C2" w14:paraId="39950C3E" w14:textId="77777777" w:rsidTr="00A94770">
        <w:tc>
          <w:tcPr>
            <w:tcW w:w="2160" w:type="dxa"/>
            <w:tcBorders>
              <w:top w:val="single" w:sz="4" w:space="0" w:color="auto"/>
              <w:left w:val="nil"/>
              <w:bottom w:val="single" w:sz="4" w:space="0" w:color="auto"/>
              <w:right w:val="single" w:sz="4" w:space="0" w:color="auto"/>
            </w:tcBorders>
            <w:hideMark/>
          </w:tcPr>
          <w:p w14:paraId="525D6FF1" w14:textId="77777777" w:rsidR="00E932DC" w:rsidRPr="005A22C2" w:rsidRDefault="00E932DC" w:rsidP="00E932DC">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659C55D0" w14:textId="77777777" w:rsidR="00E932DC" w:rsidRPr="005A22C2" w:rsidRDefault="00E932DC" w:rsidP="00E932DC">
            <w:pPr>
              <w:spacing w:before="40" w:after="40"/>
              <w:jc w:val="both"/>
              <w:rPr>
                <w:rFonts w:eastAsia="新細明體" w:cs="Segoe UI"/>
                <w:sz w:val="17"/>
                <w:lang w:eastAsia="en-GB"/>
              </w:rPr>
            </w:pPr>
            <w:r w:rsidRPr="005A22C2">
              <w:rPr>
                <w:rFonts w:eastAsia="新細明體" w:cs="Segoe UI"/>
                <w:sz w:val="17"/>
                <w:lang w:eastAsia="zh-HK"/>
              </w:rPr>
              <w:t>固定</w:t>
            </w:r>
            <w:r w:rsidRPr="005A22C2">
              <w:rPr>
                <w:rFonts w:eastAsia="新細明體" w:cs="Segoe UI"/>
                <w:sz w:val="17"/>
                <w:lang w:eastAsia="zh-TW"/>
              </w:rPr>
              <w:t>。</w:t>
            </w:r>
          </w:p>
        </w:tc>
      </w:tr>
      <w:tr w:rsidR="005A22C2" w:rsidRPr="005A22C2" w14:paraId="06856A03" w14:textId="77777777" w:rsidTr="00A94770">
        <w:tc>
          <w:tcPr>
            <w:tcW w:w="2160" w:type="dxa"/>
            <w:tcBorders>
              <w:top w:val="single" w:sz="4" w:space="0" w:color="auto"/>
              <w:left w:val="nil"/>
              <w:bottom w:val="single" w:sz="4" w:space="0" w:color="auto"/>
              <w:right w:val="single" w:sz="4" w:space="0" w:color="auto"/>
            </w:tcBorders>
            <w:hideMark/>
          </w:tcPr>
          <w:p w14:paraId="26036DC8" w14:textId="77777777" w:rsidR="00E932DC" w:rsidRPr="005A22C2" w:rsidRDefault="00E932DC" w:rsidP="00E932DC">
            <w:pPr>
              <w:spacing w:before="40" w:after="40"/>
              <w:rPr>
                <w:rFonts w:eastAsia="新細明體" w:cs="Segoe UI"/>
                <w:b/>
                <w:sz w:val="17"/>
                <w:lang w:eastAsia="en-GB"/>
              </w:rPr>
            </w:pPr>
            <w:proofErr w:type="spellStart"/>
            <w:r w:rsidRPr="005A22C2">
              <w:rPr>
                <w:rFonts w:eastAsia="新細明體" w:cs="Segoe UI"/>
                <w:b/>
                <w:sz w:val="17"/>
                <w:szCs w:val="17"/>
                <w:lang w:eastAsia="en-GB"/>
              </w:rPr>
              <w:t>附加說明</w:t>
            </w:r>
            <w:proofErr w:type="spellEnd"/>
            <w:r w:rsidRPr="005A22C2">
              <w:rPr>
                <w:rFonts w:eastAsia="新細明體" w:cs="Segoe UI"/>
                <w:b/>
                <w:sz w:val="17"/>
                <w:szCs w:val="17"/>
                <w:lang w:eastAsia="en-GB"/>
              </w:rPr>
              <w:t>：</w:t>
            </w:r>
          </w:p>
        </w:tc>
        <w:tc>
          <w:tcPr>
            <w:tcW w:w="7088" w:type="dxa"/>
            <w:tcBorders>
              <w:top w:val="single" w:sz="4" w:space="0" w:color="auto"/>
              <w:left w:val="single" w:sz="4" w:space="0" w:color="auto"/>
              <w:bottom w:val="single" w:sz="4" w:space="0" w:color="auto"/>
              <w:right w:val="nil"/>
            </w:tcBorders>
            <w:hideMark/>
          </w:tcPr>
          <w:p w14:paraId="6C976187" w14:textId="51F04D9E" w:rsidR="00E932DC" w:rsidRPr="005A22C2" w:rsidRDefault="00E932DC" w:rsidP="00E932DC">
            <w:pPr>
              <w:widowControl w:val="0"/>
              <w:autoSpaceDE w:val="0"/>
              <w:autoSpaceDN w:val="0"/>
              <w:adjustRightInd w:val="0"/>
              <w:jc w:val="both"/>
              <w:rPr>
                <w:rFonts w:eastAsia="新細明體" w:cs="Segoe UI"/>
                <w:sz w:val="17"/>
                <w:szCs w:val="17"/>
                <w:lang w:eastAsia="zh-HK"/>
              </w:rPr>
            </w:pPr>
            <w:r w:rsidRPr="005A22C2">
              <w:rPr>
                <w:rFonts w:eastAsia="新細明體" w:cs="Segoe UI"/>
                <w:sz w:val="17"/>
                <w:szCs w:val="17"/>
                <w:lang w:val="en-US" w:eastAsia="zh-TW"/>
              </w:rPr>
              <w:t>認可機構應以敘述評</w:t>
            </w:r>
            <w:proofErr w:type="gramStart"/>
            <w:r w:rsidRPr="005A22C2">
              <w:rPr>
                <w:rFonts w:eastAsia="新細明體" w:cs="Segoe UI"/>
                <w:sz w:val="17"/>
                <w:szCs w:val="17"/>
                <w:lang w:val="en-US" w:eastAsia="zh-TW"/>
              </w:rPr>
              <w:t>註</w:t>
            </w:r>
            <w:proofErr w:type="gramEnd"/>
            <w:r w:rsidRPr="005A22C2">
              <w:rPr>
                <w:rFonts w:eastAsia="新細明體" w:cs="Segoe UI"/>
                <w:sz w:val="17"/>
                <w:szCs w:val="17"/>
                <w:lang w:val="en-US" w:eastAsia="zh-TW"/>
              </w:rPr>
              <w:t>闡明報告期內任何重大</w:t>
            </w:r>
            <w:r w:rsidRPr="005A22C2">
              <w:rPr>
                <w:rFonts w:eastAsia="細明體" w:cs="Segoe UI" w:hint="eastAsia"/>
                <w:sz w:val="17"/>
                <w:szCs w:val="24"/>
                <w:lang w:val="en-US" w:eastAsia="zh-TW"/>
              </w:rPr>
              <w:t>改變</w:t>
            </w:r>
            <w:r w:rsidRPr="005A22C2">
              <w:rPr>
                <w:rFonts w:eastAsia="新細明體" w:cs="Segoe UI"/>
                <w:sz w:val="17"/>
                <w:szCs w:val="17"/>
                <w:lang w:val="en-US" w:eastAsia="zh-TW"/>
              </w:rPr>
              <w:t>及引致該等</w:t>
            </w:r>
            <w:r w:rsidRPr="005A22C2">
              <w:rPr>
                <w:rFonts w:eastAsia="細明體" w:cs="Segoe UI" w:hint="eastAsia"/>
                <w:sz w:val="17"/>
                <w:szCs w:val="24"/>
                <w:lang w:val="en-US" w:eastAsia="zh-TW"/>
              </w:rPr>
              <w:t>改變</w:t>
            </w:r>
            <w:r w:rsidRPr="005A22C2">
              <w:rPr>
                <w:rFonts w:eastAsia="新細明體" w:cs="Segoe UI"/>
                <w:sz w:val="17"/>
                <w:szCs w:val="17"/>
                <w:lang w:val="en-US" w:eastAsia="zh-TW"/>
              </w:rPr>
              <w:t>的主要驅動因素，以</w:t>
            </w:r>
            <w:proofErr w:type="gramStart"/>
            <w:r w:rsidRPr="005A22C2">
              <w:rPr>
                <w:rFonts w:eastAsia="新細明體" w:cs="Segoe UI"/>
                <w:sz w:val="17"/>
                <w:szCs w:val="17"/>
                <w:lang w:val="en-US" w:eastAsia="zh-TW"/>
              </w:rPr>
              <w:t>補充本模版</w:t>
            </w:r>
            <w:proofErr w:type="gramEnd"/>
            <w:r w:rsidRPr="005A22C2">
              <w:rPr>
                <w:rFonts w:eastAsia="新細明體" w:cs="Segoe UI"/>
                <w:sz w:val="17"/>
                <w:szCs w:val="17"/>
                <w:lang w:val="en-US" w:eastAsia="zh-TW"/>
              </w:rPr>
              <w:t>。</w:t>
            </w:r>
            <w:r w:rsidRPr="005A22C2">
              <w:rPr>
                <w:rFonts w:eastAsia="新細明體" w:cs="Segoe UI"/>
                <w:sz w:val="17"/>
                <w:szCs w:val="17"/>
                <w:lang w:val="en-US" w:eastAsia="zh-HK"/>
              </w:rPr>
              <w:t>引致</w:t>
            </w:r>
            <w:r w:rsidRPr="005A22C2">
              <w:rPr>
                <w:rFonts w:eastAsia="細明體" w:cs="Segoe UI" w:hint="eastAsia"/>
                <w:sz w:val="17"/>
                <w:szCs w:val="24"/>
                <w:lang w:val="en-US" w:eastAsia="zh-TW"/>
              </w:rPr>
              <w:t>改變</w:t>
            </w:r>
            <w:r w:rsidRPr="005A22C2">
              <w:rPr>
                <w:rFonts w:eastAsia="新細明體" w:cs="Segoe UI"/>
                <w:sz w:val="17"/>
                <w:szCs w:val="17"/>
                <w:lang w:val="en-US" w:eastAsia="zh-HK"/>
              </w:rPr>
              <w:t>的因素可包括風險水平的變動</w:t>
            </w:r>
            <w:r w:rsidRPr="005A22C2">
              <w:rPr>
                <w:rFonts w:eastAsia="新細明體" w:cs="Segoe UI"/>
                <w:sz w:val="17"/>
                <w:szCs w:val="17"/>
                <w:lang w:val="en-US" w:eastAsia="zh-TW"/>
              </w:rPr>
              <w:t>、</w:t>
            </w:r>
            <w:r w:rsidRPr="005A22C2">
              <w:rPr>
                <w:rFonts w:eastAsia="新細明體" w:cs="Segoe UI"/>
                <w:sz w:val="17"/>
                <w:szCs w:val="17"/>
                <w:lang w:val="en-US" w:eastAsia="zh-HK"/>
              </w:rPr>
              <w:t>涵蓋範圍的</w:t>
            </w:r>
            <w:r w:rsidRPr="005A22C2">
              <w:rPr>
                <w:rFonts w:eastAsia="細明體" w:cs="Segoe UI" w:hint="eastAsia"/>
                <w:sz w:val="17"/>
                <w:szCs w:val="24"/>
                <w:lang w:val="en-US" w:eastAsia="zh-TW"/>
              </w:rPr>
              <w:t>改變</w:t>
            </w:r>
            <w:r w:rsidR="00904AEB" w:rsidRPr="005A22C2">
              <w:rPr>
                <w:rFonts w:eastAsia="新細明體" w:cs="Segoe UI" w:hint="eastAsia"/>
                <w:sz w:val="17"/>
                <w:szCs w:val="17"/>
                <w:lang w:eastAsia="zh-HK"/>
              </w:rPr>
              <w:t>（</w:t>
            </w:r>
            <w:r w:rsidRPr="005A22C2">
              <w:rPr>
                <w:rFonts w:eastAsia="新細明體" w:cs="Segoe UI"/>
                <w:sz w:val="17"/>
                <w:szCs w:val="17"/>
                <w:lang w:val="en-US" w:eastAsia="zh-HK"/>
              </w:rPr>
              <w:t>例如標準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計算法與</w:t>
            </w:r>
            <w:r w:rsidRPr="005A22C2">
              <w:rPr>
                <w:rFonts w:eastAsia="新細明體" w:cs="Segoe UI" w:hint="eastAsia"/>
                <w:sz w:val="17"/>
                <w:szCs w:val="17"/>
                <w:lang w:val="en-US" w:eastAsia="zh-HK"/>
              </w:rPr>
              <w:t>完整</w:t>
            </w:r>
            <w:r w:rsidRPr="005A22C2">
              <w:rPr>
                <w:rFonts w:eastAsia="新細明體" w:cs="Segoe UI"/>
                <w:sz w:val="17"/>
                <w:szCs w:val="17"/>
                <w:lang w:val="en-US" w:eastAsia="zh-HK"/>
              </w:rPr>
              <w:t>或簡化基本</w:t>
            </w:r>
            <w:r w:rsidRPr="005A22C2">
              <w:rPr>
                <w:rFonts w:eastAsia="新細明體" w:cs="Segoe UI"/>
                <w:sz w:val="17"/>
                <w:szCs w:val="17"/>
                <w:lang w:val="en-US" w:eastAsia="zh-TW"/>
              </w:rPr>
              <w:t>CVA</w:t>
            </w:r>
            <w:r w:rsidRPr="005A22C2">
              <w:rPr>
                <w:rFonts w:eastAsia="新細明體" w:cs="Segoe UI"/>
                <w:sz w:val="17"/>
                <w:szCs w:val="17"/>
                <w:lang w:val="en-US" w:eastAsia="zh-HK"/>
              </w:rPr>
              <w:t>計算法之間淨額計算組合的變動</w:t>
            </w:r>
            <w:r w:rsidR="00904AEB" w:rsidRPr="005A22C2">
              <w:rPr>
                <w:rFonts w:eastAsia="新細明體" w:cs="Segoe UI" w:hint="eastAsia"/>
                <w:sz w:val="17"/>
                <w:szCs w:val="17"/>
                <w:lang w:eastAsia="zh-HK"/>
              </w:rPr>
              <w:t>）</w:t>
            </w:r>
            <w:r w:rsidRPr="005A22C2">
              <w:rPr>
                <w:rFonts w:eastAsia="新細明體" w:cs="Segoe UI"/>
                <w:sz w:val="17"/>
                <w:szCs w:val="17"/>
                <w:lang w:val="en-US" w:eastAsia="zh-TW"/>
              </w:rPr>
              <w:t>、</w:t>
            </w:r>
            <w:r w:rsidRPr="005A22C2">
              <w:rPr>
                <w:rFonts w:eastAsia="新細明體" w:cs="Segoe UI"/>
                <w:sz w:val="17"/>
                <w:szCs w:val="17"/>
                <w:lang w:eastAsia="zh-HK"/>
              </w:rPr>
              <w:t>業務或產品線或實體</w:t>
            </w:r>
            <w:r w:rsidRPr="005A22C2">
              <w:rPr>
                <w:rFonts w:eastAsia="新細明體" w:cs="Segoe UI" w:hint="eastAsia"/>
                <w:sz w:val="17"/>
                <w:szCs w:val="17"/>
                <w:lang w:eastAsia="zh-HK"/>
              </w:rPr>
              <w:t>的</w:t>
            </w:r>
            <w:r w:rsidRPr="005A22C2">
              <w:rPr>
                <w:rFonts w:eastAsia="新細明體" w:cs="Segoe UI"/>
                <w:sz w:val="17"/>
                <w:szCs w:val="17"/>
                <w:lang w:val="en-US" w:eastAsia="zh-HK"/>
              </w:rPr>
              <w:t>購置及</w:t>
            </w:r>
            <w:r w:rsidRPr="005A22C2">
              <w:rPr>
                <w:rFonts w:eastAsia="新細明體" w:cs="Segoe UI"/>
                <w:sz w:val="17"/>
                <w:szCs w:val="17"/>
                <w:lang w:eastAsia="zh-HK"/>
              </w:rPr>
              <w:t>處置</w:t>
            </w:r>
            <w:r w:rsidRPr="005A22C2">
              <w:rPr>
                <w:rFonts w:eastAsia="新細明體" w:cs="Segoe UI"/>
                <w:sz w:val="17"/>
                <w:szCs w:val="17"/>
                <w:lang w:eastAsia="zh-TW"/>
              </w:rPr>
              <w:t>，</w:t>
            </w:r>
            <w:r w:rsidRPr="005A22C2">
              <w:rPr>
                <w:rFonts w:eastAsia="新細明體" w:cs="Segoe UI"/>
                <w:sz w:val="17"/>
                <w:szCs w:val="17"/>
                <w:lang w:eastAsia="zh-HK"/>
              </w:rPr>
              <w:t>或外幣匯兌</w:t>
            </w:r>
            <w:r w:rsidRPr="005A22C2">
              <w:rPr>
                <w:rFonts w:eastAsia="新細明體" w:cs="Segoe UI" w:hint="eastAsia"/>
                <w:sz w:val="17"/>
                <w:szCs w:val="17"/>
                <w:lang w:eastAsia="zh-HK"/>
              </w:rPr>
              <w:t>的</w:t>
            </w:r>
            <w:r w:rsidRPr="005A22C2">
              <w:rPr>
                <w:rFonts w:eastAsia="新細明體" w:cs="Segoe UI"/>
                <w:sz w:val="17"/>
                <w:szCs w:val="17"/>
                <w:lang w:eastAsia="zh-HK"/>
              </w:rPr>
              <w:t>變動</w:t>
            </w:r>
            <w:r w:rsidRPr="005A22C2">
              <w:rPr>
                <w:rFonts w:eastAsia="新細明體" w:cs="Segoe UI"/>
                <w:sz w:val="17"/>
                <w:szCs w:val="17"/>
                <w:lang w:eastAsia="zh-TW"/>
              </w:rPr>
              <w:t>。</w:t>
            </w:r>
          </w:p>
        </w:tc>
      </w:tr>
      <w:tr w:rsidR="005A22C2" w:rsidRPr="005A22C2" w14:paraId="4849B032" w14:textId="77777777" w:rsidTr="00A94770">
        <w:tc>
          <w:tcPr>
            <w:tcW w:w="2160" w:type="dxa"/>
            <w:tcBorders>
              <w:top w:val="single" w:sz="4" w:space="0" w:color="auto"/>
              <w:left w:val="nil"/>
              <w:bottom w:val="single" w:sz="4" w:space="0" w:color="auto"/>
              <w:right w:val="single" w:sz="4" w:space="0" w:color="auto"/>
            </w:tcBorders>
            <w:hideMark/>
          </w:tcPr>
          <w:p w14:paraId="4740B335" w14:textId="77777777" w:rsidR="00E932DC" w:rsidRPr="005A22C2" w:rsidRDefault="00E932DC" w:rsidP="00E932DC">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tcPr>
          <w:p w14:paraId="1827C1FC" w14:textId="77777777" w:rsidR="00E932DC" w:rsidRPr="005A22C2" w:rsidRDefault="00E932DC" w:rsidP="00E932DC">
            <w:pPr>
              <w:spacing w:before="40" w:after="40"/>
              <w:jc w:val="both"/>
              <w:rPr>
                <w:rFonts w:eastAsia="新細明體" w:cs="Segoe UI"/>
                <w:sz w:val="17"/>
                <w:lang w:eastAsia="en-GB"/>
              </w:rPr>
            </w:pPr>
            <w:r w:rsidRPr="005A22C2">
              <w:rPr>
                <w:bCs/>
                <w:sz w:val="17"/>
              </w:rPr>
              <w:t>16ZOF</w:t>
            </w:r>
          </w:p>
        </w:tc>
      </w:tr>
    </w:tbl>
    <w:p w14:paraId="4DF94B39" w14:textId="77777777" w:rsidR="00E932DC" w:rsidRPr="005A22C2" w:rsidRDefault="00E932DC" w:rsidP="00E932DC">
      <w:pPr>
        <w:rPr>
          <w:rFonts w:eastAsia="新細明體" w:cs="Segoe UI"/>
        </w:rPr>
      </w:pPr>
    </w:p>
    <w:tbl>
      <w:tblPr>
        <w:tblW w:w="9214"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3743"/>
        <w:gridCol w:w="7"/>
        <w:gridCol w:w="4897"/>
      </w:tblGrid>
      <w:tr w:rsidR="005A22C2" w:rsidRPr="005A22C2" w14:paraId="0EF0E458" w14:textId="77777777" w:rsidTr="00C34F0B">
        <w:trPr>
          <w:cantSplit/>
          <w:tblHeader/>
        </w:trPr>
        <w:tc>
          <w:tcPr>
            <w:tcW w:w="4317" w:type="dxa"/>
            <w:gridSpan w:val="3"/>
            <w:tcBorders>
              <w:top w:val="nil"/>
              <w:left w:val="nil"/>
              <w:bottom w:val="nil"/>
              <w:right w:val="single" w:sz="4" w:space="0" w:color="auto"/>
            </w:tcBorders>
            <w:vAlign w:val="center"/>
          </w:tcPr>
          <w:p w14:paraId="6FC7BA79" w14:textId="77777777" w:rsidR="00E932DC" w:rsidRPr="005A22C2" w:rsidRDefault="00E932DC" w:rsidP="00E932DC">
            <w:pPr>
              <w:snapToGrid w:val="0"/>
              <w:spacing w:before="40" w:after="40"/>
              <w:rPr>
                <w:rFonts w:eastAsia="新細明體" w:cs="Segoe UI"/>
                <w:sz w:val="17"/>
                <w:lang w:eastAsia="fr-FR"/>
              </w:rPr>
            </w:pPr>
          </w:p>
        </w:tc>
        <w:tc>
          <w:tcPr>
            <w:tcW w:w="4897" w:type="dxa"/>
            <w:tcBorders>
              <w:top w:val="single" w:sz="4" w:space="0" w:color="auto"/>
              <w:left w:val="single" w:sz="4" w:space="0" w:color="auto"/>
              <w:bottom w:val="single" w:sz="4" w:space="0" w:color="auto"/>
              <w:right w:val="single" w:sz="4" w:space="0" w:color="auto"/>
            </w:tcBorders>
            <w:vAlign w:val="center"/>
            <w:hideMark/>
          </w:tcPr>
          <w:p w14:paraId="5C499BF5" w14:textId="77777777" w:rsidR="00E932DC" w:rsidRPr="005A22C2" w:rsidRDefault="00E932DC" w:rsidP="00E932DC">
            <w:pPr>
              <w:snapToGrid w:val="0"/>
              <w:spacing w:before="40" w:after="40"/>
              <w:jc w:val="center"/>
              <w:rPr>
                <w:rFonts w:eastAsia="新細明體" w:cs="Segoe UI"/>
                <w:sz w:val="17"/>
              </w:rPr>
            </w:pPr>
            <w:r w:rsidRPr="005A22C2">
              <w:rPr>
                <w:rFonts w:eastAsia="新細明體" w:cs="Segoe UI"/>
                <w:sz w:val="17"/>
              </w:rPr>
              <w:t>(a)</w:t>
            </w:r>
          </w:p>
        </w:tc>
      </w:tr>
      <w:tr w:rsidR="001B39FD" w:rsidRPr="005A22C2" w14:paraId="71BD702E" w14:textId="77777777" w:rsidTr="00C34F0B">
        <w:trPr>
          <w:cantSplit/>
        </w:trPr>
        <w:tc>
          <w:tcPr>
            <w:tcW w:w="567" w:type="dxa"/>
            <w:tcBorders>
              <w:top w:val="single" w:sz="4" w:space="0" w:color="auto"/>
              <w:left w:val="nil"/>
              <w:bottom w:val="single" w:sz="4" w:space="0" w:color="BFBFBF"/>
              <w:right w:val="single" w:sz="4" w:space="0" w:color="auto"/>
            </w:tcBorders>
            <w:vAlign w:val="center"/>
            <w:hideMark/>
          </w:tcPr>
          <w:p w14:paraId="4A74AB61"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1</w:t>
            </w:r>
          </w:p>
        </w:tc>
        <w:tc>
          <w:tcPr>
            <w:tcW w:w="3743" w:type="dxa"/>
            <w:tcBorders>
              <w:top w:val="single" w:sz="4" w:space="0" w:color="auto"/>
              <w:left w:val="single" w:sz="4" w:space="0" w:color="auto"/>
              <w:bottom w:val="single" w:sz="4" w:space="0" w:color="A6A6A6"/>
              <w:right w:val="single" w:sz="4" w:space="0" w:color="auto"/>
            </w:tcBorders>
            <w:hideMark/>
          </w:tcPr>
          <w:p w14:paraId="78DF96E7" w14:textId="47A9C197" w:rsidR="00E932DC" w:rsidRPr="005A22C2" w:rsidRDefault="00E932DC" w:rsidP="00596B0D">
            <w:pPr>
              <w:snapToGrid w:val="0"/>
              <w:spacing w:before="40" w:after="40"/>
              <w:rPr>
                <w:rFonts w:eastAsia="新細明體" w:cs="Segoe UI"/>
                <w:sz w:val="17"/>
                <w:lang w:eastAsia="zh-TW"/>
              </w:rPr>
            </w:pPr>
            <w:r w:rsidRPr="005A22C2">
              <w:rPr>
                <w:rFonts w:eastAsia="新細明體" w:cs="Segoe UI"/>
                <w:sz w:val="17"/>
                <w:lang w:eastAsia="zh-HK"/>
              </w:rPr>
              <w:t>上一個報告期末</w:t>
            </w:r>
            <w:r w:rsidRPr="005A22C2">
              <w:rPr>
                <w:rFonts w:eastAsia="新細明體" w:cs="Segoe UI"/>
                <w:sz w:val="17"/>
                <w:lang w:eastAsia="zh-TW"/>
              </w:rPr>
              <w:t>CVA</w:t>
            </w:r>
            <w:r w:rsidRPr="005A22C2">
              <w:rPr>
                <w:rFonts w:eastAsia="新細明體" w:cs="Segoe UI"/>
                <w:sz w:val="17"/>
                <w:lang w:eastAsia="zh-HK"/>
              </w:rPr>
              <w:t>風險的</w:t>
            </w:r>
            <w:r w:rsidR="00872CF6" w:rsidRPr="005A22C2">
              <w:rPr>
                <w:rFonts w:eastAsia="新細明體" w:cs="Segoe UI" w:hint="eastAsia"/>
                <w:sz w:val="17"/>
                <w:lang w:eastAsia="zh-TW"/>
              </w:rPr>
              <w:t>總</w:t>
            </w:r>
            <w:r w:rsidRPr="005A22C2">
              <w:rPr>
                <w:rFonts w:eastAsia="新細明體" w:cs="Segoe UI"/>
                <w:sz w:val="17"/>
                <w:lang w:eastAsia="zh-TW"/>
              </w:rPr>
              <w:t>風險加權數額</w:t>
            </w:r>
          </w:p>
        </w:tc>
        <w:tc>
          <w:tcPr>
            <w:tcW w:w="4904" w:type="dxa"/>
            <w:gridSpan w:val="2"/>
            <w:tcBorders>
              <w:top w:val="single" w:sz="4" w:space="0" w:color="A6A6A6"/>
              <w:left w:val="single" w:sz="4" w:space="0" w:color="auto"/>
              <w:bottom w:val="single" w:sz="4" w:space="0" w:color="A6A6A6"/>
              <w:right w:val="single" w:sz="4" w:space="0" w:color="auto"/>
            </w:tcBorders>
            <w:vAlign w:val="center"/>
          </w:tcPr>
          <w:p w14:paraId="34AD26FC" w14:textId="77777777" w:rsidR="00E932DC" w:rsidRPr="005A22C2" w:rsidRDefault="00E932DC" w:rsidP="00E932DC">
            <w:pPr>
              <w:snapToGrid w:val="0"/>
              <w:spacing w:before="40" w:after="40"/>
              <w:rPr>
                <w:rFonts w:eastAsia="新細明體" w:cs="Segoe UI"/>
                <w:sz w:val="17"/>
                <w:lang w:eastAsia="zh-TW"/>
              </w:rPr>
            </w:pPr>
          </w:p>
        </w:tc>
      </w:tr>
      <w:tr w:rsidR="005A22C2" w:rsidRPr="005A22C2" w14:paraId="1CD07AEC" w14:textId="77777777" w:rsidTr="00C34F0B">
        <w:trPr>
          <w:cantSplit/>
        </w:trPr>
        <w:tc>
          <w:tcPr>
            <w:tcW w:w="567" w:type="dxa"/>
            <w:tcBorders>
              <w:top w:val="single" w:sz="4" w:space="0" w:color="BFBFBF"/>
              <w:left w:val="nil"/>
              <w:bottom w:val="single" w:sz="4" w:space="0" w:color="auto"/>
              <w:right w:val="single" w:sz="4" w:space="0" w:color="auto"/>
            </w:tcBorders>
            <w:vAlign w:val="center"/>
            <w:hideMark/>
          </w:tcPr>
          <w:p w14:paraId="0B857E5D" w14:textId="77777777" w:rsidR="00E932DC" w:rsidRPr="005A22C2" w:rsidRDefault="00E932DC" w:rsidP="00E932DC">
            <w:pPr>
              <w:snapToGrid w:val="0"/>
              <w:spacing w:before="40" w:after="40"/>
              <w:rPr>
                <w:rFonts w:eastAsia="新細明體" w:cs="Segoe UI"/>
                <w:sz w:val="17"/>
              </w:rPr>
            </w:pPr>
            <w:r w:rsidRPr="005A22C2">
              <w:rPr>
                <w:rFonts w:eastAsia="新細明體" w:cs="Segoe UI"/>
                <w:sz w:val="17"/>
              </w:rPr>
              <w:t>2</w:t>
            </w:r>
          </w:p>
        </w:tc>
        <w:tc>
          <w:tcPr>
            <w:tcW w:w="3743" w:type="dxa"/>
            <w:tcBorders>
              <w:top w:val="single" w:sz="4" w:space="0" w:color="A6A6A6"/>
              <w:left w:val="single" w:sz="4" w:space="0" w:color="auto"/>
              <w:bottom w:val="single" w:sz="4" w:space="0" w:color="auto"/>
              <w:right w:val="single" w:sz="4" w:space="0" w:color="auto"/>
            </w:tcBorders>
            <w:hideMark/>
          </w:tcPr>
          <w:p w14:paraId="1B4D6DC2" w14:textId="450A51EE" w:rsidR="00E932DC" w:rsidRPr="005A22C2" w:rsidRDefault="00E932DC" w:rsidP="00E932DC">
            <w:pPr>
              <w:snapToGrid w:val="0"/>
              <w:spacing w:before="40" w:after="40"/>
              <w:rPr>
                <w:rFonts w:eastAsia="新細明體" w:cs="Segoe UI"/>
                <w:sz w:val="17"/>
                <w:lang w:eastAsia="zh-HK"/>
              </w:rPr>
            </w:pPr>
            <w:r w:rsidRPr="005A22C2">
              <w:rPr>
                <w:rFonts w:eastAsia="新細明體" w:cs="Segoe UI"/>
                <w:sz w:val="17"/>
                <w:lang w:eastAsia="zh-HK"/>
              </w:rPr>
              <w:t>報告期末</w:t>
            </w:r>
            <w:r w:rsidRPr="005A22C2">
              <w:rPr>
                <w:rFonts w:eastAsia="新細明體" w:cs="Segoe UI"/>
                <w:sz w:val="17"/>
                <w:lang w:eastAsia="zh-TW"/>
              </w:rPr>
              <w:t>CVA</w:t>
            </w:r>
            <w:r w:rsidRPr="005A22C2">
              <w:rPr>
                <w:rFonts w:eastAsia="新細明體" w:cs="Segoe UI"/>
                <w:sz w:val="17"/>
                <w:lang w:eastAsia="zh-HK"/>
              </w:rPr>
              <w:t>風險的</w:t>
            </w:r>
            <w:r w:rsidR="00872CF6" w:rsidRPr="005A22C2">
              <w:rPr>
                <w:rFonts w:eastAsia="新細明體" w:cs="Segoe UI" w:hint="eastAsia"/>
                <w:sz w:val="17"/>
                <w:lang w:eastAsia="zh-TW"/>
              </w:rPr>
              <w:t>總</w:t>
            </w:r>
            <w:r w:rsidRPr="005A22C2">
              <w:rPr>
                <w:rFonts w:eastAsia="新細明體" w:cs="Segoe UI"/>
                <w:sz w:val="17"/>
                <w:lang w:eastAsia="zh-TW"/>
              </w:rPr>
              <w:t>風險加權數額</w:t>
            </w:r>
          </w:p>
        </w:tc>
        <w:tc>
          <w:tcPr>
            <w:tcW w:w="4904" w:type="dxa"/>
            <w:gridSpan w:val="2"/>
            <w:tcBorders>
              <w:top w:val="single" w:sz="4" w:space="0" w:color="A6A6A6"/>
              <w:left w:val="single" w:sz="4" w:space="0" w:color="auto"/>
              <w:bottom w:val="single" w:sz="4" w:space="0" w:color="auto"/>
              <w:right w:val="single" w:sz="4" w:space="0" w:color="auto"/>
            </w:tcBorders>
            <w:vAlign w:val="center"/>
          </w:tcPr>
          <w:p w14:paraId="04787942" w14:textId="77777777" w:rsidR="00E932DC" w:rsidRPr="005A22C2" w:rsidRDefault="00E932DC" w:rsidP="00E932DC">
            <w:pPr>
              <w:snapToGrid w:val="0"/>
              <w:spacing w:before="40" w:after="40"/>
              <w:rPr>
                <w:rFonts w:eastAsia="新細明體" w:cs="Segoe UI"/>
                <w:sz w:val="17"/>
                <w:lang w:eastAsia="zh-TW"/>
              </w:rPr>
            </w:pPr>
          </w:p>
        </w:tc>
      </w:tr>
    </w:tbl>
    <w:p w14:paraId="05086E14" w14:textId="77777777" w:rsidR="00E932DC" w:rsidRPr="005A22C2" w:rsidRDefault="00E932DC" w:rsidP="00E932DC">
      <w:pPr>
        <w:rPr>
          <w:rFonts w:eastAsia="新細明體" w:cs="Segoe UI"/>
          <w:lang w:eastAsia="zh-TW"/>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563"/>
      </w:tblGrid>
      <w:tr w:rsidR="005A22C2" w:rsidRPr="005A22C2" w14:paraId="03D54A6C" w14:textId="77777777" w:rsidTr="00E932DC">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F73AD8A" w14:textId="77777777" w:rsidR="00E932DC" w:rsidRPr="005A22C2" w:rsidRDefault="00E932DC" w:rsidP="00E932DC">
            <w:pPr>
              <w:spacing w:before="40" w:after="40"/>
              <w:jc w:val="both"/>
              <w:rPr>
                <w:rFonts w:eastAsia="新細明體" w:cs="Segoe UI"/>
                <w:b/>
                <w:sz w:val="17"/>
                <w:szCs w:val="17"/>
                <w:lang w:eastAsia="en-GB"/>
              </w:rPr>
            </w:pPr>
            <w:r w:rsidRPr="005A22C2">
              <w:rPr>
                <w:rFonts w:eastAsia="新細明體" w:cs="Segoe UI"/>
                <w:b/>
                <w:sz w:val="17"/>
                <w:szCs w:val="17"/>
                <w:lang w:eastAsia="zh-HK"/>
              </w:rPr>
              <w:t>註釋</w:t>
            </w:r>
          </w:p>
        </w:tc>
      </w:tr>
      <w:tr w:rsidR="005A22C2" w:rsidRPr="005A22C2" w14:paraId="6EF20449" w14:textId="77777777" w:rsidTr="00E932DC">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894C90F" w14:textId="5D9B0A9F" w:rsidR="00E932DC" w:rsidRPr="005A22C2" w:rsidRDefault="00E932DC" w:rsidP="00E932DC">
            <w:pPr>
              <w:spacing w:before="40" w:after="40"/>
              <w:jc w:val="both"/>
              <w:rPr>
                <w:rFonts w:eastAsia="新細明體" w:cs="Segoe UI"/>
                <w:i/>
                <w:lang w:eastAsia="fr-FR"/>
              </w:rPr>
            </w:pPr>
            <w:r w:rsidRPr="005A22C2">
              <w:rPr>
                <w:rFonts w:eastAsia="新細明體" w:cs="Segoe UI"/>
                <w:b/>
                <w:sz w:val="17"/>
                <w:szCs w:val="17"/>
                <w:lang w:eastAsia="zh-HK"/>
              </w:rPr>
              <w:t>行</w:t>
            </w:r>
          </w:p>
        </w:tc>
      </w:tr>
      <w:tr w:rsidR="005A22C2" w:rsidRPr="005A22C2" w14:paraId="1F21CC8F"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559B5B6E"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1</w:t>
            </w:r>
          </w:p>
        </w:tc>
        <w:tc>
          <w:tcPr>
            <w:tcW w:w="8563" w:type="dxa"/>
            <w:tcBorders>
              <w:top w:val="single" w:sz="4" w:space="0" w:color="auto"/>
              <w:left w:val="single" w:sz="4" w:space="0" w:color="auto"/>
              <w:bottom w:val="single" w:sz="4" w:space="0" w:color="auto"/>
              <w:right w:val="single" w:sz="4" w:space="0" w:color="auto"/>
            </w:tcBorders>
            <w:hideMark/>
          </w:tcPr>
          <w:p w14:paraId="440F6EFE" w14:textId="676440B2" w:rsidR="00E932DC" w:rsidRPr="005A22C2" w:rsidRDefault="00E932DC" w:rsidP="00E932DC">
            <w:pPr>
              <w:widowControl w:val="0"/>
              <w:autoSpaceDE w:val="0"/>
              <w:autoSpaceDN w:val="0"/>
              <w:adjustRightInd w:val="0"/>
              <w:jc w:val="both"/>
              <w:rPr>
                <w:rFonts w:eastAsia="新細明體" w:cs="Segoe UI"/>
                <w:sz w:val="15"/>
                <w:szCs w:val="15"/>
                <w:lang w:val="en-US" w:eastAsia="zh-TW"/>
              </w:rPr>
            </w:pPr>
            <w:r w:rsidRPr="005A22C2">
              <w:rPr>
                <w:rFonts w:eastAsia="新細明體" w:cs="Segoe UI"/>
                <w:sz w:val="17"/>
                <w:szCs w:val="17"/>
                <w:lang w:val="en-US" w:eastAsia="zh-HK"/>
              </w:rPr>
              <w:t>若認可機構就所有</w:t>
            </w:r>
            <w:r w:rsidRPr="005A22C2">
              <w:rPr>
                <w:rFonts w:eastAsia="新細明體" w:cs="Segoe UI"/>
                <w:sz w:val="17"/>
                <w:szCs w:val="17"/>
                <w:lang w:val="en-US" w:eastAsia="zh-TW"/>
              </w:rPr>
              <w:t>CVA</w:t>
            </w:r>
            <w:r w:rsidRPr="005A22C2">
              <w:rPr>
                <w:rFonts w:eastAsia="新細明體" w:cs="Segoe UI"/>
                <w:sz w:val="17"/>
                <w:szCs w:val="17"/>
                <w:lang w:val="en-US" w:eastAsia="zh-HK"/>
              </w:rPr>
              <w:t>風險承擔僅使用標準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w:t>
            </w:r>
            <w:r w:rsidRPr="005A22C2">
              <w:rPr>
                <w:rFonts w:eastAsia="新細明體" w:cs="Segoe UI"/>
                <w:sz w:val="17"/>
                <w:szCs w:val="17"/>
                <w:lang w:val="en-US" w:eastAsia="zh-TW"/>
              </w:rPr>
              <w:t>，</w:t>
            </w:r>
            <w:r w:rsidRPr="005A22C2">
              <w:rPr>
                <w:rFonts w:eastAsia="新細明體" w:cs="Segoe UI"/>
                <w:sz w:val="17"/>
                <w:szCs w:val="17"/>
                <w:lang w:val="en-US" w:eastAsia="zh-TW"/>
              </w:rPr>
              <w:t>[CVA4:1/a]</w:t>
            </w:r>
            <w:r w:rsidRPr="005A22C2">
              <w:rPr>
                <w:rFonts w:eastAsia="新細明體" w:cs="Segoe UI"/>
                <w:sz w:val="17"/>
                <w:szCs w:val="17"/>
                <w:lang w:val="en-US" w:eastAsia="zh-HK"/>
              </w:rPr>
              <w:t>的值應相等於</w:t>
            </w:r>
            <w:r w:rsidRPr="005A22C2">
              <w:rPr>
                <w:rFonts w:eastAsia="新細明體" w:cs="Segoe UI"/>
                <w:sz w:val="17"/>
                <w:szCs w:val="17"/>
                <w:lang w:val="en-US" w:eastAsia="zh-TW"/>
              </w:rPr>
              <w:t>[OV1</w:t>
            </w:r>
            <w:r w:rsidR="007B761C" w:rsidRPr="005A22C2">
              <w:rPr>
                <w:rFonts w:eastAsia="新細明體" w:cs="Segoe UI"/>
                <w:sz w:val="17"/>
                <w:szCs w:val="17"/>
                <w:lang w:val="en-US" w:eastAsia="zh-TW"/>
              </w:rPr>
              <w:t>:</w:t>
            </w:r>
            <w:r w:rsidRPr="005A22C2">
              <w:rPr>
                <w:rFonts w:eastAsia="新細明體" w:cs="Segoe UI"/>
                <w:sz w:val="17"/>
                <w:szCs w:val="17"/>
                <w:lang w:val="en-US" w:eastAsia="zh-TW"/>
              </w:rPr>
              <w:t>10/b]</w:t>
            </w:r>
            <w:r w:rsidRPr="005A22C2">
              <w:rPr>
                <w:rFonts w:eastAsia="新細明體" w:cs="Segoe UI"/>
                <w:sz w:val="17"/>
                <w:szCs w:val="17"/>
                <w:lang w:val="en-US" w:eastAsia="zh-HK"/>
              </w:rPr>
              <w:t>的值</w:t>
            </w:r>
            <w:r w:rsidRPr="005A22C2">
              <w:rPr>
                <w:rFonts w:eastAsia="新細明體" w:cs="Segoe UI"/>
                <w:sz w:val="17"/>
                <w:szCs w:val="17"/>
                <w:lang w:val="en-US" w:eastAsia="zh-TW"/>
              </w:rPr>
              <w:t>。</w:t>
            </w:r>
          </w:p>
        </w:tc>
      </w:tr>
      <w:tr w:rsidR="005A22C2" w:rsidRPr="005A22C2" w14:paraId="20067F3F" w14:textId="77777777" w:rsidTr="00E932DC">
        <w:tc>
          <w:tcPr>
            <w:tcW w:w="651" w:type="dxa"/>
            <w:tcBorders>
              <w:top w:val="single" w:sz="4" w:space="0" w:color="auto"/>
              <w:left w:val="single" w:sz="4" w:space="0" w:color="auto"/>
              <w:bottom w:val="single" w:sz="4" w:space="0" w:color="auto"/>
              <w:right w:val="single" w:sz="4" w:space="0" w:color="auto"/>
            </w:tcBorders>
            <w:hideMark/>
          </w:tcPr>
          <w:p w14:paraId="6EB14BF5" w14:textId="77777777" w:rsidR="00E932DC" w:rsidRPr="005A22C2" w:rsidRDefault="00E932DC" w:rsidP="00E932DC">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2</w:t>
            </w:r>
          </w:p>
        </w:tc>
        <w:tc>
          <w:tcPr>
            <w:tcW w:w="8563" w:type="dxa"/>
            <w:tcBorders>
              <w:top w:val="single" w:sz="4" w:space="0" w:color="auto"/>
              <w:left w:val="single" w:sz="4" w:space="0" w:color="auto"/>
              <w:bottom w:val="single" w:sz="4" w:space="0" w:color="auto"/>
              <w:right w:val="single" w:sz="4" w:space="0" w:color="auto"/>
            </w:tcBorders>
            <w:hideMark/>
          </w:tcPr>
          <w:p w14:paraId="22BBF72F" w14:textId="676D19E5" w:rsidR="00E932DC" w:rsidRPr="005A22C2" w:rsidRDefault="00E932DC" w:rsidP="00E932DC">
            <w:pPr>
              <w:widowControl w:val="0"/>
              <w:autoSpaceDE w:val="0"/>
              <w:autoSpaceDN w:val="0"/>
              <w:adjustRightInd w:val="0"/>
              <w:jc w:val="both"/>
              <w:rPr>
                <w:rFonts w:eastAsia="新細明體" w:cs="Segoe UI"/>
                <w:sz w:val="17"/>
                <w:szCs w:val="17"/>
                <w:lang w:val="en-US" w:eastAsia="zh-TW"/>
              </w:rPr>
            </w:pPr>
            <w:r w:rsidRPr="005A22C2">
              <w:rPr>
                <w:rFonts w:eastAsia="新細明體" w:cs="Segoe UI"/>
                <w:sz w:val="17"/>
                <w:szCs w:val="17"/>
                <w:lang w:val="en-US" w:eastAsia="zh-HK"/>
              </w:rPr>
              <w:t>若認可機構就所有</w:t>
            </w:r>
            <w:r w:rsidRPr="005A22C2">
              <w:rPr>
                <w:rFonts w:eastAsia="新細明體" w:cs="Segoe UI"/>
                <w:sz w:val="17"/>
                <w:szCs w:val="17"/>
                <w:lang w:val="en-US" w:eastAsia="zh-TW"/>
              </w:rPr>
              <w:t>CVA</w:t>
            </w:r>
            <w:r w:rsidRPr="005A22C2">
              <w:rPr>
                <w:rFonts w:eastAsia="新細明體" w:cs="Segoe UI"/>
                <w:sz w:val="17"/>
                <w:szCs w:val="17"/>
                <w:lang w:val="en-US" w:eastAsia="zh-HK"/>
              </w:rPr>
              <w:t>風險承擔僅使用標準</w:t>
            </w:r>
            <w:r w:rsidRPr="005A22C2">
              <w:rPr>
                <w:rFonts w:eastAsia="新細明體" w:cs="Segoe UI"/>
                <w:sz w:val="17"/>
                <w:szCs w:val="17"/>
                <w:lang w:val="en-US" w:eastAsia="zh-TW"/>
              </w:rPr>
              <w:t>CVA</w:t>
            </w:r>
            <w:r w:rsidRPr="005A22C2">
              <w:rPr>
                <w:rFonts w:eastAsia="新細明體" w:cs="Segoe UI"/>
                <w:sz w:val="17"/>
                <w:szCs w:val="17"/>
                <w:lang w:val="en-US" w:eastAsia="zh-HK"/>
              </w:rPr>
              <w:t>計算法</w:t>
            </w:r>
            <w:r w:rsidRPr="005A22C2">
              <w:rPr>
                <w:rFonts w:eastAsia="新細明體" w:cs="Segoe UI"/>
                <w:sz w:val="17"/>
                <w:szCs w:val="17"/>
                <w:lang w:val="en-US" w:eastAsia="zh-TW"/>
              </w:rPr>
              <w:t>，</w:t>
            </w:r>
            <w:r w:rsidRPr="005A22C2">
              <w:rPr>
                <w:rFonts w:eastAsia="新細明體" w:cs="Segoe UI"/>
                <w:sz w:val="17"/>
                <w:szCs w:val="17"/>
                <w:lang w:val="en-US" w:eastAsia="zh-TW"/>
              </w:rPr>
              <w:t>[CVA4:2/a]</w:t>
            </w:r>
            <w:r w:rsidRPr="005A22C2">
              <w:rPr>
                <w:rFonts w:eastAsia="新細明體" w:cs="Segoe UI"/>
                <w:sz w:val="17"/>
                <w:szCs w:val="17"/>
                <w:lang w:val="en-US" w:eastAsia="zh-HK"/>
              </w:rPr>
              <w:t>的值應相等於</w:t>
            </w:r>
            <w:r w:rsidRPr="005A22C2">
              <w:rPr>
                <w:rFonts w:eastAsia="新細明體" w:cs="Segoe UI"/>
                <w:sz w:val="17"/>
                <w:szCs w:val="17"/>
                <w:lang w:val="en-US" w:eastAsia="zh-TW"/>
              </w:rPr>
              <w:t>[OV1</w:t>
            </w:r>
            <w:r w:rsidR="007B761C" w:rsidRPr="005A22C2">
              <w:rPr>
                <w:rFonts w:eastAsia="新細明體" w:cs="Segoe UI"/>
                <w:sz w:val="17"/>
                <w:szCs w:val="17"/>
                <w:lang w:val="en-US" w:eastAsia="zh-TW"/>
              </w:rPr>
              <w:t>:</w:t>
            </w:r>
            <w:r w:rsidRPr="005A22C2">
              <w:rPr>
                <w:rFonts w:eastAsia="新細明體" w:cs="Segoe UI"/>
                <w:sz w:val="17"/>
                <w:szCs w:val="17"/>
                <w:lang w:val="en-US" w:eastAsia="zh-TW"/>
              </w:rPr>
              <w:t>10/a]</w:t>
            </w:r>
            <w:r w:rsidRPr="005A22C2">
              <w:rPr>
                <w:rFonts w:eastAsia="新細明體" w:cs="Segoe UI"/>
                <w:sz w:val="17"/>
                <w:szCs w:val="17"/>
                <w:lang w:val="en-US" w:eastAsia="zh-HK"/>
              </w:rPr>
              <w:t>的值</w:t>
            </w:r>
            <w:r w:rsidRPr="005A22C2">
              <w:rPr>
                <w:rFonts w:eastAsia="新細明體" w:cs="Segoe UI"/>
                <w:sz w:val="17"/>
                <w:szCs w:val="17"/>
                <w:lang w:val="en-US" w:eastAsia="zh-TW"/>
              </w:rPr>
              <w:t>。</w:t>
            </w:r>
          </w:p>
        </w:tc>
      </w:tr>
    </w:tbl>
    <w:p w14:paraId="344C5E11" w14:textId="77777777" w:rsidR="00E932DC" w:rsidRPr="00E932DC" w:rsidRDefault="00E932DC" w:rsidP="00E932DC">
      <w:pPr>
        <w:rPr>
          <w:rFonts w:eastAsia="新細明體" w:cs="Segoe UI"/>
          <w:lang w:eastAsia="zh-TW"/>
        </w:rPr>
      </w:pPr>
    </w:p>
    <w:p w14:paraId="70C18545" w14:textId="77777777" w:rsidR="00E932DC" w:rsidRPr="00E932DC" w:rsidRDefault="00E932DC" w:rsidP="00E932DC">
      <w:pPr>
        <w:rPr>
          <w:rFonts w:eastAsia="新細明體" w:cs="Segoe UI"/>
          <w:lang w:eastAsia="zh-TW"/>
        </w:rPr>
      </w:pPr>
    </w:p>
    <w:p w14:paraId="154853C7" w14:textId="77777777" w:rsidR="00E932DC" w:rsidRPr="00E932DC" w:rsidRDefault="00E932DC" w:rsidP="00E932DC">
      <w:pPr>
        <w:tabs>
          <w:tab w:val="left" w:pos="933"/>
        </w:tabs>
        <w:rPr>
          <w:rFonts w:eastAsia="新細明體" w:cs="Segoe UI"/>
          <w:u w:val="single"/>
          <w:lang w:eastAsia="zh-TW"/>
        </w:rPr>
      </w:pPr>
    </w:p>
    <w:p w14:paraId="247A4ECC" w14:textId="77777777" w:rsidR="00E932DC" w:rsidRDefault="00E932DC" w:rsidP="00272D6C">
      <w:pPr>
        <w:keepNext/>
        <w:keepLines/>
        <w:tabs>
          <w:tab w:val="left" w:pos="426"/>
        </w:tabs>
        <w:spacing w:after="360"/>
        <w:ind w:leftChars="-283" w:left="-566"/>
        <w:outlineLvl w:val="0"/>
        <w:rPr>
          <w:rFonts w:eastAsiaTheme="minorEastAsia" w:cs="Segoe UI"/>
          <w:color w:val="AA322F"/>
          <w:sz w:val="28"/>
          <w:lang w:eastAsia="zh-TW"/>
        </w:rPr>
        <w:sectPr w:rsidR="00E932DC">
          <w:footerReference w:type="default" r:id="rId93"/>
          <w:pgSz w:w="11906" w:h="16838"/>
          <w:pgMar w:top="1440" w:right="1800" w:bottom="1440" w:left="1800" w:header="851" w:footer="992" w:gutter="0"/>
          <w:cols w:space="425"/>
          <w:docGrid w:type="lines" w:linePitch="360"/>
        </w:sectPr>
      </w:pPr>
    </w:p>
    <w:p w14:paraId="609DE6DC" w14:textId="77777777" w:rsidR="00F24F39" w:rsidRPr="00F24F39" w:rsidRDefault="00F24F39" w:rsidP="00A94770">
      <w:pPr>
        <w:keepNext/>
        <w:keepLines/>
        <w:tabs>
          <w:tab w:val="num" w:pos="0"/>
          <w:tab w:val="left" w:pos="426"/>
        </w:tabs>
        <w:suppressAutoHyphens/>
        <w:spacing w:after="360"/>
        <w:ind w:left="-426"/>
        <w:outlineLvl w:val="0"/>
        <w:rPr>
          <w:rFonts w:eastAsia="細明體" w:cs="Segoe UI"/>
          <w:color w:val="AA322F"/>
          <w:sz w:val="28"/>
          <w:lang w:eastAsia="ar-SA"/>
        </w:rPr>
      </w:pPr>
      <w:r w:rsidRPr="00F24F39">
        <w:rPr>
          <w:rFonts w:eastAsia="細明體" w:cs="Segoe UI" w:hint="eastAsia"/>
          <w:color w:val="AA322F"/>
          <w:sz w:val="28"/>
          <w:lang w:eastAsia="ar-SA"/>
        </w:rPr>
        <w:t>第</w:t>
      </w:r>
      <w:r w:rsidRPr="00F24F39">
        <w:rPr>
          <w:rFonts w:eastAsia="細明體" w:cs="Segoe UI"/>
          <w:color w:val="AA322F"/>
          <w:sz w:val="28"/>
          <w:lang w:eastAsia="ar-SA"/>
        </w:rPr>
        <w:t>V</w:t>
      </w:r>
      <w:r w:rsidRPr="00F24F39">
        <w:rPr>
          <w:rFonts w:eastAsia="細明體" w:cs="Segoe UI" w:hint="eastAsia"/>
          <w:color w:val="AA322F"/>
          <w:sz w:val="28"/>
          <w:lang w:eastAsia="ar-SA"/>
        </w:rPr>
        <w:t>部：</w:t>
      </w:r>
      <w:r w:rsidRPr="00F24F39">
        <w:rPr>
          <w:rFonts w:eastAsia="細明體" w:cs="Segoe UI"/>
          <w:color w:val="AA322F"/>
          <w:sz w:val="28"/>
          <w:lang w:eastAsia="ar-SA"/>
        </w:rPr>
        <w:tab/>
      </w:r>
      <w:r w:rsidRPr="00F24F39">
        <w:rPr>
          <w:rFonts w:eastAsia="細明體" w:cs="Segoe UI" w:hint="eastAsia"/>
          <w:color w:val="AA322F"/>
          <w:sz w:val="28"/>
          <w:lang w:eastAsia="ar-SA"/>
        </w:rPr>
        <w:t>證券化類別風險承擔</w:t>
      </w:r>
    </w:p>
    <w:p w14:paraId="189473CB" w14:textId="77777777" w:rsidR="00F24F39" w:rsidRPr="00F24F39" w:rsidRDefault="00F24F39" w:rsidP="00A94770">
      <w:pPr>
        <w:suppressAutoHyphens/>
        <w:spacing w:after="120"/>
        <w:ind w:left="-426"/>
        <w:jc w:val="both"/>
        <w:rPr>
          <w:rFonts w:eastAsia="細明體" w:cs="Segoe UI"/>
          <w:lang w:eastAsia="ar-SA"/>
        </w:rPr>
      </w:pPr>
      <w:r w:rsidRPr="00F24F39">
        <w:rPr>
          <w:rFonts w:eastAsia="細明體" w:cs="Segoe UI" w:hint="eastAsia"/>
          <w:lang w:eastAsia="ar-SA"/>
        </w:rPr>
        <w:t>除文意另有要求外，證券化部分的範圍如下：</w:t>
      </w:r>
    </w:p>
    <w:p w14:paraId="122AFFED" w14:textId="4C83C5D8" w:rsidR="00F24F39" w:rsidRPr="00F24F39" w:rsidRDefault="00F24F39" w:rsidP="00D540EB">
      <w:pPr>
        <w:pStyle w:val="ListParagraph"/>
        <w:numPr>
          <w:ilvl w:val="0"/>
          <w:numId w:val="56"/>
        </w:numPr>
        <w:suppressAutoHyphens/>
        <w:spacing w:after="120"/>
        <w:ind w:leftChars="0" w:left="-426" w:firstLine="0"/>
        <w:jc w:val="both"/>
        <w:rPr>
          <w:rFonts w:eastAsia="細明體" w:cs="Segoe UI"/>
          <w:lang w:eastAsia="ar-SA"/>
        </w:rPr>
      </w:pPr>
      <w:r w:rsidRPr="00F24F39">
        <w:rPr>
          <w:rFonts w:eastAsia="細明體" w:cs="Segoe UI" w:hint="eastAsia"/>
          <w:lang w:eastAsia="ar-SA"/>
        </w:rPr>
        <w:t>表</w:t>
      </w:r>
      <w:r w:rsidRPr="00F24F39">
        <w:rPr>
          <w:rFonts w:eastAsia="細明體" w:cs="Segoe UI"/>
          <w:lang w:eastAsia="ar-SA"/>
        </w:rPr>
        <w:t>SECA</w:t>
      </w:r>
      <w:r w:rsidRPr="00F24F39">
        <w:rPr>
          <w:rFonts w:eastAsia="細明體" w:cs="Segoe UI" w:hint="eastAsia"/>
          <w:lang w:eastAsia="ar-SA"/>
        </w:rPr>
        <w:t>及模版</w:t>
      </w:r>
      <w:r w:rsidRPr="00F24F39">
        <w:rPr>
          <w:rFonts w:eastAsia="細明體" w:cs="Segoe UI"/>
          <w:lang w:eastAsia="ar-SA"/>
        </w:rPr>
        <w:t>SEC1</w:t>
      </w:r>
      <w:r w:rsidRPr="00F24F39">
        <w:rPr>
          <w:rFonts w:eastAsia="細明體" w:cs="Segoe UI" w:hint="eastAsia"/>
          <w:lang w:eastAsia="ar-SA"/>
        </w:rPr>
        <w:t>與</w:t>
      </w:r>
      <w:r w:rsidRPr="00F24F39">
        <w:rPr>
          <w:rFonts w:eastAsia="細明體" w:cs="Segoe UI"/>
          <w:lang w:eastAsia="ar-SA"/>
        </w:rPr>
        <w:t>SEC2</w:t>
      </w:r>
      <w:r w:rsidRPr="00F24F39">
        <w:rPr>
          <w:rFonts w:eastAsia="細明體" w:cs="Segoe UI" w:hint="eastAsia"/>
          <w:lang w:eastAsia="ar-SA"/>
        </w:rPr>
        <w:t>涵蓋《資本規則》界定的所有證券化類別風險承擔。</w:t>
      </w:r>
    </w:p>
    <w:p w14:paraId="16A8DE06" w14:textId="40BA5DFB" w:rsidR="00F24F39" w:rsidRPr="00F24F39" w:rsidRDefault="00F24F39" w:rsidP="00D540EB">
      <w:pPr>
        <w:pStyle w:val="ListParagraph"/>
        <w:numPr>
          <w:ilvl w:val="0"/>
          <w:numId w:val="56"/>
        </w:numPr>
        <w:suppressAutoHyphens/>
        <w:spacing w:after="120"/>
        <w:ind w:leftChars="0" w:left="0" w:hanging="426"/>
        <w:jc w:val="both"/>
        <w:rPr>
          <w:rFonts w:eastAsia="細明體" w:cs="Segoe UI"/>
          <w:lang w:eastAsia="ar-SA"/>
        </w:rPr>
      </w:pPr>
      <w:r w:rsidRPr="00F24F39">
        <w:rPr>
          <w:rFonts w:eastAsia="細明體" w:cs="Segoe UI" w:hint="eastAsia"/>
          <w:lang w:eastAsia="ar-SA"/>
        </w:rPr>
        <w:t>模版</w:t>
      </w:r>
      <w:r w:rsidRPr="00F24F39">
        <w:rPr>
          <w:rFonts w:eastAsia="細明體" w:cs="Segoe UI"/>
          <w:lang w:eastAsia="ar-SA"/>
        </w:rPr>
        <w:t>SEC3</w:t>
      </w:r>
      <w:r w:rsidRPr="00F24F39">
        <w:rPr>
          <w:rFonts w:eastAsia="細明體" w:cs="Segoe UI" w:hint="eastAsia"/>
          <w:lang w:eastAsia="ar-SA"/>
        </w:rPr>
        <w:t>及</w:t>
      </w:r>
      <w:r w:rsidRPr="00F24F39">
        <w:rPr>
          <w:rFonts w:eastAsia="細明體" w:cs="Segoe UI"/>
          <w:lang w:eastAsia="ar-SA"/>
        </w:rPr>
        <w:t>SEC4</w:t>
      </w:r>
      <w:r w:rsidRPr="00F24F39">
        <w:rPr>
          <w:rFonts w:eastAsia="細明體" w:cs="Segoe UI" w:hint="eastAsia"/>
          <w:lang w:eastAsia="ar-SA"/>
        </w:rPr>
        <w:t>涵蓋根據《資本規則》第</w:t>
      </w:r>
      <w:r w:rsidRPr="00F24F39">
        <w:rPr>
          <w:rFonts w:eastAsia="細明體" w:cs="Segoe UI"/>
          <w:lang w:eastAsia="ar-SA"/>
        </w:rPr>
        <w:t>7</w:t>
      </w:r>
      <w:r w:rsidRPr="00F24F39">
        <w:rPr>
          <w:rFonts w:eastAsia="細明體" w:cs="Segoe UI" w:hint="eastAsia"/>
          <w:lang w:eastAsia="ar-SA"/>
        </w:rPr>
        <w:t>部證券化框架下須計算資本規定的銀行帳內證券化類別風險承擔，</w:t>
      </w:r>
      <w:r w:rsidR="00872CF6">
        <w:rPr>
          <w:rFonts w:eastAsia="細明體" w:cs="Segoe UI" w:hint="eastAsia"/>
          <w:lang w:eastAsia="zh-HK"/>
        </w:rPr>
        <w:t>不包括</w:t>
      </w:r>
      <w:r w:rsidRPr="00F24F39">
        <w:rPr>
          <w:rFonts w:eastAsia="細明體" w:cs="Segoe UI" w:hint="eastAsia"/>
          <w:lang w:eastAsia="ar-SA"/>
        </w:rPr>
        <w:t>受《資本規則》第</w:t>
      </w:r>
      <w:r w:rsidRPr="00F24F39">
        <w:rPr>
          <w:rFonts w:eastAsia="細明體" w:cs="Segoe UI"/>
          <w:lang w:eastAsia="ar-SA"/>
        </w:rPr>
        <w:t>8</w:t>
      </w:r>
      <w:r w:rsidRPr="00F24F39">
        <w:rPr>
          <w:rFonts w:eastAsia="細明體" w:cs="Segoe UI" w:hint="eastAsia"/>
          <w:lang w:eastAsia="ar-SA"/>
        </w:rPr>
        <w:t>部規限而在本文件第</w:t>
      </w:r>
      <w:r w:rsidRPr="00F24F39">
        <w:rPr>
          <w:rFonts w:eastAsia="細明體" w:cs="Segoe UI"/>
          <w:lang w:eastAsia="ar-SA"/>
        </w:rPr>
        <w:t>VI</w:t>
      </w:r>
      <w:r w:rsidRPr="00F24F39">
        <w:rPr>
          <w:rFonts w:eastAsia="細明體" w:cs="Segoe UI" w:hint="eastAsia"/>
          <w:lang w:eastAsia="ar-SA"/>
        </w:rPr>
        <w:t>部（即市場風險部分）填報的交易帳內證券化持倉。</w:t>
      </w:r>
    </w:p>
    <w:p w14:paraId="62220339" w14:textId="5794D2FC" w:rsidR="00F24F39" w:rsidRPr="00F24F39" w:rsidRDefault="00F24F39" w:rsidP="00A94770">
      <w:pPr>
        <w:suppressAutoHyphens/>
        <w:spacing w:after="120"/>
        <w:ind w:left="-426"/>
        <w:jc w:val="both"/>
        <w:rPr>
          <w:rFonts w:eastAsia="細明體" w:cs="Segoe UI"/>
          <w:lang w:eastAsia="ar-SA"/>
        </w:rPr>
      </w:pPr>
      <w:r w:rsidRPr="00F24F39">
        <w:rPr>
          <w:rFonts w:eastAsia="細明體" w:cs="Segoe UI" w:hint="eastAsia"/>
          <w:lang w:eastAsia="ar-SA"/>
        </w:rPr>
        <w:t>認可機構應以模版</w:t>
      </w:r>
      <w:r w:rsidRPr="00F24F39">
        <w:rPr>
          <w:rFonts w:eastAsia="細明體" w:cs="Segoe UI"/>
          <w:lang w:eastAsia="ar-SA"/>
        </w:rPr>
        <w:t>SEC3</w:t>
      </w:r>
      <w:r w:rsidRPr="00F24F39">
        <w:rPr>
          <w:rFonts w:eastAsia="細明體" w:cs="Segoe UI" w:hint="eastAsia"/>
          <w:lang w:eastAsia="ar-SA"/>
        </w:rPr>
        <w:t>披露合資格證券化交易產生的證券化類別風險承擔。</w:t>
      </w:r>
      <w:r w:rsidRPr="00F24F39">
        <w:rPr>
          <w:rFonts w:eastAsia="細明體" w:cs="Segoe UI"/>
          <w:lang w:eastAsia="ar-SA"/>
        </w:rPr>
        <w:t xml:space="preserve"> </w:t>
      </w:r>
      <w:r w:rsidRPr="00F24F39">
        <w:rPr>
          <w:rFonts w:eastAsia="細明體" w:cs="Segoe UI" w:hint="eastAsia"/>
          <w:lang w:eastAsia="ar-SA"/>
        </w:rPr>
        <w:t>反之，證券化類別風險承擔於模版</w:t>
      </w:r>
      <w:r w:rsidRPr="00F24F39">
        <w:rPr>
          <w:rFonts w:eastAsia="細明體" w:cs="Segoe UI"/>
          <w:lang w:eastAsia="ar-SA"/>
        </w:rPr>
        <w:t>SEC1</w:t>
      </w:r>
      <w:r w:rsidRPr="00F24F39">
        <w:rPr>
          <w:rFonts w:eastAsia="細明體" w:cs="Segoe UI" w:hint="eastAsia"/>
          <w:lang w:eastAsia="ar-SA"/>
        </w:rPr>
        <w:t>、</w:t>
      </w:r>
      <w:r w:rsidRPr="00F24F39">
        <w:rPr>
          <w:rFonts w:eastAsia="細明體" w:cs="Segoe UI"/>
          <w:lang w:eastAsia="ar-SA"/>
        </w:rPr>
        <w:t>SEC2</w:t>
      </w:r>
      <w:r w:rsidRPr="00F24F39">
        <w:rPr>
          <w:rFonts w:eastAsia="細明體" w:cs="Segoe UI" w:hint="eastAsia"/>
          <w:lang w:eastAsia="ar-SA"/>
        </w:rPr>
        <w:t>及</w:t>
      </w:r>
      <w:r w:rsidRPr="00F24F39">
        <w:rPr>
          <w:rFonts w:eastAsia="細明體" w:cs="Segoe UI"/>
          <w:lang w:eastAsia="ar-SA"/>
        </w:rPr>
        <w:t>SEC4</w:t>
      </w:r>
      <w:r w:rsidRPr="00F24F39">
        <w:rPr>
          <w:rFonts w:eastAsia="細明體" w:cs="Segoe UI" w:hint="eastAsia"/>
          <w:lang w:eastAsia="ar-SA"/>
        </w:rPr>
        <w:t>的填報則應按照各自的披露規定，而不論該風險承擔是由合資格證券化交易或非合資格證券化交易產生。</w:t>
      </w:r>
    </w:p>
    <w:p w14:paraId="1872ADD7" w14:textId="77777777" w:rsidR="00F24F39" w:rsidRPr="00F24F39" w:rsidRDefault="00F24F39" w:rsidP="00F24F39">
      <w:pPr>
        <w:suppressAutoHyphens/>
        <w:spacing w:after="120"/>
        <w:ind w:left="-566"/>
        <w:jc w:val="both"/>
        <w:rPr>
          <w:rFonts w:eastAsia="細明體" w:cs="Segoe UI"/>
          <w:lang w:eastAsia="ar-SA"/>
        </w:rPr>
      </w:pPr>
    </w:p>
    <w:p w14:paraId="199CB88B" w14:textId="3F2CA4BA" w:rsidR="00BA6AF5" w:rsidRPr="00BA6AF5" w:rsidRDefault="00BA6AF5" w:rsidP="00BA6AF5">
      <w:pPr>
        <w:pStyle w:val="Heading2"/>
        <w:keepNext w:val="0"/>
        <w:suppressAutoHyphens w:val="0"/>
        <w:spacing w:before="40" w:line="240" w:lineRule="auto"/>
        <w:ind w:left="-454"/>
        <w:rPr>
          <w:rFonts w:ascii="細明體" w:eastAsia="細明體" w:hAnsi="細明體" w:cs="微軟正黑體"/>
          <w:b w:val="0"/>
          <w:bCs w:val="0"/>
          <w:sz w:val="22"/>
          <w:szCs w:val="20"/>
          <w:lang w:eastAsia="zh-TW"/>
        </w:rPr>
      </w:pPr>
      <w:r w:rsidRPr="00BA6AF5">
        <w:rPr>
          <w:rFonts w:ascii="細明體" w:eastAsia="細明體" w:hAnsi="細明體" w:cs="微軟正黑體" w:hint="eastAsia"/>
          <w:b w:val="0"/>
          <w:bCs w:val="0"/>
          <w:sz w:val="22"/>
          <w:szCs w:val="20"/>
          <w:lang w:eastAsia="zh-TW"/>
        </w:rPr>
        <w:t>表</w:t>
      </w:r>
      <w:r w:rsidRPr="00BA6AF5">
        <w:rPr>
          <w:rFonts w:ascii="Segoe UI" w:eastAsia="細明體" w:hAnsi="Segoe UI" w:cs="Segoe UI"/>
          <w:b w:val="0"/>
          <w:bCs w:val="0"/>
          <w:sz w:val="22"/>
          <w:szCs w:val="20"/>
          <w:lang w:eastAsia="zh-TW"/>
        </w:rPr>
        <w:t>SECA</w:t>
      </w:r>
      <w:r w:rsidRPr="00BA6AF5">
        <w:rPr>
          <w:rFonts w:ascii="細明體" w:eastAsia="細明體" w:hAnsi="細明體" w:cs="微軟正黑體" w:hint="eastAsia"/>
          <w:b w:val="0"/>
          <w:bCs w:val="0"/>
          <w:sz w:val="22"/>
          <w:szCs w:val="20"/>
          <w:lang w:eastAsia="zh-TW"/>
        </w:rPr>
        <w:t>：關於證券化類別風險承擔的描述披露</w:t>
      </w:r>
    </w:p>
    <w:tbl>
      <w:tblPr>
        <w:tblW w:w="8823" w:type="dxa"/>
        <w:tblInd w:w="-459" w:type="dxa"/>
        <w:tblLayout w:type="fixed"/>
        <w:tblLook w:val="0000" w:firstRow="0" w:lastRow="0" w:firstColumn="0" w:lastColumn="0" w:noHBand="0" w:noVBand="0"/>
      </w:tblPr>
      <w:tblGrid>
        <w:gridCol w:w="2160"/>
        <w:gridCol w:w="6663"/>
      </w:tblGrid>
      <w:tr w:rsidR="00F24F39" w:rsidRPr="00F24F39" w14:paraId="696E02CB" w14:textId="77777777" w:rsidTr="00C34D94">
        <w:tc>
          <w:tcPr>
            <w:tcW w:w="2160" w:type="dxa"/>
            <w:tcBorders>
              <w:top w:val="single" w:sz="4" w:space="0" w:color="000000"/>
              <w:bottom w:val="single" w:sz="4" w:space="0" w:color="000000"/>
            </w:tcBorders>
            <w:shd w:val="clear" w:color="auto" w:fill="auto"/>
          </w:tcPr>
          <w:p w14:paraId="0436D56A"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lang w:eastAsia="ar-SA"/>
              </w:rPr>
              <w:t>目的：</w:t>
            </w:r>
          </w:p>
        </w:tc>
        <w:tc>
          <w:tcPr>
            <w:tcW w:w="6663" w:type="dxa"/>
            <w:tcBorders>
              <w:top w:val="single" w:sz="4" w:space="0" w:color="000000"/>
              <w:left w:val="single" w:sz="4" w:space="0" w:color="000000"/>
              <w:bottom w:val="single" w:sz="4" w:space="0" w:color="000000"/>
            </w:tcBorders>
            <w:shd w:val="clear" w:color="auto" w:fill="auto"/>
          </w:tcPr>
          <w:p w14:paraId="46A60080"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就證券化類別活動的策略及風險管理，提供描述資料。</w:t>
            </w:r>
          </w:p>
        </w:tc>
      </w:tr>
      <w:tr w:rsidR="00F24F39" w:rsidRPr="00F24F39" w14:paraId="5B7D2E4B" w14:textId="77777777" w:rsidTr="00C34D94">
        <w:tc>
          <w:tcPr>
            <w:tcW w:w="2160" w:type="dxa"/>
            <w:tcBorders>
              <w:top w:val="single" w:sz="4" w:space="0" w:color="000000"/>
              <w:bottom w:val="single" w:sz="4" w:space="0" w:color="000000"/>
            </w:tcBorders>
            <w:shd w:val="clear" w:color="auto" w:fill="auto"/>
          </w:tcPr>
          <w:p w14:paraId="3C6E0CD9"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lang w:eastAsia="ar-SA"/>
              </w:rPr>
              <w:t>適用範圍：</w:t>
            </w:r>
          </w:p>
        </w:tc>
        <w:tc>
          <w:tcPr>
            <w:tcW w:w="6663" w:type="dxa"/>
            <w:tcBorders>
              <w:top w:val="single" w:sz="4" w:space="0" w:color="000000"/>
              <w:left w:val="single" w:sz="4" w:space="0" w:color="000000"/>
              <w:bottom w:val="single" w:sz="4" w:space="0" w:color="000000"/>
            </w:tcBorders>
            <w:shd w:val="clear" w:color="auto" w:fill="auto"/>
          </w:tcPr>
          <w:p w14:paraId="64EFB845"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所有在香港成立為法團</w:t>
            </w:r>
            <w:r w:rsidRPr="00F24F39">
              <w:rPr>
                <w:rFonts w:eastAsia="細明體" w:cs="Segoe UI" w:hint="eastAsia"/>
                <w:sz w:val="17"/>
                <w:lang w:eastAsia="zh-TW"/>
              </w:rPr>
              <w:t>並持有證券化類別風險承擔</w:t>
            </w:r>
            <w:r w:rsidRPr="00F24F39">
              <w:rPr>
                <w:rFonts w:eastAsia="細明體" w:cs="Segoe UI" w:hint="eastAsia"/>
                <w:sz w:val="17"/>
                <w:lang w:eastAsia="ar-SA"/>
              </w:rPr>
              <w:t>的認可機構</w:t>
            </w:r>
            <w:r w:rsidRPr="00F24F39">
              <w:rPr>
                <w:rFonts w:eastAsia="細明體" w:cs="Segoe UI" w:hint="eastAsia"/>
                <w:sz w:val="17"/>
                <w:lang w:val="fr-FR" w:eastAsia="ar-SA"/>
              </w:rPr>
              <w:t>，</w:t>
            </w:r>
            <w:r w:rsidRPr="00F24F39">
              <w:rPr>
                <w:rFonts w:eastAsia="細明體" w:cs="Segoe UI" w:hint="eastAsia"/>
                <w:sz w:val="17"/>
                <w:lang w:eastAsia="ar-SA"/>
              </w:rPr>
              <w:t>均須填報本表。</w:t>
            </w:r>
          </w:p>
        </w:tc>
      </w:tr>
      <w:tr w:rsidR="00F24F39" w:rsidRPr="00F24F39" w14:paraId="738BFD4F" w14:textId="77777777" w:rsidTr="00C34D94">
        <w:tc>
          <w:tcPr>
            <w:tcW w:w="2160" w:type="dxa"/>
            <w:tcBorders>
              <w:top w:val="single" w:sz="4" w:space="0" w:color="000000"/>
              <w:bottom w:val="single" w:sz="4" w:space="0" w:color="000000"/>
            </w:tcBorders>
            <w:shd w:val="clear" w:color="auto" w:fill="auto"/>
          </w:tcPr>
          <w:p w14:paraId="6C65DD6B"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lang w:eastAsia="ar-SA"/>
              </w:rPr>
              <w:t>內容：</w:t>
            </w:r>
          </w:p>
        </w:tc>
        <w:tc>
          <w:tcPr>
            <w:tcW w:w="6663" w:type="dxa"/>
            <w:tcBorders>
              <w:top w:val="single" w:sz="4" w:space="0" w:color="000000"/>
              <w:left w:val="single" w:sz="4" w:space="0" w:color="000000"/>
              <w:bottom w:val="single" w:sz="4" w:space="0" w:color="000000"/>
            </w:tcBorders>
            <w:shd w:val="clear" w:color="auto" w:fill="auto"/>
          </w:tcPr>
          <w:p w14:paraId="1AEC3A79"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描述資料。</w:t>
            </w:r>
          </w:p>
        </w:tc>
      </w:tr>
      <w:tr w:rsidR="00F24F39" w:rsidRPr="00F24F39" w14:paraId="1C45B3B8" w14:textId="77777777" w:rsidTr="00C34D94">
        <w:tc>
          <w:tcPr>
            <w:tcW w:w="2160" w:type="dxa"/>
            <w:tcBorders>
              <w:top w:val="single" w:sz="4" w:space="0" w:color="000000"/>
              <w:bottom w:val="single" w:sz="4" w:space="0" w:color="000000"/>
            </w:tcBorders>
            <w:shd w:val="clear" w:color="auto" w:fill="auto"/>
          </w:tcPr>
          <w:p w14:paraId="5C81B93B"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lang w:eastAsia="ar-SA"/>
              </w:rPr>
              <w:t>頻密程度：</w:t>
            </w:r>
          </w:p>
        </w:tc>
        <w:tc>
          <w:tcPr>
            <w:tcW w:w="6663" w:type="dxa"/>
            <w:tcBorders>
              <w:top w:val="single" w:sz="4" w:space="0" w:color="000000"/>
              <w:left w:val="single" w:sz="4" w:space="0" w:color="000000"/>
              <w:bottom w:val="single" w:sz="4" w:space="0" w:color="000000"/>
            </w:tcBorders>
            <w:shd w:val="clear" w:color="auto" w:fill="auto"/>
          </w:tcPr>
          <w:p w14:paraId="77ABFE3F"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每年一次。</w:t>
            </w:r>
          </w:p>
        </w:tc>
      </w:tr>
      <w:tr w:rsidR="00F24F39" w:rsidRPr="00F24F39" w14:paraId="1EAB81B5" w14:textId="77777777" w:rsidTr="00C34D94">
        <w:tc>
          <w:tcPr>
            <w:tcW w:w="2160" w:type="dxa"/>
            <w:tcBorders>
              <w:top w:val="single" w:sz="4" w:space="0" w:color="000000"/>
              <w:bottom w:val="single" w:sz="4" w:space="0" w:color="000000"/>
            </w:tcBorders>
            <w:shd w:val="clear" w:color="auto" w:fill="auto"/>
          </w:tcPr>
          <w:p w14:paraId="390C64FF"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lang w:eastAsia="ar-SA"/>
              </w:rPr>
              <w:t>格式：</w:t>
            </w:r>
          </w:p>
        </w:tc>
        <w:tc>
          <w:tcPr>
            <w:tcW w:w="6663" w:type="dxa"/>
            <w:tcBorders>
              <w:top w:val="single" w:sz="4" w:space="0" w:color="000000"/>
              <w:left w:val="single" w:sz="4" w:space="0" w:color="000000"/>
              <w:bottom w:val="single" w:sz="4" w:space="0" w:color="000000"/>
            </w:tcBorders>
            <w:shd w:val="clear" w:color="auto" w:fill="auto"/>
          </w:tcPr>
          <w:p w14:paraId="2B8B6B98"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非固定。</w:t>
            </w:r>
            <w:r w:rsidRPr="00F24F39">
              <w:rPr>
                <w:rFonts w:eastAsia="細明體" w:cs="Segoe UI"/>
                <w:sz w:val="17"/>
                <w:lang w:eastAsia="ar-SA"/>
              </w:rPr>
              <w:t xml:space="preserve"> </w:t>
            </w:r>
          </w:p>
        </w:tc>
      </w:tr>
      <w:tr w:rsidR="00F24F39" w:rsidRPr="00F24F39" w14:paraId="747E585A" w14:textId="77777777" w:rsidTr="00C34D94">
        <w:tc>
          <w:tcPr>
            <w:tcW w:w="2160" w:type="dxa"/>
            <w:tcBorders>
              <w:top w:val="single" w:sz="4" w:space="0" w:color="000000"/>
              <w:bottom w:val="single" w:sz="4" w:space="0" w:color="000000"/>
            </w:tcBorders>
            <w:shd w:val="clear" w:color="auto" w:fill="auto"/>
          </w:tcPr>
          <w:p w14:paraId="349BCE47"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lang w:eastAsia="ar-SA"/>
              </w:rPr>
              <w:t>《披露規則》相應條文：</w:t>
            </w:r>
          </w:p>
        </w:tc>
        <w:tc>
          <w:tcPr>
            <w:tcW w:w="6663" w:type="dxa"/>
            <w:tcBorders>
              <w:top w:val="single" w:sz="4" w:space="0" w:color="000000"/>
              <w:left w:val="single" w:sz="4" w:space="0" w:color="000000"/>
              <w:bottom w:val="single" w:sz="4" w:space="0" w:color="000000"/>
            </w:tcBorders>
            <w:shd w:val="clear" w:color="auto" w:fill="auto"/>
          </w:tcPr>
          <w:p w14:paraId="5845453F" w14:textId="77777777" w:rsidR="00F24F39" w:rsidRPr="00F24F39" w:rsidRDefault="00F24F39" w:rsidP="00F24F39">
            <w:pPr>
              <w:suppressAutoHyphens/>
              <w:spacing w:before="40" w:after="40"/>
              <w:jc w:val="both"/>
              <w:rPr>
                <w:rFonts w:cs="Segoe UI"/>
                <w:lang w:eastAsia="ar-SA"/>
              </w:rPr>
            </w:pPr>
            <w:r w:rsidRPr="00F24F39">
              <w:rPr>
                <w:rFonts w:eastAsia="細明體" w:cs="Segoe UI"/>
                <w:sz w:val="17"/>
                <w:lang w:eastAsia="ar-SA"/>
              </w:rPr>
              <w:t>16ZE</w:t>
            </w:r>
          </w:p>
        </w:tc>
      </w:tr>
    </w:tbl>
    <w:p w14:paraId="2E106610" w14:textId="77777777" w:rsidR="00F24F39" w:rsidRPr="00F24F39" w:rsidRDefault="00F24F39" w:rsidP="00E616E8">
      <w:pPr>
        <w:suppressAutoHyphens/>
        <w:rPr>
          <w:rFonts w:eastAsia="細明體" w:cs="Segoe UI"/>
          <w:sz w:val="22"/>
          <w:lang w:eastAsia="ar-SA"/>
        </w:rPr>
      </w:pPr>
    </w:p>
    <w:tbl>
      <w:tblPr>
        <w:tblW w:w="8931" w:type="dxa"/>
        <w:tblInd w:w="-497" w:type="dxa"/>
        <w:tblLayout w:type="fixed"/>
        <w:tblCellMar>
          <w:left w:w="70" w:type="dxa"/>
          <w:right w:w="70" w:type="dxa"/>
        </w:tblCellMar>
        <w:tblLook w:val="0000" w:firstRow="0" w:lastRow="0" w:firstColumn="0" w:lastColumn="0" w:noHBand="0" w:noVBand="0"/>
      </w:tblPr>
      <w:tblGrid>
        <w:gridCol w:w="425"/>
        <w:gridCol w:w="8506"/>
      </w:tblGrid>
      <w:tr w:rsidR="00F24F39" w:rsidRPr="00F24F39" w14:paraId="12351CFB" w14:textId="77777777" w:rsidTr="00914927">
        <w:trPr>
          <w:trHeight w:val="282"/>
        </w:trPr>
        <w:tc>
          <w:tcPr>
            <w:tcW w:w="8931" w:type="dxa"/>
            <w:gridSpan w:val="2"/>
            <w:tcBorders>
              <w:top w:val="single" w:sz="4" w:space="0" w:color="000000"/>
              <w:bottom w:val="single" w:sz="4" w:space="0" w:color="000000"/>
            </w:tcBorders>
            <w:shd w:val="clear" w:color="auto" w:fill="auto"/>
            <w:vAlign w:val="center"/>
          </w:tcPr>
          <w:p w14:paraId="462846E8" w14:textId="77777777" w:rsidR="00F24F39" w:rsidRPr="00F24F39" w:rsidRDefault="00F24F39" w:rsidP="00F24F39">
            <w:pPr>
              <w:suppressAutoHyphens/>
              <w:spacing w:before="20" w:after="20"/>
              <w:jc w:val="both"/>
              <w:rPr>
                <w:rFonts w:cs="Segoe UI"/>
                <w:lang w:eastAsia="ar-SA"/>
              </w:rPr>
            </w:pPr>
            <w:r w:rsidRPr="00F24F39">
              <w:rPr>
                <w:rFonts w:eastAsia="細明體" w:cs="Segoe UI" w:hint="eastAsia"/>
                <w:sz w:val="17"/>
                <w:lang w:eastAsia="ar-SA"/>
              </w:rPr>
              <w:t>認可機構</w:t>
            </w:r>
            <w:r w:rsidRPr="00F24F39">
              <w:rPr>
                <w:rFonts w:eastAsia="細明體" w:cs="Segoe UI" w:hint="eastAsia"/>
                <w:sz w:val="17"/>
                <w:lang w:val="fr-FR" w:eastAsia="ar-SA"/>
              </w:rPr>
              <w:t>應按照以下框架</w:t>
            </w:r>
            <w:r w:rsidRPr="00F24F39">
              <w:rPr>
                <w:rFonts w:eastAsia="細明體" w:cs="Segoe UI" w:hint="eastAsia"/>
                <w:sz w:val="17"/>
                <w:lang w:val="fr-FR" w:eastAsia="zh-TW"/>
              </w:rPr>
              <w:t>描述其</w:t>
            </w:r>
            <w:r w:rsidRPr="00F24F39">
              <w:rPr>
                <w:rFonts w:eastAsia="細明體" w:cs="Segoe UI" w:hint="eastAsia"/>
                <w:sz w:val="17"/>
                <w:lang w:eastAsia="ar-SA"/>
              </w:rPr>
              <w:t>證券化交易的風險管理目標及政</w:t>
            </w:r>
            <w:r w:rsidRPr="00F24F39">
              <w:rPr>
                <w:rFonts w:eastAsia="細明體" w:cs="Segoe UI" w:hint="eastAsia"/>
                <w:sz w:val="17"/>
                <w:lang w:val="fr-FR" w:eastAsia="ar-SA"/>
              </w:rPr>
              <w:t>策，及該等活動的主要特點（如認可機構持有的證券化持倉</w:t>
            </w:r>
            <w:r w:rsidRPr="00F24F39">
              <w:rPr>
                <w:rFonts w:eastAsia="細明體" w:cs="Segoe UI" w:hint="eastAsia"/>
                <w:sz w:val="17"/>
                <w:lang w:val="fr-FR" w:eastAsia="zh-TW"/>
              </w:rPr>
              <w:t>同時</w:t>
            </w:r>
            <w:r w:rsidRPr="00F24F39">
              <w:rPr>
                <w:rFonts w:eastAsia="細明體" w:cs="Segoe UI" w:hint="eastAsia"/>
                <w:sz w:val="17"/>
                <w:lang w:val="fr-FR" w:eastAsia="ar-SA"/>
              </w:rPr>
              <w:t>反映在監管銀行帳及監管交易帳</w:t>
            </w:r>
            <w:r w:rsidRPr="00F24F39">
              <w:rPr>
                <w:rFonts w:eastAsia="細明體" w:cs="Segoe UI" w:hint="eastAsia"/>
                <w:sz w:val="17"/>
                <w:szCs w:val="17"/>
                <w:lang w:eastAsia="ar-SA"/>
              </w:rPr>
              <w:t>內</w:t>
            </w:r>
            <w:r w:rsidRPr="00F24F39">
              <w:rPr>
                <w:rFonts w:eastAsia="細明體" w:cs="Segoe UI" w:hint="eastAsia"/>
                <w:sz w:val="17"/>
                <w:szCs w:val="17"/>
                <w:lang w:eastAsia="zh-TW"/>
              </w:rPr>
              <w:t>，在</w:t>
            </w:r>
            <w:r w:rsidRPr="00F24F39">
              <w:rPr>
                <w:rFonts w:eastAsia="細明體" w:cs="Segoe UI" w:hint="eastAsia"/>
                <w:sz w:val="17"/>
                <w:lang w:val="fr-FR" w:eastAsia="zh-TW"/>
              </w:rPr>
              <w:t>描述</w:t>
            </w:r>
            <w:r w:rsidRPr="00F24F39">
              <w:rPr>
                <w:rFonts w:eastAsia="細明體" w:cs="Segoe UI" w:hint="eastAsia"/>
                <w:sz w:val="17"/>
                <w:lang w:val="fr-FR" w:eastAsia="ar-SA"/>
              </w:rPr>
              <w:t>以下各點</w:t>
            </w:r>
            <w:r w:rsidRPr="00F24F39">
              <w:rPr>
                <w:rFonts w:eastAsia="細明體" w:cs="Segoe UI" w:hint="eastAsia"/>
                <w:sz w:val="17"/>
                <w:lang w:val="fr-FR" w:eastAsia="zh-TW"/>
              </w:rPr>
              <w:t>時</w:t>
            </w:r>
            <w:r w:rsidRPr="00F24F39">
              <w:rPr>
                <w:rFonts w:eastAsia="細明體" w:cs="Segoe UI" w:hint="eastAsia"/>
                <w:sz w:val="17"/>
                <w:lang w:val="fr-FR" w:eastAsia="ar-SA"/>
              </w:rPr>
              <w:t>應</w:t>
            </w:r>
            <w:r w:rsidRPr="00F24F39">
              <w:rPr>
                <w:rFonts w:eastAsia="細明體" w:cs="Segoe UI" w:hint="eastAsia"/>
                <w:sz w:val="17"/>
                <w:lang w:val="fr-FR" w:eastAsia="zh-TW"/>
              </w:rPr>
              <w:t>把各</w:t>
            </w:r>
            <w:r w:rsidRPr="00F24F39">
              <w:rPr>
                <w:rFonts w:eastAsia="細明體" w:cs="Segoe UI" w:hint="eastAsia"/>
                <w:sz w:val="17"/>
                <w:lang w:val="fr-FR" w:eastAsia="ar-SA"/>
              </w:rPr>
              <w:t>監管帳的活動區分）：</w:t>
            </w:r>
          </w:p>
        </w:tc>
      </w:tr>
      <w:tr w:rsidR="00F24F39" w:rsidRPr="00F24F39" w14:paraId="7A4E2DD3" w14:textId="77777777" w:rsidTr="00914927">
        <w:trPr>
          <w:trHeight w:val="300"/>
        </w:trPr>
        <w:tc>
          <w:tcPr>
            <w:tcW w:w="425" w:type="dxa"/>
            <w:tcBorders>
              <w:top w:val="single" w:sz="4" w:space="0" w:color="000000"/>
              <w:bottom w:val="single" w:sz="4" w:space="0" w:color="000000"/>
            </w:tcBorders>
            <w:shd w:val="clear" w:color="auto" w:fill="auto"/>
          </w:tcPr>
          <w:p w14:paraId="1AA595D6" w14:textId="77777777" w:rsidR="00F24F39" w:rsidRPr="00F24F39" w:rsidRDefault="00F24F39" w:rsidP="00F24F39">
            <w:pPr>
              <w:suppressAutoHyphens/>
              <w:spacing w:before="20" w:after="20"/>
              <w:jc w:val="both"/>
              <w:rPr>
                <w:rFonts w:eastAsia="細明體" w:cs="Segoe UI"/>
                <w:sz w:val="17"/>
                <w:lang w:eastAsia="ar-SA"/>
              </w:rPr>
            </w:pPr>
            <w:r w:rsidRPr="00F24F39">
              <w:rPr>
                <w:rFonts w:eastAsia="細明體" w:cs="Segoe UI"/>
                <w:sz w:val="17"/>
                <w:lang w:eastAsia="ar-SA"/>
              </w:rPr>
              <w:t>(a)</w:t>
            </w:r>
          </w:p>
        </w:tc>
        <w:tc>
          <w:tcPr>
            <w:tcW w:w="8506" w:type="dxa"/>
            <w:tcBorders>
              <w:top w:val="single" w:sz="4" w:space="0" w:color="000000"/>
              <w:bottom w:val="single" w:sz="4" w:space="0" w:color="000000"/>
            </w:tcBorders>
            <w:shd w:val="clear" w:color="auto" w:fill="auto"/>
            <w:vAlign w:val="bottom"/>
          </w:tcPr>
          <w:p w14:paraId="5D72059D"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證券化交易的目</w:t>
            </w:r>
            <w:r w:rsidRPr="00F24F39">
              <w:rPr>
                <w:rFonts w:eastAsia="細明體" w:cs="Segoe UI" w:hint="eastAsia"/>
                <w:sz w:val="17"/>
                <w:lang w:eastAsia="zh-TW"/>
              </w:rPr>
              <w:t>標</w:t>
            </w:r>
            <w:r w:rsidRPr="00F24F39">
              <w:rPr>
                <w:rFonts w:eastAsia="細明體" w:cs="Segoe UI" w:hint="eastAsia"/>
                <w:sz w:val="17"/>
                <w:lang w:eastAsia="ar-SA"/>
              </w:rPr>
              <w:t>，包括該等交易在何種程度上將證券化</w:t>
            </w:r>
            <w:r w:rsidRPr="00F24F39">
              <w:rPr>
                <w:rFonts w:eastAsia="細明體" w:cs="Segoe UI" w:hint="eastAsia"/>
                <w:sz w:val="17"/>
                <w:lang w:eastAsia="zh-TW"/>
              </w:rPr>
              <w:t>組成項目</w:t>
            </w:r>
            <w:r w:rsidRPr="00F24F39">
              <w:rPr>
                <w:rFonts w:eastAsia="細明體" w:cs="Segoe UI" w:hint="eastAsia"/>
                <w:sz w:val="17"/>
                <w:lang w:eastAsia="ar-SA"/>
              </w:rPr>
              <w:t>的信用風險由認可機構轉移至其他實體、承</w:t>
            </w:r>
            <w:r w:rsidRPr="00F24F39">
              <w:rPr>
                <w:rFonts w:eastAsia="細明體" w:cs="Segoe UI" w:hint="eastAsia"/>
                <w:sz w:val="17"/>
                <w:lang w:eastAsia="zh-TW"/>
              </w:rPr>
              <w:t>擔</w:t>
            </w:r>
            <w:r w:rsidRPr="00F24F39">
              <w:rPr>
                <w:rFonts w:eastAsia="細明體" w:cs="Segoe UI" w:hint="eastAsia"/>
                <w:sz w:val="17"/>
                <w:lang w:eastAsia="ar-SA"/>
              </w:rPr>
              <w:t>風險類別及保留風險類別。</w:t>
            </w:r>
          </w:p>
        </w:tc>
      </w:tr>
      <w:tr w:rsidR="00F24F39" w:rsidRPr="00F24F39" w14:paraId="7588328F" w14:textId="77777777" w:rsidTr="00914927">
        <w:trPr>
          <w:trHeight w:val="1899"/>
        </w:trPr>
        <w:tc>
          <w:tcPr>
            <w:tcW w:w="425" w:type="dxa"/>
            <w:tcBorders>
              <w:top w:val="single" w:sz="4" w:space="0" w:color="000000"/>
              <w:bottom w:val="single" w:sz="4" w:space="0" w:color="000000"/>
            </w:tcBorders>
            <w:shd w:val="clear" w:color="auto" w:fill="auto"/>
          </w:tcPr>
          <w:p w14:paraId="2440F708" w14:textId="77777777" w:rsidR="00F24F39" w:rsidRPr="00F24F39" w:rsidRDefault="00F24F39" w:rsidP="00F24F39">
            <w:pPr>
              <w:suppressAutoHyphens/>
              <w:spacing w:before="20" w:after="20"/>
              <w:rPr>
                <w:rFonts w:eastAsia="細明體" w:cs="Segoe UI"/>
                <w:sz w:val="17"/>
                <w:lang w:eastAsia="ar-SA"/>
              </w:rPr>
            </w:pPr>
            <w:r w:rsidRPr="00F24F39">
              <w:rPr>
                <w:rFonts w:eastAsia="細明體" w:cs="Segoe UI"/>
                <w:sz w:val="17"/>
                <w:lang w:eastAsia="ar-SA"/>
              </w:rPr>
              <w:t>(b)</w:t>
            </w:r>
          </w:p>
        </w:tc>
        <w:tc>
          <w:tcPr>
            <w:tcW w:w="8506" w:type="dxa"/>
            <w:tcBorders>
              <w:top w:val="single" w:sz="4" w:space="0" w:color="000000"/>
              <w:bottom w:val="single" w:sz="4" w:space="0" w:color="000000"/>
            </w:tcBorders>
            <w:shd w:val="clear" w:color="auto" w:fill="auto"/>
            <w:vAlign w:val="bottom"/>
          </w:tcPr>
          <w:p w14:paraId="6B51BFA7" w14:textId="77777777" w:rsidR="00F24F39" w:rsidRPr="00F24F39" w:rsidRDefault="00F24F39" w:rsidP="00F24F39">
            <w:pPr>
              <w:suppressAutoHyphens/>
              <w:spacing w:before="40"/>
              <w:jc w:val="both"/>
              <w:rPr>
                <w:rFonts w:eastAsia="細明體" w:cs="Segoe UI"/>
                <w:sz w:val="17"/>
                <w:lang w:eastAsia="ar-SA"/>
              </w:rPr>
            </w:pPr>
            <w:r w:rsidRPr="00F24F39">
              <w:rPr>
                <w:rFonts w:eastAsia="細明體" w:cs="Segoe UI" w:hint="eastAsia"/>
                <w:sz w:val="17"/>
                <w:lang w:eastAsia="ar-SA"/>
              </w:rPr>
              <w:t>載列以下</w:t>
            </w:r>
            <w:r w:rsidRPr="00F24F39">
              <w:rPr>
                <w:rFonts w:eastAsia="細明體" w:cs="Segoe UI" w:hint="eastAsia"/>
                <w:kern w:val="1"/>
                <w:sz w:val="17"/>
                <w:lang w:eastAsia="ar-SA"/>
              </w:rPr>
              <w:t>資料</w:t>
            </w:r>
            <w:r w:rsidRPr="00F24F39">
              <w:rPr>
                <w:rFonts w:eastAsia="細明體" w:cs="Segoe UI" w:hint="eastAsia"/>
                <w:sz w:val="17"/>
                <w:lang w:eastAsia="ar-SA"/>
              </w:rPr>
              <w:t>的表單：</w:t>
            </w:r>
          </w:p>
          <w:p w14:paraId="3A324A07" w14:textId="77777777" w:rsidR="00F24F39" w:rsidRPr="00F24F39" w:rsidRDefault="00F24F39" w:rsidP="00D540EB">
            <w:pPr>
              <w:numPr>
                <w:ilvl w:val="0"/>
                <w:numId w:val="49"/>
              </w:numPr>
              <w:suppressAutoHyphens/>
              <w:spacing w:before="20" w:after="20"/>
              <w:jc w:val="both"/>
              <w:rPr>
                <w:rFonts w:eastAsia="細明體" w:cs="Segoe UI"/>
                <w:sz w:val="17"/>
                <w:lang w:eastAsia="ar-SA"/>
              </w:rPr>
            </w:pPr>
            <w:r w:rsidRPr="00F24F39">
              <w:rPr>
                <w:rFonts w:eastAsia="細明體" w:cs="Segoe UI" w:hint="eastAsia"/>
                <w:sz w:val="17"/>
                <w:lang w:eastAsia="ar-SA"/>
              </w:rPr>
              <w:t>由認可機構作為保薦人（</w:t>
            </w:r>
            <w:r w:rsidRPr="00F24F39">
              <w:rPr>
                <w:rFonts w:eastAsia="新細明體" w:cs="Segoe UI"/>
                <w:sz w:val="17"/>
                <w:szCs w:val="17"/>
                <w:lang w:eastAsia="zh-TW"/>
              </w:rPr>
              <w:t>《資本規則》第</w:t>
            </w:r>
            <w:r w:rsidRPr="00F24F39">
              <w:rPr>
                <w:rFonts w:eastAsia="新細明體" w:cs="Segoe UI" w:hint="eastAsia"/>
                <w:sz w:val="17"/>
                <w:szCs w:val="17"/>
                <w:lang w:eastAsia="zh-TW"/>
              </w:rPr>
              <w:t>227(1</w:t>
            </w:r>
            <w:r w:rsidRPr="00F24F39">
              <w:rPr>
                <w:rFonts w:cs="Segoe UI"/>
                <w:sz w:val="17"/>
                <w:szCs w:val="17"/>
                <w:lang w:eastAsia="zh-TW"/>
              </w:rPr>
              <w:t>)</w:t>
            </w:r>
            <w:r w:rsidRPr="00F24F39">
              <w:rPr>
                <w:rFonts w:eastAsia="新細明體" w:cs="Segoe UI"/>
                <w:sz w:val="17"/>
                <w:szCs w:val="17"/>
                <w:lang w:eastAsia="zh-TW"/>
              </w:rPr>
              <w:t>條所界定者</w:t>
            </w:r>
            <w:r w:rsidRPr="00F24F39">
              <w:rPr>
                <w:rFonts w:eastAsia="細明體" w:cs="Segoe UI" w:hint="eastAsia"/>
                <w:sz w:val="17"/>
                <w:lang w:eastAsia="ar-SA"/>
              </w:rPr>
              <w:t>）的</w:t>
            </w:r>
            <w:r w:rsidRPr="00F24F39">
              <w:rPr>
                <w:rFonts w:eastAsia="細明體" w:cs="Segoe UI" w:hint="eastAsia"/>
                <w:kern w:val="1"/>
                <w:sz w:val="17"/>
                <w:lang w:eastAsia="ar-SA"/>
              </w:rPr>
              <w:t>特定目的實體</w:t>
            </w:r>
            <w:r w:rsidRPr="00F24F39">
              <w:rPr>
                <w:rFonts w:eastAsia="細明體" w:cs="Segoe UI" w:hint="eastAsia"/>
                <w:sz w:val="17"/>
                <w:lang w:eastAsia="ar-SA"/>
              </w:rPr>
              <w:t>，並表明認可機構是否把該等</w:t>
            </w:r>
            <w:r w:rsidRPr="00F24F39">
              <w:rPr>
                <w:rFonts w:eastAsia="細明體" w:cs="Segoe UI" w:hint="eastAsia"/>
                <w:kern w:val="1"/>
                <w:sz w:val="17"/>
                <w:lang w:eastAsia="ar-SA"/>
              </w:rPr>
              <w:t>特定目的實體納</w:t>
            </w:r>
            <w:r w:rsidRPr="00F24F39">
              <w:rPr>
                <w:rFonts w:eastAsia="細明體" w:cs="Segoe UI" w:hint="eastAsia"/>
                <w:sz w:val="17"/>
                <w:lang w:eastAsia="ar-SA"/>
              </w:rPr>
              <w:t>入</w:t>
            </w:r>
            <w:r w:rsidRPr="00F24F39">
              <w:rPr>
                <w:rFonts w:eastAsia="細明體" w:cs="Segoe UI" w:hint="eastAsia"/>
                <w:sz w:val="17"/>
                <w:lang w:eastAsia="zh-TW"/>
              </w:rPr>
              <w:t>其</w:t>
            </w:r>
            <w:r w:rsidRPr="00F24F39">
              <w:rPr>
                <w:rFonts w:eastAsia="細明體" w:cs="Segoe UI" w:hint="eastAsia"/>
                <w:sz w:val="17"/>
                <w:lang w:eastAsia="ar-SA"/>
              </w:rPr>
              <w:t>監管綜合範圍；</w:t>
            </w:r>
          </w:p>
          <w:p w14:paraId="364EB8CC" w14:textId="77777777" w:rsidR="00F24F39" w:rsidRPr="00F24F39" w:rsidRDefault="00F24F39" w:rsidP="00D540EB">
            <w:pPr>
              <w:numPr>
                <w:ilvl w:val="0"/>
                <w:numId w:val="49"/>
              </w:numPr>
              <w:suppressAutoHyphens/>
              <w:spacing w:before="20" w:after="20"/>
              <w:jc w:val="both"/>
              <w:rPr>
                <w:rFonts w:eastAsia="細明體" w:cs="Segoe UI"/>
                <w:sz w:val="17"/>
                <w:lang w:eastAsia="ar-SA"/>
              </w:rPr>
            </w:pPr>
            <w:r w:rsidRPr="00F24F39">
              <w:rPr>
                <w:rFonts w:eastAsia="細明體" w:cs="Segoe UI" w:hint="eastAsia"/>
                <w:sz w:val="17"/>
                <w:lang w:eastAsia="ar-SA"/>
              </w:rPr>
              <w:t>以下兩類</w:t>
            </w:r>
            <w:r w:rsidRPr="00F24F39">
              <w:rPr>
                <w:rFonts w:eastAsia="細明體" w:cs="Segoe UI" w:hint="eastAsia"/>
                <w:sz w:val="17"/>
                <w:lang w:eastAsia="zh-TW"/>
              </w:rPr>
              <w:t>附屬</w:t>
            </w:r>
            <w:r w:rsidRPr="00F24F39">
              <w:rPr>
                <w:rFonts w:eastAsia="細明體" w:cs="Segoe UI" w:hint="eastAsia"/>
                <w:sz w:val="17"/>
                <w:lang w:eastAsia="ar-SA"/>
              </w:rPr>
              <w:t>實體：</w:t>
            </w:r>
            <w:r w:rsidRPr="00F24F39">
              <w:rPr>
                <w:rFonts w:eastAsia="細明體" w:cs="Segoe UI"/>
                <w:sz w:val="17"/>
                <w:lang w:eastAsia="ar-SA"/>
              </w:rPr>
              <w:t>(</w:t>
            </w:r>
            <w:proofErr w:type="spellStart"/>
            <w:r w:rsidRPr="00F24F39">
              <w:rPr>
                <w:rFonts w:eastAsia="細明體" w:cs="Segoe UI"/>
                <w:sz w:val="17"/>
                <w:lang w:eastAsia="ar-SA"/>
              </w:rPr>
              <w:t>i</w:t>
            </w:r>
            <w:proofErr w:type="spellEnd"/>
            <w:r w:rsidRPr="00F24F39">
              <w:rPr>
                <w:rFonts w:eastAsia="細明體" w:cs="Segoe UI"/>
                <w:sz w:val="17"/>
                <w:lang w:eastAsia="ar-SA"/>
              </w:rPr>
              <w:t>)</w:t>
            </w:r>
            <w:r w:rsidRPr="00F24F39">
              <w:rPr>
                <w:rFonts w:eastAsia="細明體" w:cs="Segoe UI" w:hint="eastAsia"/>
                <w:sz w:val="17"/>
                <w:lang w:eastAsia="ar-SA"/>
              </w:rPr>
              <w:t xml:space="preserve"> </w:t>
            </w:r>
            <w:r w:rsidRPr="00F24F39">
              <w:rPr>
                <w:rFonts w:eastAsia="細明體" w:cs="Segoe UI" w:hint="eastAsia"/>
                <w:sz w:val="17"/>
                <w:lang w:eastAsia="ar-SA"/>
              </w:rPr>
              <w:t>由認可機構管理或提供意見的</w:t>
            </w:r>
            <w:r w:rsidRPr="00F24F39">
              <w:rPr>
                <w:rFonts w:eastAsia="細明體" w:cs="Segoe UI" w:hint="eastAsia"/>
                <w:sz w:val="17"/>
                <w:lang w:eastAsia="zh-TW"/>
              </w:rPr>
              <w:t>附屬</w:t>
            </w:r>
            <w:r w:rsidRPr="00F24F39">
              <w:rPr>
                <w:rFonts w:eastAsia="細明體" w:cs="Segoe UI" w:hint="eastAsia"/>
                <w:sz w:val="17"/>
                <w:lang w:eastAsia="ar-SA"/>
              </w:rPr>
              <w:t>實體；及</w:t>
            </w:r>
            <w:r w:rsidRPr="00F24F39">
              <w:rPr>
                <w:rFonts w:eastAsia="細明體" w:cs="Segoe UI"/>
                <w:sz w:val="17"/>
                <w:lang w:eastAsia="ar-SA"/>
              </w:rPr>
              <w:t>(ii)</w:t>
            </w:r>
            <w:r w:rsidRPr="00F24F39">
              <w:rPr>
                <w:rFonts w:eastAsia="細明體" w:cs="Segoe UI" w:hint="eastAsia"/>
                <w:sz w:val="17"/>
                <w:lang w:eastAsia="ar-SA"/>
              </w:rPr>
              <w:t xml:space="preserve"> </w:t>
            </w:r>
            <w:r w:rsidRPr="00F24F39">
              <w:rPr>
                <w:rFonts w:eastAsia="細明體" w:cs="Segoe UI" w:hint="eastAsia"/>
                <w:sz w:val="17"/>
                <w:lang w:eastAsia="ar-SA"/>
              </w:rPr>
              <w:t>投資於</w:t>
            </w:r>
            <w:r w:rsidRPr="00F24F39">
              <w:rPr>
                <w:rFonts w:eastAsia="細明體" w:cs="Segoe UI" w:hint="eastAsia"/>
                <w:sz w:val="17"/>
                <w:lang w:eastAsia="zh-TW"/>
              </w:rPr>
              <w:t>由</w:t>
            </w:r>
            <w:r w:rsidRPr="00F24F39">
              <w:rPr>
                <w:rFonts w:eastAsia="細明體" w:cs="Segoe UI" w:hint="eastAsia"/>
                <w:sz w:val="17"/>
                <w:lang w:eastAsia="ar-SA"/>
              </w:rPr>
              <w:t>認可機構證券化的證券化類別風險承擔</w:t>
            </w:r>
            <w:r w:rsidRPr="00F24F39">
              <w:rPr>
                <w:rFonts w:eastAsia="細明體" w:cs="Segoe UI" w:hint="eastAsia"/>
                <w:sz w:val="17"/>
                <w:lang w:eastAsia="zh-TW"/>
              </w:rPr>
              <w:t>、</w:t>
            </w:r>
            <w:r w:rsidRPr="00F24F39">
              <w:rPr>
                <w:rFonts w:eastAsia="細明體" w:cs="Segoe UI" w:hint="eastAsia"/>
                <w:sz w:val="17"/>
                <w:lang w:eastAsia="ar-SA"/>
              </w:rPr>
              <w:t>或由認可機構保薦的</w:t>
            </w:r>
            <w:r w:rsidRPr="00F24F39">
              <w:rPr>
                <w:rFonts w:eastAsia="細明體" w:cs="Segoe UI" w:hint="eastAsia"/>
                <w:kern w:val="1"/>
                <w:sz w:val="17"/>
                <w:lang w:eastAsia="ar-SA"/>
              </w:rPr>
              <w:t>特定目的實體</w:t>
            </w:r>
            <w:r w:rsidRPr="00F24F39">
              <w:rPr>
                <w:rFonts w:eastAsia="細明體" w:cs="Segoe UI" w:hint="eastAsia"/>
                <w:sz w:val="17"/>
                <w:lang w:eastAsia="ar-SA"/>
              </w:rPr>
              <w:t>的</w:t>
            </w:r>
            <w:r w:rsidRPr="00F24F39">
              <w:rPr>
                <w:rFonts w:eastAsia="細明體" w:cs="Segoe UI" w:hint="eastAsia"/>
                <w:sz w:val="17"/>
                <w:lang w:eastAsia="zh-TW"/>
              </w:rPr>
              <w:t>附屬</w:t>
            </w:r>
            <w:r w:rsidRPr="00F24F39">
              <w:rPr>
                <w:rFonts w:eastAsia="細明體" w:cs="Segoe UI" w:hint="eastAsia"/>
                <w:sz w:val="17"/>
                <w:lang w:eastAsia="ar-SA"/>
              </w:rPr>
              <w:t>實體；及</w:t>
            </w:r>
          </w:p>
          <w:p w14:paraId="0514442D" w14:textId="77777777" w:rsidR="00F24F39" w:rsidRPr="00F24F39" w:rsidRDefault="00F24F39" w:rsidP="00D540EB">
            <w:pPr>
              <w:numPr>
                <w:ilvl w:val="0"/>
                <w:numId w:val="49"/>
              </w:numPr>
              <w:suppressAutoHyphens/>
              <w:spacing w:before="20" w:after="20"/>
              <w:jc w:val="both"/>
              <w:rPr>
                <w:rFonts w:cs="Segoe UI"/>
                <w:lang w:eastAsia="ar-SA"/>
              </w:rPr>
            </w:pPr>
            <w:r w:rsidRPr="00F24F39">
              <w:rPr>
                <w:rFonts w:eastAsia="細明體" w:cs="Segoe UI" w:hint="eastAsia"/>
                <w:sz w:val="17"/>
                <w:lang w:eastAsia="ar-SA"/>
              </w:rPr>
              <w:t>由認可機構提供隱性支持的實體及</w:t>
            </w:r>
            <w:r w:rsidRPr="00F24F39">
              <w:rPr>
                <w:rFonts w:eastAsia="細明體" w:cs="Segoe UI" w:hint="eastAsia"/>
                <w:sz w:val="17"/>
                <w:lang w:eastAsia="zh-TW"/>
              </w:rPr>
              <w:t>其</w:t>
            </w:r>
            <w:r w:rsidRPr="00F24F39">
              <w:rPr>
                <w:rFonts w:eastAsia="細明體" w:cs="Segoe UI" w:hint="eastAsia"/>
                <w:sz w:val="17"/>
                <w:lang w:eastAsia="ar-SA"/>
              </w:rPr>
              <w:t>對每一實體的相</w:t>
            </w:r>
            <w:r w:rsidRPr="00F24F39">
              <w:rPr>
                <w:rFonts w:eastAsia="細明體" w:cs="Segoe UI" w:hint="eastAsia"/>
                <w:sz w:val="17"/>
                <w:lang w:eastAsia="zh-TW"/>
              </w:rPr>
              <w:t>應</w:t>
            </w:r>
            <w:r w:rsidRPr="00F24F39">
              <w:rPr>
                <w:rFonts w:eastAsia="細明體" w:cs="Segoe UI" w:hint="eastAsia"/>
                <w:sz w:val="17"/>
                <w:lang w:eastAsia="ar-SA"/>
              </w:rPr>
              <w:t>資本影響。</w:t>
            </w:r>
          </w:p>
        </w:tc>
      </w:tr>
      <w:tr w:rsidR="00F24F39" w:rsidRPr="00F24F39" w14:paraId="40F91331" w14:textId="77777777" w:rsidTr="00914927">
        <w:trPr>
          <w:trHeight w:val="47"/>
        </w:trPr>
        <w:tc>
          <w:tcPr>
            <w:tcW w:w="425" w:type="dxa"/>
            <w:tcBorders>
              <w:top w:val="single" w:sz="4" w:space="0" w:color="000000"/>
              <w:bottom w:val="single" w:sz="4" w:space="0" w:color="000000"/>
            </w:tcBorders>
            <w:shd w:val="clear" w:color="auto" w:fill="auto"/>
          </w:tcPr>
          <w:p w14:paraId="05088B58" w14:textId="77777777" w:rsidR="00F24F39" w:rsidRPr="00F24F39" w:rsidRDefault="00F24F39" w:rsidP="00F24F39">
            <w:pPr>
              <w:suppressAutoHyphens/>
              <w:spacing w:before="20" w:after="20"/>
              <w:rPr>
                <w:rFonts w:eastAsia="細明體" w:cs="Segoe UI"/>
                <w:sz w:val="17"/>
                <w:lang w:eastAsia="ar-SA"/>
              </w:rPr>
            </w:pPr>
            <w:r w:rsidRPr="00F24F39">
              <w:rPr>
                <w:rFonts w:eastAsia="細明體" w:cs="Segoe UI"/>
                <w:sz w:val="17"/>
                <w:lang w:eastAsia="ar-SA"/>
              </w:rPr>
              <w:t>(c)</w:t>
            </w:r>
          </w:p>
        </w:tc>
        <w:tc>
          <w:tcPr>
            <w:tcW w:w="8506" w:type="dxa"/>
            <w:tcBorders>
              <w:top w:val="single" w:sz="4" w:space="0" w:color="000000"/>
              <w:bottom w:val="single" w:sz="4" w:space="0" w:color="000000"/>
            </w:tcBorders>
            <w:shd w:val="clear" w:color="auto" w:fill="auto"/>
            <w:vAlign w:val="bottom"/>
          </w:tcPr>
          <w:p w14:paraId="33D657F5"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認可機構就證券化交易的會計政策摘要。如屬有關，認可機構應將證券化類別風險承擔與再證券化類別風險承擔區分。</w:t>
            </w:r>
          </w:p>
        </w:tc>
      </w:tr>
      <w:tr w:rsidR="00F24F39" w:rsidRPr="00F24F39" w14:paraId="4B40C41C" w14:textId="77777777" w:rsidTr="00914927">
        <w:trPr>
          <w:trHeight w:val="47"/>
        </w:trPr>
        <w:tc>
          <w:tcPr>
            <w:tcW w:w="425" w:type="dxa"/>
            <w:tcBorders>
              <w:top w:val="single" w:sz="4" w:space="0" w:color="000000"/>
              <w:bottom w:val="single" w:sz="4" w:space="0" w:color="000000"/>
            </w:tcBorders>
            <w:shd w:val="clear" w:color="auto" w:fill="auto"/>
          </w:tcPr>
          <w:p w14:paraId="2E6219B1" w14:textId="77777777" w:rsidR="00F24F39" w:rsidRPr="00F24F39" w:rsidRDefault="00F24F39" w:rsidP="00F24F39">
            <w:pPr>
              <w:suppressAutoHyphens/>
              <w:spacing w:before="20" w:after="20"/>
              <w:rPr>
                <w:rFonts w:eastAsia="細明體" w:cs="Segoe UI"/>
                <w:sz w:val="17"/>
                <w:lang w:eastAsia="ar-SA"/>
              </w:rPr>
            </w:pPr>
            <w:r w:rsidRPr="00F24F39">
              <w:rPr>
                <w:rFonts w:eastAsia="細明體" w:cs="Segoe UI"/>
                <w:sz w:val="17"/>
                <w:lang w:eastAsia="ar-SA"/>
              </w:rPr>
              <w:t>(d)</w:t>
            </w:r>
          </w:p>
        </w:tc>
        <w:tc>
          <w:tcPr>
            <w:tcW w:w="8506" w:type="dxa"/>
            <w:tcBorders>
              <w:top w:val="single" w:sz="4" w:space="0" w:color="000000"/>
              <w:bottom w:val="single" w:sz="4" w:space="0" w:color="000000"/>
            </w:tcBorders>
            <w:shd w:val="clear" w:color="auto" w:fill="auto"/>
          </w:tcPr>
          <w:p w14:paraId="04805B71" w14:textId="5D74BD40" w:rsidR="00746E0A" w:rsidRPr="00EB7571" w:rsidRDefault="00F24F39" w:rsidP="00EB7571">
            <w:pPr>
              <w:suppressAutoHyphens/>
              <w:spacing w:before="20" w:after="20"/>
              <w:jc w:val="both"/>
              <w:rPr>
                <w:rFonts w:eastAsia="細明體" w:cs="Segoe UI"/>
                <w:sz w:val="17"/>
                <w:lang w:eastAsia="ar-SA"/>
              </w:rPr>
            </w:pPr>
            <w:r w:rsidRPr="00F24F39">
              <w:rPr>
                <w:rFonts w:eastAsia="細明體" w:cs="Segoe UI" w:hint="eastAsia"/>
                <w:sz w:val="17"/>
                <w:lang w:eastAsia="ar-SA"/>
              </w:rPr>
              <w:t>如適用，用</w:t>
            </w:r>
            <w:r w:rsidRPr="00F24F39">
              <w:rPr>
                <w:rFonts w:eastAsia="細明體" w:cs="Segoe UI" w:hint="eastAsia"/>
                <w:sz w:val="17"/>
                <w:lang w:eastAsia="zh-TW"/>
              </w:rPr>
              <w:t>於</w:t>
            </w:r>
            <w:r w:rsidRPr="00F24F39">
              <w:rPr>
                <w:rFonts w:eastAsia="細明體" w:cs="Segoe UI" w:hint="eastAsia"/>
                <w:sz w:val="17"/>
                <w:lang w:eastAsia="ar-SA"/>
              </w:rPr>
              <w:t>證券化的</w:t>
            </w:r>
            <w:r w:rsidRPr="00F24F39">
              <w:rPr>
                <w:rFonts w:eastAsia="細明體" w:cs="Segoe UI"/>
                <w:sz w:val="17"/>
                <w:lang w:eastAsia="ar-SA"/>
              </w:rPr>
              <w:t>ECAI</w:t>
            </w:r>
            <w:r w:rsidRPr="00F24F39">
              <w:rPr>
                <w:rFonts w:eastAsia="細明體" w:cs="Segoe UI" w:hint="eastAsia"/>
                <w:sz w:val="17"/>
                <w:lang w:eastAsia="ar-SA"/>
              </w:rPr>
              <w:t>名稱</w:t>
            </w:r>
            <w:r w:rsidRPr="00F24F39">
              <w:rPr>
                <w:rFonts w:eastAsia="細明體" w:cs="Segoe UI" w:hint="eastAsia"/>
                <w:sz w:val="17"/>
                <w:lang w:eastAsia="zh-TW"/>
              </w:rPr>
              <w:t>，</w:t>
            </w:r>
            <w:r w:rsidRPr="00F24F39">
              <w:rPr>
                <w:rFonts w:eastAsia="細明體" w:cs="Segoe UI" w:hint="eastAsia"/>
                <w:sz w:val="17"/>
                <w:lang w:eastAsia="ar-SA"/>
              </w:rPr>
              <w:t>及每</w:t>
            </w:r>
            <w:r w:rsidRPr="00F24F39">
              <w:rPr>
                <w:rFonts w:eastAsia="細明體" w:cs="Segoe UI" w:hint="eastAsia"/>
                <w:sz w:val="17"/>
                <w:lang w:eastAsia="zh-TW"/>
              </w:rPr>
              <w:t>間</w:t>
            </w:r>
            <w:r w:rsidRPr="00F24F39">
              <w:rPr>
                <w:rFonts w:eastAsia="細明體" w:cs="Segoe UI" w:hint="eastAsia"/>
                <w:sz w:val="17"/>
                <w:szCs w:val="17"/>
                <w:lang w:eastAsia="zh-TW"/>
              </w:rPr>
              <w:t>所採用的</w:t>
            </w:r>
            <w:r w:rsidRPr="00F24F39">
              <w:rPr>
                <w:rFonts w:eastAsia="細明體" w:cs="Segoe UI" w:hint="eastAsia"/>
                <w:sz w:val="17"/>
                <w:szCs w:val="17"/>
                <w:lang w:eastAsia="zh-TW"/>
              </w:rPr>
              <w:t>ECAI</w:t>
            </w:r>
            <w:r w:rsidRPr="00F24F39">
              <w:rPr>
                <w:rFonts w:eastAsia="細明體" w:cs="Segoe UI" w:hint="eastAsia"/>
                <w:sz w:val="17"/>
                <w:lang w:eastAsia="ar-SA"/>
              </w:rPr>
              <w:t>涵蓋的證券化類別風險承擔</w:t>
            </w:r>
            <w:r w:rsidRPr="00F24F39">
              <w:rPr>
                <w:rFonts w:eastAsia="細明體" w:cs="Segoe UI" w:hint="eastAsia"/>
                <w:sz w:val="17"/>
                <w:lang w:eastAsia="zh-TW"/>
              </w:rPr>
              <w:t>種類</w:t>
            </w:r>
            <w:r w:rsidRPr="00F24F39">
              <w:rPr>
                <w:rFonts w:eastAsia="細明體" w:cs="Segoe UI" w:hint="eastAsia"/>
                <w:sz w:val="17"/>
                <w:lang w:eastAsia="ar-SA"/>
              </w:rPr>
              <w:t>。</w:t>
            </w:r>
            <w:r w:rsidR="00EB7571">
              <w:rPr>
                <w:rFonts w:eastAsia="細明體" w:cs="Segoe UI"/>
                <w:sz w:val="17"/>
                <w:lang w:eastAsia="ar-SA"/>
              </w:rPr>
              <w:tab/>
            </w:r>
          </w:p>
        </w:tc>
      </w:tr>
      <w:tr w:rsidR="00F24F39" w:rsidRPr="00F24F39" w14:paraId="209F34BD" w14:textId="77777777" w:rsidTr="00914927">
        <w:trPr>
          <w:trHeight w:val="47"/>
        </w:trPr>
        <w:tc>
          <w:tcPr>
            <w:tcW w:w="425" w:type="dxa"/>
            <w:tcBorders>
              <w:top w:val="single" w:sz="4" w:space="0" w:color="000000"/>
              <w:bottom w:val="single" w:sz="4" w:space="0" w:color="000000"/>
            </w:tcBorders>
            <w:shd w:val="clear" w:color="auto" w:fill="auto"/>
          </w:tcPr>
          <w:p w14:paraId="0EB039A5" w14:textId="77777777" w:rsidR="00F24F39" w:rsidRPr="00F24F39" w:rsidRDefault="00F24F39" w:rsidP="00F24F39">
            <w:pPr>
              <w:suppressAutoHyphens/>
              <w:spacing w:before="20" w:after="20"/>
              <w:rPr>
                <w:rFonts w:eastAsia="細明體" w:cs="Segoe UI"/>
                <w:sz w:val="17"/>
                <w:lang w:eastAsia="ar-SA"/>
              </w:rPr>
            </w:pPr>
            <w:r w:rsidRPr="00F24F39">
              <w:rPr>
                <w:rFonts w:eastAsia="新細明體" w:cs="Segoe UI"/>
                <w:sz w:val="17"/>
                <w:lang w:eastAsia="fr-FR"/>
              </w:rPr>
              <w:t>(e)</w:t>
            </w:r>
          </w:p>
        </w:tc>
        <w:tc>
          <w:tcPr>
            <w:tcW w:w="8506" w:type="dxa"/>
            <w:tcBorders>
              <w:top w:val="single" w:sz="4" w:space="0" w:color="000000"/>
              <w:bottom w:val="single" w:sz="4" w:space="0" w:color="000000"/>
            </w:tcBorders>
            <w:shd w:val="clear" w:color="auto" w:fill="auto"/>
          </w:tcPr>
          <w:p w14:paraId="19A02FC2" w14:textId="77777777" w:rsidR="00F24F39" w:rsidRPr="00F24F39" w:rsidRDefault="00F24F39" w:rsidP="00F24F39">
            <w:pPr>
              <w:suppressAutoHyphens/>
              <w:spacing w:before="20" w:after="20"/>
              <w:jc w:val="both"/>
              <w:rPr>
                <w:rFonts w:eastAsia="細明體" w:cs="Segoe UI"/>
                <w:sz w:val="17"/>
                <w:lang w:eastAsia="zh-TW"/>
              </w:rPr>
            </w:pPr>
            <w:r w:rsidRPr="00F24F39">
              <w:rPr>
                <w:rFonts w:eastAsia="細明體" w:cs="Segoe UI" w:hint="eastAsia"/>
                <w:sz w:val="17"/>
                <w:lang w:eastAsia="ar-SA"/>
              </w:rPr>
              <w:t>如適用，描述在</w:t>
            </w:r>
            <w:r w:rsidRPr="00F24F39">
              <w:rPr>
                <w:rFonts w:eastAsia="細明體" w:cs="Segoe UI" w:hint="eastAsia"/>
                <w:sz w:val="17"/>
                <w:lang w:eastAsia="zh-TW"/>
              </w:rPr>
              <w:t>《資本規則》</w:t>
            </w:r>
            <w:r w:rsidRPr="00F24F39">
              <w:rPr>
                <w:rFonts w:eastAsia="細明體" w:cs="Segoe UI" w:hint="eastAsia"/>
                <w:sz w:val="17"/>
                <w:lang w:eastAsia="ar-SA"/>
              </w:rPr>
              <w:t>下實施內部評估計算法的程序。描述應包括：</w:t>
            </w:r>
          </w:p>
          <w:p w14:paraId="3154DD86" w14:textId="77777777" w:rsidR="00F24F39" w:rsidRPr="00F24F39" w:rsidRDefault="00F24F39" w:rsidP="00D540EB">
            <w:pPr>
              <w:numPr>
                <w:ilvl w:val="0"/>
                <w:numId w:val="52"/>
              </w:numPr>
              <w:tabs>
                <w:tab w:val="left" w:pos="356"/>
              </w:tabs>
              <w:suppressAutoHyphens/>
              <w:spacing w:before="20" w:after="20"/>
              <w:ind w:left="356" w:hanging="356"/>
              <w:jc w:val="both"/>
              <w:rPr>
                <w:rFonts w:eastAsia="細明體" w:cs="Segoe UI"/>
                <w:sz w:val="17"/>
                <w:lang w:eastAsia="zh-TW"/>
              </w:rPr>
            </w:pPr>
            <w:r w:rsidRPr="00F24F39">
              <w:rPr>
                <w:rFonts w:eastAsia="細明體" w:cs="Segoe UI" w:hint="eastAsia"/>
                <w:sz w:val="17"/>
                <w:lang w:eastAsia="zh-TW"/>
              </w:rPr>
              <w:t>內部評估</w:t>
            </w:r>
            <w:r w:rsidRPr="00F24F39">
              <w:rPr>
                <w:rFonts w:eastAsia="細明體" w:cs="Segoe UI" w:hint="eastAsia"/>
                <w:sz w:val="17"/>
                <w:lang w:eastAsia="ar-SA"/>
              </w:rPr>
              <w:t>程序</w:t>
            </w:r>
            <w:r w:rsidRPr="00F24F39">
              <w:rPr>
                <w:rFonts w:eastAsia="細明體" w:cs="Segoe UI" w:hint="eastAsia"/>
                <w:sz w:val="17"/>
                <w:lang w:eastAsia="zh-TW"/>
              </w:rPr>
              <w:t>的結構及內部評估與外部評級之間的關係，包括本表</w:t>
            </w:r>
            <w:r w:rsidRPr="00F24F39">
              <w:rPr>
                <w:rFonts w:eastAsia="細明體" w:cs="Segoe UI" w:hint="eastAsia"/>
                <w:sz w:val="17"/>
                <w:lang w:eastAsia="zh-TW"/>
              </w:rPr>
              <w:t>(</w:t>
            </w:r>
            <w:r w:rsidRPr="00F24F39">
              <w:rPr>
                <w:rFonts w:eastAsia="細明體" w:cs="Segoe UI"/>
                <w:sz w:val="17"/>
                <w:lang w:eastAsia="zh-TW"/>
              </w:rPr>
              <w:t>d</w:t>
            </w:r>
            <w:r w:rsidRPr="00F24F39">
              <w:rPr>
                <w:rFonts w:eastAsia="細明體" w:cs="Segoe UI" w:hint="eastAsia"/>
                <w:sz w:val="17"/>
                <w:lang w:eastAsia="zh-TW"/>
              </w:rPr>
              <w:t>)</w:t>
            </w:r>
            <w:r w:rsidRPr="00F24F39">
              <w:rPr>
                <w:rFonts w:eastAsia="細明體" w:cs="Segoe UI" w:hint="eastAsia"/>
                <w:sz w:val="17"/>
                <w:lang w:eastAsia="zh-TW"/>
              </w:rPr>
              <w:t>項</w:t>
            </w:r>
            <w:proofErr w:type="gramStart"/>
            <w:r w:rsidRPr="00F24F39">
              <w:rPr>
                <w:rFonts w:eastAsia="細明體" w:cs="Segoe UI" w:hint="eastAsia"/>
                <w:sz w:val="17"/>
                <w:lang w:eastAsia="zh-TW"/>
              </w:rPr>
              <w:t>所提述的</w:t>
            </w:r>
            <w:proofErr w:type="gramEnd"/>
            <w:r w:rsidRPr="00F24F39">
              <w:rPr>
                <w:rFonts w:eastAsia="細明體" w:cs="Segoe UI"/>
                <w:sz w:val="17"/>
                <w:lang w:eastAsia="zh-TW"/>
              </w:rPr>
              <w:t>ECAI</w:t>
            </w:r>
            <w:r w:rsidRPr="00F24F39">
              <w:rPr>
                <w:rFonts w:eastAsia="細明體" w:cs="Segoe UI" w:hint="eastAsia"/>
                <w:sz w:val="17"/>
                <w:szCs w:val="17"/>
                <w:lang w:eastAsia="ar-SA"/>
              </w:rPr>
              <w:t>資料</w:t>
            </w:r>
            <w:r w:rsidRPr="00F24F39">
              <w:rPr>
                <w:rFonts w:eastAsia="細明體" w:cs="Segoe UI" w:hint="eastAsia"/>
                <w:sz w:val="17"/>
                <w:lang w:eastAsia="zh-TW"/>
              </w:rPr>
              <w:t>；</w:t>
            </w:r>
          </w:p>
          <w:p w14:paraId="1FC3326D" w14:textId="77777777" w:rsidR="00F24F39" w:rsidRPr="00F24F39" w:rsidRDefault="00F24F39" w:rsidP="00D540EB">
            <w:pPr>
              <w:numPr>
                <w:ilvl w:val="0"/>
                <w:numId w:val="52"/>
              </w:numPr>
              <w:tabs>
                <w:tab w:val="left" w:pos="356"/>
              </w:tabs>
              <w:suppressAutoHyphens/>
              <w:spacing w:before="20" w:after="20"/>
              <w:ind w:left="356" w:hanging="356"/>
              <w:jc w:val="both"/>
              <w:rPr>
                <w:rFonts w:eastAsia="細明體" w:cs="Segoe UI"/>
                <w:sz w:val="17"/>
                <w:lang w:eastAsia="zh-TW"/>
              </w:rPr>
            </w:pPr>
            <w:r w:rsidRPr="00F24F39">
              <w:rPr>
                <w:rFonts w:eastAsia="細明體" w:cs="Segoe UI" w:hint="eastAsia"/>
                <w:sz w:val="17"/>
                <w:lang w:eastAsia="zh-TW"/>
              </w:rPr>
              <w:t>內部評估</w:t>
            </w:r>
            <w:r w:rsidRPr="00F24F39">
              <w:rPr>
                <w:rFonts w:eastAsia="細明體" w:cs="Segoe UI" w:hint="eastAsia"/>
                <w:sz w:val="17"/>
                <w:lang w:eastAsia="ar-SA"/>
              </w:rPr>
              <w:t>程序</w:t>
            </w:r>
            <w:r w:rsidRPr="00F24F39">
              <w:rPr>
                <w:rFonts w:eastAsia="細明體" w:cs="Segoe UI" w:hint="eastAsia"/>
                <w:sz w:val="17"/>
                <w:lang w:eastAsia="zh-TW"/>
              </w:rPr>
              <w:t>的</w:t>
            </w:r>
            <w:r w:rsidRPr="00F24F39">
              <w:rPr>
                <w:rFonts w:eastAsia="細明體" w:cs="Segoe UI"/>
                <w:sz w:val="17"/>
                <w:lang w:eastAsia="zh-TW"/>
              </w:rPr>
              <w:t>監</w:t>
            </w:r>
            <w:r w:rsidRPr="00F24F39">
              <w:rPr>
                <w:rFonts w:eastAsia="細明體" w:cs="Segoe UI" w:hint="eastAsia"/>
                <w:sz w:val="17"/>
                <w:lang w:eastAsia="zh-TW"/>
              </w:rPr>
              <w:t>控機制，包括有關獨立性、</w:t>
            </w:r>
            <w:proofErr w:type="gramStart"/>
            <w:r w:rsidRPr="00F24F39">
              <w:rPr>
                <w:rFonts w:eastAsia="細明體" w:cs="Segoe UI" w:hint="eastAsia"/>
                <w:sz w:val="17"/>
                <w:lang w:eastAsia="zh-TW"/>
              </w:rPr>
              <w:t>問責及</w:t>
            </w:r>
            <w:proofErr w:type="gramEnd"/>
            <w:r w:rsidRPr="00F24F39">
              <w:rPr>
                <w:rFonts w:eastAsia="細明體" w:cs="Segoe UI" w:hint="eastAsia"/>
                <w:sz w:val="17"/>
                <w:lang w:eastAsia="zh-TW"/>
              </w:rPr>
              <w:t>內部評估</w:t>
            </w:r>
            <w:r w:rsidRPr="00F24F39">
              <w:rPr>
                <w:rFonts w:eastAsia="細明體" w:cs="Segoe UI" w:hint="eastAsia"/>
                <w:sz w:val="17"/>
                <w:lang w:eastAsia="ar-SA"/>
              </w:rPr>
              <w:t>程序</w:t>
            </w:r>
            <w:r w:rsidRPr="00F24F39">
              <w:rPr>
                <w:rFonts w:eastAsia="細明體" w:cs="Segoe UI" w:hint="eastAsia"/>
                <w:sz w:val="17"/>
                <w:lang w:eastAsia="zh-TW"/>
              </w:rPr>
              <w:t>檢討的討論；及</w:t>
            </w:r>
          </w:p>
          <w:p w14:paraId="1E7243C9" w14:textId="77777777" w:rsidR="00F24F39" w:rsidRPr="00F24F39" w:rsidRDefault="00F24F39" w:rsidP="00D540EB">
            <w:pPr>
              <w:numPr>
                <w:ilvl w:val="0"/>
                <w:numId w:val="52"/>
              </w:numPr>
              <w:tabs>
                <w:tab w:val="left" w:pos="356"/>
              </w:tabs>
              <w:suppressAutoHyphens/>
              <w:spacing w:before="20" w:after="20"/>
              <w:ind w:left="356" w:hanging="356"/>
              <w:jc w:val="both"/>
              <w:rPr>
                <w:rFonts w:eastAsia="細明體" w:cs="Segoe UI"/>
                <w:sz w:val="17"/>
                <w:lang w:eastAsia="zh-TW"/>
              </w:rPr>
            </w:pPr>
            <w:r w:rsidRPr="00F24F39">
              <w:rPr>
                <w:rFonts w:eastAsia="細明體" w:cs="Segoe UI" w:hint="eastAsia"/>
                <w:sz w:val="17"/>
                <w:lang w:eastAsia="zh-TW"/>
              </w:rPr>
              <w:t>使用內部評估程序的風險承擔類別；及按風險承擔類別列明斷定所須的信用提升水平的壓力因素。</w:t>
            </w:r>
          </w:p>
        </w:tc>
      </w:tr>
      <w:tr w:rsidR="00F24F39" w:rsidRPr="00F24F39" w14:paraId="6818417E" w14:textId="77777777" w:rsidTr="00914927">
        <w:trPr>
          <w:trHeight w:val="47"/>
        </w:trPr>
        <w:tc>
          <w:tcPr>
            <w:tcW w:w="425" w:type="dxa"/>
            <w:tcBorders>
              <w:top w:val="single" w:sz="4" w:space="0" w:color="000000"/>
              <w:bottom w:val="single" w:sz="4" w:space="0" w:color="000000"/>
            </w:tcBorders>
            <w:shd w:val="clear" w:color="auto" w:fill="auto"/>
          </w:tcPr>
          <w:p w14:paraId="16B6EB6A" w14:textId="77777777" w:rsidR="00F24F39" w:rsidRPr="00F24F39" w:rsidRDefault="00F24F39" w:rsidP="00F24F39">
            <w:pPr>
              <w:suppressAutoHyphens/>
              <w:spacing w:before="20" w:after="20"/>
              <w:rPr>
                <w:rFonts w:eastAsia="細明體" w:cs="Segoe UI"/>
                <w:sz w:val="17"/>
                <w:lang w:eastAsia="ar-SA"/>
              </w:rPr>
            </w:pPr>
            <w:r w:rsidRPr="00F24F39">
              <w:rPr>
                <w:rFonts w:eastAsia="新細明體" w:cs="Segoe UI"/>
                <w:sz w:val="17"/>
                <w:lang w:eastAsia="fr-FR"/>
              </w:rPr>
              <w:t>(f)</w:t>
            </w:r>
          </w:p>
        </w:tc>
        <w:tc>
          <w:tcPr>
            <w:tcW w:w="8506" w:type="dxa"/>
            <w:tcBorders>
              <w:top w:val="single" w:sz="4" w:space="0" w:color="000000"/>
              <w:bottom w:val="single" w:sz="4" w:space="0" w:color="000000"/>
            </w:tcBorders>
            <w:shd w:val="clear" w:color="auto" w:fill="auto"/>
          </w:tcPr>
          <w:p w14:paraId="0271F031" w14:textId="77777777" w:rsidR="00F24F39" w:rsidRPr="00F24F39" w:rsidRDefault="00F24F39" w:rsidP="00F24F39">
            <w:pPr>
              <w:suppressAutoHyphens/>
              <w:spacing w:before="20" w:after="20"/>
              <w:jc w:val="both"/>
              <w:rPr>
                <w:rFonts w:eastAsia="細明體" w:cs="Segoe UI"/>
                <w:sz w:val="17"/>
                <w:lang w:eastAsia="ar-SA"/>
              </w:rPr>
            </w:pPr>
            <w:r w:rsidRPr="00F24F39">
              <w:rPr>
                <w:rFonts w:eastAsia="細明體" w:cs="Segoe UI" w:hint="eastAsia"/>
                <w:sz w:val="17"/>
                <w:lang w:eastAsia="zh-TW"/>
              </w:rPr>
              <w:t>除</w:t>
            </w:r>
            <w:r w:rsidRPr="00F24F39">
              <w:rPr>
                <w:rFonts w:eastAsia="細明體" w:cs="Segoe UI" w:hint="eastAsia"/>
                <w:sz w:val="17"/>
                <w:lang w:eastAsia="ar-SA"/>
              </w:rPr>
              <w:t>內部評估計算法計算資本</w:t>
            </w:r>
            <w:r w:rsidRPr="00F24F39">
              <w:rPr>
                <w:rFonts w:eastAsia="細明體" w:cs="Segoe UI" w:hint="eastAsia"/>
                <w:sz w:val="17"/>
                <w:lang w:eastAsia="zh-TW"/>
              </w:rPr>
              <w:t>的</w:t>
            </w:r>
            <w:r w:rsidRPr="00F24F39">
              <w:rPr>
                <w:rFonts w:eastAsia="細明體" w:cs="Segoe UI" w:hint="eastAsia"/>
                <w:sz w:val="17"/>
                <w:lang w:eastAsia="ar-SA"/>
              </w:rPr>
              <w:t>用途外</w:t>
            </w:r>
            <w:r w:rsidRPr="00F24F39">
              <w:rPr>
                <w:rFonts w:eastAsia="細明體" w:cs="Segoe UI" w:hint="eastAsia"/>
                <w:sz w:val="17"/>
                <w:lang w:eastAsia="zh-TW"/>
              </w:rPr>
              <w:t>，</w:t>
            </w:r>
            <w:r w:rsidRPr="00F24F39">
              <w:rPr>
                <w:rFonts w:eastAsia="細明體" w:cs="Segoe UI" w:hint="eastAsia"/>
                <w:sz w:val="17"/>
                <w:lang w:eastAsia="ar-SA"/>
              </w:rPr>
              <w:t>認可機構使用內部評估的描述。</w:t>
            </w:r>
          </w:p>
        </w:tc>
      </w:tr>
    </w:tbl>
    <w:p w14:paraId="43C41170" w14:textId="77777777" w:rsidR="005F4B44" w:rsidRDefault="005F4B44">
      <w:pPr>
        <w:rPr>
          <w:lang w:eastAsia="zh-TW"/>
        </w:rPr>
      </w:pPr>
    </w:p>
    <w:p w14:paraId="059579BD" w14:textId="77777777" w:rsidR="00F24F39" w:rsidRPr="00F24F39" w:rsidRDefault="00F24F39" w:rsidP="00F24F39">
      <w:pPr>
        <w:suppressAutoHyphens/>
        <w:rPr>
          <w:rFonts w:eastAsia="新細明體" w:cs="Segoe UI"/>
          <w:lang w:eastAsia="zh-TW"/>
        </w:rPr>
        <w:sectPr w:rsidR="00F24F39" w:rsidRPr="00F24F39" w:rsidSect="005F4B44">
          <w:headerReference w:type="default" r:id="rId94"/>
          <w:footerReference w:type="default" r:id="rId95"/>
          <w:pgSz w:w="11906" w:h="16838"/>
          <w:pgMar w:top="1276" w:right="1797" w:bottom="1134" w:left="1797" w:header="720" w:footer="737" w:gutter="0"/>
          <w:cols w:space="720"/>
          <w:docGrid w:type="linesAndChars" w:linePitch="360"/>
        </w:sectPr>
      </w:pPr>
    </w:p>
    <w:p w14:paraId="526BEE8C" w14:textId="77777777" w:rsidR="00F24F39" w:rsidRPr="00F24F39" w:rsidRDefault="00F24F39" w:rsidP="00A94770">
      <w:pPr>
        <w:keepNext/>
        <w:suppressAutoHyphens/>
        <w:spacing w:before="360" w:after="240"/>
        <w:ind w:firstLine="142"/>
        <w:outlineLvl w:val="1"/>
        <w:rPr>
          <w:rFonts w:eastAsia="細明體" w:cs="Segoe UI"/>
          <w:color w:val="AA322F"/>
          <w:sz w:val="22"/>
          <w:lang w:eastAsia="ar-SA"/>
        </w:rPr>
      </w:pPr>
      <w:r w:rsidRPr="00F24F39">
        <w:rPr>
          <w:rFonts w:eastAsia="細明體" w:cs="Segoe UI"/>
          <w:color w:val="AA322F"/>
          <w:sz w:val="24"/>
          <w:lang w:eastAsia="ar-SA"/>
        </w:rPr>
        <w:t xml:space="preserve">I. </w:t>
      </w:r>
      <w:r w:rsidRPr="00F24F39">
        <w:rPr>
          <w:rFonts w:eastAsia="細明體" w:cs="Segoe UI"/>
          <w:color w:val="AA322F"/>
          <w:sz w:val="24"/>
          <w:lang w:eastAsia="ar-SA"/>
        </w:rPr>
        <w:tab/>
      </w:r>
      <w:r w:rsidRPr="00F24F39">
        <w:rPr>
          <w:rFonts w:eastAsia="細明體" w:cs="Segoe UI" w:hint="eastAsia"/>
          <w:color w:val="AA322F"/>
          <w:sz w:val="24"/>
          <w:lang w:eastAsia="ar-SA"/>
        </w:rPr>
        <w:t>量化披露</w:t>
      </w:r>
      <w:r w:rsidRPr="00F24F39">
        <w:rPr>
          <w:rFonts w:ascii="細明體" w:eastAsia="細明體" w:hAnsi="細明體" w:cs="細明體" w:hint="eastAsia"/>
          <w:color w:val="AA322F"/>
          <w:sz w:val="24"/>
          <w:lang w:eastAsia="ar-SA"/>
        </w:rPr>
        <w:t>──</w:t>
      </w:r>
      <w:r w:rsidRPr="00F24F39">
        <w:rPr>
          <w:rFonts w:eastAsia="細明體" w:cs="Segoe UI" w:hint="eastAsia"/>
          <w:color w:val="AA322F"/>
          <w:sz w:val="24"/>
          <w:lang w:eastAsia="ar-SA"/>
        </w:rPr>
        <w:t>證券化類別風險承擔的說明</w:t>
      </w:r>
    </w:p>
    <w:p w14:paraId="11F6C80A" w14:textId="5AF732C6" w:rsidR="000D5C9B" w:rsidRPr="000D5C9B" w:rsidRDefault="000D5C9B" w:rsidP="00A94770">
      <w:pPr>
        <w:pStyle w:val="Heading2"/>
        <w:keepNext w:val="0"/>
        <w:suppressAutoHyphens w:val="0"/>
        <w:spacing w:before="40" w:line="240" w:lineRule="auto"/>
        <w:ind w:left="-454" w:firstLine="596"/>
        <w:rPr>
          <w:rFonts w:ascii="細明體" w:eastAsia="細明體" w:hAnsi="細明體"/>
          <w:b w:val="0"/>
          <w:bCs w:val="0"/>
          <w:sz w:val="22"/>
          <w:szCs w:val="20"/>
          <w:lang w:eastAsia="zh-TW"/>
        </w:rPr>
      </w:pPr>
      <w:r w:rsidRPr="000D5C9B">
        <w:rPr>
          <w:rFonts w:ascii="細明體" w:eastAsia="細明體" w:hAnsi="細明體" w:cs="Segoe UI" w:hint="eastAsia"/>
          <w:b w:val="0"/>
          <w:sz w:val="22"/>
        </w:rPr>
        <w:t>模版</w:t>
      </w:r>
      <w:r w:rsidRPr="000D5C9B">
        <w:rPr>
          <w:rFonts w:ascii="Segoe UI" w:eastAsia="細明體" w:hAnsi="Segoe UI" w:cs="Segoe UI"/>
          <w:b w:val="0"/>
          <w:sz w:val="22"/>
        </w:rPr>
        <w:t>SEC1</w:t>
      </w:r>
      <w:r w:rsidRPr="000D5C9B">
        <w:rPr>
          <w:rFonts w:ascii="細明體" w:eastAsia="細明體" w:hAnsi="細明體" w:cs="Segoe UI" w:hint="eastAsia"/>
          <w:b w:val="0"/>
          <w:sz w:val="22"/>
        </w:rPr>
        <w:t>：銀行帳</w:t>
      </w:r>
      <w:r w:rsidRPr="000D5C9B">
        <w:rPr>
          <w:rFonts w:ascii="細明體" w:eastAsia="細明體" w:hAnsi="細明體" w:cs="Segoe UI" w:hint="eastAsia"/>
          <w:b w:val="0"/>
          <w:sz w:val="22"/>
          <w:szCs w:val="22"/>
        </w:rPr>
        <w:t>內</w:t>
      </w:r>
      <w:r w:rsidRPr="000D5C9B">
        <w:rPr>
          <w:rFonts w:ascii="細明體" w:eastAsia="細明體" w:hAnsi="細明體" w:cs="Segoe UI" w:hint="eastAsia"/>
          <w:b w:val="0"/>
          <w:sz w:val="22"/>
        </w:rPr>
        <w:t>的證券化類別風險承擔</w:t>
      </w:r>
    </w:p>
    <w:tbl>
      <w:tblPr>
        <w:tblW w:w="0" w:type="auto"/>
        <w:tblInd w:w="108" w:type="dxa"/>
        <w:tblLayout w:type="fixed"/>
        <w:tblLook w:val="0000" w:firstRow="0" w:lastRow="0" w:firstColumn="0" w:lastColumn="0" w:noHBand="0" w:noVBand="0"/>
      </w:tblPr>
      <w:tblGrid>
        <w:gridCol w:w="2552"/>
        <w:gridCol w:w="11340"/>
      </w:tblGrid>
      <w:tr w:rsidR="00F24F39" w:rsidRPr="00F24F39" w14:paraId="096F4021" w14:textId="77777777" w:rsidTr="005F4B44">
        <w:tc>
          <w:tcPr>
            <w:tcW w:w="2552" w:type="dxa"/>
            <w:tcBorders>
              <w:top w:val="single" w:sz="4" w:space="0" w:color="000000"/>
              <w:bottom w:val="single" w:sz="4" w:space="0" w:color="000000"/>
            </w:tcBorders>
            <w:shd w:val="clear" w:color="auto" w:fill="auto"/>
          </w:tcPr>
          <w:p w14:paraId="4640D938"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目的：</w:t>
            </w:r>
          </w:p>
        </w:tc>
        <w:tc>
          <w:tcPr>
            <w:tcW w:w="11340" w:type="dxa"/>
            <w:tcBorders>
              <w:top w:val="single" w:sz="4" w:space="0" w:color="000000"/>
              <w:left w:val="single" w:sz="4" w:space="0" w:color="000000"/>
              <w:bottom w:val="single" w:sz="4" w:space="0" w:color="000000"/>
            </w:tcBorders>
            <w:shd w:val="clear" w:color="auto" w:fill="auto"/>
          </w:tcPr>
          <w:p w14:paraId="40DA1548"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就銀行帳內的證券化類別風險承擔（不論該等風險承擔是否由合資格證券化交易</w:t>
            </w:r>
            <w:r w:rsidRPr="00F24F39">
              <w:rPr>
                <w:rFonts w:eastAsia="細明體" w:cs="Segoe UI" w:hint="eastAsia"/>
                <w:sz w:val="17"/>
                <w:lang w:eastAsia="zh-TW"/>
              </w:rPr>
              <w:t>或非合資格證券化交易</w:t>
            </w:r>
            <w:r w:rsidRPr="00F24F39">
              <w:rPr>
                <w:rFonts w:eastAsia="細明體" w:cs="Segoe UI" w:hint="eastAsia"/>
                <w:sz w:val="17"/>
                <w:lang w:eastAsia="ar-SA"/>
              </w:rPr>
              <w:t>產生），展示細目分類。</w:t>
            </w:r>
          </w:p>
        </w:tc>
      </w:tr>
      <w:tr w:rsidR="00F24F39" w:rsidRPr="00F24F39" w14:paraId="6F0D6F66" w14:textId="77777777" w:rsidTr="005F4B44">
        <w:tc>
          <w:tcPr>
            <w:tcW w:w="2552" w:type="dxa"/>
            <w:tcBorders>
              <w:top w:val="single" w:sz="4" w:space="0" w:color="000000"/>
              <w:bottom w:val="single" w:sz="4" w:space="0" w:color="000000"/>
            </w:tcBorders>
            <w:shd w:val="clear" w:color="auto" w:fill="auto"/>
          </w:tcPr>
          <w:p w14:paraId="0BFBE4B8"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適用範圍：</w:t>
            </w:r>
          </w:p>
        </w:tc>
        <w:tc>
          <w:tcPr>
            <w:tcW w:w="11340" w:type="dxa"/>
            <w:tcBorders>
              <w:top w:val="single" w:sz="4" w:space="0" w:color="000000"/>
              <w:left w:val="single" w:sz="4" w:space="0" w:color="000000"/>
              <w:bottom w:val="single" w:sz="4" w:space="0" w:color="000000"/>
            </w:tcBorders>
            <w:shd w:val="clear" w:color="auto" w:fill="auto"/>
          </w:tcPr>
          <w:p w14:paraId="59821932"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在香港成立為法團並於銀行帳內持有證券化類別風險承擔的認可機構，均須填報本模版。</w:t>
            </w:r>
          </w:p>
        </w:tc>
      </w:tr>
      <w:tr w:rsidR="00F24F39" w:rsidRPr="00F24F39" w14:paraId="4BFBEAED" w14:textId="77777777" w:rsidTr="005F4B44">
        <w:trPr>
          <w:trHeight w:val="387"/>
        </w:trPr>
        <w:tc>
          <w:tcPr>
            <w:tcW w:w="2552" w:type="dxa"/>
            <w:tcBorders>
              <w:top w:val="single" w:sz="4" w:space="0" w:color="000000"/>
              <w:bottom w:val="single" w:sz="4" w:space="0" w:color="000000"/>
            </w:tcBorders>
            <w:shd w:val="clear" w:color="auto" w:fill="auto"/>
          </w:tcPr>
          <w:p w14:paraId="71778CE5"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內容：</w:t>
            </w:r>
          </w:p>
        </w:tc>
        <w:tc>
          <w:tcPr>
            <w:tcW w:w="11340" w:type="dxa"/>
            <w:tcBorders>
              <w:top w:val="single" w:sz="4" w:space="0" w:color="000000"/>
              <w:left w:val="single" w:sz="4" w:space="0" w:color="000000"/>
              <w:bottom w:val="single" w:sz="4" w:space="0" w:color="000000"/>
            </w:tcBorders>
            <w:shd w:val="clear" w:color="auto" w:fill="auto"/>
          </w:tcPr>
          <w:p w14:paraId="12651C50"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帳面值。</w:t>
            </w:r>
            <w:r w:rsidRPr="00F24F39">
              <w:rPr>
                <w:rFonts w:eastAsia="細明體" w:cs="Segoe UI" w:hint="eastAsia"/>
                <w:sz w:val="17"/>
                <w:lang w:eastAsia="zh-TW"/>
              </w:rPr>
              <w:t>就</w:t>
            </w:r>
            <w:r w:rsidRPr="00F24F39">
              <w:rPr>
                <w:rFonts w:eastAsia="細明體" w:cs="Segoe UI" w:hint="eastAsia"/>
                <w:sz w:val="17"/>
                <w:lang w:eastAsia="ar-SA"/>
              </w:rPr>
              <w:t>本模版</w:t>
            </w:r>
            <w:r w:rsidRPr="00F24F39">
              <w:rPr>
                <w:rFonts w:eastAsia="細明體" w:cs="Segoe UI" w:hint="eastAsia"/>
                <w:sz w:val="17"/>
                <w:lang w:eastAsia="zh-TW"/>
              </w:rPr>
              <w:t>的</w:t>
            </w:r>
            <w:r w:rsidRPr="00F24F39">
              <w:rPr>
                <w:rFonts w:eastAsia="細明體" w:cs="Segoe UI" w:hint="eastAsia"/>
                <w:sz w:val="17"/>
                <w:lang w:eastAsia="ar-SA"/>
              </w:rPr>
              <w:t>目的</w:t>
            </w:r>
            <w:r w:rsidRPr="00F24F39">
              <w:rPr>
                <w:rFonts w:eastAsia="細明體" w:cs="Segoe UI" w:hint="eastAsia"/>
                <w:sz w:val="17"/>
                <w:lang w:eastAsia="zh-TW"/>
              </w:rPr>
              <w:t>而言</w:t>
            </w:r>
            <w:r w:rsidRPr="00F24F39">
              <w:rPr>
                <w:rFonts w:eastAsia="細明體" w:cs="Segoe UI" w:hint="eastAsia"/>
                <w:sz w:val="17"/>
                <w:szCs w:val="17"/>
                <w:lang w:eastAsia="ar-SA"/>
              </w:rPr>
              <w:t>，</w:t>
            </w:r>
            <w:r w:rsidRPr="00F24F39">
              <w:rPr>
                <w:rFonts w:eastAsia="細明體" w:cs="Segoe UI" w:hint="eastAsia"/>
                <w:sz w:val="17"/>
                <w:lang w:eastAsia="ar-SA"/>
              </w:rPr>
              <w:t>證券化類別風險承擔指《資本規則》所界定者，包括該等</w:t>
            </w:r>
            <w:r w:rsidRPr="00F24F39">
              <w:rPr>
                <w:rFonts w:eastAsia="細明體" w:cs="Segoe UI" w:hint="eastAsia"/>
                <w:sz w:val="17"/>
                <w:lang w:eastAsia="zh-TW"/>
              </w:rPr>
              <w:t>非合資格</w:t>
            </w:r>
            <w:r w:rsidRPr="00F24F39">
              <w:rPr>
                <w:rFonts w:eastAsia="細明體" w:cs="Segoe UI" w:hint="eastAsia"/>
                <w:sz w:val="17"/>
                <w:lang w:eastAsia="ar-SA"/>
              </w:rPr>
              <w:t>證券化交易產生的風險承擔。</w:t>
            </w:r>
          </w:p>
        </w:tc>
      </w:tr>
      <w:tr w:rsidR="00F24F39" w:rsidRPr="00F24F39" w14:paraId="4D5E813A" w14:textId="77777777" w:rsidTr="005F4B44">
        <w:trPr>
          <w:trHeight w:val="144"/>
        </w:trPr>
        <w:tc>
          <w:tcPr>
            <w:tcW w:w="2552" w:type="dxa"/>
            <w:tcBorders>
              <w:top w:val="single" w:sz="4" w:space="0" w:color="000000"/>
              <w:bottom w:val="single" w:sz="4" w:space="0" w:color="000000"/>
            </w:tcBorders>
            <w:shd w:val="clear" w:color="auto" w:fill="auto"/>
          </w:tcPr>
          <w:p w14:paraId="1A7052FA"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頻密程度：</w:t>
            </w:r>
          </w:p>
        </w:tc>
        <w:tc>
          <w:tcPr>
            <w:tcW w:w="11340" w:type="dxa"/>
            <w:tcBorders>
              <w:top w:val="single" w:sz="4" w:space="0" w:color="000000"/>
              <w:left w:val="single" w:sz="4" w:space="0" w:color="000000"/>
              <w:bottom w:val="single" w:sz="4" w:space="0" w:color="000000"/>
            </w:tcBorders>
            <w:shd w:val="clear" w:color="auto" w:fill="auto"/>
          </w:tcPr>
          <w:p w14:paraId="622C023B"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每半年一次。</w:t>
            </w:r>
          </w:p>
        </w:tc>
      </w:tr>
      <w:tr w:rsidR="00F24F39" w:rsidRPr="00F24F39" w14:paraId="15DDCF61" w14:textId="77777777" w:rsidTr="005F4B44">
        <w:tc>
          <w:tcPr>
            <w:tcW w:w="2552" w:type="dxa"/>
            <w:tcBorders>
              <w:top w:val="single" w:sz="4" w:space="0" w:color="000000"/>
              <w:bottom w:val="single" w:sz="4" w:space="0" w:color="000000"/>
            </w:tcBorders>
            <w:shd w:val="clear" w:color="auto" w:fill="auto"/>
          </w:tcPr>
          <w:p w14:paraId="3D906836"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格式：</w:t>
            </w:r>
          </w:p>
        </w:tc>
        <w:tc>
          <w:tcPr>
            <w:tcW w:w="11340" w:type="dxa"/>
            <w:tcBorders>
              <w:top w:val="single" w:sz="4" w:space="0" w:color="000000"/>
              <w:left w:val="single" w:sz="4" w:space="0" w:color="000000"/>
              <w:bottom w:val="single" w:sz="4" w:space="0" w:color="000000"/>
            </w:tcBorders>
            <w:shd w:val="clear" w:color="auto" w:fill="auto"/>
          </w:tcPr>
          <w:p w14:paraId="67FAA6CC"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非固定。</w:t>
            </w:r>
          </w:p>
        </w:tc>
      </w:tr>
      <w:tr w:rsidR="00F24F39" w:rsidRPr="00F24F39" w14:paraId="53524F69" w14:textId="77777777" w:rsidTr="005F4B44">
        <w:tc>
          <w:tcPr>
            <w:tcW w:w="2552" w:type="dxa"/>
            <w:tcBorders>
              <w:top w:val="single" w:sz="4" w:space="0" w:color="000000"/>
              <w:bottom w:val="single" w:sz="4" w:space="0" w:color="000000"/>
            </w:tcBorders>
            <w:shd w:val="clear" w:color="auto" w:fill="auto"/>
          </w:tcPr>
          <w:p w14:paraId="79698BF5" w14:textId="77777777" w:rsidR="00F24F39" w:rsidRPr="00F24F39" w:rsidRDefault="00F24F39" w:rsidP="00F24F39">
            <w:pPr>
              <w:suppressAutoHyphens/>
              <w:spacing w:before="40" w:after="40"/>
              <w:rPr>
                <w:rFonts w:eastAsia="細明體" w:cs="Segoe UI"/>
                <w:sz w:val="17"/>
                <w:szCs w:val="17"/>
                <w:lang w:eastAsia="ar-SA"/>
              </w:rPr>
            </w:pPr>
            <w:r w:rsidRPr="00F24F39">
              <w:rPr>
                <w:rFonts w:eastAsia="細明體" w:cs="Segoe UI" w:hint="eastAsia"/>
                <w:b/>
                <w:sz w:val="17"/>
                <w:szCs w:val="17"/>
                <w:lang w:eastAsia="ar-SA"/>
              </w:rPr>
              <w:t>附加說明</w:t>
            </w:r>
            <w:r w:rsidRPr="00F24F39">
              <w:rPr>
                <w:rFonts w:eastAsia="細明體" w:cs="Segoe UI" w:hint="eastAsia"/>
                <w:sz w:val="17"/>
                <w:szCs w:val="17"/>
                <w:lang w:eastAsia="ar-SA"/>
              </w:rPr>
              <w:t>：</w:t>
            </w:r>
          </w:p>
        </w:tc>
        <w:tc>
          <w:tcPr>
            <w:tcW w:w="11340" w:type="dxa"/>
            <w:tcBorders>
              <w:top w:val="single" w:sz="4" w:space="0" w:color="000000"/>
              <w:left w:val="single" w:sz="4" w:space="0" w:color="000000"/>
              <w:bottom w:val="single" w:sz="4" w:space="0" w:color="000000"/>
            </w:tcBorders>
            <w:shd w:val="clear" w:color="auto" w:fill="auto"/>
          </w:tcPr>
          <w:p w14:paraId="612B4065" w14:textId="464DF4BF" w:rsidR="00F24F39" w:rsidRPr="00F24F39" w:rsidRDefault="00F24F39" w:rsidP="00872CF6">
            <w:pPr>
              <w:suppressAutoHyphens/>
              <w:spacing w:before="40" w:after="40"/>
              <w:jc w:val="both"/>
              <w:rPr>
                <w:rFonts w:cs="Segoe UI"/>
                <w:lang w:eastAsia="ar-SA"/>
              </w:rPr>
            </w:pPr>
            <w:r w:rsidRPr="00F24F39">
              <w:rPr>
                <w:rFonts w:eastAsia="細明體" w:cs="Segoe UI" w:hint="eastAsia"/>
                <w:sz w:val="17"/>
                <w:szCs w:val="17"/>
                <w:lang w:eastAsia="ar-SA"/>
              </w:rPr>
              <w:t>認可機構應以敘述評註闡明現行報告期內的任何重大</w:t>
            </w:r>
            <w:r w:rsidR="00872CF6" w:rsidRPr="00872CF6">
              <w:rPr>
                <w:rFonts w:eastAsia="細明體" w:cs="Segoe UI" w:hint="eastAsia"/>
                <w:sz w:val="17"/>
                <w:szCs w:val="17"/>
                <w:lang w:eastAsia="ar-SA"/>
              </w:rPr>
              <w:t>改</w:t>
            </w:r>
            <w:r w:rsidRPr="00F24F39">
              <w:rPr>
                <w:rFonts w:eastAsia="細明體" w:cs="Segoe UI" w:hint="eastAsia"/>
                <w:sz w:val="17"/>
                <w:szCs w:val="17"/>
                <w:lang w:eastAsia="ar-SA"/>
              </w:rPr>
              <w:t>變及引致該等</w:t>
            </w:r>
            <w:r w:rsidR="00872CF6" w:rsidRPr="00872CF6">
              <w:rPr>
                <w:rFonts w:eastAsia="細明體" w:cs="Segoe UI" w:hint="eastAsia"/>
                <w:sz w:val="17"/>
                <w:szCs w:val="17"/>
                <w:lang w:eastAsia="ar-SA"/>
              </w:rPr>
              <w:t>改</w:t>
            </w:r>
            <w:r w:rsidRPr="00F24F39">
              <w:rPr>
                <w:rFonts w:eastAsia="細明體" w:cs="Segoe UI" w:hint="eastAsia"/>
                <w:sz w:val="17"/>
                <w:szCs w:val="17"/>
                <w:lang w:eastAsia="ar-SA"/>
              </w:rPr>
              <w:t>變的主要驅動因素，以補充本模版。</w:t>
            </w:r>
          </w:p>
        </w:tc>
      </w:tr>
      <w:tr w:rsidR="00F24F39" w:rsidRPr="00F24F39" w14:paraId="39499D5B" w14:textId="77777777" w:rsidTr="005F4B44">
        <w:tc>
          <w:tcPr>
            <w:tcW w:w="2552" w:type="dxa"/>
            <w:tcBorders>
              <w:top w:val="single" w:sz="4" w:space="0" w:color="000000"/>
              <w:bottom w:val="single" w:sz="4" w:space="0" w:color="000000"/>
            </w:tcBorders>
            <w:shd w:val="clear" w:color="auto" w:fill="auto"/>
          </w:tcPr>
          <w:p w14:paraId="17BD5E7E" w14:textId="77777777" w:rsidR="00F24F39" w:rsidRPr="00F24F39" w:rsidRDefault="00F24F39" w:rsidP="00F24F39">
            <w:pPr>
              <w:suppressAutoHyphens/>
              <w:spacing w:before="40" w:after="40"/>
              <w:rPr>
                <w:rFonts w:eastAsia="細明體" w:cs="Segoe UI"/>
                <w:sz w:val="17"/>
                <w:szCs w:val="17"/>
                <w:lang w:eastAsia="ar-SA"/>
              </w:rPr>
            </w:pPr>
            <w:r w:rsidRPr="00F24F39">
              <w:rPr>
                <w:rFonts w:eastAsia="細明體" w:cs="Segoe UI" w:hint="eastAsia"/>
                <w:b/>
                <w:sz w:val="17"/>
                <w:szCs w:val="17"/>
                <w:lang w:eastAsia="ar-SA"/>
              </w:rPr>
              <w:t>《披露規則》相應條文：</w:t>
            </w:r>
          </w:p>
        </w:tc>
        <w:tc>
          <w:tcPr>
            <w:tcW w:w="11340" w:type="dxa"/>
            <w:tcBorders>
              <w:top w:val="single" w:sz="4" w:space="0" w:color="000000"/>
              <w:left w:val="single" w:sz="4" w:space="0" w:color="000000"/>
              <w:bottom w:val="single" w:sz="4" w:space="0" w:color="000000"/>
            </w:tcBorders>
            <w:shd w:val="clear" w:color="auto" w:fill="auto"/>
          </w:tcPr>
          <w:p w14:paraId="56DEB81A" w14:textId="77777777" w:rsidR="00F24F39" w:rsidRPr="00F24F39" w:rsidRDefault="00F24F39" w:rsidP="00F24F39">
            <w:pPr>
              <w:suppressAutoHyphens/>
              <w:spacing w:before="40" w:after="40"/>
              <w:jc w:val="both"/>
              <w:rPr>
                <w:rFonts w:cs="Segoe UI"/>
                <w:lang w:eastAsia="ar-SA"/>
              </w:rPr>
            </w:pPr>
            <w:r w:rsidRPr="00F24F39">
              <w:rPr>
                <w:rFonts w:eastAsia="細明體" w:cs="Segoe UI"/>
                <w:sz w:val="17"/>
                <w:szCs w:val="17"/>
                <w:lang w:eastAsia="ar-SA"/>
              </w:rPr>
              <w:t>16ZF</w:t>
            </w:r>
          </w:p>
        </w:tc>
      </w:tr>
    </w:tbl>
    <w:p w14:paraId="582672B7" w14:textId="77777777" w:rsidR="00F24F39" w:rsidRPr="00F24F39" w:rsidRDefault="00F24F39" w:rsidP="00F24F39">
      <w:pPr>
        <w:suppressAutoHyphens/>
        <w:spacing w:before="40" w:after="40"/>
        <w:rPr>
          <w:rFonts w:eastAsia="細明體" w:cs="Segoe UI"/>
          <w:sz w:val="22"/>
          <w:lang w:eastAsia="ar-SA"/>
        </w:rPr>
      </w:pPr>
    </w:p>
    <w:tbl>
      <w:tblPr>
        <w:tblW w:w="0" w:type="auto"/>
        <w:tblInd w:w="108" w:type="dxa"/>
        <w:tblLayout w:type="fixed"/>
        <w:tblLook w:val="0000" w:firstRow="0" w:lastRow="0" w:firstColumn="0" w:lastColumn="0" w:noHBand="0" w:noVBand="0"/>
      </w:tblPr>
      <w:tblGrid>
        <w:gridCol w:w="420"/>
        <w:gridCol w:w="2557"/>
        <w:gridCol w:w="1212"/>
        <w:gridCol w:w="1213"/>
        <w:gridCol w:w="1213"/>
        <w:gridCol w:w="1213"/>
        <w:gridCol w:w="1212"/>
        <w:gridCol w:w="1213"/>
        <w:gridCol w:w="1213"/>
        <w:gridCol w:w="1213"/>
        <w:gridCol w:w="1233"/>
      </w:tblGrid>
      <w:tr w:rsidR="00F24F39" w:rsidRPr="00F24F39" w14:paraId="63D0CDA7" w14:textId="77777777" w:rsidTr="005F4B44">
        <w:trPr>
          <w:cantSplit/>
          <w:trHeight w:val="113"/>
          <w:tblHeader/>
        </w:trPr>
        <w:tc>
          <w:tcPr>
            <w:tcW w:w="420" w:type="dxa"/>
            <w:shd w:val="clear" w:color="auto" w:fill="auto"/>
          </w:tcPr>
          <w:p w14:paraId="560BBB55" w14:textId="77777777" w:rsidR="00F24F39" w:rsidRPr="00F24F39" w:rsidRDefault="00F24F39" w:rsidP="00F24F39">
            <w:pPr>
              <w:keepNext/>
              <w:suppressAutoHyphens/>
              <w:snapToGrid w:val="0"/>
              <w:spacing w:before="40" w:after="40"/>
              <w:rPr>
                <w:rFonts w:eastAsia="細明體" w:cs="Segoe UI"/>
                <w:sz w:val="17"/>
                <w:szCs w:val="17"/>
                <w:lang w:eastAsia="ar-SA"/>
              </w:rPr>
            </w:pPr>
          </w:p>
        </w:tc>
        <w:tc>
          <w:tcPr>
            <w:tcW w:w="2557" w:type="dxa"/>
            <w:shd w:val="clear" w:color="auto" w:fill="auto"/>
            <w:vAlign w:val="center"/>
          </w:tcPr>
          <w:p w14:paraId="1B1E9874" w14:textId="77777777" w:rsidR="00F24F39" w:rsidRPr="00F24F39" w:rsidRDefault="00F24F39" w:rsidP="00F24F39">
            <w:pPr>
              <w:keepNext/>
              <w:suppressAutoHyphens/>
              <w:snapToGrid w:val="0"/>
              <w:spacing w:before="40" w:after="40"/>
              <w:rPr>
                <w:rFonts w:eastAsia="細明體" w:cs="Segoe UI"/>
                <w:sz w:val="17"/>
                <w:szCs w:val="17"/>
                <w:lang w:eastAsia="ar-SA"/>
              </w:rPr>
            </w:pPr>
          </w:p>
        </w:tc>
        <w:tc>
          <w:tcPr>
            <w:tcW w:w="1212" w:type="dxa"/>
            <w:tcBorders>
              <w:top w:val="single" w:sz="4" w:space="0" w:color="000000"/>
              <w:left w:val="single" w:sz="4" w:space="0" w:color="000000"/>
              <w:bottom w:val="single" w:sz="4" w:space="0" w:color="000000"/>
            </w:tcBorders>
            <w:shd w:val="clear" w:color="auto" w:fill="auto"/>
          </w:tcPr>
          <w:p w14:paraId="7FCB552E"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(a)</w:t>
            </w:r>
          </w:p>
        </w:tc>
        <w:tc>
          <w:tcPr>
            <w:tcW w:w="1213" w:type="dxa"/>
            <w:tcBorders>
              <w:top w:val="single" w:sz="4" w:space="0" w:color="000000"/>
              <w:left w:val="single" w:sz="4" w:space="0" w:color="000000"/>
              <w:bottom w:val="single" w:sz="4" w:space="0" w:color="000000"/>
            </w:tcBorders>
            <w:shd w:val="clear" w:color="auto" w:fill="auto"/>
          </w:tcPr>
          <w:p w14:paraId="368FCB02"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(b)</w:t>
            </w:r>
          </w:p>
        </w:tc>
        <w:tc>
          <w:tcPr>
            <w:tcW w:w="1213" w:type="dxa"/>
            <w:tcBorders>
              <w:top w:val="single" w:sz="4" w:space="0" w:color="000000"/>
              <w:left w:val="single" w:sz="4" w:space="0" w:color="000000"/>
              <w:bottom w:val="single" w:sz="4" w:space="0" w:color="000000"/>
            </w:tcBorders>
            <w:shd w:val="clear" w:color="auto" w:fill="auto"/>
          </w:tcPr>
          <w:p w14:paraId="456BEAF6"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(c)</w:t>
            </w:r>
          </w:p>
        </w:tc>
        <w:tc>
          <w:tcPr>
            <w:tcW w:w="1213" w:type="dxa"/>
            <w:tcBorders>
              <w:top w:val="single" w:sz="4" w:space="0" w:color="000000"/>
              <w:left w:val="single" w:sz="4" w:space="0" w:color="000000"/>
              <w:bottom w:val="single" w:sz="4" w:space="0" w:color="000000"/>
            </w:tcBorders>
            <w:shd w:val="clear" w:color="auto" w:fill="auto"/>
          </w:tcPr>
          <w:p w14:paraId="5821B409"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(d)</w:t>
            </w:r>
          </w:p>
        </w:tc>
        <w:tc>
          <w:tcPr>
            <w:tcW w:w="1212" w:type="dxa"/>
            <w:tcBorders>
              <w:top w:val="single" w:sz="4" w:space="0" w:color="000000"/>
              <w:left w:val="single" w:sz="4" w:space="0" w:color="000000"/>
              <w:bottom w:val="single" w:sz="4" w:space="0" w:color="000000"/>
            </w:tcBorders>
            <w:shd w:val="clear" w:color="auto" w:fill="auto"/>
          </w:tcPr>
          <w:p w14:paraId="2004A0DA"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(e)</w:t>
            </w:r>
          </w:p>
        </w:tc>
        <w:tc>
          <w:tcPr>
            <w:tcW w:w="1213" w:type="dxa"/>
            <w:tcBorders>
              <w:top w:val="single" w:sz="4" w:space="0" w:color="000000"/>
              <w:left w:val="single" w:sz="4" w:space="0" w:color="000000"/>
              <w:bottom w:val="single" w:sz="4" w:space="0" w:color="000000"/>
            </w:tcBorders>
            <w:shd w:val="clear" w:color="auto" w:fill="auto"/>
          </w:tcPr>
          <w:p w14:paraId="6C9B8E07"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(f)</w:t>
            </w:r>
          </w:p>
        </w:tc>
        <w:tc>
          <w:tcPr>
            <w:tcW w:w="1213" w:type="dxa"/>
            <w:tcBorders>
              <w:top w:val="single" w:sz="4" w:space="0" w:color="000000"/>
              <w:left w:val="single" w:sz="4" w:space="0" w:color="000000"/>
              <w:bottom w:val="single" w:sz="4" w:space="0" w:color="000000"/>
            </w:tcBorders>
            <w:shd w:val="clear" w:color="auto" w:fill="auto"/>
          </w:tcPr>
          <w:p w14:paraId="26A4A3A5"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(g)</w:t>
            </w:r>
          </w:p>
        </w:tc>
        <w:tc>
          <w:tcPr>
            <w:tcW w:w="1213" w:type="dxa"/>
            <w:tcBorders>
              <w:top w:val="single" w:sz="4" w:space="0" w:color="000000"/>
              <w:left w:val="single" w:sz="4" w:space="0" w:color="000000"/>
              <w:bottom w:val="single" w:sz="4" w:space="0" w:color="000000"/>
            </w:tcBorders>
            <w:shd w:val="clear" w:color="auto" w:fill="auto"/>
          </w:tcPr>
          <w:p w14:paraId="1526C996"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(h)</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0C102E67" w14:textId="77777777" w:rsidR="00F24F39" w:rsidRPr="00F24F39" w:rsidRDefault="00F24F39" w:rsidP="00F24F39">
            <w:pPr>
              <w:suppressAutoHyphens/>
              <w:snapToGrid w:val="0"/>
              <w:spacing w:before="40" w:after="40"/>
              <w:jc w:val="center"/>
              <w:rPr>
                <w:rFonts w:cs="Segoe UI"/>
                <w:lang w:eastAsia="ar-SA"/>
              </w:rPr>
            </w:pPr>
            <w:r w:rsidRPr="00F24F39">
              <w:rPr>
                <w:rFonts w:eastAsia="細明體" w:cs="Segoe UI"/>
                <w:bCs/>
                <w:sz w:val="17"/>
                <w:szCs w:val="17"/>
                <w:lang w:eastAsia="ar-SA"/>
              </w:rPr>
              <w:t>(</w:t>
            </w:r>
            <w:proofErr w:type="spellStart"/>
            <w:r w:rsidRPr="00F24F39">
              <w:rPr>
                <w:rFonts w:eastAsia="細明體" w:cs="Segoe UI"/>
                <w:bCs/>
                <w:sz w:val="17"/>
                <w:szCs w:val="17"/>
                <w:lang w:eastAsia="ar-SA"/>
              </w:rPr>
              <w:t>i</w:t>
            </w:r>
            <w:proofErr w:type="spellEnd"/>
            <w:r w:rsidRPr="00F24F39">
              <w:rPr>
                <w:rFonts w:eastAsia="細明體" w:cs="Segoe UI"/>
                <w:bCs/>
                <w:sz w:val="17"/>
                <w:szCs w:val="17"/>
                <w:lang w:eastAsia="ar-SA"/>
              </w:rPr>
              <w:t>)</w:t>
            </w:r>
          </w:p>
        </w:tc>
      </w:tr>
      <w:tr w:rsidR="00F24F39" w:rsidRPr="00F24F39" w14:paraId="2842AF71" w14:textId="77777777" w:rsidTr="005F4B44">
        <w:trPr>
          <w:cantSplit/>
          <w:tblHeader/>
        </w:trPr>
        <w:tc>
          <w:tcPr>
            <w:tcW w:w="420" w:type="dxa"/>
            <w:shd w:val="clear" w:color="auto" w:fill="auto"/>
          </w:tcPr>
          <w:p w14:paraId="5C6E6E43" w14:textId="77777777" w:rsidR="00F24F39" w:rsidRPr="00F24F39" w:rsidRDefault="00F24F39" w:rsidP="00F24F39">
            <w:pPr>
              <w:keepNext/>
              <w:suppressAutoHyphens/>
              <w:snapToGrid w:val="0"/>
              <w:rPr>
                <w:rFonts w:eastAsia="細明體" w:cs="Segoe UI"/>
                <w:sz w:val="17"/>
                <w:szCs w:val="17"/>
                <w:lang w:eastAsia="ar-SA"/>
              </w:rPr>
            </w:pPr>
          </w:p>
        </w:tc>
        <w:tc>
          <w:tcPr>
            <w:tcW w:w="2557" w:type="dxa"/>
            <w:shd w:val="clear" w:color="auto" w:fill="auto"/>
            <w:vAlign w:val="center"/>
          </w:tcPr>
          <w:p w14:paraId="1388DE14" w14:textId="77777777" w:rsidR="00F24F39" w:rsidRPr="00F24F39" w:rsidRDefault="00F24F39" w:rsidP="00F24F39">
            <w:pPr>
              <w:keepNext/>
              <w:suppressAutoHyphens/>
              <w:snapToGrid w:val="0"/>
              <w:rPr>
                <w:rFonts w:eastAsia="細明體" w:cs="Segoe UI"/>
                <w:sz w:val="17"/>
                <w:szCs w:val="17"/>
                <w:lang w:eastAsia="ar-SA"/>
              </w:rPr>
            </w:pPr>
          </w:p>
        </w:tc>
        <w:tc>
          <w:tcPr>
            <w:tcW w:w="3638" w:type="dxa"/>
            <w:gridSpan w:val="3"/>
            <w:tcBorders>
              <w:top w:val="single" w:sz="4" w:space="0" w:color="000000"/>
              <w:left w:val="single" w:sz="4" w:space="0" w:color="000000"/>
              <w:bottom w:val="single" w:sz="4" w:space="0" w:color="000000"/>
            </w:tcBorders>
            <w:shd w:val="clear" w:color="auto" w:fill="auto"/>
            <w:vAlign w:val="center"/>
          </w:tcPr>
          <w:p w14:paraId="04BC61A9"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作為發起人（不包括保薦人）</w:t>
            </w:r>
          </w:p>
        </w:tc>
        <w:tc>
          <w:tcPr>
            <w:tcW w:w="3638" w:type="dxa"/>
            <w:gridSpan w:val="3"/>
            <w:tcBorders>
              <w:top w:val="single" w:sz="4" w:space="0" w:color="000000"/>
              <w:left w:val="single" w:sz="4" w:space="0" w:color="000000"/>
              <w:bottom w:val="single" w:sz="4" w:space="0" w:color="000000"/>
            </w:tcBorders>
            <w:shd w:val="clear" w:color="auto" w:fill="auto"/>
          </w:tcPr>
          <w:p w14:paraId="49FB534E"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作為保薦人</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B7B90B" w14:textId="77777777" w:rsidR="00F24F39" w:rsidRPr="00F24F39" w:rsidRDefault="00F24F39" w:rsidP="00F24F39">
            <w:pPr>
              <w:suppressAutoHyphens/>
              <w:snapToGrid w:val="0"/>
              <w:spacing w:before="20" w:after="20"/>
              <w:jc w:val="center"/>
              <w:rPr>
                <w:rFonts w:cs="Segoe UI"/>
                <w:lang w:eastAsia="ar-SA"/>
              </w:rPr>
            </w:pPr>
            <w:r w:rsidRPr="00F24F39">
              <w:rPr>
                <w:rFonts w:eastAsia="細明體" w:cs="Segoe UI" w:hint="eastAsia"/>
                <w:bCs/>
                <w:sz w:val="17"/>
                <w:szCs w:val="17"/>
                <w:lang w:eastAsia="ar-SA"/>
              </w:rPr>
              <w:t>作為投資者</w:t>
            </w:r>
          </w:p>
        </w:tc>
      </w:tr>
      <w:tr w:rsidR="00F24F39" w:rsidRPr="00F24F39" w14:paraId="550EC313" w14:textId="77777777" w:rsidTr="005F4B44">
        <w:trPr>
          <w:cantSplit/>
          <w:tblHeader/>
        </w:trPr>
        <w:tc>
          <w:tcPr>
            <w:tcW w:w="420" w:type="dxa"/>
            <w:tcBorders>
              <w:bottom w:val="single" w:sz="4" w:space="0" w:color="000000"/>
            </w:tcBorders>
            <w:shd w:val="clear" w:color="auto" w:fill="auto"/>
          </w:tcPr>
          <w:p w14:paraId="215150BA" w14:textId="77777777" w:rsidR="00F24F39" w:rsidRPr="00F24F39" w:rsidRDefault="00F24F39" w:rsidP="00F24F39">
            <w:pPr>
              <w:keepNext/>
              <w:suppressAutoHyphens/>
              <w:snapToGrid w:val="0"/>
              <w:rPr>
                <w:rFonts w:eastAsia="細明體" w:cs="Segoe UI"/>
                <w:sz w:val="17"/>
                <w:szCs w:val="17"/>
                <w:lang w:eastAsia="ar-SA"/>
              </w:rPr>
            </w:pPr>
          </w:p>
        </w:tc>
        <w:tc>
          <w:tcPr>
            <w:tcW w:w="2557" w:type="dxa"/>
            <w:tcBorders>
              <w:bottom w:val="single" w:sz="4" w:space="0" w:color="000000"/>
            </w:tcBorders>
            <w:shd w:val="clear" w:color="auto" w:fill="auto"/>
            <w:vAlign w:val="center"/>
          </w:tcPr>
          <w:p w14:paraId="4792BEC5" w14:textId="77777777" w:rsidR="00F24F39" w:rsidRPr="00F24F39" w:rsidRDefault="00F24F39" w:rsidP="00F24F39">
            <w:pPr>
              <w:keepNext/>
              <w:suppressAutoHyphens/>
              <w:snapToGrid w:val="0"/>
              <w:rPr>
                <w:rFonts w:eastAsia="細明體" w:cs="Segoe UI"/>
                <w:sz w:val="17"/>
                <w:szCs w:val="17"/>
                <w:lang w:eastAsia="ar-SA"/>
              </w:rPr>
            </w:pPr>
          </w:p>
        </w:tc>
        <w:tc>
          <w:tcPr>
            <w:tcW w:w="1212" w:type="dxa"/>
            <w:tcBorders>
              <w:top w:val="single" w:sz="4" w:space="0" w:color="000000"/>
              <w:left w:val="single" w:sz="4" w:space="0" w:color="000000"/>
              <w:bottom w:val="single" w:sz="4" w:space="0" w:color="000000"/>
            </w:tcBorders>
            <w:shd w:val="clear" w:color="auto" w:fill="auto"/>
            <w:vAlign w:val="center"/>
          </w:tcPr>
          <w:p w14:paraId="63AD652E"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傳統</w:t>
            </w:r>
          </w:p>
        </w:tc>
        <w:tc>
          <w:tcPr>
            <w:tcW w:w="1213" w:type="dxa"/>
            <w:tcBorders>
              <w:top w:val="single" w:sz="4" w:space="0" w:color="000000"/>
              <w:left w:val="single" w:sz="4" w:space="0" w:color="000000"/>
              <w:bottom w:val="single" w:sz="4" w:space="0" w:color="000000"/>
            </w:tcBorders>
            <w:shd w:val="clear" w:color="auto" w:fill="auto"/>
            <w:vAlign w:val="center"/>
          </w:tcPr>
          <w:p w14:paraId="0E0F78D8"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合成</w:t>
            </w:r>
          </w:p>
        </w:tc>
        <w:tc>
          <w:tcPr>
            <w:tcW w:w="1213" w:type="dxa"/>
            <w:tcBorders>
              <w:top w:val="single" w:sz="4" w:space="0" w:color="000000"/>
              <w:left w:val="single" w:sz="4" w:space="0" w:color="000000"/>
              <w:bottom w:val="single" w:sz="4" w:space="0" w:color="000000"/>
            </w:tcBorders>
            <w:shd w:val="clear" w:color="auto" w:fill="auto"/>
            <w:vAlign w:val="center"/>
          </w:tcPr>
          <w:p w14:paraId="029BB5DD"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小計</w:t>
            </w:r>
          </w:p>
        </w:tc>
        <w:tc>
          <w:tcPr>
            <w:tcW w:w="1213" w:type="dxa"/>
            <w:tcBorders>
              <w:top w:val="single" w:sz="4" w:space="0" w:color="000000"/>
              <w:left w:val="single" w:sz="4" w:space="0" w:color="000000"/>
              <w:bottom w:val="single" w:sz="4" w:space="0" w:color="000000"/>
            </w:tcBorders>
            <w:shd w:val="clear" w:color="auto" w:fill="auto"/>
            <w:vAlign w:val="center"/>
          </w:tcPr>
          <w:p w14:paraId="2A9C8606"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傳統</w:t>
            </w:r>
          </w:p>
        </w:tc>
        <w:tc>
          <w:tcPr>
            <w:tcW w:w="1212" w:type="dxa"/>
            <w:tcBorders>
              <w:top w:val="single" w:sz="4" w:space="0" w:color="000000"/>
              <w:left w:val="single" w:sz="4" w:space="0" w:color="000000"/>
              <w:bottom w:val="single" w:sz="4" w:space="0" w:color="000000"/>
            </w:tcBorders>
            <w:shd w:val="clear" w:color="auto" w:fill="auto"/>
            <w:vAlign w:val="center"/>
          </w:tcPr>
          <w:p w14:paraId="51CE6A80"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合成</w:t>
            </w:r>
          </w:p>
        </w:tc>
        <w:tc>
          <w:tcPr>
            <w:tcW w:w="1213" w:type="dxa"/>
            <w:tcBorders>
              <w:top w:val="single" w:sz="4" w:space="0" w:color="000000"/>
              <w:left w:val="single" w:sz="4" w:space="0" w:color="000000"/>
              <w:bottom w:val="single" w:sz="4" w:space="0" w:color="000000"/>
            </w:tcBorders>
            <w:shd w:val="clear" w:color="auto" w:fill="auto"/>
            <w:vAlign w:val="center"/>
          </w:tcPr>
          <w:p w14:paraId="76D88491"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小計</w:t>
            </w:r>
          </w:p>
        </w:tc>
        <w:tc>
          <w:tcPr>
            <w:tcW w:w="1213" w:type="dxa"/>
            <w:tcBorders>
              <w:top w:val="single" w:sz="4" w:space="0" w:color="000000"/>
              <w:left w:val="single" w:sz="4" w:space="0" w:color="000000"/>
              <w:bottom w:val="single" w:sz="4" w:space="0" w:color="000000"/>
            </w:tcBorders>
            <w:shd w:val="clear" w:color="auto" w:fill="auto"/>
            <w:vAlign w:val="center"/>
          </w:tcPr>
          <w:p w14:paraId="6B62A73C"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傳統</w:t>
            </w:r>
          </w:p>
        </w:tc>
        <w:tc>
          <w:tcPr>
            <w:tcW w:w="1213" w:type="dxa"/>
            <w:tcBorders>
              <w:top w:val="single" w:sz="4" w:space="0" w:color="000000"/>
              <w:left w:val="single" w:sz="4" w:space="0" w:color="000000"/>
              <w:bottom w:val="single" w:sz="4" w:space="0" w:color="000000"/>
            </w:tcBorders>
            <w:shd w:val="clear" w:color="auto" w:fill="auto"/>
            <w:vAlign w:val="center"/>
          </w:tcPr>
          <w:p w14:paraId="42B68CAD"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合成</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A7A1" w14:textId="77777777" w:rsidR="00F24F39" w:rsidRPr="00F24F39" w:rsidRDefault="00F24F39" w:rsidP="00F24F39">
            <w:pPr>
              <w:suppressAutoHyphens/>
              <w:snapToGrid w:val="0"/>
              <w:spacing w:before="20" w:after="20"/>
              <w:jc w:val="center"/>
              <w:rPr>
                <w:rFonts w:cs="Segoe UI"/>
                <w:lang w:eastAsia="ar-SA"/>
              </w:rPr>
            </w:pPr>
            <w:r w:rsidRPr="00F24F39">
              <w:rPr>
                <w:rFonts w:eastAsia="細明體" w:cs="Segoe UI" w:hint="eastAsia"/>
                <w:bCs/>
                <w:sz w:val="17"/>
                <w:szCs w:val="17"/>
                <w:lang w:eastAsia="ar-SA"/>
              </w:rPr>
              <w:t>小計</w:t>
            </w:r>
          </w:p>
        </w:tc>
      </w:tr>
      <w:tr w:rsidR="00F24F39" w:rsidRPr="00F24F39" w14:paraId="0CBD855D" w14:textId="77777777" w:rsidTr="005F4B44">
        <w:trPr>
          <w:cantSplit/>
        </w:trPr>
        <w:tc>
          <w:tcPr>
            <w:tcW w:w="420" w:type="dxa"/>
            <w:tcBorders>
              <w:top w:val="single" w:sz="4" w:space="0" w:color="000000"/>
              <w:bottom w:val="single" w:sz="4" w:space="0" w:color="C0C0C0"/>
            </w:tcBorders>
            <w:shd w:val="clear" w:color="auto" w:fill="auto"/>
            <w:vAlign w:val="center"/>
          </w:tcPr>
          <w:p w14:paraId="325E85D9"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1</w:t>
            </w:r>
          </w:p>
        </w:tc>
        <w:tc>
          <w:tcPr>
            <w:tcW w:w="2557" w:type="dxa"/>
            <w:tcBorders>
              <w:top w:val="single" w:sz="4" w:space="0" w:color="000000"/>
              <w:left w:val="single" w:sz="4" w:space="0" w:color="000000"/>
              <w:bottom w:val="single" w:sz="4" w:space="0" w:color="C0C0C0"/>
            </w:tcBorders>
            <w:shd w:val="clear" w:color="auto" w:fill="auto"/>
            <w:vAlign w:val="center"/>
          </w:tcPr>
          <w:p w14:paraId="6F41966B" w14:textId="77777777" w:rsidR="00F24F39" w:rsidRPr="00F24F39" w:rsidRDefault="00F24F39" w:rsidP="00F24F39">
            <w:pPr>
              <w:keepNext/>
              <w:tabs>
                <w:tab w:val="left" w:pos="397"/>
                <w:tab w:val="left" w:pos="794"/>
                <w:tab w:val="left" w:pos="1191"/>
              </w:tabs>
              <w:suppressAutoHyphens/>
              <w:snapToGrid w:val="0"/>
              <w:spacing w:before="20" w:after="20"/>
              <w:ind w:left="-108"/>
              <w:rPr>
                <w:rFonts w:eastAsia="細明體" w:cs="Segoe UI"/>
                <w:sz w:val="17"/>
                <w:szCs w:val="17"/>
                <w:lang w:eastAsia="ar-SA"/>
              </w:rPr>
            </w:pPr>
            <w:r w:rsidRPr="00F24F39">
              <w:rPr>
                <w:rFonts w:eastAsia="細明體" w:cs="Segoe UI"/>
                <w:sz w:val="17"/>
                <w:szCs w:val="17"/>
                <w:lang w:eastAsia="ar-SA"/>
              </w:rPr>
              <w:t xml:space="preserve"> </w:t>
            </w:r>
            <w:r w:rsidRPr="00F24F39">
              <w:rPr>
                <w:rFonts w:eastAsia="細明體" w:cs="Segoe UI" w:hint="eastAsia"/>
                <w:sz w:val="17"/>
                <w:szCs w:val="17"/>
                <w:lang w:eastAsia="ar-SA"/>
              </w:rPr>
              <w:t>零售（總計），其中：</w:t>
            </w:r>
          </w:p>
        </w:tc>
        <w:tc>
          <w:tcPr>
            <w:tcW w:w="1212" w:type="dxa"/>
            <w:tcBorders>
              <w:top w:val="single" w:sz="4" w:space="0" w:color="000000"/>
              <w:left w:val="single" w:sz="4" w:space="0" w:color="000000"/>
              <w:bottom w:val="single" w:sz="4" w:space="0" w:color="C0C0C0"/>
            </w:tcBorders>
            <w:shd w:val="clear" w:color="auto" w:fill="auto"/>
          </w:tcPr>
          <w:p w14:paraId="423476B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71BC11D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5705557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02ADD4A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000000"/>
              <w:left w:val="single" w:sz="4" w:space="0" w:color="000000"/>
              <w:bottom w:val="single" w:sz="4" w:space="0" w:color="C0C0C0"/>
            </w:tcBorders>
            <w:shd w:val="clear" w:color="auto" w:fill="auto"/>
          </w:tcPr>
          <w:p w14:paraId="61C423F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3CA4D35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1A4D615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259C162E"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000000"/>
              <w:left w:val="single" w:sz="4" w:space="0" w:color="000000"/>
              <w:bottom w:val="single" w:sz="4" w:space="0" w:color="C0C0C0"/>
              <w:right w:val="single" w:sz="4" w:space="0" w:color="000000"/>
            </w:tcBorders>
            <w:shd w:val="clear" w:color="auto" w:fill="auto"/>
          </w:tcPr>
          <w:p w14:paraId="700BB8C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78B2E24C" w14:textId="77777777" w:rsidTr="005F4B44">
        <w:trPr>
          <w:cantSplit/>
        </w:trPr>
        <w:tc>
          <w:tcPr>
            <w:tcW w:w="420" w:type="dxa"/>
            <w:tcBorders>
              <w:top w:val="single" w:sz="4" w:space="0" w:color="C0C0C0"/>
              <w:bottom w:val="single" w:sz="4" w:space="0" w:color="C0C0C0"/>
            </w:tcBorders>
            <w:shd w:val="clear" w:color="auto" w:fill="auto"/>
            <w:vAlign w:val="center"/>
          </w:tcPr>
          <w:p w14:paraId="5DB2020C"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2</w:t>
            </w:r>
          </w:p>
        </w:tc>
        <w:tc>
          <w:tcPr>
            <w:tcW w:w="2557" w:type="dxa"/>
            <w:tcBorders>
              <w:top w:val="single" w:sz="4" w:space="0" w:color="C0C0C0"/>
              <w:left w:val="single" w:sz="4" w:space="0" w:color="000000"/>
              <w:bottom w:val="single" w:sz="4" w:space="0" w:color="C0C0C0"/>
            </w:tcBorders>
            <w:shd w:val="clear" w:color="auto" w:fill="auto"/>
            <w:vAlign w:val="center"/>
          </w:tcPr>
          <w:p w14:paraId="11056838"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住宅按揭</w:t>
            </w:r>
          </w:p>
        </w:tc>
        <w:tc>
          <w:tcPr>
            <w:tcW w:w="1212" w:type="dxa"/>
            <w:tcBorders>
              <w:top w:val="single" w:sz="4" w:space="0" w:color="C0C0C0"/>
              <w:left w:val="single" w:sz="4" w:space="0" w:color="000000"/>
              <w:bottom w:val="single" w:sz="4" w:space="0" w:color="C0C0C0"/>
            </w:tcBorders>
            <w:shd w:val="clear" w:color="auto" w:fill="auto"/>
          </w:tcPr>
          <w:p w14:paraId="177BE85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78DFE3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D5E7A4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C8661D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2A636F5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3B3ED7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8AAE92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7FBEF94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5C6DBB2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465B9894" w14:textId="77777777" w:rsidTr="005F4B44">
        <w:trPr>
          <w:cantSplit/>
        </w:trPr>
        <w:tc>
          <w:tcPr>
            <w:tcW w:w="420" w:type="dxa"/>
            <w:tcBorders>
              <w:top w:val="single" w:sz="4" w:space="0" w:color="C0C0C0"/>
              <w:bottom w:val="single" w:sz="4" w:space="0" w:color="C0C0C0"/>
            </w:tcBorders>
            <w:shd w:val="clear" w:color="auto" w:fill="auto"/>
            <w:vAlign w:val="center"/>
          </w:tcPr>
          <w:p w14:paraId="01A070DA"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3</w:t>
            </w:r>
          </w:p>
        </w:tc>
        <w:tc>
          <w:tcPr>
            <w:tcW w:w="2557" w:type="dxa"/>
            <w:tcBorders>
              <w:top w:val="single" w:sz="4" w:space="0" w:color="C0C0C0"/>
              <w:left w:val="single" w:sz="4" w:space="0" w:color="000000"/>
              <w:bottom w:val="single" w:sz="4" w:space="0" w:color="C0C0C0"/>
            </w:tcBorders>
            <w:shd w:val="clear" w:color="auto" w:fill="auto"/>
            <w:vAlign w:val="center"/>
          </w:tcPr>
          <w:p w14:paraId="03161CC3"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信用卡</w:t>
            </w:r>
          </w:p>
        </w:tc>
        <w:tc>
          <w:tcPr>
            <w:tcW w:w="1212" w:type="dxa"/>
            <w:tcBorders>
              <w:top w:val="single" w:sz="4" w:space="0" w:color="C0C0C0"/>
              <w:left w:val="single" w:sz="4" w:space="0" w:color="000000"/>
              <w:bottom w:val="single" w:sz="4" w:space="0" w:color="C0C0C0"/>
            </w:tcBorders>
            <w:shd w:val="clear" w:color="auto" w:fill="auto"/>
          </w:tcPr>
          <w:p w14:paraId="025A15D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504DCD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699F03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AA2086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4528889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F0D05C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71A2DBC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FD7897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5AC1580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26168135" w14:textId="77777777" w:rsidTr="005F4B44">
        <w:trPr>
          <w:cantSplit/>
        </w:trPr>
        <w:tc>
          <w:tcPr>
            <w:tcW w:w="420" w:type="dxa"/>
            <w:tcBorders>
              <w:top w:val="single" w:sz="4" w:space="0" w:color="C0C0C0"/>
              <w:bottom w:val="single" w:sz="4" w:space="0" w:color="C0C0C0"/>
            </w:tcBorders>
            <w:shd w:val="clear" w:color="auto" w:fill="auto"/>
            <w:vAlign w:val="center"/>
          </w:tcPr>
          <w:p w14:paraId="42F945E6"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4</w:t>
            </w:r>
          </w:p>
        </w:tc>
        <w:tc>
          <w:tcPr>
            <w:tcW w:w="2557" w:type="dxa"/>
            <w:tcBorders>
              <w:top w:val="single" w:sz="4" w:space="0" w:color="C0C0C0"/>
              <w:left w:val="single" w:sz="4" w:space="0" w:color="000000"/>
              <w:bottom w:val="single" w:sz="4" w:space="0" w:color="C0C0C0"/>
            </w:tcBorders>
            <w:shd w:val="clear" w:color="auto" w:fill="auto"/>
            <w:vAlign w:val="center"/>
          </w:tcPr>
          <w:p w14:paraId="6FFB641D"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其他零售風險承擔</w:t>
            </w:r>
          </w:p>
        </w:tc>
        <w:tc>
          <w:tcPr>
            <w:tcW w:w="1212" w:type="dxa"/>
            <w:tcBorders>
              <w:top w:val="single" w:sz="4" w:space="0" w:color="C0C0C0"/>
              <w:left w:val="single" w:sz="4" w:space="0" w:color="000000"/>
              <w:bottom w:val="single" w:sz="4" w:space="0" w:color="C0C0C0"/>
            </w:tcBorders>
            <w:shd w:val="clear" w:color="auto" w:fill="auto"/>
          </w:tcPr>
          <w:p w14:paraId="1A3CAB6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487E2B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C12241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F00098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2F7A8B9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B48CF0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33B36D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1B3437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252F63D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69434B4D" w14:textId="77777777" w:rsidTr="005F4B44">
        <w:trPr>
          <w:cantSplit/>
        </w:trPr>
        <w:tc>
          <w:tcPr>
            <w:tcW w:w="420" w:type="dxa"/>
            <w:tcBorders>
              <w:top w:val="single" w:sz="4" w:space="0" w:color="C0C0C0"/>
              <w:bottom w:val="single" w:sz="4" w:space="0" w:color="000000"/>
            </w:tcBorders>
            <w:shd w:val="clear" w:color="auto" w:fill="auto"/>
            <w:vAlign w:val="center"/>
          </w:tcPr>
          <w:p w14:paraId="48678E05"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5</w:t>
            </w:r>
          </w:p>
        </w:tc>
        <w:tc>
          <w:tcPr>
            <w:tcW w:w="2557" w:type="dxa"/>
            <w:tcBorders>
              <w:top w:val="single" w:sz="4" w:space="0" w:color="C0C0C0"/>
              <w:left w:val="single" w:sz="4" w:space="0" w:color="000000"/>
              <w:bottom w:val="single" w:sz="4" w:space="0" w:color="000000"/>
            </w:tcBorders>
            <w:shd w:val="clear" w:color="auto" w:fill="auto"/>
            <w:vAlign w:val="center"/>
          </w:tcPr>
          <w:p w14:paraId="47C01F65"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再證券化類別風險承擔</w:t>
            </w:r>
          </w:p>
        </w:tc>
        <w:tc>
          <w:tcPr>
            <w:tcW w:w="1212" w:type="dxa"/>
            <w:tcBorders>
              <w:top w:val="single" w:sz="4" w:space="0" w:color="C0C0C0"/>
              <w:left w:val="single" w:sz="4" w:space="0" w:color="000000"/>
              <w:bottom w:val="single" w:sz="4" w:space="0" w:color="000000"/>
            </w:tcBorders>
            <w:shd w:val="clear" w:color="auto" w:fill="auto"/>
          </w:tcPr>
          <w:p w14:paraId="30814DC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6B913D8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3DF16DE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72113FD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000000"/>
            </w:tcBorders>
            <w:shd w:val="clear" w:color="auto" w:fill="auto"/>
          </w:tcPr>
          <w:p w14:paraId="1ACB9CB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1047B82E"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2A7169D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5BF55E1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000000"/>
              <w:right w:val="single" w:sz="4" w:space="0" w:color="000000"/>
            </w:tcBorders>
            <w:shd w:val="clear" w:color="auto" w:fill="auto"/>
          </w:tcPr>
          <w:p w14:paraId="6F27E9D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3DD5F27B" w14:textId="77777777" w:rsidTr="005F4B44">
        <w:trPr>
          <w:cantSplit/>
        </w:trPr>
        <w:tc>
          <w:tcPr>
            <w:tcW w:w="420" w:type="dxa"/>
            <w:tcBorders>
              <w:top w:val="single" w:sz="4" w:space="0" w:color="000000"/>
              <w:bottom w:val="single" w:sz="4" w:space="0" w:color="C0C0C0"/>
            </w:tcBorders>
            <w:shd w:val="clear" w:color="auto" w:fill="auto"/>
            <w:vAlign w:val="center"/>
          </w:tcPr>
          <w:p w14:paraId="55ACB398"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6</w:t>
            </w:r>
          </w:p>
        </w:tc>
        <w:tc>
          <w:tcPr>
            <w:tcW w:w="2557" w:type="dxa"/>
            <w:tcBorders>
              <w:top w:val="single" w:sz="4" w:space="0" w:color="000000"/>
              <w:left w:val="single" w:sz="4" w:space="0" w:color="000000"/>
              <w:bottom w:val="single" w:sz="4" w:space="0" w:color="C0C0C0"/>
            </w:tcBorders>
            <w:shd w:val="clear" w:color="auto" w:fill="auto"/>
            <w:vAlign w:val="center"/>
          </w:tcPr>
          <w:p w14:paraId="5D72BA44" w14:textId="77777777" w:rsidR="00F24F39" w:rsidRPr="00F24F39" w:rsidRDefault="00F24F39" w:rsidP="00F24F39">
            <w:pPr>
              <w:keepNext/>
              <w:tabs>
                <w:tab w:val="left" w:pos="397"/>
                <w:tab w:val="left" w:pos="794"/>
                <w:tab w:val="left" w:pos="1191"/>
              </w:tabs>
              <w:suppressAutoHyphens/>
              <w:snapToGrid w:val="0"/>
              <w:spacing w:before="20" w:after="20"/>
              <w:ind w:left="-108"/>
              <w:rPr>
                <w:rFonts w:eastAsia="細明體" w:cs="Segoe UI"/>
                <w:sz w:val="17"/>
                <w:szCs w:val="17"/>
                <w:lang w:eastAsia="ar-SA"/>
              </w:rPr>
            </w:pPr>
            <w:r w:rsidRPr="00F24F39">
              <w:rPr>
                <w:rFonts w:eastAsia="細明體" w:cs="Segoe UI"/>
                <w:sz w:val="17"/>
                <w:szCs w:val="17"/>
                <w:lang w:eastAsia="ar-SA"/>
              </w:rPr>
              <w:t xml:space="preserve"> </w:t>
            </w:r>
            <w:r w:rsidRPr="00F24F39">
              <w:rPr>
                <w:rFonts w:eastAsia="細明體" w:cs="Segoe UI" w:hint="eastAsia"/>
                <w:sz w:val="17"/>
                <w:szCs w:val="17"/>
                <w:lang w:eastAsia="ar-SA"/>
              </w:rPr>
              <w:t>批發（總計），其中：</w:t>
            </w:r>
          </w:p>
        </w:tc>
        <w:tc>
          <w:tcPr>
            <w:tcW w:w="1212" w:type="dxa"/>
            <w:tcBorders>
              <w:top w:val="single" w:sz="4" w:space="0" w:color="000000"/>
              <w:left w:val="single" w:sz="4" w:space="0" w:color="000000"/>
              <w:bottom w:val="single" w:sz="4" w:space="0" w:color="C0C0C0"/>
            </w:tcBorders>
            <w:shd w:val="clear" w:color="auto" w:fill="auto"/>
          </w:tcPr>
          <w:p w14:paraId="156099B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35F5171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16835D2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4899FA9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000000"/>
              <w:left w:val="single" w:sz="4" w:space="0" w:color="000000"/>
              <w:bottom w:val="single" w:sz="4" w:space="0" w:color="C0C0C0"/>
            </w:tcBorders>
            <w:shd w:val="clear" w:color="auto" w:fill="auto"/>
          </w:tcPr>
          <w:p w14:paraId="5630112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0D0F073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1495BBF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4F583EB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000000"/>
              <w:left w:val="single" w:sz="4" w:space="0" w:color="000000"/>
              <w:bottom w:val="single" w:sz="4" w:space="0" w:color="C0C0C0"/>
              <w:right w:val="single" w:sz="4" w:space="0" w:color="000000"/>
            </w:tcBorders>
            <w:shd w:val="clear" w:color="auto" w:fill="auto"/>
          </w:tcPr>
          <w:p w14:paraId="076B638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1A1300FC" w14:textId="77777777" w:rsidTr="005F4B44">
        <w:trPr>
          <w:cantSplit/>
        </w:trPr>
        <w:tc>
          <w:tcPr>
            <w:tcW w:w="420" w:type="dxa"/>
            <w:tcBorders>
              <w:top w:val="single" w:sz="4" w:space="0" w:color="C0C0C0"/>
              <w:bottom w:val="single" w:sz="4" w:space="0" w:color="C0C0C0"/>
            </w:tcBorders>
            <w:shd w:val="clear" w:color="auto" w:fill="auto"/>
            <w:vAlign w:val="center"/>
          </w:tcPr>
          <w:p w14:paraId="53C43A9D"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7</w:t>
            </w:r>
          </w:p>
        </w:tc>
        <w:tc>
          <w:tcPr>
            <w:tcW w:w="2557" w:type="dxa"/>
            <w:tcBorders>
              <w:top w:val="single" w:sz="4" w:space="0" w:color="C0C0C0"/>
              <w:left w:val="single" w:sz="4" w:space="0" w:color="000000"/>
              <w:bottom w:val="single" w:sz="4" w:space="0" w:color="C0C0C0"/>
            </w:tcBorders>
            <w:shd w:val="clear" w:color="auto" w:fill="auto"/>
            <w:vAlign w:val="center"/>
          </w:tcPr>
          <w:p w14:paraId="2A098263"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法團貸款</w:t>
            </w:r>
          </w:p>
        </w:tc>
        <w:tc>
          <w:tcPr>
            <w:tcW w:w="1212" w:type="dxa"/>
            <w:tcBorders>
              <w:top w:val="single" w:sz="4" w:space="0" w:color="C0C0C0"/>
              <w:left w:val="single" w:sz="4" w:space="0" w:color="000000"/>
              <w:bottom w:val="single" w:sz="4" w:space="0" w:color="C0C0C0"/>
            </w:tcBorders>
            <w:shd w:val="clear" w:color="auto" w:fill="auto"/>
          </w:tcPr>
          <w:p w14:paraId="49DBD24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11EBE1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37053F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7515CF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3767E80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83CA01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8D68CD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9E6D37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474AC27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7D6C6A34" w14:textId="77777777" w:rsidTr="005F4B44">
        <w:trPr>
          <w:cantSplit/>
        </w:trPr>
        <w:tc>
          <w:tcPr>
            <w:tcW w:w="420" w:type="dxa"/>
            <w:tcBorders>
              <w:top w:val="single" w:sz="4" w:space="0" w:color="C0C0C0"/>
              <w:bottom w:val="single" w:sz="4" w:space="0" w:color="C0C0C0"/>
            </w:tcBorders>
            <w:shd w:val="clear" w:color="auto" w:fill="auto"/>
            <w:vAlign w:val="center"/>
          </w:tcPr>
          <w:p w14:paraId="66198E66"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8</w:t>
            </w:r>
          </w:p>
        </w:tc>
        <w:tc>
          <w:tcPr>
            <w:tcW w:w="2557" w:type="dxa"/>
            <w:tcBorders>
              <w:top w:val="single" w:sz="4" w:space="0" w:color="C0C0C0"/>
              <w:left w:val="single" w:sz="4" w:space="0" w:color="000000"/>
              <w:bottom w:val="single" w:sz="4" w:space="0" w:color="C0C0C0"/>
            </w:tcBorders>
            <w:shd w:val="clear" w:color="auto" w:fill="auto"/>
            <w:vAlign w:val="center"/>
          </w:tcPr>
          <w:p w14:paraId="7D78CA80"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商業按揭</w:t>
            </w:r>
          </w:p>
        </w:tc>
        <w:tc>
          <w:tcPr>
            <w:tcW w:w="1212" w:type="dxa"/>
            <w:tcBorders>
              <w:top w:val="single" w:sz="4" w:space="0" w:color="C0C0C0"/>
              <w:left w:val="single" w:sz="4" w:space="0" w:color="000000"/>
              <w:bottom w:val="single" w:sz="4" w:space="0" w:color="C0C0C0"/>
            </w:tcBorders>
            <w:shd w:val="clear" w:color="auto" w:fill="auto"/>
          </w:tcPr>
          <w:p w14:paraId="1DFD7C7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09CFE0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1CB3F9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D53824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77B9083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07D624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530031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DF3D6F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5E8A5F0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3DC78F22" w14:textId="77777777" w:rsidTr="005F4B44">
        <w:trPr>
          <w:cantSplit/>
        </w:trPr>
        <w:tc>
          <w:tcPr>
            <w:tcW w:w="420" w:type="dxa"/>
            <w:tcBorders>
              <w:top w:val="single" w:sz="4" w:space="0" w:color="C0C0C0"/>
              <w:bottom w:val="single" w:sz="4" w:space="0" w:color="C0C0C0"/>
            </w:tcBorders>
            <w:shd w:val="clear" w:color="auto" w:fill="auto"/>
            <w:vAlign w:val="center"/>
          </w:tcPr>
          <w:p w14:paraId="433344DA"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9</w:t>
            </w:r>
          </w:p>
        </w:tc>
        <w:tc>
          <w:tcPr>
            <w:tcW w:w="2557" w:type="dxa"/>
            <w:tcBorders>
              <w:top w:val="single" w:sz="4" w:space="0" w:color="C0C0C0"/>
              <w:left w:val="single" w:sz="4" w:space="0" w:color="000000"/>
              <w:bottom w:val="single" w:sz="4" w:space="0" w:color="C0C0C0"/>
            </w:tcBorders>
            <w:shd w:val="clear" w:color="auto" w:fill="auto"/>
            <w:vAlign w:val="center"/>
          </w:tcPr>
          <w:p w14:paraId="20E531B2"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租賃及應收項目</w:t>
            </w:r>
          </w:p>
        </w:tc>
        <w:tc>
          <w:tcPr>
            <w:tcW w:w="1212" w:type="dxa"/>
            <w:tcBorders>
              <w:top w:val="single" w:sz="4" w:space="0" w:color="C0C0C0"/>
              <w:left w:val="single" w:sz="4" w:space="0" w:color="000000"/>
              <w:bottom w:val="single" w:sz="4" w:space="0" w:color="C0C0C0"/>
            </w:tcBorders>
            <w:shd w:val="clear" w:color="auto" w:fill="auto"/>
          </w:tcPr>
          <w:p w14:paraId="13B02C9E"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8AC70A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A6AACE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9780BE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7D6CC18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0485AF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2D76FC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DE722C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472DA95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5C789396" w14:textId="77777777" w:rsidTr="005F4B44">
        <w:trPr>
          <w:cantSplit/>
        </w:trPr>
        <w:tc>
          <w:tcPr>
            <w:tcW w:w="420" w:type="dxa"/>
            <w:tcBorders>
              <w:top w:val="single" w:sz="4" w:space="0" w:color="C0C0C0"/>
              <w:bottom w:val="single" w:sz="4" w:space="0" w:color="C0C0C0"/>
            </w:tcBorders>
            <w:shd w:val="clear" w:color="auto" w:fill="auto"/>
            <w:vAlign w:val="center"/>
          </w:tcPr>
          <w:p w14:paraId="2BCADB3A"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10</w:t>
            </w:r>
          </w:p>
        </w:tc>
        <w:tc>
          <w:tcPr>
            <w:tcW w:w="2557" w:type="dxa"/>
            <w:tcBorders>
              <w:top w:val="single" w:sz="4" w:space="0" w:color="C0C0C0"/>
              <w:left w:val="single" w:sz="4" w:space="0" w:color="000000"/>
              <w:bottom w:val="single" w:sz="4" w:space="0" w:color="C0C0C0"/>
            </w:tcBorders>
            <w:shd w:val="clear" w:color="auto" w:fill="auto"/>
            <w:vAlign w:val="center"/>
          </w:tcPr>
          <w:p w14:paraId="20490BAD"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其他批發</w:t>
            </w:r>
          </w:p>
        </w:tc>
        <w:tc>
          <w:tcPr>
            <w:tcW w:w="1212" w:type="dxa"/>
            <w:tcBorders>
              <w:top w:val="single" w:sz="4" w:space="0" w:color="C0C0C0"/>
              <w:left w:val="single" w:sz="4" w:space="0" w:color="000000"/>
              <w:bottom w:val="single" w:sz="4" w:space="0" w:color="C0C0C0"/>
            </w:tcBorders>
            <w:shd w:val="clear" w:color="auto" w:fill="auto"/>
          </w:tcPr>
          <w:p w14:paraId="2D51A9E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0EF529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8403EA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3AF5CD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7988657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0AA42A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ECBDD3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DF1FA3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171A068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561A74B8" w14:textId="77777777" w:rsidTr="005F4B44">
        <w:trPr>
          <w:cantSplit/>
        </w:trPr>
        <w:tc>
          <w:tcPr>
            <w:tcW w:w="420" w:type="dxa"/>
            <w:tcBorders>
              <w:top w:val="single" w:sz="4" w:space="0" w:color="C0C0C0"/>
              <w:bottom w:val="single" w:sz="4" w:space="0" w:color="000000"/>
            </w:tcBorders>
            <w:shd w:val="clear" w:color="auto" w:fill="auto"/>
            <w:vAlign w:val="center"/>
          </w:tcPr>
          <w:p w14:paraId="18C2C856"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11</w:t>
            </w:r>
          </w:p>
        </w:tc>
        <w:tc>
          <w:tcPr>
            <w:tcW w:w="2557" w:type="dxa"/>
            <w:tcBorders>
              <w:top w:val="single" w:sz="4" w:space="0" w:color="C0C0C0"/>
              <w:left w:val="single" w:sz="4" w:space="0" w:color="000000"/>
              <w:bottom w:val="single" w:sz="4" w:space="0" w:color="000000"/>
            </w:tcBorders>
            <w:shd w:val="clear" w:color="auto" w:fill="auto"/>
            <w:vAlign w:val="center"/>
          </w:tcPr>
          <w:p w14:paraId="038C3727"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再證券化類別風險承擔</w:t>
            </w:r>
          </w:p>
        </w:tc>
        <w:tc>
          <w:tcPr>
            <w:tcW w:w="1212" w:type="dxa"/>
            <w:tcBorders>
              <w:top w:val="single" w:sz="4" w:space="0" w:color="C0C0C0"/>
              <w:left w:val="single" w:sz="4" w:space="0" w:color="000000"/>
              <w:bottom w:val="single" w:sz="4" w:space="0" w:color="000000"/>
            </w:tcBorders>
            <w:shd w:val="clear" w:color="auto" w:fill="auto"/>
          </w:tcPr>
          <w:p w14:paraId="352C979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0ABFDC6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7D7690B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489A92A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000000"/>
            </w:tcBorders>
            <w:shd w:val="clear" w:color="auto" w:fill="auto"/>
          </w:tcPr>
          <w:p w14:paraId="6CF8BFF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1DE8985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7F29B53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7E192CB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000000"/>
              <w:right w:val="single" w:sz="4" w:space="0" w:color="000000"/>
            </w:tcBorders>
            <w:shd w:val="clear" w:color="auto" w:fill="auto"/>
          </w:tcPr>
          <w:p w14:paraId="26D50B2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bl>
    <w:p w14:paraId="4FFC9999" w14:textId="77777777" w:rsidR="00F24F39" w:rsidRPr="00F24F39" w:rsidRDefault="00F24F39" w:rsidP="00F24F39">
      <w:pPr>
        <w:suppressAutoHyphens/>
        <w:spacing w:before="40" w:after="40"/>
        <w:rPr>
          <w:rFonts w:eastAsia="細明體" w:cs="Segoe UI"/>
          <w:sz w:val="22"/>
          <w:lang w:eastAsia="ar-SA"/>
        </w:rPr>
      </w:pPr>
    </w:p>
    <w:tbl>
      <w:tblPr>
        <w:tblW w:w="0" w:type="auto"/>
        <w:tblInd w:w="108" w:type="dxa"/>
        <w:tblLayout w:type="fixed"/>
        <w:tblLook w:val="0000" w:firstRow="0" w:lastRow="0" w:firstColumn="0" w:lastColumn="0" w:noHBand="0" w:noVBand="0"/>
      </w:tblPr>
      <w:tblGrid>
        <w:gridCol w:w="1134"/>
        <w:gridCol w:w="12778"/>
      </w:tblGrid>
      <w:tr w:rsidR="00F24F39" w:rsidRPr="00F24F39" w14:paraId="3A3F9244" w14:textId="77777777" w:rsidTr="005F4B44">
        <w:trPr>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289D6BDC" w14:textId="77777777" w:rsidR="00F24F39" w:rsidRPr="00F24F39" w:rsidRDefault="00F24F39" w:rsidP="00F24F39">
            <w:pPr>
              <w:keepNext/>
              <w:suppressAutoHyphens/>
              <w:spacing w:before="40" w:after="40"/>
              <w:jc w:val="both"/>
              <w:rPr>
                <w:rFonts w:cs="Segoe UI"/>
                <w:sz w:val="15"/>
                <w:lang w:eastAsia="ar-SA"/>
              </w:rPr>
            </w:pPr>
            <w:r w:rsidRPr="00F24F39">
              <w:rPr>
                <w:rFonts w:eastAsia="細明體" w:cs="Segoe UI" w:hint="eastAsia"/>
                <w:b/>
                <w:sz w:val="17"/>
                <w:lang w:eastAsia="ar-SA"/>
              </w:rPr>
              <w:t>註釋</w:t>
            </w:r>
          </w:p>
        </w:tc>
      </w:tr>
      <w:tr w:rsidR="00F24F39" w:rsidRPr="00F24F39" w14:paraId="75E0F37A" w14:textId="77777777" w:rsidTr="005F4B44">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DB0F26" w14:textId="77777777" w:rsidR="00F24F39" w:rsidRPr="00F24F39" w:rsidRDefault="00F24F39" w:rsidP="00F24F39">
            <w:pPr>
              <w:keepNext/>
              <w:suppressAutoHyphens/>
              <w:spacing w:before="40" w:after="40"/>
              <w:jc w:val="both"/>
              <w:rPr>
                <w:rFonts w:cs="Segoe UI"/>
                <w:sz w:val="15"/>
                <w:lang w:eastAsia="ar-SA"/>
              </w:rPr>
            </w:pPr>
            <w:r w:rsidRPr="00F24F39">
              <w:rPr>
                <w:rFonts w:eastAsia="細明體" w:cs="Segoe UI" w:hint="eastAsia"/>
                <w:b/>
                <w:sz w:val="17"/>
                <w:lang w:eastAsia="ar-SA"/>
              </w:rPr>
              <w:t>欄</w:t>
            </w:r>
          </w:p>
        </w:tc>
      </w:tr>
      <w:tr w:rsidR="00F24F39" w:rsidRPr="00F24F39" w14:paraId="1D1A4E7C" w14:textId="77777777" w:rsidTr="005F4B44">
        <w:tc>
          <w:tcPr>
            <w:tcW w:w="1134" w:type="dxa"/>
            <w:tcBorders>
              <w:top w:val="single" w:sz="4" w:space="0" w:color="000000"/>
              <w:left w:val="single" w:sz="4" w:space="0" w:color="000000"/>
              <w:bottom w:val="single" w:sz="4" w:space="0" w:color="000000"/>
            </w:tcBorders>
            <w:shd w:val="clear" w:color="auto" w:fill="auto"/>
          </w:tcPr>
          <w:p w14:paraId="51E984E2"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(a)</w:t>
            </w:r>
            <w:r w:rsidRPr="00F24F39">
              <w:rPr>
                <w:rFonts w:eastAsia="細明體" w:cs="Segoe UI" w:hint="eastAsia"/>
                <w:sz w:val="17"/>
                <w:szCs w:val="17"/>
                <w:lang w:eastAsia="ar-SA"/>
              </w:rPr>
              <w:t>至</w:t>
            </w:r>
            <w:r w:rsidRPr="00F24F39">
              <w:rPr>
                <w:rFonts w:eastAsia="細明體" w:cs="Segoe UI"/>
                <w:sz w:val="17"/>
                <w:szCs w:val="17"/>
                <w:lang w:eastAsia="ar-SA"/>
              </w:rPr>
              <w:t>(c)</w:t>
            </w:r>
          </w:p>
        </w:tc>
        <w:tc>
          <w:tcPr>
            <w:tcW w:w="12778" w:type="dxa"/>
            <w:tcBorders>
              <w:top w:val="single" w:sz="4" w:space="0" w:color="000000"/>
              <w:left w:val="single" w:sz="4" w:space="0" w:color="000000"/>
              <w:bottom w:val="single" w:sz="4" w:space="0" w:color="000000"/>
              <w:right w:val="single" w:sz="4" w:space="0" w:color="000000"/>
            </w:tcBorders>
            <w:shd w:val="clear" w:color="auto" w:fill="auto"/>
          </w:tcPr>
          <w:p w14:paraId="069BABCB"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作為發起人（不包括保薦人）</w:t>
            </w:r>
            <w:r w:rsidRPr="00F24F39">
              <w:rPr>
                <w:rFonts w:eastAsia="細明體" w:cs="Segoe UI" w:hint="eastAsia"/>
                <w:bCs/>
                <w:sz w:val="17"/>
                <w:szCs w:val="17"/>
                <w:lang w:eastAsia="ar-SA"/>
              </w:rPr>
              <w:t>：在該等欄內填報的證券化持倉，</w:t>
            </w:r>
            <w:r w:rsidRPr="00F24F39">
              <w:rPr>
                <w:rFonts w:eastAsia="細明體" w:cs="Segoe UI" w:hint="eastAsia"/>
                <w:sz w:val="17"/>
                <w:lang w:eastAsia="ar-SA"/>
              </w:rPr>
              <w:t>指</w:t>
            </w:r>
            <w:r w:rsidRPr="00F24F39">
              <w:rPr>
                <w:rFonts w:eastAsia="細明體" w:cs="Segoe UI" w:hint="eastAsia"/>
                <w:bCs/>
                <w:sz w:val="17"/>
                <w:szCs w:val="17"/>
                <w:lang w:eastAsia="ar-SA"/>
              </w:rPr>
              <w:t>認可機構以</w:t>
            </w:r>
            <w:r w:rsidRPr="00F24F39">
              <w:rPr>
                <w:rFonts w:eastAsia="細明體" w:cs="Segoe UI" w:hint="eastAsia"/>
                <w:bCs/>
                <w:sz w:val="17"/>
                <w:szCs w:val="17"/>
                <w:lang w:val="en-US" w:eastAsia="ar-SA"/>
              </w:rPr>
              <w:t>直接或間接身分發起有關交易（包括由合資格證券化交易或非合資格證券化交易產生</w:t>
            </w:r>
            <w:r w:rsidRPr="00F24F39">
              <w:rPr>
                <w:rFonts w:eastAsia="細明體" w:cs="Segoe UI" w:hint="eastAsia"/>
                <w:bCs/>
                <w:sz w:val="17"/>
                <w:szCs w:val="17"/>
                <w:lang w:val="en-US" w:eastAsia="zh-TW"/>
              </w:rPr>
              <w:t>的</w:t>
            </w:r>
            <w:r w:rsidRPr="00F24F39">
              <w:rPr>
                <w:rFonts w:eastAsia="細明體" w:cs="Segoe UI" w:hint="eastAsia"/>
                <w:sz w:val="17"/>
                <w:lang w:eastAsia="ar-SA"/>
              </w:rPr>
              <w:t>風險承擔</w:t>
            </w:r>
            <w:r w:rsidRPr="00F24F39">
              <w:rPr>
                <w:rFonts w:eastAsia="細明體" w:cs="Segoe UI" w:hint="eastAsia"/>
                <w:bCs/>
                <w:sz w:val="17"/>
                <w:szCs w:val="17"/>
                <w:lang w:eastAsia="ar-SA"/>
              </w:rPr>
              <w:t>）</w:t>
            </w:r>
            <w:r w:rsidRPr="00F24F39">
              <w:rPr>
                <w:rFonts w:eastAsia="細明體" w:cs="Segoe UI" w:hint="eastAsia"/>
                <w:bCs/>
                <w:sz w:val="17"/>
                <w:szCs w:val="17"/>
                <w:lang w:val="en-US" w:eastAsia="ar-SA"/>
              </w:rPr>
              <w:t>中的組成項目並被保留的持倉</w:t>
            </w:r>
            <w:r w:rsidRPr="00F24F39">
              <w:rPr>
                <w:rFonts w:eastAsia="細明體" w:cs="Segoe UI" w:hint="eastAsia"/>
                <w:bCs/>
                <w:sz w:val="17"/>
                <w:szCs w:val="17"/>
                <w:lang w:eastAsia="ar-SA"/>
              </w:rPr>
              <w:t>。</w:t>
            </w:r>
          </w:p>
        </w:tc>
      </w:tr>
      <w:tr w:rsidR="00F24F39" w:rsidRPr="00F24F39" w14:paraId="28F7F6B7" w14:textId="77777777" w:rsidTr="005F4B44">
        <w:tc>
          <w:tcPr>
            <w:tcW w:w="1134" w:type="dxa"/>
            <w:tcBorders>
              <w:top w:val="single" w:sz="4" w:space="0" w:color="000000"/>
              <w:left w:val="single" w:sz="4" w:space="0" w:color="000000"/>
              <w:bottom w:val="single" w:sz="4" w:space="0" w:color="000000"/>
            </w:tcBorders>
            <w:shd w:val="clear" w:color="auto" w:fill="auto"/>
          </w:tcPr>
          <w:p w14:paraId="1541A651"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(d)</w:t>
            </w:r>
            <w:r w:rsidRPr="00F24F39">
              <w:rPr>
                <w:rFonts w:eastAsia="細明體" w:cs="Segoe UI" w:hint="eastAsia"/>
                <w:sz w:val="17"/>
                <w:szCs w:val="17"/>
                <w:lang w:eastAsia="ar-SA"/>
              </w:rPr>
              <w:t>至</w:t>
            </w:r>
            <w:r w:rsidRPr="00F24F39">
              <w:rPr>
                <w:rFonts w:eastAsia="細明體" w:cs="Segoe UI"/>
                <w:sz w:val="17"/>
                <w:szCs w:val="17"/>
                <w:lang w:eastAsia="ar-SA"/>
              </w:rPr>
              <w:t>(f)</w:t>
            </w:r>
          </w:p>
        </w:tc>
        <w:tc>
          <w:tcPr>
            <w:tcW w:w="12778" w:type="dxa"/>
            <w:tcBorders>
              <w:top w:val="single" w:sz="4" w:space="0" w:color="000000"/>
              <w:left w:val="single" w:sz="4" w:space="0" w:color="000000"/>
              <w:bottom w:val="single" w:sz="4" w:space="0" w:color="000000"/>
              <w:right w:val="single" w:sz="4" w:space="0" w:color="000000"/>
            </w:tcBorders>
            <w:shd w:val="clear" w:color="auto" w:fill="auto"/>
          </w:tcPr>
          <w:p w14:paraId="12963EE8"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作為保薦人</w:t>
            </w:r>
            <w:r w:rsidRPr="00F24F39">
              <w:rPr>
                <w:rFonts w:eastAsia="細明體" w:cs="Segoe UI" w:hint="eastAsia"/>
                <w:bCs/>
                <w:sz w:val="17"/>
                <w:szCs w:val="17"/>
                <w:lang w:eastAsia="ar-SA"/>
              </w:rPr>
              <w:t>：在該等欄內填報的證券化持倉，為認可機構因作為保薦人的活動而</w:t>
            </w:r>
            <w:r w:rsidRPr="00F24F39">
              <w:rPr>
                <w:rFonts w:eastAsia="細明體" w:cs="Segoe UI" w:hint="eastAsia"/>
                <w:sz w:val="17"/>
                <w:lang w:eastAsia="ar-SA"/>
              </w:rPr>
              <w:t>產生</w:t>
            </w:r>
            <w:r w:rsidRPr="00F24F39">
              <w:rPr>
                <w:rFonts w:eastAsia="細明體" w:cs="Segoe UI" w:hint="eastAsia"/>
                <w:bCs/>
                <w:sz w:val="17"/>
                <w:szCs w:val="17"/>
                <w:lang w:eastAsia="ar-SA"/>
              </w:rPr>
              <w:t>，例如認可機構就商業票據計劃的風險承擔提供整體項目提升、流動性及其他融通。認可機構如同時作為發起人</w:t>
            </w:r>
            <w:r w:rsidRPr="00F24F39">
              <w:rPr>
                <w:rFonts w:eastAsia="新細明體" w:cs="Segoe UI" w:hint="eastAsia"/>
                <w:bCs/>
                <w:sz w:val="17"/>
                <w:szCs w:val="17"/>
                <w:lang w:eastAsia="ar-SA"/>
              </w:rPr>
              <w:t>及</w:t>
            </w:r>
            <w:r w:rsidRPr="00F24F39">
              <w:rPr>
                <w:rFonts w:eastAsia="細明體" w:cs="Segoe UI" w:hint="eastAsia"/>
                <w:bCs/>
                <w:sz w:val="17"/>
                <w:szCs w:val="17"/>
                <w:lang w:eastAsia="ar-SA"/>
              </w:rPr>
              <w:t>保薦人，在披露時應避免雙重計算。就此而言，認可機構應於填報時將「作為發起人」及「作為保薦人」二欄合併為「作為發起人</w:t>
            </w:r>
            <w:r w:rsidRPr="00F24F39">
              <w:rPr>
                <w:rFonts w:eastAsia="細明體" w:cs="Segoe UI"/>
                <w:bCs/>
                <w:sz w:val="17"/>
                <w:szCs w:val="17"/>
                <w:lang w:eastAsia="ar-SA"/>
              </w:rPr>
              <w:t>/</w:t>
            </w:r>
            <w:r w:rsidRPr="00F24F39">
              <w:rPr>
                <w:rFonts w:eastAsia="細明體" w:cs="Segoe UI" w:hint="eastAsia"/>
                <w:bCs/>
                <w:sz w:val="17"/>
                <w:szCs w:val="17"/>
                <w:lang w:eastAsia="ar-SA"/>
              </w:rPr>
              <w:t>保薦人」。</w:t>
            </w:r>
          </w:p>
        </w:tc>
      </w:tr>
      <w:tr w:rsidR="00F24F39" w:rsidRPr="00F24F39" w14:paraId="6A254D54" w14:textId="77777777" w:rsidTr="005F4B44">
        <w:tc>
          <w:tcPr>
            <w:tcW w:w="1134" w:type="dxa"/>
            <w:tcBorders>
              <w:top w:val="single" w:sz="4" w:space="0" w:color="000000"/>
              <w:left w:val="single" w:sz="4" w:space="0" w:color="000000"/>
              <w:bottom w:val="single" w:sz="4" w:space="0" w:color="000000"/>
            </w:tcBorders>
            <w:shd w:val="clear" w:color="auto" w:fill="auto"/>
          </w:tcPr>
          <w:p w14:paraId="4BC0994E"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(g)</w:t>
            </w:r>
            <w:r w:rsidRPr="00F24F39">
              <w:rPr>
                <w:rFonts w:eastAsia="細明體" w:cs="Segoe UI" w:hint="eastAsia"/>
                <w:sz w:val="17"/>
                <w:szCs w:val="17"/>
                <w:lang w:eastAsia="ar-SA"/>
              </w:rPr>
              <w:t>至</w:t>
            </w:r>
            <w:r w:rsidRPr="00F24F39">
              <w:rPr>
                <w:rFonts w:eastAsia="細明體" w:cs="Segoe UI"/>
                <w:sz w:val="17"/>
                <w:szCs w:val="17"/>
                <w:lang w:eastAsia="ar-SA"/>
              </w:rPr>
              <w:t>(</w:t>
            </w:r>
            <w:proofErr w:type="spellStart"/>
            <w:r w:rsidRPr="00F24F39">
              <w:rPr>
                <w:rFonts w:eastAsia="細明體" w:cs="Segoe UI"/>
                <w:sz w:val="17"/>
                <w:szCs w:val="17"/>
                <w:lang w:eastAsia="ar-SA"/>
              </w:rPr>
              <w:t>i</w:t>
            </w:r>
            <w:proofErr w:type="spellEnd"/>
            <w:r w:rsidRPr="00F24F39">
              <w:rPr>
                <w:rFonts w:eastAsia="細明體" w:cs="Segoe UI"/>
                <w:sz w:val="17"/>
                <w:szCs w:val="17"/>
                <w:lang w:eastAsia="ar-SA"/>
              </w:rPr>
              <w:t>)</w:t>
            </w:r>
          </w:p>
        </w:tc>
        <w:tc>
          <w:tcPr>
            <w:tcW w:w="12778" w:type="dxa"/>
            <w:tcBorders>
              <w:top w:val="single" w:sz="4" w:space="0" w:color="000000"/>
              <w:left w:val="single" w:sz="4" w:space="0" w:color="000000"/>
              <w:bottom w:val="single" w:sz="4" w:space="0" w:color="000000"/>
              <w:right w:val="single" w:sz="4" w:space="0" w:color="000000"/>
            </w:tcBorders>
            <w:shd w:val="clear" w:color="auto" w:fill="auto"/>
          </w:tcPr>
          <w:p w14:paraId="36C62279"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作為投資者</w:t>
            </w:r>
            <w:r w:rsidRPr="00F24F39">
              <w:rPr>
                <w:rFonts w:eastAsia="細明體" w:cs="Segoe UI" w:hint="eastAsia"/>
                <w:bCs/>
                <w:sz w:val="17"/>
                <w:szCs w:val="17"/>
                <w:lang w:eastAsia="ar-SA"/>
              </w:rPr>
              <w:t>：在該等欄內填報認可機構購自第三方交易的投資持倉。</w:t>
            </w:r>
          </w:p>
        </w:tc>
      </w:tr>
      <w:tr w:rsidR="00F24F39" w:rsidRPr="00F24F39" w14:paraId="6663E1AB" w14:textId="77777777" w:rsidTr="005F4B44">
        <w:tc>
          <w:tcPr>
            <w:tcW w:w="1134" w:type="dxa"/>
            <w:tcBorders>
              <w:top w:val="single" w:sz="4" w:space="0" w:color="000000"/>
              <w:left w:val="single" w:sz="4" w:space="0" w:color="000000"/>
              <w:bottom w:val="single" w:sz="4" w:space="0" w:color="000000"/>
            </w:tcBorders>
            <w:shd w:val="clear" w:color="auto" w:fill="auto"/>
          </w:tcPr>
          <w:p w14:paraId="34147365"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(a)</w:t>
            </w:r>
            <w:r w:rsidRPr="00F24F39">
              <w:rPr>
                <w:rFonts w:eastAsia="細明體" w:cs="Segoe UI" w:hint="eastAsia"/>
                <w:sz w:val="17"/>
                <w:szCs w:val="17"/>
                <w:lang w:eastAsia="ar-SA"/>
              </w:rPr>
              <w:t>、</w:t>
            </w:r>
            <w:r w:rsidRPr="00F24F39">
              <w:rPr>
                <w:rFonts w:eastAsia="細明體" w:cs="Segoe UI"/>
                <w:sz w:val="17"/>
                <w:szCs w:val="17"/>
                <w:lang w:eastAsia="ar-SA"/>
              </w:rPr>
              <w:t>(d)</w:t>
            </w:r>
            <w:r w:rsidRPr="00F24F39">
              <w:rPr>
                <w:rFonts w:eastAsia="細明體" w:cs="Segoe UI" w:hint="eastAsia"/>
                <w:sz w:val="17"/>
                <w:szCs w:val="17"/>
                <w:lang w:eastAsia="ar-SA"/>
              </w:rPr>
              <w:t>及</w:t>
            </w:r>
            <w:r w:rsidRPr="00F24F39">
              <w:rPr>
                <w:rFonts w:eastAsia="細明體" w:cs="Segoe UI"/>
                <w:sz w:val="17"/>
                <w:szCs w:val="17"/>
                <w:lang w:eastAsia="ar-SA"/>
              </w:rPr>
              <w:t>(g)</w:t>
            </w:r>
          </w:p>
        </w:tc>
        <w:tc>
          <w:tcPr>
            <w:tcW w:w="12778" w:type="dxa"/>
            <w:tcBorders>
              <w:top w:val="single" w:sz="4" w:space="0" w:color="000000"/>
              <w:left w:val="single" w:sz="4" w:space="0" w:color="000000"/>
              <w:bottom w:val="single" w:sz="4" w:space="0" w:color="000000"/>
              <w:right w:val="single" w:sz="4" w:space="0" w:color="000000"/>
            </w:tcBorders>
            <w:shd w:val="clear" w:color="auto" w:fill="auto"/>
          </w:tcPr>
          <w:p w14:paraId="0F9BC867"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傳統</w:t>
            </w:r>
            <w:r w:rsidRPr="00F24F39">
              <w:rPr>
                <w:rFonts w:eastAsia="細明體" w:cs="Segoe UI" w:hint="eastAsia"/>
                <w:bCs/>
                <w:sz w:val="17"/>
                <w:szCs w:val="17"/>
                <w:lang w:eastAsia="ar-SA"/>
              </w:rPr>
              <w:t>：本欄涵蓋《資本規則》第</w:t>
            </w:r>
            <w:r w:rsidRPr="00F24F39">
              <w:rPr>
                <w:rFonts w:eastAsia="細明體" w:cs="Segoe UI"/>
                <w:bCs/>
                <w:sz w:val="17"/>
                <w:szCs w:val="17"/>
                <w:lang w:eastAsia="ar-SA"/>
              </w:rPr>
              <w:t>7</w:t>
            </w:r>
            <w:r w:rsidRPr="00F24F39">
              <w:rPr>
                <w:rFonts w:eastAsia="細明體" w:cs="Segoe UI" w:hint="eastAsia"/>
                <w:bCs/>
                <w:sz w:val="17"/>
                <w:szCs w:val="17"/>
                <w:lang w:eastAsia="ar-SA"/>
              </w:rPr>
              <w:t>部界定的任何傳統證券化交易。</w:t>
            </w:r>
          </w:p>
        </w:tc>
      </w:tr>
      <w:tr w:rsidR="00F24F39" w:rsidRPr="00F24F39" w14:paraId="2E0157B7" w14:textId="77777777" w:rsidTr="005F4B44">
        <w:tc>
          <w:tcPr>
            <w:tcW w:w="1134" w:type="dxa"/>
            <w:tcBorders>
              <w:top w:val="single" w:sz="4" w:space="0" w:color="000000"/>
              <w:left w:val="single" w:sz="4" w:space="0" w:color="000000"/>
              <w:bottom w:val="single" w:sz="4" w:space="0" w:color="000000"/>
            </w:tcBorders>
            <w:shd w:val="clear" w:color="auto" w:fill="auto"/>
          </w:tcPr>
          <w:p w14:paraId="20D55D8D"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(b)</w:t>
            </w:r>
            <w:r w:rsidRPr="00F24F39">
              <w:rPr>
                <w:rFonts w:eastAsia="細明體" w:cs="Segoe UI" w:hint="eastAsia"/>
                <w:sz w:val="17"/>
                <w:szCs w:val="17"/>
                <w:lang w:eastAsia="ar-SA"/>
              </w:rPr>
              <w:t>、</w:t>
            </w:r>
            <w:r w:rsidRPr="00F24F39">
              <w:rPr>
                <w:rFonts w:eastAsia="細明體" w:cs="Segoe UI"/>
                <w:sz w:val="17"/>
                <w:szCs w:val="17"/>
                <w:lang w:eastAsia="ar-SA"/>
              </w:rPr>
              <w:t>(e)</w:t>
            </w:r>
            <w:r w:rsidRPr="00F24F39">
              <w:rPr>
                <w:rFonts w:eastAsia="細明體" w:cs="Segoe UI" w:hint="eastAsia"/>
                <w:sz w:val="17"/>
                <w:szCs w:val="17"/>
                <w:lang w:eastAsia="ar-SA"/>
              </w:rPr>
              <w:t>及</w:t>
            </w:r>
            <w:r w:rsidRPr="00F24F39">
              <w:rPr>
                <w:rFonts w:eastAsia="細明體" w:cs="Segoe UI"/>
                <w:sz w:val="17"/>
                <w:szCs w:val="17"/>
                <w:lang w:eastAsia="ar-SA"/>
              </w:rPr>
              <w:t>(h)</w:t>
            </w:r>
          </w:p>
        </w:tc>
        <w:tc>
          <w:tcPr>
            <w:tcW w:w="12778" w:type="dxa"/>
            <w:tcBorders>
              <w:top w:val="single" w:sz="4" w:space="0" w:color="000000"/>
              <w:left w:val="single" w:sz="4" w:space="0" w:color="000000"/>
              <w:bottom w:val="single" w:sz="4" w:space="0" w:color="000000"/>
              <w:right w:val="single" w:sz="4" w:space="0" w:color="000000"/>
            </w:tcBorders>
            <w:shd w:val="clear" w:color="auto" w:fill="auto"/>
          </w:tcPr>
          <w:p w14:paraId="3472AA70"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合成</w:t>
            </w:r>
            <w:r w:rsidRPr="00F24F39">
              <w:rPr>
                <w:rFonts w:eastAsia="細明體" w:cs="Segoe UI" w:hint="eastAsia"/>
                <w:bCs/>
                <w:sz w:val="17"/>
                <w:szCs w:val="17"/>
                <w:lang w:eastAsia="ar-SA"/>
              </w:rPr>
              <w:t>：本欄涵蓋《資本規則》第</w:t>
            </w:r>
            <w:r w:rsidRPr="00F24F39">
              <w:rPr>
                <w:rFonts w:eastAsia="細明體" w:cs="Segoe UI"/>
                <w:bCs/>
                <w:sz w:val="17"/>
                <w:szCs w:val="17"/>
                <w:lang w:eastAsia="ar-SA"/>
              </w:rPr>
              <w:t>7</w:t>
            </w:r>
            <w:r w:rsidRPr="00F24F39">
              <w:rPr>
                <w:rFonts w:eastAsia="細明體" w:cs="Segoe UI" w:hint="eastAsia"/>
                <w:bCs/>
                <w:sz w:val="17"/>
                <w:szCs w:val="17"/>
                <w:lang w:eastAsia="ar-SA"/>
              </w:rPr>
              <w:t>部界定的任何合成證券化交易。認可機構如已購買保障，應在發起人</w:t>
            </w:r>
            <w:r w:rsidRPr="00F24F39">
              <w:rPr>
                <w:rFonts w:eastAsia="細明體" w:cs="Segoe UI"/>
                <w:bCs/>
                <w:sz w:val="17"/>
                <w:szCs w:val="17"/>
                <w:lang w:eastAsia="ar-SA"/>
              </w:rPr>
              <w:t>/</w:t>
            </w:r>
            <w:r w:rsidRPr="00F24F39">
              <w:rPr>
                <w:rFonts w:eastAsia="細明體" w:cs="Segoe UI" w:hint="eastAsia"/>
                <w:bCs/>
                <w:sz w:val="17"/>
                <w:szCs w:val="17"/>
                <w:lang w:eastAsia="ar-SA"/>
              </w:rPr>
              <w:t>保薦人項下的欄內填報承受的淨風險承擔額（即無保證的數額）。認可機構如已出售保障，應在「投資者」欄內填報信用保障的風險承擔額。</w:t>
            </w:r>
          </w:p>
        </w:tc>
      </w:tr>
      <w:tr w:rsidR="00F24F39" w:rsidRPr="00F24F39" w14:paraId="76D46A90" w14:textId="77777777" w:rsidTr="005F4B44">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48ED6D5"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
                <w:sz w:val="17"/>
                <w:lang w:eastAsia="ar-SA"/>
              </w:rPr>
              <w:t>行</w:t>
            </w:r>
          </w:p>
        </w:tc>
      </w:tr>
      <w:tr w:rsidR="00F24F39" w:rsidRPr="00F24F39" w14:paraId="38EF58DB" w14:textId="77777777" w:rsidTr="005F4B44">
        <w:tc>
          <w:tcPr>
            <w:tcW w:w="1134" w:type="dxa"/>
            <w:tcBorders>
              <w:top w:val="single" w:sz="4" w:space="0" w:color="000000"/>
              <w:left w:val="single" w:sz="4" w:space="0" w:color="000000"/>
              <w:bottom w:val="single" w:sz="4" w:space="0" w:color="000000"/>
            </w:tcBorders>
            <w:shd w:val="clear" w:color="auto" w:fill="auto"/>
          </w:tcPr>
          <w:p w14:paraId="4E091790" w14:textId="77777777" w:rsidR="00F24F39" w:rsidRPr="00F24F39" w:rsidRDefault="00F24F39" w:rsidP="00F24F39">
            <w:pPr>
              <w:keepLines/>
              <w:widowControl w:val="0"/>
              <w:suppressAutoHyphens/>
              <w:spacing w:before="20" w:after="20"/>
              <w:ind w:right="-108"/>
              <w:rPr>
                <w:rFonts w:eastAsia="細明體" w:cs="Segoe UI"/>
                <w:bCs/>
                <w:sz w:val="17"/>
                <w:szCs w:val="17"/>
                <w:lang w:eastAsia="ar-SA"/>
              </w:rPr>
            </w:pPr>
            <w:r w:rsidRPr="00F24F39">
              <w:rPr>
                <w:rFonts w:eastAsia="細明體" w:cs="Segoe UI" w:hint="eastAsia"/>
                <w:sz w:val="17"/>
                <w:szCs w:val="17"/>
                <w:lang w:eastAsia="ar-SA"/>
              </w:rPr>
              <w:t>所有</w:t>
            </w:r>
          </w:p>
        </w:tc>
        <w:tc>
          <w:tcPr>
            <w:tcW w:w="12778" w:type="dxa"/>
            <w:tcBorders>
              <w:top w:val="single" w:sz="4" w:space="0" w:color="000000"/>
              <w:left w:val="single" w:sz="4" w:space="0" w:color="000000"/>
              <w:bottom w:val="single" w:sz="4" w:space="0" w:color="000000"/>
              <w:right w:val="single" w:sz="4" w:space="0" w:color="000000"/>
            </w:tcBorders>
            <w:shd w:val="clear" w:color="auto" w:fill="auto"/>
          </w:tcPr>
          <w:p w14:paraId="4DD9D5E4"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sz w:val="17"/>
                <w:szCs w:val="17"/>
                <w:lang w:eastAsia="ar-SA"/>
              </w:rPr>
              <w:t>如</w:t>
            </w:r>
            <w:r w:rsidRPr="00F24F39">
              <w:rPr>
                <w:rFonts w:eastAsia="細明體" w:cs="Segoe UI" w:hint="eastAsia"/>
                <w:sz w:val="17"/>
                <w:lang w:eastAsia="ar-SA"/>
              </w:rPr>
              <w:t>以另一細目分類反映其交易狀況更為合適，認可機構可相應修改行的風險承擔細目分類；惟與再證券化類別風險承擔有關的行（即上表第</w:t>
            </w:r>
            <w:r w:rsidRPr="00F24F39">
              <w:rPr>
                <w:rFonts w:eastAsia="細明體" w:cs="Segoe UI"/>
                <w:sz w:val="17"/>
                <w:lang w:eastAsia="ar-SA"/>
              </w:rPr>
              <w:t>5</w:t>
            </w:r>
            <w:r w:rsidRPr="00F24F39">
              <w:rPr>
                <w:rFonts w:eastAsia="細明體" w:cs="Segoe UI" w:hint="eastAsia"/>
                <w:sz w:val="17"/>
                <w:lang w:eastAsia="ar-SA"/>
              </w:rPr>
              <w:t>及</w:t>
            </w:r>
            <w:r w:rsidRPr="00F24F39">
              <w:rPr>
                <w:rFonts w:eastAsia="細明體" w:cs="Segoe UI"/>
                <w:sz w:val="17"/>
                <w:lang w:eastAsia="ar-SA"/>
              </w:rPr>
              <w:t>11</w:t>
            </w:r>
            <w:r w:rsidRPr="00F24F39">
              <w:rPr>
                <w:rFonts w:eastAsia="細明體" w:cs="Segoe UI" w:hint="eastAsia"/>
                <w:sz w:val="17"/>
                <w:lang w:eastAsia="ar-SA"/>
              </w:rPr>
              <w:t>行）是固定的，</w:t>
            </w:r>
            <w:r w:rsidRPr="00F24F39">
              <w:rPr>
                <w:rFonts w:eastAsia="細明體" w:cs="Segoe UI" w:hint="eastAsia"/>
                <w:sz w:val="17"/>
                <w:lang w:eastAsia="zh-TW"/>
              </w:rPr>
              <w:t>即</w:t>
            </w:r>
            <w:r w:rsidRPr="00F24F39">
              <w:rPr>
                <w:rFonts w:eastAsia="細明體" w:cs="Segoe UI" w:hint="eastAsia"/>
                <w:sz w:val="17"/>
                <w:lang w:eastAsia="ar-SA"/>
              </w:rPr>
              <w:t>《資本規則》定義範圍內的所有再證券化類別風險承擔均應在該等行填報，而其他行則應只包含再證券化類別風險承擔以外的證券化類別風險承擔。</w:t>
            </w:r>
          </w:p>
        </w:tc>
      </w:tr>
    </w:tbl>
    <w:p w14:paraId="673741ED" w14:textId="77777777" w:rsidR="005F4B44" w:rsidRDefault="005F4B44">
      <w:pPr>
        <w:rPr>
          <w:lang w:eastAsia="zh-TW"/>
        </w:rPr>
      </w:pPr>
    </w:p>
    <w:p w14:paraId="513098E8" w14:textId="77777777" w:rsidR="00F24F39" w:rsidRPr="00F24F39" w:rsidRDefault="00F24F39" w:rsidP="00F24F39">
      <w:pPr>
        <w:suppressAutoHyphens/>
        <w:rPr>
          <w:rFonts w:cs="Segoe UI"/>
          <w:lang w:eastAsia="ar-SA"/>
        </w:rPr>
        <w:sectPr w:rsidR="00F24F39" w:rsidRPr="00F24F39">
          <w:footerReference w:type="default" r:id="rId96"/>
          <w:pgSz w:w="16838" w:h="11906" w:orient="landscape"/>
          <w:pgMar w:top="1276" w:right="1440" w:bottom="993" w:left="1440" w:header="720" w:footer="737" w:gutter="0"/>
          <w:cols w:space="720"/>
          <w:docGrid w:type="linesAndChars" w:linePitch="360"/>
        </w:sectPr>
      </w:pPr>
    </w:p>
    <w:p w14:paraId="23860029" w14:textId="7A7E9241" w:rsidR="000D5C9B" w:rsidRPr="000D5C9B" w:rsidRDefault="000D5C9B" w:rsidP="000D5C9B">
      <w:pPr>
        <w:pStyle w:val="Heading2"/>
        <w:keepNext w:val="0"/>
        <w:suppressAutoHyphens w:val="0"/>
        <w:spacing w:before="40" w:line="240" w:lineRule="auto"/>
        <w:ind w:left="-454" w:firstLine="596"/>
        <w:rPr>
          <w:rFonts w:ascii="細明體" w:eastAsia="細明體" w:hAnsi="細明體" w:cs="Segoe UI"/>
          <w:b w:val="0"/>
          <w:sz w:val="22"/>
        </w:rPr>
      </w:pPr>
      <w:r w:rsidRPr="000D5C9B">
        <w:rPr>
          <w:rFonts w:eastAsia="細明體" w:cs="Segoe UI" w:hint="eastAsia"/>
          <w:b w:val="0"/>
          <w:sz w:val="22"/>
        </w:rPr>
        <w:t>模版</w:t>
      </w:r>
      <w:r w:rsidRPr="000D5C9B">
        <w:rPr>
          <w:rFonts w:ascii="Segoe UI" w:eastAsia="細明體" w:hAnsi="Segoe UI" w:cs="Segoe UI"/>
          <w:b w:val="0"/>
          <w:sz w:val="22"/>
        </w:rPr>
        <w:t>SEC2</w:t>
      </w:r>
      <w:r w:rsidRPr="000D5C9B">
        <w:rPr>
          <w:rFonts w:eastAsia="細明體" w:cs="Segoe UI" w:hint="eastAsia"/>
          <w:b w:val="0"/>
          <w:sz w:val="22"/>
        </w:rPr>
        <w:t>：交易帳</w:t>
      </w:r>
      <w:r w:rsidRPr="000D5C9B">
        <w:rPr>
          <w:rFonts w:eastAsia="細明體" w:cs="Segoe UI" w:hint="eastAsia"/>
          <w:b w:val="0"/>
          <w:sz w:val="22"/>
          <w:szCs w:val="22"/>
        </w:rPr>
        <w:t>內</w:t>
      </w:r>
      <w:r w:rsidRPr="000D5C9B">
        <w:rPr>
          <w:rFonts w:eastAsia="細明體" w:cs="Segoe UI" w:hint="eastAsia"/>
          <w:b w:val="0"/>
          <w:sz w:val="22"/>
        </w:rPr>
        <w:t>的證券化類別風險承擔</w:t>
      </w:r>
    </w:p>
    <w:tbl>
      <w:tblPr>
        <w:tblW w:w="0" w:type="auto"/>
        <w:tblInd w:w="108" w:type="dxa"/>
        <w:tblLayout w:type="fixed"/>
        <w:tblLook w:val="0000" w:firstRow="0" w:lastRow="0" w:firstColumn="0" w:lastColumn="0" w:noHBand="0" w:noVBand="0"/>
      </w:tblPr>
      <w:tblGrid>
        <w:gridCol w:w="2552"/>
        <w:gridCol w:w="11340"/>
      </w:tblGrid>
      <w:tr w:rsidR="00F24F39" w:rsidRPr="00F24F39" w14:paraId="1CC98B89" w14:textId="77777777" w:rsidTr="005F4B44">
        <w:tc>
          <w:tcPr>
            <w:tcW w:w="2552" w:type="dxa"/>
            <w:tcBorders>
              <w:top w:val="single" w:sz="4" w:space="0" w:color="000000"/>
              <w:bottom w:val="single" w:sz="4" w:space="0" w:color="000000"/>
            </w:tcBorders>
            <w:shd w:val="clear" w:color="auto" w:fill="auto"/>
          </w:tcPr>
          <w:p w14:paraId="131E4035"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目的：</w:t>
            </w:r>
          </w:p>
        </w:tc>
        <w:tc>
          <w:tcPr>
            <w:tcW w:w="11340" w:type="dxa"/>
            <w:tcBorders>
              <w:top w:val="single" w:sz="4" w:space="0" w:color="000000"/>
              <w:left w:val="single" w:sz="4" w:space="0" w:color="000000"/>
              <w:bottom w:val="single" w:sz="4" w:space="0" w:color="000000"/>
            </w:tcBorders>
            <w:shd w:val="clear" w:color="auto" w:fill="auto"/>
            <w:vAlign w:val="center"/>
          </w:tcPr>
          <w:p w14:paraId="0A91F751"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就交易帳內的證券化類別風險承擔（不論該等風險承擔是否由合資格證券化交易</w:t>
            </w:r>
            <w:r w:rsidRPr="00F24F39">
              <w:rPr>
                <w:rFonts w:eastAsia="細明體" w:cs="Segoe UI" w:hint="eastAsia"/>
                <w:sz w:val="17"/>
                <w:lang w:eastAsia="zh-TW"/>
              </w:rPr>
              <w:t>或非合資格證券化交易</w:t>
            </w:r>
            <w:r w:rsidRPr="00F24F39">
              <w:rPr>
                <w:rFonts w:eastAsia="細明體" w:cs="Segoe UI" w:hint="eastAsia"/>
                <w:sz w:val="17"/>
                <w:lang w:eastAsia="ar-SA"/>
              </w:rPr>
              <w:t>產生），展示細目分類。</w:t>
            </w:r>
          </w:p>
        </w:tc>
      </w:tr>
      <w:tr w:rsidR="00F24F39" w:rsidRPr="00F24F39" w14:paraId="5D27EBE0" w14:textId="77777777" w:rsidTr="005F4B44">
        <w:tc>
          <w:tcPr>
            <w:tcW w:w="2552" w:type="dxa"/>
            <w:tcBorders>
              <w:top w:val="single" w:sz="4" w:space="0" w:color="000000"/>
              <w:bottom w:val="single" w:sz="4" w:space="0" w:color="000000"/>
            </w:tcBorders>
            <w:shd w:val="clear" w:color="auto" w:fill="auto"/>
          </w:tcPr>
          <w:p w14:paraId="7AFAC794"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適用範圍：</w:t>
            </w:r>
          </w:p>
        </w:tc>
        <w:tc>
          <w:tcPr>
            <w:tcW w:w="11340" w:type="dxa"/>
            <w:tcBorders>
              <w:top w:val="single" w:sz="4" w:space="0" w:color="000000"/>
              <w:left w:val="single" w:sz="4" w:space="0" w:color="000000"/>
              <w:bottom w:val="single" w:sz="4" w:space="0" w:color="000000"/>
            </w:tcBorders>
            <w:shd w:val="clear" w:color="auto" w:fill="auto"/>
            <w:vAlign w:val="center"/>
          </w:tcPr>
          <w:p w14:paraId="01C77D8B"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在香港成立為法團並於交易帳內持有證券化類別風險承擔的認可機構，均須填報本模版。</w:t>
            </w:r>
          </w:p>
        </w:tc>
      </w:tr>
      <w:tr w:rsidR="00F24F39" w:rsidRPr="00F24F39" w14:paraId="489FA2F9" w14:textId="77777777" w:rsidTr="005F4B44">
        <w:trPr>
          <w:trHeight w:val="275"/>
        </w:trPr>
        <w:tc>
          <w:tcPr>
            <w:tcW w:w="2552" w:type="dxa"/>
            <w:tcBorders>
              <w:top w:val="single" w:sz="4" w:space="0" w:color="000000"/>
              <w:bottom w:val="single" w:sz="4" w:space="0" w:color="000000"/>
            </w:tcBorders>
            <w:shd w:val="clear" w:color="auto" w:fill="auto"/>
          </w:tcPr>
          <w:p w14:paraId="5F90DAEC"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內容：</w:t>
            </w:r>
          </w:p>
        </w:tc>
        <w:tc>
          <w:tcPr>
            <w:tcW w:w="11340" w:type="dxa"/>
            <w:tcBorders>
              <w:top w:val="single" w:sz="4" w:space="0" w:color="000000"/>
              <w:left w:val="single" w:sz="4" w:space="0" w:color="000000"/>
              <w:bottom w:val="single" w:sz="4" w:space="0" w:color="000000"/>
            </w:tcBorders>
            <w:shd w:val="clear" w:color="auto" w:fill="auto"/>
            <w:vAlign w:val="center"/>
          </w:tcPr>
          <w:p w14:paraId="532B8BD1"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帳面值。</w:t>
            </w:r>
            <w:r w:rsidRPr="00F24F39">
              <w:rPr>
                <w:rFonts w:eastAsia="細明體" w:cs="Segoe UI" w:hint="eastAsia"/>
                <w:sz w:val="17"/>
                <w:lang w:eastAsia="zh-TW"/>
              </w:rPr>
              <w:t>就</w:t>
            </w:r>
            <w:r w:rsidRPr="00F24F39">
              <w:rPr>
                <w:rFonts w:eastAsia="細明體" w:cs="Segoe UI" w:hint="eastAsia"/>
                <w:sz w:val="17"/>
                <w:lang w:eastAsia="ar-SA"/>
              </w:rPr>
              <w:t>本模版</w:t>
            </w:r>
            <w:r w:rsidRPr="00F24F39">
              <w:rPr>
                <w:rFonts w:eastAsia="細明體" w:cs="Segoe UI" w:hint="eastAsia"/>
                <w:sz w:val="17"/>
                <w:lang w:eastAsia="zh-TW"/>
              </w:rPr>
              <w:t>的</w:t>
            </w:r>
            <w:r w:rsidRPr="00F24F39">
              <w:rPr>
                <w:rFonts w:eastAsia="細明體" w:cs="Segoe UI" w:hint="eastAsia"/>
                <w:sz w:val="17"/>
                <w:lang w:eastAsia="ar-SA"/>
              </w:rPr>
              <w:t>目的</w:t>
            </w:r>
            <w:r w:rsidRPr="00F24F39">
              <w:rPr>
                <w:rFonts w:eastAsia="細明體" w:cs="Segoe UI" w:hint="eastAsia"/>
                <w:sz w:val="17"/>
                <w:lang w:eastAsia="zh-TW"/>
              </w:rPr>
              <w:t>而言</w:t>
            </w:r>
            <w:r w:rsidRPr="00F24F39">
              <w:rPr>
                <w:rFonts w:eastAsia="細明體" w:cs="Segoe UI" w:hint="eastAsia"/>
                <w:sz w:val="17"/>
                <w:lang w:eastAsia="ar-SA"/>
              </w:rPr>
              <w:t>，證券化類別風險承擔指《資本規則》所界定者，包括該等</w:t>
            </w:r>
            <w:r w:rsidRPr="00F24F39">
              <w:rPr>
                <w:rFonts w:eastAsia="細明體" w:cs="Segoe UI" w:hint="eastAsia"/>
                <w:sz w:val="17"/>
                <w:lang w:eastAsia="zh-TW"/>
              </w:rPr>
              <w:t>非合資格</w:t>
            </w:r>
            <w:r w:rsidRPr="00F24F39">
              <w:rPr>
                <w:rFonts w:eastAsia="細明體" w:cs="Segoe UI" w:hint="eastAsia"/>
                <w:sz w:val="17"/>
                <w:lang w:eastAsia="ar-SA"/>
              </w:rPr>
              <w:t>證券化交易產生的風險承擔。</w:t>
            </w:r>
          </w:p>
        </w:tc>
      </w:tr>
      <w:tr w:rsidR="00F24F39" w:rsidRPr="00F24F39" w14:paraId="17401C58" w14:textId="77777777" w:rsidTr="005F4B44">
        <w:tc>
          <w:tcPr>
            <w:tcW w:w="2552" w:type="dxa"/>
            <w:tcBorders>
              <w:top w:val="single" w:sz="4" w:space="0" w:color="000000"/>
              <w:bottom w:val="single" w:sz="4" w:space="0" w:color="000000"/>
            </w:tcBorders>
            <w:shd w:val="clear" w:color="auto" w:fill="auto"/>
          </w:tcPr>
          <w:p w14:paraId="2F3C0054"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頻密程度：</w:t>
            </w:r>
          </w:p>
        </w:tc>
        <w:tc>
          <w:tcPr>
            <w:tcW w:w="11340" w:type="dxa"/>
            <w:tcBorders>
              <w:top w:val="single" w:sz="4" w:space="0" w:color="000000"/>
              <w:left w:val="single" w:sz="4" w:space="0" w:color="000000"/>
              <w:bottom w:val="single" w:sz="4" w:space="0" w:color="000000"/>
            </w:tcBorders>
            <w:shd w:val="clear" w:color="auto" w:fill="auto"/>
            <w:vAlign w:val="center"/>
          </w:tcPr>
          <w:p w14:paraId="2BE55023"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每半年一次。</w:t>
            </w:r>
          </w:p>
        </w:tc>
      </w:tr>
      <w:tr w:rsidR="00F24F39" w:rsidRPr="00F24F39" w14:paraId="658FE552" w14:textId="77777777" w:rsidTr="005F4B44">
        <w:tc>
          <w:tcPr>
            <w:tcW w:w="2552" w:type="dxa"/>
            <w:tcBorders>
              <w:top w:val="single" w:sz="4" w:space="0" w:color="000000"/>
              <w:bottom w:val="single" w:sz="4" w:space="0" w:color="000000"/>
            </w:tcBorders>
            <w:shd w:val="clear" w:color="auto" w:fill="auto"/>
          </w:tcPr>
          <w:p w14:paraId="118C1657" w14:textId="77777777" w:rsidR="00F24F39" w:rsidRPr="00F24F39" w:rsidRDefault="00F24F39" w:rsidP="00F24F39">
            <w:pPr>
              <w:suppressAutoHyphens/>
              <w:spacing w:before="40" w:after="40"/>
              <w:rPr>
                <w:rFonts w:eastAsia="細明體" w:cs="Segoe UI"/>
                <w:sz w:val="17"/>
                <w:lang w:eastAsia="ar-SA"/>
              </w:rPr>
            </w:pPr>
            <w:r w:rsidRPr="00F24F39">
              <w:rPr>
                <w:rFonts w:eastAsia="細明體" w:cs="Segoe UI" w:hint="eastAsia"/>
                <w:b/>
                <w:sz w:val="17"/>
                <w:szCs w:val="17"/>
                <w:lang w:eastAsia="ar-SA"/>
              </w:rPr>
              <w:t>格式：</w:t>
            </w:r>
          </w:p>
        </w:tc>
        <w:tc>
          <w:tcPr>
            <w:tcW w:w="11340" w:type="dxa"/>
            <w:tcBorders>
              <w:top w:val="single" w:sz="4" w:space="0" w:color="000000"/>
              <w:left w:val="single" w:sz="4" w:space="0" w:color="000000"/>
              <w:bottom w:val="single" w:sz="4" w:space="0" w:color="000000"/>
            </w:tcBorders>
            <w:shd w:val="clear" w:color="auto" w:fill="auto"/>
            <w:vAlign w:val="center"/>
          </w:tcPr>
          <w:p w14:paraId="4641CE30" w14:textId="77777777" w:rsidR="00F24F39" w:rsidRPr="00F24F39" w:rsidRDefault="00F24F39" w:rsidP="00F24F39">
            <w:pPr>
              <w:suppressAutoHyphens/>
              <w:spacing w:before="40" w:after="40"/>
              <w:jc w:val="both"/>
              <w:rPr>
                <w:rFonts w:cs="Segoe UI"/>
                <w:lang w:eastAsia="ar-SA"/>
              </w:rPr>
            </w:pPr>
            <w:r w:rsidRPr="00F24F39">
              <w:rPr>
                <w:rFonts w:eastAsia="細明體" w:cs="Segoe UI" w:hint="eastAsia"/>
                <w:sz w:val="17"/>
                <w:lang w:eastAsia="ar-SA"/>
              </w:rPr>
              <w:t>非固定。</w:t>
            </w:r>
          </w:p>
        </w:tc>
      </w:tr>
      <w:tr w:rsidR="00F24F39" w:rsidRPr="00F24F39" w14:paraId="6D9A04EF" w14:textId="77777777" w:rsidTr="005F4B44">
        <w:tc>
          <w:tcPr>
            <w:tcW w:w="2552" w:type="dxa"/>
            <w:tcBorders>
              <w:top w:val="single" w:sz="4" w:space="0" w:color="000000"/>
              <w:bottom w:val="single" w:sz="4" w:space="0" w:color="000000"/>
            </w:tcBorders>
            <w:shd w:val="clear" w:color="auto" w:fill="auto"/>
          </w:tcPr>
          <w:p w14:paraId="5C5D6B7B" w14:textId="77777777" w:rsidR="00F24F39" w:rsidRPr="00F24F39" w:rsidRDefault="00F24F39" w:rsidP="00F24F39">
            <w:pPr>
              <w:suppressAutoHyphens/>
              <w:spacing w:before="40" w:after="40"/>
              <w:rPr>
                <w:rFonts w:eastAsia="細明體" w:cs="Segoe UI"/>
                <w:sz w:val="17"/>
                <w:szCs w:val="17"/>
                <w:lang w:eastAsia="ar-SA"/>
              </w:rPr>
            </w:pPr>
            <w:r w:rsidRPr="00F24F39">
              <w:rPr>
                <w:rFonts w:eastAsia="細明體" w:cs="Segoe UI" w:hint="eastAsia"/>
                <w:b/>
                <w:sz w:val="17"/>
                <w:szCs w:val="17"/>
                <w:lang w:eastAsia="ar-SA"/>
              </w:rPr>
              <w:t>附加說明：</w:t>
            </w:r>
          </w:p>
        </w:tc>
        <w:tc>
          <w:tcPr>
            <w:tcW w:w="11340" w:type="dxa"/>
            <w:tcBorders>
              <w:top w:val="single" w:sz="4" w:space="0" w:color="000000"/>
              <w:left w:val="single" w:sz="4" w:space="0" w:color="000000"/>
              <w:bottom w:val="single" w:sz="4" w:space="0" w:color="000000"/>
            </w:tcBorders>
            <w:shd w:val="clear" w:color="auto" w:fill="auto"/>
            <w:vAlign w:val="center"/>
          </w:tcPr>
          <w:p w14:paraId="06F12EB8" w14:textId="6FD0B095" w:rsidR="00F24F39" w:rsidRPr="00F24F39" w:rsidRDefault="00F24F39" w:rsidP="00872CF6">
            <w:pPr>
              <w:suppressAutoHyphens/>
              <w:spacing w:before="40" w:after="40"/>
              <w:jc w:val="both"/>
              <w:rPr>
                <w:rFonts w:cs="Segoe UI"/>
                <w:lang w:eastAsia="ar-SA"/>
              </w:rPr>
            </w:pPr>
            <w:r w:rsidRPr="00F24F39">
              <w:rPr>
                <w:rFonts w:eastAsia="細明體" w:cs="Segoe UI" w:hint="eastAsia"/>
                <w:sz w:val="17"/>
                <w:szCs w:val="17"/>
                <w:lang w:eastAsia="ar-SA"/>
              </w:rPr>
              <w:t>認可機構應以敘述評註闡明現行報告期內的任何重大</w:t>
            </w:r>
            <w:r w:rsidR="00872CF6" w:rsidRPr="00872CF6">
              <w:rPr>
                <w:rFonts w:eastAsia="細明體" w:cs="Segoe UI" w:hint="eastAsia"/>
                <w:sz w:val="17"/>
                <w:szCs w:val="17"/>
                <w:lang w:eastAsia="ar-SA"/>
              </w:rPr>
              <w:t>改</w:t>
            </w:r>
            <w:r w:rsidRPr="00F24F39">
              <w:rPr>
                <w:rFonts w:eastAsia="細明體" w:cs="Segoe UI" w:hint="eastAsia"/>
                <w:sz w:val="17"/>
                <w:szCs w:val="17"/>
                <w:lang w:eastAsia="ar-SA"/>
              </w:rPr>
              <w:t>變及引致該等</w:t>
            </w:r>
            <w:r w:rsidR="00872CF6" w:rsidRPr="00872CF6">
              <w:rPr>
                <w:rFonts w:eastAsia="細明體" w:cs="Segoe UI" w:hint="eastAsia"/>
                <w:sz w:val="17"/>
                <w:szCs w:val="17"/>
                <w:lang w:eastAsia="ar-SA"/>
              </w:rPr>
              <w:t>改</w:t>
            </w:r>
            <w:r w:rsidRPr="00F24F39">
              <w:rPr>
                <w:rFonts w:eastAsia="細明體" w:cs="Segoe UI" w:hint="eastAsia"/>
                <w:sz w:val="17"/>
                <w:szCs w:val="17"/>
                <w:lang w:eastAsia="ar-SA"/>
              </w:rPr>
              <w:t>變的主要驅動因素，以補充本模版。</w:t>
            </w:r>
          </w:p>
        </w:tc>
      </w:tr>
      <w:tr w:rsidR="00F24F39" w:rsidRPr="00F24F39" w14:paraId="12302065" w14:textId="77777777" w:rsidTr="005F4B44">
        <w:tc>
          <w:tcPr>
            <w:tcW w:w="2552" w:type="dxa"/>
            <w:tcBorders>
              <w:top w:val="single" w:sz="4" w:space="0" w:color="000000"/>
              <w:bottom w:val="single" w:sz="4" w:space="0" w:color="000000"/>
            </w:tcBorders>
            <w:shd w:val="clear" w:color="auto" w:fill="auto"/>
          </w:tcPr>
          <w:p w14:paraId="48BC3897" w14:textId="77777777" w:rsidR="00F24F39" w:rsidRPr="00F24F39" w:rsidRDefault="00F24F39" w:rsidP="00F24F39">
            <w:pPr>
              <w:suppressAutoHyphens/>
              <w:spacing w:before="40" w:after="40"/>
              <w:rPr>
                <w:rFonts w:eastAsia="細明體" w:cs="Segoe UI"/>
                <w:sz w:val="17"/>
                <w:szCs w:val="17"/>
                <w:lang w:eastAsia="ar-SA"/>
              </w:rPr>
            </w:pPr>
            <w:r w:rsidRPr="00F24F39">
              <w:rPr>
                <w:rFonts w:eastAsia="細明體" w:cs="Segoe UI" w:hint="eastAsia"/>
                <w:b/>
                <w:sz w:val="17"/>
                <w:szCs w:val="17"/>
                <w:lang w:eastAsia="ar-SA"/>
              </w:rPr>
              <w:t>《披露規則》相應條文：</w:t>
            </w:r>
          </w:p>
        </w:tc>
        <w:tc>
          <w:tcPr>
            <w:tcW w:w="11340" w:type="dxa"/>
            <w:tcBorders>
              <w:top w:val="single" w:sz="4" w:space="0" w:color="000000"/>
              <w:left w:val="single" w:sz="4" w:space="0" w:color="000000"/>
              <w:bottom w:val="single" w:sz="4" w:space="0" w:color="000000"/>
            </w:tcBorders>
            <w:shd w:val="clear" w:color="auto" w:fill="auto"/>
            <w:vAlign w:val="center"/>
          </w:tcPr>
          <w:p w14:paraId="77D3C4C1" w14:textId="77777777" w:rsidR="00F24F39" w:rsidRPr="00F24F39" w:rsidRDefault="00F24F39" w:rsidP="00F24F39">
            <w:pPr>
              <w:suppressAutoHyphens/>
              <w:spacing w:before="40" w:after="40"/>
              <w:jc w:val="both"/>
              <w:rPr>
                <w:rFonts w:cs="Segoe UI"/>
                <w:lang w:eastAsia="ar-SA"/>
              </w:rPr>
            </w:pPr>
            <w:r w:rsidRPr="00F24F39">
              <w:rPr>
                <w:rFonts w:eastAsia="細明體" w:cs="Segoe UI"/>
                <w:sz w:val="17"/>
                <w:szCs w:val="17"/>
                <w:lang w:eastAsia="ar-SA"/>
              </w:rPr>
              <w:t>16ZG</w:t>
            </w:r>
          </w:p>
        </w:tc>
      </w:tr>
    </w:tbl>
    <w:p w14:paraId="5B5774F8" w14:textId="77777777" w:rsidR="00F24F39" w:rsidRPr="00F24F39" w:rsidRDefault="00F24F39" w:rsidP="00A94770">
      <w:pPr>
        <w:suppressAutoHyphens/>
        <w:rPr>
          <w:rFonts w:eastAsia="細明體" w:cs="Segoe UI"/>
          <w:sz w:val="22"/>
          <w:lang w:eastAsia="ar-SA"/>
        </w:rPr>
      </w:pPr>
    </w:p>
    <w:tbl>
      <w:tblPr>
        <w:tblW w:w="0" w:type="auto"/>
        <w:tblInd w:w="108" w:type="dxa"/>
        <w:tblLayout w:type="fixed"/>
        <w:tblLook w:val="0000" w:firstRow="0" w:lastRow="0" w:firstColumn="0" w:lastColumn="0" w:noHBand="0" w:noVBand="0"/>
      </w:tblPr>
      <w:tblGrid>
        <w:gridCol w:w="420"/>
        <w:gridCol w:w="2557"/>
        <w:gridCol w:w="1212"/>
        <w:gridCol w:w="1213"/>
        <w:gridCol w:w="1213"/>
        <w:gridCol w:w="1213"/>
        <w:gridCol w:w="1212"/>
        <w:gridCol w:w="1213"/>
        <w:gridCol w:w="1213"/>
        <w:gridCol w:w="1213"/>
        <w:gridCol w:w="1233"/>
      </w:tblGrid>
      <w:tr w:rsidR="00F24F39" w:rsidRPr="00F24F39" w14:paraId="46B29952" w14:textId="77777777" w:rsidTr="005F4B44">
        <w:trPr>
          <w:cantSplit/>
          <w:trHeight w:val="113"/>
          <w:tblHeader/>
        </w:trPr>
        <w:tc>
          <w:tcPr>
            <w:tcW w:w="420" w:type="dxa"/>
            <w:shd w:val="clear" w:color="auto" w:fill="auto"/>
          </w:tcPr>
          <w:p w14:paraId="452F235D" w14:textId="77777777" w:rsidR="00F24F39" w:rsidRPr="00F24F39" w:rsidRDefault="00F24F39" w:rsidP="00F24F39">
            <w:pPr>
              <w:keepNext/>
              <w:suppressAutoHyphens/>
              <w:snapToGrid w:val="0"/>
              <w:spacing w:before="40" w:after="40"/>
              <w:rPr>
                <w:rFonts w:eastAsia="細明體" w:cs="Segoe UI"/>
                <w:sz w:val="17"/>
                <w:szCs w:val="17"/>
                <w:lang w:eastAsia="ar-SA"/>
              </w:rPr>
            </w:pPr>
          </w:p>
        </w:tc>
        <w:tc>
          <w:tcPr>
            <w:tcW w:w="2557" w:type="dxa"/>
            <w:shd w:val="clear" w:color="auto" w:fill="auto"/>
            <w:vAlign w:val="center"/>
          </w:tcPr>
          <w:p w14:paraId="3C6C7563" w14:textId="77777777" w:rsidR="00F24F39" w:rsidRPr="00F24F39" w:rsidRDefault="00F24F39" w:rsidP="00F24F39">
            <w:pPr>
              <w:keepNext/>
              <w:suppressAutoHyphens/>
              <w:snapToGrid w:val="0"/>
              <w:spacing w:before="40" w:after="40"/>
              <w:rPr>
                <w:rFonts w:eastAsia="細明體" w:cs="Segoe UI"/>
                <w:sz w:val="17"/>
                <w:szCs w:val="17"/>
                <w:lang w:eastAsia="ar-SA"/>
              </w:rPr>
            </w:pPr>
          </w:p>
        </w:tc>
        <w:tc>
          <w:tcPr>
            <w:tcW w:w="1212" w:type="dxa"/>
            <w:tcBorders>
              <w:top w:val="single" w:sz="4" w:space="0" w:color="000000"/>
              <w:left w:val="single" w:sz="4" w:space="0" w:color="000000"/>
              <w:bottom w:val="single" w:sz="4" w:space="0" w:color="000000"/>
            </w:tcBorders>
            <w:shd w:val="clear" w:color="auto" w:fill="auto"/>
            <w:vAlign w:val="center"/>
          </w:tcPr>
          <w:p w14:paraId="27E01F33"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(a)</w:t>
            </w:r>
          </w:p>
        </w:tc>
        <w:tc>
          <w:tcPr>
            <w:tcW w:w="1213" w:type="dxa"/>
            <w:tcBorders>
              <w:top w:val="single" w:sz="4" w:space="0" w:color="000000"/>
              <w:left w:val="single" w:sz="4" w:space="0" w:color="000000"/>
              <w:bottom w:val="single" w:sz="4" w:space="0" w:color="000000"/>
            </w:tcBorders>
            <w:shd w:val="clear" w:color="auto" w:fill="auto"/>
            <w:vAlign w:val="center"/>
          </w:tcPr>
          <w:p w14:paraId="5C199EE6"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(b)</w:t>
            </w:r>
          </w:p>
        </w:tc>
        <w:tc>
          <w:tcPr>
            <w:tcW w:w="1213" w:type="dxa"/>
            <w:tcBorders>
              <w:top w:val="single" w:sz="4" w:space="0" w:color="000000"/>
              <w:left w:val="single" w:sz="4" w:space="0" w:color="000000"/>
              <w:bottom w:val="single" w:sz="4" w:space="0" w:color="000000"/>
            </w:tcBorders>
            <w:shd w:val="clear" w:color="auto" w:fill="auto"/>
            <w:vAlign w:val="center"/>
          </w:tcPr>
          <w:p w14:paraId="5DF1C04F"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(c)</w:t>
            </w:r>
          </w:p>
        </w:tc>
        <w:tc>
          <w:tcPr>
            <w:tcW w:w="1213" w:type="dxa"/>
            <w:tcBorders>
              <w:top w:val="single" w:sz="4" w:space="0" w:color="000000"/>
              <w:left w:val="single" w:sz="4" w:space="0" w:color="000000"/>
              <w:bottom w:val="single" w:sz="4" w:space="0" w:color="000000"/>
            </w:tcBorders>
            <w:shd w:val="clear" w:color="auto" w:fill="auto"/>
            <w:vAlign w:val="center"/>
          </w:tcPr>
          <w:p w14:paraId="1E6B7FFA"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(d)</w:t>
            </w:r>
          </w:p>
        </w:tc>
        <w:tc>
          <w:tcPr>
            <w:tcW w:w="1212" w:type="dxa"/>
            <w:tcBorders>
              <w:top w:val="single" w:sz="4" w:space="0" w:color="000000"/>
              <w:left w:val="single" w:sz="4" w:space="0" w:color="000000"/>
              <w:bottom w:val="single" w:sz="4" w:space="0" w:color="000000"/>
            </w:tcBorders>
            <w:shd w:val="clear" w:color="auto" w:fill="auto"/>
            <w:vAlign w:val="center"/>
          </w:tcPr>
          <w:p w14:paraId="1D19552A"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(e)</w:t>
            </w:r>
          </w:p>
        </w:tc>
        <w:tc>
          <w:tcPr>
            <w:tcW w:w="1213" w:type="dxa"/>
            <w:tcBorders>
              <w:top w:val="single" w:sz="4" w:space="0" w:color="000000"/>
              <w:left w:val="single" w:sz="4" w:space="0" w:color="000000"/>
              <w:bottom w:val="single" w:sz="4" w:space="0" w:color="000000"/>
            </w:tcBorders>
            <w:shd w:val="clear" w:color="auto" w:fill="auto"/>
            <w:vAlign w:val="center"/>
          </w:tcPr>
          <w:p w14:paraId="6FE500B3"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(f)</w:t>
            </w:r>
          </w:p>
        </w:tc>
        <w:tc>
          <w:tcPr>
            <w:tcW w:w="1213" w:type="dxa"/>
            <w:tcBorders>
              <w:top w:val="single" w:sz="4" w:space="0" w:color="000000"/>
              <w:left w:val="single" w:sz="4" w:space="0" w:color="000000"/>
              <w:bottom w:val="single" w:sz="4" w:space="0" w:color="000000"/>
            </w:tcBorders>
            <w:shd w:val="clear" w:color="auto" w:fill="auto"/>
            <w:vAlign w:val="center"/>
          </w:tcPr>
          <w:p w14:paraId="3F58C811"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(g)</w:t>
            </w:r>
          </w:p>
        </w:tc>
        <w:tc>
          <w:tcPr>
            <w:tcW w:w="1213" w:type="dxa"/>
            <w:tcBorders>
              <w:top w:val="single" w:sz="4" w:space="0" w:color="000000"/>
              <w:left w:val="single" w:sz="4" w:space="0" w:color="000000"/>
              <w:bottom w:val="single" w:sz="4" w:space="0" w:color="000000"/>
            </w:tcBorders>
            <w:shd w:val="clear" w:color="auto" w:fill="auto"/>
            <w:vAlign w:val="center"/>
          </w:tcPr>
          <w:p w14:paraId="4C000386" w14:textId="77777777" w:rsidR="00F24F39" w:rsidRPr="00F24F39" w:rsidRDefault="00F24F39" w:rsidP="00F24F39">
            <w:pPr>
              <w:suppressAutoHyphens/>
              <w:snapToGrid w:val="0"/>
              <w:spacing w:before="40" w:after="40"/>
              <w:jc w:val="center"/>
              <w:rPr>
                <w:rFonts w:eastAsia="細明體" w:cs="Segoe UI"/>
                <w:bCs/>
                <w:sz w:val="17"/>
                <w:szCs w:val="17"/>
                <w:lang w:eastAsia="ar-SA"/>
              </w:rPr>
            </w:pPr>
            <w:r w:rsidRPr="00F24F39">
              <w:rPr>
                <w:rFonts w:eastAsia="細明體" w:cs="Segoe UI"/>
                <w:bCs/>
                <w:sz w:val="17"/>
                <w:szCs w:val="17"/>
                <w:lang w:eastAsia="ar-SA"/>
              </w:rPr>
              <w:t>(h)</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133B" w14:textId="77777777" w:rsidR="00F24F39" w:rsidRPr="00F24F39" w:rsidRDefault="00F24F39" w:rsidP="00F24F39">
            <w:pPr>
              <w:suppressAutoHyphens/>
              <w:snapToGrid w:val="0"/>
              <w:spacing w:before="40" w:after="40"/>
              <w:jc w:val="center"/>
              <w:rPr>
                <w:rFonts w:cs="Segoe UI"/>
                <w:lang w:eastAsia="ar-SA"/>
              </w:rPr>
            </w:pPr>
            <w:r w:rsidRPr="00F24F39">
              <w:rPr>
                <w:rFonts w:eastAsia="細明體" w:cs="Segoe UI"/>
                <w:bCs/>
                <w:sz w:val="17"/>
                <w:szCs w:val="17"/>
                <w:lang w:eastAsia="ar-SA"/>
              </w:rPr>
              <w:t>(</w:t>
            </w:r>
            <w:proofErr w:type="spellStart"/>
            <w:r w:rsidRPr="00F24F39">
              <w:rPr>
                <w:rFonts w:eastAsia="細明體" w:cs="Segoe UI"/>
                <w:bCs/>
                <w:sz w:val="17"/>
                <w:szCs w:val="17"/>
                <w:lang w:eastAsia="ar-SA"/>
              </w:rPr>
              <w:t>i</w:t>
            </w:r>
            <w:proofErr w:type="spellEnd"/>
            <w:r w:rsidRPr="00F24F39">
              <w:rPr>
                <w:rFonts w:eastAsia="細明體" w:cs="Segoe UI"/>
                <w:bCs/>
                <w:sz w:val="17"/>
                <w:szCs w:val="17"/>
                <w:lang w:eastAsia="ar-SA"/>
              </w:rPr>
              <w:t>)</w:t>
            </w:r>
          </w:p>
        </w:tc>
      </w:tr>
      <w:tr w:rsidR="00F24F39" w:rsidRPr="00F24F39" w14:paraId="4E7D493E" w14:textId="77777777" w:rsidTr="005F4B44">
        <w:trPr>
          <w:cantSplit/>
          <w:tblHeader/>
        </w:trPr>
        <w:tc>
          <w:tcPr>
            <w:tcW w:w="420" w:type="dxa"/>
            <w:shd w:val="clear" w:color="auto" w:fill="auto"/>
          </w:tcPr>
          <w:p w14:paraId="4CB0C54A" w14:textId="77777777" w:rsidR="00F24F39" w:rsidRPr="00F24F39" w:rsidRDefault="00F24F39" w:rsidP="00F24F39">
            <w:pPr>
              <w:keepNext/>
              <w:suppressAutoHyphens/>
              <w:snapToGrid w:val="0"/>
              <w:rPr>
                <w:rFonts w:eastAsia="細明體" w:cs="Segoe UI"/>
                <w:sz w:val="17"/>
                <w:szCs w:val="17"/>
                <w:lang w:eastAsia="ar-SA"/>
              </w:rPr>
            </w:pPr>
          </w:p>
        </w:tc>
        <w:tc>
          <w:tcPr>
            <w:tcW w:w="2557" w:type="dxa"/>
            <w:shd w:val="clear" w:color="auto" w:fill="auto"/>
            <w:vAlign w:val="center"/>
          </w:tcPr>
          <w:p w14:paraId="348D944E" w14:textId="77777777" w:rsidR="00F24F39" w:rsidRPr="00F24F39" w:rsidRDefault="00F24F39" w:rsidP="00F24F39">
            <w:pPr>
              <w:keepNext/>
              <w:suppressAutoHyphens/>
              <w:snapToGrid w:val="0"/>
              <w:rPr>
                <w:rFonts w:eastAsia="細明體" w:cs="Segoe UI"/>
                <w:sz w:val="17"/>
                <w:szCs w:val="17"/>
                <w:lang w:eastAsia="ar-SA"/>
              </w:rPr>
            </w:pPr>
          </w:p>
        </w:tc>
        <w:tc>
          <w:tcPr>
            <w:tcW w:w="3638" w:type="dxa"/>
            <w:gridSpan w:val="3"/>
            <w:tcBorders>
              <w:top w:val="single" w:sz="4" w:space="0" w:color="000000"/>
              <w:left w:val="single" w:sz="4" w:space="0" w:color="000000"/>
              <w:bottom w:val="single" w:sz="4" w:space="0" w:color="000000"/>
            </w:tcBorders>
            <w:shd w:val="clear" w:color="auto" w:fill="auto"/>
            <w:vAlign w:val="center"/>
          </w:tcPr>
          <w:p w14:paraId="367F47CF"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作為發起人（不包括保薦人）</w:t>
            </w:r>
          </w:p>
        </w:tc>
        <w:tc>
          <w:tcPr>
            <w:tcW w:w="3638" w:type="dxa"/>
            <w:gridSpan w:val="3"/>
            <w:tcBorders>
              <w:top w:val="single" w:sz="4" w:space="0" w:color="000000"/>
              <w:left w:val="single" w:sz="4" w:space="0" w:color="000000"/>
              <w:bottom w:val="single" w:sz="4" w:space="0" w:color="000000"/>
            </w:tcBorders>
            <w:shd w:val="clear" w:color="auto" w:fill="auto"/>
            <w:vAlign w:val="center"/>
          </w:tcPr>
          <w:p w14:paraId="4BF29103"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作為保薦人</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B1FE80" w14:textId="77777777" w:rsidR="00F24F39" w:rsidRPr="00F24F39" w:rsidRDefault="00F24F39" w:rsidP="00F24F39">
            <w:pPr>
              <w:suppressAutoHyphens/>
              <w:snapToGrid w:val="0"/>
              <w:spacing w:before="20" w:after="20"/>
              <w:jc w:val="center"/>
              <w:rPr>
                <w:rFonts w:cs="Segoe UI"/>
                <w:lang w:eastAsia="ar-SA"/>
              </w:rPr>
            </w:pPr>
            <w:r w:rsidRPr="00F24F39">
              <w:rPr>
                <w:rFonts w:eastAsia="細明體" w:cs="Segoe UI" w:hint="eastAsia"/>
                <w:bCs/>
                <w:sz w:val="17"/>
                <w:szCs w:val="17"/>
                <w:lang w:eastAsia="ar-SA"/>
              </w:rPr>
              <w:t>作為投資者</w:t>
            </w:r>
          </w:p>
        </w:tc>
      </w:tr>
      <w:tr w:rsidR="00F24F39" w:rsidRPr="00F24F39" w14:paraId="0AB12998" w14:textId="77777777" w:rsidTr="005F4B44">
        <w:trPr>
          <w:cantSplit/>
          <w:tblHeader/>
        </w:trPr>
        <w:tc>
          <w:tcPr>
            <w:tcW w:w="420" w:type="dxa"/>
            <w:tcBorders>
              <w:bottom w:val="single" w:sz="4" w:space="0" w:color="000000"/>
            </w:tcBorders>
            <w:shd w:val="clear" w:color="auto" w:fill="auto"/>
          </w:tcPr>
          <w:p w14:paraId="376FBA13" w14:textId="77777777" w:rsidR="00F24F39" w:rsidRPr="00F24F39" w:rsidRDefault="00F24F39" w:rsidP="00F24F39">
            <w:pPr>
              <w:keepNext/>
              <w:suppressAutoHyphens/>
              <w:snapToGrid w:val="0"/>
              <w:rPr>
                <w:rFonts w:eastAsia="細明體" w:cs="Segoe UI"/>
                <w:sz w:val="17"/>
                <w:szCs w:val="17"/>
                <w:lang w:eastAsia="ar-SA"/>
              </w:rPr>
            </w:pPr>
          </w:p>
        </w:tc>
        <w:tc>
          <w:tcPr>
            <w:tcW w:w="2557" w:type="dxa"/>
            <w:tcBorders>
              <w:bottom w:val="single" w:sz="4" w:space="0" w:color="000000"/>
            </w:tcBorders>
            <w:shd w:val="clear" w:color="auto" w:fill="auto"/>
            <w:vAlign w:val="center"/>
          </w:tcPr>
          <w:p w14:paraId="5442299E" w14:textId="77777777" w:rsidR="00F24F39" w:rsidRPr="00F24F39" w:rsidRDefault="00F24F39" w:rsidP="00F24F39">
            <w:pPr>
              <w:keepNext/>
              <w:suppressAutoHyphens/>
              <w:snapToGrid w:val="0"/>
              <w:rPr>
                <w:rFonts w:eastAsia="細明體" w:cs="Segoe UI"/>
                <w:sz w:val="17"/>
                <w:szCs w:val="17"/>
                <w:lang w:eastAsia="ar-SA"/>
              </w:rPr>
            </w:pPr>
          </w:p>
        </w:tc>
        <w:tc>
          <w:tcPr>
            <w:tcW w:w="1212" w:type="dxa"/>
            <w:tcBorders>
              <w:top w:val="single" w:sz="4" w:space="0" w:color="000000"/>
              <w:left w:val="single" w:sz="4" w:space="0" w:color="000000"/>
              <w:bottom w:val="single" w:sz="4" w:space="0" w:color="000000"/>
            </w:tcBorders>
            <w:shd w:val="clear" w:color="auto" w:fill="auto"/>
            <w:vAlign w:val="center"/>
          </w:tcPr>
          <w:p w14:paraId="09436D84"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傳統</w:t>
            </w:r>
          </w:p>
        </w:tc>
        <w:tc>
          <w:tcPr>
            <w:tcW w:w="1213" w:type="dxa"/>
            <w:tcBorders>
              <w:top w:val="single" w:sz="4" w:space="0" w:color="000000"/>
              <w:left w:val="single" w:sz="4" w:space="0" w:color="000000"/>
              <w:bottom w:val="single" w:sz="4" w:space="0" w:color="000000"/>
            </w:tcBorders>
            <w:shd w:val="clear" w:color="auto" w:fill="auto"/>
            <w:vAlign w:val="center"/>
          </w:tcPr>
          <w:p w14:paraId="7ACD0FA1"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合成</w:t>
            </w:r>
          </w:p>
        </w:tc>
        <w:tc>
          <w:tcPr>
            <w:tcW w:w="1213" w:type="dxa"/>
            <w:tcBorders>
              <w:top w:val="single" w:sz="4" w:space="0" w:color="000000"/>
              <w:left w:val="single" w:sz="4" w:space="0" w:color="000000"/>
              <w:bottom w:val="single" w:sz="4" w:space="0" w:color="000000"/>
            </w:tcBorders>
            <w:shd w:val="clear" w:color="auto" w:fill="auto"/>
            <w:vAlign w:val="center"/>
          </w:tcPr>
          <w:p w14:paraId="27DD99E9"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小計</w:t>
            </w:r>
          </w:p>
        </w:tc>
        <w:tc>
          <w:tcPr>
            <w:tcW w:w="1213" w:type="dxa"/>
            <w:tcBorders>
              <w:top w:val="single" w:sz="4" w:space="0" w:color="000000"/>
              <w:left w:val="single" w:sz="4" w:space="0" w:color="000000"/>
              <w:bottom w:val="single" w:sz="4" w:space="0" w:color="000000"/>
            </w:tcBorders>
            <w:shd w:val="clear" w:color="auto" w:fill="auto"/>
            <w:vAlign w:val="center"/>
          </w:tcPr>
          <w:p w14:paraId="7B665463"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傳統</w:t>
            </w:r>
          </w:p>
        </w:tc>
        <w:tc>
          <w:tcPr>
            <w:tcW w:w="1212" w:type="dxa"/>
            <w:tcBorders>
              <w:top w:val="single" w:sz="4" w:space="0" w:color="000000"/>
              <w:left w:val="single" w:sz="4" w:space="0" w:color="000000"/>
              <w:bottom w:val="single" w:sz="4" w:space="0" w:color="000000"/>
            </w:tcBorders>
            <w:shd w:val="clear" w:color="auto" w:fill="auto"/>
            <w:vAlign w:val="center"/>
          </w:tcPr>
          <w:p w14:paraId="1FC04484"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合成</w:t>
            </w:r>
          </w:p>
        </w:tc>
        <w:tc>
          <w:tcPr>
            <w:tcW w:w="1213" w:type="dxa"/>
            <w:tcBorders>
              <w:top w:val="single" w:sz="4" w:space="0" w:color="000000"/>
              <w:left w:val="single" w:sz="4" w:space="0" w:color="000000"/>
              <w:bottom w:val="single" w:sz="4" w:space="0" w:color="000000"/>
            </w:tcBorders>
            <w:shd w:val="clear" w:color="auto" w:fill="auto"/>
            <w:vAlign w:val="center"/>
          </w:tcPr>
          <w:p w14:paraId="2E113AD2"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小計</w:t>
            </w:r>
          </w:p>
        </w:tc>
        <w:tc>
          <w:tcPr>
            <w:tcW w:w="1213" w:type="dxa"/>
            <w:tcBorders>
              <w:top w:val="single" w:sz="4" w:space="0" w:color="000000"/>
              <w:left w:val="single" w:sz="4" w:space="0" w:color="000000"/>
              <w:bottom w:val="single" w:sz="4" w:space="0" w:color="000000"/>
            </w:tcBorders>
            <w:shd w:val="clear" w:color="auto" w:fill="auto"/>
            <w:vAlign w:val="center"/>
          </w:tcPr>
          <w:p w14:paraId="660A4CF9"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傳統</w:t>
            </w:r>
          </w:p>
        </w:tc>
        <w:tc>
          <w:tcPr>
            <w:tcW w:w="1213" w:type="dxa"/>
            <w:tcBorders>
              <w:top w:val="single" w:sz="4" w:space="0" w:color="000000"/>
              <w:left w:val="single" w:sz="4" w:space="0" w:color="000000"/>
              <w:bottom w:val="single" w:sz="4" w:space="0" w:color="000000"/>
            </w:tcBorders>
            <w:shd w:val="clear" w:color="auto" w:fill="auto"/>
            <w:vAlign w:val="center"/>
          </w:tcPr>
          <w:p w14:paraId="3437DF9F" w14:textId="77777777" w:rsidR="00F24F39" w:rsidRPr="00F24F39" w:rsidRDefault="00F24F39" w:rsidP="00F24F39">
            <w:pPr>
              <w:suppressAutoHyphens/>
              <w:snapToGrid w:val="0"/>
              <w:spacing w:before="20" w:after="20"/>
              <w:jc w:val="center"/>
              <w:rPr>
                <w:rFonts w:eastAsia="細明體" w:cs="Segoe UI"/>
                <w:bCs/>
                <w:sz w:val="17"/>
                <w:szCs w:val="17"/>
                <w:lang w:eastAsia="ar-SA"/>
              </w:rPr>
            </w:pPr>
            <w:r w:rsidRPr="00F24F39">
              <w:rPr>
                <w:rFonts w:eastAsia="細明體" w:cs="Segoe UI" w:hint="eastAsia"/>
                <w:bCs/>
                <w:sz w:val="17"/>
                <w:szCs w:val="17"/>
                <w:lang w:eastAsia="ar-SA"/>
              </w:rPr>
              <w:t>合成</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AB791" w14:textId="77777777" w:rsidR="00F24F39" w:rsidRPr="00F24F39" w:rsidRDefault="00F24F39" w:rsidP="00F24F39">
            <w:pPr>
              <w:suppressAutoHyphens/>
              <w:snapToGrid w:val="0"/>
              <w:spacing w:before="20" w:after="20"/>
              <w:jc w:val="center"/>
              <w:rPr>
                <w:rFonts w:cs="Segoe UI"/>
                <w:lang w:eastAsia="ar-SA"/>
              </w:rPr>
            </w:pPr>
            <w:r w:rsidRPr="00F24F39">
              <w:rPr>
                <w:rFonts w:eastAsia="細明體" w:cs="Segoe UI" w:hint="eastAsia"/>
                <w:bCs/>
                <w:sz w:val="17"/>
                <w:szCs w:val="17"/>
                <w:lang w:eastAsia="ar-SA"/>
              </w:rPr>
              <w:t>小計</w:t>
            </w:r>
          </w:p>
        </w:tc>
      </w:tr>
      <w:tr w:rsidR="00F24F39" w:rsidRPr="00F24F39" w14:paraId="010B7367" w14:textId="77777777" w:rsidTr="005F4B44">
        <w:trPr>
          <w:cantSplit/>
        </w:trPr>
        <w:tc>
          <w:tcPr>
            <w:tcW w:w="420" w:type="dxa"/>
            <w:tcBorders>
              <w:top w:val="single" w:sz="4" w:space="0" w:color="000000"/>
              <w:bottom w:val="single" w:sz="4" w:space="0" w:color="C0C0C0"/>
            </w:tcBorders>
            <w:shd w:val="clear" w:color="auto" w:fill="auto"/>
            <w:vAlign w:val="center"/>
          </w:tcPr>
          <w:p w14:paraId="49955F9F"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1</w:t>
            </w:r>
          </w:p>
        </w:tc>
        <w:tc>
          <w:tcPr>
            <w:tcW w:w="2557" w:type="dxa"/>
            <w:tcBorders>
              <w:top w:val="single" w:sz="4" w:space="0" w:color="000000"/>
              <w:left w:val="single" w:sz="4" w:space="0" w:color="000000"/>
              <w:bottom w:val="single" w:sz="4" w:space="0" w:color="C0C0C0"/>
            </w:tcBorders>
            <w:shd w:val="clear" w:color="auto" w:fill="auto"/>
            <w:vAlign w:val="center"/>
          </w:tcPr>
          <w:p w14:paraId="02822178" w14:textId="77777777" w:rsidR="00F24F39" w:rsidRPr="00F24F39" w:rsidRDefault="00F24F39" w:rsidP="00F24F39">
            <w:pPr>
              <w:keepNext/>
              <w:tabs>
                <w:tab w:val="left" w:pos="397"/>
                <w:tab w:val="left" w:pos="794"/>
                <w:tab w:val="left" w:pos="1191"/>
              </w:tabs>
              <w:suppressAutoHyphens/>
              <w:snapToGrid w:val="0"/>
              <w:spacing w:before="20" w:after="20"/>
              <w:ind w:left="-108"/>
              <w:rPr>
                <w:rFonts w:eastAsia="細明體" w:cs="Segoe UI"/>
                <w:sz w:val="17"/>
                <w:szCs w:val="17"/>
                <w:lang w:eastAsia="ar-SA"/>
              </w:rPr>
            </w:pPr>
            <w:r w:rsidRPr="00F24F39">
              <w:rPr>
                <w:rFonts w:eastAsia="細明體" w:cs="Segoe UI"/>
                <w:sz w:val="17"/>
                <w:szCs w:val="17"/>
                <w:lang w:eastAsia="ar-SA"/>
              </w:rPr>
              <w:t xml:space="preserve"> </w:t>
            </w:r>
            <w:r w:rsidRPr="00F24F39">
              <w:rPr>
                <w:rFonts w:eastAsia="細明體" w:cs="Segoe UI" w:hint="eastAsia"/>
                <w:sz w:val="17"/>
                <w:szCs w:val="17"/>
                <w:lang w:eastAsia="ar-SA"/>
              </w:rPr>
              <w:t>零售（總計），其中：</w:t>
            </w:r>
          </w:p>
        </w:tc>
        <w:tc>
          <w:tcPr>
            <w:tcW w:w="1212" w:type="dxa"/>
            <w:tcBorders>
              <w:top w:val="single" w:sz="4" w:space="0" w:color="000000"/>
              <w:left w:val="single" w:sz="4" w:space="0" w:color="000000"/>
              <w:bottom w:val="single" w:sz="4" w:space="0" w:color="C0C0C0"/>
            </w:tcBorders>
            <w:shd w:val="clear" w:color="auto" w:fill="auto"/>
          </w:tcPr>
          <w:p w14:paraId="554AAFB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2D44D9E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45674CA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26F47A3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000000"/>
              <w:left w:val="single" w:sz="4" w:space="0" w:color="000000"/>
              <w:bottom w:val="single" w:sz="4" w:space="0" w:color="C0C0C0"/>
            </w:tcBorders>
            <w:shd w:val="clear" w:color="auto" w:fill="auto"/>
          </w:tcPr>
          <w:p w14:paraId="0C003CE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002D765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6B2183D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7FCC2E6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000000"/>
              <w:left w:val="single" w:sz="4" w:space="0" w:color="000000"/>
              <w:bottom w:val="single" w:sz="4" w:space="0" w:color="C0C0C0"/>
              <w:right w:val="single" w:sz="4" w:space="0" w:color="000000"/>
            </w:tcBorders>
            <w:shd w:val="clear" w:color="auto" w:fill="auto"/>
          </w:tcPr>
          <w:p w14:paraId="571CA5A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151B4CED" w14:textId="77777777" w:rsidTr="005F4B44">
        <w:trPr>
          <w:cantSplit/>
        </w:trPr>
        <w:tc>
          <w:tcPr>
            <w:tcW w:w="420" w:type="dxa"/>
            <w:tcBorders>
              <w:top w:val="single" w:sz="4" w:space="0" w:color="C0C0C0"/>
              <w:bottom w:val="single" w:sz="4" w:space="0" w:color="C0C0C0"/>
            </w:tcBorders>
            <w:shd w:val="clear" w:color="auto" w:fill="auto"/>
            <w:vAlign w:val="center"/>
          </w:tcPr>
          <w:p w14:paraId="2F56DC55"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2</w:t>
            </w:r>
          </w:p>
        </w:tc>
        <w:tc>
          <w:tcPr>
            <w:tcW w:w="2557" w:type="dxa"/>
            <w:tcBorders>
              <w:top w:val="single" w:sz="4" w:space="0" w:color="C0C0C0"/>
              <w:left w:val="single" w:sz="4" w:space="0" w:color="000000"/>
              <w:bottom w:val="single" w:sz="4" w:space="0" w:color="C0C0C0"/>
            </w:tcBorders>
            <w:shd w:val="clear" w:color="auto" w:fill="auto"/>
            <w:vAlign w:val="center"/>
          </w:tcPr>
          <w:p w14:paraId="324F7F46"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住宅按揭</w:t>
            </w:r>
          </w:p>
        </w:tc>
        <w:tc>
          <w:tcPr>
            <w:tcW w:w="1212" w:type="dxa"/>
            <w:tcBorders>
              <w:top w:val="single" w:sz="4" w:space="0" w:color="C0C0C0"/>
              <w:left w:val="single" w:sz="4" w:space="0" w:color="000000"/>
              <w:bottom w:val="single" w:sz="4" w:space="0" w:color="C0C0C0"/>
            </w:tcBorders>
            <w:shd w:val="clear" w:color="auto" w:fill="auto"/>
          </w:tcPr>
          <w:p w14:paraId="2ED26FF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A1E3C8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5049E1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D31730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5D16C6D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DD7AE4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646ABA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033B37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1A78532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7C3FAFB2" w14:textId="77777777" w:rsidTr="005F4B44">
        <w:trPr>
          <w:cantSplit/>
        </w:trPr>
        <w:tc>
          <w:tcPr>
            <w:tcW w:w="420" w:type="dxa"/>
            <w:tcBorders>
              <w:top w:val="single" w:sz="4" w:space="0" w:color="C0C0C0"/>
              <w:bottom w:val="single" w:sz="4" w:space="0" w:color="C0C0C0"/>
            </w:tcBorders>
            <w:shd w:val="clear" w:color="auto" w:fill="auto"/>
            <w:vAlign w:val="center"/>
          </w:tcPr>
          <w:p w14:paraId="5362CB55"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3</w:t>
            </w:r>
          </w:p>
        </w:tc>
        <w:tc>
          <w:tcPr>
            <w:tcW w:w="2557" w:type="dxa"/>
            <w:tcBorders>
              <w:top w:val="single" w:sz="4" w:space="0" w:color="C0C0C0"/>
              <w:left w:val="single" w:sz="4" w:space="0" w:color="000000"/>
              <w:bottom w:val="single" w:sz="4" w:space="0" w:color="C0C0C0"/>
            </w:tcBorders>
            <w:shd w:val="clear" w:color="auto" w:fill="auto"/>
            <w:vAlign w:val="center"/>
          </w:tcPr>
          <w:p w14:paraId="101F4E4E"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信用卡</w:t>
            </w:r>
          </w:p>
        </w:tc>
        <w:tc>
          <w:tcPr>
            <w:tcW w:w="1212" w:type="dxa"/>
            <w:tcBorders>
              <w:top w:val="single" w:sz="4" w:space="0" w:color="C0C0C0"/>
              <w:left w:val="single" w:sz="4" w:space="0" w:color="000000"/>
              <w:bottom w:val="single" w:sz="4" w:space="0" w:color="C0C0C0"/>
            </w:tcBorders>
            <w:shd w:val="clear" w:color="auto" w:fill="auto"/>
          </w:tcPr>
          <w:p w14:paraId="1C0BB25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7C4BF2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1E6A41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833086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48D5909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41997E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4E61E1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B1E0F2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3B385C7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7C5D6D74" w14:textId="77777777" w:rsidTr="005F4B44">
        <w:trPr>
          <w:cantSplit/>
        </w:trPr>
        <w:tc>
          <w:tcPr>
            <w:tcW w:w="420" w:type="dxa"/>
            <w:tcBorders>
              <w:top w:val="single" w:sz="4" w:space="0" w:color="C0C0C0"/>
              <w:bottom w:val="single" w:sz="4" w:space="0" w:color="C0C0C0"/>
            </w:tcBorders>
            <w:shd w:val="clear" w:color="auto" w:fill="auto"/>
            <w:vAlign w:val="center"/>
          </w:tcPr>
          <w:p w14:paraId="32442C89"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4</w:t>
            </w:r>
          </w:p>
        </w:tc>
        <w:tc>
          <w:tcPr>
            <w:tcW w:w="2557" w:type="dxa"/>
            <w:tcBorders>
              <w:top w:val="single" w:sz="4" w:space="0" w:color="C0C0C0"/>
              <w:left w:val="single" w:sz="4" w:space="0" w:color="000000"/>
              <w:bottom w:val="single" w:sz="4" w:space="0" w:color="C0C0C0"/>
            </w:tcBorders>
            <w:shd w:val="clear" w:color="auto" w:fill="auto"/>
            <w:vAlign w:val="center"/>
          </w:tcPr>
          <w:p w14:paraId="7C6D5AC2"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其他零售風險承擔</w:t>
            </w:r>
          </w:p>
        </w:tc>
        <w:tc>
          <w:tcPr>
            <w:tcW w:w="1212" w:type="dxa"/>
            <w:tcBorders>
              <w:top w:val="single" w:sz="4" w:space="0" w:color="C0C0C0"/>
              <w:left w:val="single" w:sz="4" w:space="0" w:color="000000"/>
              <w:bottom w:val="single" w:sz="4" w:space="0" w:color="C0C0C0"/>
            </w:tcBorders>
            <w:shd w:val="clear" w:color="auto" w:fill="auto"/>
          </w:tcPr>
          <w:p w14:paraId="0A3FC04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ABF808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FB207F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BE7870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5C343FF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B87669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7478541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740273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032D4FD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23F58E17" w14:textId="77777777" w:rsidTr="005F4B44">
        <w:trPr>
          <w:cantSplit/>
        </w:trPr>
        <w:tc>
          <w:tcPr>
            <w:tcW w:w="420" w:type="dxa"/>
            <w:tcBorders>
              <w:top w:val="single" w:sz="4" w:space="0" w:color="C0C0C0"/>
              <w:bottom w:val="single" w:sz="4" w:space="0" w:color="000000"/>
            </w:tcBorders>
            <w:shd w:val="clear" w:color="auto" w:fill="auto"/>
            <w:vAlign w:val="center"/>
          </w:tcPr>
          <w:p w14:paraId="273D06BC"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5</w:t>
            </w:r>
          </w:p>
        </w:tc>
        <w:tc>
          <w:tcPr>
            <w:tcW w:w="2557" w:type="dxa"/>
            <w:tcBorders>
              <w:top w:val="single" w:sz="4" w:space="0" w:color="C0C0C0"/>
              <w:left w:val="single" w:sz="4" w:space="0" w:color="000000"/>
              <w:bottom w:val="single" w:sz="4" w:space="0" w:color="000000"/>
            </w:tcBorders>
            <w:shd w:val="clear" w:color="auto" w:fill="auto"/>
            <w:vAlign w:val="center"/>
          </w:tcPr>
          <w:p w14:paraId="6B3833FC"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再證券化類別風險承擔</w:t>
            </w:r>
          </w:p>
        </w:tc>
        <w:tc>
          <w:tcPr>
            <w:tcW w:w="1212" w:type="dxa"/>
            <w:tcBorders>
              <w:top w:val="single" w:sz="4" w:space="0" w:color="C0C0C0"/>
              <w:left w:val="single" w:sz="4" w:space="0" w:color="000000"/>
              <w:bottom w:val="single" w:sz="4" w:space="0" w:color="000000"/>
            </w:tcBorders>
            <w:shd w:val="clear" w:color="auto" w:fill="auto"/>
          </w:tcPr>
          <w:p w14:paraId="662F34A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3C037F9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6D41F7E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16CF458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000000"/>
            </w:tcBorders>
            <w:shd w:val="clear" w:color="auto" w:fill="auto"/>
          </w:tcPr>
          <w:p w14:paraId="28AB67A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52B4EF3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024A515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781E9B0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000000"/>
              <w:right w:val="single" w:sz="4" w:space="0" w:color="000000"/>
            </w:tcBorders>
            <w:shd w:val="clear" w:color="auto" w:fill="auto"/>
          </w:tcPr>
          <w:p w14:paraId="492ED03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2CB10D5A" w14:textId="77777777" w:rsidTr="005F4B44">
        <w:trPr>
          <w:cantSplit/>
        </w:trPr>
        <w:tc>
          <w:tcPr>
            <w:tcW w:w="420" w:type="dxa"/>
            <w:tcBorders>
              <w:top w:val="single" w:sz="4" w:space="0" w:color="000000"/>
              <w:bottom w:val="single" w:sz="4" w:space="0" w:color="C0C0C0"/>
            </w:tcBorders>
            <w:shd w:val="clear" w:color="auto" w:fill="auto"/>
            <w:vAlign w:val="center"/>
          </w:tcPr>
          <w:p w14:paraId="1E58DB3B"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6</w:t>
            </w:r>
          </w:p>
        </w:tc>
        <w:tc>
          <w:tcPr>
            <w:tcW w:w="2557" w:type="dxa"/>
            <w:tcBorders>
              <w:top w:val="single" w:sz="4" w:space="0" w:color="000000"/>
              <w:left w:val="single" w:sz="4" w:space="0" w:color="000000"/>
              <w:bottom w:val="single" w:sz="4" w:space="0" w:color="C0C0C0"/>
            </w:tcBorders>
            <w:shd w:val="clear" w:color="auto" w:fill="auto"/>
            <w:vAlign w:val="center"/>
          </w:tcPr>
          <w:p w14:paraId="51DF15DD" w14:textId="77777777" w:rsidR="00F24F39" w:rsidRPr="00F24F39" w:rsidRDefault="00F24F39" w:rsidP="00F24F39">
            <w:pPr>
              <w:keepNext/>
              <w:tabs>
                <w:tab w:val="left" w:pos="397"/>
                <w:tab w:val="left" w:pos="794"/>
                <w:tab w:val="left" w:pos="1191"/>
              </w:tabs>
              <w:suppressAutoHyphens/>
              <w:snapToGrid w:val="0"/>
              <w:spacing w:before="20" w:after="20"/>
              <w:ind w:left="-108"/>
              <w:rPr>
                <w:rFonts w:eastAsia="細明體" w:cs="Segoe UI"/>
                <w:sz w:val="17"/>
                <w:szCs w:val="17"/>
                <w:lang w:eastAsia="ar-SA"/>
              </w:rPr>
            </w:pPr>
            <w:r w:rsidRPr="00F24F39">
              <w:rPr>
                <w:rFonts w:eastAsia="細明體" w:cs="Segoe UI"/>
                <w:sz w:val="17"/>
                <w:szCs w:val="17"/>
                <w:lang w:eastAsia="ar-SA"/>
              </w:rPr>
              <w:t xml:space="preserve"> </w:t>
            </w:r>
            <w:r w:rsidRPr="00F24F39">
              <w:rPr>
                <w:rFonts w:eastAsia="細明體" w:cs="Segoe UI" w:hint="eastAsia"/>
                <w:sz w:val="17"/>
                <w:szCs w:val="17"/>
                <w:lang w:eastAsia="ar-SA"/>
              </w:rPr>
              <w:t>批發（總計），其中：</w:t>
            </w:r>
          </w:p>
        </w:tc>
        <w:tc>
          <w:tcPr>
            <w:tcW w:w="1212" w:type="dxa"/>
            <w:tcBorders>
              <w:top w:val="single" w:sz="4" w:space="0" w:color="000000"/>
              <w:left w:val="single" w:sz="4" w:space="0" w:color="000000"/>
              <w:bottom w:val="single" w:sz="4" w:space="0" w:color="C0C0C0"/>
            </w:tcBorders>
            <w:shd w:val="clear" w:color="auto" w:fill="auto"/>
          </w:tcPr>
          <w:p w14:paraId="7656984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731D93B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50B8DA4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5E9AA6F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000000"/>
              <w:left w:val="single" w:sz="4" w:space="0" w:color="000000"/>
              <w:bottom w:val="single" w:sz="4" w:space="0" w:color="C0C0C0"/>
            </w:tcBorders>
            <w:shd w:val="clear" w:color="auto" w:fill="auto"/>
          </w:tcPr>
          <w:p w14:paraId="6E033A8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0CE911C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645AE25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000000"/>
              <w:left w:val="single" w:sz="4" w:space="0" w:color="000000"/>
              <w:bottom w:val="single" w:sz="4" w:space="0" w:color="C0C0C0"/>
            </w:tcBorders>
            <w:shd w:val="clear" w:color="auto" w:fill="auto"/>
          </w:tcPr>
          <w:p w14:paraId="0DA9290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000000"/>
              <w:left w:val="single" w:sz="4" w:space="0" w:color="000000"/>
              <w:bottom w:val="single" w:sz="4" w:space="0" w:color="C0C0C0"/>
              <w:right w:val="single" w:sz="4" w:space="0" w:color="000000"/>
            </w:tcBorders>
            <w:shd w:val="clear" w:color="auto" w:fill="auto"/>
          </w:tcPr>
          <w:p w14:paraId="2D979EB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2621150F" w14:textId="77777777" w:rsidTr="005F4B44">
        <w:trPr>
          <w:cantSplit/>
        </w:trPr>
        <w:tc>
          <w:tcPr>
            <w:tcW w:w="420" w:type="dxa"/>
            <w:tcBorders>
              <w:top w:val="single" w:sz="4" w:space="0" w:color="C0C0C0"/>
              <w:bottom w:val="single" w:sz="4" w:space="0" w:color="C0C0C0"/>
            </w:tcBorders>
            <w:shd w:val="clear" w:color="auto" w:fill="auto"/>
            <w:vAlign w:val="center"/>
          </w:tcPr>
          <w:p w14:paraId="1F5A0FFC"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7</w:t>
            </w:r>
          </w:p>
        </w:tc>
        <w:tc>
          <w:tcPr>
            <w:tcW w:w="2557" w:type="dxa"/>
            <w:tcBorders>
              <w:top w:val="single" w:sz="4" w:space="0" w:color="C0C0C0"/>
              <w:left w:val="single" w:sz="4" w:space="0" w:color="000000"/>
              <w:bottom w:val="single" w:sz="4" w:space="0" w:color="C0C0C0"/>
            </w:tcBorders>
            <w:shd w:val="clear" w:color="auto" w:fill="auto"/>
            <w:vAlign w:val="center"/>
          </w:tcPr>
          <w:p w14:paraId="5D240BAA"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法團貸款</w:t>
            </w:r>
          </w:p>
        </w:tc>
        <w:tc>
          <w:tcPr>
            <w:tcW w:w="1212" w:type="dxa"/>
            <w:tcBorders>
              <w:top w:val="single" w:sz="4" w:space="0" w:color="C0C0C0"/>
              <w:left w:val="single" w:sz="4" w:space="0" w:color="000000"/>
              <w:bottom w:val="single" w:sz="4" w:space="0" w:color="C0C0C0"/>
            </w:tcBorders>
            <w:shd w:val="clear" w:color="auto" w:fill="auto"/>
          </w:tcPr>
          <w:p w14:paraId="4AE05FC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CC7727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A8028C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1A8844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08E75D8E"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EFCC82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298845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201B0D6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48DECB1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32A3A705" w14:textId="77777777" w:rsidTr="005F4B44">
        <w:trPr>
          <w:cantSplit/>
        </w:trPr>
        <w:tc>
          <w:tcPr>
            <w:tcW w:w="420" w:type="dxa"/>
            <w:tcBorders>
              <w:top w:val="single" w:sz="4" w:space="0" w:color="C0C0C0"/>
              <w:bottom w:val="single" w:sz="4" w:space="0" w:color="C0C0C0"/>
            </w:tcBorders>
            <w:shd w:val="clear" w:color="auto" w:fill="auto"/>
            <w:vAlign w:val="center"/>
          </w:tcPr>
          <w:p w14:paraId="5E3197AB"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8</w:t>
            </w:r>
          </w:p>
        </w:tc>
        <w:tc>
          <w:tcPr>
            <w:tcW w:w="2557" w:type="dxa"/>
            <w:tcBorders>
              <w:top w:val="single" w:sz="4" w:space="0" w:color="C0C0C0"/>
              <w:left w:val="single" w:sz="4" w:space="0" w:color="000000"/>
              <w:bottom w:val="single" w:sz="4" w:space="0" w:color="C0C0C0"/>
            </w:tcBorders>
            <w:shd w:val="clear" w:color="auto" w:fill="auto"/>
            <w:vAlign w:val="center"/>
          </w:tcPr>
          <w:p w14:paraId="2F94764E"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商業按揭</w:t>
            </w:r>
            <w:r w:rsidRPr="00F24F39">
              <w:rPr>
                <w:rFonts w:eastAsia="細明體" w:cs="Segoe UI"/>
                <w:sz w:val="17"/>
                <w:szCs w:val="17"/>
                <w:lang w:eastAsia="ar-SA"/>
              </w:rPr>
              <w:t xml:space="preserve"> </w:t>
            </w:r>
          </w:p>
        </w:tc>
        <w:tc>
          <w:tcPr>
            <w:tcW w:w="1212" w:type="dxa"/>
            <w:tcBorders>
              <w:top w:val="single" w:sz="4" w:space="0" w:color="C0C0C0"/>
              <w:left w:val="single" w:sz="4" w:space="0" w:color="000000"/>
              <w:bottom w:val="single" w:sz="4" w:space="0" w:color="C0C0C0"/>
            </w:tcBorders>
            <w:shd w:val="clear" w:color="auto" w:fill="auto"/>
          </w:tcPr>
          <w:p w14:paraId="6D8B597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5F4F15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70DC7EC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5F8C47A"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4396660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7BD5992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C6128E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466A5D7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79905F4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35774FDD" w14:textId="77777777" w:rsidTr="005F4B44">
        <w:trPr>
          <w:cantSplit/>
        </w:trPr>
        <w:tc>
          <w:tcPr>
            <w:tcW w:w="420" w:type="dxa"/>
            <w:tcBorders>
              <w:top w:val="single" w:sz="4" w:space="0" w:color="C0C0C0"/>
              <w:bottom w:val="single" w:sz="4" w:space="0" w:color="C0C0C0"/>
            </w:tcBorders>
            <w:shd w:val="clear" w:color="auto" w:fill="auto"/>
            <w:vAlign w:val="center"/>
          </w:tcPr>
          <w:p w14:paraId="4B4B3346"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9</w:t>
            </w:r>
          </w:p>
        </w:tc>
        <w:tc>
          <w:tcPr>
            <w:tcW w:w="2557" w:type="dxa"/>
            <w:tcBorders>
              <w:top w:val="single" w:sz="4" w:space="0" w:color="C0C0C0"/>
              <w:left w:val="single" w:sz="4" w:space="0" w:color="000000"/>
              <w:bottom w:val="single" w:sz="4" w:space="0" w:color="C0C0C0"/>
            </w:tcBorders>
            <w:shd w:val="clear" w:color="auto" w:fill="auto"/>
            <w:vAlign w:val="center"/>
          </w:tcPr>
          <w:p w14:paraId="1EFAD0B6"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租賃及應收項目</w:t>
            </w:r>
          </w:p>
        </w:tc>
        <w:tc>
          <w:tcPr>
            <w:tcW w:w="1212" w:type="dxa"/>
            <w:tcBorders>
              <w:top w:val="single" w:sz="4" w:space="0" w:color="C0C0C0"/>
              <w:left w:val="single" w:sz="4" w:space="0" w:color="000000"/>
              <w:bottom w:val="single" w:sz="4" w:space="0" w:color="C0C0C0"/>
            </w:tcBorders>
            <w:shd w:val="clear" w:color="auto" w:fill="auto"/>
          </w:tcPr>
          <w:p w14:paraId="1725862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59823D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8A3C64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DF9423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2E6F18D2"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7717F10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6C8670FB"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7CA94C7C"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05E8224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6ACE22BD" w14:textId="77777777" w:rsidTr="005F4B44">
        <w:trPr>
          <w:cantSplit/>
        </w:trPr>
        <w:tc>
          <w:tcPr>
            <w:tcW w:w="420" w:type="dxa"/>
            <w:tcBorders>
              <w:top w:val="single" w:sz="4" w:space="0" w:color="C0C0C0"/>
              <w:bottom w:val="single" w:sz="4" w:space="0" w:color="C0C0C0"/>
            </w:tcBorders>
            <w:shd w:val="clear" w:color="auto" w:fill="auto"/>
            <w:vAlign w:val="center"/>
          </w:tcPr>
          <w:p w14:paraId="3D3F9DDD"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10</w:t>
            </w:r>
          </w:p>
        </w:tc>
        <w:tc>
          <w:tcPr>
            <w:tcW w:w="2557" w:type="dxa"/>
            <w:tcBorders>
              <w:top w:val="single" w:sz="4" w:space="0" w:color="C0C0C0"/>
              <w:left w:val="single" w:sz="4" w:space="0" w:color="000000"/>
              <w:bottom w:val="single" w:sz="4" w:space="0" w:color="C0C0C0"/>
            </w:tcBorders>
            <w:shd w:val="clear" w:color="auto" w:fill="auto"/>
            <w:vAlign w:val="center"/>
          </w:tcPr>
          <w:p w14:paraId="4C97F330"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其他批發</w:t>
            </w:r>
            <w:r w:rsidRPr="00F24F39">
              <w:rPr>
                <w:rFonts w:eastAsia="細明體" w:cs="Segoe UI"/>
                <w:sz w:val="17"/>
                <w:szCs w:val="17"/>
                <w:lang w:eastAsia="ar-SA"/>
              </w:rPr>
              <w:t xml:space="preserve"> </w:t>
            </w:r>
          </w:p>
        </w:tc>
        <w:tc>
          <w:tcPr>
            <w:tcW w:w="1212" w:type="dxa"/>
            <w:tcBorders>
              <w:top w:val="single" w:sz="4" w:space="0" w:color="C0C0C0"/>
              <w:left w:val="single" w:sz="4" w:space="0" w:color="000000"/>
              <w:bottom w:val="single" w:sz="4" w:space="0" w:color="C0C0C0"/>
            </w:tcBorders>
            <w:shd w:val="clear" w:color="auto" w:fill="auto"/>
          </w:tcPr>
          <w:p w14:paraId="7C59525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09B91F5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1DF3FB9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4077F1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C0C0C0"/>
            </w:tcBorders>
            <w:shd w:val="clear" w:color="auto" w:fill="auto"/>
          </w:tcPr>
          <w:p w14:paraId="1EA24CE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536DD7D8"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7FE58B4"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C0C0C0"/>
            </w:tcBorders>
            <w:shd w:val="clear" w:color="auto" w:fill="auto"/>
          </w:tcPr>
          <w:p w14:paraId="339DC610"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C0C0C0"/>
              <w:right w:val="single" w:sz="4" w:space="0" w:color="000000"/>
            </w:tcBorders>
            <w:shd w:val="clear" w:color="auto" w:fill="auto"/>
          </w:tcPr>
          <w:p w14:paraId="46C41107"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r w:rsidR="00F24F39" w:rsidRPr="00F24F39" w14:paraId="7504A43F" w14:textId="77777777" w:rsidTr="005F4B44">
        <w:trPr>
          <w:cantSplit/>
        </w:trPr>
        <w:tc>
          <w:tcPr>
            <w:tcW w:w="420" w:type="dxa"/>
            <w:tcBorders>
              <w:top w:val="single" w:sz="4" w:space="0" w:color="C0C0C0"/>
              <w:bottom w:val="single" w:sz="4" w:space="0" w:color="000000"/>
            </w:tcBorders>
            <w:shd w:val="clear" w:color="auto" w:fill="auto"/>
            <w:vAlign w:val="center"/>
          </w:tcPr>
          <w:p w14:paraId="0117ADC4" w14:textId="77777777" w:rsidR="00F24F39" w:rsidRPr="00F24F39" w:rsidRDefault="00F24F39" w:rsidP="00F24F39">
            <w:pPr>
              <w:suppressAutoHyphens/>
              <w:snapToGrid w:val="0"/>
              <w:spacing w:before="40" w:after="40"/>
              <w:rPr>
                <w:rFonts w:eastAsia="細明體" w:cs="Segoe UI"/>
                <w:sz w:val="17"/>
                <w:szCs w:val="17"/>
                <w:lang w:eastAsia="ar-SA"/>
              </w:rPr>
            </w:pPr>
            <w:r w:rsidRPr="00F24F39">
              <w:rPr>
                <w:rFonts w:eastAsia="細明體" w:cs="Segoe UI"/>
                <w:sz w:val="17"/>
                <w:lang w:eastAsia="ar-SA"/>
              </w:rPr>
              <w:t>11</w:t>
            </w:r>
          </w:p>
        </w:tc>
        <w:tc>
          <w:tcPr>
            <w:tcW w:w="2557" w:type="dxa"/>
            <w:tcBorders>
              <w:top w:val="single" w:sz="4" w:space="0" w:color="C0C0C0"/>
              <w:left w:val="single" w:sz="4" w:space="0" w:color="000000"/>
              <w:bottom w:val="single" w:sz="4" w:space="0" w:color="000000"/>
            </w:tcBorders>
            <w:shd w:val="clear" w:color="auto" w:fill="auto"/>
            <w:vAlign w:val="center"/>
          </w:tcPr>
          <w:p w14:paraId="0471EA7C" w14:textId="77777777" w:rsidR="00F24F39" w:rsidRPr="00F24F39" w:rsidRDefault="00F24F39" w:rsidP="00F24F39">
            <w:pPr>
              <w:keepNext/>
              <w:tabs>
                <w:tab w:val="left" w:pos="397"/>
                <w:tab w:val="left" w:pos="794"/>
                <w:tab w:val="left" w:pos="1191"/>
              </w:tabs>
              <w:suppressAutoHyphens/>
              <w:snapToGrid w:val="0"/>
              <w:spacing w:before="20" w:after="20"/>
              <w:ind w:left="57"/>
              <w:rPr>
                <w:rFonts w:eastAsia="細明體" w:cs="Segoe UI"/>
                <w:sz w:val="17"/>
                <w:szCs w:val="17"/>
                <w:lang w:eastAsia="ar-SA"/>
              </w:rPr>
            </w:pPr>
            <w:r w:rsidRPr="00F24F39">
              <w:rPr>
                <w:rFonts w:eastAsia="細明體" w:cs="Segoe UI" w:hint="eastAsia"/>
                <w:sz w:val="17"/>
                <w:szCs w:val="17"/>
                <w:lang w:eastAsia="ar-SA"/>
              </w:rPr>
              <w:t>再證券化類別風險承擔</w:t>
            </w:r>
          </w:p>
        </w:tc>
        <w:tc>
          <w:tcPr>
            <w:tcW w:w="1212" w:type="dxa"/>
            <w:tcBorders>
              <w:top w:val="single" w:sz="4" w:space="0" w:color="C0C0C0"/>
              <w:left w:val="single" w:sz="4" w:space="0" w:color="000000"/>
              <w:bottom w:val="single" w:sz="4" w:space="0" w:color="000000"/>
            </w:tcBorders>
            <w:shd w:val="clear" w:color="auto" w:fill="auto"/>
          </w:tcPr>
          <w:p w14:paraId="213D45F5"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46B17BBD"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21E4D0E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622ED16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2" w:type="dxa"/>
            <w:tcBorders>
              <w:top w:val="single" w:sz="4" w:space="0" w:color="C0C0C0"/>
              <w:left w:val="single" w:sz="4" w:space="0" w:color="000000"/>
              <w:bottom w:val="single" w:sz="4" w:space="0" w:color="000000"/>
            </w:tcBorders>
            <w:shd w:val="clear" w:color="auto" w:fill="auto"/>
          </w:tcPr>
          <w:p w14:paraId="39256CE9"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6BCFFB76"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24EECF63"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13" w:type="dxa"/>
            <w:tcBorders>
              <w:top w:val="single" w:sz="4" w:space="0" w:color="C0C0C0"/>
              <w:left w:val="single" w:sz="4" w:space="0" w:color="000000"/>
              <w:bottom w:val="single" w:sz="4" w:space="0" w:color="000000"/>
            </w:tcBorders>
            <w:shd w:val="clear" w:color="auto" w:fill="auto"/>
          </w:tcPr>
          <w:p w14:paraId="7896C3A1"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c>
          <w:tcPr>
            <w:tcW w:w="1233" w:type="dxa"/>
            <w:tcBorders>
              <w:top w:val="single" w:sz="4" w:space="0" w:color="C0C0C0"/>
              <w:left w:val="single" w:sz="4" w:space="0" w:color="000000"/>
              <w:bottom w:val="single" w:sz="4" w:space="0" w:color="000000"/>
              <w:right w:val="single" w:sz="4" w:space="0" w:color="000000"/>
            </w:tcBorders>
            <w:shd w:val="clear" w:color="auto" w:fill="auto"/>
          </w:tcPr>
          <w:p w14:paraId="4ADC004F" w14:textId="77777777" w:rsidR="00F24F39" w:rsidRPr="00F24F39" w:rsidRDefault="00F24F39" w:rsidP="00F24F39">
            <w:pPr>
              <w:tabs>
                <w:tab w:val="decimal" w:pos="31"/>
              </w:tabs>
              <w:suppressAutoHyphens/>
              <w:snapToGrid w:val="0"/>
              <w:spacing w:before="20" w:after="20"/>
              <w:jc w:val="center"/>
              <w:rPr>
                <w:rFonts w:eastAsia="細明體" w:cs="Segoe UI"/>
                <w:sz w:val="17"/>
                <w:szCs w:val="17"/>
                <w:lang w:eastAsia="ar-SA"/>
              </w:rPr>
            </w:pPr>
          </w:p>
        </w:tc>
      </w:tr>
    </w:tbl>
    <w:p w14:paraId="4E1E0503" w14:textId="77777777" w:rsidR="00F24F39" w:rsidRPr="00F24F39" w:rsidRDefault="00F24F39" w:rsidP="00F24F39">
      <w:pPr>
        <w:suppressAutoHyphens/>
        <w:spacing w:before="40" w:after="40"/>
        <w:rPr>
          <w:rFonts w:eastAsia="細明體" w:cs="Segoe UI"/>
          <w:sz w:val="22"/>
          <w:lang w:eastAsia="ar-SA"/>
        </w:rPr>
      </w:pPr>
    </w:p>
    <w:tbl>
      <w:tblPr>
        <w:tblW w:w="0" w:type="auto"/>
        <w:tblInd w:w="108" w:type="dxa"/>
        <w:tblLayout w:type="fixed"/>
        <w:tblLook w:val="0000" w:firstRow="0" w:lastRow="0" w:firstColumn="0" w:lastColumn="0" w:noHBand="0" w:noVBand="0"/>
      </w:tblPr>
      <w:tblGrid>
        <w:gridCol w:w="1134"/>
        <w:gridCol w:w="12778"/>
      </w:tblGrid>
      <w:tr w:rsidR="00F24F39" w:rsidRPr="00F24F39" w14:paraId="2610DCC9" w14:textId="77777777" w:rsidTr="005F4B44">
        <w:trPr>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70B3354E" w14:textId="77777777" w:rsidR="00F24F39" w:rsidRPr="00F24F39" w:rsidRDefault="00F24F39" w:rsidP="00F24F39">
            <w:pPr>
              <w:keepNext/>
              <w:suppressAutoHyphens/>
              <w:spacing w:before="40" w:after="40"/>
              <w:jc w:val="both"/>
              <w:rPr>
                <w:rFonts w:cs="Segoe UI"/>
                <w:sz w:val="15"/>
                <w:lang w:eastAsia="ar-SA"/>
              </w:rPr>
            </w:pPr>
            <w:r w:rsidRPr="00F24F39">
              <w:rPr>
                <w:rFonts w:eastAsia="細明體" w:cs="Segoe UI" w:hint="eastAsia"/>
                <w:b/>
                <w:sz w:val="17"/>
                <w:lang w:eastAsia="ar-SA"/>
              </w:rPr>
              <w:t>註釋</w:t>
            </w:r>
          </w:p>
        </w:tc>
      </w:tr>
      <w:tr w:rsidR="00F24F39" w:rsidRPr="00F24F39" w14:paraId="51404041" w14:textId="77777777" w:rsidTr="005F4B44">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FF2D0C6" w14:textId="77777777" w:rsidR="00F24F39" w:rsidRPr="00F24F39" w:rsidRDefault="00F24F39" w:rsidP="00F24F39">
            <w:pPr>
              <w:keepNext/>
              <w:suppressAutoHyphens/>
              <w:spacing w:before="40" w:after="40"/>
              <w:jc w:val="both"/>
              <w:rPr>
                <w:rFonts w:cs="Segoe UI"/>
                <w:sz w:val="15"/>
                <w:lang w:eastAsia="ar-SA"/>
              </w:rPr>
            </w:pPr>
            <w:r w:rsidRPr="00F24F39">
              <w:rPr>
                <w:rFonts w:eastAsia="細明體" w:cs="Segoe UI" w:hint="eastAsia"/>
                <w:b/>
                <w:sz w:val="17"/>
                <w:lang w:eastAsia="ar-SA"/>
              </w:rPr>
              <w:t>欄</w:t>
            </w:r>
          </w:p>
        </w:tc>
      </w:tr>
      <w:tr w:rsidR="00F24F39" w:rsidRPr="00F24F39" w14:paraId="55610732" w14:textId="77777777" w:rsidTr="005F4B44">
        <w:tc>
          <w:tcPr>
            <w:tcW w:w="1134" w:type="dxa"/>
            <w:tcBorders>
              <w:top w:val="single" w:sz="4" w:space="0" w:color="000000"/>
              <w:left w:val="single" w:sz="4" w:space="0" w:color="000000"/>
              <w:bottom w:val="single" w:sz="4" w:space="0" w:color="000000"/>
            </w:tcBorders>
            <w:shd w:val="clear" w:color="auto" w:fill="auto"/>
          </w:tcPr>
          <w:p w14:paraId="28EDCF10"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(a)</w:t>
            </w:r>
            <w:r w:rsidRPr="00F24F39">
              <w:rPr>
                <w:rFonts w:eastAsia="細明體" w:cs="Segoe UI" w:hint="eastAsia"/>
                <w:sz w:val="17"/>
                <w:szCs w:val="17"/>
                <w:lang w:eastAsia="ar-SA"/>
              </w:rPr>
              <w:t>至</w:t>
            </w:r>
            <w:r w:rsidRPr="00F24F39">
              <w:rPr>
                <w:rFonts w:eastAsia="細明體" w:cs="Segoe UI"/>
                <w:sz w:val="17"/>
                <w:szCs w:val="17"/>
                <w:lang w:eastAsia="ar-SA"/>
              </w:rPr>
              <w:t>(c)</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D5D4C"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作為發起人（不包括保薦人）</w:t>
            </w:r>
            <w:r w:rsidRPr="00F24F39">
              <w:rPr>
                <w:rFonts w:eastAsia="細明體" w:cs="Segoe UI" w:hint="eastAsia"/>
                <w:bCs/>
                <w:sz w:val="17"/>
                <w:szCs w:val="17"/>
                <w:lang w:eastAsia="ar-SA"/>
              </w:rPr>
              <w:t>：在該等欄內填報的證券化持倉，</w:t>
            </w:r>
            <w:r w:rsidRPr="00F24F39">
              <w:rPr>
                <w:rFonts w:eastAsia="細明體" w:cs="Segoe UI" w:hint="eastAsia"/>
                <w:sz w:val="17"/>
                <w:lang w:eastAsia="ar-SA"/>
              </w:rPr>
              <w:t>指</w:t>
            </w:r>
            <w:r w:rsidRPr="00F24F39">
              <w:rPr>
                <w:rFonts w:eastAsia="細明體" w:cs="Segoe UI" w:hint="eastAsia"/>
                <w:bCs/>
                <w:sz w:val="17"/>
                <w:szCs w:val="17"/>
                <w:lang w:eastAsia="ar-SA"/>
              </w:rPr>
              <w:t>認可機構以</w:t>
            </w:r>
            <w:r w:rsidRPr="00F24F39">
              <w:rPr>
                <w:rFonts w:eastAsia="細明體" w:cs="Segoe UI" w:hint="eastAsia"/>
                <w:bCs/>
                <w:sz w:val="17"/>
                <w:szCs w:val="17"/>
                <w:lang w:val="en-US" w:eastAsia="ar-SA"/>
              </w:rPr>
              <w:t>直接或間接身分發起有關交易（包括由合資格證券化交易或非合資格證券化交易</w:t>
            </w:r>
            <w:r w:rsidRPr="00F24F39">
              <w:rPr>
                <w:rFonts w:eastAsia="細明體" w:cs="Segoe UI" w:hint="eastAsia"/>
                <w:sz w:val="17"/>
                <w:lang w:eastAsia="ar-SA"/>
              </w:rPr>
              <w:t>產生</w:t>
            </w:r>
            <w:r w:rsidRPr="00F24F39">
              <w:rPr>
                <w:rFonts w:eastAsia="細明體" w:cs="Segoe UI" w:hint="eastAsia"/>
                <w:bCs/>
                <w:sz w:val="17"/>
                <w:szCs w:val="17"/>
                <w:lang w:val="en-US" w:eastAsia="zh-TW"/>
              </w:rPr>
              <w:t>的</w:t>
            </w:r>
            <w:r w:rsidRPr="00F24F39">
              <w:rPr>
                <w:rFonts w:eastAsia="細明體" w:cs="Segoe UI" w:hint="eastAsia"/>
                <w:sz w:val="17"/>
                <w:lang w:eastAsia="ar-SA"/>
              </w:rPr>
              <w:t>風險承擔</w:t>
            </w:r>
            <w:r w:rsidRPr="00F24F39">
              <w:rPr>
                <w:rFonts w:eastAsia="細明體" w:cs="Segoe UI" w:hint="eastAsia"/>
                <w:bCs/>
                <w:sz w:val="17"/>
                <w:szCs w:val="17"/>
                <w:lang w:eastAsia="ar-SA"/>
              </w:rPr>
              <w:t>）</w:t>
            </w:r>
            <w:r w:rsidRPr="00F24F39">
              <w:rPr>
                <w:rFonts w:eastAsia="細明體" w:cs="Segoe UI" w:hint="eastAsia"/>
                <w:bCs/>
                <w:sz w:val="17"/>
                <w:szCs w:val="17"/>
                <w:lang w:val="en-US" w:eastAsia="ar-SA"/>
              </w:rPr>
              <w:t>中的組成項目並被保留的持倉</w:t>
            </w:r>
            <w:r w:rsidRPr="00F24F39">
              <w:rPr>
                <w:rFonts w:eastAsia="細明體" w:cs="Segoe UI" w:hint="eastAsia"/>
                <w:bCs/>
                <w:sz w:val="17"/>
                <w:szCs w:val="17"/>
                <w:lang w:eastAsia="ar-SA"/>
              </w:rPr>
              <w:t>。</w:t>
            </w:r>
          </w:p>
        </w:tc>
      </w:tr>
      <w:tr w:rsidR="00F24F39" w:rsidRPr="00F24F39" w14:paraId="23E055E0" w14:textId="77777777" w:rsidTr="005F4B44">
        <w:tc>
          <w:tcPr>
            <w:tcW w:w="1134" w:type="dxa"/>
            <w:tcBorders>
              <w:top w:val="single" w:sz="4" w:space="0" w:color="000000"/>
              <w:left w:val="single" w:sz="4" w:space="0" w:color="000000"/>
              <w:bottom w:val="single" w:sz="4" w:space="0" w:color="000000"/>
            </w:tcBorders>
            <w:shd w:val="clear" w:color="auto" w:fill="auto"/>
          </w:tcPr>
          <w:p w14:paraId="065DFA29"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(d)</w:t>
            </w:r>
            <w:r w:rsidRPr="00F24F39">
              <w:rPr>
                <w:rFonts w:eastAsia="細明體" w:cs="Segoe UI" w:hint="eastAsia"/>
                <w:sz w:val="17"/>
                <w:szCs w:val="17"/>
                <w:lang w:eastAsia="ar-SA"/>
              </w:rPr>
              <w:t>至</w:t>
            </w:r>
            <w:r w:rsidRPr="00F24F39">
              <w:rPr>
                <w:rFonts w:eastAsia="細明體" w:cs="Segoe UI"/>
                <w:sz w:val="17"/>
                <w:szCs w:val="17"/>
                <w:lang w:eastAsia="ar-SA"/>
              </w:rPr>
              <w:t>(f)</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A712"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作為保薦人</w:t>
            </w:r>
            <w:r w:rsidRPr="00F24F39">
              <w:rPr>
                <w:rFonts w:eastAsia="細明體" w:cs="Segoe UI" w:hint="eastAsia"/>
                <w:bCs/>
                <w:sz w:val="17"/>
                <w:szCs w:val="17"/>
                <w:lang w:eastAsia="ar-SA"/>
              </w:rPr>
              <w:t>：在該等欄內填報的證券化持倉，為認可機構因作為保薦人的活動而</w:t>
            </w:r>
            <w:r w:rsidRPr="00F24F39">
              <w:rPr>
                <w:rFonts w:eastAsia="細明體" w:cs="Segoe UI" w:hint="eastAsia"/>
                <w:sz w:val="17"/>
                <w:lang w:eastAsia="ar-SA"/>
              </w:rPr>
              <w:t>產生</w:t>
            </w:r>
            <w:r w:rsidRPr="00F24F39">
              <w:rPr>
                <w:rFonts w:eastAsia="細明體" w:cs="Segoe UI" w:hint="eastAsia"/>
                <w:bCs/>
                <w:sz w:val="17"/>
                <w:szCs w:val="17"/>
                <w:lang w:eastAsia="ar-SA"/>
              </w:rPr>
              <w:t>，例如認可機構就商業票據計劃的風險承擔提供整體項目提升、流動性及其他融通。認可機構如同時作為發起人</w:t>
            </w:r>
            <w:r w:rsidRPr="00F24F39">
              <w:rPr>
                <w:rFonts w:eastAsia="新細明體" w:cs="Segoe UI" w:hint="eastAsia"/>
                <w:bCs/>
                <w:sz w:val="17"/>
                <w:szCs w:val="17"/>
                <w:lang w:eastAsia="ar-SA"/>
              </w:rPr>
              <w:t>及</w:t>
            </w:r>
            <w:r w:rsidRPr="00F24F39">
              <w:rPr>
                <w:rFonts w:eastAsia="細明體" w:cs="Segoe UI" w:hint="eastAsia"/>
                <w:bCs/>
                <w:sz w:val="17"/>
                <w:szCs w:val="17"/>
                <w:lang w:eastAsia="ar-SA"/>
              </w:rPr>
              <w:t>保薦人，在披露時應避免雙重計算。就此而言，認可機構應於填報時將「作為發起人」及「作為保薦人」二欄合併為「作為發起人</w:t>
            </w:r>
            <w:r w:rsidRPr="00F24F39">
              <w:rPr>
                <w:rFonts w:eastAsia="細明體" w:cs="Segoe UI"/>
                <w:bCs/>
                <w:sz w:val="17"/>
                <w:szCs w:val="17"/>
                <w:lang w:eastAsia="ar-SA"/>
              </w:rPr>
              <w:t>/</w:t>
            </w:r>
            <w:r w:rsidRPr="00F24F39">
              <w:rPr>
                <w:rFonts w:eastAsia="細明體" w:cs="Segoe UI" w:hint="eastAsia"/>
                <w:bCs/>
                <w:sz w:val="17"/>
                <w:szCs w:val="17"/>
                <w:lang w:eastAsia="ar-SA"/>
              </w:rPr>
              <w:t>保薦人」。</w:t>
            </w:r>
          </w:p>
        </w:tc>
      </w:tr>
      <w:tr w:rsidR="00F24F39" w:rsidRPr="00F24F39" w14:paraId="24189B06" w14:textId="77777777" w:rsidTr="005F4B44">
        <w:tc>
          <w:tcPr>
            <w:tcW w:w="1134" w:type="dxa"/>
            <w:tcBorders>
              <w:top w:val="single" w:sz="4" w:space="0" w:color="000000"/>
              <w:left w:val="single" w:sz="4" w:space="0" w:color="000000"/>
              <w:bottom w:val="single" w:sz="4" w:space="0" w:color="000000"/>
            </w:tcBorders>
            <w:shd w:val="clear" w:color="auto" w:fill="auto"/>
          </w:tcPr>
          <w:p w14:paraId="704B4146"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(g)</w:t>
            </w:r>
            <w:r w:rsidRPr="00F24F39">
              <w:rPr>
                <w:rFonts w:eastAsia="細明體" w:cs="Segoe UI" w:hint="eastAsia"/>
                <w:sz w:val="17"/>
                <w:szCs w:val="17"/>
                <w:lang w:eastAsia="ar-SA"/>
              </w:rPr>
              <w:t>至</w:t>
            </w:r>
            <w:r w:rsidRPr="00F24F39">
              <w:rPr>
                <w:rFonts w:eastAsia="細明體" w:cs="Segoe UI"/>
                <w:sz w:val="17"/>
                <w:szCs w:val="17"/>
                <w:lang w:eastAsia="ar-SA"/>
              </w:rPr>
              <w:t>(</w:t>
            </w:r>
            <w:proofErr w:type="spellStart"/>
            <w:r w:rsidRPr="00F24F39">
              <w:rPr>
                <w:rFonts w:eastAsia="細明體" w:cs="Segoe UI"/>
                <w:sz w:val="17"/>
                <w:szCs w:val="17"/>
                <w:lang w:eastAsia="ar-SA"/>
              </w:rPr>
              <w:t>i</w:t>
            </w:r>
            <w:proofErr w:type="spellEnd"/>
            <w:r w:rsidRPr="00F24F39">
              <w:rPr>
                <w:rFonts w:eastAsia="細明體" w:cs="Segoe UI"/>
                <w:sz w:val="17"/>
                <w:szCs w:val="17"/>
                <w:lang w:eastAsia="ar-SA"/>
              </w:rPr>
              <w:t>)</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3FE89"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作為投資者</w:t>
            </w:r>
            <w:r w:rsidRPr="00F24F39">
              <w:rPr>
                <w:rFonts w:eastAsia="細明體" w:cs="Segoe UI" w:hint="eastAsia"/>
                <w:bCs/>
                <w:sz w:val="17"/>
                <w:szCs w:val="17"/>
                <w:lang w:eastAsia="ar-SA"/>
              </w:rPr>
              <w:t>：在該等欄內填報認可機構購自第三方交易的投資持倉。</w:t>
            </w:r>
          </w:p>
        </w:tc>
      </w:tr>
      <w:tr w:rsidR="00F24F39" w:rsidRPr="00F24F39" w14:paraId="1919BF96" w14:textId="77777777" w:rsidTr="005F4B44">
        <w:tc>
          <w:tcPr>
            <w:tcW w:w="1134" w:type="dxa"/>
            <w:tcBorders>
              <w:top w:val="single" w:sz="4" w:space="0" w:color="000000"/>
              <w:left w:val="single" w:sz="4" w:space="0" w:color="000000"/>
              <w:bottom w:val="single" w:sz="4" w:space="0" w:color="000000"/>
            </w:tcBorders>
            <w:shd w:val="clear" w:color="auto" w:fill="auto"/>
          </w:tcPr>
          <w:p w14:paraId="5EFFF312"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(a)</w:t>
            </w:r>
            <w:r w:rsidRPr="00F24F39">
              <w:rPr>
                <w:rFonts w:eastAsia="細明體" w:cs="Segoe UI" w:hint="eastAsia"/>
                <w:sz w:val="17"/>
                <w:szCs w:val="17"/>
                <w:lang w:eastAsia="ar-SA"/>
              </w:rPr>
              <w:t>、</w:t>
            </w:r>
            <w:r w:rsidRPr="00F24F39">
              <w:rPr>
                <w:rFonts w:eastAsia="細明體" w:cs="Segoe UI"/>
                <w:sz w:val="17"/>
                <w:szCs w:val="17"/>
                <w:lang w:eastAsia="ar-SA"/>
              </w:rPr>
              <w:t>(d)</w:t>
            </w:r>
            <w:r w:rsidRPr="00F24F39">
              <w:rPr>
                <w:rFonts w:eastAsia="細明體" w:cs="Segoe UI" w:hint="eastAsia"/>
                <w:sz w:val="17"/>
                <w:szCs w:val="17"/>
                <w:lang w:eastAsia="ar-SA"/>
              </w:rPr>
              <w:t>及</w:t>
            </w:r>
            <w:r w:rsidRPr="00F24F39">
              <w:rPr>
                <w:rFonts w:eastAsia="細明體" w:cs="Segoe UI"/>
                <w:sz w:val="17"/>
                <w:szCs w:val="17"/>
                <w:lang w:eastAsia="ar-SA"/>
              </w:rPr>
              <w:t>(g)</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D4BB"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傳統</w:t>
            </w:r>
            <w:r w:rsidRPr="00F24F39">
              <w:rPr>
                <w:rFonts w:eastAsia="細明體" w:cs="Segoe UI" w:hint="eastAsia"/>
                <w:bCs/>
                <w:sz w:val="17"/>
                <w:szCs w:val="17"/>
                <w:lang w:eastAsia="ar-SA"/>
              </w:rPr>
              <w:t>：本欄涵蓋《資本規則》第</w:t>
            </w:r>
            <w:r w:rsidRPr="00F24F39">
              <w:rPr>
                <w:rFonts w:eastAsia="細明體" w:cs="Segoe UI"/>
                <w:bCs/>
                <w:sz w:val="17"/>
                <w:szCs w:val="17"/>
                <w:lang w:eastAsia="ar-SA"/>
              </w:rPr>
              <w:t>7</w:t>
            </w:r>
            <w:r w:rsidRPr="00F24F39">
              <w:rPr>
                <w:rFonts w:eastAsia="細明體" w:cs="Segoe UI" w:hint="eastAsia"/>
                <w:bCs/>
                <w:sz w:val="17"/>
                <w:szCs w:val="17"/>
                <w:lang w:eastAsia="ar-SA"/>
              </w:rPr>
              <w:t>部界定的任何傳統證券化交易。</w:t>
            </w:r>
          </w:p>
        </w:tc>
      </w:tr>
      <w:tr w:rsidR="00F24F39" w:rsidRPr="00F24F39" w14:paraId="58D80C88" w14:textId="77777777" w:rsidTr="005F4B44">
        <w:tc>
          <w:tcPr>
            <w:tcW w:w="1134" w:type="dxa"/>
            <w:tcBorders>
              <w:top w:val="single" w:sz="4" w:space="0" w:color="000000"/>
              <w:left w:val="single" w:sz="4" w:space="0" w:color="000000"/>
              <w:bottom w:val="single" w:sz="4" w:space="0" w:color="000000"/>
            </w:tcBorders>
            <w:shd w:val="clear" w:color="auto" w:fill="auto"/>
          </w:tcPr>
          <w:p w14:paraId="0BD79312" w14:textId="77777777" w:rsidR="00F24F39" w:rsidRPr="00F24F39" w:rsidRDefault="00F24F39" w:rsidP="00F24F39">
            <w:pPr>
              <w:keepLines/>
              <w:widowControl w:val="0"/>
              <w:suppressAutoHyphens/>
              <w:spacing w:before="20" w:after="20"/>
              <w:ind w:right="-108"/>
              <w:rPr>
                <w:rFonts w:eastAsia="細明體" w:cs="Segoe UI"/>
                <w:bCs/>
                <w:i/>
                <w:sz w:val="17"/>
                <w:szCs w:val="17"/>
                <w:lang w:eastAsia="ar-SA"/>
              </w:rPr>
            </w:pPr>
            <w:r w:rsidRPr="00F24F39">
              <w:rPr>
                <w:rFonts w:eastAsia="細明體" w:cs="Segoe UI"/>
                <w:sz w:val="17"/>
                <w:szCs w:val="17"/>
                <w:lang w:eastAsia="ar-SA"/>
              </w:rPr>
              <w:t>(b)</w:t>
            </w:r>
            <w:r w:rsidRPr="00F24F39">
              <w:rPr>
                <w:rFonts w:eastAsia="細明體" w:cs="Segoe UI" w:hint="eastAsia"/>
                <w:sz w:val="17"/>
                <w:szCs w:val="17"/>
                <w:lang w:eastAsia="ar-SA"/>
              </w:rPr>
              <w:t>、</w:t>
            </w:r>
            <w:r w:rsidRPr="00F24F39">
              <w:rPr>
                <w:rFonts w:eastAsia="細明體" w:cs="Segoe UI"/>
                <w:sz w:val="17"/>
                <w:szCs w:val="17"/>
                <w:lang w:eastAsia="ar-SA"/>
              </w:rPr>
              <w:t>(e)</w:t>
            </w:r>
            <w:r w:rsidRPr="00F24F39">
              <w:rPr>
                <w:rFonts w:eastAsia="細明體" w:cs="Segoe UI" w:hint="eastAsia"/>
                <w:sz w:val="17"/>
                <w:szCs w:val="17"/>
                <w:lang w:eastAsia="ar-SA"/>
              </w:rPr>
              <w:t>及</w:t>
            </w:r>
            <w:r w:rsidRPr="00F24F39">
              <w:rPr>
                <w:rFonts w:eastAsia="細明體" w:cs="Segoe UI"/>
                <w:sz w:val="17"/>
                <w:szCs w:val="17"/>
                <w:lang w:eastAsia="ar-SA"/>
              </w:rPr>
              <w:t>(h)</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1C824"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Cs/>
                <w:i/>
                <w:sz w:val="17"/>
                <w:szCs w:val="17"/>
                <w:lang w:eastAsia="ar-SA"/>
              </w:rPr>
              <w:t>合成</w:t>
            </w:r>
            <w:r w:rsidRPr="00F24F39">
              <w:rPr>
                <w:rFonts w:eastAsia="細明體" w:cs="Segoe UI" w:hint="eastAsia"/>
                <w:bCs/>
                <w:sz w:val="17"/>
                <w:szCs w:val="17"/>
                <w:lang w:eastAsia="ar-SA"/>
              </w:rPr>
              <w:t>：本欄涵蓋《資本規則》第</w:t>
            </w:r>
            <w:r w:rsidRPr="00F24F39">
              <w:rPr>
                <w:rFonts w:eastAsia="細明體" w:cs="Segoe UI"/>
                <w:bCs/>
                <w:sz w:val="17"/>
                <w:szCs w:val="17"/>
                <w:lang w:eastAsia="ar-SA"/>
              </w:rPr>
              <w:t>7</w:t>
            </w:r>
            <w:r w:rsidRPr="00F24F39">
              <w:rPr>
                <w:rFonts w:eastAsia="細明體" w:cs="Segoe UI" w:hint="eastAsia"/>
                <w:bCs/>
                <w:sz w:val="17"/>
                <w:szCs w:val="17"/>
                <w:lang w:eastAsia="ar-SA"/>
              </w:rPr>
              <w:t>部界定的任何合成證券化交易。認可機構如已購買保障，應在發起人</w:t>
            </w:r>
            <w:r w:rsidRPr="00F24F39">
              <w:rPr>
                <w:rFonts w:eastAsia="細明體" w:cs="Segoe UI"/>
                <w:bCs/>
                <w:sz w:val="17"/>
                <w:szCs w:val="17"/>
                <w:lang w:eastAsia="ar-SA"/>
              </w:rPr>
              <w:t>/</w:t>
            </w:r>
            <w:r w:rsidRPr="00F24F39">
              <w:rPr>
                <w:rFonts w:eastAsia="細明體" w:cs="Segoe UI" w:hint="eastAsia"/>
                <w:bCs/>
                <w:sz w:val="17"/>
                <w:szCs w:val="17"/>
                <w:lang w:eastAsia="ar-SA"/>
              </w:rPr>
              <w:t>保薦人項下的欄內填報承受的淨風險承擔額（即無保證的數額）。認可機構如已出售保障，應在「投資者」欄內填報信用保障的風險承擔額。</w:t>
            </w:r>
          </w:p>
        </w:tc>
      </w:tr>
      <w:tr w:rsidR="00F24F39" w:rsidRPr="00F24F39" w14:paraId="1B3CFF80" w14:textId="77777777" w:rsidTr="005F4B44">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365961E"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b/>
                <w:sz w:val="17"/>
                <w:lang w:eastAsia="ar-SA"/>
              </w:rPr>
              <w:t>行</w:t>
            </w:r>
          </w:p>
        </w:tc>
      </w:tr>
      <w:tr w:rsidR="00F24F39" w:rsidRPr="00F24F39" w14:paraId="3058ED7D" w14:textId="77777777" w:rsidTr="005F4B44">
        <w:tc>
          <w:tcPr>
            <w:tcW w:w="1134" w:type="dxa"/>
            <w:tcBorders>
              <w:top w:val="single" w:sz="4" w:space="0" w:color="000000"/>
              <w:left w:val="single" w:sz="4" w:space="0" w:color="000000"/>
              <w:bottom w:val="single" w:sz="4" w:space="0" w:color="000000"/>
            </w:tcBorders>
            <w:shd w:val="clear" w:color="auto" w:fill="auto"/>
          </w:tcPr>
          <w:p w14:paraId="0E229C0F" w14:textId="77777777" w:rsidR="00F24F39" w:rsidRPr="00F24F39" w:rsidRDefault="00F24F39" w:rsidP="00F24F39">
            <w:pPr>
              <w:keepLines/>
              <w:widowControl w:val="0"/>
              <w:suppressAutoHyphens/>
              <w:spacing w:before="20" w:after="20"/>
              <w:ind w:right="-108"/>
              <w:rPr>
                <w:rFonts w:eastAsia="細明體" w:cs="Segoe UI"/>
                <w:sz w:val="17"/>
                <w:lang w:eastAsia="ar-SA"/>
              </w:rPr>
            </w:pPr>
            <w:r w:rsidRPr="00F24F39">
              <w:rPr>
                <w:rFonts w:eastAsia="細明體" w:cs="Segoe UI" w:hint="eastAsia"/>
                <w:sz w:val="17"/>
                <w:szCs w:val="17"/>
                <w:lang w:eastAsia="ar-SA"/>
              </w:rPr>
              <w:t>所有</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94A8" w14:textId="77777777" w:rsidR="00F24F39" w:rsidRPr="00F24F39" w:rsidRDefault="00F24F39" w:rsidP="00F24F39">
            <w:pPr>
              <w:keepLines/>
              <w:widowControl w:val="0"/>
              <w:tabs>
                <w:tab w:val="left" w:pos="150"/>
                <w:tab w:val="left" w:pos="397"/>
                <w:tab w:val="left" w:pos="794"/>
                <w:tab w:val="left" w:pos="1191"/>
              </w:tabs>
              <w:suppressAutoHyphens/>
              <w:spacing w:before="20" w:after="20"/>
              <w:jc w:val="both"/>
              <w:rPr>
                <w:rFonts w:cs="Segoe UI"/>
                <w:lang w:eastAsia="ar-SA"/>
              </w:rPr>
            </w:pPr>
            <w:r w:rsidRPr="00F24F39">
              <w:rPr>
                <w:rFonts w:eastAsia="細明體" w:cs="Segoe UI" w:hint="eastAsia"/>
                <w:sz w:val="17"/>
                <w:lang w:eastAsia="ar-SA"/>
              </w:rPr>
              <w:t>如以另一細目分類反映其交易狀況更為合適，認可機構可相應修改行的風險承擔細目分類；惟與再證券化類別風險承擔有關的行（即上表第</w:t>
            </w:r>
            <w:r w:rsidRPr="00F24F39">
              <w:rPr>
                <w:rFonts w:eastAsia="細明體" w:cs="Segoe UI"/>
                <w:sz w:val="17"/>
                <w:lang w:eastAsia="ar-SA"/>
              </w:rPr>
              <w:t>5</w:t>
            </w:r>
            <w:r w:rsidRPr="00F24F39">
              <w:rPr>
                <w:rFonts w:eastAsia="細明體" w:cs="Segoe UI" w:hint="eastAsia"/>
                <w:sz w:val="17"/>
                <w:lang w:eastAsia="ar-SA"/>
              </w:rPr>
              <w:t>及</w:t>
            </w:r>
            <w:r w:rsidRPr="00F24F39">
              <w:rPr>
                <w:rFonts w:eastAsia="細明體" w:cs="Segoe UI"/>
                <w:sz w:val="17"/>
                <w:lang w:eastAsia="ar-SA"/>
              </w:rPr>
              <w:t>11</w:t>
            </w:r>
            <w:r w:rsidRPr="00F24F39">
              <w:rPr>
                <w:rFonts w:eastAsia="細明體" w:cs="Segoe UI" w:hint="eastAsia"/>
                <w:sz w:val="17"/>
                <w:lang w:eastAsia="ar-SA"/>
              </w:rPr>
              <w:t>行）是固定的，</w:t>
            </w:r>
            <w:r w:rsidRPr="00F24F39">
              <w:rPr>
                <w:rFonts w:eastAsia="細明體" w:cs="Segoe UI" w:hint="eastAsia"/>
                <w:sz w:val="17"/>
                <w:lang w:eastAsia="zh-TW"/>
              </w:rPr>
              <w:t>即</w:t>
            </w:r>
            <w:r w:rsidRPr="00F24F39">
              <w:rPr>
                <w:rFonts w:eastAsia="細明體" w:cs="Segoe UI" w:hint="eastAsia"/>
                <w:sz w:val="17"/>
                <w:lang w:eastAsia="ar-SA"/>
              </w:rPr>
              <w:t>《資本規則》定義範圍內的所有再證券化類別風險承擔均應在該等行填報，而其他行則應只包含再證券化類別風險承擔以外的證券化類別風險承擔。</w:t>
            </w:r>
          </w:p>
        </w:tc>
      </w:tr>
    </w:tbl>
    <w:p w14:paraId="21A98EDD" w14:textId="77777777" w:rsidR="005F4B44" w:rsidRDefault="005F4B44">
      <w:pPr>
        <w:rPr>
          <w:lang w:eastAsia="zh-TW"/>
        </w:rPr>
      </w:pPr>
    </w:p>
    <w:p w14:paraId="147ED269" w14:textId="77777777" w:rsidR="005F4B44" w:rsidRDefault="005F4B44" w:rsidP="00F24F39">
      <w:pPr>
        <w:suppressAutoHyphens/>
        <w:spacing w:before="60" w:after="120"/>
        <w:jc w:val="both"/>
        <w:rPr>
          <w:rFonts w:eastAsia="細明體" w:cs="Segoe UI"/>
          <w:sz w:val="22"/>
          <w:lang w:eastAsia="ar-SA"/>
        </w:rPr>
        <w:sectPr w:rsidR="005F4B44" w:rsidSect="00067617">
          <w:footerReference w:type="default" r:id="rId97"/>
          <w:pgSz w:w="16838" w:h="11906" w:orient="landscape"/>
          <w:pgMar w:top="1276" w:right="1440" w:bottom="992" w:left="1440" w:header="720" w:footer="737" w:gutter="0"/>
          <w:cols w:space="425"/>
          <w:docGrid w:type="lines" w:linePitch="360"/>
        </w:sectPr>
      </w:pPr>
    </w:p>
    <w:p w14:paraId="1005E4C3" w14:textId="77777777" w:rsidR="005F4B44" w:rsidRPr="005F4B44" w:rsidRDefault="005F4B44" w:rsidP="00A94770">
      <w:pPr>
        <w:keepNext/>
        <w:suppressAutoHyphens/>
        <w:spacing w:before="360" w:after="240"/>
        <w:ind w:firstLine="142"/>
        <w:outlineLvl w:val="1"/>
        <w:rPr>
          <w:rFonts w:ascii="Calibri" w:eastAsia="新細明體" w:hAnsi="Calibri"/>
          <w:sz w:val="22"/>
          <w:szCs w:val="22"/>
          <w:lang w:eastAsia="zh-TW"/>
        </w:rPr>
      </w:pPr>
      <w:r w:rsidRPr="005F4B44">
        <w:rPr>
          <w:rFonts w:ascii="Calibri" w:eastAsia="細明體" w:hAnsi="Calibri"/>
          <w:color w:val="AA322F"/>
          <w:sz w:val="22"/>
          <w:szCs w:val="22"/>
          <w:lang w:eastAsia="zh-TW"/>
        </w:rPr>
        <w:t xml:space="preserve">II. </w:t>
      </w:r>
      <w:r w:rsidRPr="005F4B44">
        <w:rPr>
          <w:rFonts w:ascii="Calibri" w:eastAsia="細明體" w:hAnsi="Calibri"/>
          <w:color w:val="AA322F"/>
          <w:sz w:val="22"/>
          <w:szCs w:val="22"/>
          <w:lang w:eastAsia="zh-TW"/>
        </w:rPr>
        <w:tab/>
      </w:r>
      <w:r w:rsidRPr="005F4B44">
        <w:rPr>
          <w:rFonts w:ascii="Calibri" w:eastAsia="細明體" w:hAnsi="Calibri" w:hint="eastAsia"/>
          <w:color w:val="AA322F"/>
          <w:sz w:val="22"/>
          <w:szCs w:val="22"/>
          <w:lang w:eastAsia="zh-TW"/>
        </w:rPr>
        <w:t>量化披露</w:t>
      </w:r>
      <w:r w:rsidRPr="005F4B44">
        <w:rPr>
          <w:rFonts w:ascii="細明體" w:eastAsia="細明體" w:hAnsi="細明體" w:hint="eastAsia"/>
          <w:color w:val="AA322F"/>
          <w:sz w:val="22"/>
          <w:szCs w:val="22"/>
          <w:lang w:eastAsia="zh-TW"/>
        </w:rPr>
        <w:t>──</w:t>
      </w:r>
      <w:r w:rsidRPr="005F4B44">
        <w:rPr>
          <w:rFonts w:ascii="Calibri" w:eastAsia="細明體" w:hAnsi="Calibri" w:hint="eastAsia"/>
          <w:color w:val="AA322F"/>
          <w:sz w:val="22"/>
          <w:szCs w:val="22"/>
          <w:lang w:eastAsia="zh-TW"/>
        </w:rPr>
        <w:t>資本規定的計算</w:t>
      </w:r>
    </w:p>
    <w:p w14:paraId="3DEEF365" w14:textId="0499C31B" w:rsidR="000D5C9B" w:rsidRPr="000D5C9B" w:rsidRDefault="000D5C9B" w:rsidP="000D5C9B">
      <w:pPr>
        <w:pStyle w:val="Heading2"/>
        <w:keepNext w:val="0"/>
        <w:suppressAutoHyphens w:val="0"/>
        <w:spacing w:before="40" w:line="240" w:lineRule="auto"/>
        <w:ind w:left="-454" w:firstLine="596"/>
        <w:rPr>
          <w:rFonts w:ascii="Segoe UI" w:eastAsia="Times New Roman" w:hAnsi="Segoe UI"/>
          <w:b w:val="0"/>
          <w:bCs w:val="0"/>
          <w:sz w:val="22"/>
          <w:szCs w:val="20"/>
          <w:lang w:eastAsia="zh-TW"/>
        </w:rPr>
      </w:pPr>
      <w:r w:rsidRPr="000D5C9B">
        <w:rPr>
          <w:rFonts w:ascii="細明體" w:eastAsia="細明體" w:hAnsi="細明體" w:cs="微軟正黑體" w:hint="eastAsia"/>
          <w:b w:val="0"/>
          <w:bCs w:val="0"/>
          <w:sz w:val="22"/>
          <w:szCs w:val="20"/>
          <w:lang w:eastAsia="zh-TW"/>
        </w:rPr>
        <w:t>模版</w:t>
      </w:r>
      <w:r w:rsidRPr="000D5C9B">
        <w:rPr>
          <w:rFonts w:ascii="Segoe UI" w:eastAsia="細明體" w:hAnsi="Segoe UI" w:cs="Segoe UI"/>
          <w:b w:val="0"/>
          <w:bCs w:val="0"/>
          <w:sz w:val="22"/>
          <w:szCs w:val="20"/>
          <w:lang w:eastAsia="zh-TW"/>
        </w:rPr>
        <w:t>SEC3</w:t>
      </w:r>
      <w:r w:rsidRPr="000D5C9B">
        <w:rPr>
          <w:rFonts w:ascii="細明體" w:eastAsia="細明體" w:hAnsi="細明體" w:cs="微軟正黑體" w:hint="eastAsia"/>
          <w:b w:val="0"/>
          <w:bCs w:val="0"/>
          <w:sz w:val="22"/>
          <w:szCs w:val="20"/>
          <w:lang w:eastAsia="zh-TW"/>
        </w:rPr>
        <w:t>：銀行帳內的證券化類別風險承擔及相關資本規定</w:t>
      </w:r>
      <w:proofErr w:type="gramStart"/>
      <w:r w:rsidRPr="000D5C9B">
        <w:rPr>
          <w:rFonts w:ascii="細明體" w:eastAsia="細明體" w:hAnsi="細明體" w:cs="微軟正黑體" w:hint="eastAsia"/>
          <w:b w:val="0"/>
          <w:bCs w:val="0"/>
          <w:sz w:val="22"/>
          <w:szCs w:val="20"/>
          <w:lang w:eastAsia="zh-TW"/>
        </w:rPr>
        <w:t>──</w:t>
      </w:r>
      <w:proofErr w:type="gramEnd"/>
      <w:r w:rsidRPr="000D5C9B">
        <w:rPr>
          <w:rFonts w:ascii="細明體" w:eastAsia="細明體" w:hAnsi="細明體" w:cs="微軟正黑體" w:hint="eastAsia"/>
          <w:b w:val="0"/>
          <w:bCs w:val="0"/>
          <w:sz w:val="22"/>
          <w:szCs w:val="20"/>
          <w:lang w:eastAsia="zh-TW"/>
        </w:rPr>
        <w:t>當認可機構作為發起人</w:t>
      </w:r>
      <w:r w:rsidRPr="000D5C9B">
        <w:rPr>
          <w:rFonts w:ascii="Segoe UI" w:eastAsia="Times New Roman" w:hAnsi="Segoe UI"/>
          <w:b w:val="0"/>
          <w:bCs w:val="0"/>
          <w:sz w:val="22"/>
          <w:szCs w:val="20"/>
          <w:vertAlign w:val="superscript"/>
          <w:lang w:eastAsia="en-US"/>
        </w:rPr>
        <w:footnoteReference w:id="17"/>
      </w:r>
    </w:p>
    <w:tbl>
      <w:tblPr>
        <w:tblW w:w="0" w:type="auto"/>
        <w:tblInd w:w="108" w:type="dxa"/>
        <w:tblLayout w:type="fixed"/>
        <w:tblLook w:val="0000" w:firstRow="0" w:lastRow="0" w:firstColumn="0" w:lastColumn="0" w:noHBand="0" w:noVBand="0"/>
      </w:tblPr>
      <w:tblGrid>
        <w:gridCol w:w="2552"/>
        <w:gridCol w:w="11340"/>
      </w:tblGrid>
      <w:tr w:rsidR="005F4B44" w:rsidRPr="005F4B44" w14:paraId="4BC87EFE" w14:textId="77777777" w:rsidTr="005F4B44">
        <w:tc>
          <w:tcPr>
            <w:tcW w:w="2552" w:type="dxa"/>
            <w:tcBorders>
              <w:top w:val="single" w:sz="4" w:space="0" w:color="000000"/>
              <w:bottom w:val="single" w:sz="4" w:space="0" w:color="000000"/>
            </w:tcBorders>
            <w:shd w:val="clear" w:color="auto" w:fill="auto"/>
          </w:tcPr>
          <w:p w14:paraId="70C779D8"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目的：</w:t>
            </w:r>
          </w:p>
        </w:tc>
        <w:tc>
          <w:tcPr>
            <w:tcW w:w="11340" w:type="dxa"/>
            <w:tcBorders>
              <w:top w:val="single" w:sz="4" w:space="0" w:color="000000"/>
              <w:left w:val="single" w:sz="4" w:space="0" w:color="000000"/>
              <w:bottom w:val="single" w:sz="4" w:space="0" w:color="000000"/>
            </w:tcBorders>
            <w:shd w:val="clear" w:color="auto" w:fill="auto"/>
          </w:tcPr>
          <w:p w14:paraId="2F9A4151" w14:textId="77777777" w:rsidR="005F4B44" w:rsidRPr="005F4B44" w:rsidRDefault="005F4B44" w:rsidP="005F4B44">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17"/>
                <w:lang w:eastAsia="zh-TW"/>
              </w:rPr>
              <w:t>展示在銀行帳內由認可機構作為發起機構的</w:t>
            </w:r>
            <w:r w:rsidRPr="005F4B44">
              <w:rPr>
                <w:rFonts w:ascii="Calibri" w:eastAsia="細明體" w:hAnsi="Calibri" w:hint="eastAsia"/>
                <w:bCs/>
                <w:sz w:val="17"/>
                <w:szCs w:val="17"/>
                <w:lang w:val="en-US" w:eastAsia="zh-TW"/>
              </w:rPr>
              <w:t>合資格</w:t>
            </w:r>
            <w:r w:rsidRPr="005F4B44">
              <w:rPr>
                <w:rFonts w:ascii="Calibri" w:eastAsia="細明體" w:hAnsi="Calibri" w:hint="eastAsia"/>
                <w:sz w:val="17"/>
                <w:szCs w:val="17"/>
                <w:lang w:eastAsia="zh-TW"/>
              </w:rPr>
              <w:t>證券化交易產生的證券化類別風險承擔，及相關資本規定。</w:t>
            </w:r>
          </w:p>
        </w:tc>
      </w:tr>
      <w:tr w:rsidR="005F4B44" w:rsidRPr="005F4B44" w14:paraId="2F27551F" w14:textId="77777777" w:rsidTr="005F4B44">
        <w:tc>
          <w:tcPr>
            <w:tcW w:w="2552" w:type="dxa"/>
            <w:tcBorders>
              <w:top w:val="single" w:sz="4" w:space="0" w:color="000000"/>
              <w:bottom w:val="single" w:sz="4" w:space="0" w:color="000000"/>
            </w:tcBorders>
            <w:shd w:val="clear" w:color="auto" w:fill="auto"/>
          </w:tcPr>
          <w:p w14:paraId="65BCA373" w14:textId="77777777" w:rsidR="005F4B44" w:rsidRPr="005F4B44" w:rsidRDefault="005F4B44" w:rsidP="005F4B44">
            <w:pPr>
              <w:spacing w:before="40" w:after="40" w:line="259" w:lineRule="auto"/>
              <w:rPr>
                <w:rFonts w:ascii="Calibri" w:eastAsia="細明體" w:hAnsi="Calibri"/>
                <w:sz w:val="17"/>
                <w:szCs w:val="22"/>
                <w:lang w:eastAsia="zh-CN"/>
              </w:rPr>
            </w:pPr>
            <w:r w:rsidRPr="005F4B44">
              <w:rPr>
                <w:rFonts w:ascii="Calibri" w:eastAsia="細明體" w:hAnsi="Calibri" w:hint="eastAsia"/>
                <w:b/>
                <w:sz w:val="17"/>
                <w:szCs w:val="17"/>
                <w:lang w:eastAsia="zh-CN"/>
              </w:rPr>
              <w:t>適用範</w:t>
            </w:r>
            <w:proofErr w:type="gramStart"/>
            <w:r w:rsidRPr="005F4B44">
              <w:rPr>
                <w:rFonts w:ascii="Calibri" w:eastAsia="細明體" w:hAnsi="Calibri" w:hint="eastAsia"/>
                <w:b/>
                <w:sz w:val="17"/>
                <w:szCs w:val="17"/>
                <w:lang w:eastAsia="zh-CN"/>
              </w:rPr>
              <w:t>圍</w:t>
            </w:r>
            <w:proofErr w:type="gramEnd"/>
            <w:r w:rsidRPr="005F4B44">
              <w:rPr>
                <w:rFonts w:ascii="Calibri" w:eastAsia="細明體" w:hAnsi="Calibri" w:hint="eastAsia"/>
                <w:b/>
                <w:sz w:val="17"/>
                <w:szCs w:val="17"/>
                <w:lang w:eastAsia="zh-CN"/>
              </w:rPr>
              <w:t>：</w:t>
            </w:r>
          </w:p>
        </w:tc>
        <w:tc>
          <w:tcPr>
            <w:tcW w:w="11340" w:type="dxa"/>
            <w:tcBorders>
              <w:top w:val="single" w:sz="4" w:space="0" w:color="000000"/>
              <w:left w:val="single" w:sz="4" w:space="0" w:color="000000"/>
              <w:bottom w:val="single" w:sz="4" w:space="0" w:color="000000"/>
            </w:tcBorders>
            <w:shd w:val="clear" w:color="auto" w:fill="auto"/>
          </w:tcPr>
          <w:p w14:paraId="10D75011" w14:textId="77777777" w:rsidR="005F4B44" w:rsidRPr="005F4B44" w:rsidRDefault="005F4B44" w:rsidP="005F4B44">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22"/>
                <w:lang w:eastAsia="zh-TW"/>
              </w:rPr>
              <w:t>在香港成立</w:t>
            </w:r>
            <w:proofErr w:type="gramStart"/>
            <w:r w:rsidRPr="005F4B44">
              <w:rPr>
                <w:rFonts w:ascii="Calibri" w:eastAsia="細明體" w:hAnsi="Calibri" w:hint="eastAsia"/>
                <w:sz w:val="17"/>
                <w:szCs w:val="22"/>
                <w:lang w:eastAsia="zh-TW"/>
              </w:rPr>
              <w:t>為法團並</w:t>
            </w:r>
            <w:proofErr w:type="gramEnd"/>
            <w:r w:rsidRPr="005F4B44">
              <w:rPr>
                <w:rFonts w:ascii="Calibri" w:eastAsia="細明體" w:hAnsi="Calibri" w:hint="eastAsia"/>
                <w:sz w:val="17"/>
                <w:szCs w:val="22"/>
                <w:lang w:eastAsia="zh-TW"/>
              </w:rPr>
              <w:t>持有證券化類別風險承擔及作為</w:t>
            </w:r>
            <w:r w:rsidRPr="005F4B44">
              <w:rPr>
                <w:rFonts w:ascii="Calibri" w:eastAsia="細明體" w:hAnsi="Calibri" w:hint="eastAsia"/>
                <w:sz w:val="17"/>
                <w:szCs w:val="17"/>
                <w:lang w:eastAsia="zh-TW"/>
              </w:rPr>
              <w:t>該等交易的</w:t>
            </w:r>
            <w:r w:rsidRPr="005F4B44">
              <w:rPr>
                <w:rFonts w:ascii="Calibri" w:eastAsia="細明體" w:hAnsi="Calibri" w:hint="eastAsia"/>
                <w:sz w:val="17"/>
                <w:szCs w:val="22"/>
                <w:lang w:eastAsia="zh-TW"/>
              </w:rPr>
              <w:t>發起人的認可機構，</w:t>
            </w:r>
            <w:proofErr w:type="gramStart"/>
            <w:r w:rsidRPr="005F4B44">
              <w:rPr>
                <w:rFonts w:ascii="Calibri" w:eastAsia="細明體" w:hAnsi="Calibri" w:hint="eastAsia"/>
                <w:sz w:val="17"/>
                <w:szCs w:val="22"/>
                <w:lang w:eastAsia="zh-TW"/>
              </w:rPr>
              <w:t>均須填報本模</w:t>
            </w:r>
            <w:proofErr w:type="gramEnd"/>
            <w:r w:rsidRPr="005F4B44">
              <w:rPr>
                <w:rFonts w:ascii="Calibri" w:eastAsia="細明體" w:hAnsi="Calibri" w:hint="eastAsia"/>
                <w:sz w:val="17"/>
                <w:szCs w:val="22"/>
                <w:lang w:eastAsia="zh-TW"/>
              </w:rPr>
              <w:t>版。</w:t>
            </w:r>
          </w:p>
        </w:tc>
      </w:tr>
      <w:tr w:rsidR="005F4B44" w:rsidRPr="005F4B44" w14:paraId="639420A9" w14:textId="77777777" w:rsidTr="005F4B44">
        <w:trPr>
          <w:trHeight w:val="275"/>
        </w:trPr>
        <w:tc>
          <w:tcPr>
            <w:tcW w:w="2552" w:type="dxa"/>
            <w:tcBorders>
              <w:top w:val="single" w:sz="4" w:space="0" w:color="000000"/>
              <w:bottom w:val="single" w:sz="4" w:space="0" w:color="000000"/>
            </w:tcBorders>
            <w:shd w:val="clear" w:color="auto" w:fill="auto"/>
          </w:tcPr>
          <w:p w14:paraId="12F961E7" w14:textId="77777777" w:rsidR="005F4B44" w:rsidRPr="005F4B44" w:rsidRDefault="005F4B44" w:rsidP="005F4B44">
            <w:pPr>
              <w:spacing w:before="40" w:after="40" w:line="259" w:lineRule="auto"/>
              <w:rPr>
                <w:rFonts w:ascii="Calibri" w:eastAsia="細明體" w:hAnsi="Calibri"/>
                <w:sz w:val="17"/>
                <w:szCs w:val="22"/>
                <w:lang w:eastAsia="zh-CN"/>
              </w:rPr>
            </w:pPr>
            <w:proofErr w:type="gramStart"/>
            <w:r w:rsidRPr="005F4B44">
              <w:rPr>
                <w:rFonts w:ascii="Calibri" w:eastAsia="細明體" w:hAnsi="Calibri" w:hint="eastAsia"/>
                <w:b/>
                <w:sz w:val="17"/>
                <w:szCs w:val="17"/>
                <w:lang w:eastAsia="zh-CN"/>
              </w:rPr>
              <w:t>內</w:t>
            </w:r>
            <w:proofErr w:type="gramEnd"/>
            <w:r w:rsidRPr="005F4B44">
              <w:rPr>
                <w:rFonts w:ascii="Calibri" w:eastAsia="細明體" w:hAnsi="Calibri" w:hint="eastAsia"/>
                <w:b/>
                <w:sz w:val="17"/>
                <w:szCs w:val="17"/>
                <w:lang w:eastAsia="zh-CN"/>
              </w:rPr>
              <w:t>容：</w:t>
            </w:r>
          </w:p>
        </w:tc>
        <w:tc>
          <w:tcPr>
            <w:tcW w:w="11340" w:type="dxa"/>
            <w:tcBorders>
              <w:top w:val="single" w:sz="4" w:space="0" w:color="000000"/>
              <w:left w:val="single" w:sz="4" w:space="0" w:color="000000"/>
              <w:bottom w:val="single" w:sz="4" w:space="0" w:color="000000"/>
            </w:tcBorders>
            <w:shd w:val="clear" w:color="auto" w:fill="auto"/>
          </w:tcPr>
          <w:p w14:paraId="042D9404" w14:textId="77777777" w:rsidR="005F4B44" w:rsidRPr="005F4B44" w:rsidRDefault="005F4B44" w:rsidP="005F4B44">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22"/>
                <w:lang w:eastAsia="zh-TW"/>
              </w:rPr>
              <w:t>風險承擔值、風險加權數額及資本</w:t>
            </w:r>
            <w:r w:rsidRPr="005F4B44">
              <w:rPr>
                <w:rFonts w:ascii="Calibri" w:eastAsia="細明體" w:hAnsi="Calibri" w:hint="eastAsia"/>
                <w:sz w:val="17"/>
                <w:szCs w:val="17"/>
                <w:lang w:eastAsia="zh-TW"/>
              </w:rPr>
              <w:t>要求</w:t>
            </w:r>
            <w:r w:rsidRPr="005F4B44">
              <w:rPr>
                <w:rFonts w:ascii="Calibri" w:eastAsia="細明體" w:hAnsi="Calibri" w:hint="eastAsia"/>
                <w:sz w:val="17"/>
                <w:szCs w:val="22"/>
                <w:lang w:eastAsia="zh-TW"/>
              </w:rPr>
              <w:t>。</w:t>
            </w:r>
            <w:proofErr w:type="gramStart"/>
            <w:r w:rsidRPr="005F4B44">
              <w:rPr>
                <w:rFonts w:ascii="Calibri" w:eastAsia="細明體" w:hAnsi="Calibri" w:hint="eastAsia"/>
                <w:sz w:val="17"/>
                <w:szCs w:val="22"/>
                <w:lang w:eastAsia="zh-TW"/>
              </w:rPr>
              <w:t>本模版</w:t>
            </w:r>
            <w:proofErr w:type="gramEnd"/>
            <w:r w:rsidRPr="005F4B44">
              <w:rPr>
                <w:rFonts w:ascii="Calibri" w:eastAsia="細明體" w:hAnsi="Calibri" w:hint="eastAsia"/>
                <w:sz w:val="17"/>
                <w:szCs w:val="22"/>
                <w:lang w:eastAsia="zh-TW"/>
              </w:rPr>
              <w:t>只</w:t>
            </w:r>
            <w:proofErr w:type="gramStart"/>
            <w:r w:rsidRPr="005F4B44">
              <w:rPr>
                <w:rFonts w:ascii="Calibri" w:eastAsia="細明體" w:hAnsi="Calibri" w:hint="eastAsia"/>
                <w:sz w:val="17"/>
                <w:szCs w:val="22"/>
                <w:lang w:eastAsia="zh-TW"/>
              </w:rPr>
              <w:t>列載</w:t>
            </w:r>
            <w:r w:rsidRPr="005F4B44">
              <w:rPr>
                <w:rFonts w:ascii="Calibri" w:eastAsia="細明體" w:hAnsi="Calibri" w:hint="eastAsia"/>
                <w:bCs/>
                <w:sz w:val="17"/>
                <w:szCs w:val="17"/>
                <w:lang w:val="en-US" w:eastAsia="zh-TW"/>
              </w:rPr>
              <w:t>合資格</w:t>
            </w:r>
            <w:proofErr w:type="gramEnd"/>
            <w:r w:rsidRPr="005F4B44">
              <w:rPr>
                <w:rFonts w:ascii="Calibri" w:eastAsia="細明體" w:hAnsi="Calibri" w:hint="eastAsia"/>
                <w:sz w:val="17"/>
                <w:szCs w:val="22"/>
                <w:lang w:eastAsia="zh-TW"/>
              </w:rPr>
              <w:t>證券化交易</w:t>
            </w:r>
            <w:r w:rsidRPr="005F4B44">
              <w:rPr>
                <w:rFonts w:ascii="Calibri" w:eastAsia="細明體" w:hAnsi="Calibri" w:hint="eastAsia"/>
                <w:sz w:val="17"/>
                <w:szCs w:val="17"/>
                <w:lang w:eastAsia="zh-TW"/>
              </w:rPr>
              <w:t>產生</w:t>
            </w:r>
            <w:r w:rsidRPr="005F4B44">
              <w:rPr>
                <w:rFonts w:ascii="Calibri" w:eastAsia="細明體" w:hAnsi="Calibri" w:hint="eastAsia"/>
                <w:sz w:val="17"/>
                <w:szCs w:val="22"/>
                <w:lang w:eastAsia="zh-TW"/>
              </w:rPr>
              <w:t>的證券化類別風險承擔。</w:t>
            </w:r>
          </w:p>
        </w:tc>
      </w:tr>
      <w:tr w:rsidR="005F4B44" w:rsidRPr="005F4B44" w14:paraId="460F4AD4" w14:textId="77777777" w:rsidTr="005F4B44">
        <w:tc>
          <w:tcPr>
            <w:tcW w:w="2552" w:type="dxa"/>
            <w:tcBorders>
              <w:top w:val="single" w:sz="4" w:space="0" w:color="000000"/>
              <w:bottom w:val="single" w:sz="4" w:space="0" w:color="000000"/>
            </w:tcBorders>
            <w:shd w:val="clear" w:color="auto" w:fill="auto"/>
          </w:tcPr>
          <w:p w14:paraId="44B5F0F9"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頻密程度：</w:t>
            </w:r>
          </w:p>
        </w:tc>
        <w:tc>
          <w:tcPr>
            <w:tcW w:w="11340" w:type="dxa"/>
            <w:tcBorders>
              <w:top w:val="single" w:sz="4" w:space="0" w:color="000000"/>
              <w:left w:val="single" w:sz="4" w:space="0" w:color="000000"/>
              <w:bottom w:val="single" w:sz="4" w:space="0" w:color="000000"/>
            </w:tcBorders>
            <w:shd w:val="clear" w:color="auto" w:fill="auto"/>
          </w:tcPr>
          <w:p w14:paraId="12EA6AC9" w14:textId="77777777" w:rsidR="005F4B44" w:rsidRPr="005F4B44" w:rsidRDefault="005F4B44" w:rsidP="005F4B44">
            <w:pPr>
              <w:spacing w:before="40" w:after="40" w:line="259" w:lineRule="auto"/>
              <w:jc w:val="both"/>
              <w:rPr>
                <w:rFonts w:ascii="Calibri" w:eastAsia="新細明體" w:hAnsi="Calibri"/>
                <w:sz w:val="22"/>
                <w:szCs w:val="22"/>
                <w:lang w:eastAsia="zh-CN"/>
              </w:rPr>
            </w:pPr>
            <w:r w:rsidRPr="005F4B44">
              <w:rPr>
                <w:rFonts w:ascii="Calibri" w:eastAsia="細明體" w:hAnsi="Calibri" w:hint="eastAsia"/>
                <w:sz w:val="17"/>
                <w:szCs w:val="17"/>
                <w:lang w:eastAsia="zh-CN"/>
              </w:rPr>
              <w:t>每半年一次。</w:t>
            </w:r>
          </w:p>
        </w:tc>
      </w:tr>
      <w:tr w:rsidR="005F4B44" w:rsidRPr="005F4B44" w14:paraId="1DB5AFED" w14:textId="77777777" w:rsidTr="005F4B44">
        <w:tc>
          <w:tcPr>
            <w:tcW w:w="2552" w:type="dxa"/>
            <w:tcBorders>
              <w:top w:val="single" w:sz="4" w:space="0" w:color="000000"/>
              <w:bottom w:val="single" w:sz="4" w:space="0" w:color="000000"/>
            </w:tcBorders>
            <w:shd w:val="clear" w:color="auto" w:fill="auto"/>
          </w:tcPr>
          <w:p w14:paraId="53B68E7E"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格式：</w:t>
            </w:r>
          </w:p>
        </w:tc>
        <w:tc>
          <w:tcPr>
            <w:tcW w:w="11340" w:type="dxa"/>
            <w:tcBorders>
              <w:top w:val="single" w:sz="4" w:space="0" w:color="000000"/>
              <w:left w:val="single" w:sz="4" w:space="0" w:color="000000"/>
              <w:bottom w:val="single" w:sz="4" w:space="0" w:color="000000"/>
            </w:tcBorders>
            <w:shd w:val="clear" w:color="auto" w:fill="auto"/>
          </w:tcPr>
          <w:p w14:paraId="1D854BB2" w14:textId="77777777" w:rsidR="005F4B44" w:rsidRPr="005F4B44" w:rsidRDefault="005F4B44" w:rsidP="005F4B44">
            <w:pPr>
              <w:spacing w:before="40" w:after="40" w:line="259" w:lineRule="auto"/>
              <w:jc w:val="both"/>
              <w:rPr>
                <w:rFonts w:ascii="Calibri" w:eastAsia="新細明體" w:hAnsi="Calibri"/>
                <w:sz w:val="22"/>
                <w:szCs w:val="22"/>
                <w:lang w:eastAsia="zh-CN"/>
              </w:rPr>
            </w:pPr>
            <w:r w:rsidRPr="005F4B44">
              <w:rPr>
                <w:rFonts w:ascii="Calibri" w:eastAsia="細明體" w:hAnsi="Calibri" w:hint="eastAsia"/>
                <w:sz w:val="17"/>
                <w:szCs w:val="17"/>
                <w:lang w:eastAsia="zh-CN"/>
              </w:rPr>
              <w:t>固定。</w:t>
            </w:r>
          </w:p>
        </w:tc>
      </w:tr>
      <w:tr w:rsidR="005F4B44" w:rsidRPr="005F4B44" w14:paraId="0C7FA4BA" w14:textId="77777777" w:rsidTr="005F4B44">
        <w:tc>
          <w:tcPr>
            <w:tcW w:w="2552" w:type="dxa"/>
            <w:tcBorders>
              <w:top w:val="single" w:sz="4" w:space="0" w:color="000000"/>
              <w:bottom w:val="single" w:sz="4" w:space="0" w:color="000000"/>
            </w:tcBorders>
            <w:shd w:val="clear" w:color="auto" w:fill="auto"/>
          </w:tcPr>
          <w:p w14:paraId="5E2ADCC8"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附加說明</w:t>
            </w:r>
            <w:r w:rsidRPr="005F4B44">
              <w:rPr>
                <w:rFonts w:ascii="Calibri" w:eastAsia="細明體" w:hAnsi="Calibri" w:hint="eastAsia"/>
                <w:sz w:val="17"/>
                <w:szCs w:val="17"/>
                <w:lang w:eastAsia="zh-CN"/>
              </w:rPr>
              <w:t>：</w:t>
            </w:r>
          </w:p>
        </w:tc>
        <w:tc>
          <w:tcPr>
            <w:tcW w:w="11340" w:type="dxa"/>
            <w:tcBorders>
              <w:top w:val="single" w:sz="4" w:space="0" w:color="000000"/>
              <w:left w:val="single" w:sz="4" w:space="0" w:color="000000"/>
              <w:bottom w:val="single" w:sz="4" w:space="0" w:color="000000"/>
            </w:tcBorders>
            <w:shd w:val="clear" w:color="auto" w:fill="auto"/>
          </w:tcPr>
          <w:p w14:paraId="2D64BBA6" w14:textId="5EE9E863" w:rsidR="005F4B44" w:rsidRPr="005F4B44" w:rsidRDefault="005F4B44" w:rsidP="00872CF6">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17"/>
                <w:lang w:eastAsia="zh-TW"/>
              </w:rPr>
              <w:t>認可機構應以敘述評</w:t>
            </w:r>
            <w:proofErr w:type="gramStart"/>
            <w:r w:rsidRPr="005F4B44">
              <w:rPr>
                <w:rFonts w:ascii="Calibri" w:eastAsia="細明體" w:hAnsi="Calibri" w:hint="eastAsia"/>
                <w:sz w:val="17"/>
                <w:szCs w:val="17"/>
                <w:lang w:eastAsia="zh-TW"/>
              </w:rPr>
              <w:t>註</w:t>
            </w:r>
            <w:proofErr w:type="gramEnd"/>
            <w:r w:rsidRPr="005F4B44">
              <w:rPr>
                <w:rFonts w:ascii="Calibri" w:eastAsia="細明體" w:hAnsi="Calibri" w:hint="eastAsia"/>
                <w:sz w:val="17"/>
                <w:szCs w:val="17"/>
                <w:lang w:eastAsia="zh-TW"/>
              </w:rPr>
              <w:t>闡明現行報告期內的任何重大</w:t>
            </w:r>
            <w:r w:rsidR="00872CF6" w:rsidRPr="00872CF6">
              <w:rPr>
                <w:rFonts w:ascii="Calibri" w:eastAsia="細明體" w:hAnsi="Calibri" w:hint="eastAsia"/>
                <w:sz w:val="17"/>
                <w:szCs w:val="17"/>
                <w:lang w:eastAsia="zh-TW"/>
              </w:rPr>
              <w:t>改</w:t>
            </w:r>
            <w:r w:rsidRPr="005F4B44">
              <w:rPr>
                <w:rFonts w:ascii="Calibri" w:eastAsia="細明體" w:hAnsi="Calibri" w:hint="eastAsia"/>
                <w:sz w:val="17"/>
                <w:szCs w:val="17"/>
                <w:lang w:eastAsia="zh-TW"/>
              </w:rPr>
              <w:t>變及引致該等</w:t>
            </w:r>
            <w:r w:rsidR="00872CF6" w:rsidRPr="00872CF6">
              <w:rPr>
                <w:rFonts w:ascii="Calibri" w:eastAsia="細明體" w:hAnsi="Calibri" w:hint="eastAsia"/>
                <w:sz w:val="17"/>
                <w:szCs w:val="17"/>
                <w:lang w:eastAsia="zh-TW"/>
              </w:rPr>
              <w:t>改</w:t>
            </w:r>
            <w:r w:rsidRPr="005F4B44">
              <w:rPr>
                <w:rFonts w:ascii="Calibri" w:eastAsia="細明體" w:hAnsi="Calibri" w:hint="eastAsia"/>
                <w:sz w:val="17"/>
                <w:szCs w:val="17"/>
                <w:lang w:eastAsia="zh-TW"/>
              </w:rPr>
              <w:t>變的主要驅動因素，以</w:t>
            </w:r>
            <w:proofErr w:type="gramStart"/>
            <w:r w:rsidRPr="005F4B44">
              <w:rPr>
                <w:rFonts w:ascii="Calibri" w:eastAsia="細明體" w:hAnsi="Calibri" w:hint="eastAsia"/>
                <w:sz w:val="17"/>
                <w:szCs w:val="17"/>
                <w:lang w:eastAsia="zh-TW"/>
              </w:rPr>
              <w:t>補充本模版</w:t>
            </w:r>
            <w:proofErr w:type="gramEnd"/>
            <w:r w:rsidRPr="005F4B44">
              <w:rPr>
                <w:rFonts w:ascii="Calibri" w:eastAsia="細明體" w:hAnsi="Calibri" w:hint="eastAsia"/>
                <w:sz w:val="17"/>
                <w:szCs w:val="17"/>
                <w:lang w:eastAsia="zh-TW"/>
              </w:rPr>
              <w:t>。</w:t>
            </w:r>
          </w:p>
        </w:tc>
      </w:tr>
      <w:tr w:rsidR="005F4B44" w:rsidRPr="005F4B44" w14:paraId="33B8F55C" w14:textId="77777777" w:rsidTr="005F4B44">
        <w:tc>
          <w:tcPr>
            <w:tcW w:w="2552" w:type="dxa"/>
            <w:tcBorders>
              <w:top w:val="single" w:sz="4" w:space="0" w:color="000000"/>
              <w:bottom w:val="single" w:sz="4" w:space="0" w:color="000000"/>
            </w:tcBorders>
            <w:shd w:val="clear" w:color="auto" w:fill="auto"/>
          </w:tcPr>
          <w:p w14:paraId="17DF29BF" w14:textId="77777777" w:rsidR="005F4B44" w:rsidRPr="005F4B44" w:rsidRDefault="005F4B44" w:rsidP="005F4B44">
            <w:pPr>
              <w:spacing w:before="40" w:after="40" w:line="259" w:lineRule="auto"/>
              <w:rPr>
                <w:rFonts w:ascii="Calibri" w:eastAsia="細明體" w:hAnsi="Calibri"/>
                <w:sz w:val="17"/>
                <w:szCs w:val="17"/>
                <w:lang w:eastAsia="zh-TW"/>
              </w:rPr>
            </w:pPr>
            <w:r w:rsidRPr="005F4B44">
              <w:rPr>
                <w:rFonts w:ascii="Calibri" w:eastAsia="細明體" w:hAnsi="Calibri" w:hint="eastAsia"/>
                <w:b/>
                <w:sz w:val="17"/>
                <w:szCs w:val="17"/>
                <w:lang w:eastAsia="zh-TW"/>
              </w:rPr>
              <w:t>《披露規則》相應條文：</w:t>
            </w:r>
          </w:p>
        </w:tc>
        <w:tc>
          <w:tcPr>
            <w:tcW w:w="11340" w:type="dxa"/>
            <w:tcBorders>
              <w:top w:val="single" w:sz="4" w:space="0" w:color="000000"/>
              <w:left w:val="single" w:sz="4" w:space="0" w:color="000000"/>
              <w:bottom w:val="single" w:sz="4" w:space="0" w:color="000000"/>
            </w:tcBorders>
            <w:shd w:val="clear" w:color="auto" w:fill="auto"/>
          </w:tcPr>
          <w:p w14:paraId="67514460" w14:textId="77777777" w:rsidR="005F4B44" w:rsidRPr="005F4B44" w:rsidRDefault="005F4B44" w:rsidP="005F4B44">
            <w:pPr>
              <w:spacing w:before="40" w:after="40" w:line="259" w:lineRule="auto"/>
              <w:jc w:val="both"/>
              <w:rPr>
                <w:rFonts w:ascii="Calibri" w:eastAsia="新細明體" w:hAnsi="Calibri"/>
                <w:sz w:val="22"/>
                <w:szCs w:val="22"/>
                <w:lang w:eastAsia="zh-CN"/>
              </w:rPr>
            </w:pPr>
            <w:r w:rsidRPr="005F4B44">
              <w:rPr>
                <w:rFonts w:ascii="Calibri" w:eastAsia="細明體" w:hAnsi="Calibri"/>
                <w:sz w:val="17"/>
                <w:szCs w:val="17"/>
                <w:lang w:eastAsia="zh-CN"/>
              </w:rPr>
              <w:t>16ZH</w:t>
            </w:r>
          </w:p>
        </w:tc>
      </w:tr>
    </w:tbl>
    <w:p w14:paraId="59A9A622" w14:textId="77777777" w:rsidR="005F4B44" w:rsidRPr="005F4B44" w:rsidRDefault="005F4B44" w:rsidP="005F4B44">
      <w:pPr>
        <w:spacing w:before="40" w:after="40" w:line="259" w:lineRule="auto"/>
        <w:rPr>
          <w:rFonts w:ascii="Calibri" w:eastAsia="細明體" w:hAnsi="Calibri"/>
          <w:sz w:val="22"/>
          <w:szCs w:val="22"/>
          <w:lang w:eastAsia="zh-CN"/>
        </w:rPr>
      </w:pPr>
    </w:p>
    <w:tbl>
      <w:tblPr>
        <w:tblW w:w="0" w:type="auto"/>
        <w:tblInd w:w="108" w:type="dxa"/>
        <w:tblLayout w:type="fixed"/>
        <w:tblLook w:val="0000" w:firstRow="0" w:lastRow="0" w:firstColumn="0" w:lastColumn="0" w:noHBand="0" w:noVBand="0"/>
      </w:tblPr>
      <w:tblGrid>
        <w:gridCol w:w="416"/>
        <w:gridCol w:w="2607"/>
        <w:gridCol w:w="642"/>
        <w:gridCol w:w="643"/>
        <w:gridCol w:w="643"/>
        <w:gridCol w:w="643"/>
        <w:gridCol w:w="643"/>
        <w:gridCol w:w="638"/>
        <w:gridCol w:w="638"/>
        <w:gridCol w:w="638"/>
        <w:gridCol w:w="638"/>
        <w:gridCol w:w="637"/>
        <w:gridCol w:w="638"/>
        <w:gridCol w:w="638"/>
        <w:gridCol w:w="638"/>
        <w:gridCol w:w="638"/>
        <w:gridCol w:w="638"/>
        <w:gridCol w:w="638"/>
        <w:gridCol w:w="658"/>
      </w:tblGrid>
      <w:tr w:rsidR="005F4B44" w:rsidRPr="005F4B44" w14:paraId="28501738" w14:textId="77777777" w:rsidTr="005F4B44">
        <w:trPr>
          <w:trHeight w:val="227"/>
          <w:tblHeader/>
        </w:trPr>
        <w:tc>
          <w:tcPr>
            <w:tcW w:w="416" w:type="dxa"/>
            <w:shd w:val="clear" w:color="auto" w:fill="auto"/>
          </w:tcPr>
          <w:p w14:paraId="5C574CC7" w14:textId="77777777" w:rsidR="005F4B44" w:rsidRPr="005F4B44" w:rsidRDefault="005F4B44" w:rsidP="000379F3">
            <w:pPr>
              <w:snapToGrid w:val="0"/>
              <w:spacing w:line="259" w:lineRule="auto"/>
              <w:ind w:left="-93" w:firstLine="93"/>
              <w:jc w:val="center"/>
              <w:rPr>
                <w:rFonts w:ascii="Calibri" w:eastAsia="細明體" w:hAnsi="Calibri"/>
                <w:color w:val="000000"/>
                <w:sz w:val="17"/>
                <w:szCs w:val="17"/>
                <w:lang w:eastAsia="zh-CN"/>
              </w:rPr>
            </w:pPr>
          </w:p>
        </w:tc>
        <w:tc>
          <w:tcPr>
            <w:tcW w:w="2607" w:type="dxa"/>
            <w:shd w:val="clear" w:color="auto" w:fill="auto"/>
            <w:vAlign w:val="bottom"/>
          </w:tcPr>
          <w:p w14:paraId="1C2953C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2" w:type="dxa"/>
            <w:tcBorders>
              <w:top w:val="single" w:sz="4" w:space="0" w:color="000000"/>
              <w:left w:val="single" w:sz="4" w:space="0" w:color="000000"/>
              <w:bottom w:val="single" w:sz="4" w:space="0" w:color="000000"/>
            </w:tcBorders>
            <w:shd w:val="clear" w:color="auto" w:fill="auto"/>
            <w:vAlign w:val="center"/>
          </w:tcPr>
          <w:p w14:paraId="787E9DFA"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(a)</w:t>
            </w:r>
          </w:p>
        </w:tc>
        <w:tc>
          <w:tcPr>
            <w:tcW w:w="643" w:type="dxa"/>
            <w:tcBorders>
              <w:top w:val="single" w:sz="4" w:space="0" w:color="000000"/>
              <w:left w:val="single" w:sz="4" w:space="0" w:color="000000"/>
              <w:bottom w:val="single" w:sz="4" w:space="0" w:color="000000"/>
            </w:tcBorders>
            <w:shd w:val="clear" w:color="auto" w:fill="auto"/>
            <w:vAlign w:val="center"/>
          </w:tcPr>
          <w:p w14:paraId="2C7F66A0"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(b)</w:t>
            </w:r>
          </w:p>
        </w:tc>
        <w:tc>
          <w:tcPr>
            <w:tcW w:w="643" w:type="dxa"/>
            <w:tcBorders>
              <w:top w:val="single" w:sz="4" w:space="0" w:color="000000"/>
              <w:left w:val="single" w:sz="4" w:space="0" w:color="000000"/>
              <w:bottom w:val="single" w:sz="4" w:space="0" w:color="000000"/>
            </w:tcBorders>
            <w:shd w:val="clear" w:color="auto" w:fill="auto"/>
            <w:vAlign w:val="center"/>
          </w:tcPr>
          <w:p w14:paraId="2E90C3B2"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(c)</w:t>
            </w:r>
          </w:p>
        </w:tc>
        <w:tc>
          <w:tcPr>
            <w:tcW w:w="643" w:type="dxa"/>
            <w:tcBorders>
              <w:top w:val="single" w:sz="4" w:space="0" w:color="000000"/>
              <w:left w:val="single" w:sz="4" w:space="0" w:color="000000"/>
              <w:bottom w:val="single" w:sz="4" w:space="0" w:color="000000"/>
            </w:tcBorders>
            <w:shd w:val="clear" w:color="auto" w:fill="auto"/>
            <w:vAlign w:val="center"/>
          </w:tcPr>
          <w:p w14:paraId="02B046A7"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(d)</w:t>
            </w:r>
          </w:p>
        </w:tc>
        <w:tc>
          <w:tcPr>
            <w:tcW w:w="643" w:type="dxa"/>
            <w:tcBorders>
              <w:top w:val="single" w:sz="4" w:space="0" w:color="000000"/>
              <w:left w:val="single" w:sz="4" w:space="0" w:color="000000"/>
              <w:bottom w:val="single" w:sz="4" w:space="0" w:color="000000"/>
            </w:tcBorders>
            <w:shd w:val="clear" w:color="auto" w:fill="auto"/>
            <w:vAlign w:val="center"/>
          </w:tcPr>
          <w:p w14:paraId="3F9336FB"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(e)</w:t>
            </w:r>
          </w:p>
        </w:tc>
        <w:tc>
          <w:tcPr>
            <w:tcW w:w="638" w:type="dxa"/>
            <w:tcBorders>
              <w:top w:val="single" w:sz="4" w:space="0" w:color="000000"/>
              <w:left w:val="single" w:sz="4" w:space="0" w:color="000000"/>
              <w:bottom w:val="single" w:sz="4" w:space="0" w:color="000000"/>
            </w:tcBorders>
            <w:shd w:val="clear" w:color="auto" w:fill="auto"/>
            <w:vAlign w:val="center"/>
          </w:tcPr>
          <w:p w14:paraId="0DB10B83"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(f)</w:t>
            </w:r>
          </w:p>
        </w:tc>
        <w:tc>
          <w:tcPr>
            <w:tcW w:w="638" w:type="dxa"/>
            <w:tcBorders>
              <w:top w:val="single" w:sz="4" w:space="0" w:color="000000"/>
              <w:left w:val="single" w:sz="4" w:space="0" w:color="000000"/>
              <w:bottom w:val="single" w:sz="4" w:space="0" w:color="000000"/>
            </w:tcBorders>
            <w:shd w:val="clear" w:color="auto" w:fill="auto"/>
            <w:vAlign w:val="center"/>
          </w:tcPr>
          <w:p w14:paraId="5C136047"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(g)</w:t>
            </w:r>
          </w:p>
        </w:tc>
        <w:tc>
          <w:tcPr>
            <w:tcW w:w="638" w:type="dxa"/>
            <w:tcBorders>
              <w:top w:val="single" w:sz="4" w:space="0" w:color="000000"/>
              <w:left w:val="single" w:sz="4" w:space="0" w:color="000000"/>
              <w:bottom w:val="single" w:sz="4" w:space="0" w:color="000000"/>
            </w:tcBorders>
            <w:shd w:val="clear" w:color="auto" w:fill="auto"/>
            <w:vAlign w:val="center"/>
          </w:tcPr>
          <w:p w14:paraId="6E616CC4"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(h)</w:t>
            </w:r>
          </w:p>
        </w:tc>
        <w:tc>
          <w:tcPr>
            <w:tcW w:w="638" w:type="dxa"/>
            <w:tcBorders>
              <w:top w:val="single" w:sz="4" w:space="0" w:color="000000"/>
              <w:left w:val="single" w:sz="4" w:space="0" w:color="000000"/>
              <w:bottom w:val="single" w:sz="4" w:space="0" w:color="000000"/>
            </w:tcBorders>
            <w:shd w:val="clear" w:color="auto" w:fill="auto"/>
            <w:vAlign w:val="center"/>
          </w:tcPr>
          <w:p w14:paraId="2A968767"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w:t>
            </w:r>
            <w:proofErr w:type="spellStart"/>
            <w:r w:rsidRPr="005F4B44">
              <w:rPr>
                <w:rFonts w:ascii="Calibri" w:eastAsia="細明體" w:hAnsi="Calibri"/>
                <w:color w:val="000000"/>
                <w:sz w:val="17"/>
                <w:szCs w:val="17"/>
                <w:lang w:eastAsia="zh-CN"/>
              </w:rPr>
              <w:t>i</w:t>
            </w:r>
            <w:proofErr w:type="spellEnd"/>
            <w:r w:rsidRPr="005F4B44">
              <w:rPr>
                <w:rFonts w:ascii="Calibri" w:eastAsia="細明體" w:hAnsi="Calibri"/>
                <w:color w:val="000000"/>
                <w:sz w:val="17"/>
                <w:szCs w:val="17"/>
                <w:lang w:eastAsia="zh-CN"/>
              </w:rPr>
              <w:t>)</w:t>
            </w:r>
          </w:p>
        </w:tc>
        <w:tc>
          <w:tcPr>
            <w:tcW w:w="637" w:type="dxa"/>
            <w:tcBorders>
              <w:top w:val="single" w:sz="4" w:space="0" w:color="000000"/>
              <w:left w:val="single" w:sz="4" w:space="0" w:color="000000"/>
              <w:bottom w:val="single" w:sz="4" w:space="0" w:color="000000"/>
            </w:tcBorders>
            <w:shd w:val="clear" w:color="auto" w:fill="auto"/>
            <w:vAlign w:val="center"/>
          </w:tcPr>
          <w:p w14:paraId="6BD538FB"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(j)</w:t>
            </w:r>
          </w:p>
        </w:tc>
        <w:tc>
          <w:tcPr>
            <w:tcW w:w="638" w:type="dxa"/>
            <w:tcBorders>
              <w:top w:val="single" w:sz="4" w:space="0" w:color="000000"/>
              <w:left w:val="single" w:sz="4" w:space="0" w:color="000000"/>
              <w:bottom w:val="single" w:sz="4" w:space="0" w:color="000000"/>
            </w:tcBorders>
            <w:shd w:val="clear" w:color="auto" w:fill="auto"/>
            <w:vAlign w:val="center"/>
          </w:tcPr>
          <w:p w14:paraId="6DF7E8B8"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(k)</w:t>
            </w:r>
          </w:p>
        </w:tc>
        <w:tc>
          <w:tcPr>
            <w:tcW w:w="638" w:type="dxa"/>
            <w:tcBorders>
              <w:top w:val="single" w:sz="4" w:space="0" w:color="000000"/>
              <w:left w:val="single" w:sz="4" w:space="0" w:color="000000"/>
              <w:bottom w:val="single" w:sz="4" w:space="0" w:color="000000"/>
            </w:tcBorders>
            <w:shd w:val="clear" w:color="auto" w:fill="auto"/>
            <w:vAlign w:val="center"/>
          </w:tcPr>
          <w:p w14:paraId="5AA7DEA4"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(l)</w:t>
            </w:r>
          </w:p>
        </w:tc>
        <w:tc>
          <w:tcPr>
            <w:tcW w:w="638" w:type="dxa"/>
            <w:tcBorders>
              <w:top w:val="single" w:sz="4" w:space="0" w:color="000000"/>
              <w:left w:val="single" w:sz="4" w:space="0" w:color="000000"/>
              <w:bottom w:val="single" w:sz="4" w:space="0" w:color="000000"/>
            </w:tcBorders>
            <w:shd w:val="clear" w:color="auto" w:fill="auto"/>
            <w:vAlign w:val="center"/>
          </w:tcPr>
          <w:p w14:paraId="751526E5"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(m)</w:t>
            </w:r>
          </w:p>
        </w:tc>
        <w:tc>
          <w:tcPr>
            <w:tcW w:w="638" w:type="dxa"/>
            <w:tcBorders>
              <w:top w:val="single" w:sz="4" w:space="0" w:color="000000"/>
              <w:left w:val="single" w:sz="4" w:space="0" w:color="000000"/>
              <w:bottom w:val="single" w:sz="4" w:space="0" w:color="000000"/>
            </w:tcBorders>
            <w:shd w:val="clear" w:color="auto" w:fill="auto"/>
            <w:vAlign w:val="center"/>
          </w:tcPr>
          <w:p w14:paraId="47821FEB"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(n)</w:t>
            </w:r>
          </w:p>
        </w:tc>
        <w:tc>
          <w:tcPr>
            <w:tcW w:w="638" w:type="dxa"/>
            <w:tcBorders>
              <w:top w:val="single" w:sz="4" w:space="0" w:color="000000"/>
              <w:left w:val="single" w:sz="4" w:space="0" w:color="000000"/>
              <w:bottom w:val="single" w:sz="4" w:space="0" w:color="000000"/>
            </w:tcBorders>
            <w:shd w:val="clear" w:color="auto" w:fill="auto"/>
            <w:vAlign w:val="center"/>
          </w:tcPr>
          <w:p w14:paraId="660F569B"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(o)</w:t>
            </w:r>
          </w:p>
        </w:tc>
        <w:tc>
          <w:tcPr>
            <w:tcW w:w="638" w:type="dxa"/>
            <w:tcBorders>
              <w:top w:val="single" w:sz="4" w:space="0" w:color="000000"/>
              <w:left w:val="single" w:sz="4" w:space="0" w:color="000000"/>
              <w:bottom w:val="single" w:sz="4" w:space="0" w:color="000000"/>
            </w:tcBorders>
            <w:shd w:val="clear" w:color="auto" w:fill="auto"/>
            <w:vAlign w:val="center"/>
          </w:tcPr>
          <w:p w14:paraId="757A6926"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(p)</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C5C5" w14:textId="77777777" w:rsidR="005F4B44" w:rsidRPr="005F4B44" w:rsidRDefault="005F4B44" w:rsidP="000379F3">
            <w:pPr>
              <w:snapToGrid w:val="0"/>
              <w:spacing w:line="259" w:lineRule="auto"/>
              <w:jc w:val="center"/>
              <w:rPr>
                <w:rFonts w:ascii="Calibri" w:eastAsia="新細明體" w:hAnsi="Calibri"/>
                <w:sz w:val="22"/>
                <w:szCs w:val="22"/>
                <w:lang w:eastAsia="zh-CN"/>
              </w:rPr>
            </w:pPr>
            <w:r w:rsidRPr="005F4B44">
              <w:rPr>
                <w:rFonts w:ascii="Calibri" w:eastAsia="細明體" w:hAnsi="Calibri"/>
                <w:color w:val="000000"/>
                <w:sz w:val="17"/>
                <w:szCs w:val="17"/>
                <w:lang w:eastAsia="zh-CN"/>
              </w:rPr>
              <w:t>(q)</w:t>
            </w:r>
          </w:p>
        </w:tc>
      </w:tr>
      <w:tr w:rsidR="005F4B44" w:rsidRPr="005F4B44" w14:paraId="45791B84" w14:textId="77777777" w:rsidTr="00E34095">
        <w:trPr>
          <w:trHeight w:val="254"/>
          <w:tblHeader/>
        </w:trPr>
        <w:tc>
          <w:tcPr>
            <w:tcW w:w="416" w:type="dxa"/>
            <w:shd w:val="clear" w:color="auto" w:fill="auto"/>
          </w:tcPr>
          <w:p w14:paraId="2397948A"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p>
        </w:tc>
        <w:tc>
          <w:tcPr>
            <w:tcW w:w="2607" w:type="dxa"/>
            <w:shd w:val="clear" w:color="auto" w:fill="auto"/>
            <w:vAlign w:val="center"/>
          </w:tcPr>
          <w:p w14:paraId="092A39C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3214" w:type="dxa"/>
            <w:gridSpan w:val="5"/>
            <w:tcBorders>
              <w:top w:val="single" w:sz="4" w:space="0" w:color="000000"/>
              <w:left w:val="single" w:sz="4" w:space="0" w:color="000000"/>
              <w:bottom w:val="single" w:sz="4" w:space="0" w:color="000000"/>
            </w:tcBorders>
            <w:shd w:val="clear" w:color="auto" w:fill="auto"/>
            <w:vAlign w:val="center"/>
          </w:tcPr>
          <w:p w14:paraId="33F6E08E" w14:textId="77777777" w:rsidR="005F4B44" w:rsidRPr="005F4B44" w:rsidRDefault="005F4B44" w:rsidP="000379F3">
            <w:pPr>
              <w:snapToGrid w:val="0"/>
              <w:spacing w:before="20" w:line="259" w:lineRule="auto"/>
              <w:jc w:val="center"/>
              <w:rPr>
                <w:rFonts w:ascii="Calibri" w:eastAsia="細明體" w:hAnsi="Calibri"/>
                <w:sz w:val="17"/>
                <w:szCs w:val="17"/>
                <w:lang w:eastAsia="zh-TW"/>
              </w:rPr>
            </w:pPr>
            <w:r w:rsidRPr="005F4B44">
              <w:rPr>
                <w:rFonts w:ascii="Calibri" w:eastAsia="細明體" w:hAnsi="Calibri" w:hint="eastAsia"/>
                <w:color w:val="000000"/>
                <w:sz w:val="17"/>
                <w:szCs w:val="17"/>
                <w:lang w:eastAsia="zh-TW"/>
              </w:rPr>
              <w:t>風險承擔值（按風險權重</w:t>
            </w:r>
            <w:r w:rsidRPr="005F4B44">
              <w:rPr>
                <w:rFonts w:ascii="Calibri" w:eastAsia="細明體" w:hAnsi="Calibri" w:hint="eastAsia"/>
                <w:color w:val="000000"/>
                <w:sz w:val="17"/>
                <w:szCs w:val="17"/>
                <w:lang w:eastAsia="zh-TW"/>
              </w:rPr>
              <w:t>(RW)</w:t>
            </w:r>
            <w:r w:rsidRPr="005F4B44">
              <w:rPr>
                <w:rFonts w:ascii="Calibri" w:eastAsia="細明體" w:hAnsi="Calibri" w:hint="eastAsia"/>
                <w:color w:val="000000"/>
                <w:sz w:val="17"/>
                <w:szCs w:val="17"/>
                <w:lang w:eastAsia="zh-TW"/>
              </w:rPr>
              <w:t>組別）</w:t>
            </w:r>
          </w:p>
        </w:tc>
        <w:tc>
          <w:tcPr>
            <w:tcW w:w="2552" w:type="dxa"/>
            <w:gridSpan w:val="4"/>
            <w:tcBorders>
              <w:top w:val="single" w:sz="4" w:space="0" w:color="000000"/>
              <w:left w:val="single" w:sz="4" w:space="0" w:color="000000"/>
              <w:bottom w:val="single" w:sz="4" w:space="0" w:color="000000"/>
            </w:tcBorders>
            <w:shd w:val="clear" w:color="auto" w:fill="auto"/>
            <w:vAlign w:val="center"/>
          </w:tcPr>
          <w:p w14:paraId="211184F3" w14:textId="77777777" w:rsidR="005F4B44" w:rsidRPr="005F4B44" w:rsidRDefault="005F4B44" w:rsidP="000379F3">
            <w:pPr>
              <w:snapToGrid w:val="0"/>
              <w:spacing w:before="20" w:line="259" w:lineRule="auto"/>
              <w:jc w:val="center"/>
              <w:rPr>
                <w:rFonts w:ascii="Calibri" w:eastAsia="細明體" w:hAnsi="Calibri"/>
                <w:sz w:val="17"/>
                <w:szCs w:val="17"/>
                <w:lang w:eastAsia="zh-TW"/>
              </w:rPr>
            </w:pPr>
            <w:r w:rsidRPr="005F4B44">
              <w:rPr>
                <w:rFonts w:ascii="Calibri" w:eastAsia="細明體" w:hAnsi="Calibri" w:hint="eastAsia"/>
                <w:sz w:val="17"/>
                <w:szCs w:val="17"/>
                <w:lang w:eastAsia="zh-TW"/>
              </w:rPr>
              <w:t>風險承擔值</w:t>
            </w:r>
          </w:p>
          <w:p w14:paraId="38261E31" w14:textId="77777777" w:rsidR="005F4B44" w:rsidRPr="005F4B44" w:rsidRDefault="005F4B44" w:rsidP="000379F3">
            <w:pPr>
              <w:snapToGrid w:val="0"/>
              <w:spacing w:before="20" w:line="259" w:lineRule="auto"/>
              <w:jc w:val="center"/>
              <w:rPr>
                <w:rFonts w:ascii="Calibri" w:eastAsia="細明體" w:hAnsi="Calibri"/>
                <w:sz w:val="17"/>
                <w:szCs w:val="22"/>
                <w:lang w:eastAsia="zh-TW"/>
              </w:rPr>
            </w:pPr>
            <w:r w:rsidRPr="005F4B44">
              <w:rPr>
                <w:rFonts w:ascii="Calibri" w:eastAsia="細明體" w:hAnsi="Calibri" w:hint="eastAsia"/>
                <w:sz w:val="17"/>
                <w:szCs w:val="17"/>
                <w:lang w:eastAsia="zh-TW"/>
              </w:rPr>
              <w:t>（按監管計算法）</w:t>
            </w:r>
          </w:p>
        </w:tc>
        <w:tc>
          <w:tcPr>
            <w:tcW w:w="2551" w:type="dxa"/>
            <w:gridSpan w:val="4"/>
            <w:tcBorders>
              <w:top w:val="single" w:sz="4" w:space="0" w:color="C0C0C0"/>
              <w:left w:val="single" w:sz="4" w:space="0" w:color="000000"/>
              <w:bottom w:val="single" w:sz="4" w:space="0" w:color="000000"/>
            </w:tcBorders>
            <w:shd w:val="clear" w:color="auto" w:fill="auto"/>
            <w:vAlign w:val="center"/>
          </w:tcPr>
          <w:p w14:paraId="29611552" w14:textId="77777777" w:rsidR="005F4B44" w:rsidRPr="005F4B44" w:rsidRDefault="005F4B44" w:rsidP="000379F3">
            <w:pPr>
              <w:snapToGrid w:val="0"/>
              <w:spacing w:before="20" w:line="259" w:lineRule="auto"/>
              <w:jc w:val="center"/>
              <w:rPr>
                <w:rFonts w:ascii="Calibri" w:eastAsia="細明體" w:hAnsi="Calibri"/>
                <w:sz w:val="17"/>
                <w:szCs w:val="17"/>
                <w:lang w:eastAsia="zh-TW"/>
              </w:rPr>
            </w:pPr>
            <w:r w:rsidRPr="005F4B44">
              <w:rPr>
                <w:rFonts w:ascii="Calibri" w:eastAsia="細明體" w:hAnsi="Calibri" w:hint="eastAsia"/>
                <w:sz w:val="17"/>
                <w:szCs w:val="22"/>
                <w:lang w:eastAsia="zh-TW"/>
              </w:rPr>
              <w:t>風險加權數額</w:t>
            </w:r>
          </w:p>
          <w:p w14:paraId="0C7BA443" w14:textId="77777777" w:rsidR="005F4B44" w:rsidRPr="005F4B44" w:rsidRDefault="005F4B44" w:rsidP="000379F3">
            <w:pPr>
              <w:snapToGrid w:val="0"/>
              <w:spacing w:before="20" w:line="259" w:lineRule="auto"/>
              <w:jc w:val="center"/>
              <w:rPr>
                <w:rFonts w:ascii="Calibri" w:eastAsia="細明體" w:hAnsi="Calibri"/>
                <w:sz w:val="17"/>
                <w:szCs w:val="17"/>
                <w:lang w:eastAsia="zh-TW"/>
              </w:rPr>
            </w:pPr>
            <w:r w:rsidRPr="005F4B44">
              <w:rPr>
                <w:rFonts w:ascii="Calibri" w:eastAsia="細明體" w:hAnsi="Calibri" w:hint="eastAsia"/>
                <w:sz w:val="17"/>
                <w:szCs w:val="17"/>
                <w:lang w:eastAsia="zh-TW"/>
              </w:rPr>
              <w:t>（按監管計算法）</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595E07" w14:textId="77777777" w:rsidR="005F4B44" w:rsidRPr="005F4B44" w:rsidRDefault="005F4B44" w:rsidP="000379F3">
            <w:pPr>
              <w:snapToGrid w:val="0"/>
              <w:spacing w:before="20" w:line="259" w:lineRule="auto"/>
              <w:jc w:val="center"/>
              <w:rPr>
                <w:rFonts w:ascii="Calibri" w:eastAsia="新細明體" w:hAnsi="Calibri"/>
                <w:sz w:val="22"/>
                <w:szCs w:val="22"/>
                <w:lang w:eastAsia="zh-TW"/>
              </w:rPr>
            </w:pPr>
            <w:r w:rsidRPr="005F4B44">
              <w:rPr>
                <w:rFonts w:ascii="Calibri" w:eastAsia="細明體" w:hAnsi="Calibri" w:hint="eastAsia"/>
                <w:sz w:val="17"/>
                <w:szCs w:val="17"/>
                <w:lang w:eastAsia="zh-TW"/>
              </w:rPr>
              <w:t>應用上限後的資本要求</w:t>
            </w:r>
          </w:p>
        </w:tc>
      </w:tr>
      <w:tr w:rsidR="005F4B44" w:rsidRPr="005F4B44" w14:paraId="43B2C1B3" w14:textId="77777777" w:rsidTr="00E34095">
        <w:trPr>
          <w:cantSplit/>
          <w:trHeight w:val="882"/>
          <w:tblHeader/>
        </w:trPr>
        <w:tc>
          <w:tcPr>
            <w:tcW w:w="416" w:type="dxa"/>
            <w:tcBorders>
              <w:bottom w:val="single" w:sz="4" w:space="0" w:color="000000"/>
            </w:tcBorders>
            <w:shd w:val="clear" w:color="auto" w:fill="auto"/>
            <w:textDirection w:val="btLr"/>
          </w:tcPr>
          <w:p w14:paraId="52218339" w14:textId="77777777" w:rsidR="005F4B44" w:rsidRPr="005F4B44" w:rsidRDefault="005F4B44" w:rsidP="000379F3">
            <w:pPr>
              <w:snapToGrid w:val="0"/>
              <w:spacing w:line="259" w:lineRule="auto"/>
              <w:ind w:left="113" w:right="113"/>
              <w:jc w:val="center"/>
              <w:rPr>
                <w:rFonts w:ascii="Calibri" w:eastAsia="細明體" w:hAnsi="Calibri"/>
                <w:color w:val="000000"/>
                <w:sz w:val="17"/>
                <w:szCs w:val="17"/>
                <w:lang w:eastAsia="zh-TW"/>
              </w:rPr>
            </w:pPr>
          </w:p>
        </w:tc>
        <w:tc>
          <w:tcPr>
            <w:tcW w:w="2607" w:type="dxa"/>
            <w:tcBorders>
              <w:bottom w:val="single" w:sz="4" w:space="0" w:color="000000"/>
            </w:tcBorders>
            <w:shd w:val="clear" w:color="auto" w:fill="auto"/>
            <w:textDirection w:val="btLr"/>
            <w:vAlign w:val="bottom"/>
          </w:tcPr>
          <w:p w14:paraId="6AB40D9A" w14:textId="77777777" w:rsidR="005F4B44" w:rsidRPr="005F4B44" w:rsidRDefault="005F4B44" w:rsidP="000379F3">
            <w:pPr>
              <w:snapToGrid w:val="0"/>
              <w:spacing w:line="259" w:lineRule="auto"/>
              <w:ind w:left="113" w:right="113"/>
              <w:rPr>
                <w:rFonts w:ascii="Calibri" w:eastAsia="細明體" w:hAnsi="Calibri"/>
                <w:color w:val="000000"/>
                <w:sz w:val="17"/>
                <w:szCs w:val="17"/>
                <w:lang w:eastAsia="zh-TW"/>
              </w:rPr>
            </w:pPr>
          </w:p>
        </w:tc>
        <w:tc>
          <w:tcPr>
            <w:tcW w:w="642" w:type="dxa"/>
            <w:tcBorders>
              <w:top w:val="single" w:sz="4" w:space="0" w:color="000000"/>
              <w:left w:val="single" w:sz="4" w:space="0" w:color="000000"/>
              <w:bottom w:val="single" w:sz="4" w:space="0" w:color="000000"/>
            </w:tcBorders>
            <w:shd w:val="clear" w:color="auto" w:fill="auto"/>
            <w:textDirection w:val="btLr"/>
            <w:vAlign w:val="center"/>
          </w:tcPr>
          <w:p w14:paraId="187ABC5E"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SimSun" w:hAnsi="Calibri"/>
                <w:color w:val="000000"/>
                <w:sz w:val="15"/>
                <w:szCs w:val="15"/>
                <w:lang w:eastAsia="zh-CN"/>
              </w:rPr>
              <w:t>≤</w:t>
            </w:r>
            <w:r w:rsidRPr="005F4B44">
              <w:rPr>
                <w:rFonts w:ascii="Calibri" w:eastAsia="細明體" w:hAnsi="Calibri"/>
                <w:color w:val="000000"/>
                <w:sz w:val="15"/>
                <w:szCs w:val="15"/>
                <w:lang w:eastAsia="zh-CN"/>
              </w:rPr>
              <w:t>20%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37991972"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color w:val="000000"/>
                <w:sz w:val="15"/>
                <w:szCs w:val="15"/>
                <w:lang w:eastAsia="zh-CN"/>
              </w:rPr>
              <w:t>&gt;20%</w:t>
            </w:r>
            <w:r w:rsidRPr="005F4B44">
              <w:rPr>
                <w:rFonts w:ascii="Calibri" w:eastAsia="細明體" w:hAnsi="Calibri" w:hint="eastAsia"/>
                <w:color w:val="000000"/>
                <w:sz w:val="15"/>
                <w:szCs w:val="15"/>
                <w:lang w:eastAsia="zh-CN"/>
              </w:rPr>
              <w:t>至</w:t>
            </w:r>
            <w:r w:rsidRPr="005F4B44">
              <w:rPr>
                <w:rFonts w:ascii="Calibri" w:eastAsia="細明體" w:hAnsi="Calibri"/>
                <w:color w:val="000000"/>
                <w:sz w:val="15"/>
                <w:szCs w:val="15"/>
                <w:lang w:eastAsia="zh-CN"/>
              </w:rPr>
              <w:t>50%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07720634"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color w:val="000000"/>
                <w:sz w:val="15"/>
                <w:szCs w:val="15"/>
                <w:lang w:eastAsia="zh-CN"/>
              </w:rPr>
              <w:t>&gt;50%</w:t>
            </w:r>
            <w:r w:rsidRPr="005F4B44">
              <w:rPr>
                <w:rFonts w:ascii="Calibri" w:eastAsia="細明體" w:hAnsi="Calibri" w:hint="eastAsia"/>
                <w:color w:val="000000"/>
                <w:sz w:val="15"/>
                <w:szCs w:val="15"/>
                <w:lang w:eastAsia="zh-CN"/>
              </w:rPr>
              <w:t>至</w:t>
            </w:r>
            <w:r w:rsidRPr="005F4B44">
              <w:rPr>
                <w:rFonts w:ascii="Calibri" w:eastAsia="細明體" w:hAnsi="Calibri"/>
                <w:color w:val="000000"/>
                <w:sz w:val="15"/>
                <w:szCs w:val="15"/>
                <w:lang w:eastAsia="zh-CN"/>
              </w:rPr>
              <w:t>100%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3C64BFEC" w14:textId="77777777" w:rsidR="005F4B44" w:rsidRPr="00E34095" w:rsidRDefault="005F4B44" w:rsidP="00E34095">
            <w:pPr>
              <w:snapToGrid w:val="0"/>
              <w:spacing w:line="120" w:lineRule="atLeast"/>
              <w:ind w:left="113" w:right="113"/>
              <w:rPr>
                <w:rFonts w:ascii="Calibri" w:eastAsia="細明體" w:hAnsi="Calibri"/>
                <w:color w:val="000000"/>
                <w:sz w:val="14"/>
                <w:szCs w:val="14"/>
                <w:lang w:eastAsia="zh-CN"/>
              </w:rPr>
            </w:pPr>
            <w:r w:rsidRPr="00E34095">
              <w:rPr>
                <w:rFonts w:ascii="Calibri" w:eastAsia="細明體" w:hAnsi="Calibri"/>
                <w:color w:val="000000"/>
                <w:sz w:val="14"/>
                <w:szCs w:val="14"/>
                <w:lang w:eastAsia="zh-CN"/>
              </w:rPr>
              <w:t>&gt;100%</w:t>
            </w:r>
            <w:r w:rsidRPr="00E34095">
              <w:rPr>
                <w:rFonts w:ascii="Calibri" w:eastAsia="細明體" w:hAnsi="Calibri" w:hint="eastAsia"/>
                <w:color w:val="000000"/>
                <w:sz w:val="14"/>
                <w:szCs w:val="14"/>
                <w:lang w:eastAsia="zh-CN"/>
              </w:rPr>
              <w:t>至</w:t>
            </w:r>
            <w:r w:rsidRPr="00E34095">
              <w:rPr>
                <w:rFonts w:ascii="Calibri" w:eastAsia="細明體" w:hAnsi="Calibri"/>
                <w:color w:val="000000"/>
                <w:sz w:val="14"/>
                <w:szCs w:val="14"/>
                <w:lang w:eastAsia="zh-CN"/>
              </w:rPr>
              <w:t>&lt;1250%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0023A212"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color w:val="000000"/>
                <w:sz w:val="15"/>
                <w:szCs w:val="15"/>
                <w:lang w:eastAsia="zh-CN"/>
              </w:rPr>
              <w:t>1250% RW</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720D3E24"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SEC-IRBA</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0115CE5D" w14:textId="6365245F" w:rsidR="005F4B44" w:rsidRPr="005F4B44" w:rsidRDefault="005F4B44" w:rsidP="002F3D32">
            <w:pPr>
              <w:snapToGrid w:val="0"/>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SEC-ERBA</w:t>
            </w:r>
            <w:r w:rsidR="002F3D32">
              <w:rPr>
                <w:rFonts w:ascii="Calibri" w:eastAsia="細明體" w:hAnsi="Calibri"/>
                <w:color w:val="000000"/>
                <w:sz w:val="15"/>
                <w:szCs w:val="15"/>
                <w:lang w:eastAsia="zh-TW"/>
              </w:rPr>
              <w:t xml:space="preserve"> (</w:t>
            </w:r>
            <w:r w:rsidRPr="00E34095">
              <w:rPr>
                <w:rFonts w:ascii="Calibri" w:eastAsia="細明體" w:hAnsi="Calibri" w:hint="eastAsia"/>
                <w:color w:val="000000"/>
                <w:sz w:val="14"/>
                <w:szCs w:val="14"/>
                <w:lang w:eastAsia="zh-TW"/>
              </w:rPr>
              <w:t>包括</w:t>
            </w:r>
            <w:r w:rsidRPr="00E34095">
              <w:rPr>
                <w:rFonts w:ascii="Calibri" w:eastAsia="細明體" w:hAnsi="Calibri"/>
                <w:color w:val="000000"/>
                <w:sz w:val="14"/>
                <w:szCs w:val="14"/>
                <w:lang w:eastAsia="zh-TW"/>
              </w:rPr>
              <w:t>IAA</w:t>
            </w:r>
            <w:r w:rsidR="002F3D32">
              <w:rPr>
                <w:rFonts w:ascii="Calibri" w:eastAsia="細明體" w:hAnsi="Calibri"/>
                <w:color w:val="000000"/>
                <w:sz w:val="14"/>
                <w:szCs w:val="14"/>
                <w:lang w:eastAsia="zh-TW"/>
              </w:rPr>
              <w:t>)</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3C9A7B36"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TW"/>
              </w:rPr>
            </w:pPr>
            <w:r w:rsidRPr="005F4B44">
              <w:rPr>
                <w:rFonts w:ascii="Calibri" w:eastAsia="細明體" w:hAnsi="Calibri" w:hint="eastAsia"/>
                <w:color w:val="000000"/>
                <w:sz w:val="15"/>
                <w:szCs w:val="15"/>
                <w:lang w:eastAsia="zh-TW"/>
              </w:rPr>
              <w:t>SEC-SA</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0D758DA7"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TW"/>
              </w:rPr>
            </w:pPr>
            <w:r w:rsidRPr="005F4B44">
              <w:rPr>
                <w:rFonts w:ascii="Calibri" w:eastAsia="細明體" w:hAnsi="Calibri" w:hint="eastAsia"/>
                <w:color w:val="000000"/>
                <w:sz w:val="15"/>
                <w:szCs w:val="15"/>
                <w:lang w:eastAsia="zh-TW"/>
              </w:rPr>
              <w:t>SEC-FBA</w:t>
            </w:r>
          </w:p>
        </w:tc>
        <w:tc>
          <w:tcPr>
            <w:tcW w:w="637" w:type="dxa"/>
            <w:tcBorders>
              <w:top w:val="single" w:sz="4" w:space="0" w:color="000000"/>
              <w:left w:val="single" w:sz="4" w:space="0" w:color="000000"/>
              <w:bottom w:val="single" w:sz="4" w:space="0" w:color="000000"/>
            </w:tcBorders>
            <w:shd w:val="clear" w:color="auto" w:fill="auto"/>
            <w:textDirection w:val="btLr"/>
            <w:vAlign w:val="center"/>
          </w:tcPr>
          <w:p w14:paraId="71C80619"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SEC-IRBA</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219EE365" w14:textId="3621AFF7" w:rsidR="005F4B44" w:rsidRPr="002F3D32" w:rsidRDefault="005F4B44" w:rsidP="002F3D32">
            <w:pPr>
              <w:snapToGrid w:val="0"/>
              <w:spacing w:line="120" w:lineRule="atLeast"/>
              <w:ind w:left="113" w:right="113"/>
              <w:rPr>
                <w:rFonts w:ascii="Calibri" w:eastAsia="細明體" w:hAnsi="Calibri"/>
                <w:color w:val="000000"/>
                <w:sz w:val="15"/>
                <w:szCs w:val="15"/>
                <w:lang w:val="es-ES" w:eastAsia="zh-CN"/>
              </w:rPr>
            </w:pPr>
            <w:r w:rsidRPr="002F3D32">
              <w:rPr>
                <w:rFonts w:ascii="Calibri" w:eastAsia="細明體" w:hAnsi="Calibri" w:hint="eastAsia"/>
                <w:color w:val="000000"/>
                <w:sz w:val="15"/>
                <w:szCs w:val="15"/>
                <w:lang w:val="es-ES" w:eastAsia="zh-TW"/>
              </w:rPr>
              <w:t>SEC-ERBA</w:t>
            </w:r>
            <w:r w:rsidR="002F3D32">
              <w:rPr>
                <w:rFonts w:ascii="Calibri" w:eastAsia="細明體" w:hAnsi="Calibri"/>
                <w:color w:val="000000"/>
                <w:sz w:val="15"/>
                <w:szCs w:val="15"/>
                <w:lang w:val="es-ES" w:eastAsia="zh-TW"/>
              </w:rPr>
              <w:t xml:space="preserve"> </w:t>
            </w:r>
            <w:r w:rsidR="002F3D32" w:rsidRPr="002F3D32">
              <w:rPr>
                <w:rFonts w:ascii="Calibri" w:eastAsia="細明體" w:hAnsi="Calibri"/>
                <w:color w:val="000000"/>
                <w:sz w:val="15"/>
                <w:szCs w:val="15"/>
                <w:lang w:val="es-ES" w:eastAsia="zh-TW"/>
              </w:rPr>
              <w:t>(</w:t>
            </w:r>
            <w:r w:rsidRPr="00E34095">
              <w:rPr>
                <w:rFonts w:ascii="Calibri" w:eastAsia="細明體" w:hAnsi="Calibri" w:hint="eastAsia"/>
                <w:color w:val="000000"/>
                <w:sz w:val="14"/>
                <w:szCs w:val="14"/>
                <w:lang w:eastAsia="zh-TW"/>
              </w:rPr>
              <w:t>包括</w:t>
            </w:r>
            <w:r w:rsidRPr="002F3D32">
              <w:rPr>
                <w:rFonts w:ascii="Calibri" w:eastAsia="細明體" w:hAnsi="Calibri"/>
                <w:color w:val="000000"/>
                <w:sz w:val="14"/>
                <w:szCs w:val="14"/>
                <w:lang w:val="es-ES" w:eastAsia="zh-TW"/>
              </w:rPr>
              <w:t>IAA</w:t>
            </w:r>
            <w:r w:rsidR="002F3D32">
              <w:rPr>
                <w:rFonts w:ascii="Calibri" w:eastAsia="細明體" w:hAnsi="Calibri"/>
                <w:color w:val="000000"/>
                <w:sz w:val="14"/>
                <w:szCs w:val="14"/>
                <w:lang w:val="es-ES" w:eastAsia="zh-TW"/>
              </w:rPr>
              <w:t>)</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67866C56"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SEC-SA</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2AF7067F"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SEC-FBA</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61C0F526"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SEC-IRBA</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4289A9CA" w14:textId="7C949A92" w:rsidR="005F4B44" w:rsidRPr="005F4B44" w:rsidRDefault="005F4B44" w:rsidP="002F3D32">
            <w:pPr>
              <w:snapToGrid w:val="0"/>
              <w:spacing w:line="120" w:lineRule="atLeast"/>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SEC-ERBA</w:t>
            </w:r>
            <w:r w:rsidR="002F3D32">
              <w:rPr>
                <w:rFonts w:ascii="Calibri" w:eastAsia="細明體" w:hAnsi="Calibri"/>
                <w:color w:val="000000"/>
                <w:sz w:val="15"/>
                <w:szCs w:val="15"/>
                <w:lang w:eastAsia="zh-TW"/>
              </w:rPr>
              <w:t xml:space="preserve"> (</w:t>
            </w:r>
            <w:r w:rsidRPr="00E34095">
              <w:rPr>
                <w:rFonts w:ascii="Calibri" w:eastAsia="細明體" w:hAnsi="Calibri" w:hint="eastAsia"/>
                <w:color w:val="000000"/>
                <w:sz w:val="14"/>
                <w:szCs w:val="14"/>
                <w:lang w:eastAsia="zh-TW"/>
              </w:rPr>
              <w:t>包括</w:t>
            </w:r>
            <w:r w:rsidRPr="00E34095">
              <w:rPr>
                <w:rFonts w:ascii="Calibri" w:eastAsia="細明體" w:hAnsi="Calibri"/>
                <w:color w:val="000000"/>
                <w:sz w:val="14"/>
                <w:szCs w:val="14"/>
                <w:lang w:eastAsia="zh-TW"/>
              </w:rPr>
              <w:t>IAA</w:t>
            </w:r>
            <w:r w:rsidR="002F3D32">
              <w:rPr>
                <w:rFonts w:ascii="Calibri" w:eastAsia="細明體" w:hAnsi="Calibri"/>
                <w:color w:val="000000"/>
                <w:sz w:val="14"/>
                <w:szCs w:val="14"/>
                <w:lang w:eastAsia="zh-TW"/>
              </w:rPr>
              <w:t>)</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3643954E" w14:textId="77777777" w:rsidR="005F4B44" w:rsidRPr="005F4B44" w:rsidRDefault="005F4B44" w:rsidP="000379F3">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SEC-SA</w:t>
            </w:r>
          </w:p>
        </w:tc>
        <w:tc>
          <w:tcPr>
            <w:tcW w:w="65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9C3B2E4" w14:textId="77777777" w:rsidR="005F4B44" w:rsidRPr="005F4B44" w:rsidRDefault="005F4B44" w:rsidP="000379F3">
            <w:pPr>
              <w:snapToGrid w:val="0"/>
              <w:spacing w:line="259" w:lineRule="auto"/>
              <w:ind w:left="113" w:right="113"/>
              <w:rPr>
                <w:rFonts w:ascii="Calibri" w:eastAsia="新細明體" w:hAnsi="Calibri"/>
                <w:sz w:val="22"/>
                <w:szCs w:val="22"/>
                <w:lang w:eastAsia="zh-CN"/>
              </w:rPr>
            </w:pPr>
            <w:r w:rsidRPr="005F4B44">
              <w:rPr>
                <w:rFonts w:ascii="Calibri" w:eastAsia="細明體" w:hAnsi="Calibri" w:hint="eastAsia"/>
                <w:color w:val="000000"/>
                <w:sz w:val="15"/>
                <w:szCs w:val="15"/>
                <w:lang w:eastAsia="zh-TW"/>
              </w:rPr>
              <w:t>SEC-FBA</w:t>
            </w:r>
          </w:p>
        </w:tc>
      </w:tr>
      <w:tr w:rsidR="005F4B44" w:rsidRPr="005F4B44" w14:paraId="37D7DD3F" w14:textId="77777777" w:rsidTr="00E34095">
        <w:trPr>
          <w:cantSplit/>
          <w:trHeight w:val="23"/>
        </w:trPr>
        <w:tc>
          <w:tcPr>
            <w:tcW w:w="416" w:type="dxa"/>
            <w:tcBorders>
              <w:top w:val="single" w:sz="4" w:space="0" w:color="000000"/>
              <w:bottom w:val="single" w:sz="4" w:space="0" w:color="C0C0C0"/>
            </w:tcBorders>
            <w:shd w:val="clear" w:color="auto" w:fill="auto"/>
          </w:tcPr>
          <w:p w14:paraId="3BBDC6F2" w14:textId="77777777" w:rsidR="005F4B44" w:rsidRPr="005F4B44" w:rsidRDefault="005F4B44" w:rsidP="000379F3">
            <w:pPr>
              <w:snapToGrid w:val="0"/>
              <w:spacing w:line="259" w:lineRule="auto"/>
              <w:jc w:val="center"/>
              <w:rPr>
                <w:rFonts w:ascii="Calibri" w:eastAsia="細明體" w:hAnsi="Calibri"/>
                <w:b/>
                <w:color w:val="000000"/>
                <w:sz w:val="17"/>
                <w:szCs w:val="17"/>
                <w:lang w:eastAsia="zh-CN"/>
              </w:rPr>
            </w:pPr>
            <w:r w:rsidRPr="005F4B44">
              <w:rPr>
                <w:rFonts w:ascii="Calibri" w:eastAsia="細明體" w:hAnsi="Calibri"/>
                <w:b/>
                <w:color w:val="000000"/>
                <w:sz w:val="17"/>
                <w:szCs w:val="17"/>
                <w:lang w:eastAsia="zh-CN"/>
              </w:rPr>
              <w:t>1</w:t>
            </w:r>
          </w:p>
        </w:tc>
        <w:tc>
          <w:tcPr>
            <w:tcW w:w="2607" w:type="dxa"/>
            <w:tcBorders>
              <w:top w:val="single" w:sz="4" w:space="0" w:color="000000"/>
              <w:left w:val="single" w:sz="4" w:space="0" w:color="C0C0C0"/>
              <w:bottom w:val="single" w:sz="4" w:space="0" w:color="C0C0C0"/>
            </w:tcBorders>
            <w:shd w:val="clear" w:color="auto" w:fill="auto"/>
            <w:vAlign w:val="bottom"/>
          </w:tcPr>
          <w:p w14:paraId="7A86005C" w14:textId="77777777" w:rsidR="005F4B44" w:rsidRPr="005F4B44" w:rsidRDefault="005F4B44" w:rsidP="000379F3">
            <w:pPr>
              <w:snapToGrid w:val="0"/>
              <w:spacing w:line="259" w:lineRule="auto"/>
              <w:rPr>
                <w:rFonts w:ascii="Calibri" w:eastAsia="細明體" w:hAnsi="Calibri"/>
                <w:color w:val="000000"/>
                <w:sz w:val="17"/>
                <w:szCs w:val="17"/>
                <w:lang w:eastAsia="zh-CN"/>
              </w:rPr>
            </w:pPr>
            <w:r w:rsidRPr="005F4B44">
              <w:rPr>
                <w:rFonts w:ascii="Calibri" w:eastAsia="細明體" w:hAnsi="Calibri" w:hint="eastAsia"/>
                <w:b/>
                <w:color w:val="000000"/>
                <w:sz w:val="17"/>
                <w:szCs w:val="17"/>
                <w:lang w:eastAsia="zh-CN"/>
              </w:rPr>
              <w:t>風險承</w:t>
            </w:r>
            <w:proofErr w:type="gramStart"/>
            <w:r w:rsidRPr="005F4B44">
              <w:rPr>
                <w:rFonts w:ascii="Calibri" w:eastAsia="細明體" w:hAnsi="Calibri" w:hint="eastAsia"/>
                <w:b/>
                <w:color w:val="000000"/>
                <w:sz w:val="17"/>
                <w:szCs w:val="17"/>
                <w:lang w:eastAsia="zh-CN"/>
              </w:rPr>
              <w:t>擔</w:t>
            </w:r>
            <w:proofErr w:type="gramEnd"/>
            <w:r w:rsidRPr="005F4B44">
              <w:rPr>
                <w:rFonts w:ascii="Calibri" w:eastAsia="細明體" w:hAnsi="Calibri" w:hint="eastAsia"/>
                <w:b/>
                <w:color w:val="000000"/>
                <w:sz w:val="17"/>
                <w:szCs w:val="17"/>
                <w:lang w:eastAsia="zh-CN"/>
              </w:rPr>
              <w:t>總額</w:t>
            </w:r>
          </w:p>
        </w:tc>
        <w:tc>
          <w:tcPr>
            <w:tcW w:w="642" w:type="dxa"/>
            <w:tcBorders>
              <w:top w:val="single" w:sz="4" w:space="0" w:color="000000"/>
              <w:left w:val="single" w:sz="4" w:space="0" w:color="000000"/>
              <w:bottom w:val="single" w:sz="4" w:space="0" w:color="C0C0C0"/>
            </w:tcBorders>
            <w:shd w:val="clear" w:color="auto" w:fill="auto"/>
            <w:vAlign w:val="bottom"/>
          </w:tcPr>
          <w:p w14:paraId="01C8D072"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0FF1652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3AC35F4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742B98F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4797F19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2B1C91D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02149AD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6B85C00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052427F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000000"/>
              <w:left w:val="single" w:sz="4" w:space="0" w:color="000000"/>
              <w:bottom w:val="single" w:sz="4" w:space="0" w:color="C0C0C0"/>
            </w:tcBorders>
            <w:shd w:val="clear" w:color="auto" w:fill="auto"/>
            <w:vAlign w:val="bottom"/>
          </w:tcPr>
          <w:p w14:paraId="571EA08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4D01147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3D79EBC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0956D1A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62B62C3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01CB226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68F4B7B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000000"/>
              <w:left w:val="single" w:sz="4" w:space="0" w:color="000000"/>
              <w:bottom w:val="single" w:sz="4" w:space="0" w:color="C0C0C0"/>
              <w:right w:val="single" w:sz="4" w:space="0" w:color="000000"/>
            </w:tcBorders>
            <w:shd w:val="clear" w:color="auto" w:fill="auto"/>
            <w:vAlign w:val="bottom"/>
          </w:tcPr>
          <w:p w14:paraId="0F39CF7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4ED4A9A9" w14:textId="77777777" w:rsidTr="00E34095">
        <w:trPr>
          <w:trHeight w:val="23"/>
        </w:trPr>
        <w:tc>
          <w:tcPr>
            <w:tcW w:w="416" w:type="dxa"/>
            <w:tcBorders>
              <w:top w:val="single" w:sz="4" w:space="0" w:color="C0C0C0"/>
              <w:bottom w:val="single" w:sz="4" w:space="0" w:color="C0C0C0"/>
            </w:tcBorders>
            <w:shd w:val="clear" w:color="auto" w:fill="auto"/>
          </w:tcPr>
          <w:p w14:paraId="6F4F8064"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2</w:t>
            </w:r>
          </w:p>
        </w:tc>
        <w:tc>
          <w:tcPr>
            <w:tcW w:w="2607" w:type="dxa"/>
            <w:tcBorders>
              <w:top w:val="single" w:sz="4" w:space="0" w:color="C0C0C0"/>
              <w:left w:val="single" w:sz="4" w:space="0" w:color="C0C0C0"/>
              <w:bottom w:val="single" w:sz="4" w:space="0" w:color="C0C0C0"/>
            </w:tcBorders>
            <w:shd w:val="clear" w:color="auto" w:fill="auto"/>
            <w:vAlign w:val="bottom"/>
          </w:tcPr>
          <w:p w14:paraId="57FD799B" w14:textId="77777777" w:rsidR="005F4B44" w:rsidRPr="005F4B44" w:rsidRDefault="005F4B44" w:rsidP="000379F3">
            <w:pPr>
              <w:snapToGrid w:val="0"/>
              <w:spacing w:line="259" w:lineRule="auto"/>
              <w:rPr>
                <w:rFonts w:ascii="Calibri" w:eastAsia="細明體" w:hAnsi="Calibri"/>
                <w:color w:val="000000"/>
                <w:sz w:val="17"/>
                <w:szCs w:val="17"/>
                <w:lang w:eastAsia="zh-CN"/>
              </w:rPr>
            </w:pPr>
            <w:proofErr w:type="gramStart"/>
            <w:r w:rsidRPr="005F4B44">
              <w:rPr>
                <w:rFonts w:ascii="Calibri" w:eastAsia="細明體" w:hAnsi="Calibri" w:hint="eastAsia"/>
                <w:color w:val="000000"/>
                <w:sz w:val="17"/>
                <w:szCs w:val="17"/>
                <w:lang w:eastAsia="zh-CN"/>
              </w:rPr>
              <w:t>傳</w:t>
            </w:r>
            <w:proofErr w:type="gramEnd"/>
            <w:r w:rsidRPr="005F4B44">
              <w:rPr>
                <w:rFonts w:ascii="Calibri" w:eastAsia="細明體" w:hAnsi="Calibri" w:hint="eastAsia"/>
                <w:color w:val="000000"/>
                <w:sz w:val="17"/>
                <w:szCs w:val="17"/>
                <w:lang w:eastAsia="zh-CN"/>
              </w:rPr>
              <w:t>統證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r w:rsidRPr="005F4B44">
              <w:rPr>
                <w:rFonts w:ascii="Calibri" w:eastAsia="細明體" w:hAnsi="Calibri"/>
                <w:color w:val="000000"/>
                <w:sz w:val="17"/>
                <w:szCs w:val="17"/>
                <w:lang w:eastAsia="zh-CN"/>
              </w:rPr>
              <w:t xml:space="preserve"> </w:t>
            </w:r>
          </w:p>
        </w:tc>
        <w:tc>
          <w:tcPr>
            <w:tcW w:w="642" w:type="dxa"/>
            <w:tcBorders>
              <w:top w:val="single" w:sz="4" w:space="0" w:color="C0C0C0"/>
              <w:left w:val="single" w:sz="4" w:space="0" w:color="000000"/>
              <w:bottom w:val="single" w:sz="4" w:space="0" w:color="C0C0C0"/>
            </w:tcBorders>
            <w:shd w:val="clear" w:color="auto" w:fill="auto"/>
            <w:vAlign w:val="bottom"/>
          </w:tcPr>
          <w:p w14:paraId="322F241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58999E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AE2B25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5E0E25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F57ED9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B416B82"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7C6048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2A9D3D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830BC8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40BDE76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06247A2"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562F20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FED0BF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3F1708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4077BF4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4CF2739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0C485AE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11B9284A" w14:textId="77777777" w:rsidTr="00E34095">
        <w:trPr>
          <w:trHeight w:val="227"/>
        </w:trPr>
        <w:tc>
          <w:tcPr>
            <w:tcW w:w="416" w:type="dxa"/>
            <w:tcBorders>
              <w:top w:val="single" w:sz="4" w:space="0" w:color="C0C0C0"/>
              <w:bottom w:val="single" w:sz="4" w:space="0" w:color="C0C0C0"/>
            </w:tcBorders>
            <w:shd w:val="clear" w:color="auto" w:fill="auto"/>
          </w:tcPr>
          <w:p w14:paraId="4F7D8C63"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3</w:t>
            </w:r>
          </w:p>
        </w:tc>
        <w:tc>
          <w:tcPr>
            <w:tcW w:w="2607" w:type="dxa"/>
            <w:tcBorders>
              <w:top w:val="single" w:sz="4" w:space="0" w:color="C0C0C0"/>
              <w:left w:val="single" w:sz="4" w:space="0" w:color="C0C0C0"/>
              <w:bottom w:val="single" w:sz="4" w:space="0" w:color="C0C0C0"/>
            </w:tcBorders>
            <w:shd w:val="clear" w:color="auto" w:fill="auto"/>
            <w:vAlign w:val="bottom"/>
          </w:tcPr>
          <w:p w14:paraId="1E7FA38F" w14:textId="77777777" w:rsidR="005F4B44" w:rsidRPr="005F4B44" w:rsidRDefault="005F4B44" w:rsidP="000379F3">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C0C0C0"/>
            </w:tcBorders>
            <w:shd w:val="clear" w:color="auto" w:fill="auto"/>
            <w:vAlign w:val="bottom"/>
          </w:tcPr>
          <w:p w14:paraId="21B2668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41386F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C2D36E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DA003D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EC0840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A97005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DF457E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1DE0EF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EF0FAD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2DD3CD2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172B3F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86F50F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182EB9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694554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39917D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3350A5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14DA31E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32E41014" w14:textId="77777777" w:rsidTr="00E34095">
        <w:trPr>
          <w:trHeight w:val="23"/>
        </w:trPr>
        <w:tc>
          <w:tcPr>
            <w:tcW w:w="416" w:type="dxa"/>
            <w:tcBorders>
              <w:top w:val="single" w:sz="4" w:space="0" w:color="C0C0C0"/>
              <w:bottom w:val="single" w:sz="4" w:space="0" w:color="C0C0C0"/>
            </w:tcBorders>
            <w:shd w:val="clear" w:color="auto" w:fill="auto"/>
          </w:tcPr>
          <w:p w14:paraId="074B494C"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4</w:t>
            </w:r>
          </w:p>
        </w:tc>
        <w:tc>
          <w:tcPr>
            <w:tcW w:w="2607" w:type="dxa"/>
            <w:tcBorders>
              <w:top w:val="single" w:sz="4" w:space="0" w:color="C0C0C0"/>
              <w:left w:val="single" w:sz="4" w:space="0" w:color="C0C0C0"/>
              <w:bottom w:val="single" w:sz="4" w:space="0" w:color="C0C0C0"/>
            </w:tcBorders>
            <w:shd w:val="clear" w:color="auto" w:fill="auto"/>
            <w:vAlign w:val="bottom"/>
          </w:tcPr>
          <w:p w14:paraId="6E4794BD" w14:textId="77777777" w:rsidR="005F4B44" w:rsidRPr="005F4B44" w:rsidRDefault="005F4B44" w:rsidP="000379F3">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其中零售</w:t>
            </w:r>
          </w:p>
        </w:tc>
        <w:tc>
          <w:tcPr>
            <w:tcW w:w="642" w:type="dxa"/>
            <w:tcBorders>
              <w:top w:val="single" w:sz="4" w:space="0" w:color="C0C0C0"/>
              <w:left w:val="single" w:sz="4" w:space="0" w:color="000000"/>
              <w:bottom w:val="single" w:sz="4" w:space="0" w:color="C0C0C0"/>
            </w:tcBorders>
            <w:shd w:val="clear" w:color="auto" w:fill="auto"/>
            <w:vAlign w:val="bottom"/>
          </w:tcPr>
          <w:p w14:paraId="4B22165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5BFCED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A6FC42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CC524A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21BC04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DAC6B0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A93332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C1E4BE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15232D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197405E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312DBB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584A85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D3A104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78F605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270B13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84A83B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0DACA28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571BF3AB" w14:textId="77777777" w:rsidTr="000379F3">
        <w:trPr>
          <w:trHeight w:val="23"/>
        </w:trPr>
        <w:tc>
          <w:tcPr>
            <w:tcW w:w="416" w:type="dxa"/>
            <w:tcBorders>
              <w:top w:val="single" w:sz="4" w:space="0" w:color="C0C0C0"/>
              <w:bottom w:val="single" w:sz="4" w:space="0" w:color="C0C0C0"/>
            </w:tcBorders>
            <w:shd w:val="clear" w:color="auto" w:fill="auto"/>
          </w:tcPr>
          <w:p w14:paraId="72498C7B"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TW"/>
              </w:rPr>
              <w:t>5</w:t>
            </w:r>
          </w:p>
        </w:tc>
        <w:tc>
          <w:tcPr>
            <w:tcW w:w="2607" w:type="dxa"/>
            <w:tcBorders>
              <w:top w:val="single" w:sz="4" w:space="0" w:color="C0C0C0"/>
              <w:left w:val="single" w:sz="4" w:space="0" w:color="C0C0C0"/>
              <w:bottom w:val="single" w:sz="4" w:space="0" w:color="C0C0C0"/>
            </w:tcBorders>
            <w:shd w:val="clear" w:color="auto" w:fill="auto"/>
            <w:vAlign w:val="bottom"/>
          </w:tcPr>
          <w:p w14:paraId="0A9F33E3" w14:textId="77777777" w:rsidR="005F4B44" w:rsidRPr="005F4B44" w:rsidRDefault="005F4B44" w:rsidP="000379F3">
            <w:pPr>
              <w:snapToGrid w:val="0"/>
              <w:spacing w:line="259" w:lineRule="auto"/>
              <w:ind w:left="504"/>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HK"/>
              </w:rPr>
              <w:t>其中</w:t>
            </w:r>
            <w:r w:rsidRPr="005F4B44">
              <w:rPr>
                <w:rFonts w:ascii="Calibri" w:eastAsia="細明體" w:hAnsi="Calibri" w:hint="eastAsia"/>
                <w:color w:val="000000"/>
                <w:sz w:val="17"/>
                <w:szCs w:val="17"/>
                <w:lang w:eastAsia="zh-TW"/>
              </w:rPr>
              <w:t>：</w:t>
            </w:r>
            <w:r w:rsidRPr="005F4B44">
              <w:rPr>
                <w:rFonts w:ascii="Calibri" w:eastAsia="細明體" w:hAnsi="Calibri" w:hint="eastAsia"/>
                <w:color w:val="000000"/>
                <w:sz w:val="17"/>
                <w:szCs w:val="17"/>
                <w:lang w:eastAsia="zh-HK"/>
              </w:rPr>
              <w:t>簡單</w:t>
            </w:r>
            <w:r w:rsidRPr="005F4B44">
              <w:rPr>
                <w:rFonts w:ascii="Calibri" w:eastAsia="細明體" w:hAnsi="Calibri" w:hint="eastAsia"/>
                <w:color w:val="000000"/>
                <w:sz w:val="17"/>
                <w:szCs w:val="17"/>
                <w:lang w:eastAsia="zh-TW"/>
              </w:rPr>
              <w:t>、</w:t>
            </w:r>
            <w:r w:rsidRPr="005F4B44">
              <w:rPr>
                <w:rFonts w:ascii="Calibri" w:eastAsia="細明體" w:hAnsi="Calibri" w:hint="eastAsia"/>
                <w:color w:val="000000"/>
                <w:sz w:val="17"/>
                <w:szCs w:val="17"/>
                <w:lang w:eastAsia="zh-HK"/>
              </w:rPr>
              <w:t>具透明度及可比較</w:t>
            </w:r>
          </w:p>
        </w:tc>
        <w:tc>
          <w:tcPr>
            <w:tcW w:w="10889" w:type="dxa"/>
            <w:gridSpan w:val="17"/>
            <w:tcBorders>
              <w:top w:val="single" w:sz="4" w:space="0" w:color="C0C0C0"/>
              <w:left w:val="single" w:sz="4" w:space="0" w:color="000000"/>
              <w:bottom w:val="single" w:sz="4" w:space="0" w:color="C0C0C0"/>
              <w:right w:val="single" w:sz="4" w:space="0" w:color="000000"/>
            </w:tcBorders>
            <w:shd w:val="clear" w:color="auto" w:fill="BFBFBF"/>
            <w:vAlign w:val="bottom"/>
          </w:tcPr>
          <w:p w14:paraId="18963FD8" w14:textId="77777777" w:rsidR="005F4B44" w:rsidRPr="005F4B44" w:rsidRDefault="005F4B44" w:rsidP="00E34095">
            <w:pPr>
              <w:snapToGrid w:val="0"/>
              <w:spacing w:line="259" w:lineRule="auto"/>
              <w:jc w:val="center"/>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N/A</w:t>
            </w:r>
          </w:p>
        </w:tc>
      </w:tr>
      <w:tr w:rsidR="005F4B44" w:rsidRPr="005F4B44" w14:paraId="18B8AFBB" w14:textId="77777777" w:rsidTr="00E34095">
        <w:trPr>
          <w:trHeight w:val="23"/>
        </w:trPr>
        <w:tc>
          <w:tcPr>
            <w:tcW w:w="416" w:type="dxa"/>
            <w:tcBorders>
              <w:top w:val="single" w:sz="4" w:space="0" w:color="C0C0C0"/>
              <w:bottom w:val="single" w:sz="4" w:space="0" w:color="C0C0C0"/>
            </w:tcBorders>
            <w:shd w:val="clear" w:color="auto" w:fill="auto"/>
          </w:tcPr>
          <w:p w14:paraId="665FDBC8" w14:textId="4E850C69"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TW"/>
              </w:rPr>
              <w:t>6</w:t>
            </w:r>
          </w:p>
        </w:tc>
        <w:tc>
          <w:tcPr>
            <w:tcW w:w="2607" w:type="dxa"/>
            <w:tcBorders>
              <w:top w:val="single" w:sz="4" w:space="0" w:color="C0C0C0"/>
              <w:left w:val="single" w:sz="4" w:space="0" w:color="C0C0C0"/>
              <w:bottom w:val="single" w:sz="4" w:space="0" w:color="C0C0C0"/>
            </w:tcBorders>
            <w:shd w:val="clear" w:color="auto" w:fill="auto"/>
            <w:vAlign w:val="bottom"/>
          </w:tcPr>
          <w:p w14:paraId="067F80BF" w14:textId="77777777" w:rsidR="005F4B44" w:rsidRPr="005F4B44" w:rsidRDefault="005F4B44" w:rsidP="000379F3">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其中批發</w:t>
            </w:r>
          </w:p>
        </w:tc>
        <w:tc>
          <w:tcPr>
            <w:tcW w:w="642" w:type="dxa"/>
            <w:tcBorders>
              <w:top w:val="single" w:sz="4" w:space="0" w:color="C0C0C0"/>
              <w:left w:val="single" w:sz="4" w:space="0" w:color="000000"/>
              <w:bottom w:val="single" w:sz="4" w:space="0" w:color="C0C0C0"/>
            </w:tcBorders>
            <w:shd w:val="clear" w:color="auto" w:fill="auto"/>
            <w:vAlign w:val="bottom"/>
          </w:tcPr>
          <w:p w14:paraId="647AC0E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44658F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29D0FFA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1EBD14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EC7779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542BE0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C820AC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3E38EF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BF169E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7779D08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742FCF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FEEF1F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CC6261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8B1112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BEC1794"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B515FC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1BD36AE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705621E6" w14:textId="77777777" w:rsidTr="00E34095">
        <w:trPr>
          <w:trHeight w:val="571"/>
        </w:trPr>
        <w:tc>
          <w:tcPr>
            <w:tcW w:w="416" w:type="dxa"/>
            <w:tcBorders>
              <w:top w:val="single" w:sz="4" w:space="0" w:color="C0C0C0"/>
              <w:bottom w:val="single" w:sz="4" w:space="0" w:color="C0C0C0"/>
            </w:tcBorders>
            <w:shd w:val="clear" w:color="auto" w:fill="auto"/>
          </w:tcPr>
          <w:p w14:paraId="003A58ED" w14:textId="77777777" w:rsidR="005F4B44" w:rsidRPr="005F4B44" w:rsidDel="009A799A" w:rsidRDefault="005F4B44" w:rsidP="000379F3">
            <w:pPr>
              <w:snapToGrid w:val="0"/>
              <w:spacing w:line="259" w:lineRule="auto"/>
              <w:jc w:val="center"/>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7</w:t>
            </w:r>
          </w:p>
        </w:tc>
        <w:tc>
          <w:tcPr>
            <w:tcW w:w="2607" w:type="dxa"/>
            <w:tcBorders>
              <w:top w:val="single" w:sz="4" w:space="0" w:color="C0C0C0"/>
              <w:left w:val="single" w:sz="4" w:space="0" w:color="C0C0C0"/>
              <w:bottom w:val="single" w:sz="4" w:space="0" w:color="C0C0C0"/>
            </w:tcBorders>
            <w:shd w:val="clear" w:color="auto" w:fill="auto"/>
          </w:tcPr>
          <w:p w14:paraId="59723438" w14:textId="77777777" w:rsidR="005F4B44" w:rsidRPr="005F4B44" w:rsidRDefault="005F4B44" w:rsidP="00E34095">
            <w:pPr>
              <w:snapToGrid w:val="0"/>
              <w:spacing w:line="259" w:lineRule="auto"/>
              <w:ind w:left="504"/>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其中：</w:t>
            </w:r>
            <w:r w:rsidRPr="005F4B44">
              <w:rPr>
                <w:rFonts w:ascii="Calibri" w:eastAsia="細明體" w:hAnsi="Calibri" w:hint="eastAsia"/>
                <w:color w:val="000000"/>
                <w:sz w:val="17"/>
                <w:szCs w:val="17"/>
                <w:lang w:eastAsia="zh-HK"/>
              </w:rPr>
              <w:t>簡單</w:t>
            </w:r>
            <w:r w:rsidRPr="005F4B44">
              <w:rPr>
                <w:rFonts w:ascii="Calibri" w:eastAsia="細明體" w:hAnsi="Calibri" w:hint="eastAsia"/>
                <w:color w:val="000000"/>
                <w:sz w:val="17"/>
                <w:szCs w:val="17"/>
                <w:lang w:eastAsia="zh-TW"/>
              </w:rPr>
              <w:t>、</w:t>
            </w:r>
            <w:r w:rsidRPr="005F4B44">
              <w:rPr>
                <w:rFonts w:ascii="Calibri" w:eastAsia="細明體" w:hAnsi="Calibri" w:hint="eastAsia"/>
                <w:color w:val="000000"/>
                <w:sz w:val="17"/>
                <w:szCs w:val="17"/>
                <w:lang w:eastAsia="zh-HK"/>
              </w:rPr>
              <w:t>具透明度及可比較</w:t>
            </w:r>
          </w:p>
        </w:tc>
        <w:tc>
          <w:tcPr>
            <w:tcW w:w="10889" w:type="dxa"/>
            <w:gridSpan w:val="17"/>
            <w:tcBorders>
              <w:top w:val="single" w:sz="4" w:space="0" w:color="C0C0C0"/>
              <w:left w:val="single" w:sz="4" w:space="0" w:color="000000"/>
              <w:bottom w:val="single" w:sz="4" w:space="0" w:color="C0C0C0"/>
              <w:right w:val="single" w:sz="4" w:space="0" w:color="000000"/>
            </w:tcBorders>
            <w:shd w:val="clear" w:color="auto" w:fill="BFBFBF"/>
            <w:vAlign w:val="bottom"/>
          </w:tcPr>
          <w:p w14:paraId="0D4A2410" w14:textId="77777777" w:rsidR="005F4B44" w:rsidRPr="005F4B44" w:rsidRDefault="005F4B44" w:rsidP="00E34095">
            <w:pPr>
              <w:snapToGrid w:val="0"/>
              <w:spacing w:line="259" w:lineRule="auto"/>
              <w:jc w:val="center"/>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N/A</w:t>
            </w:r>
          </w:p>
        </w:tc>
      </w:tr>
      <w:tr w:rsidR="005F4B44" w:rsidRPr="005F4B44" w14:paraId="4B7A439C" w14:textId="77777777" w:rsidTr="00E34095">
        <w:trPr>
          <w:trHeight w:val="23"/>
        </w:trPr>
        <w:tc>
          <w:tcPr>
            <w:tcW w:w="416" w:type="dxa"/>
            <w:tcBorders>
              <w:top w:val="single" w:sz="4" w:space="0" w:color="C0C0C0"/>
              <w:bottom w:val="single" w:sz="4" w:space="0" w:color="C0C0C0"/>
            </w:tcBorders>
            <w:shd w:val="clear" w:color="auto" w:fill="auto"/>
          </w:tcPr>
          <w:p w14:paraId="335F5537" w14:textId="6139E7F1"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TW"/>
              </w:rPr>
              <w:t>8</w:t>
            </w:r>
          </w:p>
        </w:tc>
        <w:tc>
          <w:tcPr>
            <w:tcW w:w="2607" w:type="dxa"/>
            <w:tcBorders>
              <w:top w:val="single" w:sz="4" w:space="0" w:color="C0C0C0"/>
              <w:left w:val="single" w:sz="4" w:space="0" w:color="C0C0C0"/>
              <w:bottom w:val="single" w:sz="4" w:space="0" w:color="C0C0C0"/>
            </w:tcBorders>
            <w:shd w:val="clear" w:color="auto" w:fill="auto"/>
            <w:vAlign w:val="bottom"/>
          </w:tcPr>
          <w:p w14:paraId="6B54DEBE" w14:textId="77777777" w:rsidR="005F4B44" w:rsidRPr="005F4B44" w:rsidRDefault="005F4B44" w:rsidP="000379F3">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其中再證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C0C0C0"/>
            </w:tcBorders>
            <w:shd w:val="clear" w:color="auto" w:fill="auto"/>
            <w:vAlign w:val="bottom"/>
          </w:tcPr>
          <w:p w14:paraId="31F20EF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2E3501F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298E0E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DF7FF8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2E123462"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B706DB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32ED934"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74F8F2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233E7B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4C4C5C4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87DB82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A0DD91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04E91B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139CAA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120AEC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DDDFA6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27DC5A2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01066F8A" w14:textId="77777777" w:rsidTr="00E34095">
        <w:trPr>
          <w:trHeight w:val="23"/>
        </w:trPr>
        <w:tc>
          <w:tcPr>
            <w:tcW w:w="416" w:type="dxa"/>
            <w:tcBorders>
              <w:top w:val="single" w:sz="4" w:space="0" w:color="C0C0C0"/>
              <w:bottom w:val="single" w:sz="4" w:space="0" w:color="C0C0C0"/>
            </w:tcBorders>
            <w:shd w:val="clear" w:color="auto" w:fill="auto"/>
          </w:tcPr>
          <w:p w14:paraId="7D7EDB43"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9</w:t>
            </w:r>
          </w:p>
        </w:tc>
        <w:tc>
          <w:tcPr>
            <w:tcW w:w="2607" w:type="dxa"/>
            <w:tcBorders>
              <w:top w:val="single" w:sz="4" w:space="0" w:color="C0C0C0"/>
              <w:left w:val="single" w:sz="4" w:space="0" w:color="C0C0C0"/>
              <w:bottom w:val="single" w:sz="4" w:space="0" w:color="C0C0C0"/>
            </w:tcBorders>
            <w:shd w:val="clear" w:color="auto" w:fill="auto"/>
            <w:vAlign w:val="bottom"/>
          </w:tcPr>
          <w:p w14:paraId="06AE8DA2" w14:textId="77777777" w:rsidR="005F4B44" w:rsidRPr="005F4B44" w:rsidRDefault="005F4B44" w:rsidP="000379F3">
            <w:pPr>
              <w:snapToGrid w:val="0"/>
              <w:spacing w:line="259" w:lineRule="auto"/>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合成證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r w:rsidRPr="005F4B44">
              <w:rPr>
                <w:rFonts w:ascii="Calibri" w:eastAsia="細明體" w:hAnsi="Calibri"/>
                <w:color w:val="000000"/>
                <w:sz w:val="17"/>
                <w:szCs w:val="17"/>
                <w:lang w:eastAsia="zh-CN"/>
              </w:rPr>
              <w:t xml:space="preserve"> </w:t>
            </w:r>
          </w:p>
        </w:tc>
        <w:tc>
          <w:tcPr>
            <w:tcW w:w="642" w:type="dxa"/>
            <w:tcBorders>
              <w:top w:val="single" w:sz="4" w:space="0" w:color="C0C0C0"/>
              <w:left w:val="single" w:sz="4" w:space="0" w:color="000000"/>
              <w:bottom w:val="single" w:sz="4" w:space="0" w:color="C0C0C0"/>
            </w:tcBorders>
            <w:shd w:val="clear" w:color="auto" w:fill="auto"/>
            <w:vAlign w:val="bottom"/>
          </w:tcPr>
          <w:p w14:paraId="717C2FB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43FF56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64B6033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5A6924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245745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4D8D3EA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EA9F2C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8D368C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168564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1AC247B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A462F9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19C9FB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0A8083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950B25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7D7D8C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EA42434"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7A0DDDE4"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5322748C" w14:textId="77777777" w:rsidTr="00E34095">
        <w:trPr>
          <w:trHeight w:val="23"/>
        </w:trPr>
        <w:tc>
          <w:tcPr>
            <w:tcW w:w="416" w:type="dxa"/>
            <w:tcBorders>
              <w:top w:val="single" w:sz="4" w:space="0" w:color="C0C0C0"/>
              <w:bottom w:val="single" w:sz="4" w:space="0" w:color="C0C0C0"/>
            </w:tcBorders>
            <w:shd w:val="clear" w:color="auto" w:fill="auto"/>
          </w:tcPr>
          <w:p w14:paraId="6EF1B069"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10</w:t>
            </w:r>
          </w:p>
        </w:tc>
        <w:tc>
          <w:tcPr>
            <w:tcW w:w="2607" w:type="dxa"/>
            <w:tcBorders>
              <w:top w:val="single" w:sz="4" w:space="0" w:color="C0C0C0"/>
              <w:left w:val="single" w:sz="4" w:space="0" w:color="C0C0C0"/>
              <w:bottom w:val="single" w:sz="4" w:space="0" w:color="C0C0C0"/>
            </w:tcBorders>
            <w:shd w:val="clear" w:color="auto" w:fill="auto"/>
            <w:vAlign w:val="bottom"/>
          </w:tcPr>
          <w:p w14:paraId="49099D96" w14:textId="77777777" w:rsidR="005F4B44" w:rsidRPr="005F4B44" w:rsidRDefault="005F4B44" w:rsidP="000379F3">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C0C0C0"/>
            </w:tcBorders>
            <w:shd w:val="clear" w:color="auto" w:fill="auto"/>
            <w:vAlign w:val="bottom"/>
          </w:tcPr>
          <w:p w14:paraId="10EF690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B9CC36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8001C8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75455E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96FF1A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6968E1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8D64DA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06D707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180173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4A07633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876CEDD"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0EAB48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71B5F8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02C8D6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8391CE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215BEA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473EE6A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369B75B1" w14:textId="77777777" w:rsidTr="00E34095">
        <w:trPr>
          <w:trHeight w:val="23"/>
        </w:trPr>
        <w:tc>
          <w:tcPr>
            <w:tcW w:w="416" w:type="dxa"/>
            <w:tcBorders>
              <w:top w:val="single" w:sz="4" w:space="0" w:color="C0C0C0"/>
              <w:bottom w:val="single" w:sz="4" w:space="0" w:color="C0C0C0"/>
            </w:tcBorders>
            <w:shd w:val="clear" w:color="auto" w:fill="auto"/>
          </w:tcPr>
          <w:p w14:paraId="6BDDF254"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11</w:t>
            </w:r>
          </w:p>
        </w:tc>
        <w:tc>
          <w:tcPr>
            <w:tcW w:w="2607" w:type="dxa"/>
            <w:tcBorders>
              <w:top w:val="single" w:sz="4" w:space="0" w:color="C0C0C0"/>
              <w:left w:val="single" w:sz="4" w:space="0" w:color="C0C0C0"/>
              <w:bottom w:val="single" w:sz="4" w:space="0" w:color="C0C0C0"/>
            </w:tcBorders>
            <w:shd w:val="clear" w:color="auto" w:fill="auto"/>
            <w:vAlign w:val="bottom"/>
          </w:tcPr>
          <w:p w14:paraId="3CA667B1" w14:textId="77777777" w:rsidR="005F4B44" w:rsidRPr="005F4B44" w:rsidRDefault="005F4B44" w:rsidP="00F86D94">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其中零售</w:t>
            </w:r>
          </w:p>
        </w:tc>
        <w:tc>
          <w:tcPr>
            <w:tcW w:w="642" w:type="dxa"/>
            <w:tcBorders>
              <w:top w:val="single" w:sz="4" w:space="0" w:color="C0C0C0"/>
              <w:left w:val="single" w:sz="4" w:space="0" w:color="000000"/>
              <w:bottom w:val="single" w:sz="4" w:space="0" w:color="C0C0C0"/>
            </w:tcBorders>
            <w:shd w:val="clear" w:color="auto" w:fill="auto"/>
            <w:vAlign w:val="bottom"/>
          </w:tcPr>
          <w:p w14:paraId="56E4CFC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23042DB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25B455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280BFE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04DCC1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39C694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27F7C1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FC97500"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E9A3C4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4E06F08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B46D74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7BE2712"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4EDBAA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2F1F503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F55583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826616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2374102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7D24B1E5" w14:textId="77777777" w:rsidTr="00E34095">
        <w:trPr>
          <w:trHeight w:val="23"/>
        </w:trPr>
        <w:tc>
          <w:tcPr>
            <w:tcW w:w="416" w:type="dxa"/>
            <w:tcBorders>
              <w:top w:val="single" w:sz="4" w:space="0" w:color="C0C0C0"/>
              <w:bottom w:val="single" w:sz="4" w:space="0" w:color="C0C0C0"/>
            </w:tcBorders>
            <w:shd w:val="clear" w:color="auto" w:fill="auto"/>
          </w:tcPr>
          <w:p w14:paraId="04FEC785"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12</w:t>
            </w:r>
          </w:p>
        </w:tc>
        <w:tc>
          <w:tcPr>
            <w:tcW w:w="2607" w:type="dxa"/>
            <w:tcBorders>
              <w:top w:val="single" w:sz="4" w:space="0" w:color="C0C0C0"/>
              <w:left w:val="single" w:sz="4" w:space="0" w:color="C0C0C0"/>
              <w:bottom w:val="single" w:sz="4" w:space="0" w:color="C0C0C0"/>
            </w:tcBorders>
            <w:shd w:val="clear" w:color="auto" w:fill="auto"/>
            <w:vAlign w:val="bottom"/>
          </w:tcPr>
          <w:p w14:paraId="3D38DFFB" w14:textId="77777777" w:rsidR="005F4B44" w:rsidRPr="005F4B44" w:rsidRDefault="005F4B44" w:rsidP="00F86D94">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其中批發</w:t>
            </w:r>
          </w:p>
        </w:tc>
        <w:tc>
          <w:tcPr>
            <w:tcW w:w="642" w:type="dxa"/>
            <w:tcBorders>
              <w:top w:val="single" w:sz="4" w:space="0" w:color="C0C0C0"/>
              <w:left w:val="single" w:sz="4" w:space="0" w:color="000000"/>
              <w:bottom w:val="single" w:sz="4" w:space="0" w:color="C0C0C0"/>
            </w:tcBorders>
            <w:shd w:val="clear" w:color="auto" w:fill="auto"/>
            <w:vAlign w:val="bottom"/>
          </w:tcPr>
          <w:p w14:paraId="49F56F8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67C49BF4"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C9FE0E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C83715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99F8FE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7961BDA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5B5BD5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82E387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40399A2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C0C0C0"/>
            </w:tcBorders>
            <w:shd w:val="clear" w:color="auto" w:fill="auto"/>
            <w:vAlign w:val="bottom"/>
          </w:tcPr>
          <w:p w14:paraId="7CDBB157"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32F5B62"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AD16CF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F4EC3B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BB7C20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139AC84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40227CE"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C0C0C0"/>
              <w:right w:val="single" w:sz="4" w:space="0" w:color="000000"/>
            </w:tcBorders>
            <w:shd w:val="clear" w:color="auto" w:fill="auto"/>
            <w:vAlign w:val="bottom"/>
          </w:tcPr>
          <w:p w14:paraId="51BDE5C6"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r w:rsidR="005F4B44" w:rsidRPr="005F4B44" w14:paraId="78C027C5" w14:textId="77777777" w:rsidTr="00E34095">
        <w:trPr>
          <w:trHeight w:val="23"/>
        </w:trPr>
        <w:tc>
          <w:tcPr>
            <w:tcW w:w="416" w:type="dxa"/>
            <w:tcBorders>
              <w:top w:val="single" w:sz="4" w:space="0" w:color="C0C0C0"/>
              <w:bottom w:val="single" w:sz="4" w:space="0" w:color="auto"/>
            </w:tcBorders>
            <w:shd w:val="clear" w:color="auto" w:fill="auto"/>
          </w:tcPr>
          <w:p w14:paraId="03C99DA6" w14:textId="77777777" w:rsidR="005F4B44" w:rsidRPr="005F4B44" w:rsidRDefault="005F4B44" w:rsidP="000379F3">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13</w:t>
            </w:r>
          </w:p>
        </w:tc>
        <w:tc>
          <w:tcPr>
            <w:tcW w:w="2607" w:type="dxa"/>
            <w:tcBorders>
              <w:top w:val="single" w:sz="4" w:space="0" w:color="C0C0C0"/>
              <w:left w:val="single" w:sz="4" w:space="0" w:color="C0C0C0"/>
              <w:bottom w:val="single" w:sz="4" w:space="0" w:color="auto"/>
            </w:tcBorders>
            <w:shd w:val="clear" w:color="auto" w:fill="auto"/>
            <w:vAlign w:val="bottom"/>
          </w:tcPr>
          <w:p w14:paraId="68B19BBB" w14:textId="77777777" w:rsidR="005F4B44" w:rsidRPr="005F4B44" w:rsidRDefault="005F4B44" w:rsidP="000379F3">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其中再證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auto"/>
            </w:tcBorders>
            <w:shd w:val="clear" w:color="auto" w:fill="auto"/>
            <w:vAlign w:val="bottom"/>
          </w:tcPr>
          <w:p w14:paraId="00B0382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0366837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0ECD28A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6F9E0A4F"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1CFE5FA2"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65A79B4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69FD9D74"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418E6C18"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0FD59F5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7" w:type="dxa"/>
            <w:tcBorders>
              <w:top w:val="single" w:sz="4" w:space="0" w:color="C0C0C0"/>
              <w:left w:val="single" w:sz="4" w:space="0" w:color="000000"/>
              <w:bottom w:val="single" w:sz="4" w:space="0" w:color="auto"/>
            </w:tcBorders>
            <w:shd w:val="clear" w:color="auto" w:fill="auto"/>
            <w:vAlign w:val="bottom"/>
          </w:tcPr>
          <w:p w14:paraId="114EEFE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1C553659"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0C12C33C"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46D8928A"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7D7A8561"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tcPr>
          <w:p w14:paraId="605BE4DB"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tcPr>
          <w:p w14:paraId="406780E5"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c>
          <w:tcPr>
            <w:tcW w:w="658" w:type="dxa"/>
            <w:tcBorders>
              <w:top w:val="single" w:sz="4" w:space="0" w:color="C0C0C0"/>
              <w:left w:val="single" w:sz="4" w:space="0" w:color="000000"/>
              <w:bottom w:val="single" w:sz="4" w:space="0" w:color="auto"/>
              <w:right w:val="single" w:sz="4" w:space="0" w:color="000000"/>
            </w:tcBorders>
            <w:shd w:val="clear" w:color="auto" w:fill="auto"/>
          </w:tcPr>
          <w:p w14:paraId="5DC8BB23" w14:textId="77777777" w:rsidR="005F4B44" w:rsidRPr="005F4B44" w:rsidRDefault="005F4B44" w:rsidP="000379F3">
            <w:pPr>
              <w:snapToGrid w:val="0"/>
              <w:spacing w:line="259" w:lineRule="auto"/>
              <w:rPr>
                <w:rFonts w:ascii="Calibri" w:eastAsia="細明體" w:hAnsi="Calibri"/>
                <w:color w:val="000000"/>
                <w:sz w:val="17"/>
                <w:szCs w:val="17"/>
                <w:lang w:eastAsia="zh-CN"/>
              </w:rPr>
            </w:pPr>
          </w:p>
        </w:tc>
      </w:tr>
    </w:tbl>
    <w:p w14:paraId="406FD694" w14:textId="27075F03" w:rsidR="005F4B44" w:rsidRDefault="00D326DE" w:rsidP="001D6590">
      <w:pPr>
        <w:spacing w:after="40" w:line="259" w:lineRule="auto"/>
        <w:ind w:left="142"/>
        <w:rPr>
          <w:rFonts w:ascii="Calibri" w:eastAsia="細明體" w:hAnsi="Calibri"/>
          <w:i/>
          <w:sz w:val="17"/>
          <w:szCs w:val="17"/>
          <w:lang w:eastAsia="zh-TW"/>
        </w:rPr>
      </w:pPr>
      <w:r w:rsidRPr="000379F3">
        <w:rPr>
          <w:rFonts w:ascii="Calibri" w:eastAsia="細明體" w:hAnsi="Calibri"/>
          <w:i/>
          <w:sz w:val="17"/>
          <w:szCs w:val="17"/>
          <w:lang w:eastAsia="zh-CN"/>
        </w:rPr>
        <w:t xml:space="preserve">N/A: </w:t>
      </w:r>
      <w:r w:rsidRPr="000379F3">
        <w:rPr>
          <w:rFonts w:ascii="Calibri" w:eastAsia="細明體" w:hAnsi="Calibri" w:hint="eastAsia"/>
          <w:i/>
          <w:sz w:val="17"/>
          <w:szCs w:val="17"/>
          <w:lang w:eastAsia="zh-HK"/>
        </w:rPr>
        <w:t>不適用於香</w:t>
      </w:r>
      <w:r w:rsidRPr="000379F3">
        <w:rPr>
          <w:rFonts w:ascii="Calibri" w:eastAsia="細明體" w:hAnsi="Calibri" w:hint="eastAsia"/>
          <w:i/>
          <w:sz w:val="17"/>
          <w:szCs w:val="17"/>
          <w:lang w:eastAsia="zh-TW"/>
        </w:rPr>
        <w:t>港</w:t>
      </w:r>
    </w:p>
    <w:p w14:paraId="60D4C357" w14:textId="77777777" w:rsidR="00746E0A" w:rsidRPr="000379F3" w:rsidRDefault="00746E0A" w:rsidP="000379F3">
      <w:pPr>
        <w:spacing w:after="40" w:line="259" w:lineRule="auto"/>
        <w:rPr>
          <w:rFonts w:ascii="Calibri" w:eastAsia="SimSun" w:hAnsi="Calibri"/>
          <w:i/>
          <w:sz w:val="17"/>
          <w:szCs w:val="17"/>
          <w:lang w:eastAsia="zh-CN"/>
        </w:rPr>
      </w:pPr>
    </w:p>
    <w:tbl>
      <w:tblPr>
        <w:tblW w:w="13912" w:type="dxa"/>
        <w:tblInd w:w="108" w:type="dxa"/>
        <w:tblLayout w:type="fixed"/>
        <w:tblLook w:val="0000" w:firstRow="0" w:lastRow="0" w:firstColumn="0" w:lastColumn="0" w:noHBand="0" w:noVBand="0"/>
      </w:tblPr>
      <w:tblGrid>
        <w:gridCol w:w="851"/>
        <w:gridCol w:w="13061"/>
      </w:tblGrid>
      <w:tr w:rsidR="005F4B44" w:rsidRPr="005F4B44" w14:paraId="7A0B5BA1" w14:textId="77777777" w:rsidTr="001D6590">
        <w:trPr>
          <w:tblHeader/>
        </w:trPr>
        <w:tc>
          <w:tcPr>
            <w:tcW w:w="1391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D87B3D9" w14:textId="77777777" w:rsidR="005F4B44" w:rsidRPr="005F4B44" w:rsidRDefault="005F4B44" w:rsidP="005F4B44">
            <w:pPr>
              <w:keepNext/>
              <w:spacing w:before="40" w:after="40" w:line="259" w:lineRule="auto"/>
              <w:jc w:val="both"/>
              <w:rPr>
                <w:rFonts w:ascii="Calibri" w:eastAsia="新細明體" w:hAnsi="Calibri"/>
                <w:sz w:val="15"/>
                <w:szCs w:val="22"/>
                <w:lang w:eastAsia="zh-CN"/>
              </w:rPr>
            </w:pPr>
            <w:r w:rsidRPr="005F4B44">
              <w:rPr>
                <w:rFonts w:ascii="Calibri" w:eastAsia="細明體" w:hAnsi="Calibri" w:hint="eastAsia"/>
                <w:b/>
                <w:sz w:val="17"/>
                <w:szCs w:val="22"/>
                <w:lang w:eastAsia="zh-CN"/>
              </w:rPr>
              <w:t>註釋</w:t>
            </w:r>
          </w:p>
        </w:tc>
      </w:tr>
      <w:tr w:rsidR="005F4B44" w:rsidRPr="005F4B44" w14:paraId="114FEF93" w14:textId="77777777" w:rsidTr="001D6590">
        <w:tc>
          <w:tcPr>
            <w:tcW w:w="13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0C71A7D" w14:textId="77777777" w:rsidR="005F4B44" w:rsidRPr="005F4B44" w:rsidRDefault="005F4B44" w:rsidP="005F4B44">
            <w:pPr>
              <w:keepNext/>
              <w:spacing w:before="40" w:after="40" w:line="259" w:lineRule="auto"/>
              <w:jc w:val="both"/>
              <w:rPr>
                <w:rFonts w:ascii="Calibri" w:eastAsia="新細明體" w:hAnsi="Calibri"/>
                <w:sz w:val="15"/>
                <w:szCs w:val="22"/>
                <w:lang w:eastAsia="zh-CN"/>
              </w:rPr>
            </w:pPr>
            <w:proofErr w:type="gramStart"/>
            <w:r w:rsidRPr="005F4B44">
              <w:rPr>
                <w:rFonts w:ascii="Calibri" w:eastAsia="細明體" w:hAnsi="Calibri" w:hint="eastAsia"/>
                <w:b/>
                <w:sz w:val="17"/>
                <w:szCs w:val="22"/>
                <w:lang w:eastAsia="zh-CN"/>
              </w:rPr>
              <w:t>欄</w:t>
            </w:r>
            <w:proofErr w:type="gramEnd"/>
          </w:p>
        </w:tc>
      </w:tr>
      <w:tr w:rsidR="005F4B44" w:rsidRPr="005F4B44" w14:paraId="19F45FC7" w14:textId="77777777" w:rsidTr="001D6590">
        <w:tc>
          <w:tcPr>
            <w:tcW w:w="851" w:type="dxa"/>
            <w:tcBorders>
              <w:top w:val="single" w:sz="4" w:space="0" w:color="000000"/>
              <w:left w:val="single" w:sz="4" w:space="0" w:color="000000"/>
              <w:bottom w:val="single" w:sz="4" w:space="0" w:color="000000"/>
            </w:tcBorders>
            <w:shd w:val="clear" w:color="auto" w:fill="auto"/>
          </w:tcPr>
          <w:p w14:paraId="42A69CCA" w14:textId="77777777" w:rsidR="005F4B44" w:rsidRPr="005F4B44" w:rsidRDefault="005F4B44" w:rsidP="005F4B44">
            <w:pPr>
              <w:keepLines/>
              <w:widowControl w:val="0"/>
              <w:spacing w:before="20" w:after="20" w:line="259" w:lineRule="auto"/>
              <w:ind w:right="-108"/>
              <w:rPr>
                <w:rFonts w:ascii="Calibri" w:eastAsia="細明體" w:hAnsi="Calibri"/>
                <w:i/>
                <w:color w:val="000000"/>
                <w:sz w:val="17"/>
                <w:szCs w:val="17"/>
                <w:lang w:eastAsia="zh-CN"/>
              </w:rPr>
            </w:pPr>
            <w:r w:rsidRPr="005F4B44">
              <w:rPr>
                <w:rFonts w:ascii="Calibri" w:eastAsia="細明體" w:hAnsi="Calibri"/>
                <w:sz w:val="17"/>
                <w:szCs w:val="17"/>
                <w:lang w:eastAsia="zh-CN"/>
              </w:rPr>
              <w:t>(a)</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(e)</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9C8AD" w14:textId="77777777" w:rsidR="005F4B44" w:rsidRPr="005F4B44" w:rsidRDefault="005F4B44" w:rsidP="005F4B44">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F4B44">
              <w:rPr>
                <w:rFonts w:ascii="Calibri" w:eastAsia="細明體" w:hAnsi="Calibri" w:hint="eastAsia"/>
                <w:i/>
                <w:color w:val="000000"/>
                <w:sz w:val="17"/>
                <w:szCs w:val="17"/>
                <w:lang w:eastAsia="zh-TW"/>
              </w:rPr>
              <w:t>風險承擔值（按風險權重</w:t>
            </w:r>
            <w:r w:rsidRPr="005F4B44">
              <w:rPr>
                <w:rFonts w:ascii="Calibri" w:eastAsia="細明體" w:hAnsi="Calibri" w:hint="eastAsia"/>
                <w:i/>
                <w:color w:val="000000"/>
                <w:sz w:val="17"/>
                <w:szCs w:val="17"/>
                <w:lang w:eastAsia="zh-TW"/>
              </w:rPr>
              <w:t>(RW)</w:t>
            </w:r>
            <w:r w:rsidRPr="005F4B44">
              <w:rPr>
                <w:rFonts w:ascii="Calibri" w:eastAsia="細明體" w:hAnsi="Calibri" w:hint="eastAsia"/>
                <w:i/>
                <w:color w:val="000000"/>
                <w:sz w:val="17"/>
                <w:szCs w:val="17"/>
                <w:lang w:eastAsia="zh-TW"/>
              </w:rPr>
              <w:t>組別）</w:t>
            </w:r>
            <w:r w:rsidRPr="005F4B44">
              <w:rPr>
                <w:rFonts w:ascii="Calibri" w:eastAsia="細明體" w:hAnsi="Calibri" w:hint="eastAsia"/>
                <w:color w:val="000000"/>
                <w:sz w:val="17"/>
                <w:szCs w:val="17"/>
                <w:lang w:eastAsia="zh-TW"/>
              </w:rPr>
              <w:t>：須遵守證券化框架，並按風險承擔的適用風險權重分配的風險承擔值。</w:t>
            </w:r>
          </w:p>
        </w:tc>
      </w:tr>
      <w:tr w:rsidR="005F4B44" w:rsidRPr="005F4B44" w14:paraId="392A8CB0" w14:textId="77777777" w:rsidTr="001D6590">
        <w:tc>
          <w:tcPr>
            <w:tcW w:w="851" w:type="dxa"/>
            <w:tcBorders>
              <w:top w:val="single" w:sz="4" w:space="0" w:color="000000"/>
              <w:left w:val="single" w:sz="4" w:space="0" w:color="000000"/>
              <w:bottom w:val="single" w:sz="4" w:space="0" w:color="000000"/>
            </w:tcBorders>
            <w:shd w:val="clear" w:color="auto" w:fill="auto"/>
          </w:tcPr>
          <w:p w14:paraId="4F0B2158" w14:textId="77777777" w:rsidR="005F4B44" w:rsidRPr="005F4B44" w:rsidRDefault="005F4B44" w:rsidP="005F4B44">
            <w:pPr>
              <w:keepLines/>
              <w:widowControl w:val="0"/>
              <w:spacing w:before="20" w:after="20" w:line="259" w:lineRule="auto"/>
              <w:ind w:right="-108"/>
              <w:rPr>
                <w:rFonts w:ascii="Calibri" w:eastAsia="細明體" w:hAnsi="Calibri"/>
                <w:i/>
                <w:sz w:val="17"/>
                <w:szCs w:val="17"/>
                <w:lang w:eastAsia="zh-CN"/>
              </w:rPr>
            </w:pPr>
            <w:r w:rsidRPr="005F4B44">
              <w:rPr>
                <w:rFonts w:ascii="Calibri" w:eastAsia="細明體" w:hAnsi="Calibri"/>
                <w:sz w:val="17"/>
                <w:szCs w:val="17"/>
                <w:lang w:eastAsia="zh-CN"/>
              </w:rPr>
              <w:t>(f)</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w:t>
            </w:r>
            <w:proofErr w:type="spellStart"/>
            <w:r w:rsidRPr="005F4B44">
              <w:rPr>
                <w:rFonts w:ascii="Calibri" w:eastAsia="細明體" w:hAnsi="Calibri"/>
                <w:sz w:val="17"/>
                <w:szCs w:val="17"/>
                <w:lang w:eastAsia="zh-CN"/>
              </w:rPr>
              <w:t>i</w:t>
            </w:r>
            <w:proofErr w:type="spellEnd"/>
            <w:r w:rsidRPr="005F4B44">
              <w:rPr>
                <w:rFonts w:ascii="Calibri" w:eastAsia="細明體" w:hAnsi="Calibri"/>
                <w:sz w:val="17"/>
                <w:szCs w:val="17"/>
                <w:lang w:eastAsia="zh-CN"/>
              </w:rPr>
              <w:t>)</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B14D1" w14:textId="0583F38D" w:rsidR="005F4B44" w:rsidRPr="005F4B44" w:rsidRDefault="005F4B44" w:rsidP="005F4B44">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F4B44">
              <w:rPr>
                <w:rFonts w:ascii="Calibri" w:eastAsia="細明體" w:hAnsi="Calibri" w:hint="eastAsia"/>
                <w:i/>
                <w:sz w:val="17"/>
                <w:szCs w:val="17"/>
                <w:lang w:eastAsia="zh-TW"/>
              </w:rPr>
              <w:t>風險承擔值（按監管計算法）</w:t>
            </w:r>
            <w:r w:rsidRPr="005F4B44">
              <w:rPr>
                <w:rFonts w:ascii="Calibri" w:eastAsia="細明體" w:hAnsi="Calibri" w:hint="eastAsia"/>
                <w:sz w:val="17"/>
                <w:szCs w:val="17"/>
                <w:lang w:eastAsia="zh-TW"/>
              </w:rPr>
              <w:t>：</w:t>
            </w:r>
            <w:r w:rsidRPr="005F4B44">
              <w:rPr>
                <w:rFonts w:ascii="Calibri" w:eastAsia="細明體" w:hAnsi="Calibri" w:hint="eastAsia"/>
                <w:color w:val="000000"/>
                <w:sz w:val="17"/>
                <w:szCs w:val="17"/>
                <w:lang w:eastAsia="zh-TW"/>
              </w:rPr>
              <w:t>須遵守證券化框架，並按適用的監管計算法</w:t>
            </w:r>
            <w:proofErr w:type="gramStart"/>
            <w:r w:rsidRPr="005F4B44">
              <w:rPr>
                <w:rFonts w:ascii="Calibri" w:eastAsia="細明體" w:hAnsi="Calibri" w:hint="eastAsia"/>
                <w:color w:val="000000"/>
                <w:sz w:val="17"/>
                <w:szCs w:val="17"/>
                <w:lang w:eastAsia="zh-TW"/>
              </w:rPr>
              <w:t>（</w:t>
            </w:r>
            <w:proofErr w:type="gramEnd"/>
            <w:r w:rsidRPr="005F4B44">
              <w:rPr>
                <w:rFonts w:ascii="Calibri" w:eastAsia="細明體" w:hAnsi="Calibri" w:hint="eastAsia"/>
                <w:color w:val="000000"/>
                <w:sz w:val="17"/>
                <w:szCs w:val="17"/>
                <w:lang w:eastAsia="zh-TW"/>
              </w:rPr>
              <w:t>即</w:t>
            </w:r>
            <w:r w:rsidRPr="005F4B44">
              <w:rPr>
                <w:rFonts w:ascii="Calibri" w:eastAsia="新細明體" w:hAnsi="Calibri"/>
                <w:color w:val="000000"/>
                <w:sz w:val="17"/>
                <w:szCs w:val="17"/>
                <w:lang w:eastAsia="zh-TW"/>
              </w:rPr>
              <w:t>SEC-IRBA</w:t>
            </w:r>
            <w:r w:rsidRPr="005F4B44">
              <w:rPr>
                <w:rFonts w:ascii="Calibri" w:eastAsia="新細明體" w:hAnsi="Calibri" w:hint="eastAsia"/>
                <w:color w:val="000000"/>
                <w:sz w:val="17"/>
                <w:szCs w:val="17"/>
                <w:lang w:eastAsia="zh-TW"/>
              </w:rPr>
              <w:t>、</w:t>
            </w:r>
            <w:r w:rsidRPr="005F4B44">
              <w:rPr>
                <w:rFonts w:ascii="Calibri" w:eastAsia="新細明體" w:hAnsi="Calibri"/>
                <w:color w:val="000000"/>
                <w:sz w:val="17"/>
                <w:szCs w:val="17"/>
                <w:lang w:eastAsia="zh-TW"/>
              </w:rPr>
              <w:t>SEC-ERBA</w:t>
            </w:r>
            <w:proofErr w:type="gramStart"/>
            <w:r w:rsidRPr="005F4B44">
              <w:rPr>
                <w:rFonts w:ascii="Calibri" w:eastAsia="新細明體" w:hAnsi="Calibri" w:hint="eastAsia"/>
                <w:color w:val="000000"/>
                <w:sz w:val="17"/>
                <w:szCs w:val="17"/>
                <w:lang w:eastAsia="zh-TW"/>
              </w:rPr>
              <w:t>（</w:t>
            </w:r>
            <w:proofErr w:type="gramEnd"/>
            <w:r w:rsidRPr="005F4B44">
              <w:rPr>
                <w:rFonts w:ascii="Calibri" w:eastAsia="新細明體" w:hAnsi="Calibri" w:hint="eastAsia"/>
                <w:color w:val="000000"/>
                <w:sz w:val="17"/>
                <w:szCs w:val="17"/>
                <w:lang w:eastAsia="zh-TW"/>
              </w:rPr>
              <w:t>包括該等認可機構使用</w:t>
            </w:r>
            <w:r w:rsidRPr="005F4B44">
              <w:rPr>
                <w:rFonts w:ascii="Calibri" w:eastAsia="新細明體" w:hAnsi="Calibri" w:hint="eastAsia"/>
                <w:color w:val="000000"/>
                <w:sz w:val="17"/>
                <w:szCs w:val="17"/>
                <w:lang w:eastAsia="zh-TW"/>
              </w:rPr>
              <w:t>IAA</w:t>
            </w:r>
            <w:r w:rsidRPr="005F4B44">
              <w:rPr>
                <w:rFonts w:ascii="Calibri" w:eastAsia="新細明體" w:hAnsi="Calibri" w:hint="eastAsia"/>
                <w:color w:val="000000"/>
                <w:sz w:val="17"/>
                <w:szCs w:val="17"/>
                <w:lang w:eastAsia="zh-TW"/>
              </w:rPr>
              <w:t>斷定風險權重的風險承擔</w:t>
            </w:r>
            <w:proofErr w:type="gramStart"/>
            <w:r w:rsidRPr="005F4B44">
              <w:rPr>
                <w:rFonts w:ascii="Calibri" w:eastAsia="新細明體" w:hAnsi="Calibri" w:hint="eastAsia"/>
                <w:color w:val="000000"/>
                <w:sz w:val="17"/>
                <w:szCs w:val="17"/>
                <w:lang w:eastAsia="zh-TW"/>
              </w:rPr>
              <w:t>）</w:t>
            </w:r>
            <w:proofErr w:type="gramEnd"/>
            <w:r w:rsidRPr="005F4B44">
              <w:rPr>
                <w:rFonts w:ascii="Calibri" w:eastAsia="新細明體" w:hAnsi="Calibri" w:hint="eastAsia"/>
                <w:color w:val="000000"/>
                <w:sz w:val="17"/>
                <w:szCs w:val="17"/>
                <w:lang w:eastAsia="zh-TW"/>
              </w:rPr>
              <w:t>、</w:t>
            </w:r>
            <w:r w:rsidRPr="005F4B44">
              <w:rPr>
                <w:rFonts w:ascii="Calibri" w:eastAsia="新細明體" w:hAnsi="Calibri"/>
                <w:color w:val="000000"/>
                <w:sz w:val="17"/>
                <w:szCs w:val="17"/>
                <w:lang w:eastAsia="zh-TW"/>
              </w:rPr>
              <w:t>SEC-SA</w:t>
            </w:r>
            <w:r w:rsidRPr="005F4B44">
              <w:rPr>
                <w:rFonts w:ascii="Calibri" w:eastAsia="新細明體" w:hAnsi="Calibri" w:hint="eastAsia"/>
                <w:color w:val="000000"/>
                <w:sz w:val="17"/>
                <w:szCs w:val="17"/>
                <w:lang w:eastAsia="zh-TW"/>
              </w:rPr>
              <w:t>及</w:t>
            </w:r>
            <w:r w:rsidRPr="005F4B44">
              <w:rPr>
                <w:rFonts w:ascii="Calibri" w:eastAsia="新細明體" w:hAnsi="Calibri"/>
                <w:color w:val="000000"/>
                <w:sz w:val="17"/>
                <w:szCs w:val="17"/>
                <w:lang w:eastAsia="zh-TW"/>
              </w:rPr>
              <w:t>SEC-FBA</w:t>
            </w:r>
            <w:proofErr w:type="gramStart"/>
            <w:r w:rsidRPr="005F4B44">
              <w:rPr>
                <w:rFonts w:ascii="Calibri" w:eastAsia="細明體" w:hAnsi="Calibri" w:hint="eastAsia"/>
                <w:color w:val="000000"/>
                <w:sz w:val="17"/>
                <w:szCs w:val="17"/>
                <w:lang w:eastAsia="zh-TW"/>
              </w:rPr>
              <w:t>）</w:t>
            </w:r>
            <w:proofErr w:type="gramEnd"/>
            <w:r w:rsidRPr="005F4B44">
              <w:rPr>
                <w:rFonts w:ascii="Calibri" w:eastAsia="細明體" w:hAnsi="Calibri" w:hint="eastAsia"/>
                <w:color w:val="000000"/>
                <w:sz w:val="17"/>
                <w:szCs w:val="17"/>
                <w:lang w:eastAsia="zh-TW"/>
              </w:rPr>
              <w:t>分配的風險承擔值。</w:t>
            </w:r>
          </w:p>
        </w:tc>
      </w:tr>
      <w:tr w:rsidR="005F4B44" w:rsidRPr="005F4B44" w14:paraId="5135E296" w14:textId="77777777" w:rsidTr="001D6590">
        <w:tc>
          <w:tcPr>
            <w:tcW w:w="851" w:type="dxa"/>
            <w:tcBorders>
              <w:top w:val="single" w:sz="4" w:space="0" w:color="000000"/>
              <w:left w:val="single" w:sz="4" w:space="0" w:color="000000"/>
              <w:bottom w:val="single" w:sz="4" w:space="0" w:color="000000"/>
            </w:tcBorders>
            <w:shd w:val="clear" w:color="auto" w:fill="auto"/>
          </w:tcPr>
          <w:p w14:paraId="30641208" w14:textId="77777777" w:rsidR="005F4B44" w:rsidRPr="005F4B44" w:rsidRDefault="005F4B44" w:rsidP="005F4B44">
            <w:pPr>
              <w:keepLines/>
              <w:widowControl w:val="0"/>
              <w:spacing w:before="20" w:after="20" w:line="259" w:lineRule="auto"/>
              <w:ind w:right="-108"/>
              <w:rPr>
                <w:rFonts w:ascii="Calibri" w:eastAsia="細明體" w:hAnsi="Calibri"/>
                <w:i/>
                <w:sz w:val="17"/>
                <w:szCs w:val="22"/>
                <w:lang w:eastAsia="zh-CN"/>
              </w:rPr>
            </w:pPr>
            <w:r w:rsidRPr="005F4B44">
              <w:rPr>
                <w:rFonts w:ascii="Calibri" w:eastAsia="細明體" w:hAnsi="Calibri"/>
                <w:sz w:val="17"/>
                <w:szCs w:val="17"/>
                <w:lang w:eastAsia="zh-CN"/>
              </w:rPr>
              <w:t>(j)</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(m)</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8B6F" w14:textId="77777777" w:rsidR="005F4B44" w:rsidRPr="005F4B44" w:rsidRDefault="005F4B44" w:rsidP="005F4B44">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F4B44">
              <w:rPr>
                <w:rFonts w:ascii="Calibri" w:eastAsia="細明體" w:hAnsi="Calibri" w:hint="eastAsia"/>
                <w:i/>
                <w:sz w:val="17"/>
                <w:szCs w:val="22"/>
                <w:lang w:eastAsia="zh-TW"/>
              </w:rPr>
              <w:t>風險加權數額（</w:t>
            </w:r>
            <w:r w:rsidRPr="005F4B44">
              <w:rPr>
                <w:rFonts w:ascii="Calibri" w:eastAsia="細明體" w:hAnsi="Calibri" w:hint="eastAsia"/>
                <w:i/>
                <w:sz w:val="17"/>
                <w:szCs w:val="17"/>
                <w:lang w:eastAsia="zh-TW"/>
              </w:rPr>
              <w:t>按監管計算法</w:t>
            </w:r>
            <w:r w:rsidRPr="005F4B44">
              <w:rPr>
                <w:rFonts w:ascii="Calibri" w:eastAsia="細明體" w:hAnsi="Calibri" w:hint="eastAsia"/>
                <w:i/>
                <w:sz w:val="17"/>
                <w:szCs w:val="22"/>
                <w:lang w:eastAsia="zh-TW"/>
              </w:rPr>
              <w:t>）</w:t>
            </w:r>
            <w:r w:rsidRPr="005F4B44">
              <w:rPr>
                <w:rFonts w:ascii="Calibri" w:eastAsia="細明體" w:hAnsi="Calibri" w:hint="eastAsia"/>
                <w:sz w:val="17"/>
                <w:szCs w:val="17"/>
                <w:lang w:eastAsia="zh-TW"/>
              </w:rPr>
              <w:t>：</w:t>
            </w:r>
            <w:r w:rsidRPr="005F4B44">
              <w:rPr>
                <w:rFonts w:ascii="Calibri" w:eastAsia="細明體" w:hAnsi="Calibri" w:hint="eastAsia"/>
                <w:color w:val="000000"/>
                <w:sz w:val="17"/>
                <w:szCs w:val="17"/>
                <w:lang w:eastAsia="zh-TW"/>
              </w:rPr>
              <w:t>須遵守證券化框架，並按</w:t>
            </w:r>
            <w:r w:rsidRPr="005F4B44">
              <w:rPr>
                <w:rFonts w:ascii="Calibri" w:eastAsia="細明體" w:hAnsi="Calibri"/>
                <w:color w:val="000000"/>
                <w:sz w:val="17"/>
                <w:szCs w:val="17"/>
                <w:lang w:eastAsia="zh-TW"/>
              </w:rPr>
              <w:t>(f)</w:t>
            </w:r>
            <w:r w:rsidRPr="005F4B44">
              <w:rPr>
                <w:rFonts w:ascii="Calibri" w:eastAsia="細明體" w:hAnsi="Calibri" w:hint="eastAsia"/>
                <w:color w:val="000000"/>
                <w:sz w:val="17"/>
                <w:szCs w:val="17"/>
                <w:lang w:eastAsia="zh-TW"/>
              </w:rPr>
              <w:t>至</w:t>
            </w:r>
            <w:r w:rsidRPr="005F4B44">
              <w:rPr>
                <w:rFonts w:ascii="Calibri" w:eastAsia="細明體" w:hAnsi="Calibri"/>
                <w:color w:val="000000"/>
                <w:sz w:val="17"/>
                <w:szCs w:val="17"/>
                <w:lang w:eastAsia="zh-TW"/>
              </w:rPr>
              <w:t>(</w:t>
            </w:r>
            <w:proofErr w:type="spellStart"/>
            <w:r w:rsidRPr="005F4B44">
              <w:rPr>
                <w:rFonts w:ascii="Calibri" w:eastAsia="細明體" w:hAnsi="Calibri"/>
                <w:color w:val="000000"/>
                <w:sz w:val="17"/>
                <w:szCs w:val="17"/>
                <w:lang w:eastAsia="zh-TW"/>
              </w:rPr>
              <w:t>i</w:t>
            </w:r>
            <w:proofErr w:type="spellEnd"/>
            <w:r w:rsidRPr="005F4B44">
              <w:rPr>
                <w:rFonts w:ascii="Calibri" w:eastAsia="細明體" w:hAnsi="Calibri"/>
                <w:color w:val="000000"/>
                <w:sz w:val="17"/>
                <w:szCs w:val="17"/>
                <w:lang w:eastAsia="zh-TW"/>
              </w:rPr>
              <w:t>)</w:t>
            </w:r>
            <w:r w:rsidRPr="005F4B44">
              <w:rPr>
                <w:rFonts w:ascii="Calibri" w:eastAsia="細明體" w:hAnsi="Calibri" w:hint="eastAsia"/>
                <w:color w:val="000000"/>
                <w:sz w:val="17"/>
                <w:szCs w:val="17"/>
                <w:lang w:eastAsia="zh-TW"/>
              </w:rPr>
              <w:t>欄的風險承擔值分配方法分配的</w:t>
            </w:r>
            <w:r w:rsidRPr="005F4B44">
              <w:rPr>
                <w:rFonts w:ascii="Calibri" w:eastAsia="細明體" w:hAnsi="Calibri" w:hint="eastAsia"/>
                <w:sz w:val="17"/>
                <w:szCs w:val="22"/>
                <w:lang w:eastAsia="zh-TW"/>
              </w:rPr>
              <w:t>風險加權數額（</w:t>
            </w:r>
            <w:r w:rsidRPr="005F4B44">
              <w:rPr>
                <w:rFonts w:ascii="Calibri" w:eastAsia="細明體" w:hAnsi="Calibri" w:hint="eastAsia"/>
                <w:color w:val="000000"/>
                <w:sz w:val="17"/>
                <w:szCs w:val="17"/>
                <w:lang w:eastAsia="zh-TW"/>
              </w:rPr>
              <w:t>在應用下述監管最高規定或上限前計算</w:t>
            </w:r>
            <w:r w:rsidRPr="005F4B44">
              <w:rPr>
                <w:rFonts w:ascii="Calibri" w:eastAsia="細明體" w:hAnsi="Calibri" w:hint="eastAsia"/>
                <w:sz w:val="17"/>
                <w:szCs w:val="22"/>
                <w:lang w:eastAsia="zh-TW"/>
              </w:rPr>
              <w:t>）</w:t>
            </w:r>
            <w:r w:rsidRPr="005F4B44">
              <w:rPr>
                <w:rFonts w:ascii="Calibri" w:eastAsia="細明體" w:hAnsi="Calibri" w:hint="eastAsia"/>
                <w:color w:val="000000"/>
                <w:sz w:val="17"/>
                <w:szCs w:val="17"/>
                <w:lang w:eastAsia="zh-TW"/>
              </w:rPr>
              <w:t>。</w:t>
            </w:r>
          </w:p>
        </w:tc>
      </w:tr>
      <w:tr w:rsidR="005F4B44" w:rsidRPr="005F4B44" w14:paraId="5A4B30E9" w14:textId="77777777" w:rsidTr="001D6590">
        <w:tc>
          <w:tcPr>
            <w:tcW w:w="851" w:type="dxa"/>
            <w:tcBorders>
              <w:top w:val="single" w:sz="4" w:space="0" w:color="000000"/>
              <w:left w:val="single" w:sz="4" w:space="0" w:color="000000"/>
              <w:bottom w:val="single" w:sz="4" w:space="0" w:color="000000"/>
            </w:tcBorders>
            <w:shd w:val="clear" w:color="auto" w:fill="auto"/>
          </w:tcPr>
          <w:p w14:paraId="1B42765A" w14:textId="77777777" w:rsidR="005F4B44" w:rsidRPr="005F4B44" w:rsidRDefault="005F4B44" w:rsidP="005F4B44">
            <w:pPr>
              <w:keepLines/>
              <w:widowControl w:val="0"/>
              <w:spacing w:before="20" w:after="20" w:line="259" w:lineRule="auto"/>
              <w:ind w:right="-108"/>
              <w:rPr>
                <w:rFonts w:ascii="Calibri" w:eastAsia="細明體" w:hAnsi="Calibri"/>
                <w:i/>
                <w:sz w:val="17"/>
                <w:szCs w:val="17"/>
                <w:lang w:eastAsia="zh-CN"/>
              </w:rPr>
            </w:pPr>
            <w:r w:rsidRPr="005F4B44">
              <w:rPr>
                <w:rFonts w:ascii="Calibri" w:eastAsia="細明體" w:hAnsi="Calibri"/>
                <w:sz w:val="17"/>
                <w:szCs w:val="17"/>
                <w:lang w:eastAsia="zh-CN"/>
              </w:rPr>
              <w:t>(n)</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(q)</w:t>
            </w:r>
          </w:p>
        </w:tc>
        <w:tc>
          <w:tcPr>
            <w:tcW w:w="1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16B6" w14:textId="77777777" w:rsidR="005F4B44" w:rsidRPr="005F4B44" w:rsidRDefault="005F4B44" w:rsidP="005F4B44">
            <w:pPr>
              <w:keepLines/>
              <w:widowControl w:val="0"/>
              <w:tabs>
                <w:tab w:val="left" w:pos="150"/>
                <w:tab w:val="left" w:pos="397"/>
                <w:tab w:val="left" w:pos="794"/>
                <w:tab w:val="left" w:pos="1191"/>
              </w:tabs>
              <w:spacing w:before="20" w:after="20" w:line="259" w:lineRule="auto"/>
              <w:jc w:val="both"/>
              <w:rPr>
                <w:rFonts w:ascii="Calibri" w:eastAsia="新細明體" w:hAnsi="Calibri"/>
                <w:sz w:val="22"/>
                <w:szCs w:val="22"/>
                <w:lang w:eastAsia="zh-TW"/>
              </w:rPr>
            </w:pPr>
            <w:r w:rsidRPr="005F4B44">
              <w:rPr>
                <w:rFonts w:ascii="Calibri" w:eastAsia="細明體" w:hAnsi="Calibri" w:hint="eastAsia"/>
                <w:i/>
                <w:sz w:val="17"/>
                <w:szCs w:val="17"/>
                <w:lang w:eastAsia="zh-TW"/>
              </w:rPr>
              <w:t>應</w:t>
            </w:r>
            <w:r w:rsidRPr="005F4B44">
              <w:rPr>
                <w:rFonts w:ascii="Calibri" w:eastAsia="細明體" w:hAnsi="Calibri" w:hint="eastAsia"/>
                <w:i/>
                <w:sz w:val="17"/>
                <w:szCs w:val="22"/>
                <w:lang w:eastAsia="zh-TW"/>
              </w:rPr>
              <w:t>用上限後的資本要求</w:t>
            </w:r>
            <w:r w:rsidRPr="005F4B44">
              <w:rPr>
                <w:rFonts w:ascii="Calibri" w:eastAsia="細明體" w:hAnsi="Calibri" w:hint="eastAsia"/>
                <w:sz w:val="17"/>
                <w:szCs w:val="17"/>
                <w:lang w:eastAsia="zh-TW"/>
              </w:rPr>
              <w:t>：按</w:t>
            </w:r>
            <w:r w:rsidRPr="005F4B44">
              <w:rPr>
                <w:rFonts w:ascii="Calibri" w:eastAsia="細明體" w:hAnsi="Calibri" w:hint="eastAsia"/>
                <w:color w:val="000000"/>
                <w:sz w:val="17"/>
                <w:szCs w:val="17"/>
                <w:lang w:eastAsia="zh-TW"/>
              </w:rPr>
              <w:t>證券化框架定出，並按</w:t>
            </w:r>
            <w:r w:rsidRPr="005F4B44">
              <w:rPr>
                <w:rFonts w:ascii="Calibri" w:eastAsia="細明體" w:hAnsi="Calibri"/>
                <w:color w:val="000000"/>
                <w:sz w:val="17"/>
                <w:szCs w:val="17"/>
                <w:lang w:eastAsia="zh-TW"/>
              </w:rPr>
              <w:t>(j)</w:t>
            </w:r>
            <w:r w:rsidRPr="005F4B44">
              <w:rPr>
                <w:rFonts w:ascii="Calibri" w:eastAsia="細明體" w:hAnsi="Calibri" w:hint="eastAsia"/>
                <w:color w:val="000000"/>
                <w:sz w:val="17"/>
                <w:szCs w:val="17"/>
                <w:lang w:eastAsia="zh-TW"/>
              </w:rPr>
              <w:t>至</w:t>
            </w:r>
            <w:r w:rsidRPr="005F4B44">
              <w:rPr>
                <w:rFonts w:ascii="Calibri" w:eastAsia="細明體" w:hAnsi="Calibri"/>
                <w:color w:val="000000"/>
                <w:sz w:val="17"/>
                <w:szCs w:val="17"/>
                <w:lang w:eastAsia="zh-TW"/>
              </w:rPr>
              <w:t>(m)</w:t>
            </w:r>
            <w:r w:rsidRPr="005F4B44">
              <w:rPr>
                <w:rFonts w:ascii="Calibri" w:eastAsia="細明體" w:hAnsi="Calibri" w:hint="eastAsia"/>
                <w:color w:val="000000"/>
                <w:sz w:val="17"/>
                <w:szCs w:val="17"/>
                <w:lang w:eastAsia="zh-TW"/>
              </w:rPr>
              <w:t>欄的風險承擔值分配方法分配的資本要求（按適用情況，根據《資本規則》第</w:t>
            </w:r>
            <w:r w:rsidRPr="005F4B44">
              <w:rPr>
                <w:rFonts w:ascii="Calibri" w:eastAsia="細明體" w:hAnsi="Calibri"/>
                <w:color w:val="000000"/>
                <w:sz w:val="17"/>
                <w:szCs w:val="17"/>
                <w:lang w:eastAsia="zh-TW"/>
              </w:rPr>
              <w:t>7</w:t>
            </w:r>
            <w:r w:rsidRPr="005F4B44">
              <w:rPr>
                <w:rFonts w:ascii="Calibri" w:eastAsia="細明體" w:hAnsi="Calibri" w:hint="eastAsia"/>
                <w:color w:val="000000"/>
                <w:sz w:val="17"/>
                <w:szCs w:val="17"/>
                <w:lang w:eastAsia="zh-TW"/>
              </w:rPr>
              <w:t>部經</w:t>
            </w:r>
            <w:r w:rsidRPr="005F4B44">
              <w:rPr>
                <w:rFonts w:ascii="Calibri" w:eastAsia="細明體" w:hAnsi="Calibri" w:hint="eastAsia"/>
                <w:sz w:val="17"/>
                <w:szCs w:val="17"/>
                <w:lang w:eastAsia="zh-TW"/>
              </w:rPr>
              <w:t>應</w:t>
            </w:r>
            <w:r w:rsidRPr="005F4B44">
              <w:rPr>
                <w:rFonts w:ascii="Calibri" w:eastAsia="細明體" w:hAnsi="Calibri" w:hint="eastAsia"/>
                <w:color w:val="000000"/>
                <w:sz w:val="17"/>
                <w:szCs w:val="17"/>
                <w:lang w:eastAsia="zh-TW"/>
              </w:rPr>
              <w:t>用監管最高規定或上限後）。</w:t>
            </w:r>
            <w:r w:rsidRPr="005F4B44">
              <w:rPr>
                <w:rFonts w:ascii="Calibri" w:eastAsia="細明體" w:hAnsi="Calibri"/>
                <w:color w:val="000000"/>
                <w:sz w:val="17"/>
                <w:szCs w:val="17"/>
                <w:vertAlign w:val="superscript"/>
                <w:lang w:eastAsia="zh-CN"/>
              </w:rPr>
              <w:footnoteReference w:id="18"/>
            </w:r>
          </w:p>
        </w:tc>
      </w:tr>
    </w:tbl>
    <w:p w14:paraId="1418EFDB" w14:textId="77777777" w:rsidR="001D6590" w:rsidRDefault="001D6590">
      <w:pPr>
        <w:rPr>
          <w:lang w:eastAsia="zh-TW"/>
        </w:rPr>
      </w:pPr>
    </w:p>
    <w:p w14:paraId="3DF67BA3" w14:textId="16BF2E11" w:rsidR="001D6590" w:rsidRDefault="001D6590" w:rsidP="000D5C9B">
      <w:pPr>
        <w:pStyle w:val="Heading2"/>
        <w:keepNext w:val="0"/>
        <w:suppressAutoHyphens w:val="0"/>
        <w:spacing w:before="40" w:line="240" w:lineRule="auto"/>
        <w:ind w:left="-454" w:firstLine="596"/>
        <w:rPr>
          <w:rFonts w:ascii="Calibri" w:hAnsi="Calibri"/>
          <w:vanish/>
          <w:sz w:val="22"/>
          <w:szCs w:val="22"/>
          <w:lang w:eastAsia="zh-TW"/>
        </w:rPr>
        <w:sectPr w:rsidR="001D6590" w:rsidSect="00067617">
          <w:footerReference w:type="default" r:id="rId98"/>
          <w:pgSz w:w="16838" w:h="11906" w:orient="landscape"/>
          <w:pgMar w:top="1276" w:right="1440" w:bottom="992" w:left="1440" w:header="720" w:footer="737" w:gutter="0"/>
          <w:cols w:space="425"/>
          <w:docGrid w:type="lines" w:linePitch="360"/>
        </w:sectPr>
      </w:pPr>
    </w:p>
    <w:p w14:paraId="5BD2B2F0" w14:textId="161EA433" w:rsidR="000D5C9B" w:rsidRPr="000D5C9B" w:rsidRDefault="000D5C9B" w:rsidP="000D5C9B">
      <w:pPr>
        <w:pStyle w:val="Heading2"/>
        <w:keepNext w:val="0"/>
        <w:suppressAutoHyphens w:val="0"/>
        <w:spacing w:before="40" w:line="240" w:lineRule="auto"/>
        <w:ind w:left="-454" w:firstLine="596"/>
        <w:rPr>
          <w:rFonts w:ascii="細明體" w:eastAsia="細明體" w:hAnsi="細明體"/>
          <w:b w:val="0"/>
          <w:bCs w:val="0"/>
          <w:sz w:val="22"/>
          <w:szCs w:val="20"/>
          <w:lang w:eastAsia="zh-TW"/>
        </w:rPr>
      </w:pPr>
      <w:r w:rsidRPr="000D5C9B">
        <w:rPr>
          <w:rFonts w:ascii="細明體" w:eastAsia="細明體" w:hAnsi="細明體" w:cs="微軟正黑體" w:hint="eastAsia"/>
          <w:b w:val="0"/>
          <w:bCs w:val="0"/>
          <w:sz w:val="22"/>
          <w:szCs w:val="20"/>
          <w:lang w:eastAsia="zh-TW"/>
        </w:rPr>
        <w:t>模版</w:t>
      </w:r>
      <w:r w:rsidRPr="000D5C9B">
        <w:rPr>
          <w:rFonts w:ascii="Segoe UI" w:eastAsia="細明體" w:hAnsi="Segoe UI" w:cs="Segoe UI"/>
          <w:b w:val="0"/>
          <w:bCs w:val="0"/>
          <w:sz w:val="22"/>
          <w:szCs w:val="20"/>
          <w:lang w:eastAsia="zh-TW"/>
        </w:rPr>
        <w:t>SEC4</w:t>
      </w:r>
      <w:r w:rsidRPr="000D5C9B">
        <w:rPr>
          <w:rFonts w:ascii="細明體" w:eastAsia="細明體" w:hAnsi="細明體" w:cs="微軟正黑體" w:hint="eastAsia"/>
          <w:b w:val="0"/>
          <w:bCs w:val="0"/>
          <w:sz w:val="22"/>
          <w:szCs w:val="20"/>
          <w:lang w:eastAsia="zh-TW"/>
        </w:rPr>
        <w:t>：銀行帳內的證券化類別風險承擔及相關資本規定</w:t>
      </w:r>
      <w:proofErr w:type="gramStart"/>
      <w:r w:rsidRPr="000D5C9B">
        <w:rPr>
          <w:rFonts w:ascii="細明體" w:eastAsia="細明體" w:hAnsi="細明體" w:cs="微軟正黑體" w:hint="eastAsia"/>
          <w:b w:val="0"/>
          <w:bCs w:val="0"/>
          <w:sz w:val="22"/>
          <w:szCs w:val="20"/>
          <w:lang w:eastAsia="zh-TW"/>
        </w:rPr>
        <w:t>──</w:t>
      </w:r>
      <w:proofErr w:type="gramEnd"/>
      <w:r w:rsidRPr="000D5C9B">
        <w:rPr>
          <w:rFonts w:ascii="細明體" w:eastAsia="細明體" w:hAnsi="細明體" w:cs="微軟正黑體" w:hint="eastAsia"/>
          <w:b w:val="0"/>
          <w:bCs w:val="0"/>
          <w:sz w:val="22"/>
          <w:szCs w:val="20"/>
          <w:lang w:eastAsia="zh-TW"/>
        </w:rPr>
        <w:t>當認可機構作為投資者</w:t>
      </w:r>
    </w:p>
    <w:tbl>
      <w:tblPr>
        <w:tblW w:w="0" w:type="auto"/>
        <w:tblInd w:w="108" w:type="dxa"/>
        <w:tblLayout w:type="fixed"/>
        <w:tblLook w:val="0000" w:firstRow="0" w:lastRow="0" w:firstColumn="0" w:lastColumn="0" w:noHBand="0" w:noVBand="0"/>
      </w:tblPr>
      <w:tblGrid>
        <w:gridCol w:w="2552"/>
        <w:gridCol w:w="11340"/>
      </w:tblGrid>
      <w:tr w:rsidR="005F4B44" w:rsidRPr="005F4B44" w14:paraId="5656230C" w14:textId="77777777" w:rsidTr="005F4B44">
        <w:tc>
          <w:tcPr>
            <w:tcW w:w="2552" w:type="dxa"/>
            <w:tcBorders>
              <w:top w:val="single" w:sz="4" w:space="0" w:color="000000"/>
              <w:bottom w:val="single" w:sz="4" w:space="0" w:color="000000"/>
            </w:tcBorders>
            <w:shd w:val="clear" w:color="auto" w:fill="auto"/>
          </w:tcPr>
          <w:p w14:paraId="3D7CBC27"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目的：</w:t>
            </w:r>
          </w:p>
        </w:tc>
        <w:tc>
          <w:tcPr>
            <w:tcW w:w="11340" w:type="dxa"/>
            <w:tcBorders>
              <w:top w:val="single" w:sz="4" w:space="0" w:color="000000"/>
              <w:left w:val="single" w:sz="4" w:space="0" w:color="000000"/>
              <w:bottom w:val="single" w:sz="4" w:space="0" w:color="000000"/>
            </w:tcBorders>
            <w:shd w:val="clear" w:color="auto" w:fill="auto"/>
            <w:vAlign w:val="center"/>
          </w:tcPr>
          <w:p w14:paraId="754AEC3F" w14:textId="77777777" w:rsidR="005F4B44" w:rsidRPr="005F4B44" w:rsidRDefault="005F4B44" w:rsidP="005F4B44">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17"/>
                <w:lang w:eastAsia="zh-TW"/>
              </w:rPr>
              <w:t>展示在銀行帳內由認可機構作為投資機構的證券化交易產生的證券化類別風險承擔，及相關資本規定。</w:t>
            </w:r>
          </w:p>
        </w:tc>
      </w:tr>
      <w:tr w:rsidR="005F4B44" w:rsidRPr="005F4B44" w14:paraId="4B5F83C5" w14:textId="77777777" w:rsidTr="005F4B44">
        <w:tc>
          <w:tcPr>
            <w:tcW w:w="2552" w:type="dxa"/>
            <w:tcBorders>
              <w:top w:val="single" w:sz="4" w:space="0" w:color="000000"/>
              <w:bottom w:val="single" w:sz="4" w:space="0" w:color="000000"/>
            </w:tcBorders>
            <w:shd w:val="clear" w:color="auto" w:fill="auto"/>
          </w:tcPr>
          <w:p w14:paraId="418B6E6F" w14:textId="77777777" w:rsidR="005F4B44" w:rsidRPr="005F4B44" w:rsidRDefault="005F4B44" w:rsidP="005F4B44">
            <w:pPr>
              <w:spacing w:before="40" w:after="40" w:line="259" w:lineRule="auto"/>
              <w:rPr>
                <w:rFonts w:ascii="Calibri" w:eastAsia="細明體" w:hAnsi="Calibri"/>
                <w:sz w:val="17"/>
                <w:szCs w:val="22"/>
                <w:lang w:eastAsia="zh-CN"/>
              </w:rPr>
            </w:pPr>
            <w:r w:rsidRPr="005F4B44">
              <w:rPr>
                <w:rFonts w:ascii="Calibri" w:eastAsia="細明體" w:hAnsi="Calibri" w:hint="eastAsia"/>
                <w:b/>
                <w:sz w:val="17"/>
                <w:szCs w:val="17"/>
                <w:lang w:eastAsia="zh-CN"/>
              </w:rPr>
              <w:t>適用範</w:t>
            </w:r>
            <w:proofErr w:type="gramStart"/>
            <w:r w:rsidRPr="005F4B44">
              <w:rPr>
                <w:rFonts w:ascii="Calibri" w:eastAsia="細明體" w:hAnsi="Calibri" w:hint="eastAsia"/>
                <w:b/>
                <w:sz w:val="17"/>
                <w:szCs w:val="17"/>
                <w:lang w:eastAsia="zh-CN"/>
              </w:rPr>
              <w:t>圍</w:t>
            </w:r>
            <w:proofErr w:type="gramEnd"/>
            <w:r w:rsidRPr="005F4B44">
              <w:rPr>
                <w:rFonts w:ascii="Calibri" w:eastAsia="細明體" w:hAnsi="Calibri" w:hint="eastAsia"/>
                <w:b/>
                <w:sz w:val="17"/>
                <w:szCs w:val="17"/>
                <w:lang w:eastAsia="zh-CN"/>
              </w:rPr>
              <w:t>：</w:t>
            </w:r>
          </w:p>
        </w:tc>
        <w:tc>
          <w:tcPr>
            <w:tcW w:w="11340" w:type="dxa"/>
            <w:tcBorders>
              <w:top w:val="single" w:sz="4" w:space="0" w:color="000000"/>
              <w:left w:val="single" w:sz="4" w:space="0" w:color="000000"/>
              <w:bottom w:val="single" w:sz="4" w:space="0" w:color="000000"/>
            </w:tcBorders>
            <w:shd w:val="clear" w:color="auto" w:fill="auto"/>
            <w:vAlign w:val="center"/>
          </w:tcPr>
          <w:p w14:paraId="1D186175" w14:textId="77777777" w:rsidR="005F4B44" w:rsidRPr="005F4B44" w:rsidRDefault="005F4B44" w:rsidP="005F4B44">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22"/>
                <w:lang w:eastAsia="zh-TW"/>
              </w:rPr>
              <w:t>在香港成立</w:t>
            </w:r>
            <w:proofErr w:type="gramStart"/>
            <w:r w:rsidRPr="005F4B44">
              <w:rPr>
                <w:rFonts w:ascii="Calibri" w:eastAsia="細明體" w:hAnsi="Calibri" w:hint="eastAsia"/>
                <w:sz w:val="17"/>
                <w:szCs w:val="22"/>
                <w:lang w:eastAsia="zh-TW"/>
              </w:rPr>
              <w:t>為法團並</w:t>
            </w:r>
            <w:proofErr w:type="gramEnd"/>
            <w:r w:rsidRPr="005F4B44">
              <w:rPr>
                <w:rFonts w:ascii="Calibri" w:eastAsia="細明體" w:hAnsi="Calibri" w:hint="eastAsia"/>
                <w:sz w:val="17"/>
                <w:szCs w:val="22"/>
                <w:lang w:eastAsia="zh-TW"/>
              </w:rPr>
              <w:t>持有證券化類別風險承擔及作為</w:t>
            </w:r>
            <w:r w:rsidRPr="005F4B44">
              <w:rPr>
                <w:rFonts w:ascii="Calibri" w:eastAsia="細明體" w:hAnsi="Calibri" w:hint="eastAsia"/>
                <w:sz w:val="17"/>
                <w:szCs w:val="17"/>
                <w:lang w:eastAsia="zh-TW"/>
              </w:rPr>
              <w:t>該等交易的</w:t>
            </w:r>
            <w:r w:rsidRPr="005F4B44">
              <w:rPr>
                <w:rFonts w:ascii="Calibri" w:eastAsia="細明體" w:hAnsi="Calibri" w:hint="eastAsia"/>
                <w:sz w:val="17"/>
                <w:szCs w:val="22"/>
                <w:lang w:eastAsia="zh-TW"/>
              </w:rPr>
              <w:t>投資者的認可機構，</w:t>
            </w:r>
            <w:proofErr w:type="gramStart"/>
            <w:r w:rsidRPr="005F4B44">
              <w:rPr>
                <w:rFonts w:ascii="Calibri" w:eastAsia="細明體" w:hAnsi="Calibri" w:hint="eastAsia"/>
                <w:sz w:val="17"/>
                <w:szCs w:val="22"/>
                <w:lang w:eastAsia="zh-TW"/>
              </w:rPr>
              <w:t>均須填報本模</w:t>
            </w:r>
            <w:proofErr w:type="gramEnd"/>
            <w:r w:rsidRPr="005F4B44">
              <w:rPr>
                <w:rFonts w:ascii="Calibri" w:eastAsia="細明體" w:hAnsi="Calibri" w:hint="eastAsia"/>
                <w:sz w:val="17"/>
                <w:szCs w:val="22"/>
                <w:lang w:eastAsia="zh-TW"/>
              </w:rPr>
              <w:t>版。</w:t>
            </w:r>
          </w:p>
        </w:tc>
      </w:tr>
      <w:tr w:rsidR="005F4B44" w:rsidRPr="005F4B44" w14:paraId="3B5CCDB4" w14:textId="77777777" w:rsidTr="005F4B44">
        <w:trPr>
          <w:trHeight w:val="275"/>
        </w:trPr>
        <w:tc>
          <w:tcPr>
            <w:tcW w:w="2552" w:type="dxa"/>
            <w:tcBorders>
              <w:top w:val="single" w:sz="4" w:space="0" w:color="000000"/>
              <w:bottom w:val="single" w:sz="4" w:space="0" w:color="000000"/>
            </w:tcBorders>
            <w:shd w:val="clear" w:color="auto" w:fill="auto"/>
          </w:tcPr>
          <w:p w14:paraId="2A4EF43C" w14:textId="77777777" w:rsidR="005F4B44" w:rsidRPr="005F4B44" w:rsidRDefault="005F4B44" w:rsidP="005F4B44">
            <w:pPr>
              <w:spacing w:before="40" w:after="40" w:line="259" w:lineRule="auto"/>
              <w:rPr>
                <w:rFonts w:ascii="Calibri" w:eastAsia="細明體" w:hAnsi="Calibri"/>
                <w:sz w:val="17"/>
                <w:szCs w:val="22"/>
                <w:lang w:eastAsia="zh-CN"/>
              </w:rPr>
            </w:pPr>
            <w:proofErr w:type="gramStart"/>
            <w:r w:rsidRPr="005F4B44">
              <w:rPr>
                <w:rFonts w:ascii="Calibri" w:eastAsia="細明體" w:hAnsi="Calibri" w:hint="eastAsia"/>
                <w:b/>
                <w:sz w:val="17"/>
                <w:szCs w:val="17"/>
                <w:lang w:eastAsia="zh-CN"/>
              </w:rPr>
              <w:t>內</w:t>
            </w:r>
            <w:proofErr w:type="gramEnd"/>
            <w:r w:rsidRPr="005F4B44">
              <w:rPr>
                <w:rFonts w:ascii="Calibri" w:eastAsia="細明體" w:hAnsi="Calibri" w:hint="eastAsia"/>
                <w:b/>
                <w:sz w:val="17"/>
                <w:szCs w:val="17"/>
                <w:lang w:eastAsia="zh-CN"/>
              </w:rPr>
              <w:t>容：</w:t>
            </w:r>
          </w:p>
        </w:tc>
        <w:tc>
          <w:tcPr>
            <w:tcW w:w="11340" w:type="dxa"/>
            <w:tcBorders>
              <w:top w:val="single" w:sz="4" w:space="0" w:color="000000"/>
              <w:left w:val="single" w:sz="4" w:space="0" w:color="000000"/>
              <w:bottom w:val="single" w:sz="4" w:space="0" w:color="000000"/>
            </w:tcBorders>
            <w:shd w:val="clear" w:color="auto" w:fill="auto"/>
            <w:vAlign w:val="center"/>
          </w:tcPr>
          <w:p w14:paraId="31FC6934" w14:textId="77777777" w:rsidR="005F4B44" w:rsidRPr="005F4B44" w:rsidRDefault="005F4B44" w:rsidP="005F4B44">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22"/>
                <w:lang w:eastAsia="zh-TW"/>
              </w:rPr>
              <w:t>風險承擔值、風險加權數額及資本</w:t>
            </w:r>
            <w:r w:rsidRPr="005F4B44">
              <w:rPr>
                <w:rFonts w:ascii="Calibri" w:eastAsia="細明體" w:hAnsi="Calibri" w:hint="eastAsia"/>
                <w:sz w:val="17"/>
                <w:szCs w:val="17"/>
                <w:lang w:eastAsia="zh-TW"/>
              </w:rPr>
              <w:t>要求</w:t>
            </w:r>
            <w:r w:rsidRPr="005F4B44">
              <w:rPr>
                <w:rFonts w:ascii="Calibri" w:eastAsia="細明體" w:hAnsi="Calibri" w:hint="eastAsia"/>
                <w:sz w:val="17"/>
                <w:szCs w:val="22"/>
                <w:lang w:eastAsia="zh-TW"/>
              </w:rPr>
              <w:t>。</w:t>
            </w:r>
            <w:r w:rsidRPr="005F4B44">
              <w:rPr>
                <w:rFonts w:ascii="Calibri" w:eastAsia="細明體" w:hAnsi="Calibri"/>
                <w:sz w:val="17"/>
                <w:szCs w:val="22"/>
                <w:lang w:eastAsia="zh-TW"/>
              </w:rPr>
              <w:t xml:space="preserve"> </w:t>
            </w:r>
          </w:p>
        </w:tc>
      </w:tr>
      <w:tr w:rsidR="005F4B44" w:rsidRPr="005F4B44" w14:paraId="3484DF26" w14:textId="77777777" w:rsidTr="005F4B44">
        <w:tc>
          <w:tcPr>
            <w:tcW w:w="2552" w:type="dxa"/>
            <w:tcBorders>
              <w:top w:val="single" w:sz="4" w:space="0" w:color="000000"/>
              <w:bottom w:val="single" w:sz="4" w:space="0" w:color="000000"/>
            </w:tcBorders>
            <w:shd w:val="clear" w:color="auto" w:fill="auto"/>
          </w:tcPr>
          <w:p w14:paraId="724C35C0"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頻密程度：</w:t>
            </w:r>
          </w:p>
        </w:tc>
        <w:tc>
          <w:tcPr>
            <w:tcW w:w="11340" w:type="dxa"/>
            <w:tcBorders>
              <w:top w:val="single" w:sz="4" w:space="0" w:color="000000"/>
              <w:left w:val="single" w:sz="4" w:space="0" w:color="000000"/>
              <w:bottom w:val="single" w:sz="4" w:space="0" w:color="000000"/>
            </w:tcBorders>
            <w:shd w:val="clear" w:color="auto" w:fill="auto"/>
            <w:vAlign w:val="center"/>
          </w:tcPr>
          <w:p w14:paraId="70B6EBE7" w14:textId="77777777" w:rsidR="005F4B44" w:rsidRPr="005F4B44" w:rsidRDefault="005F4B44" w:rsidP="005F4B44">
            <w:pPr>
              <w:spacing w:before="40" w:after="40" w:line="259" w:lineRule="auto"/>
              <w:jc w:val="both"/>
              <w:rPr>
                <w:rFonts w:ascii="Calibri" w:eastAsia="新細明體" w:hAnsi="Calibri"/>
                <w:sz w:val="22"/>
                <w:szCs w:val="22"/>
                <w:lang w:eastAsia="zh-CN"/>
              </w:rPr>
            </w:pPr>
            <w:r w:rsidRPr="005F4B44">
              <w:rPr>
                <w:rFonts w:ascii="Calibri" w:eastAsia="細明體" w:hAnsi="Calibri" w:hint="eastAsia"/>
                <w:sz w:val="17"/>
                <w:szCs w:val="17"/>
                <w:lang w:eastAsia="zh-CN"/>
              </w:rPr>
              <w:t>每半年一次。</w:t>
            </w:r>
          </w:p>
        </w:tc>
      </w:tr>
      <w:tr w:rsidR="005F4B44" w:rsidRPr="005F4B44" w14:paraId="1E1C7DFE" w14:textId="77777777" w:rsidTr="005F4B44">
        <w:tc>
          <w:tcPr>
            <w:tcW w:w="2552" w:type="dxa"/>
            <w:tcBorders>
              <w:top w:val="single" w:sz="4" w:space="0" w:color="000000"/>
              <w:bottom w:val="single" w:sz="4" w:space="0" w:color="000000"/>
            </w:tcBorders>
            <w:shd w:val="clear" w:color="auto" w:fill="auto"/>
          </w:tcPr>
          <w:p w14:paraId="687193BD"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格式：</w:t>
            </w:r>
          </w:p>
        </w:tc>
        <w:tc>
          <w:tcPr>
            <w:tcW w:w="11340" w:type="dxa"/>
            <w:tcBorders>
              <w:top w:val="single" w:sz="4" w:space="0" w:color="000000"/>
              <w:left w:val="single" w:sz="4" w:space="0" w:color="000000"/>
              <w:bottom w:val="single" w:sz="4" w:space="0" w:color="000000"/>
            </w:tcBorders>
            <w:shd w:val="clear" w:color="auto" w:fill="auto"/>
            <w:vAlign w:val="center"/>
          </w:tcPr>
          <w:p w14:paraId="683D98D1" w14:textId="77777777" w:rsidR="005F4B44" w:rsidRPr="005F4B44" w:rsidRDefault="005F4B44" w:rsidP="005F4B44">
            <w:pPr>
              <w:spacing w:before="40" w:after="40" w:line="259" w:lineRule="auto"/>
              <w:jc w:val="both"/>
              <w:rPr>
                <w:rFonts w:ascii="Calibri" w:eastAsia="新細明體" w:hAnsi="Calibri"/>
                <w:sz w:val="22"/>
                <w:szCs w:val="22"/>
                <w:lang w:eastAsia="zh-CN"/>
              </w:rPr>
            </w:pPr>
            <w:r w:rsidRPr="005F4B44">
              <w:rPr>
                <w:rFonts w:ascii="Calibri" w:eastAsia="細明體" w:hAnsi="Calibri" w:hint="eastAsia"/>
                <w:sz w:val="17"/>
                <w:szCs w:val="17"/>
                <w:lang w:eastAsia="zh-CN"/>
              </w:rPr>
              <w:t>固定。</w:t>
            </w:r>
          </w:p>
        </w:tc>
      </w:tr>
      <w:tr w:rsidR="005F4B44" w:rsidRPr="005F4B44" w14:paraId="078DF566" w14:textId="77777777" w:rsidTr="005F4B44">
        <w:tc>
          <w:tcPr>
            <w:tcW w:w="2552" w:type="dxa"/>
            <w:tcBorders>
              <w:top w:val="single" w:sz="4" w:space="0" w:color="000000"/>
              <w:bottom w:val="single" w:sz="4" w:space="0" w:color="000000"/>
            </w:tcBorders>
            <w:shd w:val="clear" w:color="auto" w:fill="auto"/>
          </w:tcPr>
          <w:p w14:paraId="461A3A9C" w14:textId="77777777" w:rsidR="005F4B44" w:rsidRPr="005F4B44" w:rsidRDefault="005F4B44" w:rsidP="005F4B44">
            <w:pPr>
              <w:spacing w:before="40" w:after="40" w:line="259" w:lineRule="auto"/>
              <w:rPr>
                <w:rFonts w:ascii="Calibri" w:eastAsia="細明體" w:hAnsi="Calibri"/>
                <w:sz w:val="17"/>
                <w:szCs w:val="17"/>
                <w:lang w:eastAsia="zh-CN"/>
              </w:rPr>
            </w:pPr>
            <w:r w:rsidRPr="005F4B44">
              <w:rPr>
                <w:rFonts w:ascii="Calibri" w:eastAsia="細明體" w:hAnsi="Calibri" w:hint="eastAsia"/>
                <w:b/>
                <w:sz w:val="17"/>
                <w:szCs w:val="17"/>
                <w:lang w:eastAsia="zh-CN"/>
              </w:rPr>
              <w:t>附加說明</w:t>
            </w:r>
            <w:r w:rsidRPr="005F4B44">
              <w:rPr>
                <w:rFonts w:ascii="Calibri" w:eastAsia="細明體" w:hAnsi="Calibri" w:hint="eastAsia"/>
                <w:sz w:val="17"/>
                <w:szCs w:val="17"/>
                <w:lang w:eastAsia="zh-CN"/>
              </w:rPr>
              <w:t>：</w:t>
            </w:r>
          </w:p>
        </w:tc>
        <w:tc>
          <w:tcPr>
            <w:tcW w:w="11340" w:type="dxa"/>
            <w:tcBorders>
              <w:top w:val="single" w:sz="4" w:space="0" w:color="000000"/>
              <w:left w:val="single" w:sz="4" w:space="0" w:color="000000"/>
              <w:bottom w:val="single" w:sz="4" w:space="0" w:color="000000"/>
            </w:tcBorders>
            <w:shd w:val="clear" w:color="auto" w:fill="auto"/>
            <w:vAlign w:val="center"/>
          </w:tcPr>
          <w:p w14:paraId="77475B7E" w14:textId="0A1DDA5B" w:rsidR="005F4B44" w:rsidRPr="005F4B44" w:rsidRDefault="005F4B44" w:rsidP="00872CF6">
            <w:pPr>
              <w:spacing w:before="40" w:after="40" w:line="259" w:lineRule="auto"/>
              <w:jc w:val="both"/>
              <w:rPr>
                <w:rFonts w:ascii="Calibri" w:eastAsia="新細明體" w:hAnsi="Calibri"/>
                <w:sz w:val="22"/>
                <w:szCs w:val="22"/>
                <w:lang w:eastAsia="zh-TW"/>
              </w:rPr>
            </w:pPr>
            <w:r w:rsidRPr="005F4B44">
              <w:rPr>
                <w:rFonts w:ascii="Calibri" w:eastAsia="細明體" w:hAnsi="Calibri" w:hint="eastAsia"/>
                <w:sz w:val="17"/>
                <w:szCs w:val="17"/>
                <w:lang w:eastAsia="zh-TW"/>
              </w:rPr>
              <w:t>認可機構應以敘述評</w:t>
            </w:r>
            <w:proofErr w:type="gramStart"/>
            <w:r w:rsidRPr="005F4B44">
              <w:rPr>
                <w:rFonts w:ascii="Calibri" w:eastAsia="細明體" w:hAnsi="Calibri" w:hint="eastAsia"/>
                <w:sz w:val="17"/>
                <w:szCs w:val="17"/>
                <w:lang w:eastAsia="zh-TW"/>
              </w:rPr>
              <w:t>註</w:t>
            </w:r>
            <w:proofErr w:type="gramEnd"/>
            <w:r w:rsidRPr="005F4B44">
              <w:rPr>
                <w:rFonts w:ascii="Calibri" w:eastAsia="細明體" w:hAnsi="Calibri" w:hint="eastAsia"/>
                <w:sz w:val="17"/>
                <w:szCs w:val="17"/>
                <w:lang w:eastAsia="zh-TW"/>
              </w:rPr>
              <w:t>闡明現行報告期內的任何重大</w:t>
            </w:r>
            <w:r w:rsidR="00872CF6" w:rsidRPr="00872CF6">
              <w:rPr>
                <w:rFonts w:ascii="Calibri" w:eastAsia="細明體" w:hAnsi="Calibri" w:hint="eastAsia"/>
                <w:sz w:val="17"/>
                <w:szCs w:val="17"/>
                <w:lang w:eastAsia="zh-TW"/>
              </w:rPr>
              <w:t>改</w:t>
            </w:r>
            <w:r w:rsidRPr="005F4B44">
              <w:rPr>
                <w:rFonts w:ascii="Calibri" w:eastAsia="細明體" w:hAnsi="Calibri" w:hint="eastAsia"/>
                <w:sz w:val="17"/>
                <w:szCs w:val="17"/>
                <w:lang w:eastAsia="zh-TW"/>
              </w:rPr>
              <w:t>變及引致該等</w:t>
            </w:r>
            <w:r w:rsidR="00872CF6" w:rsidRPr="00872CF6">
              <w:rPr>
                <w:rFonts w:ascii="Calibri" w:eastAsia="細明體" w:hAnsi="Calibri" w:hint="eastAsia"/>
                <w:sz w:val="17"/>
                <w:szCs w:val="17"/>
                <w:lang w:eastAsia="zh-TW"/>
              </w:rPr>
              <w:t>改</w:t>
            </w:r>
            <w:r w:rsidRPr="005F4B44">
              <w:rPr>
                <w:rFonts w:ascii="Calibri" w:eastAsia="細明體" w:hAnsi="Calibri" w:hint="eastAsia"/>
                <w:sz w:val="17"/>
                <w:szCs w:val="17"/>
                <w:lang w:eastAsia="zh-TW"/>
              </w:rPr>
              <w:t>變的主要驅動因素，以</w:t>
            </w:r>
            <w:proofErr w:type="gramStart"/>
            <w:r w:rsidRPr="005F4B44">
              <w:rPr>
                <w:rFonts w:ascii="Calibri" w:eastAsia="細明體" w:hAnsi="Calibri" w:hint="eastAsia"/>
                <w:sz w:val="17"/>
                <w:szCs w:val="17"/>
                <w:lang w:eastAsia="zh-TW"/>
              </w:rPr>
              <w:t>補充本模版</w:t>
            </w:r>
            <w:proofErr w:type="gramEnd"/>
            <w:r w:rsidRPr="005F4B44">
              <w:rPr>
                <w:rFonts w:ascii="Calibri" w:eastAsia="細明體" w:hAnsi="Calibri" w:hint="eastAsia"/>
                <w:sz w:val="17"/>
                <w:szCs w:val="17"/>
                <w:lang w:eastAsia="zh-TW"/>
              </w:rPr>
              <w:t>。</w:t>
            </w:r>
          </w:p>
        </w:tc>
      </w:tr>
      <w:tr w:rsidR="005F4B44" w:rsidRPr="005F4B44" w14:paraId="55679060" w14:textId="77777777" w:rsidTr="005F4B44">
        <w:tc>
          <w:tcPr>
            <w:tcW w:w="2552" w:type="dxa"/>
            <w:tcBorders>
              <w:top w:val="single" w:sz="4" w:space="0" w:color="000000"/>
              <w:bottom w:val="single" w:sz="4" w:space="0" w:color="000000"/>
            </w:tcBorders>
            <w:shd w:val="clear" w:color="auto" w:fill="auto"/>
          </w:tcPr>
          <w:p w14:paraId="6C0C1102" w14:textId="77777777" w:rsidR="005F4B44" w:rsidRPr="005F4B44" w:rsidRDefault="005F4B44" w:rsidP="005F4B44">
            <w:pPr>
              <w:spacing w:before="40" w:after="40" w:line="259" w:lineRule="auto"/>
              <w:rPr>
                <w:rFonts w:ascii="Calibri" w:eastAsia="細明體" w:hAnsi="Calibri"/>
                <w:sz w:val="17"/>
                <w:szCs w:val="17"/>
                <w:lang w:eastAsia="zh-TW"/>
              </w:rPr>
            </w:pPr>
            <w:r w:rsidRPr="005F4B44">
              <w:rPr>
                <w:rFonts w:ascii="Calibri" w:eastAsia="細明體" w:hAnsi="Calibri" w:hint="eastAsia"/>
                <w:b/>
                <w:sz w:val="17"/>
                <w:szCs w:val="17"/>
                <w:lang w:eastAsia="zh-TW"/>
              </w:rPr>
              <w:t>《披露規則》相應條文：</w:t>
            </w:r>
          </w:p>
        </w:tc>
        <w:tc>
          <w:tcPr>
            <w:tcW w:w="11340" w:type="dxa"/>
            <w:tcBorders>
              <w:top w:val="single" w:sz="4" w:space="0" w:color="000000"/>
              <w:left w:val="single" w:sz="4" w:space="0" w:color="000000"/>
              <w:bottom w:val="single" w:sz="4" w:space="0" w:color="000000"/>
            </w:tcBorders>
            <w:shd w:val="clear" w:color="auto" w:fill="auto"/>
            <w:vAlign w:val="center"/>
          </w:tcPr>
          <w:p w14:paraId="25F57A75" w14:textId="77777777" w:rsidR="005F4B44" w:rsidRPr="005F4B44" w:rsidRDefault="005F4B44" w:rsidP="005F4B44">
            <w:pPr>
              <w:spacing w:before="40" w:after="40" w:line="259" w:lineRule="auto"/>
              <w:jc w:val="both"/>
              <w:rPr>
                <w:rFonts w:ascii="Calibri" w:eastAsia="新細明體" w:hAnsi="Calibri"/>
                <w:sz w:val="22"/>
                <w:szCs w:val="22"/>
                <w:lang w:eastAsia="zh-CN"/>
              </w:rPr>
            </w:pPr>
            <w:r w:rsidRPr="005F4B44">
              <w:rPr>
                <w:rFonts w:ascii="Calibri" w:eastAsia="細明體" w:hAnsi="Calibri"/>
                <w:sz w:val="17"/>
                <w:szCs w:val="17"/>
                <w:lang w:eastAsia="zh-CN"/>
              </w:rPr>
              <w:t xml:space="preserve">16ZI </w:t>
            </w:r>
          </w:p>
        </w:tc>
      </w:tr>
    </w:tbl>
    <w:p w14:paraId="011AA3B9" w14:textId="2C21D295" w:rsidR="005F4B44" w:rsidRDefault="005F4B44" w:rsidP="005F4B44">
      <w:pPr>
        <w:spacing w:before="40" w:after="40" w:line="259" w:lineRule="auto"/>
        <w:rPr>
          <w:rFonts w:ascii="Calibri" w:eastAsia="細明體" w:hAnsi="Calibri"/>
          <w:sz w:val="22"/>
          <w:szCs w:val="22"/>
          <w:lang w:eastAsia="zh-CN"/>
        </w:rPr>
      </w:pPr>
    </w:p>
    <w:p w14:paraId="28987160" w14:textId="77777777" w:rsidR="00067617" w:rsidRPr="005F4B44" w:rsidRDefault="00067617" w:rsidP="005F4B44">
      <w:pPr>
        <w:spacing w:before="40" w:after="40" w:line="259" w:lineRule="auto"/>
        <w:rPr>
          <w:rFonts w:ascii="Calibri" w:eastAsia="細明體" w:hAnsi="Calibri"/>
          <w:sz w:val="22"/>
          <w:szCs w:val="22"/>
          <w:lang w:eastAsia="zh-CN"/>
        </w:rPr>
      </w:pPr>
    </w:p>
    <w:tbl>
      <w:tblPr>
        <w:tblW w:w="13890" w:type="dxa"/>
        <w:tblInd w:w="108" w:type="dxa"/>
        <w:tblLayout w:type="fixed"/>
        <w:tblLook w:val="0000" w:firstRow="0" w:lastRow="0" w:firstColumn="0" w:lastColumn="0" w:noHBand="0" w:noVBand="0"/>
      </w:tblPr>
      <w:tblGrid>
        <w:gridCol w:w="415"/>
        <w:gridCol w:w="2606"/>
        <w:gridCol w:w="642"/>
        <w:gridCol w:w="643"/>
        <w:gridCol w:w="643"/>
        <w:gridCol w:w="643"/>
        <w:gridCol w:w="643"/>
        <w:gridCol w:w="638"/>
        <w:gridCol w:w="636"/>
        <w:gridCol w:w="636"/>
        <w:gridCol w:w="636"/>
        <w:gridCol w:w="643"/>
        <w:gridCol w:w="644"/>
        <w:gridCol w:w="644"/>
        <w:gridCol w:w="644"/>
        <w:gridCol w:w="631"/>
        <w:gridCol w:w="632"/>
        <w:gridCol w:w="632"/>
        <w:gridCol w:w="632"/>
        <w:gridCol w:w="7"/>
      </w:tblGrid>
      <w:tr w:rsidR="006942C0" w:rsidRPr="005F4B44" w14:paraId="5A15BB9C" w14:textId="77777777" w:rsidTr="006942C0">
        <w:trPr>
          <w:gridAfter w:val="1"/>
          <w:wAfter w:w="7" w:type="dxa"/>
          <w:trHeight w:val="227"/>
          <w:tblHeader/>
        </w:trPr>
        <w:tc>
          <w:tcPr>
            <w:tcW w:w="415" w:type="dxa"/>
            <w:shd w:val="clear" w:color="auto" w:fill="auto"/>
          </w:tcPr>
          <w:p w14:paraId="76079272" w14:textId="77777777" w:rsidR="005F4B44" w:rsidRPr="005F4B44" w:rsidRDefault="005F4B44" w:rsidP="00681D0D">
            <w:pPr>
              <w:snapToGrid w:val="0"/>
              <w:spacing w:line="259" w:lineRule="auto"/>
              <w:ind w:left="-93" w:firstLine="93"/>
              <w:jc w:val="center"/>
              <w:rPr>
                <w:rFonts w:ascii="Calibri" w:eastAsia="細明體" w:hAnsi="Calibri"/>
                <w:color w:val="000000"/>
                <w:sz w:val="17"/>
                <w:szCs w:val="17"/>
                <w:lang w:eastAsia="zh-CN"/>
              </w:rPr>
            </w:pPr>
          </w:p>
        </w:tc>
        <w:tc>
          <w:tcPr>
            <w:tcW w:w="2606" w:type="dxa"/>
            <w:shd w:val="clear" w:color="auto" w:fill="auto"/>
            <w:vAlign w:val="bottom"/>
          </w:tcPr>
          <w:p w14:paraId="1B8A1FF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2" w:type="dxa"/>
            <w:tcBorders>
              <w:top w:val="single" w:sz="4" w:space="0" w:color="000000"/>
              <w:left w:val="single" w:sz="4" w:space="0" w:color="000000"/>
              <w:bottom w:val="single" w:sz="4" w:space="0" w:color="000000"/>
            </w:tcBorders>
            <w:shd w:val="clear" w:color="auto" w:fill="auto"/>
            <w:vAlign w:val="center"/>
          </w:tcPr>
          <w:p w14:paraId="1CFA2CF7"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(a)</w:t>
            </w:r>
          </w:p>
        </w:tc>
        <w:tc>
          <w:tcPr>
            <w:tcW w:w="643" w:type="dxa"/>
            <w:tcBorders>
              <w:top w:val="single" w:sz="4" w:space="0" w:color="000000"/>
              <w:left w:val="single" w:sz="4" w:space="0" w:color="000000"/>
              <w:bottom w:val="single" w:sz="4" w:space="0" w:color="000000"/>
            </w:tcBorders>
            <w:shd w:val="clear" w:color="auto" w:fill="auto"/>
            <w:vAlign w:val="center"/>
          </w:tcPr>
          <w:p w14:paraId="449BC377"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(b)</w:t>
            </w:r>
          </w:p>
        </w:tc>
        <w:tc>
          <w:tcPr>
            <w:tcW w:w="643" w:type="dxa"/>
            <w:tcBorders>
              <w:top w:val="single" w:sz="4" w:space="0" w:color="000000"/>
              <w:left w:val="single" w:sz="4" w:space="0" w:color="000000"/>
              <w:bottom w:val="single" w:sz="4" w:space="0" w:color="000000"/>
            </w:tcBorders>
            <w:shd w:val="clear" w:color="auto" w:fill="auto"/>
            <w:vAlign w:val="center"/>
          </w:tcPr>
          <w:p w14:paraId="26A68DDD"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(c)</w:t>
            </w:r>
          </w:p>
        </w:tc>
        <w:tc>
          <w:tcPr>
            <w:tcW w:w="643" w:type="dxa"/>
            <w:tcBorders>
              <w:top w:val="single" w:sz="4" w:space="0" w:color="000000"/>
              <w:left w:val="single" w:sz="4" w:space="0" w:color="000000"/>
              <w:bottom w:val="single" w:sz="4" w:space="0" w:color="000000"/>
            </w:tcBorders>
            <w:shd w:val="clear" w:color="auto" w:fill="auto"/>
            <w:vAlign w:val="center"/>
          </w:tcPr>
          <w:p w14:paraId="5E9D24C2"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(d)</w:t>
            </w:r>
          </w:p>
        </w:tc>
        <w:tc>
          <w:tcPr>
            <w:tcW w:w="643" w:type="dxa"/>
            <w:tcBorders>
              <w:top w:val="single" w:sz="4" w:space="0" w:color="000000"/>
              <w:left w:val="single" w:sz="4" w:space="0" w:color="000000"/>
              <w:bottom w:val="single" w:sz="4" w:space="0" w:color="000000"/>
            </w:tcBorders>
            <w:shd w:val="clear" w:color="auto" w:fill="auto"/>
            <w:vAlign w:val="center"/>
          </w:tcPr>
          <w:p w14:paraId="4D981FA3"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(e)</w:t>
            </w:r>
          </w:p>
        </w:tc>
        <w:tc>
          <w:tcPr>
            <w:tcW w:w="638" w:type="dxa"/>
            <w:tcBorders>
              <w:top w:val="single" w:sz="4" w:space="0" w:color="000000"/>
              <w:left w:val="single" w:sz="4" w:space="0" w:color="000000"/>
              <w:bottom w:val="single" w:sz="4" w:space="0" w:color="000000"/>
            </w:tcBorders>
            <w:shd w:val="clear" w:color="auto" w:fill="auto"/>
            <w:vAlign w:val="center"/>
          </w:tcPr>
          <w:p w14:paraId="60027F0A"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(f)</w:t>
            </w:r>
          </w:p>
        </w:tc>
        <w:tc>
          <w:tcPr>
            <w:tcW w:w="636" w:type="dxa"/>
            <w:tcBorders>
              <w:top w:val="single" w:sz="4" w:space="0" w:color="000000"/>
              <w:left w:val="single" w:sz="4" w:space="0" w:color="000000"/>
              <w:bottom w:val="single" w:sz="4" w:space="0" w:color="000000"/>
            </w:tcBorders>
            <w:shd w:val="clear" w:color="auto" w:fill="auto"/>
            <w:vAlign w:val="center"/>
          </w:tcPr>
          <w:p w14:paraId="5AD07FC4"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(g)</w:t>
            </w:r>
          </w:p>
        </w:tc>
        <w:tc>
          <w:tcPr>
            <w:tcW w:w="636" w:type="dxa"/>
            <w:tcBorders>
              <w:top w:val="single" w:sz="4" w:space="0" w:color="000000"/>
              <w:left w:val="single" w:sz="4" w:space="0" w:color="000000"/>
              <w:bottom w:val="single" w:sz="4" w:space="0" w:color="000000"/>
            </w:tcBorders>
            <w:shd w:val="clear" w:color="auto" w:fill="auto"/>
            <w:vAlign w:val="center"/>
          </w:tcPr>
          <w:p w14:paraId="0BC279F1"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(h)</w:t>
            </w:r>
          </w:p>
        </w:tc>
        <w:tc>
          <w:tcPr>
            <w:tcW w:w="636" w:type="dxa"/>
            <w:tcBorders>
              <w:top w:val="single" w:sz="4" w:space="0" w:color="000000"/>
              <w:left w:val="single" w:sz="4" w:space="0" w:color="000000"/>
              <w:bottom w:val="single" w:sz="4" w:space="0" w:color="000000"/>
            </w:tcBorders>
            <w:shd w:val="clear" w:color="auto" w:fill="auto"/>
            <w:vAlign w:val="center"/>
          </w:tcPr>
          <w:p w14:paraId="3ECCD011"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w:t>
            </w:r>
            <w:proofErr w:type="spellStart"/>
            <w:r w:rsidRPr="005F4B44">
              <w:rPr>
                <w:rFonts w:ascii="Calibri" w:eastAsia="細明體" w:hAnsi="Calibri"/>
                <w:color w:val="000000"/>
                <w:sz w:val="17"/>
                <w:szCs w:val="17"/>
                <w:lang w:eastAsia="zh-CN"/>
              </w:rPr>
              <w:t>i</w:t>
            </w:r>
            <w:proofErr w:type="spellEnd"/>
            <w:r w:rsidRPr="005F4B44">
              <w:rPr>
                <w:rFonts w:ascii="Calibri" w:eastAsia="細明體" w:hAnsi="Calibri"/>
                <w:color w:val="000000"/>
                <w:sz w:val="17"/>
                <w:szCs w:val="17"/>
                <w:lang w:eastAsia="zh-CN"/>
              </w:rPr>
              <w:t>)</w:t>
            </w:r>
          </w:p>
        </w:tc>
        <w:tc>
          <w:tcPr>
            <w:tcW w:w="643" w:type="dxa"/>
            <w:tcBorders>
              <w:top w:val="single" w:sz="4" w:space="0" w:color="000000"/>
              <w:left w:val="single" w:sz="4" w:space="0" w:color="000000"/>
              <w:bottom w:val="single" w:sz="4" w:space="0" w:color="000000"/>
            </w:tcBorders>
            <w:shd w:val="clear" w:color="auto" w:fill="auto"/>
            <w:vAlign w:val="center"/>
          </w:tcPr>
          <w:p w14:paraId="5256FAE2"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(j)</w:t>
            </w:r>
          </w:p>
        </w:tc>
        <w:tc>
          <w:tcPr>
            <w:tcW w:w="644" w:type="dxa"/>
            <w:tcBorders>
              <w:top w:val="single" w:sz="4" w:space="0" w:color="000000"/>
              <w:left w:val="single" w:sz="4" w:space="0" w:color="000000"/>
              <w:bottom w:val="single" w:sz="4" w:space="0" w:color="000000"/>
            </w:tcBorders>
            <w:shd w:val="clear" w:color="auto" w:fill="auto"/>
            <w:vAlign w:val="center"/>
          </w:tcPr>
          <w:p w14:paraId="6DE3A0B7"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(k)</w:t>
            </w:r>
          </w:p>
        </w:tc>
        <w:tc>
          <w:tcPr>
            <w:tcW w:w="644" w:type="dxa"/>
            <w:tcBorders>
              <w:top w:val="single" w:sz="4" w:space="0" w:color="000000"/>
              <w:left w:val="single" w:sz="4" w:space="0" w:color="000000"/>
              <w:bottom w:val="single" w:sz="4" w:space="0" w:color="000000"/>
            </w:tcBorders>
            <w:shd w:val="clear" w:color="auto" w:fill="auto"/>
            <w:vAlign w:val="center"/>
          </w:tcPr>
          <w:p w14:paraId="50998CE8"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(l)</w:t>
            </w:r>
          </w:p>
        </w:tc>
        <w:tc>
          <w:tcPr>
            <w:tcW w:w="644" w:type="dxa"/>
            <w:tcBorders>
              <w:top w:val="single" w:sz="4" w:space="0" w:color="000000"/>
              <w:left w:val="single" w:sz="4" w:space="0" w:color="000000"/>
              <w:bottom w:val="single" w:sz="4" w:space="0" w:color="000000"/>
            </w:tcBorders>
            <w:shd w:val="clear" w:color="auto" w:fill="auto"/>
            <w:vAlign w:val="center"/>
          </w:tcPr>
          <w:p w14:paraId="2DBF8702"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(m)</w:t>
            </w:r>
          </w:p>
        </w:tc>
        <w:tc>
          <w:tcPr>
            <w:tcW w:w="631" w:type="dxa"/>
            <w:tcBorders>
              <w:top w:val="single" w:sz="4" w:space="0" w:color="000000"/>
              <w:left w:val="single" w:sz="4" w:space="0" w:color="000000"/>
              <w:bottom w:val="single" w:sz="4" w:space="0" w:color="000000"/>
            </w:tcBorders>
            <w:shd w:val="clear" w:color="auto" w:fill="auto"/>
            <w:vAlign w:val="center"/>
          </w:tcPr>
          <w:p w14:paraId="27AB32B1"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(n)</w:t>
            </w:r>
          </w:p>
        </w:tc>
        <w:tc>
          <w:tcPr>
            <w:tcW w:w="632" w:type="dxa"/>
            <w:tcBorders>
              <w:top w:val="single" w:sz="4" w:space="0" w:color="000000"/>
              <w:left w:val="single" w:sz="4" w:space="0" w:color="000000"/>
              <w:bottom w:val="single" w:sz="4" w:space="0" w:color="000000"/>
            </w:tcBorders>
            <w:shd w:val="clear" w:color="auto" w:fill="auto"/>
            <w:vAlign w:val="center"/>
          </w:tcPr>
          <w:p w14:paraId="6DC47768"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(o)</w:t>
            </w:r>
          </w:p>
        </w:tc>
        <w:tc>
          <w:tcPr>
            <w:tcW w:w="632" w:type="dxa"/>
            <w:tcBorders>
              <w:top w:val="single" w:sz="4" w:space="0" w:color="000000"/>
              <w:left w:val="single" w:sz="4" w:space="0" w:color="000000"/>
              <w:bottom w:val="single" w:sz="4" w:space="0" w:color="000000"/>
            </w:tcBorders>
            <w:shd w:val="clear" w:color="auto" w:fill="auto"/>
            <w:vAlign w:val="center"/>
          </w:tcPr>
          <w:p w14:paraId="2525B915"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(p)</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A2E7A" w14:textId="77777777" w:rsidR="005F4B44" w:rsidRPr="005F4B44" w:rsidRDefault="005F4B44" w:rsidP="00681D0D">
            <w:pPr>
              <w:snapToGrid w:val="0"/>
              <w:spacing w:line="259" w:lineRule="auto"/>
              <w:jc w:val="center"/>
              <w:rPr>
                <w:rFonts w:ascii="Calibri" w:eastAsia="新細明體" w:hAnsi="Calibri"/>
                <w:sz w:val="22"/>
                <w:szCs w:val="22"/>
                <w:lang w:eastAsia="zh-CN"/>
              </w:rPr>
            </w:pPr>
            <w:r w:rsidRPr="005F4B44">
              <w:rPr>
                <w:rFonts w:ascii="Calibri" w:eastAsia="細明體" w:hAnsi="Calibri"/>
                <w:color w:val="000000"/>
                <w:sz w:val="17"/>
                <w:szCs w:val="17"/>
                <w:lang w:eastAsia="zh-CN"/>
              </w:rPr>
              <w:t>(q)</w:t>
            </w:r>
          </w:p>
        </w:tc>
      </w:tr>
      <w:tr w:rsidR="005F4B44" w:rsidRPr="005F4B44" w14:paraId="5F294D3D" w14:textId="77777777" w:rsidTr="006942C0">
        <w:trPr>
          <w:trHeight w:val="254"/>
          <w:tblHeader/>
        </w:trPr>
        <w:tc>
          <w:tcPr>
            <w:tcW w:w="415" w:type="dxa"/>
            <w:shd w:val="clear" w:color="auto" w:fill="auto"/>
          </w:tcPr>
          <w:p w14:paraId="0ECB3FD8"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p>
        </w:tc>
        <w:tc>
          <w:tcPr>
            <w:tcW w:w="2606" w:type="dxa"/>
            <w:shd w:val="clear" w:color="auto" w:fill="auto"/>
            <w:vAlign w:val="center"/>
          </w:tcPr>
          <w:p w14:paraId="265CF1B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3214" w:type="dxa"/>
            <w:gridSpan w:val="5"/>
            <w:tcBorders>
              <w:top w:val="single" w:sz="4" w:space="0" w:color="000000"/>
              <w:left w:val="single" w:sz="4" w:space="0" w:color="000000"/>
              <w:bottom w:val="single" w:sz="4" w:space="0" w:color="000000"/>
            </w:tcBorders>
            <w:shd w:val="clear" w:color="auto" w:fill="auto"/>
            <w:vAlign w:val="center"/>
          </w:tcPr>
          <w:p w14:paraId="56B21F25" w14:textId="77777777" w:rsidR="005F4B44" w:rsidRPr="005F4B44" w:rsidRDefault="005F4B44" w:rsidP="00681D0D">
            <w:pPr>
              <w:snapToGrid w:val="0"/>
              <w:spacing w:before="20" w:line="259" w:lineRule="auto"/>
              <w:jc w:val="center"/>
              <w:rPr>
                <w:rFonts w:ascii="Calibri" w:eastAsia="細明體" w:hAnsi="Calibri"/>
                <w:sz w:val="17"/>
                <w:szCs w:val="17"/>
                <w:lang w:eastAsia="zh-TW"/>
              </w:rPr>
            </w:pPr>
            <w:r w:rsidRPr="005F4B44">
              <w:rPr>
                <w:rFonts w:ascii="Calibri" w:eastAsia="細明體" w:hAnsi="Calibri" w:hint="eastAsia"/>
                <w:color w:val="000000"/>
                <w:sz w:val="17"/>
                <w:szCs w:val="17"/>
                <w:lang w:eastAsia="zh-TW"/>
              </w:rPr>
              <w:t>風險承擔值（按風險權重</w:t>
            </w:r>
            <w:r w:rsidRPr="005F4B44">
              <w:rPr>
                <w:rFonts w:ascii="Calibri" w:eastAsia="細明體" w:hAnsi="Calibri" w:hint="eastAsia"/>
                <w:color w:val="000000"/>
                <w:sz w:val="17"/>
                <w:szCs w:val="17"/>
                <w:lang w:eastAsia="zh-TW"/>
              </w:rPr>
              <w:t>(</w:t>
            </w:r>
            <w:r w:rsidRPr="005F4B44">
              <w:rPr>
                <w:rFonts w:ascii="Calibri" w:eastAsia="細明體" w:hAnsi="Calibri"/>
                <w:color w:val="000000"/>
                <w:sz w:val="17"/>
                <w:szCs w:val="17"/>
                <w:lang w:eastAsia="zh-TW"/>
              </w:rPr>
              <w:t>RW</w:t>
            </w:r>
            <w:r w:rsidRPr="005F4B44">
              <w:rPr>
                <w:rFonts w:ascii="Calibri" w:eastAsia="細明體" w:hAnsi="Calibri" w:hint="eastAsia"/>
                <w:color w:val="000000"/>
                <w:sz w:val="17"/>
                <w:szCs w:val="17"/>
                <w:lang w:eastAsia="zh-TW"/>
              </w:rPr>
              <w:t>)</w:t>
            </w:r>
            <w:r w:rsidRPr="005F4B44">
              <w:rPr>
                <w:rFonts w:ascii="Calibri" w:eastAsia="細明體" w:hAnsi="Calibri" w:hint="eastAsia"/>
                <w:color w:val="000000"/>
                <w:sz w:val="17"/>
                <w:szCs w:val="17"/>
                <w:lang w:eastAsia="zh-TW"/>
              </w:rPr>
              <w:t>組別）</w:t>
            </w:r>
          </w:p>
        </w:tc>
        <w:tc>
          <w:tcPr>
            <w:tcW w:w="2546" w:type="dxa"/>
            <w:gridSpan w:val="4"/>
            <w:tcBorders>
              <w:top w:val="single" w:sz="4" w:space="0" w:color="000000"/>
              <w:left w:val="single" w:sz="4" w:space="0" w:color="000000"/>
              <w:bottom w:val="single" w:sz="4" w:space="0" w:color="000000"/>
            </w:tcBorders>
            <w:shd w:val="clear" w:color="auto" w:fill="auto"/>
            <w:vAlign w:val="center"/>
          </w:tcPr>
          <w:p w14:paraId="0A61BF96" w14:textId="77777777" w:rsidR="005F4B44" w:rsidRPr="005F4B44" w:rsidRDefault="005F4B44" w:rsidP="00681D0D">
            <w:pPr>
              <w:snapToGrid w:val="0"/>
              <w:spacing w:before="20" w:line="259" w:lineRule="auto"/>
              <w:jc w:val="center"/>
              <w:rPr>
                <w:rFonts w:ascii="Calibri" w:eastAsia="細明體" w:hAnsi="Calibri"/>
                <w:sz w:val="17"/>
                <w:szCs w:val="17"/>
                <w:lang w:eastAsia="zh-TW"/>
              </w:rPr>
            </w:pPr>
            <w:r w:rsidRPr="005F4B44">
              <w:rPr>
                <w:rFonts w:ascii="Calibri" w:eastAsia="細明體" w:hAnsi="Calibri" w:hint="eastAsia"/>
                <w:sz w:val="17"/>
                <w:szCs w:val="17"/>
                <w:lang w:eastAsia="zh-TW"/>
              </w:rPr>
              <w:t>風險承擔值</w:t>
            </w:r>
          </w:p>
          <w:p w14:paraId="62FF9B9B" w14:textId="77777777" w:rsidR="005F4B44" w:rsidRPr="005F4B44" w:rsidRDefault="005F4B44" w:rsidP="00681D0D">
            <w:pPr>
              <w:snapToGrid w:val="0"/>
              <w:spacing w:before="20" w:line="259" w:lineRule="auto"/>
              <w:jc w:val="center"/>
              <w:rPr>
                <w:rFonts w:ascii="Calibri" w:eastAsia="細明體" w:hAnsi="Calibri"/>
                <w:sz w:val="17"/>
                <w:szCs w:val="22"/>
                <w:lang w:eastAsia="zh-TW"/>
              </w:rPr>
            </w:pPr>
            <w:r w:rsidRPr="005F4B44">
              <w:rPr>
                <w:rFonts w:ascii="Calibri" w:eastAsia="細明體" w:hAnsi="Calibri" w:hint="eastAsia"/>
                <w:sz w:val="17"/>
                <w:szCs w:val="17"/>
                <w:lang w:eastAsia="zh-TW"/>
              </w:rPr>
              <w:t>（按監管計算法）</w:t>
            </w:r>
          </w:p>
        </w:tc>
        <w:tc>
          <w:tcPr>
            <w:tcW w:w="2575" w:type="dxa"/>
            <w:gridSpan w:val="4"/>
            <w:tcBorders>
              <w:top w:val="single" w:sz="4" w:space="0" w:color="C0C0C0"/>
              <w:left w:val="single" w:sz="4" w:space="0" w:color="000000"/>
              <w:bottom w:val="single" w:sz="4" w:space="0" w:color="000000"/>
            </w:tcBorders>
            <w:shd w:val="clear" w:color="auto" w:fill="auto"/>
            <w:vAlign w:val="center"/>
          </w:tcPr>
          <w:p w14:paraId="4F336588" w14:textId="77777777" w:rsidR="002D400C" w:rsidRDefault="005F4B44" w:rsidP="00681D0D">
            <w:pPr>
              <w:snapToGrid w:val="0"/>
              <w:spacing w:before="20" w:line="259" w:lineRule="auto"/>
              <w:jc w:val="center"/>
              <w:rPr>
                <w:rFonts w:ascii="Calibri" w:eastAsia="細明體" w:hAnsi="Calibri"/>
                <w:sz w:val="17"/>
                <w:szCs w:val="22"/>
                <w:lang w:eastAsia="zh-TW"/>
              </w:rPr>
            </w:pPr>
            <w:r w:rsidRPr="005F4B44">
              <w:rPr>
                <w:rFonts w:ascii="Calibri" w:eastAsia="細明體" w:hAnsi="Calibri" w:hint="eastAsia"/>
                <w:sz w:val="17"/>
                <w:szCs w:val="22"/>
                <w:lang w:eastAsia="zh-TW"/>
              </w:rPr>
              <w:t>風險加權數額</w:t>
            </w:r>
          </w:p>
          <w:p w14:paraId="03017968" w14:textId="33153232" w:rsidR="005F4B44" w:rsidRPr="005F4B44" w:rsidRDefault="005F4B44" w:rsidP="00681D0D">
            <w:pPr>
              <w:snapToGrid w:val="0"/>
              <w:spacing w:before="20" w:line="259" w:lineRule="auto"/>
              <w:jc w:val="center"/>
              <w:rPr>
                <w:rFonts w:ascii="Calibri" w:eastAsia="細明體" w:hAnsi="Calibri"/>
                <w:sz w:val="17"/>
                <w:szCs w:val="17"/>
                <w:lang w:eastAsia="zh-TW"/>
              </w:rPr>
            </w:pPr>
            <w:r w:rsidRPr="005F4B44">
              <w:rPr>
                <w:rFonts w:ascii="Calibri" w:eastAsia="細明體" w:hAnsi="Calibri" w:hint="eastAsia"/>
                <w:sz w:val="17"/>
                <w:szCs w:val="22"/>
                <w:lang w:eastAsia="zh-TW"/>
              </w:rPr>
              <w:t>（</w:t>
            </w:r>
            <w:r w:rsidRPr="005F4B44">
              <w:rPr>
                <w:rFonts w:ascii="Calibri" w:eastAsia="細明體" w:hAnsi="Calibri" w:hint="eastAsia"/>
                <w:sz w:val="17"/>
                <w:szCs w:val="17"/>
                <w:lang w:eastAsia="zh-TW"/>
              </w:rPr>
              <w:t>按監管計算法</w:t>
            </w:r>
            <w:r w:rsidRPr="005F4B44">
              <w:rPr>
                <w:rFonts w:ascii="Calibri" w:eastAsia="細明體" w:hAnsi="Calibri" w:hint="eastAsia"/>
                <w:sz w:val="17"/>
                <w:szCs w:val="22"/>
                <w:lang w:eastAsia="zh-TW"/>
              </w:rPr>
              <w:t>）</w:t>
            </w:r>
          </w:p>
        </w:tc>
        <w:tc>
          <w:tcPr>
            <w:tcW w:w="25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A9B3411" w14:textId="77777777" w:rsidR="005F4B44" w:rsidRPr="005F4B44" w:rsidRDefault="005F4B44" w:rsidP="00681D0D">
            <w:pPr>
              <w:snapToGrid w:val="0"/>
              <w:spacing w:before="20" w:line="259" w:lineRule="auto"/>
              <w:jc w:val="center"/>
              <w:rPr>
                <w:rFonts w:ascii="Calibri" w:eastAsia="新細明體" w:hAnsi="Calibri"/>
                <w:sz w:val="22"/>
                <w:szCs w:val="22"/>
                <w:lang w:eastAsia="zh-TW"/>
              </w:rPr>
            </w:pPr>
            <w:r w:rsidRPr="005F4B44">
              <w:rPr>
                <w:rFonts w:ascii="Calibri" w:eastAsia="細明體" w:hAnsi="Calibri" w:hint="eastAsia"/>
                <w:sz w:val="17"/>
                <w:szCs w:val="17"/>
                <w:lang w:eastAsia="zh-TW"/>
              </w:rPr>
              <w:t>應用上限後的資本要求</w:t>
            </w:r>
          </w:p>
        </w:tc>
      </w:tr>
      <w:tr w:rsidR="006942C0" w:rsidRPr="005F4B44" w14:paraId="0A2AD6BE" w14:textId="77777777" w:rsidTr="006942C0">
        <w:trPr>
          <w:gridAfter w:val="1"/>
          <w:wAfter w:w="7" w:type="dxa"/>
          <w:cantSplit/>
          <w:trHeight w:val="882"/>
          <w:tblHeader/>
        </w:trPr>
        <w:tc>
          <w:tcPr>
            <w:tcW w:w="415" w:type="dxa"/>
            <w:tcBorders>
              <w:bottom w:val="single" w:sz="4" w:space="0" w:color="000000"/>
            </w:tcBorders>
            <w:shd w:val="clear" w:color="auto" w:fill="auto"/>
            <w:textDirection w:val="btLr"/>
          </w:tcPr>
          <w:p w14:paraId="4E84FE91" w14:textId="77777777" w:rsidR="005F4B44" w:rsidRPr="005F4B44" w:rsidRDefault="005F4B44" w:rsidP="00681D0D">
            <w:pPr>
              <w:snapToGrid w:val="0"/>
              <w:spacing w:line="259" w:lineRule="auto"/>
              <w:ind w:left="113" w:right="113"/>
              <w:jc w:val="center"/>
              <w:rPr>
                <w:rFonts w:ascii="Calibri" w:eastAsia="細明體" w:hAnsi="Calibri"/>
                <w:color w:val="000000"/>
                <w:sz w:val="17"/>
                <w:szCs w:val="17"/>
                <w:lang w:eastAsia="zh-TW"/>
              </w:rPr>
            </w:pPr>
          </w:p>
        </w:tc>
        <w:tc>
          <w:tcPr>
            <w:tcW w:w="2606" w:type="dxa"/>
            <w:tcBorders>
              <w:bottom w:val="single" w:sz="4" w:space="0" w:color="000000"/>
            </w:tcBorders>
            <w:shd w:val="clear" w:color="auto" w:fill="auto"/>
            <w:textDirection w:val="btLr"/>
            <w:vAlign w:val="bottom"/>
          </w:tcPr>
          <w:p w14:paraId="5F26DF9C" w14:textId="77777777" w:rsidR="005F4B44" w:rsidRPr="005F4B44" w:rsidRDefault="005F4B44" w:rsidP="00681D0D">
            <w:pPr>
              <w:snapToGrid w:val="0"/>
              <w:spacing w:line="259" w:lineRule="auto"/>
              <w:ind w:left="113" w:right="113"/>
              <w:rPr>
                <w:rFonts w:ascii="Calibri" w:eastAsia="細明體" w:hAnsi="Calibri"/>
                <w:color w:val="000000"/>
                <w:sz w:val="17"/>
                <w:szCs w:val="17"/>
                <w:lang w:eastAsia="zh-TW"/>
              </w:rPr>
            </w:pPr>
          </w:p>
        </w:tc>
        <w:tc>
          <w:tcPr>
            <w:tcW w:w="642" w:type="dxa"/>
            <w:tcBorders>
              <w:top w:val="single" w:sz="4" w:space="0" w:color="000000"/>
              <w:left w:val="single" w:sz="4" w:space="0" w:color="000000"/>
              <w:bottom w:val="single" w:sz="4" w:space="0" w:color="000000"/>
            </w:tcBorders>
            <w:shd w:val="clear" w:color="auto" w:fill="auto"/>
            <w:textDirection w:val="btLr"/>
            <w:vAlign w:val="center"/>
          </w:tcPr>
          <w:p w14:paraId="715D42D4"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SimSun" w:hAnsi="Calibri"/>
                <w:color w:val="000000"/>
                <w:sz w:val="15"/>
                <w:szCs w:val="15"/>
                <w:lang w:eastAsia="zh-CN"/>
              </w:rPr>
              <w:t>≤</w:t>
            </w:r>
            <w:r w:rsidRPr="005F4B44">
              <w:rPr>
                <w:rFonts w:ascii="Calibri" w:eastAsia="細明體" w:hAnsi="Calibri"/>
                <w:color w:val="000000"/>
                <w:sz w:val="15"/>
                <w:szCs w:val="15"/>
                <w:lang w:eastAsia="zh-CN"/>
              </w:rPr>
              <w:t>20%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21D9B315"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color w:val="000000"/>
                <w:sz w:val="15"/>
                <w:szCs w:val="15"/>
                <w:lang w:eastAsia="zh-CN"/>
              </w:rPr>
              <w:t>&gt;20%</w:t>
            </w:r>
            <w:r w:rsidRPr="005F4B44">
              <w:rPr>
                <w:rFonts w:ascii="Calibri" w:eastAsia="細明體" w:hAnsi="Calibri" w:hint="eastAsia"/>
                <w:color w:val="000000"/>
                <w:sz w:val="15"/>
                <w:szCs w:val="15"/>
                <w:lang w:eastAsia="zh-CN"/>
              </w:rPr>
              <w:t>至</w:t>
            </w:r>
            <w:r w:rsidRPr="005F4B44">
              <w:rPr>
                <w:rFonts w:ascii="Calibri" w:eastAsia="細明體" w:hAnsi="Calibri"/>
                <w:color w:val="000000"/>
                <w:sz w:val="15"/>
                <w:szCs w:val="15"/>
                <w:lang w:eastAsia="zh-CN"/>
              </w:rPr>
              <w:t>50%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37B7EE0B"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color w:val="000000"/>
                <w:sz w:val="15"/>
                <w:szCs w:val="15"/>
                <w:lang w:eastAsia="zh-CN"/>
              </w:rPr>
              <w:t>&gt;50%</w:t>
            </w:r>
            <w:r w:rsidRPr="005F4B44">
              <w:rPr>
                <w:rFonts w:ascii="Calibri" w:eastAsia="細明體" w:hAnsi="Calibri" w:hint="eastAsia"/>
                <w:color w:val="000000"/>
                <w:sz w:val="15"/>
                <w:szCs w:val="15"/>
                <w:lang w:eastAsia="zh-CN"/>
              </w:rPr>
              <w:t>至</w:t>
            </w:r>
            <w:r w:rsidRPr="005F4B44">
              <w:rPr>
                <w:rFonts w:ascii="Calibri" w:eastAsia="細明體" w:hAnsi="Calibri"/>
                <w:color w:val="000000"/>
                <w:sz w:val="15"/>
                <w:szCs w:val="15"/>
                <w:lang w:eastAsia="zh-CN"/>
              </w:rPr>
              <w:t>100%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2633E56D" w14:textId="77777777" w:rsidR="005F4B44" w:rsidRPr="00623B1C" w:rsidRDefault="005F4B44" w:rsidP="00681D0D">
            <w:pPr>
              <w:snapToGrid w:val="0"/>
              <w:spacing w:line="259" w:lineRule="auto"/>
              <w:ind w:left="113" w:right="113"/>
              <w:rPr>
                <w:rFonts w:ascii="Calibri" w:eastAsia="細明體" w:hAnsi="Calibri"/>
                <w:color w:val="000000"/>
                <w:sz w:val="14"/>
                <w:szCs w:val="14"/>
                <w:lang w:eastAsia="zh-CN"/>
              </w:rPr>
            </w:pPr>
            <w:r w:rsidRPr="00623B1C">
              <w:rPr>
                <w:rFonts w:ascii="Calibri" w:eastAsia="細明體" w:hAnsi="Calibri"/>
                <w:color w:val="000000"/>
                <w:sz w:val="14"/>
                <w:szCs w:val="14"/>
                <w:lang w:eastAsia="zh-CN"/>
              </w:rPr>
              <w:t>&gt;100%</w:t>
            </w:r>
            <w:r w:rsidRPr="00623B1C">
              <w:rPr>
                <w:rFonts w:ascii="Calibri" w:eastAsia="細明體" w:hAnsi="Calibri" w:hint="eastAsia"/>
                <w:color w:val="000000"/>
                <w:sz w:val="14"/>
                <w:szCs w:val="14"/>
                <w:lang w:eastAsia="zh-CN"/>
              </w:rPr>
              <w:t>至</w:t>
            </w:r>
            <w:r w:rsidRPr="00623B1C">
              <w:rPr>
                <w:rFonts w:ascii="Calibri" w:eastAsia="細明體" w:hAnsi="Calibri"/>
                <w:color w:val="000000"/>
                <w:sz w:val="14"/>
                <w:szCs w:val="14"/>
                <w:lang w:eastAsia="zh-CN"/>
              </w:rPr>
              <w:t>&lt;1250% RW</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2FF560BD"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color w:val="000000"/>
                <w:sz w:val="15"/>
                <w:szCs w:val="15"/>
                <w:lang w:eastAsia="zh-CN"/>
              </w:rPr>
              <w:t>1250% RW</w:t>
            </w:r>
          </w:p>
        </w:tc>
        <w:tc>
          <w:tcPr>
            <w:tcW w:w="638" w:type="dxa"/>
            <w:tcBorders>
              <w:top w:val="single" w:sz="4" w:space="0" w:color="000000"/>
              <w:left w:val="single" w:sz="4" w:space="0" w:color="000000"/>
              <w:bottom w:val="single" w:sz="4" w:space="0" w:color="000000"/>
            </w:tcBorders>
            <w:shd w:val="clear" w:color="auto" w:fill="auto"/>
            <w:textDirection w:val="btLr"/>
            <w:vAlign w:val="center"/>
          </w:tcPr>
          <w:p w14:paraId="738CF9D7"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SEC-IRBA</w:t>
            </w:r>
          </w:p>
        </w:tc>
        <w:tc>
          <w:tcPr>
            <w:tcW w:w="636" w:type="dxa"/>
            <w:tcBorders>
              <w:top w:val="single" w:sz="4" w:space="0" w:color="000000"/>
              <w:left w:val="single" w:sz="4" w:space="0" w:color="000000"/>
              <w:bottom w:val="single" w:sz="4" w:space="0" w:color="000000"/>
            </w:tcBorders>
            <w:shd w:val="clear" w:color="auto" w:fill="auto"/>
            <w:textDirection w:val="btLr"/>
            <w:vAlign w:val="center"/>
          </w:tcPr>
          <w:p w14:paraId="02599C61" w14:textId="2773BDC5" w:rsidR="005F4B44" w:rsidRPr="00623B1C" w:rsidRDefault="005F4B44" w:rsidP="002F3D32">
            <w:pPr>
              <w:snapToGrid w:val="0"/>
              <w:spacing w:line="259" w:lineRule="auto"/>
              <w:ind w:left="113" w:right="113"/>
              <w:rPr>
                <w:rFonts w:ascii="Calibri" w:eastAsia="細明體" w:hAnsi="Calibri"/>
                <w:color w:val="000000"/>
                <w:sz w:val="14"/>
                <w:szCs w:val="14"/>
                <w:lang w:eastAsia="zh-CN"/>
              </w:rPr>
            </w:pPr>
            <w:r w:rsidRPr="00623B1C">
              <w:rPr>
                <w:rFonts w:ascii="Calibri" w:eastAsia="細明體" w:hAnsi="Calibri"/>
                <w:color w:val="000000"/>
                <w:sz w:val="14"/>
                <w:szCs w:val="14"/>
                <w:lang w:eastAsia="zh-TW"/>
              </w:rPr>
              <w:t>SEC-ERBA</w:t>
            </w:r>
            <w:r w:rsidR="002F3D32">
              <w:rPr>
                <w:rFonts w:ascii="Calibri" w:eastAsia="細明體" w:hAnsi="Calibri"/>
                <w:color w:val="000000"/>
                <w:sz w:val="14"/>
                <w:szCs w:val="14"/>
                <w:lang w:eastAsia="zh-TW"/>
              </w:rPr>
              <w:t xml:space="preserve"> (</w:t>
            </w:r>
            <w:r w:rsidRPr="00623B1C">
              <w:rPr>
                <w:rFonts w:ascii="Calibri" w:eastAsia="細明體" w:hAnsi="Calibri" w:hint="eastAsia"/>
                <w:color w:val="000000"/>
                <w:sz w:val="14"/>
                <w:szCs w:val="14"/>
                <w:lang w:eastAsia="zh-TW"/>
              </w:rPr>
              <w:t>包括</w:t>
            </w:r>
            <w:r w:rsidRPr="00623B1C">
              <w:rPr>
                <w:rFonts w:ascii="Calibri" w:eastAsia="細明體" w:hAnsi="Calibri"/>
                <w:color w:val="000000"/>
                <w:sz w:val="14"/>
                <w:szCs w:val="14"/>
                <w:lang w:eastAsia="zh-TW"/>
              </w:rPr>
              <w:t>IAA</w:t>
            </w:r>
            <w:r w:rsidR="002F3D32">
              <w:rPr>
                <w:rFonts w:ascii="Calibri" w:eastAsia="細明體" w:hAnsi="Calibri"/>
                <w:color w:val="000000"/>
                <w:sz w:val="14"/>
                <w:szCs w:val="14"/>
                <w:lang w:eastAsia="zh-TW"/>
              </w:rPr>
              <w:t>)</w:t>
            </w:r>
          </w:p>
        </w:tc>
        <w:tc>
          <w:tcPr>
            <w:tcW w:w="636" w:type="dxa"/>
            <w:tcBorders>
              <w:top w:val="single" w:sz="4" w:space="0" w:color="000000"/>
              <w:left w:val="single" w:sz="4" w:space="0" w:color="000000"/>
              <w:bottom w:val="single" w:sz="4" w:space="0" w:color="000000"/>
            </w:tcBorders>
            <w:shd w:val="clear" w:color="auto" w:fill="auto"/>
            <w:textDirection w:val="btLr"/>
            <w:vAlign w:val="center"/>
          </w:tcPr>
          <w:p w14:paraId="42D0DEAC"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SEC-SA</w:t>
            </w:r>
          </w:p>
        </w:tc>
        <w:tc>
          <w:tcPr>
            <w:tcW w:w="636" w:type="dxa"/>
            <w:tcBorders>
              <w:top w:val="single" w:sz="4" w:space="0" w:color="000000"/>
              <w:left w:val="single" w:sz="4" w:space="0" w:color="000000"/>
              <w:bottom w:val="single" w:sz="4" w:space="0" w:color="000000"/>
            </w:tcBorders>
            <w:shd w:val="clear" w:color="auto" w:fill="auto"/>
            <w:textDirection w:val="btLr"/>
            <w:vAlign w:val="center"/>
          </w:tcPr>
          <w:p w14:paraId="61FB577C"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SEC-FBA</w:t>
            </w:r>
          </w:p>
        </w:tc>
        <w:tc>
          <w:tcPr>
            <w:tcW w:w="643" w:type="dxa"/>
            <w:tcBorders>
              <w:top w:val="single" w:sz="4" w:space="0" w:color="000000"/>
              <w:left w:val="single" w:sz="4" w:space="0" w:color="000000"/>
              <w:bottom w:val="single" w:sz="4" w:space="0" w:color="000000"/>
            </w:tcBorders>
            <w:shd w:val="clear" w:color="auto" w:fill="auto"/>
            <w:textDirection w:val="btLr"/>
            <w:vAlign w:val="center"/>
          </w:tcPr>
          <w:p w14:paraId="02580937"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SEC-IRBA</w:t>
            </w:r>
          </w:p>
        </w:tc>
        <w:tc>
          <w:tcPr>
            <w:tcW w:w="644" w:type="dxa"/>
            <w:tcBorders>
              <w:top w:val="single" w:sz="4" w:space="0" w:color="000000"/>
              <w:left w:val="single" w:sz="4" w:space="0" w:color="000000"/>
              <w:bottom w:val="single" w:sz="4" w:space="0" w:color="000000"/>
            </w:tcBorders>
            <w:shd w:val="clear" w:color="auto" w:fill="auto"/>
            <w:textDirection w:val="btLr"/>
            <w:vAlign w:val="center"/>
          </w:tcPr>
          <w:p w14:paraId="06663C4E" w14:textId="0095FCB9" w:rsidR="005F4B44" w:rsidRPr="00623B1C" w:rsidRDefault="005F4B44" w:rsidP="002F3D32">
            <w:pPr>
              <w:snapToGrid w:val="0"/>
              <w:spacing w:line="259" w:lineRule="auto"/>
              <w:ind w:left="113" w:right="113"/>
              <w:rPr>
                <w:rFonts w:ascii="Calibri" w:eastAsia="細明體" w:hAnsi="Calibri"/>
                <w:color w:val="000000"/>
                <w:sz w:val="14"/>
                <w:szCs w:val="14"/>
                <w:lang w:eastAsia="zh-CN"/>
              </w:rPr>
            </w:pPr>
            <w:r w:rsidRPr="00623B1C">
              <w:rPr>
                <w:rFonts w:ascii="Calibri" w:eastAsia="細明體" w:hAnsi="Calibri"/>
                <w:color w:val="000000"/>
                <w:sz w:val="14"/>
                <w:szCs w:val="14"/>
                <w:lang w:eastAsia="zh-TW"/>
              </w:rPr>
              <w:t>SEC-ERBA</w:t>
            </w:r>
            <w:r w:rsidR="002F3D32">
              <w:rPr>
                <w:rFonts w:ascii="Calibri" w:eastAsia="細明體" w:hAnsi="Calibri"/>
                <w:color w:val="000000"/>
                <w:sz w:val="14"/>
                <w:szCs w:val="14"/>
                <w:lang w:eastAsia="zh-TW"/>
              </w:rPr>
              <w:t xml:space="preserve"> (</w:t>
            </w:r>
            <w:r w:rsidRPr="00623B1C">
              <w:rPr>
                <w:rFonts w:ascii="Calibri" w:eastAsia="細明體" w:hAnsi="Calibri" w:hint="eastAsia"/>
                <w:color w:val="000000"/>
                <w:sz w:val="14"/>
                <w:szCs w:val="14"/>
                <w:lang w:eastAsia="zh-TW"/>
              </w:rPr>
              <w:t>包括</w:t>
            </w:r>
            <w:r w:rsidRPr="00623B1C">
              <w:rPr>
                <w:rFonts w:ascii="Calibri" w:eastAsia="細明體" w:hAnsi="Calibri"/>
                <w:color w:val="000000"/>
                <w:sz w:val="14"/>
                <w:szCs w:val="14"/>
                <w:lang w:eastAsia="zh-TW"/>
              </w:rPr>
              <w:t>IAA</w:t>
            </w:r>
            <w:r w:rsidR="002F3D32">
              <w:rPr>
                <w:rFonts w:ascii="Calibri" w:eastAsia="細明體" w:hAnsi="Calibri"/>
                <w:color w:val="000000"/>
                <w:sz w:val="14"/>
                <w:szCs w:val="14"/>
                <w:lang w:eastAsia="zh-TW"/>
              </w:rPr>
              <w:t>)</w:t>
            </w:r>
          </w:p>
        </w:tc>
        <w:tc>
          <w:tcPr>
            <w:tcW w:w="644" w:type="dxa"/>
            <w:tcBorders>
              <w:top w:val="single" w:sz="4" w:space="0" w:color="000000"/>
              <w:left w:val="single" w:sz="4" w:space="0" w:color="000000"/>
              <w:bottom w:val="single" w:sz="4" w:space="0" w:color="000000"/>
            </w:tcBorders>
            <w:shd w:val="clear" w:color="auto" w:fill="auto"/>
            <w:textDirection w:val="btLr"/>
            <w:vAlign w:val="center"/>
          </w:tcPr>
          <w:p w14:paraId="1B242E18"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SEC-SA</w:t>
            </w:r>
          </w:p>
        </w:tc>
        <w:tc>
          <w:tcPr>
            <w:tcW w:w="644" w:type="dxa"/>
            <w:tcBorders>
              <w:top w:val="single" w:sz="4" w:space="0" w:color="000000"/>
              <w:left w:val="single" w:sz="4" w:space="0" w:color="000000"/>
              <w:bottom w:val="single" w:sz="4" w:space="0" w:color="000000"/>
            </w:tcBorders>
            <w:shd w:val="clear" w:color="auto" w:fill="auto"/>
            <w:textDirection w:val="btLr"/>
            <w:vAlign w:val="center"/>
          </w:tcPr>
          <w:p w14:paraId="56090A34"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SEC-FBA</w:t>
            </w:r>
          </w:p>
        </w:tc>
        <w:tc>
          <w:tcPr>
            <w:tcW w:w="631" w:type="dxa"/>
            <w:tcBorders>
              <w:top w:val="single" w:sz="4" w:space="0" w:color="000000"/>
              <w:left w:val="single" w:sz="4" w:space="0" w:color="000000"/>
              <w:bottom w:val="single" w:sz="4" w:space="0" w:color="000000"/>
            </w:tcBorders>
            <w:shd w:val="clear" w:color="auto" w:fill="auto"/>
            <w:textDirection w:val="btLr"/>
            <w:vAlign w:val="center"/>
          </w:tcPr>
          <w:p w14:paraId="33D94006" w14:textId="77777777" w:rsidR="005F4B44" w:rsidRPr="005F4B44" w:rsidRDefault="005F4B44" w:rsidP="00681D0D">
            <w:pPr>
              <w:snapToGrid w:val="0"/>
              <w:spacing w:line="259" w:lineRule="auto"/>
              <w:ind w:left="113" w:right="113"/>
              <w:rPr>
                <w:rFonts w:ascii="Calibri" w:eastAsia="細明體" w:hAnsi="Calibri"/>
                <w:color w:val="000000"/>
                <w:sz w:val="15"/>
                <w:szCs w:val="15"/>
                <w:lang w:eastAsia="zh-CN"/>
              </w:rPr>
            </w:pPr>
            <w:r w:rsidRPr="005F4B44">
              <w:rPr>
                <w:rFonts w:ascii="Calibri" w:eastAsia="細明體" w:hAnsi="Calibri" w:hint="eastAsia"/>
                <w:color w:val="000000"/>
                <w:sz w:val="15"/>
                <w:szCs w:val="15"/>
                <w:lang w:eastAsia="zh-TW"/>
              </w:rPr>
              <w:t>SEC-IRBA</w:t>
            </w:r>
          </w:p>
        </w:tc>
        <w:tc>
          <w:tcPr>
            <w:tcW w:w="632" w:type="dxa"/>
            <w:tcBorders>
              <w:top w:val="single" w:sz="4" w:space="0" w:color="000000"/>
              <w:left w:val="single" w:sz="4" w:space="0" w:color="000000"/>
              <w:bottom w:val="single" w:sz="4" w:space="0" w:color="000000"/>
            </w:tcBorders>
            <w:shd w:val="clear" w:color="auto" w:fill="auto"/>
            <w:textDirection w:val="btLr"/>
            <w:vAlign w:val="center"/>
          </w:tcPr>
          <w:p w14:paraId="307A0125" w14:textId="14C688DD" w:rsidR="005F4B44" w:rsidRPr="002D400C" w:rsidRDefault="005F4B44" w:rsidP="002F3D32">
            <w:pPr>
              <w:snapToGrid w:val="0"/>
              <w:spacing w:line="259" w:lineRule="auto"/>
              <w:ind w:left="113" w:right="113"/>
              <w:rPr>
                <w:rFonts w:ascii="Calibri" w:eastAsia="細明體" w:hAnsi="Calibri"/>
                <w:color w:val="000000"/>
                <w:sz w:val="14"/>
                <w:szCs w:val="14"/>
                <w:lang w:eastAsia="zh-TW"/>
              </w:rPr>
            </w:pPr>
            <w:r w:rsidRPr="002D400C">
              <w:rPr>
                <w:rFonts w:ascii="Calibri" w:eastAsia="細明體" w:hAnsi="Calibri"/>
                <w:color w:val="000000"/>
                <w:sz w:val="14"/>
                <w:szCs w:val="14"/>
                <w:lang w:eastAsia="zh-TW"/>
              </w:rPr>
              <w:t>SEC-ERBA</w:t>
            </w:r>
            <w:r w:rsidR="002F3D32">
              <w:rPr>
                <w:rFonts w:ascii="Calibri" w:eastAsia="細明體" w:hAnsi="Calibri"/>
                <w:color w:val="000000"/>
                <w:sz w:val="14"/>
                <w:szCs w:val="14"/>
                <w:lang w:eastAsia="zh-TW"/>
              </w:rPr>
              <w:t xml:space="preserve"> (</w:t>
            </w:r>
            <w:r w:rsidRPr="002D400C">
              <w:rPr>
                <w:rFonts w:ascii="Calibri" w:eastAsia="細明體" w:hAnsi="Calibri" w:hint="eastAsia"/>
                <w:color w:val="000000"/>
                <w:sz w:val="14"/>
                <w:szCs w:val="14"/>
                <w:lang w:eastAsia="zh-TW"/>
              </w:rPr>
              <w:t>包括</w:t>
            </w:r>
            <w:r w:rsidRPr="002D400C">
              <w:rPr>
                <w:rFonts w:ascii="Calibri" w:eastAsia="細明體" w:hAnsi="Calibri"/>
                <w:color w:val="000000"/>
                <w:sz w:val="14"/>
                <w:szCs w:val="14"/>
                <w:lang w:eastAsia="zh-TW"/>
              </w:rPr>
              <w:t>IAA</w:t>
            </w:r>
            <w:r w:rsidR="002F3D32">
              <w:rPr>
                <w:rFonts w:ascii="Calibri" w:eastAsia="細明體" w:hAnsi="Calibri"/>
                <w:color w:val="000000"/>
                <w:sz w:val="14"/>
                <w:szCs w:val="14"/>
                <w:lang w:eastAsia="zh-TW"/>
              </w:rPr>
              <w:t>)</w:t>
            </w:r>
          </w:p>
        </w:tc>
        <w:tc>
          <w:tcPr>
            <w:tcW w:w="632" w:type="dxa"/>
            <w:tcBorders>
              <w:top w:val="single" w:sz="4" w:space="0" w:color="000000"/>
              <w:left w:val="single" w:sz="4" w:space="0" w:color="000000"/>
              <w:bottom w:val="single" w:sz="4" w:space="0" w:color="000000"/>
            </w:tcBorders>
            <w:shd w:val="clear" w:color="auto" w:fill="auto"/>
            <w:textDirection w:val="btLr"/>
            <w:vAlign w:val="center"/>
          </w:tcPr>
          <w:p w14:paraId="538AAF8C" w14:textId="77777777" w:rsidR="005F4B44" w:rsidRPr="002D400C" w:rsidRDefault="005F4B44" w:rsidP="00681D0D">
            <w:pPr>
              <w:snapToGrid w:val="0"/>
              <w:spacing w:line="259" w:lineRule="auto"/>
              <w:ind w:left="113" w:right="113"/>
              <w:rPr>
                <w:rFonts w:ascii="Calibri" w:eastAsia="細明體" w:hAnsi="Calibri"/>
                <w:color w:val="000000"/>
                <w:sz w:val="14"/>
                <w:szCs w:val="14"/>
                <w:lang w:eastAsia="zh-TW"/>
              </w:rPr>
            </w:pPr>
            <w:r w:rsidRPr="002D400C">
              <w:rPr>
                <w:rFonts w:ascii="Calibri" w:eastAsia="細明體" w:hAnsi="Calibri" w:hint="eastAsia"/>
                <w:color w:val="000000"/>
                <w:sz w:val="14"/>
                <w:szCs w:val="14"/>
                <w:lang w:eastAsia="zh-TW"/>
              </w:rPr>
              <w:t>SEC-SA</w:t>
            </w:r>
          </w:p>
        </w:tc>
        <w:tc>
          <w:tcPr>
            <w:tcW w:w="63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A7D762A" w14:textId="77777777" w:rsidR="005F4B44" w:rsidRPr="005F4B44" w:rsidRDefault="005F4B44" w:rsidP="00681D0D">
            <w:pPr>
              <w:snapToGrid w:val="0"/>
              <w:spacing w:line="259" w:lineRule="auto"/>
              <w:ind w:left="113" w:right="113"/>
              <w:rPr>
                <w:rFonts w:ascii="Calibri" w:eastAsia="新細明體" w:hAnsi="Calibri"/>
                <w:sz w:val="22"/>
                <w:szCs w:val="22"/>
                <w:lang w:eastAsia="zh-CN"/>
              </w:rPr>
            </w:pPr>
            <w:r w:rsidRPr="005F4B44">
              <w:rPr>
                <w:rFonts w:ascii="Calibri" w:eastAsia="細明體" w:hAnsi="Calibri" w:hint="eastAsia"/>
                <w:color w:val="000000"/>
                <w:sz w:val="15"/>
                <w:szCs w:val="15"/>
                <w:lang w:eastAsia="zh-TW"/>
              </w:rPr>
              <w:t>SEC-FBA</w:t>
            </w:r>
          </w:p>
        </w:tc>
      </w:tr>
      <w:tr w:rsidR="006942C0" w:rsidRPr="005F4B44" w14:paraId="29541074" w14:textId="77777777" w:rsidTr="006942C0">
        <w:trPr>
          <w:gridAfter w:val="1"/>
          <w:wAfter w:w="7" w:type="dxa"/>
          <w:cantSplit/>
          <w:trHeight w:val="23"/>
        </w:trPr>
        <w:tc>
          <w:tcPr>
            <w:tcW w:w="415" w:type="dxa"/>
            <w:tcBorders>
              <w:top w:val="single" w:sz="4" w:space="0" w:color="000000"/>
              <w:bottom w:val="single" w:sz="4" w:space="0" w:color="C0C0C0"/>
            </w:tcBorders>
            <w:shd w:val="clear" w:color="auto" w:fill="auto"/>
          </w:tcPr>
          <w:p w14:paraId="287CF451" w14:textId="77777777" w:rsidR="005F4B44" w:rsidRPr="005F4B44" w:rsidRDefault="005F4B44" w:rsidP="00681D0D">
            <w:pPr>
              <w:snapToGrid w:val="0"/>
              <w:spacing w:line="259" w:lineRule="auto"/>
              <w:jc w:val="center"/>
              <w:rPr>
                <w:rFonts w:ascii="Calibri" w:eastAsia="細明體" w:hAnsi="Calibri"/>
                <w:b/>
                <w:color w:val="000000"/>
                <w:sz w:val="17"/>
                <w:szCs w:val="17"/>
                <w:lang w:eastAsia="zh-CN"/>
              </w:rPr>
            </w:pPr>
            <w:r w:rsidRPr="005F4B44">
              <w:rPr>
                <w:rFonts w:ascii="Calibri" w:eastAsia="細明體" w:hAnsi="Calibri"/>
                <w:b/>
                <w:color w:val="000000"/>
                <w:sz w:val="17"/>
                <w:szCs w:val="17"/>
                <w:lang w:eastAsia="zh-CN"/>
              </w:rPr>
              <w:t>1</w:t>
            </w:r>
          </w:p>
        </w:tc>
        <w:tc>
          <w:tcPr>
            <w:tcW w:w="2606" w:type="dxa"/>
            <w:tcBorders>
              <w:top w:val="single" w:sz="4" w:space="0" w:color="000000"/>
              <w:left w:val="single" w:sz="4" w:space="0" w:color="C0C0C0"/>
              <w:bottom w:val="single" w:sz="4" w:space="0" w:color="C0C0C0"/>
            </w:tcBorders>
            <w:shd w:val="clear" w:color="auto" w:fill="auto"/>
            <w:vAlign w:val="bottom"/>
          </w:tcPr>
          <w:p w14:paraId="5CB5913B" w14:textId="77777777" w:rsidR="005F4B44" w:rsidRPr="005F4B44" w:rsidRDefault="005F4B44" w:rsidP="00681D0D">
            <w:pPr>
              <w:snapToGrid w:val="0"/>
              <w:spacing w:line="259" w:lineRule="auto"/>
              <w:rPr>
                <w:rFonts w:ascii="Calibri" w:eastAsia="細明體" w:hAnsi="Calibri"/>
                <w:color w:val="000000"/>
                <w:sz w:val="17"/>
                <w:szCs w:val="17"/>
                <w:lang w:eastAsia="zh-CN"/>
              </w:rPr>
            </w:pPr>
            <w:r w:rsidRPr="005F4B44">
              <w:rPr>
                <w:rFonts w:ascii="Calibri" w:eastAsia="細明體" w:hAnsi="Calibri" w:hint="eastAsia"/>
                <w:b/>
                <w:color w:val="000000"/>
                <w:sz w:val="17"/>
                <w:szCs w:val="17"/>
                <w:lang w:eastAsia="zh-CN"/>
              </w:rPr>
              <w:t>風險承</w:t>
            </w:r>
            <w:proofErr w:type="gramStart"/>
            <w:r w:rsidRPr="005F4B44">
              <w:rPr>
                <w:rFonts w:ascii="Calibri" w:eastAsia="細明體" w:hAnsi="Calibri" w:hint="eastAsia"/>
                <w:b/>
                <w:color w:val="000000"/>
                <w:sz w:val="17"/>
                <w:szCs w:val="17"/>
                <w:lang w:eastAsia="zh-CN"/>
              </w:rPr>
              <w:t>擔</w:t>
            </w:r>
            <w:proofErr w:type="gramEnd"/>
            <w:r w:rsidRPr="005F4B44">
              <w:rPr>
                <w:rFonts w:ascii="Calibri" w:eastAsia="細明體" w:hAnsi="Calibri" w:hint="eastAsia"/>
                <w:b/>
                <w:color w:val="000000"/>
                <w:sz w:val="17"/>
                <w:szCs w:val="17"/>
                <w:lang w:eastAsia="zh-CN"/>
              </w:rPr>
              <w:t>總額</w:t>
            </w:r>
          </w:p>
        </w:tc>
        <w:tc>
          <w:tcPr>
            <w:tcW w:w="642" w:type="dxa"/>
            <w:tcBorders>
              <w:top w:val="single" w:sz="4" w:space="0" w:color="000000"/>
              <w:left w:val="single" w:sz="4" w:space="0" w:color="000000"/>
              <w:bottom w:val="single" w:sz="4" w:space="0" w:color="C0C0C0"/>
            </w:tcBorders>
            <w:shd w:val="clear" w:color="auto" w:fill="auto"/>
            <w:vAlign w:val="bottom"/>
          </w:tcPr>
          <w:p w14:paraId="3C915B0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2F5EDAA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64F7768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048B4A41"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6EAC42F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000000"/>
              <w:left w:val="single" w:sz="4" w:space="0" w:color="000000"/>
              <w:bottom w:val="single" w:sz="4" w:space="0" w:color="C0C0C0"/>
            </w:tcBorders>
            <w:shd w:val="clear" w:color="auto" w:fill="auto"/>
            <w:vAlign w:val="bottom"/>
          </w:tcPr>
          <w:p w14:paraId="619266D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000000"/>
              <w:left w:val="single" w:sz="4" w:space="0" w:color="000000"/>
              <w:bottom w:val="single" w:sz="4" w:space="0" w:color="C0C0C0"/>
            </w:tcBorders>
            <w:shd w:val="clear" w:color="auto" w:fill="auto"/>
            <w:vAlign w:val="bottom"/>
          </w:tcPr>
          <w:p w14:paraId="487FD68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000000"/>
              <w:left w:val="single" w:sz="4" w:space="0" w:color="000000"/>
              <w:bottom w:val="single" w:sz="4" w:space="0" w:color="C0C0C0"/>
            </w:tcBorders>
            <w:shd w:val="clear" w:color="auto" w:fill="auto"/>
            <w:vAlign w:val="bottom"/>
          </w:tcPr>
          <w:p w14:paraId="6B55575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000000"/>
              <w:left w:val="single" w:sz="4" w:space="0" w:color="000000"/>
              <w:bottom w:val="single" w:sz="4" w:space="0" w:color="C0C0C0"/>
            </w:tcBorders>
            <w:shd w:val="clear" w:color="auto" w:fill="auto"/>
            <w:vAlign w:val="bottom"/>
          </w:tcPr>
          <w:p w14:paraId="4403EF0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000000"/>
              <w:left w:val="single" w:sz="4" w:space="0" w:color="000000"/>
              <w:bottom w:val="single" w:sz="4" w:space="0" w:color="C0C0C0"/>
            </w:tcBorders>
            <w:shd w:val="clear" w:color="auto" w:fill="auto"/>
            <w:vAlign w:val="bottom"/>
          </w:tcPr>
          <w:p w14:paraId="65F5E4B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000000"/>
              <w:left w:val="single" w:sz="4" w:space="0" w:color="000000"/>
              <w:bottom w:val="single" w:sz="4" w:space="0" w:color="C0C0C0"/>
            </w:tcBorders>
            <w:shd w:val="clear" w:color="auto" w:fill="auto"/>
            <w:vAlign w:val="bottom"/>
          </w:tcPr>
          <w:p w14:paraId="25532B8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000000"/>
              <w:left w:val="single" w:sz="4" w:space="0" w:color="000000"/>
              <w:bottom w:val="single" w:sz="4" w:space="0" w:color="C0C0C0"/>
            </w:tcBorders>
            <w:shd w:val="clear" w:color="auto" w:fill="auto"/>
            <w:vAlign w:val="bottom"/>
          </w:tcPr>
          <w:p w14:paraId="02B989A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000000"/>
              <w:left w:val="single" w:sz="4" w:space="0" w:color="000000"/>
              <w:bottom w:val="single" w:sz="4" w:space="0" w:color="C0C0C0"/>
            </w:tcBorders>
            <w:shd w:val="clear" w:color="auto" w:fill="auto"/>
            <w:vAlign w:val="bottom"/>
          </w:tcPr>
          <w:p w14:paraId="22E17FB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000000"/>
              <w:left w:val="single" w:sz="4" w:space="0" w:color="000000"/>
              <w:bottom w:val="single" w:sz="4" w:space="0" w:color="C0C0C0"/>
            </w:tcBorders>
            <w:shd w:val="clear" w:color="auto" w:fill="auto"/>
            <w:vAlign w:val="bottom"/>
          </w:tcPr>
          <w:p w14:paraId="3FED58F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000000"/>
              <w:left w:val="single" w:sz="4" w:space="0" w:color="000000"/>
              <w:bottom w:val="single" w:sz="4" w:space="0" w:color="C0C0C0"/>
            </w:tcBorders>
            <w:shd w:val="clear" w:color="auto" w:fill="auto"/>
            <w:vAlign w:val="bottom"/>
          </w:tcPr>
          <w:p w14:paraId="0F7BB3A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000000"/>
              <w:left w:val="single" w:sz="4" w:space="0" w:color="000000"/>
              <w:bottom w:val="single" w:sz="4" w:space="0" w:color="C0C0C0"/>
            </w:tcBorders>
            <w:shd w:val="clear" w:color="auto" w:fill="auto"/>
            <w:vAlign w:val="bottom"/>
          </w:tcPr>
          <w:p w14:paraId="17A8146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000000"/>
              <w:left w:val="single" w:sz="4" w:space="0" w:color="000000"/>
              <w:bottom w:val="single" w:sz="4" w:space="0" w:color="C0C0C0"/>
              <w:right w:val="single" w:sz="4" w:space="0" w:color="000000"/>
            </w:tcBorders>
            <w:shd w:val="clear" w:color="auto" w:fill="auto"/>
            <w:vAlign w:val="bottom"/>
          </w:tcPr>
          <w:p w14:paraId="26230A6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656B6E93"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1907FA99"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2</w:t>
            </w:r>
          </w:p>
        </w:tc>
        <w:tc>
          <w:tcPr>
            <w:tcW w:w="2606" w:type="dxa"/>
            <w:tcBorders>
              <w:top w:val="single" w:sz="4" w:space="0" w:color="C0C0C0"/>
              <w:left w:val="single" w:sz="4" w:space="0" w:color="C0C0C0"/>
              <w:bottom w:val="single" w:sz="4" w:space="0" w:color="C0C0C0"/>
            </w:tcBorders>
            <w:shd w:val="clear" w:color="auto" w:fill="auto"/>
            <w:vAlign w:val="bottom"/>
          </w:tcPr>
          <w:p w14:paraId="62258BDB" w14:textId="77777777" w:rsidR="005F4B44" w:rsidRPr="005F4B44" w:rsidRDefault="005F4B44" w:rsidP="00681D0D">
            <w:pPr>
              <w:snapToGrid w:val="0"/>
              <w:spacing w:line="259" w:lineRule="auto"/>
              <w:rPr>
                <w:rFonts w:ascii="Calibri" w:eastAsia="細明體" w:hAnsi="Calibri"/>
                <w:color w:val="000000"/>
                <w:sz w:val="17"/>
                <w:szCs w:val="17"/>
                <w:lang w:eastAsia="zh-CN"/>
              </w:rPr>
            </w:pPr>
            <w:proofErr w:type="gramStart"/>
            <w:r w:rsidRPr="005F4B44">
              <w:rPr>
                <w:rFonts w:ascii="Calibri" w:eastAsia="細明體" w:hAnsi="Calibri" w:hint="eastAsia"/>
                <w:color w:val="000000"/>
                <w:sz w:val="17"/>
                <w:szCs w:val="17"/>
                <w:lang w:eastAsia="zh-CN"/>
              </w:rPr>
              <w:t>傳</w:t>
            </w:r>
            <w:proofErr w:type="gramEnd"/>
            <w:r w:rsidRPr="005F4B44">
              <w:rPr>
                <w:rFonts w:ascii="Calibri" w:eastAsia="細明體" w:hAnsi="Calibri" w:hint="eastAsia"/>
                <w:color w:val="000000"/>
                <w:sz w:val="17"/>
                <w:szCs w:val="17"/>
                <w:lang w:eastAsia="zh-CN"/>
              </w:rPr>
              <w:t>統證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r w:rsidRPr="005F4B44">
              <w:rPr>
                <w:rFonts w:ascii="Calibri" w:eastAsia="細明體" w:hAnsi="Calibri"/>
                <w:color w:val="000000"/>
                <w:sz w:val="17"/>
                <w:szCs w:val="17"/>
                <w:lang w:eastAsia="zh-CN"/>
              </w:rPr>
              <w:t xml:space="preserve"> </w:t>
            </w:r>
          </w:p>
        </w:tc>
        <w:tc>
          <w:tcPr>
            <w:tcW w:w="642" w:type="dxa"/>
            <w:tcBorders>
              <w:top w:val="single" w:sz="4" w:space="0" w:color="C0C0C0"/>
              <w:left w:val="single" w:sz="4" w:space="0" w:color="000000"/>
              <w:bottom w:val="single" w:sz="4" w:space="0" w:color="C0C0C0"/>
            </w:tcBorders>
            <w:shd w:val="clear" w:color="auto" w:fill="auto"/>
            <w:vAlign w:val="bottom"/>
          </w:tcPr>
          <w:p w14:paraId="55734D5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369E07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FD4E60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588BE1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9F0FFEC"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D96E7D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7148D42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1200E7F1"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47CECC8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63888DC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08B3595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63764C5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4C5BB69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7578AAE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314136E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2DE45E2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2CFC483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5FDE462A" w14:textId="77777777" w:rsidTr="006942C0">
        <w:trPr>
          <w:gridAfter w:val="1"/>
          <w:wAfter w:w="7" w:type="dxa"/>
          <w:trHeight w:val="227"/>
        </w:trPr>
        <w:tc>
          <w:tcPr>
            <w:tcW w:w="415" w:type="dxa"/>
            <w:tcBorders>
              <w:top w:val="single" w:sz="4" w:space="0" w:color="C0C0C0"/>
              <w:bottom w:val="single" w:sz="4" w:space="0" w:color="C0C0C0"/>
            </w:tcBorders>
            <w:shd w:val="clear" w:color="auto" w:fill="auto"/>
          </w:tcPr>
          <w:p w14:paraId="657DDC42"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3</w:t>
            </w:r>
          </w:p>
        </w:tc>
        <w:tc>
          <w:tcPr>
            <w:tcW w:w="2606" w:type="dxa"/>
            <w:tcBorders>
              <w:top w:val="single" w:sz="4" w:space="0" w:color="C0C0C0"/>
              <w:left w:val="single" w:sz="4" w:space="0" w:color="C0C0C0"/>
              <w:bottom w:val="single" w:sz="4" w:space="0" w:color="C0C0C0"/>
            </w:tcBorders>
            <w:shd w:val="clear" w:color="auto" w:fill="auto"/>
            <w:vAlign w:val="bottom"/>
          </w:tcPr>
          <w:p w14:paraId="2877CE88" w14:textId="77777777" w:rsidR="005F4B44" w:rsidRPr="005F4B44" w:rsidRDefault="005F4B44" w:rsidP="00681D0D">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C0C0C0"/>
            </w:tcBorders>
            <w:shd w:val="clear" w:color="auto" w:fill="auto"/>
            <w:vAlign w:val="bottom"/>
          </w:tcPr>
          <w:p w14:paraId="173B093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EDDDD6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083580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9D5442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5A3B7A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4C9395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26A996D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530DC1C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51D0B8A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F49B191"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592DF70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536A518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30C5C82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2E9BAD6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2556FA5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14CFAE5C"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7E60BA7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59BCEE5B"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6D36987D"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4</w:t>
            </w:r>
          </w:p>
        </w:tc>
        <w:tc>
          <w:tcPr>
            <w:tcW w:w="2606" w:type="dxa"/>
            <w:tcBorders>
              <w:top w:val="single" w:sz="4" w:space="0" w:color="C0C0C0"/>
              <w:left w:val="single" w:sz="4" w:space="0" w:color="C0C0C0"/>
              <w:bottom w:val="single" w:sz="4" w:space="0" w:color="C0C0C0"/>
            </w:tcBorders>
            <w:shd w:val="clear" w:color="auto" w:fill="auto"/>
            <w:vAlign w:val="bottom"/>
          </w:tcPr>
          <w:p w14:paraId="6284EE71" w14:textId="77777777" w:rsidR="005F4B44" w:rsidRPr="005F4B44" w:rsidRDefault="005F4B44" w:rsidP="00681D0D">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其中零售</w:t>
            </w:r>
          </w:p>
        </w:tc>
        <w:tc>
          <w:tcPr>
            <w:tcW w:w="642" w:type="dxa"/>
            <w:tcBorders>
              <w:top w:val="single" w:sz="4" w:space="0" w:color="C0C0C0"/>
              <w:left w:val="single" w:sz="4" w:space="0" w:color="000000"/>
              <w:bottom w:val="single" w:sz="4" w:space="0" w:color="C0C0C0"/>
            </w:tcBorders>
            <w:shd w:val="clear" w:color="auto" w:fill="auto"/>
            <w:vAlign w:val="bottom"/>
          </w:tcPr>
          <w:p w14:paraId="20BC48C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240F16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07ADB7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441F0E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0C34F6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4FCA879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27C1D11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517FB35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2B0F720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A9698E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4E75141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7C9069F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4B3EA1C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3CD1B9E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54D5552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1731175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5158E10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5F4B44" w:rsidRPr="005F4B44" w14:paraId="70329436" w14:textId="77777777" w:rsidTr="006942C0">
        <w:trPr>
          <w:trHeight w:val="23"/>
        </w:trPr>
        <w:tc>
          <w:tcPr>
            <w:tcW w:w="415" w:type="dxa"/>
            <w:tcBorders>
              <w:top w:val="single" w:sz="4" w:space="0" w:color="C0C0C0"/>
              <w:bottom w:val="single" w:sz="4" w:space="0" w:color="C0C0C0"/>
            </w:tcBorders>
            <w:shd w:val="clear" w:color="auto" w:fill="auto"/>
          </w:tcPr>
          <w:p w14:paraId="4010F0BA"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TW"/>
              </w:rPr>
              <w:t>5</w:t>
            </w:r>
          </w:p>
        </w:tc>
        <w:tc>
          <w:tcPr>
            <w:tcW w:w="2606" w:type="dxa"/>
            <w:tcBorders>
              <w:top w:val="single" w:sz="4" w:space="0" w:color="C0C0C0"/>
              <w:left w:val="single" w:sz="4" w:space="0" w:color="C0C0C0"/>
              <w:bottom w:val="single" w:sz="4" w:space="0" w:color="C0C0C0"/>
            </w:tcBorders>
            <w:shd w:val="clear" w:color="auto" w:fill="auto"/>
          </w:tcPr>
          <w:p w14:paraId="64EFD6FA" w14:textId="77777777" w:rsidR="005F4B44" w:rsidRPr="005F4B44" w:rsidRDefault="005F4B44" w:rsidP="00623B1C">
            <w:pPr>
              <w:snapToGrid w:val="0"/>
              <w:spacing w:line="259" w:lineRule="auto"/>
              <w:ind w:left="504"/>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其中：簡單、具透明度及可比較</w:t>
            </w:r>
          </w:p>
        </w:tc>
        <w:tc>
          <w:tcPr>
            <w:tcW w:w="10869" w:type="dxa"/>
            <w:gridSpan w:val="18"/>
            <w:tcBorders>
              <w:top w:val="single" w:sz="4" w:space="0" w:color="C0C0C0"/>
              <w:left w:val="single" w:sz="4" w:space="0" w:color="000000"/>
              <w:bottom w:val="single" w:sz="4" w:space="0" w:color="C0C0C0"/>
              <w:right w:val="single" w:sz="4" w:space="0" w:color="000000"/>
            </w:tcBorders>
            <w:shd w:val="clear" w:color="auto" w:fill="BFBFBF"/>
            <w:vAlign w:val="bottom"/>
          </w:tcPr>
          <w:p w14:paraId="601712A1" w14:textId="77777777" w:rsidR="005F4B44" w:rsidRPr="005F4B44" w:rsidRDefault="005F4B44" w:rsidP="00623B1C">
            <w:pPr>
              <w:snapToGrid w:val="0"/>
              <w:spacing w:line="259" w:lineRule="auto"/>
              <w:jc w:val="center"/>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N</w:t>
            </w:r>
            <w:r w:rsidRPr="005F4B44">
              <w:rPr>
                <w:rFonts w:ascii="Calibri" w:eastAsia="細明體" w:hAnsi="Calibri"/>
                <w:color w:val="000000"/>
                <w:sz w:val="17"/>
                <w:szCs w:val="17"/>
                <w:lang w:eastAsia="zh-TW"/>
              </w:rPr>
              <w:t>/A</w:t>
            </w:r>
          </w:p>
        </w:tc>
      </w:tr>
      <w:tr w:rsidR="006942C0" w:rsidRPr="005F4B44" w14:paraId="49D4B7B0"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5F6CC0C5" w14:textId="364E85FD"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TW"/>
              </w:rPr>
              <w:t>6</w:t>
            </w:r>
          </w:p>
        </w:tc>
        <w:tc>
          <w:tcPr>
            <w:tcW w:w="2606" w:type="dxa"/>
            <w:tcBorders>
              <w:top w:val="single" w:sz="4" w:space="0" w:color="C0C0C0"/>
              <w:left w:val="single" w:sz="4" w:space="0" w:color="C0C0C0"/>
              <w:bottom w:val="single" w:sz="4" w:space="0" w:color="C0C0C0"/>
            </w:tcBorders>
            <w:shd w:val="clear" w:color="auto" w:fill="auto"/>
            <w:vAlign w:val="bottom"/>
          </w:tcPr>
          <w:p w14:paraId="6A2C27CC" w14:textId="77777777" w:rsidR="005F4B44" w:rsidRPr="005F4B44" w:rsidRDefault="005F4B44" w:rsidP="00681D0D">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其中批發</w:t>
            </w:r>
          </w:p>
        </w:tc>
        <w:tc>
          <w:tcPr>
            <w:tcW w:w="642" w:type="dxa"/>
            <w:tcBorders>
              <w:top w:val="single" w:sz="4" w:space="0" w:color="C0C0C0"/>
              <w:left w:val="single" w:sz="4" w:space="0" w:color="000000"/>
              <w:bottom w:val="single" w:sz="4" w:space="0" w:color="C0C0C0"/>
            </w:tcBorders>
            <w:shd w:val="clear" w:color="auto" w:fill="auto"/>
            <w:vAlign w:val="bottom"/>
          </w:tcPr>
          <w:p w14:paraId="3AFF9BF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B0F514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5AE2F5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65B03E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CB2ADC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6DC2AAB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601B806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1A19AE2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663A297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60558F4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4D66507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692AA001"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234922F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47CF97C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01FE87A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1CA7141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50BBA5C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5F4B44" w:rsidRPr="005F4B44" w14:paraId="12D4CD68" w14:textId="77777777" w:rsidTr="006942C0">
        <w:trPr>
          <w:trHeight w:val="23"/>
        </w:trPr>
        <w:tc>
          <w:tcPr>
            <w:tcW w:w="415" w:type="dxa"/>
            <w:tcBorders>
              <w:top w:val="single" w:sz="4" w:space="0" w:color="C0C0C0"/>
              <w:bottom w:val="single" w:sz="4" w:space="0" w:color="C0C0C0"/>
            </w:tcBorders>
            <w:shd w:val="clear" w:color="auto" w:fill="auto"/>
          </w:tcPr>
          <w:p w14:paraId="0097AB57" w14:textId="77777777" w:rsidR="005F4B44" w:rsidRPr="005F4B44" w:rsidDel="00A060FE" w:rsidRDefault="005F4B44" w:rsidP="00681D0D">
            <w:pPr>
              <w:snapToGrid w:val="0"/>
              <w:spacing w:line="259" w:lineRule="auto"/>
              <w:jc w:val="center"/>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7</w:t>
            </w:r>
          </w:p>
        </w:tc>
        <w:tc>
          <w:tcPr>
            <w:tcW w:w="2606" w:type="dxa"/>
            <w:tcBorders>
              <w:top w:val="single" w:sz="4" w:space="0" w:color="C0C0C0"/>
              <w:left w:val="single" w:sz="4" w:space="0" w:color="C0C0C0"/>
              <w:bottom w:val="single" w:sz="4" w:space="0" w:color="C0C0C0"/>
            </w:tcBorders>
            <w:shd w:val="clear" w:color="auto" w:fill="auto"/>
            <w:vAlign w:val="bottom"/>
          </w:tcPr>
          <w:p w14:paraId="5594D842" w14:textId="77777777" w:rsidR="005F4B44" w:rsidRPr="005F4B44" w:rsidRDefault="005F4B44" w:rsidP="00623B1C">
            <w:pPr>
              <w:snapToGrid w:val="0"/>
              <w:ind w:left="333"/>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其中：簡單、具透明度及可比較</w:t>
            </w:r>
          </w:p>
        </w:tc>
        <w:tc>
          <w:tcPr>
            <w:tcW w:w="10869" w:type="dxa"/>
            <w:gridSpan w:val="18"/>
            <w:tcBorders>
              <w:top w:val="single" w:sz="4" w:space="0" w:color="C0C0C0"/>
              <w:left w:val="single" w:sz="4" w:space="0" w:color="000000"/>
              <w:bottom w:val="single" w:sz="4" w:space="0" w:color="C0C0C0"/>
              <w:right w:val="single" w:sz="4" w:space="0" w:color="000000"/>
            </w:tcBorders>
            <w:shd w:val="clear" w:color="auto" w:fill="BFBFBF"/>
            <w:vAlign w:val="bottom"/>
          </w:tcPr>
          <w:p w14:paraId="4A3949E6" w14:textId="77777777" w:rsidR="005F4B44" w:rsidRPr="005F4B44" w:rsidRDefault="005F4B44" w:rsidP="00623B1C">
            <w:pPr>
              <w:snapToGrid w:val="0"/>
              <w:spacing w:line="259" w:lineRule="auto"/>
              <w:jc w:val="center"/>
              <w:rPr>
                <w:rFonts w:ascii="Calibri" w:eastAsia="細明體" w:hAnsi="Calibri"/>
                <w:color w:val="000000"/>
                <w:sz w:val="17"/>
                <w:szCs w:val="17"/>
                <w:lang w:eastAsia="zh-TW"/>
              </w:rPr>
            </w:pPr>
            <w:r w:rsidRPr="005F4B44">
              <w:rPr>
                <w:rFonts w:ascii="Calibri" w:eastAsia="細明體" w:hAnsi="Calibri" w:hint="eastAsia"/>
                <w:color w:val="000000"/>
                <w:sz w:val="17"/>
                <w:szCs w:val="17"/>
                <w:lang w:eastAsia="zh-TW"/>
              </w:rPr>
              <w:t>N</w:t>
            </w:r>
            <w:r w:rsidRPr="005F4B44">
              <w:rPr>
                <w:rFonts w:ascii="Calibri" w:eastAsia="細明體" w:hAnsi="Calibri"/>
                <w:color w:val="000000"/>
                <w:sz w:val="17"/>
                <w:szCs w:val="17"/>
                <w:lang w:eastAsia="zh-TW"/>
              </w:rPr>
              <w:t>/A</w:t>
            </w:r>
          </w:p>
        </w:tc>
      </w:tr>
      <w:tr w:rsidR="006942C0" w:rsidRPr="005F4B44" w14:paraId="3873F96E"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08D8C1E3" w14:textId="7D7705D6"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TW"/>
              </w:rPr>
              <w:t>8</w:t>
            </w:r>
          </w:p>
        </w:tc>
        <w:tc>
          <w:tcPr>
            <w:tcW w:w="2606" w:type="dxa"/>
            <w:tcBorders>
              <w:top w:val="single" w:sz="4" w:space="0" w:color="C0C0C0"/>
              <w:left w:val="single" w:sz="4" w:space="0" w:color="C0C0C0"/>
              <w:bottom w:val="single" w:sz="4" w:space="0" w:color="C0C0C0"/>
            </w:tcBorders>
            <w:shd w:val="clear" w:color="auto" w:fill="auto"/>
            <w:vAlign w:val="bottom"/>
          </w:tcPr>
          <w:p w14:paraId="7E92D04B" w14:textId="77777777" w:rsidR="005F4B44" w:rsidRPr="005F4B44" w:rsidRDefault="005F4B44" w:rsidP="00681D0D">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其中再證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C0C0C0"/>
            </w:tcBorders>
            <w:shd w:val="clear" w:color="auto" w:fill="auto"/>
            <w:vAlign w:val="bottom"/>
          </w:tcPr>
          <w:p w14:paraId="614DBB3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E1505D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78F3FB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D8CF5B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3BB9FA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0FE8EDF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75FEC35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49990F4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0FEB66C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4D2367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1F80FF4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32CD09A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7EF8FA0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309BCF2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64660C0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39E7C5E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0BA0F21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08B04C3C"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21684879"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9</w:t>
            </w:r>
          </w:p>
        </w:tc>
        <w:tc>
          <w:tcPr>
            <w:tcW w:w="2606" w:type="dxa"/>
            <w:tcBorders>
              <w:top w:val="single" w:sz="4" w:space="0" w:color="C0C0C0"/>
              <w:left w:val="single" w:sz="4" w:space="0" w:color="C0C0C0"/>
              <w:bottom w:val="single" w:sz="4" w:space="0" w:color="C0C0C0"/>
            </w:tcBorders>
            <w:shd w:val="clear" w:color="auto" w:fill="auto"/>
            <w:vAlign w:val="bottom"/>
          </w:tcPr>
          <w:p w14:paraId="38B10899" w14:textId="77777777" w:rsidR="005F4B44" w:rsidRPr="005F4B44" w:rsidRDefault="005F4B44" w:rsidP="00681D0D">
            <w:pPr>
              <w:snapToGrid w:val="0"/>
              <w:spacing w:line="259" w:lineRule="auto"/>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合成證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r w:rsidRPr="005F4B44">
              <w:rPr>
                <w:rFonts w:ascii="Calibri" w:eastAsia="細明體" w:hAnsi="Calibri"/>
                <w:color w:val="000000"/>
                <w:sz w:val="17"/>
                <w:szCs w:val="17"/>
                <w:lang w:eastAsia="zh-CN"/>
              </w:rPr>
              <w:t xml:space="preserve"> </w:t>
            </w:r>
          </w:p>
        </w:tc>
        <w:tc>
          <w:tcPr>
            <w:tcW w:w="642" w:type="dxa"/>
            <w:tcBorders>
              <w:top w:val="single" w:sz="4" w:space="0" w:color="C0C0C0"/>
              <w:left w:val="single" w:sz="4" w:space="0" w:color="000000"/>
              <w:bottom w:val="single" w:sz="4" w:space="0" w:color="C0C0C0"/>
            </w:tcBorders>
            <w:shd w:val="clear" w:color="auto" w:fill="auto"/>
            <w:vAlign w:val="bottom"/>
          </w:tcPr>
          <w:p w14:paraId="7AA3A9B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3B31DB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3988952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7CDF91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3DABD7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9A3D96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5DD7DCF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3D45EC4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3E86C1E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2CA824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3DF4CE3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7396CC9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7B33D62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0EABAEF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6B6361D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5EAD4C7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395B9001"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39077FE7"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6E69536A"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10</w:t>
            </w:r>
          </w:p>
        </w:tc>
        <w:tc>
          <w:tcPr>
            <w:tcW w:w="2606" w:type="dxa"/>
            <w:tcBorders>
              <w:top w:val="single" w:sz="4" w:space="0" w:color="C0C0C0"/>
              <w:left w:val="single" w:sz="4" w:space="0" w:color="C0C0C0"/>
              <w:bottom w:val="single" w:sz="4" w:space="0" w:color="C0C0C0"/>
            </w:tcBorders>
            <w:shd w:val="clear" w:color="auto" w:fill="auto"/>
            <w:vAlign w:val="bottom"/>
          </w:tcPr>
          <w:p w14:paraId="59B1FD7F" w14:textId="77777777" w:rsidR="005F4B44" w:rsidRPr="005F4B44" w:rsidRDefault="005F4B44" w:rsidP="00681D0D">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C0C0C0"/>
            </w:tcBorders>
            <w:shd w:val="clear" w:color="auto" w:fill="auto"/>
            <w:vAlign w:val="bottom"/>
          </w:tcPr>
          <w:p w14:paraId="1C56D1D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9BE1E9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DA88B1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65ED552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CE800B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4B7181D8"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5C8F08D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76541ED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142FF10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E3F5C9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2FCEB5D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2821BA91"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30FF038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4237040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53A2139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0BD5CD7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2438FB2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38DFE421"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6FC28301"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11</w:t>
            </w:r>
          </w:p>
        </w:tc>
        <w:tc>
          <w:tcPr>
            <w:tcW w:w="2606" w:type="dxa"/>
            <w:tcBorders>
              <w:top w:val="single" w:sz="4" w:space="0" w:color="C0C0C0"/>
              <w:left w:val="single" w:sz="4" w:space="0" w:color="C0C0C0"/>
              <w:bottom w:val="single" w:sz="4" w:space="0" w:color="C0C0C0"/>
            </w:tcBorders>
            <w:shd w:val="clear" w:color="auto" w:fill="auto"/>
            <w:vAlign w:val="bottom"/>
          </w:tcPr>
          <w:p w14:paraId="14289F26" w14:textId="77777777" w:rsidR="005F4B44" w:rsidRPr="005F4B44" w:rsidRDefault="005F4B44" w:rsidP="0076678C">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其中零售</w:t>
            </w:r>
          </w:p>
        </w:tc>
        <w:tc>
          <w:tcPr>
            <w:tcW w:w="642" w:type="dxa"/>
            <w:tcBorders>
              <w:top w:val="single" w:sz="4" w:space="0" w:color="C0C0C0"/>
              <w:left w:val="single" w:sz="4" w:space="0" w:color="000000"/>
              <w:bottom w:val="single" w:sz="4" w:space="0" w:color="C0C0C0"/>
            </w:tcBorders>
            <w:shd w:val="clear" w:color="auto" w:fill="auto"/>
            <w:vAlign w:val="bottom"/>
          </w:tcPr>
          <w:p w14:paraId="756E29E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E4B60FC"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4CD46F0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CB3297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04AAB9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5BA5DF9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057FFAA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19C08F9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0B52994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7ACE524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5837CE8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6FF9FAC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6417D02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009888C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76C4581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657458B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3B7CAC0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339CC730" w14:textId="77777777" w:rsidTr="006942C0">
        <w:trPr>
          <w:gridAfter w:val="1"/>
          <w:wAfter w:w="7" w:type="dxa"/>
          <w:trHeight w:val="23"/>
        </w:trPr>
        <w:tc>
          <w:tcPr>
            <w:tcW w:w="415" w:type="dxa"/>
            <w:tcBorders>
              <w:top w:val="single" w:sz="4" w:space="0" w:color="C0C0C0"/>
              <w:bottom w:val="single" w:sz="4" w:space="0" w:color="C0C0C0"/>
            </w:tcBorders>
            <w:shd w:val="clear" w:color="auto" w:fill="auto"/>
          </w:tcPr>
          <w:p w14:paraId="003F9531"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12</w:t>
            </w:r>
          </w:p>
        </w:tc>
        <w:tc>
          <w:tcPr>
            <w:tcW w:w="2606" w:type="dxa"/>
            <w:tcBorders>
              <w:top w:val="single" w:sz="4" w:space="0" w:color="C0C0C0"/>
              <w:left w:val="single" w:sz="4" w:space="0" w:color="C0C0C0"/>
              <w:bottom w:val="single" w:sz="4" w:space="0" w:color="C0C0C0"/>
            </w:tcBorders>
            <w:shd w:val="clear" w:color="auto" w:fill="auto"/>
            <w:vAlign w:val="bottom"/>
          </w:tcPr>
          <w:p w14:paraId="224B2C0E" w14:textId="77777777" w:rsidR="005F4B44" w:rsidRPr="005F4B44" w:rsidRDefault="005F4B44" w:rsidP="0076678C">
            <w:pPr>
              <w:snapToGrid w:val="0"/>
              <w:spacing w:line="259" w:lineRule="auto"/>
              <w:ind w:left="33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其中批發</w:t>
            </w:r>
          </w:p>
        </w:tc>
        <w:tc>
          <w:tcPr>
            <w:tcW w:w="642" w:type="dxa"/>
            <w:tcBorders>
              <w:top w:val="single" w:sz="4" w:space="0" w:color="C0C0C0"/>
              <w:left w:val="single" w:sz="4" w:space="0" w:color="000000"/>
              <w:bottom w:val="single" w:sz="4" w:space="0" w:color="C0C0C0"/>
            </w:tcBorders>
            <w:shd w:val="clear" w:color="auto" w:fill="auto"/>
            <w:vAlign w:val="bottom"/>
          </w:tcPr>
          <w:p w14:paraId="38E5D1DB"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63B08C5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0704878D"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53D0EA9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10C374F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C0C0C0"/>
            </w:tcBorders>
            <w:shd w:val="clear" w:color="auto" w:fill="auto"/>
            <w:vAlign w:val="bottom"/>
          </w:tcPr>
          <w:p w14:paraId="356A519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4AC7DF7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70D5F15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C0C0C0"/>
            </w:tcBorders>
            <w:shd w:val="clear" w:color="auto" w:fill="auto"/>
            <w:vAlign w:val="bottom"/>
          </w:tcPr>
          <w:p w14:paraId="5A98672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C0C0C0"/>
            </w:tcBorders>
            <w:shd w:val="clear" w:color="auto" w:fill="auto"/>
            <w:vAlign w:val="bottom"/>
          </w:tcPr>
          <w:p w14:paraId="23BA273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377E95D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0E460E9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C0C0C0"/>
            </w:tcBorders>
            <w:shd w:val="clear" w:color="auto" w:fill="auto"/>
            <w:vAlign w:val="bottom"/>
          </w:tcPr>
          <w:p w14:paraId="30A9F837"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C0C0C0"/>
            </w:tcBorders>
            <w:shd w:val="clear" w:color="auto" w:fill="auto"/>
            <w:vAlign w:val="bottom"/>
          </w:tcPr>
          <w:p w14:paraId="03A4358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4DA5D32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tcBorders>
            <w:shd w:val="clear" w:color="auto" w:fill="auto"/>
            <w:vAlign w:val="bottom"/>
          </w:tcPr>
          <w:p w14:paraId="6DA1927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C0C0C0"/>
              <w:right w:val="single" w:sz="4" w:space="0" w:color="000000"/>
            </w:tcBorders>
            <w:shd w:val="clear" w:color="auto" w:fill="auto"/>
            <w:vAlign w:val="bottom"/>
          </w:tcPr>
          <w:p w14:paraId="6A7C0A1C"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r w:rsidR="006942C0" w:rsidRPr="005F4B44" w14:paraId="0AD307BC" w14:textId="77777777" w:rsidTr="006942C0">
        <w:trPr>
          <w:gridAfter w:val="1"/>
          <w:wAfter w:w="7" w:type="dxa"/>
          <w:trHeight w:val="23"/>
        </w:trPr>
        <w:tc>
          <w:tcPr>
            <w:tcW w:w="415" w:type="dxa"/>
            <w:tcBorders>
              <w:top w:val="single" w:sz="4" w:space="0" w:color="C0C0C0"/>
              <w:bottom w:val="single" w:sz="4" w:space="0" w:color="auto"/>
            </w:tcBorders>
            <w:shd w:val="clear" w:color="auto" w:fill="auto"/>
          </w:tcPr>
          <w:p w14:paraId="20924F4F" w14:textId="77777777" w:rsidR="005F4B44" w:rsidRPr="005F4B44" w:rsidRDefault="005F4B44" w:rsidP="00681D0D">
            <w:pPr>
              <w:snapToGrid w:val="0"/>
              <w:spacing w:line="259" w:lineRule="auto"/>
              <w:jc w:val="center"/>
              <w:rPr>
                <w:rFonts w:ascii="Calibri" w:eastAsia="細明體" w:hAnsi="Calibri"/>
                <w:color w:val="000000"/>
                <w:sz w:val="17"/>
                <w:szCs w:val="17"/>
                <w:lang w:eastAsia="zh-CN"/>
              </w:rPr>
            </w:pPr>
            <w:r w:rsidRPr="005F4B44">
              <w:rPr>
                <w:rFonts w:ascii="Calibri" w:eastAsia="細明體" w:hAnsi="Calibri"/>
                <w:color w:val="000000"/>
                <w:sz w:val="17"/>
                <w:szCs w:val="17"/>
                <w:lang w:eastAsia="zh-CN"/>
              </w:rPr>
              <w:t>13</w:t>
            </w:r>
          </w:p>
        </w:tc>
        <w:tc>
          <w:tcPr>
            <w:tcW w:w="2606" w:type="dxa"/>
            <w:tcBorders>
              <w:top w:val="single" w:sz="4" w:space="0" w:color="C0C0C0"/>
              <w:left w:val="single" w:sz="4" w:space="0" w:color="C0C0C0"/>
              <w:bottom w:val="single" w:sz="4" w:space="0" w:color="auto"/>
            </w:tcBorders>
            <w:shd w:val="clear" w:color="auto" w:fill="auto"/>
            <w:vAlign w:val="bottom"/>
          </w:tcPr>
          <w:p w14:paraId="27F95F7E" w14:textId="77777777" w:rsidR="005F4B44" w:rsidRPr="005F4B44" w:rsidRDefault="005F4B44" w:rsidP="00681D0D">
            <w:pPr>
              <w:snapToGrid w:val="0"/>
              <w:spacing w:line="259" w:lineRule="auto"/>
              <w:ind w:left="113"/>
              <w:rPr>
                <w:rFonts w:ascii="Calibri" w:eastAsia="細明體" w:hAnsi="Calibri"/>
                <w:color w:val="000000"/>
                <w:sz w:val="17"/>
                <w:szCs w:val="17"/>
                <w:lang w:eastAsia="zh-CN"/>
              </w:rPr>
            </w:pPr>
            <w:r w:rsidRPr="005F4B44">
              <w:rPr>
                <w:rFonts w:ascii="Calibri" w:eastAsia="細明體" w:hAnsi="Calibri" w:hint="eastAsia"/>
                <w:color w:val="000000"/>
                <w:sz w:val="17"/>
                <w:szCs w:val="17"/>
                <w:lang w:eastAsia="zh-CN"/>
              </w:rPr>
              <w:t>其中再證</w:t>
            </w:r>
            <w:proofErr w:type="gramStart"/>
            <w:r w:rsidRPr="005F4B44">
              <w:rPr>
                <w:rFonts w:ascii="Calibri" w:eastAsia="細明體" w:hAnsi="Calibri" w:hint="eastAsia"/>
                <w:color w:val="000000"/>
                <w:sz w:val="17"/>
                <w:szCs w:val="17"/>
                <w:lang w:eastAsia="zh-CN"/>
              </w:rPr>
              <w:t>券</w:t>
            </w:r>
            <w:proofErr w:type="gramEnd"/>
            <w:r w:rsidRPr="005F4B44">
              <w:rPr>
                <w:rFonts w:ascii="Calibri" w:eastAsia="細明體" w:hAnsi="Calibri" w:hint="eastAsia"/>
                <w:color w:val="000000"/>
                <w:sz w:val="17"/>
                <w:szCs w:val="17"/>
                <w:lang w:eastAsia="zh-CN"/>
              </w:rPr>
              <w:t>化</w:t>
            </w:r>
          </w:p>
        </w:tc>
        <w:tc>
          <w:tcPr>
            <w:tcW w:w="642" w:type="dxa"/>
            <w:tcBorders>
              <w:top w:val="single" w:sz="4" w:space="0" w:color="C0C0C0"/>
              <w:left w:val="single" w:sz="4" w:space="0" w:color="000000"/>
              <w:bottom w:val="single" w:sz="4" w:space="0" w:color="auto"/>
            </w:tcBorders>
            <w:shd w:val="clear" w:color="auto" w:fill="auto"/>
            <w:vAlign w:val="bottom"/>
          </w:tcPr>
          <w:p w14:paraId="24D13DCA"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0A3C402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44751259"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5A4DAA6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709056D0"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8" w:type="dxa"/>
            <w:tcBorders>
              <w:top w:val="single" w:sz="4" w:space="0" w:color="C0C0C0"/>
              <w:left w:val="single" w:sz="4" w:space="0" w:color="000000"/>
              <w:bottom w:val="single" w:sz="4" w:space="0" w:color="auto"/>
            </w:tcBorders>
            <w:shd w:val="clear" w:color="auto" w:fill="auto"/>
            <w:vAlign w:val="bottom"/>
          </w:tcPr>
          <w:p w14:paraId="6C5F5861"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auto"/>
            </w:tcBorders>
            <w:shd w:val="clear" w:color="auto" w:fill="auto"/>
            <w:vAlign w:val="bottom"/>
          </w:tcPr>
          <w:p w14:paraId="20CE73F5"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auto"/>
            </w:tcBorders>
            <w:shd w:val="clear" w:color="auto" w:fill="auto"/>
            <w:vAlign w:val="bottom"/>
          </w:tcPr>
          <w:p w14:paraId="2B43351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6" w:type="dxa"/>
            <w:tcBorders>
              <w:top w:val="single" w:sz="4" w:space="0" w:color="C0C0C0"/>
              <w:left w:val="single" w:sz="4" w:space="0" w:color="000000"/>
              <w:bottom w:val="single" w:sz="4" w:space="0" w:color="auto"/>
            </w:tcBorders>
            <w:shd w:val="clear" w:color="auto" w:fill="auto"/>
            <w:vAlign w:val="bottom"/>
          </w:tcPr>
          <w:p w14:paraId="4C580726"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3" w:type="dxa"/>
            <w:tcBorders>
              <w:top w:val="single" w:sz="4" w:space="0" w:color="C0C0C0"/>
              <w:left w:val="single" w:sz="4" w:space="0" w:color="000000"/>
              <w:bottom w:val="single" w:sz="4" w:space="0" w:color="auto"/>
            </w:tcBorders>
            <w:shd w:val="clear" w:color="auto" w:fill="auto"/>
            <w:vAlign w:val="bottom"/>
          </w:tcPr>
          <w:p w14:paraId="6817103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auto"/>
            </w:tcBorders>
            <w:shd w:val="clear" w:color="auto" w:fill="auto"/>
            <w:vAlign w:val="bottom"/>
          </w:tcPr>
          <w:p w14:paraId="57D554BC"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auto"/>
            </w:tcBorders>
            <w:shd w:val="clear" w:color="auto" w:fill="auto"/>
            <w:vAlign w:val="bottom"/>
          </w:tcPr>
          <w:p w14:paraId="2E2092D4"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44" w:type="dxa"/>
            <w:tcBorders>
              <w:top w:val="single" w:sz="4" w:space="0" w:color="C0C0C0"/>
              <w:left w:val="single" w:sz="4" w:space="0" w:color="000000"/>
              <w:bottom w:val="single" w:sz="4" w:space="0" w:color="auto"/>
            </w:tcBorders>
            <w:shd w:val="clear" w:color="auto" w:fill="auto"/>
            <w:vAlign w:val="bottom"/>
          </w:tcPr>
          <w:p w14:paraId="32ADA363"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1" w:type="dxa"/>
            <w:tcBorders>
              <w:top w:val="single" w:sz="4" w:space="0" w:color="C0C0C0"/>
              <w:left w:val="single" w:sz="4" w:space="0" w:color="000000"/>
              <w:bottom w:val="single" w:sz="4" w:space="0" w:color="auto"/>
            </w:tcBorders>
            <w:shd w:val="clear" w:color="auto" w:fill="auto"/>
            <w:vAlign w:val="bottom"/>
          </w:tcPr>
          <w:p w14:paraId="4A61D4AC"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auto"/>
            </w:tcBorders>
            <w:shd w:val="clear" w:color="auto" w:fill="auto"/>
          </w:tcPr>
          <w:p w14:paraId="26289DCE"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auto"/>
            </w:tcBorders>
            <w:shd w:val="clear" w:color="auto" w:fill="auto"/>
          </w:tcPr>
          <w:p w14:paraId="7F3AC112"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c>
          <w:tcPr>
            <w:tcW w:w="632" w:type="dxa"/>
            <w:tcBorders>
              <w:top w:val="single" w:sz="4" w:space="0" w:color="C0C0C0"/>
              <w:left w:val="single" w:sz="4" w:space="0" w:color="000000"/>
              <w:bottom w:val="single" w:sz="4" w:space="0" w:color="auto"/>
              <w:right w:val="single" w:sz="4" w:space="0" w:color="000000"/>
            </w:tcBorders>
            <w:shd w:val="clear" w:color="auto" w:fill="auto"/>
          </w:tcPr>
          <w:p w14:paraId="0C0DDC8F" w14:textId="77777777" w:rsidR="005F4B44" w:rsidRPr="005F4B44" w:rsidRDefault="005F4B44" w:rsidP="00681D0D">
            <w:pPr>
              <w:snapToGrid w:val="0"/>
              <w:spacing w:line="259" w:lineRule="auto"/>
              <w:rPr>
                <w:rFonts w:ascii="Calibri" w:eastAsia="細明體" w:hAnsi="Calibri"/>
                <w:color w:val="000000"/>
                <w:sz w:val="17"/>
                <w:szCs w:val="17"/>
                <w:lang w:eastAsia="zh-CN"/>
              </w:rPr>
            </w:pPr>
          </w:p>
        </w:tc>
      </w:tr>
    </w:tbl>
    <w:p w14:paraId="1989B842" w14:textId="442DC7D6" w:rsidR="00EC3097" w:rsidRPr="00623B1C" w:rsidRDefault="00D326DE" w:rsidP="005A15EF">
      <w:pPr>
        <w:spacing w:before="40" w:line="259" w:lineRule="auto"/>
        <w:ind w:firstLine="142"/>
        <w:rPr>
          <w:rFonts w:ascii="Calibri" w:eastAsia="SimSun" w:hAnsi="Calibri"/>
          <w:i/>
          <w:sz w:val="17"/>
          <w:szCs w:val="17"/>
          <w:lang w:eastAsia="zh-CN"/>
        </w:rPr>
      </w:pPr>
      <w:r w:rsidRPr="00623B1C">
        <w:rPr>
          <w:rFonts w:ascii="Calibri" w:eastAsia="細明體" w:hAnsi="Calibri"/>
          <w:i/>
          <w:sz w:val="17"/>
          <w:szCs w:val="17"/>
          <w:lang w:eastAsia="zh-CN"/>
        </w:rPr>
        <w:t xml:space="preserve">N/A: </w:t>
      </w:r>
      <w:r w:rsidRPr="00623B1C">
        <w:rPr>
          <w:rFonts w:ascii="Calibri" w:eastAsia="細明體" w:hAnsi="Calibri" w:hint="eastAsia"/>
          <w:i/>
          <w:sz w:val="17"/>
          <w:szCs w:val="17"/>
          <w:lang w:eastAsia="zh-HK"/>
        </w:rPr>
        <w:t>不適用於香</w:t>
      </w:r>
      <w:r w:rsidRPr="00623B1C">
        <w:rPr>
          <w:rFonts w:ascii="Calibri" w:eastAsia="細明體" w:hAnsi="Calibri" w:hint="eastAsia"/>
          <w:i/>
          <w:sz w:val="17"/>
          <w:szCs w:val="17"/>
          <w:lang w:eastAsia="zh-TW"/>
        </w:rPr>
        <w:t>港</w:t>
      </w:r>
    </w:p>
    <w:p w14:paraId="4F0EE208" w14:textId="77777777" w:rsidR="005F4B44" w:rsidRPr="005F4B44" w:rsidRDefault="005F4B44" w:rsidP="007C5C29">
      <w:pPr>
        <w:spacing w:line="259" w:lineRule="auto"/>
        <w:rPr>
          <w:rFonts w:ascii="Calibri" w:eastAsia="細明體" w:hAnsi="Calibri"/>
          <w:sz w:val="22"/>
          <w:szCs w:val="22"/>
          <w:lang w:eastAsia="zh-CN"/>
        </w:rPr>
      </w:pPr>
    </w:p>
    <w:tbl>
      <w:tblPr>
        <w:tblW w:w="0" w:type="auto"/>
        <w:tblInd w:w="108" w:type="dxa"/>
        <w:tblLayout w:type="fixed"/>
        <w:tblLook w:val="0000" w:firstRow="0" w:lastRow="0" w:firstColumn="0" w:lastColumn="0" w:noHBand="0" w:noVBand="0"/>
      </w:tblPr>
      <w:tblGrid>
        <w:gridCol w:w="709"/>
        <w:gridCol w:w="13183"/>
      </w:tblGrid>
      <w:tr w:rsidR="005F4B44" w:rsidRPr="005F4B44" w14:paraId="3607B75B" w14:textId="77777777" w:rsidTr="00623B1C">
        <w:trPr>
          <w:tblHeader/>
        </w:trPr>
        <w:tc>
          <w:tcPr>
            <w:tcW w:w="13892" w:type="dxa"/>
            <w:gridSpan w:val="2"/>
            <w:tcBorders>
              <w:top w:val="single" w:sz="4" w:space="0" w:color="000000"/>
              <w:left w:val="single" w:sz="4" w:space="0" w:color="000000"/>
              <w:bottom w:val="single" w:sz="4" w:space="0" w:color="000000"/>
              <w:right w:val="single" w:sz="4" w:space="0" w:color="000000"/>
            </w:tcBorders>
            <w:shd w:val="clear" w:color="auto" w:fill="BFBFBF"/>
          </w:tcPr>
          <w:p w14:paraId="09023DC0" w14:textId="77777777" w:rsidR="005F4B44" w:rsidRPr="005F4B44" w:rsidRDefault="005F4B44" w:rsidP="007C5C29">
            <w:pPr>
              <w:keepNext/>
              <w:spacing w:after="40" w:line="259" w:lineRule="auto"/>
              <w:jc w:val="both"/>
              <w:rPr>
                <w:rFonts w:ascii="Calibri" w:eastAsia="新細明體" w:hAnsi="Calibri"/>
                <w:sz w:val="15"/>
                <w:szCs w:val="22"/>
                <w:lang w:eastAsia="zh-CN"/>
              </w:rPr>
            </w:pPr>
            <w:r w:rsidRPr="005F4B44">
              <w:rPr>
                <w:rFonts w:ascii="Calibri" w:eastAsia="細明體" w:hAnsi="Calibri" w:hint="eastAsia"/>
                <w:b/>
                <w:sz w:val="17"/>
                <w:szCs w:val="22"/>
                <w:lang w:eastAsia="zh-CN"/>
              </w:rPr>
              <w:t>註釋</w:t>
            </w:r>
          </w:p>
        </w:tc>
      </w:tr>
      <w:tr w:rsidR="005F4B44" w:rsidRPr="005F4B44" w14:paraId="096E6395" w14:textId="77777777" w:rsidTr="00623B1C">
        <w:tc>
          <w:tcPr>
            <w:tcW w:w="138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111F845" w14:textId="77777777" w:rsidR="005F4B44" w:rsidRPr="005F4B44" w:rsidRDefault="005F4B44" w:rsidP="007C5C29">
            <w:pPr>
              <w:keepNext/>
              <w:spacing w:after="40" w:line="259" w:lineRule="auto"/>
              <w:jc w:val="both"/>
              <w:rPr>
                <w:rFonts w:ascii="Calibri" w:eastAsia="新細明體" w:hAnsi="Calibri"/>
                <w:sz w:val="15"/>
                <w:szCs w:val="22"/>
                <w:lang w:eastAsia="zh-CN"/>
              </w:rPr>
            </w:pPr>
            <w:proofErr w:type="gramStart"/>
            <w:r w:rsidRPr="005F4B44">
              <w:rPr>
                <w:rFonts w:ascii="Calibri" w:eastAsia="細明體" w:hAnsi="Calibri" w:hint="eastAsia"/>
                <w:b/>
                <w:sz w:val="17"/>
                <w:szCs w:val="22"/>
                <w:lang w:eastAsia="zh-CN"/>
              </w:rPr>
              <w:t>欄</w:t>
            </w:r>
            <w:proofErr w:type="gramEnd"/>
          </w:p>
        </w:tc>
      </w:tr>
      <w:tr w:rsidR="005F4B44" w:rsidRPr="005F4B44" w14:paraId="3BA17064" w14:textId="77777777" w:rsidTr="00623B1C">
        <w:tc>
          <w:tcPr>
            <w:tcW w:w="709" w:type="dxa"/>
            <w:tcBorders>
              <w:top w:val="single" w:sz="4" w:space="0" w:color="000000"/>
              <w:left w:val="single" w:sz="4" w:space="0" w:color="000000"/>
              <w:bottom w:val="single" w:sz="4" w:space="0" w:color="000000"/>
            </w:tcBorders>
            <w:shd w:val="clear" w:color="auto" w:fill="auto"/>
          </w:tcPr>
          <w:p w14:paraId="6AEF0FE9" w14:textId="77777777" w:rsidR="005F4B44" w:rsidRPr="005F4B44" w:rsidRDefault="005F4B44" w:rsidP="007C5C29">
            <w:pPr>
              <w:keepLines/>
              <w:widowControl w:val="0"/>
              <w:spacing w:after="20" w:line="259" w:lineRule="auto"/>
              <w:ind w:right="-108"/>
              <w:rPr>
                <w:rFonts w:ascii="Calibri" w:eastAsia="細明體" w:hAnsi="Calibri"/>
                <w:i/>
                <w:color w:val="000000"/>
                <w:sz w:val="17"/>
                <w:szCs w:val="17"/>
                <w:lang w:eastAsia="zh-CN"/>
              </w:rPr>
            </w:pPr>
            <w:r w:rsidRPr="005F4B44">
              <w:rPr>
                <w:rFonts w:ascii="Calibri" w:eastAsia="細明體" w:hAnsi="Calibri"/>
                <w:sz w:val="17"/>
                <w:szCs w:val="17"/>
                <w:lang w:eastAsia="zh-CN"/>
              </w:rPr>
              <w:t>(a)</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(e)</w:t>
            </w:r>
          </w:p>
        </w:tc>
        <w:tc>
          <w:tcPr>
            <w:tcW w:w="13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541B" w14:textId="77777777" w:rsidR="005F4B44" w:rsidRPr="005F4B44" w:rsidRDefault="005F4B44" w:rsidP="007C5C29">
            <w:pPr>
              <w:keepLines/>
              <w:widowControl w:val="0"/>
              <w:tabs>
                <w:tab w:val="left" w:pos="150"/>
                <w:tab w:val="left" w:pos="397"/>
                <w:tab w:val="left" w:pos="794"/>
                <w:tab w:val="left" w:pos="1191"/>
              </w:tabs>
              <w:spacing w:after="20" w:line="259" w:lineRule="auto"/>
              <w:jc w:val="both"/>
              <w:rPr>
                <w:rFonts w:ascii="Calibri" w:eastAsia="新細明體" w:hAnsi="Calibri"/>
                <w:sz w:val="22"/>
                <w:szCs w:val="22"/>
                <w:lang w:eastAsia="zh-TW"/>
              </w:rPr>
            </w:pPr>
            <w:r w:rsidRPr="005F4B44">
              <w:rPr>
                <w:rFonts w:ascii="Calibri" w:eastAsia="細明體" w:hAnsi="Calibri" w:hint="eastAsia"/>
                <w:i/>
                <w:color w:val="000000"/>
                <w:sz w:val="17"/>
                <w:szCs w:val="17"/>
                <w:lang w:eastAsia="zh-TW"/>
              </w:rPr>
              <w:t>風險承擔值（按風險權重</w:t>
            </w:r>
            <w:r w:rsidRPr="005F4B44">
              <w:rPr>
                <w:rFonts w:ascii="Calibri" w:eastAsia="細明體" w:hAnsi="Calibri" w:hint="eastAsia"/>
                <w:i/>
                <w:color w:val="000000"/>
                <w:sz w:val="17"/>
                <w:szCs w:val="17"/>
                <w:lang w:eastAsia="zh-TW"/>
              </w:rPr>
              <w:t>(</w:t>
            </w:r>
            <w:r w:rsidRPr="005F4B44">
              <w:rPr>
                <w:rFonts w:ascii="Calibri" w:eastAsia="細明體" w:hAnsi="Calibri"/>
                <w:i/>
                <w:color w:val="000000"/>
                <w:sz w:val="17"/>
                <w:szCs w:val="17"/>
                <w:lang w:eastAsia="zh-TW"/>
              </w:rPr>
              <w:t>RW</w:t>
            </w:r>
            <w:r w:rsidRPr="005F4B44">
              <w:rPr>
                <w:rFonts w:ascii="Calibri" w:eastAsia="細明體" w:hAnsi="Calibri" w:hint="eastAsia"/>
                <w:i/>
                <w:color w:val="000000"/>
                <w:sz w:val="17"/>
                <w:szCs w:val="17"/>
                <w:lang w:eastAsia="zh-TW"/>
              </w:rPr>
              <w:t>)</w:t>
            </w:r>
            <w:r w:rsidRPr="005F4B44">
              <w:rPr>
                <w:rFonts w:ascii="Calibri" w:eastAsia="細明體" w:hAnsi="Calibri" w:hint="eastAsia"/>
                <w:i/>
                <w:color w:val="000000"/>
                <w:sz w:val="17"/>
                <w:szCs w:val="17"/>
                <w:lang w:eastAsia="zh-TW"/>
              </w:rPr>
              <w:t>組別）</w:t>
            </w:r>
            <w:r w:rsidRPr="005F4B44">
              <w:rPr>
                <w:rFonts w:ascii="Calibri" w:eastAsia="細明體" w:hAnsi="Calibri" w:hint="eastAsia"/>
                <w:color w:val="000000"/>
                <w:sz w:val="17"/>
                <w:szCs w:val="17"/>
                <w:lang w:eastAsia="zh-TW"/>
              </w:rPr>
              <w:t>：須遵守證券化框架，並按風險承擔的適用風險權重分配的風險承擔值。</w:t>
            </w:r>
          </w:p>
        </w:tc>
      </w:tr>
      <w:tr w:rsidR="005F4B44" w:rsidRPr="005F4B44" w14:paraId="0DCA97FC" w14:textId="77777777" w:rsidTr="00623B1C">
        <w:tc>
          <w:tcPr>
            <w:tcW w:w="709" w:type="dxa"/>
            <w:tcBorders>
              <w:top w:val="single" w:sz="4" w:space="0" w:color="000000"/>
              <w:left w:val="single" w:sz="4" w:space="0" w:color="000000"/>
              <w:bottom w:val="single" w:sz="4" w:space="0" w:color="000000"/>
            </w:tcBorders>
            <w:shd w:val="clear" w:color="auto" w:fill="auto"/>
          </w:tcPr>
          <w:p w14:paraId="3B618B6A" w14:textId="77777777" w:rsidR="005F4B44" w:rsidRPr="005F4B44" w:rsidRDefault="005F4B44" w:rsidP="007C5C29">
            <w:pPr>
              <w:keepLines/>
              <w:widowControl w:val="0"/>
              <w:spacing w:after="20" w:line="259" w:lineRule="auto"/>
              <w:ind w:right="-108"/>
              <w:rPr>
                <w:rFonts w:ascii="Calibri" w:eastAsia="細明體" w:hAnsi="Calibri"/>
                <w:i/>
                <w:sz w:val="17"/>
                <w:szCs w:val="17"/>
                <w:lang w:eastAsia="zh-CN"/>
              </w:rPr>
            </w:pPr>
            <w:r w:rsidRPr="005F4B44">
              <w:rPr>
                <w:rFonts w:ascii="Calibri" w:eastAsia="細明體" w:hAnsi="Calibri"/>
                <w:sz w:val="17"/>
                <w:szCs w:val="17"/>
                <w:lang w:eastAsia="zh-CN"/>
              </w:rPr>
              <w:t>(f)</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w:t>
            </w:r>
            <w:proofErr w:type="spellStart"/>
            <w:r w:rsidRPr="005F4B44">
              <w:rPr>
                <w:rFonts w:ascii="Calibri" w:eastAsia="細明體" w:hAnsi="Calibri"/>
                <w:sz w:val="17"/>
                <w:szCs w:val="17"/>
                <w:lang w:eastAsia="zh-CN"/>
              </w:rPr>
              <w:t>i</w:t>
            </w:r>
            <w:proofErr w:type="spellEnd"/>
            <w:r w:rsidRPr="005F4B44">
              <w:rPr>
                <w:rFonts w:ascii="Calibri" w:eastAsia="細明體" w:hAnsi="Calibri"/>
                <w:sz w:val="17"/>
                <w:szCs w:val="17"/>
                <w:lang w:eastAsia="zh-CN"/>
              </w:rPr>
              <w:t>)</w:t>
            </w:r>
          </w:p>
        </w:tc>
        <w:tc>
          <w:tcPr>
            <w:tcW w:w="13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E283E" w14:textId="77777777" w:rsidR="005F4B44" w:rsidRPr="005F4B44" w:rsidRDefault="005F4B44" w:rsidP="007C5C29">
            <w:pPr>
              <w:keepLines/>
              <w:widowControl w:val="0"/>
              <w:tabs>
                <w:tab w:val="left" w:pos="150"/>
                <w:tab w:val="left" w:pos="397"/>
                <w:tab w:val="left" w:pos="794"/>
                <w:tab w:val="left" w:pos="1191"/>
              </w:tabs>
              <w:spacing w:after="20" w:line="259" w:lineRule="auto"/>
              <w:jc w:val="both"/>
              <w:rPr>
                <w:rFonts w:ascii="Calibri" w:eastAsia="新細明體" w:hAnsi="Calibri"/>
                <w:sz w:val="22"/>
                <w:szCs w:val="22"/>
                <w:lang w:eastAsia="zh-TW"/>
              </w:rPr>
            </w:pPr>
            <w:r w:rsidRPr="005F4B44">
              <w:rPr>
                <w:rFonts w:ascii="Calibri" w:eastAsia="細明體" w:hAnsi="Calibri" w:hint="eastAsia"/>
                <w:i/>
                <w:sz w:val="17"/>
                <w:szCs w:val="17"/>
                <w:lang w:eastAsia="zh-TW"/>
              </w:rPr>
              <w:t>風險承擔值（按監管計算法）</w:t>
            </w:r>
            <w:r w:rsidRPr="005F4B44">
              <w:rPr>
                <w:rFonts w:ascii="Calibri" w:eastAsia="細明體" w:hAnsi="Calibri" w:hint="eastAsia"/>
                <w:sz w:val="17"/>
                <w:szCs w:val="17"/>
                <w:lang w:eastAsia="zh-TW"/>
              </w:rPr>
              <w:t>：</w:t>
            </w:r>
            <w:r w:rsidRPr="005F4B44">
              <w:rPr>
                <w:rFonts w:ascii="Calibri" w:eastAsia="細明體" w:hAnsi="Calibri" w:hint="eastAsia"/>
                <w:color w:val="000000"/>
                <w:sz w:val="17"/>
                <w:szCs w:val="17"/>
                <w:lang w:eastAsia="zh-TW"/>
              </w:rPr>
              <w:t>須遵守證券化框架，並按適用的監管計算法</w:t>
            </w:r>
            <w:proofErr w:type="gramStart"/>
            <w:r w:rsidRPr="005F4B44">
              <w:rPr>
                <w:rFonts w:ascii="Calibri" w:eastAsia="細明體" w:hAnsi="Calibri" w:hint="eastAsia"/>
                <w:color w:val="000000"/>
                <w:sz w:val="17"/>
                <w:szCs w:val="17"/>
                <w:lang w:eastAsia="zh-TW"/>
              </w:rPr>
              <w:t>（</w:t>
            </w:r>
            <w:proofErr w:type="gramEnd"/>
            <w:r w:rsidRPr="005F4B44">
              <w:rPr>
                <w:rFonts w:ascii="Calibri" w:eastAsia="細明體" w:hAnsi="Calibri" w:hint="eastAsia"/>
                <w:color w:val="000000"/>
                <w:sz w:val="17"/>
                <w:szCs w:val="17"/>
                <w:lang w:eastAsia="zh-TW"/>
              </w:rPr>
              <w:t>即</w:t>
            </w:r>
            <w:r w:rsidRPr="005F4B44">
              <w:rPr>
                <w:rFonts w:ascii="Calibri" w:eastAsia="新細明體" w:hAnsi="Calibri"/>
                <w:color w:val="000000"/>
                <w:sz w:val="17"/>
                <w:szCs w:val="17"/>
                <w:lang w:eastAsia="zh-TW"/>
              </w:rPr>
              <w:t>SEC-IRBA</w:t>
            </w:r>
            <w:r w:rsidRPr="005F4B44">
              <w:rPr>
                <w:rFonts w:ascii="Calibri" w:eastAsia="新細明體" w:hAnsi="Calibri" w:hint="eastAsia"/>
                <w:color w:val="000000"/>
                <w:sz w:val="17"/>
                <w:szCs w:val="17"/>
                <w:lang w:eastAsia="zh-TW"/>
              </w:rPr>
              <w:t>、</w:t>
            </w:r>
            <w:r w:rsidRPr="005F4B44">
              <w:rPr>
                <w:rFonts w:ascii="Calibri" w:eastAsia="新細明體" w:hAnsi="Calibri"/>
                <w:color w:val="000000"/>
                <w:sz w:val="17"/>
                <w:szCs w:val="17"/>
                <w:lang w:eastAsia="zh-TW"/>
              </w:rPr>
              <w:t>SEC-ERBA</w:t>
            </w:r>
            <w:proofErr w:type="gramStart"/>
            <w:r w:rsidRPr="005F4B44">
              <w:rPr>
                <w:rFonts w:ascii="Calibri" w:eastAsia="新細明體" w:hAnsi="Calibri" w:hint="eastAsia"/>
                <w:color w:val="000000"/>
                <w:sz w:val="17"/>
                <w:szCs w:val="17"/>
                <w:lang w:eastAsia="zh-TW"/>
              </w:rPr>
              <w:t>（</w:t>
            </w:r>
            <w:proofErr w:type="gramEnd"/>
            <w:r w:rsidRPr="005F4B44">
              <w:rPr>
                <w:rFonts w:ascii="Calibri" w:eastAsia="新細明體" w:hAnsi="Calibri" w:hint="eastAsia"/>
                <w:color w:val="000000"/>
                <w:sz w:val="17"/>
                <w:szCs w:val="17"/>
                <w:lang w:eastAsia="zh-TW"/>
              </w:rPr>
              <w:t>包括該等認可機構使用</w:t>
            </w:r>
            <w:r w:rsidRPr="005F4B44">
              <w:rPr>
                <w:rFonts w:ascii="Calibri" w:eastAsia="新細明體" w:hAnsi="Calibri" w:hint="eastAsia"/>
                <w:color w:val="000000"/>
                <w:sz w:val="17"/>
                <w:szCs w:val="17"/>
                <w:lang w:eastAsia="zh-TW"/>
              </w:rPr>
              <w:t>IAA</w:t>
            </w:r>
            <w:r w:rsidRPr="005F4B44">
              <w:rPr>
                <w:rFonts w:ascii="Calibri" w:eastAsia="新細明體" w:hAnsi="Calibri" w:hint="eastAsia"/>
                <w:color w:val="000000"/>
                <w:sz w:val="17"/>
                <w:szCs w:val="17"/>
                <w:lang w:eastAsia="zh-TW"/>
              </w:rPr>
              <w:t>斷定風險權重的風險承擔</w:t>
            </w:r>
            <w:proofErr w:type="gramStart"/>
            <w:r w:rsidRPr="005F4B44">
              <w:rPr>
                <w:rFonts w:ascii="Calibri" w:eastAsia="新細明體" w:hAnsi="Calibri" w:hint="eastAsia"/>
                <w:color w:val="000000"/>
                <w:sz w:val="17"/>
                <w:szCs w:val="17"/>
                <w:lang w:eastAsia="zh-TW"/>
              </w:rPr>
              <w:t>）</w:t>
            </w:r>
            <w:proofErr w:type="gramEnd"/>
            <w:r w:rsidRPr="005F4B44">
              <w:rPr>
                <w:rFonts w:ascii="Calibri" w:eastAsia="新細明體" w:hAnsi="Calibri" w:hint="eastAsia"/>
                <w:color w:val="000000"/>
                <w:sz w:val="17"/>
                <w:szCs w:val="17"/>
                <w:lang w:eastAsia="zh-TW"/>
              </w:rPr>
              <w:t>、</w:t>
            </w:r>
            <w:r w:rsidRPr="005F4B44">
              <w:rPr>
                <w:rFonts w:ascii="Calibri" w:eastAsia="新細明體" w:hAnsi="Calibri"/>
                <w:color w:val="000000"/>
                <w:sz w:val="17"/>
                <w:szCs w:val="17"/>
                <w:lang w:eastAsia="zh-TW"/>
              </w:rPr>
              <w:t>SEC-SA</w:t>
            </w:r>
            <w:r w:rsidRPr="005F4B44">
              <w:rPr>
                <w:rFonts w:ascii="Calibri" w:eastAsia="新細明體" w:hAnsi="Calibri" w:hint="eastAsia"/>
                <w:color w:val="000000"/>
                <w:sz w:val="17"/>
                <w:szCs w:val="17"/>
                <w:lang w:eastAsia="zh-TW"/>
              </w:rPr>
              <w:t>及</w:t>
            </w:r>
            <w:r w:rsidRPr="005F4B44">
              <w:rPr>
                <w:rFonts w:ascii="Calibri" w:eastAsia="新細明體" w:hAnsi="Calibri"/>
                <w:color w:val="000000"/>
                <w:sz w:val="17"/>
                <w:szCs w:val="17"/>
                <w:lang w:eastAsia="zh-TW"/>
              </w:rPr>
              <w:t>SEC-FBA</w:t>
            </w:r>
            <w:proofErr w:type="gramStart"/>
            <w:r w:rsidRPr="005F4B44">
              <w:rPr>
                <w:rFonts w:ascii="Calibri" w:eastAsia="細明體" w:hAnsi="Calibri" w:hint="eastAsia"/>
                <w:color w:val="000000"/>
                <w:sz w:val="17"/>
                <w:szCs w:val="17"/>
                <w:lang w:eastAsia="zh-TW"/>
              </w:rPr>
              <w:t>）</w:t>
            </w:r>
            <w:proofErr w:type="gramEnd"/>
            <w:r w:rsidRPr="005F4B44">
              <w:rPr>
                <w:rFonts w:ascii="Calibri" w:eastAsia="細明體" w:hAnsi="Calibri" w:hint="eastAsia"/>
                <w:color w:val="000000"/>
                <w:sz w:val="17"/>
                <w:szCs w:val="17"/>
                <w:lang w:eastAsia="zh-TW"/>
              </w:rPr>
              <w:t>分配的風險承擔值。</w:t>
            </w:r>
            <w:r w:rsidRPr="005F4B44">
              <w:rPr>
                <w:rFonts w:ascii="Calibri" w:eastAsia="細明體" w:hAnsi="Calibri"/>
                <w:color w:val="000000"/>
                <w:sz w:val="17"/>
                <w:szCs w:val="17"/>
                <w:lang w:eastAsia="zh-TW"/>
              </w:rPr>
              <w:t xml:space="preserve">  </w:t>
            </w:r>
          </w:p>
        </w:tc>
      </w:tr>
      <w:tr w:rsidR="005F4B44" w:rsidRPr="005F4B44" w14:paraId="5D5D0A43" w14:textId="77777777" w:rsidTr="00623B1C">
        <w:tc>
          <w:tcPr>
            <w:tcW w:w="709" w:type="dxa"/>
            <w:tcBorders>
              <w:top w:val="single" w:sz="4" w:space="0" w:color="000000"/>
              <w:left w:val="single" w:sz="4" w:space="0" w:color="000000"/>
              <w:bottom w:val="single" w:sz="4" w:space="0" w:color="000000"/>
            </w:tcBorders>
            <w:shd w:val="clear" w:color="auto" w:fill="auto"/>
          </w:tcPr>
          <w:p w14:paraId="303560A3" w14:textId="77777777" w:rsidR="005F4B44" w:rsidRPr="005F4B44" w:rsidRDefault="005F4B44" w:rsidP="007C5C29">
            <w:pPr>
              <w:keepLines/>
              <w:widowControl w:val="0"/>
              <w:spacing w:after="20" w:line="259" w:lineRule="auto"/>
              <w:ind w:right="-108"/>
              <w:rPr>
                <w:rFonts w:ascii="Calibri" w:eastAsia="細明體" w:hAnsi="Calibri"/>
                <w:i/>
                <w:sz w:val="17"/>
                <w:szCs w:val="22"/>
                <w:lang w:eastAsia="zh-CN"/>
              </w:rPr>
            </w:pPr>
            <w:r w:rsidRPr="005F4B44">
              <w:rPr>
                <w:rFonts w:ascii="Calibri" w:eastAsia="細明體" w:hAnsi="Calibri"/>
                <w:sz w:val="17"/>
                <w:szCs w:val="17"/>
                <w:lang w:eastAsia="zh-CN"/>
              </w:rPr>
              <w:t>(j)</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(m)</w:t>
            </w:r>
          </w:p>
        </w:tc>
        <w:tc>
          <w:tcPr>
            <w:tcW w:w="13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08A3" w14:textId="77777777" w:rsidR="005F4B44" w:rsidRPr="005F4B44" w:rsidRDefault="005F4B44" w:rsidP="007C5C29">
            <w:pPr>
              <w:keepLines/>
              <w:widowControl w:val="0"/>
              <w:tabs>
                <w:tab w:val="left" w:pos="150"/>
                <w:tab w:val="left" w:pos="397"/>
                <w:tab w:val="left" w:pos="794"/>
                <w:tab w:val="left" w:pos="1191"/>
              </w:tabs>
              <w:spacing w:after="20" w:line="259" w:lineRule="auto"/>
              <w:jc w:val="both"/>
              <w:rPr>
                <w:rFonts w:ascii="Calibri" w:eastAsia="新細明體" w:hAnsi="Calibri"/>
                <w:sz w:val="22"/>
                <w:szCs w:val="22"/>
                <w:lang w:eastAsia="zh-TW"/>
              </w:rPr>
            </w:pPr>
            <w:r w:rsidRPr="005F4B44">
              <w:rPr>
                <w:rFonts w:ascii="Calibri" w:eastAsia="細明體" w:hAnsi="Calibri" w:hint="eastAsia"/>
                <w:i/>
                <w:sz w:val="17"/>
                <w:szCs w:val="22"/>
                <w:lang w:eastAsia="zh-TW"/>
              </w:rPr>
              <w:t>風險加權數額（</w:t>
            </w:r>
            <w:r w:rsidRPr="005F4B44">
              <w:rPr>
                <w:rFonts w:ascii="Calibri" w:eastAsia="細明體" w:hAnsi="Calibri" w:hint="eastAsia"/>
                <w:i/>
                <w:sz w:val="17"/>
                <w:szCs w:val="17"/>
                <w:lang w:eastAsia="zh-TW"/>
              </w:rPr>
              <w:t>按監管計算法</w:t>
            </w:r>
            <w:r w:rsidRPr="005F4B44">
              <w:rPr>
                <w:rFonts w:ascii="Calibri" w:eastAsia="細明體" w:hAnsi="Calibri" w:hint="eastAsia"/>
                <w:i/>
                <w:sz w:val="17"/>
                <w:szCs w:val="22"/>
                <w:lang w:eastAsia="zh-TW"/>
              </w:rPr>
              <w:t>）</w:t>
            </w:r>
            <w:r w:rsidRPr="005F4B44">
              <w:rPr>
                <w:rFonts w:ascii="Calibri" w:eastAsia="細明體" w:hAnsi="Calibri" w:hint="eastAsia"/>
                <w:sz w:val="17"/>
                <w:szCs w:val="17"/>
                <w:lang w:eastAsia="zh-TW"/>
              </w:rPr>
              <w:t>：</w:t>
            </w:r>
            <w:r w:rsidRPr="005F4B44">
              <w:rPr>
                <w:rFonts w:ascii="Calibri" w:eastAsia="細明體" w:hAnsi="Calibri" w:hint="eastAsia"/>
                <w:color w:val="000000"/>
                <w:sz w:val="17"/>
                <w:szCs w:val="17"/>
                <w:lang w:eastAsia="zh-TW"/>
              </w:rPr>
              <w:t>須遵守證券化框架，並按</w:t>
            </w:r>
            <w:r w:rsidRPr="005F4B44">
              <w:rPr>
                <w:rFonts w:ascii="Calibri" w:eastAsia="細明體" w:hAnsi="Calibri"/>
                <w:color w:val="000000"/>
                <w:sz w:val="17"/>
                <w:szCs w:val="17"/>
                <w:lang w:eastAsia="zh-TW"/>
              </w:rPr>
              <w:t>(f)</w:t>
            </w:r>
            <w:r w:rsidRPr="005F4B44">
              <w:rPr>
                <w:rFonts w:ascii="Calibri" w:eastAsia="細明體" w:hAnsi="Calibri" w:hint="eastAsia"/>
                <w:color w:val="000000"/>
                <w:sz w:val="17"/>
                <w:szCs w:val="17"/>
                <w:lang w:eastAsia="zh-TW"/>
              </w:rPr>
              <w:t>至</w:t>
            </w:r>
            <w:r w:rsidRPr="005F4B44">
              <w:rPr>
                <w:rFonts w:ascii="Calibri" w:eastAsia="細明體" w:hAnsi="Calibri"/>
                <w:color w:val="000000"/>
                <w:sz w:val="17"/>
                <w:szCs w:val="17"/>
                <w:lang w:eastAsia="zh-TW"/>
              </w:rPr>
              <w:t>(</w:t>
            </w:r>
            <w:proofErr w:type="spellStart"/>
            <w:r w:rsidRPr="005F4B44">
              <w:rPr>
                <w:rFonts w:ascii="Calibri" w:eastAsia="細明體" w:hAnsi="Calibri"/>
                <w:color w:val="000000"/>
                <w:sz w:val="17"/>
                <w:szCs w:val="17"/>
                <w:lang w:eastAsia="zh-TW"/>
              </w:rPr>
              <w:t>i</w:t>
            </w:r>
            <w:proofErr w:type="spellEnd"/>
            <w:r w:rsidRPr="005F4B44">
              <w:rPr>
                <w:rFonts w:ascii="Calibri" w:eastAsia="細明體" w:hAnsi="Calibri"/>
                <w:color w:val="000000"/>
                <w:sz w:val="17"/>
                <w:szCs w:val="17"/>
                <w:lang w:eastAsia="zh-TW"/>
              </w:rPr>
              <w:t>)</w:t>
            </w:r>
            <w:r w:rsidRPr="005F4B44">
              <w:rPr>
                <w:rFonts w:ascii="Calibri" w:eastAsia="細明體" w:hAnsi="Calibri" w:hint="eastAsia"/>
                <w:color w:val="000000"/>
                <w:sz w:val="17"/>
                <w:szCs w:val="17"/>
                <w:lang w:eastAsia="zh-TW"/>
              </w:rPr>
              <w:t>欄的風險承擔值分配方法分配的</w:t>
            </w:r>
            <w:r w:rsidRPr="005F4B44">
              <w:rPr>
                <w:rFonts w:ascii="Calibri" w:eastAsia="細明體" w:hAnsi="Calibri" w:hint="eastAsia"/>
                <w:sz w:val="17"/>
                <w:szCs w:val="22"/>
                <w:lang w:eastAsia="zh-TW"/>
              </w:rPr>
              <w:t>風險加權數額（</w:t>
            </w:r>
            <w:r w:rsidRPr="005F4B44">
              <w:rPr>
                <w:rFonts w:ascii="Calibri" w:eastAsia="細明體" w:hAnsi="Calibri" w:hint="eastAsia"/>
                <w:color w:val="000000"/>
                <w:sz w:val="17"/>
                <w:szCs w:val="17"/>
                <w:lang w:eastAsia="zh-TW"/>
              </w:rPr>
              <w:t>在應用下述監管最高規定或上限前計算</w:t>
            </w:r>
            <w:r w:rsidRPr="005F4B44">
              <w:rPr>
                <w:rFonts w:ascii="Calibri" w:eastAsia="細明體" w:hAnsi="Calibri" w:hint="eastAsia"/>
                <w:sz w:val="17"/>
                <w:szCs w:val="22"/>
                <w:lang w:eastAsia="zh-TW"/>
              </w:rPr>
              <w:t>）</w:t>
            </w:r>
            <w:r w:rsidRPr="005F4B44">
              <w:rPr>
                <w:rFonts w:ascii="Calibri" w:eastAsia="細明體" w:hAnsi="Calibri" w:hint="eastAsia"/>
                <w:color w:val="000000"/>
                <w:sz w:val="17"/>
                <w:szCs w:val="17"/>
                <w:lang w:eastAsia="zh-TW"/>
              </w:rPr>
              <w:t>。</w:t>
            </w:r>
          </w:p>
        </w:tc>
      </w:tr>
      <w:tr w:rsidR="005F4B44" w:rsidRPr="005F4B44" w14:paraId="12EE4351" w14:textId="77777777" w:rsidTr="00623B1C">
        <w:tc>
          <w:tcPr>
            <w:tcW w:w="709" w:type="dxa"/>
            <w:tcBorders>
              <w:top w:val="single" w:sz="4" w:space="0" w:color="000000"/>
              <w:left w:val="single" w:sz="4" w:space="0" w:color="000000"/>
              <w:bottom w:val="single" w:sz="4" w:space="0" w:color="000000"/>
            </w:tcBorders>
            <w:shd w:val="clear" w:color="auto" w:fill="auto"/>
          </w:tcPr>
          <w:p w14:paraId="555F9D41" w14:textId="77777777" w:rsidR="005F4B44" w:rsidRPr="005F4B44" w:rsidRDefault="005F4B44" w:rsidP="007C5C29">
            <w:pPr>
              <w:keepLines/>
              <w:widowControl w:val="0"/>
              <w:spacing w:after="20" w:line="259" w:lineRule="auto"/>
              <w:ind w:right="-108"/>
              <w:rPr>
                <w:rFonts w:ascii="Calibri" w:eastAsia="細明體" w:hAnsi="Calibri"/>
                <w:i/>
                <w:sz w:val="17"/>
                <w:szCs w:val="17"/>
                <w:lang w:eastAsia="zh-CN"/>
              </w:rPr>
            </w:pPr>
            <w:r w:rsidRPr="005F4B44">
              <w:rPr>
                <w:rFonts w:ascii="Calibri" w:eastAsia="細明體" w:hAnsi="Calibri"/>
                <w:sz w:val="17"/>
                <w:szCs w:val="17"/>
                <w:lang w:eastAsia="zh-CN"/>
              </w:rPr>
              <w:t>(n)</w:t>
            </w:r>
            <w:r w:rsidRPr="005F4B44">
              <w:rPr>
                <w:rFonts w:ascii="Calibri" w:eastAsia="細明體" w:hAnsi="Calibri" w:hint="eastAsia"/>
                <w:sz w:val="17"/>
                <w:szCs w:val="17"/>
                <w:lang w:eastAsia="zh-CN"/>
              </w:rPr>
              <w:t>至</w:t>
            </w:r>
            <w:r w:rsidRPr="005F4B44">
              <w:rPr>
                <w:rFonts w:ascii="Calibri" w:eastAsia="細明體" w:hAnsi="Calibri"/>
                <w:sz w:val="17"/>
                <w:szCs w:val="17"/>
                <w:lang w:eastAsia="zh-CN"/>
              </w:rPr>
              <w:t>(q)</w:t>
            </w:r>
          </w:p>
        </w:tc>
        <w:tc>
          <w:tcPr>
            <w:tcW w:w="13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0BC8D" w14:textId="77777777" w:rsidR="005F4B44" w:rsidRPr="005F4B44" w:rsidRDefault="005F4B44" w:rsidP="007C5C29">
            <w:pPr>
              <w:keepLines/>
              <w:widowControl w:val="0"/>
              <w:tabs>
                <w:tab w:val="left" w:pos="150"/>
                <w:tab w:val="left" w:pos="397"/>
                <w:tab w:val="left" w:pos="794"/>
                <w:tab w:val="left" w:pos="1191"/>
              </w:tabs>
              <w:spacing w:after="20" w:line="259" w:lineRule="auto"/>
              <w:jc w:val="both"/>
              <w:rPr>
                <w:rFonts w:ascii="Calibri" w:eastAsia="新細明體" w:hAnsi="Calibri"/>
                <w:sz w:val="22"/>
                <w:szCs w:val="22"/>
                <w:lang w:eastAsia="zh-TW"/>
              </w:rPr>
            </w:pPr>
            <w:r w:rsidRPr="005F4B44">
              <w:rPr>
                <w:rFonts w:ascii="Calibri" w:eastAsia="細明體" w:hAnsi="Calibri" w:hint="eastAsia"/>
                <w:i/>
                <w:sz w:val="17"/>
                <w:szCs w:val="17"/>
                <w:lang w:eastAsia="zh-TW"/>
              </w:rPr>
              <w:t>應用上限後的資本要求</w:t>
            </w:r>
            <w:r w:rsidRPr="005F4B44">
              <w:rPr>
                <w:rFonts w:ascii="Calibri" w:eastAsia="細明體" w:hAnsi="Calibri" w:hint="eastAsia"/>
                <w:sz w:val="17"/>
                <w:szCs w:val="17"/>
                <w:lang w:eastAsia="zh-TW"/>
              </w:rPr>
              <w:t>：按證券化框架定出，並按</w:t>
            </w:r>
            <w:r w:rsidRPr="005F4B44">
              <w:rPr>
                <w:rFonts w:ascii="Calibri" w:eastAsia="細明體" w:hAnsi="Calibri"/>
                <w:sz w:val="17"/>
                <w:szCs w:val="17"/>
                <w:lang w:eastAsia="zh-TW"/>
              </w:rPr>
              <w:t>(j)</w:t>
            </w:r>
            <w:r w:rsidRPr="005F4B44">
              <w:rPr>
                <w:rFonts w:ascii="Calibri" w:eastAsia="細明體" w:hAnsi="Calibri" w:hint="eastAsia"/>
                <w:sz w:val="17"/>
                <w:szCs w:val="17"/>
                <w:lang w:eastAsia="zh-TW"/>
              </w:rPr>
              <w:t>至</w:t>
            </w:r>
            <w:r w:rsidRPr="005F4B44">
              <w:rPr>
                <w:rFonts w:ascii="Calibri" w:eastAsia="細明體" w:hAnsi="Calibri"/>
                <w:sz w:val="17"/>
                <w:szCs w:val="17"/>
                <w:lang w:eastAsia="zh-TW"/>
              </w:rPr>
              <w:t>(m)</w:t>
            </w:r>
            <w:r w:rsidRPr="005F4B44">
              <w:rPr>
                <w:rFonts w:ascii="Calibri" w:eastAsia="細明體" w:hAnsi="Calibri" w:hint="eastAsia"/>
                <w:sz w:val="17"/>
                <w:szCs w:val="17"/>
                <w:lang w:eastAsia="zh-TW"/>
              </w:rPr>
              <w:t>欄的風險承擔值分配</w:t>
            </w:r>
            <w:r w:rsidRPr="005F4B44">
              <w:rPr>
                <w:rFonts w:ascii="Calibri" w:eastAsia="細明體" w:hAnsi="Calibri" w:hint="eastAsia"/>
                <w:color w:val="000000"/>
                <w:sz w:val="17"/>
                <w:szCs w:val="17"/>
                <w:lang w:eastAsia="zh-TW"/>
              </w:rPr>
              <w:t>方法</w:t>
            </w:r>
            <w:r w:rsidRPr="005F4B44">
              <w:rPr>
                <w:rFonts w:ascii="Calibri" w:eastAsia="細明體" w:hAnsi="Calibri" w:hint="eastAsia"/>
                <w:sz w:val="17"/>
                <w:szCs w:val="17"/>
                <w:lang w:eastAsia="zh-TW"/>
              </w:rPr>
              <w:t>分配的資本要求（按適用情況，根據《資本規則》第</w:t>
            </w:r>
            <w:r w:rsidRPr="005F4B44">
              <w:rPr>
                <w:rFonts w:ascii="Calibri" w:eastAsia="細明體" w:hAnsi="Calibri"/>
                <w:sz w:val="17"/>
                <w:szCs w:val="17"/>
                <w:lang w:eastAsia="zh-TW"/>
              </w:rPr>
              <w:t>7</w:t>
            </w:r>
            <w:r w:rsidRPr="005F4B44">
              <w:rPr>
                <w:rFonts w:ascii="Calibri" w:eastAsia="細明體" w:hAnsi="Calibri" w:hint="eastAsia"/>
                <w:sz w:val="17"/>
                <w:szCs w:val="17"/>
                <w:lang w:eastAsia="zh-TW"/>
              </w:rPr>
              <w:t>部經應用監管最高規定或上限後）。</w:t>
            </w:r>
            <w:r w:rsidRPr="005F4B44">
              <w:rPr>
                <w:rFonts w:eastAsia="細明體"/>
                <w:sz w:val="17"/>
                <w:szCs w:val="17"/>
                <w:vertAlign w:val="superscript"/>
                <w:lang w:eastAsia="zh-CN"/>
              </w:rPr>
              <w:footnoteReference w:id="19"/>
            </w:r>
          </w:p>
        </w:tc>
      </w:tr>
    </w:tbl>
    <w:p w14:paraId="0A6E5DFB" w14:textId="77777777" w:rsidR="005F4B44" w:rsidRDefault="005F4B44">
      <w:pPr>
        <w:rPr>
          <w:lang w:eastAsia="zh-TW"/>
        </w:rPr>
      </w:pPr>
    </w:p>
    <w:p w14:paraId="78B54452" w14:textId="77777777" w:rsidR="005F4B44" w:rsidRDefault="005F4B44" w:rsidP="005F4B44">
      <w:pPr>
        <w:spacing w:after="160" w:line="259" w:lineRule="auto"/>
        <w:rPr>
          <w:rFonts w:ascii="Calibri" w:eastAsia="新細明體" w:hAnsi="Calibri"/>
          <w:sz w:val="22"/>
          <w:szCs w:val="22"/>
          <w:lang w:eastAsia="zh-TW"/>
        </w:rPr>
        <w:sectPr w:rsidR="005F4B44" w:rsidSect="00067617">
          <w:footerReference w:type="default" r:id="rId99"/>
          <w:pgSz w:w="16838" w:h="11906" w:orient="landscape"/>
          <w:pgMar w:top="1276" w:right="1440" w:bottom="992" w:left="1440" w:header="720" w:footer="737" w:gutter="0"/>
          <w:cols w:space="425"/>
          <w:docGrid w:type="lines" w:linePitch="360"/>
        </w:sectPr>
      </w:pPr>
    </w:p>
    <w:p w14:paraId="037BA9E6" w14:textId="77777777" w:rsidR="005F4B44" w:rsidRDefault="005F4B44" w:rsidP="00D540EB">
      <w:pPr>
        <w:pStyle w:val="Heading1"/>
        <w:numPr>
          <w:ilvl w:val="0"/>
          <w:numId w:val="31"/>
        </w:numPr>
        <w:tabs>
          <w:tab w:val="clear" w:pos="794"/>
          <w:tab w:val="left" w:pos="426"/>
        </w:tabs>
        <w:suppressAutoHyphens/>
        <w:spacing w:before="0"/>
        <w:ind w:left="-426" w:firstLine="0"/>
        <w:rPr>
          <w:rFonts w:eastAsia="細明體"/>
        </w:rPr>
      </w:pPr>
      <w:r>
        <w:rPr>
          <w:rFonts w:eastAsia="細明體" w:hint="eastAsia"/>
        </w:rPr>
        <w:t>第</w:t>
      </w:r>
      <w:r>
        <w:rPr>
          <w:rFonts w:eastAsia="細明體"/>
        </w:rPr>
        <w:t>VI</w:t>
      </w:r>
      <w:proofErr w:type="spellStart"/>
      <w:r>
        <w:rPr>
          <w:rFonts w:eastAsia="細明體" w:hint="eastAsia"/>
        </w:rPr>
        <w:t>部：市場風險</w:t>
      </w:r>
      <w:proofErr w:type="spellEnd"/>
    </w:p>
    <w:p w14:paraId="3A319966" w14:textId="5A27D528" w:rsidR="005F4B44" w:rsidRDefault="005F4B44" w:rsidP="001D6590">
      <w:pPr>
        <w:pStyle w:val="Bulletpoint"/>
        <w:spacing w:before="180" w:after="180"/>
        <w:ind w:left="-426"/>
        <w:rPr>
          <w:rFonts w:eastAsia="細明體"/>
        </w:rPr>
      </w:pPr>
      <w:r>
        <w:rPr>
          <w:rFonts w:eastAsia="細明體" w:hint="eastAsia"/>
        </w:rPr>
        <w:t>除文意另有要求外，市場風險部分包括在交易帳及銀行帳內須計算市場風險資本要求的風險承擔，並且包括在交易帳內所持證券化持倉的資本規定。然而，本部</w:t>
      </w:r>
      <w:r w:rsidR="00872CF6">
        <w:rPr>
          <w:rFonts w:eastAsia="細明體" w:hint="eastAsia"/>
          <w:lang w:eastAsia="zh-HK"/>
        </w:rPr>
        <w:t>不包括</w:t>
      </w:r>
      <w:r>
        <w:rPr>
          <w:rFonts w:eastAsia="細明體" w:hint="eastAsia"/>
        </w:rPr>
        <w:t>適用於</w:t>
      </w:r>
      <w:r>
        <w:rPr>
          <w:rFonts w:eastAsia="細明體" w:hint="eastAsia"/>
          <w:lang w:eastAsia="zh-TW"/>
        </w:rPr>
        <w:t>該等</w:t>
      </w:r>
      <w:r>
        <w:rPr>
          <w:rFonts w:eastAsia="細明體" w:hint="eastAsia"/>
        </w:rPr>
        <w:t>風險承擔的對手方信用風險資本要求</w:t>
      </w:r>
      <w:r>
        <w:rPr>
          <w:rFonts w:eastAsia="細明體" w:hint="eastAsia"/>
          <w:lang w:eastAsia="zh-HK"/>
        </w:rPr>
        <w:t>及</w:t>
      </w:r>
      <w:r>
        <w:rPr>
          <w:rFonts w:eastAsia="細明體" w:hint="eastAsia"/>
          <w:lang w:eastAsia="zh-TW"/>
        </w:rPr>
        <w:t>CVA</w:t>
      </w:r>
      <w:r>
        <w:rPr>
          <w:rFonts w:eastAsia="細明體" w:hint="eastAsia"/>
          <w:lang w:eastAsia="zh-HK"/>
        </w:rPr>
        <w:t>風險</w:t>
      </w:r>
      <w:r>
        <w:rPr>
          <w:rFonts w:eastAsia="細明體" w:hint="eastAsia"/>
        </w:rPr>
        <w:t>；後</w:t>
      </w:r>
      <w:r>
        <w:rPr>
          <w:rFonts w:eastAsia="細明體" w:hint="eastAsia"/>
          <w:lang w:eastAsia="zh-HK"/>
        </w:rPr>
        <w:t>兩</w:t>
      </w:r>
      <w:r>
        <w:rPr>
          <w:rFonts w:eastAsia="細明體" w:hint="eastAsia"/>
        </w:rPr>
        <w:t>者</w:t>
      </w:r>
      <w:r>
        <w:rPr>
          <w:rFonts w:eastAsia="細明體" w:hint="eastAsia"/>
          <w:lang w:eastAsia="zh-HK"/>
        </w:rPr>
        <w:t>分別</w:t>
      </w:r>
      <w:r>
        <w:rPr>
          <w:rFonts w:eastAsia="細明體" w:hint="eastAsia"/>
        </w:rPr>
        <w:t>於第</w:t>
      </w:r>
      <w:r>
        <w:rPr>
          <w:rFonts w:eastAsia="細明體"/>
        </w:rPr>
        <w:t>IV</w:t>
      </w:r>
      <w:r>
        <w:rPr>
          <w:rFonts w:eastAsia="細明體" w:hint="eastAsia"/>
        </w:rPr>
        <w:t>部</w:t>
      </w:r>
      <w:r w:rsidRPr="0096462E">
        <w:rPr>
          <w:rFonts w:eastAsia="細明體" w:hint="eastAsia"/>
        </w:rPr>
        <w:t>（</w:t>
      </w:r>
      <w:r>
        <w:rPr>
          <w:rFonts w:eastAsia="細明體" w:hint="eastAsia"/>
        </w:rPr>
        <w:t>對手方信用風險</w:t>
      </w:r>
      <w:r w:rsidRPr="0096462E">
        <w:rPr>
          <w:rFonts w:eastAsia="細明體" w:hint="eastAsia"/>
        </w:rPr>
        <w:t>）</w:t>
      </w:r>
      <w:r>
        <w:rPr>
          <w:rFonts w:eastAsia="細明體" w:hint="eastAsia"/>
          <w:lang w:eastAsia="zh-HK"/>
        </w:rPr>
        <w:t>及第</w:t>
      </w:r>
      <w:r w:rsidRPr="004B715A">
        <w:rPr>
          <w:rFonts w:eastAsia="細明體"/>
        </w:rPr>
        <w:t>IVA</w:t>
      </w:r>
      <w:r w:rsidRPr="00400E95">
        <w:rPr>
          <w:rFonts w:eastAsia="細明體" w:hint="eastAsia"/>
          <w:lang w:eastAsia="zh-HK"/>
        </w:rPr>
        <w:t>部</w:t>
      </w:r>
      <w:r>
        <w:rPr>
          <w:rFonts w:eastAsia="細明體" w:hint="eastAsia"/>
          <w:lang w:eastAsia="zh-TW"/>
        </w:rPr>
        <w:t>（</w:t>
      </w:r>
      <w:r w:rsidR="00400E95">
        <w:rPr>
          <w:rFonts w:eastAsia="細明體"/>
        </w:rPr>
        <w:t>CVA</w:t>
      </w:r>
      <w:r>
        <w:rPr>
          <w:rFonts w:eastAsia="細明體" w:hint="eastAsia"/>
          <w:lang w:eastAsia="zh-HK"/>
        </w:rPr>
        <w:t>風險</w:t>
      </w:r>
      <w:r>
        <w:rPr>
          <w:rFonts w:eastAsia="細明體" w:hint="eastAsia"/>
          <w:lang w:eastAsia="zh-TW"/>
        </w:rPr>
        <w:t>）</w:t>
      </w:r>
      <w:r>
        <w:rPr>
          <w:rFonts w:eastAsia="細明體" w:hint="eastAsia"/>
        </w:rPr>
        <w:t>內填報。</w:t>
      </w:r>
    </w:p>
    <w:p w14:paraId="586B183E" w14:textId="38F65F1C" w:rsidR="000D5C9B" w:rsidRPr="000D5C9B" w:rsidRDefault="000D5C9B" w:rsidP="000D5C9B">
      <w:pPr>
        <w:pStyle w:val="Heading2"/>
        <w:keepNext w:val="0"/>
        <w:suppressAutoHyphens w:val="0"/>
        <w:spacing w:before="40" w:line="240" w:lineRule="auto"/>
        <w:ind w:left="-454"/>
        <w:rPr>
          <w:rFonts w:ascii="細明體" w:eastAsia="細明體" w:hAnsi="細明體"/>
          <w:b w:val="0"/>
          <w:bCs w:val="0"/>
          <w:sz w:val="22"/>
          <w:szCs w:val="20"/>
          <w:lang w:eastAsia="zh-TW"/>
        </w:rPr>
      </w:pPr>
      <w:r w:rsidRPr="000D5C9B">
        <w:rPr>
          <w:rFonts w:ascii="細明體" w:eastAsia="細明體" w:hAnsi="細明體" w:cs="微軟正黑體" w:hint="eastAsia"/>
          <w:b w:val="0"/>
          <w:bCs w:val="0"/>
          <w:sz w:val="22"/>
          <w:szCs w:val="20"/>
          <w:lang w:eastAsia="zh-TW"/>
        </w:rPr>
        <w:t>表</w:t>
      </w:r>
      <w:r w:rsidRPr="000D5C9B">
        <w:rPr>
          <w:rFonts w:ascii="Segoe UI" w:eastAsia="細明體" w:hAnsi="Segoe UI" w:cs="Segoe UI"/>
          <w:b w:val="0"/>
          <w:bCs w:val="0"/>
          <w:sz w:val="22"/>
          <w:szCs w:val="20"/>
          <w:lang w:eastAsia="zh-TW"/>
        </w:rPr>
        <w:t>MRA</w:t>
      </w:r>
      <w:r w:rsidRPr="000D5C9B">
        <w:rPr>
          <w:rFonts w:ascii="細明體" w:eastAsia="細明體" w:hAnsi="細明體" w:cs="微軟正黑體" w:hint="eastAsia"/>
          <w:b w:val="0"/>
          <w:bCs w:val="0"/>
          <w:sz w:val="22"/>
          <w:szCs w:val="20"/>
          <w:lang w:eastAsia="zh-TW"/>
        </w:rPr>
        <w:t>：關於市場風險的描述披露</w:t>
      </w:r>
    </w:p>
    <w:tbl>
      <w:tblPr>
        <w:tblW w:w="9390" w:type="dxa"/>
        <w:tblInd w:w="-459" w:type="dxa"/>
        <w:tblLayout w:type="fixed"/>
        <w:tblLook w:val="0000" w:firstRow="0" w:lastRow="0" w:firstColumn="0" w:lastColumn="0" w:noHBand="0" w:noVBand="0"/>
      </w:tblPr>
      <w:tblGrid>
        <w:gridCol w:w="2160"/>
        <w:gridCol w:w="7230"/>
      </w:tblGrid>
      <w:tr w:rsidR="005F4B44" w14:paraId="6CFA6C55" w14:textId="77777777" w:rsidTr="001D6590">
        <w:tc>
          <w:tcPr>
            <w:tcW w:w="2160" w:type="dxa"/>
            <w:tcBorders>
              <w:top w:val="single" w:sz="4" w:space="0" w:color="000000"/>
              <w:bottom w:val="single" w:sz="4" w:space="0" w:color="000000"/>
            </w:tcBorders>
            <w:shd w:val="clear" w:color="auto" w:fill="auto"/>
          </w:tcPr>
          <w:p w14:paraId="1547465B" w14:textId="77777777" w:rsidR="005F4B44" w:rsidRDefault="005F4B44" w:rsidP="005F4B44">
            <w:pPr>
              <w:spacing w:before="40" w:after="40"/>
              <w:rPr>
                <w:rFonts w:eastAsia="細明體"/>
              </w:rPr>
            </w:pPr>
            <w:proofErr w:type="spellStart"/>
            <w:r>
              <w:rPr>
                <w:rFonts w:eastAsia="細明體" w:hint="eastAsia"/>
                <w:b/>
                <w:sz w:val="17"/>
              </w:rPr>
              <w:t>目的</w:t>
            </w:r>
            <w:proofErr w:type="spellEnd"/>
            <w:r>
              <w:rPr>
                <w:rFonts w:eastAsia="細明體" w:hint="eastAsia"/>
                <w:b/>
                <w:sz w:val="17"/>
              </w:rPr>
              <w:t>：</w:t>
            </w:r>
          </w:p>
        </w:tc>
        <w:tc>
          <w:tcPr>
            <w:tcW w:w="7230" w:type="dxa"/>
            <w:tcBorders>
              <w:top w:val="single" w:sz="4" w:space="0" w:color="000000"/>
              <w:left w:val="single" w:sz="4" w:space="0" w:color="000000"/>
              <w:bottom w:val="single" w:sz="4" w:space="0" w:color="000000"/>
            </w:tcBorders>
            <w:shd w:val="clear" w:color="auto" w:fill="auto"/>
          </w:tcPr>
          <w:p w14:paraId="6A62D7B7" w14:textId="77777777" w:rsidR="005F4B44" w:rsidRDefault="005F4B44" w:rsidP="005F4B44">
            <w:pPr>
              <w:pStyle w:val="TableText"/>
              <w:jc w:val="both"/>
              <w:rPr>
                <w:lang w:eastAsia="zh-TW"/>
              </w:rPr>
            </w:pPr>
            <w:r>
              <w:rPr>
                <w:rFonts w:eastAsia="細明體" w:hint="eastAsia"/>
                <w:lang w:eastAsia="zh-TW"/>
              </w:rPr>
              <w:t>就市場風險的風險管理目標及政策提供</w:t>
            </w:r>
            <w:r w:rsidRPr="00AA7EE0">
              <w:rPr>
                <w:rFonts w:eastAsia="細明體" w:hint="eastAsia"/>
                <w:lang w:eastAsia="zh-TW"/>
              </w:rPr>
              <w:t>描述</w:t>
            </w:r>
            <w:r>
              <w:rPr>
                <w:rFonts w:eastAsia="細明體" w:hint="eastAsia"/>
                <w:lang w:eastAsia="zh-TW"/>
              </w:rPr>
              <w:t>。</w:t>
            </w:r>
            <w:r>
              <w:rPr>
                <w:rFonts w:eastAsia="細明體"/>
                <w:lang w:eastAsia="zh-TW"/>
              </w:rPr>
              <w:t xml:space="preserve"> </w:t>
            </w:r>
          </w:p>
        </w:tc>
      </w:tr>
      <w:tr w:rsidR="005F4B44" w14:paraId="06841FE2" w14:textId="77777777" w:rsidTr="001D6590">
        <w:tc>
          <w:tcPr>
            <w:tcW w:w="2160" w:type="dxa"/>
            <w:tcBorders>
              <w:top w:val="single" w:sz="4" w:space="0" w:color="000000"/>
              <w:bottom w:val="single" w:sz="4" w:space="0" w:color="000000"/>
            </w:tcBorders>
            <w:shd w:val="clear" w:color="auto" w:fill="auto"/>
          </w:tcPr>
          <w:p w14:paraId="5E1AE573" w14:textId="77777777" w:rsidR="005F4B44" w:rsidRDefault="005F4B44" w:rsidP="005F4B44">
            <w:pPr>
              <w:spacing w:before="40" w:after="40"/>
              <w:rPr>
                <w:rFonts w:eastAsia="細明體"/>
                <w:sz w:val="17"/>
              </w:rPr>
            </w:pPr>
            <w:proofErr w:type="spellStart"/>
            <w:r>
              <w:rPr>
                <w:rFonts w:eastAsia="細明體" w:hint="eastAsia"/>
                <w:b/>
                <w:sz w:val="17"/>
              </w:rPr>
              <w:t>適用範圍</w:t>
            </w:r>
            <w:proofErr w:type="spellEnd"/>
            <w:r>
              <w:rPr>
                <w:rFonts w:eastAsia="細明體" w:hint="eastAsia"/>
                <w:b/>
                <w:sz w:val="17"/>
              </w:rPr>
              <w:t>：</w:t>
            </w:r>
          </w:p>
        </w:tc>
        <w:tc>
          <w:tcPr>
            <w:tcW w:w="7230" w:type="dxa"/>
            <w:tcBorders>
              <w:top w:val="single" w:sz="4" w:space="0" w:color="000000"/>
              <w:left w:val="single" w:sz="4" w:space="0" w:color="000000"/>
              <w:bottom w:val="single" w:sz="4" w:space="0" w:color="000000"/>
            </w:tcBorders>
            <w:shd w:val="clear" w:color="auto" w:fill="auto"/>
          </w:tcPr>
          <w:p w14:paraId="48E14E42" w14:textId="45294775" w:rsidR="005F4B44" w:rsidRDefault="005F4B44" w:rsidP="005F4B44">
            <w:pPr>
              <w:spacing w:before="40" w:after="40"/>
              <w:jc w:val="both"/>
              <w:rPr>
                <w:lang w:eastAsia="zh-TW"/>
              </w:rPr>
            </w:pPr>
            <w:r>
              <w:rPr>
                <w:rFonts w:eastAsia="細明體" w:hint="eastAsia"/>
                <w:sz w:val="17"/>
                <w:lang w:eastAsia="zh-TW"/>
              </w:rPr>
              <w:t>在香港成立</w:t>
            </w:r>
            <w:proofErr w:type="gramStart"/>
            <w:r>
              <w:rPr>
                <w:rFonts w:eastAsia="細明體" w:hint="eastAsia"/>
                <w:sz w:val="17"/>
                <w:lang w:eastAsia="zh-TW"/>
              </w:rPr>
              <w:t>為法團並</w:t>
            </w:r>
            <w:proofErr w:type="gramEnd"/>
            <w:r>
              <w:rPr>
                <w:rFonts w:eastAsia="細明體" w:hint="eastAsia"/>
                <w:sz w:val="17"/>
                <w:lang w:eastAsia="zh-TW"/>
              </w:rPr>
              <w:t>受《資本規則》第</w:t>
            </w:r>
            <w:r>
              <w:rPr>
                <w:rFonts w:eastAsia="細明體"/>
                <w:sz w:val="17"/>
                <w:lang w:eastAsia="zh-TW"/>
              </w:rPr>
              <w:t>8</w:t>
            </w:r>
            <w:r>
              <w:rPr>
                <w:rFonts w:eastAsia="細明體" w:hint="eastAsia"/>
                <w:sz w:val="17"/>
                <w:lang w:eastAsia="zh-TW"/>
              </w:rPr>
              <w:t>部市場風險資本</w:t>
            </w:r>
            <w:r>
              <w:rPr>
                <w:rFonts w:eastAsia="細明體" w:hint="eastAsia"/>
                <w:sz w:val="17"/>
                <w:lang w:eastAsia="zh-HK"/>
              </w:rPr>
              <w:t>要求</w:t>
            </w:r>
            <w:r>
              <w:rPr>
                <w:rFonts w:eastAsia="細明體" w:hint="eastAsia"/>
                <w:sz w:val="17"/>
                <w:lang w:eastAsia="zh-TW"/>
              </w:rPr>
              <w:t>所</w:t>
            </w:r>
            <w:proofErr w:type="gramStart"/>
            <w:r>
              <w:rPr>
                <w:rFonts w:eastAsia="細明體" w:hint="eastAsia"/>
                <w:sz w:val="17"/>
                <w:lang w:eastAsia="zh-TW"/>
              </w:rPr>
              <w:t>規</w:t>
            </w:r>
            <w:proofErr w:type="gramEnd"/>
            <w:r>
              <w:rPr>
                <w:rFonts w:eastAsia="細明體" w:hint="eastAsia"/>
                <w:sz w:val="17"/>
                <w:lang w:eastAsia="zh-TW"/>
              </w:rPr>
              <w:t>限的認可機構，</w:t>
            </w:r>
            <w:proofErr w:type="gramStart"/>
            <w:r>
              <w:rPr>
                <w:rFonts w:eastAsia="細明體" w:hint="eastAsia"/>
                <w:sz w:val="17"/>
                <w:lang w:eastAsia="zh-TW"/>
              </w:rPr>
              <w:t>均須填報</w:t>
            </w:r>
            <w:proofErr w:type="gramEnd"/>
            <w:r>
              <w:rPr>
                <w:rFonts w:eastAsia="細明體" w:hint="eastAsia"/>
                <w:sz w:val="17"/>
                <w:lang w:eastAsia="zh-TW"/>
              </w:rPr>
              <w:t>本表（根據《資本規則》第</w:t>
            </w:r>
            <w:r>
              <w:rPr>
                <w:rFonts w:eastAsia="細明體"/>
                <w:sz w:val="17"/>
                <w:lang w:eastAsia="zh-TW"/>
              </w:rPr>
              <w:t>22</w:t>
            </w:r>
            <w:r>
              <w:rPr>
                <w:rFonts w:eastAsia="細明體" w:hint="eastAsia"/>
                <w:sz w:val="17"/>
                <w:lang w:eastAsia="zh-TW"/>
              </w:rPr>
              <w:t>條獲豁免者除外）。</w:t>
            </w:r>
            <w:r>
              <w:rPr>
                <w:rFonts w:eastAsia="細明體"/>
                <w:sz w:val="17"/>
                <w:lang w:eastAsia="zh-TW"/>
              </w:rPr>
              <w:t xml:space="preserve"> </w:t>
            </w:r>
          </w:p>
        </w:tc>
      </w:tr>
      <w:tr w:rsidR="005F4B44" w14:paraId="5A7E5754" w14:textId="77777777" w:rsidTr="001D6590">
        <w:tc>
          <w:tcPr>
            <w:tcW w:w="2160" w:type="dxa"/>
            <w:tcBorders>
              <w:top w:val="single" w:sz="4" w:space="0" w:color="000000"/>
              <w:bottom w:val="single" w:sz="4" w:space="0" w:color="000000"/>
            </w:tcBorders>
            <w:shd w:val="clear" w:color="auto" w:fill="auto"/>
          </w:tcPr>
          <w:p w14:paraId="15C7D5C7" w14:textId="77777777" w:rsidR="005F4B44" w:rsidRDefault="005F4B44" w:rsidP="005F4B44">
            <w:pPr>
              <w:spacing w:before="40" w:after="40"/>
              <w:rPr>
                <w:rFonts w:eastAsia="細明體"/>
                <w:sz w:val="17"/>
              </w:rPr>
            </w:pPr>
            <w:proofErr w:type="spellStart"/>
            <w:r>
              <w:rPr>
                <w:rFonts w:eastAsia="細明體" w:hint="eastAsia"/>
                <w:b/>
                <w:sz w:val="17"/>
              </w:rPr>
              <w:t>內容</w:t>
            </w:r>
            <w:proofErr w:type="spellEnd"/>
            <w:r>
              <w:rPr>
                <w:rFonts w:eastAsia="細明體" w:hint="eastAsia"/>
                <w:b/>
                <w:sz w:val="17"/>
              </w:rPr>
              <w:t>：</w:t>
            </w:r>
          </w:p>
        </w:tc>
        <w:tc>
          <w:tcPr>
            <w:tcW w:w="7230" w:type="dxa"/>
            <w:tcBorders>
              <w:top w:val="single" w:sz="4" w:space="0" w:color="000000"/>
              <w:left w:val="single" w:sz="4" w:space="0" w:color="000000"/>
              <w:bottom w:val="single" w:sz="4" w:space="0" w:color="000000"/>
            </w:tcBorders>
            <w:shd w:val="clear" w:color="auto" w:fill="auto"/>
          </w:tcPr>
          <w:p w14:paraId="2E61015F" w14:textId="77777777" w:rsidR="005F4B44" w:rsidRDefault="005F4B44" w:rsidP="005F4B44">
            <w:pPr>
              <w:spacing w:before="40" w:after="40"/>
              <w:jc w:val="both"/>
            </w:pPr>
            <w:proofErr w:type="spellStart"/>
            <w:r>
              <w:rPr>
                <w:rFonts w:eastAsia="細明體" w:hint="eastAsia"/>
                <w:sz w:val="17"/>
              </w:rPr>
              <w:t>描述資料</w:t>
            </w:r>
            <w:proofErr w:type="spellEnd"/>
            <w:r>
              <w:rPr>
                <w:rFonts w:eastAsia="細明體" w:hint="eastAsia"/>
                <w:sz w:val="17"/>
              </w:rPr>
              <w:t>。</w:t>
            </w:r>
          </w:p>
        </w:tc>
      </w:tr>
      <w:tr w:rsidR="005F4B44" w14:paraId="5E74A086" w14:textId="77777777" w:rsidTr="001D6590">
        <w:tc>
          <w:tcPr>
            <w:tcW w:w="2160" w:type="dxa"/>
            <w:tcBorders>
              <w:top w:val="single" w:sz="4" w:space="0" w:color="000000"/>
              <w:bottom w:val="single" w:sz="4" w:space="0" w:color="000000"/>
            </w:tcBorders>
            <w:shd w:val="clear" w:color="auto" w:fill="auto"/>
          </w:tcPr>
          <w:p w14:paraId="3BE905BC" w14:textId="77777777" w:rsidR="005F4B44" w:rsidRDefault="005F4B44" w:rsidP="005F4B44">
            <w:pPr>
              <w:spacing w:before="40" w:after="40"/>
              <w:rPr>
                <w:rFonts w:eastAsia="細明體"/>
              </w:rPr>
            </w:pPr>
            <w:proofErr w:type="spellStart"/>
            <w:r>
              <w:rPr>
                <w:rFonts w:eastAsia="細明體" w:hint="eastAsia"/>
                <w:b/>
                <w:sz w:val="17"/>
              </w:rPr>
              <w:t>頻密程度</w:t>
            </w:r>
            <w:proofErr w:type="spellEnd"/>
            <w:r>
              <w:rPr>
                <w:rFonts w:eastAsia="細明體" w:hint="eastAsia"/>
                <w:b/>
                <w:sz w:val="17"/>
              </w:rPr>
              <w:t>：</w:t>
            </w:r>
          </w:p>
        </w:tc>
        <w:tc>
          <w:tcPr>
            <w:tcW w:w="7230" w:type="dxa"/>
            <w:tcBorders>
              <w:top w:val="single" w:sz="4" w:space="0" w:color="000000"/>
              <w:left w:val="single" w:sz="4" w:space="0" w:color="000000"/>
              <w:bottom w:val="single" w:sz="4" w:space="0" w:color="000000"/>
            </w:tcBorders>
            <w:shd w:val="clear" w:color="auto" w:fill="auto"/>
          </w:tcPr>
          <w:p w14:paraId="758DDD6D" w14:textId="77777777" w:rsidR="005F4B44" w:rsidRDefault="005F4B44" w:rsidP="005F4B44">
            <w:pPr>
              <w:pStyle w:val="TableText"/>
              <w:jc w:val="both"/>
            </w:pPr>
            <w:proofErr w:type="spellStart"/>
            <w:r>
              <w:rPr>
                <w:rFonts w:eastAsia="細明體" w:hint="eastAsia"/>
              </w:rPr>
              <w:t>每年一次</w:t>
            </w:r>
            <w:proofErr w:type="spellEnd"/>
            <w:r>
              <w:rPr>
                <w:rFonts w:eastAsia="細明體" w:hint="eastAsia"/>
              </w:rPr>
              <w:t>。</w:t>
            </w:r>
          </w:p>
        </w:tc>
      </w:tr>
      <w:tr w:rsidR="005F4B44" w14:paraId="71E3860C" w14:textId="77777777" w:rsidTr="001D6590">
        <w:tc>
          <w:tcPr>
            <w:tcW w:w="2160" w:type="dxa"/>
            <w:tcBorders>
              <w:top w:val="single" w:sz="4" w:space="0" w:color="000000"/>
              <w:bottom w:val="single" w:sz="4" w:space="0" w:color="000000"/>
            </w:tcBorders>
            <w:shd w:val="clear" w:color="auto" w:fill="auto"/>
          </w:tcPr>
          <w:p w14:paraId="3B3F0D52" w14:textId="77777777" w:rsidR="005F4B44" w:rsidRDefault="005F4B44" w:rsidP="005F4B44">
            <w:pPr>
              <w:spacing w:before="40" w:after="40"/>
              <w:rPr>
                <w:rFonts w:eastAsia="細明體"/>
              </w:rPr>
            </w:pPr>
            <w:proofErr w:type="spellStart"/>
            <w:r>
              <w:rPr>
                <w:rFonts w:eastAsia="細明體" w:hint="eastAsia"/>
                <w:b/>
                <w:sz w:val="17"/>
              </w:rPr>
              <w:t>格式</w:t>
            </w:r>
            <w:proofErr w:type="spellEnd"/>
            <w:r>
              <w:rPr>
                <w:rFonts w:eastAsia="細明體" w:hint="eastAsia"/>
                <w:b/>
                <w:sz w:val="17"/>
              </w:rPr>
              <w:t>：</w:t>
            </w:r>
          </w:p>
        </w:tc>
        <w:tc>
          <w:tcPr>
            <w:tcW w:w="7230" w:type="dxa"/>
            <w:tcBorders>
              <w:top w:val="single" w:sz="4" w:space="0" w:color="000000"/>
              <w:left w:val="single" w:sz="4" w:space="0" w:color="000000"/>
              <w:bottom w:val="single" w:sz="4" w:space="0" w:color="000000"/>
            </w:tcBorders>
            <w:shd w:val="clear" w:color="auto" w:fill="auto"/>
          </w:tcPr>
          <w:p w14:paraId="7CEED80E" w14:textId="77777777" w:rsidR="005F4B44" w:rsidRDefault="005F4B44" w:rsidP="005F4B44">
            <w:pPr>
              <w:pStyle w:val="TableText"/>
              <w:jc w:val="both"/>
            </w:pPr>
            <w:proofErr w:type="spellStart"/>
            <w:r>
              <w:rPr>
                <w:rFonts w:eastAsia="細明體" w:hint="eastAsia"/>
              </w:rPr>
              <w:t>非固定</w:t>
            </w:r>
            <w:proofErr w:type="spellEnd"/>
            <w:r>
              <w:rPr>
                <w:rFonts w:eastAsia="細明體"/>
              </w:rPr>
              <w:t>。</w:t>
            </w:r>
          </w:p>
        </w:tc>
      </w:tr>
      <w:tr w:rsidR="005F4B44" w14:paraId="10B12D65" w14:textId="77777777" w:rsidTr="001D6590">
        <w:tc>
          <w:tcPr>
            <w:tcW w:w="2160" w:type="dxa"/>
            <w:tcBorders>
              <w:top w:val="single" w:sz="4" w:space="0" w:color="000000"/>
              <w:bottom w:val="single" w:sz="4" w:space="0" w:color="000000"/>
            </w:tcBorders>
            <w:shd w:val="clear" w:color="auto" w:fill="auto"/>
          </w:tcPr>
          <w:p w14:paraId="409A6907" w14:textId="77777777" w:rsidR="005F4B44" w:rsidRDefault="005F4B44" w:rsidP="005F4B44">
            <w:pPr>
              <w:spacing w:before="40" w:after="40"/>
              <w:rPr>
                <w:rFonts w:eastAsia="細明體"/>
                <w:lang w:eastAsia="zh-TW"/>
              </w:rPr>
            </w:pPr>
            <w:r>
              <w:rPr>
                <w:rFonts w:eastAsia="細明體" w:hint="eastAsia"/>
                <w:b/>
                <w:sz w:val="17"/>
                <w:lang w:eastAsia="zh-TW"/>
              </w:rPr>
              <w:t>《披露規則》相應條文：</w:t>
            </w:r>
          </w:p>
        </w:tc>
        <w:tc>
          <w:tcPr>
            <w:tcW w:w="7230" w:type="dxa"/>
            <w:tcBorders>
              <w:top w:val="single" w:sz="4" w:space="0" w:color="000000"/>
              <w:left w:val="single" w:sz="4" w:space="0" w:color="000000"/>
              <w:bottom w:val="single" w:sz="4" w:space="0" w:color="000000"/>
            </w:tcBorders>
            <w:shd w:val="clear" w:color="auto" w:fill="auto"/>
          </w:tcPr>
          <w:p w14:paraId="7EBC1651" w14:textId="77777777" w:rsidR="005F4B44" w:rsidRDefault="005F4B44" w:rsidP="005F4B44">
            <w:pPr>
              <w:pStyle w:val="TableText"/>
              <w:jc w:val="both"/>
            </w:pPr>
            <w:r>
              <w:rPr>
                <w:rFonts w:eastAsia="細明體"/>
              </w:rPr>
              <w:t>16ZJ</w:t>
            </w:r>
          </w:p>
        </w:tc>
      </w:tr>
    </w:tbl>
    <w:p w14:paraId="78273ADA" w14:textId="77777777" w:rsidR="005F4B44" w:rsidRDefault="005F4B44" w:rsidP="005F4B44">
      <w:pPr>
        <w:spacing w:before="120" w:after="120"/>
        <w:rPr>
          <w:rFonts w:eastAsia="細明體"/>
        </w:rPr>
      </w:pPr>
    </w:p>
    <w:tbl>
      <w:tblPr>
        <w:tblW w:w="9415" w:type="dxa"/>
        <w:tblInd w:w="-497" w:type="dxa"/>
        <w:tblLayout w:type="fixed"/>
        <w:tblCellMar>
          <w:left w:w="70" w:type="dxa"/>
          <w:right w:w="70" w:type="dxa"/>
        </w:tblCellMar>
        <w:tblLook w:val="0000" w:firstRow="0" w:lastRow="0" w:firstColumn="0" w:lastColumn="0" w:noHBand="0" w:noVBand="0"/>
      </w:tblPr>
      <w:tblGrid>
        <w:gridCol w:w="543"/>
        <w:gridCol w:w="8872"/>
      </w:tblGrid>
      <w:tr w:rsidR="005F4B44" w14:paraId="5568DBBA" w14:textId="77777777" w:rsidTr="005F4B44">
        <w:trPr>
          <w:trHeight w:val="448"/>
        </w:trPr>
        <w:tc>
          <w:tcPr>
            <w:tcW w:w="9415" w:type="dxa"/>
            <w:gridSpan w:val="2"/>
            <w:tcBorders>
              <w:top w:val="single" w:sz="4" w:space="0" w:color="000000"/>
              <w:bottom w:val="single" w:sz="4" w:space="0" w:color="000000"/>
            </w:tcBorders>
            <w:shd w:val="clear" w:color="auto" w:fill="auto"/>
            <w:vAlign w:val="center"/>
          </w:tcPr>
          <w:p w14:paraId="1409C21F" w14:textId="37247EE9" w:rsidR="005F4B44" w:rsidRDefault="005F4B44" w:rsidP="005F4B44">
            <w:pPr>
              <w:widowControl w:val="0"/>
              <w:spacing w:before="40" w:after="40"/>
              <w:jc w:val="both"/>
              <w:rPr>
                <w:lang w:eastAsia="zh-TW"/>
              </w:rPr>
            </w:pPr>
            <w:r>
              <w:rPr>
                <w:rFonts w:eastAsia="細明體" w:hint="eastAsia"/>
                <w:sz w:val="17"/>
                <w:szCs w:val="17"/>
                <w:lang w:eastAsia="zh-TW"/>
              </w:rPr>
              <w:t>認可機構</w:t>
            </w:r>
            <w:r>
              <w:rPr>
                <w:rFonts w:eastAsia="細明體" w:hint="eastAsia"/>
                <w:sz w:val="17"/>
                <w:szCs w:val="17"/>
                <w:lang w:val="fr-FR" w:eastAsia="zh-TW"/>
              </w:rPr>
              <w:t>應按照以下框架</w:t>
            </w:r>
            <w:r>
              <w:rPr>
                <w:rFonts w:eastAsia="細明體" w:hint="eastAsia"/>
                <w:sz w:val="17"/>
                <w:lang w:eastAsia="zh-TW"/>
              </w:rPr>
              <w:t>描述</w:t>
            </w:r>
            <w:r>
              <w:rPr>
                <w:rFonts w:eastAsia="細明體" w:hint="eastAsia"/>
                <w:sz w:val="17"/>
                <w:szCs w:val="17"/>
                <w:lang w:val="fr-FR" w:eastAsia="zh-TW"/>
              </w:rPr>
              <w:t>其</w:t>
            </w:r>
            <w:r>
              <w:rPr>
                <w:rFonts w:eastAsia="細明體" w:hint="eastAsia"/>
                <w:sz w:val="17"/>
                <w:szCs w:val="17"/>
                <w:lang w:eastAsia="zh-TW"/>
              </w:rPr>
              <w:t>市場風險的風險管理目標及政策：</w:t>
            </w:r>
          </w:p>
        </w:tc>
      </w:tr>
      <w:tr w:rsidR="005F4B44" w14:paraId="75B14292" w14:textId="77777777" w:rsidTr="005F4B44">
        <w:trPr>
          <w:trHeight w:val="318"/>
        </w:trPr>
        <w:tc>
          <w:tcPr>
            <w:tcW w:w="543" w:type="dxa"/>
            <w:tcBorders>
              <w:top w:val="single" w:sz="4" w:space="0" w:color="000000"/>
              <w:bottom w:val="single" w:sz="4" w:space="0" w:color="000000"/>
            </w:tcBorders>
            <w:shd w:val="clear" w:color="auto" w:fill="auto"/>
          </w:tcPr>
          <w:p w14:paraId="32C25ED0" w14:textId="77777777" w:rsidR="005F4B44" w:rsidRDefault="005F4B44" w:rsidP="005F4B44">
            <w:pPr>
              <w:widowControl w:val="0"/>
              <w:spacing w:before="40" w:after="40"/>
              <w:rPr>
                <w:rFonts w:eastAsia="細明體"/>
              </w:rPr>
            </w:pPr>
            <w:r>
              <w:rPr>
                <w:rFonts w:eastAsia="細明體"/>
                <w:sz w:val="17"/>
                <w:szCs w:val="17"/>
              </w:rPr>
              <w:t>(a)</w:t>
            </w:r>
          </w:p>
        </w:tc>
        <w:tc>
          <w:tcPr>
            <w:tcW w:w="8872" w:type="dxa"/>
            <w:tcBorders>
              <w:top w:val="single" w:sz="4" w:space="0" w:color="000000"/>
              <w:bottom w:val="single" w:sz="4" w:space="0" w:color="000000"/>
            </w:tcBorders>
            <w:shd w:val="clear" w:color="auto" w:fill="auto"/>
            <w:vAlign w:val="bottom"/>
          </w:tcPr>
          <w:p w14:paraId="65BC2F25" w14:textId="7F7B29BF" w:rsidR="005F4B44" w:rsidRDefault="005F4B44" w:rsidP="005F4B44">
            <w:pPr>
              <w:pStyle w:val="TableText"/>
              <w:jc w:val="both"/>
              <w:rPr>
                <w:rFonts w:eastAsia="細明體"/>
                <w:lang w:eastAsia="zh-HK"/>
              </w:rPr>
            </w:pPr>
            <w:r>
              <w:rPr>
                <w:rFonts w:eastAsia="細明體" w:hint="eastAsia"/>
                <w:lang w:eastAsia="zh-TW"/>
              </w:rPr>
              <w:t>認可機構的策略及程序，包括闡述</w:t>
            </w:r>
            <w:r>
              <w:rPr>
                <w:rFonts w:eastAsia="細明體" w:hint="eastAsia"/>
                <w:lang w:eastAsia="zh-HK"/>
              </w:rPr>
              <w:t>及</w:t>
            </w:r>
            <w:r>
              <w:rPr>
                <w:rFonts w:eastAsia="細明體" w:hint="eastAsia"/>
                <w:lang w:eastAsia="zh-TW"/>
              </w:rPr>
              <w:t>/</w:t>
            </w:r>
            <w:r>
              <w:rPr>
                <w:rFonts w:eastAsia="細明體" w:hint="eastAsia"/>
                <w:lang w:eastAsia="zh-HK"/>
              </w:rPr>
              <w:t>或描述</w:t>
            </w:r>
            <w:r>
              <w:rPr>
                <w:rFonts w:eastAsia="細明體" w:hint="eastAsia"/>
                <w:lang w:eastAsia="zh-TW"/>
              </w:rPr>
              <w:t>：</w:t>
            </w:r>
          </w:p>
          <w:p w14:paraId="7F69999F" w14:textId="4E8F87A1" w:rsidR="005F4B44" w:rsidRPr="00400E95" w:rsidRDefault="005F4B44" w:rsidP="00D540EB">
            <w:pPr>
              <w:pStyle w:val="TableText"/>
              <w:numPr>
                <w:ilvl w:val="0"/>
                <w:numId w:val="55"/>
              </w:numPr>
              <w:tabs>
                <w:tab w:val="left" w:pos="447"/>
              </w:tabs>
              <w:suppressAutoHyphens/>
              <w:ind w:left="447" w:hanging="436"/>
              <w:jc w:val="both"/>
              <w:rPr>
                <w:rFonts w:eastAsia="細明體"/>
                <w:lang w:eastAsia="zh-HK"/>
              </w:rPr>
            </w:pPr>
            <w:r w:rsidRPr="000004C1">
              <w:rPr>
                <w:rFonts w:eastAsia="細明體" w:hint="eastAsia"/>
                <w:szCs w:val="17"/>
                <w:lang w:eastAsia="zh-HK"/>
              </w:rPr>
              <w:t>認可機構</w:t>
            </w:r>
            <w:r w:rsidRPr="000004C1">
              <w:rPr>
                <w:rFonts w:eastAsia="細明體" w:hint="eastAsia"/>
                <w:szCs w:val="17"/>
                <w:lang w:eastAsia="zh-TW"/>
              </w:rPr>
              <w:t>進行交易活動的策略性目標，以及用作識別、計量、監察及管控認可機構的市場風險而實施的程序，</w:t>
            </w:r>
            <w:r w:rsidRPr="00A763BD">
              <w:rPr>
                <w:rFonts w:eastAsia="細明體" w:hint="eastAsia"/>
                <w:szCs w:val="17"/>
                <w:lang w:eastAsia="zh-TW"/>
              </w:rPr>
              <w:t>當中包括風險對沖政策及監察對沖的持續有效性的策略與程序</w:t>
            </w:r>
            <w:r w:rsidRPr="008213E3">
              <w:rPr>
                <w:rFonts w:eastAsia="細明體" w:hint="eastAsia"/>
                <w:szCs w:val="17"/>
                <w:lang w:eastAsia="zh-TW"/>
              </w:rPr>
              <w:t>；</w:t>
            </w:r>
          </w:p>
          <w:p w14:paraId="11375A48" w14:textId="35697655" w:rsidR="005F4B44" w:rsidRDefault="005F4B44" w:rsidP="00D540EB">
            <w:pPr>
              <w:pStyle w:val="TableText"/>
              <w:numPr>
                <w:ilvl w:val="0"/>
                <w:numId w:val="55"/>
              </w:numPr>
              <w:tabs>
                <w:tab w:val="left" w:pos="447"/>
              </w:tabs>
              <w:suppressAutoHyphens/>
              <w:ind w:left="447" w:hanging="436"/>
              <w:jc w:val="both"/>
              <w:rPr>
                <w:rFonts w:eastAsia="細明體"/>
                <w:lang w:eastAsia="zh-HK"/>
              </w:rPr>
            </w:pPr>
            <w:r>
              <w:rPr>
                <w:rFonts w:eastAsia="細明體" w:hint="eastAsia"/>
                <w:lang w:eastAsia="zh-HK"/>
              </w:rPr>
              <w:t>斷定某持倉是否被指定為交易持倉的政策</w:t>
            </w:r>
            <w:r>
              <w:rPr>
                <w:rFonts w:eastAsia="細明體" w:hint="eastAsia"/>
                <w:lang w:eastAsia="zh-TW"/>
              </w:rPr>
              <w:t>，</w:t>
            </w:r>
            <w:r>
              <w:rPr>
                <w:rFonts w:eastAsia="細明體" w:hint="eastAsia"/>
                <w:lang w:eastAsia="zh-HK"/>
              </w:rPr>
              <w:t>包括陳舊持倉的定義及監察該等持倉的風險管理政策</w:t>
            </w:r>
            <w:r>
              <w:rPr>
                <w:rFonts w:eastAsia="細明體" w:hint="eastAsia"/>
                <w:lang w:eastAsia="zh-TW"/>
              </w:rPr>
              <w:t>。</w:t>
            </w:r>
            <w:r>
              <w:rPr>
                <w:rFonts w:eastAsia="細明體" w:hint="eastAsia"/>
                <w:lang w:eastAsia="zh-HK"/>
              </w:rPr>
              <w:t>此外</w:t>
            </w:r>
            <w:r>
              <w:rPr>
                <w:rFonts w:eastAsia="細明體" w:hint="eastAsia"/>
                <w:lang w:eastAsia="zh-TW"/>
              </w:rPr>
              <w:t>，</w:t>
            </w:r>
            <w:r>
              <w:rPr>
                <w:rFonts w:eastAsia="細明體" w:hint="eastAsia"/>
                <w:lang w:eastAsia="zh-HK"/>
              </w:rPr>
              <w:t>認可機構應</w:t>
            </w:r>
            <w:r w:rsidRPr="00383479">
              <w:rPr>
                <w:rFonts w:eastAsia="細明體" w:hint="eastAsia"/>
                <w:lang w:eastAsia="zh-HK"/>
              </w:rPr>
              <w:t>描述</w:t>
            </w:r>
            <w:r w:rsidRPr="00400E95">
              <w:rPr>
                <w:rFonts w:eastAsia="細明體" w:hint="eastAsia"/>
                <w:lang w:eastAsia="zh-HK"/>
              </w:rPr>
              <w:t>工具</w:t>
            </w:r>
            <w:proofErr w:type="gramStart"/>
            <w:r w:rsidR="00872CF6" w:rsidRPr="00872CF6">
              <w:rPr>
                <w:rFonts w:eastAsia="細明體" w:hint="eastAsia"/>
                <w:lang w:eastAsia="zh-HK"/>
              </w:rPr>
              <w:t>獲編配至</w:t>
            </w:r>
            <w:proofErr w:type="gramEnd"/>
            <w:r w:rsidR="00872CF6" w:rsidRPr="00872CF6">
              <w:rPr>
                <w:rFonts w:eastAsia="細明體" w:hint="eastAsia"/>
                <w:lang w:eastAsia="zh-HK"/>
              </w:rPr>
              <w:t>交易帳或銀行帳的情況及該等情況下的市值及總公平價值</w:t>
            </w:r>
            <w:r w:rsidR="00360B12">
              <w:rPr>
                <w:rFonts w:eastAsia="細明體" w:hint="eastAsia"/>
                <w:lang w:eastAsia="zh-TW"/>
              </w:rPr>
              <w:t>（</w:t>
            </w:r>
            <w:r w:rsidR="00872CF6" w:rsidRPr="00872CF6">
              <w:rPr>
                <w:rFonts w:eastAsia="細明體" w:hint="eastAsia"/>
                <w:lang w:eastAsia="zh-HK"/>
              </w:rPr>
              <w:t>前提是有關情況有異於《資本規則》第</w:t>
            </w:r>
            <w:r w:rsidR="00872CF6" w:rsidRPr="00872CF6">
              <w:rPr>
                <w:rFonts w:eastAsia="細明體"/>
                <w:lang w:eastAsia="zh-HK"/>
              </w:rPr>
              <w:t>8</w:t>
            </w:r>
            <w:r w:rsidR="00872CF6" w:rsidRPr="00872CF6">
              <w:rPr>
                <w:rFonts w:eastAsia="細明體" w:hint="eastAsia"/>
                <w:lang w:eastAsia="zh-HK"/>
              </w:rPr>
              <w:t>部列明對這些工具類別的一般假設</w:t>
            </w:r>
            <w:r w:rsidR="00360B12">
              <w:rPr>
                <w:rFonts w:eastAsia="細明體" w:hint="eastAsia"/>
                <w:lang w:eastAsia="zh-TW"/>
              </w:rPr>
              <w:t>）</w:t>
            </w:r>
            <w:r w:rsidR="00872CF6" w:rsidRPr="00872CF6">
              <w:rPr>
                <w:rFonts w:eastAsia="細明體" w:hint="eastAsia"/>
                <w:lang w:eastAsia="zh-HK"/>
              </w:rPr>
              <w:t>，以及自上一個報告期以來工具在銀行帳與交易帳之間調動的情況，包括該等情況下的總公平價值及調動的原因；及</w:t>
            </w:r>
          </w:p>
          <w:p w14:paraId="78371F1B" w14:textId="47A90374" w:rsidR="005F4B44" w:rsidRDefault="005F4B44" w:rsidP="00D540EB">
            <w:pPr>
              <w:pStyle w:val="TableText"/>
              <w:numPr>
                <w:ilvl w:val="0"/>
                <w:numId w:val="55"/>
              </w:numPr>
              <w:tabs>
                <w:tab w:val="left" w:pos="447"/>
              </w:tabs>
              <w:suppressAutoHyphens/>
              <w:ind w:left="447" w:hanging="436"/>
              <w:jc w:val="both"/>
              <w:rPr>
                <w:lang w:eastAsia="zh-TW"/>
              </w:rPr>
            </w:pPr>
            <w:r>
              <w:rPr>
                <w:rFonts w:eastAsia="細明體" w:hint="eastAsia"/>
                <w:lang w:eastAsia="zh-HK"/>
              </w:rPr>
              <w:t>內部風險轉移活動的描述，包括內部風險轉移交易桌的種類。</w:t>
            </w:r>
            <w:r>
              <w:rPr>
                <w:rFonts w:eastAsia="細明體" w:hint="eastAsia"/>
                <w:lang w:eastAsia="zh-HK"/>
              </w:rPr>
              <w:t xml:space="preserve"> </w:t>
            </w:r>
          </w:p>
        </w:tc>
      </w:tr>
      <w:tr w:rsidR="005F4B44" w:rsidRPr="006E1671" w14:paraId="36A466C3" w14:textId="77777777" w:rsidTr="005F4B44">
        <w:trPr>
          <w:trHeight w:val="318"/>
        </w:trPr>
        <w:tc>
          <w:tcPr>
            <w:tcW w:w="543" w:type="dxa"/>
            <w:tcBorders>
              <w:top w:val="single" w:sz="4" w:space="0" w:color="000000"/>
              <w:bottom w:val="single" w:sz="4" w:space="0" w:color="000000"/>
            </w:tcBorders>
            <w:shd w:val="clear" w:color="auto" w:fill="auto"/>
          </w:tcPr>
          <w:p w14:paraId="2C53CD4E" w14:textId="77777777" w:rsidR="005F4B44" w:rsidRDefault="005F4B44" w:rsidP="005F4B44">
            <w:pPr>
              <w:widowControl w:val="0"/>
              <w:spacing w:before="40" w:after="40"/>
              <w:rPr>
                <w:rFonts w:eastAsia="細明體"/>
              </w:rPr>
            </w:pPr>
            <w:r>
              <w:rPr>
                <w:rFonts w:eastAsia="細明體"/>
                <w:sz w:val="17"/>
                <w:szCs w:val="17"/>
              </w:rPr>
              <w:t>(b)</w:t>
            </w:r>
          </w:p>
        </w:tc>
        <w:tc>
          <w:tcPr>
            <w:tcW w:w="8872" w:type="dxa"/>
            <w:tcBorders>
              <w:top w:val="single" w:sz="4" w:space="0" w:color="000000"/>
              <w:bottom w:val="single" w:sz="4" w:space="0" w:color="000000"/>
            </w:tcBorders>
            <w:shd w:val="clear" w:color="auto" w:fill="auto"/>
            <w:vAlign w:val="bottom"/>
          </w:tcPr>
          <w:p w14:paraId="25F80354" w14:textId="450930D1" w:rsidR="005F4B44" w:rsidRDefault="005F4B44" w:rsidP="005F4B44">
            <w:pPr>
              <w:pStyle w:val="TableText"/>
              <w:jc w:val="both"/>
              <w:rPr>
                <w:lang w:eastAsia="zh-TW"/>
              </w:rPr>
            </w:pPr>
            <w:r>
              <w:rPr>
                <w:rFonts w:eastAsia="細明體" w:hint="eastAsia"/>
                <w:lang w:eastAsia="zh-TW"/>
              </w:rPr>
              <w:t>市場風險管理職能的架構和組織：</w:t>
            </w:r>
            <w:r>
              <w:rPr>
                <w:rFonts w:eastAsia="細明體" w:hint="eastAsia"/>
                <w:lang w:eastAsia="zh-HK"/>
              </w:rPr>
              <w:t>包括</w:t>
            </w:r>
            <w:r w:rsidRPr="00E95996">
              <w:rPr>
                <w:rFonts w:eastAsia="細明體" w:hint="eastAsia"/>
                <w:lang w:eastAsia="zh-TW"/>
              </w:rPr>
              <w:t>描述</w:t>
            </w:r>
            <w:r>
              <w:rPr>
                <w:rFonts w:eastAsia="細明體" w:hint="eastAsia"/>
                <w:lang w:eastAsia="zh-TW"/>
              </w:rPr>
              <w:t>認可機構為實施上述</w:t>
            </w:r>
            <w:r>
              <w:rPr>
                <w:rFonts w:eastAsia="細明體"/>
                <w:lang w:eastAsia="zh-TW"/>
              </w:rPr>
              <w:t>(a)</w:t>
            </w:r>
            <w:r>
              <w:rPr>
                <w:rFonts w:eastAsia="細明體" w:hint="eastAsia"/>
                <w:lang w:eastAsia="zh-HK"/>
              </w:rPr>
              <w:t>行</w:t>
            </w:r>
            <w:r>
              <w:rPr>
                <w:rFonts w:eastAsia="細明體" w:hint="eastAsia"/>
                <w:lang w:eastAsia="zh-TW"/>
              </w:rPr>
              <w:t>所載策略與程序而設立的市場風險管治架構。</w:t>
            </w:r>
          </w:p>
        </w:tc>
      </w:tr>
      <w:tr w:rsidR="005F4B44" w14:paraId="367F014F" w14:textId="77777777" w:rsidTr="005F4B44">
        <w:trPr>
          <w:trHeight w:val="318"/>
        </w:trPr>
        <w:tc>
          <w:tcPr>
            <w:tcW w:w="543" w:type="dxa"/>
            <w:tcBorders>
              <w:top w:val="single" w:sz="4" w:space="0" w:color="000000"/>
              <w:bottom w:val="single" w:sz="4" w:space="0" w:color="000000"/>
            </w:tcBorders>
            <w:shd w:val="clear" w:color="auto" w:fill="auto"/>
          </w:tcPr>
          <w:p w14:paraId="5C0717FC" w14:textId="77777777" w:rsidR="005F4B44" w:rsidRDefault="005F4B44" w:rsidP="005F4B44">
            <w:pPr>
              <w:widowControl w:val="0"/>
              <w:spacing w:before="40" w:after="40"/>
              <w:rPr>
                <w:rFonts w:eastAsia="細明體"/>
              </w:rPr>
            </w:pPr>
            <w:r>
              <w:rPr>
                <w:rFonts w:eastAsia="細明體"/>
                <w:sz w:val="17"/>
                <w:szCs w:val="17"/>
              </w:rPr>
              <w:t>(c)</w:t>
            </w:r>
          </w:p>
        </w:tc>
        <w:tc>
          <w:tcPr>
            <w:tcW w:w="8872" w:type="dxa"/>
            <w:tcBorders>
              <w:top w:val="single" w:sz="4" w:space="0" w:color="000000"/>
              <w:bottom w:val="single" w:sz="4" w:space="0" w:color="000000"/>
            </w:tcBorders>
            <w:shd w:val="clear" w:color="auto" w:fill="auto"/>
            <w:vAlign w:val="center"/>
          </w:tcPr>
          <w:p w14:paraId="4B813299" w14:textId="114A355C" w:rsidR="005F4B44" w:rsidRDefault="005F4B44" w:rsidP="00800E45">
            <w:pPr>
              <w:pStyle w:val="TableText"/>
              <w:jc w:val="both"/>
              <w:rPr>
                <w:lang w:eastAsia="zh-TW"/>
              </w:rPr>
            </w:pPr>
            <w:r>
              <w:rPr>
                <w:rFonts w:eastAsia="細明體" w:hint="eastAsia"/>
                <w:lang w:eastAsia="zh-TW"/>
              </w:rPr>
              <w:t>風險</w:t>
            </w:r>
            <w:proofErr w:type="gramStart"/>
            <w:r>
              <w:rPr>
                <w:rFonts w:eastAsia="細明體" w:hint="eastAsia"/>
                <w:lang w:eastAsia="zh-TW"/>
              </w:rPr>
              <w:t>匯</w:t>
            </w:r>
            <w:proofErr w:type="gramEnd"/>
            <w:r>
              <w:rPr>
                <w:rFonts w:eastAsia="細明體" w:hint="eastAsia"/>
                <w:lang w:eastAsia="zh-TW"/>
              </w:rPr>
              <w:t>報及</w:t>
            </w:r>
            <w:r>
              <w:rPr>
                <w:rFonts w:eastAsia="細明體"/>
                <w:lang w:eastAsia="zh-TW"/>
              </w:rPr>
              <w:t>/</w:t>
            </w:r>
            <w:r>
              <w:rPr>
                <w:rFonts w:eastAsia="細明體" w:hint="eastAsia"/>
                <w:lang w:eastAsia="zh-TW"/>
              </w:rPr>
              <w:t>或計量系統的範圍及性質。</w:t>
            </w:r>
            <w:r w:rsidR="00800E45" w:rsidDel="00800E45">
              <w:rPr>
                <w:rFonts w:eastAsia="細明體" w:hint="eastAsia"/>
                <w:lang w:eastAsia="zh-TW"/>
              </w:rPr>
              <w:t xml:space="preserve"> </w:t>
            </w:r>
          </w:p>
        </w:tc>
      </w:tr>
    </w:tbl>
    <w:p w14:paraId="0895D7D3" w14:textId="77777777" w:rsidR="005F4B44" w:rsidRDefault="005F4B44">
      <w:pPr>
        <w:rPr>
          <w:lang w:eastAsia="zh-TW"/>
        </w:rPr>
      </w:pPr>
    </w:p>
    <w:p w14:paraId="3B41880D" w14:textId="77777777" w:rsidR="005F4B44" w:rsidRDefault="005F4B44" w:rsidP="00272D6C">
      <w:pPr>
        <w:keepNext/>
        <w:keepLines/>
        <w:tabs>
          <w:tab w:val="left" w:pos="426"/>
        </w:tabs>
        <w:spacing w:after="360"/>
        <w:ind w:leftChars="-283" w:left="-566"/>
        <w:outlineLvl w:val="0"/>
        <w:rPr>
          <w:rFonts w:eastAsiaTheme="minorEastAsia" w:cs="Segoe UI"/>
          <w:color w:val="AA322F"/>
          <w:sz w:val="28"/>
          <w:lang w:eastAsia="zh-TW"/>
        </w:rPr>
        <w:sectPr w:rsidR="005F4B44" w:rsidSect="005F4B44">
          <w:footerReference w:type="default" r:id="rId100"/>
          <w:pgSz w:w="11906" w:h="16838"/>
          <w:pgMar w:top="1440" w:right="1800" w:bottom="1440" w:left="1800" w:header="851" w:footer="992" w:gutter="0"/>
          <w:cols w:space="425"/>
          <w:docGrid w:type="lines" w:linePitch="360"/>
        </w:sectPr>
      </w:pPr>
    </w:p>
    <w:p w14:paraId="04AB4527" w14:textId="52AC9A61" w:rsidR="000D5C9B" w:rsidRPr="005A22C2" w:rsidRDefault="000D5C9B" w:rsidP="000D5C9B">
      <w:pPr>
        <w:pStyle w:val="Heading2"/>
        <w:keepNext w:val="0"/>
        <w:suppressAutoHyphens w:val="0"/>
        <w:spacing w:before="40" w:line="240" w:lineRule="auto"/>
        <w:ind w:left="-454"/>
        <w:rPr>
          <w:rFonts w:ascii="細明體" w:eastAsia="細明體" w:hAnsi="細明體"/>
          <w:b w:val="0"/>
          <w:bCs w:val="0"/>
          <w:sz w:val="22"/>
          <w:szCs w:val="20"/>
          <w:lang w:eastAsia="zh-TW"/>
        </w:rPr>
      </w:pPr>
      <w:r w:rsidRPr="005A22C2">
        <w:rPr>
          <w:rFonts w:ascii="細明體" w:eastAsia="細明體" w:hAnsi="細明體" w:cs="微軟正黑體" w:hint="eastAsia"/>
          <w:b w:val="0"/>
          <w:bCs w:val="0"/>
          <w:sz w:val="22"/>
          <w:szCs w:val="20"/>
          <w:lang w:eastAsia="zh-TW"/>
        </w:rPr>
        <w:t>模版</w:t>
      </w:r>
      <w:r w:rsidRPr="005A22C2">
        <w:rPr>
          <w:rFonts w:ascii="Segoe UI" w:eastAsia="細明體" w:hAnsi="Segoe UI" w:cs="Segoe UI"/>
          <w:b w:val="0"/>
          <w:bCs w:val="0"/>
          <w:sz w:val="22"/>
          <w:szCs w:val="20"/>
          <w:lang w:eastAsia="zh-TW"/>
        </w:rPr>
        <w:t>MR1</w:t>
      </w:r>
      <w:r w:rsidRPr="005A22C2">
        <w:rPr>
          <w:rFonts w:ascii="細明體" w:eastAsia="細明體" w:hAnsi="細明體" w:cs="微軟正黑體" w:hint="eastAsia"/>
          <w:b w:val="0"/>
          <w:bCs w:val="0"/>
          <w:sz w:val="22"/>
          <w:szCs w:val="20"/>
          <w:lang w:eastAsia="zh-TW"/>
        </w:rPr>
        <w:t>：在</w:t>
      </w:r>
      <w:r w:rsidRPr="005A22C2">
        <w:rPr>
          <w:rFonts w:ascii="Segoe UI" w:eastAsia="細明體" w:hAnsi="Segoe UI" w:cs="Segoe UI"/>
          <w:b w:val="0"/>
          <w:bCs w:val="0"/>
          <w:sz w:val="22"/>
          <w:szCs w:val="20"/>
          <w:lang w:eastAsia="zh-TW"/>
        </w:rPr>
        <w:t>STM</w:t>
      </w:r>
      <w:r w:rsidRPr="005A22C2">
        <w:rPr>
          <w:rFonts w:ascii="細明體" w:eastAsia="細明體" w:hAnsi="細明體" w:cs="微軟正黑體" w:hint="eastAsia"/>
          <w:b w:val="0"/>
          <w:bCs w:val="0"/>
          <w:sz w:val="22"/>
          <w:szCs w:val="20"/>
          <w:lang w:eastAsia="zh-TW"/>
        </w:rPr>
        <w:t>計算法下的市場風險</w:t>
      </w:r>
    </w:p>
    <w:tbl>
      <w:tblPr>
        <w:tblW w:w="9106"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946"/>
      </w:tblGrid>
      <w:tr w:rsidR="005A22C2" w:rsidRPr="005A22C2" w14:paraId="1A9EE300" w14:textId="77777777" w:rsidTr="001D6590">
        <w:tc>
          <w:tcPr>
            <w:tcW w:w="2160" w:type="dxa"/>
            <w:tcBorders>
              <w:top w:val="single" w:sz="4" w:space="0" w:color="auto"/>
              <w:left w:val="nil"/>
              <w:bottom w:val="single" w:sz="4" w:space="0" w:color="auto"/>
              <w:right w:val="single" w:sz="4" w:space="0" w:color="auto"/>
            </w:tcBorders>
            <w:hideMark/>
          </w:tcPr>
          <w:p w14:paraId="731EE86D" w14:textId="77777777" w:rsidR="005F4B44" w:rsidRPr="005A22C2" w:rsidRDefault="005F4B44" w:rsidP="005F4B44">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03C794AA" w14:textId="77777777" w:rsidR="005F4B44" w:rsidRPr="005A22C2" w:rsidRDefault="005F4B44" w:rsidP="005F4B44">
            <w:pPr>
              <w:pStyle w:val="TableText"/>
              <w:jc w:val="both"/>
              <w:rPr>
                <w:rFonts w:eastAsia="新細明體" w:cs="Segoe UI"/>
                <w:szCs w:val="17"/>
                <w:lang w:eastAsia="zh-TW"/>
              </w:rPr>
            </w:pPr>
            <w:r w:rsidRPr="005A22C2">
              <w:rPr>
                <w:rFonts w:eastAsia="新細明體" w:cs="Segoe UI"/>
                <w:szCs w:val="17"/>
                <w:lang w:eastAsia="zh-HK"/>
              </w:rPr>
              <w:t>披露使用</w:t>
            </w:r>
            <w:r w:rsidRPr="005A22C2">
              <w:rPr>
                <w:rFonts w:eastAsia="新細明體" w:cs="Segoe UI"/>
                <w:szCs w:val="17"/>
                <w:lang w:eastAsia="zh-TW"/>
              </w:rPr>
              <w:t>STM</w:t>
            </w:r>
            <w:r w:rsidRPr="005A22C2">
              <w:rPr>
                <w:rFonts w:eastAsia="新細明體" w:cs="Segoe UI"/>
                <w:szCs w:val="17"/>
                <w:lang w:eastAsia="zh-HK"/>
              </w:rPr>
              <w:t>計算法計算的市場風險資本要求的組成部分</w:t>
            </w:r>
            <w:r w:rsidRPr="005A22C2">
              <w:rPr>
                <w:rFonts w:eastAsia="新細明體" w:cs="Segoe UI"/>
                <w:szCs w:val="17"/>
                <w:lang w:eastAsia="zh-TW"/>
              </w:rPr>
              <w:t>。</w:t>
            </w:r>
          </w:p>
        </w:tc>
      </w:tr>
      <w:tr w:rsidR="005A22C2" w:rsidRPr="005A22C2" w14:paraId="398F4B3F" w14:textId="77777777" w:rsidTr="001D6590">
        <w:tc>
          <w:tcPr>
            <w:tcW w:w="2160" w:type="dxa"/>
            <w:tcBorders>
              <w:top w:val="single" w:sz="4" w:space="0" w:color="auto"/>
              <w:left w:val="nil"/>
              <w:bottom w:val="single" w:sz="4" w:space="0" w:color="auto"/>
              <w:right w:val="single" w:sz="4" w:space="0" w:color="auto"/>
            </w:tcBorders>
            <w:hideMark/>
          </w:tcPr>
          <w:p w14:paraId="5C77350A" w14:textId="77777777" w:rsidR="005F4B44" w:rsidRPr="005A22C2" w:rsidRDefault="005F4B44" w:rsidP="005F4B44">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643AA9C1" w14:textId="58A7A2A2" w:rsidR="005F4B44" w:rsidRPr="005A22C2" w:rsidRDefault="005F4B44" w:rsidP="00E97516">
            <w:pPr>
              <w:pStyle w:val="TableText"/>
              <w:jc w:val="both"/>
              <w:rPr>
                <w:rFonts w:eastAsia="新細明體" w:cs="Segoe UI"/>
                <w:szCs w:val="17"/>
                <w:lang w:eastAsia="zh-HK"/>
              </w:rPr>
            </w:pPr>
            <w:r w:rsidRPr="005A22C2">
              <w:rPr>
                <w:rFonts w:eastAsia="新細明體" w:cs="Segoe UI"/>
                <w:szCs w:val="17"/>
                <w:lang w:eastAsia="zh-HK"/>
              </w:rPr>
              <w:t>在香港成立為法團並使用</w:t>
            </w:r>
            <w:r w:rsidRPr="005A22C2">
              <w:rPr>
                <w:rFonts w:eastAsia="新細明體" w:cs="Segoe UI"/>
                <w:szCs w:val="17"/>
                <w:lang w:eastAsia="zh-TW"/>
              </w:rPr>
              <w:t>STM</w:t>
            </w:r>
            <w:r w:rsidRPr="005A22C2">
              <w:rPr>
                <w:rFonts w:eastAsia="新細明體" w:cs="Segoe UI"/>
                <w:szCs w:val="17"/>
                <w:lang w:eastAsia="zh-HK"/>
              </w:rPr>
              <w:t>計算法計算</w:t>
            </w:r>
            <w:r w:rsidRPr="005A22C2">
              <w:rPr>
                <w:rFonts w:ascii="新細明體" w:hAnsi="新細明體" w:hint="eastAsia"/>
                <w:szCs w:val="17"/>
                <w:lang w:eastAsia="zh-TW"/>
              </w:rPr>
              <w:t>其</w:t>
            </w:r>
            <w:r w:rsidRPr="005A22C2">
              <w:rPr>
                <w:rFonts w:eastAsia="新細明體" w:cs="Segoe UI"/>
                <w:szCs w:val="17"/>
                <w:lang w:eastAsia="zh-HK"/>
              </w:rPr>
              <w:t>所有或部分市場風險承擔的市場風險資本要求的認可機構</w:t>
            </w:r>
            <w:r w:rsidRPr="005A22C2">
              <w:rPr>
                <w:rFonts w:eastAsia="新細明體" w:cs="Segoe UI"/>
                <w:szCs w:val="17"/>
                <w:lang w:eastAsia="zh-TW"/>
              </w:rPr>
              <w:t>，</w:t>
            </w:r>
            <w:r w:rsidRPr="005A22C2">
              <w:rPr>
                <w:rFonts w:eastAsia="新細明體" w:cs="Segoe UI"/>
                <w:szCs w:val="17"/>
                <w:lang w:eastAsia="zh-HK"/>
              </w:rPr>
              <w:t>均須填報本模版</w:t>
            </w:r>
            <w:r w:rsidRPr="005A22C2">
              <w:rPr>
                <w:rFonts w:eastAsia="新細明體" w:cs="Segoe UI"/>
                <w:szCs w:val="17"/>
                <w:lang w:eastAsia="zh-TW"/>
              </w:rPr>
              <w:t>。</w:t>
            </w:r>
            <w:r w:rsidRPr="005A22C2">
              <w:rPr>
                <w:rFonts w:eastAsia="新細明體" w:cs="Segoe UI"/>
                <w:szCs w:val="17"/>
                <w:lang w:eastAsia="zh-HK"/>
              </w:rPr>
              <w:t>按</w:t>
            </w:r>
            <w:r w:rsidR="00D87344" w:rsidRPr="005A22C2">
              <w:rPr>
                <w:rFonts w:eastAsia="細明體" w:hint="eastAsia"/>
                <w:lang w:eastAsia="zh-TW"/>
              </w:rPr>
              <w:t>《資本規則》</w:t>
            </w:r>
            <w:r w:rsidRPr="005A22C2">
              <w:rPr>
                <w:rFonts w:eastAsia="新細明體" w:cs="Segoe UI"/>
                <w:szCs w:val="17"/>
                <w:lang w:eastAsia="zh-HK"/>
              </w:rPr>
              <w:t>第</w:t>
            </w:r>
            <w:r w:rsidRPr="005A22C2">
              <w:rPr>
                <w:rFonts w:eastAsia="新細明體" w:cs="Segoe UI"/>
                <w:szCs w:val="17"/>
                <w:lang w:eastAsia="zh-TW"/>
              </w:rPr>
              <w:t>18(2)(a)</w:t>
            </w:r>
            <w:r w:rsidRPr="005A22C2">
              <w:rPr>
                <w:rFonts w:eastAsia="新細明體" w:cs="Segoe UI"/>
                <w:szCs w:val="17"/>
                <w:lang w:eastAsia="zh-HK"/>
              </w:rPr>
              <w:t>條獲得金融管理專員批准使用</w:t>
            </w:r>
            <w:r w:rsidRPr="005A22C2">
              <w:rPr>
                <w:rFonts w:eastAsia="新細明體" w:cs="Segoe UI"/>
                <w:szCs w:val="17"/>
                <w:lang w:eastAsia="zh-HK"/>
              </w:rPr>
              <w:t>IMA</w:t>
            </w:r>
            <w:r w:rsidRPr="005A22C2">
              <w:rPr>
                <w:rFonts w:eastAsia="新細明體" w:cs="Segoe UI"/>
                <w:szCs w:val="17"/>
                <w:lang w:eastAsia="zh-HK"/>
              </w:rPr>
              <w:t>計算</w:t>
            </w:r>
            <w:r w:rsidR="00564ECC" w:rsidRPr="005A22C2">
              <w:rPr>
                <w:rFonts w:eastAsia="新細明體" w:cs="Segoe UI" w:hint="eastAsia"/>
                <w:szCs w:val="17"/>
                <w:lang w:eastAsia="zh-HK"/>
              </w:rPr>
              <w:t>其</w:t>
            </w:r>
            <w:r w:rsidRPr="005A22C2">
              <w:rPr>
                <w:rFonts w:eastAsia="新細明體" w:cs="Segoe UI"/>
                <w:szCs w:val="17"/>
                <w:lang w:eastAsia="zh-HK"/>
              </w:rPr>
              <w:t>市場風險資本要求的認可機構</w:t>
            </w:r>
            <w:r w:rsidRPr="005A22C2">
              <w:rPr>
                <w:rFonts w:eastAsia="新細明體" w:cs="Segoe UI"/>
                <w:szCs w:val="17"/>
                <w:lang w:eastAsia="zh-TW"/>
              </w:rPr>
              <w:t>，</w:t>
            </w:r>
            <w:r w:rsidRPr="005A22C2">
              <w:rPr>
                <w:rFonts w:eastAsia="新細明體" w:cs="Segoe UI"/>
                <w:szCs w:val="17"/>
                <w:lang w:eastAsia="zh-HK"/>
              </w:rPr>
              <w:t>必須</w:t>
            </w:r>
            <w:proofErr w:type="gramStart"/>
            <w:r w:rsidRPr="005A22C2">
              <w:rPr>
                <w:rFonts w:eastAsia="新細明體" w:cs="Segoe UI"/>
                <w:szCs w:val="17"/>
                <w:lang w:eastAsia="zh-HK"/>
              </w:rPr>
              <w:t>在本模版</w:t>
            </w:r>
            <w:proofErr w:type="gramEnd"/>
            <w:r w:rsidRPr="005A22C2">
              <w:rPr>
                <w:rFonts w:eastAsia="新細明體" w:cs="Segoe UI"/>
                <w:szCs w:val="17"/>
                <w:lang w:eastAsia="zh-HK"/>
              </w:rPr>
              <w:t>披露</w:t>
            </w:r>
            <w:r w:rsidRPr="005A22C2">
              <w:rPr>
                <w:rFonts w:ascii="新細明體" w:eastAsia="新細明體" w:hAnsi="新細明體" w:cs="Segoe UI" w:hint="eastAsia"/>
                <w:szCs w:val="17"/>
                <w:lang w:eastAsia="zh-TW"/>
              </w:rPr>
              <w:t>其</w:t>
            </w:r>
            <w:r w:rsidR="00E97516" w:rsidRPr="005A22C2">
              <w:rPr>
                <w:rFonts w:ascii="新細明體" w:eastAsia="新細明體" w:hAnsi="新細明體" w:cs="Segoe UI" w:hint="eastAsia"/>
                <w:szCs w:val="17"/>
                <w:lang w:eastAsia="zh-HK"/>
              </w:rPr>
              <w:t>受</w:t>
            </w:r>
            <w:r w:rsidRPr="005A22C2">
              <w:rPr>
                <w:rFonts w:eastAsia="新細明體" w:cs="Segoe UI"/>
                <w:szCs w:val="17"/>
                <w:lang w:eastAsia="zh-TW"/>
              </w:rPr>
              <w:t>STM</w:t>
            </w:r>
            <w:r w:rsidRPr="005A22C2">
              <w:rPr>
                <w:rFonts w:eastAsia="新細明體" w:cs="Segoe UI"/>
                <w:szCs w:val="17"/>
                <w:lang w:eastAsia="zh-HK"/>
              </w:rPr>
              <w:t>計算法</w:t>
            </w:r>
            <w:r w:rsidR="00E97516" w:rsidRPr="005A22C2">
              <w:rPr>
                <w:rFonts w:eastAsia="新細明體" w:cs="Segoe UI" w:hint="eastAsia"/>
                <w:szCs w:val="17"/>
                <w:lang w:eastAsia="zh-HK"/>
              </w:rPr>
              <w:t>規限</w:t>
            </w:r>
            <w:r w:rsidR="00564ECC" w:rsidRPr="005A22C2">
              <w:rPr>
                <w:rFonts w:ascii="新細明體" w:eastAsia="新細明體" w:hAnsi="新細明體" w:cs="Segoe UI" w:hint="eastAsia"/>
                <w:szCs w:val="17"/>
                <w:lang w:eastAsia="zh-HK"/>
              </w:rPr>
              <w:t>的</w:t>
            </w:r>
            <w:r w:rsidR="00564ECC" w:rsidRPr="005A22C2">
              <w:rPr>
                <w:rFonts w:eastAsia="新細明體" w:cs="Segoe UI"/>
                <w:szCs w:val="17"/>
                <w:lang w:eastAsia="zh-HK"/>
              </w:rPr>
              <w:t>風險承擔</w:t>
            </w:r>
            <w:r w:rsidRPr="005A22C2">
              <w:rPr>
                <w:rFonts w:eastAsia="新細明體" w:cs="Segoe UI"/>
                <w:szCs w:val="17"/>
                <w:lang w:eastAsia="zh-HK"/>
              </w:rPr>
              <w:t>的市場風險資本要求</w:t>
            </w:r>
            <w:r w:rsidRPr="005A22C2">
              <w:rPr>
                <w:rFonts w:eastAsia="新細明體" w:cs="Segoe UI"/>
                <w:szCs w:val="17"/>
                <w:lang w:eastAsia="zh-TW"/>
              </w:rPr>
              <w:t>。</w:t>
            </w:r>
          </w:p>
        </w:tc>
      </w:tr>
      <w:tr w:rsidR="005A22C2" w:rsidRPr="005A22C2" w14:paraId="341EB9C2" w14:textId="77777777" w:rsidTr="001D6590">
        <w:tc>
          <w:tcPr>
            <w:tcW w:w="2160" w:type="dxa"/>
            <w:tcBorders>
              <w:top w:val="single" w:sz="4" w:space="0" w:color="auto"/>
              <w:left w:val="nil"/>
              <w:bottom w:val="single" w:sz="4" w:space="0" w:color="auto"/>
              <w:right w:val="single" w:sz="4" w:space="0" w:color="auto"/>
            </w:tcBorders>
            <w:hideMark/>
          </w:tcPr>
          <w:p w14:paraId="49468C93" w14:textId="77777777" w:rsidR="005F4B44" w:rsidRPr="005A22C2" w:rsidRDefault="005F4B44" w:rsidP="005F4B44">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328BB154" w14:textId="77777777" w:rsidR="005F4B44" w:rsidRPr="005A22C2" w:rsidRDefault="005F4B44" w:rsidP="005F4B44">
            <w:pPr>
              <w:pStyle w:val="Default"/>
              <w:jc w:val="both"/>
              <w:rPr>
                <w:color w:val="auto"/>
                <w:sz w:val="17"/>
                <w:szCs w:val="17"/>
              </w:rPr>
            </w:pPr>
            <w:r w:rsidRPr="005A22C2">
              <w:rPr>
                <w:color w:val="auto"/>
                <w:sz w:val="17"/>
                <w:szCs w:val="17"/>
              </w:rPr>
              <w:t>STM</w:t>
            </w:r>
            <w:r w:rsidRPr="005A22C2">
              <w:rPr>
                <w:color w:val="auto"/>
                <w:sz w:val="17"/>
                <w:szCs w:val="17"/>
                <w:lang w:eastAsia="zh-HK"/>
              </w:rPr>
              <w:t>計算法下計算的市場風險資本要求</w:t>
            </w:r>
            <w:r w:rsidRPr="005A22C2">
              <w:rPr>
                <w:color w:val="auto"/>
                <w:sz w:val="17"/>
                <w:szCs w:val="17"/>
              </w:rPr>
              <w:t>。</w:t>
            </w:r>
            <w:r w:rsidRPr="005A22C2">
              <w:rPr>
                <w:color w:val="auto"/>
                <w:sz w:val="17"/>
                <w:szCs w:val="17"/>
              </w:rPr>
              <w:t xml:space="preserve"> </w:t>
            </w:r>
          </w:p>
        </w:tc>
      </w:tr>
      <w:tr w:rsidR="005A22C2" w:rsidRPr="005A22C2" w14:paraId="1667FCA6" w14:textId="77777777" w:rsidTr="001D6590">
        <w:tc>
          <w:tcPr>
            <w:tcW w:w="2160" w:type="dxa"/>
            <w:tcBorders>
              <w:top w:val="single" w:sz="4" w:space="0" w:color="auto"/>
              <w:left w:val="nil"/>
              <w:bottom w:val="single" w:sz="4" w:space="0" w:color="auto"/>
              <w:right w:val="single" w:sz="4" w:space="0" w:color="auto"/>
            </w:tcBorders>
            <w:hideMark/>
          </w:tcPr>
          <w:p w14:paraId="19C923F1" w14:textId="77777777" w:rsidR="005F4B44" w:rsidRPr="005A22C2" w:rsidRDefault="005F4B44" w:rsidP="005F4B44">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54748D92" w14:textId="77777777" w:rsidR="005F4B44" w:rsidRPr="005A22C2" w:rsidRDefault="005F4B44" w:rsidP="005F4B44">
            <w:pPr>
              <w:pStyle w:val="TableText"/>
              <w:jc w:val="both"/>
              <w:rPr>
                <w:rFonts w:eastAsia="新細明體" w:cs="Segoe UI"/>
                <w:szCs w:val="17"/>
                <w:lang w:eastAsia="en-GB"/>
              </w:rPr>
            </w:pPr>
            <w:proofErr w:type="spellStart"/>
            <w:r w:rsidRPr="005A22C2">
              <w:rPr>
                <w:rFonts w:eastAsia="新細明體" w:cs="Segoe UI"/>
                <w:szCs w:val="17"/>
                <w:lang w:eastAsia="en-GB"/>
              </w:rPr>
              <w:t>每半年一次</w:t>
            </w:r>
            <w:proofErr w:type="spellEnd"/>
            <w:r w:rsidRPr="005A22C2">
              <w:rPr>
                <w:rFonts w:eastAsia="新細明體" w:cs="Segoe UI"/>
                <w:szCs w:val="17"/>
                <w:lang w:eastAsia="en-GB"/>
              </w:rPr>
              <w:t>。</w:t>
            </w:r>
          </w:p>
        </w:tc>
      </w:tr>
      <w:tr w:rsidR="005A22C2" w:rsidRPr="005A22C2" w14:paraId="0D106EB9" w14:textId="77777777" w:rsidTr="001D6590">
        <w:tc>
          <w:tcPr>
            <w:tcW w:w="2160" w:type="dxa"/>
            <w:tcBorders>
              <w:top w:val="single" w:sz="4" w:space="0" w:color="auto"/>
              <w:left w:val="nil"/>
              <w:bottom w:val="single" w:sz="4" w:space="0" w:color="auto"/>
              <w:right w:val="single" w:sz="4" w:space="0" w:color="auto"/>
            </w:tcBorders>
            <w:hideMark/>
          </w:tcPr>
          <w:p w14:paraId="2E542148" w14:textId="77777777" w:rsidR="005F4B44" w:rsidRPr="005A22C2" w:rsidRDefault="005F4B44" w:rsidP="005F4B44">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6946" w:type="dxa"/>
            <w:tcBorders>
              <w:top w:val="single" w:sz="4" w:space="0" w:color="auto"/>
              <w:left w:val="single" w:sz="4" w:space="0" w:color="auto"/>
              <w:bottom w:val="single" w:sz="4" w:space="0" w:color="auto"/>
              <w:right w:val="nil"/>
            </w:tcBorders>
            <w:hideMark/>
          </w:tcPr>
          <w:p w14:paraId="6C8D8ABD" w14:textId="77777777" w:rsidR="005F4B44" w:rsidRPr="005A22C2" w:rsidRDefault="005F4B44" w:rsidP="005F4B44">
            <w:pPr>
              <w:pStyle w:val="TableText"/>
              <w:jc w:val="both"/>
              <w:rPr>
                <w:rFonts w:eastAsia="新細明體" w:cs="Segoe UI"/>
                <w:noProof/>
                <w:szCs w:val="17"/>
                <w:lang w:eastAsia="en-GB"/>
              </w:rPr>
            </w:pPr>
            <w:proofErr w:type="spellStart"/>
            <w:r w:rsidRPr="005A22C2">
              <w:rPr>
                <w:rFonts w:eastAsia="新細明體" w:cs="Segoe UI"/>
                <w:szCs w:val="17"/>
                <w:lang w:eastAsia="en-GB"/>
              </w:rPr>
              <w:t>固定</w:t>
            </w:r>
            <w:proofErr w:type="spellEnd"/>
            <w:r w:rsidRPr="005A22C2">
              <w:rPr>
                <w:rFonts w:eastAsia="新細明體" w:cs="Segoe UI"/>
                <w:szCs w:val="17"/>
                <w:lang w:eastAsia="en-GB"/>
              </w:rPr>
              <w:t>。</w:t>
            </w:r>
            <w:r w:rsidRPr="005A22C2">
              <w:rPr>
                <w:rFonts w:eastAsia="新細明體" w:cs="Segoe UI"/>
                <w:szCs w:val="17"/>
                <w:lang w:eastAsia="en-GB"/>
              </w:rPr>
              <w:t xml:space="preserve"> </w:t>
            </w:r>
          </w:p>
        </w:tc>
      </w:tr>
      <w:tr w:rsidR="005A22C2" w:rsidRPr="005A22C2" w14:paraId="00C7E52F" w14:textId="77777777" w:rsidTr="001D6590">
        <w:tc>
          <w:tcPr>
            <w:tcW w:w="2160" w:type="dxa"/>
            <w:tcBorders>
              <w:top w:val="single" w:sz="4" w:space="0" w:color="auto"/>
              <w:left w:val="nil"/>
              <w:bottom w:val="single" w:sz="4" w:space="0" w:color="auto"/>
              <w:right w:val="single" w:sz="4" w:space="0" w:color="auto"/>
            </w:tcBorders>
            <w:hideMark/>
          </w:tcPr>
          <w:p w14:paraId="4A745EA3" w14:textId="77777777" w:rsidR="005F4B44" w:rsidRPr="005A22C2" w:rsidRDefault="005F4B44" w:rsidP="005F4B44">
            <w:pPr>
              <w:spacing w:before="40" w:after="40"/>
              <w:rPr>
                <w:rFonts w:eastAsia="新細明體" w:cs="Segoe UI"/>
                <w:b/>
                <w:sz w:val="17"/>
                <w:lang w:eastAsia="en-GB"/>
              </w:rPr>
            </w:pPr>
            <w:proofErr w:type="spellStart"/>
            <w:r w:rsidRPr="005A22C2">
              <w:rPr>
                <w:rFonts w:eastAsia="新細明體" w:cs="Segoe UI"/>
                <w:b/>
                <w:sz w:val="17"/>
                <w:szCs w:val="17"/>
                <w:lang w:eastAsia="en-GB"/>
              </w:rPr>
              <w:t>附加說明</w:t>
            </w:r>
            <w:proofErr w:type="spellEnd"/>
            <w:r w:rsidRPr="005A22C2">
              <w:rPr>
                <w:rFonts w:eastAsia="新細明體" w:cs="Segoe UI"/>
                <w:b/>
                <w:sz w:val="17"/>
                <w:szCs w:val="17"/>
                <w:lang w:eastAsia="en-GB"/>
              </w:rPr>
              <w:t>：</w:t>
            </w:r>
          </w:p>
        </w:tc>
        <w:tc>
          <w:tcPr>
            <w:tcW w:w="6946" w:type="dxa"/>
            <w:tcBorders>
              <w:top w:val="single" w:sz="4" w:space="0" w:color="auto"/>
              <w:left w:val="single" w:sz="4" w:space="0" w:color="auto"/>
              <w:bottom w:val="single" w:sz="4" w:space="0" w:color="auto"/>
              <w:right w:val="nil"/>
            </w:tcBorders>
            <w:hideMark/>
          </w:tcPr>
          <w:p w14:paraId="6D5F6C3A" w14:textId="5DB5061C" w:rsidR="005F4B44" w:rsidRPr="005A22C2" w:rsidRDefault="005F4B44" w:rsidP="005F4B44">
            <w:pPr>
              <w:pStyle w:val="Default"/>
              <w:jc w:val="both"/>
              <w:rPr>
                <w:color w:val="auto"/>
                <w:sz w:val="17"/>
                <w:szCs w:val="17"/>
                <w:lang w:eastAsia="zh-HK"/>
              </w:rPr>
            </w:pPr>
            <w:r w:rsidRPr="005A22C2">
              <w:rPr>
                <w:color w:val="auto"/>
                <w:sz w:val="17"/>
                <w:szCs w:val="17"/>
              </w:rPr>
              <w:t>認可機構應以敘述評</w:t>
            </w:r>
            <w:proofErr w:type="gramStart"/>
            <w:r w:rsidRPr="005A22C2">
              <w:rPr>
                <w:color w:val="auto"/>
                <w:sz w:val="17"/>
                <w:szCs w:val="17"/>
              </w:rPr>
              <w:t>註</w:t>
            </w:r>
            <w:proofErr w:type="gramEnd"/>
            <w:r w:rsidRPr="005A22C2">
              <w:rPr>
                <w:color w:val="auto"/>
                <w:sz w:val="17"/>
                <w:szCs w:val="17"/>
              </w:rPr>
              <w:t>闡明</w:t>
            </w:r>
            <w:r w:rsidRPr="005A22C2">
              <w:rPr>
                <w:color w:val="auto"/>
                <w:sz w:val="17"/>
                <w:szCs w:val="17"/>
                <w:lang w:eastAsia="zh-HK"/>
              </w:rPr>
              <w:t>現行</w:t>
            </w:r>
            <w:r w:rsidRPr="005A22C2">
              <w:rPr>
                <w:color w:val="auto"/>
                <w:sz w:val="17"/>
                <w:szCs w:val="17"/>
              </w:rPr>
              <w:t>報告期內任何重大</w:t>
            </w:r>
            <w:r w:rsidRPr="005A22C2">
              <w:rPr>
                <w:rFonts w:hint="eastAsia"/>
                <w:color w:val="auto"/>
                <w:sz w:val="17"/>
                <w:szCs w:val="17"/>
                <w:lang w:eastAsia="zh-HK"/>
              </w:rPr>
              <w:t>改變</w:t>
            </w:r>
            <w:r w:rsidRPr="005A22C2">
              <w:rPr>
                <w:color w:val="auto"/>
                <w:sz w:val="17"/>
                <w:szCs w:val="17"/>
              </w:rPr>
              <w:t>及引致該等</w:t>
            </w:r>
            <w:r w:rsidRPr="005A22C2">
              <w:rPr>
                <w:rFonts w:hint="eastAsia"/>
                <w:color w:val="auto"/>
                <w:sz w:val="17"/>
                <w:szCs w:val="17"/>
                <w:lang w:eastAsia="zh-HK"/>
              </w:rPr>
              <w:t>改變</w:t>
            </w:r>
            <w:r w:rsidRPr="005A22C2">
              <w:rPr>
                <w:color w:val="auto"/>
                <w:sz w:val="17"/>
                <w:szCs w:val="17"/>
              </w:rPr>
              <w:t>的主要驅動因素，以</w:t>
            </w:r>
            <w:proofErr w:type="gramStart"/>
            <w:r w:rsidRPr="005A22C2">
              <w:rPr>
                <w:color w:val="auto"/>
                <w:sz w:val="17"/>
                <w:szCs w:val="17"/>
              </w:rPr>
              <w:t>補充本模版</w:t>
            </w:r>
            <w:proofErr w:type="gramEnd"/>
            <w:r w:rsidRPr="005A22C2">
              <w:rPr>
                <w:color w:val="auto"/>
                <w:sz w:val="17"/>
                <w:szCs w:val="17"/>
              </w:rPr>
              <w:t>。</w:t>
            </w:r>
            <w:r w:rsidRPr="005A22C2">
              <w:rPr>
                <w:rFonts w:hint="eastAsia"/>
                <w:color w:val="auto"/>
                <w:sz w:val="17"/>
                <w:szCs w:val="17"/>
              </w:rPr>
              <w:t>尤其</w:t>
            </w:r>
            <w:r w:rsidRPr="005A22C2">
              <w:rPr>
                <w:color w:val="auto"/>
                <w:sz w:val="17"/>
                <w:szCs w:val="17"/>
                <w:lang w:eastAsia="zh-HK"/>
              </w:rPr>
              <w:t>該</w:t>
            </w:r>
            <w:r w:rsidRPr="005A22C2">
              <w:rPr>
                <w:color w:val="auto"/>
                <w:sz w:val="17"/>
                <w:szCs w:val="17"/>
              </w:rPr>
              <w:t>敘述</w:t>
            </w:r>
            <w:r w:rsidRPr="005A22C2">
              <w:rPr>
                <w:color w:val="auto"/>
                <w:sz w:val="17"/>
                <w:szCs w:val="17"/>
                <w:lang w:eastAsia="zh-HK"/>
              </w:rPr>
              <w:t>應載明適用範圍的</w:t>
            </w:r>
            <w:r w:rsidRPr="005A22C2">
              <w:rPr>
                <w:rFonts w:hint="eastAsia"/>
                <w:color w:val="auto"/>
                <w:sz w:val="17"/>
                <w:szCs w:val="17"/>
                <w:lang w:eastAsia="zh-HK"/>
              </w:rPr>
              <w:t>改變</w:t>
            </w:r>
            <w:r w:rsidRPr="005A22C2">
              <w:rPr>
                <w:color w:val="auto"/>
                <w:sz w:val="17"/>
                <w:szCs w:val="17"/>
              </w:rPr>
              <w:t>，</w:t>
            </w:r>
            <w:r w:rsidRPr="005A22C2">
              <w:rPr>
                <w:color w:val="auto"/>
                <w:sz w:val="17"/>
                <w:szCs w:val="17"/>
                <w:lang w:eastAsia="zh-HK"/>
              </w:rPr>
              <w:t>包括使用</w:t>
            </w:r>
            <w:r w:rsidRPr="005A22C2">
              <w:rPr>
                <w:color w:val="auto"/>
                <w:sz w:val="17"/>
                <w:szCs w:val="17"/>
              </w:rPr>
              <w:t>STM</w:t>
            </w:r>
            <w:r w:rsidRPr="005A22C2">
              <w:rPr>
                <w:color w:val="auto"/>
                <w:sz w:val="17"/>
                <w:szCs w:val="17"/>
                <w:lang w:eastAsia="zh-HK"/>
              </w:rPr>
              <w:t>計算法計算市場風險資本要求的交易</w:t>
            </w:r>
            <w:r w:rsidRPr="005A22C2">
              <w:rPr>
                <w:rFonts w:ascii="新細明體" w:hAnsi="新細明體" w:hint="eastAsia"/>
                <w:color w:val="auto"/>
                <w:sz w:val="17"/>
                <w:szCs w:val="17"/>
              </w:rPr>
              <w:t>桌所</w:t>
            </w:r>
            <w:r w:rsidRPr="005A22C2">
              <w:rPr>
                <w:rFonts w:hint="eastAsia"/>
                <w:color w:val="auto"/>
                <w:sz w:val="17"/>
                <w:szCs w:val="17"/>
                <w:lang w:eastAsia="zh-HK"/>
              </w:rPr>
              <w:t>引起</w:t>
            </w:r>
            <w:r w:rsidRPr="005A22C2">
              <w:rPr>
                <w:color w:val="auto"/>
                <w:sz w:val="17"/>
                <w:szCs w:val="17"/>
                <w:lang w:eastAsia="zh-HK"/>
              </w:rPr>
              <w:t>的</w:t>
            </w:r>
            <w:r w:rsidRPr="005A22C2">
              <w:rPr>
                <w:rFonts w:hint="eastAsia"/>
                <w:color w:val="auto"/>
                <w:sz w:val="17"/>
                <w:szCs w:val="17"/>
                <w:lang w:eastAsia="zh-HK"/>
              </w:rPr>
              <w:t>改變</w:t>
            </w:r>
            <w:r w:rsidRPr="005A22C2">
              <w:rPr>
                <w:color w:val="auto"/>
                <w:sz w:val="17"/>
                <w:szCs w:val="17"/>
              </w:rPr>
              <w:t>。</w:t>
            </w:r>
          </w:p>
        </w:tc>
      </w:tr>
      <w:tr w:rsidR="005A22C2" w:rsidRPr="005A22C2" w14:paraId="6E3A2D75" w14:textId="77777777" w:rsidTr="001D6590">
        <w:tc>
          <w:tcPr>
            <w:tcW w:w="2160" w:type="dxa"/>
            <w:tcBorders>
              <w:top w:val="single" w:sz="4" w:space="0" w:color="auto"/>
              <w:left w:val="nil"/>
              <w:bottom w:val="single" w:sz="4" w:space="0" w:color="auto"/>
              <w:right w:val="single" w:sz="4" w:space="0" w:color="auto"/>
            </w:tcBorders>
            <w:hideMark/>
          </w:tcPr>
          <w:p w14:paraId="0FAFF626" w14:textId="77777777" w:rsidR="005F4B44" w:rsidRPr="005A22C2" w:rsidRDefault="005F4B44" w:rsidP="005F4B44">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6946" w:type="dxa"/>
            <w:tcBorders>
              <w:top w:val="single" w:sz="4" w:space="0" w:color="auto"/>
              <w:left w:val="single" w:sz="4" w:space="0" w:color="auto"/>
              <w:bottom w:val="single" w:sz="4" w:space="0" w:color="auto"/>
              <w:right w:val="nil"/>
            </w:tcBorders>
          </w:tcPr>
          <w:p w14:paraId="6C82BA83" w14:textId="77777777" w:rsidR="005F4B44" w:rsidRPr="005A22C2" w:rsidRDefault="005F4B44" w:rsidP="005F4B44">
            <w:pPr>
              <w:pStyle w:val="TableText"/>
              <w:jc w:val="both"/>
              <w:rPr>
                <w:rFonts w:eastAsia="新細明體" w:cs="Segoe UI"/>
                <w:lang w:eastAsia="en-GB"/>
              </w:rPr>
            </w:pPr>
            <w:r w:rsidRPr="005A22C2">
              <w:rPr>
                <w:rFonts w:eastAsia="新細明體" w:cs="Segoe UI"/>
                <w:lang w:eastAsia="en-GB"/>
              </w:rPr>
              <w:t>16ZL</w:t>
            </w:r>
          </w:p>
        </w:tc>
      </w:tr>
    </w:tbl>
    <w:p w14:paraId="48EEDF75" w14:textId="77777777" w:rsidR="005F4B44" w:rsidRPr="005A22C2" w:rsidRDefault="005F4B44" w:rsidP="005F4B44">
      <w:pPr>
        <w:rPr>
          <w:rFonts w:eastAsia="新細明體" w:cs="Segoe UI"/>
          <w:sz w:val="22"/>
        </w:rPr>
      </w:pPr>
    </w:p>
    <w:tbl>
      <w:tblPr>
        <w:tblW w:w="9176" w:type="dxa"/>
        <w:tblInd w:w="-4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A0" w:firstRow="1" w:lastRow="0" w:firstColumn="1" w:lastColumn="0" w:noHBand="0" w:noVBand="0"/>
      </w:tblPr>
      <w:tblGrid>
        <w:gridCol w:w="567"/>
        <w:gridCol w:w="5543"/>
        <w:gridCol w:w="3066"/>
      </w:tblGrid>
      <w:tr w:rsidR="005A22C2" w:rsidRPr="005A22C2" w14:paraId="0DBD79AE" w14:textId="77777777" w:rsidTr="005F4B44">
        <w:trPr>
          <w:trHeight w:val="98"/>
          <w:tblHeader/>
        </w:trPr>
        <w:tc>
          <w:tcPr>
            <w:tcW w:w="567" w:type="dxa"/>
            <w:tcBorders>
              <w:top w:val="nil"/>
              <w:left w:val="nil"/>
              <w:bottom w:val="nil"/>
              <w:right w:val="nil"/>
            </w:tcBorders>
          </w:tcPr>
          <w:p w14:paraId="0EFF7262" w14:textId="77777777" w:rsidR="005F4B44" w:rsidRPr="005A22C2" w:rsidRDefault="005F4B44" w:rsidP="005F4B44">
            <w:pPr>
              <w:pStyle w:val="TableText"/>
              <w:snapToGrid w:val="0"/>
              <w:rPr>
                <w:rFonts w:eastAsia="新細明體" w:cs="Segoe UI"/>
                <w:lang w:eastAsia="fr-FR"/>
              </w:rPr>
            </w:pPr>
          </w:p>
        </w:tc>
        <w:tc>
          <w:tcPr>
            <w:tcW w:w="5543" w:type="dxa"/>
            <w:tcBorders>
              <w:top w:val="nil"/>
              <w:left w:val="nil"/>
              <w:bottom w:val="nil"/>
              <w:right w:val="single" w:sz="4" w:space="0" w:color="auto"/>
            </w:tcBorders>
            <w:noWrap/>
            <w:vAlign w:val="bottom"/>
          </w:tcPr>
          <w:p w14:paraId="78D3DC22" w14:textId="77777777" w:rsidR="005F4B44" w:rsidRPr="005A22C2" w:rsidRDefault="005F4B44" w:rsidP="005F4B44">
            <w:pPr>
              <w:pStyle w:val="TableText"/>
              <w:snapToGrid w:val="0"/>
              <w:rPr>
                <w:rFonts w:eastAsia="新細明體" w:cs="Segoe UI"/>
                <w:lang w:eastAsia="fr-FR"/>
              </w:rPr>
            </w:pPr>
          </w:p>
        </w:tc>
        <w:tc>
          <w:tcPr>
            <w:tcW w:w="3066" w:type="dxa"/>
            <w:tcBorders>
              <w:top w:val="single" w:sz="4" w:space="0" w:color="auto"/>
              <w:left w:val="single" w:sz="4" w:space="0" w:color="auto"/>
              <w:bottom w:val="single" w:sz="4" w:space="0" w:color="auto"/>
              <w:right w:val="single" w:sz="4" w:space="0" w:color="auto"/>
            </w:tcBorders>
            <w:vAlign w:val="center"/>
            <w:hideMark/>
          </w:tcPr>
          <w:p w14:paraId="72B10FF1" w14:textId="77777777" w:rsidR="005F4B44" w:rsidRPr="005A22C2" w:rsidRDefault="005F4B44" w:rsidP="005F4B44">
            <w:pPr>
              <w:pStyle w:val="TableText"/>
              <w:snapToGrid w:val="0"/>
              <w:jc w:val="center"/>
              <w:rPr>
                <w:rFonts w:eastAsia="新細明體" w:cs="Segoe UI"/>
                <w:lang w:eastAsia="fr-FR"/>
              </w:rPr>
            </w:pPr>
            <w:r w:rsidRPr="005A22C2">
              <w:rPr>
                <w:rFonts w:eastAsia="新細明體" w:cs="Segoe UI"/>
                <w:lang w:eastAsia="fr-FR"/>
              </w:rPr>
              <w:t>(a)</w:t>
            </w:r>
          </w:p>
        </w:tc>
      </w:tr>
      <w:tr w:rsidR="005A22C2" w:rsidRPr="005A22C2" w14:paraId="37BE55D1" w14:textId="77777777" w:rsidTr="005F4B44">
        <w:trPr>
          <w:trHeight w:val="215"/>
          <w:tblHeader/>
        </w:trPr>
        <w:tc>
          <w:tcPr>
            <w:tcW w:w="567" w:type="dxa"/>
            <w:tcBorders>
              <w:top w:val="nil"/>
              <w:left w:val="nil"/>
              <w:bottom w:val="single" w:sz="4" w:space="0" w:color="auto"/>
              <w:right w:val="nil"/>
            </w:tcBorders>
          </w:tcPr>
          <w:p w14:paraId="38F1B5B1" w14:textId="77777777" w:rsidR="005F4B44" w:rsidRPr="005A22C2" w:rsidRDefault="005F4B44" w:rsidP="005F4B44">
            <w:pPr>
              <w:pStyle w:val="TableText"/>
              <w:snapToGrid w:val="0"/>
              <w:rPr>
                <w:rFonts w:eastAsia="新細明體" w:cs="Segoe UI"/>
                <w:lang w:eastAsia="fr-FR"/>
              </w:rPr>
            </w:pPr>
          </w:p>
        </w:tc>
        <w:tc>
          <w:tcPr>
            <w:tcW w:w="5543" w:type="dxa"/>
            <w:tcBorders>
              <w:top w:val="nil"/>
              <w:left w:val="nil"/>
              <w:bottom w:val="single" w:sz="4" w:space="0" w:color="auto"/>
              <w:right w:val="single" w:sz="4" w:space="0" w:color="auto"/>
            </w:tcBorders>
            <w:vAlign w:val="center"/>
          </w:tcPr>
          <w:p w14:paraId="2BD42AF5" w14:textId="77777777" w:rsidR="005F4B44" w:rsidRPr="005A22C2" w:rsidRDefault="005F4B44" w:rsidP="005F4B44">
            <w:pPr>
              <w:pStyle w:val="TableText"/>
              <w:snapToGrid w:val="0"/>
              <w:rPr>
                <w:rFonts w:eastAsia="新細明體" w:cs="Segoe UI"/>
                <w:lang w:eastAsia="fr-FR"/>
              </w:rPr>
            </w:pPr>
          </w:p>
        </w:tc>
        <w:tc>
          <w:tcPr>
            <w:tcW w:w="3066" w:type="dxa"/>
            <w:tcBorders>
              <w:top w:val="single" w:sz="4" w:space="0" w:color="auto"/>
              <w:left w:val="single" w:sz="4" w:space="0" w:color="auto"/>
              <w:bottom w:val="single" w:sz="4" w:space="0" w:color="auto"/>
              <w:right w:val="single" w:sz="4" w:space="0" w:color="auto"/>
            </w:tcBorders>
            <w:vAlign w:val="center"/>
            <w:hideMark/>
          </w:tcPr>
          <w:p w14:paraId="0580C2D0" w14:textId="43BC8849" w:rsidR="005F4B44" w:rsidRPr="005A22C2" w:rsidRDefault="005F4B44" w:rsidP="005F4B44">
            <w:pPr>
              <w:pStyle w:val="TableText"/>
              <w:snapToGrid w:val="0"/>
              <w:jc w:val="center"/>
              <w:rPr>
                <w:rFonts w:eastAsia="新細明體" w:cs="Segoe UI"/>
                <w:lang w:eastAsia="fr-FR"/>
              </w:rPr>
            </w:pPr>
            <w:r w:rsidRPr="005A22C2">
              <w:rPr>
                <w:rFonts w:eastAsia="新細明體" w:cs="Segoe UI"/>
                <w:lang w:eastAsia="fr-FR"/>
              </w:rPr>
              <w:t>STM</w:t>
            </w:r>
            <w:r w:rsidRPr="005A22C2">
              <w:rPr>
                <w:rFonts w:eastAsia="新細明體" w:cs="Segoe UI"/>
                <w:lang w:eastAsia="zh-HK"/>
              </w:rPr>
              <w:t>計算法下的市場風險資本要求</w:t>
            </w:r>
          </w:p>
        </w:tc>
      </w:tr>
      <w:tr w:rsidR="005A22C2" w:rsidRPr="005A22C2" w14:paraId="31C9D8FF" w14:textId="77777777" w:rsidTr="005F4B44">
        <w:trPr>
          <w:trHeight w:val="249"/>
        </w:trPr>
        <w:tc>
          <w:tcPr>
            <w:tcW w:w="567" w:type="dxa"/>
            <w:tcBorders>
              <w:top w:val="single" w:sz="4" w:space="0" w:color="auto"/>
              <w:left w:val="nil"/>
              <w:bottom w:val="single" w:sz="4" w:space="0" w:color="BFBFBF"/>
              <w:right w:val="single" w:sz="4" w:space="0" w:color="auto"/>
            </w:tcBorders>
            <w:hideMark/>
          </w:tcPr>
          <w:p w14:paraId="1BEF0BDE"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1</w:t>
            </w:r>
          </w:p>
        </w:tc>
        <w:tc>
          <w:tcPr>
            <w:tcW w:w="5543" w:type="dxa"/>
            <w:tcBorders>
              <w:top w:val="single" w:sz="4" w:space="0" w:color="auto"/>
              <w:left w:val="single" w:sz="4" w:space="0" w:color="auto"/>
              <w:bottom w:val="single" w:sz="4" w:space="0" w:color="BFBFBF"/>
              <w:right w:val="single" w:sz="4" w:space="0" w:color="auto"/>
            </w:tcBorders>
            <w:hideMark/>
          </w:tcPr>
          <w:p w14:paraId="3CA70E6D" w14:textId="77777777" w:rsidR="005F4B44" w:rsidRPr="005A22C2" w:rsidRDefault="005F4B44" w:rsidP="005F4B44">
            <w:pPr>
              <w:pStyle w:val="TableText"/>
              <w:snapToGrid w:val="0"/>
              <w:rPr>
                <w:rFonts w:eastAsia="新細明體" w:cs="Segoe UI"/>
                <w:noProof/>
                <w:lang w:eastAsia="fr-FR"/>
              </w:rPr>
            </w:pPr>
            <w:r w:rsidRPr="005A22C2">
              <w:rPr>
                <w:rFonts w:eastAsia="新細明體" w:cs="Segoe UI"/>
                <w:noProof/>
                <w:lang w:eastAsia="zh-HK"/>
              </w:rPr>
              <w:t>一般利率風險</w:t>
            </w:r>
          </w:p>
        </w:tc>
        <w:tc>
          <w:tcPr>
            <w:tcW w:w="3066" w:type="dxa"/>
            <w:tcBorders>
              <w:top w:val="single" w:sz="4" w:space="0" w:color="auto"/>
              <w:left w:val="single" w:sz="4" w:space="0" w:color="auto"/>
              <w:bottom w:val="single" w:sz="4" w:space="0" w:color="BFBFBF"/>
              <w:right w:val="single" w:sz="4" w:space="0" w:color="auto"/>
            </w:tcBorders>
            <w:noWrap/>
            <w:vAlign w:val="bottom"/>
            <w:hideMark/>
          </w:tcPr>
          <w:p w14:paraId="6FE15013"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 </w:t>
            </w:r>
          </w:p>
        </w:tc>
      </w:tr>
      <w:tr w:rsidR="005A22C2" w:rsidRPr="005A22C2" w14:paraId="2AC09A69"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27967E4A"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2</w:t>
            </w:r>
          </w:p>
        </w:tc>
        <w:tc>
          <w:tcPr>
            <w:tcW w:w="5543" w:type="dxa"/>
            <w:tcBorders>
              <w:top w:val="single" w:sz="4" w:space="0" w:color="BFBFBF"/>
              <w:left w:val="single" w:sz="4" w:space="0" w:color="auto"/>
              <w:bottom w:val="single" w:sz="4" w:space="0" w:color="BFBFBF"/>
              <w:right w:val="single" w:sz="4" w:space="0" w:color="auto"/>
            </w:tcBorders>
            <w:hideMark/>
          </w:tcPr>
          <w:p w14:paraId="53779394" w14:textId="77777777" w:rsidR="005F4B44" w:rsidRPr="005A22C2" w:rsidRDefault="005F4B44" w:rsidP="005F4B44">
            <w:pPr>
              <w:pStyle w:val="TableText"/>
              <w:snapToGrid w:val="0"/>
              <w:rPr>
                <w:rFonts w:eastAsia="新細明體" w:cs="Segoe UI"/>
                <w:noProof/>
                <w:lang w:eastAsia="fr-FR"/>
              </w:rPr>
            </w:pPr>
            <w:r w:rsidRPr="005A22C2">
              <w:rPr>
                <w:rFonts w:eastAsia="新細明體" w:cs="Segoe UI"/>
                <w:noProof/>
                <w:lang w:eastAsia="zh-HK"/>
              </w:rPr>
              <w:t>股權風險</w:t>
            </w:r>
          </w:p>
        </w:tc>
        <w:tc>
          <w:tcPr>
            <w:tcW w:w="3066" w:type="dxa"/>
            <w:tcBorders>
              <w:top w:val="single" w:sz="4" w:space="0" w:color="BFBFBF"/>
              <w:left w:val="single" w:sz="4" w:space="0" w:color="auto"/>
              <w:bottom w:val="single" w:sz="4" w:space="0" w:color="BFBFBF"/>
              <w:right w:val="single" w:sz="4" w:space="0" w:color="auto"/>
            </w:tcBorders>
            <w:noWrap/>
            <w:vAlign w:val="bottom"/>
            <w:hideMark/>
          </w:tcPr>
          <w:p w14:paraId="2D658589"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 </w:t>
            </w:r>
          </w:p>
        </w:tc>
      </w:tr>
      <w:tr w:rsidR="005A22C2" w:rsidRPr="005A22C2" w14:paraId="741327DE"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39F0661E"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3</w:t>
            </w:r>
          </w:p>
        </w:tc>
        <w:tc>
          <w:tcPr>
            <w:tcW w:w="5543" w:type="dxa"/>
            <w:tcBorders>
              <w:top w:val="single" w:sz="4" w:space="0" w:color="BFBFBF"/>
              <w:left w:val="single" w:sz="4" w:space="0" w:color="auto"/>
              <w:bottom w:val="single" w:sz="4" w:space="0" w:color="BFBFBF"/>
              <w:right w:val="single" w:sz="4" w:space="0" w:color="auto"/>
            </w:tcBorders>
            <w:hideMark/>
          </w:tcPr>
          <w:p w14:paraId="568A5AAC" w14:textId="77777777" w:rsidR="005F4B44" w:rsidRPr="005A22C2" w:rsidRDefault="005F4B44" w:rsidP="005F4B44">
            <w:pPr>
              <w:pStyle w:val="TableText"/>
              <w:snapToGrid w:val="0"/>
              <w:rPr>
                <w:rFonts w:eastAsia="新細明體" w:cs="Segoe UI"/>
                <w:noProof/>
                <w:lang w:eastAsia="fr-FR"/>
              </w:rPr>
            </w:pPr>
            <w:r w:rsidRPr="005A22C2">
              <w:rPr>
                <w:rFonts w:eastAsia="新細明體" w:cs="Segoe UI"/>
                <w:noProof/>
                <w:lang w:eastAsia="zh-HK"/>
              </w:rPr>
              <w:t>商品風險</w:t>
            </w:r>
          </w:p>
        </w:tc>
        <w:tc>
          <w:tcPr>
            <w:tcW w:w="3066" w:type="dxa"/>
            <w:tcBorders>
              <w:top w:val="single" w:sz="4" w:space="0" w:color="BFBFBF"/>
              <w:left w:val="single" w:sz="4" w:space="0" w:color="auto"/>
              <w:bottom w:val="single" w:sz="4" w:space="0" w:color="BFBFBF"/>
              <w:right w:val="single" w:sz="4" w:space="0" w:color="auto"/>
            </w:tcBorders>
            <w:noWrap/>
            <w:vAlign w:val="bottom"/>
            <w:hideMark/>
          </w:tcPr>
          <w:p w14:paraId="14C56728"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 </w:t>
            </w:r>
          </w:p>
        </w:tc>
      </w:tr>
      <w:tr w:rsidR="005A22C2" w:rsidRPr="005A22C2" w14:paraId="153B31BB"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1DED74A6"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4</w:t>
            </w:r>
          </w:p>
        </w:tc>
        <w:tc>
          <w:tcPr>
            <w:tcW w:w="5543" w:type="dxa"/>
            <w:tcBorders>
              <w:top w:val="single" w:sz="4" w:space="0" w:color="BFBFBF"/>
              <w:left w:val="single" w:sz="4" w:space="0" w:color="auto"/>
              <w:bottom w:val="single" w:sz="4" w:space="0" w:color="BFBFBF"/>
              <w:right w:val="single" w:sz="4" w:space="0" w:color="auto"/>
            </w:tcBorders>
            <w:hideMark/>
          </w:tcPr>
          <w:p w14:paraId="39A0C7AA" w14:textId="77777777" w:rsidR="005F4B44" w:rsidRPr="005A22C2" w:rsidRDefault="005F4B44" w:rsidP="005F4B44">
            <w:pPr>
              <w:pStyle w:val="TableText"/>
              <w:snapToGrid w:val="0"/>
              <w:rPr>
                <w:rFonts w:eastAsia="新細明體" w:cs="Segoe UI"/>
                <w:noProof/>
                <w:lang w:eastAsia="fr-FR"/>
              </w:rPr>
            </w:pPr>
            <w:r w:rsidRPr="005A22C2">
              <w:rPr>
                <w:rFonts w:eastAsia="新細明體" w:cs="Segoe UI"/>
                <w:noProof/>
                <w:lang w:eastAsia="zh-HK"/>
              </w:rPr>
              <w:t>外匯風險</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6818A9E9" w14:textId="77777777" w:rsidR="005F4B44" w:rsidRPr="005A22C2" w:rsidRDefault="005F4B44" w:rsidP="005F4B44">
            <w:pPr>
              <w:pStyle w:val="TableText"/>
              <w:snapToGrid w:val="0"/>
              <w:rPr>
                <w:rFonts w:eastAsia="新細明體" w:cs="Segoe UI"/>
                <w:lang w:eastAsia="fr-FR"/>
              </w:rPr>
            </w:pPr>
          </w:p>
        </w:tc>
      </w:tr>
      <w:tr w:rsidR="005A22C2" w:rsidRPr="005A22C2" w14:paraId="29EE9BAC"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1AEF7D7F"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5</w:t>
            </w:r>
          </w:p>
        </w:tc>
        <w:tc>
          <w:tcPr>
            <w:tcW w:w="5543" w:type="dxa"/>
            <w:tcBorders>
              <w:top w:val="single" w:sz="4" w:space="0" w:color="BFBFBF"/>
              <w:left w:val="single" w:sz="4" w:space="0" w:color="auto"/>
              <w:bottom w:val="single" w:sz="4" w:space="0" w:color="BFBFBF"/>
              <w:right w:val="single" w:sz="4" w:space="0" w:color="auto"/>
            </w:tcBorders>
            <w:hideMark/>
          </w:tcPr>
          <w:p w14:paraId="70AE2B34" w14:textId="63C5CBA5" w:rsidR="005F4B44" w:rsidRPr="005A22C2" w:rsidRDefault="005F4B44" w:rsidP="005F4B44">
            <w:pPr>
              <w:pStyle w:val="TableText"/>
              <w:snapToGrid w:val="0"/>
              <w:rPr>
                <w:rFonts w:eastAsia="新細明體" w:cs="Segoe UI"/>
                <w:lang w:eastAsia="zh-HK"/>
              </w:rPr>
            </w:pPr>
            <w:r w:rsidRPr="005A22C2">
              <w:rPr>
                <w:rFonts w:eastAsia="新細明體" w:cs="Segoe UI"/>
                <w:lang w:eastAsia="zh-HK"/>
              </w:rPr>
              <w:t>信用利差風險</w:t>
            </w:r>
            <w:r w:rsidR="00083254" w:rsidRPr="005A22C2">
              <w:rPr>
                <w:rFonts w:eastAsia="新細明體" w:cs="Segoe UI" w:hint="eastAsia"/>
                <w:lang w:eastAsia="zh-HK"/>
              </w:rPr>
              <w:t>（</w:t>
            </w:r>
            <w:r w:rsidRPr="005A22C2">
              <w:rPr>
                <w:rFonts w:eastAsia="新細明體" w:cs="Segoe UI"/>
                <w:lang w:eastAsia="zh-HK"/>
              </w:rPr>
              <w:t>非證券化</w:t>
            </w:r>
            <w:r w:rsidR="00083254" w:rsidRPr="005A22C2">
              <w:rPr>
                <w:rFonts w:eastAsia="新細明體" w:cs="Segoe UI" w:hint="eastAsia"/>
                <w:lang w:eastAsia="zh-HK"/>
              </w:rPr>
              <w:t>）</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64BC6153" w14:textId="77777777" w:rsidR="005F4B44" w:rsidRPr="005A22C2" w:rsidRDefault="005F4B44" w:rsidP="005F4B44">
            <w:pPr>
              <w:pStyle w:val="TableText"/>
              <w:snapToGrid w:val="0"/>
              <w:rPr>
                <w:rFonts w:eastAsia="新細明體" w:cs="Segoe UI"/>
                <w:lang w:eastAsia="fr-FR"/>
              </w:rPr>
            </w:pPr>
          </w:p>
        </w:tc>
      </w:tr>
      <w:tr w:rsidR="005A22C2" w:rsidRPr="005A22C2" w14:paraId="2888E7E9"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41D6EC40"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6</w:t>
            </w:r>
          </w:p>
        </w:tc>
        <w:tc>
          <w:tcPr>
            <w:tcW w:w="5543" w:type="dxa"/>
            <w:tcBorders>
              <w:top w:val="single" w:sz="4" w:space="0" w:color="BFBFBF"/>
              <w:left w:val="single" w:sz="4" w:space="0" w:color="auto"/>
              <w:bottom w:val="single" w:sz="4" w:space="0" w:color="BFBFBF"/>
              <w:right w:val="single" w:sz="4" w:space="0" w:color="auto"/>
            </w:tcBorders>
            <w:hideMark/>
          </w:tcPr>
          <w:p w14:paraId="6D323A20" w14:textId="72411D07" w:rsidR="005F4B44" w:rsidRPr="005A22C2" w:rsidRDefault="005F4B44" w:rsidP="005F4B44">
            <w:pPr>
              <w:pStyle w:val="TableText"/>
              <w:snapToGrid w:val="0"/>
              <w:rPr>
                <w:rFonts w:eastAsia="新細明體" w:cs="Segoe UI"/>
                <w:lang w:eastAsia="fr-FR"/>
              </w:rPr>
            </w:pPr>
            <w:r w:rsidRPr="005A22C2">
              <w:rPr>
                <w:rFonts w:eastAsia="新細明體" w:cs="Segoe UI"/>
                <w:lang w:eastAsia="zh-HK"/>
              </w:rPr>
              <w:t>信用利差風險</w:t>
            </w:r>
            <w:r w:rsidR="00083254" w:rsidRPr="005A22C2">
              <w:rPr>
                <w:rFonts w:eastAsia="新細明體" w:cs="Segoe UI" w:hint="eastAsia"/>
                <w:lang w:eastAsia="fr-FR"/>
              </w:rPr>
              <w:t>（</w:t>
            </w:r>
            <w:r w:rsidRPr="005A22C2">
              <w:rPr>
                <w:rFonts w:eastAsia="新細明體" w:cs="Segoe UI"/>
                <w:lang w:eastAsia="zh-HK"/>
              </w:rPr>
              <w:t>證券化</w:t>
            </w:r>
            <w:r w:rsidRPr="005A22C2">
              <w:rPr>
                <w:rFonts w:eastAsia="新細明體" w:cs="Segoe UI"/>
                <w:lang w:eastAsia="zh-TW"/>
              </w:rPr>
              <w:t>：</w:t>
            </w:r>
            <w:r w:rsidRPr="005A22C2">
              <w:rPr>
                <w:rFonts w:eastAsia="新細明體" w:cs="Segoe UI"/>
                <w:lang w:eastAsia="zh-HK"/>
              </w:rPr>
              <w:t>非相關交易組合</w:t>
            </w:r>
            <w:r w:rsidR="00083254" w:rsidRPr="005A22C2">
              <w:rPr>
                <w:rFonts w:eastAsia="新細明體" w:cs="Segoe UI" w:hint="eastAsia"/>
                <w:lang w:eastAsia="zh-HK"/>
              </w:rPr>
              <w:t>）</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3AECC686" w14:textId="77777777" w:rsidR="005F4B44" w:rsidRPr="005A22C2" w:rsidRDefault="005F4B44" w:rsidP="005F4B44">
            <w:pPr>
              <w:pStyle w:val="TableText"/>
              <w:snapToGrid w:val="0"/>
              <w:rPr>
                <w:rFonts w:eastAsia="新細明體" w:cs="Segoe UI"/>
                <w:lang w:eastAsia="fr-FR"/>
              </w:rPr>
            </w:pPr>
          </w:p>
        </w:tc>
      </w:tr>
      <w:tr w:rsidR="005A22C2" w:rsidRPr="005A22C2" w14:paraId="0369BA5F"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27359855" w14:textId="77777777" w:rsidR="005F4B44" w:rsidRPr="005A22C2" w:rsidRDefault="005F4B44" w:rsidP="005F4B44">
            <w:pPr>
              <w:pStyle w:val="TableText"/>
              <w:snapToGrid w:val="0"/>
              <w:rPr>
                <w:rFonts w:eastAsia="新細明體" w:cs="Segoe UI"/>
                <w:lang w:eastAsia="fr-FR"/>
              </w:rPr>
            </w:pPr>
            <w:r w:rsidRPr="005A22C2">
              <w:rPr>
                <w:rFonts w:eastAsia="新細明體" w:cs="Segoe UI"/>
                <w:lang w:eastAsia="fr-FR"/>
              </w:rPr>
              <w:t>7</w:t>
            </w:r>
          </w:p>
        </w:tc>
        <w:tc>
          <w:tcPr>
            <w:tcW w:w="5543" w:type="dxa"/>
            <w:tcBorders>
              <w:top w:val="single" w:sz="4" w:space="0" w:color="BFBFBF"/>
              <w:left w:val="single" w:sz="4" w:space="0" w:color="auto"/>
              <w:bottom w:val="single" w:sz="4" w:space="0" w:color="BFBFBF"/>
              <w:right w:val="single" w:sz="4" w:space="0" w:color="auto"/>
            </w:tcBorders>
            <w:hideMark/>
          </w:tcPr>
          <w:p w14:paraId="4E21C1AE" w14:textId="47037D0E" w:rsidR="005F4B44" w:rsidRPr="005A22C2" w:rsidRDefault="005F4B44" w:rsidP="005F4B44">
            <w:pPr>
              <w:pStyle w:val="TableText"/>
              <w:snapToGrid w:val="0"/>
              <w:rPr>
                <w:rFonts w:eastAsia="新細明體" w:cs="Segoe UI"/>
                <w:lang w:eastAsia="zh-HK"/>
              </w:rPr>
            </w:pPr>
            <w:r w:rsidRPr="005A22C2">
              <w:rPr>
                <w:rFonts w:eastAsia="新細明體" w:cs="Segoe UI"/>
                <w:lang w:eastAsia="zh-HK"/>
              </w:rPr>
              <w:t>信用利差風險</w:t>
            </w:r>
            <w:r w:rsidR="00083254" w:rsidRPr="005A22C2">
              <w:rPr>
                <w:rFonts w:eastAsia="新細明體" w:cs="Segoe UI" w:hint="eastAsia"/>
                <w:lang w:eastAsia="zh-HK"/>
              </w:rPr>
              <w:t>（</w:t>
            </w:r>
            <w:r w:rsidRPr="005A22C2">
              <w:rPr>
                <w:rFonts w:eastAsia="新細明體" w:cs="Segoe UI"/>
                <w:lang w:eastAsia="zh-HK"/>
              </w:rPr>
              <w:t>證券化</w:t>
            </w:r>
            <w:r w:rsidRPr="005A22C2">
              <w:rPr>
                <w:rFonts w:eastAsia="新細明體" w:cs="Segoe UI"/>
                <w:lang w:eastAsia="zh-TW"/>
              </w:rPr>
              <w:t>：</w:t>
            </w:r>
            <w:r w:rsidRPr="005A22C2">
              <w:rPr>
                <w:rFonts w:eastAsia="新細明體" w:cs="Segoe UI"/>
                <w:lang w:eastAsia="zh-HK"/>
              </w:rPr>
              <w:t>相關交易組合</w:t>
            </w:r>
            <w:r w:rsidRPr="005A22C2">
              <w:rPr>
                <w:rFonts w:eastAsia="新細明體" w:cs="Segoe UI" w:hint="eastAsia"/>
                <w:lang w:eastAsia="zh-HK"/>
              </w:rPr>
              <w:t>(</w:t>
            </w:r>
            <w:r w:rsidRPr="005A22C2">
              <w:rPr>
                <w:rFonts w:eastAsia="新細明體" w:cs="Segoe UI"/>
                <w:lang w:eastAsia="fr-FR"/>
              </w:rPr>
              <w:t>CTP)</w:t>
            </w:r>
            <w:r w:rsidR="00083254" w:rsidRPr="005A22C2">
              <w:rPr>
                <w:rFonts w:eastAsia="新細明體" w:cs="Segoe UI" w:hint="eastAsia"/>
                <w:lang w:eastAsia="zh-HK"/>
              </w:rPr>
              <w:t xml:space="preserve"> </w:t>
            </w:r>
            <w:r w:rsidR="00083254" w:rsidRPr="005A22C2">
              <w:rPr>
                <w:rFonts w:eastAsia="新細明體" w:cs="Segoe UI" w:hint="eastAsia"/>
                <w:lang w:eastAsia="zh-HK"/>
              </w:rPr>
              <w:t>）</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00101106" w14:textId="77777777" w:rsidR="005F4B44" w:rsidRPr="005A22C2" w:rsidRDefault="005F4B44" w:rsidP="005F4B44">
            <w:pPr>
              <w:pStyle w:val="TableText"/>
              <w:snapToGrid w:val="0"/>
              <w:rPr>
                <w:rFonts w:eastAsia="新細明體" w:cs="Segoe UI"/>
                <w:lang w:eastAsia="fr-FR"/>
              </w:rPr>
            </w:pPr>
          </w:p>
        </w:tc>
      </w:tr>
      <w:tr w:rsidR="005A22C2" w:rsidRPr="005A22C2" w14:paraId="2434000C"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0A1F81EB" w14:textId="77777777" w:rsidR="005F4B44" w:rsidRPr="005A22C2" w:rsidRDefault="005F4B44" w:rsidP="005F4B44">
            <w:pPr>
              <w:pStyle w:val="TableText"/>
              <w:snapToGrid w:val="0"/>
              <w:rPr>
                <w:rFonts w:eastAsia="新細明體" w:cs="Segoe UI"/>
                <w:bCs/>
                <w:lang w:eastAsia="fr-FR"/>
              </w:rPr>
            </w:pPr>
            <w:r w:rsidRPr="005A22C2">
              <w:rPr>
                <w:rFonts w:eastAsia="新細明體" w:cs="Segoe UI"/>
                <w:bCs/>
                <w:lang w:eastAsia="fr-FR"/>
              </w:rPr>
              <w:t>8</w:t>
            </w:r>
          </w:p>
        </w:tc>
        <w:tc>
          <w:tcPr>
            <w:tcW w:w="5543" w:type="dxa"/>
            <w:tcBorders>
              <w:top w:val="single" w:sz="4" w:space="0" w:color="BFBFBF"/>
              <w:left w:val="single" w:sz="4" w:space="0" w:color="auto"/>
              <w:bottom w:val="single" w:sz="4" w:space="0" w:color="BFBFBF"/>
              <w:right w:val="single" w:sz="4" w:space="0" w:color="auto"/>
            </w:tcBorders>
            <w:hideMark/>
          </w:tcPr>
          <w:p w14:paraId="75C7C65D" w14:textId="6BE16CB5" w:rsidR="005F4B44" w:rsidRPr="005A22C2" w:rsidRDefault="005F4B44" w:rsidP="00083254">
            <w:pPr>
              <w:pStyle w:val="TableText"/>
              <w:snapToGrid w:val="0"/>
              <w:rPr>
                <w:rFonts w:eastAsia="新細明體" w:cs="Segoe UI"/>
                <w:bCs/>
                <w:lang w:eastAsia="fr-FR"/>
              </w:rPr>
            </w:pPr>
            <w:r w:rsidRPr="005A22C2">
              <w:rPr>
                <w:rFonts w:eastAsia="新細明體" w:cs="Segoe UI"/>
                <w:lang w:eastAsia="zh-HK"/>
              </w:rPr>
              <w:t>標準違責風險</w:t>
            </w:r>
            <w:r w:rsidRPr="005A22C2">
              <w:rPr>
                <w:rFonts w:ascii="新細明體" w:eastAsia="新細明體" w:hAnsi="新細明體" w:cs="Segoe UI" w:hint="eastAsia"/>
                <w:lang w:eastAsia="zh-TW"/>
              </w:rPr>
              <w:t>資本</w:t>
            </w:r>
            <w:r w:rsidRPr="005A22C2">
              <w:rPr>
                <w:rFonts w:eastAsia="新細明體" w:cs="Segoe UI"/>
                <w:lang w:eastAsia="zh-HK"/>
              </w:rPr>
              <w:t>要求</w:t>
            </w:r>
            <w:r w:rsidR="00083254" w:rsidRPr="005A22C2">
              <w:rPr>
                <w:rFonts w:eastAsia="新細明體" w:cs="Segoe UI"/>
                <w:bCs/>
                <w:lang w:eastAsia="fr-FR"/>
              </w:rPr>
              <w:t>(SA-DRC)</w:t>
            </w:r>
            <w:r w:rsidR="00083254" w:rsidRPr="005A22C2">
              <w:rPr>
                <w:rFonts w:eastAsia="新細明體" w:cs="Segoe UI" w:hint="eastAsia"/>
                <w:bCs/>
                <w:lang w:eastAsia="fr-FR"/>
              </w:rPr>
              <w:t>（</w:t>
            </w:r>
            <w:r w:rsidRPr="005A22C2">
              <w:rPr>
                <w:rFonts w:eastAsia="新細明體" w:cs="Segoe UI"/>
                <w:bCs/>
                <w:lang w:eastAsia="zh-HK"/>
              </w:rPr>
              <w:t>非證券化</w:t>
            </w:r>
            <w:r w:rsidR="00083254" w:rsidRPr="005A22C2">
              <w:rPr>
                <w:rFonts w:eastAsia="新細明體" w:cs="Segoe UI" w:hint="eastAsia"/>
                <w:lang w:eastAsia="zh-HK"/>
              </w:rPr>
              <w:t>）</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0C11DC10" w14:textId="77777777" w:rsidR="005F4B44" w:rsidRPr="005A22C2" w:rsidRDefault="005F4B44" w:rsidP="005F4B44">
            <w:pPr>
              <w:pStyle w:val="TableText"/>
              <w:snapToGrid w:val="0"/>
              <w:rPr>
                <w:rFonts w:eastAsia="新細明體" w:cs="Segoe UI"/>
                <w:lang w:eastAsia="fr-FR"/>
              </w:rPr>
            </w:pPr>
          </w:p>
        </w:tc>
      </w:tr>
      <w:tr w:rsidR="005A22C2" w:rsidRPr="005A22C2" w14:paraId="0B356228"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79F2829B" w14:textId="77777777" w:rsidR="005F4B44" w:rsidRPr="005A22C2" w:rsidRDefault="005F4B44" w:rsidP="005F4B44">
            <w:pPr>
              <w:pStyle w:val="TableText"/>
              <w:snapToGrid w:val="0"/>
              <w:rPr>
                <w:rFonts w:eastAsia="新細明體" w:cs="Segoe UI"/>
                <w:bCs/>
                <w:lang w:eastAsia="fr-FR"/>
              </w:rPr>
            </w:pPr>
            <w:r w:rsidRPr="005A22C2">
              <w:rPr>
                <w:rFonts w:eastAsia="新細明體" w:cs="Segoe UI"/>
                <w:bCs/>
                <w:lang w:eastAsia="fr-FR"/>
              </w:rPr>
              <w:t>9</w:t>
            </w:r>
          </w:p>
        </w:tc>
        <w:tc>
          <w:tcPr>
            <w:tcW w:w="5543" w:type="dxa"/>
            <w:tcBorders>
              <w:top w:val="single" w:sz="4" w:space="0" w:color="BFBFBF"/>
              <w:left w:val="single" w:sz="4" w:space="0" w:color="auto"/>
              <w:bottom w:val="single" w:sz="4" w:space="0" w:color="BFBFBF"/>
              <w:right w:val="single" w:sz="4" w:space="0" w:color="auto"/>
            </w:tcBorders>
            <w:hideMark/>
          </w:tcPr>
          <w:p w14:paraId="678961A0" w14:textId="421447CD" w:rsidR="005F4B44" w:rsidRPr="005A22C2" w:rsidRDefault="00083254" w:rsidP="005F4B44">
            <w:pPr>
              <w:pStyle w:val="TableText"/>
              <w:snapToGrid w:val="0"/>
              <w:rPr>
                <w:rFonts w:eastAsia="新細明體" w:cs="Segoe UI"/>
                <w:bCs/>
                <w:lang w:eastAsia="fr-FR"/>
              </w:rPr>
            </w:pPr>
            <w:r w:rsidRPr="005A22C2">
              <w:rPr>
                <w:rFonts w:eastAsia="新細明體" w:cs="Segoe UI"/>
                <w:bCs/>
                <w:lang w:eastAsia="fr-FR"/>
              </w:rPr>
              <w:t>SA-DRC</w:t>
            </w:r>
            <w:r w:rsidRPr="005A22C2">
              <w:rPr>
                <w:rFonts w:eastAsia="新細明體" w:cs="Segoe UI" w:hint="eastAsia"/>
                <w:bCs/>
                <w:lang w:eastAsia="fr-FR"/>
              </w:rPr>
              <w:t>（</w:t>
            </w:r>
            <w:r w:rsidR="005F4B44" w:rsidRPr="005A22C2">
              <w:rPr>
                <w:rFonts w:eastAsia="新細明體" w:cs="Segoe UI"/>
                <w:bCs/>
                <w:lang w:eastAsia="zh-HK"/>
              </w:rPr>
              <w:t>證券化</w:t>
            </w:r>
            <w:r w:rsidR="005F4B44" w:rsidRPr="005A22C2">
              <w:rPr>
                <w:rFonts w:eastAsia="新細明體" w:cs="Segoe UI"/>
                <w:bCs/>
                <w:lang w:eastAsia="zh-TW"/>
              </w:rPr>
              <w:t>：</w:t>
            </w:r>
            <w:r w:rsidR="005F4B44" w:rsidRPr="005A22C2">
              <w:rPr>
                <w:rFonts w:eastAsia="新細明體" w:cs="Segoe UI"/>
                <w:bCs/>
                <w:lang w:eastAsia="zh-HK"/>
              </w:rPr>
              <w:t>非</w:t>
            </w:r>
            <w:r w:rsidRPr="005A22C2">
              <w:rPr>
                <w:rFonts w:eastAsia="新細明體" w:cs="Segoe UI"/>
                <w:bCs/>
                <w:lang w:eastAsia="fr-FR"/>
              </w:rPr>
              <w:t>CTP</w:t>
            </w:r>
            <w:r w:rsidRPr="005A22C2">
              <w:rPr>
                <w:rFonts w:eastAsia="新細明體" w:cs="Segoe UI" w:hint="eastAsia"/>
                <w:lang w:eastAsia="zh-HK"/>
              </w:rPr>
              <w:t>）</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1C7337EE" w14:textId="77777777" w:rsidR="005F4B44" w:rsidRPr="005A22C2" w:rsidRDefault="005F4B44" w:rsidP="005F4B44">
            <w:pPr>
              <w:pStyle w:val="TableText"/>
              <w:snapToGrid w:val="0"/>
              <w:rPr>
                <w:rFonts w:eastAsia="新細明體" w:cs="Segoe UI"/>
                <w:lang w:eastAsia="fr-FR"/>
              </w:rPr>
            </w:pPr>
          </w:p>
        </w:tc>
      </w:tr>
      <w:tr w:rsidR="005A22C2" w:rsidRPr="005A22C2" w14:paraId="02F1F507"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1A0350F4" w14:textId="77777777" w:rsidR="005F4B44" w:rsidRPr="005A22C2" w:rsidRDefault="005F4B44" w:rsidP="005F4B44">
            <w:pPr>
              <w:pStyle w:val="TableText"/>
              <w:snapToGrid w:val="0"/>
              <w:rPr>
                <w:rFonts w:eastAsia="新細明體" w:cs="Segoe UI"/>
                <w:bCs/>
                <w:lang w:eastAsia="fr-FR"/>
              </w:rPr>
            </w:pPr>
            <w:r w:rsidRPr="005A22C2">
              <w:rPr>
                <w:rFonts w:eastAsia="新細明體" w:cs="Segoe UI"/>
                <w:bCs/>
                <w:lang w:eastAsia="fr-FR"/>
              </w:rPr>
              <w:t>10</w:t>
            </w:r>
          </w:p>
        </w:tc>
        <w:tc>
          <w:tcPr>
            <w:tcW w:w="5543" w:type="dxa"/>
            <w:tcBorders>
              <w:top w:val="single" w:sz="4" w:space="0" w:color="BFBFBF"/>
              <w:left w:val="single" w:sz="4" w:space="0" w:color="auto"/>
              <w:bottom w:val="single" w:sz="4" w:space="0" w:color="BFBFBF"/>
              <w:right w:val="single" w:sz="4" w:space="0" w:color="auto"/>
            </w:tcBorders>
            <w:hideMark/>
          </w:tcPr>
          <w:p w14:paraId="0C4571DE" w14:textId="1F135A9E" w:rsidR="005F4B44" w:rsidRPr="005A22C2" w:rsidRDefault="00083254" w:rsidP="005F4B44">
            <w:pPr>
              <w:pStyle w:val="TableText"/>
              <w:snapToGrid w:val="0"/>
              <w:rPr>
                <w:rFonts w:eastAsia="新細明體" w:cs="Segoe UI"/>
                <w:bCs/>
                <w:lang w:eastAsia="fr-FR"/>
              </w:rPr>
            </w:pPr>
            <w:r w:rsidRPr="005A22C2">
              <w:rPr>
                <w:rFonts w:eastAsia="新細明體" w:cs="Segoe UI"/>
                <w:bCs/>
                <w:lang w:eastAsia="fr-FR"/>
              </w:rPr>
              <w:t>SA-DRC</w:t>
            </w:r>
            <w:r w:rsidRPr="005A22C2">
              <w:rPr>
                <w:rFonts w:eastAsia="新細明體" w:cs="Segoe UI" w:hint="eastAsia"/>
                <w:bCs/>
                <w:lang w:eastAsia="fr-FR"/>
              </w:rPr>
              <w:t>（</w:t>
            </w:r>
            <w:r w:rsidR="005F4B44" w:rsidRPr="005A22C2">
              <w:rPr>
                <w:rFonts w:eastAsia="新細明體" w:cs="Segoe UI"/>
                <w:bCs/>
                <w:lang w:eastAsia="zh-HK"/>
              </w:rPr>
              <w:t>證券化</w:t>
            </w:r>
            <w:r w:rsidR="005F4B44" w:rsidRPr="005A22C2">
              <w:rPr>
                <w:rFonts w:eastAsia="新細明體" w:cs="Segoe UI"/>
                <w:bCs/>
                <w:lang w:eastAsia="fr-FR"/>
              </w:rPr>
              <w:t>：</w:t>
            </w:r>
            <w:r w:rsidRPr="005A22C2">
              <w:rPr>
                <w:rFonts w:eastAsia="新細明體" w:cs="Segoe UI"/>
                <w:bCs/>
                <w:lang w:eastAsia="fr-FR"/>
              </w:rPr>
              <w:t>CTP</w:t>
            </w:r>
            <w:r w:rsidRPr="005A22C2">
              <w:rPr>
                <w:rFonts w:eastAsia="新細明體" w:cs="Segoe UI" w:hint="eastAsia"/>
                <w:lang w:eastAsia="zh-HK"/>
              </w:rPr>
              <w:t>）</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5F2E013A" w14:textId="77777777" w:rsidR="005F4B44" w:rsidRPr="005A22C2" w:rsidRDefault="005F4B44" w:rsidP="005F4B44">
            <w:pPr>
              <w:pStyle w:val="TableText"/>
              <w:snapToGrid w:val="0"/>
              <w:rPr>
                <w:rFonts w:eastAsia="新細明體" w:cs="Segoe UI"/>
                <w:lang w:eastAsia="fr-FR"/>
              </w:rPr>
            </w:pPr>
          </w:p>
        </w:tc>
      </w:tr>
      <w:tr w:rsidR="00D540EB" w:rsidRPr="005A22C2" w14:paraId="696EABDD" w14:textId="77777777" w:rsidTr="005F4B44">
        <w:trPr>
          <w:trHeight w:val="249"/>
        </w:trPr>
        <w:tc>
          <w:tcPr>
            <w:tcW w:w="567" w:type="dxa"/>
            <w:tcBorders>
              <w:top w:val="single" w:sz="4" w:space="0" w:color="BFBFBF"/>
              <w:left w:val="nil"/>
              <w:bottom w:val="single" w:sz="4" w:space="0" w:color="BFBFBF"/>
              <w:right w:val="single" w:sz="4" w:space="0" w:color="auto"/>
            </w:tcBorders>
          </w:tcPr>
          <w:p w14:paraId="40263B1C" w14:textId="6EF2687E" w:rsidR="00D540EB" w:rsidRPr="00215B81" w:rsidRDefault="0063412B" w:rsidP="005F4B44">
            <w:pPr>
              <w:pStyle w:val="TableText"/>
              <w:snapToGrid w:val="0"/>
              <w:rPr>
                <w:rFonts w:eastAsiaTheme="minorEastAsia" w:cs="Segoe UI"/>
                <w:lang w:eastAsia="fr-FR"/>
              </w:rPr>
            </w:pPr>
            <w:r w:rsidRPr="00215B81">
              <w:rPr>
                <w:rFonts w:eastAsiaTheme="minorEastAsia" w:cs="Segoe UI" w:hint="eastAsia"/>
                <w:lang w:eastAsia="zh-CN"/>
              </w:rPr>
              <w:t>11</w:t>
            </w:r>
          </w:p>
        </w:tc>
        <w:tc>
          <w:tcPr>
            <w:tcW w:w="5543" w:type="dxa"/>
            <w:tcBorders>
              <w:top w:val="single" w:sz="4" w:space="0" w:color="BFBFBF"/>
              <w:left w:val="single" w:sz="4" w:space="0" w:color="auto"/>
              <w:bottom w:val="single" w:sz="4" w:space="0" w:color="BFBFBF"/>
              <w:right w:val="single" w:sz="4" w:space="0" w:color="auto"/>
            </w:tcBorders>
          </w:tcPr>
          <w:p w14:paraId="15B67518" w14:textId="7FF68AF8" w:rsidR="00D540EB" w:rsidRPr="00215B81" w:rsidRDefault="0063412B" w:rsidP="005F4B44">
            <w:pPr>
              <w:pStyle w:val="TableText"/>
              <w:snapToGrid w:val="0"/>
              <w:rPr>
                <w:rFonts w:eastAsiaTheme="minorEastAsia" w:cs="Segoe UI"/>
                <w:lang w:eastAsia="fr-FR"/>
              </w:rPr>
            </w:pPr>
            <w:r w:rsidRPr="00215B81">
              <w:rPr>
                <w:rFonts w:eastAsiaTheme="minorEastAsia" w:cs="Segoe UI" w:hint="eastAsia"/>
                <w:lang w:eastAsia="zh-TW"/>
              </w:rPr>
              <w:t>第</w:t>
            </w:r>
            <w:r w:rsidRPr="00215B81">
              <w:rPr>
                <w:rFonts w:eastAsiaTheme="minorEastAsia" w:cs="Segoe UI" w:hint="eastAsia"/>
                <w:lang w:eastAsia="fr-FR"/>
              </w:rPr>
              <w:t>2a</w:t>
            </w:r>
            <w:r w:rsidRPr="00215B81">
              <w:rPr>
                <w:rFonts w:eastAsiaTheme="minorEastAsia" w:cs="Segoe UI" w:hint="eastAsia"/>
                <w:lang w:eastAsia="zh-TW"/>
              </w:rPr>
              <w:t>組加密資產風險承擔</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13B6DDFB" w14:textId="77777777" w:rsidR="00D540EB" w:rsidRPr="005A22C2" w:rsidRDefault="00D540EB" w:rsidP="005F4B44">
            <w:pPr>
              <w:pStyle w:val="TableText"/>
              <w:snapToGrid w:val="0"/>
              <w:rPr>
                <w:rFonts w:eastAsia="新細明體" w:cs="Segoe UI"/>
                <w:lang w:eastAsia="fr-FR"/>
              </w:rPr>
            </w:pPr>
          </w:p>
        </w:tc>
      </w:tr>
      <w:tr w:rsidR="005A22C2" w:rsidRPr="005A22C2" w14:paraId="312714CB" w14:textId="77777777" w:rsidTr="005F4B44">
        <w:trPr>
          <w:trHeight w:val="249"/>
        </w:trPr>
        <w:tc>
          <w:tcPr>
            <w:tcW w:w="567" w:type="dxa"/>
            <w:tcBorders>
              <w:top w:val="single" w:sz="4" w:space="0" w:color="BFBFBF"/>
              <w:left w:val="nil"/>
              <w:bottom w:val="single" w:sz="4" w:space="0" w:color="BFBFBF"/>
              <w:right w:val="single" w:sz="4" w:space="0" w:color="auto"/>
            </w:tcBorders>
            <w:hideMark/>
          </w:tcPr>
          <w:p w14:paraId="1751B0B0" w14:textId="3BF4F7AD" w:rsidR="005F4B44" w:rsidRPr="00215B81" w:rsidRDefault="0063412B" w:rsidP="005F4B44">
            <w:pPr>
              <w:pStyle w:val="TableText"/>
              <w:snapToGrid w:val="0"/>
              <w:rPr>
                <w:rFonts w:eastAsiaTheme="minorEastAsia" w:cs="Segoe UI"/>
                <w:lang w:eastAsia="zh-HK"/>
              </w:rPr>
            </w:pPr>
            <w:r w:rsidRPr="00215B81">
              <w:rPr>
                <w:rFonts w:eastAsiaTheme="minorEastAsia" w:cs="Segoe UI"/>
                <w:lang w:eastAsia="zh-HK"/>
              </w:rPr>
              <w:t>12</w:t>
            </w:r>
          </w:p>
        </w:tc>
        <w:tc>
          <w:tcPr>
            <w:tcW w:w="5543" w:type="dxa"/>
            <w:tcBorders>
              <w:top w:val="single" w:sz="4" w:space="0" w:color="BFBFBF"/>
              <w:left w:val="single" w:sz="4" w:space="0" w:color="auto"/>
              <w:bottom w:val="single" w:sz="4" w:space="0" w:color="BFBFBF"/>
              <w:right w:val="single" w:sz="4" w:space="0" w:color="auto"/>
            </w:tcBorders>
            <w:hideMark/>
          </w:tcPr>
          <w:p w14:paraId="33F40AAF" w14:textId="77777777" w:rsidR="005F4B44" w:rsidRPr="00215B81" w:rsidRDefault="005F4B44" w:rsidP="005F4B44">
            <w:pPr>
              <w:pStyle w:val="TableText"/>
              <w:snapToGrid w:val="0"/>
              <w:rPr>
                <w:rFonts w:eastAsiaTheme="minorEastAsia" w:cs="Segoe UI"/>
                <w:lang w:eastAsia="fr-FR"/>
              </w:rPr>
            </w:pPr>
            <w:r w:rsidRPr="00215B81">
              <w:rPr>
                <w:rFonts w:eastAsiaTheme="minorEastAsia" w:cs="Segoe UI"/>
                <w:lang w:eastAsia="zh-HK"/>
              </w:rPr>
              <w:t>剩餘風險附加額</w:t>
            </w:r>
          </w:p>
        </w:tc>
        <w:tc>
          <w:tcPr>
            <w:tcW w:w="3066" w:type="dxa"/>
            <w:tcBorders>
              <w:top w:val="single" w:sz="4" w:space="0" w:color="BFBFBF"/>
              <w:left w:val="single" w:sz="4" w:space="0" w:color="auto"/>
              <w:bottom w:val="single" w:sz="4" w:space="0" w:color="BFBFBF"/>
              <w:right w:val="single" w:sz="4" w:space="0" w:color="auto"/>
            </w:tcBorders>
            <w:noWrap/>
            <w:vAlign w:val="bottom"/>
          </w:tcPr>
          <w:p w14:paraId="344AB5A4" w14:textId="77777777" w:rsidR="005F4B44" w:rsidRPr="005A22C2" w:rsidRDefault="005F4B44" w:rsidP="005F4B44">
            <w:pPr>
              <w:pStyle w:val="TableText"/>
              <w:snapToGrid w:val="0"/>
              <w:rPr>
                <w:rFonts w:eastAsia="新細明體" w:cs="Segoe UI"/>
                <w:lang w:eastAsia="fr-FR"/>
              </w:rPr>
            </w:pPr>
          </w:p>
        </w:tc>
      </w:tr>
      <w:tr w:rsidR="005A22C2" w:rsidRPr="005A22C2" w14:paraId="34FE88DC" w14:textId="77777777" w:rsidTr="005F4B44">
        <w:trPr>
          <w:trHeight w:val="249"/>
        </w:trPr>
        <w:tc>
          <w:tcPr>
            <w:tcW w:w="567" w:type="dxa"/>
            <w:tcBorders>
              <w:top w:val="single" w:sz="4" w:space="0" w:color="BFBFBF"/>
              <w:left w:val="nil"/>
              <w:bottom w:val="single" w:sz="4" w:space="0" w:color="auto"/>
              <w:right w:val="single" w:sz="4" w:space="0" w:color="auto"/>
            </w:tcBorders>
            <w:hideMark/>
          </w:tcPr>
          <w:p w14:paraId="43557CC6" w14:textId="3FCE8C1A" w:rsidR="005F4B44" w:rsidRPr="00215B81" w:rsidRDefault="005578A8" w:rsidP="005F4B44">
            <w:pPr>
              <w:pStyle w:val="TableText"/>
              <w:snapToGrid w:val="0"/>
              <w:rPr>
                <w:rFonts w:eastAsiaTheme="minorEastAsia" w:cs="Segoe UI"/>
                <w:lang w:eastAsia="zh-HK"/>
              </w:rPr>
            </w:pPr>
            <w:r w:rsidRPr="00215B81">
              <w:rPr>
                <w:rFonts w:eastAsiaTheme="minorEastAsia" w:cs="Segoe UI"/>
                <w:lang w:eastAsia="zh-HK"/>
              </w:rPr>
              <w:t>13</w:t>
            </w:r>
          </w:p>
        </w:tc>
        <w:tc>
          <w:tcPr>
            <w:tcW w:w="5543" w:type="dxa"/>
            <w:tcBorders>
              <w:top w:val="single" w:sz="4" w:space="0" w:color="BFBFBF"/>
              <w:left w:val="single" w:sz="4" w:space="0" w:color="auto"/>
              <w:bottom w:val="single" w:sz="4" w:space="0" w:color="auto"/>
              <w:right w:val="single" w:sz="4" w:space="0" w:color="auto"/>
            </w:tcBorders>
            <w:hideMark/>
          </w:tcPr>
          <w:p w14:paraId="41A08747" w14:textId="77777777" w:rsidR="005F4B44" w:rsidRPr="00215B81" w:rsidRDefault="005F4B44" w:rsidP="005F4B44">
            <w:pPr>
              <w:pStyle w:val="TableText"/>
              <w:snapToGrid w:val="0"/>
              <w:rPr>
                <w:rFonts w:eastAsiaTheme="minorEastAsia" w:cs="Segoe UI"/>
                <w:b/>
                <w:lang w:eastAsia="fr-FR"/>
              </w:rPr>
            </w:pPr>
            <w:r w:rsidRPr="00215B81">
              <w:rPr>
                <w:rFonts w:eastAsiaTheme="minorEastAsia" w:cs="Segoe UI"/>
                <w:b/>
                <w:lang w:eastAsia="zh-HK"/>
              </w:rPr>
              <w:t>總計</w:t>
            </w:r>
          </w:p>
        </w:tc>
        <w:tc>
          <w:tcPr>
            <w:tcW w:w="3066" w:type="dxa"/>
            <w:tcBorders>
              <w:top w:val="single" w:sz="4" w:space="0" w:color="BFBFBF"/>
              <w:left w:val="single" w:sz="4" w:space="0" w:color="auto"/>
              <w:bottom w:val="single" w:sz="4" w:space="0" w:color="auto"/>
              <w:right w:val="single" w:sz="4" w:space="0" w:color="auto"/>
            </w:tcBorders>
            <w:noWrap/>
            <w:vAlign w:val="bottom"/>
          </w:tcPr>
          <w:p w14:paraId="46729658" w14:textId="77777777" w:rsidR="005F4B44" w:rsidRPr="005A22C2" w:rsidRDefault="005F4B44" w:rsidP="005F4B44">
            <w:pPr>
              <w:pStyle w:val="TableText"/>
              <w:snapToGrid w:val="0"/>
              <w:rPr>
                <w:rFonts w:eastAsia="新細明體" w:cs="Segoe UI"/>
                <w:lang w:eastAsia="fr-FR"/>
              </w:rPr>
            </w:pPr>
          </w:p>
        </w:tc>
      </w:tr>
    </w:tbl>
    <w:p w14:paraId="23D52010" w14:textId="77777777" w:rsidR="005F4B44" w:rsidRPr="005A22C2" w:rsidRDefault="005F4B44" w:rsidP="005F4B44">
      <w:pPr>
        <w:rPr>
          <w:rFonts w:eastAsia="新細明體" w:cs="Segoe UI"/>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5A22C2" w:rsidRPr="005A22C2" w14:paraId="0B08FD7C" w14:textId="77777777" w:rsidTr="005F4B44">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23BCBDF" w14:textId="77777777" w:rsidR="005F4B44" w:rsidRPr="005A22C2" w:rsidRDefault="005F4B44" w:rsidP="005F4B44">
            <w:pPr>
              <w:spacing w:before="40" w:after="40"/>
              <w:jc w:val="both"/>
              <w:rPr>
                <w:rFonts w:eastAsia="新細明體" w:cs="Segoe UI"/>
                <w:b/>
                <w:sz w:val="17"/>
                <w:szCs w:val="17"/>
                <w:lang w:eastAsia="en-GB"/>
              </w:rPr>
            </w:pPr>
            <w:r w:rsidRPr="005A22C2">
              <w:rPr>
                <w:rFonts w:eastAsia="新細明體" w:cs="Segoe UI"/>
                <w:b/>
                <w:sz w:val="17"/>
                <w:szCs w:val="17"/>
                <w:lang w:eastAsia="zh-HK"/>
              </w:rPr>
              <w:t>註釋</w:t>
            </w:r>
          </w:p>
        </w:tc>
      </w:tr>
      <w:tr w:rsidR="005A22C2" w:rsidRPr="005A22C2" w14:paraId="2C055C55" w14:textId="77777777" w:rsidTr="005F4B44">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2F13EDB" w14:textId="781312C5" w:rsidR="005F4B44" w:rsidRPr="005A22C2" w:rsidRDefault="005F4B44" w:rsidP="005F4B44">
            <w:pPr>
              <w:spacing w:before="40" w:after="40"/>
              <w:jc w:val="both"/>
              <w:rPr>
                <w:rFonts w:eastAsia="新細明體" w:cs="Segoe UI"/>
                <w:i/>
                <w:lang w:eastAsia="fr-FR"/>
              </w:rPr>
            </w:pPr>
            <w:r w:rsidRPr="005A22C2">
              <w:rPr>
                <w:rFonts w:eastAsia="新細明體" w:cs="Segoe UI"/>
                <w:b/>
                <w:sz w:val="17"/>
                <w:szCs w:val="17"/>
                <w:lang w:eastAsia="zh-HK"/>
              </w:rPr>
              <w:t>行</w:t>
            </w:r>
          </w:p>
        </w:tc>
      </w:tr>
      <w:tr w:rsidR="005A22C2" w:rsidRPr="005A22C2" w14:paraId="21C066C8" w14:textId="77777777" w:rsidTr="005F4B44">
        <w:trPr>
          <w:trHeight w:val="373"/>
        </w:trPr>
        <w:tc>
          <w:tcPr>
            <w:tcW w:w="567" w:type="dxa"/>
            <w:tcBorders>
              <w:top w:val="single" w:sz="4" w:space="0" w:color="auto"/>
              <w:left w:val="single" w:sz="4" w:space="0" w:color="auto"/>
              <w:bottom w:val="single" w:sz="4" w:space="0" w:color="auto"/>
              <w:right w:val="single" w:sz="4" w:space="0" w:color="auto"/>
            </w:tcBorders>
            <w:hideMark/>
          </w:tcPr>
          <w:p w14:paraId="64B3FD9F" w14:textId="71E19CA1" w:rsidR="005F4B44" w:rsidRPr="005A22C2" w:rsidRDefault="00AA54E5" w:rsidP="005F4B44">
            <w:pPr>
              <w:keepLines/>
              <w:widowControl w:val="0"/>
              <w:tabs>
                <w:tab w:val="left" w:pos="150"/>
                <w:tab w:val="left" w:pos="397"/>
                <w:tab w:val="left" w:pos="794"/>
                <w:tab w:val="left" w:pos="1191"/>
              </w:tabs>
              <w:spacing w:before="40" w:after="40"/>
              <w:rPr>
                <w:rFonts w:eastAsia="新細明體" w:cs="Segoe UI"/>
                <w:sz w:val="17"/>
                <w:szCs w:val="17"/>
                <w:lang w:eastAsia="zh-HK"/>
              </w:rPr>
            </w:pPr>
            <w:r w:rsidRPr="00523F85">
              <w:rPr>
                <w:rFonts w:eastAsia="新細明體" w:cs="Segoe UI"/>
                <w:sz w:val="17"/>
                <w:szCs w:val="17"/>
                <w:lang w:eastAsia="zh-HK"/>
              </w:rPr>
              <w:t>13</w:t>
            </w:r>
          </w:p>
        </w:tc>
        <w:tc>
          <w:tcPr>
            <w:tcW w:w="8647" w:type="dxa"/>
            <w:tcBorders>
              <w:top w:val="single" w:sz="4" w:space="0" w:color="auto"/>
              <w:left w:val="single" w:sz="4" w:space="0" w:color="auto"/>
              <w:bottom w:val="single" w:sz="4" w:space="0" w:color="auto"/>
              <w:right w:val="single" w:sz="4" w:space="0" w:color="auto"/>
            </w:tcBorders>
            <w:hideMark/>
          </w:tcPr>
          <w:p w14:paraId="6815A74F" w14:textId="7742CEDC" w:rsidR="005F4B44" w:rsidRPr="00523F85" w:rsidRDefault="005F4B44" w:rsidP="00AA54E5">
            <w:pPr>
              <w:pStyle w:val="TableNote"/>
              <w:spacing w:before="40" w:after="40"/>
              <w:rPr>
                <w:rFonts w:eastAsia="新細明體" w:cs="Segoe UI"/>
                <w:sz w:val="17"/>
                <w:szCs w:val="17"/>
                <w:lang w:eastAsia="zh-HK"/>
              </w:rPr>
            </w:pPr>
            <w:r w:rsidRPr="00523F85">
              <w:rPr>
                <w:rFonts w:eastAsia="新細明體" w:cs="Segoe UI" w:hint="eastAsia"/>
                <w:i/>
                <w:sz w:val="17"/>
                <w:szCs w:val="17"/>
                <w:lang w:eastAsia="zh-HK"/>
              </w:rPr>
              <w:t>總計</w:t>
            </w:r>
            <w:r w:rsidRPr="005A22C2">
              <w:rPr>
                <w:rFonts w:eastAsia="新細明體" w:cs="Segoe UI"/>
                <w:sz w:val="17"/>
                <w:szCs w:val="17"/>
                <w:lang w:eastAsia="zh-HK"/>
              </w:rPr>
              <w:t>：</w:t>
            </w:r>
            <w:r w:rsidRPr="005A22C2" w:rsidDel="00CE3FFC">
              <w:rPr>
                <w:rFonts w:eastAsia="新細明體" w:cs="Segoe UI"/>
                <w:sz w:val="17"/>
                <w:szCs w:val="17"/>
                <w:lang w:eastAsia="zh-HK"/>
              </w:rPr>
              <w:t xml:space="preserve"> </w:t>
            </w:r>
            <w:r w:rsidRPr="005A22C2">
              <w:rPr>
                <w:rFonts w:eastAsia="新細明體" w:cs="Segoe UI" w:hint="eastAsia"/>
                <w:sz w:val="17"/>
                <w:szCs w:val="17"/>
                <w:lang w:eastAsia="zh-HK"/>
              </w:rPr>
              <w:t>第</w:t>
            </w:r>
            <w:r w:rsidRPr="005A22C2">
              <w:rPr>
                <w:rFonts w:eastAsia="新細明體" w:cs="Segoe UI"/>
                <w:sz w:val="17"/>
                <w:szCs w:val="17"/>
                <w:lang w:eastAsia="zh-HK"/>
              </w:rPr>
              <w:t>1</w:t>
            </w:r>
            <w:r w:rsidRPr="005A22C2">
              <w:rPr>
                <w:rFonts w:eastAsia="新細明體" w:cs="Segoe UI"/>
                <w:sz w:val="17"/>
                <w:szCs w:val="17"/>
                <w:lang w:eastAsia="zh-HK"/>
              </w:rPr>
              <w:t>至</w:t>
            </w:r>
            <w:r w:rsidR="00AA54E5" w:rsidRPr="00523F85">
              <w:rPr>
                <w:rFonts w:eastAsia="新細明體" w:cs="Segoe UI"/>
                <w:sz w:val="17"/>
                <w:szCs w:val="17"/>
                <w:lang w:eastAsia="zh-HK"/>
              </w:rPr>
              <w:t>12</w:t>
            </w:r>
            <w:r w:rsidRPr="005A22C2">
              <w:rPr>
                <w:rFonts w:eastAsia="新細明體" w:cs="Segoe UI" w:hint="eastAsia"/>
                <w:sz w:val="17"/>
                <w:szCs w:val="17"/>
                <w:lang w:eastAsia="zh-HK"/>
              </w:rPr>
              <w:t>行</w:t>
            </w:r>
            <w:r w:rsidRPr="005A22C2">
              <w:rPr>
                <w:rFonts w:eastAsia="新細明體" w:cs="Segoe UI"/>
                <w:sz w:val="17"/>
                <w:szCs w:val="17"/>
                <w:lang w:eastAsia="zh-HK"/>
              </w:rPr>
              <w:t>的值的總和，亦相等於</w:t>
            </w:r>
            <w:r w:rsidRPr="005A22C2">
              <w:rPr>
                <w:rFonts w:eastAsia="新細明體" w:cs="Segoe UI"/>
                <w:sz w:val="17"/>
                <w:szCs w:val="17"/>
                <w:lang w:eastAsia="zh-HK"/>
              </w:rPr>
              <w:t>[OV1</w:t>
            </w:r>
            <w:r w:rsidR="0027000B" w:rsidRPr="00523F85">
              <w:rPr>
                <w:rFonts w:eastAsia="新細明體" w:cs="Segoe UI"/>
                <w:sz w:val="17"/>
                <w:szCs w:val="17"/>
                <w:lang w:eastAsia="zh-HK"/>
              </w:rPr>
              <w:t>:</w:t>
            </w:r>
            <w:r w:rsidR="0027000B" w:rsidRPr="005A22C2" w:rsidDel="0027000B">
              <w:rPr>
                <w:rFonts w:eastAsia="新細明體" w:cs="Segoe UI"/>
                <w:sz w:val="17"/>
                <w:szCs w:val="17"/>
                <w:lang w:eastAsia="zh-HK"/>
              </w:rPr>
              <w:t xml:space="preserve"> </w:t>
            </w:r>
            <w:r w:rsidRPr="005A22C2">
              <w:rPr>
                <w:rFonts w:eastAsia="新細明體" w:cs="Segoe UI"/>
                <w:sz w:val="17"/>
                <w:szCs w:val="17"/>
                <w:lang w:eastAsia="zh-HK"/>
              </w:rPr>
              <w:t>21/c]</w:t>
            </w:r>
            <w:r w:rsidRPr="005A22C2">
              <w:rPr>
                <w:rFonts w:eastAsia="新細明體" w:cs="Segoe UI"/>
                <w:sz w:val="17"/>
                <w:szCs w:val="17"/>
                <w:lang w:eastAsia="zh-HK"/>
              </w:rPr>
              <w:t>的值。</w:t>
            </w:r>
            <w:r w:rsidRPr="005A22C2">
              <w:rPr>
                <w:rFonts w:eastAsia="新細明體" w:cs="Segoe UI"/>
                <w:sz w:val="17"/>
                <w:szCs w:val="17"/>
                <w:lang w:eastAsia="zh-HK"/>
              </w:rPr>
              <w:t xml:space="preserve"> </w:t>
            </w:r>
          </w:p>
        </w:tc>
      </w:tr>
    </w:tbl>
    <w:p w14:paraId="208D3DF5" w14:textId="77777777" w:rsidR="000717B9" w:rsidRDefault="000717B9">
      <w:pPr>
        <w:rPr>
          <w:lang w:eastAsia="zh-TW"/>
        </w:rPr>
      </w:pPr>
    </w:p>
    <w:p w14:paraId="572EA585" w14:textId="77777777" w:rsidR="000717B9" w:rsidRDefault="000717B9">
      <w:pPr>
        <w:rPr>
          <w:lang w:eastAsia="zh-TW"/>
        </w:rPr>
        <w:sectPr w:rsidR="000717B9" w:rsidSect="005F4B44">
          <w:footerReference w:type="default" r:id="rId101"/>
          <w:pgSz w:w="11906" w:h="16838"/>
          <w:pgMar w:top="1440" w:right="1797" w:bottom="1440" w:left="1797" w:header="851" w:footer="737" w:gutter="0"/>
          <w:cols w:space="720"/>
          <w:docGrid w:type="lines" w:linePitch="360"/>
        </w:sectPr>
      </w:pPr>
    </w:p>
    <w:p w14:paraId="1B5C09EB" w14:textId="14ABCD4D" w:rsidR="000D5C9B" w:rsidRPr="005A22C2" w:rsidRDefault="000D5C9B" w:rsidP="00216206">
      <w:pPr>
        <w:pStyle w:val="Heading2"/>
        <w:keepNext w:val="0"/>
        <w:suppressAutoHyphens w:val="0"/>
        <w:spacing w:before="40" w:line="240" w:lineRule="auto"/>
        <w:ind w:left="-454"/>
        <w:rPr>
          <w:rFonts w:ascii="細明體" w:eastAsia="細明體" w:hAnsi="細明體"/>
          <w:b w:val="0"/>
          <w:bCs w:val="0"/>
          <w:sz w:val="22"/>
          <w:szCs w:val="20"/>
          <w:lang w:eastAsia="zh-TW"/>
        </w:rPr>
      </w:pPr>
      <w:r w:rsidRPr="005A22C2">
        <w:rPr>
          <w:rFonts w:ascii="細明體" w:eastAsia="細明體" w:hAnsi="細明體" w:cs="微軟正黑體" w:hint="eastAsia"/>
          <w:b w:val="0"/>
          <w:bCs w:val="0"/>
          <w:sz w:val="22"/>
          <w:szCs w:val="20"/>
          <w:lang w:eastAsia="zh-TW"/>
        </w:rPr>
        <w:t>表</w:t>
      </w:r>
      <w:r w:rsidRPr="005A22C2">
        <w:rPr>
          <w:rFonts w:ascii="Segoe UI" w:eastAsia="細明體" w:hAnsi="Segoe UI" w:cs="Segoe UI"/>
          <w:b w:val="0"/>
          <w:bCs w:val="0"/>
          <w:sz w:val="22"/>
          <w:szCs w:val="20"/>
          <w:lang w:eastAsia="zh-TW"/>
        </w:rPr>
        <w:t>MRB</w:t>
      </w:r>
      <w:r w:rsidRPr="005A22C2">
        <w:rPr>
          <w:rFonts w:ascii="細明體" w:eastAsia="細明體" w:hAnsi="細明體" w:cs="微軟正黑體" w:hint="eastAsia"/>
          <w:b w:val="0"/>
          <w:bCs w:val="0"/>
          <w:sz w:val="22"/>
          <w:szCs w:val="20"/>
          <w:lang w:eastAsia="zh-TW"/>
        </w:rPr>
        <w:t>：使用</w:t>
      </w:r>
      <w:r w:rsidRPr="005A22C2">
        <w:rPr>
          <w:rFonts w:ascii="Segoe UI" w:eastAsia="細明體" w:hAnsi="Segoe UI" w:cs="Segoe UI"/>
          <w:b w:val="0"/>
          <w:bCs w:val="0"/>
          <w:sz w:val="22"/>
          <w:szCs w:val="20"/>
          <w:lang w:eastAsia="zh-TW"/>
        </w:rPr>
        <w:t>IMA</w:t>
      </w:r>
      <w:r w:rsidRPr="005A22C2">
        <w:rPr>
          <w:rFonts w:ascii="細明體" w:eastAsia="細明體" w:hAnsi="細明體" w:cs="微軟正黑體" w:hint="eastAsia"/>
          <w:b w:val="0"/>
          <w:bCs w:val="0"/>
          <w:sz w:val="22"/>
          <w:szCs w:val="20"/>
          <w:lang w:eastAsia="zh-TW"/>
        </w:rPr>
        <w:t>的認可機構的額外描述披露</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5A22C2" w:rsidRPr="005A22C2" w14:paraId="5F13BFD6" w14:textId="62ECCA73" w:rsidTr="001D6590">
        <w:tc>
          <w:tcPr>
            <w:tcW w:w="2160" w:type="dxa"/>
            <w:tcBorders>
              <w:top w:val="single" w:sz="4" w:space="0" w:color="auto"/>
              <w:left w:val="nil"/>
              <w:bottom w:val="single" w:sz="4" w:space="0" w:color="auto"/>
              <w:right w:val="single" w:sz="4" w:space="0" w:color="auto"/>
            </w:tcBorders>
            <w:hideMark/>
          </w:tcPr>
          <w:p w14:paraId="7BAA897D" w14:textId="77777777" w:rsidR="000A1F87" w:rsidRPr="005A22C2" w:rsidRDefault="000A1F87" w:rsidP="005F4B44">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586969FC" w14:textId="735532AD" w:rsidR="000A1F87" w:rsidRPr="005A22C2" w:rsidRDefault="000A1F87" w:rsidP="005B5B5B">
            <w:pPr>
              <w:pStyle w:val="Default"/>
              <w:jc w:val="both"/>
              <w:rPr>
                <w:color w:val="auto"/>
                <w:sz w:val="17"/>
                <w:szCs w:val="17"/>
              </w:rPr>
            </w:pPr>
            <w:r w:rsidRPr="005A22C2">
              <w:rPr>
                <w:color w:val="auto"/>
                <w:sz w:val="17"/>
                <w:szCs w:val="17"/>
                <w:lang w:eastAsia="zh-HK"/>
              </w:rPr>
              <w:t>提供用</w:t>
            </w:r>
            <w:r w:rsidR="00287DAE" w:rsidRPr="005A22C2">
              <w:rPr>
                <w:rFonts w:hint="eastAsia"/>
                <w:color w:val="auto"/>
                <w:sz w:val="17"/>
                <w:szCs w:val="17"/>
                <w:lang w:val="en-GB" w:eastAsia="zh-HK"/>
              </w:rPr>
              <w:t>以</w:t>
            </w:r>
            <w:r w:rsidRPr="005A22C2">
              <w:rPr>
                <w:color w:val="auto"/>
                <w:sz w:val="17"/>
                <w:szCs w:val="17"/>
                <w:lang w:eastAsia="zh-HK"/>
              </w:rPr>
              <w:t>計算</w:t>
            </w:r>
            <w:r w:rsidRPr="005A22C2">
              <w:rPr>
                <w:color w:val="auto"/>
                <w:sz w:val="17"/>
                <w:szCs w:val="17"/>
              </w:rPr>
              <w:t>IMA</w:t>
            </w:r>
            <w:r w:rsidRPr="005A22C2">
              <w:rPr>
                <w:color w:val="auto"/>
                <w:sz w:val="17"/>
                <w:szCs w:val="17"/>
                <w:lang w:eastAsia="zh-HK"/>
              </w:rPr>
              <w:t>下市場風險資本要求的不同模式的範圍</w:t>
            </w:r>
            <w:r w:rsidRPr="005A22C2">
              <w:rPr>
                <w:color w:val="auto"/>
                <w:sz w:val="17"/>
                <w:szCs w:val="17"/>
              </w:rPr>
              <w:t>、</w:t>
            </w:r>
            <w:r w:rsidRPr="005A22C2">
              <w:rPr>
                <w:color w:val="auto"/>
                <w:sz w:val="17"/>
                <w:szCs w:val="17"/>
                <w:lang w:eastAsia="zh-HK"/>
              </w:rPr>
              <w:t>主要特點及主要</w:t>
            </w:r>
            <w:r w:rsidRPr="005A22C2">
              <w:rPr>
                <w:rFonts w:hint="eastAsia"/>
                <w:color w:val="auto"/>
                <w:sz w:val="17"/>
                <w:szCs w:val="17"/>
                <w:lang w:eastAsia="zh-HK"/>
              </w:rPr>
              <w:t>模</w:t>
            </w:r>
            <w:r w:rsidR="005B5B5B">
              <w:rPr>
                <w:rFonts w:hint="eastAsia"/>
                <w:color w:val="auto"/>
                <w:sz w:val="17"/>
                <w:szCs w:val="17"/>
                <w:lang w:eastAsia="zh-HK"/>
              </w:rPr>
              <w:t>式化</w:t>
            </w:r>
            <w:r w:rsidRPr="005A22C2">
              <w:rPr>
                <w:rFonts w:hint="eastAsia"/>
                <w:color w:val="auto"/>
                <w:sz w:val="17"/>
                <w:szCs w:val="17"/>
                <w:lang w:eastAsia="zh-HK"/>
              </w:rPr>
              <w:t>選擇</w:t>
            </w:r>
            <w:r w:rsidRPr="005A22C2">
              <w:rPr>
                <w:color w:val="auto"/>
                <w:sz w:val="17"/>
                <w:szCs w:val="17"/>
              </w:rPr>
              <w:t>。</w:t>
            </w:r>
          </w:p>
        </w:tc>
      </w:tr>
      <w:tr w:rsidR="005A22C2" w:rsidRPr="005A22C2" w14:paraId="172F3BFB" w14:textId="24027A1D" w:rsidTr="001D6590">
        <w:tc>
          <w:tcPr>
            <w:tcW w:w="2160" w:type="dxa"/>
            <w:tcBorders>
              <w:top w:val="single" w:sz="4" w:space="0" w:color="auto"/>
              <w:left w:val="nil"/>
              <w:bottom w:val="single" w:sz="4" w:space="0" w:color="auto"/>
              <w:right w:val="single" w:sz="4" w:space="0" w:color="auto"/>
            </w:tcBorders>
            <w:hideMark/>
          </w:tcPr>
          <w:p w14:paraId="13B36609" w14:textId="77777777" w:rsidR="000A1F87" w:rsidRPr="005A22C2" w:rsidRDefault="000A1F87" w:rsidP="005F4B44">
            <w:pPr>
              <w:spacing w:before="40" w:after="40"/>
              <w:rPr>
                <w:rFonts w:eastAsia="新細明體" w:cs="Segoe UI"/>
                <w:b/>
                <w:sz w:val="17"/>
                <w:lang w:eastAsia="zh-TW"/>
              </w:rPr>
            </w:pPr>
            <w:r w:rsidRPr="005A22C2">
              <w:rPr>
                <w:rFonts w:eastAsia="新細明體" w:cs="Segoe UI"/>
                <w:b/>
                <w:sz w:val="17"/>
                <w:lang w:eastAsia="zh-TW"/>
              </w:rPr>
              <w:t>適用範圍</w:t>
            </w:r>
            <w:r w:rsidRPr="005A22C2">
              <w:rPr>
                <w:rFonts w:eastAsia="新細明體" w:cs="Segoe UI"/>
                <w:b/>
                <w:sz w:val="17"/>
                <w:lang w:eastAsia="zh-TW"/>
              </w:rPr>
              <w:t>:</w:t>
            </w:r>
          </w:p>
        </w:tc>
        <w:tc>
          <w:tcPr>
            <w:tcW w:w="7088" w:type="dxa"/>
            <w:tcBorders>
              <w:top w:val="single" w:sz="4" w:space="0" w:color="auto"/>
              <w:left w:val="single" w:sz="4" w:space="0" w:color="auto"/>
              <w:bottom w:val="single" w:sz="4" w:space="0" w:color="auto"/>
              <w:right w:val="nil"/>
            </w:tcBorders>
            <w:hideMark/>
          </w:tcPr>
          <w:p w14:paraId="645E3352" w14:textId="7B893A01" w:rsidR="000A1F87" w:rsidRPr="005A22C2" w:rsidRDefault="000A1F87" w:rsidP="005F4B44">
            <w:pPr>
              <w:pStyle w:val="Default"/>
              <w:jc w:val="both"/>
              <w:rPr>
                <w:color w:val="auto"/>
                <w:sz w:val="17"/>
                <w:szCs w:val="17"/>
              </w:rPr>
            </w:pPr>
            <w:r w:rsidRPr="005A22C2">
              <w:rPr>
                <w:color w:val="auto"/>
                <w:sz w:val="17"/>
                <w:szCs w:val="17"/>
                <w:lang w:eastAsia="zh-HK"/>
              </w:rPr>
              <w:t>在香港成立為法團並使用</w:t>
            </w:r>
            <w:r w:rsidRPr="005A22C2">
              <w:rPr>
                <w:color w:val="auto"/>
                <w:sz w:val="17"/>
                <w:szCs w:val="17"/>
              </w:rPr>
              <w:t>IMA</w:t>
            </w:r>
            <w:r w:rsidRPr="005A22C2">
              <w:rPr>
                <w:color w:val="auto"/>
                <w:sz w:val="17"/>
                <w:szCs w:val="17"/>
                <w:lang w:eastAsia="zh-HK"/>
              </w:rPr>
              <w:t>計算</w:t>
            </w:r>
            <w:r w:rsidRPr="005A22C2">
              <w:rPr>
                <w:rFonts w:ascii="新細明體" w:hAnsi="新細明體" w:hint="eastAsia"/>
                <w:color w:val="auto"/>
                <w:sz w:val="17"/>
                <w:szCs w:val="17"/>
              </w:rPr>
              <w:t>其</w:t>
            </w:r>
            <w:r w:rsidRPr="005A22C2">
              <w:rPr>
                <w:color w:val="auto"/>
                <w:sz w:val="17"/>
                <w:szCs w:val="17"/>
                <w:lang w:eastAsia="zh-HK"/>
              </w:rPr>
              <w:t>所有或部分市場風險資本要求的認可機構</w:t>
            </w:r>
            <w:r w:rsidRPr="005A22C2">
              <w:rPr>
                <w:color w:val="auto"/>
                <w:sz w:val="17"/>
                <w:szCs w:val="17"/>
              </w:rPr>
              <w:t>，</w:t>
            </w:r>
            <w:r w:rsidRPr="005A22C2">
              <w:rPr>
                <w:color w:val="auto"/>
                <w:sz w:val="17"/>
                <w:szCs w:val="17"/>
                <w:lang w:eastAsia="zh-HK"/>
              </w:rPr>
              <w:t>均須填報本表</w:t>
            </w:r>
            <w:r w:rsidRPr="005A22C2">
              <w:rPr>
                <w:color w:val="auto"/>
                <w:sz w:val="17"/>
                <w:szCs w:val="17"/>
              </w:rPr>
              <w:t>。</w:t>
            </w:r>
          </w:p>
          <w:p w14:paraId="0CE3B8A5" w14:textId="1D8AC1F6" w:rsidR="000A1F87" w:rsidRPr="005A22C2" w:rsidRDefault="000A1F87" w:rsidP="003C61FD">
            <w:pPr>
              <w:pStyle w:val="Default"/>
              <w:jc w:val="both"/>
              <w:rPr>
                <w:color w:val="auto"/>
                <w:sz w:val="17"/>
                <w:szCs w:val="17"/>
                <w:lang w:val="en-GB" w:eastAsia="zh-HK"/>
              </w:rPr>
            </w:pPr>
            <w:r w:rsidRPr="005A22C2">
              <w:rPr>
                <w:color w:val="auto"/>
                <w:sz w:val="17"/>
                <w:szCs w:val="17"/>
                <w:lang w:eastAsia="zh-HK"/>
              </w:rPr>
              <w:t>為</w:t>
            </w:r>
            <w:r w:rsidRPr="005A22C2">
              <w:rPr>
                <w:rFonts w:ascii="新細明體" w:hAnsi="新細明體" w:hint="eastAsia"/>
                <w:color w:val="auto"/>
                <w:sz w:val="17"/>
                <w:szCs w:val="17"/>
              </w:rPr>
              <w:t>向</w:t>
            </w:r>
            <w:r w:rsidRPr="005A22C2">
              <w:rPr>
                <w:color w:val="auto"/>
                <w:sz w:val="17"/>
                <w:szCs w:val="17"/>
                <w:lang w:eastAsia="zh-HK"/>
              </w:rPr>
              <w:t>使用者提供有關認可機構內部模式使用的具參考價值的資料</w:t>
            </w:r>
            <w:r w:rsidRPr="005A22C2">
              <w:rPr>
                <w:color w:val="auto"/>
                <w:sz w:val="17"/>
                <w:szCs w:val="17"/>
              </w:rPr>
              <w:t>，</w:t>
            </w:r>
            <w:r w:rsidRPr="005A22C2">
              <w:rPr>
                <w:color w:val="auto"/>
                <w:sz w:val="17"/>
                <w:szCs w:val="17"/>
                <w:lang w:eastAsia="zh-HK"/>
              </w:rPr>
              <w:t>認可機構應</w:t>
            </w:r>
            <w:r w:rsidR="00083254" w:rsidRPr="005A22C2">
              <w:rPr>
                <w:rFonts w:hint="eastAsia"/>
                <w:bCs/>
                <w:color w:val="auto"/>
                <w:sz w:val="17"/>
                <w:lang w:eastAsia="fr-FR"/>
              </w:rPr>
              <w:t>（</w:t>
            </w:r>
            <w:proofErr w:type="spellStart"/>
            <w:r w:rsidR="00A26C9B" w:rsidRPr="005A22C2">
              <w:rPr>
                <w:rFonts w:hint="eastAsia"/>
                <w:bCs/>
                <w:color w:val="auto"/>
                <w:sz w:val="17"/>
                <w:lang w:eastAsia="fr-FR"/>
              </w:rPr>
              <w:t>根據</w:t>
            </w:r>
            <w:proofErr w:type="spellEnd"/>
            <w:r w:rsidRPr="005A22C2">
              <w:rPr>
                <w:color w:val="auto"/>
                <w:sz w:val="17"/>
                <w:szCs w:val="17"/>
                <w:lang w:val="en-GB" w:eastAsia="zh-HK"/>
              </w:rPr>
              <w:t>監管綜合範圍</w:t>
            </w:r>
            <w:r w:rsidR="00083254" w:rsidRPr="005A22C2">
              <w:rPr>
                <w:rFonts w:hint="eastAsia"/>
                <w:color w:val="auto"/>
                <w:sz w:val="17"/>
                <w:szCs w:val="17"/>
                <w:lang w:val="en-GB"/>
              </w:rPr>
              <w:t>）</w:t>
            </w:r>
            <w:r w:rsidRPr="005A22C2">
              <w:rPr>
                <w:color w:val="auto"/>
                <w:sz w:val="17"/>
                <w:szCs w:val="17"/>
                <w:lang w:eastAsia="zh-HK"/>
              </w:rPr>
              <w:t>說明集團層面所採用模式的主要特點</w:t>
            </w:r>
            <w:r w:rsidRPr="005A22C2">
              <w:rPr>
                <w:color w:val="auto"/>
                <w:sz w:val="17"/>
                <w:szCs w:val="17"/>
              </w:rPr>
              <w:t>，</w:t>
            </w:r>
            <w:r w:rsidR="003C61FD" w:rsidRPr="005A22C2">
              <w:rPr>
                <w:rFonts w:hint="eastAsia"/>
                <w:color w:val="auto"/>
                <w:sz w:val="17"/>
                <w:szCs w:val="17"/>
                <w:lang w:eastAsia="zh-HK"/>
              </w:rPr>
              <w:t>並</w:t>
            </w:r>
            <w:r w:rsidR="00A26C9B" w:rsidRPr="005A22C2">
              <w:rPr>
                <w:rFonts w:hint="eastAsia"/>
                <w:color w:val="auto"/>
                <w:sz w:val="17"/>
                <w:szCs w:val="17"/>
                <w:lang w:val="en-GB" w:eastAsia="zh-HK"/>
              </w:rPr>
              <w:t>解釋</w:t>
            </w:r>
            <w:r w:rsidRPr="005A22C2">
              <w:rPr>
                <w:rFonts w:hint="eastAsia"/>
                <w:color w:val="auto"/>
                <w:sz w:val="17"/>
                <w:szCs w:val="17"/>
                <w:lang w:eastAsia="zh-HK"/>
              </w:rPr>
              <w:t>這些</w:t>
            </w:r>
            <w:r w:rsidRPr="005A22C2">
              <w:rPr>
                <w:color w:val="auto"/>
                <w:sz w:val="17"/>
                <w:szCs w:val="17"/>
                <w:lang w:eastAsia="zh-HK"/>
              </w:rPr>
              <w:t>特點</w:t>
            </w:r>
            <w:r w:rsidR="003C61FD" w:rsidRPr="005A22C2">
              <w:rPr>
                <w:rFonts w:hint="eastAsia"/>
                <w:color w:val="auto"/>
                <w:sz w:val="17"/>
                <w:szCs w:val="17"/>
                <w:lang w:eastAsia="zh-HK"/>
              </w:rPr>
              <w:t>在</w:t>
            </w:r>
            <w:r w:rsidRPr="005A22C2">
              <w:rPr>
                <w:color w:val="auto"/>
                <w:sz w:val="17"/>
                <w:szCs w:val="17"/>
                <w:lang w:eastAsia="zh-HK"/>
              </w:rPr>
              <w:t>多大程度上代表</w:t>
            </w:r>
            <w:r w:rsidRPr="005A22C2">
              <w:rPr>
                <w:rFonts w:hint="eastAsia"/>
                <w:color w:val="auto"/>
                <w:sz w:val="17"/>
                <w:szCs w:val="17"/>
                <w:lang w:eastAsia="zh-HK"/>
              </w:rPr>
              <w:t>在</w:t>
            </w:r>
            <w:r w:rsidRPr="005A22C2">
              <w:rPr>
                <w:color w:val="auto"/>
                <w:sz w:val="17"/>
                <w:szCs w:val="17"/>
                <w:lang w:eastAsia="zh-HK"/>
              </w:rPr>
              <w:t>集團層面使用的所有模式</w:t>
            </w:r>
            <w:r w:rsidRPr="005A22C2">
              <w:rPr>
                <w:color w:val="auto"/>
                <w:sz w:val="17"/>
                <w:szCs w:val="17"/>
              </w:rPr>
              <w:t>。</w:t>
            </w:r>
            <w:r w:rsidR="003C61FD" w:rsidRPr="005A22C2">
              <w:rPr>
                <w:rFonts w:hint="eastAsia"/>
                <w:color w:val="auto"/>
                <w:sz w:val="17"/>
                <w:szCs w:val="17"/>
                <w:lang w:eastAsia="zh-HK"/>
              </w:rPr>
              <w:t>相</w:t>
            </w:r>
            <w:r w:rsidRPr="005A22C2">
              <w:rPr>
                <w:color w:val="auto"/>
                <w:sz w:val="17"/>
                <w:szCs w:val="17"/>
                <w:lang w:eastAsia="zh-HK"/>
              </w:rPr>
              <w:t>關</w:t>
            </w:r>
            <w:r w:rsidRPr="005A22C2">
              <w:rPr>
                <w:color w:val="auto"/>
                <w:sz w:val="17"/>
                <w:szCs w:val="17"/>
                <w:lang w:val="en-GB" w:eastAsia="zh-HK"/>
              </w:rPr>
              <w:t>評註應包括就每個市場風險資本要求組成部分</w:t>
            </w:r>
            <w:r w:rsidR="00083254" w:rsidRPr="005A22C2">
              <w:rPr>
                <w:rFonts w:hint="eastAsia"/>
                <w:bCs/>
                <w:color w:val="auto"/>
                <w:sz w:val="17"/>
                <w:lang w:eastAsia="fr-FR"/>
              </w:rPr>
              <w:t>（</w:t>
            </w:r>
            <w:r w:rsidRPr="005A22C2">
              <w:rPr>
                <w:color w:val="auto"/>
                <w:sz w:val="17"/>
                <w:szCs w:val="17"/>
                <w:lang w:val="en-GB" w:eastAsia="zh-HK"/>
              </w:rPr>
              <w:t>可</w:t>
            </w:r>
            <w:r w:rsidRPr="005A22C2">
              <w:rPr>
                <w:rFonts w:hint="eastAsia"/>
                <w:color w:val="auto"/>
                <w:sz w:val="17"/>
                <w:szCs w:val="17"/>
                <w:lang w:val="en-GB" w:eastAsia="zh-HK"/>
              </w:rPr>
              <w:t>模式化</w:t>
            </w:r>
            <w:r w:rsidRPr="005A22C2">
              <w:rPr>
                <w:color w:val="auto"/>
                <w:sz w:val="17"/>
                <w:szCs w:val="17"/>
                <w:lang w:val="en-GB" w:eastAsia="zh-HK"/>
              </w:rPr>
              <w:t>風險因素</w:t>
            </w:r>
            <w:r w:rsidRPr="005A22C2">
              <w:rPr>
                <w:color w:val="auto"/>
                <w:sz w:val="17"/>
                <w:szCs w:val="17"/>
                <w:lang w:val="en-GB"/>
              </w:rPr>
              <w:t>、</w:t>
            </w:r>
            <w:proofErr w:type="gramStart"/>
            <w:r w:rsidRPr="005A22C2">
              <w:rPr>
                <w:color w:val="auto"/>
                <w:sz w:val="17"/>
                <w:szCs w:val="17"/>
                <w:lang w:val="en-GB" w:eastAsia="zh-HK"/>
              </w:rPr>
              <w:t>不可</w:t>
            </w:r>
            <w:r w:rsidRPr="005A22C2">
              <w:rPr>
                <w:rFonts w:hint="eastAsia"/>
                <w:color w:val="auto"/>
                <w:sz w:val="17"/>
                <w:szCs w:val="17"/>
                <w:lang w:val="en-GB" w:eastAsia="zh-HK"/>
              </w:rPr>
              <w:t>模式化的</w:t>
            </w:r>
            <w:r w:rsidRPr="005A22C2">
              <w:rPr>
                <w:color w:val="auto"/>
                <w:sz w:val="17"/>
                <w:szCs w:val="17"/>
                <w:lang w:val="en-GB" w:eastAsia="zh-HK"/>
              </w:rPr>
              <w:t>風險因素</w:t>
            </w:r>
            <w:r w:rsidRPr="005A22C2">
              <w:rPr>
                <w:color w:val="auto"/>
                <w:sz w:val="17"/>
                <w:szCs w:val="17"/>
                <w:lang w:val="en-GB"/>
              </w:rPr>
              <w:t>(</w:t>
            </w:r>
            <w:proofErr w:type="gramEnd"/>
            <w:r w:rsidRPr="005A22C2">
              <w:rPr>
                <w:color w:val="auto"/>
                <w:sz w:val="17"/>
                <w:szCs w:val="17"/>
                <w:lang w:val="en-GB"/>
              </w:rPr>
              <w:t>NMRF)</w:t>
            </w:r>
            <w:r w:rsidRPr="005A22C2">
              <w:rPr>
                <w:color w:val="auto"/>
                <w:sz w:val="17"/>
                <w:szCs w:val="17"/>
                <w:lang w:val="en-GB" w:eastAsia="zh-HK"/>
              </w:rPr>
              <w:t>及違責風險</w:t>
            </w:r>
            <w:r w:rsidRPr="005A22C2">
              <w:rPr>
                <w:rFonts w:ascii="新細明體" w:hAnsi="新細明體" w:hint="eastAsia"/>
                <w:color w:val="auto"/>
                <w:sz w:val="17"/>
                <w:szCs w:val="17"/>
                <w:lang w:val="en-GB"/>
              </w:rPr>
              <w:t>資本</w:t>
            </w:r>
            <w:r w:rsidRPr="005A22C2">
              <w:rPr>
                <w:color w:val="auto"/>
                <w:sz w:val="17"/>
                <w:szCs w:val="17"/>
                <w:lang w:val="en-GB" w:eastAsia="zh-HK"/>
              </w:rPr>
              <w:t>要求</w:t>
            </w:r>
            <w:r w:rsidR="00083254" w:rsidRPr="005A22C2">
              <w:rPr>
                <w:rFonts w:hint="eastAsia"/>
                <w:color w:val="auto"/>
                <w:sz w:val="17"/>
                <w:szCs w:val="17"/>
                <w:lang w:val="en-GB" w:eastAsia="zh-HK"/>
              </w:rPr>
              <w:t>）</w:t>
            </w:r>
            <w:r w:rsidR="00E01FE1" w:rsidRPr="005A22C2">
              <w:rPr>
                <w:rFonts w:hint="eastAsia"/>
                <w:color w:val="auto"/>
                <w:sz w:val="17"/>
                <w:szCs w:val="17"/>
                <w:lang w:val="en-GB" w:eastAsia="zh-HK"/>
              </w:rPr>
              <w:t>所說明的模</w:t>
            </w:r>
            <w:r w:rsidR="00E01FE1" w:rsidRPr="005A22C2">
              <w:rPr>
                <w:rFonts w:hint="eastAsia"/>
                <w:color w:val="auto"/>
                <w:sz w:val="17"/>
                <w:szCs w:val="17"/>
                <w:lang w:val="en-GB"/>
              </w:rPr>
              <w:t>式</w:t>
            </w:r>
            <w:r w:rsidR="00E01FE1" w:rsidRPr="005A22C2">
              <w:rPr>
                <w:color w:val="auto"/>
                <w:sz w:val="17"/>
                <w:szCs w:val="17"/>
                <w:lang w:val="en-GB" w:eastAsia="zh-HK"/>
              </w:rPr>
              <w:t>所涵蓋的市場風險資本要求的百分</w:t>
            </w:r>
            <w:r w:rsidR="007020B4" w:rsidRPr="005A22C2">
              <w:rPr>
                <w:rFonts w:hint="eastAsia"/>
                <w:color w:val="auto"/>
                <w:sz w:val="17"/>
                <w:szCs w:val="17"/>
                <w:lang w:val="en-GB" w:eastAsia="zh-HK"/>
              </w:rPr>
              <w:t>率</w:t>
            </w:r>
            <w:r w:rsidRPr="005A22C2">
              <w:rPr>
                <w:color w:val="auto"/>
                <w:sz w:val="17"/>
                <w:szCs w:val="17"/>
                <w:lang w:val="en-GB" w:eastAsia="zh-HK"/>
              </w:rPr>
              <w:t>。</w:t>
            </w:r>
          </w:p>
        </w:tc>
      </w:tr>
      <w:tr w:rsidR="005A22C2" w:rsidRPr="005A22C2" w14:paraId="53F6B524" w14:textId="189A244C" w:rsidTr="001D6590">
        <w:tc>
          <w:tcPr>
            <w:tcW w:w="2160" w:type="dxa"/>
            <w:tcBorders>
              <w:top w:val="single" w:sz="4" w:space="0" w:color="auto"/>
              <w:left w:val="nil"/>
              <w:bottom w:val="single" w:sz="4" w:space="0" w:color="auto"/>
              <w:right w:val="single" w:sz="4" w:space="0" w:color="auto"/>
            </w:tcBorders>
            <w:hideMark/>
          </w:tcPr>
          <w:p w14:paraId="0A1CBBD7" w14:textId="77777777" w:rsidR="000A1F87" w:rsidRPr="005A22C2" w:rsidRDefault="000A1F87" w:rsidP="005F4B44">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0B5EEEAA" w14:textId="77777777" w:rsidR="000A1F87" w:rsidRPr="005A22C2" w:rsidRDefault="000A1F87" w:rsidP="005F4B44">
            <w:pPr>
              <w:spacing w:before="40" w:after="40"/>
              <w:jc w:val="both"/>
              <w:rPr>
                <w:rFonts w:eastAsia="新細明體" w:cs="Segoe UI"/>
                <w:b/>
                <w:sz w:val="17"/>
                <w:lang w:eastAsia="en-GB"/>
              </w:rPr>
            </w:pPr>
            <w:r w:rsidRPr="005A22C2">
              <w:rPr>
                <w:rFonts w:eastAsia="新細明體" w:cs="Segoe UI"/>
                <w:sz w:val="17"/>
                <w:lang w:eastAsia="zh-HK"/>
              </w:rPr>
              <w:t>描述資料</w:t>
            </w:r>
            <w:r w:rsidRPr="005A22C2">
              <w:rPr>
                <w:rFonts w:eastAsia="新細明體" w:cs="Segoe UI"/>
                <w:sz w:val="17"/>
                <w:lang w:eastAsia="zh-TW"/>
              </w:rPr>
              <w:t>。</w:t>
            </w:r>
          </w:p>
        </w:tc>
      </w:tr>
      <w:tr w:rsidR="005A22C2" w:rsidRPr="005A22C2" w14:paraId="18382C3C" w14:textId="036113CD" w:rsidTr="001D6590">
        <w:tc>
          <w:tcPr>
            <w:tcW w:w="2160" w:type="dxa"/>
            <w:tcBorders>
              <w:top w:val="single" w:sz="4" w:space="0" w:color="auto"/>
              <w:left w:val="nil"/>
              <w:bottom w:val="single" w:sz="4" w:space="0" w:color="auto"/>
              <w:right w:val="single" w:sz="4" w:space="0" w:color="auto"/>
            </w:tcBorders>
            <w:hideMark/>
          </w:tcPr>
          <w:p w14:paraId="3A90078F" w14:textId="77777777" w:rsidR="000A1F87" w:rsidRPr="005A22C2" w:rsidRDefault="000A1F87" w:rsidP="005F4B44">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427EDEDA" w14:textId="77777777" w:rsidR="000A1F87" w:rsidRPr="005A22C2" w:rsidRDefault="000A1F87" w:rsidP="005F4B44">
            <w:pPr>
              <w:pStyle w:val="TableText"/>
              <w:jc w:val="both"/>
              <w:rPr>
                <w:rFonts w:eastAsia="新細明體" w:cs="Segoe UI"/>
                <w:lang w:eastAsia="en-GB"/>
              </w:rPr>
            </w:pPr>
            <w:proofErr w:type="spellStart"/>
            <w:r w:rsidRPr="005A22C2">
              <w:rPr>
                <w:rFonts w:eastAsia="新細明體" w:cs="Segoe UI"/>
                <w:lang w:eastAsia="en-GB"/>
              </w:rPr>
              <w:t>每年一次</w:t>
            </w:r>
            <w:proofErr w:type="spellEnd"/>
            <w:r w:rsidRPr="005A22C2">
              <w:rPr>
                <w:rFonts w:eastAsia="新細明體" w:cs="Segoe UI"/>
                <w:lang w:eastAsia="en-GB"/>
              </w:rPr>
              <w:t>。</w:t>
            </w:r>
          </w:p>
        </w:tc>
      </w:tr>
      <w:tr w:rsidR="005A22C2" w:rsidRPr="005A22C2" w14:paraId="4A151E05" w14:textId="6B5D02D8" w:rsidTr="001D6590">
        <w:tc>
          <w:tcPr>
            <w:tcW w:w="2160" w:type="dxa"/>
            <w:tcBorders>
              <w:top w:val="single" w:sz="4" w:space="0" w:color="auto"/>
              <w:left w:val="nil"/>
              <w:bottom w:val="single" w:sz="4" w:space="0" w:color="auto"/>
              <w:right w:val="single" w:sz="4" w:space="0" w:color="auto"/>
            </w:tcBorders>
            <w:hideMark/>
          </w:tcPr>
          <w:p w14:paraId="3E05C7DF" w14:textId="77777777" w:rsidR="000A1F87" w:rsidRPr="005A22C2" w:rsidRDefault="000A1F87" w:rsidP="005F4B44">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7ED19A30" w14:textId="77777777" w:rsidR="000A1F87" w:rsidRPr="005A22C2" w:rsidRDefault="000A1F87" w:rsidP="005F4B44">
            <w:pPr>
              <w:pStyle w:val="TableText"/>
              <w:jc w:val="both"/>
              <w:rPr>
                <w:rFonts w:eastAsia="新細明體" w:cs="Segoe UI"/>
                <w:noProof/>
                <w:lang w:eastAsia="en-GB"/>
              </w:rPr>
            </w:pPr>
            <w:r w:rsidRPr="005A22C2">
              <w:rPr>
                <w:rFonts w:eastAsia="新細明體" w:cs="Segoe UI"/>
                <w:lang w:eastAsia="zh-HK"/>
              </w:rPr>
              <w:t>非固定</w:t>
            </w:r>
            <w:r w:rsidRPr="005A22C2">
              <w:rPr>
                <w:rFonts w:eastAsia="新細明體" w:cs="Segoe UI"/>
                <w:lang w:eastAsia="zh-TW"/>
              </w:rPr>
              <w:t>。</w:t>
            </w:r>
          </w:p>
        </w:tc>
      </w:tr>
      <w:tr w:rsidR="005A22C2" w:rsidRPr="005A22C2" w14:paraId="653F8E98" w14:textId="27B2374A" w:rsidTr="001D6590">
        <w:tc>
          <w:tcPr>
            <w:tcW w:w="2160" w:type="dxa"/>
            <w:tcBorders>
              <w:top w:val="single" w:sz="4" w:space="0" w:color="auto"/>
              <w:left w:val="nil"/>
              <w:bottom w:val="single" w:sz="4" w:space="0" w:color="auto"/>
              <w:right w:val="single" w:sz="4" w:space="0" w:color="auto"/>
            </w:tcBorders>
            <w:hideMark/>
          </w:tcPr>
          <w:p w14:paraId="272D85F4" w14:textId="77777777" w:rsidR="000A1F87" w:rsidRPr="005A22C2" w:rsidRDefault="000A1F87" w:rsidP="005F4B44">
            <w:pPr>
              <w:spacing w:before="40" w:after="40"/>
              <w:rPr>
                <w:rFonts w:eastAsia="新細明體" w:cs="Segoe UI"/>
                <w:b/>
                <w:sz w:val="17"/>
                <w:lang w:eastAsia="zh-TW"/>
              </w:rPr>
            </w:pPr>
            <w:r w:rsidRPr="005A22C2">
              <w:rPr>
                <w:rFonts w:eastAsia="新細明體" w:cs="Segoe UI"/>
                <w:b/>
                <w:sz w:val="17"/>
                <w:lang w:eastAsia="zh-TW"/>
              </w:rPr>
              <w:t>《披露規則》相應條文：</w:t>
            </w:r>
          </w:p>
        </w:tc>
        <w:tc>
          <w:tcPr>
            <w:tcW w:w="7088" w:type="dxa"/>
            <w:tcBorders>
              <w:top w:val="single" w:sz="4" w:space="0" w:color="auto"/>
              <w:left w:val="single" w:sz="4" w:space="0" w:color="auto"/>
              <w:bottom w:val="single" w:sz="4" w:space="0" w:color="auto"/>
              <w:right w:val="nil"/>
            </w:tcBorders>
          </w:tcPr>
          <w:p w14:paraId="187896D8" w14:textId="49B51758" w:rsidR="000A1F87" w:rsidRPr="005A22C2" w:rsidRDefault="000A1F87" w:rsidP="005F4B44">
            <w:pPr>
              <w:pStyle w:val="TableText"/>
              <w:jc w:val="both"/>
              <w:rPr>
                <w:rFonts w:eastAsia="新細明體" w:cs="Segoe UI"/>
                <w:lang w:eastAsia="en-GB"/>
              </w:rPr>
            </w:pPr>
            <w:r w:rsidRPr="005A22C2">
              <w:t>16ZK</w:t>
            </w:r>
          </w:p>
        </w:tc>
      </w:tr>
    </w:tbl>
    <w:p w14:paraId="524E4AEA" w14:textId="77777777" w:rsidR="005F4B44" w:rsidRPr="005A22C2" w:rsidRDefault="005F4B44" w:rsidP="005F4B44">
      <w:pPr>
        <w:rPr>
          <w:rFonts w:eastAsia="新細明體" w:cs="Segoe UI"/>
        </w:rPr>
      </w:pPr>
    </w:p>
    <w:tbl>
      <w:tblPr>
        <w:tblW w:w="9321" w:type="dxa"/>
        <w:jc w:val="center"/>
        <w:tblCellMar>
          <w:left w:w="70" w:type="dxa"/>
          <w:right w:w="70" w:type="dxa"/>
        </w:tblCellMar>
        <w:tblLook w:val="00A0" w:firstRow="1" w:lastRow="0" w:firstColumn="1" w:lastColumn="0" w:noHBand="0" w:noVBand="0"/>
      </w:tblPr>
      <w:tblGrid>
        <w:gridCol w:w="650"/>
        <w:gridCol w:w="8671"/>
      </w:tblGrid>
      <w:tr w:rsidR="005A22C2" w:rsidRPr="005A22C2" w14:paraId="0C140CA1" w14:textId="77777777" w:rsidTr="005F4B44">
        <w:trPr>
          <w:trHeight w:val="448"/>
          <w:jc w:val="center"/>
        </w:trPr>
        <w:tc>
          <w:tcPr>
            <w:tcW w:w="650" w:type="dxa"/>
            <w:tcBorders>
              <w:top w:val="single" w:sz="4" w:space="0" w:color="auto"/>
              <w:left w:val="nil"/>
              <w:bottom w:val="single" w:sz="4" w:space="0" w:color="auto"/>
              <w:right w:val="nil"/>
            </w:tcBorders>
            <w:shd w:val="clear" w:color="auto" w:fill="F2F2F2"/>
            <w:vAlign w:val="center"/>
            <w:hideMark/>
          </w:tcPr>
          <w:p w14:paraId="209CC9DA" w14:textId="77777777" w:rsidR="005F4B44" w:rsidRPr="005A22C2" w:rsidRDefault="005F4B44" w:rsidP="005F4B44">
            <w:pPr>
              <w:pStyle w:val="Default"/>
              <w:tabs>
                <w:tab w:val="left" w:pos="540"/>
              </w:tabs>
              <w:autoSpaceDE/>
              <w:adjustRightInd/>
              <w:spacing w:before="40" w:after="40"/>
              <w:jc w:val="both"/>
              <w:rPr>
                <w:color w:val="auto"/>
                <w:sz w:val="17"/>
                <w:szCs w:val="17"/>
                <w:lang w:eastAsia="en-US"/>
              </w:rPr>
            </w:pPr>
            <w:r w:rsidRPr="005A22C2">
              <w:rPr>
                <w:color w:val="auto"/>
                <w:sz w:val="17"/>
                <w:szCs w:val="17"/>
                <w:lang w:eastAsia="en-US"/>
              </w:rPr>
              <w:t>(I)</w:t>
            </w:r>
          </w:p>
        </w:tc>
        <w:tc>
          <w:tcPr>
            <w:tcW w:w="8671" w:type="dxa"/>
            <w:tcBorders>
              <w:top w:val="single" w:sz="4" w:space="0" w:color="auto"/>
              <w:left w:val="nil"/>
              <w:bottom w:val="single" w:sz="4" w:space="0" w:color="auto"/>
              <w:right w:val="nil"/>
            </w:tcBorders>
            <w:shd w:val="clear" w:color="auto" w:fill="F2F2F2"/>
            <w:vAlign w:val="center"/>
            <w:hideMark/>
          </w:tcPr>
          <w:p w14:paraId="39F877AD" w14:textId="544C0401" w:rsidR="005F4B44" w:rsidRPr="005A22C2" w:rsidRDefault="005F4B44" w:rsidP="005F4B44">
            <w:pPr>
              <w:pStyle w:val="Default"/>
              <w:tabs>
                <w:tab w:val="left" w:pos="540"/>
              </w:tabs>
              <w:autoSpaceDE/>
              <w:adjustRightInd/>
              <w:spacing w:before="40" w:after="40"/>
              <w:jc w:val="both"/>
              <w:rPr>
                <w:color w:val="auto"/>
                <w:sz w:val="17"/>
                <w:szCs w:val="17"/>
              </w:rPr>
            </w:pPr>
            <w:r w:rsidRPr="005A22C2">
              <w:rPr>
                <w:color w:val="auto"/>
                <w:sz w:val="17"/>
                <w:szCs w:val="17"/>
                <w:lang w:eastAsia="zh-HK"/>
              </w:rPr>
              <w:t>認可機構應提供有關交易</w:t>
            </w:r>
            <w:r w:rsidRPr="005A22C2">
              <w:rPr>
                <w:rFonts w:ascii="新細明體" w:hAnsi="新細明體" w:hint="eastAsia"/>
                <w:color w:val="auto"/>
                <w:sz w:val="17"/>
                <w:szCs w:val="17"/>
              </w:rPr>
              <w:t>桌</w:t>
            </w:r>
            <w:r w:rsidRPr="005A22C2">
              <w:rPr>
                <w:rFonts w:hint="eastAsia"/>
                <w:color w:val="auto"/>
                <w:sz w:val="17"/>
                <w:szCs w:val="17"/>
                <w:lang w:eastAsia="zh-HK"/>
              </w:rPr>
              <w:t>結</w:t>
            </w:r>
            <w:r w:rsidRPr="005A22C2">
              <w:rPr>
                <w:color w:val="auto"/>
                <w:sz w:val="17"/>
                <w:szCs w:val="17"/>
                <w:lang w:eastAsia="zh-HK"/>
              </w:rPr>
              <w:t>構及</w:t>
            </w:r>
            <w:r w:rsidRPr="005A22C2">
              <w:rPr>
                <w:color w:val="auto"/>
                <w:sz w:val="17"/>
                <w:szCs w:val="17"/>
              </w:rPr>
              <w:t>IMA</w:t>
            </w:r>
            <w:r w:rsidRPr="005A22C2">
              <w:rPr>
                <w:color w:val="auto"/>
                <w:sz w:val="17"/>
                <w:szCs w:val="17"/>
                <w:lang w:eastAsia="zh-HK"/>
              </w:rPr>
              <w:t>交易</w:t>
            </w:r>
            <w:r w:rsidRPr="005A22C2">
              <w:rPr>
                <w:rFonts w:ascii="新細明體" w:hAnsi="新細明體" w:hint="eastAsia"/>
                <w:color w:val="auto"/>
                <w:sz w:val="17"/>
                <w:szCs w:val="17"/>
              </w:rPr>
              <w:t>桌</w:t>
            </w:r>
            <w:r w:rsidRPr="005A22C2">
              <w:rPr>
                <w:rFonts w:hint="eastAsia"/>
                <w:color w:val="auto"/>
                <w:sz w:val="17"/>
                <w:szCs w:val="17"/>
                <w:lang w:eastAsia="zh-HK"/>
              </w:rPr>
              <w:t>內</w:t>
            </w:r>
            <w:r w:rsidRPr="005A22C2">
              <w:rPr>
                <w:color w:val="auto"/>
                <w:sz w:val="17"/>
                <w:szCs w:val="17"/>
                <w:lang w:eastAsia="zh-HK"/>
              </w:rPr>
              <w:t>包含的工具類別的一般</w:t>
            </w:r>
            <w:r w:rsidRPr="005A22C2">
              <w:rPr>
                <w:rFonts w:hint="eastAsia"/>
                <w:color w:val="auto"/>
                <w:sz w:val="17"/>
                <w:szCs w:val="17"/>
                <w:lang w:eastAsia="zh-HK"/>
              </w:rPr>
              <w:t>描</w:t>
            </w:r>
            <w:r w:rsidRPr="005A22C2">
              <w:rPr>
                <w:rFonts w:hint="eastAsia"/>
                <w:color w:val="auto"/>
                <w:sz w:val="17"/>
                <w:szCs w:val="17"/>
              </w:rPr>
              <w:t>述</w:t>
            </w:r>
            <w:r w:rsidRPr="005A22C2">
              <w:rPr>
                <w:color w:val="auto"/>
                <w:sz w:val="17"/>
                <w:szCs w:val="17"/>
              </w:rPr>
              <w:t>。</w:t>
            </w:r>
          </w:p>
        </w:tc>
      </w:tr>
    </w:tbl>
    <w:p w14:paraId="78353BBA" w14:textId="77777777" w:rsidR="005F4B44" w:rsidRPr="005A22C2" w:rsidRDefault="005F4B44" w:rsidP="005F4B44">
      <w:pPr>
        <w:rPr>
          <w:rFonts w:eastAsia="新細明體" w:cs="Segoe UI"/>
          <w:lang w:eastAsia="zh-TW"/>
        </w:rPr>
      </w:pPr>
    </w:p>
    <w:tbl>
      <w:tblPr>
        <w:tblW w:w="9321" w:type="dxa"/>
        <w:jc w:val="center"/>
        <w:tblCellMar>
          <w:left w:w="70" w:type="dxa"/>
          <w:right w:w="70" w:type="dxa"/>
        </w:tblCellMar>
        <w:tblLook w:val="00A0" w:firstRow="1" w:lastRow="0" w:firstColumn="1" w:lastColumn="0" w:noHBand="0" w:noVBand="0"/>
      </w:tblPr>
      <w:tblGrid>
        <w:gridCol w:w="650"/>
        <w:gridCol w:w="8671"/>
      </w:tblGrid>
      <w:tr w:rsidR="005A22C2" w:rsidRPr="005A22C2" w14:paraId="5F153321" w14:textId="77777777" w:rsidTr="00722213">
        <w:trPr>
          <w:trHeight w:val="448"/>
          <w:jc w:val="center"/>
        </w:trPr>
        <w:tc>
          <w:tcPr>
            <w:tcW w:w="650" w:type="dxa"/>
            <w:tcBorders>
              <w:top w:val="single" w:sz="4" w:space="0" w:color="auto"/>
              <w:left w:val="nil"/>
              <w:bottom w:val="single" w:sz="4" w:space="0" w:color="auto"/>
              <w:right w:val="nil"/>
            </w:tcBorders>
            <w:shd w:val="clear" w:color="auto" w:fill="F2F2F2"/>
            <w:vAlign w:val="center"/>
            <w:hideMark/>
          </w:tcPr>
          <w:p w14:paraId="2D41341A" w14:textId="77777777" w:rsidR="005F4B44" w:rsidRPr="005A22C2" w:rsidRDefault="005F4B44" w:rsidP="005F4B44">
            <w:pPr>
              <w:pStyle w:val="ListParagraph"/>
              <w:widowControl w:val="0"/>
              <w:tabs>
                <w:tab w:val="left" w:pos="540"/>
              </w:tabs>
              <w:spacing w:before="40" w:after="40"/>
              <w:ind w:leftChars="0" w:left="0"/>
              <w:jc w:val="both"/>
              <w:rPr>
                <w:rFonts w:eastAsia="新細明體" w:cs="Segoe UI"/>
                <w:sz w:val="17"/>
                <w:szCs w:val="17"/>
                <w:lang w:eastAsia="fr-FR"/>
              </w:rPr>
            </w:pPr>
            <w:r w:rsidRPr="005A22C2">
              <w:rPr>
                <w:rFonts w:eastAsia="新細明體" w:cs="Segoe UI"/>
                <w:sz w:val="17"/>
                <w:szCs w:val="17"/>
                <w:lang w:eastAsia="fr-FR"/>
              </w:rPr>
              <w:t>(II)</w:t>
            </w:r>
          </w:p>
        </w:tc>
        <w:tc>
          <w:tcPr>
            <w:tcW w:w="8671" w:type="dxa"/>
            <w:tcBorders>
              <w:top w:val="single" w:sz="4" w:space="0" w:color="auto"/>
              <w:left w:val="nil"/>
              <w:bottom w:val="single" w:sz="4" w:space="0" w:color="auto"/>
              <w:right w:val="nil"/>
            </w:tcBorders>
            <w:shd w:val="clear" w:color="auto" w:fill="F2F2F2"/>
            <w:vAlign w:val="center"/>
            <w:hideMark/>
          </w:tcPr>
          <w:p w14:paraId="397881B8" w14:textId="63C1ECB7" w:rsidR="005F4B44" w:rsidRPr="005A22C2" w:rsidRDefault="005F4B44" w:rsidP="00D04A73">
            <w:pPr>
              <w:pStyle w:val="ListParagraph"/>
              <w:widowControl w:val="0"/>
              <w:tabs>
                <w:tab w:val="left" w:pos="540"/>
              </w:tabs>
              <w:spacing w:before="40" w:after="40"/>
              <w:ind w:leftChars="0" w:left="0"/>
              <w:jc w:val="both"/>
              <w:rPr>
                <w:rFonts w:eastAsia="新細明體" w:cs="Segoe UI"/>
                <w:sz w:val="17"/>
                <w:szCs w:val="17"/>
                <w:lang w:eastAsia="zh-HK"/>
              </w:rPr>
            </w:pPr>
            <w:r w:rsidRPr="005A22C2">
              <w:rPr>
                <w:rFonts w:eastAsia="新細明體" w:cs="Segoe UI"/>
                <w:sz w:val="17"/>
                <w:szCs w:val="17"/>
                <w:lang w:eastAsia="zh-HK"/>
              </w:rPr>
              <w:t>使用內部模式</w:t>
            </w:r>
            <w:r w:rsidRPr="005A22C2">
              <w:rPr>
                <w:rFonts w:eastAsia="新細明體" w:cs="Segoe UI" w:hint="eastAsia"/>
                <w:sz w:val="17"/>
                <w:szCs w:val="17"/>
                <w:lang w:eastAsia="zh-HK"/>
              </w:rPr>
              <w:t>斷</w:t>
            </w:r>
            <w:r w:rsidRPr="005A22C2">
              <w:rPr>
                <w:rFonts w:eastAsia="新細明體" w:cs="Segoe UI" w:hint="eastAsia"/>
                <w:sz w:val="17"/>
                <w:szCs w:val="17"/>
                <w:lang w:eastAsia="zh-TW"/>
              </w:rPr>
              <w:t>定</w:t>
            </w:r>
            <w:r w:rsidRPr="005A22C2">
              <w:rPr>
                <w:rFonts w:eastAsia="新細明體" w:cs="Segoe UI"/>
                <w:sz w:val="17"/>
                <w:szCs w:val="17"/>
                <w:lang w:eastAsia="zh-HK"/>
              </w:rPr>
              <w:t>可</w:t>
            </w:r>
            <w:r w:rsidRPr="005A22C2">
              <w:rPr>
                <w:rFonts w:ascii="新細明體" w:eastAsia="新細明體" w:hAnsi="新細明體" w:cs="Segoe UI"/>
                <w:sz w:val="17"/>
                <w:szCs w:val="17"/>
                <w:lang w:eastAsia="zh-HK"/>
              </w:rPr>
              <w:t>模</w:t>
            </w:r>
            <w:r w:rsidRPr="005A22C2">
              <w:rPr>
                <w:rFonts w:ascii="新細明體" w:eastAsia="新細明體" w:hAnsi="新細明體" w:hint="eastAsia"/>
                <w:sz w:val="17"/>
                <w:szCs w:val="17"/>
                <w:lang w:eastAsia="zh-TW"/>
              </w:rPr>
              <w:t>式化</w:t>
            </w:r>
            <w:r w:rsidRPr="005A22C2">
              <w:rPr>
                <w:rFonts w:eastAsia="新細明體" w:cs="Segoe UI"/>
                <w:sz w:val="17"/>
                <w:szCs w:val="17"/>
                <w:lang w:eastAsia="zh-HK"/>
              </w:rPr>
              <w:t>風險因素的市場風險要求</w:t>
            </w:r>
            <w:r w:rsidR="002822D2" w:rsidRPr="005A22C2">
              <w:rPr>
                <w:rFonts w:eastAsiaTheme="minorEastAsia" w:cs="Segoe UI" w:hint="eastAsia"/>
                <w:kern w:val="2"/>
                <w:sz w:val="17"/>
                <w:szCs w:val="17"/>
                <w:lang w:eastAsia="zh-TW"/>
              </w:rPr>
              <w:t>（</w:t>
            </w:r>
            <w:r w:rsidRPr="005A22C2">
              <w:rPr>
                <w:rFonts w:eastAsia="新細明體" w:cs="Segoe UI" w:hint="eastAsia"/>
                <w:sz w:val="17"/>
                <w:szCs w:val="17"/>
                <w:lang w:eastAsia="zh-HK"/>
              </w:rPr>
              <w:t>即</w:t>
            </w:r>
            <w:r w:rsidRPr="005A22C2">
              <w:rPr>
                <w:rFonts w:eastAsia="新細明體" w:cs="Segoe UI"/>
                <w:sz w:val="17"/>
                <w:szCs w:val="17"/>
                <w:lang w:eastAsia="zh-TW"/>
              </w:rPr>
              <w:t>ES</w:t>
            </w:r>
            <w:r w:rsidRPr="005A22C2">
              <w:rPr>
                <w:rFonts w:eastAsia="新細明體" w:cs="Segoe UI"/>
                <w:sz w:val="17"/>
                <w:szCs w:val="17"/>
                <w:lang w:eastAsia="zh-HK"/>
              </w:rPr>
              <w:t>模</w:t>
            </w:r>
            <w:r w:rsidR="00D04A73" w:rsidRPr="005A22C2">
              <w:rPr>
                <w:rFonts w:eastAsia="新細明體" w:cs="Segoe UI" w:hint="eastAsia"/>
                <w:sz w:val="17"/>
                <w:szCs w:val="17"/>
                <w:lang w:eastAsia="zh-HK"/>
              </w:rPr>
              <w:t>式</w:t>
            </w:r>
            <w:r w:rsidR="00083254" w:rsidRPr="005A22C2">
              <w:rPr>
                <w:rFonts w:eastAsia="新細明體" w:cs="Segoe UI" w:hint="eastAsia"/>
                <w:sz w:val="17"/>
                <w:szCs w:val="17"/>
                <w:lang w:eastAsia="zh-TW"/>
              </w:rPr>
              <w:t>）</w:t>
            </w:r>
            <w:r w:rsidRPr="005A22C2">
              <w:rPr>
                <w:rFonts w:eastAsia="新細明體" w:cs="Segoe UI"/>
                <w:sz w:val="17"/>
                <w:szCs w:val="17"/>
                <w:lang w:eastAsia="zh-HK"/>
              </w:rPr>
              <w:t>的認可機構應提供以下各項資料</w:t>
            </w:r>
            <w:r w:rsidRPr="005A22C2">
              <w:rPr>
                <w:rFonts w:eastAsia="新細明體" w:cs="Segoe UI"/>
                <w:sz w:val="17"/>
                <w:szCs w:val="17"/>
                <w:lang w:eastAsia="zh-TW"/>
              </w:rPr>
              <w:t>：</w:t>
            </w:r>
          </w:p>
        </w:tc>
      </w:tr>
      <w:tr w:rsidR="005A22C2" w:rsidRPr="005A22C2" w14:paraId="61AB16FC" w14:textId="77777777" w:rsidTr="00722213">
        <w:trPr>
          <w:trHeight w:val="318"/>
          <w:jc w:val="center"/>
        </w:trPr>
        <w:tc>
          <w:tcPr>
            <w:tcW w:w="650" w:type="dxa"/>
            <w:tcBorders>
              <w:top w:val="single" w:sz="4" w:space="0" w:color="auto"/>
              <w:left w:val="nil"/>
              <w:bottom w:val="single" w:sz="4" w:space="0" w:color="auto"/>
            </w:tcBorders>
            <w:noWrap/>
            <w:hideMark/>
          </w:tcPr>
          <w:p w14:paraId="4B57572C" w14:textId="77777777" w:rsidR="005F4B44" w:rsidRPr="005A22C2" w:rsidRDefault="005F4B44" w:rsidP="005F4B44">
            <w:pPr>
              <w:widowControl w:val="0"/>
              <w:spacing w:before="40" w:after="40"/>
              <w:rPr>
                <w:rFonts w:eastAsia="新細明體" w:cs="Segoe UI"/>
                <w:sz w:val="17"/>
                <w:szCs w:val="17"/>
              </w:rPr>
            </w:pPr>
            <w:r w:rsidRPr="005A22C2">
              <w:rPr>
                <w:rFonts w:eastAsia="新細明體" w:cs="Segoe UI"/>
                <w:sz w:val="17"/>
                <w:szCs w:val="17"/>
              </w:rPr>
              <w:t>(a)</w:t>
            </w:r>
          </w:p>
        </w:tc>
        <w:tc>
          <w:tcPr>
            <w:tcW w:w="8671" w:type="dxa"/>
            <w:tcBorders>
              <w:top w:val="single" w:sz="4" w:space="0" w:color="auto"/>
              <w:left w:val="nil"/>
              <w:bottom w:val="single" w:sz="4" w:space="0" w:color="auto"/>
              <w:right w:val="nil"/>
            </w:tcBorders>
            <w:noWrap/>
            <w:vAlign w:val="bottom"/>
            <w:hideMark/>
          </w:tcPr>
          <w:p w14:paraId="70B8192F" w14:textId="4E4BC376" w:rsidR="005F4B44" w:rsidRPr="005A22C2" w:rsidRDefault="005F4B44" w:rsidP="00265E36">
            <w:pPr>
              <w:pStyle w:val="Default"/>
              <w:jc w:val="both"/>
              <w:rPr>
                <w:color w:val="auto"/>
                <w:sz w:val="17"/>
                <w:szCs w:val="17"/>
                <w:lang w:eastAsia="zh-HK"/>
              </w:rPr>
            </w:pPr>
            <w:r w:rsidRPr="005A22C2">
              <w:rPr>
                <w:rFonts w:hint="eastAsia"/>
                <w:color w:val="auto"/>
                <w:sz w:val="17"/>
                <w:szCs w:val="17"/>
                <w:lang w:eastAsia="zh-HK"/>
              </w:rPr>
              <w:t>描</w:t>
            </w:r>
            <w:r w:rsidRPr="005A22C2">
              <w:rPr>
                <w:rFonts w:hint="eastAsia"/>
                <w:color w:val="auto"/>
                <w:sz w:val="17"/>
                <w:szCs w:val="17"/>
              </w:rPr>
              <w:t>述</w:t>
            </w:r>
            <w:r w:rsidRPr="005A22C2">
              <w:rPr>
                <w:color w:val="auto"/>
                <w:sz w:val="17"/>
                <w:szCs w:val="17"/>
              </w:rPr>
              <w:t>ES</w:t>
            </w:r>
            <w:r w:rsidRPr="005A22C2">
              <w:rPr>
                <w:color w:val="auto"/>
                <w:sz w:val="17"/>
                <w:szCs w:val="17"/>
                <w:lang w:eastAsia="zh-HK"/>
              </w:rPr>
              <w:t>模</w:t>
            </w:r>
            <w:r w:rsidR="00265E36" w:rsidRPr="005A22C2">
              <w:rPr>
                <w:rFonts w:hint="eastAsia"/>
                <w:color w:val="auto"/>
                <w:sz w:val="17"/>
                <w:szCs w:val="17"/>
                <w:lang w:eastAsia="zh-HK"/>
              </w:rPr>
              <w:t>式</w:t>
            </w:r>
            <w:r w:rsidRPr="005A22C2">
              <w:rPr>
                <w:color w:val="auto"/>
                <w:sz w:val="17"/>
                <w:szCs w:val="17"/>
                <w:lang w:eastAsia="zh-HK"/>
              </w:rPr>
              <w:t>所涵蓋的交易</w:t>
            </w:r>
            <w:r w:rsidRPr="005A22C2">
              <w:rPr>
                <w:rFonts w:ascii="新細明體" w:hAnsi="新細明體" w:hint="eastAsia"/>
                <w:color w:val="auto"/>
                <w:sz w:val="17"/>
                <w:szCs w:val="17"/>
              </w:rPr>
              <w:t>桌</w:t>
            </w:r>
            <w:r w:rsidRPr="005A22C2">
              <w:rPr>
                <w:color w:val="auto"/>
                <w:sz w:val="17"/>
                <w:szCs w:val="17"/>
              </w:rPr>
              <w:t>。</w:t>
            </w:r>
            <w:r w:rsidRPr="005A22C2">
              <w:rPr>
                <w:color w:val="auto"/>
                <w:sz w:val="17"/>
                <w:szCs w:val="17"/>
                <w:lang w:eastAsia="zh-HK"/>
              </w:rPr>
              <w:t>如適用</w:t>
            </w:r>
            <w:r w:rsidRPr="005A22C2">
              <w:rPr>
                <w:color w:val="auto"/>
                <w:sz w:val="17"/>
                <w:szCs w:val="17"/>
              </w:rPr>
              <w:t>，</w:t>
            </w:r>
            <w:r w:rsidRPr="005A22C2">
              <w:rPr>
                <w:color w:val="auto"/>
                <w:sz w:val="17"/>
                <w:szCs w:val="17"/>
                <w:lang w:eastAsia="zh-HK"/>
              </w:rPr>
              <w:t>認可機構亦應</w:t>
            </w:r>
            <w:r w:rsidRPr="005A22C2">
              <w:rPr>
                <w:rFonts w:hint="eastAsia"/>
                <w:color w:val="auto"/>
                <w:sz w:val="17"/>
                <w:szCs w:val="17"/>
                <w:lang w:eastAsia="zh-HK"/>
              </w:rPr>
              <w:t>描</w:t>
            </w:r>
            <w:r w:rsidRPr="005A22C2">
              <w:rPr>
                <w:rFonts w:hint="eastAsia"/>
                <w:color w:val="auto"/>
                <w:sz w:val="17"/>
                <w:szCs w:val="17"/>
              </w:rPr>
              <w:t>述</w:t>
            </w:r>
            <w:r w:rsidR="002822D2" w:rsidRPr="005A22C2">
              <w:rPr>
                <w:rFonts w:hint="eastAsia"/>
                <w:color w:val="auto"/>
                <w:kern w:val="2"/>
                <w:sz w:val="17"/>
                <w:szCs w:val="17"/>
              </w:rPr>
              <w:t>（</w:t>
            </w:r>
            <w:r w:rsidR="00844269" w:rsidRPr="005A22C2">
              <w:rPr>
                <w:color w:val="auto"/>
                <w:sz w:val="17"/>
                <w:szCs w:val="17"/>
                <w:lang w:eastAsia="zh-HK"/>
              </w:rPr>
              <w:t>基於缺乏歷史數據或因模</w:t>
            </w:r>
            <w:r w:rsidR="00844269" w:rsidRPr="005A22C2">
              <w:rPr>
                <w:rFonts w:ascii="新細明體" w:hAnsi="新細明體" w:hint="eastAsia"/>
                <w:color w:val="auto"/>
                <w:sz w:val="17"/>
                <w:szCs w:val="17"/>
              </w:rPr>
              <w:t>式</w:t>
            </w:r>
            <w:r w:rsidRPr="005A22C2">
              <w:rPr>
                <w:color w:val="auto"/>
                <w:sz w:val="17"/>
                <w:szCs w:val="17"/>
                <w:lang w:eastAsia="zh-HK"/>
              </w:rPr>
              <w:t>限制</w:t>
            </w:r>
            <w:r w:rsidR="00083254" w:rsidRPr="005A22C2">
              <w:rPr>
                <w:rFonts w:hint="eastAsia"/>
                <w:color w:val="auto"/>
                <w:sz w:val="17"/>
                <w:szCs w:val="17"/>
              </w:rPr>
              <w:t>）</w:t>
            </w:r>
            <w:r w:rsidRPr="005A22C2">
              <w:rPr>
                <w:color w:val="auto"/>
                <w:sz w:val="17"/>
                <w:szCs w:val="17"/>
                <w:lang w:eastAsia="zh-HK"/>
              </w:rPr>
              <w:t>在計算可模</w:t>
            </w:r>
            <w:r w:rsidRPr="005A22C2">
              <w:rPr>
                <w:rFonts w:ascii="新細明體" w:hAnsi="新細明體" w:hint="eastAsia"/>
                <w:color w:val="auto"/>
                <w:sz w:val="17"/>
                <w:szCs w:val="17"/>
              </w:rPr>
              <w:t>式化</w:t>
            </w:r>
            <w:r w:rsidRPr="005A22C2">
              <w:rPr>
                <w:color w:val="auto"/>
                <w:sz w:val="17"/>
                <w:szCs w:val="17"/>
                <w:lang w:eastAsia="zh-HK"/>
              </w:rPr>
              <w:t>風險因素的市場風險資本要求時未有</w:t>
            </w:r>
            <w:r w:rsidRPr="005A22C2">
              <w:rPr>
                <w:rFonts w:hint="eastAsia"/>
                <w:color w:val="auto"/>
                <w:sz w:val="17"/>
                <w:szCs w:val="17"/>
                <w:lang w:eastAsia="zh-HK"/>
              </w:rPr>
              <w:t>被</w:t>
            </w:r>
            <w:r w:rsidRPr="005A22C2">
              <w:rPr>
                <w:color w:val="auto"/>
                <w:sz w:val="17"/>
                <w:szCs w:val="17"/>
                <w:lang w:eastAsia="zh-HK"/>
              </w:rPr>
              <w:t>計入的主要交易</w:t>
            </w:r>
            <w:r w:rsidRPr="005A22C2">
              <w:rPr>
                <w:rFonts w:ascii="新細明體" w:hAnsi="新細明體" w:hint="eastAsia"/>
                <w:color w:val="auto"/>
                <w:sz w:val="17"/>
                <w:szCs w:val="17"/>
              </w:rPr>
              <w:t>桌</w:t>
            </w:r>
            <w:r w:rsidRPr="005A22C2">
              <w:rPr>
                <w:color w:val="auto"/>
                <w:sz w:val="17"/>
                <w:szCs w:val="17"/>
              </w:rPr>
              <w:t>。</w:t>
            </w:r>
          </w:p>
        </w:tc>
      </w:tr>
      <w:tr w:rsidR="005A22C2" w:rsidRPr="005A22C2" w14:paraId="3390E5E3" w14:textId="77777777" w:rsidTr="00722213">
        <w:trPr>
          <w:trHeight w:val="318"/>
          <w:jc w:val="center"/>
        </w:trPr>
        <w:tc>
          <w:tcPr>
            <w:tcW w:w="650" w:type="dxa"/>
            <w:tcBorders>
              <w:top w:val="single" w:sz="4" w:space="0" w:color="auto"/>
              <w:left w:val="nil"/>
              <w:bottom w:val="single" w:sz="4" w:space="0" w:color="auto"/>
            </w:tcBorders>
            <w:noWrap/>
            <w:hideMark/>
          </w:tcPr>
          <w:p w14:paraId="7B9DA593" w14:textId="77777777" w:rsidR="005F4B44" w:rsidRPr="005A22C2" w:rsidRDefault="005F4B44" w:rsidP="005F4B44">
            <w:pPr>
              <w:widowControl w:val="0"/>
              <w:spacing w:before="40" w:after="40"/>
              <w:rPr>
                <w:rFonts w:eastAsia="新細明體" w:cs="Segoe UI"/>
                <w:sz w:val="17"/>
                <w:szCs w:val="17"/>
              </w:rPr>
            </w:pPr>
            <w:r w:rsidRPr="005A22C2">
              <w:rPr>
                <w:rFonts w:eastAsia="新細明體" w:cs="Segoe UI"/>
                <w:sz w:val="17"/>
                <w:szCs w:val="17"/>
              </w:rPr>
              <w:t>(b)</w:t>
            </w:r>
          </w:p>
        </w:tc>
        <w:tc>
          <w:tcPr>
            <w:tcW w:w="8671" w:type="dxa"/>
            <w:tcBorders>
              <w:top w:val="single" w:sz="4" w:space="0" w:color="auto"/>
              <w:left w:val="nil"/>
              <w:bottom w:val="single" w:sz="4" w:space="0" w:color="auto"/>
              <w:right w:val="nil"/>
            </w:tcBorders>
            <w:noWrap/>
            <w:vAlign w:val="bottom"/>
            <w:hideMark/>
          </w:tcPr>
          <w:p w14:paraId="69E5E50C" w14:textId="039B97BE" w:rsidR="005F4B44" w:rsidRPr="005A22C2" w:rsidRDefault="005F4B44" w:rsidP="005F4B44">
            <w:pPr>
              <w:pStyle w:val="Default"/>
              <w:jc w:val="both"/>
              <w:rPr>
                <w:color w:val="auto"/>
                <w:sz w:val="17"/>
                <w:szCs w:val="17"/>
              </w:rPr>
            </w:pPr>
            <w:r w:rsidRPr="005A22C2">
              <w:rPr>
                <w:color w:val="auto"/>
                <w:sz w:val="17"/>
                <w:szCs w:val="17"/>
                <w:lang w:eastAsia="zh-HK"/>
              </w:rPr>
              <w:t>作為內部資本充足</w:t>
            </w:r>
            <w:r w:rsidR="00E01FE1" w:rsidRPr="005A22C2">
              <w:rPr>
                <w:rFonts w:hint="eastAsia"/>
                <w:color w:val="auto"/>
                <w:sz w:val="17"/>
                <w:szCs w:val="17"/>
                <w:lang w:eastAsia="zh-HK"/>
              </w:rPr>
              <w:t>程</w:t>
            </w:r>
            <w:r w:rsidRPr="005A22C2">
              <w:rPr>
                <w:color w:val="auto"/>
                <w:sz w:val="17"/>
                <w:szCs w:val="17"/>
                <w:lang w:eastAsia="zh-HK"/>
              </w:rPr>
              <w:t>度評估基礎的穩健性準則</w:t>
            </w:r>
            <w:r w:rsidR="002822D2" w:rsidRPr="005A22C2">
              <w:rPr>
                <w:rFonts w:hint="eastAsia"/>
                <w:color w:val="auto"/>
                <w:kern w:val="2"/>
                <w:sz w:val="17"/>
                <w:szCs w:val="17"/>
              </w:rPr>
              <w:t>（</w:t>
            </w:r>
            <w:r w:rsidRPr="005A22C2">
              <w:rPr>
                <w:color w:val="auto"/>
                <w:sz w:val="17"/>
                <w:szCs w:val="17"/>
                <w:lang w:eastAsia="zh-HK"/>
              </w:rPr>
              <w:t>例如前瞻式壓力測試</w:t>
            </w:r>
            <w:r w:rsidR="00083254" w:rsidRPr="005A22C2">
              <w:rPr>
                <w:rFonts w:hint="eastAsia"/>
                <w:color w:val="auto"/>
                <w:sz w:val="17"/>
                <w:szCs w:val="17"/>
              </w:rPr>
              <w:t>）</w:t>
            </w:r>
            <w:r w:rsidRPr="005A22C2">
              <w:rPr>
                <w:color w:val="auto"/>
                <w:sz w:val="17"/>
                <w:szCs w:val="17"/>
              </w:rPr>
              <w:t>，</w:t>
            </w:r>
            <w:r w:rsidRPr="005A22C2">
              <w:rPr>
                <w:color w:val="auto"/>
                <w:sz w:val="17"/>
                <w:szCs w:val="17"/>
                <w:lang w:eastAsia="zh-HK"/>
              </w:rPr>
              <w:t>以及</w:t>
            </w:r>
            <w:r w:rsidRPr="005A22C2">
              <w:rPr>
                <w:rFonts w:hint="eastAsia"/>
                <w:color w:val="auto"/>
                <w:sz w:val="17"/>
                <w:szCs w:val="17"/>
                <w:lang w:eastAsia="zh-HK"/>
              </w:rPr>
              <w:t>描</w:t>
            </w:r>
            <w:r w:rsidRPr="005A22C2">
              <w:rPr>
                <w:rFonts w:hint="eastAsia"/>
                <w:color w:val="auto"/>
                <w:sz w:val="17"/>
                <w:szCs w:val="17"/>
              </w:rPr>
              <w:t>述</w:t>
            </w:r>
            <w:r w:rsidRPr="005A22C2">
              <w:rPr>
                <w:color w:val="auto"/>
                <w:sz w:val="17"/>
                <w:szCs w:val="17"/>
                <w:lang w:eastAsia="zh-HK"/>
              </w:rPr>
              <w:t>用以達致與</w:t>
            </w:r>
            <w:r w:rsidRPr="005A22C2">
              <w:rPr>
                <w:color w:val="auto"/>
                <w:sz w:val="17"/>
                <w:szCs w:val="17"/>
              </w:rPr>
              <w:t>《</w:t>
            </w:r>
            <w:r w:rsidRPr="005A22C2">
              <w:rPr>
                <w:color w:val="auto"/>
                <w:sz w:val="17"/>
                <w:szCs w:val="17"/>
                <w:lang w:eastAsia="zh-HK"/>
              </w:rPr>
              <w:t>資本規則</w:t>
            </w:r>
            <w:r w:rsidRPr="005A22C2">
              <w:rPr>
                <w:color w:val="auto"/>
                <w:sz w:val="17"/>
                <w:szCs w:val="17"/>
              </w:rPr>
              <w:t>》</w:t>
            </w:r>
            <w:r w:rsidRPr="005A22C2">
              <w:rPr>
                <w:color w:val="auto"/>
                <w:sz w:val="17"/>
                <w:szCs w:val="17"/>
                <w:lang w:eastAsia="zh-HK"/>
              </w:rPr>
              <w:t>附表</w:t>
            </w:r>
            <w:r w:rsidR="00722213" w:rsidRPr="005A22C2">
              <w:rPr>
                <w:color w:val="auto"/>
                <w:sz w:val="17"/>
                <w:szCs w:val="17"/>
              </w:rPr>
              <w:t>3</w:t>
            </w:r>
            <w:r w:rsidRPr="005A22C2">
              <w:rPr>
                <w:color w:val="auto"/>
                <w:sz w:val="17"/>
                <w:szCs w:val="17"/>
                <w:lang w:eastAsia="zh-HK"/>
              </w:rPr>
              <w:t>所載穩健性標準</w:t>
            </w:r>
            <w:r w:rsidRPr="005A22C2">
              <w:rPr>
                <w:rFonts w:hint="eastAsia"/>
                <w:color w:val="auto"/>
                <w:sz w:val="17"/>
                <w:szCs w:val="17"/>
                <w:lang w:eastAsia="zh-HK"/>
              </w:rPr>
              <w:t>相符</w:t>
            </w:r>
            <w:r w:rsidRPr="005A22C2">
              <w:rPr>
                <w:rFonts w:ascii="新細明體" w:hAnsi="新細明體" w:hint="eastAsia"/>
                <w:color w:val="auto"/>
                <w:sz w:val="17"/>
                <w:szCs w:val="17"/>
              </w:rPr>
              <w:t>的</w:t>
            </w:r>
            <w:r w:rsidRPr="005A22C2">
              <w:rPr>
                <w:color w:val="auto"/>
                <w:sz w:val="17"/>
                <w:szCs w:val="17"/>
                <w:lang w:eastAsia="zh-HK"/>
              </w:rPr>
              <w:t>資本充足</w:t>
            </w:r>
            <w:r w:rsidR="00E01FE1" w:rsidRPr="005A22C2">
              <w:rPr>
                <w:rFonts w:hint="eastAsia"/>
                <w:color w:val="auto"/>
                <w:sz w:val="17"/>
                <w:szCs w:val="17"/>
                <w:lang w:eastAsia="zh-HK"/>
              </w:rPr>
              <w:t>程</w:t>
            </w:r>
            <w:r w:rsidRPr="005A22C2">
              <w:rPr>
                <w:color w:val="auto"/>
                <w:sz w:val="17"/>
                <w:szCs w:val="17"/>
                <w:lang w:eastAsia="zh-HK"/>
              </w:rPr>
              <w:t>度評估的方法</w:t>
            </w:r>
            <w:r w:rsidRPr="005A22C2">
              <w:rPr>
                <w:color w:val="auto"/>
                <w:sz w:val="17"/>
                <w:szCs w:val="17"/>
              </w:rPr>
              <w:t>。</w:t>
            </w:r>
          </w:p>
        </w:tc>
      </w:tr>
      <w:tr w:rsidR="005A22C2" w:rsidRPr="005A22C2" w14:paraId="4997AF57" w14:textId="77777777" w:rsidTr="00722213">
        <w:trPr>
          <w:trHeight w:val="318"/>
          <w:jc w:val="center"/>
        </w:trPr>
        <w:tc>
          <w:tcPr>
            <w:tcW w:w="650" w:type="dxa"/>
            <w:tcBorders>
              <w:top w:val="single" w:sz="4" w:space="0" w:color="auto"/>
              <w:left w:val="nil"/>
              <w:bottom w:val="single" w:sz="4" w:space="0" w:color="auto"/>
            </w:tcBorders>
            <w:noWrap/>
            <w:hideMark/>
          </w:tcPr>
          <w:p w14:paraId="58CFF7DA" w14:textId="77777777" w:rsidR="005F4B44" w:rsidRPr="005A22C2" w:rsidRDefault="005F4B44" w:rsidP="005F4B44">
            <w:pPr>
              <w:widowControl w:val="0"/>
              <w:spacing w:before="40" w:after="40"/>
              <w:rPr>
                <w:rFonts w:eastAsia="新細明體" w:cs="Segoe UI"/>
                <w:sz w:val="17"/>
                <w:szCs w:val="17"/>
              </w:rPr>
            </w:pPr>
            <w:r w:rsidRPr="005A22C2">
              <w:rPr>
                <w:rFonts w:eastAsia="新細明體" w:cs="Segoe UI"/>
                <w:sz w:val="17"/>
                <w:szCs w:val="17"/>
              </w:rPr>
              <w:t>(c)</w:t>
            </w:r>
          </w:p>
        </w:tc>
        <w:tc>
          <w:tcPr>
            <w:tcW w:w="8671" w:type="dxa"/>
            <w:tcBorders>
              <w:top w:val="single" w:sz="4" w:space="0" w:color="auto"/>
              <w:left w:val="nil"/>
              <w:bottom w:val="single" w:sz="4" w:space="0" w:color="auto"/>
              <w:right w:val="nil"/>
            </w:tcBorders>
            <w:noWrap/>
            <w:vAlign w:val="bottom"/>
            <w:hideMark/>
          </w:tcPr>
          <w:p w14:paraId="3D643D7D" w14:textId="268179F1" w:rsidR="005F4B44" w:rsidRPr="005A22C2" w:rsidRDefault="005F4B44" w:rsidP="00265E36">
            <w:pPr>
              <w:pStyle w:val="Default"/>
              <w:jc w:val="both"/>
              <w:rPr>
                <w:color w:val="auto"/>
                <w:sz w:val="17"/>
                <w:szCs w:val="17"/>
              </w:rPr>
            </w:pPr>
            <w:r w:rsidRPr="005A22C2">
              <w:rPr>
                <w:color w:val="auto"/>
                <w:sz w:val="17"/>
                <w:szCs w:val="17"/>
              </w:rPr>
              <w:t>ES</w:t>
            </w:r>
            <w:r w:rsidRPr="005A22C2">
              <w:rPr>
                <w:color w:val="auto"/>
                <w:sz w:val="17"/>
                <w:szCs w:val="17"/>
                <w:lang w:eastAsia="zh-HK"/>
              </w:rPr>
              <w:t>模</w:t>
            </w:r>
            <w:r w:rsidR="00265E36" w:rsidRPr="005A22C2">
              <w:rPr>
                <w:rFonts w:hint="eastAsia"/>
                <w:color w:val="auto"/>
                <w:sz w:val="17"/>
                <w:szCs w:val="17"/>
                <w:lang w:eastAsia="zh-HK"/>
              </w:rPr>
              <w:t>式</w:t>
            </w:r>
            <w:r w:rsidRPr="005A22C2">
              <w:rPr>
                <w:color w:val="auto"/>
                <w:sz w:val="17"/>
                <w:szCs w:val="17"/>
                <w:lang w:eastAsia="zh-HK"/>
              </w:rPr>
              <w:t>的一般</w:t>
            </w:r>
            <w:r w:rsidRPr="005A22C2">
              <w:rPr>
                <w:rFonts w:hint="eastAsia"/>
                <w:color w:val="auto"/>
                <w:sz w:val="17"/>
                <w:szCs w:val="17"/>
                <w:lang w:eastAsia="zh-HK"/>
              </w:rPr>
              <w:t>描</w:t>
            </w:r>
            <w:r w:rsidRPr="005A22C2">
              <w:rPr>
                <w:rFonts w:hint="eastAsia"/>
                <w:color w:val="auto"/>
                <w:sz w:val="17"/>
                <w:szCs w:val="17"/>
              </w:rPr>
              <w:t>述</w:t>
            </w:r>
            <w:r w:rsidRPr="005A22C2">
              <w:rPr>
                <w:color w:val="auto"/>
                <w:sz w:val="17"/>
                <w:szCs w:val="17"/>
              </w:rPr>
              <w:t>。</w:t>
            </w:r>
            <w:r w:rsidRPr="005A22C2">
              <w:rPr>
                <w:color w:val="auto"/>
                <w:sz w:val="17"/>
                <w:szCs w:val="17"/>
                <w:lang w:eastAsia="zh-HK"/>
              </w:rPr>
              <w:t>例如</w:t>
            </w:r>
            <w:r w:rsidRPr="005A22C2">
              <w:rPr>
                <w:color w:val="auto"/>
                <w:sz w:val="17"/>
                <w:szCs w:val="17"/>
              </w:rPr>
              <w:t>，</w:t>
            </w:r>
            <w:r w:rsidRPr="005A22C2">
              <w:rPr>
                <w:color w:val="auto"/>
                <w:sz w:val="17"/>
                <w:szCs w:val="17"/>
                <w:lang w:eastAsia="zh-HK"/>
              </w:rPr>
              <w:t>認可機構可</w:t>
            </w:r>
            <w:r w:rsidRPr="005A22C2">
              <w:rPr>
                <w:rFonts w:hint="eastAsia"/>
                <w:color w:val="auto"/>
                <w:sz w:val="17"/>
                <w:szCs w:val="17"/>
                <w:lang w:eastAsia="zh-HK"/>
              </w:rPr>
              <w:t>描</w:t>
            </w:r>
            <w:r w:rsidRPr="005A22C2">
              <w:rPr>
                <w:rFonts w:hint="eastAsia"/>
                <w:color w:val="auto"/>
                <w:sz w:val="17"/>
                <w:szCs w:val="17"/>
              </w:rPr>
              <w:t>述</w:t>
            </w:r>
            <w:r w:rsidRPr="005A22C2">
              <w:rPr>
                <w:color w:val="auto"/>
                <w:sz w:val="17"/>
                <w:szCs w:val="17"/>
                <w:lang w:eastAsia="zh-HK"/>
              </w:rPr>
              <w:t>有關模</w:t>
            </w:r>
            <w:r w:rsidR="00844269" w:rsidRPr="005A22C2">
              <w:rPr>
                <w:rFonts w:ascii="新細明體" w:hAnsi="新細明體" w:hint="eastAsia"/>
                <w:color w:val="auto"/>
                <w:sz w:val="17"/>
                <w:szCs w:val="17"/>
              </w:rPr>
              <w:t>式</w:t>
            </w:r>
            <w:r w:rsidR="00E01FE1" w:rsidRPr="005A22C2">
              <w:rPr>
                <w:rFonts w:hint="eastAsia"/>
                <w:color w:val="auto"/>
                <w:sz w:val="17"/>
                <w:szCs w:val="17"/>
                <w:lang w:val="en-GB" w:eastAsia="zh-HK"/>
              </w:rPr>
              <w:t>是</w:t>
            </w:r>
            <w:r w:rsidR="005C7EC7" w:rsidRPr="005A22C2">
              <w:rPr>
                <w:rFonts w:hint="eastAsia"/>
                <w:color w:val="auto"/>
                <w:sz w:val="17"/>
                <w:szCs w:val="17"/>
                <w:lang w:eastAsia="zh-HK"/>
              </w:rPr>
              <w:t>基於</w:t>
            </w:r>
            <w:r w:rsidRPr="005A22C2">
              <w:rPr>
                <w:color w:val="auto"/>
                <w:sz w:val="17"/>
                <w:szCs w:val="17"/>
                <w:lang w:eastAsia="zh-HK"/>
              </w:rPr>
              <w:t>歷史模擬法</w:t>
            </w:r>
            <w:r w:rsidRPr="005A22C2">
              <w:rPr>
                <w:color w:val="auto"/>
                <w:sz w:val="17"/>
                <w:szCs w:val="17"/>
              </w:rPr>
              <w:t>、</w:t>
            </w:r>
            <w:r w:rsidRPr="005A22C2">
              <w:rPr>
                <w:color w:val="auto"/>
                <w:sz w:val="17"/>
                <w:szCs w:val="17"/>
                <w:lang w:eastAsia="zh-HK"/>
              </w:rPr>
              <w:t>蒙</w:t>
            </w:r>
            <w:r w:rsidR="00DE48AC" w:rsidRPr="005A22C2">
              <w:rPr>
                <w:rFonts w:hint="eastAsia"/>
                <w:color w:val="auto"/>
                <w:sz w:val="17"/>
                <w:szCs w:val="17"/>
                <w:lang w:eastAsia="zh-HK"/>
              </w:rPr>
              <w:t>特</w:t>
            </w:r>
            <w:r w:rsidRPr="005A22C2">
              <w:rPr>
                <w:color w:val="auto"/>
                <w:sz w:val="17"/>
                <w:szCs w:val="17"/>
                <w:lang w:eastAsia="zh-HK"/>
              </w:rPr>
              <w:t>卡羅模擬法或其他適當分析方法</w:t>
            </w:r>
            <w:r w:rsidRPr="005A22C2">
              <w:rPr>
                <w:color w:val="auto"/>
                <w:sz w:val="17"/>
                <w:szCs w:val="17"/>
              </w:rPr>
              <w:t>，</w:t>
            </w:r>
            <w:r w:rsidRPr="005A22C2">
              <w:rPr>
                <w:color w:val="auto"/>
                <w:sz w:val="17"/>
                <w:szCs w:val="17"/>
                <w:lang w:eastAsia="zh-HK"/>
              </w:rPr>
              <w:t>以及</w:t>
            </w:r>
            <w:r w:rsidR="00287D13" w:rsidRPr="005A22C2">
              <w:rPr>
                <w:color w:val="auto"/>
                <w:sz w:val="17"/>
                <w:szCs w:val="17"/>
                <w:lang w:eastAsia="zh-HK"/>
              </w:rPr>
              <w:t>計算</w:t>
            </w:r>
            <w:r w:rsidRPr="005A22C2">
              <w:rPr>
                <w:color w:val="auto"/>
                <w:sz w:val="17"/>
                <w:szCs w:val="17"/>
                <w:lang w:eastAsia="zh-HK"/>
              </w:rPr>
              <w:t>受壓</w:t>
            </w:r>
            <w:r w:rsidRPr="005A22C2">
              <w:rPr>
                <w:color w:val="auto"/>
                <w:sz w:val="17"/>
                <w:szCs w:val="17"/>
              </w:rPr>
              <w:t>ES</w:t>
            </w:r>
            <w:r w:rsidRPr="005A22C2">
              <w:rPr>
                <w:color w:val="auto"/>
                <w:sz w:val="17"/>
                <w:szCs w:val="17"/>
                <w:lang w:eastAsia="zh-HK"/>
              </w:rPr>
              <w:t>的受壓</w:t>
            </w:r>
            <w:r w:rsidRPr="005A22C2">
              <w:rPr>
                <w:color w:val="auto"/>
                <w:sz w:val="17"/>
                <w:szCs w:val="17"/>
              </w:rPr>
              <w:t>ES</w:t>
            </w:r>
            <w:r w:rsidRPr="005A22C2">
              <w:rPr>
                <w:color w:val="auto"/>
                <w:sz w:val="17"/>
                <w:szCs w:val="17"/>
                <w:lang w:eastAsia="zh-HK"/>
              </w:rPr>
              <w:t>有關期</w:t>
            </w:r>
            <w:r w:rsidR="004676E6" w:rsidRPr="005A22C2">
              <w:rPr>
                <w:rFonts w:hint="eastAsia"/>
                <w:color w:val="auto"/>
                <w:sz w:val="17"/>
                <w:szCs w:val="17"/>
                <w:lang w:eastAsia="zh-HK"/>
              </w:rPr>
              <w:t>間</w:t>
            </w:r>
            <w:r w:rsidRPr="005A22C2">
              <w:rPr>
                <w:color w:val="auto"/>
                <w:sz w:val="17"/>
                <w:szCs w:val="17"/>
              </w:rPr>
              <w:t>。</w:t>
            </w:r>
          </w:p>
        </w:tc>
      </w:tr>
      <w:tr w:rsidR="005A22C2" w:rsidRPr="005A22C2" w14:paraId="11339A81" w14:textId="77777777" w:rsidTr="005A2C3B">
        <w:trPr>
          <w:trHeight w:val="318"/>
          <w:jc w:val="center"/>
        </w:trPr>
        <w:tc>
          <w:tcPr>
            <w:tcW w:w="650" w:type="dxa"/>
            <w:tcBorders>
              <w:top w:val="single" w:sz="4" w:space="0" w:color="auto"/>
              <w:left w:val="nil"/>
              <w:bottom w:val="single" w:sz="4" w:space="0" w:color="auto"/>
            </w:tcBorders>
            <w:noWrap/>
            <w:vAlign w:val="center"/>
            <w:hideMark/>
          </w:tcPr>
          <w:p w14:paraId="5B2E68A8" w14:textId="77777777" w:rsidR="005F4B44" w:rsidRPr="005A22C2" w:rsidRDefault="005F4B44" w:rsidP="00287D13">
            <w:pPr>
              <w:pStyle w:val="TableText"/>
              <w:rPr>
                <w:rFonts w:eastAsia="新細明體" w:cs="Segoe UI"/>
                <w:lang w:eastAsia="fr-FR"/>
              </w:rPr>
            </w:pPr>
            <w:r w:rsidRPr="005A22C2">
              <w:rPr>
                <w:rFonts w:eastAsia="新細明體" w:cs="Segoe UI"/>
                <w:lang w:eastAsia="fr-FR"/>
              </w:rPr>
              <w:t>(d)</w:t>
            </w:r>
          </w:p>
        </w:tc>
        <w:tc>
          <w:tcPr>
            <w:tcW w:w="8671" w:type="dxa"/>
            <w:tcBorders>
              <w:top w:val="single" w:sz="4" w:space="0" w:color="auto"/>
              <w:left w:val="nil"/>
              <w:bottom w:val="single" w:sz="4" w:space="0" w:color="auto"/>
              <w:right w:val="nil"/>
            </w:tcBorders>
            <w:noWrap/>
            <w:vAlign w:val="center"/>
            <w:hideMark/>
          </w:tcPr>
          <w:p w14:paraId="1E71DCE2" w14:textId="437234E4" w:rsidR="005F4B44" w:rsidRPr="005A22C2" w:rsidRDefault="005F4B44" w:rsidP="005A2C3B">
            <w:pPr>
              <w:pStyle w:val="Default"/>
              <w:rPr>
                <w:color w:val="auto"/>
                <w:sz w:val="17"/>
                <w:szCs w:val="17"/>
              </w:rPr>
            </w:pPr>
            <w:r w:rsidRPr="005A22C2">
              <w:rPr>
                <w:color w:val="auto"/>
                <w:sz w:val="17"/>
                <w:szCs w:val="17"/>
                <w:lang w:eastAsia="zh-HK"/>
              </w:rPr>
              <w:t>模</w:t>
            </w:r>
            <w:r w:rsidR="00844269" w:rsidRPr="005A22C2">
              <w:rPr>
                <w:rFonts w:ascii="新細明體" w:hAnsi="新細明體" w:hint="eastAsia"/>
                <w:color w:val="auto"/>
                <w:sz w:val="17"/>
                <w:szCs w:val="17"/>
              </w:rPr>
              <w:t>式</w:t>
            </w:r>
            <w:r w:rsidRPr="005A22C2">
              <w:rPr>
                <w:color w:val="auto"/>
                <w:sz w:val="17"/>
                <w:szCs w:val="17"/>
                <w:lang w:eastAsia="zh-HK"/>
              </w:rPr>
              <w:t>數據更新</w:t>
            </w:r>
            <w:r w:rsidRPr="005A22C2">
              <w:rPr>
                <w:rFonts w:hint="eastAsia"/>
                <w:color w:val="auto"/>
                <w:sz w:val="17"/>
                <w:szCs w:val="17"/>
                <w:lang w:eastAsia="zh-HK"/>
              </w:rPr>
              <w:t>的頻</w:t>
            </w:r>
            <w:r w:rsidRPr="005A22C2">
              <w:rPr>
                <w:rFonts w:hint="eastAsia"/>
                <w:color w:val="auto"/>
                <w:sz w:val="17"/>
                <w:szCs w:val="17"/>
              </w:rPr>
              <w:t>率</w:t>
            </w:r>
            <w:r w:rsidRPr="005A22C2">
              <w:rPr>
                <w:color w:val="auto"/>
                <w:sz w:val="17"/>
                <w:szCs w:val="17"/>
              </w:rPr>
              <w:t>。</w:t>
            </w:r>
          </w:p>
        </w:tc>
      </w:tr>
      <w:tr w:rsidR="005A22C2" w:rsidRPr="005A22C2" w14:paraId="50573DC2" w14:textId="77777777" w:rsidTr="00722213">
        <w:trPr>
          <w:trHeight w:val="318"/>
          <w:jc w:val="center"/>
        </w:trPr>
        <w:tc>
          <w:tcPr>
            <w:tcW w:w="650" w:type="dxa"/>
            <w:tcBorders>
              <w:top w:val="single" w:sz="4" w:space="0" w:color="auto"/>
              <w:left w:val="nil"/>
              <w:bottom w:val="single" w:sz="4" w:space="0" w:color="auto"/>
            </w:tcBorders>
            <w:noWrap/>
            <w:hideMark/>
          </w:tcPr>
          <w:p w14:paraId="03BAF686" w14:textId="77777777" w:rsidR="005F4B44" w:rsidRPr="005A22C2" w:rsidRDefault="005F4B44" w:rsidP="005F4B44">
            <w:pPr>
              <w:pStyle w:val="TableText"/>
              <w:rPr>
                <w:rFonts w:eastAsia="新細明體" w:cs="Segoe UI"/>
                <w:lang w:eastAsia="fr-FR"/>
              </w:rPr>
            </w:pPr>
            <w:r w:rsidRPr="005A22C2">
              <w:rPr>
                <w:rFonts w:eastAsia="新細明體" w:cs="Segoe UI"/>
                <w:lang w:eastAsia="fr-FR"/>
              </w:rPr>
              <w:t>(e)</w:t>
            </w:r>
          </w:p>
        </w:tc>
        <w:tc>
          <w:tcPr>
            <w:tcW w:w="8671" w:type="dxa"/>
            <w:tcBorders>
              <w:top w:val="single" w:sz="4" w:space="0" w:color="auto"/>
              <w:left w:val="nil"/>
              <w:bottom w:val="single" w:sz="4" w:space="0" w:color="auto"/>
              <w:right w:val="nil"/>
            </w:tcBorders>
            <w:noWrap/>
            <w:vAlign w:val="bottom"/>
            <w:hideMark/>
          </w:tcPr>
          <w:p w14:paraId="369013E0" w14:textId="5A0FB447" w:rsidR="005F4B44" w:rsidRPr="005A22C2" w:rsidRDefault="005F4B44" w:rsidP="00463DD8">
            <w:pPr>
              <w:pStyle w:val="Default"/>
              <w:jc w:val="both"/>
              <w:rPr>
                <w:color w:val="auto"/>
                <w:sz w:val="17"/>
                <w:szCs w:val="17"/>
                <w:lang w:val="en-GB" w:eastAsia="zh-HK"/>
              </w:rPr>
            </w:pPr>
            <w:r w:rsidRPr="005A22C2">
              <w:rPr>
                <w:rFonts w:hint="eastAsia"/>
                <w:color w:val="auto"/>
                <w:sz w:val="17"/>
                <w:szCs w:val="17"/>
                <w:lang w:eastAsia="zh-HK"/>
              </w:rPr>
              <w:t>描</w:t>
            </w:r>
            <w:r w:rsidRPr="005A22C2">
              <w:rPr>
                <w:rFonts w:hint="eastAsia"/>
                <w:color w:val="auto"/>
                <w:sz w:val="17"/>
                <w:szCs w:val="17"/>
              </w:rPr>
              <w:t>述</w:t>
            </w:r>
            <w:r w:rsidR="00300CB6" w:rsidRPr="005A22C2">
              <w:rPr>
                <w:color w:val="auto"/>
                <w:sz w:val="17"/>
                <w:szCs w:val="17"/>
                <w:lang w:val="en-GB" w:eastAsia="zh-HK"/>
              </w:rPr>
              <w:t>以現行</w:t>
            </w:r>
            <w:r w:rsidRPr="005A22C2">
              <w:rPr>
                <w:color w:val="auto"/>
                <w:sz w:val="17"/>
                <w:szCs w:val="17"/>
                <w:lang w:eastAsia="zh-HK"/>
              </w:rPr>
              <w:t>及受壓觀察</w:t>
            </w:r>
            <w:r w:rsidR="00300CB6" w:rsidRPr="005A22C2">
              <w:rPr>
                <w:color w:val="auto"/>
                <w:sz w:val="17"/>
                <w:szCs w:val="17"/>
                <w:lang w:val="en-GB" w:eastAsia="zh-HK"/>
              </w:rPr>
              <w:t>為基礎</w:t>
            </w:r>
            <w:r w:rsidR="00E01FE1" w:rsidRPr="005A22C2">
              <w:rPr>
                <w:rFonts w:hint="eastAsia"/>
                <w:color w:val="auto"/>
                <w:sz w:val="17"/>
                <w:szCs w:val="17"/>
                <w:lang w:val="en-GB" w:eastAsia="zh-HK"/>
              </w:rPr>
              <w:t>的</w:t>
            </w:r>
            <w:r w:rsidRPr="005A22C2">
              <w:rPr>
                <w:color w:val="auto"/>
                <w:sz w:val="17"/>
                <w:szCs w:val="17"/>
              </w:rPr>
              <w:t>ES</w:t>
            </w:r>
            <w:r w:rsidR="00E01FE1" w:rsidRPr="005A22C2">
              <w:rPr>
                <w:rFonts w:hint="eastAsia"/>
                <w:color w:val="auto"/>
                <w:sz w:val="17"/>
                <w:szCs w:val="17"/>
                <w:lang w:eastAsia="zh-HK"/>
              </w:rPr>
              <w:t>計算</w:t>
            </w:r>
            <w:r w:rsidRPr="005A22C2">
              <w:rPr>
                <w:color w:val="auto"/>
                <w:sz w:val="17"/>
                <w:szCs w:val="17"/>
              </w:rPr>
              <w:t>。</w:t>
            </w:r>
            <w:r w:rsidRPr="005A22C2">
              <w:rPr>
                <w:color w:val="auto"/>
                <w:sz w:val="17"/>
                <w:szCs w:val="17"/>
                <w:lang w:eastAsia="zh-HK"/>
              </w:rPr>
              <w:t>例如</w:t>
            </w:r>
            <w:r w:rsidRPr="005A22C2">
              <w:rPr>
                <w:color w:val="auto"/>
                <w:sz w:val="17"/>
                <w:szCs w:val="17"/>
              </w:rPr>
              <w:t>，</w:t>
            </w:r>
            <w:r w:rsidRPr="005A22C2">
              <w:rPr>
                <w:color w:val="auto"/>
                <w:sz w:val="17"/>
                <w:szCs w:val="17"/>
                <w:lang w:eastAsia="zh-HK"/>
              </w:rPr>
              <w:t>認可機構應</w:t>
            </w:r>
            <w:r w:rsidRPr="005A22C2">
              <w:rPr>
                <w:rFonts w:hint="eastAsia"/>
                <w:color w:val="auto"/>
                <w:sz w:val="17"/>
                <w:szCs w:val="17"/>
                <w:lang w:eastAsia="zh-HK"/>
              </w:rPr>
              <w:t>描</w:t>
            </w:r>
            <w:r w:rsidRPr="005A22C2">
              <w:rPr>
                <w:rFonts w:hint="eastAsia"/>
                <w:color w:val="auto"/>
                <w:sz w:val="17"/>
                <w:szCs w:val="17"/>
              </w:rPr>
              <w:t>述</w:t>
            </w:r>
            <w:r w:rsidRPr="005A22C2">
              <w:rPr>
                <w:color w:val="auto"/>
                <w:sz w:val="17"/>
                <w:szCs w:val="17"/>
                <w:lang w:eastAsia="zh-HK"/>
              </w:rPr>
              <w:t>用作</w:t>
            </w:r>
            <w:r w:rsidRPr="005A22C2">
              <w:rPr>
                <w:color w:val="auto"/>
                <w:sz w:val="17"/>
                <w:szCs w:val="17"/>
                <w:lang w:val="en-GB" w:eastAsia="zh-HK"/>
              </w:rPr>
              <w:t>校準受壓期</w:t>
            </w:r>
            <w:r w:rsidR="007020B4" w:rsidRPr="005A22C2">
              <w:rPr>
                <w:rFonts w:hint="eastAsia"/>
                <w:color w:val="auto"/>
                <w:sz w:val="17"/>
                <w:szCs w:val="17"/>
                <w:lang w:val="en-GB" w:eastAsia="zh-HK"/>
              </w:rPr>
              <w:t>間</w:t>
            </w:r>
            <w:r w:rsidRPr="005A22C2">
              <w:rPr>
                <w:color w:val="auto"/>
                <w:sz w:val="17"/>
                <w:szCs w:val="17"/>
                <w:lang w:val="en-GB" w:eastAsia="zh-HK"/>
              </w:rPr>
              <w:t>的可模</w:t>
            </w:r>
            <w:r w:rsidRPr="005A22C2">
              <w:rPr>
                <w:rFonts w:ascii="新細明體" w:hAnsi="新細明體" w:hint="eastAsia"/>
                <w:color w:val="auto"/>
                <w:sz w:val="17"/>
                <w:szCs w:val="17"/>
              </w:rPr>
              <w:t>式化</w:t>
            </w:r>
            <w:r w:rsidRPr="005A22C2">
              <w:rPr>
                <w:color w:val="auto"/>
                <w:sz w:val="17"/>
                <w:szCs w:val="17"/>
                <w:lang w:val="en-GB" w:eastAsia="zh-HK"/>
              </w:rPr>
              <w:t>風險因素</w:t>
            </w:r>
            <w:r w:rsidR="00FB19BD" w:rsidRPr="005A22C2">
              <w:rPr>
                <w:color w:val="auto"/>
                <w:sz w:val="17"/>
                <w:szCs w:val="17"/>
                <w:lang w:val="en-GB" w:eastAsia="zh-HK"/>
              </w:rPr>
              <w:t>的</w:t>
            </w:r>
            <w:r w:rsidRPr="005A22C2">
              <w:rPr>
                <w:rFonts w:hint="eastAsia"/>
                <w:color w:val="auto"/>
                <w:sz w:val="17"/>
                <w:szCs w:val="17"/>
                <w:lang w:val="en-GB" w:eastAsia="zh-HK"/>
              </w:rPr>
              <w:t>簡化組合</w:t>
            </w:r>
            <w:r w:rsidRPr="005A22C2">
              <w:rPr>
                <w:color w:val="auto"/>
                <w:sz w:val="17"/>
                <w:szCs w:val="17"/>
                <w:lang w:val="en-GB" w:eastAsia="zh-HK"/>
              </w:rPr>
              <w:t>、由可模</w:t>
            </w:r>
            <w:r w:rsidRPr="005A22C2">
              <w:rPr>
                <w:rFonts w:ascii="新細明體" w:hAnsi="新細明體" w:hint="eastAsia"/>
                <w:color w:val="auto"/>
                <w:sz w:val="17"/>
                <w:szCs w:val="17"/>
              </w:rPr>
              <w:t>式化</w:t>
            </w:r>
            <w:r w:rsidRPr="005A22C2">
              <w:rPr>
                <w:color w:val="auto"/>
                <w:sz w:val="17"/>
                <w:szCs w:val="17"/>
                <w:lang w:val="en-GB" w:eastAsia="zh-HK"/>
              </w:rPr>
              <w:t>風險因素</w:t>
            </w:r>
            <w:r w:rsidR="003C61FD" w:rsidRPr="005A22C2">
              <w:rPr>
                <w:rFonts w:hint="eastAsia"/>
                <w:color w:val="auto"/>
                <w:sz w:val="17"/>
                <w:szCs w:val="17"/>
                <w:lang w:val="en-GB" w:eastAsia="zh-HK"/>
              </w:rPr>
              <w:t>的</w:t>
            </w:r>
            <w:r w:rsidRPr="005A22C2">
              <w:rPr>
                <w:rFonts w:hint="eastAsia"/>
                <w:color w:val="auto"/>
                <w:sz w:val="17"/>
                <w:szCs w:val="17"/>
                <w:lang w:val="en-GB" w:eastAsia="zh-HK"/>
              </w:rPr>
              <w:t>簡化組合</w:t>
            </w:r>
            <w:r w:rsidRPr="005A22C2">
              <w:rPr>
                <w:color w:val="auto"/>
                <w:sz w:val="17"/>
                <w:szCs w:val="17"/>
                <w:lang w:val="en-GB" w:eastAsia="zh-HK"/>
              </w:rPr>
              <w:t>解釋的</w:t>
            </w:r>
            <w:r w:rsidRPr="005A22C2">
              <w:rPr>
                <w:rFonts w:hint="eastAsia"/>
                <w:color w:val="auto"/>
                <w:sz w:val="17"/>
                <w:szCs w:val="17"/>
                <w:lang w:val="en-GB" w:eastAsia="zh-HK"/>
              </w:rPr>
              <w:t>完整指</w:t>
            </w:r>
            <w:r w:rsidR="00463DD8" w:rsidRPr="005A22C2">
              <w:rPr>
                <w:rFonts w:hint="eastAsia"/>
                <w:color w:val="auto"/>
                <w:sz w:val="17"/>
                <w:szCs w:val="17"/>
                <w:lang w:val="en-GB" w:eastAsia="zh-HK"/>
              </w:rPr>
              <w:t>定</w:t>
            </w:r>
            <w:r w:rsidRPr="005A22C2">
              <w:rPr>
                <w:color w:val="auto"/>
                <w:sz w:val="17"/>
                <w:szCs w:val="17"/>
                <w:lang w:val="en-GB" w:eastAsia="zh-HK"/>
              </w:rPr>
              <w:t>ES</w:t>
            </w:r>
            <w:r w:rsidRPr="005A22C2">
              <w:rPr>
                <w:color w:val="auto"/>
                <w:sz w:val="17"/>
                <w:szCs w:val="17"/>
                <w:lang w:val="en-GB" w:eastAsia="zh-HK"/>
              </w:rPr>
              <w:t>的變動比重，以及用作識別受壓</w:t>
            </w:r>
            <w:r w:rsidRPr="005A22C2">
              <w:rPr>
                <w:color w:val="auto"/>
                <w:sz w:val="17"/>
                <w:szCs w:val="17"/>
                <w:lang w:val="en-GB" w:eastAsia="zh-HK"/>
              </w:rPr>
              <w:t>ES</w:t>
            </w:r>
            <w:r w:rsidRPr="005A22C2">
              <w:rPr>
                <w:color w:val="auto"/>
                <w:sz w:val="17"/>
                <w:szCs w:val="17"/>
                <w:lang w:eastAsia="zh-HK"/>
              </w:rPr>
              <w:t>有</w:t>
            </w:r>
            <w:r w:rsidRPr="005A22C2">
              <w:rPr>
                <w:color w:val="auto"/>
                <w:sz w:val="17"/>
                <w:szCs w:val="17"/>
                <w:lang w:val="en-GB" w:eastAsia="zh-HK"/>
              </w:rPr>
              <w:t>關期</w:t>
            </w:r>
            <w:r w:rsidR="00025362" w:rsidRPr="005A22C2">
              <w:rPr>
                <w:rFonts w:hint="eastAsia"/>
                <w:color w:val="auto"/>
                <w:sz w:val="17"/>
                <w:szCs w:val="17"/>
                <w:lang w:eastAsia="zh-HK"/>
              </w:rPr>
              <w:t>間</w:t>
            </w:r>
            <w:r w:rsidRPr="005A22C2">
              <w:rPr>
                <w:color w:val="auto"/>
                <w:sz w:val="17"/>
                <w:szCs w:val="17"/>
                <w:lang w:val="en-GB" w:eastAsia="zh-HK"/>
              </w:rPr>
              <w:t>的觀察期</w:t>
            </w:r>
            <w:r w:rsidR="00025362" w:rsidRPr="005A22C2">
              <w:rPr>
                <w:rFonts w:hint="eastAsia"/>
                <w:color w:val="auto"/>
                <w:sz w:val="17"/>
                <w:szCs w:val="17"/>
                <w:lang w:eastAsia="zh-HK"/>
              </w:rPr>
              <w:t>間</w:t>
            </w:r>
            <w:r w:rsidRPr="005A22C2">
              <w:rPr>
                <w:color w:val="auto"/>
                <w:sz w:val="17"/>
                <w:szCs w:val="17"/>
                <w:lang w:val="en-GB" w:eastAsia="zh-HK"/>
              </w:rPr>
              <w:t>。</w:t>
            </w:r>
          </w:p>
        </w:tc>
      </w:tr>
    </w:tbl>
    <w:p w14:paraId="3DE91CF5" w14:textId="77777777" w:rsidR="005F4B44" w:rsidRPr="005A22C2" w:rsidRDefault="005F4B44" w:rsidP="005F4B44">
      <w:pPr>
        <w:rPr>
          <w:rFonts w:eastAsia="新細明體" w:cs="Segoe UI"/>
          <w:lang w:eastAsia="zh-TW"/>
        </w:rPr>
      </w:pPr>
    </w:p>
    <w:tbl>
      <w:tblPr>
        <w:tblW w:w="9242" w:type="dxa"/>
        <w:jc w:val="center"/>
        <w:tblCellMar>
          <w:left w:w="70" w:type="dxa"/>
          <w:right w:w="70" w:type="dxa"/>
        </w:tblCellMar>
        <w:tblLook w:val="00A0" w:firstRow="1" w:lastRow="0" w:firstColumn="1" w:lastColumn="0" w:noHBand="0" w:noVBand="0"/>
      </w:tblPr>
      <w:tblGrid>
        <w:gridCol w:w="607"/>
        <w:gridCol w:w="8635"/>
      </w:tblGrid>
      <w:tr w:rsidR="005A22C2" w:rsidRPr="005A22C2" w14:paraId="528CE2DD" w14:textId="77777777" w:rsidTr="00722213">
        <w:trPr>
          <w:trHeight w:val="448"/>
          <w:jc w:val="center"/>
        </w:trPr>
        <w:tc>
          <w:tcPr>
            <w:tcW w:w="607" w:type="dxa"/>
            <w:tcBorders>
              <w:top w:val="single" w:sz="4" w:space="0" w:color="auto"/>
              <w:left w:val="nil"/>
              <w:bottom w:val="single" w:sz="4" w:space="0" w:color="auto"/>
              <w:right w:val="nil"/>
            </w:tcBorders>
            <w:shd w:val="clear" w:color="auto" w:fill="F2F2F2"/>
            <w:vAlign w:val="center"/>
            <w:hideMark/>
          </w:tcPr>
          <w:p w14:paraId="3308C8E8" w14:textId="77777777" w:rsidR="005F4B44" w:rsidRPr="005A22C2" w:rsidRDefault="005F4B44" w:rsidP="005F4B44">
            <w:pPr>
              <w:pStyle w:val="ListParagraph"/>
              <w:widowControl w:val="0"/>
              <w:tabs>
                <w:tab w:val="left" w:pos="540"/>
              </w:tabs>
              <w:spacing w:before="40" w:after="40"/>
              <w:ind w:leftChars="0" w:left="0"/>
              <w:jc w:val="both"/>
              <w:rPr>
                <w:rFonts w:eastAsia="新細明體" w:cs="Segoe UI"/>
                <w:sz w:val="17"/>
                <w:szCs w:val="17"/>
              </w:rPr>
            </w:pPr>
            <w:r w:rsidRPr="005A22C2">
              <w:rPr>
                <w:rFonts w:eastAsia="新細明體" w:cs="Segoe UI"/>
                <w:sz w:val="17"/>
                <w:szCs w:val="17"/>
              </w:rPr>
              <w:t>(III)</w:t>
            </w:r>
          </w:p>
        </w:tc>
        <w:tc>
          <w:tcPr>
            <w:tcW w:w="8635" w:type="dxa"/>
            <w:tcBorders>
              <w:top w:val="single" w:sz="4" w:space="0" w:color="auto"/>
              <w:left w:val="nil"/>
              <w:bottom w:val="single" w:sz="4" w:space="0" w:color="auto"/>
              <w:right w:val="nil"/>
            </w:tcBorders>
            <w:shd w:val="clear" w:color="auto" w:fill="F2F2F2"/>
            <w:vAlign w:val="center"/>
            <w:hideMark/>
          </w:tcPr>
          <w:p w14:paraId="73104751" w14:textId="76B4EC41" w:rsidR="005F4B44" w:rsidRPr="005A22C2" w:rsidRDefault="005F4B44" w:rsidP="005F4B44">
            <w:pPr>
              <w:pStyle w:val="ListParagraph"/>
              <w:widowControl w:val="0"/>
              <w:tabs>
                <w:tab w:val="left" w:pos="540"/>
              </w:tabs>
              <w:spacing w:before="40" w:after="40"/>
              <w:ind w:leftChars="0" w:left="0"/>
              <w:jc w:val="both"/>
              <w:rPr>
                <w:rFonts w:eastAsia="新細明體" w:cs="Segoe UI"/>
                <w:sz w:val="17"/>
                <w:szCs w:val="17"/>
                <w:lang w:eastAsia="zh-TW"/>
              </w:rPr>
            </w:pPr>
            <w:r w:rsidRPr="005A22C2">
              <w:rPr>
                <w:rFonts w:eastAsia="新細明體" w:cs="Segoe UI"/>
                <w:sz w:val="17"/>
                <w:szCs w:val="17"/>
                <w:lang w:eastAsia="zh-HK"/>
              </w:rPr>
              <w:t>使用內部模式</w:t>
            </w:r>
            <w:r w:rsidRPr="005A22C2">
              <w:rPr>
                <w:rFonts w:eastAsia="新細明體" w:cs="Segoe UI" w:hint="eastAsia"/>
                <w:sz w:val="17"/>
                <w:szCs w:val="17"/>
                <w:lang w:eastAsia="zh-HK"/>
              </w:rPr>
              <w:t>斷</w:t>
            </w:r>
            <w:r w:rsidRPr="005A22C2">
              <w:rPr>
                <w:rFonts w:eastAsia="新細明體" w:cs="Segoe UI" w:hint="eastAsia"/>
                <w:sz w:val="17"/>
                <w:szCs w:val="17"/>
                <w:lang w:eastAsia="zh-TW"/>
              </w:rPr>
              <w:t>定</w:t>
            </w:r>
            <w:r w:rsidRPr="005A22C2">
              <w:rPr>
                <w:rFonts w:eastAsia="新細明體" w:cs="Segoe UI"/>
                <w:sz w:val="17"/>
                <w:szCs w:val="17"/>
                <w:lang w:eastAsia="zh-TW"/>
              </w:rPr>
              <w:t>NMRF</w:t>
            </w:r>
            <w:r w:rsidR="00E01FE1" w:rsidRPr="005A22C2">
              <w:rPr>
                <w:rFonts w:eastAsia="新細明體" w:cs="Segoe UI" w:hint="eastAsia"/>
                <w:sz w:val="17"/>
                <w:szCs w:val="17"/>
                <w:lang w:eastAsia="zh-HK"/>
              </w:rPr>
              <w:t>的</w:t>
            </w:r>
            <w:r w:rsidRPr="005A22C2">
              <w:rPr>
                <w:rFonts w:eastAsia="新細明體" w:cs="Segoe UI"/>
                <w:sz w:val="17"/>
                <w:szCs w:val="17"/>
                <w:lang w:eastAsia="zh-HK"/>
              </w:rPr>
              <w:t>市場風險要求的認可機構須提供以下資料</w:t>
            </w:r>
            <w:r w:rsidRPr="005A22C2">
              <w:rPr>
                <w:rFonts w:eastAsia="新細明體" w:cs="Segoe UI"/>
                <w:sz w:val="17"/>
                <w:szCs w:val="17"/>
                <w:lang w:eastAsia="zh-TW"/>
              </w:rPr>
              <w:t>：</w:t>
            </w:r>
          </w:p>
        </w:tc>
      </w:tr>
      <w:tr w:rsidR="005A22C2" w:rsidRPr="005A22C2" w14:paraId="1ECE50B2" w14:textId="77777777" w:rsidTr="00722213">
        <w:trPr>
          <w:trHeight w:val="318"/>
          <w:jc w:val="center"/>
        </w:trPr>
        <w:tc>
          <w:tcPr>
            <w:tcW w:w="607" w:type="dxa"/>
            <w:tcBorders>
              <w:top w:val="single" w:sz="4" w:space="0" w:color="auto"/>
              <w:left w:val="nil"/>
              <w:bottom w:val="single" w:sz="4" w:space="0" w:color="auto"/>
            </w:tcBorders>
            <w:noWrap/>
            <w:hideMark/>
          </w:tcPr>
          <w:p w14:paraId="01E81C9E" w14:textId="77777777" w:rsidR="005F4B44" w:rsidRPr="005A22C2" w:rsidRDefault="005F4B44" w:rsidP="005F4B44">
            <w:pPr>
              <w:widowControl w:val="0"/>
              <w:spacing w:before="40" w:after="40"/>
              <w:rPr>
                <w:rFonts w:eastAsia="新細明體" w:cs="Segoe UI"/>
                <w:sz w:val="17"/>
                <w:szCs w:val="17"/>
              </w:rPr>
            </w:pPr>
            <w:r w:rsidRPr="005A22C2">
              <w:rPr>
                <w:rFonts w:eastAsia="新細明體" w:cs="Segoe UI"/>
                <w:sz w:val="17"/>
                <w:szCs w:val="17"/>
              </w:rPr>
              <w:t>(a)</w:t>
            </w:r>
          </w:p>
        </w:tc>
        <w:tc>
          <w:tcPr>
            <w:tcW w:w="8635" w:type="dxa"/>
            <w:tcBorders>
              <w:top w:val="single" w:sz="4" w:space="0" w:color="auto"/>
              <w:left w:val="nil"/>
              <w:bottom w:val="single" w:sz="4" w:space="0" w:color="auto"/>
              <w:right w:val="nil"/>
            </w:tcBorders>
            <w:noWrap/>
            <w:vAlign w:val="center"/>
            <w:hideMark/>
          </w:tcPr>
          <w:p w14:paraId="409E9531" w14:textId="2777C348" w:rsidR="005F4B44" w:rsidRPr="005A22C2" w:rsidRDefault="006C2FEB" w:rsidP="00B24EF9">
            <w:pPr>
              <w:pStyle w:val="TableText"/>
              <w:jc w:val="both"/>
              <w:rPr>
                <w:szCs w:val="17"/>
                <w:lang w:eastAsia="zh-TW"/>
              </w:rPr>
            </w:pPr>
            <w:r w:rsidRPr="005A22C2">
              <w:rPr>
                <w:rFonts w:eastAsia="新細明體" w:cs="Segoe UI" w:hint="eastAsia"/>
                <w:lang w:eastAsia="zh-TW"/>
              </w:rPr>
              <w:t>用作達致</w:t>
            </w:r>
            <w:r w:rsidRPr="005A22C2">
              <w:rPr>
                <w:rFonts w:ascii="新細明體" w:eastAsia="新細明體" w:hAnsi="新細明體" w:hint="eastAsia"/>
                <w:lang w:eastAsia="zh-TW"/>
              </w:rPr>
              <w:t>與《資本規則》附表</w:t>
            </w:r>
            <w:r w:rsidRPr="005A22C2">
              <w:rPr>
                <w:rFonts w:ascii="新細明體" w:eastAsia="新細明體" w:hAnsi="新細明體"/>
                <w:lang w:eastAsia="zh-TW"/>
              </w:rPr>
              <w:t>3</w:t>
            </w:r>
            <w:r w:rsidR="00530EDC" w:rsidRPr="005A22C2">
              <w:rPr>
                <w:rFonts w:ascii="新細明體" w:eastAsia="新細明體" w:hAnsi="新細明體" w:hint="eastAsia"/>
                <w:lang w:eastAsia="zh-TW"/>
              </w:rPr>
              <w:t>所載</w:t>
            </w:r>
            <w:r w:rsidR="00E01FE1" w:rsidRPr="005A22C2">
              <w:rPr>
                <w:rFonts w:ascii="新細明體" w:eastAsia="新細明體" w:hAnsi="新細明體" w:hint="eastAsia"/>
                <w:lang w:eastAsia="zh-HK"/>
              </w:rPr>
              <w:t>及要求的</w:t>
            </w:r>
            <w:r w:rsidR="00530EDC" w:rsidRPr="005A22C2">
              <w:rPr>
                <w:rFonts w:ascii="新細明體" w:eastAsia="新細明體" w:hAnsi="新細明體" w:hint="eastAsia"/>
                <w:lang w:eastAsia="zh-TW"/>
              </w:rPr>
              <w:t>穩健性標準</w:t>
            </w:r>
            <w:r w:rsidR="00530EDC" w:rsidRPr="005A22C2">
              <w:rPr>
                <w:rFonts w:ascii="新細明體" w:eastAsia="新細明體" w:hAnsi="新細明體" w:hint="eastAsia"/>
                <w:lang w:eastAsia="zh-HK"/>
              </w:rPr>
              <w:t>一致</w:t>
            </w:r>
            <w:r w:rsidRPr="005A22C2">
              <w:rPr>
                <w:rFonts w:ascii="新細明體" w:eastAsia="新細明體" w:hAnsi="新細明體" w:hint="eastAsia"/>
                <w:lang w:eastAsia="zh-HK"/>
              </w:rPr>
              <w:t>的</w:t>
            </w:r>
            <w:r w:rsidR="00B24EF9" w:rsidRPr="005A22C2">
              <w:rPr>
                <w:rFonts w:ascii="微軟正黑體" w:eastAsia="微軟正黑體" w:hAnsi="微軟正黑體" w:cs="微軟正黑體" w:hint="eastAsia"/>
                <w:szCs w:val="17"/>
                <w:lang w:eastAsia="zh-HK"/>
              </w:rPr>
              <w:t>，</w:t>
            </w:r>
            <w:r w:rsidR="00E01FE1" w:rsidRPr="005A22C2">
              <w:rPr>
                <w:rFonts w:ascii="新細明體" w:eastAsia="新細明體" w:hAnsi="新細明體" w:cs="Segoe UI" w:hint="eastAsia"/>
                <w:lang w:eastAsia="zh-TW"/>
              </w:rPr>
              <w:t>就</w:t>
            </w:r>
            <w:r w:rsidR="00E01FE1" w:rsidRPr="005A22C2">
              <w:rPr>
                <w:rFonts w:ascii="新細明體" w:eastAsia="新細明體" w:hAnsi="新細明體" w:hint="eastAsia"/>
                <w:lang w:eastAsia="zh-TW"/>
              </w:rPr>
              <w:t>各類</w:t>
            </w:r>
            <w:r w:rsidR="00E01FE1" w:rsidRPr="005A22C2">
              <w:rPr>
                <w:rFonts w:eastAsia="新細明體" w:cs="Segoe UI"/>
                <w:szCs w:val="17"/>
                <w:lang w:eastAsia="zh-TW"/>
              </w:rPr>
              <w:t>NMRF</w:t>
            </w:r>
            <w:r w:rsidR="00E01FE1" w:rsidRPr="005A22C2">
              <w:rPr>
                <w:rFonts w:eastAsia="新細明體" w:cs="Segoe UI" w:hint="eastAsia"/>
                <w:lang w:eastAsia="zh-TW"/>
              </w:rPr>
              <w:t>作</w:t>
            </w:r>
            <w:r w:rsidR="00E01FE1" w:rsidRPr="005A22C2">
              <w:rPr>
                <w:rFonts w:ascii="新細明體" w:eastAsia="新細明體" w:hAnsi="新細明體" w:hint="eastAsia"/>
                <w:lang w:eastAsia="zh-TW"/>
              </w:rPr>
              <w:t>資本評估所使用的每</w:t>
            </w:r>
            <w:proofErr w:type="gramStart"/>
            <w:r w:rsidR="00E01FE1" w:rsidRPr="005A22C2">
              <w:rPr>
                <w:rFonts w:ascii="新細明體" w:eastAsia="新細明體" w:hAnsi="新細明體" w:hint="eastAsia"/>
                <w:lang w:eastAsia="zh-TW"/>
              </w:rPr>
              <w:t>個</w:t>
            </w:r>
            <w:proofErr w:type="gramEnd"/>
            <w:r w:rsidR="00E01FE1" w:rsidRPr="005A22C2">
              <w:rPr>
                <w:rFonts w:ascii="新細明體" w:eastAsia="新細明體" w:hAnsi="新細明體" w:hint="eastAsia"/>
                <w:lang w:eastAsia="zh-TW"/>
              </w:rPr>
              <w:t>方法</w:t>
            </w:r>
            <w:r w:rsidR="005F4B44" w:rsidRPr="005A22C2">
              <w:rPr>
                <w:rFonts w:ascii="新細明體" w:eastAsia="新細明體" w:hAnsi="新細明體" w:hint="eastAsia"/>
                <w:lang w:eastAsia="zh-TW"/>
              </w:rPr>
              <w:t>的一般描述</w:t>
            </w:r>
            <w:r w:rsidR="005F4B44" w:rsidRPr="005A22C2">
              <w:rPr>
                <w:rFonts w:ascii="新細明體" w:eastAsia="新細明體" w:hAnsi="新細明體" w:cs="Segoe UI"/>
                <w:lang w:eastAsia="zh-TW"/>
              </w:rPr>
              <w:t>。</w:t>
            </w:r>
          </w:p>
        </w:tc>
      </w:tr>
    </w:tbl>
    <w:p w14:paraId="6BFA899D" w14:textId="66ED6152" w:rsidR="005F4B44" w:rsidRPr="005A22C2" w:rsidRDefault="005F4B44" w:rsidP="005F4B44">
      <w:pPr>
        <w:rPr>
          <w:rFonts w:eastAsia="新細明體" w:cs="Segoe UI"/>
          <w:lang w:eastAsia="zh-TW"/>
        </w:rPr>
      </w:pPr>
    </w:p>
    <w:tbl>
      <w:tblPr>
        <w:tblW w:w="9242" w:type="dxa"/>
        <w:jc w:val="center"/>
        <w:tblCellMar>
          <w:left w:w="70" w:type="dxa"/>
          <w:right w:w="70" w:type="dxa"/>
        </w:tblCellMar>
        <w:tblLook w:val="00A0" w:firstRow="1" w:lastRow="0" w:firstColumn="1" w:lastColumn="0" w:noHBand="0" w:noVBand="0"/>
      </w:tblPr>
      <w:tblGrid>
        <w:gridCol w:w="610"/>
        <w:gridCol w:w="8632"/>
      </w:tblGrid>
      <w:tr w:rsidR="005A22C2" w:rsidRPr="005A22C2" w14:paraId="18B9D0FD" w14:textId="77777777" w:rsidTr="005F4B44">
        <w:trPr>
          <w:trHeight w:val="448"/>
          <w:jc w:val="center"/>
        </w:trPr>
        <w:tc>
          <w:tcPr>
            <w:tcW w:w="607" w:type="dxa"/>
            <w:tcBorders>
              <w:top w:val="single" w:sz="4" w:space="0" w:color="auto"/>
              <w:left w:val="nil"/>
              <w:bottom w:val="single" w:sz="4" w:space="0" w:color="auto"/>
              <w:right w:val="nil"/>
            </w:tcBorders>
            <w:shd w:val="clear" w:color="auto" w:fill="F2F2F2"/>
            <w:vAlign w:val="center"/>
            <w:hideMark/>
          </w:tcPr>
          <w:p w14:paraId="057E3AC8" w14:textId="77777777" w:rsidR="005F4B44" w:rsidRPr="005A22C2" w:rsidRDefault="005F4B44" w:rsidP="005F4B44">
            <w:pPr>
              <w:pStyle w:val="ListParagraph"/>
              <w:widowControl w:val="0"/>
              <w:tabs>
                <w:tab w:val="left" w:pos="540"/>
              </w:tabs>
              <w:spacing w:before="40" w:after="40"/>
              <w:ind w:leftChars="0" w:left="0"/>
              <w:jc w:val="both"/>
              <w:rPr>
                <w:rFonts w:eastAsia="新細明體" w:cs="Segoe UI"/>
                <w:sz w:val="17"/>
                <w:szCs w:val="17"/>
              </w:rPr>
            </w:pPr>
            <w:r w:rsidRPr="005A22C2">
              <w:rPr>
                <w:rFonts w:eastAsia="新細明體" w:cs="Segoe UI"/>
                <w:sz w:val="17"/>
                <w:szCs w:val="17"/>
              </w:rPr>
              <w:t>(IV)</w:t>
            </w:r>
          </w:p>
        </w:tc>
        <w:tc>
          <w:tcPr>
            <w:tcW w:w="8635" w:type="dxa"/>
            <w:tcBorders>
              <w:top w:val="single" w:sz="4" w:space="0" w:color="auto"/>
              <w:left w:val="nil"/>
              <w:bottom w:val="single" w:sz="4" w:space="0" w:color="auto"/>
              <w:right w:val="nil"/>
            </w:tcBorders>
            <w:shd w:val="clear" w:color="auto" w:fill="F2F2F2"/>
            <w:vAlign w:val="center"/>
            <w:hideMark/>
          </w:tcPr>
          <w:p w14:paraId="56A1D01D" w14:textId="19E88F9E" w:rsidR="005F4B44" w:rsidRPr="005A22C2" w:rsidRDefault="005F4B44" w:rsidP="005F4B44">
            <w:pPr>
              <w:pStyle w:val="ListParagraph"/>
              <w:widowControl w:val="0"/>
              <w:tabs>
                <w:tab w:val="left" w:pos="540"/>
              </w:tabs>
              <w:spacing w:before="40" w:after="40"/>
              <w:ind w:leftChars="0" w:left="0"/>
              <w:jc w:val="both"/>
              <w:rPr>
                <w:rFonts w:eastAsia="新細明體" w:cs="Segoe UI"/>
                <w:sz w:val="17"/>
                <w:szCs w:val="17"/>
                <w:lang w:eastAsia="zh-TW"/>
              </w:rPr>
            </w:pPr>
            <w:r w:rsidRPr="005A22C2">
              <w:rPr>
                <w:rFonts w:eastAsia="新細明體" w:cs="Segoe UI"/>
                <w:sz w:val="17"/>
                <w:szCs w:val="17"/>
                <w:lang w:eastAsia="zh-HK"/>
              </w:rPr>
              <w:t>使用內部模式</w:t>
            </w:r>
            <w:r w:rsidRPr="005A22C2">
              <w:rPr>
                <w:rFonts w:eastAsia="新細明體" w:cs="Segoe UI" w:hint="eastAsia"/>
                <w:sz w:val="17"/>
                <w:szCs w:val="17"/>
                <w:lang w:eastAsia="zh-HK"/>
              </w:rPr>
              <w:t>斷</w:t>
            </w:r>
            <w:r w:rsidRPr="005A22C2">
              <w:rPr>
                <w:rFonts w:eastAsia="新細明體" w:cs="Segoe UI" w:hint="eastAsia"/>
                <w:sz w:val="17"/>
                <w:szCs w:val="17"/>
                <w:lang w:eastAsia="zh-TW"/>
              </w:rPr>
              <w:t>定</w:t>
            </w:r>
            <w:r w:rsidRPr="005A22C2">
              <w:rPr>
                <w:rFonts w:eastAsia="新細明體" w:cs="Segoe UI"/>
                <w:sz w:val="17"/>
                <w:szCs w:val="17"/>
                <w:lang w:eastAsia="zh-HK"/>
              </w:rPr>
              <w:t>違責風險</w:t>
            </w:r>
            <w:r w:rsidRPr="005A22C2">
              <w:rPr>
                <w:rFonts w:ascii="新細明體" w:eastAsia="新細明體" w:hAnsi="新細明體" w:hint="eastAsia"/>
                <w:sz w:val="17"/>
                <w:szCs w:val="17"/>
                <w:lang w:eastAsia="zh-TW"/>
              </w:rPr>
              <w:t>資本</w:t>
            </w:r>
            <w:r w:rsidRPr="005A22C2">
              <w:rPr>
                <w:rFonts w:eastAsia="新細明體" w:cs="Segoe UI"/>
                <w:sz w:val="17"/>
                <w:szCs w:val="17"/>
                <w:lang w:eastAsia="zh-HK"/>
              </w:rPr>
              <w:t>要求的認可機構須提供以下資料</w:t>
            </w:r>
            <w:r w:rsidRPr="005A22C2">
              <w:rPr>
                <w:rFonts w:eastAsia="新細明體" w:cs="Segoe UI"/>
                <w:sz w:val="17"/>
                <w:szCs w:val="17"/>
                <w:lang w:eastAsia="zh-TW"/>
              </w:rPr>
              <w:t>：</w:t>
            </w:r>
          </w:p>
        </w:tc>
      </w:tr>
      <w:tr w:rsidR="005A22C2" w:rsidRPr="005A22C2" w14:paraId="29EA1F04" w14:textId="77777777" w:rsidTr="005F4B44">
        <w:trPr>
          <w:trHeight w:val="318"/>
          <w:jc w:val="center"/>
        </w:trPr>
        <w:tc>
          <w:tcPr>
            <w:tcW w:w="610" w:type="dxa"/>
            <w:tcBorders>
              <w:top w:val="single" w:sz="4" w:space="0" w:color="auto"/>
              <w:left w:val="nil"/>
              <w:bottom w:val="single" w:sz="4" w:space="0" w:color="auto"/>
              <w:right w:val="nil"/>
            </w:tcBorders>
            <w:noWrap/>
            <w:hideMark/>
          </w:tcPr>
          <w:p w14:paraId="2B933554" w14:textId="77777777" w:rsidR="005F4B44" w:rsidRPr="005A22C2" w:rsidRDefault="005F4B44" w:rsidP="005F4B44">
            <w:pPr>
              <w:widowControl w:val="0"/>
              <w:spacing w:before="40" w:after="40"/>
              <w:rPr>
                <w:rFonts w:eastAsia="新細明體" w:cs="Segoe UI"/>
                <w:sz w:val="17"/>
                <w:szCs w:val="17"/>
              </w:rPr>
            </w:pPr>
            <w:r w:rsidRPr="005A22C2">
              <w:rPr>
                <w:rFonts w:eastAsia="新細明體" w:cs="Segoe UI"/>
                <w:sz w:val="17"/>
                <w:szCs w:val="17"/>
              </w:rPr>
              <w:t>(a)</w:t>
            </w:r>
          </w:p>
        </w:tc>
        <w:tc>
          <w:tcPr>
            <w:tcW w:w="8632" w:type="dxa"/>
            <w:tcBorders>
              <w:top w:val="single" w:sz="4" w:space="0" w:color="auto"/>
              <w:left w:val="nil"/>
              <w:bottom w:val="single" w:sz="4" w:space="0" w:color="auto"/>
              <w:right w:val="nil"/>
            </w:tcBorders>
            <w:noWrap/>
            <w:vAlign w:val="center"/>
            <w:hideMark/>
          </w:tcPr>
          <w:p w14:paraId="4971B2EE" w14:textId="33F4E42E" w:rsidR="005F4B44" w:rsidRPr="005A22C2" w:rsidRDefault="005F4B44" w:rsidP="005F4B44">
            <w:pPr>
              <w:pStyle w:val="TableText"/>
              <w:jc w:val="both"/>
              <w:rPr>
                <w:rFonts w:eastAsia="新細明體" w:cs="Segoe UI"/>
                <w:lang w:eastAsia="zh-TW"/>
              </w:rPr>
            </w:pPr>
            <w:r w:rsidRPr="005A22C2">
              <w:rPr>
                <w:rFonts w:eastAsia="新細明體" w:cs="Segoe UI"/>
                <w:lang w:eastAsia="zh-HK"/>
              </w:rPr>
              <w:t>有關方法</w:t>
            </w:r>
            <w:r w:rsidRPr="005A22C2">
              <w:rPr>
                <w:rFonts w:ascii="新細明體" w:eastAsia="新細明體" w:hAnsi="新細明體" w:cs="Segoe UI" w:hint="eastAsia"/>
                <w:lang w:eastAsia="zh-TW"/>
              </w:rPr>
              <w:t>的</w:t>
            </w:r>
            <w:r w:rsidRPr="005A22C2">
              <w:rPr>
                <w:rFonts w:ascii="新細明體" w:eastAsia="新細明體" w:hAnsi="新細明體" w:hint="eastAsia"/>
                <w:szCs w:val="17"/>
                <w:lang w:eastAsia="zh-HK"/>
              </w:rPr>
              <w:t>一般描</w:t>
            </w:r>
            <w:r w:rsidRPr="005A22C2">
              <w:rPr>
                <w:rFonts w:ascii="新細明體" w:eastAsia="新細明體" w:hAnsi="新細明體" w:hint="eastAsia"/>
                <w:szCs w:val="17"/>
                <w:lang w:eastAsia="zh-TW"/>
              </w:rPr>
              <w:t>述</w:t>
            </w:r>
            <w:r w:rsidRPr="005A22C2">
              <w:rPr>
                <w:rFonts w:eastAsia="新細明體" w:cs="Segoe UI"/>
                <w:lang w:eastAsia="zh-TW"/>
              </w:rPr>
              <w:t>，</w:t>
            </w:r>
            <w:r w:rsidRPr="005A22C2">
              <w:rPr>
                <w:rFonts w:eastAsia="新細明體" w:cs="Segoe UI"/>
                <w:lang w:eastAsia="zh-HK"/>
              </w:rPr>
              <w:t>包括</w:t>
            </w:r>
            <w:r w:rsidRPr="005A22C2">
              <w:rPr>
                <w:rFonts w:eastAsia="新細明體" w:cs="Segoe UI" w:hint="eastAsia"/>
                <w:lang w:eastAsia="zh-HK"/>
              </w:rPr>
              <w:t>風險值</w:t>
            </w:r>
            <w:r w:rsidRPr="005A22C2">
              <w:rPr>
                <w:rFonts w:eastAsia="新細明體" w:cs="Segoe UI"/>
                <w:lang w:eastAsia="zh-HK"/>
              </w:rPr>
              <w:t>特點及範圍</w:t>
            </w:r>
            <w:r w:rsidR="004E3C42" w:rsidRPr="005A22C2">
              <w:rPr>
                <w:rFonts w:eastAsia="新細明體" w:cs="Segoe UI" w:hint="eastAsia"/>
                <w:lang w:eastAsia="zh-HK"/>
              </w:rPr>
              <w:t>的資</w:t>
            </w:r>
            <w:r w:rsidR="004E3C42" w:rsidRPr="005A22C2">
              <w:rPr>
                <w:rFonts w:eastAsia="新細明體" w:cs="Segoe UI" w:hint="eastAsia"/>
                <w:lang w:eastAsia="zh-TW"/>
              </w:rPr>
              <w:t>料</w:t>
            </w:r>
            <w:r w:rsidRPr="005A22C2">
              <w:rPr>
                <w:rFonts w:eastAsia="新細明體" w:cs="Segoe UI"/>
                <w:lang w:eastAsia="zh-TW"/>
              </w:rPr>
              <w:t>，</w:t>
            </w:r>
            <w:r w:rsidRPr="005A22C2">
              <w:rPr>
                <w:rFonts w:eastAsia="新細明體" w:cs="Segoe UI"/>
                <w:lang w:eastAsia="zh-HK"/>
              </w:rPr>
              <w:t>以及不同風險承擔</w:t>
            </w:r>
            <w:r w:rsidRPr="005A22C2">
              <w:rPr>
                <w:rFonts w:eastAsia="新細明體" w:cs="Segoe UI" w:hint="eastAsia"/>
                <w:lang w:eastAsia="zh-HK"/>
              </w:rPr>
              <w:t>類別是</w:t>
            </w:r>
            <w:r w:rsidRPr="005A22C2">
              <w:rPr>
                <w:rFonts w:eastAsia="新細明體" w:cs="Segoe UI" w:hint="eastAsia"/>
                <w:lang w:eastAsia="zh-TW"/>
              </w:rPr>
              <w:t>否</w:t>
            </w:r>
            <w:r w:rsidRPr="005A22C2">
              <w:rPr>
                <w:rFonts w:eastAsia="新細明體" w:cs="Segoe UI"/>
                <w:lang w:eastAsia="zh-HK"/>
              </w:rPr>
              <w:t>使用不同模</w:t>
            </w:r>
            <w:r w:rsidR="00844269" w:rsidRPr="005A22C2">
              <w:rPr>
                <w:rFonts w:ascii="新細明體" w:hAnsi="新細明體" w:hint="eastAsia"/>
                <w:szCs w:val="17"/>
                <w:lang w:eastAsia="zh-TW"/>
              </w:rPr>
              <w:t>式</w:t>
            </w:r>
            <w:r w:rsidRPr="005A22C2">
              <w:rPr>
                <w:rFonts w:eastAsia="新細明體" w:cs="Segoe UI"/>
                <w:lang w:eastAsia="zh-TW"/>
              </w:rPr>
              <w:t>。</w:t>
            </w:r>
            <w:r w:rsidRPr="005A22C2">
              <w:rPr>
                <w:rFonts w:eastAsia="新細明體" w:cs="Segoe UI"/>
                <w:lang w:eastAsia="zh-HK"/>
              </w:rPr>
              <w:t>例如</w:t>
            </w:r>
            <w:r w:rsidRPr="005A22C2">
              <w:rPr>
                <w:rFonts w:eastAsia="新細明體" w:cs="Segoe UI"/>
                <w:lang w:eastAsia="zh-TW"/>
              </w:rPr>
              <w:t>，</w:t>
            </w:r>
            <w:r w:rsidRPr="005A22C2">
              <w:rPr>
                <w:rFonts w:eastAsia="新細明體" w:cs="Segoe UI"/>
                <w:lang w:eastAsia="zh-HK"/>
              </w:rPr>
              <w:t>認可機構可</w:t>
            </w:r>
            <w:r w:rsidR="0046092B" w:rsidRPr="005A22C2">
              <w:rPr>
                <w:rFonts w:eastAsia="新細明體" w:cs="Segoe UI" w:hint="eastAsia"/>
                <w:lang w:eastAsia="zh-HK"/>
              </w:rPr>
              <w:t>描述</w:t>
            </w:r>
            <w:r w:rsidRPr="005A22C2">
              <w:rPr>
                <w:rFonts w:eastAsia="新細明體" w:cs="Segoe UI"/>
                <w:lang w:eastAsia="zh-HK"/>
              </w:rPr>
              <w:t>在不同</w:t>
            </w:r>
            <w:proofErr w:type="gramStart"/>
            <w:r w:rsidRPr="005A22C2">
              <w:rPr>
                <w:rFonts w:eastAsia="新細明體" w:cs="Segoe UI"/>
                <w:lang w:eastAsia="zh-HK"/>
              </w:rPr>
              <w:t>類別持倉的</w:t>
            </w:r>
            <w:proofErr w:type="gramEnd"/>
            <w:r w:rsidRPr="005A22C2">
              <w:rPr>
                <w:rFonts w:eastAsia="新細明體" w:cs="Segoe UI"/>
                <w:lang w:eastAsia="zh-HK"/>
              </w:rPr>
              <w:t>承擔義務人</w:t>
            </w:r>
            <w:proofErr w:type="gramStart"/>
            <w:r w:rsidR="00E01FE1" w:rsidRPr="005A22C2">
              <w:rPr>
                <w:rFonts w:eastAsia="新細明體" w:cs="Segoe UI" w:hint="eastAsia"/>
                <w:lang w:eastAsia="zh-HK"/>
              </w:rPr>
              <w:t>的</w:t>
            </w:r>
            <w:r w:rsidRPr="005A22C2">
              <w:rPr>
                <w:rFonts w:eastAsia="新細明體" w:cs="Segoe UI"/>
                <w:lang w:eastAsia="zh-HK"/>
              </w:rPr>
              <w:t>違責或然率</w:t>
            </w:r>
            <w:proofErr w:type="gramEnd"/>
            <w:r w:rsidR="0046092B" w:rsidRPr="005A22C2">
              <w:rPr>
                <w:rFonts w:eastAsia="新細明體" w:cs="Segoe UI" w:hint="eastAsia"/>
                <w:lang w:eastAsia="zh-HK"/>
              </w:rPr>
              <w:t>等級劃分</w:t>
            </w:r>
            <w:r w:rsidRPr="005A22C2">
              <w:rPr>
                <w:rFonts w:eastAsia="新細明體" w:cs="Segoe UI"/>
                <w:lang w:eastAsia="zh-TW"/>
              </w:rPr>
              <w:t>、</w:t>
            </w:r>
            <w:r w:rsidR="002822D2" w:rsidRPr="005A22C2">
              <w:rPr>
                <w:rFonts w:eastAsiaTheme="minorEastAsia" w:cs="Segoe UI" w:hint="eastAsia"/>
                <w:kern w:val="2"/>
                <w:szCs w:val="17"/>
                <w:lang w:eastAsia="zh-TW"/>
              </w:rPr>
              <w:t>（</w:t>
            </w:r>
            <w:r w:rsidRPr="005A22C2">
              <w:rPr>
                <w:rFonts w:eastAsia="新細明體" w:cs="Segoe UI"/>
                <w:lang w:eastAsia="zh-HK"/>
              </w:rPr>
              <w:t>如適用</w:t>
            </w:r>
            <w:r w:rsidR="00083254" w:rsidRPr="005A22C2">
              <w:rPr>
                <w:rFonts w:eastAsia="新細明體" w:cs="Segoe UI" w:hint="eastAsia"/>
                <w:lang w:eastAsia="zh-TW"/>
              </w:rPr>
              <w:t>）</w:t>
            </w:r>
            <w:r w:rsidRPr="005A22C2">
              <w:rPr>
                <w:rFonts w:eastAsia="新細明體" w:cs="Segoe UI"/>
                <w:lang w:eastAsia="zh-HK"/>
              </w:rPr>
              <w:t>用作糾正市場</w:t>
            </w:r>
            <w:proofErr w:type="gramStart"/>
            <w:r w:rsidRPr="005A22C2">
              <w:rPr>
                <w:rFonts w:eastAsia="新細明體" w:cs="Segoe UI" w:hint="eastAsia"/>
                <w:lang w:eastAsia="zh-HK"/>
              </w:rPr>
              <w:t>隱含</w:t>
            </w:r>
            <w:r w:rsidRPr="005A22C2">
              <w:rPr>
                <w:rFonts w:eastAsia="新細明體" w:cs="Segoe UI"/>
                <w:lang w:eastAsia="zh-HK"/>
              </w:rPr>
              <w:t>違責或然率</w:t>
            </w:r>
            <w:proofErr w:type="gramEnd"/>
            <w:r w:rsidRPr="005A22C2">
              <w:rPr>
                <w:rFonts w:eastAsia="新細明體" w:cs="Segoe UI"/>
                <w:lang w:eastAsia="zh-HK"/>
              </w:rPr>
              <w:t>的方法</w:t>
            </w:r>
            <w:r w:rsidRPr="005A22C2">
              <w:rPr>
                <w:rFonts w:eastAsia="新細明體" w:cs="Segoe UI"/>
                <w:lang w:eastAsia="zh-TW"/>
              </w:rPr>
              <w:t>、</w:t>
            </w:r>
            <w:r w:rsidRPr="005A22C2">
              <w:rPr>
                <w:rFonts w:eastAsia="新細明體" w:cs="Segoe UI"/>
                <w:lang w:eastAsia="zh-HK"/>
              </w:rPr>
              <w:t>淨額計算的處理</w:t>
            </w:r>
            <w:r w:rsidRPr="005A22C2">
              <w:rPr>
                <w:rFonts w:eastAsia="新細明體" w:cs="Segoe UI"/>
                <w:lang w:eastAsia="zh-TW"/>
              </w:rPr>
              <w:t>、</w:t>
            </w:r>
            <w:r w:rsidRPr="005A22C2">
              <w:rPr>
                <w:rFonts w:eastAsia="新細明體" w:cs="Segoe UI"/>
                <w:lang w:eastAsia="zh-HK"/>
              </w:rPr>
              <w:t>不同承擔義務人</w:t>
            </w:r>
            <w:r w:rsidR="00FB19BD" w:rsidRPr="005A22C2">
              <w:rPr>
                <w:rFonts w:eastAsia="新細明體" w:cs="Segoe UI" w:hint="eastAsia"/>
                <w:lang w:eastAsia="zh-HK"/>
              </w:rPr>
              <w:t>的</w:t>
            </w:r>
            <w:r w:rsidRPr="005A22C2">
              <w:rPr>
                <w:rFonts w:eastAsia="新細明體" w:cs="Segoe UI" w:hint="eastAsia"/>
                <w:lang w:eastAsia="zh-HK"/>
              </w:rPr>
              <w:t>長風險承擔及短風險</w:t>
            </w:r>
            <w:r w:rsidRPr="005A22C2">
              <w:rPr>
                <w:rFonts w:eastAsia="新細明體" w:cs="Segoe UI"/>
                <w:lang w:eastAsia="zh-HK"/>
              </w:rPr>
              <w:t>承擔之間</w:t>
            </w:r>
            <w:proofErr w:type="gramStart"/>
            <w:r w:rsidRPr="005A22C2">
              <w:rPr>
                <w:rFonts w:eastAsia="新細明體" w:cs="Segoe UI"/>
                <w:lang w:eastAsia="zh-HK"/>
              </w:rPr>
              <w:t>的基差風險</w:t>
            </w:r>
            <w:proofErr w:type="gramEnd"/>
            <w:r w:rsidRPr="005A22C2">
              <w:rPr>
                <w:rFonts w:eastAsia="新細明體" w:cs="Segoe UI"/>
                <w:lang w:eastAsia="zh-TW"/>
              </w:rPr>
              <w:t>、</w:t>
            </w:r>
            <w:proofErr w:type="gramStart"/>
            <w:r w:rsidR="00340065" w:rsidRPr="005A22C2">
              <w:rPr>
                <w:rFonts w:eastAsia="新細明體" w:cs="Segoe UI" w:hint="eastAsia"/>
                <w:lang w:eastAsia="zh-HK"/>
              </w:rPr>
              <w:t>某</w:t>
            </w:r>
            <w:r w:rsidRPr="005A22C2">
              <w:rPr>
                <w:rFonts w:eastAsia="新細明體" w:cs="Segoe UI"/>
                <w:lang w:eastAsia="zh-HK"/>
              </w:rPr>
              <w:t>持倉與其</w:t>
            </w:r>
            <w:proofErr w:type="gramEnd"/>
            <w:r w:rsidRPr="005A22C2">
              <w:rPr>
                <w:rFonts w:eastAsia="新細明體" w:cs="Segoe UI"/>
                <w:lang w:eastAsia="zh-HK"/>
              </w:rPr>
              <w:t>對沖之間</w:t>
            </w:r>
            <w:proofErr w:type="gramStart"/>
            <w:r w:rsidRPr="005A22C2">
              <w:rPr>
                <w:rFonts w:eastAsia="新細明體" w:cs="Segoe UI"/>
                <w:lang w:eastAsia="zh-HK"/>
              </w:rPr>
              <w:t>的錯配</w:t>
            </w:r>
            <w:proofErr w:type="gramEnd"/>
            <w:r w:rsidRPr="005A22C2">
              <w:rPr>
                <w:rFonts w:eastAsia="新細明體" w:cs="Segoe UI"/>
                <w:lang w:eastAsia="zh-TW"/>
              </w:rPr>
              <w:t>，</w:t>
            </w:r>
            <w:r w:rsidRPr="005A22C2">
              <w:rPr>
                <w:rFonts w:eastAsia="新細明體" w:cs="Segoe UI"/>
                <w:lang w:eastAsia="zh-HK"/>
              </w:rPr>
              <w:t>以及</w:t>
            </w:r>
            <w:r w:rsidRPr="005A22C2">
              <w:rPr>
                <w:rFonts w:eastAsia="新細明體" w:cs="Segoe UI" w:hint="eastAsia"/>
                <w:lang w:eastAsia="zh-HK"/>
              </w:rPr>
              <w:t>在</w:t>
            </w:r>
            <w:r w:rsidRPr="005A22C2">
              <w:rPr>
                <w:rFonts w:eastAsia="新細明體" w:cs="Segoe UI"/>
                <w:lang w:eastAsia="zh-HK"/>
              </w:rPr>
              <w:t>受壓</w:t>
            </w:r>
            <w:r w:rsidRPr="005A22C2">
              <w:rPr>
                <w:rFonts w:eastAsia="新細明體" w:cs="Segoe UI" w:hint="eastAsia"/>
                <w:lang w:eastAsia="zh-HK"/>
              </w:rPr>
              <w:t>情況</w:t>
            </w:r>
            <w:r w:rsidRPr="005A22C2">
              <w:rPr>
                <w:rFonts w:eastAsia="新細明體" w:cs="Segoe UI"/>
                <w:lang w:eastAsia="zh-HK"/>
              </w:rPr>
              <w:t>下</w:t>
            </w:r>
            <w:r w:rsidR="00340065" w:rsidRPr="005A22C2">
              <w:rPr>
                <w:rFonts w:eastAsia="新細明體" w:cs="Segoe UI"/>
                <w:lang w:eastAsia="zh-TW"/>
              </w:rPr>
              <w:t>，</w:t>
            </w:r>
            <w:r w:rsidRPr="005A22C2">
              <w:rPr>
                <w:rFonts w:eastAsia="新細明體" w:cs="Segoe UI"/>
                <w:lang w:eastAsia="zh-HK"/>
              </w:rPr>
              <w:t>產品類別</w:t>
            </w:r>
            <w:r w:rsidRPr="005A22C2">
              <w:rPr>
                <w:rFonts w:eastAsia="新細明體" w:cs="Segoe UI" w:hint="eastAsia"/>
                <w:lang w:eastAsia="zh-HK"/>
              </w:rPr>
              <w:t>內及</w:t>
            </w:r>
            <w:r w:rsidRPr="005A22C2">
              <w:rPr>
                <w:rFonts w:eastAsia="新細明體" w:cs="Segoe UI"/>
                <w:lang w:eastAsia="zh-HK"/>
              </w:rPr>
              <w:t>之間可</w:t>
            </w:r>
            <w:r w:rsidRPr="005A22C2">
              <w:rPr>
                <w:rFonts w:eastAsia="新細明體" w:cs="Segoe UI" w:hint="eastAsia"/>
                <w:lang w:eastAsia="zh-HK"/>
              </w:rPr>
              <w:t>能</w:t>
            </w:r>
            <w:r w:rsidRPr="005A22C2">
              <w:rPr>
                <w:rFonts w:eastAsia="新細明體" w:cs="Segoe UI"/>
                <w:lang w:eastAsia="zh-HK"/>
              </w:rPr>
              <w:t>產生的</w:t>
            </w:r>
            <w:r w:rsidRPr="005A22C2">
              <w:rPr>
                <w:rFonts w:eastAsia="新細明體" w:cs="Segoe UI" w:hint="eastAsia"/>
                <w:lang w:eastAsia="zh-HK"/>
              </w:rPr>
              <w:t>集中度</w:t>
            </w:r>
            <w:r w:rsidRPr="005A22C2">
              <w:rPr>
                <w:rFonts w:eastAsia="新細明體" w:cs="Segoe UI"/>
                <w:lang w:eastAsia="zh-TW"/>
              </w:rPr>
              <w:t>。</w:t>
            </w:r>
          </w:p>
        </w:tc>
      </w:tr>
      <w:tr w:rsidR="005A22C2" w:rsidRPr="005A22C2" w14:paraId="409361BD" w14:textId="77777777" w:rsidTr="005F4B44">
        <w:trPr>
          <w:trHeight w:val="318"/>
          <w:jc w:val="center"/>
        </w:trPr>
        <w:tc>
          <w:tcPr>
            <w:tcW w:w="610" w:type="dxa"/>
            <w:tcBorders>
              <w:top w:val="single" w:sz="4" w:space="0" w:color="auto"/>
              <w:left w:val="nil"/>
              <w:bottom w:val="single" w:sz="4" w:space="0" w:color="auto"/>
              <w:right w:val="nil"/>
            </w:tcBorders>
            <w:noWrap/>
            <w:hideMark/>
          </w:tcPr>
          <w:p w14:paraId="15B4AC08" w14:textId="77777777" w:rsidR="005F4B44" w:rsidRPr="005A22C2" w:rsidRDefault="005F4B44" w:rsidP="005F4B44">
            <w:pPr>
              <w:widowControl w:val="0"/>
              <w:spacing w:before="40" w:after="40"/>
              <w:rPr>
                <w:rFonts w:eastAsia="新細明體" w:cs="Segoe UI"/>
                <w:sz w:val="17"/>
                <w:szCs w:val="17"/>
              </w:rPr>
            </w:pPr>
            <w:r w:rsidRPr="005A22C2">
              <w:rPr>
                <w:rFonts w:eastAsia="新細明體" w:cs="Segoe UI"/>
                <w:sz w:val="17"/>
                <w:szCs w:val="17"/>
              </w:rPr>
              <w:t>(b)</w:t>
            </w:r>
          </w:p>
        </w:tc>
        <w:tc>
          <w:tcPr>
            <w:tcW w:w="8632" w:type="dxa"/>
            <w:tcBorders>
              <w:top w:val="single" w:sz="4" w:space="0" w:color="auto"/>
              <w:left w:val="nil"/>
              <w:bottom w:val="single" w:sz="4" w:space="0" w:color="auto"/>
              <w:right w:val="nil"/>
            </w:tcBorders>
            <w:noWrap/>
            <w:vAlign w:val="center"/>
            <w:hideMark/>
          </w:tcPr>
          <w:p w14:paraId="4F385EA3" w14:textId="35A53DA4" w:rsidR="005F4B44" w:rsidRPr="005A22C2" w:rsidRDefault="005F4B44" w:rsidP="005F4B44">
            <w:pPr>
              <w:pStyle w:val="Default"/>
              <w:jc w:val="both"/>
              <w:rPr>
                <w:color w:val="auto"/>
                <w:sz w:val="17"/>
                <w:szCs w:val="17"/>
              </w:rPr>
            </w:pPr>
            <w:r w:rsidRPr="005A22C2">
              <w:rPr>
                <w:color w:val="auto"/>
                <w:sz w:val="17"/>
                <w:szCs w:val="17"/>
                <w:lang w:eastAsia="zh-HK"/>
              </w:rPr>
              <w:t>用作</w:t>
            </w:r>
            <w:r w:rsidR="00823321" w:rsidRPr="005A22C2">
              <w:rPr>
                <w:rFonts w:hint="eastAsia"/>
                <w:color w:val="auto"/>
                <w:sz w:val="17"/>
                <w:szCs w:val="17"/>
                <w:lang w:val="en-GB" w:eastAsia="zh-HK"/>
              </w:rPr>
              <w:t>達致</w:t>
            </w:r>
            <w:r w:rsidRPr="005A22C2">
              <w:rPr>
                <w:color w:val="auto"/>
                <w:sz w:val="17"/>
                <w:szCs w:val="17"/>
                <w:lang w:eastAsia="zh-HK"/>
              </w:rPr>
              <w:t>與《資本規則》附表</w:t>
            </w:r>
            <w:r w:rsidR="00722213" w:rsidRPr="005A22C2">
              <w:rPr>
                <w:color w:val="auto"/>
                <w:sz w:val="17"/>
                <w:szCs w:val="17"/>
              </w:rPr>
              <w:t>3</w:t>
            </w:r>
            <w:r w:rsidRPr="005A22C2">
              <w:rPr>
                <w:color w:val="auto"/>
                <w:sz w:val="17"/>
                <w:szCs w:val="17"/>
                <w:lang w:eastAsia="zh-HK"/>
              </w:rPr>
              <w:t>所載</w:t>
            </w:r>
            <w:r w:rsidR="00BD7738" w:rsidRPr="005A22C2">
              <w:rPr>
                <w:rFonts w:hint="eastAsia"/>
                <w:color w:val="auto"/>
                <w:sz w:val="17"/>
                <w:szCs w:val="17"/>
                <w:lang w:eastAsia="zh-HK"/>
              </w:rPr>
              <w:t>及要求的</w:t>
            </w:r>
            <w:r w:rsidRPr="005A22C2">
              <w:rPr>
                <w:color w:val="auto"/>
                <w:sz w:val="17"/>
                <w:szCs w:val="17"/>
                <w:lang w:eastAsia="zh-HK"/>
              </w:rPr>
              <w:t>穩健性標準</w:t>
            </w:r>
            <w:r w:rsidR="00530EDC" w:rsidRPr="005A22C2">
              <w:rPr>
                <w:rFonts w:hint="eastAsia"/>
                <w:color w:val="auto"/>
                <w:sz w:val="17"/>
                <w:szCs w:val="17"/>
                <w:lang w:eastAsia="zh-HK"/>
              </w:rPr>
              <w:t>一致</w:t>
            </w:r>
            <w:r w:rsidRPr="005A22C2">
              <w:rPr>
                <w:color w:val="auto"/>
                <w:sz w:val="17"/>
                <w:szCs w:val="17"/>
                <w:lang w:eastAsia="zh-HK"/>
              </w:rPr>
              <w:t>的資本評估的方法</w:t>
            </w:r>
            <w:r w:rsidRPr="005A22C2">
              <w:rPr>
                <w:color w:val="auto"/>
                <w:sz w:val="17"/>
                <w:szCs w:val="17"/>
              </w:rPr>
              <w:t>。</w:t>
            </w:r>
          </w:p>
        </w:tc>
      </w:tr>
    </w:tbl>
    <w:p w14:paraId="71197749" w14:textId="77777777" w:rsidR="005F4B44" w:rsidRPr="005A22C2" w:rsidRDefault="005F4B44" w:rsidP="005F4B44">
      <w:pPr>
        <w:rPr>
          <w:rFonts w:eastAsia="新細明體" w:cs="Segoe UI"/>
          <w:lang w:eastAsia="zh-TW"/>
        </w:rPr>
      </w:pPr>
    </w:p>
    <w:tbl>
      <w:tblPr>
        <w:tblW w:w="9242" w:type="dxa"/>
        <w:jc w:val="center"/>
        <w:tblCellMar>
          <w:left w:w="70" w:type="dxa"/>
          <w:right w:w="70" w:type="dxa"/>
        </w:tblCellMar>
        <w:tblLook w:val="00A0" w:firstRow="1" w:lastRow="0" w:firstColumn="1" w:lastColumn="0" w:noHBand="0" w:noVBand="0"/>
      </w:tblPr>
      <w:tblGrid>
        <w:gridCol w:w="465"/>
        <w:gridCol w:w="145"/>
        <w:gridCol w:w="8632"/>
      </w:tblGrid>
      <w:tr w:rsidR="005A22C2" w:rsidRPr="005A22C2" w14:paraId="3977B03A" w14:textId="77777777" w:rsidTr="005F4B44">
        <w:trPr>
          <w:trHeight w:val="448"/>
          <w:jc w:val="center"/>
        </w:trPr>
        <w:tc>
          <w:tcPr>
            <w:tcW w:w="465" w:type="dxa"/>
            <w:tcBorders>
              <w:top w:val="single" w:sz="4" w:space="0" w:color="auto"/>
              <w:left w:val="nil"/>
              <w:bottom w:val="single" w:sz="4" w:space="0" w:color="auto"/>
              <w:right w:val="nil"/>
            </w:tcBorders>
            <w:shd w:val="clear" w:color="auto" w:fill="F2F2F2"/>
            <w:vAlign w:val="center"/>
            <w:hideMark/>
          </w:tcPr>
          <w:p w14:paraId="79020D5F" w14:textId="77777777" w:rsidR="005F4B44" w:rsidRPr="005A22C2" w:rsidRDefault="005F4B44" w:rsidP="005F4B44">
            <w:pPr>
              <w:pStyle w:val="ListParagraph"/>
              <w:widowControl w:val="0"/>
              <w:tabs>
                <w:tab w:val="left" w:pos="540"/>
              </w:tabs>
              <w:spacing w:before="40" w:after="40"/>
              <w:ind w:leftChars="0" w:left="0"/>
              <w:jc w:val="both"/>
              <w:rPr>
                <w:rFonts w:eastAsia="新細明體" w:cs="Segoe UI"/>
                <w:sz w:val="17"/>
                <w:szCs w:val="17"/>
              </w:rPr>
            </w:pPr>
            <w:r w:rsidRPr="005A22C2">
              <w:rPr>
                <w:rFonts w:eastAsia="新細明體" w:cs="Segoe UI"/>
                <w:sz w:val="17"/>
                <w:szCs w:val="17"/>
              </w:rPr>
              <w:t>(V)</w:t>
            </w:r>
          </w:p>
        </w:tc>
        <w:tc>
          <w:tcPr>
            <w:tcW w:w="8777" w:type="dxa"/>
            <w:gridSpan w:val="2"/>
            <w:tcBorders>
              <w:top w:val="single" w:sz="4" w:space="0" w:color="auto"/>
              <w:left w:val="nil"/>
              <w:bottom w:val="single" w:sz="4" w:space="0" w:color="auto"/>
              <w:right w:val="nil"/>
            </w:tcBorders>
            <w:shd w:val="clear" w:color="auto" w:fill="F2F2F2"/>
            <w:vAlign w:val="center"/>
            <w:hideMark/>
          </w:tcPr>
          <w:p w14:paraId="5EC7FE67" w14:textId="6744B226" w:rsidR="005F4B44" w:rsidRPr="005A22C2" w:rsidRDefault="005F4B44" w:rsidP="00710040">
            <w:pPr>
              <w:pStyle w:val="ListParagraph"/>
              <w:widowControl w:val="0"/>
              <w:tabs>
                <w:tab w:val="left" w:pos="540"/>
              </w:tabs>
              <w:spacing w:before="40" w:after="40"/>
              <w:ind w:leftChars="0" w:left="0"/>
              <w:jc w:val="both"/>
              <w:rPr>
                <w:rFonts w:eastAsia="新細明體" w:cs="Segoe UI"/>
                <w:sz w:val="17"/>
                <w:szCs w:val="17"/>
                <w:lang w:eastAsia="zh-TW"/>
              </w:rPr>
            </w:pPr>
            <w:r w:rsidRPr="005A22C2">
              <w:rPr>
                <w:rFonts w:eastAsia="新細明體" w:cs="Segoe UI"/>
                <w:sz w:val="17"/>
                <w:szCs w:val="17"/>
                <w:lang w:eastAsia="zh-HK"/>
              </w:rPr>
              <w:t>模</w:t>
            </w:r>
            <w:r w:rsidR="00844269" w:rsidRPr="005A22C2">
              <w:rPr>
                <w:rFonts w:ascii="新細明體" w:hAnsi="新細明體" w:hint="eastAsia"/>
                <w:sz w:val="17"/>
                <w:szCs w:val="17"/>
                <w:lang w:eastAsia="zh-TW"/>
              </w:rPr>
              <w:t>式</w:t>
            </w:r>
            <w:r w:rsidR="00710040" w:rsidRPr="005A22C2">
              <w:rPr>
                <w:rFonts w:eastAsia="新細明體" w:cs="Segoe UI"/>
                <w:sz w:val="17"/>
                <w:szCs w:val="17"/>
                <w:lang w:eastAsia="zh-HK"/>
              </w:rPr>
              <w:t>驗證</w:t>
            </w:r>
            <w:r w:rsidRPr="005A22C2">
              <w:rPr>
                <w:rFonts w:eastAsia="新細明體" w:cs="Segoe UI"/>
                <w:sz w:val="17"/>
                <w:szCs w:val="17"/>
                <w:lang w:eastAsia="zh-HK"/>
              </w:rPr>
              <w:t>及</w:t>
            </w:r>
            <w:r w:rsidR="00844269" w:rsidRPr="005A22C2">
              <w:rPr>
                <w:rFonts w:eastAsia="新細明體" w:cs="Segoe UI"/>
                <w:sz w:val="17"/>
                <w:szCs w:val="17"/>
                <w:lang w:eastAsia="zh-HK"/>
              </w:rPr>
              <w:t>模</w:t>
            </w:r>
            <w:r w:rsidR="00844269" w:rsidRPr="005A22C2">
              <w:rPr>
                <w:rFonts w:ascii="新細明體" w:hAnsi="新細明體" w:hint="eastAsia"/>
                <w:sz w:val="17"/>
                <w:szCs w:val="17"/>
                <w:lang w:eastAsia="zh-TW"/>
              </w:rPr>
              <w:t>式</w:t>
            </w:r>
            <w:r w:rsidR="00BD7738" w:rsidRPr="005A22C2">
              <w:rPr>
                <w:rFonts w:eastAsia="新細明體" w:cs="Segoe UI" w:hint="eastAsia"/>
                <w:sz w:val="17"/>
                <w:szCs w:val="17"/>
                <w:lang w:eastAsia="zh-HK"/>
              </w:rPr>
              <w:t>化</w:t>
            </w:r>
            <w:r w:rsidRPr="005A22C2">
              <w:rPr>
                <w:rFonts w:eastAsia="新細明體" w:cs="Segoe UI"/>
                <w:sz w:val="17"/>
                <w:szCs w:val="17"/>
                <w:lang w:eastAsia="zh-HK"/>
              </w:rPr>
              <w:t>程序</w:t>
            </w:r>
          </w:p>
        </w:tc>
      </w:tr>
      <w:tr w:rsidR="005A22C2" w:rsidRPr="005A22C2" w14:paraId="33FE711C" w14:textId="77777777" w:rsidTr="005F4B44">
        <w:trPr>
          <w:trHeight w:val="318"/>
          <w:jc w:val="center"/>
        </w:trPr>
        <w:tc>
          <w:tcPr>
            <w:tcW w:w="610" w:type="dxa"/>
            <w:gridSpan w:val="2"/>
            <w:tcBorders>
              <w:top w:val="single" w:sz="4" w:space="0" w:color="auto"/>
              <w:left w:val="nil"/>
              <w:bottom w:val="single" w:sz="4" w:space="0" w:color="auto"/>
              <w:right w:val="nil"/>
            </w:tcBorders>
            <w:noWrap/>
            <w:hideMark/>
          </w:tcPr>
          <w:p w14:paraId="3FB06FBF" w14:textId="77777777" w:rsidR="005F4B44" w:rsidRPr="005A22C2" w:rsidRDefault="005F4B44" w:rsidP="005F4B44">
            <w:pPr>
              <w:widowControl w:val="0"/>
              <w:spacing w:before="40" w:after="40"/>
              <w:rPr>
                <w:rFonts w:eastAsia="新細明體" w:cs="Segoe UI"/>
                <w:sz w:val="17"/>
                <w:szCs w:val="17"/>
              </w:rPr>
            </w:pPr>
            <w:r w:rsidRPr="005A22C2">
              <w:rPr>
                <w:rFonts w:eastAsia="新細明體" w:cs="Segoe UI"/>
                <w:sz w:val="17"/>
                <w:szCs w:val="17"/>
              </w:rPr>
              <w:t>(a)</w:t>
            </w:r>
          </w:p>
        </w:tc>
        <w:tc>
          <w:tcPr>
            <w:tcW w:w="8632" w:type="dxa"/>
            <w:tcBorders>
              <w:top w:val="single" w:sz="4" w:space="0" w:color="auto"/>
              <w:left w:val="nil"/>
              <w:bottom w:val="single" w:sz="4" w:space="0" w:color="auto"/>
              <w:right w:val="nil"/>
            </w:tcBorders>
            <w:noWrap/>
            <w:vAlign w:val="center"/>
            <w:hideMark/>
          </w:tcPr>
          <w:p w14:paraId="6EBBC195" w14:textId="70FB39C9" w:rsidR="005F4B44" w:rsidRPr="005A22C2" w:rsidRDefault="005F4B44" w:rsidP="00710040">
            <w:pPr>
              <w:pStyle w:val="TableText"/>
              <w:jc w:val="both"/>
              <w:rPr>
                <w:rFonts w:eastAsia="新細明體" w:cs="Segoe UI"/>
                <w:lang w:eastAsia="fr-FR"/>
              </w:rPr>
            </w:pPr>
            <w:r w:rsidRPr="005A22C2">
              <w:rPr>
                <w:rFonts w:eastAsia="新細明體" w:cs="Segoe UI"/>
                <w:lang w:eastAsia="zh-HK"/>
              </w:rPr>
              <w:t>用</w:t>
            </w:r>
            <w:r w:rsidRPr="005A22C2">
              <w:rPr>
                <w:rFonts w:ascii="新細明體" w:eastAsia="新細明體" w:hAnsi="新細明體" w:cs="Segoe UI" w:hint="eastAsia"/>
                <w:lang w:eastAsia="zh-TW"/>
              </w:rPr>
              <w:t>於</w:t>
            </w:r>
            <w:r w:rsidRPr="005A22C2">
              <w:rPr>
                <w:rFonts w:eastAsia="新細明體" w:cs="Segoe UI"/>
                <w:lang w:eastAsia="zh-HK"/>
              </w:rPr>
              <w:t>模</w:t>
            </w:r>
            <w:r w:rsidR="00844269" w:rsidRPr="005A22C2">
              <w:rPr>
                <w:rFonts w:ascii="新細明體" w:hAnsi="新細明體" w:hint="eastAsia"/>
                <w:szCs w:val="17"/>
                <w:lang w:eastAsia="zh-TW"/>
              </w:rPr>
              <w:t>式</w:t>
            </w:r>
            <w:r w:rsidR="00710040" w:rsidRPr="005A22C2">
              <w:rPr>
                <w:rFonts w:eastAsia="新細明體" w:cs="Segoe UI"/>
                <w:szCs w:val="17"/>
                <w:lang w:eastAsia="zh-HK"/>
              </w:rPr>
              <w:t>驗證</w:t>
            </w:r>
            <w:r w:rsidRPr="005A22C2">
              <w:rPr>
                <w:rFonts w:eastAsia="新細明體" w:cs="Segoe UI"/>
                <w:lang w:eastAsia="zh-HK"/>
              </w:rPr>
              <w:t>及</w:t>
            </w:r>
            <w:r w:rsidR="00844269" w:rsidRPr="005A22C2">
              <w:rPr>
                <w:rFonts w:eastAsia="新細明體" w:cs="Segoe UI"/>
                <w:lang w:eastAsia="zh-HK"/>
              </w:rPr>
              <w:t>模</w:t>
            </w:r>
            <w:r w:rsidR="00844269" w:rsidRPr="005A22C2">
              <w:rPr>
                <w:rFonts w:ascii="新細明體" w:hAnsi="新細明體" w:hint="eastAsia"/>
                <w:szCs w:val="17"/>
                <w:lang w:eastAsia="zh-TW"/>
              </w:rPr>
              <w:t>式</w:t>
            </w:r>
            <w:r w:rsidR="00BD7738" w:rsidRPr="005A22C2">
              <w:rPr>
                <w:rFonts w:eastAsia="新細明體" w:cs="Segoe UI" w:hint="eastAsia"/>
                <w:szCs w:val="17"/>
                <w:lang w:eastAsia="zh-HK"/>
              </w:rPr>
              <w:t>化</w:t>
            </w:r>
            <w:r w:rsidRPr="005A22C2">
              <w:rPr>
                <w:rFonts w:eastAsia="新細明體" w:cs="Segoe UI"/>
                <w:lang w:eastAsia="zh-HK"/>
              </w:rPr>
              <w:t>程序的方法</w:t>
            </w:r>
            <w:r w:rsidRPr="005A22C2">
              <w:rPr>
                <w:rFonts w:eastAsia="新細明體" w:cs="Segoe UI"/>
                <w:lang w:eastAsia="zh-TW"/>
              </w:rPr>
              <w:t>，</w:t>
            </w:r>
            <w:r w:rsidRPr="005A22C2">
              <w:rPr>
                <w:rFonts w:ascii="新細明體" w:eastAsia="新細明體" w:hAnsi="新細明體" w:hint="eastAsia"/>
                <w:szCs w:val="17"/>
                <w:lang w:eastAsia="zh-HK"/>
              </w:rPr>
              <w:t>描</w:t>
            </w:r>
            <w:r w:rsidRPr="005A22C2">
              <w:rPr>
                <w:rFonts w:ascii="新細明體" w:eastAsia="新細明體" w:hAnsi="新細明體" w:hint="eastAsia"/>
                <w:szCs w:val="17"/>
                <w:lang w:eastAsia="zh-TW"/>
              </w:rPr>
              <w:t>述</w:t>
            </w:r>
            <w:r w:rsidRPr="005A22C2">
              <w:rPr>
                <w:rFonts w:eastAsia="新細明體" w:cs="Segoe UI"/>
                <w:lang w:eastAsia="zh-HK"/>
              </w:rPr>
              <w:t>所用的一般方法及</w:t>
            </w:r>
            <w:r w:rsidRPr="005A22C2">
              <w:rPr>
                <w:rFonts w:eastAsia="新細明體" w:cs="Segoe UI" w:hint="eastAsia"/>
                <w:lang w:eastAsia="zh-HK"/>
              </w:rPr>
              <w:t>這些方</w:t>
            </w:r>
            <w:r w:rsidRPr="005A22C2">
              <w:rPr>
                <w:rFonts w:eastAsia="新細明體" w:cs="Segoe UI"/>
                <w:lang w:eastAsia="zh-HK"/>
              </w:rPr>
              <w:t>法所依賴的</w:t>
            </w:r>
            <w:r w:rsidRPr="005A22C2">
              <w:rPr>
                <w:rFonts w:eastAsia="新細明體" w:cs="Segoe UI" w:hint="eastAsia"/>
                <w:lang w:eastAsia="zh-HK"/>
              </w:rPr>
              <w:t>各種</w:t>
            </w:r>
            <w:r w:rsidRPr="005A22C2">
              <w:rPr>
                <w:rFonts w:eastAsia="新細明體" w:cs="Segoe UI"/>
                <w:lang w:eastAsia="zh-HK"/>
              </w:rPr>
              <w:t>假設與基準</w:t>
            </w:r>
            <w:r w:rsidRPr="005A22C2">
              <w:rPr>
                <w:rFonts w:eastAsia="新細明體" w:cs="Segoe UI"/>
                <w:lang w:eastAsia="zh-TW"/>
              </w:rPr>
              <w:t>。</w:t>
            </w:r>
          </w:p>
        </w:tc>
      </w:tr>
    </w:tbl>
    <w:p w14:paraId="4345FBF0" w14:textId="77777777" w:rsidR="005F4B44" w:rsidRPr="005A22C2" w:rsidRDefault="005F4B44" w:rsidP="005F4B44">
      <w:pPr>
        <w:rPr>
          <w:rFonts w:eastAsia="新細明體" w:cs="Segoe UI"/>
          <w:lang w:eastAsia="zh-TW"/>
        </w:rPr>
      </w:pPr>
    </w:p>
    <w:p w14:paraId="6EDF0BF0" w14:textId="77777777" w:rsidR="005F4B44" w:rsidRPr="005A22C2" w:rsidRDefault="005F4B44" w:rsidP="005F4B44">
      <w:pPr>
        <w:rPr>
          <w:rFonts w:eastAsia="新細明體" w:cs="Segoe UI"/>
          <w:lang w:eastAsia="zh-TW"/>
        </w:rPr>
      </w:pPr>
    </w:p>
    <w:p w14:paraId="7DD9E9A6" w14:textId="77777777" w:rsidR="005F4B44" w:rsidRPr="003905B9" w:rsidRDefault="005F4B44" w:rsidP="005F4B44">
      <w:pPr>
        <w:rPr>
          <w:rFonts w:eastAsia="新細明體" w:cs="Segoe UI"/>
          <w:sz w:val="22"/>
          <w:lang w:eastAsia="zh-TW"/>
        </w:rPr>
        <w:sectPr w:rsidR="005F4B44" w:rsidRPr="003905B9" w:rsidSect="000717B9">
          <w:footerReference w:type="default" r:id="rId102"/>
          <w:pgSz w:w="11906" w:h="16838"/>
          <w:pgMar w:top="1440" w:right="1797" w:bottom="1440" w:left="1797" w:header="851" w:footer="737" w:gutter="0"/>
          <w:cols w:space="720"/>
          <w:docGrid w:type="lines" w:linePitch="360"/>
        </w:sectPr>
      </w:pPr>
    </w:p>
    <w:p w14:paraId="4D8B5F8D" w14:textId="1C396019" w:rsidR="00216206" w:rsidRPr="005A22C2" w:rsidRDefault="00216206" w:rsidP="00216206">
      <w:pPr>
        <w:pStyle w:val="Heading2"/>
        <w:keepNext w:val="0"/>
        <w:suppressAutoHyphens w:val="0"/>
        <w:spacing w:before="40" w:line="240" w:lineRule="auto"/>
        <w:ind w:left="-454"/>
        <w:rPr>
          <w:rFonts w:ascii="細明體" w:eastAsia="細明體" w:hAnsi="細明體"/>
          <w:b w:val="0"/>
          <w:bCs w:val="0"/>
          <w:sz w:val="22"/>
          <w:szCs w:val="20"/>
          <w:lang w:eastAsia="zh-TW"/>
        </w:rPr>
      </w:pPr>
      <w:r w:rsidRPr="005A22C2">
        <w:rPr>
          <w:rFonts w:ascii="細明體" w:eastAsia="細明體" w:hAnsi="細明體" w:cs="微軟正黑體" w:hint="eastAsia"/>
          <w:b w:val="0"/>
          <w:bCs w:val="0"/>
          <w:sz w:val="22"/>
          <w:szCs w:val="20"/>
          <w:lang w:eastAsia="zh-TW"/>
        </w:rPr>
        <w:t>模版</w:t>
      </w:r>
      <w:r w:rsidRPr="005A22C2">
        <w:rPr>
          <w:rFonts w:ascii="Segoe UI" w:eastAsia="細明體" w:hAnsi="Segoe UI" w:cs="Segoe UI"/>
          <w:b w:val="0"/>
          <w:bCs w:val="0"/>
          <w:sz w:val="22"/>
          <w:szCs w:val="20"/>
          <w:lang w:eastAsia="zh-TW"/>
        </w:rPr>
        <w:t>MR2</w:t>
      </w:r>
      <w:r w:rsidRPr="005A22C2">
        <w:rPr>
          <w:rFonts w:ascii="細明體" w:eastAsia="細明體" w:hAnsi="細明體" w:cs="微軟正黑體" w:hint="eastAsia"/>
          <w:b w:val="0"/>
          <w:bCs w:val="0"/>
          <w:sz w:val="22"/>
          <w:szCs w:val="20"/>
          <w:lang w:eastAsia="zh-TW"/>
        </w:rPr>
        <w:t>：在</w:t>
      </w:r>
      <w:r w:rsidRPr="005A22C2">
        <w:rPr>
          <w:rFonts w:ascii="Segoe UI" w:eastAsia="細明體" w:hAnsi="Segoe UI" w:cs="Segoe UI"/>
          <w:b w:val="0"/>
          <w:bCs w:val="0"/>
          <w:sz w:val="22"/>
          <w:szCs w:val="20"/>
          <w:lang w:eastAsia="zh-TW"/>
        </w:rPr>
        <w:t>IMA</w:t>
      </w:r>
      <w:r w:rsidRPr="005A22C2">
        <w:rPr>
          <w:rFonts w:ascii="細明體" w:eastAsia="細明體" w:hAnsi="細明體" w:cs="微軟正黑體" w:hint="eastAsia"/>
          <w:b w:val="0"/>
          <w:bCs w:val="0"/>
          <w:sz w:val="22"/>
          <w:szCs w:val="20"/>
          <w:lang w:eastAsia="zh-TW"/>
        </w:rPr>
        <w:t>下的市場風險</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5A22C2" w:rsidRPr="005A22C2" w14:paraId="4313390F" w14:textId="77777777" w:rsidTr="001D6590">
        <w:tc>
          <w:tcPr>
            <w:tcW w:w="2160" w:type="dxa"/>
            <w:tcBorders>
              <w:top w:val="single" w:sz="4" w:space="0" w:color="auto"/>
              <w:left w:val="nil"/>
              <w:bottom w:val="single" w:sz="4" w:space="0" w:color="auto"/>
              <w:right w:val="single" w:sz="4" w:space="0" w:color="auto"/>
            </w:tcBorders>
            <w:hideMark/>
          </w:tcPr>
          <w:p w14:paraId="15F532D9" w14:textId="77777777" w:rsidR="005F4B44" w:rsidRPr="005A22C2" w:rsidRDefault="005F4B44" w:rsidP="005F4B44">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7AAC67B3" w14:textId="01E73012" w:rsidR="005F4B44" w:rsidRPr="005A22C2" w:rsidRDefault="004E5E44" w:rsidP="005F4B44">
            <w:pPr>
              <w:pStyle w:val="TableText"/>
              <w:jc w:val="both"/>
              <w:rPr>
                <w:rFonts w:eastAsia="新細明體" w:cs="Segoe UI"/>
                <w:lang w:eastAsia="zh-HK"/>
              </w:rPr>
            </w:pPr>
            <w:r w:rsidRPr="005A22C2">
              <w:rPr>
                <w:rFonts w:eastAsia="新細明體" w:cs="Segoe UI"/>
                <w:lang w:eastAsia="zh-HK"/>
              </w:rPr>
              <w:t>提供</w:t>
            </w:r>
            <w:r w:rsidR="005F4B44" w:rsidRPr="005A22C2">
              <w:rPr>
                <w:rFonts w:ascii="新細明體" w:eastAsia="新細明體" w:hAnsi="新細明體" w:cs="Segoe UI" w:hint="eastAsia"/>
                <w:lang w:eastAsia="zh-TW"/>
              </w:rPr>
              <w:t>使</w:t>
            </w:r>
            <w:r w:rsidR="005F4B44" w:rsidRPr="005A22C2">
              <w:rPr>
                <w:rFonts w:ascii="新細明體" w:eastAsia="新細明體" w:hAnsi="新細明體" w:cs="Segoe UI"/>
                <w:lang w:eastAsia="zh-HK"/>
              </w:rPr>
              <w:t>用</w:t>
            </w:r>
            <w:r w:rsidR="005F4B44" w:rsidRPr="005A22C2">
              <w:rPr>
                <w:rFonts w:eastAsia="新細明體" w:cs="Segoe UI"/>
                <w:lang w:eastAsia="zh-TW"/>
              </w:rPr>
              <w:t>IMA</w:t>
            </w:r>
            <w:r w:rsidR="005F4B44" w:rsidRPr="005A22C2">
              <w:rPr>
                <w:rFonts w:eastAsia="新細明體" w:cs="Segoe UI"/>
                <w:lang w:eastAsia="zh-HK"/>
              </w:rPr>
              <w:t>計算市場風險資本要求的組成部分</w:t>
            </w:r>
            <w:r w:rsidR="005F4B44" w:rsidRPr="005A22C2">
              <w:rPr>
                <w:rFonts w:eastAsia="新細明體" w:cs="Segoe UI"/>
                <w:lang w:eastAsia="zh-TW"/>
              </w:rPr>
              <w:t>。</w:t>
            </w:r>
          </w:p>
        </w:tc>
      </w:tr>
      <w:tr w:rsidR="005A22C2" w:rsidRPr="005A22C2" w14:paraId="35C7C08B" w14:textId="77777777" w:rsidTr="001D6590">
        <w:tc>
          <w:tcPr>
            <w:tcW w:w="2160" w:type="dxa"/>
            <w:tcBorders>
              <w:top w:val="single" w:sz="4" w:space="0" w:color="auto"/>
              <w:left w:val="nil"/>
              <w:bottom w:val="single" w:sz="4" w:space="0" w:color="auto"/>
              <w:right w:val="single" w:sz="4" w:space="0" w:color="auto"/>
            </w:tcBorders>
            <w:hideMark/>
          </w:tcPr>
          <w:p w14:paraId="5380D82E" w14:textId="77777777" w:rsidR="005F4B44" w:rsidRPr="005A22C2" w:rsidRDefault="005F4B44" w:rsidP="005F4B44">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10F22D7D" w14:textId="3123F3D4" w:rsidR="008D3DB4" w:rsidRPr="008D3DB4" w:rsidRDefault="005F4B44" w:rsidP="008D3DB4">
            <w:pPr>
              <w:pStyle w:val="Default"/>
              <w:jc w:val="both"/>
              <w:rPr>
                <w:color w:val="auto"/>
                <w:sz w:val="17"/>
                <w:szCs w:val="17"/>
                <w:lang w:val="en-GB"/>
              </w:rPr>
            </w:pPr>
            <w:r w:rsidRPr="005A22C2">
              <w:rPr>
                <w:color w:val="auto"/>
                <w:sz w:val="17"/>
                <w:szCs w:val="17"/>
                <w:lang w:eastAsia="zh-HK"/>
              </w:rPr>
              <w:t>在香港成立為法團並使用</w:t>
            </w:r>
            <w:r w:rsidRPr="005A22C2">
              <w:rPr>
                <w:color w:val="auto"/>
                <w:sz w:val="17"/>
                <w:szCs w:val="17"/>
              </w:rPr>
              <w:t>IMA</w:t>
            </w:r>
            <w:r w:rsidRPr="005A22C2">
              <w:rPr>
                <w:color w:val="auto"/>
                <w:sz w:val="17"/>
                <w:szCs w:val="17"/>
                <w:lang w:eastAsia="zh-HK"/>
              </w:rPr>
              <w:t>計算</w:t>
            </w:r>
            <w:r w:rsidRPr="005A22C2">
              <w:rPr>
                <w:rFonts w:ascii="新細明體" w:hAnsi="新細明體" w:hint="eastAsia"/>
                <w:color w:val="auto"/>
                <w:sz w:val="17"/>
                <w:szCs w:val="17"/>
              </w:rPr>
              <w:t>其</w:t>
            </w:r>
            <w:r w:rsidRPr="005A22C2">
              <w:rPr>
                <w:color w:val="auto"/>
                <w:sz w:val="17"/>
                <w:szCs w:val="17"/>
                <w:lang w:eastAsia="zh-HK"/>
              </w:rPr>
              <w:t>所有或部分</w:t>
            </w:r>
            <w:r w:rsidRPr="005A22C2">
              <w:rPr>
                <w:rFonts w:hint="eastAsia"/>
                <w:color w:val="auto"/>
                <w:sz w:val="17"/>
                <w:szCs w:val="17"/>
                <w:lang w:eastAsia="zh-HK"/>
              </w:rPr>
              <w:t>的</w:t>
            </w:r>
            <w:r w:rsidRPr="005A22C2">
              <w:rPr>
                <w:color w:val="auto"/>
                <w:sz w:val="17"/>
                <w:szCs w:val="17"/>
                <w:lang w:eastAsia="zh-HK"/>
              </w:rPr>
              <w:t>市場風險資本要求的認可機構</w:t>
            </w:r>
            <w:r w:rsidRPr="005A22C2">
              <w:rPr>
                <w:color w:val="auto"/>
                <w:sz w:val="17"/>
                <w:szCs w:val="17"/>
              </w:rPr>
              <w:t>，</w:t>
            </w:r>
            <w:r w:rsidRPr="005A22C2">
              <w:rPr>
                <w:color w:val="auto"/>
                <w:sz w:val="17"/>
                <w:szCs w:val="17"/>
                <w:lang w:eastAsia="zh-HK"/>
              </w:rPr>
              <w:t>均須填報本</w:t>
            </w:r>
            <w:r w:rsidRPr="005A22C2">
              <w:rPr>
                <w:rFonts w:hint="eastAsia"/>
                <w:color w:val="auto"/>
                <w:sz w:val="17"/>
                <w:szCs w:val="17"/>
                <w:lang w:eastAsia="zh-HK"/>
              </w:rPr>
              <w:t>模版</w:t>
            </w:r>
            <w:r w:rsidRPr="005A22C2">
              <w:rPr>
                <w:color w:val="auto"/>
                <w:sz w:val="17"/>
                <w:szCs w:val="17"/>
              </w:rPr>
              <w:t>。</w:t>
            </w:r>
          </w:p>
        </w:tc>
      </w:tr>
      <w:tr w:rsidR="005A22C2" w:rsidRPr="005A22C2" w14:paraId="181FC72A" w14:textId="77777777" w:rsidTr="001D6590">
        <w:tc>
          <w:tcPr>
            <w:tcW w:w="2160" w:type="dxa"/>
            <w:tcBorders>
              <w:top w:val="single" w:sz="4" w:space="0" w:color="auto"/>
              <w:left w:val="nil"/>
              <w:bottom w:val="single" w:sz="4" w:space="0" w:color="auto"/>
              <w:right w:val="single" w:sz="4" w:space="0" w:color="auto"/>
            </w:tcBorders>
            <w:hideMark/>
          </w:tcPr>
          <w:p w14:paraId="4B326DCF" w14:textId="77777777" w:rsidR="005F4B44" w:rsidRPr="005A22C2" w:rsidRDefault="005F4B44" w:rsidP="005F4B44">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68AB8BD1" w14:textId="4726F0AF" w:rsidR="005F4B44" w:rsidRPr="005A22C2" w:rsidRDefault="002822D2" w:rsidP="005F4B44">
            <w:pPr>
              <w:pStyle w:val="Default"/>
              <w:jc w:val="both"/>
              <w:rPr>
                <w:color w:val="auto"/>
                <w:sz w:val="17"/>
                <w:szCs w:val="17"/>
              </w:rPr>
            </w:pPr>
            <w:r w:rsidRPr="005A22C2">
              <w:rPr>
                <w:rFonts w:hint="eastAsia"/>
                <w:color w:val="auto"/>
                <w:kern w:val="2"/>
                <w:sz w:val="17"/>
                <w:szCs w:val="17"/>
              </w:rPr>
              <w:t>（</w:t>
            </w:r>
            <w:r w:rsidR="005F4B44" w:rsidRPr="005A22C2">
              <w:rPr>
                <w:color w:val="auto"/>
                <w:sz w:val="17"/>
                <w:szCs w:val="17"/>
                <w:lang w:val="en-GB" w:eastAsia="zh-HK"/>
              </w:rPr>
              <w:t>按照監管綜合範圍</w:t>
            </w:r>
            <w:r w:rsidR="00083254" w:rsidRPr="005A22C2">
              <w:rPr>
                <w:rFonts w:hint="eastAsia"/>
                <w:color w:val="auto"/>
                <w:sz w:val="17"/>
                <w:szCs w:val="17"/>
                <w:lang w:val="en-GB"/>
              </w:rPr>
              <w:t>）</w:t>
            </w:r>
            <w:r w:rsidR="005F4B44" w:rsidRPr="005A22C2">
              <w:rPr>
                <w:color w:val="auto"/>
                <w:sz w:val="17"/>
                <w:szCs w:val="17"/>
                <w:lang w:eastAsia="zh-HK"/>
              </w:rPr>
              <w:t>計算集團層面的市場風險資本要求的組成部分</w:t>
            </w:r>
            <w:r w:rsidR="005F4B44" w:rsidRPr="005A22C2">
              <w:rPr>
                <w:color w:val="auto"/>
                <w:sz w:val="17"/>
                <w:szCs w:val="17"/>
              </w:rPr>
              <w:t>。</w:t>
            </w:r>
          </w:p>
        </w:tc>
      </w:tr>
      <w:tr w:rsidR="005A22C2" w:rsidRPr="005A22C2" w14:paraId="5DBB6E46" w14:textId="77777777" w:rsidTr="001D6590">
        <w:tc>
          <w:tcPr>
            <w:tcW w:w="2160" w:type="dxa"/>
            <w:tcBorders>
              <w:top w:val="single" w:sz="4" w:space="0" w:color="auto"/>
              <w:left w:val="nil"/>
              <w:bottom w:val="single" w:sz="4" w:space="0" w:color="auto"/>
              <w:right w:val="single" w:sz="4" w:space="0" w:color="auto"/>
            </w:tcBorders>
            <w:hideMark/>
          </w:tcPr>
          <w:p w14:paraId="162861DD" w14:textId="77777777" w:rsidR="005F4B44" w:rsidRPr="005A22C2" w:rsidRDefault="005F4B44" w:rsidP="005F4B44">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263F1954" w14:textId="77777777" w:rsidR="005F4B44" w:rsidRPr="005A22C2" w:rsidRDefault="005F4B44" w:rsidP="005F4B44">
            <w:pPr>
              <w:pStyle w:val="TableText"/>
              <w:jc w:val="both"/>
              <w:rPr>
                <w:rFonts w:eastAsia="新細明體" w:cs="Segoe UI"/>
                <w:lang w:eastAsia="en-GB"/>
              </w:rPr>
            </w:pPr>
            <w:proofErr w:type="spellStart"/>
            <w:r w:rsidRPr="005A22C2">
              <w:rPr>
                <w:rFonts w:eastAsia="新細明體" w:cs="Segoe UI"/>
                <w:lang w:eastAsia="en-GB"/>
              </w:rPr>
              <w:t>每季一次</w:t>
            </w:r>
            <w:proofErr w:type="spellEnd"/>
            <w:r w:rsidRPr="005A22C2">
              <w:rPr>
                <w:rFonts w:eastAsia="新細明體" w:cs="Segoe UI"/>
                <w:lang w:eastAsia="en-GB"/>
              </w:rPr>
              <w:t>。</w:t>
            </w:r>
          </w:p>
        </w:tc>
      </w:tr>
      <w:tr w:rsidR="005A22C2" w:rsidRPr="005A22C2" w14:paraId="61367000" w14:textId="77777777" w:rsidTr="001D6590">
        <w:tc>
          <w:tcPr>
            <w:tcW w:w="2160" w:type="dxa"/>
            <w:tcBorders>
              <w:top w:val="single" w:sz="4" w:space="0" w:color="auto"/>
              <w:left w:val="nil"/>
              <w:bottom w:val="single" w:sz="4" w:space="0" w:color="auto"/>
              <w:right w:val="single" w:sz="4" w:space="0" w:color="auto"/>
            </w:tcBorders>
            <w:hideMark/>
          </w:tcPr>
          <w:p w14:paraId="7A826D8F" w14:textId="77777777" w:rsidR="005F4B44" w:rsidRPr="005A22C2" w:rsidRDefault="005F4B44" w:rsidP="005F4B44">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78B209FF" w14:textId="77777777" w:rsidR="005F4B44" w:rsidRPr="005A22C2" w:rsidRDefault="005F4B44" w:rsidP="005F4B44">
            <w:pPr>
              <w:pStyle w:val="TableText"/>
              <w:jc w:val="both"/>
              <w:rPr>
                <w:rFonts w:eastAsia="新細明體" w:cs="Segoe UI"/>
                <w:lang w:eastAsia="en-GB"/>
              </w:rPr>
            </w:pPr>
            <w:r w:rsidRPr="005A22C2">
              <w:rPr>
                <w:rFonts w:eastAsia="新細明體" w:cs="Segoe UI"/>
                <w:lang w:eastAsia="zh-HK"/>
              </w:rPr>
              <w:t>固定</w:t>
            </w:r>
            <w:r w:rsidRPr="005A22C2">
              <w:rPr>
                <w:rFonts w:eastAsia="新細明體" w:cs="Segoe UI"/>
                <w:lang w:eastAsia="zh-TW"/>
              </w:rPr>
              <w:t>。</w:t>
            </w:r>
          </w:p>
        </w:tc>
      </w:tr>
      <w:tr w:rsidR="005A22C2" w:rsidRPr="005A22C2" w14:paraId="585F88A7" w14:textId="77777777" w:rsidTr="001D6590">
        <w:tc>
          <w:tcPr>
            <w:tcW w:w="2160" w:type="dxa"/>
            <w:tcBorders>
              <w:top w:val="single" w:sz="4" w:space="0" w:color="auto"/>
              <w:left w:val="nil"/>
              <w:bottom w:val="single" w:sz="4" w:space="0" w:color="auto"/>
              <w:right w:val="single" w:sz="4" w:space="0" w:color="auto"/>
            </w:tcBorders>
            <w:hideMark/>
          </w:tcPr>
          <w:p w14:paraId="00738D4A" w14:textId="77777777" w:rsidR="005F4B44" w:rsidRPr="005A22C2" w:rsidRDefault="005F4B44" w:rsidP="005F4B44">
            <w:pPr>
              <w:spacing w:before="40" w:after="40"/>
              <w:rPr>
                <w:rFonts w:eastAsia="新細明體" w:cs="Segoe UI"/>
                <w:b/>
                <w:sz w:val="17"/>
                <w:lang w:eastAsia="en-GB"/>
              </w:rPr>
            </w:pPr>
            <w:proofErr w:type="spellStart"/>
            <w:r w:rsidRPr="005A22C2">
              <w:rPr>
                <w:rFonts w:eastAsia="新細明體" w:cs="Segoe UI"/>
                <w:b/>
                <w:sz w:val="17"/>
                <w:szCs w:val="17"/>
                <w:lang w:eastAsia="en-GB"/>
              </w:rPr>
              <w:t>附加說明</w:t>
            </w:r>
            <w:proofErr w:type="spellEnd"/>
            <w:r w:rsidRPr="005A22C2">
              <w:rPr>
                <w:rFonts w:eastAsia="新細明體" w:cs="Segoe UI"/>
                <w:b/>
                <w:sz w:val="17"/>
                <w:szCs w:val="17"/>
                <w:lang w:eastAsia="en-GB"/>
              </w:rPr>
              <w:t>：</w:t>
            </w:r>
          </w:p>
        </w:tc>
        <w:tc>
          <w:tcPr>
            <w:tcW w:w="7088" w:type="dxa"/>
            <w:tcBorders>
              <w:top w:val="single" w:sz="4" w:space="0" w:color="auto"/>
              <w:left w:val="single" w:sz="4" w:space="0" w:color="auto"/>
              <w:bottom w:val="single" w:sz="4" w:space="0" w:color="auto"/>
              <w:right w:val="nil"/>
            </w:tcBorders>
            <w:hideMark/>
          </w:tcPr>
          <w:p w14:paraId="462FC51E" w14:textId="77777777" w:rsidR="005F4B44" w:rsidRDefault="005F4B44" w:rsidP="00696E23">
            <w:pPr>
              <w:pStyle w:val="Default"/>
              <w:jc w:val="both"/>
              <w:rPr>
                <w:color w:val="auto"/>
                <w:sz w:val="17"/>
                <w:szCs w:val="17"/>
                <w:lang w:val="en-GB"/>
              </w:rPr>
            </w:pPr>
            <w:r w:rsidRPr="005A22C2">
              <w:rPr>
                <w:color w:val="auto"/>
                <w:sz w:val="17"/>
                <w:szCs w:val="17"/>
                <w:lang w:eastAsia="zh-HK"/>
              </w:rPr>
              <w:t>認可機構應填報已計入截至現行報告期末最近一次計量值的總計市場風險資本要求的組成部分</w:t>
            </w:r>
            <w:r w:rsidRPr="005A22C2">
              <w:rPr>
                <w:color w:val="auto"/>
                <w:sz w:val="17"/>
                <w:szCs w:val="17"/>
              </w:rPr>
              <w:t>，</w:t>
            </w:r>
            <w:r w:rsidR="00FC5741" w:rsidRPr="005A22C2">
              <w:rPr>
                <w:rFonts w:hint="eastAsia"/>
                <w:color w:val="auto"/>
                <w:sz w:val="17"/>
                <w:szCs w:val="17"/>
              </w:rPr>
              <w:t>以及</w:t>
            </w:r>
            <w:r w:rsidRPr="005A22C2">
              <w:rPr>
                <w:color w:val="auto"/>
                <w:sz w:val="17"/>
                <w:szCs w:val="17"/>
                <w:lang w:eastAsia="zh-HK"/>
              </w:rPr>
              <w:t>已計入</w:t>
            </w:r>
            <w:r w:rsidRPr="005A22C2">
              <w:rPr>
                <w:rFonts w:hint="eastAsia"/>
                <w:color w:val="auto"/>
                <w:sz w:val="17"/>
                <w:szCs w:val="17"/>
                <w:lang w:eastAsia="zh-HK"/>
              </w:rPr>
              <w:t>預期損失值</w:t>
            </w:r>
            <w:r w:rsidRPr="005A22C2">
              <w:rPr>
                <w:color w:val="auto"/>
                <w:sz w:val="17"/>
                <w:szCs w:val="17"/>
              </w:rPr>
              <w:t>、</w:t>
            </w:r>
            <w:r w:rsidRPr="005A22C2">
              <w:rPr>
                <w:color w:val="auto"/>
                <w:sz w:val="17"/>
                <w:szCs w:val="17"/>
              </w:rPr>
              <w:t>IMCC</w:t>
            </w:r>
            <w:r w:rsidRPr="005A22C2">
              <w:rPr>
                <w:color w:val="auto"/>
                <w:sz w:val="17"/>
                <w:szCs w:val="17"/>
                <w:lang w:eastAsia="zh-HK"/>
              </w:rPr>
              <w:t>及</w:t>
            </w:r>
            <w:r w:rsidRPr="005A22C2">
              <w:rPr>
                <w:color w:val="auto"/>
                <w:sz w:val="17"/>
                <w:szCs w:val="17"/>
              </w:rPr>
              <w:t>SES</w:t>
            </w:r>
            <w:r w:rsidRPr="005A22C2">
              <w:rPr>
                <w:color w:val="auto"/>
                <w:sz w:val="17"/>
                <w:szCs w:val="17"/>
                <w:lang w:eastAsia="zh-HK"/>
              </w:rPr>
              <w:t>在對上</w:t>
            </w:r>
            <w:r w:rsidRPr="005A22C2">
              <w:rPr>
                <w:color w:val="auto"/>
                <w:sz w:val="17"/>
                <w:szCs w:val="17"/>
              </w:rPr>
              <w:t>60</w:t>
            </w:r>
            <w:r w:rsidRPr="005A22C2">
              <w:rPr>
                <w:color w:val="auto"/>
                <w:sz w:val="17"/>
                <w:szCs w:val="17"/>
                <w:lang w:eastAsia="zh-HK"/>
              </w:rPr>
              <w:t>個交易日</w:t>
            </w:r>
            <w:r w:rsidR="00FC5741" w:rsidRPr="005A22C2">
              <w:rPr>
                <w:color w:val="auto"/>
                <w:sz w:val="17"/>
                <w:szCs w:val="17"/>
                <w:lang w:eastAsia="zh-HK"/>
              </w:rPr>
              <w:t>的</w:t>
            </w:r>
            <w:r w:rsidRPr="005A22C2">
              <w:rPr>
                <w:color w:val="auto"/>
                <w:sz w:val="17"/>
                <w:szCs w:val="17"/>
                <w:lang w:eastAsia="zh-HK"/>
              </w:rPr>
              <w:t>平均數的組成部分</w:t>
            </w:r>
            <w:r w:rsidRPr="005A22C2">
              <w:rPr>
                <w:color w:val="auto"/>
                <w:sz w:val="17"/>
                <w:szCs w:val="17"/>
              </w:rPr>
              <w:t>，</w:t>
            </w:r>
            <w:r w:rsidRPr="005A22C2">
              <w:rPr>
                <w:color w:val="auto"/>
                <w:sz w:val="17"/>
                <w:szCs w:val="17"/>
                <w:lang w:eastAsia="zh-HK"/>
              </w:rPr>
              <w:t>以及對上</w:t>
            </w:r>
            <w:r w:rsidRPr="005A22C2">
              <w:rPr>
                <w:color w:val="auto"/>
                <w:sz w:val="17"/>
                <w:szCs w:val="17"/>
              </w:rPr>
              <w:t>12</w:t>
            </w:r>
            <w:r w:rsidRPr="005A22C2">
              <w:rPr>
                <w:color w:val="auto"/>
                <w:sz w:val="17"/>
                <w:szCs w:val="17"/>
                <w:lang w:eastAsia="zh-HK"/>
              </w:rPr>
              <w:t>個星期的違責風險</w:t>
            </w:r>
            <w:r w:rsidRPr="005A22C2">
              <w:rPr>
                <w:rFonts w:hint="eastAsia"/>
                <w:color w:val="auto"/>
                <w:sz w:val="17"/>
                <w:szCs w:val="17"/>
                <w:lang w:eastAsia="zh-HK"/>
              </w:rPr>
              <w:t>資本</w:t>
            </w:r>
            <w:r w:rsidRPr="005A22C2">
              <w:rPr>
                <w:color w:val="auto"/>
                <w:sz w:val="17"/>
                <w:szCs w:val="17"/>
                <w:lang w:eastAsia="zh-HK"/>
              </w:rPr>
              <w:t>要求</w:t>
            </w:r>
            <w:r w:rsidRPr="005A22C2">
              <w:rPr>
                <w:color w:val="auto"/>
                <w:sz w:val="17"/>
                <w:szCs w:val="17"/>
              </w:rPr>
              <w:t>。</w:t>
            </w:r>
            <w:r w:rsidRPr="005A22C2">
              <w:rPr>
                <w:color w:val="auto"/>
                <w:sz w:val="17"/>
                <w:szCs w:val="17"/>
                <w:lang w:eastAsia="zh-HK"/>
              </w:rPr>
              <w:t>認可機構亦應載明風險值</w:t>
            </w:r>
            <w:r w:rsidR="00A27A8E" w:rsidRPr="005A22C2">
              <w:rPr>
                <w:rFonts w:hint="eastAsia"/>
                <w:color w:val="auto"/>
                <w:kern w:val="2"/>
                <w:sz w:val="17"/>
                <w:szCs w:val="17"/>
              </w:rPr>
              <w:t>（</w:t>
            </w:r>
            <w:proofErr w:type="spellStart"/>
            <w:r w:rsidR="00A27A8E" w:rsidRPr="005A22C2">
              <w:rPr>
                <w:rFonts w:hint="eastAsia"/>
                <w:color w:val="auto"/>
                <w:sz w:val="17"/>
                <w:szCs w:val="17"/>
                <w:lang w:val="en-GB" w:eastAsia="zh-HK"/>
              </w:rPr>
              <w:t>VaR</w:t>
            </w:r>
            <w:proofErr w:type="spellEnd"/>
            <w:r w:rsidR="00A27A8E" w:rsidRPr="005A22C2">
              <w:rPr>
                <w:rFonts w:hint="eastAsia"/>
                <w:color w:val="auto"/>
                <w:sz w:val="17"/>
                <w:szCs w:val="17"/>
                <w:lang w:val="en-GB"/>
              </w:rPr>
              <w:t>）</w:t>
            </w:r>
            <w:r w:rsidR="00FC5741" w:rsidRPr="005A22C2">
              <w:rPr>
                <w:color w:val="auto"/>
                <w:sz w:val="17"/>
                <w:szCs w:val="17"/>
                <w:lang w:eastAsia="zh-HK"/>
              </w:rPr>
              <w:t>估</w:t>
            </w:r>
            <w:r w:rsidR="000E63CA" w:rsidRPr="005A22C2">
              <w:rPr>
                <w:rFonts w:hint="eastAsia"/>
                <w:color w:val="auto"/>
                <w:sz w:val="17"/>
                <w:szCs w:val="17"/>
                <w:lang w:eastAsia="zh-HK"/>
              </w:rPr>
              <w:t>計</w:t>
            </w:r>
            <w:r w:rsidRPr="005A22C2">
              <w:rPr>
                <w:color w:val="auto"/>
                <w:sz w:val="17"/>
                <w:szCs w:val="17"/>
                <w:lang w:eastAsia="zh-HK"/>
              </w:rPr>
              <w:t>與</w:t>
            </w:r>
            <w:r w:rsidRPr="005A22C2">
              <w:rPr>
                <w:rFonts w:hint="eastAsia"/>
                <w:color w:val="auto"/>
                <w:sz w:val="17"/>
                <w:szCs w:val="17"/>
                <w:lang w:eastAsia="zh-HK"/>
              </w:rPr>
              <w:t>其經歷的</w:t>
            </w:r>
            <w:r w:rsidR="00FC5741" w:rsidRPr="005A22C2">
              <w:rPr>
                <w:color w:val="auto"/>
                <w:sz w:val="17"/>
                <w:szCs w:val="17"/>
                <w:lang w:eastAsia="zh-HK"/>
              </w:rPr>
              <w:t>實際</w:t>
            </w:r>
            <w:r w:rsidRPr="005A22C2">
              <w:rPr>
                <w:color w:val="auto"/>
                <w:sz w:val="17"/>
                <w:szCs w:val="17"/>
                <w:lang w:eastAsia="zh-HK"/>
              </w:rPr>
              <w:t>收益或損失的比較</w:t>
            </w:r>
            <w:r w:rsidRPr="005A22C2">
              <w:rPr>
                <w:color w:val="auto"/>
                <w:sz w:val="17"/>
                <w:szCs w:val="17"/>
              </w:rPr>
              <w:t>，</w:t>
            </w:r>
            <w:r w:rsidR="00FC5741" w:rsidRPr="005A22C2">
              <w:rPr>
                <w:rFonts w:hint="eastAsia"/>
                <w:color w:val="auto"/>
                <w:sz w:val="17"/>
                <w:szCs w:val="17"/>
              </w:rPr>
              <w:t>並分析</w:t>
            </w:r>
            <w:r w:rsidRPr="005A22C2">
              <w:rPr>
                <w:color w:val="auto"/>
                <w:sz w:val="17"/>
                <w:szCs w:val="17"/>
                <w:lang w:eastAsia="zh-HK"/>
              </w:rPr>
              <w:t>回溯測試結果中</w:t>
            </w:r>
            <w:r w:rsidR="00FC5741" w:rsidRPr="005A22C2">
              <w:rPr>
                <w:color w:val="auto"/>
                <w:sz w:val="17"/>
                <w:szCs w:val="17"/>
                <w:lang w:eastAsia="zh-HK"/>
              </w:rPr>
              <w:t>的</w:t>
            </w:r>
            <w:r w:rsidRPr="005A22C2">
              <w:rPr>
                <w:color w:val="auto"/>
                <w:sz w:val="17"/>
                <w:szCs w:val="17"/>
                <w:lang w:eastAsia="zh-HK"/>
              </w:rPr>
              <w:t>重要例外情況</w:t>
            </w:r>
            <w:r w:rsidRPr="005A22C2">
              <w:rPr>
                <w:color w:val="auto"/>
                <w:sz w:val="17"/>
                <w:szCs w:val="17"/>
              </w:rPr>
              <w:t>。</w:t>
            </w:r>
            <w:r w:rsidRPr="005A22C2">
              <w:rPr>
                <w:color w:val="auto"/>
                <w:sz w:val="17"/>
                <w:szCs w:val="17"/>
                <w:lang w:eastAsia="zh-HK"/>
              </w:rPr>
              <w:t>認可機構應</w:t>
            </w:r>
            <w:r w:rsidRPr="005A22C2">
              <w:rPr>
                <w:rFonts w:ascii="新細明體" w:hAnsi="新細明體" w:hint="eastAsia"/>
                <w:color w:val="auto"/>
                <w:sz w:val="17"/>
                <w:szCs w:val="17"/>
              </w:rPr>
              <w:t>解釋</w:t>
            </w:r>
            <w:r w:rsidRPr="005A22C2">
              <w:rPr>
                <w:color w:val="auto"/>
                <w:sz w:val="17"/>
                <w:szCs w:val="17"/>
                <w:lang w:eastAsia="zh-HK"/>
              </w:rPr>
              <w:t>在本模版填報的數字在現行報告期的任何重大</w:t>
            </w:r>
            <w:r w:rsidRPr="005A22C2">
              <w:rPr>
                <w:rFonts w:hint="eastAsia"/>
                <w:color w:val="auto"/>
                <w:sz w:val="17"/>
                <w:szCs w:val="17"/>
                <w:lang w:eastAsia="zh-HK"/>
              </w:rPr>
              <w:t>改變</w:t>
            </w:r>
            <w:r w:rsidRPr="005A22C2">
              <w:rPr>
                <w:color w:val="auto"/>
                <w:sz w:val="17"/>
                <w:szCs w:val="17"/>
              </w:rPr>
              <w:t>，</w:t>
            </w:r>
            <w:r w:rsidRPr="005A22C2">
              <w:rPr>
                <w:color w:val="auto"/>
                <w:sz w:val="17"/>
                <w:szCs w:val="17"/>
                <w:lang w:eastAsia="zh-HK"/>
              </w:rPr>
              <w:t>以及引致該等</w:t>
            </w:r>
            <w:r w:rsidRPr="005A22C2">
              <w:rPr>
                <w:rFonts w:hint="eastAsia"/>
                <w:color w:val="auto"/>
                <w:sz w:val="17"/>
                <w:szCs w:val="17"/>
                <w:lang w:eastAsia="zh-HK"/>
              </w:rPr>
              <w:t>改變</w:t>
            </w:r>
            <w:r w:rsidRPr="005A22C2">
              <w:rPr>
                <w:color w:val="auto"/>
                <w:sz w:val="17"/>
                <w:szCs w:val="17"/>
                <w:lang w:eastAsia="zh-HK"/>
              </w:rPr>
              <w:t>的主要驅動因素</w:t>
            </w:r>
            <w:r w:rsidRPr="005A22C2">
              <w:rPr>
                <w:color w:val="auto"/>
                <w:sz w:val="17"/>
                <w:szCs w:val="17"/>
              </w:rPr>
              <w:t>。</w:t>
            </w:r>
          </w:p>
          <w:p w14:paraId="6C0008D3" w14:textId="7B305601" w:rsidR="008D3DB4" w:rsidRPr="008D3DB4" w:rsidRDefault="008D3DB4" w:rsidP="00696E23">
            <w:pPr>
              <w:pStyle w:val="Default"/>
              <w:jc w:val="both"/>
              <w:rPr>
                <w:color w:val="auto"/>
                <w:sz w:val="17"/>
                <w:szCs w:val="17"/>
                <w:lang w:val="en-GB" w:eastAsia="zh-HK"/>
              </w:rPr>
            </w:pPr>
          </w:p>
        </w:tc>
      </w:tr>
      <w:tr w:rsidR="005A22C2" w:rsidRPr="005A22C2" w14:paraId="2FB097CC" w14:textId="77777777" w:rsidTr="001D6590">
        <w:tc>
          <w:tcPr>
            <w:tcW w:w="2160" w:type="dxa"/>
            <w:tcBorders>
              <w:top w:val="single" w:sz="4" w:space="0" w:color="auto"/>
              <w:left w:val="nil"/>
              <w:bottom w:val="single" w:sz="4" w:space="0" w:color="auto"/>
              <w:right w:val="single" w:sz="4" w:space="0" w:color="auto"/>
            </w:tcBorders>
            <w:hideMark/>
          </w:tcPr>
          <w:p w14:paraId="640A59BD" w14:textId="77777777" w:rsidR="005F4B44" w:rsidRPr="005A22C2" w:rsidRDefault="005F4B44" w:rsidP="005F4B44">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tcPr>
          <w:p w14:paraId="2CEDA348" w14:textId="77777777" w:rsidR="005F4B44" w:rsidRDefault="005F4B44" w:rsidP="005F4B44">
            <w:pPr>
              <w:pStyle w:val="TableText"/>
              <w:jc w:val="both"/>
              <w:rPr>
                <w:rFonts w:eastAsia="新細明體" w:cs="Segoe UI"/>
                <w:lang w:eastAsia="en-GB"/>
              </w:rPr>
            </w:pPr>
            <w:r w:rsidRPr="005A22C2">
              <w:rPr>
                <w:rFonts w:eastAsia="新細明體" w:cs="Segoe UI"/>
                <w:lang w:eastAsia="en-GB"/>
              </w:rPr>
              <w:t>16ZM</w:t>
            </w:r>
          </w:p>
          <w:p w14:paraId="7C219726" w14:textId="77777777" w:rsidR="008D3DB4" w:rsidRPr="005A22C2" w:rsidRDefault="008D3DB4" w:rsidP="005F4B44">
            <w:pPr>
              <w:pStyle w:val="TableText"/>
              <w:jc w:val="both"/>
              <w:rPr>
                <w:rFonts w:eastAsia="新細明體" w:cs="Segoe UI"/>
                <w:lang w:eastAsia="en-GB"/>
              </w:rPr>
            </w:pPr>
          </w:p>
        </w:tc>
      </w:tr>
    </w:tbl>
    <w:p w14:paraId="24BC44DA" w14:textId="77777777" w:rsidR="005F4B44" w:rsidRDefault="005F4B44" w:rsidP="005F4B44">
      <w:pPr>
        <w:spacing w:before="120" w:after="120"/>
        <w:rPr>
          <w:rFonts w:eastAsia="新細明體" w:cs="Segoe UI"/>
          <w:sz w:val="22"/>
        </w:rPr>
      </w:pPr>
    </w:p>
    <w:p w14:paraId="6CC78B44" w14:textId="77777777" w:rsidR="008D3DB4" w:rsidRDefault="008D3DB4" w:rsidP="005F4B44">
      <w:pPr>
        <w:spacing w:before="120" w:after="120"/>
        <w:rPr>
          <w:rFonts w:eastAsia="新細明體" w:cs="Segoe UI"/>
          <w:sz w:val="22"/>
        </w:rPr>
      </w:pPr>
    </w:p>
    <w:p w14:paraId="06E6ECC4" w14:textId="5079B765" w:rsidR="008014F0" w:rsidRDefault="008014F0">
      <w:pPr>
        <w:rPr>
          <w:rFonts w:eastAsia="新細明體" w:cs="Segoe UI"/>
          <w:sz w:val="22"/>
        </w:rPr>
      </w:pPr>
      <w:r>
        <w:rPr>
          <w:rFonts w:eastAsia="新細明體" w:cs="Segoe UI"/>
          <w:sz w:val="22"/>
        </w:rPr>
        <w:br w:type="page"/>
      </w:r>
    </w:p>
    <w:tbl>
      <w:tblPr>
        <w:tblW w:w="9248" w:type="dxa"/>
        <w:tblInd w:w="-459" w:type="dxa"/>
        <w:tblLook w:val="00A0" w:firstRow="1" w:lastRow="0" w:firstColumn="1" w:lastColumn="0" w:noHBand="0" w:noVBand="0"/>
      </w:tblPr>
      <w:tblGrid>
        <w:gridCol w:w="424"/>
        <w:gridCol w:w="1158"/>
        <w:gridCol w:w="1211"/>
        <w:gridCol w:w="851"/>
        <w:gridCol w:w="1034"/>
        <w:gridCol w:w="851"/>
        <w:gridCol w:w="868"/>
        <w:gridCol w:w="1080"/>
        <w:gridCol w:w="851"/>
        <w:gridCol w:w="920"/>
      </w:tblGrid>
      <w:tr w:rsidR="005A22C2" w:rsidRPr="005A22C2" w14:paraId="30DF5155" w14:textId="77777777" w:rsidTr="008D3DB4">
        <w:trPr>
          <w:cantSplit/>
          <w:trHeight w:val="155"/>
          <w:tblHeader/>
        </w:trPr>
        <w:tc>
          <w:tcPr>
            <w:tcW w:w="424" w:type="dxa"/>
          </w:tcPr>
          <w:p w14:paraId="65AA2D91" w14:textId="77777777" w:rsidR="005F4B44" w:rsidRPr="005A22C2" w:rsidRDefault="005F4B44" w:rsidP="005F4B44">
            <w:pPr>
              <w:pStyle w:val="TableText"/>
              <w:snapToGrid w:val="0"/>
              <w:rPr>
                <w:rFonts w:eastAsia="新細明體" w:cs="Segoe UI"/>
                <w:lang w:eastAsia="en-GB"/>
              </w:rPr>
            </w:pPr>
          </w:p>
        </w:tc>
        <w:tc>
          <w:tcPr>
            <w:tcW w:w="2369" w:type="dxa"/>
            <w:gridSpan w:val="2"/>
            <w:tcBorders>
              <w:top w:val="nil"/>
              <w:left w:val="nil"/>
              <w:right w:val="single" w:sz="4" w:space="0" w:color="auto"/>
            </w:tcBorders>
            <w:vAlign w:val="center"/>
          </w:tcPr>
          <w:p w14:paraId="4CA313BA"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738B0AC"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en-GB"/>
              </w:rPr>
              <w:t>(a)</w:t>
            </w:r>
          </w:p>
        </w:tc>
        <w:tc>
          <w:tcPr>
            <w:tcW w:w="1034" w:type="dxa"/>
            <w:tcBorders>
              <w:top w:val="single" w:sz="4" w:space="0" w:color="auto"/>
              <w:left w:val="single" w:sz="4" w:space="0" w:color="auto"/>
              <w:bottom w:val="single" w:sz="4" w:space="0" w:color="auto"/>
              <w:right w:val="single" w:sz="4" w:space="0" w:color="auto"/>
            </w:tcBorders>
            <w:vAlign w:val="center"/>
            <w:hideMark/>
          </w:tcPr>
          <w:p w14:paraId="44DE71C1"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en-GB"/>
              </w:rPr>
              <w:t>(b)</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BEC697"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en-GB"/>
              </w:rPr>
              <w:t>(c)</w:t>
            </w:r>
          </w:p>
        </w:tc>
        <w:tc>
          <w:tcPr>
            <w:tcW w:w="868" w:type="dxa"/>
            <w:tcBorders>
              <w:top w:val="single" w:sz="4" w:space="0" w:color="auto"/>
              <w:left w:val="single" w:sz="4" w:space="0" w:color="auto"/>
              <w:bottom w:val="single" w:sz="4" w:space="0" w:color="auto"/>
              <w:right w:val="single" w:sz="4" w:space="0" w:color="auto"/>
            </w:tcBorders>
            <w:vAlign w:val="center"/>
            <w:hideMark/>
          </w:tcPr>
          <w:p w14:paraId="45D561A7"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en-GB"/>
              </w:rPr>
              <w:t>(d)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10127F"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en-GB"/>
              </w:rPr>
              <w:t>(e)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A248E9"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en-GB"/>
              </w:rPr>
              <w:t>(f)</w:t>
            </w:r>
          </w:p>
        </w:tc>
        <w:tc>
          <w:tcPr>
            <w:tcW w:w="920" w:type="dxa"/>
            <w:tcBorders>
              <w:top w:val="single" w:sz="4" w:space="0" w:color="auto"/>
              <w:left w:val="single" w:sz="4" w:space="0" w:color="auto"/>
              <w:bottom w:val="single" w:sz="4" w:space="0" w:color="auto"/>
              <w:right w:val="single" w:sz="4" w:space="0" w:color="auto"/>
            </w:tcBorders>
            <w:hideMark/>
          </w:tcPr>
          <w:p w14:paraId="59D3E404"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en-GB"/>
              </w:rPr>
              <w:t>(g)</w:t>
            </w:r>
          </w:p>
        </w:tc>
      </w:tr>
      <w:tr w:rsidR="005A22C2" w:rsidRPr="005A22C2" w14:paraId="7D626711" w14:textId="77777777" w:rsidTr="008D3DB4">
        <w:trPr>
          <w:cantSplit/>
          <w:trHeight w:val="521"/>
          <w:tblHeader/>
        </w:trPr>
        <w:tc>
          <w:tcPr>
            <w:tcW w:w="424" w:type="dxa"/>
            <w:tcBorders>
              <w:top w:val="nil"/>
              <w:left w:val="nil"/>
              <w:right w:val="nil"/>
            </w:tcBorders>
          </w:tcPr>
          <w:p w14:paraId="02400898" w14:textId="77777777" w:rsidR="005F4B44" w:rsidRPr="005A22C2" w:rsidRDefault="005F4B44" w:rsidP="005F4B44">
            <w:pPr>
              <w:pStyle w:val="TableText"/>
              <w:snapToGrid w:val="0"/>
              <w:rPr>
                <w:rFonts w:eastAsia="新細明體" w:cs="Segoe UI"/>
                <w:lang w:eastAsia="en-GB"/>
              </w:rPr>
            </w:pPr>
          </w:p>
        </w:tc>
        <w:tc>
          <w:tcPr>
            <w:tcW w:w="2369" w:type="dxa"/>
            <w:gridSpan w:val="2"/>
            <w:tcBorders>
              <w:top w:val="nil"/>
              <w:left w:val="nil"/>
              <w:right w:val="single" w:sz="4" w:space="0" w:color="auto"/>
            </w:tcBorders>
            <w:vAlign w:val="center"/>
          </w:tcPr>
          <w:p w14:paraId="6D96531B" w14:textId="77777777" w:rsidR="005F4B44" w:rsidRPr="005A22C2" w:rsidRDefault="005F4B44" w:rsidP="005F4B44">
            <w:pPr>
              <w:pStyle w:val="TableText"/>
              <w:snapToGrid w:val="0"/>
              <w:rPr>
                <w:rFonts w:eastAsia="新細明體" w:cs="Segoe UI"/>
                <w:noProof/>
                <w:lang w:eastAsia="en-GB"/>
              </w:rPr>
            </w:pPr>
          </w:p>
        </w:tc>
        <w:tc>
          <w:tcPr>
            <w:tcW w:w="4684" w:type="dxa"/>
            <w:gridSpan w:val="5"/>
            <w:tcBorders>
              <w:top w:val="single" w:sz="4" w:space="0" w:color="auto"/>
              <w:left w:val="single" w:sz="4" w:space="0" w:color="auto"/>
              <w:bottom w:val="single" w:sz="4" w:space="0" w:color="auto"/>
              <w:right w:val="single" w:sz="4" w:space="0" w:color="auto"/>
            </w:tcBorders>
            <w:vAlign w:val="center"/>
            <w:hideMark/>
          </w:tcPr>
          <w:p w14:paraId="3AFF333D"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現行季度</w:t>
            </w:r>
          </w:p>
        </w:tc>
        <w:tc>
          <w:tcPr>
            <w:tcW w:w="1771" w:type="dxa"/>
            <w:gridSpan w:val="2"/>
            <w:tcBorders>
              <w:top w:val="single" w:sz="4" w:space="0" w:color="auto"/>
              <w:left w:val="single" w:sz="4" w:space="0" w:color="auto"/>
              <w:bottom w:val="single" w:sz="4" w:space="0" w:color="auto"/>
              <w:right w:val="single" w:sz="4" w:space="0" w:color="auto"/>
            </w:tcBorders>
            <w:vAlign w:val="center"/>
            <w:hideMark/>
          </w:tcPr>
          <w:p w14:paraId="6B5D8273"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上一季度</w:t>
            </w:r>
          </w:p>
        </w:tc>
      </w:tr>
      <w:tr w:rsidR="005A22C2" w:rsidRPr="005A22C2" w14:paraId="25232735" w14:textId="77777777" w:rsidTr="008D3DB4">
        <w:trPr>
          <w:cantSplit/>
          <w:trHeight w:val="521"/>
          <w:tblHeader/>
        </w:trPr>
        <w:tc>
          <w:tcPr>
            <w:tcW w:w="424" w:type="dxa"/>
            <w:tcBorders>
              <w:top w:val="nil"/>
              <w:left w:val="nil"/>
              <w:right w:val="nil"/>
            </w:tcBorders>
          </w:tcPr>
          <w:p w14:paraId="4318E997" w14:textId="77777777" w:rsidR="005F4B44" w:rsidRPr="005A22C2" w:rsidRDefault="005F4B44" w:rsidP="005F4B44">
            <w:pPr>
              <w:pStyle w:val="TableText"/>
              <w:snapToGrid w:val="0"/>
              <w:rPr>
                <w:rFonts w:eastAsia="新細明體" w:cs="Segoe UI"/>
                <w:lang w:eastAsia="en-GB"/>
              </w:rPr>
            </w:pPr>
          </w:p>
        </w:tc>
        <w:tc>
          <w:tcPr>
            <w:tcW w:w="2369" w:type="dxa"/>
            <w:gridSpan w:val="2"/>
            <w:tcBorders>
              <w:top w:val="nil"/>
              <w:left w:val="nil"/>
              <w:right w:val="single" w:sz="4" w:space="0" w:color="auto"/>
            </w:tcBorders>
            <w:vAlign w:val="center"/>
          </w:tcPr>
          <w:p w14:paraId="2DC62DC8" w14:textId="77777777" w:rsidR="005F4B44" w:rsidRPr="005A22C2" w:rsidRDefault="005F4B44" w:rsidP="005F4B44">
            <w:pPr>
              <w:pStyle w:val="TableText"/>
              <w:snapToGrid w:val="0"/>
              <w:rPr>
                <w:rFonts w:eastAsia="新細明體" w:cs="Segoe UI"/>
                <w:noProof/>
                <w:lang w:eastAsia="en-GB"/>
              </w:rPr>
            </w:pPr>
          </w:p>
        </w:tc>
        <w:tc>
          <w:tcPr>
            <w:tcW w:w="3604" w:type="dxa"/>
            <w:gridSpan w:val="4"/>
            <w:tcBorders>
              <w:top w:val="single" w:sz="4" w:space="0" w:color="auto"/>
              <w:left w:val="single" w:sz="4" w:space="0" w:color="auto"/>
              <w:bottom w:val="single" w:sz="4" w:space="0" w:color="auto"/>
              <w:right w:val="single" w:sz="4" w:space="0" w:color="auto"/>
            </w:tcBorders>
            <w:vAlign w:val="center"/>
            <w:hideMark/>
          </w:tcPr>
          <w:p w14:paraId="26D72906" w14:textId="1B567D6F" w:rsidR="005F4B44" w:rsidRPr="005A22C2" w:rsidRDefault="005F4B44" w:rsidP="005F4B44">
            <w:pPr>
              <w:pStyle w:val="TableText"/>
              <w:snapToGrid w:val="0"/>
              <w:jc w:val="center"/>
              <w:rPr>
                <w:rFonts w:eastAsia="新細明體" w:cs="Segoe UI"/>
                <w:lang w:eastAsia="zh-TW"/>
              </w:rPr>
            </w:pPr>
            <w:r w:rsidRPr="005A22C2">
              <w:rPr>
                <w:rFonts w:eastAsia="新細明體" w:cs="Segoe UI"/>
                <w:lang w:eastAsia="zh-HK"/>
              </w:rPr>
              <w:t>對上</w:t>
            </w:r>
            <w:r w:rsidRPr="005A22C2">
              <w:rPr>
                <w:rFonts w:eastAsia="新細明體" w:cs="Segoe UI"/>
                <w:lang w:eastAsia="zh-TW"/>
              </w:rPr>
              <w:t>60</w:t>
            </w:r>
            <w:r w:rsidRPr="005A22C2">
              <w:rPr>
                <w:rFonts w:eastAsia="新細明體" w:cs="Segoe UI"/>
                <w:lang w:eastAsia="zh-HK"/>
              </w:rPr>
              <w:t>個交易日</w:t>
            </w:r>
            <w:r w:rsidRPr="005A22C2">
              <w:rPr>
                <w:rFonts w:eastAsia="新細明體" w:cs="Segoe UI"/>
                <w:lang w:eastAsia="zh-TW"/>
              </w:rPr>
              <w:t>/12</w:t>
            </w:r>
            <w:r w:rsidRPr="005A22C2">
              <w:rPr>
                <w:rFonts w:eastAsia="新細明體" w:cs="Segoe UI"/>
                <w:lang w:eastAsia="zh-HK"/>
              </w:rPr>
              <w:t>星期的風險計量</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4D9D14" w14:textId="09D1D7C3" w:rsidR="005F4B44" w:rsidRPr="005A22C2" w:rsidRDefault="005F4B44" w:rsidP="005F4B44">
            <w:pPr>
              <w:pStyle w:val="TableText"/>
              <w:snapToGrid w:val="0"/>
              <w:jc w:val="center"/>
              <w:rPr>
                <w:rFonts w:eastAsia="新細明體" w:cs="Segoe UI"/>
                <w:lang w:eastAsia="zh-TW"/>
              </w:rPr>
            </w:pPr>
            <w:r w:rsidRPr="005A22C2">
              <w:rPr>
                <w:rFonts w:eastAsia="新細明體"/>
                <w:lang w:eastAsia="zh-TW"/>
              </w:rPr>
              <w:t>回溯</w:t>
            </w:r>
            <w:r w:rsidRPr="005A22C2">
              <w:rPr>
                <w:rFonts w:eastAsia="新細明體" w:cs="Segoe UI"/>
                <w:lang w:eastAsia="zh-HK"/>
              </w:rPr>
              <w:t>測試</w:t>
            </w:r>
            <w:r w:rsidRPr="005A22C2">
              <w:rPr>
                <w:rFonts w:eastAsia="新細明體" w:cs="Segoe UI" w:hint="eastAsia"/>
                <w:lang w:eastAsia="zh-HK"/>
              </w:rPr>
              <w:t>的</w:t>
            </w:r>
            <w:r w:rsidRPr="005A22C2">
              <w:rPr>
                <w:rFonts w:eastAsia="新細明體" w:cs="Segoe UI"/>
                <w:lang w:eastAsia="zh-HK"/>
              </w:rPr>
              <w:br/>
            </w:r>
            <w:r w:rsidRPr="005A22C2">
              <w:rPr>
                <w:rFonts w:eastAsia="新細明體" w:cs="Segoe UI"/>
                <w:lang w:eastAsia="zh-HK"/>
              </w:rPr>
              <w:t>例外情況</w:t>
            </w:r>
            <w:r w:rsidRPr="005A22C2">
              <w:rPr>
                <w:rFonts w:eastAsia="新細明體" w:cs="Segoe UI"/>
                <w:lang w:eastAsia="zh-HK"/>
              </w:rPr>
              <w:br/>
            </w:r>
            <w:r w:rsidRPr="005A22C2">
              <w:rPr>
                <w:rFonts w:eastAsia="新細明體" w:cs="Segoe UI"/>
                <w:lang w:eastAsia="zh-HK"/>
              </w:rPr>
              <w:t>數</w:t>
            </w:r>
            <w:r w:rsidRPr="005A22C2">
              <w:rPr>
                <w:rFonts w:eastAsia="新細明體" w:cs="Segoe UI" w:hint="eastAsia"/>
                <w:lang w:eastAsia="zh-HK"/>
              </w:rPr>
              <w:t>目</w:t>
            </w:r>
          </w:p>
        </w:tc>
        <w:tc>
          <w:tcPr>
            <w:tcW w:w="1771" w:type="dxa"/>
            <w:gridSpan w:val="2"/>
            <w:tcBorders>
              <w:top w:val="single" w:sz="4" w:space="0" w:color="auto"/>
              <w:left w:val="single" w:sz="4" w:space="0" w:color="auto"/>
              <w:bottom w:val="single" w:sz="4" w:space="0" w:color="auto"/>
              <w:right w:val="single" w:sz="4" w:space="0" w:color="auto"/>
            </w:tcBorders>
            <w:vAlign w:val="center"/>
            <w:hideMark/>
          </w:tcPr>
          <w:p w14:paraId="678FD032" w14:textId="21F824FD" w:rsidR="005F4B44" w:rsidRPr="005A22C2" w:rsidRDefault="005F4B44" w:rsidP="005F4B44">
            <w:pPr>
              <w:pStyle w:val="TableText"/>
              <w:snapToGrid w:val="0"/>
              <w:jc w:val="center"/>
              <w:rPr>
                <w:rFonts w:eastAsia="新細明體" w:cs="Segoe UI"/>
                <w:lang w:eastAsia="zh-TW"/>
              </w:rPr>
            </w:pPr>
            <w:r w:rsidRPr="005A22C2">
              <w:rPr>
                <w:rFonts w:eastAsia="新細明體" w:cs="Segoe UI"/>
                <w:lang w:eastAsia="zh-HK"/>
              </w:rPr>
              <w:t>風險計量</w:t>
            </w:r>
            <w:r w:rsidRPr="005A22C2">
              <w:rPr>
                <w:rFonts w:eastAsia="新細明體" w:cs="Segoe UI"/>
                <w:lang w:eastAsia="zh-TW"/>
              </w:rPr>
              <w:t>：</w:t>
            </w:r>
          </w:p>
          <w:p w14:paraId="1332F664" w14:textId="77777777" w:rsidR="005F4B44" w:rsidRPr="005A22C2" w:rsidRDefault="005F4B44" w:rsidP="005F4B44">
            <w:pPr>
              <w:pStyle w:val="TableText"/>
              <w:snapToGrid w:val="0"/>
              <w:jc w:val="center"/>
              <w:rPr>
                <w:rFonts w:eastAsia="新細明體" w:cs="Segoe UI"/>
                <w:lang w:eastAsia="zh-TW"/>
              </w:rPr>
            </w:pPr>
            <w:r w:rsidRPr="005A22C2">
              <w:rPr>
                <w:rFonts w:eastAsia="新細明體" w:cs="Segoe UI"/>
                <w:lang w:eastAsia="zh-HK"/>
              </w:rPr>
              <w:t>對上</w:t>
            </w:r>
            <w:r w:rsidRPr="005A22C2">
              <w:rPr>
                <w:rFonts w:eastAsia="新細明體" w:cs="Segoe UI"/>
                <w:lang w:eastAsia="zh-TW"/>
              </w:rPr>
              <w:t>60</w:t>
            </w:r>
            <w:r w:rsidRPr="005A22C2">
              <w:rPr>
                <w:rFonts w:eastAsia="新細明體" w:cs="Segoe UI"/>
                <w:lang w:eastAsia="zh-HK"/>
              </w:rPr>
              <w:t>個交易日</w:t>
            </w:r>
            <w:r w:rsidRPr="005A22C2">
              <w:rPr>
                <w:rFonts w:eastAsia="新細明體" w:cs="Segoe UI"/>
                <w:lang w:eastAsia="zh-TW"/>
              </w:rPr>
              <w:t>/</w:t>
            </w:r>
            <w:r w:rsidRPr="005A22C2">
              <w:rPr>
                <w:rFonts w:eastAsia="新細明體" w:cs="Segoe UI"/>
                <w:lang w:eastAsia="zh-TW"/>
              </w:rPr>
              <w:br/>
              <w:t>12</w:t>
            </w:r>
            <w:r w:rsidRPr="005A22C2">
              <w:rPr>
                <w:rFonts w:eastAsia="新細明體" w:cs="Segoe UI"/>
                <w:lang w:eastAsia="zh-HK"/>
              </w:rPr>
              <w:t>星期</w:t>
            </w:r>
          </w:p>
        </w:tc>
      </w:tr>
      <w:tr w:rsidR="005A22C2" w:rsidRPr="005A22C2" w14:paraId="3B6D726A" w14:textId="77777777" w:rsidTr="008D3DB4">
        <w:trPr>
          <w:cantSplit/>
          <w:trHeight w:val="521"/>
          <w:tblHeader/>
        </w:trPr>
        <w:tc>
          <w:tcPr>
            <w:tcW w:w="424" w:type="dxa"/>
            <w:tcBorders>
              <w:top w:val="nil"/>
              <w:left w:val="nil"/>
              <w:bottom w:val="single" w:sz="4" w:space="0" w:color="auto"/>
              <w:right w:val="nil"/>
            </w:tcBorders>
          </w:tcPr>
          <w:p w14:paraId="50A3DDAA" w14:textId="77777777" w:rsidR="005F4B44" w:rsidRPr="005A22C2" w:rsidRDefault="005F4B44" w:rsidP="005F4B44">
            <w:pPr>
              <w:pStyle w:val="TableText"/>
              <w:snapToGrid w:val="0"/>
              <w:rPr>
                <w:rFonts w:eastAsia="新細明體" w:cs="Segoe UI"/>
                <w:lang w:eastAsia="zh-TW"/>
              </w:rPr>
            </w:pPr>
          </w:p>
        </w:tc>
        <w:tc>
          <w:tcPr>
            <w:tcW w:w="2369" w:type="dxa"/>
            <w:gridSpan w:val="2"/>
            <w:tcBorders>
              <w:top w:val="nil"/>
              <w:left w:val="nil"/>
              <w:bottom w:val="single" w:sz="4" w:space="0" w:color="auto"/>
              <w:right w:val="single" w:sz="4" w:space="0" w:color="auto"/>
            </w:tcBorders>
            <w:vAlign w:val="center"/>
          </w:tcPr>
          <w:p w14:paraId="397BB28D" w14:textId="77777777" w:rsidR="005F4B44" w:rsidRPr="005A22C2" w:rsidRDefault="005F4B44" w:rsidP="005F4B44">
            <w:pPr>
              <w:pStyle w:val="TableText"/>
              <w:snapToGrid w:val="0"/>
              <w:rPr>
                <w:rFonts w:eastAsia="新細明體" w:cs="Segoe UI"/>
                <w:noProof/>
                <w:lang w:eastAsia="zh-TW"/>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97DA55C"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最近</w:t>
            </w:r>
          </w:p>
        </w:tc>
        <w:tc>
          <w:tcPr>
            <w:tcW w:w="1034" w:type="dxa"/>
            <w:tcBorders>
              <w:top w:val="single" w:sz="4" w:space="0" w:color="auto"/>
              <w:left w:val="single" w:sz="4" w:space="0" w:color="auto"/>
              <w:bottom w:val="single" w:sz="4" w:space="0" w:color="auto"/>
              <w:right w:val="single" w:sz="4" w:space="0" w:color="auto"/>
            </w:tcBorders>
            <w:vAlign w:val="center"/>
            <w:hideMark/>
          </w:tcPr>
          <w:p w14:paraId="443DA7F8"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平均</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619E01"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最高</w:t>
            </w:r>
          </w:p>
        </w:tc>
        <w:tc>
          <w:tcPr>
            <w:tcW w:w="868" w:type="dxa"/>
            <w:tcBorders>
              <w:top w:val="single" w:sz="4" w:space="0" w:color="auto"/>
              <w:left w:val="single" w:sz="4" w:space="0" w:color="auto"/>
              <w:bottom w:val="single" w:sz="4" w:space="0" w:color="auto"/>
              <w:right w:val="single" w:sz="4" w:space="0" w:color="auto"/>
            </w:tcBorders>
            <w:vAlign w:val="center"/>
            <w:hideMark/>
          </w:tcPr>
          <w:p w14:paraId="17F735BA"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最低</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D4DE3E" w14:textId="6A9A95CB" w:rsidR="005F4B44" w:rsidRPr="005A22C2" w:rsidRDefault="00CC5A15" w:rsidP="00CC5A15">
            <w:pPr>
              <w:pStyle w:val="TableText"/>
              <w:snapToGrid w:val="0"/>
              <w:jc w:val="center"/>
              <w:rPr>
                <w:rFonts w:eastAsia="新細明體" w:cs="Segoe UI"/>
                <w:lang w:eastAsia="zh-HK"/>
              </w:rPr>
            </w:pPr>
            <w:proofErr w:type="spellStart"/>
            <w:r w:rsidRPr="005A22C2">
              <w:rPr>
                <w:rFonts w:eastAsia="新細明體" w:cs="Segoe UI" w:hint="eastAsia"/>
                <w:lang w:eastAsia="zh-HK"/>
              </w:rPr>
              <w:t>VaR</w:t>
            </w:r>
            <w:proofErr w:type="spellEnd"/>
            <w:r w:rsidRPr="005A22C2">
              <w:rPr>
                <w:rFonts w:eastAsia="新細明體" w:cs="Segoe UI" w:hint="eastAsia"/>
                <w:lang w:eastAsia="zh-HK"/>
              </w:rPr>
              <w:t>指</w:t>
            </w:r>
            <w:r w:rsidRPr="005A22C2">
              <w:rPr>
                <w:rFonts w:eastAsia="新細明體" w:cs="Segoe UI"/>
                <w:lang w:eastAsia="zh-HK"/>
              </w:rPr>
              <w:t>標</w:t>
            </w:r>
            <w:r w:rsidR="005F4B44" w:rsidRPr="005A22C2">
              <w:rPr>
                <w:rFonts w:eastAsia="新細明體" w:cs="Segoe UI"/>
                <w:lang w:eastAsia="zh-HK"/>
              </w:rPr>
              <w:br/>
            </w:r>
            <w:r w:rsidR="005F4B44" w:rsidRPr="005A22C2">
              <w:rPr>
                <w:rFonts w:eastAsia="新細明體" w:cs="Segoe UI"/>
                <w:lang w:eastAsia="en-GB"/>
              </w:rPr>
              <w:t>99.0%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5E9071"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最近</w:t>
            </w:r>
          </w:p>
        </w:tc>
        <w:tc>
          <w:tcPr>
            <w:tcW w:w="920" w:type="dxa"/>
            <w:tcBorders>
              <w:top w:val="single" w:sz="4" w:space="0" w:color="auto"/>
              <w:left w:val="single" w:sz="4" w:space="0" w:color="auto"/>
              <w:bottom w:val="single" w:sz="4" w:space="0" w:color="auto"/>
              <w:right w:val="single" w:sz="4" w:space="0" w:color="auto"/>
            </w:tcBorders>
            <w:vAlign w:val="center"/>
            <w:hideMark/>
          </w:tcPr>
          <w:p w14:paraId="6CD8276D" w14:textId="77777777" w:rsidR="005F4B44" w:rsidRPr="005A22C2" w:rsidRDefault="005F4B44" w:rsidP="005F4B44">
            <w:pPr>
              <w:pStyle w:val="TableText"/>
              <w:snapToGrid w:val="0"/>
              <w:jc w:val="center"/>
              <w:rPr>
                <w:rFonts w:eastAsia="新細明體" w:cs="Segoe UI"/>
                <w:lang w:eastAsia="en-GB"/>
              </w:rPr>
            </w:pPr>
            <w:r w:rsidRPr="005A22C2">
              <w:rPr>
                <w:rFonts w:eastAsia="新細明體" w:cs="Segoe UI"/>
                <w:lang w:eastAsia="zh-HK"/>
              </w:rPr>
              <w:t>平均</w:t>
            </w:r>
          </w:p>
        </w:tc>
      </w:tr>
      <w:tr w:rsidR="005A22C2" w:rsidRPr="005A22C2" w14:paraId="0FED42A3" w14:textId="77777777" w:rsidTr="00722213">
        <w:trPr>
          <w:cantSplit/>
          <w:trHeight w:val="293"/>
        </w:trPr>
        <w:tc>
          <w:tcPr>
            <w:tcW w:w="424" w:type="dxa"/>
            <w:tcBorders>
              <w:top w:val="single" w:sz="4" w:space="0" w:color="auto"/>
              <w:left w:val="nil"/>
              <w:bottom w:val="single" w:sz="4" w:space="0" w:color="auto"/>
              <w:right w:val="single" w:sz="4" w:space="0" w:color="auto"/>
            </w:tcBorders>
            <w:hideMark/>
          </w:tcPr>
          <w:p w14:paraId="70CB230C"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1</w:t>
            </w:r>
          </w:p>
        </w:tc>
        <w:tc>
          <w:tcPr>
            <w:tcW w:w="2369" w:type="dxa"/>
            <w:gridSpan w:val="2"/>
            <w:tcBorders>
              <w:top w:val="single" w:sz="4" w:space="0" w:color="auto"/>
              <w:left w:val="nil"/>
              <w:bottom w:val="single" w:sz="4" w:space="0" w:color="auto"/>
              <w:right w:val="single" w:sz="4" w:space="0" w:color="auto"/>
            </w:tcBorders>
            <w:hideMark/>
          </w:tcPr>
          <w:p w14:paraId="3C0C7BB2" w14:textId="7E66F44F" w:rsidR="008D3DB4" w:rsidRPr="005A22C2" w:rsidRDefault="005F4B44" w:rsidP="00E15004">
            <w:pPr>
              <w:pStyle w:val="TableText"/>
              <w:snapToGrid w:val="0"/>
              <w:rPr>
                <w:rFonts w:eastAsia="新細明體" w:cs="Segoe UI"/>
                <w:lang w:eastAsia="zh-TW"/>
              </w:rPr>
            </w:pPr>
            <w:r w:rsidRPr="005A22C2">
              <w:rPr>
                <w:rFonts w:eastAsia="新細明體" w:cs="Segoe UI" w:hint="eastAsia"/>
                <w:lang w:eastAsia="zh-HK"/>
              </w:rPr>
              <w:t>無限制</w:t>
            </w:r>
            <w:r w:rsidRPr="005A22C2">
              <w:rPr>
                <w:rFonts w:ascii="新細明體" w:eastAsia="新細明體" w:hAnsi="新細明體" w:cs="Segoe UI" w:hint="eastAsia"/>
                <w:lang w:eastAsia="zh-CN"/>
              </w:rPr>
              <w:t>預期損失值</w:t>
            </w:r>
          </w:p>
        </w:tc>
        <w:tc>
          <w:tcPr>
            <w:tcW w:w="851" w:type="dxa"/>
            <w:tcBorders>
              <w:top w:val="single" w:sz="4" w:space="0" w:color="auto"/>
              <w:left w:val="single" w:sz="4" w:space="0" w:color="auto"/>
              <w:bottom w:val="single" w:sz="4" w:space="0" w:color="auto"/>
              <w:right w:val="single" w:sz="4" w:space="0" w:color="auto"/>
            </w:tcBorders>
          </w:tcPr>
          <w:p w14:paraId="45F22AB7" w14:textId="77777777" w:rsidR="005F4B44" w:rsidRPr="005A22C2" w:rsidRDefault="005F4B44" w:rsidP="005F4B44">
            <w:pPr>
              <w:pStyle w:val="TableText"/>
              <w:snapToGrid w:val="0"/>
              <w:rPr>
                <w:rFonts w:eastAsia="新細明體" w:cs="Segoe UI"/>
                <w:lang w:eastAsia="en-GB"/>
              </w:rPr>
            </w:pPr>
          </w:p>
        </w:tc>
        <w:tc>
          <w:tcPr>
            <w:tcW w:w="1034" w:type="dxa"/>
            <w:tcBorders>
              <w:top w:val="single" w:sz="4" w:space="0" w:color="auto"/>
              <w:left w:val="single" w:sz="4" w:space="0" w:color="auto"/>
              <w:bottom w:val="single" w:sz="4" w:space="0" w:color="auto"/>
              <w:right w:val="single" w:sz="4" w:space="0" w:color="auto"/>
            </w:tcBorders>
          </w:tcPr>
          <w:p w14:paraId="765D7A28"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auto"/>
              <w:left w:val="single" w:sz="4" w:space="0" w:color="auto"/>
              <w:bottom w:val="single" w:sz="4" w:space="0" w:color="auto"/>
              <w:right w:val="single" w:sz="4" w:space="0" w:color="auto"/>
            </w:tcBorders>
          </w:tcPr>
          <w:p w14:paraId="7B243BE6" w14:textId="77777777" w:rsidR="005F4B44" w:rsidRPr="005A22C2" w:rsidRDefault="005F4B44" w:rsidP="005F4B44">
            <w:pPr>
              <w:pStyle w:val="TableText"/>
              <w:snapToGrid w:val="0"/>
              <w:rPr>
                <w:rFonts w:eastAsia="新細明體" w:cs="Segoe UI"/>
                <w:lang w:eastAsia="en-GB"/>
              </w:rPr>
            </w:pPr>
          </w:p>
        </w:tc>
        <w:tc>
          <w:tcPr>
            <w:tcW w:w="868" w:type="dxa"/>
            <w:tcBorders>
              <w:top w:val="single" w:sz="4" w:space="0" w:color="auto"/>
              <w:left w:val="single" w:sz="4" w:space="0" w:color="auto"/>
              <w:bottom w:val="single" w:sz="4" w:space="0" w:color="auto"/>
              <w:right w:val="single" w:sz="4" w:space="0" w:color="auto"/>
            </w:tcBorders>
          </w:tcPr>
          <w:p w14:paraId="381AF1FF" w14:textId="77777777" w:rsidR="005F4B44" w:rsidRPr="005A22C2" w:rsidRDefault="005F4B44" w:rsidP="005F4B44">
            <w:pPr>
              <w:pStyle w:val="TableText"/>
              <w:snapToGrid w:val="0"/>
              <w:rPr>
                <w:rFonts w:eastAsia="新細明體" w:cs="Segoe UI"/>
                <w:lang w:eastAsia="en-GB"/>
              </w:rPr>
            </w:pPr>
          </w:p>
        </w:tc>
        <w:tc>
          <w:tcPr>
            <w:tcW w:w="1080" w:type="dxa"/>
            <w:tcBorders>
              <w:top w:val="single" w:sz="4" w:space="0" w:color="auto"/>
              <w:left w:val="single" w:sz="4" w:space="0" w:color="auto"/>
              <w:bottom w:val="single" w:sz="4" w:space="0" w:color="auto"/>
              <w:right w:val="single" w:sz="4" w:space="0" w:color="auto"/>
            </w:tcBorders>
          </w:tcPr>
          <w:p w14:paraId="7CC29ED2"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auto"/>
              <w:left w:val="single" w:sz="4" w:space="0" w:color="auto"/>
              <w:bottom w:val="single" w:sz="4" w:space="0" w:color="auto"/>
              <w:right w:val="single" w:sz="4" w:space="0" w:color="auto"/>
            </w:tcBorders>
          </w:tcPr>
          <w:p w14:paraId="5153E0AA" w14:textId="77777777" w:rsidR="005F4B44" w:rsidRPr="005A22C2" w:rsidRDefault="005F4B44" w:rsidP="005F4B44">
            <w:pPr>
              <w:pStyle w:val="TableText"/>
              <w:snapToGrid w:val="0"/>
              <w:rPr>
                <w:rFonts w:eastAsia="新細明體" w:cs="Segoe UI"/>
                <w:lang w:eastAsia="en-GB"/>
              </w:rPr>
            </w:pPr>
          </w:p>
        </w:tc>
        <w:tc>
          <w:tcPr>
            <w:tcW w:w="920" w:type="dxa"/>
            <w:tcBorders>
              <w:top w:val="single" w:sz="4" w:space="0" w:color="auto"/>
              <w:left w:val="single" w:sz="4" w:space="0" w:color="auto"/>
              <w:bottom w:val="single" w:sz="4" w:space="0" w:color="auto"/>
              <w:right w:val="single" w:sz="4" w:space="0" w:color="auto"/>
            </w:tcBorders>
          </w:tcPr>
          <w:p w14:paraId="19DEB5B3" w14:textId="77777777" w:rsidR="005F4B44" w:rsidRPr="005A22C2" w:rsidRDefault="005F4B44" w:rsidP="005F4B44">
            <w:pPr>
              <w:pStyle w:val="TableText"/>
              <w:snapToGrid w:val="0"/>
              <w:rPr>
                <w:rFonts w:eastAsia="新細明體" w:cs="Segoe UI"/>
                <w:lang w:eastAsia="en-GB"/>
              </w:rPr>
            </w:pPr>
          </w:p>
        </w:tc>
      </w:tr>
      <w:tr w:rsidR="001B39FD" w:rsidRPr="005A22C2" w14:paraId="59697EA6" w14:textId="77777777" w:rsidTr="000801DC">
        <w:trPr>
          <w:cantSplit/>
          <w:trHeight w:val="293"/>
        </w:trPr>
        <w:tc>
          <w:tcPr>
            <w:tcW w:w="424" w:type="dxa"/>
            <w:tcBorders>
              <w:top w:val="single" w:sz="4" w:space="0" w:color="auto"/>
              <w:left w:val="nil"/>
              <w:bottom w:val="single" w:sz="4" w:space="0" w:color="BFBFBF"/>
              <w:right w:val="single" w:sz="4" w:space="0" w:color="auto"/>
            </w:tcBorders>
            <w:hideMark/>
          </w:tcPr>
          <w:p w14:paraId="1C2219F2"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2</w:t>
            </w:r>
          </w:p>
        </w:tc>
        <w:tc>
          <w:tcPr>
            <w:tcW w:w="1158" w:type="dxa"/>
            <w:vMerge w:val="restart"/>
            <w:tcBorders>
              <w:top w:val="single" w:sz="4" w:space="0" w:color="auto"/>
              <w:left w:val="nil"/>
              <w:bottom w:val="single" w:sz="4" w:space="0" w:color="BFBFBF"/>
              <w:right w:val="single" w:sz="4" w:space="0" w:color="000000"/>
            </w:tcBorders>
          </w:tcPr>
          <w:p w14:paraId="634A0B44" w14:textId="77777777" w:rsidR="005F4B44" w:rsidRPr="005A22C2" w:rsidRDefault="005F4B44" w:rsidP="005F4B44">
            <w:pPr>
              <w:pStyle w:val="TableText"/>
              <w:snapToGrid w:val="0"/>
              <w:rPr>
                <w:rFonts w:eastAsia="新細明體" w:cs="Segoe UI"/>
                <w:lang w:eastAsia="zh-TW"/>
              </w:rPr>
            </w:pPr>
          </w:p>
          <w:p w14:paraId="2A9F0BF1" w14:textId="3455A69D" w:rsidR="005F4B44" w:rsidRPr="005A22C2" w:rsidRDefault="005F4B44" w:rsidP="005F4B44">
            <w:pPr>
              <w:pStyle w:val="TableText"/>
              <w:snapToGrid w:val="0"/>
              <w:rPr>
                <w:rFonts w:eastAsia="新細明體" w:cs="Segoe UI"/>
                <w:lang w:eastAsia="zh-TW"/>
              </w:rPr>
            </w:pPr>
            <w:r w:rsidRPr="005A22C2">
              <w:rPr>
                <w:rFonts w:eastAsia="新細明體" w:cs="Segoe UI"/>
                <w:lang w:eastAsia="zh-HK"/>
              </w:rPr>
              <w:t>監管風險類別的</w:t>
            </w:r>
            <w:r w:rsidRPr="005A22C2">
              <w:rPr>
                <w:rFonts w:ascii="新細明體" w:eastAsia="新細明體" w:hAnsi="新細明體" w:cs="Segoe UI" w:hint="eastAsia"/>
                <w:lang w:eastAsia="zh-TW"/>
              </w:rPr>
              <w:t>預期損失值</w:t>
            </w:r>
          </w:p>
        </w:tc>
        <w:tc>
          <w:tcPr>
            <w:tcW w:w="1211" w:type="dxa"/>
            <w:tcBorders>
              <w:top w:val="single" w:sz="4" w:space="0" w:color="auto"/>
              <w:left w:val="single" w:sz="4" w:space="0" w:color="000000"/>
              <w:bottom w:val="single" w:sz="4" w:space="0" w:color="BFBFBF"/>
              <w:right w:val="single" w:sz="4" w:space="0" w:color="auto"/>
            </w:tcBorders>
            <w:hideMark/>
          </w:tcPr>
          <w:p w14:paraId="3299E708"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zh-HK"/>
              </w:rPr>
              <w:t>一般利率風險</w:t>
            </w:r>
          </w:p>
        </w:tc>
        <w:tc>
          <w:tcPr>
            <w:tcW w:w="851" w:type="dxa"/>
            <w:tcBorders>
              <w:top w:val="single" w:sz="4" w:space="0" w:color="auto"/>
              <w:left w:val="single" w:sz="4" w:space="0" w:color="auto"/>
              <w:bottom w:val="single" w:sz="4" w:space="0" w:color="BFBFBF"/>
              <w:right w:val="single" w:sz="4" w:space="0" w:color="auto"/>
            </w:tcBorders>
          </w:tcPr>
          <w:p w14:paraId="5540E683" w14:textId="77777777" w:rsidR="005F4B44" w:rsidRPr="005A22C2" w:rsidRDefault="005F4B44" w:rsidP="005F4B44">
            <w:pPr>
              <w:pStyle w:val="TableText"/>
              <w:snapToGrid w:val="0"/>
              <w:rPr>
                <w:rFonts w:eastAsia="新細明體" w:cs="Segoe UI"/>
                <w:lang w:eastAsia="en-GB"/>
              </w:rPr>
            </w:pPr>
          </w:p>
        </w:tc>
        <w:tc>
          <w:tcPr>
            <w:tcW w:w="1034" w:type="dxa"/>
            <w:tcBorders>
              <w:top w:val="single" w:sz="4" w:space="0" w:color="auto"/>
              <w:left w:val="single" w:sz="4" w:space="0" w:color="auto"/>
              <w:bottom w:val="single" w:sz="4" w:space="0" w:color="BFBFBF"/>
              <w:right w:val="single" w:sz="4" w:space="0" w:color="auto"/>
            </w:tcBorders>
          </w:tcPr>
          <w:p w14:paraId="35D809CE"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auto"/>
              <w:left w:val="single" w:sz="4" w:space="0" w:color="auto"/>
              <w:bottom w:val="single" w:sz="4" w:space="0" w:color="BFBFBF"/>
              <w:right w:val="single" w:sz="4" w:space="0" w:color="auto"/>
            </w:tcBorders>
          </w:tcPr>
          <w:p w14:paraId="3BFCF1FD" w14:textId="77777777" w:rsidR="005F4B44" w:rsidRPr="005A22C2" w:rsidRDefault="005F4B44" w:rsidP="005F4B44">
            <w:pPr>
              <w:pStyle w:val="TableText"/>
              <w:snapToGrid w:val="0"/>
              <w:rPr>
                <w:rFonts w:eastAsia="新細明體" w:cs="Segoe UI"/>
                <w:lang w:eastAsia="en-GB"/>
              </w:rPr>
            </w:pPr>
          </w:p>
        </w:tc>
        <w:tc>
          <w:tcPr>
            <w:tcW w:w="868" w:type="dxa"/>
            <w:tcBorders>
              <w:top w:val="single" w:sz="4" w:space="0" w:color="auto"/>
              <w:left w:val="single" w:sz="4" w:space="0" w:color="auto"/>
              <w:bottom w:val="single" w:sz="4" w:space="0" w:color="BFBFBF"/>
              <w:right w:val="single" w:sz="4" w:space="0" w:color="auto"/>
            </w:tcBorders>
          </w:tcPr>
          <w:p w14:paraId="71DC3BB1" w14:textId="77777777" w:rsidR="005F4B44" w:rsidRPr="005A22C2" w:rsidRDefault="005F4B44" w:rsidP="005F4B44">
            <w:pPr>
              <w:pStyle w:val="TableText"/>
              <w:snapToGrid w:val="0"/>
              <w:rPr>
                <w:rFonts w:eastAsia="新細明體" w:cs="Segoe UI"/>
                <w:lang w:eastAsia="en-GB"/>
              </w:rPr>
            </w:pPr>
          </w:p>
        </w:tc>
        <w:tc>
          <w:tcPr>
            <w:tcW w:w="1080" w:type="dxa"/>
            <w:tcBorders>
              <w:top w:val="single" w:sz="4" w:space="0" w:color="auto"/>
              <w:left w:val="single" w:sz="4" w:space="0" w:color="auto"/>
              <w:bottom w:val="single" w:sz="4" w:space="0" w:color="BFBFBF"/>
              <w:right w:val="single" w:sz="4" w:space="0" w:color="auto"/>
            </w:tcBorders>
            <w:shd w:val="clear" w:color="auto" w:fill="BFBFBF"/>
          </w:tcPr>
          <w:p w14:paraId="28EAEBC4"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auto"/>
              <w:left w:val="single" w:sz="4" w:space="0" w:color="auto"/>
              <w:bottom w:val="single" w:sz="4" w:space="0" w:color="BFBFBF"/>
              <w:right w:val="single" w:sz="4" w:space="0" w:color="auto"/>
            </w:tcBorders>
          </w:tcPr>
          <w:p w14:paraId="5763786C" w14:textId="77777777" w:rsidR="005F4B44" w:rsidRPr="005A22C2" w:rsidRDefault="005F4B44" w:rsidP="005F4B44">
            <w:pPr>
              <w:pStyle w:val="TableText"/>
              <w:snapToGrid w:val="0"/>
              <w:rPr>
                <w:rFonts w:eastAsia="新細明體" w:cs="Segoe UI"/>
                <w:lang w:eastAsia="en-GB"/>
              </w:rPr>
            </w:pPr>
          </w:p>
        </w:tc>
        <w:tc>
          <w:tcPr>
            <w:tcW w:w="920" w:type="dxa"/>
            <w:tcBorders>
              <w:top w:val="single" w:sz="4" w:space="0" w:color="auto"/>
              <w:left w:val="single" w:sz="4" w:space="0" w:color="auto"/>
              <w:bottom w:val="single" w:sz="4" w:space="0" w:color="BFBFBF"/>
              <w:right w:val="single" w:sz="4" w:space="0" w:color="auto"/>
            </w:tcBorders>
          </w:tcPr>
          <w:p w14:paraId="1E0FA63F" w14:textId="77777777" w:rsidR="005F4B44" w:rsidRPr="005A22C2" w:rsidRDefault="005F4B44" w:rsidP="005F4B44">
            <w:pPr>
              <w:pStyle w:val="TableText"/>
              <w:snapToGrid w:val="0"/>
              <w:rPr>
                <w:rFonts w:eastAsia="新細明體" w:cs="Segoe UI"/>
                <w:lang w:eastAsia="en-GB"/>
              </w:rPr>
            </w:pPr>
          </w:p>
        </w:tc>
      </w:tr>
      <w:tr w:rsidR="001B39FD" w:rsidRPr="005A22C2" w14:paraId="500FB00B" w14:textId="77777777" w:rsidTr="000801DC">
        <w:trPr>
          <w:cantSplit/>
          <w:trHeight w:val="277"/>
        </w:trPr>
        <w:tc>
          <w:tcPr>
            <w:tcW w:w="424" w:type="dxa"/>
            <w:tcBorders>
              <w:top w:val="single" w:sz="4" w:space="0" w:color="BFBFBF"/>
              <w:left w:val="nil"/>
              <w:bottom w:val="single" w:sz="4" w:space="0" w:color="BFBFBF"/>
              <w:right w:val="single" w:sz="4" w:space="0" w:color="auto"/>
            </w:tcBorders>
            <w:hideMark/>
          </w:tcPr>
          <w:p w14:paraId="3F2C963F"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3</w:t>
            </w:r>
          </w:p>
        </w:tc>
        <w:tc>
          <w:tcPr>
            <w:tcW w:w="0" w:type="auto"/>
            <w:vMerge/>
            <w:tcBorders>
              <w:top w:val="single" w:sz="4" w:space="0" w:color="BFBFBF"/>
              <w:left w:val="nil"/>
              <w:bottom w:val="single" w:sz="4" w:space="0" w:color="BFBFBF"/>
              <w:right w:val="single" w:sz="4" w:space="0" w:color="000000"/>
            </w:tcBorders>
            <w:vAlign w:val="center"/>
            <w:hideMark/>
          </w:tcPr>
          <w:p w14:paraId="2C8CD6F7" w14:textId="77777777" w:rsidR="005F4B44" w:rsidRPr="005A22C2" w:rsidRDefault="005F4B44" w:rsidP="005F4B44">
            <w:pPr>
              <w:rPr>
                <w:rFonts w:eastAsia="新細明體" w:cs="Segoe UI"/>
                <w:sz w:val="17"/>
                <w:lang w:eastAsia="en-GB"/>
              </w:rPr>
            </w:pPr>
          </w:p>
        </w:tc>
        <w:tc>
          <w:tcPr>
            <w:tcW w:w="1211" w:type="dxa"/>
            <w:tcBorders>
              <w:top w:val="single" w:sz="4" w:space="0" w:color="BFBFBF"/>
              <w:left w:val="single" w:sz="4" w:space="0" w:color="000000"/>
              <w:bottom w:val="single" w:sz="4" w:space="0" w:color="BFBFBF"/>
              <w:right w:val="single" w:sz="4" w:space="0" w:color="auto"/>
            </w:tcBorders>
            <w:hideMark/>
          </w:tcPr>
          <w:p w14:paraId="321F80AC"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zh-HK"/>
              </w:rPr>
              <w:t>股權風險</w:t>
            </w:r>
          </w:p>
        </w:tc>
        <w:tc>
          <w:tcPr>
            <w:tcW w:w="851" w:type="dxa"/>
            <w:tcBorders>
              <w:top w:val="single" w:sz="4" w:space="0" w:color="BFBFBF"/>
              <w:left w:val="single" w:sz="4" w:space="0" w:color="auto"/>
              <w:bottom w:val="single" w:sz="4" w:space="0" w:color="BFBFBF"/>
              <w:right w:val="single" w:sz="4" w:space="0" w:color="auto"/>
            </w:tcBorders>
          </w:tcPr>
          <w:p w14:paraId="7D981023" w14:textId="77777777" w:rsidR="005F4B44" w:rsidRPr="005A22C2" w:rsidRDefault="005F4B44" w:rsidP="005F4B44">
            <w:pPr>
              <w:pStyle w:val="TableText"/>
              <w:snapToGrid w:val="0"/>
              <w:rPr>
                <w:rFonts w:eastAsia="新細明體" w:cs="Segoe UI"/>
                <w:lang w:eastAsia="en-GB"/>
              </w:rPr>
            </w:pPr>
          </w:p>
        </w:tc>
        <w:tc>
          <w:tcPr>
            <w:tcW w:w="1034" w:type="dxa"/>
            <w:tcBorders>
              <w:top w:val="single" w:sz="4" w:space="0" w:color="BFBFBF"/>
              <w:left w:val="single" w:sz="4" w:space="0" w:color="auto"/>
              <w:bottom w:val="single" w:sz="4" w:space="0" w:color="BFBFBF"/>
              <w:right w:val="single" w:sz="4" w:space="0" w:color="auto"/>
            </w:tcBorders>
          </w:tcPr>
          <w:p w14:paraId="4DAFFDC2"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BFBFBF"/>
              <w:right w:val="single" w:sz="4" w:space="0" w:color="auto"/>
            </w:tcBorders>
          </w:tcPr>
          <w:p w14:paraId="73A6DCCE" w14:textId="77777777" w:rsidR="005F4B44" w:rsidRPr="005A22C2" w:rsidRDefault="005F4B44" w:rsidP="005F4B44">
            <w:pPr>
              <w:pStyle w:val="TableText"/>
              <w:snapToGrid w:val="0"/>
              <w:rPr>
                <w:rFonts w:eastAsia="新細明體" w:cs="Segoe UI"/>
                <w:lang w:eastAsia="en-GB"/>
              </w:rPr>
            </w:pPr>
          </w:p>
        </w:tc>
        <w:tc>
          <w:tcPr>
            <w:tcW w:w="868" w:type="dxa"/>
            <w:tcBorders>
              <w:top w:val="single" w:sz="4" w:space="0" w:color="BFBFBF"/>
              <w:left w:val="single" w:sz="4" w:space="0" w:color="auto"/>
              <w:bottom w:val="single" w:sz="4" w:space="0" w:color="BFBFBF"/>
              <w:right w:val="single" w:sz="4" w:space="0" w:color="auto"/>
            </w:tcBorders>
          </w:tcPr>
          <w:p w14:paraId="6371C92A" w14:textId="77777777" w:rsidR="005F4B44" w:rsidRPr="005A22C2" w:rsidRDefault="005F4B44" w:rsidP="005F4B44">
            <w:pPr>
              <w:pStyle w:val="TableText"/>
              <w:snapToGrid w:val="0"/>
              <w:rPr>
                <w:rFonts w:eastAsia="新細明體" w:cs="Segoe UI"/>
                <w:lang w:eastAsia="en-GB"/>
              </w:rPr>
            </w:pPr>
          </w:p>
        </w:tc>
        <w:tc>
          <w:tcPr>
            <w:tcW w:w="1080" w:type="dxa"/>
            <w:tcBorders>
              <w:top w:val="single" w:sz="4" w:space="0" w:color="BFBFBF"/>
              <w:left w:val="single" w:sz="4" w:space="0" w:color="auto"/>
              <w:bottom w:val="single" w:sz="4" w:space="0" w:color="BFBFBF"/>
              <w:right w:val="single" w:sz="4" w:space="0" w:color="auto"/>
            </w:tcBorders>
            <w:shd w:val="clear" w:color="auto" w:fill="BFBFBF"/>
          </w:tcPr>
          <w:p w14:paraId="1F3F33B1"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BFBFBF"/>
              <w:right w:val="single" w:sz="4" w:space="0" w:color="auto"/>
            </w:tcBorders>
          </w:tcPr>
          <w:p w14:paraId="56AEC233" w14:textId="77777777" w:rsidR="005F4B44" w:rsidRPr="005A22C2" w:rsidRDefault="005F4B44" w:rsidP="005F4B44">
            <w:pPr>
              <w:pStyle w:val="TableText"/>
              <w:snapToGrid w:val="0"/>
              <w:rPr>
                <w:rFonts w:eastAsia="新細明體" w:cs="Segoe UI"/>
                <w:lang w:eastAsia="en-GB"/>
              </w:rPr>
            </w:pPr>
          </w:p>
        </w:tc>
        <w:tc>
          <w:tcPr>
            <w:tcW w:w="920" w:type="dxa"/>
            <w:tcBorders>
              <w:top w:val="single" w:sz="4" w:space="0" w:color="BFBFBF"/>
              <w:left w:val="single" w:sz="4" w:space="0" w:color="auto"/>
              <w:bottom w:val="single" w:sz="4" w:space="0" w:color="BFBFBF"/>
              <w:right w:val="single" w:sz="4" w:space="0" w:color="auto"/>
            </w:tcBorders>
          </w:tcPr>
          <w:p w14:paraId="095D0183" w14:textId="77777777" w:rsidR="005F4B44" w:rsidRPr="005A22C2" w:rsidRDefault="005F4B44" w:rsidP="005F4B44">
            <w:pPr>
              <w:pStyle w:val="TableText"/>
              <w:snapToGrid w:val="0"/>
              <w:rPr>
                <w:rFonts w:eastAsia="新細明體" w:cs="Segoe UI"/>
                <w:lang w:eastAsia="en-GB"/>
              </w:rPr>
            </w:pPr>
          </w:p>
        </w:tc>
      </w:tr>
      <w:tr w:rsidR="001B39FD" w:rsidRPr="005A22C2" w14:paraId="53AFB226" w14:textId="77777777" w:rsidTr="000801DC">
        <w:trPr>
          <w:cantSplit/>
          <w:trHeight w:val="293"/>
        </w:trPr>
        <w:tc>
          <w:tcPr>
            <w:tcW w:w="424" w:type="dxa"/>
            <w:tcBorders>
              <w:top w:val="single" w:sz="4" w:space="0" w:color="BFBFBF"/>
              <w:left w:val="nil"/>
              <w:bottom w:val="single" w:sz="4" w:space="0" w:color="BFBFBF"/>
              <w:right w:val="single" w:sz="4" w:space="0" w:color="auto"/>
            </w:tcBorders>
            <w:hideMark/>
          </w:tcPr>
          <w:p w14:paraId="04E16B58"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4</w:t>
            </w:r>
          </w:p>
        </w:tc>
        <w:tc>
          <w:tcPr>
            <w:tcW w:w="0" w:type="auto"/>
            <w:vMerge/>
            <w:tcBorders>
              <w:top w:val="single" w:sz="4" w:space="0" w:color="BFBFBF"/>
              <w:left w:val="nil"/>
              <w:bottom w:val="single" w:sz="4" w:space="0" w:color="BFBFBF"/>
              <w:right w:val="single" w:sz="4" w:space="0" w:color="000000"/>
            </w:tcBorders>
            <w:vAlign w:val="center"/>
            <w:hideMark/>
          </w:tcPr>
          <w:p w14:paraId="56DFBE2C" w14:textId="77777777" w:rsidR="005F4B44" w:rsidRPr="005A22C2" w:rsidRDefault="005F4B44" w:rsidP="005F4B44">
            <w:pPr>
              <w:rPr>
                <w:rFonts w:eastAsia="新細明體" w:cs="Segoe UI"/>
                <w:sz w:val="17"/>
                <w:lang w:eastAsia="en-GB"/>
              </w:rPr>
            </w:pPr>
          </w:p>
        </w:tc>
        <w:tc>
          <w:tcPr>
            <w:tcW w:w="1211" w:type="dxa"/>
            <w:tcBorders>
              <w:top w:val="single" w:sz="4" w:space="0" w:color="BFBFBF"/>
              <w:left w:val="single" w:sz="4" w:space="0" w:color="000000"/>
              <w:bottom w:val="single" w:sz="4" w:space="0" w:color="BFBFBF"/>
              <w:right w:val="single" w:sz="4" w:space="0" w:color="auto"/>
            </w:tcBorders>
            <w:hideMark/>
          </w:tcPr>
          <w:p w14:paraId="608F8875"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zh-HK"/>
              </w:rPr>
              <w:t>商品風險</w:t>
            </w:r>
          </w:p>
        </w:tc>
        <w:tc>
          <w:tcPr>
            <w:tcW w:w="851" w:type="dxa"/>
            <w:tcBorders>
              <w:top w:val="single" w:sz="4" w:space="0" w:color="BFBFBF"/>
              <w:left w:val="single" w:sz="4" w:space="0" w:color="auto"/>
              <w:bottom w:val="single" w:sz="4" w:space="0" w:color="BFBFBF"/>
              <w:right w:val="single" w:sz="4" w:space="0" w:color="auto"/>
            </w:tcBorders>
          </w:tcPr>
          <w:p w14:paraId="7D72CE9C" w14:textId="77777777" w:rsidR="005F4B44" w:rsidRPr="005A22C2" w:rsidRDefault="005F4B44" w:rsidP="005F4B44">
            <w:pPr>
              <w:pStyle w:val="TableText"/>
              <w:snapToGrid w:val="0"/>
              <w:rPr>
                <w:rFonts w:eastAsia="新細明體" w:cs="Segoe UI"/>
                <w:lang w:eastAsia="en-GB"/>
              </w:rPr>
            </w:pPr>
          </w:p>
        </w:tc>
        <w:tc>
          <w:tcPr>
            <w:tcW w:w="1034" w:type="dxa"/>
            <w:tcBorders>
              <w:top w:val="single" w:sz="4" w:space="0" w:color="BFBFBF"/>
              <w:left w:val="single" w:sz="4" w:space="0" w:color="auto"/>
              <w:bottom w:val="single" w:sz="4" w:space="0" w:color="BFBFBF"/>
              <w:right w:val="single" w:sz="4" w:space="0" w:color="auto"/>
            </w:tcBorders>
          </w:tcPr>
          <w:p w14:paraId="386D3C45"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BFBFBF"/>
              <w:right w:val="single" w:sz="4" w:space="0" w:color="auto"/>
            </w:tcBorders>
          </w:tcPr>
          <w:p w14:paraId="51ADF7CF" w14:textId="77777777" w:rsidR="005F4B44" w:rsidRPr="005A22C2" w:rsidRDefault="005F4B44" w:rsidP="005F4B44">
            <w:pPr>
              <w:pStyle w:val="TableText"/>
              <w:snapToGrid w:val="0"/>
              <w:rPr>
                <w:rFonts w:eastAsia="新細明體" w:cs="Segoe UI"/>
                <w:lang w:eastAsia="en-GB"/>
              </w:rPr>
            </w:pPr>
          </w:p>
        </w:tc>
        <w:tc>
          <w:tcPr>
            <w:tcW w:w="868" w:type="dxa"/>
            <w:tcBorders>
              <w:top w:val="single" w:sz="4" w:space="0" w:color="BFBFBF"/>
              <w:left w:val="single" w:sz="4" w:space="0" w:color="auto"/>
              <w:bottom w:val="single" w:sz="4" w:space="0" w:color="BFBFBF"/>
              <w:right w:val="single" w:sz="4" w:space="0" w:color="auto"/>
            </w:tcBorders>
          </w:tcPr>
          <w:p w14:paraId="1A08AAC0" w14:textId="77777777" w:rsidR="005F4B44" w:rsidRPr="005A22C2" w:rsidRDefault="005F4B44" w:rsidP="005F4B44">
            <w:pPr>
              <w:pStyle w:val="TableText"/>
              <w:snapToGrid w:val="0"/>
              <w:rPr>
                <w:rFonts w:eastAsia="新細明體" w:cs="Segoe UI"/>
                <w:lang w:eastAsia="en-GB"/>
              </w:rPr>
            </w:pPr>
          </w:p>
        </w:tc>
        <w:tc>
          <w:tcPr>
            <w:tcW w:w="1080" w:type="dxa"/>
            <w:tcBorders>
              <w:top w:val="single" w:sz="4" w:space="0" w:color="BFBFBF"/>
              <w:left w:val="single" w:sz="4" w:space="0" w:color="auto"/>
              <w:bottom w:val="single" w:sz="4" w:space="0" w:color="BFBFBF"/>
              <w:right w:val="single" w:sz="4" w:space="0" w:color="auto"/>
            </w:tcBorders>
            <w:shd w:val="clear" w:color="auto" w:fill="BFBFBF"/>
          </w:tcPr>
          <w:p w14:paraId="598B4677"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BFBFBF"/>
              <w:right w:val="single" w:sz="4" w:space="0" w:color="auto"/>
            </w:tcBorders>
          </w:tcPr>
          <w:p w14:paraId="4F1B1E58" w14:textId="77777777" w:rsidR="005F4B44" w:rsidRPr="005A22C2" w:rsidRDefault="005F4B44" w:rsidP="005F4B44">
            <w:pPr>
              <w:pStyle w:val="TableText"/>
              <w:snapToGrid w:val="0"/>
              <w:rPr>
                <w:rFonts w:eastAsia="新細明體" w:cs="Segoe UI"/>
                <w:lang w:eastAsia="en-GB"/>
              </w:rPr>
            </w:pPr>
          </w:p>
        </w:tc>
        <w:tc>
          <w:tcPr>
            <w:tcW w:w="920" w:type="dxa"/>
            <w:tcBorders>
              <w:top w:val="single" w:sz="4" w:space="0" w:color="BFBFBF"/>
              <w:left w:val="single" w:sz="4" w:space="0" w:color="auto"/>
              <w:bottom w:val="single" w:sz="4" w:space="0" w:color="BFBFBF"/>
              <w:right w:val="single" w:sz="4" w:space="0" w:color="auto"/>
            </w:tcBorders>
          </w:tcPr>
          <w:p w14:paraId="5E67EB03" w14:textId="77777777" w:rsidR="005F4B44" w:rsidRPr="005A22C2" w:rsidRDefault="005F4B44" w:rsidP="005F4B44">
            <w:pPr>
              <w:pStyle w:val="TableText"/>
              <w:snapToGrid w:val="0"/>
              <w:rPr>
                <w:rFonts w:eastAsia="新細明體" w:cs="Segoe UI"/>
                <w:lang w:eastAsia="en-GB"/>
              </w:rPr>
            </w:pPr>
          </w:p>
        </w:tc>
      </w:tr>
      <w:tr w:rsidR="001B39FD" w:rsidRPr="005A22C2" w14:paraId="2580E449" w14:textId="77777777" w:rsidTr="000801DC">
        <w:trPr>
          <w:cantSplit/>
          <w:trHeight w:val="293"/>
        </w:trPr>
        <w:tc>
          <w:tcPr>
            <w:tcW w:w="424" w:type="dxa"/>
            <w:tcBorders>
              <w:top w:val="single" w:sz="4" w:space="0" w:color="BFBFBF"/>
              <w:left w:val="nil"/>
              <w:bottom w:val="single" w:sz="4" w:space="0" w:color="BFBFBF"/>
              <w:right w:val="single" w:sz="4" w:space="0" w:color="auto"/>
            </w:tcBorders>
            <w:hideMark/>
          </w:tcPr>
          <w:p w14:paraId="16523067"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5</w:t>
            </w:r>
          </w:p>
        </w:tc>
        <w:tc>
          <w:tcPr>
            <w:tcW w:w="0" w:type="auto"/>
            <w:vMerge/>
            <w:tcBorders>
              <w:top w:val="single" w:sz="4" w:space="0" w:color="BFBFBF"/>
              <w:left w:val="nil"/>
              <w:bottom w:val="single" w:sz="4" w:space="0" w:color="BFBFBF"/>
              <w:right w:val="single" w:sz="4" w:space="0" w:color="000000"/>
            </w:tcBorders>
            <w:vAlign w:val="center"/>
            <w:hideMark/>
          </w:tcPr>
          <w:p w14:paraId="6A1795AA" w14:textId="77777777" w:rsidR="005F4B44" w:rsidRPr="005A22C2" w:rsidRDefault="005F4B44" w:rsidP="005F4B44">
            <w:pPr>
              <w:rPr>
                <w:rFonts w:eastAsia="新細明體" w:cs="Segoe UI"/>
                <w:sz w:val="17"/>
                <w:lang w:eastAsia="en-GB"/>
              </w:rPr>
            </w:pPr>
          </w:p>
        </w:tc>
        <w:tc>
          <w:tcPr>
            <w:tcW w:w="1211" w:type="dxa"/>
            <w:tcBorders>
              <w:top w:val="single" w:sz="4" w:space="0" w:color="BFBFBF"/>
              <w:left w:val="single" w:sz="4" w:space="0" w:color="000000"/>
              <w:bottom w:val="single" w:sz="4" w:space="0" w:color="BFBFBF"/>
              <w:right w:val="single" w:sz="4" w:space="0" w:color="auto"/>
            </w:tcBorders>
            <w:hideMark/>
          </w:tcPr>
          <w:p w14:paraId="25D58815"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zh-HK"/>
              </w:rPr>
              <w:t>外匯風險</w:t>
            </w:r>
          </w:p>
        </w:tc>
        <w:tc>
          <w:tcPr>
            <w:tcW w:w="851" w:type="dxa"/>
            <w:tcBorders>
              <w:top w:val="single" w:sz="4" w:space="0" w:color="BFBFBF"/>
              <w:left w:val="single" w:sz="4" w:space="0" w:color="auto"/>
              <w:bottom w:val="single" w:sz="4" w:space="0" w:color="BFBFBF"/>
              <w:right w:val="single" w:sz="4" w:space="0" w:color="auto"/>
            </w:tcBorders>
          </w:tcPr>
          <w:p w14:paraId="0BD241A2" w14:textId="77777777" w:rsidR="005F4B44" w:rsidRPr="005A22C2" w:rsidRDefault="005F4B44" w:rsidP="005F4B44">
            <w:pPr>
              <w:pStyle w:val="TableText"/>
              <w:snapToGrid w:val="0"/>
              <w:rPr>
                <w:rFonts w:eastAsia="新細明體" w:cs="Segoe UI"/>
                <w:lang w:eastAsia="en-GB"/>
              </w:rPr>
            </w:pPr>
          </w:p>
        </w:tc>
        <w:tc>
          <w:tcPr>
            <w:tcW w:w="1034" w:type="dxa"/>
            <w:tcBorders>
              <w:top w:val="single" w:sz="4" w:space="0" w:color="BFBFBF"/>
              <w:left w:val="single" w:sz="4" w:space="0" w:color="auto"/>
              <w:bottom w:val="single" w:sz="4" w:space="0" w:color="BFBFBF"/>
              <w:right w:val="single" w:sz="4" w:space="0" w:color="auto"/>
            </w:tcBorders>
          </w:tcPr>
          <w:p w14:paraId="1C2C9994"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BFBFBF"/>
              <w:right w:val="single" w:sz="4" w:space="0" w:color="auto"/>
            </w:tcBorders>
          </w:tcPr>
          <w:p w14:paraId="760C7F4E" w14:textId="77777777" w:rsidR="005F4B44" w:rsidRPr="005A22C2" w:rsidRDefault="005F4B44" w:rsidP="005F4B44">
            <w:pPr>
              <w:pStyle w:val="TableText"/>
              <w:snapToGrid w:val="0"/>
              <w:rPr>
                <w:rFonts w:eastAsia="新細明體" w:cs="Segoe UI"/>
                <w:lang w:eastAsia="en-GB"/>
              </w:rPr>
            </w:pPr>
          </w:p>
        </w:tc>
        <w:tc>
          <w:tcPr>
            <w:tcW w:w="868" w:type="dxa"/>
            <w:tcBorders>
              <w:top w:val="single" w:sz="4" w:space="0" w:color="BFBFBF"/>
              <w:left w:val="single" w:sz="4" w:space="0" w:color="auto"/>
              <w:bottom w:val="single" w:sz="4" w:space="0" w:color="BFBFBF"/>
              <w:right w:val="single" w:sz="4" w:space="0" w:color="auto"/>
            </w:tcBorders>
          </w:tcPr>
          <w:p w14:paraId="587CCA8C" w14:textId="77777777" w:rsidR="005F4B44" w:rsidRPr="005A22C2" w:rsidRDefault="005F4B44" w:rsidP="005F4B44">
            <w:pPr>
              <w:pStyle w:val="TableText"/>
              <w:snapToGrid w:val="0"/>
              <w:rPr>
                <w:rFonts w:eastAsia="新細明體" w:cs="Segoe UI"/>
                <w:lang w:eastAsia="en-GB"/>
              </w:rPr>
            </w:pPr>
          </w:p>
        </w:tc>
        <w:tc>
          <w:tcPr>
            <w:tcW w:w="1080" w:type="dxa"/>
            <w:tcBorders>
              <w:top w:val="single" w:sz="4" w:space="0" w:color="BFBFBF"/>
              <w:left w:val="single" w:sz="4" w:space="0" w:color="auto"/>
              <w:bottom w:val="single" w:sz="4" w:space="0" w:color="BFBFBF"/>
              <w:right w:val="single" w:sz="4" w:space="0" w:color="auto"/>
            </w:tcBorders>
            <w:shd w:val="clear" w:color="auto" w:fill="BFBFBF"/>
          </w:tcPr>
          <w:p w14:paraId="46733666"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BFBFBF"/>
              <w:right w:val="single" w:sz="4" w:space="0" w:color="auto"/>
            </w:tcBorders>
          </w:tcPr>
          <w:p w14:paraId="4CFAC337" w14:textId="77777777" w:rsidR="005F4B44" w:rsidRPr="005A22C2" w:rsidRDefault="005F4B44" w:rsidP="005F4B44">
            <w:pPr>
              <w:pStyle w:val="TableText"/>
              <w:snapToGrid w:val="0"/>
              <w:rPr>
                <w:rFonts w:eastAsia="新細明體" w:cs="Segoe UI"/>
                <w:lang w:eastAsia="en-GB"/>
              </w:rPr>
            </w:pPr>
          </w:p>
        </w:tc>
        <w:tc>
          <w:tcPr>
            <w:tcW w:w="920" w:type="dxa"/>
            <w:tcBorders>
              <w:top w:val="single" w:sz="4" w:space="0" w:color="BFBFBF"/>
              <w:left w:val="single" w:sz="4" w:space="0" w:color="auto"/>
              <w:bottom w:val="single" w:sz="4" w:space="0" w:color="BFBFBF"/>
              <w:right w:val="single" w:sz="4" w:space="0" w:color="auto"/>
            </w:tcBorders>
          </w:tcPr>
          <w:p w14:paraId="4B1FFEDB" w14:textId="77777777" w:rsidR="005F4B44" w:rsidRPr="005A22C2" w:rsidRDefault="005F4B44" w:rsidP="005F4B44">
            <w:pPr>
              <w:pStyle w:val="TableText"/>
              <w:snapToGrid w:val="0"/>
              <w:rPr>
                <w:rFonts w:eastAsia="新細明體" w:cs="Segoe UI"/>
                <w:lang w:eastAsia="en-GB"/>
              </w:rPr>
            </w:pPr>
          </w:p>
        </w:tc>
      </w:tr>
      <w:tr w:rsidR="001B39FD" w:rsidRPr="005A22C2" w14:paraId="6F6A7270" w14:textId="77777777" w:rsidTr="000801DC">
        <w:trPr>
          <w:cantSplit/>
          <w:trHeight w:val="293"/>
        </w:trPr>
        <w:tc>
          <w:tcPr>
            <w:tcW w:w="424" w:type="dxa"/>
            <w:tcBorders>
              <w:top w:val="single" w:sz="4" w:space="0" w:color="BFBFBF"/>
              <w:left w:val="nil"/>
              <w:bottom w:val="single" w:sz="4" w:space="0" w:color="auto"/>
              <w:right w:val="single" w:sz="4" w:space="0" w:color="auto"/>
            </w:tcBorders>
            <w:hideMark/>
          </w:tcPr>
          <w:p w14:paraId="5CC29E5B"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6</w:t>
            </w:r>
          </w:p>
        </w:tc>
        <w:tc>
          <w:tcPr>
            <w:tcW w:w="0" w:type="auto"/>
            <w:vMerge/>
            <w:tcBorders>
              <w:top w:val="single" w:sz="4" w:space="0" w:color="BFBFBF"/>
              <w:left w:val="nil"/>
              <w:bottom w:val="single" w:sz="4" w:space="0" w:color="auto"/>
              <w:right w:val="single" w:sz="4" w:space="0" w:color="000000"/>
            </w:tcBorders>
            <w:vAlign w:val="center"/>
            <w:hideMark/>
          </w:tcPr>
          <w:p w14:paraId="31420118" w14:textId="77777777" w:rsidR="005F4B44" w:rsidRPr="005A22C2" w:rsidRDefault="005F4B44" w:rsidP="005F4B44">
            <w:pPr>
              <w:rPr>
                <w:rFonts w:eastAsia="新細明體" w:cs="Segoe UI"/>
                <w:sz w:val="17"/>
                <w:lang w:eastAsia="en-GB"/>
              </w:rPr>
            </w:pPr>
          </w:p>
        </w:tc>
        <w:tc>
          <w:tcPr>
            <w:tcW w:w="1211" w:type="dxa"/>
            <w:tcBorders>
              <w:top w:val="single" w:sz="4" w:space="0" w:color="BFBFBF"/>
              <w:left w:val="single" w:sz="4" w:space="0" w:color="000000"/>
              <w:bottom w:val="single" w:sz="4" w:space="0" w:color="auto"/>
              <w:right w:val="single" w:sz="4" w:space="0" w:color="auto"/>
            </w:tcBorders>
            <w:hideMark/>
          </w:tcPr>
          <w:p w14:paraId="4C30CF1C" w14:textId="77777777" w:rsidR="005F4B44" w:rsidRPr="005A22C2" w:rsidRDefault="005F4B44" w:rsidP="005F4B44">
            <w:pPr>
              <w:pStyle w:val="TableText"/>
              <w:snapToGrid w:val="0"/>
              <w:rPr>
                <w:rFonts w:eastAsia="新細明體" w:cs="Segoe UI"/>
                <w:noProof/>
                <w:lang w:eastAsia="en-GB"/>
              </w:rPr>
            </w:pPr>
            <w:r w:rsidRPr="005A22C2">
              <w:rPr>
                <w:rFonts w:eastAsia="新細明體" w:cs="Segoe UI"/>
                <w:noProof/>
                <w:lang w:eastAsia="zh-HK"/>
              </w:rPr>
              <w:t>信用利差風險</w:t>
            </w:r>
          </w:p>
        </w:tc>
        <w:tc>
          <w:tcPr>
            <w:tcW w:w="851" w:type="dxa"/>
            <w:tcBorders>
              <w:top w:val="single" w:sz="4" w:space="0" w:color="BFBFBF"/>
              <w:left w:val="single" w:sz="4" w:space="0" w:color="auto"/>
              <w:bottom w:val="single" w:sz="4" w:space="0" w:color="auto"/>
              <w:right w:val="single" w:sz="4" w:space="0" w:color="auto"/>
            </w:tcBorders>
          </w:tcPr>
          <w:p w14:paraId="07863367" w14:textId="77777777" w:rsidR="005F4B44" w:rsidRPr="005A22C2" w:rsidRDefault="005F4B44" w:rsidP="005F4B44">
            <w:pPr>
              <w:pStyle w:val="TableText"/>
              <w:snapToGrid w:val="0"/>
              <w:rPr>
                <w:rFonts w:eastAsia="新細明體" w:cs="Segoe UI"/>
                <w:lang w:eastAsia="en-GB"/>
              </w:rPr>
            </w:pPr>
          </w:p>
        </w:tc>
        <w:tc>
          <w:tcPr>
            <w:tcW w:w="1034" w:type="dxa"/>
            <w:tcBorders>
              <w:top w:val="single" w:sz="4" w:space="0" w:color="BFBFBF"/>
              <w:left w:val="single" w:sz="4" w:space="0" w:color="auto"/>
              <w:bottom w:val="single" w:sz="4" w:space="0" w:color="auto"/>
              <w:right w:val="single" w:sz="4" w:space="0" w:color="auto"/>
            </w:tcBorders>
          </w:tcPr>
          <w:p w14:paraId="426E9BCF"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auto"/>
              <w:right w:val="single" w:sz="4" w:space="0" w:color="auto"/>
            </w:tcBorders>
          </w:tcPr>
          <w:p w14:paraId="285C202E" w14:textId="77777777" w:rsidR="005F4B44" w:rsidRPr="005A22C2" w:rsidRDefault="005F4B44" w:rsidP="005F4B44">
            <w:pPr>
              <w:pStyle w:val="TableText"/>
              <w:snapToGrid w:val="0"/>
              <w:rPr>
                <w:rFonts w:eastAsia="新細明體" w:cs="Segoe UI"/>
                <w:lang w:eastAsia="en-GB"/>
              </w:rPr>
            </w:pPr>
          </w:p>
        </w:tc>
        <w:tc>
          <w:tcPr>
            <w:tcW w:w="868" w:type="dxa"/>
            <w:tcBorders>
              <w:top w:val="single" w:sz="4" w:space="0" w:color="BFBFBF"/>
              <w:left w:val="single" w:sz="4" w:space="0" w:color="auto"/>
              <w:bottom w:val="single" w:sz="4" w:space="0" w:color="auto"/>
              <w:right w:val="single" w:sz="4" w:space="0" w:color="auto"/>
            </w:tcBorders>
          </w:tcPr>
          <w:p w14:paraId="714B3F3A" w14:textId="77777777" w:rsidR="005F4B44" w:rsidRPr="005A22C2" w:rsidRDefault="005F4B44" w:rsidP="005F4B44">
            <w:pPr>
              <w:pStyle w:val="TableText"/>
              <w:snapToGrid w:val="0"/>
              <w:rPr>
                <w:rFonts w:eastAsia="新細明體" w:cs="Segoe UI"/>
                <w:lang w:eastAsia="en-GB"/>
              </w:rPr>
            </w:pPr>
          </w:p>
        </w:tc>
        <w:tc>
          <w:tcPr>
            <w:tcW w:w="1080" w:type="dxa"/>
            <w:tcBorders>
              <w:top w:val="single" w:sz="4" w:space="0" w:color="BFBFBF"/>
              <w:left w:val="single" w:sz="4" w:space="0" w:color="auto"/>
              <w:bottom w:val="single" w:sz="4" w:space="0" w:color="auto"/>
              <w:right w:val="single" w:sz="4" w:space="0" w:color="auto"/>
            </w:tcBorders>
            <w:shd w:val="clear" w:color="auto" w:fill="BFBFBF"/>
          </w:tcPr>
          <w:p w14:paraId="6EC58EF3"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BFBFBF"/>
              <w:left w:val="single" w:sz="4" w:space="0" w:color="auto"/>
              <w:bottom w:val="single" w:sz="4" w:space="0" w:color="auto"/>
              <w:right w:val="single" w:sz="4" w:space="0" w:color="auto"/>
            </w:tcBorders>
          </w:tcPr>
          <w:p w14:paraId="2C09FC49" w14:textId="77777777" w:rsidR="005F4B44" w:rsidRPr="005A22C2" w:rsidRDefault="005F4B44" w:rsidP="005F4B44">
            <w:pPr>
              <w:pStyle w:val="TableText"/>
              <w:snapToGrid w:val="0"/>
              <w:rPr>
                <w:rFonts w:eastAsia="新細明體" w:cs="Segoe UI"/>
                <w:lang w:eastAsia="en-GB"/>
              </w:rPr>
            </w:pPr>
          </w:p>
        </w:tc>
        <w:tc>
          <w:tcPr>
            <w:tcW w:w="920" w:type="dxa"/>
            <w:tcBorders>
              <w:top w:val="single" w:sz="4" w:space="0" w:color="BFBFBF"/>
              <w:left w:val="single" w:sz="4" w:space="0" w:color="auto"/>
              <w:bottom w:val="single" w:sz="4" w:space="0" w:color="auto"/>
              <w:right w:val="single" w:sz="4" w:space="0" w:color="auto"/>
            </w:tcBorders>
          </w:tcPr>
          <w:p w14:paraId="162047AD" w14:textId="77777777" w:rsidR="005F4B44" w:rsidRPr="005A22C2" w:rsidRDefault="005F4B44" w:rsidP="005F4B44">
            <w:pPr>
              <w:pStyle w:val="TableText"/>
              <w:snapToGrid w:val="0"/>
              <w:rPr>
                <w:rFonts w:eastAsia="新細明體" w:cs="Segoe UI"/>
                <w:lang w:eastAsia="en-GB"/>
              </w:rPr>
            </w:pPr>
          </w:p>
        </w:tc>
      </w:tr>
      <w:tr w:rsidR="001B39FD" w:rsidRPr="005A22C2" w14:paraId="45DEE622"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61B53489"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7</w:t>
            </w:r>
          </w:p>
        </w:tc>
        <w:tc>
          <w:tcPr>
            <w:tcW w:w="2369" w:type="dxa"/>
            <w:gridSpan w:val="2"/>
            <w:tcBorders>
              <w:top w:val="single" w:sz="4" w:space="0" w:color="auto"/>
              <w:left w:val="nil"/>
              <w:bottom w:val="single" w:sz="4" w:space="0" w:color="auto"/>
              <w:right w:val="single" w:sz="4" w:space="0" w:color="auto"/>
            </w:tcBorders>
            <w:hideMark/>
          </w:tcPr>
          <w:p w14:paraId="7FAD63BA" w14:textId="4EB7792D" w:rsidR="008D3DB4" w:rsidRPr="005A22C2" w:rsidRDefault="005F4B44" w:rsidP="00E15004">
            <w:pPr>
              <w:pStyle w:val="TableText"/>
              <w:snapToGrid w:val="0"/>
              <w:rPr>
                <w:rFonts w:eastAsia="新細明體" w:cs="Segoe UI"/>
                <w:lang w:eastAsia="en-GB"/>
              </w:rPr>
            </w:pPr>
            <w:r w:rsidRPr="005A22C2">
              <w:rPr>
                <w:rFonts w:ascii="新細明體" w:eastAsia="新細明體" w:hAnsi="新細明體" w:cs="微軟正黑體" w:hint="eastAsia"/>
                <w:lang w:val="en-AU" w:eastAsia="zh-HK"/>
              </w:rPr>
              <w:t>有限制</w:t>
            </w:r>
            <w:r w:rsidRPr="005A22C2">
              <w:rPr>
                <w:rFonts w:ascii="新細明體" w:eastAsia="新細明體" w:hAnsi="新細明體" w:cs="Segoe UI" w:hint="eastAsia"/>
                <w:lang w:eastAsia="zh-TW"/>
              </w:rPr>
              <w:t>預期損失值</w:t>
            </w:r>
          </w:p>
        </w:tc>
        <w:tc>
          <w:tcPr>
            <w:tcW w:w="851" w:type="dxa"/>
            <w:tcBorders>
              <w:top w:val="single" w:sz="4" w:space="0" w:color="auto"/>
              <w:left w:val="single" w:sz="4" w:space="0" w:color="auto"/>
              <w:bottom w:val="single" w:sz="4" w:space="0" w:color="auto"/>
              <w:right w:val="single" w:sz="4" w:space="0" w:color="auto"/>
            </w:tcBorders>
          </w:tcPr>
          <w:p w14:paraId="39D7CF5B" w14:textId="77777777" w:rsidR="005F4B44" w:rsidRPr="005A22C2" w:rsidRDefault="005F4B44" w:rsidP="005F4B44">
            <w:pPr>
              <w:pStyle w:val="TableText"/>
              <w:snapToGrid w:val="0"/>
              <w:rPr>
                <w:rFonts w:eastAsia="新細明體" w:cs="Segoe UI"/>
                <w:lang w:eastAsia="en-GB"/>
              </w:rPr>
            </w:pPr>
          </w:p>
        </w:tc>
        <w:tc>
          <w:tcPr>
            <w:tcW w:w="1034" w:type="dxa"/>
            <w:tcBorders>
              <w:top w:val="single" w:sz="4" w:space="0" w:color="auto"/>
              <w:left w:val="single" w:sz="4" w:space="0" w:color="auto"/>
              <w:bottom w:val="single" w:sz="4" w:space="0" w:color="auto"/>
              <w:right w:val="single" w:sz="4" w:space="0" w:color="auto"/>
            </w:tcBorders>
          </w:tcPr>
          <w:p w14:paraId="273AA868"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105B692A" w14:textId="77777777" w:rsidR="005F4B44" w:rsidRPr="005A22C2" w:rsidRDefault="005F4B44" w:rsidP="005F4B44">
            <w:pPr>
              <w:pStyle w:val="TableText"/>
              <w:snapToGrid w:val="0"/>
              <w:rPr>
                <w:rFonts w:eastAsia="新細明體" w:cs="Segoe UI"/>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1DDE1965" w14:textId="77777777" w:rsidR="005F4B44" w:rsidRPr="005A22C2" w:rsidRDefault="005F4B44" w:rsidP="005F4B44">
            <w:pPr>
              <w:pStyle w:val="TableText"/>
              <w:snapToGrid w:val="0"/>
              <w:rPr>
                <w:rFonts w:eastAsia="新細明體" w:cs="Segoe UI"/>
                <w:lang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6C8106D0" w14:textId="77777777" w:rsidR="005F4B44" w:rsidRPr="005A22C2" w:rsidRDefault="005F4B44" w:rsidP="005F4B44">
            <w:pPr>
              <w:pStyle w:val="TableText"/>
              <w:snapToGrid w:val="0"/>
              <w:rPr>
                <w:rFonts w:eastAsia="新細明體" w:cs="Segoe UI"/>
                <w:lang w:eastAsia="en-GB"/>
              </w:rPr>
            </w:pPr>
          </w:p>
        </w:tc>
        <w:tc>
          <w:tcPr>
            <w:tcW w:w="851" w:type="dxa"/>
            <w:tcBorders>
              <w:top w:val="single" w:sz="4" w:space="0" w:color="auto"/>
              <w:left w:val="single" w:sz="4" w:space="0" w:color="auto"/>
              <w:bottom w:val="single" w:sz="4" w:space="0" w:color="auto"/>
              <w:right w:val="single" w:sz="4" w:space="0" w:color="auto"/>
            </w:tcBorders>
          </w:tcPr>
          <w:p w14:paraId="2CEF5293" w14:textId="77777777" w:rsidR="005F4B44" w:rsidRPr="005A22C2" w:rsidRDefault="005F4B44" w:rsidP="005F4B44">
            <w:pPr>
              <w:pStyle w:val="TableText"/>
              <w:snapToGrid w:val="0"/>
              <w:rPr>
                <w:rFonts w:eastAsia="新細明體" w:cs="Segoe UI"/>
                <w:lang w:eastAsia="en-GB"/>
              </w:rPr>
            </w:pPr>
          </w:p>
        </w:tc>
        <w:tc>
          <w:tcPr>
            <w:tcW w:w="920" w:type="dxa"/>
            <w:tcBorders>
              <w:top w:val="single" w:sz="4" w:space="0" w:color="auto"/>
              <w:left w:val="single" w:sz="4" w:space="0" w:color="auto"/>
              <w:bottom w:val="single" w:sz="4" w:space="0" w:color="auto"/>
              <w:right w:val="single" w:sz="4" w:space="0" w:color="auto"/>
            </w:tcBorders>
          </w:tcPr>
          <w:p w14:paraId="743F925D" w14:textId="77777777" w:rsidR="005F4B44" w:rsidRPr="005A22C2" w:rsidRDefault="005F4B44" w:rsidP="005F4B44">
            <w:pPr>
              <w:pStyle w:val="TableText"/>
              <w:snapToGrid w:val="0"/>
              <w:rPr>
                <w:rFonts w:eastAsia="新細明體" w:cs="Segoe UI"/>
                <w:lang w:eastAsia="en-GB"/>
              </w:rPr>
            </w:pPr>
          </w:p>
        </w:tc>
      </w:tr>
      <w:tr w:rsidR="001B39FD" w:rsidRPr="005A22C2" w14:paraId="1DAF9F55"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132F7302"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8</w:t>
            </w:r>
          </w:p>
        </w:tc>
        <w:tc>
          <w:tcPr>
            <w:tcW w:w="2369" w:type="dxa"/>
            <w:gridSpan w:val="2"/>
            <w:tcBorders>
              <w:top w:val="single" w:sz="4" w:space="0" w:color="auto"/>
              <w:left w:val="nil"/>
              <w:bottom w:val="single" w:sz="4" w:space="0" w:color="auto"/>
              <w:right w:val="single" w:sz="4" w:space="0" w:color="auto"/>
            </w:tcBorders>
            <w:hideMark/>
          </w:tcPr>
          <w:p w14:paraId="1E5BC03D" w14:textId="6FB0A490" w:rsidR="008D3DB4" w:rsidRPr="005A22C2" w:rsidRDefault="000801DC" w:rsidP="00E15004">
            <w:pPr>
              <w:pStyle w:val="TableText"/>
              <w:snapToGrid w:val="0"/>
              <w:rPr>
                <w:rFonts w:eastAsia="新細明體" w:cs="Segoe UI"/>
                <w:lang w:eastAsia="zh-TW"/>
              </w:rPr>
            </w:pPr>
            <w:r w:rsidRPr="005A22C2">
              <w:rPr>
                <w:rFonts w:eastAsia="新細明體" w:cs="Segoe UI" w:hint="eastAsia"/>
                <w:lang w:eastAsia="zh-HK"/>
              </w:rPr>
              <w:t>可模式化</w:t>
            </w:r>
            <w:r w:rsidRPr="005A22C2">
              <w:rPr>
                <w:rFonts w:eastAsia="新細明體" w:cs="Segoe UI"/>
                <w:lang w:eastAsia="zh-HK"/>
              </w:rPr>
              <w:t>風險因素</w:t>
            </w:r>
            <w:r w:rsidRPr="005A22C2">
              <w:rPr>
                <w:rFonts w:eastAsia="新細明體" w:cs="Segoe UI" w:hint="eastAsia"/>
                <w:lang w:eastAsia="zh-HK"/>
              </w:rPr>
              <w:t>的市</w:t>
            </w:r>
            <w:r w:rsidRPr="005A22C2">
              <w:rPr>
                <w:rFonts w:eastAsia="新細明體" w:cs="Segoe UI" w:hint="eastAsia"/>
                <w:lang w:eastAsia="zh-TW"/>
              </w:rPr>
              <w:t>場</w:t>
            </w:r>
            <w:r w:rsidRPr="005A22C2">
              <w:rPr>
                <w:rFonts w:eastAsia="新細明體" w:cs="Segoe UI" w:hint="eastAsia"/>
                <w:lang w:eastAsia="zh-HK"/>
              </w:rPr>
              <w:t>風</w:t>
            </w:r>
            <w:r w:rsidRPr="005A22C2">
              <w:rPr>
                <w:rFonts w:eastAsia="新細明體" w:cs="Segoe UI" w:hint="eastAsia"/>
                <w:lang w:eastAsia="zh-TW"/>
              </w:rPr>
              <w:t>險</w:t>
            </w:r>
            <w:r w:rsidRPr="005A22C2">
              <w:rPr>
                <w:rFonts w:eastAsia="新細明體" w:cs="Segoe UI" w:hint="eastAsia"/>
                <w:lang w:eastAsia="zh-HK"/>
              </w:rPr>
              <w:t>資本要求</w:t>
            </w:r>
          </w:p>
        </w:tc>
        <w:tc>
          <w:tcPr>
            <w:tcW w:w="851" w:type="dxa"/>
            <w:tcBorders>
              <w:top w:val="single" w:sz="4" w:space="0" w:color="auto"/>
              <w:left w:val="single" w:sz="4" w:space="0" w:color="auto"/>
              <w:bottom w:val="single" w:sz="4" w:space="0" w:color="auto"/>
              <w:right w:val="single" w:sz="4" w:space="0" w:color="auto"/>
            </w:tcBorders>
          </w:tcPr>
          <w:p w14:paraId="40EA9397" w14:textId="77777777" w:rsidR="005F4B44" w:rsidRPr="005A22C2" w:rsidRDefault="005F4B44" w:rsidP="005F4B44">
            <w:pPr>
              <w:pStyle w:val="TableText"/>
              <w:snapToGrid w:val="0"/>
              <w:rPr>
                <w:rFonts w:eastAsia="新細明體" w:cs="Segoe UI"/>
                <w:lang w:eastAsia="zh-TW"/>
              </w:rPr>
            </w:pPr>
          </w:p>
        </w:tc>
        <w:tc>
          <w:tcPr>
            <w:tcW w:w="1034" w:type="dxa"/>
            <w:tcBorders>
              <w:top w:val="single" w:sz="4" w:space="0" w:color="auto"/>
              <w:left w:val="single" w:sz="4" w:space="0" w:color="auto"/>
              <w:bottom w:val="single" w:sz="4" w:space="0" w:color="auto"/>
              <w:right w:val="single" w:sz="4" w:space="0" w:color="auto"/>
            </w:tcBorders>
          </w:tcPr>
          <w:p w14:paraId="022CE0E0"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EBB9CC3"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4E799ED6"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2ACF58DA"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tcPr>
          <w:p w14:paraId="6F906641" w14:textId="77777777" w:rsidR="005F4B44" w:rsidRPr="005A22C2" w:rsidRDefault="005F4B44" w:rsidP="005F4B44">
            <w:pPr>
              <w:pStyle w:val="TableText"/>
              <w:snapToGrid w:val="0"/>
              <w:rPr>
                <w:rFonts w:eastAsia="新細明體" w:cs="Segoe UI"/>
                <w:lang w:eastAsia="zh-TW"/>
              </w:rPr>
            </w:pPr>
          </w:p>
        </w:tc>
        <w:tc>
          <w:tcPr>
            <w:tcW w:w="920" w:type="dxa"/>
            <w:tcBorders>
              <w:top w:val="single" w:sz="4" w:space="0" w:color="auto"/>
              <w:left w:val="single" w:sz="4" w:space="0" w:color="auto"/>
              <w:bottom w:val="single" w:sz="4" w:space="0" w:color="auto"/>
              <w:right w:val="single" w:sz="4" w:space="0" w:color="auto"/>
            </w:tcBorders>
          </w:tcPr>
          <w:p w14:paraId="11AFBB42" w14:textId="77777777" w:rsidR="005F4B44" w:rsidRPr="005A22C2" w:rsidRDefault="005F4B44" w:rsidP="005F4B44">
            <w:pPr>
              <w:pStyle w:val="TableText"/>
              <w:snapToGrid w:val="0"/>
              <w:rPr>
                <w:rFonts w:eastAsia="新細明體" w:cs="Segoe UI"/>
                <w:lang w:eastAsia="zh-TW"/>
              </w:rPr>
            </w:pPr>
          </w:p>
        </w:tc>
      </w:tr>
      <w:tr w:rsidR="001B39FD" w:rsidRPr="005A22C2" w14:paraId="0F697EC0"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758036E0" w14:textId="77777777" w:rsidR="005F4B44" w:rsidRPr="005A22C2" w:rsidRDefault="005F4B44" w:rsidP="005F4B44">
            <w:pPr>
              <w:pStyle w:val="TableText"/>
              <w:snapToGrid w:val="0"/>
              <w:rPr>
                <w:rFonts w:eastAsia="新細明體" w:cs="Segoe UI"/>
                <w:lang w:eastAsia="zh-TW"/>
              </w:rPr>
            </w:pPr>
            <w:r w:rsidRPr="005A22C2">
              <w:rPr>
                <w:rFonts w:eastAsia="新細明體" w:cs="Segoe UI"/>
                <w:lang w:eastAsia="zh-TW"/>
              </w:rPr>
              <w:t>9</w:t>
            </w:r>
          </w:p>
        </w:tc>
        <w:tc>
          <w:tcPr>
            <w:tcW w:w="2369" w:type="dxa"/>
            <w:gridSpan w:val="2"/>
            <w:tcBorders>
              <w:top w:val="single" w:sz="4" w:space="0" w:color="auto"/>
              <w:left w:val="nil"/>
              <w:bottom w:val="single" w:sz="4" w:space="0" w:color="auto"/>
              <w:right w:val="single" w:sz="4" w:space="0" w:color="auto"/>
            </w:tcBorders>
            <w:hideMark/>
          </w:tcPr>
          <w:p w14:paraId="52C615A7" w14:textId="342189A4" w:rsidR="008D3DB4" w:rsidRPr="005A22C2" w:rsidRDefault="005F4B44" w:rsidP="008D3DB4">
            <w:pPr>
              <w:pStyle w:val="TableText"/>
              <w:snapToGrid w:val="0"/>
              <w:rPr>
                <w:rFonts w:eastAsia="新細明體" w:cs="Segoe UI"/>
                <w:lang w:eastAsia="zh-TW"/>
              </w:rPr>
            </w:pPr>
            <w:r w:rsidRPr="005A22C2">
              <w:rPr>
                <w:rFonts w:eastAsia="新細明體" w:cs="Segoe UI" w:hint="eastAsia"/>
                <w:lang w:eastAsia="zh-HK"/>
              </w:rPr>
              <w:t>不可模式化的</w:t>
            </w:r>
            <w:r w:rsidRPr="005A22C2">
              <w:rPr>
                <w:rFonts w:eastAsia="新細明體" w:cs="Segoe UI"/>
                <w:lang w:eastAsia="zh-HK"/>
              </w:rPr>
              <w:t>風險因素</w:t>
            </w:r>
            <w:r w:rsidR="002822D2" w:rsidRPr="005A22C2">
              <w:rPr>
                <w:rFonts w:eastAsiaTheme="minorEastAsia" w:cs="Segoe UI" w:hint="eastAsia"/>
                <w:kern w:val="2"/>
                <w:szCs w:val="17"/>
                <w:lang w:eastAsia="zh-TW"/>
              </w:rPr>
              <w:t>（</w:t>
            </w:r>
            <w:r w:rsidRPr="005A22C2">
              <w:rPr>
                <w:rFonts w:eastAsia="新細明體" w:cs="Segoe UI"/>
                <w:lang w:eastAsia="zh-HK"/>
              </w:rPr>
              <w:t>即</w:t>
            </w:r>
            <w:r w:rsidRPr="005A22C2">
              <w:rPr>
                <w:rFonts w:eastAsia="新細明體" w:cs="Segoe UI"/>
                <w:lang w:eastAsia="zh-TW"/>
              </w:rPr>
              <w:t>SES</w:t>
            </w:r>
            <w:r w:rsidR="00083254" w:rsidRPr="005A22C2">
              <w:rPr>
                <w:rFonts w:eastAsia="新細明體" w:cs="Segoe UI" w:hint="eastAsia"/>
                <w:lang w:eastAsia="zh-TW"/>
              </w:rPr>
              <w:t>）</w:t>
            </w:r>
          </w:p>
        </w:tc>
        <w:tc>
          <w:tcPr>
            <w:tcW w:w="851" w:type="dxa"/>
            <w:tcBorders>
              <w:top w:val="single" w:sz="4" w:space="0" w:color="auto"/>
              <w:left w:val="single" w:sz="4" w:space="0" w:color="auto"/>
              <w:bottom w:val="single" w:sz="4" w:space="0" w:color="auto"/>
              <w:right w:val="single" w:sz="4" w:space="0" w:color="auto"/>
            </w:tcBorders>
          </w:tcPr>
          <w:p w14:paraId="14397F43" w14:textId="77777777" w:rsidR="005F4B44" w:rsidRPr="005A22C2" w:rsidRDefault="005F4B44" w:rsidP="005F4B44">
            <w:pPr>
              <w:pStyle w:val="TableText"/>
              <w:snapToGrid w:val="0"/>
              <w:rPr>
                <w:rFonts w:eastAsia="新細明體" w:cs="Segoe UI"/>
                <w:lang w:eastAsia="zh-TW"/>
              </w:rPr>
            </w:pPr>
          </w:p>
        </w:tc>
        <w:tc>
          <w:tcPr>
            <w:tcW w:w="1034" w:type="dxa"/>
            <w:tcBorders>
              <w:top w:val="single" w:sz="4" w:space="0" w:color="auto"/>
              <w:left w:val="single" w:sz="4" w:space="0" w:color="auto"/>
              <w:bottom w:val="single" w:sz="4" w:space="0" w:color="auto"/>
              <w:right w:val="single" w:sz="4" w:space="0" w:color="auto"/>
            </w:tcBorders>
          </w:tcPr>
          <w:p w14:paraId="7CD3EDC6"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6955CD39"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1BAEED22"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20CBFAA2"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tcPr>
          <w:p w14:paraId="4C5AE50E" w14:textId="77777777" w:rsidR="005F4B44" w:rsidRPr="005A22C2" w:rsidRDefault="005F4B44" w:rsidP="005F4B44">
            <w:pPr>
              <w:pStyle w:val="TableText"/>
              <w:snapToGrid w:val="0"/>
              <w:rPr>
                <w:rFonts w:eastAsia="新細明體" w:cs="Segoe UI"/>
                <w:lang w:eastAsia="zh-TW"/>
              </w:rPr>
            </w:pPr>
          </w:p>
        </w:tc>
        <w:tc>
          <w:tcPr>
            <w:tcW w:w="920" w:type="dxa"/>
            <w:tcBorders>
              <w:top w:val="single" w:sz="4" w:space="0" w:color="auto"/>
              <w:left w:val="single" w:sz="4" w:space="0" w:color="auto"/>
              <w:bottom w:val="single" w:sz="4" w:space="0" w:color="auto"/>
              <w:right w:val="single" w:sz="4" w:space="0" w:color="auto"/>
            </w:tcBorders>
          </w:tcPr>
          <w:p w14:paraId="56121982" w14:textId="77777777" w:rsidR="005F4B44" w:rsidRPr="005A22C2" w:rsidRDefault="005F4B44" w:rsidP="005F4B44">
            <w:pPr>
              <w:pStyle w:val="TableText"/>
              <w:snapToGrid w:val="0"/>
              <w:rPr>
                <w:rFonts w:eastAsia="新細明體" w:cs="Segoe UI"/>
                <w:lang w:eastAsia="zh-TW"/>
              </w:rPr>
            </w:pPr>
          </w:p>
        </w:tc>
      </w:tr>
      <w:tr w:rsidR="001B39FD" w:rsidRPr="005A22C2" w14:paraId="6172E0F0"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5D303C27" w14:textId="77777777" w:rsidR="005F4B44" w:rsidRPr="005A22C2" w:rsidRDefault="005F4B44" w:rsidP="005F4B44">
            <w:pPr>
              <w:pStyle w:val="TableText"/>
              <w:snapToGrid w:val="0"/>
              <w:rPr>
                <w:rFonts w:eastAsia="新細明體" w:cs="Segoe UI"/>
                <w:lang w:eastAsia="zh-TW"/>
              </w:rPr>
            </w:pPr>
            <w:r w:rsidRPr="005A22C2">
              <w:rPr>
                <w:rFonts w:eastAsia="新細明體" w:cs="Segoe UI"/>
                <w:lang w:eastAsia="zh-TW"/>
              </w:rPr>
              <w:t>10</w:t>
            </w:r>
          </w:p>
        </w:tc>
        <w:tc>
          <w:tcPr>
            <w:tcW w:w="2369" w:type="dxa"/>
            <w:gridSpan w:val="2"/>
            <w:tcBorders>
              <w:top w:val="single" w:sz="4" w:space="0" w:color="auto"/>
              <w:left w:val="nil"/>
              <w:bottom w:val="single" w:sz="4" w:space="0" w:color="auto"/>
              <w:right w:val="single" w:sz="4" w:space="0" w:color="auto"/>
            </w:tcBorders>
            <w:hideMark/>
          </w:tcPr>
          <w:p w14:paraId="1E808B0C" w14:textId="1C480E1C" w:rsidR="005F4B44" w:rsidRPr="005A22C2" w:rsidRDefault="005F4B44" w:rsidP="005F4B44">
            <w:pPr>
              <w:pStyle w:val="TableText"/>
              <w:snapToGrid w:val="0"/>
              <w:rPr>
                <w:rFonts w:eastAsia="新細明體" w:cs="Segoe UI"/>
                <w:lang w:eastAsia="zh-TW"/>
              </w:rPr>
            </w:pPr>
            <w:r w:rsidRPr="005A22C2">
              <w:rPr>
                <w:rFonts w:eastAsia="新細明體" w:cs="Segoe UI"/>
                <w:lang w:eastAsia="zh-HK"/>
              </w:rPr>
              <w:t>違責風險</w:t>
            </w:r>
            <w:r w:rsidR="005715BA" w:rsidRPr="005A22C2">
              <w:rPr>
                <w:rFonts w:eastAsia="新細明體" w:cs="Segoe UI" w:hint="eastAsia"/>
                <w:lang w:eastAsia="zh-HK"/>
              </w:rPr>
              <w:t>資本</w:t>
            </w:r>
            <w:r w:rsidRPr="005A22C2">
              <w:rPr>
                <w:rFonts w:eastAsia="新細明體" w:cs="Segoe UI"/>
                <w:lang w:eastAsia="zh-HK"/>
              </w:rPr>
              <w:t>要求</w:t>
            </w:r>
          </w:p>
        </w:tc>
        <w:tc>
          <w:tcPr>
            <w:tcW w:w="851" w:type="dxa"/>
            <w:tcBorders>
              <w:top w:val="single" w:sz="4" w:space="0" w:color="auto"/>
              <w:left w:val="single" w:sz="4" w:space="0" w:color="auto"/>
              <w:bottom w:val="single" w:sz="4" w:space="0" w:color="auto"/>
              <w:right w:val="single" w:sz="4" w:space="0" w:color="auto"/>
            </w:tcBorders>
          </w:tcPr>
          <w:p w14:paraId="44630DE5" w14:textId="77777777" w:rsidR="005F4B44" w:rsidRPr="005A22C2" w:rsidRDefault="005F4B44" w:rsidP="005F4B44">
            <w:pPr>
              <w:pStyle w:val="TableText"/>
              <w:snapToGrid w:val="0"/>
              <w:rPr>
                <w:rFonts w:eastAsia="新細明體" w:cs="Segoe UI"/>
                <w:lang w:eastAsia="zh-TW"/>
              </w:rPr>
            </w:pPr>
          </w:p>
        </w:tc>
        <w:tc>
          <w:tcPr>
            <w:tcW w:w="1034" w:type="dxa"/>
            <w:tcBorders>
              <w:top w:val="single" w:sz="4" w:space="0" w:color="auto"/>
              <w:left w:val="single" w:sz="4" w:space="0" w:color="auto"/>
              <w:bottom w:val="single" w:sz="4" w:space="0" w:color="auto"/>
              <w:right w:val="single" w:sz="4" w:space="0" w:color="auto"/>
            </w:tcBorders>
          </w:tcPr>
          <w:p w14:paraId="2718EF6C"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2A5C4ED"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2C805E8A"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53B78E94"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tcPr>
          <w:p w14:paraId="43E5A852" w14:textId="77777777" w:rsidR="005F4B44" w:rsidRPr="005A22C2" w:rsidRDefault="005F4B44" w:rsidP="005F4B44">
            <w:pPr>
              <w:pStyle w:val="TableText"/>
              <w:snapToGrid w:val="0"/>
              <w:rPr>
                <w:rFonts w:eastAsia="新細明體" w:cs="Segoe UI"/>
                <w:lang w:eastAsia="zh-TW"/>
              </w:rPr>
            </w:pPr>
          </w:p>
        </w:tc>
        <w:tc>
          <w:tcPr>
            <w:tcW w:w="920" w:type="dxa"/>
            <w:tcBorders>
              <w:top w:val="single" w:sz="4" w:space="0" w:color="auto"/>
              <w:left w:val="single" w:sz="4" w:space="0" w:color="auto"/>
              <w:bottom w:val="single" w:sz="4" w:space="0" w:color="auto"/>
              <w:right w:val="single" w:sz="4" w:space="0" w:color="auto"/>
            </w:tcBorders>
          </w:tcPr>
          <w:p w14:paraId="5C77227C" w14:textId="77777777" w:rsidR="005F4B44" w:rsidRPr="005A22C2" w:rsidRDefault="005F4B44" w:rsidP="005F4B44">
            <w:pPr>
              <w:pStyle w:val="TableText"/>
              <w:snapToGrid w:val="0"/>
              <w:rPr>
                <w:rFonts w:eastAsia="新細明體" w:cs="Segoe UI"/>
                <w:lang w:eastAsia="zh-TW"/>
              </w:rPr>
            </w:pPr>
          </w:p>
        </w:tc>
      </w:tr>
      <w:tr w:rsidR="001B39FD" w:rsidRPr="005A22C2" w14:paraId="7121C849"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0F2C34A0" w14:textId="77777777" w:rsidR="005F4B44" w:rsidRPr="005A22C2" w:rsidRDefault="005F4B44" w:rsidP="005F4B44">
            <w:pPr>
              <w:pStyle w:val="TableText"/>
              <w:snapToGrid w:val="0"/>
              <w:rPr>
                <w:rFonts w:eastAsia="新細明體" w:cs="Segoe UI"/>
                <w:lang w:eastAsia="zh-TW"/>
              </w:rPr>
            </w:pPr>
            <w:r w:rsidRPr="005A22C2">
              <w:rPr>
                <w:rFonts w:eastAsia="新細明體" w:cs="Segoe UI"/>
                <w:lang w:eastAsia="zh-TW"/>
              </w:rPr>
              <w:t>11</w:t>
            </w:r>
          </w:p>
        </w:tc>
        <w:tc>
          <w:tcPr>
            <w:tcW w:w="2369" w:type="dxa"/>
            <w:gridSpan w:val="2"/>
            <w:tcBorders>
              <w:top w:val="single" w:sz="4" w:space="0" w:color="auto"/>
              <w:left w:val="nil"/>
              <w:bottom w:val="single" w:sz="4" w:space="0" w:color="auto"/>
              <w:right w:val="single" w:sz="4" w:space="0" w:color="auto"/>
            </w:tcBorders>
            <w:hideMark/>
          </w:tcPr>
          <w:p w14:paraId="2DEBA502" w14:textId="3AB1F5D1" w:rsidR="005F4B44" w:rsidRPr="005A22C2" w:rsidRDefault="00FC5741" w:rsidP="005F4B44">
            <w:pPr>
              <w:pStyle w:val="TableText"/>
              <w:snapToGrid w:val="0"/>
              <w:rPr>
                <w:rFonts w:eastAsia="新細明體" w:cs="Segoe UI"/>
                <w:lang w:eastAsia="zh-TW"/>
              </w:rPr>
            </w:pPr>
            <w:r w:rsidRPr="005A22C2">
              <w:rPr>
                <w:rFonts w:eastAsia="新細明體" w:cs="Segoe UI" w:hint="eastAsia"/>
                <w:lang w:eastAsia="zh-HK"/>
              </w:rPr>
              <w:t>編</w:t>
            </w:r>
            <w:r w:rsidR="005F4B44" w:rsidRPr="005A22C2">
              <w:rPr>
                <w:rFonts w:eastAsia="新細明體" w:cs="Segoe UI" w:hint="eastAsia"/>
                <w:lang w:eastAsia="zh-HK"/>
              </w:rPr>
              <w:t>配予黃區的交易桌的附加資本要求</w:t>
            </w:r>
          </w:p>
        </w:tc>
        <w:tc>
          <w:tcPr>
            <w:tcW w:w="1885" w:type="dxa"/>
            <w:gridSpan w:val="2"/>
            <w:tcBorders>
              <w:top w:val="single" w:sz="4" w:space="0" w:color="auto"/>
              <w:left w:val="single" w:sz="4" w:space="0" w:color="auto"/>
              <w:bottom w:val="single" w:sz="4" w:space="0" w:color="auto"/>
              <w:right w:val="single" w:sz="4" w:space="0" w:color="auto"/>
            </w:tcBorders>
          </w:tcPr>
          <w:p w14:paraId="4426111F"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36BB279"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55AA8820"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A3507FF" w14:textId="77777777" w:rsidR="005F4B44" w:rsidRPr="005A22C2" w:rsidRDefault="005F4B44" w:rsidP="005F4B44">
            <w:pPr>
              <w:pStyle w:val="TableText"/>
              <w:snapToGrid w:val="0"/>
              <w:rPr>
                <w:rFonts w:eastAsia="新細明體" w:cs="Segoe UI"/>
                <w:lang w:eastAsia="zh-TW"/>
              </w:rPr>
            </w:pPr>
          </w:p>
        </w:tc>
        <w:tc>
          <w:tcPr>
            <w:tcW w:w="1771" w:type="dxa"/>
            <w:gridSpan w:val="2"/>
            <w:tcBorders>
              <w:top w:val="single" w:sz="4" w:space="0" w:color="auto"/>
              <w:left w:val="single" w:sz="4" w:space="0" w:color="auto"/>
              <w:bottom w:val="single" w:sz="4" w:space="0" w:color="auto"/>
              <w:right w:val="single" w:sz="4" w:space="0" w:color="auto"/>
            </w:tcBorders>
          </w:tcPr>
          <w:p w14:paraId="2F808958" w14:textId="77777777" w:rsidR="005F4B44" w:rsidRPr="005A22C2" w:rsidRDefault="005F4B44" w:rsidP="005F4B44">
            <w:pPr>
              <w:pStyle w:val="TableText"/>
              <w:snapToGrid w:val="0"/>
              <w:rPr>
                <w:rFonts w:eastAsia="新細明體" w:cs="Segoe UI"/>
                <w:lang w:eastAsia="zh-TW"/>
              </w:rPr>
            </w:pPr>
          </w:p>
        </w:tc>
      </w:tr>
      <w:tr w:rsidR="001B39FD" w:rsidRPr="005A22C2" w14:paraId="441D6D0E"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380D9820" w14:textId="77777777" w:rsidR="005F4B44" w:rsidRPr="005A22C2" w:rsidRDefault="005F4B44" w:rsidP="005F4B44">
            <w:pPr>
              <w:pStyle w:val="TableText"/>
              <w:snapToGrid w:val="0"/>
              <w:rPr>
                <w:rFonts w:eastAsia="新細明體" w:cs="Segoe UI"/>
                <w:lang w:eastAsia="zh-TW"/>
              </w:rPr>
            </w:pPr>
            <w:r w:rsidRPr="005A22C2">
              <w:rPr>
                <w:rFonts w:eastAsia="新細明體" w:cs="Segoe UI"/>
                <w:lang w:eastAsia="zh-TW"/>
              </w:rPr>
              <w:t>12</w:t>
            </w:r>
          </w:p>
        </w:tc>
        <w:tc>
          <w:tcPr>
            <w:tcW w:w="2369" w:type="dxa"/>
            <w:gridSpan w:val="2"/>
            <w:tcBorders>
              <w:top w:val="single" w:sz="4" w:space="0" w:color="auto"/>
              <w:left w:val="nil"/>
              <w:bottom w:val="single" w:sz="4" w:space="0" w:color="auto"/>
              <w:right w:val="single" w:sz="4" w:space="0" w:color="auto"/>
            </w:tcBorders>
            <w:hideMark/>
          </w:tcPr>
          <w:p w14:paraId="7C91C3FC" w14:textId="6A9C3DD3" w:rsidR="005F4B44" w:rsidRPr="005A22C2" w:rsidRDefault="005F4B44" w:rsidP="005F4B44">
            <w:pPr>
              <w:pStyle w:val="TableText"/>
              <w:snapToGrid w:val="0"/>
              <w:rPr>
                <w:rFonts w:eastAsia="新細明體" w:cs="Segoe UI"/>
                <w:lang w:eastAsia="zh-TW"/>
              </w:rPr>
            </w:pPr>
            <w:r w:rsidRPr="005A22C2">
              <w:rPr>
                <w:rFonts w:eastAsia="新細明體" w:cs="Segoe UI" w:hint="eastAsia"/>
                <w:lang w:eastAsia="zh-HK"/>
              </w:rPr>
              <w:t>編配予綠區或黃區的交易桌的市場風險資本要求</w:t>
            </w:r>
            <w:r w:rsidR="002822D2" w:rsidRPr="005A22C2">
              <w:rPr>
                <w:rFonts w:eastAsiaTheme="minorEastAsia" w:cs="Segoe UI" w:hint="eastAsia"/>
                <w:kern w:val="2"/>
                <w:szCs w:val="17"/>
                <w:lang w:eastAsia="zh-TW"/>
              </w:rPr>
              <w:t>（</w:t>
            </w:r>
            <w:r w:rsidRPr="005A22C2">
              <w:rPr>
                <w:rFonts w:eastAsia="新細明體" w:cs="Segoe UI"/>
                <w:lang w:eastAsia="zh-HK"/>
              </w:rPr>
              <w:t>包括</w:t>
            </w:r>
            <w:r w:rsidRPr="005A22C2">
              <w:rPr>
                <w:rFonts w:eastAsia="新細明體" w:cs="Segoe UI" w:hint="eastAsia"/>
                <w:lang w:eastAsia="zh-HK"/>
              </w:rPr>
              <w:t>附加</w:t>
            </w:r>
            <w:r w:rsidRPr="005A22C2">
              <w:rPr>
                <w:rFonts w:eastAsia="新細明體" w:cs="Segoe UI"/>
                <w:lang w:eastAsia="zh-HK"/>
              </w:rPr>
              <w:t>資本要求</w:t>
            </w:r>
            <w:r w:rsidR="00083254" w:rsidRPr="005A22C2">
              <w:rPr>
                <w:rFonts w:eastAsia="新細明體" w:cs="Segoe UI" w:hint="eastAsia"/>
                <w:lang w:eastAsia="zh-TW"/>
              </w:rPr>
              <w:t>）</w:t>
            </w:r>
          </w:p>
        </w:tc>
        <w:tc>
          <w:tcPr>
            <w:tcW w:w="1885" w:type="dxa"/>
            <w:gridSpan w:val="2"/>
            <w:tcBorders>
              <w:top w:val="single" w:sz="4" w:space="0" w:color="auto"/>
              <w:left w:val="single" w:sz="4" w:space="0" w:color="auto"/>
              <w:bottom w:val="single" w:sz="4" w:space="0" w:color="auto"/>
              <w:right w:val="single" w:sz="4" w:space="0" w:color="auto"/>
            </w:tcBorders>
          </w:tcPr>
          <w:p w14:paraId="7F189BDF"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6E20A7A1"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75CBC1CC"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24D6A81F" w14:textId="77777777" w:rsidR="005F4B44" w:rsidRPr="005A22C2" w:rsidRDefault="005F4B44" w:rsidP="005F4B44">
            <w:pPr>
              <w:pStyle w:val="TableText"/>
              <w:snapToGrid w:val="0"/>
              <w:rPr>
                <w:rFonts w:eastAsia="新細明體" w:cs="Segoe UI"/>
                <w:lang w:eastAsia="zh-TW"/>
              </w:rPr>
            </w:pPr>
          </w:p>
        </w:tc>
        <w:tc>
          <w:tcPr>
            <w:tcW w:w="1771" w:type="dxa"/>
            <w:gridSpan w:val="2"/>
            <w:tcBorders>
              <w:top w:val="single" w:sz="4" w:space="0" w:color="auto"/>
              <w:left w:val="single" w:sz="4" w:space="0" w:color="auto"/>
              <w:bottom w:val="single" w:sz="4" w:space="0" w:color="auto"/>
              <w:right w:val="single" w:sz="4" w:space="0" w:color="auto"/>
            </w:tcBorders>
          </w:tcPr>
          <w:p w14:paraId="59FC6E39" w14:textId="77777777" w:rsidR="005F4B44" w:rsidRPr="005A22C2" w:rsidRDefault="005F4B44" w:rsidP="005F4B44">
            <w:pPr>
              <w:pStyle w:val="TableText"/>
              <w:snapToGrid w:val="0"/>
              <w:rPr>
                <w:rFonts w:eastAsia="新細明體" w:cs="Segoe UI"/>
                <w:lang w:eastAsia="zh-TW"/>
              </w:rPr>
            </w:pPr>
          </w:p>
        </w:tc>
      </w:tr>
      <w:tr w:rsidR="001B39FD" w:rsidRPr="005A22C2" w14:paraId="7FD2EEAE"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37ED7E97"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13</w:t>
            </w:r>
          </w:p>
        </w:tc>
        <w:tc>
          <w:tcPr>
            <w:tcW w:w="2369" w:type="dxa"/>
            <w:gridSpan w:val="2"/>
            <w:tcBorders>
              <w:top w:val="single" w:sz="4" w:space="0" w:color="auto"/>
              <w:left w:val="nil"/>
              <w:bottom w:val="single" w:sz="4" w:space="0" w:color="auto"/>
              <w:right w:val="single" w:sz="4" w:space="0" w:color="auto"/>
            </w:tcBorders>
            <w:hideMark/>
          </w:tcPr>
          <w:p w14:paraId="2D1E2BCA" w14:textId="2DD9D022" w:rsidR="005F4B44" w:rsidRPr="005A22C2" w:rsidRDefault="005F4B44" w:rsidP="00BE1856">
            <w:pPr>
              <w:pStyle w:val="TableText"/>
              <w:snapToGrid w:val="0"/>
              <w:rPr>
                <w:rFonts w:eastAsia="新細明體" w:cs="Segoe UI"/>
                <w:lang w:eastAsia="zh-TW"/>
              </w:rPr>
            </w:pPr>
            <w:r w:rsidRPr="005A22C2">
              <w:rPr>
                <w:rFonts w:eastAsia="新細明體" w:cs="Segoe UI"/>
                <w:lang w:eastAsia="zh-HK"/>
              </w:rPr>
              <w:t>在</w:t>
            </w:r>
            <w:r w:rsidRPr="005A22C2">
              <w:rPr>
                <w:rFonts w:eastAsia="新細明體" w:cs="Segoe UI"/>
                <w:lang w:eastAsia="zh-TW"/>
              </w:rPr>
              <w:t>模版</w:t>
            </w:r>
            <w:r w:rsidRPr="005A22C2">
              <w:rPr>
                <w:rFonts w:eastAsia="新細明體" w:cs="Segoe UI"/>
                <w:lang w:eastAsia="zh-TW"/>
              </w:rPr>
              <w:t>MR1</w:t>
            </w:r>
            <w:r w:rsidR="00437B97" w:rsidRPr="005A22C2">
              <w:rPr>
                <w:rFonts w:eastAsia="新細明體" w:cs="Segoe UI" w:hint="eastAsia"/>
                <w:lang w:eastAsia="zh-HK"/>
              </w:rPr>
              <w:t>中</w:t>
            </w:r>
            <w:r w:rsidRPr="005A22C2">
              <w:rPr>
                <w:rFonts w:eastAsia="新細明體" w:cs="Segoe UI"/>
                <w:lang w:eastAsia="zh-HK"/>
              </w:rPr>
              <w:t>披露</w:t>
            </w:r>
            <w:r w:rsidR="00BE1856" w:rsidRPr="005A22C2">
              <w:rPr>
                <w:rFonts w:eastAsia="新細明體" w:cs="Segoe UI" w:hint="eastAsia"/>
                <w:lang w:eastAsia="zh-HK"/>
              </w:rPr>
              <w:t>受</w:t>
            </w:r>
            <w:r w:rsidRPr="005A22C2">
              <w:rPr>
                <w:rFonts w:eastAsia="新細明體" w:cs="Segoe UI"/>
                <w:lang w:eastAsia="zh-TW"/>
              </w:rPr>
              <w:t>STM</w:t>
            </w:r>
            <w:r w:rsidRPr="005A22C2">
              <w:rPr>
                <w:rFonts w:eastAsia="新細明體" w:cs="Segoe UI"/>
                <w:lang w:eastAsia="zh-HK"/>
              </w:rPr>
              <w:t>計算法</w:t>
            </w:r>
            <w:r w:rsidR="00BE1856" w:rsidRPr="005A22C2">
              <w:rPr>
                <w:rFonts w:eastAsia="新細明體" w:cs="Segoe UI" w:hint="eastAsia"/>
                <w:lang w:eastAsia="zh-HK"/>
              </w:rPr>
              <w:t>規限</w:t>
            </w:r>
            <w:r w:rsidRPr="005A22C2">
              <w:rPr>
                <w:rFonts w:eastAsia="新細明體" w:cs="Segoe UI"/>
                <w:lang w:eastAsia="zh-HK"/>
              </w:rPr>
              <w:t>的交易</w:t>
            </w:r>
            <w:r w:rsidR="00515783" w:rsidRPr="005A22C2">
              <w:rPr>
                <w:rFonts w:eastAsia="新細明體" w:cs="Segoe UI" w:hint="eastAsia"/>
                <w:lang w:eastAsia="zh-HK"/>
              </w:rPr>
              <w:t>桌</w:t>
            </w:r>
            <w:r w:rsidRPr="005A22C2">
              <w:rPr>
                <w:rFonts w:ascii="新細明體" w:eastAsia="新細明體" w:hAnsi="新細明體" w:cs="Segoe UI" w:hint="eastAsia"/>
                <w:lang w:eastAsia="zh-TW"/>
              </w:rPr>
              <w:t>的</w:t>
            </w:r>
            <w:r w:rsidRPr="005A22C2">
              <w:rPr>
                <w:rFonts w:eastAsia="新細明體" w:cs="Segoe UI"/>
                <w:lang w:eastAsia="zh-HK"/>
              </w:rPr>
              <w:t>總市場風險資本要求</w:t>
            </w:r>
            <w:r w:rsidRPr="005A22C2">
              <w:rPr>
                <w:rFonts w:eastAsia="新細明體" w:cs="Segoe UI"/>
                <w:szCs w:val="17"/>
                <w:lang w:eastAsia="zh-TW"/>
              </w:rPr>
              <w:t xml:space="preserve"> </w:t>
            </w:r>
          </w:p>
        </w:tc>
        <w:tc>
          <w:tcPr>
            <w:tcW w:w="1885" w:type="dxa"/>
            <w:gridSpan w:val="2"/>
            <w:tcBorders>
              <w:top w:val="single" w:sz="4" w:space="0" w:color="auto"/>
              <w:left w:val="single" w:sz="4" w:space="0" w:color="auto"/>
              <w:bottom w:val="single" w:sz="4" w:space="0" w:color="auto"/>
              <w:right w:val="single" w:sz="4" w:space="0" w:color="auto"/>
            </w:tcBorders>
          </w:tcPr>
          <w:p w14:paraId="7982C26A"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28695B23"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6CDA26A7"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809C5D0" w14:textId="77777777" w:rsidR="005F4B44" w:rsidRPr="005A22C2" w:rsidRDefault="005F4B44" w:rsidP="005F4B44">
            <w:pPr>
              <w:pStyle w:val="TableText"/>
              <w:snapToGrid w:val="0"/>
              <w:rPr>
                <w:rFonts w:eastAsia="新細明體" w:cs="Segoe UI"/>
                <w:lang w:eastAsia="zh-TW"/>
              </w:rPr>
            </w:pPr>
          </w:p>
        </w:tc>
        <w:tc>
          <w:tcPr>
            <w:tcW w:w="1771" w:type="dxa"/>
            <w:gridSpan w:val="2"/>
            <w:tcBorders>
              <w:top w:val="single" w:sz="4" w:space="0" w:color="auto"/>
              <w:left w:val="single" w:sz="4" w:space="0" w:color="auto"/>
              <w:bottom w:val="single" w:sz="4" w:space="0" w:color="auto"/>
              <w:right w:val="single" w:sz="4" w:space="0" w:color="auto"/>
            </w:tcBorders>
          </w:tcPr>
          <w:p w14:paraId="79F67AD3" w14:textId="77777777" w:rsidR="005F4B44" w:rsidRPr="005A22C2" w:rsidRDefault="005F4B44" w:rsidP="005F4B44">
            <w:pPr>
              <w:pStyle w:val="TableText"/>
              <w:snapToGrid w:val="0"/>
              <w:rPr>
                <w:rFonts w:eastAsia="新細明體" w:cs="Segoe UI"/>
                <w:lang w:eastAsia="zh-TW"/>
              </w:rPr>
            </w:pPr>
          </w:p>
        </w:tc>
      </w:tr>
      <w:tr w:rsidR="001B39FD" w:rsidRPr="005A22C2" w14:paraId="5CBE1804"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5A1B7721"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14</w:t>
            </w:r>
          </w:p>
        </w:tc>
        <w:tc>
          <w:tcPr>
            <w:tcW w:w="2369" w:type="dxa"/>
            <w:gridSpan w:val="2"/>
            <w:tcBorders>
              <w:top w:val="single" w:sz="4" w:space="0" w:color="auto"/>
              <w:left w:val="nil"/>
              <w:bottom w:val="single" w:sz="4" w:space="0" w:color="auto"/>
              <w:right w:val="single" w:sz="4" w:space="0" w:color="auto"/>
            </w:tcBorders>
            <w:hideMark/>
          </w:tcPr>
          <w:p w14:paraId="6AB618CF" w14:textId="5E09EAC3" w:rsidR="005F4B44" w:rsidRPr="005A22C2" w:rsidRDefault="005F4B44" w:rsidP="005F4B44">
            <w:pPr>
              <w:pStyle w:val="TableText"/>
              <w:snapToGrid w:val="0"/>
              <w:rPr>
                <w:rFonts w:eastAsia="新細明體" w:cs="Segoe UI"/>
                <w:lang w:val="en-US" w:eastAsia="zh-HK"/>
              </w:rPr>
            </w:pPr>
            <w:r w:rsidRPr="005A22C2">
              <w:rPr>
                <w:rFonts w:eastAsia="新細明體" w:cs="Segoe UI" w:hint="eastAsia"/>
                <w:lang w:eastAsia="zh-HK"/>
              </w:rPr>
              <w:t>編配予</w:t>
            </w:r>
            <w:r w:rsidRPr="005A22C2">
              <w:rPr>
                <w:rFonts w:eastAsia="新細明體" w:cs="Segoe UI"/>
                <w:lang w:val="en-US" w:eastAsia="zh-HK"/>
              </w:rPr>
              <w:t>綠區或黃區的交易</w:t>
            </w:r>
            <w:r w:rsidRPr="005A22C2">
              <w:rPr>
                <w:rFonts w:eastAsia="新細明體" w:cs="Segoe UI" w:hint="eastAsia"/>
                <w:lang w:eastAsia="zh-HK"/>
              </w:rPr>
              <w:t>桌</w:t>
            </w:r>
            <w:r w:rsidRPr="005A22C2">
              <w:rPr>
                <w:rFonts w:eastAsia="新細明體" w:cs="Segoe UI"/>
                <w:lang w:val="en-US" w:eastAsia="zh-HK"/>
              </w:rPr>
              <w:t>在</w:t>
            </w:r>
            <w:r w:rsidRPr="005A22C2">
              <w:rPr>
                <w:rFonts w:eastAsia="新細明體" w:cs="Segoe UI"/>
                <w:lang w:val="en-US" w:eastAsia="zh-TW"/>
              </w:rPr>
              <w:t>IMA</w:t>
            </w:r>
            <w:r w:rsidRPr="005A22C2">
              <w:rPr>
                <w:rFonts w:eastAsia="新細明體" w:cs="Segoe UI"/>
                <w:lang w:val="en-US" w:eastAsia="zh-HK"/>
              </w:rPr>
              <w:t>與</w:t>
            </w:r>
            <w:r w:rsidRPr="005A22C2">
              <w:rPr>
                <w:rFonts w:eastAsia="新細明體" w:cs="Segoe UI"/>
                <w:lang w:val="en-US" w:eastAsia="zh-TW"/>
              </w:rPr>
              <w:t>STM</w:t>
            </w:r>
            <w:r w:rsidRPr="005A22C2">
              <w:rPr>
                <w:rFonts w:eastAsia="新細明體" w:cs="Segoe UI"/>
                <w:lang w:val="en-US" w:eastAsia="zh-HK"/>
              </w:rPr>
              <w:t>計算法下的市場風險資本要求的差</w:t>
            </w:r>
            <w:r w:rsidRPr="005A22C2">
              <w:rPr>
                <w:rFonts w:eastAsia="新細明體" w:cs="Segoe UI" w:hint="eastAsia"/>
                <w:lang w:val="en-US" w:eastAsia="zh-HK"/>
              </w:rPr>
              <w:t>額</w:t>
            </w:r>
          </w:p>
        </w:tc>
        <w:tc>
          <w:tcPr>
            <w:tcW w:w="1885" w:type="dxa"/>
            <w:gridSpan w:val="2"/>
            <w:tcBorders>
              <w:top w:val="single" w:sz="4" w:space="0" w:color="auto"/>
              <w:left w:val="single" w:sz="4" w:space="0" w:color="auto"/>
              <w:bottom w:val="single" w:sz="4" w:space="0" w:color="auto"/>
              <w:right w:val="single" w:sz="4" w:space="0" w:color="auto"/>
            </w:tcBorders>
          </w:tcPr>
          <w:p w14:paraId="66E2A5A6"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1FF9B317"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49582E68"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56F91655" w14:textId="77777777" w:rsidR="005F4B44" w:rsidRPr="005A22C2" w:rsidRDefault="005F4B44" w:rsidP="005F4B44">
            <w:pPr>
              <w:pStyle w:val="TableText"/>
              <w:snapToGrid w:val="0"/>
              <w:rPr>
                <w:rFonts w:eastAsia="新細明體" w:cs="Segoe UI"/>
                <w:lang w:eastAsia="zh-TW"/>
              </w:rPr>
            </w:pPr>
          </w:p>
        </w:tc>
        <w:tc>
          <w:tcPr>
            <w:tcW w:w="1771" w:type="dxa"/>
            <w:gridSpan w:val="2"/>
            <w:tcBorders>
              <w:top w:val="single" w:sz="4" w:space="0" w:color="auto"/>
              <w:left w:val="single" w:sz="4" w:space="0" w:color="auto"/>
              <w:bottom w:val="single" w:sz="4" w:space="0" w:color="auto"/>
              <w:right w:val="single" w:sz="4" w:space="0" w:color="auto"/>
            </w:tcBorders>
          </w:tcPr>
          <w:p w14:paraId="2CDAB0D1" w14:textId="77777777" w:rsidR="005F4B44" w:rsidRPr="005A22C2" w:rsidRDefault="005F4B44" w:rsidP="005F4B44">
            <w:pPr>
              <w:pStyle w:val="TableText"/>
              <w:snapToGrid w:val="0"/>
              <w:rPr>
                <w:rFonts w:eastAsia="新細明體" w:cs="Segoe UI"/>
                <w:lang w:eastAsia="zh-TW"/>
              </w:rPr>
            </w:pPr>
          </w:p>
        </w:tc>
      </w:tr>
      <w:tr w:rsidR="001B39FD" w:rsidRPr="005A22C2" w14:paraId="3E8AE70C"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03AC4658"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15</w:t>
            </w:r>
          </w:p>
        </w:tc>
        <w:tc>
          <w:tcPr>
            <w:tcW w:w="2369" w:type="dxa"/>
            <w:gridSpan w:val="2"/>
            <w:tcBorders>
              <w:top w:val="single" w:sz="4" w:space="0" w:color="auto"/>
              <w:left w:val="nil"/>
              <w:bottom w:val="single" w:sz="4" w:space="0" w:color="auto"/>
              <w:right w:val="single" w:sz="4" w:space="0" w:color="auto"/>
            </w:tcBorders>
            <w:hideMark/>
          </w:tcPr>
          <w:p w14:paraId="03135F3C" w14:textId="0811B456" w:rsidR="005F4B44" w:rsidRPr="005A22C2" w:rsidRDefault="005F4B44" w:rsidP="005B358E">
            <w:pPr>
              <w:pStyle w:val="TableText"/>
              <w:snapToGrid w:val="0"/>
              <w:rPr>
                <w:rFonts w:eastAsia="新細明體" w:cs="Segoe UI"/>
                <w:lang w:eastAsia="zh-TW"/>
              </w:rPr>
            </w:pPr>
            <w:r w:rsidRPr="005A22C2">
              <w:rPr>
                <w:rFonts w:eastAsia="新細明體" w:cs="Segoe UI"/>
                <w:lang w:val="en-US" w:eastAsia="zh-HK"/>
              </w:rPr>
              <w:t>使用</w:t>
            </w:r>
            <w:r w:rsidRPr="005A22C2">
              <w:rPr>
                <w:rFonts w:eastAsia="新細明體" w:cs="Segoe UI"/>
                <w:lang w:eastAsia="zh-HK"/>
              </w:rPr>
              <w:t>STM</w:t>
            </w:r>
            <w:r w:rsidRPr="005A22C2">
              <w:rPr>
                <w:rFonts w:eastAsia="新細明體" w:cs="Segoe UI"/>
                <w:lang w:eastAsia="zh-HK"/>
              </w:rPr>
              <w:t>計算法計算</w:t>
            </w:r>
            <w:r w:rsidRPr="005A22C2">
              <w:rPr>
                <w:rFonts w:eastAsia="新細明體" w:cs="Segoe UI"/>
                <w:lang w:val="en-US" w:eastAsia="zh-HK"/>
              </w:rPr>
              <w:t>所有交易</w:t>
            </w:r>
            <w:r w:rsidRPr="005A22C2">
              <w:rPr>
                <w:rFonts w:eastAsia="新細明體" w:cs="Segoe UI" w:hint="eastAsia"/>
                <w:lang w:val="en-US" w:eastAsia="zh-HK"/>
              </w:rPr>
              <w:t>桌</w:t>
            </w:r>
            <w:r w:rsidR="002822D2" w:rsidRPr="005A22C2">
              <w:rPr>
                <w:rFonts w:eastAsiaTheme="minorEastAsia" w:cs="Segoe UI" w:hint="eastAsia"/>
                <w:kern w:val="2"/>
                <w:szCs w:val="17"/>
                <w:lang w:eastAsia="zh-TW"/>
              </w:rPr>
              <w:t>（</w:t>
            </w:r>
            <w:r w:rsidRPr="005A22C2">
              <w:rPr>
                <w:rFonts w:eastAsia="新細明體" w:cs="Segoe UI"/>
                <w:lang w:val="en-US" w:eastAsia="zh-HK"/>
              </w:rPr>
              <w:t>包括須使用</w:t>
            </w:r>
            <w:r w:rsidRPr="005A22C2">
              <w:rPr>
                <w:rFonts w:eastAsia="新細明體" w:cs="Segoe UI"/>
                <w:lang w:val="en-US" w:eastAsia="zh-TW"/>
              </w:rPr>
              <w:t>IMA</w:t>
            </w:r>
            <w:r w:rsidRPr="005A22C2">
              <w:rPr>
                <w:rFonts w:eastAsia="新細明體" w:cs="Segoe UI"/>
                <w:lang w:val="en-US" w:eastAsia="zh-HK"/>
              </w:rPr>
              <w:t>者</w:t>
            </w:r>
            <w:r w:rsidR="00083254" w:rsidRPr="005A22C2">
              <w:rPr>
                <w:rFonts w:eastAsia="新細明體" w:cs="Segoe UI" w:hint="eastAsia"/>
                <w:lang w:val="en-US" w:eastAsia="zh-TW"/>
              </w:rPr>
              <w:t>）</w:t>
            </w:r>
            <w:r w:rsidRPr="005A22C2">
              <w:rPr>
                <w:rFonts w:eastAsia="新細明體" w:cs="Segoe UI"/>
                <w:lang w:eastAsia="zh-HK"/>
              </w:rPr>
              <w:t>的市場風險資本要求</w:t>
            </w:r>
          </w:p>
        </w:tc>
        <w:tc>
          <w:tcPr>
            <w:tcW w:w="1885" w:type="dxa"/>
            <w:gridSpan w:val="2"/>
            <w:tcBorders>
              <w:top w:val="single" w:sz="4" w:space="0" w:color="auto"/>
              <w:left w:val="single" w:sz="4" w:space="0" w:color="auto"/>
              <w:bottom w:val="single" w:sz="4" w:space="0" w:color="auto"/>
              <w:right w:val="single" w:sz="4" w:space="0" w:color="auto"/>
            </w:tcBorders>
          </w:tcPr>
          <w:p w14:paraId="19393C4B"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43CAC544"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54FE9F23"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472BEEF6" w14:textId="77777777" w:rsidR="005F4B44" w:rsidRPr="005A22C2" w:rsidRDefault="005F4B44" w:rsidP="005F4B44">
            <w:pPr>
              <w:pStyle w:val="TableText"/>
              <w:snapToGrid w:val="0"/>
              <w:rPr>
                <w:rFonts w:eastAsia="新細明體" w:cs="Segoe UI"/>
                <w:lang w:eastAsia="zh-TW"/>
              </w:rPr>
            </w:pPr>
          </w:p>
        </w:tc>
        <w:tc>
          <w:tcPr>
            <w:tcW w:w="1771" w:type="dxa"/>
            <w:gridSpan w:val="2"/>
            <w:tcBorders>
              <w:top w:val="single" w:sz="4" w:space="0" w:color="auto"/>
              <w:left w:val="single" w:sz="4" w:space="0" w:color="auto"/>
              <w:bottom w:val="single" w:sz="4" w:space="0" w:color="auto"/>
              <w:right w:val="single" w:sz="4" w:space="0" w:color="auto"/>
            </w:tcBorders>
          </w:tcPr>
          <w:p w14:paraId="7B7B26C2" w14:textId="77777777" w:rsidR="005F4B44" w:rsidRPr="005A22C2" w:rsidRDefault="005F4B44" w:rsidP="005F4B44">
            <w:pPr>
              <w:pStyle w:val="TableText"/>
              <w:snapToGrid w:val="0"/>
              <w:rPr>
                <w:rFonts w:eastAsia="新細明體" w:cs="Segoe UI"/>
                <w:lang w:eastAsia="zh-TW"/>
              </w:rPr>
            </w:pPr>
          </w:p>
        </w:tc>
      </w:tr>
      <w:tr w:rsidR="001B39FD" w:rsidRPr="005A22C2" w14:paraId="4FD7E00B" w14:textId="77777777" w:rsidTr="005F4B44">
        <w:trPr>
          <w:cantSplit/>
          <w:trHeight w:val="293"/>
        </w:trPr>
        <w:tc>
          <w:tcPr>
            <w:tcW w:w="424" w:type="dxa"/>
            <w:tcBorders>
              <w:top w:val="single" w:sz="4" w:space="0" w:color="auto"/>
              <w:left w:val="nil"/>
              <w:bottom w:val="single" w:sz="4" w:space="0" w:color="auto"/>
              <w:right w:val="single" w:sz="4" w:space="0" w:color="auto"/>
            </w:tcBorders>
            <w:hideMark/>
          </w:tcPr>
          <w:p w14:paraId="71CE99E3" w14:textId="77777777" w:rsidR="005F4B44" w:rsidRPr="005A22C2" w:rsidRDefault="005F4B44" w:rsidP="005F4B44">
            <w:pPr>
              <w:pStyle w:val="TableText"/>
              <w:snapToGrid w:val="0"/>
              <w:rPr>
                <w:rFonts w:eastAsia="新細明體" w:cs="Segoe UI"/>
                <w:lang w:eastAsia="en-GB"/>
              </w:rPr>
            </w:pPr>
            <w:r w:rsidRPr="005A22C2">
              <w:rPr>
                <w:rFonts w:eastAsia="新細明體" w:cs="Segoe UI"/>
                <w:lang w:eastAsia="en-GB"/>
              </w:rPr>
              <w:t>16</w:t>
            </w:r>
          </w:p>
        </w:tc>
        <w:tc>
          <w:tcPr>
            <w:tcW w:w="2369" w:type="dxa"/>
            <w:gridSpan w:val="2"/>
            <w:tcBorders>
              <w:top w:val="single" w:sz="4" w:space="0" w:color="auto"/>
              <w:left w:val="nil"/>
              <w:bottom w:val="single" w:sz="4" w:space="0" w:color="auto"/>
              <w:right w:val="single" w:sz="4" w:space="0" w:color="auto"/>
            </w:tcBorders>
            <w:hideMark/>
          </w:tcPr>
          <w:p w14:paraId="1DF29433" w14:textId="2DE72DBD" w:rsidR="005F4B44" w:rsidRPr="005A22C2" w:rsidRDefault="005F4B44" w:rsidP="005F4B44">
            <w:pPr>
              <w:pStyle w:val="TableText"/>
              <w:snapToGrid w:val="0"/>
              <w:rPr>
                <w:rFonts w:eastAsia="新細明體" w:cs="Segoe UI"/>
                <w:lang w:val="en-US" w:eastAsia="zh-TW"/>
              </w:rPr>
            </w:pPr>
            <w:r w:rsidRPr="005A22C2">
              <w:rPr>
                <w:rFonts w:eastAsia="新細明體" w:cs="Segoe UI"/>
                <w:lang w:val="en-US" w:eastAsia="zh-HK"/>
              </w:rPr>
              <w:t>總市場風險資本要求</w:t>
            </w:r>
          </w:p>
        </w:tc>
        <w:tc>
          <w:tcPr>
            <w:tcW w:w="1885" w:type="dxa"/>
            <w:gridSpan w:val="2"/>
            <w:tcBorders>
              <w:top w:val="single" w:sz="4" w:space="0" w:color="auto"/>
              <w:left w:val="single" w:sz="4" w:space="0" w:color="auto"/>
              <w:bottom w:val="single" w:sz="4" w:space="0" w:color="auto"/>
              <w:right w:val="single" w:sz="4" w:space="0" w:color="auto"/>
            </w:tcBorders>
          </w:tcPr>
          <w:p w14:paraId="7E2C3061" w14:textId="77777777" w:rsidR="005F4B44" w:rsidRPr="005A22C2" w:rsidRDefault="005F4B44" w:rsidP="005F4B44">
            <w:pPr>
              <w:pStyle w:val="TableText"/>
              <w:snapToGrid w:val="0"/>
              <w:rPr>
                <w:rFonts w:eastAsia="新細明體" w:cs="Segoe UI"/>
                <w:lang w:eastAsia="zh-TW"/>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04900DD" w14:textId="77777777" w:rsidR="005F4B44" w:rsidRPr="005A22C2" w:rsidRDefault="005F4B44" w:rsidP="005F4B44">
            <w:pPr>
              <w:pStyle w:val="TableText"/>
              <w:snapToGrid w:val="0"/>
              <w:rPr>
                <w:rFonts w:eastAsia="新細明體" w:cs="Segoe UI"/>
                <w:lang w:eastAsia="zh-TW"/>
              </w:rPr>
            </w:pPr>
          </w:p>
        </w:tc>
        <w:tc>
          <w:tcPr>
            <w:tcW w:w="868" w:type="dxa"/>
            <w:tcBorders>
              <w:top w:val="single" w:sz="4" w:space="0" w:color="auto"/>
              <w:left w:val="single" w:sz="4" w:space="0" w:color="auto"/>
              <w:bottom w:val="single" w:sz="4" w:space="0" w:color="auto"/>
              <w:right w:val="single" w:sz="4" w:space="0" w:color="auto"/>
            </w:tcBorders>
            <w:shd w:val="clear" w:color="auto" w:fill="BFBFBF"/>
          </w:tcPr>
          <w:p w14:paraId="0BB2C913" w14:textId="77777777" w:rsidR="005F4B44" w:rsidRPr="005A22C2" w:rsidRDefault="005F4B44" w:rsidP="005F4B44">
            <w:pPr>
              <w:pStyle w:val="TableText"/>
              <w:snapToGrid w:val="0"/>
              <w:rPr>
                <w:rFonts w:eastAsia="新細明體" w:cs="Segoe UI"/>
                <w:lang w:eastAsia="zh-TW"/>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64D88683" w14:textId="77777777" w:rsidR="005F4B44" w:rsidRPr="005A22C2" w:rsidRDefault="005F4B44" w:rsidP="005F4B44">
            <w:pPr>
              <w:pStyle w:val="TableText"/>
              <w:snapToGrid w:val="0"/>
              <w:rPr>
                <w:rFonts w:eastAsia="新細明體" w:cs="Segoe UI"/>
                <w:lang w:eastAsia="zh-TW"/>
              </w:rPr>
            </w:pPr>
          </w:p>
        </w:tc>
        <w:tc>
          <w:tcPr>
            <w:tcW w:w="1771" w:type="dxa"/>
            <w:gridSpan w:val="2"/>
            <w:tcBorders>
              <w:top w:val="single" w:sz="4" w:space="0" w:color="auto"/>
              <w:left w:val="single" w:sz="4" w:space="0" w:color="auto"/>
              <w:bottom w:val="single" w:sz="4" w:space="0" w:color="auto"/>
              <w:right w:val="single" w:sz="4" w:space="0" w:color="auto"/>
            </w:tcBorders>
          </w:tcPr>
          <w:p w14:paraId="61AD490A" w14:textId="77777777" w:rsidR="005F4B44" w:rsidRPr="005A22C2" w:rsidRDefault="005F4B44" w:rsidP="005F4B44">
            <w:pPr>
              <w:pStyle w:val="TableText"/>
              <w:snapToGrid w:val="0"/>
              <w:rPr>
                <w:rFonts w:eastAsia="新細明體" w:cs="Segoe UI"/>
                <w:lang w:eastAsia="zh-TW"/>
              </w:rPr>
            </w:pPr>
          </w:p>
        </w:tc>
      </w:tr>
    </w:tbl>
    <w:p w14:paraId="27BAF6EA" w14:textId="77777777" w:rsidR="005F4B44" w:rsidRDefault="005F4B44" w:rsidP="005F4B44">
      <w:pPr>
        <w:spacing w:before="120" w:after="120"/>
        <w:ind w:leftChars="-283" w:left="-566"/>
        <w:rPr>
          <w:rFonts w:eastAsia="新細明體" w:cs="Segoe UI"/>
          <w:sz w:val="22"/>
          <w:lang w:eastAsia="zh-TW"/>
        </w:rPr>
      </w:pPr>
    </w:p>
    <w:p w14:paraId="16A1B117" w14:textId="54138064" w:rsidR="008014F0" w:rsidRDefault="008014F0">
      <w:pPr>
        <w:rPr>
          <w:rFonts w:eastAsia="新細明體" w:cs="Segoe UI"/>
          <w:sz w:val="22"/>
          <w:lang w:eastAsia="zh-TW"/>
        </w:rPr>
      </w:pPr>
      <w:r>
        <w:rPr>
          <w:rFonts w:eastAsia="新細明體" w:cs="Segoe UI"/>
          <w:sz w:val="22"/>
          <w:lang w:eastAsia="zh-TW"/>
        </w:rPr>
        <w:br w:type="page"/>
      </w:r>
    </w:p>
    <w:p w14:paraId="0B316FA5" w14:textId="77777777" w:rsidR="008014F0" w:rsidRPr="005A22C2" w:rsidRDefault="008014F0" w:rsidP="005F4B44">
      <w:pPr>
        <w:spacing w:before="120" w:after="120"/>
        <w:ind w:leftChars="-283" w:left="-566"/>
        <w:rPr>
          <w:rFonts w:eastAsia="新細明體" w:cs="Segoe UI"/>
          <w:sz w:val="22"/>
          <w:lang w:eastAsia="zh-TW"/>
        </w:rPr>
      </w:pPr>
    </w:p>
    <w:tbl>
      <w:tblPr>
        <w:tblW w:w="95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92"/>
      </w:tblGrid>
      <w:tr w:rsidR="005A22C2" w:rsidRPr="005A22C2" w14:paraId="5A30B038" w14:textId="77777777" w:rsidTr="005F4B44">
        <w:trPr>
          <w:tblHeader/>
        </w:trPr>
        <w:tc>
          <w:tcPr>
            <w:tcW w:w="95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A9F3E95" w14:textId="77777777" w:rsidR="005F4B44" w:rsidRPr="005A22C2" w:rsidRDefault="005F4B44" w:rsidP="005F4B44">
            <w:pPr>
              <w:spacing w:before="40" w:after="40"/>
              <w:jc w:val="both"/>
              <w:rPr>
                <w:rFonts w:eastAsia="新細明體" w:cs="Segoe UI"/>
                <w:b/>
                <w:sz w:val="17"/>
                <w:lang w:eastAsia="en-GB"/>
              </w:rPr>
            </w:pPr>
            <w:r w:rsidRPr="005A22C2">
              <w:rPr>
                <w:rFonts w:eastAsia="新細明體" w:cs="Segoe UI"/>
                <w:b/>
                <w:sz w:val="17"/>
                <w:lang w:eastAsia="zh-HK"/>
              </w:rPr>
              <w:t>註釋</w:t>
            </w:r>
            <w:r w:rsidRPr="005A22C2">
              <w:rPr>
                <w:rFonts w:eastAsia="新細明體" w:cs="Segoe UI"/>
                <w:b/>
                <w:sz w:val="17"/>
                <w:lang w:eastAsia="en-GB"/>
              </w:rPr>
              <w:t xml:space="preserve"> </w:t>
            </w:r>
          </w:p>
        </w:tc>
      </w:tr>
      <w:tr w:rsidR="005A22C2" w:rsidRPr="005A22C2" w14:paraId="2F374410" w14:textId="77777777" w:rsidTr="005F4B44">
        <w:tc>
          <w:tcPr>
            <w:tcW w:w="9501" w:type="dxa"/>
            <w:gridSpan w:val="2"/>
            <w:tcBorders>
              <w:top w:val="single" w:sz="4" w:space="0" w:color="auto"/>
              <w:left w:val="single" w:sz="4" w:space="0" w:color="auto"/>
              <w:bottom w:val="single" w:sz="4" w:space="0" w:color="auto"/>
              <w:right w:val="single" w:sz="4" w:space="0" w:color="auto"/>
            </w:tcBorders>
            <w:shd w:val="clear" w:color="auto" w:fill="F2F2F2"/>
          </w:tcPr>
          <w:p w14:paraId="18E5493C" w14:textId="77777777" w:rsidR="005F4B44" w:rsidRPr="005A22C2" w:rsidRDefault="005F4B44" w:rsidP="005F4B44">
            <w:pPr>
              <w:spacing w:before="40" w:after="40"/>
              <w:jc w:val="both"/>
              <w:rPr>
                <w:rFonts w:eastAsia="新細明體" w:cs="Segoe UI"/>
                <w:b/>
                <w:sz w:val="17"/>
                <w:lang w:eastAsia="en-GB"/>
              </w:rPr>
            </w:pPr>
            <w:r w:rsidRPr="005A22C2">
              <w:rPr>
                <w:rFonts w:eastAsia="新細明體" w:cs="Segoe UI"/>
                <w:b/>
                <w:sz w:val="17"/>
                <w:lang w:eastAsia="zh-HK"/>
              </w:rPr>
              <w:t>欄</w:t>
            </w:r>
          </w:p>
        </w:tc>
      </w:tr>
      <w:tr w:rsidR="005A22C2" w:rsidRPr="005A22C2" w14:paraId="4733A05A" w14:textId="77777777" w:rsidTr="001C4B28">
        <w:tc>
          <w:tcPr>
            <w:tcW w:w="709" w:type="dxa"/>
            <w:tcBorders>
              <w:top w:val="single" w:sz="4" w:space="0" w:color="auto"/>
              <w:left w:val="single" w:sz="4" w:space="0" w:color="auto"/>
              <w:bottom w:val="single" w:sz="4" w:space="0" w:color="auto"/>
              <w:right w:val="single" w:sz="4" w:space="0" w:color="auto"/>
            </w:tcBorders>
            <w:shd w:val="clear" w:color="auto" w:fill="FFFFFF"/>
          </w:tcPr>
          <w:p w14:paraId="763AD54D" w14:textId="7370A4F6" w:rsidR="005F4B44" w:rsidRPr="005A22C2" w:rsidRDefault="00E61F83" w:rsidP="005F4B44">
            <w:pPr>
              <w:spacing w:before="40" w:after="40"/>
              <w:jc w:val="both"/>
              <w:rPr>
                <w:rFonts w:eastAsia="新細明體" w:cs="Segoe UI"/>
                <w:sz w:val="17"/>
                <w:szCs w:val="17"/>
                <w:lang w:eastAsia="en-GB"/>
              </w:rPr>
            </w:pPr>
            <w:r w:rsidRPr="005A22C2">
              <w:rPr>
                <w:rFonts w:eastAsia="新細明體" w:cs="Segoe UI"/>
                <w:sz w:val="17"/>
                <w:szCs w:val="17"/>
                <w:lang w:eastAsia="en-GB"/>
              </w:rPr>
              <w:t>(</w:t>
            </w:r>
            <w:r w:rsidR="005F4B44" w:rsidRPr="005A22C2">
              <w:rPr>
                <w:rFonts w:eastAsia="新細明體" w:cs="Segoe UI"/>
                <w:sz w:val="17"/>
                <w:szCs w:val="17"/>
                <w:lang w:eastAsia="en-GB"/>
              </w:rPr>
              <w:t>a</w:t>
            </w:r>
            <w:r w:rsidRPr="005A22C2">
              <w:rPr>
                <w:rFonts w:eastAsia="新細明體" w:cs="Segoe UI"/>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vAlign w:val="center"/>
          </w:tcPr>
          <w:p w14:paraId="4A15F3B7" w14:textId="2DE1A163" w:rsidR="005F4B44" w:rsidRPr="005A22C2" w:rsidRDefault="005F4B44" w:rsidP="00746E0A">
            <w:pPr>
              <w:pStyle w:val="Default"/>
              <w:rPr>
                <w:color w:val="auto"/>
                <w:sz w:val="17"/>
                <w:szCs w:val="17"/>
              </w:rPr>
            </w:pPr>
            <w:r w:rsidRPr="005A22C2">
              <w:rPr>
                <w:i/>
                <w:color w:val="auto"/>
                <w:sz w:val="17"/>
                <w:szCs w:val="17"/>
                <w:lang w:eastAsia="zh-HK"/>
              </w:rPr>
              <w:t>最近</w:t>
            </w:r>
            <w:r w:rsidRPr="005A22C2">
              <w:rPr>
                <w:color w:val="auto"/>
                <w:sz w:val="17"/>
                <w:szCs w:val="17"/>
              </w:rPr>
              <w:t>：</w:t>
            </w:r>
            <w:r w:rsidRPr="005A22C2">
              <w:rPr>
                <w:rFonts w:hint="eastAsia"/>
                <w:color w:val="auto"/>
                <w:sz w:val="17"/>
                <w:szCs w:val="17"/>
                <w:lang w:eastAsia="zh-HK"/>
              </w:rPr>
              <w:t>對第</w:t>
            </w:r>
            <w:r w:rsidRPr="005A22C2">
              <w:rPr>
                <w:color w:val="auto"/>
                <w:sz w:val="17"/>
                <w:szCs w:val="17"/>
              </w:rPr>
              <w:t>1</w:t>
            </w:r>
            <w:r w:rsidRPr="005A22C2">
              <w:rPr>
                <w:color w:val="auto"/>
                <w:sz w:val="17"/>
                <w:szCs w:val="17"/>
                <w:lang w:eastAsia="zh-HK"/>
              </w:rPr>
              <w:t>至</w:t>
            </w:r>
            <w:r w:rsidRPr="005A22C2">
              <w:rPr>
                <w:color w:val="auto"/>
                <w:sz w:val="17"/>
                <w:szCs w:val="17"/>
              </w:rPr>
              <w:t>10</w:t>
            </w:r>
            <w:r w:rsidRPr="005A22C2">
              <w:rPr>
                <w:rFonts w:hint="eastAsia"/>
                <w:color w:val="auto"/>
                <w:sz w:val="17"/>
                <w:szCs w:val="17"/>
                <w:lang w:eastAsia="zh-HK"/>
              </w:rPr>
              <w:t>行的</w:t>
            </w:r>
            <w:r w:rsidRPr="005A22C2">
              <w:rPr>
                <w:color w:val="auto"/>
                <w:sz w:val="17"/>
                <w:szCs w:val="17"/>
                <w:lang w:eastAsia="zh-HK"/>
              </w:rPr>
              <w:t>每行</w:t>
            </w:r>
            <w:r w:rsidRPr="005A22C2">
              <w:rPr>
                <w:rFonts w:hint="eastAsia"/>
                <w:color w:val="auto"/>
                <w:sz w:val="17"/>
                <w:szCs w:val="17"/>
                <w:lang w:eastAsia="zh-HK"/>
              </w:rPr>
              <w:t>而言</w:t>
            </w:r>
            <w:r w:rsidRPr="005A22C2">
              <w:rPr>
                <w:color w:val="auto"/>
                <w:sz w:val="17"/>
                <w:szCs w:val="17"/>
              </w:rPr>
              <w:t>，</w:t>
            </w:r>
            <w:r w:rsidRPr="005A22C2">
              <w:rPr>
                <w:color w:val="auto"/>
                <w:sz w:val="17"/>
                <w:szCs w:val="17"/>
                <w:lang w:eastAsia="zh-HK"/>
              </w:rPr>
              <w:t>本欄的值是指截至報告期末的持倉</w:t>
            </w:r>
            <w:r w:rsidRPr="005A22C2">
              <w:rPr>
                <w:color w:val="auto"/>
                <w:sz w:val="17"/>
                <w:szCs w:val="17"/>
              </w:rPr>
              <w:t>。</w:t>
            </w:r>
          </w:p>
        </w:tc>
      </w:tr>
      <w:tr w:rsidR="005A22C2" w:rsidRPr="005A22C2" w14:paraId="18E4A1B5" w14:textId="77777777" w:rsidTr="005F4B44">
        <w:tc>
          <w:tcPr>
            <w:tcW w:w="709" w:type="dxa"/>
            <w:tcBorders>
              <w:top w:val="single" w:sz="4" w:space="0" w:color="auto"/>
              <w:left w:val="single" w:sz="4" w:space="0" w:color="auto"/>
              <w:bottom w:val="single" w:sz="4" w:space="0" w:color="auto"/>
              <w:right w:val="single" w:sz="4" w:space="0" w:color="auto"/>
            </w:tcBorders>
            <w:shd w:val="clear" w:color="auto" w:fill="FFFFFF"/>
          </w:tcPr>
          <w:p w14:paraId="229B739D" w14:textId="29BEED41" w:rsidR="005F4B44" w:rsidRPr="005A22C2" w:rsidRDefault="00E61F83" w:rsidP="005F4B44">
            <w:pPr>
              <w:spacing w:before="40" w:after="40"/>
              <w:jc w:val="both"/>
              <w:rPr>
                <w:rFonts w:eastAsia="新細明體" w:cs="Segoe UI"/>
                <w:sz w:val="17"/>
                <w:szCs w:val="17"/>
                <w:lang w:eastAsia="en-GB"/>
              </w:rPr>
            </w:pPr>
            <w:r w:rsidRPr="005A22C2">
              <w:rPr>
                <w:rFonts w:eastAsia="新細明體" w:cs="Segoe UI"/>
                <w:sz w:val="17"/>
                <w:szCs w:val="17"/>
                <w:lang w:eastAsia="en-GB"/>
              </w:rPr>
              <w:t>(</w:t>
            </w:r>
            <w:r w:rsidR="005F4B44" w:rsidRPr="005A22C2">
              <w:rPr>
                <w:rFonts w:eastAsia="新細明體" w:cs="Segoe UI"/>
                <w:sz w:val="17"/>
                <w:szCs w:val="17"/>
                <w:lang w:eastAsia="en-GB"/>
              </w:rPr>
              <w:t>b</w:t>
            </w:r>
            <w:r w:rsidRPr="005A22C2">
              <w:rPr>
                <w:rFonts w:eastAsia="新細明體" w:cs="Segoe UI"/>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14:paraId="40AF1C7C" w14:textId="28F77518" w:rsidR="005F4B44" w:rsidRPr="005A22C2" w:rsidRDefault="005F4B44" w:rsidP="005F4B44">
            <w:pPr>
              <w:pStyle w:val="Default"/>
              <w:jc w:val="both"/>
              <w:rPr>
                <w:color w:val="auto"/>
                <w:sz w:val="17"/>
                <w:szCs w:val="17"/>
                <w:lang w:val="en-GB"/>
              </w:rPr>
            </w:pPr>
            <w:r w:rsidRPr="005A22C2">
              <w:rPr>
                <w:i/>
                <w:color w:val="auto"/>
                <w:sz w:val="17"/>
                <w:szCs w:val="17"/>
                <w:lang w:eastAsia="zh-HK"/>
              </w:rPr>
              <w:t>平均</w:t>
            </w:r>
            <w:r w:rsidRPr="005A22C2">
              <w:rPr>
                <w:color w:val="auto"/>
                <w:sz w:val="17"/>
                <w:szCs w:val="17"/>
              </w:rPr>
              <w:t>：</w:t>
            </w:r>
            <w:r w:rsidRPr="005A22C2">
              <w:rPr>
                <w:rFonts w:hint="eastAsia"/>
                <w:color w:val="auto"/>
                <w:sz w:val="17"/>
                <w:szCs w:val="17"/>
                <w:lang w:eastAsia="zh-HK"/>
              </w:rPr>
              <w:t>對第</w:t>
            </w:r>
            <w:r w:rsidRPr="005A22C2">
              <w:rPr>
                <w:color w:val="auto"/>
                <w:sz w:val="17"/>
                <w:szCs w:val="17"/>
              </w:rPr>
              <w:t>1</w:t>
            </w:r>
            <w:r w:rsidRPr="005A22C2">
              <w:rPr>
                <w:color w:val="auto"/>
                <w:sz w:val="17"/>
                <w:szCs w:val="17"/>
                <w:lang w:eastAsia="zh-HK"/>
              </w:rPr>
              <w:t>至</w:t>
            </w:r>
            <w:r w:rsidRPr="005A22C2">
              <w:rPr>
                <w:color w:val="auto"/>
                <w:sz w:val="17"/>
                <w:szCs w:val="17"/>
              </w:rPr>
              <w:t>9</w:t>
            </w:r>
            <w:r w:rsidRPr="005A22C2">
              <w:rPr>
                <w:rFonts w:hint="eastAsia"/>
                <w:color w:val="auto"/>
                <w:sz w:val="17"/>
                <w:szCs w:val="17"/>
                <w:lang w:eastAsia="zh-HK"/>
              </w:rPr>
              <w:t>行</w:t>
            </w:r>
            <w:r w:rsidRPr="005A22C2">
              <w:rPr>
                <w:color w:val="auto"/>
                <w:sz w:val="17"/>
                <w:szCs w:val="17"/>
                <w:lang w:eastAsia="zh-HK"/>
              </w:rPr>
              <w:t>的每行</w:t>
            </w:r>
            <w:r w:rsidRPr="005A22C2">
              <w:rPr>
                <w:rFonts w:hint="eastAsia"/>
                <w:color w:val="auto"/>
                <w:sz w:val="17"/>
                <w:szCs w:val="17"/>
                <w:lang w:eastAsia="zh-HK"/>
              </w:rPr>
              <w:t>而言</w:t>
            </w:r>
            <w:r w:rsidRPr="005A22C2">
              <w:rPr>
                <w:color w:val="auto"/>
                <w:sz w:val="17"/>
                <w:szCs w:val="17"/>
              </w:rPr>
              <w:t>，</w:t>
            </w:r>
            <w:r w:rsidRPr="005A22C2">
              <w:rPr>
                <w:color w:val="auto"/>
                <w:sz w:val="17"/>
                <w:szCs w:val="17"/>
                <w:lang w:eastAsia="zh-HK"/>
              </w:rPr>
              <w:t>本欄的值是指對上</w:t>
            </w:r>
            <w:r w:rsidRPr="005A22C2">
              <w:rPr>
                <w:color w:val="auto"/>
                <w:sz w:val="17"/>
                <w:szCs w:val="17"/>
              </w:rPr>
              <w:t>60</w:t>
            </w:r>
            <w:r w:rsidRPr="005A22C2">
              <w:rPr>
                <w:color w:val="auto"/>
                <w:sz w:val="17"/>
                <w:szCs w:val="17"/>
                <w:lang w:eastAsia="zh-HK"/>
              </w:rPr>
              <w:t>個交易日的平均</w:t>
            </w:r>
            <w:r w:rsidRPr="005A22C2">
              <w:rPr>
                <w:rFonts w:hint="eastAsia"/>
                <w:color w:val="auto"/>
                <w:sz w:val="17"/>
                <w:szCs w:val="17"/>
                <w:lang w:eastAsia="zh-HK"/>
              </w:rPr>
              <w:t>計</w:t>
            </w:r>
            <w:r w:rsidRPr="005A22C2">
              <w:rPr>
                <w:color w:val="auto"/>
                <w:sz w:val="17"/>
                <w:szCs w:val="17"/>
                <w:lang w:eastAsia="zh-HK"/>
              </w:rPr>
              <w:t>數字</w:t>
            </w:r>
            <w:r w:rsidRPr="005A22C2">
              <w:rPr>
                <w:color w:val="auto"/>
                <w:sz w:val="17"/>
                <w:szCs w:val="17"/>
              </w:rPr>
              <w:t>。</w:t>
            </w:r>
            <w:r w:rsidRPr="005A22C2">
              <w:rPr>
                <w:rFonts w:hint="eastAsia"/>
                <w:color w:val="auto"/>
                <w:sz w:val="17"/>
                <w:szCs w:val="17"/>
                <w:lang w:eastAsia="zh-HK"/>
              </w:rPr>
              <w:t>對</w:t>
            </w:r>
            <w:r w:rsidRPr="005A22C2">
              <w:rPr>
                <w:color w:val="auto"/>
                <w:sz w:val="17"/>
                <w:szCs w:val="17"/>
                <w:lang w:eastAsia="zh-HK"/>
              </w:rPr>
              <w:t>第</w:t>
            </w:r>
            <w:r w:rsidRPr="005A22C2">
              <w:rPr>
                <w:color w:val="auto"/>
                <w:sz w:val="17"/>
                <w:szCs w:val="17"/>
              </w:rPr>
              <w:t>10</w:t>
            </w:r>
            <w:r w:rsidRPr="005A22C2">
              <w:rPr>
                <w:color w:val="auto"/>
                <w:sz w:val="17"/>
                <w:szCs w:val="17"/>
                <w:lang w:eastAsia="zh-HK"/>
              </w:rPr>
              <w:t>行</w:t>
            </w:r>
            <w:r w:rsidRPr="005A22C2">
              <w:rPr>
                <w:rFonts w:hint="eastAsia"/>
                <w:color w:val="auto"/>
                <w:sz w:val="17"/>
                <w:szCs w:val="17"/>
                <w:lang w:eastAsia="zh-HK"/>
              </w:rPr>
              <w:t>而言</w:t>
            </w:r>
            <w:r w:rsidRPr="005A22C2">
              <w:rPr>
                <w:color w:val="auto"/>
                <w:sz w:val="17"/>
                <w:szCs w:val="17"/>
              </w:rPr>
              <w:t>，</w:t>
            </w:r>
            <w:r w:rsidRPr="005A22C2">
              <w:rPr>
                <w:color w:val="auto"/>
                <w:sz w:val="17"/>
                <w:szCs w:val="17"/>
                <w:lang w:eastAsia="zh-HK"/>
              </w:rPr>
              <w:t>本欄的值是指過去</w:t>
            </w:r>
            <w:r w:rsidRPr="005A22C2">
              <w:rPr>
                <w:color w:val="auto"/>
                <w:sz w:val="17"/>
                <w:szCs w:val="17"/>
              </w:rPr>
              <w:t>12</w:t>
            </w:r>
            <w:r w:rsidRPr="005A22C2">
              <w:rPr>
                <w:color w:val="auto"/>
                <w:sz w:val="17"/>
                <w:szCs w:val="17"/>
                <w:lang w:eastAsia="zh-HK"/>
              </w:rPr>
              <w:t>個星期的平均計數字</w:t>
            </w:r>
            <w:r w:rsidRPr="005A22C2">
              <w:rPr>
                <w:color w:val="auto"/>
                <w:sz w:val="17"/>
                <w:szCs w:val="17"/>
              </w:rPr>
              <w:t>。</w:t>
            </w:r>
          </w:p>
        </w:tc>
      </w:tr>
      <w:tr w:rsidR="005A22C2" w:rsidRPr="005A22C2" w14:paraId="64DF1C7C" w14:textId="77777777" w:rsidTr="00C65694">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61C5C5F" w14:textId="364298E9" w:rsidR="005F4B44" w:rsidRPr="005A22C2" w:rsidRDefault="00E61F83" w:rsidP="00C65694">
            <w:pPr>
              <w:spacing w:before="40" w:after="40"/>
              <w:rPr>
                <w:rFonts w:eastAsia="新細明體" w:cs="Segoe UI"/>
                <w:sz w:val="17"/>
                <w:szCs w:val="17"/>
                <w:lang w:eastAsia="en-GB"/>
              </w:rPr>
            </w:pPr>
            <w:r w:rsidRPr="005A22C2">
              <w:rPr>
                <w:rFonts w:eastAsia="新細明體" w:cs="Segoe UI"/>
                <w:sz w:val="17"/>
                <w:szCs w:val="17"/>
                <w:lang w:eastAsia="en-GB"/>
              </w:rPr>
              <w:t>(</w:t>
            </w:r>
            <w:r w:rsidR="005F4B44" w:rsidRPr="005A22C2">
              <w:rPr>
                <w:rFonts w:eastAsia="新細明體" w:cs="Segoe UI"/>
                <w:sz w:val="17"/>
                <w:szCs w:val="17"/>
                <w:lang w:eastAsia="en-GB"/>
              </w:rPr>
              <w:t>c</w:t>
            </w:r>
            <w:r w:rsidRPr="005A22C2">
              <w:rPr>
                <w:rFonts w:eastAsia="新細明體" w:cs="Segoe UI"/>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vAlign w:val="center"/>
          </w:tcPr>
          <w:p w14:paraId="59106427" w14:textId="02369133" w:rsidR="005F4B44" w:rsidRPr="005A22C2" w:rsidRDefault="005F4B44" w:rsidP="00C65694">
            <w:pPr>
              <w:pStyle w:val="Default"/>
              <w:rPr>
                <w:i/>
                <w:color w:val="auto"/>
                <w:sz w:val="17"/>
                <w:szCs w:val="17"/>
              </w:rPr>
            </w:pPr>
            <w:r w:rsidRPr="005A22C2">
              <w:rPr>
                <w:i/>
                <w:color w:val="auto"/>
                <w:sz w:val="17"/>
                <w:szCs w:val="17"/>
                <w:lang w:eastAsia="zh-HK"/>
              </w:rPr>
              <w:t>最高</w:t>
            </w:r>
            <w:r w:rsidRPr="005A22C2">
              <w:rPr>
                <w:color w:val="auto"/>
                <w:sz w:val="17"/>
                <w:szCs w:val="17"/>
              </w:rPr>
              <w:t>：</w:t>
            </w:r>
            <w:r w:rsidRPr="005A22C2">
              <w:rPr>
                <w:rFonts w:hint="eastAsia"/>
                <w:color w:val="auto"/>
                <w:sz w:val="17"/>
                <w:szCs w:val="17"/>
                <w:lang w:eastAsia="zh-HK"/>
              </w:rPr>
              <w:t>對第</w:t>
            </w:r>
            <w:r w:rsidRPr="005A22C2">
              <w:rPr>
                <w:color w:val="auto"/>
                <w:sz w:val="17"/>
                <w:szCs w:val="17"/>
              </w:rPr>
              <w:t>1</w:t>
            </w:r>
            <w:r w:rsidRPr="005A22C2">
              <w:rPr>
                <w:color w:val="auto"/>
                <w:sz w:val="17"/>
                <w:szCs w:val="17"/>
                <w:lang w:eastAsia="zh-HK"/>
              </w:rPr>
              <w:t>至</w:t>
            </w:r>
            <w:r w:rsidRPr="005A22C2">
              <w:rPr>
                <w:color w:val="auto"/>
                <w:sz w:val="17"/>
                <w:szCs w:val="17"/>
              </w:rPr>
              <w:t>6</w:t>
            </w:r>
            <w:r w:rsidRPr="005A22C2">
              <w:rPr>
                <w:rFonts w:hint="eastAsia"/>
                <w:color w:val="auto"/>
                <w:sz w:val="17"/>
                <w:szCs w:val="17"/>
                <w:lang w:eastAsia="zh-HK"/>
              </w:rPr>
              <w:t>行而言</w:t>
            </w:r>
            <w:r w:rsidRPr="005A22C2">
              <w:rPr>
                <w:color w:val="auto"/>
                <w:sz w:val="17"/>
                <w:szCs w:val="17"/>
              </w:rPr>
              <w:t>，</w:t>
            </w:r>
            <w:r w:rsidRPr="005A22C2">
              <w:rPr>
                <w:color w:val="auto"/>
                <w:sz w:val="17"/>
                <w:szCs w:val="17"/>
                <w:lang w:eastAsia="zh-HK"/>
              </w:rPr>
              <w:t>認可機構應填報對上</w:t>
            </w:r>
            <w:r w:rsidRPr="005A22C2">
              <w:rPr>
                <w:color w:val="auto"/>
                <w:sz w:val="17"/>
                <w:szCs w:val="17"/>
              </w:rPr>
              <w:t>60</w:t>
            </w:r>
            <w:r w:rsidRPr="005A22C2">
              <w:rPr>
                <w:color w:val="auto"/>
                <w:sz w:val="17"/>
                <w:szCs w:val="17"/>
                <w:lang w:eastAsia="zh-HK"/>
              </w:rPr>
              <w:t>個交易日</w:t>
            </w:r>
            <w:r w:rsidRPr="005A22C2">
              <w:rPr>
                <w:rFonts w:hint="eastAsia"/>
                <w:color w:val="auto"/>
                <w:sz w:val="17"/>
                <w:szCs w:val="17"/>
                <w:lang w:eastAsia="zh-HK"/>
              </w:rPr>
              <w:t>中</w:t>
            </w:r>
            <w:r w:rsidRPr="005A22C2">
              <w:rPr>
                <w:color w:val="auto"/>
                <w:sz w:val="17"/>
                <w:szCs w:val="17"/>
                <w:lang w:eastAsia="zh-HK"/>
              </w:rPr>
              <w:t>的最高值</w:t>
            </w:r>
            <w:r w:rsidRPr="005A22C2">
              <w:rPr>
                <w:color w:val="auto"/>
                <w:sz w:val="17"/>
                <w:szCs w:val="17"/>
              </w:rPr>
              <w:t>。</w:t>
            </w:r>
          </w:p>
        </w:tc>
      </w:tr>
      <w:tr w:rsidR="005A22C2" w:rsidRPr="005A22C2" w14:paraId="744DE677" w14:textId="77777777" w:rsidTr="00C65694">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54A599" w14:textId="473265ED" w:rsidR="005F4B44" w:rsidRPr="005A22C2" w:rsidRDefault="00E61F83" w:rsidP="00C65694">
            <w:pPr>
              <w:spacing w:before="40" w:after="40"/>
              <w:rPr>
                <w:rFonts w:eastAsia="新細明體" w:cs="Segoe UI"/>
                <w:sz w:val="17"/>
                <w:szCs w:val="17"/>
                <w:lang w:eastAsia="en-GB"/>
              </w:rPr>
            </w:pPr>
            <w:r w:rsidRPr="005A22C2">
              <w:rPr>
                <w:rFonts w:eastAsia="新細明體" w:cs="Segoe UI"/>
                <w:sz w:val="17"/>
                <w:szCs w:val="17"/>
                <w:lang w:eastAsia="en-GB"/>
              </w:rPr>
              <w:t>(</w:t>
            </w:r>
            <w:r w:rsidR="005F4B44" w:rsidRPr="005A22C2">
              <w:rPr>
                <w:rFonts w:eastAsia="新細明體" w:cs="Segoe UI"/>
                <w:sz w:val="17"/>
                <w:szCs w:val="17"/>
                <w:lang w:eastAsia="en-GB"/>
              </w:rPr>
              <w:t>d</w:t>
            </w:r>
            <w:r w:rsidRPr="005A22C2">
              <w:rPr>
                <w:rFonts w:eastAsia="新細明體" w:cs="Segoe UI"/>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vAlign w:val="center"/>
          </w:tcPr>
          <w:p w14:paraId="7061D5A4" w14:textId="7C51936C" w:rsidR="005F4B44" w:rsidRPr="005A22C2" w:rsidRDefault="005F4B44" w:rsidP="00C65694">
            <w:pPr>
              <w:pStyle w:val="Default"/>
              <w:rPr>
                <w:color w:val="auto"/>
                <w:sz w:val="17"/>
                <w:szCs w:val="17"/>
              </w:rPr>
            </w:pPr>
            <w:r w:rsidRPr="005A22C2">
              <w:rPr>
                <w:i/>
                <w:color w:val="auto"/>
                <w:sz w:val="17"/>
                <w:szCs w:val="17"/>
                <w:lang w:val="en-GB" w:eastAsia="zh-HK"/>
              </w:rPr>
              <w:t>最低</w:t>
            </w:r>
            <w:r w:rsidRPr="005A22C2">
              <w:rPr>
                <w:color w:val="auto"/>
                <w:sz w:val="17"/>
                <w:szCs w:val="17"/>
              </w:rPr>
              <w:t>：</w:t>
            </w:r>
            <w:r w:rsidRPr="005A22C2">
              <w:rPr>
                <w:rFonts w:hint="eastAsia"/>
                <w:color w:val="auto"/>
                <w:sz w:val="17"/>
                <w:szCs w:val="17"/>
                <w:lang w:eastAsia="zh-HK"/>
              </w:rPr>
              <w:t>對第</w:t>
            </w:r>
            <w:r w:rsidRPr="005A22C2">
              <w:rPr>
                <w:color w:val="auto"/>
                <w:sz w:val="17"/>
                <w:szCs w:val="17"/>
              </w:rPr>
              <w:t>1</w:t>
            </w:r>
            <w:r w:rsidRPr="005A22C2">
              <w:rPr>
                <w:color w:val="auto"/>
                <w:sz w:val="17"/>
                <w:szCs w:val="17"/>
                <w:lang w:eastAsia="zh-HK"/>
              </w:rPr>
              <w:t>至</w:t>
            </w:r>
            <w:r w:rsidRPr="005A22C2">
              <w:rPr>
                <w:color w:val="auto"/>
                <w:sz w:val="17"/>
                <w:szCs w:val="17"/>
              </w:rPr>
              <w:t>6</w:t>
            </w:r>
            <w:r w:rsidRPr="005A22C2">
              <w:rPr>
                <w:rFonts w:hint="eastAsia"/>
                <w:color w:val="auto"/>
                <w:sz w:val="17"/>
                <w:szCs w:val="17"/>
                <w:lang w:eastAsia="zh-HK"/>
              </w:rPr>
              <w:t>行而言</w:t>
            </w:r>
            <w:r w:rsidRPr="005A22C2">
              <w:rPr>
                <w:color w:val="auto"/>
                <w:sz w:val="17"/>
                <w:szCs w:val="17"/>
              </w:rPr>
              <w:t>，</w:t>
            </w:r>
            <w:r w:rsidRPr="005A22C2">
              <w:rPr>
                <w:color w:val="auto"/>
                <w:sz w:val="17"/>
                <w:szCs w:val="17"/>
                <w:lang w:eastAsia="zh-HK"/>
              </w:rPr>
              <w:t>認可機構應填報對上</w:t>
            </w:r>
            <w:r w:rsidRPr="005A22C2">
              <w:rPr>
                <w:color w:val="auto"/>
                <w:sz w:val="17"/>
                <w:szCs w:val="17"/>
              </w:rPr>
              <w:t>60</w:t>
            </w:r>
            <w:r w:rsidRPr="005A22C2">
              <w:rPr>
                <w:color w:val="auto"/>
                <w:sz w:val="17"/>
                <w:szCs w:val="17"/>
                <w:lang w:eastAsia="zh-HK"/>
              </w:rPr>
              <w:t>個交易日</w:t>
            </w:r>
            <w:r w:rsidRPr="005A22C2">
              <w:rPr>
                <w:rFonts w:hint="eastAsia"/>
                <w:color w:val="auto"/>
                <w:sz w:val="17"/>
                <w:szCs w:val="17"/>
                <w:lang w:eastAsia="zh-HK"/>
              </w:rPr>
              <w:t>中</w:t>
            </w:r>
            <w:r w:rsidRPr="005A22C2">
              <w:rPr>
                <w:color w:val="auto"/>
                <w:sz w:val="17"/>
                <w:szCs w:val="17"/>
                <w:lang w:eastAsia="zh-HK"/>
              </w:rPr>
              <w:t>的最低值</w:t>
            </w:r>
            <w:r w:rsidRPr="005A22C2">
              <w:rPr>
                <w:color w:val="auto"/>
                <w:sz w:val="17"/>
                <w:szCs w:val="17"/>
              </w:rPr>
              <w:t>。</w:t>
            </w:r>
          </w:p>
        </w:tc>
      </w:tr>
      <w:tr w:rsidR="005A22C2" w:rsidRPr="005A22C2" w14:paraId="2DDA4CBA" w14:textId="77777777" w:rsidTr="005F4B44">
        <w:tc>
          <w:tcPr>
            <w:tcW w:w="709" w:type="dxa"/>
            <w:tcBorders>
              <w:top w:val="single" w:sz="4" w:space="0" w:color="auto"/>
              <w:left w:val="single" w:sz="4" w:space="0" w:color="auto"/>
              <w:bottom w:val="single" w:sz="4" w:space="0" w:color="auto"/>
              <w:right w:val="single" w:sz="4" w:space="0" w:color="auto"/>
            </w:tcBorders>
            <w:shd w:val="clear" w:color="auto" w:fill="FFFFFF"/>
          </w:tcPr>
          <w:p w14:paraId="6B8F6707" w14:textId="60919DC7" w:rsidR="005F4B44" w:rsidRPr="005A22C2" w:rsidRDefault="00E61F83" w:rsidP="005F4B44">
            <w:pPr>
              <w:spacing w:before="40" w:after="40"/>
              <w:jc w:val="both"/>
              <w:rPr>
                <w:rFonts w:eastAsia="新細明體" w:cs="Segoe UI"/>
                <w:sz w:val="17"/>
                <w:szCs w:val="17"/>
                <w:lang w:eastAsia="en-GB"/>
              </w:rPr>
            </w:pPr>
            <w:r w:rsidRPr="005A22C2">
              <w:rPr>
                <w:rFonts w:eastAsia="新細明體" w:cs="Segoe UI"/>
                <w:sz w:val="17"/>
                <w:szCs w:val="17"/>
                <w:lang w:eastAsia="en-GB"/>
              </w:rPr>
              <w:t>(</w:t>
            </w:r>
            <w:r w:rsidR="005F4B44" w:rsidRPr="005A22C2">
              <w:rPr>
                <w:rFonts w:eastAsia="新細明體" w:cs="Segoe UI"/>
                <w:sz w:val="17"/>
                <w:szCs w:val="17"/>
                <w:lang w:eastAsia="en-GB"/>
              </w:rPr>
              <w:t>f</w:t>
            </w:r>
            <w:r w:rsidRPr="005A22C2">
              <w:rPr>
                <w:rFonts w:eastAsia="新細明體" w:cs="Segoe UI"/>
                <w:sz w:val="17"/>
                <w:szCs w:val="17"/>
                <w:lang w:eastAsia="en-GB"/>
              </w:rPr>
              <w:t>)</w:t>
            </w:r>
            <w:r w:rsidR="00CE3E9B" w:rsidRPr="005A22C2">
              <w:rPr>
                <w:rFonts w:ascii="Calibri" w:eastAsia="細明體" w:hAnsi="Calibri" w:cs="Segoe UI" w:hint="eastAsia"/>
                <w:kern w:val="2"/>
                <w:sz w:val="17"/>
                <w:szCs w:val="17"/>
                <w:lang w:eastAsia="zh-HK"/>
              </w:rPr>
              <w:t>及</w:t>
            </w:r>
            <w:r w:rsidRPr="005A22C2">
              <w:rPr>
                <w:rFonts w:eastAsia="新細明體" w:cs="Segoe UI"/>
                <w:sz w:val="17"/>
                <w:szCs w:val="17"/>
                <w:lang w:eastAsia="en-GB"/>
              </w:rPr>
              <w:t>(</w:t>
            </w:r>
            <w:r w:rsidR="005F4B44" w:rsidRPr="005A22C2">
              <w:rPr>
                <w:rFonts w:eastAsia="新細明體" w:cs="Segoe UI"/>
                <w:sz w:val="17"/>
                <w:szCs w:val="17"/>
                <w:lang w:eastAsia="en-GB"/>
              </w:rPr>
              <w:t>g</w:t>
            </w:r>
            <w:r w:rsidRPr="005A22C2">
              <w:rPr>
                <w:rFonts w:eastAsia="新細明體" w:cs="Segoe UI"/>
                <w:sz w:val="17"/>
                <w:szCs w:val="17"/>
                <w:lang w:eastAsia="en-GB"/>
              </w:rPr>
              <w:t>)</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14:paraId="777064DC" w14:textId="7540F07E" w:rsidR="005F4B44" w:rsidRPr="005A22C2" w:rsidRDefault="005F4B44" w:rsidP="00B0004E">
            <w:pPr>
              <w:pStyle w:val="Default"/>
              <w:jc w:val="both"/>
              <w:rPr>
                <w:rFonts w:eastAsia="DengXian"/>
                <w:i/>
                <w:color w:val="auto"/>
                <w:sz w:val="17"/>
                <w:szCs w:val="17"/>
              </w:rPr>
            </w:pPr>
            <w:r w:rsidRPr="005A22C2">
              <w:rPr>
                <w:color w:val="auto"/>
                <w:sz w:val="17"/>
                <w:szCs w:val="17"/>
                <w:lang w:eastAsia="zh-HK"/>
              </w:rPr>
              <w:t>在上一個報告期</w:t>
            </w:r>
            <w:r w:rsidR="002822D2" w:rsidRPr="005A22C2">
              <w:rPr>
                <w:rFonts w:hint="eastAsia"/>
                <w:color w:val="auto"/>
                <w:kern w:val="2"/>
                <w:sz w:val="17"/>
                <w:szCs w:val="17"/>
              </w:rPr>
              <w:t>（</w:t>
            </w:r>
            <w:r w:rsidRPr="005A22C2">
              <w:rPr>
                <w:color w:val="auto"/>
                <w:sz w:val="17"/>
                <w:szCs w:val="17"/>
                <w:lang w:eastAsia="zh-HK"/>
              </w:rPr>
              <w:t>即上季</w:t>
            </w:r>
            <w:r w:rsidR="00083254" w:rsidRPr="005A22C2">
              <w:rPr>
                <w:rFonts w:hint="eastAsia"/>
                <w:color w:val="auto"/>
                <w:sz w:val="17"/>
                <w:szCs w:val="17"/>
              </w:rPr>
              <w:t>）</w:t>
            </w:r>
            <w:r w:rsidRPr="005A22C2">
              <w:rPr>
                <w:color w:val="auto"/>
                <w:sz w:val="17"/>
                <w:szCs w:val="17"/>
                <w:lang w:eastAsia="zh-HK"/>
              </w:rPr>
              <w:t>每行</w:t>
            </w:r>
            <w:r w:rsidR="00B0004E" w:rsidRPr="005A22C2">
              <w:rPr>
                <w:color w:val="auto"/>
                <w:sz w:val="17"/>
                <w:szCs w:val="17"/>
                <w:lang w:eastAsia="zh-HK"/>
              </w:rPr>
              <w:t>填報的</w:t>
            </w:r>
            <w:r w:rsidRPr="005A22C2">
              <w:rPr>
                <w:color w:val="auto"/>
                <w:sz w:val="17"/>
                <w:szCs w:val="17"/>
                <w:lang w:eastAsia="zh-HK"/>
              </w:rPr>
              <w:t>的相應值</w:t>
            </w:r>
            <w:r w:rsidRPr="005A22C2">
              <w:rPr>
                <w:color w:val="auto"/>
                <w:sz w:val="17"/>
                <w:szCs w:val="17"/>
              </w:rPr>
              <w:t>。</w:t>
            </w:r>
          </w:p>
        </w:tc>
      </w:tr>
      <w:tr w:rsidR="005A22C2" w:rsidRPr="005A22C2" w14:paraId="5E8420FE" w14:textId="77777777" w:rsidTr="005F4B44">
        <w:tc>
          <w:tcPr>
            <w:tcW w:w="950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ABE3857" w14:textId="1C84EEE5" w:rsidR="005F4B44" w:rsidRPr="005A22C2" w:rsidRDefault="005F4B44" w:rsidP="005F4B44">
            <w:pPr>
              <w:spacing w:before="40" w:after="40"/>
              <w:jc w:val="both"/>
              <w:rPr>
                <w:rFonts w:eastAsia="DengXian" w:cs="Segoe UI"/>
                <w:b/>
                <w:sz w:val="17"/>
                <w:lang w:eastAsia="zh-TW"/>
              </w:rPr>
            </w:pPr>
            <w:r w:rsidRPr="005A22C2">
              <w:rPr>
                <w:rFonts w:eastAsia="新細明體" w:cs="Segoe UI"/>
                <w:b/>
                <w:sz w:val="17"/>
                <w:lang w:eastAsia="zh-HK"/>
              </w:rPr>
              <w:t>行</w:t>
            </w:r>
          </w:p>
        </w:tc>
      </w:tr>
      <w:tr w:rsidR="005A22C2" w:rsidRPr="005A22C2" w14:paraId="47EEDD40" w14:textId="77777777" w:rsidTr="00C65694">
        <w:trPr>
          <w:trHeight w:val="377"/>
        </w:trPr>
        <w:tc>
          <w:tcPr>
            <w:tcW w:w="709" w:type="dxa"/>
            <w:tcBorders>
              <w:top w:val="single" w:sz="4" w:space="0" w:color="auto"/>
              <w:left w:val="single" w:sz="4" w:space="0" w:color="auto"/>
              <w:bottom w:val="single" w:sz="4" w:space="0" w:color="auto"/>
              <w:right w:val="single" w:sz="4" w:space="0" w:color="auto"/>
            </w:tcBorders>
            <w:vAlign w:val="center"/>
            <w:hideMark/>
          </w:tcPr>
          <w:p w14:paraId="0DF2A3BE" w14:textId="77777777" w:rsidR="005F4B44" w:rsidRPr="005A22C2" w:rsidRDefault="005F4B44" w:rsidP="00E119A8">
            <w:pPr>
              <w:keepLines/>
              <w:widowControl w:val="0"/>
              <w:tabs>
                <w:tab w:val="left" w:pos="150"/>
                <w:tab w:val="left" w:pos="397"/>
                <w:tab w:val="left" w:pos="794"/>
                <w:tab w:val="left" w:pos="1191"/>
              </w:tabs>
              <w:spacing w:before="20" w:after="20"/>
              <w:rPr>
                <w:rFonts w:eastAsia="新細明體" w:cs="Segoe UI"/>
                <w:sz w:val="17"/>
                <w:szCs w:val="17"/>
                <w:lang w:eastAsia="zh-TW"/>
              </w:rPr>
            </w:pPr>
            <w:r w:rsidRPr="005A22C2">
              <w:rPr>
                <w:rFonts w:eastAsia="新細明體" w:cs="Segoe UI"/>
                <w:sz w:val="17"/>
                <w:szCs w:val="17"/>
                <w:lang w:eastAsia="zh-TW"/>
              </w:rPr>
              <w:t>1</w:t>
            </w:r>
          </w:p>
        </w:tc>
        <w:tc>
          <w:tcPr>
            <w:tcW w:w="8788" w:type="dxa"/>
            <w:tcBorders>
              <w:top w:val="single" w:sz="4" w:space="0" w:color="auto"/>
              <w:left w:val="single" w:sz="4" w:space="0" w:color="auto"/>
              <w:bottom w:val="single" w:sz="4" w:space="0" w:color="auto"/>
              <w:right w:val="single" w:sz="4" w:space="0" w:color="auto"/>
            </w:tcBorders>
            <w:vAlign w:val="center"/>
            <w:hideMark/>
          </w:tcPr>
          <w:p w14:paraId="30805FFB" w14:textId="32CD8B3A" w:rsidR="005F4B44" w:rsidRPr="005A22C2" w:rsidRDefault="005F4B44" w:rsidP="00C65694">
            <w:pPr>
              <w:pStyle w:val="Default"/>
              <w:rPr>
                <w:color w:val="auto"/>
                <w:sz w:val="17"/>
                <w:szCs w:val="17"/>
              </w:rPr>
            </w:pPr>
            <w:r w:rsidRPr="005A22C2">
              <w:rPr>
                <w:rFonts w:hint="eastAsia"/>
                <w:i/>
                <w:color w:val="auto"/>
                <w:sz w:val="17"/>
                <w:szCs w:val="17"/>
                <w:lang w:eastAsia="zh-HK"/>
              </w:rPr>
              <w:t>無限制預期損失值</w:t>
            </w:r>
            <w:r w:rsidRPr="005A22C2">
              <w:rPr>
                <w:color w:val="auto"/>
                <w:sz w:val="17"/>
                <w:szCs w:val="17"/>
              </w:rPr>
              <w:t>：</w:t>
            </w:r>
            <w:r w:rsidRPr="005A22C2">
              <w:rPr>
                <w:color w:val="auto"/>
                <w:sz w:val="17"/>
                <w:szCs w:val="17"/>
                <w:lang w:eastAsia="zh-HK"/>
              </w:rPr>
              <w:t>按照</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13</w:t>
            </w:r>
            <w:r w:rsidRPr="005A22C2">
              <w:rPr>
                <w:color w:val="auto"/>
                <w:sz w:val="17"/>
                <w:szCs w:val="17"/>
                <w:lang w:eastAsia="zh-HK"/>
              </w:rPr>
              <w:t>分部計算的</w:t>
            </w:r>
            <w:r w:rsidRPr="005A22C2">
              <w:rPr>
                <w:color w:val="auto"/>
                <w:sz w:val="17"/>
                <w:szCs w:val="17"/>
              </w:rPr>
              <w:t>IMCC(C)</w:t>
            </w:r>
            <w:r w:rsidRPr="005A22C2">
              <w:rPr>
                <w:color w:val="auto"/>
                <w:sz w:val="17"/>
                <w:szCs w:val="17"/>
              </w:rPr>
              <w:t>。</w:t>
            </w:r>
          </w:p>
        </w:tc>
      </w:tr>
      <w:tr w:rsidR="005A22C2" w:rsidRPr="005A22C2" w14:paraId="59A67FDB" w14:textId="77777777" w:rsidTr="00C65694">
        <w:tc>
          <w:tcPr>
            <w:tcW w:w="709" w:type="dxa"/>
            <w:tcBorders>
              <w:top w:val="single" w:sz="4" w:space="0" w:color="auto"/>
              <w:left w:val="single" w:sz="4" w:space="0" w:color="auto"/>
              <w:bottom w:val="single" w:sz="4" w:space="0" w:color="auto"/>
              <w:right w:val="single" w:sz="4" w:space="0" w:color="auto"/>
            </w:tcBorders>
            <w:vAlign w:val="center"/>
          </w:tcPr>
          <w:p w14:paraId="31AABB84" w14:textId="53D875C0" w:rsidR="005F4B44" w:rsidRPr="005A22C2" w:rsidRDefault="005F4B44" w:rsidP="00E119A8">
            <w:pPr>
              <w:keepLines/>
              <w:widowControl w:val="0"/>
              <w:tabs>
                <w:tab w:val="left" w:pos="150"/>
                <w:tab w:val="left" w:pos="397"/>
                <w:tab w:val="left" w:pos="794"/>
                <w:tab w:val="left" w:pos="1191"/>
              </w:tabs>
              <w:spacing w:before="20" w:after="20"/>
              <w:rPr>
                <w:rFonts w:eastAsia="新細明體" w:cs="Segoe UI"/>
                <w:sz w:val="17"/>
                <w:szCs w:val="17"/>
                <w:lang w:eastAsia="zh-TW"/>
              </w:rPr>
            </w:pPr>
            <w:r w:rsidRPr="005A22C2">
              <w:rPr>
                <w:rFonts w:eastAsia="新細明體" w:cs="Segoe UI"/>
                <w:sz w:val="17"/>
                <w:szCs w:val="17"/>
                <w:lang w:eastAsia="zh-TW"/>
              </w:rPr>
              <w:t>2</w:t>
            </w:r>
            <w:r w:rsidR="00A20660" w:rsidRPr="005A22C2">
              <w:rPr>
                <w:rFonts w:eastAsia="新細明體" w:cs="Segoe UI" w:hint="eastAsia"/>
                <w:sz w:val="17"/>
                <w:szCs w:val="17"/>
                <w:lang w:eastAsia="zh-HK"/>
              </w:rPr>
              <w:t>至</w:t>
            </w:r>
            <w:r w:rsidRPr="005A22C2">
              <w:rPr>
                <w:rFonts w:eastAsia="新細明體" w:cs="Segoe UI"/>
                <w:sz w:val="17"/>
                <w:szCs w:val="17"/>
                <w:lang w:eastAsia="zh-TW"/>
              </w:rPr>
              <w:t>6</w:t>
            </w:r>
          </w:p>
        </w:tc>
        <w:tc>
          <w:tcPr>
            <w:tcW w:w="8788" w:type="dxa"/>
            <w:tcBorders>
              <w:top w:val="single" w:sz="4" w:space="0" w:color="auto"/>
              <w:left w:val="single" w:sz="4" w:space="0" w:color="auto"/>
              <w:bottom w:val="single" w:sz="4" w:space="0" w:color="auto"/>
              <w:right w:val="single" w:sz="4" w:space="0" w:color="auto"/>
            </w:tcBorders>
            <w:vAlign w:val="center"/>
          </w:tcPr>
          <w:p w14:paraId="7DE87391" w14:textId="77777777" w:rsidR="005F4B44" w:rsidRPr="005A22C2" w:rsidRDefault="005F4B44" w:rsidP="00C65694">
            <w:pPr>
              <w:pStyle w:val="Default"/>
              <w:rPr>
                <w:iCs/>
                <w:color w:val="auto"/>
                <w:sz w:val="17"/>
                <w:szCs w:val="17"/>
              </w:rPr>
            </w:pPr>
            <w:r w:rsidRPr="005A22C2">
              <w:rPr>
                <w:color w:val="auto"/>
                <w:sz w:val="17"/>
                <w:szCs w:val="17"/>
                <w:lang w:eastAsia="zh-HK"/>
              </w:rPr>
              <w:t>按照</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13</w:t>
            </w:r>
            <w:r w:rsidRPr="005A22C2">
              <w:rPr>
                <w:color w:val="auto"/>
                <w:sz w:val="17"/>
                <w:szCs w:val="17"/>
                <w:lang w:eastAsia="zh-HK"/>
              </w:rPr>
              <w:t>分部就每個風險類別計算的</w:t>
            </w:r>
            <w:r w:rsidRPr="005A22C2">
              <w:rPr>
                <w:color w:val="auto"/>
                <w:sz w:val="17"/>
                <w:szCs w:val="17"/>
              </w:rPr>
              <w:t>IMCC(C</w:t>
            </w:r>
            <w:proofErr w:type="spellStart"/>
            <w:r w:rsidRPr="005A22C2">
              <w:rPr>
                <w:color w:val="auto"/>
                <w:position w:val="-6"/>
                <w:sz w:val="17"/>
                <w:szCs w:val="17"/>
                <w:vertAlign w:val="superscript"/>
              </w:rPr>
              <w:t>i</w:t>
            </w:r>
            <w:proofErr w:type="spellEnd"/>
            <w:r w:rsidRPr="005A22C2">
              <w:rPr>
                <w:color w:val="auto"/>
                <w:sz w:val="17"/>
                <w:szCs w:val="17"/>
                <w:lang w:eastAsia="zh-HK"/>
              </w:rPr>
              <w:t>)</w:t>
            </w:r>
            <w:r w:rsidRPr="005A22C2">
              <w:rPr>
                <w:color w:val="auto"/>
                <w:sz w:val="17"/>
                <w:szCs w:val="17"/>
              </w:rPr>
              <w:t>。</w:t>
            </w:r>
          </w:p>
        </w:tc>
      </w:tr>
      <w:tr w:rsidR="005A22C2" w:rsidRPr="005A22C2" w14:paraId="6B4C1785" w14:textId="77777777" w:rsidTr="00C65694">
        <w:tc>
          <w:tcPr>
            <w:tcW w:w="709" w:type="dxa"/>
            <w:tcBorders>
              <w:top w:val="single" w:sz="4" w:space="0" w:color="auto"/>
              <w:left w:val="single" w:sz="4" w:space="0" w:color="auto"/>
              <w:bottom w:val="single" w:sz="4" w:space="0" w:color="auto"/>
              <w:right w:val="single" w:sz="4" w:space="0" w:color="auto"/>
            </w:tcBorders>
            <w:vAlign w:val="center"/>
            <w:hideMark/>
          </w:tcPr>
          <w:p w14:paraId="6383C9E6" w14:textId="77777777" w:rsidR="005F4B44" w:rsidRPr="005A22C2" w:rsidRDefault="005F4B44" w:rsidP="00E119A8">
            <w:pPr>
              <w:keepLines/>
              <w:widowControl w:val="0"/>
              <w:tabs>
                <w:tab w:val="left" w:pos="150"/>
                <w:tab w:val="left" w:pos="397"/>
                <w:tab w:val="left" w:pos="794"/>
                <w:tab w:val="left" w:pos="1191"/>
              </w:tabs>
              <w:spacing w:before="20" w:after="20"/>
              <w:rPr>
                <w:rFonts w:eastAsia="新細明體" w:cs="Segoe UI"/>
                <w:sz w:val="17"/>
                <w:szCs w:val="17"/>
                <w:lang w:eastAsia="zh-TW"/>
              </w:rPr>
            </w:pPr>
            <w:r w:rsidRPr="005A22C2">
              <w:rPr>
                <w:rFonts w:eastAsia="新細明體" w:cs="Segoe UI"/>
                <w:sz w:val="17"/>
                <w:szCs w:val="17"/>
                <w:lang w:eastAsia="zh-TW"/>
              </w:rPr>
              <w:t>7</w:t>
            </w:r>
          </w:p>
        </w:tc>
        <w:tc>
          <w:tcPr>
            <w:tcW w:w="8788" w:type="dxa"/>
            <w:tcBorders>
              <w:top w:val="single" w:sz="4" w:space="0" w:color="auto"/>
              <w:left w:val="single" w:sz="4" w:space="0" w:color="auto"/>
              <w:bottom w:val="single" w:sz="4" w:space="0" w:color="auto"/>
              <w:right w:val="single" w:sz="4" w:space="0" w:color="auto"/>
            </w:tcBorders>
            <w:vAlign w:val="center"/>
            <w:hideMark/>
          </w:tcPr>
          <w:p w14:paraId="51E5787C" w14:textId="43963EF8" w:rsidR="005F4B44" w:rsidRPr="005A22C2" w:rsidRDefault="005F4B44" w:rsidP="00C65694">
            <w:pPr>
              <w:pStyle w:val="Default"/>
              <w:rPr>
                <w:color w:val="auto"/>
                <w:sz w:val="17"/>
                <w:szCs w:val="17"/>
              </w:rPr>
            </w:pPr>
            <w:r w:rsidRPr="005A22C2">
              <w:rPr>
                <w:rFonts w:hint="eastAsia"/>
                <w:i/>
                <w:iCs/>
                <w:color w:val="auto"/>
                <w:sz w:val="17"/>
                <w:szCs w:val="17"/>
                <w:lang w:eastAsia="zh-HK"/>
              </w:rPr>
              <w:t>有限制</w:t>
            </w:r>
            <w:r w:rsidRPr="005A22C2">
              <w:rPr>
                <w:rFonts w:hint="eastAsia"/>
                <w:i/>
                <w:color w:val="auto"/>
                <w:sz w:val="17"/>
                <w:szCs w:val="17"/>
                <w:lang w:eastAsia="zh-HK"/>
              </w:rPr>
              <w:t>預期損失值</w:t>
            </w:r>
            <w:r w:rsidRPr="005A22C2">
              <w:rPr>
                <w:color w:val="auto"/>
                <w:sz w:val="17"/>
                <w:szCs w:val="17"/>
              </w:rPr>
              <w:t>：</w:t>
            </w:r>
            <w:r w:rsidRPr="005A22C2">
              <w:rPr>
                <w:rFonts w:hint="eastAsia"/>
                <w:color w:val="auto"/>
                <w:sz w:val="17"/>
                <w:szCs w:val="17"/>
                <w:lang w:eastAsia="zh-HK"/>
              </w:rPr>
              <w:t>第</w:t>
            </w:r>
            <w:r w:rsidRPr="005A22C2">
              <w:rPr>
                <w:color w:val="auto"/>
                <w:sz w:val="17"/>
                <w:szCs w:val="17"/>
              </w:rPr>
              <w:t>2</w:t>
            </w:r>
            <w:r w:rsidRPr="005A22C2">
              <w:rPr>
                <w:color w:val="auto"/>
                <w:sz w:val="17"/>
                <w:szCs w:val="17"/>
                <w:lang w:eastAsia="zh-HK"/>
              </w:rPr>
              <w:t>至</w:t>
            </w:r>
            <w:r w:rsidRPr="005A22C2">
              <w:rPr>
                <w:color w:val="auto"/>
                <w:sz w:val="17"/>
                <w:szCs w:val="17"/>
              </w:rPr>
              <w:t>6</w:t>
            </w:r>
            <w:r w:rsidRPr="005A22C2">
              <w:rPr>
                <w:rFonts w:hint="eastAsia"/>
                <w:color w:val="auto"/>
                <w:sz w:val="17"/>
                <w:szCs w:val="17"/>
                <w:lang w:eastAsia="zh-HK"/>
              </w:rPr>
              <w:t>行</w:t>
            </w:r>
            <w:r w:rsidRPr="005A22C2">
              <w:rPr>
                <w:color w:val="auto"/>
                <w:sz w:val="17"/>
                <w:szCs w:val="17"/>
                <w:lang w:eastAsia="zh-HK"/>
              </w:rPr>
              <w:t>的值的總和</w:t>
            </w:r>
            <w:r w:rsidRPr="005A22C2">
              <w:rPr>
                <w:color w:val="auto"/>
                <w:sz w:val="17"/>
                <w:szCs w:val="17"/>
              </w:rPr>
              <w:t>。</w:t>
            </w:r>
          </w:p>
        </w:tc>
      </w:tr>
      <w:tr w:rsidR="005A22C2" w:rsidRPr="005A22C2" w14:paraId="0151430D" w14:textId="77777777" w:rsidTr="00C65694">
        <w:tc>
          <w:tcPr>
            <w:tcW w:w="709" w:type="dxa"/>
            <w:tcBorders>
              <w:top w:val="single" w:sz="4" w:space="0" w:color="auto"/>
              <w:left w:val="single" w:sz="4" w:space="0" w:color="auto"/>
              <w:bottom w:val="single" w:sz="4" w:space="0" w:color="auto"/>
              <w:right w:val="single" w:sz="4" w:space="0" w:color="auto"/>
            </w:tcBorders>
            <w:vAlign w:val="center"/>
          </w:tcPr>
          <w:p w14:paraId="612F276D" w14:textId="77777777" w:rsidR="005F4B44" w:rsidRPr="005A22C2" w:rsidRDefault="005F4B44" w:rsidP="00E119A8">
            <w:pPr>
              <w:keepLines/>
              <w:widowControl w:val="0"/>
              <w:tabs>
                <w:tab w:val="left" w:pos="150"/>
                <w:tab w:val="left" w:pos="397"/>
                <w:tab w:val="left" w:pos="794"/>
                <w:tab w:val="left" w:pos="1191"/>
              </w:tabs>
              <w:spacing w:before="20" w:after="20"/>
              <w:rPr>
                <w:rFonts w:eastAsia="新細明體" w:cs="Segoe UI"/>
                <w:sz w:val="17"/>
                <w:szCs w:val="17"/>
                <w:lang w:eastAsia="zh-TW"/>
              </w:rPr>
            </w:pPr>
            <w:r w:rsidRPr="005A22C2">
              <w:rPr>
                <w:rFonts w:eastAsia="新細明體" w:cs="Segoe UI"/>
                <w:sz w:val="17"/>
                <w:szCs w:val="17"/>
                <w:lang w:eastAsia="zh-TW"/>
              </w:rPr>
              <w:t>8</w:t>
            </w:r>
          </w:p>
        </w:tc>
        <w:tc>
          <w:tcPr>
            <w:tcW w:w="8788" w:type="dxa"/>
            <w:tcBorders>
              <w:top w:val="single" w:sz="4" w:space="0" w:color="auto"/>
              <w:left w:val="single" w:sz="4" w:space="0" w:color="auto"/>
              <w:bottom w:val="single" w:sz="4" w:space="0" w:color="auto"/>
              <w:right w:val="single" w:sz="4" w:space="0" w:color="auto"/>
            </w:tcBorders>
            <w:vAlign w:val="center"/>
          </w:tcPr>
          <w:p w14:paraId="69085FD4" w14:textId="75FA9AA4" w:rsidR="005F4B44" w:rsidRPr="005A22C2" w:rsidRDefault="00735249" w:rsidP="00C65694">
            <w:pPr>
              <w:pStyle w:val="Default"/>
              <w:rPr>
                <w:iCs/>
                <w:color w:val="auto"/>
                <w:sz w:val="17"/>
                <w:szCs w:val="17"/>
              </w:rPr>
            </w:pPr>
            <w:r w:rsidRPr="005A22C2">
              <w:rPr>
                <w:rFonts w:hint="eastAsia"/>
                <w:i/>
                <w:iCs/>
                <w:color w:val="auto"/>
                <w:sz w:val="17"/>
                <w:szCs w:val="17"/>
              </w:rPr>
              <w:t>可模式化風險因素的市場風險資本要求</w:t>
            </w:r>
            <w:r w:rsidR="005F4B44" w:rsidRPr="005A22C2">
              <w:rPr>
                <w:iCs/>
                <w:color w:val="auto"/>
                <w:sz w:val="17"/>
                <w:szCs w:val="17"/>
              </w:rPr>
              <w:t>：</w:t>
            </w:r>
            <w:r w:rsidR="005F4B44" w:rsidRPr="005A22C2">
              <w:rPr>
                <w:color w:val="auto"/>
                <w:sz w:val="17"/>
                <w:szCs w:val="17"/>
                <w:lang w:eastAsia="zh-HK"/>
              </w:rPr>
              <w:t>按照</w:t>
            </w:r>
            <w:r w:rsidR="005F4B44" w:rsidRPr="005A22C2">
              <w:rPr>
                <w:color w:val="auto"/>
                <w:sz w:val="17"/>
                <w:szCs w:val="17"/>
              </w:rPr>
              <w:t>《資本規則》第</w:t>
            </w:r>
            <w:r w:rsidR="005F4B44" w:rsidRPr="005A22C2">
              <w:rPr>
                <w:color w:val="auto"/>
                <w:sz w:val="17"/>
                <w:szCs w:val="17"/>
              </w:rPr>
              <w:t>8</w:t>
            </w:r>
            <w:r w:rsidR="005F4B44" w:rsidRPr="005A22C2">
              <w:rPr>
                <w:color w:val="auto"/>
                <w:sz w:val="17"/>
                <w:szCs w:val="17"/>
                <w:lang w:eastAsia="zh-HK"/>
              </w:rPr>
              <w:t>部第</w:t>
            </w:r>
            <w:r w:rsidR="005F4B44" w:rsidRPr="005A22C2">
              <w:rPr>
                <w:color w:val="auto"/>
                <w:sz w:val="17"/>
                <w:szCs w:val="17"/>
              </w:rPr>
              <w:t>13</w:t>
            </w:r>
            <w:r w:rsidR="005F4B44" w:rsidRPr="005A22C2">
              <w:rPr>
                <w:color w:val="auto"/>
                <w:sz w:val="17"/>
                <w:szCs w:val="17"/>
                <w:lang w:eastAsia="zh-HK"/>
              </w:rPr>
              <w:t>分部計算的</w:t>
            </w:r>
            <w:r w:rsidR="005F4B44" w:rsidRPr="005A22C2">
              <w:rPr>
                <w:iCs/>
                <w:color w:val="auto"/>
                <w:sz w:val="17"/>
                <w:szCs w:val="17"/>
              </w:rPr>
              <w:t>IMCC</w:t>
            </w:r>
            <w:r w:rsidR="005F4B44" w:rsidRPr="005A22C2">
              <w:rPr>
                <w:iCs/>
                <w:color w:val="auto"/>
                <w:sz w:val="17"/>
                <w:szCs w:val="17"/>
              </w:rPr>
              <w:t>。</w:t>
            </w:r>
          </w:p>
        </w:tc>
      </w:tr>
      <w:tr w:rsidR="005A22C2" w:rsidRPr="005A22C2" w14:paraId="1FC5D235" w14:textId="77777777" w:rsidTr="00C65694">
        <w:tc>
          <w:tcPr>
            <w:tcW w:w="709" w:type="dxa"/>
            <w:tcBorders>
              <w:top w:val="single" w:sz="4" w:space="0" w:color="auto"/>
              <w:left w:val="single" w:sz="4" w:space="0" w:color="auto"/>
              <w:bottom w:val="single" w:sz="4" w:space="0" w:color="auto"/>
              <w:right w:val="single" w:sz="4" w:space="0" w:color="auto"/>
            </w:tcBorders>
            <w:vAlign w:val="center"/>
            <w:hideMark/>
          </w:tcPr>
          <w:p w14:paraId="258606F1" w14:textId="77777777" w:rsidR="005F4B44" w:rsidRPr="005A22C2" w:rsidRDefault="005F4B44" w:rsidP="00E119A8">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9</w:t>
            </w:r>
          </w:p>
        </w:tc>
        <w:tc>
          <w:tcPr>
            <w:tcW w:w="8788" w:type="dxa"/>
            <w:tcBorders>
              <w:top w:val="single" w:sz="4" w:space="0" w:color="auto"/>
              <w:left w:val="single" w:sz="4" w:space="0" w:color="auto"/>
              <w:bottom w:val="single" w:sz="4" w:space="0" w:color="auto"/>
              <w:right w:val="single" w:sz="4" w:space="0" w:color="auto"/>
            </w:tcBorders>
            <w:vAlign w:val="center"/>
            <w:hideMark/>
          </w:tcPr>
          <w:p w14:paraId="21C50E64" w14:textId="13078A39" w:rsidR="005F4B44" w:rsidRPr="005A22C2" w:rsidRDefault="005F4B44" w:rsidP="00C65694">
            <w:pPr>
              <w:pStyle w:val="Default"/>
              <w:rPr>
                <w:color w:val="auto"/>
                <w:sz w:val="17"/>
                <w:szCs w:val="17"/>
              </w:rPr>
            </w:pPr>
            <w:r w:rsidRPr="005A22C2">
              <w:rPr>
                <w:rFonts w:hint="eastAsia"/>
                <w:i/>
                <w:iCs/>
                <w:color w:val="auto"/>
                <w:sz w:val="17"/>
                <w:szCs w:val="17"/>
                <w:lang w:eastAsia="zh-HK"/>
              </w:rPr>
              <w:t>不可模式化的</w:t>
            </w:r>
            <w:r w:rsidRPr="005A22C2">
              <w:rPr>
                <w:i/>
                <w:iCs/>
                <w:color w:val="auto"/>
                <w:sz w:val="17"/>
                <w:szCs w:val="17"/>
                <w:lang w:eastAsia="zh-HK"/>
              </w:rPr>
              <w:t>風險因素</w:t>
            </w:r>
            <w:r w:rsidR="002822D2" w:rsidRPr="005A22C2">
              <w:rPr>
                <w:rFonts w:hint="eastAsia"/>
                <w:i/>
                <w:color w:val="auto"/>
                <w:kern w:val="2"/>
                <w:sz w:val="17"/>
                <w:szCs w:val="17"/>
              </w:rPr>
              <w:t>（</w:t>
            </w:r>
            <w:r w:rsidRPr="005A22C2">
              <w:rPr>
                <w:i/>
                <w:iCs/>
                <w:color w:val="auto"/>
                <w:sz w:val="17"/>
                <w:szCs w:val="17"/>
                <w:lang w:eastAsia="zh-HK"/>
              </w:rPr>
              <w:t>即</w:t>
            </w:r>
            <w:r w:rsidRPr="005A22C2">
              <w:rPr>
                <w:i/>
                <w:iCs/>
                <w:color w:val="auto"/>
                <w:sz w:val="17"/>
                <w:szCs w:val="17"/>
              </w:rPr>
              <w:t>SES</w:t>
            </w:r>
            <w:r w:rsidR="00083254" w:rsidRPr="005A22C2">
              <w:rPr>
                <w:rFonts w:hint="eastAsia"/>
                <w:i/>
                <w:iCs/>
                <w:color w:val="auto"/>
                <w:sz w:val="17"/>
                <w:szCs w:val="17"/>
              </w:rPr>
              <w:t>）</w:t>
            </w:r>
            <w:r w:rsidRPr="005A22C2">
              <w:rPr>
                <w:color w:val="auto"/>
                <w:sz w:val="17"/>
                <w:szCs w:val="17"/>
              </w:rPr>
              <w:t>：</w:t>
            </w:r>
            <w:r w:rsidRPr="005A22C2">
              <w:rPr>
                <w:color w:val="auto"/>
                <w:sz w:val="17"/>
                <w:szCs w:val="17"/>
                <w:lang w:eastAsia="zh-HK"/>
              </w:rPr>
              <w:t>按照</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13</w:t>
            </w:r>
            <w:r w:rsidRPr="005A22C2">
              <w:rPr>
                <w:color w:val="auto"/>
                <w:sz w:val="17"/>
                <w:szCs w:val="17"/>
                <w:lang w:eastAsia="zh-HK"/>
              </w:rPr>
              <w:t>分部計算的</w:t>
            </w:r>
            <w:r w:rsidRPr="005A22C2">
              <w:rPr>
                <w:color w:val="auto"/>
                <w:sz w:val="17"/>
                <w:szCs w:val="17"/>
              </w:rPr>
              <w:t>SES</w:t>
            </w:r>
            <w:r w:rsidRPr="005A22C2">
              <w:rPr>
                <w:color w:val="auto"/>
                <w:sz w:val="17"/>
                <w:szCs w:val="17"/>
              </w:rPr>
              <w:t>。</w:t>
            </w:r>
          </w:p>
        </w:tc>
      </w:tr>
      <w:tr w:rsidR="005A22C2" w:rsidRPr="005A22C2" w14:paraId="0A32E230" w14:textId="77777777" w:rsidTr="005F4B44">
        <w:tc>
          <w:tcPr>
            <w:tcW w:w="709" w:type="dxa"/>
            <w:tcBorders>
              <w:top w:val="single" w:sz="4" w:space="0" w:color="auto"/>
              <w:left w:val="single" w:sz="4" w:space="0" w:color="auto"/>
              <w:bottom w:val="single" w:sz="4" w:space="0" w:color="auto"/>
              <w:right w:val="single" w:sz="4" w:space="0" w:color="auto"/>
            </w:tcBorders>
            <w:hideMark/>
          </w:tcPr>
          <w:p w14:paraId="031DFC1C" w14:textId="77777777" w:rsidR="005F4B44" w:rsidRPr="005A22C2" w:rsidRDefault="005F4B44" w:rsidP="005F4B44">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10</w:t>
            </w:r>
          </w:p>
        </w:tc>
        <w:tc>
          <w:tcPr>
            <w:tcW w:w="8788" w:type="dxa"/>
            <w:tcBorders>
              <w:top w:val="single" w:sz="4" w:space="0" w:color="auto"/>
              <w:left w:val="single" w:sz="4" w:space="0" w:color="auto"/>
              <w:bottom w:val="single" w:sz="4" w:space="0" w:color="auto"/>
              <w:right w:val="single" w:sz="4" w:space="0" w:color="auto"/>
            </w:tcBorders>
            <w:hideMark/>
          </w:tcPr>
          <w:p w14:paraId="305D6686" w14:textId="43E08BA3" w:rsidR="005F4B44" w:rsidRPr="005A22C2" w:rsidRDefault="005F4B44" w:rsidP="00AA54E5">
            <w:pPr>
              <w:pStyle w:val="Default"/>
              <w:jc w:val="both"/>
              <w:rPr>
                <w:color w:val="auto"/>
                <w:sz w:val="17"/>
                <w:szCs w:val="17"/>
                <w:lang w:val="en-GB"/>
              </w:rPr>
            </w:pPr>
            <w:r w:rsidRPr="005A22C2">
              <w:rPr>
                <w:i/>
                <w:iCs/>
                <w:color w:val="auto"/>
                <w:sz w:val="17"/>
                <w:szCs w:val="17"/>
                <w:lang w:eastAsia="zh-HK"/>
              </w:rPr>
              <w:t>違責風險</w:t>
            </w:r>
            <w:r w:rsidR="00515783" w:rsidRPr="005A22C2">
              <w:rPr>
                <w:rFonts w:hint="eastAsia"/>
                <w:i/>
                <w:iCs/>
                <w:color w:val="auto"/>
                <w:sz w:val="17"/>
                <w:szCs w:val="17"/>
                <w:lang w:eastAsia="zh-HK"/>
              </w:rPr>
              <w:t>資本</w:t>
            </w:r>
            <w:r w:rsidRPr="005A22C2">
              <w:rPr>
                <w:i/>
                <w:iCs/>
                <w:color w:val="auto"/>
                <w:sz w:val="17"/>
                <w:szCs w:val="17"/>
                <w:lang w:eastAsia="zh-HK"/>
              </w:rPr>
              <w:t>要求</w:t>
            </w:r>
            <w:r w:rsidRPr="005A22C2">
              <w:rPr>
                <w:color w:val="auto"/>
                <w:sz w:val="17"/>
                <w:szCs w:val="17"/>
              </w:rPr>
              <w:t>：</w:t>
            </w:r>
            <w:r w:rsidRPr="005A22C2" w:rsidDel="00AA54E5">
              <w:rPr>
                <w:color w:val="auto"/>
                <w:sz w:val="17"/>
                <w:szCs w:val="17"/>
              </w:rPr>
              <w:t>《資本規則》</w:t>
            </w:r>
            <w:r w:rsidRPr="005A22C2">
              <w:rPr>
                <w:color w:val="auto"/>
                <w:sz w:val="17"/>
                <w:szCs w:val="17"/>
                <w:lang w:eastAsia="zh-HK"/>
              </w:rPr>
              <w:t>第</w:t>
            </w:r>
            <w:r w:rsidRPr="005A22C2">
              <w:rPr>
                <w:color w:val="auto"/>
                <w:sz w:val="17"/>
                <w:szCs w:val="17"/>
              </w:rPr>
              <w:t>281</w:t>
            </w:r>
            <w:r w:rsidRPr="005A22C2">
              <w:rPr>
                <w:color w:val="auto"/>
                <w:sz w:val="17"/>
                <w:szCs w:val="17"/>
                <w:lang w:eastAsia="zh-HK"/>
              </w:rPr>
              <w:t>條界定的違責風險</w:t>
            </w:r>
            <w:r w:rsidR="00AD2826" w:rsidRPr="005A22C2">
              <w:rPr>
                <w:color w:val="auto"/>
                <w:sz w:val="17"/>
                <w:szCs w:val="17"/>
              </w:rPr>
              <w:t>資本</w:t>
            </w:r>
            <w:r w:rsidRPr="005A22C2">
              <w:rPr>
                <w:color w:val="auto"/>
                <w:sz w:val="17"/>
                <w:szCs w:val="17"/>
                <w:lang w:eastAsia="zh-HK"/>
              </w:rPr>
              <w:t>要求</w:t>
            </w:r>
            <w:r w:rsidRPr="005A22C2">
              <w:rPr>
                <w:color w:val="auto"/>
                <w:sz w:val="17"/>
                <w:szCs w:val="17"/>
              </w:rPr>
              <w:t>。</w:t>
            </w:r>
            <w:r w:rsidRPr="005A22C2">
              <w:rPr>
                <w:color w:val="auto"/>
                <w:sz w:val="17"/>
                <w:szCs w:val="17"/>
                <w:lang w:eastAsia="zh-HK"/>
              </w:rPr>
              <w:t>此為交易帳持倉</w:t>
            </w:r>
            <w:r w:rsidR="002527A1" w:rsidRPr="005A22C2">
              <w:rPr>
                <w:color w:val="auto"/>
                <w:sz w:val="17"/>
                <w:szCs w:val="17"/>
                <w:lang w:eastAsia="zh-HK"/>
              </w:rPr>
              <w:t>的違責風險計量</w:t>
            </w:r>
            <w:r w:rsidR="002822D2" w:rsidRPr="005A22C2">
              <w:rPr>
                <w:rFonts w:hint="eastAsia"/>
                <w:color w:val="auto"/>
                <w:kern w:val="2"/>
                <w:sz w:val="17"/>
                <w:szCs w:val="17"/>
              </w:rPr>
              <w:t>（</w:t>
            </w:r>
            <w:r w:rsidRPr="005A22C2">
              <w:rPr>
                <w:color w:val="auto"/>
                <w:sz w:val="17"/>
                <w:szCs w:val="17"/>
                <w:lang w:eastAsia="zh-HK"/>
              </w:rPr>
              <w:t>須使用</w:t>
            </w:r>
            <w:r w:rsidRPr="005A22C2">
              <w:rPr>
                <w:color w:val="auto"/>
                <w:sz w:val="17"/>
                <w:szCs w:val="17"/>
              </w:rPr>
              <w:t>STM</w:t>
            </w:r>
            <w:r w:rsidRPr="005A22C2">
              <w:rPr>
                <w:color w:val="auto"/>
                <w:sz w:val="17"/>
                <w:szCs w:val="17"/>
                <w:lang w:eastAsia="zh-HK"/>
              </w:rPr>
              <w:t>計算法者除外</w:t>
            </w:r>
            <w:r w:rsidR="00083254" w:rsidRPr="005A22C2">
              <w:rPr>
                <w:rFonts w:hint="eastAsia"/>
                <w:color w:val="auto"/>
                <w:sz w:val="17"/>
                <w:szCs w:val="17"/>
              </w:rPr>
              <w:t>）</w:t>
            </w:r>
            <w:r w:rsidRPr="005A22C2">
              <w:rPr>
                <w:color w:val="auto"/>
                <w:sz w:val="17"/>
                <w:szCs w:val="17"/>
              </w:rPr>
              <w:t>，</w:t>
            </w:r>
            <w:r w:rsidRPr="005A22C2">
              <w:rPr>
                <w:color w:val="auto"/>
                <w:sz w:val="17"/>
                <w:szCs w:val="17"/>
                <w:lang w:eastAsia="zh-HK"/>
              </w:rPr>
              <w:t>當中涵蓋官方實體風險承擔</w:t>
            </w:r>
            <w:r w:rsidR="002822D2" w:rsidRPr="005A22C2">
              <w:rPr>
                <w:rFonts w:hint="eastAsia"/>
                <w:color w:val="auto"/>
                <w:kern w:val="2"/>
                <w:sz w:val="17"/>
                <w:szCs w:val="17"/>
              </w:rPr>
              <w:t>（</w:t>
            </w:r>
            <w:r w:rsidRPr="005A22C2">
              <w:rPr>
                <w:color w:val="auto"/>
                <w:sz w:val="17"/>
                <w:szCs w:val="17"/>
                <w:lang w:eastAsia="zh-HK"/>
              </w:rPr>
              <w:t>包括以某官方實體本</w:t>
            </w:r>
            <w:r w:rsidRPr="005A22C2">
              <w:rPr>
                <w:rFonts w:hint="eastAsia"/>
                <w:color w:val="auto"/>
                <w:sz w:val="17"/>
                <w:szCs w:val="17"/>
                <w:lang w:eastAsia="zh-HK"/>
              </w:rPr>
              <w:t>地貨</w:t>
            </w:r>
            <w:r w:rsidRPr="005A22C2">
              <w:rPr>
                <w:color w:val="auto"/>
                <w:sz w:val="17"/>
                <w:szCs w:val="17"/>
                <w:lang w:eastAsia="zh-HK"/>
              </w:rPr>
              <w:t>幣計值者</w:t>
            </w:r>
            <w:r w:rsidR="00083254" w:rsidRPr="005A22C2">
              <w:rPr>
                <w:rFonts w:hint="eastAsia"/>
                <w:color w:val="auto"/>
                <w:sz w:val="17"/>
                <w:szCs w:val="17"/>
              </w:rPr>
              <w:t>）</w:t>
            </w:r>
            <w:r w:rsidRPr="005A22C2">
              <w:rPr>
                <w:color w:val="auto"/>
                <w:sz w:val="17"/>
                <w:szCs w:val="17"/>
              </w:rPr>
              <w:t>、</w:t>
            </w:r>
            <w:r w:rsidRPr="005A22C2">
              <w:rPr>
                <w:color w:val="auto"/>
                <w:sz w:val="17"/>
                <w:szCs w:val="17"/>
                <w:lang w:eastAsia="zh-HK"/>
              </w:rPr>
              <w:t>股權</w:t>
            </w:r>
            <w:proofErr w:type="gramStart"/>
            <w:r w:rsidRPr="005A22C2">
              <w:rPr>
                <w:color w:val="auto"/>
                <w:sz w:val="17"/>
                <w:szCs w:val="17"/>
                <w:lang w:eastAsia="zh-HK"/>
              </w:rPr>
              <w:t>持倉及違責債務持倉</w:t>
            </w:r>
            <w:proofErr w:type="gramEnd"/>
            <w:r w:rsidRPr="005A22C2">
              <w:rPr>
                <w:color w:val="auto"/>
                <w:sz w:val="17"/>
                <w:szCs w:val="17"/>
              </w:rPr>
              <w:t>。</w:t>
            </w:r>
          </w:p>
        </w:tc>
      </w:tr>
      <w:tr w:rsidR="005A22C2" w:rsidRPr="005A22C2" w14:paraId="333BEF66" w14:textId="77777777" w:rsidTr="005F4B44">
        <w:tc>
          <w:tcPr>
            <w:tcW w:w="709" w:type="dxa"/>
            <w:tcBorders>
              <w:top w:val="single" w:sz="4" w:space="0" w:color="auto"/>
              <w:left w:val="single" w:sz="4" w:space="0" w:color="auto"/>
              <w:bottom w:val="single" w:sz="4" w:space="0" w:color="auto"/>
              <w:right w:val="single" w:sz="4" w:space="0" w:color="auto"/>
            </w:tcBorders>
            <w:hideMark/>
          </w:tcPr>
          <w:p w14:paraId="5D1C0073" w14:textId="77777777" w:rsidR="005F4B44" w:rsidRPr="005A22C2" w:rsidRDefault="005F4B44" w:rsidP="005F4B44">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11</w:t>
            </w:r>
          </w:p>
        </w:tc>
        <w:tc>
          <w:tcPr>
            <w:tcW w:w="8788" w:type="dxa"/>
            <w:tcBorders>
              <w:top w:val="single" w:sz="4" w:space="0" w:color="auto"/>
              <w:left w:val="single" w:sz="4" w:space="0" w:color="auto"/>
              <w:bottom w:val="single" w:sz="4" w:space="0" w:color="auto"/>
              <w:right w:val="single" w:sz="4" w:space="0" w:color="auto"/>
            </w:tcBorders>
            <w:hideMark/>
          </w:tcPr>
          <w:p w14:paraId="164A1608" w14:textId="1F37AC51" w:rsidR="005F4B44" w:rsidRPr="005A22C2" w:rsidRDefault="005F4B44" w:rsidP="005F4B44">
            <w:pPr>
              <w:pStyle w:val="Default"/>
              <w:jc w:val="both"/>
              <w:rPr>
                <w:color w:val="auto"/>
                <w:sz w:val="17"/>
                <w:szCs w:val="17"/>
                <w:lang w:eastAsia="zh-HK"/>
              </w:rPr>
            </w:pPr>
            <w:r w:rsidRPr="005A22C2">
              <w:rPr>
                <w:rFonts w:hint="eastAsia"/>
                <w:i/>
                <w:iCs/>
                <w:color w:val="auto"/>
                <w:sz w:val="17"/>
                <w:szCs w:val="17"/>
                <w:lang w:eastAsia="zh-HK"/>
              </w:rPr>
              <w:t>編配予黃區的交易桌的附加資本要求</w:t>
            </w:r>
            <w:r w:rsidRPr="005A22C2">
              <w:rPr>
                <w:color w:val="auto"/>
                <w:sz w:val="17"/>
                <w:szCs w:val="17"/>
              </w:rPr>
              <w:t>：</w:t>
            </w:r>
            <w:r w:rsidRPr="005A22C2">
              <w:rPr>
                <w:color w:val="auto"/>
                <w:sz w:val="17"/>
                <w:szCs w:val="17"/>
                <w:lang w:eastAsia="zh-HK"/>
              </w:rPr>
              <w:t>按照</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13</w:t>
            </w:r>
            <w:r w:rsidRPr="005A22C2">
              <w:rPr>
                <w:color w:val="auto"/>
                <w:sz w:val="17"/>
                <w:szCs w:val="17"/>
                <w:lang w:eastAsia="zh-HK"/>
              </w:rPr>
              <w:t>分部</w:t>
            </w:r>
            <w:r w:rsidRPr="005A22C2">
              <w:rPr>
                <w:rFonts w:ascii="新細明體" w:hAnsi="新細明體" w:hint="eastAsia"/>
                <w:color w:val="auto"/>
                <w:sz w:val="17"/>
                <w:szCs w:val="17"/>
              </w:rPr>
              <w:t>計算</w:t>
            </w:r>
            <w:r w:rsidR="00107719" w:rsidRPr="005A22C2">
              <w:rPr>
                <w:rFonts w:ascii="DengXian" w:hAnsi="DengXian" w:hint="eastAsia"/>
                <w:color w:val="auto"/>
                <w:sz w:val="17"/>
                <w:szCs w:val="17"/>
                <w:lang w:eastAsia="zh-HK"/>
              </w:rPr>
              <w:t>，</w:t>
            </w:r>
            <w:r w:rsidRPr="005A22C2">
              <w:rPr>
                <w:rFonts w:hint="eastAsia"/>
                <w:color w:val="auto"/>
                <w:sz w:val="17"/>
                <w:szCs w:val="17"/>
                <w:lang w:eastAsia="zh-HK"/>
              </w:rPr>
              <w:t>符合回溯測試規定並在損益歸屬測試中獲編配予黃區的經批准交易桌的</w:t>
            </w:r>
            <w:r w:rsidR="00FC5741" w:rsidRPr="005A22C2">
              <w:rPr>
                <w:rFonts w:hint="eastAsia"/>
                <w:color w:val="auto"/>
                <w:sz w:val="17"/>
                <w:szCs w:val="17"/>
                <w:lang w:eastAsia="zh-HK"/>
              </w:rPr>
              <w:t>附加</w:t>
            </w:r>
            <w:r w:rsidRPr="005A22C2">
              <w:rPr>
                <w:rFonts w:hint="eastAsia"/>
                <w:color w:val="auto"/>
                <w:sz w:val="17"/>
                <w:szCs w:val="17"/>
                <w:lang w:eastAsia="zh-HK"/>
              </w:rPr>
              <w:t>資本要求</w:t>
            </w:r>
            <w:r w:rsidR="002527A1" w:rsidRPr="005A22C2">
              <w:rPr>
                <w:color w:val="auto"/>
                <w:sz w:val="17"/>
                <w:szCs w:val="17"/>
              </w:rPr>
              <w:t>。</w:t>
            </w:r>
          </w:p>
        </w:tc>
      </w:tr>
      <w:tr w:rsidR="005A22C2" w:rsidRPr="005A22C2" w14:paraId="5A5D4F52" w14:textId="77777777" w:rsidTr="005F4B44">
        <w:tc>
          <w:tcPr>
            <w:tcW w:w="709" w:type="dxa"/>
            <w:tcBorders>
              <w:top w:val="single" w:sz="4" w:space="0" w:color="auto"/>
              <w:left w:val="single" w:sz="4" w:space="0" w:color="auto"/>
              <w:bottom w:val="single" w:sz="4" w:space="0" w:color="auto"/>
              <w:right w:val="single" w:sz="4" w:space="0" w:color="auto"/>
            </w:tcBorders>
            <w:hideMark/>
          </w:tcPr>
          <w:p w14:paraId="1D5BE244" w14:textId="77777777" w:rsidR="005F4B44" w:rsidRPr="005A22C2" w:rsidRDefault="005F4B44" w:rsidP="005F4B44">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12</w:t>
            </w:r>
          </w:p>
        </w:tc>
        <w:tc>
          <w:tcPr>
            <w:tcW w:w="8788" w:type="dxa"/>
            <w:tcBorders>
              <w:top w:val="single" w:sz="4" w:space="0" w:color="auto"/>
              <w:left w:val="single" w:sz="4" w:space="0" w:color="auto"/>
              <w:bottom w:val="single" w:sz="4" w:space="0" w:color="auto"/>
              <w:right w:val="single" w:sz="4" w:space="0" w:color="auto"/>
            </w:tcBorders>
            <w:hideMark/>
          </w:tcPr>
          <w:p w14:paraId="690405BF" w14:textId="1CE94833" w:rsidR="005F4B44" w:rsidRPr="005A22C2" w:rsidRDefault="005F4B44" w:rsidP="006910CC">
            <w:pPr>
              <w:pStyle w:val="Default"/>
              <w:jc w:val="both"/>
              <w:rPr>
                <w:color w:val="auto"/>
                <w:sz w:val="17"/>
                <w:szCs w:val="17"/>
              </w:rPr>
            </w:pPr>
            <w:r w:rsidRPr="005A22C2">
              <w:rPr>
                <w:rFonts w:hint="eastAsia"/>
                <w:i/>
                <w:iCs/>
                <w:color w:val="auto"/>
                <w:sz w:val="17"/>
                <w:szCs w:val="17"/>
                <w:lang w:eastAsia="zh-HK"/>
              </w:rPr>
              <w:t>編配予綠區或黃區的交易桌的</w:t>
            </w:r>
            <w:r w:rsidRPr="005A22C2">
              <w:rPr>
                <w:i/>
                <w:iCs/>
                <w:color w:val="auto"/>
                <w:sz w:val="17"/>
                <w:szCs w:val="17"/>
              </w:rPr>
              <w:t>市場風險資本要求</w:t>
            </w:r>
            <w:r w:rsidR="002822D2" w:rsidRPr="005A22C2">
              <w:rPr>
                <w:rFonts w:hint="eastAsia"/>
                <w:i/>
                <w:color w:val="auto"/>
                <w:kern w:val="2"/>
                <w:sz w:val="17"/>
                <w:szCs w:val="17"/>
              </w:rPr>
              <w:t>（</w:t>
            </w:r>
            <w:r w:rsidRPr="005A22C2">
              <w:rPr>
                <w:i/>
                <w:iCs/>
                <w:color w:val="auto"/>
                <w:sz w:val="17"/>
                <w:szCs w:val="17"/>
                <w:lang w:eastAsia="zh-HK"/>
              </w:rPr>
              <w:t>包括</w:t>
            </w:r>
            <w:r w:rsidRPr="005A22C2">
              <w:rPr>
                <w:rFonts w:hint="eastAsia"/>
                <w:i/>
                <w:iCs/>
                <w:color w:val="auto"/>
                <w:sz w:val="17"/>
                <w:szCs w:val="17"/>
                <w:lang w:eastAsia="zh-HK"/>
              </w:rPr>
              <w:t>附加</w:t>
            </w:r>
            <w:r w:rsidRPr="005A22C2">
              <w:rPr>
                <w:i/>
                <w:iCs/>
                <w:color w:val="auto"/>
                <w:sz w:val="17"/>
                <w:szCs w:val="17"/>
                <w:lang w:eastAsia="zh-HK"/>
              </w:rPr>
              <w:t>資本要求</w:t>
            </w:r>
            <w:r w:rsidR="00083254" w:rsidRPr="005A22C2">
              <w:rPr>
                <w:rFonts w:hint="eastAsia"/>
                <w:i/>
                <w:iCs/>
                <w:color w:val="auto"/>
                <w:sz w:val="17"/>
                <w:szCs w:val="17"/>
              </w:rPr>
              <w:t>）</w:t>
            </w:r>
            <w:r w:rsidRPr="005A22C2">
              <w:rPr>
                <w:iCs/>
                <w:color w:val="auto"/>
                <w:sz w:val="17"/>
                <w:szCs w:val="17"/>
              </w:rPr>
              <w:t>：</w:t>
            </w:r>
            <w:r w:rsidRPr="005A22C2">
              <w:rPr>
                <w:rFonts w:hint="eastAsia"/>
                <w:color w:val="auto"/>
                <w:sz w:val="17"/>
                <w:szCs w:val="17"/>
                <w:lang w:eastAsia="zh-HK"/>
              </w:rPr>
              <w:t>編配予綠區或黃區的交易桌</w:t>
            </w:r>
            <w:r w:rsidRPr="005A22C2">
              <w:rPr>
                <w:color w:val="auto"/>
                <w:sz w:val="17"/>
                <w:szCs w:val="17"/>
                <w:lang w:eastAsia="zh-HK"/>
              </w:rPr>
              <w:t>的市場風險資本要求的總和</w:t>
            </w:r>
            <w:r w:rsidRPr="005A22C2">
              <w:rPr>
                <w:rFonts w:hint="eastAsia"/>
                <w:color w:val="auto"/>
                <w:sz w:val="17"/>
                <w:szCs w:val="17"/>
                <w:lang w:eastAsia="zh-HK"/>
              </w:rPr>
              <w:t>的值</w:t>
            </w:r>
            <w:r w:rsidRPr="005A22C2">
              <w:rPr>
                <w:color w:val="auto"/>
                <w:sz w:val="17"/>
                <w:szCs w:val="17"/>
              </w:rPr>
              <w:t>，</w:t>
            </w:r>
            <w:r w:rsidRPr="005A22C2">
              <w:rPr>
                <w:color w:val="auto"/>
                <w:sz w:val="17"/>
                <w:szCs w:val="17"/>
                <w:lang w:eastAsia="zh-HK"/>
              </w:rPr>
              <w:t>並按適用情況包括</w:t>
            </w:r>
            <w:r w:rsidR="002F09DC" w:rsidRPr="005A22C2">
              <w:rPr>
                <w:rFonts w:hint="eastAsia"/>
                <w:color w:val="auto"/>
                <w:sz w:val="17"/>
                <w:szCs w:val="17"/>
                <w:lang w:eastAsia="zh-HK"/>
              </w:rPr>
              <w:t>編</w:t>
            </w:r>
            <w:r w:rsidRPr="005A22C2">
              <w:rPr>
                <w:color w:val="auto"/>
                <w:sz w:val="17"/>
                <w:szCs w:val="17"/>
                <w:lang w:eastAsia="zh-HK"/>
              </w:rPr>
              <w:t>配</w:t>
            </w:r>
            <w:r w:rsidR="002F09DC" w:rsidRPr="005A22C2">
              <w:rPr>
                <w:rFonts w:hint="eastAsia"/>
                <w:color w:val="auto"/>
                <w:sz w:val="17"/>
                <w:szCs w:val="17"/>
                <w:lang w:eastAsia="zh-HK"/>
              </w:rPr>
              <w:t>予</w:t>
            </w:r>
            <w:r w:rsidRPr="005A22C2">
              <w:rPr>
                <w:color w:val="auto"/>
                <w:sz w:val="17"/>
                <w:szCs w:val="17"/>
                <w:lang w:eastAsia="zh-HK"/>
              </w:rPr>
              <w:t>黃區的交易</w:t>
            </w:r>
            <w:r w:rsidRPr="005A22C2">
              <w:rPr>
                <w:rFonts w:hint="eastAsia"/>
                <w:color w:val="auto"/>
                <w:sz w:val="17"/>
                <w:szCs w:val="17"/>
                <w:lang w:eastAsia="zh-HK"/>
              </w:rPr>
              <w:t>桌</w:t>
            </w:r>
            <w:r w:rsidRPr="005A22C2">
              <w:rPr>
                <w:color w:val="auto"/>
                <w:sz w:val="17"/>
                <w:szCs w:val="17"/>
                <w:lang w:eastAsia="zh-HK"/>
              </w:rPr>
              <w:t>的</w:t>
            </w:r>
            <w:r w:rsidRPr="005A22C2">
              <w:rPr>
                <w:rFonts w:hint="eastAsia"/>
                <w:color w:val="auto"/>
                <w:sz w:val="17"/>
                <w:szCs w:val="17"/>
                <w:lang w:eastAsia="zh-HK"/>
              </w:rPr>
              <w:t>任</w:t>
            </w:r>
            <w:r w:rsidRPr="005A22C2">
              <w:rPr>
                <w:rFonts w:hint="eastAsia"/>
                <w:color w:val="auto"/>
                <w:sz w:val="17"/>
                <w:szCs w:val="17"/>
              </w:rPr>
              <w:t>何附加</w:t>
            </w:r>
            <w:r w:rsidRPr="005A22C2">
              <w:rPr>
                <w:color w:val="auto"/>
                <w:sz w:val="17"/>
                <w:szCs w:val="17"/>
                <w:lang w:eastAsia="zh-HK"/>
              </w:rPr>
              <w:t>資本要求</w:t>
            </w:r>
            <w:r w:rsidRPr="005A22C2">
              <w:rPr>
                <w:color w:val="auto"/>
                <w:sz w:val="17"/>
                <w:szCs w:val="17"/>
              </w:rPr>
              <w:t>。</w:t>
            </w:r>
            <w:r w:rsidRPr="005A22C2">
              <w:rPr>
                <w:rFonts w:hint="eastAsia"/>
                <w:color w:val="auto"/>
                <w:sz w:val="17"/>
                <w:szCs w:val="17"/>
                <w:lang w:eastAsia="zh-HK"/>
              </w:rPr>
              <w:t>第</w:t>
            </w:r>
            <w:r w:rsidRPr="005A22C2">
              <w:rPr>
                <w:color w:val="auto"/>
                <w:sz w:val="17"/>
                <w:szCs w:val="17"/>
              </w:rPr>
              <w:t>12</w:t>
            </w:r>
            <w:r w:rsidRPr="005A22C2">
              <w:rPr>
                <w:rFonts w:hint="eastAsia"/>
                <w:color w:val="auto"/>
                <w:sz w:val="17"/>
                <w:szCs w:val="17"/>
                <w:lang w:eastAsia="zh-HK"/>
              </w:rPr>
              <w:t>行</w:t>
            </w:r>
            <w:r w:rsidRPr="005A22C2">
              <w:rPr>
                <w:color w:val="auto"/>
                <w:sz w:val="17"/>
                <w:szCs w:val="17"/>
                <w:lang w:eastAsia="zh-HK"/>
              </w:rPr>
              <w:t>的值</w:t>
            </w:r>
            <w:r w:rsidRPr="005A22C2">
              <w:rPr>
                <w:color w:val="auto"/>
                <w:sz w:val="17"/>
                <w:szCs w:val="17"/>
              </w:rPr>
              <w:t xml:space="preserve"> = max</w:t>
            </w:r>
            <w:r w:rsidR="002822D2" w:rsidRPr="005A22C2">
              <w:rPr>
                <w:rFonts w:hint="eastAsia"/>
                <w:color w:val="auto"/>
                <w:kern w:val="2"/>
                <w:sz w:val="17"/>
                <w:szCs w:val="17"/>
              </w:rPr>
              <w:t>（</w:t>
            </w:r>
            <w:r w:rsidRPr="005A22C2">
              <w:rPr>
                <w:color w:val="auto"/>
                <w:sz w:val="17"/>
                <w:szCs w:val="17"/>
                <w:lang w:eastAsia="zh-HK"/>
              </w:rPr>
              <w:t>第</w:t>
            </w:r>
            <w:r w:rsidRPr="005A22C2">
              <w:rPr>
                <w:color w:val="auto"/>
                <w:sz w:val="17"/>
                <w:szCs w:val="17"/>
              </w:rPr>
              <w:t>8</w:t>
            </w:r>
            <w:r w:rsidRPr="005A22C2">
              <w:rPr>
                <w:color w:val="auto"/>
                <w:sz w:val="17"/>
                <w:szCs w:val="17"/>
                <w:lang w:eastAsia="zh-HK"/>
              </w:rPr>
              <w:t>行</w:t>
            </w:r>
            <w:r w:rsidRPr="005A22C2">
              <w:rPr>
                <w:color w:val="auto"/>
                <w:sz w:val="17"/>
                <w:szCs w:val="17"/>
              </w:rPr>
              <w:t xml:space="preserve">/a + </w:t>
            </w:r>
            <w:r w:rsidRPr="005A22C2">
              <w:rPr>
                <w:color w:val="auto"/>
                <w:sz w:val="17"/>
                <w:szCs w:val="17"/>
                <w:lang w:eastAsia="zh-HK"/>
              </w:rPr>
              <w:t>第</w:t>
            </w:r>
            <w:r w:rsidRPr="005A22C2">
              <w:rPr>
                <w:color w:val="auto"/>
                <w:sz w:val="17"/>
                <w:szCs w:val="17"/>
              </w:rPr>
              <w:t>9</w:t>
            </w:r>
            <w:r w:rsidRPr="005A22C2">
              <w:rPr>
                <w:color w:val="auto"/>
                <w:sz w:val="17"/>
                <w:szCs w:val="17"/>
                <w:lang w:eastAsia="zh-HK"/>
              </w:rPr>
              <w:t>行</w:t>
            </w:r>
            <w:r w:rsidRPr="005A22C2">
              <w:rPr>
                <w:color w:val="auto"/>
                <w:sz w:val="17"/>
                <w:szCs w:val="17"/>
              </w:rPr>
              <w:t xml:space="preserve">/a; </w:t>
            </w:r>
            <w:r w:rsidR="006910CC" w:rsidRPr="005A22C2">
              <w:rPr>
                <w:rFonts w:hint="eastAsia"/>
                <w:color w:val="auto"/>
                <w:sz w:val="17"/>
                <w:szCs w:val="17"/>
                <w:lang w:eastAsia="zh-HK"/>
              </w:rPr>
              <w:t>倍</w:t>
            </w:r>
            <w:r w:rsidR="006910CC" w:rsidRPr="005A22C2">
              <w:rPr>
                <w:rFonts w:hint="eastAsia"/>
                <w:color w:val="auto"/>
                <w:sz w:val="17"/>
                <w:szCs w:val="17"/>
              </w:rPr>
              <w:t>增</w:t>
            </w:r>
            <w:r w:rsidRPr="005A22C2">
              <w:rPr>
                <w:color w:val="auto"/>
                <w:sz w:val="17"/>
                <w:szCs w:val="17"/>
                <w:lang w:eastAsia="zh-HK"/>
              </w:rPr>
              <w:t>因</w:t>
            </w:r>
            <w:r w:rsidR="006910CC" w:rsidRPr="005A22C2">
              <w:rPr>
                <w:rFonts w:hint="eastAsia"/>
                <w:color w:val="auto"/>
                <w:sz w:val="17"/>
                <w:szCs w:val="17"/>
                <w:lang w:eastAsia="zh-HK"/>
              </w:rPr>
              <w:t>數</w:t>
            </w:r>
            <w:r w:rsidR="002822D2" w:rsidRPr="005A22C2">
              <w:rPr>
                <w:rFonts w:hint="eastAsia"/>
                <w:color w:val="auto"/>
                <w:kern w:val="2"/>
                <w:sz w:val="17"/>
                <w:szCs w:val="17"/>
              </w:rPr>
              <w:t>（</w:t>
            </w:r>
            <w:r w:rsidRPr="005A22C2">
              <w:rPr>
                <w:color w:val="auto"/>
                <w:sz w:val="17"/>
                <w:szCs w:val="17"/>
                <w:lang w:eastAsia="zh-HK"/>
              </w:rPr>
              <w:t>即</w:t>
            </w:r>
            <w:r w:rsidRPr="005A22C2">
              <w:rPr>
                <w:color w:val="auto"/>
                <w:sz w:val="17"/>
                <w:szCs w:val="17"/>
              </w:rPr>
              <w:t xml:space="preserve"> </w:t>
            </w:r>
            <w:r w:rsidRPr="005A22C2">
              <w:rPr>
                <w:i/>
                <w:color w:val="auto"/>
                <w:sz w:val="17"/>
                <w:szCs w:val="17"/>
              </w:rPr>
              <w:t>m</w:t>
            </w:r>
            <w:r w:rsidRPr="005A22C2">
              <w:rPr>
                <w:i/>
                <w:color w:val="auto"/>
                <w:sz w:val="17"/>
                <w:szCs w:val="17"/>
                <w:vertAlign w:val="subscript"/>
              </w:rPr>
              <w:t>c</w:t>
            </w:r>
            <w:r w:rsidR="00083254" w:rsidRPr="005A22C2">
              <w:rPr>
                <w:rFonts w:hint="eastAsia"/>
                <w:color w:val="auto"/>
                <w:sz w:val="17"/>
                <w:szCs w:val="17"/>
              </w:rPr>
              <w:t>）</w:t>
            </w:r>
            <w:r w:rsidRPr="005A22C2">
              <w:rPr>
                <w:color w:val="auto"/>
                <w:sz w:val="17"/>
                <w:szCs w:val="17"/>
              </w:rPr>
              <w:t>*</w:t>
            </w:r>
            <w:r w:rsidRPr="005A22C2">
              <w:rPr>
                <w:color w:val="auto"/>
                <w:sz w:val="17"/>
                <w:szCs w:val="17"/>
                <w:lang w:eastAsia="zh-HK"/>
              </w:rPr>
              <w:t>第</w:t>
            </w:r>
            <w:r w:rsidRPr="005A22C2">
              <w:rPr>
                <w:color w:val="auto"/>
                <w:sz w:val="17"/>
                <w:szCs w:val="17"/>
              </w:rPr>
              <w:t>8</w:t>
            </w:r>
            <w:r w:rsidRPr="005A22C2">
              <w:rPr>
                <w:color w:val="auto"/>
                <w:sz w:val="17"/>
                <w:szCs w:val="17"/>
                <w:lang w:eastAsia="zh-HK"/>
              </w:rPr>
              <w:t>行</w:t>
            </w:r>
            <w:r w:rsidRPr="005A22C2">
              <w:rPr>
                <w:color w:val="auto"/>
                <w:sz w:val="17"/>
                <w:szCs w:val="17"/>
              </w:rPr>
              <w:t xml:space="preserve">/b + </w:t>
            </w:r>
            <w:r w:rsidRPr="005A22C2">
              <w:rPr>
                <w:color w:val="auto"/>
                <w:sz w:val="17"/>
                <w:szCs w:val="17"/>
                <w:lang w:eastAsia="zh-HK"/>
              </w:rPr>
              <w:t>第</w:t>
            </w:r>
            <w:r w:rsidRPr="005A22C2">
              <w:rPr>
                <w:color w:val="auto"/>
                <w:sz w:val="17"/>
                <w:szCs w:val="17"/>
              </w:rPr>
              <w:t>9</w:t>
            </w:r>
            <w:r w:rsidRPr="005A22C2">
              <w:rPr>
                <w:color w:val="auto"/>
                <w:sz w:val="17"/>
                <w:szCs w:val="17"/>
                <w:lang w:eastAsia="zh-HK"/>
              </w:rPr>
              <w:t>行</w:t>
            </w:r>
            <w:r w:rsidRPr="005A22C2">
              <w:rPr>
                <w:color w:val="auto"/>
                <w:sz w:val="17"/>
                <w:szCs w:val="17"/>
              </w:rPr>
              <w:t>/b</w:t>
            </w:r>
            <w:r w:rsidR="00083254" w:rsidRPr="005A22C2">
              <w:rPr>
                <w:rFonts w:hint="eastAsia"/>
                <w:color w:val="auto"/>
                <w:sz w:val="17"/>
                <w:szCs w:val="17"/>
              </w:rPr>
              <w:t>）</w:t>
            </w:r>
            <w:r w:rsidRPr="005A22C2">
              <w:rPr>
                <w:color w:val="auto"/>
                <w:sz w:val="17"/>
                <w:szCs w:val="17"/>
              </w:rPr>
              <w:t>+ max</w:t>
            </w:r>
            <w:r w:rsidR="002822D2" w:rsidRPr="005A22C2">
              <w:rPr>
                <w:rFonts w:hint="eastAsia"/>
                <w:color w:val="auto"/>
                <w:kern w:val="2"/>
                <w:sz w:val="17"/>
                <w:szCs w:val="17"/>
              </w:rPr>
              <w:t>（</w:t>
            </w:r>
            <w:r w:rsidRPr="005A22C2">
              <w:rPr>
                <w:color w:val="auto"/>
                <w:sz w:val="17"/>
                <w:szCs w:val="17"/>
                <w:lang w:eastAsia="zh-HK"/>
              </w:rPr>
              <w:t>第</w:t>
            </w:r>
            <w:r w:rsidRPr="005A22C2">
              <w:rPr>
                <w:color w:val="auto"/>
                <w:sz w:val="17"/>
                <w:szCs w:val="17"/>
              </w:rPr>
              <w:t>10</w:t>
            </w:r>
            <w:r w:rsidRPr="005A22C2">
              <w:rPr>
                <w:color w:val="auto"/>
                <w:sz w:val="17"/>
                <w:szCs w:val="17"/>
                <w:lang w:eastAsia="zh-HK"/>
              </w:rPr>
              <w:t>行</w:t>
            </w:r>
            <w:r w:rsidRPr="005A22C2">
              <w:rPr>
                <w:color w:val="auto"/>
                <w:sz w:val="17"/>
                <w:szCs w:val="17"/>
              </w:rPr>
              <w:t xml:space="preserve">/a; </w:t>
            </w:r>
            <w:r w:rsidRPr="005A22C2">
              <w:rPr>
                <w:color w:val="auto"/>
                <w:sz w:val="17"/>
                <w:szCs w:val="17"/>
                <w:lang w:eastAsia="zh-HK"/>
              </w:rPr>
              <w:t>第</w:t>
            </w:r>
            <w:r w:rsidRPr="005A22C2">
              <w:rPr>
                <w:color w:val="auto"/>
                <w:sz w:val="17"/>
                <w:szCs w:val="17"/>
              </w:rPr>
              <w:t>10</w:t>
            </w:r>
            <w:r w:rsidRPr="005A22C2">
              <w:rPr>
                <w:color w:val="auto"/>
                <w:sz w:val="17"/>
                <w:szCs w:val="17"/>
                <w:lang w:eastAsia="zh-HK"/>
              </w:rPr>
              <w:t>行</w:t>
            </w:r>
            <w:r w:rsidRPr="005A22C2">
              <w:rPr>
                <w:color w:val="auto"/>
                <w:sz w:val="17"/>
                <w:szCs w:val="17"/>
              </w:rPr>
              <w:t>/b</w:t>
            </w:r>
            <w:r w:rsidR="00083254" w:rsidRPr="005A22C2">
              <w:rPr>
                <w:rFonts w:hint="eastAsia"/>
                <w:color w:val="auto"/>
                <w:sz w:val="17"/>
                <w:szCs w:val="17"/>
              </w:rPr>
              <w:t>）</w:t>
            </w:r>
            <w:r w:rsidRPr="005A22C2">
              <w:rPr>
                <w:color w:val="auto"/>
                <w:sz w:val="17"/>
                <w:szCs w:val="17"/>
              </w:rPr>
              <w:t xml:space="preserve">+ </w:t>
            </w:r>
            <w:r w:rsidRPr="005A22C2">
              <w:rPr>
                <w:color w:val="auto"/>
                <w:sz w:val="17"/>
                <w:szCs w:val="17"/>
                <w:lang w:eastAsia="zh-HK"/>
              </w:rPr>
              <w:t>第</w:t>
            </w:r>
            <w:r w:rsidRPr="005A22C2">
              <w:rPr>
                <w:color w:val="auto"/>
                <w:sz w:val="17"/>
                <w:szCs w:val="17"/>
              </w:rPr>
              <w:t>11</w:t>
            </w:r>
            <w:r w:rsidRPr="005A22C2">
              <w:rPr>
                <w:color w:val="auto"/>
                <w:sz w:val="17"/>
                <w:szCs w:val="17"/>
                <w:lang w:eastAsia="zh-HK"/>
              </w:rPr>
              <w:t>行</w:t>
            </w:r>
            <w:r w:rsidRPr="005A22C2">
              <w:rPr>
                <w:color w:val="auto"/>
                <w:sz w:val="17"/>
                <w:szCs w:val="17"/>
              </w:rPr>
              <w:t>。</w:t>
            </w:r>
          </w:p>
        </w:tc>
      </w:tr>
      <w:tr w:rsidR="005A22C2" w:rsidRPr="005A22C2" w14:paraId="70D20A56" w14:textId="77777777" w:rsidTr="005F4B44">
        <w:tc>
          <w:tcPr>
            <w:tcW w:w="709" w:type="dxa"/>
            <w:tcBorders>
              <w:top w:val="single" w:sz="4" w:space="0" w:color="auto"/>
              <w:left w:val="single" w:sz="4" w:space="0" w:color="auto"/>
              <w:bottom w:val="single" w:sz="4" w:space="0" w:color="auto"/>
              <w:right w:val="single" w:sz="4" w:space="0" w:color="auto"/>
            </w:tcBorders>
            <w:hideMark/>
          </w:tcPr>
          <w:p w14:paraId="48B8DBF3" w14:textId="77777777" w:rsidR="005F4B44" w:rsidRPr="005A22C2" w:rsidRDefault="005F4B44" w:rsidP="005F4B44">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13</w:t>
            </w:r>
          </w:p>
        </w:tc>
        <w:tc>
          <w:tcPr>
            <w:tcW w:w="8788" w:type="dxa"/>
            <w:tcBorders>
              <w:top w:val="single" w:sz="4" w:space="0" w:color="auto"/>
              <w:left w:val="single" w:sz="4" w:space="0" w:color="auto"/>
              <w:bottom w:val="single" w:sz="4" w:space="0" w:color="auto"/>
              <w:right w:val="single" w:sz="4" w:space="0" w:color="auto"/>
            </w:tcBorders>
            <w:hideMark/>
          </w:tcPr>
          <w:p w14:paraId="76DAC6FA" w14:textId="756EEFBF" w:rsidR="005F4B44" w:rsidRPr="005A22C2" w:rsidRDefault="005F4B44" w:rsidP="005F4B44">
            <w:pPr>
              <w:pStyle w:val="Default"/>
              <w:jc w:val="both"/>
              <w:rPr>
                <w:color w:val="auto"/>
                <w:sz w:val="17"/>
                <w:szCs w:val="17"/>
              </w:rPr>
            </w:pPr>
            <w:r w:rsidRPr="005A22C2">
              <w:rPr>
                <w:i/>
                <w:iCs/>
                <w:color w:val="auto"/>
                <w:sz w:val="17"/>
                <w:szCs w:val="17"/>
                <w:lang w:eastAsia="zh-HK"/>
              </w:rPr>
              <w:t>在</w:t>
            </w:r>
            <w:r w:rsidRPr="005A22C2">
              <w:rPr>
                <w:i/>
                <w:iCs/>
                <w:color w:val="auto"/>
                <w:sz w:val="17"/>
                <w:szCs w:val="17"/>
              </w:rPr>
              <w:t>模版</w:t>
            </w:r>
            <w:r w:rsidRPr="005A22C2">
              <w:rPr>
                <w:i/>
                <w:iCs/>
                <w:color w:val="auto"/>
                <w:sz w:val="17"/>
                <w:szCs w:val="17"/>
              </w:rPr>
              <w:t>MR1</w:t>
            </w:r>
            <w:r w:rsidR="00515783" w:rsidRPr="005A22C2">
              <w:rPr>
                <w:rFonts w:hint="eastAsia"/>
                <w:i/>
                <w:iCs/>
                <w:color w:val="auto"/>
                <w:sz w:val="17"/>
                <w:szCs w:val="17"/>
                <w:lang w:eastAsia="zh-HK"/>
              </w:rPr>
              <w:t>中</w:t>
            </w:r>
            <w:r w:rsidRPr="005A22C2">
              <w:rPr>
                <w:i/>
                <w:iCs/>
                <w:color w:val="auto"/>
                <w:sz w:val="17"/>
                <w:szCs w:val="17"/>
                <w:lang w:eastAsia="zh-HK"/>
              </w:rPr>
              <w:t>披露</w:t>
            </w:r>
            <w:r w:rsidR="00BE1856" w:rsidRPr="005A22C2">
              <w:rPr>
                <w:rFonts w:hint="eastAsia"/>
                <w:i/>
                <w:iCs/>
                <w:color w:val="auto"/>
                <w:sz w:val="17"/>
                <w:szCs w:val="17"/>
                <w:lang w:eastAsia="zh-HK"/>
              </w:rPr>
              <w:t>受</w:t>
            </w:r>
            <w:r w:rsidRPr="005A22C2">
              <w:rPr>
                <w:i/>
                <w:iCs/>
                <w:color w:val="auto"/>
                <w:sz w:val="17"/>
                <w:szCs w:val="17"/>
              </w:rPr>
              <w:t>STM</w:t>
            </w:r>
            <w:r w:rsidRPr="005A22C2">
              <w:rPr>
                <w:i/>
                <w:iCs/>
                <w:color w:val="auto"/>
                <w:sz w:val="17"/>
                <w:szCs w:val="17"/>
                <w:lang w:eastAsia="zh-HK"/>
              </w:rPr>
              <w:t>計算法</w:t>
            </w:r>
            <w:r w:rsidR="00BE1856" w:rsidRPr="005A22C2">
              <w:rPr>
                <w:rFonts w:hint="eastAsia"/>
                <w:i/>
                <w:iCs/>
                <w:color w:val="auto"/>
                <w:sz w:val="17"/>
                <w:szCs w:val="17"/>
                <w:lang w:eastAsia="zh-HK"/>
              </w:rPr>
              <w:t>規限</w:t>
            </w:r>
            <w:r w:rsidR="00515783" w:rsidRPr="005A22C2">
              <w:rPr>
                <w:rFonts w:ascii="新細明體" w:hAnsi="新細明體" w:hint="eastAsia"/>
                <w:i/>
                <w:color w:val="auto"/>
                <w:sz w:val="17"/>
                <w:szCs w:val="17"/>
                <w:lang w:eastAsia="zh-HK"/>
              </w:rPr>
              <w:t>的</w:t>
            </w:r>
            <w:r w:rsidRPr="005A22C2">
              <w:rPr>
                <w:rFonts w:ascii="新細明體" w:hAnsi="新細明體" w:hint="eastAsia"/>
                <w:i/>
                <w:color w:val="auto"/>
                <w:sz w:val="17"/>
                <w:szCs w:val="17"/>
              </w:rPr>
              <w:t>交易桌</w:t>
            </w:r>
            <w:r w:rsidRPr="005A22C2">
              <w:rPr>
                <w:i/>
                <w:iCs/>
                <w:color w:val="auto"/>
                <w:sz w:val="17"/>
                <w:szCs w:val="17"/>
                <w:lang w:eastAsia="zh-HK"/>
              </w:rPr>
              <w:t>的總市場風險資本要求</w:t>
            </w:r>
            <w:r w:rsidRPr="005A22C2">
              <w:rPr>
                <w:color w:val="auto"/>
                <w:sz w:val="17"/>
                <w:szCs w:val="17"/>
              </w:rPr>
              <w:t>：</w:t>
            </w:r>
            <w:r w:rsidR="00BE1856" w:rsidRPr="005A22C2">
              <w:rPr>
                <w:rFonts w:hint="eastAsia"/>
                <w:color w:val="auto"/>
                <w:sz w:val="17"/>
                <w:szCs w:val="17"/>
                <w:lang w:eastAsia="zh-HK"/>
              </w:rPr>
              <w:t>受</w:t>
            </w:r>
            <w:r w:rsidRPr="005A22C2">
              <w:rPr>
                <w:color w:val="auto"/>
                <w:sz w:val="17"/>
                <w:szCs w:val="17"/>
              </w:rPr>
              <w:t>STM</w:t>
            </w:r>
            <w:r w:rsidRPr="005A22C2">
              <w:rPr>
                <w:color w:val="auto"/>
                <w:sz w:val="17"/>
                <w:szCs w:val="17"/>
                <w:lang w:eastAsia="zh-HK"/>
              </w:rPr>
              <w:t>計算</w:t>
            </w:r>
            <w:r w:rsidRPr="005A22C2">
              <w:rPr>
                <w:rFonts w:hint="eastAsia"/>
                <w:color w:val="auto"/>
                <w:sz w:val="17"/>
                <w:szCs w:val="17"/>
                <w:lang w:eastAsia="zh-HK"/>
              </w:rPr>
              <w:t>法</w:t>
            </w:r>
            <w:r w:rsidR="00BE1856" w:rsidRPr="005A22C2">
              <w:rPr>
                <w:rFonts w:hint="eastAsia"/>
                <w:color w:val="auto"/>
                <w:sz w:val="17"/>
                <w:szCs w:val="17"/>
                <w:lang w:eastAsia="zh-HK"/>
              </w:rPr>
              <w:t>規限</w:t>
            </w:r>
            <w:r w:rsidR="00FC5741" w:rsidRPr="005A22C2">
              <w:rPr>
                <w:rFonts w:hint="eastAsia"/>
                <w:color w:val="auto"/>
                <w:sz w:val="17"/>
                <w:szCs w:val="17"/>
                <w:lang w:eastAsia="zh-HK"/>
              </w:rPr>
              <w:t>的</w:t>
            </w:r>
            <w:r w:rsidRPr="005A22C2">
              <w:rPr>
                <w:rFonts w:hint="eastAsia"/>
                <w:color w:val="auto"/>
                <w:sz w:val="17"/>
                <w:szCs w:val="17"/>
                <w:lang w:eastAsia="zh-HK"/>
              </w:rPr>
              <w:t>交易桌的市場風險資本要求</w:t>
            </w:r>
            <w:r w:rsidR="002822D2" w:rsidRPr="005A22C2">
              <w:rPr>
                <w:rFonts w:hint="eastAsia"/>
                <w:color w:val="auto"/>
                <w:kern w:val="2"/>
                <w:sz w:val="17"/>
                <w:szCs w:val="17"/>
              </w:rPr>
              <w:t>（</w:t>
            </w:r>
            <w:r w:rsidRPr="005A22C2">
              <w:rPr>
                <w:iCs/>
                <w:color w:val="auto"/>
                <w:sz w:val="17"/>
                <w:szCs w:val="17"/>
                <w:lang w:eastAsia="zh-HK"/>
              </w:rPr>
              <w:t>即</w:t>
            </w:r>
            <w:r w:rsidRPr="005A22C2">
              <w:rPr>
                <w:i/>
                <w:iCs/>
                <w:color w:val="auto"/>
                <w:sz w:val="17"/>
                <w:szCs w:val="17"/>
              </w:rPr>
              <w:t xml:space="preserve"> C</w:t>
            </w:r>
            <w:r w:rsidRPr="005A22C2">
              <w:rPr>
                <w:i/>
                <w:iCs/>
                <w:color w:val="auto"/>
                <w:sz w:val="17"/>
                <w:szCs w:val="17"/>
                <w:vertAlign w:val="subscript"/>
              </w:rPr>
              <w:t>U</w:t>
            </w:r>
            <w:r w:rsidR="00083254" w:rsidRPr="005A22C2">
              <w:rPr>
                <w:rFonts w:hint="eastAsia"/>
                <w:iCs/>
                <w:color w:val="auto"/>
                <w:sz w:val="17"/>
                <w:szCs w:val="17"/>
              </w:rPr>
              <w:t>）</w:t>
            </w:r>
            <w:r w:rsidRPr="005A22C2">
              <w:rPr>
                <w:iCs/>
                <w:color w:val="auto"/>
                <w:sz w:val="17"/>
                <w:szCs w:val="17"/>
              </w:rPr>
              <w:t>。</w:t>
            </w:r>
            <w:r w:rsidRPr="005A22C2">
              <w:rPr>
                <w:iCs/>
                <w:color w:val="auto"/>
                <w:sz w:val="17"/>
                <w:szCs w:val="17"/>
                <w:lang w:eastAsia="zh-HK"/>
              </w:rPr>
              <w:t>本行的值相等於</w:t>
            </w:r>
            <w:r w:rsidRPr="005A22C2" w:rsidDel="004C4390">
              <w:rPr>
                <w:iCs/>
                <w:color w:val="auto"/>
                <w:sz w:val="17"/>
                <w:szCs w:val="17"/>
                <w:lang w:eastAsia="zh-HK"/>
              </w:rPr>
              <w:t xml:space="preserve"> </w:t>
            </w:r>
            <w:r w:rsidRPr="005A22C2">
              <w:rPr>
                <w:color w:val="auto"/>
                <w:sz w:val="17"/>
                <w:szCs w:val="17"/>
              </w:rPr>
              <w:t>[MR1</w:t>
            </w:r>
            <w:r w:rsidRPr="005A22C2">
              <w:rPr>
                <w:color w:val="auto"/>
                <w:sz w:val="17"/>
                <w:szCs w:val="17"/>
              </w:rPr>
              <w:t>：</w:t>
            </w:r>
            <w:r w:rsidR="00AA54E5" w:rsidRPr="00AC66A1">
              <w:rPr>
                <w:color w:val="auto"/>
                <w:sz w:val="17"/>
                <w:szCs w:val="17"/>
              </w:rPr>
              <w:t>13</w:t>
            </w:r>
            <w:r w:rsidRPr="00AC66A1">
              <w:rPr>
                <w:iCs/>
                <w:color w:val="auto"/>
                <w:sz w:val="17"/>
                <w:szCs w:val="17"/>
              </w:rPr>
              <w:t>/</w:t>
            </w:r>
            <w:proofErr w:type="gramStart"/>
            <w:r w:rsidRPr="005A22C2">
              <w:rPr>
                <w:color w:val="auto"/>
                <w:sz w:val="17"/>
                <w:szCs w:val="17"/>
              </w:rPr>
              <w:t>a]</w:t>
            </w:r>
            <w:r w:rsidRPr="005A22C2">
              <w:rPr>
                <w:color w:val="auto"/>
                <w:sz w:val="17"/>
                <w:szCs w:val="17"/>
                <w:lang w:eastAsia="zh-HK"/>
              </w:rPr>
              <w:t>披露的</w:t>
            </w:r>
            <w:proofErr w:type="gramEnd"/>
            <w:r w:rsidRPr="005A22C2">
              <w:rPr>
                <w:iCs/>
                <w:color w:val="auto"/>
                <w:sz w:val="17"/>
                <w:szCs w:val="17"/>
              </w:rPr>
              <w:t>STM</w:t>
            </w:r>
            <w:r w:rsidRPr="005A22C2">
              <w:rPr>
                <w:iCs/>
                <w:color w:val="auto"/>
                <w:sz w:val="17"/>
                <w:szCs w:val="17"/>
                <w:lang w:eastAsia="zh-HK"/>
              </w:rPr>
              <w:t>計算法</w:t>
            </w:r>
            <w:r w:rsidRPr="005A22C2">
              <w:rPr>
                <w:rFonts w:hint="eastAsia"/>
                <w:color w:val="auto"/>
                <w:sz w:val="17"/>
                <w:szCs w:val="17"/>
                <w:lang w:eastAsia="zh-HK"/>
              </w:rPr>
              <w:t>下的</w:t>
            </w:r>
            <w:r w:rsidRPr="005A22C2">
              <w:rPr>
                <w:color w:val="auto"/>
                <w:sz w:val="17"/>
                <w:szCs w:val="17"/>
                <w:lang w:eastAsia="zh-HK"/>
              </w:rPr>
              <w:t>市場風險資本要求</w:t>
            </w:r>
            <w:r w:rsidR="006324EC" w:rsidRPr="005A22C2">
              <w:rPr>
                <w:color w:val="auto"/>
                <w:sz w:val="17"/>
                <w:szCs w:val="17"/>
                <w:lang w:eastAsia="zh-HK"/>
              </w:rPr>
              <w:t>總</w:t>
            </w:r>
            <w:r w:rsidR="006324EC" w:rsidRPr="005A22C2">
              <w:rPr>
                <w:rFonts w:hint="eastAsia"/>
                <w:color w:val="auto"/>
                <w:sz w:val="17"/>
                <w:szCs w:val="17"/>
                <w:lang w:eastAsia="zh-HK"/>
              </w:rPr>
              <w:t>計</w:t>
            </w:r>
            <w:r w:rsidRPr="005A22C2">
              <w:rPr>
                <w:color w:val="auto"/>
                <w:sz w:val="17"/>
                <w:szCs w:val="17"/>
              </w:rPr>
              <w:t>。</w:t>
            </w:r>
          </w:p>
          <w:p w14:paraId="42104C85" w14:textId="77777777" w:rsidR="005F4B44" w:rsidRPr="005A22C2" w:rsidRDefault="005F4B44" w:rsidP="005F4B44">
            <w:pPr>
              <w:pStyle w:val="Default"/>
              <w:snapToGrid w:val="0"/>
              <w:jc w:val="both"/>
              <w:rPr>
                <w:color w:val="auto"/>
                <w:sz w:val="17"/>
                <w:szCs w:val="17"/>
              </w:rPr>
            </w:pPr>
          </w:p>
          <w:p w14:paraId="06547325" w14:textId="3BF078CF" w:rsidR="005F4B44" w:rsidRPr="005A22C2" w:rsidRDefault="005F4B44" w:rsidP="00694EE0">
            <w:pPr>
              <w:pStyle w:val="Default"/>
              <w:jc w:val="both"/>
              <w:rPr>
                <w:color w:val="auto"/>
                <w:sz w:val="17"/>
                <w:szCs w:val="17"/>
                <w:lang w:eastAsia="zh-HK"/>
              </w:rPr>
            </w:pPr>
            <w:r w:rsidRPr="005A22C2">
              <w:rPr>
                <w:color w:val="auto"/>
                <w:sz w:val="17"/>
                <w:szCs w:val="17"/>
                <w:lang w:eastAsia="zh-HK"/>
              </w:rPr>
              <w:t>本行的值乘以</w:t>
            </w:r>
            <w:r w:rsidRPr="005A22C2">
              <w:rPr>
                <w:color w:val="auto"/>
                <w:sz w:val="17"/>
                <w:szCs w:val="17"/>
              </w:rPr>
              <w:t>12.5</w:t>
            </w:r>
            <w:r w:rsidRPr="005A22C2">
              <w:rPr>
                <w:color w:val="auto"/>
                <w:sz w:val="17"/>
                <w:szCs w:val="17"/>
              </w:rPr>
              <w:t>，</w:t>
            </w:r>
            <w:r w:rsidRPr="005A22C2">
              <w:rPr>
                <w:color w:val="auto"/>
                <w:sz w:val="17"/>
                <w:szCs w:val="17"/>
                <w:lang w:eastAsia="zh-HK"/>
              </w:rPr>
              <w:t>便</w:t>
            </w:r>
            <w:r w:rsidRPr="005A22C2">
              <w:rPr>
                <w:iCs/>
                <w:color w:val="auto"/>
                <w:sz w:val="17"/>
                <w:szCs w:val="17"/>
                <w:lang w:eastAsia="zh-HK"/>
              </w:rPr>
              <w:t>相</w:t>
            </w:r>
            <w:r w:rsidRPr="005A22C2">
              <w:rPr>
                <w:color w:val="auto"/>
                <w:sz w:val="17"/>
                <w:szCs w:val="17"/>
                <w:lang w:eastAsia="zh-HK"/>
              </w:rPr>
              <w:t>等於</w:t>
            </w:r>
            <w:r w:rsidRPr="005A22C2">
              <w:rPr>
                <w:color w:val="auto"/>
                <w:sz w:val="17"/>
                <w:szCs w:val="17"/>
              </w:rPr>
              <w:t xml:space="preserve">[CMS1:5/b] </w:t>
            </w:r>
            <w:r w:rsidRPr="005A22C2">
              <w:rPr>
                <w:color w:val="auto"/>
                <w:sz w:val="17"/>
                <w:szCs w:val="17"/>
                <w:lang w:eastAsia="zh-HK"/>
              </w:rPr>
              <w:t>的值</w:t>
            </w:r>
            <w:r w:rsidRPr="005A22C2">
              <w:rPr>
                <w:color w:val="auto"/>
                <w:sz w:val="17"/>
                <w:szCs w:val="17"/>
              </w:rPr>
              <w:t>。</w:t>
            </w:r>
            <w:r w:rsidR="002822D2" w:rsidRPr="005A22C2">
              <w:rPr>
                <w:rFonts w:hint="eastAsia"/>
                <w:color w:val="auto"/>
                <w:kern w:val="2"/>
                <w:sz w:val="17"/>
                <w:szCs w:val="17"/>
              </w:rPr>
              <w:t>（</w:t>
            </w:r>
            <w:r w:rsidRPr="005A22C2">
              <w:rPr>
                <w:color w:val="auto"/>
                <w:sz w:val="17"/>
                <w:szCs w:val="17"/>
                <w:lang w:eastAsia="zh-HK"/>
              </w:rPr>
              <w:t>註</w:t>
            </w:r>
            <w:r w:rsidRPr="005A22C2">
              <w:rPr>
                <w:color w:val="auto"/>
                <w:sz w:val="17"/>
                <w:szCs w:val="17"/>
              </w:rPr>
              <w:t>：</w:t>
            </w:r>
            <w:r w:rsidRPr="005A22C2">
              <w:rPr>
                <w:color w:val="auto"/>
                <w:sz w:val="17"/>
                <w:szCs w:val="17"/>
                <w:lang w:eastAsia="zh-HK"/>
              </w:rPr>
              <w:t>若認可機構使用</w:t>
            </w:r>
            <w:r w:rsidRPr="005A22C2">
              <w:rPr>
                <w:color w:val="auto"/>
                <w:sz w:val="17"/>
                <w:szCs w:val="17"/>
              </w:rPr>
              <w:t>STM</w:t>
            </w:r>
            <w:r w:rsidRPr="005A22C2">
              <w:rPr>
                <w:color w:val="auto"/>
                <w:sz w:val="17"/>
                <w:szCs w:val="17"/>
                <w:lang w:eastAsia="zh-HK"/>
              </w:rPr>
              <w:t>計算法計算市場風險</w:t>
            </w:r>
            <w:r w:rsidRPr="005A22C2">
              <w:rPr>
                <w:color w:val="auto"/>
                <w:sz w:val="17"/>
                <w:szCs w:val="17"/>
              </w:rPr>
              <w:t>，</w:t>
            </w:r>
            <w:r w:rsidRPr="005A22C2">
              <w:rPr>
                <w:color w:val="auto"/>
                <w:sz w:val="17"/>
                <w:szCs w:val="17"/>
                <w:lang w:eastAsia="zh-HK"/>
              </w:rPr>
              <w:t>同時在</w:t>
            </w:r>
            <w:r w:rsidRPr="005A22C2">
              <w:rPr>
                <w:rFonts w:hint="eastAsia"/>
                <w:color w:val="auto"/>
                <w:sz w:val="17"/>
                <w:szCs w:val="17"/>
                <w:lang w:eastAsia="zh-HK"/>
              </w:rPr>
              <w:t>斷</w:t>
            </w:r>
            <w:r w:rsidRPr="005A22C2">
              <w:rPr>
                <w:rFonts w:hint="eastAsia"/>
                <w:color w:val="auto"/>
                <w:sz w:val="17"/>
                <w:szCs w:val="17"/>
              </w:rPr>
              <w:t>定</w:t>
            </w:r>
            <w:r w:rsidRPr="005A22C2">
              <w:rPr>
                <w:color w:val="auto"/>
                <w:sz w:val="17"/>
                <w:szCs w:val="17"/>
                <w:lang w:eastAsia="zh-HK"/>
              </w:rPr>
              <w:t>交易帳所持</w:t>
            </w:r>
            <w:r w:rsidR="000609B1" w:rsidRPr="005A22C2">
              <w:rPr>
                <w:rFonts w:hint="eastAsia"/>
                <w:color w:val="auto"/>
                <w:sz w:val="17"/>
                <w:szCs w:val="17"/>
                <w:lang w:eastAsia="zh-HK"/>
              </w:rPr>
              <w:t>有的</w:t>
            </w:r>
            <w:r w:rsidRPr="005A22C2">
              <w:rPr>
                <w:color w:val="auto"/>
                <w:sz w:val="17"/>
                <w:szCs w:val="17"/>
                <w:lang w:eastAsia="zh-HK"/>
              </w:rPr>
              <w:t>證券化</w:t>
            </w:r>
            <w:r w:rsidR="00594A3D" w:rsidRPr="005A22C2">
              <w:rPr>
                <w:rFonts w:hint="eastAsia"/>
                <w:color w:val="auto"/>
                <w:sz w:val="17"/>
                <w:szCs w:val="17"/>
                <w:lang w:eastAsia="zh-HK"/>
              </w:rPr>
              <w:t>工具</w:t>
            </w:r>
            <w:r w:rsidRPr="005A22C2">
              <w:rPr>
                <w:color w:val="auto"/>
                <w:sz w:val="17"/>
                <w:szCs w:val="17"/>
                <w:lang w:eastAsia="zh-HK"/>
              </w:rPr>
              <w:t>的違責風險</w:t>
            </w:r>
            <w:r w:rsidRPr="005A22C2">
              <w:rPr>
                <w:rFonts w:hint="eastAsia"/>
                <w:color w:val="auto"/>
                <w:sz w:val="17"/>
                <w:szCs w:val="17"/>
                <w:lang w:eastAsia="zh-HK"/>
              </w:rPr>
              <w:t>資本</w:t>
            </w:r>
            <w:r w:rsidRPr="005A22C2">
              <w:rPr>
                <w:color w:val="auto"/>
                <w:sz w:val="17"/>
                <w:szCs w:val="17"/>
                <w:lang w:eastAsia="zh-HK"/>
              </w:rPr>
              <w:t>要求組成部分時</w:t>
            </w:r>
            <w:r w:rsidR="00C3084F" w:rsidRPr="005A22C2">
              <w:rPr>
                <w:color w:val="auto"/>
                <w:sz w:val="17"/>
                <w:szCs w:val="17"/>
                <w:lang w:eastAsia="zh-HK"/>
              </w:rPr>
              <w:t>亦</w:t>
            </w:r>
            <w:r w:rsidRPr="005A22C2">
              <w:rPr>
                <w:color w:val="auto"/>
                <w:sz w:val="17"/>
                <w:szCs w:val="17"/>
                <w:lang w:eastAsia="zh-HK"/>
              </w:rPr>
              <w:t>使用</w:t>
            </w:r>
            <w:r w:rsidRPr="005A22C2">
              <w:rPr>
                <w:color w:val="auto"/>
                <w:sz w:val="17"/>
                <w:szCs w:val="17"/>
              </w:rPr>
              <w:t xml:space="preserve">SEC-IRBA </w:t>
            </w:r>
            <w:r w:rsidRPr="005A22C2">
              <w:rPr>
                <w:color w:val="auto"/>
                <w:sz w:val="17"/>
                <w:szCs w:val="17"/>
                <w:lang w:eastAsia="zh-HK"/>
              </w:rPr>
              <w:t>及</w:t>
            </w:r>
            <w:r w:rsidRPr="005A22C2">
              <w:rPr>
                <w:color w:val="auto"/>
                <w:sz w:val="17"/>
                <w:szCs w:val="17"/>
              </w:rPr>
              <w:t>/</w:t>
            </w:r>
            <w:r w:rsidRPr="005A22C2">
              <w:rPr>
                <w:color w:val="auto"/>
                <w:sz w:val="17"/>
                <w:szCs w:val="17"/>
                <w:lang w:eastAsia="zh-HK"/>
              </w:rPr>
              <w:t>或</w:t>
            </w:r>
            <w:r w:rsidRPr="005A22C2">
              <w:rPr>
                <w:color w:val="auto"/>
                <w:sz w:val="17"/>
                <w:szCs w:val="17"/>
              </w:rPr>
              <w:t xml:space="preserve"> SEC-IAA</w:t>
            </w:r>
            <w:r w:rsidRPr="005A22C2">
              <w:rPr>
                <w:color w:val="auto"/>
                <w:sz w:val="17"/>
                <w:szCs w:val="17"/>
              </w:rPr>
              <w:t>，</w:t>
            </w:r>
            <w:r w:rsidR="00D9181E" w:rsidRPr="00D9181E">
              <w:rPr>
                <w:rFonts w:hint="eastAsia"/>
                <w:color w:val="auto"/>
                <w:sz w:val="17"/>
                <w:szCs w:val="17"/>
                <w:lang w:eastAsia="zh-HK"/>
              </w:rPr>
              <w:t>或</w:t>
            </w:r>
            <w:r w:rsidR="00D9181E" w:rsidRPr="00A51540">
              <w:rPr>
                <w:rFonts w:hint="eastAsia"/>
                <w:color w:val="auto"/>
                <w:sz w:val="17"/>
                <w:szCs w:val="17"/>
                <w:lang w:eastAsia="zh-HK"/>
              </w:rPr>
              <w:t>若</w:t>
            </w:r>
            <w:r w:rsidR="00D9181E" w:rsidRPr="00D9181E">
              <w:rPr>
                <w:rFonts w:hint="eastAsia"/>
                <w:color w:val="auto"/>
                <w:sz w:val="17"/>
                <w:szCs w:val="17"/>
                <w:lang w:eastAsia="zh-HK"/>
              </w:rPr>
              <w:t>認可機構須</w:t>
            </w:r>
            <w:r w:rsidR="009C39BD" w:rsidRPr="009C39BD">
              <w:rPr>
                <w:rFonts w:hint="eastAsia"/>
                <w:color w:val="auto"/>
                <w:sz w:val="17"/>
                <w:szCs w:val="17"/>
              </w:rPr>
              <w:t>就</w:t>
            </w:r>
            <w:r w:rsidR="00D9181E" w:rsidRPr="00D9181E">
              <w:rPr>
                <w:rFonts w:hint="eastAsia"/>
                <w:color w:val="auto"/>
                <w:sz w:val="17"/>
                <w:szCs w:val="17"/>
                <w:lang w:eastAsia="zh-HK"/>
              </w:rPr>
              <w:t>編配予交易帳的第</w:t>
            </w:r>
            <w:r w:rsidR="00D9181E" w:rsidRPr="00D9181E">
              <w:rPr>
                <w:color w:val="auto"/>
                <w:sz w:val="17"/>
                <w:szCs w:val="17"/>
                <w:lang w:eastAsia="zh-HK"/>
              </w:rPr>
              <w:t>1</w:t>
            </w:r>
            <w:r w:rsidR="009C39BD" w:rsidRPr="009C39BD">
              <w:rPr>
                <w:rFonts w:hint="eastAsia"/>
                <w:color w:val="auto"/>
                <w:sz w:val="17"/>
                <w:szCs w:val="17"/>
              </w:rPr>
              <w:t>組</w:t>
            </w:r>
            <w:r w:rsidR="00D9181E" w:rsidRPr="00D9181E">
              <w:rPr>
                <w:rFonts w:hint="eastAsia"/>
                <w:color w:val="auto"/>
                <w:sz w:val="17"/>
                <w:szCs w:val="17"/>
                <w:lang w:eastAsia="zh-HK"/>
              </w:rPr>
              <w:t>加密資產風險承擔計算基建風險附加額</w:t>
            </w:r>
            <w:r w:rsidR="009C39BD" w:rsidRPr="005A22C2">
              <w:rPr>
                <w:color w:val="auto"/>
                <w:sz w:val="17"/>
                <w:szCs w:val="17"/>
              </w:rPr>
              <w:t>，</w:t>
            </w:r>
            <w:r w:rsidR="00A51540" w:rsidRPr="00E628C3">
              <w:rPr>
                <w:rFonts w:hint="eastAsia"/>
                <w:color w:val="auto"/>
                <w:sz w:val="17"/>
                <w:szCs w:val="17"/>
                <w:lang w:eastAsia="zh-HK"/>
              </w:rPr>
              <w:t>則</w:t>
            </w:r>
            <w:r w:rsidRPr="005A22C2">
              <w:rPr>
                <w:color w:val="auto"/>
                <w:sz w:val="17"/>
                <w:szCs w:val="17"/>
                <w:lang w:eastAsia="zh-HK"/>
              </w:rPr>
              <w:t>上述與</w:t>
            </w:r>
            <w:r w:rsidRPr="005A22C2">
              <w:rPr>
                <w:color w:val="auto"/>
                <w:sz w:val="17"/>
                <w:szCs w:val="17"/>
              </w:rPr>
              <w:t xml:space="preserve">[CMS1:5/b] </w:t>
            </w:r>
            <w:r w:rsidRPr="005A22C2">
              <w:rPr>
                <w:color w:val="auto"/>
                <w:sz w:val="17"/>
                <w:szCs w:val="17"/>
                <w:lang w:eastAsia="zh-HK"/>
              </w:rPr>
              <w:t>的</w:t>
            </w:r>
            <w:r w:rsidRPr="005A22C2">
              <w:rPr>
                <w:rFonts w:hint="eastAsia"/>
                <w:color w:val="auto"/>
                <w:sz w:val="17"/>
                <w:szCs w:val="17"/>
                <w:lang w:eastAsia="zh-HK"/>
              </w:rPr>
              <w:t>關</w:t>
            </w:r>
            <w:r w:rsidR="00C3084F" w:rsidRPr="005A22C2">
              <w:rPr>
                <w:rFonts w:hint="eastAsia"/>
                <w:color w:val="auto"/>
                <w:sz w:val="17"/>
                <w:szCs w:val="17"/>
                <w:lang w:eastAsia="zh-HK"/>
              </w:rPr>
              <w:t>連</w:t>
            </w:r>
            <w:r w:rsidR="00BB77A3" w:rsidRPr="00E628C3">
              <w:rPr>
                <w:rFonts w:hint="eastAsia"/>
                <w:color w:val="auto"/>
                <w:sz w:val="17"/>
                <w:szCs w:val="17"/>
                <w:lang w:eastAsia="zh-HK"/>
              </w:rPr>
              <w:t>將</w:t>
            </w:r>
            <w:r w:rsidRPr="005A22C2">
              <w:rPr>
                <w:color w:val="auto"/>
                <w:sz w:val="17"/>
                <w:szCs w:val="17"/>
                <w:lang w:eastAsia="zh-HK"/>
              </w:rPr>
              <w:t>不成立</w:t>
            </w:r>
            <w:r w:rsidRPr="005A22C2">
              <w:rPr>
                <w:color w:val="auto"/>
                <w:sz w:val="17"/>
                <w:szCs w:val="17"/>
              </w:rPr>
              <w:t>。</w:t>
            </w:r>
            <w:r w:rsidR="009C39BD" w:rsidRPr="005A22C2">
              <w:rPr>
                <w:rFonts w:hint="eastAsia"/>
                <w:color w:val="auto"/>
                <w:sz w:val="17"/>
                <w:szCs w:val="17"/>
              </w:rPr>
              <w:t>）</w:t>
            </w:r>
          </w:p>
        </w:tc>
      </w:tr>
      <w:tr w:rsidR="005A22C2" w:rsidRPr="005A22C2" w14:paraId="46314D06" w14:textId="77777777" w:rsidTr="005F4B44">
        <w:tc>
          <w:tcPr>
            <w:tcW w:w="709" w:type="dxa"/>
            <w:tcBorders>
              <w:top w:val="single" w:sz="4" w:space="0" w:color="auto"/>
              <w:left w:val="single" w:sz="4" w:space="0" w:color="auto"/>
              <w:bottom w:val="single" w:sz="4" w:space="0" w:color="auto"/>
              <w:right w:val="single" w:sz="4" w:space="0" w:color="auto"/>
            </w:tcBorders>
            <w:hideMark/>
          </w:tcPr>
          <w:p w14:paraId="44E3726A" w14:textId="77777777" w:rsidR="005F4B44" w:rsidRPr="005A22C2" w:rsidRDefault="005F4B44" w:rsidP="005F4B44">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14</w:t>
            </w:r>
          </w:p>
        </w:tc>
        <w:tc>
          <w:tcPr>
            <w:tcW w:w="8788" w:type="dxa"/>
            <w:tcBorders>
              <w:top w:val="single" w:sz="4" w:space="0" w:color="auto"/>
              <w:left w:val="single" w:sz="4" w:space="0" w:color="auto"/>
              <w:bottom w:val="single" w:sz="4" w:space="0" w:color="auto"/>
              <w:right w:val="single" w:sz="4" w:space="0" w:color="auto"/>
            </w:tcBorders>
            <w:hideMark/>
          </w:tcPr>
          <w:p w14:paraId="64A91902" w14:textId="79E0319F" w:rsidR="005F4B44" w:rsidRPr="005A22C2" w:rsidRDefault="005F4B44" w:rsidP="000E63CA">
            <w:pPr>
              <w:pStyle w:val="Default"/>
              <w:jc w:val="both"/>
              <w:rPr>
                <w:color w:val="auto"/>
                <w:sz w:val="17"/>
                <w:szCs w:val="17"/>
              </w:rPr>
            </w:pPr>
            <w:r w:rsidRPr="005A22C2">
              <w:rPr>
                <w:rFonts w:hint="eastAsia"/>
                <w:i/>
                <w:iCs/>
                <w:color w:val="auto"/>
                <w:sz w:val="17"/>
                <w:szCs w:val="17"/>
              </w:rPr>
              <w:t>編配</w:t>
            </w:r>
            <w:proofErr w:type="gramStart"/>
            <w:r w:rsidRPr="005A22C2">
              <w:rPr>
                <w:rFonts w:hint="eastAsia"/>
                <w:i/>
                <w:iCs/>
                <w:color w:val="auto"/>
                <w:sz w:val="17"/>
                <w:szCs w:val="17"/>
              </w:rPr>
              <w:t>予</w:t>
            </w:r>
            <w:r w:rsidRPr="005A22C2">
              <w:rPr>
                <w:i/>
                <w:iCs/>
                <w:color w:val="auto"/>
                <w:sz w:val="17"/>
                <w:szCs w:val="17"/>
              </w:rPr>
              <w:t>綠</w:t>
            </w:r>
            <w:r w:rsidRPr="005A22C2">
              <w:rPr>
                <w:rFonts w:hint="eastAsia"/>
                <w:i/>
                <w:iCs/>
                <w:color w:val="auto"/>
                <w:sz w:val="17"/>
                <w:szCs w:val="17"/>
                <w:lang w:eastAsia="zh-HK"/>
              </w:rPr>
              <w:t>區</w:t>
            </w:r>
            <w:r w:rsidRPr="005A22C2">
              <w:rPr>
                <w:i/>
                <w:iCs/>
                <w:color w:val="auto"/>
                <w:sz w:val="17"/>
                <w:szCs w:val="17"/>
              </w:rPr>
              <w:t>或黃區</w:t>
            </w:r>
            <w:proofErr w:type="gramEnd"/>
            <w:r w:rsidRPr="005A22C2">
              <w:rPr>
                <w:i/>
                <w:iCs/>
                <w:color w:val="auto"/>
                <w:sz w:val="17"/>
                <w:szCs w:val="17"/>
              </w:rPr>
              <w:t>的交易</w:t>
            </w:r>
            <w:r w:rsidRPr="005A22C2">
              <w:rPr>
                <w:rFonts w:hint="eastAsia"/>
                <w:i/>
                <w:iCs/>
                <w:color w:val="auto"/>
                <w:sz w:val="17"/>
                <w:szCs w:val="17"/>
              </w:rPr>
              <w:t>桌</w:t>
            </w:r>
            <w:r w:rsidRPr="005A22C2">
              <w:rPr>
                <w:i/>
                <w:iCs/>
                <w:color w:val="auto"/>
                <w:sz w:val="17"/>
                <w:szCs w:val="17"/>
              </w:rPr>
              <w:t>在</w:t>
            </w:r>
            <w:r w:rsidRPr="005A22C2">
              <w:rPr>
                <w:i/>
                <w:iCs/>
                <w:color w:val="auto"/>
                <w:sz w:val="17"/>
                <w:szCs w:val="17"/>
              </w:rPr>
              <w:t>IMA</w:t>
            </w:r>
            <w:r w:rsidRPr="005A22C2">
              <w:rPr>
                <w:i/>
                <w:iCs/>
                <w:color w:val="auto"/>
                <w:sz w:val="17"/>
                <w:szCs w:val="17"/>
              </w:rPr>
              <w:t>與</w:t>
            </w:r>
            <w:r w:rsidRPr="005A22C2">
              <w:rPr>
                <w:i/>
                <w:iCs/>
                <w:color w:val="auto"/>
                <w:sz w:val="17"/>
                <w:szCs w:val="17"/>
              </w:rPr>
              <w:t>STM</w:t>
            </w:r>
            <w:r w:rsidRPr="005A22C2">
              <w:rPr>
                <w:i/>
                <w:iCs/>
                <w:color w:val="auto"/>
                <w:sz w:val="17"/>
                <w:szCs w:val="17"/>
              </w:rPr>
              <w:t>計算法下的市場風險資本要求的差</w:t>
            </w:r>
            <w:r w:rsidRPr="005A22C2">
              <w:rPr>
                <w:rFonts w:hint="eastAsia"/>
                <w:i/>
                <w:iCs/>
                <w:color w:val="auto"/>
                <w:sz w:val="17"/>
                <w:szCs w:val="17"/>
              </w:rPr>
              <w:t>額</w:t>
            </w:r>
            <w:r w:rsidRPr="005A22C2">
              <w:rPr>
                <w:iCs/>
                <w:color w:val="auto"/>
                <w:sz w:val="17"/>
                <w:szCs w:val="17"/>
              </w:rPr>
              <w:t>：</w:t>
            </w:r>
            <w:r w:rsidRPr="005A22C2">
              <w:rPr>
                <w:rFonts w:hint="eastAsia"/>
                <w:iCs/>
                <w:color w:val="auto"/>
                <w:sz w:val="17"/>
                <w:szCs w:val="17"/>
                <w:lang w:eastAsia="zh-HK"/>
              </w:rPr>
              <w:t>指</w:t>
            </w:r>
            <w:r w:rsidR="00FC5741" w:rsidRPr="005A22C2">
              <w:rPr>
                <w:rFonts w:hint="eastAsia"/>
                <w:iCs/>
                <w:color w:val="auto"/>
                <w:sz w:val="17"/>
                <w:szCs w:val="17"/>
                <w:lang w:eastAsia="zh-HK"/>
              </w:rPr>
              <w:t>就</w:t>
            </w:r>
            <w:r w:rsidRPr="005A22C2">
              <w:rPr>
                <w:rFonts w:hint="eastAsia"/>
                <w:color w:val="auto"/>
                <w:sz w:val="17"/>
                <w:szCs w:val="17"/>
                <w:lang w:eastAsia="zh-HK"/>
              </w:rPr>
              <w:t>符合回溯測試規定並</w:t>
            </w:r>
            <w:r w:rsidRPr="005A22C2">
              <w:rPr>
                <w:color w:val="auto"/>
                <w:sz w:val="17"/>
                <w:szCs w:val="17"/>
              </w:rPr>
              <w:t>在損益</w:t>
            </w:r>
            <w:r w:rsidRPr="005A22C2">
              <w:rPr>
                <w:rFonts w:hint="eastAsia"/>
                <w:color w:val="auto"/>
                <w:sz w:val="17"/>
                <w:szCs w:val="17"/>
                <w:lang w:eastAsia="zh-HK"/>
              </w:rPr>
              <w:t>歸屬</w:t>
            </w:r>
            <w:r w:rsidRPr="005A22C2">
              <w:rPr>
                <w:color w:val="auto"/>
                <w:sz w:val="17"/>
                <w:szCs w:val="17"/>
              </w:rPr>
              <w:t>測試中</w:t>
            </w:r>
            <w:r w:rsidR="00FC5741" w:rsidRPr="005A22C2">
              <w:rPr>
                <w:rFonts w:hint="eastAsia"/>
                <w:color w:val="auto"/>
                <w:sz w:val="17"/>
                <w:szCs w:val="17"/>
              </w:rPr>
              <w:t>獲編</w:t>
            </w:r>
            <w:r w:rsidR="00FC5741" w:rsidRPr="005A22C2">
              <w:rPr>
                <w:color w:val="auto"/>
                <w:sz w:val="17"/>
                <w:szCs w:val="17"/>
              </w:rPr>
              <w:t>配</w:t>
            </w:r>
            <w:r w:rsidR="00FC5741" w:rsidRPr="005A22C2">
              <w:rPr>
                <w:rFonts w:hint="eastAsia"/>
                <w:color w:val="auto"/>
                <w:sz w:val="17"/>
                <w:szCs w:val="17"/>
              </w:rPr>
              <w:t>予</w:t>
            </w:r>
            <w:r w:rsidRPr="005A22C2">
              <w:rPr>
                <w:color w:val="auto"/>
                <w:sz w:val="17"/>
                <w:szCs w:val="17"/>
                <w:lang w:eastAsia="zh-HK"/>
              </w:rPr>
              <w:t>綠</w:t>
            </w:r>
            <w:r w:rsidRPr="005A22C2">
              <w:rPr>
                <w:color w:val="auto"/>
                <w:sz w:val="17"/>
                <w:szCs w:val="17"/>
              </w:rPr>
              <w:t>區</w:t>
            </w:r>
            <w:r w:rsidRPr="005A22C2">
              <w:rPr>
                <w:color w:val="auto"/>
                <w:sz w:val="17"/>
                <w:szCs w:val="17"/>
                <w:lang w:eastAsia="zh-HK"/>
              </w:rPr>
              <w:t>及</w:t>
            </w:r>
            <w:r w:rsidRPr="005A22C2">
              <w:rPr>
                <w:color w:val="auto"/>
                <w:sz w:val="17"/>
                <w:szCs w:val="17"/>
              </w:rPr>
              <w:t>黃區</w:t>
            </w:r>
            <w:r w:rsidR="00FC5741" w:rsidRPr="005A22C2">
              <w:rPr>
                <w:color w:val="auto"/>
                <w:sz w:val="17"/>
                <w:szCs w:val="17"/>
                <w:lang w:eastAsia="zh-HK"/>
              </w:rPr>
              <w:t>的交易</w:t>
            </w:r>
            <w:r w:rsidR="00FC5741" w:rsidRPr="005A22C2">
              <w:rPr>
                <w:rFonts w:hint="eastAsia"/>
                <w:color w:val="auto"/>
                <w:sz w:val="17"/>
                <w:szCs w:val="17"/>
                <w:lang w:eastAsia="zh-HK"/>
              </w:rPr>
              <w:t>桌，</w:t>
            </w:r>
            <w:r w:rsidRPr="005A22C2">
              <w:rPr>
                <w:color w:val="auto"/>
                <w:sz w:val="17"/>
                <w:szCs w:val="17"/>
                <w:lang w:eastAsia="zh-HK"/>
              </w:rPr>
              <w:t>在</w:t>
            </w:r>
            <w:r w:rsidRPr="005A22C2">
              <w:rPr>
                <w:color w:val="auto"/>
                <w:sz w:val="17"/>
                <w:szCs w:val="17"/>
              </w:rPr>
              <w:t>IMA</w:t>
            </w:r>
            <w:r w:rsidR="002822D2" w:rsidRPr="005A22C2">
              <w:rPr>
                <w:rFonts w:hint="eastAsia"/>
                <w:color w:val="auto"/>
                <w:kern w:val="2"/>
                <w:sz w:val="17"/>
                <w:szCs w:val="17"/>
              </w:rPr>
              <w:t>（</w:t>
            </w:r>
            <w:r w:rsidRPr="005A22C2">
              <w:rPr>
                <w:color w:val="auto"/>
                <w:sz w:val="17"/>
                <w:szCs w:val="17"/>
                <w:lang w:eastAsia="zh-HK"/>
              </w:rPr>
              <w:t>即按照</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13</w:t>
            </w:r>
            <w:r w:rsidRPr="005A22C2">
              <w:rPr>
                <w:color w:val="auto"/>
                <w:sz w:val="17"/>
                <w:szCs w:val="17"/>
                <w:lang w:eastAsia="zh-HK"/>
              </w:rPr>
              <w:t>分部計算的</w:t>
            </w:r>
            <w:r w:rsidRPr="005A22C2">
              <w:rPr>
                <w:color w:val="auto"/>
                <w:sz w:val="17"/>
                <w:szCs w:val="17"/>
              </w:rPr>
              <w:t>IMA</w:t>
            </w:r>
            <w:r w:rsidRPr="005A22C2">
              <w:rPr>
                <w:color w:val="auto"/>
                <w:sz w:val="17"/>
                <w:szCs w:val="17"/>
                <w:vertAlign w:val="subscript"/>
              </w:rPr>
              <w:t>G,Y</w:t>
            </w:r>
            <w:r w:rsidR="00083254" w:rsidRPr="005A22C2">
              <w:rPr>
                <w:rFonts w:hint="eastAsia"/>
                <w:color w:val="auto"/>
                <w:sz w:val="17"/>
                <w:szCs w:val="17"/>
              </w:rPr>
              <w:t>）</w:t>
            </w:r>
            <w:r w:rsidRPr="005A22C2">
              <w:rPr>
                <w:color w:val="auto"/>
                <w:sz w:val="17"/>
                <w:szCs w:val="17"/>
                <w:lang w:eastAsia="zh-HK"/>
              </w:rPr>
              <w:t>及</w:t>
            </w:r>
            <w:r w:rsidRPr="005A22C2">
              <w:rPr>
                <w:color w:val="auto"/>
                <w:sz w:val="17"/>
                <w:szCs w:val="17"/>
              </w:rPr>
              <w:t>STM</w:t>
            </w:r>
            <w:r w:rsidRPr="005A22C2">
              <w:rPr>
                <w:color w:val="auto"/>
                <w:sz w:val="17"/>
                <w:szCs w:val="17"/>
                <w:lang w:eastAsia="zh-HK"/>
              </w:rPr>
              <w:t>計算法</w:t>
            </w:r>
            <w:r w:rsidR="002822D2" w:rsidRPr="005A22C2">
              <w:rPr>
                <w:rFonts w:hint="eastAsia"/>
                <w:color w:val="auto"/>
                <w:kern w:val="2"/>
                <w:sz w:val="17"/>
                <w:szCs w:val="17"/>
              </w:rPr>
              <w:t>（</w:t>
            </w:r>
            <w:r w:rsidRPr="005A22C2">
              <w:rPr>
                <w:color w:val="auto"/>
                <w:sz w:val="17"/>
                <w:szCs w:val="17"/>
                <w:lang w:eastAsia="zh-HK"/>
              </w:rPr>
              <w:t>即按照</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13</w:t>
            </w:r>
            <w:r w:rsidRPr="005A22C2">
              <w:rPr>
                <w:color w:val="auto"/>
                <w:sz w:val="17"/>
                <w:szCs w:val="17"/>
                <w:lang w:eastAsia="zh-HK"/>
              </w:rPr>
              <w:t>分部計算的</w:t>
            </w:r>
            <w:r w:rsidRPr="005A22C2">
              <w:rPr>
                <w:color w:val="auto"/>
                <w:sz w:val="17"/>
                <w:szCs w:val="17"/>
              </w:rPr>
              <w:t>SA</w:t>
            </w:r>
            <w:r w:rsidRPr="005A22C2">
              <w:rPr>
                <w:color w:val="auto"/>
                <w:sz w:val="17"/>
                <w:szCs w:val="17"/>
                <w:vertAlign w:val="subscript"/>
              </w:rPr>
              <w:t>G,Y</w:t>
            </w:r>
            <w:r w:rsidR="00083254" w:rsidRPr="005A22C2">
              <w:rPr>
                <w:rFonts w:hint="eastAsia"/>
                <w:color w:val="auto"/>
                <w:sz w:val="17"/>
                <w:szCs w:val="17"/>
              </w:rPr>
              <w:t>）</w:t>
            </w:r>
            <w:r w:rsidRPr="005A22C2">
              <w:rPr>
                <w:color w:val="auto"/>
                <w:sz w:val="17"/>
                <w:szCs w:val="17"/>
                <w:lang w:eastAsia="zh-HK"/>
              </w:rPr>
              <w:t>下計算的市場風險資本要求的差</w:t>
            </w:r>
            <w:r w:rsidR="000E63CA" w:rsidRPr="005A22C2">
              <w:rPr>
                <w:rFonts w:hint="eastAsia"/>
                <w:color w:val="auto"/>
                <w:sz w:val="17"/>
                <w:szCs w:val="17"/>
                <w:lang w:eastAsia="zh-HK"/>
              </w:rPr>
              <w:t>額</w:t>
            </w:r>
            <w:r w:rsidRPr="005A22C2">
              <w:rPr>
                <w:color w:val="auto"/>
                <w:sz w:val="17"/>
                <w:szCs w:val="17"/>
              </w:rPr>
              <w:t>。</w:t>
            </w:r>
            <w:r w:rsidRPr="005A22C2">
              <w:rPr>
                <w:color w:val="auto"/>
                <w:sz w:val="17"/>
                <w:szCs w:val="17"/>
                <w:lang w:eastAsia="zh-HK"/>
              </w:rPr>
              <w:t>若</w:t>
            </w:r>
            <w:proofErr w:type="gramStart"/>
            <w:r w:rsidRPr="005A22C2">
              <w:rPr>
                <w:color w:val="auto"/>
                <w:sz w:val="17"/>
                <w:szCs w:val="17"/>
              </w:rPr>
              <w:t>IMA</w:t>
            </w:r>
            <w:r w:rsidRPr="005A22C2">
              <w:rPr>
                <w:color w:val="auto"/>
                <w:sz w:val="17"/>
                <w:szCs w:val="17"/>
                <w:vertAlign w:val="subscript"/>
              </w:rPr>
              <w:t>G,Y</w:t>
            </w:r>
            <w:proofErr w:type="gramEnd"/>
            <w:r w:rsidRPr="005A22C2">
              <w:rPr>
                <w:color w:val="auto"/>
                <w:sz w:val="17"/>
                <w:szCs w:val="17"/>
              </w:rPr>
              <w:t xml:space="preserve"> </w:t>
            </w:r>
            <w:r w:rsidRPr="005A22C2">
              <w:rPr>
                <w:color w:val="auto"/>
                <w:sz w:val="17"/>
                <w:szCs w:val="17"/>
                <w:lang w:eastAsia="zh-HK"/>
              </w:rPr>
              <w:t>的值小過</w:t>
            </w:r>
            <w:r w:rsidRPr="005A22C2">
              <w:rPr>
                <w:color w:val="auto"/>
                <w:sz w:val="17"/>
                <w:szCs w:val="17"/>
              </w:rPr>
              <w:t xml:space="preserve"> SA</w:t>
            </w:r>
            <w:r w:rsidRPr="005A22C2">
              <w:rPr>
                <w:color w:val="auto"/>
                <w:sz w:val="17"/>
                <w:szCs w:val="17"/>
                <w:vertAlign w:val="subscript"/>
              </w:rPr>
              <w:t>G,Y</w:t>
            </w:r>
            <w:r w:rsidRPr="005A22C2">
              <w:rPr>
                <w:color w:val="auto"/>
                <w:sz w:val="17"/>
                <w:szCs w:val="17"/>
                <w:lang w:eastAsia="zh-HK"/>
              </w:rPr>
              <w:t>的值</w:t>
            </w:r>
            <w:r w:rsidRPr="005A22C2">
              <w:rPr>
                <w:color w:val="auto"/>
                <w:sz w:val="17"/>
                <w:szCs w:val="17"/>
              </w:rPr>
              <w:t>，</w:t>
            </w:r>
            <w:r w:rsidRPr="005A22C2">
              <w:rPr>
                <w:color w:val="auto"/>
                <w:sz w:val="17"/>
                <w:szCs w:val="17"/>
                <w:lang w:eastAsia="zh-HK"/>
              </w:rPr>
              <w:t>本行填報的值應是負數</w:t>
            </w:r>
            <w:r w:rsidRPr="005A22C2">
              <w:rPr>
                <w:color w:val="auto"/>
                <w:sz w:val="17"/>
                <w:szCs w:val="17"/>
              </w:rPr>
              <w:t>。</w:t>
            </w:r>
            <w:r w:rsidRPr="005A22C2">
              <w:rPr>
                <w:color w:val="auto"/>
                <w:sz w:val="17"/>
                <w:szCs w:val="17"/>
              </w:rPr>
              <w:t xml:space="preserve"> </w:t>
            </w:r>
          </w:p>
        </w:tc>
      </w:tr>
      <w:tr w:rsidR="005A22C2" w:rsidRPr="005A22C2" w14:paraId="10A4ACD4" w14:textId="77777777" w:rsidTr="005F4B44">
        <w:tc>
          <w:tcPr>
            <w:tcW w:w="709" w:type="dxa"/>
            <w:tcBorders>
              <w:top w:val="single" w:sz="4" w:space="0" w:color="auto"/>
              <w:left w:val="single" w:sz="4" w:space="0" w:color="auto"/>
              <w:bottom w:val="single" w:sz="4" w:space="0" w:color="auto"/>
              <w:right w:val="single" w:sz="4" w:space="0" w:color="auto"/>
            </w:tcBorders>
            <w:hideMark/>
          </w:tcPr>
          <w:p w14:paraId="6C64BD36" w14:textId="77777777" w:rsidR="005F4B44" w:rsidRPr="005A22C2" w:rsidRDefault="005F4B44" w:rsidP="005F4B44">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15</w:t>
            </w:r>
          </w:p>
        </w:tc>
        <w:tc>
          <w:tcPr>
            <w:tcW w:w="8788" w:type="dxa"/>
            <w:tcBorders>
              <w:top w:val="single" w:sz="4" w:space="0" w:color="auto"/>
              <w:left w:val="single" w:sz="4" w:space="0" w:color="auto"/>
              <w:bottom w:val="single" w:sz="4" w:space="0" w:color="auto"/>
              <w:right w:val="single" w:sz="4" w:space="0" w:color="auto"/>
            </w:tcBorders>
            <w:hideMark/>
          </w:tcPr>
          <w:p w14:paraId="6FBBBF3E" w14:textId="135771F2" w:rsidR="005F4B44" w:rsidRPr="005A22C2" w:rsidRDefault="005F4B44" w:rsidP="005B358E">
            <w:pPr>
              <w:pStyle w:val="Default"/>
              <w:jc w:val="both"/>
              <w:rPr>
                <w:color w:val="auto"/>
                <w:sz w:val="17"/>
                <w:szCs w:val="17"/>
              </w:rPr>
            </w:pPr>
            <w:r w:rsidRPr="005A22C2">
              <w:rPr>
                <w:rFonts w:hint="eastAsia"/>
                <w:i/>
                <w:iCs/>
                <w:color w:val="auto"/>
                <w:sz w:val="17"/>
                <w:szCs w:val="17"/>
              </w:rPr>
              <w:t>根據</w:t>
            </w:r>
            <w:r w:rsidRPr="005A22C2">
              <w:rPr>
                <w:i/>
                <w:iCs/>
                <w:color w:val="auto"/>
                <w:sz w:val="17"/>
                <w:szCs w:val="17"/>
              </w:rPr>
              <w:t>STM</w:t>
            </w:r>
            <w:r w:rsidRPr="005A22C2">
              <w:rPr>
                <w:rFonts w:hint="eastAsia"/>
                <w:i/>
                <w:iCs/>
                <w:color w:val="auto"/>
                <w:sz w:val="17"/>
                <w:szCs w:val="17"/>
              </w:rPr>
              <w:t>計算法計算所有交易桌</w:t>
            </w:r>
            <w:r w:rsidR="002822D2" w:rsidRPr="005A22C2">
              <w:rPr>
                <w:rFonts w:hint="eastAsia"/>
                <w:color w:val="auto"/>
                <w:kern w:val="2"/>
                <w:sz w:val="17"/>
                <w:szCs w:val="17"/>
              </w:rPr>
              <w:t>（</w:t>
            </w:r>
            <w:r w:rsidRPr="005A22C2">
              <w:rPr>
                <w:rFonts w:hint="eastAsia"/>
                <w:i/>
                <w:iCs/>
                <w:color w:val="auto"/>
                <w:sz w:val="17"/>
                <w:szCs w:val="17"/>
              </w:rPr>
              <w:t>包括須使用</w:t>
            </w:r>
            <w:r w:rsidRPr="005A22C2">
              <w:rPr>
                <w:i/>
                <w:iCs/>
                <w:color w:val="auto"/>
                <w:sz w:val="17"/>
                <w:szCs w:val="17"/>
              </w:rPr>
              <w:t>IMA</w:t>
            </w:r>
            <w:r w:rsidRPr="005A22C2">
              <w:rPr>
                <w:rFonts w:hint="eastAsia"/>
                <w:i/>
                <w:iCs/>
                <w:color w:val="auto"/>
                <w:sz w:val="17"/>
                <w:szCs w:val="17"/>
              </w:rPr>
              <w:t>者</w:t>
            </w:r>
            <w:r w:rsidR="00083254" w:rsidRPr="005A22C2">
              <w:rPr>
                <w:rFonts w:hint="eastAsia"/>
                <w:i/>
                <w:iCs/>
                <w:color w:val="auto"/>
                <w:sz w:val="17"/>
                <w:szCs w:val="17"/>
              </w:rPr>
              <w:t>）</w:t>
            </w:r>
            <w:r w:rsidRPr="005A22C2">
              <w:rPr>
                <w:rFonts w:hint="eastAsia"/>
                <w:i/>
                <w:iCs/>
                <w:color w:val="auto"/>
                <w:sz w:val="17"/>
                <w:szCs w:val="17"/>
              </w:rPr>
              <w:t>的市場風險資本要求</w:t>
            </w:r>
            <w:r w:rsidRPr="005A22C2">
              <w:rPr>
                <w:color w:val="auto"/>
                <w:sz w:val="17"/>
                <w:szCs w:val="17"/>
              </w:rPr>
              <w:t>：</w:t>
            </w:r>
            <w:r w:rsidRPr="005A22C2">
              <w:rPr>
                <w:color w:val="auto"/>
                <w:sz w:val="17"/>
                <w:szCs w:val="17"/>
                <w:lang w:eastAsia="zh-HK"/>
              </w:rPr>
              <w:t>此為認可機構</w:t>
            </w:r>
            <w:r w:rsidRPr="005A22C2">
              <w:rPr>
                <w:rFonts w:hint="eastAsia"/>
                <w:color w:val="auto"/>
                <w:sz w:val="17"/>
                <w:szCs w:val="17"/>
                <w:lang w:eastAsia="zh-HK"/>
              </w:rPr>
              <w:t>就</w:t>
            </w:r>
            <w:r w:rsidRPr="005A22C2">
              <w:rPr>
                <w:color w:val="auto"/>
                <w:sz w:val="17"/>
                <w:szCs w:val="17"/>
                <w:lang w:eastAsia="zh-HK"/>
              </w:rPr>
              <w:t>所有交易</w:t>
            </w:r>
            <w:r w:rsidRPr="005A22C2">
              <w:rPr>
                <w:rFonts w:hint="eastAsia"/>
                <w:color w:val="auto"/>
                <w:sz w:val="17"/>
                <w:szCs w:val="17"/>
                <w:lang w:eastAsia="zh-HK"/>
              </w:rPr>
              <w:t>桌</w:t>
            </w:r>
            <w:r w:rsidRPr="005A22C2">
              <w:rPr>
                <w:color w:val="auto"/>
                <w:sz w:val="17"/>
                <w:szCs w:val="17"/>
                <w:lang w:eastAsia="zh-HK"/>
              </w:rPr>
              <w:t>的所有</w:t>
            </w:r>
            <w:r w:rsidRPr="005A22C2">
              <w:rPr>
                <w:color w:val="auto"/>
                <w:sz w:val="17"/>
                <w:szCs w:val="17"/>
                <w:lang w:val="en-GB" w:eastAsia="zh-HK"/>
              </w:rPr>
              <w:t>工具使用</w:t>
            </w:r>
            <w:r w:rsidRPr="005A22C2">
              <w:rPr>
                <w:color w:val="auto"/>
                <w:sz w:val="17"/>
                <w:szCs w:val="17"/>
                <w:lang w:val="en-GB"/>
              </w:rPr>
              <w:t>STM</w:t>
            </w:r>
            <w:r w:rsidRPr="005A22C2">
              <w:rPr>
                <w:color w:val="auto"/>
                <w:sz w:val="17"/>
                <w:szCs w:val="17"/>
                <w:lang w:val="en-GB" w:eastAsia="zh-HK"/>
              </w:rPr>
              <w:t>計算法計算的市場風險資本要求</w:t>
            </w:r>
            <w:r w:rsidR="002822D2" w:rsidRPr="005A22C2">
              <w:rPr>
                <w:rFonts w:hint="eastAsia"/>
                <w:color w:val="auto"/>
                <w:kern w:val="2"/>
                <w:sz w:val="17"/>
                <w:szCs w:val="17"/>
              </w:rPr>
              <w:t>（</w:t>
            </w:r>
            <w:r w:rsidRPr="005A22C2">
              <w:rPr>
                <w:color w:val="auto"/>
                <w:sz w:val="17"/>
                <w:szCs w:val="17"/>
                <w:lang w:eastAsia="zh-HK"/>
              </w:rPr>
              <w:t>即按照</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1A</w:t>
            </w:r>
            <w:r w:rsidRPr="005A22C2">
              <w:rPr>
                <w:rFonts w:hint="eastAsia"/>
                <w:color w:val="auto"/>
                <w:sz w:val="17"/>
                <w:szCs w:val="17"/>
                <w:lang w:eastAsia="zh-HK"/>
              </w:rPr>
              <w:t>至</w:t>
            </w:r>
            <w:r w:rsidRPr="005A22C2">
              <w:rPr>
                <w:color w:val="auto"/>
                <w:sz w:val="17"/>
                <w:szCs w:val="17"/>
              </w:rPr>
              <w:t>1D</w:t>
            </w:r>
            <w:r w:rsidRPr="005A22C2">
              <w:rPr>
                <w:color w:val="auto"/>
                <w:sz w:val="17"/>
                <w:szCs w:val="17"/>
                <w:lang w:eastAsia="zh-HK"/>
              </w:rPr>
              <w:t>分部計算的</w:t>
            </w:r>
            <w:proofErr w:type="spellStart"/>
            <w:r w:rsidRPr="005A22C2">
              <w:rPr>
                <w:color w:val="auto"/>
                <w:sz w:val="17"/>
                <w:szCs w:val="17"/>
              </w:rPr>
              <w:t>SA</w:t>
            </w:r>
            <w:r w:rsidRPr="005A22C2">
              <w:rPr>
                <w:color w:val="auto"/>
                <w:sz w:val="17"/>
                <w:szCs w:val="17"/>
                <w:vertAlign w:val="subscript"/>
              </w:rPr>
              <w:t>all</w:t>
            </w:r>
            <w:proofErr w:type="spellEnd"/>
            <w:r w:rsidRPr="005A22C2">
              <w:rPr>
                <w:color w:val="auto"/>
                <w:sz w:val="17"/>
                <w:szCs w:val="17"/>
                <w:vertAlign w:val="subscript"/>
              </w:rPr>
              <w:t xml:space="preserve"> desks</w:t>
            </w:r>
            <w:r w:rsidRPr="005A22C2">
              <w:rPr>
                <w:color w:val="auto"/>
                <w:sz w:val="17"/>
                <w:szCs w:val="17"/>
              </w:rPr>
              <w:t xml:space="preserve"> </w:t>
            </w:r>
            <w:r w:rsidR="00083254" w:rsidRPr="005A22C2">
              <w:rPr>
                <w:rFonts w:hint="eastAsia"/>
                <w:color w:val="auto"/>
                <w:sz w:val="17"/>
                <w:szCs w:val="17"/>
              </w:rPr>
              <w:t>）</w:t>
            </w:r>
            <w:r w:rsidRPr="005A22C2">
              <w:rPr>
                <w:rFonts w:hint="eastAsia"/>
                <w:color w:val="auto"/>
                <w:sz w:val="17"/>
                <w:szCs w:val="17"/>
              </w:rPr>
              <w:t>，</w:t>
            </w:r>
            <w:r w:rsidRPr="005A22C2">
              <w:rPr>
                <w:color w:val="auto"/>
                <w:sz w:val="17"/>
                <w:szCs w:val="17"/>
                <w:lang w:eastAsia="zh-HK"/>
              </w:rPr>
              <w:t>不論該等交易</w:t>
            </w:r>
            <w:r w:rsidR="00F82BA4" w:rsidRPr="005A22C2">
              <w:rPr>
                <w:rFonts w:hint="eastAsia"/>
                <w:color w:val="auto"/>
                <w:sz w:val="17"/>
                <w:szCs w:val="17"/>
                <w:lang w:eastAsia="zh-HK"/>
              </w:rPr>
              <w:t>桌</w:t>
            </w:r>
            <w:r w:rsidRPr="005A22C2">
              <w:rPr>
                <w:color w:val="auto"/>
                <w:sz w:val="17"/>
                <w:szCs w:val="17"/>
                <w:lang w:eastAsia="zh-HK"/>
              </w:rPr>
              <w:t>是否</w:t>
            </w:r>
            <w:r w:rsidR="0061728A" w:rsidRPr="005A22C2">
              <w:rPr>
                <w:rFonts w:hint="eastAsia"/>
                <w:color w:val="auto"/>
                <w:sz w:val="17"/>
                <w:szCs w:val="17"/>
                <w:lang w:eastAsia="zh-HK"/>
              </w:rPr>
              <w:t>受</w:t>
            </w:r>
            <w:r w:rsidRPr="005A22C2">
              <w:rPr>
                <w:color w:val="auto"/>
                <w:sz w:val="17"/>
                <w:szCs w:val="17"/>
              </w:rPr>
              <w:t>IMA</w:t>
            </w:r>
            <w:r w:rsidR="0061728A" w:rsidRPr="005A22C2">
              <w:rPr>
                <w:rFonts w:hint="eastAsia"/>
                <w:color w:val="auto"/>
                <w:sz w:val="17"/>
                <w:szCs w:val="17"/>
                <w:lang w:eastAsia="zh-HK"/>
              </w:rPr>
              <w:t>規限</w:t>
            </w:r>
            <w:r w:rsidRPr="005A22C2">
              <w:rPr>
                <w:color w:val="auto"/>
                <w:sz w:val="17"/>
                <w:szCs w:val="17"/>
              </w:rPr>
              <w:t>。</w:t>
            </w:r>
            <w:r w:rsidRPr="005A22C2">
              <w:rPr>
                <w:color w:val="auto"/>
                <w:sz w:val="17"/>
                <w:szCs w:val="17"/>
                <w:lang w:eastAsia="zh-HK"/>
              </w:rPr>
              <w:t>本行的值乘以</w:t>
            </w:r>
            <w:r w:rsidRPr="005A22C2">
              <w:rPr>
                <w:color w:val="auto"/>
                <w:sz w:val="17"/>
                <w:szCs w:val="17"/>
              </w:rPr>
              <w:t>12.5</w:t>
            </w:r>
            <w:proofErr w:type="gramStart"/>
            <w:r w:rsidRPr="005A22C2">
              <w:rPr>
                <w:color w:val="auto"/>
                <w:sz w:val="17"/>
                <w:szCs w:val="17"/>
                <w:lang w:eastAsia="zh-HK"/>
              </w:rPr>
              <w:t>應相等於</w:t>
            </w:r>
            <w:r w:rsidRPr="005A22C2">
              <w:rPr>
                <w:color w:val="auto"/>
                <w:sz w:val="17"/>
                <w:szCs w:val="17"/>
              </w:rPr>
              <w:t>[</w:t>
            </w:r>
            <w:proofErr w:type="gramEnd"/>
            <w:r w:rsidRPr="005A22C2">
              <w:rPr>
                <w:color w:val="auto"/>
                <w:sz w:val="17"/>
                <w:szCs w:val="17"/>
              </w:rPr>
              <w:t>CMS1:5/d]</w:t>
            </w:r>
            <w:r w:rsidRPr="005A22C2">
              <w:rPr>
                <w:color w:val="auto"/>
                <w:sz w:val="17"/>
                <w:szCs w:val="17"/>
                <w:lang w:eastAsia="zh-HK"/>
              </w:rPr>
              <w:t>的值</w:t>
            </w:r>
            <w:r w:rsidRPr="005A22C2">
              <w:rPr>
                <w:color w:val="auto"/>
                <w:sz w:val="17"/>
                <w:szCs w:val="17"/>
              </w:rPr>
              <w:t>。</w:t>
            </w:r>
            <w:r w:rsidR="002822D2" w:rsidRPr="005A22C2">
              <w:rPr>
                <w:rFonts w:hint="eastAsia"/>
                <w:color w:val="auto"/>
                <w:kern w:val="2"/>
                <w:sz w:val="17"/>
                <w:szCs w:val="17"/>
              </w:rPr>
              <w:t>（</w:t>
            </w:r>
            <w:r w:rsidRPr="005A22C2">
              <w:rPr>
                <w:color w:val="auto"/>
                <w:sz w:val="17"/>
                <w:szCs w:val="17"/>
                <w:lang w:eastAsia="zh-HK"/>
              </w:rPr>
              <w:t>註</w:t>
            </w:r>
            <w:r w:rsidRPr="005A22C2">
              <w:rPr>
                <w:color w:val="auto"/>
                <w:sz w:val="17"/>
                <w:szCs w:val="17"/>
              </w:rPr>
              <w:t>：</w:t>
            </w:r>
            <w:r w:rsidRPr="005A22C2">
              <w:rPr>
                <w:color w:val="auto"/>
                <w:sz w:val="17"/>
                <w:szCs w:val="17"/>
                <w:lang w:eastAsia="zh-HK"/>
              </w:rPr>
              <w:t>若認可機構使用</w:t>
            </w:r>
            <w:r w:rsidRPr="005A22C2">
              <w:rPr>
                <w:color w:val="auto"/>
                <w:sz w:val="17"/>
                <w:szCs w:val="17"/>
              </w:rPr>
              <w:t>STM</w:t>
            </w:r>
            <w:r w:rsidRPr="005A22C2">
              <w:rPr>
                <w:color w:val="auto"/>
                <w:sz w:val="17"/>
                <w:szCs w:val="17"/>
                <w:lang w:eastAsia="zh-HK"/>
              </w:rPr>
              <w:t>計算法計算市場風險</w:t>
            </w:r>
            <w:r w:rsidRPr="005A22C2">
              <w:rPr>
                <w:color w:val="auto"/>
                <w:sz w:val="17"/>
                <w:szCs w:val="17"/>
              </w:rPr>
              <w:t>，</w:t>
            </w:r>
            <w:r w:rsidRPr="005A22C2">
              <w:rPr>
                <w:color w:val="auto"/>
                <w:sz w:val="17"/>
                <w:szCs w:val="17"/>
                <w:lang w:eastAsia="zh-HK"/>
              </w:rPr>
              <w:t>同時在</w:t>
            </w:r>
            <w:r w:rsidRPr="005A22C2">
              <w:rPr>
                <w:rFonts w:hint="eastAsia"/>
                <w:color w:val="auto"/>
                <w:sz w:val="17"/>
                <w:szCs w:val="17"/>
                <w:lang w:eastAsia="zh-HK"/>
              </w:rPr>
              <w:t>斷</w:t>
            </w:r>
            <w:r w:rsidRPr="005A22C2">
              <w:rPr>
                <w:color w:val="auto"/>
                <w:sz w:val="17"/>
                <w:szCs w:val="17"/>
                <w:lang w:eastAsia="zh-HK"/>
              </w:rPr>
              <w:t>定交易帳所持</w:t>
            </w:r>
            <w:r w:rsidR="000609B1" w:rsidRPr="005A22C2">
              <w:rPr>
                <w:rFonts w:hint="eastAsia"/>
                <w:color w:val="auto"/>
                <w:sz w:val="17"/>
                <w:szCs w:val="17"/>
                <w:lang w:eastAsia="zh-HK"/>
              </w:rPr>
              <w:t>有的</w:t>
            </w:r>
            <w:r w:rsidRPr="005A22C2">
              <w:rPr>
                <w:color w:val="auto"/>
                <w:sz w:val="17"/>
                <w:szCs w:val="17"/>
                <w:lang w:eastAsia="zh-HK"/>
              </w:rPr>
              <w:t>證券化</w:t>
            </w:r>
            <w:r w:rsidR="00594A3D" w:rsidRPr="005A22C2">
              <w:rPr>
                <w:rFonts w:hint="eastAsia"/>
                <w:color w:val="auto"/>
                <w:sz w:val="17"/>
                <w:szCs w:val="17"/>
                <w:lang w:eastAsia="zh-HK"/>
              </w:rPr>
              <w:t>工具</w:t>
            </w:r>
            <w:r w:rsidRPr="005A22C2">
              <w:rPr>
                <w:color w:val="auto"/>
                <w:sz w:val="17"/>
                <w:szCs w:val="17"/>
                <w:lang w:eastAsia="zh-HK"/>
              </w:rPr>
              <w:t>的違責風險</w:t>
            </w:r>
            <w:r w:rsidRPr="005A22C2">
              <w:rPr>
                <w:rFonts w:hint="eastAsia"/>
                <w:color w:val="auto"/>
                <w:sz w:val="17"/>
                <w:szCs w:val="17"/>
                <w:lang w:eastAsia="zh-HK"/>
              </w:rPr>
              <w:t>資本</w:t>
            </w:r>
            <w:r w:rsidRPr="005A22C2">
              <w:rPr>
                <w:color w:val="auto"/>
                <w:sz w:val="17"/>
                <w:szCs w:val="17"/>
                <w:lang w:eastAsia="zh-HK"/>
              </w:rPr>
              <w:t>要求組成部分時亦使用</w:t>
            </w:r>
            <w:r w:rsidRPr="005A22C2">
              <w:rPr>
                <w:color w:val="auto"/>
                <w:sz w:val="17"/>
                <w:szCs w:val="17"/>
              </w:rPr>
              <w:t xml:space="preserve">SEC-IRBA </w:t>
            </w:r>
            <w:r w:rsidRPr="005A22C2">
              <w:rPr>
                <w:color w:val="auto"/>
                <w:sz w:val="17"/>
                <w:szCs w:val="17"/>
                <w:lang w:eastAsia="zh-HK"/>
              </w:rPr>
              <w:t>及</w:t>
            </w:r>
            <w:r w:rsidRPr="005A22C2">
              <w:rPr>
                <w:color w:val="auto"/>
                <w:sz w:val="17"/>
                <w:szCs w:val="17"/>
              </w:rPr>
              <w:t>/</w:t>
            </w:r>
            <w:r w:rsidRPr="005A22C2">
              <w:rPr>
                <w:color w:val="auto"/>
                <w:sz w:val="17"/>
                <w:szCs w:val="17"/>
                <w:lang w:eastAsia="zh-HK"/>
              </w:rPr>
              <w:t>或</w:t>
            </w:r>
            <w:r w:rsidRPr="005A22C2">
              <w:rPr>
                <w:color w:val="auto"/>
                <w:sz w:val="17"/>
                <w:szCs w:val="17"/>
              </w:rPr>
              <w:t xml:space="preserve"> SEC-IAA</w:t>
            </w:r>
            <w:r w:rsidRPr="005A22C2">
              <w:rPr>
                <w:color w:val="auto"/>
                <w:sz w:val="17"/>
                <w:szCs w:val="17"/>
              </w:rPr>
              <w:t>，</w:t>
            </w:r>
            <w:r w:rsidR="00D9181E" w:rsidRPr="00D9181E">
              <w:rPr>
                <w:rFonts w:hint="eastAsia"/>
                <w:color w:val="auto"/>
                <w:sz w:val="17"/>
                <w:szCs w:val="17"/>
              </w:rPr>
              <w:t>或若認可機構須</w:t>
            </w:r>
            <w:r w:rsidR="00052B50" w:rsidRPr="009C39BD">
              <w:rPr>
                <w:rFonts w:hint="eastAsia"/>
                <w:color w:val="auto"/>
                <w:sz w:val="17"/>
                <w:szCs w:val="17"/>
              </w:rPr>
              <w:t>就</w:t>
            </w:r>
            <w:r w:rsidR="00D9181E" w:rsidRPr="00D9181E">
              <w:rPr>
                <w:rFonts w:hint="eastAsia"/>
                <w:color w:val="auto"/>
                <w:sz w:val="17"/>
                <w:szCs w:val="17"/>
              </w:rPr>
              <w:t>編配予交易帳的第</w:t>
            </w:r>
            <w:r w:rsidR="00D9181E" w:rsidRPr="00D9181E">
              <w:rPr>
                <w:color w:val="auto"/>
                <w:sz w:val="17"/>
                <w:szCs w:val="17"/>
              </w:rPr>
              <w:t>1</w:t>
            </w:r>
            <w:r w:rsidR="00052B50" w:rsidRPr="009C39BD">
              <w:rPr>
                <w:rFonts w:hint="eastAsia"/>
                <w:color w:val="auto"/>
                <w:sz w:val="17"/>
                <w:szCs w:val="17"/>
              </w:rPr>
              <w:t>組</w:t>
            </w:r>
            <w:r w:rsidR="00D9181E" w:rsidRPr="00D9181E">
              <w:rPr>
                <w:rFonts w:hint="eastAsia"/>
                <w:color w:val="auto"/>
                <w:sz w:val="17"/>
                <w:szCs w:val="17"/>
              </w:rPr>
              <w:t>加密資產風險承擔計算基建風險附加額</w:t>
            </w:r>
            <w:r w:rsidR="00052B50" w:rsidRPr="005A22C2">
              <w:rPr>
                <w:color w:val="auto"/>
                <w:sz w:val="17"/>
                <w:szCs w:val="17"/>
              </w:rPr>
              <w:t>，</w:t>
            </w:r>
            <w:r w:rsidR="00A51540" w:rsidRPr="00E628C3">
              <w:rPr>
                <w:rFonts w:hint="eastAsia"/>
                <w:color w:val="auto"/>
                <w:sz w:val="17"/>
                <w:szCs w:val="17"/>
                <w:lang w:eastAsia="zh-HK"/>
              </w:rPr>
              <w:t>則</w:t>
            </w:r>
            <w:r w:rsidRPr="005A22C2">
              <w:rPr>
                <w:color w:val="auto"/>
                <w:sz w:val="17"/>
                <w:szCs w:val="17"/>
                <w:lang w:eastAsia="zh-HK"/>
              </w:rPr>
              <w:t>上述與</w:t>
            </w:r>
            <w:r w:rsidRPr="005A22C2">
              <w:rPr>
                <w:color w:val="auto"/>
                <w:sz w:val="17"/>
                <w:szCs w:val="17"/>
              </w:rPr>
              <w:t>[CMS1:5/d]</w:t>
            </w:r>
            <w:r w:rsidRPr="005A22C2">
              <w:rPr>
                <w:color w:val="auto"/>
                <w:sz w:val="17"/>
                <w:szCs w:val="17"/>
                <w:lang w:eastAsia="zh-HK"/>
              </w:rPr>
              <w:t>的</w:t>
            </w:r>
            <w:r w:rsidRPr="005A22C2">
              <w:rPr>
                <w:rFonts w:hint="eastAsia"/>
                <w:color w:val="auto"/>
                <w:sz w:val="17"/>
                <w:szCs w:val="17"/>
                <w:lang w:eastAsia="zh-HK"/>
              </w:rPr>
              <w:t>關</w:t>
            </w:r>
            <w:r w:rsidR="00FC5741" w:rsidRPr="005A22C2">
              <w:rPr>
                <w:rFonts w:hint="eastAsia"/>
                <w:color w:val="auto"/>
                <w:sz w:val="17"/>
                <w:szCs w:val="17"/>
                <w:lang w:eastAsia="zh-HK"/>
              </w:rPr>
              <w:t>連</w:t>
            </w:r>
            <w:r w:rsidR="00BB77A3" w:rsidRPr="00E628C3">
              <w:rPr>
                <w:rFonts w:hint="eastAsia"/>
                <w:color w:val="auto"/>
                <w:sz w:val="17"/>
                <w:szCs w:val="17"/>
                <w:lang w:eastAsia="zh-HK"/>
              </w:rPr>
              <w:t>將</w:t>
            </w:r>
            <w:r w:rsidRPr="005A22C2">
              <w:rPr>
                <w:color w:val="auto"/>
                <w:sz w:val="17"/>
                <w:szCs w:val="17"/>
                <w:lang w:eastAsia="zh-HK"/>
              </w:rPr>
              <w:t>不成立</w:t>
            </w:r>
            <w:r w:rsidRPr="005A22C2">
              <w:rPr>
                <w:color w:val="auto"/>
                <w:sz w:val="17"/>
                <w:szCs w:val="17"/>
              </w:rPr>
              <w:t>。</w:t>
            </w:r>
            <w:r w:rsidR="00083254" w:rsidRPr="005A22C2">
              <w:rPr>
                <w:rFonts w:hint="eastAsia"/>
                <w:color w:val="auto"/>
                <w:sz w:val="17"/>
                <w:szCs w:val="17"/>
              </w:rPr>
              <w:t>）</w:t>
            </w:r>
          </w:p>
        </w:tc>
      </w:tr>
      <w:tr w:rsidR="005A22C2" w:rsidRPr="005A22C2" w14:paraId="30AE3153" w14:textId="77777777" w:rsidTr="005F4B44">
        <w:tc>
          <w:tcPr>
            <w:tcW w:w="709" w:type="dxa"/>
            <w:tcBorders>
              <w:top w:val="single" w:sz="4" w:space="0" w:color="auto"/>
              <w:left w:val="single" w:sz="4" w:space="0" w:color="auto"/>
              <w:bottom w:val="single" w:sz="4" w:space="0" w:color="auto"/>
              <w:right w:val="single" w:sz="4" w:space="0" w:color="auto"/>
            </w:tcBorders>
            <w:hideMark/>
          </w:tcPr>
          <w:p w14:paraId="18870BDF" w14:textId="77777777" w:rsidR="005F4B44" w:rsidRPr="005A22C2" w:rsidRDefault="005F4B44" w:rsidP="005F4B44">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16</w:t>
            </w:r>
          </w:p>
        </w:tc>
        <w:tc>
          <w:tcPr>
            <w:tcW w:w="8788" w:type="dxa"/>
            <w:tcBorders>
              <w:top w:val="single" w:sz="4" w:space="0" w:color="auto"/>
              <w:left w:val="single" w:sz="4" w:space="0" w:color="auto"/>
              <w:bottom w:val="single" w:sz="4" w:space="0" w:color="auto"/>
              <w:right w:val="single" w:sz="4" w:space="0" w:color="auto"/>
            </w:tcBorders>
            <w:hideMark/>
          </w:tcPr>
          <w:p w14:paraId="0FDF2F19" w14:textId="25C46592" w:rsidR="005F4B44" w:rsidRPr="005A22C2" w:rsidRDefault="005F4B44" w:rsidP="005F4B44">
            <w:pPr>
              <w:pStyle w:val="Default"/>
              <w:jc w:val="both"/>
              <w:rPr>
                <w:color w:val="auto"/>
                <w:sz w:val="17"/>
                <w:szCs w:val="17"/>
              </w:rPr>
            </w:pPr>
            <w:r w:rsidRPr="005A22C2">
              <w:rPr>
                <w:i/>
                <w:iCs/>
                <w:color w:val="auto"/>
                <w:sz w:val="17"/>
                <w:szCs w:val="17"/>
                <w:lang w:val="en-GB" w:eastAsia="zh-HK"/>
              </w:rPr>
              <w:t>總市場風險資本要求</w:t>
            </w:r>
            <w:r w:rsidRPr="005A22C2">
              <w:rPr>
                <w:iCs/>
                <w:color w:val="auto"/>
                <w:sz w:val="17"/>
                <w:szCs w:val="17"/>
                <w:lang w:val="en-GB"/>
              </w:rPr>
              <w:t>：按照《資本規則》第</w:t>
            </w:r>
            <w:r w:rsidRPr="005A22C2">
              <w:rPr>
                <w:iCs/>
                <w:color w:val="auto"/>
                <w:sz w:val="17"/>
                <w:szCs w:val="17"/>
                <w:lang w:val="en-GB"/>
              </w:rPr>
              <w:t>8</w:t>
            </w:r>
            <w:r w:rsidRPr="005A22C2">
              <w:rPr>
                <w:iCs/>
                <w:color w:val="auto"/>
                <w:sz w:val="17"/>
                <w:szCs w:val="17"/>
                <w:lang w:val="en-GB"/>
              </w:rPr>
              <w:t>部計算</w:t>
            </w:r>
            <w:r w:rsidRPr="005A22C2">
              <w:rPr>
                <w:rFonts w:hint="eastAsia"/>
                <w:iCs/>
                <w:color w:val="auto"/>
                <w:sz w:val="17"/>
                <w:szCs w:val="17"/>
                <w:lang w:val="en-GB"/>
              </w:rPr>
              <w:t>的總市場風險資本要求</w:t>
            </w:r>
            <w:r w:rsidRPr="005A22C2">
              <w:rPr>
                <w:color w:val="auto"/>
                <w:sz w:val="17"/>
                <w:szCs w:val="17"/>
              </w:rPr>
              <w:t>。</w:t>
            </w:r>
          </w:p>
          <w:p w14:paraId="001E97B2" w14:textId="6194C526" w:rsidR="005F4B44" w:rsidRPr="003C3BA9" w:rsidRDefault="005F4B44" w:rsidP="00594A3D">
            <w:pPr>
              <w:pStyle w:val="Default"/>
              <w:jc w:val="both"/>
              <w:rPr>
                <w:color w:val="auto"/>
                <w:sz w:val="17"/>
                <w:szCs w:val="17"/>
                <w:lang w:val="en-GB"/>
              </w:rPr>
            </w:pPr>
            <w:r w:rsidRPr="005A22C2">
              <w:rPr>
                <w:color w:val="auto"/>
                <w:sz w:val="17"/>
                <w:szCs w:val="17"/>
                <w:lang w:eastAsia="zh-HK"/>
              </w:rPr>
              <w:t>本行的值減去</w:t>
            </w:r>
            <w:r w:rsidRPr="005A22C2">
              <w:rPr>
                <w:color w:val="auto"/>
                <w:sz w:val="17"/>
                <w:szCs w:val="17"/>
              </w:rPr>
              <w:t>[MR2:13]</w:t>
            </w:r>
            <w:r w:rsidRPr="005A22C2">
              <w:rPr>
                <w:color w:val="auto"/>
                <w:sz w:val="17"/>
                <w:szCs w:val="17"/>
              </w:rPr>
              <w:t>，</w:t>
            </w:r>
            <w:r w:rsidRPr="005A22C2">
              <w:rPr>
                <w:color w:val="auto"/>
                <w:sz w:val="17"/>
                <w:szCs w:val="17"/>
                <w:lang w:eastAsia="zh-HK"/>
              </w:rPr>
              <w:t>便相等於</w:t>
            </w:r>
            <w:r w:rsidRPr="005A22C2">
              <w:rPr>
                <w:color w:val="auto"/>
                <w:sz w:val="17"/>
                <w:szCs w:val="17"/>
              </w:rPr>
              <w:t>[OV1:22/c]</w:t>
            </w:r>
            <w:r w:rsidRPr="005A22C2">
              <w:rPr>
                <w:color w:val="auto"/>
                <w:sz w:val="17"/>
                <w:szCs w:val="17"/>
              </w:rPr>
              <w:t>。</w:t>
            </w:r>
            <w:r w:rsidRPr="005A22C2">
              <w:rPr>
                <w:color w:val="auto"/>
                <w:sz w:val="17"/>
                <w:szCs w:val="17"/>
                <w:lang w:eastAsia="zh-HK"/>
              </w:rPr>
              <w:t>本行的值減去</w:t>
            </w:r>
            <w:r w:rsidRPr="005A22C2">
              <w:rPr>
                <w:color w:val="auto"/>
                <w:sz w:val="17"/>
                <w:szCs w:val="17"/>
              </w:rPr>
              <w:t>[MR</w:t>
            </w:r>
            <w:proofErr w:type="gramStart"/>
            <w:r w:rsidRPr="005A22C2">
              <w:rPr>
                <w:color w:val="auto"/>
                <w:sz w:val="17"/>
                <w:szCs w:val="17"/>
              </w:rPr>
              <w:t>2:13]</w:t>
            </w:r>
            <w:r w:rsidR="00E119A8" w:rsidRPr="005A22C2">
              <w:rPr>
                <w:rFonts w:hint="eastAsia"/>
                <w:color w:val="auto"/>
                <w:sz w:val="17"/>
                <w:szCs w:val="17"/>
              </w:rPr>
              <w:t>然後</w:t>
            </w:r>
            <w:r w:rsidR="00E119A8" w:rsidRPr="005A22C2">
              <w:rPr>
                <w:rFonts w:hint="eastAsia"/>
                <w:color w:val="auto"/>
                <w:sz w:val="17"/>
                <w:szCs w:val="17"/>
                <w:lang w:eastAsia="zh-HK"/>
              </w:rPr>
              <w:t>再</w:t>
            </w:r>
            <w:r w:rsidR="00E119A8" w:rsidRPr="005A22C2">
              <w:rPr>
                <w:rFonts w:hint="eastAsia"/>
                <w:color w:val="auto"/>
                <w:sz w:val="17"/>
                <w:szCs w:val="17"/>
              </w:rPr>
              <w:t>乘以</w:t>
            </w:r>
            <w:proofErr w:type="gramEnd"/>
            <w:r w:rsidR="00E119A8" w:rsidRPr="005A22C2">
              <w:rPr>
                <w:color w:val="auto"/>
                <w:sz w:val="17"/>
                <w:szCs w:val="17"/>
              </w:rPr>
              <w:t>12.5</w:t>
            </w:r>
            <w:r w:rsidRPr="005A22C2">
              <w:rPr>
                <w:color w:val="auto"/>
                <w:sz w:val="17"/>
                <w:szCs w:val="17"/>
              </w:rPr>
              <w:t>，</w:t>
            </w:r>
            <w:r w:rsidRPr="005A22C2">
              <w:rPr>
                <w:color w:val="auto"/>
                <w:sz w:val="17"/>
                <w:szCs w:val="17"/>
                <w:lang w:eastAsia="zh-HK"/>
              </w:rPr>
              <w:t>亦相等於</w:t>
            </w:r>
            <w:r w:rsidRPr="005A22C2">
              <w:rPr>
                <w:color w:val="auto"/>
                <w:sz w:val="17"/>
                <w:szCs w:val="17"/>
              </w:rPr>
              <w:t xml:space="preserve"> [CMS1:5/a]</w:t>
            </w:r>
            <w:r w:rsidRPr="005A22C2">
              <w:rPr>
                <w:color w:val="auto"/>
                <w:sz w:val="17"/>
                <w:szCs w:val="17"/>
              </w:rPr>
              <w:t>。</w:t>
            </w:r>
            <w:r w:rsidRPr="005A22C2">
              <w:rPr>
                <w:color w:val="auto"/>
                <w:sz w:val="17"/>
                <w:szCs w:val="17"/>
              </w:rPr>
              <w:t xml:space="preserve"> </w:t>
            </w:r>
            <w:proofErr w:type="gramStart"/>
            <w:r w:rsidR="002822D2" w:rsidRPr="005A22C2">
              <w:rPr>
                <w:rFonts w:hint="eastAsia"/>
                <w:color w:val="auto"/>
                <w:kern w:val="2"/>
                <w:sz w:val="17"/>
                <w:szCs w:val="17"/>
              </w:rPr>
              <w:t>（</w:t>
            </w:r>
            <w:r w:rsidRPr="005A22C2">
              <w:rPr>
                <w:color w:val="auto"/>
                <w:sz w:val="17"/>
                <w:szCs w:val="17"/>
              </w:rPr>
              <w:t>註</w:t>
            </w:r>
            <w:proofErr w:type="gramEnd"/>
            <w:r w:rsidRPr="005A22C2">
              <w:rPr>
                <w:color w:val="auto"/>
                <w:sz w:val="17"/>
                <w:szCs w:val="17"/>
              </w:rPr>
              <w:t>：若認可機構使用</w:t>
            </w:r>
            <w:r w:rsidRPr="005A22C2">
              <w:rPr>
                <w:color w:val="auto"/>
                <w:sz w:val="17"/>
                <w:szCs w:val="17"/>
              </w:rPr>
              <w:t>STM</w:t>
            </w:r>
            <w:r w:rsidRPr="005A22C2">
              <w:rPr>
                <w:color w:val="auto"/>
                <w:sz w:val="17"/>
                <w:szCs w:val="17"/>
              </w:rPr>
              <w:t>計算法計算市場風險，同時在</w:t>
            </w:r>
            <w:r w:rsidRPr="005A22C2">
              <w:rPr>
                <w:rFonts w:hint="eastAsia"/>
                <w:color w:val="auto"/>
                <w:sz w:val="17"/>
                <w:szCs w:val="17"/>
                <w:lang w:eastAsia="zh-HK"/>
              </w:rPr>
              <w:t>斷</w:t>
            </w:r>
            <w:r w:rsidRPr="005A22C2">
              <w:rPr>
                <w:color w:val="auto"/>
                <w:sz w:val="17"/>
                <w:szCs w:val="17"/>
              </w:rPr>
              <w:t>定交易帳所持</w:t>
            </w:r>
            <w:r w:rsidR="000609B1" w:rsidRPr="005A22C2">
              <w:rPr>
                <w:rFonts w:hint="eastAsia"/>
                <w:color w:val="auto"/>
                <w:sz w:val="17"/>
                <w:szCs w:val="17"/>
                <w:lang w:eastAsia="zh-HK"/>
              </w:rPr>
              <w:t>有的</w:t>
            </w:r>
            <w:r w:rsidRPr="005A22C2">
              <w:rPr>
                <w:color w:val="auto"/>
                <w:sz w:val="17"/>
                <w:szCs w:val="17"/>
              </w:rPr>
              <w:t>證券化</w:t>
            </w:r>
            <w:r w:rsidR="00594A3D" w:rsidRPr="005A22C2">
              <w:rPr>
                <w:rFonts w:hint="eastAsia"/>
                <w:color w:val="auto"/>
                <w:sz w:val="17"/>
                <w:szCs w:val="17"/>
                <w:lang w:eastAsia="zh-HK"/>
              </w:rPr>
              <w:t>工具</w:t>
            </w:r>
            <w:proofErr w:type="gramStart"/>
            <w:r w:rsidRPr="005A22C2">
              <w:rPr>
                <w:color w:val="auto"/>
                <w:sz w:val="17"/>
                <w:szCs w:val="17"/>
              </w:rPr>
              <w:t>的違責風險</w:t>
            </w:r>
            <w:proofErr w:type="gramEnd"/>
            <w:r w:rsidRPr="005A22C2">
              <w:rPr>
                <w:rFonts w:hint="eastAsia"/>
                <w:color w:val="auto"/>
                <w:sz w:val="17"/>
                <w:szCs w:val="17"/>
                <w:lang w:eastAsia="zh-HK"/>
              </w:rPr>
              <w:t>資本</w:t>
            </w:r>
            <w:r w:rsidRPr="005A22C2">
              <w:rPr>
                <w:color w:val="auto"/>
                <w:sz w:val="17"/>
                <w:szCs w:val="17"/>
              </w:rPr>
              <w:t>要求組成部分時</w:t>
            </w:r>
            <w:r w:rsidRPr="005A22C2">
              <w:rPr>
                <w:color w:val="auto"/>
                <w:sz w:val="17"/>
                <w:szCs w:val="17"/>
                <w:lang w:eastAsia="zh-HK"/>
              </w:rPr>
              <w:t>亦</w:t>
            </w:r>
            <w:r w:rsidRPr="005A22C2">
              <w:rPr>
                <w:color w:val="auto"/>
                <w:sz w:val="17"/>
                <w:szCs w:val="17"/>
              </w:rPr>
              <w:t>使用</w:t>
            </w:r>
            <w:r w:rsidRPr="005A22C2">
              <w:rPr>
                <w:color w:val="auto"/>
                <w:sz w:val="17"/>
                <w:szCs w:val="17"/>
              </w:rPr>
              <w:t xml:space="preserve">SEC-IRBA </w:t>
            </w:r>
            <w:r w:rsidRPr="005A22C2">
              <w:rPr>
                <w:color w:val="auto"/>
                <w:sz w:val="17"/>
                <w:szCs w:val="17"/>
              </w:rPr>
              <w:t>及</w:t>
            </w:r>
            <w:r w:rsidRPr="005A22C2">
              <w:rPr>
                <w:color w:val="auto"/>
                <w:sz w:val="17"/>
                <w:szCs w:val="17"/>
              </w:rPr>
              <w:t>/</w:t>
            </w:r>
            <w:r w:rsidRPr="005A22C2">
              <w:rPr>
                <w:color w:val="auto"/>
                <w:sz w:val="17"/>
                <w:szCs w:val="17"/>
              </w:rPr>
              <w:t>或</w:t>
            </w:r>
            <w:r w:rsidRPr="005A22C2">
              <w:rPr>
                <w:color w:val="auto"/>
                <w:sz w:val="17"/>
                <w:szCs w:val="17"/>
              </w:rPr>
              <w:t xml:space="preserve"> SEC-IAA</w:t>
            </w:r>
            <w:r w:rsidRPr="005A22C2">
              <w:rPr>
                <w:color w:val="auto"/>
                <w:sz w:val="17"/>
                <w:szCs w:val="17"/>
              </w:rPr>
              <w:t>，上述與</w:t>
            </w:r>
            <w:r w:rsidRPr="005A22C2">
              <w:rPr>
                <w:color w:val="auto"/>
                <w:sz w:val="17"/>
                <w:szCs w:val="17"/>
              </w:rPr>
              <w:t>[CMS1:5/</w:t>
            </w:r>
            <w:proofErr w:type="gramStart"/>
            <w:r w:rsidRPr="005A22C2">
              <w:rPr>
                <w:color w:val="auto"/>
                <w:sz w:val="17"/>
                <w:szCs w:val="17"/>
              </w:rPr>
              <w:t>a]</w:t>
            </w:r>
            <w:r w:rsidRPr="005A22C2">
              <w:rPr>
                <w:color w:val="auto"/>
                <w:sz w:val="17"/>
                <w:szCs w:val="17"/>
              </w:rPr>
              <w:t>的</w:t>
            </w:r>
            <w:r w:rsidRPr="005A22C2">
              <w:rPr>
                <w:rFonts w:hint="eastAsia"/>
                <w:color w:val="auto"/>
                <w:sz w:val="17"/>
                <w:szCs w:val="17"/>
                <w:lang w:eastAsia="zh-HK"/>
              </w:rPr>
              <w:t>關</w:t>
            </w:r>
            <w:r w:rsidR="00EB2F16" w:rsidRPr="005A22C2">
              <w:rPr>
                <w:rFonts w:hint="eastAsia"/>
                <w:color w:val="auto"/>
                <w:sz w:val="17"/>
                <w:szCs w:val="17"/>
                <w:lang w:eastAsia="zh-HK"/>
              </w:rPr>
              <w:t>連</w:t>
            </w:r>
            <w:r w:rsidRPr="005A22C2">
              <w:rPr>
                <w:color w:val="auto"/>
                <w:sz w:val="17"/>
                <w:szCs w:val="17"/>
              </w:rPr>
              <w:t>便不成立</w:t>
            </w:r>
            <w:proofErr w:type="gramEnd"/>
            <w:r w:rsidRPr="005A22C2">
              <w:rPr>
                <w:color w:val="auto"/>
                <w:sz w:val="17"/>
                <w:szCs w:val="17"/>
              </w:rPr>
              <w:t>。</w:t>
            </w:r>
            <w:r w:rsidR="00083254" w:rsidRPr="005A22C2">
              <w:rPr>
                <w:rFonts w:hint="eastAsia"/>
                <w:color w:val="auto"/>
                <w:sz w:val="17"/>
                <w:szCs w:val="17"/>
              </w:rPr>
              <w:t>）</w:t>
            </w:r>
            <w:r w:rsidRPr="005A22C2">
              <w:rPr>
                <w:color w:val="auto"/>
                <w:sz w:val="17"/>
                <w:szCs w:val="17"/>
                <w:lang w:val="en-GB"/>
              </w:rPr>
              <w:t>本行的值乘以</w:t>
            </w:r>
            <w:r w:rsidRPr="005A22C2">
              <w:rPr>
                <w:color w:val="auto"/>
                <w:sz w:val="17"/>
                <w:szCs w:val="17"/>
                <w:lang w:val="en-GB"/>
              </w:rPr>
              <w:t>12.5</w:t>
            </w:r>
            <w:r w:rsidRPr="005A22C2">
              <w:rPr>
                <w:color w:val="auto"/>
                <w:sz w:val="17"/>
                <w:szCs w:val="17"/>
              </w:rPr>
              <w:t>，</w:t>
            </w:r>
            <w:r w:rsidRPr="005A22C2">
              <w:rPr>
                <w:color w:val="auto"/>
                <w:sz w:val="17"/>
                <w:szCs w:val="17"/>
                <w:lang w:eastAsia="zh-HK"/>
              </w:rPr>
              <w:t>便</w:t>
            </w:r>
            <w:r w:rsidRPr="005A22C2">
              <w:rPr>
                <w:color w:val="auto"/>
                <w:sz w:val="17"/>
                <w:szCs w:val="17"/>
                <w:lang w:val="en-GB"/>
              </w:rPr>
              <w:t>相等於</w:t>
            </w:r>
            <w:r w:rsidRPr="005A22C2">
              <w:rPr>
                <w:color w:val="auto"/>
                <w:sz w:val="17"/>
                <w:szCs w:val="17"/>
                <w:lang w:val="en-GB"/>
              </w:rPr>
              <w:t>[CMS1:5/c]</w:t>
            </w:r>
            <w:r w:rsidRPr="005A22C2">
              <w:rPr>
                <w:color w:val="auto"/>
                <w:sz w:val="17"/>
                <w:szCs w:val="17"/>
                <w:lang w:val="en-GB"/>
              </w:rPr>
              <w:t>的值。</w:t>
            </w:r>
            <w:r w:rsidR="00052B50" w:rsidRPr="005A22C2">
              <w:rPr>
                <w:rFonts w:hint="eastAsia"/>
                <w:color w:val="auto"/>
                <w:kern w:val="2"/>
                <w:sz w:val="17"/>
                <w:szCs w:val="17"/>
              </w:rPr>
              <w:t>（</w:t>
            </w:r>
            <w:r w:rsidR="00052B50" w:rsidRPr="005A22C2">
              <w:rPr>
                <w:color w:val="auto"/>
                <w:sz w:val="17"/>
                <w:szCs w:val="17"/>
                <w:lang w:eastAsia="zh-HK"/>
              </w:rPr>
              <w:t>註</w:t>
            </w:r>
            <w:r w:rsidR="00052B50" w:rsidRPr="005A22C2">
              <w:rPr>
                <w:color w:val="auto"/>
                <w:sz w:val="17"/>
                <w:szCs w:val="17"/>
              </w:rPr>
              <w:t>：</w:t>
            </w:r>
            <w:r w:rsidR="00052B50" w:rsidRPr="009C39BD">
              <w:rPr>
                <w:rFonts w:hint="eastAsia"/>
                <w:color w:val="auto"/>
                <w:sz w:val="17"/>
                <w:szCs w:val="17"/>
              </w:rPr>
              <w:t>若</w:t>
            </w:r>
            <w:r w:rsidR="003C3BA9" w:rsidRPr="009C39BD">
              <w:rPr>
                <w:rFonts w:hint="eastAsia"/>
                <w:color w:val="auto"/>
                <w:sz w:val="17"/>
                <w:szCs w:val="17"/>
              </w:rPr>
              <w:t>認可機構</w:t>
            </w:r>
            <w:r w:rsidR="00052B50" w:rsidRPr="009C39BD">
              <w:rPr>
                <w:rFonts w:hint="eastAsia"/>
                <w:color w:val="auto"/>
                <w:sz w:val="17"/>
                <w:szCs w:val="17"/>
              </w:rPr>
              <w:t>須就編配予</w:t>
            </w:r>
            <w:r w:rsidR="003C3BA9" w:rsidRPr="009C39BD">
              <w:rPr>
                <w:rFonts w:hint="eastAsia"/>
                <w:color w:val="auto"/>
                <w:sz w:val="17"/>
                <w:szCs w:val="17"/>
              </w:rPr>
              <w:t>交易</w:t>
            </w:r>
            <w:r w:rsidR="00052B50" w:rsidRPr="009C39BD">
              <w:rPr>
                <w:rFonts w:hint="eastAsia"/>
                <w:color w:val="auto"/>
                <w:sz w:val="17"/>
                <w:szCs w:val="17"/>
              </w:rPr>
              <w:t>帳</w:t>
            </w:r>
            <w:r w:rsidR="003C3BA9" w:rsidRPr="009C39BD">
              <w:rPr>
                <w:rFonts w:hint="eastAsia"/>
                <w:color w:val="auto"/>
                <w:sz w:val="17"/>
                <w:szCs w:val="17"/>
              </w:rPr>
              <w:t>的第</w:t>
            </w:r>
            <w:r w:rsidR="003C3BA9" w:rsidRPr="009C39BD">
              <w:rPr>
                <w:color w:val="auto"/>
                <w:sz w:val="17"/>
                <w:szCs w:val="17"/>
              </w:rPr>
              <w:t>1</w:t>
            </w:r>
            <w:r w:rsidR="003C3BA9" w:rsidRPr="009C39BD">
              <w:rPr>
                <w:rFonts w:hint="eastAsia"/>
                <w:color w:val="auto"/>
                <w:sz w:val="17"/>
                <w:szCs w:val="17"/>
              </w:rPr>
              <w:t>組加密資產風險承擔</w:t>
            </w:r>
            <w:r w:rsidR="00052B50" w:rsidRPr="009C39BD">
              <w:rPr>
                <w:rFonts w:hint="eastAsia"/>
                <w:color w:val="auto"/>
                <w:sz w:val="17"/>
                <w:szCs w:val="17"/>
              </w:rPr>
              <w:t>計算</w:t>
            </w:r>
            <w:r w:rsidR="003C3BA9" w:rsidRPr="009C39BD">
              <w:rPr>
                <w:rFonts w:hint="eastAsia"/>
                <w:color w:val="auto"/>
                <w:sz w:val="17"/>
                <w:szCs w:val="17"/>
              </w:rPr>
              <w:t>基建風險附加額</w:t>
            </w:r>
            <w:r w:rsidR="003C3BA9" w:rsidRPr="005A22C2">
              <w:rPr>
                <w:rFonts w:hint="eastAsia"/>
                <w:color w:val="auto"/>
                <w:sz w:val="17"/>
                <w:szCs w:val="17"/>
              </w:rPr>
              <w:t>，</w:t>
            </w:r>
            <w:r w:rsidR="00A51540" w:rsidRPr="00F852F8">
              <w:rPr>
                <w:rFonts w:hint="eastAsia"/>
                <w:color w:val="auto"/>
                <w:sz w:val="17"/>
                <w:szCs w:val="17"/>
                <w:lang w:eastAsia="zh-HK"/>
              </w:rPr>
              <w:t>則</w:t>
            </w:r>
            <w:r w:rsidR="00052B50" w:rsidRPr="005A22C2">
              <w:rPr>
                <w:color w:val="auto"/>
                <w:sz w:val="17"/>
                <w:szCs w:val="17"/>
                <w:lang w:eastAsia="zh-HK"/>
              </w:rPr>
              <w:t>上述</w:t>
            </w:r>
            <w:r w:rsidR="003C3BA9" w:rsidRPr="005A22C2">
              <w:rPr>
                <w:rFonts w:hint="eastAsia"/>
                <w:color w:val="auto"/>
                <w:sz w:val="17"/>
                <w:szCs w:val="17"/>
                <w:lang w:eastAsia="zh-HK"/>
              </w:rPr>
              <w:t>與</w:t>
            </w:r>
            <w:r w:rsidR="003C3BA9">
              <w:rPr>
                <w:color w:val="auto"/>
                <w:sz w:val="17"/>
                <w:szCs w:val="17"/>
              </w:rPr>
              <w:t>[CMS1:5/</w:t>
            </w:r>
            <w:r w:rsidR="003C3BA9" w:rsidRPr="003C3BA9">
              <w:rPr>
                <w:color w:val="auto"/>
                <w:sz w:val="17"/>
                <w:szCs w:val="17"/>
                <w:lang w:val="en-GB"/>
              </w:rPr>
              <w:t>c</w:t>
            </w:r>
            <w:r w:rsidR="003C3BA9" w:rsidRPr="005A22C2">
              <w:rPr>
                <w:color w:val="auto"/>
                <w:sz w:val="17"/>
                <w:szCs w:val="17"/>
              </w:rPr>
              <w:t>]</w:t>
            </w:r>
            <w:r w:rsidR="003C3BA9" w:rsidRPr="005A22C2">
              <w:rPr>
                <w:rFonts w:hint="eastAsia"/>
                <w:color w:val="auto"/>
                <w:sz w:val="17"/>
                <w:szCs w:val="17"/>
                <w:lang w:eastAsia="zh-HK"/>
              </w:rPr>
              <w:t>的關連</w:t>
            </w:r>
            <w:r w:rsidR="00BB77A3" w:rsidRPr="00F852F8">
              <w:rPr>
                <w:rFonts w:hint="eastAsia"/>
                <w:color w:val="auto"/>
                <w:sz w:val="17"/>
                <w:szCs w:val="17"/>
                <w:lang w:eastAsia="zh-HK"/>
              </w:rPr>
              <w:t>將</w:t>
            </w:r>
            <w:r w:rsidR="003C3BA9" w:rsidRPr="005A22C2">
              <w:rPr>
                <w:rFonts w:hint="eastAsia"/>
                <w:color w:val="auto"/>
                <w:sz w:val="17"/>
                <w:szCs w:val="17"/>
                <w:lang w:eastAsia="zh-HK"/>
              </w:rPr>
              <w:t>不成立</w:t>
            </w:r>
            <w:r w:rsidR="003C3BA9" w:rsidRPr="005A22C2">
              <w:rPr>
                <w:rFonts w:hint="eastAsia"/>
                <w:color w:val="auto"/>
                <w:sz w:val="17"/>
                <w:szCs w:val="17"/>
              </w:rPr>
              <w:t>。</w:t>
            </w:r>
            <w:r w:rsidR="00052B50" w:rsidRPr="005A22C2">
              <w:rPr>
                <w:rFonts w:hint="eastAsia"/>
                <w:color w:val="auto"/>
                <w:sz w:val="17"/>
                <w:szCs w:val="17"/>
              </w:rPr>
              <w:t>）</w:t>
            </w:r>
          </w:p>
        </w:tc>
      </w:tr>
    </w:tbl>
    <w:p w14:paraId="25A716B2" w14:textId="77777777" w:rsidR="005F4B44" w:rsidRPr="005A22C2" w:rsidRDefault="005F4B44" w:rsidP="005F4B44">
      <w:pPr>
        <w:spacing w:before="120" w:after="120"/>
        <w:rPr>
          <w:rFonts w:eastAsia="新細明體" w:cs="Segoe UI"/>
          <w:sz w:val="22"/>
          <w:lang w:eastAsia="zh-TW"/>
        </w:rPr>
        <w:sectPr w:rsidR="005F4B44" w:rsidRPr="005A22C2" w:rsidSect="005F4B44">
          <w:footerReference w:type="default" r:id="rId103"/>
          <w:pgSz w:w="11906" w:h="16838" w:code="9"/>
          <w:pgMar w:top="1440" w:right="1418" w:bottom="1440" w:left="1797" w:header="851" w:footer="737" w:gutter="0"/>
          <w:cols w:space="425"/>
          <w:docGrid w:type="linesAndChars" w:linePitch="360"/>
        </w:sectPr>
      </w:pPr>
    </w:p>
    <w:p w14:paraId="2AAD6FA6" w14:textId="0BA4F8A4" w:rsidR="00216206" w:rsidRPr="005A22C2" w:rsidRDefault="00216206" w:rsidP="00216206">
      <w:pPr>
        <w:pStyle w:val="Heading2"/>
        <w:keepNext w:val="0"/>
        <w:suppressAutoHyphens w:val="0"/>
        <w:spacing w:before="40" w:line="240" w:lineRule="auto"/>
        <w:ind w:left="-454"/>
        <w:rPr>
          <w:rFonts w:asciiTheme="majorEastAsia" w:eastAsiaTheme="majorEastAsia" w:hAnsiTheme="majorEastAsia"/>
          <w:b w:val="0"/>
          <w:bCs w:val="0"/>
          <w:sz w:val="22"/>
          <w:szCs w:val="20"/>
          <w:lang w:eastAsia="zh-TW"/>
        </w:rPr>
      </w:pPr>
      <w:r w:rsidRPr="005A22C2">
        <w:rPr>
          <w:rFonts w:asciiTheme="majorEastAsia" w:eastAsiaTheme="majorEastAsia" w:hAnsiTheme="majorEastAsia" w:cs="微軟正黑體" w:hint="eastAsia"/>
          <w:b w:val="0"/>
          <w:bCs w:val="0"/>
          <w:sz w:val="22"/>
          <w:szCs w:val="20"/>
          <w:lang w:eastAsia="zh-TW"/>
        </w:rPr>
        <w:t>模版</w:t>
      </w:r>
      <w:r w:rsidRPr="005A22C2">
        <w:rPr>
          <w:rFonts w:ascii="Segoe UI" w:eastAsiaTheme="majorEastAsia" w:hAnsi="Segoe UI" w:cs="Segoe UI"/>
          <w:b w:val="0"/>
          <w:bCs w:val="0"/>
          <w:sz w:val="22"/>
          <w:szCs w:val="20"/>
          <w:lang w:eastAsia="zh-TW"/>
        </w:rPr>
        <w:t>MR3</w:t>
      </w:r>
      <w:r w:rsidRPr="005A22C2">
        <w:rPr>
          <w:rFonts w:asciiTheme="majorEastAsia" w:eastAsiaTheme="majorEastAsia" w:hAnsiTheme="majorEastAsia" w:cs="微軟正黑體" w:hint="eastAsia"/>
          <w:b w:val="0"/>
          <w:bCs w:val="0"/>
          <w:sz w:val="22"/>
          <w:szCs w:val="20"/>
          <w:lang w:eastAsia="zh-TW"/>
        </w:rPr>
        <w:t>：在</w:t>
      </w:r>
      <w:r w:rsidRPr="005A22C2">
        <w:rPr>
          <w:rFonts w:ascii="Segoe UI" w:eastAsiaTheme="majorEastAsia" w:hAnsi="Segoe UI" w:cs="Segoe UI"/>
          <w:b w:val="0"/>
          <w:bCs w:val="0"/>
          <w:sz w:val="22"/>
          <w:szCs w:val="20"/>
          <w:lang w:eastAsia="zh-TW"/>
        </w:rPr>
        <w:t>SSTM</w:t>
      </w:r>
      <w:r w:rsidRPr="005A22C2">
        <w:rPr>
          <w:rFonts w:asciiTheme="majorEastAsia" w:eastAsiaTheme="majorEastAsia" w:hAnsiTheme="majorEastAsia" w:cs="微軟正黑體" w:hint="eastAsia"/>
          <w:b w:val="0"/>
          <w:bCs w:val="0"/>
          <w:sz w:val="22"/>
          <w:szCs w:val="20"/>
          <w:lang w:eastAsia="zh-TW"/>
        </w:rPr>
        <w:t>計算法下的市場風險</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5A22C2" w:rsidRPr="005A22C2" w14:paraId="2FCBE7C9" w14:textId="77777777" w:rsidTr="001D6590">
        <w:tc>
          <w:tcPr>
            <w:tcW w:w="2160" w:type="dxa"/>
            <w:tcBorders>
              <w:top w:val="single" w:sz="4" w:space="0" w:color="auto"/>
              <w:left w:val="nil"/>
              <w:bottom w:val="single" w:sz="4" w:space="0" w:color="auto"/>
              <w:right w:val="single" w:sz="4" w:space="0" w:color="auto"/>
            </w:tcBorders>
            <w:hideMark/>
          </w:tcPr>
          <w:p w14:paraId="458CC847" w14:textId="77777777" w:rsidR="00190D67" w:rsidRPr="005A22C2" w:rsidRDefault="00190D67" w:rsidP="00862754">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44EC1419" w14:textId="03C76AC4" w:rsidR="00190D67" w:rsidRPr="005A22C2" w:rsidRDefault="00190D67" w:rsidP="00862754">
            <w:pPr>
              <w:pStyle w:val="Default"/>
              <w:jc w:val="both"/>
              <w:rPr>
                <w:color w:val="auto"/>
                <w:sz w:val="17"/>
                <w:szCs w:val="17"/>
                <w:lang w:val="en-GB" w:eastAsia="zh-HK"/>
              </w:rPr>
            </w:pPr>
            <w:r w:rsidRPr="005A22C2">
              <w:rPr>
                <w:color w:val="auto"/>
                <w:sz w:val="17"/>
                <w:szCs w:val="17"/>
                <w:lang w:eastAsia="zh-HK"/>
              </w:rPr>
              <w:t>提供</w:t>
            </w:r>
            <w:r w:rsidRPr="005A22C2">
              <w:rPr>
                <w:rFonts w:hint="eastAsia"/>
                <w:color w:val="auto"/>
                <w:sz w:val="17"/>
                <w:szCs w:val="17"/>
                <w:lang w:val="en-GB"/>
              </w:rPr>
              <w:t>使用</w:t>
            </w:r>
            <w:r w:rsidRPr="005A22C2">
              <w:rPr>
                <w:color w:val="auto"/>
                <w:sz w:val="17"/>
                <w:szCs w:val="17"/>
                <w:lang w:eastAsia="zh-HK"/>
              </w:rPr>
              <w:t>市場風險</w:t>
            </w:r>
            <w:r w:rsidRPr="005A22C2">
              <w:rPr>
                <w:color w:val="auto"/>
                <w:sz w:val="17"/>
                <w:szCs w:val="17"/>
                <w:lang w:val="en-GB" w:eastAsia="zh-HK"/>
              </w:rPr>
              <w:t>SSTM</w:t>
            </w:r>
            <w:r w:rsidRPr="005A22C2">
              <w:rPr>
                <w:color w:val="auto"/>
                <w:sz w:val="17"/>
                <w:szCs w:val="17"/>
                <w:lang w:val="en-GB" w:eastAsia="zh-HK"/>
              </w:rPr>
              <w:t>計算法下</w:t>
            </w:r>
            <w:r w:rsidRPr="005A22C2">
              <w:rPr>
                <w:rFonts w:hint="eastAsia"/>
                <w:color w:val="auto"/>
                <w:sz w:val="17"/>
                <w:szCs w:val="17"/>
                <w:lang w:val="en-GB" w:eastAsia="zh-HK"/>
              </w:rPr>
              <w:t>的</w:t>
            </w:r>
            <w:r w:rsidRPr="005A22C2">
              <w:rPr>
                <w:color w:val="auto"/>
                <w:sz w:val="17"/>
                <w:szCs w:val="17"/>
                <w:lang w:val="en-GB" w:eastAsia="zh-HK"/>
              </w:rPr>
              <w:t>市場風險資本要求的組成部分</w:t>
            </w:r>
            <w:r w:rsidRPr="005A22C2">
              <w:rPr>
                <w:color w:val="auto"/>
                <w:sz w:val="17"/>
                <w:szCs w:val="17"/>
                <w:lang w:val="en-GB"/>
              </w:rPr>
              <w:t>。</w:t>
            </w:r>
          </w:p>
        </w:tc>
      </w:tr>
      <w:tr w:rsidR="005A22C2" w:rsidRPr="005A22C2" w14:paraId="0E7E599D" w14:textId="77777777" w:rsidTr="001D6590">
        <w:tc>
          <w:tcPr>
            <w:tcW w:w="2160" w:type="dxa"/>
            <w:tcBorders>
              <w:top w:val="single" w:sz="4" w:space="0" w:color="auto"/>
              <w:left w:val="nil"/>
              <w:bottom w:val="single" w:sz="4" w:space="0" w:color="auto"/>
              <w:right w:val="single" w:sz="4" w:space="0" w:color="auto"/>
            </w:tcBorders>
            <w:hideMark/>
          </w:tcPr>
          <w:p w14:paraId="3C87E8A8" w14:textId="77777777" w:rsidR="00190D67" w:rsidRPr="005A22C2" w:rsidRDefault="00190D67" w:rsidP="00862754">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44F53851" w14:textId="14579009" w:rsidR="00190D67" w:rsidRPr="005A22C2" w:rsidRDefault="00190D67" w:rsidP="00862754">
            <w:pPr>
              <w:pStyle w:val="Default"/>
              <w:jc w:val="both"/>
              <w:rPr>
                <w:color w:val="auto"/>
                <w:sz w:val="17"/>
                <w:szCs w:val="17"/>
              </w:rPr>
            </w:pPr>
            <w:r w:rsidRPr="005A22C2">
              <w:rPr>
                <w:color w:val="auto"/>
                <w:sz w:val="17"/>
                <w:szCs w:val="17"/>
                <w:lang w:eastAsia="zh-HK"/>
              </w:rPr>
              <w:t>在香港成立為法團並使用</w:t>
            </w:r>
            <w:r w:rsidRPr="005A22C2">
              <w:rPr>
                <w:color w:val="auto"/>
                <w:sz w:val="17"/>
                <w:szCs w:val="17"/>
              </w:rPr>
              <w:t>SSTM</w:t>
            </w:r>
            <w:r w:rsidRPr="005A22C2">
              <w:rPr>
                <w:color w:val="auto"/>
                <w:sz w:val="17"/>
                <w:szCs w:val="17"/>
                <w:lang w:eastAsia="zh-HK"/>
              </w:rPr>
              <w:t>計算法</w:t>
            </w:r>
            <w:r w:rsidRPr="005A22C2">
              <w:rPr>
                <w:rFonts w:hint="eastAsia"/>
                <w:color w:val="auto"/>
                <w:sz w:val="17"/>
                <w:szCs w:val="17"/>
                <w:lang w:eastAsia="zh-HK"/>
              </w:rPr>
              <w:t>斷</w:t>
            </w:r>
            <w:r w:rsidRPr="005A22C2">
              <w:rPr>
                <w:color w:val="auto"/>
                <w:sz w:val="17"/>
                <w:szCs w:val="17"/>
                <w:lang w:eastAsia="zh-HK"/>
              </w:rPr>
              <w:t>定</w:t>
            </w:r>
            <w:r w:rsidRPr="005A22C2">
              <w:rPr>
                <w:rFonts w:hint="eastAsia"/>
                <w:color w:val="auto"/>
                <w:sz w:val="17"/>
                <w:szCs w:val="17"/>
                <w:lang w:eastAsia="zh-HK"/>
              </w:rPr>
              <w:t>其</w:t>
            </w:r>
            <w:r w:rsidRPr="005A22C2">
              <w:rPr>
                <w:color w:val="auto"/>
                <w:sz w:val="17"/>
                <w:szCs w:val="17"/>
                <w:lang w:eastAsia="zh-HK"/>
              </w:rPr>
              <w:t>市場風險資本要求的認可機構</w:t>
            </w:r>
            <w:r w:rsidRPr="005A22C2">
              <w:rPr>
                <w:color w:val="auto"/>
                <w:sz w:val="17"/>
                <w:szCs w:val="17"/>
              </w:rPr>
              <w:t>，</w:t>
            </w:r>
            <w:r w:rsidRPr="005A22C2">
              <w:rPr>
                <w:color w:val="auto"/>
                <w:sz w:val="17"/>
                <w:szCs w:val="17"/>
                <w:lang w:eastAsia="zh-HK"/>
              </w:rPr>
              <w:t>均須填報本模版</w:t>
            </w:r>
            <w:r w:rsidRPr="005A22C2">
              <w:rPr>
                <w:color w:val="auto"/>
                <w:sz w:val="17"/>
                <w:szCs w:val="17"/>
              </w:rPr>
              <w:t>。</w:t>
            </w:r>
          </w:p>
        </w:tc>
      </w:tr>
      <w:tr w:rsidR="005A22C2" w:rsidRPr="005A22C2" w14:paraId="079831B1" w14:textId="77777777" w:rsidTr="001D6590">
        <w:tc>
          <w:tcPr>
            <w:tcW w:w="2160" w:type="dxa"/>
            <w:tcBorders>
              <w:top w:val="single" w:sz="4" w:space="0" w:color="auto"/>
              <w:left w:val="nil"/>
              <w:bottom w:val="single" w:sz="4" w:space="0" w:color="auto"/>
              <w:right w:val="single" w:sz="4" w:space="0" w:color="auto"/>
            </w:tcBorders>
            <w:hideMark/>
          </w:tcPr>
          <w:p w14:paraId="20409BE0" w14:textId="77777777" w:rsidR="00190D67" w:rsidRPr="005A22C2" w:rsidRDefault="00190D67" w:rsidP="00862754">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69A8B0EC" w14:textId="77777777" w:rsidR="00190D67" w:rsidRPr="005A22C2" w:rsidRDefault="00190D67" w:rsidP="00862754">
            <w:pPr>
              <w:spacing w:before="40" w:after="40"/>
              <w:jc w:val="both"/>
              <w:rPr>
                <w:rFonts w:eastAsia="新細明體" w:cs="Segoe UI"/>
                <w:sz w:val="17"/>
                <w:szCs w:val="17"/>
              </w:rPr>
            </w:pPr>
            <w:r w:rsidRPr="005A22C2">
              <w:rPr>
                <w:rFonts w:eastAsia="新細明體" w:cs="Segoe UI"/>
                <w:sz w:val="17"/>
                <w:szCs w:val="17"/>
                <w:lang w:eastAsia="zh-HK"/>
              </w:rPr>
              <w:t>市場風險資本要求</w:t>
            </w:r>
            <w:r w:rsidRPr="005A22C2">
              <w:rPr>
                <w:rFonts w:eastAsia="新細明體" w:cs="Segoe UI"/>
                <w:sz w:val="17"/>
                <w:szCs w:val="17"/>
                <w:lang w:eastAsia="zh-TW"/>
              </w:rPr>
              <w:t>。</w:t>
            </w:r>
          </w:p>
        </w:tc>
      </w:tr>
      <w:tr w:rsidR="005A22C2" w:rsidRPr="005A22C2" w14:paraId="1A7824D9" w14:textId="77777777" w:rsidTr="001D6590">
        <w:tc>
          <w:tcPr>
            <w:tcW w:w="2160" w:type="dxa"/>
            <w:tcBorders>
              <w:top w:val="single" w:sz="4" w:space="0" w:color="auto"/>
              <w:left w:val="nil"/>
              <w:bottom w:val="single" w:sz="4" w:space="0" w:color="auto"/>
              <w:right w:val="single" w:sz="4" w:space="0" w:color="auto"/>
            </w:tcBorders>
            <w:hideMark/>
          </w:tcPr>
          <w:p w14:paraId="74B7129D" w14:textId="77777777" w:rsidR="00190D67" w:rsidRPr="005A22C2" w:rsidRDefault="00190D67" w:rsidP="00862754">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2E51FD88" w14:textId="77777777" w:rsidR="00190D67" w:rsidRPr="005A22C2" w:rsidRDefault="00190D67" w:rsidP="00862754">
            <w:pPr>
              <w:pStyle w:val="TableText"/>
              <w:jc w:val="both"/>
              <w:rPr>
                <w:rFonts w:eastAsia="新細明體" w:cs="Segoe UI"/>
                <w:lang w:eastAsia="en-GB"/>
              </w:rPr>
            </w:pPr>
            <w:proofErr w:type="spellStart"/>
            <w:r w:rsidRPr="005A22C2">
              <w:rPr>
                <w:rFonts w:eastAsia="新細明體" w:cs="Segoe UI"/>
                <w:lang w:eastAsia="en-GB"/>
              </w:rPr>
              <w:t>每半年一次</w:t>
            </w:r>
            <w:proofErr w:type="spellEnd"/>
            <w:r w:rsidRPr="005A22C2">
              <w:rPr>
                <w:rFonts w:eastAsia="新細明體" w:cs="Segoe UI"/>
                <w:lang w:eastAsia="en-GB"/>
              </w:rPr>
              <w:t>。</w:t>
            </w:r>
          </w:p>
        </w:tc>
      </w:tr>
      <w:tr w:rsidR="005A22C2" w:rsidRPr="005A22C2" w14:paraId="2526AA74" w14:textId="77777777" w:rsidTr="001D6590">
        <w:tc>
          <w:tcPr>
            <w:tcW w:w="2160" w:type="dxa"/>
            <w:tcBorders>
              <w:top w:val="single" w:sz="4" w:space="0" w:color="auto"/>
              <w:left w:val="nil"/>
              <w:bottom w:val="single" w:sz="4" w:space="0" w:color="auto"/>
              <w:right w:val="single" w:sz="4" w:space="0" w:color="auto"/>
            </w:tcBorders>
            <w:hideMark/>
          </w:tcPr>
          <w:p w14:paraId="0E2A5587" w14:textId="77777777" w:rsidR="00190D67" w:rsidRPr="005A22C2" w:rsidRDefault="00190D67" w:rsidP="00862754">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7088" w:type="dxa"/>
            <w:tcBorders>
              <w:top w:val="single" w:sz="4" w:space="0" w:color="auto"/>
              <w:left w:val="single" w:sz="4" w:space="0" w:color="auto"/>
              <w:bottom w:val="single" w:sz="4" w:space="0" w:color="auto"/>
              <w:right w:val="nil"/>
            </w:tcBorders>
            <w:hideMark/>
          </w:tcPr>
          <w:p w14:paraId="091FD478" w14:textId="77777777" w:rsidR="00190D67" w:rsidRPr="005A22C2" w:rsidRDefault="00190D67" w:rsidP="00862754">
            <w:pPr>
              <w:pStyle w:val="TableText"/>
              <w:jc w:val="both"/>
              <w:rPr>
                <w:rFonts w:eastAsia="新細明體" w:cs="Segoe UI"/>
                <w:lang w:eastAsia="en-GB"/>
              </w:rPr>
            </w:pPr>
            <w:proofErr w:type="spellStart"/>
            <w:r w:rsidRPr="005A22C2">
              <w:rPr>
                <w:rFonts w:eastAsia="新細明體" w:cs="Segoe UI"/>
                <w:lang w:eastAsia="en-GB"/>
              </w:rPr>
              <w:t>固定</w:t>
            </w:r>
            <w:proofErr w:type="spellEnd"/>
            <w:r w:rsidRPr="005A22C2">
              <w:rPr>
                <w:rFonts w:eastAsia="新細明體" w:cs="Segoe UI"/>
                <w:lang w:eastAsia="en-GB"/>
              </w:rPr>
              <w:t>。</w:t>
            </w:r>
            <w:r w:rsidRPr="005A22C2">
              <w:rPr>
                <w:rFonts w:eastAsia="新細明體" w:cs="Segoe UI"/>
                <w:lang w:eastAsia="en-GB"/>
              </w:rPr>
              <w:t xml:space="preserve"> </w:t>
            </w:r>
          </w:p>
        </w:tc>
      </w:tr>
      <w:tr w:rsidR="005A22C2" w:rsidRPr="005A22C2" w14:paraId="4062C3A2" w14:textId="77777777" w:rsidTr="001D6590">
        <w:tc>
          <w:tcPr>
            <w:tcW w:w="2160" w:type="dxa"/>
            <w:tcBorders>
              <w:top w:val="single" w:sz="4" w:space="0" w:color="auto"/>
              <w:left w:val="nil"/>
              <w:bottom w:val="single" w:sz="4" w:space="0" w:color="auto"/>
              <w:right w:val="single" w:sz="4" w:space="0" w:color="auto"/>
            </w:tcBorders>
            <w:hideMark/>
          </w:tcPr>
          <w:p w14:paraId="5765FA15" w14:textId="77777777" w:rsidR="00190D67" w:rsidRPr="005A22C2" w:rsidRDefault="00190D67" w:rsidP="00862754">
            <w:pPr>
              <w:spacing w:before="40" w:after="40"/>
              <w:rPr>
                <w:rFonts w:eastAsia="新細明體" w:cs="Segoe UI"/>
                <w:b/>
                <w:sz w:val="17"/>
                <w:lang w:eastAsia="en-GB"/>
              </w:rPr>
            </w:pPr>
            <w:proofErr w:type="spellStart"/>
            <w:r w:rsidRPr="005A22C2">
              <w:rPr>
                <w:rFonts w:eastAsia="新細明體" w:cs="Segoe UI"/>
                <w:b/>
                <w:sz w:val="17"/>
                <w:szCs w:val="17"/>
                <w:lang w:eastAsia="en-GB"/>
              </w:rPr>
              <w:t>附加說明</w:t>
            </w:r>
            <w:proofErr w:type="spellEnd"/>
            <w:r w:rsidRPr="005A22C2">
              <w:rPr>
                <w:rFonts w:eastAsia="新細明體" w:cs="Segoe UI"/>
                <w:b/>
                <w:sz w:val="17"/>
                <w:szCs w:val="17"/>
                <w:lang w:eastAsia="en-GB"/>
              </w:rPr>
              <w:t>：</w:t>
            </w:r>
          </w:p>
        </w:tc>
        <w:tc>
          <w:tcPr>
            <w:tcW w:w="7088" w:type="dxa"/>
            <w:tcBorders>
              <w:top w:val="single" w:sz="4" w:space="0" w:color="auto"/>
              <w:left w:val="single" w:sz="4" w:space="0" w:color="auto"/>
              <w:bottom w:val="single" w:sz="4" w:space="0" w:color="auto"/>
              <w:right w:val="nil"/>
            </w:tcBorders>
          </w:tcPr>
          <w:p w14:paraId="7E37DE94" w14:textId="16211A46" w:rsidR="00190D67" w:rsidRPr="005A22C2" w:rsidRDefault="00190D67" w:rsidP="00862754">
            <w:pPr>
              <w:pStyle w:val="TableText"/>
              <w:jc w:val="both"/>
              <w:rPr>
                <w:rFonts w:eastAsia="新細明體" w:cs="Segoe UI"/>
                <w:noProof/>
                <w:lang w:eastAsia="zh-TW"/>
              </w:rPr>
            </w:pPr>
            <w:r w:rsidRPr="005A22C2">
              <w:rPr>
                <w:rFonts w:eastAsia="新細明體" w:cs="Segoe UI"/>
                <w:noProof/>
                <w:lang w:eastAsia="zh-TW"/>
              </w:rPr>
              <w:t>認可機構應以敘述評註闡明現行報告期內的任何重大</w:t>
            </w:r>
            <w:r w:rsidRPr="005A22C2">
              <w:rPr>
                <w:rFonts w:eastAsia="新細明體" w:cs="Segoe UI" w:hint="eastAsia"/>
                <w:noProof/>
                <w:lang w:eastAsia="zh-TW"/>
              </w:rPr>
              <w:t>改變</w:t>
            </w:r>
            <w:r w:rsidRPr="005A22C2">
              <w:rPr>
                <w:rFonts w:eastAsia="新細明體" w:cs="Segoe UI"/>
                <w:noProof/>
                <w:lang w:eastAsia="zh-TW"/>
              </w:rPr>
              <w:t>及引致該等</w:t>
            </w:r>
            <w:r w:rsidRPr="005A22C2">
              <w:rPr>
                <w:rFonts w:eastAsia="新細明體" w:cs="Segoe UI" w:hint="eastAsia"/>
                <w:noProof/>
                <w:lang w:eastAsia="zh-TW"/>
              </w:rPr>
              <w:t>改變</w:t>
            </w:r>
            <w:r w:rsidRPr="005A22C2">
              <w:rPr>
                <w:rFonts w:eastAsia="新細明體" w:cs="Segoe UI"/>
                <w:noProof/>
                <w:lang w:eastAsia="zh-TW"/>
              </w:rPr>
              <w:t>的主要驅動因素，以補充本模版。</w:t>
            </w:r>
          </w:p>
        </w:tc>
      </w:tr>
      <w:tr w:rsidR="005A22C2" w:rsidRPr="005A22C2" w14:paraId="42673D22" w14:textId="77777777" w:rsidTr="001D6590">
        <w:tc>
          <w:tcPr>
            <w:tcW w:w="2160" w:type="dxa"/>
            <w:tcBorders>
              <w:top w:val="single" w:sz="4" w:space="0" w:color="auto"/>
              <w:left w:val="nil"/>
              <w:bottom w:val="single" w:sz="4" w:space="0" w:color="auto"/>
              <w:right w:val="single" w:sz="4" w:space="0" w:color="auto"/>
            </w:tcBorders>
            <w:hideMark/>
          </w:tcPr>
          <w:p w14:paraId="27F7FF09" w14:textId="77777777" w:rsidR="00190D67" w:rsidRPr="005A22C2" w:rsidRDefault="00190D67" w:rsidP="00862754">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tcPr>
          <w:p w14:paraId="6FFFC64C" w14:textId="77777777" w:rsidR="00190D67" w:rsidRPr="005A22C2" w:rsidRDefault="00190D67" w:rsidP="00862754">
            <w:pPr>
              <w:pStyle w:val="TableText"/>
              <w:jc w:val="both"/>
              <w:rPr>
                <w:rFonts w:eastAsia="新細明體" w:cs="Segoe UI"/>
                <w:lang w:eastAsia="en-GB"/>
              </w:rPr>
            </w:pPr>
            <w:r w:rsidRPr="005A22C2">
              <w:rPr>
                <w:rFonts w:eastAsia="DengXian" w:cs="Segoe UI"/>
                <w:lang w:eastAsia="zh-CN"/>
              </w:rPr>
              <w:t>16</w:t>
            </w:r>
            <w:r w:rsidRPr="005A22C2">
              <w:rPr>
                <w:rFonts w:eastAsia="新細明體" w:cs="Segoe UI"/>
                <w:lang w:eastAsia="en-GB"/>
              </w:rPr>
              <w:t>ZN</w:t>
            </w:r>
          </w:p>
        </w:tc>
      </w:tr>
    </w:tbl>
    <w:p w14:paraId="0DA10E02" w14:textId="77777777" w:rsidR="00190D67" w:rsidRPr="005A22C2" w:rsidRDefault="00190D67" w:rsidP="00190D67">
      <w:pPr>
        <w:spacing w:before="120" w:after="120"/>
        <w:rPr>
          <w:rFonts w:eastAsia="新細明體" w:cs="Segoe UI"/>
          <w:sz w:val="22"/>
        </w:rPr>
      </w:pPr>
    </w:p>
    <w:tbl>
      <w:tblPr>
        <w:tblW w:w="9214" w:type="dxa"/>
        <w:tblInd w:w="-459" w:type="dxa"/>
        <w:tblBorders>
          <w:top w:val="single" w:sz="4" w:space="0" w:color="A6A6A6"/>
          <w:bottom w:val="single" w:sz="4" w:space="0" w:color="A6A6A6"/>
          <w:insideH w:val="single" w:sz="4" w:space="0" w:color="A6A6A6"/>
          <w:insideV w:val="single" w:sz="4" w:space="0" w:color="A6A6A6"/>
        </w:tblBorders>
        <w:tblLayout w:type="fixed"/>
        <w:tblLook w:val="04A0" w:firstRow="1" w:lastRow="0" w:firstColumn="1" w:lastColumn="0" w:noHBand="0" w:noVBand="1"/>
      </w:tblPr>
      <w:tblGrid>
        <w:gridCol w:w="425"/>
        <w:gridCol w:w="2552"/>
        <w:gridCol w:w="1559"/>
        <w:gridCol w:w="1701"/>
        <w:gridCol w:w="1560"/>
        <w:gridCol w:w="1417"/>
      </w:tblGrid>
      <w:tr w:rsidR="005A22C2" w:rsidRPr="005A22C2" w14:paraId="7823B50C" w14:textId="77777777" w:rsidTr="00862754">
        <w:trPr>
          <w:cantSplit/>
          <w:tblHeader/>
        </w:trPr>
        <w:tc>
          <w:tcPr>
            <w:tcW w:w="2977" w:type="dxa"/>
            <w:gridSpan w:val="2"/>
            <w:tcBorders>
              <w:top w:val="nil"/>
              <w:left w:val="nil"/>
              <w:bottom w:val="nil"/>
              <w:right w:val="single" w:sz="4" w:space="0" w:color="auto"/>
            </w:tcBorders>
            <w:vAlign w:val="center"/>
          </w:tcPr>
          <w:p w14:paraId="76A30F3B" w14:textId="77777777" w:rsidR="00190D67" w:rsidRPr="005A22C2" w:rsidRDefault="00190D67" w:rsidP="00862754">
            <w:pPr>
              <w:pStyle w:val="TableText"/>
              <w:snapToGrid w:val="0"/>
              <w:rPr>
                <w:rFonts w:eastAsia="新細明體" w:cs="Segoe UI"/>
                <w:lang w:eastAsia="fr-F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8C4696" w14:textId="77777777" w:rsidR="00190D67" w:rsidRPr="005A22C2" w:rsidRDefault="00190D67" w:rsidP="00862754">
            <w:pPr>
              <w:pStyle w:val="TableText"/>
              <w:snapToGrid w:val="0"/>
              <w:jc w:val="center"/>
              <w:rPr>
                <w:rFonts w:eastAsia="新細明體" w:cs="Segoe UI"/>
              </w:rPr>
            </w:pPr>
            <w:r w:rsidRPr="005A22C2">
              <w:rPr>
                <w:rFonts w:eastAsia="新細明體" w:cs="Segoe UI"/>
              </w:rPr>
              <w:t>(a)</w:t>
            </w:r>
          </w:p>
        </w:tc>
        <w:tc>
          <w:tcPr>
            <w:tcW w:w="1701" w:type="dxa"/>
            <w:tcBorders>
              <w:top w:val="single" w:sz="4" w:space="0" w:color="auto"/>
              <w:left w:val="single" w:sz="4" w:space="0" w:color="auto"/>
              <w:bottom w:val="single" w:sz="4" w:space="0" w:color="auto"/>
              <w:right w:val="single" w:sz="4" w:space="0" w:color="auto"/>
            </w:tcBorders>
            <w:hideMark/>
          </w:tcPr>
          <w:p w14:paraId="687CE7F1" w14:textId="77777777" w:rsidR="00190D67" w:rsidRPr="005A22C2" w:rsidRDefault="00190D67" w:rsidP="00862754">
            <w:pPr>
              <w:pStyle w:val="TableText"/>
              <w:snapToGrid w:val="0"/>
              <w:jc w:val="center"/>
              <w:rPr>
                <w:rFonts w:eastAsia="新細明體" w:cs="Segoe UI"/>
              </w:rPr>
            </w:pPr>
            <w:r w:rsidRPr="005A22C2">
              <w:rPr>
                <w:rFonts w:eastAsia="新細明體" w:cs="Segoe UI"/>
              </w:rPr>
              <w:t>(b)</w:t>
            </w:r>
          </w:p>
        </w:tc>
        <w:tc>
          <w:tcPr>
            <w:tcW w:w="1560" w:type="dxa"/>
            <w:tcBorders>
              <w:top w:val="single" w:sz="4" w:space="0" w:color="auto"/>
              <w:left w:val="single" w:sz="4" w:space="0" w:color="auto"/>
              <w:bottom w:val="single" w:sz="4" w:space="0" w:color="auto"/>
              <w:right w:val="single" w:sz="4" w:space="0" w:color="auto"/>
            </w:tcBorders>
            <w:hideMark/>
          </w:tcPr>
          <w:p w14:paraId="1ADB07A2" w14:textId="77777777" w:rsidR="00190D67" w:rsidRPr="005A22C2" w:rsidRDefault="00190D67" w:rsidP="00862754">
            <w:pPr>
              <w:pStyle w:val="TableText"/>
              <w:snapToGrid w:val="0"/>
              <w:jc w:val="center"/>
              <w:rPr>
                <w:rFonts w:eastAsia="新細明體" w:cs="Segoe UI"/>
              </w:rPr>
            </w:pPr>
            <w:r w:rsidRPr="005A22C2">
              <w:rPr>
                <w:rFonts w:eastAsia="新細明體" w:cs="Segoe UI"/>
              </w:rPr>
              <w:t>(c)</w:t>
            </w:r>
          </w:p>
        </w:tc>
        <w:tc>
          <w:tcPr>
            <w:tcW w:w="1417" w:type="dxa"/>
            <w:tcBorders>
              <w:top w:val="single" w:sz="4" w:space="0" w:color="auto"/>
              <w:left w:val="single" w:sz="4" w:space="0" w:color="auto"/>
              <w:bottom w:val="single" w:sz="4" w:space="0" w:color="auto"/>
              <w:right w:val="single" w:sz="4" w:space="0" w:color="auto"/>
            </w:tcBorders>
            <w:hideMark/>
          </w:tcPr>
          <w:p w14:paraId="5FC087B9" w14:textId="77777777" w:rsidR="00190D67" w:rsidRPr="005A22C2" w:rsidRDefault="00190D67" w:rsidP="00862754">
            <w:pPr>
              <w:pStyle w:val="TableText"/>
              <w:snapToGrid w:val="0"/>
              <w:jc w:val="center"/>
              <w:rPr>
                <w:rFonts w:eastAsia="新細明體" w:cs="Segoe UI"/>
              </w:rPr>
            </w:pPr>
            <w:r w:rsidRPr="005A22C2">
              <w:rPr>
                <w:rFonts w:eastAsia="新細明體" w:cs="Segoe UI"/>
              </w:rPr>
              <w:t>(d)</w:t>
            </w:r>
          </w:p>
        </w:tc>
      </w:tr>
      <w:tr w:rsidR="005A22C2" w:rsidRPr="005A22C2" w14:paraId="52A7DAAB" w14:textId="77777777" w:rsidTr="00862754">
        <w:trPr>
          <w:cantSplit/>
          <w:tblHeader/>
        </w:trPr>
        <w:tc>
          <w:tcPr>
            <w:tcW w:w="2977" w:type="dxa"/>
            <w:gridSpan w:val="2"/>
            <w:tcBorders>
              <w:top w:val="nil"/>
              <w:left w:val="nil"/>
              <w:bottom w:val="single" w:sz="4" w:space="0" w:color="auto"/>
              <w:right w:val="single" w:sz="4" w:space="0" w:color="auto"/>
            </w:tcBorders>
            <w:vAlign w:val="center"/>
          </w:tcPr>
          <w:p w14:paraId="0CE57C55" w14:textId="77777777" w:rsidR="00190D67" w:rsidRPr="005A22C2" w:rsidRDefault="00190D67" w:rsidP="00862754">
            <w:pPr>
              <w:pStyle w:val="TableText"/>
              <w:snapToGrid w:val="0"/>
              <w:rPr>
                <w:rFonts w:eastAsia="新細明體" w:cs="Segoe UI"/>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14:paraId="5ADF7CCE" w14:textId="77777777" w:rsidR="00190D67" w:rsidRPr="005A22C2" w:rsidRDefault="00190D67" w:rsidP="00862754">
            <w:pPr>
              <w:pStyle w:val="TableText"/>
              <w:snapToGrid w:val="0"/>
              <w:jc w:val="center"/>
              <w:rPr>
                <w:rFonts w:eastAsia="新細明體" w:cs="Segoe UI"/>
              </w:rPr>
            </w:pP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4AC3BFF4" w14:textId="77777777" w:rsidR="00190D67" w:rsidRPr="005A22C2" w:rsidRDefault="00190D67" w:rsidP="00862754">
            <w:pPr>
              <w:pStyle w:val="TableText"/>
              <w:snapToGrid w:val="0"/>
              <w:jc w:val="center"/>
              <w:rPr>
                <w:rFonts w:eastAsia="新細明體" w:cs="Segoe UI"/>
              </w:rPr>
            </w:pPr>
            <w:r w:rsidRPr="005A22C2">
              <w:rPr>
                <w:rFonts w:eastAsia="新細明體" w:cs="Segoe UI"/>
                <w:lang w:eastAsia="zh-HK"/>
              </w:rPr>
              <w:t>期權</w:t>
            </w:r>
          </w:p>
        </w:tc>
      </w:tr>
      <w:tr w:rsidR="005A22C2" w:rsidRPr="005A22C2" w14:paraId="7858044F" w14:textId="77777777" w:rsidTr="000A1BD9">
        <w:trPr>
          <w:cantSplit/>
          <w:tblHeader/>
        </w:trPr>
        <w:tc>
          <w:tcPr>
            <w:tcW w:w="2977" w:type="dxa"/>
            <w:gridSpan w:val="2"/>
            <w:tcBorders>
              <w:top w:val="nil"/>
              <w:left w:val="nil"/>
              <w:bottom w:val="single" w:sz="4" w:space="0" w:color="auto"/>
              <w:right w:val="single" w:sz="4" w:space="0" w:color="auto"/>
            </w:tcBorders>
            <w:vAlign w:val="center"/>
          </w:tcPr>
          <w:p w14:paraId="0C7CA299" w14:textId="77777777" w:rsidR="00190D67" w:rsidRPr="005A22C2" w:rsidRDefault="00190D67" w:rsidP="00862754">
            <w:pPr>
              <w:pStyle w:val="TableText"/>
              <w:snapToGrid w:val="0"/>
              <w:rPr>
                <w:rFonts w:eastAsia="新細明體" w:cs="Segoe UI"/>
                <w:lang w:eastAsia="fr-F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767E35" w14:textId="48D8CFE2" w:rsidR="00190D67" w:rsidRPr="005A22C2" w:rsidRDefault="00190D67" w:rsidP="000A1BD9">
            <w:pPr>
              <w:pStyle w:val="TableText"/>
              <w:snapToGrid w:val="0"/>
              <w:jc w:val="center"/>
              <w:rPr>
                <w:rFonts w:eastAsia="新細明體" w:cs="Segoe UI"/>
              </w:rPr>
            </w:pPr>
            <w:r w:rsidRPr="005A22C2">
              <w:rPr>
                <w:rFonts w:eastAsia="新細明體" w:cs="Segoe UI"/>
                <w:lang w:eastAsia="zh-HK"/>
              </w:rPr>
              <w:t>直接產品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D47AB0" w14:textId="29F99895" w:rsidR="00190D67" w:rsidRPr="005A22C2" w:rsidRDefault="00190D67" w:rsidP="000A1BD9">
            <w:pPr>
              <w:pStyle w:val="TableText"/>
              <w:snapToGrid w:val="0"/>
              <w:jc w:val="center"/>
              <w:rPr>
                <w:rFonts w:eastAsia="新細明體" w:cs="Segoe UI"/>
              </w:rPr>
            </w:pPr>
            <w:r w:rsidRPr="005A22C2">
              <w:rPr>
                <w:rFonts w:eastAsia="新細明體" w:cs="Segoe UI"/>
                <w:lang w:eastAsia="zh-HK"/>
              </w:rPr>
              <w:t>簡化計算法</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739E10" w14:textId="50CA11E0" w:rsidR="00190D67" w:rsidRPr="005A22C2" w:rsidRDefault="00190D67" w:rsidP="000A1BD9">
            <w:pPr>
              <w:pStyle w:val="TableText"/>
              <w:snapToGrid w:val="0"/>
              <w:jc w:val="center"/>
              <w:rPr>
                <w:rFonts w:eastAsia="新細明體" w:cs="Segoe UI"/>
              </w:rPr>
            </w:pPr>
            <w:r w:rsidRPr="005A22C2">
              <w:rPr>
                <w:rFonts w:eastAsia="新細明體" w:cs="Segoe UI"/>
                <w:lang w:eastAsia="zh-HK"/>
              </w:rPr>
              <w:t>得爾塔附加</w:t>
            </w:r>
            <w:r w:rsidR="007A7041" w:rsidRPr="005A22C2">
              <w:rPr>
                <w:rFonts w:eastAsia="新細明體" w:cs="Segoe UI"/>
                <w:lang w:eastAsia="zh-HK"/>
              </w:rPr>
              <w:t>計算法</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83837C" w14:textId="2CA1EF6D" w:rsidR="00190D67" w:rsidRPr="005A22C2" w:rsidRDefault="00190D67" w:rsidP="000A1BD9">
            <w:pPr>
              <w:pStyle w:val="TableText"/>
              <w:snapToGrid w:val="0"/>
              <w:jc w:val="center"/>
              <w:rPr>
                <w:rFonts w:eastAsia="新細明體" w:cs="Segoe UI"/>
              </w:rPr>
            </w:pPr>
            <w:r w:rsidRPr="005A22C2">
              <w:rPr>
                <w:rFonts w:eastAsia="新細明體" w:cs="Segoe UI"/>
                <w:lang w:eastAsia="zh-HK"/>
              </w:rPr>
              <w:t>其他計算法</w:t>
            </w:r>
          </w:p>
        </w:tc>
      </w:tr>
      <w:tr w:rsidR="005A22C2" w:rsidRPr="005A22C2" w14:paraId="4F96C98C" w14:textId="77777777" w:rsidTr="00862754">
        <w:trPr>
          <w:cantSplit/>
        </w:trPr>
        <w:tc>
          <w:tcPr>
            <w:tcW w:w="425" w:type="dxa"/>
            <w:tcBorders>
              <w:top w:val="single" w:sz="4" w:space="0" w:color="A6A6A6"/>
              <w:left w:val="nil"/>
              <w:bottom w:val="single" w:sz="4" w:space="0" w:color="A6A6A6"/>
              <w:right w:val="single" w:sz="4" w:space="0" w:color="auto"/>
            </w:tcBorders>
            <w:vAlign w:val="center"/>
            <w:hideMark/>
          </w:tcPr>
          <w:p w14:paraId="63AA49DA" w14:textId="77777777" w:rsidR="00190D67" w:rsidRPr="005A22C2" w:rsidRDefault="00190D67" w:rsidP="00862754">
            <w:pPr>
              <w:pStyle w:val="TableText"/>
              <w:snapToGrid w:val="0"/>
              <w:rPr>
                <w:rFonts w:eastAsia="新細明體" w:cs="Segoe UI"/>
              </w:rPr>
            </w:pPr>
            <w:r w:rsidRPr="005A22C2">
              <w:rPr>
                <w:rFonts w:eastAsia="新細明體" w:cs="Segoe UI"/>
              </w:rPr>
              <w:t>1</w:t>
            </w:r>
          </w:p>
        </w:tc>
        <w:tc>
          <w:tcPr>
            <w:tcW w:w="2552" w:type="dxa"/>
            <w:tcBorders>
              <w:top w:val="single" w:sz="4" w:space="0" w:color="A6A6A6"/>
              <w:left w:val="single" w:sz="4" w:space="0" w:color="auto"/>
              <w:bottom w:val="single" w:sz="4" w:space="0" w:color="A6A6A6"/>
              <w:right w:val="single" w:sz="4" w:space="0" w:color="auto"/>
            </w:tcBorders>
            <w:hideMark/>
          </w:tcPr>
          <w:p w14:paraId="16E0137A" w14:textId="41D3E42D" w:rsidR="00190D67" w:rsidRPr="005A22C2" w:rsidRDefault="00190D67" w:rsidP="00862754">
            <w:pPr>
              <w:pStyle w:val="TableText"/>
              <w:snapToGrid w:val="0"/>
              <w:rPr>
                <w:rFonts w:eastAsia="新細明體" w:cs="Segoe UI"/>
                <w:lang w:eastAsia="zh-TW"/>
              </w:rPr>
            </w:pPr>
            <w:r w:rsidRPr="005A22C2">
              <w:rPr>
                <w:rFonts w:eastAsia="新細明體" w:cs="Segoe UI"/>
                <w:lang w:eastAsia="zh-HK"/>
              </w:rPr>
              <w:t>利率風險承擔</w:t>
            </w:r>
            <w:r w:rsidR="002822D2" w:rsidRPr="005A22C2">
              <w:rPr>
                <w:rFonts w:eastAsiaTheme="minorEastAsia" w:cs="Segoe UI" w:hint="eastAsia"/>
                <w:kern w:val="2"/>
                <w:szCs w:val="17"/>
                <w:lang w:eastAsia="zh-TW"/>
              </w:rPr>
              <w:t>（</w:t>
            </w:r>
            <w:r w:rsidRPr="005A22C2">
              <w:rPr>
                <w:rFonts w:eastAsia="新細明體" w:cs="Segoe UI"/>
                <w:lang w:eastAsia="zh-HK"/>
              </w:rPr>
              <w:t>一般及特定風險</w:t>
            </w:r>
            <w:r w:rsidR="00083254" w:rsidRPr="005A22C2">
              <w:rPr>
                <w:rFonts w:eastAsia="新細明體" w:cs="Segoe UI" w:hint="eastAsia"/>
                <w:lang w:eastAsia="zh-TW"/>
              </w:rPr>
              <w:t>）</w:t>
            </w:r>
          </w:p>
        </w:tc>
        <w:tc>
          <w:tcPr>
            <w:tcW w:w="1559" w:type="dxa"/>
            <w:tcBorders>
              <w:top w:val="single" w:sz="4" w:space="0" w:color="A6A6A6"/>
              <w:left w:val="single" w:sz="4" w:space="0" w:color="auto"/>
              <w:bottom w:val="single" w:sz="4" w:space="0" w:color="A6A6A6"/>
              <w:right w:val="single" w:sz="4" w:space="0" w:color="auto"/>
            </w:tcBorders>
            <w:vAlign w:val="center"/>
          </w:tcPr>
          <w:p w14:paraId="2D57FCA6" w14:textId="77777777" w:rsidR="00190D67" w:rsidRPr="005A22C2" w:rsidRDefault="00190D67" w:rsidP="00862754">
            <w:pPr>
              <w:pStyle w:val="TableText"/>
              <w:snapToGrid w:val="0"/>
              <w:rPr>
                <w:rFonts w:eastAsia="新細明體" w:cs="Segoe UI"/>
                <w:lang w:eastAsia="zh-TW"/>
              </w:rPr>
            </w:pPr>
          </w:p>
        </w:tc>
        <w:tc>
          <w:tcPr>
            <w:tcW w:w="1701" w:type="dxa"/>
            <w:tcBorders>
              <w:top w:val="single" w:sz="4" w:space="0" w:color="A6A6A6"/>
              <w:left w:val="single" w:sz="4" w:space="0" w:color="auto"/>
              <w:bottom w:val="single" w:sz="4" w:space="0" w:color="A6A6A6"/>
              <w:right w:val="single" w:sz="4" w:space="0" w:color="auto"/>
            </w:tcBorders>
            <w:vAlign w:val="center"/>
          </w:tcPr>
          <w:p w14:paraId="2384312A" w14:textId="77777777" w:rsidR="00190D67" w:rsidRPr="005A22C2" w:rsidRDefault="00190D67" w:rsidP="00862754">
            <w:pPr>
              <w:pStyle w:val="TableText"/>
              <w:snapToGrid w:val="0"/>
              <w:rPr>
                <w:rFonts w:eastAsia="新細明體" w:cs="Segoe UI"/>
                <w:lang w:eastAsia="zh-TW"/>
              </w:rPr>
            </w:pPr>
          </w:p>
        </w:tc>
        <w:tc>
          <w:tcPr>
            <w:tcW w:w="1560" w:type="dxa"/>
            <w:tcBorders>
              <w:top w:val="single" w:sz="4" w:space="0" w:color="A6A6A6"/>
              <w:left w:val="single" w:sz="4" w:space="0" w:color="auto"/>
              <w:bottom w:val="single" w:sz="4" w:space="0" w:color="A6A6A6"/>
              <w:right w:val="single" w:sz="4" w:space="0" w:color="auto"/>
            </w:tcBorders>
            <w:vAlign w:val="center"/>
          </w:tcPr>
          <w:p w14:paraId="215EEF54" w14:textId="77777777" w:rsidR="00190D67" w:rsidRPr="005A22C2" w:rsidRDefault="00190D67" w:rsidP="00862754">
            <w:pPr>
              <w:pStyle w:val="TableText"/>
              <w:snapToGrid w:val="0"/>
              <w:rPr>
                <w:rFonts w:eastAsia="新細明體" w:cs="Segoe UI"/>
                <w:lang w:eastAsia="zh-TW"/>
              </w:rPr>
            </w:pPr>
          </w:p>
        </w:tc>
        <w:tc>
          <w:tcPr>
            <w:tcW w:w="1417" w:type="dxa"/>
            <w:tcBorders>
              <w:top w:val="single" w:sz="4" w:space="0" w:color="A6A6A6"/>
              <w:left w:val="single" w:sz="4" w:space="0" w:color="auto"/>
              <w:bottom w:val="single" w:sz="4" w:space="0" w:color="A6A6A6"/>
              <w:right w:val="single" w:sz="4" w:space="0" w:color="auto"/>
            </w:tcBorders>
            <w:vAlign w:val="center"/>
          </w:tcPr>
          <w:p w14:paraId="52101F8A" w14:textId="77777777" w:rsidR="00190D67" w:rsidRPr="005A22C2" w:rsidRDefault="00190D67" w:rsidP="00862754">
            <w:pPr>
              <w:pStyle w:val="TableText"/>
              <w:snapToGrid w:val="0"/>
              <w:rPr>
                <w:rFonts w:eastAsia="新細明體" w:cs="Segoe UI"/>
                <w:lang w:eastAsia="zh-TW"/>
              </w:rPr>
            </w:pPr>
          </w:p>
        </w:tc>
      </w:tr>
      <w:tr w:rsidR="005A22C2" w:rsidRPr="005A22C2" w14:paraId="354AB52A" w14:textId="77777777" w:rsidTr="00862754">
        <w:trPr>
          <w:cantSplit/>
        </w:trPr>
        <w:tc>
          <w:tcPr>
            <w:tcW w:w="425" w:type="dxa"/>
            <w:tcBorders>
              <w:top w:val="single" w:sz="4" w:space="0" w:color="A6A6A6"/>
              <w:left w:val="nil"/>
              <w:bottom w:val="single" w:sz="4" w:space="0" w:color="A6A6A6"/>
              <w:right w:val="single" w:sz="4" w:space="0" w:color="auto"/>
            </w:tcBorders>
            <w:vAlign w:val="center"/>
            <w:hideMark/>
          </w:tcPr>
          <w:p w14:paraId="66BEE696" w14:textId="77777777" w:rsidR="00190D67" w:rsidRPr="005A22C2" w:rsidRDefault="00190D67" w:rsidP="00862754">
            <w:pPr>
              <w:pStyle w:val="TableText"/>
              <w:snapToGrid w:val="0"/>
              <w:rPr>
                <w:rFonts w:eastAsia="新細明體" w:cs="Segoe UI"/>
              </w:rPr>
            </w:pPr>
            <w:r w:rsidRPr="005A22C2">
              <w:rPr>
                <w:rFonts w:eastAsia="新細明體" w:cs="Segoe UI"/>
              </w:rPr>
              <w:t>2</w:t>
            </w:r>
          </w:p>
        </w:tc>
        <w:tc>
          <w:tcPr>
            <w:tcW w:w="2552" w:type="dxa"/>
            <w:tcBorders>
              <w:top w:val="single" w:sz="4" w:space="0" w:color="A6A6A6"/>
              <w:left w:val="single" w:sz="4" w:space="0" w:color="auto"/>
              <w:bottom w:val="single" w:sz="4" w:space="0" w:color="A6A6A6"/>
              <w:right w:val="single" w:sz="4" w:space="0" w:color="auto"/>
            </w:tcBorders>
            <w:hideMark/>
          </w:tcPr>
          <w:p w14:paraId="44A0E375" w14:textId="234437A8" w:rsidR="00190D67" w:rsidRPr="005A22C2" w:rsidRDefault="00190D67" w:rsidP="00862754">
            <w:pPr>
              <w:pStyle w:val="TableText"/>
              <w:snapToGrid w:val="0"/>
              <w:rPr>
                <w:rFonts w:eastAsia="新細明體" w:cs="Segoe UI"/>
                <w:lang w:eastAsia="zh-TW"/>
              </w:rPr>
            </w:pPr>
            <w:r w:rsidRPr="005A22C2">
              <w:rPr>
                <w:rFonts w:eastAsia="新細明體" w:cs="Segoe UI"/>
                <w:lang w:eastAsia="zh-HK"/>
              </w:rPr>
              <w:t>股權風險承擔</w:t>
            </w:r>
            <w:r w:rsidR="002822D2" w:rsidRPr="005A22C2">
              <w:rPr>
                <w:rFonts w:eastAsiaTheme="minorEastAsia" w:cs="Segoe UI" w:hint="eastAsia"/>
                <w:kern w:val="2"/>
                <w:szCs w:val="17"/>
                <w:lang w:eastAsia="zh-TW"/>
              </w:rPr>
              <w:t>（</w:t>
            </w:r>
            <w:r w:rsidRPr="005A22C2">
              <w:rPr>
                <w:rFonts w:eastAsia="新細明體" w:cs="Segoe UI"/>
                <w:lang w:eastAsia="zh-HK"/>
              </w:rPr>
              <w:t>一般及特定風險</w:t>
            </w:r>
            <w:r w:rsidR="00083254" w:rsidRPr="005A22C2">
              <w:rPr>
                <w:rFonts w:eastAsia="新細明體" w:cs="Segoe UI" w:hint="eastAsia"/>
                <w:lang w:eastAsia="zh-TW"/>
              </w:rPr>
              <w:t>）</w:t>
            </w:r>
          </w:p>
        </w:tc>
        <w:tc>
          <w:tcPr>
            <w:tcW w:w="1559" w:type="dxa"/>
            <w:tcBorders>
              <w:top w:val="single" w:sz="4" w:space="0" w:color="A6A6A6"/>
              <w:left w:val="single" w:sz="4" w:space="0" w:color="auto"/>
              <w:bottom w:val="single" w:sz="4" w:space="0" w:color="A6A6A6"/>
              <w:right w:val="single" w:sz="4" w:space="0" w:color="auto"/>
            </w:tcBorders>
            <w:vAlign w:val="center"/>
          </w:tcPr>
          <w:p w14:paraId="6B42C69C" w14:textId="77777777" w:rsidR="00190D67" w:rsidRPr="005A22C2" w:rsidRDefault="00190D67" w:rsidP="00862754">
            <w:pPr>
              <w:pStyle w:val="TableText"/>
              <w:snapToGrid w:val="0"/>
              <w:rPr>
                <w:rFonts w:eastAsia="新細明體" w:cs="Segoe UI"/>
                <w:lang w:eastAsia="zh-TW"/>
              </w:rPr>
            </w:pPr>
          </w:p>
        </w:tc>
        <w:tc>
          <w:tcPr>
            <w:tcW w:w="1701" w:type="dxa"/>
            <w:tcBorders>
              <w:top w:val="single" w:sz="4" w:space="0" w:color="A6A6A6"/>
              <w:left w:val="single" w:sz="4" w:space="0" w:color="auto"/>
              <w:bottom w:val="single" w:sz="4" w:space="0" w:color="A6A6A6"/>
              <w:right w:val="single" w:sz="4" w:space="0" w:color="auto"/>
            </w:tcBorders>
            <w:vAlign w:val="center"/>
          </w:tcPr>
          <w:p w14:paraId="7BCA36F8" w14:textId="77777777" w:rsidR="00190D67" w:rsidRPr="005A22C2" w:rsidRDefault="00190D67" w:rsidP="00862754">
            <w:pPr>
              <w:pStyle w:val="TableText"/>
              <w:snapToGrid w:val="0"/>
              <w:rPr>
                <w:rFonts w:eastAsia="新細明體" w:cs="Segoe UI"/>
                <w:lang w:eastAsia="zh-TW"/>
              </w:rPr>
            </w:pPr>
          </w:p>
        </w:tc>
        <w:tc>
          <w:tcPr>
            <w:tcW w:w="1560" w:type="dxa"/>
            <w:tcBorders>
              <w:top w:val="single" w:sz="4" w:space="0" w:color="A6A6A6"/>
              <w:left w:val="single" w:sz="4" w:space="0" w:color="auto"/>
              <w:bottom w:val="single" w:sz="4" w:space="0" w:color="A6A6A6"/>
              <w:right w:val="single" w:sz="4" w:space="0" w:color="auto"/>
            </w:tcBorders>
            <w:vAlign w:val="center"/>
          </w:tcPr>
          <w:p w14:paraId="17ABC24E" w14:textId="77777777" w:rsidR="00190D67" w:rsidRPr="005A22C2" w:rsidRDefault="00190D67" w:rsidP="00862754">
            <w:pPr>
              <w:pStyle w:val="TableText"/>
              <w:snapToGrid w:val="0"/>
              <w:rPr>
                <w:rFonts w:eastAsia="新細明體" w:cs="Segoe UI"/>
                <w:lang w:eastAsia="zh-TW"/>
              </w:rPr>
            </w:pPr>
          </w:p>
        </w:tc>
        <w:tc>
          <w:tcPr>
            <w:tcW w:w="1417" w:type="dxa"/>
            <w:tcBorders>
              <w:top w:val="single" w:sz="4" w:space="0" w:color="A6A6A6"/>
              <w:left w:val="single" w:sz="4" w:space="0" w:color="auto"/>
              <w:bottom w:val="single" w:sz="4" w:space="0" w:color="A6A6A6"/>
              <w:right w:val="single" w:sz="4" w:space="0" w:color="auto"/>
            </w:tcBorders>
            <w:vAlign w:val="center"/>
          </w:tcPr>
          <w:p w14:paraId="3349E7B4" w14:textId="77777777" w:rsidR="00190D67" w:rsidRPr="005A22C2" w:rsidRDefault="00190D67" w:rsidP="00862754">
            <w:pPr>
              <w:pStyle w:val="TableText"/>
              <w:snapToGrid w:val="0"/>
              <w:rPr>
                <w:rFonts w:eastAsia="新細明體" w:cs="Segoe UI"/>
                <w:lang w:eastAsia="zh-TW"/>
              </w:rPr>
            </w:pPr>
          </w:p>
        </w:tc>
      </w:tr>
      <w:tr w:rsidR="005A22C2" w:rsidRPr="005A22C2" w14:paraId="5FE0216B" w14:textId="77777777" w:rsidTr="00862754">
        <w:trPr>
          <w:cantSplit/>
        </w:trPr>
        <w:tc>
          <w:tcPr>
            <w:tcW w:w="425" w:type="dxa"/>
            <w:tcBorders>
              <w:top w:val="single" w:sz="4" w:space="0" w:color="A6A6A6"/>
              <w:left w:val="nil"/>
              <w:bottom w:val="single" w:sz="4" w:space="0" w:color="A6A6A6"/>
              <w:right w:val="single" w:sz="4" w:space="0" w:color="auto"/>
            </w:tcBorders>
            <w:vAlign w:val="center"/>
            <w:hideMark/>
          </w:tcPr>
          <w:p w14:paraId="0E14DEC2" w14:textId="77777777" w:rsidR="00190D67" w:rsidRPr="005A22C2" w:rsidRDefault="00190D67" w:rsidP="00862754">
            <w:pPr>
              <w:pStyle w:val="TableText"/>
              <w:snapToGrid w:val="0"/>
              <w:rPr>
                <w:rFonts w:eastAsia="新細明體" w:cs="Segoe UI"/>
              </w:rPr>
            </w:pPr>
            <w:r w:rsidRPr="005A22C2">
              <w:rPr>
                <w:rFonts w:eastAsia="新細明體" w:cs="Segoe UI"/>
              </w:rPr>
              <w:t>3</w:t>
            </w:r>
          </w:p>
        </w:tc>
        <w:tc>
          <w:tcPr>
            <w:tcW w:w="2552" w:type="dxa"/>
            <w:tcBorders>
              <w:top w:val="single" w:sz="4" w:space="0" w:color="A6A6A6"/>
              <w:left w:val="single" w:sz="4" w:space="0" w:color="auto"/>
              <w:bottom w:val="single" w:sz="4" w:space="0" w:color="A6A6A6"/>
              <w:right w:val="single" w:sz="4" w:space="0" w:color="auto"/>
            </w:tcBorders>
            <w:hideMark/>
          </w:tcPr>
          <w:p w14:paraId="51B26B6D" w14:textId="77777777" w:rsidR="00190D67" w:rsidRPr="005A22C2" w:rsidRDefault="00190D67" w:rsidP="00862754">
            <w:pPr>
              <w:pStyle w:val="TableText"/>
              <w:snapToGrid w:val="0"/>
              <w:rPr>
                <w:rFonts w:eastAsia="新細明體" w:cs="Segoe UI"/>
              </w:rPr>
            </w:pPr>
            <w:r w:rsidRPr="005A22C2">
              <w:rPr>
                <w:rFonts w:eastAsia="新細明體" w:cs="Segoe UI"/>
                <w:lang w:eastAsia="zh-HK"/>
              </w:rPr>
              <w:t>商品風險承擔</w:t>
            </w:r>
          </w:p>
        </w:tc>
        <w:tc>
          <w:tcPr>
            <w:tcW w:w="1559" w:type="dxa"/>
            <w:tcBorders>
              <w:top w:val="single" w:sz="4" w:space="0" w:color="A6A6A6"/>
              <w:left w:val="single" w:sz="4" w:space="0" w:color="auto"/>
              <w:bottom w:val="single" w:sz="4" w:space="0" w:color="A6A6A6"/>
              <w:right w:val="single" w:sz="4" w:space="0" w:color="auto"/>
            </w:tcBorders>
            <w:vAlign w:val="center"/>
          </w:tcPr>
          <w:p w14:paraId="44D02238" w14:textId="77777777" w:rsidR="00190D67" w:rsidRPr="005A22C2" w:rsidRDefault="00190D67" w:rsidP="00862754">
            <w:pPr>
              <w:pStyle w:val="TableText"/>
              <w:snapToGrid w:val="0"/>
              <w:rPr>
                <w:rFonts w:eastAsia="新細明體" w:cs="Segoe UI"/>
              </w:rPr>
            </w:pPr>
          </w:p>
        </w:tc>
        <w:tc>
          <w:tcPr>
            <w:tcW w:w="1701" w:type="dxa"/>
            <w:tcBorders>
              <w:top w:val="single" w:sz="4" w:space="0" w:color="A6A6A6"/>
              <w:left w:val="single" w:sz="4" w:space="0" w:color="auto"/>
              <w:bottom w:val="single" w:sz="4" w:space="0" w:color="A6A6A6"/>
              <w:right w:val="single" w:sz="4" w:space="0" w:color="auto"/>
            </w:tcBorders>
            <w:vAlign w:val="center"/>
          </w:tcPr>
          <w:p w14:paraId="7FBD8E37" w14:textId="77777777" w:rsidR="00190D67" w:rsidRPr="005A22C2" w:rsidRDefault="00190D67" w:rsidP="00862754">
            <w:pPr>
              <w:pStyle w:val="TableText"/>
              <w:snapToGrid w:val="0"/>
              <w:rPr>
                <w:rFonts w:eastAsia="新細明體" w:cs="Segoe UI"/>
              </w:rPr>
            </w:pPr>
          </w:p>
        </w:tc>
        <w:tc>
          <w:tcPr>
            <w:tcW w:w="1560" w:type="dxa"/>
            <w:tcBorders>
              <w:top w:val="single" w:sz="4" w:space="0" w:color="A6A6A6"/>
              <w:left w:val="single" w:sz="4" w:space="0" w:color="auto"/>
              <w:bottom w:val="single" w:sz="4" w:space="0" w:color="A6A6A6"/>
              <w:right w:val="single" w:sz="4" w:space="0" w:color="auto"/>
            </w:tcBorders>
            <w:vAlign w:val="center"/>
          </w:tcPr>
          <w:p w14:paraId="2605C5F3" w14:textId="77777777" w:rsidR="00190D67" w:rsidRPr="005A22C2" w:rsidRDefault="00190D67" w:rsidP="00862754">
            <w:pPr>
              <w:pStyle w:val="TableText"/>
              <w:snapToGrid w:val="0"/>
              <w:rPr>
                <w:rFonts w:eastAsia="新細明體" w:cs="Segoe UI"/>
              </w:rPr>
            </w:pPr>
          </w:p>
        </w:tc>
        <w:tc>
          <w:tcPr>
            <w:tcW w:w="1417" w:type="dxa"/>
            <w:tcBorders>
              <w:top w:val="single" w:sz="4" w:space="0" w:color="A6A6A6"/>
              <w:left w:val="single" w:sz="4" w:space="0" w:color="auto"/>
              <w:bottom w:val="single" w:sz="4" w:space="0" w:color="A6A6A6"/>
              <w:right w:val="single" w:sz="4" w:space="0" w:color="auto"/>
            </w:tcBorders>
            <w:vAlign w:val="center"/>
          </w:tcPr>
          <w:p w14:paraId="4687B965" w14:textId="77777777" w:rsidR="00190D67" w:rsidRPr="005A22C2" w:rsidRDefault="00190D67" w:rsidP="00862754">
            <w:pPr>
              <w:pStyle w:val="TableText"/>
              <w:snapToGrid w:val="0"/>
              <w:rPr>
                <w:rFonts w:eastAsia="新細明體" w:cs="Segoe UI"/>
              </w:rPr>
            </w:pPr>
          </w:p>
        </w:tc>
      </w:tr>
      <w:tr w:rsidR="005A22C2" w:rsidRPr="005A22C2" w14:paraId="6872FB18" w14:textId="77777777" w:rsidTr="00862754">
        <w:trPr>
          <w:cantSplit/>
        </w:trPr>
        <w:tc>
          <w:tcPr>
            <w:tcW w:w="425" w:type="dxa"/>
            <w:tcBorders>
              <w:top w:val="single" w:sz="4" w:space="0" w:color="A6A6A6"/>
              <w:left w:val="nil"/>
              <w:bottom w:val="single" w:sz="4" w:space="0" w:color="A6A6A6"/>
              <w:right w:val="single" w:sz="4" w:space="0" w:color="auto"/>
            </w:tcBorders>
            <w:vAlign w:val="center"/>
            <w:hideMark/>
          </w:tcPr>
          <w:p w14:paraId="346EFBE2" w14:textId="77777777" w:rsidR="00190D67" w:rsidRPr="005A22C2" w:rsidRDefault="00190D67" w:rsidP="00862754">
            <w:pPr>
              <w:pStyle w:val="TableText"/>
              <w:snapToGrid w:val="0"/>
              <w:rPr>
                <w:rFonts w:eastAsia="新細明體" w:cs="Segoe UI"/>
              </w:rPr>
            </w:pPr>
            <w:r w:rsidRPr="005A22C2">
              <w:rPr>
                <w:rFonts w:eastAsia="新細明體" w:cs="Segoe UI"/>
              </w:rPr>
              <w:t>4</w:t>
            </w:r>
          </w:p>
        </w:tc>
        <w:tc>
          <w:tcPr>
            <w:tcW w:w="2552" w:type="dxa"/>
            <w:tcBorders>
              <w:top w:val="single" w:sz="4" w:space="0" w:color="A6A6A6"/>
              <w:left w:val="single" w:sz="4" w:space="0" w:color="auto"/>
              <w:bottom w:val="single" w:sz="4" w:space="0" w:color="A6A6A6"/>
              <w:right w:val="single" w:sz="4" w:space="0" w:color="auto"/>
            </w:tcBorders>
            <w:hideMark/>
          </w:tcPr>
          <w:p w14:paraId="20C1EA2A" w14:textId="1EA7602C" w:rsidR="00190D67" w:rsidRPr="005A22C2" w:rsidRDefault="00190D67" w:rsidP="00862754">
            <w:pPr>
              <w:pStyle w:val="TableText"/>
              <w:snapToGrid w:val="0"/>
              <w:rPr>
                <w:rFonts w:eastAsia="新細明體" w:cs="Segoe UI"/>
                <w:lang w:eastAsia="zh-TW"/>
              </w:rPr>
            </w:pPr>
            <w:r w:rsidRPr="005A22C2">
              <w:rPr>
                <w:rFonts w:eastAsia="新細明體" w:cs="Segoe UI"/>
                <w:lang w:eastAsia="zh-HK"/>
              </w:rPr>
              <w:t>外匯</w:t>
            </w:r>
            <w:r w:rsidR="002822D2" w:rsidRPr="005A22C2">
              <w:rPr>
                <w:rFonts w:eastAsiaTheme="minorEastAsia" w:cs="Segoe UI" w:hint="eastAsia"/>
                <w:kern w:val="2"/>
                <w:szCs w:val="17"/>
                <w:lang w:eastAsia="zh-TW"/>
              </w:rPr>
              <w:t>（</w:t>
            </w:r>
            <w:r w:rsidRPr="005A22C2">
              <w:rPr>
                <w:rFonts w:eastAsia="新細明體" w:cs="Segoe UI" w:hint="eastAsia"/>
                <w:lang w:eastAsia="zh-HK"/>
              </w:rPr>
              <w:t>包括</w:t>
            </w:r>
            <w:r w:rsidRPr="005A22C2">
              <w:rPr>
                <w:rFonts w:eastAsia="新細明體" w:cs="Segoe UI"/>
                <w:lang w:eastAsia="zh-HK"/>
              </w:rPr>
              <w:t>黃金</w:t>
            </w:r>
            <w:r w:rsidR="00083254" w:rsidRPr="005A22C2">
              <w:rPr>
                <w:rFonts w:eastAsia="新細明體" w:cs="Segoe UI" w:hint="eastAsia"/>
                <w:lang w:eastAsia="zh-TW"/>
              </w:rPr>
              <w:t>）</w:t>
            </w:r>
            <w:r w:rsidRPr="005A22C2">
              <w:rPr>
                <w:rFonts w:eastAsia="新細明體" w:cs="Segoe UI"/>
                <w:lang w:eastAsia="zh-HK"/>
              </w:rPr>
              <w:t>風險承擔</w:t>
            </w:r>
          </w:p>
        </w:tc>
        <w:tc>
          <w:tcPr>
            <w:tcW w:w="1559" w:type="dxa"/>
            <w:tcBorders>
              <w:top w:val="single" w:sz="4" w:space="0" w:color="A6A6A6"/>
              <w:left w:val="single" w:sz="4" w:space="0" w:color="auto"/>
              <w:bottom w:val="single" w:sz="4" w:space="0" w:color="A6A6A6"/>
              <w:right w:val="single" w:sz="4" w:space="0" w:color="auto"/>
            </w:tcBorders>
            <w:vAlign w:val="center"/>
          </w:tcPr>
          <w:p w14:paraId="4A4117A9" w14:textId="77777777" w:rsidR="00190D67" w:rsidRPr="005A22C2" w:rsidRDefault="00190D67" w:rsidP="00862754">
            <w:pPr>
              <w:pStyle w:val="TableText"/>
              <w:snapToGrid w:val="0"/>
              <w:rPr>
                <w:rFonts w:eastAsia="新細明體" w:cs="Segoe UI"/>
                <w:lang w:eastAsia="zh-TW"/>
              </w:rPr>
            </w:pPr>
          </w:p>
        </w:tc>
        <w:tc>
          <w:tcPr>
            <w:tcW w:w="1701" w:type="dxa"/>
            <w:tcBorders>
              <w:top w:val="single" w:sz="4" w:space="0" w:color="A6A6A6"/>
              <w:left w:val="single" w:sz="4" w:space="0" w:color="auto"/>
              <w:bottom w:val="single" w:sz="4" w:space="0" w:color="A6A6A6"/>
              <w:right w:val="single" w:sz="4" w:space="0" w:color="auto"/>
            </w:tcBorders>
            <w:vAlign w:val="center"/>
          </w:tcPr>
          <w:p w14:paraId="3E359665" w14:textId="77777777" w:rsidR="00190D67" w:rsidRPr="005A22C2" w:rsidRDefault="00190D67" w:rsidP="00862754">
            <w:pPr>
              <w:pStyle w:val="TableText"/>
              <w:snapToGrid w:val="0"/>
              <w:rPr>
                <w:rFonts w:eastAsia="新細明體" w:cs="Segoe UI"/>
                <w:lang w:eastAsia="zh-TW"/>
              </w:rPr>
            </w:pPr>
          </w:p>
        </w:tc>
        <w:tc>
          <w:tcPr>
            <w:tcW w:w="1560" w:type="dxa"/>
            <w:tcBorders>
              <w:top w:val="single" w:sz="4" w:space="0" w:color="A6A6A6"/>
              <w:left w:val="single" w:sz="4" w:space="0" w:color="auto"/>
              <w:bottom w:val="single" w:sz="4" w:space="0" w:color="A6A6A6"/>
              <w:right w:val="single" w:sz="4" w:space="0" w:color="auto"/>
            </w:tcBorders>
            <w:vAlign w:val="center"/>
          </w:tcPr>
          <w:p w14:paraId="28D77F07" w14:textId="77777777" w:rsidR="00190D67" w:rsidRPr="005A22C2" w:rsidRDefault="00190D67" w:rsidP="00862754">
            <w:pPr>
              <w:pStyle w:val="TableText"/>
              <w:snapToGrid w:val="0"/>
              <w:rPr>
                <w:rFonts w:eastAsia="新細明體" w:cs="Segoe UI"/>
                <w:lang w:eastAsia="zh-TW"/>
              </w:rPr>
            </w:pPr>
          </w:p>
        </w:tc>
        <w:tc>
          <w:tcPr>
            <w:tcW w:w="1417" w:type="dxa"/>
            <w:tcBorders>
              <w:top w:val="single" w:sz="4" w:space="0" w:color="A6A6A6"/>
              <w:left w:val="single" w:sz="4" w:space="0" w:color="auto"/>
              <w:bottom w:val="single" w:sz="4" w:space="0" w:color="A6A6A6"/>
              <w:right w:val="single" w:sz="4" w:space="0" w:color="auto"/>
            </w:tcBorders>
            <w:vAlign w:val="center"/>
          </w:tcPr>
          <w:p w14:paraId="6E30FD51" w14:textId="77777777" w:rsidR="00190D67" w:rsidRPr="005A22C2" w:rsidRDefault="00190D67" w:rsidP="00862754">
            <w:pPr>
              <w:pStyle w:val="TableText"/>
              <w:snapToGrid w:val="0"/>
              <w:rPr>
                <w:rFonts w:eastAsia="新細明體" w:cs="Segoe UI"/>
                <w:lang w:eastAsia="zh-TW"/>
              </w:rPr>
            </w:pPr>
          </w:p>
        </w:tc>
      </w:tr>
      <w:tr w:rsidR="001B39FD" w:rsidRPr="005A22C2" w14:paraId="648695C2" w14:textId="77777777" w:rsidTr="003C65B8">
        <w:trPr>
          <w:cantSplit/>
        </w:trPr>
        <w:tc>
          <w:tcPr>
            <w:tcW w:w="425" w:type="dxa"/>
            <w:tcBorders>
              <w:top w:val="single" w:sz="4" w:space="0" w:color="A6A6A6"/>
              <w:left w:val="nil"/>
              <w:bottom w:val="single" w:sz="4" w:space="0" w:color="A6A6A6"/>
              <w:right w:val="single" w:sz="4" w:space="0" w:color="auto"/>
            </w:tcBorders>
            <w:hideMark/>
          </w:tcPr>
          <w:p w14:paraId="1E17AC80" w14:textId="77777777" w:rsidR="00190D67" w:rsidRPr="005A22C2" w:rsidRDefault="00190D67" w:rsidP="00862754">
            <w:pPr>
              <w:pStyle w:val="TableText"/>
              <w:snapToGrid w:val="0"/>
              <w:rPr>
                <w:rFonts w:eastAsia="新細明體" w:cs="Segoe UI"/>
              </w:rPr>
            </w:pPr>
            <w:r w:rsidRPr="005A22C2">
              <w:rPr>
                <w:rFonts w:eastAsia="新細明體" w:cs="Segoe UI"/>
              </w:rPr>
              <w:t>5</w:t>
            </w:r>
          </w:p>
        </w:tc>
        <w:tc>
          <w:tcPr>
            <w:tcW w:w="2552" w:type="dxa"/>
            <w:tcBorders>
              <w:top w:val="single" w:sz="4" w:space="0" w:color="A6A6A6"/>
              <w:left w:val="single" w:sz="4" w:space="0" w:color="auto"/>
              <w:bottom w:val="single" w:sz="4" w:space="0" w:color="A6A6A6"/>
              <w:right w:val="single" w:sz="4" w:space="0" w:color="auto"/>
            </w:tcBorders>
            <w:hideMark/>
          </w:tcPr>
          <w:p w14:paraId="0D4169BE" w14:textId="77777777" w:rsidR="00190D67" w:rsidRPr="005A22C2" w:rsidRDefault="00190D67" w:rsidP="00862754">
            <w:pPr>
              <w:pStyle w:val="TableText"/>
              <w:snapToGrid w:val="0"/>
              <w:rPr>
                <w:rFonts w:eastAsia="新細明體" w:cs="Segoe UI"/>
              </w:rPr>
            </w:pPr>
            <w:r w:rsidRPr="005A22C2">
              <w:rPr>
                <w:rFonts w:eastAsia="新細明體" w:cs="Segoe UI"/>
                <w:lang w:eastAsia="zh-HK"/>
              </w:rPr>
              <w:t>證券化類別風險承擔</w:t>
            </w:r>
          </w:p>
        </w:tc>
        <w:tc>
          <w:tcPr>
            <w:tcW w:w="1559" w:type="dxa"/>
            <w:tcBorders>
              <w:top w:val="single" w:sz="4" w:space="0" w:color="A6A6A6"/>
              <w:left w:val="single" w:sz="4" w:space="0" w:color="auto"/>
              <w:bottom w:val="single" w:sz="4" w:space="0" w:color="A6A6A6"/>
              <w:right w:val="single" w:sz="4" w:space="0" w:color="auto"/>
            </w:tcBorders>
            <w:vAlign w:val="center"/>
          </w:tcPr>
          <w:p w14:paraId="21825D31" w14:textId="77777777" w:rsidR="00190D67" w:rsidRPr="005A22C2" w:rsidRDefault="00190D67" w:rsidP="00862754">
            <w:pPr>
              <w:pStyle w:val="TableText"/>
              <w:snapToGrid w:val="0"/>
              <w:rPr>
                <w:rFonts w:eastAsia="新細明體" w:cs="Segoe UI"/>
              </w:rPr>
            </w:pPr>
          </w:p>
        </w:tc>
        <w:tc>
          <w:tcPr>
            <w:tcW w:w="1701" w:type="dxa"/>
            <w:tcBorders>
              <w:top w:val="single" w:sz="4" w:space="0" w:color="A6A6A6"/>
              <w:left w:val="single" w:sz="4" w:space="0" w:color="auto"/>
              <w:bottom w:val="single" w:sz="4" w:space="0" w:color="A6A6A6"/>
              <w:right w:val="single" w:sz="4" w:space="0" w:color="auto"/>
            </w:tcBorders>
            <w:shd w:val="clear" w:color="auto" w:fill="BFBFBF"/>
            <w:vAlign w:val="center"/>
          </w:tcPr>
          <w:p w14:paraId="213DD900" w14:textId="77777777" w:rsidR="00190D67" w:rsidRPr="005A22C2" w:rsidRDefault="00190D67" w:rsidP="00862754">
            <w:pPr>
              <w:pStyle w:val="TableText"/>
              <w:snapToGrid w:val="0"/>
              <w:rPr>
                <w:rFonts w:eastAsia="新細明體" w:cs="Segoe UI"/>
              </w:rPr>
            </w:pPr>
          </w:p>
        </w:tc>
        <w:tc>
          <w:tcPr>
            <w:tcW w:w="1560" w:type="dxa"/>
            <w:tcBorders>
              <w:top w:val="single" w:sz="4" w:space="0" w:color="A6A6A6"/>
              <w:left w:val="single" w:sz="4" w:space="0" w:color="auto"/>
              <w:bottom w:val="single" w:sz="4" w:space="0" w:color="A6A6A6"/>
              <w:right w:val="single" w:sz="4" w:space="0" w:color="auto"/>
            </w:tcBorders>
            <w:shd w:val="clear" w:color="auto" w:fill="BFBFBF"/>
            <w:vAlign w:val="center"/>
          </w:tcPr>
          <w:p w14:paraId="5CBA9151" w14:textId="77777777" w:rsidR="00190D67" w:rsidRPr="005A22C2" w:rsidRDefault="00190D67" w:rsidP="00862754">
            <w:pPr>
              <w:pStyle w:val="TableText"/>
              <w:snapToGrid w:val="0"/>
              <w:rPr>
                <w:rFonts w:eastAsia="新細明體" w:cs="Segoe UI"/>
              </w:rPr>
            </w:pPr>
          </w:p>
        </w:tc>
        <w:tc>
          <w:tcPr>
            <w:tcW w:w="1417" w:type="dxa"/>
            <w:tcBorders>
              <w:top w:val="single" w:sz="4" w:space="0" w:color="A6A6A6"/>
              <w:left w:val="single" w:sz="4" w:space="0" w:color="auto"/>
              <w:bottom w:val="single" w:sz="4" w:space="0" w:color="A6A6A6"/>
              <w:right w:val="single" w:sz="4" w:space="0" w:color="auto"/>
            </w:tcBorders>
            <w:shd w:val="clear" w:color="auto" w:fill="BFBFBF"/>
            <w:vAlign w:val="center"/>
          </w:tcPr>
          <w:p w14:paraId="7C65B2BA" w14:textId="77777777" w:rsidR="00190D67" w:rsidRPr="005A22C2" w:rsidRDefault="00190D67" w:rsidP="00862754">
            <w:pPr>
              <w:pStyle w:val="TableText"/>
              <w:snapToGrid w:val="0"/>
              <w:rPr>
                <w:rFonts w:eastAsia="新細明體" w:cs="Segoe UI"/>
              </w:rPr>
            </w:pPr>
          </w:p>
        </w:tc>
      </w:tr>
      <w:tr w:rsidR="001B39FD" w:rsidRPr="005A22C2" w14:paraId="54D486D9" w14:textId="77777777" w:rsidTr="00C11A77">
        <w:trPr>
          <w:cantSplit/>
        </w:trPr>
        <w:tc>
          <w:tcPr>
            <w:tcW w:w="425" w:type="dxa"/>
            <w:tcBorders>
              <w:top w:val="single" w:sz="4" w:space="0" w:color="A6A6A6"/>
              <w:left w:val="nil"/>
              <w:bottom w:val="single" w:sz="4" w:space="0" w:color="A6A6A6"/>
              <w:right w:val="single" w:sz="4" w:space="0" w:color="auto"/>
            </w:tcBorders>
          </w:tcPr>
          <w:p w14:paraId="0F62579B" w14:textId="7FDEE939" w:rsidR="00D540EB" w:rsidRPr="005A22C2" w:rsidRDefault="006864D1" w:rsidP="00862754">
            <w:pPr>
              <w:pStyle w:val="TableText"/>
              <w:snapToGrid w:val="0"/>
              <w:rPr>
                <w:rFonts w:eastAsia="新細明體" w:cs="Segoe UI"/>
              </w:rPr>
            </w:pPr>
            <w:r w:rsidRPr="00C11A77">
              <w:rPr>
                <w:rFonts w:eastAsia="新細明體" w:cs="Segoe UI" w:hint="eastAsia"/>
              </w:rPr>
              <w:t>6</w:t>
            </w:r>
          </w:p>
        </w:tc>
        <w:tc>
          <w:tcPr>
            <w:tcW w:w="2552" w:type="dxa"/>
            <w:tcBorders>
              <w:top w:val="single" w:sz="4" w:space="0" w:color="A6A6A6"/>
              <w:left w:val="single" w:sz="4" w:space="0" w:color="auto"/>
              <w:bottom w:val="single" w:sz="4" w:space="0" w:color="A6A6A6"/>
              <w:right w:val="single" w:sz="4" w:space="0" w:color="auto"/>
            </w:tcBorders>
          </w:tcPr>
          <w:p w14:paraId="4AC799CB" w14:textId="257A23B7" w:rsidR="00D540EB" w:rsidRPr="002D1CD8" w:rsidRDefault="006864D1" w:rsidP="00862754">
            <w:pPr>
              <w:pStyle w:val="TableText"/>
              <w:snapToGrid w:val="0"/>
              <w:rPr>
                <w:rFonts w:asciiTheme="minorEastAsia" w:eastAsiaTheme="minorEastAsia" w:hAnsiTheme="minorEastAsia" w:cs="Segoe UI"/>
                <w:lang w:eastAsia="zh-HK"/>
              </w:rPr>
            </w:pPr>
            <w:r w:rsidRPr="002D1CD8">
              <w:rPr>
                <w:rFonts w:asciiTheme="minorEastAsia" w:eastAsiaTheme="minorEastAsia" w:hAnsiTheme="minorEastAsia" w:cs="Segoe UI" w:hint="eastAsia"/>
                <w:lang w:eastAsia="zh-TW"/>
              </w:rPr>
              <w:t>第</w:t>
            </w:r>
            <w:r w:rsidRPr="00640880">
              <w:rPr>
                <w:rFonts w:eastAsiaTheme="minorEastAsia" w:cs="Segoe UI" w:hint="eastAsia"/>
                <w:lang w:eastAsia="zh-TW"/>
              </w:rPr>
              <w:t>2a</w:t>
            </w:r>
            <w:r w:rsidRPr="002D1CD8">
              <w:rPr>
                <w:rFonts w:asciiTheme="minorEastAsia" w:eastAsiaTheme="minorEastAsia" w:hAnsiTheme="minorEastAsia" w:cs="Segoe UI" w:hint="eastAsia"/>
                <w:lang w:eastAsia="zh-TW"/>
              </w:rPr>
              <w:t>組加密資產風險承擔</w:t>
            </w:r>
          </w:p>
        </w:tc>
        <w:tc>
          <w:tcPr>
            <w:tcW w:w="1559" w:type="dxa"/>
            <w:tcBorders>
              <w:top w:val="single" w:sz="4" w:space="0" w:color="A6A6A6"/>
              <w:left w:val="single" w:sz="4" w:space="0" w:color="auto"/>
              <w:bottom w:val="single" w:sz="4" w:space="0" w:color="A6A6A6"/>
              <w:right w:val="single" w:sz="4" w:space="0" w:color="auto"/>
            </w:tcBorders>
            <w:vAlign w:val="center"/>
          </w:tcPr>
          <w:p w14:paraId="6663DB55" w14:textId="77777777" w:rsidR="00D540EB" w:rsidRPr="005A22C2" w:rsidRDefault="00D540EB" w:rsidP="00862754">
            <w:pPr>
              <w:pStyle w:val="TableText"/>
              <w:snapToGrid w:val="0"/>
              <w:rPr>
                <w:rFonts w:eastAsia="新細明體" w:cs="Segoe UI"/>
                <w:lang w:eastAsia="zh-TW"/>
              </w:rPr>
            </w:pPr>
          </w:p>
        </w:tc>
        <w:tc>
          <w:tcPr>
            <w:tcW w:w="1701" w:type="dxa"/>
            <w:tcBorders>
              <w:top w:val="single" w:sz="4" w:space="0" w:color="A6A6A6"/>
              <w:left w:val="single" w:sz="4" w:space="0" w:color="auto"/>
              <w:bottom w:val="single" w:sz="4" w:space="0" w:color="A6A6A6"/>
              <w:right w:val="single" w:sz="4" w:space="0" w:color="auto"/>
            </w:tcBorders>
            <w:shd w:val="clear" w:color="auto" w:fill="BFBFBF"/>
            <w:vAlign w:val="center"/>
          </w:tcPr>
          <w:p w14:paraId="1FE23CE0" w14:textId="77777777" w:rsidR="00D540EB" w:rsidRPr="005A22C2" w:rsidRDefault="00D540EB" w:rsidP="00862754">
            <w:pPr>
              <w:pStyle w:val="TableText"/>
              <w:snapToGrid w:val="0"/>
              <w:rPr>
                <w:rFonts w:eastAsia="新細明體" w:cs="Segoe UI"/>
                <w:lang w:eastAsia="zh-TW"/>
              </w:rPr>
            </w:pPr>
          </w:p>
        </w:tc>
        <w:tc>
          <w:tcPr>
            <w:tcW w:w="1560" w:type="dxa"/>
            <w:tcBorders>
              <w:top w:val="single" w:sz="4" w:space="0" w:color="A6A6A6"/>
              <w:left w:val="single" w:sz="4" w:space="0" w:color="auto"/>
              <w:bottom w:val="single" w:sz="4" w:space="0" w:color="A6A6A6"/>
              <w:right w:val="single" w:sz="4" w:space="0" w:color="auto"/>
            </w:tcBorders>
            <w:shd w:val="clear" w:color="auto" w:fill="BFBFBF"/>
            <w:vAlign w:val="center"/>
          </w:tcPr>
          <w:p w14:paraId="45460D8E" w14:textId="77777777" w:rsidR="00D540EB" w:rsidRPr="005A22C2" w:rsidRDefault="00D540EB" w:rsidP="00862754">
            <w:pPr>
              <w:pStyle w:val="TableText"/>
              <w:snapToGrid w:val="0"/>
              <w:rPr>
                <w:rFonts w:eastAsia="新細明體" w:cs="Segoe UI"/>
                <w:lang w:eastAsia="zh-TW"/>
              </w:rPr>
            </w:pPr>
          </w:p>
        </w:tc>
        <w:tc>
          <w:tcPr>
            <w:tcW w:w="1417" w:type="dxa"/>
            <w:tcBorders>
              <w:top w:val="single" w:sz="4" w:space="0" w:color="A6A6A6"/>
              <w:left w:val="single" w:sz="4" w:space="0" w:color="auto"/>
              <w:bottom w:val="single" w:sz="4" w:space="0" w:color="A6A6A6"/>
              <w:right w:val="single" w:sz="4" w:space="0" w:color="auto"/>
            </w:tcBorders>
            <w:shd w:val="clear" w:color="auto" w:fill="auto"/>
            <w:vAlign w:val="center"/>
          </w:tcPr>
          <w:p w14:paraId="2B82D28F" w14:textId="77777777" w:rsidR="00D540EB" w:rsidRPr="005A22C2" w:rsidRDefault="00D540EB" w:rsidP="00862754">
            <w:pPr>
              <w:pStyle w:val="TableText"/>
              <w:snapToGrid w:val="0"/>
              <w:rPr>
                <w:rFonts w:eastAsia="新細明體" w:cs="Segoe UI"/>
                <w:lang w:eastAsia="zh-TW"/>
              </w:rPr>
            </w:pPr>
          </w:p>
        </w:tc>
      </w:tr>
      <w:tr w:rsidR="005A22C2" w:rsidRPr="005A22C2" w14:paraId="1B5E68A7" w14:textId="77777777" w:rsidTr="003C65B8">
        <w:trPr>
          <w:cantSplit/>
        </w:trPr>
        <w:tc>
          <w:tcPr>
            <w:tcW w:w="425" w:type="dxa"/>
            <w:tcBorders>
              <w:top w:val="single" w:sz="4" w:space="0" w:color="A6A6A6"/>
              <w:left w:val="nil"/>
              <w:bottom w:val="single" w:sz="4" w:space="0" w:color="auto"/>
              <w:right w:val="single" w:sz="4" w:space="0" w:color="auto"/>
            </w:tcBorders>
            <w:hideMark/>
          </w:tcPr>
          <w:p w14:paraId="1A2C2DFD" w14:textId="1CBB151A" w:rsidR="00190D67" w:rsidRPr="005A22C2" w:rsidRDefault="006864D1" w:rsidP="00862754">
            <w:pPr>
              <w:pStyle w:val="TableText"/>
              <w:snapToGrid w:val="0"/>
              <w:rPr>
                <w:rFonts w:eastAsia="新細明體" w:cs="Segoe UI"/>
              </w:rPr>
            </w:pPr>
            <w:r w:rsidRPr="00C11A77">
              <w:rPr>
                <w:rFonts w:eastAsia="新細明體" w:cs="Segoe UI" w:hint="eastAsia"/>
              </w:rPr>
              <w:t>7</w:t>
            </w:r>
          </w:p>
        </w:tc>
        <w:tc>
          <w:tcPr>
            <w:tcW w:w="2552" w:type="dxa"/>
            <w:tcBorders>
              <w:top w:val="single" w:sz="4" w:space="0" w:color="A6A6A6"/>
              <w:left w:val="single" w:sz="4" w:space="0" w:color="auto"/>
              <w:bottom w:val="single" w:sz="4" w:space="0" w:color="auto"/>
              <w:right w:val="single" w:sz="4" w:space="0" w:color="auto"/>
            </w:tcBorders>
            <w:hideMark/>
          </w:tcPr>
          <w:p w14:paraId="2BECF5B7" w14:textId="77777777" w:rsidR="00190D67" w:rsidRPr="005A22C2" w:rsidRDefault="00190D67" w:rsidP="00862754">
            <w:pPr>
              <w:pStyle w:val="TableText"/>
              <w:snapToGrid w:val="0"/>
              <w:rPr>
                <w:rFonts w:eastAsia="新細明體" w:cs="Segoe UI"/>
              </w:rPr>
            </w:pPr>
            <w:r w:rsidRPr="005A22C2">
              <w:rPr>
                <w:rFonts w:eastAsia="新細明體" w:cs="Segoe UI"/>
                <w:lang w:eastAsia="zh-HK"/>
              </w:rPr>
              <w:t>總計</w:t>
            </w:r>
          </w:p>
        </w:tc>
        <w:tc>
          <w:tcPr>
            <w:tcW w:w="1559" w:type="dxa"/>
            <w:tcBorders>
              <w:top w:val="single" w:sz="4" w:space="0" w:color="A6A6A6"/>
              <w:left w:val="single" w:sz="4" w:space="0" w:color="auto"/>
              <w:bottom w:val="single" w:sz="4" w:space="0" w:color="auto"/>
              <w:right w:val="single" w:sz="4" w:space="0" w:color="auto"/>
            </w:tcBorders>
            <w:vAlign w:val="center"/>
          </w:tcPr>
          <w:p w14:paraId="3C9B26CD" w14:textId="77777777" w:rsidR="00190D67" w:rsidRPr="005A22C2" w:rsidRDefault="00190D67" w:rsidP="00862754">
            <w:pPr>
              <w:pStyle w:val="TableText"/>
              <w:snapToGrid w:val="0"/>
              <w:rPr>
                <w:rFonts w:eastAsia="新細明體" w:cs="Segoe UI"/>
              </w:rPr>
            </w:pPr>
          </w:p>
        </w:tc>
        <w:tc>
          <w:tcPr>
            <w:tcW w:w="1701" w:type="dxa"/>
            <w:tcBorders>
              <w:top w:val="single" w:sz="4" w:space="0" w:color="A6A6A6"/>
              <w:left w:val="single" w:sz="4" w:space="0" w:color="auto"/>
              <w:bottom w:val="single" w:sz="4" w:space="0" w:color="auto"/>
              <w:right w:val="single" w:sz="4" w:space="0" w:color="auto"/>
            </w:tcBorders>
            <w:vAlign w:val="center"/>
          </w:tcPr>
          <w:p w14:paraId="272C5E97" w14:textId="77777777" w:rsidR="00190D67" w:rsidRPr="005A22C2" w:rsidRDefault="00190D67" w:rsidP="00862754">
            <w:pPr>
              <w:pStyle w:val="TableText"/>
              <w:snapToGrid w:val="0"/>
              <w:rPr>
                <w:rFonts w:eastAsia="新細明體" w:cs="Segoe UI"/>
              </w:rPr>
            </w:pPr>
          </w:p>
        </w:tc>
        <w:tc>
          <w:tcPr>
            <w:tcW w:w="1560" w:type="dxa"/>
            <w:tcBorders>
              <w:top w:val="single" w:sz="4" w:space="0" w:color="A6A6A6"/>
              <w:left w:val="single" w:sz="4" w:space="0" w:color="auto"/>
              <w:bottom w:val="single" w:sz="4" w:space="0" w:color="auto"/>
              <w:right w:val="single" w:sz="4" w:space="0" w:color="auto"/>
            </w:tcBorders>
            <w:vAlign w:val="center"/>
          </w:tcPr>
          <w:p w14:paraId="6C3591B5" w14:textId="77777777" w:rsidR="00190D67" w:rsidRPr="005A22C2" w:rsidRDefault="00190D67" w:rsidP="00862754">
            <w:pPr>
              <w:pStyle w:val="TableText"/>
              <w:snapToGrid w:val="0"/>
              <w:rPr>
                <w:rFonts w:eastAsia="新細明體" w:cs="Segoe UI"/>
              </w:rPr>
            </w:pPr>
          </w:p>
        </w:tc>
        <w:tc>
          <w:tcPr>
            <w:tcW w:w="1417" w:type="dxa"/>
            <w:tcBorders>
              <w:top w:val="single" w:sz="4" w:space="0" w:color="A6A6A6"/>
              <w:left w:val="single" w:sz="4" w:space="0" w:color="auto"/>
              <w:bottom w:val="single" w:sz="4" w:space="0" w:color="auto"/>
              <w:right w:val="single" w:sz="4" w:space="0" w:color="auto"/>
            </w:tcBorders>
            <w:vAlign w:val="center"/>
          </w:tcPr>
          <w:p w14:paraId="5E23B833" w14:textId="77777777" w:rsidR="00190D67" w:rsidRPr="005A22C2" w:rsidRDefault="00190D67" w:rsidP="00862754">
            <w:pPr>
              <w:pStyle w:val="TableText"/>
              <w:snapToGrid w:val="0"/>
              <w:rPr>
                <w:rFonts w:eastAsia="新細明體" w:cs="Segoe UI"/>
              </w:rPr>
            </w:pPr>
          </w:p>
        </w:tc>
      </w:tr>
    </w:tbl>
    <w:p w14:paraId="0FE18645" w14:textId="77777777" w:rsidR="00190D67" w:rsidRPr="005A22C2" w:rsidRDefault="00190D67" w:rsidP="00190D67">
      <w:pPr>
        <w:spacing w:before="120" w:after="120"/>
        <w:rPr>
          <w:rFonts w:eastAsia="新細明體" w:cs="Segoe UI"/>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5A22C2" w:rsidRPr="005A22C2" w14:paraId="4EB4CCE9" w14:textId="77777777" w:rsidTr="00862754">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9E8B000" w14:textId="77777777" w:rsidR="00190D67" w:rsidRPr="005A22C2" w:rsidRDefault="00190D67" w:rsidP="00862754">
            <w:pPr>
              <w:spacing w:before="40" w:after="40"/>
              <w:jc w:val="both"/>
              <w:rPr>
                <w:rFonts w:eastAsia="新細明體" w:cs="Segoe UI"/>
                <w:b/>
                <w:sz w:val="17"/>
                <w:szCs w:val="17"/>
                <w:lang w:eastAsia="en-GB"/>
              </w:rPr>
            </w:pPr>
            <w:r w:rsidRPr="005A22C2">
              <w:rPr>
                <w:rFonts w:eastAsia="新細明體" w:cs="Segoe UI"/>
                <w:b/>
                <w:sz w:val="17"/>
                <w:szCs w:val="17"/>
                <w:lang w:eastAsia="zh-HK"/>
              </w:rPr>
              <w:t>註釋</w:t>
            </w:r>
          </w:p>
        </w:tc>
      </w:tr>
      <w:tr w:rsidR="005A22C2" w:rsidRPr="005A22C2" w14:paraId="0E7AB734" w14:textId="77777777" w:rsidTr="00862754">
        <w:tc>
          <w:tcPr>
            <w:tcW w:w="921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925E97B" w14:textId="77777777" w:rsidR="00190D67" w:rsidRPr="005A22C2" w:rsidRDefault="00190D67" w:rsidP="00862754">
            <w:pPr>
              <w:spacing w:before="40" w:after="40"/>
              <w:jc w:val="both"/>
              <w:rPr>
                <w:rFonts w:eastAsia="新細明體" w:cs="Segoe UI"/>
                <w:i/>
                <w:lang w:eastAsia="fr-FR"/>
              </w:rPr>
            </w:pPr>
            <w:r w:rsidRPr="005A22C2">
              <w:rPr>
                <w:rFonts w:eastAsia="新細明體" w:cs="Segoe UI"/>
                <w:b/>
                <w:sz w:val="17"/>
                <w:szCs w:val="17"/>
                <w:lang w:eastAsia="zh-HK"/>
              </w:rPr>
              <w:t>欄</w:t>
            </w:r>
          </w:p>
        </w:tc>
      </w:tr>
      <w:tr w:rsidR="005A22C2" w:rsidRPr="005A22C2" w14:paraId="5E776C36" w14:textId="77777777" w:rsidTr="00862754">
        <w:tc>
          <w:tcPr>
            <w:tcW w:w="567" w:type="dxa"/>
            <w:tcBorders>
              <w:top w:val="single" w:sz="4" w:space="0" w:color="auto"/>
              <w:left w:val="single" w:sz="4" w:space="0" w:color="auto"/>
              <w:bottom w:val="single" w:sz="4" w:space="0" w:color="auto"/>
              <w:right w:val="single" w:sz="4" w:space="0" w:color="auto"/>
            </w:tcBorders>
            <w:hideMark/>
          </w:tcPr>
          <w:p w14:paraId="14D2FD1E" w14:textId="0ED96701" w:rsidR="00190D67" w:rsidRPr="005A22C2" w:rsidRDefault="008509BE" w:rsidP="00862754">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w:t>
            </w:r>
            <w:r w:rsidR="00190D67" w:rsidRPr="005A22C2">
              <w:rPr>
                <w:rFonts w:eastAsia="新細明體" w:cs="Segoe UI"/>
                <w:sz w:val="17"/>
                <w:szCs w:val="17"/>
                <w:lang w:eastAsia="en-GB"/>
              </w:rPr>
              <w:t>a</w:t>
            </w:r>
            <w:r w:rsidRPr="005A22C2">
              <w:rPr>
                <w:rFonts w:eastAsia="新細明體" w:cs="Segoe UI"/>
                <w:sz w:val="17"/>
                <w:szCs w:val="17"/>
                <w:lang w:eastAsia="en-GB"/>
              </w:rPr>
              <w:t>)</w:t>
            </w:r>
          </w:p>
        </w:tc>
        <w:tc>
          <w:tcPr>
            <w:tcW w:w="8647" w:type="dxa"/>
            <w:tcBorders>
              <w:top w:val="single" w:sz="4" w:space="0" w:color="auto"/>
              <w:left w:val="single" w:sz="4" w:space="0" w:color="auto"/>
              <w:bottom w:val="single" w:sz="4" w:space="0" w:color="auto"/>
              <w:right w:val="single" w:sz="4" w:space="0" w:color="auto"/>
            </w:tcBorders>
            <w:hideMark/>
          </w:tcPr>
          <w:p w14:paraId="7D45165A" w14:textId="316E5310" w:rsidR="00190D67" w:rsidRPr="005A22C2" w:rsidRDefault="00190D67" w:rsidP="00862754">
            <w:pPr>
              <w:pStyle w:val="Default"/>
              <w:jc w:val="both"/>
              <w:rPr>
                <w:color w:val="auto"/>
                <w:sz w:val="17"/>
                <w:szCs w:val="17"/>
              </w:rPr>
            </w:pPr>
            <w:r w:rsidRPr="005A22C2">
              <w:rPr>
                <w:i/>
                <w:iCs/>
                <w:color w:val="auto"/>
                <w:sz w:val="17"/>
                <w:szCs w:val="17"/>
                <w:lang w:eastAsia="zh-HK"/>
              </w:rPr>
              <w:t>直接產品</w:t>
            </w:r>
            <w:r w:rsidRPr="005A22C2">
              <w:rPr>
                <w:iCs/>
                <w:color w:val="auto"/>
                <w:sz w:val="17"/>
                <w:szCs w:val="17"/>
              </w:rPr>
              <w:t>：</w:t>
            </w:r>
            <w:r w:rsidRPr="005A22C2">
              <w:rPr>
                <w:color w:val="auto"/>
                <w:sz w:val="17"/>
                <w:szCs w:val="17"/>
                <w:lang w:eastAsia="zh-HK"/>
              </w:rPr>
              <w:t>按</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2</w:t>
            </w:r>
            <w:r w:rsidRPr="005A22C2">
              <w:rPr>
                <w:color w:val="auto"/>
                <w:sz w:val="17"/>
                <w:szCs w:val="17"/>
              </w:rPr>
              <w:t>、</w:t>
            </w:r>
            <w:r w:rsidRPr="005A22C2">
              <w:rPr>
                <w:color w:val="auto"/>
                <w:sz w:val="17"/>
                <w:szCs w:val="17"/>
              </w:rPr>
              <w:t>3</w:t>
            </w:r>
            <w:r w:rsidRPr="005A22C2">
              <w:rPr>
                <w:color w:val="auto"/>
                <w:sz w:val="17"/>
                <w:szCs w:val="17"/>
              </w:rPr>
              <w:t>、</w:t>
            </w:r>
            <w:r w:rsidRPr="005A22C2">
              <w:rPr>
                <w:color w:val="auto"/>
                <w:sz w:val="17"/>
                <w:szCs w:val="17"/>
              </w:rPr>
              <w:t>4</w:t>
            </w:r>
            <w:r w:rsidRPr="005A22C2">
              <w:rPr>
                <w:color w:val="auto"/>
                <w:sz w:val="17"/>
                <w:szCs w:val="17"/>
              </w:rPr>
              <w:t>、</w:t>
            </w:r>
            <w:r w:rsidRPr="005A22C2">
              <w:rPr>
                <w:color w:val="auto"/>
                <w:sz w:val="17"/>
                <w:szCs w:val="17"/>
              </w:rPr>
              <w:t>5</w:t>
            </w:r>
            <w:r w:rsidRPr="005A22C2">
              <w:rPr>
                <w:color w:val="auto"/>
                <w:sz w:val="17"/>
                <w:szCs w:val="17"/>
              </w:rPr>
              <w:t>、</w:t>
            </w:r>
            <w:r w:rsidRPr="005A22C2">
              <w:rPr>
                <w:color w:val="auto"/>
                <w:sz w:val="17"/>
                <w:szCs w:val="17"/>
              </w:rPr>
              <w:t>6</w:t>
            </w:r>
            <w:r w:rsidRPr="005A22C2">
              <w:rPr>
                <w:color w:val="auto"/>
                <w:sz w:val="17"/>
                <w:szCs w:val="17"/>
                <w:lang w:eastAsia="zh-HK"/>
              </w:rPr>
              <w:t>及</w:t>
            </w:r>
            <w:r w:rsidRPr="005A22C2">
              <w:rPr>
                <w:color w:val="auto"/>
                <w:sz w:val="17"/>
                <w:szCs w:val="17"/>
              </w:rPr>
              <w:t>10</w:t>
            </w:r>
            <w:r w:rsidRPr="005A22C2">
              <w:rPr>
                <w:color w:val="auto"/>
                <w:sz w:val="17"/>
                <w:szCs w:val="17"/>
                <w:lang w:eastAsia="zh-HK"/>
              </w:rPr>
              <w:t>分部</w:t>
            </w:r>
            <w:r w:rsidR="00BB77A3" w:rsidRPr="00023591">
              <w:rPr>
                <w:color w:val="auto"/>
                <w:sz w:val="17"/>
                <w:szCs w:val="17"/>
                <w:lang w:eastAsia="zh-HK"/>
              </w:rPr>
              <w:t>，</w:t>
            </w:r>
            <w:r w:rsidR="00BB77A3" w:rsidRPr="00BA4F80">
              <w:rPr>
                <w:rFonts w:hint="eastAsia"/>
                <w:color w:val="auto"/>
                <w:sz w:val="17"/>
                <w:szCs w:val="17"/>
                <w:lang w:eastAsia="zh-HK"/>
              </w:rPr>
              <w:t>以</w:t>
            </w:r>
            <w:r w:rsidR="00CA18F3" w:rsidRPr="00CA18F3">
              <w:rPr>
                <w:rFonts w:hint="eastAsia"/>
                <w:color w:val="auto"/>
                <w:sz w:val="17"/>
                <w:szCs w:val="17"/>
                <w:lang w:eastAsia="zh-HK"/>
              </w:rPr>
              <w:t>及第</w:t>
            </w:r>
            <w:r w:rsidR="004C3FCB" w:rsidRPr="00AC66A1">
              <w:rPr>
                <w:color w:val="auto"/>
                <w:sz w:val="17"/>
                <w:szCs w:val="17"/>
                <w:lang w:eastAsia="zh-HK"/>
              </w:rPr>
              <w:t>12</w:t>
            </w:r>
            <w:r w:rsidR="004C3FCB" w:rsidRPr="00AC66A1">
              <w:rPr>
                <w:rFonts w:hint="eastAsia"/>
                <w:color w:val="auto"/>
                <w:sz w:val="17"/>
                <w:szCs w:val="17"/>
                <w:lang w:eastAsia="zh-HK"/>
              </w:rPr>
              <w:t>部第</w:t>
            </w:r>
            <w:r w:rsidR="004C3FCB" w:rsidRPr="00AC66A1">
              <w:rPr>
                <w:color w:val="auto"/>
                <w:sz w:val="17"/>
                <w:szCs w:val="17"/>
                <w:lang w:eastAsia="zh-HK"/>
              </w:rPr>
              <w:t>6</w:t>
            </w:r>
            <w:r w:rsidR="004C3FCB" w:rsidRPr="00AC66A1">
              <w:rPr>
                <w:rFonts w:hint="eastAsia"/>
                <w:color w:val="auto"/>
                <w:sz w:val="17"/>
                <w:szCs w:val="17"/>
                <w:lang w:eastAsia="zh-HK"/>
              </w:rPr>
              <w:t>分部</w:t>
            </w:r>
            <w:r w:rsidRPr="005A22C2">
              <w:rPr>
                <w:color w:val="auto"/>
                <w:sz w:val="17"/>
                <w:szCs w:val="17"/>
                <w:lang w:eastAsia="zh-HK"/>
              </w:rPr>
              <w:t>計算的市場風險資本要求</w:t>
            </w:r>
            <w:r w:rsidRPr="005A22C2">
              <w:rPr>
                <w:color w:val="auto"/>
                <w:sz w:val="17"/>
                <w:szCs w:val="17"/>
              </w:rPr>
              <w:t>。</w:t>
            </w:r>
          </w:p>
        </w:tc>
      </w:tr>
      <w:tr w:rsidR="005A22C2" w:rsidRPr="005A22C2" w14:paraId="01F1543F" w14:textId="77777777" w:rsidTr="00862754">
        <w:tc>
          <w:tcPr>
            <w:tcW w:w="567" w:type="dxa"/>
            <w:tcBorders>
              <w:top w:val="single" w:sz="4" w:space="0" w:color="auto"/>
              <w:left w:val="single" w:sz="4" w:space="0" w:color="auto"/>
              <w:bottom w:val="single" w:sz="4" w:space="0" w:color="auto"/>
              <w:right w:val="single" w:sz="4" w:space="0" w:color="auto"/>
            </w:tcBorders>
            <w:hideMark/>
          </w:tcPr>
          <w:p w14:paraId="267F34A7" w14:textId="63D42145" w:rsidR="00190D67" w:rsidRPr="005A22C2" w:rsidRDefault="008509BE" w:rsidP="00862754">
            <w:pPr>
              <w:keepLines/>
              <w:widowControl w:val="0"/>
              <w:tabs>
                <w:tab w:val="left" w:pos="150"/>
                <w:tab w:val="left" w:pos="397"/>
                <w:tab w:val="left" w:pos="794"/>
                <w:tab w:val="left" w:pos="1191"/>
              </w:tabs>
              <w:spacing w:before="40" w:after="40"/>
              <w:rPr>
                <w:rFonts w:eastAsia="新細明體" w:cs="Segoe UI"/>
                <w:sz w:val="17"/>
                <w:szCs w:val="17"/>
                <w:lang w:eastAsia="en-GB"/>
              </w:rPr>
            </w:pPr>
            <w:r w:rsidRPr="005A22C2">
              <w:rPr>
                <w:rFonts w:eastAsia="新細明體" w:cs="Segoe UI"/>
                <w:sz w:val="17"/>
                <w:szCs w:val="17"/>
                <w:lang w:eastAsia="en-GB"/>
              </w:rPr>
              <w:t>(</w:t>
            </w:r>
            <w:r w:rsidR="00190D67" w:rsidRPr="005A22C2">
              <w:rPr>
                <w:rFonts w:eastAsia="新細明體" w:cs="Segoe UI"/>
                <w:sz w:val="17"/>
                <w:szCs w:val="17"/>
                <w:lang w:eastAsia="en-GB"/>
              </w:rPr>
              <w:t>b</w:t>
            </w:r>
            <w:r w:rsidRPr="005A22C2">
              <w:rPr>
                <w:rFonts w:eastAsia="新細明體" w:cs="Segoe UI"/>
                <w:sz w:val="17"/>
                <w:szCs w:val="17"/>
                <w:lang w:eastAsia="en-GB"/>
              </w:rPr>
              <w:t>)</w:t>
            </w:r>
          </w:p>
        </w:tc>
        <w:tc>
          <w:tcPr>
            <w:tcW w:w="8647" w:type="dxa"/>
            <w:tcBorders>
              <w:top w:val="single" w:sz="4" w:space="0" w:color="auto"/>
              <w:left w:val="single" w:sz="4" w:space="0" w:color="auto"/>
              <w:bottom w:val="single" w:sz="4" w:space="0" w:color="auto"/>
              <w:right w:val="single" w:sz="4" w:space="0" w:color="auto"/>
            </w:tcBorders>
            <w:hideMark/>
          </w:tcPr>
          <w:p w14:paraId="7913A6C2" w14:textId="59BA066C" w:rsidR="00190D67" w:rsidRPr="005A22C2" w:rsidRDefault="00190D67" w:rsidP="00862754">
            <w:pPr>
              <w:pStyle w:val="Default"/>
              <w:jc w:val="both"/>
              <w:rPr>
                <w:color w:val="auto"/>
                <w:sz w:val="17"/>
                <w:szCs w:val="17"/>
              </w:rPr>
            </w:pPr>
            <w:r w:rsidRPr="005A22C2">
              <w:rPr>
                <w:i/>
                <w:iCs/>
                <w:color w:val="auto"/>
                <w:sz w:val="17"/>
                <w:szCs w:val="17"/>
                <w:lang w:eastAsia="zh-HK"/>
              </w:rPr>
              <w:t>簡化</w:t>
            </w:r>
            <w:r w:rsidR="000A1BD9" w:rsidRPr="005A22C2">
              <w:rPr>
                <w:rFonts w:hint="eastAsia"/>
                <w:i/>
                <w:iCs/>
                <w:color w:val="auto"/>
                <w:sz w:val="17"/>
                <w:szCs w:val="17"/>
                <w:lang w:eastAsia="zh-HK"/>
              </w:rPr>
              <w:t>計算法</w:t>
            </w:r>
            <w:r w:rsidRPr="005A22C2">
              <w:rPr>
                <w:i/>
                <w:iCs/>
                <w:color w:val="auto"/>
                <w:sz w:val="17"/>
                <w:szCs w:val="17"/>
                <w:lang w:eastAsia="zh-HK"/>
              </w:rPr>
              <w:t>下的期權</w:t>
            </w:r>
            <w:r w:rsidRPr="005A22C2">
              <w:rPr>
                <w:color w:val="auto"/>
                <w:sz w:val="17"/>
                <w:szCs w:val="17"/>
              </w:rPr>
              <w:t>：</w:t>
            </w:r>
            <w:r w:rsidRPr="005A22C2">
              <w:rPr>
                <w:color w:val="auto"/>
                <w:sz w:val="17"/>
                <w:szCs w:val="17"/>
                <w:lang w:eastAsia="zh-HK"/>
              </w:rPr>
              <w:t>按</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2</w:t>
            </w:r>
            <w:r w:rsidRPr="005A22C2">
              <w:rPr>
                <w:color w:val="auto"/>
                <w:sz w:val="17"/>
                <w:szCs w:val="17"/>
                <w:lang w:eastAsia="zh-HK"/>
              </w:rPr>
              <w:t>及</w:t>
            </w:r>
            <w:r w:rsidRPr="005A22C2">
              <w:rPr>
                <w:color w:val="auto"/>
                <w:sz w:val="17"/>
                <w:szCs w:val="17"/>
              </w:rPr>
              <w:t>8</w:t>
            </w:r>
            <w:r w:rsidRPr="005A22C2">
              <w:rPr>
                <w:color w:val="auto"/>
                <w:sz w:val="17"/>
                <w:szCs w:val="17"/>
                <w:lang w:eastAsia="zh-HK"/>
              </w:rPr>
              <w:t>分部計算的市場風險資本要求</w:t>
            </w:r>
            <w:r w:rsidRPr="005A22C2">
              <w:rPr>
                <w:color w:val="auto"/>
                <w:sz w:val="17"/>
                <w:szCs w:val="17"/>
              </w:rPr>
              <w:t>。</w:t>
            </w:r>
          </w:p>
        </w:tc>
      </w:tr>
      <w:tr w:rsidR="005A22C2" w:rsidRPr="005A22C2" w14:paraId="15A08E3C" w14:textId="77777777" w:rsidTr="00862754">
        <w:tc>
          <w:tcPr>
            <w:tcW w:w="567" w:type="dxa"/>
            <w:tcBorders>
              <w:top w:val="single" w:sz="4" w:space="0" w:color="auto"/>
              <w:left w:val="single" w:sz="4" w:space="0" w:color="auto"/>
              <w:bottom w:val="single" w:sz="4" w:space="0" w:color="auto"/>
              <w:right w:val="single" w:sz="4" w:space="0" w:color="auto"/>
            </w:tcBorders>
            <w:hideMark/>
          </w:tcPr>
          <w:p w14:paraId="22399A6E" w14:textId="03CAB2B8" w:rsidR="00190D67" w:rsidRPr="005A22C2" w:rsidRDefault="008509BE" w:rsidP="00862754">
            <w:pPr>
              <w:keepLines/>
              <w:widowControl w:val="0"/>
              <w:tabs>
                <w:tab w:val="left" w:pos="150"/>
                <w:tab w:val="left" w:pos="397"/>
                <w:tab w:val="left" w:pos="794"/>
                <w:tab w:val="left" w:pos="1191"/>
              </w:tabs>
              <w:spacing w:before="40" w:after="40"/>
              <w:rPr>
                <w:rFonts w:eastAsia="新細明體" w:cs="Segoe UI"/>
                <w:sz w:val="17"/>
                <w:szCs w:val="17"/>
                <w:lang w:eastAsia="zh-TW"/>
              </w:rPr>
            </w:pPr>
            <w:r w:rsidRPr="005A22C2">
              <w:rPr>
                <w:rFonts w:eastAsia="新細明體" w:cs="Segoe UI" w:hint="eastAsia"/>
                <w:sz w:val="17"/>
                <w:szCs w:val="17"/>
                <w:lang w:eastAsia="zh-TW"/>
              </w:rPr>
              <w:t>(</w:t>
            </w:r>
            <w:r w:rsidR="00190D67" w:rsidRPr="005A22C2">
              <w:rPr>
                <w:rFonts w:eastAsia="新細明體" w:cs="Segoe UI"/>
                <w:sz w:val="17"/>
                <w:szCs w:val="17"/>
                <w:lang w:eastAsia="zh-TW"/>
              </w:rPr>
              <w:t>c</w:t>
            </w:r>
            <w:r w:rsidRPr="005A22C2">
              <w:rPr>
                <w:rFonts w:eastAsia="新細明體" w:cs="Segoe UI" w:hint="eastAsia"/>
                <w:sz w:val="17"/>
                <w:szCs w:val="17"/>
                <w:lang w:eastAsia="zh-TW"/>
              </w:rPr>
              <w:t>)</w:t>
            </w:r>
          </w:p>
        </w:tc>
        <w:tc>
          <w:tcPr>
            <w:tcW w:w="8647" w:type="dxa"/>
            <w:tcBorders>
              <w:top w:val="single" w:sz="4" w:space="0" w:color="auto"/>
              <w:left w:val="single" w:sz="4" w:space="0" w:color="auto"/>
              <w:bottom w:val="single" w:sz="4" w:space="0" w:color="auto"/>
              <w:right w:val="single" w:sz="4" w:space="0" w:color="auto"/>
            </w:tcBorders>
            <w:hideMark/>
          </w:tcPr>
          <w:p w14:paraId="16E62184" w14:textId="08127E35" w:rsidR="00190D67" w:rsidRPr="005A22C2" w:rsidRDefault="00190D67" w:rsidP="00862754">
            <w:pPr>
              <w:pStyle w:val="Default"/>
              <w:jc w:val="both"/>
              <w:rPr>
                <w:color w:val="auto"/>
                <w:sz w:val="17"/>
                <w:szCs w:val="17"/>
              </w:rPr>
            </w:pPr>
            <w:r w:rsidRPr="005A22C2">
              <w:rPr>
                <w:i/>
                <w:iCs/>
                <w:color w:val="auto"/>
                <w:sz w:val="17"/>
                <w:szCs w:val="17"/>
                <w:lang w:eastAsia="zh-HK"/>
              </w:rPr>
              <w:t>得爾塔附加</w:t>
            </w:r>
            <w:r w:rsidR="008509BE" w:rsidRPr="005A22C2">
              <w:rPr>
                <w:rFonts w:hint="eastAsia"/>
                <w:i/>
                <w:iCs/>
                <w:color w:val="auto"/>
                <w:sz w:val="17"/>
                <w:szCs w:val="17"/>
                <w:lang w:eastAsia="zh-HK"/>
              </w:rPr>
              <w:t>計算法</w:t>
            </w:r>
            <w:r w:rsidRPr="005A22C2">
              <w:rPr>
                <w:i/>
                <w:iCs/>
                <w:color w:val="auto"/>
                <w:sz w:val="17"/>
                <w:szCs w:val="17"/>
                <w:lang w:eastAsia="zh-HK"/>
              </w:rPr>
              <w:t>下的期權</w:t>
            </w:r>
            <w:r w:rsidRPr="005A22C2">
              <w:rPr>
                <w:color w:val="auto"/>
                <w:sz w:val="17"/>
                <w:szCs w:val="17"/>
              </w:rPr>
              <w:t>：</w:t>
            </w:r>
            <w:r w:rsidRPr="005A22C2">
              <w:rPr>
                <w:color w:val="auto"/>
                <w:sz w:val="17"/>
                <w:szCs w:val="17"/>
                <w:lang w:eastAsia="zh-HK"/>
              </w:rPr>
              <w:t>按</w:t>
            </w:r>
            <w:r w:rsidRPr="005A22C2">
              <w:rPr>
                <w:color w:val="auto"/>
                <w:sz w:val="17"/>
                <w:szCs w:val="17"/>
              </w:rPr>
              <w:t>《資本規則》第</w:t>
            </w:r>
            <w:r w:rsidRPr="005A22C2">
              <w:rPr>
                <w:color w:val="auto"/>
                <w:sz w:val="17"/>
                <w:szCs w:val="17"/>
              </w:rPr>
              <w:t>8</w:t>
            </w:r>
            <w:r w:rsidRPr="005A22C2">
              <w:rPr>
                <w:color w:val="auto"/>
                <w:sz w:val="17"/>
                <w:szCs w:val="17"/>
                <w:lang w:eastAsia="zh-HK"/>
              </w:rPr>
              <w:t>部第</w:t>
            </w:r>
            <w:r w:rsidRPr="005A22C2">
              <w:rPr>
                <w:color w:val="auto"/>
                <w:sz w:val="17"/>
                <w:szCs w:val="17"/>
              </w:rPr>
              <w:t>2</w:t>
            </w:r>
            <w:r w:rsidRPr="005A22C2">
              <w:rPr>
                <w:color w:val="auto"/>
                <w:sz w:val="17"/>
                <w:szCs w:val="17"/>
                <w:lang w:eastAsia="zh-HK"/>
              </w:rPr>
              <w:t>及</w:t>
            </w:r>
            <w:r w:rsidRPr="005A22C2">
              <w:rPr>
                <w:color w:val="auto"/>
                <w:sz w:val="17"/>
                <w:szCs w:val="17"/>
              </w:rPr>
              <w:t>9</w:t>
            </w:r>
            <w:r w:rsidRPr="005A22C2">
              <w:rPr>
                <w:color w:val="auto"/>
                <w:sz w:val="17"/>
                <w:szCs w:val="17"/>
                <w:lang w:eastAsia="zh-HK"/>
              </w:rPr>
              <w:t>分部計算的市場風險資本要求</w:t>
            </w:r>
            <w:r w:rsidRPr="005A22C2">
              <w:rPr>
                <w:color w:val="auto"/>
                <w:sz w:val="17"/>
                <w:szCs w:val="17"/>
              </w:rPr>
              <w:t>。</w:t>
            </w:r>
          </w:p>
        </w:tc>
      </w:tr>
      <w:tr w:rsidR="005A22C2" w:rsidRPr="005A22C2" w14:paraId="4ACEB0C1" w14:textId="77777777" w:rsidTr="00862754">
        <w:tc>
          <w:tcPr>
            <w:tcW w:w="567" w:type="dxa"/>
            <w:tcBorders>
              <w:top w:val="single" w:sz="4" w:space="0" w:color="auto"/>
              <w:left w:val="single" w:sz="4" w:space="0" w:color="auto"/>
              <w:bottom w:val="single" w:sz="4" w:space="0" w:color="auto"/>
              <w:right w:val="single" w:sz="4" w:space="0" w:color="auto"/>
            </w:tcBorders>
            <w:hideMark/>
          </w:tcPr>
          <w:p w14:paraId="4B7D6000" w14:textId="15F178A6" w:rsidR="00190D67" w:rsidRPr="005A22C2" w:rsidRDefault="008509BE" w:rsidP="00862754">
            <w:pPr>
              <w:keepLines/>
              <w:widowControl w:val="0"/>
              <w:tabs>
                <w:tab w:val="left" w:pos="150"/>
                <w:tab w:val="left" w:pos="397"/>
                <w:tab w:val="left" w:pos="794"/>
                <w:tab w:val="left" w:pos="1191"/>
              </w:tabs>
              <w:spacing w:before="40" w:after="40"/>
              <w:rPr>
                <w:rFonts w:eastAsia="新細明體" w:cs="Segoe UI"/>
                <w:sz w:val="17"/>
                <w:szCs w:val="17"/>
                <w:lang w:eastAsia="zh-TW"/>
              </w:rPr>
            </w:pPr>
            <w:r w:rsidRPr="005A22C2">
              <w:rPr>
                <w:rFonts w:eastAsia="新細明體" w:cs="Segoe UI" w:hint="eastAsia"/>
                <w:sz w:val="17"/>
                <w:szCs w:val="17"/>
                <w:lang w:eastAsia="zh-TW"/>
              </w:rPr>
              <w:t>(</w:t>
            </w:r>
            <w:r w:rsidR="00190D67" w:rsidRPr="005A22C2">
              <w:rPr>
                <w:rFonts w:eastAsia="新細明體" w:cs="Segoe UI"/>
                <w:sz w:val="17"/>
                <w:szCs w:val="17"/>
                <w:lang w:eastAsia="zh-TW"/>
              </w:rPr>
              <w:t>d</w:t>
            </w:r>
            <w:r w:rsidRPr="005A22C2">
              <w:rPr>
                <w:rFonts w:eastAsia="新細明體" w:cs="Segoe UI" w:hint="eastAsia"/>
                <w:sz w:val="17"/>
                <w:szCs w:val="17"/>
                <w:lang w:eastAsia="zh-TW"/>
              </w:rPr>
              <w:t>)</w:t>
            </w:r>
          </w:p>
        </w:tc>
        <w:tc>
          <w:tcPr>
            <w:tcW w:w="8647" w:type="dxa"/>
            <w:tcBorders>
              <w:top w:val="single" w:sz="4" w:space="0" w:color="auto"/>
              <w:left w:val="single" w:sz="4" w:space="0" w:color="auto"/>
              <w:bottom w:val="single" w:sz="4" w:space="0" w:color="auto"/>
              <w:right w:val="single" w:sz="4" w:space="0" w:color="auto"/>
            </w:tcBorders>
            <w:hideMark/>
          </w:tcPr>
          <w:p w14:paraId="23D8AF6D" w14:textId="05B62364" w:rsidR="00190D67" w:rsidRPr="005A22C2" w:rsidRDefault="00190D67" w:rsidP="001811E9">
            <w:pPr>
              <w:pStyle w:val="Default"/>
              <w:jc w:val="both"/>
              <w:rPr>
                <w:color w:val="auto"/>
                <w:sz w:val="17"/>
                <w:szCs w:val="17"/>
              </w:rPr>
            </w:pPr>
            <w:r w:rsidRPr="005A22C2">
              <w:rPr>
                <w:i/>
                <w:iCs/>
                <w:color w:val="auto"/>
                <w:sz w:val="17"/>
                <w:szCs w:val="17"/>
                <w:lang w:val="en-GB" w:eastAsia="zh-HK"/>
              </w:rPr>
              <w:t>其他計算法下的期權</w:t>
            </w:r>
            <w:r w:rsidRPr="005A22C2">
              <w:rPr>
                <w:color w:val="auto"/>
                <w:sz w:val="17"/>
                <w:szCs w:val="17"/>
              </w:rPr>
              <w:t>：</w:t>
            </w:r>
            <w:r w:rsidRPr="005A22C2">
              <w:rPr>
                <w:color w:val="auto"/>
                <w:sz w:val="17"/>
                <w:szCs w:val="17"/>
                <w:lang w:eastAsia="zh-HK"/>
              </w:rPr>
              <w:t>按</w:t>
            </w:r>
            <w:r w:rsidR="0081374F" w:rsidRPr="005A22C2">
              <w:rPr>
                <w:color w:val="auto"/>
                <w:sz w:val="17"/>
                <w:szCs w:val="17"/>
                <w:lang w:eastAsia="zh-HK"/>
              </w:rPr>
              <w:t>金融管理專員</w:t>
            </w:r>
            <w:r w:rsidR="0081374F" w:rsidRPr="005A22C2">
              <w:rPr>
                <w:rFonts w:hint="eastAsia"/>
                <w:color w:val="auto"/>
                <w:sz w:val="17"/>
                <w:szCs w:val="17"/>
                <w:lang w:eastAsia="zh-HK"/>
              </w:rPr>
              <w:t>在</w:t>
            </w:r>
            <w:r w:rsidRPr="005A22C2">
              <w:rPr>
                <w:color w:val="auto"/>
                <w:sz w:val="17"/>
                <w:szCs w:val="17"/>
              </w:rPr>
              <w:t>《資本規則》第</w:t>
            </w:r>
            <w:r w:rsidRPr="005A22C2">
              <w:rPr>
                <w:color w:val="auto"/>
                <w:sz w:val="17"/>
                <w:szCs w:val="17"/>
              </w:rPr>
              <w:t>8</w:t>
            </w:r>
            <w:r w:rsidRPr="005A22C2">
              <w:rPr>
                <w:color w:val="auto"/>
                <w:sz w:val="17"/>
                <w:szCs w:val="17"/>
                <w:lang w:eastAsia="zh-HK"/>
              </w:rPr>
              <w:t>部</w:t>
            </w:r>
            <w:r w:rsidR="0081374F" w:rsidRPr="005A22C2">
              <w:rPr>
                <w:rFonts w:hint="eastAsia"/>
                <w:color w:val="auto"/>
                <w:sz w:val="17"/>
                <w:szCs w:val="17"/>
                <w:lang w:eastAsia="zh-HK"/>
              </w:rPr>
              <w:t>下</w:t>
            </w:r>
            <w:r w:rsidRPr="005A22C2">
              <w:rPr>
                <w:color w:val="auto"/>
                <w:sz w:val="17"/>
                <w:szCs w:val="17"/>
                <w:lang w:eastAsia="zh-HK"/>
              </w:rPr>
              <w:t>批准使用的其他計算法</w:t>
            </w:r>
            <w:r w:rsidR="002822D2" w:rsidRPr="005A22C2">
              <w:rPr>
                <w:rFonts w:hint="eastAsia"/>
                <w:color w:val="auto"/>
                <w:kern w:val="2"/>
                <w:sz w:val="17"/>
                <w:szCs w:val="17"/>
              </w:rPr>
              <w:t>（</w:t>
            </w:r>
            <w:r w:rsidRPr="005A22C2">
              <w:rPr>
                <w:color w:val="auto"/>
                <w:sz w:val="17"/>
                <w:szCs w:val="17"/>
                <w:lang w:eastAsia="zh-HK"/>
              </w:rPr>
              <w:t>例如情</w:t>
            </w:r>
            <w:r w:rsidRPr="005A22C2">
              <w:rPr>
                <w:rFonts w:hint="eastAsia"/>
                <w:color w:val="auto"/>
                <w:sz w:val="17"/>
                <w:szCs w:val="17"/>
                <w:lang w:eastAsia="zh-HK"/>
              </w:rPr>
              <w:t>景</w:t>
            </w:r>
            <w:r w:rsidRPr="005A22C2">
              <w:rPr>
                <w:color w:val="auto"/>
                <w:sz w:val="17"/>
                <w:szCs w:val="17"/>
                <w:lang w:eastAsia="zh-HK"/>
              </w:rPr>
              <w:t>計算法</w:t>
            </w:r>
            <w:r w:rsidR="00083254" w:rsidRPr="005A22C2">
              <w:rPr>
                <w:rFonts w:hint="eastAsia"/>
                <w:color w:val="auto"/>
                <w:sz w:val="17"/>
                <w:szCs w:val="17"/>
              </w:rPr>
              <w:t>）</w:t>
            </w:r>
            <w:r w:rsidR="003E01EE">
              <w:rPr>
                <w:rFonts w:hint="eastAsia"/>
                <w:color w:val="auto"/>
                <w:sz w:val="17"/>
                <w:szCs w:val="17"/>
                <w:lang w:eastAsia="zh-HK"/>
              </w:rPr>
              <w:t>或</w:t>
            </w:r>
            <w:r w:rsidR="00323956" w:rsidRPr="00CD6819">
              <w:rPr>
                <w:rFonts w:hint="eastAsia"/>
                <w:color w:val="auto"/>
                <w:sz w:val="17"/>
                <w:szCs w:val="17"/>
                <w:lang w:eastAsia="zh-HK"/>
              </w:rPr>
              <w:t>就</w:t>
            </w:r>
            <w:r w:rsidR="00786BA1" w:rsidRPr="00CD6819">
              <w:rPr>
                <w:rFonts w:hint="eastAsia"/>
                <w:color w:val="auto"/>
                <w:sz w:val="17"/>
                <w:szCs w:val="17"/>
                <w:lang w:eastAsia="zh-HK"/>
              </w:rPr>
              <w:t>基</w:t>
            </w:r>
            <w:r w:rsidR="00786BA1" w:rsidRPr="00CD6819">
              <w:rPr>
                <w:rFonts w:hint="eastAsia"/>
                <w:color w:val="auto"/>
                <w:sz w:val="17"/>
                <w:szCs w:val="17"/>
              </w:rPr>
              <w:t>礎</w:t>
            </w:r>
            <w:r w:rsidR="00786BA1" w:rsidRPr="00CD6819">
              <w:rPr>
                <w:rFonts w:hint="eastAsia"/>
                <w:color w:val="auto"/>
                <w:sz w:val="17"/>
                <w:szCs w:val="17"/>
                <w:lang w:eastAsia="zh-HK"/>
              </w:rPr>
              <w:t>資</w:t>
            </w:r>
            <w:r w:rsidR="00786BA1" w:rsidRPr="00CD6819">
              <w:rPr>
                <w:rFonts w:hint="eastAsia"/>
                <w:color w:val="auto"/>
                <w:sz w:val="17"/>
                <w:szCs w:val="17"/>
              </w:rPr>
              <w:t>產</w:t>
            </w:r>
            <w:r w:rsidR="001811E9" w:rsidRPr="00CD6819">
              <w:rPr>
                <w:rFonts w:hint="eastAsia"/>
                <w:color w:val="auto"/>
                <w:sz w:val="17"/>
                <w:szCs w:val="17"/>
                <w:lang w:eastAsia="zh-HK"/>
              </w:rPr>
              <w:t>為</w:t>
            </w:r>
            <w:r w:rsidR="00323956" w:rsidRPr="00CD6819">
              <w:rPr>
                <w:rFonts w:hint="eastAsia"/>
                <w:color w:val="auto"/>
                <w:sz w:val="17"/>
                <w:szCs w:val="17"/>
                <w:lang w:eastAsia="zh-HK"/>
              </w:rPr>
              <w:t>第</w:t>
            </w:r>
            <w:r w:rsidR="00323956" w:rsidRPr="00CD6819">
              <w:rPr>
                <w:color w:val="auto"/>
                <w:sz w:val="17"/>
                <w:szCs w:val="17"/>
                <w:lang w:eastAsia="zh-HK"/>
              </w:rPr>
              <w:t>2a</w:t>
            </w:r>
            <w:r w:rsidR="00323956" w:rsidRPr="00CD6819">
              <w:rPr>
                <w:rFonts w:hint="eastAsia"/>
                <w:color w:val="auto"/>
                <w:sz w:val="17"/>
                <w:szCs w:val="17"/>
                <w:lang w:eastAsia="zh-HK"/>
              </w:rPr>
              <w:t>組加密資產</w:t>
            </w:r>
            <w:r w:rsidR="001811E9" w:rsidRPr="00CD6819">
              <w:rPr>
                <w:rFonts w:hint="eastAsia"/>
                <w:color w:val="auto"/>
                <w:sz w:val="17"/>
                <w:szCs w:val="17"/>
                <w:lang w:eastAsia="zh-HK"/>
              </w:rPr>
              <w:t>的期權風險</w:t>
            </w:r>
            <w:r w:rsidR="00323956" w:rsidRPr="00CD6819">
              <w:rPr>
                <w:rFonts w:hint="eastAsia"/>
                <w:color w:val="auto"/>
                <w:sz w:val="17"/>
                <w:szCs w:val="17"/>
                <w:lang w:eastAsia="zh-HK"/>
              </w:rPr>
              <w:t>承擔及相</w:t>
            </w:r>
            <w:r w:rsidR="001A350E" w:rsidRPr="00CD6819">
              <w:rPr>
                <w:rFonts w:hint="eastAsia"/>
                <w:color w:val="auto"/>
                <w:sz w:val="17"/>
                <w:szCs w:val="17"/>
                <w:lang w:eastAsia="zh-HK"/>
              </w:rPr>
              <w:t>聯的</w:t>
            </w:r>
            <w:r w:rsidR="00323956" w:rsidRPr="00CD6819">
              <w:rPr>
                <w:rFonts w:hint="eastAsia"/>
                <w:color w:val="auto"/>
                <w:sz w:val="17"/>
                <w:szCs w:val="17"/>
                <w:lang w:eastAsia="zh-HK"/>
              </w:rPr>
              <w:t>對冲持倉</w:t>
            </w:r>
            <w:r w:rsidR="00786BA1" w:rsidRPr="00CD6819">
              <w:rPr>
                <w:color w:val="auto"/>
                <w:sz w:val="17"/>
                <w:szCs w:val="17"/>
                <w:lang w:eastAsia="zh-HK"/>
              </w:rPr>
              <w:t>，</w:t>
            </w:r>
            <w:r w:rsidR="003E01EE">
              <w:rPr>
                <w:rFonts w:hint="eastAsia"/>
                <w:color w:val="auto"/>
                <w:sz w:val="17"/>
                <w:szCs w:val="17"/>
                <w:lang w:eastAsia="zh-HK"/>
              </w:rPr>
              <w:t>按</w:t>
            </w:r>
            <w:r w:rsidR="003E01EE" w:rsidRPr="00C11A77">
              <w:rPr>
                <w:rFonts w:hint="eastAsia"/>
                <w:color w:val="auto"/>
                <w:sz w:val="17"/>
                <w:szCs w:val="17"/>
                <w:lang w:eastAsia="zh-HK"/>
              </w:rPr>
              <w:t>《資本規則》第</w:t>
            </w:r>
            <w:r w:rsidR="003E01EE" w:rsidRPr="00C11A77">
              <w:rPr>
                <w:color w:val="auto"/>
                <w:sz w:val="17"/>
                <w:szCs w:val="17"/>
                <w:lang w:eastAsia="zh-HK"/>
              </w:rPr>
              <w:t>12</w:t>
            </w:r>
            <w:r w:rsidR="003E01EE" w:rsidRPr="00C11A77">
              <w:rPr>
                <w:rFonts w:hint="eastAsia"/>
                <w:color w:val="auto"/>
                <w:sz w:val="17"/>
                <w:szCs w:val="17"/>
                <w:lang w:eastAsia="zh-HK"/>
              </w:rPr>
              <w:t>部第</w:t>
            </w:r>
            <w:r w:rsidR="003E01EE" w:rsidRPr="00C11A77">
              <w:rPr>
                <w:color w:val="auto"/>
                <w:sz w:val="17"/>
                <w:szCs w:val="17"/>
                <w:lang w:eastAsia="zh-HK"/>
              </w:rPr>
              <w:t>6</w:t>
            </w:r>
            <w:r w:rsidR="003E01EE" w:rsidRPr="00C11A77">
              <w:rPr>
                <w:rFonts w:hint="eastAsia"/>
                <w:color w:val="auto"/>
                <w:sz w:val="17"/>
                <w:szCs w:val="17"/>
                <w:lang w:eastAsia="zh-HK"/>
              </w:rPr>
              <w:t>分部</w:t>
            </w:r>
            <w:r w:rsidR="003E01EE" w:rsidRPr="003E01EE">
              <w:rPr>
                <w:rFonts w:hint="eastAsia"/>
                <w:color w:val="auto"/>
                <w:sz w:val="17"/>
                <w:szCs w:val="17"/>
                <w:lang w:eastAsia="zh-HK"/>
              </w:rPr>
              <w:t>的</w:t>
            </w:r>
            <w:r w:rsidR="00271C1E" w:rsidRPr="005A22C2">
              <w:rPr>
                <w:color w:val="auto"/>
                <w:sz w:val="17"/>
                <w:szCs w:val="17"/>
                <w:lang w:eastAsia="zh-HK"/>
              </w:rPr>
              <w:t>情</w:t>
            </w:r>
            <w:r w:rsidR="00271C1E" w:rsidRPr="005A22C2">
              <w:rPr>
                <w:rFonts w:hint="eastAsia"/>
                <w:color w:val="auto"/>
                <w:sz w:val="17"/>
                <w:szCs w:val="17"/>
                <w:lang w:eastAsia="zh-HK"/>
              </w:rPr>
              <w:t>景</w:t>
            </w:r>
            <w:r w:rsidR="00271C1E" w:rsidRPr="003E01EE">
              <w:rPr>
                <w:rFonts w:hint="eastAsia"/>
                <w:color w:val="auto"/>
                <w:sz w:val="17"/>
                <w:szCs w:val="17"/>
                <w:lang w:eastAsia="zh-HK"/>
              </w:rPr>
              <w:t>計算法</w:t>
            </w:r>
            <w:r w:rsidR="00CD6819">
              <w:rPr>
                <w:rFonts w:hint="eastAsia"/>
                <w:color w:val="auto"/>
                <w:sz w:val="17"/>
                <w:szCs w:val="17"/>
                <w:lang w:eastAsia="zh-HK"/>
              </w:rPr>
              <w:t>，</w:t>
            </w:r>
            <w:r w:rsidRPr="005A22C2">
              <w:rPr>
                <w:color w:val="auto"/>
                <w:sz w:val="17"/>
                <w:szCs w:val="17"/>
                <w:lang w:eastAsia="zh-HK"/>
              </w:rPr>
              <w:t>計算的市場風險資本要求</w:t>
            </w:r>
            <w:r w:rsidRPr="005A22C2">
              <w:rPr>
                <w:color w:val="auto"/>
                <w:sz w:val="17"/>
                <w:szCs w:val="17"/>
              </w:rPr>
              <w:t>。</w:t>
            </w:r>
          </w:p>
        </w:tc>
      </w:tr>
      <w:tr w:rsidR="005A22C2" w:rsidRPr="005A22C2" w14:paraId="505E489D" w14:textId="77777777" w:rsidTr="00862754">
        <w:tc>
          <w:tcPr>
            <w:tcW w:w="9214"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65FB2E1" w14:textId="00DE8815" w:rsidR="00190D67" w:rsidRPr="005A22C2" w:rsidRDefault="00190D67" w:rsidP="00862754">
            <w:pPr>
              <w:spacing w:before="40" w:after="40"/>
              <w:jc w:val="both"/>
              <w:rPr>
                <w:rFonts w:eastAsia="新細明體" w:cs="Segoe UI"/>
                <w:i/>
                <w:lang w:eastAsia="fr-FR"/>
              </w:rPr>
            </w:pPr>
            <w:r w:rsidRPr="005A22C2">
              <w:rPr>
                <w:rFonts w:eastAsia="新細明體" w:cs="Segoe UI"/>
                <w:b/>
                <w:sz w:val="17"/>
                <w:szCs w:val="17"/>
                <w:lang w:eastAsia="zh-HK"/>
              </w:rPr>
              <w:t>行</w:t>
            </w:r>
          </w:p>
        </w:tc>
      </w:tr>
      <w:tr w:rsidR="005A22C2" w:rsidRPr="005A22C2" w14:paraId="3DB0F2AA" w14:textId="77777777" w:rsidTr="00862754">
        <w:tc>
          <w:tcPr>
            <w:tcW w:w="567" w:type="dxa"/>
            <w:tcBorders>
              <w:top w:val="single" w:sz="4" w:space="0" w:color="auto"/>
              <w:left w:val="single" w:sz="4" w:space="0" w:color="auto"/>
              <w:bottom w:val="single" w:sz="4" w:space="0" w:color="auto"/>
              <w:right w:val="single" w:sz="4" w:space="0" w:color="auto"/>
            </w:tcBorders>
            <w:hideMark/>
          </w:tcPr>
          <w:p w14:paraId="4C149802" w14:textId="77777777" w:rsidR="00190D67" w:rsidRPr="005A22C2" w:rsidRDefault="00190D67" w:rsidP="00862754">
            <w:pPr>
              <w:keepLines/>
              <w:widowControl w:val="0"/>
              <w:tabs>
                <w:tab w:val="left" w:pos="150"/>
                <w:tab w:val="left" w:pos="397"/>
                <w:tab w:val="left" w:pos="794"/>
                <w:tab w:val="left" w:pos="1191"/>
              </w:tabs>
              <w:spacing w:before="40" w:after="40"/>
              <w:rPr>
                <w:rFonts w:eastAsia="新細明體" w:cs="Segoe UI"/>
                <w:sz w:val="17"/>
                <w:szCs w:val="17"/>
                <w:lang w:eastAsia="zh-TW"/>
              </w:rPr>
            </w:pPr>
            <w:r w:rsidRPr="005A22C2">
              <w:rPr>
                <w:rFonts w:eastAsia="新細明體" w:cs="Segoe UI"/>
                <w:sz w:val="17"/>
                <w:szCs w:val="17"/>
                <w:lang w:eastAsia="zh-TW"/>
              </w:rPr>
              <w:t>5</w:t>
            </w:r>
          </w:p>
        </w:tc>
        <w:tc>
          <w:tcPr>
            <w:tcW w:w="8647" w:type="dxa"/>
            <w:tcBorders>
              <w:top w:val="single" w:sz="4" w:space="0" w:color="auto"/>
              <w:left w:val="single" w:sz="4" w:space="0" w:color="auto"/>
              <w:bottom w:val="single" w:sz="4" w:space="0" w:color="auto"/>
              <w:right w:val="single" w:sz="4" w:space="0" w:color="auto"/>
            </w:tcBorders>
            <w:hideMark/>
          </w:tcPr>
          <w:p w14:paraId="4D1870EC" w14:textId="199963A2" w:rsidR="00190D67" w:rsidRPr="00C11A77" w:rsidRDefault="00190D67" w:rsidP="00C11A77">
            <w:pPr>
              <w:pStyle w:val="Default"/>
              <w:jc w:val="both"/>
              <w:rPr>
                <w:rFonts w:eastAsia="Times New Roman" w:cs="Times New Roman"/>
                <w:color w:val="auto"/>
                <w:sz w:val="17"/>
                <w:szCs w:val="17"/>
              </w:rPr>
            </w:pPr>
            <w:r w:rsidRPr="00C11A77">
              <w:rPr>
                <w:rFonts w:hint="eastAsia"/>
                <w:i/>
                <w:sz w:val="17"/>
                <w:szCs w:val="17"/>
              </w:rPr>
              <w:t>證券化類別風險承擔：</w:t>
            </w:r>
            <w:r w:rsidRPr="00C11A77">
              <w:rPr>
                <w:rFonts w:hint="eastAsia"/>
                <w:sz w:val="17"/>
                <w:szCs w:val="17"/>
              </w:rPr>
              <w:t>應在本行</w:t>
            </w:r>
            <w:r w:rsidR="0081374F" w:rsidRPr="00C11A77">
              <w:rPr>
                <w:rFonts w:hint="eastAsia"/>
                <w:sz w:val="17"/>
                <w:szCs w:val="17"/>
              </w:rPr>
              <w:t>披露</w:t>
            </w:r>
            <w:r w:rsidRPr="00C11A77">
              <w:rPr>
                <w:rFonts w:hint="eastAsia"/>
                <w:sz w:val="17"/>
                <w:szCs w:val="17"/>
              </w:rPr>
              <w:t>因</w:t>
            </w:r>
            <w:bookmarkStart w:id="5" w:name="OLE_LINK1"/>
            <w:r w:rsidRPr="00C11A77">
              <w:rPr>
                <w:rFonts w:hint="eastAsia"/>
                <w:sz w:val="17"/>
                <w:szCs w:val="17"/>
              </w:rPr>
              <w:t>證券化類別風險承擔</w:t>
            </w:r>
            <w:bookmarkEnd w:id="5"/>
            <w:r w:rsidR="002822D2" w:rsidRPr="00C11A77">
              <w:rPr>
                <w:rFonts w:hint="eastAsia"/>
                <w:sz w:val="17"/>
                <w:szCs w:val="17"/>
              </w:rPr>
              <w:t>（</w:t>
            </w:r>
            <w:r w:rsidRPr="00C11A77">
              <w:rPr>
                <w:rFonts w:hint="eastAsia"/>
                <w:sz w:val="17"/>
                <w:szCs w:val="17"/>
              </w:rPr>
              <w:t>包括再證券化類別風險承擔</w:t>
            </w:r>
            <w:r w:rsidR="00083254" w:rsidRPr="00C11A77">
              <w:rPr>
                <w:rFonts w:hint="eastAsia"/>
                <w:sz w:val="17"/>
                <w:szCs w:val="17"/>
              </w:rPr>
              <w:t>）</w:t>
            </w:r>
            <w:r w:rsidRPr="00C11A77">
              <w:rPr>
                <w:rFonts w:hint="eastAsia"/>
                <w:sz w:val="17"/>
                <w:szCs w:val="17"/>
              </w:rPr>
              <w:t>引起並按照《資本規則》第</w:t>
            </w:r>
            <w:r w:rsidRPr="005A22C2">
              <w:rPr>
                <w:sz w:val="17"/>
                <w:szCs w:val="17"/>
              </w:rPr>
              <w:t>8</w:t>
            </w:r>
            <w:r w:rsidRPr="00C11A77">
              <w:rPr>
                <w:rFonts w:hint="eastAsia"/>
                <w:sz w:val="17"/>
                <w:szCs w:val="17"/>
              </w:rPr>
              <w:t>部第</w:t>
            </w:r>
            <w:r w:rsidRPr="005A22C2">
              <w:rPr>
                <w:sz w:val="17"/>
                <w:szCs w:val="17"/>
              </w:rPr>
              <w:t>3</w:t>
            </w:r>
            <w:r w:rsidRPr="00C11A77">
              <w:rPr>
                <w:rFonts w:hint="eastAsia"/>
                <w:sz w:val="17"/>
                <w:szCs w:val="17"/>
              </w:rPr>
              <w:t>分部計算的市場風險資本要求。</w:t>
            </w:r>
          </w:p>
        </w:tc>
      </w:tr>
      <w:tr w:rsidR="00D540EB" w:rsidRPr="00880D3B" w14:paraId="614999BE" w14:textId="77777777" w:rsidTr="00862754">
        <w:tc>
          <w:tcPr>
            <w:tcW w:w="567" w:type="dxa"/>
            <w:tcBorders>
              <w:top w:val="single" w:sz="4" w:space="0" w:color="auto"/>
              <w:left w:val="single" w:sz="4" w:space="0" w:color="auto"/>
              <w:bottom w:val="single" w:sz="4" w:space="0" w:color="auto"/>
              <w:right w:val="single" w:sz="4" w:space="0" w:color="auto"/>
            </w:tcBorders>
          </w:tcPr>
          <w:p w14:paraId="56010D5B" w14:textId="16F43CC8" w:rsidR="00D540EB" w:rsidRPr="005A22C2" w:rsidRDefault="004C3FCB" w:rsidP="00862754">
            <w:pPr>
              <w:keepLines/>
              <w:widowControl w:val="0"/>
              <w:tabs>
                <w:tab w:val="left" w:pos="150"/>
                <w:tab w:val="left" w:pos="397"/>
                <w:tab w:val="left" w:pos="794"/>
                <w:tab w:val="left" w:pos="1191"/>
              </w:tabs>
              <w:spacing w:before="40" w:after="40"/>
              <w:rPr>
                <w:rFonts w:eastAsia="新細明體" w:cs="Segoe UI"/>
                <w:sz w:val="17"/>
                <w:szCs w:val="17"/>
                <w:lang w:eastAsia="zh-TW"/>
              </w:rPr>
            </w:pPr>
            <w:r w:rsidRPr="00D26D5E">
              <w:rPr>
                <w:rFonts w:eastAsia="SimSun" w:cs="Segoe UI" w:hint="eastAsia"/>
                <w:sz w:val="17"/>
                <w:szCs w:val="17"/>
                <w:lang w:eastAsia="zh-CN"/>
              </w:rPr>
              <w:t>6</w:t>
            </w:r>
          </w:p>
        </w:tc>
        <w:tc>
          <w:tcPr>
            <w:tcW w:w="8647" w:type="dxa"/>
            <w:tcBorders>
              <w:top w:val="single" w:sz="4" w:space="0" w:color="auto"/>
              <w:left w:val="single" w:sz="4" w:space="0" w:color="auto"/>
              <w:bottom w:val="single" w:sz="4" w:space="0" w:color="auto"/>
              <w:right w:val="single" w:sz="4" w:space="0" w:color="auto"/>
            </w:tcBorders>
          </w:tcPr>
          <w:p w14:paraId="016A2CE9" w14:textId="55DC3F5D" w:rsidR="00D540EB" w:rsidRPr="002D2064" w:rsidRDefault="004C3FCB" w:rsidP="00862754">
            <w:pPr>
              <w:pStyle w:val="Default"/>
              <w:jc w:val="both"/>
              <w:rPr>
                <w:i/>
                <w:color w:val="auto"/>
                <w:sz w:val="17"/>
                <w:szCs w:val="17"/>
              </w:rPr>
            </w:pPr>
            <w:r w:rsidRPr="002D2064">
              <w:rPr>
                <w:rFonts w:hint="eastAsia"/>
                <w:i/>
                <w:color w:val="auto"/>
                <w:sz w:val="17"/>
                <w:szCs w:val="17"/>
              </w:rPr>
              <w:t>第</w:t>
            </w:r>
            <w:r w:rsidRPr="002D2064">
              <w:rPr>
                <w:i/>
                <w:color w:val="auto"/>
                <w:sz w:val="17"/>
                <w:szCs w:val="17"/>
              </w:rPr>
              <w:t>2a</w:t>
            </w:r>
            <w:r w:rsidRPr="002D2064">
              <w:rPr>
                <w:rFonts w:hint="eastAsia"/>
                <w:i/>
                <w:color w:val="auto"/>
                <w:sz w:val="17"/>
                <w:szCs w:val="17"/>
              </w:rPr>
              <w:t>組加密資產風險承擔：</w:t>
            </w:r>
            <w:r w:rsidR="002D2064" w:rsidRPr="00C11A77">
              <w:rPr>
                <w:rFonts w:hint="eastAsia"/>
                <w:sz w:val="17"/>
                <w:szCs w:val="17"/>
              </w:rPr>
              <w:t>應在本行披露</w:t>
            </w:r>
            <w:r w:rsidR="008F0927" w:rsidRPr="00C11A77">
              <w:rPr>
                <w:rFonts w:hint="eastAsia"/>
                <w:sz w:val="17"/>
                <w:szCs w:val="17"/>
              </w:rPr>
              <w:t>因</w:t>
            </w:r>
            <w:r w:rsidR="008F0927" w:rsidRPr="002D2064">
              <w:rPr>
                <w:rFonts w:hint="eastAsia"/>
                <w:color w:val="auto"/>
                <w:sz w:val="17"/>
                <w:szCs w:val="17"/>
              </w:rPr>
              <w:t>第</w:t>
            </w:r>
            <w:r w:rsidR="008F0927" w:rsidRPr="002D2064">
              <w:rPr>
                <w:rFonts w:hint="eastAsia"/>
                <w:color w:val="auto"/>
                <w:sz w:val="17"/>
                <w:szCs w:val="17"/>
              </w:rPr>
              <w:t>2a</w:t>
            </w:r>
            <w:r w:rsidR="008F0927" w:rsidRPr="002D2064">
              <w:rPr>
                <w:rFonts w:hint="eastAsia"/>
                <w:color w:val="auto"/>
                <w:sz w:val="17"/>
                <w:szCs w:val="17"/>
              </w:rPr>
              <w:t>組加密資產風險承擔</w:t>
            </w:r>
            <w:r w:rsidR="001811E9" w:rsidRPr="00D26D5E">
              <w:rPr>
                <w:rFonts w:hint="eastAsia"/>
                <w:color w:val="auto"/>
                <w:sz w:val="17"/>
                <w:szCs w:val="17"/>
              </w:rPr>
              <w:t>產生</w:t>
            </w:r>
            <w:r w:rsidR="001811E9" w:rsidRPr="00D26D5E">
              <w:rPr>
                <w:rFonts w:hint="eastAsia"/>
                <w:color w:val="auto"/>
                <w:sz w:val="17"/>
                <w:szCs w:val="17"/>
                <w:lang w:eastAsia="zh-HK"/>
              </w:rPr>
              <w:t>的</w:t>
            </w:r>
            <w:r w:rsidR="001811E9" w:rsidRPr="00D26D5E">
              <w:rPr>
                <w:rFonts w:hint="eastAsia"/>
                <w:color w:val="auto"/>
                <w:sz w:val="17"/>
                <w:szCs w:val="17"/>
              </w:rPr>
              <w:t>、</w:t>
            </w:r>
            <w:r w:rsidR="00B06B31" w:rsidRPr="001811E9">
              <w:rPr>
                <w:rFonts w:hint="eastAsia"/>
                <w:color w:val="auto"/>
                <w:sz w:val="17"/>
                <w:szCs w:val="17"/>
              </w:rPr>
              <w:t>並按照</w:t>
            </w:r>
            <w:r w:rsidR="00880D3B" w:rsidRPr="00C11A77">
              <w:rPr>
                <w:rFonts w:hint="eastAsia"/>
                <w:sz w:val="17"/>
                <w:szCs w:val="17"/>
              </w:rPr>
              <w:t>《資本規則》</w:t>
            </w:r>
            <w:r w:rsidR="008F0927" w:rsidRPr="00C11A77">
              <w:rPr>
                <w:rFonts w:hint="eastAsia"/>
                <w:sz w:val="17"/>
                <w:szCs w:val="17"/>
              </w:rPr>
              <w:t>第</w:t>
            </w:r>
            <w:r w:rsidR="008F0927">
              <w:rPr>
                <w:rFonts w:hint="eastAsia"/>
                <w:sz w:val="17"/>
                <w:szCs w:val="17"/>
              </w:rPr>
              <w:t>12</w:t>
            </w:r>
            <w:r w:rsidR="008F0927" w:rsidRPr="00C11A77">
              <w:rPr>
                <w:rFonts w:hint="eastAsia"/>
                <w:sz w:val="17"/>
                <w:szCs w:val="17"/>
              </w:rPr>
              <w:t>部第</w:t>
            </w:r>
            <w:r w:rsidR="008F0927">
              <w:rPr>
                <w:rFonts w:hint="eastAsia"/>
                <w:sz w:val="17"/>
                <w:szCs w:val="17"/>
              </w:rPr>
              <w:t>6</w:t>
            </w:r>
            <w:r w:rsidR="008F0927" w:rsidRPr="00C11A77">
              <w:rPr>
                <w:rFonts w:hint="eastAsia"/>
                <w:sz w:val="17"/>
                <w:szCs w:val="17"/>
              </w:rPr>
              <w:t>分部</w:t>
            </w:r>
            <w:r w:rsidR="002D2064" w:rsidRPr="00C11A77">
              <w:rPr>
                <w:rFonts w:hint="eastAsia"/>
                <w:sz w:val="17"/>
                <w:szCs w:val="17"/>
              </w:rPr>
              <w:t>計算的市場風險資本要求</w:t>
            </w:r>
            <w:r w:rsidR="008F0927" w:rsidRPr="00C11A77">
              <w:rPr>
                <w:rFonts w:hint="eastAsia"/>
                <w:sz w:val="17"/>
                <w:szCs w:val="17"/>
              </w:rPr>
              <w:t>。</w:t>
            </w:r>
          </w:p>
        </w:tc>
      </w:tr>
    </w:tbl>
    <w:p w14:paraId="740825FB" w14:textId="22B0BA73" w:rsidR="00C11A77" w:rsidRDefault="00C11A77" w:rsidP="00D1245E">
      <w:pPr>
        <w:spacing w:before="120" w:after="120"/>
        <w:rPr>
          <w:rFonts w:eastAsiaTheme="minorEastAsia" w:cs="Segoe UI"/>
          <w:color w:val="AA322F"/>
          <w:sz w:val="28"/>
          <w:lang w:eastAsia="zh-TW"/>
        </w:rPr>
        <w:sectPr w:rsidR="00C11A77">
          <w:footerReference w:type="default" r:id="rId104"/>
          <w:pgSz w:w="11906" w:h="16838"/>
          <w:pgMar w:top="1440" w:right="1800" w:bottom="1440" w:left="1800" w:header="851" w:footer="992" w:gutter="0"/>
          <w:cols w:space="425"/>
          <w:docGrid w:type="lines" w:linePitch="360"/>
        </w:sectPr>
      </w:pPr>
    </w:p>
    <w:p w14:paraId="287BFC5A" w14:textId="2FE33A54" w:rsidR="004D668F" w:rsidRPr="00CA7301" w:rsidRDefault="004D668F" w:rsidP="001D6590">
      <w:pPr>
        <w:keepNext/>
        <w:keepLines/>
        <w:tabs>
          <w:tab w:val="left" w:pos="426"/>
        </w:tabs>
        <w:spacing w:after="360"/>
        <w:ind w:leftChars="-283" w:left="-566" w:firstLine="140"/>
        <w:outlineLvl w:val="0"/>
        <w:rPr>
          <w:rFonts w:cs="Segoe UI"/>
          <w:color w:val="AA322F"/>
          <w:sz w:val="28"/>
          <w:lang w:eastAsia="zh-TW"/>
        </w:rPr>
      </w:pPr>
      <w:r w:rsidRPr="00CA7301">
        <w:rPr>
          <w:rFonts w:eastAsiaTheme="minorEastAsia" w:cs="Segoe UI"/>
          <w:color w:val="AA322F"/>
          <w:sz w:val="28"/>
          <w:lang w:eastAsia="zh-TW"/>
        </w:rPr>
        <w:t>第</w:t>
      </w:r>
      <w:r w:rsidRPr="00CA7301">
        <w:rPr>
          <w:rFonts w:cs="Segoe UI"/>
          <w:color w:val="AA322F"/>
          <w:sz w:val="28"/>
          <w:lang w:eastAsia="zh-TW"/>
        </w:rPr>
        <w:t>VII</w:t>
      </w:r>
      <w:r w:rsidRPr="00CA7301">
        <w:rPr>
          <w:rFonts w:eastAsiaTheme="minorEastAsia" w:cs="Segoe UI"/>
          <w:color w:val="AA322F"/>
          <w:sz w:val="28"/>
          <w:lang w:eastAsia="zh-TW"/>
        </w:rPr>
        <w:t>部：銀行帳內的利率風險</w:t>
      </w:r>
    </w:p>
    <w:p w14:paraId="01C6B816" w14:textId="02962374" w:rsidR="00216206" w:rsidRPr="00216206" w:rsidRDefault="00216206" w:rsidP="00216206">
      <w:pPr>
        <w:pStyle w:val="Heading2"/>
        <w:keepNext w:val="0"/>
        <w:suppressAutoHyphens w:val="0"/>
        <w:spacing w:before="40" w:line="240" w:lineRule="auto"/>
        <w:ind w:left="-454"/>
        <w:rPr>
          <w:rFonts w:asciiTheme="majorEastAsia" w:eastAsiaTheme="majorEastAsia" w:hAnsiTheme="majorEastAsia"/>
          <w:b w:val="0"/>
          <w:bCs w:val="0"/>
          <w:sz w:val="22"/>
          <w:szCs w:val="20"/>
          <w:lang w:eastAsia="zh-TW"/>
        </w:rPr>
      </w:pPr>
      <w:r w:rsidRPr="00216206">
        <w:rPr>
          <w:rFonts w:asciiTheme="majorEastAsia" w:eastAsiaTheme="majorEastAsia" w:hAnsiTheme="majorEastAsia" w:cs="微軟正黑體" w:hint="eastAsia"/>
          <w:b w:val="0"/>
          <w:bCs w:val="0"/>
          <w:sz w:val="22"/>
          <w:szCs w:val="20"/>
          <w:lang w:eastAsia="zh-TW"/>
        </w:rPr>
        <w:t>表</w:t>
      </w:r>
      <w:r w:rsidRPr="00216206">
        <w:rPr>
          <w:rFonts w:ascii="Segoe UI" w:eastAsiaTheme="majorEastAsia" w:hAnsi="Segoe UI" w:cs="Segoe UI"/>
          <w:b w:val="0"/>
          <w:bCs w:val="0"/>
          <w:sz w:val="22"/>
          <w:szCs w:val="20"/>
          <w:lang w:eastAsia="zh-TW"/>
        </w:rPr>
        <w:t>IRRBBA</w:t>
      </w:r>
      <w:r w:rsidRPr="00216206">
        <w:rPr>
          <w:rFonts w:asciiTheme="majorEastAsia" w:eastAsiaTheme="majorEastAsia" w:hAnsiTheme="majorEastAsia" w:cs="微軟正黑體" w:hint="eastAsia"/>
          <w:b w:val="0"/>
          <w:bCs w:val="0"/>
          <w:sz w:val="22"/>
          <w:szCs w:val="20"/>
          <w:lang w:eastAsia="zh-TW"/>
        </w:rPr>
        <w:t>：銀行帳內的利率風險</w:t>
      </w:r>
      <w:proofErr w:type="gramStart"/>
      <w:r w:rsidRPr="00216206">
        <w:rPr>
          <w:rFonts w:asciiTheme="majorEastAsia" w:eastAsiaTheme="majorEastAsia" w:hAnsiTheme="majorEastAsia" w:cs="微軟正黑體" w:hint="eastAsia"/>
          <w:b w:val="0"/>
          <w:bCs w:val="0"/>
          <w:sz w:val="22"/>
          <w:szCs w:val="20"/>
          <w:lang w:eastAsia="zh-TW"/>
        </w:rPr>
        <w:t>──</w:t>
      </w:r>
      <w:proofErr w:type="gramEnd"/>
      <w:r w:rsidRPr="00216206">
        <w:rPr>
          <w:rFonts w:asciiTheme="majorEastAsia" w:eastAsiaTheme="majorEastAsia" w:hAnsiTheme="majorEastAsia" w:cs="微軟正黑體" w:hint="eastAsia"/>
          <w:b w:val="0"/>
          <w:bCs w:val="0"/>
          <w:sz w:val="22"/>
          <w:szCs w:val="20"/>
          <w:lang w:eastAsia="zh-TW"/>
        </w:rPr>
        <w:t>風險管理目標及政策</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A9457B" w14:paraId="2B5FA4B7" w14:textId="77777777" w:rsidTr="001D6590">
        <w:tc>
          <w:tcPr>
            <w:tcW w:w="2160" w:type="dxa"/>
            <w:tcBorders>
              <w:top w:val="single" w:sz="4" w:space="0" w:color="auto"/>
              <w:left w:val="nil"/>
              <w:bottom w:val="single" w:sz="4" w:space="0" w:color="auto"/>
              <w:right w:val="single" w:sz="4" w:space="0" w:color="auto"/>
            </w:tcBorders>
            <w:hideMark/>
          </w:tcPr>
          <w:p w14:paraId="039D22CF" w14:textId="77777777" w:rsidR="00A9457B" w:rsidRDefault="00A9457B">
            <w:pPr>
              <w:spacing w:before="40" w:after="40"/>
              <w:rPr>
                <w:rFonts w:cs="Segoe UI"/>
                <w:noProof/>
                <w:kern w:val="2"/>
                <w:sz w:val="17"/>
                <w:lang w:eastAsia="en-GB"/>
              </w:rPr>
            </w:pPr>
            <w:r>
              <w:rPr>
                <w:rFonts w:eastAsiaTheme="minorEastAsia" w:cs="Segoe UI" w:hint="eastAsia"/>
                <w:b/>
                <w:kern w:val="2"/>
                <w:sz w:val="17"/>
                <w:lang w:eastAsia="zh-TW"/>
              </w:rPr>
              <w:t>目的：</w:t>
            </w:r>
          </w:p>
        </w:tc>
        <w:tc>
          <w:tcPr>
            <w:tcW w:w="7088" w:type="dxa"/>
            <w:tcBorders>
              <w:top w:val="single" w:sz="4" w:space="0" w:color="auto"/>
              <w:left w:val="single" w:sz="4" w:space="0" w:color="auto"/>
              <w:bottom w:val="single" w:sz="4" w:space="0" w:color="auto"/>
              <w:right w:val="nil"/>
            </w:tcBorders>
            <w:hideMark/>
          </w:tcPr>
          <w:p w14:paraId="3E4D0257" w14:textId="77777777" w:rsidR="00A9457B" w:rsidRDefault="00A9457B">
            <w:pPr>
              <w:spacing w:before="40" w:after="40"/>
              <w:jc w:val="both"/>
              <w:rPr>
                <w:rFonts w:cs="Segoe UI"/>
                <w:kern w:val="2"/>
                <w:sz w:val="17"/>
                <w:szCs w:val="17"/>
                <w:lang w:eastAsia="zh-TW"/>
              </w:rPr>
            </w:pPr>
            <w:r>
              <w:rPr>
                <w:rFonts w:eastAsiaTheme="minorEastAsia" w:cs="Segoe UI" w:hint="eastAsia"/>
                <w:kern w:val="2"/>
                <w:sz w:val="17"/>
                <w:lang w:eastAsia="zh-TW"/>
              </w:rPr>
              <w:t>提供有關銀行帳內的利率風險</w:t>
            </w:r>
            <w:r>
              <w:rPr>
                <w:rFonts w:eastAsiaTheme="minorEastAsia" w:cs="Segoe UI"/>
                <w:kern w:val="2"/>
                <w:sz w:val="17"/>
                <w:lang w:eastAsia="zh-TW"/>
              </w:rPr>
              <w:t>(IRRBB)</w:t>
            </w:r>
            <w:r>
              <w:rPr>
                <w:rFonts w:eastAsiaTheme="minorEastAsia" w:cs="Segoe UI" w:hint="eastAsia"/>
                <w:kern w:val="2"/>
                <w:sz w:val="17"/>
                <w:lang w:eastAsia="zh-TW"/>
              </w:rPr>
              <w:t>的風險管理目標及政策的描述。</w:t>
            </w:r>
          </w:p>
        </w:tc>
      </w:tr>
      <w:tr w:rsidR="00A9457B" w14:paraId="3EECC27F" w14:textId="77777777" w:rsidTr="001D6590">
        <w:tc>
          <w:tcPr>
            <w:tcW w:w="2160" w:type="dxa"/>
            <w:tcBorders>
              <w:top w:val="single" w:sz="4" w:space="0" w:color="auto"/>
              <w:left w:val="nil"/>
              <w:bottom w:val="single" w:sz="4" w:space="0" w:color="auto"/>
              <w:right w:val="single" w:sz="4" w:space="0" w:color="auto"/>
            </w:tcBorders>
            <w:hideMark/>
          </w:tcPr>
          <w:p w14:paraId="0F3EC38B" w14:textId="77777777" w:rsidR="00A9457B" w:rsidRDefault="00A9457B">
            <w:pPr>
              <w:spacing w:before="40" w:after="40"/>
              <w:rPr>
                <w:rFonts w:cs="Segoe UI"/>
                <w:b/>
                <w:kern w:val="2"/>
                <w:sz w:val="17"/>
                <w:lang w:eastAsia="en-GB"/>
              </w:rPr>
            </w:pPr>
            <w:r>
              <w:rPr>
                <w:rFonts w:eastAsiaTheme="minorEastAsia" w:cs="Segoe UI" w:hint="eastAsia"/>
                <w:b/>
                <w:kern w:val="2"/>
                <w:sz w:val="17"/>
                <w:lang w:eastAsia="zh-TW"/>
              </w:rPr>
              <w:t>適用範圍：</w:t>
            </w:r>
          </w:p>
        </w:tc>
        <w:tc>
          <w:tcPr>
            <w:tcW w:w="7088" w:type="dxa"/>
            <w:tcBorders>
              <w:top w:val="single" w:sz="4" w:space="0" w:color="auto"/>
              <w:left w:val="single" w:sz="4" w:space="0" w:color="auto"/>
              <w:bottom w:val="single" w:sz="4" w:space="0" w:color="auto"/>
              <w:right w:val="nil"/>
            </w:tcBorders>
            <w:hideMark/>
          </w:tcPr>
          <w:p w14:paraId="75E074C6" w14:textId="77777777" w:rsidR="00A9457B" w:rsidRDefault="00A9457B">
            <w:pPr>
              <w:spacing w:before="40" w:after="40"/>
              <w:jc w:val="both"/>
              <w:rPr>
                <w:rFonts w:cs="Segoe UI"/>
                <w:b/>
                <w:kern w:val="2"/>
                <w:sz w:val="17"/>
                <w:lang w:eastAsia="zh-TW"/>
              </w:rPr>
            </w:pPr>
            <w:r>
              <w:rPr>
                <w:rFonts w:eastAsiaTheme="minorEastAsia" w:cs="Segoe UI" w:hint="eastAsia"/>
                <w:kern w:val="2"/>
                <w:sz w:val="17"/>
                <w:lang w:eastAsia="zh-TW"/>
              </w:rPr>
              <w:t>所有在香港成立</w:t>
            </w:r>
            <w:proofErr w:type="gramStart"/>
            <w:r>
              <w:rPr>
                <w:rFonts w:eastAsiaTheme="minorEastAsia" w:cs="Segoe UI" w:hint="eastAsia"/>
                <w:kern w:val="2"/>
                <w:sz w:val="17"/>
                <w:lang w:eastAsia="zh-TW"/>
              </w:rPr>
              <w:t>為法團的</w:t>
            </w:r>
            <w:proofErr w:type="gramEnd"/>
            <w:r>
              <w:rPr>
                <w:rFonts w:eastAsiaTheme="minorEastAsia" w:cs="Segoe UI" w:hint="eastAsia"/>
                <w:kern w:val="2"/>
                <w:sz w:val="17"/>
                <w:lang w:eastAsia="zh-TW"/>
              </w:rPr>
              <w:t>認可</w:t>
            </w:r>
            <w:proofErr w:type="gramStart"/>
            <w:r>
              <w:rPr>
                <w:rFonts w:eastAsiaTheme="minorEastAsia" w:cs="Segoe UI" w:hint="eastAsia"/>
                <w:kern w:val="2"/>
                <w:sz w:val="17"/>
                <w:lang w:eastAsia="zh-TW"/>
              </w:rPr>
              <w:t>機構均須填報</w:t>
            </w:r>
            <w:proofErr w:type="gramEnd"/>
            <w:r>
              <w:rPr>
                <w:rFonts w:eastAsiaTheme="minorEastAsia" w:cs="Segoe UI" w:hint="eastAsia"/>
                <w:kern w:val="2"/>
                <w:sz w:val="17"/>
                <w:lang w:eastAsia="zh-TW"/>
              </w:rPr>
              <w:t>本表。本表應用作填報認可機構在</w:t>
            </w:r>
            <w:r>
              <w:rPr>
                <w:rFonts w:eastAsiaTheme="minorEastAsia" w:cs="Segoe UI"/>
                <w:kern w:val="2"/>
                <w:sz w:val="17"/>
                <w:lang w:eastAsia="zh-TW"/>
              </w:rPr>
              <w:t>2019</w:t>
            </w:r>
            <w:r>
              <w:rPr>
                <w:rFonts w:eastAsiaTheme="minorEastAsia" w:cs="Segoe UI" w:hint="eastAsia"/>
                <w:kern w:val="2"/>
                <w:sz w:val="17"/>
                <w:lang w:eastAsia="zh-TW"/>
              </w:rPr>
              <w:t>年</w:t>
            </w:r>
            <w:r>
              <w:rPr>
                <w:rFonts w:eastAsiaTheme="minorEastAsia" w:cs="Segoe UI"/>
                <w:kern w:val="2"/>
                <w:sz w:val="17"/>
                <w:lang w:eastAsia="zh-TW"/>
              </w:rPr>
              <w:t>6</w:t>
            </w:r>
            <w:r>
              <w:rPr>
                <w:rFonts w:eastAsiaTheme="minorEastAsia" w:cs="Segoe UI" w:hint="eastAsia"/>
                <w:kern w:val="2"/>
                <w:sz w:val="17"/>
                <w:lang w:eastAsia="zh-TW"/>
              </w:rPr>
              <w:t>月</w:t>
            </w:r>
            <w:r>
              <w:rPr>
                <w:rFonts w:eastAsiaTheme="minorEastAsia" w:cs="Segoe UI"/>
                <w:kern w:val="2"/>
                <w:sz w:val="17"/>
                <w:lang w:eastAsia="zh-TW"/>
              </w:rPr>
              <w:t>30</w:t>
            </w:r>
            <w:r>
              <w:rPr>
                <w:rFonts w:eastAsiaTheme="minorEastAsia" w:cs="Segoe UI" w:hint="eastAsia"/>
                <w:kern w:val="2"/>
                <w:sz w:val="17"/>
                <w:lang w:eastAsia="zh-TW"/>
              </w:rPr>
              <w:t>日或之後結束的財政年度的利率風險承擔。</w:t>
            </w:r>
          </w:p>
        </w:tc>
      </w:tr>
      <w:tr w:rsidR="00A9457B" w14:paraId="4D734140" w14:textId="77777777" w:rsidTr="001D6590">
        <w:tc>
          <w:tcPr>
            <w:tcW w:w="2160" w:type="dxa"/>
            <w:tcBorders>
              <w:top w:val="single" w:sz="4" w:space="0" w:color="auto"/>
              <w:left w:val="nil"/>
              <w:bottom w:val="single" w:sz="4" w:space="0" w:color="auto"/>
              <w:right w:val="single" w:sz="4" w:space="0" w:color="auto"/>
            </w:tcBorders>
            <w:hideMark/>
          </w:tcPr>
          <w:p w14:paraId="1BEE51A3" w14:textId="77777777" w:rsidR="00A9457B" w:rsidRDefault="00A9457B">
            <w:pPr>
              <w:spacing w:before="40" w:after="40"/>
              <w:rPr>
                <w:rFonts w:cs="Segoe UI"/>
                <w:b/>
                <w:kern w:val="2"/>
                <w:sz w:val="17"/>
                <w:lang w:eastAsia="en-GB"/>
              </w:rPr>
            </w:pPr>
            <w:r>
              <w:rPr>
                <w:rFonts w:eastAsiaTheme="minorEastAsia" w:cs="Segoe UI" w:hint="eastAsia"/>
                <w:b/>
                <w:kern w:val="2"/>
                <w:sz w:val="17"/>
                <w:lang w:eastAsia="zh-TW"/>
              </w:rPr>
              <w:t>內容：</w:t>
            </w:r>
          </w:p>
        </w:tc>
        <w:tc>
          <w:tcPr>
            <w:tcW w:w="7088" w:type="dxa"/>
            <w:tcBorders>
              <w:top w:val="single" w:sz="4" w:space="0" w:color="auto"/>
              <w:left w:val="single" w:sz="4" w:space="0" w:color="auto"/>
              <w:bottom w:val="single" w:sz="4" w:space="0" w:color="auto"/>
              <w:right w:val="nil"/>
            </w:tcBorders>
            <w:hideMark/>
          </w:tcPr>
          <w:p w14:paraId="20BEA957" w14:textId="77777777" w:rsidR="00A9457B" w:rsidRDefault="00A9457B">
            <w:pPr>
              <w:spacing w:before="40" w:after="40"/>
              <w:jc w:val="both"/>
              <w:rPr>
                <w:rFonts w:cs="Segoe UI"/>
                <w:b/>
                <w:kern w:val="2"/>
                <w:sz w:val="17"/>
                <w:lang w:val="en-US" w:eastAsia="zh-TW"/>
              </w:rPr>
            </w:pPr>
            <w:r>
              <w:rPr>
                <w:rFonts w:eastAsiaTheme="minorEastAsia" w:cs="Segoe UI" w:hint="eastAsia"/>
                <w:kern w:val="2"/>
                <w:sz w:val="17"/>
                <w:lang w:eastAsia="zh-TW"/>
              </w:rPr>
              <w:t>描述資料及量化資料。後者應以有關年度的每日或每月平均數或以報告日期的數據為依據。</w:t>
            </w:r>
          </w:p>
        </w:tc>
      </w:tr>
      <w:tr w:rsidR="00A9457B" w14:paraId="3B5EA25D" w14:textId="77777777" w:rsidTr="001D6590">
        <w:tc>
          <w:tcPr>
            <w:tcW w:w="2160" w:type="dxa"/>
            <w:tcBorders>
              <w:top w:val="single" w:sz="4" w:space="0" w:color="auto"/>
              <w:left w:val="nil"/>
              <w:bottom w:val="single" w:sz="4" w:space="0" w:color="auto"/>
              <w:right w:val="single" w:sz="4" w:space="0" w:color="auto"/>
            </w:tcBorders>
            <w:hideMark/>
          </w:tcPr>
          <w:p w14:paraId="599B1B80" w14:textId="77777777" w:rsidR="00A9457B" w:rsidRDefault="00A9457B">
            <w:pPr>
              <w:spacing w:before="40" w:after="40"/>
              <w:rPr>
                <w:rFonts w:cs="Segoe UI"/>
                <w:kern w:val="2"/>
                <w:sz w:val="17"/>
                <w:lang w:eastAsia="en-GB"/>
              </w:rPr>
            </w:pPr>
            <w:r>
              <w:rPr>
                <w:rFonts w:eastAsiaTheme="minorEastAsia" w:cs="Segoe UI" w:hint="eastAsia"/>
                <w:b/>
                <w:kern w:val="2"/>
                <w:sz w:val="17"/>
                <w:lang w:eastAsia="zh-TW"/>
              </w:rPr>
              <w:t>頻密程度：</w:t>
            </w:r>
          </w:p>
        </w:tc>
        <w:tc>
          <w:tcPr>
            <w:tcW w:w="7088" w:type="dxa"/>
            <w:tcBorders>
              <w:top w:val="single" w:sz="4" w:space="0" w:color="auto"/>
              <w:left w:val="single" w:sz="4" w:space="0" w:color="auto"/>
              <w:bottom w:val="single" w:sz="4" w:space="0" w:color="auto"/>
              <w:right w:val="nil"/>
            </w:tcBorders>
            <w:hideMark/>
          </w:tcPr>
          <w:p w14:paraId="2E7AE2E1" w14:textId="77777777" w:rsidR="00A9457B" w:rsidRDefault="00A9457B">
            <w:pPr>
              <w:spacing w:before="40" w:after="40"/>
              <w:jc w:val="both"/>
              <w:rPr>
                <w:rFonts w:cs="Segoe UI"/>
                <w:kern w:val="2"/>
                <w:sz w:val="17"/>
                <w:lang w:eastAsia="en-GB"/>
              </w:rPr>
            </w:pPr>
            <w:r>
              <w:rPr>
                <w:rFonts w:eastAsiaTheme="minorEastAsia" w:cs="Segoe UI" w:hint="eastAsia"/>
                <w:kern w:val="2"/>
                <w:sz w:val="17"/>
                <w:lang w:eastAsia="zh-TW"/>
              </w:rPr>
              <w:t>每年一次。</w:t>
            </w:r>
          </w:p>
        </w:tc>
      </w:tr>
      <w:tr w:rsidR="00A9457B" w14:paraId="3A63AC8D" w14:textId="77777777" w:rsidTr="001D6590">
        <w:tc>
          <w:tcPr>
            <w:tcW w:w="2160" w:type="dxa"/>
            <w:tcBorders>
              <w:top w:val="single" w:sz="4" w:space="0" w:color="auto"/>
              <w:left w:val="nil"/>
              <w:bottom w:val="single" w:sz="4" w:space="0" w:color="auto"/>
              <w:right w:val="single" w:sz="4" w:space="0" w:color="auto"/>
            </w:tcBorders>
            <w:hideMark/>
          </w:tcPr>
          <w:p w14:paraId="38878E58" w14:textId="77777777" w:rsidR="00A9457B" w:rsidRDefault="00A9457B">
            <w:pPr>
              <w:spacing w:before="40" w:after="40"/>
              <w:rPr>
                <w:rFonts w:cs="Segoe UI"/>
                <w:kern w:val="2"/>
                <w:sz w:val="17"/>
                <w:lang w:eastAsia="en-GB"/>
              </w:rPr>
            </w:pPr>
            <w:r>
              <w:rPr>
                <w:rFonts w:eastAsiaTheme="minorEastAsia" w:cs="Segoe UI" w:hint="eastAsia"/>
                <w:b/>
                <w:kern w:val="2"/>
                <w:sz w:val="17"/>
                <w:lang w:eastAsia="zh-TW"/>
              </w:rPr>
              <w:t>格式：</w:t>
            </w:r>
          </w:p>
        </w:tc>
        <w:tc>
          <w:tcPr>
            <w:tcW w:w="7088" w:type="dxa"/>
            <w:tcBorders>
              <w:top w:val="single" w:sz="4" w:space="0" w:color="auto"/>
              <w:left w:val="single" w:sz="4" w:space="0" w:color="auto"/>
              <w:bottom w:val="single" w:sz="4" w:space="0" w:color="auto"/>
              <w:right w:val="nil"/>
            </w:tcBorders>
            <w:hideMark/>
          </w:tcPr>
          <w:p w14:paraId="436CA787" w14:textId="77777777" w:rsidR="00A9457B" w:rsidRDefault="00A9457B">
            <w:pPr>
              <w:spacing w:before="40" w:after="40"/>
              <w:jc w:val="both"/>
              <w:rPr>
                <w:rFonts w:cs="Segoe UI"/>
                <w:kern w:val="2"/>
                <w:sz w:val="17"/>
                <w:lang w:val="en-US" w:eastAsia="en-GB"/>
              </w:rPr>
            </w:pPr>
            <w:r>
              <w:rPr>
                <w:rFonts w:eastAsiaTheme="minorEastAsia" w:cs="Segoe UI" w:hint="eastAsia"/>
                <w:kern w:val="2"/>
                <w:sz w:val="17"/>
                <w:lang w:eastAsia="zh-TW"/>
              </w:rPr>
              <w:t>非固定。</w:t>
            </w:r>
          </w:p>
        </w:tc>
      </w:tr>
      <w:tr w:rsidR="00A9457B" w14:paraId="032B2360" w14:textId="77777777" w:rsidTr="001D6590">
        <w:tc>
          <w:tcPr>
            <w:tcW w:w="2160" w:type="dxa"/>
            <w:tcBorders>
              <w:top w:val="single" w:sz="4" w:space="0" w:color="auto"/>
              <w:left w:val="nil"/>
              <w:bottom w:val="single" w:sz="4" w:space="0" w:color="auto"/>
              <w:right w:val="single" w:sz="4" w:space="0" w:color="auto"/>
            </w:tcBorders>
            <w:hideMark/>
          </w:tcPr>
          <w:p w14:paraId="1CDF7424" w14:textId="77777777" w:rsidR="00A9457B" w:rsidRDefault="00A9457B">
            <w:pPr>
              <w:spacing w:before="40" w:after="40"/>
              <w:rPr>
                <w:rFonts w:cs="Segoe UI"/>
                <w:b/>
                <w:kern w:val="2"/>
                <w:sz w:val="17"/>
                <w:lang w:eastAsia="zh-TW"/>
              </w:rPr>
            </w:pPr>
            <w:r>
              <w:rPr>
                <w:rFonts w:eastAsiaTheme="minorEastAsia" w:cs="Segoe UI" w:hint="eastAsia"/>
                <w:b/>
                <w:kern w:val="2"/>
                <w:sz w:val="17"/>
                <w:lang w:eastAsia="zh-TW"/>
              </w:rPr>
              <w:t>《披露規則》相應條文：</w:t>
            </w:r>
          </w:p>
        </w:tc>
        <w:tc>
          <w:tcPr>
            <w:tcW w:w="7088" w:type="dxa"/>
            <w:tcBorders>
              <w:top w:val="single" w:sz="4" w:space="0" w:color="auto"/>
              <w:left w:val="single" w:sz="4" w:space="0" w:color="auto"/>
              <w:bottom w:val="single" w:sz="4" w:space="0" w:color="auto"/>
              <w:right w:val="nil"/>
            </w:tcBorders>
            <w:hideMark/>
          </w:tcPr>
          <w:tbl>
            <w:tblPr>
              <w:tblW w:w="0" w:type="auto"/>
              <w:tblLook w:val="04A0" w:firstRow="1" w:lastRow="0" w:firstColumn="1" w:lastColumn="0" w:noHBand="0" w:noVBand="1"/>
            </w:tblPr>
            <w:tblGrid>
              <w:gridCol w:w="682"/>
            </w:tblGrid>
            <w:tr w:rsidR="00A9457B" w14:paraId="5465B6B3" w14:textId="77777777">
              <w:trPr>
                <w:trHeight w:val="79"/>
              </w:trPr>
              <w:tc>
                <w:tcPr>
                  <w:tcW w:w="0" w:type="auto"/>
                  <w:tcBorders>
                    <w:top w:val="nil"/>
                    <w:left w:val="nil"/>
                    <w:bottom w:val="nil"/>
                    <w:right w:val="nil"/>
                  </w:tcBorders>
                  <w:hideMark/>
                </w:tcPr>
                <w:p w14:paraId="43775787" w14:textId="77777777" w:rsidR="00A9457B" w:rsidRDefault="00A9457B">
                  <w:pPr>
                    <w:spacing w:before="40" w:after="40"/>
                    <w:ind w:leftChars="-48" w:left="1" w:hangingChars="57" w:hanging="97"/>
                    <w:jc w:val="both"/>
                    <w:rPr>
                      <w:rFonts w:cs="Segoe UI"/>
                      <w:kern w:val="2"/>
                      <w:sz w:val="17"/>
                      <w:highlight w:val="yellow"/>
                      <w:lang w:val="en-US" w:eastAsia="en-GB"/>
                    </w:rPr>
                  </w:pPr>
                  <w:r>
                    <w:rPr>
                      <w:rFonts w:cs="Segoe UI"/>
                      <w:kern w:val="2"/>
                      <w:sz w:val="17"/>
                      <w:lang w:val="en-US" w:eastAsia="en-GB"/>
                    </w:rPr>
                    <w:t>16ZP</w:t>
                  </w:r>
                  <w:r w:rsidRPr="009C1B9D">
                    <w:rPr>
                      <w:rFonts w:cs="Segoe UI"/>
                      <w:kern w:val="2"/>
                      <w:sz w:val="17"/>
                      <w:lang w:val="en-US" w:eastAsia="en-GB"/>
                    </w:rPr>
                    <w:t xml:space="preserve"> </w:t>
                  </w:r>
                </w:p>
              </w:tc>
            </w:tr>
          </w:tbl>
          <w:p w14:paraId="5D1ED701" w14:textId="77777777" w:rsidR="00A9457B" w:rsidRDefault="00A9457B">
            <w:pPr>
              <w:spacing w:before="40" w:after="40"/>
              <w:jc w:val="both"/>
              <w:rPr>
                <w:rFonts w:cs="Segoe UI"/>
                <w:kern w:val="2"/>
                <w:sz w:val="17"/>
                <w:lang w:eastAsia="en-GB"/>
              </w:rPr>
            </w:pPr>
          </w:p>
        </w:tc>
      </w:tr>
    </w:tbl>
    <w:p w14:paraId="28F8BD78" w14:textId="77777777" w:rsidR="004D668F" w:rsidRDefault="004D668F">
      <w:pPr>
        <w:rPr>
          <w:rFonts w:eastAsiaTheme="minorEastAsia" w:cs="Segoe UI"/>
          <w:lang w:eastAsia="zh-TW"/>
        </w:rPr>
      </w:pPr>
    </w:p>
    <w:tbl>
      <w:tblPr>
        <w:tblW w:w="9307" w:type="dxa"/>
        <w:jc w:val="center"/>
        <w:tblCellMar>
          <w:left w:w="70" w:type="dxa"/>
          <w:right w:w="70" w:type="dxa"/>
        </w:tblCellMar>
        <w:tblLook w:val="00A0" w:firstRow="1" w:lastRow="0" w:firstColumn="1" w:lastColumn="0" w:noHBand="0" w:noVBand="0"/>
      </w:tblPr>
      <w:tblGrid>
        <w:gridCol w:w="469"/>
        <w:gridCol w:w="8838"/>
      </w:tblGrid>
      <w:tr w:rsidR="00A9457B" w14:paraId="569FA0B8" w14:textId="77777777" w:rsidTr="00A9457B">
        <w:trPr>
          <w:trHeight w:val="448"/>
          <w:jc w:val="center"/>
        </w:trPr>
        <w:tc>
          <w:tcPr>
            <w:tcW w:w="9307" w:type="dxa"/>
            <w:gridSpan w:val="2"/>
            <w:tcBorders>
              <w:top w:val="single" w:sz="4" w:space="0" w:color="auto"/>
              <w:left w:val="nil"/>
              <w:bottom w:val="single" w:sz="4" w:space="0" w:color="auto"/>
              <w:right w:val="nil"/>
            </w:tcBorders>
            <w:vAlign w:val="center"/>
            <w:hideMark/>
          </w:tcPr>
          <w:p w14:paraId="698962C9"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認可機構應描述以下</w:t>
            </w:r>
            <w:r>
              <w:rPr>
                <w:rFonts w:eastAsiaTheme="minorEastAsia" w:cs="Segoe UI"/>
                <w:kern w:val="2"/>
                <w:sz w:val="17"/>
                <w:szCs w:val="17"/>
                <w:lang w:eastAsia="zh-TW"/>
              </w:rPr>
              <w:t>IRRBB</w:t>
            </w:r>
            <w:r>
              <w:rPr>
                <w:rFonts w:eastAsiaTheme="minorEastAsia" w:cs="Segoe UI" w:hint="eastAsia"/>
                <w:kern w:val="2"/>
                <w:sz w:val="17"/>
                <w:szCs w:val="17"/>
                <w:lang w:eastAsia="zh-TW"/>
              </w:rPr>
              <w:t>風險管理的各項元素（如適用）：</w:t>
            </w:r>
          </w:p>
        </w:tc>
      </w:tr>
      <w:tr w:rsidR="00A9457B" w14:paraId="3791CD62" w14:textId="77777777" w:rsidTr="00A9457B">
        <w:trPr>
          <w:trHeight w:val="355"/>
          <w:jc w:val="center"/>
        </w:trPr>
        <w:tc>
          <w:tcPr>
            <w:tcW w:w="9307"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44E59BAB" w14:textId="77777777" w:rsidR="00A9457B" w:rsidRDefault="00A9457B">
            <w:pPr>
              <w:pStyle w:val="Default"/>
              <w:jc w:val="both"/>
              <w:rPr>
                <w:kern w:val="2"/>
                <w:sz w:val="17"/>
                <w:szCs w:val="17"/>
              </w:rPr>
            </w:pPr>
            <w:r>
              <w:rPr>
                <w:rFonts w:hint="eastAsia"/>
                <w:kern w:val="2"/>
                <w:sz w:val="17"/>
                <w:szCs w:val="17"/>
              </w:rPr>
              <w:t>描述披露</w:t>
            </w:r>
          </w:p>
        </w:tc>
      </w:tr>
      <w:tr w:rsidR="00A9457B" w14:paraId="3E5ED45E"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6F80EF68" w14:textId="77777777" w:rsidR="00A9457B" w:rsidRDefault="00A9457B">
            <w:pPr>
              <w:widowControl w:val="0"/>
              <w:spacing w:before="40" w:after="40"/>
              <w:jc w:val="both"/>
              <w:rPr>
                <w:rFonts w:cs="Segoe UI"/>
                <w:kern w:val="2"/>
                <w:sz w:val="17"/>
                <w:szCs w:val="17"/>
              </w:rPr>
            </w:pPr>
            <w:r>
              <w:rPr>
                <w:rFonts w:cs="Segoe UI"/>
                <w:kern w:val="2"/>
                <w:sz w:val="17"/>
                <w:szCs w:val="17"/>
              </w:rPr>
              <w:t>(a)</w:t>
            </w:r>
          </w:p>
        </w:tc>
        <w:tc>
          <w:tcPr>
            <w:tcW w:w="8838" w:type="dxa"/>
            <w:tcBorders>
              <w:top w:val="single" w:sz="4" w:space="0" w:color="auto"/>
              <w:left w:val="nil"/>
              <w:bottom w:val="single" w:sz="4" w:space="0" w:color="auto"/>
              <w:right w:val="nil"/>
            </w:tcBorders>
            <w:noWrap/>
            <w:hideMark/>
          </w:tcPr>
          <w:p w14:paraId="406D5B92"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認可機構如何就風險監控及計量目的界定</w:t>
            </w:r>
            <w:r>
              <w:rPr>
                <w:rFonts w:eastAsiaTheme="minorEastAsia" w:cs="Segoe UI"/>
                <w:kern w:val="2"/>
                <w:sz w:val="17"/>
                <w:lang w:eastAsia="zh-TW"/>
              </w:rPr>
              <w:t>IRRBB</w:t>
            </w:r>
            <w:r>
              <w:rPr>
                <w:rFonts w:eastAsiaTheme="minorEastAsia" w:cs="Segoe UI" w:hint="eastAsia"/>
                <w:kern w:val="2"/>
                <w:sz w:val="17"/>
                <w:szCs w:val="17"/>
                <w:lang w:eastAsia="zh-TW"/>
              </w:rPr>
              <w:t>的描述。</w:t>
            </w:r>
          </w:p>
        </w:tc>
      </w:tr>
      <w:tr w:rsidR="00A9457B" w14:paraId="6D291C49"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5705FC4E" w14:textId="77777777" w:rsidR="00A9457B" w:rsidRDefault="00A9457B">
            <w:pPr>
              <w:widowControl w:val="0"/>
              <w:spacing w:before="40" w:after="40"/>
              <w:jc w:val="both"/>
              <w:rPr>
                <w:rFonts w:cs="Segoe UI"/>
                <w:kern w:val="2"/>
                <w:sz w:val="17"/>
                <w:szCs w:val="17"/>
              </w:rPr>
            </w:pPr>
            <w:r>
              <w:rPr>
                <w:rFonts w:cs="Segoe UI"/>
                <w:kern w:val="2"/>
                <w:sz w:val="17"/>
                <w:szCs w:val="17"/>
              </w:rPr>
              <w:t>(b)</w:t>
            </w:r>
          </w:p>
        </w:tc>
        <w:tc>
          <w:tcPr>
            <w:tcW w:w="8838" w:type="dxa"/>
            <w:tcBorders>
              <w:top w:val="single" w:sz="4" w:space="0" w:color="auto"/>
              <w:left w:val="nil"/>
              <w:bottom w:val="single" w:sz="4" w:space="0" w:color="auto"/>
              <w:right w:val="nil"/>
            </w:tcBorders>
            <w:noWrap/>
            <w:hideMark/>
          </w:tcPr>
          <w:p w14:paraId="1BAD143B" w14:textId="77777777" w:rsidR="00A9457B" w:rsidRDefault="00A9457B">
            <w:pPr>
              <w:widowControl w:val="0"/>
              <w:spacing w:before="40" w:after="40" w:line="240" w:lineRule="atLeast"/>
              <w:jc w:val="both"/>
              <w:rPr>
                <w:rFonts w:cs="Segoe UI"/>
                <w:kern w:val="2"/>
                <w:sz w:val="17"/>
                <w:szCs w:val="17"/>
                <w:lang w:eastAsia="zh-TW"/>
              </w:rPr>
            </w:pPr>
            <w:r>
              <w:rPr>
                <w:rFonts w:eastAsiaTheme="minorEastAsia" w:cs="Segoe UI" w:hint="eastAsia"/>
                <w:kern w:val="2"/>
                <w:sz w:val="17"/>
                <w:szCs w:val="17"/>
                <w:lang w:eastAsia="zh-TW"/>
              </w:rPr>
              <w:t>認可機構整體</w:t>
            </w:r>
            <w:r>
              <w:rPr>
                <w:rFonts w:eastAsiaTheme="minorEastAsia" w:cs="Segoe UI" w:hint="eastAsia"/>
                <w:kern w:val="2"/>
                <w:sz w:val="17"/>
                <w:lang w:eastAsia="zh-TW"/>
              </w:rPr>
              <w:t>的</w:t>
            </w:r>
            <w:r>
              <w:rPr>
                <w:rFonts w:eastAsiaTheme="minorEastAsia" w:cs="Segoe UI"/>
                <w:kern w:val="2"/>
                <w:sz w:val="17"/>
                <w:lang w:eastAsia="zh-TW"/>
              </w:rPr>
              <w:t>IRRBB</w:t>
            </w:r>
            <w:r>
              <w:rPr>
                <w:rFonts w:eastAsiaTheme="minorEastAsia" w:cs="Segoe UI" w:hint="eastAsia"/>
                <w:kern w:val="2"/>
                <w:sz w:val="17"/>
                <w:szCs w:val="17"/>
                <w:lang w:eastAsia="zh-TW"/>
              </w:rPr>
              <w:t>管理及緩減策略的描述。例如：</w:t>
            </w:r>
          </w:p>
          <w:p w14:paraId="59EDD161" w14:textId="77777777" w:rsidR="00A9457B" w:rsidRDefault="00A9457B" w:rsidP="00D540EB">
            <w:pPr>
              <w:pStyle w:val="TableText"/>
              <w:numPr>
                <w:ilvl w:val="0"/>
                <w:numId w:val="23"/>
              </w:numPr>
              <w:ind w:left="480" w:hanging="480"/>
              <w:jc w:val="both"/>
              <w:rPr>
                <w:rFonts w:cs="Segoe UI"/>
                <w:kern w:val="2"/>
                <w:szCs w:val="17"/>
                <w:lang w:eastAsia="zh-TW"/>
              </w:rPr>
            </w:pPr>
            <w:r>
              <w:rPr>
                <w:rFonts w:eastAsiaTheme="minorEastAsia" w:cs="Segoe UI" w:hint="eastAsia"/>
                <w:kern w:val="2"/>
                <w:szCs w:val="17"/>
                <w:lang w:eastAsia="zh-TW"/>
              </w:rPr>
              <w:t>參照既定限額監察股權的經濟價值</w:t>
            </w:r>
            <w:r>
              <w:rPr>
                <w:rFonts w:eastAsiaTheme="minorEastAsia" w:cs="Segoe UI"/>
                <w:kern w:val="2"/>
                <w:szCs w:val="17"/>
                <w:lang w:eastAsia="zh-TW"/>
              </w:rPr>
              <w:t>(EVE)</w:t>
            </w:r>
            <w:r>
              <w:rPr>
                <w:rFonts w:eastAsiaTheme="minorEastAsia" w:cs="Segoe UI" w:hint="eastAsia"/>
                <w:kern w:val="2"/>
                <w:szCs w:val="17"/>
                <w:lang w:eastAsia="zh-TW"/>
              </w:rPr>
              <w:t>及淨利息收入</w:t>
            </w:r>
            <w:r>
              <w:rPr>
                <w:rFonts w:eastAsiaTheme="minorEastAsia" w:cs="Segoe UI"/>
                <w:kern w:val="2"/>
                <w:szCs w:val="17"/>
                <w:lang w:eastAsia="zh-TW"/>
              </w:rPr>
              <w:t>(NII)</w:t>
            </w:r>
            <w:r>
              <w:rPr>
                <w:rFonts w:eastAsiaTheme="minorEastAsia" w:cs="Segoe UI" w:hint="eastAsia"/>
                <w:kern w:val="2"/>
                <w:szCs w:val="17"/>
                <w:lang w:eastAsia="zh-TW"/>
              </w:rPr>
              <w:t>；</w:t>
            </w:r>
          </w:p>
          <w:p w14:paraId="13866E0D" w14:textId="77777777" w:rsidR="00A9457B" w:rsidRDefault="00A9457B" w:rsidP="00D540EB">
            <w:pPr>
              <w:pStyle w:val="TableText"/>
              <w:numPr>
                <w:ilvl w:val="0"/>
                <w:numId w:val="23"/>
              </w:numPr>
              <w:ind w:left="480" w:hanging="480"/>
              <w:jc w:val="both"/>
              <w:rPr>
                <w:rFonts w:cs="Segoe UI"/>
                <w:kern w:val="2"/>
                <w:szCs w:val="17"/>
              </w:rPr>
            </w:pPr>
            <w:r>
              <w:rPr>
                <w:rFonts w:eastAsiaTheme="minorEastAsia" w:cs="Segoe UI" w:hint="eastAsia"/>
                <w:kern w:val="2"/>
                <w:szCs w:val="17"/>
                <w:lang w:eastAsia="zh-TW"/>
              </w:rPr>
              <w:t>對沖方法；</w:t>
            </w:r>
          </w:p>
          <w:p w14:paraId="2738AD35" w14:textId="77777777" w:rsidR="00A9457B" w:rsidRDefault="00A9457B" w:rsidP="00D540EB">
            <w:pPr>
              <w:pStyle w:val="TableText"/>
              <w:numPr>
                <w:ilvl w:val="0"/>
                <w:numId w:val="23"/>
              </w:numPr>
              <w:ind w:left="480" w:hanging="480"/>
              <w:jc w:val="both"/>
              <w:rPr>
                <w:rFonts w:cs="Segoe UI"/>
                <w:kern w:val="2"/>
                <w:szCs w:val="17"/>
              </w:rPr>
            </w:pPr>
            <w:r>
              <w:rPr>
                <w:rFonts w:eastAsiaTheme="minorEastAsia" w:cs="Segoe UI" w:hint="eastAsia"/>
                <w:kern w:val="2"/>
                <w:szCs w:val="17"/>
                <w:lang w:eastAsia="zh-TW"/>
              </w:rPr>
              <w:t>進行壓力測試；</w:t>
            </w:r>
            <w:r>
              <w:rPr>
                <w:rFonts w:eastAsiaTheme="minorEastAsia" w:cs="Segoe UI"/>
                <w:kern w:val="2"/>
                <w:szCs w:val="17"/>
                <w:lang w:eastAsia="zh-TW"/>
              </w:rPr>
              <w:softHyphen/>
            </w:r>
          </w:p>
          <w:p w14:paraId="4459A4D8" w14:textId="77777777" w:rsidR="00A9457B" w:rsidRDefault="00A9457B" w:rsidP="00D540EB">
            <w:pPr>
              <w:pStyle w:val="TableText"/>
              <w:numPr>
                <w:ilvl w:val="0"/>
                <w:numId w:val="23"/>
              </w:numPr>
              <w:ind w:left="480" w:hanging="480"/>
              <w:jc w:val="both"/>
              <w:rPr>
                <w:rFonts w:cs="Segoe UI"/>
                <w:kern w:val="2"/>
                <w:szCs w:val="17"/>
              </w:rPr>
            </w:pPr>
            <w:r>
              <w:rPr>
                <w:rFonts w:eastAsiaTheme="minorEastAsia" w:cs="Segoe UI" w:hint="eastAsia"/>
                <w:kern w:val="2"/>
                <w:szCs w:val="17"/>
                <w:lang w:eastAsia="zh-TW"/>
              </w:rPr>
              <w:t>結果分析；</w:t>
            </w:r>
          </w:p>
          <w:p w14:paraId="3E15BD19" w14:textId="77777777" w:rsidR="00A9457B" w:rsidRDefault="00A9457B" w:rsidP="00D540EB">
            <w:pPr>
              <w:pStyle w:val="TableText"/>
              <w:numPr>
                <w:ilvl w:val="0"/>
                <w:numId w:val="23"/>
              </w:numPr>
              <w:ind w:left="480" w:hanging="480"/>
              <w:jc w:val="both"/>
              <w:rPr>
                <w:rFonts w:cs="Segoe UI"/>
                <w:kern w:val="2"/>
                <w:szCs w:val="17"/>
              </w:rPr>
            </w:pPr>
            <w:r>
              <w:rPr>
                <w:rFonts w:eastAsiaTheme="minorEastAsia" w:cs="Segoe UI" w:hint="eastAsia"/>
                <w:kern w:val="2"/>
                <w:szCs w:val="17"/>
                <w:lang w:eastAsia="zh-TW"/>
              </w:rPr>
              <w:t>獨立審計的角色；</w:t>
            </w:r>
          </w:p>
          <w:p w14:paraId="63043E9F" w14:textId="77777777" w:rsidR="00A9457B" w:rsidRDefault="00A9457B" w:rsidP="00D540EB">
            <w:pPr>
              <w:pStyle w:val="TableText"/>
              <w:numPr>
                <w:ilvl w:val="0"/>
                <w:numId w:val="23"/>
              </w:numPr>
              <w:ind w:left="480" w:hanging="480"/>
              <w:jc w:val="both"/>
              <w:rPr>
                <w:rFonts w:cs="Segoe UI"/>
                <w:kern w:val="2"/>
                <w:szCs w:val="17"/>
                <w:lang w:eastAsia="zh-TW"/>
              </w:rPr>
            </w:pPr>
            <w:r>
              <w:rPr>
                <w:rFonts w:eastAsiaTheme="minorEastAsia" w:cs="Segoe UI" w:hint="eastAsia"/>
                <w:kern w:val="2"/>
                <w:szCs w:val="17"/>
                <w:lang w:eastAsia="zh-TW"/>
              </w:rPr>
              <w:t>資產及負債委員會的角色及作業方法；</w:t>
            </w:r>
          </w:p>
          <w:p w14:paraId="34E35219" w14:textId="77777777" w:rsidR="00A9457B" w:rsidRDefault="00A9457B" w:rsidP="00D540EB">
            <w:pPr>
              <w:pStyle w:val="TableText"/>
              <w:numPr>
                <w:ilvl w:val="0"/>
                <w:numId w:val="23"/>
              </w:numPr>
              <w:ind w:left="480" w:hanging="480"/>
              <w:jc w:val="both"/>
              <w:rPr>
                <w:rFonts w:cs="Segoe UI"/>
                <w:kern w:val="2"/>
                <w:szCs w:val="17"/>
                <w:lang w:eastAsia="zh-TW"/>
              </w:rPr>
            </w:pPr>
            <w:r>
              <w:rPr>
                <w:rFonts w:eastAsiaTheme="minorEastAsia" w:cs="Segoe UI" w:hint="eastAsia"/>
                <w:kern w:val="2"/>
                <w:szCs w:val="17"/>
                <w:lang w:eastAsia="zh-TW"/>
              </w:rPr>
              <w:t>認可機構確保適當的模式確認的方法；以及</w:t>
            </w:r>
          </w:p>
          <w:p w14:paraId="0FD157FC" w14:textId="77777777" w:rsidR="00A9457B" w:rsidRDefault="00A9457B" w:rsidP="00D540EB">
            <w:pPr>
              <w:pStyle w:val="TableText"/>
              <w:numPr>
                <w:ilvl w:val="0"/>
                <w:numId w:val="23"/>
              </w:numPr>
              <w:ind w:left="480" w:hanging="480"/>
              <w:jc w:val="both"/>
              <w:rPr>
                <w:rFonts w:cs="Segoe UI"/>
                <w:kern w:val="2"/>
                <w:szCs w:val="17"/>
                <w:lang w:eastAsia="zh-TW"/>
              </w:rPr>
            </w:pPr>
            <w:r>
              <w:rPr>
                <w:rFonts w:eastAsiaTheme="minorEastAsia" w:cs="Segoe UI" w:hint="eastAsia"/>
                <w:kern w:val="2"/>
                <w:szCs w:val="17"/>
                <w:lang w:eastAsia="zh-TW"/>
              </w:rPr>
              <w:t>因應不斷轉變的市</w:t>
            </w:r>
            <w:proofErr w:type="gramStart"/>
            <w:r>
              <w:rPr>
                <w:rFonts w:eastAsiaTheme="minorEastAsia" w:cs="Segoe UI" w:hint="eastAsia"/>
                <w:kern w:val="2"/>
                <w:szCs w:val="17"/>
                <w:lang w:eastAsia="zh-TW"/>
              </w:rPr>
              <w:t>況</w:t>
            </w:r>
            <w:proofErr w:type="gramEnd"/>
            <w:r>
              <w:rPr>
                <w:rFonts w:eastAsiaTheme="minorEastAsia" w:cs="Segoe UI" w:hint="eastAsia"/>
                <w:kern w:val="2"/>
                <w:szCs w:val="17"/>
                <w:lang w:eastAsia="zh-TW"/>
              </w:rPr>
              <w:t>適時作出的更新。</w:t>
            </w:r>
          </w:p>
        </w:tc>
      </w:tr>
      <w:tr w:rsidR="00A9457B" w14:paraId="74DB115D"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5D2F1022" w14:textId="77777777" w:rsidR="00A9457B" w:rsidRDefault="00A9457B">
            <w:pPr>
              <w:widowControl w:val="0"/>
              <w:spacing w:before="40" w:after="40"/>
              <w:jc w:val="both"/>
              <w:rPr>
                <w:rFonts w:cs="Segoe UI"/>
                <w:kern w:val="2"/>
                <w:sz w:val="17"/>
                <w:szCs w:val="17"/>
              </w:rPr>
            </w:pPr>
            <w:r>
              <w:rPr>
                <w:rFonts w:cs="Segoe UI"/>
                <w:kern w:val="2"/>
                <w:sz w:val="17"/>
                <w:szCs w:val="17"/>
              </w:rPr>
              <w:t>(c)</w:t>
            </w:r>
          </w:p>
        </w:tc>
        <w:tc>
          <w:tcPr>
            <w:tcW w:w="8838" w:type="dxa"/>
            <w:tcBorders>
              <w:top w:val="single" w:sz="4" w:space="0" w:color="auto"/>
              <w:left w:val="nil"/>
              <w:bottom w:val="single" w:sz="4" w:space="0" w:color="auto"/>
              <w:right w:val="nil"/>
            </w:tcBorders>
            <w:noWrap/>
            <w:hideMark/>
          </w:tcPr>
          <w:p w14:paraId="718ACCAE"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認可機構的</w:t>
            </w:r>
            <w:r>
              <w:rPr>
                <w:rFonts w:eastAsiaTheme="minorEastAsia" w:cs="Segoe UI"/>
                <w:kern w:val="2"/>
                <w:sz w:val="17"/>
                <w:lang w:eastAsia="zh-TW"/>
              </w:rPr>
              <w:t>IRRBB</w:t>
            </w:r>
            <w:r>
              <w:rPr>
                <w:rFonts w:eastAsiaTheme="minorEastAsia" w:cs="Segoe UI" w:hint="eastAsia"/>
                <w:kern w:val="2"/>
                <w:sz w:val="17"/>
                <w:szCs w:val="17"/>
                <w:lang w:eastAsia="zh-TW"/>
              </w:rPr>
              <w:t>計量值的計算周期，以及認可機構用以評估其</w:t>
            </w:r>
            <w:r>
              <w:rPr>
                <w:rFonts w:eastAsiaTheme="minorEastAsia" w:cs="Segoe UI"/>
                <w:kern w:val="2"/>
                <w:sz w:val="17"/>
                <w:lang w:eastAsia="zh-TW"/>
              </w:rPr>
              <w:t>IRRBB</w:t>
            </w:r>
            <w:r>
              <w:rPr>
                <w:rFonts w:eastAsiaTheme="minorEastAsia" w:cs="Segoe UI" w:hint="eastAsia"/>
                <w:kern w:val="2"/>
                <w:sz w:val="17"/>
                <w:szCs w:val="17"/>
                <w:lang w:eastAsia="zh-TW"/>
              </w:rPr>
              <w:t>敏感度的特定方法的描述。</w:t>
            </w:r>
          </w:p>
        </w:tc>
      </w:tr>
      <w:tr w:rsidR="00A9457B" w14:paraId="19E40B04"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13361B31" w14:textId="77777777" w:rsidR="00A9457B" w:rsidRDefault="00A9457B">
            <w:pPr>
              <w:widowControl w:val="0"/>
              <w:spacing w:before="40" w:after="40"/>
              <w:jc w:val="both"/>
              <w:rPr>
                <w:rFonts w:cs="Segoe UI"/>
                <w:kern w:val="2"/>
                <w:sz w:val="17"/>
                <w:szCs w:val="17"/>
              </w:rPr>
            </w:pPr>
            <w:r>
              <w:rPr>
                <w:rFonts w:cs="Segoe UI"/>
                <w:kern w:val="2"/>
                <w:sz w:val="17"/>
                <w:szCs w:val="17"/>
              </w:rPr>
              <w:t>(d)</w:t>
            </w:r>
          </w:p>
        </w:tc>
        <w:tc>
          <w:tcPr>
            <w:tcW w:w="8838" w:type="dxa"/>
            <w:tcBorders>
              <w:top w:val="single" w:sz="4" w:space="0" w:color="auto"/>
              <w:left w:val="nil"/>
              <w:bottom w:val="single" w:sz="4" w:space="0" w:color="auto"/>
              <w:right w:val="nil"/>
            </w:tcBorders>
            <w:noWrap/>
            <w:hideMark/>
          </w:tcPr>
          <w:p w14:paraId="1DBDEAC3"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認可機構用以估計經濟價值及收入變動的利率</w:t>
            </w:r>
            <w:r>
              <w:rPr>
                <w:rFonts w:eastAsiaTheme="minorEastAsia" w:cs="Segoe UI" w:hint="eastAsia"/>
                <w:kern w:val="2"/>
                <w:sz w:val="17"/>
                <w:lang w:eastAsia="zh-TW"/>
              </w:rPr>
              <w:t>震盪</w:t>
            </w:r>
            <w:r>
              <w:rPr>
                <w:rFonts w:eastAsiaTheme="minorEastAsia" w:cs="Segoe UI" w:hint="eastAsia"/>
                <w:kern w:val="2"/>
                <w:sz w:val="17"/>
                <w:szCs w:val="17"/>
                <w:lang w:eastAsia="zh-TW"/>
              </w:rPr>
              <w:t>與壓力情</w:t>
            </w:r>
            <w:r>
              <w:rPr>
                <w:rFonts w:eastAsiaTheme="minorEastAsia" w:cs="Segoe UI" w:hint="eastAsia"/>
                <w:kern w:val="2"/>
                <w:sz w:val="17"/>
                <w:szCs w:val="17"/>
                <w:lang w:val="en-US" w:eastAsia="zh-TW"/>
              </w:rPr>
              <w:t>境</w:t>
            </w:r>
            <w:r>
              <w:rPr>
                <w:rFonts w:eastAsiaTheme="minorEastAsia" w:cs="Segoe UI" w:hint="eastAsia"/>
                <w:kern w:val="2"/>
                <w:sz w:val="17"/>
                <w:szCs w:val="17"/>
                <w:lang w:eastAsia="zh-TW"/>
              </w:rPr>
              <w:t>的描述。</w:t>
            </w:r>
          </w:p>
        </w:tc>
      </w:tr>
      <w:tr w:rsidR="00A9457B" w14:paraId="11BF28D8"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5C875990" w14:textId="77777777" w:rsidR="00A9457B" w:rsidRDefault="00A9457B">
            <w:pPr>
              <w:widowControl w:val="0"/>
              <w:spacing w:before="40" w:after="40"/>
              <w:jc w:val="both"/>
              <w:rPr>
                <w:rFonts w:cs="Segoe UI"/>
                <w:kern w:val="2"/>
                <w:sz w:val="17"/>
                <w:szCs w:val="17"/>
              </w:rPr>
            </w:pPr>
            <w:r>
              <w:rPr>
                <w:rFonts w:cs="Segoe UI"/>
                <w:kern w:val="2"/>
                <w:sz w:val="17"/>
                <w:szCs w:val="17"/>
              </w:rPr>
              <w:t>(e)</w:t>
            </w:r>
          </w:p>
        </w:tc>
        <w:tc>
          <w:tcPr>
            <w:tcW w:w="8838" w:type="dxa"/>
            <w:tcBorders>
              <w:top w:val="single" w:sz="4" w:space="0" w:color="auto"/>
              <w:left w:val="nil"/>
              <w:bottom w:val="single" w:sz="4" w:space="0" w:color="auto"/>
              <w:right w:val="nil"/>
            </w:tcBorders>
            <w:noWrap/>
            <w:hideMark/>
          </w:tcPr>
          <w:p w14:paraId="4F83E398"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如認可機構的內部計量系統所用的重大模擬假設</w:t>
            </w:r>
            <w:proofErr w:type="gramStart"/>
            <w:r>
              <w:rPr>
                <w:rFonts w:eastAsiaTheme="minorEastAsia" w:cs="Segoe UI" w:hint="eastAsia"/>
                <w:kern w:val="2"/>
                <w:sz w:val="17"/>
                <w:szCs w:val="17"/>
                <w:lang w:eastAsia="zh-TW"/>
              </w:rPr>
              <w:t>（</w:t>
            </w:r>
            <w:proofErr w:type="gramEnd"/>
            <w:r>
              <w:rPr>
                <w:rFonts w:eastAsiaTheme="minorEastAsia" w:cs="Segoe UI" w:hint="eastAsia"/>
                <w:kern w:val="2"/>
                <w:sz w:val="17"/>
                <w:szCs w:val="17"/>
                <w:lang w:eastAsia="zh-TW"/>
              </w:rPr>
              <w:t>即認可機構為披露以外的目的</w:t>
            </w:r>
            <w:proofErr w:type="gramStart"/>
            <w:r>
              <w:rPr>
                <w:rFonts w:eastAsiaTheme="minorEastAsia" w:cs="Segoe UI" w:hint="eastAsia"/>
                <w:kern w:val="2"/>
                <w:sz w:val="17"/>
                <w:szCs w:val="17"/>
                <w:lang w:eastAsia="zh-TW"/>
              </w:rPr>
              <w:t>（</w:t>
            </w:r>
            <w:proofErr w:type="gramEnd"/>
            <w:r>
              <w:rPr>
                <w:rFonts w:eastAsiaTheme="minorEastAsia" w:cs="Segoe UI" w:hint="eastAsia"/>
                <w:kern w:val="2"/>
                <w:sz w:val="17"/>
                <w:szCs w:val="17"/>
                <w:lang w:eastAsia="zh-TW"/>
              </w:rPr>
              <w:t>例如資本充足水平內部評估</w:t>
            </w:r>
            <w:proofErr w:type="gramStart"/>
            <w:r>
              <w:rPr>
                <w:rFonts w:eastAsiaTheme="minorEastAsia" w:cs="Segoe UI" w:hint="eastAsia"/>
                <w:kern w:val="2"/>
                <w:sz w:val="17"/>
                <w:szCs w:val="17"/>
                <w:lang w:eastAsia="zh-TW"/>
              </w:rPr>
              <w:t>）</w:t>
            </w:r>
            <w:proofErr w:type="gramEnd"/>
            <w:r>
              <w:rPr>
                <w:rFonts w:eastAsiaTheme="minorEastAsia" w:cs="Segoe UI" w:hint="eastAsia"/>
                <w:kern w:val="2"/>
                <w:sz w:val="17"/>
                <w:szCs w:val="17"/>
                <w:lang w:eastAsia="zh-TW"/>
              </w:rPr>
              <w:t>所得的</w:t>
            </w:r>
            <w:r>
              <w:rPr>
                <w:rFonts w:eastAsiaTheme="minorEastAsia" w:cs="Segoe UI"/>
                <w:kern w:val="2"/>
                <w:sz w:val="17"/>
                <w:szCs w:val="17"/>
                <w:lang w:eastAsia="zh-TW"/>
              </w:rPr>
              <w:t>EVE</w:t>
            </w:r>
            <w:r>
              <w:rPr>
                <w:rFonts w:eastAsiaTheme="minorEastAsia" w:cs="Segoe UI" w:hint="eastAsia"/>
                <w:kern w:val="2"/>
                <w:sz w:val="17"/>
                <w:szCs w:val="17"/>
                <w:lang w:eastAsia="zh-TW"/>
              </w:rPr>
              <w:t>指標</w:t>
            </w:r>
            <w:proofErr w:type="gramStart"/>
            <w:r>
              <w:rPr>
                <w:rFonts w:eastAsiaTheme="minorEastAsia" w:cs="Segoe UI" w:hint="eastAsia"/>
                <w:kern w:val="2"/>
                <w:sz w:val="17"/>
                <w:szCs w:val="17"/>
                <w:lang w:eastAsia="zh-TW"/>
              </w:rPr>
              <w:t>）</w:t>
            </w:r>
            <w:proofErr w:type="gramEnd"/>
            <w:r>
              <w:rPr>
                <w:rFonts w:eastAsiaTheme="minorEastAsia" w:cs="Segoe UI" w:hint="eastAsia"/>
                <w:kern w:val="2"/>
                <w:sz w:val="17"/>
                <w:szCs w:val="17"/>
                <w:lang w:eastAsia="zh-TW"/>
              </w:rPr>
              <w:t>，</w:t>
            </w:r>
            <w:proofErr w:type="gramStart"/>
            <w:r>
              <w:rPr>
                <w:rFonts w:eastAsiaTheme="minorEastAsia" w:cs="Segoe UI" w:hint="eastAsia"/>
                <w:kern w:val="2"/>
                <w:sz w:val="17"/>
                <w:szCs w:val="17"/>
                <w:lang w:eastAsia="zh-TW"/>
              </w:rPr>
              <w:t>與就模版</w:t>
            </w:r>
            <w:proofErr w:type="gramEnd"/>
            <w:r>
              <w:rPr>
                <w:rFonts w:cs="Segoe UI"/>
                <w:kern w:val="2"/>
                <w:sz w:val="17"/>
                <w:szCs w:val="17"/>
                <w:lang w:eastAsia="zh-TW"/>
              </w:rPr>
              <w:t>IRRBB1</w:t>
            </w:r>
            <w:r>
              <w:rPr>
                <w:rFonts w:eastAsiaTheme="minorEastAsia" w:cs="Segoe UI" w:hint="eastAsia"/>
                <w:kern w:val="2"/>
                <w:sz w:val="17"/>
                <w:szCs w:val="17"/>
                <w:lang w:eastAsia="zh-TW"/>
              </w:rPr>
              <w:t>所作披露訂明的模擬假設不同，認可機構應提供有關該等假設及其方向</w:t>
            </w:r>
            <w:r>
              <w:rPr>
                <w:rFonts w:eastAsiaTheme="minorEastAsia" w:cs="Segoe UI" w:hint="eastAsia"/>
                <w:kern w:val="2"/>
                <w:sz w:val="17"/>
                <w:szCs w:val="17"/>
                <w:lang w:val="en-US" w:eastAsia="zh-TW"/>
              </w:rPr>
              <w:t>性</w:t>
            </w:r>
            <w:r>
              <w:rPr>
                <w:rFonts w:eastAsiaTheme="minorEastAsia" w:cs="Segoe UI" w:hint="eastAsia"/>
                <w:kern w:val="2"/>
                <w:sz w:val="17"/>
                <w:szCs w:val="17"/>
                <w:lang w:eastAsia="zh-TW"/>
              </w:rPr>
              <w:t>影響的描述，並闡明其作出該等假設的理據（例如歷史數據、已發表的研究、管理層判斷及分析）。</w:t>
            </w:r>
          </w:p>
        </w:tc>
      </w:tr>
      <w:tr w:rsidR="00A9457B" w14:paraId="64D79963"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6D8EAC26" w14:textId="77777777" w:rsidR="00A9457B" w:rsidRDefault="00A9457B">
            <w:pPr>
              <w:widowControl w:val="0"/>
              <w:spacing w:before="40" w:after="40"/>
              <w:jc w:val="both"/>
              <w:rPr>
                <w:rFonts w:cs="Segoe UI"/>
                <w:kern w:val="2"/>
                <w:sz w:val="17"/>
                <w:szCs w:val="17"/>
              </w:rPr>
            </w:pPr>
            <w:r>
              <w:rPr>
                <w:rFonts w:cs="Segoe UI"/>
                <w:kern w:val="2"/>
                <w:sz w:val="17"/>
                <w:szCs w:val="17"/>
              </w:rPr>
              <w:t>(f)</w:t>
            </w:r>
          </w:p>
        </w:tc>
        <w:tc>
          <w:tcPr>
            <w:tcW w:w="8838" w:type="dxa"/>
            <w:tcBorders>
              <w:top w:val="single" w:sz="4" w:space="0" w:color="auto"/>
              <w:left w:val="nil"/>
              <w:bottom w:val="single" w:sz="4" w:space="0" w:color="auto"/>
              <w:right w:val="nil"/>
            </w:tcBorders>
            <w:noWrap/>
            <w:hideMark/>
          </w:tcPr>
          <w:p w14:paraId="156F2B2A"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有關認可機構如何</w:t>
            </w:r>
            <w:proofErr w:type="gramStart"/>
            <w:r>
              <w:rPr>
                <w:rFonts w:eastAsiaTheme="minorEastAsia" w:cs="Segoe UI" w:hint="eastAsia"/>
                <w:kern w:val="2"/>
                <w:sz w:val="17"/>
                <w:szCs w:val="17"/>
                <w:lang w:eastAsia="zh-TW"/>
              </w:rPr>
              <w:t>對沖其</w:t>
            </w:r>
            <w:proofErr w:type="gramEnd"/>
            <w:r>
              <w:rPr>
                <w:rFonts w:eastAsiaTheme="minorEastAsia" w:cs="Segoe UI"/>
                <w:kern w:val="2"/>
                <w:sz w:val="17"/>
                <w:lang w:eastAsia="zh-TW"/>
              </w:rPr>
              <w:t>IRRBB</w:t>
            </w:r>
            <w:r>
              <w:rPr>
                <w:rFonts w:eastAsiaTheme="minorEastAsia" w:cs="Segoe UI" w:hint="eastAsia"/>
                <w:kern w:val="2"/>
                <w:sz w:val="17"/>
                <w:szCs w:val="17"/>
                <w:lang w:eastAsia="zh-TW"/>
              </w:rPr>
              <w:t>及相關的會計處理方法的概要。</w:t>
            </w:r>
          </w:p>
        </w:tc>
      </w:tr>
      <w:tr w:rsidR="00A9457B" w14:paraId="5C0B8762"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3E244E78" w14:textId="77777777" w:rsidR="00A9457B" w:rsidRDefault="00A9457B">
            <w:pPr>
              <w:widowControl w:val="0"/>
              <w:spacing w:before="40" w:after="40"/>
              <w:jc w:val="both"/>
              <w:rPr>
                <w:rFonts w:cs="Segoe UI"/>
                <w:kern w:val="2"/>
                <w:sz w:val="17"/>
                <w:szCs w:val="17"/>
              </w:rPr>
            </w:pPr>
            <w:r>
              <w:rPr>
                <w:rFonts w:cs="Segoe UI"/>
                <w:kern w:val="2"/>
                <w:sz w:val="17"/>
                <w:szCs w:val="17"/>
              </w:rPr>
              <w:t>(g)</w:t>
            </w:r>
          </w:p>
        </w:tc>
        <w:tc>
          <w:tcPr>
            <w:tcW w:w="8838" w:type="dxa"/>
            <w:tcBorders>
              <w:top w:val="single" w:sz="4" w:space="0" w:color="auto"/>
              <w:left w:val="nil"/>
              <w:bottom w:val="single" w:sz="4" w:space="0" w:color="auto"/>
              <w:right w:val="nil"/>
            </w:tcBorders>
            <w:noWrap/>
            <w:hideMark/>
          </w:tcPr>
          <w:p w14:paraId="11E333D4"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有關用於計算模版</w:t>
            </w:r>
            <w:r>
              <w:rPr>
                <w:rFonts w:cs="Segoe UI"/>
                <w:kern w:val="2"/>
                <w:sz w:val="17"/>
                <w:szCs w:val="17"/>
                <w:lang w:eastAsia="zh-TW"/>
              </w:rPr>
              <w:t>IRRBB1</w:t>
            </w:r>
            <w:r>
              <w:rPr>
                <w:rFonts w:eastAsiaTheme="minorEastAsia" w:cs="Segoe UI" w:hint="eastAsia"/>
                <w:kern w:val="2"/>
                <w:sz w:val="17"/>
                <w:szCs w:val="17"/>
                <w:lang w:eastAsia="zh-TW"/>
              </w:rPr>
              <w:t>中</w:t>
            </w:r>
            <w:r>
              <w:rPr>
                <w:rFonts w:cs="Segoe UI"/>
                <w:kern w:val="2"/>
                <w:sz w:val="17"/>
                <w:szCs w:val="17"/>
              </w:rPr>
              <w:t>Δ</w:t>
            </w:r>
            <w:r>
              <w:rPr>
                <w:rFonts w:cs="Segoe UI"/>
                <w:kern w:val="2"/>
                <w:sz w:val="17"/>
                <w:szCs w:val="17"/>
                <w:lang w:eastAsia="zh-TW"/>
              </w:rPr>
              <w:t>EVE</w:t>
            </w:r>
            <w:r>
              <w:rPr>
                <w:rFonts w:eastAsiaTheme="minorEastAsia" w:cs="Segoe UI" w:hint="eastAsia"/>
                <w:kern w:val="2"/>
                <w:sz w:val="17"/>
                <w:szCs w:val="17"/>
                <w:lang w:eastAsia="zh-TW"/>
              </w:rPr>
              <w:t>及</w:t>
            </w:r>
            <w:r>
              <w:rPr>
                <w:rFonts w:cs="Segoe UI"/>
                <w:kern w:val="2"/>
                <w:sz w:val="17"/>
                <w:szCs w:val="17"/>
              </w:rPr>
              <w:t>Δ</w:t>
            </w:r>
            <w:r>
              <w:rPr>
                <w:rFonts w:cs="Segoe UI"/>
                <w:kern w:val="2"/>
                <w:sz w:val="17"/>
                <w:szCs w:val="17"/>
                <w:lang w:eastAsia="zh-TW"/>
              </w:rPr>
              <w:t>NII</w:t>
            </w:r>
            <w:r>
              <w:rPr>
                <w:rFonts w:eastAsiaTheme="minorEastAsia" w:cs="Segoe UI" w:hint="eastAsia"/>
                <w:kern w:val="2"/>
                <w:sz w:val="17"/>
                <w:szCs w:val="17"/>
                <w:lang w:eastAsia="zh-TW"/>
              </w:rPr>
              <w:t>的主要模擬及參數假設的概要，包括：</w:t>
            </w:r>
          </w:p>
          <w:p w14:paraId="54480483" w14:textId="77777777" w:rsidR="00A9457B" w:rsidRDefault="00A9457B" w:rsidP="00D540EB">
            <w:pPr>
              <w:pStyle w:val="TableText"/>
              <w:numPr>
                <w:ilvl w:val="0"/>
                <w:numId w:val="24"/>
              </w:numPr>
              <w:ind w:left="480" w:hanging="480"/>
              <w:jc w:val="both"/>
              <w:rPr>
                <w:rFonts w:cs="Segoe UI"/>
                <w:kern w:val="2"/>
                <w:szCs w:val="17"/>
                <w:lang w:eastAsia="zh-TW"/>
              </w:rPr>
            </w:pPr>
            <w:r>
              <w:rPr>
                <w:rFonts w:eastAsiaTheme="minorEastAsia" w:cs="Segoe UI" w:hint="eastAsia"/>
                <w:kern w:val="2"/>
                <w:szCs w:val="17"/>
                <w:lang w:eastAsia="zh-TW"/>
              </w:rPr>
              <w:t>就</w:t>
            </w:r>
            <w:r>
              <w:rPr>
                <w:rFonts w:cs="Segoe UI"/>
                <w:kern w:val="2"/>
                <w:szCs w:val="17"/>
              </w:rPr>
              <w:t>Δ</w:t>
            </w:r>
            <w:r>
              <w:rPr>
                <w:rFonts w:cs="Segoe UI"/>
                <w:kern w:val="2"/>
                <w:szCs w:val="17"/>
                <w:lang w:eastAsia="zh-TW"/>
              </w:rPr>
              <w:t>EVE</w:t>
            </w:r>
            <w:r>
              <w:rPr>
                <w:rFonts w:eastAsiaTheme="minorEastAsia" w:cs="Segoe UI" w:hint="eastAsia"/>
                <w:kern w:val="2"/>
                <w:szCs w:val="17"/>
                <w:lang w:eastAsia="zh-TW"/>
              </w:rPr>
              <w:t>而言，計算時所用的現金流</w:t>
            </w:r>
            <w:proofErr w:type="gramStart"/>
            <w:r>
              <w:rPr>
                <w:rFonts w:eastAsiaTheme="minorEastAsia" w:cs="Segoe UI" w:hint="eastAsia"/>
                <w:kern w:val="2"/>
                <w:szCs w:val="17"/>
                <w:lang w:eastAsia="zh-TW"/>
              </w:rPr>
              <w:t>有否計入</w:t>
            </w:r>
            <w:proofErr w:type="gramEnd"/>
            <w:r>
              <w:rPr>
                <w:rFonts w:eastAsiaTheme="minorEastAsia" w:cs="Segoe UI" w:hint="eastAsia"/>
                <w:kern w:val="2"/>
                <w:szCs w:val="17"/>
                <w:lang w:eastAsia="zh-TW"/>
              </w:rPr>
              <w:t>商業利潤及其他利差項目，以及所用的折現率；</w:t>
            </w:r>
          </w:p>
          <w:p w14:paraId="69E1EDC7" w14:textId="77777777" w:rsidR="00A9457B" w:rsidRDefault="00A9457B" w:rsidP="00D540EB">
            <w:pPr>
              <w:pStyle w:val="TableText"/>
              <w:numPr>
                <w:ilvl w:val="0"/>
                <w:numId w:val="24"/>
              </w:numPr>
              <w:ind w:left="480" w:hanging="480"/>
              <w:jc w:val="both"/>
              <w:rPr>
                <w:rFonts w:cs="Segoe UI"/>
                <w:kern w:val="2"/>
                <w:szCs w:val="17"/>
                <w:lang w:eastAsia="zh-TW"/>
              </w:rPr>
            </w:pPr>
            <w:r>
              <w:rPr>
                <w:rFonts w:eastAsiaTheme="minorEastAsia" w:cs="Segoe UI" w:hint="eastAsia"/>
                <w:kern w:val="2"/>
                <w:szCs w:val="17"/>
                <w:lang w:eastAsia="zh-TW"/>
              </w:rPr>
              <w:t>如何定出無期限存款的平均</w:t>
            </w:r>
            <w:proofErr w:type="gramStart"/>
            <w:r>
              <w:rPr>
                <w:rFonts w:eastAsiaTheme="minorEastAsia" w:cs="Segoe UI" w:hint="eastAsia"/>
                <w:kern w:val="2"/>
                <w:szCs w:val="17"/>
                <w:lang w:eastAsia="zh-TW"/>
              </w:rPr>
              <w:t>重訂息率</w:t>
            </w:r>
            <w:proofErr w:type="gramEnd"/>
            <w:r>
              <w:rPr>
                <w:rFonts w:eastAsiaTheme="minorEastAsia" w:cs="Segoe UI" w:hint="eastAsia"/>
                <w:kern w:val="2"/>
                <w:szCs w:val="17"/>
                <w:lang w:eastAsia="zh-TW"/>
              </w:rPr>
              <w:t>期限（包括影響評估重訂息率行為的任何產品特點）；</w:t>
            </w:r>
          </w:p>
          <w:p w14:paraId="1B6BE37B" w14:textId="77777777" w:rsidR="00A9457B" w:rsidRDefault="00A9457B" w:rsidP="00D540EB">
            <w:pPr>
              <w:pStyle w:val="TableText"/>
              <w:numPr>
                <w:ilvl w:val="0"/>
                <w:numId w:val="24"/>
              </w:numPr>
              <w:ind w:left="480" w:hanging="480"/>
              <w:jc w:val="both"/>
              <w:rPr>
                <w:rFonts w:cs="Segoe UI"/>
                <w:kern w:val="2"/>
                <w:szCs w:val="17"/>
                <w:lang w:eastAsia="zh-TW"/>
              </w:rPr>
            </w:pPr>
            <w:r>
              <w:rPr>
                <w:rFonts w:eastAsiaTheme="minorEastAsia" w:cs="Segoe UI" w:hint="eastAsia"/>
                <w:kern w:val="2"/>
                <w:szCs w:val="17"/>
                <w:lang w:eastAsia="zh-TW"/>
              </w:rPr>
              <w:t>用作估計客戶貸款的提前還款比率及</w:t>
            </w:r>
            <w:r>
              <w:rPr>
                <w:rFonts w:eastAsiaTheme="minorEastAsia" w:cs="Segoe UI"/>
                <w:kern w:val="2"/>
                <w:szCs w:val="17"/>
                <w:lang w:eastAsia="zh-TW"/>
              </w:rPr>
              <w:t>/</w:t>
            </w:r>
            <w:r>
              <w:rPr>
                <w:rFonts w:eastAsiaTheme="minorEastAsia" w:cs="Segoe UI" w:hint="eastAsia"/>
                <w:kern w:val="2"/>
                <w:szCs w:val="17"/>
                <w:lang w:eastAsia="zh-TW"/>
              </w:rPr>
              <w:t>或定期存款的提前提款比率的方法，以及其他重大假設；</w:t>
            </w:r>
          </w:p>
          <w:p w14:paraId="1502A6A6" w14:textId="77777777" w:rsidR="00A9457B" w:rsidRDefault="00A9457B" w:rsidP="00D540EB">
            <w:pPr>
              <w:pStyle w:val="TableText"/>
              <w:numPr>
                <w:ilvl w:val="0"/>
                <w:numId w:val="24"/>
              </w:numPr>
              <w:ind w:left="480" w:hanging="480"/>
              <w:jc w:val="both"/>
              <w:rPr>
                <w:rFonts w:cs="Segoe UI"/>
                <w:kern w:val="2"/>
                <w:szCs w:val="17"/>
                <w:lang w:eastAsia="zh-TW"/>
              </w:rPr>
            </w:pPr>
            <w:r>
              <w:rPr>
                <w:rFonts w:eastAsiaTheme="minorEastAsia" w:cs="Segoe UI" w:hint="eastAsia"/>
                <w:kern w:val="2"/>
                <w:szCs w:val="17"/>
                <w:lang w:eastAsia="zh-TW"/>
              </w:rPr>
              <w:t>對在模版</w:t>
            </w:r>
            <w:r>
              <w:rPr>
                <w:rFonts w:cs="Segoe UI"/>
                <w:kern w:val="2"/>
                <w:szCs w:val="17"/>
                <w:lang w:eastAsia="zh-TW"/>
              </w:rPr>
              <w:t>IRRBB1</w:t>
            </w:r>
            <w:r>
              <w:rPr>
                <w:rFonts w:eastAsiaTheme="minorEastAsia" w:cs="Segoe UI" w:hint="eastAsia"/>
                <w:kern w:val="2"/>
                <w:szCs w:val="17"/>
                <w:lang w:eastAsia="zh-TW"/>
              </w:rPr>
              <w:t>中所披露的</w:t>
            </w:r>
            <w:r>
              <w:rPr>
                <w:rFonts w:cs="Segoe UI"/>
                <w:kern w:val="2"/>
                <w:szCs w:val="17"/>
              </w:rPr>
              <w:t>Δ</w:t>
            </w:r>
            <w:r>
              <w:rPr>
                <w:rFonts w:cs="Segoe UI"/>
                <w:kern w:val="2"/>
                <w:szCs w:val="17"/>
                <w:lang w:eastAsia="zh-TW"/>
              </w:rPr>
              <w:t>EVE</w:t>
            </w:r>
            <w:r>
              <w:rPr>
                <w:rFonts w:eastAsiaTheme="minorEastAsia" w:cs="Segoe UI" w:hint="eastAsia"/>
                <w:kern w:val="2"/>
                <w:szCs w:val="17"/>
                <w:lang w:eastAsia="zh-TW"/>
              </w:rPr>
              <w:t>及</w:t>
            </w:r>
            <w:r>
              <w:rPr>
                <w:rFonts w:cs="Segoe UI"/>
                <w:kern w:val="2"/>
                <w:szCs w:val="17"/>
              </w:rPr>
              <w:t>Δ</w:t>
            </w:r>
            <w:r>
              <w:rPr>
                <w:rFonts w:cs="Segoe UI"/>
                <w:kern w:val="2"/>
                <w:szCs w:val="17"/>
                <w:lang w:eastAsia="zh-TW"/>
              </w:rPr>
              <w:t>NII</w:t>
            </w:r>
            <w:r>
              <w:rPr>
                <w:rFonts w:eastAsiaTheme="minorEastAsia" w:cs="Segoe UI" w:hint="eastAsia"/>
                <w:kern w:val="2"/>
                <w:szCs w:val="17"/>
                <w:lang w:eastAsia="zh-TW"/>
              </w:rPr>
              <w:t>有重大影響的任何其他（包括為已被豁除、具行為選擇性的工具而作的）假設，及該等假設為何屬重大的原因；以及</w:t>
            </w:r>
          </w:p>
          <w:p w14:paraId="21BFF44A" w14:textId="77777777" w:rsidR="00A9457B" w:rsidRDefault="00A9457B" w:rsidP="00D540EB">
            <w:pPr>
              <w:pStyle w:val="TableText"/>
              <w:numPr>
                <w:ilvl w:val="0"/>
                <w:numId w:val="24"/>
              </w:numPr>
              <w:ind w:left="480" w:hanging="480"/>
              <w:jc w:val="both"/>
              <w:rPr>
                <w:rFonts w:cs="Segoe UI"/>
                <w:kern w:val="2"/>
                <w:szCs w:val="17"/>
                <w:lang w:eastAsia="zh-TW"/>
              </w:rPr>
            </w:pPr>
            <w:r>
              <w:rPr>
                <w:rFonts w:eastAsiaTheme="minorEastAsia" w:cs="Segoe UI" w:hint="eastAsia"/>
                <w:kern w:val="2"/>
                <w:szCs w:val="17"/>
                <w:lang w:eastAsia="zh-TW"/>
              </w:rPr>
              <w:t>各種</w:t>
            </w:r>
            <w:proofErr w:type="gramStart"/>
            <w:r>
              <w:rPr>
                <w:rFonts w:eastAsiaTheme="minorEastAsia" w:cs="Segoe UI" w:hint="eastAsia"/>
                <w:kern w:val="2"/>
                <w:szCs w:val="17"/>
                <w:lang w:eastAsia="zh-TW"/>
              </w:rPr>
              <w:t>貨幣間的合計</w:t>
            </w:r>
            <w:proofErr w:type="gramEnd"/>
            <w:r>
              <w:rPr>
                <w:rFonts w:eastAsiaTheme="minorEastAsia" w:cs="Segoe UI" w:hint="eastAsia"/>
                <w:kern w:val="2"/>
                <w:szCs w:val="17"/>
                <w:lang w:eastAsia="zh-TW"/>
              </w:rPr>
              <w:t>方法，以及不同貨幣之間的任何重大利率關係。</w:t>
            </w:r>
          </w:p>
        </w:tc>
      </w:tr>
      <w:tr w:rsidR="00A9457B" w14:paraId="2402E71F"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4155A5E6" w14:textId="77777777" w:rsidR="00A9457B" w:rsidRDefault="00A9457B">
            <w:pPr>
              <w:widowControl w:val="0"/>
              <w:spacing w:before="40" w:after="40"/>
              <w:jc w:val="both"/>
              <w:rPr>
                <w:rFonts w:cs="Segoe UI"/>
                <w:kern w:val="2"/>
                <w:sz w:val="17"/>
                <w:szCs w:val="17"/>
              </w:rPr>
            </w:pPr>
            <w:r>
              <w:rPr>
                <w:rFonts w:cs="Segoe UI"/>
                <w:kern w:val="2"/>
                <w:sz w:val="17"/>
                <w:szCs w:val="17"/>
              </w:rPr>
              <w:t>(h)</w:t>
            </w:r>
          </w:p>
        </w:tc>
        <w:tc>
          <w:tcPr>
            <w:tcW w:w="8838" w:type="dxa"/>
            <w:tcBorders>
              <w:top w:val="single" w:sz="4" w:space="0" w:color="auto"/>
              <w:left w:val="nil"/>
              <w:bottom w:val="single" w:sz="4" w:space="0" w:color="auto"/>
              <w:right w:val="nil"/>
            </w:tcBorders>
            <w:noWrap/>
            <w:hideMark/>
          </w:tcPr>
          <w:p w14:paraId="0DCA4698"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認可機構認為與其披露的</w:t>
            </w:r>
            <w:r>
              <w:rPr>
                <w:rFonts w:eastAsiaTheme="minorEastAsia" w:cs="Segoe UI"/>
                <w:kern w:val="2"/>
                <w:sz w:val="17"/>
                <w:lang w:eastAsia="zh-TW"/>
              </w:rPr>
              <w:t>IRRBB</w:t>
            </w:r>
            <w:r>
              <w:rPr>
                <w:rFonts w:eastAsiaTheme="minorEastAsia" w:cs="Segoe UI" w:hint="eastAsia"/>
                <w:kern w:val="2"/>
                <w:sz w:val="17"/>
                <w:szCs w:val="17"/>
                <w:lang w:eastAsia="zh-TW"/>
              </w:rPr>
              <w:t>計量的重要性及敏感度的詮釋有關的任何其他資料，及</w:t>
            </w:r>
            <w:r>
              <w:rPr>
                <w:rFonts w:eastAsiaTheme="minorEastAsia" w:cs="Segoe UI"/>
                <w:kern w:val="2"/>
                <w:sz w:val="17"/>
                <w:szCs w:val="17"/>
                <w:lang w:eastAsia="zh-TW"/>
              </w:rPr>
              <w:t>/</w:t>
            </w:r>
            <w:r>
              <w:rPr>
                <w:rFonts w:eastAsiaTheme="minorEastAsia" w:cs="Segoe UI" w:hint="eastAsia"/>
                <w:kern w:val="2"/>
                <w:sz w:val="17"/>
                <w:szCs w:val="17"/>
                <w:lang w:eastAsia="zh-TW"/>
              </w:rPr>
              <w:t>或自上一次披露以來所填報的</w:t>
            </w:r>
            <w:r>
              <w:rPr>
                <w:rFonts w:eastAsiaTheme="minorEastAsia" w:cs="Segoe UI"/>
                <w:kern w:val="2"/>
                <w:sz w:val="17"/>
                <w:lang w:eastAsia="zh-TW"/>
              </w:rPr>
              <w:t>IRRBB</w:t>
            </w:r>
            <w:r>
              <w:rPr>
                <w:rFonts w:eastAsiaTheme="minorEastAsia" w:cs="Segoe UI" w:hint="eastAsia"/>
                <w:kern w:val="2"/>
                <w:sz w:val="17"/>
                <w:szCs w:val="17"/>
                <w:lang w:eastAsia="zh-TW"/>
              </w:rPr>
              <w:t>水平的任何重大變化的原因。</w:t>
            </w:r>
          </w:p>
        </w:tc>
      </w:tr>
      <w:tr w:rsidR="00A9457B" w14:paraId="4CEFFAED" w14:textId="77777777" w:rsidTr="00A9457B">
        <w:trPr>
          <w:trHeight w:val="195"/>
          <w:jc w:val="center"/>
        </w:trPr>
        <w:tc>
          <w:tcPr>
            <w:tcW w:w="9307" w:type="dxa"/>
            <w:gridSpan w:val="2"/>
            <w:tcBorders>
              <w:top w:val="single" w:sz="4" w:space="0" w:color="auto"/>
              <w:left w:val="nil"/>
              <w:bottom w:val="single" w:sz="4" w:space="0" w:color="auto"/>
              <w:right w:val="nil"/>
            </w:tcBorders>
            <w:shd w:val="clear" w:color="auto" w:fill="D9D9D9" w:themeFill="background1" w:themeFillShade="D9"/>
            <w:noWrap/>
            <w:hideMark/>
          </w:tcPr>
          <w:p w14:paraId="1E69690E" w14:textId="77777777" w:rsidR="00A9457B" w:rsidRDefault="00A9457B">
            <w:pPr>
              <w:pStyle w:val="Default"/>
              <w:jc w:val="both"/>
              <w:rPr>
                <w:kern w:val="2"/>
                <w:sz w:val="17"/>
                <w:szCs w:val="17"/>
                <w:lang w:val="en-GB"/>
              </w:rPr>
            </w:pPr>
            <w:r>
              <w:rPr>
                <w:rFonts w:hint="eastAsia"/>
                <w:kern w:val="2"/>
                <w:sz w:val="17"/>
                <w:szCs w:val="17"/>
              </w:rPr>
              <w:t>量化披露</w:t>
            </w:r>
            <w:r>
              <w:rPr>
                <w:kern w:val="2"/>
                <w:sz w:val="17"/>
                <w:szCs w:val="17"/>
              </w:rPr>
              <w:t xml:space="preserve"> </w:t>
            </w:r>
          </w:p>
        </w:tc>
      </w:tr>
      <w:tr w:rsidR="00A9457B" w14:paraId="41889CC2"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2D7A42D2" w14:textId="77777777" w:rsidR="00A9457B" w:rsidRDefault="00A9457B">
            <w:pPr>
              <w:widowControl w:val="0"/>
              <w:spacing w:before="40" w:after="40"/>
              <w:jc w:val="both"/>
              <w:rPr>
                <w:rFonts w:cs="Segoe UI"/>
                <w:kern w:val="2"/>
                <w:sz w:val="17"/>
                <w:szCs w:val="17"/>
              </w:rPr>
            </w:pPr>
            <w:r>
              <w:rPr>
                <w:rFonts w:cs="Segoe UI"/>
                <w:kern w:val="2"/>
                <w:sz w:val="17"/>
                <w:szCs w:val="17"/>
              </w:rPr>
              <w:t>1</w:t>
            </w:r>
          </w:p>
        </w:tc>
        <w:tc>
          <w:tcPr>
            <w:tcW w:w="8838" w:type="dxa"/>
            <w:tcBorders>
              <w:top w:val="single" w:sz="4" w:space="0" w:color="auto"/>
              <w:left w:val="nil"/>
              <w:bottom w:val="single" w:sz="4" w:space="0" w:color="auto"/>
              <w:right w:val="nil"/>
            </w:tcBorders>
            <w:noWrap/>
            <w:hideMark/>
          </w:tcPr>
          <w:p w14:paraId="46623B45" w14:textId="77777777" w:rsidR="00A9457B" w:rsidRDefault="00A9457B">
            <w:pPr>
              <w:widowControl w:val="0"/>
              <w:spacing w:before="40" w:after="40"/>
              <w:jc w:val="both"/>
              <w:rPr>
                <w:rFonts w:eastAsiaTheme="minorEastAsia" w:cs="Segoe UI"/>
                <w:kern w:val="2"/>
                <w:sz w:val="17"/>
                <w:szCs w:val="17"/>
                <w:lang w:eastAsia="zh-TW"/>
              </w:rPr>
            </w:pPr>
            <w:r>
              <w:rPr>
                <w:rFonts w:eastAsiaTheme="minorEastAsia" w:cs="Segoe UI" w:hint="eastAsia"/>
                <w:kern w:val="2"/>
                <w:sz w:val="17"/>
                <w:szCs w:val="17"/>
                <w:lang w:eastAsia="zh-TW"/>
              </w:rPr>
              <w:t>配予無期限存款的平均</w:t>
            </w:r>
            <w:proofErr w:type="gramStart"/>
            <w:r>
              <w:rPr>
                <w:rFonts w:eastAsiaTheme="minorEastAsia" w:cs="Segoe UI" w:hint="eastAsia"/>
                <w:kern w:val="2"/>
                <w:sz w:val="17"/>
                <w:szCs w:val="17"/>
                <w:lang w:eastAsia="zh-TW"/>
              </w:rPr>
              <w:t>重訂息率</w:t>
            </w:r>
            <w:proofErr w:type="gramEnd"/>
            <w:r>
              <w:rPr>
                <w:rFonts w:eastAsiaTheme="minorEastAsia" w:cs="Segoe UI" w:hint="eastAsia"/>
                <w:kern w:val="2"/>
                <w:sz w:val="17"/>
                <w:szCs w:val="17"/>
                <w:lang w:eastAsia="zh-TW"/>
              </w:rPr>
              <w:t>期限（此即無期限存款的名義加權期限）。</w:t>
            </w:r>
          </w:p>
        </w:tc>
      </w:tr>
      <w:tr w:rsidR="00A9457B" w14:paraId="7C78729D" w14:textId="77777777" w:rsidTr="00A9457B">
        <w:trPr>
          <w:trHeight w:val="318"/>
          <w:jc w:val="center"/>
        </w:trPr>
        <w:tc>
          <w:tcPr>
            <w:tcW w:w="469" w:type="dxa"/>
            <w:tcBorders>
              <w:top w:val="single" w:sz="4" w:space="0" w:color="auto"/>
              <w:left w:val="nil"/>
              <w:bottom w:val="single" w:sz="4" w:space="0" w:color="auto"/>
              <w:right w:val="nil"/>
            </w:tcBorders>
            <w:noWrap/>
            <w:hideMark/>
          </w:tcPr>
          <w:p w14:paraId="30F29E63" w14:textId="77777777" w:rsidR="00A9457B" w:rsidRDefault="00A9457B">
            <w:pPr>
              <w:widowControl w:val="0"/>
              <w:spacing w:before="40" w:after="40"/>
              <w:jc w:val="both"/>
              <w:rPr>
                <w:rFonts w:cs="Segoe UI"/>
                <w:kern w:val="2"/>
                <w:sz w:val="17"/>
                <w:szCs w:val="17"/>
              </w:rPr>
            </w:pPr>
            <w:r>
              <w:rPr>
                <w:rFonts w:cs="Segoe UI"/>
                <w:kern w:val="2"/>
                <w:sz w:val="17"/>
                <w:szCs w:val="17"/>
              </w:rPr>
              <w:t>2</w:t>
            </w:r>
          </w:p>
        </w:tc>
        <w:tc>
          <w:tcPr>
            <w:tcW w:w="8838" w:type="dxa"/>
            <w:tcBorders>
              <w:top w:val="single" w:sz="4" w:space="0" w:color="auto"/>
              <w:left w:val="nil"/>
              <w:bottom w:val="single" w:sz="4" w:space="0" w:color="auto"/>
              <w:right w:val="nil"/>
            </w:tcBorders>
            <w:noWrap/>
            <w:hideMark/>
          </w:tcPr>
          <w:p w14:paraId="66B3029F" w14:textId="77777777" w:rsidR="00A9457B" w:rsidRDefault="00A9457B">
            <w:pPr>
              <w:widowControl w:val="0"/>
              <w:spacing w:before="40" w:after="40"/>
              <w:jc w:val="both"/>
              <w:rPr>
                <w:rFonts w:cs="Segoe UI"/>
                <w:kern w:val="2"/>
                <w:sz w:val="17"/>
                <w:szCs w:val="17"/>
                <w:lang w:eastAsia="zh-TW"/>
              </w:rPr>
            </w:pPr>
            <w:r>
              <w:rPr>
                <w:rFonts w:eastAsiaTheme="minorEastAsia" w:cs="Segoe UI" w:hint="eastAsia"/>
                <w:kern w:val="2"/>
                <w:sz w:val="17"/>
                <w:szCs w:val="17"/>
                <w:lang w:eastAsia="zh-TW"/>
              </w:rPr>
              <w:t>配予無期限存款的最</w:t>
            </w:r>
            <w:proofErr w:type="gramStart"/>
            <w:r>
              <w:rPr>
                <w:rFonts w:eastAsiaTheme="minorEastAsia" w:cs="Segoe UI" w:hint="eastAsia"/>
                <w:kern w:val="2"/>
                <w:sz w:val="17"/>
                <w:szCs w:val="17"/>
                <w:lang w:eastAsia="zh-TW"/>
              </w:rPr>
              <w:t>長重訂息</w:t>
            </w:r>
            <w:proofErr w:type="gramEnd"/>
            <w:r>
              <w:rPr>
                <w:rFonts w:eastAsiaTheme="minorEastAsia" w:cs="Segoe UI" w:hint="eastAsia"/>
                <w:kern w:val="2"/>
                <w:sz w:val="17"/>
                <w:szCs w:val="17"/>
                <w:lang w:eastAsia="zh-TW"/>
              </w:rPr>
              <w:t>率期限。</w:t>
            </w:r>
          </w:p>
        </w:tc>
      </w:tr>
    </w:tbl>
    <w:p w14:paraId="33D1DD9B" w14:textId="77777777" w:rsidR="00A9457B" w:rsidRPr="00A9457B" w:rsidRDefault="00A9457B">
      <w:pPr>
        <w:rPr>
          <w:rFonts w:eastAsiaTheme="minorEastAsia" w:cs="Segoe UI"/>
          <w:lang w:val="en-US" w:eastAsia="zh-TW"/>
        </w:rPr>
      </w:pPr>
    </w:p>
    <w:p w14:paraId="152F64CB" w14:textId="77777777" w:rsidR="008C5770" w:rsidRPr="00CA7301" w:rsidRDefault="008C5770" w:rsidP="008C5770">
      <w:pPr>
        <w:rPr>
          <w:rFonts w:eastAsiaTheme="minorEastAsia" w:cs="Segoe UI"/>
          <w:lang w:val="en-US" w:eastAsia="zh-TW"/>
        </w:rPr>
      </w:pPr>
    </w:p>
    <w:p w14:paraId="563A7F49" w14:textId="77777777" w:rsidR="006748B0" w:rsidRPr="00CA7301" w:rsidRDefault="006748B0">
      <w:pPr>
        <w:rPr>
          <w:rFonts w:eastAsiaTheme="minorEastAsia" w:cs="Segoe UI"/>
          <w:lang w:eastAsia="zh-TW"/>
        </w:rPr>
        <w:sectPr w:rsidR="006748B0" w:rsidRPr="00CA7301">
          <w:footerReference w:type="default" r:id="rId105"/>
          <w:pgSz w:w="11906" w:h="16838"/>
          <w:pgMar w:top="1440" w:right="1800" w:bottom="1440" w:left="1800" w:header="851" w:footer="992" w:gutter="0"/>
          <w:cols w:space="425"/>
          <w:docGrid w:type="lines" w:linePitch="360"/>
        </w:sectPr>
      </w:pPr>
    </w:p>
    <w:p w14:paraId="66E84F88" w14:textId="77E8AC7F" w:rsidR="00216206" w:rsidRPr="00216206" w:rsidRDefault="00216206" w:rsidP="00216206">
      <w:pPr>
        <w:pStyle w:val="Heading2"/>
        <w:keepNext w:val="0"/>
        <w:suppressAutoHyphens w:val="0"/>
        <w:spacing w:before="40" w:line="240" w:lineRule="auto"/>
        <w:ind w:left="-454"/>
        <w:rPr>
          <w:rFonts w:asciiTheme="majorEastAsia" w:eastAsiaTheme="majorEastAsia" w:hAnsiTheme="majorEastAsia"/>
          <w:b w:val="0"/>
          <w:bCs w:val="0"/>
          <w:sz w:val="22"/>
          <w:szCs w:val="20"/>
          <w:lang w:eastAsia="zh-TW"/>
        </w:rPr>
      </w:pPr>
      <w:r w:rsidRPr="00216206">
        <w:rPr>
          <w:rFonts w:asciiTheme="majorEastAsia" w:eastAsiaTheme="majorEastAsia" w:hAnsiTheme="majorEastAsia" w:cs="微軟正黑體" w:hint="eastAsia"/>
          <w:b w:val="0"/>
          <w:bCs w:val="0"/>
          <w:sz w:val="22"/>
          <w:szCs w:val="20"/>
          <w:lang w:eastAsia="zh-TW"/>
        </w:rPr>
        <w:t>模版</w:t>
      </w:r>
      <w:r w:rsidRPr="00216206">
        <w:rPr>
          <w:rFonts w:ascii="Segoe UI" w:eastAsiaTheme="majorEastAsia" w:hAnsi="Segoe UI" w:cs="Segoe UI"/>
          <w:b w:val="0"/>
          <w:bCs w:val="0"/>
          <w:sz w:val="22"/>
          <w:szCs w:val="20"/>
          <w:lang w:eastAsia="zh-TW"/>
        </w:rPr>
        <w:t>IRRBB1</w:t>
      </w:r>
      <w:r w:rsidRPr="00216206">
        <w:rPr>
          <w:rFonts w:asciiTheme="majorEastAsia" w:eastAsiaTheme="majorEastAsia" w:hAnsiTheme="majorEastAsia" w:cs="微軟正黑體" w:hint="eastAsia"/>
          <w:b w:val="0"/>
          <w:bCs w:val="0"/>
          <w:sz w:val="22"/>
          <w:szCs w:val="20"/>
          <w:lang w:eastAsia="zh-TW"/>
        </w:rPr>
        <w:t>：銀行帳內的利率風險的量化資料</w:t>
      </w:r>
    </w:p>
    <w:tbl>
      <w:tblPr>
        <w:tblW w:w="9106"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946"/>
      </w:tblGrid>
      <w:tr w:rsidR="00A9457B" w14:paraId="702490B5" w14:textId="77777777" w:rsidTr="000F143F">
        <w:tc>
          <w:tcPr>
            <w:tcW w:w="2160" w:type="dxa"/>
            <w:tcBorders>
              <w:top w:val="single" w:sz="4" w:space="0" w:color="auto"/>
              <w:left w:val="nil"/>
              <w:bottom w:val="single" w:sz="4" w:space="0" w:color="auto"/>
              <w:right w:val="single" w:sz="4" w:space="0" w:color="auto"/>
            </w:tcBorders>
            <w:hideMark/>
          </w:tcPr>
          <w:p w14:paraId="664F745B" w14:textId="77777777" w:rsidR="00A9457B" w:rsidRDefault="00A9457B">
            <w:pPr>
              <w:spacing w:before="40" w:after="40"/>
              <w:rPr>
                <w:rFonts w:ascii="Times New Roman" w:hAnsi="Times New Roman"/>
                <w:noProof/>
                <w:kern w:val="2"/>
                <w:sz w:val="17"/>
                <w:lang w:eastAsia="en-GB"/>
              </w:rPr>
            </w:pPr>
            <w:r>
              <w:rPr>
                <w:rFonts w:ascii="Times New Roman" w:eastAsiaTheme="minorEastAsia" w:hAnsi="Times New Roman" w:hint="eastAsia"/>
                <w:b/>
                <w:kern w:val="2"/>
                <w:sz w:val="17"/>
                <w:lang w:eastAsia="zh-TW"/>
              </w:rPr>
              <w:t>目的：</w:t>
            </w:r>
          </w:p>
        </w:tc>
        <w:tc>
          <w:tcPr>
            <w:tcW w:w="6946" w:type="dxa"/>
            <w:tcBorders>
              <w:top w:val="single" w:sz="4" w:space="0" w:color="auto"/>
              <w:left w:val="single" w:sz="4" w:space="0" w:color="auto"/>
              <w:bottom w:val="single" w:sz="4" w:space="0" w:color="auto"/>
              <w:right w:val="nil"/>
            </w:tcBorders>
            <w:hideMark/>
          </w:tcPr>
          <w:p w14:paraId="112FC1A5" w14:textId="77777777" w:rsidR="00A9457B" w:rsidRDefault="00A9457B" w:rsidP="001D6590">
            <w:pPr>
              <w:spacing w:before="40" w:after="40"/>
              <w:ind w:right="38"/>
              <w:jc w:val="both"/>
              <w:rPr>
                <w:kern w:val="2"/>
                <w:sz w:val="17"/>
                <w:szCs w:val="17"/>
                <w:lang w:eastAsia="zh-TW"/>
              </w:rPr>
            </w:pPr>
            <w:r>
              <w:rPr>
                <w:rFonts w:eastAsiaTheme="minorEastAsia" w:hint="eastAsia"/>
                <w:kern w:val="2"/>
                <w:sz w:val="17"/>
                <w:lang w:eastAsia="zh-TW"/>
              </w:rPr>
              <w:t>就認可機構的銀行</w:t>
            </w:r>
            <w:proofErr w:type="gramStart"/>
            <w:r>
              <w:rPr>
                <w:rFonts w:eastAsiaTheme="minorEastAsia" w:hint="eastAsia"/>
                <w:kern w:val="2"/>
                <w:sz w:val="17"/>
                <w:lang w:eastAsia="zh-TW"/>
              </w:rPr>
              <w:t>帳持倉</w:t>
            </w:r>
            <w:proofErr w:type="gramEnd"/>
            <w:r>
              <w:rPr>
                <w:rFonts w:eastAsiaTheme="minorEastAsia" w:hint="eastAsia"/>
                <w:kern w:val="2"/>
                <w:sz w:val="17"/>
                <w:lang w:eastAsia="zh-TW"/>
              </w:rPr>
              <w:t>產生的利率風險承擔，提供有關在每</w:t>
            </w:r>
            <w:proofErr w:type="gramStart"/>
            <w:r>
              <w:rPr>
                <w:rFonts w:eastAsiaTheme="minorEastAsia" w:hint="eastAsia"/>
                <w:kern w:val="2"/>
                <w:sz w:val="17"/>
                <w:lang w:eastAsia="zh-TW"/>
              </w:rPr>
              <w:t>個</w:t>
            </w:r>
            <w:proofErr w:type="gramEnd"/>
            <w:r>
              <w:rPr>
                <w:rFonts w:eastAsiaTheme="minorEastAsia" w:hint="eastAsia"/>
                <w:kern w:val="2"/>
                <w:sz w:val="17"/>
                <w:lang w:eastAsia="zh-TW"/>
              </w:rPr>
              <w:t>指明的利率</w:t>
            </w:r>
            <w:r>
              <w:rPr>
                <w:rFonts w:eastAsiaTheme="minorEastAsia" w:cs="Segoe UI" w:hint="eastAsia"/>
                <w:kern w:val="2"/>
                <w:sz w:val="17"/>
                <w:lang w:eastAsia="zh-TW"/>
              </w:rPr>
              <w:t>震盪</w:t>
            </w:r>
            <w:r>
              <w:rPr>
                <w:rFonts w:eastAsiaTheme="minorEastAsia" w:hint="eastAsia"/>
                <w:kern w:val="2"/>
                <w:sz w:val="17"/>
                <w:lang w:eastAsia="zh-TW"/>
              </w:rPr>
              <w:t>情</w:t>
            </w:r>
            <w:r>
              <w:rPr>
                <w:rFonts w:eastAsiaTheme="minorEastAsia" w:cs="Segoe UI" w:hint="eastAsia"/>
                <w:kern w:val="2"/>
                <w:sz w:val="17"/>
                <w:lang w:eastAsia="zh-TW"/>
              </w:rPr>
              <w:t>境</w:t>
            </w:r>
            <w:r>
              <w:rPr>
                <w:rFonts w:eastAsiaTheme="minorEastAsia" w:hint="eastAsia"/>
                <w:kern w:val="2"/>
                <w:sz w:val="17"/>
                <w:lang w:eastAsia="zh-TW"/>
              </w:rPr>
              <w:t>下</w:t>
            </w:r>
            <w:r>
              <w:rPr>
                <w:rFonts w:ascii="細明體" w:eastAsia="細明體" w:hAnsi="細明體" w:cs="細明體" w:hint="eastAsia"/>
                <w:kern w:val="2"/>
                <w:sz w:val="17"/>
                <w:szCs w:val="17"/>
                <w:lang w:eastAsia="zh-TW"/>
              </w:rPr>
              <w:t>股權經濟價值及淨利息收入變動的資料。</w:t>
            </w:r>
          </w:p>
        </w:tc>
      </w:tr>
      <w:tr w:rsidR="00A9457B" w14:paraId="42489877" w14:textId="77777777" w:rsidTr="000F143F">
        <w:tc>
          <w:tcPr>
            <w:tcW w:w="2160" w:type="dxa"/>
            <w:tcBorders>
              <w:top w:val="single" w:sz="4" w:space="0" w:color="auto"/>
              <w:left w:val="nil"/>
              <w:bottom w:val="single" w:sz="4" w:space="0" w:color="auto"/>
              <w:right w:val="single" w:sz="4" w:space="0" w:color="auto"/>
            </w:tcBorders>
            <w:hideMark/>
          </w:tcPr>
          <w:p w14:paraId="45D071AE" w14:textId="77777777" w:rsidR="00A9457B" w:rsidRDefault="00A9457B">
            <w:pPr>
              <w:spacing w:before="40" w:after="40"/>
              <w:rPr>
                <w:rFonts w:ascii="Times New Roman" w:hAnsi="Times New Roman"/>
                <w:b/>
                <w:kern w:val="2"/>
                <w:sz w:val="17"/>
                <w:lang w:eastAsia="en-GB"/>
              </w:rPr>
            </w:pPr>
            <w:r>
              <w:rPr>
                <w:rFonts w:ascii="Times New Roman" w:eastAsiaTheme="minorEastAsia" w:hAnsi="Times New Roman" w:hint="eastAsia"/>
                <w:b/>
                <w:kern w:val="2"/>
                <w:sz w:val="17"/>
                <w:lang w:eastAsia="zh-TW"/>
              </w:rPr>
              <w:t>適用範圍：</w:t>
            </w:r>
          </w:p>
        </w:tc>
        <w:tc>
          <w:tcPr>
            <w:tcW w:w="6946" w:type="dxa"/>
            <w:tcBorders>
              <w:top w:val="single" w:sz="4" w:space="0" w:color="auto"/>
              <w:left w:val="single" w:sz="4" w:space="0" w:color="auto"/>
              <w:bottom w:val="single" w:sz="4" w:space="0" w:color="auto"/>
              <w:right w:val="nil"/>
            </w:tcBorders>
            <w:hideMark/>
          </w:tcPr>
          <w:p w14:paraId="68A5F8D9" w14:textId="77777777" w:rsidR="00A9457B" w:rsidRDefault="00A9457B" w:rsidP="001D6590">
            <w:pPr>
              <w:spacing w:before="40" w:after="40"/>
              <w:ind w:right="38"/>
              <w:jc w:val="both"/>
              <w:rPr>
                <w:rFonts w:eastAsiaTheme="minorEastAsia"/>
                <w:kern w:val="2"/>
                <w:sz w:val="17"/>
                <w:lang w:eastAsia="zh-TW"/>
              </w:rPr>
            </w:pPr>
            <w:r>
              <w:rPr>
                <w:rFonts w:eastAsiaTheme="minorEastAsia" w:hint="eastAsia"/>
                <w:kern w:val="2"/>
                <w:sz w:val="17"/>
                <w:lang w:eastAsia="zh-TW"/>
              </w:rPr>
              <w:t>所有在香港成立</w:t>
            </w:r>
            <w:proofErr w:type="gramStart"/>
            <w:r>
              <w:rPr>
                <w:rFonts w:eastAsiaTheme="minorEastAsia" w:hint="eastAsia"/>
                <w:kern w:val="2"/>
                <w:sz w:val="17"/>
                <w:lang w:eastAsia="zh-TW"/>
              </w:rPr>
              <w:t>為法團的</w:t>
            </w:r>
            <w:proofErr w:type="gramEnd"/>
            <w:r>
              <w:rPr>
                <w:rFonts w:eastAsiaTheme="minorEastAsia" w:hint="eastAsia"/>
                <w:kern w:val="2"/>
                <w:sz w:val="17"/>
                <w:lang w:eastAsia="zh-TW"/>
              </w:rPr>
              <w:t>認可機構</w:t>
            </w:r>
            <w:proofErr w:type="gramStart"/>
            <w:r>
              <w:rPr>
                <w:rFonts w:eastAsiaTheme="minorEastAsia" w:hint="eastAsia"/>
                <w:kern w:val="2"/>
                <w:sz w:val="17"/>
                <w:lang w:eastAsia="zh-TW"/>
              </w:rPr>
              <w:t>均須填報本模</w:t>
            </w:r>
            <w:proofErr w:type="gramEnd"/>
            <w:r>
              <w:rPr>
                <w:rFonts w:eastAsiaTheme="minorEastAsia" w:hint="eastAsia"/>
                <w:kern w:val="2"/>
                <w:sz w:val="17"/>
                <w:lang w:eastAsia="zh-TW"/>
              </w:rPr>
              <w:t>版。</w:t>
            </w:r>
            <w:proofErr w:type="gramStart"/>
            <w:r>
              <w:rPr>
                <w:rFonts w:eastAsiaTheme="minorEastAsia" w:hint="eastAsia"/>
                <w:kern w:val="2"/>
                <w:sz w:val="17"/>
                <w:lang w:eastAsia="zh-TW"/>
              </w:rPr>
              <w:t>本模版</w:t>
            </w:r>
            <w:proofErr w:type="gramEnd"/>
            <w:r>
              <w:rPr>
                <w:rFonts w:eastAsiaTheme="minorEastAsia" w:hint="eastAsia"/>
                <w:kern w:val="2"/>
                <w:sz w:val="17"/>
                <w:lang w:eastAsia="zh-TW"/>
              </w:rPr>
              <w:t>應用作填報認可機構在</w:t>
            </w:r>
            <w:r>
              <w:rPr>
                <w:rFonts w:eastAsiaTheme="minorEastAsia"/>
                <w:kern w:val="2"/>
                <w:sz w:val="17"/>
                <w:lang w:eastAsia="zh-TW"/>
              </w:rPr>
              <w:t>2019</w:t>
            </w:r>
            <w:r>
              <w:rPr>
                <w:rFonts w:eastAsiaTheme="minorEastAsia" w:hint="eastAsia"/>
                <w:kern w:val="2"/>
                <w:sz w:val="17"/>
                <w:lang w:eastAsia="zh-TW"/>
              </w:rPr>
              <w:t>年</w:t>
            </w:r>
            <w:r>
              <w:rPr>
                <w:rFonts w:eastAsiaTheme="minorEastAsia"/>
                <w:kern w:val="2"/>
                <w:sz w:val="17"/>
                <w:lang w:eastAsia="zh-TW"/>
              </w:rPr>
              <w:t>6</w:t>
            </w:r>
            <w:r>
              <w:rPr>
                <w:rFonts w:eastAsiaTheme="minorEastAsia" w:hint="eastAsia"/>
                <w:kern w:val="2"/>
                <w:sz w:val="17"/>
                <w:lang w:eastAsia="zh-TW"/>
              </w:rPr>
              <w:t>月</w:t>
            </w:r>
            <w:r>
              <w:rPr>
                <w:rFonts w:eastAsiaTheme="minorEastAsia"/>
                <w:kern w:val="2"/>
                <w:sz w:val="17"/>
                <w:lang w:eastAsia="zh-TW"/>
              </w:rPr>
              <w:t>30</w:t>
            </w:r>
            <w:r>
              <w:rPr>
                <w:rFonts w:eastAsiaTheme="minorEastAsia" w:hint="eastAsia"/>
                <w:kern w:val="2"/>
                <w:sz w:val="17"/>
                <w:lang w:eastAsia="zh-TW"/>
              </w:rPr>
              <w:t>日或之後結束的財政年度的利率風險承擔。認可機構如根據《資本規則》第</w:t>
            </w:r>
            <w:r>
              <w:rPr>
                <w:rFonts w:eastAsiaTheme="minorEastAsia"/>
                <w:kern w:val="2"/>
                <w:sz w:val="17"/>
                <w:lang w:eastAsia="zh-TW"/>
              </w:rPr>
              <w:t>22(1)</w:t>
            </w:r>
            <w:proofErr w:type="gramStart"/>
            <w:r>
              <w:rPr>
                <w:rFonts w:eastAsiaTheme="minorEastAsia" w:hint="eastAsia"/>
                <w:kern w:val="2"/>
                <w:sz w:val="17"/>
                <w:lang w:eastAsia="zh-TW"/>
              </w:rPr>
              <w:t>條</w:t>
            </w:r>
            <w:r>
              <w:rPr>
                <w:rFonts w:eastAsiaTheme="minorEastAsia" w:cs="Segoe UI" w:hint="eastAsia"/>
                <w:kern w:val="2"/>
                <w:sz w:val="17"/>
                <w:szCs w:val="17"/>
                <w:lang w:eastAsia="zh-TW"/>
              </w:rPr>
              <w:t>獲</w:t>
            </w:r>
            <w:r>
              <w:rPr>
                <w:rFonts w:eastAsiaTheme="minorEastAsia" w:hint="eastAsia"/>
                <w:kern w:val="2"/>
                <w:sz w:val="17"/>
                <w:lang w:eastAsia="zh-TW"/>
              </w:rPr>
              <w:t>豁免</w:t>
            </w:r>
            <w:proofErr w:type="gramEnd"/>
            <w:r>
              <w:rPr>
                <w:rFonts w:eastAsiaTheme="minorEastAsia" w:hint="eastAsia"/>
                <w:kern w:val="2"/>
                <w:sz w:val="17"/>
                <w:lang w:eastAsia="zh-TW"/>
              </w:rPr>
              <w:t>計算其市場風險，應將銀行帳及交易帳內</w:t>
            </w:r>
            <w:proofErr w:type="gramStart"/>
            <w:r>
              <w:rPr>
                <w:rFonts w:eastAsiaTheme="minorEastAsia" w:hint="eastAsia"/>
                <w:kern w:val="2"/>
                <w:sz w:val="17"/>
                <w:lang w:eastAsia="zh-TW"/>
              </w:rPr>
              <w:t>的持倉合計</w:t>
            </w:r>
            <w:proofErr w:type="gramEnd"/>
            <w:r>
              <w:rPr>
                <w:rFonts w:eastAsiaTheme="minorEastAsia" w:hint="eastAsia"/>
                <w:kern w:val="2"/>
                <w:sz w:val="17"/>
                <w:lang w:eastAsia="zh-TW"/>
              </w:rPr>
              <w:t>披露。</w:t>
            </w:r>
          </w:p>
        </w:tc>
      </w:tr>
      <w:tr w:rsidR="00A9457B" w14:paraId="6D833868" w14:textId="77777777" w:rsidTr="000F143F">
        <w:tc>
          <w:tcPr>
            <w:tcW w:w="2160" w:type="dxa"/>
            <w:tcBorders>
              <w:top w:val="single" w:sz="4" w:space="0" w:color="auto"/>
              <w:left w:val="nil"/>
              <w:bottom w:val="single" w:sz="4" w:space="0" w:color="auto"/>
              <w:right w:val="single" w:sz="4" w:space="0" w:color="auto"/>
            </w:tcBorders>
            <w:hideMark/>
          </w:tcPr>
          <w:p w14:paraId="760DDBD4" w14:textId="77777777" w:rsidR="00A9457B" w:rsidRDefault="00A9457B">
            <w:pPr>
              <w:spacing w:before="40" w:after="40"/>
              <w:rPr>
                <w:rFonts w:ascii="Times New Roman" w:hAnsi="Times New Roman"/>
                <w:b/>
                <w:kern w:val="2"/>
                <w:sz w:val="17"/>
                <w:lang w:eastAsia="en-GB"/>
              </w:rPr>
            </w:pPr>
            <w:r>
              <w:rPr>
                <w:rFonts w:ascii="Times New Roman" w:eastAsiaTheme="minorEastAsia" w:hAnsi="Times New Roman" w:hint="eastAsia"/>
                <w:b/>
                <w:kern w:val="2"/>
                <w:sz w:val="17"/>
                <w:lang w:eastAsia="zh-TW"/>
              </w:rPr>
              <w:t>內容：</w:t>
            </w:r>
          </w:p>
        </w:tc>
        <w:tc>
          <w:tcPr>
            <w:tcW w:w="6946" w:type="dxa"/>
            <w:tcBorders>
              <w:top w:val="single" w:sz="4" w:space="0" w:color="auto"/>
              <w:left w:val="single" w:sz="4" w:space="0" w:color="auto"/>
              <w:bottom w:val="single" w:sz="4" w:space="0" w:color="auto"/>
              <w:right w:val="nil"/>
            </w:tcBorders>
            <w:hideMark/>
          </w:tcPr>
          <w:p w14:paraId="0CB7429D" w14:textId="77777777" w:rsidR="00A9457B" w:rsidRDefault="00A9457B" w:rsidP="001D6590">
            <w:pPr>
              <w:spacing w:before="40" w:after="40"/>
              <w:ind w:right="38"/>
              <w:jc w:val="both"/>
              <w:rPr>
                <w:rFonts w:eastAsiaTheme="minorEastAsia"/>
                <w:kern w:val="2"/>
                <w:sz w:val="17"/>
                <w:lang w:eastAsia="en-GB"/>
              </w:rPr>
            </w:pPr>
            <w:proofErr w:type="spellStart"/>
            <w:r>
              <w:rPr>
                <w:rFonts w:eastAsiaTheme="minorEastAsia" w:hint="eastAsia"/>
                <w:kern w:val="2"/>
                <w:sz w:val="17"/>
                <w:lang w:eastAsia="en-GB"/>
              </w:rPr>
              <w:t>量化資料</w:t>
            </w:r>
            <w:proofErr w:type="spellEnd"/>
            <w:r>
              <w:rPr>
                <w:rFonts w:eastAsiaTheme="minorEastAsia" w:hint="eastAsia"/>
                <w:kern w:val="2"/>
                <w:sz w:val="17"/>
                <w:lang w:eastAsia="en-GB"/>
              </w:rPr>
              <w:t>。</w:t>
            </w:r>
          </w:p>
        </w:tc>
      </w:tr>
      <w:tr w:rsidR="00A9457B" w14:paraId="1242A472" w14:textId="77777777" w:rsidTr="000F143F">
        <w:tc>
          <w:tcPr>
            <w:tcW w:w="2160" w:type="dxa"/>
            <w:tcBorders>
              <w:top w:val="single" w:sz="4" w:space="0" w:color="auto"/>
              <w:left w:val="nil"/>
              <w:bottom w:val="single" w:sz="4" w:space="0" w:color="auto"/>
              <w:right w:val="single" w:sz="4" w:space="0" w:color="auto"/>
            </w:tcBorders>
            <w:hideMark/>
          </w:tcPr>
          <w:p w14:paraId="5E17D089" w14:textId="77777777" w:rsidR="00A9457B" w:rsidRDefault="00A9457B">
            <w:pPr>
              <w:spacing w:before="40" w:after="40"/>
              <w:rPr>
                <w:rFonts w:ascii="Times New Roman" w:hAnsi="Times New Roman"/>
                <w:kern w:val="2"/>
                <w:sz w:val="17"/>
                <w:lang w:eastAsia="en-GB"/>
              </w:rPr>
            </w:pPr>
            <w:r>
              <w:rPr>
                <w:rFonts w:ascii="Times New Roman" w:eastAsiaTheme="minorEastAsia" w:hAnsi="Times New Roman" w:hint="eastAsia"/>
                <w:b/>
                <w:kern w:val="2"/>
                <w:sz w:val="17"/>
                <w:lang w:eastAsia="zh-TW"/>
              </w:rPr>
              <w:t>頻密程度：</w:t>
            </w:r>
          </w:p>
        </w:tc>
        <w:tc>
          <w:tcPr>
            <w:tcW w:w="6946" w:type="dxa"/>
            <w:tcBorders>
              <w:top w:val="single" w:sz="4" w:space="0" w:color="auto"/>
              <w:left w:val="single" w:sz="4" w:space="0" w:color="auto"/>
              <w:bottom w:val="single" w:sz="4" w:space="0" w:color="auto"/>
              <w:right w:val="nil"/>
            </w:tcBorders>
            <w:hideMark/>
          </w:tcPr>
          <w:p w14:paraId="52A80131" w14:textId="77777777" w:rsidR="00A9457B" w:rsidRDefault="00A9457B" w:rsidP="001D6590">
            <w:pPr>
              <w:spacing w:before="40" w:after="40"/>
              <w:ind w:right="38"/>
              <w:jc w:val="both"/>
              <w:rPr>
                <w:rFonts w:eastAsiaTheme="minorEastAsia"/>
                <w:kern w:val="2"/>
                <w:sz w:val="17"/>
                <w:lang w:eastAsia="en-GB"/>
              </w:rPr>
            </w:pPr>
            <w:r>
              <w:rPr>
                <w:rFonts w:eastAsiaTheme="minorEastAsia" w:hint="eastAsia"/>
                <w:kern w:val="2"/>
                <w:sz w:val="17"/>
                <w:lang w:eastAsia="zh-TW"/>
              </w:rPr>
              <w:t>每年一次。</w:t>
            </w:r>
          </w:p>
        </w:tc>
      </w:tr>
      <w:tr w:rsidR="00A9457B" w14:paraId="31D54FCF" w14:textId="77777777" w:rsidTr="000F143F">
        <w:tc>
          <w:tcPr>
            <w:tcW w:w="2160" w:type="dxa"/>
            <w:tcBorders>
              <w:top w:val="single" w:sz="4" w:space="0" w:color="auto"/>
              <w:left w:val="nil"/>
              <w:bottom w:val="single" w:sz="4" w:space="0" w:color="auto"/>
              <w:right w:val="single" w:sz="4" w:space="0" w:color="auto"/>
            </w:tcBorders>
            <w:hideMark/>
          </w:tcPr>
          <w:p w14:paraId="21AB759E" w14:textId="77777777" w:rsidR="00A9457B" w:rsidRDefault="00A9457B">
            <w:pPr>
              <w:spacing w:before="40" w:after="40"/>
              <w:rPr>
                <w:rFonts w:ascii="Times New Roman" w:hAnsi="Times New Roman"/>
                <w:kern w:val="2"/>
                <w:sz w:val="17"/>
                <w:lang w:eastAsia="en-GB"/>
              </w:rPr>
            </w:pPr>
            <w:r>
              <w:rPr>
                <w:rFonts w:ascii="Times New Roman" w:eastAsiaTheme="minorEastAsia" w:hAnsi="Times New Roman" w:hint="eastAsia"/>
                <w:b/>
                <w:kern w:val="2"/>
                <w:sz w:val="17"/>
                <w:lang w:eastAsia="zh-TW"/>
              </w:rPr>
              <w:t>格式：</w:t>
            </w:r>
          </w:p>
        </w:tc>
        <w:tc>
          <w:tcPr>
            <w:tcW w:w="6946" w:type="dxa"/>
            <w:tcBorders>
              <w:top w:val="single" w:sz="4" w:space="0" w:color="auto"/>
              <w:left w:val="single" w:sz="4" w:space="0" w:color="auto"/>
              <w:bottom w:val="single" w:sz="4" w:space="0" w:color="auto"/>
              <w:right w:val="nil"/>
            </w:tcBorders>
            <w:hideMark/>
          </w:tcPr>
          <w:p w14:paraId="49CBFDD2" w14:textId="77777777" w:rsidR="00A9457B" w:rsidRDefault="00A9457B" w:rsidP="001D6590">
            <w:pPr>
              <w:spacing w:before="40" w:after="40"/>
              <w:ind w:right="38"/>
              <w:jc w:val="both"/>
              <w:rPr>
                <w:kern w:val="2"/>
                <w:sz w:val="17"/>
                <w:szCs w:val="17"/>
              </w:rPr>
            </w:pPr>
            <w:r>
              <w:rPr>
                <w:rFonts w:eastAsiaTheme="minorEastAsia" w:hint="eastAsia"/>
                <w:kern w:val="2"/>
                <w:sz w:val="17"/>
                <w:lang w:eastAsia="zh-TW"/>
              </w:rPr>
              <w:t>固定。</w:t>
            </w:r>
          </w:p>
        </w:tc>
      </w:tr>
      <w:tr w:rsidR="00A9457B" w14:paraId="3C02A335" w14:textId="77777777" w:rsidTr="000F143F">
        <w:tc>
          <w:tcPr>
            <w:tcW w:w="2160" w:type="dxa"/>
            <w:tcBorders>
              <w:top w:val="single" w:sz="4" w:space="0" w:color="auto"/>
              <w:left w:val="nil"/>
              <w:bottom w:val="single" w:sz="4" w:space="0" w:color="auto"/>
              <w:right w:val="single" w:sz="4" w:space="0" w:color="auto"/>
            </w:tcBorders>
            <w:hideMark/>
          </w:tcPr>
          <w:p w14:paraId="5F638EF7" w14:textId="77777777" w:rsidR="00A9457B" w:rsidRDefault="00A9457B">
            <w:pPr>
              <w:spacing w:before="40" w:after="40"/>
              <w:rPr>
                <w:rFonts w:ascii="Times New Roman" w:hAnsi="Times New Roman"/>
                <w:b/>
                <w:kern w:val="2"/>
                <w:sz w:val="17"/>
                <w:lang w:eastAsia="en-GB"/>
              </w:rPr>
            </w:pPr>
            <w:proofErr w:type="spellStart"/>
            <w:r>
              <w:rPr>
                <w:rFonts w:eastAsia="細明體" w:hint="eastAsia"/>
                <w:b/>
                <w:kern w:val="2"/>
                <w:sz w:val="17"/>
                <w:szCs w:val="17"/>
                <w:lang w:eastAsia="en-GB"/>
              </w:rPr>
              <w:t>附加說明</w:t>
            </w:r>
            <w:proofErr w:type="spellEnd"/>
            <w:r>
              <w:rPr>
                <w:rFonts w:eastAsia="細明體" w:hint="eastAsia"/>
                <w:b/>
                <w:kern w:val="2"/>
                <w:sz w:val="17"/>
                <w:szCs w:val="17"/>
                <w:lang w:eastAsia="en-GB"/>
              </w:rPr>
              <w:t>：</w:t>
            </w:r>
          </w:p>
        </w:tc>
        <w:tc>
          <w:tcPr>
            <w:tcW w:w="6946" w:type="dxa"/>
            <w:tcBorders>
              <w:top w:val="single" w:sz="4" w:space="0" w:color="auto"/>
              <w:left w:val="single" w:sz="4" w:space="0" w:color="auto"/>
              <w:bottom w:val="single" w:sz="4" w:space="0" w:color="auto"/>
              <w:right w:val="nil"/>
            </w:tcBorders>
            <w:hideMark/>
          </w:tcPr>
          <w:p w14:paraId="0970809C" w14:textId="66EDCC48" w:rsidR="00A9457B" w:rsidRDefault="00A9457B" w:rsidP="001D6590">
            <w:pPr>
              <w:spacing w:before="40" w:after="40"/>
              <w:ind w:right="38"/>
              <w:jc w:val="both"/>
              <w:rPr>
                <w:rFonts w:eastAsiaTheme="minorEastAsia"/>
                <w:kern w:val="2"/>
                <w:sz w:val="17"/>
                <w:szCs w:val="17"/>
                <w:lang w:val="en-US" w:eastAsia="zh-TW"/>
              </w:rPr>
            </w:pPr>
            <w:r>
              <w:rPr>
                <w:rFonts w:ascii="細明體" w:eastAsia="細明體" w:hAnsi="細明體" w:cs="細明體" w:hint="eastAsia"/>
                <w:kern w:val="2"/>
                <w:sz w:val="17"/>
                <w:szCs w:val="17"/>
                <w:lang w:eastAsia="zh-TW"/>
              </w:rPr>
              <w:t>認可機構應提供有關所填報值的重要性的評</w:t>
            </w:r>
            <w:proofErr w:type="gramStart"/>
            <w:r>
              <w:rPr>
                <w:rFonts w:ascii="細明體" w:eastAsia="細明體" w:hAnsi="細明體" w:cs="細明體" w:hint="eastAsia"/>
                <w:kern w:val="2"/>
                <w:sz w:val="17"/>
                <w:szCs w:val="17"/>
                <w:lang w:eastAsia="zh-TW"/>
              </w:rPr>
              <w:t>註</w:t>
            </w:r>
            <w:proofErr w:type="gramEnd"/>
            <w:r>
              <w:rPr>
                <w:rFonts w:ascii="細明體" w:eastAsia="細明體" w:hAnsi="細明體" w:cs="細明體" w:hint="eastAsia"/>
                <w:kern w:val="2"/>
                <w:sz w:val="17"/>
                <w:szCs w:val="17"/>
                <w:lang w:eastAsia="zh-TW"/>
              </w:rPr>
              <w:t>，以及解釋自上一個報告期結束以來的任何重大</w:t>
            </w:r>
            <w:r w:rsidR="00FC5741" w:rsidRPr="00FC5741">
              <w:rPr>
                <w:rFonts w:ascii="細明體" w:eastAsia="細明體" w:hAnsi="細明體" w:cs="細明體" w:hint="eastAsia"/>
                <w:kern w:val="2"/>
                <w:sz w:val="17"/>
                <w:szCs w:val="17"/>
                <w:lang w:eastAsia="zh-TW"/>
              </w:rPr>
              <w:t>改</w:t>
            </w:r>
            <w:r>
              <w:rPr>
                <w:rFonts w:ascii="細明體" w:eastAsia="細明體" w:hAnsi="細明體" w:cs="細明體" w:hint="eastAsia"/>
                <w:kern w:val="2"/>
                <w:sz w:val="17"/>
                <w:szCs w:val="17"/>
                <w:lang w:eastAsia="zh-TW"/>
              </w:rPr>
              <w:t>變。</w:t>
            </w:r>
            <w:r>
              <w:rPr>
                <w:kern w:val="2"/>
                <w:sz w:val="17"/>
                <w:szCs w:val="17"/>
                <w:lang w:eastAsia="zh-TW"/>
              </w:rPr>
              <w:t xml:space="preserve"> </w:t>
            </w:r>
          </w:p>
        </w:tc>
      </w:tr>
      <w:tr w:rsidR="00A9457B" w14:paraId="0034C91A" w14:textId="77777777" w:rsidTr="000F143F">
        <w:tc>
          <w:tcPr>
            <w:tcW w:w="2160" w:type="dxa"/>
            <w:tcBorders>
              <w:top w:val="single" w:sz="4" w:space="0" w:color="auto"/>
              <w:left w:val="nil"/>
              <w:bottom w:val="single" w:sz="4" w:space="0" w:color="auto"/>
              <w:right w:val="single" w:sz="4" w:space="0" w:color="auto"/>
            </w:tcBorders>
            <w:hideMark/>
          </w:tcPr>
          <w:p w14:paraId="4C3C0D7B" w14:textId="77777777" w:rsidR="00A9457B" w:rsidRDefault="00A9457B">
            <w:pPr>
              <w:spacing w:before="40" w:after="40"/>
              <w:rPr>
                <w:rFonts w:ascii="Times New Roman" w:eastAsiaTheme="minorEastAsia" w:hAnsi="Times New Roman"/>
                <w:b/>
                <w:kern w:val="2"/>
                <w:sz w:val="17"/>
                <w:szCs w:val="17"/>
                <w:lang w:eastAsia="zh-TW"/>
              </w:rPr>
            </w:pPr>
            <w:r>
              <w:rPr>
                <w:rFonts w:ascii="Times New Roman" w:eastAsiaTheme="minorEastAsia" w:hAnsi="Times New Roman" w:hint="eastAsia"/>
                <w:b/>
                <w:kern w:val="2"/>
                <w:sz w:val="17"/>
                <w:szCs w:val="17"/>
                <w:lang w:eastAsia="zh-TW"/>
              </w:rPr>
              <w:t>《披露規則》相應條文：</w:t>
            </w:r>
          </w:p>
        </w:tc>
        <w:tc>
          <w:tcPr>
            <w:tcW w:w="6946" w:type="dxa"/>
            <w:tcBorders>
              <w:top w:val="single" w:sz="4" w:space="0" w:color="auto"/>
              <w:left w:val="single" w:sz="4" w:space="0" w:color="auto"/>
              <w:bottom w:val="single" w:sz="4" w:space="0" w:color="auto"/>
              <w:right w:val="nil"/>
            </w:tcBorders>
            <w:hideMark/>
          </w:tcPr>
          <w:p w14:paraId="36DE10BC" w14:textId="77777777" w:rsidR="00A9457B" w:rsidRDefault="00A9457B" w:rsidP="001D6590">
            <w:pPr>
              <w:pStyle w:val="TableText"/>
              <w:ind w:right="38"/>
              <w:jc w:val="both"/>
              <w:rPr>
                <w:rFonts w:eastAsiaTheme="minorEastAsia"/>
                <w:kern w:val="2"/>
                <w:szCs w:val="17"/>
                <w:lang w:eastAsia="zh-TW"/>
              </w:rPr>
            </w:pPr>
            <w:r>
              <w:rPr>
                <w:kern w:val="2"/>
                <w:szCs w:val="17"/>
                <w:lang w:eastAsia="en-GB"/>
              </w:rPr>
              <w:t>16ZQ</w:t>
            </w:r>
          </w:p>
        </w:tc>
      </w:tr>
    </w:tbl>
    <w:p w14:paraId="0413A4E5" w14:textId="77777777" w:rsidR="008C5770" w:rsidRDefault="008C5770">
      <w:pPr>
        <w:rPr>
          <w:rFonts w:eastAsiaTheme="minorEastAsia" w:cs="Segoe UI"/>
          <w:lang w:eastAsia="zh-TW"/>
        </w:rPr>
      </w:pPr>
    </w:p>
    <w:tbl>
      <w:tblPr>
        <w:tblW w:w="9216"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852"/>
        <w:gridCol w:w="2694"/>
        <w:gridCol w:w="1311"/>
        <w:gridCol w:w="1453"/>
        <w:gridCol w:w="1453"/>
        <w:gridCol w:w="1453"/>
      </w:tblGrid>
      <w:tr w:rsidR="001B39FD" w14:paraId="00B7B5B2" w14:textId="77777777" w:rsidTr="00A9457B">
        <w:trPr>
          <w:cantSplit/>
          <w:trHeight w:val="107"/>
          <w:tblHeader/>
        </w:trPr>
        <w:tc>
          <w:tcPr>
            <w:tcW w:w="851" w:type="dxa"/>
            <w:tcBorders>
              <w:top w:val="nil"/>
              <w:left w:val="nil"/>
              <w:bottom w:val="nil"/>
              <w:right w:val="nil"/>
            </w:tcBorders>
          </w:tcPr>
          <w:p w14:paraId="00A98C62" w14:textId="77777777" w:rsidR="00A9457B" w:rsidRDefault="00A9457B">
            <w:pPr>
              <w:pStyle w:val="TableText"/>
              <w:snapToGrid w:val="0"/>
              <w:rPr>
                <w:kern w:val="2"/>
                <w:lang w:eastAsia="en-GB"/>
              </w:rPr>
            </w:pPr>
          </w:p>
        </w:tc>
        <w:tc>
          <w:tcPr>
            <w:tcW w:w="2693" w:type="dxa"/>
            <w:tcBorders>
              <w:top w:val="nil"/>
              <w:left w:val="nil"/>
              <w:bottom w:val="nil"/>
              <w:right w:val="single" w:sz="4" w:space="0" w:color="auto"/>
            </w:tcBorders>
            <w:vAlign w:val="center"/>
          </w:tcPr>
          <w:p w14:paraId="037B4D61" w14:textId="77777777" w:rsidR="00A9457B" w:rsidRDefault="00A9457B">
            <w:pPr>
              <w:pStyle w:val="TableText"/>
              <w:snapToGrid w:val="0"/>
              <w:rPr>
                <w:bCs/>
                <w:kern w:val="2"/>
                <w:szCs w:val="17"/>
                <w:lang w:eastAsia="it-IT"/>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2C543143" w14:textId="77777777" w:rsidR="00A9457B" w:rsidRDefault="00A9457B">
            <w:pPr>
              <w:spacing w:before="120" w:after="60" w:line="100" w:lineRule="exact"/>
              <w:jc w:val="center"/>
              <w:rPr>
                <w:bCs/>
                <w:kern w:val="2"/>
                <w:sz w:val="17"/>
                <w:szCs w:val="17"/>
                <w:lang w:eastAsia="it-IT"/>
              </w:rPr>
            </w:pPr>
            <w:r>
              <w:rPr>
                <w:bCs/>
                <w:kern w:val="2"/>
                <w:sz w:val="17"/>
                <w:szCs w:val="17"/>
                <w:lang w:eastAsia="it-IT"/>
              </w:rPr>
              <w:t>(a)</w:t>
            </w:r>
          </w:p>
        </w:tc>
        <w:tc>
          <w:tcPr>
            <w:tcW w:w="1453" w:type="dxa"/>
            <w:tcBorders>
              <w:top w:val="single" w:sz="4" w:space="0" w:color="auto"/>
              <w:left w:val="nil"/>
              <w:bottom w:val="single" w:sz="4" w:space="0" w:color="auto"/>
              <w:right w:val="single" w:sz="4" w:space="0" w:color="auto"/>
            </w:tcBorders>
            <w:vAlign w:val="center"/>
            <w:hideMark/>
          </w:tcPr>
          <w:p w14:paraId="34F2B056" w14:textId="77777777" w:rsidR="00A9457B" w:rsidRDefault="00A9457B">
            <w:pPr>
              <w:spacing w:before="120" w:after="60" w:line="100" w:lineRule="exact"/>
              <w:jc w:val="center"/>
              <w:rPr>
                <w:bCs/>
                <w:kern w:val="2"/>
                <w:sz w:val="17"/>
                <w:szCs w:val="17"/>
                <w:lang w:eastAsia="it-IT"/>
              </w:rPr>
            </w:pPr>
            <w:r>
              <w:rPr>
                <w:bCs/>
                <w:kern w:val="2"/>
                <w:sz w:val="17"/>
                <w:szCs w:val="17"/>
                <w:lang w:eastAsia="it-IT"/>
              </w:rPr>
              <w:t>(b)</w:t>
            </w:r>
          </w:p>
        </w:tc>
        <w:tc>
          <w:tcPr>
            <w:tcW w:w="1453" w:type="dxa"/>
            <w:tcBorders>
              <w:top w:val="single" w:sz="4" w:space="0" w:color="auto"/>
              <w:left w:val="nil"/>
              <w:bottom w:val="single" w:sz="4" w:space="0" w:color="auto"/>
              <w:right w:val="single" w:sz="4" w:space="0" w:color="auto"/>
            </w:tcBorders>
            <w:vAlign w:val="center"/>
            <w:hideMark/>
          </w:tcPr>
          <w:p w14:paraId="5D63ACDB" w14:textId="77777777" w:rsidR="00A9457B" w:rsidRDefault="00A9457B">
            <w:pPr>
              <w:spacing w:before="120" w:after="60" w:line="100" w:lineRule="exact"/>
              <w:jc w:val="center"/>
              <w:rPr>
                <w:bCs/>
                <w:kern w:val="2"/>
                <w:sz w:val="17"/>
                <w:szCs w:val="17"/>
                <w:lang w:eastAsia="it-IT"/>
              </w:rPr>
            </w:pPr>
            <w:r>
              <w:rPr>
                <w:bCs/>
                <w:kern w:val="2"/>
                <w:sz w:val="17"/>
                <w:szCs w:val="17"/>
                <w:lang w:eastAsia="it-IT"/>
              </w:rPr>
              <w:t>(c)</w:t>
            </w:r>
          </w:p>
        </w:tc>
        <w:tc>
          <w:tcPr>
            <w:tcW w:w="1453" w:type="dxa"/>
            <w:tcBorders>
              <w:top w:val="single" w:sz="4" w:space="0" w:color="auto"/>
              <w:left w:val="single" w:sz="4" w:space="0" w:color="auto"/>
              <w:bottom w:val="single" w:sz="4" w:space="0" w:color="auto"/>
              <w:right w:val="single" w:sz="4" w:space="0" w:color="auto"/>
            </w:tcBorders>
            <w:vAlign w:val="center"/>
            <w:hideMark/>
          </w:tcPr>
          <w:p w14:paraId="53EB30B0" w14:textId="77777777" w:rsidR="00A9457B" w:rsidRDefault="00A9457B">
            <w:pPr>
              <w:pStyle w:val="TableText"/>
              <w:spacing w:before="120" w:after="60" w:line="100" w:lineRule="exact"/>
              <w:jc w:val="center"/>
              <w:rPr>
                <w:bCs/>
                <w:kern w:val="2"/>
                <w:szCs w:val="17"/>
                <w:lang w:eastAsia="it-IT"/>
              </w:rPr>
            </w:pPr>
            <w:r>
              <w:rPr>
                <w:bCs/>
                <w:kern w:val="2"/>
                <w:szCs w:val="17"/>
                <w:lang w:eastAsia="it-IT"/>
              </w:rPr>
              <w:t>(d)</w:t>
            </w:r>
          </w:p>
        </w:tc>
      </w:tr>
      <w:tr w:rsidR="00A9457B" w14:paraId="7F93FAFA" w14:textId="77777777" w:rsidTr="00A9457B">
        <w:trPr>
          <w:cantSplit/>
          <w:tblHeader/>
        </w:trPr>
        <w:tc>
          <w:tcPr>
            <w:tcW w:w="3544" w:type="dxa"/>
            <w:gridSpan w:val="2"/>
            <w:tcBorders>
              <w:top w:val="nil"/>
              <w:left w:val="nil"/>
              <w:bottom w:val="single" w:sz="4" w:space="0" w:color="auto"/>
              <w:right w:val="single" w:sz="4" w:space="0" w:color="auto"/>
            </w:tcBorders>
            <w:vAlign w:val="center"/>
            <w:hideMark/>
          </w:tcPr>
          <w:p w14:paraId="22C21467" w14:textId="77777777" w:rsidR="00A9457B" w:rsidRDefault="00A9457B">
            <w:pPr>
              <w:pStyle w:val="TableText"/>
              <w:snapToGrid w:val="0"/>
              <w:rPr>
                <w:b/>
                <w:kern w:val="2"/>
                <w:lang w:eastAsia="zh-TW"/>
              </w:rPr>
            </w:pPr>
            <w:r>
              <w:rPr>
                <w:rFonts w:asciiTheme="minorEastAsia" w:eastAsiaTheme="minorEastAsia" w:hAnsiTheme="minorEastAsia" w:hint="eastAsia"/>
                <w:kern w:val="2"/>
                <w:lang w:eastAsia="zh-TW"/>
              </w:rPr>
              <w:t>（以填報貨幣為單位）</w:t>
            </w:r>
          </w:p>
        </w:tc>
        <w:tc>
          <w:tcPr>
            <w:tcW w:w="2764" w:type="dxa"/>
            <w:gridSpan w:val="2"/>
            <w:tcBorders>
              <w:top w:val="single" w:sz="4" w:space="0" w:color="auto"/>
              <w:left w:val="nil"/>
              <w:bottom w:val="single" w:sz="4" w:space="0" w:color="auto"/>
              <w:right w:val="single" w:sz="4" w:space="0" w:color="auto"/>
            </w:tcBorders>
            <w:vAlign w:val="center"/>
            <w:hideMark/>
          </w:tcPr>
          <w:p w14:paraId="0A9589BD" w14:textId="77777777" w:rsidR="00A9457B" w:rsidRDefault="00A9457B">
            <w:pPr>
              <w:pStyle w:val="TableText"/>
              <w:snapToGrid w:val="0"/>
              <w:jc w:val="center"/>
              <w:rPr>
                <w:b/>
                <w:kern w:val="2"/>
                <w:szCs w:val="17"/>
                <w:lang w:val="en-US" w:eastAsia="en-GB"/>
              </w:rPr>
            </w:pPr>
            <w:r>
              <w:rPr>
                <w:b/>
                <w:kern w:val="2"/>
                <w:szCs w:val="17"/>
              </w:rPr>
              <w:t>ΔEVE</w:t>
            </w:r>
          </w:p>
        </w:tc>
        <w:tc>
          <w:tcPr>
            <w:tcW w:w="2906" w:type="dxa"/>
            <w:gridSpan w:val="2"/>
            <w:tcBorders>
              <w:top w:val="single" w:sz="4" w:space="0" w:color="auto"/>
              <w:left w:val="nil"/>
              <w:bottom w:val="single" w:sz="4" w:space="0" w:color="auto"/>
              <w:right w:val="single" w:sz="4" w:space="0" w:color="auto"/>
            </w:tcBorders>
            <w:vAlign w:val="center"/>
            <w:hideMark/>
          </w:tcPr>
          <w:p w14:paraId="25D1E03B" w14:textId="77777777" w:rsidR="00A9457B" w:rsidRDefault="00A9457B">
            <w:pPr>
              <w:pStyle w:val="TableText"/>
              <w:snapToGrid w:val="0"/>
              <w:jc w:val="center"/>
              <w:rPr>
                <w:b/>
                <w:kern w:val="2"/>
                <w:szCs w:val="17"/>
              </w:rPr>
            </w:pPr>
            <w:r>
              <w:rPr>
                <w:b/>
                <w:kern w:val="2"/>
                <w:szCs w:val="17"/>
              </w:rPr>
              <w:t>ΔNII</w:t>
            </w:r>
          </w:p>
        </w:tc>
      </w:tr>
      <w:tr w:rsidR="001B39FD" w14:paraId="457FB359" w14:textId="77777777" w:rsidTr="00A9457B">
        <w:trPr>
          <w:cantSplit/>
          <w:tblHeader/>
        </w:trPr>
        <w:tc>
          <w:tcPr>
            <w:tcW w:w="851" w:type="dxa"/>
            <w:tcBorders>
              <w:top w:val="single" w:sz="4" w:space="0" w:color="auto"/>
              <w:left w:val="nil"/>
              <w:bottom w:val="single" w:sz="4" w:space="0" w:color="auto"/>
              <w:right w:val="single" w:sz="4" w:space="0" w:color="auto"/>
            </w:tcBorders>
            <w:vAlign w:val="center"/>
          </w:tcPr>
          <w:p w14:paraId="6B105293" w14:textId="77777777" w:rsidR="00A9457B" w:rsidRDefault="00A9457B">
            <w:pPr>
              <w:pStyle w:val="TableText"/>
              <w:snapToGrid w:val="0"/>
              <w:jc w:val="center"/>
              <w:rPr>
                <w:b/>
                <w:kern w:val="2"/>
                <w:lang w:eastAsia="en-GB"/>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C3CBC79" w14:textId="77777777" w:rsidR="00A9457B" w:rsidRDefault="00A9457B">
            <w:pPr>
              <w:pStyle w:val="TableText"/>
              <w:snapToGrid w:val="0"/>
              <w:rPr>
                <w:b/>
                <w:kern w:val="2"/>
                <w:lang w:eastAsia="en-GB"/>
              </w:rPr>
            </w:pPr>
            <w:r>
              <w:rPr>
                <w:rFonts w:asciiTheme="minorEastAsia" w:eastAsiaTheme="minorEastAsia" w:hAnsiTheme="minorEastAsia" w:hint="eastAsia"/>
                <w:b/>
                <w:kern w:val="2"/>
                <w:lang w:eastAsia="zh-TW"/>
              </w:rPr>
              <w:t>期間</w:t>
            </w:r>
          </w:p>
        </w:tc>
        <w:tc>
          <w:tcPr>
            <w:tcW w:w="1311" w:type="dxa"/>
            <w:tcBorders>
              <w:top w:val="single" w:sz="4" w:space="0" w:color="auto"/>
              <w:left w:val="nil"/>
              <w:bottom w:val="single" w:sz="4" w:space="0" w:color="auto"/>
              <w:right w:val="single" w:sz="4" w:space="0" w:color="auto"/>
            </w:tcBorders>
            <w:vAlign w:val="center"/>
            <w:hideMark/>
          </w:tcPr>
          <w:p w14:paraId="71175D86" w14:textId="77777777" w:rsidR="00A9457B" w:rsidRDefault="00A9457B">
            <w:pPr>
              <w:pStyle w:val="TableText"/>
              <w:snapToGrid w:val="0"/>
              <w:jc w:val="center"/>
              <w:rPr>
                <w:b/>
                <w:kern w:val="2"/>
                <w:szCs w:val="17"/>
                <w:lang w:val="en-US" w:eastAsia="en-GB"/>
              </w:rPr>
            </w:pPr>
            <w:r>
              <w:rPr>
                <w:b/>
                <w:kern w:val="2"/>
                <w:szCs w:val="17"/>
                <w:lang w:val="en-US" w:eastAsia="en-GB"/>
              </w:rPr>
              <w:t>T</w:t>
            </w:r>
          </w:p>
        </w:tc>
        <w:tc>
          <w:tcPr>
            <w:tcW w:w="1453" w:type="dxa"/>
            <w:tcBorders>
              <w:top w:val="single" w:sz="4" w:space="0" w:color="auto"/>
              <w:left w:val="nil"/>
              <w:bottom w:val="single" w:sz="4" w:space="0" w:color="auto"/>
              <w:right w:val="single" w:sz="4" w:space="0" w:color="auto"/>
            </w:tcBorders>
            <w:vAlign w:val="center"/>
            <w:hideMark/>
          </w:tcPr>
          <w:p w14:paraId="286BC95A" w14:textId="77777777" w:rsidR="00A9457B" w:rsidRDefault="00A9457B">
            <w:pPr>
              <w:pStyle w:val="TableText"/>
              <w:snapToGrid w:val="0"/>
              <w:jc w:val="center"/>
              <w:rPr>
                <w:b/>
                <w:kern w:val="2"/>
                <w:szCs w:val="17"/>
                <w:lang w:val="en-US" w:eastAsia="en-GB"/>
              </w:rPr>
            </w:pPr>
            <w:r>
              <w:rPr>
                <w:b/>
                <w:kern w:val="2"/>
                <w:szCs w:val="17"/>
                <w:lang w:val="en-US" w:eastAsia="en-GB"/>
              </w:rPr>
              <w:t>T-1</w:t>
            </w:r>
          </w:p>
        </w:tc>
        <w:tc>
          <w:tcPr>
            <w:tcW w:w="1453" w:type="dxa"/>
            <w:tcBorders>
              <w:top w:val="single" w:sz="4" w:space="0" w:color="auto"/>
              <w:left w:val="nil"/>
              <w:bottom w:val="single" w:sz="4" w:space="0" w:color="auto"/>
              <w:right w:val="single" w:sz="4" w:space="0" w:color="auto"/>
            </w:tcBorders>
            <w:vAlign w:val="center"/>
            <w:hideMark/>
          </w:tcPr>
          <w:p w14:paraId="4A185C49" w14:textId="77777777" w:rsidR="00A9457B" w:rsidRDefault="00A9457B">
            <w:pPr>
              <w:pStyle w:val="TableText"/>
              <w:snapToGrid w:val="0"/>
              <w:jc w:val="center"/>
              <w:rPr>
                <w:b/>
                <w:kern w:val="2"/>
                <w:szCs w:val="17"/>
                <w:lang w:val="en-US" w:eastAsia="en-GB"/>
              </w:rPr>
            </w:pPr>
            <w:r>
              <w:rPr>
                <w:b/>
                <w:kern w:val="2"/>
                <w:szCs w:val="17"/>
                <w:lang w:val="en-US" w:eastAsia="en-GB"/>
              </w:rPr>
              <w:t>T</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3992726" w14:textId="77777777" w:rsidR="00A9457B" w:rsidRDefault="00A9457B">
            <w:pPr>
              <w:pStyle w:val="TableText"/>
              <w:snapToGrid w:val="0"/>
              <w:jc w:val="center"/>
              <w:rPr>
                <w:b/>
                <w:kern w:val="2"/>
                <w:szCs w:val="17"/>
              </w:rPr>
            </w:pPr>
            <w:r>
              <w:rPr>
                <w:b/>
                <w:kern w:val="2"/>
                <w:szCs w:val="17"/>
              </w:rPr>
              <w:t>T-1</w:t>
            </w:r>
          </w:p>
        </w:tc>
      </w:tr>
      <w:tr w:rsidR="00883F2A" w14:paraId="4F955B53" w14:textId="77777777" w:rsidTr="00A9457B">
        <w:trPr>
          <w:cantSplit/>
        </w:trPr>
        <w:tc>
          <w:tcPr>
            <w:tcW w:w="851" w:type="dxa"/>
            <w:tcBorders>
              <w:top w:val="single" w:sz="4" w:space="0" w:color="auto"/>
              <w:left w:val="nil"/>
              <w:bottom w:val="single" w:sz="4" w:space="0" w:color="auto"/>
              <w:right w:val="single" w:sz="4" w:space="0" w:color="auto"/>
            </w:tcBorders>
            <w:hideMark/>
          </w:tcPr>
          <w:p w14:paraId="4F102F4E" w14:textId="77777777" w:rsidR="00A9457B" w:rsidRDefault="00A9457B">
            <w:pPr>
              <w:pStyle w:val="TableText"/>
              <w:snapToGrid w:val="0"/>
              <w:rPr>
                <w:kern w:val="2"/>
                <w:lang w:eastAsia="en-GB"/>
              </w:rPr>
            </w:pPr>
            <w:r>
              <w:rPr>
                <w:kern w:val="2"/>
                <w:lang w:eastAsia="en-GB"/>
              </w:rPr>
              <w:t>1</w:t>
            </w:r>
          </w:p>
        </w:tc>
        <w:tc>
          <w:tcPr>
            <w:tcW w:w="2693" w:type="dxa"/>
            <w:tcBorders>
              <w:top w:val="single" w:sz="4" w:space="0" w:color="auto"/>
              <w:left w:val="single" w:sz="4" w:space="0" w:color="auto"/>
              <w:bottom w:val="single" w:sz="4" w:space="0" w:color="auto"/>
              <w:right w:val="single" w:sz="4" w:space="0" w:color="auto"/>
            </w:tcBorders>
            <w:hideMark/>
          </w:tcPr>
          <w:p w14:paraId="3AF3923C" w14:textId="77777777" w:rsidR="00A9457B" w:rsidRDefault="00A9457B">
            <w:pPr>
              <w:pStyle w:val="TableText"/>
              <w:snapToGrid w:val="0"/>
              <w:rPr>
                <w:kern w:val="2"/>
                <w:szCs w:val="17"/>
                <w:lang w:eastAsia="en-GB"/>
              </w:rPr>
            </w:pPr>
            <w:r>
              <w:rPr>
                <w:rFonts w:asciiTheme="minorEastAsia" w:eastAsiaTheme="minorEastAsia" w:hAnsiTheme="minorEastAsia" w:hint="eastAsia"/>
                <w:kern w:val="2"/>
                <w:szCs w:val="17"/>
                <w:lang w:eastAsia="zh-TW"/>
              </w:rPr>
              <w:t>平行向上</w:t>
            </w:r>
          </w:p>
        </w:tc>
        <w:tc>
          <w:tcPr>
            <w:tcW w:w="1311" w:type="dxa"/>
            <w:tcBorders>
              <w:top w:val="single" w:sz="4" w:space="0" w:color="auto"/>
              <w:left w:val="single" w:sz="4" w:space="0" w:color="auto"/>
              <w:bottom w:val="single" w:sz="4" w:space="0" w:color="auto"/>
              <w:right w:val="single" w:sz="4" w:space="0" w:color="auto"/>
            </w:tcBorders>
          </w:tcPr>
          <w:p w14:paraId="2D3DEBE7"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3B8FCA2B"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BB7E1"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9E78F" w14:textId="77777777" w:rsidR="00A9457B" w:rsidRDefault="00A9457B">
            <w:pPr>
              <w:pStyle w:val="TableText"/>
              <w:snapToGrid w:val="0"/>
              <w:rPr>
                <w:kern w:val="2"/>
                <w:szCs w:val="17"/>
                <w:lang w:eastAsia="en-GB"/>
              </w:rPr>
            </w:pPr>
          </w:p>
        </w:tc>
      </w:tr>
      <w:tr w:rsidR="00883F2A" w14:paraId="4AFA1D86" w14:textId="77777777" w:rsidTr="00A9457B">
        <w:trPr>
          <w:cantSplit/>
        </w:trPr>
        <w:tc>
          <w:tcPr>
            <w:tcW w:w="851" w:type="dxa"/>
            <w:tcBorders>
              <w:top w:val="single" w:sz="4" w:space="0" w:color="auto"/>
              <w:left w:val="nil"/>
              <w:bottom w:val="single" w:sz="4" w:space="0" w:color="auto"/>
              <w:right w:val="single" w:sz="4" w:space="0" w:color="auto"/>
            </w:tcBorders>
            <w:hideMark/>
          </w:tcPr>
          <w:p w14:paraId="2FDD5B17" w14:textId="77777777" w:rsidR="00A9457B" w:rsidRDefault="00A9457B">
            <w:pPr>
              <w:pStyle w:val="TableText"/>
              <w:snapToGrid w:val="0"/>
              <w:rPr>
                <w:kern w:val="2"/>
                <w:lang w:eastAsia="en-GB"/>
              </w:rPr>
            </w:pPr>
            <w:r>
              <w:rPr>
                <w:kern w:val="2"/>
                <w:lang w:eastAsia="en-GB"/>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FC5653" w14:textId="77777777" w:rsidR="00A9457B" w:rsidRDefault="00A9457B">
            <w:pPr>
              <w:pStyle w:val="TableText"/>
              <w:snapToGrid w:val="0"/>
              <w:rPr>
                <w:kern w:val="2"/>
                <w:szCs w:val="17"/>
                <w:lang w:eastAsia="en-GB"/>
              </w:rPr>
            </w:pPr>
            <w:r>
              <w:rPr>
                <w:rFonts w:asciiTheme="minorEastAsia" w:eastAsiaTheme="minorEastAsia" w:hAnsiTheme="minorEastAsia" w:hint="eastAsia"/>
                <w:kern w:val="2"/>
                <w:szCs w:val="17"/>
                <w:lang w:eastAsia="zh-TW"/>
              </w:rPr>
              <w:t>平行向下</w:t>
            </w:r>
          </w:p>
        </w:tc>
        <w:tc>
          <w:tcPr>
            <w:tcW w:w="1311" w:type="dxa"/>
            <w:tcBorders>
              <w:top w:val="single" w:sz="4" w:space="0" w:color="auto"/>
              <w:left w:val="single" w:sz="4" w:space="0" w:color="auto"/>
              <w:bottom w:val="single" w:sz="4" w:space="0" w:color="auto"/>
              <w:right w:val="single" w:sz="4" w:space="0" w:color="auto"/>
            </w:tcBorders>
          </w:tcPr>
          <w:p w14:paraId="4088873E"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2E3D"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6B2FB665"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53189" w14:textId="77777777" w:rsidR="00A9457B" w:rsidRDefault="00A9457B">
            <w:pPr>
              <w:pStyle w:val="TableText"/>
              <w:snapToGrid w:val="0"/>
              <w:rPr>
                <w:kern w:val="2"/>
                <w:szCs w:val="17"/>
                <w:lang w:eastAsia="en-GB"/>
              </w:rPr>
            </w:pPr>
          </w:p>
        </w:tc>
      </w:tr>
      <w:tr w:rsidR="00883F2A" w14:paraId="2B82F91B" w14:textId="77777777" w:rsidTr="00A9457B">
        <w:trPr>
          <w:cantSplit/>
        </w:trPr>
        <w:tc>
          <w:tcPr>
            <w:tcW w:w="851" w:type="dxa"/>
            <w:tcBorders>
              <w:top w:val="single" w:sz="4" w:space="0" w:color="auto"/>
              <w:left w:val="nil"/>
              <w:bottom w:val="single" w:sz="4" w:space="0" w:color="auto"/>
              <w:right w:val="single" w:sz="4" w:space="0" w:color="auto"/>
            </w:tcBorders>
            <w:hideMark/>
          </w:tcPr>
          <w:p w14:paraId="784B85D4" w14:textId="77777777" w:rsidR="00A9457B" w:rsidRDefault="00A9457B">
            <w:pPr>
              <w:pStyle w:val="TableText"/>
              <w:snapToGrid w:val="0"/>
              <w:rPr>
                <w:kern w:val="2"/>
                <w:lang w:eastAsia="en-GB"/>
              </w:rPr>
            </w:pPr>
            <w:r>
              <w:rPr>
                <w:kern w:val="2"/>
                <w:lang w:eastAsia="en-GB"/>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5A024A" w14:textId="77777777" w:rsidR="00A9457B" w:rsidRDefault="00A9457B">
            <w:pPr>
              <w:pStyle w:val="TableText"/>
              <w:snapToGrid w:val="0"/>
              <w:rPr>
                <w:kern w:val="2"/>
                <w:szCs w:val="17"/>
                <w:lang w:eastAsia="en-GB"/>
              </w:rPr>
            </w:pPr>
            <w:r>
              <w:rPr>
                <w:rFonts w:asciiTheme="minorEastAsia" w:eastAsiaTheme="minorEastAsia" w:hAnsiTheme="minorEastAsia" w:hint="eastAsia"/>
                <w:kern w:val="2"/>
                <w:szCs w:val="17"/>
                <w:lang w:eastAsia="zh-TW"/>
              </w:rPr>
              <w:t>較傾斜</w:t>
            </w:r>
          </w:p>
        </w:tc>
        <w:tc>
          <w:tcPr>
            <w:tcW w:w="1311" w:type="dxa"/>
            <w:tcBorders>
              <w:top w:val="single" w:sz="4" w:space="0" w:color="auto"/>
              <w:left w:val="single" w:sz="4" w:space="0" w:color="auto"/>
              <w:bottom w:val="single" w:sz="4" w:space="0" w:color="auto"/>
              <w:right w:val="single" w:sz="4" w:space="0" w:color="auto"/>
            </w:tcBorders>
          </w:tcPr>
          <w:p w14:paraId="0C16967F"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tcPr>
          <w:p w14:paraId="59982FCC"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808080" w:themeColor="background1" w:themeShade="80"/>
              <w:right w:val="single" w:sz="4" w:space="0" w:color="auto"/>
            </w:tcBorders>
            <w:shd w:val="clear" w:color="auto" w:fill="808080" w:themeFill="background1" w:themeFillShade="80"/>
          </w:tcPr>
          <w:p w14:paraId="3E6E7EA6"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2FFD8278" w14:textId="77777777" w:rsidR="00A9457B" w:rsidRDefault="00A9457B">
            <w:pPr>
              <w:pStyle w:val="TableText"/>
              <w:snapToGrid w:val="0"/>
              <w:rPr>
                <w:kern w:val="2"/>
                <w:szCs w:val="17"/>
                <w:lang w:eastAsia="en-GB"/>
              </w:rPr>
            </w:pPr>
          </w:p>
        </w:tc>
      </w:tr>
      <w:tr w:rsidR="00883F2A" w14:paraId="7BB4676C" w14:textId="77777777" w:rsidTr="00A9457B">
        <w:trPr>
          <w:cantSplit/>
        </w:trPr>
        <w:tc>
          <w:tcPr>
            <w:tcW w:w="851" w:type="dxa"/>
            <w:tcBorders>
              <w:top w:val="single" w:sz="4" w:space="0" w:color="auto"/>
              <w:left w:val="nil"/>
              <w:bottom w:val="single" w:sz="4" w:space="0" w:color="auto"/>
              <w:right w:val="single" w:sz="4" w:space="0" w:color="auto"/>
            </w:tcBorders>
            <w:hideMark/>
          </w:tcPr>
          <w:p w14:paraId="5A9B4D89" w14:textId="77777777" w:rsidR="00A9457B" w:rsidRDefault="00A9457B">
            <w:pPr>
              <w:pStyle w:val="TableText"/>
              <w:snapToGrid w:val="0"/>
              <w:rPr>
                <w:kern w:val="2"/>
                <w:lang w:eastAsia="en-GB"/>
              </w:rPr>
            </w:pPr>
            <w:r>
              <w:rPr>
                <w:kern w:val="2"/>
                <w:lang w:eastAsia="en-GB"/>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FA5A9D" w14:textId="77777777" w:rsidR="00A9457B" w:rsidRDefault="00A9457B">
            <w:pPr>
              <w:pStyle w:val="TableText"/>
              <w:snapToGrid w:val="0"/>
              <w:rPr>
                <w:kern w:val="2"/>
                <w:szCs w:val="17"/>
                <w:lang w:eastAsia="en-GB"/>
              </w:rPr>
            </w:pPr>
            <w:r>
              <w:rPr>
                <w:rFonts w:asciiTheme="minorEastAsia" w:eastAsiaTheme="minorEastAsia" w:hAnsiTheme="minorEastAsia" w:hint="eastAsia"/>
                <w:kern w:val="2"/>
                <w:szCs w:val="17"/>
                <w:lang w:eastAsia="zh-TW"/>
              </w:rPr>
              <w:t>較橫向</w:t>
            </w:r>
          </w:p>
        </w:tc>
        <w:tc>
          <w:tcPr>
            <w:tcW w:w="1311" w:type="dxa"/>
            <w:tcBorders>
              <w:top w:val="single" w:sz="4" w:space="0" w:color="auto"/>
              <w:left w:val="single" w:sz="4" w:space="0" w:color="auto"/>
              <w:bottom w:val="single" w:sz="4" w:space="0" w:color="auto"/>
              <w:right w:val="single" w:sz="4" w:space="0" w:color="auto"/>
            </w:tcBorders>
          </w:tcPr>
          <w:p w14:paraId="2972E458"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tcPr>
          <w:p w14:paraId="37AEDD5C" w14:textId="77777777" w:rsidR="00A9457B" w:rsidRDefault="00A9457B">
            <w:pPr>
              <w:pStyle w:val="TableText"/>
              <w:snapToGrid w:val="0"/>
              <w:rPr>
                <w:kern w:val="2"/>
                <w:szCs w:val="17"/>
                <w:lang w:eastAsia="en-GB"/>
              </w:rPr>
            </w:pPr>
          </w:p>
        </w:tc>
        <w:tc>
          <w:tcPr>
            <w:tcW w:w="1453"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tcPr>
          <w:p w14:paraId="4A6EE0A6" w14:textId="77777777" w:rsidR="00A9457B" w:rsidRDefault="00A9457B">
            <w:pPr>
              <w:pStyle w:val="TableText"/>
              <w:snapToGrid w:val="0"/>
              <w:rPr>
                <w:kern w:val="2"/>
                <w:szCs w:val="17"/>
                <w:lang w:eastAsia="en-GB"/>
              </w:rPr>
            </w:pPr>
          </w:p>
        </w:tc>
        <w:tc>
          <w:tcPr>
            <w:tcW w:w="1453"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1AAD0C0F" w14:textId="77777777" w:rsidR="00A9457B" w:rsidRDefault="00A9457B">
            <w:pPr>
              <w:pStyle w:val="TableText"/>
              <w:snapToGrid w:val="0"/>
              <w:rPr>
                <w:kern w:val="2"/>
                <w:szCs w:val="17"/>
                <w:lang w:eastAsia="en-GB"/>
              </w:rPr>
            </w:pPr>
          </w:p>
        </w:tc>
      </w:tr>
      <w:tr w:rsidR="00883F2A" w14:paraId="27485880" w14:textId="77777777" w:rsidTr="00A9457B">
        <w:trPr>
          <w:cantSplit/>
        </w:trPr>
        <w:tc>
          <w:tcPr>
            <w:tcW w:w="851" w:type="dxa"/>
            <w:tcBorders>
              <w:top w:val="single" w:sz="4" w:space="0" w:color="auto"/>
              <w:left w:val="nil"/>
              <w:bottom w:val="single" w:sz="4" w:space="0" w:color="auto"/>
              <w:right w:val="single" w:sz="4" w:space="0" w:color="auto"/>
            </w:tcBorders>
            <w:hideMark/>
          </w:tcPr>
          <w:p w14:paraId="52F0A17B" w14:textId="77777777" w:rsidR="00A9457B" w:rsidRDefault="00A9457B">
            <w:pPr>
              <w:pStyle w:val="TableText"/>
              <w:snapToGrid w:val="0"/>
              <w:rPr>
                <w:kern w:val="2"/>
                <w:lang w:eastAsia="en-GB"/>
              </w:rPr>
            </w:pPr>
            <w:r>
              <w:rPr>
                <w:kern w:val="2"/>
                <w:lang w:eastAsia="en-GB"/>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6FC046" w14:textId="77777777" w:rsidR="00A9457B" w:rsidRDefault="00A9457B">
            <w:pPr>
              <w:pStyle w:val="TableText"/>
              <w:snapToGrid w:val="0"/>
              <w:rPr>
                <w:kern w:val="2"/>
                <w:szCs w:val="17"/>
                <w:lang w:eastAsia="zh-TW"/>
              </w:rPr>
            </w:pPr>
            <w:r>
              <w:rPr>
                <w:rFonts w:asciiTheme="minorEastAsia" w:eastAsiaTheme="minorEastAsia" w:hAnsiTheme="minorEastAsia" w:hint="eastAsia"/>
                <w:kern w:val="2"/>
                <w:szCs w:val="17"/>
                <w:lang w:eastAsia="zh-TW"/>
              </w:rPr>
              <w:t>短率上升</w:t>
            </w:r>
          </w:p>
        </w:tc>
        <w:tc>
          <w:tcPr>
            <w:tcW w:w="1311" w:type="dxa"/>
            <w:tcBorders>
              <w:top w:val="single" w:sz="4" w:space="0" w:color="auto"/>
              <w:left w:val="single" w:sz="4" w:space="0" w:color="auto"/>
              <w:bottom w:val="single" w:sz="4" w:space="0" w:color="auto"/>
              <w:right w:val="single" w:sz="4" w:space="0" w:color="auto"/>
            </w:tcBorders>
          </w:tcPr>
          <w:p w14:paraId="7E304067" w14:textId="77777777" w:rsidR="00A9457B" w:rsidRDefault="00A9457B">
            <w:pPr>
              <w:pStyle w:val="TableText"/>
              <w:snapToGrid w:val="0"/>
              <w:rPr>
                <w:kern w:val="2"/>
                <w:szCs w:val="17"/>
                <w:lang w:eastAsia="zh-TW"/>
              </w:rPr>
            </w:pPr>
          </w:p>
        </w:tc>
        <w:tc>
          <w:tcPr>
            <w:tcW w:w="1453" w:type="dxa"/>
            <w:tcBorders>
              <w:top w:val="single" w:sz="4" w:space="0" w:color="auto"/>
              <w:left w:val="single" w:sz="4" w:space="0" w:color="auto"/>
              <w:bottom w:val="single" w:sz="4" w:space="0" w:color="auto"/>
              <w:right w:val="single" w:sz="4" w:space="0" w:color="auto"/>
            </w:tcBorders>
          </w:tcPr>
          <w:p w14:paraId="1C239CBE" w14:textId="77777777" w:rsidR="00A9457B" w:rsidRDefault="00A9457B">
            <w:pPr>
              <w:pStyle w:val="TableText"/>
              <w:snapToGrid w:val="0"/>
              <w:rPr>
                <w:kern w:val="2"/>
                <w:szCs w:val="17"/>
                <w:lang w:eastAsia="zh-TW"/>
              </w:rPr>
            </w:pPr>
          </w:p>
        </w:tc>
        <w:tc>
          <w:tcPr>
            <w:tcW w:w="1453"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tcPr>
          <w:p w14:paraId="1D40D91A" w14:textId="77777777" w:rsidR="00A9457B" w:rsidRDefault="00A9457B">
            <w:pPr>
              <w:pStyle w:val="TableText"/>
              <w:snapToGrid w:val="0"/>
              <w:rPr>
                <w:kern w:val="2"/>
                <w:szCs w:val="17"/>
                <w:lang w:eastAsia="zh-TW"/>
              </w:rPr>
            </w:pPr>
          </w:p>
        </w:tc>
        <w:tc>
          <w:tcPr>
            <w:tcW w:w="1453"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808080" w:themeFill="background1" w:themeFillShade="80"/>
            <w:vAlign w:val="center"/>
          </w:tcPr>
          <w:p w14:paraId="5BD57723" w14:textId="77777777" w:rsidR="00A9457B" w:rsidRDefault="00A9457B">
            <w:pPr>
              <w:pStyle w:val="TableText"/>
              <w:snapToGrid w:val="0"/>
              <w:rPr>
                <w:kern w:val="2"/>
                <w:szCs w:val="17"/>
                <w:lang w:eastAsia="zh-TW"/>
              </w:rPr>
            </w:pPr>
          </w:p>
        </w:tc>
      </w:tr>
      <w:tr w:rsidR="00883F2A" w14:paraId="31F8D8DF" w14:textId="77777777" w:rsidTr="00A9457B">
        <w:trPr>
          <w:cantSplit/>
        </w:trPr>
        <w:tc>
          <w:tcPr>
            <w:tcW w:w="851" w:type="dxa"/>
            <w:tcBorders>
              <w:top w:val="single" w:sz="4" w:space="0" w:color="auto"/>
              <w:left w:val="nil"/>
              <w:bottom w:val="single" w:sz="4" w:space="0" w:color="auto"/>
              <w:right w:val="single" w:sz="4" w:space="0" w:color="auto"/>
            </w:tcBorders>
            <w:hideMark/>
          </w:tcPr>
          <w:p w14:paraId="1D77F7BA" w14:textId="77777777" w:rsidR="00A9457B" w:rsidRDefault="00A9457B">
            <w:pPr>
              <w:pStyle w:val="TableText"/>
              <w:snapToGrid w:val="0"/>
              <w:rPr>
                <w:kern w:val="2"/>
                <w:lang w:eastAsia="en-GB"/>
              </w:rPr>
            </w:pPr>
            <w:r>
              <w:rPr>
                <w:kern w:val="2"/>
                <w:lang w:eastAsia="en-GB"/>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674A27" w14:textId="77777777" w:rsidR="00A9457B" w:rsidRDefault="00A9457B">
            <w:pPr>
              <w:pStyle w:val="TableText"/>
              <w:snapToGrid w:val="0"/>
              <w:rPr>
                <w:kern w:val="2"/>
                <w:szCs w:val="17"/>
                <w:lang w:eastAsia="zh-TW"/>
              </w:rPr>
            </w:pPr>
            <w:r>
              <w:rPr>
                <w:rFonts w:asciiTheme="minorEastAsia" w:eastAsiaTheme="minorEastAsia" w:hAnsiTheme="minorEastAsia" w:hint="eastAsia"/>
                <w:kern w:val="2"/>
                <w:szCs w:val="17"/>
                <w:lang w:eastAsia="zh-TW"/>
              </w:rPr>
              <w:t>短率下降</w:t>
            </w:r>
          </w:p>
        </w:tc>
        <w:tc>
          <w:tcPr>
            <w:tcW w:w="1311" w:type="dxa"/>
            <w:tcBorders>
              <w:top w:val="single" w:sz="4" w:space="0" w:color="auto"/>
              <w:left w:val="single" w:sz="4" w:space="0" w:color="auto"/>
              <w:bottom w:val="single" w:sz="4" w:space="0" w:color="auto"/>
              <w:right w:val="single" w:sz="4" w:space="0" w:color="auto"/>
            </w:tcBorders>
          </w:tcPr>
          <w:p w14:paraId="7B947AC1" w14:textId="77777777" w:rsidR="00A9457B" w:rsidRDefault="00A9457B">
            <w:pPr>
              <w:pStyle w:val="TableText"/>
              <w:snapToGrid w:val="0"/>
              <w:rPr>
                <w:kern w:val="2"/>
                <w:szCs w:val="17"/>
                <w:lang w:eastAsia="zh-TW"/>
              </w:rPr>
            </w:pPr>
          </w:p>
        </w:tc>
        <w:tc>
          <w:tcPr>
            <w:tcW w:w="1453" w:type="dxa"/>
            <w:tcBorders>
              <w:top w:val="single" w:sz="4" w:space="0" w:color="auto"/>
              <w:left w:val="single" w:sz="4" w:space="0" w:color="auto"/>
              <w:bottom w:val="single" w:sz="4" w:space="0" w:color="auto"/>
              <w:right w:val="single" w:sz="4" w:space="0" w:color="auto"/>
            </w:tcBorders>
          </w:tcPr>
          <w:p w14:paraId="0A362DFC" w14:textId="77777777" w:rsidR="00A9457B" w:rsidRDefault="00A9457B">
            <w:pPr>
              <w:pStyle w:val="TableText"/>
              <w:snapToGrid w:val="0"/>
              <w:rPr>
                <w:kern w:val="2"/>
                <w:szCs w:val="17"/>
                <w:lang w:eastAsia="zh-TW"/>
              </w:rPr>
            </w:pPr>
          </w:p>
        </w:tc>
        <w:tc>
          <w:tcPr>
            <w:tcW w:w="1453" w:type="dxa"/>
            <w:tcBorders>
              <w:top w:val="single" w:sz="4" w:space="0" w:color="808080" w:themeColor="background1" w:themeShade="80"/>
              <w:left w:val="single" w:sz="4" w:space="0" w:color="auto"/>
              <w:bottom w:val="single" w:sz="4" w:space="0" w:color="auto"/>
              <w:right w:val="single" w:sz="4" w:space="0" w:color="auto"/>
            </w:tcBorders>
            <w:shd w:val="clear" w:color="auto" w:fill="808080" w:themeFill="background1" w:themeFillShade="80"/>
          </w:tcPr>
          <w:p w14:paraId="5B8ED75D" w14:textId="77777777" w:rsidR="00A9457B" w:rsidRDefault="00A9457B">
            <w:pPr>
              <w:pStyle w:val="TableText"/>
              <w:snapToGrid w:val="0"/>
              <w:rPr>
                <w:kern w:val="2"/>
                <w:szCs w:val="17"/>
                <w:lang w:eastAsia="zh-TW"/>
              </w:rPr>
            </w:pPr>
          </w:p>
        </w:tc>
        <w:tc>
          <w:tcPr>
            <w:tcW w:w="1453" w:type="dxa"/>
            <w:tcBorders>
              <w:top w:val="single" w:sz="4" w:space="0" w:color="808080" w:themeColor="background1" w:themeShade="80"/>
              <w:left w:val="single" w:sz="4" w:space="0" w:color="auto"/>
              <w:bottom w:val="single" w:sz="4" w:space="0" w:color="auto"/>
              <w:right w:val="single" w:sz="4" w:space="0" w:color="auto"/>
            </w:tcBorders>
            <w:shd w:val="clear" w:color="auto" w:fill="808080" w:themeFill="background1" w:themeFillShade="80"/>
            <w:vAlign w:val="center"/>
          </w:tcPr>
          <w:p w14:paraId="11E8FB2E" w14:textId="77777777" w:rsidR="00A9457B" w:rsidRDefault="00A9457B">
            <w:pPr>
              <w:pStyle w:val="TableText"/>
              <w:snapToGrid w:val="0"/>
              <w:rPr>
                <w:kern w:val="2"/>
                <w:szCs w:val="17"/>
                <w:lang w:eastAsia="zh-TW"/>
              </w:rPr>
            </w:pPr>
          </w:p>
        </w:tc>
      </w:tr>
      <w:tr w:rsidR="00883F2A" w14:paraId="3343BE32" w14:textId="77777777" w:rsidTr="00A9457B">
        <w:trPr>
          <w:cantSplit/>
        </w:trPr>
        <w:tc>
          <w:tcPr>
            <w:tcW w:w="851" w:type="dxa"/>
            <w:tcBorders>
              <w:top w:val="single" w:sz="4" w:space="0" w:color="auto"/>
              <w:left w:val="nil"/>
              <w:bottom w:val="single" w:sz="4" w:space="0" w:color="auto"/>
              <w:right w:val="single" w:sz="4" w:space="0" w:color="auto"/>
            </w:tcBorders>
            <w:hideMark/>
          </w:tcPr>
          <w:p w14:paraId="32A4AF97" w14:textId="77777777" w:rsidR="00A9457B" w:rsidRDefault="00A9457B">
            <w:pPr>
              <w:pStyle w:val="TableText"/>
              <w:snapToGrid w:val="0"/>
              <w:rPr>
                <w:kern w:val="2"/>
                <w:lang w:eastAsia="en-GB"/>
              </w:rPr>
            </w:pPr>
            <w:r>
              <w:rPr>
                <w:kern w:val="2"/>
                <w:lang w:eastAsia="en-GB"/>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F0FFC1" w14:textId="77777777" w:rsidR="00A9457B" w:rsidRDefault="00A9457B">
            <w:pPr>
              <w:pStyle w:val="TableText"/>
              <w:snapToGrid w:val="0"/>
              <w:rPr>
                <w:b/>
                <w:kern w:val="2"/>
                <w:szCs w:val="17"/>
                <w:lang w:eastAsia="en-GB"/>
              </w:rPr>
            </w:pPr>
            <w:r>
              <w:rPr>
                <w:rFonts w:asciiTheme="minorEastAsia" w:eastAsiaTheme="minorEastAsia" w:hAnsiTheme="minorEastAsia" w:hint="eastAsia"/>
                <w:b/>
                <w:kern w:val="2"/>
                <w:szCs w:val="17"/>
                <w:lang w:eastAsia="zh-TW"/>
              </w:rPr>
              <w:t>最高</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tcPr>
          <w:p w14:paraId="22908F65"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D9C7F8"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tcPr>
          <w:p w14:paraId="23D94A5D" w14:textId="77777777" w:rsidR="00A9457B" w:rsidRDefault="00A9457B">
            <w:pPr>
              <w:pStyle w:val="TableText"/>
              <w:snapToGrid w:val="0"/>
              <w:rPr>
                <w:kern w:val="2"/>
                <w:szCs w:val="17"/>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6A062" w14:textId="77777777" w:rsidR="00A9457B" w:rsidRDefault="00A9457B">
            <w:pPr>
              <w:pStyle w:val="TableText"/>
              <w:snapToGrid w:val="0"/>
              <w:rPr>
                <w:kern w:val="2"/>
                <w:szCs w:val="17"/>
                <w:lang w:eastAsia="en-GB"/>
              </w:rPr>
            </w:pPr>
          </w:p>
        </w:tc>
      </w:tr>
      <w:tr w:rsidR="001B39FD" w14:paraId="35E61393" w14:textId="77777777" w:rsidTr="00A9457B">
        <w:trPr>
          <w:cantSplit/>
        </w:trPr>
        <w:tc>
          <w:tcPr>
            <w:tcW w:w="851" w:type="dxa"/>
            <w:tcBorders>
              <w:top w:val="single" w:sz="4" w:space="0" w:color="auto"/>
              <w:left w:val="nil"/>
              <w:bottom w:val="single" w:sz="4" w:space="0" w:color="auto"/>
              <w:right w:val="single" w:sz="4" w:space="0" w:color="auto"/>
            </w:tcBorders>
          </w:tcPr>
          <w:p w14:paraId="48E461E6" w14:textId="77777777" w:rsidR="00A9457B" w:rsidRDefault="00A9457B">
            <w:pPr>
              <w:pStyle w:val="TableText"/>
              <w:snapToGrid w:val="0"/>
              <w:rPr>
                <w:kern w:val="2"/>
                <w:lang w:eastAsia="en-GB"/>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C974F" w14:textId="77777777" w:rsidR="00A9457B" w:rsidRDefault="00A9457B">
            <w:pPr>
              <w:pStyle w:val="TableText"/>
              <w:snapToGrid w:val="0"/>
              <w:rPr>
                <w:b/>
                <w:kern w:val="2"/>
                <w:szCs w:val="17"/>
                <w:lang w:eastAsia="en-GB"/>
              </w:rPr>
            </w:pPr>
            <w:r>
              <w:rPr>
                <w:rFonts w:asciiTheme="minorEastAsia" w:eastAsiaTheme="minorEastAsia" w:hAnsiTheme="minorEastAsia" w:hint="eastAsia"/>
                <w:b/>
                <w:kern w:val="2"/>
                <w:lang w:eastAsia="zh-TW"/>
              </w:rPr>
              <w:t>期間</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959AF9" w14:textId="77777777" w:rsidR="00A9457B" w:rsidRDefault="00A9457B">
            <w:pPr>
              <w:pStyle w:val="TableText"/>
              <w:snapToGrid w:val="0"/>
              <w:jc w:val="center"/>
              <w:rPr>
                <w:b/>
                <w:kern w:val="2"/>
                <w:szCs w:val="17"/>
                <w:lang w:val="en-US" w:eastAsia="en-GB"/>
              </w:rPr>
            </w:pPr>
            <w:r>
              <w:rPr>
                <w:b/>
                <w:kern w:val="2"/>
                <w:szCs w:val="17"/>
                <w:lang w:val="en-US" w:eastAsia="en-GB"/>
              </w:rPr>
              <w:t>T</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7243D" w14:textId="77777777" w:rsidR="00A9457B" w:rsidRDefault="00A9457B">
            <w:pPr>
              <w:pStyle w:val="TableText"/>
              <w:snapToGrid w:val="0"/>
              <w:jc w:val="center"/>
              <w:rPr>
                <w:b/>
                <w:kern w:val="2"/>
                <w:szCs w:val="17"/>
                <w:lang w:val="en-US" w:eastAsia="en-GB"/>
              </w:rPr>
            </w:pPr>
            <w:r>
              <w:rPr>
                <w:b/>
                <w:kern w:val="2"/>
                <w:szCs w:val="17"/>
                <w:lang w:val="en-US" w:eastAsia="en-GB"/>
              </w:rPr>
              <w:t>T-1</w:t>
            </w:r>
          </w:p>
        </w:tc>
      </w:tr>
      <w:tr w:rsidR="001B39FD" w14:paraId="64F8FBE9" w14:textId="77777777" w:rsidTr="00A9457B">
        <w:trPr>
          <w:cantSplit/>
        </w:trPr>
        <w:tc>
          <w:tcPr>
            <w:tcW w:w="851" w:type="dxa"/>
            <w:tcBorders>
              <w:top w:val="single" w:sz="4" w:space="0" w:color="auto"/>
              <w:left w:val="nil"/>
              <w:bottom w:val="single" w:sz="4" w:space="0" w:color="auto"/>
              <w:right w:val="single" w:sz="4" w:space="0" w:color="auto"/>
            </w:tcBorders>
            <w:vAlign w:val="center"/>
            <w:hideMark/>
          </w:tcPr>
          <w:p w14:paraId="5689B8F4" w14:textId="77777777" w:rsidR="00A9457B" w:rsidRDefault="00A9457B">
            <w:pPr>
              <w:snapToGrid w:val="0"/>
              <w:rPr>
                <w:rFonts w:cs="Segoe UI"/>
                <w:kern w:val="2"/>
                <w:sz w:val="17"/>
                <w:lang w:eastAsia="en-GB"/>
              </w:rPr>
            </w:pPr>
            <w:r>
              <w:rPr>
                <w:rFonts w:cs="Segoe UI"/>
                <w:kern w:val="2"/>
                <w:sz w:val="17"/>
                <w:lang w:eastAsia="en-GB"/>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95E93" w14:textId="77777777" w:rsidR="00A9457B" w:rsidRDefault="00A9457B">
            <w:pPr>
              <w:snapToGrid w:val="0"/>
              <w:rPr>
                <w:rFonts w:cs="Segoe UI"/>
                <w:b/>
                <w:kern w:val="2"/>
                <w:sz w:val="17"/>
                <w:lang w:eastAsia="en-GB"/>
              </w:rPr>
            </w:pPr>
            <w:r>
              <w:rPr>
                <w:rFonts w:asciiTheme="minorEastAsia" w:eastAsiaTheme="minorEastAsia" w:hAnsiTheme="minorEastAsia" w:cs="Segoe UI" w:hint="eastAsia"/>
                <w:b/>
                <w:kern w:val="2"/>
                <w:sz w:val="17"/>
                <w:lang w:eastAsia="zh-TW"/>
              </w:rPr>
              <w:t>一級資本</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E29DC" w14:textId="77777777" w:rsidR="00A9457B" w:rsidRDefault="00A9457B">
            <w:pPr>
              <w:pStyle w:val="TableText"/>
              <w:snapToGrid w:val="0"/>
              <w:rPr>
                <w:kern w:val="2"/>
                <w:szCs w:val="17"/>
                <w:lang w:eastAsia="en-GB"/>
              </w:rPr>
            </w:pP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98AB85" w14:textId="77777777" w:rsidR="00A9457B" w:rsidRDefault="00A9457B">
            <w:pPr>
              <w:pStyle w:val="TableText"/>
              <w:snapToGrid w:val="0"/>
              <w:rPr>
                <w:kern w:val="2"/>
                <w:szCs w:val="17"/>
                <w:lang w:eastAsia="en-GB"/>
              </w:rPr>
            </w:pPr>
          </w:p>
        </w:tc>
      </w:tr>
    </w:tbl>
    <w:p w14:paraId="3EE4F761" w14:textId="77777777" w:rsidR="006748B0" w:rsidRPr="00CA7301" w:rsidRDefault="006748B0" w:rsidP="006748B0">
      <w:pPr>
        <w:rPr>
          <w:rFonts w:eastAsiaTheme="minorEastAsia" w:cs="Segoe UI"/>
          <w:lang w:val="en-US" w:eastAsia="zh-TW"/>
        </w:rPr>
      </w:pPr>
    </w:p>
    <w:tbl>
      <w:tblPr>
        <w:tblStyle w:val="TableGrid"/>
        <w:tblW w:w="9216" w:type="dxa"/>
        <w:tblInd w:w="-459" w:type="dxa"/>
        <w:tblLayout w:type="fixed"/>
        <w:tblLook w:val="04A0" w:firstRow="1" w:lastRow="0" w:firstColumn="1" w:lastColumn="0" w:noHBand="0" w:noVBand="1"/>
      </w:tblPr>
      <w:tblGrid>
        <w:gridCol w:w="851"/>
        <w:gridCol w:w="8365"/>
      </w:tblGrid>
      <w:tr w:rsidR="00A9457B" w14:paraId="3B2BC78C" w14:textId="77777777" w:rsidTr="00A9457B">
        <w:trPr>
          <w:tblHeader/>
        </w:trPr>
        <w:tc>
          <w:tcPr>
            <w:tcW w:w="92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326FE" w14:textId="77777777" w:rsidR="00A9457B" w:rsidRDefault="00A9457B">
            <w:pPr>
              <w:spacing w:before="40" w:after="40"/>
              <w:jc w:val="both"/>
              <w:rPr>
                <w:rFonts w:eastAsiaTheme="minorEastAsia" w:cs="Segoe UI"/>
                <w:b/>
                <w:sz w:val="17"/>
                <w:szCs w:val="17"/>
                <w:lang w:eastAsia="en-GB"/>
              </w:rPr>
            </w:pPr>
            <w:proofErr w:type="gramStart"/>
            <w:r>
              <w:rPr>
                <w:rFonts w:eastAsiaTheme="minorEastAsia" w:cs="Segoe UI" w:hint="eastAsia"/>
                <w:b/>
                <w:sz w:val="17"/>
                <w:szCs w:val="17"/>
                <w:lang w:eastAsia="zh-TW"/>
              </w:rPr>
              <w:t>註</w:t>
            </w:r>
            <w:proofErr w:type="gramEnd"/>
            <w:r>
              <w:rPr>
                <w:rFonts w:eastAsiaTheme="minorEastAsia" w:cs="Segoe UI" w:hint="eastAsia"/>
                <w:b/>
                <w:sz w:val="17"/>
                <w:szCs w:val="17"/>
                <w:lang w:eastAsia="zh-TW"/>
              </w:rPr>
              <w:t>釋</w:t>
            </w:r>
          </w:p>
        </w:tc>
      </w:tr>
      <w:tr w:rsidR="00A9457B" w14:paraId="3D6499FE" w14:textId="77777777" w:rsidTr="00A9457B">
        <w:trPr>
          <w:trHeight w:val="153"/>
        </w:trPr>
        <w:tc>
          <w:tcPr>
            <w:tcW w:w="9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9327A5" w14:textId="77777777" w:rsidR="00A9457B" w:rsidRDefault="00A9457B">
            <w:pPr>
              <w:spacing w:before="40" w:after="40"/>
              <w:jc w:val="both"/>
              <w:rPr>
                <w:rFonts w:eastAsiaTheme="minorEastAsia" w:cs="Segoe UI"/>
                <w:b/>
                <w:sz w:val="17"/>
                <w:szCs w:val="17"/>
                <w:lang w:eastAsia="en-GB"/>
              </w:rPr>
            </w:pPr>
            <w:r>
              <w:rPr>
                <w:rFonts w:eastAsia="細明體" w:cs="Segoe UI" w:hint="eastAsia"/>
                <w:b/>
                <w:sz w:val="17"/>
                <w:szCs w:val="17"/>
                <w:lang w:val="en-US"/>
              </w:rPr>
              <w:t>欄</w:t>
            </w:r>
          </w:p>
        </w:tc>
      </w:tr>
      <w:tr w:rsidR="00A9457B" w14:paraId="09AB61F4" w14:textId="77777777" w:rsidTr="00A9457B">
        <w:tc>
          <w:tcPr>
            <w:tcW w:w="851" w:type="dxa"/>
            <w:tcBorders>
              <w:top w:val="single" w:sz="4" w:space="0" w:color="auto"/>
              <w:left w:val="single" w:sz="4" w:space="0" w:color="auto"/>
              <w:bottom w:val="single" w:sz="4" w:space="0" w:color="auto"/>
              <w:right w:val="single" w:sz="4" w:space="0" w:color="auto"/>
            </w:tcBorders>
            <w:hideMark/>
          </w:tcPr>
          <w:p w14:paraId="57746FD3"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(a)</w:t>
            </w:r>
            <w:r>
              <w:rPr>
                <w:rFonts w:eastAsiaTheme="minorEastAsia" w:cs="Segoe UI" w:hint="eastAsia"/>
                <w:sz w:val="17"/>
                <w:szCs w:val="17"/>
                <w:lang w:eastAsia="zh-TW"/>
              </w:rPr>
              <w:t>及</w:t>
            </w:r>
            <w:r>
              <w:rPr>
                <w:rFonts w:cs="Segoe UI"/>
                <w:sz w:val="17"/>
                <w:szCs w:val="17"/>
                <w:lang w:eastAsia="en-GB"/>
              </w:rPr>
              <w:t>(b)</w:t>
            </w:r>
          </w:p>
        </w:tc>
        <w:tc>
          <w:tcPr>
            <w:tcW w:w="8365" w:type="dxa"/>
            <w:tcBorders>
              <w:top w:val="single" w:sz="4" w:space="0" w:color="auto"/>
              <w:left w:val="single" w:sz="4" w:space="0" w:color="auto"/>
              <w:bottom w:val="single" w:sz="4" w:space="0" w:color="auto"/>
              <w:right w:val="single" w:sz="4" w:space="0" w:color="auto"/>
            </w:tcBorders>
            <w:hideMark/>
          </w:tcPr>
          <w:p w14:paraId="28F2E797" w14:textId="77777777" w:rsidR="00A9457B" w:rsidRDefault="00A9457B" w:rsidP="00C42BE0">
            <w:pPr>
              <w:widowControl w:val="0"/>
              <w:spacing w:before="40" w:after="40"/>
              <w:jc w:val="both"/>
              <w:rPr>
                <w:rFonts w:cs="Segoe UI"/>
                <w:szCs w:val="17"/>
                <w:lang w:eastAsia="zh-TW"/>
              </w:rPr>
            </w:pPr>
            <w:r>
              <w:rPr>
                <w:rFonts w:eastAsiaTheme="minorEastAsia" w:cs="Segoe UI" w:hint="eastAsia"/>
                <w:sz w:val="17"/>
                <w:szCs w:val="17"/>
                <w:lang w:eastAsia="zh-TW"/>
              </w:rPr>
              <w:t>根據《監管政策手冊》單元</w:t>
            </w:r>
            <w:r>
              <w:rPr>
                <w:rFonts w:cs="Segoe UI"/>
                <w:sz w:val="17"/>
                <w:szCs w:val="17"/>
                <w:lang w:eastAsia="zh-TW"/>
              </w:rPr>
              <w:t>IR-1</w:t>
            </w:r>
            <w:r>
              <w:rPr>
                <w:rFonts w:eastAsiaTheme="minorEastAsia" w:cs="Segoe UI" w:hint="eastAsia"/>
                <w:sz w:val="17"/>
                <w:szCs w:val="17"/>
                <w:lang w:eastAsia="zh-TW"/>
              </w:rPr>
              <w:t>「銀行帳</w:t>
            </w:r>
            <w:r>
              <w:rPr>
                <w:rFonts w:eastAsiaTheme="minorEastAsia" w:hint="eastAsia"/>
                <w:sz w:val="17"/>
                <w:lang w:eastAsia="zh-TW"/>
              </w:rPr>
              <w:t>內的</w:t>
            </w:r>
            <w:r>
              <w:rPr>
                <w:rFonts w:eastAsiaTheme="minorEastAsia" w:cs="Segoe UI" w:hint="eastAsia"/>
                <w:sz w:val="17"/>
                <w:szCs w:val="17"/>
                <w:lang w:eastAsia="zh-TW"/>
              </w:rPr>
              <w:t>利率風險」及「銀行帳</w:t>
            </w:r>
            <w:r>
              <w:rPr>
                <w:rFonts w:eastAsiaTheme="minorEastAsia" w:hint="eastAsia"/>
                <w:sz w:val="17"/>
                <w:lang w:eastAsia="zh-TW"/>
              </w:rPr>
              <w:t>內的</w:t>
            </w:r>
            <w:r>
              <w:rPr>
                <w:rFonts w:eastAsiaTheme="minorEastAsia" w:cs="Segoe UI" w:hint="eastAsia"/>
                <w:sz w:val="17"/>
                <w:szCs w:val="17"/>
                <w:lang w:eastAsia="zh-TW"/>
              </w:rPr>
              <w:t>利率風險申報表」</w:t>
            </w:r>
            <w:r>
              <w:rPr>
                <w:rFonts w:cs="Segoe UI"/>
                <w:sz w:val="17"/>
                <w:szCs w:val="17"/>
                <w:lang w:eastAsia="zh-TW"/>
              </w:rPr>
              <w:t>(MA(BS)12A)</w:t>
            </w:r>
            <w:r>
              <w:rPr>
                <w:rFonts w:eastAsiaTheme="minorEastAsia" w:cs="Segoe UI" w:hint="eastAsia"/>
                <w:sz w:val="17"/>
                <w:szCs w:val="17"/>
                <w:lang w:eastAsia="zh-TW"/>
              </w:rPr>
              <w:t>（「</w:t>
            </w:r>
            <w:r>
              <w:rPr>
                <w:rFonts w:eastAsiaTheme="minorEastAsia" w:cs="Segoe UI"/>
                <w:sz w:val="17"/>
                <w:szCs w:val="17"/>
                <w:lang w:eastAsia="zh-TW"/>
              </w:rPr>
              <w:t>IRRBB</w:t>
            </w:r>
            <w:r>
              <w:rPr>
                <w:rFonts w:eastAsiaTheme="minorEastAsia" w:cs="Segoe UI" w:hint="eastAsia"/>
                <w:sz w:val="17"/>
                <w:szCs w:val="17"/>
                <w:lang w:eastAsia="zh-TW"/>
              </w:rPr>
              <w:t>申報表」）所述的標準框架中股權經濟價值的變動</w:t>
            </w:r>
            <w:r>
              <w:rPr>
                <w:rFonts w:eastAsiaTheme="minorEastAsia" w:cs="Segoe UI"/>
                <w:sz w:val="17"/>
                <w:szCs w:val="17"/>
                <w:lang w:eastAsia="zh-TW"/>
              </w:rPr>
              <w:t>(ΔEVE)</w:t>
            </w:r>
            <w:r>
              <w:rPr>
                <w:rFonts w:eastAsiaTheme="minorEastAsia" w:cs="Segoe UI" w:hint="eastAsia"/>
                <w:sz w:val="17"/>
                <w:szCs w:val="17"/>
                <w:lang w:eastAsia="zh-TW"/>
              </w:rPr>
              <w:t>。</w:t>
            </w:r>
          </w:p>
        </w:tc>
      </w:tr>
      <w:tr w:rsidR="00A9457B" w14:paraId="72C79DF0" w14:textId="77777777" w:rsidTr="00A9457B">
        <w:tc>
          <w:tcPr>
            <w:tcW w:w="851" w:type="dxa"/>
            <w:tcBorders>
              <w:top w:val="single" w:sz="4" w:space="0" w:color="auto"/>
              <w:left w:val="single" w:sz="4" w:space="0" w:color="auto"/>
              <w:bottom w:val="single" w:sz="4" w:space="0" w:color="auto"/>
              <w:right w:val="single" w:sz="4" w:space="0" w:color="auto"/>
            </w:tcBorders>
            <w:hideMark/>
          </w:tcPr>
          <w:p w14:paraId="0ED975CE"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(c)</w:t>
            </w:r>
            <w:r>
              <w:rPr>
                <w:rFonts w:eastAsiaTheme="minorEastAsia" w:cs="Segoe UI" w:hint="eastAsia"/>
                <w:sz w:val="17"/>
                <w:szCs w:val="17"/>
                <w:lang w:eastAsia="zh-TW"/>
              </w:rPr>
              <w:t>及</w:t>
            </w:r>
            <w:r>
              <w:rPr>
                <w:rFonts w:cs="Segoe UI"/>
                <w:sz w:val="17"/>
                <w:szCs w:val="17"/>
                <w:lang w:eastAsia="en-GB"/>
              </w:rPr>
              <w:t>(d)</w:t>
            </w:r>
          </w:p>
        </w:tc>
        <w:tc>
          <w:tcPr>
            <w:tcW w:w="8365" w:type="dxa"/>
            <w:tcBorders>
              <w:top w:val="single" w:sz="4" w:space="0" w:color="auto"/>
              <w:left w:val="single" w:sz="4" w:space="0" w:color="auto"/>
              <w:bottom w:val="single" w:sz="4" w:space="0" w:color="auto"/>
              <w:right w:val="single" w:sz="4" w:space="0" w:color="auto"/>
            </w:tcBorders>
            <w:hideMark/>
          </w:tcPr>
          <w:p w14:paraId="47892119" w14:textId="77777777" w:rsidR="00A9457B" w:rsidRDefault="00A9457B" w:rsidP="00C42BE0">
            <w:pPr>
              <w:widowControl w:val="0"/>
              <w:spacing w:before="40" w:after="40"/>
              <w:jc w:val="both"/>
              <w:rPr>
                <w:rFonts w:cs="Segoe UI"/>
                <w:szCs w:val="17"/>
                <w:lang w:eastAsia="zh-TW"/>
              </w:rPr>
            </w:pPr>
            <w:r>
              <w:rPr>
                <w:rFonts w:eastAsiaTheme="minorEastAsia" w:cs="Segoe UI" w:hint="eastAsia"/>
                <w:sz w:val="17"/>
                <w:szCs w:val="17"/>
                <w:lang w:eastAsia="zh-TW"/>
              </w:rPr>
              <w:t>根據《監管政策手冊》單元</w:t>
            </w:r>
            <w:r>
              <w:rPr>
                <w:rFonts w:cs="Segoe UI"/>
                <w:sz w:val="17"/>
                <w:szCs w:val="17"/>
                <w:lang w:eastAsia="zh-TW"/>
              </w:rPr>
              <w:t>IR-1</w:t>
            </w:r>
            <w:r w:rsidR="00F378A7">
              <w:rPr>
                <w:rFonts w:eastAsiaTheme="minorEastAsia" w:cs="Segoe UI" w:hint="eastAsia"/>
                <w:sz w:val="17"/>
                <w:szCs w:val="17"/>
                <w:lang w:eastAsia="zh-TW"/>
              </w:rPr>
              <w:t>「銀行帳</w:t>
            </w:r>
            <w:r>
              <w:rPr>
                <w:rFonts w:eastAsiaTheme="minorEastAsia" w:hint="eastAsia"/>
                <w:sz w:val="17"/>
                <w:lang w:eastAsia="zh-TW"/>
              </w:rPr>
              <w:t>內的</w:t>
            </w:r>
            <w:r>
              <w:rPr>
                <w:rFonts w:eastAsiaTheme="minorEastAsia" w:cs="Segoe UI" w:hint="eastAsia"/>
                <w:sz w:val="17"/>
                <w:szCs w:val="17"/>
                <w:lang w:eastAsia="zh-TW"/>
              </w:rPr>
              <w:t>利率風險」及「</w:t>
            </w:r>
            <w:r>
              <w:rPr>
                <w:rFonts w:eastAsiaTheme="minorEastAsia" w:cs="Segoe UI"/>
                <w:sz w:val="17"/>
                <w:szCs w:val="17"/>
                <w:lang w:eastAsia="zh-TW"/>
              </w:rPr>
              <w:t>IRRBB</w:t>
            </w:r>
            <w:r>
              <w:rPr>
                <w:rFonts w:eastAsiaTheme="minorEastAsia" w:cs="Segoe UI" w:hint="eastAsia"/>
                <w:sz w:val="17"/>
                <w:szCs w:val="17"/>
                <w:lang w:eastAsia="zh-TW"/>
              </w:rPr>
              <w:t>申報表」所述方法計算具前瞻性的</w:t>
            </w:r>
            <w:r>
              <w:rPr>
                <w:rFonts w:eastAsiaTheme="minorEastAsia" w:cs="Segoe UI"/>
                <w:sz w:val="17"/>
                <w:szCs w:val="17"/>
                <w:lang w:eastAsia="zh-TW"/>
              </w:rPr>
              <w:t>12</w:t>
            </w:r>
            <w:r>
              <w:rPr>
                <w:rFonts w:eastAsiaTheme="minorEastAsia" w:cs="Segoe UI" w:hint="eastAsia"/>
                <w:sz w:val="17"/>
                <w:szCs w:val="17"/>
                <w:lang w:eastAsia="zh-TW"/>
              </w:rPr>
              <w:t>個月滾動期間的預計淨利息收入的變動</w:t>
            </w:r>
            <w:r>
              <w:rPr>
                <w:rFonts w:cs="Segoe UI"/>
                <w:sz w:val="17"/>
                <w:szCs w:val="17"/>
                <w:lang w:eastAsia="zh-TW"/>
              </w:rPr>
              <w:t>(</w:t>
            </w:r>
            <w:r>
              <w:rPr>
                <w:rFonts w:eastAsiaTheme="minorEastAsia" w:cs="Segoe UI"/>
                <w:sz w:val="17"/>
                <w:szCs w:val="17"/>
                <w:lang w:eastAsia="zh-TW"/>
              </w:rPr>
              <w:t>ΔNII)</w:t>
            </w:r>
            <w:r>
              <w:rPr>
                <w:rFonts w:eastAsiaTheme="minorEastAsia" w:cs="Segoe UI" w:hint="eastAsia"/>
                <w:sz w:val="17"/>
                <w:szCs w:val="17"/>
                <w:lang w:eastAsia="zh-TW"/>
              </w:rPr>
              <w:t>。第</w:t>
            </w:r>
            <w:r>
              <w:rPr>
                <w:rFonts w:cs="Segoe UI"/>
                <w:sz w:val="17"/>
                <w:szCs w:val="17"/>
                <w:lang w:eastAsia="zh-TW"/>
              </w:rPr>
              <w:t>3</w:t>
            </w:r>
            <w:r>
              <w:rPr>
                <w:rFonts w:eastAsiaTheme="minorEastAsia" w:cs="Segoe UI" w:hint="eastAsia"/>
                <w:sz w:val="17"/>
                <w:szCs w:val="17"/>
                <w:lang w:eastAsia="zh-TW"/>
              </w:rPr>
              <w:t>至</w:t>
            </w:r>
            <w:r>
              <w:rPr>
                <w:rFonts w:cs="Segoe UI"/>
                <w:sz w:val="17"/>
                <w:szCs w:val="17"/>
                <w:lang w:eastAsia="zh-TW"/>
              </w:rPr>
              <w:t>6</w:t>
            </w:r>
            <w:r>
              <w:rPr>
                <w:rFonts w:eastAsiaTheme="minorEastAsia" w:cs="Segoe UI" w:hint="eastAsia"/>
                <w:sz w:val="17"/>
                <w:szCs w:val="17"/>
                <w:lang w:eastAsia="zh-TW"/>
              </w:rPr>
              <w:t>行的方格（深灰色陰影部分）無需填報。</w:t>
            </w:r>
          </w:p>
        </w:tc>
      </w:tr>
      <w:tr w:rsidR="00A9457B" w14:paraId="5CBAC18C" w14:textId="77777777" w:rsidTr="00A9457B">
        <w:tc>
          <w:tcPr>
            <w:tcW w:w="9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02E291" w14:textId="77777777" w:rsidR="00A9457B" w:rsidRPr="00A9457B" w:rsidRDefault="00A9457B">
            <w:pPr>
              <w:spacing w:before="40" w:after="40"/>
              <w:jc w:val="both"/>
              <w:rPr>
                <w:rFonts w:eastAsiaTheme="minorEastAsia" w:cs="Segoe UI"/>
                <w:b/>
                <w:sz w:val="17"/>
                <w:szCs w:val="17"/>
                <w:lang w:eastAsia="zh-TW"/>
              </w:rPr>
            </w:pPr>
            <w:r w:rsidRPr="00A9457B">
              <w:rPr>
                <w:rFonts w:eastAsiaTheme="minorEastAsia" w:cs="Segoe UI" w:hint="eastAsia"/>
                <w:b/>
                <w:sz w:val="17"/>
                <w:szCs w:val="17"/>
                <w:lang w:eastAsia="zh-TW"/>
              </w:rPr>
              <w:t>行</w:t>
            </w:r>
          </w:p>
        </w:tc>
      </w:tr>
      <w:tr w:rsidR="00A9457B" w14:paraId="38F3C193" w14:textId="77777777" w:rsidTr="00A9457B">
        <w:tc>
          <w:tcPr>
            <w:tcW w:w="851" w:type="dxa"/>
            <w:tcBorders>
              <w:top w:val="single" w:sz="4" w:space="0" w:color="auto"/>
              <w:left w:val="single" w:sz="4" w:space="0" w:color="auto"/>
              <w:bottom w:val="single" w:sz="4" w:space="0" w:color="auto"/>
              <w:right w:val="single" w:sz="4" w:space="0" w:color="auto"/>
            </w:tcBorders>
            <w:hideMark/>
          </w:tcPr>
          <w:p w14:paraId="039FEEDB"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7</w:t>
            </w:r>
          </w:p>
        </w:tc>
        <w:tc>
          <w:tcPr>
            <w:tcW w:w="8365" w:type="dxa"/>
            <w:tcBorders>
              <w:top w:val="single" w:sz="4" w:space="0" w:color="auto"/>
              <w:left w:val="single" w:sz="4" w:space="0" w:color="auto"/>
              <w:bottom w:val="single" w:sz="4" w:space="0" w:color="auto"/>
              <w:right w:val="single" w:sz="4" w:space="0" w:color="auto"/>
            </w:tcBorders>
            <w:hideMark/>
          </w:tcPr>
          <w:p w14:paraId="299AF69E" w14:textId="77777777" w:rsidR="00A9457B" w:rsidRDefault="00A9457B" w:rsidP="000336F3">
            <w:pPr>
              <w:widowControl w:val="0"/>
              <w:spacing w:before="40" w:after="40"/>
              <w:jc w:val="both"/>
              <w:rPr>
                <w:rFonts w:eastAsia="細明體" w:cs="Segoe UI"/>
                <w:sz w:val="17"/>
                <w:szCs w:val="17"/>
                <w:lang w:val="en-US" w:eastAsia="zh-TW"/>
              </w:rPr>
            </w:pPr>
            <w:r>
              <w:rPr>
                <w:rFonts w:eastAsia="細明體" w:cs="Segoe UI" w:hint="eastAsia"/>
                <w:i/>
                <w:sz w:val="17"/>
                <w:szCs w:val="17"/>
                <w:lang w:eastAsia="zh-TW"/>
              </w:rPr>
              <w:t>最高</w:t>
            </w:r>
            <w:r>
              <w:rPr>
                <w:rFonts w:eastAsia="細明體" w:cs="Segoe UI" w:hint="eastAsia"/>
                <w:sz w:val="17"/>
                <w:szCs w:val="17"/>
                <w:lang w:eastAsia="zh-TW"/>
              </w:rPr>
              <w:t>：指的是最高的</w:t>
            </w:r>
            <w:r>
              <w:rPr>
                <w:rFonts w:eastAsiaTheme="minorEastAsia" w:cs="Segoe UI" w:hint="eastAsia"/>
                <w:sz w:val="17"/>
                <w:szCs w:val="17"/>
                <w:lang w:eastAsia="zh-TW"/>
              </w:rPr>
              <w:t>股權的經濟價值的變動（在以上</w:t>
            </w:r>
            <w:r>
              <w:rPr>
                <w:rFonts w:eastAsiaTheme="minorEastAsia" w:cs="Segoe UI" w:hint="eastAsia"/>
                <w:sz w:val="17"/>
                <w:lang w:eastAsia="zh-TW"/>
              </w:rPr>
              <w:t>利率震盪情境</w:t>
            </w:r>
            <w:r>
              <w:rPr>
                <w:rFonts w:eastAsiaTheme="minorEastAsia" w:cs="Segoe UI"/>
                <w:sz w:val="17"/>
                <w:lang w:eastAsia="zh-TW"/>
              </w:rPr>
              <w:t>1</w:t>
            </w:r>
            <w:r>
              <w:rPr>
                <w:rFonts w:eastAsiaTheme="minorEastAsia" w:cs="Segoe UI" w:hint="eastAsia"/>
                <w:sz w:val="17"/>
                <w:lang w:eastAsia="zh-TW"/>
              </w:rPr>
              <w:t>至</w:t>
            </w:r>
            <w:r>
              <w:rPr>
                <w:rFonts w:eastAsiaTheme="minorEastAsia" w:cs="Segoe UI"/>
                <w:sz w:val="17"/>
                <w:lang w:eastAsia="zh-TW"/>
              </w:rPr>
              <w:t>6</w:t>
            </w:r>
            <w:r>
              <w:rPr>
                <w:rFonts w:eastAsiaTheme="minorEastAsia" w:cs="Segoe UI" w:hint="eastAsia"/>
                <w:sz w:val="17"/>
                <w:szCs w:val="17"/>
                <w:lang w:eastAsia="zh-TW"/>
              </w:rPr>
              <w:t>之間）及淨利息收入的變動（在以上</w:t>
            </w:r>
            <w:r>
              <w:rPr>
                <w:rFonts w:eastAsiaTheme="minorEastAsia" w:cs="Segoe UI" w:hint="eastAsia"/>
                <w:sz w:val="17"/>
                <w:lang w:eastAsia="zh-TW"/>
              </w:rPr>
              <w:t>利率震盪情境</w:t>
            </w:r>
            <w:r>
              <w:rPr>
                <w:rFonts w:eastAsiaTheme="minorEastAsia" w:cs="Segoe UI"/>
                <w:sz w:val="17"/>
                <w:lang w:eastAsia="zh-TW"/>
              </w:rPr>
              <w:t>1</w:t>
            </w:r>
            <w:r>
              <w:rPr>
                <w:rFonts w:eastAsiaTheme="minorEastAsia" w:cs="Segoe UI" w:hint="eastAsia"/>
                <w:sz w:val="17"/>
                <w:lang w:eastAsia="zh-TW"/>
              </w:rPr>
              <w:t>至</w:t>
            </w:r>
            <w:r>
              <w:rPr>
                <w:rFonts w:eastAsiaTheme="minorEastAsia" w:cs="Segoe UI"/>
                <w:sz w:val="17"/>
                <w:lang w:eastAsia="zh-TW"/>
              </w:rPr>
              <w:t>2</w:t>
            </w:r>
            <w:r>
              <w:rPr>
                <w:rFonts w:eastAsiaTheme="minorEastAsia" w:cs="Segoe UI" w:hint="eastAsia"/>
                <w:sz w:val="17"/>
                <w:szCs w:val="17"/>
                <w:lang w:eastAsia="zh-TW"/>
              </w:rPr>
              <w:t>之間）。正值表示替代</w:t>
            </w:r>
            <w:r>
              <w:rPr>
                <w:rFonts w:eastAsiaTheme="minorEastAsia" w:cs="Segoe UI" w:hint="eastAsia"/>
                <w:sz w:val="17"/>
                <w:lang w:eastAsia="zh-TW"/>
              </w:rPr>
              <w:t>情境</w:t>
            </w:r>
            <w:r>
              <w:rPr>
                <w:rFonts w:eastAsiaTheme="minorEastAsia" w:cs="Segoe UI" w:hint="eastAsia"/>
                <w:sz w:val="17"/>
                <w:szCs w:val="17"/>
                <w:lang w:eastAsia="zh-TW"/>
              </w:rPr>
              <w:t>下的損失</w:t>
            </w:r>
            <w:r w:rsidR="000336F3">
              <w:rPr>
                <w:rFonts w:eastAsiaTheme="minorEastAsia" w:cs="Segoe UI" w:hint="eastAsia"/>
                <w:sz w:val="17"/>
                <w:szCs w:val="17"/>
                <w:lang w:eastAsia="zh-TW"/>
              </w:rPr>
              <w:t>。</w:t>
            </w:r>
          </w:p>
        </w:tc>
      </w:tr>
    </w:tbl>
    <w:p w14:paraId="7A55E463" w14:textId="77777777" w:rsidR="006748B0" w:rsidRPr="000336F3" w:rsidRDefault="006748B0" w:rsidP="000336F3">
      <w:pPr>
        <w:ind w:leftChars="-283" w:hangingChars="333" w:hanging="566"/>
        <w:rPr>
          <w:rFonts w:eastAsiaTheme="minorEastAsia" w:cs="Segoe UI"/>
          <w:sz w:val="17"/>
          <w:szCs w:val="17"/>
          <w:lang w:eastAsia="zh-TW"/>
        </w:rPr>
        <w:sectPr w:rsidR="006748B0" w:rsidRPr="000336F3">
          <w:footerReference w:type="default" r:id="rId106"/>
          <w:pgSz w:w="11906" w:h="16838"/>
          <w:pgMar w:top="1440" w:right="1800" w:bottom="1440" w:left="1800" w:header="851" w:footer="992" w:gutter="0"/>
          <w:cols w:space="425"/>
          <w:docGrid w:type="lines" w:linePitch="360"/>
        </w:sectPr>
      </w:pPr>
    </w:p>
    <w:p w14:paraId="4C27AED0" w14:textId="77777777" w:rsidR="009F3E78" w:rsidRPr="00CA7301" w:rsidRDefault="009F3E78" w:rsidP="000F143F">
      <w:pPr>
        <w:keepNext/>
        <w:keepLines/>
        <w:tabs>
          <w:tab w:val="left" w:pos="426"/>
        </w:tabs>
        <w:spacing w:after="360"/>
        <w:ind w:leftChars="-283" w:left="-566" w:firstLine="140"/>
        <w:outlineLvl w:val="0"/>
        <w:rPr>
          <w:rFonts w:cs="Segoe UI"/>
          <w:color w:val="AA322F"/>
          <w:sz w:val="28"/>
          <w:lang w:eastAsia="zh-TW"/>
        </w:rPr>
      </w:pPr>
      <w:r w:rsidRPr="00CA7301">
        <w:rPr>
          <w:rFonts w:eastAsiaTheme="minorEastAsia" w:cs="Segoe UI"/>
          <w:color w:val="AA322F"/>
          <w:sz w:val="28"/>
          <w:lang w:eastAsia="zh-TW"/>
        </w:rPr>
        <w:t>第</w:t>
      </w:r>
      <w:r w:rsidRPr="00CA7301">
        <w:rPr>
          <w:rFonts w:cs="Segoe UI"/>
          <w:color w:val="AA322F"/>
          <w:sz w:val="28"/>
          <w:lang w:eastAsia="zh-TW"/>
        </w:rPr>
        <w:t>VIII</w:t>
      </w:r>
      <w:r w:rsidRPr="00CA7301">
        <w:rPr>
          <w:rFonts w:eastAsiaTheme="minorEastAsia" w:cs="Segoe UI"/>
          <w:color w:val="AA322F"/>
          <w:sz w:val="28"/>
          <w:lang w:eastAsia="zh-TW"/>
        </w:rPr>
        <w:t>部：薪酬制度</w:t>
      </w:r>
    </w:p>
    <w:p w14:paraId="09A3D668" w14:textId="21D2C0F7" w:rsidR="00216206" w:rsidRPr="00216206" w:rsidRDefault="00216206" w:rsidP="00216206">
      <w:pPr>
        <w:pStyle w:val="Heading2"/>
        <w:keepNext w:val="0"/>
        <w:suppressAutoHyphens w:val="0"/>
        <w:spacing w:before="40" w:line="240" w:lineRule="auto"/>
        <w:ind w:left="-454"/>
        <w:rPr>
          <w:rFonts w:ascii="細明體" w:eastAsia="細明體" w:hAnsi="細明體"/>
          <w:b w:val="0"/>
          <w:bCs w:val="0"/>
          <w:sz w:val="22"/>
          <w:szCs w:val="20"/>
          <w:lang w:eastAsia="en-US"/>
        </w:rPr>
      </w:pPr>
      <w:r w:rsidRPr="00216206">
        <w:rPr>
          <w:rFonts w:ascii="細明體" w:eastAsia="細明體" w:hAnsi="細明體" w:cs="微軟正黑體" w:hint="eastAsia"/>
          <w:b w:val="0"/>
          <w:bCs w:val="0"/>
          <w:sz w:val="22"/>
          <w:szCs w:val="20"/>
          <w:lang w:eastAsia="en-US"/>
        </w:rPr>
        <w:t>表</w:t>
      </w:r>
      <w:r w:rsidRPr="00216206">
        <w:rPr>
          <w:rFonts w:ascii="Segoe UI" w:eastAsia="細明體" w:hAnsi="Segoe UI" w:cs="Segoe UI"/>
          <w:b w:val="0"/>
          <w:bCs w:val="0"/>
          <w:sz w:val="22"/>
          <w:szCs w:val="20"/>
          <w:lang w:eastAsia="en-US"/>
        </w:rPr>
        <w:t>REMA</w:t>
      </w:r>
      <w:r w:rsidRPr="00216206">
        <w:rPr>
          <w:rFonts w:ascii="細明體" w:eastAsia="細明體" w:hAnsi="細明體" w:cs="微軟正黑體" w:hint="eastAsia"/>
          <w:b w:val="0"/>
          <w:bCs w:val="0"/>
          <w:sz w:val="22"/>
          <w:szCs w:val="20"/>
          <w:lang w:eastAsia="en-US"/>
        </w:rPr>
        <w:t>：</w:t>
      </w:r>
      <w:proofErr w:type="spellStart"/>
      <w:r w:rsidRPr="00216206">
        <w:rPr>
          <w:rFonts w:ascii="細明體" w:eastAsia="細明體" w:hAnsi="細明體" w:cs="微軟正黑體" w:hint="eastAsia"/>
          <w:b w:val="0"/>
          <w:bCs w:val="0"/>
          <w:sz w:val="22"/>
          <w:szCs w:val="20"/>
          <w:lang w:eastAsia="en-US"/>
        </w:rPr>
        <w:t>薪酬制度政策</w:t>
      </w:r>
      <w:proofErr w:type="spellEnd"/>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A9457B" w14:paraId="22ADFE41" w14:textId="77777777" w:rsidTr="000F143F">
        <w:tc>
          <w:tcPr>
            <w:tcW w:w="2160" w:type="dxa"/>
            <w:tcBorders>
              <w:top w:val="single" w:sz="4" w:space="0" w:color="auto"/>
              <w:left w:val="nil"/>
              <w:bottom w:val="single" w:sz="4" w:space="0" w:color="auto"/>
              <w:right w:val="single" w:sz="4" w:space="0" w:color="auto"/>
            </w:tcBorders>
            <w:hideMark/>
          </w:tcPr>
          <w:p w14:paraId="5017FCE7" w14:textId="77777777" w:rsidR="00A9457B" w:rsidRDefault="00A9457B">
            <w:pPr>
              <w:spacing w:before="40" w:after="40"/>
              <w:rPr>
                <w:rFonts w:cs="Segoe UI"/>
                <w:noProof/>
                <w:kern w:val="2"/>
                <w:sz w:val="17"/>
                <w:lang w:eastAsia="en-GB"/>
              </w:rPr>
            </w:pPr>
            <w:r>
              <w:rPr>
                <w:rFonts w:eastAsiaTheme="minorEastAsia" w:cs="Segoe UI" w:hint="eastAsia"/>
                <w:b/>
                <w:kern w:val="2"/>
                <w:sz w:val="17"/>
                <w:lang w:eastAsia="zh-TW"/>
              </w:rPr>
              <w:t>目的：</w:t>
            </w:r>
          </w:p>
        </w:tc>
        <w:tc>
          <w:tcPr>
            <w:tcW w:w="7088" w:type="dxa"/>
            <w:tcBorders>
              <w:top w:val="single" w:sz="4" w:space="0" w:color="auto"/>
              <w:left w:val="single" w:sz="4" w:space="0" w:color="auto"/>
              <w:bottom w:val="single" w:sz="4" w:space="0" w:color="auto"/>
              <w:right w:val="nil"/>
            </w:tcBorders>
            <w:hideMark/>
          </w:tcPr>
          <w:p w14:paraId="434E01F5" w14:textId="77777777" w:rsidR="00A9457B" w:rsidRDefault="00A9457B">
            <w:pPr>
              <w:pStyle w:val="TableText"/>
              <w:jc w:val="both"/>
              <w:rPr>
                <w:rFonts w:cs="Segoe UI"/>
                <w:kern w:val="2"/>
                <w:lang w:val="en-US" w:eastAsia="zh-TW"/>
              </w:rPr>
            </w:pPr>
            <w:r>
              <w:rPr>
                <w:rFonts w:eastAsiaTheme="minorEastAsia" w:cs="Segoe UI" w:hint="eastAsia"/>
                <w:kern w:val="2"/>
                <w:lang w:eastAsia="zh-TW"/>
              </w:rPr>
              <w:t>描述薪酬</w:t>
            </w:r>
            <w:r>
              <w:rPr>
                <w:rFonts w:eastAsia="細明體" w:cs="Segoe UI" w:hint="eastAsia"/>
                <w:kern w:val="2"/>
                <w:lang w:eastAsia="zh-TW"/>
              </w:rPr>
              <w:t>制度</w:t>
            </w:r>
            <w:r>
              <w:rPr>
                <w:rFonts w:eastAsiaTheme="minorEastAsia" w:cs="Segoe UI" w:hint="eastAsia"/>
                <w:kern w:val="2"/>
                <w:lang w:eastAsia="zh-TW"/>
              </w:rPr>
              <w:t>政策及薪酬制度</w:t>
            </w:r>
            <w:r>
              <w:rPr>
                <w:rFonts w:eastAsia="細明體" w:cs="Segoe UI" w:hint="eastAsia"/>
                <w:kern w:val="2"/>
                <w:lang w:eastAsia="zh-TW"/>
              </w:rPr>
              <w:t>系統</w:t>
            </w:r>
            <w:r>
              <w:rPr>
                <w:rFonts w:eastAsiaTheme="minorEastAsia" w:cs="Segoe UI" w:hint="eastAsia"/>
                <w:kern w:val="2"/>
                <w:lang w:eastAsia="zh-TW"/>
              </w:rPr>
              <w:t>的</w:t>
            </w:r>
            <w:r>
              <w:rPr>
                <w:rFonts w:eastAsia="細明體" w:cs="Segoe UI" w:hint="eastAsia"/>
                <w:kern w:val="2"/>
                <w:lang w:eastAsia="zh-TW"/>
              </w:rPr>
              <w:t>主要</w:t>
            </w:r>
            <w:r>
              <w:rPr>
                <w:rFonts w:eastAsiaTheme="minorEastAsia" w:cs="Segoe UI" w:hint="eastAsia"/>
                <w:kern w:val="2"/>
                <w:lang w:eastAsia="zh-TW"/>
              </w:rPr>
              <w:t>特點，讓第三支柱數據使用者對有關認可機構的</w:t>
            </w:r>
            <w:r>
              <w:rPr>
                <w:rFonts w:eastAsia="細明體" w:cs="Segoe UI" w:hint="eastAsia"/>
                <w:kern w:val="2"/>
                <w:lang w:eastAsia="zh-TW"/>
              </w:rPr>
              <w:t>酬報做法</w:t>
            </w:r>
            <w:r>
              <w:rPr>
                <w:rFonts w:eastAsiaTheme="minorEastAsia" w:cs="Segoe UI" w:hint="eastAsia"/>
                <w:kern w:val="2"/>
                <w:lang w:eastAsia="zh-TW"/>
              </w:rPr>
              <w:t>能作出有意義的評估。</w:t>
            </w:r>
          </w:p>
        </w:tc>
      </w:tr>
      <w:tr w:rsidR="00A9457B" w14:paraId="60B43D39" w14:textId="77777777" w:rsidTr="000F143F">
        <w:tc>
          <w:tcPr>
            <w:tcW w:w="2160" w:type="dxa"/>
            <w:tcBorders>
              <w:top w:val="single" w:sz="4" w:space="0" w:color="auto"/>
              <w:left w:val="nil"/>
              <w:bottom w:val="single" w:sz="4" w:space="0" w:color="auto"/>
              <w:right w:val="single" w:sz="4" w:space="0" w:color="auto"/>
            </w:tcBorders>
            <w:hideMark/>
          </w:tcPr>
          <w:p w14:paraId="07FFCCD2" w14:textId="77777777" w:rsidR="00A9457B" w:rsidRDefault="00A9457B">
            <w:pPr>
              <w:spacing w:before="40" w:after="40"/>
              <w:rPr>
                <w:rFonts w:cs="Segoe UI"/>
                <w:b/>
                <w:kern w:val="2"/>
                <w:sz w:val="17"/>
                <w:lang w:eastAsia="en-GB"/>
              </w:rPr>
            </w:pPr>
            <w:r>
              <w:rPr>
                <w:rFonts w:eastAsiaTheme="minorEastAsia" w:cs="Segoe UI" w:hint="eastAsia"/>
                <w:b/>
                <w:kern w:val="2"/>
                <w:sz w:val="17"/>
                <w:lang w:eastAsia="zh-TW"/>
              </w:rPr>
              <w:t>適用範圍：</w:t>
            </w:r>
          </w:p>
        </w:tc>
        <w:tc>
          <w:tcPr>
            <w:tcW w:w="7088" w:type="dxa"/>
            <w:tcBorders>
              <w:top w:val="single" w:sz="4" w:space="0" w:color="auto"/>
              <w:left w:val="single" w:sz="4" w:space="0" w:color="auto"/>
              <w:bottom w:val="single" w:sz="4" w:space="0" w:color="auto"/>
              <w:right w:val="nil"/>
            </w:tcBorders>
            <w:hideMark/>
          </w:tcPr>
          <w:p w14:paraId="7B615985" w14:textId="77777777" w:rsidR="00A9457B" w:rsidRDefault="00A9457B">
            <w:pPr>
              <w:spacing w:before="40" w:after="40"/>
              <w:jc w:val="both"/>
              <w:rPr>
                <w:rFonts w:cs="Segoe UI"/>
                <w:b/>
                <w:kern w:val="2"/>
                <w:sz w:val="17"/>
                <w:lang w:eastAsia="zh-TW"/>
              </w:rPr>
            </w:pPr>
            <w:r>
              <w:rPr>
                <w:rFonts w:eastAsia="細明體" w:cs="Segoe UI" w:hint="eastAsia"/>
                <w:kern w:val="2"/>
                <w:sz w:val="17"/>
                <w:lang w:eastAsia="zh-TW"/>
              </w:rPr>
              <w:t>所有在香港成立</w:t>
            </w:r>
            <w:proofErr w:type="gramStart"/>
            <w:r>
              <w:rPr>
                <w:rFonts w:eastAsia="細明體" w:cs="Segoe UI" w:hint="eastAsia"/>
                <w:kern w:val="2"/>
                <w:sz w:val="17"/>
                <w:lang w:eastAsia="zh-TW"/>
              </w:rPr>
              <w:t>為法團的</w:t>
            </w:r>
            <w:proofErr w:type="gramEnd"/>
            <w:r>
              <w:rPr>
                <w:rFonts w:eastAsia="細明體" w:cs="Segoe UI" w:hint="eastAsia"/>
                <w:kern w:val="2"/>
                <w:sz w:val="17"/>
                <w:lang w:eastAsia="zh-TW"/>
              </w:rPr>
              <w:t>認可</w:t>
            </w:r>
            <w:proofErr w:type="gramStart"/>
            <w:r>
              <w:rPr>
                <w:rFonts w:eastAsia="細明體" w:cs="Segoe UI" w:hint="eastAsia"/>
                <w:kern w:val="2"/>
                <w:sz w:val="17"/>
                <w:lang w:eastAsia="zh-TW"/>
              </w:rPr>
              <w:t>機構均須填報</w:t>
            </w:r>
            <w:proofErr w:type="gramEnd"/>
            <w:r>
              <w:rPr>
                <w:rFonts w:eastAsia="細明體" w:cs="Segoe UI" w:hint="eastAsia"/>
                <w:kern w:val="2"/>
                <w:sz w:val="17"/>
                <w:lang w:eastAsia="zh-TW"/>
              </w:rPr>
              <w:t>本表</w:t>
            </w:r>
            <w:r>
              <w:rPr>
                <w:rFonts w:eastAsiaTheme="minorEastAsia" w:cs="Segoe UI" w:hint="eastAsia"/>
                <w:kern w:val="2"/>
                <w:sz w:val="17"/>
                <w:lang w:eastAsia="zh-TW"/>
              </w:rPr>
              <w:t>。</w:t>
            </w:r>
          </w:p>
        </w:tc>
      </w:tr>
      <w:tr w:rsidR="00A9457B" w14:paraId="4A4D8E35" w14:textId="77777777" w:rsidTr="000F143F">
        <w:tc>
          <w:tcPr>
            <w:tcW w:w="2160" w:type="dxa"/>
            <w:tcBorders>
              <w:top w:val="single" w:sz="4" w:space="0" w:color="auto"/>
              <w:left w:val="nil"/>
              <w:bottom w:val="single" w:sz="4" w:space="0" w:color="auto"/>
              <w:right w:val="single" w:sz="4" w:space="0" w:color="auto"/>
            </w:tcBorders>
            <w:hideMark/>
          </w:tcPr>
          <w:p w14:paraId="7D9DA1EC" w14:textId="77777777" w:rsidR="00A9457B" w:rsidRDefault="00A9457B">
            <w:pPr>
              <w:spacing w:before="40" w:after="40"/>
              <w:rPr>
                <w:rFonts w:cs="Segoe UI"/>
                <w:b/>
                <w:kern w:val="2"/>
                <w:sz w:val="17"/>
                <w:lang w:eastAsia="en-GB"/>
              </w:rPr>
            </w:pPr>
            <w:r>
              <w:rPr>
                <w:rFonts w:eastAsiaTheme="minorEastAsia" w:cs="Segoe UI" w:hint="eastAsia"/>
                <w:b/>
                <w:kern w:val="2"/>
                <w:sz w:val="17"/>
                <w:lang w:eastAsia="zh-TW"/>
              </w:rPr>
              <w:t>內容：</w:t>
            </w:r>
          </w:p>
        </w:tc>
        <w:tc>
          <w:tcPr>
            <w:tcW w:w="7088" w:type="dxa"/>
            <w:tcBorders>
              <w:top w:val="single" w:sz="4" w:space="0" w:color="auto"/>
              <w:left w:val="single" w:sz="4" w:space="0" w:color="auto"/>
              <w:bottom w:val="single" w:sz="4" w:space="0" w:color="auto"/>
              <w:right w:val="nil"/>
            </w:tcBorders>
            <w:hideMark/>
          </w:tcPr>
          <w:p w14:paraId="2359E25B" w14:textId="77777777" w:rsidR="00A9457B" w:rsidRDefault="00A9457B">
            <w:pPr>
              <w:spacing w:before="40" w:after="40"/>
              <w:jc w:val="both"/>
              <w:rPr>
                <w:rFonts w:cs="Segoe UI"/>
                <w:b/>
                <w:kern w:val="2"/>
                <w:sz w:val="17"/>
                <w:lang w:eastAsia="en-GB"/>
              </w:rPr>
            </w:pPr>
            <w:r>
              <w:rPr>
                <w:rFonts w:eastAsiaTheme="minorEastAsia" w:cs="Segoe UI" w:hint="eastAsia"/>
                <w:kern w:val="2"/>
                <w:sz w:val="17"/>
                <w:lang w:eastAsia="zh-TW"/>
              </w:rPr>
              <w:t>描述資料。</w:t>
            </w:r>
          </w:p>
        </w:tc>
      </w:tr>
      <w:tr w:rsidR="00A9457B" w14:paraId="10928693" w14:textId="77777777" w:rsidTr="000F143F">
        <w:tc>
          <w:tcPr>
            <w:tcW w:w="2160" w:type="dxa"/>
            <w:tcBorders>
              <w:top w:val="single" w:sz="4" w:space="0" w:color="auto"/>
              <w:left w:val="nil"/>
              <w:bottom w:val="single" w:sz="4" w:space="0" w:color="auto"/>
              <w:right w:val="single" w:sz="4" w:space="0" w:color="auto"/>
            </w:tcBorders>
            <w:hideMark/>
          </w:tcPr>
          <w:p w14:paraId="1C55563B" w14:textId="77777777" w:rsidR="00A9457B" w:rsidRDefault="00A9457B">
            <w:pPr>
              <w:spacing w:before="40" w:after="40"/>
              <w:rPr>
                <w:rFonts w:cs="Segoe UI"/>
                <w:kern w:val="2"/>
                <w:sz w:val="17"/>
                <w:lang w:eastAsia="en-GB"/>
              </w:rPr>
            </w:pPr>
            <w:proofErr w:type="spellStart"/>
            <w:r>
              <w:rPr>
                <w:rFonts w:eastAsia="細明體" w:cs="Segoe UI" w:hint="eastAsia"/>
                <w:b/>
                <w:kern w:val="2"/>
                <w:sz w:val="17"/>
                <w:lang w:val="en-US"/>
              </w:rPr>
              <w:t>頻密程度</w:t>
            </w:r>
            <w:proofErr w:type="spellEnd"/>
            <w:r>
              <w:rPr>
                <w:rFonts w:eastAsia="細明體" w:cs="Segoe UI" w:hint="eastAsia"/>
                <w:b/>
                <w:kern w:val="2"/>
                <w:sz w:val="17"/>
                <w:lang w:val="en-US"/>
              </w:rPr>
              <w:t>：</w:t>
            </w:r>
          </w:p>
        </w:tc>
        <w:tc>
          <w:tcPr>
            <w:tcW w:w="7088" w:type="dxa"/>
            <w:tcBorders>
              <w:top w:val="single" w:sz="4" w:space="0" w:color="auto"/>
              <w:left w:val="single" w:sz="4" w:space="0" w:color="auto"/>
              <w:bottom w:val="single" w:sz="4" w:space="0" w:color="auto"/>
              <w:right w:val="nil"/>
            </w:tcBorders>
            <w:hideMark/>
          </w:tcPr>
          <w:p w14:paraId="10D9DA25" w14:textId="77777777" w:rsidR="00A9457B" w:rsidRDefault="00A9457B">
            <w:pPr>
              <w:pStyle w:val="TableText"/>
              <w:jc w:val="both"/>
              <w:rPr>
                <w:rFonts w:cs="Segoe UI"/>
                <w:kern w:val="2"/>
                <w:lang w:val="en-US" w:eastAsia="en-GB"/>
              </w:rPr>
            </w:pPr>
            <w:r>
              <w:rPr>
                <w:rFonts w:eastAsiaTheme="minorEastAsia" w:cs="Segoe UI" w:hint="eastAsia"/>
                <w:kern w:val="2"/>
                <w:lang w:eastAsia="zh-TW"/>
              </w:rPr>
              <w:t>每年一次。</w:t>
            </w:r>
          </w:p>
        </w:tc>
      </w:tr>
      <w:tr w:rsidR="00A9457B" w14:paraId="601892CA" w14:textId="77777777" w:rsidTr="000F143F">
        <w:tc>
          <w:tcPr>
            <w:tcW w:w="2160" w:type="dxa"/>
            <w:tcBorders>
              <w:top w:val="single" w:sz="4" w:space="0" w:color="auto"/>
              <w:left w:val="nil"/>
              <w:bottom w:val="single" w:sz="4" w:space="0" w:color="auto"/>
              <w:right w:val="single" w:sz="4" w:space="0" w:color="auto"/>
            </w:tcBorders>
            <w:hideMark/>
          </w:tcPr>
          <w:p w14:paraId="604173AB" w14:textId="77777777" w:rsidR="00A9457B" w:rsidRDefault="00A9457B">
            <w:pPr>
              <w:spacing w:before="40" w:after="40"/>
              <w:rPr>
                <w:rFonts w:cs="Segoe UI"/>
                <w:kern w:val="2"/>
                <w:sz w:val="17"/>
                <w:lang w:eastAsia="en-GB"/>
              </w:rPr>
            </w:pPr>
            <w:r>
              <w:rPr>
                <w:rFonts w:eastAsiaTheme="minorEastAsia" w:cs="Segoe UI" w:hint="eastAsia"/>
                <w:b/>
                <w:kern w:val="2"/>
                <w:sz w:val="17"/>
                <w:lang w:eastAsia="zh-TW"/>
              </w:rPr>
              <w:t>格式：</w:t>
            </w:r>
          </w:p>
        </w:tc>
        <w:tc>
          <w:tcPr>
            <w:tcW w:w="7088" w:type="dxa"/>
            <w:tcBorders>
              <w:top w:val="single" w:sz="4" w:space="0" w:color="auto"/>
              <w:left w:val="single" w:sz="4" w:space="0" w:color="auto"/>
              <w:bottom w:val="single" w:sz="4" w:space="0" w:color="auto"/>
              <w:right w:val="nil"/>
            </w:tcBorders>
            <w:hideMark/>
          </w:tcPr>
          <w:p w14:paraId="49FF3EC9" w14:textId="77777777" w:rsidR="00A9457B" w:rsidRDefault="00A9457B">
            <w:pPr>
              <w:pStyle w:val="TableText"/>
              <w:jc w:val="both"/>
              <w:rPr>
                <w:rFonts w:cs="Segoe UI"/>
                <w:kern w:val="2"/>
                <w:lang w:eastAsia="en-GB"/>
              </w:rPr>
            </w:pPr>
            <w:r>
              <w:rPr>
                <w:rFonts w:eastAsiaTheme="minorEastAsia" w:cs="Segoe UI" w:hint="eastAsia"/>
                <w:kern w:val="2"/>
                <w:lang w:eastAsia="zh-TW"/>
              </w:rPr>
              <w:t>非固定。</w:t>
            </w:r>
          </w:p>
        </w:tc>
      </w:tr>
      <w:tr w:rsidR="00A9457B" w14:paraId="2662EBD6" w14:textId="77777777" w:rsidTr="000F143F">
        <w:tc>
          <w:tcPr>
            <w:tcW w:w="2160" w:type="dxa"/>
            <w:tcBorders>
              <w:top w:val="single" w:sz="4" w:space="0" w:color="auto"/>
              <w:left w:val="nil"/>
              <w:bottom w:val="single" w:sz="4" w:space="0" w:color="auto"/>
              <w:right w:val="single" w:sz="4" w:space="0" w:color="auto"/>
            </w:tcBorders>
            <w:hideMark/>
          </w:tcPr>
          <w:p w14:paraId="29C42D32" w14:textId="77777777" w:rsidR="00A9457B" w:rsidRDefault="00A9457B">
            <w:pPr>
              <w:spacing w:before="40" w:after="40"/>
              <w:rPr>
                <w:rFonts w:cs="Segoe UI"/>
                <w:b/>
                <w:kern w:val="2"/>
                <w:sz w:val="17"/>
                <w:lang w:eastAsia="zh-TW"/>
              </w:rPr>
            </w:pPr>
            <w:r>
              <w:rPr>
                <w:rFonts w:eastAsia="細明體" w:cs="Segoe UI" w:hint="eastAsia"/>
                <w:b/>
                <w:kern w:val="2"/>
                <w:sz w:val="17"/>
                <w:lang w:eastAsia="zh-TW"/>
              </w:rPr>
              <w:t>《披露規則》相應條文：</w:t>
            </w:r>
          </w:p>
        </w:tc>
        <w:tc>
          <w:tcPr>
            <w:tcW w:w="7088" w:type="dxa"/>
            <w:tcBorders>
              <w:top w:val="single" w:sz="4" w:space="0" w:color="auto"/>
              <w:left w:val="single" w:sz="4" w:space="0" w:color="auto"/>
              <w:bottom w:val="single" w:sz="4" w:space="0" w:color="auto"/>
              <w:right w:val="nil"/>
            </w:tcBorders>
            <w:hideMark/>
          </w:tcPr>
          <w:p w14:paraId="66069A86" w14:textId="77777777" w:rsidR="00A9457B" w:rsidRDefault="00A9457B">
            <w:pPr>
              <w:pStyle w:val="TableText"/>
              <w:jc w:val="both"/>
              <w:rPr>
                <w:rFonts w:cs="Segoe UI"/>
                <w:kern w:val="2"/>
                <w:lang w:eastAsia="en-GB"/>
              </w:rPr>
            </w:pPr>
            <w:r>
              <w:rPr>
                <w:rFonts w:eastAsia="STXingkai" w:cs="Segoe UI"/>
                <w:kern w:val="2"/>
                <w:lang w:eastAsia="zh-TW"/>
              </w:rPr>
              <w:t>16ZS</w:t>
            </w:r>
          </w:p>
        </w:tc>
      </w:tr>
    </w:tbl>
    <w:p w14:paraId="3BFE2C76" w14:textId="77777777" w:rsidR="006748B0" w:rsidRDefault="006748B0">
      <w:pPr>
        <w:rPr>
          <w:rFonts w:eastAsiaTheme="minorEastAsia" w:cs="Segoe UI"/>
          <w:lang w:eastAsia="zh-TW"/>
        </w:rPr>
      </w:pPr>
    </w:p>
    <w:tbl>
      <w:tblPr>
        <w:tblW w:w="9415" w:type="dxa"/>
        <w:jc w:val="center"/>
        <w:tblCellMar>
          <w:left w:w="70" w:type="dxa"/>
          <w:right w:w="70" w:type="dxa"/>
        </w:tblCellMar>
        <w:tblLook w:val="00A0" w:firstRow="1" w:lastRow="0" w:firstColumn="1" w:lastColumn="0" w:noHBand="0" w:noVBand="0"/>
      </w:tblPr>
      <w:tblGrid>
        <w:gridCol w:w="543"/>
        <w:gridCol w:w="8872"/>
      </w:tblGrid>
      <w:tr w:rsidR="00A9457B" w14:paraId="1125D4D2" w14:textId="77777777" w:rsidTr="00A9457B">
        <w:trPr>
          <w:trHeight w:val="448"/>
          <w:jc w:val="center"/>
        </w:trPr>
        <w:tc>
          <w:tcPr>
            <w:tcW w:w="9415" w:type="dxa"/>
            <w:gridSpan w:val="2"/>
            <w:tcBorders>
              <w:top w:val="single" w:sz="4" w:space="0" w:color="auto"/>
              <w:left w:val="nil"/>
              <w:bottom w:val="single" w:sz="4" w:space="0" w:color="auto"/>
              <w:right w:val="nil"/>
            </w:tcBorders>
            <w:vAlign w:val="center"/>
            <w:hideMark/>
          </w:tcPr>
          <w:p w14:paraId="20FC7BCB" w14:textId="77777777" w:rsidR="00A9457B" w:rsidRDefault="00A9457B">
            <w:pPr>
              <w:widowControl w:val="0"/>
              <w:spacing w:before="40" w:after="40"/>
              <w:jc w:val="both"/>
              <w:rPr>
                <w:rFonts w:cs="Segoe UI"/>
                <w:kern w:val="2"/>
                <w:sz w:val="17"/>
                <w:szCs w:val="17"/>
                <w:lang w:eastAsia="fr-FR"/>
              </w:rPr>
            </w:pPr>
            <w:r>
              <w:rPr>
                <w:rFonts w:eastAsiaTheme="minorEastAsia" w:cs="Segoe UI" w:hint="eastAsia"/>
                <w:kern w:val="2"/>
                <w:sz w:val="17"/>
                <w:szCs w:val="17"/>
                <w:lang w:eastAsia="zh-TW"/>
              </w:rPr>
              <w:t>認可機構應描述其薪酬制度系統的主要元素及其如何制定此系統，尤其應描述以下元素（如適用）：</w:t>
            </w:r>
          </w:p>
        </w:tc>
      </w:tr>
      <w:tr w:rsidR="00A9457B" w14:paraId="7E31F7D5" w14:textId="77777777" w:rsidTr="00A9457B">
        <w:trPr>
          <w:trHeight w:val="318"/>
          <w:jc w:val="center"/>
        </w:trPr>
        <w:tc>
          <w:tcPr>
            <w:tcW w:w="543" w:type="dxa"/>
            <w:tcBorders>
              <w:top w:val="single" w:sz="4" w:space="0" w:color="auto"/>
              <w:left w:val="nil"/>
              <w:bottom w:val="single" w:sz="4" w:space="0" w:color="auto"/>
              <w:right w:val="nil"/>
            </w:tcBorders>
            <w:noWrap/>
            <w:hideMark/>
          </w:tcPr>
          <w:p w14:paraId="736226FF" w14:textId="77777777" w:rsidR="00A9457B" w:rsidRDefault="00A9457B">
            <w:pPr>
              <w:widowControl w:val="0"/>
              <w:spacing w:before="40" w:after="40"/>
              <w:rPr>
                <w:rFonts w:cs="Segoe UI"/>
                <w:kern w:val="2"/>
                <w:sz w:val="17"/>
                <w:szCs w:val="17"/>
              </w:rPr>
            </w:pPr>
            <w:r>
              <w:rPr>
                <w:rFonts w:cs="Segoe UI"/>
                <w:kern w:val="2"/>
                <w:sz w:val="17"/>
                <w:szCs w:val="17"/>
              </w:rPr>
              <w:t>(a)</w:t>
            </w:r>
          </w:p>
        </w:tc>
        <w:tc>
          <w:tcPr>
            <w:tcW w:w="8872" w:type="dxa"/>
            <w:tcBorders>
              <w:top w:val="single" w:sz="4" w:space="0" w:color="auto"/>
              <w:left w:val="nil"/>
              <w:bottom w:val="single" w:sz="4" w:space="0" w:color="auto"/>
              <w:right w:val="nil"/>
            </w:tcBorders>
            <w:noWrap/>
            <w:vAlign w:val="bottom"/>
            <w:hideMark/>
          </w:tcPr>
          <w:p w14:paraId="177EF302" w14:textId="77777777" w:rsidR="00A9457B" w:rsidRDefault="00A9457B">
            <w:pPr>
              <w:pStyle w:val="TableText"/>
              <w:jc w:val="both"/>
              <w:rPr>
                <w:rFonts w:cs="Segoe UI"/>
                <w:noProof/>
                <w:kern w:val="2"/>
                <w:szCs w:val="17"/>
                <w:lang w:eastAsia="zh-TW"/>
              </w:rPr>
            </w:pPr>
            <w:r>
              <w:rPr>
                <w:rFonts w:eastAsiaTheme="minorEastAsia" w:cs="Segoe UI" w:hint="eastAsia"/>
                <w:noProof/>
                <w:kern w:val="2"/>
                <w:szCs w:val="17"/>
                <w:lang w:eastAsia="zh-TW"/>
              </w:rPr>
              <w:t>有關負責監察薪酬的單位的資料。披露內容應包括：</w:t>
            </w:r>
          </w:p>
          <w:p w14:paraId="7C3D5CA1" w14:textId="77777777" w:rsidR="00A9457B" w:rsidRDefault="00A9457B" w:rsidP="00D540EB">
            <w:pPr>
              <w:pStyle w:val="TableText"/>
              <w:numPr>
                <w:ilvl w:val="0"/>
                <w:numId w:val="25"/>
              </w:numPr>
              <w:tabs>
                <w:tab w:val="left" w:pos="509"/>
              </w:tabs>
              <w:jc w:val="both"/>
              <w:rPr>
                <w:rFonts w:cs="Segoe UI"/>
                <w:noProof/>
                <w:kern w:val="2"/>
                <w:szCs w:val="17"/>
                <w:lang w:eastAsia="zh-TW"/>
              </w:rPr>
            </w:pPr>
            <w:r>
              <w:rPr>
                <w:rFonts w:eastAsiaTheme="minorEastAsia" w:cs="Segoe UI" w:hint="eastAsia"/>
                <w:kern w:val="2"/>
                <w:szCs w:val="17"/>
                <w:lang w:eastAsia="zh-TW"/>
              </w:rPr>
              <w:t>監察薪酬的主要單位的名稱、組成及職責範圍；</w:t>
            </w:r>
          </w:p>
          <w:p w14:paraId="59178293" w14:textId="77777777" w:rsidR="00A9457B" w:rsidRDefault="00A9457B" w:rsidP="00D540EB">
            <w:pPr>
              <w:pStyle w:val="TableText"/>
              <w:numPr>
                <w:ilvl w:val="0"/>
                <w:numId w:val="25"/>
              </w:numPr>
              <w:tabs>
                <w:tab w:val="left" w:pos="509"/>
              </w:tabs>
              <w:ind w:left="509" w:hanging="509"/>
              <w:jc w:val="both"/>
              <w:rPr>
                <w:rFonts w:cs="Segoe UI"/>
                <w:noProof/>
                <w:kern w:val="2"/>
                <w:szCs w:val="17"/>
                <w:lang w:eastAsia="zh-TW"/>
              </w:rPr>
            </w:pPr>
            <w:r>
              <w:rPr>
                <w:rFonts w:eastAsiaTheme="minorEastAsia" w:cs="Segoe UI" w:hint="eastAsia"/>
                <w:noProof/>
                <w:kern w:val="2"/>
                <w:szCs w:val="17"/>
                <w:lang w:eastAsia="zh-TW"/>
              </w:rPr>
              <w:t>曾被徵詢意見的外聘顧問、委託有關顧問提供意見的單位，以及有關意見所涉及的薪酬程序的範疇；</w:t>
            </w:r>
          </w:p>
          <w:p w14:paraId="75F9256E" w14:textId="77777777" w:rsidR="00A9457B" w:rsidRDefault="00A9457B" w:rsidP="00D540EB">
            <w:pPr>
              <w:pStyle w:val="TableText"/>
              <w:numPr>
                <w:ilvl w:val="0"/>
                <w:numId w:val="25"/>
              </w:numPr>
              <w:tabs>
                <w:tab w:val="left" w:pos="509"/>
              </w:tabs>
              <w:ind w:left="509" w:hanging="509"/>
              <w:jc w:val="both"/>
              <w:rPr>
                <w:rFonts w:cs="Segoe UI"/>
                <w:noProof/>
                <w:kern w:val="2"/>
                <w:szCs w:val="17"/>
                <w:lang w:eastAsia="zh-TW"/>
              </w:rPr>
            </w:pPr>
            <w:r>
              <w:rPr>
                <w:rFonts w:eastAsiaTheme="minorEastAsia" w:cs="Segoe UI" w:hint="eastAsia"/>
                <w:noProof/>
                <w:kern w:val="2"/>
                <w:szCs w:val="17"/>
                <w:lang w:eastAsia="zh-TW"/>
              </w:rPr>
              <w:t>認可機構的薪酬</w:t>
            </w:r>
            <w:r>
              <w:rPr>
                <w:rFonts w:eastAsia="細明體" w:cs="Segoe UI" w:hint="eastAsia"/>
                <w:kern w:val="2"/>
                <w:lang w:eastAsia="zh-TW"/>
              </w:rPr>
              <w:t>制度</w:t>
            </w:r>
            <w:r>
              <w:rPr>
                <w:rFonts w:eastAsiaTheme="minorEastAsia" w:cs="Segoe UI" w:hint="eastAsia"/>
                <w:noProof/>
                <w:kern w:val="2"/>
                <w:szCs w:val="17"/>
                <w:lang w:eastAsia="zh-TW"/>
              </w:rPr>
              <w:t>政策所涵蓋的範圍（例如按地區、業務類別）的描述，包括適用於境外附屬公司及分行適用程度；以及</w:t>
            </w:r>
          </w:p>
          <w:p w14:paraId="721DD99B" w14:textId="77777777" w:rsidR="00A9457B" w:rsidRDefault="00A9457B" w:rsidP="00D540EB">
            <w:pPr>
              <w:pStyle w:val="TableText"/>
              <w:numPr>
                <w:ilvl w:val="0"/>
                <w:numId w:val="25"/>
              </w:numPr>
              <w:tabs>
                <w:tab w:val="left" w:pos="509"/>
              </w:tabs>
              <w:ind w:left="509" w:hanging="509"/>
              <w:jc w:val="both"/>
              <w:rPr>
                <w:rFonts w:cs="Segoe UI"/>
                <w:noProof/>
                <w:kern w:val="2"/>
                <w:szCs w:val="17"/>
                <w:lang w:eastAsia="zh-TW"/>
              </w:rPr>
            </w:pPr>
            <w:r>
              <w:rPr>
                <w:rFonts w:eastAsiaTheme="minorEastAsia" w:cs="Segoe UI" w:hint="eastAsia"/>
                <w:noProof/>
                <w:kern w:val="2"/>
                <w:szCs w:val="17"/>
                <w:lang w:eastAsia="zh-TW"/>
              </w:rPr>
              <w:t>有關被界定為</w:t>
            </w:r>
            <w:r>
              <w:rPr>
                <w:rFonts w:eastAsia="細明體" w:cs="Segoe UI" w:hint="eastAsia"/>
                <w:kern w:val="2"/>
                <w:lang w:eastAsia="zh-TW"/>
              </w:rPr>
              <w:t>主要</w:t>
            </w:r>
            <w:r>
              <w:rPr>
                <w:rFonts w:eastAsiaTheme="minorEastAsia" w:cs="Segoe UI" w:hint="eastAsia"/>
                <w:noProof/>
                <w:kern w:val="2"/>
                <w:szCs w:val="17"/>
                <w:lang w:eastAsia="zh-TW"/>
              </w:rPr>
              <w:t>人員及高級管理人員的員工類別的描述。</w:t>
            </w:r>
          </w:p>
        </w:tc>
      </w:tr>
      <w:tr w:rsidR="00A9457B" w14:paraId="7FC9E581" w14:textId="77777777" w:rsidTr="00A9457B">
        <w:trPr>
          <w:trHeight w:val="318"/>
          <w:jc w:val="center"/>
        </w:trPr>
        <w:tc>
          <w:tcPr>
            <w:tcW w:w="543" w:type="dxa"/>
            <w:tcBorders>
              <w:top w:val="single" w:sz="4" w:space="0" w:color="auto"/>
              <w:left w:val="nil"/>
              <w:bottom w:val="single" w:sz="4" w:space="0" w:color="auto"/>
              <w:right w:val="nil"/>
            </w:tcBorders>
            <w:noWrap/>
            <w:hideMark/>
          </w:tcPr>
          <w:p w14:paraId="5DFD8F34" w14:textId="77777777" w:rsidR="00A9457B" w:rsidRDefault="00A9457B">
            <w:pPr>
              <w:widowControl w:val="0"/>
              <w:spacing w:before="40" w:after="40"/>
              <w:rPr>
                <w:rFonts w:cs="Segoe UI"/>
                <w:kern w:val="2"/>
                <w:sz w:val="17"/>
                <w:szCs w:val="17"/>
              </w:rPr>
            </w:pPr>
            <w:r>
              <w:rPr>
                <w:rFonts w:cs="Segoe UI"/>
                <w:kern w:val="2"/>
                <w:sz w:val="17"/>
                <w:szCs w:val="17"/>
              </w:rPr>
              <w:t>(b)</w:t>
            </w:r>
          </w:p>
        </w:tc>
        <w:tc>
          <w:tcPr>
            <w:tcW w:w="8872" w:type="dxa"/>
            <w:tcBorders>
              <w:top w:val="single" w:sz="4" w:space="0" w:color="auto"/>
              <w:left w:val="nil"/>
              <w:bottom w:val="single" w:sz="4" w:space="0" w:color="auto"/>
              <w:right w:val="nil"/>
            </w:tcBorders>
            <w:noWrap/>
            <w:vAlign w:val="bottom"/>
            <w:hideMark/>
          </w:tcPr>
          <w:p w14:paraId="636B9C39" w14:textId="77777777" w:rsidR="00A9457B" w:rsidRDefault="00A9457B">
            <w:pPr>
              <w:pStyle w:val="TableText"/>
              <w:jc w:val="both"/>
              <w:rPr>
                <w:rFonts w:cs="Segoe UI"/>
                <w:noProof/>
                <w:kern w:val="2"/>
                <w:lang w:eastAsia="en-GB"/>
              </w:rPr>
            </w:pPr>
            <w:r>
              <w:rPr>
                <w:rFonts w:eastAsiaTheme="minorEastAsia" w:cs="Segoe UI" w:hint="eastAsia"/>
                <w:noProof/>
                <w:kern w:val="2"/>
                <w:szCs w:val="17"/>
                <w:lang w:eastAsia="zh-TW"/>
              </w:rPr>
              <w:t>有關薪酬程序的設計及結構的資料。披露內容應包括：</w:t>
            </w:r>
            <w:r>
              <w:rPr>
                <w:rFonts w:cs="Segoe UI"/>
                <w:noProof/>
                <w:kern w:val="2"/>
                <w:lang w:eastAsia="en-GB"/>
              </w:rPr>
              <w:t xml:space="preserve"> </w:t>
            </w:r>
          </w:p>
          <w:p w14:paraId="32552AD9" w14:textId="77777777" w:rsidR="00A9457B" w:rsidRDefault="00A9457B" w:rsidP="00D540EB">
            <w:pPr>
              <w:pStyle w:val="TableText"/>
              <w:numPr>
                <w:ilvl w:val="0"/>
                <w:numId w:val="26"/>
              </w:numPr>
              <w:tabs>
                <w:tab w:val="left" w:pos="509"/>
              </w:tabs>
              <w:ind w:left="509" w:hanging="509"/>
              <w:jc w:val="both"/>
              <w:rPr>
                <w:rFonts w:cs="Segoe UI"/>
                <w:noProof/>
                <w:kern w:val="2"/>
                <w:lang w:eastAsia="zh-TW"/>
              </w:rPr>
            </w:pPr>
            <w:r>
              <w:rPr>
                <w:rFonts w:eastAsia="細明體" w:cs="Segoe UI" w:hint="eastAsia"/>
                <w:noProof/>
                <w:kern w:val="2"/>
                <w:lang w:eastAsia="zh-TW"/>
              </w:rPr>
              <w:t>薪酬</w:t>
            </w:r>
            <w:r>
              <w:rPr>
                <w:rFonts w:eastAsia="細明體" w:cs="Segoe UI" w:hint="eastAsia"/>
                <w:kern w:val="2"/>
                <w:lang w:eastAsia="zh-TW"/>
              </w:rPr>
              <w:t>制度</w:t>
            </w:r>
            <w:r>
              <w:rPr>
                <w:rFonts w:eastAsia="細明體" w:cs="Segoe UI" w:hint="eastAsia"/>
                <w:noProof/>
                <w:kern w:val="2"/>
                <w:lang w:eastAsia="zh-TW"/>
              </w:rPr>
              <w:t>政策的主要特點及目標的概要；</w:t>
            </w:r>
          </w:p>
          <w:p w14:paraId="08598F24" w14:textId="77777777" w:rsidR="00A9457B" w:rsidRDefault="00A9457B" w:rsidP="00D540EB">
            <w:pPr>
              <w:pStyle w:val="TableText"/>
              <w:numPr>
                <w:ilvl w:val="0"/>
                <w:numId w:val="26"/>
              </w:numPr>
              <w:tabs>
                <w:tab w:val="left" w:pos="509"/>
              </w:tabs>
              <w:ind w:left="509" w:hanging="509"/>
              <w:jc w:val="both"/>
              <w:rPr>
                <w:rFonts w:cs="Segoe UI"/>
                <w:noProof/>
                <w:kern w:val="2"/>
                <w:lang w:eastAsia="zh-TW"/>
              </w:rPr>
            </w:pPr>
            <w:r>
              <w:rPr>
                <w:rFonts w:eastAsiaTheme="minorEastAsia" w:cs="Segoe UI" w:hint="eastAsia"/>
                <w:noProof/>
                <w:kern w:val="2"/>
                <w:lang w:eastAsia="zh-TW"/>
              </w:rPr>
              <w:t>薪酬委員會在過去一年有否檢討機構的薪酬制度政策；如有，有關其所作出的任何修改的概要、作出該等修改的原因及該等修改對薪酬</w:t>
            </w:r>
            <w:r>
              <w:rPr>
                <w:rFonts w:eastAsia="細明體" w:cs="Segoe UI" w:hint="eastAsia"/>
                <w:kern w:val="2"/>
                <w:lang w:eastAsia="zh-TW"/>
              </w:rPr>
              <w:t>制度</w:t>
            </w:r>
            <w:r>
              <w:rPr>
                <w:rFonts w:eastAsiaTheme="minorEastAsia" w:cs="Segoe UI" w:hint="eastAsia"/>
                <w:noProof/>
                <w:kern w:val="2"/>
                <w:lang w:eastAsia="zh-TW"/>
              </w:rPr>
              <w:t>的影響；以及</w:t>
            </w:r>
          </w:p>
          <w:p w14:paraId="6ED5166A" w14:textId="77777777" w:rsidR="00A9457B" w:rsidRDefault="00A9457B" w:rsidP="00D540EB">
            <w:pPr>
              <w:pStyle w:val="TableText"/>
              <w:numPr>
                <w:ilvl w:val="0"/>
                <w:numId w:val="26"/>
              </w:numPr>
              <w:tabs>
                <w:tab w:val="left" w:pos="509"/>
              </w:tabs>
              <w:jc w:val="both"/>
              <w:rPr>
                <w:rFonts w:cs="Segoe UI"/>
                <w:noProof/>
                <w:kern w:val="2"/>
                <w:lang w:eastAsia="zh-TW"/>
              </w:rPr>
            </w:pPr>
            <w:r>
              <w:rPr>
                <w:rFonts w:eastAsia="細明體" w:cs="Segoe UI" w:hint="eastAsia"/>
                <w:noProof/>
                <w:kern w:val="2"/>
                <w:lang w:eastAsia="zh-TW"/>
              </w:rPr>
              <w:t>論述有關認可機構如何確保風險管控職能及合規</w:t>
            </w:r>
            <w:r>
              <w:rPr>
                <w:rFonts w:eastAsia="細明體" w:cs="Segoe UI" w:hint="eastAsia"/>
                <w:kern w:val="2"/>
                <w:lang w:eastAsia="zh-TW"/>
              </w:rPr>
              <w:t>僱員</w:t>
            </w:r>
            <w:r>
              <w:rPr>
                <w:rFonts w:eastAsia="細明體" w:cs="Segoe UI" w:hint="eastAsia"/>
                <w:noProof/>
                <w:kern w:val="2"/>
                <w:lang w:eastAsia="zh-TW"/>
              </w:rPr>
              <w:t>的薪酬釐定是獨立於其所監察的業務</w:t>
            </w:r>
            <w:r>
              <w:rPr>
                <w:rFonts w:eastAsiaTheme="minorEastAsia" w:cs="Segoe UI" w:hint="eastAsia"/>
                <w:noProof/>
                <w:kern w:val="2"/>
                <w:lang w:eastAsia="zh-TW"/>
              </w:rPr>
              <w:t>。</w:t>
            </w:r>
          </w:p>
        </w:tc>
      </w:tr>
      <w:tr w:rsidR="00A9457B" w14:paraId="0C0C25F9" w14:textId="77777777" w:rsidTr="00A9457B">
        <w:trPr>
          <w:trHeight w:val="318"/>
          <w:jc w:val="center"/>
        </w:trPr>
        <w:tc>
          <w:tcPr>
            <w:tcW w:w="543" w:type="dxa"/>
            <w:tcBorders>
              <w:top w:val="single" w:sz="4" w:space="0" w:color="auto"/>
              <w:left w:val="nil"/>
              <w:bottom w:val="single" w:sz="4" w:space="0" w:color="auto"/>
              <w:right w:val="nil"/>
            </w:tcBorders>
            <w:noWrap/>
            <w:hideMark/>
          </w:tcPr>
          <w:p w14:paraId="7F766F95" w14:textId="77777777" w:rsidR="00A9457B" w:rsidRDefault="00A9457B">
            <w:pPr>
              <w:widowControl w:val="0"/>
              <w:spacing w:before="40" w:after="40"/>
              <w:rPr>
                <w:rFonts w:cs="Segoe UI"/>
                <w:kern w:val="2"/>
                <w:sz w:val="17"/>
                <w:szCs w:val="17"/>
              </w:rPr>
            </w:pPr>
            <w:r>
              <w:rPr>
                <w:rFonts w:cs="Segoe UI"/>
                <w:kern w:val="2"/>
                <w:sz w:val="17"/>
                <w:szCs w:val="17"/>
              </w:rPr>
              <w:t>(c)</w:t>
            </w:r>
          </w:p>
        </w:tc>
        <w:tc>
          <w:tcPr>
            <w:tcW w:w="8872" w:type="dxa"/>
            <w:tcBorders>
              <w:top w:val="single" w:sz="4" w:space="0" w:color="auto"/>
              <w:left w:val="nil"/>
              <w:bottom w:val="single" w:sz="4" w:space="0" w:color="auto"/>
              <w:right w:val="nil"/>
            </w:tcBorders>
            <w:noWrap/>
            <w:vAlign w:val="center"/>
            <w:hideMark/>
          </w:tcPr>
          <w:p w14:paraId="7DA3B2B8" w14:textId="77777777" w:rsidR="00A9457B" w:rsidRDefault="00A9457B">
            <w:pPr>
              <w:pStyle w:val="TableText"/>
              <w:jc w:val="both"/>
              <w:rPr>
                <w:rFonts w:cs="Segoe UI"/>
                <w:noProof/>
                <w:kern w:val="2"/>
                <w:lang w:eastAsia="zh-TW"/>
              </w:rPr>
            </w:pPr>
            <w:r>
              <w:rPr>
                <w:rFonts w:eastAsia="細明體" w:cs="Segoe UI" w:hint="eastAsia"/>
                <w:noProof/>
                <w:kern w:val="2"/>
                <w:lang w:eastAsia="zh-TW"/>
              </w:rPr>
              <w:t>相關薪酬程序如何顧及當前及未來的風險的描述</w:t>
            </w:r>
            <w:r>
              <w:rPr>
                <w:rFonts w:eastAsiaTheme="minorEastAsia" w:cs="Segoe UI" w:hint="eastAsia"/>
                <w:noProof/>
                <w:kern w:val="2"/>
                <w:lang w:eastAsia="zh-TW"/>
              </w:rPr>
              <w:t>。披露內容應包括主要風險概要、計量方法及有關</w:t>
            </w:r>
            <w:r>
              <w:rPr>
                <w:rFonts w:eastAsia="細明體" w:cs="Segoe UI" w:hint="eastAsia"/>
                <w:kern w:val="2"/>
                <w:lang w:eastAsia="zh-TW"/>
              </w:rPr>
              <w:t>措施</w:t>
            </w:r>
            <w:r>
              <w:rPr>
                <w:rFonts w:eastAsiaTheme="minorEastAsia" w:cs="Segoe UI" w:hint="eastAsia"/>
                <w:noProof/>
                <w:kern w:val="2"/>
                <w:lang w:eastAsia="zh-TW"/>
              </w:rPr>
              <w:t>如何影響薪酬</w:t>
            </w:r>
            <w:r>
              <w:rPr>
                <w:rFonts w:eastAsia="細明體" w:cs="Segoe UI" w:hint="eastAsia"/>
                <w:kern w:val="2"/>
                <w:lang w:eastAsia="zh-TW"/>
              </w:rPr>
              <w:t>制度</w:t>
            </w:r>
            <w:r>
              <w:rPr>
                <w:rFonts w:eastAsiaTheme="minorEastAsia" w:cs="Segoe UI" w:hint="eastAsia"/>
                <w:noProof/>
                <w:kern w:val="2"/>
                <w:lang w:eastAsia="zh-TW"/>
              </w:rPr>
              <w:t>。</w:t>
            </w:r>
          </w:p>
        </w:tc>
      </w:tr>
      <w:tr w:rsidR="00A9457B" w14:paraId="33931B83" w14:textId="77777777" w:rsidTr="00A9457B">
        <w:trPr>
          <w:trHeight w:val="318"/>
          <w:jc w:val="center"/>
        </w:trPr>
        <w:tc>
          <w:tcPr>
            <w:tcW w:w="543" w:type="dxa"/>
            <w:tcBorders>
              <w:top w:val="single" w:sz="4" w:space="0" w:color="auto"/>
              <w:left w:val="nil"/>
              <w:bottom w:val="single" w:sz="4" w:space="0" w:color="auto"/>
              <w:right w:val="nil"/>
            </w:tcBorders>
            <w:noWrap/>
            <w:hideMark/>
          </w:tcPr>
          <w:p w14:paraId="49196EF0" w14:textId="77777777" w:rsidR="00A9457B" w:rsidRDefault="00A9457B">
            <w:pPr>
              <w:widowControl w:val="0"/>
              <w:spacing w:before="40" w:after="40"/>
              <w:rPr>
                <w:rFonts w:cs="Segoe UI"/>
                <w:kern w:val="2"/>
                <w:sz w:val="17"/>
                <w:szCs w:val="17"/>
              </w:rPr>
            </w:pPr>
            <w:r>
              <w:rPr>
                <w:rFonts w:cs="Segoe UI"/>
                <w:kern w:val="2"/>
                <w:sz w:val="17"/>
                <w:szCs w:val="17"/>
              </w:rPr>
              <w:t>(d)</w:t>
            </w:r>
          </w:p>
        </w:tc>
        <w:tc>
          <w:tcPr>
            <w:tcW w:w="8872" w:type="dxa"/>
            <w:tcBorders>
              <w:top w:val="single" w:sz="4" w:space="0" w:color="auto"/>
              <w:left w:val="nil"/>
              <w:bottom w:val="single" w:sz="4" w:space="0" w:color="auto"/>
              <w:right w:val="nil"/>
            </w:tcBorders>
            <w:noWrap/>
            <w:vAlign w:val="center"/>
            <w:hideMark/>
          </w:tcPr>
          <w:p w14:paraId="6FC1D0D7" w14:textId="77777777" w:rsidR="00A9457B" w:rsidRDefault="00A9457B">
            <w:pPr>
              <w:pStyle w:val="TableText"/>
              <w:jc w:val="both"/>
              <w:rPr>
                <w:rFonts w:cs="Segoe UI"/>
                <w:noProof/>
                <w:kern w:val="2"/>
                <w:lang w:eastAsia="zh-TW"/>
              </w:rPr>
            </w:pPr>
            <w:r>
              <w:rPr>
                <w:rFonts w:eastAsia="細明體" w:cs="Segoe UI" w:hint="eastAsia"/>
                <w:noProof/>
                <w:kern w:val="2"/>
                <w:lang w:eastAsia="zh-TW"/>
              </w:rPr>
              <w:t>有關認可機構如何把評核期間的表現與薪酬水平掛鈎的描述。披露內容應包括：</w:t>
            </w:r>
          </w:p>
          <w:p w14:paraId="7975B845" w14:textId="77777777" w:rsidR="00A9457B" w:rsidRDefault="00A9457B" w:rsidP="00D540EB">
            <w:pPr>
              <w:pStyle w:val="TableText"/>
              <w:numPr>
                <w:ilvl w:val="0"/>
                <w:numId w:val="27"/>
              </w:numPr>
              <w:tabs>
                <w:tab w:val="left" w:pos="509"/>
              </w:tabs>
              <w:ind w:left="509" w:hanging="509"/>
              <w:jc w:val="both"/>
              <w:rPr>
                <w:rFonts w:cs="Segoe UI"/>
                <w:noProof/>
                <w:kern w:val="2"/>
                <w:lang w:eastAsia="zh-TW"/>
              </w:rPr>
            </w:pPr>
            <w:r>
              <w:rPr>
                <w:rFonts w:eastAsia="細明體" w:cs="Segoe UI" w:hint="eastAsia"/>
                <w:noProof/>
                <w:kern w:val="2"/>
                <w:lang w:eastAsia="zh-TW"/>
              </w:rPr>
              <w:t>用於最主要業務類別及個別員工的主要表現指標的概要；</w:t>
            </w:r>
          </w:p>
          <w:p w14:paraId="342B2C1F" w14:textId="77777777" w:rsidR="00A9457B" w:rsidRDefault="00A9457B" w:rsidP="00D540EB">
            <w:pPr>
              <w:pStyle w:val="TableText"/>
              <w:numPr>
                <w:ilvl w:val="0"/>
                <w:numId w:val="27"/>
              </w:numPr>
              <w:tabs>
                <w:tab w:val="left" w:pos="509"/>
              </w:tabs>
              <w:ind w:left="509" w:hanging="509"/>
              <w:jc w:val="both"/>
              <w:rPr>
                <w:rFonts w:cs="Segoe UI"/>
                <w:noProof/>
                <w:kern w:val="2"/>
                <w:lang w:eastAsia="zh-TW"/>
              </w:rPr>
            </w:pPr>
            <w:r>
              <w:rPr>
                <w:rFonts w:eastAsia="細明體" w:cs="Segoe UI" w:hint="eastAsia"/>
                <w:noProof/>
                <w:kern w:val="2"/>
                <w:lang w:eastAsia="zh-TW"/>
              </w:rPr>
              <w:t>論述有關個別員工的薪酬數額如何與機構整體及個別員工的表現掛鈎；以及</w:t>
            </w:r>
          </w:p>
          <w:p w14:paraId="7748813E" w14:textId="77777777" w:rsidR="00A9457B" w:rsidRDefault="00A9457B" w:rsidP="00D540EB">
            <w:pPr>
              <w:pStyle w:val="TableText"/>
              <w:numPr>
                <w:ilvl w:val="0"/>
                <w:numId w:val="27"/>
              </w:numPr>
              <w:tabs>
                <w:tab w:val="left" w:pos="509"/>
              </w:tabs>
              <w:ind w:left="509" w:hanging="509"/>
              <w:jc w:val="both"/>
              <w:rPr>
                <w:rFonts w:cs="Segoe UI"/>
                <w:noProof/>
                <w:kern w:val="2"/>
                <w:lang w:eastAsia="zh-TW"/>
              </w:rPr>
            </w:pPr>
            <w:r>
              <w:rPr>
                <w:rFonts w:eastAsia="細明體" w:cs="Segoe UI" w:hint="eastAsia"/>
                <w:noProof/>
                <w:kern w:val="2"/>
                <w:lang w:eastAsia="zh-TW"/>
              </w:rPr>
              <w:t>論述有關認可機構在表現指標不理想時一般會實施的薪酬調整措施，包括認可機構釐定表現指標為「不理想」所使用的準則。</w:t>
            </w:r>
          </w:p>
        </w:tc>
      </w:tr>
      <w:tr w:rsidR="00A9457B" w14:paraId="4F13BA73" w14:textId="77777777" w:rsidTr="00A9457B">
        <w:trPr>
          <w:trHeight w:val="318"/>
          <w:jc w:val="center"/>
        </w:trPr>
        <w:tc>
          <w:tcPr>
            <w:tcW w:w="543" w:type="dxa"/>
            <w:tcBorders>
              <w:top w:val="single" w:sz="4" w:space="0" w:color="auto"/>
              <w:left w:val="nil"/>
              <w:bottom w:val="single" w:sz="4" w:space="0" w:color="auto"/>
              <w:right w:val="nil"/>
            </w:tcBorders>
            <w:noWrap/>
            <w:hideMark/>
          </w:tcPr>
          <w:p w14:paraId="2D935153" w14:textId="77777777" w:rsidR="00A9457B" w:rsidRDefault="00A9457B">
            <w:pPr>
              <w:widowControl w:val="0"/>
              <w:spacing w:before="40" w:after="40"/>
              <w:rPr>
                <w:rFonts w:cs="Segoe UI"/>
                <w:kern w:val="2"/>
                <w:sz w:val="17"/>
                <w:szCs w:val="17"/>
              </w:rPr>
            </w:pPr>
            <w:r>
              <w:rPr>
                <w:rFonts w:cs="Segoe UI"/>
                <w:kern w:val="2"/>
                <w:sz w:val="17"/>
                <w:szCs w:val="17"/>
              </w:rPr>
              <w:t>(e)</w:t>
            </w:r>
          </w:p>
        </w:tc>
        <w:tc>
          <w:tcPr>
            <w:tcW w:w="8872" w:type="dxa"/>
            <w:tcBorders>
              <w:top w:val="single" w:sz="4" w:space="0" w:color="auto"/>
              <w:left w:val="nil"/>
              <w:bottom w:val="single" w:sz="4" w:space="0" w:color="auto"/>
              <w:right w:val="nil"/>
            </w:tcBorders>
            <w:noWrap/>
            <w:vAlign w:val="center"/>
            <w:hideMark/>
          </w:tcPr>
          <w:p w14:paraId="07A3A3BD" w14:textId="77777777" w:rsidR="00A9457B" w:rsidRDefault="00A9457B">
            <w:pPr>
              <w:pStyle w:val="TableText"/>
              <w:jc w:val="both"/>
              <w:rPr>
                <w:rFonts w:cs="Segoe UI"/>
                <w:noProof/>
                <w:kern w:val="2"/>
                <w:lang w:eastAsia="zh-TW"/>
              </w:rPr>
            </w:pPr>
            <w:r>
              <w:rPr>
                <w:rFonts w:eastAsia="細明體" w:cs="Segoe UI" w:hint="eastAsia"/>
                <w:noProof/>
                <w:kern w:val="2"/>
                <w:lang w:eastAsia="zh-TW"/>
              </w:rPr>
              <w:t>有關認可機構為顧及長期表現</w:t>
            </w:r>
            <w:r>
              <w:rPr>
                <w:rFonts w:eastAsia="細明體" w:cs="Segoe UI" w:hint="eastAsia"/>
                <w:kern w:val="2"/>
                <w:lang w:eastAsia="zh-TW"/>
              </w:rPr>
              <w:t>而</w:t>
            </w:r>
            <w:r>
              <w:rPr>
                <w:rFonts w:eastAsia="細明體" w:cs="Segoe UI" w:hint="eastAsia"/>
                <w:noProof/>
                <w:kern w:val="2"/>
                <w:lang w:eastAsia="zh-TW"/>
              </w:rPr>
              <w:t>調整薪酬的方法的描述。披露內容應包括：</w:t>
            </w:r>
          </w:p>
          <w:p w14:paraId="2BCD412F" w14:textId="77777777" w:rsidR="00A9457B" w:rsidRDefault="00A9457B" w:rsidP="00D540EB">
            <w:pPr>
              <w:pStyle w:val="TableText"/>
              <w:numPr>
                <w:ilvl w:val="0"/>
                <w:numId w:val="28"/>
              </w:numPr>
              <w:tabs>
                <w:tab w:val="left" w:pos="509"/>
              </w:tabs>
              <w:ind w:left="509" w:hanging="509"/>
              <w:jc w:val="both"/>
              <w:rPr>
                <w:rFonts w:cs="Segoe UI"/>
                <w:noProof/>
                <w:kern w:val="2"/>
                <w:lang w:eastAsia="zh-TW"/>
              </w:rPr>
            </w:pPr>
            <w:r>
              <w:rPr>
                <w:rFonts w:eastAsia="細明體" w:cs="Segoe UI" w:hint="eastAsia"/>
                <w:noProof/>
                <w:kern w:val="2"/>
                <w:lang w:eastAsia="zh-TW"/>
              </w:rPr>
              <w:t>論述認可機構對浮動薪酬的遞延發放及歸屬的政策，以及如不同僱員或不同僱員組別的浮動薪酬中須遞延發放的比例有所不同，則描述決定該有關比例的因素及其相對重要性；以及</w:t>
            </w:r>
          </w:p>
          <w:p w14:paraId="7C4A7266" w14:textId="77777777" w:rsidR="00A9457B" w:rsidRDefault="00A9457B" w:rsidP="00D540EB">
            <w:pPr>
              <w:pStyle w:val="TableText"/>
              <w:numPr>
                <w:ilvl w:val="0"/>
                <w:numId w:val="28"/>
              </w:numPr>
              <w:tabs>
                <w:tab w:val="left" w:pos="509"/>
              </w:tabs>
              <w:ind w:left="509" w:hanging="509"/>
              <w:jc w:val="both"/>
              <w:rPr>
                <w:rFonts w:cs="Segoe UI"/>
                <w:noProof/>
                <w:kern w:val="2"/>
                <w:lang w:eastAsia="zh-TW"/>
              </w:rPr>
            </w:pPr>
            <w:r>
              <w:rPr>
                <w:rFonts w:eastAsia="細明體" w:cs="Segoe UI" w:hint="eastAsia"/>
                <w:noProof/>
                <w:kern w:val="2"/>
                <w:lang w:eastAsia="zh-TW"/>
              </w:rPr>
              <w:t>論述認可機構在歸屬予僱員前及（如法律容許）透過收回機制在歸屬予僱員後調整遞延發放的薪酬</w:t>
            </w:r>
            <w:r>
              <w:rPr>
                <w:rFonts w:eastAsia="細明體" w:cs="Segoe UI" w:hint="eastAsia"/>
                <w:kern w:val="2"/>
                <w:lang w:eastAsia="zh-TW"/>
              </w:rPr>
              <w:t>制度</w:t>
            </w:r>
            <w:r>
              <w:rPr>
                <w:rFonts w:eastAsia="細明體" w:cs="Segoe UI" w:hint="eastAsia"/>
                <w:noProof/>
                <w:kern w:val="2"/>
                <w:lang w:eastAsia="zh-TW"/>
              </w:rPr>
              <w:t>政策及準則。</w:t>
            </w:r>
          </w:p>
        </w:tc>
      </w:tr>
      <w:tr w:rsidR="00A9457B" w14:paraId="50134F7E" w14:textId="77777777" w:rsidTr="00A9457B">
        <w:trPr>
          <w:trHeight w:val="318"/>
          <w:jc w:val="center"/>
        </w:trPr>
        <w:tc>
          <w:tcPr>
            <w:tcW w:w="543" w:type="dxa"/>
            <w:tcBorders>
              <w:top w:val="single" w:sz="4" w:space="0" w:color="auto"/>
              <w:left w:val="nil"/>
              <w:bottom w:val="single" w:sz="4" w:space="0" w:color="auto"/>
              <w:right w:val="nil"/>
            </w:tcBorders>
            <w:noWrap/>
            <w:hideMark/>
          </w:tcPr>
          <w:p w14:paraId="42E4B04F" w14:textId="77777777" w:rsidR="00A9457B" w:rsidRDefault="00A9457B">
            <w:pPr>
              <w:widowControl w:val="0"/>
              <w:spacing w:before="40" w:after="40"/>
              <w:rPr>
                <w:rFonts w:cs="Segoe UI"/>
                <w:kern w:val="2"/>
                <w:sz w:val="17"/>
                <w:szCs w:val="17"/>
              </w:rPr>
            </w:pPr>
            <w:r>
              <w:rPr>
                <w:rFonts w:cs="Segoe UI"/>
                <w:kern w:val="2"/>
                <w:sz w:val="17"/>
                <w:szCs w:val="17"/>
              </w:rPr>
              <w:t>(f)</w:t>
            </w:r>
          </w:p>
        </w:tc>
        <w:tc>
          <w:tcPr>
            <w:tcW w:w="8872" w:type="dxa"/>
            <w:tcBorders>
              <w:top w:val="single" w:sz="4" w:space="0" w:color="auto"/>
              <w:left w:val="nil"/>
              <w:bottom w:val="single" w:sz="4" w:space="0" w:color="auto"/>
              <w:right w:val="nil"/>
            </w:tcBorders>
            <w:noWrap/>
            <w:vAlign w:val="center"/>
            <w:hideMark/>
          </w:tcPr>
          <w:p w14:paraId="5A4C9B11" w14:textId="77777777" w:rsidR="00A9457B" w:rsidRDefault="00A9457B">
            <w:pPr>
              <w:pStyle w:val="TableText"/>
              <w:jc w:val="both"/>
              <w:rPr>
                <w:rFonts w:cs="Segoe UI"/>
                <w:noProof/>
                <w:kern w:val="2"/>
                <w:lang w:eastAsia="zh-TW"/>
              </w:rPr>
            </w:pPr>
            <w:r>
              <w:rPr>
                <w:rFonts w:eastAsia="細明體" w:cs="Segoe UI" w:hint="eastAsia"/>
                <w:noProof/>
                <w:kern w:val="2"/>
                <w:lang w:eastAsia="zh-TW"/>
              </w:rPr>
              <w:t>有關認可機構所採用的不同形式浮動薪酬的描述，以及採用該等不同形式浮動薪酬的理據</w:t>
            </w:r>
            <w:r>
              <w:rPr>
                <w:rFonts w:eastAsiaTheme="minorEastAsia" w:cs="Segoe UI" w:hint="eastAsia"/>
                <w:noProof/>
                <w:kern w:val="2"/>
                <w:lang w:eastAsia="zh-TW"/>
              </w:rPr>
              <w:t>。披露內容應包括：</w:t>
            </w:r>
          </w:p>
          <w:p w14:paraId="47E5C93F" w14:textId="77777777" w:rsidR="00A9457B" w:rsidRDefault="00A9457B" w:rsidP="00D540EB">
            <w:pPr>
              <w:pStyle w:val="TableText"/>
              <w:numPr>
                <w:ilvl w:val="0"/>
                <w:numId w:val="29"/>
              </w:numPr>
              <w:tabs>
                <w:tab w:val="left" w:pos="509"/>
              </w:tabs>
              <w:ind w:left="509" w:hanging="509"/>
              <w:jc w:val="both"/>
              <w:rPr>
                <w:rFonts w:cs="Segoe UI"/>
                <w:noProof/>
                <w:kern w:val="2"/>
                <w:lang w:eastAsia="zh-TW"/>
              </w:rPr>
            </w:pPr>
            <w:r>
              <w:rPr>
                <w:rFonts w:eastAsia="細明體" w:cs="Segoe UI" w:hint="eastAsia"/>
                <w:noProof/>
                <w:kern w:val="2"/>
                <w:lang w:eastAsia="zh-TW"/>
              </w:rPr>
              <w:t>各種形式的浮動薪酬的概要（即現金、股票及股票掛鈎工具，以及其他形式）；以及</w:t>
            </w:r>
          </w:p>
          <w:p w14:paraId="55664935" w14:textId="77777777" w:rsidR="00A9457B" w:rsidRDefault="00A9457B" w:rsidP="00D540EB">
            <w:pPr>
              <w:pStyle w:val="TableText"/>
              <w:numPr>
                <w:ilvl w:val="0"/>
                <w:numId w:val="29"/>
              </w:numPr>
              <w:tabs>
                <w:tab w:val="left" w:pos="509"/>
              </w:tabs>
              <w:ind w:left="509" w:hanging="509"/>
              <w:jc w:val="both"/>
              <w:rPr>
                <w:rFonts w:cs="Segoe UI"/>
                <w:noProof/>
                <w:kern w:val="2"/>
                <w:lang w:eastAsia="zh-TW"/>
              </w:rPr>
            </w:pPr>
            <w:r>
              <w:rPr>
                <w:rFonts w:eastAsia="細明體" w:cs="Segoe UI" w:hint="eastAsia"/>
                <w:noProof/>
                <w:kern w:val="2"/>
                <w:lang w:eastAsia="zh-TW"/>
              </w:rPr>
              <w:t>論述有關不同形式浮動薪酬的運用情況，以及如對不同僱員或不同僱員組別發放浮動薪酬的形式組合有所不同，則描述決定有關組合的因素及其相對重要性。</w:t>
            </w:r>
          </w:p>
        </w:tc>
      </w:tr>
    </w:tbl>
    <w:p w14:paraId="0FDD7B6E" w14:textId="77777777" w:rsidR="00A9457B" w:rsidRPr="00A9457B" w:rsidRDefault="00A9457B">
      <w:pPr>
        <w:rPr>
          <w:rFonts w:eastAsiaTheme="minorEastAsia" w:cs="Segoe UI"/>
          <w:lang w:val="en-US" w:eastAsia="zh-TW"/>
        </w:rPr>
      </w:pPr>
    </w:p>
    <w:p w14:paraId="3ED4D898" w14:textId="77777777" w:rsidR="009F3E78" w:rsidRPr="00CA7301" w:rsidRDefault="009F3E78" w:rsidP="009F3E78">
      <w:pPr>
        <w:rPr>
          <w:rFonts w:eastAsiaTheme="minorEastAsia" w:cs="Segoe UI"/>
          <w:lang w:val="en-US" w:eastAsia="zh-TW"/>
        </w:rPr>
      </w:pPr>
    </w:p>
    <w:p w14:paraId="06860A73" w14:textId="77777777" w:rsidR="009F3E78" w:rsidRPr="00CA7301" w:rsidRDefault="009F3E78">
      <w:pPr>
        <w:rPr>
          <w:rFonts w:eastAsiaTheme="minorEastAsia" w:cs="Segoe UI"/>
          <w:lang w:eastAsia="zh-TW"/>
        </w:rPr>
        <w:sectPr w:rsidR="009F3E78" w:rsidRPr="00CA7301">
          <w:headerReference w:type="default" r:id="rId107"/>
          <w:footerReference w:type="default" r:id="rId108"/>
          <w:pgSz w:w="11906" w:h="16838"/>
          <w:pgMar w:top="1440" w:right="1800" w:bottom="1440" w:left="1800" w:header="851" w:footer="992" w:gutter="0"/>
          <w:cols w:space="425"/>
          <w:docGrid w:type="lines" w:linePitch="360"/>
        </w:sectPr>
      </w:pPr>
    </w:p>
    <w:p w14:paraId="4AD22C23" w14:textId="4DCBA94B" w:rsidR="00216206" w:rsidRPr="00216206" w:rsidRDefault="00216206" w:rsidP="00216206">
      <w:pPr>
        <w:pStyle w:val="Heading2"/>
        <w:keepNext w:val="0"/>
        <w:suppressAutoHyphens w:val="0"/>
        <w:spacing w:before="40" w:line="240" w:lineRule="auto"/>
        <w:ind w:left="-454"/>
        <w:rPr>
          <w:rFonts w:asciiTheme="majorEastAsia" w:eastAsiaTheme="majorEastAsia" w:hAnsiTheme="majorEastAsia"/>
          <w:b w:val="0"/>
          <w:bCs w:val="0"/>
          <w:sz w:val="22"/>
          <w:szCs w:val="20"/>
          <w:lang w:eastAsia="zh-TW"/>
        </w:rPr>
      </w:pPr>
      <w:r w:rsidRPr="00216206">
        <w:rPr>
          <w:rFonts w:asciiTheme="majorEastAsia" w:eastAsiaTheme="majorEastAsia" w:hAnsiTheme="majorEastAsia" w:cs="微軟正黑體" w:hint="eastAsia"/>
          <w:b w:val="0"/>
          <w:bCs w:val="0"/>
          <w:sz w:val="22"/>
          <w:szCs w:val="20"/>
          <w:lang w:eastAsia="zh-TW"/>
        </w:rPr>
        <w:t>模版</w:t>
      </w:r>
      <w:r w:rsidRPr="00216206">
        <w:rPr>
          <w:rFonts w:ascii="Segoe UI" w:eastAsiaTheme="majorEastAsia" w:hAnsi="Segoe UI" w:cs="Segoe UI"/>
          <w:b w:val="0"/>
          <w:bCs w:val="0"/>
          <w:sz w:val="22"/>
          <w:szCs w:val="20"/>
          <w:lang w:eastAsia="zh-TW"/>
        </w:rPr>
        <w:t>REM1</w:t>
      </w:r>
      <w:r w:rsidRPr="00216206">
        <w:rPr>
          <w:rFonts w:asciiTheme="majorEastAsia" w:eastAsiaTheme="majorEastAsia" w:hAnsiTheme="majorEastAsia" w:cs="微軟正黑體" w:hint="eastAsia"/>
          <w:b w:val="0"/>
          <w:bCs w:val="0"/>
          <w:sz w:val="22"/>
          <w:szCs w:val="20"/>
          <w:lang w:eastAsia="zh-TW"/>
        </w:rPr>
        <w:t>：在財政年度內給予的薪酬</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A9457B" w14:paraId="13381502" w14:textId="77777777" w:rsidTr="000F143F">
        <w:tc>
          <w:tcPr>
            <w:tcW w:w="2160" w:type="dxa"/>
            <w:tcBorders>
              <w:top w:val="single" w:sz="4" w:space="0" w:color="auto"/>
              <w:left w:val="nil"/>
              <w:bottom w:val="single" w:sz="4" w:space="0" w:color="auto"/>
              <w:right w:val="single" w:sz="4" w:space="0" w:color="auto"/>
            </w:tcBorders>
            <w:hideMark/>
          </w:tcPr>
          <w:p w14:paraId="129B595B"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目的</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6CBFC010" w14:textId="77777777" w:rsidR="00A9457B" w:rsidRDefault="00A9457B">
            <w:pPr>
              <w:spacing w:before="40" w:after="40"/>
              <w:jc w:val="both"/>
              <w:rPr>
                <w:rFonts w:eastAsiaTheme="minorEastAsia" w:cs="Segoe UI"/>
                <w:kern w:val="2"/>
                <w:sz w:val="17"/>
                <w:lang w:eastAsia="zh-TW"/>
              </w:rPr>
            </w:pPr>
            <w:r>
              <w:rPr>
                <w:rFonts w:eastAsiaTheme="minorEastAsia" w:cs="Segoe UI" w:hint="eastAsia"/>
                <w:kern w:val="2"/>
                <w:sz w:val="17"/>
                <w:lang w:eastAsia="zh-TW"/>
              </w:rPr>
              <w:t>提供有關財政年度的薪酬資料。</w:t>
            </w:r>
          </w:p>
        </w:tc>
      </w:tr>
      <w:tr w:rsidR="00A9457B" w14:paraId="2C99FBA7" w14:textId="77777777" w:rsidTr="000F143F">
        <w:tc>
          <w:tcPr>
            <w:tcW w:w="2160" w:type="dxa"/>
            <w:tcBorders>
              <w:top w:val="single" w:sz="4" w:space="0" w:color="auto"/>
              <w:left w:val="nil"/>
              <w:bottom w:val="single" w:sz="4" w:space="0" w:color="auto"/>
              <w:right w:val="single" w:sz="4" w:space="0" w:color="auto"/>
            </w:tcBorders>
            <w:hideMark/>
          </w:tcPr>
          <w:p w14:paraId="698AB67B"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適用範圍</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098774D6" w14:textId="77777777" w:rsidR="00A9457B" w:rsidRDefault="00A9457B">
            <w:pPr>
              <w:spacing w:before="40" w:after="40"/>
              <w:jc w:val="both"/>
              <w:rPr>
                <w:rFonts w:eastAsiaTheme="minorEastAsia" w:cs="Segoe UI"/>
                <w:kern w:val="2"/>
                <w:sz w:val="17"/>
                <w:lang w:eastAsia="zh-TW"/>
              </w:rPr>
            </w:pPr>
            <w:r>
              <w:rPr>
                <w:rFonts w:eastAsiaTheme="minorEastAsia" w:cs="Segoe UI" w:hint="eastAsia"/>
                <w:kern w:val="2"/>
                <w:sz w:val="17"/>
                <w:lang w:eastAsia="zh-TW"/>
              </w:rPr>
              <w:t>所有在香港成立</w:t>
            </w:r>
            <w:proofErr w:type="gramStart"/>
            <w:r>
              <w:rPr>
                <w:rFonts w:eastAsiaTheme="minorEastAsia" w:cs="Segoe UI" w:hint="eastAsia"/>
                <w:kern w:val="2"/>
                <w:sz w:val="17"/>
                <w:lang w:eastAsia="zh-TW"/>
              </w:rPr>
              <w:t>為法團的</w:t>
            </w:r>
            <w:proofErr w:type="gramEnd"/>
            <w:r>
              <w:rPr>
                <w:rFonts w:eastAsiaTheme="minorEastAsia" w:cs="Segoe UI" w:hint="eastAsia"/>
                <w:kern w:val="2"/>
                <w:sz w:val="17"/>
                <w:lang w:eastAsia="zh-TW"/>
              </w:rPr>
              <w:t>認可機構</w:t>
            </w:r>
            <w:proofErr w:type="gramStart"/>
            <w:r>
              <w:rPr>
                <w:rFonts w:eastAsiaTheme="minorEastAsia" w:cs="Segoe UI" w:hint="eastAsia"/>
                <w:kern w:val="2"/>
                <w:sz w:val="17"/>
                <w:lang w:eastAsia="zh-TW"/>
              </w:rPr>
              <w:t>均須填報本模</w:t>
            </w:r>
            <w:proofErr w:type="gramEnd"/>
            <w:r>
              <w:rPr>
                <w:rFonts w:eastAsiaTheme="minorEastAsia" w:cs="Segoe UI" w:hint="eastAsia"/>
                <w:kern w:val="2"/>
                <w:sz w:val="17"/>
                <w:lang w:eastAsia="zh-TW"/>
              </w:rPr>
              <w:t>版。</w:t>
            </w:r>
          </w:p>
        </w:tc>
      </w:tr>
      <w:tr w:rsidR="00A9457B" w14:paraId="77DF9B92" w14:textId="77777777" w:rsidTr="000F143F">
        <w:tc>
          <w:tcPr>
            <w:tcW w:w="2160" w:type="dxa"/>
            <w:tcBorders>
              <w:top w:val="single" w:sz="4" w:space="0" w:color="auto"/>
              <w:left w:val="nil"/>
              <w:bottom w:val="single" w:sz="4" w:space="0" w:color="auto"/>
              <w:right w:val="single" w:sz="4" w:space="0" w:color="auto"/>
            </w:tcBorders>
            <w:hideMark/>
          </w:tcPr>
          <w:p w14:paraId="2A57FB34"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內容</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0C4CC2F3" w14:textId="77777777" w:rsidR="00A9457B" w:rsidRDefault="00A9457B">
            <w:pPr>
              <w:spacing w:before="40" w:after="40"/>
              <w:jc w:val="both"/>
              <w:rPr>
                <w:rFonts w:cs="Segoe UI"/>
                <w:kern w:val="2"/>
                <w:sz w:val="17"/>
                <w:lang w:eastAsia="en-GB"/>
              </w:rPr>
            </w:pPr>
            <w:r>
              <w:rPr>
                <w:rFonts w:eastAsiaTheme="minorEastAsia" w:cs="Segoe UI" w:hint="eastAsia"/>
                <w:kern w:val="2"/>
                <w:sz w:val="17"/>
                <w:lang w:eastAsia="zh-TW"/>
              </w:rPr>
              <w:t>量化資料。</w:t>
            </w:r>
          </w:p>
        </w:tc>
      </w:tr>
      <w:tr w:rsidR="00A9457B" w14:paraId="2463D495" w14:textId="77777777" w:rsidTr="000F143F">
        <w:tc>
          <w:tcPr>
            <w:tcW w:w="2160" w:type="dxa"/>
            <w:tcBorders>
              <w:top w:val="single" w:sz="4" w:space="0" w:color="auto"/>
              <w:left w:val="nil"/>
              <w:bottom w:val="single" w:sz="4" w:space="0" w:color="auto"/>
              <w:right w:val="single" w:sz="4" w:space="0" w:color="auto"/>
            </w:tcBorders>
            <w:hideMark/>
          </w:tcPr>
          <w:p w14:paraId="58603230" w14:textId="77777777" w:rsidR="00A9457B" w:rsidRDefault="00A9457B">
            <w:pPr>
              <w:rPr>
                <w:rFonts w:cs="Segoe UI"/>
                <w:b/>
                <w:kern w:val="2"/>
                <w:sz w:val="17"/>
                <w:szCs w:val="17"/>
              </w:rPr>
            </w:pPr>
            <w:proofErr w:type="spellStart"/>
            <w:r>
              <w:rPr>
                <w:rFonts w:eastAsia="細明體" w:cs="Segoe UI" w:hint="eastAsia"/>
                <w:b/>
                <w:kern w:val="2"/>
                <w:sz w:val="17"/>
                <w:lang w:val="en-US"/>
              </w:rPr>
              <w:t>頻密程度</w:t>
            </w:r>
            <w:proofErr w:type="spellEnd"/>
            <w:r>
              <w:rPr>
                <w:rFonts w:eastAsia="細明體" w:cs="Segoe UI" w:hint="eastAsia"/>
                <w:b/>
                <w:kern w:val="2"/>
                <w:sz w:val="17"/>
                <w:lang w:val="en-US"/>
              </w:rPr>
              <w:t>：</w:t>
            </w:r>
          </w:p>
        </w:tc>
        <w:tc>
          <w:tcPr>
            <w:tcW w:w="7088" w:type="dxa"/>
            <w:tcBorders>
              <w:top w:val="single" w:sz="4" w:space="0" w:color="auto"/>
              <w:left w:val="single" w:sz="4" w:space="0" w:color="auto"/>
              <w:bottom w:val="single" w:sz="4" w:space="0" w:color="auto"/>
              <w:right w:val="nil"/>
            </w:tcBorders>
            <w:hideMark/>
          </w:tcPr>
          <w:p w14:paraId="7D7248E8" w14:textId="77777777" w:rsidR="00A9457B" w:rsidRDefault="00A9457B">
            <w:pPr>
              <w:pStyle w:val="TableText"/>
              <w:jc w:val="both"/>
              <w:rPr>
                <w:rFonts w:eastAsiaTheme="minorEastAsia" w:cs="Segoe UI"/>
                <w:kern w:val="2"/>
                <w:lang w:eastAsia="en-GB"/>
              </w:rPr>
            </w:pPr>
            <w:r>
              <w:rPr>
                <w:rFonts w:eastAsiaTheme="minorEastAsia" w:cs="Segoe UI" w:hint="eastAsia"/>
                <w:kern w:val="2"/>
                <w:lang w:eastAsia="zh-TW"/>
              </w:rPr>
              <w:t>每年一次。</w:t>
            </w:r>
            <w:r>
              <w:rPr>
                <w:rFonts w:cs="Segoe UI"/>
                <w:kern w:val="2"/>
                <w:lang w:eastAsia="en-GB"/>
              </w:rPr>
              <w:t xml:space="preserve"> </w:t>
            </w:r>
          </w:p>
        </w:tc>
      </w:tr>
      <w:tr w:rsidR="00A9457B" w14:paraId="3AFDC957" w14:textId="77777777" w:rsidTr="000F143F">
        <w:tc>
          <w:tcPr>
            <w:tcW w:w="2160" w:type="dxa"/>
            <w:tcBorders>
              <w:top w:val="single" w:sz="4" w:space="0" w:color="auto"/>
              <w:left w:val="nil"/>
              <w:bottom w:val="single" w:sz="4" w:space="0" w:color="auto"/>
              <w:right w:val="single" w:sz="4" w:space="0" w:color="auto"/>
            </w:tcBorders>
            <w:hideMark/>
          </w:tcPr>
          <w:p w14:paraId="24DF2BFA"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格式</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20A6D31D" w14:textId="77777777" w:rsidR="00A9457B" w:rsidRDefault="00A9457B">
            <w:pPr>
              <w:pStyle w:val="TableText"/>
              <w:jc w:val="both"/>
              <w:rPr>
                <w:rFonts w:cs="Segoe UI"/>
                <w:kern w:val="2"/>
                <w:lang w:eastAsia="en-GB"/>
              </w:rPr>
            </w:pPr>
            <w:r>
              <w:rPr>
                <w:rFonts w:eastAsiaTheme="minorEastAsia" w:cs="Segoe UI" w:hint="eastAsia"/>
                <w:kern w:val="2"/>
                <w:lang w:eastAsia="zh-TW"/>
              </w:rPr>
              <w:t>非固定。</w:t>
            </w:r>
          </w:p>
        </w:tc>
      </w:tr>
      <w:tr w:rsidR="00A9457B" w14:paraId="374A6F16" w14:textId="77777777" w:rsidTr="000F143F">
        <w:tc>
          <w:tcPr>
            <w:tcW w:w="2160" w:type="dxa"/>
            <w:tcBorders>
              <w:top w:val="single" w:sz="4" w:space="0" w:color="auto"/>
              <w:left w:val="nil"/>
              <w:bottom w:val="single" w:sz="4" w:space="0" w:color="auto"/>
              <w:right w:val="single" w:sz="4" w:space="0" w:color="auto"/>
            </w:tcBorders>
            <w:hideMark/>
          </w:tcPr>
          <w:p w14:paraId="3521E539"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附加說明</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706394A5" w14:textId="0D1ADF78" w:rsidR="00A9457B" w:rsidRDefault="00A9457B" w:rsidP="00FC5741">
            <w:pPr>
              <w:spacing w:before="40" w:after="40"/>
              <w:jc w:val="both"/>
              <w:rPr>
                <w:rFonts w:cs="Segoe UI"/>
                <w:noProof/>
                <w:kern w:val="2"/>
                <w:sz w:val="17"/>
                <w:szCs w:val="17"/>
                <w:lang w:val="en-US" w:eastAsia="zh-TW"/>
              </w:rPr>
            </w:pPr>
            <w:r>
              <w:rPr>
                <w:rFonts w:eastAsia="細明體" w:cs="Segoe UI" w:hint="eastAsia"/>
                <w:kern w:val="2"/>
                <w:sz w:val="17"/>
                <w:szCs w:val="17"/>
                <w:lang w:eastAsia="zh-TW"/>
              </w:rPr>
              <w:t>認可機構應以敘述評</w:t>
            </w:r>
            <w:proofErr w:type="gramStart"/>
            <w:r>
              <w:rPr>
                <w:rFonts w:eastAsia="細明體" w:cs="Segoe UI" w:hint="eastAsia"/>
                <w:kern w:val="2"/>
                <w:sz w:val="17"/>
                <w:szCs w:val="17"/>
                <w:lang w:eastAsia="zh-TW"/>
              </w:rPr>
              <w:t>註</w:t>
            </w:r>
            <w:proofErr w:type="gramEnd"/>
            <w:r>
              <w:rPr>
                <w:rFonts w:ascii="細明體" w:eastAsia="細明體" w:hAnsi="細明體" w:cs="Segoe UI" w:hint="eastAsia"/>
                <w:kern w:val="2"/>
                <w:sz w:val="17"/>
                <w:szCs w:val="17"/>
                <w:lang w:eastAsia="zh-TW"/>
              </w:rPr>
              <w:t>，</w:t>
            </w:r>
            <w:r>
              <w:rPr>
                <w:rFonts w:eastAsia="細明體" w:cs="Segoe UI" w:hint="eastAsia"/>
                <w:kern w:val="2"/>
                <w:sz w:val="17"/>
                <w:szCs w:val="17"/>
                <w:lang w:eastAsia="zh-TW"/>
              </w:rPr>
              <w:t>闡明在報告期內的任何重大</w:t>
            </w:r>
            <w:r w:rsidR="00FC5741" w:rsidRPr="00FC5741">
              <w:rPr>
                <w:rFonts w:eastAsia="細明體" w:cs="Segoe UI" w:hint="eastAsia"/>
                <w:kern w:val="2"/>
                <w:sz w:val="17"/>
                <w:szCs w:val="17"/>
                <w:lang w:eastAsia="zh-TW"/>
              </w:rPr>
              <w:t>改</w:t>
            </w:r>
            <w:r>
              <w:rPr>
                <w:rFonts w:eastAsia="細明體" w:cs="Segoe UI" w:hint="eastAsia"/>
                <w:kern w:val="2"/>
                <w:sz w:val="17"/>
                <w:szCs w:val="17"/>
                <w:lang w:eastAsia="zh-TW"/>
              </w:rPr>
              <w:t>變及引致有關</w:t>
            </w:r>
            <w:r w:rsidR="00FC5741" w:rsidRPr="00FC5741">
              <w:rPr>
                <w:rFonts w:eastAsia="細明體" w:cs="Segoe UI" w:hint="eastAsia"/>
                <w:kern w:val="2"/>
                <w:sz w:val="17"/>
                <w:szCs w:val="17"/>
                <w:lang w:eastAsia="zh-TW"/>
              </w:rPr>
              <w:t>改</w:t>
            </w:r>
            <w:r>
              <w:rPr>
                <w:rFonts w:eastAsia="細明體" w:cs="Segoe UI" w:hint="eastAsia"/>
                <w:kern w:val="2"/>
                <w:sz w:val="17"/>
                <w:szCs w:val="17"/>
                <w:lang w:eastAsia="zh-TW"/>
              </w:rPr>
              <w:t>變的主要驅動因素，以</w:t>
            </w:r>
            <w:proofErr w:type="gramStart"/>
            <w:r>
              <w:rPr>
                <w:rFonts w:eastAsia="細明體" w:cs="Segoe UI" w:hint="eastAsia"/>
                <w:kern w:val="2"/>
                <w:sz w:val="17"/>
                <w:szCs w:val="17"/>
                <w:lang w:eastAsia="zh-TW"/>
              </w:rPr>
              <w:t>補充本模版</w:t>
            </w:r>
            <w:proofErr w:type="gramEnd"/>
            <w:r>
              <w:rPr>
                <w:rFonts w:eastAsia="細明體" w:cs="Segoe UI" w:hint="eastAsia"/>
                <w:kern w:val="2"/>
                <w:sz w:val="17"/>
                <w:szCs w:val="17"/>
                <w:lang w:eastAsia="zh-TW"/>
              </w:rPr>
              <w:t>。如適用，附加說明應包括有關其他形式的固定或浮動薪酬的描述。</w:t>
            </w:r>
          </w:p>
        </w:tc>
      </w:tr>
      <w:tr w:rsidR="00A9457B" w14:paraId="174F755A" w14:textId="77777777" w:rsidTr="000F143F">
        <w:tc>
          <w:tcPr>
            <w:tcW w:w="2160" w:type="dxa"/>
            <w:tcBorders>
              <w:top w:val="single" w:sz="4" w:space="0" w:color="auto"/>
              <w:left w:val="nil"/>
              <w:bottom w:val="single" w:sz="4" w:space="0" w:color="auto"/>
              <w:right w:val="single" w:sz="4" w:space="0" w:color="auto"/>
            </w:tcBorders>
            <w:hideMark/>
          </w:tcPr>
          <w:p w14:paraId="3D945D42" w14:textId="77777777" w:rsidR="00A9457B" w:rsidRDefault="00A9457B">
            <w:pPr>
              <w:rPr>
                <w:rFonts w:cs="Segoe UI"/>
                <w:b/>
                <w:kern w:val="2"/>
                <w:sz w:val="17"/>
                <w:szCs w:val="17"/>
                <w:lang w:eastAsia="zh-TW"/>
              </w:rPr>
            </w:pPr>
            <w:r>
              <w:rPr>
                <w:rFonts w:eastAsia="細明體" w:cs="Segoe UI" w:hint="eastAsia"/>
                <w:b/>
                <w:kern w:val="2"/>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hideMark/>
          </w:tcPr>
          <w:p w14:paraId="7FCA84A4" w14:textId="77777777" w:rsidR="00A9457B" w:rsidRDefault="00A9457B">
            <w:pPr>
              <w:pStyle w:val="TableText"/>
              <w:jc w:val="both"/>
              <w:rPr>
                <w:rFonts w:eastAsiaTheme="minorEastAsia" w:cs="Segoe UI"/>
                <w:kern w:val="2"/>
                <w:szCs w:val="17"/>
                <w:lang w:eastAsia="zh-TW"/>
              </w:rPr>
            </w:pPr>
            <w:r>
              <w:rPr>
                <w:rFonts w:eastAsiaTheme="minorEastAsia" w:cs="Segoe UI"/>
                <w:kern w:val="2"/>
                <w:szCs w:val="17"/>
                <w:lang w:eastAsia="zh-TW"/>
              </w:rPr>
              <w:t>16ZT</w:t>
            </w:r>
          </w:p>
        </w:tc>
      </w:tr>
    </w:tbl>
    <w:p w14:paraId="1066445C" w14:textId="09E92567" w:rsidR="00800E45" w:rsidRDefault="00800E45">
      <w:pPr>
        <w:rPr>
          <w:rFonts w:eastAsiaTheme="minorEastAsia" w:cs="Segoe UI"/>
          <w:lang w:eastAsia="zh-TW"/>
        </w:rPr>
      </w:pPr>
    </w:p>
    <w:p w14:paraId="504CA0B5" w14:textId="77777777" w:rsidR="00800E45" w:rsidRDefault="00800E45">
      <w:pPr>
        <w:rPr>
          <w:rFonts w:eastAsiaTheme="minorEastAsia" w:cs="Segoe UI"/>
          <w:lang w:eastAsia="zh-TW"/>
        </w:rPr>
      </w:pPr>
    </w:p>
    <w:tbl>
      <w:tblPr>
        <w:tblW w:w="9216"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8"/>
        <w:gridCol w:w="142"/>
        <w:gridCol w:w="1276"/>
        <w:gridCol w:w="4395"/>
        <w:gridCol w:w="1431"/>
        <w:gridCol w:w="1404"/>
      </w:tblGrid>
      <w:tr w:rsidR="00A9457B" w14:paraId="7E4D276D" w14:textId="77777777" w:rsidTr="00A9457B">
        <w:trPr>
          <w:cantSplit/>
          <w:trHeight w:val="249"/>
          <w:tblHeader/>
        </w:trPr>
        <w:tc>
          <w:tcPr>
            <w:tcW w:w="567" w:type="dxa"/>
            <w:tcBorders>
              <w:top w:val="nil"/>
              <w:left w:val="nil"/>
              <w:bottom w:val="single" w:sz="4" w:space="0" w:color="auto"/>
              <w:right w:val="nil"/>
            </w:tcBorders>
          </w:tcPr>
          <w:p w14:paraId="1915EFAD" w14:textId="77777777" w:rsidR="00A9457B" w:rsidRDefault="00A9457B">
            <w:pPr>
              <w:pStyle w:val="TableText"/>
              <w:snapToGrid w:val="0"/>
              <w:rPr>
                <w:rFonts w:cs="Segoe UI"/>
                <w:kern w:val="2"/>
                <w:lang w:eastAsia="en-GB"/>
              </w:rPr>
            </w:pPr>
          </w:p>
        </w:tc>
        <w:tc>
          <w:tcPr>
            <w:tcW w:w="5812" w:type="dxa"/>
            <w:gridSpan w:val="3"/>
            <w:tcBorders>
              <w:top w:val="nil"/>
              <w:left w:val="nil"/>
              <w:bottom w:val="single" w:sz="4" w:space="0" w:color="auto"/>
              <w:right w:val="single" w:sz="4" w:space="0" w:color="auto"/>
            </w:tcBorders>
            <w:vAlign w:val="center"/>
          </w:tcPr>
          <w:p w14:paraId="79987A83" w14:textId="77777777" w:rsidR="00A9457B" w:rsidRDefault="00A9457B">
            <w:pPr>
              <w:pStyle w:val="TableText"/>
              <w:snapToGrid w:val="0"/>
              <w:rPr>
                <w:rFonts w:cs="Segoe UI"/>
                <w:kern w:val="2"/>
                <w:lang w:eastAsia="en-GB"/>
              </w:rPr>
            </w:pPr>
          </w:p>
        </w:tc>
        <w:tc>
          <w:tcPr>
            <w:tcW w:w="1431" w:type="dxa"/>
            <w:tcBorders>
              <w:top w:val="single" w:sz="4" w:space="0" w:color="auto"/>
              <w:left w:val="nil"/>
              <w:bottom w:val="single" w:sz="4" w:space="0" w:color="auto"/>
              <w:right w:val="single" w:sz="4" w:space="0" w:color="auto"/>
            </w:tcBorders>
            <w:vAlign w:val="center"/>
            <w:hideMark/>
          </w:tcPr>
          <w:p w14:paraId="69A0FC68" w14:textId="77777777" w:rsidR="00A9457B" w:rsidRDefault="00A9457B">
            <w:pPr>
              <w:pStyle w:val="TableText"/>
              <w:snapToGrid w:val="0"/>
              <w:jc w:val="center"/>
              <w:rPr>
                <w:rFonts w:cs="Segoe UI"/>
                <w:bCs/>
                <w:kern w:val="2"/>
                <w:szCs w:val="17"/>
                <w:lang w:eastAsia="it-IT"/>
              </w:rPr>
            </w:pPr>
            <w:r>
              <w:rPr>
                <w:rFonts w:cs="Segoe UI"/>
                <w:bCs/>
                <w:kern w:val="2"/>
                <w:szCs w:val="17"/>
                <w:lang w:eastAsia="it-IT"/>
              </w:rPr>
              <w:t>(a)</w:t>
            </w:r>
          </w:p>
        </w:tc>
        <w:tc>
          <w:tcPr>
            <w:tcW w:w="1404" w:type="dxa"/>
            <w:tcBorders>
              <w:top w:val="single" w:sz="4" w:space="0" w:color="auto"/>
              <w:left w:val="single" w:sz="4" w:space="0" w:color="auto"/>
              <w:bottom w:val="single" w:sz="4" w:space="0" w:color="auto"/>
              <w:right w:val="single" w:sz="4" w:space="0" w:color="auto"/>
            </w:tcBorders>
            <w:vAlign w:val="center"/>
            <w:hideMark/>
          </w:tcPr>
          <w:p w14:paraId="600015B2" w14:textId="77777777" w:rsidR="00A9457B" w:rsidRDefault="00A9457B">
            <w:pPr>
              <w:pStyle w:val="TableText"/>
              <w:snapToGrid w:val="0"/>
              <w:jc w:val="center"/>
              <w:rPr>
                <w:rFonts w:cs="Segoe UI"/>
                <w:bCs/>
                <w:kern w:val="2"/>
                <w:szCs w:val="17"/>
                <w:lang w:eastAsia="it-IT"/>
              </w:rPr>
            </w:pPr>
            <w:r>
              <w:rPr>
                <w:rFonts w:cs="Segoe UI"/>
                <w:bCs/>
                <w:kern w:val="2"/>
                <w:szCs w:val="17"/>
                <w:lang w:eastAsia="it-IT"/>
              </w:rPr>
              <w:t>(b)</w:t>
            </w:r>
          </w:p>
        </w:tc>
      </w:tr>
      <w:tr w:rsidR="00A9457B" w14:paraId="787EE867" w14:textId="77777777" w:rsidTr="00A9457B">
        <w:trPr>
          <w:cantSplit/>
          <w:tblHeader/>
        </w:trPr>
        <w:tc>
          <w:tcPr>
            <w:tcW w:w="6379" w:type="dxa"/>
            <w:gridSpan w:val="4"/>
            <w:tcBorders>
              <w:top w:val="single" w:sz="4" w:space="0" w:color="auto"/>
              <w:left w:val="nil"/>
              <w:bottom w:val="single" w:sz="4" w:space="0" w:color="auto"/>
              <w:right w:val="single" w:sz="4" w:space="0" w:color="auto"/>
            </w:tcBorders>
            <w:vAlign w:val="center"/>
            <w:hideMark/>
          </w:tcPr>
          <w:p w14:paraId="70EE71A9" w14:textId="77777777" w:rsidR="00A9457B" w:rsidRDefault="00A9457B">
            <w:pPr>
              <w:pStyle w:val="TableText"/>
              <w:snapToGrid w:val="0"/>
              <w:rPr>
                <w:rFonts w:cs="Segoe UI"/>
                <w:kern w:val="2"/>
                <w:lang w:eastAsia="en-GB"/>
              </w:rPr>
            </w:pPr>
            <w:r>
              <w:rPr>
                <w:rFonts w:eastAsiaTheme="minorEastAsia" w:cs="Segoe UI" w:hint="eastAsia"/>
                <w:kern w:val="2"/>
                <w:lang w:eastAsia="zh-TW"/>
              </w:rPr>
              <w:t>薪酬款額及量化資料</w:t>
            </w:r>
          </w:p>
        </w:tc>
        <w:tc>
          <w:tcPr>
            <w:tcW w:w="1431" w:type="dxa"/>
            <w:tcBorders>
              <w:top w:val="single" w:sz="4" w:space="0" w:color="auto"/>
              <w:left w:val="nil"/>
              <w:bottom w:val="single" w:sz="4" w:space="0" w:color="auto"/>
              <w:right w:val="single" w:sz="4" w:space="0" w:color="auto"/>
            </w:tcBorders>
            <w:vAlign w:val="center"/>
            <w:hideMark/>
          </w:tcPr>
          <w:p w14:paraId="068B6459"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高級管理</w:t>
            </w:r>
            <w:proofErr w:type="spellStart"/>
            <w:r>
              <w:rPr>
                <w:rFonts w:eastAsia="細明體" w:cs="Segoe UI" w:hint="eastAsia"/>
                <w:kern w:val="2"/>
                <w:lang w:val="en-US"/>
              </w:rPr>
              <w:t>人員</w:t>
            </w:r>
            <w:proofErr w:type="spellEnd"/>
          </w:p>
        </w:tc>
        <w:tc>
          <w:tcPr>
            <w:tcW w:w="1404" w:type="dxa"/>
            <w:tcBorders>
              <w:top w:val="single" w:sz="4" w:space="0" w:color="auto"/>
              <w:left w:val="single" w:sz="4" w:space="0" w:color="auto"/>
              <w:bottom w:val="single" w:sz="4" w:space="0" w:color="auto"/>
              <w:right w:val="single" w:sz="4" w:space="0" w:color="auto"/>
            </w:tcBorders>
            <w:vAlign w:val="center"/>
            <w:hideMark/>
          </w:tcPr>
          <w:p w14:paraId="2C9558DD" w14:textId="77777777" w:rsidR="00A9457B" w:rsidRDefault="00A9457B">
            <w:pPr>
              <w:pStyle w:val="TableText"/>
              <w:snapToGrid w:val="0"/>
              <w:jc w:val="center"/>
              <w:rPr>
                <w:rFonts w:cs="Segoe UI"/>
                <w:kern w:val="2"/>
                <w:lang w:eastAsia="zh-TW"/>
              </w:rPr>
            </w:pPr>
            <w:proofErr w:type="spellStart"/>
            <w:r>
              <w:rPr>
                <w:rFonts w:eastAsia="細明體" w:cs="Segoe UI" w:hint="eastAsia"/>
                <w:kern w:val="2"/>
                <w:lang w:val="en-US"/>
              </w:rPr>
              <w:t>主要人員</w:t>
            </w:r>
            <w:proofErr w:type="spellEnd"/>
          </w:p>
        </w:tc>
      </w:tr>
      <w:tr w:rsidR="00A9457B" w14:paraId="553CE2B3" w14:textId="77777777" w:rsidTr="00A9457B">
        <w:trPr>
          <w:cantSplit/>
          <w:tblHeader/>
        </w:trPr>
        <w:tc>
          <w:tcPr>
            <w:tcW w:w="709" w:type="dxa"/>
            <w:gridSpan w:val="2"/>
            <w:tcBorders>
              <w:top w:val="single" w:sz="4" w:space="0" w:color="auto"/>
              <w:left w:val="nil"/>
              <w:bottom w:val="single" w:sz="4" w:space="0" w:color="BCBDBC"/>
              <w:right w:val="single" w:sz="4" w:space="0" w:color="auto"/>
            </w:tcBorders>
            <w:hideMark/>
          </w:tcPr>
          <w:p w14:paraId="37A6BA9E" w14:textId="77777777" w:rsidR="00A9457B" w:rsidRDefault="00A9457B">
            <w:pPr>
              <w:pStyle w:val="TableText"/>
              <w:snapToGrid w:val="0"/>
              <w:rPr>
                <w:rFonts w:cs="Segoe UI"/>
                <w:kern w:val="2"/>
                <w:lang w:eastAsia="en-GB"/>
              </w:rPr>
            </w:pPr>
            <w:r>
              <w:rPr>
                <w:rFonts w:cs="Segoe UI"/>
                <w:kern w:val="2"/>
                <w:lang w:eastAsia="en-GB"/>
              </w:rPr>
              <w:t>1</w:t>
            </w:r>
          </w:p>
        </w:tc>
        <w:tc>
          <w:tcPr>
            <w:tcW w:w="1276" w:type="dxa"/>
            <w:vMerge w:val="restart"/>
            <w:tcBorders>
              <w:top w:val="single" w:sz="4" w:space="0" w:color="auto"/>
              <w:left w:val="single" w:sz="4" w:space="0" w:color="auto"/>
              <w:bottom w:val="single" w:sz="4" w:space="0" w:color="BCBDBC"/>
              <w:right w:val="single" w:sz="4" w:space="0" w:color="auto"/>
            </w:tcBorders>
            <w:vAlign w:val="center"/>
            <w:hideMark/>
          </w:tcPr>
          <w:p w14:paraId="12521B57" w14:textId="77777777" w:rsidR="00A9457B" w:rsidRDefault="00A9457B">
            <w:pPr>
              <w:pStyle w:val="TableText"/>
              <w:snapToGrid w:val="0"/>
              <w:rPr>
                <w:rFonts w:cs="Segoe UI"/>
                <w:noProof/>
                <w:kern w:val="2"/>
                <w:lang w:eastAsia="en-GB"/>
              </w:rPr>
            </w:pPr>
            <w:proofErr w:type="gramStart"/>
            <w:r>
              <w:rPr>
                <w:rFonts w:eastAsiaTheme="minorEastAsia" w:cs="Segoe UI" w:hint="eastAsia"/>
                <w:kern w:val="2"/>
                <w:lang w:eastAsia="zh-TW"/>
              </w:rPr>
              <w:t>固定薪</w:t>
            </w:r>
            <w:proofErr w:type="gramEnd"/>
            <w:r>
              <w:rPr>
                <w:rFonts w:eastAsiaTheme="minorEastAsia" w:cs="Segoe UI" w:hint="eastAsia"/>
                <w:kern w:val="2"/>
                <w:lang w:eastAsia="zh-TW"/>
              </w:rPr>
              <w:t>酬</w:t>
            </w:r>
          </w:p>
        </w:tc>
        <w:tc>
          <w:tcPr>
            <w:tcW w:w="4394" w:type="dxa"/>
            <w:tcBorders>
              <w:top w:val="single" w:sz="4" w:space="0" w:color="auto"/>
              <w:left w:val="single" w:sz="4" w:space="0" w:color="auto"/>
              <w:bottom w:val="single" w:sz="4" w:space="0" w:color="BCBDBC"/>
              <w:right w:val="single" w:sz="4" w:space="0" w:color="auto"/>
            </w:tcBorders>
            <w:hideMark/>
          </w:tcPr>
          <w:p w14:paraId="72EF8735" w14:textId="77777777" w:rsidR="00A9457B" w:rsidRDefault="00A9457B">
            <w:pPr>
              <w:pStyle w:val="TableText"/>
              <w:snapToGrid w:val="0"/>
              <w:rPr>
                <w:rFonts w:cs="Segoe UI"/>
                <w:kern w:val="2"/>
                <w:lang w:eastAsia="en-GB"/>
              </w:rPr>
            </w:pPr>
            <w:r>
              <w:rPr>
                <w:rFonts w:eastAsiaTheme="minorEastAsia" w:cs="Segoe UI" w:hint="eastAsia"/>
                <w:kern w:val="2"/>
                <w:lang w:eastAsia="zh-TW"/>
              </w:rPr>
              <w:t>員工數目</w:t>
            </w:r>
          </w:p>
        </w:tc>
        <w:tc>
          <w:tcPr>
            <w:tcW w:w="1431" w:type="dxa"/>
            <w:tcBorders>
              <w:top w:val="single" w:sz="4" w:space="0" w:color="auto"/>
              <w:left w:val="single" w:sz="4" w:space="0" w:color="auto"/>
              <w:bottom w:val="single" w:sz="4" w:space="0" w:color="BCBDBC"/>
              <w:right w:val="single" w:sz="4" w:space="0" w:color="auto"/>
            </w:tcBorders>
          </w:tcPr>
          <w:p w14:paraId="6A22FBB4" w14:textId="77777777" w:rsidR="00A9457B" w:rsidRDefault="00A9457B">
            <w:pPr>
              <w:pStyle w:val="TableText"/>
              <w:snapToGrid w:val="0"/>
              <w:rPr>
                <w:rFonts w:cs="Segoe UI"/>
                <w:b/>
                <w:noProof/>
                <w:kern w:val="2"/>
                <w:lang w:eastAsia="en-GB"/>
              </w:rPr>
            </w:pPr>
          </w:p>
        </w:tc>
        <w:tc>
          <w:tcPr>
            <w:tcW w:w="1404" w:type="dxa"/>
            <w:tcBorders>
              <w:top w:val="single" w:sz="4" w:space="0" w:color="auto"/>
              <w:left w:val="single" w:sz="4" w:space="0" w:color="auto"/>
              <w:bottom w:val="single" w:sz="4" w:space="0" w:color="BCBDBC"/>
              <w:right w:val="single" w:sz="4" w:space="0" w:color="auto"/>
            </w:tcBorders>
            <w:vAlign w:val="center"/>
          </w:tcPr>
          <w:p w14:paraId="5B1F278B" w14:textId="77777777" w:rsidR="00A9457B" w:rsidRDefault="00A9457B">
            <w:pPr>
              <w:pStyle w:val="TableText"/>
              <w:snapToGrid w:val="0"/>
              <w:rPr>
                <w:rFonts w:cs="Segoe UI"/>
                <w:bCs/>
                <w:kern w:val="2"/>
                <w:lang w:eastAsia="en-GB"/>
              </w:rPr>
            </w:pPr>
          </w:p>
        </w:tc>
      </w:tr>
      <w:tr w:rsidR="00A9457B" w14:paraId="7A29F4F3"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1BD1D9C0" w14:textId="77777777" w:rsidR="00A9457B" w:rsidRDefault="00A9457B">
            <w:pPr>
              <w:pStyle w:val="TableText"/>
              <w:snapToGrid w:val="0"/>
              <w:rPr>
                <w:rFonts w:cs="Segoe UI"/>
                <w:kern w:val="2"/>
                <w:lang w:eastAsia="en-GB"/>
              </w:rPr>
            </w:pPr>
            <w:r>
              <w:rPr>
                <w:rFonts w:cs="Segoe UI"/>
                <w:kern w:val="2"/>
                <w:lang w:eastAsia="en-GB"/>
              </w:rPr>
              <w:t>2</w:t>
            </w:r>
          </w:p>
        </w:tc>
        <w:tc>
          <w:tcPr>
            <w:tcW w:w="5670" w:type="dxa"/>
            <w:vMerge/>
            <w:tcBorders>
              <w:top w:val="single" w:sz="4" w:space="0" w:color="auto"/>
              <w:left w:val="single" w:sz="4" w:space="0" w:color="auto"/>
              <w:bottom w:val="single" w:sz="4" w:space="0" w:color="BCBDBC"/>
              <w:right w:val="single" w:sz="4" w:space="0" w:color="auto"/>
            </w:tcBorders>
            <w:vAlign w:val="center"/>
            <w:hideMark/>
          </w:tcPr>
          <w:p w14:paraId="5C9B63BB" w14:textId="77777777" w:rsidR="00A9457B" w:rsidRDefault="00A9457B">
            <w:pPr>
              <w:rPr>
                <w:rFonts w:cs="Segoe UI"/>
                <w:noProof/>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504DD3A0" w14:textId="77777777" w:rsidR="00A9457B" w:rsidRDefault="00A9457B">
            <w:pPr>
              <w:pStyle w:val="TableText"/>
              <w:snapToGrid w:val="0"/>
              <w:rPr>
                <w:rFonts w:cs="Segoe UI"/>
                <w:kern w:val="2"/>
                <w:lang w:eastAsia="en-GB"/>
              </w:rPr>
            </w:pPr>
            <w:proofErr w:type="gramStart"/>
            <w:r>
              <w:rPr>
                <w:rFonts w:eastAsiaTheme="minorEastAsia" w:cs="Segoe UI" w:hint="eastAsia"/>
                <w:kern w:val="2"/>
                <w:lang w:eastAsia="zh-TW"/>
              </w:rPr>
              <w:t>固定薪</w:t>
            </w:r>
            <w:proofErr w:type="gramEnd"/>
            <w:r>
              <w:rPr>
                <w:rFonts w:eastAsiaTheme="minorEastAsia" w:cs="Segoe UI" w:hint="eastAsia"/>
                <w:kern w:val="2"/>
                <w:lang w:eastAsia="zh-TW"/>
              </w:rPr>
              <w:t>酬總額</w:t>
            </w:r>
          </w:p>
        </w:tc>
        <w:tc>
          <w:tcPr>
            <w:tcW w:w="1431" w:type="dxa"/>
            <w:tcBorders>
              <w:top w:val="single" w:sz="4" w:space="0" w:color="BCBDBC"/>
              <w:left w:val="single" w:sz="4" w:space="0" w:color="auto"/>
              <w:bottom w:val="single" w:sz="4" w:space="0" w:color="BCBDBC"/>
              <w:right w:val="single" w:sz="4" w:space="0" w:color="auto"/>
            </w:tcBorders>
          </w:tcPr>
          <w:p w14:paraId="54BC8108"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5EAEFCED" w14:textId="77777777" w:rsidR="00A9457B" w:rsidRDefault="00A9457B">
            <w:pPr>
              <w:pStyle w:val="TableText"/>
              <w:snapToGrid w:val="0"/>
              <w:rPr>
                <w:rFonts w:cs="Segoe UI"/>
                <w:kern w:val="2"/>
                <w:lang w:eastAsia="en-GB"/>
              </w:rPr>
            </w:pPr>
          </w:p>
        </w:tc>
      </w:tr>
      <w:tr w:rsidR="00A9457B" w14:paraId="253BEEA1"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36A6FAD9" w14:textId="77777777" w:rsidR="00A9457B" w:rsidRDefault="00A9457B">
            <w:pPr>
              <w:pStyle w:val="TableText"/>
              <w:snapToGrid w:val="0"/>
              <w:rPr>
                <w:rFonts w:cs="Segoe UI"/>
                <w:kern w:val="2"/>
                <w:lang w:eastAsia="en-GB"/>
              </w:rPr>
            </w:pPr>
            <w:r>
              <w:rPr>
                <w:rFonts w:cs="Segoe UI"/>
                <w:kern w:val="2"/>
                <w:lang w:eastAsia="en-GB"/>
              </w:rPr>
              <w:t>3</w:t>
            </w:r>
          </w:p>
        </w:tc>
        <w:tc>
          <w:tcPr>
            <w:tcW w:w="5670" w:type="dxa"/>
            <w:vMerge/>
            <w:tcBorders>
              <w:top w:val="single" w:sz="4" w:space="0" w:color="auto"/>
              <w:left w:val="single" w:sz="4" w:space="0" w:color="auto"/>
              <w:bottom w:val="single" w:sz="4" w:space="0" w:color="BCBDBC"/>
              <w:right w:val="single" w:sz="4" w:space="0" w:color="auto"/>
            </w:tcBorders>
            <w:vAlign w:val="center"/>
            <w:hideMark/>
          </w:tcPr>
          <w:p w14:paraId="3EF23850" w14:textId="77777777" w:rsidR="00A9457B" w:rsidRDefault="00A9457B">
            <w:pPr>
              <w:rPr>
                <w:rFonts w:cs="Segoe UI"/>
                <w:noProof/>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6D673AF6" w14:textId="77777777" w:rsidR="00A9457B" w:rsidRDefault="00A9457B" w:rsidP="00A9457B">
            <w:pPr>
              <w:pStyle w:val="TableText"/>
              <w:tabs>
                <w:tab w:val="left" w:pos="317"/>
              </w:tabs>
              <w:snapToGrid w:val="0"/>
              <w:ind w:left="316" w:hangingChars="186" w:hanging="316"/>
              <w:rPr>
                <w:rFonts w:cs="Segoe UI"/>
                <w:kern w:val="2"/>
                <w:lang w:eastAsia="en-GB"/>
              </w:rPr>
            </w:pPr>
            <w:r>
              <w:rPr>
                <w:rFonts w:cs="Segoe UI"/>
                <w:kern w:val="2"/>
                <w:lang w:eastAsia="en-GB"/>
              </w:rPr>
              <w:tab/>
            </w:r>
            <w:r>
              <w:rPr>
                <w:rFonts w:eastAsiaTheme="minorEastAsia" w:cs="Segoe UI" w:hint="eastAsia"/>
                <w:kern w:val="2"/>
                <w:lang w:eastAsia="zh-TW"/>
              </w:rPr>
              <w:t>其中：現金形式</w:t>
            </w:r>
          </w:p>
        </w:tc>
        <w:tc>
          <w:tcPr>
            <w:tcW w:w="1431" w:type="dxa"/>
            <w:tcBorders>
              <w:top w:val="single" w:sz="4" w:space="0" w:color="BCBDBC"/>
              <w:left w:val="single" w:sz="4" w:space="0" w:color="auto"/>
              <w:bottom w:val="single" w:sz="4" w:space="0" w:color="BCBDBC"/>
              <w:right w:val="single" w:sz="4" w:space="0" w:color="auto"/>
            </w:tcBorders>
          </w:tcPr>
          <w:p w14:paraId="2C4DF0C5"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451A83B7" w14:textId="77777777" w:rsidR="00A9457B" w:rsidRDefault="00A9457B">
            <w:pPr>
              <w:pStyle w:val="TableText"/>
              <w:snapToGrid w:val="0"/>
              <w:rPr>
                <w:rFonts w:cs="Segoe UI"/>
                <w:kern w:val="2"/>
                <w:lang w:eastAsia="en-GB"/>
              </w:rPr>
            </w:pPr>
          </w:p>
        </w:tc>
      </w:tr>
      <w:tr w:rsidR="00A9457B" w14:paraId="441812D3"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073E6697" w14:textId="77777777" w:rsidR="00A9457B" w:rsidRDefault="00A9457B">
            <w:pPr>
              <w:pStyle w:val="TableText"/>
              <w:snapToGrid w:val="0"/>
              <w:rPr>
                <w:rFonts w:cs="Segoe UI"/>
                <w:kern w:val="2"/>
                <w:lang w:eastAsia="en-GB"/>
              </w:rPr>
            </w:pPr>
            <w:r>
              <w:rPr>
                <w:rFonts w:cs="Segoe UI"/>
                <w:kern w:val="2"/>
                <w:lang w:eastAsia="en-GB"/>
              </w:rPr>
              <w:t>4</w:t>
            </w:r>
          </w:p>
        </w:tc>
        <w:tc>
          <w:tcPr>
            <w:tcW w:w="5670" w:type="dxa"/>
            <w:vMerge/>
            <w:tcBorders>
              <w:top w:val="single" w:sz="4" w:space="0" w:color="auto"/>
              <w:left w:val="single" w:sz="4" w:space="0" w:color="auto"/>
              <w:bottom w:val="single" w:sz="4" w:space="0" w:color="BCBDBC"/>
              <w:right w:val="single" w:sz="4" w:space="0" w:color="auto"/>
            </w:tcBorders>
            <w:vAlign w:val="center"/>
            <w:hideMark/>
          </w:tcPr>
          <w:p w14:paraId="7FF268FF" w14:textId="77777777" w:rsidR="00A9457B" w:rsidRDefault="00A9457B">
            <w:pPr>
              <w:rPr>
                <w:rFonts w:cs="Segoe UI"/>
                <w:noProof/>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11B2FD0B" w14:textId="77777777" w:rsidR="00A9457B" w:rsidRDefault="00A9457B" w:rsidP="00A9457B">
            <w:pPr>
              <w:pStyle w:val="TableText"/>
              <w:tabs>
                <w:tab w:val="left" w:pos="601"/>
              </w:tabs>
              <w:snapToGrid w:val="0"/>
              <w:ind w:leftChars="158" w:left="600" w:hangingChars="167" w:hanging="284"/>
              <w:rPr>
                <w:rFonts w:cs="Segoe UI"/>
                <w:kern w:val="2"/>
                <w:lang w:eastAsia="en-GB"/>
              </w:rPr>
            </w:pPr>
            <w:r>
              <w:rPr>
                <w:rFonts w:cs="Segoe UI"/>
                <w:kern w:val="2"/>
                <w:lang w:eastAsia="en-GB"/>
              </w:rPr>
              <w:tab/>
            </w:r>
            <w:r>
              <w:rPr>
                <w:rFonts w:eastAsiaTheme="minorEastAsia" w:cs="Segoe UI" w:hint="eastAsia"/>
                <w:kern w:val="2"/>
                <w:lang w:eastAsia="zh-TW"/>
              </w:rPr>
              <w:t>其中：遞延</w:t>
            </w:r>
          </w:p>
        </w:tc>
        <w:tc>
          <w:tcPr>
            <w:tcW w:w="1431" w:type="dxa"/>
            <w:tcBorders>
              <w:top w:val="single" w:sz="4" w:space="0" w:color="BCBDBC"/>
              <w:left w:val="single" w:sz="4" w:space="0" w:color="auto"/>
              <w:bottom w:val="single" w:sz="4" w:space="0" w:color="BCBDBC"/>
              <w:right w:val="single" w:sz="4" w:space="0" w:color="auto"/>
            </w:tcBorders>
          </w:tcPr>
          <w:p w14:paraId="1AA252F5"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6055512D" w14:textId="77777777" w:rsidR="00A9457B" w:rsidRDefault="00A9457B">
            <w:pPr>
              <w:pStyle w:val="TableText"/>
              <w:snapToGrid w:val="0"/>
              <w:rPr>
                <w:rFonts w:cs="Segoe UI"/>
                <w:kern w:val="2"/>
                <w:lang w:eastAsia="en-GB"/>
              </w:rPr>
            </w:pPr>
          </w:p>
        </w:tc>
      </w:tr>
      <w:tr w:rsidR="00A9457B" w14:paraId="4913260B"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6A96FC92" w14:textId="77777777" w:rsidR="00A9457B" w:rsidRDefault="00A9457B">
            <w:pPr>
              <w:pStyle w:val="TableText"/>
              <w:snapToGrid w:val="0"/>
              <w:rPr>
                <w:rFonts w:cs="Segoe UI"/>
                <w:kern w:val="2"/>
                <w:lang w:eastAsia="en-GB"/>
              </w:rPr>
            </w:pPr>
            <w:r>
              <w:rPr>
                <w:rFonts w:cs="Segoe UI"/>
                <w:kern w:val="2"/>
                <w:lang w:eastAsia="en-GB"/>
              </w:rPr>
              <w:t>5</w:t>
            </w:r>
          </w:p>
        </w:tc>
        <w:tc>
          <w:tcPr>
            <w:tcW w:w="5670" w:type="dxa"/>
            <w:vMerge/>
            <w:tcBorders>
              <w:top w:val="single" w:sz="4" w:space="0" w:color="auto"/>
              <w:left w:val="single" w:sz="4" w:space="0" w:color="auto"/>
              <w:bottom w:val="single" w:sz="4" w:space="0" w:color="BCBDBC"/>
              <w:right w:val="single" w:sz="4" w:space="0" w:color="auto"/>
            </w:tcBorders>
            <w:vAlign w:val="center"/>
            <w:hideMark/>
          </w:tcPr>
          <w:p w14:paraId="3D6457AA" w14:textId="77777777" w:rsidR="00A9457B" w:rsidRDefault="00A9457B">
            <w:pPr>
              <w:rPr>
                <w:rFonts w:cs="Segoe UI"/>
                <w:noProof/>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4D83DA71" w14:textId="77777777" w:rsidR="00A9457B" w:rsidRDefault="00A9457B" w:rsidP="00A9457B">
            <w:pPr>
              <w:pStyle w:val="TableText"/>
              <w:tabs>
                <w:tab w:val="left" w:pos="317"/>
              </w:tabs>
              <w:snapToGrid w:val="0"/>
              <w:ind w:left="316" w:hangingChars="186" w:hanging="316"/>
              <w:rPr>
                <w:rFonts w:cs="Segoe UI"/>
                <w:kern w:val="2"/>
                <w:lang w:eastAsia="zh-TW"/>
              </w:rPr>
            </w:pPr>
            <w:r>
              <w:rPr>
                <w:rFonts w:cs="Segoe UI"/>
                <w:kern w:val="2"/>
                <w:lang w:eastAsia="zh-TW"/>
              </w:rPr>
              <w:tab/>
            </w:r>
            <w:r>
              <w:rPr>
                <w:rFonts w:eastAsiaTheme="minorEastAsia" w:cs="Segoe UI" w:hint="eastAsia"/>
                <w:kern w:val="2"/>
                <w:lang w:eastAsia="zh-TW"/>
              </w:rPr>
              <w:t>其中：股票或其他股票掛鈎</w:t>
            </w:r>
            <w:r>
              <w:rPr>
                <w:rFonts w:eastAsia="細明體" w:cs="Segoe UI" w:hint="eastAsia"/>
                <w:kern w:val="2"/>
                <w:lang w:eastAsia="zh-TW"/>
              </w:rPr>
              <w:t>工具</w:t>
            </w:r>
          </w:p>
        </w:tc>
        <w:tc>
          <w:tcPr>
            <w:tcW w:w="1431" w:type="dxa"/>
            <w:tcBorders>
              <w:top w:val="single" w:sz="4" w:space="0" w:color="BCBDBC"/>
              <w:left w:val="single" w:sz="4" w:space="0" w:color="auto"/>
              <w:bottom w:val="single" w:sz="4" w:space="0" w:color="BCBDBC"/>
              <w:right w:val="single" w:sz="4" w:space="0" w:color="auto"/>
            </w:tcBorders>
          </w:tcPr>
          <w:p w14:paraId="565FF80B" w14:textId="77777777" w:rsidR="00A9457B" w:rsidRDefault="00A9457B">
            <w:pPr>
              <w:pStyle w:val="TableText"/>
              <w:snapToGrid w:val="0"/>
              <w:rPr>
                <w:rFonts w:cs="Segoe UI"/>
                <w:kern w:val="2"/>
                <w:lang w:eastAsia="zh-TW"/>
              </w:rPr>
            </w:pPr>
          </w:p>
        </w:tc>
        <w:tc>
          <w:tcPr>
            <w:tcW w:w="1404" w:type="dxa"/>
            <w:tcBorders>
              <w:top w:val="single" w:sz="4" w:space="0" w:color="BCBDBC"/>
              <w:left w:val="single" w:sz="4" w:space="0" w:color="auto"/>
              <w:bottom w:val="single" w:sz="4" w:space="0" w:color="BCBDBC"/>
              <w:right w:val="single" w:sz="4" w:space="0" w:color="auto"/>
            </w:tcBorders>
          </w:tcPr>
          <w:p w14:paraId="3ABB936A" w14:textId="77777777" w:rsidR="00A9457B" w:rsidRDefault="00A9457B">
            <w:pPr>
              <w:pStyle w:val="TableText"/>
              <w:snapToGrid w:val="0"/>
              <w:rPr>
                <w:rFonts w:cs="Segoe UI"/>
                <w:kern w:val="2"/>
                <w:lang w:eastAsia="zh-TW"/>
              </w:rPr>
            </w:pPr>
          </w:p>
        </w:tc>
      </w:tr>
      <w:tr w:rsidR="00A9457B" w14:paraId="65276B76"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7EA75A58" w14:textId="77777777" w:rsidR="00A9457B" w:rsidRDefault="00A9457B">
            <w:pPr>
              <w:pStyle w:val="TableText"/>
              <w:snapToGrid w:val="0"/>
              <w:rPr>
                <w:rFonts w:cs="Segoe UI"/>
                <w:kern w:val="2"/>
                <w:lang w:eastAsia="en-GB"/>
              </w:rPr>
            </w:pPr>
            <w:r>
              <w:rPr>
                <w:rFonts w:cs="Segoe UI"/>
                <w:kern w:val="2"/>
                <w:lang w:eastAsia="en-GB"/>
              </w:rPr>
              <w:t>6</w:t>
            </w:r>
          </w:p>
        </w:tc>
        <w:tc>
          <w:tcPr>
            <w:tcW w:w="5670" w:type="dxa"/>
            <w:vMerge/>
            <w:tcBorders>
              <w:top w:val="single" w:sz="4" w:space="0" w:color="auto"/>
              <w:left w:val="single" w:sz="4" w:space="0" w:color="auto"/>
              <w:bottom w:val="single" w:sz="4" w:space="0" w:color="BCBDBC"/>
              <w:right w:val="single" w:sz="4" w:space="0" w:color="auto"/>
            </w:tcBorders>
            <w:vAlign w:val="center"/>
            <w:hideMark/>
          </w:tcPr>
          <w:p w14:paraId="7541E6D0" w14:textId="77777777" w:rsidR="00A9457B" w:rsidRDefault="00A9457B">
            <w:pPr>
              <w:rPr>
                <w:rFonts w:cs="Segoe UI"/>
                <w:noProof/>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7C40BBB6" w14:textId="77777777" w:rsidR="00A9457B" w:rsidRDefault="00A9457B" w:rsidP="00A9457B">
            <w:pPr>
              <w:pStyle w:val="TableText"/>
              <w:tabs>
                <w:tab w:val="left" w:pos="601"/>
              </w:tabs>
              <w:snapToGrid w:val="0"/>
              <w:ind w:leftChars="158" w:left="600" w:hangingChars="167" w:hanging="284"/>
              <w:rPr>
                <w:rFonts w:cs="Segoe UI"/>
                <w:kern w:val="2"/>
                <w:lang w:eastAsia="en-GB"/>
              </w:rPr>
            </w:pPr>
            <w:r>
              <w:rPr>
                <w:rFonts w:cs="Segoe UI"/>
                <w:kern w:val="2"/>
                <w:lang w:eastAsia="en-GB"/>
              </w:rPr>
              <w:tab/>
            </w:r>
            <w:r>
              <w:rPr>
                <w:rFonts w:eastAsiaTheme="minorEastAsia" w:cs="Segoe UI" w:hint="eastAsia"/>
                <w:kern w:val="2"/>
                <w:lang w:eastAsia="zh-TW"/>
              </w:rPr>
              <w:t>其中：遞延</w:t>
            </w:r>
          </w:p>
        </w:tc>
        <w:tc>
          <w:tcPr>
            <w:tcW w:w="1431" w:type="dxa"/>
            <w:tcBorders>
              <w:top w:val="single" w:sz="4" w:space="0" w:color="BCBDBC"/>
              <w:left w:val="single" w:sz="4" w:space="0" w:color="auto"/>
              <w:bottom w:val="single" w:sz="4" w:space="0" w:color="BCBDBC"/>
              <w:right w:val="single" w:sz="4" w:space="0" w:color="auto"/>
            </w:tcBorders>
          </w:tcPr>
          <w:p w14:paraId="5A6E2296"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4E31BCDE" w14:textId="77777777" w:rsidR="00A9457B" w:rsidRDefault="00A9457B">
            <w:pPr>
              <w:pStyle w:val="TableText"/>
              <w:snapToGrid w:val="0"/>
              <w:rPr>
                <w:rFonts w:cs="Segoe UI"/>
                <w:kern w:val="2"/>
                <w:lang w:eastAsia="en-GB"/>
              </w:rPr>
            </w:pPr>
          </w:p>
        </w:tc>
      </w:tr>
      <w:tr w:rsidR="00A9457B" w14:paraId="4230C076"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34526D67" w14:textId="77777777" w:rsidR="00A9457B" w:rsidRDefault="00A9457B">
            <w:pPr>
              <w:pStyle w:val="TableText"/>
              <w:snapToGrid w:val="0"/>
              <w:rPr>
                <w:rFonts w:cs="Segoe UI"/>
                <w:kern w:val="2"/>
                <w:lang w:eastAsia="en-GB"/>
              </w:rPr>
            </w:pPr>
            <w:r>
              <w:rPr>
                <w:rFonts w:cs="Segoe UI"/>
                <w:kern w:val="2"/>
                <w:lang w:eastAsia="en-GB"/>
              </w:rPr>
              <w:t>7</w:t>
            </w:r>
          </w:p>
        </w:tc>
        <w:tc>
          <w:tcPr>
            <w:tcW w:w="5670" w:type="dxa"/>
            <w:vMerge/>
            <w:tcBorders>
              <w:top w:val="single" w:sz="4" w:space="0" w:color="auto"/>
              <w:left w:val="single" w:sz="4" w:space="0" w:color="auto"/>
              <w:bottom w:val="single" w:sz="4" w:space="0" w:color="BCBDBC"/>
              <w:right w:val="single" w:sz="4" w:space="0" w:color="auto"/>
            </w:tcBorders>
            <w:vAlign w:val="center"/>
            <w:hideMark/>
          </w:tcPr>
          <w:p w14:paraId="593BD299" w14:textId="77777777" w:rsidR="00A9457B" w:rsidRDefault="00A9457B">
            <w:pPr>
              <w:rPr>
                <w:rFonts w:cs="Segoe UI"/>
                <w:noProof/>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670B0AAD" w14:textId="77777777" w:rsidR="00A9457B" w:rsidRDefault="00A9457B" w:rsidP="00A9457B">
            <w:pPr>
              <w:pStyle w:val="TableText"/>
              <w:tabs>
                <w:tab w:val="left" w:pos="317"/>
              </w:tabs>
              <w:snapToGrid w:val="0"/>
              <w:ind w:left="316" w:hangingChars="186" w:hanging="316"/>
              <w:rPr>
                <w:rFonts w:cs="Segoe UI"/>
                <w:kern w:val="2"/>
                <w:lang w:eastAsia="en-GB"/>
              </w:rPr>
            </w:pPr>
            <w:r>
              <w:rPr>
                <w:rFonts w:cs="Segoe UI"/>
                <w:kern w:val="2"/>
                <w:lang w:eastAsia="en-GB"/>
              </w:rPr>
              <w:tab/>
            </w:r>
            <w:r>
              <w:rPr>
                <w:rFonts w:eastAsiaTheme="minorEastAsia" w:cs="Segoe UI" w:hint="eastAsia"/>
                <w:kern w:val="2"/>
                <w:lang w:eastAsia="zh-TW"/>
              </w:rPr>
              <w:t>其中：其他形式</w:t>
            </w:r>
          </w:p>
        </w:tc>
        <w:tc>
          <w:tcPr>
            <w:tcW w:w="1431" w:type="dxa"/>
            <w:tcBorders>
              <w:top w:val="single" w:sz="4" w:space="0" w:color="BCBDBC"/>
              <w:left w:val="single" w:sz="4" w:space="0" w:color="auto"/>
              <w:bottom w:val="single" w:sz="4" w:space="0" w:color="BCBDBC"/>
              <w:right w:val="single" w:sz="4" w:space="0" w:color="auto"/>
            </w:tcBorders>
          </w:tcPr>
          <w:p w14:paraId="2DA5798C"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4034BC83" w14:textId="77777777" w:rsidR="00A9457B" w:rsidRDefault="00A9457B">
            <w:pPr>
              <w:pStyle w:val="TableText"/>
              <w:snapToGrid w:val="0"/>
              <w:rPr>
                <w:rFonts w:cs="Segoe UI"/>
                <w:kern w:val="2"/>
                <w:lang w:eastAsia="en-GB"/>
              </w:rPr>
            </w:pPr>
          </w:p>
        </w:tc>
      </w:tr>
      <w:tr w:rsidR="00A9457B" w14:paraId="523C139F"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635444A9" w14:textId="77777777" w:rsidR="00A9457B" w:rsidRDefault="00A9457B">
            <w:pPr>
              <w:pStyle w:val="TableText"/>
              <w:snapToGrid w:val="0"/>
              <w:rPr>
                <w:rFonts w:cs="Segoe UI"/>
                <w:kern w:val="2"/>
                <w:lang w:eastAsia="en-GB"/>
              </w:rPr>
            </w:pPr>
            <w:r>
              <w:rPr>
                <w:rFonts w:cs="Segoe UI"/>
                <w:kern w:val="2"/>
                <w:lang w:eastAsia="en-GB"/>
              </w:rPr>
              <w:t>8</w:t>
            </w:r>
          </w:p>
        </w:tc>
        <w:tc>
          <w:tcPr>
            <w:tcW w:w="5670" w:type="dxa"/>
            <w:vMerge/>
            <w:tcBorders>
              <w:top w:val="single" w:sz="4" w:space="0" w:color="auto"/>
              <w:left w:val="single" w:sz="4" w:space="0" w:color="auto"/>
              <w:bottom w:val="single" w:sz="4" w:space="0" w:color="BCBDBC"/>
              <w:right w:val="single" w:sz="4" w:space="0" w:color="auto"/>
            </w:tcBorders>
            <w:vAlign w:val="center"/>
            <w:hideMark/>
          </w:tcPr>
          <w:p w14:paraId="32DAE069" w14:textId="77777777" w:rsidR="00A9457B" w:rsidRDefault="00A9457B">
            <w:pPr>
              <w:rPr>
                <w:rFonts w:cs="Segoe UI"/>
                <w:noProof/>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11DFEDE5" w14:textId="77777777" w:rsidR="00A9457B" w:rsidRDefault="00A9457B" w:rsidP="00A9457B">
            <w:pPr>
              <w:pStyle w:val="TableText"/>
              <w:tabs>
                <w:tab w:val="left" w:pos="601"/>
              </w:tabs>
              <w:snapToGrid w:val="0"/>
              <w:ind w:leftChars="158" w:left="600" w:hangingChars="167" w:hanging="284"/>
              <w:rPr>
                <w:rFonts w:cs="Segoe UI"/>
                <w:kern w:val="2"/>
                <w:lang w:eastAsia="en-GB"/>
              </w:rPr>
            </w:pPr>
            <w:r>
              <w:rPr>
                <w:rFonts w:cs="Segoe UI"/>
                <w:kern w:val="2"/>
                <w:lang w:eastAsia="en-GB"/>
              </w:rPr>
              <w:tab/>
            </w:r>
            <w:r>
              <w:rPr>
                <w:rFonts w:eastAsiaTheme="minorEastAsia" w:cs="Segoe UI" w:hint="eastAsia"/>
                <w:kern w:val="2"/>
                <w:lang w:eastAsia="zh-TW"/>
              </w:rPr>
              <w:t>其中：遞延</w:t>
            </w:r>
          </w:p>
        </w:tc>
        <w:tc>
          <w:tcPr>
            <w:tcW w:w="1431" w:type="dxa"/>
            <w:tcBorders>
              <w:top w:val="single" w:sz="4" w:space="0" w:color="BCBDBC"/>
              <w:left w:val="single" w:sz="4" w:space="0" w:color="auto"/>
              <w:bottom w:val="single" w:sz="4" w:space="0" w:color="BCBDBC"/>
              <w:right w:val="single" w:sz="4" w:space="0" w:color="auto"/>
            </w:tcBorders>
          </w:tcPr>
          <w:p w14:paraId="56B6242F"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24970F8B" w14:textId="77777777" w:rsidR="00A9457B" w:rsidRDefault="00A9457B">
            <w:pPr>
              <w:pStyle w:val="TableText"/>
              <w:snapToGrid w:val="0"/>
              <w:rPr>
                <w:rFonts w:cs="Segoe UI"/>
                <w:kern w:val="2"/>
                <w:lang w:eastAsia="en-GB"/>
              </w:rPr>
            </w:pPr>
          </w:p>
        </w:tc>
      </w:tr>
      <w:tr w:rsidR="00A9457B" w14:paraId="6CA0CD60" w14:textId="77777777" w:rsidTr="00A9457B">
        <w:trPr>
          <w:cantSplit/>
        </w:trPr>
        <w:tc>
          <w:tcPr>
            <w:tcW w:w="709" w:type="dxa"/>
            <w:gridSpan w:val="2"/>
            <w:tcBorders>
              <w:top w:val="single" w:sz="4" w:space="0" w:color="auto"/>
              <w:left w:val="nil"/>
              <w:bottom w:val="single" w:sz="4" w:space="0" w:color="BCBDBC"/>
              <w:right w:val="single" w:sz="4" w:space="0" w:color="auto"/>
            </w:tcBorders>
            <w:hideMark/>
          </w:tcPr>
          <w:p w14:paraId="65C9A994" w14:textId="77777777" w:rsidR="00A9457B" w:rsidRDefault="00A9457B">
            <w:pPr>
              <w:pStyle w:val="TableText"/>
              <w:snapToGrid w:val="0"/>
              <w:rPr>
                <w:rFonts w:cs="Segoe UI"/>
                <w:kern w:val="2"/>
                <w:lang w:eastAsia="en-GB"/>
              </w:rPr>
            </w:pPr>
            <w:r>
              <w:rPr>
                <w:rFonts w:cs="Segoe UI"/>
                <w:kern w:val="2"/>
                <w:lang w:eastAsia="en-GB"/>
              </w:rPr>
              <w:t>9</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47B8569" w14:textId="77777777" w:rsidR="00A9457B" w:rsidRDefault="00A9457B">
            <w:pPr>
              <w:pStyle w:val="TableText"/>
              <w:snapToGrid w:val="0"/>
              <w:rPr>
                <w:rFonts w:cs="Segoe UI"/>
                <w:kern w:val="2"/>
                <w:lang w:eastAsia="en-GB"/>
              </w:rPr>
            </w:pPr>
            <w:r>
              <w:rPr>
                <w:rFonts w:eastAsiaTheme="minorEastAsia" w:cs="Segoe UI" w:hint="eastAsia"/>
                <w:kern w:val="2"/>
                <w:lang w:eastAsia="zh-TW"/>
              </w:rPr>
              <w:t>浮動薪酬</w:t>
            </w:r>
          </w:p>
        </w:tc>
        <w:tc>
          <w:tcPr>
            <w:tcW w:w="4394" w:type="dxa"/>
            <w:tcBorders>
              <w:top w:val="single" w:sz="4" w:space="0" w:color="auto"/>
              <w:left w:val="single" w:sz="4" w:space="0" w:color="auto"/>
              <w:bottom w:val="single" w:sz="4" w:space="0" w:color="BCBDBC"/>
              <w:right w:val="single" w:sz="4" w:space="0" w:color="auto"/>
            </w:tcBorders>
            <w:hideMark/>
          </w:tcPr>
          <w:p w14:paraId="11B9BD2D" w14:textId="77777777" w:rsidR="00A9457B" w:rsidRDefault="00A9457B">
            <w:pPr>
              <w:pStyle w:val="TableText"/>
              <w:snapToGrid w:val="0"/>
              <w:rPr>
                <w:rFonts w:cs="Segoe UI"/>
                <w:kern w:val="2"/>
                <w:lang w:eastAsia="en-GB"/>
              </w:rPr>
            </w:pPr>
            <w:r>
              <w:rPr>
                <w:rFonts w:eastAsiaTheme="minorEastAsia" w:cs="Segoe UI" w:hint="eastAsia"/>
                <w:kern w:val="2"/>
                <w:lang w:eastAsia="zh-TW"/>
              </w:rPr>
              <w:t>員工數目</w:t>
            </w:r>
          </w:p>
        </w:tc>
        <w:tc>
          <w:tcPr>
            <w:tcW w:w="1431" w:type="dxa"/>
            <w:tcBorders>
              <w:top w:val="single" w:sz="4" w:space="0" w:color="auto"/>
              <w:left w:val="single" w:sz="4" w:space="0" w:color="auto"/>
              <w:bottom w:val="single" w:sz="4" w:space="0" w:color="BCBDBC"/>
              <w:right w:val="single" w:sz="4" w:space="0" w:color="auto"/>
            </w:tcBorders>
          </w:tcPr>
          <w:p w14:paraId="1D9B2B63" w14:textId="77777777" w:rsidR="00A9457B" w:rsidRDefault="00A9457B">
            <w:pPr>
              <w:pStyle w:val="TableText"/>
              <w:snapToGrid w:val="0"/>
              <w:rPr>
                <w:rFonts w:cs="Segoe UI"/>
                <w:kern w:val="2"/>
                <w:lang w:eastAsia="en-GB"/>
              </w:rPr>
            </w:pPr>
          </w:p>
        </w:tc>
        <w:tc>
          <w:tcPr>
            <w:tcW w:w="1404" w:type="dxa"/>
            <w:tcBorders>
              <w:top w:val="single" w:sz="4" w:space="0" w:color="auto"/>
              <w:left w:val="single" w:sz="4" w:space="0" w:color="auto"/>
              <w:bottom w:val="single" w:sz="4" w:space="0" w:color="BCBDBC"/>
              <w:right w:val="single" w:sz="4" w:space="0" w:color="auto"/>
            </w:tcBorders>
          </w:tcPr>
          <w:p w14:paraId="64DC25BE" w14:textId="77777777" w:rsidR="00A9457B" w:rsidRDefault="00A9457B">
            <w:pPr>
              <w:pStyle w:val="TableText"/>
              <w:snapToGrid w:val="0"/>
              <w:rPr>
                <w:rFonts w:cs="Segoe UI"/>
                <w:kern w:val="2"/>
                <w:lang w:eastAsia="en-GB"/>
              </w:rPr>
            </w:pPr>
          </w:p>
        </w:tc>
      </w:tr>
      <w:tr w:rsidR="00A9457B" w14:paraId="4BFC7DC7"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6FF3D688" w14:textId="77777777" w:rsidR="00A9457B" w:rsidRDefault="00A9457B">
            <w:pPr>
              <w:pStyle w:val="TableText"/>
              <w:snapToGrid w:val="0"/>
              <w:rPr>
                <w:rFonts w:cs="Segoe UI"/>
                <w:kern w:val="2"/>
                <w:lang w:eastAsia="en-GB"/>
              </w:rPr>
            </w:pPr>
            <w:r>
              <w:rPr>
                <w:rFonts w:cs="Segoe UI"/>
                <w:kern w:val="2"/>
                <w:lang w:eastAsia="en-GB"/>
              </w:rPr>
              <w:t>10</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87A0694" w14:textId="77777777" w:rsidR="00A9457B" w:rsidRDefault="00A9457B">
            <w:pPr>
              <w:rPr>
                <w:rFonts w:cs="Segoe UI"/>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7C5B609C" w14:textId="77777777" w:rsidR="00A9457B" w:rsidRDefault="00A9457B">
            <w:pPr>
              <w:pStyle w:val="TableText"/>
              <w:snapToGrid w:val="0"/>
              <w:rPr>
                <w:rFonts w:cs="Segoe UI"/>
                <w:kern w:val="2"/>
                <w:lang w:eastAsia="en-GB"/>
              </w:rPr>
            </w:pPr>
            <w:r>
              <w:rPr>
                <w:rFonts w:eastAsiaTheme="minorEastAsia" w:cs="Segoe UI" w:hint="eastAsia"/>
                <w:kern w:val="2"/>
                <w:lang w:eastAsia="zh-TW"/>
              </w:rPr>
              <w:t>浮動薪酬總額</w:t>
            </w:r>
          </w:p>
        </w:tc>
        <w:tc>
          <w:tcPr>
            <w:tcW w:w="1431" w:type="dxa"/>
            <w:tcBorders>
              <w:top w:val="single" w:sz="4" w:space="0" w:color="BCBDBC"/>
              <w:left w:val="single" w:sz="4" w:space="0" w:color="auto"/>
              <w:bottom w:val="single" w:sz="4" w:space="0" w:color="BCBDBC"/>
              <w:right w:val="single" w:sz="4" w:space="0" w:color="auto"/>
            </w:tcBorders>
          </w:tcPr>
          <w:p w14:paraId="589642D2"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178E5FC3" w14:textId="77777777" w:rsidR="00A9457B" w:rsidRDefault="00A9457B">
            <w:pPr>
              <w:pStyle w:val="TableText"/>
              <w:snapToGrid w:val="0"/>
              <w:rPr>
                <w:rFonts w:cs="Segoe UI"/>
                <w:kern w:val="2"/>
                <w:lang w:eastAsia="en-GB"/>
              </w:rPr>
            </w:pPr>
          </w:p>
        </w:tc>
      </w:tr>
      <w:tr w:rsidR="00A9457B" w14:paraId="5DA594F7"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30720F24" w14:textId="77777777" w:rsidR="00A9457B" w:rsidRDefault="00A9457B">
            <w:pPr>
              <w:pStyle w:val="TableText"/>
              <w:snapToGrid w:val="0"/>
              <w:rPr>
                <w:rFonts w:cs="Segoe UI"/>
                <w:kern w:val="2"/>
                <w:lang w:eastAsia="en-GB"/>
              </w:rPr>
            </w:pPr>
            <w:r>
              <w:rPr>
                <w:rFonts w:cs="Segoe UI"/>
                <w:kern w:val="2"/>
                <w:lang w:eastAsia="en-GB"/>
              </w:rPr>
              <w:t>11</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2BB955F" w14:textId="77777777" w:rsidR="00A9457B" w:rsidRDefault="00A9457B">
            <w:pPr>
              <w:rPr>
                <w:rFonts w:cs="Segoe UI"/>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115E2752" w14:textId="77777777" w:rsidR="00A9457B" w:rsidRDefault="00A9457B" w:rsidP="00A9457B">
            <w:pPr>
              <w:pStyle w:val="TableText"/>
              <w:tabs>
                <w:tab w:val="left" w:pos="317"/>
              </w:tabs>
              <w:snapToGrid w:val="0"/>
              <w:ind w:left="316" w:hangingChars="186" w:hanging="316"/>
              <w:rPr>
                <w:rFonts w:cs="Segoe UI"/>
                <w:kern w:val="2"/>
                <w:lang w:eastAsia="en-GB"/>
              </w:rPr>
            </w:pPr>
            <w:r>
              <w:rPr>
                <w:rFonts w:cs="Segoe UI"/>
                <w:kern w:val="2"/>
                <w:lang w:eastAsia="en-GB"/>
              </w:rPr>
              <w:tab/>
            </w:r>
            <w:r>
              <w:rPr>
                <w:rFonts w:eastAsiaTheme="minorEastAsia" w:cs="Segoe UI" w:hint="eastAsia"/>
                <w:kern w:val="2"/>
                <w:lang w:eastAsia="zh-TW"/>
              </w:rPr>
              <w:t>其中：現金形式</w:t>
            </w:r>
          </w:p>
        </w:tc>
        <w:tc>
          <w:tcPr>
            <w:tcW w:w="1431" w:type="dxa"/>
            <w:tcBorders>
              <w:top w:val="single" w:sz="4" w:space="0" w:color="BCBDBC"/>
              <w:left w:val="single" w:sz="4" w:space="0" w:color="auto"/>
              <w:bottom w:val="single" w:sz="4" w:space="0" w:color="BCBDBC"/>
              <w:right w:val="single" w:sz="4" w:space="0" w:color="auto"/>
            </w:tcBorders>
          </w:tcPr>
          <w:p w14:paraId="6417250A"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66F4EFEF" w14:textId="77777777" w:rsidR="00A9457B" w:rsidRDefault="00A9457B">
            <w:pPr>
              <w:pStyle w:val="TableText"/>
              <w:snapToGrid w:val="0"/>
              <w:rPr>
                <w:rFonts w:cs="Segoe UI"/>
                <w:kern w:val="2"/>
                <w:lang w:eastAsia="en-GB"/>
              </w:rPr>
            </w:pPr>
          </w:p>
        </w:tc>
      </w:tr>
      <w:tr w:rsidR="00A9457B" w14:paraId="0E9DE963"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3450AC36" w14:textId="77777777" w:rsidR="00A9457B" w:rsidRDefault="00A9457B">
            <w:pPr>
              <w:pStyle w:val="TableText"/>
              <w:snapToGrid w:val="0"/>
              <w:rPr>
                <w:rFonts w:cs="Segoe UI"/>
                <w:kern w:val="2"/>
                <w:lang w:eastAsia="en-GB"/>
              </w:rPr>
            </w:pPr>
            <w:r>
              <w:rPr>
                <w:rFonts w:cs="Segoe UI"/>
                <w:kern w:val="2"/>
                <w:lang w:eastAsia="en-GB"/>
              </w:rPr>
              <w:t>12</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5EB5D59" w14:textId="77777777" w:rsidR="00A9457B" w:rsidRDefault="00A9457B">
            <w:pPr>
              <w:rPr>
                <w:rFonts w:cs="Segoe UI"/>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0168EEFC" w14:textId="77777777" w:rsidR="00A9457B" w:rsidRDefault="00A9457B" w:rsidP="00A9457B">
            <w:pPr>
              <w:pStyle w:val="TableText"/>
              <w:tabs>
                <w:tab w:val="left" w:pos="601"/>
              </w:tabs>
              <w:snapToGrid w:val="0"/>
              <w:ind w:leftChars="158" w:left="600" w:hangingChars="167" w:hanging="284"/>
              <w:rPr>
                <w:rFonts w:cs="Segoe UI"/>
                <w:kern w:val="2"/>
                <w:lang w:eastAsia="en-GB"/>
              </w:rPr>
            </w:pPr>
            <w:r>
              <w:rPr>
                <w:rFonts w:cs="Segoe UI"/>
                <w:kern w:val="2"/>
                <w:lang w:eastAsia="en-GB"/>
              </w:rPr>
              <w:tab/>
            </w:r>
            <w:r>
              <w:rPr>
                <w:rFonts w:eastAsiaTheme="minorEastAsia" w:cs="Segoe UI" w:hint="eastAsia"/>
                <w:kern w:val="2"/>
                <w:lang w:eastAsia="zh-TW"/>
              </w:rPr>
              <w:t>其中：遞延</w:t>
            </w:r>
          </w:p>
        </w:tc>
        <w:tc>
          <w:tcPr>
            <w:tcW w:w="1431" w:type="dxa"/>
            <w:tcBorders>
              <w:top w:val="single" w:sz="4" w:space="0" w:color="BCBDBC"/>
              <w:left w:val="single" w:sz="4" w:space="0" w:color="auto"/>
              <w:bottom w:val="single" w:sz="4" w:space="0" w:color="BCBDBC"/>
              <w:right w:val="single" w:sz="4" w:space="0" w:color="auto"/>
            </w:tcBorders>
          </w:tcPr>
          <w:p w14:paraId="31A4F03F"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1FA16B4B" w14:textId="77777777" w:rsidR="00A9457B" w:rsidRDefault="00A9457B">
            <w:pPr>
              <w:pStyle w:val="TableText"/>
              <w:snapToGrid w:val="0"/>
              <w:rPr>
                <w:rFonts w:cs="Segoe UI"/>
                <w:kern w:val="2"/>
                <w:lang w:eastAsia="en-GB"/>
              </w:rPr>
            </w:pPr>
          </w:p>
        </w:tc>
      </w:tr>
      <w:tr w:rsidR="00A9457B" w14:paraId="12BF6DFC"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5B0F4195" w14:textId="77777777" w:rsidR="00A9457B" w:rsidRDefault="00A9457B">
            <w:pPr>
              <w:pStyle w:val="TableText"/>
              <w:snapToGrid w:val="0"/>
              <w:rPr>
                <w:rFonts w:cs="Segoe UI"/>
                <w:kern w:val="2"/>
                <w:lang w:eastAsia="en-GB"/>
              </w:rPr>
            </w:pPr>
            <w:r>
              <w:rPr>
                <w:rFonts w:cs="Segoe UI"/>
                <w:kern w:val="2"/>
                <w:lang w:eastAsia="en-GB"/>
              </w:rPr>
              <w:t>13</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353E5AD" w14:textId="77777777" w:rsidR="00A9457B" w:rsidRDefault="00A9457B">
            <w:pPr>
              <w:rPr>
                <w:rFonts w:cs="Segoe UI"/>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749F1F9F" w14:textId="77777777" w:rsidR="00A9457B" w:rsidRDefault="00A9457B" w:rsidP="00A9457B">
            <w:pPr>
              <w:pStyle w:val="TableText"/>
              <w:tabs>
                <w:tab w:val="left" w:pos="317"/>
              </w:tabs>
              <w:snapToGrid w:val="0"/>
              <w:ind w:left="316" w:hangingChars="186" w:hanging="316"/>
              <w:rPr>
                <w:rFonts w:cs="Segoe UI"/>
                <w:kern w:val="2"/>
                <w:lang w:eastAsia="zh-TW"/>
              </w:rPr>
            </w:pPr>
            <w:r>
              <w:rPr>
                <w:rFonts w:cs="Segoe UI"/>
                <w:kern w:val="2"/>
                <w:lang w:eastAsia="zh-TW"/>
              </w:rPr>
              <w:tab/>
            </w:r>
            <w:r>
              <w:rPr>
                <w:rFonts w:eastAsiaTheme="minorEastAsia" w:cs="Segoe UI" w:hint="eastAsia"/>
                <w:kern w:val="2"/>
                <w:lang w:eastAsia="zh-TW"/>
              </w:rPr>
              <w:t>其中：股票或其他股票掛鈎</w:t>
            </w:r>
            <w:r>
              <w:rPr>
                <w:rFonts w:eastAsia="細明體" w:cs="Segoe UI" w:hint="eastAsia"/>
                <w:kern w:val="2"/>
                <w:lang w:eastAsia="zh-TW"/>
              </w:rPr>
              <w:t>工具</w:t>
            </w:r>
          </w:p>
        </w:tc>
        <w:tc>
          <w:tcPr>
            <w:tcW w:w="1431" w:type="dxa"/>
            <w:tcBorders>
              <w:top w:val="single" w:sz="4" w:space="0" w:color="BCBDBC"/>
              <w:left w:val="single" w:sz="4" w:space="0" w:color="auto"/>
              <w:bottom w:val="single" w:sz="4" w:space="0" w:color="BCBDBC"/>
              <w:right w:val="single" w:sz="4" w:space="0" w:color="auto"/>
            </w:tcBorders>
          </w:tcPr>
          <w:p w14:paraId="178D07AE" w14:textId="77777777" w:rsidR="00A9457B" w:rsidRDefault="00A9457B">
            <w:pPr>
              <w:pStyle w:val="TableText"/>
              <w:snapToGrid w:val="0"/>
              <w:rPr>
                <w:rFonts w:cs="Segoe UI"/>
                <w:kern w:val="2"/>
                <w:lang w:eastAsia="zh-TW"/>
              </w:rPr>
            </w:pPr>
          </w:p>
        </w:tc>
        <w:tc>
          <w:tcPr>
            <w:tcW w:w="1404" w:type="dxa"/>
            <w:tcBorders>
              <w:top w:val="single" w:sz="4" w:space="0" w:color="BCBDBC"/>
              <w:left w:val="single" w:sz="4" w:space="0" w:color="auto"/>
              <w:bottom w:val="single" w:sz="4" w:space="0" w:color="BCBDBC"/>
              <w:right w:val="single" w:sz="4" w:space="0" w:color="auto"/>
            </w:tcBorders>
          </w:tcPr>
          <w:p w14:paraId="186C6DDD" w14:textId="77777777" w:rsidR="00A9457B" w:rsidRDefault="00A9457B">
            <w:pPr>
              <w:pStyle w:val="TableText"/>
              <w:snapToGrid w:val="0"/>
              <w:rPr>
                <w:rFonts w:cs="Segoe UI"/>
                <w:kern w:val="2"/>
                <w:lang w:eastAsia="zh-TW"/>
              </w:rPr>
            </w:pPr>
          </w:p>
        </w:tc>
      </w:tr>
      <w:tr w:rsidR="00A9457B" w14:paraId="0F13EBAD"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54EB26F3" w14:textId="77777777" w:rsidR="00A9457B" w:rsidRDefault="00A9457B">
            <w:pPr>
              <w:pStyle w:val="TableText"/>
              <w:snapToGrid w:val="0"/>
              <w:rPr>
                <w:rFonts w:cs="Segoe UI"/>
                <w:kern w:val="2"/>
                <w:lang w:eastAsia="en-GB"/>
              </w:rPr>
            </w:pPr>
            <w:r>
              <w:rPr>
                <w:rFonts w:cs="Segoe UI"/>
                <w:kern w:val="2"/>
                <w:lang w:eastAsia="en-GB"/>
              </w:rPr>
              <w:t>14</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C422047" w14:textId="77777777" w:rsidR="00A9457B" w:rsidRDefault="00A9457B">
            <w:pPr>
              <w:rPr>
                <w:rFonts w:cs="Segoe UI"/>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6FDD2220" w14:textId="77777777" w:rsidR="00A9457B" w:rsidRDefault="00A9457B" w:rsidP="00A9457B">
            <w:pPr>
              <w:pStyle w:val="TableText"/>
              <w:tabs>
                <w:tab w:val="left" w:pos="601"/>
              </w:tabs>
              <w:snapToGrid w:val="0"/>
              <w:ind w:leftChars="158" w:left="600" w:hangingChars="167" w:hanging="284"/>
              <w:rPr>
                <w:rFonts w:cs="Segoe UI"/>
                <w:kern w:val="2"/>
                <w:lang w:eastAsia="en-GB"/>
              </w:rPr>
            </w:pPr>
            <w:r>
              <w:rPr>
                <w:rFonts w:cs="Segoe UI"/>
                <w:kern w:val="2"/>
                <w:lang w:eastAsia="en-GB"/>
              </w:rPr>
              <w:tab/>
            </w:r>
            <w:r>
              <w:rPr>
                <w:rFonts w:eastAsiaTheme="minorEastAsia" w:cs="Segoe UI" w:hint="eastAsia"/>
                <w:kern w:val="2"/>
                <w:lang w:eastAsia="zh-TW"/>
              </w:rPr>
              <w:t>其中：遞延</w:t>
            </w:r>
          </w:p>
        </w:tc>
        <w:tc>
          <w:tcPr>
            <w:tcW w:w="1431" w:type="dxa"/>
            <w:tcBorders>
              <w:top w:val="single" w:sz="4" w:space="0" w:color="BCBDBC"/>
              <w:left w:val="single" w:sz="4" w:space="0" w:color="auto"/>
              <w:bottom w:val="single" w:sz="4" w:space="0" w:color="BCBDBC"/>
              <w:right w:val="single" w:sz="4" w:space="0" w:color="auto"/>
            </w:tcBorders>
          </w:tcPr>
          <w:p w14:paraId="117319C4"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07B03CAA" w14:textId="77777777" w:rsidR="00A9457B" w:rsidRDefault="00A9457B">
            <w:pPr>
              <w:pStyle w:val="TableText"/>
              <w:snapToGrid w:val="0"/>
              <w:rPr>
                <w:rFonts w:cs="Segoe UI"/>
                <w:kern w:val="2"/>
                <w:lang w:eastAsia="en-GB"/>
              </w:rPr>
            </w:pPr>
          </w:p>
        </w:tc>
      </w:tr>
      <w:tr w:rsidR="00A9457B" w14:paraId="25C74326" w14:textId="77777777" w:rsidTr="00A9457B">
        <w:trPr>
          <w:cantSplit/>
        </w:trPr>
        <w:tc>
          <w:tcPr>
            <w:tcW w:w="709" w:type="dxa"/>
            <w:gridSpan w:val="2"/>
            <w:tcBorders>
              <w:top w:val="single" w:sz="4" w:space="0" w:color="BCBDBC"/>
              <w:left w:val="nil"/>
              <w:bottom w:val="single" w:sz="4" w:space="0" w:color="BCBDBC"/>
              <w:right w:val="single" w:sz="4" w:space="0" w:color="auto"/>
            </w:tcBorders>
            <w:hideMark/>
          </w:tcPr>
          <w:p w14:paraId="0A44FBE1" w14:textId="77777777" w:rsidR="00A9457B" w:rsidRDefault="00A9457B">
            <w:pPr>
              <w:pStyle w:val="TableText"/>
              <w:snapToGrid w:val="0"/>
              <w:rPr>
                <w:rFonts w:cs="Segoe UI"/>
                <w:kern w:val="2"/>
                <w:lang w:eastAsia="en-GB"/>
              </w:rPr>
            </w:pPr>
            <w:r>
              <w:rPr>
                <w:rFonts w:cs="Segoe UI"/>
                <w:kern w:val="2"/>
                <w:lang w:eastAsia="en-GB"/>
              </w:rPr>
              <w:t>15</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37FAAC7" w14:textId="77777777" w:rsidR="00A9457B" w:rsidRDefault="00A9457B">
            <w:pPr>
              <w:rPr>
                <w:rFonts w:cs="Segoe UI"/>
                <w:kern w:val="2"/>
                <w:sz w:val="17"/>
                <w:lang w:eastAsia="en-GB"/>
              </w:rPr>
            </w:pPr>
          </w:p>
        </w:tc>
        <w:tc>
          <w:tcPr>
            <w:tcW w:w="4394" w:type="dxa"/>
            <w:tcBorders>
              <w:top w:val="single" w:sz="4" w:space="0" w:color="BCBDBC"/>
              <w:left w:val="single" w:sz="4" w:space="0" w:color="auto"/>
              <w:bottom w:val="single" w:sz="4" w:space="0" w:color="BCBDBC"/>
              <w:right w:val="single" w:sz="4" w:space="0" w:color="auto"/>
            </w:tcBorders>
            <w:hideMark/>
          </w:tcPr>
          <w:p w14:paraId="23C74513" w14:textId="77777777" w:rsidR="00A9457B" w:rsidRDefault="00A9457B" w:rsidP="00A9457B">
            <w:pPr>
              <w:pStyle w:val="TableText"/>
              <w:tabs>
                <w:tab w:val="left" w:pos="317"/>
              </w:tabs>
              <w:snapToGrid w:val="0"/>
              <w:ind w:left="316" w:hangingChars="186" w:hanging="316"/>
              <w:rPr>
                <w:rFonts w:cs="Segoe UI"/>
                <w:kern w:val="2"/>
                <w:lang w:eastAsia="en-GB"/>
              </w:rPr>
            </w:pPr>
            <w:r>
              <w:rPr>
                <w:rFonts w:cs="Segoe UI"/>
                <w:kern w:val="2"/>
                <w:lang w:eastAsia="en-GB"/>
              </w:rPr>
              <w:tab/>
            </w:r>
            <w:r>
              <w:rPr>
                <w:rFonts w:eastAsiaTheme="minorEastAsia" w:cs="Segoe UI" w:hint="eastAsia"/>
                <w:kern w:val="2"/>
                <w:lang w:eastAsia="zh-TW"/>
              </w:rPr>
              <w:t>其中：其他形式</w:t>
            </w:r>
          </w:p>
        </w:tc>
        <w:tc>
          <w:tcPr>
            <w:tcW w:w="1431" w:type="dxa"/>
            <w:tcBorders>
              <w:top w:val="single" w:sz="4" w:space="0" w:color="BCBDBC"/>
              <w:left w:val="single" w:sz="4" w:space="0" w:color="auto"/>
              <w:bottom w:val="single" w:sz="4" w:space="0" w:color="BCBDBC"/>
              <w:right w:val="single" w:sz="4" w:space="0" w:color="auto"/>
            </w:tcBorders>
          </w:tcPr>
          <w:p w14:paraId="2EB1A6E5"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BCBDBC"/>
              <w:right w:val="single" w:sz="4" w:space="0" w:color="auto"/>
            </w:tcBorders>
          </w:tcPr>
          <w:p w14:paraId="705C737C" w14:textId="77777777" w:rsidR="00A9457B" w:rsidRDefault="00A9457B">
            <w:pPr>
              <w:pStyle w:val="TableText"/>
              <w:snapToGrid w:val="0"/>
              <w:rPr>
                <w:rFonts w:cs="Segoe UI"/>
                <w:kern w:val="2"/>
                <w:lang w:eastAsia="en-GB"/>
              </w:rPr>
            </w:pPr>
          </w:p>
        </w:tc>
      </w:tr>
      <w:tr w:rsidR="00A9457B" w14:paraId="229E00A5" w14:textId="77777777" w:rsidTr="00A9457B">
        <w:trPr>
          <w:cantSplit/>
        </w:trPr>
        <w:tc>
          <w:tcPr>
            <w:tcW w:w="709" w:type="dxa"/>
            <w:gridSpan w:val="2"/>
            <w:tcBorders>
              <w:top w:val="single" w:sz="4" w:space="0" w:color="BCBDBC"/>
              <w:left w:val="nil"/>
              <w:bottom w:val="single" w:sz="4" w:space="0" w:color="auto"/>
              <w:right w:val="single" w:sz="4" w:space="0" w:color="auto"/>
            </w:tcBorders>
            <w:hideMark/>
          </w:tcPr>
          <w:p w14:paraId="6867E03E" w14:textId="77777777" w:rsidR="00A9457B" w:rsidRDefault="00A9457B">
            <w:pPr>
              <w:pStyle w:val="TableText"/>
              <w:snapToGrid w:val="0"/>
              <w:rPr>
                <w:rFonts w:cs="Segoe UI"/>
                <w:kern w:val="2"/>
                <w:lang w:eastAsia="en-GB"/>
              </w:rPr>
            </w:pPr>
            <w:r>
              <w:rPr>
                <w:rFonts w:cs="Segoe UI"/>
                <w:kern w:val="2"/>
                <w:lang w:eastAsia="en-GB"/>
              </w:rPr>
              <w:t>16</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412A9C0" w14:textId="77777777" w:rsidR="00A9457B" w:rsidRDefault="00A9457B">
            <w:pPr>
              <w:rPr>
                <w:rFonts w:cs="Segoe UI"/>
                <w:kern w:val="2"/>
                <w:sz w:val="17"/>
                <w:lang w:eastAsia="en-GB"/>
              </w:rPr>
            </w:pPr>
          </w:p>
        </w:tc>
        <w:tc>
          <w:tcPr>
            <w:tcW w:w="4394" w:type="dxa"/>
            <w:tcBorders>
              <w:top w:val="single" w:sz="4" w:space="0" w:color="BCBDBC"/>
              <w:left w:val="single" w:sz="4" w:space="0" w:color="auto"/>
              <w:bottom w:val="single" w:sz="4" w:space="0" w:color="auto"/>
              <w:right w:val="single" w:sz="4" w:space="0" w:color="auto"/>
            </w:tcBorders>
            <w:hideMark/>
          </w:tcPr>
          <w:p w14:paraId="0B0714ED" w14:textId="77777777" w:rsidR="00A9457B" w:rsidRDefault="00A9457B" w:rsidP="00A9457B">
            <w:pPr>
              <w:pStyle w:val="TableText"/>
              <w:tabs>
                <w:tab w:val="left" w:pos="601"/>
              </w:tabs>
              <w:snapToGrid w:val="0"/>
              <w:ind w:leftChars="158" w:left="600" w:hangingChars="167" w:hanging="284"/>
              <w:rPr>
                <w:rFonts w:cs="Segoe UI"/>
                <w:kern w:val="2"/>
                <w:lang w:eastAsia="en-GB"/>
              </w:rPr>
            </w:pPr>
            <w:r>
              <w:rPr>
                <w:rFonts w:cs="Segoe UI"/>
                <w:kern w:val="2"/>
                <w:lang w:eastAsia="en-GB"/>
              </w:rPr>
              <w:tab/>
            </w:r>
            <w:r>
              <w:rPr>
                <w:rFonts w:eastAsiaTheme="minorEastAsia" w:cs="Segoe UI" w:hint="eastAsia"/>
                <w:kern w:val="2"/>
                <w:lang w:eastAsia="zh-TW"/>
              </w:rPr>
              <w:t>其中：遞延</w:t>
            </w:r>
          </w:p>
        </w:tc>
        <w:tc>
          <w:tcPr>
            <w:tcW w:w="1431" w:type="dxa"/>
            <w:tcBorders>
              <w:top w:val="single" w:sz="4" w:space="0" w:color="BCBDBC"/>
              <w:left w:val="single" w:sz="4" w:space="0" w:color="auto"/>
              <w:bottom w:val="single" w:sz="4" w:space="0" w:color="auto"/>
              <w:right w:val="single" w:sz="4" w:space="0" w:color="auto"/>
            </w:tcBorders>
          </w:tcPr>
          <w:p w14:paraId="29BA8A69" w14:textId="77777777" w:rsidR="00A9457B" w:rsidRDefault="00A9457B">
            <w:pPr>
              <w:pStyle w:val="TableText"/>
              <w:snapToGrid w:val="0"/>
              <w:rPr>
                <w:rFonts w:cs="Segoe UI"/>
                <w:kern w:val="2"/>
                <w:lang w:eastAsia="en-GB"/>
              </w:rPr>
            </w:pPr>
          </w:p>
        </w:tc>
        <w:tc>
          <w:tcPr>
            <w:tcW w:w="1404" w:type="dxa"/>
            <w:tcBorders>
              <w:top w:val="single" w:sz="4" w:space="0" w:color="BCBDBC"/>
              <w:left w:val="single" w:sz="4" w:space="0" w:color="auto"/>
              <w:bottom w:val="single" w:sz="4" w:space="0" w:color="auto"/>
              <w:right w:val="single" w:sz="4" w:space="0" w:color="auto"/>
            </w:tcBorders>
          </w:tcPr>
          <w:p w14:paraId="745CAE77" w14:textId="77777777" w:rsidR="00A9457B" w:rsidRDefault="00A9457B">
            <w:pPr>
              <w:pStyle w:val="TableText"/>
              <w:snapToGrid w:val="0"/>
              <w:rPr>
                <w:rFonts w:cs="Segoe UI"/>
                <w:kern w:val="2"/>
                <w:lang w:eastAsia="en-GB"/>
              </w:rPr>
            </w:pPr>
          </w:p>
        </w:tc>
      </w:tr>
      <w:tr w:rsidR="00A9457B" w14:paraId="3B9F439C" w14:textId="77777777" w:rsidTr="00A9457B">
        <w:trPr>
          <w:cantSplit/>
        </w:trPr>
        <w:tc>
          <w:tcPr>
            <w:tcW w:w="709" w:type="dxa"/>
            <w:gridSpan w:val="2"/>
            <w:tcBorders>
              <w:top w:val="single" w:sz="4" w:space="0" w:color="auto"/>
              <w:left w:val="nil"/>
              <w:bottom w:val="single" w:sz="4" w:space="0" w:color="auto"/>
              <w:right w:val="single" w:sz="4" w:space="0" w:color="auto"/>
            </w:tcBorders>
            <w:hideMark/>
          </w:tcPr>
          <w:p w14:paraId="228B85B2" w14:textId="77777777" w:rsidR="00A9457B" w:rsidRDefault="00A9457B">
            <w:pPr>
              <w:pStyle w:val="TableText"/>
              <w:snapToGrid w:val="0"/>
              <w:rPr>
                <w:rFonts w:cs="Segoe UI"/>
                <w:b/>
                <w:kern w:val="2"/>
                <w:lang w:eastAsia="en-GB"/>
              </w:rPr>
            </w:pPr>
            <w:r>
              <w:rPr>
                <w:rFonts w:cs="Segoe UI"/>
                <w:b/>
                <w:kern w:val="2"/>
                <w:lang w:eastAsia="en-GB"/>
              </w:rPr>
              <w:t>17</w:t>
            </w:r>
          </w:p>
        </w:tc>
        <w:tc>
          <w:tcPr>
            <w:tcW w:w="5670" w:type="dxa"/>
            <w:gridSpan w:val="2"/>
            <w:tcBorders>
              <w:top w:val="single" w:sz="4" w:space="0" w:color="auto"/>
              <w:left w:val="single" w:sz="4" w:space="0" w:color="auto"/>
              <w:bottom w:val="single" w:sz="4" w:space="0" w:color="auto"/>
              <w:right w:val="single" w:sz="4" w:space="0" w:color="auto"/>
            </w:tcBorders>
            <w:hideMark/>
          </w:tcPr>
          <w:p w14:paraId="5D94C9A4" w14:textId="77777777" w:rsidR="00A9457B" w:rsidRDefault="00A9457B">
            <w:pPr>
              <w:pStyle w:val="TableText"/>
              <w:snapToGrid w:val="0"/>
              <w:rPr>
                <w:rFonts w:cs="Segoe UI"/>
                <w:b/>
                <w:noProof/>
                <w:kern w:val="2"/>
                <w:lang w:eastAsia="en-GB"/>
              </w:rPr>
            </w:pPr>
            <w:r>
              <w:rPr>
                <w:rFonts w:eastAsiaTheme="minorEastAsia" w:cs="Segoe UI" w:hint="eastAsia"/>
                <w:b/>
                <w:kern w:val="2"/>
                <w:lang w:eastAsia="zh-TW"/>
              </w:rPr>
              <w:t>薪酬總額</w:t>
            </w:r>
          </w:p>
        </w:tc>
        <w:tc>
          <w:tcPr>
            <w:tcW w:w="1431" w:type="dxa"/>
            <w:tcBorders>
              <w:top w:val="single" w:sz="4" w:space="0" w:color="auto"/>
              <w:left w:val="single" w:sz="4" w:space="0" w:color="auto"/>
              <w:bottom w:val="single" w:sz="4" w:space="0" w:color="auto"/>
              <w:right w:val="single" w:sz="4" w:space="0" w:color="auto"/>
            </w:tcBorders>
          </w:tcPr>
          <w:p w14:paraId="30087976" w14:textId="77777777" w:rsidR="00A9457B" w:rsidRDefault="00A9457B">
            <w:pPr>
              <w:pStyle w:val="TableText"/>
              <w:snapToGrid w:val="0"/>
              <w:rPr>
                <w:rFonts w:cs="Segoe UI"/>
                <w:b/>
                <w:noProof/>
                <w:kern w:val="2"/>
                <w:lang w:eastAsia="en-GB"/>
              </w:rPr>
            </w:pPr>
          </w:p>
        </w:tc>
        <w:tc>
          <w:tcPr>
            <w:tcW w:w="1404" w:type="dxa"/>
            <w:tcBorders>
              <w:top w:val="single" w:sz="4" w:space="0" w:color="auto"/>
              <w:left w:val="single" w:sz="4" w:space="0" w:color="auto"/>
              <w:bottom w:val="single" w:sz="4" w:space="0" w:color="auto"/>
              <w:right w:val="single" w:sz="4" w:space="0" w:color="auto"/>
            </w:tcBorders>
          </w:tcPr>
          <w:p w14:paraId="50287863" w14:textId="77777777" w:rsidR="00A9457B" w:rsidRDefault="00A9457B">
            <w:pPr>
              <w:pStyle w:val="TableText"/>
              <w:snapToGrid w:val="0"/>
              <w:rPr>
                <w:rFonts w:cs="Segoe UI"/>
                <w:kern w:val="2"/>
                <w:lang w:eastAsia="en-GB"/>
              </w:rPr>
            </w:pPr>
          </w:p>
        </w:tc>
      </w:tr>
    </w:tbl>
    <w:p w14:paraId="67F182BF" w14:textId="3D677846" w:rsidR="009312BE" w:rsidRDefault="009312BE" w:rsidP="009312BE">
      <w:pPr>
        <w:rPr>
          <w:rFonts w:eastAsiaTheme="minorEastAsia" w:cs="Segoe UI"/>
          <w:lang w:val="en-US" w:eastAsia="zh-TW"/>
        </w:rPr>
      </w:pPr>
    </w:p>
    <w:p w14:paraId="457DDCE9" w14:textId="77777777" w:rsidR="00800E45" w:rsidRPr="00CA7301" w:rsidRDefault="00800E45" w:rsidP="009312BE">
      <w:pPr>
        <w:rPr>
          <w:rFonts w:eastAsiaTheme="minorEastAsia" w:cs="Segoe UI"/>
          <w:lang w:val="en-US" w:eastAsia="zh-TW"/>
        </w:rPr>
      </w:pPr>
    </w:p>
    <w:tbl>
      <w:tblPr>
        <w:tblStyle w:val="TableGrid"/>
        <w:tblW w:w="9214" w:type="dxa"/>
        <w:tblInd w:w="-459" w:type="dxa"/>
        <w:tblLook w:val="04A0" w:firstRow="1" w:lastRow="0" w:firstColumn="1" w:lastColumn="0" w:noHBand="0" w:noVBand="1"/>
      </w:tblPr>
      <w:tblGrid>
        <w:gridCol w:w="709"/>
        <w:gridCol w:w="8505"/>
      </w:tblGrid>
      <w:tr w:rsidR="00A9457B" w14:paraId="0E7B0746" w14:textId="77777777" w:rsidTr="00A9457B">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31D9BD" w14:textId="77777777" w:rsidR="00A9457B" w:rsidRDefault="00A9457B">
            <w:pPr>
              <w:spacing w:before="40" w:after="40"/>
              <w:jc w:val="both"/>
              <w:rPr>
                <w:rFonts w:eastAsiaTheme="minorEastAsia" w:cs="Segoe UI"/>
                <w:b/>
                <w:sz w:val="17"/>
                <w:szCs w:val="17"/>
                <w:lang w:eastAsia="en-GB"/>
              </w:rPr>
            </w:pPr>
            <w:proofErr w:type="gramStart"/>
            <w:r>
              <w:rPr>
                <w:rFonts w:eastAsiaTheme="minorEastAsia" w:cs="Segoe UI" w:hint="eastAsia"/>
                <w:b/>
                <w:sz w:val="17"/>
                <w:szCs w:val="17"/>
                <w:lang w:eastAsia="zh-TW"/>
              </w:rPr>
              <w:t>註</w:t>
            </w:r>
            <w:proofErr w:type="gramEnd"/>
            <w:r>
              <w:rPr>
                <w:rFonts w:eastAsiaTheme="minorEastAsia" w:cs="Segoe UI" w:hint="eastAsia"/>
                <w:b/>
                <w:sz w:val="17"/>
                <w:szCs w:val="17"/>
                <w:lang w:eastAsia="zh-TW"/>
              </w:rPr>
              <w:t>釋</w:t>
            </w:r>
          </w:p>
        </w:tc>
      </w:tr>
      <w:tr w:rsidR="00A9457B" w14:paraId="4E3213F4" w14:textId="77777777" w:rsidTr="00A9457B">
        <w:trPr>
          <w:trHeight w:val="153"/>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D2B337" w14:textId="77777777" w:rsidR="00A9457B" w:rsidRDefault="00A9457B">
            <w:pPr>
              <w:spacing w:before="40" w:after="40"/>
              <w:jc w:val="both"/>
              <w:rPr>
                <w:rFonts w:eastAsiaTheme="minorEastAsia" w:cs="Segoe UI"/>
                <w:b/>
                <w:sz w:val="17"/>
                <w:szCs w:val="17"/>
                <w:lang w:eastAsia="en-GB"/>
              </w:rPr>
            </w:pPr>
            <w:r>
              <w:rPr>
                <w:rFonts w:eastAsiaTheme="minorEastAsia" w:cs="Segoe UI" w:hint="eastAsia"/>
                <w:b/>
                <w:sz w:val="17"/>
                <w:szCs w:val="17"/>
                <w:lang w:eastAsia="zh-TW"/>
              </w:rPr>
              <w:t>欄</w:t>
            </w:r>
          </w:p>
        </w:tc>
      </w:tr>
      <w:tr w:rsidR="00A9457B" w14:paraId="6618784C" w14:textId="77777777" w:rsidTr="00A9457B">
        <w:tc>
          <w:tcPr>
            <w:tcW w:w="709" w:type="dxa"/>
            <w:tcBorders>
              <w:top w:val="single" w:sz="4" w:space="0" w:color="auto"/>
              <w:left w:val="single" w:sz="4" w:space="0" w:color="auto"/>
              <w:bottom w:val="single" w:sz="4" w:space="0" w:color="auto"/>
              <w:right w:val="single" w:sz="4" w:space="0" w:color="auto"/>
            </w:tcBorders>
            <w:hideMark/>
          </w:tcPr>
          <w:p w14:paraId="723462B6" w14:textId="77777777" w:rsidR="00A9457B" w:rsidRDefault="00A9457B">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(a)</w:t>
            </w:r>
            <w:r>
              <w:rPr>
                <w:rFonts w:eastAsiaTheme="minorEastAsia" w:cs="Segoe UI" w:hint="eastAsia"/>
                <w:sz w:val="17"/>
                <w:szCs w:val="17"/>
                <w:lang w:eastAsia="zh-TW"/>
              </w:rPr>
              <w:t>及</w:t>
            </w:r>
            <w:r>
              <w:rPr>
                <w:rFonts w:cs="Segoe UI"/>
                <w:sz w:val="17"/>
                <w:szCs w:val="17"/>
                <w:lang w:eastAsia="en-GB"/>
              </w:rPr>
              <w:t>(b)</w:t>
            </w:r>
          </w:p>
        </w:tc>
        <w:tc>
          <w:tcPr>
            <w:tcW w:w="8505" w:type="dxa"/>
            <w:tcBorders>
              <w:top w:val="single" w:sz="4" w:space="0" w:color="auto"/>
              <w:left w:val="single" w:sz="4" w:space="0" w:color="auto"/>
              <w:bottom w:val="single" w:sz="4" w:space="0" w:color="auto"/>
              <w:right w:val="single" w:sz="4" w:space="0" w:color="auto"/>
            </w:tcBorders>
            <w:hideMark/>
          </w:tcPr>
          <w:p w14:paraId="5EBBCF9C" w14:textId="77777777" w:rsidR="00A9457B" w:rsidRDefault="00A9457B">
            <w:pPr>
              <w:pStyle w:val="TableText"/>
              <w:keepNext/>
              <w:jc w:val="both"/>
              <w:rPr>
                <w:rFonts w:cs="Segoe UI"/>
                <w:szCs w:val="17"/>
                <w:lang w:eastAsia="zh-TW"/>
              </w:rPr>
            </w:pPr>
            <w:r>
              <w:rPr>
                <w:rFonts w:cs="Segoe UI"/>
                <w:szCs w:val="17"/>
                <w:lang w:eastAsia="zh-TW"/>
              </w:rPr>
              <w:t>(a)</w:t>
            </w:r>
            <w:r>
              <w:rPr>
                <w:rFonts w:eastAsiaTheme="minorEastAsia" w:cs="Segoe UI" w:hint="eastAsia"/>
                <w:szCs w:val="17"/>
                <w:lang w:eastAsia="zh-TW"/>
              </w:rPr>
              <w:t>及</w:t>
            </w:r>
            <w:r>
              <w:rPr>
                <w:rFonts w:cs="Segoe UI"/>
                <w:szCs w:val="17"/>
                <w:lang w:eastAsia="zh-TW"/>
              </w:rPr>
              <w:t>(b)</w:t>
            </w:r>
            <w:r>
              <w:rPr>
                <w:rFonts w:eastAsiaTheme="minorEastAsia" w:cs="Segoe UI" w:hint="eastAsia"/>
                <w:szCs w:val="17"/>
                <w:lang w:eastAsia="zh-TW"/>
              </w:rPr>
              <w:t>欄內高級管理</w:t>
            </w:r>
            <w:r>
              <w:rPr>
                <w:rFonts w:eastAsia="細明體" w:cs="Segoe UI" w:hint="eastAsia"/>
                <w:lang w:eastAsia="zh-TW"/>
              </w:rPr>
              <w:t>人</w:t>
            </w:r>
            <w:r>
              <w:rPr>
                <w:rFonts w:eastAsiaTheme="minorEastAsia" w:cs="Segoe UI" w:hint="eastAsia"/>
                <w:szCs w:val="17"/>
                <w:lang w:eastAsia="zh-TW"/>
              </w:rPr>
              <w:t>員及</w:t>
            </w:r>
            <w:r>
              <w:rPr>
                <w:rFonts w:eastAsia="細明體" w:cs="Segoe UI" w:hint="eastAsia"/>
                <w:lang w:eastAsia="zh-TW"/>
              </w:rPr>
              <w:t>主要人員</w:t>
            </w:r>
            <w:r>
              <w:rPr>
                <w:rFonts w:eastAsiaTheme="minorEastAsia" w:cs="Segoe UI" w:hint="eastAsia"/>
                <w:szCs w:val="17"/>
                <w:lang w:eastAsia="zh-TW"/>
              </w:rPr>
              <w:t>類別應與表</w:t>
            </w:r>
            <w:r>
              <w:rPr>
                <w:rFonts w:cs="Segoe UI"/>
                <w:szCs w:val="17"/>
                <w:lang w:eastAsia="zh-TW"/>
              </w:rPr>
              <w:t>REMA</w:t>
            </w:r>
            <w:r>
              <w:rPr>
                <w:rFonts w:eastAsiaTheme="minorEastAsia" w:cs="Segoe UI" w:hint="eastAsia"/>
                <w:szCs w:val="17"/>
                <w:lang w:eastAsia="zh-TW"/>
              </w:rPr>
              <w:t>所述的員工類別對應。（備註：如認可機構行政人員數目過少，令個別人士的薪酬可能很容易地從披露的明細分類資料中被推斷出來，只要該資料的敏感程度會對該機構構成不利影響，一個可接受的折衷做法為認可機構只披露高級管理人員及主要人員的合計薪酬總額；然而，該做法及理由（即披露總額而非披露個別分類）須在附加說明作充分披露。）</w:t>
            </w:r>
          </w:p>
        </w:tc>
      </w:tr>
      <w:tr w:rsidR="00A9457B" w14:paraId="5334CFFC" w14:textId="77777777" w:rsidTr="00A9457B">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CBF9A3" w14:textId="77777777" w:rsidR="00A9457B" w:rsidRDefault="00A9457B">
            <w:pPr>
              <w:spacing w:before="40" w:after="40"/>
              <w:jc w:val="both"/>
              <w:rPr>
                <w:rFonts w:eastAsiaTheme="minorEastAsia" w:cs="Segoe UI"/>
                <w:b/>
                <w:sz w:val="17"/>
                <w:szCs w:val="17"/>
                <w:lang w:eastAsia="en-GB"/>
              </w:rPr>
            </w:pPr>
            <w:r>
              <w:rPr>
                <w:rFonts w:eastAsiaTheme="minorEastAsia" w:cs="Segoe UI" w:hint="eastAsia"/>
                <w:b/>
                <w:sz w:val="17"/>
                <w:szCs w:val="17"/>
                <w:lang w:eastAsia="zh-TW"/>
              </w:rPr>
              <w:t>行</w:t>
            </w:r>
          </w:p>
        </w:tc>
      </w:tr>
      <w:tr w:rsidR="00A9457B" w14:paraId="3DF52DCF" w14:textId="77777777" w:rsidTr="00A9457B">
        <w:trPr>
          <w:trHeight w:val="309"/>
        </w:trPr>
        <w:tc>
          <w:tcPr>
            <w:tcW w:w="709" w:type="dxa"/>
            <w:tcBorders>
              <w:top w:val="single" w:sz="4" w:space="0" w:color="auto"/>
              <w:left w:val="single" w:sz="4" w:space="0" w:color="auto"/>
              <w:bottom w:val="single" w:sz="4" w:space="0" w:color="auto"/>
              <w:right w:val="single" w:sz="4" w:space="0" w:color="auto"/>
            </w:tcBorders>
            <w:hideMark/>
          </w:tcPr>
          <w:p w14:paraId="2C1BD45C"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2</w:t>
            </w:r>
          </w:p>
        </w:tc>
        <w:tc>
          <w:tcPr>
            <w:tcW w:w="8505" w:type="dxa"/>
            <w:tcBorders>
              <w:top w:val="single" w:sz="4" w:space="0" w:color="auto"/>
              <w:left w:val="single" w:sz="4" w:space="0" w:color="auto"/>
              <w:bottom w:val="single" w:sz="4" w:space="0" w:color="auto"/>
              <w:right w:val="single" w:sz="4" w:space="0" w:color="auto"/>
            </w:tcBorders>
            <w:hideMark/>
          </w:tcPr>
          <w:p w14:paraId="42AE90C8" w14:textId="77777777" w:rsidR="00A9457B" w:rsidRDefault="00A9457B">
            <w:pPr>
              <w:pStyle w:val="TableText"/>
              <w:keepNext/>
              <w:jc w:val="both"/>
              <w:rPr>
                <w:rFonts w:cs="Segoe UI"/>
                <w:szCs w:val="17"/>
                <w:lang w:eastAsia="zh-TW"/>
              </w:rPr>
            </w:pPr>
            <w:proofErr w:type="gramStart"/>
            <w:r>
              <w:rPr>
                <w:rFonts w:eastAsia="細明體" w:cs="Segoe UI" w:hint="eastAsia"/>
                <w:i/>
                <w:lang w:eastAsia="zh-TW"/>
              </w:rPr>
              <w:t>固定薪</w:t>
            </w:r>
            <w:proofErr w:type="gramEnd"/>
            <w:r>
              <w:rPr>
                <w:rFonts w:eastAsia="細明體" w:cs="Segoe UI" w:hint="eastAsia"/>
                <w:i/>
                <w:lang w:eastAsia="zh-TW"/>
              </w:rPr>
              <w:t>酬總額</w:t>
            </w:r>
            <w:r>
              <w:rPr>
                <w:rFonts w:eastAsiaTheme="minorEastAsia" w:cs="Segoe UI" w:hint="eastAsia"/>
                <w:lang w:eastAsia="zh-TW"/>
              </w:rPr>
              <w:t>：</w:t>
            </w:r>
            <w:r>
              <w:rPr>
                <w:rFonts w:eastAsiaTheme="minorEastAsia" w:cs="Segoe UI" w:hint="eastAsia"/>
                <w:szCs w:val="17"/>
                <w:lang w:eastAsia="zh-TW"/>
              </w:rPr>
              <w:t>第</w:t>
            </w:r>
            <w:r>
              <w:rPr>
                <w:rFonts w:cs="Segoe UI"/>
                <w:szCs w:val="17"/>
                <w:lang w:eastAsia="zh-TW"/>
              </w:rPr>
              <w:t>3</w:t>
            </w:r>
            <w:r>
              <w:rPr>
                <w:rFonts w:eastAsiaTheme="minorEastAsia" w:cs="Segoe UI" w:hint="eastAsia"/>
                <w:szCs w:val="17"/>
                <w:lang w:eastAsia="zh-TW"/>
              </w:rPr>
              <w:t>、</w:t>
            </w:r>
            <w:r>
              <w:rPr>
                <w:rFonts w:cs="Segoe UI"/>
                <w:szCs w:val="17"/>
                <w:lang w:eastAsia="zh-TW"/>
              </w:rPr>
              <w:t>5</w:t>
            </w:r>
            <w:r>
              <w:rPr>
                <w:rFonts w:eastAsiaTheme="minorEastAsia" w:cs="Segoe UI" w:hint="eastAsia"/>
                <w:szCs w:val="17"/>
                <w:lang w:eastAsia="zh-TW"/>
              </w:rPr>
              <w:t>及</w:t>
            </w:r>
            <w:r>
              <w:rPr>
                <w:rFonts w:cs="Segoe UI"/>
                <w:szCs w:val="17"/>
                <w:lang w:eastAsia="zh-TW"/>
              </w:rPr>
              <w:t>7</w:t>
            </w:r>
            <w:r>
              <w:rPr>
                <w:rFonts w:eastAsiaTheme="minorEastAsia" w:cs="Segoe UI" w:hint="eastAsia"/>
                <w:szCs w:val="17"/>
                <w:lang w:eastAsia="zh-TW"/>
              </w:rPr>
              <w:t>行的值相加的總和。</w:t>
            </w:r>
          </w:p>
        </w:tc>
      </w:tr>
      <w:tr w:rsidR="00A9457B" w14:paraId="639A6EB3" w14:textId="77777777" w:rsidTr="00A9457B">
        <w:trPr>
          <w:trHeight w:val="309"/>
        </w:trPr>
        <w:tc>
          <w:tcPr>
            <w:tcW w:w="709" w:type="dxa"/>
            <w:tcBorders>
              <w:top w:val="single" w:sz="4" w:space="0" w:color="auto"/>
              <w:left w:val="single" w:sz="4" w:space="0" w:color="auto"/>
              <w:bottom w:val="single" w:sz="4" w:space="0" w:color="auto"/>
              <w:right w:val="single" w:sz="4" w:space="0" w:color="auto"/>
            </w:tcBorders>
            <w:hideMark/>
          </w:tcPr>
          <w:p w14:paraId="01EB4049"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7</w:t>
            </w:r>
          </w:p>
        </w:tc>
        <w:tc>
          <w:tcPr>
            <w:tcW w:w="8505" w:type="dxa"/>
            <w:tcBorders>
              <w:top w:val="single" w:sz="4" w:space="0" w:color="auto"/>
              <w:left w:val="single" w:sz="4" w:space="0" w:color="auto"/>
              <w:bottom w:val="single" w:sz="4" w:space="0" w:color="auto"/>
              <w:right w:val="single" w:sz="4" w:space="0" w:color="auto"/>
            </w:tcBorders>
            <w:hideMark/>
          </w:tcPr>
          <w:p w14:paraId="390DDB14" w14:textId="77777777" w:rsidR="00A9457B" w:rsidRDefault="00A9457B">
            <w:pPr>
              <w:pStyle w:val="TableText"/>
              <w:keepNext/>
              <w:jc w:val="both"/>
              <w:rPr>
                <w:rFonts w:cs="Segoe UI"/>
                <w:i/>
                <w:lang w:val="en-US" w:eastAsia="zh-TW"/>
              </w:rPr>
            </w:pPr>
            <w:proofErr w:type="gramStart"/>
            <w:r>
              <w:rPr>
                <w:rFonts w:eastAsia="細明體" w:cs="Segoe UI" w:hint="eastAsia"/>
                <w:i/>
                <w:lang w:eastAsia="zh-TW"/>
              </w:rPr>
              <w:t>固定薪酬</w:t>
            </w:r>
            <w:r>
              <w:rPr>
                <w:rFonts w:ascii="細明體" w:eastAsia="細明體" w:hAnsi="細明體" w:cs="細明體" w:hint="eastAsia"/>
                <w:i/>
                <w:lang w:eastAsia="zh-TW"/>
              </w:rPr>
              <w:t>──</w:t>
            </w:r>
            <w:proofErr w:type="gramEnd"/>
            <w:r>
              <w:rPr>
                <w:rFonts w:eastAsia="細明體" w:cs="Segoe UI" w:hint="eastAsia"/>
                <w:i/>
                <w:lang w:eastAsia="zh-TW"/>
              </w:rPr>
              <w:t>其中：其他形式</w:t>
            </w:r>
            <w:r>
              <w:rPr>
                <w:rFonts w:eastAsiaTheme="minorEastAsia" w:cs="Segoe UI" w:hint="eastAsia"/>
                <w:lang w:eastAsia="zh-TW"/>
              </w:rPr>
              <w:t>：其他形式的</w:t>
            </w:r>
            <w:proofErr w:type="gramStart"/>
            <w:r>
              <w:rPr>
                <w:rFonts w:eastAsiaTheme="minorEastAsia" w:cs="Segoe UI" w:hint="eastAsia"/>
                <w:lang w:eastAsia="zh-TW"/>
              </w:rPr>
              <w:t>固定薪酬須</w:t>
            </w:r>
            <w:proofErr w:type="gramEnd"/>
            <w:r>
              <w:rPr>
                <w:rFonts w:eastAsiaTheme="minorEastAsia" w:cs="Segoe UI" w:hint="eastAsia"/>
                <w:lang w:eastAsia="zh-TW"/>
              </w:rPr>
              <w:t>在表</w:t>
            </w:r>
            <w:r>
              <w:rPr>
                <w:rFonts w:cs="Segoe UI"/>
                <w:szCs w:val="17"/>
                <w:lang w:eastAsia="zh-TW"/>
              </w:rPr>
              <w:t>REMA</w:t>
            </w:r>
            <w:r>
              <w:rPr>
                <w:rFonts w:eastAsiaTheme="minorEastAsia" w:cs="Segoe UI" w:hint="eastAsia"/>
                <w:szCs w:val="17"/>
                <w:lang w:eastAsia="zh-TW"/>
              </w:rPr>
              <w:t>及</w:t>
            </w:r>
            <w:proofErr w:type="gramStart"/>
            <w:r>
              <w:rPr>
                <w:rFonts w:eastAsiaTheme="minorEastAsia" w:cs="Segoe UI" w:hint="eastAsia"/>
                <w:szCs w:val="17"/>
                <w:lang w:eastAsia="zh-TW"/>
              </w:rPr>
              <w:t>在本模版</w:t>
            </w:r>
            <w:proofErr w:type="gramEnd"/>
            <w:r>
              <w:rPr>
                <w:rFonts w:eastAsiaTheme="minorEastAsia" w:cs="Segoe UI" w:hint="eastAsia"/>
                <w:szCs w:val="17"/>
                <w:lang w:eastAsia="zh-TW"/>
              </w:rPr>
              <w:t>的附加說明內描述</w:t>
            </w:r>
            <w:r>
              <w:rPr>
                <w:rFonts w:eastAsia="細明體" w:cs="Segoe UI" w:hint="eastAsia"/>
                <w:szCs w:val="17"/>
                <w:lang w:eastAsia="zh-TW"/>
              </w:rPr>
              <w:t>（如屬有關）</w:t>
            </w:r>
            <w:r>
              <w:rPr>
                <w:rFonts w:eastAsiaTheme="minorEastAsia" w:cs="Segoe UI" w:hint="eastAsia"/>
                <w:szCs w:val="17"/>
                <w:lang w:eastAsia="zh-TW"/>
              </w:rPr>
              <w:t>。</w:t>
            </w:r>
          </w:p>
        </w:tc>
      </w:tr>
      <w:tr w:rsidR="00A9457B" w14:paraId="5C73EA67" w14:textId="77777777" w:rsidTr="00A9457B">
        <w:trPr>
          <w:trHeight w:val="373"/>
        </w:trPr>
        <w:tc>
          <w:tcPr>
            <w:tcW w:w="709" w:type="dxa"/>
            <w:tcBorders>
              <w:top w:val="single" w:sz="4" w:space="0" w:color="auto"/>
              <w:left w:val="single" w:sz="4" w:space="0" w:color="auto"/>
              <w:bottom w:val="single" w:sz="4" w:space="0" w:color="auto"/>
              <w:right w:val="single" w:sz="4" w:space="0" w:color="auto"/>
            </w:tcBorders>
            <w:hideMark/>
          </w:tcPr>
          <w:p w14:paraId="3695B11B"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10</w:t>
            </w:r>
          </w:p>
        </w:tc>
        <w:tc>
          <w:tcPr>
            <w:tcW w:w="8505" w:type="dxa"/>
            <w:tcBorders>
              <w:top w:val="single" w:sz="4" w:space="0" w:color="auto"/>
              <w:left w:val="single" w:sz="4" w:space="0" w:color="auto"/>
              <w:bottom w:val="single" w:sz="4" w:space="0" w:color="auto"/>
              <w:right w:val="single" w:sz="4" w:space="0" w:color="auto"/>
            </w:tcBorders>
            <w:hideMark/>
          </w:tcPr>
          <w:p w14:paraId="27B817C0" w14:textId="77777777" w:rsidR="00A9457B" w:rsidRDefault="00A9457B">
            <w:pPr>
              <w:pStyle w:val="TableText"/>
              <w:keepNext/>
              <w:jc w:val="both"/>
              <w:rPr>
                <w:rFonts w:cs="Segoe UI"/>
                <w:szCs w:val="17"/>
                <w:lang w:eastAsia="zh-TW"/>
              </w:rPr>
            </w:pPr>
            <w:r>
              <w:rPr>
                <w:rFonts w:eastAsia="細明體" w:cs="Segoe UI" w:hint="eastAsia"/>
                <w:i/>
                <w:lang w:eastAsia="zh-TW"/>
              </w:rPr>
              <w:t>浮動薪酬總額</w:t>
            </w:r>
            <w:r>
              <w:rPr>
                <w:rFonts w:eastAsiaTheme="minorEastAsia" w:cs="Segoe UI" w:hint="eastAsia"/>
                <w:lang w:eastAsia="zh-TW"/>
              </w:rPr>
              <w:t>：</w:t>
            </w:r>
            <w:r>
              <w:rPr>
                <w:rFonts w:eastAsiaTheme="minorEastAsia" w:cs="Segoe UI" w:hint="eastAsia"/>
                <w:szCs w:val="17"/>
                <w:lang w:eastAsia="zh-TW"/>
              </w:rPr>
              <w:t>第</w:t>
            </w:r>
            <w:r>
              <w:rPr>
                <w:rFonts w:eastAsiaTheme="minorEastAsia" w:cs="Segoe UI"/>
                <w:szCs w:val="17"/>
                <w:lang w:eastAsia="zh-TW"/>
              </w:rPr>
              <w:t>11</w:t>
            </w:r>
            <w:r>
              <w:rPr>
                <w:rFonts w:eastAsiaTheme="minorEastAsia" w:cs="Segoe UI" w:hint="eastAsia"/>
                <w:szCs w:val="17"/>
                <w:lang w:eastAsia="zh-TW"/>
              </w:rPr>
              <w:t>、</w:t>
            </w:r>
            <w:r>
              <w:rPr>
                <w:rFonts w:eastAsiaTheme="minorEastAsia" w:cs="Segoe UI"/>
                <w:szCs w:val="17"/>
                <w:lang w:eastAsia="zh-TW"/>
              </w:rPr>
              <w:t>13</w:t>
            </w:r>
            <w:r>
              <w:rPr>
                <w:rFonts w:eastAsiaTheme="minorEastAsia" w:cs="Segoe UI" w:hint="eastAsia"/>
                <w:szCs w:val="17"/>
                <w:lang w:eastAsia="zh-TW"/>
              </w:rPr>
              <w:t>及</w:t>
            </w:r>
            <w:r>
              <w:rPr>
                <w:rFonts w:eastAsiaTheme="minorEastAsia" w:cs="Segoe UI"/>
                <w:szCs w:val="17"/>
                <w:lang w:eastAsia="zh-TW"/>
              </w:rPr>
              <w:t>15</w:t>
            </w:r>
            <w:r>
              <w:rPr>
                <w:rFonts w:eastAsiaTheme="minorEastAsia" w:cs="Segoe UI" w:hint="eastAsia"/>
                <w:szCs w:val="17"/>
                <w:lang w:eastAsia="zh-TW"/>
              </w:rPr>
              <w:t>行的值相加的總和。</w:t>
            </w:r>
          </w:p>
        </w:tc>
      </w:tr>
      <w:tr w:rsidR="00A9457B" w14:paraId="16486CC1" w14:textId="77777777" w:rsidTr="00A9457B">
        <w:trPr>
          <w:trHeight w:val="373"/>
        </w:trPr>
        <w:tc>
          <w:tcPr>
            <w:tcW w:w="709" w:type="dxa"/>
            <w:tcBorders>
              <w:top w:val="single" w:sz="4" w:space="0" w:color="auto"/>
              <w:left w:val="single" w:sz="4" w:space="0" w:color="auto"/>
              <w:bottom w:val="single" w:sz="4" w:space="0" w:color="auto"/>
              <w:right w:val="single" w:sz="4" w:space="0" w:color="auto"/>
            </w:tcBorders>
            <w:hideMark/>
          </w:tcPr>
          <w:p w14:paraId="65F46076"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15</w:t>
            </w:r>
          </w:p>
        </w:tc>
        <w:tc>
          <w:tcPr>
            <w:tcW w:w="8505" w:type="dxa"/>
            <w:tcBorders>
              <w:top w:val="single" w:sz="4" w:space="0" w:color="auto"/>
              <w:left w:val="single" w:sz="4" w:space="0" w:color="auto"/>
              <w:bottom w:val="single" w:sz="4" w:space="0" w:color="auto"/>
              <w:right w:val="single" w:sz="4" w:space="0" w:color="auto"/>
            </w:tcBorders>
            <w:hideMark/>
          </w:tcPr>
          <w:p w14:paraId="6B25700C" w14:textId="77777777" w:rsidR="00A9457B" w:rsidRDefault="00A9457B">
            <w:pPr>
              <w:pStyle w:val="TableText"/>
              <w:keepNext/>
              <w:jc w:val="both"/>
              <w:rPr>
                <w:rFonts w:cs="Segoe UI"/>
                <w:i/>
                <w:lang w:val="en-US" w:eastAsia="zh-TW"/>
              </w:rPr>
            </w:pPr>
            <w:r>
              <w:rPr>
                <w:rFonts w:eastAsia="細明體" w:cs="Segoe UI" w:hint="eastAsia"/>
                <w:i/>
                <w:lang w:eastAsia="zh-TW"/>
              </w:rPr>
              <w:t>浮動薪酬</w:t>
            </w:r>
            <w:proofErr w:type="gramStart"/>
            <w:r>
              <w:rPr>
                <w:rFonts w:ascii="細明體" w:eastAsia="細明體" w:hAnsi="細明體" w:cs="細明體" w:hint="eastAsia"/>
                <w:i/>
                <w:lang w:eastAsia="zh-TW"/>
              </w:rPr>
              <w:t>──</w:t>
            </w:r>
            <w:proofErr w:type="gramEnd"/>
            <w:r>
              <w:rPr>
                <w:rFonts w:eastAsia="細明體" w:cs="Segoe UI" w:hint="eastAsia"/>
                <w:i/>
                <w:lang w:eastAsia="zh-TW"/>
              </w:rPr>
              <w:t>其中：其他形式</w:t>
            </w:r>
            <w:r>
              <w:rPr>
                <w:rFonts w:eastAsiaTheme="minorEastAsia" w:cs="Segoe UI" w:hint="eastAsia"/>
                <w:lang w:eastAsia="zh-TW"/>
              </w:rPr>
              <w:t>：其他形式的浮動</w:t>
            </w:r>
            <w:proofErr w:type="gramStart"/>
            <w:r>
              <w:rPr>
                <w:rFonts w:eastAsiaTheme="minorEastAsia" w:cs="Segoe UI" w:hint="eastAsia"/>
                <w:lang w:eastAsia="zh-TW"/>
              </w:rPr>
              <w:t>薪酬須在</w:t>
            </w:r>
            <w:proofErr w:type="gramEnd"/>
            <w:r>
              <w:rPr>
                <w:rFonts w:eastAsiaTheme="minorEastAsia" w:cs="Segoe UI" w:hint="eastAsia"/>
                <w:lang w:eastAsia="zh-TW"/>
              </w:rPr>
              <w:t>表</w:t>
            </w:r>
            <w:r>
              <w:rPr>
                <w:rFonts w:cs="Segoe UI"/>
                <w:szCs w:val="17"/>
                <w:lang w:eastAsia="zh-TW"/>
              </w:rPr>
              <w:t>REMA</w:t>
            </w:r>
            <w:r>
              <w:rPr>
                <w:rFonts w:eastAsiaTheme="minorEastAsia" w:cs="Segoe UI" w:hint="eastAsia"/>
                <w:lang w:eastAsia="zh-TW"/>
              </w:rPr>
              <w:t>及</w:t>
            </w:r>
            <w:proofErr w:type="gramStart"/>
            <w:r>
              <w:rPr>
                <w:rFonts w:eastAsiaTheme="minorEastAsia" w:cs="Segoe UI" w:hint="eastAsia"/>
                <w:lang w:eastAsia="zh-TW"/>
              </w:rPr>
              <w:t>在本模版</w:t>
            </w:r>
            <w:proofErr w:type="gramEnd"/>
            <w:r>
              <w:rPr>
                <w:rFonts w:eastAsiaTheme="minorEastAsia" w:cs="Segoe UI" w:hint="eastAsia"/>
                <w:lang w:eastAsia="zh-TW"/>
              </w:rPr>
              <w:t>的隨附資料內描述</w:t>
            </w:r>
            <w:r>
              <w:rPr>
                <w:rFonts w:eastAsia="細明體" w:cs="Segoe UI" w:hint="eastAsia"/>
                <w:szCs w:val="17"/>
                <w:lang w:eastAsia="zh-TW"/>
              </w:rPr>
              <w:t>（如屬有關）</w:t>
            </w:r>
            <w:r>
              <w:rPr>
                <w:rFonts w:eastAsiaTheme="minorEastAsia" w:cs="Segoe UI" w:hint="eastAsia"/>
                <w:szCs w:val="17"/>
                <w:lang w:eastAsia="zh-TW"/>
              </w:rPr>
              <w:t>。</w:t>
            </w:r>
          </w:p>
        </w:tc>
      </w:tr>
      <w:tr w:rsidR="00A9457B" w14:paraId="19B20FC8" w14:textId="77777777" w:rsidTr="00A9457B">
        <w:trPr>
          <w:trHeight w:val="373"/>
        </w:trPr>
        <w:tc>
          <w:tcPr>
            <w:tcW w:w="709" w:type="dxa"/>
            <w:tcBorders>
              <w:top w:val="single" w:sz="4" w:space="0" w:color="auto"/>
              <w:left w:val="single" w:sz="4" w:space="0" w:color="auto"/>
              <w:bottom w:val="single" w:sz="4" w:space="0" w:color="auto"/>
              <w:right w:val="single" w:sz="4" w:space="0" w:color="auto"/>
            </w:tcBorders>
            <w:hideMark/>
          </w:tcPr>
          <w:p w14:paraId="7380ED45"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17</w:t>
            </w:r>
          </w:p>
        </w:tc>
        <w:tc>
          <w:tcPr>
            <w:tcW w:w="8505" w:type="dxa"/>
            <w:tcBorders>
              <w:top w:val="single" w:sz="4" w:space="0" w:color="auto"/>
              <w:left w:val="single" w:sz="4" w:space="0" w:color="auto"/>
              <w:bottom w:val="single" w:sz="4" w:space="0" w:color="auto"/>
              <w:right w:val="single" w:sz="4" w:space="0" w:color="auto"/>
            </w:tcBorders>
            <w:hideMark/>
          </w:tcPr>
          <w:p w14:paraId="341B6302" w14:textId="77777777" w:rsidR="00A9457B" w:rsidRDefault="00A9457B">
            <w:pPr>
              <w:pStyle w:val="TableText"/>
              <w:keepNext/>
              <w:jc w:val="both"/>
              <w:rPr>
                <w:rFonts w:cs="Segoe UI"/>
                <w:szCs w:val="17"/>
                <w:lang w:eastAsia="zh-TW"/>
              </w:rPr>
            </w:pPr>
            <w:r>
              <w:rPr>
                <w:rFonts w:eastAsia="細明體" w:cs="Segoe UI" w:hint="eastAsia"/>
                <w:i/>
                <w:lang w:eastAsia="zh-TW"/>
              </w:rPr>
              <w:t>薪酬總額</w:t>
            </w:r>
            <w:r>
              <w:rPr>
                <w:rFonts w:eastAsiaTheme="minorEastAsia" w:cs="Segoe UI" w:hint="eastAsia"/>
                <w:lang w:eastAsia="zh-TW"/>
              </w:rPr>
              <w:t>：第</w:t>
            </w:r>
            <w:r>
              <w:rPr>
                <w:rFonts w:cs="Segoe UI"/>
                <w:szCs w:val="17"/>
                <w:lang w:eastAsia="zh-TW"/>
              </w:rPr>
              <w:t>2</w:t>
            </w:r>
            <w:r>
              <w:rPr>
                <w:rFonts w:eastAsiaTheme="minorEastAsia" w:cs="Segoe UI" w:hint="eastAsia"/>
                <w:szCs w:val="17"/>
                <w:lang w:eastAsia="zh-TW"/>
              </w:rPr>
              <w:t>及</w:t>
            </w:r>
            <w:r>
              <w:rPr>
                <w:rFonts w:cs="Segoe UI"/>
                <w:szCs w:val="17"/>
                <w:lang w:eastAsia="zh-TW"/>
              </w:rPr>
              <w:t>10</w:t>
            </w:r>
            <w:r>
              <w:rPr>
                <w:rFonts w:eastAsiaTheme="minorEastAsia" w:cs="Segoe UI" w:hint="eastAsia"/>
                <w:szCs w:val="17"/>
                <w:lang w:eastAsia="zh-TW"/>
              </w:rPr>
              <w:t>行的值相加的總和。</w:t>
            </w:r>
          </w:p>
        </w:tc>
      </w:tr>
    </w:tbl>
    <w:p w14:paraId="5F142D24" w14:textId="77777777" w:rsidR="00841B91" w:rsidRPr="00A9457B" w:rsidRDefault="00841B91">
      <w:pPr>
        <w:rPr>
          <w:rFonts w:eastAsiaTheme="minorEastAsia" w:cs="Segoe UI"/>
          <w:lang w:val="en-US" w:eastAsia="zh-TW"/>
        </w:rPr>
        <w:sectPr w:rsidR="00841B91" w:rsidRPr="00A9457B">
          <w:headerReference w:type="default" r:id="rId109"/>
          <w:footerReference w:type="default" r:id="rId110"/>
          <w:pgSz w:w="11906" w:h="16838"/>
          <w:pgMar w:top="1440" w:right="1800" w:bottom="1440" w:left="1800" w:header="851" w:footer="992" w:gutter="0"/>
          <w:cols w:space="425"/>
          <w:docGrid w:type="lines" w:linePitch="360"/>
        </w:sectPr>
      </w:pPr>
    </w:p>
    <w:p w14:paraId="78610E00" w14:textId="0C67AFF8" w:rsidR="00216206" w:rsidRPr="00216206" w:rsidRDefault="00216206" w:rsidP="00216206">
      <w:pPr>
        <w:pStyle w:val="Heading2"/>
        <w:keepNext w:val="0"/>
        <w:suppressAutoHyphens w:val="0"/>
        <w:spacing w:before="40" w:line="240" w:lineRule="auto"/>
        <w:ind w:left="-454"/>
        <w:rPr>
          <w:rFonts w:asciiTheme="majorEastAsia" w:eastAsiaTheme="majorEastAsia" w:hAnsiTheme="majorEastAsia" w:cs="微軟正黑體"/>
          <w:b w:val="0"/>
          <w:bCs w:val="0"/>
          <w:sz w:val="22"/>
          <w:szCs w:val="20"/>
          <w:lang w:eastAsia="en-US"/>
        </w:rPr>
      </w:pPr>
      <w:proofErr w:type="spellStart"/>
      <w:r w:rsidRPr="00216206">
        <w:rPr>
          <w:rFonts w:asciiTheme="majorEastAsia" w:eastAsiaTheme="majorEastAsia" w:hAnsiTheme="majorEastAsia" w:cs="微軟正黑體" w:hint="eastAsia"/>
          <w:b w:val="0"/>
          <w:bCs w:val="0"/>
          <w:sz w:val="22"/>
          <w:szCs w:val="20"/>
          <w:lang w:eastAsia="en-US"/>
        </w:rPr>
        <w:t>模版</w:t>
      </w:r>
      <w:proofErr w:type="spellEnd"/>
      <w:r w:rsidRPr="00216206">
        <w:rPr>
          <w:rFonts w:ascii="Segoe UI" w:eastAsiaTheme="majorEastAsia" w:hAnsi="Segoe UI" w:cs="Segoe UI"/>
          <w:b w:val="0"/>
          <w:bCs w:val="0"/>
          <w:sz w:val="22"/>
          <w:szCs w:val="20"/>
          <w:lang w:eastAsia="en-US"/>
        </w:rPr>
        <w:t>REM2</w:t>
      </w:r>
      <w:r w:rsidRPr="00216206">
        <w:rPr>
          <w:rFonts w:asciiTheme="majorEastAsia" w:eastAsiaTheme="majorEastAsia" w:hAnsiTheme="majorEastAsia" w:cs="微軟正黑體" w:hint="eastAsia"/>
          <w:b w:val="0"/>
          <w:bCs w:val="0"/>
          <w:sz w:val="22"/>
          <w:szCs w:val="20"/>
          <w:lang w:eastAsia="en-US"/>
        </w:rPr>
        <w:t>：</w:t>
      </w:r>
      <w:proofErr w:type="spellStart"/>
      <w:r w:rsidRPr="00216206">
        <w:rPr>
          <w:rFonts w:asciiTheme="majorEastAsia" w:eastAsiaTheme="majorEastAsia" w:hAnsiTheme="majorEastAsia" w:cs="微軟正黑體" w:hint="eastAsia"/>
          <w:b w:val="0"/>
          <w:bCs w:val="0"/>
          <w:sz w:val="22"/>
          <w:szCs w:val="20"/>
          <w:lang w:eastAsia="en-US"/>
        </w:rPr>
        <w:t>特別付款</w:t>
      </w:r>
      <w:proofErr w:type="spellEnd"/>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A9457B" w14:paraId="57A89EFC" w14:textId="77777777" w:rsidTr="000F143F">
        <w:tc>
          <w:tcPr>
            <w:tcW w:w="2160" w:type="dxa"/>
            <w:tcBorders>
              <w:top w:val="single" w:sz="4" w:space="0" w:color="auto"/>
              <w:left w:val="nil"/>
              <w:bottom w:val="single" w:sz="4" w:space="0" w:color="auto"/>
              <w:right w:val="single" w:sz="4" w:space="0" w:color="auto"/>
            </w:tcBorders>
            <w:hideMark/>
          </w:tcPr>
          <w:p w14:paraId="13A8FD2F"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目的</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5505B975" w14:textId="77777777" w:rsidR="00A9457B" w:rsidRDefault="00A9457B">
            <w:pPr>
              <w:spacing w:before="40" w:after="40"/>
              <w:jc w:val="both"/>
              <w:rPr>
                <w:rFonts w:eastAsiaTheme="minorEastAsia" w:cs="Segoe UI"/>
                <w:kern w:val="2"/>
                <w:sz w:val="17"/>
                <w:lang w:eastAsia="zh-TW"/>
              </w:rPr>
            </w:pPr>
            <w:r>
              <w:rPr>
                <w:rFonts w:eastAsiaTheme="minorEastAsia" w:cs="Segoe UI" w:hint="eastAsia"/>
                <w:kern w:val="2"/>
                <w:sz w:val="17"/>
                <w:lang w:eastAsia="zh-TW"/>
              </w:rPr>
              <w:t>提供在有關財政年度支付的特別付款的量化資料。</w:t>
            </w:r>
          </w:p>
        </w:tc>
      </w:tr>
      <w:tr w:rsidR="00A9457B" w14:paraId="70A4E513" w14:textId="77777777" w:rsidTr="000F143F">
        <w:tc>
          <w:tcPr>
            <w:tcW w:w="2160" w:type="dxa"/>
            <w:tcBorders>
              <w:top w:val="single" w:sz="4" w:space="0" w:color="auto"/>
              <w:left w:val="nil"/>
              <w:bottom w:val="single" w:sz="4" w:space="0" w:color="auto"/>
              <w:right w:val="single" w:sz="4" w:space="0" w:color="auto"/>
            </w:tcBorders>
            <w:hideMark/>
          </w:tcPr>
          <w:p w14:paraId="7AE80F72"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適用範圍</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33A589D1" w14:textId="77777777" w:rsidR="00A9457B" w:rsidRDefault="00A9457B">
            <w:pPr>
              <w:spacing w:before="40" w:after="40"/>
              <w:jc w:val="both"/>
              <w:rPr>
                <w:rFonts w:eastAsiaTheme="minorEastAsia" w:cs="Segoe UI"/>
                <w:kern w:val="2"/>
                <w:sz w:val="17"/>
                <w:lang w:eastAsia="zh-TW"/>
              </w:rPr>
            </w:pPr>
            <w:r>
              <w:rPr>
                <w:rFonts w:eastAsiaTheme="minorEastAsia" w:cs="Segoe UI" w:hint="eastAsia"/>
                <w:kern w:val="2"/>
                <w:sz w:val="17"/>
                <w:lang w:eastAsia="zh-TW"/>
              </w:rPr>
              <w:t>所有在香港成立</w:t>
            </w:r>
            <w:proofErr w:type="gramStart"/>
            <w:r>
              <w:rPr>
                <w:rFonts w:eastAsiaTheme="minorEastAsia" w:cs="Segoe UI" w:hint="eastAsia"/>
                <w:kern w:val="2"/>
                <w:sz w:val="17"/>
                <w:lang w:eastAsia="zh-TW"/>
              </w:rPr>
              <w:t>為法團的</w:t>
            </w:r>
            <w:proofErr w:type="gramEnd"/>
            <w:r>
              <w:rPr>
                <w:rFonts w:eastAsiaTheme="minorEastAsia" w:cs="Segoe UI" w:hint="eastAsia"/>
                <w:kern w:val="2"/>
                <w:sz w:val="17"/>
                <w:lang w:eastAsia="zh-TW"/>
              </w:rPr>
              <w:t>認可機構</w:t>
            </w:r>
            <w:proofErr w:type="gramStart"/>
            <w:r>
              <w:rPr>
                <w:rFonts w:eastAsiaTheme="minorEastAsia" w:cs="Segoe UI" w:hint="eastAsia"/>
                <w:kern w:val="2"/>
                <w:sz w:val="17"/>
                <w:lang w:eastAsia="zh-TW"/>
              </w:rPr>
              <w:t>均須填報本模</w:t>
            </w:r>
            <w:proofErr w:type="gramEnd"/>
            <w:r>
              <w:rPr>
                <w:rFonts w:eastAsiaTheme="minorEastAsia" w:cs="Segoe UI" w:hint="eastAsia"/>
                <w:kern w:val="2"/>
                <w:sz w:val="17"/>
                <w:lang w:eastAsia="zh-TW"/>
              </w:rPr>
              <w:t>版。</w:t>
            </w:r>
          </w:p>
        </w:tc>
      </w:tr>
      <w:tr w:rsidR="00A9457B" w14:paraId="048FEF8B" w14:textId="77777777" w:rsidTr="000F143F">
        <w:tc>
          <w:tcPr>
            <w:tcW w:w="2160" w:type="dxa"/>
            <w:tcBorders>
              <w:top w:val="single" w:sz="4" w:space="0" w:color="auto"/>
              <w:left w:val="nil"/>
              <w:bottom w:val="single" w:sz="4" w:space="0" w:color="auto"/>
              <w:right w:val="single" w:sz="4" w:space="0" w:color="auto"/>
            </w:tcBorders>
            <w:hideMark/>
          </w:tcPr>
          <w:p w14:paraId="00F4F50E"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內容</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5069C3F8" w14:textId="77777777" w:rsidR="00A9457B" w:rsidRDefault="00A9457B">
            <w:pPr>
              <w:spacing w:before="40" w:after="40"/>
              <w:jc w:val="both"/>
              <w:rPr>
                <w:rFonts w:cs="Segoe UI"/>
                <w:kern w:val="2"/>
                <w:sz w:val="17"/>
                <w:lang w:eastAsia="en-GB"/>
              </w:rPr>
            </w:pPr>
            <w:r>
              <w:rPr>
                <w:rFonts w:eastAsiaTheme="minorEastAsia" w:cs="Segoe UI" w:hint="eastAsia"/>
                <w:kern w:val="2"/>
                <w:sz w:val="17"/>
                <w:lang w:eastAsia="zh-TW"/>
              </w:rPr>
              <w:t>量化資料。</w:t>
            </w:r>
          </w:p>
        </w:tc>
      </w:tr>
      <w:tr w:rsidR="00A9457B" w14:paraId="6A13AB4C" w14:textId="77777777" w:rsidTr="000F143F">
        <w:tc>
          <w:tcPr>
            <w:tcW w:w="2160" w:type="dxa"/>
            <w:tcBorders>
              <w:top w:val="single" w:sz="4" w:space="0" w:color="auto"/>
              <w:left w:val="nil"/>
              <w:bottom w:val="single" w:sz="4" w:space="0" w:color="auto"/>
              <w:right w:val="single" w:sz="4" w:space="0" w:color="auto"/>
            </w:tcBorders>
            <w:hideMark/>
          </w:tcPr>
          <w:p w14:paraId="20E55C66" w14:textId="77777777" w:rsidR="00A9457B" w:rsidRDefault="00A9457B">
            <w:pPr>
              <w:rPr>
                <w:rFonts w:cs="Segoe UI"/>
                <w:b/>
                <w:kern w:val="2"/>
                <w:sz w:val="17"/>
                <w:szCs w:val="17"/>
              </w:rPr>
            </w:pPr>
            <w:proofErr w:type="spellStart"/>
            <w:r>
              <w:rPr>
                <w:rFonts w:eastAsia="細明體" w:cs="Segoe UI" w:hint="eastAsia"/>
                <w:b/>
                <w:kern w:val="2"/>
                <w:sz w:val="17"/>
                <w:lang w:val="en-US"/>
              </w:rPr>
              <w:t>頻密程度</w:t>
            </w:r>
            <w:proofErr w:type="spellEnd"/>
            <w:r>
              <w:rPr>
                <w:rFonts w:eastAsia="細明體" w:cs="Segoe UI" w:hint="eastAsia"/>
                <w:b/>
                <w:kern w:val="2"/>
                <w:sz w:val="17"/>
                <w:lang w:val="en-US"/>
              </w:rPr>
              <w:t>：</w:t>
            </w:r>
          </w:p>
        </w:tc>
        <w:tc>
          <w:tcPr>
            <w:tcW w:w="7088" w:type="dxa"/>
            <w:tcBorders>
              <w:top w:val="single" w:sz="4" w:space="0" w:color="auto"/>
              <w:left w:val="single" w:sz="4" w:space="0" w:color="auto"/>
              <w:bottom w:val="single" w:sz="4" w:space="0" w:color="auto"/>
              <w:right w:val="nil"/>
            </w:tcBorders>
            <w:hideMark/>
          </w:tcPr>
          <w:p w14:paraId="1A1671AD" w14:textId="77777777" w:rsidR="00A9457B" w:rsidRDefault="00A9457B">
            <w:pPr>
              <w:pStyle w:val="TableText"/>
              <w:jc w:val="both"/>
              <w:rPr>
                <w:rFonts w:eastAsiaTheme="minorEastAsia" w:cs="Segoe UI"/>
                <w:kern w:val="2"/>
                <w:lang w:eastAsia="en-GB"/>
              </w:rPr>
            </w:pPr>
            <w:r>
              <w:rPr>
                <w:rFonts w:eastAsiaTheme="minorEastAsia" w:cs="Segoe UI" w:hint="eastAsia"/>
                <w:kern w:val="2"/>
                <w:lang w:eastAsia="zh-TW"/>
              </w:rPr>
              <w:t>每年一次。</w:t>
            </w:r>
            <w:r>
              <w:rPr>
                <w:rFonts w:cs="Segoe UI"/>
                <w:kern w:val="2"/>
                <w:lang w:eastAsia="en-GB"/>
              </w:rPr>
              <w:t xml:space="preserve"> </w:t>
            </w:r>
          </w:p>
        </w:tc>
      </w:tr>
      <w:tr w:rsidR="00A9457B" w14:paraId="2E5500BF" w14:textId="77777777" w:rsidTr="000F143F">
        <w:tc>
          <w:tcPr>
            <w:tcW w:w="2160" w:type="dxa"/>
            <w:tcBorders>
              <w:top w:val="single" w:sz="4" w:space="0" w:color="auto"/>
              <w:left w:val="nil"/>
              <w:bottom w:val="single" w:sz="4" w:space="0" w:color="auto"/>
              <w:right w:val="single" w:sz="4" w:space="0" w:color="auto"/>
            </w:tcBorders>
            <w:hideMark/>
          </w:tcPr>
          <w:p w14:paraId="0F9F7E52"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格式</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74BDBEFE" w14:textId="77777777" w:rsidR="00A9457B" w:rsidRDefault="00A9457B">
            <w:pPr>
              <w:pStyle w:val="TableText"/>
              <w:jc w:val="both"/>
              <w:rPr>
                <w:rFonts w:cs="Segoe UI"/>
                <w:kern w:val="2"/>
                <w:lang w:eastAsia="en-GB"/>
              </w:rPr>
            </w:pPr>
            <w:r>
              <w:rPr>
                <w:rFonts w:eastAsiaTheme="minorEastAsia" w:cs="Segoe UI" w:hint="eastAsia"/>
                <w:kern w:val="2"/>
                <w:lang w:eastAsia="zh-TW"/>
              </w:rPr>
              <w:t>非固定。</w:t>
            </w:r>
          </w:p>
        </w:tc>
      </w:tr>
      <w:tr w:rsidR="00A9457B" w14:paraId="27C78B13" w14:textId="77777777" w:rsidTr="000F143F">
        <w:tc>
          <w:tcPr>
            <w:tcW w:w="2160" w:type="dxa"/>
            <w:tcBorders>
              <w:top w:val="single" w:sz="4" w:space="0" w:color="auto"/>
              <w:left w:val="nil"/>
              <w:bottom w:val="single" w:sz="4" w:space="0" w:color="auto"/>
              <w:right w:val="single" w:sz="4" w:space="0" w:color="auto"/>
            </w:tcBorders>
            <w:hideMark/>
          </w:tcPr>
          <w:p w14:paraId="0E0A7D93"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附加說明</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4380303E" w14:textId="08356852" w:rsidR="00A9457B" w:rsidRDefault="00A9457B" w:rsidP="00FC5741">
            <w:pPr>
              <w:spacing w:before="40" w:after="40"/>
              <w:jc w:val="both"/>
              <w:rPr>
                <w:rFonts w:cs="Segoe UI"/>
                <w:noProof/>
                <w:kern w:val="2"/>
                <w:sz w:val="17"/>
                <w:szCs w:val="17"/>
                <w:lang w:val="en-US" w:eastAsia="zh-TW"/>
              </w:rPr>
            </w:pPr>
            <w:r>
              <w:rPr>
                <w:rFonts w:eastAsia="細明體" w:cs="Segoe UI" w:hint="eastAsia"/>
                <w:kern w:val="2"/>
                <w:sz w:val="17"/>
                <w:szCs w:val="17"/>
                <w:lang w:eastAsia="zh-TW"/>
              </w:rPr>
              <w:t>認可機構應以敘述評</w:t>
            </w:r>
            <w:proofErr w:type="gramStart"/>
            <w:r>
              <w:rPr>
                <w:rFonts w:eastAsia="細明體" w:cs="Segoe UI" w:hint="eastAsia"/>
                <w:kern w:val="2"/>
                <w:sz w:val="17"/>
                <w:szCs w:val="17"/>
                <w:lang w:eastAsia="zh-TW"/>
              </w:rPr>
              <w:t>註</w:t>
            </w:r>
            <w:proofErr w:type="gramEnd"/>
            <w:r>
              <w:rPr>
                <w:rFonts w:ascii="細明體" w:eastAsia="細明體" w:hAnsi="細明體" w:cs="Segoe UI" w:hint="eastAsia"/>
                <w:kern w:val="2"/>
                <w:sz w:val="17"/>
                <w:szCs w:val="17"/>
                <w:lang w:eastAsia="zh-TW"/>
              </w:rPr>
              <w:t>，</w:t>
            </w:r>
            <w:r>
              <w:rPr>
                <w:rFonts w:eastAsia="細明體" w:cs="Segoe UI" w:hint="eastAsia"/>
                <w:kern w:val="2"/>
                <w:sz w:val="17"/>
                <w:szCs w:val="17"/>
                <w:lang w:eastAsia="zh-TW"/>
              </w:rPr>
              <w:t>闡明在報告期內的任何重大</w:t>
            </w:r>
            <w:r w:rsidR="00FC5741" w:rsidRPr="00FC5741">
              <w:rPr>
                <w:rFonts w:eastAsia="細明體" w:cs="Segoe UI" w:hint="eastAsia"/>
                <w:kern w:val="2"/>
                <w:sz w:val="17"/>
                <w:szCs w:val="17"/>
                <w:lang w:eastAsia="zh-TW"/>
              </w:rPr>
              <w:t>改</w:t>
            </w:r>
            <w:r>
              <w:rPr>
                <w:rFonts w:eastAsia="細明體" w:cs="Segoe UI" w:hint="eastAsia"/>
                <w:kern w:val="2"/>
                <w:sz w:val="17"/>
                <w:szCs w:val="17"/>
                <w:lang w:eastAsia="zh-TW"/>
              </w:rPr>
              <w:t>變及引致有關</w:t>
            </w:r>
            <w:r w:rsidR="00FC5741" w:rsidRPr="00FC5741">
              <w:rPr>
                <w:rFonts w:eastAsia="細明體" w:cs="Segoe UI" w:hint="eastAsia"/>
                <w:kern w:val="2"/>
                <w:sz w:val="17"/>
                <w:szCs w:val="17"/>
                <w:lang w:eastAsia="zh-TW"/>
              </w:rPr>
              <w:t>改</w:t>
            </w:r>
            <w:r>
              <w:rPr>
                <w:rFonts w:eastAsia="細明體" w:cs="Segoe UI" w:hint="eastAsia"/>
                <w:kern w:val="2"/>
                <w:sz w:val="17"/>
                <w:szCs w:val="17"/>
                <w:lang w:eastAsia="zh-TW"/>
              </w:rPr>
              <w:t>變的主要驅動因素，以</w:t>
            </w:r>
            <w:proofErr w:type="gramStart"/>
            <w:r>
              <w:rPr>
                <w:rFonts w:eastAsia="細明體" w:cs="Segoe UI" w:hint="eastAsia"/>
                <w:kern w:val="2"/>
                <w:sz w:val="17"/>
                <w:szCs w:val="17"/>
                <w:lang w:eastAsia="zh-TW"/>
              </w:rPr>
              <w:t>補充本模版</w:t>
            </w:r>
            <w:proofErr w:type="gramEnd"/>
            <w:r>
              <w:rPr>
                <w:rFonts w:eastAsia="細明體" w:cs="Segoe UI" w:hint="eastAsia"/>
                <w:kern w:val="2"/>
                <w:sz w:val="17"/>
                <w:szCs w:val="17"/>
                <w:lang w:eastAsia="zh-TW"/>
              </w:rPr>
              <w:t>。</w:t>
            </w:r>
          </w:p>
        </w:tc>
      </w:tr>
      <w:tr w:rsidR="00A9457B" w14:paraId="14ABF047" w14:textId="77777777" w:rsidTr="000F143F">
        <w:tc>
          <w:tcPr>
            <w:tcW w:w="2160" w:type="dxa"/>
            <w:tcBorders>
              <w:top w:val="single" w:sz="4" w:space="0" w:color="auto"/>
              <w:left w:val="nil"/>
              <w:bottom w:val="single" w:sz="4" w:space="0" w:color="auto"/>
              <w:right w:val="single" w:sz="4" w:space="0" w:color="auto"/>
            </w:tcBorders>
            <w:hideMark/>
          </w:tcPr>
          <w:p w14:paraId="2D2F157F" w14:textId="77777777" w:rsidR="00A9457B" w:rsidRDefault="00A9457B">
            <w:pPr>
              <w:rPr>
                <w:rFonts w:cs="Segoe UI"/>
                <w:b/>
                <w:kern w:val="2"/>
                <w:sz w:val="17"/>
                <w:szCs w:val="17"/>
                <w:lang w:eastAsia="zh-TW"/>
              </w:rPr>
            </w:pPr>
            <w:r>
              <w:rPr>
                <w:rFonts w:eastAsia="細明體" w:cs="Segoe UI" w:hint="eastAsia"/>
                <w:b/>
                <w:kern w:val="2"/>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hideMark/>
          </w:tcPr>
          <w:p w14:paraId="02586875" w14:textId="77777777" w:rsidR="00A9457B" w:rsidRDefault="00A9457B">
            <w:pPr>
              <w:pStyle w:val="TableText"/>
              <w:jc w:val="both"/>
              <w:rPr>
                <w:rFonts w:eastAsiaTheme="minorEastAsia" w:cs="Segoe UI"/>
                <w:kern w:val="2"/>
                <w:szCs w:val="17"/>
                <w:lang w:eastAsia="zh-TW"/>
              </w:rPr>
            </w:pPr>
            <w:r>
              <w:rPr>
                <w:rFonts w:eastAsiaTheme="minorEastAsia" w:cs="Segoe UI"/>
                <w:kern w:val="2"/>
                <w:szCs w:val="17"/>
                <w:lang w:eastAsia="zh-TW"/>
              </w:rPr>
              <w:t>16ZU</w:t>
            </w:r>
          </w:p>
        </w:tc>
      </w:tr>
    </w:tbl>
    <w:p w14:paraId="232D87DF" w14:textId="77777777" w:rsidR="009312BE" w:rsidRDefault="009312BE">
      <w:pPr>
        <w:rPr>
          <w:rFonts w:eastAsiaTheme="minorEastAsia" w:cs="Segoe UI"/>
          <w:lang w:eastAsia="zh-TW"/>
        </w:rPr>
      </w:pPr>
    </w:p>
    <w:tbl>
      <w:tblPr>
        <w:tblW w:w="9216"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144"/>
        <w:gridCol w:w="1276"/>
        <w:gridCol w:w="1204"/>
        <w:gridCol w:w="1205"/>
        <w:gridCol w:w="1205"/>
        <w:gridCol w:w="1205"/>
        <w:gridCol w:w="1205"/>
        <w:gridCol w:w="1205"/>
      </w:tblGrid>
      <w:tr w:rsidR="00A9457B" w14:paraId="5AA75141" w14:textId="77777777" w:rsidTr="00A9457B">
        <w:trPr>
          <w:cantSplit/>
          <w:trHeight w:val="249"/>
          <w:tblHeader/>
        </w:trPr>
        <w:tc>
          <w:tcPr>
            <w:tcW w:w="566" w:type="dxa"/>
            <w:tcBorders>
              <w:top w:val="nil"/>
              <w:left w:val="nil"/>
              <w:bottom w:val="single" w:sz="4" w:space="0" w:color="auto"/>
              <w:right w:val="nil"/>
            </w:tcBorders>
          </w:tcPr>
          <w:p w14:paraId="24C249B5" w14:textId="77777777" w:rsidR="00A9457B" w:rsidRDefault="00A9457B">
            <w:pPr>
              <w:pStyle w:val="TableText"/>
              <w:snapToGrid w:val="0"/>
              <w:rPr>
                <w:rFonts w:cs="Segoe UI"/>
                <w:kern w:val="2"/>
                <w:lang w:eastAsia="en-GB"/>
              </w:rPr>
            </w:pPr>
          </w:p>
        </w:tc>
        <w:tc>
          <w:tcPr>
            <w:tcW w:w="1419" w:type="dxa"/>
            <w:gridSpan w:val="2"/>
            <w:tcBorders>
              <w:top w:val="nil"/>
              <w:left w:val="nil"/>
              <w:bottom w:val="single" w:sz="4" w:space="0" w:color="auto"/>
              <w:right w:val="single" w:sz="4" w:space="0" w:color="auto"/>
            </w:tcBorders>
            <w:vAlign w:val="center"/>
          </w:tcPr>
          <w:p w14:paraId="4C927A79" w14:textId="77777777" w:rsidR="00A9457B" w:rsidRDefault="00A9457B">
            <w:pPr>
              <w:pStyle w:val="TableText"/>
              <w:snapToGrid w:val="0"/>
              <w:rPr>
                <w:rFonts w:cs="Segoe UI"/>
                <w:kern w:val="2"/>
                <w:lang w:eastAsia="en-GB"/>
              </w:rPr>
            </w:pPr>
          </w:p>
        </w:tc>
        <w:tc>
          <w:tcPr>
            <w:tcW w:w="1204" w:type="dxa"/>
            <w:tcBorders>
              <w:top w:val="single" w:sz="4" w:space="0" w:color="auto"/>
              <w:left w:val="nil"/>
              <w:bottom w:val="single" w:sz="4" w:space="0" w:color="auto"/>
              <w:right w:val="single" w:sz="4" w:space="0" w:color="auto"/>
            </w:tcBorders>
            <w:vAlign w:val="center"/>
            <w:hideMark/>
          </w:tcPr>
          <w:p w14:paraId="2A714601" w14:textId="77777777" w:rsidR="00A9457B" w:rsidRDefault="00A9457B">
            <w:pPr>
              <w:pStyle w:val="TableText"/>
              <w:snapToGrid w:val="0"/>
              <w:jc w:val="center"/>
              <w:rPr>
                <w:rFonts w:cs="Segoe UI"/>
                <w:bCs/>
                <w:kern w:val="2"/>
                <w:szCs w:val="17"/>
                <w:lang w:eastAsia="it-IT"/>
              </w:rPr>
            </w:pPr>
            <w:r>
              <w:rPr>
                <w:rFonts w:cs="Segoe UI"/>
                <w:bCs/>
                <w:kern w:val="2"/>
                <w:szCs w:val="17"/>
                <w:lang w:eastAsia="it-IT"/>
              </w:rPr>
              <w:t>(a)</w:t>
            </w:r>
          </w:p>
        </w:tc>
        <w:tc>
          <w:tcPr>
            <w:tcW w:w="1205" w:type="dxa"/>
            <w:tcBorders>
              <w:top w:val="single" w:sz="4" w:space="0" w:color="auto"/>
              <w:left w:val="nil"/>
              <w:bottom w:val="single" w:sz="4" w:space="0" w:color="auto"/>
              <w:right w:val="single" w:sz="4" w:space="0" w:color="auto"/>
            </w:tcBorders>
            <w:vAlign w:val="center"/>
            <w:hideMark/>
          </w:tcPr>
          <w:p w14:paraId="56976A3B" w14:textId="77777777" w:rsidR="00A9457B" w:rsidRDefault="00A9457B">
            <w:pPr>
              <w:pStyle w:val="TableText"/>
              <w:snapToGrid w:val="0"/>
              <w:jc w:val="center"/>
              <w:rPr>
                <w:rFonts w:cs="Segoe UI"/>
                <w:bCs/>
                <w:kern w:val="2"/>
                <w:szCs w:val="17"/>
                <w:lang w:eastAsia="it-IT"/>
              </w:rPr>
            </w:pPr>
            <w:r>
              <w:rPr>
                <w:rFonts w:cs="Segoe UI"/>
                <w:bCs/>
                <w:kern w:val="2"/>
                <w:szCs w:val="17"/>
                <w:lang w:eastAsia="it-IT"/>
              </w:rPr>
              <w:t>(b)</w:t>
            </w:r>
          </w:p>
        </w:tc>
        <w:tc>
          <w:tcPr>
            <w:tcW w:w="1205" w:type="dxa"/>
            <w:tcBorders>
              <w:top w:val="single" w:sz="4" w:space="0" w:color="auto"/>
              <w:left w:val="nil"/>
              <w:bottom w:val="single" w:sz="4" w:space="0" w:color="auto"/>
              <w:right w:val="single" w:sz="4" w:space="0" w:color="auto"/>
            </w:tcBorders>
            <w:vAlign w:val="center"/>
            <w:hideMark/>
          </w:tcPr>
          <w:p w14:paraId="09D3396C" w14:textId="77777777" w:rsidR="00A9457B" w:rsidRDefault="00A9457B">
            <w:pPr>
              <w:pStyle w:val="TableText"/>
              <w:snapToGrid w:val="0"/>
              <w:jc w:val="center"/>
              <w:rPr>
                <w:rFonts w:cs="Segoe UI"/>
                <w:kern w:val="2"/>
                <w:lang w:eastAsia="en-GB"/>
              </w:rPr>
            </w:pPr>
            <w:r>
              <w:rPr>
                <w:rFonts w:cs="Segoe UI"/>
                <w:kern w:val="2"/>
                <w:lang w:eastAsia="en-GB"/>
              </w:rPr>
              <w:t>(c)</w:t>
            </w:r>
          </w:p>
        </w:tc>
        <w:tc>
          <w:tcPr>
            <w:tcW w:w="1205" w:type="dxa"/>
            <w:tcBorders>
              <w:top w:val="single" w:sz="4" w:space="0" w:color="auto"/>
              <w:left w:val="nil"/>
              <w:bottom w:val="single" w:sz="4" w:space="0" w:color="auto"/>
              <w:right w:val="single" w:sz="4" w:space="0" w:color="auto"/>
            </w:tcBorders>
            <w:vAlign w:val="center"/>
            <w:hideMark/>
          </w:tcPr>
          <w:p w14:paraId="074E8B80" w14:textId="77777777" w:rsidR="00A9457B" w:rsidRDefault="00A9457B">
            <w:pPr>
              <w:pStyle w:val="TableText"/>
              <w:snapToGrid w:val="0"/>
              <w:jc w:val="center"/>
              <w:rPr>
                <w:rFonts w:cs="Segoe UI"/>
                <w:kern w:val="2"/>
                <w:lang w:eastAsia="en-GB"/>
              </w:rPr>
            </w:pPr>
            <w:r>
              <w:rPr>
                <w:rFonts w:cs="Segoe UI"/>
                <w:kern w:val="2"/>
                <w:lang w:eastAsia="en-GB"/>
              </w:rPr>
              <w:t>(d)</w:t>
            </w:r>
          </w:p>
        </w:tc>
        <w:tc>
          <w:tcPr>
            <w:tcW w:w="1205" w:type="dxa"/>
            <w:tcBorders>
              <w:top w:val="single" w:sz="4" w:space="0" w:color="auto"/>
              <w:left w:val="nil"/>
              <w:bottom w:val="single" w:sz="4" w:space="0" w:color="auto"/>
              <w:right w:val="single" w:sz="4" w:space="0" w:color="auto"/>
            </w:tcBorders>
            <w:vAlign w:val="center"/>
            <w:hideMark/>
          </w:tcPr>
          <w:p w14:paraId="6B4A67DE" w14:textId="77777777" w:rsidR="00A9457B" w:rsidRDefault="00A9457B">
            <w:pPr>
              <w:pStyle w:val="TableText"/>
              <w:snapToGrid w:val="0"/>
              <w:jc w:val="center"/>
              <w:rPr>
                <w:rFonts w:cs="Segoe UI"/>
                <w:bCs/>
                <w:kern w:val="2"/>
                <w:szCs w:val="17"/>
                <w:lang w:eastAsia="it-IT"/>
              </w:rPr>
            </w:pPr>
            <w:r>
              <w:rPr>
                <w:rFonts w:cs="Segoe UI"/>
                <w:bCs/>
                <w:kern w:val="2"/>
                <w:szCs w:val="17"/>
                <w:lang w:eastAsia="it-IT"/>
              </w:rPr>
              <w:t>(e)</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07F9C99" w14:textId="77777777" w:rsidR="00A9457B" w:rsidRDefault="00A9457B">
            <w:pPr>
              <w:pStyle w:val="TableText"/>
              <w:snapToGrid w:val="0"/>
              <w:jc w:val="center"/>
              <w:rPr>
                <w:rFonts w:cs="Segoe UI"/>
                <w:bCs/>
                <w:kern w:val="2"/>
                <w:szCs w:val="17"/>
                <w:lang w:eastAsia="it-IT"/>
              </w:rPr>
            </w:pPr>
            <w:r>
              <w:rPr>
                <w:rFonts w:cs="Segoe UI"/>
                <w:bCs/>
                <w:kern w:val="2"/>
                <w:szCs w:val="17"/>
                <w:lang w:eastAsia="it-IT"/>
              </w:rPr>
              <w:t>(f)</w:t>
            </w:r>
          </w:p>
        </w:tc>
      </w:tr>
      <w:tr w:rsidR="00A9457B" w14:paraId="2C65F2A7" w14:textId="77777777" w:rsidTr="00A9457B">
        <w:trPr>
          <w:cantSplit/>
          <w:tblHeader/>
        </w:trPr>
        <w:tc>
          <w:tcPr>
            <w:tcW w:w="1985" w:type="dxa"/>
            <w:gridSpan w:val="3"/>
            <w:vMerge w:val="restart"/>
            <w:tcBorders>
              <w:top w:val="single" w:sz="4" w:space="0" w:color="auto"/>
              <w:left w:val="nil"/>
              <w:bottom w:val="single" w:sz="4" w:space="0" w:color="auto"/>
              <w:right w:val="single" w:sz="4" w:space="0" w:color="auto"/>
            </w:tcBorders>
            <w:hideMark/>
          </w:tcPr>
          <w:p w14:paraId="5FE502E1" w14:textId="77777777" w:rsidR="00A9457B" w:rsidRDefault="00A9457B">
            <w:pPr>
              <w:pStyle w:val="TableText"/>
              <w:snapToGrid w:val="0"/>
              <w:rPr>
                <w:rFonts w:cs="Segoe UI"/>
                <w:kern w:val="2"/>
                <w:lang w:eastAsia="en-GB"/>
              </w:rPr>
            </w:pPr>
            <w:r>
              <w:rPr>
                <w:rFonts w:eastAsiaTheme="minorEastAsia" w:cs="Segoe UI" w:hint="eastAsia"/>
                <w:kern w:val="2"/>
                <w:lang w:eastAsia="zh-TW"/>
              </w:rPr>
              <w:t>特別款項</w:t>
            </w:r>
          </w:p>
        </w:tc>
        <w:tc>
          <w:tcPr>
            <w:tcW w:w="2409" w:type="dxa"/>
            <w:gridSpan w:val="2"/>
            <w:tcBorders>
              <w:top w:val="single" w:sz="4" w:space="0" w:color="auto"/>
              <w:left w:val="nil"/>
              <w:bottom w:val="single" w:sz="4" w:space="0" w:color="auto"/>
              <w:right w:val="single" w:sz="4" w:space="0" w:color="auto"/>
            </w:tcBorders>
            <w:vAlign w:val="center"/>
            <w:hideMark/>
          </w:tcPr>
          <w:p w14:paraId="6FAC4A87"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保證花紅</w:t>
            </w:r>
          </w:p>
        </w:tc>
        <w:tc>
          <w:tcPr>
            <w:tcW w:w="2410" w:type="dxa"/>
            <w:gridSpan w:val="2"/>
            <w:tcBorders>
              <w:top w:val="single" w:sz="4" w:space="0" w:color="auto"/>
              <w:left w:val="nil"/>
              <w:bottom w:val="single" w:sz="4" w:space="0" w:color="auto"/>
              <w:right w:val="single" w:sz="4" w:space="0" w:color="auto"/>
            </w:tcBorders>
            <w:vAlign w:val="center"/>
            <w:hideMark/>
          </w:tcPr>
          <w:p w14:paraId="3FB40040"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簽約獎金</w:t>
            </w:r>
          </w:p>
        </w:tc>
        <w:tc>
          <w:tcPr>
            <w:tcW w:w="2410" w:type="dxa"/>
            <w:gridSpan w:val="2"/>
            <w:tcBorders>
              <w:top w:val="single" w:sz="4" w:space="0" w:color="auto"/>
              <w:left w:val="nil"/>
              <w:bottom w:val="single" w:sz="4" w:space="0" w:color="auto"/>
              <w:right w:val="single" w:sz="4" w:space="0" w:color="auto"/>
            </w:tcBorders>
            <w:vAlign w:val="center"/>
            <w:hideMark/>
          </w:tcPr>
          <w:p w14:paraId="777A5D9B"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遣散費</w:t>
            </w:r>
          </w:p>
        </w:tc>
      </w:tr>
      <w:tr w:rsidR="00A9457B" w14:paraId="2F33A2F7" w14:textId="77777777" w:rsidTr="00A9457B">
        <w:trPr>
          <w:cantSplit/>
          <w:tblHeader/>
        </w:trPr>
        <w:tc>
          <w:tcPr>
            <w:tcW w:w="4680" w:type="dxa"/>
            <w:gridSpan w:val="3"/>
            <w:vMerge/>
            <w:tcBorders>
              <w:top w:val="single" w:sz="4" w:space="0" w:color="auto"/>
              <w:left w:val="nil"/>
              <w:bottom w:val="single" w:sz="4" w:space="0" w:color="auto"/>
              <w:right w:val="single" w:sz="4" w:space="0" w:color="auto"/>
            </w:tcBorders>
            <w:vAlign w:val="center"/>
            <w:hideMark/>
          </w:tcPr>
          <w:p w14:paraId="5E1AC782" w14:textId="77777777" w:rsidR="00A9457B" w:rsidRDefault="00A9457B">
            <w:pPr>
              <w:rPr>
                <w:rFonts w:cs="Segoe UI"/>
                <w:kern w:val="2"/>
                <w:sz w:val="17"/>
                <w:lang w:eastAsia="en-GB"/>
              </w:rPr>
            </w:pPr>
          </w:p>
        </w:tc>
        <w:tc>
          <w:tcPr>
            <w:tcW w:w="1204" w:type="dxa"/>
            <w:tcBorders>
              <w:top w:val="single" w:sz="4" w:space="0" w:color="auto"/>
              <w:left w:val="nil"/>
              <w:bottom w:val="single" w:sz="4" w:space="0" w:color="auto"/>
              <w:right w:val="single" w:sz="4" w:space="0" w:color="auto"/>
            </w:tcBorders>
            <w:vAlign w:val="center"/>
            <w:hideMark/>
          </w:tcPr>
          <w:p w14:paraId="4464B412"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員工數目</w:t>
            </w:r>
          </w:p>
        </w:tc>
        <w:tc>
          <w:tcPr>
            <w:tcW w:w="1205" w:type="dxa"/>
            <w:tcBorders>
              <w:top w:val="single" w:sz="4" w:space="0" w:color="auto"/>
              <w:left w:val="nil"/>
              <w:bottom w:val="single" w:sz="4" w:space="0" w:color="auto"/>
              <w:right w:val="single" w:sz="4" w:space="0" w:color="auto"/>
            </w:tcBorders>
            <w:vAlign w:val="center"/>
            <w:hideMark/>
          </w:tcPr>
          <w:p w14:paraId="665CFB51"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總額</w:t>
            </w:r>
          </w:p>
        </w:tc>
        <w:tc>
          <w:tcPr>
            <w:tcW w:w="1205" w:type="dxa"/>
            <w:tcBorders>
              <w:top w:val="single" w:sz="4" w:space="0" w:color="auto"/>
              <w:left w:val="nil"/>
              <w:bottom w:val="single" w:sz="4" w:space="0" w:color="auto"/>
              <w:right w:val="single" w:sz="4" w:space="0" w:color="auto"/>
            </w:tcBorders>
            <w:vAlign w:val="center"/>
            <w:hideMark/>
          </w:tcPr>
          <w:p w14:paraId="18223808"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員工數目</w:t>
            </w:r>
          </w:p>
        </w:tc>
        <w:tc>
          <w:tcPr>
            <w:tcW w:w="1205" w:type="dxa"/>
            <w:tcBorders>
              <w:top w:val="single" w:sz="4" w:space="0" w:color="auto"/>
              <w:left w:val="nil"/>
              <w:bottom w:val="single" w:sz="4" w:space="0" w:color="auto"/>
              <w:right w:val="single" w:sz="4" w:space="0" w:color="auto"/>
            </w:tcBorders>
            <w:vAlign w:val="center"/>
            <w:hideMark/>
          </w:tcPr>
          <w:p w14:paraId="73CC4A11"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總額</w:t>
            </w:r>
          </w:p>
        </w:tc>
        <w:tc>
          <w:tcPr>
            <w:tcW w:w="1205" w:type="dxa"/>
            <w:tcBorders>
              <w:top w:val="single" w:sz="4" w:space="0" w:color="auto"/>
              <w:left w:val="nil"/>
              <w:bottom w:val="single" w:sz="4" w:space="0" w:color="auto"/>
              <w:right w:val="single" w:sz="4" w:space="0" w:color="auto"/>
            </w:tcBorders>
            <w:vAlign w:val="center"/>
            <w:hideMark/>
          </w:tcPr>
          <w:p w14:paraId="7F427318"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員工數目</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34668EA" w14:textId="77777777" w:rsidR="00A9457B" w:rsidRDefault="00A9457B">
            <w:pPr>
              <w:pStyle w:val="TableText"/>
              <w:snapToGrid w:val="0"/>
              <w:jc w:val="center"/>
              <w:rPr>
                <w:rFonts w:cs="Segoe UI"/>
                <w:kern w:val="2"/>
                <w:lang w:eastAsia="en-GB"/>
              </w:rPr>
            </w:pPr>
            <w:r>
              <w:rPr>
                <w:rFonts w:eastAsiaTheme="minorEastAsia" w:cs="Segoe UI" w:hint="eastAsia"/>
                <w:kern w:val="2"/>
                <w:lang w:eastAsia="zh-TW"/>
              </w:rPr>
              <w:t>總額</w:t>
            </w:r>
          </w:p>
        </w:tc>
      </w:tr>
      <w:tr w:rsidR="00A9457B" w14:paraId="27B70647" w14:textId="77777777" w:rsidTr="00A9457B">
        <w:trPr>
          <w:cantSplit/>
          <w:tblHeader/>
        </w:trPr>
        <w:tc>
          <w:tcPr>
            <w:tcW w:w="709" w:type="dxa"/>
            <w:gridSpan w:val="2"/>
            <w:tcBorders>
              <w:top w:val="single" w:sz="4" w:space="0" w:color="auto"/>
              <w:left w:val="nil"/>
              <w:bottom w:val="single" w:sz="4" w:space="0" w:color="auto"/>
              <w:right w:val="single" w:sz="4" w:space="0" w:color="auto"/>
            </w:tcBorders>
            <w:hideMark/>
          </w:tcPr>
          <w:p w14:paraId="6AFF9BEB" w14:textId="77777777" w:rsidR="00A9457B" w:rsidRDefault="00A9457B">
            <w:pPr>
              <w:pStyle w:val="TableText"/>
              <w:snapToGrid w:val="0"/>
              <w:rPr>
                <w:rFonts w:cs="Segoe UI"/>
                <w:kern w:val="2"/>
                <w:lang w:eastAsia="en-GB"/>
              </w:rPr>
            </w:pPr>
            <w:r>
              <w:rPr>
                <w:rFonts w:cs="Segoe UI"/>
                <w:kern w:val="2"/>
                <w:lang w:eastAsia="en-GB"/>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D7D6E" w14:textId="77777777" w:rsidR="00A9457B" w:rsidRDefault="00A9457B">
            <w:pPr>
              <w:pStyle w:val="TableText"/>
              <w:snapToGrid w:val="0"/>
              <w:ind w:rightChars="-54" w:right="-108"/>
              <w:rPr>
                <w:rFonts w:cs="Segoe UI"/>
                <w:kern w:val="2"/>
                <w:lang w:eastAsia="en-GB"/>
              </w:rPr>
            </w:pPr>
            <w:r>
              <w:rPr>
                <w:rFonts w:eastAsiaTheme="minorEastAsia" w:cs="Segoe UI" w:hint="eastAsia"/>
                <w:kern w:val="2"/>
                <w:lang w:eastAsia="zh-TW"/>
              </w:rPr>
              <w:t>高級管理</w:t>
            </w:r>
            <w:proofErr w:type="spellStart"/>
            <w:r>
              <w:rPr>
                <w:rFonts w:eastAsia="細明體" w:cs="Segoe UI" w:hint="eastAsia"/>
                <w:kern w:val="2"/>
                <w:lang w:val="en-US"/>
              </w:rPr>
              <w:t>人員</w:t>
            </w:r>
            <w:proofErr w:type="spellEnd"/>
          </w:p>
        </w:tc>
        <w:tc>
          <w:tcPr>
            <w:tcW w:w="1204" w:type="dxa"/>
            <w:tcBorders>
              <w:top w:val="single" w:sz="4" w:space="0" w:color="auto"/>
              <w:left w:val="single" w:sz="4" w:space="0" w:color="auto"/>
              <w:bottom w:val="single" w:sz="4" w:space="0" w:color="auto"/>
              <w:right w:val="single" w:sz="4" w:space="0" w:color="auto"/>
            </w:tcBorders>
          </w:tcPr>
          <w:p w14:paraId="7F91D6EC" w14:textId="77777777" w:rsidR="00A9457B" w:rsidRDefault="00A9457B">
            <w:pPr>
              <w:pStyle w:val="TableText"/>
              <w:snapToGrid w:val="0"/>
              <w:rPr>
                <w:rFonts w:cs="Segoe UI"/>
                <w:kern w:val="2"/>
                <w:lang w:eastAsia="en-GB"/>
              </w:rPr>
            </w:pPr>
          </w:p>
        </w:tc>
        <w:tc>
          <w:tcPr>
            <w:tcW w:w="1205" w:type="dxa"/>
            <w:tcBorders>
              <w:top w:val="single" w:sz="4" w:space="0" w:color="auto"/>
              <w:left w:val="single" w:sz="4" w:space="0" w:color="auto"/>
              <w:bottom w:val="single" w:sz="4" w:space="0" w:color="auto"/>
              <w:right w:val="single" w:sz="4" w:space="0" w:color="auto"/>
            </w:tcBorders>
          </w:tcPr>
          <w:p w14:paraId="18EF2694" w14:textId="77777777" w:rsidR="00A9457B" w:rsidRDefault="00A9457B">
            <w:pPr>
              <w:pStyle w:val="TableText"/>
              <w:snapToGrid w:val="0"/>
              <w:rPr>
                <w:rFonts w:cs="Segoe UI"/>
                <w:kern w:val="2"/>
                <w:lang w:eastAsia="en-GB"/>
              </w:rPr>
            </w:pPr>
          </w:p>
        </w:tc>
        <w:tc>
          <w:tcPr>
            <w:tcW w:w="1205" w:type="dxa"/>
            <w:tcBorders>
              <w:top w:val="single" w:sz="4" w:space="0" w:color="auto"/>
              <w:left w:val="single" w:sz="4" w:space="0" w:color="auto"/>
              <w:bottom w:val="single" w:sz="4" w:space="0" w:color="auto"/>
              <w:right w:val="single" w:sz="4" w:space="0" w:color="auto"/>
            </w:tcBorders>
          </w:tcPr>
          <w:p w14:paraId="29A7C592" w14:textId="77777777" w:rsidR="00A9457B" w:rsidRDefault="00A9457B">
            <w:pPr>
              <w:pStyle w:val="TableText"/>
              <w:snapToGrid w:val="0"/>
              <w:rPr>
                <w:rFonts w:cs="Segoe UI"/>
                <w:kern w:val="2"/>
                <w:lang w:eastAsia="en-GB"/>
              </w:rPr>
            </w:pPr>
          </w:p>
        </w:tc>
        <w:tc>
          <w:tcPr>
            <w:tcW w:w="1205" w:type="dxa"/>
            <w:tcBorders>
              <w:top w:val="single" w:sz="4" w:space="0" w:color="auto"/>
              <w:left w:val="single" w:sz="4" w:space="0" w:color="auto"/>
              <w:bottom w:val="single" w:sz="4" w:space="0" w:color="auto"/>
              <w:right w:val="single" w:sz="4" w:space="0" w:color="auto"/>
            </w:tcBorders>
          </w:tcPr>
          <w:p w14:paraId="245348A8" w14:textId="77777777" w:rsidR="00A9457B" w:rsidRDefault="00A9457B">
            <w:pPr>
              <w:pStyle w:val="TableText"/>
              <w:snapToGrid w:val="0"/>
              <w:rPr>
                <w:rFonts w:cs="Segoe UI"/>
                <w:kern w:val="2"/>
                <w:lang w:eastAsia="en-GB"/>
              </w:rPr>
            </w:pPr>
          </w:p>
        </w:tc>
        <w:tc>
          <w:tcPr>
            <w:tcW w:w="1205" w:type="dxa"/>
            <w:tcBorders>
              <w:top w:val="single" w:sz="4" w:space="0" w:color="auto"/>
              <w:left w:val="single" w:sz="4" w:space="0" w:color="auto"/>
              <w:bottom w:val="single" w:sz="4" w:space="0" w:color="auto"/>
              <w:right w:val="single" w:sz="4" w:space="0" w:color="auto"/>
            </w:tcBorders>
          </w:tcPr>
          <w:p w14:paraId="2A172DF9" w14:textId="77777777" w:rsidR="00A9457B" w:rsidRDefault="00A9457B">
            <w:pPr>
              <w:pStyle w:val="TableText"/>
              <w:snapToGrid w:val="0"/>
              <w:rPr>
                <w:rFonts w:cs="Segoe UI"/>
                <w:b/>
                <w:noProof/>
                <w:kern w:val="2"/>
                <w:lang w:eastAsia="en-GB"/>
              </w:rPr>
            </w:pPr>
          </w:p>
        </w:tc>
        <w:tc>
          <w:tcPr>
            <w:tcW w:w="1205" w:type="dxa"/>
            <w:tcBorders>
              <w:top w:val="single" w:sz="4" w:space="0" w:color="auto"/>
              <w:left w:val="single" w:sz="4" w:space="0" w:color="auto"/>
              <w:bottom w:val="single" w:sz="4" w:space="0" w:color="auto"/>
              <w:right w:val="single" w:sz="4" w:space="0" w:color="auto"/>
            </w:tcBorders>
            <w:vAlign w:val="center"/>
          </w:tcPr>
          <w:p w14:paraId="564B743C" w14:textId="77777777" w:rsidR="00A9457B" w:rsidRDefault="00A9457B">
            <w:pPr>
              <w:pStyle w:val="TableText"/>
              <w:snapToGrid w:val="0"/>
              <w:rPr>
                <w:rFonts w:cs="Segoe UI"/>
                <w:kern w:val="2"/>
                <w:lang w:eastAsia="en-GB"/>
              </w:rPr>
            </w:pPr>
          </w:p>
        </w:tc>
      </w:tr>
      <w:tr w:rsidR="00A9457B" w14:paraId="77AD3E24" w14:textId="77777777" w:rsidTr="00A9457B">
        <w:trPr>
          <w:cantSplit/>
        </w:trPr>
        <w:tc>
          <w:tcPr>
            <w:tcW w:w="709" w:type="dxa"/>
            <w:gridSpan w:val="2"/>
            <w:tcBorders>
              <w:top w:val="single" w:sz="4" w:space="0" w:color="auto"/>
              <w:left w:val="nil"/>
              <w:bottom w:val="single" w:sz="4" w:space="0" w:color="auto"/>
              <w:right w:val="single" w:sz="4" w:space="0" w:color="auto"/>
            </w:tcBorders>
            <w:hideMark/>
          </w:tcPr>
          <w:p w14:paraId="33789B86" w14:textId="77777777" w:rsidR="00A9457B" w:rsidRDefault="00A9457B">
            <w:pPr>
              <w:pStyle w:val="TableText"/>
              <w:snapToGrid w:val="0"/>
              <w:rPr>
                <w:rFonts w:cs="Segoe UI"/>
                <w:kern w:val="2"/>
                <w:lang w:eastAsia="en-GB"/>
              </w:rPr>
            </w:pPr>
            <w:r>
              <w:rPr>
                <w:rFonts w:cs="Segoe UI"/>
                <w:kern w:val="2"/>
                <w:lang w:eastAsia="en-GB"/>
              </w:rPr>
              <w:t>2</w:t>
            </w:r>
          </w:p>
        </w:tc>
        <w:tc>
          <w:tcPr>
            <w:tcW w:w="1276" w:type="dxa"/>
            <w:tcBorders>
              <w:top w:val="single" w:sz="4" w:space="0" w:color="auto"/>
              <w:left w:val="single" w:sz="4" w:space="0" w:color="auto"/>
              <w:bottom w:val="single" w:sz="4" w:space="0" w:color="auto"/>
              <w:right w:val="single" w:sz="4" w:space="0" w:color="auto"/>
            </w:tcBorders>
            <w:hideMark/>
          </w:tcPr>
          <w:p w14:paraId="34F33354" w14:textId="77777777" w:rsidR="00A9457B" w:rsidRDefault="00A9457B">
            <w:pPr>
              <w:pStyle w:val="TableText"/>
              <w:snapToGrid w:val="0"/>
              <w:ind w:rightChars="-54" w:right="-108"/>
              <w:rPr>
                <w:rFonts w:cs="Segoe UI"/>
                <w:kern w:val="2"/>
                <w:lang w:eastAsia="zh-TW"/>
              </w:rPr>
            </w:pPr>
            <w:proofErr w:type="spellStart"/>
            <w:r>
              <w:rPr>
                <w:rFonts w:eastAsia="細明體" w:cs="Segoe UI" w:hint="eastAsia"/>
                <w:kern w:val="2"/>
                <w:lang w:val="en-US"/>
              </w:rPr>
              <w:t>主要人員</w:t>
            </w:r>
            <w:proofErr w:type="spellEnd"/>
          </w:p>
        </w:tc>
        <w:tc>
          <w:tcPr>
            <w:tcW w:w="1204" w:type="dxa"/>
            <w:tcBorders>
              <w:top w:val="single" w:sz="4" w:space="0" w:color="auto"/>
              <w:left w:val="single" w:sz="4" w:space="0" w:color="auto"/>
              <w:bottom w:val="single" w:sz="4" w:space="0" w:color="auto"/>
              <w:right w:val="single" w:sz="4" w:space="0" w:color="auto"/>
            </w:tcBorders>
          </w:tcPr>
          <w:p w14:paraId="7104FA93" w14:textId="77777777" w:rsidR="00A9457B" w:rsidRDefault="00A9457B">
            <w:pPr>
              <w:pStyle w:val="TableText"/>
              <w:snapToGrid w:val="0"/>
              <w:rPr>
                <w:rFonts w:cs="Segoe UI"/>
                <w:kern w:val="2"/>
                <w:lang w:eastAsia="zh-TW"/>
              </w:rPr>
            </w:pPr>
          </w:p>
        </w:tc>
        <w:tc>
          <w:tcPr>
            <w:tcW w:w="1205" w:type="dxa"/>
            <w:tcBorders>
              <w:top w:val="single" w:sz="4" w:space="0" w:color="auto"/>
              <w:left w:val="single" w:sz="4" w:space="0" w:color="auto"/>
              <w:bottom w:val="single" w:sz="4" w:space="0" w:color="auto"/>
              <w:right w:val="single" w:sz="4" w:space="0" w:color="auto"/>
            </w:tcBorders>
          </w:tcPr>
          <w:p w14:paraId="670DCA2B" w14:textId="77777777" w:rsidR="00A9457B" w:rsidRDefault="00A9457B">
            <w:pPr>
              <w:pStyle w:val="TableText"/>
              <w:snapToGrid w:val="0"/>
              <w:rPr>
                <w:rFonts w:cs="Segoe UI"/>
                <w:kern w:val="2"/>
                <w:lang w:eastAsia="zh-TW"/>
              </w:rPr>
            </w:pPr>
          </w:p>
        </w:tc>
        <w:tc>
          <w:tcPr>
            <w:tcW w:w="1205" w:type="dxa"/>
            <w:tcBorders>
              <w:top w:val="single" w:sz="4" w:space="0" w:color="auto"/>
              <w:left w:val="single" w:sz="4" w:space="0" w:color="auto"/>
              <w:bottom w:val="single" w:sz="4" w:space="0" w:color="auto"/>
              <w:right w:val="single" w:sz="4" w:space="0" w:color="auto"/>
            </w:tcBorders>
          </w:tcPr>
          <w:p w14:paraId="1711BBB3" w14:textId="77777777" w:rsidR="00A9457B" w:rsidRDefault="00A9457B">
            <w:pPr>
              <w:pStyle w:val="TableText"/>
              <w:snapToGrid w:val="0"/>
              <w:rPr>
                <w:rFonts w:cs="Segoe UI"/>
                <w:kern w:val="2"/>
                <w:lang w:eastAsia="zh-TW"/>
              </w:rPr>
            </w:pPr>
          </w:p>
        </w:tc>
        <w:tc>
          <w:tcPr>
            <w:tcW w:w="1205" w:type="dxa"/>
            <w:tcBorders>
              <w:top w:val="single" w:sz="4" w:space="0" w:color="auto"/>
              <w:left w:val="single" w:sz="4" w:space="0" w:color="auto"/>
              <w:bottom w:val="single" w:sz="4" w:space="0" w:color="auto"/>
              <w:right w:val="single" w:sz="4" w:space="0" w:color="auto"/>
            </w:tcBorders>
          </w:tcPr>
          <w:p w14:paraId="1E5A80F8" w14:textId="77777777" w:rsidR="00A9457B" w:rsidRDefault="00A9457B">
            <w:pPr>
              <w:pStyle w:val="TableText"/>
              <w:snapToGrid w:val="0"/>
              <w:rPr>
                <w:rFonts w:cs="Segoe UI"/>
                <w:kern w:val="2"/>
                <w:lang w:eastAsia="zh-TW"/>
              </w:rPr>
            </w:pPr>
          </w:p>
        </w:tc>
        <w:tc>
          <w:tcPr>
            <w:tcW w:w="1205" w:type="dxa"/>
            <w:tcBorders>
              <w:top w:val="single" w:sz="4" w:space="0" w:color="auto"/>
              <w:left w:val="single" w:sz="4" w:space="0" w:color="auto"/>
              <w:bottom w:val="single" w:sz="4" w:space="0" w:color="auto"/>
              <w:right w:val="single" w:sz="4" w:space="0" w:color="auto"/>
            </w:tcBorders>
          </w:tcPr>
          <w:p w14:paraId="111273C0" w14:textId="77777777" w:rsidR="00A9457B" w:rsidRDefault="00A9457B">
            <w:pPr>
              <w:pStyle w:val="TableText"/>
              <w:snapToGrid w:val="0"/>
              <w:rPr>
                <w:rFonts w:cs="Segoe UI"/>
                <w:kern w:val="2"/>
                <w:lang w:eastAsia="zh-TW"/>
              </w:rPr>
            </w:pPr>
          </w:p>
        </w:tc>
        <w:tc>
          <w:tcPr>
            <w:tcW w:w="1205" w:type="dxa"/>
            <w:tcBorders>
              <w:top w:val="single" w:sz="4" w:space="0" w:color="auto"/>
              <w:left w:val="single" w:sz="4" w:space="0" w:color="auto"/>
              <w:bottom w:val="single" w:sz="4" w:space="0" w:color="auto"/>
              <w:right w:val="single" w:sz="4" w:space="0" w:color="auto"/>
            </w:tcBorders>
          </w:tcPr>
          <w:p w14:paraId="0BEF556F" w14:textId="77777777" w:rsidR="00A9457B" w:rsidRDefault="00A9457B">
            <w:pPr>
              <w:pStyle w:val="TableText"/>
              <w:snapToGrid w:val="0"/>
              <w:rPr>
                <w:rFonts w:cs="Segoe UI"/>
                <w:kern w:val="2"/>
                <w:lang w:eastAsia="zh-TW"/>
              </w:rPr>
            </w:pPr>
          </w:p>
        </w:tc>
      </w:tr>
    </w:tbl>
    <w:p w14:paraId="4C35DB78" w14:textId="77777777" w:rsidR="00A9457B" w:rsidRDefault="00A9457B">
      <w:pPr>
        <w:rPr>
          <w:rFonts w:eastAsiaTheme="minorEastAsia" w:cs="Segoe UI"/>
          <w:lang w:eastAsia="zh-TW"/>
        </w:rPr>
      </w:pPr>
    </w:p>
    <w:tbl>
      <w:tblPr>
        <w:tblStyle w:val="TableGrid"/>
        <w:tblW w:w="9214" w:type="dxa"/>
        <w:tblInd w:w="-459" w:type="dxa"/>
        <w:tblLook w:val="04A0" w:firstRow="1" w:lastRow="0" w:firstColumn="1" w:lastColumn="0" w:noHBand="0" w:noVBand="1"/>
      </w:tblPr>
      <w:tblGrid>
        <w:gridCol w:w="709"/>
        <w:gridCol w:w="8505"/>
      </w:tblGrid>
      <w:tr w:rsidR="00A9457B" w14:paraId="098D297B" w14:textId="77777777" w:rsidTr="00A9457B">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31761E" w14:textId="77777777" w:rsidR="00A9457B" w:rsidRDefault="00A9457B">
            <w:pPr>
              <w:spacing w:before="40" w:after="40"/>
              <w:jc w:val="both"/>
              <w:rPr>
                <w:rFonts w:eastAsiaTheme="minorEastAsia" w:cs="Segoe UI"/>
                <w:b/>
                <w:sz w:val="17"/>
                <w:szCs w:val="17"/>
                <w:lang w:eastAsia="en-GB"/>
              </w:rPr>
            </w:pPr>
            <w:proofErr w:type="gramStart"/>
            <w:r>
              <w:rPr>
                <w:rFonts w:eastAsiaTheme="minorEastAsia" w:cs="Segoe UI" w:hint="eastAsia"/>
                <w:b/>
                <w:sz w:val="17"/>
                <w:szCs w:val="17"/>
                <w:lang w:eastAsia="zh-TW"/>
              </w:rPr>
              <w:t>註</w:t>
            </w:r>
            <w:proofErr w:type="gramEnd"/>
            <w:r>
              <w:rPr>
                <w:rFonts w:eastAsiaTheme="minorEastAsia" w:cs="Segoe UI" w:hint="eastAsia"/>
                <w:b/>
                <w:sz w:val="17"/>
                <w:szCs w:val="17"/>
                <w:lang w:eastAsia="zh-TW"/>
              </w:rPr>
              <w:t>釋</w:t>
            </w:r>
          </w:p>
        </w:tc>
      </w:tr>
      <w:tr w:rsidR="00A9457B" w14:paraId="6071D99F" w14:textId="77777777" w:rsidTr="00A9457B">
        <w:trPr>
          <w:trHeight w:val="153"/>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7CF93A" w14:textId="77777777" w:rsidR="00A9457B" w:rsidRDefault="00A9457B">
            <w:pPr>
              <w:spacing w:before="40" w:after="40"/>
              <w:jc w:val="both"/>
              <w:rPr>
                <w:rFonts w:eastAsiaTheme="minorEastAsia" w:cs="Segoe UI"/>
                <w:b/>
                <w:sz w:val="17"/>
                <w:szCs w:val="17"/>
                <w:lang w:eastAsia="en-GB"/>
              </w:rPr>
            </w:pPr>
            <w:r>
              <w:rPr>
                <w:rFonts w:eastAsiaTheme="minorEastAsia" w:cs="Segoe UI" w:hint="eastAsia"/>
                <w:b/>
                <w:sz w:val="17"/>
                <w:szCs w:val="17"/>
                <w:lang w:eastAsia="zh-TW"/>
              </w:rPr>
              <w:t>欄</w:t>
            </w:r>
          </w:p>
        </w:tc>
      </w:tr>
      <w:tr w:rsidR="00A9457B" w14:paraId="0C0C2B8A" w14:textId="77777777" w:rsidTr="00A9457B">
        <w:tc>
          <w:tcPr>
            <w:tcW w:w="709" w:type="dxa"/>
            <w:tcBorders>
              <w:top w:val="single" w:sz="4" w:space="0" w:color="auto"/>
              <w:left w:val="single" w:sz="4" w:space="0" w:color="auto"/>
              <w:bottom w:val="single" w:sz="4" w:space="0" w:color="auto"/>
              <w:right w:val="single" w:sz="4" w:space="0" w:color="auto"/>
            </w:tcBorders>
            <w:hideMark/>
          </w:tcPr>
          <w:p w14:paraId="0AB68168" w14:textId="77777777" w:rsidR="00A9457B" w:rsidRDefault="00A9457B">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(a)</w:t>
            </w:r>
            <w:r>
              <w:rPr>
                <w:rFonts w:eastAsiaTheme="minorEastAsia" w:cs="Segoe UI" w:hint="eastAsia"/>
                <w:sz w:val="17"/>
                <w:szCs w:val="17"/>
                <w:lang w:eastAsia="zh-TW"/>
              </w:rPr>
              <w:t>及</w:t>
            </w:r>
            <w:r>
              <w:rPr>
                <w:rFonts w:cs="Segoe UI"/>
                <w:sz w:val="17"/>
                <w:szCs w:val="17"/>
                <w:lang w:eastAsia="en-GB"/>
              </w:rPr>
              <w:t>(b)</w:t>
            </w:r>
          </w:p>
        </w:tc>
        <w:tc>
          <w:tcPr>
            <w:tcW w:w="8505" w:type="dxa"/>
            <w:tcBorders>
              <w:top w:val="single" w:sz="4" w:space="0" w:color="auto"/>
              <w:left w:val="single" w:sz="4" w:space="0" w:color="auto"/>
              <w:bottom w:val="single" w:sz="4" w:space="0" w:color="auto"/>
              <w:right w:val="single" w:sz="4" w:space="0" w:color="auto"/>
            </w:tcBorders>
            <w:hideMark/>
          </w:tcPr>
          <w:p w14:paraId="168F21B0" w14:textId="77777777" w:rsidR="00A9457B" w:rsidRDefault="00A9457B">
            <w:pPr>
              <w:pStyle w:val="TableText"/>
              <w:keepNext/>
              <w:jc w:val="both"/>
              <w:rPr>
                <w:rFonts w:cs="Segoe UI"/>
                <w:szCs w:val="17"/>
                <w:lang w:eastAsia="zh-TW"/>
              </w:rPr>
            </w:pPr>
            <w:r>
              <w:rPr>
                <w:rFonts w:eastAsia="細明體" w:cs="Segoe UI" w:hint="eastAsia"/>
                <w:i/>
                <w:szCs w:val="17"/>
                <w:lang w:eastAsia="zh-TW"/>
              </w:rPr>
              <w:t>保證花紅</w:t>
            </w:r>
            <w:r>
              <w:rPr>
                <w:rFonts w:eastAsiaTheme="minorEastAsia" w:cs="Segoe UI" w:hint="eastAsia"/>
                <w:szCs w:val="17"/>
                <w:lang w:eastAsia="zh-TW"/>
              </w:rPr>
              <w:t>：有關財政年度內獲發放保證花紅的員工數目及所支付的款額。</w:t>
            </w:r>
          </w:p>
        </w:tc>
      </w:tr>
      <w:tr w:rsidR="00A9457B" w14:paraId="2883C713" w14:textId="77777777" w:rsidTr="00A9457B">
        <w:tc>
          <w:tcPr>
            <w:tcW w:w="709" w:type="dxa"/>
            <w:tcBorders>
              <w:top w:val="single" w:sz="4" w:space="0" w:color="auto"/>
              <w:left w:val="single" w:sz="4" w:space="0" w:color="auto"/>
              <w:bottom w:val="single" w:sz="4" w:space="0" w:color="auto"/>
              <w:right w:val="single" w:sz="4" w:space="0" w:color="auto"/>
            </w:tcBorders>
            <w:hideMark/>
          </w:tcPr>
          <w:p w14:paraId="49EF155D" w14:textId="77777777" w:rsidR="00A9457B" w:rsidRDefault="00A9457B">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(c)</w:t>
            </w:r>
            <w:r>
              <w:rPr>
                <w:rFonts w:eastAsiaTheme="minorEastAsia" w:cs="Segoe UI" w:hint="eastAsia"/>
                <w:sz w:val="17"/>
                <w:szCs w:val="17"/>
                <w:lang w:eastAsia="zh-TW"/>
              </w:rPr>
              <w:t>及</w:t>
            </w:r>
            <w:r>
              <w:rPr>
                <w:rFonts w:cs="Segoe UI"/>
                <w:sz w:val="17"/>
                <w:szCs w:val="17"/>
                <w:lang w:eastAsia="en-GB"/>
              </w:rPr>
              <w:t>(d)</w:t>
            </w:r>
          </w:p>
        </w:tc>
        <w:tc>
          <w:tcPr>
            <w:tcW w:w="8505" w:type="dxa"/>
            <w:tcBorders>
              <w:top w:val="single" w:sz="4" w:space="0" w:color="auto"/>
              <w:left w:val="single" w:sz="4" w:space="0" w:color="auto"/>
              <w:bottom w:val="single" w:sz="4" w:space="0" w:color="auto"/>
              <w:right w:val="single" w:sz="4" w:space="0" w:color="auto"/>
            </w:tcBorders>
            <w:hideMark/>
          </w:tcPr>
          <w:p w14:paraId="74136E85" w14:textId="77777777" w:rsidR="00A9457B" w:rsidRDefault="00A9457B">
            <w:pPr>
              <w:pStyle w:val="TableText"/>
              <w:keepNext/>
              <w:jc w:val="both"/>
              <w:rPr>
                <w:rFonts w:cs="Segoe UI"/>
                <w:szCs w:val="17"/>
                <w:lang w:eastAsia="zh-TW"/>
              </w:rPr>
            </w:pPr>
            <w:r>
              <w:rPr>
                <w:rFonts w:eastAsiaTheme="minorEastAsia" w:cs="Segoe UI" w:hint="eastAsia"/>
                <w:i/>
                <w:lang w:eastAsia="zh-TW"/>
              </w:rPr>
              <w:t>簽約獎</w:t>
            </w:r>
            <w:r>
              <w:rPr>
                <w:rFonts w:eastAsiaTheme="minorEastAsia" w:cs="Segoe UI" w:hint="eastAsia"/>
                <w:i/>
                <w:szCs w:val="17"/>
                <w:lang w:eastAsia="zh-TW"/>
              </w:rPr>
              <w:t>金</w:t>
            </w:r>
            <w:r>
              <w:rPr>
                <w:rFonts w:eastAsiaTheme="minorEastAsia" w:cs="Segoe UI" w:hint="eastAsia"/>
                <w:szCs w:val="17"/>
                <w:lang w:eastAsia="zh-TW"/>
              </w:rPr>
              <w:t>：有關財政年度內獲發放受聘酬金的員工數目及在員工受聘時支付的款額。</w:t>
            </w:r>
          </w:p>
        </w:tc>
      </w:tr>
      <w:tr w:rsidR="00A9457B" w14:paraId="0D4D4E4C" w14:textId="77777777" w:rsidTr="00A9457B">
        <w:tc>
          <w:tcPr>
            <w:tcW w:w="709" w:type="dxa"/>
            <w:tcBorders>
              <w:top w:val="single" w:sz="4" w:space="0" w:color="auto"/>
              <w:left w:val="single" w:sz="4" w:space="0" w:color="auto"/>
              <w:bottom w:val="single" w:sz="4" w:space="0" w:color="auto"/>
              <w:right w:val="single" w:sz="4" w:space="0" w:color="auto"/>
            </w:tcBorders>
            <w:hideMark/>
          </w:tcPr>
          <w:p w14:paraId="6278E6F6" w14:textId="77777777" w:rsidR="00A9457B" w:rsidRDefault="00A9457B">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(e)</w:t>
            </w:r>
            <w:r>
              <w:rPr>
                <w:rFonts w:eastAsiaTheme="minorEastAsia" w:cs="Segoe UI" w:hint="eastAsia"/>
                <w:sz w:val="17"/>
                <w:szCs w:val="17"/>
                <w:lang w:eastAsia="zh-TW"/>
              </w:rPr>
              <w:t>及</w:t>
            </w:r>
            <w:r>
              <w:rPr>
                <w:rFonts w:cs="Segoe UI"/>
                <w:sz w:val="17"/>
                <w:szCs w:val="17"/>
                <w:lang w:eastAsia="en-GB"/>
              </w:rPr>
              <w:t>(f)</w:t>
            </w:r>
          </w:p>
        </w:tc>
        <w:tc>
          <w:tcPr>
            <w:tcW w:w="8505" w:type="dxa"/>
            <w:tcBorders>
              <w:top w:val="single" w:sz="4" w:space="0" w:color="auto"/>
              <w:left w:val="single" w:sz="4" w:space="0" w:color="auto"/>
              <w:bottom w:val="single" w:sz="4" w:space="0" w:color="auto"/>
              <w:right w:val="single" w:sz="4" w:space="0" w:color="auto"/>
            </w:tcBorders>
            <w:hideMark/>
          </w:tcPr>
          <w:p w14:paraId="53415B02" w14:textId="77777777" w:rsidR="00A9457B" w:rsidRDefault="00A9457B">
            <w:pPr>
              <w:pStyle w:val="TableText"/>
              <w:keepNext/>
              <w:jc w:val="both"/>
              <w:rPr>
                <w:rFonts w:cs="Segoe UI"/>
                <w:szCs w:val="17"/>
                <w:lang w:eastAsia="zh-TW"/>
              </w:rPr>
            </w:pPr>
            <w:r>
              <w:rPr>
                <w:rFonts w:eastAsiaTheme="minorEastAsia" w:cs="Segoe UI" w:hint="eastAsia"/>
                <w:i/>
                <w:szCs w:val="17"/>
                <w:lang w:eastAsia="zh-TW"/>
              </w:rPr>
              <w:t>遣散費</w:t>
            </w:r>
            <w:r>
              <w:rPr>
                <w:rFonts w:eastAsiaTheme="minorEastAsia" w:cs="Segoe UI" w:hint="eastAsia"/>
                <w:szCs w:val="17"/>
                <w:lang w:eastAsia="zh-TW"/>
              </w:rPr>
              <w:t>：有關財政年度內獲發放遣散費的被解僱員工數目及支付予被解僱員工的款項。</w:t>
            </w:r>
          </w:p>
        </w:tc>
      </w:tr>
      <w:tr w:rsidR="00A9457B" w14:paraId="3AF328A4" w14:textId="77777777" w:rsidTr="00A9457B">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162AB" w14:textId="77777777" w:rsidR="00A9457B" w:rsidRDefault="00A9457B">
            <w:pPr>
              <w:spacing w:before="40" w:after="40"/>
              <w:jc w:val="both"/>
              <w:rPr>
                <w:rFonts w:eastAsiaTheme="minorEastAsia" w:cs="Segoe UI"/>
                <w:b/>
                <w:sz w:val="17"/>
                <w:szCs w:val="17"/>
                <w:lang w:eastAsia="en-GB"/>
              </w:rPr>
            </w:pPr>
            <w:r>
              <w:rPr>
                <w:rFonts w:eastAsiaTheme="minorEastAsia" w:cs="Segoe UI" w:hint="eastAsia"/>
                <w:b/>
                <w:sz w:val="17"/>
                <w:szCs w:val="17"/>
                <w:lang w:eastAsia="zh-TW"/>
              </w:rPr>
              <w:t>行</w:t>
            </w:r>
          </w:p>
        </w:tc>
      </w:tr>
      <w:tr w:rsidR="00A9457B" w14:paraId="6E8D475E" w14:textId="77777777" w:rsidTr="00A9457B">
        <w:trPr>
          <w:trHeight w:val="309"/>
        </w:trPr>
        <w:tc>
          <w:tcPr>
            <w:tcW w:w="709" w:type="dxa"/>
            <w:tcBorders>
              <w:top w:val="single" w:sz="4" w:space="0" w:color="auto"/>
              <w:left w:val="single" w:sz="4" w:space="0" w:color="auto"/>
              <w:bottom w:val="single" w:sz="4" w:space="0" w:color="auto"/>
              <w:right w:val="single" w:sz="4" w:space="0" w:color="auto"/>
            </w:tcBorders>
            <w:hideMark/>
          </w:tcPr>
          <w:p w14:paraId="1D6AF259" w14:textId="77777777" w:rsidR="00A9457B" w:rsidRDefault="00A9457B">
            <w:pPr>
              <w:keepLines/>
              <w:widowControl w:val="0"/>
              <w:tabs>
                <w:tab w:val="left" w:pos="150"/>
                <w:tab w:val="left" w:pos="397"/>
                <w:tab w:val="left" w:pos="794"/>
                <w:tab w:val="left" w:pos="1191"/>
              </w:tabs>
              <w:spacing w:before="40" w:after="40"/>
              <w:rPr>
                <w:rFonts w:cs="Segoe UI"/>
                <w:sz w:val="17"/>
                <w:szCs w:val="17"/>
                <w:lang w:eastAsia="en-GB"/>
              </w:rPr>
            </w:pPr>
            <w:r>
              <w:rPr>
                <w:rFonts w:cs="Segoe UI"/>
                <w:sz w:val="17"/>
                <w:szCs w:val="17"/>
                <w:lang w:eastAsia="en-GB"/>
              </w:rPr>
              <w:t>1</w:t>
            </w:r>
            <w:r>
              <w:rPr>
                <w:rFonts w:eastAsiaTheme="minorEastAsia" w:cs="Segoe UI" w:hint="eastAsia"/>
                <w:sz w:val="17"/>
                <w:szCs w:val="17"/>
                <w:lang w:eastAsia="zh-TW"/>
              </w:rPr>
              <w:t>及</w:t>
            </w:r>
            <w:r>
              <w:rPr>
                <w:rFonts w:cs="Segoe UI"/>
                <w:sz w:val="17"/>
                <w:szCs w:val="17"/>
                <w:lang w:eastAsia="en-GB"/>
              </w:rPr>
              <w:t>2</w:t>
            </w:r>
          </w:p>
        </w:tc>
        <w:tc>
          <w:tcPr>
            <w:tcW w:w="8505" w:type="dxa"/>
            <w:tcBorders>
              <w:top w:val="single" w:sz="4" w:space="0" w:color="auto"/>
              <w:left w:val="single" w:sz="4" w:space="0" w:color="auto"/>
              <w:bottom w:val="single" w:sz="4" w:space="0" w:color="auto"/>
              <w:right w:val="single" w:sz="4" w:space="0" w:color="auto"/>
            </w:tcBorders>
            <w:hideMark/>
          </w:tcPr>
          <w:p w14:paraId="2AE000D9" w14:textId="77777777" w:rsidR="00A9457B" w:rsidRDefault="00A9457B">
            <w:pPr>
              <w:pStyle w:val="TableText"/>
              <w:keepNext/>
              <w:jc w:val="both"/>
              <w:rPr>
                <w:rFonts w:eastAsia="細明體" w:cs="Segoe UI"/>
                <w:szCs w:val="17"/>
                <w:lang w:eastAsia="zh-TW"/>
              </w:rPr>
            </w:pPr>
            <w:r>
              <w:rPr>
                <w:rFonts w:eastAsia="細明體" w:cs="Segoe UI" w:hint="eastAsia"/>
                <w:i/>
                <w:szCs w:val="17"/>
                <w:lang w:eastAsia="zh-TW"/>
              </w:rPr>
              <w:t>高級管理</w:t>
            </w:r>
            <w:r>
              <w:rPr>
                <w:rFonts w:eastAsia="細明體" w:cs="Segoe UI" w:hint="eastAsia"/>
                <w:i/>
                <w:lang w:eastAsia="zh-TW"/>
              </w:rPr>
              <w:t>人員</w:t>
            </w:r>
            <w:r>
              <w:rPr>
                <w:rFonts w:eastAsiaTheme="minorEastAsia" w:cs="Segoe UI"/>
                <w:i/>
                <w:szCs w:val="17"/>
                <w:lang w:eastAsia="zh-TW"/>
              </w:rPr>
              <w:t xml:space="preserve"> </w:t>
            </w:r>
            <w:r>
              <w:rPr>
                <w:rFonts w:cs="Segoe UI"/>
                <w:i/>
                <w:szCs w:val="17"/>
                <w:lang w:eastAsia="zh-TW"/>
              </w:rPr>
              <w:t>/</w:t>
            </w:r>
            <w:r>
              <w:rPr>
                <w:rFonts w:eastAsia="細明體" w:cs="Segoe UI" w:hint="eastAsia"/>
                <w:i/>
                <w:lang w:eastAsia="zh-TW"/>
              </w:rPr>
              <w:t>主要人員</w:t>
            </w:r>
            <w:r>
              <w:rPr>
                <w:rFonts w:eastAsia="細明體" w:cs="Segoe UI" w:hint="eastAsia"/>
                <w:szCs w:val="17"/>
                <w:lang w:eastAsia="zh-TW"/>
              </w:rPr>
              <w:t>：第</w:t>
            </w:r>
            <w:r>
              <w:rPr>
                <w:rFonts w:eastAsia="細明體" w:cs="Segoe UI"/>
                <w:szCs w:val="17"/>
                <w:lang w:eastAsia="zh-TW"/>
              </w:rPr>
              <w:t>1</w:t>
            </w:r>
            <w:r>
              <w:rPr>
                <w:rFonts w:eastAsia="細明體" w:cs="Segoe UI" w:hint="eastAsia"/>
                <w:szCs w:val="17"/>
                <w:lang w:eastAsia="zh-TW"/>
              </w:rPr>
              <w:t>及</w:t>
            </w:r>
            <w:r>
              <w:rPr>
                <w:rFonts w:eastAsia="細明體" w:cs="Segoe UI"/>
                <w:szCs w:val="17"/>
                <w:lang w:eastAsia="zh-TW"/>
              </w:rPr>
              <w:t>2</w:t>
            </w:r>
            <w:r>
              <w:rPr>
                <w:rFonts w:eastAsia="細明體" w:cs="Segoe UI" w:hint="eastAsia"/>
                <w:szCs w:val="17"/>
                <w:lang w:eastAsia="zh-TW"/>
              </w:rPr>
              <w:t>行所載的類別應與表</w:t>
            </w:r>
            <w:r>
              <w:rPr>
                <w:rFonts w:cs="Segoe UI"/>
                <w:szCs w:val="17"/>
                <w:lang w:eastAsia="zh-TW"/>
              </w:rPr>
              <w:t>REMA</w:t>
            </w:r>
            <w:r>
              <w:rPr>
                <w:rFonts w:eastAsia="細明體" w:cs="Segoe UI" w:hint="eastAsia"/>
                <w:szCs w:val="17"/>
                <w:lang w:eastAsia="zh-TW"/>
              </w:rPr>
              <w:t>所載的員工類別對應。</w:t>
            </w:r>
            <w:proofErr w:type="gramStart"/>
            <w:r>
              <w:rPr>
                <w:rFonts w:eastAsia="細明體" w:cs="Segoe UI" w:hint="eastAsia"/>
                <w:szCs w:val="17"/>
                <w:lang w:eastAsia="zh-TW"/>
              </w:rPr>
              <w:t>（</w:t>
            </w:r>
            <w:proofErr w:type="gramEnd"/>
            <w:r>
              <w:rPr>
                <w:rFonts w:eastAsia="細明體" w:cs="Segoe UI" w:hint="eastAsia"/>
                <w:szCs w:val="17"/>
                <w:lang w:eastAsia="zh-TW"/>
              </w:rPr>
              <w:t>備註：如認可機構行政人員數目過少，令個別人士的薪酬可能很容易地從披露的明細分類資料中</w:t>
            </w:r>
            <w:r>
              <w:rPr>
                <w:rFonts w:eastAsiaTheme="minorEastAsia" w:cs="Segoe UI" w:hint="eastAsia"/>
                <w:szCs w:val="17"/>
                <w:lang w:eastAsia="zh-TW"/>
              </w:rPr>
              <w:t>被</w:t>
            </w:r>
            <w:r>
              <w:rPr>
                <w:rFonts w:eastAsia="細明體" w:cs="Segoe UI" w:hint="eastAsia"/>
                <w:szCs w:val="17"/>
                <w:lang w:eastAsia="zh-TW"/>
              </w:rPr>
              <w:t>推斷出來，只要該資料的敏感程度會對該機構構成不利影響，一個可接受的折衷做法為認可機構只披露高級管理人員及主要人員的合計薪酬總額；然而，該做法及理由</w:t>
            </w:r>
            <w:r>
              <w:rPr>
                <w:rFonts w:asciiTheme="minorEastAsia" w:eastAsiaTheme="minorEastAsia" w:hAnsiTheme="minorEastAsia" w:cs="Segoe UI" w:hint="eastAsia"/>
                <w:szCs w:val="17"/>
                <w:lang w:eastAsia="zh-TW"/>
              </w:rPr>
              <w:t>（</w:t>
            </w:r>
            <w:r>
              <w:rPr>
                <w:rFonts w:eastAsia="細明體" w:cs="Segoe UI" w:hint="eastAsia"/>
                <w:szCs w:val="17"/>
                <w:lang w:eastAsia="zh-TW"/>
              </w:rPr>
              <w:t>即披露總額而非披露個別分類</w:t>
            </w:r>
            <w:r>
              <w:rPr>
                <w:rFonts w:asciiTheme="minorEastAsia" w:eastAsiaTheme="minorEastAsia" w:hAnsiTheme="minorEastAsia" w:cs="Segoe UI" w:hint="eastAsia"/>
                <w:szCs w:val="17"/>
                <w:lang w:eastAsia="zh-TW"/>
              </w:rPr>
              <w:t>）</w:t>
            </w:r>
            <w:r>
              <w:rPr>
                <w:rFonts w:eastAsia="細明體" w:cs="Segoe UI" w:hint="eastAsia"/>
                <w:szCs w:val="17"/>
                <w:lang w:eastAsia="zh-TW"/>
              </w:rPr>
              <w:t>須在附加說明作充分披露。）</w:t>
            </w:r>
          </w:p>
        </w:tc>
      </w:tr>
    </w:tbl>
    <w:p w14:paraId="3CF7C661" w14:textId="77777777" w:rsidR="00A9457B" w:rsidRPr="00CA7301" w:rsidRDefault="00A9457B">
      <w:pPr>
        <w:rPr>
          <w:rFonts w:eastAsiaTheme="minorEastAsia" w:cs="Segoe UI"/>
          <w:lang w:eastAsia="zh-TW"/>
        </w:rPr>
      </w:pPr>
    </w:p>
    <w:p w14:paraId="08823A01" w14:textId="77777777" w:rsidR="00841B91" w:rsidRPr="00CA7301" w:rsidRDefault="00841B91" w:rsidP="00841B91">
      <w:pPr>
        <w:rPr>
          <w:rFonts w:eastAsiaTheme="minorEastAsia" w:cs="Segoe UI"/>
          <w:lang w:val="en-US" w:eastAsia="zh-TW"/>
        </w:rPr>
      </w:pPr>
    </w:p>
    <w:p w14:paraId="06F7E5C6" w14:textId="77777777" w:rsidR="00841B91" w:rsidRPr="00CA7301" w:rsidRDefault="00841B91" w:rsidP="00841B91">
      <w:pPr>
        <w:rPr>
          <w:rFonts w:eastAsiaTheme="minorEastAsia" w:cs="Segoe UI"/>
          <w:lang w:eastAsia="zh-TW"/>
        </w:rPr>
        <w:sectPr w:rsidR="00841B91" w:rsidRPr="00CA7301">
          <w:headerReference w:type="default" r:id="rId111"/>
          <w:footerReference w:type="default" r:id="rId112"/>
          <w:pgSz w:w="11906" w:h="16838"/>
          <w:pgMar w:top="1440" w:right="1800" w:bottom="1440" w:left="1800" w:header="851" w:footer="992" w:gutter="0"/>
          <w:cols w:space="425"/>
          <w:docGrid w:type="lines" w:linePitch="360"/>
        </w:sectPr>
      </w:pPr>
    </w:p>
    <w:p w14:paraId="3A8C7CC1" w14:textId="7AC12C9E" w:rsidR="00216206" w:rsidRPr="00216206" w:rsidRDefault="00216206" w:rsidP="00216206">
      <w:pPr>
        <w:pStyle w:val="Heading2"/>
        <w:keepNext w:val="0"/>
        <w:suppressAutoHyphens w:val="0"/>
        <w:spacing w:before="40" w:line="240" w:lineRule="auto"/>
        <w:ind w:left="-454"/>
        <w:rPr>
          <w:rFonts w:asciiTheme="majorEastAsia" w:eastAsiaTheme="majorEastAsia" w:hAnsiTheme="majorEastAsia" w:cs="微軟正黑體"/>
          <w:b w:val="0"/>
          <w:bCs w:val="0"/>
          <w:sz w:val="22"/>
          <w:szCs w:val="20"/>
          <w:lang w:eastAsia="en-US"/>
        </w:rPr>
      </w:pPr>
      <w:proofErr w:type="spellStart"/>
      <w:r w:rsidRPr="00216206">
        <w:rPr>
          <w:rFonts w:asciiTheme="majorEastAsia" w:eastAsiaTheme="majorEastAsia" w:hAnsiTheme="majorEastAsia" w:cs="微軟正黑體" w:hint="eastAsia"/>
          <w:b w:val="0"/>
          <w:bCs w:val="0"/>
          <w:sz w:val="22"/>
          <w:szCs w:val="20"/>
          <w:lang w:eastAsia="en-US"/>
        </w:rPr>
        <w:t>模版</w:t>
      </w:r>
      <w:proofErr w:type="spellEnd"/>
      <w:r w:rsidRPr="00216206">
        <w:rPr>
          <w:rFonts w:ascii="Segoe UI" w:eastAsiaTheme="majorEastAsia" w:hAnsi="Segoe UI" w:cs="Segoe UI"/>
          <w:b w:val="0"/>
          <w:bCs w:val="0"/>
          <w:sz w:val="22"/>
          <w:szCs w:val="20"/>
          <w:lang w:eastAsia="en-US"/>
        </w:rPr>
        <w:t>REM3</w:t>
      </w:r>
      <w:r w:rsidRPr="00216206">
        <w:rPr>
          <w:rFonts w:asciiTheme="majorEastAsia" w:eastAsiaTheme="majorEastAsia" w:hAnsiTheme="majorEastAsia" w:cs="微軟正黑體" w:hint="eastAsia"/>
          <w:b w:val="0"/>
          <w:bCs w:val="0"/>
          <w:sz w:val="22"/>
          <w:szCs w:val="20"/>
          <w:lang w:eastAsia="en-US"/>
        </w:rPr>
        <w:t>：</w:t>
      </w:r>
      <w:proofErr w:type="spellStart"/>
      <w:r w:rsidRPr="00216206">
        <w:rPr>
          <w:rFonts w:asciiTheme="majorEastAsia" w:eastAsiaTheme="majorEastAsia" w:hAnsiTheme="majorEastAsia" w:cs="微軟正黑體" w:hint="eastAsia"/>
          <w:b w:val="0"/>
          <w:bCs w:val="0"/>
          <w:sz w:val="22"/>
          <w:szCs w:val="20"/>
          <w:lang w:eastAsia="en-US"/>
        </w:rPr>
        <w:t>遞延薪酬</w:t>
      </w:r>
      <w:proofErr w:type="spellEnd"/>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A9457B" w14:paraId="5CDA03A0" w14:textId="77777777" w:rsidTr="000F143F">
        <w:tc>
          <w:tcPr>
            <w:tcW w:w="2160" w:type="dxa"/>
            <w:tcBorders>
              <w:top w:val="single" w:sz="4" w:space="0" w:color="auto"/>
              <w:left w:val="nil"/>
              <w:bottom w:val="single" w:sz="4" w:space="0" w:color="auto"/>
              <w:right w:val="single" w:sz="4" w:space="0" w:color="auto"/>
            </w:tcBorders>
            <w:hideMark/>
          </w:tcPr>
          <w:p w14:paraId="14546E61"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目的</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061B3557" w14:textId="77777777" w:rsidR="00A9457B" w:rsidRDefault="00A9457B">
            <w:pPr>
              <w:spacing w:before="40" w:after="40"/>
              <w:jc w:val="both"/>
              <w:rPr>
                <w:rFonts w:cs="Segoe UI"/>
                <w:kern w:val="2"/>
                <w:sz w:val="17"/>
                <w:szCs w:val="17"/>
                <w:lang w:eastAsia="zh-TW"/>
              </w:rPr>
            </w:pPr>
            <w:r>
              <w:rPr>
                <w:rFonts w:eastAsiaTheme="minorEastAsia" w:cs="Segoe UI" w:hint="eastAsia"/>
                <w:kern w:val="2"/>
                <w:sz w:val="17"/>
                <w:lang w:eastAsia="zh-TW"/>
              </w:rPr>
              <w:t>提供有關遞延及保留薪酬的量化資料。</w:t>
            </w:r>
          </w:p>
        </w:tc>
      </w:tr>
      <w:tr w:rsidR="00A9457B" w14:paraId="504DC904" w14:textId="77777777" w:rsidTr="000F143F">
        <w:tc>
          <w:tcPr>
            <w:tcW w:w="2160" w:type="dxa"/>
            <w:tcBorders>
              <w:top w:val="single" w:sz="4" w:space="0" w:color="auto"/>
              <w:left w:val="nil"/>
              <w:bottom w:val="single" w:sz="4" w:space="0" w:color="auto"/>
              <w:right w:val="single" w:sz="4" w:space="0" w:color="auto"/>
            </w:tcBorders>
            <w:hideMark/>
          </w:tcPr>
          <w:p w14:paraId="32C9F3BB"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適用範圍</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08982846" w14:textId="77777777" w:rsidR="00A9457B" w:rsidRDefault="00A9457B">
            <w:pPr>
              <w:spacing w:before="40" w:after="40"/>
              <w:jc w:val="both"/>
              <w:rPr>
                <w:rFonts w:eastAsiaTheme="minorEastAsia" w:cs="Segoe UI"/>
                <w:kern w:val="2"/>
                <w:sz w:val="17"/>
                <w:lang w:eastAsia="zh-TW"/>
              </w:rPr>
            </w:pPr>
            <w:r>
              <w:rPr>
                <w:rFonts w:eastAsiaTheme="minorEastAsia" w:cs="Segoe UI" w:hint="eastAsia"/>
                <w:kern w:val="2"/>
                <w:sz w:val="17"/>
                <w:lang w:eastAsia="zh-TW"/>
              </w:rPr>
              <w:t>所有在香港成立</w:t>
            </w:r>
            <w:proofErr w:type="gramStart"/>
            <w:r>
              <w:rPr>
                <w:rFonts w:eastAsiaTheme="minorEastAsia" w:cs="Segoe UI" w:hint="eastAsia"/>
                <w:kern w:val="2"/>
                <w:sz w:val="17"/>
                <w:lang w:eastAsia="zh-TW"/>
              </w:rPr>
              <w:t>為法團的</w:t>
            </w:r>
            <w:proofErr w:type="gramEnd"/>
            <w:r>
              <w:rPr>
                <w:rFonts w:eastAsiaTheme="minorEastAsia" w:cs="Segoe UI" w:hint="eastAsia"/>
                <w:kern w:val="2"/>
                <w:sz w:val="17"/>
                <w:lang w:eastAsia="zh-TW"/>
              </w:rPr>
              <w:t>認可機構</w:t>
            </w:r>
            <w:proofErr w:type="gramStart"/>
            <w:r>
              <w:rPr>
                <w:rFonts w:eastAsiaTheme="minorEastAsia" w:cs="Segoe UI" w:hint="eastAsia"/>
                <w:kern w:val="2"/>
                <w:sz w:val="17"/>
                <w:lang w:eastAsia="zh-TW"/>
              </w:rPr>
              <w:t>均須填報本模</w:t>
            </w:r>
            <w:proofErr w:type="gramEnd"/>
            <w:r>
              <w:rPr>
                <w:rFonts w:eastAsiaTheme="minorEastAsia" w:cs="Segoe UI" w:hint="eastAsia"/>
                <w:kern w:val="2"/>
                <w:sz w:val="17"/>
                <w:lang w:eastAsia="zh-TW"/>
              </w:rPr>
              <w:t>版。</w:t>
            </w:r>
          </w:p>
        </w:tc>
      </w:tr>
      <w:tr w:rsidR="00A9457B" w14:paraId="2C7673BA" w14:textId="77777777" w:rsidTr="000F143F">
        <w:tc>
          <w:tcPr>
            <w:tcW w:w="2160" w:type="dxa"/>
            <w:tcBorders>
              <w:top w:val="single" w:sz="4" w:space="0" w:color="auto"/>
              <w:left w:val="nil"/>
              <w:bottom w:val="single" w:sz="4" w:space="0" w:color="auto"/>
              <w:right w:val="single" w:sz="4" w:space="0" w:color="auto"/>
            </w:tcBorders>
            <w:hideMark/>
          </w:tcPr>
          <w:p w14:paraId="53257226"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內容</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5E98F185" w14:textId="77777777" w:rsidR="00A9457B" w:rsidRDefault="00A9457B">
            <w:pPr>
              <w:spacing w:before="40" w:after="40"/>
              <w:jc w:val="both"/>
              <w:rPr>
                <w:rFonts w:cs="Segoe UI"/>
                <w:kern w:val="2"/>
                <w:sz w:val="17"/>
                <w:lang w:eastAsia="en-GB"/>
              </w:rPr>
            </w:pPr>
            <w:r>
              <w:rPr>
                <w:rFonts w:eastAsiaTheme="minorEastAsia" w:cs="Segoe UI" w:hint="eastAsia"/>
                <w:kern w:val="2"/>
                <w:sz w:val="17"/>
                <w:lang w:eastAsia="zh-TW"/>
              </w:rPr>
              <w:t>量化資料（金額）。</w:t>
            </w:r>
          </w:p>
        </w:tc>
      </w:tr>
      <w:tr w:rsidR="00A9457B" w14:paraId="789BF81B" w14:textId="77777777" w:rsidTr="000F143F">
        <w:tc>
          <w:tcPr>
            <w:tcW w:w="2160" w:type="dxa"/>
            <w:tcBorders>
              <w:top w:val="single" w:sz="4" w:space="0" w:color="auto"/>
              <w:left w:val="nil"/>
              <w:bottom w:val="single" w:sz="4" w:space="0" w:color="auto"/>
              <w:right w:val="single" w:sz="4" w:space="0" w:color="auto"/>
            </w:tcBorders>
            <w:hideMark/>
          </w:tcPr>
          <w:p w14:paraId="57427C70" w14:textId="77777777" w:rsidR="00A9457B" w:rsidRDefault="00A9457B">
            <w:pPr>
              <w:rPr>
                <w:rFonts w:cs="Segoe UI"/>
                <w:b/>
                <w:kern w:val="2"/>
                <w:sz w:val="17"/>
                <w:szCs w:val="17"/>
                <w:lang w:eastAsia="zh-TW"/>
              </w:rPr>
            </w:pPr>
            <w:proofErr w:type="spellStart"/>
            <w:r>
              <w:rPr>
                <w:rFonts w:eastAsia="細明體" w:cs="Segoe UI" w:hint="eastAsia"/>
                <w:b/>
                <w:kern w:val="2"/>
                <w:sz w:val="17"/>
                <w:szCs w:val="17"/>
                <w:lang w:val="en-US"/>
              </w:rPr>
              <w:t>頻密程度</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2CACB4AC" w14:textId="77777777" w:rsidR="00A9457B" w:rsidRDefault="00A9457B">
            <w:pPr>
              <w:pStyle w:val="TableText"/>
              <w:jc w:val="both"/>
              <w:rPr>
                <w:rFonts w:eastAsiaTheme="minorEastAsia" w:cs="Segoe UI"/>
                <w:kern w:val="2"/>
                <w:lang w:eastAsia="en-GB"/>
              </w:rPr>
            </w:pPr>
            <w:r>
              <w:rPr>
                <w:rFonts w:eastAsiaTheme="minorEastAsia" w:cs="Segoe UI" w:hint="eastAsia"/>
                <w:kern w:val="2"/>
                <w:lang w:eastAsia="zh-TW"/>
              </w:rPr>
              <w:t>每年一次。</w:t>
            </w:r>
            <w:r>
              <w:rPr>
                <w:rFonts w:cs="Segoe UI"/>
                <w:kern w:val="2"/>
                <w:lang w:eastAsia="en-GB"/>
              </w:rPr>
              <w:t xml:space="preserve"> </w:t>
            </w:r>
          </w:p>
        </w:tc>
      </w:tr>
      <w:tr w:rsidR="00A9457B" w14:paraId="6F6EF80A" w14:textId="77777777" w:rsidTr="000F143F">
        <w:tc>
          <w:tcPr>
            <w:tcW w:w="2160" w:type="dxa"/>
            <w:tcBorders>
              <w:top w:val="single" w:sz="4" w:space="0" w:color="auto"/>
              <w:left w:val="nil"/>
              <w:bottom w:val="single" w:sz="4" w:space="0" w:color="auto"/>
              <w:right w:val="single" w:sz="4" w:space="0" w:color="auto"/>
            </w:tcBorders>
            <w:hideMark/>
          </w:tcPr>
          <w:p w14:paraId="128A2AE8"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格式</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599CCCF0" w14:textId="77777777" w:rsidR="00A9457B" w:rsidRDefault="00A9457B">
            <w:pPr>
              <w:pStyle w:val="TableText"/>
              <w:jc w:val="both"/>
              <w:rPr>
                <w:rFonts w:cs="Segoe UI"/>
                <w:kern w:val="2"/>
                <w:lang w:eastAsia="en-GB"/>
              </w:rPr>
            </w:pPr>
            <w:r>
              <w:rPr>
                <w:rFonts w:eastAsiaTheme="minorEastAsia" w:cs="Segoe UI" w:hint="eastAsia"/>
                <w:kern w:val="2"/>
                <w:lang w:eastAsia="zh-TW"/>
              </w:rPr>
              <w:t>非固定。</w:t>
            </w:r>
          </w:p>
        </w:tc>
      </w:tr>
      <w:tr w:rsidR="00A9457B" w14:paraId="421F426A" w14:textId="77777777" w:rsidTr="000F143F">
        <w:tc>
          <w:tcPr>
            <w:tcW w:w="2160" w:type="dxa"/>
            <w:tcBorders>
              <w:top w:val="single" w:sz="4" w:space="0" w:color="auto"/>
              <w:left w:val="nil"/>
              <w:bottom w:val="single" w:sz="4" w:space="0" w:color="auto"/>
              <w:right w:val="single" w:sz="4" w:space="0" w:color="auto"/>
            </w:tcBorders>
            <w:hideMark/>
          </w:tcPr>
          <w:p w14:paraId="0F2E8435" w14:textId="77777777" w:rsidR="00A9457B" w:rsidRDefault="00A9457B">
            <w:pPr>
              <w:rPr>
                <w:rFonts w:cs="Segoe UI"/>
                <w:b/>
                <w:kern w:val="2"/>
                <w:sz w:val="17"/>
                <w:szCs w:val="17"/>
              </w:rPr>
            </w:pPr>
            <w:proofErr w:type="spellStart"/>
            <w:r>
              <w:rPr>
                <w:rFonts w:eastAsia="細明體" w:cs="Segoe UI" w:hint="eastAsia"/>
                <w:b/>
                <w:kern w:val="2"/>
                <w:sz w:val="17"/>
                <w:szCs w:val="17"/>
                <w:lang w:val="en-US"/>
              </w:rPr>
              <w:t>附加說明</w:t>
            </w:r>
            <w:proofErr w:type="spellEnd"/>
            <w:r>
              <w:rPr>
                <w:rFonts w:eastAsia="細明體" w:cs="Segoe UI" w:hint="eastAsia"/>
                <w:b/>
                <w:kern w:val="2"/>
                <w:sz w:val="17"/>
                <w:szCs w:val="17"/>
                <w:lang w:val="en-US"/>
              </w:rPr>
              <w:t>：</w:t>
            </w:r>
          </w:p>
        </w:tc>
        <w:tc>
          <w:tcPr>
            <w:tcW w:w="7088" w:type="dxa"/>
            <w:tcBorders>
              <w:top w:val="single" w:sz="4" w:space="0" w:color="auto"/>
              <w:left w:val="single" w:sz="4" w:space="0" w:color="auto"/>
              <w:bottom w:val="single" w:sz="4" w:space="0" w:color="auto"/>
              <w:right w:val="nil"/>
            </w:tcBorders>
            <w:hideMark/>
          </w:tcPr>
          <w:p w14:paraId="0692A060" w14:textId="2363915D" w:rsidR="00A9457B" w:rsidRDefault="00A9457B" w:rsidP="00FC5741">
            <w:pPr>
              <w:spacing w:before="40" w:after="40"/>
              <w:jc w:val="both"/>
              <w:rPr>
                <w:rFonts w:cs="Segoe UI"/>
                <w:noProof/>
                <w:kern w:val="2"/>
                <w:sz w:val="17"/>
                <w:szCs w:val="17"/>
                <w:lang w:val="en-US" w:eastAsia="zh-TW"/>
              </w:rPr>
            </w:pPr>
            <w:r>
              <w:rPr>
                <w:rFonts w:eastAsia="細明體" w:cs="Segoe UI" w:hint="eastAsia"/>
                <w:kern w:val="2"/>
                <w:sz w:val="17"/>
                <w:szCs w:val="17"/>
                <w:lang w:eastAsia="zh-TW"/>
              </w:rPr>
              <w:t>認可機構應以敘述評</w:t>
            </w:r>
            <w:proofErr w:type="gramStart"/>
            <w:r>
              <w:rPr>
                <w:rFonts w:eastAsia="細明體" w:cs="Segoe UI" w:hint="eastAsia"/>
                <w:kern w:val="2"/>
                <w:sz w:val="17"/>
                <w:szCs w:val="17"/>
                <w:lang w:eastAsia="zh-TW"/>
              </w:rPr>
              <w:t>註</w:t>
            </w:r>
            <w:proofErr w:type="gramEnd"/>
            <w:r>
              <w:rPr>
                <w:rFonts w:eastAsia="細明體" w:cs="Segoe UI" w:hint="eastAsia"/>
                <w:kern w:val="2"/>
                <w:sz w:val="17"/>
                <w:szCs w:val="17"/>
                <w:lang w:eastAsia="zh-TW"/>
              </w:rPr>
              <w:t>，闡明在報告期內的任何重大</w:t>
            </w:r>
            <w:r w:rsidR="00FC5741" w:rsidRPr="00FC5741">
              <w:rPr>
                <w:rFonts w:eastAsia="細明體" w:cs="Segoe UI" w:hint="eastAsia"/>
                <w:kern w:val="2"/>
                <w:sz w:val="17"/>
                <w:szCs w:val="17"/>
                <w:lang w:eastAsia="zh-TW"/>
              </w:rPr>
              <w:t>改</w:t>
            </w:r>
            <w:r>
              <w:rPr>
                <w:rFonts w:eastAsia="細明體" w:cs="Segoe UI" w:hint="eastAsia"/>
                <w:kern w:val="2"/>
                <w:sz w:val="17"/>
                <w:szCs w:val="17"/>
                <w:lang w:eastAsia="zh-TW"/>
              </w:rPr>
              <w:t>變及引致有關</w:t>
            </w:r>
            <w:r w:rsidR="00FC5741" w:rsidRPr="00FC5741">
              <w:rPr>
                <w:rFonts w:eastAsia="細明體" w:cs="Segoe UI" w:hint="eastAsia"/>
                <w:kern w:val="2"/>
                <w:sz w:val="17"/>
                <w:szCs w:val="17"/>
                <w:lang w:eastAsia="zh-TW"/>
              </w:rPr>
              <w:t>改</w:t>
            </w:r>
            <w:r>
              <w:rPr>
                <w:rFonts w:eastAsia="細明體" w:cs="Segoe UI" w:hint="eastAsia"/>
                <w:kern w:val="2"/>
                <w:sz w:val="17"/>
                <w:szCs w:val="17"/>
                <w:lang w:eastAsia="zh-TW"/>
              </w:rPr>
              <w:t>變的主要驅動因素，以</w:t>
            </w:r>
            <w:proofErr w:type="gramStart"/>
            <w:r>
              <w:rPr>
                <w:rFonts w:eastAsia="細明體" w:cs="Segoe UI" w:hint="eastAsia"/>
                <w:kern w:val="2"/>
                <w:sz w:val="17"/>
                <w:szCs w:val="17"/>
                <w:lang w:eastAsia="zh-TW"/>
              </w:rPr>
              <w:t>補充本模版</w:t>
            </w:r>
            <w:proofErr w:type="gramEnd"/>
            <w:r>
              <w:rPr>
                <w:rFonts w:eastAsia="細明體" w:cs="Segoe UI" w:hint="eastAsia"/>
                <w:kern w:val="2"/>
                <w:sz w:val="17"/>
                <w:szCs w:val="17"/>
                <w:lang w:eastAsia="zh-TW"/>
              </w:rPr>
              <w:t>。</w:t>
            </w:r>
          </w:p>
        </w:tc>
      </w:tr>
      <w:tr w:rsidR="00A9457B" w14:paraId="1A6C0C02" w14:textId="77777777" w:rsidTr="000F143F">
        <w:tc>
          <w:tcPr>
            <w:tcW w:w="2160" w:type="dxa"/>
            <w:tcBorders>
              <w:top w:val="single" w:sz="4" w:space="0" w:color="auto"/>
              <w:left w:val="nil"/>
              <w:bottom w:val="single" w:sz="4" w:space="0" w:color="auto"/>
              <w:right w:val="single" w:sz="4" w:space="0" w:color="auto"/>
            </w:tcBorders>
            <w:hideMark/>
          </w:tcPr>
          <w:p w14:paraId="4443B78C" w14:textId="77777777" w:rsidR="00A9457B" w:rsidRDefault="00A9457B">
            <w:pPr>
              <w:rPr>
                <w:rFonts w:cs="Segoe UI"/>
                <w:b/>
                <w:kern w:val="2"/>
                <w:sz w:val="17"/>
                <w:szCs w:val="17"/>
                <w:lang w:eastAsia="zh-TW"/>
              </w:rPr>
            </w:pPr>
            <w:r>
              <w:rPr>
                <w:rFonts w:eastAsia="細明體" w:cs="Segoe UI" w:hint="eastAsia"/>
                <w:b/>
                <w:kern w:val="2"/>
                <w:sz w:val="17"/>
                <w:szCs w:val="17"/>
                <w:lang w:eastAsia="zh-TW"/>
              </w:rPr>
              <w:t>《披露規則》相應條文：</w:t>
            </w:r>
          </w:p>
        </w:tc>
        <w:tc>
          <w:tcPr>
            <w:tcW w:w="7088" w:type="dxa"/>
            <w:tcBorders>
              <w:top w:val="single" w:sz="4" w:space="0" w:color="auto"/>
              <w:left w:val="single" w:sz="4" w:space="0" w:color="auto"/>
              <w:bottom w:val="single" w:sz="4" w:space="0" w:color="auto"/>
              <w:right w:val="nil"/>
            </w:tcBorders>
            <w:hideMark/>
          </w:tcPr>
          <w:p w14:paraId="74E543EF" w14:textId="77777777" w:rsidR="00A9457B" w:rsidRDefault="00A9457B">
            <w:pPr>
              <w:pStyle w:val="TableText"/>
              <w:jc w:val="both"/>
              <w:rPr>
                <w:rFonts w:eastAsiaTheme="minorEastAsia" w:cs="Segoe UI"/>
                <w:kern w:val="2"/>
                <w:szCs w:val="17"/>
                <w:lang w:eastAsia="zh-TW"/>
              </w:rPr>
            </w:pPr>
            <w:r>
              <w:rPr>
                <w:rFonts w:eastAsiaTheme="minorEastAsia" w:cs="Segoe UI"/>
                <w:kern w:val="2"/>
                <w:szCs w:val="17"/>
                <w:lang w:eastAsia="zh-TW"/>
              </w:rPr>
              <w:t>16ZV</w:t>
            </w:r>
          </w:p>
        </w:tc>
      </w:tr>
    </w:tbl>
    <w:p w14:paraId="3E1556A8" w14:textId="77777777" w:rsidR="00841B91" w:rsidRPr="00CA7301" w:rsidRDefault="00841B91">
      <w:pPr>
        <w:rPr>
          <w:rFonts w:eastAsiaTheme="minorEastAsia" w:cs="Segoe UI"/>
          <w:lang w:eastAsia="zh-TW"/>
        </w:rPr>
      </w:pPr>
    </w:p>
    <w:tbl>
      <w:tblPr>
        <w:tblW w:w="9216"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0A0" w:firstRow="1" w:lastRow="0" w:firstColumn="1" w:lastColumn="0" w:noHBand="0" w:noVBand="0"/>
      </w:tblPr>
      <w:tblGrid>
        <w:gridCol w:w="567"/>
        <w:gridCol w:w="1420"/>
        <w:gridCol w:w="1445"/>
        <w:gridCol w:w="1446"/>
        <w:gridCol w:w="1446"/>
        <w:gridCol w:w="1446"/>
        <w:gridCol w:w="1446"/>
      </w:tblGrid>
      <w:tr w:rsidR="004530C0" w14:paraId="4E8213F5" w14:textId="77777777" w:rsidTr="004530C0">
        <w:trPr>
          <w:cantSplit/>
          <w:trHeight w:val="249"/>
          <w:tblHeader/>
        </w:trPr>
        <w:tc>
          <w:tcPr>
            <w:tcW w:w="566" w:type="dxa"/>
            <w:tcBorders>
              <w:top w:val="nil"/>
              <w:left w:val="nil"/>
              <w:bottom w:val="single" w:sz="4" w:space="0" w:color="auto"/>
              <w:right w:val="nil"/>
            </w:tcBorders>
          </w:tcPr>
          <w:p w14:paraId="53AA5222" w14:textId="77777777" w:rsidR="004530C0" w:rsidRDefault="004530C0">
            <w:pPr>
              <w:pStyle w:val="TableText"/>
              <w:snapToGrid w:val="0"/>
              <w:rPr>
                <w:kern w:val="2"/>
                <w:lang w:eastAsia="en-GB"/>
              </w:rPr>
            </w:pPr>
          </w:p>
        </w:tc>
        <w:tc>
          <w:tcPr>
            <w:tcW w:w="1419" w:type="dxa"/>
            <w:tcBorders>
              <w:top w:val="nil"/>
              <w:left w:val="nil"/>
              <w:bottom w:val="single" w:sz="4" w:space="0" w:color="auto"/>
              <w:right w:val="single" w:sz="4" w:space="0" w:color="auto"/>
            </w:tcBorders>
            <w:vAlign w:val="center"/>
          </w:tcPr>
          <w:p w14:paraId="481DB9CB" w14:textId="77777777" w:rsidR="004530C0" w:rsidRDefault="004530C0">
            <w:pPr>
              <w:pStyle w:val="TableText"/>
              <w:snapToGrid w:val="0"/>
              <w:rPr>
                <w:kern w:val="2"/>
                <w:lang w:eastAsia="en-GB"/>
              </w:rPr>
            </w:pPr>
          </w:p>
        </w:tc>
        <w:tc>
          <w:tcPr>
            <w:tcW w:w="1445" w:type="dxa"/>
            <w:tcBorders>
              <w:top w:val="single" w:sz="4" w:space="0" w:color="auto"/>
              <w:left w:val="nil"/>
              <w:bottom w:val="single" w:sz="4" w:space="0" w:color="auto"/>
              <w:right w:val="single" w:sz="4" w:space="0" w:color="auto"/>
            </w:tcBorders>
            <w:vAlign w:val="center"/>
            <w:hideMark/>
          </w:tcPr>
          <w:p w14:paraId="376D799D" w14:textId="77777777" w:rsidR="004530C0" w:rsidRDefault="004530C0">
            <w:pPr>
              <w:pStyle w:val="TableText"/>
              <w:snapToGrid w:val="0"/>
              <w:jc w:val="center"/>
              <w:rPr>
                <w:bCs/>
                <w:kern w:val="2"/>
                <w:szCs w:val="17"/>
                <w:lang w:eastAsia="it-IT"/>
              </w:rPr>
            </w:pPr>
            <w:r>
              <w:rPr>
                <w:bCs/>
                <w:kern w:val="2"/>
                <w:szCs w:val="17"/>
                <w:lang w:eastAsia="it-IT"/>
              </w:rPr>
              <w:t>(a)</w:t>
            </w:r>
          </w:p>
        </w:tc>
        <w:tc>
          <w:tcPr>
            <w:tcW w:w="1446" w:type="dxa"/>
            <w:tcBorders>
              <w:top w:val="single" w:sz="4" w:space="0" w:color="auto"/>
              <w:left w:val="nil"/>
              <w:bottom w:val="single" w:sz="4" w:space="0" w:color="auto"/>
              <w:right w:val="single" w:sz="4" w:space="0" w:color="auto"/>
            </w:tcBorders>
            <w:vAlign w:val="center"/>
            <w:hideMark/>
          </w:tcPr>
          <w:p w14:paraId="7DDF3FD8" w14:textId="77777777" w:rsidR="004530C0" w:rsidRDefault="004530C0">
            <w:pPr>
              <w:pStyle w:val="TableText"/>
              <w:snapToGrid w:val="0"/>
              <w:jc w:val="center"/>
              <w:rPr>
                <w:bCs/>
                <w:kern w:val="2"/>
                <w:szCs w:val="17"/>
                <w:lang w:eastAsia="it-IT"/>
              </w:rPr>
            </w:pPr>
            <w:r>
              <w:rPr>
                <w:bCs/>
                <w:kern w:val="2"/>
                <w:szCs w:val="17"/>
                <w:lang w:eastAsia="it-IT"/>
              </w:rPr>
              <w:t>(b)</w:t>
            </w:r>
          </w:p>
        </w:tc>
        <w:tc>
          <w:tcPr>
            <w:tcW w:w="1446" w:type="dxa"/>
            <w:tcBorders>
              <w:top w:val="single" w:sz="4" w:space="0" w:color="auto"/>
              <w:left w:val="nil"/>
              <w:bottom w:val="single" w:sz="4" w:space="0" w:color="auto"/>
              <w:right w:val="single" w:sz="4" w:space="0" w:color="auto"/>
            </w:tcBorders>
            <w:vAlign w:val="center"/>
            <w:hideMark/>
          </w:tcPr>
          <w:p w14:paraId="78A12A11" w14:textId="77777777" w:rsidR="004530C0" w:rsidRDefault="004530C0">
            <w:pPr>
              <w:pStyle w:val="TableText"/>
              <w:snapToGrid w:val="0"/>
              <w:jc w:val="center"/>
              <w:rPr>
                <w:kern w:val="2"/>
                <w:szCs w:val="17"/>
                <w:lang w:eastAsia="en-GB"/>
              </w:rPr>
            </w:pPr>
            <w:r>
              <w:rPr>
                <w:kern w:val="2"/>
                <w:szCs w:val="17"/>
                <w:lang w:eastAsia="en-GB"/>
              </w:rPr>
              <w:t>(c)</w:t>
            </w:r>
          </w:p>
        </w:tc>
        <w:tc>
          <w:tcPr>
            <w:tcW w:w="1446" w:type="dxa"/>
            <w:tcBorders>
              <w:top w:val="single" w:sz="4" w:space="0" w:color="auto"/>
              <w:left w:val="nil"/>
              <w:bottom w:val="single" w:sz="4" w:space="0" w:color="auto"/>
              <w:right w:val="single" w:sz="4" w:space="0" w:color="auto"/>
            </w:tcBorders>
            <w:vAlign w:val="center"/>
            <w:hideMark/>
          </w:tcPr>
          <w:p w14:paraId="59D7BDE5" w14:textId="77777777" w:rsidR="004530C0" w:rsidRDefault="004530C0">
            <w:pPr>
              <w:pStyle w:val="TableText"/>
              <w:snapToGrid w:val="0"/>
              <w:jc w:val="center"/>
              <w:rPr>
                <w:kern w:val="2"/>
                <w:szCs w:val="17"/>
                <w:lang w:eastAsia="en-GB"/>
              </w:rPr>
            </w:pPr>
            <w:r>
              <w:rPr>
                <w:kern w:val="2"/>
                <w:szCs w:val="17"/>
                <w:lang w:eastAsia="en-GB"/>
              </w:rPr>
              <w:t>(d)</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49CCD70" w14:textId="77777777" w:rsidR="004530C0" w:rsidRDefault="004530C0">
            <w:pPr>
              <w:pStyle w:val="TableText"/>
              <w:snapToGrid w:val="0"/>
              <w:jc w:val="center"/>
              <w:rPr>
                <w:bCs/>
                <w:kern w:val="2"/>
                <w:szCs w:val="17"/>
                <w:lang w:eastAsia="it-IT"/>
              </w:rPr>
            </w:pPr>
            <w:r>
              <w:rPr>
                <w:bCs/>
                <w:kern w:val="2"/>
                <w:szCs w:val="17"/>
                <w:lang w:eastAsia="it-IT"/>
              </w:rPr>
              <w:t>(e)</w:t>
            </w:r>
          </w:p>
        </w:tc>
      </w:tr>
      <w:tr w:rsidR="004530C0" w14:paraId="366BDF3F" w14:textId="77777777" w:rsidTr="004530C0">
        <w:trPr>
          <w:cantSplit/>
          <w:tblHeader/>
        </w:trPr>
        <w:tc>
          <w:tcPr>
            <w:tcW w:w="1985" w:type="dxa"/>
            <w:gridSpan w:val="2"/>
            <w:tcBorders>
              <w:top w:val="nil"/>
              <w:left w:val="nil"/>
              <w:bottom w:val="single" w:sz="4" w:space="0" w:color="auto"/>
              <w:right w:val="single" w:sz="4" w:space="0" w:color="auto"/>
            </w:tcBorders>
            <w:hideMark/>
          </w:tcPr>
          <w:p w14:paraId="6F4488C6" w14:textId="77777777" w:rsidR="004530C0" w:rsidRDefault="004530C0">
            <w:pPr>
              <w:pStyle w:val="TableText"/>
              <w:snapToGrid w:val="0"/>
              <w:rPr>
                <w:kern w:val="2"/>
                <w:lang w:eastAsia="zh-TW"/>
              </w:rPr>
            </w:pPr>
            <w:proofErr w:type="spellStart"/>
            <w:r>
              <w:rPr>
                <w:rFonts w:ascii="細明體" w:eastAsia="細明體" w:hAnsi="細明體" w:cs="細明體" w:hint="eastAsia"/>
                <w:kern w:val="2"/>
                <w:lang w:eastAsia="en-GB"/>
              </w:rPr>
              <w:t>遞延及保留薪酬</w:t>
            </w:r>
            <w:proofErr w:type="spellEnd"/>
          </w:p>
        </w:tc>
        <w:tc>
          <w:tcPr>
            <w:tcW w:w="1445" w:type="dxa"/>
            <w:tcBorders>
              <w:top w:val="single" w:sz="4" w:space="0" w:color="auto"/>
              <w:left w:val="nil"/>
              <w:bottom w:val="single" w:sz="4" w:space="0" w:color="auto"/>
              <w:right w:val="single" w:sz="4" w:space="0" w:color="auto"/>
            </w:tcBorders>
            <w:hideMark/>
          </w:tcPr>
          <w:p w14:paraId="33400DEA" w14:textId="77777777" w:rsidR="004530C0" w:rsidRDefault="004530C0">
            <w:pPr>
              <w:pStyle w:val="TableText"/>
              <w:snapToGrid w:val="0"/>
              <w:rPr>
                <w:kern w:val="2"/>
                <w:szCs w:val="17"/>
                <w:lang w:val="en-US" w:eastAsia="zh-TW"/>
              </w:rPr>
            </w:pPr>
            <w:r>
              <w:rPr>
                <w:rFonts w:ascii="細明體" w:eastAsia="細明體" w:hAnsi="細明體" w:cs="細明體" w:hint="eastAsia"/>
                <w:kern w:val="2"/>
                <w:szCs w:val="17"/>
                <w:lang w:eastAsia="zh-TW"/>
              </w:rPr>
              <w:t>未支付的遞延薪酬總額</w:t>
            </w:r>
          </w:p>
        </w:tc>
        <w:tc>
          <w:tcPr>
            <w:tcW w:w="1446" w:type="dxa"/>
            <w:tcBorders>
              <w:top w:val="single" w:sz="4" w:space="0" w:color="auto"/>
              <w:left w:val="nil"/>
              <w:bottom w:val="single" w:sz="4" w:space="0" w:color="auto"/>
              <w:right w:val="single" w:sz="4" w:space="0" w:color="auto"/>
            </w:tcBorders>
            <w:hideMark/>
          </w:tcPr>
          <w:p w14:paraId="3B6298C2" w14:textId="77777777" w:rsidR="004530C0" w:rsidRDefault="004530C0">
            <w:pPr>
              <w:pStyle w:val="TableText"/>
              <w:snapToGrid w:val="0"/>
              <w:rPr>
                <w:kern w:val="2"/>
                <w:szCs w:val="17"/>
                <w:lang w:eastAsia="zh-TW"/>
              </w:rPr>
            </w:pPr>
            <w:r>
              <w:rPr>
                <w:rFonts w:asciiTheme="minorEastAsia" w:eastAsiaTheme="minorEastAsia" w:hAnsiTheme="minorEastAsia" w:hint="eastAsia"/>
                <w:kern w:val="2"/>
                <w:szCs w:val="17"/>
                <w:lang w:eastAsia="zh-TW"/>
              </w:rPr>
              <w:t>其中：可能受在宣布給予後出現的外在及/或內在調整影響的未 支付遞延及保留薪酬總額</w:t>
            </w:r>
          </w:p>
        </w:tc>
        <w:tc>
          <w:tcPr>
            <w:tcW w:w="1446" w:type="dxa"/>
            <w:tcBorders>
              <w:top w:val="single" w:sz="4" w:space="0" w:color="auto"/>
              <w:left w:val="nil"/>
              <w:bottom w:val="single" w:sz="4" w:space="0" w:color="auto"/>
              <w:right w:val="single" w:sz="4" w:space="0" w:color="auto"/>
            </w:tcBorders>
            <w:hideMark/>
          </w:tcPr>
          <w:p w14:paraId="508B20A5" w14:textId="77777777" w:rsidR="004530C0" w:rsidRDefault="004530C0">
            <w:pPr>
              <w:pStyle w:val="TableText"/>
              <w:snapToGrid w:val="0"/>
              <w:rPr>
                <w:kern w:val="2"/>
                <w:szCs w:val="17"/>
                <w:lang w:eastAsia="zh-TW"/>
              </w:rPr>
            </w:pPr>
            <w:r>
              <w:rPr>
                <w:rFonts w:ascii="細明體" w:eastAsia="細明體" w:hAnsi="細明體" w:cs="細明體" w:hint="eastAsia"/>
                <w:kern w:val="2"/>
                <w:szCs w:val="17"/>
                <w:lang w:eastAsia="zh-TW"/>
              </w:rPr>
              <w:t>在有關財政年度內因在宣布給予後作出的外在調整而被修訂的薪酬總額</w:t>
            </w:r>
          </w:p>
        </w:tc>
        <w:tc>
          <w:tcPr>
            <w:tcW w:w="1446" w:type="dxa"/>
            <w:tcBorders>
              <w:top w:val="single" w:sz="4" w:space="0" w:color="auto"/>
              <w:left w:val="nil"/>
              <w:bottom w:val="single" w:sz="4" w:space="0" w:color="auto"/>
              <w:right w:val="single" w:sz="4" w:space="0" w:color="auto"/>
            </w:tcBorders>
            <w:hideMark/>
          </w:tcPr>
          <w:p w14:paraId="04702F70" w14:textId="77777777" w:rsidR="004530C0" w:rsidRDefault="004530C0">
            <w:pPr>
              <w:pStyle w:val="TableText"/>
              <w:snapToGrid w:val="0"/>
              <w:rPr>
                <w:kern w:val="2"/>
                <w:szCs w:val="17"/>
                <w:lang w:eastAsia="zh-TW"/>
              </w:rPr>
            </w:pPr>
            <w:r>
              <w:rPr>
                <w:rFonts w:ascii="細明體" w:eastAsia="細明體" w:hAnsi="細明體" w:cs="細明體" w:hint="eastAsia"/>
                <w:kern w:val="2"/>
                <w:szCs w:val="17"/>
                <w:lang w:eastAsia="zh-TW"/>
              </w:rPr>
              <w:t>在有關財政年度內因在宣布給予後出現的內在調整而被修訂的薪酬總額</w:t>
            </w:r>
          </w:p>
        </w:tc>
        <w:tc>
          <w:tcPr>
            <w:tcW w:w="1446" w:type="dxa"/>
            <w:tcBorders>
              <w:top w:val="single" w:sz="4" w:space="0" w:color="auto"/>
              <w:left w:val="single" w:sz="4" w:space="0" w:color="auto"/>
              <w:bottom w:val="single" w:sz="4" w:space="0" w:color="auto"/>
              <w:right w:val="single" w:sz="4" w:space="0" w:color="auto"/>
            </w:tcBorders>
            <w:hideMark/>
          </w:tcPr>
          <w:p w14:paraId="5ED898D4" w14:textId="77777777" w:rsidR="004530C0" w:rsidRDefault="004530C0">
            <w:pPr>
              <w:pStyle w:val="TableText"/>
              <w:snapToGrid w:val="0"/>
              <w:rPr>
                <w:kern w:val="2"/>
                <w:szCs w:val="17"/>
                <w:lang w:eastAsia="zh-TW"/>
              </w:rPr>
            </w:pPr>
            <w:r>
              <w:rPr>
                <w:rFonts w:asciiTheme="minorEastAsia" w:eastAsiaTheme="minorEastAsia" w:hAnsiTheme="minorEastAsia" w:hint="eastAsia"/>
                <w:kern w:val="2"/>
                <w:szCs w:val="17"/>
                <w:lang w:eastAsia="zh-TW"/>
              </w:rPr>
              <w:t>在有關財政年度內發放的遞延薪酬總額</w:t>
            </w:r>
          </w:p>
        </w:tc>
      </w:tr>
      <w:tr w:rsidR="00883F2A" w14:paraId="0421C4F2" w14:textId="77777777" w:rsidTr="004530C0">
        <w:trPr>
          <w:cantSplit/>
          <w:tblHeader/>
        </w:trPr>
        <w:tc>
          <w:tcPr>
            <w:tcW w:w="566" w:type="dxa"/>
            <w:tcBorders>
              <w:top w:val="single" w:sz="4" w:space="0" w:color="auto"/>
              <w:left w:val="nil"/>
              <w:bottom w:val="single" w:sz="4" w:space="0" w:color="auto"/>
              <w:right w:val="single" w:sz="4" w:space="0" w:color="auto"/>
            </w:tcBorders>
            <w:shd w:val="clear" w:color="auto" w:fill="F2F2F2" w:themeFill="background1" w:themeFillShade="F2"/>
            <w:hideMark/>
          </w:tcPr>
          <w:p w14:paraId="636052BE" w14:textId="77777777" w:rsidR="004530C0" w:rsidRDefault="004530C0">
            <w:pPr>
              <w:pStyle w:val="TableText"/>
              <w:snapToGrid w:val="0"/>
              <w:rPr>
                <w:kern w:val="2"/>
                <w:lang w:eastAsia="en-GB"/>
              </w:rPr>
            </w:pPr>
            <w:r>
              <w:rPr>
                <w:kern w:val="2"/>
                <w:lang w:eastAsia="en-GB"/>
              </w:rPr>
              <w:t>1</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534195" w14:textId="77777777" w:rsidR="004530C0" w:rsidRDefault="004530C0">
            <w:pPr>
              <w:pStyle w:val="TableText"/>
              <w:snapToGrid w:val="0"/>
              <w:rPr>
                <w:kern w:val="2"/>
                <w:szCs w:val="17"/>
                <w:lang w:eastAsia="en-GB"/>
              </w:rPr>
            </w:pPr>
            <w:r>
              <w:rPr>
                <w:rFonts w:asciiTheme="minorEastAsia" w:eastAsiaTheme="minorEastAsia" w:hAnsiTheme="minorEastAsia" w:hint="eastAsia"/>
                <w:kern w:val="2"/>
                <w:szCs w:val="17"/>
                <w:lang w:eastAsia="zh-TW"/>
              </w:rPr>
              <w:t>高級管理</w:t>
            </w:r>
            <w:proofErr w:type="spellStart"/>
            <w:r>
              <w:rPr>
                <w:rFonts w:ascii="細明體" w:eastAsia="細明體" w:hAnsi="細明體" w:cs="細明體" w:hint="eastAsia"/>
                <w:kern w:val="2"/>
                <w:lang w:val="en-US"/>
              </w:rPr>
              <w:t>人員</w:t>
            </w:r>
            <w:proofErr w:type="spellEnd"/>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79C96"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F0DD2"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202E3"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590E3"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1426D0" w14:textId="77777777" w:rsidR="004530C0" w:rsidRDefault="004530C0">
            <w:pPr>
              <w:pStyle w:val="TableText"/>
              <w:snapToGrid w:val="0"/>
              <w:rPr>
                <w:kern w:val="2"/>
                <w:szCs w:val="17"/>
                <w:lang w:eastAsia="en-GB"/>
              </w:rPr>
            </w:pPr>
          </w:p>
        </w:tc>
      </w:tr>
      <w:tr w:rsidR="004530C0" w14:paraId="320E01A1" w14:textId="77777777" w:rsidTr="004530C0">
        <w:trPr>
          <w:cantSplit/>
        </w:trPr>
        <w:tc>
          <w:tcPr>
            <w:tcW w:w="566" w:type="dxa"/>
            <w:tcBorders>
              <w:top w:val="single" w:sz="4" w:space="0" w:color="auto"/>
              <w:left w:val="nil"/>
              <w:bottom w:val="single" w:sz="4" w:space="0" w:color="D9D9D9" w:themeColor="background1" w:themeShade="D9"/>
              <w:right w:val="single" w:sz="4" w:space="0" w:color="auto"/>
            </w:tcBorders>
            <w:hideMark/>
          </w:tcPr>
          <w:p w14:paraId="1E8D210D" w14:textId="77777777" w:rsidR="004530C0" w:rsidRDefault="004530C0">
            <w:pPr>
              <w:pStyle w:val="TableText"/>
              <w:snapToGrid w:val="0"/>
              <w:rPr>
                <w:kern w:val="2"/>
                <w:lang w:eastAsia="en-GB"/>
              </w:rPr>
            </w:pPr>
            <w:r>
              <w:rPr>
                <w:kern w:val="2"/>
                <w:lang w:eastAsia="en-GB"/>
              </w:rPr>
              <w:t>2</w:t>
            </w:r>
          </w:p>
        </w:tc>
        <w:tc>
          <w:tcPr>
            <w:tcW w:w="1419" w:type="dxa"/>
            <w:tcBorders>
              <w:top w:val="single" w:sz="4" w:space="0" w:color="auto"/>
              <w:left w:val="single" w:sz="4" w:space="0" w:color="auto"/>
              <w:bottom w:val="single" w:sz="4" w:space="0" w:color="D9D9D9" w:themeColor="background1" w:themeShade="D9"/>
              <w:right w:val="single" w:sz="4" w:space="0" w:color="auto"/>
            </w:tcBorders>
            <w:hideMark/>
          </w:tcPr>
          <w:p w14:paraId="2739BED9"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現金</w:t>
            </w:r>
          </w:p>
        </w:tc>
        <w:tc>
          <w:tcPr>
            <w:tcW w:w="1445" w:type="dxa"/>
            <w:tcBorders>
              <w:top w:val="single" w:sz="4" w:space="0" w:color="auto"/>
              <w:left w:val="single" w:sz="4" w:space="0" w:color="auto"/>
              <w:bottom w:val="single" w:sz="4" w:space="0" w:color="D9D9D9" w:themeColor="background1" w:themeShade="D9"/>
              <w:right w:val="single" w:sz="4" w:space="0" w:color="auto"/>
            </w:tcBorders>
          </w:tcPr>
          <w:p w14:paraId="6D5B5D7A"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651DF892"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49D5DE91"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2CC83F3D"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192EC37B" w14:textId="77777777" w:rsidR="004530C0" w:rsidRDefault="004530C0">
            <w:pPr>
              <w:pStyle w:val="TableText"/>
              <w:snapToGrid w:val="0"/>
              <w:rPr>
                <w:kern w:val="2"/>
                <w:szCs w:val="17"/>
                <w:lang w:eastAsia="en-GB"/>
              </w:rPr>
            </w:pPr>
          </w:p>
        </w:tc>
      </w:tr>
      <w:tr w:rsidR="004530C0" w14:paraId="0A517E5E" w14:textId="77777777" w:rsidTr="004530C0">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hideMark/>
          </w:tcPr>
          <w:p w14:paraId="5E613CF3" w14:textId="77777777" w:rsidR="004530C0" w:rsidRDefault="004530C0">
            <w:pPr>
              <w:pStyle w:val="TableText"/>
              <w:snapToGrid w:val="0"/>
              <w:rPr>
                <w:kern w:val="2"/>
                <w:lang w:eastAsia="en-GB"/>
              </w:rPr>
            </w:pPr>
            <w:r>
              <w:rPr>
                <w:kern w:val="2"/>
                <w:lang w:eastAsia="en-GB"/>
              </w:rPr>
              <w:t>3</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36C30B6"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股票</w:t>
            </w:r>
          </w:p>
        </w:tc>
        <w:tc>
          <w:tcPr>
            <w:tcW w:w="1445"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895884F"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1B9B48DF"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2F474464"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5C177EB4"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C649915" w14:textId="77777777" w:rsidR="004530C0" w:rsidRDefault="004530C0">
            <w:pPr>
              <w:pStyle w:val="TableText"/>
              <w:snapToGrid w:val="0"/>
              <w:rPr>
                <w:kern w:val="2"/>
                <w:szCs w:val="17"/>
                <w:lang w:eastAsia="en-GB"/>
              </w:rPr>
            </w:pPr>
          </w:p>
        </w:tc>
      </w:tr>
      <w:tr w:rsidR="004530C0" w14:paraId="6AAEBBC0" w14:textId="77777777" w:rsidTr="004530C0">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hideMark/>
          </w:tcPr>
          <w:p w14:paraId="7369976A" w14:textId="77777777" w:rsidR="004530C0" w:rsidRDefault="004530C0">
            <w:pPr>
              <w:pStyle w:val="TableText"/>
              <w:snapToGrid w:val="0"/>
              <w:rPr>
                <w:kern w:val="2"/>
                <w:lang w:eastAsia="en-GB"/>
              </w:rPr>
            </w:pPr>
            <w:r>
              <w:rPr>
                <w:kern w:val="2"/>
                <w:lang w:eastAsia="en-GB"/>
              </w:rPr>
              <w:t>4</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4E2B159"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現金掛鈎</w:t>
            </w:r>
            <w:proofErr w:type="spellStart"/>
            <w:r>
              <w:rPr>
                <w:rFonts w:ascii="細明體" w:eastAsia="細明體" w:hAnsi="細明體" w:cs="細明體" w:hint="eastAsia"/>
                <w:kern w:val="2"/>
                <w:lang w:val="en-US"/>
              </w:rPr>
              <w:t>工具</w:t>
            </w:r>
            <w:proofErr w:type="spellEnd"/>
          </w:p>
        </w:tc>
        <w:tc>
          <w:tcPr>
            <w:tcW w:w="1445"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7BA7646"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47585E8E"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243042A2"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6A78FA8B"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3E30A174" w14:textId="77777777" w:rsidR="004530C0" w:rsidRDefault="004530C0">
            <w:pPr>
              <w:pStyle w:val="TableText"/>
              <w:snapToGrid w:val="0"/>
              <w:rPr>
                <w:kern w:val="2"/>
                <w:szCs w:val="17"/>
                <w:lang w:eastAsia="en-GB"/>
              </w:rPr>
            </w:pPr>
          </w:p>
        </w:tc>
      </w:tr>
      <w:tr w:rsidR="004530C0" w14:paraId="3251F02B" w14:textId="77777777" w:rsidTr="004530C0">
        <w:trPr>
          <w:cantSplit/>
        </w:trPr>
        <w:tc>
          <w:tcPr>
            <w:tcW w:w="566" w:type="dxa"/>
            <w:tcBorders>
              <w:top w:val="single" w:sz="4" w:space="0" w:color="D9D9D9" w:themeColor="background1" w:themeShade="D9"/>
              <w:left w:val="nil"/>
              <w:bottom w:val="single" w:sz="4" w:space="0" w:color="auto"/>
              <w:right w:val="single" w:sz="4" w:space="0" w:color="auto"/>
            </w:tcBorders>
            <w:hideMark/>
          </w:tcPr>
          <w:p w14:paraId="4C65A212" w14:textId="77777777" w:rsidR="004530C0" w:rsidRDefault="004530C0">
            <w:pPr>
              <w:pStyle w:val="TableText"/>
              <w:snapToGrid w:val="0"/>
              <w:rPr>
                <w:kern w:val="2"/>
                <w:lang w:eastAsia="en-GB"/>
              </w:rPr>
            </w:pPr>
            <w:r>
              <w:rPr>
                <w:kern w:val="2"/>
                <w:lang w:eastAsia="en-GB"/>
              </w:rPr>
              <w:t>5</w:t>
            </w:r>
          </w:p>
        </w:tc>
        <w:tc>
          <w:tcPr>
            <w:tcW w:w="1419" w:type="dxa"/>
            <w:tcBorders>
              <w:top w:val="single" w:sz="4" w:space="0" w:color="D9D9D9" w:themeColor="background1" w:themeShade="D9"/>
              <w:left w:val="single" w:sz="4" w:space="0" w:color="auto"/>
              <w:bottom w:val="single" w:sz="4" w:space="0" w:color="auto"/>
              <w:right w:val="single" w:sz="4" w:space="0" w:color="auto"/>
            </w:tcBorders>
            <w:hideMark/>
          </w:tcPr>
          <w:p w14:paraId="720766E6"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其他</w:t>
            </w:r>
          </w:p>
        </w:tc>
        <w:tc>
          <w:tcPr>
            <w:tcW w:w="1445" w:type="dxa"/>
            <w:tcBorders>
              <w:top w:val="single" w:sz="4" w:space="0" w:color="D9D9D9" w:themeColor="background1" w:themeShade="D9"/>
              <w:left w:val="single" w:sz="4" w:space="0" w:color="auto"/>
              <w:bottom w:val="single" w:sz="4" w:space="0" w:color="auto"/>
              <w:right w:val="single" w:sz="4" w:space="0" w:color="auto"/>
            </w:tcBorders>
          </w:tcPr>
          <w:p w14:paraId="21038802"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1F857159"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5D5A14C9"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63DC385C"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126B1D5B" w14:textId="77777777" w:rsidR="004530C0" w:rsidRDefault="004530C0">
            <w:pPr>
              <w:pStyle w:val="TableText"/>
              <w:snapToGrid w:val="0"/>
              <w:rPr>
                <w:kern w:val="2"/>
                <w:szCs w:val="17"/>
                <w:lang w:eastAsia="en-GB"/>
              </w:rPr>
            </w:pPr>
          </w:p>
        </w:tc>
      </w:tr>
      <w:tr w:rsidR="00883F2A" w14:paraId="165438B5" w14:textId="77777777" w:rsidTr="004530C0">
        <w:trPr>
          <w:cantSplit/>
        </w:trPr>
        <w:tc>
          <w:tcPr>
            <w:tcW w:w="566" w:type="dxa"/>
            <w:tcBorders>
              <w:top w:val="single" w:sz="4" w:space="0" w:color="auto"/>
              <w:left w:val="nil"/>
              <w:bottom w:val="single" w:sz="4" w:space="0" w:color="auto"/>
              <w:right w:val="single" w:sz="4" w:space="0" w:color="auto"/>
            </w:tcBorders>
            <w:shd w:val="clear" w:color="auto" w:fill="F2F2F2" w:themeFill="background1" w:themeFillShade="F2"/>
            <w:hideMark/>
          </w:tcPr>
          <w:p w14:paraId="0C777FBC" w14:textId="77777777" w:rsidR="004530C0" w:rsidRDefault="004530C0">
            <w:pPr>
              <w:pStyle w:val="TableText"/>
              <w:snapToGrid w:val="0"/>
              <w:rPr>
                <w:kern w:val="2"/>
                <w:lang w:eastAsia="en-GB"/>
              </w:rPr>
            </w:pPr>
            <w:r>
              <w:rPr>
                <w:kern w:val="2"/>
                <w:lang w:eastAsia="en-GB"/>
              </w:rPr>
              <w:t>6</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C082A" w14:textId="77777777" w:rsidR="004530C0" w:rsidRDefault="004530C0">
            <w:pPr>
              <w:pStyle w:val="TableText"/>
              <w:snapToGrid w:val="0"/>
              <w:rPr>
                <w:kern w:val="2"/>
                <w:szCs w:val="17"/>
                <w:lang w:eastAsia="zh-TW"/>
              </w:rPr>
            </w:pPr>
            <w:proofErr w:type="spellStart"/>
            <w:r>
              <w:rPr>
                <w:rFonts w:ascii="細明體" w:eastAsia="細明體" w:hAnsi="細明體" w:cs="細明體" w:hint="eastAsia"/>
                <w:kern w:val="2"/>
                <w:lang w:val="en-US"/>
              </w:rPr>
              <w:t>主要人員</w:t>
            </w:r>
            <w:proofErr w:type="spellEnd"/>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22E4A" w14:textId="77777777" w:rsidR="004530C0" w:rsidRDefault="004530C0">
            <w:pPr>
              <w:pStyle w:val="TableText"/>
              <w:snapToGrid w:val="0"/>
              <w:rPr>
                <w:kern w:val="2"/>
                <w:szCs w:val="17"/>
                <w:lang w:eastAsia="zh-TW"/>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6B076" w14:textId="77777777" w:rsidR="004530C0" w:rsidRDefault="004530C0">
            <w:pPr>
              <w:pStyle w:val="TableText"/>
              <w:snapToGrid w:val="0"/>
              <w:rPr>
                <w:kern w:val="2"/>
                <w:szCs w:val="17"/>
                <w:lang w:eastAsia="zh-TW"/>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C8812" w14:textId="77777777" w:rsidR="004530C0" w:rsidRDefault="004530C0">
            <w:pPr>
              <w:pStyle w:val="TableText"/>
              <w:snapToGrid w:val="0"/>
              <w:rPr>
                <w:kern w:val="2"/>
                <w:szCs w:val="17"/>
                <w:lang w:eastAsia="zh-TW"/>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CCEEA" w14:textId="77777777" w:rsidR="004530C0" w:rsidRDefault="004530C0">
            <w:pPr>
              <w:pStyle w:val="TableText"/>
              <w:snapToGrid w:val="0"/>
              <w:rPr>
                <w:kern w:val="2"/>
                <w:szCs w:val="17"/>
                <w:lang w:eastAsia="zh-TW"/>
              </w:rPr>
            </w:pP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ABF94" w14:textId="77777777" w:rsidR="004530C0" w:rsidRDefault="004530C0">
            <w:pPr>
              <w:pStyle w:val="TableText"/>
              <w:snapToGrid w:val="0"/>
              <w:rPr>
                <w:kern w:val="2"/>
                <w:szCs w:val="17"/>
                <w:lang w:eastAsia="zh-TW"/>
              </w:rPr>
            </w:pPr>
          </w:p>
        </w:tc>
      </w:tr>
      <w:tr w:rsidR="004530C0" w14:paraId="264CA26C" w14:textId="77777777" w:rsidTr="004530C0">
        <w:trPr>
          <w:cantSplit/>
        </w:trPr>
        <w:tc>
          <w:tcPr>
            <w:tcW w:w="566" w:type="dxa"/>
            <w:tcBorders>
              <w:top w:val="single" w:sz="4" w:space="0" w:color="auto"/>
              <w:left w:val="nil"/>
              <w:bottom w:val="single" w:sz="4" w:space="0" w:color="D9D9D9" w:themeColor="background1" w:themeShade="D9"/>
              <w:right w:val="single" w:sz="4" w:space="0" w:color="auto"/>
            </w:tcBorders>
            <w:hideMark/>
          </w:tcPr>
          <w:p w14:paraId="3810241D" w14:textId="77777777" w:rsidR="004530C0" w:rsidRDefault="004530C0">
            <w:pPr>
              <w:pStyle w:val="TableText"/>
              <w:snapToGrid w:val="0"/>
              <w:rPr>
                <w:kern w:val="2"/>
                <w:lang w:eastAsia="en-GB"/>
              </w:rPr>
            </w:pPr>
            <w:r>
              <w:rPr>
                <w:kern w:val="2"/>
                <w:lang w:eastAsia="en-GB"/>
              </w:rPr>
              <w:t>7</w:t>
            </w:r>
          </w:p>
        </w:tc>
        <w:tc>
          <w:tcPr>
            <w:tcW w:w="1419" w:type="dxa"/>
            <w:tcBorders>
              <w:top w:val="single" w:sz="4" w:space="0" w:color="auto"/>
              <w:left w:val="single" w:sz="4" w:space="0" w:color="auto"/>
              <w:bottom w:val="single" w:sz="4" w:space="0" w:color="D9D9D9" w:themeColor="background1" w:themeShade="D9"/>
              <w:right w:val="single" w:sz="4" w:space="0" w:color="auto"/>
            </w:tcBorders>
            <w:hideMark/>
          </w:tcPr>
          <w:p w14:paraId="5E463464"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現金</w:t>
            </w:r>
          </w:p>
        </w:tc>
        <w:tc>
          <w:tcPr>
            <w:tcW w:w="1445" w:type="dxa"/>
            <w:tcBorders>
              <w:top w:val="single" w:sz="4" w:space="0" w:color="auto"/>
              <w:left w:val="single" w:sz="4" w:space="0" w:color="auto"/>
              <w:bottom w:val="single" w:sz="4" w:space="0" w:color="D9D9D9" w:themeColor="background1" w:themeShade="D9"/>
              <w:right w:val="single" w:sz="4" w:space="0" w:color="auto"/>
            </w:tcBorders>
          </w:tcPr>
          <w:p w14:paraId="4654C196"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3C93687D"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7E1C6ACF"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233A7A84" w14:textId="77777777" w:rsidR="004530C0" w:rsidRDefault="004530C0">
            <w:pPr>
              <w:pStyle w:val="TableText"/>
              <w:snapToGrid w:val="0"/>
              <w:rPr>
                <w:kern w:val="2"/>
                <w:szCs w:val="17"/>
                <w:lang w:eastAsia="en-GB"/>
              </w:rPr>
            </w:pPr>
          </w:p>
        </w:tc>
        <w:tc>
          <w:tcPr>
            <w:tcW w:w="1446" w:type="dxa"/>
            <w:tcBorders>
              <w:top w:val="single" w:sz="4" w:space="0" w:color="auto"/>
              <w:left w:val="single" w:sz="4" w:space="0" w:color="auto"/>
              <w:bottom w:val="single" w:sz="4" w:space="0" w:color="D9D9D9" w:themeColor="background1" w:themeShade="D9"/>
              <w:right w:val="single" w:sz="4" w:space="0" w:color="auto"/>
            </w:tcBorders>
          </w:tcPr>
          <w:p w14:paraId="157AE269" w14:textId="77777777" w:rsidR="004530C0" w:rsidRDefault="004530C0">
            <w:pPr>
              <w:pStyle w:val="TableText"/>
              <w:snapToGrid w:val="0"/>
              <w:rPr>
                <w:kern w:val="2"/>
                <w:szCs w:val="17"/>
                <w:lang w:eastAsia="en-GB"/>
              </w:rPr>
            </w:pPr>
          </w:p>
        </w:tc>
      </w:tr>
      <w:tr w:rsidR="004530C0" w14:paraId="31AF9894" w14:textId="77777777" w:rsidTr="004530C0">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hideMark/>
          </w:tcPr>
          <w:p w14:paraId="64FFDFA0" w14:textId="77777777" w:rsidR="004530C0" w:rsidRDefault="004530C0">
            <w:pPr>
              <w:pStyle w:val="TableText"/>
              <w:snapToGrid w:val="0"/>
              <w:rPr>
                <w:kern w:val="2"/>
                <w:lang w:eastAsia="en-GB"/>
              </w:rPr>
            </w:pPr>
            <w:r>
              <w:rPr>
                <w:kern w:val="2"/>
                <w:lang w:eastAsia="en-GB"/>
              </w:rPr>
              <w:t>8</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732E786"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股票</w:t>
            </w:r>
          </w:p>
        </w:tc>
        <w:tc>
          <w:tcPr>
            <w:tcW w:w="1445"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6E8D6D3"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2D8619A5"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0C92A33D"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08D1BE5"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0741DFE" w14:textId="77777777" w:rsidR="004530C0" w:rsidRDefault="004530C0">
            <w:pPr>
              <w:pStyle w:val="TableText"/>
              <w:snapToGrid w:val="0"/>
              <w:rPr>
                <w:kern w:val="2"/>
                <w:szCs w:val="17"/>
                <w:lang w:eastAsia="en-GB"/>
              </w:rPr>
            </w:pPr>
          </w:p>
        </w:tc>
      </w:tr>
      <w:tr w:rsidR="004530C0" w14:paraId="1F182181" w14:textId="77777777" w:rsidTr="004530C0">
        <w:trPr>
          <w:cantSplit/>
        </w:trPr>
        <w:tc>
          <w:tcPr>
            <w:tcW w:w="566" w:type="dxa"/>
            <w:tcBorders>
              <w:top w:val="single" w:sz="4" w:space="0" w:color="D9D9D9" w:themeColor="background1" w:themeShade="D9"/>
              <w:left w:val="nil"/>
              <w:bottom w:val="single" w:sz="4" w:space="0" w:color="D9D9D9" w:themeColor="background1" w:themeShade="D9"/>
              <w:right w:val="single" w:sz="4" w:space="0" w:color="auto"/>
            </w:tcBorders>
            <w:hideMark/>
          </w:tcPr>
          <w:p w14:paraId="387D309F" w14:textId="77777777" w:rsidR="004530C0" w:rsidRDefault="004530C0">
            <w:pPr>
              <w:pStyle w:val="TableText"/>
              <w:snapToGrid w:val="0"/>
              <w:rPr>
                <w:kern w:val="2"/>
                <w:lang w:eastAsia="en-GB"/>
              </w:rPr>
            </w:pPr>
            <w:r>
              <w:rPr>
                <w:kern w:val="2"/>
                <w:lang w:eastAsia="en-GB"/>
              </w:rPr>
              <w:t>9</w:t>
            </w:r>
          </w:p>
        </w:tc>
        <w:tc>
          <w:tcPr>
            <w:tcW w:w="1419"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5BF08D9"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現金掛鈎</w:t>
            </w:r>
            <w:proofErr w:type="spellStart"/>
            <w:r>
              <w:rPr>
                <w:rFonts w:ascii="細明體" w:eastAsia="細明體" w:hAnsi="細明體" w:cs="細明體" w:hint="eastAsia"/>
                <w:kern w:val="2"/>
                <w:lang w:val="en-US"/>
              </w:rPr>
              <w:t>工具</w:t>
            </w:r>
            <w:proofErr w:type="spellEnd"/>
          </w:p>
        </w:tc>
        <w:tc>
          <w:tcPr>
            <w:tcW w:w="1445"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7CC33270"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6772E912"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3E645771"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2A7B6637"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D9D9D9" w:themeColor="background1" w:themeShade="D9"/>
              <w:right w:val="single" w:sz="4" w:space="0" w:color="auto"/>
            </w:tcBorders>
          </w:tcPr>
          <w:p w14:paraId="5B0D0F7D" w14:textId="77777777" w:rsidR="004530C0" w:rsidRDefault="004530C0">
            <w:pPr>
              <w:pStyle w:val="TableText"/>
              <w:snapToGrid w:val="0"/>
              <w:rPr>
                <w:kern w:val="2"/>
                <w:szCs w:val="17"/>
                <w:lang w:eastAsia="en-GB"/>
              </w:rPr>
            </w:pPr>
          </w:p>
        </w:tc>
      </w:tr>
      <w:tr w:rsidR="004530C0" w14:paraId="0474FC5C" w14:textId="77777777" w:rsidTr="004530C0">
        <w:trPr>
          <w:cantSplit/>
        </w:trPr>
        <w:tc>
          <w:tcPr>
            <w:tcW w:w="566" w:type="dxa"/>
            <w:tcBorders>
              <w:top w:val="single" w:sz="4" w:space="0" w:color="D9D9D9" w:themeColor="background1" w:themeShade="D9"/>
              <w:left w:val="nil"/>
              <w:bottom w:val="single" w:sz="4" w:space="0" w:color="auto"/>
              <w:right w:val="single" w:sz="4" w:space="0" w:color="auto"/>
            </w:tcBorders>
            <w:hideMark/>
          </w:tcPr>
          <w:p w14:paraId="7BCA0556" w14:textId="77777777" w:rsidR="004530C0" w:rsidRDefault="004530C0">
            <w:pPr>
              <w:pStyle w:val="TableText"/>
              <w:snapToGrid w:val="0"/>
              <w:rPr>
                <w:kern w:val="2"/>
                <w:lang w:eastAsia="en-GB"/>
              </w:rPr>
            </w:pPr>
            <w:r>
              <w:rPr>
                <w:kern w:val="2"/>
                <w:lang w:eastAsia="en-GB"/>
              </w:rPr>
              <w:t>10</w:t>
            </w:r>
          </w:p>
        </w:tc>
        <w:tc>
          <w:tcPr>
            <w:tcW w:w="1419" w:type="dxa"/>
            <w:tcBorders>
              <w:top w:val="single" w:sz="4" w:space="0" w:color="D9D9D9" w:themeColor="background1" w:themeShade="D9"/>
              <w:left w:val="single" w:sz="4" w:space="0" w:color="auto"/>
              <w:bottom w:val="single" w:sz="4" w:space="0" w:color="auto"/>
              <w:right w:val="single" w:sz="4" w:space="0" w:color="auto"/>
            </w:tcBorders>
            <w:hideMark/>
          </w:tcPr>
          <w:p w14:paraId="103BAC48" w14:textId="77777777" w:rsidR="004530C0" w:rsidRDefault="004530C0" w:rsidP="004530C0">
            <w:pPr>
              <w:pStyle w:val="TableText"/>
              <w:snapToGrid w:val="0"/>
              <w:ind w:left="177" w:hangingChars="104" w:hanging="177"/>
              <w:rPr>
                <w:kern w:val="2"/>
                <w:szCs w:val="17"/>
              </w:rPr>
            </w:pPr>
            <w:r>
              <w:rPr>
                <w:kern w:val="2"/>
                <w:szCs w:val="17"/>
              </w:rPr>
              <w:tab/>
            </w:r>
            <w:r>
              <w:rPr>
                <w:rFonts w:asciiTheme="minorEastAsia" w:eastAsiaTheme="minorEastAsia" w:hAnsiTheme="minorEastAsia" w:hint="eastAsia"/>
                <w:kern w:val="2"/>
                <w:szCs w:val="17"/>
                <w:lang w:eastAsia="zh-TW"/>
              </w:rPr>
              <w:t>其他</w:t>
            </w:r>
          </w:p>
        </w:tc>
        <w:tc>
          <w:tcPr>
            <w:tcW w:w="1445" w:type="dxa"/>
            <w:tcBorders>
              <w:top w:val="single" w:sz="4" w:space="0" w:color="D9D9D9" w:themeColor="background1" w:themeShade="D9"/>
              <w:left w:val="single" w:sz="4" w:space="0" w:color="auto"/>
              <w:bottom w:val="single" w:sz="4" w:space="0" w:color="auto"/>
              <w:right w:val="single" w:sz="4" w:space="0" w:color="auto"/>
            </w:tcBorders>
          </w:tcPr>
          <w:p w14:paraId="5C4CF955"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10060E0B"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53557F81"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12096AF5" w14:textId="77777777" w:rsidR="004530C0" w:rsidRDefault="004530C0">
            <w:pPr>
              <w:pStyle w:val="TableText"/>
              <w:snapToGrid w:val="0"/>
              <w:rPr>
                <w:kern w:val="2"/>
                <w:szCs w:val="17"/>
                <w:lang w:eastAsia="en-GB"/>
              </w:rPr>
            </w:pPr>
          </w:p>
        </w:tc>
        <w:tc>
          <w:tcPr>
            <w:tcW w:w="1446" w:type="dxa"/>
            <w:tcBorders>
              <w:top w:val="single" w:sz="4" w:space="0" w:color="D9D9D9" w:themeColor="background1" w:themeShade="D9"/>
              <w:left w:val="single" w:sz="4" w:space="0" w:color="auto"/>
              <w:bottom w:val="single" w:sz="4" w:space="0" w:color="auto"/>
              <w:right w:val="single" w:sz="4" w:space="0" w:color="auto"/>
            </w:tcBorders>
          </w:tcPr>
          <w:p w14:paraId="0E58EC7C" w14:textId="77777777" w:rsidR="004530C0" w:rsidRDefault="004530C0">
            <w:pPr>
              <w:pStyle w:val="TableText"/>
              <w:snapToGrid w:val="0"/>
              <w:rPr>
                <w:kern w:val="2"/>
                <w:szCs w:val="17"/>
                <w:lang w:eastAsia="en-GB"/>
              </w:rPr>
            </w:pPr>
          </w:p>
        </w:tc>
      </w:tr>
      <w:tr w:rsidR="00883F2A" w14:paraId="6B147523" w14:textId="77777777" w:rsidTr="004530C0">
        <w:trPr>
          <w:cantSplit/>
        </w:trPr>
        <w:tc>
          <w:tcPr>
            <w:tcW w:w="566" w:type="dxa"/>
            <w:tcBorders>
              <w:top w:val="single" w:sz="4" w:space="0" w:color="auto"/>
              <w:left w:val="nil"/>
              <w:bottom w:val="single" w:sz="4" w:space="0" w:color="auto"/>
              <w:right w:val="single" w:sz="4" w:space="0" w:color="auto"/>
            </w:tcBorders>
            <w:shd w:val="clear" w:color="auto" w:fill="D9D9D9" w:themeFill="background1" w:themeFillShade="D9"/>
            <w:hideMark/>
          </w:tcPr>
          <w:p w14:paraId="17020873" w14:textId="77777777" w:rsidR="004530C0" w:rsidRDefault="004530C0">
            <w:pPr>
              <w:pStyle w:val="TableText"/>
              <w:snapToGrid w:val="0"/>
              <w:rPr>
                <w:b/>
                <w:kern w:val="2"/>
                <w:lang w:eastAsia="en-GB"/>
              </w:rPr>
            </w:pPr>
            <w:r>
              <w:rPr>
                <w:b/>
                <w:kern w:val="2"/>
                <w:lang w:eastAsia="en-GB"/>
              </w:rPr>
              <w:t>11</w:t>
            </w: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AF201" w14:textId="77777777" w:rsidR="004530C0" w:rsidRDefault="004530C0">
            <w:pPr>
              <w:pStyle w:val="TableText"/>
              <w:snapToGrid w:val="0"/>
              <w:ind w:rightChars="-54" w:right="-108"/>
              <w:rPr>
                <w:b/>
                <w:kern w:val="2"/>
                <w:lang w:eastAsia="en-GB"/>
              </w:rPr>
            </w:pPr>
            <w:r>
              <w:rPr>
                <w:rFonts w:asciiTheme="minorEastAsia" w:eastAsiaTheme="minorEastAsia" w:hAnsiTheme="minorEastAsia" w:hint="eastAsia"/>
                <w:b/>
                <w:kern w:val="2"/>
                <w:lang w:eastAsia="zh-TW"/>
              </w:rPr>
              <w:t>總額</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2DC1D" w14:textId="77777777" w:rsidR="004530C0" w:rsidRDefault="004530C0">
            <w:pPr>
              <w:pStyle w:val="TableText"/>
              <w:snapToGrid w:val="0"/>
              <w:rPr>
                <w:b/>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336E0" w14:textId="77777777" w:rsidR="004530C0" w:rsidRDefault="004530C0">
            <w:pPr>
              <w:pStyle w:val="TableText"/>
              <w:snapToGrid w:val="0"/>
              <w:rPr>
                <w:b/>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D1069" w14:textId="77777777" w:rsidR="004530C0" w:rsidRDefault="004530C0">
            <w:pPr>
              <w:pStyle w:val="TableText"/>
              <w:snapToGrid w:val="0"/>
              <w:rPr>
                <w:b/>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B483C" w14:textId="77777777" w:rsidR="004530C0" w:rsidRDefault="004530C0">
            <w:pPr>
              <w:pStyle w:val="TableText"/>
              <w:snapToGrid w:val="0"/>
              <w:rPr>
                <w:b/>
                <w:kern w:val="2"/>
                <w:szCs w:val="17"/>
                <w:lang w:eastAsia="en-GB"/>
              </w:rPr>
            </w:pP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F198F" w14:textId="77777777" w:rsidR="004530C0" w:rsidRDefault="004530C0">
            <w:pPr>
              <w:pStyle w:val="TableText"/>
              <w:snapToGrid w:val="0"/>
              <w:rPr>
                <w:b/>
                <w:kern w:val="2"/>
                <w:szCs w:val="17"/>
                <w:lang w:eastAsia="en-GB"/>
              </w:rPr>
            </w:pPr>
          </w:p>
        </w:tc>
      </w:tr>
    </w:tbl>
    <w:p w14:paraId="0ADEB907" w14:textId="77777777" w:rsidR="00FE5BB7" w:rsidRPr="00CA7301" w:rsidRDefault="00FE5BB7" w:rsidP="00FE5BB7">
      <w:pPr>
        <w:rPr>
          <w:rFonts w:eastAsiaTheme="minorEastAsia" w:cs="Segoe UI"/>
          <w:lang w:val="en-US" w:eastAsia="zh-TW"/>
        </w:rPr>
      </w:pPr>
    </w:p>
    <w:tbl>
      <w:tblPr>
        <w:tblStyle w:val="TableGrid"/>
        <w:tblW w:w="9214" w:type="dxa"/>
        <w:tblInd w:w="-459" w:type="dxa"/>
        <w:tblLook w:val="04A0" w:firstRow="1" w:lastRow="0" w:firstColumn="1" w:lastColumn="0" w:noHBand="0" w:noVBand="1"/>
      </w:tblPr>
      <w:tblGrid>
        <w:gridCol w:w="567"/>
        <w:gridCol w:w="8647"/>
      </w:tblGrid>
      <w:tr w:rsidR="004530C0" w14:paraId="78738D50" w14:textId="77777777" w:rsidTr="004530C0">
        <w:trPr>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CF805" w14:textId="77777777" w:rsidR="004530C0" w:rsidRDefault="004530C0">
            <w:pPr>
              <w:spacing w:before="40" w:after="40"/>
              <w:jc w:val="both"/>
              <w:rPr>
                <w:rFonts w:eastAsiaTheme="minorEastAsia" w:cs="Segoe UI"/>
                <w:b/>
                <w:sz w:val="17"/>
                <w:szCs w:val="17"/>
                <w:lang w:eastAsia="en-GB"/>
              </w:rPr>
            </w:pPr>
            <w:proofErr w:type="gramStart"/>
            <w:r>
              <w:rPr>
                <w:rFonts w:eastAsiaTheme="minorEastAsia" w:cs="Segoe UI" w:hint="eastAsia"/>
                <w:b/>
                <w:sz w:val="17"/>
                <w:szCs w:val="17"/>
                <w:lang w:eastAsia="zh-TW"/>
              </w:rPr>
              <w:t>註</w:t>
            </w:r>
            <w:proofErr w:type="gramEnd"/>
            <w:r>
              <w:rPr>
                <w:rFonts w:eastAsiaTheme="minorEastAsia" w:cs="Segoe UI" w:hint="eastAsia"/>
                <w:b/>
                <w:sz w:val="17"/>
                <w:szCs w:val="17"/>
                <w:lang w:eastAsia="zh-TW"/>
              </w:rPr>
              <w:t>釋</w:t>
            </w:r>
          </w:p>
        </w:tc>
      </w:tr>
      <w:tr w:rsidR="004530C0" w14:paraId="3BC574E2" w14:textId="77777777" w:rsidTr="004530C0">
        <w:trPr>
          <w:trHeight w:val="153"/>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012A6E" w14:textId="77777777" w:rsidR="004530C0" w:rsidRDefault="004530C0">
            <w:pPr>
              <w:spacing w:before="40" w:after="40"/>
              <w:jc w:val="both"/>
              <w:rPr>
                <w:rFonts w:eastAsiaTheme="minorEastAsia" w:cs="Segoe UI"/>
                <w:b/>
                <w:sz w:val="17"/>
                <w:szCs w:val="17"/>
                <w:lang w:eastAsia="en-GB"/>
              </w:rPr>
            </w:pPr>
            <w:r>
              <w:rPr>
                <w:rFonts w:eastAsiaTheme="minorEastAsia" w:cs="Segoe UI" w:hint="eastAsia"/>
                <w:b/>
                <w:sz w:val="17"/>
                <w:szCs w:val="17"/>
                <w:lang w:eastAsia="zh-TW"/>
              </w:rPr>
              <w:t>欄</w:t>
            </w:r>
          </w:p>
        </w:tc>
      </w:tr>
      <w:tr w:rsidR="004530C0" w14:paraId="18AE5C1E"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2121E16A"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(a)</w:t>
            </w:r>
          </w:p>
        </w:tc>
        <w:tc>
          <w:tcPr>
            <w:tcW w:w="8647" w:type="dxa"/>
            <w:tcBorders>
              <w:top w:val="single" w:sz="4" w:space="0" w:color="auto"/>
              <w:left w:val="single" w:sz="4" w:space="0" w:color="auto"/>
              <w:bottom w:val="single" w:sz="4" w:space="0" w:color="auto"/>
              <w:right w:val="single" w:sz="4" w:space="0" w:color="auto"/>
            </w:tcBorders>
            <w:hideMark/>
          </w:tcPr>
          <w:p w14:paraId="2BD154C9" w14:textId="77777777" w:rsidR="004530C0" w:rsidRDefault="004530C0">
            <w:pPr>
              <w:pStyle w:val="TableText"/>
              <w:keepNext/>
              <w:jc w:val="both"/>
              <w:rPr>
                <w:rFonts w:cs="Segoe UI"/>
                <w:szCs w:val="17"/>
                <w:lang w:eastAsia="zh-TW"/>
              </w:rPr>
            </w:pPr>
            <w:r>
              <w:rPr>
                <w:rFonts w:eastAsiaTheme="minorEastAsia" w:cs="Segoe UI" w:hint="eastAsia"/>
                <w:color w:val="000000"/>
                <w:szCs w:val="17"/>
                <w:lang w:val="en-US" w:eastAsia="zh-TW"/>
              </w:rPr>
              <w:t>應在本欄填報於報告日前的過去年度所累計（累積）的遞延</w:t>
            </w:r>
            <w:proofErr w:type="gramStart"/>
            <w:r>
              <w:rPr>
                <w:rFonts w:eastAsiaTheme="minorEastAsia" w:cs="Segoe UI" w:hint="eastAsia"/>
                <w:color w:val="000000"/>
                <w:szCs w:val="17"/>
                <w:lang w:val="en-US" w:eastAsia="zh-TW"/>
              </w:rPr>
              <w:t>薪</w:t>
            </w:r>
            <w:proofErr w:type="gramEnd"/>
            <w:r>
              <w:rPr>
                <w:rFonts w:eastAsiaTheme="minorEastAsia" w:cs="Segoe UI" w:hint="eastAsia"/>
                <w:color w:val="000000"/>
                <w:szCs w:val="17"/>
                <w:lang w:val="en-US" w:eastAsia="zh-TW"/>
              </w:rPr>
              <w:t>酬金額。</w:t>
            </w:r>
          </w:p>
        </w:tc>
      </w:tr>
      <w:tr w:rsidR="004530C0" w14:paraId="7D8EE68F"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7410AE1B"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(b)</w:t>
            </w:r>
          </w:p>
        </w:tc>
        <w:tc>
          <w:tcPr>
            <w:tcW w:w="8647" w:type="dxa"/>
            <w:tcBorders>
              <w:top w:val="single" w:sz="4" w:space="0" w:color="auto"/>
              <w:left w:val="single" w:sz="4" w:space="0" w:color="auto"/>
              <w:bottom w:val="single" w:sz="4" w:space="0" w:color="auto"/>
              <w:right w:val="single" w:sz="4" w:space="0" w:color="auto"/>
            </w:tcBorders>
            <w:hideMark/>
          </w:tcPr>
          <w:p w14:paraId="3EF43F64" w14:textId="77777777" w:rsidR="004530C0" w:rsidRDefault="004530C0">
            <w:pPr>
              <w:pStyle w:val="TableText"/>
              <w:keepNext/>
              <w:jc w:val="both"/>
              <w:rPr>
                <w:rFonts w:eastAsiaTheme="minorEastAsia" w:cs="Segoe UI"/>
                <w:color w:val="000000"/>
                <w:szCs w:val="17"/>
                <w:lang w:val="en-US" w:eastAsia="zh-TW"/>
              </w:rPr>
            </w:pPr>
            <w:r>
              <w:rPr>
                <w:rFonts w:eastAsiaTheme="minorEastAsia" w:cs="Segoe UI" w:hint="eastAsia"/>
                <w:color w:val="000000"/>
                <w:szCs w:val="17"/>
                <w:lang w:val="en-US" w:eastAsia="zh-TW"/>
              </w:rPr>
              <w:t>在本欄填報的金額為在</w:t>
            </w:r>
            <w:r>
              <w:rPr>
                <w:rFonts w:eastAsiaTheme="minorEastAsia" w:cs="Segoe UI"/>
                <w:color w:val="000000"/>
                <w:szCs w:val="17"/>
                <w:lang w:val="en-US" w:eastAsia="zh-TW"/>
              </w:rPr>
              <w:t>(a)</w:t>
            </w:r>
            <w:r>
              <w:rPr>
                <w:rFonts w:eastAsiaTheme="minorEastAsia" w:cs="Segoe UI" w:hint="eastAsia"/>
                <w:color w:val="000000"/>
                <w:szCs w:val="17"/>
                <w:lang w:val="en-US" w:eastAsia="zh-TW"/>
              </w:rPr>
              <w:t>欄填報的金額的一部分，並受以下</w:t>
            </w:r>
            <w:proofErr w:type="gramStart"/>
            <w:r>
              <w:rPr>
                <w:rFonts w:eastAsiaTheme="minorEastAsia" w:cs="Segoe UI" w:hint="eastAsia"/>
                <w:color w:val="000000"/>
                <w:szCs w:val="17"/>
                <w:lang w:val="en-US" w:eastAsia="zh-TW"/>
              </w:rPr>
              <w:t>規</w:t>
            </w:r>
            <w:proofErr w:type="gramEnd"/>
            <w:r>
              <w:rPr>
                <w:rFonts w:eastAsiaTheme="minorEastAsia" w:cs="Segoe UI" w:hint="eastAsia"/>
                <w:color w:val="000000"/>
                <w:szCs w:val="17"/>
                <w:lang w:val="en-US" w:eastAsia="zh-TW"/>
              </w:rPr>
              <w:t>限：</w:t>
            </w:r>
          </w:p>
          <w:p w14:paraId="3B30A34A" w14:textId="77777777" w:rsidR="004530C0" w:rsidRDefault="004530C0" w:rsidP="00D540EB">
            <w:pPr>
              <w:pStyle w:val="ListParagraph"/>
              <w:widowControl w:val="0"/>
              <w:numPr>
                <w:ilvl w:val="0"/>
                <w:numId w:val="30"/>
              </w:numPr>
              <w:tabs>
                <w:tab w:val="left" w:pos="459"/>
              </w:tabs>
              <w:autoSpaceDE w:val="0"/>
              <w:autoSpaceDN w:val="0"/>
              <w:adjustRightInd w:val="0"/>
              <w:ind w:leftChars="0"/>
              <w:jc w:val="both"/>
              <w:rPr>
                <w:rFonts w:eastAsiaTheme="minorEastAsia" w:cs="Segoe UI"/>
                <w:color w:val="000000"/>
                <w:sz w:val="17"/>
                <w:szCs w:val="17"/>
                <w:lang w:val="en-US" w:eastAsia="zh-TW"/>
              </w:rPr>
            </w:pPr>
            <w:r>
              <w:rPr>
                <w:rFonts w:eastAsiaTheme="minorEastAsia" w:cs="Segoe UI" w:hint="eastAsia"/>
                <w:i/>
                <w:iCs/>
                <w:color w:val="000000"/>
                <w:sz w:val="17"/>
                <w:szCs w:val="17"/>
                <w:lang w:val="en-US" w:eastAsia="zh-TW"/>
              </w:rPr>
              <w:t>可能受在宣布給予後出現的外在調整影響的未支付總額</w:t>
            </w:r>
            <w:r>
              <w:rPr>
                <w:rFonts w:eastAsiaTheme="minorEastAsia" w:cs="Segoe UI" w:hint="eastAsia"/>
                <w:iCs/>
                <w:color w:val="000000"/>
                <w:sz w:val="17"/>
                <w:szCs w:val="17"/>
                <w:lang w:val="en-US" w:eastAsia="zh-TW"/>
              </w:rPr>
              <w:t>：受直接調整條款</w:t>
            </w:r>
            <w:proofErr w:type="gramStart"/>
            <w:r>
              <w:rPr>
                <w:rFonts w:eastAsiaTheme="minorEastAsia" w:cs="Segoe UI" w:hint="eastAsia"/>
                <w:iCs/>
                <w:color w:val="000000"/>
                <w:sz w:val="17"/>
                <w:szCs w:val="17"/>
                <w:lang w:val="en-US" w:eastAsia="zh-TW"/>
              </w:rPr>
              <w:t>規</w:t>
            </w:r>
            <w:proofErr w:type="gramEnd"/>
            <w:r>
              <w:rPr>
                <w:rFonts w:eastAsiaTheme="minorEastAsia" w:cs="Segoe UI" w:hint="eastAsia"/>
                <w:iCs/>
                <w:color w:val="000000"/>
                <w:sz w:val="17"/>
                <w:szCs w:val="17"/>
                <w:lang w:val="en-US" w:eastAsia="zh-TW"/>
              </w:rPr>
              <w:t>限的遞延及保留薪酬的有關部分（</w:t>
            </w:r>
            <w:r>
              <w:rPr>
                <w:rFonts w:eastAsiaTheme="minorEastAsia" w:cs="Segoe UI" w:hint="eastAsia"/>
                <w:color w:val="000000"/>
                <w:sz w:val="17"/>
                <w:szCs w:val="17"/>
                <w:lang w:val="en-US" w:eastAsia="zh-TW"/>
              </w:rPr>
              <w:t>如扣減、收回或類似的獎勵金的回撥或下調）。</w:t>
            </w:r>
          </w:p>
          <w:p w14:paraId="53F51E0E" w14:textId="77777777" w:rsidR="004530C0" w:rsidRDefault="004530C0" w:rsidP="00D540EB">
            <w:pPr>
              <w:pStyle w:val="ListParagraph"/>
              <w:widowControl w:val="0"/>
              <w:numPr>
                <w:ilvl w:val="0"/>
                <w:numId w:val="30"/>
              </w:numPr>
              <w:tabs>
                <w:tab w:val="left" w:pos="459"/>
              </w:tabs>
              <w:autoSpaceDE w:val="0"/>
              <w:autoSpaceDN w:val="0"/>
              <w:adjustRightInd w:val="0"/>
              <w:ind w:leftChars="0"/>
              <w:jc w:val="both"/>
              <w:rPr>
                <w:rFonts w:eastAsiaTheme="minorEastAsia" w:cs="Segoe UI"/>
                <w:color w:val="000000"/>
                <w:sz w:val="17"/>
                <w:szCs w:val="17"/>
                <w:lang w:val="en-US" w:eastAsia="zh-TW"/>
              </w:rPr>
            </w:pPr>
            <w:r>
              <w:rPr>
                <w:rFonts w:eastAsiaTheme="minorEastAsia" w:cs="Segoe UI" w:hint="eastAsia"/>
                <w:i/>
                <w:iCs/>
                <w:color w:val="000000"/>
                <w:sz w:val="17"/>
                <w:szCs w:val="17"/>
                <w:lang w:val="en-US" w:eastAsia="zh-TW"/>
              </w:rPr>
              <w:t>可能受在宣布給予後出現的內在調整影響的未支付總額</w:t>
            </w:r>
            <w:r>
              <w:rPr>
                <w:rFonts w:eastAsiaTheme="minorEastAsia" w:cs="Segoe UI" w:hint="eastAsia"/>
                <w:iCs/>
                <w:color w:val="000000"/>
                <w:sz w:val="17"/>
                <w:szCs w:val="17"/>
                <w:lang w:val="en-US" w:eastAsia="zh-TW"/>
              </w:rPr>
              <w:t>：受限於</w:t>
            </w:r>
            <w:proofErr w:type="gramStart"/>
            <w:r>
              <w:rPr>
                <w:rFonts w:eastAsiaTheme="minorEastAsia" w:cs="Segoe UI" w:hint="eastAsia"/>
                <w:iCs/>
                <w:color w:val="000000"/>
                <w:sz w:val="17"/>
                <w:szCs w:val="17"/>
                <w:lang w:val="en-US" w:eastAsia="zh-TW"/>
              </w:rPr>
              <w:t>可能令薪酬</w:t>
            </w:r>
            <w:proofErr w:type="gramEnd"/>
            <w:r>
              <w:rPr>
                <w:rFonts w:eastAsiaTheme="minorEastAsia" w:cs="Segoe UI" w:hint="eastAsia"/>
                <w:iCs/>
                <w:color w:val="000000"/>
                <w:sz w:val="17"/>
                <w:szCs w:val="17"/>
                <w:lang w:val="en-US" w:eastAsia="zh-TW"/>
              </w:rPr>
              <w:t>出現變動的調整條款的遞延及保留薪酬的有關部分，原因是該等條款與其他指標的表現掛鈎</w:t>
            </w:r>
            <w:r>
              <w:rPr>
                <w:rFonts w:eastAsiaTheme="minorEastAsia" w:cs="Segoe UI" w:hint="eastAsia"/>
                <w:color w:val="000000"/>
                <w:sz w:val="17"/>
                <w:szCs w:val="17"/>
                <w:lang w:val="en-US" w:eastAsia="zh-TW"/>
              </w:rPr>
              <w:t>（如股票或表現單位的價值波動）。</w:t>
            </w:r>
          </w:p>
        </w:tc>
      </w:tr>
      <w:tr w:rsidR="004530C0" w14:paraId="2308A536"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6E2FF63B"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(c)</w:t>
            </w:r>
          </w:p>
        </w:tc>
        <w:tc>
          <w:tcPr>
            <w:tcW w:w="8647" w:type="dxa"/>
            <w:tcBorders>
              <w:top w:val="single" w:sz="4" w:space="0" w:color="auto"/>
              <w:left w:val="single" w:sz="4" w:space="0" w:color="auto"/>
              <w:bottom w:val="single" w:sz="4" w:space="0" w:color="auto"/>
              <w:right w:val="single" w:sz="4" w:space="0" w:color="auto"/>
            </w:tcBorders>
            <w:hideMark/>
          </w:tcPr>
          <w:p w14:paraId="4106200F" w14:textId="77777777" w:rsidR="004530C0" w:rsidRDefault="004530C0">
            <w:pPr>
              <w:pStyle w:val="TableText"/>
              <w:keepNext/>
              <w:jc w:val="both"/>
              <w:rPr>
                <w:rFonts w:cs="Segoe UI"/>
                <w:szCs w:val="17"/>
                <w:lang w:eastAsia="zh-TW"/>
              </w:rPr>
            </w:pPr>
            <w:r>
              <w:rPr>
                <w:rFonts w:eastAsiaTheme="minorEastAsia" w:cs="Segoe UI" w:hint="eastAsia"/>
                <w:szCs w:val="17"/>
                <w:lang w:eastAsia="zh-TW"/>
              </w:rPr>
              <w:t>上文</w:t>
            </w:r>
            <w:proofErr w:type="gramStart"/>
            <w:r>
              <w:rPr>
                <w:rFonts w:eastAsiaTheme="minorEastAsia" w:cs="Segoe UI" w:hint="eastAsia"/>
                <w:szCs w:val="17"/>
                <w:lang w:eastAsia="zh-TW"/>
              </w:rPr>
              <w:t>註</w:t>
            </w:r>
            <w:proofErr w:type="gramEnd"/>
            <w:r>
              <w:rPr>
                <w:rFonts w:eastAsiaTheme="minorEastAsia" w:cs="Segoe UI" w:hint="eastAsia"/>
                <w:szCs w:val="17"/>
                <w:lang w:eastAsia="zh-TW"/>
              </w:rPr>
              <w:t>釋</w:t>
            </w:r>
            <w:r>
              <w:rPr>
                <w:rFonts w:cs="Segoe UI"/>
                <w:szCs w:val="17"/>
                <w:lang w:eastAsia="zh-TW"/>
              </w:rPr>
              <w:t>(b)(</w:t>
            </w:r>
            <w:proofErr w:type="spellStart"/>
            <w:r>
              <w:rPr>
                <w:rFonts w:cs="Segoe UI"/>
                <w:szCs w:val="17"/>
                <w:lang w:eastAsia="zh-TW"/>
              </w:rPr>
              <w:t>i</w:t>
            </w:r>
            <w:proofErr w:type="spellEnd"/>
            <w:r>
              <w:rPr>
                <w:rFonts w:cs="Segoe UI"/>
                <w:szCs w:val="17"/>
                <w:lang w:eastAsia="zh-TW"/>
              </w:rPr>
              <w:t>)</w:t>
            </w:r>
            <w:r>
              <w:rPr>
                <w:rFonts w:eastAsiaTheme="minorEastAsia" w:cs="Segoe UI" w:hint="eastAsia"/>
                <w:szCs w:val="17"/>
                <w:lang w:eastAsia="zh-TW"/>
              </w:rPr>
              <w:t>所載的定義適用，反映在有關財政年度內具體涉及</w:t>
            </w:r>
            <w:r>
              <w:rPr>
                <w:rFonts w:eastAsiaTheme="minorEastAsia" w:cs="Segoe UI"/>
                <w:color w:val="000000"/>
                <w:szCs w:val="17"/>
                <w:lang w:val="en-US" w:eastAsia="zh-TW"/>
              </w:rPr>
              <w:t>(b)</w:t>
            </w:r>
            <w:r>
              <w:rPr>
                <w:rFonts w:eastAsiaTheme="minorEastAsia" w:cs="Segoe UI" w:hint="eastAsia"/>
                <w:color w:val="000000"/>
                <w:szCs w:val="17"/>
                <w:lang w:val="en-US" w:eastAsia="zh-TW"/>
              </w:rPr>
              <w:t>欄的變動。</w:t>
            </w:r>
          </w:p>
        </w:tc>
      </w:tr>
      <w:tr w:rsidR="004530C0" w14:paraId="1234B3B5"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1DB6C037"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(d)</w:t>
            </w:r>
          </w:p>
        </w:tc>
        <w:tc>
          <w:tcPr>
            <w:tcW w:w="8647" w:type="dxa"/>
            <w:tcBorders>
              <w:top w:val="single" w:sz="4" w:space="0" w:color="auto"/>
              <w:left w:val="single" w:sz="4" w:space="0" w:color="auto"/>
              <w:bottom w:val="single" w:sz="4" w:space="0" w:color="auto"/>
              <w:right w:val="single" w:sz="4" w:space="0" w:color="auto"/>
            </w:tcBorders>
            <w:hideMark/>
          </w:tcPr>
          <w:p w14:paraId="06F8CF48" w14:textId="77777777" w:rsidR="004530C0" w:rsidRDefault="004530C0">
            <w:pPr>
              <w:pStyle w:val="TableText"/>
              <w:keepNext/>
              <w:jc w:val="both"/>
              <w:rPr>
                <w:rFonts w:cs="Segoe UI"/>
                <w:szCs w:val="17"/>
                <w:lang w:eastAsia="zh-TW"/>
              </w:rPr>
            </w:pPr>
            <w:r>
              <w:rPr>
                <w:rFonts w:eastAsiaTheme="minorEastAsia" w:cs="Segoe UI" w:hint="eastAsia"/>
                <w:szCs w:val="17"/>
                <w:lang w:eastAsia="zh-TW"/>
              </w:rPr>
              <w:t>上文</w:t>
            </w:r>
            <w:proofErr w:type="gramStart"/>
            <w:r>
              <w:rPr>
                <w:rFonts w:eastAsiaTheme="minorEastAsia" w:cs="Segoe UI" w:hint="eastAsia"/>
                <w:szCs w:val="17"/>
                <w:lang w:eastAsia="zh-TW"/>
              </w:rPr>
              <w:t>註</w:t>
            </w:r>
            <w:proofErr w:type="gramEnd"/>
            <w:r>
              <w:rPr>
                <w:rFonts w:eastAsiaTheme="minorEastAsia" w:cs="Segoe UI" w:hint="eastAsia"/>
                <w:szCs w:val="17"/>
                <w:lang w:eastAsia="zh-TW"/>
              </w:rPr>
              <w:t>釋</w:t>
            </w:r>
            <w:r>
              <w:rPr>
                <w:rFonts w:cs="Segoe UI"/>
                <w:szCs w:val="17"/>
                <w:lang w:eastAsia="zh-TW"/>
              </w:rPr>
              <w:t>(b)(i</w:t>
            </w:r>
            <w:r>
              <w:rPr>
                <w:rFonts w:eastAsiaTheme="minorEastAsia" w:cs="Segoe UI"/>
                <w:szCs w:val="17"/>
                <w:lang w:eastAsia="zh-TW"/>
              </w:rPr>
              <w:t>i</w:t>
            </w:r>
            <w:r>
              <w:rPr>
                <w:rFonts w:cs="Segoe UI"/>
                <w:szCs w:val="17"/>
                <w:lang w:eastAsia="zh-TW"/>
              </w:rPr>
              <w:t>)</w:t>
            </w:r>
            <w:r>
              <w:rPr>
                <w:rFonts w:eastAsiaTheme="minorEastAsia" w:cs="Segoe UI" w:hint="eastAsia"/>
                <w:szCs w:val="17"/>
                <w:lang w:eastAsia="zh-TW"/>
              </w:rPr>
              <w:t>所載的定義適用，反映在有關財政年度內具體涉及</w:t>
            </w:r>
            <w:r>
              <w:rPr>
                <w:rFonts w:eastAsiaTheme="minorEastAsia" w:cs="Segoe UI"/>
                <w:color w:val="000000"/>
                <w:szCs w:val="17"/>
                <w:lang w:val="en-US" w:eastAsia="zh-TW"/>
              </w:rPr>
              <w:t>(b)</w:t>
            </w:r>
            <w:r>
              <w:rPr>
                <w:rFonts w:eastAsiaTheme="minorEastAsia" w:cs="Segoe UI" w:hint="eastAsia"/>
                <w:color w:val="000000"/>
                <w:szCs w:val="17"/>
                <w:lang w:val="en-US" w:eastAsia="zh-TW"/>
              </w:rPr>
              <w:t>欄的變動。</w:t>
            </w:r>
          </w:p>
        </w:tc>
      </w:tr>
      <w:tr w:rsidR="004530C0" w14:paraId="0FF21715"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0ADEE33A"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(e)</w:t>
            </w:r>
          </w:p>
        </w:tc>
        <w:tc>
          <w:tcPr>
            <w:tcW w:w="8647" w:type="dxa"/>
            <w:tcBorders>
              <w:top w:val="single" w:sz="4" w:space="0" w:color="auto"/>
              <w:left w:val="single" w:sz="4" w:space="0" w:color="auto"/>
              <w:bottom w:val="single" w:sz="4" w:space="0" w:color="auto"/>
              <w:right w:val="single" w:sz="4" w:space="0" w:color="auto"/>
            </w:tcBorders>
            <w:hideMark/>
          </w:tcPr>
          <w:p w14:paraId="23BFCB97" w14:textId="77777777" w:rsidR="004530C0" w:rsidRDefault="004530C0">
            <w:pPr>
              <w:pStyle w:val="TableText"/>
              <w:keepNext/>
              <w:jc w:val="both"/>
              <w:rPr>
                <w:rFonts w:cs="Segoe UI"/>
                <w:szCs w:val="17"/>
                <w:lang w:eastAsia="zh-TW"/>
              </w:rPr>
            </w:pPr>
            <w:r>
              <w:rPr>
                <w:rFonts w:eastAsiaTheme="minorEastAsia" w:cs="Segoe UI" w:hint="eastAsia"/>
                <w:szCs w:val="17"/>
                <w:lang w:eastAsia="zh-TW"/>
              </w:rPr>
              <w:t>本</w:t>
            </w:r>
            <w:r>
              <w:rPr>
                <w:rFonts w:eastAsiaTheme="minorEastAsia" w:cs="Segoe UI" w:hint="eastAsia"/>
                <w:color w:val="000000"/>
                <w:szCs w:val="17"/>
                <w:lang w:val="en-US" w:eastAsia="zh-TW"/>
              </w:rPr>
              <w:t>欄</w:t>
            </w:r>
            <w:r>
              <w:rPr>
                <w:rFonts w:eastAsiaTheme="minorEastAsia" w:cs="Segoe UI" w:hint="eastAsia"/>
                <w:szCs w:val="17"/>
                <w:lang w:eastAsia="zh-TW"/>
              </w:rPr>
              <w:t>反映在有關財政年度內的變動，為影響在</w:t>
            </w:r>
            <w:r>
              <w:rPr>
                <w:rFonts w:cs="Segoe UI"/>
                <w:szCs w:val="17"/>
                <w:lang w:eastAsia="zh-TW"/>
              </w:rPr>
              <w:t>(a)</w:t>
            </w:r>
            <w:r>
              <w:rPr>
                <w:rFonts w:eastAsiaTheme="minorEastAsia" w:cs="Segoe UI" w:hint="eastAsia"/>
                <w:color w:val="000000"/>
                <w:szCs w:val="17"/>
                <w:lang w:val="en-US" w:eastAsia="zh-TW"/>
              </w:rPr>
              <w:t>欄</w:t>
            </w:r>
            <w:r>
              <w:rPr>
                <w:rFonts w:eastAsiaTheme="minorEastAsia" w:cs="Segoe UI" w:hint="eastAsia"/>
                <w:szCs w:val="17"/>
                <w:lang w:eastAsia="zh-TW"/>
              </w:rPr>
              <w:t>所披露的值的支付。</w:t>
            </w:r>
          </w:p>
        </w:tc>
      </w:tr>
      <w:tr w:rsidR="004530C0" w14:paraId="32572A25" w14:textId="77777777" w:rsidTr="004530C0">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C2F15" w14:textId="77777777" w:rsidR="004530C0" w:rsidRDefault="004530C0">
            <w:pPr>
              <w:spacing w:before="40" w:after="40"/>
              <w:jc w:val="both"/>
              <w:rPr>
                <w:rFonts w:cs="Segoe UI"/>
                <w:szCs w:val="17"/>
              </w:rPr>
            </w:pPr>
            <w:r>
              <w:rPr>
                <w:rFonts w:eastAsiaTheme="minorEastAsia" w:cs="Segoe UI" w:hint="eastAsia"/>
                <w:b/>
                <w:sz w:val="17"/>
                <w:szCs w:val="17"/>
                <w:lang w:eastAsia="zh-TW"/>
              </w:rPr>
              <w:t>行</w:t>
            </w:r>
          </w:p>
        </w:tc>
      </w:tr>
      <w:tr w:rsidR="004530C0" w14:paraId="43695805"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54F8AE66"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1</w:t>
            </w:r>
          </w:p>
        </w:tc>
        <w:tc>
          <w:tcPr>
            <w:tcW w:w="8647" w:type="dxa"/>
            <w:tcBorders>
              <w:top w:val="single" w:sz="4" w:space="0" w:color="auto"/>
              <w:left w:val="single" w:sz="4" w:space="0" w:color="auto"/>
              <w:bottom w:val="single" w:sz="4" w:space="0" w:color="auto"/>
              <w:right w:val="single" w:sz="4" w:space="0" w:color="auto"/>
            </w:tcBorders>
            <w:hideMark/>
          </w:tcPr>
          <w:p w14:paraId="63475A8A" w14:textId="77777777" w:rsidR="004530C0" w:rsidRDefault="004530C0">
            <w:pPr>
              <w:pStyle w:val="TableText"/>
              <w:keepNext/>
              <w:jc w:val="both"/>
              <w:rPr>
                <w:rFonts w:cs="Segoe UI"/>
                <w:szCs w:val="17"/>
                <w:lang w:eastAsia="zh-TW"/>
              </w:rPr>
            </w:pPr>
            <w:r>
              <w:rPr>
                <w:rFonts w:eastAsiaTheme="minorEastAsia" w:cs="Segoe UI" w:hint="eastAsia"/>
                <w:i/>
                <w:szCs w:val="17"/>
                <w:lang w:eastAsia="zh-TW"/>
              </w:rPr>
              <w:t>高級管理</w:t>
            </w:r>
            <w:r>
              <w:rPr>
                <w:rFonts w:eastAsia="細明體" w:cs="Segoe UI" w:hint="eastAsia"/>
                <w:i/>
                <w:lang w:eastAsia="zh-TW"/>
              </w:rPr>
              <w:t>人員</w:t>
            </w:r>
            <w:r>
              <w:rPr>
                <w:rFonts w:eastAsiaTheme="minorEastAsia" w:cs="Segoe UI" w:hint="eastAsia"/>
                <w:szCs w:val="17"/>
                <w:lang w:eastAsia="zh-TW"/>
              </w:rPr>
              <w:t>：應與表</w:t>
            </w:r>
            <w:r>
              <w:rPr>
                <w:rFonts w:cs="Segoe UI"/>
                <w:szCs w:val="17"/>
                <w:lang w:eastAsia="zh-TW"/>
              </w:rPr>
              <w:t>REMA</w:t>
            </w:r>
            <w:r>
              <w:rPr>
                <w:rFonts w:eastAsiaTheme="minorEastAsia" w:cs="Segoe UI" w:hint="eastAsia"/>
                <w:szCs w:val="17"/>
                <w:lang w:eastAsia="zh-TW"/>
              </w:rPr>
              <w:t>所載的員工類別對應，填報的值應相等於第</w:t>
            </w:r>
            <w:r>
              <w:rPr>
                <w:rFonts w:cs="Segoe UI"/>
                <w:szCs w:val="17"/>
                <w:lang w:eastAsia="zh-TW"/>
              </w:rPr>
              <w:t>2</w:t>
            </w:r>
            <w:r>
              <w:rPr>
                <w:rFonts w:eastAsiaTheme="minorEastAsia" w:cs="Segoe UI" w:hint="eastAsia"/>
                <w:szCs w:val="17"/>
                <w:lang w:eastAsia="zh-TW"/>
              </w:rPr>
              <w:t>至</w:t>
            </w:r>
            <w:r>
              <w:rPr>
                <w:rFonts w:cs="Segoe UI"/>
                <w:szCs w:val="17"/>
                <w:lang w:eastAsia="zh-TW"/>
              </w:rPr>
              <w:t>5</w:t>
            </w:r>
            <w:r>
              <w:rPr>
                <w:rFonts w:eastAsiaTheme="minorEastAsia" w:cs="Segoe UI" w:hint="eastAsia"/>
                <w:szCs w:val="17"/>
                <w:lang w:eastAsia="zh-TW"/>
              </w:rPr>
              <w:t>行的值相加的總和。</w:t>
            </w:r>
          </w:p>
        </w:tc>
      </w:tr>
      <w:tr w:rsidR="004530C0" w14:paraId="7B4A86C5"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3B628345"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6</w:t>
            </w:r>
          </w:p>
        </w:tc>
        <w:tc>
          <w:tcPr>
            <w:tcW w:w="8647" w:type="dxa"/>
            <w:tcBorders>
              <w:top w:val="single" w:sz="4" w:space="0" w:color="auto"/>
              <w:left w:val="single" w:sz="4" w:space="0" w:color="auto"/>
              <w:bottom w:val="single" w:sz="4" w:space="0" w:color="auto"/>
              <w:right w:val="single" w:sz="4" w:space="0" w:color="auto"/>
            </w:tcBorders>
            <w:hideMark/>
          </w:tcPr>
          <w:p w14:paraId="4D52C488" w14:textId="77777777" w:rsidR="004530C0" w:rsidRDefault="004530C0">
            <w:pPr>
              <w:pStyle w:val="TableText"/>
              <w:keepNext/>
              <w:jc w:val="both"/>
              <w:rPr>
                <w:rFonts w:cs="Segoe UI"/>
                <w:szCs w:val="17"/>
                <w:lang w:eastAsia="zh-TW"/>
              </w:rPr>
            </w:pPr>
            <w:r>
              <w:rPr>
                <w:rFonts w:eastAsia="細明體" w:cs="Segoe UI" w:hint="eastAsia"/>
                <w:i/>
                <w:lang w:eastAsia="zh-TW"/>
              </w:rPr>
              <w:t>主要人員</w:t>
            </w:r>
            <w:r>
              <w:rPr>
                <w:rFonts w:eastAsiaTheme="minorEastAsia" w:cs="Segoe UI" w:hint="eastAsia"/>
                <w:szCs w:val="17"/>
                <w:lang w:eastAsia="zh-TW"/>
              </w:rPr>
              <w:t>：應與表</w:t>
            </w:r>
            <w:r>
              <w:rPr>
                <w:rFonts w:cs="Segoe UI"/>
                <w:szCs w:val="17"/>
                <w:lang w:eastAsia="zh-TW"/>
              </w:rPr>
              <w:t>REMA</w:t>
            </w:r>
            <w:r>
              <w:rPr>
                <w:rFonts w:eastAsiaTheme="minorEastAsia" w:cs="Segoe UI" w:hint="eastAsia"/>
                <w:szCs w:val="17"/>
                <w:lang w:eastAsia="zh-TW"/>
              </w:rPr>
              <w:t>所載的員工類別對應，填報的值應相等於第</w:t>
            </w:r>
            <w:r>
              <w:rPr>
                <w:rFonts w:eastAsiaTheme="minorEastAsia" w:cs="Segoe UI"/>
                <w:szCs w:val="17"/>
                <w:lang w:eastAsia="zh-TW"/>
              </w:rPr>
              <w:t>7</w:t>
            </w:r>
            <w:r>
              <w:rPr>
                <w:rFonts w:eastAsiaTheme="minorEastAsia" w:cs="Segoe UI" w:hint="eastAsia"/>
                <w:szCs w:val="17"/>
                <w:lang w:eastAsia="zh-TW"/>
              </w:rPr>
              <w:t>至</w:t>
            </w:r>
            <w:r>
              <w:rPr>
                <w:rFonts w:eastAsiaTheme="minorEastAsia" w:cs="Segoe UI"/>
                <w:szCs w:val="17"/>
                <w:lang w:eastAsia="zh-TW"/>
              </w:rPr>
              <w:t>10</w:t>
            </w:r>
            <w:r>
              <w:rPr>
                <w:rFonts w:eastAsiaTheme="minorEastAsia" w:cs="Segoe UI" w:hint="eastAsia"/>
                <w:szCs w:val="17"/>
                <w:lang w:eastAsia="zh-TW"/>
              </w:rPr>
              <w:t>行的值相加的總和。</w:t>
            </w:r>
          </w:p>
        </w:tc>
      </w:tr>
      <w:tr w:rsidR="004530C0" w14:paraId="1611FF94"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5415D712" w14:textId="77777777" w:rsidR="00800E45" w:rsidRDefault="004530C0">
            <w:pPr>
              <w:keepLines/>
              <w:widowControl w:val="0"/>
              <w:tabs>
                <w:tab w:val="left" w:pos="794"/>
                <w:tab w:val="left" w:pos="1191"/>
              </w:tabs>
              <w:spacing w:before="40" w:after="40"/>
              <w:ind w:rightChars="-54" w:right="-108"/>
              <w:rPr>
                <w:rFonts w:eastAsiaTheme="minorEastAsia" w:cs="Segoe UI"/>
                <w:sz w:val="17"/>
                <w:szCs w:val="17"/>
                <w:lang w:eastAsia="zh-TW"/>
              </w:rPr>
            </w:pPr>
            <w:r>
              <w:rPr>
                <w:rFonts w:cs="Segoe UI"/>
                <w:sz w:val="17"/>
                <w:szCs w:val="17"/>
                <w:lang w:eastAsia="en-GB"/>
              </w:rPr>
              <w:t>1</w:t>
            </w:r>
            <w:r>
              <w:rPr>
                <w:rFonts w:eastAsiaTheme="minorEastAsia" w:cs="Segoe UI" w:hint="eastAsia"/>
                <w:sz w:val="17"/>
                <w:szCs w:val="17"/>
                <w:lang w:eastAsia="zh-TW"/>
              </w:rPr>
              <w:t>及</w:t>
            </w:r>
          </w:p>
          <w:p w14:paraId="75212CF3" w14:textId="7BF72A11" w:rsidR="004530C0" w:rsidRDefault="004530C0">
            <w:pPr>
              <w:keepLines/>
              <w:widowControl w:val="0"/>
              <w:tabs>
                <w:tab w:val="left" w:pos="794"/>
                <w:tab w:val="left" w:pos="1191"/>
              </w:tabs>
              <w:spacing w:before="40" w:after="40"/>
              <w:ind w:rightChars="-54" w:right="-108"/>
              <w:rPr>
                <w:rFonts w:eastAsiaTheme="minorEastAsia" w:cs="Segoe UI"/>
                <w:sz w:val="17"/>
                <w:szCs w:val="17"/>
                <w:lang w:eastAsia="zh-TW"/>
              </w:rPr>
            </w:pPr>
            <w:r>
              <w:rPr>
                <w:rFonts w:cs="Segoe UI"/>
                <w:sz w:val="17"/>
                <w:szCs w:val="17"/>
                <w:lang w:eastAsia="en-GB"/>
              </w:rPr>
              <w:t>6</w:t>
            </w:r>
          </w:p>
        </w:tc>
        <w:tc>
          <w:tcPr>
            <w:tcW w:w="8647" w:type="dxa"/>
            <w:tcBorders>
              <w:top w:val="single" w:sz="4" w:space="0" w:color="auto"/>
              <w:left w:val="single" w:sz="4" w:space="0" w:color="auto"/>
              <w:bottom w:val="single" w:sz="4" w:space="0" w:color="auto"/>
              <w:right w:val="single" w:sz="4" w:space="0" w:color="auto"/>
            </w:tcBorders>
            <w:hideMark/>
          </w:tcPr>
          <w:p w14:paraId="14C64A03" w14:textId="77777777" w:rsidR="004530C0" w:rsidRDefault="004530C0">
            <w:pPr>
              <w:pStyle w:val="TableText"/>
              <w:keepNext/>
              <w:jc w:val="both"/>
              <w:rPr>
                <w:rFonts w:eastAsiaTheme="minorEastAsia" w:cs="Segoe UI"/>
                <w:szCs w:val="17"/>
                <w:lang w:eastAsia="zh-TW"/>
              </w:rPr>
            </w:pPr>
            <w:r>
              <w:rPr>
                <w:rFonts w:eastAsiaTheme="minorEastAsia" w:cs="Segoe UI" w:hint="eastAsia"/>
                <w:szCs w:val="17"/>
                <w:lang w:eastAsia="zh-TW"/>
              </w:rPr>
              <w:t>如認可機構行政人員數目過少，令個別人士的薪酬可能很容易地從披露的明細分類資料中被推斷出來，只要該資料的敏感程度會對該機構構成不利影響，一個可接受的折衷做法為認可機構只披露高級管理人員及主要人員的</w:t>
            </w:r>
            <w:r>
              <w:rPr>
                <w:rFonts w:eastAsia="細明體" w:cs="Segoe UI" w:hint="eastAsia"/>
                <w:szCs w:val="17"/>
                <w:lang w:eastAsia="zh-TW"/>
              </w:rPr>
              <w:t>合計</w:t>
            </w:r>
            <w:r>
              <w:rPr>
                <w:rFonts w:eastAsiaTheme="minorEastAsia" w:cs="Segoe UI" w:hint="eastAsia"/>
                <w:szCs w:val="17"/>
                <w:lang w:eastAsia="zh-TW"/>
              </w:rPr>
              <w:t>薪酬總額；然而，該做法及理由</w:t>
            </w:r>
            <w:r>
              <w:rPr>
                <w:rFonts w:asciiTheme="minorEastAsia" w:eastAsiaTheme="minorEastAsia" w:hAnsiTheme="minorEastAsia" w:cs="Segoe UI" w:hint="eastAsia"/>
                <w:szCs w:val="17"/>
                <w:lang w:eastAsia="zh-TW"/>
              </w:rPr>
              <w:t>（</w:t>
            </w:r>
            <w:r>
              <w:rPr>
                <w:rFonts w:eastAsiaTheme="minorEastAsia" w:cs="Segoe UI" w:hint="eastAsia"/>
                <w:szCs w:val="17"/>
                <w:lang w:eastAsia="zh-TW"/>
              </w:rPr>
              <w:t>即披露總額而非披露個別分類</w:t>
            </w:r>
            <w:r>
              <w:rPr>
                <w:rFonts w:eastAsiaTheme="minorEastAsia" w:cs="Segoe UI" w:hint="eastAsia"/>
                <w:color w:val="000000"/>
                <w:szCs w:val="17"/>
                <w:lang w:val="en-US" w:eastAsia="zh-TW"/>
              </w:rPr>
              <w:t>）</w:t>
            </w:r>
            <w:r>
              <w:rPr>
                <w:rFonts w:eastAsiaTheme="minorEastAsia" w:cs="Segoe UI" w:hint="eastAsia"/>
                <w:szCs w:val="17"/>
                <w:lang w:eastAsia="zh-TW"/>
              </w:rPr>
              <w:t>須在附加說明作充分披露。</w:t>
            </w:r>
          </w:p>
        </w:tc>
      </w:tr>
      <w:tr w:rsidR="004530C0" w14:paraId="2AF6161A" w14:textId="77777777" w:rsidTr="004530C0">
        <w:tc>
          <w:tcPr>
            <w:tcW w:w="567" w:type="dxa"/>
            <w:tcBorders>
              <w:top w:val="single" w:sz="4" w:space="0" w:color="auto"/>
              <w:left w:val="single" w:sz="4" w:space="0" w:color="auto"/>
              <w:bottom w:val="single" w:sz="4" w:space="0" w:color="auto"/>
              <w:right w:val="single" w:sz="4" w:space="0" w:color="auto"/>
            </w:tcBorders>
            <w:hideMark/>
          </w:tcPr>
          <w:p w14:paraId="4B8683DE" w14:textId="77777777" w:rsidR="004530C0" w:rsidRDefault="004530C0">
            <w:pPr>
              <w:keepLines/>
              <w:widowControl w:val="0"/>
              <w:tabs>
                <w:tab w:val="left" w:pos="794"/>
                <w:tab w:val="left" w:pos="1191"/>
              </w:tabs>
              <w:spacing w:before="40" w:after="40"/>
              <w:ind w:rightChars="-54" w:right="-108"/>
              <w:rPr>
                <w:rFonts w:cs="Segoe UI"/>
                <w:sz w:val="17"/>
                <w:szCs w:val="17"/>
                <w:lang w:eastAsia="en-GB"/>
              </w:rPr>
            </w:pPr>
            <w:r>
              <w:rPr>
                <w:rFonts w:cs="Segoe UI"/>
                <w:sz w:val="17"/>
                <w:szCs w:val="17"/>
                <w:lang w:eastAsia="en-GB"/>
              </w:rPr>
              <w:t>11</w:t>
            </w:r>
          </w:p>
        </w:tc>
        <w:tc>
          <w:tcPr>
            <w:tcW w:w="8647" w:type="dxa"/>
            <w:tcBorders>
              <w:top w:val="single" w:sz="4" w:space="0" w:color="auto"/>
              <w:left w:val="single" w:sz="4" w:space="0" w:color="auto"/>
              <w:bottom w:val="single" w:sz="4" w:space="0" w:color="auto"/>
              <w:right w:val="single" w:sz="4" w:space="0" w:color="auto"/>
            </w:tcBorders>
            <w:hideMark/>
          </w:tcPr>
          <w:p w14:paraId="027DB0D9" w14:textId="77777777" w:rsidR="004530C0" w:rsidRDefault="004530C0">
            <w:pPr>
              <w:pStyle w:val="TableText"/>
              <w:keepNext/>
              <w:jc w:val="both"/>
              <w:rPr>
                <w:rFonts w:cs="Segoe UI"/>
                <w:szCs w:val="17"/>
                <w:lang w:eastAsia="zh-TW"/>
              </w:rPr>
            </w:pPr>
            <w:r>
              <w:rPr>
                <w:rFonts w:eastAsiaTheme="minorEastAsia" w:cs="Segoe UI" w:hint="eastAsia"/>
                <w:i/>
                <w:szCs w:val="17"/>
                <w:lang w:eastAsia="zh-TW"/>
              </w:rPr>
              <w:t>總額</w:t>
            </w:r>
            <w:r>
              <w:rPr>
                <w:rFonts w:eastAsiaTheme="minorEastAsia" w:cs="Segoe UI" w:hint="eastAsia"/>
                <w:szCs w:val="17"/>
                <w:lang w:eastAsia="zh-TW"/>
              </w:rPr>
              <w:t>：第</w:t>
            </w:r>
            <w:r>
              <w:rPr>
                <w:rFonts w:cs="Segoe UI"/>
                <w:szCs w:val="17"/>
                <w:lang w:eastAsia="zh-TW"/>
              </w:rPr>
              <w:t>1</w:t>
            </w:r>
            <w:r>
              <w:rPr>
                <w:rFonts w:eastAsiaTheme="minorEastAsia" w:cs="Segoe UI" w:hint="eastAsia"/>
                <w:szCs w:val="17"/>
                <w:lang w:eastAsia="zh-TW"/>
              </w:rPr>
              <w:t>及</w:t>
            </w:r>
            <w:r>
              <w:rPr>
                <w:rFonts w:cs="Segoe UI"/>
                <w:szCs w:val="17"/>
                <w:lang w:eastAsia="zh-TW"/>
              </w:rPr>
              <w:t>6</w:t>
            </w:r>
            <w:r>
              <w:rPr>
                <w:rFonts w:eastAsiaTheme="minorEastAsia" w:cs="Segoe UI" w:hint="eastAsia"/>
                <w:szCs w:val="17"/>
                <w:lang w:eastAsia="zh-TW"/>
              </w:rPr>
              <w:t>行的值相加的總和。</w:t>
            </w:r>
          </w:p>
        </w:tc>
      </w:tr>
    </w:tbl>
    <w:p w14:paraId="0E9F0D48" w14:textId="77777777" w:rsidR="00190D67" w:rsidRDefault="00190D67">
      <w:pPr>
        <w:rPr>
          <w:lang w:eastAsia="zh-TW"/>
        </w:rPr>
      </w:pPr>
    </w:p>
    <w:p w14:paraId="30AA17F6" w14:textId="77777777" w:rsidR="00190D67" w:rsidRDefault="00190D67">
      <w:pPr>
        <w:rPr>
          <w:rFonts w:eastAsiaTheme="minorEastAsia" w:cs="Segoe UI"/>
          <w:lang w:val="en-US" w:eastAsia="zh-TW"/>
        </w:rPr>
        <w:sectPr w:rsidR="00190D67">
          <w:headerReference w:type="default" r:id="rId113"/>
          <w:footerReference w:type="default" r:id="rId114"/>
          <w:pgSz w:w="11906" w:h="16838"/>
          <w:pgMar w:top="1440" w:right="1800" w:bottom="1440" w:left="1800" w:header="851" w:footer="992" w:gutter="0"/>
          <w:cols w:space="425"/>
          <w:docGrid w:type="lines" w:linePitch="360"/>
        </w:sectPr>
      </w:pPr>
    </w:p>
    <w:p w14:paraId="6872B9CB" w14:textId="77777777" w:rsidR="00190D67" w:rsidRPr="003905B9" w:rsidRDefault="00190D67" w:rsidP="000F143F">
      <w:pPr>
        <w:keepNext/>
        <w:keepLines/>
        <w:tabs>
          <w:tab w:val="left" w:pos="567"/>
        </w:tabs>
        <w:spacing w:after="360"/>
        <w:ind w:leftChars="-213" w:left="-426" w:rightChars="-142" w:right="-284"/>
        <w:outlineLvl w:val="0"/>
        <w:rPr>
          <w:rFonts w:eastAsia="新細明體" w:cs="Segoe UI"/>
          <w:color w:val="C00000"/>
          <w:sz w:val="28"/>
          <w:szCs w:val="28"/>
          <w:lang w:eastAsia="zh-TW"/>
        </w:rPr>
      </w:pPr>
      <w:r w:rsidRPr="003905B9">
        <w:rPr>
          <w:rFonts w:eastAsia="新細明體" w:cs="Segoe UI"/>
          <w:color w:val="C00000"/>
          <w:sz w:val="28"/>
          <w:szCs w:val="28"/>
          <w:lang w:eastAsia="zh-TW"/>
        </w:rPr>
        <w:t>第</w:t>
      </w:r>
      <w:r w:rsidRPr="00386F81">
        <w:rPr>
          <w:rFonts w:eastAsia="新細明體" w:cs="Segoe UI"/>
          <w:color w:val="C00000"/>
          <w:sz w:val="28"/>
          <w:szCs w:val="28"/>
          <w:lang w:eastAsia="zh-TW"/>
        </w:rPr>
        <w:t>IX</w:t>
      </w:r>
      <w:r w:rsidRPr="00386F81">
        <w:rPr>
          <w:rFonts w:eastAsia="新細明體" w:cs="Segoe UI"/>
          <w:color w:val="C00000"/>
          <w:sz w:val="28"/>
          <w:szCs w:val="28"/>
          <w:lang w:eastAsia="zh-HK"/>
        </w:rPr>
        <w:t>部</w:t>
      </w:r>
      <w:r w:rsidRPr="003905B9">
        <w:rPr>
          <w:rFonts w:eastAsia="新細明體" w:cs="Segoe UI"/>
          <w:color w:val="C00000"/>
          <w:sz w:val="28"/>
          <w:szCs w:val="28"/>
          <w:lang w:eastAsia="zh-TW"/>
        </w:rPr>
        <w:t>：</w:t>
      </w:r>
      <w:r w:rsidRPr="003905B9">
        <w:rPr>
          <w:rFonts w:eastAsia="新細明體" w:cs="Segoe UI"/>
          <w:color w:val="C00000"/>
          <w:sz w:val="28"/>
          <w:szCs w:val="28"/>
          <w:lang w:eastAsia="zh-HK"/>
        </w:rPr>
        <w:t>業務操作風險</w:t>
      </w:r>
    </w:p>
    <w:p w14:paraId="144E896D" w14:textId="52A1F716" w:rsidR="00190D67" w:rsidRPr="005A22C2" w:rsidRDefault="00190D67" w:rsidP="000F143F">
      <w:pPr>
        <w:pStyle w:val="Bulletpoint"/>
        <w:ind w:leftChars="-213" w:left="-426"/>
        <w:rPr>
          <w:rFonts w:eastAsia="新細明體"/>
          <w:lang w:eastAsia="zh-TW"/>
        </w:rPr>
      </w:pPr>
      <w:r w:rsidRPr="005A22C2">
        <w:rPr>
          <w:rFonts w:eastAsia="新細明體"/>
          <w:lang w:eastAsia="zh-HK"/>
        </w:rPr>
        <w:t>認可機構應確保在本部</w:t>
      </w:r>
      <w:r w:rsidRPr="005A22C2">
        <w:rPr>
          <w:rFonts w:eastAsia="新細明體" w:hint="eastAsia"/>
          <w:lang w:eastAsia="zh-HK"/>
        </w:rPr>
        <w:t>所作的</w:t>
      </w:r>
      <w:r w:rsidRPr="005A22C2">
        <w:rPr>
          <w:rFonts w:eastAsia="新細明體"/>
          <w:lang w:eastAsia="zh-HK"/>
        </w:rPr>
        <w:t>披露</w:t>
      </w:r>
      <w:r w:rsidRPr="005A22C2">
        <w:rPr>
          <w:rFonts w:eastAsia="新細明體"/>
          <w:lang w:eastAsia="zh-TW"/>
        </w:rPr>
        <w:t>，</w:t>
      </w:r>
      <w:r w:rsidRPr="005A22C2">
        <w:rPr>
          <w:rFonts w:eastAsia="新細明體"/>
          <w:lang w:eastAsia="zh-HK"/>
        </w:rPr>
        <w:t>與</w:t>
      </w:r>
      <w:r w:rsidRPr="005A22C2">
        <w:rPr>
          <w:rFonts w:eastAsia="新細明體"/>
          <w:lang w:eastAsia="zh-TW"/>
        </w:rPr>
        <w:t>《</w:t>
      </w:r>
      <w:r w:rsidRPr="005A22C2">
        <w:rPr>
          <w:rFonts w:eastAsia="新細明體"/>
          <w:lang w:eastAsia="zh-HK"/>
        </w:rPr>
        <w:t>資本規則</w:t>
      </w:r>
      <w:r w:rsidRPr="005A22C2">
        <w:rPr>
          <w:rFonts w:eastAsia="新細明體"/>
          <w:lang w:eastAsia="zh-TW"/>
        </w:rPr>
        <w:t>》、</w:t>
      </w:r>
      <w:r w:rsidRPr="005A22C2">
        <w:rPr>
          <w:rFonts w:eastAsia="新細明體"/>
          <w:lang w:eastAsia="zh-HK"/>
        </w:rPr>
        <w:t>銀行申報表填報指示以及關於實施《巴塞爾協定三》經修訂業務操作風險資本</w:t>
      </w:r>
      <w:r w:rsidRPr="005A22C2">
        <w:rPr>
          <w:rFonts w:eastAsia="新細明體" w:hint="eastAsia"/>
          <w:lang w:eastAsia="zh-HK"/>
        </w:rPr>
        <w:t>框架</w:t>
      </w:r>
      <w:r w:rsidRPr="005A22C2">
        <w:rPr>
          <w:rFonts w:eastAsia="新細明體"/>
          <w:lang w:eastAsia="zh-HK"/>
        </w:rPr>
        <w:t>的</w:t>
      </w:r>
      <w:r w:rsidRPr="005A22C2">
        <w:rPr>
          <w:rFonts w:eastAsia="新細明體" w:hint="eastAsia"/>
          <w:lang w:eastAsia="zh-HK"/>
        </w:rPr>
        <w:t>其他</w:t>
      </w:r>
      <w:r w:rsidRPr="005A22C2">
        <w:rPr>
          <w:rFonts w:eastAsia="新細明體"/>
          <w:lang w:eastAsia="zh-HK"/>
        </w:rPr>
        <w:t>監管指引</w:t>
      </w:r>
      <w:r w:rsidR="00137C4D" w:rsidRPr="005A22C2">
        <w:rPr>
          <w:rFonts w:eastAsia="新細明體" w:hint="eastAsia"/>
          <w:sz w:val="17"/>
          <w:lang w:eastAsia="zh-HK"/>
        </w:rPr>
        <w:t>（</w:t>
      </w:r>
      <w:r w:rsidRPr="005A22C2">
        <w:rPr>
          <w:rFonts w:eastAsia="新細明體" w:hint="eastAsia"/>
          <w:lang w:eastAsia="zh-HK"/>
        </w:rPr>
        <w:t>包括實務守則</w:t>
      </w:r>
      <w:r w:rsidR="006D75A6" w:rsidRPr="005A22C2">
        <w:rPr>
          <w:rFonts w:ascii="新細明體" w:eastAsia="新細明體" w:hAnsi="新細明體" w:hint="eastAsia"/>
          <w:sz w:val="17"/>
          <w:szCs w:val="17"/>
          <w:lang w:eastAsia="zh-TW"/>
        </w:rPr>
        <w:t>）</w:t>
      </w:r>
      <w:r w:rsidRPr="005A22C2">
        <w:rPr>
          <w:rFonts w:eastAsia="新細明體" w:hint="eastAsia"/>
          <w:lang w:eastAsia="zh-HK"/>
        </w:rPr>
        <w:t>一致</w:t>
      </w:r>
      <w:r w:rsidRPr="005A22C2">
        <w:rPr>
          <w:rFonts w:eastAsia="新細明體"/>
          <w:lang w:eastAsia="zh-TW"/>
        </w:rPr>
        <w:t>。</w:t>
      </w:r>
    </w:p>
    <w:p w14:paraId="23FAC48F" w14:textId="77777777" w:rsidR="00190D67" w:rsidRPr="005A22C2" w:rsidRDefault="00190D67" w:rsidP="00190D67">
      <w:pPr>
        <w:pStyle w:val="Bulletpoint"/>
        <w:ind w:left="-567"/>
        <w:rPr>
          <w:rFonts w:eastAsia="新細明體"/>
          <w:sz w:val="22"/>
          <w:lang w:eastAsia="zh-TW"/>
        </w:rPr>
      </w:pPr>
    </w:p>
    <w:p w14:paraId="665370FF" w14:textId="77777777" w:rsidR="00190D67" w:rsidRPr="005A22C2" w:rsidRDefault="00190D67" w:rsidP="00216206">
      <w:pPr>
        <w:pStyle w:val="Heading2"/>
        <w:keepNext w:val="0"/>
        <w:suppressAutoHyphens w:val="0"/>
        <w:spacing w:before="40" w:line="240" w:lineRule="auto"/>
        <w:ind w:left="-454"/>
        <w:rPr>
          <w:rFonts w:asciiTheme="majorEastAsia" w:eastAsiaTheme="majorEastAsia" w:hAnsiTheme="majorEastAsia" w:cs="微軟正黑體"/>
          <w:b w:val="0"/>
          <w:bCs w:val="0"/>
          <w:sz w:val="22"/>
          <w:szCs w:val="20"/>
          <w:lang w:eastAsia="zh-TW"/>
        </w:rPr>
      </w:pPr>
      <w:r w:rsidRPr="005A22C2">
        <w:rPr>
          <w:rFonts w:asciiTheme="majorEastAsia" w:eastAsiaTheme="majorEastAsia" w:hAnsiTheme="majorEastAsia" w:cs="微軟正黑體"/>
          <w:b w:val="0"/>
          <w:bCs w:val="0"/>
          <w:sz w:val="22"/>
          <w:szCs w:val="20"/>
          <w:lang w:eastAsia="zh-TW"/>
        </w:rPr>
        <w:t>表</w:t>
      </w:r>
      <w:r w:rsidRPr="005A22C2">
        <w:rPr>
          <w:rFonts w:ascii="Segoe UI" w:eastAsiaTheme="majorEastAsia" w:hAnsi="Segoe UI" w:cs="Segoe UI"/>
          <w:b w:val="0"/>
          <w:bCs w:val="0"/>
          <w:sz w:val="22"/>
          <w:szCs w:val="20"/>
          <w:lang w:eastAsia="zh-TW"/>
        </w:rPr>
        <w:t>ORA</w:t>
      </w:r>
      <w:r w:rsidRPr="005A22C2">
        <w:rPr>
          <w:rFonts w:asciiTheme="majorEastAsia" w:eastAsiaTheme="majorEastAsia" w:hAnsiTheme="majorEastAsia" w:cs="微軟正黑體"/>
          <w:b w:val="0"/>
          <w:bCs w:val="0"/>
          <w:sz w:val="22"/>
          <w:szCs w:val="20"/>
          <w:lang w:eastAsia="zh-TW"/>
        </w:rPr>
        <w:t>：業務操作風險</w:t>
      </w:r>
      <w:r w:rsidRPr="005A22C2">
        <w:rPr>
          <w:rFonts w:asciiTheme="majorEastAsia" w:eastAsiaTheme="majorEastAsia" w:hAnsiTheme="majorEastAsia" w:cs="微軟正黑體" w:hint="eastAsia"/>
          <w:b w:val="0"/>
          <w:bCs w:val="0"/>
          <w:sz w:val="22"/>
          <w:szCs w:val="20"/>
          <w:lang w:eastAsia="zh-TW"/>
        </w:rPr>
        <w:t>框架</w:t>
      </w:r>
      <w:r w:rsidRPr="005A22C2">
        <w:rPr>
          <w:rFonts w:asciiTheme="majorEastAsia" w:eastAsiaTheme="majorEastAsia" w:hAnsiTheme="majorEastAsia" w:cs="微軟正黑體"/>
          <w:b w:val="0"/>
          <w:bCs w:val="0"/>
          <w:sz w:val="22"/>
          <w:szCs w:val="20"/>
          <w:lang w:eastAsia="zh-TW"/>
        </w:rPr>
        <w:t>的一般資料</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5A22C2" w:rsidRPr="005A22C2" w14:paraId="33155959" w14:textId="77777777" w:rsidTr="000F143F">
        <w:tc>
          <w:tcPr>
            <w:tcW w:w="2160" w:type="dxa"/>
          </w:tcPr>
          <w:p w14:paraId="2A22D8AE" w14:textId="77777777" w:rsidR="00190D67" w:rsidRPr="005A22C2" w:rsidRDefault="00190D67" w:rsidP="00862754">
            <w:pPr>
              <w:spacing w:before="40" w:after="40"/>
              <w:rPr>
                <w:rFonts w:eastAsia="新細明體" w:cs="Segoe UI"/>
                <w:noProof/>
                <w:sz w:val="17"/>
                <w:lang w:eastAsia="zh-TW"/>
              </w:rPr>
            </w:pPr>
            <w:proofErr w:type="spellStart"/>
            <w:r w:rsidRPr="005A22C2">
              <w:rPr>
                <w:rFonts w:eastAsia="新細明體" w:cs="Segoe UI"/>
                <w:b/>
                <w:sz w:val="17"/>
                <w:lang w:eastAsia="en-GB"/>
              </w:rPr>
              <w:t>目的</w:t>
            </w:r>
            <w:proofErr w:type="spellEnd"/>
            <w:r w:rsidRPr="005A22C2">
              <w:rPr>
                <w:rFonts w:eastAsia="新細明體" w:cs="Segoe UI"/>
                <w:b/>
                <w:sz w:val="17"/>
                <w:lang w:eastAsia="zh-TW"/>
              </w:rPr>
              <w:t>：</w:t>
            </w:r>
          </w:p>
        </w:tc>
        <w:tc>
          <w:tcPr>
            <w:tcW w:w="7088" w:type="dxa"/>
          </w:tcPr>
          <w:p w14:paraId="15DF5039" w14:textId="62C67F8B" w:rsidR="00190D67" w:rsidRPr="005A22C2" w:rsidRDefault="00190D67" w:rsidP="00862754">
            <w:pPr>
              <w:pStyle w:val="TableText"/>
              <w:jc w:val="both"/>
              <w:rPr>
                <w:rFonts w:eastAsia="新細明體" w:cs="Segoe UI"/>
                <w:lang w:val="en-US" w:eastAsia="zh-TW"/>
              </w:rPr>
            </w:pPr>
            <w:r w:rsidRPr="005A22C2">
              <w:rPr>
                <w:rFonts w:eastAsia="新細明體" w:cs="Segoe UI" w:hint="eastAsia"/>
                <w:bCs/>
                <w:szCs w:val="17"/>
                <w:lang w:eastAsia="zh-HK"/>
              </w:rPr>
              <w:t>描</w:t>
            </w:r>
            <w:r w:rsidRPr="005A22C2">
              <w:rPr>
                <w:rFonts w:eastAsia="新細明體" w:cs="Segoe UI" w:hint="eastAsia"/>
                <w:bCs/>
                <w:szCs w:val="17"/>
                <w:lang w:eastAsia="zh-TW"/>
              </w:rPr>
              <w:t>述</w:t>
            </w:r>
            <w:r w:rsidRPr="005A22C2">
              <w:rPr>
                <w:rFonts w:eastAsia="新細明體" w:cs="Segoe UI"/>
                <w:bCs/>
                <w:szCs w:val="17"/>
                <w:lang w:eastAsia="zh-HK"/>
              </w:rPr>
              <w:t>認可機構</w:t>
            </w:r>
            <w:r w:rsidRPr="005A22C2">
              <w:rPr>
                <w:rFonts w:eastAsia="新細明體" w:cs="Segoe UI"/>
                <w:bCs/>
                <w:szCs w:val="17"/>
                <w:lang w:eastAsia="zh-TW"/>
              </w:rPr>
              <w:t>業務操作風險管理</w:t>
            </w:r>
            <w:r w:rsidRPr="005A22C2">
              <w:rPr>
                <w:rFonts w:eastAsia="新細明體" w:cs="Segoe UI" w:hint="eastAsia"/>
                <w:bCs/>
                <w:szCs w:val="17"/>
                <w:lang w:eastAsia="zh-HK"/>
              </w:rPr>
              <w:t>框架</w:t>
            </w:r>
            <w:r w:rsidRPr="005A22C2">
              <w:rPr>
                <w:rFonts w:eastAsia="新細明體" w:cs="Segoe UI"/>
                <w:bCs/>
                <w:szCs w:val="17"/>
                <w:lang w:eastAsia="zh-HK"/>
              </w:rPr>
              <w:t>的</w:t>
            </w:r>
            <w:r w:rsidRPr="005A22C2">
              <w:rPr>
                <w:rFonts w:eastAsia="新細明體" w:cs="Segoe UI" w:hint="eastAsia"/>
                <w:bCs/>
                <w:szCs w:val="17"/>
                <w:lang w:eastAsia="zh-HK"/>
              </w:rPr>
              <w:t>主要特點及元素</w:t>
            </w:r>
            <w:r w:rsidRPr="005A22C2">
              <w:rPr>
                <w:rFonts w:eastAsia="新細明體" w:cs="Segoe UI" w:hint="eastAsia"/>
                <w:bCs/>
                <w:szCs w:val="17"/>
                <w:lang w:eastAsia="zh-TW"/>
              </w:rPr>
              <w:t>。</w:t>
            </w:r>
          </w:p>
        </w:tc>
      </w:tr>
      <w:tr w:rsidR="005A22C2" w:rsidRPr="005A22C2" w14:paraId="0AD428BC" w14:textId="77777777" w:rsidTr="000F143F">
        <w:tc>
          <w:tcPr>
            <w:tcW w:w="2160" w:type="dxa"/>
          </w:tcPr>
          <w:p w14:paraId="55117F7A" w14:textId="77777777" w:rsidR="00190D67" w:rsidRPr="005A22C2" w:rsidRDefault="00190D67" w:rsidP="00862754">
            <w:pPr>
              <w:spacing w:before="40" w:after="40"/>
              <w:rPr>
                <w:rFonts w:eastAsia="新細明體" w:cs="Segoe UI"/>
                <w:b/>
                <w:sz w:val="17"/>
                <w:lang w:eastAsia="en-GB"/>
              </w:rPr>
            </w:pPr>
            <w:r w:rsidRPr="005A22C2">
              <w:rPr>
                <w:rFonts w:eastAsia="新細明體" w:cs="Segoe UI" w:hint="eastAsia"/>
                <w:b/>
                <w:sz w:val="17"/>
                <w:lang w:eastAsia="zh-HK"/>
              </w:rPr>
              <w:t>適用範圍</w:t>
            </w:r>
            <w:r w:rsidRPr="005A22C2">
              <w:rPr>
                <w:rFonts w:eastAsia="新細明體" w:cs="Segoe UI" w:hint="eastAsia"/>
                <w:b/>
                <w:sz w:val="17"/>
                <w:lang w:eastAsia="zh-TW"/>
              </w:rPr>
              <w:t>：</w:t>
            </w:r>
          </w:p>
        </w:tc>
        <w:tc>
          <w:tcPr>
            <w:tcW w:w="7088" w:type="dxa"/>
          </w:tcPr>
          <w:p w14:paraId="1B54447D" w14:textId="55F0E66C" w:rsidR="00190D67" w:rsidRPr="005A22C2" w:rsidRDefault="00190D67" w:rsidP="00862754">
            <w:pPr>
              <w:spacing w:before="40" w:after="40"/>
              <w:jc w:val="both"/>
              <w:rPr>
                <w:rFonts w:eastAsia="新細明體" w:cs="Segoe UI"/>
                <w:b/>
                <w:sz w:val="17"/>
                <w:lang w:eastAsia="zh-TW"/>
              </w:rPr>
            </w:pPr>
            <w:r w:rsidRPr="005A22C2">
              <w:rPr>
                <w:rFonts w:eastAsia="新細明體" w:cs="Segoe UI" w:hint="eastAsia"/>
                <w:sz w:val="17"/>
                <w:lang w:eastAsia="zh-HK"/>
              </w:rPr>
              <w:t>所有</w:t>
            </w:r>
            <w:r w:rsidRPr="005A22C2">
              <w:rPr>
                <w:rFonts w:eastAsia="新細明體" w:cs="Segoe UI"/>
                <w:sz w:val="17"/>
                <w:lang w:eastAsia="zh-TW"/>
              </w:rPr>
              <w:t>在香港成立為法團的認可機構均須填報本表。</w:t>
            </w:r>
          </w:p>
        </w:tc>
      </w:tr>
      <w:tr w:rsidR="005A22C2" w:rsidRPr="005A22C2" w14:paraId="2DECB1DA" w14:textId="77777777" w:rsidTr="000F143F">
        <w:tc>
          <w:tcPr>
            <w:tcW w:w="2160" w:type="dxa"/>
          </w:tcPr>
          <w:p w14:paraId="082B660E" w14:textId="77777777" w:rsidR="00190D67" w:rsidRPr="005A22C2" w:rsidRDefault="00190D67" w:rsidP="00862754">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7088" w:type="dxa"/>
          </w:tcPr>
          <w:p w14:paraId="03F6CB94" w14:textId="77777777" w:rsidR="00190D67" w:rsidRPr="005A22C2" w:rsidRDefault="00190D67" w:rsidP="00862754">
            <w:pPr>
              <w:spacing w:before="40" w:after="40"/>
              <w:jc w:val="both"/>
              <w:rPr>
                <w:rFonts w:eastAsia="新細明體" w:cs="Segoe UI"/>
                <w:b/>
                <w:sz w:val="17"/>
                <w:lang w:eastAsia="en-GB"/>
              </w:rPr>
            </w:pPr>
            <w:r w:rsidRPr="005A22C2">
              <w:rPr>
                <w:rFonts w:eastAsia="新細明體" w:cs="Segoe UI" w:hint="eastAsia"/>
                <w:sz w:val="17"/>
                <w:lang w:eastAsia="zh-HK"/>
              </w:rPr>
              <w:t>描述資料</w:t>
            </w:r>
            <w:r w:rsidRPr="005A22C2">
              <w:rPr>
                <w:rFonts w:eastAsia="新細明體" w:cs="Segoe UI" w:hint="eastAsia"/>
                <w:sz w:val="17"/>
                <w:lang w:eastAsia="zh-TW"/>
              </w:rPr>
              <w:t>。</w:t>
            </w:r>
          </w:p>
        </w:tc>
      </w:tr>
      <w:tr w:rsidR="005A22C2" w:rsidRPr="005A22C2" w14:paraId="1B246C77" w14:textId="77777777" w:rsidTr="000F143F">
        <w:tc>
          <w:tcPr>
            <w:tcW w:w="2160" w:type="dxa"/>
          </w:tcPr>
          <w:p w14:paraId="6C6FBDCD" w14:textId="77777777" w:rsidR="00190D67" w:rsidRPr="005A22C2" w:rsidRDefault="00190D67" w:rsidP="00862754">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7088" w:type="dxa"/>
          </w:tcPr>
          <w:p w14:paraId="15D157DD" w14:textId="77777777" w:rsidR="00190D67" w:rsidRPr="005A22C2" w:rsidRDefault="00190D67" w:rsidP="00862754">
            <w:pPr>
              <w:pStyle w:val="TableText"/>
              <w:jc w:val="both"/>
              <w:rPr>
                <w:rFonts w:eastAsia="新細明體" w:cs="Segoe UI"/>
                <w:lang w:val="en-US" w:eastAsia="en-GB"/>
              </w:rPr>
            </w:pPr>
            <w:proofErr w:type="spellStart"/>
            <w:r w:rsidRPr="005A22C2">
              <w:rPr>
                <w:rFonts w:eastAsia="新細明體" w:cs="Segoe UI"/>
                <w:lang w:eastAsia="en-GB"/>
              </w:rPr>
              <w:t>每年一次</w:t>
            </w:r>
            <w:proofErr w:type="spellEnd"/>
            <w:r w:rsidRPr="005A22C2">
              <w:rPr>
                <w:rFonts w:eastAsia="新細明體" w:cs="Segoe UI"/>
                <w:lang w:eastAsia="en-GB"/>
              </w:rPr>
              <w:t>。</w:t>
            </w:r>
          </w:p>
        </w:tc>
      </w:tr>
      <w:tr w:rsidR="005A22C2" w:rsidRPr="005A22C2" w14:paraId="0E63729A" w14:textId="77777777" w:rsidTr="000F143F">
        <w:tc>
          <w:tcPr>
            <w:tcW w:w="2160" w:type="dxa"/>
          </w:tcPr>
          <w:p w14:paraId="5F61C707" w14:textId="77777777" w:rsidR="00190D67" w:rsidRPr="005A22C2" w:rsidRDefault="00190D67" w:rsidP="00862754">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7088" w:type="dxa"/>
          </w:tcPr>
          <w:p w14:paraId="451D416B" w14:textId="77777777" w:rsidR="00190D67" w:rsidRPr="005A22C2" w:rsidRDefault="00190D67" w:rsidP="00862754">
            <w:pPr>
              <w:pStyle w:val="TableText"/>
              <w:jc w:val="both"/>
              <w:rPr>
                <w:rFonts w:eastAsia="新細明體" w:cs="Segoe UI"/>
                <w:lang w:eastAsia="en-GB"/>
              </w:rPr>
            </w:pPr>
            <w:r w:rsidRPr="005A22C2">
              <w:rPr>
                <w:rFonts w:eastAsia="新細明體" w:cs="Segoe UI" w:hint="eastAsia"/>
                <w:lang w:eastAsia="zh-HK"/>
              </w:rPr>
              <w:t>非固定</w:t>
            </w:r>
            <w:r w:rsidRPr="005A22C2">
              <w:rPr>
                <w:rFonts w:eastAsia="新細明體" w:cs="Segoe UI" w:hint="eastAsia"/>
                <w:lang w:eastAsia="zh-TW"/>
              </w:rPr>
              <w:t>。</w:t>
            </w:r>
          </w:p>
        </w:tc>
      </w:tr>
      <w:tr w:rsidR="005A22C2" w:rsidRPr="005A22C2" w14:paraId="63BC16AB" w14:textId="77777777" w:rsidTr="000F143F">
        <w:tc>
          <w:tcPr>
            <w:tcW w:w="2160" w:type="dxa"/>
          </w:tcPr>
          <w:p w14:paraId="1830316C" w14:textId="77777777" w:rsidR="00190D67" w:rsidRPr="005A22C2" w:rsidRDefault="00190D67" w:rsidP="00862754">
            <w:pPr>
              <w:spacing w:before="40" w:after="40"/>
              <w:rPr>
                <w:rFonts w:eastAsia="新細明體" w:cs="Segoe UI"/>
                <w:b/>
                <w:sz w:val="17"/>
                <w:lang w:eastAsia="zh-TW"/>
              </w:rPr>
            </w:pPr>
            <w:r w:rsidRPr="005A22C2">
              <w:rPr>
                <w:rFonts w:eastAsia="新細明體" w:cs="Segoe UI"/>
                <w:b/>
                <w:sz w:val="17"/>
                <w:lang w:eastAsia="zh-TW"/>
              </w:rPr>
              <w:t>《披露規則》相應條文：</w:t>
            </w:r>
          </w:p>
        </w:tc>
        <w:tc>
          <w:tcPr>
            <w:tcW w:w="7088" w:type="dxa"/>
          </w:tcPr>
          <w:p w14:paraId="0BE4CDE9" w14:textId="77777777" w:rsidR="00190D67" w:rsidRPr="005A22C2" w:rsidRDefault="00190D67" w:rsidP="00862754">
            <w:pPr>
              <w:pStyle w:val="TableText"/>
              <w:jc w:val="both"/>
              <w:rPr>
                <w:rFonts w:eastAsia="新細明體" w:cs="Segoe UI"/>
                <w:lang w:eastAsia="en-GB"/>
              </w:rPr>
            </w:pPr>
            <w:r w:rsidRPr="005A22C2">
              <w:rPr>
                <w:rFonts w:eastAsia="新細明體" w:cs="Segoe UI"/>
                <w:lang w:eastAsia="en-GB"/>
              </w:rPr>
              <w:t>16ZQA</w:t>
            </w:r>
          </w:p>
        </w:tc>
      </w:tr>
    </w:tbl>
    <w:p w14:paraId="41BE92B6" w14:textId="77777777" w:rsidR="00190D67" w:rsidRPr="005A22C2" w:rsidRDefault="00190D67" w:rsidP="00190D67">
      <w:pPr>
        <w:spacing w:after="120"/>
        <w:jc w:val="both"/>
        <w:rPr>
          <w:rFonts w:eastAsia="新細明體" w:cs="Segoe UI"/>
          <w:sz w:val="17"/>
          <w:szCs w:val="17"/>
        </w:rPr>
      </w:pPr>
    </w:p>
    <w:tbl>
      <w:tblPr>
        <w:tblW w:w="9215" w:type="dxa"/>
        <w:tblInd w:w="-426" w:type="dxa"/>
        <w:tblLayout w:type="fixed"/>
        <w:tblLook w:val="04A0" w:firstRow="1" w:lastRow="0" w:firstColumn="1" w:lastColumn="0" w:noHBand="0" w:noVBand="1"/>
      </w:tblPr>
      <w:tblGrid>
        <w:gridCol w:w="9215"/>
      </w:tblGrid>
      <w:tr w:rsidR="005A22C2" w:rsidRPr="005A22C2" w14:paraId="29AD05FE" w14:textId="77777777" w:rsidTr="00862754">
        <w:trPr>
          <w:trHeight w:val="603"/>
        </w:trPr>
        <w:tc>
          <w:tcPr>
            <w:tcW w:w="9215" w:type="dxa"/>
            <w:tcBorders>
              <w:top w:val="single" w:sz="4" w:space="0" w:color="auto"/>
              <w:left w:val="nil"/>
              <w:bottom w:val="single" w:sz="4" w:space="0" w:color="auto"/>
              <w:right w:val="nil"/>
            </w:tcBorders>
            <w:vAlign w:val="center"/>
            <w:hideMark/>
          </w:tcPr>
          <w:p w14:paraId="470F1BDF" w14:textId="0A025B5B" w:rsidR="00190D67" w:rsidRPr="005A22C2" w:rsidRDefault="00190D67" w:rsidP="00862754">
            <w:pPr>
              <w:jc w:val="both"/>
              <w:rPr>
                <w:rFonts w:eastAsia="新細明體" w:cs="Segoe UI"/>
                <w:bCs/>
                <w:sz w:val="17"/>
                <w:szCs w:val="17"/>
              </w:rPr>
            </w:pPr>
            <w:r w:rsidRPr="005A22C2">
              <w:rPr>
                <w:rFonts w:eastAsia="新細明體" w:cs="Segoe UI" w:hint="eastAsia"/>
                <w:bCs/>
                <w:sz w:val="17"/>
                <w:szCs w:val="17"/>
                <w:lang w:eastAsia="zh-HK"/>
              </w:rPr>
              <w:t>認可機構應描述</w:t>
            </w:r>
            <w:r w:rsidRPr="005A22C2">
              <w:rPr>
                <w:rFonts w:eastAsia="新細明體" w:cs="Segoe UI" w:hint="eastAsia"/>
                <w:bCs/>
                <w:sz w:val="17"/>
                <w:szCs w:val="17"/>
                <w:lang w:eastAsia="zh-TW"/>
              </w:rPr>
              <w:t>：</w:t>
            </w:r>
          </w:p>
        </w:tc>
      </w:tr>
      <w:tr w:rsidR="005A22C2" w:rsidRPr="005A22C2" w14:paraId="37248F44" w14:textId="77777777" w:rsidTr="00862754">
        <w:trPr>
          <w:trHeight w:val="401"/>
        </w:trPr>
        <w:tc>
          <w:tcPr>
            <w:tcW w:w="9215" w:type="dxa"/>
            <w:tcBorders>
              <w:top w:val="single" w:sz="4" w:space="0" w:color="auto"/>
              <w:left w:val="nil"/>
              <w:bottom w:val="single" w:sz="4" w:space="0" w:color="auto"/>
              <w:right w:val="nil"/>
            </w:tcBorders>
            <w:hideMark/>
          </w:tcPr>
          <w:p w14:paraId="6DCB9BCA" w14:textId="17776623" w:rsidR="00190D67" w:rsidRPr="005A22C2" w:rsidRDefault="00190D67" w:rsidP="00D540EB">
            <w:pPr>
              <w:numPr>
                <w:ilvl w:val="0"/>
                <w:numId w:val="57"/>
              </w:numPr>
              <w:jc w:val="both"/>
              <w:rPr>
                <w:rFonts w:eastAsia="新細明體" w:cs="Segoe UI"/>
                <w:sz w:val="17"/>
                <w:szCs w:val="17"/>
                <w:lang w:eastAsia="zh-TW"/>
              </w:rPr>
            </w:pPr>
            <w:r w:rsidRPr="005A22C2">
              <w:rPr>
                <w:rFonts w:eastAsia="新細明體" w:cs="Segoe UI" w:hint="eastAsia"/>
                <w:sz w:val="17"/>
                <w:szCs w:val="17"/>
                <w:lang w:eastAsia="zh-HK"/>
              </w:rPr>
              <w:t>其</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管理的政策</w:t>
            </w:r>
            <w:r w:rsidRPr="005A22C2">
              <w:rPr>
                <w:rFonts w:eastAsia="新細明體" w:cs="Segoe UI" w:hint="eastAsia"/>
                <w:sz w:val="17"/>
                <w:szCs w:val="17"/>
                <w:lang w:eastAsia="zh-TW"/>
              </w:rPr>
              <w:t>、框架</w:t>
            </w:r>
            <w:r w:rsidRPr="005A22C2">
              <w:rPr>
                <w:rFonts w:eastAsia="新細明體" w:cs="Segoe UI" w:hint="eastAsia"/>
                <w:sz w:val="17"/>
                <w:szCs w:val="17"/>
                <w:lang w:eastAsia="zh-HK"/>
              </w:rPr>
              <w:t>及指引</w:t>
            </w:r>
            <w:r w:rsidRPr="005A22C2">
              <w:rPr>
                <w:rFonts w:eastAsia="新細明體" w:cs="Segoe UI" w:hint="eastAsia"/>
                <w:sz w:val="17"/>
                <w:szCs w:val="17"/>
                <w:lang w:eastAsia="zh-TW"/>
              </w:rPr>
              <w:t>。</w:t>
            </w:r>
          </w:p>
        </w:tc>
      </w:tr>
      <w:tr w:rsidR="005A22C2" w:rsidRPr="005A22C2" w14:paraId="57A29669" w14:textId="77777777" w:rsidTr="00862754">
        <w:trPr>
          <w:trHeight w:val="401"/>
        </w:trPr>
        <w:tc>
          <w:tcPr>
            <w:tcW w:w="9215" w:type="dxa"/>
            <w:tcBorders>
              <w:top w:val="single" w:sz="4" w:space="0" w:color="auto"/>
              <w:left w:val="nil"/>
              <w:bottom w:val="single" w:sz="4" w:space="0" w:color="auto"/>
              <w:right w:val="nil"/>
            </w:tcBorders>
            <w:hideMark/>
          </w:tcPr>
          <w:p w14:paraId="1098F959" w14:textId="77777777" w:rsidR="00190D67" w:rsidRPr="005A22C2" w:rsidRDefault="00190D67" w:rsidP="00D540EB">
            <w:pPr>
              <w:numPr>
                <w:ilvl w:val="0"/>
                <w:numId w:val="57"/>
              </w:numPr>
              <w:jc w:val="both"/>
              <w:rPr>
                <w:rFonts w:eastAsia="新細明體" w:cs="Segoe UI"/>
                <w:sz w:val="17"/>
                <w:szCs w:val="17"/>
                <w:lang w:eastAsia="zh-TW"/>
              </w:rPr>
            </w:pPr>
            <w:r w:rsidRPr="005A22C2">
              <w:rPr>
                <w:rFonts w:eastAsia="新細明體" w:cs="Segoe UI" w:hint="eastAsia"/>
                <w:sz w:val="17"/>
                <w:szCs w:val="17"/>
                <w:lang w:eastAsia="zh-HK"/>
              </w:rPr>
              <w:t>其</w:t>
            </w:r>
            <w:r w:rsidRPr="005A22C2">
              <w:rPr>
                <w:rFonts w:eastAsia="新細明體" w:cs="Segoe UI"/>
                <w:sz w:val="17"/>
                <w:szCs w:val="17"/>
                <w:lang w:eastAsia="zh-TW"/>
              </w:rPr>
              <w:t>業務操作風險管理</w:t>
            </w:r>
            <w:r w:rsidRPr="005A22C2">
              <w:rPr>
                <w:rFonts w:eastAsia="新細明體" w:cs="Segoe UI" w:hint="eastAsia"/>
                <w:sz w:val="17"/>
                <w:szCs w:val="17"/>
                <w:lang w:eastAsia="zh-HK"/>
              </w:rPr>
              <w:t>及管控職能的組織架構</w:t>
            </w:r>
            <w:r w:rsidRPr="005A22C2">
              <w:rPr>
                <w:rFonts w:eastAsia="新細明體" w:cs="Segoe UI" w:hint="eastAsia"/>
                <w:sz w:val="17"/>
                <w:szCs w:val="17"/>
                <w:lang w:eastAsia="zh-TW"/>
              </w:rPr>
              <w:t>。</w:t>
            </w:r>
          </w:p>
        </w:tc>
      </w:tr>
      <w:tr w:rsidR="005A22C2" w:rsidRPr="005A22C2" w14:paraId="741E3BF5" w14:textId="77777777" w:rsidTr="00862754">
        <w:trPr>
          <w:trHeight w:val="401"/>
        </w:trPr>
        <w:tc>
          <w:tcPr>
            <w:tcW w:w="9215" w:type="dxa"/>
            <w:tcBorders>
              <w:top w:val="single" w:sz="4" w:space="0" w:color="auto"/>
              <w:left w:val="nil"/>
              <w:bottom w:val="single" w:sz="4" w:space="0" w:color="auto"/>
              <w:right w:val="nil"/>
            </w:tcBorders>
            <w:hideMark/>
          </w:tcPr>
          <w:p w14:paraId="13711423" w14:textId="46880AA9" w:rsidR="00190D67" w:rsidRPr="005A22C2" w:rsidRDefault="00190D67" w:rsidP="00D540EB">
            <w:pPr>
              <w:numPr>
                <w:ilvl w:val="0"/>
                <w:numId w:val="57"/>
              </w:numPr>
              <w:jc w:val="both"/>
              <w:rPr>
                <w:rFonts w:eastAsia="新細明體" w:cs="Segoe UI"/>
                <w:sz w:val="17"/>
                <w:szCs w:val="17"/>
                <w:lang w:eastAsia="zh-TW"/>
              </w:rPr>
            </w:pPr>
            <w:r w:rsidRPr="005A22C2">
              <w:rPr>
                <w:rFonts w:eastAsia="新細明體" w:cs="Segoe UI" w:hint="eastAsia"/>
                <w:sz w:val="17"/>
                <w:szCs w:val="17"/>
                <w:lang w:eastAsia="zh-HK"/>
              </w:rPr>
              <w:t>其</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計量系統</w:t>
            </w:r>
            <w:r w:rsidR="00137C4D" w:rsidRPr="005A22C2">
              <w:rPr>
                <w:rFonts w:eastAsia="新細明體" w:cs="Segoe UI" w:hint="eastAsia"/>
                <w:sz w:val="17"/>
                <w:lang w:eastAsia="zh-HK"/>
              </w:rPr>
              <w:t>（</w:t>
            </w:r>
            <w:r w:rsidRPr="005A22C2">
              <w:rPr>
                <w:rFonts w:eastAsia="新細明體" w:cs="Segoe UI" w:hint="eastAsia"/>
                <w:sz w:val="17"/>
                <w:szCs w:val="17"/>
                <w:lang w:eastAsia="zh-HK"/>
              </w:rPr>
              <w:t>即為了估計</w:t>
            </w:r>
            <w:r w:rsidRPr="005A22C2">
              <w:rPr>
                <w:rFonts w:eastAsia="新細明體" w:cs="Segoe UI"/>
                <w:sz w:val="17"/>
                <w:szCs w:val="17"/>
                <w:lang w:eastAsia="zh-TW"/>
              </w:rPr>
              <w:t>業務操作風險資本要求</w:t>
            </w:r>
            <w:r w:rsidRPr="005A22C2">
              <w:rPr>
                <w:rFonts w:eastAsia="新細明體" w:cs="Segoe UI" w:hint="eastAsia"/>
                <w:sz w:val="17"/>
                <w:szCs w:val="17"/>
                <w:lang w:eastAsia="zh-TW"/>
              </w:rPr>
              <w:t>，</w:t>
            </w:r>
            <w:r w:rsidRPr="005A22C2">
              <w:rPr>
                <w:rFonts w:eastAsia="新細明體" w:cs="Segoe UI" w:hint="eastAsia"/>
                <w:sz w:val="17"/>
                <w:szCs w:val="17"/>
                <w:lang w:eastAsia="zh-HK"/>
              </w:rPr>
              <w:t>用作計量業</w:t>
            </w:r>
            <w:r w:rsidRPr="005A22C2">
              <w:rPr>
                <w:rFonts w:eastAsia="新細明體" w:cs="Segoe UI" w:hint="eastAsia"/>
                <w:sz w:val="17"/>
                <w:szCs w:val="17"/>
                <w:lang w:eastAsia="zh-TW"/>
              </w:rPr>
              <w:t>務</w:t>
            </w:r>
            <w:r w:rsidRPr="005A22C2">
              <w:rPr>
                <w:rFonts w:eastAsia="新細明體" w:cs="Segoe UI" w:hint="eastAsia"/>
                <w:sz w:val="17"/>
                <w:szCs w:val="17"/>
                <w:lang w:eastAsia="zh-HK"/>
              </w:rPr>
              <w:t>操</w:t>
            </w:r>
            <w:r w:rsidRPr="005A22C2">
              <w:rPr>
                <w:rFonts w:eastAsia="新細明體" w:cs="Segoe UI" w:hint="eastAsia"/>
                <w:sz w:val="17"/>
                <w:szCs w:val="17"/>
                <w:lang w:eastAsia="zh-TW"/>
              </w:rPr>
              <w:t>作</w:t>
            </w:r>
            <w:r w:rsidRPr="005A22C2">
              <w:rPr>
                <w:rFonts w:eastAsia="新細明體" w:cs="Segoe UI" w:hint="eastAsia"/>
                <w:sz w:val="17"/>
                <w:szCs w:val="17"/>
                <w:lang w:eastAsia="zh-HK"/>
              </w:rPr>
              <w:t>風</w:t>
            </w:r>
            <w:r w:rsidRPr="005A22C2">
              <w:rPr>
                <w:rFonts w:eastAsia="新細明體" w:cs="Segoe UI" w:hint="eastAsia"/>
                <w:sz w:val="17"/>
                <w:szCs w:val="17"/>
                <w:lang w:eastAsia="zh-TW"/>
              </w:rPr>
              <w:t>險</w:t>
            </w:r>
            <w:r w:rsidRPr="005A22C2">
              <w:rPr>
                <w:rFonts w:eastAsia="新細明體" w:cs="Segoe UI" w:hint="eastAsia"/>
                <w:sz w:val="17"/>
                <w:szCs w:val="17"/>
                <w:lang w:eastAsia="zh-HK"/>
              </w:rPr>
              <w:t>的系統及數據</w:t>
            </w:r>
            <w:r w:rsidR="006D75A6"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p>
        </w:tc>
      </w:tr>
      <w:tr w:rsidR="005A22C2" w:rsidRPr="005A22C2" w14:paraId="5E4C2000" w14:textId="77777777" w:rsidTr="00862754">
        <w:trPr>
          <w:trHeight w:val="401"/>
        </w:trPr>
        <w:tc>
          <w:tcPr>
            <w:tcW w:w="9215" w:type="dxa"/>
            <w:tcBorders>
              <w:top w:val="single" w:sz="4" w:space="0" w:color="auto"/>
              <w:left w:val="nil"/>
              <w:bottom w:val="single" w:sz="4" w:space="0" w:color="auto"/>
              <w:right w:val="nil"/>
            </w:tcBorders>
            <w:hideMark/>
          </w:tcPr>
          <w:p w14:paraId="46EF1D84" w14:textId="7DE2D0B1" w:rsidR="00190D67" w:rsidRPr="005A22C2" w:rsidRDefault="00190D67" w:rsidP="00D540EB">
            <w:pPr>
              <w:numPr>
                <w:ilvl w:val="0"/>
                <w:numId w:val="57"/>
              </w:numPr>
              <w:jc w:val="both"/>
              <w:rPr>
                <w:rFonts w:ascii="新細明體" w:eastAsia="新細明體" w:hAnsi="新細明體" w:cs="Segoe UI"/>
                <w:sz w:val="17"/>
                <w:szCs w:val="17"/>
                <w:lang w:eastAsia="zh-TW"/>
              </w:rPr>
            </w:pPr>
            <w:r w:rsidRPr="005A22C2">
              <w:rPr>
                <w:rFonts w:ascii="新細明體" w:eastAsia="新細明體" w:hAnsi="新細明體" w:cs="Segoe UI" w:hint="eastAsia"/>
                <w:sz w:val="17"/>
                <w:szCs w:val="17"/>
                <w:lang w:eastAsia="zh-HK"/>
              </w:rPr>
              <w:t>向高級管理人員及董事局作</w:t>
            </w:r>
            <w:r w:rsidR="00B964F5" w:rsidRPr="005A22C2">
              <w:rPr>
                <w:rFonts w:ascii="新細明體" w:eastAsia="新細明體" w:hAnsi="新細明體" w:cs="Segoe UI" w:hint="eastAsia"/>
                <w:sz w:val="17"/>
                <w:szCs w:val="17"/>
                <w:lang w:eastAsia="zh-HK"/>
              </w:rPr>
              <w:t>出</w:t>
            </w:r>
            <w:r w:rsidRPr="005A22C2">
              <w:rPr>
                <w:rFonts w:eastAsia="新細明體" w:cs="Segoe UI"/>
                <w:sz w:val="17"/>
                <w:szCs w:val="17"/>
                <w:lang w:eastAsia="zh-TW"/>
              </w:rPr>
              <w:t>業務操作風險</w:t>
            </w:r>
            <w:r w:rsidRPr="005A22C2">
              <w:rPr>
                <w:rFonts w:ascii="新細明體" w:eastAsia="新細明體" w:hAnsi="新細明體" w:hint="eastAsia"/>
                <w:sz w:val="17"/>
                <w:szCs w:val="17"/>
                <w:lang w:eastAsia="zh-TW"/>
              </w:rPr>
              <w:t>匯報</w:t>
            </w:r>
            <w:r w:rsidR="00E46DB4" w:rsidRPr="005A22C2">
              <w:rPr>
                <w:rFonts w:ascii="新細明體" w:eastAsia="新細明體" w:hAnsi="新細明體" w:hint="eastAsia"/>
                <w:sz w:val="17"/>
                <w:szCs w:val="17"/>
                <w:lang w:eastAsia="zh-HK"/>
              </w:rPr>
              <w:t>的</w:t>
            </w:r>
            <w:r w:rsidRPr="005A22C2">
              <w:rPr>
                <w:rFonts w:eastAsia="新細明體" w:cs="Segoe UI" w:hint="eastAsia"/>
                <w:sz w:val="17"/>
                <w:szCs w:val="17"/>
                <w:lang w:eastAsia="zh-HK"/>
              </w:rPr>
              <w:t>框架</w:t>
            </w:r>
            <w:r w:rsidRPr="005A22C2">
              <w:rPr>
                <w:rFonts w:ascii="新細明體" w:eastAsia="新細明體" w:hAnsi="新細明體" w:hint="eastAsia"/>
                <w:sz w:val="17"/>
                <w:szCs w:val="17"/>
                <w:lang w:eastAsia="zh-HK"/>
              </w:rPr>
              <w:t>的</w:t>
            </w:r>
            <w:r w:rsidRPr="005A22C2">
              <w:rPr>
                <w:rFonts w:ascii="新細明體" w:eastAsia="新細明體" w:hAnsi="新細明體" w:hint="eastAsia"/>
                <w:sz w:val="17"/>
                <w:szCs w:val="17"/>
                <w:lang w:eastAsia="zh-TW"/>
              </w:rPr>
              <w:t>範圍及主要內容</w:t>
            </w:r>
            <w:r w:rsidR="00592826" w:rsidRPr="005A22C2">
              <w:rPr>
                <w:rFonts w:eastAsia="新細明體" w:cs="Segoe UI" w:hint="eastAsia"/>
                <w:sz w:val="17"/>
                <w:szCs w:val="17"/>
                <w:lang w:eastAsia="zh-TW"/>
              </w:rPr>
              <w:t>。</w:t>
            </w:r>
          </w:p>
        </w:tc>
      </w:tr>
      <w:tr w:rsidR="005A22C2" w:rsidRPr="005A22C2" w14:paraId="78137501" w14:textId="77777777" w:rsidTr="00862754">
        <w:trPr>
          <w:trHeight w:val="401"/>
        </w:trPr>
        <w:tc>
          <w:tcPr>
            <w:tcW w:w="9215" w:type="dxa"/>
            <w:tcBorders>
              <w:top w:val="single" w:sz="4" w:space="0" w:color="auto"/>
              <w:left w:val="nil"/>
              <w:bottom w:val="single" w:sz="4" w:space="0" w:color="auto"/>
              <w:right w:val="nil"/>
            </w:tcBorders>
            <w:hideMark/>
          </w:tcPr>
          <w:p w14:paraId="2974920B" w14:textId="6B655FCE" w:rsidR="00190D67" w:rsidRPr="005A22C2" w:rsidRDefault="00190D67" w:rsidP="00D540EB">
            <w:pPr>
              <w:numPr>
                <w:ilvl w:val="0"/>
                <w:numId w:val="57"/>
              </w:numPr>
              <w:jc w:val="both"/>
              <w:rPr>
                <w:rFonts w:eastAsia="新細明體" w:cs="Segoe UI"/>
                <w:sz w:val="17"/>
                <w:szCs w:val="17"/>
                <w:lang w:eastAsia="zh-TW"/>
              </w:rPr>
            </w:pPr>
            <w:r w:rsidRPr="005A22C2">
              <w:rPr>
                <w:rFonts w:eastAsia="新細明體" w:cs="Segoe UI"/>
                <w:sz w:val="17"/>
                <w:szCs w:val="17"/>
                <w:lang w:eastAsia="zh-TW"/>
              </w:rPr>
              <w:t>業務操作風險</w:t>
            </w:r>
            <w:r w:rsidRPr="005A22C2">
              <w:rPr>
                <w:rFonts w:eastAsia="新細明體" w:cs="Segoe UI" w:hint="eastAsia"/>
                <w:sz w:val="17"/>
                <w:szCs w:val="17"/>
                <w:lang w:eastAsia="zh-HK"/>
              </w:rPr>
              <w:t>管理所用的減</w:t>
            </w:r>
            <w:r w:rsidRPr="005A22C2">
              <w:rPr>
                <w:rFonts w:eastAsia="新細明體" w:cs="Segoe UI" w:hint="eastAsia"/>
                <w:sz w:val="17"/>
                <w:szCs w:val="17"/>
                <w:lang w:eastAsia="zh-TW"/>
              </w:rPr>
              <w:t>低</w:t>
            </w:r>
            <w:r w:rsidRPr="005A22C2">
              <w:rPr>
                <w:rFonts w:eastAsia="新細明體" w:cs="Segoe UI" w:hint="eastAsia"/>
                <w:sz w:val="17"/>
                <w:szCs w:val="17"/>
                <w:lang w:eastAsia="zh-HK"/>
              </w:rPr>
              <w:t>風險措</w:t>
            </w:r>
            <w:r w:rsidRPr="005A22C2">
              <w:rPr>
                <w:rFonts w:eastAsia="新細明體" w:cs="Segoe UI" w:hint="eastAsia"/>
                <w:sz w:val="17"/>
                <w:szCs w:val="17"/>
                <w:lang w:eastAsia="zh-TW"/>
              </w:rPr>
              <w:t>施</w:t>
            </w:r>
            <w:r w:rsidRPr="005A22C2">
              <w:rPr>
                <w:rFonts w:eastAsia="新細明體" w:cs="Segoe UI" w:hint="eastAsia"/>
                <w:sz w:val="17"/>
                <w:szCs w:val="17"/>
                <w:lang w:eastAsia="zh-HK"/>
              </w:rPr>
              <w:t>及風險轉移</w:t>
            </w:r>
            <w:r w:rsidRPr="005A22C2">
              <w:rPr>
                <w:rFonts w:eastAsia="新細明體" w:cs="Segoe UI" w:hint="eastAsia"/>
                <w:sz w:val="17"/>
                <w:szCs w:val="17"/>
                <w:lang w:eastAsia="zh-TW"/>
              </w:rPr>
              <w:t>。</w:t>
            </w:r>
            <w:r w:rsidRPr="005A22C2">
              <w:rPr>
                <w:rFonts w:eastAsia="新細明體" w:cs="Segoe UI" w:hint="eastAsia"/>
                <w:sz w:val="17"/>
                <w:szCs w:val="17"/>
                <w:lang w:eastAsia="zh-HK"/>
              </w:rPr>
              <w:t>這包括透過政策</w:t>
            </w:r>
            <w:r w:rsidR="00137C4D" w:rsidRPr="005A22C2">
              <w:rPr>
                <w:rFonts w:eastAsia="新細明體" w:cs="Segoe UI" w:hint="eastAsia"/>
                <w:sz w:val="17"/>
                <w:lang w:eastAsia="zh-HK"/>
              </w:rPr>
              <w:t>（</w:t>
            </w:r>
            <w:r w:rsidRPr="005A22C2">
              <w:rPr>
                <w:rFonts w:eastAsia="新細明體" w:cs="Segoe UI" w:hint="eastAsia"/>
                <w:sz w:val="17"/>
                <w:szCs w:val="17"/>
                <w:lang w:eastAsia="zh-HK"/>
              </w:rPr>
              <w:t>例如風險文化</w:t>
            </w:r>
            <w:r w:rsidRPr="005A22C2">
              <w:rPr>
                <w:rFonts w:eastAsia="新細明體" w:cs="Segoe UI" w:hint="eastAsia"/>
                <w:sz w:val="17"/>
                <w:szCs w:val="17"/>
                <w:lang w:eastAsia="zh-TW"/>
              </w:rPr>
              <w:t>、</w:t>
            </w:r>
            <w:r w:rsidRPr="005A22C2">
              <w:rPr>
                <w:rFonts w:eastAsia="新細明體" w:cs="Segoe UI" w:hint="eastAsia"/>
                <w:sz w:val="17"/>
                <w:szCs w:val="17"/>
                <w:lang w:eastAsia="zh-HK"/>
              </w:rPr>
              <w:t>風險取向及外判政策</w:t>
            </w:r>
            <w:r w:rsidR="006D75A6"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r w:rsidRPr="005A22C2">
              <w:rPr>
                <w:rFonts w:eastAsia="新細明體" w:cs="Segoe UI" w:hint="eastAsia"/>
                <w:sz w:val="17"/>
                <w:szCs w:val="17"/>
                <w:lang w:eastAsia="zh-HK"/>
              </w:rPr>
              <w:t>出售高風險業務</w:t>
            </w:r>
            <w:r w:rsidRPr="005A22C2">
              <w:rPr>
                <w:rFonts w:eastAsia="新細明體" w:cs="Segoe UI" w:hint="eastAsia"/>
                <w:sz w:val="17"/>
                <w:szCs w:val="17"/>
                <w:lang w:eastAsia="zh-TW"/>
              </w:rPr>
              <w:t>，</w:t>
            </w:r>
            <w:r w:rsidRPr="005A22C2">
              <w:rPr>
                <w:rFonts w:eastAsia="新細明體" w:cs="Segoe UI" w:hint="eastAsia"/>
                <w:sz w:val="17"/>
                <w:szCs w:val="17"/>
                <w:lang w:eastAsia="zh-HK"/>
              </w:rPr>
              <w:t>以及設立適當的內部管控減</w:t>
            </w:r>
            <w:r w:rsidRPr="005A22C2">
              <w:rPr>
                <w:rFonts w:eastAsia="新細明體" w:cs="Segoe UI" w:hint="eastAsia"/>
                <w:sz w:val="17"/>
                <w:szCs w:val="17"/>
                <w:lang w:eastAsia="zh-TW"/>
              </w:rPr>
              <w:t>低</w:t>
            </w:r>
            <w:r w:rsidRPr="005A22C2">
              <w:rPr>
                <w:rFonts w:eastAsia="新細明體" w:cs="Segoe UI" w:hint="eastAsia"/>
                <w:sz w:val="17"/>
                <w:szCs w:val="17"/>
                <w:lang w:eastAsia="zh-HK"/>
              </w:rPr>
              <w:t>風險</w:t>
            </w:r>
            <w:r w:rsidRPr="005A22C2">
              <w:rPr>
                <w:rFonts w:eastAsia="新細明體" w:cs="Segoe UI" w:hint="eastAsia"/>
                <w:sz w:val="17"/>
                <w:szCs w:val="17"/>
                <w:lang w:eastAsia="zh-TW"/>
              </w:rPr>
              <w:t>；</w:t>
            </w:r>
            <w:r w:rsidRPr="005A22C2">
              <w:rPr>
                <w:rFonts w:eastAsia="新細明體" w:cs="Segoe UI" w:hint="eastAsia"/>
                <w:sz w:val="17"/>
                <w:szCs w:val="17"/>
                <w:lang w:eastAsia="zh-HK"/>
              </w:rPr>
              <w:t>剩餘風險承擔則可由認可機構吸收或轉移</w:t>
            </w:r>
            <w:r w:rsidR="00137C4D" w:rsidRPr="005A22C2">
              <w:rPr>
                <w:rFonts w:eastAsia="新細明體" w:cs="Segoe UI" w:hint="eastAsia"/>
                <w:sz w:val="17"/>
                <w:lang w:eastAsia="zh-HK"/>
              </w:rPr>
              <w:t>（</w:t>
            </w:r>
            <w:r w:rsidRPr="005A22C2">
              <w:rPr>
                <w:rFonts w:eastAsia="新細明體" w:cs="Segoe UI" w:hint="eastAsia"/>
                <w:sz w:val="17"/>
                <w:szCs w:val="17"/>
                <w:lang w:eastAsia="zh-HK"/>
              </w:rPr>
              <w:t>例如透過保險</w:t>
            </w:r>
            <w:r w:rsidR="006D75A6"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p>
        </w:tc>
      </w:tr>
    </w:tbl>
    <w:p w14:paraId="1D7C8C5E" w14:textId="77777777" w:rsidR="00190D67" w:rsidRPr="005A22C2" w:rsidRDefault="00190D67" w:rsidP="00190D67">
      <w:pPr>
        <w:rPr>
          <w:rFonts w:eastAsia="新細明體" w:cs="Segoe UI"/>
          <w:lang w:eastAsia="zh-TW"/>
        </w:rPr>
      </w:pPr>
    </w:p>
    <w:p w14:paraId="4E21C64B" w14:textId="77777777" w:rsidR="00190D67" w:rsidRPr="003905B9" w:rsidRDefault="00190D67" w:rsidP="00190D67">
      <w:pPr>
        <w:spacing w:before="40" w:after="40"/>
        <w:rPr>
          <w:rFonts w:eastAsia="新細明體"/>
          <w:lang w:eastAsia="zh-TW"/>
        </w:rPr>
        <w:sectPr w:rsidR="00190D67" w:rsidRPr="003905B9">
          <w:footerReference w:type="default" r:id="rId115"/>
          <w:pgSz w:w="11906" w:h="16838" w:code="9"/>
          <w:pgMar w:top="1440" w:right="1416" w:bottom="1440" w:left="1797" w:header="851" w:footer="737" w:gutter="0"/>
          <w:cols w:space="425"/>
          <w:docGrid w:type="linesAndChars" w:linePitch="360"/>
        </w:sectPr>
      </w:pPr>
      <w:r>
        <w:rPr>
          <w:rFonts w:eastAsia="新細明體"/>
          <w:lang w:eastAsia="zh-TW"/>
        </w:rPr>
        <w:tab/>
      </w:r>
    </w:p>
    <w:p w14:paraId="412F101D" w14:textId="5014C43B" w:rsidR="00F1181C" w:rsidRPr="005A22C2" w:rsidRDefault="00216206" w:rsidP="00723A77">
      <w:pPr>
        <w:pStyle w:val="Heading2"/>
        <w:keepNext w:val="0"/>
        <w:suppressAutoHyphens w:val="0"/>
        <w:spacing w:before="40" w:line="240" w:lineRule="auto"/>
        <w:ind w:left="-454" w:firstLine="28"/>
        <w:rPr>
          <w:rFonts w:asciiTheme="majorEastAsia" w:eastAsiaTheme="majorEastAsia" w:hAnsiTheme="majorEastAsia"/>
          <w:b w:val="0"/>
          <w:bCs w:val="0"/>
          <w:sz w:val="22"/>
          <w:szCs w:val="20"/>
          <w:lang w:eastAsia="en-US"/>
        </w:rPr>
      </w:pPr>
      <w:proofErr w:type="spellStart"/>
      <w:r w:rsidRPr="005A22C2">
        <w:rPr>
          <w:rFonts w:asciiTheme="majorEastAsia" w:eastAsiaTheme="majorEastAsia" w:hAnsiTheme="majorEastAsia" w:cs="微軟正黑體" w:hint="eastAsia"/>
          <w:b w:val="0"/>
          <w:bCs w:val="0"/>
          <w:sz w:val="22"/>
          <w:szCs w:val="20"/>
          <w:lang w:eastAsia="en-US"/>
        </w:rPr>
        <w:t>模版</w:t>
      </w:r>
      <w:proofErr w:type="spellEnd"/>
      <w:r w:rsidRPr="005A22C2">
        <w:rPr>
          <w:rFonts w:ascii="Segoe UI" w:eastAsiaTheme="majorEastAsia" w:hAnsi="Segoe UI" w:cs="Segoe UI"/>
          <w:b w:val="0"/>
          <w:bCs w:val="0"/>
          <w:sz w:val="22"/>
          <w:szCs w:val="20"/>
          <w:lang w:eastAsia="en-US"/>
        </w:rPr>
        <w:t>OR1</w:t>
      </w:r>
      <w:r w:rsidRPr="005A22C2">
        <w:rPr>
          <w:rFonts w:asciiTheme="majorEastAsia" w:eastAsiaTheme="majorEastAsia" w:hAnsiTheme="majorEastAsia" w:cs="微軟正黑體" w:hint="eastAsia"/>
          <w:b w:val="0"/>
          <w:bCs w:val="0"/>
          <w:sz w:val="22"/>
          <w:szCs w:val="20"/>
          <w:lang w:eastAsia="en-US"/>
        </w:rPr>
        <w:t>：</w:t>
      </w:r>
      <w:proofErr w:type="spellStart"/>
      <w:r w:rsidRPr="005A22C2">
        <w:rPr>
          <w:rFonts w:asciiTheme="majorEastAsia" w:eastAsiaTheme="majorEastAsia" w:hAnsiTheme="majorEastAsia" w:cs="微軟正黑體" w:hint="eastAsia"/>
          <w:b w:val="0"/>
          <w:bCs w:val="0"/>
          <w:sz w:val="22"/>
          <w:szCs w:val="20"/>
          <w:lang w:eastAsia="en-US"/>
        </w:rPr>
        <w:t>過往虧損</w:t>
      </w:r>
      <w:proofErr w:type="spellEnd"/>
    </w:p>
    <w:tbl>
      <w:tblPr>
        <w:tblW w:w="8964"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804"/>
      </w:tblGrid>
      <w:tr w:rsidR="005A22C2" w:rsidRPr="005A22C2" w14:paraId="0B4D3FCA" w14:textId="77777777" w:rsidTr="00723A77">
        <w:tc>
          <w:tcPr>
            <w:tcW w:w="2160" w:type="dxa"/>
          </w:tcPr>
          <w:p w14:paraId="385DCCDF" w14:textId="77777777" w:rsidR="00F1181C" w:rsidRPr="005A22C2" w:rsidRDefault="00F1181C" w:rsidP="009C54A9">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6804" w:type="dxa"/>
          </w:tcPr>
          <w:p w14:paraId="01894CA0" w14:textId="4B19F486" w:rsidR="00F1181C" w:rsidRPr="005A22C2" w:rsidRDefault="00F1181C" w:rsidP="00C4285F">
            <w:pPr>
              <w:pStyle w:val="TableText"/>
              <w:jc w:val="both"/>
              <w:rPr>
                <w:rFonts w:eastAsia="新細明體" w:cs="Segoe UI"/>
                <w:lang w:eastAsia="zh-TW"/>
              </w:rPr>
            </w:pPr>
            <w:r w:rsidRPr="005A22C2">
              <w:rPr>
                <w:rFonts w:ascii="新細明體" w:eastAsia="新細明體" w:hAnsi="新細明體" w:cs="Segoe UI" w:hint="eastAsia"/>
                <w:lang w:eastAsia="zh-TW"/>
              </w:rPr>
              <w:t>根據</w:t>
            </w:r>
            <w:r w:rsidRPr="005A22C2">
              <w:rPr>
                <w:rFonts w:eastAsia="新細明體" w:cs="Segoe UI" w:hint="eastAsia"/>
                <w:lang w:eastAsia="zh-HK"/>
              </w:rPr>
              <w:t>招致</w:t>
            </w:r>
            <w:r w:rsidRPr="005A22C2">
              <w:rPr>
                <w:rFonts w:ascii="新細明體" w:eastAsia="新細明體" w:hAnsi="新細明體"/>
                <w:lang w:eastAsia="zh-TW"/>
              </w:rPr>
              <w:t>虧損</w:t>
            </w:r>
            <w:r w:rsidRPr="005A22C2">
              <w:rPr>
                <w:rFonts w:eastAsia="新細明體" w:cs="Segoe UI" w:hint="eastAsia"/>
                <w:lang w:eastAsia="zh-HK"/>
              </w:rPr>
              <w:t>的會計日期</w:t>
            </w:r>
            <w:r w:rsidRPr="005A22C2">
              <w:rPr>
                <w:rFonts w:eastAsia="新細明體" w:cs="Segoe UI" w:hint="eastAsia"/>
                <w:lang w:eastAsia="zh-TW"/>
              </w:rPr>
              <w:t>，</w:t>
            </w:r>
            <w:r w:rsidRPr="005A22C2">
              <w:rPr>
                <w:rFonts w:eastAsia="新細明體" w:cs="Segoe UI" w:hint="eastAsia"/>
                <w:lang w:eastAsia="zh-HK"/>
              </w:rPr>
              <w:t>披露最近</w:t>
            </w:r>
            <w:r w:rsidRPr="005A22C2">
              <w:rPr>
                <w:rFonts w:eastAsia="新細明體" w:cs="Segoe UI" w:hint="eastAsia"/>
                <w:lang w:eastAsia="zh-TW"/>
              </w:rPr>
              <w:t>10</w:t>
            </w:r>
            <w:r w:rsidRPr="005A22C2">
              <w:rPr>
                <w:rFonts w:eastAsia="新細明體" w:cs="Segoe UI" w:hint="eastAsia"/>
                <w:lang w:eastAsia="zh-HK"/>
              </w:rPr>
              <w:t>個</w:t>
            </w:r>
            <w:r w:rsidRPr="005A22C2">
              <w:rPr>
                <w:rFonts w:ascii="新細明體" w:eastAsia="新細明體" w:hAnsi="新細明體" w:cs="Segoe UI" w:hint="eastAsia"/>
                <w:lang w:eastAsia="zh-TW"/>
              </w:rPr>
              <w:t>周年</w:t>
            </w:r>
            <w:r w:rsidRPr="005A22C2">
              <w:rPr>
                <w:rFonts w:eastAsia="新細明體" w:cs="Segoe UI" w:hint="eastAsia"/>
                <w:lang w:eastAsia="zh-HK"/>
              </w:rPr>
              <w:t>報告期中招致的合計業務操作風險虧損</w:t>
            </w:r>
            <w:r w:rsidRPr="005A22C2">
              <w:rPr>
                <w:rFonts w:eastAsia="新細明體" w:cs="Segoe UI" w:hint="eastAsia"/>
                <w:lang w:eastAsia="zh-TW"/>
              </w:rPr>
              <w:t>。</w:t>
            </w:r>
            <w:r w:rsidRPr="005A22C2">
              <w:rPr>
                <w:rFonts w:eastAsia="新細明體" w:cs="Segoe UI" w:hint="eastAsia"/>
                <w:lang w:eastAsia="zh-HK"/>
              </w:rPr>
              <w:t>此整</w:t>
            </w:r>
            <w:r w:rsidR="00C4285F" w:rsidRPr="005A22C2">
              <w:rPr>
                <w:rFonts w:eastAsia="新細明體" w:cs="Segoe UI" w:hint="eastAsia"/>
                <w:lang w:eastAsia="zh-HK"/>
              </w:rPr>
              <w:t>個</w:t>
            </w:r>
            <w:r w:rsidRPr="005A22C2">
              <w:rPr>
                <w:rFonts w:eastAsia="新細明體" w:cs="Segoe UI" w:hint="eastAsia"/>
                <w:lang w:eastAsia="zh-HK"/>
              </w:rPr>
              <w:t>期</w:t>
            </w:r>
            <w:r w:rsidR="00C4285F" w:rsidRPr="005A22C2">
              <w:rPr>
                <w:rFonts w:eastAsia="新細明體" w:cs="Segoe UI" w:hint="eastAsia"/>
                <w:lang w:eastAsia="zh-HK"/>
              </w:rPr>
              <w:t>間</w:t>
            </w:r>
            <w:r w:rsidRPr="005A22C2">
              <w:rPr>
                <w:rFonts w:eastAsia="新細明體" w:cs="Segoe UI" w:hint="eastAsia"/>
                <w:lang w:eastAsia="zh-HK"/>
              </w:rPr>
              <w:t>稱作披露期</w:t>
            </w:r>
            <w:r w:rsidRPr="005A22C2">
              <w:rPr>
                <w:rFonts w:eastAsia="新細明體" w:cs="Segoe UI" w:hint="eastAsia"/>
                <w:lang w:eastAsia="zh-TW"/>
              </w:rPr>
              <w:t>。</w:t>
            </w:r>
            <w:r w:rsidRPr="005A22C2">
              <w:rPr>
                <w:rFonts w:eastAsia="新細明體" w:cs="Segoe UI" w:hint="eastAsia"/>
                <w:lang w:eastAsia="zh-HK"/>
              </w:rPr>
              <w:t>然而</w:t>
            </w:r>
            <w:r w:rsidRPr="005A22C2">
              <w:rPr>
                <w:rFonts w:eastAsia="新細明體" w:cs="Segoe UI" w:hint="eastAsia"/>
                <w:lang w:eastAsia="zh-TW"/>
              </w:rPr>
              <w:t>，</w:t>
            </w:r>
            <w:r w:rsidR="00C4285F" w:rsidRPr="005A22C2">
              <w:rPr>
                <w:rFonts w:eastAsia="新細明體" w:cs="Segoe UI" w:hint="eastAsia"/>
                <w:lang w:eastAsia="zh-HK"/>
              </w:rPr>
              <w:t>對於</w:t>
            </w:r>
            <w:r w:rsidR="009E644E" w:rsidRPr="005A22C2">
              <w:rPr>
                <w:rFonts w:eastAsia="新細明體" w:cs="Segoe UI" w:hint="eastAsia"/>
                <w:lang w:eastAsia="zh-HK"/>
              </w:rPr>
              <w:t>使用較</w:t>
            </w:r>
            <w:r w:rsidR="00C4285F" w:rsidRPr="005A22C2">
              <w:rPr>
                <w:rFonts w:eastAsia="新細明體" w:cs="Segoe UI" w:hint="eastAsia"/>
                <w:lang w:eastAsia="zh-HK"/>
              </w:rPr>
              <w:t>少</w:t>
            </w:r>
            <w:r w:rsidR="009E644E" w:rsidRPr="005A22C2">
              <w:rPr>
                <w:rFonts w:eastAsia="新細明體" w:cs="Segoe UI" w:hint="eastAsia"/>
                <w:lang w:eastAsia="zh-HK"/>
              </w:rPr>
              <w:t>年數（不得少於</w:t>
            </w:r>
            <w:r w:rsidRPr="005A22C2">
              <w:rPr>
                <w:rFonts w:eastAsia="新細明體" w:cs="Segoe UI" w:hint="eastAsia"/>
                <w:lang w:eastAsia="zh-TW"/>
              </w:rPr>
              <w:t>5</w:t>
            </w:r>
            <w:r w:rsidRPr="005A22C2">
              <w:rPr>
                <w:rFonts w:eastAsia="新細明體" w:cs="Segoe UI" w:hint="eastAsia"/>
                <w:lang w:eastAsia="zh-HK"/>
              </w:rPr>
              <w:t>年</w:t>
            </w:r>
            <w:r w:rsidRPr="005A22C2">
              <w:rPr>
                <w:rFonts w:ascii="新細明體" w:eastAsia="新細明體" w:hAnsi="新細明體" w:cs="Segoe UI" w:hint="eastAsia"/>
                <w:szCs w:val="17"/>
                <w:lang w:eastAsia="zh-TW"/>
              </w:rPr>
              <w:t>）</w:t>
            </w:r>
            <w:r w:rsidRPr="005A22C2">
              <w:rPr>
                <w:rFonts w:eastAsia="新細明體" w:cs="Segoe UI" w:hint="eastAsia"/>
                <w:lang w:eastAsia="zh-HK"/>
              </w:rPr>
              <w:t>的業務操作虧損數據來計算其</w:t>
            </w:r>
            <w:r w:rsidRPr="005A22C2">
              <w:rPr>
                <w:rFonts w:eastAsia="新細明體" w:cs="Segoe UI"/>
                <w:lang w:eastAsia="zh-TW"/>
              </w:rPr>
              <w:t>業務操作風險資本要求</w:t>
            </w:r>
            <w:r w:rsidRPr="005A22C2">
              <w:rPr>
                <w:rFonts w:eastAsia="新細明體" w:cs="Segoe UI" w:hint="eastAsia"/>
                <w:lang w:eastAsia="zh-HK"/>
              </w:rPr>
              <w:t>的損失組成部分</w:t>
            </w:r>
            <w:r w:rsidR="009E644E" w:rsidRPr="005A22C2">
              <w:rPr>
                <w:rFonts w:eastAsia="新細明體" w:cs="Segoe UI" w:hint="eastAsia"/>
                <w:lang w:eastAsia="zh-HK"/>
              </w:rPr>
              <w:t>作過渡基礎的認可機構</w:t>
            </w:r>
            <w:r w:rsidRPr="005A22C2">
              <w:rPr>
                <w:rFonts w:eastAsia="新細明體" w:cs="Segoe UI" w:hint="eastAsia"/>
                <w:lang w:eastAsia="zh-TW"/>
              </w:rPr>
              <w:t>，</w:t>
            </w:r>
            <w:r w:rsidRPr="005A22C2">
              <w:rPr>
                <w:rFonts w:eastAsia="新細明體" w:cs="Segoe UI" w:hint="eastAsia"/>
                <w:lang w:eastAsia="zh-HK"/>
              </w:rPr>
              <w:t>應使用該期</w:t>
            </w:r>
            <w:r w:rsidR="00C4285F" w:rsidRPr="005A22C2">
              <w:rPr>
                <w:rFonts w:eastAsia="新細明體" w:cs="Segoe UI" w:hint="eastAsia"/>
                <w:lang w:eastAsia="zh-HK"/>
              </w:rPr>
              <w:t>間</w:t>
            </w:r>
            <w:r w:rsidRPr="005A22C2">
              <w:rPr>
                <w:rFonts w:eastAsia="新細明體" w:cs="Segoe UI" w:hint="eastAsia"/>
                <w:lang w:eastAsia="zh-HK"/>
              </w:rPr>
              <w:t>作為其披露期</w:t>
            </w:r>
            <w:r w:rsidRPr="005A22C2">
              <w:rPr>
                <w:rFonts w:eastAsia="新細明體" w:cs="Segoe UI" w:hint="eastAsia"/>
                <w:lang w:eastAsia="zh-TW"/>
              </w:rPr>
              <w:t>。</w:t>
            </w:r>
            <w:r w:rsidRPr="005A22C2">
              <w:rPr>
                <w:rFonts w:eastAsia="新細明體" w:cs="Segoe UI" w:hint="eastAsia"/>
                <w:lang w:eastAsia="zh-HK"/>
              </w:rPr>
              <w:t>本披露</w:t>
            </w:r>
            <w:r w:rsidR="009E644E" w:rsidRPr="005A22C2">
              <w:rPr>
                <w:rFonts w:eastAsia="新細明體" w:cs="Segoe UI" w:hint="eastAsia"/>
                <w:lang w:eastAsia="zh-HK"/>
              </w:rPr>
              <w:t>載明</w:t>
            </w:r>
            <w:r w:rsidRPr="005A22C2">
              <w:rPr>
                <w:rFonts w:eastAsia="新細明體" w:cs="Segoe UI"/>
                <w:lang w:eastAsia="zh-TW"/>
              </w:rPr>
              <w:t>業務操作風險資本要求</w:t>
            </w:r>
            <w:r w:rsidRPr="005A22C2">
              <w:rPr>
                <w:rFonts w:eastAsia="新細明體" w:cs="Segoe UI" w:hint="eastAsia"/>
                <w:lang w:eastAsia="zh-HK"/>
              </w:rPr>
              <w:t>的計算</w:t>
            </w:r>
            <w:r w:rsidRPr="005A22C2">
              <w:rPr>
                <w:rFonts w:eastAsia="新細明體" w:cs="Segoe UI" w:hint="eastAsia"/>
                <w:lang w:eastAsia="zh-TW"/>
              </w:rPr>
              <w:t>。</w:t>
            </w:r>
            <w:r w:rsidRPr="005A22C2">
              <w:rPr>
                <w:rFonts w:ascii="細明體" w:eastAsia="細明體" w:hAnsi="細明體" w:cs="Segoe UI" w:hint="eastAsia"/>
                <w:lang w:eastAsia="zh-TW"/>
              </w:rPr>
              <w:t>《</w:t>
            </w:r>
            <w:r w:rsidRPr="005A22C2">
              <w:rPr>
                <w:rFonts w:ascii="細明體" w:eastAsia="細明體" w:hAnsi="細明體" w:cs="Segoe UI" w:hint="eastAsia"/>
                <w:lang w:eastAsia="zh-HK"/>
              </w:rPr>
              <w:t>監管政策手冊</w:t>
            </w:r>
            <w:r w:rsidRPr="005A22C2">
              <w:rPr>
                <w:rFonts w:ascii="細明體" w:eastAsia="細明體" w:hAnsi="細明體" w:cs="Segoe UI" w:hint="eastAsia"/>
                <w:lang w:eastAsia="zh-TW"/>
              </w:rPr>
              <w:t>》</w:t>
            </w:r>
            <w:r w:rsidRPr="005A22C2">
              <w:rPr>
                <w:rFonts w:ascii="細明體" w:eastAsia="細明體" w:hAnsi="細明體" w:cs="Segoe UI" w:hint="eastAsia"/>
                <w:lang w:eastAsia="zh-HK"/>
              </w:rPr>
              <w:t>單元</w:t>
            </w:r>
            <w:r w:rsidRPr="005A22C2">
              <w:rPr>
                <w:rFonts w:eastAsia="新細明體" w:cs="Segoe UI"/>
                <w:lang w:eastAsia="zh-TW"/>
              </w:rPr>
              <w:t>CA-D-1</w:t>
            </w:r>
            <w:r w:rsidRPr="005A22C2">
              <w:rPr>
                <w:rFonts w:ascii="新細明體" w:eastAsia="新細明體" w:hAnsi="新細明體" w:cs="Segoe UI" w:hint="eastAsia"/>
                <w:lang w:eastAsia="zh-TW"/>
              </w:rPr>
              <w:t>「</w:t>
            </w:r>
            <w:r w:rsidRPr="005A22C2">
              <w:rPr>
                <w:rFonts w:ascii="新細明體" w:eastAsia="新細明體" w:hAnsi="新細明體" w:cs="Segoe UI"/>
                <w:lang w:eastAsia="zh-TW"/>
              </w:rPr>
              <w:t>《銀行業</w:t>
            </w:r>
            <w:r w:rsidRPr="005A22C2">
              <w:rPr>
                <w:rFonts w:eastAsia="新細明體" w:cs="Segoe UI" w:hint="eastAsia"/>
                <w:lang w:eastAsia="zh-HK"/>
              </w:rPr>
              <w:t>（</w:t>
            </w:r>
            <w:r w:rsidRPr="005A22C2">
              <w:rPr>
                <w:rFonts w:ascii="新細明體" w:eastAsia="新細明體" w:hAnsi="新細明體" w:cs="Segoe UI"/>
                <w:lang w:eastAsia="zh-TW"/>
              </w:rPr>
              <w:t>披露</w:t>
            </w:r>
            <w:r w:rsidRPr="005A22C2">
              <w:rPr>
                <w:rFonts w:ascii="新細明體" w:eastAsia="新細明體" w:hAnsi="新細明體" w:cs="Segoe UI" w:hint="eastAsia"/>
                <w:szCs w:val="17"/>
                <w:lang w:eastAsia="zh-TW"/>
              </w:rPr>
              <w:t>）</w:t>
            </w:r>
            <w:r w:rsidRPr="005A22C2">
              <w:rPr>
                <w:rFonts w:ascii="新細明體" w:eastAsia="新細明體" w:hAnsi="新細明體" w:cs="Segoe UI"/>
                <w:lang w:eastAsia="zh-TW"/>
              </w:rPr>
              <w:t>規則》的應用指引</w:t>
            </w:r>
            <w:r w:rsidRPr="005A22C2">
              <w:rPr>
                <w:rFonts w:ascii="新細明體" w:eastAsia="新細明體" w:hAnsi="新細明體" w:cs="Segoe UI" w:hint="eastAsia"/>
                <w:lang w:eastAsia="zh-TW"/>
              </w:rPr>
              <w:t>」</w:t>
            </w:r>
            <w:r w:rsidRPr="005A22C2">
              <w:rPr>
                <w:rFonts w:ascii="新細明體" w:eastAsia="新細明體" w:hAnsi="新細明體" w:cs="Segoe UI" w:hint="eastAsia"/>
                <w:lang w:eastAsia="zh-HK"/>
              </w:rPr>
              <w:t>所載的追溯披露一般原則</w:t>
            </w:r>
            <w:r w:rsidRPr="005A22C2">
              <w:rPr>
                <w:rFonts w:ascii="新細明體" w:eastAsia="新細明體" w:hAnsi="新細明體" w:cs="Segoe UI" w:hint="eastAsia"/>
                <w:lang w:eastAsia="zh-TW"/>
              </w:rPr>
              <w:t>，</w:t>
            </w:r>
            <w:r w:rsidRPr="005A22C2">
              <w:rPr>
                <w:rFonts w:ascii="新細明體" w:eastAsia="新細明體" w:hAnsi="新細明體" w:cs="Segoe UI" w:hint="eastAsia"/>
                <w:lang w:eastAsia="zh-HK"/>
              </w:rPr>
              <w:t>並不適用於本模版</w:t>
            </w:r>
            <w:r w:rsidRPr="005A22C2">
              <w:rPr>
                <w:rFonts w:ascii="新細明體" w:eastAsia="新細明體" w:hAnsi="新細明體" w:cs="Segoe UI" w:hint="eastAsia"/>
                <w:lang w:eastAsia="zh-TW"/>
              </w:rPr>
              <w:t>。</w:t>
            </w:r>
            <w:r w:rsidRPr="005A22C2">
              <w:rPr>
                <w:rFonts w:ascii="新細明體" w:eastAsia="新細明體" w:hAnsi="新細明體" w:cs="Segoe UI" w:hint="eastAsia"/>
                <w:lang w:eastAsia="zh-HK"/>
              </w:rPr>
              <w:t>由本模版實施日期起</w:t>
            </w:r>
            <w:r w:rsidRPr="005A22C2">
              <w:rPr>
                <w:rFonts w:ascii="新細明體" w:eastAsia="新細明體" w:hAnsi="新細明體" w:cs="Segoe UI" w:hint="eastAsia"/>
                <w:lang w:eastAsia="zh-TW"/>
              </w:rPr>
              <w:t>，</w:t>
            </w:r>
            <w:r w:rsidRPr="005A22C2">
              <w:rPr>
                <w:rFonts w:ascii="新細明體" w:eastAsia="新細明體" w:hAnsi="新細明體" w:cs="Segoe UI" w:hint="eastAsia"/>
                <w:lang w:eastAsia="zh-HK"/>
              </w:rPr>
              <w:t>認可</w:t>
            </w:r>
            <w:proofErr w:type="gramStart"/>
            <w:r w:rsidRPr="005A22C2">
              <w:rPr>
                <w:rFonts w:ascii="新細明體" w:eastAsia="新細明體" w:hAnsi="新細明體" w:cs="Segoe UI" w:hint="eastAsia"/>
                <w:lang w:eastAsia="zh-HK"/>
              </w:rPr>
              <w:t>機構均須披露</w:t>
            </w:r>
            <w:proofErr w:type="gramEnd"/>
            <w:r w:rsidRPr="005A22C2">
              <w:rPr>
                <w:rFonts w:ascii="新細明體" w:eastAsia="新細明體" w:hAnsi="新細明體" w:cs="Segoe UI" w:hint="eastAsia"/>
                <w:lang w:eastAsia="zh-HK"/>
              </w:rPr>
              <w:t>對其適用的披露期内所有對上的周年報告期</w:t>
            </w:r>
            <w:r w:rsidRPr="005A22C2">
              <w:rPr>
                <w:rFonts w:ascii="新細明體" w:eastAsia="新細明體" w:hAnsi="新細明體" w:cs="Segoe UI" w:hint="eastAsia"/>
                <w:lang w:eastAsia="zh-TW"/>
              </w:rPr>
              <w:t>。</w:t>
            </w:r>
          </w:p>
        </w:tc>
      </w:tr>
      <w:tr w:rsidR="005A22C2" w:rsidRPr="005A22C2" w14:paraId="23CA2D32" w14:textId="77777777" w:rsidTr="00723A77">
        <w:tc>
          <w:tcPr>
            <w:tcW w:w="2160" w:type="dxa"/>
          </w:tcPr>
          <w:p w14:paraId="2D94DB90" w14:textId="77777777" w:rsidR="00F1181C" w:rsidRPr="005A22C2" w:rsidRDefault="00F1181C" w:rsidP="009C54A9">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6804" w:type="dxa"/>
          </w:tcPr>
          <w:p w14:paraId="42B7E49D" w14:textId="56367905" w:rsidR="00721469" w:rsidRPr="005A22C2" w:rsidRDefault="00721469" w:rsidP="00721469">
            <w:pPr>
              <w:spacing w:before="40" w:after="40"/>
              <w:jc w:val="both"/>
              <w:rPr>
                <w:rFonts w:eastAsia="新細明體" w:cs="Segoe UI"/>
                <w:sz w:val="17"/>
                <w:lang w:eastAsia="zh-TW"/>
              </w:rPr>
            </w:pPr>
            <w:r w:rsidRPr="00721469">
              <w:rPr>
                <w:rFonts w:eastAsia="新細明體" w:cs="Segoe UI" w:hint="eastAsia"/>
                <w:sz w:val="17"/>
                <w:lang w:eastAsia="zh-TW"/>
              </w:rPr>
              <w:t>須</w:t>
            </w:r>
            <w:proofErr w:type="gramStart"/>
            <w:r w:rsidRPr="00721469">
              <w:rPr>
                <w:rFonts w:eastAsia="新細明體" w:cs="Segoe UI" w:hint="eastAsia"/>
                <w:sz w:val="17"/>
                <w:lang w:eastAsia="zh-TW"/>
              </w:rPr>
              <w:t>填報本模版</w:t>
            </w:r>
            <w:proofErr w:type="gramEnd"/>
            <w:r w:rsidRPr="00721469">
              <w:rPr>
                <w:rFonts w:eastAsia="新細明體" w:cs="Segoe UI" w:hint="eastAsia"/>
                <w:sz w:val="17"/>
                <w:lang w:eastAsia="zh-TW"/>
              </w:rPr>
              <w:t>的認可機構，包括所有在香港成立</w:t>
            </w:r>
            <w:proofErr w:type="gramStart"/>
            <w:r w:rsidRPr="00721469">
              <w:rPr>
                <w:rFonts w:eastAsia="新細明體" w:cs="Segoe UI" w:hint="eastAsia"/>
                <w:sz w:val="17"/>
                <w:lang w:eastAsia="zh-TW"/>
              </w:rPr>
              <w:t>為法團並</w:t>
            </w:r>
            <w:proofErr w:type="gramEnd"/>
            <w:r w:rsidRPr="00721469">
              <w:rPr>
                <w:rFonts w:eastAsia="新細明體" w:cs="Segoe UI" w:hint="eastAsia"/>
                <w:sz w:val="17"/>
                <w:lang w:eastAsia="zh-TW"/>
              </w:rPr>
              <w:t>歸類為</w:t>
            </w:r>
            <w:r w:rsidRPr="00721469">
              <w:rPr>
                <w:rFonts w:eastAsia="新細明體" w:cs="Segoe UI"/>
                <w:sz w:val="17"/>
                <w:lang w:eastAsia="zh-TW"/>
              </w:rPr>
              <w:t>(</w:t>
            </w:r>
            <w:proofErr w:type="spellStart"/>
            <w:r w:rsidRPr="00721469">
              <w:rPr>
                <w:rFonts w:eastAsia="新細明體" w:cs="Segoe UI"/>
                <w:sz w:val="17"/>
                <w:lang w:eastAsia="zh-TW"/>
              </w:rPr>
              <w:t>i</w:t>
            </w:r>
            <w:proofErr w:type="spellEnd"/>
            <w:r w:rsidRPr="00721469">
              <w:rPr>
                <w:rFonts w:eastAsia="新細明體" w:cs="Segoe UI"/>
                <w:sz w:val="17"/>
                <w:lang w:eastAsia="zh-TW"/>
              </w:rPr>
              <w:t>)</w:t>
            </w:r>
            <w:r w:rsidRPr="00721469">
              <w:rPr>
                <w:rFonts w:eastAsia="新細明體" w:cs="Segoe UI" w:hint="eastAsia"/>
                <w:sz w:val="17"/>
                <w:lang w:eastAsia="zh-TW"/>
              </w:rPr>
              <w:t>組別</w:t>
            </w:r>
            <w:r w:rsidRPr="00721469">
              <w:rPr>
                <w:rFonts w:eastAsia="新細明體" w:cs="Segoe UI"/>
                <w:sz w:val="17"/>
                <w:lang w:eastAsia="zh-TW"/>
              </w:rPr>
              <w:t>2 AI</w:t>
            </w:r>
            <w:r w:rsidRPr="00721469">
              <w:rPr>
                <w:rFonts w:eastAsia="新細明體" w:cs="Segoe UI" w:hint="eastAsia"/>
                <w:sz w:val="17"/>
                <w:lang w:eastAsia="zh-TW"/>
              </w:rPr>
              <w:t>或組別</w:t>
            </w:r>
            <w:r w:rsidRPr="00721469">
              <w:rPr>
                <w:rFonts w:eastAsia="新細明體" w:cs="Segoe UI"/>
                <w:sz w:val="17"/>
                <w:lang w:eastAsia="zh-TW"/>
              </w:rPr>
              <w:t>3 AI</w:t>
            </w:r>
            <w:r w:rsidRPr="00721469">
              <w:rPr>
                <w:rFonts w:eastAsia="新細明體" w:cs="Segoe UI" w:hint="eastAsia"/>
                <w:sz w:val="17"/>
                <w:lang w:eastAsia="zh-TW"/>
              </w:rPr>
              <w:t>；或</w:t>
            </w:r>
            <w:r w:rsidRPr="00721469">
              <w:rPr>
                <w:rFonts w:eastAsia="新細明體" w:cs="Segoe UI"/>
                <w:sz w:val="17"/>
                <w:lang w:eastAsia="zh-TW"/>
              </w:rPr>
              <w:t>(ii)</w:t>
            </w:r>
            <w:r w:rsidRPr="00721469">
              <w:rPr>
                <w:rFonts w:eastAsia="新細明體" w:cs="Segoe UI" w:hint="eastAsia"/>
                <w:sz w:val="17"/>
                <w:lang w:eastAsia="zh-TW"/>
              </w:rPr>
              <w:t>符合以下條件的組別</w:t>
            </w:r>
            <w:r w:rsidRPr="00721469">
              <w:rPr>
                <w:rFonts w:eastAsia="新細明體" w:cs="Segoe UI"/>
                <w:sz w:val="17"/>
                <w:lang w:eastAsia="zh-TW"/>
              </w:rPr>
              <w:t>1 AI</w:t>
            </w:r>
            <w:r w:rsidRPr="00721469">
              <w:rPr>
                <w:rFonts w:eastAsia="新細明體" w:cs="Segoe UI" w:hint="eastAsia"/>
                <w:sz w:val="17"/>
                <w:lang w:eastAsia="zh-TW"/>
              </w:rPr>
              <w:t>：根據《資本規則》第</w:t>
            </w:r>
            <w:r w:rsidRPr="00721469">
              <w:rPr>
                <w:rFonts w:eastAsia="新細明體" w:cs="Segoe UI"/>
                <w:sz w:val="17"/>
                <w:lang w:eastAsia="zh-TW"/>
              </w:rPr>
              <w:t>332(2)(b)</w:t>
            </w:r>
            <w:r w:rsidRPr="00721469">
              <w:rPr>
                <w:rFonts w:eastAsia="新細明體" w:cs="Segoe UI" w:hint="eastAsia"/>
                <w:sz w:val="17"/>
                <w:lang w:eastAsia="zh-TW"/>
              </w:rPr>
              <w:t>條已取得金融管理專員事先同意或根據《資本規則》第</w:t>
            </w:r>
            <w:r w:rsidRPr="00721469">
              <w:rPr>
                <w:rFonts w:eastAsia="新細明體" w:cs="Segoe UI"/>
                <w:sz w:val="17"/>
                <w:lang w:eastAsia="zh-TW"/>
              </w:rPr>
              <w:t>332(2)(a)</w:t>
            </w:r>
            <w:r w:rsidRPr="00721469">
              <w:rPr>
                <w:rFonts w:eastAsia="新細明體" w:cs="Segoe UI" w:hint="eastAsia"/>
                <w:sz w:val="17"/>
                <w:lang w:eastAsia="zh-TW"/>
              </w:rPr>
              <w:t>條符合指定條件，以在計算業務操作風險資本要求時計入業務操作虧損數據</w:t>
            </w:r>
            <w:r w:rsidR="00F1181C" w:rsidRPr="005A22C2">
              <w:rPr>
                <w:rFonts w:eastAsia="新細明體" w:cs="Segoe UI" w:hint="eastAsia"/>
                <w:sz w:val="17"/>
                <w:lang w:eastAsia="zh-TW"/>
              </w:rPr>
              <w:t>。</w:t>
            </w:r>
          </w:p>
        </w:tc>
      </w:tr>
      <w:tr w:rsidR="005A22C2" w:rsidRPr="005A22C2" w14:paraId="3C245C23" w14:textId="77777777" w:rsidTr="00723A77">
        <w:tc>
          <w:tcPr>
            <w:tcW w:w="2160" w:type="dxa"/>
          </w:tcPr>
          <w:p w14:paraId="1E34A458" w14:textId="77777777" w:rsidR="00F1181C" w:rsidRPr="005A22C2" w:rsidRDefault="00F1181C" w:rsidP="009C54A9">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6804" w:type="dxa"/>
          </w:tcPr>
          <w:p w14:paraId="64917AE4" w14:textId="77777777" w:rsidR="00F1181C" w:rsidRPr="005A22C2" w:rsidRDefault="00F1181C" w:rsidP="009C54A9">
            <w:pPr>
              <w:spacing w:before="40" w:after="40"/>
              <w:jc w:val="both"/>
              <w:rPr>
                <w:rFonts w:eastAsia="新細明體" w:cs="Segoe UI"/>
                <w:sz w:val="17"/>
                <w:lang w:eastAsia="en-GB"/>
              </w:rPr>
            </w:pPr>
            <w:r w:rsidRPr="005A22C2">
              <w:rPr>
                <w:rFonts w:eastAsia="新細明體" w:cs="Segoe UI" w:hint="eastAsia"/>
                <w:sz w:val="17"/>
                <w:lang w:eastAsia="zh-HK"/>
              </w:rPr>
              <w:t>量化資料</w:t>
            </w:r>
            <w:r w:rsidRPr="005A22C2">
              <w:rPr>
                <w:rFonts w:eastAsia="新細明體" w:cs="Segoe UI" w:hint="eastAsia"/>
                <w:sz w:val="17"/>
                <w:lang w:eastAsia="zh-TW"/>
              </w:rPr>
              <w:t>。</w:t>
            </w:r>
          </w:p>
        </w:tc>
      </w:tr>
      <w:tr w:rsidR="005A22C2" w:rsidRPr="005A22C2" w14:paraId="4A4C63BE" w14:textId="77777777" w:rsidTr="00723A77">
        <w:tc>
          <w:tcPr>
            <w:tcW w:w="2160" w:type="dxa"/>
          </w:tcPr>
          <w:p w14:paraId="59EF865A" w14:textId="77777777" w:rsidR="00F1181C" w:rsidRPr="005A22C2" w:rsidRDefault="00F1181C" w:rsidP="009C54A9">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6804" w:type="dxa"/>
          </w:tcPr>
          <w:p w14:paraId="55020A27" w14:textId="77777777" w:rsidR="00F1181C" w:rsidRPr="005A22C2" w:rsidRDefault="00F1181C" w:rsidP="009C54A9">
            <w:pPr>
              <w:pStyle w:val="TableText"/>
              <w:jc w:val="both"/>
              <w:rPr>
                <w:rFonts w:eastAsia="新細明體" w:cs="Segoe UI"/>
                <w:lang w:eastAsia="en-GB"/>
              </w:rPr>
            </w:pPr>
            <w:proofErr w:type="spellStart"/>
            <w:r w:rsidRPr="005A22C2">
              <w:rPr>
                <w:rFonts w:eastAsia="新細明體" w:cs="Segoe UI"/>
                <w:lang w:eastAsia="en-GB"/>
              </w:rPr>
              <w:t>每年一次</w:t>
            </w:r>
            <w:proofErr w:type="spellEnd"/>
            <w:r w:rsidRPr="005A22C2">
              <w:rPr>
                <w:rFonts w:eastAsia="新細明體" w:cs="Segoe UI"/>
                <w:lang w:eastAsia="en-GB"/>
              </w:rPr>
              <w:t>。</w:t>
            </w:r>
          </w:p>
        </w:tc>
      </w:tr>
      <w:tr w:rsidR="005A22C2" w:rsidRPr="005A22C2" w14:paraId="758C3A4B" w14:textId="77777777" w:rsidTr="00723A77">
        <w:tc>
          <w:tcPr>
            <w:tcW w:w="2160" w:type="dxa"/>
          </w:tcPr>
          <w:p w14:paraId="6F9B473D" w14:textId="77777777" w:rsidR="00F1181C" w:rsidRPr="005A22C2" w:rsidRDefault="00F1181C" w:rsidP="009C54A9">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6804" w:type="dxa"/>
          </w:tcPr>
          <w:p w14:paraId="3308D97C" w14:textId="77777777" w:rsidR="00F1181C" w:rsidRPr="005A22C2" w:rsidRDefault="00F1181C" w:rsidP="009C54A9">
            <w:pPr>
              <w:pStyle w:val="TableText"/>
              <w:jc w:val="both"/>
              <w:rPr>
                <w:rFonts w:eastAsia="新細明體" w:cs="Segoe UI"/>
                <w:lang w:eastAsia="en-GB"/>
              </w:rPr>
            </w:pPr>
            <w:r w:rsidRPr="005A22C2">
              <w:rPr>
                <w:rFonts w:eastAsia="新細明體" w:cs="Segoe UI" w:hint="eastAsia"/>
                <w:lang w:eastAsia="zh-HK"/>
              </w:rPr>
              <w:t>固定</w:t>
            </w:r>
            <w:r w:rsidRPr="005A22C2">
              <w:rPr>
                <w:rFonts w:eastAsia="新細明體" w:cs="Segoe UI" w:hint="eastAsia"/>
                <w:lang w:eastAsia="zh-TW"/>
              </w:rPr>
              <w:t>。</w:t>
            </w:r>
          </w:p>
        </w:tc>
      </w:tr>
      <w:tr w:rsidR="005A22C2" w:rsidRPr="005A22C2" w14:paraId="28EA8CD3" w14:textId="77777777" w:rsidTr="00723A77">
        <w:tc>
          <w:tcPr>
            <w:tcW w:w="2160" w:type="dxa"/>
          </w:tcPr>
          <w:p w14:paraId="1FA53DB1" w14:textId="77777777" w:rsidR="00F1181C" w:rsidRPr="005A22C2" w:rsidRDefault="00F1181C" w:rsidP="009C54A9">
            <w:pPr>
              <w:spacing w:before="40" w:after="40"/>
              <w:rPr>
                <w:rFonts w:eastAsia="新細明體" w:cs="Segoe UI"/>
                <w:b/>
                <w:sz w:val="17"/>
                <w:lang w:eastAsia="en-GB"/>
              </w:rPr>
            </w:pPr>
            <w:proofErr w:type="spellStart"/>
            <w:r w:rsidRPr="005A22C2">
              <w:rPr>
                <w:rFonts w:eastAsia="新細明體" w:cs="Segoe UI"/>
                <w:b/>
                <w:sz w:val="17"/>
                <w:szCs w:val="17"/>
                <w:lang w:eastAsia="en-GB"/>
              </w:rPr>
              <w:t>附加說明</w:t>
            </w:r>
            <w:proofErr w:type="spellEnd"/>
            <w:r w:rsidRPr="005A22C2">
              <w:rPr>
                <w:rFonts w:eastAsia="新細明體" w:cs="Segoe UI"/>
                <w:b/>
                <w:sz w:val="17"/>
                <w:szCs w:val="17"/>
                <w:lang w:eastAsia="en-GB"/>
              </w:rPr>
              <w:t>：</w:t>
            </w:r>
          </w:p>
        </w:tc>
        <w:tc>
          <w:tcPr>
            <w:tcW w:w="6804" w:type="dxa"/>
          </w:tcPr>
          <w:p w14:paraId="213C7F40" w14:textId="295E329C" w:rsidR="00F1181C" w:rsidRPr="005A22C2" w:rsidRDefault="00F1181C" w:rsidP="002021C4">
            <w:pPr>
              <w:pStyle w:val="TableText"/>
              <w:jc w:val="both"/>
              <w:rPr>
                <w:rFonts w:eastAsia="新細明體" w:cs="Segoe UI"/>
                <w:noProof/>
                <w:lang w:eastAsia="zh-HK"/>
              </w:rPr>
            </w:pPr>
            <w:r w:rsidRPr="005A22C2">
              <w:rPr>
                <w:rFonts w:eastAsia="新細明體" w:cs="Segoe UI" w:hint="eastAsia"/>
                <w:lang w:eastAsia="zh-TW"/>
              </w:rPr>
              <w:t>認可機構應以敘述評</w:t>
            </w:r>
            <w:proofErr w:type="gramStart"/>
            <w:r w:rsidRPr="005A22C2">
              <w:rPr>
                <w:rFonts w:eastAsia="新細明體" w:cs="Segoe UI" w:hint="eastAsia"/>
                <w:lang w:eastAsia="zh-TW"/>
              </w:rPr>
              <w:t>註</w:t>
            </w:r>
            <w:proofErr w:type="gramEnd"/>
            <w:r w:rsidRPr="005A22C2">
              <w:rPr>
                <w:rFonts w:eastAsia="新細明體" w:cs="Segoe UI" w:hint="eastAsia"/>
                <w:lang w:eastAsia="zh-TW"/>
              </w:rPr>
              <w:t>闡明</w:t>
            </w:r>
            <w:r w:rsidRPr="005A22C2">
              <w:rPr>
                <w:rFonts w:eastAsia="新細明體" w:cs="Segoe UI" w:hint="eastAsia"/>
                <w:lang w:eastAsia="zh-HK"/>
              </w:rPr>
              <w:t>自上一個</w:t>
            </w:r>
            <w:r w:rsidRPr="005A22C2">
              <w:rPr>
                <w:rFonts w:eastAsia="新細明體" w:cs="Segoe UI" w:hint="eastAsia"/>
                <w:lang w:eastAsia="zh-TW"/>
              </w:rPr>
              <w:t>報告期</w:t>
            </w:r>
            <w:r w:rsidRPr="005A22C2">
              <w:rPr>
                <w:rFonts w:eastAsia="新細明體" w:cs="Segoe UI" w:hint="eastAsia"/>
                <w:lang w:eastAsia="zh-HK"/>
              </w:rPr>
              <w:t>的披露以來對業務操作風險虧損作出新</w:t>
            </w:r>
            <w:proofErr w:type="gramStart"/>
            <w:r w:rsidRPr="005A22C2">
              <w:rPr>
                <w:rFonts w:eastAsia="新細明體" w:cs="Segoe UI" w:hint="eastAsia"/>
                <w:lang w:eastAsia="zh-HK"/>
              </w:rPr>
              <w:t>的豁除</w:t>
            </w:r>
            <w:r w:rsidRPr="005A22C2">
              <w:rPr>
                <w:rFonts w:eastAsia="新細明體" w:cs="Segoe UI" w:hint="eastAsia"/>
                <w:lang w:eastAsia="zh-TW"/>
              </w:rPr>
              <w:t>的</w:t>
            </w:r>
            <w:proofErr w:type="gramEnd"/>
            <w:r w:rsidRPr="005A22C2">
              <w:rPr>
                <w:rFonts w:eastAsia="新細明體" w:cs="Segoe UI" w:hint="eastAsia"/>
                <w:lang w:eastAsia="zh-HK"/>
              </w:rPr>
              <w:t>綜合理由</w:t>
            </w:r>
            <w:r w:rsidRPr="005A22C2">
              <w:rPr>
                <w:rFonts w:eastAsia="新細明體" w:cs="Segoe UI" w:hint="eastAsia"/>
                <w:lang w:eastAsia="zh-TW"/>
              </w:rPr>
              <w:t>，以</w:t>
            </w:r>
            <w:proofErr w:type="gramStart"/>
            <w:r w:rsidRPr="005A22C2">
              <w:rPr>
                <w:rFonts w:eastAsia="新細明體" w:cs="Segoe UI" w:hint="eastAsia"/>
                <w:lang w:eastAsia="zh-TW"/>
              </w:rPr>
              <w:t>補充本模版</w:t>
            </w:r>
            <w:proofErr w:type="gramEnd"/>
            <w:r w:rsidRPr="005A22C2">
              <w:rPr>
                <w:rFonts w:eastAsia="新細明體" w:cs="Segoe UI" w:hint="eastAsia"/>
                <w:lang w:eastAsia="zh-TW"/>
              </w:rPr>
              <w:t>。</w:t>
            </w:r>
            <w:r w:rsidRPr="005A22C2">
              <w:rPr>
                <w:rFonts w:eastAsia="新細明體" w:cs="Segoe UI" w:hint="eastAsia"/>
                <w:lang w:eastAsia="zh-HK"/>
              </w:rPr>
              <w:t>認可機構應綜合</w:t>
            </w:r>
            <w:r w:rsidR="009E644E" w:rsidRPr="005A22C2">
              <w:rPr>
                <w:rFonts w:eastAsia="新細明體" w:cs="Segoe UI" w:hint="eastAsia"/>
                <w:lang w:eastAsia="zh-HK"/>
              </w:rPr>
              <w:t>地</w:t>
            </w:r>
            <w:r w:rsidRPr="005A22C2">
              <w:rPr>
                <w:rFonts w:eastAsia="新細明體" w:cs="Segoe UI" w:hint="eastAsia"/>
                <w:lang w:eastAsia="zh-HK"/>
              </w:rPr>
              <w:t>披露</w:t>
            </w:r>
            <w:r w:rsidR="003508A4" w:rsidRPr="005A22C2">
              <w:rPr>
                <w:rFonts w:eastAsia="新細明體" w:cs="Segoe UI" w:hint="eastAsia"/>
                <w:lang w:eastAsia="zh-HK"/>
              </w:rPr>
              <w:t>任何</w:t>
            </w:r>
            <w:r w:rsidRPr="005A22C2">
              <w:rPr>
                <w:rFonts w:eastAsia="新細明體" w:cs="Segoe UI" w:hint="eastAsia"/>
                <w:lang w:eastAsia="zh-HK"/>
              </w:rPr>
              <w:t>有助使用者了解其過往業務操作風險</w:t>
            </w:r>
            <w:r w:rsidRPr="005A22C2">
              <w:rPr>
                <w:rFonts w:ascii="新細明體" w:eastAsia="新細明體" w:hAnsi="新細明體" w:cs="Segoe UI" w:hint="eastAsia"/>
                <w:lang w:eastAsia="zh-TW"/>
              </w:rPr>
              <w:t>虧損</w:t>
            </w:r>
            <w:r w:rsidR="00463DD8" w:rsidRPr="005A22C2">
              <w:rPr>
                <w:rFonts w:eastAsia="新細明體" w:cs="Segoe UI" w:hint="eastAsia"/>
                <w:lang w:eastAsia="zh-HK"/>
              </w:rPr>
              <w:t>或</w:t>
            </w:r>
            <w:r w:rsidRPr="005A22C2">
              <w:rPr>
                <w:rFonts w:eastAsia="新細明體" w:cs="Segoe UI" w:hint="eastAsia"/>
                <w:lang w:eastAsia="zh-HK"/>
              </w:rPr>
              <w:t>收回</w:t>
            </w:r>
            <w:r w:rsidR="003508A4" w:rsidRPr="005A22C2">
              <w:rPr>
                <w:rFonts w:eastAsia="新細明體" w:cs="Segoe UI" w:hint="eastAsia"/>
                <w:lang w:eastAsia="zh-HK"/>
              </w:rPr>
              <w:t>數額</w:t>
            </w:r>
            <w:r w:rsidRPr="005A22C2">
              <w:rPr>
                <w:rFonts w:eastAsia="新細明體" w:cs="Segoe UI" w:hint="eastAsia"/>
                <w:lang w:eastAsia="zh-HK"/>
              </w:rPr>
              <w:t>的其他重要資料</w:t>
            </w:r>
            <w:r w:rsidRPr="005A22C2">
              <w:rPr>
                <w:rFonts w:eastAsia="新細明體" w:cs="Segoe UI" w:hint="eastAsia"/>
                <w:lang w:eastAsia="zh-TW"/>
              </w:rPr>
              <w:t>，</w:t>
            </w:r>
            <w:r w:rsidR="009E644E" w:rsidRPr="005A22C2">
              <w:rPr>
                <w:rFonts w:eastAsia="新細明體" w:cs="Segoe UI" w:hint="eastAsia"/>
                <w:lang w:eastAsia="zh-HK"/>
              </w:rPr>
              <w:t>保密及專有</w:t>
            </w:r>
            <w:r w:rsidRPr="005A22C2">
              <w:rPr>
                <w:rFonts w:eastAsia="新細明體" w:cs="Segoe UI" w:hint="eastAsia"/>
                <w:lang w:eastAsia="zh-HK"/>
              </w:rPr>
              <w:t>資料</w:t>
            </w:r>
            <w:r w:rsidR="002021C4">
              <w:rPr>
                <w:rFonts w:eastAsia="新細明體" w:cs="Segoe UI" w:hint="eastAsia"/>
                <w:lang w:eastAsia="zh-HK"/>
              </w:rPr>
              <w:t>除外，並包括</w:t>
            </w:r>
            <w:r w:rsidRPr="005A22C2">
              <w:rPr>
                <w:rFonts w:eastAsia="新細明體" w:cs="Segoe UI" w:hint="eastAsia"/>
                <w:lang w:eastAsia="zh-HK"/>
              </w:rPr>
              <w:t>法</w:t>
            </w:r>
            <w:r w:rsidR="002021C4">
              <w:rPr>
                <w:rFonts w:eastAsia="新細明體" w:cs="Segoe UI" w:hint="eastAsia"/>
                <w:lang w:eastAsia="zh-HK"/>
              </w:rPr>
              <w:t>律</w:t>
            </w:r>
            <w:r w:rsidRPr="005A22C2">
              <w:rPr>
                <w:rFonts w:eastAsia="新細明體" w:cs="Segoe UI" w:hint="eastAsia"/>
                <w:lang w:eastAsia="zh-HK"/>
              </w:rPr>
              <w:t>儲備相</w:t>
            </w:r>
            <w:r w:rsidRPr="005A22C2">
              <w:rPr>
                <w:rFonts w:eastAsia="新細明體" w:cs="Segoe UI" w:hint="eastAsia"/>
                <w:lang w:eastAsia="zh-TW"/>
              </w:rPr>
              <w:t>關</w:t>
            </w:r>
            <w:r w:rsidRPr="005A22C2">
              <w:rPr>
                <w:rFonts w:eastAsia="新細明體" w:cs="Segoe UI" w:hint="eastAsia"/>
                <w:lang w:eastAsia="zh-HK"/>
              </w:rPr>
              <w:t>的資料</w:t>
            </w:r>
            <w:r w:rsidRPr="005A22C2">
              <w:rPr>
                <w:rFonts w:eastAsia="新細明體" w:cs="Segoe UI" w:hint="eastAsia"/>
                <w:lang w:eastAsia="zh-TW"/>
              </w:rPr>
              <w:t>。</w:t>
            </w:r>
          </w:p>
        </w:tc>
      </w:tr>
      <w:tr w:rsidR="005A22C2" w:rsidRPr="005A22C2" w14:paraId="497EB461" w14:textId="77777777" w:rsidTr="00723A77">
        <w:tc>
          <w:tcPr>
            <w:tcW w:w="2160" w:type="dxa"/>
          </w:tcPr>
          <w:p w14:paraId="49293492" w14:textId="77777777" w:rsidR="00F1181C" w:rsidRPr="005A22C2" w:rsidRDefault="00F1181C" w:rsidP="009C54A9">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6804" w:type="dxa"/>
          </w:tcPr>
          <w:p w14:paraId="4CD2AE8A" w14:textId="77777777" w:rsidR="00F1181C" w:rsidRPr="005A22C2" w:rsidRDefault="00F1181C" w:rsidP="009C54A9">
            <w:pPr>
              <w:pStyle w:val="TableText"/>
              <w:jc w:val="both"/>
              <w:rPr>
                <w:rFonts w:eastAsia="新細明體" w:cs="Segoe UI"/>
                <w:szCs w:val="17"/>
                <w:lang w:eastAsia="en-GB"/>
              </w:rPr>
            </w:pPr>
            <w:r w:rsidRPr="005236B0">
              <w:rPr>
                <w:rFonts w:eastAsia="新細明體" w:cs="Segoe UI"/>
                <w:lang w:eastAsia="en-GB"/>
              </w:rPr>
              <w:t>16</w:t>
            </w:r>
            <w:r w:rsidRPr="005A22C2">
              <w:rPr>
                <w:rFonts w:eastAsia="新細明體" w:cs="Segoe UI"/>
                <w:lang w:eastAsia="en-GB"/>
              </w:rPr>
              <w:t>ZQB</w:t>
            </w:r>
          </w:p>
        </w:tc>
      </w:tr>
    </w:tbl>
    <w:p w14:paraId="4CE9CAE8" w14:textId="235B3754" w:rsidR="00F1181C" w:rsidRPr="005A22C2" w:rsidRDefault="00F1181C"/>
    <w:p w14:paraId="7D66595E" w14:textId="77777777" w:rsidR="00746E0A" w:rsidRPr="005A22C2" w:rsidRDefault="00746E0A"/>
    <w:tbl>
      <w:tblPr>
        <w:tblW w:w="8948" w:type="dxa"/>
        <w:tblInd w:w="-426" w:type="dxa"/>
        <w:tblBorders>
          <w:top w:val="single" w:sz="4" w:space="0" w:color="BCBCBD"/>
          <w:insideV w:val="single" w:sz="4" w:space="0" w:color="BCBCBD"/>
        </w:tblBorders>
        <w:tblLook w:val="04A0" w:firstRow="1" w:lastRow="0" w:firstColumn="1" w:lastColumn="0" w:noHBand="0" w:noVBand="1"/>
      </w:tblPr>
      <w:tblGrid>
        <w:gridCol w:w="571"/>
        <w:gridCol w:w="1791"/>
        <w:gridCol w:w="508"/>
        <w:gridCol w:w="573"/>
        <w:gridCol w:w="635"/>
        <w:gridCol w:w="603"/>
        <w:gridCol w:w="616"/>
        <w:gridCol w:w="600"/>
        <w:gridCol w:w="603"/>
        <w:gridCol w:w="608"/>
        <w:gridCol w:w="607"/>
        <w:gridCol w:w="605"/>
        <w:gridCol w:w="628"/>
      </w:tblGrid>
      <w:tr w:rsidR="001B39FD" w:rsidRPr="005A22C2" w14:paraId="157FF128" w14:textId="77777777" w:rsidTr="005B393E">
        <w:trPr>
          <w:trHeight w:val="230"/>
          <w:tblHeader/>
        </w:trPr>
        <w:tc>
          <w:tcPr>
            <w:tcW w:w="319" w:type="pct"/>
            <w:tcBorders>
              <w:top w:val="nil"/>
              <w:left w:val="nil"/>
              <w:bottom w:val="nil"/>
              <w:right w:val="nil"/>
            </w:tcBorders>
            <w:noWrap/>
            <w:vAlign w:val="center"/>
          </w:tcPr>
          <w:p w14:paraId="0E9EE337"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8"/>
                <w:szCs w:val="18"/>
                <w:lang w:eastAsia="ja-JP"/>
              </w:rPr>
            </w:pPr>
          </w:p>
        </w:tc>
        <w:tc>
          <w:tcPr>
            <w:tcW w:w="1001" w:type="pct"/>
            <w:tcBorders>
              <w:top w:val="nil"/>
              <w:left w:val="nil"/>
              <w:bottom w:val="nil"/>
              <w:right w:val="single" w:sz="4" w:space="0" w:color="BCBCBD"/>
            </w:tcBorders>
            <w:vAlign w:val="center"/>
          </w:tcPr>
          <w:p w14:paraId="007F5CC6"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rPr>
            </w:pPr>
          </w:p>
        </w:tc>
        <w:tc>
          <w:tcPr>
            <w:tcW w:w="284" w:type="pct"/>
            <w:tcBorders>
              <w:top w:val="single" w:sz="8" w:space="0" w:color="auto"/>
              <w:left w:val="single" w:sz="4" w:space="0" w:color="BCBCBD"/>
              <w:bottom w:val="single" w:sz="8" w:space="0" w:color="auto"/>
              <w:right w:val="single" w:sz="4" w:space="0" w:color="BCBCBD"/>
            </w:tcBorders>
            <w:hideMark/>
          </w:tcPr>
          <w:p w14:paraId="3116B65A" w14:textId="77777777" w:rsidR="00E9755B" w:rsidRPr="005A22C2" w:rsidRDefault="00E9755B" w:rsidP="009C54A9">
            <w:pPr>
              <w:keepNext/>
              <w:tabs>
                <w:tab w:val="decimal" w:pos="474"/>
                <w:tab w:val="left" w:pos="794"/>
              </w:tabs>
              <w:adjustRightInd w:val="0"/>
              <w:snapToGrid w:val="0"/>
              <w:spacing w:before="40" w:after="40"/>
              <w:ind w:left="-107" w:firstLine="107"/>
              <w:jc w:val="center"/>
              <w:rPr>
                <w:rFonts w:eastAsia="新細明體" w:cs="Segoe UI"/>
                <w:kern w:val="2"/>
                <w:sz w:val="18"/>
                <w:szCs w:val="18"/>
                <w:lang w:eastAsia="ja-JP"/>
              </w:rPr>
            </w:pPr>
            <w:r w:rsidRPr="005A22C2">
              <w:rPr>
                <w:rFonts w:eastAsia="新細明體" w:cs="Segoe UI"/>
                <w:kern w:val="2"/>
                <w:sz w:val="18"/>
                <w:szCs w:val="18"/>
                <w:lang w:eastAsia="ja-JP"/>
              </w:rPr>
              <w:t>(a)</w:t>
            </w:r>
          </w:p>
        </w:tc>
        <w:tc>
          <w:tcPr>
            <w:tcW w:w="320" w:type="pct"/>
            <w:tcBorders>
              <w:top w:val="single" w:sz="8" w:space="0" w:color="auto"/>
              <w:left w:val="single" w:sz="4" w:space="0" w:color="BCBCBD"/>
              <w:bottom w:val="single" w:sz="8" w:space="0" w:color="auto"/>
              <w:right w:val="single" w:sz="4" w:space="0" w:color="BCBCBD"/>
            </w:tcBorders>
            <w:hideMark/>
          </w:tcPr>
          <w:p w14:paraId="4F5E6ACB"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(b)</w:t>
            </w:r>
          </w:p>
        </w:tc>
        <w:tc>
          <w:tcPr>
            <w:tcW w:w="355" w:type="pct"/>
            <w:tcBorders>
              <w:top w:val="single" w:sz="8" w:space="0" w:color="auto"/>
              <w:left w:val="single" w:sz="4" w:space="0" w:color="BCBCBD"/>
              <w:bottom w:val="single" w:sz="8" w:space="0" w:color="auto"/>
              <w:right w:val="single" w:sz="4" w:space="0" w:color="BCBCBD"/>
            </w:tcBorders>
            <w:hideMark/>
          </w:tcPr>
          <w:p w14:paraId="7433D9C1"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(c)</w:t>
            </w:r>
          </w:p>
        </w:tc>
        <w:tc>
          <w:tcPr>
            <w:tcW w:w="337" w:type="pct"/>
            <w:tcBorders>
              <w:top w:val="single" w:sz="8" w:space="0" w:color="auto"/>
              <w:left w:val="single" w:sz="4" w:space="0" w:color="BCBCBD"/>
              <w:bottom w:val="single" w:sz="8" w:space="0" w:color="auto"/>
              <w:right w:val="single" w:sz="4" w:space="0" w:color="BCBCBD"/>
            </w:tcBorders>
            <w:hideMark/>
          </w:tcPr>
          <w:p w14:paraId="0435A7C5"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(d)</w:t>
            </w:r>
          </w:p>
        </w:tc>
        <w:tc>
          <w:tcPr>
            <w:tcW w:w="344" w:type="pct"/>
            <w:tcBorders>
              <w:top w:val="single" w:sz="8" w:space="0" w:color="auto"/>
              <w:left w:val="single" w:sz="4" w:space="0" w:color="BCBCBD"/>
              <w:bottom w:val="single" w:sz="8" w:space="0" w:color="auto"/>
              <w:right w:val="single" w:sz="4" w:space="0" w:color="BCBCBD"/>
            </w:tcBorders>
            <w:hideMark/>
          </w:tcPr>
          <w:p w14:paraId="1971DE5A"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(e)</w:t>
            </w:r>
          </w:p>
        </w:tc>
        <w:tc>
          <w:tcPr>
            <w:tcW w:w="335" w:type="pct"/>
            <w:tcBorders>
              <w:top w:val="single" w:sz="8" w:space="0" w:color="auto"/>
              <w:left w:val="single" w:sz="4" w:space="0" w:color="BCBCBD"/>
              <w:bottom w:val="single" w:sz="8" w:space="0" w:color="auto"/>
              <w:right w:val="single" w:sz="4" w:space="0" w:color="BCBCBD"/>
            </w:tcBorders>
            <w:hideMark/>
          </w:tcPr>
          <w:p w14:paraId="406BD57F"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(f)</w:t>
            </w:r>
          </w:p>
        </w:tc>
        <w:tc>
          <w:tcPr>
            <w:tcW w:w="337" w:type="pct"/>
            <w:tcBorders>
              <w:top w:val="single" w:sz="8" w:space="0" w:color="auto"/>
              <w:left w:val="single" w:sz="4" w:space="0" w:color="BCBCBD"/>
              <w:bottom w:val="single" w:sz="8" w:space="0" w:color="auto"/>
              <w:right w:val="single" w:sz="4" w:space="0" w:color="BCBCBD"/>
            </w:tcBorders>
            <w:hideMark/>
          </w:tcPr>
          <w:p w14:paraId="03EA48D3"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(g)</w:t>
            </w:r>
          </w:p>
        </w:tc>
        <w:tc>
          <w:tcPr>
            <w:tcW w:w="340" w:type="pct"/>
            <w:tcBorders>
              <w:top w:val="single" w:sz="8" w:space="0" w:color="auto"/>
              <w:left w:val="single" w:sz="4" w:space="0" w:color="BCBCBD"/>
              <w:bottom w:val="single" w:sz="8" w:space="0" w:color="auto"/>
              <w:right w:val="single" w:sz="4" w:space="0" w:color="BCBCBD"/>
            </w:tcBorders>
            <w:hideMark/>
          </w:tcPr>
          <w:p w14:paraId="4DF87867"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(h)</w:t>
            </w:r>
          </w:p>
        </w:tc>
        <w:tc>
          <w:tcPr>
            <w:tcW w:w="339" w:type="pct"/>
            <w:tcBorders>
              <w:top w:val="single" w:sz="8" w:space="0" w:color="auto"/>
              <w:left w:val="single" w:sz="4" w:space="0" w:color="BCBCBD"/>
              <w:bottom w:val="single" w:sz="8" w:space="0" w:color="auto"/>
              <w:right w:val="single" w:sz="4" w:space="0" w:color="BCBCBD"/>
            </w:tcBorders>
            <w:hideMark/>
          </w:tcPr>
          <w:p w14:paraId="502FF8A2"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w:t>
            </w:r>
            <w:proofErr w:type="spellStart"/>
            <w:r w:rsidRPr="005A22C2">
              <w:rPr>
                <w:rFonts w:eastAsia="新細明體" w:cs="Segoe UI"/>
                <w:kern w:val="2"/>
                <w:sz w:val="18"/>
                <w:szCs w:val="18"/>
                <w:lang w:eastAsia="ja-JP"/>
              </w:rPr>
              <w:t>i</w:t>
            </w:r>
            <w:proofErr w:type="spellEnd"/>
            <w:r w:rsidRPr="005A22C2">
              <w:rPr>
                <w:rFonts w:eastAsia="新細明體" w:cs="Segoe UI"/>
                <w:kern w:val="2"/>
                <w:sz w:val="18"/>
                <w:szCs w:val="18"/>
                <w:lang w:eastAsia="ja-JP"/>
              </w:rPr>
              <w:t>)</w:t>
            </w:r>
          </w:p>
        </w:tc>
        <w:tc>
          <w:tcPr>
            <w:tcW w:w="338" w:type="pct"/>
            <w:tcBorders>
              <w:top w:val="single" w:sz="8" w:space="0" w:color="auto"/>
              <w:left w:val="single" w:sz="4" w:space="0" w:color="BCBCBD"/>
              <w:bottom w:val="single" w:sz="8" w:space="0" w:color="auto"/>
              <w:right w:val="nil"/>
            </w:tcBorders>
            <w:hideMark/>
          </w:tcPr>
          <w:p w14:paraId="5B624A4C"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(j)</w:t>
            </w:r>
          </w:p>
        </w:tc>
        <w:tc>
          <w:tcPr>
            <w:tcW w:w="351" w:type="pct"/>
            <w:tcBorders>
              <w:top w:val="single" w:sz="8" w:space="0" w:color="auto"/>
              <w:left w:val="single" w:sz="4" w:space="0" w:color="BCBCBD"/>
              <w:bottom w:val="single" w:sz="8" w:space="0" w:color="auto"/>
              <w:right w:val="single" w:sz="4" w:space="0" w:color="auto"/>
            </w:tcBorders>
            <w:hideMark/>
          </w:tcPr>
          <w:p w14:paraId="64C93194"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(k)</w:t>
            </w:r>
          </w:p>
        </w:tc>
      </w:tr>
      <w:tr w:rsidR="001B39FD" w:rsidRPr="005A22C2" w14:paraId="04A5BA9D" w14:textId="77777777" w:rsidTr="005B393E">
        <w:trPr>
          <w:trHeight w:val="230"/>
          <w:tblHeader/>
        </w:trPr>
        <w:tc>
          <w:tcPr>
            <w:tcW w:w="319" w:type="pct"/>
            <w:tcBorders>
              <w:top w:val="nil"/>
              <w:left w:val="nil"/>
              <w:bottom w:val="single" w:sz="8" w:space="0" w:color="auto"/>
              <w:right w:val="nil"/>
            </w:tcBorders>
            <w:noWrap/>
            <w:vAlign w:val="center"/>
          </w:tcPr>
          <w:p w14:paraId="68533EB5"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8"/>
                <w:szCs w:val="18"/>
                <w:lang w:eastAsia="ja-JP"/>
              </w:rPr>
            </w:pPr>
          </w:p>
        </w:tc>
        <w:tc>
          <w:tcPr>
            <w:tcW w:w="1001" w:type="pct"/>
            <w:tcBorders>
              <w:top w:val="nil"/>
              <w:left w:val="nil"/>
              <w:bottom w:val="single" w:sz="8" w:space="0" w:color="auto"/>
              <w:right w:val="single" w:sz="4" w:space="0" w:color="BCBCBD"/>
            </w:tcBorders>
            <w:vAlign w:val="center"/>
          </w:tcPr>
          <w:p w14:paraId="5C9981EA"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b/>
                <w:kern w:val="2"/>
                <w:sz w:val="18"/>
                <w:szCs w:val="18"/>
              </w:rPr>
            </w:pPr>
          </w:p>
        </w:tc>
        <w:tc>
          <w:tcPr>
            <w:tcW w:w="284" w:type="pct"/>
            <w:tcBorders>
              <w:top w:val="single" w:sz="8" w:space="0" w:color="auto"/>
              <w:left w:val="single" w:sz="4" w:space="0" w:color="BCBCBD"/>
              <w:bottom w:val="single" w:sz="8" w:space="0" w:color="auto"/>
              <w:right w:val="single" w:sz="4" w:space="0" w:color="BCBCBD"/>
            </w:tcBorders>
            <w:vAlign w:val="center"/>
            <w:hideMark/>
          </w:tcPr>
          <w:p w14:paraId="0819D7E3"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w:t>
            </w:r>
          </w:p>
        </w:tc>
        <w:tc>
          <w:tcPr>
            <w:tcW w:w="320" w:type="pct"/>
            <w:tcBorders>
              <w:top w:val="single" w:sz="8" w:space="0" w:color="auto"/>
              <w:left w:val="single" w:sz="4" w:space="0" w:color="BCBCBD"/>
              <w:bottom w:val="single" w:sz="8" w:space="0" w:color="auto"/>
              <w:right w:val="single" w:sz="4" w:space="0" w:color="BCBCBD"/>
            </w:tcBorders>
            <w:vAlign w:val="center"/>
            <w:hideMark/>
          </w:tcPr>
          <w:p w14:paraId="627BC5D4"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T–1</w:t>
            </w:r>
          </w:p>
        </w:tc>
        <w:tc>
          <w:tcPr>
            <w:tcW w:w="355" w:type="pct"/>
            <w:tcBorders>
              <w:top w:val="single" w:sz="8" w:space="0" w:color="auto"/>
              <w:left w:val="single" w:sz="4" w:space="0" w:color="BCBCBD"/>
              <w:bottom w:val="single" w:sz="8" w:space="0" w:color="auto"/>
              <w:right w:val="single" w:sz="4" w:space="0" w:color="BCBCBD"/>
            </w:tcBorders>
            <w:vAlign w:val="center"/>
            <w:hideMark/>
          </w:tcPr>
          <w:p w14:paraId="41612FDB"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T–2</w:t>
            </w:r>
          </w:p>
        </w:tc>
        <w:tc>
          <w:tcPr>
            <w:tcW w:w="337" w:type="pct"/>
            <w:tcBorders>
              <w:top w:val="single" w:sz="8" w:space="0" w:color="auto"/>
              <w:left w:val="single" w:sz="4" w:space="0" w:color="BCBCBD"/>
              <w:bottom w:val="single" w:sz="8" w:space="0" w:color="auto"/>
              <w:right w:val="single" w:sz="4" w:space="0" w:color="BCBCBD"/>
            </w:tcBorders>
            <w:vAlign w:val="center"/>
            <w:hideMark/>
          </w:tcPr>
          <w:p w14:paraId="4875B63B"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T–3</w:t>
            </w:r>
          </w:p>
        </w:tc>
        <w:tc>
          <w:tcPr>
            <w:tcW w:w="344" w:type="pct"/>
            <w:tcBorders>
              <w:top w:val="single" w:sz="8" w:space="0" w:color="auto"/>
              <w:left w:val="single" w:sz="4" w:space="0" w:color="BCBCBD"/>
              <w:bottom w:val="single" w:sz="8" w:space="0" w:color="auto"/>
              <w:right w:val="single" w:sz="4" w:space="0" w:color="BCBCBD"/>
            </w:tcBorders>
            <w:vAlign w:val="center"/>
            <w:hideMark/>
          </w:tcPr>
          <w:p w14:paraId="66DCCED2"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T–4</w:t>
            </w:r>
          </w:p>
        </w:tc>
        <w:tc>
          <w:tcPr>
            <w:tcW w:w="335" w:type="pct"/>
            <w:tcBorders>
              <w:top w:val="single" w:sz="8" w:space="0" w:color="auto"/>
              <w:left w:val="single" w:sz="4" w:space="0" w:color="BCBCBD"/>
              <w:bottom w:val="single" w:sz="8" w:space="0" w:color="auto"/>
              <w:right w:val="single" w:sz="4" w:space="0" w:color="BCBCBD"/>
            </w:tcBorders>
            <w:vAlign w:val="center"/>
            <w:hideMark/>
          </w:tcPr>
          <w:p w14:paraId="3FF742E1"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T–5</w:t>
            </w:r>
          </w:p>
        </w:tc>
        <w:tc>
          <w:tcPr>
            <w:tcW w:w="337" w:type="pct"/>
            <w:tcBorders>
              <w:top w:val="single" w:sz="8" w:space="0" w:color="auto"/>
              <w:left w:val="single" w:sz="4" w:space="0" w:color="BCBCBD"/>
              <w:bottom w:val="single" w:sz="8" w:space="0" w:color="auto"/>
              <w:right w:val="single" w:sz="4" w:space="0" w:color="BCBCBD"/>
            </w:tcBorders>
            <w:vAlign w:val="center"/>
            <w:hideMark/>
          </w:tcPr>
          <w:p w14:paraId="0BCD7D7F"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T–6</w:t>
            </w:r>
          </w:p>
        </w:tc>
        <w:tc>
          <w:tcPr>
            <w:tcW w:w="340" w:type="pct"/>
            <w:tcBorders>
              <w:top w:val="single" w:sz="8" w:space="0" w:color="auto"/>
              <w:left w:val="single" w:sz="4" w:space="0" w:color="BCBCBD"/>
              <w:bottom w:val="single" w:sz="8" w:space="0" w:color="auto"/>
              <w:right w:val="single" w:sz="4" w:space="0" w:color="BCBCBD"/>
            </w:tcBorders>
            <w:vAlign w:val="center"/>
            <w:hideMark/>
          </w:tcPr>
          <w:p w14:paraId="655416C0"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T–7</w:t>
            </w:r>
          </w:p>
        </w:tc>
        <w:tc>
          <w:tcPr>
            <w:tcW w:w="339" w:type="pct"/>
            <w:tcBorders>
              <w:top w:val="single" w:sz="8" w:space="0" w:color="auto"/>
              <w:left w:val="single" w:sz="4" w:space="0" w:color="BCBCBD"/>
              <w:bottom w:val="single" w:sz="8" w:space="0" w:color="auto"/>
              <w:right w:val="single" w:sz="4" w:space="0" w:color="BCBCBD"/>
            </w:tcBorders>
            <w:vAlign w:val="center"/>
            <w:hideMark/>
          </w:tcPr>
          <w:p w14:paraId="65F9A4A1"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T–8</w:t>
            </w:r>
          </w:p>
        </w:tc>
        <w:tc>
          <w:tcPr>
            <w:tcW w:w="338" w:type="pct"/>
            <w:tcBorders>
              <w:top w:val="single" w:sz="8" w:space="0" w:color="auto"/>
              <w:left w:val="single" w:sz="4" w:space="0" w:color="BCBCBD"/>
              <w:bottom w:val="single" w:sz="8" w:space="0" w:color="auto"/>
              <w:right w:val="nil"/>
            </w:tcBorders>
            <w:vAlign w:val="center"/>
            <w:hideMark/>
          </w:tcPr>
          <w:p w14:paraId="352DAF5F"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T–9</w:t>
            </w:r>
          </w:p>
        </w:tc>
        <w:tc>
          <w:tcPr>
            <w:tcW w:w="351" w:type="pct"/>
            <w:tcBorders>
              <w:top w:val="single" w:sz="8" w:space="0" w:color="auto"/>
              <w:left w:val="single" w:sz="4" w:space="0" w:color="BCBCBD"/>
              <w:bottom w:val="single" w:sz="8" w:space="0" w:color="auto"/>
              <w:right w:val="single" w:sz="4" w:space="0" w:color="auto"/>
            </w:tcBorders>
            <w:hideMark/>
          </w:tcPr>
          <w:p w14:paraId="34ADA528" w14:textId="77777777" w:rsidR="00E9755B" w:rsidRPr="005A22C2" w:rsidRDefault="00E9755B"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hint="eastAsia"/>
                <w:kern w:val="2"/>
                <w:sz w:val="18"/>
                <w:szCs w:val="18"/>
                <w:lang w:eastAsia="zh-HK"/>
              </w:rPr>
              <w:t>平均</w:t>
            </w:r>
          </w:p>
        </w:tc>
      </w:tr>
      <w:tr w:rsidR="005A22C2" w:rsidRPr="005A22C2" w14:paraId="1E5C4F01" w14:textId="77777777" w:rsidTr="005B393E">
        <w:trPr>
          <w:trHeight w:val="230"/>
        </w:trPr>
        <w:tc>
          <w:tcPr>
            <w:tcW w:w="5000" w:type="pct"/>
            <w:gridSpan w:val="13"/>
            <w:tcBorders>
              <w:top w:val="single" w:sz="8" w:space="0" w:color="auto"/>
              <w:left w:val="nil"/>
              <w:bottom w:val="single" w:sz="8" w:space="0" w:color="auto"/>
              <w:right w:val="single" w:sz="4" w:space="0" w:color="auto"/>
            </w:tcBorders>
            <w:shd w:val="clear" w:color="auto" w:fill="BFBFBF"/>
            <w:noWrap/>
            <w:vAlign w:val="center"/>
            <w:hideMark/>
          </w:tcPr>
          <w:p w14:paraId="64F4CCA9"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b/>
                <w:kern w:val="2"/>
                <w:sz w:val="17"/>
                <w:szCs w:val="17"/>
                <w:lang w:eastAsia="ja-JP"/>
              </w:rPr>
            </w:pPr>
            <w:r w:rsidRPr="005A22C2">
              <w:rPr>
                <w:rFonts w:eastAsia="新細明體" w:cs="Segoe UI" w:hint="eastAsia"/>
                <w:b/>
                <w:kern w:val="2"/>
                <w:sz w:val="17"/>
                <w:szCs w:val="17"/>
                <w:lang w:eastAsia="zh-HK"/>
              </w:rPr>
              <w:t>使用</w:t>
            </w:r>
            <w:r w:rsidRPr="005A22C2">
              <w:rPr>
                <w:rFonts w:eastAsia="新細明體" w:cs="Segoe UI" w:hint="eastAsia"/>
                <w:b/>
                <w:kern w:val="2"/>
                <w:sz w:val="17"/>
                <w:szCs w:val="17"/>
                <w:lang w:eastAsia="zh-TW"/>
              </w:rPr>
              <w:t>20</w:t>
            </w:r>
            <w:r w:rsidRPr="005A22C2">
              <w:rPr>
                <w:rFonts w:eastAsia="新細明體" w:cs="Segoe UI" w:hint="eastAsia"/>
                <w:b/>
                <w:kern w:val="2"/>
                <w:sz w:val="17"/>
                <w:szCs w:val="17"/>
                <w:lang w:eastAsia="zh-HK"/>
              </w:rPr>
              <w:t>萬港元門檻</w:t>
            </w:r>
          </w:p>
        </w:tc>
      </w:tr>
      <w:tr w:rsidR="005A22C2" w:rsidRPr="005A22C2" w14:paraId="4A2B3B11" w14:textId="77777777" w:rsidTr="005B393E">
        <w:trPr>
          <w:trHeight w:val="230"/>
        </w:trPr>
        <w:tc>
          <w:tcPr>
            <w:tcW w:w="319" w:type="pct"/>
            <w:tcBorders>
              <w:top w:val="single" w:sz="8" w:space="0" w:color="auto"/>
              <w:left w:val="nil"/>
              <w:bottom w:val="single" w:sz="8" w:space="0" w:color="auto"/>
              <w:right w:val="single" w:sz="4" w:space="0" w:color="BCBCBD"/>
            </w:tcBorders>
            <w:noWrap/>
            <w:vAlign w:val="center"/>
            <w:hideMark/>
          </w:tcPr>
          <w:p w14:paraId="564FAA82" w14:textId="77777777" w:rsidR="00E9755B" w:rsidRPr="005A22C2" w:rsidRDefault="00E9755B" w:rsidP="009C54A9">
            <w:pPr>
              <w:tabs>
                <w:tab w:val="decimal" w:pos="474"/>
                <w:tab w:val="left" w:pos="794"/>
              </w:tabs>
              <w:adjustRightInd w:val="0"/>
              <w:snapToGrid w:val="0"/>
              <w:spacing w:after="40"/>
              <w:ind w:left="170"/>
              <w:rPr>
                <w:rFonts w:eastAsia="新細明體" w:cs="Segoe UI"/>
                <w:kern w:val="2"/>
                <w:sz w:val="17"/>
                <w:szCs w:val="17"/>
                <w:lang w:eastAsia="ja-JP"/>
              </w:rPr>
            </w:pPr>
            <w:r w:rsidRPr="005A22C2">
              <w:rPr>
                <w:rFonts w:eastAsia="新細明體" w:cs="Segoe UI"/>
                <w:kern w:val="2"/>
                <w:sz w:val="17"/>
                <w:szCs w:val="17"/>
                <w:lang w:eastAsia="ja-JP"/>
              </w:rPr>
              <w:t>1</w:t>
            </w:r>
          </w:p>
        </w:tc>
        <w:tc>
          <w:tcPr>
            <w:tcW w:w="1001" w:type="pct"/>
            <w:tcBorders>
              <w:top w:val="single" w:sz="8" w:space="0" w:color="auto"/>
              <w:left w:val="single" w:sz="4" w:space="0" w:color="BCBCBD"/>
              <w:bottom w:val="single" w:sz="8" w:space="0" w:color="auto"/>
              <w:right w:val="single" w:sz="4" w:space="0" w:color="BCBCBD"/>
            </w:tcBorders>
            <w:vAlign w:val="center"/>
            <w:hideMark/>
          </w:tcPr>
          <w:p w14:paraId="494D3290" w14:textId="1788E657" w:rsidR="00E9755B" w:rsidRPr="005A22C2" w:rsidRDefault="00E9755B" w:rsidP="000A15EA">
            <w:pPr>
              <w:keepNext/>
              <w:tabs>
                <w:tab w:val="decimal" w:pos="474"/>
                <w:tab w:val="left" w:pos="794"/>
              </w:tabs>
              <w:adjustRightInd w:val="0"/>
              <w:snapToGrid w:val="0"/>
              <w:contextualSpacing/>
              <w:jc w:val="both"/>
              <w:rPr>
                <w:rFonts w:eastAsia="新細明體" w:cs="Segoe UI"/>
                <w:kern w:val="2"/>
                <w:sz w:val="17"/>
                <w:szCs w:val="17"/>
                <w:lang w:eastAsia="zh-TW"/>
              </w:rPr>
            </w:pPr>
            <w:r w:rsidRPr="005A22C2">
              <w:rPr>
                <w:rFonts w:eastAsia="新細明體" w:cs="Segoe UI" w:hint="eastAsia"/>
                <w:kern w:val="2"/>
                <w:sz w:val="17"/>
                <w:szCs w:val="17"/>
                <w:lang w:eastAsia="zh-HK"/>
              </w:rPr>
              <w:t>已扣除收回</w:t>
            </w:r>
            <w:r w:rsidR="002E2181" w:rsidRPr="005A22C2">
              <w:rPr>
                <w:rFonts w:eastAsia="新細明體" w:cs="Segoe UI" w:hint="eastAsia"/>
                <w:kern w:val="2"/>
                <w:sz w:val="17"/>
                <w:szCs w:val="17"/>
                <w:lang w:eastAsia="zh-HK"/>
              </w:rPr>
              <w:t>數額</w:t>
            </w:r>
            <w:r w:rsidRPr="005A22C2">
              <w:rPr>
                <w:rFonts w:eastAsia="新細明體" w:cs="Segoe UI" w:hint="eastAsia"/>
                <w:kern w:val="2"/>
                <w:sz w:val="17"/>
                <w:szCs w:val="17"/>
                <w:lang w:eastAsia="zh-HK"/>
              </w:rPr>
              <w:t>的業務操作虧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總額</w:t>
            </w:r>
            <w:r w:rsidRPr="005A22C2">
              <w:rPr>
                <w:rFonts w:eastAsia="新細明體" w:cs="Segoe UI" w:hint="eastAsia"/>
                <w:sz w:val="17"/>
                <w:lang w:eastAsia="zh-HK"/>
              </w:rPr>
              <w:t>（</w:t>
            </w:r>
            <w:r w:rsidR="000A15EA" w:rsidRPr="005A22C2">
              <w:rPr>
                <w:rFonts w:eastAsia="新細明體" w:cs="Segoe UI" w:hint="eastAsia"/>
                <w:sz w:val="17"/>
                <w:lang w:eastAsia="zh-HK"/>
              </w:rPr>
              <w:t>未作</w:t>
            </w:r>
            <w:r w:rsidRPr="005A22C2">
              <w:rPr>
                <w:rFonts w:eastAsia="新細明體" w:cs="Segoe UI" w:hint="eastAsia"/>
                <w:kern w:val="2"/>
                <w:sz w:val="17"/>
                <w:szCs w:val="17"/>
                <w:lang w:eastAsia="zh-HK"/>
              </w:rPr>
              <w:t>豁除</w:t>
            </w:r>
            <w:r w:rsidRPr="005A22C2">
              <w:rPr>
                <w:rFonts w:ascii="新細明體" w:eastAsia="新細明體" w:hAnsi="新細明體" w:cs="Segoe UI" w:hint="eastAsia"/>
                <w:sz w:val="17"/>
                <w:szCs w:val="17"/>
                <w:lang w:eastAsia="zh-TW"/>
              </w:rPr>
              <w:t>）</w:t>
            </w:r>
          </w:p>
        </w:tc>
        <w:tc>
          <w:tcPr>
            <w:tcW w:w="284" w:type="pct"/>
            <w:tcBorders>
              <w:top w:val="single" w:sz="8" w:space="0" w:color="auto"/>
              <w:left w:val="single" w:sz="4" w:space="0" w:color="BCBCBD"/>
              <w:bottom w:val="single" w:sz="8" w:space="0" w:color="auto"/>
              <w:right w:val="single" w:sz="4" w:space="0" w:color="BCBCBD"/>
            </w:tcBorders>
          </w:tcPr>
          <w:p w14:paraId="3199A963"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20" w:type="pct"/>
            <w:tcBorders>
              <w:top w:val="single" w:sz="8" w:space="0" w:color="auto"/>
              <w:left w:val="single" w:sz="4" w:space="0" w:color="BCBCBD"/>
              <w:bottom w:val="single" w:sz="8" w:space="0" w:color="auto"/>
              <w:right w:val="single" w:sz="4" w:space="0" w:color="BCBCBD"/>
            </w:tcBorders>
          </w:tcPr>
          <w:p w14:paraId="6F040418"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55" w:type="pct"/>
            <w:tcBorders>
              <w:top w:val="single" w:sz="8" w:space="0" w:color="auto"/>
              <w:left w:val="single" w:sz="4" w:space="0" w:color="BCBCBD"/>
              <w:bottom w:val="single" w:sz="8" w:space="0" w:color="auto"/>
              <w:right w:val="single" w:sz="4" w:space="0" w:color="BCBCBD"/>
            </w:tcBorders>
          </w:tcPr>
          <w:p w14:paraId="081DF15A"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37" w:type="pct"/>
            <w:tcBorders>
              <w:top w:val="single" w:sz="8" w:space="0" w:color="auto"/>
              <w:left w:val="single" w:sz="4" w:space="0" w:color="BCBCBD"/>
              <w:bottom w:val="single" w:sz="8" w:space="0" w:color="auto"/>
              <w:right w:val="single" w:sz="4" w:space="0" w:color="BCBCBD"/>
            </w:tcBorders>
          </w:tcPr>
          <w:p w14:paraId="7FC0BB12"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44" w:type="pct"/>
            <w:tcBorders>
              <w:top w:val="single" w:sz="8" w:space="0" w:color="auto"/>
              <w:left w:val="single" w:sz="4" w:space="0" w:color="BCBCBD"/>
              <w:bottom w:val="single" w:sz="8" w:space="0" w:color="auto"/>
              <w:right w:val="single" w:sz="4" w:space="0" w:color="BCBCBD"/>
            </w:tcBorders>
          </w:tcPr>
          <w:p w14:paraId="1FD59648"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35" w:type="pct"/>
            <w:tcBorders>
              <w:top w:val="single" w:sz="8" w:space="0" w:color="auto"/>
              <w:left w:val="single" w:sz="4" w:space="0" w:color="BCBCBD"/>
              <w:bottom w:val="single" w:sz="8" w:space="0" w:color="auto"/>
              <w:right w:val="single" w:sz="4" w:space="0" w:color="BCBCBD"/>
            </w:tcBorders>
          </w:tcPr>
          <w:p w14:paraId="5FF2FBA1"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37" w:type="pct"/>
            <w:tcBorders>
              <w:top w:val="single" w:sz="8" w:space="0" w:color="auto"/>
              <w:left w:val="single" w:sz="4" w:space="0" w:color="BCBCBD"/>
              <w:bottom w:val="single" w:sz="8" w:space="0" w:color="auto"/>
              <w:right w:val="single" w:sz="4" w:space="0" w:color="BCBCBD"/>
            </w:tcBorders>
          </w:tcPr>
          <w:p w14:paraId="07AC4787"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40" w:type="pct"/>
            <w:tcBorders>
              <w:top w:val="single" w:sz="8" w:space="0" w:color="auto"/>
              <w:left w:val="single" w:sz="4" w:space="0" w:color="BCBCBD"/>
              <w:bottom w:val="single" w:sz="8" w:space="0" w:color="auto"/>
              <w:right w:val="single" w:sz="4" w:space="0" w:color="BCBCBD"/>
            </w:tcBorders>
          </w:tcPr>
          <w:p w14:paraId="7740B911"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39" w:type="pct"/>
            <w:tcBorders>
              <w:top w:val="single" w:sz="8" w:space="0" w:color="auto"/>
              <w:left w:val="single" w:sz="4" w:space="0" w:color="BCBCBD"/>
              <w:bottom w:val="single" w:sz="8" w:space="0" w:color="auto"/>
              <w:right w:val="single" w:sz="4" w:space="0" w:color="BCBCBD"/>
            </w:tcBorders>
          </w:tcPr>
          <w:p w14:paraId="0908B5C5"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38" w:type="pct"/>
            <w:tcBorders>
              <w:top w:val="single" w:sz="8" w:space="0" w:color="auto"/>
              <w:left w:val="single" w:sz="4" w:space="0" w:color="BCBCBD"/>
              <w:bottom w:val="single" w:sz="8" w:space="0" w:color="auto"/>
              <w:right w:val="nil"/>
            </w:tcBorders>
          </w:tcPr>
          <w:p w14:paraId="2E31EBF5"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c>
          <w:tcPr>
            <w:tcW w:w="351" w:type="pct"/>
            <w:tcBorders>
              <w:top w:val="single" w:sz="8" w:space="0" w:color="auto"/>
              <w:left w:val="single" w:sz="4" w:space="0" w:color="BCBCBD"/>
              <w:bottom w:val="single" w:sz="8" w:space="0" w:color="auto"/>
              <w:right w:val="single" w:sz="4" w:space="0" w:color="auto"/>
            </w:tcBorders>
          </w:tcPr>
          <w:p w14:paraId="4C35E1FB" w14:textId="77777777" w:rsidR="00E9755B" w:rsidRPr="005A22C2" w:rsidRDefault="00E9755B" w:rsidP="009C54A9">
            <w:pPr>
              <w:keepNext/>
              <w:tabs>
                <w:tab w:val="decimal" w:pos="474"/>
                <w:tab w:val="left" w:pos="794"/>
              </w:tabs>
              <w:adjustRightInd w:val="0"/>
              <w:snapToGrid w:val="0"/>
              <w:spacing w:after="40"/>
              <w:jc w:val="both"/>
              <w:rPr>
                <w:rFonts w:eastAsia="新細明體" w:cs="Segoe UI"/>
                <w:kern w:val="2"/>
                <w:sz w:val="18"/>
                <w:szCs w:val="18"/>
                <w:lang w:eastAsia="ja-JP"/>
              </w:rPr>
            </w:pPr>
          </w:p>
        </w:tc>
      </w:tr>
      <w:tr w:rsidR="005A22C2" w:rsidRPr="005A22C2" w14:paraId="577B57ED" w14:textId="77777777" w:rsidTr="005B393E">
        <w:trPr>
          <w:trHeight w:val="230"/>
        </w:trPr>
        <w:tc>
          <w:tcPr>
            <w:tcW w:w="319" w:type="pct"/>
            <w:tcBorders>
              <w:top w:val="single" w:sz="8" w:space="0" w:color="auto"/>
              <w:left w:val="nil"/>
              <w:bottom w:val="single" w:sz="8" w:space="0" w:color="auto"/>
              <w:right w:val="single" w:sz="4" w:space="0" w:color="BCBCBD"/>
            </w:tcBorders>
            <w:noWrap/>
            <w:vAlign w:val="center"/>
          </w:tcPr>
          <w:p w14:paraId="7785CFB1"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2</w:t>
            </w:r>
          </w:p>
        </w:tc>
        <w:tc>
          <w:tcPr>
            <w:tcW w:w="1001" w:type="pct"/>
            <w:tcBorders>
              <w:top w:val="single" w:sz="8" w:space="0" w:color="auto"/>
              <w:left w:val="single" w:sz="4" w:space="0" w:color="BCBCBD"/>
              <w:bottom w:val="single" w:sz="8" w:space="0" w:color="auto"/>
              <w:right w:val="single" w:sz="4" w:space="0" w:color="BCBCBD"/>
            </w:tcBorders>
            <w:vAlign w:val="center"/>
          </w:tcPr>
          <w:p w14:paraId="637DB54E"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7"/>
                <w:szCs w:val="17"/>
                <w:lang w:eastAsia="zh-TW"/>
              </w:rPr>
            </w:pPr>
            <w:r w:rsidRPr="005A22C2">
              <w:rPr>
                <w:rFonts w:eastAsia="新細明體" w:cs="Segoe UI"/>
                <w:kern w:val="2"/>
                <w:sz w:val="17"/>
                <w:szCs w:val="17"/>
                <w:lang w:eastAsia="zh-TW"/>
              </w:rPr>
              <w:t>業務操作風險</w:t>
            </w: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總次數</w:t>
            </w:r>
            <w:r w:rsidRPr="005A22C2">
              <w:rPr>
                <w:rFonts w:eastAsia="新細明體" w:cs="Segoe UI" w:hint="eastAsia"/>
                <w:kern w:val="2"/>
                <w:sz w:val="17"/>
                <w:szCs w:val="17"/>
                <w:lang w:eastAsia="zh-HK"/>
              </w:rPr>
              <w:t xml:space="preserve"> </w:t>
            </w:r>
          </w:p>
        </w:tc>
        <w:tc>
          <w:tcPr>
            <w:tcW w:w="284" w:type="pct"/>
            <w:tcBorders>
              <w:top w:val="single" w:sz="8" w:space="0" w:color="auto"/>
              <w:left w:val="single" w:sz="4" w:space="0" w:color="BCBCBD"/>
              <w:bottom w:val="single" w:sz="8" w:space="0" w:color="auto"/>
              <w:right w:val="single" w:sz="4" w:space="0" w:color="BCBCBD"/>
            </w:tcBorders>
          </w:tcPr>
          <w:p w14:paraId="68A162DA"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8" w:space="0" w:color="auto"/>
              <w:left w:val="single" w:sz="4" w:space="0" w:color="BCBCBD"/>
              <w:bottom w:val="single" w:sz="8" w:space="0" w:color="auto"/>
              <w:right w:val="single" w:sz="4" w:space="0" w:color="BCBCBD"/>
            </w:tcBorders>
          </w:tcPr>
          <w:p w14:paraId="125A2628"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5" w:type="pct"/>
            <w:tcBorders>
              <w:top w:val="single" w:sz="8" w:space="0" w:color="auto"/>
              <w:left w:val="single" w:sz="4" w:space="0" w:color="BCBCBD"/>
              <w:bottom w:val="single" w:sz="8" w:space="0" w:color="auto"/>
              <w:right w:val="single" w:sz="4" w:space="0" w:color="BCBCBD"/>
            </w:tcBorders>
          </w:tcPr>
          <w:p w14:paraId="277681A8"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single" w:sz="8" w:space="0" w:color="auto"/>
              <w:right w:val="single" w:sz="4" w:space="0" w:color="BCBCBD"/>
            </w:tcBorders>
          </w:tcPr>
          <w:p w14:paraId="0858DB8F"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4" w:type="pct"/>
            <w:tcBorders>
              <w:top w:val="single" w:sz="8" w:space="0" w:color="auto"/>
              <w:left w:val="single" w:sz="4" w:space="0" w:color="BCBCBD"/>
              <w:bottom w:val="single" w:sz="8" w:space="0" w:color="auto"/>
              <w:right w:val="single" w:sz="4" w:space="0" w:color="BCBCBD"/>
            </w:tcBorders>
          </w:tcPr>
          <w:p w14:paraId="53EBA20A"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5" w:type="pct"/>
            <w:tcBorders>
              <w:top w:val="single" w:sz="8" w:space="0" w:color="auto"/>
              <w:left w:val="single" w:sz="4" w:space="0" w:color="BCBCBD"/>
              <w:bottom w:val="single" w:sz="8" w:space="0" w:color="auto"/>
              <w:right w:val="single" w:sz="4" w:space="0" w:color="BCBCBD"/>
            </w:tcBorders>
          </w:tcPr>
          <w:p w14:paraId="11B4301A"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single" w:sz="8" w:space="0" w:color="auto"/>
              <w:right w:val="single" w:sz="4" w:space="0" w:color="BCBCBD"/>
            </w:tcBorders>
          </w:tcPr>
          <w:p w14:paraId="48A62073"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0" w:type="pct"/>
            <w:tcBorders>
              <w:top w:val="single" w:sz="8" w:space="0" w:color="auto"/>
              <w:left w:val="single" w:sz="4" w:space="0" w:color="BCBCBD"/>
              <w:bottom w:val="single" w:sz="8" w:space="0" w:color="auto"/>
              <w:right w:val="single" w:sz="4" w:space="0" w:color="BCBCBD"/>
            </w:tcBorders>
          </w:tcPr>
          <w:p w14:paraId="2837AECD"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9" w:type="pct"/>
            <w:tcBorders>
              <w:top w:val="single" w:sz="8" w:space="0" w:color="auto"/>
              <w:left w:val="single" w:sz="4" w:space="0" w:color="BCBCBD"/>
              <w:bottom w:val="single" w:sz="8" w:space="0" w:color="auto"/>
              <w:right w:val="single" w:sz="4" w:space="0" w:color="BCBCBD"/>
            </w:tcBorders>
          </w:tcPr>
          <w:p w14:paraId="7B39ABD6"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8" w:type="pct"/>
            <w:tcBorders>
              <w:top w:val="single" w:sz="8" w:space="0" w:color="auto"/>
              <w:left w:val="single" w:sz="4" w:space="0" w:color="BCBCBD"/>
              <w:bottom w:val="single" w:sz="8" w:space="0" w:color="auto"/>
              <w:right w:val="nil"/>
            </w:tcBorders>
          </w:tcPr>
          <w:p w14:paraId="6E8227E0"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1" w:type="pct"/>
            <w:tcBorders>
              <w:top w:val="single" w:sz="8" w:space="0" w:color="auto"/>
              <w:left w:val="single" w:sz="4" w:space="0" w:color="BCBCBD"/>
              <w:bottom w:val="single" w:sz="8" w:space="0" w:color="auto"/>
              <w:right w:val="single" w:sz="4" w:space="0" w:color="auto"/>
            </w:tcBorders>
          </w:tcPr>
          <w:p w14:paraId="1240B563"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54783E3B" w14:textId="77777777" w:rsidTr="005B393E">
        <w:trPr>
          <w:trHeight w:val="230"/>
        </w:trPr>
        <w:tc>
          <w:tcPr>
            <w:tcW w:w="319" w:type="pct"/>
            <w:tcBorders>
              <w:top w:val="single" w:sz="8" w:space="0" w:color="auto"/>
              <w:left w:val="nil"/>
              <w:bottom w:val="single" w:sz="8" w:space="0" w:color="auto"/>
              <w:right w:val="single" w:sz="4" w:space="0" w:color="BCBCBD"/>
            </w:tcBorders>
            <w:noWrap/>
            <w:vAlign w:val="center"/>
            <w:hideMark/>
          </w:tcPr>
          <w:p w14:paraId="31E90B72"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3</w:t>
            </w:r>
          </w:p>
        </w:tc>
        <w:tc>
          <w:tcPr>
            <w:tcW w:w="1001" w:type="pct"/>
            <w:tcBorders>
              <w:top w:val="single" w:sz="8" w:space="0" w:color="auto"/>
              <w:left w:val="single" w:sz="4" w:space="0" w:color="BCBCBD"/>
              <w:bottom w:val="single" w:sz="8" w:space="0" w:color="auto"/>
              <w:right w:val="single" w:sz="4" w:space="0" w:color="BCBCBD"/>
            </w:tcBorders>
            <w:vAlign w:val="center"/>
            <w:hideMark/>
          </w:tcPr>
          <w:p w14:paraId="5468E0EA" w14:textId="2DF92FC1" w:rsidR="00E9755B" w:rsidRPr="005A22C2" w:rsidRDefault="00E9755B" w:rsidP="009C54A9">
            <w:pPr>
              <w:keepNext/>
              <w:tabs>
                <w:tab w:val="decimal" w:pos="474"/>
                <w:tab w:val="left" w:pos="794"/>
              </w:tabs>
              <w:adjustRightInd w:val="0"/>
              <w:snapToGrid w:val="0"/>
              <w:spacing w:before="40" w:after="40"/>
              <w:jc w:val="both"/>
              <w:rPr>
                <w:rFonts w:eastAsia="新細明體" w:cs="Segoe UI"/>
                <w:sz w:val="17"/>
                <w:szCs w:val="17"/>
                <w:lang w:eastAsia="zh-TW"/>
              </w:rPr>
            </w:pPr>
            <w:r w:rsidRPr="005A22C2">
              <w:rPr>
                <w:rFonts w:eastAsia="新細明體" w:cs="Segoe UI" w:hint="eastAsia"/>
                <w:kern w:val="2"/>
                <w:sz w:val="17"/>
                <w:szCs w:val="17"/>
                <w:lang w:eastAsia="zh-HK"/>
              </w:rPr>
              <w:t>已豁除</w:t>
            </w:r>
            <w:r w:rsidR="00607CFC" w:rsidRPr="005A22C2">
              <w:rPr>
                <w:rFonts w:eastAsia="新細明體" w:cs="Segoe UI" w:hint="eastAsia"/>
                <w:kern w:val="2"/>
                <w:sz w:val="17"/>
                <w:szCs w:val="17"/>
                <w:lang w:eastAsia="zh-HK"/>
              </w:rPr>
              <w:t>的</w:t>
            </w:r>
            <w:r w:rsidRPr="005A22C2">
              <w:rPr>
                <w:rFonts w:eastAsia="新細明體" w:cs="Segoe UI"/>
                <w:kern w:val="2"/>
                <w:sz w:val="17"/>
                <w:szCs w:val="17"/>
                <w:lang w:eastAsia="zh-TW"/>
              </w:rPr>
              <w:t>業務操作風險</w:t>
            </w: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總額</w:t>
            </w:r>
            <w:r w:rsidRPr="005A22C2">
              <w:rPr>
                <w:rFonts w:eastAsia="新細明體" w:cs="Segoe UI"/>
                <w:kern w:val="2"/>
                <w:sz w:val="17"/>
                <w:szCs w:val="17"/>
                <w:lang w:eastAsia="zh-TW"/>
              </w:rPr>
              <w:t xml:space="preserve"> </w:t>
            </w:r>
          </w:p>
        </w:tc>
        <w:tc>
          <w:tcPr>
            <w:tcW w:w="284" w:type="pct"/>
            <w:tcBorders>
              <w:top w:val="single" w:sz="8" w:space="0" w:color="auto"/>
              <w:left w:val="single" w:sz="4" w:space="0" w:color="BCBCBD"/>
              <w:bottom w:val="single" w:sz="8" w:space="0" w:color="auto"/>
              <w:right w:val="single" w:sz="4" w:space="0" w:color="BCBCBD"/>
            </w:tcBorders>
          </w:tcPr>
          <w:p w14:paraId="56895C4E"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8" w:space="0" w:color="auto"/>
              <w:left w:val="single" w:sz="4" w:space="0" w:color="BCBCBD"/>
              <w:bottom w:val="single" w:sz="8" w:space="0" w:color="auto"/>
              <w:right w:val="single" w:sz="4" w:space="0" w:color="BCBCBD"/>
            </w:tcBorders>
          </w:tcPr>
          <w:p w14:paraId="6EA6FA5E"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5" w:type="pct"/>
            <w:tcBorders>
              <w:top w:val="single" w:sz="8" w:space="0" w:color="auto"/>
              <w:left w:val="single" w:sz="4" w:space="0" w:color="BCBCBD"/>
              <w:bottom w:val="single" w:sz="8" w:space="0" w:color="auto"/>
              <w:right w:val="single" w:sz="4" w:space="0" w:color="BCBCBD"/>
            </w:tcBorders>
          </w:tcPr>
          <w:p w14:paraId="16DFE6C8"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single" w:sz="8" w:space="0" w:color="auto"/>
              <w:right w:val="single" w:sz="4" w:space="0" w:color="BCBCBD"/>
            </w:tcBorders>
          </w:tcPr>
          <w:p w14:paraId="26A5393C"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4" w:type="pct"/>
            <w:tcBorders>
              <w:top w:val="single" w:sz="8" w:space="0" w:color="auto"/>
              <w:left w:val="single" w:sz="4" w:space="0" w:color="BCBCBD"/>
              <w:bottom w:val="single" w:sz="8" w:space="0" w:color="auto"/>
              <w:right w:val="single" w:sz="4" w:space="0" w:color="BCBCBD"/>
            </w:tcBorders>
          </w:tcPr>
          <w:p w14:paraId="2B917D94"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5" w:type="pct"/>
            <w:tcBorders>
              <w:top w:val="single" w:sz="8" w:space="0" w:color="auto"/>
              <w:left w:val="single" w:sz="4" w:space="0" w:color="BCBCBD"/>
              <w:bottom w:val="single" w:sz="8" w:space="0" w:color="auto"/>
              <w:right w:val="single" w:sz="4" w:space="0" w:color="BCBCBD"/>
            </w:tcBorders>
          </w:tcPr>
          <w:p w14:paraId="078B54E3"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single" w:sz="8" w:space="0" w:color="auto"/>
              <w:right w:val="single" w:sz="4" w:space="0" w:color="BCBCBD"/>
            </w:tcBorders>
          </w:tcPr>
          <w:p w14:paraId="07442BD6"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0" w:type="pct"/>
            <w:tcBorders>
              <w:top w:val="single" w:sz="8" w:space="0" w:color="auto"/>
              <w:left w:val="single" w:sz="4" w:space="0" w:color="BCBCBD"/>
              <w:bottom w:val="single" w:sz="8" w:space="0" w:color="auto"/>
              <w:right w:val="single" w:sz="4" w:space="0" w:color="BCBCBD"/>
            </w:tcBorders>
          </w:tcPr>
          <w:p w14:paraId="5D525A07"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9" w:type="pct"/>
            <w:tcBorders>
              <w:top w:val="single" w:sz="8" w:space="0" w:color="auto"/>
              <w:left w:val="single" w:sz="4" w:space="0" w:color="BCBCBD"/>
              <w:bottom w:val="single" w:sz="8" w:space="0" w:color="auto"/>
              <w:right w:val="single" w:sz="4" w:space="0" w:color="BCBCBD"/>
            </w:tcBorders>
          </w:tcPr>
          <w:p w14:paraId="3B549B9B"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8" w:type="pct"/>
            <w:tcBorders>
              <w:top w:val="single" w:sz="8" w:space="0" w:color="auto"/>
              <w:left w:val="single" w:sz="4" w:space="0" w:color="BCBCBD"/>
              <w:bottom w:val="single" w:sz="8" w:space="0" w:color="auto"/>
              <w:right w:val="nil"/>
            </w:tcBorders>
          </w:tcPr>
          <w:p w14:paraId="37E253B7"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1" w:type="pct"/>
            <w:tcBorders>
              <w:top w:val="single" w:sz="8" w:space="0" w:color="auto"/>
              <w:left w:val="single" w:sz="4" w:space="0" w:color="BCBCBD"/>
              <w:bottom w:val="single" w:sz="8" w:space="0" w:color="auto"/>
              <w:right w:val="single" w:sz="4" w:space="0" w:color="auto"/>
            </w:tcBorders>
          </w:tcPr>
          <w:p w14:paraId="00B2551F"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14FFBA50" w14:textId="77777777" w:rsidTr="005B393E">
        <w:trPr>
          <w:trHeight w:val="230"/>
        </w:trPr>
        <w:tc>
          <w:tcPr>
            <w:tcW w:w="319" w:type="pct"/>
            <w:tcBorders>
              <w:top w:val="single" w:sz="8" w:space="0" w:color="auto"/>
              <w:left w:val="nil"/>
              <w:bottom w:val="nil"/>
              <w:right w:val="single" w:sz="4" w:space="0" w:color="BCBCBD"/>
            </w:tcBorders>
            <w:noWrap/>
            <w:vAlign w:val="center"/>
          </w:tcPr>
          <w:p w14:paraId="23F85193"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4</w:t>
            </w:r>
          </w:p>
        </w:tc>
        <w:tc>
          <w:tcPr>
            <w:tcW w:w="1001" w:type="pct"/>
            <w:tcBorders>
              <w:top w:val="single" w:sz="8" w:space="0" w:color="auto"/>
              <w:left w:val="single" w:sz="4" w:space="0" w:color="BCBCBD"/>
              <w:bottom w:val="nil"/>
              <w:right w:val="single" w:sz="4" w:space="0" w:color="BCBCBD"/>
            </w:tcBorders>
            <w:vAlign w:val="center"/>
          </w:tcPr>
          <w:p w14:paraId="085E482D"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7"/>
                <w:szCs w:val="17"/>
              </w:rPr>
            </w:pPr>
            <w:r w:rsidRPr="005A22C2">
              <w:rPr>
                <w:rFonts w:eastAsia="新細明體" w:cs="Segoe UI" w:hint="eastAsia"/>
                <w:kern w:val="2"/>
                <w:sz w:val="17"/>
                <w:szCs w:val="17"/>
                <w:lang w:eastAsia="zh-HK"/>
              </w:rPr>
              <w:t>豁除總次數</w:t>
            </w:r>
          </w:p>
        </w:tc>
        <w:tc>
          <w:tcPr>
            <w:tcW w:w="284" w:type="pct"/>
            <w:tcBorders>
              <w:top w:val="single" w:sz="8" w:space="0" w:color="auto"/>
              <w:left w:val="single" w:sz="4" w:space="0" w:color="BCBCBD"/>
              <w:bottom w:val="nil"/>
              <w:right w:val="single" w:sz="4" w:space="0" w:color="BCBCBD"/>
            </w:tcBorders>
          </w:tcPr>
          <w:p w14:paraId="24039CAC"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8" w:space="0" w:color="auto"/>
              <w:left w:val="single" w:sz="4" w:space="0" w:color="BCBCBD"/>
              <w:bottom w:val="nil"/>
              <w:right w:val="single" w:sz="4" w:space="0" w:color="BCBCBD"/>
            </w:tcBorders>
          </w:tcPr>
          <w:p w14:paraId="399E4069"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5" w:type="pct"/>
            <w:tcBorders>
              <w:top w:val="single" w:sz="8" w:space="0" w:color="auto"/>
              <w:left w:val="single" w:sz="4" w:space="0" w:color="BCBCBD"/>
              <w:bottom w:val="nil"/>
              <w:right w:val="single" w:sz="4" w:space="0" w:color="BCBCBD"/>
            </w:tcBorders>
          </w:tcPr>
          <w:p w14:paraId="0719D264"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nil"/>
              <w:right w:val="single" w:sz="4" w:space="0" w:color="BCBCBD"/>
            </w:tcBorders>
          </w:tcPr>
          <w:p w14:paraId="04A8FC6E"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4" w:type="pct"/>
            <w:tcBorders>
              <w:top w:val="single" w:sz="8" w:space="0" w:color="auto"/>
              <w:left w:val="single" w:sz="4" w:space="0" w:color="BCBCBD"/>
              <w:bottom w:val="nil"/>
              <w:right w:val="single" w:sz="4" w:space="0" w:color="BCBCBD"/>
            </w:tcBorders>
          </w:tcPr>
          <w:p w14:paraId="61E8C0FB"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5" w:type="pct"/>
            <w:tcBorders>
              <w:top w:val="single" w:sz="8" w:space="0" w:color="auto"/>
              <w:left w:val="single" w:sz="4" w:space="0" w:color="BCBCBD"/>
              <w:bottom w:val="nil"/>
              <w:right w:val="single" w:sz="4" w:space="0" w:color="BCBCBD"/>
            </w:tcBorders>
          </w:tcPr>
          <w:p w14:paraId="39403FCA"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nil"/>
              <w:right w:val="single" w:sz="4" w:space="0" w:color="BCBCBD"/>
            </w:tcBorders>
          </w:tcPr>
          <w:p w14:paraId="70DC03B8"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0" w:type="pct"/>
            <w:tcBorders>
              <w:top w:val="single" w:sz="8" w:space="0" w:color="auto"/>
              <w:left w:val="single" w:sz="4" w:space="0" w:color="BCBCBD"/>
              <w:bottom w:val="nil"/>
              <w:right w:val="single" w:sz="4" w:space="0" w:color="BCBCBD"/>
            </w:tcBorders>
          </w:tcPr>
          <w:p w14:paraId="438793CB"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9" w:type="pct"/>
            <w:tcBorders>
              <w:top w:val="single" w:sz="8" w:space="0" w:color="auto"/>
              <w:left w:val="single" w:sz="4" w:space="0" w:color="BCBCBD"/>
              <w:bottom w:val="nil"/>
              <w:right w:val="single" w:sz="4" w:space="0" w:color="BCBCBD"/>
            </w:tcBorders>
          </w:tcPr>
          <w:p w14:paraId="433DA697"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8" w:type="pct"/>
            <w:tcBorders>
              <w:top w:val="single" w:sz="8" w:space="0" w:color="auto"/>
              <w:left w:val="single" w:sz="4" w:space="0" w:color="BCBCBD"/>
              <w:bottom w:val="nil"/>
              <w:right w:val="nil"/>
            </w:tcBorders>
          </w:tcPr>
          <w:p w14:paraId="2F2CD283"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1" w:type="pct"/>
            <w:tcBorders>
              <w:top w:val="single" w:sz="8" w:space="0" w:color="auto"/>
              <w:left w:val="single" w:sz="4" w:space="0" w:color="BCBCBD"/>
              <w:bottom w:val="nil"/>
              <w:right w:val="single" w:sz="4" w:space="0" w:color="auto"/>
            </w:tcBorders>
          </w:tcPr>
          <w:p w14:paraId="6594B564"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48B8B047" w14:textId="77777777" w:rsidTr="005B393E">
        <w:trPr>
          <w:trHeight w:val="230"/>
        </w:trPr>
        <w:tc>
          <w:tcPr>
            <w:tcW w:w="319" w:type="pct"/>
            <w:tcBorders>
              <w:top w:val="single" w:sz="8" w:space="0" w:color="auto"/>
              <w:left w:val="nil"/>
              <w:bottom w:val="nil"/>
              <w:right w:val="single" w:sz="4" w:space="0" w:color="BCBCBD"/>
            </w:tcBorders>
            <w:noWrap/>
            <w:vAlign w:val="center"/>
            <w:hideMark/>
          </w:tcPr>
          <w:p w14:paraId="319B41A4"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5</w:t>
            </w:r>
          </w:p>
        </w:tc>
        <w:tc>
          <w:tcPr>
            <w:tcW w:w="1001" w:type="pct"/>
            <w:tcBorders>
              <w:top w:val="single" w:sz="8" w:space="0" w:color="auto"/>
              <w:left w:val="single" w:sz="4" w:space="0" w:color="BCBCBD"/>
              <w:bottom w:val="nil"/>
              <w:right w:val="single" w:sz="4" w:space="0" w:color="BCBCBD"/>
            </w:tcBorders>
            <w:vAlign w:val="center"/>
            <w:hideMark/>
          </w:tcPr>
          <w:p w14:paraId="2C31FB5C" w14:textId="29388D79"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7"/>
                <w:szCs w:val="17"/>
                <w:lang w:eastAsia="zh-TW"/>
              </w:rPr>
            </w:pPr>
            <w:r w:rsidRPr="005A22C2">
              <w:rPr>
                <w:rFonts w:eastAsia="新細明體" w:cs="Segoe UI" w:hint="eastAsia"/>
                <w:kern w:val="2"/>
                <w:sz w:val="17"/>
                <w:szCs w:val="17"/>
                <w:lang w:eastAsia="zh-HK"/>
              </w:rPr>
              <w:t>已扣除收回</w:t>
            </w:r>
            <w:r w:rsidR="002E2181" w:rsidRPr="005A22C2">
              <w:rPr>
                <w:rFonts w:eastAsia="新細明體" w:cs="Segoe UI" w:hint="eastAsia"/>
                <w:kern w:val="2"/>
                <w:sz w:val="17"/>
                <w:szCs w:val="17"/>
                <w:lang w:eastAsia="zh-HK"/>
              </w:rPr>
              <w:t>數額</w:t>
            </w:r>
            <w:r w:rsidRPr="005A22C2">
              <w:rPr>
                <w:rFonts w:eastAsia="新細明體" w:cs="Segoe UI" w:hint="eastAsia"/>
                <w:kern w:val="2"/>
                <w:sz w:val="17"/>
                <w:szCs w:val="17"/>
                <w:lang w:eastAsia="zh-HK"/>
              </w:rPr>
              <w:t>及已豁除</w:t>
            </w:r>
            <w:r w:rsidR="00607CFC" w:rsidRPr="005A22C2">
              <w:rPr>
                <w:rFonts w:eastAsia="新細明體" w:cs="Segoe UI" w:hint="eastAsia"/>
                <w:kern w:val="2"/>
                <w:sz w:val="17"/>
                <w:szCs w:val="17"/>
                <w:lang w:eastAsia="zh-HK"/>
              </w:rPr>
              <w:t>的</w:t>
            </w: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的業務操作虧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總額</w:t>
            </w:r>
          </w:p>
        </w:tc>
        <w:tc>
          <w:tcPr>
            <w:tcW w:w="284" w:type="pct"/>
            <w:tcBorders>
              <w:top w:val="single" w:sz="8" w:space="0" w:color="auto"/>
              <w:left w:val="single" w:sz="4" w:space="0" w:color="BCBCBD"/>
              <w:bottom w:val="nil"/>
              <w:right w:val="single" w:sz="4" w:space="0" w:color="BCBCBD"/>
            </w:tcBorders>
          </w:tcPr>
          <w:p w14:paraId="1484B68A"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8" w:space="0" w:color="auto"/>
              <w:left w:val="single" w:sz="4" w:space="0" w:color="BCBCBD"/>
              <w:bottom w:val="nil"/>
              <w:right w:val="single" w:sz="4" w:space="0" w:color="BCBCBD"/>
            </w:tcBorders>
          </w:tcPr>
          <w:p w14:paraId="425B95DD"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5" w:type="pct"/>
            <w:tcBorders>
              <w:top w:val="single" w:sz="8" w:space="0" w:color="auto"/>
              <w:left w:val="single" w:sz="4" w:space="0" w:color="BCBCBD"/>
              <w:bottom w:val="nil"/>
              <w:right w:val="single" w:sz="4" w:space="0" w:color="BCBCBD"/>
            </w:tcBorders>
          </w:tcPr>
          <w:p w14:paraId="4E910EEF"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nil"/>
              <w:right w:val="single" w:sz="4" w:space="0" w:color="BCBCBD"/>
            </w:tcBorders>
          </w:tcPr>
          <w:p w14:paraId="2DF6C3E3"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4" w:type="pct"/>
            <w:tcBorders>
              <w:top w:val="single" w:sz="8" w:space="0" w:color="auto"/>
              <w:left w:val="single" w:sz="4" w:space="0" w:color="BCBCBD"/>
              <w:bottom w:val="nil"/>
              <w:right w:val="single" w:sz="4" w:space="0" w:color="BCBCBD"/>
            </w:tcBorders>
          </w:tcPr>
          <w:p w14:paraId="6EC5A5DE"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5" w:type="pct"/>
            <w:tcBorders>
              <w:top w:val="single" w:sz="8" w:space="0" w:color="auto"/>
              <w:left w:val="single" w:sz="4" w:space="0" w:color="BCBCBD"/>
              <w:bottom w:val="nil"/>
              <w:right w:val="single" w:sz="4" w:space="0" w:color="BCBCBD"/>
            </w:tcBorders>
          </w:tcPr>
          <w:p w14:paraId="2F791DA6"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7" w:type="pct"/>
            <w:tcBorders>
              <w:top w:val="single" w:sz="8" w:space="0" w:color="auto"/>
              <w:left w:val="single" w:sz="4" w:space="0" w:color="BCBCBD"/>
              <w:bottom w:val="nil"/>
              <w:right w:val="single" w:sz="4" w:space="0" w:color="BCBCBD"/>
            </w:tcBorders>
          </w:tcPr>
          <w:p w14:paraId="547347A3"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40" w:type="pct"/>
            <w:tcBorders>
              <w:top w:val="single" w:sz="8" w:space="0" w:color="auto"/>
              <w:left w:val="single" w:sz="4" w:space="0" w:color="BCBCBD"/>
              <w:bottom w:val="nil"/>
              <w:right w:val="single" w:sz="4" w:space="0" w:color="BCBCBD"/>
            </w:tcBorders>
          </w:tcPr>
          <w:p w14:paraId="65902C5A"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9" w:type="pct"/>
            <w:tcBorders>
              <w:top w:val="single" w:sz="8" w:space="0" w:color="auto"/>
              <w:left w:val="single" w:sz="4" w:space="0" w:color="BCBCBD"/>
              <w:bottom w:val="nil"/>
              <w:right w:val="single" w:sz="4" w:space="0" w:color="BCBCBD"/>
            </w:tcBorders>
          </w:tcPr>
          <w:p w14:paraId="6702675D"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38" w:type="pct"/>
            <w:tcBorders>
              <w:top w:val="single" w:sz="8" w:space="0" w:color="auto"/>
              <w:left w:val="single" w:sz="4" w:space="0" w:color="BCBCBD"/>
              <w:bottom w:val="nil"/>
              <w:right w:val="nil"/>
            </w:tcBorders>
          </w:tcPr>
          <w:p w14:paraId="62443F7D"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p w14:paraId="6F447D0B"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51" w:type="pct"/>
            <w:tcBorders>
              <w:top w:val="single" w:sz="8" w:space="0" w:color="auto"/>
              <w:left w:val="single" w:sz="4" w:space="0" w:color="BCBCBD"/>
              <w:bottom w:val="nil"/>
              <w:right w:val="single" w:sz="4" w:space="0" w:color="auto"/>
            </w:tcBorders>
          </w:tcPr>
          <w:p w14:paraId="317DF8A5"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305EE659" w14:textId="77777777" w:rsidTr="005B393E">
        <w:trPr>
          <w:trHeight w:val="230"/>
        </w:trPr>
        <w:tc>
          <w:tcPr>
            <w:tcW w:w="5000" w:type="pct"/>
            <w:gridSpan w:val="13"/>
            <w:tcBorders>
              <w:top w:val="single" w:sz="8" w:space="0" w:color="auto"/>
              <w:left w:val="nil"/>
              <w:bottom w:val="nil"/>
              <w:right w:val="single" w:sz="4" w:space="0" w:color="auto"/>
            </w:tcBorders>
            <w:shd w:val="clear" w:color="auto" w:fill="BFBFBF"/>
            <w:noWrap/>
            <w:vAlign w:val="center"/>
            <w:hideMark/>
          </w:tcPr>
          <w:p w14:paraId="704F6191" w14:textId="77777777" w:rsidR="00E9755B" w:rsidRPr="005A22C2" w:rsidRDefault="00E9755B" w:rsidP="009C54A9">
            <w:pPr>
              <w:adjustRightInd w:val="0"/>
              <w:snapToGrid w:val="0"/>
              <w:spacing w:before="120" w:after="120"/>
              <w:rPr>
                <w:rFonts w:eastAsia="新細明體" w:cs="Segoe UI"/>
                <w:sz w:val="17"/>
                <w:szCs w:val="17"/>
              </w:rPr>
            </w:pPr>
            <w:r w:rsidRPr="005A22C2">
              <w:rPr>
                <w:rFonts w:eastAsia="新細明體" w:cs="Segoe UI" w:hint="eastAsia"/>
                <w:b/>
                <w:kern w:val="2"/>
                <w:sz w:val="17"/>
                <w:szCs w:val="17"/>
                <w:lang w:eastAsia="zh-HK"/>
              </w:rPr>
              <w:t>使用</w:t>
            </w:r>
            <w:r w:rsidRPr="005A22C2">
              <w:rPr>
                <w:rFonts w:eastAsia="新細明體" w:cs="Segoe UI" w:hint="eastAsia"/>
                <w:b/>
                <w:kern w:val="2"/>
                <w:sz w:val="17"/>
                <w:szCs w:val="17"/>
                <w:lang w:eastAsia="zh-TW"/>
              </w:rPr>
              <w:t>100</w:t>
            </w:r>
            <w:r w:rsidRPr="005A22C2">
              <w:rPr>
                <w:rFonts w:eastAsia="新細明體" w:cs="Segoe UI" w:hint="eastAsia"/>
                <w:b/>
                <w:kern w:val="2"/>
                <w:sz w:val="17"/>
                <w:szCs w:val="17"/>
                <w:lang w:eastAsia="zh-HK"/>
              </w:rPr>
              <w:t>萬港元門檻</w:t>
            </w:r>
          </w:p>
        </w:tc>
      </w:tr>
      <w:tr w:rsidR="0052324D" w:rsidRPr="005A22C2" w14:paraId="1D882D28" w14:textId="77777777" w:rsidTr="005B393E">
        <w:trPr>
          <w:trHeight w:val="230"/>
        </w:trPr>
        <w:tc>
          <w:tcPr>
            <w:tcW w:w="319" w:type="pct"/>
            <w:tcBorders>
              <w:top w:val="single" w:sz="8" w:space="0" w:color="auto"/>
              <w:left w:val="nil"/>
              <w:bottom w:val="single" w:sz="8" w:space="0" w:color="auto"/>
              <w:right w:val="single" w:sz="4" w:space="0" w:color="BCBCBD"/>
            </w:tcBorders>
            <w:noWrap/>
            <w:vAlign w:val="center"/>
            <w:hideMark/>
          </w:tcPr>
          <w:p w14:paraId="43B7A2BF"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6</w:t>
            </w:r>
          </w:p>
        </w:tc>
        <w:tc>
          <w:tcPr>
            <w:tcW w:w="1001" w:type="pct"/>
            <w:tcBorders>
              <w:top w:val="single" w:sz="8" w:space="0" w:color="auto"/>
              <w:left w:val="single" w:sz="4" w:space="0" w:color="BCBCBD"/>
              <w:bottom w:val="single" w:sz="8" w:space="0" w:color="auto"/>
              <w:right w:val="single" w:sz="4" w:space="0" w:color="BCBCBD"/>
            </w:tcBorders>
            <w:vAlign w:val="center"/>
            <w:hideMark/>
          </w:tcPr>
          <w:p w14:paraId="76EB5EFD" w14:textId="5FA175BC" w:rsidR="00E9755B" w:rsidRPr="005A22C2" w:rsidRDefault="00E9755B" w:rsidP="000A15EA">
            <w:pPr>
              <w:keepNext/>
              <w:tabs>
                <w:tab w:val="decimal" w:pos="474"/>
                <w:tab w:val="left" w:pos="794"/>
              </w:tabs>
              <w:adjustRightInd w:val="0"/>
              <w:snapToGrid w:val="0"/>
              <w:spacing w:before="40" w:after="40"/>
              <w:jc w:val="both"/>
              <w:rPr>
                <w:rFonts w:eastAsia="新細明體" w:cs="Segoe UI"/>
                <w:kern w:val="2"/>
                <w:sz w:val="17"/>
                <w:szCs w:val="17"/>
                <w:lang w:eastAsia="zh-TW"/>
              </w:rPr>
            </w:pPr>
            <w:r w:rsidRPr="005A22C2">
              <w:rPr>
                <w:rFonts w:eastAsia="新細明體" w:cs="Segoe UI" w:hint="eastAsia"/>
                <w:kern w:val="2"/>
                <w:sz w:val="17"/>
                <w:szCs w:val="17"/>
                <w:lang w:eastAsia="zh-HK"/>
              </w:rPr>
              <w:t>已扣除收回</w:t>
            </w:r>
            <w:r w:rsidR="002E2181" w:rsidRPr="005A22C2">
              <w:rPr>
                <w:rFonts w:eastAsia="新細明體" w:cs="Segoe UI" w:hint="eastAsia"/>
                <w:kern w:val="2"/>
                <w:sz w:val="17"/>
                <w:szCs w:val="17"/>
                <w:lang w:eastAsia="zh-HK"/>
              </w:rPr>
              <w:t>數額</w:t>
            </w:r>
            <w:r w:rsidRPr="005A22C2">
              <w:rPr>
                <w:rFonts w:eastAsia="新細明體" w:cs="Segoe UI" w:hint="eastAsia"/>
                <w:kern w:val="2"/>
                <w:sz w:val="17"/>
                <w:szCs w:val="17"/>
                <w:lang w:eastAsia="zh-HK"/>
              </w:rPr>
              <w:t>的業務操作虧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總額</w:t>
            </w:r>
            <w:r w:rsidRPr="005A22C2">
              <w:rPr>
                <w:rFonts w:eastAsia="新細明體" w:cs="Segoe UI" w:hint="eastAsia"/>
                <w:sz w:val="17"/>
                <w:lang w:eastAsia="zh-HK"/>
              </w:rPr>
              <w:t>（</w:t>
            </w:r>
            <w:r w:rsidR="000A15EA" w:rsidRPr="005A22C2">
              <w:rPr>
                <w:rFonts w:eastAsia="新細明體" w:cs="Segoe UI" w:hint="eastAsia"/>
                <w:sz w:val="17"/>
                <w:lang w:eastAsia="zh-HK"/>
              </w:rPr>
              <w:t>未作</w:t>
            </w:r>
            <w:r w:rsidRPr="005A22C2">
              <w:rPr>
                <w:rFonts w:eastAsia="新細明體" w:cs="Segoe UI" w:hint="eastAsia"/>
                <w:kern w:val="2"/>
                <w:sz w:val="17"/>
                <w:szCs w:val="17"/>
                <w:lang w:eastAsia="zh-HK"/>
              </w:rPr>
              <w:t>豁除</w:t>
            </w:r>
            <w:r w:rsidRPr="005A22C2">
              <w:rPr>
                <w:rFonts w:ascii="新細明體" w:eastAsia="新細明體" w:hAnsi="新細明體" w:cs="Segoe UI" w:hint="eastAsia"/>
                <w:sz w:val="17"/>
                <w:szCs w:val="17"/>
                <w:lang w:eastAsia="zh-TW"/>
              </w:rPr>
              <w:t>）</w:t>
            </w:r>
          </w:p>
        </w:tc>
        <w:tc>
          <w:tcPr>
            <w:tcW w:w="284" w:type="pct"/>
            <w:tcBorders>
              <w:top w:val="single" w:sz="8" w:space="0" w:color="auto"/>
              <w:left w:val="single" w:sz="4" w:space="0" w:color="BCBCBD"/>
              <w:bottom w:val="single" w:sz="8" w:space="0" w:color="auto"/>
              <w:right w:val="single" w:sz="4" w:space="0" w:color="BCBCBD"/>
            </w:tcBorders>
          </w:tcPr>
          <w:p w14:paraId="3EA7F570"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8" w:space="0" w:color="auto"/>
              <w:left w:val="single" w:sz="4" w:space="0" w:color="BCBCBD"/>
              <w:bottom w:val="single" w:sz="8" w:space="0" w:color="auto"/>
              <w:right w:val="single" w:sz="4" w:space="0" w:color="BCBCBD"/>
            </w:tcBorders>
            <w:shd w:val="clear" w:color="auto" w:fill="FFFFFF"/>
          </w:tcPr>
          <w:p w14:paraId="4C7FA852"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5" w:type="pct"/>
            <w:tcBorders>
              <w:top w:val="single" w:sz="8" w:space="0" w:color="auto"/>
              <w:left w:val="single" w:sz="4" w:space="0" w:color="BCBCBD"/>
              <w:bottom w:val="single" w:sz="8" w:space="0" w:color="auto"/>
              <w:right w:val="single" w:sz="4" w:space="0" w:color="BCBCBD"/>
            </w:tcBorders>
            <w:shd w:val="clear" w:color="auto" w:fill="FFFFFF"/>
          </w:tcPr>
          <w:p w14:paraId="58693B70"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8" w:space="0" w:color="auto"/>
              <w:left w:val="single" w:sz="4" w:space="0" w:color="BCBCBD"/>
              <w:bottom w:val="single" w:sz="8" w:space="0" w:color="auto"/>
              <w:right w:val="single" w:sz="4" w:space="0" w:color="BCBCBD"/>
            </w:tcBorders>
            <w:shd w:val="clear" w:color="auto" w:fill="FFFFFF"/>
          </w:tcPr>
          <w:p w14:paraId="581A15DF"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4" w:type="pct"/>
            <w:tcBorders>
              <w:top w:val="single" w:sz="8" w:space="0" w:color="auto"/>
              <w:left w:val="single" w:sz="4" w:space="0" w:color="BCBCBD"/>
              <w:bottom w:val="single" w:sz="8" w:space="0" w:color="auto"/>
              <w:right w:val="single" w:sz="4" w:space="0" w:color="BCBCBD"/>
            </w:tcBorders>
            <w:shd w:val="clear" w:color="auto" w:fill="FFFFFF"/>
          </w:tcPr>
          <w:p w14:paraId="7BC5F236"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5" w:type="pct"/>
            <w:tcBorders>
              <w:top w:val="single" w:sz="8" w:space="0" w:color="auto"/>
              <w:left w:val="single" w:sz="4" w:space="0" w:color="BCBCBD"/>
              <w:bottom w:val="single" w:sz="8" w:space="0" w:color="auto"/>
              <w:right w:val="single" w:sz="4" w:space="0" w:color="BCBCBD"/>
            </w:tcBorders>
            <w:shd w:val="clear" w:color="auto" w:fill="FFFFFF"/>
          </w:tcPr>
          <w:p w14:paraId="73E9F887"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8" w:space="0" w:color="auto"/>
              <w:left w:val="single" w:sz="4" w:space="0" w:color="BCBCBD"/>
              <w:bottom w:val="single" w:sz="8" w:space="0" w:color="auto"/>
              <w:right w:val="single" w:sz="4" w:space="0" w:color="BCBCBD"/>
            </w:tcBorders>
            <w:shd w:val="clear" w:color="auto" w:fill="FFFFFF"/>
          </w:tcPr>
          <w:p w14:paraId="71F03712"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0" w:type="pct"/>
            <w:tcBorders>
              <w:top w:val="single" w:sz="8" w:space="0" w:color="auto"/>
              <w:left w:val="single" w:sz="4" w:space="0" w:color="BCBCBD"/>
              <w:bottom w:val="single" w:sz="8" w:space="0" w:color="auto"/>
              <w:right w:val="single" w:sz="4" w:space="0" w:color="BCBCBD"/>
            </w:tcBorders>
            <w:shd w:val="clear" w:color="auto" w:fill="FFFFFF"/>
          </w:tcPr>
          <w:p w14:paraId="277D9A43"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9" w:type="pct"/>
            <w:tcBorders>
              <w:top w:val="single" w:sz="8" w:space="0" w:color="auto"/>
              <w:left w:val="single" w:sz="4" w:space="0" w:color="BCBCBD"/>
              <w:bottom w:val="single" w:sz="8" w:space="0" w:color="auto"/>
              <w:right w:val="single" w:sz="4" w:space="0" w:color="BCBCBD"/>
            </w:tcBorders>
            <w:shd w:val="clear" w:color="auto" w:fill="FFFFFF"/>
          </w:tcPr>
          <w:p w14:paraId="1893C566"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8" w:type="pct"/>
            <w:tcBorders>
              <w:top w:val="single" w:sz="8" w:space="0" w:color="auto"/>
              <w:left w:val="single" w:sz="4" w:space="0" w:color="BCBCBD"/>
              <w:bottom w:val="single" w:sz="8" w:space="0" w:color="auto"/>
              <w:right w:val="nil"/>
            </w:tcBorders>
            <w:shd w:val="clear" w:color="auto" w:fill="FFFFFF"/>
          </w:tcPr>
          <w:p w14:paraId="78089159"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1" w:type="pct"/>
            <w:tcBorders>
              <w:top w:val="single" w:sz="8" w:space="0" w:color="auto"/>
              <w:left w:val="single" w:sz="4" w:space="0" w:color="BCBCBD"/>
              <w:bottom w:val="single" w:sz="8" w:space="0" w:color="auto"/>
              <w:right w:val="single" w:sz="4" w:space="0" w:color="auto"/>
            </w:tcBorders>
            <w:shd w:val="clear" w:color="auto" w:fill="FFFFFF"/>
          </w:tcPr>
          <w:p w14:paraId="7BBD057B" w14:textId="77777777" w:rsidR="00E9755B" w:rsidRPr="005A22C2" w:rsidRDefault="00E9755B" w:rsidP="009C54A9">
            <w:pPr>
              <w:adjustRightInd w:val="0"/>
              <w:snapToGrid w:val="0"/>
              <w:spacing w:before="120" w:after="120"/>
              <w:rPr>
                <w:rFonts w:eastAsia="新細明體" w:cs="Segoe UI"/>
                <w:sz w:val="18"/>
                <w:szCs w:val="18"/>
                <w:lang w:eastAsia="zh-TW"/>
              </w:rPr>
            </w:pPr>
          </w:p>
        </w:tc>
      </w:tr>
      <w:tr w:rsidR="0052324D" w:rsidRPr="005A22C2" w14:paraId="42115D90" w14:textId="77777777" w:rsidTr="005B393E">
        <w:trPr>
          <w:trHeight w:val="230"/>
        </w:trPr>
        <w:tc>
          <w:tcPr>
            <w:tcW w:w="319" w:type="pct"/>
            <w:tcBorders>
              <w:top w:val="single" w:sz="8" w:space="0" w:color="auto"/>
              <w:left w:val="nil"/>
              <w:bottom w:val="single" w:sz="4" w:space="0" w:color="auto"/>
              <w:right w:val="single" w:sz="4" w:space="0" w:color="BCBCBD"/>
            </w:tcBorders>
            <w:noWrap/>
            <w:vAlign w:val="center"/>
          </w:tcPr>
          <w:p w14:paraId="0C39198C"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7</w:t>
            </w:r>
          </w:p>
        </w:tc>
        <w:tc>
          <w:tcPr>
            <w:tcW w:w="1001" w:type="pct"/>
            <w:tcBorders>
              <w:top w:val="single" w:sz="8" w:space="0" w:color="auto"/>
              <w:left w:val="single" w:sz="4" w:space="0" w:color="BCBCBD"/>
              <w:bottom w:val="single" w:sz="4" w:space="0" w:color="auto"/>
              <w:right w:val="single" w:sz="4" w:space="0" w:color="BCBCBD"/>
            </w:tcBorders>
            <w:vAlign w:val="center"/>
          </w:tcPr>
          <w:p w14:paraId="0595C450"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7"/>
                <w:szCs w:val="17"/>
                <w:lang w:eastAsia="zh-TW"/>
              </w:rPr>
            </w:pPr>
            <w:r w:rsidRPr="005A22C2">
              <w:rPr>
                <w:rFonts w:eastAsia="新細明體" w:cs="Segoe UI"/>
                <w:kern w:val="2"/>
                <w:sz w:val="17"/>
                <w:szCs w:val="17"/>
                <w:lang w:eastAsia="zh-TW"/>
              </w:rPr>
              <w:t>業務操作風險</w:t>
            </w: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總次數</w:t>
            </w:r>
          </w:p>
        </w:tc>
        <w:tc>
          <w:tcPr>
            <w:tcW w:w="284" w:type="pct"/>
            <w:tcBorders>
              <w:top w:val="single" w:sz="8" w:space="0" w:color="auto"/>
              <w:left w:val="single" w:sz="4" w:space="0" w:color="BCBCBD"/>
              <w:bottom w:val="single" w:sz="4" w:space="0" w:color="auto"/>
              <w:right w:val="single" w:sz="4" w:space="0" w:color="BCBCBD"/>
            </w:tcBorders>
          </w:tcPr>
          <w:p w14:paraId="5D98EA3B"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8" w:space="0" w:color="auto"/>
              <w:left w:val="single" w:sz="4" w:space="0" w:color="BCBCBD"/>
              <w:bottom w:val="single" w:sz="4" w:space="0" w:color="auto"/>
              <w:right w:val="single" w:sz="4" w:space="0" w:color="BCBCBD"/>
            </w:tcBorders>
            <w:shd w:val="clear" w:color="auto" w:fill="FFFFFF"/>
          </w:tcPr>
          <w:p w14:paraId="4E5EC9FA"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5" w:type="pct"/>
            <w:tcBorders>
              <w:top w:val="single" w:sz="8" w:space="0" w:color="auto"/>
              <w:left w:val="single" w:sz="4" w:space="0" w:color="BCBCBD"/>
              <w:bottom w:val="single" w:sz="4" w:space="0" w:color="auto"/>
              <w:right w:val="single" w:sz="4" w:space="0" w:color="BCBCBD"/>
            </w:tcBorders>
            <w:shd w:val="clear" w:color="auto" w:fill="FFFFFF"/>
          </w:tcPr>
          <w:p w14:paraId="25774EEB"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8" w:space="0" w:color="auto"/>
              <w:left w:val="single" w:sz="4" w:space="0" w:color="BCBCBD"/>
              <w:bottom w:val="single" w:sz="4" w:space="0" w:color="auto"/>
              <w:right w:val="single" w:sz="4" w:space="0" w:color="BCBCBD"/>
            </w:tcBorders>
            <w:shd w:val="clear" w:color="auto" w:fill="FFFFFF"/>
          </w:tcPr>
          <w:p w14:paraId="6D1B51B4"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4" w:type="pct"/>
            <w:tcBorders>
              <w:top w:val="single" w:sz="8" w:space="0" w:color="auto"/>
              <w:left w:val="single" w:sz="4" w:space="0" w:color="BCBCBD"/>
              <w:bottom w:val="single" w:sz="4" w:space="0" w:color="auto"/>
              <w:right w:val="single" w:sz="4" w:space="0" w:color="BCBCBD"/>
            </w:tcBorders>
            <w:shd w:val="clear" w:color="auto" w:fill="FFFFFF"/>
          </w:tcPr>
          <w:p w14:paraId="4C1A5968"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5" w:type="pct"/>
            <w:tcBorders>
              <w:top w:val="single" w:sz="8" w:space="0" w:color="auto"/>
              <w:left w:val="single" w:sz="4" w:space="0" w:color="BCBCBD"/>
              <w:bottom w:val="single" w:sz="4" w:space="0" w:color="auto"/>
              <w:right w:val="single" w:sz="4" w:space="0" w:color="BCBCBD"/>
            </w:tcBorders>
            <w:shd w:val="clear" w:color="auto" w:fill="FFFFFF"/>
          </w:tcPr>
          <w:p w14:paraId="29E4BDBB"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8" w:space="0" w:color="auto"/>
              <w:left w:val="single" w:sz="4" w:space="0" w:color="BCBCBD"/>
              <w:bottom w:val="single" w:sz="4" w:space="0" w:color="auto"/>
              <w:right w:val="single" w:sz="4" w:space="0" w:color="BCBCBD"/>
            </w:tcBorders>
            <w:shd w:val="clear" w:color="auto" w:fill="FFFFFF"/>
          </w:tcPr>
          <w:p w14:paraId="474F6555"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0" w:type="pct"/>
            <w:tcBorders>
              <w:top w:val="single" w:sz="8" w:space="0" w:color="auto"/>
              <w:left w:val="single" w:sz="4" w:space="0" w:color="BCBCBD"/>
              <w:bottom w:val="single" w:sz="4" w:space="0" w:color="auto"/>
              <w:right w:val="single" w:sz="4" w:space="0" w:color="BCBCBD"/>
            </w:tcBorders>
            <w:shd w:val="clear" w:color="auto" w:fill="FFFFFF"/>
          </w:tcPr>
          <w:p w14:paraId="4BEF42C6"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9" w:type="pct"/>
            <w:tcBorders>
              <w:top w:val="single" w:sz="8" w:space="0" w:color="auto"/>
              <w:left w:val="single" w:sz="4" w:space="0" w:color="BCBCBD"/>
              <w:bottom w:val="single" w:sz="4" w:space="0" w:color="auto"/>
              <w:right w:val="single" w:sz="4" w:space="0" w:color="BCBCBD"/>
            </w:tcBorders>
            <w:shd w:val="clear" w:color="auto" w:fill="FFFFFF"/>
          </w:tcPr>
          <w:p w14:paraId="34E1780D"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8" w:type="pct"/>
            <w:tcBorders>
              <w:top w:val="single" w:sz="8" w:space="0" w:color="auto"/>
              <w:left w:val="single" w:sz="4" w:space="0" w:color="BCBCBD"/>
              <w:bottom w:val="single" w:sz="4" w:space="0" w:color="auto"/>
              <w:right w:val="nil"/>
            </w:tcBorders>
            <w:shd w:val="clear" w:color="auto" w:fill="FFFFFF"/>
          </w:tcPr>
          <w:p w14:paraId="48C7678F"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1" w:type="pct"/>
            <w:tcBorders>
              <w:top w:val="single" w:sz="8" w:space="0" w:color="auto"/>
              <w:left w:val="single" w:sz="4" w:space="0" w:color="BCBCBD"/>
              <w:bottom w:val="single" w:sz="4" w:space="0" w:color="auto"/>
              <w:right w:val="single" w:sz="4" w:space="0" w:color="auto"/>
            </w:tcBorders>
            <w:shd w:val="clear" w:color="auto" w:fill="FFFFFF"/>
          </w:tcPr>
          <w:p w14:paraId="24DCB4D0" w14:textId="77777777" w:rsidR="00E9755B" w:rsidRPr="005A22C2" w:rsidRDefault="00E9755B" w:rsidP="009C54A9">
            <w:pPr>
              <w:adjustRightInd w:val="0"/>
              <w:snapToGrid w:val="0"/>
              <w:spacing w:before="120" w:after="120"/>
              <w:rPr>
                <w:rFonts w:eastAsia="新細明體" w:cs="Segoe UI"/>
                <w:sz w:val="18"/>
                <w:szCs w:val="18"/>
                <w:lang w:eastAsia="zh-TW"/>
              </w:rPr>
            </w:pPr>
          </w:p>
        </w:tc>
      </w:tr>
      <w:tr w:rsidR="0052324D" w:rsidRPr="005A22C2" w14:paraId="60C430FA" w14:textId="77777777" w:rsidTr="005B393E">
        <w:trPr>
          <w:trHeight w:val="230"/>
        </w:trPr>
        <w:tc>
          <w:tcPr>
            <w:tcW w:w="319" w:type="pct"/>
            <w:tcBorders>
              <w:top w:val="single" w:sz="4" w:space="0" w:color="auto"/>
              <w:left w:val="nil"/>
              <w:bottom w:val="single" w:sz="8" w:space="0" w:color="auto"/>
              <w:right w:val="single" w:sz="4" w:space="0" w:color="BCBCBD"/>
            </w:tcBorders>
            <w:noWrap/>
            <w:vAlign w:val="center"/>
            <w:hideMark/>
          </w:tcPr>
          <w:p w14:paraId="2F3F3A86"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8</w:t>
            </w:r>
          </w:p>
        </w:tc>
        <w:tc>
          <w:tcPr>
            <w:tcW w:w="1001" w:type="pct"/>
            <w:tcBorders>
              <w:top w:val="single" w:sz="4" w:space="0" w:color="auto"/>
              <w:left w:val="single" w:sz="4" w:space="0" w:color="BCBCBD"/>
              <w:bottom w:val="single" w:sz="8" w:space="0" w:color="auto"/>
              <w:right w:val="single" w:sz="4" w:space="0" w:color="BCBCBD"/>
            </w:tcBorders>
            <w:hideMark/>
          </w:tcPr>
          <w:p w14:paraId="27B4FF06" w14:textId="202FD87E" w:rsidR="00E9755B" w:rsidRPr="005A22C2" w:rsidRDefault="00E9755B" w:rsidP="009C54A9">
            <w:pPr>
              <w:keepNext/>
              <w:tabs>
                <w:tab w:val="decimal" w:pos="474"/>
                <w:tab w:val="left" w:pos="794"/>
              </w:tabs>
              <w:adjustRightInd w:val="0"/>
              <w:snapToGrid w:val="0"/>
              <w:spacing w:before="40" w:after="40"/>
              <w:rPr>
                <w:rFonts w:eastAsia="新細明體" w:cs="Segoe UI"/>
                <w:kern w:val="2"/>
                <w:sz w:val="17"/>
                <w:szCs w:val="17"/>
                <w:lang w:eastAsia="zh-TW"/>
              </w:rPr>
            </w:pPr>
            <w:r w:rsidRPr="005A22C2">
              <w:rPr>
                <w:rFonts w:eastAsia="新細明體" w:cs="Segoe UI" w:hint="eastAsia"/>
                <w:kern w:val="2"/>
                <w:sz w:val="17"/>
                <w:szCs w:val="17"/>
                <w:lang w:eastAsia="zh-HK"/>
              </w:rPr>
              <w:t>已豁除</w:t>
            </w:r>
            <w:r w:rsidR="00607CFC" w:rsidRPr="005A22C2">
              <w:rPr>
                <w:rFonts w:eastAsia="新細明體" w:cs="Segoe UI" w:hint="eastAsia"/>
                <w:kern w:val="2"/>
                <w:sz w:val="17"/>
                <w:szCs w:val="17"/>
                <w:lang w:eastAsia="zh-HK"/>
              </w:rPr>
              <w:t>的</w:t>
            </w:r>
            <w:r w:rsidRPr="005A22C2">
              <w:rPr>
                <w:rFonts w:eastAsia="新細明體" w:cs="Segoe UI"/>
                <w:kern w:val="2"/>
                <w:sz w:val="17"/>
                <w:szCs w:val="17"/>
                <w:lang w:eastAsia="zh-TW"/>
              </w:rPr>
              <w:t>業務操作風險</w:t>
            </w: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總額</w:t>
            </w:r>
            <w:r w:rsidRPr="005A22C2">
              <w:rPr>
                <w:rFonts w:eastAsia="新細明體" w:cs="Segoe UI"/>
                <w:kern w:val="2"/>
                <w:sz w:val="17"/>
                <w:szCs w:val="17"/>
                <w:lang w:eastAsia="zh-TW"/>
              </w:rPr>
              <w:t xml:space="preserve"> </w:t>
            </w:r>
          </w:p>
        </w:tc>
        <w:tc>
          <w:tcPr>
            <w:tcW w:w="284" w:type="pct"/>
            <w:tcBorders>
              <w:top w:val="single" w:sz="4" w:space="0" w:color="auto"/>
              <w:left w:val="single" w:sz="4" w:space="0" w:color="BCBCBD"/>
              <w:bottom w:val="single" w:sz="8" w:space="0" w:color="auto"/>
              <w:right w:val="single" w:sz="4" w:space="0" w:color="BCBCBD"/>
            </w:tcBorders>
          </w:tcPr>
          <w:p w14:paraId="65A84293"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4" w:space="0" w:color="auto"/>
              <w:left w:val="single" w:sz="4" w:space="0" w:color="BCBCBD"/>
              <w:bottom w:val="single" w:sz="8" w:space="0" w:color="auto"/>
              <w:right w:val="single" w:sz="4" w:space="0" w:color="BCBCBD"/>
            </w:tcBorders>
            <w:shd w:val="clear" w:color="auto" w:fill="FFFFFF"/>
          </w:tcPr>
          <w:p w14:paraId="030EE07E"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5" w:type="pct"/>
            <w:tcBorders>
              <w:top w:val="single" w:sz="4" w:space="0" w:color="auto"/>
              <w:left w:val="single" w:sz="4" w:space="0" w:color="BCBCBD"/>
              <w:bottom w:val="single" w:sz="8" w:space="0" w:color="auto"/>
              <w:right w:val="single" w:sz="4" w:space="0" w:color="BCBCBD"/>
            </w:tcBorders>
            <w:shd w:val="clear" w:color="auto" w:fill="FFFFFF"/>
          </w:tcPr>
          <w:p w14:paraId="6CC6E224"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4" w:space="0" w:color="auto"/>
              <w:left w:val="single" w:sz="4" w:space="0" w:color="BCBCBD"/>
              <w:bottom w:val="single" w:sz="8" w:space="0" w:color="auto"/>
              <w:right w:val="single" w:sz="4" w:space="0" w:color="BCBCBD"/>
            </w:tcBorders>
            <w:shd w:val="clear" w:color="auto" w:fill="FFFFFF"/>
          </w:tcPr>
          <w:p w14:paraId="24DE6AE7"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4" w:type="pct"/>
            <w:tcBorders>
              <w:top w:val="single" w:sz="4" w:space="0" w:color="auto"/>
              <w:left w:val="single" w:sz="4" w:space="0" w:color="BCBCBD"/>
              <w:bottom w:val="single" w:sz="8" w:space="0" w:color="auto"/>
              <w:right w:val="single" w:sz="4" w:space="0" w:color="BCBCBD"/>
            </w:tcBorders>
            <w:shd w:val="clear" w:color="auto" w:fill="FFFFFF"/>
          </w:tcPr>
          <w:p w14:paraId="03B7F903"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5" w:type="pct"/>
            <w:tcBorders>
              <w:top w:val="single" w:sz="4" w:space="0" w:color="auto"/>
              <w:left w:val="single" w:sz="4" w:space="0" w:color="BCBCBD"/>
              <w:bottom w:val="single" w:sz="8" w:space="0" w:color="auto"/>
              <w:right w:val="single" w:sz="4" w:space="0" w:color="BCBCBD"/>
            </w:tcBorders>
            <w:shd w:val="clear" w:color="auto" w:fill="FFFFFF"/>
          </w:tcPr>
          <w:p w14:paraId="43D89A71"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4" w:space="0" w:color="auto"/>
              <w:left w:val="single" w:sz="4" w:space="0" w:color="BCBCBD"/>
              <w:bottom w:val="single" w:sz="8" w:space="0" w:color="auto"/>
              <w:right w:val="single" w:sz="4" w:space="0" w:color="BCBCBD"/>
            </w:tcBorders>
            <w:shd w:val="clear" w:color="auto" w:fill="FFFFFF"/>
          </w:tcPr>
          <w:p w14:paraId="67A9BD49"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0" w:type="pct"/>
            <w:tcBorders>
              <w:top w:val="single" w:sz="4" w:space="0" w:color="auto"/>
              <w:left w:val="single" w:sz="4" w:space="0" w:color="BCBCBD"/>
              <w:bottom w:val="single" w:sz="8" w:space="0" w:color="auto"/>
              <w:right w:val="single" w:sz="4" w:space="0" w:color="BCBCBD"/>
            </w:tcBorders>
            <w:shd w:val="clear" w:color="auto" w:fill="FFFFFF"/>
          </w:tcPr>
          <w:p w14:paraId="75CF8A5C"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9" w:type="pct"/>
            <w:tcBorders>
              <w:top w:val="single" w:sz="4" w:space="0" w:color="auto"/>
              <w:left w:val="single" w:sz="4" w:space="0" w:color="BCBCBD"/>
              <w:bottom w:val="single" w:sz="8" w:space="0" w:color="auto"/>
              <w:right w:val="single" w:sz="4" w:space="0" w:color="BCBCBD"/>
            </w:tcBorders>
            <w:shd w:val="clear" w:color="auto" w:fill="FFFFFF"/>
          </w:tcPr>
          <w:p w14:paraId="35FBDA64"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8" w:type="pct"/>
            <w:tcBorders>
              <w:top w:val="single" w:sz="4" w:space="0" w:color="auto"/>
              <w:left w:val="single" w:sz="4" w:space="0" w:color="BCBCBD"/>
              <w:bottom w:val="single" w:sz="8" w:space="0" w:color="auto"/>
              <w:right w:val="nil"/>
            </w:tcBorders>
            <w:shd w:val="clear" w:color="auto" w:fill="FFFFFF"/>
          </w:tcPr>
          <w:p w14:paraId="19F6089F"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1" w:type="pct"/>
            <w:tcBorders>
              <w:top w:val="single" w:sz="4" w:space="0" w:color="auto"/>
              <w:left w:val="single" w:sz="4" w:space="0" w:color="BCBCBD"/>
              <w:bottom w:val="single" w:sz="8" w:space="0" w:color="auto"/>
              <w:right w:val="single" w:sz="4" w:space="0" w:color="auto"/>
            </w:tcBorders>
            <w:shd w:val="clear" w:color="auto" w:fill="FFFFFF"/>
          </w:tcPr>
          <w:p w14:paraId="0EB56A85" w14:textId="77777777" w:rsidR="00E9755B" w:rsidRPr="005A22C2" w:rsidRDefault="00E9755B" w:rsidP="009C54A9">
            <w:pPr>
              <w:adjustRightInd w:val="0"/>
              <w:snapToGrid w:val="0"/>
              <w:spacing w:before="120" w:after="120"/>
              <w:rPr>
                <w:rFonts w:eastAsia="新細明體" w:cs="Segoe UI"/>
                <w:sz w:val="18"/>
                <w:szCs w:val="18"/>
                <w:lang w:eastAsia="zh-TW"/>
              </w:rPr>
            </w:pPr>
          </w:p>
        </w:tc>
      </w:tr>
      <w:tr w:rsidR="0052324D" w:rsidRPr="005A22C2" w14:paraId="0D619B02" w14:textId="77777777" w:rsidTr="005B393E">
        <w:trPr>
          <w:trHeight w:val="253"/>
        </w:trPr>
        <w:tc>
          <w:tcPr>
            <w:tcW w:w="319" w:type="pct"/>
            <w:tcBorders>
              <w:top w:val="single" w:sz="8" w:space="0" w:color="auto"/>
              <w:left w:val="nil"/>
              <w:bottom w:val="single" w:sz="8" w:space="0" w:color="auto"/>
              <w:right w:val="single" w:sz="4" w:space="0" w:color="BCBCBD"/>
            </w:tcBorders>
            <w:noWrap/>
            <w:vAlign w:val="center"/>
          </w:tcPr>
          <w:p w14:paraId="6197DDA8"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9</w:t>
            </w:r>
          </w:p>
        </w:tc>
        <w:tc>
          <w:tcPr>
            <w:tcW w:w="1001" w:type="pct"/>
            <w:tcBorders>
              <w:top w:val="single" w:sz="8" w:space="0" w:color="auto"/>
              <w:left w:val="single" w:sz="4" w:space="0" w:color="BCBCBD"/>
              <w:bottom w:val="single" w:sz="8" w:space="0" w:color="auto"/>
              <w:right w:val="single" w:sz="4" w:space="0" w:color="BCBCBD"/>
            </w:tcBorders>
            <w:vAlign w:val="center"/>
          </w:tcPr>
          <w:p w14:paraId="1A1F5305" w14:textId="77777777" w:rsidR="00E9755B" w:rsidRPr="005A22C2" w:rsidRDefault="00E9755B" w:rsidP="009C54A9">
            <w:pPr>
              <w:tabs>
                <w:tab w:val="decimal" w:pos="474"/>
                <w:tab w:val="left" w:pos="794"/>
              </w:tabs>
              <w:adjustRightInd w:val="0"/>
              <w:snapToGrid w:val="0"/>
              <w:spacing w:before="40" w:after="40"/>
              <w:rPr>
                <w:rFonts w:eastAsia="新細明體" w:cs="Segoe UI"/>
                <w:kern w:val="2"/>
                <w:sz w:val="17"/>
                <w:szCs w:val="17"/>
                <w:lang w:eastAsia="ja-JP"/>
              </w:rPr>
            </w:pPr>
            <w:r w:rsidRPr="005A22C2">
              <w:rPr>
                <w:rFonts w:eastAsia="新細明體" w:cs="Segoe UI" w:hint="eastAsia"/>
                <w:kern w:val="2"/>
                <w:sz w:val="17"/>
                <w:szCs w:val="17"/>
                <w:lang w:eastAsia="ja-JP"/>
              </w:rPr>
              <w:t>豁除總次數</w:t>
            </w:r>
          </w:p>
        </w:tc>
        <w:tc>
          <w:tcPr>
            <w:tcW w:w="284" w:type="pct"/>
            <w:tcBorders>
              <w:top w:val="single" w:sz="8" w:space="0" w:color="auto"/>
              <w:left w:val="single" w:sz="4" w:space="0" w:color="BCBCBD"/>
              <w:bottom w:val="single" w:sz="8" w:space="0" w:color="auto"/>
              <w:right w:val="single" w:sz="4" w:space="0" w:color="BCBCBD"/>
            </w:tcBorders>
          </w:tcPr>
          <w:p w14:paraId="3EC0AA41"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20" w:type="pct"/>
            <w:tcBorders>
              <w:top w:val="single" w:sz="8" w:space="0" w:color="auto"/>
              <w:left w:val="single" w:sz="4" w:space="0" w:color="BCBCBD"/>
              <w:bottom w:val="single" w:sz="8" w:space="0" w:color="auto"/>
              <w:right w:val="single" w:sz="4" w:space="0" w:color="BCBCBD"/>
            </w:tcBorders>
            <w:shd w:val="clear" w:color="auto" w:fill="FFFFFF"/>
          </w:tcPr>
          <w:p w14:paraId="00504560"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55" w:type="pct"/>
            <w:tcBorders>
              <w:top w:val="single" w:sz="8" w:space="0" w:color="auto"/>
              <w:left w:val="single" w:sz="4" w:space="0" w:color="BCBCBD"/>
              <w:bottom w:val="single" w:sz="8" w:space="0" w:color="auto"/>
              <w:right w:val="single" w:sz="4" w:space="0" w:color="BCBCBD"/>
            </w:tcBorders>
            <w:shd w:val="clear" w:color="auto" w:fill="FFFFFF"/>
          </w:tcPr>
          <w:p w14:paraId="22822B79"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37" w:type="pct"/>
            <w:tcBorders>
              <w:top w:val="single" w:sz="8" w:space="0" w:color="auto"/>
              <w:left w:val="single" w:sz="4" w:space="0" w:color="BCBCBD"/>
              <w:bottom w:val="single" w:sz="8" w:space="0" w:color="auto"/>
              <w:right w:val="single" w:sz="4" w:space="0" w:color="BCBCBD"/>
            </w:tcBorders>
            <w:shd w:val="clear" w:color="auto" w:fill="FFFFFF"/>
          </w:tcPr>
          <w:p w14:paraId="76CA9241"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44" w:type="pct"/>
            <w:tcBorders>
              <w:top w:val="single" w:sz="8" w:space="0" w:color="auto"/>
              <w:left w:val="single" w:sz="4" w:space="0" w:color="BCBCBD"/>
              <w:bottom w:val="single" w:sz="8" w:space="0" w:color="auto"/>
              <w:right w:val="single" w:sz="4" w:space="0" w:color="BCBCBD"/>
            </w:tcBorders>
            <w:shd w:val="clear" w:color="auto" w:fill="FFFFFF"/>
          </w:tcPr>
          <w:p w14:paraId="5459B2E9"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35" w:type="pct"/>
            <w:tcBorders>
              <w:top w:val="single" w:sz="8" w:space="0" w:color="auto"/>
              <w:left w:val="single" w:sz="4" w:space="0" w:color="BCBCBD"/>
              <w:bottom w:val="single" w:sz="8" w:space="0" w:color="auto"/>
              <w:right w:val="single" w:sz="4" w:space="0" w:color="BCBCBD"/>
            </w:tcBorders>
            <w:shd w:val="clear" w:color="auto" w:fill="FFFFFF"/>
          </w:tcPr>
          <w:p w14:paraId="103172AF"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37" w:type="pct"/>
            <w:tcBorders>
              <w:top w:val="single" w:sz="8" w:space="0" w:color="auto"/>
              <w:left w:val="single" w:sz="4" w:space="0" w:color="BCBCBD"/>
              <w:bottom w:val="single" w:sz="8" w:space="0" w:color="auto"/>
              <w:right w:val="single" w:sz="4" w:space="0" w:color="BCBCBD"/>
            </w:tcBorders>
            <w:shd w:val="clear" w:color="auto" w:fill="FFFFFF"/>
          </w:tcPr>
          <w:p w14:paraId="5409557A"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40" w:type="pct"/>
            <w:tcBorders>
              <w:top w:val="single" w:sz="8" w:space="0" w:color="auto"/>
              <w:left w:val="single" w:sz="4" w:space="0" w:color="BCBCBD"/>
              <w:bottom w:val="single" w:sz="8" w:space="0" w:color="auto"/>
              <w:right w:val="single" w:sz="4" w:space="0" w:color="BCBCBD"/>
            </w:tcBorders>
            <w:shd w:val="clear" w:color="auto" w:fill="FFFFFF"/>
          </w:tcPr>
          <w:p w14:paraId="0521021D"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39" w:type="pct"/>
            <w:tcBorders>
              <w:top w:val="single" w:sz="8" w:space="0" w:color="auto"/>
              <w:left w:val="single" w:sz="4" w:space="0" w:color="BCBCBD"/>
              <w:bottom w:val="single" w:sz="8" w:space="0" w:color="auto"/>
              <w:right w:val="single" w:sz="4" w:space="0" w:color="BCBCBD"/>
            </w:tcBorders>
            <w:shd w:val="clear" w:color="auto" w:fill="FFFFFF"/>
          </w:tcPr>
          <w:p w14:paraId="5E5ACF60"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38" w:type="pct"/>
            <w:tcBorders>
              <w:top w:val="single" w:sz="8" w:space="0" w:color="auto"/>
              <w:left w:val="single" w:sz="4" w:space="0" w:color="BCBCBD"/>
              <w:bottom w:val="single" w:sz="8" w:space="0" w:color="auto"/>
              <w:right w:val="nil"/>
            </w:tcBorders>
            <w:shd w:val="clear" w:color="auto" w:fill="FFFFFF"/>
          </w:tcPr>
          <w:p w14:paraId="5CD28298"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c>
          <w:tcPr>
            <w:tcW w:w="351" w:type="pct"/>
            <w:tcBorders>
              <w:top w:val="single" w:sz="8" w:space="0" w:color="auto"/>
              <w:left w:val="single" w:sz="4" w:space="0" w:color="BCBCBD"/>
              <w:bottom w:val="single" w:sz="8" w:space="0" w:color="auto"/>
              <w:right w:val="single" w:sz="4" w:space="0" w:color="auto"/>
            </w:tcBorders>
            <w:shd w:val="clear" w:color="auto" w:fill="FFFFFF"/>
          </w:tcPr>
          <w:p w14:paraId="12E8F091"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p>
        </w:tc>
      </w:tr>
      <w:tr w:rsidR="0052324D" w:rsidRPr="005A22C2" w14:paraId="07E27B48" w14:textId="77777777" w:rsidTr="005B393E">
        <w:trPr>
          <w:trHeight w:val="230"/>
        </w:trPr>
        <w:tc>
          <w:tcPr>
            <w:tcW w:w="319" w:type="pct"/>
            <w:tcBorders>
              <w:top w:val="single" w:sz="8" w:space="0" w:color="auto"/>
              <w:left w:val="nil"/>
              <w:bottom w:val="nil"/>
              <w:right w:val="single" w:sz="4" w:space="0" w:color="BCBCBD"/>
            </w:tcBorders>
            <w:noWrap/>
            <w:vAlign w:val="center"/>
            <w:hideMark/>
          </w:tcPr>
          <w:p w14:paraId="74845545"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10</w:t>
            </w:r>
          </w:p>
        </w:tc>
        <w:tc>
          <w:tcPr>
            <w:tcW w:w="1001" w:type="pct"/>
            <w:tcBorders>
              <w:top w:val="single" w:sz="8" w:space="0" w:color="auto"/>
              <w:left w:val="single" w:sz="4" w:space="0" w:color="BCBCBD"/>
              <w:bottom w:val="nil"/>
              <w:right w:val="single" w:sz="4" w:space="0" w:color="BCBCBD"/>
            </w:tcBorders>
            <w:vAlign w:val="center"/>
            <w:hideMark/>
          </w:tcPr>
          <w:p w14:paraId="13C82517" w14:textId="16C46831"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7"/>
                <w:szCs w:val="17"/>
                <w:lang w:eastAsia="zh-TW"/>
              </w:rPr>
            </w:pPr>
            <w:r w:rsidRPr="005A22C2">
              <w:rPr>
                <w:rFonts w:eastAsia="新細明體" w:cs="Segoe UI" w:hint="eastAsia"/>
                <w:kern w:val="2"/>
                <w:sz w:val="17"/>
                <w:szCs w:val="17"/>
                <w:lang w:eastAsia="zh-HK"/>
              </w:rPr>
              <w:t>已扣除收回</w:t>
            </w:r>
            <w:r w:rsidR="002E2181" w:rsidRPr="005A22C2">
              <w:rPr>
                <w:rFonts w:eastAsia="新細明體" w:cs="Segoe UI" w:hint="eastAsia"/>
                <w:kern w:val="2"/>
                <w:sz w:val="17"/>
                <w:szCs w:val="17"/>
                <w:lang w:eastAsia="zh-HK"/>
              </w:rPr>
              <w:t>數額</w:t>
            </w:r>
            <w:r w:rsidRPr="005A22C2">
              <w:rPr>
                <w:rFonts w:eastAsia="新細明體" w:cs="Segoe UI" w:hint="eastAsia"/>
                <w:kern w:val="2"/>
                <w:sz w:val="17"/>
                <w:szCs w:val="17"/>
                <w:lang w:eastAsia="zh-HK"/>
              </w:rPr>
              <w:t>及已豁除</w:t>
            </w:r>
            <w:r w:rsidR="00607CFC" w:rsidRPr="005A22C2">
              <w:rPr>
                <w:rFonts w:eastAsia="新細明體" w:cs="Segoe UI" w:hint="eastAsia"/>
                <w:kern w:val="2"/>
                <w:sz w:val="17"/>
                <w:szCs w:val="17"/>
                <w:lang w:eastAsia="zh-HK"/>
              </w:rPr>
              <w:t>的</w:t>
            </w: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的業務操作虧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總額</w:t>
            </w:r>
          </w:p>
        </w:tc>
        <w:tc>
          <w:tcPr>
            <w:tcW w:w="284" w:type="pct"/>
            <w:tcBorders>
              <w:top w:val="single" w:sz="8" w:space="0" w:color="auto"/>
              <w:left w:val="single" w:sz="4" w:space="0" w:color="BCBCBD"/>
              <w:bottom w:val="nil"/>
              <w:right w:val="single" w:sz="4" w:space="0" w:color="BCBCBD"/>
            </w:tcBorders>
          </w:tcPr>
          <w:p w14:paraId="0043A1ED"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320" w:type="pct"/>
            <w:tcBorders>
              <w:top w:val="single" w:sz="8" w:space="0" w:color="auto"/>
              <w:left w:val="single" w:sz="4" w:space="0" w:color="BCBCBD"/>
              <w:bottom w:val="nil"/>
              <w:right w:val="single" w:sz="4" w:space="0" w:color="BCBCBD"/>
            </w:tcBorders>
            <w:shd w:val="clear" w:color="auto" w:fill="FFFFFF"/>
          </w:tcPr>
          <w:p w14:paraId="3DA7A7E9"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5" w:type="pct"/>
            <w:tcBorders>
              <w:top w:val="single" w:sz="8" w:space="0" w:color="auto"/>
              <w:left w:val="single" w:sz="4" w:space="0" w:color="BCBCBD"/>
              <w:bottom w:val="nil"/>
              <w:right w:val="single" w:sz="4" w:space="0" w:color="BCBCBD"/>
            </w:tcBorders>
            <w:shd w:val="clear" w:color="auto" w:fill="FFFFFF"/>
          </w:tcPr>
          <w:p w14:paraId="63E172EE"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8" w:space="0" w:color="auto"/>
              <w:left w:val="single" w:sz="4" w:space="0" w:color="BCBCBD"/>
              <w:bottom w:val="nil"/>
              <w:right w:val="single" w:sz="4" w:space="0" w:color="BCBCBD"/>
            </w:tcBorders>
            <w:shd w:val="clear" w:color="auto" w:fill="FFFFFF"/>
          </w:tcPr>
          <w:p w14:paraId="5B030228"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4" w:type="pct"/>
            <w:tcBorders>
              <w:top w:val="single" w:sz="8" w:space="0" w:color="auto"/>
              <w:left w:val="single" w:sz="4" w:space="0" w:color="BCBCBD"/>
              <w:bottom w:val="nil"/>
              <w:right w:val="single" w:sz="4" w:space="0" w:color="BCBCBD"/>
            </w:tcBorders>
            <w:shd w:val="clear" w:color="auto" w:fill="FFFFFF"/>
          </w:tcPr>
          <w:p w14:paraId="1D768F60"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5" w:type="pct"/>
            <w:tcBorders>
              <w:top w:val="single" w:sz="8" w:space="0" w:color="auto"/>
              <w:left w:val="single" w:sz="4" w:space="0" w:color="BCBCBD"/>
              <w:bottom w:val="nil"/>
              <w:right w:val="single" w:sz="4" w:space="0" w:color="BCBCBD"/>
            </w:tcBorders>
            <w:shd w:val="clear" w:color="auto" w:fill="FFFFFF"/>
          </w:tcPr>
          <w:p w14:paraId="68671D5B"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7" w:type="pct"/>
            <w:tcBorders>
              <w:top w:val="single" w:sz="8" w:space="0" w:color="auto"/>
              <w:left w:val="single" w:sz="4" w:space="0" w:color="BCBCBD"/>
              <w:bottom w:val="nil"/>
              <w:right w:val="single" w:sz="4" w:space="0" w:color="BCBCBD"/>
            </w:tcBorders>
            <w:shd w:val="clear" w:color="auto" w:fill="FFFFFF"/>
          </w:tcPr>
          <w:p w14:paraId="56DE10D6"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40" w:type="pct"/>
            <w:tcBorders>
              <w:top w:val="single" w:sz="8" w:space="0" w:color="auto"/>
              <w:left w:val="single" w:sz="4" w:space="0" w:color="BCBCBD"/>
              <w:bottom w:val="nil"/>
              <w:right w:val="single" w:sz="4" w:space="0" w:color="BCBCBD"/>
            </w:tcBorders>
            <w:shd w:val="clear" w:color="auto" w:fill="FFFFFF"/>
          </w:tcPr>
          <w:p w14:paraId="2038C759"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9" w:type="pct"/>
            <w:tcBorders>
              <w:top w:val="single" w:sz="8" w:space="0" w:color="auto"/>
              <w:left w:val="single" w:sz="4" w:space="0" w:color="BCBCBD"/>
              <w:bottom w:val="nil"/>
              <w:right w:val="single" w:sz="4" w:space="0" w:color="BCBCBD"/>
            </w:tcBorders>
            <w:shd w:val="clear" w:color="auto" w:fill="FFFFFF"/>
          </w:tcPr>
          <w:p w14:paraId="3D44607F"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38" w:type="pct"/>
            <w:tcBorders>
              <w:top w:val="single" w:sz="8" w:space="0" w:color="auto"/>
              <w:left w:val="single" w:sz="4" w:space="0" w:color="BCBCBD"/>
              <w:bottom w:val="nil"/>
              <w:right w:val="nil"/>
            </w:tcBorders>
            <w:shd w:val="clear" w:color="auto" w:fill="FFFFFF"/>
          </w:tcPr>
          <w:p w14:paraId="0336C6B3" w14:textId="77777777" w:rsidR="00E9755B" w:rsidRPr="005A22C2" w:rsidRDefault="00E9755B" w:rsidP="009C54A9">
            <w:pPr>
              <w:adjustRightInd w:val="0"/>
              <w:snapToGrid w:val="0"/>
              <w:spacing w:before="120" w:after="120"/>
              <w:rPr>
                <w:rFonts w:eastAsia="新細明體" w:cs="Segoe UI"/>
                <w:sz w:val="18"/>
                <w:szCs w:val="18"/>
                <w:lang w:eastAsia="zh-TW"/>
              </w:rPr>
            </w:pPr>
          </w:p>
        </w:tc>
        <w:tc>
          <w:tcPr>
            <w:tcW w:w="351" w:type="pct"/>
            <w:tcBorders>
              <w:top w:val="single" w:sz="8" w:space="0" w:color="auto"/>
              <w:left w:val="single" w:sz="4" w:space="0" w:color="BCBCBD"/>
              <w:bottom w:val="nil"/>
              <w:right w:val="single" w:sz="4" w:space="0" w:color="auto"/>
            </w:tcBorders>
            <w:shd w:val="clear" w:color="auto" w:fill="FFFFFF"/>
          </w:tcPr>
          <w:p w14:paraId="67717D58" w14:textId="77777777" w:rsidR="00E9755B" w:rsidRPr="005A22C2" w:rsidRDefault="00E9755B" w:rsidP="009C54A9">
            <w:pPr>
              <w:adjustRightInd w:val="0"/>
              <w:snapToGrid w:val="0"/>
              <w:spacing w:before="120" w:after="120"/>
              <w:rPr>
                <w:rFonts w:eastAsia="新細明體" w:cs="Segoe UI"/>
                <w:sz w:val="18"/>
                <w:szCs w:val="18"/>
                <w:lang w:eastAsia="zh-TW"/>
              </w:rPr>
            </w:pPr>
          </w:p>
        </w:tc>
      </w:tr>
      <w:tr w:rsidR="005A22C2" w:rsidRPr="005A22C2" w14:paraId="195BBA59" w14:textId="77777777" w:rsidTr="005B393E">
        <w:trPr>
          <w:trHeight w:val="230"/>
        </w:trPr>
        <w:tc>
          <w:tcPr>
            <w:tcW w:w="5000" w:type="pct"/>
            <w:gridSpan w:val="13"/>
            <w:tcBorders>
              <w:top w:val="single" w:sz="8" w:space="0" w:color="auto"/>
              <w:left w:val="nil"/>
              <w:bottom w:val="nil"/>
              <w:right w:val="single" w:sz="4" w:space="0" w:color="auto"/>
            </w:tcBorders>
            <w:shd w:val="clear" w:color="auto" w:fill="BFBFBF"/>
            <w:noWrap/>
            <w:vAlign w:val="center"/>
            <w:hideMark/>
          </w:tcPr>
          <w:p w14:paraId="16A02943" w14:textId="77777777" w:rsidR="00E9755B" w:rsidRPr="005A22C2" w:rsidRDefault="00E9755B" w:rsidP="009C54A9">
            <w:pPr>
              <w:tabs>
                <w:tab w:val="decimal" w:pos="474"/>
                <w:tab w:val="left" w:pos="794"/>
              </w:tabs>
              <w:adjustRightInd w:val="0"/>
              <w:snapToGrid w:val="0"/>
              <w:spacing w:before="40" w:after="40"/>
              <w:jc w:val="both"/>
              <w:rPr>
                <w:rFonts w:eastAsia="新細明體" w:cs="Segoe UI"/>
                <w:b/>
                <w:kern w:val="2"/>
                <w:sz w:val="17"/>
                <w:szCs w:val="17"/>
                <w:lang w:eastAsia="ja-JP"/>
              </w:rPr>
            </w:pPr>
            <w:r w:rsidRPr="005A22C2">
              <w:rPr>
                <w:rFonts w:eastAsia="新細明體" w:cs="Segoe UI" w:hint="eastAsia"/>
                <w:b/>
                <w:kern w:val="2"/>
                <w:sz w:val="17"/>
                <w:szCs w:val="17"/>
                <w:lang w:eastAsia="zh-HK"/>
              </w:rPr>
              <w:t>計算</w:t>
            </w:r>
            <w:r w:rsidRPr="005A22C2">
              <w:rPr>
                <w:rFonts w:eastAsia="新細明體" w:cs="Segoe UI"/>
                <w:b/>
                <w:kern w:val="2"/>
                <w:sz w:val="17"/>
                <w:szCs w:val="17"/>
                <w:lang w:eastAsia="ja-JP"/>
              </w:rPr>
              <w:t>業務操作風險資本要求</w:t>
            </w:r>
            <w:r w:rsidRPr="005A22C2">
              <w:rPr>
                <w:rFonts w:eastAsia="新細明體" w:cs="Segoe UI" w:hint="eastAsia"/>
                <w:b/>
                <w:kern w:val="2"/>
                <w:sz w:val="17"/>
                <w:szCs w:val="17"/>
                <w:lang w:eastAsia="zh-HK"/>
              </w:rPr>
              <w:t>的詳情</w:t>
            </w:r>
          </w:p>
        </w:tc>
      </w:tr>
      <w:tr w:rsidR="005A22C2" w:rsidRPr="005A22C2" w14:paraId="2E915C10" w14:textId="77777777" w:rsidTr="005B393E">
        <w:trPr>
          <w:trHeight w:val="230"/>
        </w:trPr>
        <w:tc>
          <w:tcPr>
            <w:tcW w:w="319" w:type="pct"/>
            <w:tcBorders>
              <w:top w:val="single" w:sz="8" w:space="0" w:color="auto"/>
              <w:left w:val="nil"/>
              <w:bottom w:val="nil"/>
              <w:right w:val="single" w:sz="4" w:space="0" w:color="BCBCBD"/>
            </w:tcBorders>
            <w:noWrap/>
            <w:vAlign w:val="center"/>
            <w:hideMark/>
          </w:tcPr>
          <w:p w14:paraId="6F0894FD"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11</w:t>
            </w:r>
          </w:p>
        </w:tc>
        <w:tc>
          <w:tcPr>
            <w:tcW w:w="1001" w:type="pct"/>
            <w:tcBorders>
              <w:top w:val="single" w:sz="8" w:space="0" w:color="auto"/>
              <w:left w:val="single" w:sz="4" w:space="0" w:color="BCBCBD"/>
              <w:bottom w:val="nil"/>
              <w:right w:val="single" w:sz="4" w:space="0" w:color="BCBCBD"/>
            </w:tcBorders>
            <w:vAlign w:val="center"/>
            <w:hideMark/>
          </w:tcPr>
          <w:p w14:paraId="374891A4" w14:textId="713BE293" w:rsidR="00E9755B" w:rsidRPr="005A22C2" w:rsidRDefault="00607CFC" w:rsidP="00607CFC">
            <w:pPr>
              <w:keepNext/>
              <w:tabs>
                <w:tab w:val="decimal" w:pos="474"/>
                <w:tab w:val="left" w:pos="794"/>
              </w:tabs>
              <w:adjustRightInd w:val="0"/>
              <w:snapToGrid w:val="0"/>
              <w:spacing w:before="40" w:after="40"/>
              <w:jc w:val="both"/>
              <w:rPr>
                <w:rFonts w:eastAsia="新細明體" w:cs="Segoe UI"/>
                <w:kern w:val="2"/>
                <w:sz w:val="17"/>
                <w:szCs w:val="17"/>
                <w:lang w:eastAsia="zh-TW"/>
              </w:rPr>
            </w:pPr>
            <w:r w:rsidRPr="005A22C2">
              <w:rPr>
                <w:rFonts w:eastAsia="新細明體" w:cs="Segoe UI" w:hint="eastAsia"/>
                <w:kern w:val="2"/>
                <w:sz w:val="17"/>
                <w:szCs w:val="17"/>
                <w:lang w:eastAsia="zh-HK"/>
              </w:rPr>
              <w:t>是</w:t>
            </w:r>
            <w:r w:rsidR="00E9755B" w:rsidRPr="005A22C2">
              <w:rPr>
                <w:rFonts w:eastAsia="新細明體" w:cs="Segoe UI" w:hint="eastAsia"/>
                <w:kern w:val="2"/>
                <w:sz w:val="17"/>
                <w:szCs w:val="17"/>
                <w:lang w:eastAsia="zh-HK"/>
              </w:rPr>
              <w:t>否使用</w:t>
            </w:r>
            <w:r w:rsidR="00E9755B" w:rsidRPr="005A22C2">
              <w:rPr>
                <w:rFonts w:ascii="新細明體" w:eastAsia="新細明體" w:hAnsi="新細明體" w:cs="Segoe UI" w:hint="eastAsia"/>
                <w:sz w:val="17"/>
                <w:szCs w:val="17"/>
                <w:lang w:eastAsia="zh-HK"/>
              </w:rPr>
              <w:t>虧損</w:t>
            </w:r>
            <w:r w:rsidR="00E9755B" w:rsidRPr="005A22C2">
              <w:rPr>
                <w:rFonts w:eastAsia="新細明體" w:cs="Segoe UI" w:hint="eastAsia"/>
                <w:kern w:val="2"/>
                <w:sz w:val="17"/>
                <w:szCs w:val="17"/>
                <w:lang w:eastAsia="zh-HK"/>
              </w:rPr>
              <w:t>來計算內部損</w:t>
            </w:r>
            <w:r w:rsidR="00E9755B" w:rsidRPr="005A22C2">
              <w:rPr>
                <w:rFonts w:eastAsia="新細明體" w:cs="Segoe UI" w:hint="eastAsia"/>
                <w:kern w:val="2"/>
                <w:sz w:val="17"/>
                <w:szCs w:val="17"/>
                <w:lang w:eastAsia="zh-TW"/>
              </w:rPr>
              <w:t>失</w:t>
            </w:r>
            <w:r w:rsidR="00E9755B" w:rsidRPr="005A22C2">
              <w:rPr>
                <w:rFonts w:eastAsia="新細明體" w:cs="Segoe UI" w:hint="eastAsia"/>
                <w:kern w:val="2"/>
                <w:sz w:val="17"/>
                <w:szCs w:val="17"/>
                <w:lang w:eastAsia="zh-HK"/>
              </w:rPr>
              <w:t>倍</w:t>
            </w:r>
            <w:r w:rsidR="00E9755B" w:rsidRPr="005A22C2">
              <w:rPr>
                <w:rFonts w:eastAsia="新細明體" w:cs="Segoe UI" w:hint="eastAsia"/>
                <w:kern w:val="2"/>
                <w:sz w:val="17"/>
                <w:szCs w:val="17"/>
                <w:lang w:eastAsia="zh-TW"/>
              </w:rPr>
              <w:t>率</w:t>
            </w:r>
            <w:r w:rsidR="00E9755B" w:rsidRPr="005A22C2">
              <w:rPr>
                <w:rFonts w:eastAsia="新細明體" w:cs="Segoe UI" w:hint="eastAsia"/>
                <w:kern w:val="2"/>
                <w:sz w:val="17"/>
                <w:szCs w:val="17"/>
                <w:lang w:eastAsia="zh-TW"/>
              </w:rPr>
              <w:t>(ILM)</w:t>
            </w:r>
            <w:r w:rsidR="00E9755B" w:rsidRPr="005A22C2">
              <w:rPr>
                <w:rFonts w:eastAsia="新細明體" w:cs="Segoe UI"/>
                <w:kern w:val="2"/>
                <w:sz w:val="17"/>
                <w:szCs w:val="17"/>
                <w:lang w:eastAsia="zh-TW"/>
              </w:rPr>
              <w:t xml:space="preserve"> </w:t>
            </w:r>
            <w:r w:rsidR="00E9755B" w:rsidRPr="005A22C2">
              <w:rPr>
                <w:rFonts w:eastAsia="新細明體" w:cs="Segoe UI" w:hint="eastAsia"/>
                <w:sz w:val="17"/>
                <w:lang w:eastAsia="zh-HK"/>
              </w:rPr>
              <w:t>（</w:t>
            </w:r>
            <w:r w:rsidRPr="005A22C2">
              <w:rPr>
                <w:rFonts w:eastAsia="新細明體" w:cs="Segoe UI" w:hint="eastAsia"/>
                <w:kern w:val="2"/>
                <w:sz w:val="17"/>
                <w:szCs w:val="17"/>
                <w:lang w:eastAsia="zh-HK"/>
              </w:rPr>
              <w:t>是</w:t>
            </w:r>
            <w:r w:rsidR="00E9755B" w:rsidRPr="005A22C2">
              <w:rPr>
                <w:rFonts w:eastAsia="新細明體" w:cs="Segoe UI" w:hint="eastAsia"/>
                <w:kern w:val="2"/>
                <w:sz w:val="17"/>
                <w:szCs w:val="17"/>
                <w:lang w:eastAsia="zh-HK"/>
              </w:rPr>
              <w:t xml:space="preserve"> </w:t>
            </w:r>
            <w:r w:rsidR="00E9755B" w:rsidRPr="005A22C2">
              <w:rPr>
                <w:rFonts w:eastAsia="新細明體" w:cs="Segoe UI"/>
                <w:kern w:val="2"/>
                <w:sz w:val="17"/>
                <w:szCs w:val="17"/>
                <w:lang w:eastAsia="zh-TW"/>
              </w:rPr>
              <w:t>/</w:t>
            </w:r>
            <w:r w:rsidRPr="005A22C2">
              <w:rPr>
                <w:rFonts w:eastAsia="新細明體" w:cs="Segoe UI"/>
                <w:kern w:val="2"/>
                <w:sz w:val="17"/>
                <w:szCs w:val="17"/>
                <w:lang w:eastAsia="zh-TW"/>
              </w:rPr>
              <w:t xml:space="preserve"> </w:t>
            </w:r>
            <w:r w:rsidRPr="005A22C2">
              <w:rPr>
                <w:rFonts w:eastAsia="新細明體" w:cs="Segoe UI" w:hint="eastAsia"/>
                <w:kern w:val="2"/>
                <w:sz w:val="17"/>
                <w:szCs w:val="17"/>
                <w:lang w:eastAsia="zh-HK"/>
              </w:rPr>
              <w:t>否</w:t>
            </w:r>
            <w:r w:rsidR="00E9755B" w:rsidRPr="005A22C2">
              <w:rPr>
                <w:rFonts w:ascii="新細明體" w:eastAsia="新細明體" w:hAnsi="新細明體" w:cs="Segoe UI" w:hint="eastAsia"/>
                <w:sz w:val="17"/>
                <w:szCs w:val="17"/>
                <w:lang w:eastAsia="zh-TW"/>
              </w:rPr>
              <w:t>）</w:t>
            </w:r>
            <w:r w:rsidR="00E9755B" w:rsidRPr="005A22C2">
              <w:rPr>
                <w:rFonts w:eastAsia="新細明體" w:cs="Segoe UI" w:hint="eastAsia"/>
                <w:kern w:val="2"/>
                <w:sz w:val="17"/>
                <w:szCs w:val="17"/>
                <w:lang w:eastAsia="zh-TW"/>
              </w:rPr>
              <w:t>？</w:t>
            </w:r>
          </w:p>
        </w:tc>
        <w:tc>
          <w:tcPr>
            <w:tcW w:w="3680" w:type="pct"/>
            <w:gridSpan w:val="11"/>
            <w:tcBorders>
              <w:top w:val="single" w:sz="8" w:space="0" w:color="auto"/>
              <w:left w:val="single" w:sz="4" w:space="0" w:color="BCBCBD"/>
              <w:bottom w:val="nil"/>
              <w:right w:val="single" w:sz="4" w:space="0" w:color="auto"/>
            </w:tcBorders>
          </w:tcPr>
          <w:p w14:paraId="7608116C" w14:textId="77777777" w:rsidR="00E9755B" w:rsidRPr="005A22C2" w:rsidRDefault="00E9755B"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4CA641B2" w14:textId="77777777" w:rsidTr="005B393E">
        <w:trPr>
          <w:trHeight w:val="230"/>
        </w:trPr>
        <w:tc>
          <w:tcPr>
            <w:tcW w:w="319" w:type="pct"/>
            <w:tcBorders>
              <w:top w:val="single" w:sz="8" w:space="0" w:color="auto"/>
              <w:left w:val="nil"/>
              <w:bottom w:val="nil"/>
              <w:right w:val="single" w:sz="4" w:space="0" w:color="BCBCBD"/>
            </w:tcBorders>
            <w:noWrap/>
            <w:vAlign w:val="center"/>
          </w:tcPr>
          <w:p w14:paraId="1985A729"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12</w:t>
            </w:r>
          </w:p>
        </w:tc>
        <w:tc>
          <w:tcPr>
            <w:tcW w:w="1001" w:type="pct"/>
            <w:tcBorders>
              <w:top w:val="single" w:sz="8" w:space="0" w:color="auto"/>
              <w:left w:val="single" w:sz="4" w:space="0" w:color="BCBCBD"/>
              <w:bottom w:val="nil"/>
              <w:right w:val="single" w:sz="4" w:space="0" w:color="BCBCBD"/>
            </w:tcBorders>
            <w:vAlign w:val="center"/>
          </w:tcPr>
          <w:p w14:paraId="376A7F1A" w14:textId="5E154E52" w:rsidR="00E9755B" w:rsidRPr="005A22C2" w:rsidRDefault="00E9755B" w:rsidP="00607CFC">
            <w:pPr>
              <w:keepNext/>
              <w:tabs>
                <w:tab w:val="decimal" w:pos="474"/>
                <w:tab w:val="left" w:pos="794"/>
              </w:tabs>
              <w:adjustRightInd w:val="0"/>
              <w:snapToGrid w:val="0"/>
              <w:spacing w:before="40" w:after="40"/>
              <w:jc w:val="both"/>
              <w:rPr>
                <w:rFonts w:ascii="新細明體" w:eastAsia="新細明體" w:hAnsi="新細明體" w:cs="Segoe UI"/>
                <w:sz w:val="17"/>
                <w:szCs w:val="17"/>
                <w:lang w:eastAsia="zh-HK"/>
              </w:rPr>
            </w:pPr>
            <w:r w:rsidRPr="005A22C2">
              <w:rPr>
                <w:rFonts w:ascii="新細明體" w:eastAsia="新細明體" w:hAnsi="新細明體" w:cs="Segoe UI" w:hint="eastAsia"/>
                <w:sz w:val="17"/>
                <w:szCs w:val="17"/>
                <w:lang w:eastAsia="zh-HK"/>
              </w:rPr>
              <w:t>若在第</w:t>
            </w:r>
            <w:r w:rsidRPr="005A22C2">
              <w:rPr>
                <w:rFonts w:eastAsia="新細明體" w:cs="Segoe UI"/>
                <w:sz w:val="17"/>
                <w:szCs w:val="17"/>
                <w:lang w:eastAsia="zh-HK"/>
              </w:rPr>
              <w:t>11</w:t>
            </w:r>
            <w:r w:rsidR="00607CFC" w:rsidRPr="005A22C2">
              <w:rPr>
                <w:rFonts w:ascii="新細明體" w:eastAsia="新細明體" w:hAnsi="新細明體" w:cs="Segoe UI" w:hint="eastAsia"/>
                <w:sz w:val="17"/>
                <w:szCs w:val="17"/>
                <w:lang w:eastAsia="zh-HK"/>
              </w:rPr>
              <w:t>行填「</w:t>
            </w:r>
            <w:r w:rsidR="00607CFC" w:rsidRPr="005A22C2">
              <w:rPr>
                <w:rFonts w:eastAsia="新細明體" w:cs="Segoe UI" w:hint="eastAsia"/>
                <w:kern w:val="2"/>
                <w:sz w:val="17"/>
                <w:szCs w:val="17"/>
                <w:lang w:eastAsia="zh-HK"/>
              </w:rPr>
              <w:t>否</w:t>
            </w:r>
            <w:r w:rsidR="00791F4D" w:rsidRPr="005A22C2">
              <w:rPr>
                <w:rFonts w:ascii="新細明體" w:eastAsia="新細明體" w:hAnsi="新細明體" w:cs="Segoe UI" w:hint="eastAsia"/>
                <w:sz w:val="17"/>
                <w:szCs w:val="17"/>
                <w:lang w:eastAsia="zh-HK"/>
              </w:rPr>
              <w:t>」，內部</w:t>
            </w:r>
            <w:r w:rsidR="00791F4D" w:rsidRPr="005A22C2">
              <w:rPr>
                <w:rFonts w:eastAsia="新細明體" w:cs="Segoe UI" w:hint="eastAsia"/>
                <w:kern w:val="2"/>
                <w:sz w:val="17"/>
                <w:szCs w:val="17"/>
                <w:lang w:eastAsia="zh-HK"/>
              </w:rPr>
              <w:t>虧</w:t>
            </w:r>
            <w:r w:rsidR="00791F4D" w:rsidRPr="005A22C2">
              <w:rPr>
                <w:rFonts w:eastAsia="新細明體" w:cs="Segoe UI" w:hint="eastAsia"/>
                <w:kern w:val="2"/>
                <w:sz w:val="17"/>
                <w:szCs w:val="17"/>
                <w:lang w:eastAsia="zh-TW"/>
              </w:rPr>
              <w:t>損</w:t>
            </w:r>
            <w:r w:rsidRPr="005A22C2">
              <w:rPr>
                <w:rFonts w:ascii="新細明體" w:eastAsia="新細明體" w:hAnsi="新細明體" w:cs="Segoe UI" w:hint="eastAsia"/>
                <w:sz w:val="17"/>
                <w:szCs w:val="17"/>
                <w:lang w:eastAsia="zh-HK"/>
              </w:rPr>
              <w:t>數據的豁除是否因不符合</w:t>
            </w:r>
            <w:r w:rsidR="00607CFC" w:rsidRPr="005A22C2">
              <w:rPr>
                <w:rFonts w:ascii="新細明體" w:eastAsia="新細明體" w:hAnsi="新細明體" w:cs="Segoe UI" w:hint="eastAsia"/>
                <w:sz w:val="17"/>
                <w:szCs w:val="17"/>
                <w:lang w:eastAsia="zh-HK"/>
              </w:rPr>
              <w:t>虧</w:t>
            </w:r>
            <w:r w:rsidRPr="005A22C2">
              <w:rPr>
                <w:rFonts w:ascii="新細明體" w:eastAsia="新細明體" w:hAnsi="新細明體" w:cs="Segoe UI" w:hint="eastAsia"/>
                <w:sz w:val="17"/>
                <w:szCs w:val="17"/>
                <w:lang w:eastAsia="zh-HK"/>
              </w:rPr>
              <w:t>損數據</w:t>
            </w:r>
            <w:r w:rsidR="00607CFC" w:rsidRPr="005A22C2">
              <w:rPr>
                <w:rFonts w:ascii="新細明體" w:eastAsia="新細明體" w:hAnsi="新細明體" w:cs="Segoe UI" w:hint="eastAsia"/>
                <w:sz w:val="17"/>
                <w:szCs w:val="17"/>
                <w:lang w:eastAsia="zh-HK"/>
              </w:rPr>
              <w:t>的最低</w:t>
            </w:r>
            <w:r w:rsidRPr="005A22C2">
              <w:rPr>
                <w:rFonts w:ascii="新細明體" w:eastAsia="新細明體" w:hAnsi="新細明體" w:cs="Segoe UI" w:hint="eastAsia"/>
                <w:sz w:val="17"/>
                <w:szCs w:val="17"/>
                <w:lang w:eastAsia="zh-HK"/>
              </w:rPr>
              <w:t>標準所致</w:t>
            </w:r>
            <w:r w:rsidRPr="005A22C2">
              <w:rPr>
                <w:rFonts w:eastAsia="新細明體" w:cs="Segoe UI" w:hint="eastAsia"/>
                <w:sz w:val="17"/>
                <w:lang w:eastAsia="zh-HK"/>
              </w:rPr>
              <w:t>（</w:t>
            </w:r>
            <w:r w:rsidRPr="005A22C2">
              <w:rPr>
                <w:rFonts w:ascii="新細明體" w:eastAsia="新細明體" w:hAnsi="新細明體" w:cs="Segoe UI" w:hint="eastAsia"/>
                <w:sz w:val="17"/>
                <w:szCs w:val="17"/>
                <w:lang w:eastAsia="zh-HK"/>
              </w:rPr>
              <w:t>是 /</w:t>
            </w:r>
            <w:r w:rsidRPr="005A22C2">
              <w:rPr>
                <w:rFonts w:ascii="新細明體" w:eastAsia="新細明體" w:hAnsi="新細明體" w:cs="Segoe UI"/>
                <w:sz w:val="17"/>
                <w:szCs w:val="17"/>
                <w:lang w:eastAsia="zh-HK"/>
              </w:rPr>
              <w:t xml:space="preserve"> </w:t>
            </w:r>
            <w:r w:rsidRPr="005A22C2">
              <w:rPr>
                <w:rFonts w:ascii="新細明體" w:eastAsia="新細明體" w:hAnsi="新細明體" w:cs="Segoe UI" w:hint="eastAsia"/>
                <w:sz w:val="17"/>
                <w:szCs w:val="17"/>
                <w:lang w:eastAsia="zh-HK"/>
              </w:rPr>
              <w:t>否</w:t>
            </w:r>
            <w:r w:rsidRPr="005A22C2">
              <w:rPr>
                <w:rFonts w:ascii="新細明體" w:eastAsia="新細明體" w:hAnsi="新細明體" w:cs="Segoe UI" w:hint="eastAsia"/>
                <w:sz w:val="17"/>
                <w:szCs w:val="17"/>
                <w:lang w:eastAsia="zh-TW"/>
              </w:rPr>
              <w:t>）</w:t>
            </w:r>
            <w:r w:rsidRPr="005A22C2">
              <w:rPr>
                <w:rFonts w:ascii="新細明體" w:eastAsia="新細明體" w:hAnsi="新細明體" w:cs="Segoe UI" w:hint="eastAsia"/>
                <w:sz w:val="17"/>
                <w:szCs w:val="17"/>
                <w:lang w:eastAsia="zh-HK"/>
              </w:rPr>
              <w:t>？</w:t>
            </w:r>
          </w:p>
        </w:tc>
        <w:tc>
          <w:tcPr>
            <w:tcW w:w="3680" w:type="pct"/>
            <w:gridSpan w:val="11"/>
            <w:tcBorders>
              <w:top w:val="single" w:sz="8" w:space="0" w:color="auto"/>
              <w:left w:val="single" w:sz="4" w:space="0" w:color="BCBCBD"/>
              <w:bottom w:val="nil"/>
              <w:right w:val="single" w:sz="4" w:space="0" w:color="auto"/>
            </w:tcBorders>
          </w:tcPr>
          <w:p w14:paraId="0B9ACC8F" w14:textId="17F1635E" w:rsidR="00E9755B" w:rsidRPr="005A22C2" w:rsidRDefault="00E9755B"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2CB343B8" w14:textId="77777777" w:rsidTr="009168E6">
        <w:trPr>
          <w:trHeight w:val="230"/>
        </w:trPr>
        <w:tc>
          <w:tcPr>
            <w:tcW w:w="319" w:type="pct"/>
            <w:tcBorders>
              <w:top w:val="single" w:sz="8" w:space="0" w:color="auto"/>
              <w:left w:val="nil"/>
              <w:bottom w:val="single" w:sz="8" w:space="0" w:color="auto"/>
              <w:right w:val="single" w:sz="4" w:space="0" w:color="BCBCBD"/>
            </w:tcBorders>
            <w:noWrap/>
            <w:vAlign w:val="center"/>
            <w:hideMark/>
          </w:tcPr>
          <w:p w14:paraId="213328E6" w14:textId="77777777" w:rsidR="00E9755B" w:rsidRPr="005A22C2" w:rsidRDefault="00E9755B" w:rsidP="009C54A9">
            <w:pPr>
              <w:tabs>
                <w:tab w:val="decimal" w:pos="474"/>
                <w:tab w:val="left" w:pos="794"/>
              </w:tabs>
              <w:adjustRightInd w:val="0"/>
              <w:snapToGrid w:val="0"/>
              <w:spacing w:before="40" w:after="40"/>
              <w:ind w:left="170"/>
              <w:rPr>
                <w:rFonts w:eastAsia="新細明體" w:cs="Segoe UI"/>
                <w:kern w:val="2"/>
                <w:sz w:val="17"/>
                <w:szCs w:val="17"/>
                <w:lang w:eastAsia="ja-JP"/>
              </w:rPr>
            </w:pPr>
            <w:r w:rsidRPr="005A22C2">
              <w:rPr>
                <w:rFonts w:eastAsia="新細明體" w:cs="Segoe UI"/>
                <w:kern w:val="2"/>
                <w:sz w:val="17"/>
                <w:szCs w:val="17"/>
                <w:lang w:eastAsia="ja-JP"/>
              </w:rPr>
              <w:t>13</w:t>
            </w:r>
          </w:p>
        </w:tc>
        <w:tc>
          <w:tcPr>
            <w:tcW w:w="1001" w:type="pct"/>
            <w:tcBorders>
              <w:top w:val="single" w:sz="8" w:space="0" w:color="auto"/>
              <w:left w:val="single" w:sz="4" w:space="0" w:color="BCBCBD"/>
              <w:bottom w:val="single" w:sz="8" w:space="0" w:color="auto"/>
              <w:right w:val="single" w:sz="4" w:space="0" w:color="BCBCBD"/>
            </w:tcBorders>
            <w:vAlign w:val="center"/>
            <w:hideMark/>
          </w:tcPr>
          <w:p w14:paraId="42B4D439" w14:textId="77777777" w:rsidR="00E9755B" w:rsidRPr="005A22C2" w:rsidRDefault="00E9755B" w:rsidP="009C54A9">
            <w:pPr>
              <w:keepNext/>
              <w:tabs>
                <w:tab w:val="decimal" w:pos="474"/>
                <w:tab w:val="left" w:pos="794"/>
              </w:tabs>
              <w:adjustRightInd w:val="0"/>
              <w:snapToGrid w:val="0"/>
              <w:spacing w:before="40" w:after="40"/>
              <w:jc w:val="both"/>
              <w:rPr>
                <w:rFonts w:eastAsia="新細明體" w:cs="Segoe UI"/>
                <w:kern w:val="2"/>
                <w:sz w:val="17"/>
                <w:szCs w:val="17"/>
                <w:lang w:eastAsia="zh-TW"/>
              </w:rPr>
            </w:pP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kern w:val="2"/>
                <w:sz w:val="17"/>
                <w:szCs w:val="17"/>
                <w:lang w:eastAsia="zh-HK"/>
              </w:rPr>
              <w:t>事件門檻</w:t>
            </w:r>
            <w:r w:rsidRPr="005A22C2">
              <w:rPr>
                <w:rFonts w:eastAsia="新細明體" w:cs="Segoe UI" w:hint="eastAsia"/>
                <w:kern w:val="2"/>
                <w:sz w:val="17"/>
                <w:szCs w:val="17"/>
                <w:lang w:eastAsia="zh-TW"/>
              </w:rPr>
              <w:t>：</w:t>
            </w:r>
            <w:r w:rsidRPr="005A22C2">
              <w:rPr>
                <w:rFonts w:eastAsia="新細明體" w:cs="Segoe UI" w:hint="eastAsia"/>
                <w:kern w:val="2"/>
                <w:sz w:val="17"/>
                <w:szCs w:val="17"/>
                <w:lang w:eastAsia="zh-HK"/>
              </w:rPr>
              <w:t>就</w:t>
            </w:r>
            <w:r w:rsidRPr="005A22C2">
              <w:rPr>
                <w:rFonts w:eastAsia="新細明體" w:cs="Segoe UI"/>
                <w:kern w:val="2"/>
                <w:sz w:val="17"/>
                <w:szCs w:val="17"/>
                <w:lang w:eastAsia="zh-TW"/>
              </w:rPr>
              <w:t>業務操作風險</w:t>
            </w:r>
            <w:r w:rsidRPr="005A22C2">
              <w:rPr>
                <w:rFonts w:eastAsia="新細明體" w:cs="Segoe UI" w:hint="eastAsia"/>
                <w:kern w:val="2"/>
                <w:sz w:val="17"/>
                <w:szCs w:val="17"/>
                <w:lang w:eastAsia="zh-HK"/>
              </w:rPr>
              <w:t>資本</w:t>
            </w:r>
            <w:r w:rsidRPr="005A22C2">
              <w:rPr>
                <w:rFonts w:eastAsia="新細明體" w:cs="Segoe UI"/>
                <w:sz w:val="17"/>
                <w:szCs w:val="17"/>
                <w:lang w:eastAsia="zh-TW"/>
              </w:rPr>
              <w:t>要求</w:t>
            </w:r>
            <w:r w:rsidRPr="005A22C2">
              <w:rPr>
                <w:rFonts w:eastAsia="新細明體" w:cs="Segoe UI" w:hint="eastAsia"/>
                <w:kern w:val="2"/>
                <w:sz w:val="17"/>
                <w:szCs w:val="17"/>
                <w:lang w:eastAsia="zh-HK"/>
              </w:rPr>
              <w:t>計算而言</w:t>
            </w:r>
            <w:r w:rsidRPr="005A22C2">
              <w:rPr>
                <w:rFonts w:eastAsia="新細明體" w:cs="Segoe UI" w:hint="eastAsia"/>
                <w:kern w:val="2"/>
                <w:sz w:val="17"/>
                <w:szCs w:val="17"/>
                <w:lang w:eastAsia="zh-TW"/>
              </w:rPr>
              <w:t>，</w:t>
            </w:r>
            <w:r w:rsidRPr="005A22C2">
              <w:rPr>
                <w:rFonts w:eastAsia="新細明體" w:cs="Segoe UI" w:hint="eastAsia"/>
                <w:kern w:val="2"/>
                <w:sz w:val="17"/>
                <w:szCs w:val="17"/>
                <w:lang w:eastAsia="zh-TW"/>
              </w:rPr>
              <w:t>20</w:t>
            </w:r>
            <w:r w:rsidRPr="005A22C2">
              <w:rPr>
                <w:rFonts w:eastAsia="新細明體" w:cs="Segoe UI" w:hint="eastAsia"/>
                <w:kern w:val="2"/>
                <w:sz w:val="17"/>
                <w:szCs w:val="17"/>
                <w:lang w:eastAsia="zh-HK"/>
              </w:rPr>
              <w:t>萬或</w:t>
            </w:r>
            <w:r w:rsidRPr="005A22C2">
              <w:rPr>
                <w:rFonts w:eastAsia="新細明體" w:cs="Segoe UI" w:hint="eastAsia"/>
                <w:kern w:val="2"/>
                <w:sz w:val="17"/>
                <w:szCs w:val="17"/>
                <w:lang w:eastAsia="zh-TW"/>
              </w:rPr>
              <w:t>100</w:t>
            </w:r>
            <w:r w:rsidRPr="005A22C2">
              <w:rPr>
                <w:rFonts w:eastAsia="新細明體" w:cs="Segoe UI" w:hint="eastAsia"/>
                <w:kern w:val="2"/>
                <w:sz w:val="17"/>
                <w:szCs w:val="17"/>
                <w:lang w:eastAsia="zh-HK"/>
              </w:rPr>
              <w:t>萬港元</w:t>
            </w:r>
            <w:r w:rsidRPr="005A22C2">
              <w:rPr>
                <w:rFonts w:eastAsia="新細明體" w:cs="Segoe UI" w:hint="eastAsia"/>
                <w:sz w:val="17"/>
                <w:lang w:eastAsia="zh-HK"/>
              </w:rPr>
              <w:t>（</w:t>
            </w:r>
            <w:r w:rsidRPr="005A22C2">
              <w:rPr>
                <w:rFonts w:eastAsia="新細明體" w:cs="Segoe UI" w:hint="eastAsia"/>
                <w:kern w:val="2"/>
                <w:sz w:val="17"/>
                <w:szCs w:val="17"/>
                <w:lang w:eastAsia="zh-HK"/>
              </w:rPr>
              <w:t>若適用</w:t>
            </w:r>
            <w:r w:rsidRPr="005A22C2">
              <w:rPr>
                <w:rFonts w:ascii="新細明體" w:eastAsia="新細明體" w:hAnsi="新細明體" w:cs="Segoe UI" w:hint="eastAsia"/>
                <w:sz w:val="17"/>
                <w:szCs w:val="17"/>
                <w:lang w:eastAsia="zh-TW"/>
              </w:rPr>
              <w:t>）</w:t>
            </w:r>
          </w:p>
        </w:tc>
        <w:tc>
          <w:tcPr>
            <w:tcW w:w="3680" w:type="pct"/>
            <w:gridSpan w:val="11"/>
            <w:tcBorders>
              <w:top w:val="single" w:sz="8" w:space="0" w:color="auto"/>
              <w:left w:val="single" w:sz="4" w:space="0" w:color="BCBCBD"/>
              <w:bottom w:val="single" w:sz="8" w:space="0" w:color="auto"/>
              <w:right w:val="single" w:sz="4" w:space="0" w:color="auto"/>
            </w:tcBorders>
          </w:tcPr>
          <w:p w14:paraId="2E3E724A" w14:textId="77777777" w:rsidR="00E9755B" w:rsidRPr="005A22C2" w:rsidRDefault="00E9755B" w:rsidP="009C54A9">
            <w:pPr>
              <w:tabs>
                <w:tab w:val="decimal" w:pos="474"/>
                <w:tab w:val="left" w:pos="794"/>
              </w:tabs>
              <w:adjustRightInd w:val="0"/>
              <w:snapToGrid w:val="0"/>
              <w:spacing w:before="40" w:after="40"/>
              <w:jc w:val="both"/>
              <w:rPr>
                <w:rFonts w:eastAsia="DengXian" w:cs="Segoe UI"/>
                <w:kern w:val="2"/>
                <w:sz w:val="18"/>
                <w:szCs w:val="18"/>
                <w:lang w:eastAsia="zh-TW"/>
              </w:rPr>
            </w:pPr>
          </w:p>
        </w:tc>
      </w:tr>
      <w:tr w:rsidR="005A22C2" w:rsidRPr="005A22C2" w14:paraId="5E0DBCA6" w14:textId="77777777" w:rsidTr="009168E6">
        <w:trPr>
          <w:trHeight w:val="230"/>
        </w:trPr>
        <w:tc>
          <w:tcPr>
            <w:tcW w:w="5000" w:type="pct"/>
            <w:gridSpan w:val="13"/>
            <w:tcBorders>
              <w:top w:val="single" w:sz="8" w:space="0" w:color="auto"/>
              <w:left w:val="nil"/>
              <w:bottom w:val="single" w:sz="4" w:space="0" w:color="auto"/>
              <w:right w:val="single" w:sz="4" w:space="0" w:color="auto"/>
            </w:tcBorders>
            <w:vAlign w:val="center"/>
          </w:tcPr>
          <w:p w14:paraId="29F688CE" w14:textId="77777777" w:rsidR="00A02199" w:rsidRPr="005A22C2" w:rsidRDefault="00DF648B" w:rsidP="009C54A9">
            <w:pPr>
              <w:tabs>
                <w:tab w:val="decimal" w:pos="474"/>
                <w:tab w:val="left" w:pos="794"/>
              </w:tabs>
              <w:adjustRightInd w:val="0"/>
              <w:snapToGrid w:val="0"/>
              <w:spacing w:before="40" w:after="40"/>
              <w:jc w:val="both"/>
              <w:rPr>
                <w:rFonts w:ascii="細明體" w:eastAsia="細明體" w:hAnsi="細明體" w:cs="Segoe UI"/>
                <w:i/>
                <w:kern w:val="2"/>
                <w:sz w:val="17"/>
                <w:szCs w:val="17"/>
                <w:lang w:eastAsia="zh-TW"/>
              </w:rPr>
            </w:pPr>
            <w:r w:rsidRPr="005A22C2">
              <w:rPr>
                <w:rFonts w:ascii="新細明體" w:eastAsia="新細明體" w:hAnsi="新細明體" w:cs="Segoe UI" w:hint="eastAsia"/>
                <w:i/>
                <w:kern w:val="2"/>
                <w:sz w:val="17"/>
                <w:szCs w:val="17"/>
                <w:lang w:eastAsia="zh-TW"/>
              </w:rPr>
              <w:t>注意事項</w:t>
            </w:r>
            <w:r w:rsidRPr="005A22C2">
              <w:rPr>
                <w:rFonts w:ascii="細明體" w:eastAsia="細明體" w:hAnsi="細明體" w:cs="Segoe UI" w:hint="eastAsia"/>
                <w:i/>
                <w:kern w:val="2"/>
                <w:sz w:val="17"/>
                <w:szCs w:val="17"/>
                <w:lang w:eastAsia="zh-TW"/>
              </w:rPr>
              <w:t>：</w:t>
            </w:r>
          </w:p>
          <w:p w14:paraId="74EBC4D2" w14:textId="1CF14C07" w:rsidR="00DF648B" w:rsidRPr="005A22C2" w:rsidRDefault="00DF648B" w:rsidP="00D540EB">
            <w:pPr>
              <w:pStyle w:val="ListParagraph"/>
              <w:keepLines/>
              <w:widowControl w:val="0"/>
              <w:numPr>
                <w:ilvl w:val="0"/>
                <w:numId w:val="58"/>
              </w:numPr>
              <w:snapToGrid w:val="0"/>
              <w:spacing w:before="20" w:after="20"/>
              <w:ind w:leftChars="0" w:left="261" w:right="-760" w:hanging="261"/>
              <w:jc w:val="both"/>
              <w:rPr>
                <w:rFonts w:ascii="細明體" w:eastAsia="細明體" w:hAnsi="細明體" w:cs="Segoe UI"/>
                <w:i/>
                <w:kern w:val="2"/>
                <w:sz w:val="17"/>
                <w:szCs w:val="17"/>
                <w:lang w:eastAsia="zh-TW"/>
              </w:rPr>
            </w:pPr>
            <w:r w:rsidRPr="005A22C2">
              <w:rPr>
                <w:rFonts w:eastAsia="新細明體" w:cs="Segoe UI" w:hint="eastAsia"/>
                <w:kern w:val="2"/>
                <w:sz w:val="17"/>
                <w:szCs w:val="17"/>
                <w:lang w:eastAsia="zh-HK"/>
              </w:rPr>
              <w:t>虧</w:t>
            </w:r>
            <w:r w:rsidRPr="005A22C2">
              <w:rPr>
                <w:rFonts w:eastAsia="新細明體" w:cs="Segoe UI" w:hint="eastAsia"/>
                <w:kern w:val="2"/>
                <w:sz w:val="17"/>
                <w:szCs w:val="17"/>
                <w:lang w:eastAsia="zh-TW"/>
              </w:rPr>
              <w:t>損</w:t>
            </w:r>
            <w:r w:rsidRPr="005A22C2">
              <w:rPr>
                <w:rFonts w:eastAsia="新細明體" w:cs="Segoe UI" w:hint="eastAsia"/>
                <w:sz w:val="17"/>
                <w:szCs w:val="17"/>
                <w:lang w:eastAsia="zh-HK"/>
              </w:rPr>
              <w:t>數額及相關收回</w:t>
            </w:r>
            <w:r w:rsidR="002E2181" w:rsidRPr="005A22C2">
              <w:rPr>
                <w:rFonts w:eastAsia="新細明體" w:cs="Segoe UI" w:hint="eastAsia"/>
                <w:kern w:val="2"/>
                <w:sz w:val="17"/>
                <w:szCs w:val="17"/>
                <w:lang w:eastAsia="zh-HK"/>
              </w:rPr>
              <w:t>數額</w:t>
            </w:r>
            <w:r w:rsidRPr="005A22C2">
              <w:rPr>
                <w:rFonts w:eastAsia="新細明體" w:cs="Segoe UI" w:hint="eastAsia"/>
                <w:sz w:val="17"/>
                <w:lang w:eastAsia="zh-HK"/>
              </w:rPr>
              <w:t>（</w:t>
            </w:r>
            <w:r w:rsidRPr="005A22C2">
              <w:rPr>
                <w:rFonts w:eastAsia="新細明體" w:cs="Segoe UI" w:hint="eastAsia"/>
                <w:sz w:val="17"/>
                <w:szCs w:val="17"/>
                <w:lang w:eastAsia="zh-HK"/>
              </w:rPr>
              <w:t>即</w:t>
            </w:r>
            <w:r w:rsidRPr="005A22C2">
              <w:rPr>
                <w:rFonts w:eastAsia="新細明體" w:cs="Segoe UI" w:hint="eastAsia"/>
                <w:sz w:val="17"/>
                <w:szCs w:val="17"/>
                <w:lang w:eastAsia="zh-TW"/>
              </w:rPr>
              <w:t>款額</w:t>
            </w:r>
            <w:r w:rsidRPr="005A22C2">
              <w:rPr>
                <w:rFonts w:eastAsia="新細明體" w:cs="Segoe UI" w:hint="eastAsia"/>
                <w:sz w:val="17"/>
                <w:szCs w:val="17"/>
                <w:lang w:eastAsia="zh-HK"/>
              </w:rPr>
              <w:t>的收取</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HK"/>
              </w:rPr>
              <w:t>應於其被記入財務報表的周年報告期填報</w:t>
            </w:r>
            <w:r w:rsidRPr="005A22C2">
              <w:rPr>
                <w:rFonts w:eastAsia="新細明體" w:cs="Segoe UI" w:hint="eastAsia"/>
                <w:sz w:val="17"/>
                <w:szCs w:val="17"/>
                <w:lang w:eastAsia="zh-TW"/>
              </w:rPr>
              <w:t>。</w:t>
            </w:r>
          </w:p>
          <w:p w14:paraId="66CCFB4B" w14:textId="7B0B4A9A" w:rsidR="00DF648B" w:rsidRPr="005A22C2" w:rsidRDefault="00DF648B" w:rsidP="00D540EB">
            <w:pPr>
              <w:pStyle w:val="ListParagraph"/>
              <w:keepLines/>
              <w:widowControl w:val="0"/>
              <w:numPr>
                <w:ilvl w:val="0"/>
                <w:numId w:val="58"/>
              </w:numPr>
              <w:snapToGrid w:val="0"/>
              <w:spacing w:before="20" w:after="20"/>
              <w:ind w:leftChars="0" w:left="261" w:hanging="261"/>
              <w:jc w:val="both"/>
              <w:rPr>
                <w:rFonts w:ascii="細明體" w:eastAsia="細明體" w:hAnsi="細明體" w:cs="Segoe UI"/>
                <w:i/>
                <w:kern w:val="2"/>
                <w:sz w:val="17"/>
                <w:szCs w:val="17"/>
                <w:lang w:eastAsia="zh-TW"/>
              </w:rPr>
            </w:pPr>
            <w:r w:rsidRPr="005A22C2">
              <w:rPr>
                <w:rFonts w:eastAsia="新細明體" w:cs="Segoe UI" w:hint="eastAsia"/>
                <w:sz w:val="17"/>
                <w:szCs w:val="17"/>
                <w:lang w:eastAsia="zh-HK"/>
              </w:rPr>
              <w:t>認可機構必須使用會計日期來建立</w:t>
            </w:r>
            <w:r w:rsidRPr="005A22C2">
              <w:rPr>
                <w:rFonts w:ascii="新細明體" w:eastAsia="新細明體" w:hAnsi="新細明體" w:cs="Segoe UI" w:hint="eastAsia"/>
                <w:sz w:val="17"/>
                <w:szCs w:val="17"/>
                <w:lang w:eastAsia="zh-HK"/>
              </w:rPr>
              <w:t>虧損</w:t>
            </w:r>
            <w:r w:rsidRPr="005A22C2">
              <w:rPr>
                <w:rFonts w:eastAsia="新細明體" w:cs="Segoe UI" w:hint="eastAsia"/>
                <w:sz w:val="17"/>
                <w:szCs w:val="17"/>
                <w:lang w:eastAsia="zh-HK"/>
              </w:rPr>
              <w:t>數據集</w:t>
            </w:r>
            <w:r w:rsidRPr="005A22C2">
              <w:rPr>
                <w:rFonts w:eastAsia="新細明體" w:cs="Segoe UI" w:hint="eastAsia"/>
                <w:sz w:val="17"/>
                <w:szCs w:val="17"/>
                <w:lang w:eastAsia="zh-TW"/>
              </w:rPr>
              <w:t>。</w:t>
            </w:r>
            <w:r w:rsidRPr="005A22C2">
              <w:rPr>
                <w:rFonts w:eastAsia="新細明體" w:cs="Segoe UI" w:hint="eastAsia"/>
                <w:sz w:val="17"/>
                <w:szCs w:val="17"/>
                <w:lang w:eastAsia="zh-HK"/>
              </w:rPr>
              <w:t>這是</w:t>
            </w:r>
            <w:r w:rsidRPr="005A22C2">
              <w:rPr>
                <w:rFonts w:eastAsia="新細明體" w:cs="Segoe UI" w:hint="eastAsia"/>
                <w:sz w:val="17"/>
                <w:szCs w:val="17"/>
                <w:lang w:eastAsia="zh-TW"/>
              </w:rPr>
              <w:t>(</w:t>
            </w:r>
            <w:proofErr w:type="spellStart"/>
            <w:r w:rsidRPr="005A22C2">
              <w:rPr>
                <w:rFonts w:eastAsia="新細明體" w:cs="Segoe UI"/>
                <w:sz w:val="17"/>
                <w:szCs w:val="17"/>
                <w:lang w:eastAsia="zh-HK"/>
              </w:rPr>
              <w:t>i</w:t>
            </w:r>
            <w:proofErr w:type="spellEnd"/>
            <w:r w:rsidRPr="005A22C2">
              <w:rPr>
                <w:rFonts w:eastAsia="新細明體" w:cs="Segoe UI"/>
                <w:sz w:val="17"/>
                <w:szCs w:val="17"/>
                <w:lang w:eastAsia="zh-HK"/>
              </w:rPr>
              <w:t>)</w:t>
            </w:r>
            <w:r w:rsidRPr="005A22C2">
              <w:rPr>
                <w:rFonts w:ascii="新細明體" w:eastAsia="新細明體" w:hAnsi="新細明體" w:cs="Segoe UI" w:hint="eastAsia"/>
                <w:sz w:val="17"/>
                <w:szCs w:val="17"/>
                <w:lang w:eastAsia="zh-HK"/>
              </w:rPr>
              <w:t>虧損事件引致的虧損或就虧損提撥的儲備或準備金在認可機構的損益表內入帳之日</w:t>
            </w:r>
            <w:r w:rsidRPr="005A22C2">
              <w:rPr>
                <w:rFonts w:eastAsia="新細明體" w:cs="Segoe UI" w:hint="eastAsia"/>
                <w:sz w:val="17"/>
                <w:lang w:eastAsia="zh-HK"/>
              </w:rPr>
              <w:t>（</w:t>
            </w:r>
            <w:r w:rsidRPr="005A22C2">
              <w:rPr>
                <w:rFonts w:ascii="新細明體" w:eastAsia="新細明體" w:hAnsi="新細明體" w:cs="Segoe UI" w:hint="eastAsia"/>
                <w:sz w:val="17"/>
                <w:szCs w:val="17"/>
                <w:lang w:eastAsia="zh-HK"/>
              </w:rPr>
              <w:t>可多於一日</w:t>
            </w:r>
            <w:r w:rsidRPr="005A22C2">
              <w:rPr>
                <w:rFonts w:ascii="新細明體" w:eastAsia="新細明體" w:hAnsi="新細明體" w:cs="Segoe UI" w:hint="eastAsia"/>
                <w:sz w:val="17"/>
                <w:szCs w:val="17"/>
                <w:lang w:eastAsia="zh-TW"/>
              </w:rPr>
              <w:t>）</w:t>
            </w:r>
            <w:r w:rsidRPr="005A22C2">
              <w:rPr>
                <w:rFonts w:ascii="新細明體" w:eastAsia="新細明體" w:hAnsi="新細明體" w:cs="Segoe UI" w:hint="eastAsia"/>
                <w:sz w:val="17"/>
                <w:szCs w:val="17"/>
                <w:lang w:eastAsia="zh-HK"/>
              </w:rPr>
              <w:t>，或</w:t>
            </w:r>
            <w:r w:rsidRPr="005A22C2">
              <w:rPr>
                <w:rFonts w:eastAsia="新細明體" w:cs="Segoe UI"/>
                <w:sz w:val="17"/>
                <w:szCs w:val="17"/>
                <w:lang w:eastAsia="zh-HK"/>
              </w:rPr>
              <w:t>(ii)</w:t>
            </w:r>
            <w:r w:rsidRPr="005A22C2">
              <w:rPr>
                <w:rFonts w:ascii="新細明體" w:eastAsia="新細明體" w:hAnsi="新細明體" w:cs="Segoe UI" w:hint="eastAsia"/>
                <w:sz w:val="17"/>
                <w:szCs w:val="17"/>
                <w:lang w:eastAsia="zh-HK"/>
              </w:rPr>
              <w:t>就與法律事件相關的虧損而言，為可能於損益表內列帳的估計虧損設立法</w:t>
            </w:r>
            <w:r w:rsidR="00145F3E">
              <w:rPr>
                <w:rFonts w:ascii="新細明體" w:eastAsia="新細明體" w:hAnsi="新細明體" w:cs="Segoe UI" w:hint="eastAsia"/>
                <w:sz w:val="17"/>
                <w:szCs w:val="17"/>
                <w:lang w:eastAsia="zh-HK"/>
              </w:rPr>
              <w:t>律</w:t>
            </w:r>
            <w:r w:rsidRPr="005A22C2">
              <w:rPr>
                <w:rFonts w:ascii="新細明體" w:eastAsia="新細明體" w:hAnsi="新細明體" w:cs="Segoe UI" w:hint="eastAsia"/>
                <w:sz w:val="17"/>
                <w:szCs w:val="17"/>
                <w:lang w:eastAsia="zh-HK"/>
              </w:rPr>
              <w:t>儲備之日</w:t>
            </w:r>
            <w:r w:rsidRPr="005A22C2">
              <w:rPr>
                <w:rFonts w:eastAsia="新細明體" w:cs="Segoe UI" w:hint="eastAsia"/>
                <w:sz w:val="17"/>
                <w:szCs w:val="17"/>
                <w:lang w:eastAsia="zh-TW"/>
              </w:rPr>
              <w:t>。</w:t>
            </w:r>
          </w:p>
          <w:p w14:paraId="3F8DE7B4" w14:textId="77777777" w:rsidR="00DF648B" w:rsidRPr="005A22C2" w:rsidRDefault="00DF648B" w:rsidP="00D540EB">
            <w:pPr>
              <w:pStyle w:val="ListParagraph"/>
              <w:keepLines/>
              <w:widowControl w:val="0"/>
              <w:numPr>
                <w:ilvl w:val="0"/>
                <w:numId w:val="58"/>
              </w:numPr>
              <w:snapToGrid w:val="0"/>
              <w:spacing w:before="20" w:after="20"/>
              <w:ind w:leftChars="0" w:left="261" w:hanging="261"/>
              <w:jc w:val="both"/>
              <w:rPr>
                <w:rFonts w:ascii="細明體" w:eastAsia="細明體" w:hAnsi="細明體" w:cs="Segoe UI"/>
                <w:i/>
                <w:kern w:val="2"/>
                <w:sz w:val="17"/>
                <w:szCs w:val="17"/>
                <w:lang w:eastAsia="zh-TW"/>
              </w:rPr>
            </w:pPr>
            <w:r w:rsidRPr="005A22C2">
              <w:rPr>
                <w:rFonts w:eastAsia="新細明體" w:cs="Segoe UI" w:hint="eastAsia"/>
                <w:sz w:val="17"/>
                <w:szCs w:val="17"/>
                <w:lang w:eastAsia="zh-HK"/>
              </w:rPr>
              <w:t>由同一</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事件或關連</w:t>
            </w:r>
            <w:r w:rsidRPr="005A22C2">
              <w:rPr>
                <w:rFonts w:eastAsia="新細明體" w:cs="Segoe UI"/>
                <w:sz w:val="17"/>
                <w:szCs w:val="17"/>
                <w:lang w:eastAsia="zh-TW"/>
              </w:rPr>
              <w:t>的業務操作風險</w:t>
            </w:r>
            <w:r w:rsidRPr="005A22C2">
              <w:rPr>
                <w:rFonts w:eastAsia="新細明體" w:cs="Segoe UI" w:hint="eastAsia"/>
                <w:sz w:val="17"/>
                <w:szCs w:val="17"/>
                <w:lang w:eastAsia="zh-HK"/>
              </w:rPr>
              <w:t>事件在一段時間內引起</w:t>
            </w:r>
            <w:r w:rsidRPr="005A22C2">
              <w:rPr>
                <w:rFonts w:eastAsia="新細明體" w:cs="Segoe UI" w:hint="eastAsia"/>
                <w:sz w:val="17"/>
                <w:szCs w:val="17"/>
                <w:lang w:eastAsia="zh-TW"/>
              </w:rPr>
              <w:t>，</w:t>
            </w:r>
            <w:r w:rsidRPr="005A22C2">
              <w:rPr>
                <w:rFonts w:eastAsia="新細明體" w:cs="Segoe UI" w:hint="eastAsia"/>
                <w:sz w:val="17"/>
                <w:szCs w:val="17"/>
                <w:lang w:eastAsia="zh-HK"/>
              </w:rPr>
              <w:t>但分開數年入帳的虧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應按照其會計處理方法分配至相應的周年報告期</w:t>
            </w:r>
            <w:r w:rsidRPr="005A22C2">
              <w:rPr>
                <w:rFonts w:eastAsia="新細明體" w:cs="Segoe UI" w:hint="eastAsia"/>
                <w:sz w:val="17"/>
                <w:szCs w:val="17"/>
                <w:lang w:eastAsia="zh-TW"/>
              </w:rPr>
              <w:t>。</w:t>
            </w:r>
          </w:p>
          <w:p w14:paraId="529FA177" w14:textId="77777777" w:rsidR="00DF648B" w:rsidRPr="005A22C2" w:rsidRDefault="00DF648B" w:rsidP="00D540EB">
            <w:pPr>
              <w:pStyle w:val="ListParagraph"/>
              <w:keepLines/>
              <w:widowControl w:val="0"/>
              <w:numPr>
                <w:ilvl w:val="0"/>
                <w:numId w:val="58"/>
              </w:numPr>
              <w:snapToGrid w:val="0"/>
              <w:spacing w:before="20" w:after="20"/>
              <w:ind w:leftChars="0" w:left="261" w:hanging="261"/>
              <w:jc w:val="both"/>
              <w:rPr>
                <w:rFonts w:ascii="細明體" w:eastAsia="細明體" w:hAnsi="細明體" w:cs="Segoe UI"/>
                <w:i/>
                <w:kern w:val="2"/>
                <w:sz w:val="17"/>
                <w:szCs w:val="17"/>
                <w:lang w:eastAsia="zh-TW"/>
              </w:rPr>
            </w:pPr>
            <w:r w:rsidRPr="005A22C2">
              <w:rPr>
                <w:rFonts w:eastAsia="新細明體" w:cs="Segoe UI" w:hint="eastAsia"/>
                <w:sz w:val="17"/>
                <w:szCs w:val="17"/>
                <w:lang w:eastAsia="zh-HK"/>
              </w:rPr>
              <w:t>在披露期內具有整體正面財務影響的業務操作事件</w:t>
            </w:r>
            <w:r w:rsidRPr="005A22C2">
              <w:rPr>
                <w:rFonts w:eastAsia="新細明體" w:cs="Segoe UI" w:hint="eastAsia"/>
                <w:sz w:val="17"/>
                <w:szCs w:val="17"/>
                <w:lang w:eastAsia="zh-TW"/>
              </w:rPr>
              <w:t>，</w:t>
            </w:r>
            <w:r w:rsidRPr="005A22C2">
              <w:rPr>
                <w:rFonts w:eastAsia="新細明體" w:cs="Segoe UI" w:hint="eastAsia"/>
                <w:sz w:val="17"/>
                <w:szCs w:val="17"/>
                <w:lang w:eastAsia="zh-HK"/>
              </w:rPr>
              <w:t>不應包括在本模版</w:t>
            </w:r>
            <w:r w:rsidRPr="005A22C2">
              <w:rPr>
                <w:rFonts w:eastAsia="新細明體" w:cs="Segoe UI" w:hint="eastAsia"/>
                <w:sz w:val="17"/>
                <w:szCs w:val="17"/>
                <w:lang w:eastAsia="zh-TW"/>
              </w:rPr>
              <w:t>。</w:t>
            </w:r>
          </w:p>
          <w:p w14:paraId="4088E032" w14:textId="3812566B" w:rsidR="00DF648B" w:rsidRPr="005A22C2" w:rsidRDefault="00DF648B" w:rsidP="00D540EB">
            <w:pPr>
              <w:pStyle w:val="ListParagraph"/>
              <w:keepLines/>
              <w:widowControl w:val="0"/>
              <w:numPr>
                <w:ilvl w:val="0"/>
                <w:numId w:val="58"/>
              </w:numPr>
              <w:snapToGrid w:val="0"/>
              <w:spacing w:before="20" w:after="20"/>
              <w:ind w:leftChars="0" w:left="261" w:hanging="261"/>
              <w:jc w:val="both"/>
              <w:rPr>
                <w:rFonts w:ascii="細明體" w:eastAsia="細明體" w:hAnsi="細明體" w:cs="Segoe UI"/>
                <w:i/>
                <w:kern w:val="2"/>
                <w:sz w:val="17"/>
                <w:szCs w:val="17"/>
                <w:lang w:eastAsia="zh-TW"/>
              </w:rPr>
            </w:pPr>
            <w:r w:rsidRPr="005A22C2">
              <w:rPr>
                <w:rFonts w:eastAsia="新細明體" w:cs="Segoe UI" w:hint="eastAsia"/>
                <w:sz w:val="17"/>
                <w:szCs w:val="17"/>
                <w:lang w:eastAsia="zh-TW"/>
              </w:rPr>
              <w:t>20</w:t>
            </w:r>
            <w:r w:rsidRPr="005A22C2">
              <w:rPr>
                <w:rFonts w:eastAsia="新細明體" w:cs="Segoe UI" w:hint="eastAsia"/>
                <w:sz w:val="17"/>
                <w:szCs w:val="17"/>
                <w:lang w:eastAsia="zh-HK"/>
              </w:rPr>
              <w:t>萬港元門檻亦包括被列入</w:t>
            </w:r>
            <w:r w:rsidRPr="005A22C2">
              <w:rPr>
                <w:rFonts w:eastAsia="新細明體" w:cs="Segoe UI" w:hint="eastAsia"/>
                <w:sz w:val="17"/>
                <w:szCs w:val="17"/>
                <w:lang w:eastAsia="zh-TW"/>
              </w:rPr>
              <w:t>100</w:t>
            </w:r>
            <w:r w:rsidRPr="005A22C2">
              <w:rPr>
                <w:rFonts w:eastAsia="新細明體" w:cs="Segoe UI" w:hint="eastAsia"/>
                <w:sz w:val="17"/>
                <w:szCs w:val="17"/>
                <w:lang w:eastAsia="zh-HK"/>
              </w:rPr>
              <w:t>萬港元門檻的虧</w:t>
            </w:r>
            <w:r w:rsidRPr="005A22C2">
              <w:rPr>
                <w:rFonts w:eastAsia="新細明體" w:cs="Segoe UI" w:hint="eastAsia"/>
                <w:sz w:val="17"/>
                <w:szCs w:val="17"/>
                <w:lang w:eastAsia="zh-TW"/>
              </w:rPr>
              <w:t>損。</w:t>
            </w:r>
          </w:p>
        </w:tc>
      </w:tr>
    </w:tbl>
    <w:p w14:paraId="6EB7EFD2" w14:textId="77777777" w:rsidR="00A02199" w:rsidRPr="005A22C2" w:rsidRDefault="00A02199">
      <w:pPr>
        <w:rPr>
          <w:lang w:eastAsia="zh-TW"/>
        </w:rPr>
      </w:pP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8183"/>
      </w:tblGrid>
      <w:tr w:rsidR="005A22C2" w:rsidRPr="005A22C2" w14:paraId="0FB550CE" w14:textId="77777777" w:rsidTr="00723A77">
        <w:trPr>
          <w:tblHeader/>
        </w:trPr>
        <w:tc>
          <w:tcPr>
            <w:tcW w:w="5000" w:type="pct"/>
            <w:gridSpan w:val="2"/>
            <w:shd w:val="clear" w:color="auto" w:fill="BFBFBF" w:themeFill="background1" w:themeFillShade="BF"/>
          </w:tcPr>
          <w:p w14:paraId="0B2E7118" w14:textId="29CBA5B5" w:rsidR="00E9755B" w:rsidRPr="005A22C2" w:rsidRDefault="00E9755B" w:rsidP="009C54A9">
            <w:pPr>
              <w:pStyle w:val="TableNote"/>
              <w:keepNext/>
              <w:spacing w:before="40" w:after="40"/>
              <w:ind w:right="47"/>
              <w:rPr>
                <w:rFonts w:eastAsia="新細明體" w:cs="Segoe UI"/>
                <w:b/>
                <w:sz w:val="17"/>
                <w:szCs w:val="17"/>
                <w:lang w:eastAsia="zh-HK"/>
              </w:rPr>
            </w:pPr>
            <w:proofErr w:type="gramStart"/>
            <w:r w:rsidRPr="005A22C2">
              <w:rPr>
                <w:rFonts w:eastAsia="新細明體" w:cs="Segoe UI" w:hint="eastAsia"/>
                <w:b/>
                <w:sz w:val="17"/>
                <w:szCs w:val="17"/>
                <w:lang w:eastAsia="zh-TW"/>
              </w:rPr>
              <w:t>註</w:t>
            </w:r>
            <w:proofErr w:type="gramEnd"/>
            <w:r w:rsidRPr="005A22C2">
              <w:rPr>
                <w:rFonts w:eastAsia="新細明體" w:cs="Segoe UI" w:hint="eastAsia"/>
                <w:b/>
                <w:sz w:val="17"/>
                <w:szCs w:val="17"/>
                <w:lang w:eastAsia="zh-TW"/>
              </w:rPr>
              <w:t>釋</w:t>
            </w:r>
          </w:p>
        </w:tc>
      </w:tr>
      <w:tr w:rsidR="005A22C2" w:rsidRPr="005A22C2" w14:paraId="79C22686" w14:textId="77777777" w:rsidTr="00723A77">
        <w:tc>
          <w:tcPr>
            <w:tcW w:w="5000" w:type="pct"/>
            <w:gridSpan w:val="2"/>
            <w:shd w:val="clear" w:color="auto" w:fill="F2F2F2" w:themeFill="background1" w:themeFillShade="F2"/>
          </w:tcPr>
          <w:p w14:paraId="2CDB7271" w14:textId="3DAE8332" w:rsidR="00E9755B" w:rsidRPr="005A22C2" w:rsidRDefault="00E9755B" w:rsidP="009C54A9">
            <w:pPr>
              <w:pStyle w:val="TableNote"/>
              <w:keepNext/>
              <w:spacing w:before="40" w:after="40"/>
              <w:ind w:right="47"/>
              <w:rPr>
                <w:rFonts w:eastAsia="新細明體" w:cs="Segoe UI"/>
                <w:b/>
                <w:sz w:val="17"/>
                <w:szCs w:val="17"/>
                <w:lang w:eastAsia="zh-HK"/>
              </w:rPr>
            </w:pPr>
            <w:r w:rsidRPr="005A22C2">
              <w:rPr>
                <w:rFonts w:eastAsia="新細明體" w:cs="Segoe UI" w:hint="eastAsia"/>
                <w:b/>
                <w:sz w:val="17"/>
                <w:szCs w:val="17"/>
                <w:lang w:eastAsia="zh-TW"/>
              </w:rPr>
              <w:t>欄</w:t>
            </w:r>
          </w:p>
        </w:tc>
      </w:tr>
      <w:tr w:rsidR="005A22C2" w:rsidRPr="005A22C2" w14:paraId="176CC832" w14:textId="77777777" w:rsidTr="00723A77">
        <w:tc>
          <w:tcPr>
            <w:tcW w:w="419" w:type="pct"/>
          </w:tcPr>
          <w:p w14:paraId="77A2359C" w14:textId="77777777" w:rsidR="00E9755B" w:rsidRPr="005A22C2" w:rsidRDefault="00E9755B" w:rsidP="009C54A9">
            <w:pPr>
              <w:keepLines/>
              <w:widowControl w:val="0"/>
              <w:spacing w:before="20" w:after="20"/>
              <w:rPr>
                <w:rFonts w:eastAsia="新細明體" w:cs="Segoe UI"/>
                <w:sz w:val="17"/>
                <w:szCs w:val="17"/>
                <w:lang w:eastAsia="en-GB"/>
              </w:rPr>
            </w:pPr>
            <w:r w:rsidRPr="005A22C2">
              <w:rPr>
                <w:rFonts w:eastAsia="新細明體" w:cs="Segoe UI"/>
                <w:sz w:val="17"/>
                <w:szCs w:val="17"/>
                <w:lang w:eastAsia="en-GB"/>
              </w:rPr>
              <w:t>(a)</w:t>
            </w:r>
            <w:r w:rsidRPr="005A22C2">
              <w:rPr>
                <w:rFonts w:eastAsia="新細明體" w:cs="Segoe UI" w:hint="eastAsia"/>
                <w:sz w:val="17"/>
                <w:szCs w:val="17"/>
                <w:lang w:eastAsia="zh-HK"/>
              </w:rPr>
              <w:t>至</w:t>
            </w:r>
            <w:r w:rsidRPr="005A22C2">
              <w:rPr>
                <w:rFonts w:eastAsia="新細明體" w:cs="Segoe UI"/>
                <w:sz w:val="17"/>
                <w:szCs w:val="17"/>
                <w:lang w:eastAsia="en-GB"/>
              </w:rPr>
              <w:t>(k)</w:t>
            </w:r>
          </w:p>
        </w:tc>
        <w:tc>
          <w:tcPr>
            <w:tcW w:w="4581" w:type="pct"/>
          </w:tcPr>
          <w:p w14:paraId="24EF9D28" w14:textId="327321F1" w:rsidR="00E9755B" w:rsidRPr="005A22C2" w:rsidRDefault="00E9755B" w:rsidP="005922A2">
            <w:pPr>
              <w:pStyle w:val="TableNote"/>
              <w:keepNext/>
              <w:spacing w:before="40" w:after="40"/>
              <w:ind w:right="47"/>
              <w:rPr>
                <w:rFonts w:eastAsia="新細明體" w:cs="Segoe UI"/>
                <w:sz w:val="17"/>
                <w:szCs w:val="17"/>
                <w:lang w:eastAsia="zh-TW"/>
              </w:rPr>
            </w:pPr>
            <w:r w:rsidRPr="005A22C2">
              <w:rPr>
                <w:rFonts w:eastAsia="新細明體" w:cs="Segoe UI" w:hint="eastAsia"/>
                <w:sz w:val="17"/>
                <w:szCs w:val="17"/>
                <w:lang w:eastAsia="zh-HK"/>
              </w:rPr>
              <w:t>關於第</w:t>
            </w:r>
            <w:r w:rsidRPr="005A22C2">
              <w:rPr>
                <w:rFonts w:eastAsia="新細明體" w:cs="Segoe UI"/>
                <w:sz w:val="17"/>
                <w:szCs w:val="17"/>
                <w:lang w:eastAsia="zh-TW"/>
              </w:rPr>
              <w:t>1</w:t>
            </w:r>
            <w:r w:rsidRPr="005A22C2">
              <w:rPr>
                <w:rFonts w:eastAsia="新細明體" w:cs="Segoe UI" w:hint="eastAsia"/>
                <w:sz w:val="17"/>
                <w:szCs w:val="17"/>
                <w:lang w:eastAsia="zh-HK"/>
              </w:rPr>
              <w:t>至</w:t>
            </w:r>
            <w:r w:rsidRPr="005A22C2">
              <w:rPr>
                <w:rFonts w:eastAsia="新細明體" w:cs="Segoe UI"/>
                <w:sz w:val="17"/>
                <w:szCs w:val="17"/>
                <w:lang w:eastAsia="zh-TW"/>
              </w:rPr>
              <w:t>10</w:t>
            </w:r>
            <w:r w:rsidRPr="005A22C2">
              <w:rPr>
                <w:rFonts w:ascii="新細明體" w:eastAsia="新細明體" w:hAnsi="新細明體"/>
                <w:sz w:val="17"/>
                <w:szCs w:val="17"/>
                <w:lang w:eastAsia="zh-TW"/>
              </w:rPr>
              <w:t>行</w:t>
            </w:r>
            <w:r w:rsidRPr="005A22C2">
              <w:rPr>
                <w:rFonts w:eastAsia="新細明體" w:cs="Segoe UI" w:hint="eastAsia"/>
                <w:sz w:val="17"/>
                <w:szCs w:val="17"/>
                <w:lang w:eastAsia="zh-TW"/>
              </w:rPr>
              <w:t>，</w:t>
            </w:r>
            <w:r w:rsidRPr="005A22C2">
              <w:rPr>
                <w:rFonts w:eastAsia="新細明體" w:cs="Segoe UI"/>
                <w:sz w:val="17"/>
                <w:szCs w:val="17"/>
                <w:lang w:eastAsia="zh-TW"/>
              </w:rPr>
              <w:t>T</w:t>
            </w:r>
            <w:r w:rsidRPr="005A22C2">
              <w:rPr>
                <w:rFonts w:eastAsia="新細明體" w:cs="Segoe UI" w:hint="eastAsia"/>
                <w:sz w:val="17"/>
                <w:szCs w:val="17"/>
                <w:lang w:eastAsia="zh-HK"/>
              </w:rPr>
              <w:t>指現行周年報告期末</w:t>
            </w:r>
            <w:r w:rsidRPr="005A22C2">
              <w:rPr>
                <w:rFonts w:eastAsia="新細明體" w:cs="Segoe UI" w:hint="eastAsia"/>
                <w:sz w:val="17"/>
                <w:szCs w:val="17"/>
                <w:lang w:eastAsia="zh-TW"/>
              </w:rPr>
              <w:t>，</w:t>
            </w:r>
            <w:r w:rsidRPr="005A22C2">
              <w:rPr>
                <w:rFonts w:eastAsia="新細明體" w:cs="Segoe UI"/>
                <w:sz w:val="17"/>
                <w:szCs w:val="17"/>
                <w:lang w:eastAsia="zh-TW"/>
              </w:rPr>
              <w:t>T–1</w:t>
            </w:r>
            <w:r w:rsidRPr="005A22C2">
              <w:rPr>
                <w:rFonts w:eastAsia="新細明體" w:cs="Segoe UI" w:hint="eastAsia"/>
                <w:sz w:val="17"/>
                <w:szCs w:val="17"/>
                <w:lang w:eastAsia="zh-HK"/>
              </w:rPr>
              <w:t>指</w:t>
            </w:r>
            <w:r w:rsidRPr="005A22C2">
              <w:rPr>
                <w:rFonts w:eastAsia="新細明體" w:cs="Segoe UI" w:hint="eastAsia"/>
                <w:sz w:val="17"/>
                <w:szCs w:val="17"/>
                <w:lang w:eastAsia="zh-TW"/>
              </w:rPr>
              <w:t>T</w:t>
            </w:r>
            <w:r w:rsidR="005922A2" w:rsidRPr="005A22C2">
              <w:rPr>
                <w:rFonts w:eastAsia="新細明體" w:cs="Segoe UI" w:hint="eastAsia"/>
                <w:sz w:val="17"/>
                <w:szCs w:val="17"/>
                <w:lang w:eastAsia="zh-HK"/>
              </w:rPr>
              <w:t>的</w:t>
            </w:r>
            <w:r w:rsidRPr="005A22C2">
              <w:rPr>
                <w:rFonts w:eastAsia="新細明體" w:cs="Segoe UI" w:hint="eastAsia"/>
                <w:sz w:val="17"/>
                <w:szCs w:val="17"/>
                <w:lang w:eastAsia="zh-HK"/>
              </w:rPr>
              <w:t>對上一個周年報告期</w:t>
            </w:r>
            <w:r w:rsidRPr="005A22C2">
              <w:rPr>
                <w:rFonts w:eastAsia="新細明體" w:cs="Segoe UI" w:hint="eastAsia"/>
                <w:sz w:val="17"/>
                <w:szCs w:val="17"/>
                <w:lang w:eastAsia="zh-TW"/>
              </w:rPr>
              <w:t>，</w:t>
            </w:r>
            <w:r w:rsidRPr="005A22C2">
              <w:rPr>
                <w:rFonts w:eastAsia="新細明體" w:cs="Segoe UI" w:hint="eastAsia"/>
                <w:sz w:val="17"/>
                <w:szCs w:val="17"/>
                <w:lang w:eastAsia="zh-HK"/>
              </w:rPr>
              <w:t>如此類推</w:t>
            </w:r>
            <w:r w:rsidRPr="005A22C2">
              <w:rPr>
                <w:rFonts w:eastAsia="新細明體" w:cs="Segoe UI" w:hint="eastAsia"/>
                <w:sz w:val="17"/>
                <w:szCs w:val="17"/>
                <w:lang w:eastAsia="zh-TW"/>
              </w:rPr>
              <w:t>。</w:t>
            </w:r>
            <w:r w:rsidRPr="005A22C2">
              <w:rPr>
                <w:rFonts w:eastAsia="新細明體" w:cs="Segoe UI"/>
                <w:sz w:val="17"/>
                <w:szCs w:val="17"/>
                <w:lang w:eastAsia="zh-TW"/>
              </w:rPr>
              <w:t xml:space="preserve"> (k)</w:t>
            </w:r>
            <w:r w:rsidR="00463DD8" w:rsidRPr="005A22C2">
              <w:rPr>
                <w:rFonts w:eastAsia="新細明體" w:cs="Segoe UI" w:hint="eastAsia"/>
                <w:sz w:val="17"/>
                <w:szCs w:val="17"/>
                <w:lang w:eastAsia="zh-HK"/>
              </w:rPr>
              <w:t>欄指某項在適用於認可機構的披露期內根據個別年度所填報</w:t>
            </w:r>
            <w:r w:rsidRPr="005A22C2">
              <w:rPr>
                <w:rFonts w:eastAsia="新細明體" w:cs="Segoe UI" w:hint="eastAsia"/>
                <w:sz w:val="17"/>
                <w:szCs w:val="17"/>
                <w:lang w:eastAsia="zh-HK"/>
              </w:rPr>
              <w:t>的</w:t>
            </w:r>
            <w:r w:rsidRPr="005A22C2">
              <w:rPr>
                <w:rFonts w:eastAsia="新細明體" w:cs="Segoe UI" w:hint="eastAsia"/>
                <w:kern w:val="2"/>
                <w:sz w:val="17"/>
                <w:szCs w:val="17"/>
                <w:lang w:eastAsia="zh-HK"/>
              </w:rPr>
              <w:t>數額</w:t>
            </w:r>
            <w:r w:rsidRPr="005A22C2">
              <w:rPr>
                <w:rFonts w:eastAsia="新細明體" w:cs="Segoe UI" w:hint="eastAsia"/>
                <w:sz w:val="17"/>
                <w:szCs w:val="17"/>
                <w:lang w:eastAsia="zh-HK"/>
              </w:rPr>
              <w:t>計算的平均數</w:t>
            </w:r>
            <w:r w:rsidRPr="005A22C2">
              <w:rPr>
                <w:rFonts w:eastAsia="新細明體" w:cs="Segoe UI" w:hint="eastAsia"/>
                <w:sz w:val="17"/>
                <w:szCs w:val="17"/>
                <w:lang w:eastAsia="zh-TW"/>
              </w:rPr>
              <w:t>。</w:t>
            </w:r>
          </w:p>
        </w:tc>
      </w:tr>
      <w:tr w:rsidR="005A22C2" w:rsidRPr="005A22C2" w14:paraId="612AA833" w14:textId="77777777" w:rsidTr="00723A77">
        <w:tc>
          <w:tcPr>
            <w:tcW w:w="5000" w:type="pct"/>
            <w:gridSpan w:val="2"/>
            <w:shd w:val="clear" w:color="auto" w:fill="F2F2F2"/>
          </w:tcPr>
          <w:p w14:paraId="4348F6A3" w14:textId="77777777" w:rsidR="00E9755B" w:rsidRPr="005A22C2" w:rsidRDefault="00E9755B" w:rsidP="009C54A9">
            <w:pPr>
              <w:spacing w:before="40" w:after="40"/>
              <w:jc w:val="both"/>
              <w:rPr>
                <w:rFonts w:eastAsia="新細明體" w:cs="Segoe UI"/>
                <w:b/>
                <w:sz w:val="17"/>
                <w:szCs w:val="17"/>
                <w:lang w:eastAsia="en-GB"/>
              </w:rPr>
            </w:pPr>
            <w:r w:rsidRPr="005A22C2">
              <w:rPr>
                <w:rFonts w:eastAsia="新細明體" w:cs="Segoe UI" w:hint="eastAsia"/>
                <w:b/>
                <w:sz w:val="17"/>
                <w:szCs w:val="17"/>
                <w:lang w:eastAsia="zh-HK"/>
              </w:rPr>
              <w:t>行</w:t>
            </w:r>
          </w:p>
        </w:tc>
      </w:tr>
      <w:tr w:rsidR="005A22C2" w:rsidRPr="005A22C2" w14:paraId="4A048D64" w14:textId="77777777" w:rsidTr="00723A77">
        <w:tc>
          <w:tcPr>
            <w:tcW w:w="419" w:type="pct"/>
          </w:tcPr>
          <w:p w14:paraId="3C839654"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w:t>
            </w:r>
          </w:p>
        </w:tc>
        <w:tc>
          <w:tcPr>
            <w:tcW w:w="4581" w:type="pct"/>
          </w:tcPr>
          <w:p w14:paraId="1F2ADA47" w14:textId="564DA6E1" w:rsidR="00E9755B" w:rsidRPr="005A22C2" w:rsidRDefault="00E9755B" w:rsidP="00607CFC">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20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在披露期</w:t>
            </w:r>
            <w:r w:rsidR="00607CFC" w:rsidRPr="005A22C2">
              <w:rPr>
                <w:rFonts w:eastAsia="新細明體" w:cs="Segoe UI" w:hint="eastAsia"/>
                <w:sz w:val="17"/>
                <w:szCs w:val="17"/>
                <w:lang w:eastAsia="zh-HK"/>
              </w:rPr>
              <w:t>內就每個周年報告期</w:t>
            </w:r>
            <w:r w:rsidRPr="005A22C2">
              <w:rPr>
                <w:rFonts w:eastAsia="新細明體" w:cs="Segoe UI" w:hint="eastAsia"/>
                <w:sz w:val="17"/>
                <w:szCs w:val="17"/>
                <w:lang w:eastAsia="zh-HK"/>
              </w:rPr>
              <w:t>超出虧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事件門檻的虧</w:t>
            </w:r>
            <w:r w:rsidRPr="005A22C2">
              <w:rPr>
                <w:rFonts w:eastAsia="新細明體" w:cs="Segoe UI" w:hint="eastAsia"/>
                <w:sz w:val="17"/>
                <w:szCs w:val="17"/>
                <w:lang w:eastAsia="zh-TW"/>
              </w:rPr>
              <w:t>損</w:t>
            </w:r>
            <w:r w:rsidR="00607CFC" w:rsidRPr="005A22C2">
              <w:rPr>
                <w:rFonts w:eastAsia="新細明體" w:cs="Segoe UI" w:hint="eastAsia"/>
                <w:sz w:val="17"/>
                <w:szCs w:val="17"/>
                <w:lang w:eastAsia="zh-HK"/>
              </w:rPr>
              <w:t>事件所引</w:t>
            </w:r>
            <w:r w:rsidRPr="005A22C2">
              <w:rPr>
                <w:rFonts w:eastAsia="新細明體" w:cs="Segoe UI" w:hint="eastAsia"/>
                <w:sz w:val="17"/>
                <w:szCs w:val="17"/>
                <w:lang w:eastAsia="zh-HK"/>
              </w:rPr>
              <w:t>致的虧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總額</w:t>
            </w:r>
            <w:r w:rsidR="00607CFC" w:rsidRPr="005A22C2">
              <w:rPr>
                <w:rFonts w:eastAsia="新細明體" w:cs="Segoe UI" w:hint="eastAsia"/>
                <w:sz w:val="17"/>
                <w:lang w:eastAsia="zh-HK"/>
              </w:rPr>
              <w:t>（</w:t>
            </w:r>
            <w:r w:rsidR="00607CFC" w:rsidRPr="005A22C2">
              <w:rPr>
                <w:rFonts w:eastAsia="新細明體" w:cs="Segoe UI" w:hint="eastAsia"/>
                <w:sz w:val="17"/>
                <w:szCs w:val="17"/>
                <w:lang w:eastAsia="zh-HK"/>
              </w:rPr>
              <w:t>已扣除收回</w:t>
            </w:r>
            <w:r w:rsidR="002E2181" w:rsidRPr="005A22C2">
              <w:rPr>
                <w:rFonts w:eastAsia="新細明體" w:cs="Segoe UI" w:hint="eastAsia"/>
                <w:kern w:val="2"/>
                <w:sz w:val="17"/>
                <w:szCs w:val="17"/>
                <w:lang w:eastAsia="zh-HK"/>
              </w:rPr>
              <w:t>數額</w:t>
            </w:r>
            <w:r w:rsidR="00607CFC"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r w:rsidRPr="005A22C2">
              <w:rPr>
                <w:rFonts w:eastAsia="新細明體" w:cs="Segoe UI" w:hint="eastAsia"/>
                <w:sz w:val="17"/>
                <w:szCs w:val="17"/>
                <w:lang w:eastAsia="zh-HK"/>
              </w:rPr>
              <w:t>從</w:t>
            </w:r>
            <w:r w:rsidRPr="005A22C2">
              <w:rPr>
                <w:rFonts w:eastAsia="新細明體" w:cs="Segoe UI"/>
                <w:sz w:val="17"/>
                <w:szCs w:val="17"/>
                <w:lang w:eastAsia="zh-TW"/>
              </w:rPr>
              <w:t>業務操作風險資本要求</w:t>
            </w:r>
            <w:r w:rsidR="00607CFC" w:rsidRPr="005A22C2">
              <w:rPr>
                <w:rFonts w:eastAsia="新細明體" w:cs="Segoe UI" w:hint="eastAsia"/>
                <w:sz w:val="17"/>
                <w:szCs w:val="17"/>
                <w:lang w:eastAsia="zh-HK"/>
              </w:rPr>
              <w:t>計算中</w:t>
            </w:r>
            <w:r w:rsidRPr="005A22C2">
              <w:rPr>
                <w:rFonts w:eastAsia="新細明體" w:cs="Segoe UI" w:hint="eastAsia"/>
                <w:sz w:val="17"/>
                <w:szCs w:val="17"/>
                <w:lang w:eastAsia="zh-HK"/>
              </w:rPr>
              <w:t>豁除的虧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仍須計入本行</w:t>
            </w:r>
            <w:r w:rsidRPr="005A22C2">
              <w:rPr>
                <w:rFonts w:eastAsia="新細明體" w:cs="Segoe UI" w:hint="eastAsia"/>
                <w:sz w:val="17"/>
                <w:szCs w:val="17"/>
                <w:lang w:eastAsia="zh-TW"/>
              </w:rPr>
              <w:t>。</w:t>
            </w:r>
          </w:p>
        </w:tc>
      </w:tr>
      <w:tr w:rsidR="005A22C2" w:rsidRPr="005A22C2" w14:paraId="68C60D19" w14:textId="77777777" w:rsidTr="00723A77">
        <w:tc>
          <w:tcPr>
            <w:tcW w:w="419" w:type="pct"/>
          </w:tcPr>
          <w:p w14:paraId="2BB106A0"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2</w:t>
            </w:r>
          </w:p>
        </w:tc>
        <w:tc>
          <w:tcPr>
            <w:tcW w:w="4581" w:type="pct"/>
          </w:tcPr>
          <w:p w14:paraId="41580509" w14:textId="77777777" w:rsidR="00E9755B" w:rsidRPr="005A22C2" w:rsidRDefault="00E9755B"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20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總次數</w:t>
            </w:r>
            <w:r w:rsidRPr="005A22C2">
              <w:rPr>
                <w:rFonts w:eastAsia="新細明體" w:cs="Segoe UI" w:hint="eastAsia"/>
                <w:sz w:val="17"/>
                <w:szCs w:val="17"/>
                <w:lang w:eastAsia="zh-TW"/>
              </w:rPr>
              <w:t>。</w:t>
            </w:r>
          </w:p>
        </w:tc>
      </w:tr>
      <w:tr w:rsidR="005A22C2" w:rsidRPr="005A22C2" w14:paraId="541AC87A" w14:textId="77777777" w:rsidTr="00723A77">
        <w:tc>
          <w:tcPr>
            <w:tcW w:w="419" w:type="pct"/>
          </w:tcPr>
          <w:p w14:paraId="10F16854"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3</w:t>
            </w:r>
          </w:p>
        </w:tc>
        <w:tc>
          <w:tcPr>
            <w:tcW w:w="4581" w:type="pct"/>
          </w:tcPr>
          <w:p w14:paraId="183C15BE" w14:textId="59154E11" w:rsidR="00E9755B" w:rsidRPr="005A22C2" w:rsidRDefault="00E9755B" w:rsidP="00D17BBE">
            <w:pPr>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20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指在披露期</w:t>
            </w:r>
            <w:r w:rsidR="00D17BBE" w:rsidRPr="005A22C2">
              <w:rPr>
                <w:rFonts w:eastAsia="新細明體" w:cs="Segoe UI" w:hint="eastAsia"/>
                <w:sz w:val="17"/>
                <w:szCs w:val="17"/>
                <w:lang w:eastAsia="zh-HK"/>
              </w:rPr>
              <w:t>內就每個周年報告期</w:t>
            </w:r>
            <w:r w:rsidRPr="005A22C2">
              <w:rPr>
                <w:rFonts w:eastAsia="新細明體" w:cs="Segoe UI" w:hint="eastAsia"/>
                <w:sz w:val="17"/>
                <w:szCs w:val="17"/>
                <w:lang w:eastAsia="zh-HK"/>
              </w:rPr>
              <w:t>超出虧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門檻的</w:t>
            </w:r>
            <w:r w:rsidR="00D17BBE" w:rsidRPr="005A22C2">
              <w:rPr>
                <w:rFonts w:eastAsia="新細明體" w:cs="Segoe UI" w:hint="eastAsia"/>
                <w:sz w:val="17"/>
                <w:szCs w:val="17"/>
                <w:lang w:eastAsia="zh-HK"/>
              </w:rPr>
              <w:t>已豁除的</w:t>
            </w:r>
            <w:r w:rsidRPr="005A22C2">
              <w:rPr>
                <w:rFonts w:eastAsia="新細明體" w:cs="Segoe UI" w:hint="eastAsia"/>
                <w:sz w:val="17"/>
                <w:szCs w:val="17"/>
                <w:lang w:eastAsia="zh-HK"/>
              </w:rPr>
              <w:t>淨虧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總額</w:t>
            </w:r>
            <w:r w:rsidRPr="005A22C2">
              <w:rPr>
                <w:rFonts w:eastAsia="新細明體" w:cs="Segoe UI" w:hint="eastAsia"/>
                <w:sz w:val="17"/>
                <w:szCs w:val="17"/>
                <w:lang w:eastAsia="zh-TW"/>
              </w:rPr>
              <w:t>。</w:t>
            </w:r>
          </w:p>
        </w:tc>
      </w:tr>
      <w:tr w:rsidR="005A22C2" w:rsidRPr="005A22C2" w14:paraId="6EC64183" w14:textId="77777777" w:rsidTr="00723A77">
        <w:tc>
          <w:tcPr>
            <w:tcW w:w="419" w:type="pct"/>
          </w:tcPr>
          <w:p w14:paraId="2289E1D7"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4</w:t>
            </w:r>
          </w:p>
        </w:tc>
        <w:tc>
          <w:tcPr>
            <w:tcW w:w="4581" w:type="pct"/>
          </w:tcPr>
          <w:p w14:paraId="1EA9AFB4" w14:textId="77777777" w:rsidR="00E9755B" w:rsidRPr="005A22C2" w:rsidRDefault="00E9755B" w:rsidP="009C54A9">
            <w:pPr>
              <w:rPr>
                <w:rFonts w:eastAsia="新細明體" w:cs="Segoe UI"/>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20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指豁除總次數</w:t>
            </w:r>
            <w:r w:rsidRPr="005A22C2">
              <w:rPr>
                <w:rFonts w:eastAsia="新細明體" w:cs="Segoe UI" w:hint="eastAsia"/>
                <w:sz w:val="17"/>
                <w:szCs w:val="17"/>
                <w:lang w:eastAsia="zh-TW"/>
              </w:rPr>
              <w:t>。</w:t>
            </w:r>
          </w:p>
        </w:tc>
      </w:tr>
      <w:tr w:rsidR="005A22C2" w:rsidRPr="005A22C2" w14:paraId="367ACF66" w14:textId="77777777" w:rsidTr="00723A77">
        <w:tc>
          <w:tcPr>
            <w:tcW w:w="419" w:type="pct"/>
          </w:tcPr>
          <w:p w14:paraId="46CC367A"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5</w:t>
            </w:r>
          </w:p>
        </w:tc>
        <w:tc>
          <w:tcPr>
            <w:tcW w:w="4581" w:type="pct"/>
          </w:tcPr>
          <w:p w14:paraId="2352B1C6" w14:textId="1733C4D6" w:rsidR="00E9755B" w:rsidRPr="005A22C2" w:rsidRDefault="00E9755B"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20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指已扣除收回</w:t>
            </w:r>
            <w:r w:rsidR="002E2181" w:rsidRPr="005A22C2">
              <w:rPr>
                <w:rFonts w:eastAsia="新細明體" w:cs="Segoe UI" w:hint="eastAsia"/>
                <w:kern w:val="2"/>
                <w:sz w:val="17"/>
                <w:szCs w:val="17"/>
                <w:lang w:eastAsia="zh-HK"/>
              </w:rPr>
              <w:t>數額</w:t>
            </w:r>
            <w:r w:rsidRPr="005A22C2">
              <w:rPr>
                <w:rFonts w:eastAsia="新細明體" w:cs="Segoe UI" w:hint="eastAsia"/>
                <w:sz w:val="17"/>
                <w:szCs w:val="17"/>
                <w:lang w:eastAsia="zh-HK"/>
              </w:rPr>
              <w:t>及已豁除</w:t>
            </w:r>
            <w:r w:rsidR="00D17BBE" w:rsidRPr="005A22C2">
              <w:rPr>
                <w:rFonts w:eastAsia="新細明體" w:cs="Segoe UI" w:hint="eastAsia"/>
                <w:sz w:val="17"/>
                <w:szCs w:val="17"/>
                <w:lang w:eastAsia="zh-HK"/>
              </w:rPr>
              <w:t>的</w:t>
            </w:r>
            <w:r w:rsidRPr="005A22C2">
              <w:rPr>
                <w:rFonts w:eastAsia="新細明體" w:cs="Segoe UI" w:hint="eastAsia"/>
                <w:sz w:val="17"/>
                <w:szCs w:val="17"/>
                <w:lang w:eastAsia="zh-HK"/>
              </w:rPr>
              <w:t>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的</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總額</w:t>
            </w:r>
            <w:r w:rsidRPr="005A22C2">
              <w:rPr>
                <w:rFonts w:eastAsia="新細明體" w:cs="Segoe UI" w:hint="eastAsia"/>
                <w:sz w:val="17"/>
                <w:szCs w:val="17"/>
                <w:lang w:eastAsia="zh-TW"/>
              </w:rPr>
              <w:t>。</w:t>
            </w:r>
            <w:r w:rsidRPr="005A22C2">
              <w:rPr>
                <w:rFonts w:eastAsia="新細明體" w:cs="Segoe UI"/>
                <w:sz w:val="17"/>
                <w:szCs w:val="17"/>
                <w:lang w:eastAsia="zh-TW"/>
              </w:rPr>
              <w:t xml:space="preserve"> </w:t>
            </w:r>
          </w:p>
        </w:tc>
      </w:tr>
      <w:tr w:rsidR="005A22C2" w:rsidRPr="005A22C2" w14:paraId="3B322853" w14:textId="77777777" w:rsidTr="00723A77">
        <w:tc>
          <w:tcPr>
            <w:tcW w:w="419" w:type="pct"/>
          </w:tcPr>
          <w:p w14:paraId="2073470F"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6</w:t>
            </w:r>
          </w:p>
        </w:tc>
        <w:tc>
          <w:tcPr>
            <w:tcW w:w="4581" w:type="pct"/>
          </w:tcPr>
          <w:p w14:paraId="0179DD79" w14:textId="19FA4D21" w:rsidR="00E9755B" w:rsidRPr="005A22C2" w:rsidRDefault="00E9755B" w:rsidP="00D17BBE">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100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在披露期</w:t>
            </w:r>
            <w:r w:rsidR="00D17BBE" w:rsidRPr="005A22C2">
              <w:rPr>
                <w:rFonts w:eastAsia="新細明體" w:cs="Segoe UI" w:hint="eastAsia"/>
                <w:sz w:val="17"/>
                <w:szCs w:val="17"/>
                <w:lang w:eastAsia="zh-HK"/>
              </w:rPr>
              <w:t>內就每個周年報告期</w:t>
            </w:r>
            <w:r w:rsidRPr="005A22C2">
              <w:rPr>
                <w:rFonts w:eastAsia="新細明體" w:cs="Segoe UI" w:hint="eastAsia"/>
                <w:sz w:val="17"/>
                <w:szCs w:val="17"/>
                <w:lang w:eastAsia="zh-HK"/>
              </w:rPr>
              <w:t>超出虧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事件門檻的虧</w:t>
            </w:r>
            <w:r w:rsidRPr="005A22C2">
              <w:rPr>
                <w:rFonts w:eastAsia="新細明體" w:cs="Segoe UI" w:hint="eastAsia"/>
                <w:sz w:val="17"/>
                <w:szCs w:val="17"/>
                <w:lang w:eastAsia="zh-TW"/>
              </w:rPr>
              <w:t>損</w:t>
            </w:r>
            <w:r w:rsidR="00D17BBE" w:rsidRPr="005A22C2">
              <w:rPr>
                <w:rFonts w:eastAsia="新細明體" w:cs="Segoe UI" w:hint="eastAsia"/>
                <w:sz w:val="17"/>
                <w:szCs w:val="17"/>
                <w:lang w:eastAsia="zh-HK"/>
              </w:rPr>
              <w:t>事件所引</w:t>
            </w:r>
            <w:r w:rsidRPr="005A22C2">
              <w:rPr>
                <w:rFonts w:eastAsia="新細明體" w:cs="Segoe UI" w:hint="eastAsia"/>
                <w:sz w:val="17"/>
                <w:szCs w:val="17"/>
                <w:lang w:eastAsia="zh-HK"/>
              </w:rPr>
              <w:t>致的虧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總額</w:t>
            </w:r>
            <w:r w:rsidR="00D17BBE" w:rsidRPr="005A22C2">
              <w:rPr>
                <w:rFonts w:eastAsia="新細明體" w:cs="Segoe UI" w:hint="eastAsia"/>
                <w:sz w:val="17"/>
                <w:lang w:eastAsia="zh-HK"/>
              </w:rPr>
              <w:t>（</w:t>
            </w:r>
            <w:r w:rsidR="00D17BBE" w:rsidRPr="005A22C2">
              <w:rPr>
                <w:rFonts w:eastAsia="新細明體" w:cs="Segoe UI" w:hint="eastAsia"/>
                <w:sz w:val="17"/>
                <w:szCs w:val="17"/>
                <w:lang w:eastAsia="zh-HK"/>
              </w:rPr>
              <w:t>已扣除收回</w:t>
            </w:r>
            <w:r w:rsidR="002E2181" w:rsidRPr="005A22C2">
              <w:rPr>
                <w:rFonts w:eastAsia="新細明體" w:cs="Segoe UI" w:hint="eastAsia"/>
                <w:kern w:val="2"/>
                <w:sz w:val="17"/>
                <w:szCs w:val="17"/>
                <w:lang w:eastAsia="zh-HK"/>
              </w:rPr>
              <w:t>數額</w:t>
            </w:r>
            <w:r w:rsidR="00D17BBE"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r w:rsidRPr="005A22C2">
              <w:rPr>
                <w:rFonts w:eastAsia="新細明體" w:cs="Segoe UI" w:hint="eastAsia"/>
                <w:sz w:val="17"/>
                <w:szCs w:val="17"/>
                <w:lang w:eastAsia="zh-HK"/>
              </w:rPr>
              <w:t>從</w:t>
            </w:r>
            <w:r w:rsidRPr="005A22C2">
              <w:rPr>
                <w:rFonts w:eastAsia="新細明體" w:cs="Segoe UI"/>
                <w:sz w:val="17"/>
                <w:szCs w:val="17"/>
                <w:lang w:eastAsia="zh-TW"/>
              </w:rPr>
              <w:t>業務操作風險資本要求</w:t>
            </w:r>
            <w:r w:rsidRPr="005A22C2">
              <w:rPr>
                <w:rFonts w:eastAsia="新細明體" w:cs="Segoe UI" w:hint="eastAsia"/>
                <w:sz w:val="17"/>
                <w:szCs w:val="17"/>
                <w:lang w:eastAsia="zh-HK"/>
              </w:rPr>
              <w:t>計算中被豁除的虧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仍須計入本行</w:t>
            </w:r>
            <w:r w:rsidRPr="005A22C2">
              <w:rPr>
                <w:rFonts w:eastAsia="新細明體" w:cs="Segoe UI" w:hint="eastAsia"/>
                <w:sz w:val="17"/>
                <w:szCs w:val="17"/>
                <w:lang w:eastAsia="zh-TW"/>
              </w:rPr>
              <w:t>。</w:t>
            </w:r>
          </w:p>
        </w:tc>
      </w:tr>
      <w:tr w:rsidR="005A22C2" w:rsidRPr="005A22C2" w14:paraId="247CB2C0" w14:textId="77777777" w:rsidTr="00723A77">
        <w:tc>
          <w:tcPr>
            <w:tcW w:w="419" w:type="pct"/>
          </w:tcPr>
          <w:p w14:paraId="0E41C8EE"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7</w:t>
            </w:r>
          </w:p>
        </w:tc>
        <w:tc>
          <w:tcPr>
            <w:tcW w:w="4581" w:type="pct"/>
          </w:tcPr>
          <w:p w14:paraId="0CC60A10" w14:textId="77777777" w:rsidR="00E9755B" w:rsidRPr="005A22C2" w:rsidDel="00F169DA" w:rsidRDefault="00E9755B"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100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總次數</w:t>
            </w:r>
            <w:r w:rsidRPr="005A22C2">
              <w:rPr>
                <w:rFonts w:eastAsia="新細明體" w:cs="Segoe UI" w:hint="eastAsia"/>
                <w:sz w:val="17"/>
                <w:szCs w:val="17"/>
                <w:lang w:eastAsia="zh-TW"/>
              </w:rPr>
              <w:t>。</w:t>
            </w:r>
          </w:p>
        </w:tc>
      </w:tr>
      <w:tr w:rsidR="005A22C2" w:rsidRPr="005A22C2" w14:paraId="5CF0FCEE" w14:textId="77777777" w:rsidTr="00723A77">
        <w:tc>
          <w:tcPr>
            <w:tcW w:w="419" w:type="pct"/>
          </w:tcPr>
          <w:p w14:paraId="5EE2264C"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8</w:t>
            </w:r>
          </w:p>
        </w:tc>
        <w:tc>
          <w:tcPr>
            <w:tcW w:w="4581" w:type="pct"/>
          </w:tcPr>
          <w:p w14:paraId="24E41471" w14:textId="4E3EBD34" w:rsidR="00E9755B" w:rsidRPr="005A22C2" w:rsidDel="00F169DA" w:rsidRDefault="00E9755B" w:rsidP="00D17BBE">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TW"/>
              </w:rPr>
              <w:t>100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指在披露期</w:t>
            </w:r>
            <w:r w:rsidR="00D17BBE" w:rsidRPr="005A22C2">
              <w:rPr>
                <w:rFonts w:eastAsia="新細明體" w:cs="Segoe UI" w:hint="eastAsia"/>
                <w:sz w:val="17"/>
                <w:szCs w:val="17"/>
                <w:lang w:eastAsia="zh-HK"/>
              </w:rPr>
              <w:t>內就每個周年報告期</w:t>
            </w:r>
            <w:r w:rsidRPr="005A22C2">
              <w:rPr>
                <w:rFonts w:eastAsia="新細明體" w:cs="Segoe UI" w:hint="eastAsia"/>
                <w:sz w:val="17"/>
                <w:szCs w:val="17"/>
                <w:lang w:eastAsia="zh-HK"/>
              </w:rPr>
              <w:t>超出虧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門檻的</w:t>
            </w:r>
            <w:r w:rsidR="00D17BBE" w:rsidRPr="005A22C2">
              <w:rPr>
                <w:rFonts w:eastAsia="新細明體" w:cs="Segoe UI" w:hint="eastAsia"/>
                <w:sz w:val="17"/>
                <w:szCs w:val="17"/>
                <w:lang w:eastAsia="zh-HK"/>
              </w:rPr>
              <w:t>已豁除的</w:t>
            </w:r>
            <w:r w:rsidRPr="005A22C2">
              <w:rPr>
                <w:rFonts w:eastAsia="新細明體" w:cs="Segoe UI" w:hint="eastAsia"/>
                <w:sz w:val="17"/>
                <w:szCs w:val="17"/>
                <w:lang w:eastAsia="zh-HK"/>
              </w:rPr>
              <w:t>淨虧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總額</w:t>
            </w:r>
            <w:r w:rsidRPr="005A22C2">
              <w:rPr>
                <w:rFonts w:eastAsia="新細明體" w:cs="Segoe UI" w:hint="eastAsia"/>
                <w:sz w:val="17"/>
                <w:szCs w:val="17"/>
                <w:lang w:eastAsia="zh-TW"/>
              </w:rPr>
              <w:t>。</w:t>
            </w:r>
          </w:p>
        </w:tc>
      </w:tr>
      <w:tr w:rsidR="005A22C2" w:rsidRPr="005A22C2" w14:paraId="0A61E0DE" w14:textId="77777777" w:rsidTr="00723A77">
        <w:tc>
          <w:tcPr>
            <w:tcW w:w="419" w:type="pct"/>
          </w:tcPr>
          <w:p w14:paraId="2424140C"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9</w:t>
            </w:r>
          </w:p>
        </w:tc>
        <w:tc>
          <w:tcPr>
            <w:tcW w:w="4581" w:type="pct"/>
          </w:tcPr>
          <w:p w14:paraId="1721E52E" w14:textId="77777777" w:rsidR="00E9755B" w:rsidRPr="005A22C2" w:rsidDel="00F169DA" w:rsidRDefault="00E9755B"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HK"/>
              </w:rPr>
              <w:t>10</w:t>
            </w:r>
            <w:r w:rsidRPr="005A22C2">
              <w:rPr>
                <w:rFonts w:eastAsia="新細明體" w:cs="Segoe UI" w:hint="eastAsia"/>
                <w:sz w:val="17"/>
                <w:szCs w:val="17"/>
                <w:lang w:eastAsia="zh-TW"/>
              </w:rPr>
              <w:t>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指豁除總次數</w:t>
            </w:r>
            <w:r w:rsidRPr="005A22C2">
              <w:rPr>
                <w:rFonts w:eastAsia="新細明體" w:cs="Segoe UI" w:hint="eastAsia"/>
                <w:sz w:val="17"/>
                <w:szCs w:val="17"/>
                <w:lang w:eastAsia="zh-TW"/>
              </w:rPr>
              <w:t>。</w:t>
            </w:r>
          </w:p>
        </w:tc>
      </w:tr>
      <w:tr w:rsidR="005A22C2" w:rsidRPr="005A22C2" w14:paraId="1406A99D" w14:textId="77777777" w:rsidTr="00723A77">
        <w:tc>
          <w:tcPr>
            <w:tcW w:w="419" w:type="pct"/>
          </w:tcPr>
          <w:p w14:paraId="67FC5F3E"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10</w:t>
            </w:r>
          </w:p>
        </w:tc>
        <w:tc>
          <w:tcPr>
            <w:tcW w:w="4581" w:type="pct"/>
          </w:tcPr>
          <w:p w14:paraId="57DEA902" w14:textId="1838359D" w:rsidR="00E9755B" w:rsidRPr="005A22C2" w:rsidDel="00F169DA" w:rsidRDefault="00E9755B"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以</w:t>
            </w:r>
            <w:r w:rsidRPr="005A22C2">
              <w:rPr>
                <w:rFonts w:eastAsia="新細明體" w:cs="Segoe UI" w:hint="eastAsia"/>
                <w:sz w:val="17"/>
                <w:szCs w:val="17"/>
                <w:lang w:eastAsia="zh-HK"/>
              </w:rPr>
              <w:t>10</w:t>
            </w:r>
            <w:r w:rsidRPr="005A22C2">
              <w:rPr>
                <w:rFonts w:eastAsia="新細明體" w:cs="Segoe UI" w:hint="eastAsia"/>
                <w:sz w:val="17"/>
                <w:szCs w:val="17"/>
                <w:lang w:eastAsia="zh-TW"/>
              </w:rPr>
              <w:t>0</w:t>
            </w:r>
            <w:r w:rsidRPr="005A22C2">
              <w:rPr>
                <w:rFonts w:eastAsia="新細明體" w:cs="Segoe UI" w:hint="eastAsia"/>
                <w:sz w:val="17"/>
                <w:szCs w:val="17"/>
                <w:lang w:eastAsia="zh-HK"/>
              </w:rPr>
              <w:t>萬港元的虧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事件門檻為基礎</w:t>
            </w:r>
            <w:r w:rsidRPr="005A22C2">
              <w:rPr>
                <w:rFonts w:eastAsia="新細明體" w:cs="Segoe UI" w:hint="eastAsia"/>
                <w:sz w:val="17"/>
                <w:szCs w:val="17"/>
                <w:lang w:eastAsia="zh-TW"/>
              </w:rPr>
              <w:t>，</w:t>
            </w:r>
            <w:r w:rsidRPr="005A22C2">
              <w:rPr>
                <w:rFonts w:eastAsia="新細明體" w:cs="Segoe UI" w:hint="eastAsia"/>
                <w:sz w:val="17"/>
                <w:szCs w:val="17"/>
                <w:lang w:eastAsia="zh-HK"/>
              </w:rPr>
              <w:t>指已扣除收回</w:t>
            </w:r>
            <w:r w:rsidR="002E2181" w:rsidRPr="005A22C2">
              <w:rPr>
                <w:rFonts w:eastAsia="新細明體" w:cs="Segoe UI" w:hint="eastAsia"/>
                <w:kern w:val="2"/>
                <w:sz w:val="17"/>
                <w:szCs w:val="17"/>
                <w:lang w:eastAsia="zh-HK"/>
              </w:rPr>
              <w:t>數額</w:t>
            </w:r>
            <w:r w:rsidRPr="005A22C2">
              <w:rPr>
                <w:rFonts w:eastAsia="新細明體" w:cs="Segoe UI" w:hint="eastAsia"/>
                <w:sz w:val="17"/>
                <w:szCs w:val="17"/>
                <w:lang w:eastAsia="zh-HK"/>
              </w:rPr>
              <w:t>及已豁除</w:t>
            </w:r>
            <w:r w:rsidR="00D17BBE" w:rsidRPr="005A22C2">
              <w:rPr>
                <w:rFonts w:eastAsia="新細明體" w:cs="Segoe UI" w:hint="eastAsia"/>
                <w:sz w:val="17"/>
                <w:szCs w:val="17"/>
                <w:lang w:eastAsia="zh-HK"/>
              </w:rPr>
              <w:t>的</w:t>
            </w:r>
            <w:r w:rsidRPr="005A22C2">
              <w:rPr>
                <w:rFonts w:eastAsia="新細明體" w:cs="Segoe UI" w:hint="eastAsia"/>
                <w:sz w:val="17"/>
                <w:szCs w:val="17"/>
                <w:lang w:eastAsia="zh-HK"/>
              </w:rPr>
              <w:t>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的</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總額</w:t>
            </w:r>
            <w:r w:rsidRPr="005A22C2">
              <w:rPr>
                <w:rFonts w:eastAsia="新細明體" w:cs="Segoe UI" w:hint="eastAsia"/>
                <w:sz w:val="17"/>
                <w:szCs w:val="17"/>
                <w:lang w:eastAsia="zh-TW"/>
              </w:rPr>
              <w:t>。</w:t>
            </w:r>
          </w:p>
        </w:tc>
      </w:tr>
      <w:tr w:rsidR="005A22C2" w:rsidRPr="005A22C2" w14:paraId="5663DEBE" w14:textId="77777777" w:rsidTr="00723A77">
        <w:tc>
          <w:tcPr>
            <w:tcW w:w="419" w:type="pct"/>
          </w:tcPr>
          <w:p w14:paraId="5EA5B77D"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11</w:t>
            </w:r>
          </w:p>
        </w:tc>
        <w:tc>
          <w:tcPr>
            <w:tcW w:w="4581" w:type="pct"/>
          </w:tcPr>
          <w:p w14:paraId="167D0CE1" w14:textId="037D8BB5" w:rsidR="00E9755B" w:rsidRPr="005A22C2" w:rsidDel="00F169DA" w:rsidRDefault="00E9755B"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表示認可機構是否使用</w:t>
            </w:r>
            <w:r w:rsidRPr="005A22C2">
              <w:rPr>
                <w:rFonts w:eastAsia="新細明體" w:cs="Segoe UI"/>
                <w:sz w:val="17"/>
                <w:szCs w:val="17"/>
                <w:lang w:eastAsia="zh-TW"/>
              </w:rPr>
              <w:t>業務操作風險</w:t>
            </w:r>
            <w:r w:rsidRPr="005A22C2">
              <w:rPr>
                <w:rFonts w:eastAsia="新細明體" w:cs="Segoe UI" w:hint="eastAsia"/>
                <w:sz w:val="17"/>
                <w:szCs w:val="17"/>
                <w:lang w:eastAsia="zh-HK"/>
              </w:rPr>
              <w:t>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來計算</w:t>
            </w:r>
            <w:r w:rsidR="002D4C95" w:rsidRPr="005A22C2">
              <w:rPr>
                <w:rFonts w:eastAsia="新細明體" w:cs="Segoe UI" w:hint="eastAsia"/>
                <w:sz w:val="17"/>
                <w:szCs w:val="17"/>
                <w:lang w:eastAsia="zh-HK"/>
              </w:rPr>
              <w:t>內部損失倍率</w:t>
            </w:r>
            <w:r w:rsidRPr="005A22C2">
              <w:rPr>
                <w:rFonts w:eastAsia="新細明體" w:cs="Segoe UI" w:hint="eastAsia"/>
                <w:sz w:val="17"/>
                <w:szCs w:val="17"/>
                <w:lang w:eastAsia="zh-TW"/>
              </w:rPr>
              <w:t>。</w:t>
            </w:r>
          </w:p>
        </w:tc>
      </w:tr>
      <w:tr w:rsidR="005A22C2" w:rsidRPr="005A22C2" w14:paraId="4BB27758" w14:textId="77777777" w:rsidTr="00723A77">
        <w:tc>
          <w:tcPr>
            <w:tcW w:w="419" w:type="pct"/>
          </w:tcPr>
          <w:p w14:paraId="5064F20B"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12</w:t>
            </w:r>
          </w:p>
        </w:tc>
        <w:tc>
          <w:tcPr>
            <w:tcW w:w="4581" w:type="pct"/>
          </w:tcPr>
          <w:p w14:paraId="4BA673BA" w14:textId="77777777" w:rsidR="00E9755B" w:rsidRPr="005A22C2" w:rsidDel="00F169DA" w:rsidRDefault="00E9755B"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表示是否因為不符合相關監管指引內有關高質業務操作虧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數據的標準而在</w:t>
            </w:r>
            <w:r w:rsidRPr="005A22C2">
              <w:rPr>
                <w:rFonts w:eastAsia="新細明體" w:cs="Segoe UI" w:hint="eastAsia"/>
                <w:sz w:val="17"/>
                <w:szCs w:val="17"/>
                <w:lang w:eastAsia="zh-TW"/>
              </w:rPr>
              <w:t>ILM</w:t>
            </w:r>
            <w:r w:rsidRPr="005A22C2">
              <w:rPr>
                <w:rFonts w:eastAsia="新細明體" w:cs="Segoe UI" w:hint="eastAsia"/>
                <w:sz w:val="17"/>
                <w:szCs w:val="17"/>
                <w:lang w:eastAsia="zh-HK"/>
              </w:rPr>
              <w:t>計算中沒有使用內部虧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數據</w:t>
            </w:r>
            <w:r w:rsidRPr="005A22C2">
              <w:rPr>
                <w:rFonts w:eastAsia="新細明體" w:cs="Segoe UI" w:hint="eastAsia"/>
                <w:sz w:val="17"/>
                <w:szCs w:val="17"/>
                <w:lang w:eastAsia="zh-TW"/>
              </w:rPr>
              <w:t>。</w:t>
            </w:r>
            <w:r w:rsidRPr="005A22C2">
              <w:rPr>
                <w:rFonts w:eastAsia="新細明體" w:cs="Segoe UI" w:hint="eastAsia"/>
                <w:sz w:val="17"/>
                <w:szCs w:val="17"/>
                <w:lang w:eastAsia="zh-HK"/>
              </w:rPr>
              <w:t>若使用任何所得出的倍率</w:t>
            </w:r>
            <w:r w:rsidRPr="005A22C2">
              <w:rPr>
                <w:rFonts w:eastAsia="新細明體" w:cs="Segoe UI" w:hint="eastAsia"/>
                <w:sz w:val="17"/>
                <w:szCs w:val="17"/>
                <w:lang w:eastAsia="zh-TW"/>
              </w:rPr>
              <w:t>，</w:t>
            </w:r>
            <w:r w:rsidRPr="005A22C2">
              <w:rPr>
                <w:rFonts w:eastAsia="新細明體" w:cs="Segoe UI" w:hint="eastAsia"/>
                <w:sz w:val="17"/>
                <w:szCs w:val="17"/>
                <w:lang w:eastAsia="zh-HK"/>
              </w:rPr>
              <w:t>須在模版</w:t>
            </w:r>
            <w:r w:rsidRPr="005A22C2">
              <w:rPr>
                <w:rFonts w:eastAsia="新細明體" w:cs="Segoe UI" w:hint="eastAsia"/>
                <w:sz w:val="17"/>
                <w:szCs w:val="17"/>
                <w:lang w:eastAsia="zh-TW"/>
              </w:rPr>
              <w:t>OR3</w:t>
            </w:r>
            <w:r w:rsidRPr="005A22C2">
              <w:rPr>
                <w:rFonts w:eastAsia="新細明體" w:cs="Segoe UI" w:hint="eastAsia"/>
                <w:sz w:val="17"/>
                <w:szCs w:val="17"/>
                <w:lang w:eastAsia="zh-HK"/>
              </w:rPr>
              <w:t>第</w:t>
            </w:r>
            <w:r w:rsidRPr="005A22C2">
              <w:rPr>
                <w:rFonts w:eastAsia="新細明體" w:cs="Segoe UI" w:hint="eastAsia"/>
                <w:sz w:val="17"/>
                <w:szCs w:val="17"/>
                <w:lang w:eastAsia="zh-TW"/>
              </w:rPr>
              <w:t>2</w:t>
            </w:r>
            <w:r w:rsidRPr="005A22C2">
              <w:rPr>
                <w:rFonts w:eastAsia="新細明體" w:cs="Segoe UI" w:hint="eastAsia"/>
                <w:sz w:val="17"/>
                <w:szCs w:val="17"/>
                <w:lang w:eastAsia="zh-HK"/>
              </w:rPr>
              <w:t>行披露</w:t>
            </w:r>
            <w:r w:rsidRPr="005A22C2">
              <w:rPr>
                <w:rFonts w:eastAsia="新細明體" w:cs="Segoe UI" w:hint="eastAsia"/>
                <w:sz w:val="17"/>
                <w:szCs w:val="17"/>
                <w:lang w:eastAsia="zh-TW"/>
              </w:rPr>
              <w:t>，</w:t>
            </w:r>
            <w:r w:rsidRPr="005A22C2">
              <w:rPr>
                <w:rFonts w:eastAsia="新細明體" w:cs="Segoe UI" w:hint="eastAsia"/>
                <w:sz w:val="17"/>
                <w:szCs w:val="17"/>
                <w:lang w:eastAsia="zh-HK"/>
              </w:rPr>
              <w:t>並附以說明</w:t>
            </w:r>
            <w:r w:rsidRPr="005A22C2">
              <w:rPr>
                <w:rFonts w:eastAsia="新細明體" w:cs="Segoe UI" w:hint="eastAsia"/>
                <w:sz w:val="17"/>
                <w:szCs w:val="17"/>
                <w:lang w:eastAsia="zh-TW"/>
              </w:rPr>
              <w:t>。</w:t>
            </w:r>
          </w:p>
        </w:tc>
      </w:tr>
      <w:tr w:rsidR="005A22C2" w:rsidRPr="005A22C2" w14:paraId="7874DD1D" w14:textId="77777777" w:rsidTr="00723A77">
        <w:tc>
          <w:tcPr>
            <w:tcW w:w="419" w:type="pct"/>
          </w:tcPr>
          <w:p w14:paraId="18993D78" w14:textId="77777777" w:rsidR="00E9755B" w:rsidRPr="005A22C2" w:rsidRDefault="00E9755B"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13</w:t>
            </w:r>
          </w:p>
        </w:tc>
        <w:tc>
          <w:tcPr>
            <w:tcW w:w="4581" w:type="pct"/>
          </w:tcPr>
          <w:p w14:paraId="49D7D78B" w14:textId="57994ED6" w:rsidR="00E9755B" w:rsidRPr="005A22C2" w:rsidRDefault="00D17BBE"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HK"/>
              </w:rPr>
            </w:pPr>
            <w:r w:rsidRPr="005A22C2">
              <w:rPr>
                <w:rFonts w:eastAsia="新細明體" w:cs="Segoe UI" w:hint="eastAsia"/>
                <w:sz w:val="17"/>
                <w:szCs w:val="17"/>
                <w:lang w:eastAsia="zh-HK"/>
              </w:rPr>
              <w:t>若</w:t>
            </w:r>
            <w:r w:rsidR="00E9755B" w:rsidRPr="005A22C2">
              <w:rPr>
                <w:rFonts w:eastAsia="新細明體" w:cs="Segoe UI" w:hint="eastAsia"/>
                <w:sz w:val="17"/>
                <w:szCs w:val="17"/>
                <w:lang w:eastAsia="zh-HK"/>
              </w:rPr>
              <w:t>適用</w:t>
            </w:r>
            <w:r w:rsidR="00E9755B" w:rsidRPr="005A22C2">
              <w:rPr>
                <w:rFonts w:eastAsia="新細明體" w:cs="Segoe UI" w:hint="eastAsia"/>
                <w:sz w:val="17"/>
                <w:szCs w:val="17"/>
                <w:lang w:eastAsia="zh-TW"/>
              </w:rPr>
              <w:t>，</w:t>
            </w:r>
            <w:r w:rsidR="00E9755B" w:rsidRPr="005A22C2">
              <w:rPr>
                <w:rFonts w:eastAsia="新細明體" w:cs="Segoe UI" w:hint="eastAsia"/>
                <w:sz w:val="17"/>
                <w:szCs w:val="17"/>
                <w:lang w:eastAsia="zh-HK"/>
              </w:rPr>
              <w:t>指在實際</w:t>
            </w:r>
            <w:r w:rsidR="00E9755B" w:rsidRPr="005A22C2">
              <w:rPr>
                <w:rFonts w:eastAsia="新細明體" w:cs="Segoe UI"/>
                <w:sz w:val="17"/>
                <w:szCs w:val="17"/>
                <w:lang w:eastAsia="zh-TW"/>
              </w:rPr>
              <w:t>業務操作風險資本要求</w:t>
            </w:r>
            <w:r w:rsidR="00E9755B" w:rsidRPr="005A22C2">
              <w:rPr>
                <w:rFonts w:eastAsia="新細明體" w:cs="Segoe UI" w:hint="eastAsia"/>
                <w:sz w:val="17"/>
                <w:szCs w:val="17"/>
                <w:lang w:eastAsia="zh-HK"/>
              </w:rPr>
              <w:t>計算中所使用的虧</w:t>
            </w:r>
            <w:r w:rsidR="00E9755B" w:rsidRPr="005A22C2">
              <w:rPr>
                <w:rFonts w:eastAsia="新細明體" w:cs="Segoe UI" w:hint="eastAsia"/>
                <w:sz w:val="17"/>
                <w:szCs w:val="17"/>
                <w:lang w:eastAsia="zh-TW"/>
              </w:rPr>
              <w:t>損</w:t>
            </w:r>
            <w:r w:rsidR="00E9755B" w:rsidRPr="005A22C2">
              <w:rPr>
                <w:rFonts w:eastAsia="新細明體" w:cs="Segoe UI" w:hint="eastAsia"/>
                <w:sz w:val="17"/>
                <w:szCs w:val="17"/>
                <w:lang w:eastAsia="zh-HK"/>
              </w:rPr>
              <w:t>事件門檻</w:t>
            </w:r>
            <w:r w:rsidR="00E9755B" w:rsidRPr="005A22C2">
              <w:rPr>
                <w:rFonts w:eastAsia="新細明體" w:cs="Segoe UI" w:hint="eastAsia"/>
                <w:sz w:val="17"/>
                <w:lang w:eastAsia="zh-HK"/>
              </w:rPr>
              <w:t>（</w:t>
            </w:r>
            <w:r w:rsidR="00E9755B" w:rsidRPr="005A22C2">
              <w:rPr>
                <w:rFonts w:eastAsia="新細明體" w:cs="Segoe UI" w:hint="eastAsia"/>
                <w:sz w:val="17"/>
                <w:szCs w:val="17"/>
                <w:lang w:eastAsia="zh-HK"/>
              </w:rPr>
              <w:t>即</w:t>
            </w:r>
            <w:r w:rsidR="00E9755B" w:rsidRPr="005A22C2">
              <w:rPr>
                <w:rFonts w:eastAsia="新細明體" w:cs="Segoe UI" w:hint="eastAsia"/>
                <w:sz w:val="17"/>
                <w:szCs w:val="17"/>
                <w:lang w:eastAsia="zh-TW"/>
              </w:rPr>
              <w:t>20</w:t>
            </w:r>
            <w:r w:rsidR="00E9755B" w:rsidRPr="005A22C2">
              <w:rPr>
                <w:rFonts w:eastAsia="新細明體" w:cs="Segoe UI" w:hint="eastAsia"/>
                <w:sz w:val="17"/>
                <w:szCs w:val="17"/>
                <w:lang w:eastAsia="zh-HK"/>
              </w:rPr>
              <w:t>萬港元或</w:t>
            </w:r>
            <w:r w:rsidR="00E9755B" w:rsidRPr="005A22C2">
              <w:rPr>
                <w:rFonts w:eastAsia="新細明體" w:cs="Segoe UI" w:hint="eastAsia"/>
                <w:sz w:val="17"/>
                <w:szCs w:val="17"/>
                <w:lang w:eastAsia="zh-TW"/>
              </w:rPr>
              <w:t>100</w:t>
            </w:r>
            <w:r w:rsidR="00E9755B" w:rsidRPr="005A22C2">
              <w:rPr>
                <w:rFonts w:eastAsia="新細明體" w:cs="Segoe UI" w:hint="eastAsia"/>
                <w:sz w:val="17"/>
                <w:szCs w:val="17"/>
                <w:lang w:eastAsia="zh-HK"/>
              </w:rPr>
              <w:t>萬港元</w:t>
            </w:r>
            <w:r w:rsidR="00E9755B" w:rsidRPr="005A22C2">
              <w:rPr>
                <w:rFonts w:ascii="新細明體" w:eastAsia="新細明體" w:hAnsi="新細明體" w:cs="Segoe UI" w:hint="eastAsia"/>
                <w:sz w:val="17"/>
                <w:szCs w:val="17"/>
                <w:lang w:eastAsia="zh-TW"/>
              </w:rPr>
              <w:t>）</w:t>
            </w:r>
            <w:r w:rsidR="00E9755B" w:rsidRPr="005A22C2">
              <w:rPr>
                <w:rFonts w:eastAsia="新細明體" w:cs="Segoe UI" w:hint="eastAsia"/>
                <w:sz w:val="17"/>
                <w:szCs w:val="17"/>
                <w:lang w:eastAsia="zh-TW"/>
              </w:rPr>
              <w:t>。</w:t>
            </w:r>
          </w:p>
        </w:tc>
      </w:tr>
    </w:tbl>
    <w:p w14:paraId="4CE14F2E" w14:textId="5ED928BE" w:rsidR="00E9755B" w:rsidRPr="005A22C2" w:rsidRDefault="00E9755B">
      <w:pPr>
        <w:rPr>
          <w:lang w:eastAsia="zh-TW"/>
        </w:rPr>
      </w:pPr>
    </w:p>
    <w:p w14:paraId="4BFCEDF8" w14:textId="77777777" w:rsidR="00E9755B" w:rsidRDefault="00E9755B">
      <w:pPr>
        <w:rPr>
          <w:lang w:eastAsia="zh-TW"/>
        </w:rPr>
      </w:pPr>
    </w:p>
    <w:p w14:paraId="0A42AF55" w14:textId="77777777" w:rsidR="00190D67" w:rsidRPr="003905B9" w:rsidRDefault="00190D67" w:rsidP="00190D67">
      <w:pPr>
        <w:rPr>
          <w:rFonts w:eastAsia="新細明體" w:cs="Segoe UI"/>
          <w:lang w:eastAsia="zh-TW"/>
        </w:rPr>
        <w:sectPr w:rsidR="00190D67" w:rsidRPr="003905B9">
          <w:headerReference w:type="default" r:id="rId116"/>
          <w:footerReference w:type="default" r:id="rId117"/>
          <w:pgSz w:w="11906" w:h="16838" w:code="9"/>
          <w:pgMar w:top="1440" w:right="1797" w:bottom="1440" w:left="1797" w:header="851" w:footer="737" w:gutter="0"/>
          <w:cols w:space="425"/>
          <w:docGrid w:type="linesAndChars" w:linePitch="360"/>
        </w:sectPr>
      </w:pPr>
    </w:p>
    <w:p w14:paraId="44AAC9BF" w14:textId="15118E9A" w:rsidR="004F62C3" w:rsidRPr="005A22C2" w:rsidRDefault="004F62C3" w:rsidP="00723A77">
      <w:pPr>
        <w:pStyle w:val="Heading2"/>
        <w:keepNext w:val="0"/>
        <w:suppressAutoHyphens w:val="0"/>
        <w:spacing w:before="40" w:line="240" w:lineRule="auto"/>
        <w:ind w:left="-284"/>
        <w:rPr>
          <w:rFonts w:cs="Segoe UI"/>
          <w:b w:val="0"/>
          <w:sz w:val="22"/>
          <w:lang w:eastAsia="zh-HK"/>
        </w:rPr>
      </w:pPr>
      <w:r w:rsidRPr="005A22C2">
        <w:rPr>
          <w:rFonts w:cs="Segoe UI"/>
          <w:b w:val="0"/>
          <w:sz w:val="22"/>
          <w:lang w:eastAsia="zh-TW"/>
        </w:rPr>
        <w:t>模版</w:t>
      </w:r>
      <w:r w:rsidRPr="005A22C2">
        <w:rPr>
          <w:rFonts w:ascii="Segoe UI" w:hAnsi="Segoe UI" w:cs="Segoe UI"/>
          <w:b w:val="0"/>
          <w:sz w:val="22"/>
          <w:lang w:eastAsia="zh-TW"/>
        </w:rPr>
        <w:t>OR2</w:t>
      </w:r>
      <w:r w:rsidRPr="005A22C2">
        <w:rPr>
          <w:rFonts w:cs="Segoe UI"/>
          <w:b w:val="0"/>
          <w:sz w:val="22"/>
          <w:lang w:eastAsia="zh-TW"/>
        </w:rPr>
        <w:t>：</w:t>
      </w:r>
      <w:r w:rsidRPr="005A22C2">
        <w:rPr>
          <w:rFonts w:cs="Segoe UI" w:hint="eastAsia"/>
          <w:b w:val="0"/>
          <w:sz w:val="22"/>
          <w:lang w:eastAsia="zh-HK"/>
        </w:rPr>
        <w:t>業務指標及業務指標組成部分的細目分類</w:t>
      </w:r>
    </w:p>
    <w:tbl>
      <w:tblPr>
        <w:tblW w:w="9112" w:type="dxa"/>
        <w:tblInd w:w="-284"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229"/>
        <w:gridCol w:w="6883"/>
      </w:tblGrid>
      <w:tr w:rsidR="005A22C2" w:rsidRPr="005A22C2" w14:paraId="2EC35054" w14:textId="77777777" w:rsidTr="00723A77">
        <w:tc>
          <w:tcPr>
            <w:tcW w:w="1223" w:type="pct"/>
          </w:tcPr>
          <w:p w14:paraId="371865E9" w14:textId="77777777" w:rsidR="004F62C3" w:rsidRPr="005A22C2" w:rsidRDefault="004F62C3" w:rsidP="009C54A9">
            <w:pPr>
              <w:spacing w:before="40" w:after="40"/>
              <w:rPr>
                <w:rFonts w:eastAsia="新細明體" w:cs="Segoe UI"/>
                <w:noProof/>
                <w:sz w:val="17"/>
                <w:lang w:eastAsia="en-GB"/>
              </w:rPr>
            </w:pPr>
            <w:proofErr w:type="spellStart"/>
            <w:r w:rsidRPr="005A22C2">
              <w:rPr>
                <w:rFonts w:eastAsia="新細明體" w:cs="Segoe UI"/>
                <w:b/>
                <w:sz w:val="17"/>
                <w:lang w:eastAsia="en-GB"/>
              </w:rPr>
              <w:t>目的</w:t>
            </w:r>
            <w:proofErr w:type="spellEnd"/>
            <w:r w:rsidRPr="005A22C2">
              <w:rPr>
                <w:rFonts w:eastAsia="新細明體" w:cs="Segoe UI"/>
                <w:b/>
                <w:sz w:val="17"/>
                <w:lang w:eastAsia="en-GB"/>
              </w:rPr>
              <w:t>：</w:t>
            </w:r>
          </w:p>
        </w:tc>
        <w:tc>
          <w:tcPr>
            <w:tcW w:w="3777" w:type="pct"/>
          </w:tcPr>
          <w:p w14:paraId="3E0A5DF5" w14:textId="58198D80" w:rsidR="004F62C3" w:rsidRPr="005A22C2" w:rsidRDefault="004F62C3" w:rsidP="007B6F47">
            <w:pPr>
              <w:spacing w:before="40" w:after="40"/>
              <w:jc w:val="both"/>
              <w:rPr>
                <w:rFonts w:eastAsia="新細明體" w:cs="Segoe UI"/>
                <w:noProof/>
                <w:sz w:val="17"/>
                <w:lang w:eastAsia="zh-TW"/>
              </w:rPr>
            </w:pPr>
            <w:r w:rsidRPr="005A22C2">
              <w:rPr>
                <w:rFonts w:eastAsia="新細明體" w:cs="Segoe UI" w:hint="eastAsia"/>
                <w:noProof/>
                <w:sz w:val="17"/>
                <w:lang w:eastAsia="zh-HK"/>
              </w:rPr>
              <w:t>披露</w:t>
            </w:r>
            <w:r w:rsidR="007B6F47" w:rsidRPr="005A22C2">
              <w:rPr>
                <w:rFonts w:eastAsia="新細明體" w:cs="Segoe UI" w:hint="eastAsia"/>
                <w:noProof/>
                <w:sz w:val="17"/>
                <w:lang w:eastAsia="zh-HK"/>
              </w:rPr>
              <w:t>載明</w:t>
            </w:r>
            <w:r w:rsidRPr="005A22C2">
              <w:rPr>
                <w:rFonts w:eastAsia="新細明體" w:cs="Segoe UI" w:hint="eastAsia"/>
                <w:noProof/>
                <w:sz w:val="17"/>
                <w:lang w:eastAsia="zh-HK"/>
              </w:rPr>
              <w:t>了</w:t>
            </w:r>
            <w:r w:rsidRPr="005A22C2">
              <w:rPr>
                <w:rFonts w:eastAsia="新細明體" w:cs="Segoe UI"/>
                <w:noProof/>
                <w:sz w:val="17"/>
                <w:lang w:eastAsia="zh-TW"/>
              </w:rPr>
              <w:t>業務操作風險資本要求</w:t>
            </w:r>
            <w:r w:rsidRPr="005A22C2">
              <w:rPr>
                <w:rFonts w:eastAsia="新細明體" w:cs="Segoe UI" w:hint="eastAsia"/>
                <w:noProof/>
                <w:sz w:val="17"/>
                <w:lang w:eastAsia="zh-HK"/>
              </w:rPr>
              <w:t>計算的業務指標</w:t>
            </w:r>
            <w:r w:rsidRPr="005A22C2">
              <w:rPr>
                <w:rFonts w:eastAsia="新細明體" w:cs="Segoe UI" w:hint="eastAsia"/>
                <w:noProof/>
                <w:sz w:val="17"/>
                <w:lang w:eastAsia="zh-TW"/>
              </w:rPr>
              <w:t>(BI)</w:t>
            </w:r>
            <w:r w:rsidRPr="005A22C2">
              <w:rPr>
                <w:rFonts w:eastAsia="新細明體" w:cs="Segoe UI" w:hint="eastAsia"/>
                <w:noProof/>
                <w:sz w:val="17"/>
                <w:lang w:eastAsia="zh-HK"/>
              </w:rPr>
              <w:t>及其組成部分的細目分類</w:t>
            </w:r>
            <w:r w:rsidRPr="005A22C2">
              <w:rPr>
                <w:rFonts w:eastAsia="新細明體" w:cs="Segoe UI" w:hint="eastAsia"/>
                <w:noProof/>
                <w:sz w:val="17"/>
                <w:lang w:eastAsia="zh-TW"/>
              </w:rPr>
              <w:t>。</w:t>
            </w:r>
            <w:r w:rsidRPr="005A22C2">
              <w:rPr>
                <w:rFonts w:ascii="細明體" w:eastAsia="細明體" w:hAnsi="細明體" w:cs="Segoe UI" w:hint="eastAsia"/>
                <w:noProof/>
                <w:sz w:val="17"/>
                <w:lang w:eastAsia="zh-TW"/>
              </w:rPr>
              <w:t>《</w:t>
            </w:r>
            <w:r w:rsidRPr="005A22C2">
              <w:rPr>
                <w:rFonts w:eastAsia="新細明體" w:cs="Segoe UI" w:hint="eastAsia"/>
                <w:noProof/>
                <w:sz w:val="17"/>
                <w:lang w:eastAsia="zh-HK"/>
              </w:rPr>
              <w:t>監管政策手冊</w:t>
            </w:r>
            <w:r w:rsidRPr="005A22C2">
              <w:rPr>
                <w:rFonts w:ascii="細明體" w:eastAsia="細明體" w:hAnsi="細明體" w:cs="Segoe UI" w:hint="eastAsia"/>
                <w:noProof/>
                <w:sz w:val="17"/>
                <w:lang w:eastAsia="zh-HK"/>
              </w:rPr>
              <w:t>》</w:t>
            </w:r>
            <w:r w:rsidRPr="005A22C2">
              <w:rPr>
                <w:rFonts w:eastAsia="新細明體" w:cs="Segoe UI" w:hint="eastAsia"/>
                <w:noProof/>
                <w:sz w:val="17"/>
                <w:lang w:eastAsia="zh-HK"/>
              </w:rPr>
              <w:t>單元</w:t>
            </w:r>
            <w:r w:rsidRPr="005A22C2">
              <w:rPr>
                <w:rFonts w:eastAsia="新細明體" w:cs="Segoe UI"/>
                <w:sz w:val="17"/>
                <w:lang w:eastAsia="zh-TW"/>
              </w:rPr>
              <w:t>CA-D-1</w:t>
            </w:r>
            <w:r w:rsidRPr="005A22C2">
              <w:rPr>
                <w:rFonts w:ascii="新細明體" w:eastAsia="新細明體" w:hAnsi="新細明體" w:cs="Segoe UI" w:hint="eastAsia"/>
                <w:sz w:val="17"/>
                <w:lang w:eastAsia="zh-TW"/>
              </w:rPr>
              <w:t>「</w:t>
            </w:r>
            <w:r w:rsidRPr="005A22C2">
              <w:rPr>
                <w:rFonts w:eastAsia="新細明體" w:cs="Segoe UI" w:hint="eastAsia"/>
                <w:sz w:val="17"/>
                <w:lang w:eastAsia="zh-TW"/>
              </w:rPr>
              <w:t>《銀行業</w:t>
            </w:r>
            <w:r w:rsidRPr="005A22C2">
              <w:rPr>
                <w:rFonts w:eastAsia="新細明體" w:cs="Segoe UI" w:hint="eastAsia"/>
                <w:sz w:val="17"/>
                <w:lang w:eastAsia="zh-HK"/>
              </w:rPr>
              <w:t>（</w:t>
            </w:r>
            <w:r w:rsidRPr="005A22C2">
              <w:rPr>
                <w:rFonts w:eastAsia="新細明體" w:cs="Segoe UI" w:hint="eastAsia"/>
                <w:sz w:val="17"/>
                <w:lang w:eastAsia="zh-TW"/>
              </w:rPr>
              <w:t>披露</w:t>
            </w:r>
            <w:r w:rsidRPr="005A22C2">
              <w:rPr>
                <w:rFonts w:ascii="新細明體" w:eastAsia="新細明體" w:hAnsi="新細明體" w:cs="Segoe UI" w:hint="eastAsia"/>
                <w:sz w:val="17"/>
                <w:szCs w:val="17"/>
                <w:lang w:eastAsia="zh-TW"/>
              </w:rPr>
              <w:t>）</w:t>
            </w:r>
            <w:r w:rsidRPr="005A22C2">
              <w:rPr>
                <w:rFonts w:eastAsia="新細明體" w:cs="Segoe UI" w:hint="eastAsia"/>
                <w:sz w:val="17"/>
                <w:lang w:eastAsia="zh-TW"/>
              </w:rPr>
              <w:t>規則》的應用指引</w:t>
            </w:r>
            <w:r w:rsidRPr="005A22C2">
              <w:rPr>
                <w:rFonts w:ascii="新細明體" w:eastAsia="新細明體" w:hAnsi="新細明體" w:cs="Segoe UI" w:hint="eastAsia"/>
                <w:sz w:val="17"/>
                <w:lang w:eastAsia="zh-TW"/>
              </w:rPr>
              <w:t>」</w:t>
            </w:r>
            <w:r w:rsidRPr="005A22C2">
              <w:rPr>
                <w:rFonts w:ascii="新細明體" w:eastAsia="新細明體" w:hAnsi="新細明體" w:cs="Segoe UI" w:hint="eastAsia"/>
                <w:sz w:val="17"/>
                <w:lang w:eastAsia="zh-HK"/>
              </w:rPr>
              <w:t>所載的追溯披露一般原則</w:t>
            </w:r>
            <w:r w:rsidRPr="005A22C2">
              <w:rPr>
                <w:rFonts w:ascii="新細明體" w:eastAsia="新細明體" w:hAnsi="新細明體" w:cs="Segoe UI" w:hint="eastAsia"/>
                <w:sz w:val="17"/>
                <w:lang w:eastAsia="zh-TW"/>
              </w:rPr>
              <w:t>，</w:t>
            </w:r>
            <w:r w:rsidRPr="005A22C2">
              <w:rPr>
                <w:rFonts w:ascii="新細明體" w:eastAsia="新細明體" w:hAnsi="新細明體" w:cs="Segoe UI" w:hint="eastAsia"/>
                <w:sz w:val="17"/>
                <w:lang w:eastAsia="zh-HK"/>
              </w:rPr>
              <w:t>並不適用於本模版</w:t>
            </w:r>
            <w:r w:rsidRPr="005A22C2">
              <w:rPr>
                <w:rFonts w:ascii="新細明體" w:eastAsia="新細明體" w:hAnsi="新細明體" w:cs="Segoe UI" w:hint="eastAsia"/>
                <w:sz w:val="17"/>
                <w:lang w:eastAsia="zh-TW"/>
              </w:rPr>
              <w:t>。</w:t>
            </w:r>
            <w:r w:rsidRPr="005A22C2">
              <w:rPr>
                <w:rFonts w:eastAsia="新細明體" w:cs="Segoe UI" w:hint="eastAsia"/>
                <w:noProof/>
                <w:sz w:val="17"/>
                <w:lang w:eastAsia="zh-HK"/>
              </w:rPr>
              <w:t>由本</w:t>
            </w:r>
            <w:r w:rsidRPr="005A22C2">
              <w:rPr>
                <w:rFonts w:eastAsia="新細明體" w:cs="Segoe UI"/>
                <w:noProof/>
                <w:sz w:val="17"/>
                <w:lang w:eastAsia="zh-TW"/>
              </w:rPr>
              <w:t>模版</w:t>
            </w:r>
            <w:r w:rsidRPr="005A22C2">
              <w:rPr>
                <w:rFonts w:eastAsia="新細明體" w:cs="Segoe UI" w:hint="eastAsia"/>
                <w:noProof/>
                <w:sz w:val="17"/>
                <w:lang w:eastAsia="zh-HK"/>
              </w:rPr>
              <w:t>實施日期起</w:t>
            </w:r>
            <w:r w:rsidRPr="005A22C2">
              <w:rPr>
                <w:rFonts w:eastAsia="新細明體" w:cs="Segoe UI" w:hint="eastAsia"/>
                <w:noProof/>
                <w:sz w:val="17"/>
                <w:lang w:eastAsia="zh-TW"/>
              </w:rPr>
              <w:t>，</w:t>
            </w:r>
            <w:r w:rsidRPr="005A22C2">
              <w:rPr>
                <w:rFonts w:eastAsia="新細明體" w:cs="Segoe UI" w:hint="eastAsia"/>
                <w:sz w:val="17"/>
                <w:lang w:eastAsia="zh-HK"/>
              </w:rPr>
              <w:t>認可機構</w:t>
            </w:r>
            <w:r w:rsidRPr="005A22C2">
              <w:rPr>
                <w:rFonts w:eastAsia="新細明體" w:cs="Segoe UI" w:hint="eastAsia"/>
                <w:noProof/>
                <w:sz w:val="17"/>
                <w:lang w:eastAsia="zh-HK"/>
              </w:rPr>
              <w:t>須按規定就所有先前的報告期作出披露</w:t>
            </w:r>
            <w:r w:rsidRPr="005A22C2">
              <w:rPr>
                <w:rFonts w:eastAsia="新細明體" w:cs="Segoe UI" w:hint="eastAsia"/>
                <w:noProof/>
                <w:sz w:val="17"/>
                <w:lang w:eastAsia="zh-TW"/>
              </w:rPr>
              <w:t>。</w:t>
            </w:r>
          </w:p>
        </w:tc>
      </w:tr>
      <w:tr w:rsidR="005A22C2" w:rsidRPr="005A22C2" w14:paraId="685AF311" w14:textId="77777777" w:rsidTr="00723A77">
        <w:tc>
          <w:tcPr>
            <w:tcW w:w="1223" w:type="pct"/>
          </w:tcPr>
          <w:p w14:paraId="15ED7591" w14:textId="77777777" w:rsidR="004F62C3" w:rsidRPr="005A22C2" w:rsidRDefault="004F62C3" w:rsidP="009C54A9">
            <w:pPr>
              <w:spacing w:before="40" w:after="40"/>
              <w:rPr>
                <w:rFonts w:eastAsia="新細明體" w:cs="Segoe UI"/>
                <w:b/>
                <w:sz w:val="17"/>
                <w:lang w:eastAsia="en-GB"/>
              </w:rPr>
            </w:pPr>
            <w:proofErr w:type="spellStart"/>
            <w:r w:rsidRPr="005A22C2">
              <w:rPr>
                <w:rFonts w:eastAsia="新細明體" w:cs="Segoe UI"/>
                <w:b/>
                <w:sz w:val="17"/>
                <w:lang w:eastAsia="en-GB"/>
              </w:rPr>
              <w:t>適用範圍</w:t>
            </w:r>
            <w:proofErr w:type="spellEnd"/>
            <w:r w:rsidRPr="005A22C2">
              <w:rPr>
                <w:rFonts w:eastAsia="新細明體" w:cs="Segoe UI"/>
                <w:b/>
                <w:sz w:val="17"/>
                <w:lang w:eastAsia="en-GB"/>
              </w:rPr>
              <w:t>：</w:t>
            </w:r>
          </w:p>
        </w:tc>
        <w:tc>
          <w:tcPr>
            <w:tcW w:w="3777" w:type="pct"/>
          </w:tcPr>
          <w:p w14:paraId="51C4075A" w14:textId="77777777" w:rsidR="004F62C3" w:rsidRPr="005A22C2" w:rsidRDefault="004F62C3" w:rsidP="009C54A9">
            <w:pPr>
              <w:spacing w:before="40" w:after="40"/>
              <w:jc w:val="both"/>
              <w:rPr>
                <w:rFonts w:eastAsia="新細明體" w:cs="Segoe UI"/>
                <w:b/>
                <w:sz w:val="17"/>
                <w:lang w:eastAsia="zh-TW"/>
              </w:rPr>
            </w:pPr>
            <w:r w:rsidRPr="005A22C2">
              <w:rPr>
                <w:rFonts w:eastAsia="新細明體" w:cs="Segoe UI" w:hint="eastAsia"/>
                <w:sz w:val="17"/>
                <w:lang w:eastAsia="zh-HK"/>
              </w:rPr>
              <w:t>所有在香港成立為法團的認可機構均須填報本模版</w:t>
            </w:r>
            <w:r w:rsidRPr="005A22C2">
              <w:rPr>
                <w:rFonts w:eastAsia="新細明體" w:cs="Segoe UI" w:hint="eastAsia"/>
                <w:sz w:val="17"/>
                <w:lang w:eastAsia="zh-TW"/>
              </w:rPr>
              <w:t>。</w:t>
            </w:r>
          </w:p>
        </w:tc>
      </w:tr>
      <w:tr w:rsidR="005A22C2" w:rsidRPr="005A22C2" w14:paraId="33D2FAB9" w14:textId="77777777" w:rsidTr="00723A77">
        <w:tc>
          <w:tcPr>
            <w:tcW w:w="1223" w:type="pct"/>
          </w:tcPr>
          <w:p w14:paraId="042BB82F" w14:textId="77777777" w:rsidR="004F62C3" w:rsidRPr="005A22C2" w:rsidRDefault="004F62C3" w:rsidP="009C54A9">
            <w:pPr>
              <w:spacing w:before="40" w:after="40"/>
              <w:rPr>
                <w:rFonts w:eastAsia="新細明體" w:cs="Segoe UI"/>
                <w:b/>
                <w:sz w:val="17"/>
                <w:lang w:eastAsia="en-GB"/>
              </w:rPr>
            </w:pPr>
            <w:proofErr w:type="spellStart"/>
            <w:r w:rsidRPr="005A22C2">
              <w:rPr>
                <w:rFonts w:eastAsia="新細明體" w:cs="Segoe UI"/>
                <w:b/>
                <w:sz w:val="17"/>
                <w:lang w:eastAsia="en-GB"/>
              </w:rPr>
              <w:t>內容</w:t>
            </w:r>
            <w:proofErr w:type="spellEnd"/>
            <w:r w:rsidRPr="005A22C2">
              <w:rPr>
                <w:rFonts w:eastAsia="新細明體" w:cs="Segoe UI"/>
                <w:b/>
                <w:sz w:val="17"/>
                <w:lang w:eastAsia="en-GB"/>
              </w:rPr>
              <w:t>：</w:t>
            </w:r>
          </w:p>
        </w:tc>
        <w:tc>
          <w:tcPr>
            <w:tcW w:w="3777" w:type="pct"/>
          </w:tcPr>
          <w:p w14:paraId="1C4590DC" w14:textId="77777777" w:rsidR="004F62C3" w:rsidRPr="005A22C2" w:rsidRDefault="004F62C3" w:rsidP="009C54A9">
            <w:pPr>
              <w:spacing w:before="40" w:after="40"/>
              <w:jc w:val="both"/>
              <w:rPr>
                <w:rFonts w:eastAsia="新細明體" w:cs="Segoe UI"/>
                <w:sz w:val="17"/>
                <w:lang w:eastAsia="en-GB"/>
              </w:rPr>
            </w:pPr>
            <w:r w:rsidRPr="005A22C2">
              <w:rPr>
                <w:rFonts w:eastAsia="新細明體" w:cs="Segoe UI" w:hint="eastAsia"/>
                <w:sz w:val="17"/>
                <w:lang w:eastAsia="zh-HK"/>
              </w:rPr>
              <w:t>量化資料。</w:t>
            </w:r>
          </w:p>
        </w:tc>
      </w:tr>
      <w:tr w:rsidR="005A22C2" w:rsidRPr="005A22C2" w14:paraId="0D1702C5" w14:textId="77777777" w:rsidTr="00723A77">
        <w:tc>
          <w:tcPr>
            <w:tcW w:w="1223" w:type="pct"/>
          </w:tcPr>
          <w:p w14:paraId="3FE96AE4" w14:textId="77777777" w:rsidR="004F62C3" w:rsidRPr="005A22C2" w:rsidRDefault="004F62C3" w:rsidP="009C54A9">
            <w:pPr>
              <w:spacing w:before="40" w:after="40"/>
              <w:rPr>
                <w:rFonts w:eastAsia="新細明體" w:cs="Segoe UI"/>
                <w:sz w:val="17"/>
                <w:lang w:eastAsia="en-GB"/>
              </w:rPr>
            </w:pPr>
            <w:proofErr w:type="spellStart"/>
            <w:r w:rsidRPr="005A22C2">
              <w:rPr>
                <w:rFonts w:eastAsia="新細明體" w:cs="Segoe UI"/>
                <w:b/>
                <w:sz w:val="17"/>
                <w:lang w:eastAsia="en-GB"/>
              </w:rPr>
              <w:t>頻密程度</w:t>
            </w:r>
            <w:proofErr w:type="spellEnd"/>
            <w:r w:rsidRPr="005A22C2">
              <w:rPr>
                <w:rFonts w:eastAsia="新細明體" w:cs="Segoe UI"/>
                <w:b/>
                <w:sz w:val="17"/>
                <w:lang w:eastAsia="en-GB"/>
              </w:rPr>
              <w:t>：</w:t>
            </w:r>
          </w:p>
        </w:tc>
        <w:tc>
          <w:tcPr>
            <w:tcW w:w="3777" w:type="pct"/>
          </w:tcPr>
          <w:p w14:paraId="78B684F1" w14:textId="77777777" w:rsidR="004F62C3" w:rsidRPr="005A22C2" w:rsidRDefault="004F62C3" w:rsidP="009C54A9">
            <w:pPr>
              <w:spacing w:before="40" w:after="40"/>
              <w:jc w:val="both"/>
              <w:rPr>
                <w:rFonts w:eastAsia="新細明體" w:cs="Segoe UI"/>
                <w:sz w:val="17"/>
                <w:lang w:eastAsia="en-GB"/>
              </w:rPr>
            </w:pPr>
            <w:proofErr w:type="spellStart"/>
            <w:r w:rsidRPr="005A22C2">
              <w:rPr>
                <w:rFonts w:eastAsia="新細明體" w:cs="Segoe UI"/>
                <w:sz w:val="17"/>
                <w:lang w:eastAsia="en-GB"/>
              </w:rPr>
              <w:t>每年一次</w:t>
            </w:r>
            <w:proofErr w:type="spellEnd"/>
            <w:r w:rsidRPr="005A22C2">
              <w:rPr>
                <w:rFonts w:eastAsia="新細明體" w:cs="Segoe UI"/>
                <w:sz w:val="17"/>
                <w:lang w:eastAsia="en-GB"/>
              </w:rPr>
              <w:t>。</w:t>
            </w:r>
          </w:p>
        </w:tc>
      </w:tr>
      <w:tr w:rsidR="005A22C2" w:rsidRPr="005A22C2" w14:paraId="263A1DB5" w14:textId="77777777" w:rsidTr="00723A77">
        <w:tc>
          <w:tcPr>
            <w:tcW w:w="1223" w:type="pct"/>
          </w:tcPr>
          <w:p w14:paraId="46D204BA" w14:textId="77777777" w:rsidR="004F62C3" w:rsidRPr="005A22C2" w:rsidRDefault="004F62C3" w:rsidP="009C54A9">
            <w:pPr>
              <w:spacing w:before="40" w:after="40"/>
              <w:rPr>
                <w:rFonts w:eastAsia="新細明體" w:cs="Segoe UI"/>
                <w:sz w:val="17"/>
                <w:lang w:eastAsia="en-GB"/>
              </w:rPr>
            </w:pPr>
            <w:proofErr w:type="spellStart"/>
            <w:r w:rsidRPr="005A22C2">
              <w:rPr>
                <w:rFonts w:eastAsia="新細明體" w:cs="Segoe UI"/>
                <w:b/>
                <w:sz w:val="17"/>
                <w:lang w:eastAsia="en-GB"/>
              </w:rPr>
              <w:t>格式</w:t>
            </w:r>
            <w:proofErr w:type="spellEnd"/>
            <w:r w:rsidRPr="005A22C2">
              <w:rPr>
                <w:rFonts w:eastAsia="新細明體" w:cs="Segoe UI"/>
                <w:b/>
                <w:sz w:val="17"/>
                <w:lang w:eastAsia="en-GB"/>
              </w:rPr>
              <w:t>：</w:t>
            </w:r>
          </w:p>
        </w:tc>
        <w:tc>
          <w:tcPr>
            <w:tcW w:w="3777" w:type="pct"/>
          </w:tcPr>
          <w:p w14:paraId="020C2027" w14:textId="77777777" w:rsidR="004F62C3" w:rsidRPr="005A22C2" w:rsidRDefault="004F62C3" w:rsidP="009C54A9">
            <w:pPr>
              <w:spacing w:before="40" w:after="40"/>
              <w:jc w:val="both"/>
              <w:rPr>
                <w:rFonts w:eastAsia="新細明體" w:cs="Segoe UI"/>
                <w:sz w:val="17"/>
                <w:lang w:eastAsia="en-GB"/>
              </w:rPr>
            </w:pPr>
            <w:r w:rsidRPr="005A22C2">
              <w:rPr>
                <w:rFonts w:eastAsia="新細明體" w:cs="Segoe UI" w:hint="eastAsia"/>
                <w:sz w:val="17"/>
                <w:lang w:eastAsia="zh-HK"/>
              </w:rPr>
              <w:t>固定</w:t>
            </w:r>
            <w:r w:rsidRPr="005A22C2">
              <w:rPr>
                <w:rFonts w:eastAsia="新細明體" w:cs="Segoe UI" w:hint="eastAsia"/>
                <w:sz w:val="17"/>
                <w:lang w:eastAsia="zh-TW"/>
              </w:rPr>
              <w:t>。</w:t>
            </w:r>
          </w:p>
        </w:tc>
      </w:tr>
      <w:tr w:rsidR="005A22C2" w:rsidRPr="005A22C2" w14:paraId="5A683067" w14:textId="77777777" w:rsidTr="00723A77">
        <w:tc>
          <w:tcPr>
            <w:tcW w:w="1223" w:type="pct"/>
          </w:tcPr>
          <w:p w14:paraId="1E9282AC" w14:textId="77777777" w:rsidR="004F62C3" w:rsidRPr="005A22C2" w:rsidRDefault="004F62C3" w:rsidP="009C54A9">
            <w:pPr>
              <w:spacing w:before="40" w:after="40"/>
              <w:rPr>
                <w:rFonts w:eastAsia="新細明體" w:cs="Segoe UI"/>
                <w:b/>
                <w:sz w:val="17"/>
                <w:lang w:eastAsia="en-GB"/>
              </w:rPr>
            </w:pPr>
            <w:proofErr w:type="spellStart"/>
            <w:r w:rsidRPr="005A22C2">
              <w:rPr>
                <w:rFonts w:eastAsia="新細明體" w:cs="Segoe UI"/>
                <w:b/>
                <w:sz w:val="17"/>
                <w:szCs w:val="17"/>
                <w:lang w:eastAsia="en-GB"/>
              </w:rPr>
              <w:t>附加說明</w:t>
            </w:r>
            <w:proofErr w:type="spellEnd"/>
            <w:r w:rsidRPr="005A22C2">
              <w:rPr>
                <w:rFonts w:eastAsia="新細明體" w:cs="Segoe UI"/>
                <w:b/>
                <w:sz w:val="17"/>
                <w:szCs w:val="17"/>
                <w:lang w:eastAsia="en-GB"/>
              </w:rPr>
              <w:t>：</w:t>
            </w:r>
          </w:p>
        </w:tc>
        <w:tc>
          <w:tcPr>
            <w:tcW w:w="3777" w:type="pct"/>
          </w:tcPr>
          <w:p w14:paraId="75ABC9C3" w14:textId="77777777" w:rsidR="004F62C3" w:rsidRPr="005A22C2" w:rsidRDefault="004F62C3" w:rsidP="009C54A9">
            <w:pPr>
              <w:spacing w:before="40" w:after="40"/>
              <w:jc w:val="both"/>
              <w:rPr>
                <w:rFonts w:eastAsia="新細明體" w:cs="Segoe UI"/>
                <w:sz w:val="17"/>
                <w:lang w:eastAsia="zh-TW"/>
              </w:rPr>
            </w:pPr>
            <w:r w:rsidRPr="005A22C2">
              <w:rPr>
                <w:rFonts w:eastAsia="新細明體" w:cs="Segoe UI" w:hint="eastAsia"/>
                <w:sz w:val="17"/>
                <w:lang w:eastAsia="zh-TW"/>
              </w:rPr>
              <w:t>認可機構應以敘述評</w:t>
            </w:r>
            <w:proofErr w:type="gramStart"/>
            <w:r w:rsidRPr="005A22C2">
              <w:rPr>
                <w:rFonts w:eastAsia="新細明體" w:cs="Segoe UI" w:hint="eastAsia"/>
                <w:sz w:val="17"/>
                <w:lang w:eastAsia="zh-TW"/>
              </w:rPr>
              <w:t>註</w:t>
            </w:r>
            <w:proofErr w:type="gramEnd"/>
            <w:r w:rsidRPr="005A22C2">
              <w:rPr>
                <w:rFonts w:eastAsia="新細明體" w:cs="Segoe UI" w:hint="eastAsia"/>
                <w:sz w:val="17"/>
                <w:lang w:eastAsia="zh-TW"/>
              </w:rPr>
              <w:t>，闡明現行報告期內的任何重大改變及引致該等改變的主要驅動因素，以</w:t>
            </w:r>
            <w:proofErr w:type="gramStart"/>
            <w:r w:rsidRPr="005A22C2">
              <w:rPr>
                <w:rFonts w:eastAsia="新細明體" w:cs="Segoe UI" w:hint="eastAsia"/>
                <w:sz w:val="17"/>
                <w:lang w:eastAsia="zh-TW"/>
              </w:rPr>
              <w:t>補充本模版</w:t>
            </w:r>
            <w:proofErr w:type="gramEnd"/>
            <w:r w:rsidRPr="005A22C2">
              <w:rPr>
                <w:rFonts w:eastAsia="新細明體" w:cs="Segoe UI" w:hint="eastAsia"/>
                <w:sz w:val="17"/>
                <w:lang w:eastAsia="zh-TW"/>
              </w:rPr>
              <w:t>。</w:t>
            </w:r>
            <w:r w:rsidRPr="005A22C2">
              <w:rPr>
                <w:rFonts w:eastAsia="新細明體" w:cs="Segoe UI" w:hint="eastAsia"/>
                <w:sz w:val="17"/>
                <w:lang w:eastAsia="zh-HK"/>
              </w:rPr>
              <w:t>認可機構須就獲金融管理專員批准在計算</w:t>
            </w:r>
            <w:r w:rsidRPr="005A22C2">
              <w:rPr>
                <w:rFonts w:eastAsia="新細明體" w:cs="Segoe UI" w:hint="eastAsia"/>
                <w:sz w:val="17"/>
                <w:lang w:eastAsia="zh-TW"/>
              </w:rPr>
              <w:t>BI</w:t>
            </w:r>
            <w:r w:rsidRPr="005A22C2">
              <w:rPr>
                <w:rFonts w:eastAsia="新細明體" w:cs="Segoe UI" w:hint="eastAsia"/>
                <w:sz w:val="17"/>
                <w:lang w:eastAsia="zh-HK"/>
              </w:rPr>
              <w:t>時豁除</w:t>
            </w:r>
            <w:r w:rsidRPr="005A22C2">
              <w:rPr>
                <w:rFonts w:eastAsia="新細明體" w:cs="Segoe UI" w:hint="eastAsia"/>
                <w:sz w:val="17"/>
                <w:szCs w:val="17"/>
                <w:lang w:eastAsia="zh-HK"/>
              </w:rPr>
              <w:t>已</w:t>
            </w:r>
            <w:r w:rsidRPr="005A22C2">
              <w:rPr>
                <w:rFonts w:ascii="新細明體" w:eastAsia="新細明體" w:hAnsi="新細明體" w:cs="Segoe UI" w:hint="eastAsia"/>
                <w:sz w:val="17"/>
                <w:lang w:eastAsia="zh-TW"/>
              </w:rPr>
              <w:t>出售業務及</w:t>
            </w:r>
            <w:r w:rsidRPr="005A22C2">
              <w:rPr>
                <w:rFonts w:eastAsia="新細明體" w:cs="Segoe UI" w:hint="eastAsia"/>
                <w:sz w:val="17"/>
                <w:lang w:eastAsia="zh-HK"/>
              </w:rPr>
              <w:t>活動提供</w:t>
            </w:r>
            <w:r w:rsidRPr="005A22C2">
              <w:rPr>
                <w:rFonts w:eastAsia="新細明體" w:cs="Segoe UI" w:hint="eastAsia"/>
                <w:sz w:val="17"/>
                <w:szCs w:val="17"/>
                <w:lang w:eastAsia="zh-HK"/>
              </w:rPr>
              <w:t>已</w:t>
            </w:r>
            <w:r w:rsidRPr="005A22C2">
              <w:rPr>
                <w:rFonts w:eastAsia="新細明體" w:cs="Segoe UI" w:hint="eastAsia"/>
                <w:sz w:val="17"/>
                <w:lang w:eastAsia="zh-HK"/>
              </w:rPr>
              <w:t>出售業務及活動</w:t>
            </w:r>
            <w:r w:rsidRPr="005A22C2">
              <w:rPr>
                <w:rFonts w:eastAsia="新細明體" w:cs="Segoe UI" w:hint="eastAsia"/>
                <w:sz w:val="17"/>
                <w:lang w:eastAsia="zh-TW"/>
              </w:rPr>
              <w:t>的</w:t>
            </w:r>
            <w:r w:rsidRPr="005A22C2">
              <w:rPr>
                <w:rFonts w:eastAsia="新細明體" w:cs="Segoe UI" w:hint="eastAsia"/>
                <w:sz w:val="17"/>
                <w:lang w:eastAsia="zh-HK"/>
              </w:rPr>
              <w:t>附加說明</w:t>
            </w:r>
            <w:r w:rsidRPr="005A22C2">
              <w:rPr>
                <w:rFonts w:eastAsia="新細明體" w:cs="Segoe UI" w:hint="eastAsia"/>
                <w:sz w:val="17"/>
                <w:lang w:eastAsia="zh-TW"/>
              </w:rPr>
              <w:t>。</w:t>
            </w:r>
          </w:p>
        </w:tc>
      </w:tr>
      <w:tr w:rsidR="005A22C2" w:rsidRPr="005A22C2" w14:paraId="47C56ECD" w14:textId="77777777" w:rsidTr="00723A77">
        <w:tc>
          <w:tcPr>
            <w:tcW w:w="1223" w:type="pct"/>
          </w:tcPr>
          <w:p w14:paraId="6A15D547" w14:textId="77777777" w:rsidR="004F62C3" w:rsidRPr="005A22C2" w:rsidRDefault="004F62C3" w:rsidP="009C54A9">
            <w:pPr>
              <w:spacing w:before="40" w:after="40"/>
              <w:rPr>
                <w:rFonts w:eastAsia="新細明體" w:cs="Segoe UI"/>
                <w:b/>
                <w:sz w:val="17"/>
                <w:szCs w:val="17"/>
                <w:lang w:eastAsia="zh-TW"/>
              </w:rPr>
            </w:pPr>
            <w:r w:rsidRPr="005A22C2">
              <w:rPr>
                <w:rFonts w:eastAsia="新細明體" w:cs="Segoe UI"/>
                <w:b/>
                <w:sz w:val="17"/>
                <w:szCs w:val="17"/>
                <w:lang w:eastAsia="zh-TW"/>
              </w:rPr>
              <w:t>《披露規則》相應條文：</w:t>
            </w:r>
          </w:p>
        </w:tc>
        <w:tc>
          <w:tcPr>
            <w:tcW w:w="3777" w:type="pct"/>
          </w:tcPr>
          <w:p w14:paraId="62A3FA47" w14:textId="77777777" w:rsidR="004F62C3" w:rsidRPr="005A22C2" w:rsidRDefault="004F62C3" w:rsidP="009C54A9">
            <w:pPr>
              <w:spacing w:before="40" w:after="40"/>
              <w:jc w:val="both"/>
              <w:rPr>
                <w:rFonts w:ascii="新細明體" w:eastAsia="新細明體" w:hAnsi="新細明體" w:cs="Segoe UI"/>
                <w:sz w:val="17"/>
                <w:szCs w:val="17"/>
                <w:lang w:eastAsia="en-GB"/>
              </w:rPr>
            </w:pPr>
            <w:r w:rsidRPr="005A22C2">
              <w:rPr>
                <w:rFonts w:eastAsia="新細明體" w:cs="Segoe UI"/>
                <w:sz w:val="17"/>
                <w:szCs w:val="17"/>
                <w:lang w:eastAsia="en-GB"/>
              </w:rPr>
              <w:t>16ZQC</w:t>
            </w:r>
          </w:p>
        </w:tc>
      </w:tr>
    </w:tbl>
    <w:p w14:paraId="5D98758C" w14:textId="0924E1D5" w:rsidR="004F62C3" w:rsidRPr="005A22C2" w:rsidRDefault="004F62C3" w:rsidP="004F62C3">
      <w:pPr>
        <w:rPr>
          <w:lang w:eastAsia="zh-HK"/>
        </w:rPr>
      </w:pPr>
    </w:p>
    <w:p w14:paraId="66F862BF" w14:textId="77777777" w:rsidR="00C5519F" w:rsidRPr="005A22C2" w:rsidRDefault="00C5519F" w:rsidP="004F62C3">
      <w:pPr>
        <w:rPr>
          <w:lang w:eastAsia="zh-HK"/>
        </w:rPr>
      </w:pPr>
    </w:p>
    <w:tbl>
      <w:tblPr>
        <w:tblW w:w="9089" w:type="dxa"/>
        <w:tblInd w:w="-284" w:type="dxa"/>
        <w:tblBorders>
          <w:top w:val="single" w:sz="4" w:space="0" w:color="BCBCBD"/>
          <w:insideV w:val="single" w:sz="4" w:space="0" w:color="BCBCBD"/>
        </w:tblBorders>
        <w:tblLook w:val="04A0" w:firstRow="1" w:lastRow="0" w:firstColumn="1" w:lastColumn="0" w:noHBand="0" w:noVBand="1"/>
      </w:tblPr>
      <w:tblGrid>
        <w:gridCol w:w="784"/>
        <w:gridCol w:w="4785"/>
        <w:gridCol w:w="1174"/>
        <w:gridCol w:w="1174"/>
        <w:gridCol w:w="1172"/>
      </w:tblGrid>
      <w:tr w:rsidR="005A22C2" w:rsidRPr="005A22C2" w14:paraId="73EA14F9" w14:textId="77777777" w:rsidTr="00723A77">
        <w:trPr>
          <w:trHeight w:val="230"/>
        </w:trPr>
        <w:tc>
          <w:tcPr>
            <w:tcW w:w="431" w:type="pct"/>
            <w:tcBorders>
              <w:top w:val="nil"/>
              <w:left w:val="nil"/>
              <w:bottom w:val="single" w:sz="4" w:space="0" w:color="auto"/>
              <w:right w:val="nil"/>
            </w:tcBorders>
            <w:noWrap/>
            <w:vAlign w:val="center"/>
          </w:tcPr>
          <w:p w14:paraId="752BAAC8"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p>
        </w:tc>
        <w:tc>
          <w:tcPr>
            <w:tcW w:w="2632" w:type="pct"/>
            <w:tcBorders>
              <w:top w:val="nil"/>
              <w:left w:val="nil"/>
              <w:bottom w:val="single" w:sz="4" w:space="0" w:color="auto"/>
              <w:right w:val="single" w:sz="4" w:space="0" w:color="auto"/>
            </w:tcBorders>
            <w:vAlign w:val="center"/>
          </w:tcPr>
          <w:p w14:paraId="2743A56E"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rPr>
            </w:pPr>
          </w:p>
        </w:tc>
        <w:tc>
          <w:tcPr>
            <w:tcW w:w="646" w:type="pct"/>
            <w:tcBorders>
              <w:top w:val="single" w:sz="4" w:space="0" w:color="auto"/>
              <w:left w:val="single" w:sz="4" w:space="0" w:color="auto"/>
              <w:bottom w:val="single" w:sz="4" w:space="0" w:color="auto"/>
              <w:right w:val="single" w:sz="4" w:space="0" w:color="auto"/>
            </w:tcBorders>
            <w:hideMark/>
          </w:tcPr>
          <w:p w14:paraId="692E40A7" w14:textId="77777777" w:rsidR="004F62C3" w:rsidRPr="005A22C2" w:rsidRDefault="004F62C3"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(a)</w:t>
            </w:r>
          </w:p>
        </w:tc>
        <w:tc>
          <w:tcPr>
            <w:tcW w:w="646" w:type="pct"/>
            <w:tcBorders>
              <w:top w:val="single" w:sz="4" w:space="0" w:color="auto"/>
              <w:left w:val="single" w:sz="4" w:space="0" w:color="auto"/>
              <w:bottom w:val="single" w:sz="4" w:space="0" w:color="auto"/>
              <w:right w:val="single" w:sz="4" w:space="0" w:color="auto"/>
            </w:tcBorders>
            <w:hideMark/>
          </w:tcPr>
          <w:p w14:paraId="2E7342C0" w14:textId="77777777" w:rsidR="004F62C3" w:rsidRPr="005A22C2" w:rsidRDefault="004F62C3"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(b)</w:t>
            </w:r>
          </w:p>
        </w:tc>
        <w:tc>
          <w:tcPr>
            <w:tcW w:w="645" w:type="pct"/>
            <w:tcBorders>
              <w:top w:val="single" w:sz="4" w:space="0" w:color="auto"/>
              <w:left w:val="single" w:sz="4" w:space="0" w:color="auto"/>
              <w:bottom w:val="single" w:sz="4" w:space="0" w:color="auto"/>
              <w:right w:val="single" w:sz="4" w:space="0" w:color="auto"/>
            </w:tcBorders>
            <w:hideMark/>
          </w:tcPr>
          <w:p w14:paraId="16D491CD" w14:textId="77777777" w:rsidR="004F62C3" w:rsidRPr="005A22C2" w:rsidRDefault="004F62C3"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(c)</w:t>
            </w:r>
          </w:p>
        </w:tc>
      </w:tr>
      <w:tr w:rsidR="005A22C2" w:rsidRPr="005A22C2" w14:paraId="5AD5475C" w14:textId="77777777" w:rsidTr="00723A77">
        <w:trPr>
          <w:trHeight w:val="230"/>
        </w:trPr>
        <w:tc>
          <w:tcPr>
            <w:tcW w:w="431" w:type="pct"/>
            <w:tcBorders>
              <w:top w:val="single" w:sz="4" w:space="0" w:color="auto"/>
              <w:left w:val="nil"/>
              <w:bottom w:val="single" w:sz="4" w:space="0" w:color="auto"/>
              <w:right w:val="single" w:sz="4" w:space="0" w:color="auto"/>
            </w:tcBorders>
            <w:noWrap/>
            <w:vAlign w:val="center"/>
          </w:tcPr>
          <w:p w14:paraId="76339ACD"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p>
        </w:tc>
        <w:tc>
          <w:tcPr>
            <w:tcW w:w="2632" w:type="pct"/>
            <w:tcBorders>
              <w:top w:val="single" w:sz="4" w:space="0" w:color="auto"/>
              <w:left w:val="single" w:sz="4" w:space="0" w:color="auto"/>
              <w:bottom w:val="single" w:sz="4" w:space="0" w:color="auto"/>
              <w:right w:val="single" w:sz="4" w:space="0" w:color="auto"/>
            </w:tcBorders>
            <w:vAlign w:val="center"/>
            <w:hideMark/>
          </w:tcPr>
          <w:p w14:paraId="34C69E8A"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lang w:eastAsia="zh-TW"/>
              </w:rPr>
            </w:pPr>
            <w:r w:rsidRPr="005A22C2">
              <w:rPr>
                <w:rFonts w:eastAsia="新細明體" w:cs="Segoe UI"/>
                <w:kern w:val="2"/>
                <w:sz w:val="18"/>
                <w:szCs w:val="18"/>
                <w:lang w:eastAsia="zh-TW"/>
              </w:rPr>
              <w:t>B</w:t>
            </w:r>
            <w:r w:rsidRPr="005A22C2">
              <w:rPr>
                <w:rFonts w:eastAsia="新細明體" w:cs="Segoe UI" w:hint="eastAsia"/>
                <w:kern w:val="2"/>
                <w:sz w:val="18"/>
                <w:szCs w:val="18"/>
                <w:lang w:eastAsia="zh-TW"/>
              </w:rPr>
              <w:t>I</w:t>
            </w:r>
            <w:r w:rsidRPr="005A22C2">
              <w:rPr>
                <w:rFonts w:eastAsia="新細明體" w:cs="Segoe UI" w:hint="eastAsia"/>
                <w:kern w:val="2"/>
                <w:sz w:val="18"/>
                <w:szCs w:val="18"/>
                <w:lang w:eastAsia="zh-HK"/>
              </w:rPr>
              <w:t>及其子組成部分</w:t>
            </w:r>
          </w:p>
        </w:tc>
        <w:tc>
          <w:tcPr>
            <w:tcW w:w="646" w:type="pct"/>
            <w:tcBorders>
              <w:top w:val="single" w:sz="4" w:space="0" w:color="auto"/>
              <w:left w:val="single" w:sz="4" w:space="0" w:color="auto"/>
              <w:bottom w:val="single" w:sz="4" w:space="0" w:color="auto"/>
              <w:right w:val="single" w:sz="4" w:space="0" w:color="auto"/>
            </w:tcBorders>
            <w:hideMark/>
          </w:tcPr>
          <w:p w14:paraId="42BCD58C" w14:textId="77777777" w:rsidR="004F62C3" w:rsidRPr="005A22C2" w:rsidRDefault="004F62C3"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w:t>
            </w:r>
          </w:p>
        </w:tc>
        <w:tc>
          <w:tcPr>
            <w:tcW w:w="646" w:type="pct"/>
            <w:tcBorders>
              <w:top w:val="single" w:sz="4" w:space="0" w:color="auto"/>
              <w:left w:val="single" w:sz="4" w:space="0" w:color="auto"/>
              <w:bottom w:val="single" w:sz="4" w:space="0" w:color="auto"/>
              <w:right w:val="single" w:sz="4" w:space="0" w:color="auto"/>
            </w:tcBorders>
            <w:hideMark/>
          </w:tcPr>
          <w:p w14:paraId="6159254A" w14:textId="77777777" w:rsidR="004F62C3" w:rsidRPr="005A22C2" w:rsidRDefault="004F62C3"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T–1</w:t>
            </w:r>
          </w:p>
        </w:tc>
        <w:tc>
          <w:tcPr>
            <w:tcW w:w="645" w:type="pct"/>
            <w:tcBorders>
              <w:top w:val="single" w:sz="4" w:space="0" w:color="auto"/>
              <w:left w:val="single" w:sz="4" w:space="0" w:color="auto"/>
              <w:bottom w:val="single" w:sz="4" w:space="0" w:color="auto"/>
              <w:right w:val="single" w:sz="4" w:space="0" w:color="auto"/>
            </w:tcBorders>
            <w:hideMark/>
          </w:tcPr>
          <w:p w14:paraId="33F86206" w14:textId="77777777" w:rsidR="004F62C3" w:rsidRPr="005A22C2" w:rsidRDefault="004F62C3"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5A22C2">
              <w:rPr>
                <w:rFonts w:eastAsia="新細明體" w:cs="Segoe UI"/>
                <w:kern w:val="2"/>
                <w:sz w:val="18"/>
                <w:szCs w:val="18"/>
                <w:lang w:eastAsia="ja-JP"/>
              </w:rPr>
              <w:t>T–2</w:t>
            </w:r>
          </w:p>
        </w:tc>
      </w:tr>
      <w:tr w:rsidR="001B39FD" w:rsidRPr="005A22C2" w14:paraId="6D36FC46" w14:textId="77777777" w:rsidTr="00723A77">
        <w:trPr>
          <w:trHeight w:val="230"/>
        </w:trPr>
        <w:tc>
          <w:tcPr>
            <w:tcW w:w="431" w:type="pct"/>
            <w:tcBorders>
              <w:top w:val="single" w:sz="4" w:space="0" w:color="auto"/>
              <w:left w:val="nil"/>
              <w:bottom w:val="single" w:sz="8" w:space="0" w:color="BCBCBD"/>
              <w:right w:val="single" w:sz="4" w:space="0" w:color="auto"/>
            </w:tcBorders>
            <w:noWrap/>
            <w:vAlign w:val="center"/>
            <w:hideMark/>
          </w:tcPr>
          <w:p w14:paraId="431F83B1"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1</w:t>
            </w:r>
          </w:p>
        </w:tc>
        <w:tc>
          <w:tcPr>
            <w:tcW w:w="2632" w:type="pct"/>
            <w:tcBorders>
              <w:top w:val="single" w:sz="4" w:space="0" w:color="auto"/>
              <w:left w:val="single" w:sz="4" w:space="0" w:color="auto"/>
              <w:bottom w:val="single" w:sz="8" w:space="0" w:color="BCBCBD"/>
              <w:right w:val="single" w:sz="4" w:space="0" w:color="auto"/>
            </w:tcBorders>
            <w:vAlign w:val="center"/>
            <w:hideMark/>
          </w:tcPr>
          <w:p w14:paraId="2B0BED07"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lang w:eastAsia="zh-TW"/>
              </w:rPr>
            </w:pPr>
            <w:r w:rsidRPr="005A22C2">
              <w:rPr>
                <w:rFonts w:eastAsia="新細明體" w:cs="Segoe UI" w:hint="eastAsia"/>
                <w:kern w:val="2"/>
                <w:sz w:val="18"/>
                <w:szCs w:val="18"/>
                <w:lang w:eastAsia="zh-HK"/>
              </w:rPr>
              <w:t>利息</w:t>
            </w:r>
            <w:r w:rsidRPr="005A22C2">
              <w:rPr>
                <w:rFonts w:eastAsia="新細明體" w:cs="Segoe UI" w:hint="eastAsia"/>
                <w:kern w:val="2"/>
                <w:sz w:val="18"/>
                <w:szCs w:val="18"/>
                <w:lang w:eastAsia="zh-TW"/>
              </w:rPr>
              <w:t>、</w:t>
            </w:r>
            <w:r w:rsidRPr="005A22C2">
              <w:rPr>
                <w:rFonts w:eastAsia="新細明體" w:cs="Segoe UI" w:hint="eastAsia"/>
                <w:kern w:val="2"/>
                <w:sz w:val="18"/>
                <w:szCs w:val="18"/>
                <w:lang w:eastAsia="zh-HK"/>
              </w:rPr>
              <w:t>租賃及股息組成部分</w:t>
            </w:r>
          </w:p>
        </w:tc>
        <w:tc>
          <w:tcPr>
            <w:tcW w:w="646" w:type="pct"/>
            <w:tcBorders>
              <w:top w:val="single" w:sz="4" w:space="0" w:color="auto"/>
              <w:left w:val="single" w:sz="4" w:space="0" w:color="auto"/>
              <w:bottom w:val="single" w:sz="8" w:space="0" w:color="BCBCBD"/>
              <w:right w:val="single" w:sz="4" w:space="0" w:color="auto"/>
            </w:tcBorders>
          </w:tcPr>
          <w:p w14:paraId="0390E337"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4" w:space="0" w:color="auto"/>
              <w:left w:val="single" w:sz="4" w:space="0" w:color="auto"/>
              <w:bottom w:val="single" w:sz="8" w:space="0" w:color="BCBCBD"/>
              <w:right w:val="single" w:sz="4" w:space="0" w:color="auto"/>
            </w:tcBorders>
            <w:shd w:val="clear" w:color="auto" w:fill="A6A6A6"/>
          </w:tcPr>
          <w:p w14:paraId="686954E6"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highlight w:val="darkGray"/>
                <w:lang w:eastAsia="ja-JP"/>
              </w:rPr>
            </w:pPr>
          </w:p>
        </w:tc>
        <w:tc>
          <w:tcPr>
            <w:tcW w:w="645" w:type="pct"/>
            <w:tcBorders>
              <w:top w:val="single" w:sz="4" w:space="0" w:color="auto"/>
              <w:left w:val="single" w:sz="4" w:space="0" w:color="auto"/>
              <w:bottom w:val="single" w:sz="8" w:space="0" w:color="BCBCBD"/>
              <w:right w:val="single" w:sz="4" w:space="0" w:color="auto"/>
            </w:tcBorders>
            <w:shd w:val="clear" w:color="auto" w:fill="A6A6A6"/>
          </w:tcPr>
          <w:p w14:paraId="2BEAE3EE"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highlight w:val="darkGray"/>
                <w:lang w:eastAsia="ja-JP"/>
              </w:rPr>
            </w:pPr>
          </w:p>
        </w:tc>
      </w:tr>
      <w:tr w:rsidR="005A22C2" w:rsidRPr="005A22C2" w14:paraId="375C0C6C"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7178E8F6"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1a</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468E15FC" w14:textId="77777777" w:rsidR="004F62C3" w:rsidRPr="005A22C2" w:rsidRDefault="004F62C3" w:rsidP="009C54A9">
            <w:pPr>
              <w:keepNext/>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利息及租賃收入</w:t>
            </w:r>
          </w:p>
        </w:tc>
        <w:tc>
          <w:tcPr>
            <w:tcW w:w="646" w:type="pct"/>
            <w:tcBorders>
              <w:top w:val="single" w:sz="8" w:space="0" w:color="BCBCBD"/>
              <w:left w:val="single" w:sz="4" w:space="0" w:color="auto"/>
              <w:bottom w:val="single" w:sz="8" w:space="0" w:color="BCBCBD"/>
              <w:right w:val="single" w:sz="4" w:space="0" w:color="auto"/>
            </w:tcBorders>
          </w:tcPr>
          <w:p w14:paraId="53EE3EAF"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75E7AD1E"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53E9472B" w14:textId="77777777" w:rsidR="004F62C3" w:rsidRPr="005A22C2" w:rsidRDefault="004F62C3" w:rsidP="009C54A9">
            <w:pPr>
              <w:keepNext/>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2C828513"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61554FDE"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1b</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20E5E02D" w14:textId="77777777" w:rsidR="004F62C3" w:rsidRPr="005A22C2" w:rsidRDefault="004F62C3" w:rsidP="009C54A9">
            <w:pPr>
              <w:keepNext/>
              <w:tabs>
                <w:tab w:val="decimal" w:pos="474"/>
                <w:tab w:val="left" w:pos="794"/>
              </w:tabs>
              <w:adjustRightInd w:val="0"/>
              <w:snapToGrid w:val="0"/>
              <w:spacing w:before="40" w:after="40"/>
              <w:ind w:left="474"/>
              <w:jc w:val="both"/>
              <w:rPr>
                <w:rFonts w:eastAsia="新細明體" w:cs="Segoe UI"/>
                <w:kern w:val="2"/>
                <w:sz w:val="18"/>
                <w:szCs w:val="18"/>
                <w:lang w:eastAsia="zh-HK"/>
              </w:rPr>
            </w:pPr>
            <w:r w:rsidRPr="005A22C2">
              <w:rPr>
                <w:rFonts w:eastAsia="新細明體" w:cs="Segoe UI" w:hint="eastAsia"/>
                <w:kern w:val="2"/>
                <w:sz w:val="18"/>
                <w:szCs w:val="18"/>
                <w:lang w:eastAsia="zh-HK"/>
              </w:rPr>
              <w:t>利息及租賃開支</w:t>
            </w:r>
          </w:p>
        </w:tc>
        <w:tc>
          <w:tcPr>
            <w:tcW w:w="646" w:type="pct"/>
            <w:tcBorders>
              <w:top w:val="single" w:sz="8" w:space="0" w:color="BCBCBD"/>
              <w:left w:val="single" w:sz="4" w:space="0" w:color="auto"/>
              <w:bottom w:val="single" w:sz="8" w:space="0" w:color="BCBCBD"/>
              <w:right w:val="single" w:sz="4" w:space="0" w:color="auto"/>
            </w:tcBorders>
          </w:tcPr>
          <w:p w14:paraId="2DD5E0BC"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011B6398"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12C862C9"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7375EC80"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2637F6E5"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1c</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4C0767E0" w14:textId="77777777" w:rsidR="004F62C3" w:rsidRPr="005A22C2" w:rsidRDefault="004F62C3" w:rsidP="009C54A9">
            <w:pPr>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有息資產</w:t>
            </w:r>
          </w:p>
        </w:tc>
        <w:tc>
          <w:tcPr>
            <w:tcW w:w="646" w:type="pct"/>
            <w:tcBorders>
              <w:top w:val="single" w:sz="8" w:space="0" w:color="BCBCBD"/>
              <w:left w:val="single" w:sz="4" w:space="0" w:color="auto"/>
              <w:bottom w:val="single" w:sz="8" w:space="0" w:color="BCBCBD"/>
              <w:right w:val="single" w:sz="4" w:space="0" w:color="auto"/>
            </w:tcBorders>
          </w:tcPr>
          <w:p w14:paraId="5328D2CE"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602C037F"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138F171A"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7FBE225E"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tcPr>
          <w:p w14:paraId="0DFEE336"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1d</w:t>
            </w:r>
          </w:p>
        </w:tc>
        <w:tc>
          <w:tcPr>
            <w:tcW w:w="2632" w:type="pct"/>
            <w:tcBorders>
              <w:top w:val="single" w:sz="8" w:space="0" w:color="BCBCBD"/>
              <w:left w:val="single" w:sz="4" w:space="0" w:color="auto"/>
              <w:bottom w:val="single" w:sz="8" w:space="0" w:color="BCBCBD"/>
              <w:right w:val="single" w:sz="4" w:space="0" w:color="auto"/>
            </w:tcBorders>
            <w:vAlign w:val="center"/>
          </w:tcPr>
          <w:p w14:paraId="065F5A13" w14:textId="77777777" w:rsidR="004F62C3" w:rsidRPr="005A22C2" w:rsidRDefault="004F62C3" w:rsidP="009C54A9">
            <w:pPr>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股息收入</w:t>
            </w:r>
          </w:p>
        </w:tc>
        <w:tc>
          <w:tcPr>
            <w:tcW w:w="646" w:type="pct"/>
            <w:tcBorders>
              <w:top w:val="single" w:sz="8" w:space="0" w:color="BCBCBD"/>
              <w:left w:val="single" w:sz="4" w:space="0" w:color="auto"/>
              <w:bottom w:val="single" w:sz="8" w:space="0" w:color="BCBCBD"/>
              <w:right w:val="single" w:sz="4" w:space="0" w:color="auto"/>
            </w:tcBorders>
          </w:tcPr>
          <w:p w14:paraId="130F3B02"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4A5786BB"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1AD886F5"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1B39FD" w:rsidRPr="005A22C2" w14:paraId="5AE0AB57"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3C396749"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2</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013C2E2B"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rPr>
            </w:pPr>
            <w:r w:rsidRPr="005A22C2">
              <w:rPr>
                <w:rFonts w:eastAsia="新細明體" w:cs="Segoe UI" w:hint="eastAsia"/>
                <w:kern w:val="2"/>
                <w:sz w:val="18"/>
                <w:szCs w:val="18"/>
                <w:lang w:eastAsia="zh-HK"/>
              </w:rPr>
              <w:t>服務組成部分</w:t>
            </w:r>
          </w:p>
        </w:tc>
        <w:tc>
          <w:tcPr>
            <w:tcW w:w="646" w:type="pct"/>
            <w:tcBorders>
              <w:top w:val="single" w:sz="8" w:space="0" w:color="BCBCBD"/>
              <w:left w:val="single" w:sz="4" w:space="0" w:color="auto"/>
              <w:bottom w:val="single" w:sz="8" w:space="0" w:color="BCBCBD"/>
              <w:right w:val="single" w:sz="4" w:space="0" w:color="auto"/>
            </w:tcBorders>
          </w:tcPr>
          <w:p w14:paraId="7CC3E881"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shd w:val="clear" w:color="auto" w:fill="A6A6A6"/>
          </w:tcPr>
          <w:p w14:paraId="02BBA89C"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shd w:val="clear" w:color="auto" w:fill="A6A6A6"/>
          </w:tcPr>
          <w:p w14:paraId="74401E8B"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51E612FD"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781A0849"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2a</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19BCD700" w14:textId="77777777" w:rsidR="004F62C3" w:rsidRPr="005A22C2" w:rsidRDefault="004F62C3" w:rsidP="009C54A9">
            <w:pPr>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費用及佣金收入</w:t>
            </w:r>
          </w:p>
        </w:tc>
        <w:tc>
          <w:tcPr>
            <w:tcW w:w="646" w:type="pct"/>
            <w:tcBorders>
              <w:top w:val="single" w:sz="8" w:space="0" w:color="BCBCBD"/>
              <w:left w:val="single" w:sz="4" w:space="0" w:color="auto"/>
              <w:bottom w:val="single" w:sz="8" w:space="0" w:color="BCBCBD"/>
              <w:right w:val="single" w:sz="4" w:space="0" w:color="auto"/>
            </w:tcBorders>
          </w:tcPr>
          <w:p w14:paraId="7C90E5DA"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5DCEC7A4"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60CDCAB3"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689B20DA"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02734536"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2b</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1B32DF2B" w14:textId="77777777" w:rsidR="004F62C3" w:rsidRPr="005A22C2" w:rsidRDefault="004F62C3" w:rsidP="009C54A9">
            <w:pPr>
              <w:keepNext/>
              <w:tabs>
                <w:tab w:val="decimal" w:pos="474"/>
                <w:tab w:val="left" w:pos="794"/>
              </w:tabs>
              <w:adjustRightInd w:val="0"/>
              <w:snapToGrid w:val="0"/>
              <w:spacing w:before="40" w:after="40"/>
              <w:ind w:left="474"/>
              <w:jc w:val="both"/>
              <w:rPr>
                <w:rFonts w:eastAsia="新細明體" w:cs="Segoe UI"/>
                <w:kern w:val="2"/>
                <w:sz w:val="18"/>
                <w:szCs w:val="18"/>
                <w:lang w:eastAsia="zh-HK"/>
              </w:rPr>
            </w:pPr>
            <w:r w:rsidRPr="005A22C2">
              <w:rPr>
                <w:rFonts w:eastAsia="新細明體" w:cs="Segoe UI" w:hint="eastAsia"/>
                <w:kern w:val="2"/>
                <w:sz w:val="18"/>
                <w:szCs w:val="18"/>
                <w:lang w:eastAsia="zh-HK"/>
              </w:rPr>
              <w:t>費用及佣金開支</w:t>
            </w:r>
          </w:p>
        </w:tc>
        <w:tc>
          <w:tcPr>
            <w:tcW w:w="646" w:type="pct"/>
            <w:tcBorders>
              <w:top w:val="single" w:sz="8" w:space="0" w:color="BCBCBD"/>
              <w:left w:val="single" w:sz="4" w:space="0" w:color="auto"/>
              <w:bottom w:val="single" w:sz="8" w:space="0" w:color="BCBCBD"/>
              <w:right w:val="single" w:sz="4" w:space="0" w:color="auto"/>
            </w:tcBorders>
          </w:tcPr>
          <w:p w14:paraId="09A83118"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1470203E"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2C9198AE"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204B44DF"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22483CA4"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2c</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484B1334" w14:textId="77777777" w:rsidR="004F62C3" w:rsidRPr="005A22C2" w:rsidRDefault="004F62C3" w:rsidP="009C54A9">
            <w:pPr>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其他營</w:t>
            </w:r>
            <w:r w:rsidRPr="005A22C2">
              <w:rPr>
                <w:rFonts w:eastAsia="新細明體" w:cs="Segoe UI" w:hint="eastAsia"/>
                <w:kern w:val="2"/>
                <w:sz w:val="18"/>
                <w:szCs w:val="18"/>
                <w:lang w:eastAsia="zh-TW"/>
              </w:rPr>
              <w:t>運</w:t>
            </w:r>
            <w:r w:rsidRPr="005A22C2">
              <w:rPr>
                <w:rFonts w:eastAsia="新細明體" w:cs="Segoe UI" w:hint="eastAsia"/>
                <w:kern w:val="2"/>
                <w:sz w:val="18"/>
                <w:szCs w:val="18"/>
                <w:lang w:eastAsia="zh-HK"/>
              </w:rPr>
              <w:t>收入</w:t>
            </w:r>
          </w:p>
        </w:tc>
        <w:tc>
          <w:tcPr>
            <w:tcW w:w="646" w:type="pct"/>
            <w:tcBorders>
              <w:top w:val="single" w:sz="8" w:space="0" w:color="BCBCBD"/>
              <w:left w:val="single" w:sz="4" w:space="0" w:color="auto"/>
              <w:bottom w:val="single" w:sz="8" w:space="0" w:color="BCBCBD"/>
              <w:right w:val="single" w:sz="4" w:space="0" w:color="auto"/>
            </w:tcBorders>
          </w:tcPr>
          <w:p w14:paraId="032C9181"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5FD6ACA5"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49AA2B48"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3F8E8371"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029DDF14"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2d</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7D83C15A" w14:textId="77777777" w:rsidR="004F62C3" w:rsidRPr="005A22C2" w:rsidRDefault="004F62C3" w:rsidP="009C54A9">
            <w:pPr>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其他營</w:t>
            </w:r>
            <w:r w:rsidRPr="005A22C2">
              <w:rPr>
                <w:rFonts w:eastAsia="新細明體" w:cs="Segoe UI" w:hint="eastAsia"/>
                <w:kern w:val="2"/>
                <w:sz w:val="18"/>
                <w:szCs w:val="18"/>
                <w:lang w:eastAsia="zh-TW"/>
              </w:rPr>
              <w:t>運</w:t>
            </w:r>
            <w:r w:rsidRPr="005A22C2">
              <w:rPr>
                <w:rFonts w:eastAsia="新細明體" w:cs="Segoe UI" w:hint="eastAsia"/>
                <w:kern w:val="2"/>
                <w:sz w:val="18"/>
                <w:szCs w:val="18"/>
                <w:lang w:eastAsia="zh-HK"/>
              </w:rPr>
              <w:t>開支</w:t>
            </w:r>
          </w:p>
        </w:tc>
        <w:tc>
          <w:tcPr>
            <w:tcW w:w="646" w:type="pct"/>
            <w:tcBorders>
              <w:top w:val="single" w:sz="8" w:space="0" w:color="BCBCBD"/>
              <w:left w:val="single" w:sz="4" w:space="0" w:color="auto"/>
              <w:bottom w:val="single" w:sz="8" w:space="0" w:color="BCBCBD"/>
              <w:right w:val="single" w:sz="4" w:space="0" w:color="auto"/>
            </w:tcBorders>
          </w:tcPr>
          <w:p w14:paraId="429D97A7"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32CFB91C"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65FD4009"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1B39FD" w:rsidRPr="005A22C2" w14:paraId="0B7AA7A8"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59556EA6"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3</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3D82C606"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rPr>
            </w:pPr>
            <w:r w:rsidRPr="005A22C2">
              <w:rPr>
                <w:rFonts w:eastAsia="新細明體" w:cs="Segoe UI" w:hint="eastAsia"/>
                <w:kern w:val="2"/>
                <w:sz w:val="18"/>
                <w:szCs w:val="18"/>
                <w:lang w:eastAsia="zh-HK"/>
              </w:rPr>
              <w:t>金融組成部分</w:t>
            </w:r>
          </w:p>
        </w:tc>
        <w:tc>
          <w:tcPr>
            <w:tcW w:w="646" w:type="pct"/>
            <w:tcBorders>
              <w:top w:val="single" w:sz="8" w:space="0" w:color="BCBCBD"/>
              <w:left w:val="single" w:sz="4" w:space="0" w:color="auto"/>
              <w:bottom w:val="single" w:sz="8" w:space="0" w:color="BCBCBD"/>
              <w:right w:val="single" w:sz="4" w:space="0" w:color="auto"/>
            </w:tcBorders>
          </w:tcPr>
          <w:p w14:paraId="5CF3A759"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shd w:val="clear" w:color="auto" w:fill="A6A6A6"/>
          </w:tcPr>
          <w:p w14:paraId="0A67F300"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shd w:val="clear" w:color="auto" w:fill="A6A6A6"/>
          </w:tcPr>
          <w:p w14:paraId="50E20F88"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67467F02" w14:textId="77777777" w:rsidTr="00723A77">
        <w:trPr>
          <w:trHeight w:val="230"/>
        </w:trPr>
        <w:tc>
          <w:tcPr>
            <w:tcW w:w="431" w:type="pct"/>
            <w:tcBorders>
              <w:top w:val="single" w:sz="8" w:space="0" w:color="BCBCBD"/>
              <w:left w:val="nil"/>
              <w:bottom w:val="single" w:sz="8" w:space="0" w:color="BCBCBD"/>
              <w:right w:val="single" w:sz="4" w:space="0" w:color="auto"/>
            </w:tcBorders>
            <w:noWrap/>
            <w:vAlign w:val="center"/>
            <w:hideMark/>
          </w:tcPr>
          <w:p w14:paraId="7B7E83F0"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3a</w:t>
            </w:r>
          </w:p>
        </w:tc>
        <w:tc>
          <w:tcPr>
            <w:tcW w:w="2632" w:type="pct"/>
            <w:tcBorders>
              <w:top w:val="single" w:sz="8" w:space="0" w:color="BCBCBD"/>
              <w:left w:val="single" w:sz="4" w:space="0" w:color="auto"/>
              <w:bottom w:val="single" w:sz="8" w:space="0" w:color="BCBCBD"/>
              <w:right w:val="single" w:sz="4" w:space="0" w:color="auto"/>
            </w:tcBorders>
            <w:vAlign w:val="center"/>
            <w:hideMark/>
          </w:tcPr>
          <w:p w14:paraId="3F9878F6" w14:textId="77777777" w:rsidR="004F62C3" w:rsidRPr="005A22C2" w:rsidRDefault="004F62C3" w:rsidP="009C54A9">
            <w:pPr>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交易帳淨損益</w:t>
            </w:r>
          </w:p>
        </w:tc>
        <w:tc>
          <w:tcPr>
            <w:tcW w:w="646" w:type="pct"/>
            <w:tcBorders>
              <w:top w:val="single" w:sz="8" w:space="0" w:color="BCBCBD"/>
              <w:left w:val="single" w:sz="4" w:space="0" w:color="auto"/>
              <w:bottom w:val="single" w:sz="8" w:space="0" w:color="BCBCBD"/>
              <w:right w:val="single" w:sz="4" w:space="0" w:color="auto"/>
            </w:tcBorders>
          </w:tcPr>
          <w:p w14:paraId="57654910"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8" w:space="0" w:color="BCBCBD"/>
              <w:right w:val="single" w:sz="4" w:space="0" w:color="auto"/>
            </w:tcBorders>
          </w:tcPr>
          <w:p w14:paraId="63B0C087"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8" w:space="0" w:color="BCBCBD"/>
              <w:right w:val="single" w:sz="4" w:space="0" w:color="auto"/>
            </w:tcBorders>
          </w:tcPr>
          <w:p w14:paraId="0ED6F375"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5A22C2" w:rsidRPr="005A22C2" w14:paraId="2142BA51" w14:textId="77777777" w:rsidTr="00723A77">
        <w:trPr>
          <w:trHeight w:val="230"/>
        </w:trPr>
        <w:tc>
          <w:tcPr>
            <w:tcW w:w="431" w:type="pct"/>
            <w:tcBorders>
              <w:top w:val="single" w:sz="8" w:space="0" w:color="BCBCBD"/>
              <w:left w:val="nil"/>
              <w:bottom w:val="single" w:sz="4" w:space="0" w:color="auto"/>
              <w:right w:val="single" w:sz="4" w:space="0" w:color="auto"/>
            </w:tcBorders>
            <w:noWrap/>
            <w:vAlign w:val="center"/>
            <w:hideMark/>
          </w:tcPr>
          <w:p w14:paraId="16834FB6"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3b</w:t>
            </w:r>
          </w:p>
        </w:tc>
        <w:tc>
          <w:tcPr>
            <w:tcW w:w="2632" w:type="pct"/>
            <w:tcBorders>
              <w:top w:val="single" w:sz="8" w:space="0" w:color="BCBCBD"/>
              <w:left w:val="single" w:sz="4" w:space="0" w:color="auto"/>
              <w:bottom w:val="single" w:sz="4" w:space="0" w:color="auto"/>
              <w:right w:val="single" w:sz="4" w:space="0" w:color="auto"/>
            </w:tcBorders>
            <w:vAlign w:val="center"/>
            <w:hideMark/>
          </w:tcPr>
          <w:p w14:paraId="4695C6BE" w14:textId="77777777" w:rsidR="004F62C3" w:rsidRPr="005A22C2" w:rsidRDefault="004F62C3" w:rsidP="009C54A9">
            <w:pPr>
              <w:tabs>
                <w:tab w:val="decimal" w:pos="474"/>
                <w:tab w:val="left" w:pos="794"/>
              </w:tabs>
              <w:adjustRightInd w:val="0"/>
              <w:snapToGrid w:val="0"/>
              <w:spacing w:before="40" w:after="40"/>
              <w:ind w:left="474"/>
              <w:jc w:val="both"/>
              <w:rPr>
                <w:rFonts w:eastAsia="新細明體" w:cs="Segoe UI"/>
                <w:kern w:val="2"/>
                <w:sz w:val="18"/>
                <w:szCs w:val="18"/>
              </w:rPr>
            </w:pPr>
            <w:r w:rsidRPr="005A22C2">
              <w:rPr>
                <w:rFonts w:eastAsia="新細明體" w:cs="Segoe UI" w:hint="eastAsia"/>
                <w:kern w:val="2"/>
                <w:sz w:val="18"/>
                <w:szCs w:val="18"/>
                <w:lang w:eastAsia="zh-HK"/>
              </w:rPr>
              <w:t>銀行帳淨損益</w:t>
            </w:r>
          </w:p>
        </w:tc>
        <w:tc>
          <w:tcPr>
            <w:tcW w:w="646" w:type="pct"/>
            <w:tcBorders>
              <w:top w:val="single" w:sz="8" w:space="0" w:color="BCBCBD"/>
              <w:left w:val="single" w:sz="4" w:space="0" w:color="auto"/>
              <w:bottom w:val="single" w:sz="4" w:space="0" w:color="auto"/>
              <w:right w:val="single" w:sz="4" w:space="0" w:color="auto"/>
            </w:tcBorders>
          </w:tcPr>
          <w:p w14:paraId="7AF647C1"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8" w:space="0" w:color="BCBCBD"/>
              <w:left w:val="single" w:sz="4" w:space="0" w:color="auto"/>
              <w:bottom w:val="single" w:sz="4" w:space="0" w:color="auto"/>
              <w:right w:val="single" w:sz="4" w:space="0" w:color="auto"/>
            </w:tcBorders>
          </w:tcPr>
          <w:p w14:paraId="552BA40F"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8" w:space="0" w:color="BCBCBD"/>
              <w:left w:val="single" w:sz="4" w:space="0" w:color="auto"/>
              <w:bottom w:val="single" w:sz="4" w:space="0" w:color="auto"/>
              <w:right w:val="single" w:sz="4" w:space="0" w:color="auto"/>
            </w:tcBorders>
          </w:tcPr>
          <w:p w14:paraId="0641B17D"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1B39FD" w:rsidRPr="005A22C2" w14:paraId="0C3B0E2C" w14:textId="77777777" w:rsidTr="00723A77">
        <w:trPr>
          <w:trHeight w:val="230"/>
        </w:trPr>
        <w:tc>
          <w:tcPr>
            <w:tcW w:w="431" w:type="pct"/>
            <w:tcBorders>
              <w:top w:val="single" w:sz="4" w:space="0" w:color="auto"/>
              <w:left w:val="nil"/>
              <w:bottom w:val="single" w:sz="4" w:space="0" w:color="auto"/>
              <w:right w:val="single" w:sz="4" w:space="0" w:color="auto"/>
            </w:tcBorders>
            <w:noWrap/>
            <w:vAlign w:val="center"/>
            <w:hideMark/>
          </w:tcPr>
          <w:p w14:paraId="17F267DB"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4</w:t>
            </w:r>
          </w:p>
        </w:tc>
        <w:tc>
          <w:tcPr>
            <w:tcW w:w="2632" w:type="pct"/>
            <w:tcBorders>
              <w:top w:val="single" w:sz="4" w:space="0" w:color="auto"/>
              <w:left w:val="single" w:sz="4" w:space="0" w:color="auto"/>
              <w:bottom w:val="single" w:sz="4" w:space="0" w:color="auto"/>
              <w:right w:val="single" w:sz="4" w:space="0" w:color="auto"/>
            </w:tcBorders>
            <w:vAlign w:val="center"/>
            <w:hideMark/>
          </w:tcPr>
          <w:p w14:paraId="4986F966"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rPr>
            </w:pPr>
            <w:r w:rsidRPr="005A22C2">
              <w:rPr>
                <w:rFonts w:eastAsia="新細明體" w:cs="Segoe UI"/>
                <w:kern w:val="2"/>
                <w:sz w:val="18"/>
                <w:szCs w:val="18"/>
              </w:rPr>
              <w:t>BI</w:t>
            </w:r>
          </w:p>
        </w:tc>
        <w:tc>
          <w:tcPr>
            <w:tcW w:w="646" w:type="pct"/>
            <w:tcBorders>
              <w:top w:val="single" w:sz="4" w:space="0" w:color="auto"/>
              <w:left w:val="single" w:sz="4" w:space="0" w:color="auto"/>
              <w:bottom w:val="single" w:sz="4" w:space="0" w:color="auto"/>
              <w:right w:val="single" w:sz="4" w:space="0" w:color="auto"/>
            </w:tcBorders>
          </w:tcPr>
          <w:p w14:paraId="5A1AAAC6"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4" w:space="0" w:color="auto"/>
              <w:left w:val="single" w:sz="4" w:space="0" w:color="auto"/>
              <w:bottom w:val="single" w:sz="4" w:space="0" w:color="auto"/>
              <w:right w:val="single" w:sz="4" w:space="0" w:color="auto"/>
            </w:tcBorders>
            <w:shd w:val="clear" w:color="auto" w:fill="A6A6A6"/>
          </w:tcPr>
          <w:p w14:paraId="4C165D46"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4" w:space="0" w:color="auto"/>
              <w:left w:val="single" w:sz="4" w:space="0" w:color="auto"/>
              <w:bottom w:val="single" w:sz="4" w:space="0" w:color="auto"/>
              <w:right w:val="single" w:sz="4" w:space="0" w:color="auto"/>
            </w:tcBorders>
            <w:shd w:val="clear" w:color="auto" w:fill="A6A6A6"/>
          </w:tcPr>
          <w:p w14:paraId="11051D20"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r w:rsidR="001B39FD" w:rsidRPr="005A22C2" w14:paraId="21852930" w14:textId="77777777" w:rsidTr="00723A77">
        <w:trPr>
          <w:trHeight w:val="230"/>
        </w:trPr>
        <w:tc>
          <w:tcPr>
            <w:tcW w:w="431" w:type="pct"/>
            <w:tcBorders>
              <w:top w:val="single" w:sz="4" w:space="0" w:color="auto"/>
              <w:left w:val="nil"/>
              <w:bottom w:val="single" w:sz="4" w:space="0" w:color="auto"/>
              <w:right w:val="single" w:sz="4" w:space="0" w:color="auto"/>
            </w:tcBorders>
            <w:noWrap/>
            <w:vAlign w:val="center"/>
            <w:hideMark/>
          </w:tcPr>
          <w:p w14:paraId="509B74A4" w14:textId="77777777" w:rsidR="004F62C3" w:rsidRPr="005A22C2" w:rsidRDefault="004F62C3"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5A22C2">
              <w:rPr>
                <w:rFonts w:eastAsia="新細明體" w:cs="Segoe UI"/>
                <w:kern w:val="2"/>
                <w:sz w:val="18"/>
                <w:szCs w:val="18"/>
                <w:lang w:eastAsia="ja-JP"/>
              </w:rPr>
              <w:t>5</w:t>
            </w:r>
          </w:p>
        </w:tc>
        <w:tc>
          <w:tcPr>
            <w:tcW w:w="2632" w:type="pct"/>
            <w:tcBorders>
              <w:top w:val="single" w:sz="4" w:space="0" w:color="auto"/>
              <w:left w:val="single" w:sz="4" w:space="0" w:color="auto"/>
              <w:bottom w:val="single" w:sz="4" w:space="0" w:color="auto"/>
              <w:right w:val="single" w:sz="4" w:space="0" w:color="auto"/>
            </w:tcBorders>
            <w:vAlign w:val="center"/>
            <w:hideMark/>
          </w:tcPr>
          <w:p w14:paraId="76D69C6E"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zh-TW"/>
              </w:rPr>
            </w:pPr>
            <w:r w:rsidRPr="005A22C2">
              <w:rPr>
                <w:rFonts w:eastAsia="新細明體" w:cs="Segoe UI" w:hint="eastAsia"/>
                <w:kern w:val="2"/>
                <w:sz w:val="18"/>
                <w:szCs w:val="18"/>
                <w:lang w:eastAsia="zh-TW"/>
              </w:rPr>
              <w:t>業務指標組成部分</w:t>
            </w:r>
            <w:r w:rsidRPr="005A22C2">
              <w:rPr>
                <w:rFonts w:eastAsia="新細明體" w:cs="Segoe UI" w:hint="eastAsia"/>
                <w:kern w:val="2"/>
                <w:sz w:val="18"/>
                <w:szCs w:val="18"/>
                <w:lang w:eastAsia="zh-TW"/>
              </w:rPr>
              <w:t>(</w:t>
            </w:r>
            <w:r w:rsidRPr="005A22C2">
              <w:rPr>
                <w:rFonts w:eastAsia="新細明體" w:cs="Segoe UI"/>
                <w:kern w:val="2"/>
                <w:sz w:val="18"/>
                <w:szCs w:val="18"/>
                <w:lang w:eastAsia="zh-TW"/>
              </w:rPr>
              <w:t>BIC)</w:t>
            </w:r>
          </w:p>
        </w:tc>
        <w:tc>
          <w:tcPr>
            <w:tcW w:w="646" w:type="pct"/>
            <w:tcBorders>
              <w:top w:val="single" w:sz="4" w:space="0" w:color="auto"/>
              <w:left w:val="single" w:sz="4" w:space="0" w:color="auto"/>
              <w:bottom w:val="single" w:sz="4" w:space="0" w:color="auto"/>
              <w:right w:val="single" w:sz="4" w:space="0" w:color="auto"/>
            </w:tcBorders>
          </w:tcPr>
          <w:p w14:paraId="223C1489"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6" w:type="pct"/>
            <w:tcBorders>
              <w:top w:val="single" w:sz="4" w:space="0" w:color="auto"/>
              <w:left w:val="single" w:sz="4" w:space="0" w:color="auto"/>
              <w:bottom w:val="single" w:sz="4" w:space="0" w:color="auto"/>
              <w:right w:val="single" w:sz="4" w:space="0" w:color="auto"/>
            </w:tcBorders>
            <w:shd w:val="clear" w:color="auto" w:fill="A6A6A6"/>
          </w:tcPr>
          <w:p w14:paraId="75EC86E3"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c>
          <w:tcPr>
            <w:tcW w:w="645" w:type="pct"/>
            <w:tcBorders>
              <w:top w:val="single" w:sz="4" w:space="0" w:color="auto"/>
              <w:left w:val="single" w:sz="4" w:space="0" w:color="auto"/>
              <w:bottom w:val="single" w:sz="4" w:space="0" w:color="auto"/>
              <w:right w:val="single" w:sz="4" w:space="0" w:color="auto"/>
            </w:tcBorders>
            <w:shd w:val="clear" w:color="auto" w:fill="A6A6A6"/>
          </w:tcPr>
          <w:p w14:paraId="0DFF985F" w14:textId="77777777" w:rsidR="004F62C3" w:rsidRPr="005A22C2" w:rsidRDefault="004F62C3" w:rsidP="009C54A9">
            <w:pPr>
              <w:tabs>
                <w:tab w:val="decimal" w:pos="474"/>
                <w:tab w:val="left" w:pos="794"/>
              </w:tabs>
              <w:adjustRightInd w:val="0"/>
              <w:snapToGrid w:val="0"/>
              <w:spacing w:before="40" w:after="40"/>
              <w:jc w:val="both"/>
              <w:rPr>
                <w:rFonts w:eastAsia="新細明體" w:cs="Segoe UI"/>
                <w:kern w:val="2"/>
                <w:sz w:val="18"/>
                <w:szCs w:val="18"/>
                <w:lang w:eastAsia="ja-JP"/>
              </w:rPr>
            </w:pPr>
          </w:p>
        </w:tc>
      </w:tr>
    </w:tbl>
    <w:p w14:paraId="5B87F3FB" w14:textId="7698F388" w:rsidR="004F62C3" w:rsidRPr="005A22C2" w:rsidRDefault="004F62C3" w:rsidP="004F62C3">
      <w:pPr>
        <w:rPr>
          <w:lang w:eastAsia="zh-HK"/>
        </w:rPr>
      </w:pPr>
    </w:p>
    <w:p w14:paraId="64C3A52A" w14:textId="126F4DA1" w:rsidR="004F62C3" w:rsidRPr="005A22C2" w:rsidRDefault="004F62C3" w:rsidP="00723A77">
      <w:pPr>
        <w:ind w:hanging="284"/>
        <w:rPr>
          <w:lang w:eastAsia="zh-HK"/>
        </w:rPr>
      </w:pPr>
      <w:r w:rsidRPr="005A22C2">
        <w:rPr>
          <w:rFonts w:eastAsia="新細明體" w:cs="Segoe UI"/>
          <w:b/>
          <w:sz w:val="17"/>
          <w:szCs w:val="17"/>
        </w:rPr>
        <w:t>BI</w:t>
      </w:r>
      <w:r w:rsidRPr="005A22C2">
        <w:rPr>
          <w:rFonts w:eastAsia="新細明體" w:cs="Segoe UI" w:hint="eastAsia"/>
          <w:b/>
          <w:sz w:val="17"/>
          <w:szCs w:val="17"/>
          <w:lang w:eastAsia="zh-HK"/>
        </w:rPr>
        <w:t>的披露</w:t>
      </w:r>
      <w:r w:rsidRPr="005A22C2">
        <w:rPr>
          <w:rFonts w:eastAsia="新細明體" w:cs="Segoe UI" w:hint="eastAsia"/>
          <w:b/>
          <w:sz w:val="17"/>
          <w:szCs w:val="17"/>
          <w:lang w:eastAsia="zh-TW"/>
        </w:rPr>
        <w:t>：</w:t>
      </w:r>
    </w:p>
    <w:tbl>
      <w:tblPr>
        <w:tblW w:w="4320" w:type="pct"/>
        <w:tblInd w:w="-284"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ook w:val="0600" w:firstRow="0" w:lastRow="0" w:firstColumn="0" w:lastColumn="0" w:noHBand="1" w:noVBand="1"/>
      </w:tblPr>
      <w:tblGrid>
        <w:gridCol w:w="708"/>
        <w:gridCol w:w="4814"/>
        <w:gridCol w:w="1655"/>
      </w:tblGrid>
      <w:tr w:rsidR="005A22C2" w:rsidRPr="005A22C2" w14:paraId="0399CF5C" w14:textId="77777777" w:rsidTr="00723A77">
        <w:tc>
          <w:tcPr>
            <w:tcW w:w="493" w:type="pct"/>
            <w:tcBorders>
              <w:top w:val="nil"/>
              <w:left w:val="nil"/>
              <w:bottom w:val="single" w:sz="4" w:space="0" w:color="auto"/>
              <w:right w:val="nil"/>
            </w:tcBorders>
            <w:tcMar>
              <w:top w:w="0" w:type="dxa"/>
              <w:left w:w="0" w:type="dxa"/>
              <w:bottom w:w="0" w:type="dxa"/>
              <w:right w:w="0" w:type="dxa"/>
            </w:tcMar>
            <w:vAlign w:val="center"/>
          </w:tcPr>
          <w:p w14:paraId="5199E03C" w14:textId="77777777" w:rsidR="004F62C3" w:rsidRPr="005A22C2" w:rsidRDefault="004F62C3" w:rsidP="009C54A9">
            <w:pPr>
              <w:adjustRightInd w:val="0"/>
              <w:snapToGrid w:val="0"/>
              <w:spacing w:before="40" w:after="40"/>
              <w:jc w:val="both"/>
              <w:rPr>
                <w:rFonts w:eastAsia="新細明體" w:cs="Segoe UI"/>
                <w:b/>
                <w:sz w:val="17"/>
                <w:szCs w:val="17"/>
              </w:rPr>
            </w:pPr>
          </w:p>
        </w:tc>
        <w:tc>
          <w:tcPr>
            <w:tcW w:w="3354" w:type="pct"/>
            <w:tcBorders>
              <w:top w:val="nil"/>
              <w:left w:val="nil"/>
              <w:bottom w:val="single" w:sz="4" w:space="0" w:color="auto"/>
              <w:right w:val="nil"/>
            </w:tcBorders>
            <w:tcMar>
              <w:top w:w="0" w:type="dxa"/>
              <w:left w:w="0" w:type="dxa"/>
              <w:bottom w:w="0" w:type="dxa"/>
              <w:right w:w="0" w:type="dxa"/>
            </w:tcMar>
          </w:tcPr>
          <w:p w14:paraId="173C3A09" w14:textId="77777777" w:rsidR="004F62C3" w:rsidRPr="005A22C2" w:rsidRDefault="004F62C3" w:rsidP="009C54A9">
            <w:pPr>
              <w:adjustRightInd w:val="0"/>
              <w:snapToGrid w:val="0"/>
              <w:spacing w:before="40" w:after="40"/>
              <w:jc w:val="both"/>
              <w:rPr>
                <w:rFonts w:eastAsia="新細明體" w:cs="Segoe UI"/>
                <w:b/>
                <w:sz w:val="17"/>
                <w:szCs w:val="17"/>
              </w:rPr>
            </w:pPr>
          </w:p>
        </w:tc>
        <w:tc>
          <w:tcPr>
            <w:tcW w:w="11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8B35BF" w14:textId="77777777" w:rsidR="004F62C3" w:rsidRPr="005A22C2" w:rsidRDefault="004F62C3" w:rsidP="009C54A9">
            <w:pPr>
              <w:keepLines/>
              <w:widowControl w:val="0"/>
              <w:adjustRightInd w:val="0"/>
              <w:snapToGrid w:val="0"/>
              <w:spacing w:before="40" w:after="40"/>
              <w:jc w:val="center"/>
              <w:rPr>
                <w:rFonts w:eastAsia="新細明體" w:cs="Segoe UI"/>
                <w:sz w:val="17"/>
                <w:szCs w:val="17"/>
                <w:lang w:eastAsia="en-GB"/>
              </w:rPr>
            </w:pPr>
            <w:r w:rsidRPr="005A22C2">
              <w:rPr>
                <w:rFonts w:eastAsia="新細明體" w:cs="Segoe UI"/>
                <w:sz w:val="17"/>
                <w:szCs w:val="17"/>
                <w:lang w:eastAsia="en-GB"/>
              </w:rPr>
              <w:t>(a)</w:t>
            </w:r>
          </w:p>
        </w:tc>
      </w:tr>
      <w:tr w:rsidR="005A22C2" w:rsidRPr="005A22C2" w14:paraId="0F7C3C50" w14:textId="77777777" w:rsidTr="00723A77">
        <w:tc>
          <w:tcPr>
            <w:tcW w:w="4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B4B059" w14:textId="77777777" w:rsidR="004F62C3" w:rsidRPr="005A22C2" w:rsidRDefault="004F62C3" w:rsidP="009C54A9">
            <w:pPr>
              <w:adjustRightInd w:val="0"/>
              <w:snapToGrid w:val="0"/>
              <w:spacing w:before="40" w:after="40"/>
              <w:jc w:val="center"/>
              <w:rPr>
                <w:rFonts w:eastAsia="新細明體" w:cs="Segoe UI"/>
                <w:sz w:val="17"/>
                <w:szCs w:val="17"/>
                <w:lang w:eastAsia="ja-JP"/>
              </w:rPr>
            </w:pPr>
            <w:r w:rsidRPr="005A22C2">
              <w:rPr>
                <w:rFonts w:eastAsia="新細明體" w:cs="Segoe UI"/>
                <w:sz w:val="17"/>
                <w:szCs w:val="17"/>
                <w:lang w:eastAsia="en-GB"/>
              </w:rPr>
              <w:t>6a</w:t>
            </w:r>
          </w:p>
        </w:tc>
        <w:tc>
          <w:tcPr>
            <w:tcW w:w="3354"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34DE1B74" w14:textId="77777777" w:rsidR="004F62C3" w:rsidRPr="005A22C2" w:rsidRDefault="004F62C3" w:rsidP="009C54A9">
            <w:pPr>
              <w:tabs>
                <w:tab w:val="decimal" w:pos="474"/>
                <w:tab w:val="left" w:pos="794"/>
              </w:tabs>
              <w:adjustRightInd w:val="0"/>
              <w:snapToGrid w:val="0"/>
              <w:spacing w:before="40" w:after="40"/>
              <w:ind w:left="142"/>
              <w:jc w:val="both"/>
              <w:rPr>
                <w:rFonts w:eastAsia="新細明體" w:cs="Segoe UI"/>
                <w:kern w:val="2"/>
                <w:sz w:val="18"/>
                <w:szCs w:val="18"/>
                <w:lang w:eastAsia="zh-TW"/>
              </w:rPr>
            </w:pPr>
            <w:r w:rsidRPr="005A22C2">
              <w:rPr>
                <w:rFonts w:eastAsia="新細明體" w:cs="Segoe UI" w:hint="eastAsia"/>
                <w:kern w:val="2"/>
                <w:sz w:val="18"/>
                <w:szCs w:val="18"/>
                <w:lang w:eastAsia="zh-HK"/>
              </w:rPr>
              <w:t>未扣除已豁除</w:t>
            </w:r>
            <w:r w:rsidRPr="005A22C2">
              <w:rPr>
                <w:rFonts w:ascii="新細明體" w:eastAsia="新細明體" w:hAnsi="新細明體" w:cs="Segoe UI" w:hint="eastAsia"/>
                <w:kern w:val="2"/>
                <w:sz w:val="18"/>
                <w:szCs w:val="18"/>
                <w:lang w:eastAsia="zh-TW"/>
              </w:rPr>
              <w:t>的</w:t>
            </w:r>
            <w:r w:rsidRPr="005A22C2">
              <w:rPr>
                <w:rFonts w:eastAsia="新細明體" w:cs="Segoe UI" w:hint="eastAsia"/>
                <w:sz w:val="17"/>
                <w:szCs w:val="17"/>
                <w:lang w:eastAsia="zh-HK"/>
              </w:rPr>
              <w:t>已</w:t>
            </w:r>
            <w:r w:rsidRPr="005A22C2">
              <w:rPr>
                <w:rFonts w:ascii="新細明體" w:eastAsia="新細明體" w:hAnsi="新細明體" w:cs="Segoe UI" w:hint="eastAsia"/>
                <w:kern w:val="2"/>
                <w:sz w:val="18"/>
                <w:szCs w:val="18"/>
                <w:lang w:eastAsia="zh-TW"/>
              </w:rPr>
              <w:t>出售業務及</w:t>
            </w:r>
            <w:r w:rsidRPr="005A22C2">
              <w:rPr>
                <w:rFonts w:eastAsia="新細明體" w:cs="Segoe UI" w:hint="eastAsia"/>
                <w:kern w:val="2"/>
                <w:sz w:val="18"/>
                <w:szCs w:val="18"/>
                <w:lang w:eastAsia="zh-HK"/>
              </w:rPr>
              <w:t>活動的</w:t>
            </w:r>
            <w:r w:rsidRPr="005A22C2">
              <w:rPr>
                <w:rFonts w:eastAsia="新細明體" w:cs="Segoe UI" w:hint="eastAsia"/>
                <w:kern w:val="2"/>
                <w:sz w:val="18"/>
                <w:szCs w:val="18"/>
                <w:lang w:eastAsia="zh-TW"/>
              </w:rPr>
              <w:t>BI</w:t>
            </w:r>
          </w:p>
        </w:tc>
        <w:tc>
          <w:tcPr>
            <w:tcW w:w="11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CFF1CE" w14:textId="77777777" w:rsidR="004F62C3" w:rsidRPr="005A22C2" w:rsidRDefault="004F62C3" w:rsidP="009C54A9">
            <w:pPr>
              <w:keepLines/>
              <w:widowControl w:val="0"/>
              <w:adjustRightInd w:val="0"/>
              <w:snapToGrid w:val="0"/>
              <w:spacing w:before="40" w:after="40"/>
              <w:jc w:val="center"/>
              <w:rPr>
                <w:rFonts w:eastAsia="新細明體" w:cs="Segoe UI"/>
                <w:sz w:val="17"/>
                <w:szCs w:val="17"/>
                <w:lang w:eastAsia="zh-TW"/>
              </w:rPr>
            </w:pPr>
          </w:p>
        </w:tc>
      </w:tr>
      <w:tr w:rsidR="005A22C2" w:rsidRPr="005A22C2" w14:paraId="4C68A2D0" w14:textId="77777777" w:rsidTr="00723A77">
        <w:tc>
          <w:tcPr>
            <w:tcW w:w="4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227FB0" w14:textId="77777777" w:rsidR="004F62C3" w:rsidRPr="005A22C2" w:rsidRDefault="004F62C3" w:rsidP="009C54A9">
            <w:pPr>
              <w:adjustRightInd w:val="0"/>
              <w:snapToGrid w:val="0"/>
              <w:spacing w:before="40" w:after="40"/>
              <w:jc w:val="center"/>
              <w:rPr>
                <w:rFonts w:eastAsia="新細明體" w:cs="Segoe UI"/>
                <w:sz w:val="17"/>
                <w:szCs w:val="17"/>
                <w:lang w:eastAsia="en-GB"/>
              </w:rPr>
            </w:pPr>
            <w:r w:rsidRPr="005A22C2">
              <w:rPr>
                <w:rFonts w:eastAsia="新細明體" w:cs="Segoe UI"/>
                <w:sz w:val="17"/>
                <w:szCs w:val="17"/>
                <w:lang w:eastAsia="en-GB"/>
              </w:rPr>
              <w:t>6b</w:t>
            </w:r>
          </w:p>
        </w:tc>
        <w:tc>
          <w:tcPr>
            <w:tcW w:w="3354"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42894660" w14:textId="7AAACDCD" w:rsidR="004F62C3" w:rsidRPr="005A22C2" w:rsidRDefault="004F62C3" w:rsidP="00DA6F42">
            <w:pPr>
              <w:tabs>
                <w:tab w:val="decimal" w:pos="474"/>
                <w:tab w:val="left" w:pos="794"/>
              </w:tabs>
              <w:adjustRightInd w:val="0"/>
              <w:snapToGrid w:val="0"/>
              <w:spacing w:before="40" w:after="40"/>
              <w:ind w:left="142"/>
              <w:jc w:val="both"/>
              <w:rPr>
                <w:rFonts w:eastAsia="新細明體" w:cs="Segoe UI"/>
                <w:kern w:val="2"/>
                <w:sz w:val="18"/>
                <w:szCs w:val="18"/>
                <w:lang w:eastAsia="zh-HK"/>
              </w:rPr>
            </w:pPr>
            <w:r w:rsidRPr="005A22C2">
              <w:rPr>
                <w:rFonts w:eastAsia="新細明體" w:cs="Segoe UI" w:hint="eastAsia"/>
                <w:kern w:val="2"/>
                <w:sz w:val="18"/>
                <w:szCs w:val="18"/>
                <w:lang w:eastAsia="zh-HK"/>
              </w:rPr>
              <w:t>因</w:t>
            </w:r>
            <w:r w:rsidR="004A2CDC" w:rsidRPr="005A22C2">
              <w:rPr>
                <w:rFonts w:eastAsia="新細明體" w:cs="Segoe UI" w:hint="eastAsia"/>
                <w:kern w:val="2"/>
                <w:sz w:val="18"/>
                <w:szCs w:val="18"/>
                <w:lang w:eastAsia="zh-HK"/>
              </w:rPr>
              <w:t>已</w:t>
            </w:r>
            <w:r w:rsidRPr="005A22C2">
              <w:rPr>
                <w:rFonts w:eastAsia="新細明體" w:cs="Segoe UI" w:hint="eastAsia"/>
                <w:kern w:val="2"/>
                <w:sz w:val="18"/>
                <w:szCs w:val="18"/>
                <w:lang w:eastAsia="zh-HK"/>
              </w:rPr>
              <w:t>豁除的</w:t>
            </w:r>
            <w:r w:rsidRPr="005A22C2">
              <w:rPr>
                <w:rFonts w:eastAsia="新細明體" w:cs="Segoe UI" w:hint="eastAsia"/>
                <w:sz w:val="17"/>
                <w:szCs w:val="17"/>
                <w:lang w:eastAsia="zh-HK"/>
              </w:rPr>
              <w:t>已</w:t>
            </w:r>
            <w:r w:rsidRPr="005A22C2">
              <w:rPr>
                <w:rFonts w:ascii="新細明體" w:eastAsia="新細明體" w:hAnsi="新細明體" w:cs="Segoe UI" w:hint="eastAsia"/>
                <w:kern w:val="2"/>
                <w:sz w:val="18"/>
                <w:szCs w:val="18"/>
                <w:lang w:eastAsia="zh-TW"/>
              </w:rPr>
              <w:t>出售業務及</w:t>
            </w:r>
            <w:r w:rsidRPr="005A22C2">
              <w:rPr>
                <w:rFonts w:ascii="新細明體" w:eastAsia="新細明體" w:hAnsi="新細明體" w:cs="Segoe UI" w:hint="eastAsia"/>
                <w:kern w:val="2"/>
                <w:sz w:val="18"/>
                <w:szCs w:val="18"/>
                <w:lang w:eastAsia="zh-HK"/>
              </w:rPr>
              <w:t>活</w:t>
            </w:r>
            <w:r w:rsidR="00EE203F" w:rsidRPr="005A22C2">
              <w:rPr>
                <w:rFonts w:eastAsia="新細明體" w:cs="Segoe UI" w:hint="eastAsia"/>
                <w:kern w:val="2"/>
                <w:sz w:val="18"/>
                <w:szCs w:val="18"/>
                <w:lang w:eastAsia="zh-HK"/>
              </w:rPr>
              <w:t>動所需</w:t>
            </w:r>
            <w:r w:rsidRPr="005A22C2">
              <w:rPr>
                <w:rFonts w:eastAsia="新細明體" w:cs="Segoe UI" w:hint="eastAsia"/>
                <w:kern w:val="2"/>
                <w:sz w:val="18"/>
                <w:szCs w:val="18"/>
                <w:lang w:eastAsia="zh-HK"/>
              </w:rPr>
              <w:t>的</w:t>
            </w:r>
            <w:r w:rsidRPr="005A22C2">
              <w:rPr>
                <w:rFonts w:eastAsia="新細明體" w:cs="Segoe UI"/>
                <w:kern w:val="2"/>
                <w:sz w:val="18"/>
                <w:szCs w:val="18"/>
                <w:lang w:eastAsia="zh-TW"/>
              </w:rPr>
              <w:t>BI</w:t>
            </w:r>
            <w:r w:rsidR="00DA6F42" w:rsidRPr="005A22C2">
              <w:rPr>
                <w:rFonts w:eastAsia="新細明體" w:cs="Segoe UI" w:hint="eastAsia"/>
                <w:kern w:val="2"/>
                <w:sz w:val="18"/>
                <w:szCs w:val="18"/>
                <w:lang w:eastAsia="zh-HK"/>
              </w:rPr>
              <w:t>扣減</w:t>
            </w:r>
          </w:p>
        </w:tc>
        <w:tc>
          <w:tcPr>
            <w:tcW w:w="11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5D96A3" w14:textId="77777777" w:rsidR="004F62C3" w:rsidRPr="005A22C2" w:rsidRDefault="004F62C3" w:rsidP="009C54A9">
            <w:pPr>
              <w:keepLines/>
              <w:widowControl w:val="0"/>
              <w:adjustRightInd w:val="0"/>
              <w:snapToGrid w:val="0"/>
              <w:spacing w:before="40" w:after="40"/>
              <w:jc w:val="center"/>
              <w:rPr>
                <w:rFonts w:eastAsia="新細明體" w:cs="Segoe UI"/>
                <w:sz w:val="17"/>
                <w:szCs w:val="17"/>
                <w:lang w:eastAsia="zh-TW"/>
              </w:rPr>
            </w:pPr>
          </w:p>
        </w:tc>
      </w:tr>
    </w:tbl>
    <w:p w14:paraId="591C7146" w14:textId="058DCAD9" w:rsidR="004F62C3" w:rsidRDefault="004F62C3" w:rsidP="004F62C3">
      <w:pPr>
        <w:rPr>
          <w:lang w:eastAsia="zh-HK"/>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477"/>
      </w:tblGrid>
      <w:tr w:rsidR="005A22C2" w:rsidRPr="005A22C2" w14:paraId="70FD5D24" w14:textId="77777777" w:rsidTr="00723A77">
        <w:trPr>
          <w:tblHeader/>
        </w:trPr>
        <w:tc>
          <w:tcPr>
            <w:tcW w:w="9073" w:type="dxa"/>
            <w:gridSpan w:val="2"/>
            <w:shd w:val="clear" w:color="auto" w:fill="BFBFBF"/>
          </w:tcPr>
          <w:p w14:paraId="06B1E07A" w14:textId="77777777" w:rsidR="004F62C3" w:rsidRPr="005A22C2" w:rsidRDefault="004F62C3" w:rsidP="009C54A9">
            <w:pPr>
              <w:spacing w:before="40" w:after="40"/>
              <w:jc w:val="both"/>
              <w:rPr>
                <w:rFonts w:eastAsia="新細明體" w:cs="Segoe UI"/>
                <w:b/>
                <w:sz w:val="17"/>
                <w:szCs w:val="17"/>
                <w:lang w:eastAsia="en-GB"/>
              </w:rPr>
            </w:pPr>
            <w:r w:rsidRPr="005A22C2">
              <w:rPr>
                <w:rFonts w:eastAsia="新細明體" w:cs="Segoe UI" w:hint="eastAsia"/>
                <w:b/>
                <w:sz w:val="17"/>
                <w:szCs w:val="17"/>
                <w:lang w:eastAsia="zh-HK"/>
              </w:rPr>
              <w:t>註釋</w:t>
            </w:r>
          </w:p>
        </w:tc>
      </w:tr>
      <w:tr w:rsidR="005A22C2" w:rsidRPr="005A22C2" w14:paraId="53AEAE14" w14:textId="77777777" w:rsidTr="00723A77">
        <w:trPr>
          <w:trHeight w:val="153"/>
        </w:trPr>
        <w:tc>
          <w:tcPr>
            <w:tcW w:w="9073" w:type="dxa"/>
            <w:gridSpan w:val="2"/>
            <w:shd w:val="clear" w:color="auto" w:fill="F2F2F2"/>
          </w:tcPr>
          <w:p w14:paraId="42EB3074" w14:textId="77777777" w:rsidR="004F62C3" w:rsidRPr="005A22C2" w:rsidRDefault="004F62C3" w:rsidP="009C54A9">
            <w:pPr>
              <w:spacing w:before="40" w:after="40"/>
              <w:jc w:val="both"/>
              <w:rPr>
                <w:rFonts w:eastAsia="新細明體" w:cs="Segoe UI"/>
                <w:b/>
                <w:sz w:val="17"/>
                <w:szCs w:val="17"/>
                <w:lang w:eastAsia="en-GB"/>
              </w:rPr>
            </w:pPr>
            <w:r w:rsidRPr="005A22C2">
              <w:rPr>
                <w:rFonts w:eastAsia="新細明體" w:cs="Segoe UI" w:hint="eastAsia"/>
                <w:b/>
                <w:sz w:val="17"/>
                <w:szCs w:val="17"/>
                <w:lang w:eastAsia="zh-HK"/>
              </w:rPr>
              <w:t>欄</w:t>
            </w:r>
          </w:p>
        </w:tc>
      </w:tr>
      <w:tr w:rsidR="005A22C2" w:rsidRPr="005A22C2" w14:paraId="4F2C7541" w14:textId="77777777" w:rsidTr="00723A77">
        <w:tc>
          <w:tcPr>
            <w:tcW w:w="596" w:type="dxa"/>
          </w:tcPr>
          <w:p w14:paraId="6F590A3B" w14:textId="77777777" w:rsidR="004F62C3" w:rsidRPr="005A22C2" w:rsidRDefault="004F62C3" w:rsidP="009C54A9">
            <w:pPr>
              <w:keepLines/>
              <w:widowControl w:val="0"/>
              <w:spacing w:before="20" w:after="20"/>
              <w:ind w:rightChars="-54" w:right="-108"/>
              <w:rPr>
                <w:rFonts w:eastAsia="新細明體" w:cs="Segoe UI"/>
                <w:sz w:val="17"/>
                <w:szCs w:val="17"/>
                <w:lang w:eastAsia="en-GB"/>
              </w:rPr>
            </w:pPr>
            <w:r w:rsidRPr="005A22C2">
              <w:rPr>
                <w:rFonts w:eastAsia="新細明體" w:cs="Segoe UI"/>
                <w:sz w:val="17"/>
                <w:szCs w:val="17"/>
                <w:lang w:eastAsia="en-GB"/>
              </w:rPr>
              <w:t>(a)</w:t>
            </w:r>
            <w:r w:rsidRPr="005A22C2">
              <w:rPr>
                <w:rFonts w:eastAsia="新細明體" w:cs="Segoe UI" w:hint="eastAsia"/>
                <w:sz w:val="17"/>
                <w:szCs w:val="17"/>
                <w:lang w:eastAsia="zh-HK"/>
              </w:rPr>
              <w:t>至</w:t>
            </w:r>
            <w:r w:rsidRPr="005A22C2">
              <w:rPr>
                <w:rFonts w:eastAsia="新細明體" w:cs="Segoe UI"/>
                <w:sz w:val="17"/>
                <w:szCs w:val="17"/>
                <w:lang w:eastAsia="en-GB"/>
              </w:rPr>
              <w:t xml:space="preserve"> (c)</w:t>
            </w:r>
          </w:p>
        </w:tc>
        <w:tc>
          <w:tcPr>
            <w:tcW w:w="8477" w:type="dxa"/>
          </w:tcPr>
          <w:p w14:paraId="45EA78E3" w14:textId="7AAB3612" w:rsidR="004F62C3" w:rsidRPr="005A22C2" w:rsidRDefault="004F62C3"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sz w:val="17"/>
                <w:szCs w:val="17"/>
                <w:lang w:eastAsia="zh-TW"/>
              </w:rPr>
              <w:t>T</w:t>
            </w:r>
            <w:r w:rsidRPr="005A22C2">
              <w:rPr>
                <w:rFonts w:eastAsia="新細明體" w:cs="Segoe UI" w:hint="eastAsia"/>
                <w:sz w:val="17"/>
                <w:szCs w:val="17"/>
                <w:lang w:eastAsia="zh-HK"/>
              </w:rPr>
              <w:t>指現行周年報告期末</w:t>
            </w:r>
            <w:r w:rsidRPr="005A22C2">
              <w:rPr>
                <w:rFonts w:eastAsia="新細明體" w:cs="Segoe UI" w:hint="eastAsia"/>
                <w:sz w:val="17"/>
                <w:szCs w:val="17"/>
                <w:lang w:eastAsia="zh-TW"/>
              </w:rPr>
              <w:t>，</w:t>
            </w:r>
            <w:r w:rsidRPr="005A22C2">
              <w:rPr>
                <w:rFonts w:eastAsia="新細明體" w:cs="Segoe UI"/>
                <w:sz w:val="17"/>
                <w:szCs w:val="17"/>
                <w:lang w:eastAsia="zh-TW"/>
              </w:rPr>
              <w:t>T–1</w:t>
            </w:r>
            <w:r w:rsidRPr="005A22C2">
              <w:rPr>
                <w:rFonts w:eastAsia="新細明體" w:cs="Segoe UI" w:hint="eastAsia"/>
                <w:sz w:val="17"/>
                <w:szCs w:val="17"/>
                <w:lang w:eastAsia="zh-HK"/>
              </w:rPr>
              <w:t>指</w:t>
            </w:r>
            <w:r w:rsidRPr="005A22C2">
              <w:rPr>
                <w:rFonts w:eastAsia="新細明體" w:cs="Segoe UI" w:hint="eastAsia"/>
                <w:sz w:val="17"/>
                <w:szCs w:val="17"/>
                <w:lang w:eastAsia="zh-TW"/>
              </w:rPr>
              <w:t>T</w:t>
            </w:r>
            <w:r w:rsidR="005922A2" w:rsidRPr="005A22C2">
              <w:rPr>
                <w:rFonts w:eastAsia="新細明體" w:cs="Segoe UI" w:hint="eastAsia"/>
                <w:sz w:val="17"/>
                <w:szCs w:val="17"/>
                <w:lang w:eastAsia="zh-HK"/>
              </w:rPr>
              <w:t>的對上一個</w:t>
            </w:r>
            <w:r w:rsidRPr="005A22C2">
              <w:rPr>
                <w:rFonts w:eastAsia="新細明體" w:cs="Segoe UI" w:hint="eastAsia"/>
                <w:sz w:val="17"/>
                <w:szCs w:val="17"/>
                <w:lang w:eastAsia="zh-HK"/>
              </w:rPr>
              <w:t>周年報告期</w:t>
            </w:r>
            <w:r w:rsidRPr="005A22C2">
              <w:rPr>
                <w:rFonts w:eastAsia="新細明體" w:cs="Segoe UI" w:hint="eastAsia"/>
                <w:sz w:val="17"/>
                <w:szCs w:val="17"/>
                <w:lang w:eastAsia="zh-TW"/>
              </w:rPr>
              <w:t>，</w:t>
            </w:r>
            <w:r w:rsidRPr="005A22C2">
              <w:rPr>
                <w:rFonts w:eastAsia="新細明體" w:cs="Segoe UI" w:hint="eastAsia"/>
                <w:sz w:val="17"/>
                <w:szCs w:val="17"/>
                <w:lang w:eastAsia="zh-HK"/>
              </w:rPr>
              <w:t>如此類推</w:t>
            </w:r>
            <w:r w:rsidRPr="005A22C2">
              <w:rPr>
                <w:rFonts w:eastAsia="新細明體" w:cs="Segoe UI" w:hint="eastAsia"/>
                <w:sz w:val="17"/>
                <w:szCs w:val="17"/>
                <w:lang w:eastAsia="zh-TW"/>
              </w:rPr>
              <w:t>。</w:t>
            </w:r>
          </w:p>
        </w:tc>
      </w:tr>
      <w:tr w:rsidR="005A22C2" w:rsidRPr="005A22C2" w14:paraId="156D3BA6" w14:textId="77777777" w:rsidTr="00723A77">
        <w:trPr>
          <w:trHeight w:val="153"/>
        </w:trPr>
        <w:tc>
          <w:tcPr>
            <w:tcW w:w="9073" w:type="dxa"/>
            <w:gridSpan w:val="2"/>
            <w:shd w:val="clear" w:color="auto" w:fill="F2F2F2"/>
          </w:tcPr>
          <w:p w14:paraId="779B21D1" w14:textId="77777777" w:rsidR="004F62C3" w:rsidRPr="005A22C2" w:rsidRDefault="004F62C3" w:rsidP="009C54A9">
            <w:pPr>
              <w:spacing w:before="40" w:after="40"/>
              <w:jc w:val="both"/>
              <w:rPr>
                <w:rFonts w:eastAsia="新細明體" w:cs="Segoe UI"/>
                <w:b/>
                <w:sz w:val="17"/>
                <w:szCs w:val="17"/>
                <w:lang w:eastAsia="en-GB"/>
              </w:rPr>
            </w:pPr>
            <w:r w:rsidRPr="005A22C2">
              <w:rPr>
                <w:rFonts w:eastAsia="新細明體" w:cs="Segoe UI" w:hint="eastAsia"/>
                <w:b/>
                <w:sz w:val="17"/>
                <w:szCs w:val="17"/>
                <w:lang w:eastAsia="zh-HK"/>
              </w:rPr>
              <w:t>行</w:t>
            </w:r>
          </w:p>
        </w:tc>
      </w:tr>
      <w:tr w:rsidR="005A22C2" w:rsidRPr="005A22C2" w14:paraId="0019846C" w14:textId="77777777" w:rsidTr="00723A77">
        <w:tc>
          <w:tcPr>
            <w:tcW w:w="596" w:type="dxa"/>
          </w:tcPr>
          <w:p w14:paraId="1A96185D" w14:textId="77777777" w:rsidR="004F62C3" w:rsidRPr="005A22C2" w:rsidRDefault="004F62C3" w:rsidP="009C54A9">
            <w:pPr>
              <w:keepLines/>
              <w:widowControl w:val="0"/>
              <w:spacing w:before="20" w:after="20"/>
              <w:ind w:rightChars="-54" w:right="-108"/>
              <w:rPr>
                <w:rFonts w:eastAsia="新細明體" w:cs="Segoe UI"/>
                <w:sz w:val="17"/>
                <w:szCs w:val="17"/>
                <w:lang w:eastAsia="en-GB"/>
              </w:rPr>
            </w:pPr>
            <w:r w:rsidRPr="005A22C2">
              <w:rPr>
                <w:rFonts w:eastAsia="新細明體" w:cs="Segoe UI"/>
                <w:sz w:val="17"/>
                <w:szCs w:val="17"/>
                <w:lang w:eastAsia="en-GB"/>
              </w:rPr>
              <w:t>1</w:t>
            </w:r>
          </w:p>
        </w:tc>
        <w:tc>
          <w:tcPr>
            <w:tcW w:w="8477" w:type="dxa"/>
          </w:tcPr>
          <w:p w14:paraId="0B315F16" w14:textId="33BC89B9" w:rsidR="004F62C3" w:rsidRPr="005A22C2" w:rsidRDefault="00723A77" w:rsidP="005922A2">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noProof/>
                <w:lang w:eastAsia="zh-TW"/>
              </w:rPr>
              <mc:AlternateContent>
                <mc:Choice Requires="wps">
                  <w:drawing>
                    <wp:anchor distT="0" distB="0" distL="114300" distR="114300" simplePos="0" relativeHeight="251658243" behindDoc="0" locked="0" layoutInCell="1" allowOverlap="1" wp14:anchorId="399AD1EA" wp14:editId="7601F1C8">
                      <wp:simplePos x="0" y="0"/>
                      <wp:positionH relativeFrom="column">
                        <wp:posOffset>4456430</wp:posOffset>
                      </wp:positionH>
                      <wp:positionV relativeFrom="paragraph">
                        <wp:posOffset>33655</wp:posOffset>
                      </wp:positionV>
                      <wp:extent cx="424815" cy="0"/>
                      <wp:effectExtent l="0" t="0" r="3238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w14:anchorId="5507AA71">
                    <v:line w14:anchorId="2A89B01F" id="Straight Connector 2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0.9pt,2.65pt" to="384.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" strokecolor="black [3213]" strokeweight=".5pt">
                      <v:stroke joinstyle="miter"/>
                    </v:line>
                  </w:pict>
                </mc:Fallback>
              </mc:AlternateContent>
            </w:r>
            <w:r w:rsidRPr="005A22C2">
              <w:rPr>
                <w:rFonts w:eastAsia="新細明體" w:cs="Segoe UI"/>
                <w:noProof/>
                <w:lang w:eastAsia="zh-TW"/>
              </w:rPr>
              <mc:AlternateContent>
                <mc:Choice Requires="wps">
                  <w:drawing>
                    <wp:anchor distT="0" distB="0" distL="114300" distR="114300" simplePos="0" relativeHeight="251658241" behindDoc="0" locked="0" layoutInCell="1" allowOverlap="1" wp14:anchorId="0EF88853" wp14:editId="4EBA3A21">
                      <wp:simplePos x="0" y="0"/>
                      <wp:positionH relativeFrom="column">
                        <wp:posOffset>3879850</wp:posOffset>
                      </wp:positionH>
                      <wp:positionV relativeFrom="paragraph">
                        <wp:posOffset>34290</wp:posOffset>
                      </wp:positionV>
                      <wp:extent cx="433070" cy="0"/>
                      <wp:effectExtent l="0" t="0" r="2413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w14:anchorId="2551F081">
                    <v:line w14:anchorId="2438B264" id="Straight Connector 2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05.5pt,2.7pt" to="33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" strokecolor="black [3213]" strokeweight=".5pt">
                      <v:stroke joinstyle="miter"/>
                    </v:line>
                  </w:pict>
                </mc:Fallback>
              </mc:AlternateContent>
            </w:r>
            <w:r w:rsidR="004F62C3" w:rsidRPr="005A22C2">
              <w:rPr>
                <w:rFonts w:eastAsia="新細明體" w:cs="Segoe UI"/>
                <w:noProof/>
                <w:lang w:eastAsia="zh-TW"/>
              </w:rPr>
              <mc:AlternateContent>
                <mc:Choice Requires="wps">
                  <w:drawing>
                    <wp:anchor distT="0" distB="0" distL="114300" distR="114300" simplePos="0" relativeHeight="251658240" behindDoc="0" locked="0" layoutInCell="1" allowOverlap="1" wp14:anchorId="4142BC1B" wp14:editId="430ABAAB">
                      <wp:simplePos x="0" y="0"/>
                      <wp:positionH relativeFrom="column">
                        <wp:posOffset>1923415</wp:posOffset>
                      </wp:positionH>
                      <wp:positionV relativeFrom="paragraph">
                        <wp:posOffset>41275</wp:posOffset>
                      </wp:positionV>
                      <wp:extent cx="1318895" cy="0"/>
                      <wp:effectExtent l="0" t="0" r="336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8895"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10AA20ED">
                    <v:line w14:anchorId="7AB6981A"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45pt,3.25pt" to="25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" strokecolor="black [3213]" strokeweight=".5pt">
                      <v:stroke joinstyle="miter"/>
                    </v:line>
                  </w:pict>
                </mc:Fallback>
              </mc:AlternateContent>
            </w:r>
            <w:r w:rsidR="004F62C3" w:rsidRPr="005A22C2">
              <w:rPr>
                <w:rFonts w:eastAsia="新細明體" w:cs="Segoe UI" w:hint="eastAsia"/>
                <w:sz w:val="17"/>
                <w:szCs w:val="17"/>
                <w:lang w:eastAsia="zh-TW"/>
              </w:rPr>
              <w:t>利息、租賃及股息組成部分</w:t>
            </w:r>
            <w:r w:rsidR="004F62C3" w:rsidRPr="005A22C2">
              <w:rPr>
                <w:rFonts w:eastAsia="新細明體" w:cs="Segoe UI"/>
                <w:sz w:val="17"/>
                <w:szCs w:val="17"/>
                <w:lang w:eastAsia="zh-TW"/>
              </w:rPr>
              <w:t>(ILDC) = Min [Abs</w:t>
            </w:r>
            <w:r w:rsidR="004F62C3" w:rsidRPr="005A22C2">
              <w:rPr>
                <w:rFonts w:eastAsia="新細明體" w:cs="Segoe UI" w:hint="eastAsia"/>
                <w:sz w:val="17"/>
                <w:lang w:eastAsia="zh-HK"/>
              </w:rPr>
              <w:t>（</w:t>
            </w:r>
            <w:r w:rsidR="004F62C3" w:rsidRPr="005A22C2">
              <w:rPr>
                <w:rFonts w:eastAsia="新細明體" w:cs="Segoe UI" w:hint="eastAsia"/>
                <w:sz w:val="17"/>
                <w:szCs w:val="17"/>
                <w:lang w:eastAsia="zh-HK"/>
              </w:rPr>
              <w:t>利息收入</w:t>
            </w:r>
            <w:r w:rsidR="004F62C3" w:rsidRPr="005A22C2">
              <w:rPr>
                <w:rFonts w:eastAsia="新細明體" w:cs="Segoe UI" w:hint="eastAsia"/>
                <w:sz w:val="17"/>
                <w:szCs w:val="17"/>
                <w:lang w:eastAsia="zh-HK"/>
              </w:rPr>
              <w:t xml:space="preserve"> </w:t>
            </w:r>
            <w:r w:rsidR="004F62C3" w:rsidRPr="005A22C2">
              <w:rPr>
                <w:rFonts w:eastAsia="新細明體" w:cs="Segoe UI"/>
                <w:sz w:val="17"/>
                <w:szCs w:val="17"/>
                <w:lang w:eastAsia="zh-TW"/>
              </w:rPr>
              <w:t xml:space="preserve">- </w:t>
            </w:r>
            <w:r w:rsidR="004F62C3" w:rsidRPr="005A22C2">
              <w:rPr>
                <w:rFonts w:eastAsia="新細明體" w:cs="Segoe UI" w:hint="eastAsia"/>
                <w:sz w:val="17"/>
                <w:szCs w:val="17"/>
                <w:lang w:eastAsia="zh-HK"/>
              </w:rPr>
              <w:t>利息</w:t>
            </w:r>
            <w:r w:rsidR="004F62C3" w:rsidRPr="005A22C2">
              <w:rPr>
                <w:rFonts w:ascii="新細明體" w:eastAsia="新細明體" w:hAnsi="新細明體" w:cs="Segoe UI" w:hint="eastAsia"/>
                <w:sz w:val="17"/>
                <w:szCs w:val="17"/>
                <w:lang w:eastAsia="zh-CN"/>
              </w:rPr>
              <w:t>開</w:t>
            </w:r>
            <w:r w:rsidR="004F62C3" w:rsidRPr="005A22C2">
              <w:rPr>
                <w:rFonts w:eastAsia="新細明體" w:cs="Segoe UI" w:hint="eastAsia"/>
                <w:sz w:val="17"/>
                <w:szCs w:val="17"/>
                <w:lang w:eastAsia="zh-HK"/>
              </w:rPr>
              <w:t>支</w:t>
            </w:r>
            <w:r w:rsidR="004F62C3" w:rsidRPr="005A22C2">
              <w:rPr>
                <w:rFonts w:ascii="新細明體" w:eastAsia="新細明體" w:hAnsi="新細明體" w:cs="Segoe UI" w:hint="eastAsia"/>
                <w:sz w:val="17"/>
                <w:szCs w:val="17"/>
                <w:lang w:eastAsia="zh-TW"/>
              </w:rPr>
              <w:t>）</w:t>
            </w:r>
            <w:r w:rsidR="004F62C3" w:rsidRPr="005A22C2">
              <w:rPr>
                <w:rFonts w:eastAsia="新細明體" w:cs="Segoe UI" w:hint="eastAsia"/>
                <w:sz w:val="17"/>
                <w:szCs w:val="17"/>
                <w:lang w:eastAsia="zh-TW"/>
              </w:rPr>
              <w:t>；</w:t>
            </w:r>
            <w:r w:rsidR="004F62C3" w:rsidRPr="005A22C2">
              <w:rPr>
                <w:rFonts w:eastAsia="新細明體" w:cs="Segoe UI"/>
                <w:sz w:val="17"/>
                <w:szCs w:val="17"/>
                <w:lang w:eastAsia="zh-TW"/>
              </w:rPr>
              <w:t>2.25%</w:t>
            </w:r>
            <w:proofErr w:type="gramStart"/>
            <w:r w:rsidR="004F62C3" w:rsidRPr="005A22C2">
              <w:rPr>
                <w:rFonts w:eastAsia="新細明體" w:cs="Segoe UI"/>
                <w:sz w:val="17"/>
                <w:szCs w:val="17"/>
                <w:lang w:eastAsia="zh-TW"/>
              </w:rPr>
              <w:t xml:space="preserve">*  </w:t>
            </w:r>
            <w:r w:rsidR="004F62C3" w:rsidRPr="005A22C2">
              <w:rPr>
                <w:rFonts w:eastAsia="新細明體" w:cs="Segoe UI" w:hint="eastAsia"/>
                <w:sz w:val="17"/>
                <w:szCs w:val="17"/>
                <w:lang w:eastAsia="zh-HK"/>
              </w:rPr>
              <w:t>有息資產</w:t>
            </w:r>
            <w:proofErr w:type="gramEnd"/>
            <w:r w:rsidR="004F62C3" w:rsidRPr="005A22C2">
              <w:rPr>
                <w:rFonts w:eastAsia="新細明體" w:cs="Segoe UI"/>
                <w:sz w:val="17"/>
                <w:szCs w:val="17"/>
                <w:lang w:eastAsia="zh-TW"/>
              </w:rPr>
              <w:t xml:space="preserve">] + </w:t>
            </w:r>
            <w:r w:rsidR="004F62C3" w:rsidRPr="005A22C2">
              <w:rPr>
                <w:rFonts w:eastAsia="新細明體" w:cs="Segoe UI" w:hint="eastAsia"/>
                <w:sz w:val="17"/>
                <w:szCs w:val="17"/>
                <w:lang w:eastAsia="zh-HK"/>
              </w:rPr>
              <w:t>股息收入</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公式中所有項目均</w:t>
            </w:r>
            <w:r w:rsidR="005922A2" w:rsidRPr="005A22C2">
              <w:rPr>
                <w:rFonts w:eastAsia="新細明體" w:cs="Segoe UI" w:hint="eastAsia"/>
                <w:sz w:val="17"/>
                <w:szCs w:val="17"/>
                <w:lang w:eastAsia="zh-HK"/>
              </w:rPr>
              <w:t>按</w:t>
            </w:r>
            <w:r w:rsidR="004F62C3" w:rsidRPr="005A22C2">
              <w:rPr>
                <w:rFonts w:eastAsia="新細明體" w:cs="Segoe UI" w:hint="eastAsia"/>
                <w:sz w:val="17"/>
                <w:szCs w:val="17"/>
                <w:lang w:eastAsia="zh-TW"/>
              </w:rPr>
              <w:t>3</w:t>
            </w:r>
            <w:r w:rsidR="004F62C3" w:rsidRPr="005A22C2">
              <w:rPr>
                <w:rFonts w:eastAsia="新細明體" w:cs="Segoe UI" w:hint="eastAsia"/>
                <w:sz w:val="17"/>
                <w:szCs w:val="17"/>
                <w:lang w:eastAsia="zh-HK"/>
              </w:rPr>
              <w:t>個周年報告期</w:t>
            </w:r>
            <w:r w:rsidR="005922A2" w:rsidRPr="005A22C2">
              <w:rPr>
                <w:rFonts w:eastAsia="新細明體" w:cs="Segoe UI" w:hint="eastAsia"/>
                <w:sz w:val="17"/>
                <w:szCs w:val="17"/>
                <w:lang w:eastAsia="zh-HK"/>
              </w:rPr>
              <w:t>的平均數計算：</w:t>
            </w:r>
            <w:r w:rsidR="004F62C3" w:rsidRPr="005A22C2">
              <w:rPr>
                <w:rFonts w:eastAsia="新細明體" w:cs="Segoe UI"/>
                <w:sz w:val="17"/>
                <w:szCs w:val="17"/>
                <w:lang w:eastAsia="zh-TW"/>
              </w:rPr>
              <w:t>T</w:t>
            </w:r>
            <w:r w:rsidR="004F62C3" w:rsidRPr="005A22C2">
              <w:rPr>
                <w:rFonts w:eastAsia="新細明體" w:cs="Segoe UI" w:hint="eastAsia"/>
                <w:sz w:val="17"/>
                <w:szCs w:val="17"/>
                <w:lang w:eastAsia="zh-TW"/>
              </w:rPr>
              <w:t>、</w:t>
            </w:r>
            <w:r w:rsidR="004F62C3" w:rsidRPr="005A22C2">
              <w:rPr>
                <w:rFonts w:eastAsia="新細明體" w:cs="Segoe UI"/>
                <w:sz w:val="17"/>
                <w:szCs w:val="17"/>
                <w:lang w:eastAsia="zh-TW"/>
              </w:rPr>
              <w:t xml:space="preserve">T-1 </w:t>
            </w:r>
            <w:r w:rsidR="004F62C3" w:rsidRPr="005A22C2">
              <w:rPr>
                <w:rFonts w:eastAsia="新細明體" w:cs="Segoe UI" w:hint="eastAsia"/>
                <w:sz w:val="17"/>
                <w:szCs w:val="17"/>
                <w:lang w:eastAsia="zh-HK"/>
              </w:rPr>
              <w:t>及</w:t>
            </w:r>
            <w:r w:rsidR="004F62C3" w:rsidRPr="005A22C2">
              <w:rPr>
                <w:rFonts w:eastAsia="新細明體" w:cs="Segoe UI"/>
                <w:sz w:val="17"/>
                <w:szCs w:val="17"/>
                <w:lang w:eastAsia="zh-TW"/>
              </w:rPr>
              <w:t>T-2</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淨項目的絕對值</w:t>
            </w:r>
            <w:r w:rsidR="004F62C3" w:rsidRPr="005A22C2">
              <w:rPr>
                <w:rFonts w:eastAsia="新細明體" w:cs="Segoe UI" w:hint="eastAsia"/>
                <w:sz w:val="17"/>
                <w:lang w:eastAsia="zh-HK"/>
              </w:rPr>
              <w:t>（</w:t>
            </w:r>
            <w:r w:rsidR="004F62C3" w:rsidRPr="005A22C2">
              <w:rPr>
                <w:rFonts w:eastAsia="新細明體" w:cs="Segoe UI" w:hint="eastAsia"/>
                <w:sz w:val="17"/>
                <w:szCs w:val="17"/>
                <w:lang w:eastAsia="zh-HK"/>
              </w:rPr>
              <w:t>即利息收入</w:t>
            </w:r>
            <w:r w:rsidR="004F62C3" w:rsidRPr="005A22C2">
              <w:rPr>
                <w:rFonts w:eastAsia="新細明體" w:cs="Segoe UI" w:hint="eastAsia"/>
                <w:sz w:val="17"/>
                <w:szCs w:val="17"/>
                <w:lang w:eastAsia="zh-TW"/>
              </w:rPr>
              <w:t xml:space="preserve"> -</w:t>
            </w:r>
            <w:r w:rsidR="004F62C3" w:rsidRPr="005A22C2">
              <w:rPr>
                <w:rFonts w:eastAsia="新細明體" w:cs="Segoe UI"/>
                <w:sz w:val="17"/>
                <w:szCs w:val="17"/>
                <w:lang w:eastAsia="zh-TW"/>
              </w:rPr>
              <w:t xml:space="preserve"> </w:t>
            </w:r>
            <w:r w:rsidR="004F62C3" w:rsidRPr="005A22C2">
              <w:rPr>
                <w:rFonts w:eastAsia="新細明體" w:cs="Segoe UI" w:hint="eastAsia"/>
                <w:sz w:val="17"/>
                <w:szCs w:val="17"/>
                <w:lang w:eastAsia="zh-HK"/>
              </w:rPr>
              <w:t>利息</w:t>
            </w:r>
            <w:r w:rsidR="004F62C3" w:rsidRPr="005A22C2">
              <w:rPr>
                <w:rFonts w:ascii="新細明體" w:eastAsia="新細明體" w:hAnsi="新細明體" w:cs="Segoe UI" w:hint="eastAsia"/>
                <w:sz w:val="17"/>
                <w:szCs w:val="17"/>
                <w:lang w:eastAsia="zh-TW"/>
              </w:rPr>
              <w:t>開</w:t>
            </w:r>
            <w:r w:rsidR="004F62C3" w:rsidRPr="005A22C2">
              <w:rPr>
                <w:rFonts w:eastAsia="新細明體" w:cs="Segoe UI" w:hint="eastAsia"/>
                <w:sz w:val="17"/>
                <w:szCs w:val="17"/>
                <w:lang w:eastAsia="zh-HK"/>
              </w:rPr>
              <w:t>支</w:t>
            </w:r>
            <w:r w:rsidR="004F62C3" w:rsidRPr="005A22C2">
              <w:rPr>
                <w:rFonts w:ascii="新細明體" w:eastAsia="新細明體" w:hAnsi="新細明體" w:cs="Segoe UI" w:hint="eastAsia"/>
                <w:sz w:val="17"/>
                <w:szCs w:val="17"/>
                <w:lang w:eastAsia="zh-TW"/>
              </w:rPr>
              <w:t>）</w:t>
            </w:r>
            <w:r w:rsidR="004F62C3" w:rsidRPr="005A22C2">
              <w:rPr>
                <w:rFonts w:eastAsia="新細明體" w:cs="Segoe UI" w:hint="eastAsia"/>
                <w:sz w:val="17"/>
                <w:szCs w:val="17"/>
                <w:lang w:eastAsia="zh-HK"/>
              </w:rPr>
              <w:t>應先按個別周年報告期計算</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然後才計算</w:t>
            </w:r>
            <w:r w:rsidR="004F62C3" w:rsidRPr="005A22C2">
              <w:rPr>
                <w:rFonts w:eastAsia="新細明體" w:cs="Segoe UI" w:hint="eastAsia"/>
                <w:sz w:val="17"/>
                <w:szCs w:val="17"/>
                <w:lang w:eastAsia="zh-TW"/>
              </w:rPr>
              <w:t>3</w:t>
            </w:r>
            <w:r w:rsidR="004F62C3" w:rsidRPr="005A22C2">
              <w:rPr>
                <w:rFonts w:eastAsia="新細明體" w:cs="Segoe UI" w:hint="eastAsia"/>
                <w:sz w:val="17"/>
                <w:szCs w:val="17"/>
                <w:lang w:eastAsia="zh-HK"/>
              </w:rPr>
              <w:t>個周年報告期的平均值</w:t>
            </w:r>
            <w:r w:rsidR="004F62C3" w:rsidRPr="005A22C2">
              <w:rPr>
                <w:rFonts w:eastAsia="新細明體" w:cs="Segoe UI" w:hint="eastAsia"/>
                <w:sz w:val="17"/>
                <w:szCs w:val="17"/>
                <w:lang w:eastAsia="zh-TW"/>
              </w:rPr>
              <w:t>。</w:t>
            </w:r>
          </w:p>
        </w:tc>
      </w:tr>
      <w:tr w:rsidR="005A22C2" w:rsidRPr="005A22C2" w14:paraId="4342BAEE" w14:textId="77777777" w:rsidTr="00723A77">
        <w:trPr>
          <w:trHeight w:val="373"/>
        </w:trPr>
        <w:tc>
          <w:tcPr>
            <w:tcW w:w="596" w:type="dxa"/>
          </w:tcPr>
          <w:p w14:paraId="6DF9C3E7"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1a</w:t>
            </w:r>
          </w:p>
        </w:tc>
        <w:tc>
          <w:tcPr>
            <w:tcW w:w="8477" w:type="dxa"/>
          </w:tcPr>
          <w:p w14:paraId="21DD5641" w14:textId="57DC808E" w:rsidR="004F62C3" w:rsidRPr="005A22C2" w:rsidRDefault="00EE203F" w:rsidP="009C54A9">
            <w:pPr>
              <w:keepNext/>
              <w:spacing w:before="40" w:after="40"/>
              <w:jc w:val="both"/>
              <w:rPr>
                <w:rFonts w:eastAsia="新細明體" w:cs="Segoe UI"/>
                <w:sz w:val="17"/>
                <w:szCs w:val="17"/>
                <w:lang w:eastAsia="zh-HK"/>
              </w:rPr>
            </w:pPr>
            <w:r w:rsidRPr="005A22C2">
              <w:rPr>
                <w:rFonts w:eastAsia="新細明體" w:cs="Segoe UI" w:hint="eastAsia"/>
                <w:sz w:val="17"/>
                <w:szCs w:val="17"/>
                <w:lang w:eastAsia="zh-HK"/>
              </w:rPr>
              <w:t>來自</w:t>
            </w:r>
            <w:r w:rsidR="004F62C3" w:rsidRPr="005A22C2">
              <w:rPr>
                <w:rFonts w:eastAsia="新細明體" w:cs="Segoe UI" w:hint="eastAsia"/>
                <w:sz w:val="17"/>
                <w:szCs w:val="17"/>
                <w:lang w:eastAsia="zh-HK"/>
              </w:rPr>
              <w:t>所有金融資產的利息收入及其他利息收入</w:t>
            </w:r>
            <w:r w:rsidR="004F62C3" w:rsidRPr="005A22C2">
              <w:rPr>
                <w:rFonts w:eastAsia="新細明體" w:cs="Segoe UI" w:hint="eastAsia"/>
                <w:sz w:val="17"/>
                <w:lang w:eastAsia="zh-HK"/>
              </w:rPr>
              <w:t>（</w:t>
            </w:r>
            <w:r w:rsidR="004F62C3" w:rsidRPr="005A22C2">
              <w:rPr>
                <w:rFonts w:eastAsia="新細明體" w:cs="Segoe UI" w:hint="eastAsia"/>
                <w:sz w:val="17"/>
                <w:szCs w:val="17"/>
                <w:lang w:eastAsia="zh-HK"/>
              </w:rPr>
              <w:t>包括</w:t>
            </w:r>
            <w:r w:rsidRPr="005A22C2">
              <w:rPr>
                <w:rFonts w:eastAsia="新細明體" w:cs="Segoe UI" w:hint="eastAsia"/>
                <w:sz w:val="17"/>
                <w:szCs w:val="17"/>
                <w:lang w:eastAsia="zh-HK"/>
              </w:rPr>
              <w:t>來自</w:t>
            </w:r>
            <w:r w:rsidR="004F62C3" w:rsidRPr="005A22C2">
              <w:rPr>
                <w:rFonts w:eastAsia="新細明體" w:cs="Segoe UI" w:hint="eastAsia"/>
                <w:sz w:val="17"/>
                <w:szCs w:val="17"/>
                <w:lang w:eastAsia="zh-HK"/>
              </w:rPr>
              <w:t>融</w:t>
            </w:r>
            <w:r w:rsidR="004F62C3" w:rsidRPr="005A22C2">
              <w:rPr>
                <w:rFonts w:eastAsia="新細明體" w:cs="Segoe UI" w:hint="eastAsia"/>
                <w:sz w:val="17"/>
                <w:szCs w:val="17"/>
                <w:lang w:eastAsia="zh-TW"/>
              </w:rPr>
              <w:t>資</w:t>
            </w:r>
            <w:r w:rsidRPr="005A22C2">
              <w:rPr>
                <w:rFonts w:eastAsia="新細明體" w:cs="Segoe UI" w:hint="eastAsia"/>
                <w:sz w:val="17"/>
                <w:szCs w:val="17"/>
                <w:lang w:eastAsia="zh-HK"/>
              </w:rPr>
              <w:t>租賃及經營租賃</w:t>
            </w:r>
            <w:r w:rsidR="004F62C3" w:rsidRPr="005A22C2">
              <w:rPr>
                <w:rFonts w:eastAsia="新細明體" w:cs="Segoe UI" w:hint="eastAsia"/>
                <w:sz w:val="17"/>
                <w:szCs w:val="17"/>
                <w:lang w:eastAsia="zh-HK"/>
              </w:rPr>
              <w:t>的利息收入及</w:t>
            </w:r>
            <w:r w:rsidRPr="005A22C2">
              <w:rPr>
                <w:rFonts w:eastAsia="新細明體" w:cs="Segoe UI" w:hint="eastAsia"/>
                <w:sz w:val="17"/>
                <w:szCs w:val="17"/>
                <w:lang w:eastAsia="zh-HK"/>
              </w:rPr>
              <w:t>來自</w:t>
            </w:r>
            <w:r w:rsidR="004F62C3" w:rsidRPr="005A22C2">
              <w:rPr>
                <w:rFonts w:eastAsia="新細明體" w:cs="Segoe UI" w:hint="eastAsia"/>
                <w:sz w:val="17"/>
                <w:szCs w:val="17"/>
                <w:lang w:eastAsia="zh-HK"/>
              </w:rPr>
              <w:t>租賃資產的收</w:t>
            </w:r>
            <w:r w:rsidR="004F62C3" w:rsidRPr="005A22C2">
              <w:rPr>
                <w:rFonts w:eastAsia="新細明體" w:cs="Segoe UI" w:hint="eastAsia"/>
                <w:sz w:val="17"/>
                <w:szCs w:val="17"/>
                <w:lang w:eastAsia="zh-TW"/>
              </w:rPr>
              <w:t>益</w:t>
            </w:r>
            <w:r w:rsidR="004F62C3" w:rsidRPr="005A22C2">
              <w:rPr>
                <w:rFonts w:ascii="新細明體" w:eastAsia="新細明體" w:hAnsi="新細明體" w:cs="Segoe UI" w:hint="eastAsia"/>
                <w:sz w:val="17"/>
                <w:szCs w:val="17"/>
                <w:lang w:eastAsia="zh-TW"/>
              </w:rPr>
              <w:t>）</w:t>
            </w:r>
            <w:r w:rsidR="004F62C3" w:rsidRPr="005A22C2">
              <w:rPr>
                <w:rFonts w:eastAsia="新細明體" w:cs="Segoe UI" w:hint="eastAsia"/>
                <w:sz w:val="17"/>
                <w:szCs w:val="17"/>
                <w:lang w:eastAsia="zh-TW"/>
              </w:rPr>
              <w:t>。</w:t>
            </w:r>
          </w:p>
        </w:tc>
      </w:tr>
      <w:tr w:rsidR="005A22C2" w:rsidRPr="005A22C2" w14:paraId="2C531F2A" w14:textId="77777777" w:rsidTr="00723A77">
        <w:trPr>
          <w:trHeight w:val="373"/>
        </w:trPr>
        <w:tc>
          <w:tcPr>
            <w:tcW w:w="596" w:type="dxa"/>
          </w:tcPr>
          <w:p w14:paraId="720A0297"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1b</w:t>
            </w:r>
          </w:p>
        </w:tc>
        <w:tc>
          <w:tcPr>
            <w:tcW w:w="8477" w:type="dxa"/>
          </w:tcPr>
          <w:p w14:paraId="05125BA9" w14:textId="53ED395F" w:rsidR="004F62C3" w:rsidRPr="005A22C2" w:rsidRDefault="004F62C3" w:rsidP="009C54A9">
            <w:pPr>
              <w:keepNext/>
              <w:spacing w:before="40" w:after="40"/>
              <w:jc w:val="both"/>
              <w:rPr>
                <w:rFonts w:eastAsia="新細明體" w:cs="Segoe UI"/>
                <w:sz w:val="17"/>
                <w:szCs w:val="17"/>
                <w:lang w:eastAsia="zh-HK"/>
              </w:rPr>
            </w:pPr>
            <w:r w:rsidRPr="005A22C2">
              <w:rPr>
                <w:rFonts w:eastAsia="新細明體" w:cs="Segoe UI" w:hint="eastAsia"/>
                <w:sz w:val="17"/>
                <w:szCs w:val="17"/>
                <w:lang w:eastAsia="zh-HK"/>
              </w:rPr>
              <w:t>所有金融負債引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利息</w:t>
            </w:r>
            <w:r w:rsidRPr="005A22C2">
              <w:rPr>
                <w:rFonts w:ascii="新細明體" w:eastAsia="新細明體" w:hAnsi="新細明體" w:cs="Segoe UI" w:hint="eastAsia"/>
                <w:sz w:val="17"/>
                <w:szCs w:val="17"/>
                <w:lang w:eastAsia="zh-TW"/>
              </w:rPr>
              <w:t>開支</w:t>
            </w:r>
            <w:r w:rsidR="00EE203F" w:rsidRPr="005A22C2">
              <w:rPr>
                <w:rFonts w:eastAsia="新細明體" w:cs="Segoe UI" w:hint="eastAsia"/>
                <w:sz w:val="17"/>
                <w:szCs w:val="17"/>
                <w:lang w:eastAsia="zh-HK"/>
              </w:rPr>
              <w:t>及其他</w:t>
            </w:r>
            <w:r w:rsidRPr="005A22C2">
              <w:rPr>
                <w:rFonts w:eastAsia="新細明體" w:cs="Segoe UI" w:hint="eastAsia"/>
                <w:sz w:val="17"/>
                <w:szCs w:val="17"/>
                <w:lang w:eastAsia="zh-HK"/>
              </w:rPr>
              <w:t>利息</w:t>
            </w:r>
            <w:r w:rsidRPr="005A22C2">
              <w:rPr>
                <w:rFonts w:ascii="新細明體" w:eastAsia="新細明體" w:hAnsi="新細明體" w:cs="Segoe UI" w:hint="eastAsia"/>
                <w:sz w:val="17"/>
                <w:szCs w:val="17"/>
                <w:lang w:eastAsia="zh-TW"/>
              </w:rPr>
              <w:t>開支</w:t>
            </w:r>
            <w:r w:rsidRPr="005A22C2">
              <w:rPr>
                <w:rFonts w:eastAsia="新細明體" w:cs="Segoe UI" w:hint="eastAsia"/>
                <w:sz w:val="17"/>
                <w:lang w:eastAsia="zh-HK"/>
              </w:rPr>
              <w:t>（</w:t>
            </w:r>
            <w:r w:rsidRPr="005A22C2">
              <w:rPr>
                <w:rFonts w:eastAsia="新細明體" w:cs="Segoe UI" w:hint="eastAsia"/>
                <w:sz w:val="17"/>
                <w:szCs w:val="17"/>
                <w:lang w:eastAsia="zh-HK"/>
              </w:rPr>
              <w:t>包括融</w:t>
            </w:r>
            <w:r w:rsidRPr="005A22C2">
              <w:rPr>
                <w:rFonts w:eastAsia="新細明體" w:cs="Segoe UI" w:hint="eastAsia"/>
                <w:sz w:val="17"/>
                <w:szCs w:val="17"/>
                <w:lang w:eastAsia="zh-TW"/>
              </w:rPr>
              <w:t>資</w:t>
            </w:r>
            <w:r w:rsidR="00EE203F" w:rsidRPr="005A22C2">
              <w:rPr>
                <w:rFonts w:eastAsia="新細明體" w:cs="Segoe UI" w:hint="eastAsia"/>
                <w:sz w:val="17"/>
                <w:szCs w:val="17"/>
                <w:lang w:eastAsia="zh-HK"/>
              </w:rPr>
              <w:t>租賃</w:t>
            </w:r>
            <w:r w:rsidRPr="005A22C2">
              <w:rPr>
                <w:rFonts w:eastAsia="新細明體" w:cs="Segoe UI" w:hint="eastAsia"/>
                <w:sz w:val="17"/>
                <w:szCs w:val="17"/>
                <w:lang w:eastAsia="zh-HK"/>
              </w:rPr>
              <w:t>及經營租賃引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的利息開支、經營租賃資產折舊、減值及虧</w:t>
            </w:r>
            <w:r w:rsidRPr="005A22C2">
              <w:rPr>
                <w:rFonts w:eastAsia="新細明體" w:cs="Segoe UI" w:hint="eastAsia"/>
                <w:sz w:val="17"/>
                <w:szCs w:val="17"/>
                <w:lang w:eastAsia="zh-TW"/>
              </w:rPr>
              <w:t>損</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p>
        </w:tc>
      </w:tr>
      <w:tr w:rsidR="005A22C2" w:rsidRPr="005A22C2" w14:paraId="30A6BA1A" w14:textId="77777777" w:rsidTr="00723A77">
        <w:trPr>
          <w:trHeight w:val="373"/>
        </w:trPr>
        <w:tc>
          <w:tcPr>
            <w:tcW w:w="596" w:type="dxa"/>
          </w:tcPr>
          <w:p w14:paraId="0BDF4DA7"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1c</w:t>
            </w:r>
          </w:p>
        </w:tc>
        <w:tc>
          <w:tcPr>
            <w:tcW w:w="8477" w:type="dxa"/>
          </w:tcPr>
          <w:p w14:paraId="10B2A669" w14:textId="73C83B6D" w:rsidR="004F62C3" w:rsidRPr="005A22C2" w:rsidRDefault="004F62C3" w:rsidP="009C54A9">
            <w:pPr>
              <w:keepNext/>
              <w:spacing w:before="40" w:after="40"/>
              <w:jc w:val="both"/>
              <w:rPr>
                <w:rFonts w:eastAsia="新細明體" w:cs="Segoe UI"/>
                <w:sz w:val="17"/>
                <w:szCs w:val="17"/>
                <w:lang w:eastAsia="zh-HK"/>
              </w:rPr>
            </w:pPr>
            <w:r w:rsidRPr="005A22C2">
              <w:rPr>
                <w:rFonts w:eastAsia="新細明體" w:cs="Segoe UI" w:hint="eastAsia"/>
                <w:sz w:val="17"/>
                <w:szCs w:val="17"/>
                <w:lang w:eastAsia="zh-HK"/>
              </w:rPr>
              <w:t>於每個周年報告期</w:t>
            </w:r>
            <w:r w:rsidRPr="005A22C2">
              <w:rPr>
                <w:rFonts w:eastAsia="新細明體" w:cs="Segoe UI" w:hint="eastAsia"/>
                <w:sz w:val="17"/>
                <w:szCs w:val="17"/>
                <w:lang w:eastAsia="zh-TW"/>
              </w:rPr>
              <w:t>4</w:t>
            </w:r>
            <w:r w:rsidR="00EE203F" w:rsidRPr="005A22C2">
              <w:rPr>
                <w:rFonts w:eastAsia="新細明體" w:cs="Segoe UI" w:hint="eastAsia"/>
                <w:sz w:val="17"/>
                <w:szCs w:val="17"/>
                <w:lang w:eastAsia="zh-HK"/>
              </w:rPr>
              <w:t>個季度終結日</w:t>
            </w:r>
            <w:r w:rsidRPr="005A22C2">
              <w:rPr>
                <w:rFonts w:eastAsia="新細明體" w:cs="Segoe UI" w:hint="eastAsia"/>
                <w:sz w:val="17"/>
                <w:szCs w:val="17"/>
                <w:lang w:eastAsia="zh-HK"/>
              </w:rPr>
              <w:t>計量的合計未結清貸款</w:t>
            </w:r>
            <w:r w:rsidRPr="005A22C2">
              <w:rPr>
                <w:rFonts w:eastAsia="新細明體" w:cs="Segoe UI" w:hint="eastAsia"/>
                <w:sz w:val="17"/>
                <w:szCs w:val="17"/>
                <w:lang w:eastAsia="zh-TW"/>
              </w:rPr>
              <w:t>、</w:t>
            </w:r>
            <w:r w:rsidRPr="005A22C2">
              <w:rPr>
                <w:rFonts w:eastAsia="新細明體" w:cs="Segoe UI" w:hint="eastAsia"/>
                <w:sz w:val="17"/>
                <w:szCs w:val="17"/>
                <w:lang w:eastAsia="zh-HK"/>
              </w:rPr>
              <w:t>墊款</w:t>
            </w:r>
            <w:r w:rsidRPr="005A22C2">
              <w:rPr>
                <w:rFonts w:eastAsia="新細明體" w:cs="Segoe UI" w:hint="eastAsia"/>
                <w:sz w:val="17"/>
                <w:szCs w:val="17"/>
                <w:lang w:eastAsia="zh-TW"/>
              </w:rPr>
              <w:t>、</w:t>
            </w:r>
            <w:r w:rsidRPr="005A22C2">
              <w:rPr>
                <w:rFonts w:eastAsia="新細明體" w:cs="Segoe UI" w:hint="eastAsia"/>
                <w:sz w:val="17"/>
                <w:szCs w:val="17"/>
                <w:lang w:eastAsia="zh-HK"/>
              </w:rPr>
              <w:t>有息證券</w:t>
            </w:r>
            <w:r w:rsidRPr="005A22C2">
              <w:rPr>
                <w:rFonts w:eastAsia="新細明體" w:cs="Segoe UI" w:hint="eastAsia"/>
                <w:sz w:val="17"/>
                <w:lang w:eastAsia="zh-HK"/>
              </w:rPr>
              <w:t>（</w:t>
            </w:r>
            <w:r w:rsidRPr="005A22C2">
              <w:rPr>
                <w:rFonts w:eastAsia="新細明體" w:cs="Segoe UI" w:hint="eastAsia"/>
                <w:sz w:val="17"/>
                <w:szCs w:val="17"/>
                <w:lang w:eastAsia="zh-HK"/>
              </w:rPr>
              <w:t>包括政府債券及零息票債券</w:t>
            </w:r>
            <w:r w:rsidRPr="005A22C2">
              <w:rPr>
                <w:rFonts w:eastAsia="新細明體" w:cs="Segoe UI" w:hint="eastAsia"/>
                <w:sz w:val="17"/>
                <w:lang w:eastAsia="zh-HK"/>
              </w:rPr>
              <w:t>（含推</w:t>
            </w:r>
            <w:r w:rsidRPr="005A22C2">
              <w:rPr>
                <w:rFonts w:eastAsia="新細明體" w:cs="Segoe UI" w:hint="eastAsia"/>
                <w:sz w:val="17"/>
                <w:szCs w:val="17"/>
                <w:lang w:eastAsia="zh-HK"/>
              </w:rPr>
              <w:t>算利息者</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HK"/>
              </w:rPr>
              <w:t>及租賃資產總額的平均數</w:t>
            </w:r>
            <w:r w:rsidRPr="005A22C2">
              <w:rPr>
                <w:rFonts w:eastAsia="新細明體" w:cs="Segoe UI" w:hint="eastAsia"/>
                <w:sz w:val="17"/>
                <w:szCs w:val="17"/>
                <w:lang w:eastAsia="zh-TW"/>
              </w:rPr>
              <w:t>。</w:t>
            </w:r>
          </w:p>
        </w:tc>
      </w:tr>
      <w:tr w:rsidR="005A22C2" w:rsidRPr="005A22C2" w14:paraId="309D6E2D" w14:textId="77777777" w:rsidTr="00723A77">
        <w:trPr>
          <w:trHeight w:val="373"/>
        </w:trPr>
        <w:tc>
          <w:tcPr>
            <w:tcW w:w="596" w:type="dxa"/>
          </w:tcPr>
          <w:p w14:paraId="073E3484"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1d</w:t>
            </w:r>
          </w:p>
        </w:tc>
        <w:tc>
          <w:tcPr>
            <w:tcW w:w="8477" w:type="dxa"/>
          </w:tcPr>
          <w:p w14:paraId="787160D9" w14:textId="11FEC8CA" w:rsidR="004F62C3" w:rsidRPr="005A22C2" w:rsidRDefault="004F62C3" w:rsidP="009C54A9">
            <w:pPr>
              <w:keepNext/>
              <w:spacing w:before="40" w:after="40"/>
              <w:jc w:val="both"/>
              <w:rPr>
                <w:rFonts w:eastAsia="新細明體" w:cs="Segoe UI"/>
                <w:sz w:val="17"/>
                <w:szCs w:val="17"/>
                <w:lang w:eastAsia="zh-HK"/>
              </w:rPr>
            </w:pPr>
            <w:r w:rsidRPr="005A22C2">
              <w:rPr>
                <w:rFonts w:eastAsia="新細明體" w:cs="Segoe UI" w:hint="eastAsia"/>
                <w:sz w:val="17"/>
                <w:szCs w:val="17"/>
                <w:lang w:eastAsia="zh-HK"/>
              </w:rPr>
              <w:t>認可機構財務報表並未予以綜合計算的來自股票及集體投資計劃</w:t>
            </w:r>
            <w:r w:rsidR="00EE203F" w:rsidRPr="005A22C2">
              <w:rPr>
                <w:rFonts w:eastAsia="新細明體" w:cs="Segoe UI" w:hint="eastAsia"/>
                <w:sz w:val="17"/>
                <w:szCs w:val="17"/>
                <w:lang w:eastAsia="zh-HK"/>
              </w:rPr>
              <w:t>的</w:t>
            </w:r>
            <w:r w:rsidRPr="005A22C2">
              <w:rPr>
                <w:rFonts w:eastAsia="新細明體" w:cs="Segoe UI" w:hint="eastAsia"/>
                <w:sz w:val="17"/>
                <w:szCs w:val="17"/>
                <w:lang w:eastAsia="zh-HK"/>
              </w:rPr>
              <w:t>投資</w:t>
            </w:r>
            <w:r w:rsidR="00EE203F" w:rsidRPr="005A22C2">
              <w:rPr>
                <w:rFonts w:eastAsia="新細明體" w:cs="Segoe UI" w:hint="eastAsia"/>
                <w:sz w:val="17"/>
                <w:szCs w:val="17"/>
                <w:lang w:eastAsia="zh-HK"/>
              </w:rPr>
              <w:t>的</w:t>
            </w:r>
            <w:r w:rsidRPr="005A22C2">
              <w:rPr>
                <w:rFonts w:eastAsia="新細明體" w:cs="Segoe UI" w:hint="eastAsia"/>
                <w:sz w:val="17"/>
                <w:szCs w:val="17"/>
                <w:lang w:eastAsia="zh-HK"/>
              </w:rPr>
              <w:t>股息收入</w:t>
            </w:r>
            <w:r w:rsidRPr="005A22C2">
              <w:rPr>
                <w:rFonts w:eastAsia="新細明體" w:cs="Segoe UI" w:hint="eastAsia"/>
                <w:sz w:val="17"/>
                <w:szCs w:val="17"/>
                <w:lang w:eastAsia="zh-TW"/>
              </w:rPr>
              <w:t>，</w:t>
            </w:r>
            <w:r w:rsidRPr="005A22C2">
              <w:rPr>
                <w:rFonts w:eastAsia="新細明體" w:cs="Segoe UI" w:hint="eastAsia"/>
                <w:sz w:val="17"/>
                <w:szCs w:val="17"/>
                <w:lang w:eastAsia="zh-HK"/>
              </w:rPr>
              <w:t>包括來</w:t>
            </w:r>
            <w:r w:rsidRPr="005A22C2">
              <w:rPr>
                <w:rFonts w:eastAsia="新細明體" w:cs="Segoe UI"/>
                <w:sz w:val="17"/>
                <w:szCs w:val="17"/>
                <w:lang w:eastAsia="zh-HK"/>
              </w:rPr>
              <w:t>自</w:t>
            </w:r>
            <w:r w:rsidRPr="005A22C2">
              <w:rPr>
                <w:rFonts w:eastAsia="新細明體" w:cs="Segoe UI" w:hint="eastAsia"/>
                <w:sz w:val="17"/>
                <w:szCs w:val="17"/>
                <w:lang w:eastAsia="zh-HK"/>
              </w:rPr>
              <w:t>非綜合附屬公司</w:t>
            </w:r>
            <w:r w:rsidRPr="005A22C2">
              <w:rPr>
                <w:rFonts w:eastAsia="新細明體" w:cs="Segoe UI" w:hint="eastAsia"/>
                <w:sz w:val="17"/>
                <w:szCs w:val="17"/>
                <w:lang w:eastAsia="zh-TW"/>
              </w:rPr>
              <w:t>、</w:t>
            </w:r>
            <w:r w:rsidRPr="005A22C2">
              <w:rPr>
                <w:rFonts w:eastAsia="新細明體" w:cs="Segoe UI" w:hint="eastAsia"/>
                <w:sz w:val="17"/>
                <w:szCs w:val="17"/>
                <w:lang w:eastAsia="zh-HK"/>
              </w:rPr>
              <w:t>有聯繫者及聯營者的股息收入</w:t>
            </w:r>
            <w:r w:rsidRPr="005A22C2">
              <w:rPr>
                <w:rFonts w:eastAsia="新細明體" w:cs="Segoe UI" w:hint="eastAsia"/>
                <w:sz w:val="17"/>
                <w:szCs w:val="17"/>
                <w:lang w:eastAsia="zh-TW"/>
              </w:rPr>
              <w:t>。</w:t>
            </w:r>
          </w:p>
        </w:tc>
      </w:tr>
      <w:tr w:rsidR="005A22C2" w:rsidRPr="005A22C2" w14:paraId="733EDF67" w14:textId="77777777" w:rsidTr="00723A77">
        <w:trPr>
          <w:trHeight w:val="373"/>
        </w:trPr>
        <w:tc>
          <w:tcPr>
            <w:tcW w:w="596" w:type="dxa"/>
          </w:tcPr>
          <w:p w14:paraId="22988C3E"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2</w:t>
            </w:r>
          </w:p>
        </w:tc>
        <w:tc>
          <w:tcPr>
            <w:tcW w:w="8477" w:type="dxa"/>
          </w:tcPr>
          <w:p w14:paraId="5148DC79" w14:textId="4624EF17" w:rsidR="004F62C3" w:rsidRPr="005A22C2" w:rsidRDefault="00723A77" w:rsidP="009C54A9">
            <w:pPr>
              <w:keepNext/>
              <w:spacing w:before="40" w:after="40"/>
              <w:jc w:val="both"/>
              <w:rPr>
                <w:rFonts w:eastAsia="新細明體" w:cs="Segoe UI"/>
                <w:sz w:val="17"/>
                <w:szCs w:val="17"/>
                <w:lang w:eastAsia="zh-TW"/>
              </w:rPr>
            </w:pPr>
            <w:r w:rsidRPr="005A22C2">
              <w:rPr>
                <w:rFonts w:eastAsia="新細明體" w:cs="Segoe UI"/>
                <w:noProof/>
                <w:sz w:val="15"/>
                <w:lang w:eastAsia="zh-TW"/>
              </w:rPr>
              <mc:AlternateContent>
                <mc:Choice Requires="wps">
                  <w:drawing>
                    <wp:anchor distT="0" distB="0" distL="114300" distR="114300" simplePos="0" relativeHeight="251658246" behindDoc="0" locked="0" layoutInCell="1" allowOverlap="1" wp14:anchorId="04FB9322" wp14:editId="4FA398CA">
                      <wp:simplePos x="0" y="0"/>
                      <wp:positionH relativeFrom="column">
                        <wp:posOffset>4166235</wp:posOffset>
                      </wp:positionH>
                      <wp:positionV relativeFrom="paragraph">
                        <wp:posOffset>56515</wp:posOffset>
                      </wp:positionV>
                      <wp:extent cx="621665" cy="0"/>
                      <wp:effectExtent l="0" t="0" r="2603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665"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6CC78A35">
                    <v:line w14:anchorId="150E3A78" id="Straight Connector 25"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05pt,4.45pt" to="37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" strokecolor="black [3213]" strokeweight=".5pt">
                      <v:stroke joinstyle="miter"/>
                    </v:line>
                  </w:pict>
                </mc:Fallback>
              </mc:AlternateContent>
            </w:r>
            <w:r w:rsidRPr="005A22C2">
              <w:rPr>
                <w:rFonts w:eastAsia="新細明體" w:cs="Segoe UI"/>
                <w:noProof/>
                <w:sz w:val="15"/>
                <w:lang w:eastAsia="zh-TW"/>
              </w:rPr>
              <mc:AlternateContent>
                <mc:Choice Requires="wps">
                  <w:drawing>
                    <wp:anchor distT="0" distB="0" distL="114300" distR="114300" simplePos="0" relativeHeight="251658245" behindDoc="0" locked="0" layoutInCell="1" allowOverlap="1" wp14:anchorId="6617393C" wp14:editId="46CAD468">
                      <wp:simplePos x="0" y="0"/>
                      <wp:positionH relativeFrom="column">
                        <wp:posOffset>3425190</wp:posOffset>
                      </wp:positionH>
                      <wp:positionV relativeFrom="paragraph">
                        <wp:posOffset>58420</wp:posOffset>
                      </wp:positionV>
                      <wp:extent cx="629392" cy="0"/>
                      <wp:effectExtent l="0" t="0" r="3746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92"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5F5ED9B1">
                    <v:line w14:anchorId="71C0742B" id="Straight Connector 2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7pt,4.6pt" to="319.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" strokecolor="black [3213]" strokeweight=".5pt">
                      <v:stroke joinstyle="miter"/>
                    </v:line>
                  </w:pict>
                </mc:Fallback>
              </mc:AlternateContent>
            </w:r>
            <w:r w:rsidRPr="005A22C2">
              <w:rPr>
                <w:rFonts w:eastAsia="新細明體" w:cs="Segoe UI"/>
                <w:noProof/>
                <w:sz w:val="15"/>
                <w:lang w:eastAsia="zh-TW"/>
              </w:rPr>
              <mc:AlternateContent>
                <mc:Choice Requires="wps">
                  <w:drawing>
                    <wp:anchor distT="0" distB="0" distL="114300" distR="114300" simplePos="0" relativeHeight="251658242" behindDoc="0" locked="0" layoutInCell="1" allowOverlap="1" wp14:anchorId="5A468A4B" wp14:editId="139F0886">
                      <wp:simplePos x="0" y="0"/>
                      <wp:positionH relativeFrom="column">
                        <wp:posOffset>1276985</wp:posOffset>
                      </wp:positionH>
                      <wp:positionV relativeFrom="paragraph">
                        <wp:posOffset>60960</wp:posOffset>
                      </wp:positionV>
                      <wp:extent cx="705485" cy="0"/>
                      <wp:effectExtent l="0" t="0" r="3746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5485"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2B7D312B">
                    <v:line w14:anchorId="375B1994" id="Straight Connector 27"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5pt,4.8pt" to="156.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" strokecolor="black [3213]" strokeweight=".5pt">
                      <v:stroke joinstyle="miter"/>
                    </v:line>
                  </w:pict>
                </mc:Fallback>
              </mc:AlternateContent>
            </w:r>
            <w:r w:rsidRPr="005A22C2">
              <w:rPr>
                <w:rFonts w:eastAsia="新細明體" w:cs="Segoe UI"/>
                <w:noProof/>
                <w:sz w:val="15"/>
                <w:lang w:eastAsia="zh-TW"/>
              </w:rPr>
              <mc:AlternateContent>
                <mc:Choice Requires="wps">
                  <w:drawing>
                    <wp:anchor distT="0" distB="0" distL="114300" distR="114300" simplePos="0" relativeHeight="251658244" behindDoc="0" locked="0" layoutInCell="1" allowOverlap="1" wp14:anchorId="64321EF3" wp14:editId="4D72F7D8">
                      <wp:simplePos x="0" y="0"/>
                      <wp:positionH relativeFrom="column">
                        <wp:posOffset>2096770</wp:posOffset>
                      </wp:positionH>
                      <wp:positionV relativeFrom="paragraph">
                        <wp:posOffset>60960</wp:posOffset>
                      </wp:positionV>
                      <wp:extent cx="746760" cy="0"/>
                      <wp:effectExtent l="0" t="0" r="3429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6760"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77B0F2D1">
                    <v:line w14:anchorId="54B038B5" id="Straight Connector 2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1pt,4.8pt" to="223.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" strokecolor="black [3213]" strokeweight=".5pt">
                      <v:stroke joinstyle="miter"/>
                    </v:line>
                  </w:pict>
                </mc:Fallback>
              </mc:AlternateContent>
            </w:r>
            <w:r w:rsidR="004F62C3" w:rsidRPr="005A22C2">
              <w:rPr>
                <w:rFonts w:eastAsia="新細明體" w:cs="Segoe UI" w:hint="eastAsia"/>
                <w:sz w:val="17"/>
                <w:szCs w:val="17"/>
                <w:lang w:eastAsia="zh-HK"/>
              </w:rPr>
              <w:t>服務組成部分</w:t>
            </w:r>
            <w:r w:rsidR="004F62C3" w:rsidRPr="005A22C2">
              <w:rPr>
                <w:rFonts w:eastAsia="新細明體" w:cs="Segoe UI"/>
                <w:sz w:val="17"/>
                <w:szCs w:val="17"/>
                <w:lang w:eastAsia="zh-TW"/>
              </w:rPr>
              <w:t>(SC) = Max</w:t>
            </w:r>
            <w:r w:rsidR="004F62C3" w:rsidRPr="005A22C2">
              <w:rPr>
                <w:rFonts w:eastAsia="新細明體" w:cs="Segoe UI" w:hint="eastAsia"/>
                <w:sz w:val="17"/>
                <w:lang w:eastAsia="zh-HK"/>
              </w:rPr>
              <w:t>（</w:t>
            </w:r>
            <w:r w:rsidR="004F62C3" w:rsidRPr="005A22C2">
              <w:rPr>
                <w:rFonts w:eastAsia="新細明體" w:cs="Segoe UI" w:hint="eastAsia"/>
                <w:sz w:val="17"/>
                <w:szCs w:val="17"/>
                <w:lang w:eastAsia="zh-HK"/>
              </w:rPr>
              <w:t>費用及佣金收入</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費用及佣金閞支</w:t>
            </w:r>
            <w:r w:rsidR="004F62C3" w:rsidRPr="005A22C2">
              <w:rPr>
                <w:rFonts w:ascii="新細明體" w:eastAsia="新細明體" w:hAnsi="新細明體" w:cs="Segoe UI" w:hint="eastAsia"/>
                <w:sz w:val="17"/>
                <w:szCs w:val="17"/>
                <w:lang w:eastAsia="zh-TW"/>
              </w:rPr>
              <w:t>）</w:t>
            </w:r>
            <w:r w:rsidR="004F62C3" w:rsidRPr="005A22C2">
              <w:rPr>
                <w:rFonts w:eastAsia="新細明體" w:cs="Segoe UI"/>
                <w:sz w:val="17"/>
                <w:szCs w:val="17"/>
                <w:lang w:eastAsia="zh-TW"/>
              </w:rPr>
              <w:t xml:space="preserve"> + Max</w:t>
            </w:r>
            <w:r w:rsidR="004F62C3" w:rsidRPr="005A22C2">
              <w:rPr>
                <w:rFonts w:eastAsia="新細明體" w:cs="Segoe UI" w:hint="eastAsia"/>
                <w:sz w:val="17"/>
                <w:lang w:eastAsia="zh-HK"/>
              </w:rPr>
              <w:t>（</w:t>
            </w:r>
            <w:r w:rsidR="004F62C3" w:rsidRPr="005A22C2">
              <w:rPr>
                <w:rFonts w:eastAsia="新細明體" w:cs="Segoe UI" w:hint="eastAsia"/>
                <w:sz w:val="17"/>
                <w:szCs w:val="17"/>
                <w:lang w:eastAsia="zh-HK"/>
              </w:rPr>
              <w:t>其他營運收入</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其他營運閞支</w:t>
            </w:r>
            <w:r w:rsidR="004F62C3" w:rsidRPr="005A22C2">
              <w:rPr>
                <w:rFonts w:ascii="新細明體" w:eastAsia="新細明體" w:hAnsi="新細明體" w:cs="Segoe UI" w:hint="eastAsia"/>
                <w:sz w:val="17"/>
                <w:szCs w:val="17"/>
                <w:lang w:eastAsia="zh-TW"/>
              </w:rPr>
              <w:t>）</w:t>
            </w:r>
            <w:r w:rsidR="004F62C3" w:rsidRPr="005A22C2">
              <w:rPr>
                <w:rFonts w:eastAsia="新細明體" w:cs="Segoe UI" w:hint="eastAsia"/>
                <w:sz w:val="17"/>
                <w:szCs w:val="17"/>
                <w:lang w:eastAsia="zh-TW"/>
              </w:rPr>
              <w:t>。公式中所有項</w:t>
            </w:r>
            <w:r w:rsidR="00CA1A25" w:rsidRPr="005A22C2">
              <w:rPr>
                <w:rFonts w:eastAsia="新細明體" w:cs="Segoe UI" w:hint="eastAsia"/>
                <w:sz w:val="17"/>
                <w:szCs w:val="17"/>
                <w:lang w:eastAsia="zh-HK"/>
              </w:rPr>
              <w:t>目</w:t>
            </w:r>
            <w:r w:rsidR="004F62C3" w:rsidRPr="005A22C2">
              <w:rPr>
                <w:rFonts w:eastAsia="新細明體" w:cs="Segoe UI" w:hint="eastAsia"/>
                <w:sz w:val="17"/>
                <w:szCs w:val="17"/>
                <w:lang w:eastAsia="zh-TW"/>
              </w:rPr>
              <w:t>均</w:t>
            </w:r>
            <w:r w:rsidR="007B49F7" w:rsidRPr="005A22C2">
              <w:rPr>
                <w:rFonts w:eastAsia="新細明體" w:cs="Segoe UI" w:hint="eastAsia"/>
                <w:sz w:val="17"/>
                <w:szCs w:val="17"/>
                <w:lang w:eastAsia="zh-HK"/>
              </w:rPr>
              <w:t>按</w:t>
            </w:r>
            <w:r w:rsidR="004F62C3" w:rsidRPr="005A22C2">
              <w:rPr>
                <w:rFonts w:eastAsia="新細明體" w:cs="Segoe UI"/>
                <w:sz w:val="17"/>
                <w:szCs w:val="17"/>
                <w:lang w:eastAsia="zh-TW"/>
              </w:rPr>
              <w:t>3</w:t>
            </w:r>
            <w:r w:rsidR="004F62C3" w:rsidRPr="005A22C2">
              <w:rPr>
                <w:rFonts w:eastAsia="新細明體" w:cs="Segoe UI" w:hint="eastAsia"/>
                <w:sz w:val="17"/>
                <w:szCs w:val="17"/>
                <w:lang w:eastAsia="zh-TW"/>
              </w:rPr>
              <w:t>個周年報告期</w:t>
            </w:r>
            <w:r w:rsidR="007B49F7" w:rsidRPr="005A22C2">
              <w:rPr>
                <w:rFonts w:eastAsia="新細明體" w:cs="Segoe UI" w:hint="eastAsia"/>
                <w:sz w:val="17"/>
                <w:szCs w:val="17"/>
                <w:lang w:eastAsia="zh-TW"/>
              </w:rPr>
              <w:t>的平均數計算：</w:t>
            </w:r>
            <w:r w:rsidR="004F62C3" w:rsidRPr="005A22C2">
              <w:rPr>
                <w:rFonts w:eastAsia="新細明體" w:cs="Segoe UI"/>
                <w:sz w:val="17"/>
                <w:szCs w:val="17"/>
                <w:lang w:eastAsia="zh-TW"/>
              </w:rPr>
              <w:t>T</w:t>
            </w:r>
            <w:r w:rsidR="004F62C3" w:rsidRPr="005A22C2">
              <w:rPr>
                <w:rFonts w:eastAsia="新細明體" w:cs="Segoe UI" w:hint="eastAsia"/>
                <w:sz w:val="17"/>
                <w:szCs w:val="17"/>
                <w:lang w:eastAsia="zh-TW"/>
              </w:rPr>
              <w:t>、</w:t>
            </w:r>
            <w:r w:rsidR="004F62C3" w:rsidRPr="005A22C2">
              <w:rPr>
                <w:rFonts w:eastAsia="新細明體" w:cs="Segoe UI"/>
                <w:sz w:val="17"/>
                <w:szCs w:val="17"/>
                <w:lang w:eastAsia="zh-TW"/>
              </w:rPr>
              <w:t xml:space="preserve">T-1 </w:t>
            </w:r>
            <w:r w:rsidR="004F62C3" w:rsidRPr="005A22C2">
              <w:rPr>
                <w:rFonts w:eastAsia="新細明體" w:cs="Segoe UI" w:hint="eastAsia"/>
                <w:sz w:val="17"/>
                <w:szCs w:val="17"/>
                <w:lang w:eastAsia="zh-TW"/>
              </w:rPr>
              <w:t>及</w:t>
            </w:r>
            <w:r w:rsidR="004F62C3" w:rsidRPr="005A22C2">
              <w:rPr>
                <w:rFonts w:eastAsia="新細明體" w:cs="Segoe UI"/>
                <w:sz w:val="17"/>
                <w:szCs w:val="17"/>
                <w:lang w:eastAsia="zh-TW"/>
              </w:rPr>
              <w:t>T-2</w:t>
            </w:r>
            <w:r w:rsidR="004F62C3" w:rsidRPr="005A22C2">
              <w:rPr>
                <w:rFonts w:eastAsia="新細明體" w:cs="Segoe UI" w:hint="eastAsia"/>
                <w:sz w:val="17"/>
                <w:szCs w:val="17"/>
                <w:lang w:eastAsia="zh-TW"/>
              </w:rPr>
              <w:t>。</w:t>
            </w:r>
          </w:p>
        </w:tc>
      </w:tr>
      <w:tr w:rsidR="005A22C2" w:rsidRPr="005A22C2" w14:paraId="6745CB9D" w14:textId="77777777" w:rsidTr="00723A77">
        <w:trPr>
          <w:trHeight w:val="373"/>
        </w:trPr>
        <w:tc>
          <w:tcPr>
            <w:tcW w:w="596" w:type="dxa"/>
          </w:tcPr>
          <w:p w14:paraId="4E0D5D44"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2a</w:t>
            </w:r>
          </w:p>
        </w:tc>
        <w:tc>
          <w:tcPr>
            <w:tcW w:w="8477" w:type="dxa"/>
          </w:tcPr>
          <w:p w14:paraId="71BFD470" w14:textId="77777777" w:rsidR="004F62C3" w:rsidRPr="005A22C2" w:rsidRDefault="004F62C3" w:rsidP="009C54A9">
            <w:pPr>
              <w:keepNext/>
              <w:spacing w:before="40" w:after="40"/>
              <w:jc w:val="both"/>
              <w:rPr>
                <w:rFonts w:eastAsia="新細明體" w:cs="Segoe UI"/>
                <w:sz w:val="17"/>
                <w:szCs w:val="17"/>
                <w:lang w:eastAsia="zh-TW"/>
              </w:rPr>
            </w:pPr>
            <w:r w:rsidRPr="005A22C2">
              <w:rPr>
                <w:rFonts w:eastAsia="新細明體" w:cs="Segoe UI" w:hint="eastAsia"/>
                <w:sz w:val="17"/>
                <w:szCs w:val="17"/>
                <w:lang w:eastAsia="zh-HK"/>
              </w:rPr>
              <w:t>就提供意見及服務而收取的費用</w:t>
            </w:r>
            <w:r w:rsidRPr="005A22C2">
              <w:rPr>
                <w:rFonts w:eastAsia="新細明體" w:cs="Segoe UI" w:hint="eastAsia"/>
                <w:sz w:val="17"/>
                <w:lang w:eastAsia="zh-HK"/>
              </w:rPr>
              <w:t>（</w:t>
            </w:r>
            <w:r w:rsidRPr="005A22C2">
              <w:rPr>
                <w:rFonts w:eastAsia="新細明體" w:cs="Segoe UI" w:hint="eastAsia"/>
                <w:sz w:val="17"/>
                <w:szCs w:val="17"/>
                <w:lang w:eastAsia="zh-HK"/>
              </w:rPr>
              <w:t>包括認可機構就提供外判金融服務而收取的費用</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p>
        </w:tc>
      </w:tr>
      <w:tr w:rsidR="005A22C2" w:rsidRPr="005A22C2" w14:paraId="1703DC8A" w14:textId="77777777" w:rsidTr="00723A77">
        <w:trPr>
          <w:trHeight w:val="373"/>
        </w:trPr>
        <w:tc>
          <w:tcPr>
            <w:tcW w:w="596" w:type="dxa"/>
          </w:tcPr>
          <w:p w14:paraId="7BA13AD8"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2b</w:t>
            </w:r>
          </w:p>
        </w:tc>
        <w:tc>
          <w:tcPr>
            <w:tcW w:w="8477" w:type="dxa"/>
          </w:tcPr>
          <w:p w14:paraId="735B777D" w14:textId="3BDCBC8A" w:rsidR="004F62C3" w:rsidRPr="005A22C2" w:rsidRDefault="004F62C3" w:rsidP="009C54A9">
            <w:pPr>
              <w:keepNext/>
              <w:spacing w:before="40" w:after="40"/>
              <w:jc w:val="both"/>
              <w:rPr>
                <w:rFonts w:eastAsia="新細明體" w:cs="Segoe UI"/>
                <w:sz w:val="17"/>
                <w:szCs w:val="17"/>
                <w:lang w:eastAsia="zh-HK"/>
              </w:rPr>
            </w:pPr>
            <w:r w:rsidRPr="005A22C2">
              <w:rPr>
                <w:rFonts w:eastAsia="新細明體" w:cs="Segoe UI" w:hint="eastAsia"/>
                <w:sz w:val="17"/>
                <w:szCs w:val="17"/>
                <w:lang w:eastAsia="zh-HK"/>
              </w:rPr>
              <w:t>就接受意見及服務而支付的費用</w:t>
            </w:r>
            <w:r w:rsidRPr="005A22C2">
              <w:rPr>
                <w:rFonts w:eastAsia="新細明體" w:cs="Segoe UI" w:hint="eastAsia"/>
                <w:sz w:val="17"/>
                <w:lang w:eastAsia="zh-HK"/>
              </w:rPr>
              <w:t>（</w:t>
            </w:r>
            <w:r w:rsidRPr="005A22C2">
              <w:rPr>
                <w:rFonts w:eastAsia="新細明體" w:cs="Segoe UI" w:hint="eastAsia"/>
                <w:sz w:val="17"/>
                <w:szCs w:val="17"/>
                <w:lang w:eastAsia="zh-HK"/>
              </w:rPr>
              <w:t>包括認可機構就獲提供金融服務而支所的外判費用</w:t>
            </w:r>
            <w:r w:rsidRPr="005A22C2">
              <w:rPr>
                <w:rFonts w:eastAsia="新細明體" w:cs="Segoe UI" w:hint="eastAsia"/>
                <w:sz w:val="17"/>
                <w:szCs w:val="17"/>
                <w:lang w:eastAsia="zh-TW"/>
              </w:rPr>
              <w:t>，</w:t>
            </w:r>
            <w:r w:rsidRPr="005A22C2">
              <w:rPr>
                <w:rFonts w:eastAsia="新細明體" w:cs="Segoe UI" w:hint="eastAsia"/>
                <w:sz w:val="17"/>
                <w:szCs w:val="17"/>
                <w:lang w:eastAsia="zh-HK"/>
              </w:rPr>
              <w:t>但不包括為獲</w:t>
            </w:r>
            <w:r w:rsidR="00CA1A25" w:rsidRPr="005A22C2">
              <w:rPr>
                <w:rFonts w:eastAsia="新細明體" w:cs="Segoe UI" w:hint="eastAsia"/>
                <w:sz w:val="17"/>
                <w:szCs w:val="17"/>
                <w:lang w:eastAsia="zh-HK"/>
              </w:rPr>
              <w:t>提</w:t>
            </w:r>
            <w:r w:rsidRPr="005A22C2">
              <w:rPr>
                <w:rFonts w:eastAsia="新細明體" w:cs="Segoe UI" w:hint="eastAsia"/>
                <w:sz w:val="17"/>
                <w:szCs w:val="17"/>
                <w:lang w:eastAsia="zh-HK"/>
              </w:rPr>
              <w:t>供非金融服務</w:t>
            </w:r>
            <w:r w:rsidRPr="005A22C2">
              <w:rPr>
                <w:rFonts w:eastAsia="新細明體" w:cs="Segoe UI" w:hint="eastAsia"/>
                <w:sz w:val="17"/>
                <w:lang w:eastAsia="zh-HK"/>
              </w:rPr>
              <w:t>（</w:t>
            </w:r>
            <w:r w:rsidRPr="005A22C2">
              <w:rPr>
                <w:rFonts w:eastAsia="新細明體" w:cs="Segoe UI" w:hint="eastAsia"/>
                <w:sz w:val="17"/>
                <w:szCs w:val="17"/>
                <w:lang w:eastAsia="zh-HK"/>
              </w:rPr>
              <w:t>例如物流</w:t>
            </w:r>
            <w:r w:rsidRPr="005A22C2">
              <w:rPr>
                <w:rFonts w:eastAsia="新細明體" w:cs="Segoe UI" w:hint="eastAsia"/>
                <w:sz w:val="17"/>
                <w:szCs w:val="17"/>
                <w:lang w:eastAsia="zh-TW"/>
              </w:rPr>
              <w:t>、</w:t>
            </w:r>
            <w:r w:rsidRPr="005A22C2">
              <w:rPr>
                <w:rFonts w:eastAsia="新細明體" w:cs="Segoe UI" w:hint="eastAsia"/>
                <w:sz w:val="17"/>
                <w:szCs w:val="17"/>
                <w:lang w:eastAsia="zh-HK"/>
              </w:rPr>
              <w:t>資訊科技及人力資源</w:t>
            </w:r>
            <w:r w:rsidR="00CA1A25" w:rsidRPr="005A22C2">
              <w:rPr>
                <w:rFonts w:eastAsia="新細明體" w:cs="Segoe UI" w:hint="eastAsia"/>
                <w:sz w:val="17"/>
                <w:szCs w:val="17"/>
                <w:lang w:eastAsia="zh-HK"/>
              </w:rPr>
              <w:t>的服</w:t>
            </w:r>
            <w:r w:rsidR="00CA1A25" w:rsidRPr="005A22C2">
              <w:rPr>
                <w:rFonts w:eastAsia="新細明體" w:cs="Segoe UI" w:hint="eastAsia"/>
                <w:sz w:val="17"/>
                <w:szCs w:val="17"/>
                <w:lang w:eastAsia="zh-TW"/>
              </w:rPr>
              <w:t>務</w:t>
            </w:r>
            <w:r w:rsidRPr="005A22C2">
              <w:rPr>
                <w:rFonts w:ascii="新細明體" w:eastAsia="新細明體" w:hAnsi="新細明體" w:cs="Segoe UI" w:hint="eastAsia"/>
                <w:sz w:val="17"/>
                <w:szCs w:val="17"/>
                <w:lang w:eastAsia="zh-TW"/>
              </w:rPr>
              <w:t>）</w:t>
            </w:r>
            <w:r w:rsidR="00CA1A25" w:rsidRPr="005A22C2">
              <w:rPr>
                <w:rFonts w:eastAsia="新細明體" w:cs="Segoe UI" w:hint="eastAsia"/>
                <w:sz w:val="17"/>
                <w:szCs w:val="17"/>
                <w:lang w:eastAsia="zh-HK"/>
              </w:rPr>
              <w:t>而支</w:t>
            </w:r>
            <w:r w:rsidRPr="005A22C2">
              <w:rPr>
                <w:rFonts w:eastAsia="新細明體" w:cs="Segoe UI" w:hint="eastAsia"/>
                <w:sz w:val="17"/>
                <w:szCs w:val="17"/>
                <w:lang w:eastAsia="zh-HK"/>
              </w:rPr>
              <w:t>付的外判費用</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p>
        </w:tc>
      </w:tr>
      <w:tr w:rsidR="005A22C2" w:rsidRPr="005A22C2" w14:paraId="73DC17FE" w14:textId="77777777" w:rsidTr="00723A77">
        <w:trPr>
          <w:trHeight w:val="373"/>
        </w:trPr>
        <w:tc>
          <w:tcPr>
            <w:tcW w:w="596" w:type="dxa"/>
          </w:tcPr>
          <w:p w14:paraId="0A3063CA"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2c</w:t>
            </w:r>
          </w:p>
        </w:tc>
        <w:tc>
          <w:tcPr>
            <w:tcW w:w="8477" w:type="dxa"/>
          </w:tcPr>
          <w:p w14:paraId="7D71050F" w14:textId="14A188AC" w:rsidR="004F62C3" w:rsidRPr="005A22C2" w:rsidRDefault="004F62C3" w:rsidP="009C54A9">
            <w:pPr>
              <w:keepNext/>
              <w:spacing w:before="40" w:after="40"/>
              <w:jc w:val="both"/>
              <w:rPr>
                <w:rFonts w:eastAsia="新細明體" w:cs="Segoe UI"/>
                <w:sz w:val="17"/>
                <w:szCs w:val="17"/>
                <w:lang w:eastAsia="zh-HK"/>
              </w:rPr>
            </w:pPr>
            <w:r w:rsidRPr="005A22C2">
              <w:rPr>
                <w:rFonts w:eastAsia="新細明體" w:cs="Segoe UI" w:hint="eastAsia"/>
                <w:sz w:val="17"/>
                <w:szCs w:val="17"/>
                <w:lang w:eastAsia="zh-HK"/>
              </w:rPr>
              <w:t>其他</w:t>
            </w:r>
            <w:r w:rsidRPr="005A22C2">
              <w:rPr>
                <w:rFonts w:eastAsia="新細明體" w:cs="Segoe UI" w:hint="eastAsia"/>
                <w:sz w:val="17"/>
                <w:szCs w:val="17"/>
                <w:lang w:eastAsia="zh-TW"/>
              </w:rPr>
              <w:t>BI</w:t>
            </w:r>
            <w:r w:rsidRPr="005A22C2">
              <w:rPr>
                <w:rFonts w:eastAsia="新細明體" w:cs="Segoe UI" w:hint="eastAsia"/>
                <w:sz w:val="17"/>
                <w:szCs w:val="17"/>
                <w:lang w:eastAsia="zh-HK"/>
              </w:rPr>
              <w:t>項</w:t>
            </w:r>
            <w:r w:rsidR="00CA1A25" w:rsidRPr="005A22C2">
              <w:rPr>
                <w:rFonts w:eastAsia="新細明體" w:cs="Segoe UI" w:hint="eastAsia"/>
                <w:sz w:val="17"/>
                <w:szCs w:val="17"/>
                <w:lang w:eastAsia="zh-HK"/>
              </w:rPr>
              <w:t>目</w:t>
            </w:r>
            <w:r w:rsidRPr="005A22C2">
              <w:rPr>
                <w:rFonts w:eastAsia="新細明體" w:cs="Segoe UI" w:hint="eastAsia"/>
                <w:sz w:val="17"/>
                <w:szCs w:val="17"/>
                <w:lang w:eastAsia="zh-HK"/>
              </w:rPr>
              <w:t>並未涵蓋但性質相若的一般銀行業務操作引起的收入</w:t>
            </w:r>
            <w:r w:rsidRPr="005A22C2">
              <w:rPr>
                <w:rFonts w:eastAsia="新細明體" w:cs="Segoe UI" w:hint="eastAsia"/>
                <w:sz w:val="17"/>
                <w:lang w:eastAsia="zh-HK"/>
              </w:rPr>
              <w:t>（不包括</w:t>
            </w:r>
            <w:r w:rsidR="00CA1A25" w:rsidRPr="005A22C2">
              <w:rPr>
                <w:rFonts w:eastAsia="新細明體" w:cs="Segoe UI" w:hint="eastAsia"/>
                <w:sz w:val="17"/>
                <w:szCs w:val="17"/>
                <w:lang w:eastAsia="zh-HK"/>
              </w:rPr>
              <w:t>來自</w:t>
            </w:r>
            <w:r w:rsidRPr="005A22C2">
              <w:rPr>
                <w:rFonts w:eastAsia="新細明體" w:cs="Segoe UI" w:hint="eastAsia"/>
                <w:sz w:val="17"/>
                <w:szCs w:val="17"/>
                <w:lang w:eastAsia="zh-HK"/>
              </w:rPr>
              <w:t>經營租賃的收入</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p>
        </w:tc>
      </w:tr>
      <w:tr w:rsidR="005A22C2" w:rsidRPr="005A22C2" w14:paraId="45A1047F" w14:textId="77777777" w:rsidTr="00723A77">
        <w:trPr>
          <w:trHeight w:val="373"/>
        </w:trPr>
        <w:tc>
          <w:tcPr>
            <w:tcW w:w="596" w:type="dxa"/>
          </w:tcPr>
          <w:p w14:paraId="5D915BBD"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2d</w:t>
            </w:r>
          </w:p>
        </w:tc>
        <w:tc>
          <w:tcPr>
            <w:tcW w:w="8477" w:type="dxa"/>
          </w:tcPr>
          <w:p w14:paraId="2C79543A" w14:textId="5729EC8B" w:rsidR="004F62C3" w:rsidRPr="005A22C2" w:rsidRDefault="004F62C3" w:rsidP="009C54A9">
            <w:pPr>
              <w:keepNext/>
              <w:spacing w:before="40" w:after="40"/>
              <w:jc w:val="both"/>
              <w:rPr>
                <w:rFonts w:eastAsia="新細明體" w:cs="Segoe UI"/>
                <w:sz w:val="17"/>
                <w:szCs w:val="17"/>
                <w:lang w:eastAsia="zh-TW"/>
              </w:rPr>
            </w:pPr>
            <w:r w:rsidRPr="005A22C2">
              <w:rPr>
                <w:rFonts w:eastAsia="新細明體" w:cs="Segoe UI" w:hint="eastAsia"/>
                <w:sz w:val="17"/>
                <w:szCs w:val="17"/>
                <w:lang w:eastAsia="zh-HK"/>
              </w:rPr>
              <w:t>其他</w:t>
            </w:r>
            <w:r w:rsidRPr="005A22C2">
              <w:rPr>
                <w:rFonts w:eastAsia="新細明體" w:cs="Segoe UI" w:hint="eastAsia"/>
                <w:sz w:val="17"/>
                <w:szCs w:val="17"/>
                <w:lang w:eastAsia="zh-TW"/>
              </w:rPr>
              <w:t>BI</w:t>
            </w:r>
            <w:r w:rsidRPr="005A22C2">
              <w:rPr>
                <w:rFonts w:eastAsia="新細明體" w:cs="Segoe UI" w:hint="eastAsia"/>
                <w:sz w:val="17"/>
                <w:szCs w:val="17"/>
                <w:lang w:eastAsia="zh-HK"/>
              </w:rPr>
              <w:t>項</w:t>
            </w:r>
            <w:r w:rsidR="00CA1A25" w:rsidRPr="005A22C2">
              <w:rPr>
                <w:rFonts w:eastAsia="新細明體" w:cs="Segoe UI" w:hint="eastAsia"/>
                <w:sz w:val="17"/>
                <w:szCs w:val="17"/>
                <w:lang w:eastAsia="zh-HK"/>
              </w:rPr>
              <w:t>目</w:t>
            </w:r>
            <w:r w:rsidRPr="005A22C2">
              <w:rPr>
                <w:rFonts w:eastAsia="新細明體" w:cs="Segoe UI" w:hint="eastAsia"/>
                <w:sz w:val="17"/>
                <w:szCs w:val="17"/>
                <w:lang w:eastAsia="zh-HK"/>
              </w:rPr>
              <w:t>並未涵蓋但性質相若的一般銀行業務操作引起的</w:t>
            </w:r>
            <w:r w:rsidRPr="005A22C2">
              <w:rPr>
                <w:rFonts w:ascii="新細明體" w:eastAsia="新細明體" w:hAnsi="新細明體" w:cs="Segoe UI" w:hint="eastAsia"/>
                <w:sz w:val="17"/>
                <w:szCs w:val="17"/>
                <w:lang w:eastAsia="zh-TW"/>
              </w:rPr>
              <w:t>開支</w:t>
            </w:r>
            <w:r w:rsidRPr="005A22C2">
              <w:rPr>
                <w:rFonts w:eastAsia="新細明體" w:cs="Segoe UI" w:hint="eastAsia"/>
                <w:sz w:val="17"/>
                <w:szCs w:val="17"/>
                <w:lang w:eastAsia="zh-HK"/>
              </w:rPr>
              <w:t>及虧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以及業務操作虧</w:t>
            </w:r>
            <w:r w:rsidRPr="005A22C2">
              <w:rPr>
                <w:rFonts w:eastAsia="新細明體" w:cs="Segoe UI" w:hint="eastAsia"/>
                <w:sz w:val="17"/>
                <w:szCs w:val="17"/>
                <w:lang w:eastAsia="zh-TW"/>
              </w:rPr>
              <w:t>損</w:t>
            </w:r>
            <w:r w:rsidRPr="005A22C2">
              <w:rPr>
                <w:rFonts w:eastAsia="新細明體" w:cs="Segoe UI" w:hint="eastAsia"/>
                <w:sz w:val="17"/>
                <w:szCs w:val="17"/>
                <w:lang w:eastAsia="zh-HK"/>
              </w:rPr>
              <w:t>事件引起的</w:t>
            </w:r>
            <w:r w:rsidRPr="005A22C2">
              <w:rPr>
                <w:rFonts w:ascii="新細明體" w:eastAsia="新細明體" w:hAnsi="新細明體" w:cs="Segoe UI" w:hint="eastAsia"/>
                <w:sz w:val="17"/>
                <w:szCs w:val="17"/>
                <w:lang w:eastAsia="zh-TW"/>
              </w:rPr>
              <w:t>開支</w:t>
            </w:r>
            <w:r w:rsidRPr="005A22C2">
              <w:rPr>
                <w:rFonts w:eastAsia="新細明體" w:cs="Segoe UI" w:hint="eastAsia"/>
                <w:sz w:val="17"/>
                <w:szCs w:val="17"/>
                <w:lang w:eastAsia="zh-HK"/>
              </w:rPr>
              <w:t>及虧</w:t>
            </w:r>
            <w:r w:rsidRPr="005A22C2">
              <w:rPr>
                <w:rFonts w:eastAsia="新細明體" w:cs="Segoe UI" w:hint="eastAsia"/>
                <w:sz w:val="17"/>
                <w:szCs w:val="17"/>
                <w:lang w:eastAsia="zh-TW"/>
              </w:rPr>
              <w:t>損</w:t>
            </w:r>
            <w:r w:rsidRPr="005A22C2">
              <w:rPr>
                <w:rFonts w:eastAsia="新細明體" w:cs="Segoe UI" w:hint="eastAsia"/>
                <w:sz w:val="17"/>
                <w:lang w:eastAsia="zh-HK"/>
              </w:rPr>
              <w:t>（不包括</w:t>
            </w:r>
            <w:r w:rsidRPr="005A22C2">
              <w:rPr>
                <w:rFonts w:eastAsia="新細明體" w:cs="Segoe UI" w:hint="eastAsia"/>
                <w:sz w:val="17"/>
                <w:szCs w:val="17"/>
                <w:lang w:eastAsia="zh-HK"/>
              </w:rPr>
              <w:t>經營租賃引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的</w:t>
            </w:r>
            <w:r w:rsidRPr="005A22C2">
              <w:rPr>
                <w:rFonts w:ascii="新細明體" w:eastAsia="新細明體" w:hAnsi="新細明體" w:cs="Segoe UI" w:hint="eastAsia"/>
                <w:sz w:val="17"/>
                <w:szCs w:val="17"/>
                <w:lang w:eastAsia="zh-TW"/>
              </w:rPr>
              <w:t>開支）</w:t>
            </w:r>
            <w:r w:rsidRPr="005A22C2">
              <w:rPr>
                <w:rFonts w:eastAsia="新細明體" w:cs="Segoe UI" w:hint="eastAsia"/>
                <w:sz w:val="17"/>
                <w:szCs w:val="17"/>
                <w:lang w:eastAsia="zh-TW"/>
              </w:rPr>
              <w:t>。</w:t>
            </w:r>
          </w:p>
        </w:tc>
      </w:tr>
      <w:tr w:rsidR="005A22C2" w:rsidRPr="005A22C2" w14:paraId="719401F7" w14:textId="77777777" w:rsidTr="00723A77">
        <w:trPr>
          <w:trHeight w:val="373"/>
        </w:trPr>
        <w:tc>
          <w:tcPr>
            <w:tcW w:w="596" w:type="dxa"/>
          </w:tcPr>
          <w:p w14:paraId="4D36444B"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3</w:t>
            </w:r>
          </w:p>
        </w:tc>
        <w:tc>
          <w:tcPr>
            <w:tcW w:w="8477" w:type="dxa"/>
          </w:tcPr>
          <w:p w14:paraId="35E6C804" w14:textId="1A7F7998" w:rsidR="004F62C3" w:rsidRPr="005A22C2" w:rsidRDefault="000E62DB" w:rsidP="007C5C2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noProof/>
                <w:lang w:eastAsia="zh-TW"/>
              </w:rPr>
              <mc:AlternateContent>
                <mc:Choice Requires="wps">
                  <w:drawing>
                    <wp:anchor distT="0" distB="0" distL="114300" distR="114300" simplePos="0" relativeHeight="251658247" behindDoc="0" locked="0" layoutInCell="1" allowOverlap="1" wp14:anchorId="59D05545" wp14:editId="06B78B03">
                      <wp:simplePos x="0" y="0"/>
                      <wp:positionH relativeFrom="column">
                        <wp:posOffset>1006475</wp:posOffset>
                      </wp:positionH>
                      <wp:positionV relativeFrom="paragraph">
                        <wp:posOffset>35560</wp:posOffset>
                      </wp:positionV>
                      <wp:extent cx="954405" cy="0"/>
                      <wp:effectExtent l="0" t="0" r="3619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4405"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7ADA9AFB">
                    <v:line w14:anchorId="3FBE1D54" id="Straight Connector 2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5pt,2.8pt" to="154.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" strokecolor="black [3213]" strokeweight=".5pt">
                      <v:stroke joinstyle="miter"/>
                    </v:line>
                  </w:pict>
                </mc:Fallback>
              </mc:AlternateContent>
            </w:r>
            <w:r w:rsidR="004F62C3" w:rsidRPr="005A22C2">
              <w:rPr>
                <w:rFonts w:eastAsia="新細明體" w:cs="Segoe UI"/>
                <w:noProof/>
                <w:lang w:eastAsia="zh-TW"/>
              </w:rPr>
              <mc:AlternateContent>
                <mc:Choice Requires="wps">
                  <w:drawing>
                    <wp:anchor distT="0" distB="0" distL="114300" distR="114300" simplePos="0" relativeHeight="251658248" behindDoc="0" locked="0" layoutInCell="1" allowOverlap="1" wp14:anchorId="722B4AE7" wp14:editId="24BC0C57">
                      <wp:simplePos x="0" y="0"/>
                      <wp:positionH relativeFrom="column">
                        <wp:posOffset>2192655</wp:posOffset>
                      </wp:positionH>
                      <wp:positionV relativeFrom="paragraph">
                        <wp:posOffset>34925</wp:posOffset>
                      </wp:positionV>
                      <wp:extent cx="904875" cy="0"/>
                      <wp:effectExtent l="0" t="0" r="2857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0"/>
                              </a:xfrm>
                              <a:prstGeom prst="line">
                                <a:avLst/>
                              </a:prstGeom>
                              <a:noFill/>
                              <a:ln w="6350" algn="ctr">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240B235D">
                    <v:line w14:anchorId="3C693A1B" id="Straight Connector 2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65pt,2.75pt" to="243.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" strokecolor="black [3213]" strokeweight=".5pt">
                      <v:stroke joinstyle="miter"/>
                    </v:line>
                  </w:pict>
                </mc:Fallback>
              </mc:AlternateContent>
            </w:r>
            <w:r w:rsidR="004F62C3" w:rsidRPr="005A22C2">
              <w:rPr>
                <w:rFonts w:eastAsia="新細明體" w:cs="Segoe UI" w:hint="eastAsia"/>
                <w:sz w:val="17"/>
                <w:szCs w:val="17"/>
                <w:lang w:eastAsia="zh-HK"/>
              </w:rPr>
              <w:t>金融組成部分</w:t>
            </w:r>
            <w:r w:rsidR="004F62C3" w:rsidRPr="005A22C2">
              <w:rPr>
                <w:rFonts w:eastAsia="新細明體" w:cs="Segoe UI"/>
                <w:sz w:val="17"/>
                <w:szCs w:val="17"/>
                <w:lang w:eastAsia="zh-TW"/>
              </w:rPr>
              <w:t xml:space="preserve"> (FC) = Abs</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交易帳淨損益</w:t>
            </w:r>
            <w:r w:rsidR="004F62C3" w:rsidRPr="005A22C2">
              <w:rPr>
                <w:rFonts w:ascii="新細明體" w:eastAsia="新細明體" w:hAnsi="新細明體" w:cs="Segoe UI" w:hint="eastAsia"/>
                <w:sz w:val="17"/>
                <w:szCs w:val="17"/>
                <w:lang w:eastAsia="zh-TW"/>
              </w:rPr>
              <w:t>）</w:t>
            </w:r>
            <w:r w:rsidR="004F62C3" w:rsidRPr="005A22C2">
              <w:rPr>
                <w:rFonts w:eastAsia="新細明體" w:cs="Segoe UI"/>
                <w:sz w:val="17"/>
                <w:szCs w:val="17"/>
                <w:lang w:eastAsia="zh-TW"/>
              </w:rPr>
              <w:t xml:space="preserve"> + Abs</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銀行帳淨損益</w:t>
            </w:r>
            <w:r w:rsidR="004F62C3" w:rsidRPr="005A22C2">
              <w:rPr>
                <w:rFonts w:ascii="新細明體" w:eastAsia="新細明體" w:hAnsi="新細明體" w:cs="Segoe UI" w:hint="eastAsia"/>
                <w:sz w:val="17"/>
                <w:szCs w:val="17"/>
                <w:lang w:eastAsia="zh-TW"/>
              </w:rPr>
              <w:t>）</w:t>
            </w:r>
            <w:r w:rsidR="004F62C3" w:rsidRPr="005A22C2">
              <w:rPr>
                <w:rFonts w:eastAsia="新細明體" w:cs="Segoe UI" w:hint="eastAsia"/>
                <w:sz w:val="17"/>
                <w:szCs w:val="17"/>
                <w:lang w:eastAsia="zh-TW"/>
              </w:rPr>
              <w:t>。</w:t>
            </w:r>
            <w:r w:rsidR="004F62C3" w:rsidRPr="005A22C2">
              <w:rPr>
                <w:rFonts w:eastAsia="新細明體" w:cs="Segoe UI" w:hint="eastAsia"/>
                <w:sz w:val="17"/>
                <w:szCs w:val="17"/>
                <w:lang w:eastAsia="zh-HK"/>
              </w:rPr>
              <w:t>公式中所有項</w:t>
            </w:r>
            <w:r w:rsidR="00CA1A25" w:rsidRPr="005A22C2">
              <w:rPr>
                <w:rFonts w:eastAsia="新細明體" w:cs="Segoe UI" w:hint="eastAsia"/>
                <w:sz w:val="17"/>
                <w:szCs w:val="17"/>
                <w:lang w:eastAsia="zh-HK"/>
              </w:rPr>
              <w:t>目</w:t>
            </w:r>
            <w:r w:rsidR="004F62C3" w:rsidRPr="005A22C2">
              <w:rPr>
                <w:rFonts w:eastAsia="新細明體" w:cs="Segoe UI" w:hint="eastAsia"/>
                <w:sz w:val="17"/>
                <w:szCs w:val="17"/>
                <w:lang w:eastAsia="zh-HK"/>
              </w:rPr>
              <w:t>均</w:t>
            </w:r>
            <w:r w:rsidR="007B49F7" w:rsidRPr="005A22C2">
              <w:rPr>
                <w:rFonts w:eastAsia="新細明體" w:cs="Segoe UI" w:hint="eastAsia"/>
                <w:sz w:val="17"/>
                <w:szCs w:val="17"/>
                <w:lang w:eastAsia="zh-HK"/>
              </w:rPr>
              <w:t>按</w:t>
            </w:r>
            <w:r w:rsidR="004F62C3" w:rsidRPr="005A22C2">
              <w:rPr>
                <w:rFonts w:eastAsia="新細明體" w:cs="Segoe UI" w:hint="eastAsia"/>
                <w:sz w:val="17"/>
                <w:szCs w:val="17"/>
                <w:lang w:eastAsia="zh-TW"/>
              </w:rPr>
              <w:t>3</w:t>
            </w:r>
            <w:r w:rsidR="004F62C3" w:rsidRPr="005A22C2">
              <w:rPr>
                <w:rFonts w:eastAsia="新細明體" w:cs="Segoe UI" w:hint="eastAsia"/>
                <w:sz w:val="17"/>
                <w:szCs w:val="17"/>
                <w:lang w:eastAsia="zh-HK"/>
              </w:rPr>
              <w:t>個周年報告期</w:t>
            </w:r>
            <w:r w:rsidR="007B49F7" w:rsidRPr="005A22C2">
              <w:rPr>
                <w:rFonts w:eastAsia="新細明體" w:cs="Segoe UI" w:hint="eastAsia"/>
                <w:sz w:val="17"/>
                <w:szCs w:val="17"/>
                <w:lang w:eastAsia="zh-HK"/>
              </w:rPr>
              <w:t>的平均數計算：</w:t>
            </w:r>
            <w:r w:rsidR="004F62C3" w:rsidRPr="005A22C2">
              <w:rPr>
                <w:rFonts w:eastAsia="新細明體" w:cs="Segoe UI"/>
                <w:sz w:val="17"/>
                <w:szCs w:val="17"/>
                <w:lang w:eastAsia="zh-TW"/>
              </w:rPr>
              <w:t>T</w:t>
            </w:r>
            <w:r w:rsidR="004F62C3" w:rsidRPr="005A22C2">
              <w:rPr>
                <w:rFonts w:eastAsia="新細明體" w:cs="Segoe UI" w:hint="eastAsia"/>
                <w:sz w:val="17"/>
                <w:szCs w:val="17"/>
                <w:lang w:eastAsia="zh-TW"/>
              </w:rPr>
              <w:t>、</w:t>
            </w:r>
            <w:r w:rsidR="004F62C3" w:rsidRPr="005A22C2">
              <w:rPr>
                <w:rFonts w:eastAsia="新細明體" w:cs="Segoe UI"/>
                <w:sz w:val="17"/>
                <w:szCs w:val="17"/>
                <w:lang w:eastAsia="zh-TW"/>
              </w:rPr>
              <w:t>T-1</w:t>
            </w:r>
            <w:r w:rsidR="004F62C3" w:rsidRPr="005A22C2">
              <w:rPr>
                <w:rFonts w:eastAsia="新細明體" w:cs="Segoe UI" w:hint="eastAsia"/>
                <w:sz w:val="17"/>
                <w:szCs w:val="17"/>
                <w:lang w:eastAsia="zh-HK"/>
              </w:rPr>
              <w:t>及</w:t>
            </w:r>
            <w:r w:rsidR="004F62C3" w:rsidRPr="005A22C2">
              <w:rPr>
                <w:rFonts w:eastAsia="新細明體" w:cs="Segoe UI"/>
                <w:sz w:val="17"/>
                <w:szCs w:val="17"/>
                <w:lang w:eastAsia="zh-TW"/>
              </w:rPr>
              <w:t>T-2</w:t>
            </w:r>
            <w:r w:rsidR="004F62C3" w:rsidRPr="005A22C2">
              <w:rPr>
                <w:rFonts w:eastAsia="新細明體" w:cs="Segoe UI" w:hint="eastAsia"/>
                <w:sz w:val="17"/>
                <w:szCs w:val="17"/>
                <w:lang w:eastAsia="zh-TW"/>
              </w:rPr>
              <w:t>。</w:t>
            </w:r>
            <w:r w:rsidR="007C5C29" w:rsidRPr="005A22C2">
              <w:rPr>
                <w:rFonts w:eastAsia="新細明體" w:cs="Segoe UI" w:hint="eastAsia"/>
                <w:sz w:val="17"/>
                <w:szCs w:val="17"/>
                <w:lang w:eastAsia="zh-TW"/>
              </w:rPr>
              <w:t>淨</w:t>
            </w:r>
            <w:r w:rsidR="007C5C29" w:rsidRPr="005A22C2">
              <w:rPr>
                <w:rFonts w:eastAsia="新細明體" w:cs="Segoe UI" w:hint="eastAsia"/>
                <w:sz w:val="17"/>
                <w:szCs w:val="17"/>
                <w:lang w:eastAsia="zh-HK"/>
              </w:rPr>
              <w:t>損益</w:t>
            </w:r>
            <w:r w:rsidR="007C5C29" w:rsidRPr="005A22C2">
              <w:rPr>
                <w:rFonts w:eastAsia="新細明體" w:cs="Segoe UI" w:hint="eastAsia"/>
                <w:sz w:val="17"/>
                <w:szCs w:val="17"/>
                <w:lang w:eastAsia="zh-TW"/>
              </w:rPr>
              <w:t>項</w:t>
            </w:r>
            <w:r w:rsidR="007C5C29" w:rsidRPr="005A22C2">
              <w:rPr>
                <w:rFonts w:eastAsia="新細明體" w:cs="Segoe UI" w:hint="eastAsia"/>
                <w:sz w:val="17"/>
                <w:szCs w:val="17"/>
                <w:lang w:eastAsia="zh-HK"/>
              </w:rPr>
              <w:t>目</w:t>
            </w:r>
            <w:r w:rsidR="007C5C29" w:rsidRPr="005A22C2">
              <w:rPr>
                <w:rFonts w:eastAsia="新細明體" w:cs="Segoe UI" w:hint="eastAsia"/>
                <w:sz w:val="17"/>
                <w:szCs w:val="17"/>
                <w:lang w:eastAsia="zh-TW"/>
              </w:rPr>
              <w:t>的絕對值</w:t>
            </w:r>
            <w:r w:rsidR="004F62C3" w:rsidRPr="005A22C2">
              <w:rPr>
                <w:rFonts w:eastAsia="新細明體" w:cs="Segoe UI" w:hint="eastAsia"/>
                <w:sz w:val="17"/>
                <w:szCs w:val="17"/>
                <w:lang w:eastAsia="zh-TW"/>
              </w:rPr>
              <w:t>應先按個別周年報告期計算，然後才計算</w:t>
            </w:r>
            <w:r w:rsidR="004F62C3" w:rsidRPr="005A22C2">
              <w:rPr>
                <w:rFonts w:eastAsia="新細明體" w:cs="Segoe UI"/>
                <w:sz w:val="17"/>
                <w:szCs w:val="17"/>
                <w:lang w:eastAsia="zh-TW"/>
              </w:rPr>
              <w:t>3</w:t>
            </w:r>
            <w:r w:rsidR="004F62C3" w:rsidRPr="005A22C2">
              <w:rPr>
                <w:rFonts w:eastAsia="新細明體" w:cs="Segoe UI" w:hint="eastAsia"/>
                <w:sz w:val="17"/>
                <w:szCs w:val="17"/>
                <w:lang w:eastAsia="zh-TW"/>
              </w:rPr>
              <w:t>個周年報告期的平均值。</w:t>
            </w:r>
          </w:p>
        </w:tc>
      </w:tr>
      <w:tr w:rsidR="005A22C2" w:rsidRPr="005A22C2" w14:paraId="6B737787" w14:textId="77777777" w:rsidTr="00723A77">
        <w:trPr>
          <w:trHeight w:val="373"/>
        </w:trPr>
        <w:tc>
          <w:tcPr>
            <w:tcW w:w="596" w:type="dxa"/>
          </w:tcPr>
          <w:p w14:paraId="561C49A1"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3a</w:t>
            </w:r>
          </w:p>
        </w:tc>
        <w:tc>
          <w:tcPr>
            <w:tcW w:w="8477" w:type="dxa"/>
          </w:tcPr>
          <w:p w14:paraId="16418AB8" w14:textId="2F9EBB6D" w:rsidR="004F62C3" w:rsidRPr="005A22C2" w:rsidRDefault="004F62C3" w:rsidP="009C54A9">
            <w:pPr>
              <w:keepNext/>
              <w:spacing w:before="40" w:after="40"/>
              <w:jc w:val="both"/>
              <w:rPr>
                <w:rFonts w:eastAsia="新細明體" w:cs="Segoe UI"/>
                <w:sz w:val="17"/>
                <w:szCs w:val="17"/>
                <w:lang w:eastAsia="zh-TW"/>
              </w:rPr>
            </w:pPr>
            <w:r w:rsidRPr="005A22C2">
              <w:rPr>
                <w:rFonts w:eastAsia="新細明體" w:cs="Segoe UI" w:hint="eastAsia"/>
                <w:sz w:val="17"/>
                <w:szCs w:val="17"/>
                <w:lang w:eastAsia="zh-HK"/>
              </w:rPr>
              <w:t>交易帳淨損益</w:t>
            </w:r>
            <w:r w:rsidRPr="005A22C2">
              <w:rPr>
                <w:rFonts w:eastAsia="新細明體" w:cs="Segoe UI"/>
                <w:sz w:val="17"/>
                <w:szCs w:val="17"/>
                <w:lang w:eastAsia="zh-TW"/>
              </w:rPr>
              <w:t>：</w:t>
            </w:r>
            <w:r w:rsidRPr="005A22C2">
              <w:rPr>
                <w:rFonts w:eastAsia="新細明體" w:cs="Segoe UI" w:hint="eastAsia"/>
                <w:sz w:val="17"/>
                <w:szCs w:val="17"/>
                <w:lang w:eastAsia="zh-HK"/>
              </w:rPr>
              <w:t>這包括</w:t>
            </w:r>
            <w:r w:rsidRPr="005A22C2">
              <w:rPr>
                <w:rFonts w:eastAsia="新細明體" w:cs="Segoe UI"/>
                <w:sz w:val="17"/>
                <w:szCs w:val="17"/>
                <w:lang w:eastAsia="zh-TW"/>
              </w:rPr>
              <w:t xml:space="preserve"> (</w:t>
            </w:r>
            <w:proofErr w:type="spellStart"/>
            <w:r w:rsidRPr="005A22C2">
              <w:rPr>
                <w:rFonts w:eastAsia="新細明體" w:cs="Segoe UI"/>
                <w:sz w:val="17"/>
                <w:szCs w:val="17"/>
                <w:lang w:eastAsia="zh-TW"/>
              </w:rPr>
              <w:t>i</w:t>
            </w:r>
            <w:proofErr w:type="spellEnd"/>
            <w:r w:rsidRPr="005A22C2">
              <w:rPr>
                <w:rFonts w:eastAsia="新細明體" w:cs="Segoe UI"/>
                <w:sz w:val="17"/>
                <w:szCs w:val="17"/>
                <w:lang w:eastAsia="zh-TW"/>
              </w:rPr>
              <w:t xml:space="preserve">) </w:t>
            </w:r>
            <w:r w:rsidRPr="005A22C2">
              <w:rPr>
                <w:rFonts w:eastAsia="新細明體" w:cs="Segoe UI" w:hint="eastAsia"/>
                <w:sz w:val="17"/>
                <w:szCs w:val="17"/>
                <w:lang w:eastAsia="zh-HK"/>
              </w:rPr>
              <w:t>交易用途資產及交易用途負債</w:t>
            </w:r>
            <w:r w:rsidRPr="005A22C2">
              <w:rPr>
                <w:rFonts w:eastAsia="新細明體" w:cs="Segoe UI" w:hint="eastAsia"/>
                <w:sz w:val="17"/>
                <w:szCs w:val="17"/>
                <w:lang w:eastAsia="zh-TW"/>
              </w:rPr>
              <w:t>（</w:t>
            </w:r>
            <w:r w:rsidRPr="005A22C2">
              <w:rPr>
                <w:rFonts w:eastAsia="新細明體" w:cs="Segoe UI" w:hint="eastAsia"/>
                <w:sz w:val="17"/>
                <w:szCs w:val="17"/>
                <w:lang w:eastAsia="zh-HK"/>
              </w:rPr>
              <w:t>衍生工具</w:t>
            </w:r>
            <w:r w:rsidRPr="005A22C2">
              <w:rPr>
                <w:rFonts w:eastAsia="新細明體" w:cs="Segoe UI" w:hint="eastAsia"/>
                <w:sz w:val="17"/>
                <w:szCs w:val="17"/>
                <w:lang w:eastAsia="zh-TW"/>
              </w:rPr>
              <w:t>、</w:t>
            </w:r>
            <w:r w:rsidRPr="005A22C2">
              <w:rPr>
                <w:rFonts w:eastAsia="新細明體" w:cs="Segoe UI" w:hint="eastAsia"/>
                <w:sz w:val="17"/>
                <w:szCs w:val="17"/>
                <w:lang w:eastAsia="zh-HK"/>
              </w:rPr>
              <w:t>債務證券</w:t>
            </w:r>
            <w:r w:rsidRPr="005A22C2">
              <w:rPr>
                <w:rFonts w:eastAsia="新細明體" w:cs="Segoe UI" w:hint="eastAsia"/>
                <w:sz w:val="17"/>
                <w:szCs w:val="17"/>
                <w:lang w:eastAsia="zh-TW"/>
              </w:rPr>
              <w:t>、</w:t>
            </w:r>
            <w:r w:rsidRPr="005A22C2">
              <w:rPr>
                <w:rFonts w:eastAsia="新細明體" w:cs="Segoe UI" w:hint="eastAsia"/>
                <w:sz w:val="17"/>
                <w:szCs w:val="17"/>
                <w:lang w:eastAsia="zh-HK"/>
              </w:rPr>
              <w:t>股票</w:t>
            </w:r>
            <w:r w:rsidRPr="005A22C2">
              <w:rPr>
                <w:rFonts w:eastAsia="新細明體" w:cs="Segoe UI" w:hint="eastAsia"/>
                <w:sz w:val="17"/>
                <w:szCs w:val="17"/>
                <w:lang w:eastAsia="zh-TW"/>
              </w:rPr>
              <w:t>、</w:t>
            </w:r>
            <w:r w:rsidRPr="005A22C2">
              <w:rPr>
                <w:rFonts w:eastAsia="新細明體" w:cs="Segoe UI" w:hint="eastAsia"/>
                <w:sz w:val="17"/>
                <w:szCs w:val="17"/>
                <w:lang w:eastAsia="zh-HK"/>
              </w:rPr>
              <w:t>貸款及墊款</w:t>
            </w:r>
            <w:r w:rsidRPr="005A22C2">
              <w:rPr>
                <w:rFonts w:eastAsia="新細明體" w:cs="Segoe UI" w:hint="eastAsia"/>
                <w:sz w:val="17"/>
                <w:szCs w:val="17"/>
                <w:lang w:eastAsia="zh-TW"/>
              </w:rPr>
              <w:t>、</w:t>
            </w:r>
            <w:r w:rsidRPr="005A22C2">
              <w:rPr>
                <w:rFonts w:eastAsia="新細明體" w:cs="Segoe UI" w:hint="eastAsia"/>
                <w:sz w:val="17"/>
                <w:szCs w:val="17"/>
                <w:lang w:eastAsia="zh-HK"/>
              </w:rPr>
              <w:t>短倉</w:t>
            </w:r>
            <w:r w:rsidRPr="005A22C2">
              <w:rPr>
                <w:rFonts w:eastAsia="新細明體" w:cs="Segoe UI" w:hint="eastAsia"/>
                <w:sz w:val="17"/>
                <w:szCs w:val="17"/>
                <w:lang w:eastAsia="zh-TW"/>
              </w:rPr>
              <w:t>、</w:t>
            </w:r>
            <w:r w:rsidRPr="005A22C2">
              <w:rPr>
                <w:rFonts w:eastAsia="新細明體" w:cs="Segoe UI" w:hint="eastAsia"/>
                <w:sz w:val="17"/>
                <w:szCs w:val="17"/>
                <w:lang w:eastAsia="zh-HK"/>
              </w:rPr>
              <w:t>其他資產及負債</w:t>
            </w:r>
            <w:r w:rsidRPr="005A22C2">
              <w:rPr>
                <w:rFonts w:ascii="新細明體" w:eastAsia="新細明體" w:hAnsi="新細明體" w:cs="Segoe UI" w:hint="eastAsia"/>
                <w:sz w:val="17"/>
                <w:szCs w:val="17"/>
                <w:lang w:eastAsia="zh-TW"/>
              </w:rPr>
              <w:t>）</w:t>
            </w:r>
            <w:r w:rsidR="007C5C29" w:rsidRPr="005A22C2">
              <w:rPr>
                <w:rFonts w:ascii="新細明體" w:eastAsia="新細明體" w:hAnsi="新細明體" w:cs="Segoe UI" w:hint="eastAsia"/>
                <w:sz w:val="17"/>
                <w:szCs w:val="17"/>
                <w:lang w:eastAsia="zh-HK"/>
              </w:rPr>
              <w:t>引起</w:t>
            </w:r>
            <w:r w:rsidRPr="005A22C2">
              <w:rPr>
                <w:rFonts w:eastAsia="新細明體" w:cs="Segoe UI" w:hint="eastAsia"/>
                <w:sz w:val="17"/>
                <w:szCs w:val="17"/>
                <w:lang w:eastAsia="zh-HK"/>
              </w:rPr>
              <w:t>的盈虧相</w:t>
            </w:r>
            <w:r w:rsidRPr="005A22C2">
              <w:rPr>
                <w:rFonts w:eastAsia="新細明體" w:cs="Segoe UI" w:hint="eastAsia"/>
                <w:sz w:val="17"/>
                <w:szCs w:val="17"/>
                <w:lang w:eastAsia="zh-TW"/>
              </w:rPr>
              <w:t>抵；</w:t>
            </w:r>
            <w:r w:rsidRPr="005A22C2">
              <w:rPr>
                <w:rFonts w:eastAsia="新細明體" w:cs="Segoe UI"/>
                <w:sz w:val="17"/>
                <w:szCs w:val="17"/>
                <w:lang w:eastAsia="zh-TW"/>
              </w:rPr>
              <w:t xml:space="preserve">(ii) </w:t>
            </w:r>
            <w:r w:rsidRPr="005A22C2">
              <w:rPr>
                <w:rFonts w:eastAsia="新細明體" w:cs="Segoe UI" w:hint="eastAsia"/>
                <w:sz w:val="17"/>
                <w:szCs w:val="17"/>
                <w:lang w:eastAsia="zh-HK"/>
              </w:rPr>
              <w:t>對沖會計引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的盈虧相</w:t>
            </w:r>
            <w:r w:rsidRPr="005A22C2">
              <w:rPr>
                <w:rFonts w:eastAsia="新細明體" w:cs="Segoe UI" w:hint="eastAsia"/>
                <w:sz w:val="17"/>
                <w:szCs w:val="17"/>
                <w:lang w:eastAsia="zh-TW"/>
              </w:rPr>
              <w:t>抵；</w:t>
            </w:r>
            <w:r w:rsidRPr="005A22C2">
              <w:rPr>
                <w:rFonts w:eastAsia="新細明體" w:cs="Segoe UI" w:hint="eastAsia"/>
                <w:sz w:val="17"/>
                <w:szCs w:val="17"/>
                <w:lang w:eastAsia="zh-HK"/>
              </w:rPr>
              <w:t>以及</w:t>
            </w:r>
            <w:r w:rsidRPr="005A22C2">
              <w:rPr>
                <w:rFonts w:eastAsia="新細明體" w:cs="Segoe UI"/>
                <w:sz w:val="17"/>
                <w:szCs w:val="17"/>
                <w:lang w:eastAsia="zh-TW"/>
              </w:rPr>
              <w:t xml:space="preserve">(iii) </w:t>
            </w:r>
            <w:r w:rsidRPr="005A22C2">
              <w:rPr>
                <w:rFonts w:eastAsia="新細明體" w:cs="Segoe UI" w:hint="eastAsia"/>
                <w:sz w:val="17"/>
                <w:szCs w:val="17"/>
                <w:lang w:eastAsia="zh-HK"/>
              </w:rPr>
              <w:t>匯兌差額引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的盈虧相</w:t>
            </w:r>
            <w:r w:rsidRPr="005A22C2">
              <w:rPr>
                <w:rFonts w:eastAsia="新細明體" w:cs="Segoe UI" w:hint="eastAsia"/>
                <w:sz w:val="17"/>
                <w:szCs w:val="17"/>
                <w:lang w:eastAsia="zh-TW"/>
              </w:rPr>
              <w:t>抵。</w:t>
            </w:r>
          </w:p>
        </w:tc>
      </w:tr>
      <w:tr w:rsidR="005A22C2" w:rsidRPr="005A22C2" w14:paraId="0A0ACE3D" w14:textId="77777777" w:rsidTr="00723A77">
        <w:trPr>
          <w:trHeight w:val="373"/>
        </w:trPr>
        <w:tc>
          <w:tcPr>
            <w:tcW w:w="596" w:type="dxa"/>
          </w:tcPr>
          <w:p w14:paraId="47BD6935"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3b</w:t>
            </w:r>
          </w:p>
        </w:tc>
        <w:tc>
          <w:tcPr>
            <w:tcW w:w="8477" w:type="dxa"/>
          </w:tcPr>
          <w:p w14:paraId="4879F723" w14:textId="6B3C76EF" w:rsidR="004F62C3" w:rsidRPr="005A22C2" w:rsidRDefault="004F62C3" w:rsidP="009C54A9">
            <w:pPr>
              <w:keepNext/>
              <w:spacing w:before="40" w:after="40"/>
              <w:jc w:val="both"/>
              <w:rPr>
                <w:rFonts w:eastAsia="新細明體" w:cs="Segoe UI"/>
                <w:sz w:val="17"/>
                <w:szCs w:val="17"/>
                <w:lang w:eastAsia="zh-HK"/>
              </w:rPr>
            </w:pPr>
            <w:r w:rsidRPr="005A22C2">
              <w:rPr>
                <w:rFonts w:eastAsia="新細明體" w:cs="Segoe UI" w:hint="eastAsia"/>
                <w:sz w:val="17"/>
                <w:szCs w:val="17"/>
                <w:lang w:eastAsia="zh-HK"/>
              </w:rPr>
              <w:t>銀行帳淨損益</w:t>
            </w:r>
            <w:r w:rsidRPr="005A22C2">
              <w:rPr>
                <w:rFonts w:eastAsia="新細明體" w:cs="Segoe UI"/>
                <w:sz w:val="17"/>
                <w:szCs w:val="17"/>
                <w:lang w:eastAsia="zh-TW"/>
              </w:rPr>
              <w:t>：</w:t>
            </w:r>
            <w:r w:rsidRPr="005A22C2">
              <w:rPr>
                <w:rFonts w:eastAsia="新細明體" w:cs="Segoe UI" w:hint="eastAsia"/>
                <w:sz w:val="17"/>
                <w:szCs w:val="17"/>
                <w:lang w:eastAsia="zh-HK"/>
              </w:rPr>
              <w:t>這包括</w:t>
            </w:r>
            <w:r w:rsidRPr="005A22C2">
              <w:rPr>
                <w:rFonts w:eastAsia="新細明體" w:cs="Segoe UI"/>
                <w:sz w:val="17"/>
                <w:szCs w:val="17"/>
                <w:lang w:eastAsia="zh-TW"/>
              </w:rPr>
              <w:t xml:space="preserve"> (</w:t>
            </w:r>
            <w:proofErr w:type="spellStart"/>
            <w:r w:rsidRPr="005A22C2">
              <w:rPr>
                <w:rFonts w:eastAsia="新細明體" w:cs="Segoe UI"/>
                <w:sz w:val="17"/>
                <w:szCs w:val="17"/>
                <w:lang w:eastAsia="zh-TW"/>
              </w:rPr>
              <w:t>i</w:t>
            </w:r>
            <w:proofErr w:type="spellEnd"/>
            <w:r w:rsidRPr="005A22C2">
              <w:rPr>
                <w:rFonts w:eastAsia="新細明體" w:cs="Segoe UI"/>
                <w:sz w:val="17"/>
                <w:szCs w:val="17"/>
                <w:lang w:eastAsia="zh-TW"/>
              </w:rPr>
              <w:t xml:space="preserve">) </w:t>
            </w:r>
            <w:r w:rsidRPr="005A22C2">
              <w:rPr>
                <w:rFonts w:eastAsia="新細明體" w:cs="Segoe UI" w:hint="eastAsia"/>
                <w:sz w:val="17"/>
                <w:szCs w:val="17"/>
                <w:lang w:eastAsia="zh-HK"/>
              </w:rPr>
              <w:t>按</w:t>
            </w:r>
            <w:r w:rsidRPr="005A22C2">
              <w:rPr>
                <w:rFonts w:eastAsia="新細明體" w:cs="Segoe UI"/>
                <w:sz w:val="17"/>
                <w:szCs w:val="17"/>
                <w:lang w:eastAsia="zh-TW"/>
              </w:rPr>
              <w:t>公平價值</w:t>
            </w:r>
            <w:r w:rsidRPr="005A22C2">
              <w:rPr>
                <w:rFonts w:eastAsia="新細明體" w:cs="Segoe UI" w:hint="eastAsia"/>
                <w:sz w:val="17"/>
                <w:szCs w:val="17"/>
                <w:lang w:eastAsia="zh-HK"/>
              </w:rPr>
              <w:t>計入</w:t>
            </w:r>
            <w:r w:rsidRPr="005A22C2">
              <w:rPr>
                <w:rFonts w:eastAsia="新細明體" w:cs="Segoe UI"/>
                <w:sz w:val="17"/>
                <w:szCs w:val="17"/>
                <w:lang w:eastAsia="zh-TW"/>
              </w:rPr>
              <w:t>損益表</w:t>
            </w:r>
            <w:r w:rsidRPr="005A22C2">
              <w:rPr>
                <w:rFonts w:eastAsia="新細明體" w:cs="Segoe UI" w:hint="eastAsia"/>
                <w:sz w:val="17"/>
                <w:szCs w:val="17"/>
                <w:lang w:val="en-US" w:eastAsia="zh-HK"/>
              </w:rPr>
              <w:t>的</w:t>
            </w:r>
            <w:r w:rsidRPr="005A22C2">
              <w:rPr>
                <w:rFonts w:eastAsia="新細明體" w:cs="Segoe UI"/>
                <w:sz w:val="17"/>
                <w:szCs w:val="17"/>
                <w:lang w:eastAsia="zh-TW"/>
              </w:rPr>
              <w:t>金融資產及負債</w:t>
            </w:r>
            <w:r w:rsidRPr="005A22C2">
              <w:rPr>
                <w:rFonts w:eastAsia="新細明體" w:cs="Segoe UI" w:hint="eastAsia"/>
                <w:sz w:val="17"/>
                <w:szCs w:val="17"/>
                <w:lang w:eastAsia="zh-HK"/>
              </w:rPr>
              <w:t>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的</w:t>
            </w:r>
            <w:r w:rsidRPr="005A22C2">
              <w:rPr>
                <w:rFonts w:eastAsia="新細明體" w:cs="Segoe UI" w:hint="eastAsia"/>
                <w:sz w:val="17"/>
                <w:szCs w:val="17"/>
                <w:lang w:eastAsia="zh-TW"/>
              </w:rPr>
              <w:t>盈虧相抵；</w:t>
            </w:r>
            <w:r w:rsidRPr="005A22C2">
              <w:rPr>
                <w:rFonts w:eastAsia="新細明體" w:cs="Segoe UI"/>
                <w:sz w:val="17"/>
                <w:szCs w:val="17"/>
                <w:lang w:eastAsia="zh-TW"/>
              </w:rPr>
              <w:t xml:space="preserve">(ii) </w:t>
            </w:r>
            <w:r w:rsidRPr="005A22C2">
              <w:rPr>
                <w:rFonts w:eastAsia="新細明體" w:cs="Segoe UI" w:hint="eastAsia"/>
                <w:sz w:val="17"/>
                <w:szCs w:val="17"/>
                <w:lang w:eastAsia="zh-HK"/>
              </w:rPr>
              <w:t>並非按公平價值計入損益表的金融資產及負債</w:t>
            </w:r>
            <w:r w:rsidR="007C5C29" w:rsidRPr="005A22C2">
              <w:rPr>
                <w:rFonts w:eastAsia="新細明體" w:cs="Segoe UI" w:hint="eastAsia"/>
                <w:sz w:val="17"/>
                <w:szCs w:val="17"/>
                <w:lang w:eastAsia="zh-TW"/>
              </w:rPr>
              <w:t>（</w:t>
            </w:r>
            <w:r w:rsidRPr="005A22C2">
              <w:rPr>
                <w:rFonts w:eastAsia="新細明體" w:cs="Segoe UI" w:hint="eastAsia"/>
                <w:sz w:val="17"/>
                <w:szCs w:val="17"/>
                <w:lang w:eastAsia="zh-HK"/>
              </w:rPr>
              <w:t>貸款及墊款</w:t>
            </w:r>
            <w:r w:rsidRPr="005A22C2">
              <w:rPr>
                <w:rFonts w:eastAsia="新細明體" w:cs="Segoe UI" w:hint="eastAsia"/>
                <w:sz w:val="17"/>
                <w:szCs w:val="17"/>
                <w:lang w:eastAsia="zh-TW"/>
              </w:rPr>
              <w:t>、</w:t>
            </w:r>
            <w:r w:rsidRPr="005A22C2">
              <w:rPr>
                <w:rFonts w:eastAsia="新細明體" w:cs="Segoe UI" w:hint="eastAsia"/>
                <w:sz w:val="17"/>
                <w:szCs w:val="17"/>
                <w:lang w:eastAsia="zh-HK"/>
              </w:rPr>
              <w:t>可供出售資產</w:t>
            </w:r>
            <w:r w:rsidRPr="005A22C2">
              <w:rPr>
                <w:rFonts w:eastAsia="新細明體" w:cs="Segoe UI" w:hint="eastAsia"/>
                <w:sz w:val="17"/>
                <w:szCs w:val="17"/>
                <w:lang w:eastAsia="zh-TW"/>
              </w:rPr>
              <w:t>、</w:t>
            </w:r>
            <w:r w:rsidRPr="005A22C2">
              <w:rPr>
                <w:rFonts w:eastAsia="新細明體" w:cs="Segoe UI" w:hint="eastAsia"/>
                <w:sz w:val="17"/>
                <w:szCs w:val="17"/>
                <w:lang w:eastAsia="zh-HK"/>
              </w:rPr>
              <w:t>持有至期滿資產</w:t>
            </w:r>
            <w:r w:rsidRPr="005A22C2">
              <w:rPr>
                <w:rFonts w:eastAsia="新細明體" w:cs="Segoe UI" w:hint="eastAsia"/>
                <w:sz w:val="17"/>
                <w:szCs w:val="17"/>
                <w:lang w:eastAsia="zh-TW"/>
              </w:rPr>
              <w:t>、</w:t>
            </w:r>
            <w:r w:rsidRPr="005A22C2">
              <w:rPr>
                <w:rFonts w:eastAsia="新細明體" w:cs="Segoe UI" w:hint="eastAsia"/>
                <w:sz w:val="17"/>
                <w:szCs w:val="17"/>
                <w:lang w:eastAsia="zh-HK"/>
              </w:rPr>
              <w:t>按</w:t>
            </w:r>
            <w:r w:rsidRPr="005A22C2">
              <w:rPr>
                <w:rFonts w:eastAsia="新細明體" w:cs="Segoe UI"/>
                <w:sz w:val="17"/>
                <w:szCs w:val="17"/>
                <w:lang w:eastAsia="zh-HK"/>
              </w:rPr>
              <w:t>攤銷成本</w:t>
            </w:r>
            <w:r w:rsidRPr="005A22C2">
              <w:rPr>
                <w:rFonts w:eastAsia="新細明體" w:cs="Segoe UI" w:hint="eastAsia"/>
                <w:sz w:val="17"/>
                <w:szCs w:val="17"/>
                <w:lang w:eastAsia="zh-HK"/>
              </w:rPr>
              <w:t>值計量的金融負債</w:t>
            </w:r>
            <w:r w:rsidRPr="005A22C2">
              <w:rPr>
                <w:rFonts w:ascii="新細明體" w:eastAsia="新細明體" w:hAnsi="新細明體" w:cs="Segoe UI" w:hint="eastAsia"/>
                <w:sz w:val="17"/>
                <w:szCs w:val="17"/>
                <w:lang w:eastAsia="zh-TW"/>
              </w:rPr>
              <w:t>）</w:t>
            </w:r>
            <w:r w:rsidR="007C5C29" w:rsidRPr="005A22C2">
              <w:rPr>
                <w:rFonts w:ascii="新細明體" w:eastAsia="新細明體" w:hAnsi="新細明體" w:cs="Segoe UI" w:hint="eastAsia"/>
                <w:sz w:val="17"/>
                <w:szCs w:val="17"/>
                <w:lang w:eastAsia="zh-HK"/>
              </w:rPr>
              <w:t>引起</w:t>
            </w:r>
            <w:r w:rsidR="007C5C29" w:rsidRPr="005A22C2">
              <w:rPr>
                <w:rFonts w:eastAsia="新細明體" w:cs="Segoe UI" w:hint="eastAsia"/>
                <w:sz w:val="17"/>
                <w:szCs w:val="17"/>
                <w:lang w:eastAsia="zh-HK"/>
              </w:rPr>
              <w:t>的</w:t>
            </w:r>
            <w:r w:rsidR="002D0367" w:rsidRPr="005A22C2">
              <w:rPr>
                <w:rFonts w:eastAsia="新細明體" w:cs="Segoe UI" w:hint="eastAsia"/>
                <w:sz w:val="17"/>
                <w:szCs w:val="17"/>
                <w:lang w:eastAsia="zh-HK"/>
              </w:rPr>
              <w:t>已實現</w:t>
            </w:r>
            <w:r w:rsidR="007C5C29" w:rsidRPr="005A22C2">
              <w:rPr>
                <w:rFonts w:eastAsia="新細明體" w:cs="Segoe UI" w:hint="eastAsia"/>
                <w:sz w:val="17"/>
                <w:szCs w:val="17"/>
                <w:lang w:eastAsia="zh-HK"/>
              </w:rPr>
              <w:t>盈虧相</w:t>
            </w:r>
            <w:r w:rsidR="007C5C29" w:rsidRPr="005A22C2">
              <w:rPr>
                <w:rFonts w:eastAsia="新細明體" w:cs="Segoe UI" w:hint="eastAsia"/>
                <w:sz w:val="17"/>
                <w:szCs w:val="17"/>
                <w:lang w:eastAsia="zh-TW"/>
              </w:rPr>
              <w:t>抵</w:t>
            </w:r>
            <w:r w:rsidRPr="005A22C2">
              <w:rPr>
                <w:rFonts w:eastAsia="新細明體" w:cs="Segoe UI" w:hint="eastAsia"/>
                <w:sz w:val="17"/>
                <w:szCs w:val="17"/>
                <w:lang w:eastAsia="zh-TW"/>
              </w:rPr>
              <w:t>；</w:t>
            </w:r>
            <w:r w:rsidRPr="005A22C2">
              <w:rPr>
                <w:rFonts w:eastAsia="新細明體" w:cs="Segoe UI"/>
                <w:sz w:val="17"/>
                <w:szCs w:val="17"/>
                <w:lang w:eastAsia="zh-TW"/>
              </w:rPr>
              <w:t xml:space="preserve">(iii) </w:t>
            </w:r>
            <w:r w:rsidRPr="005A22C2">
              <w:rPr>
                <w:rFonts w:eastAsia="新細明體" w:cs="Segoe UI" w:hint="eastAsia"/>
                <w:sz w:val="17"/>
                <w:szCs w:val="17"/>
                <w:lang w:eastAsia="zh-HK"/>
              </w:rPr>
              <w:t>對沖會計引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的盈虧相</w:t>
            </w:r>
            <w:r w:rsidRPr="005A22C2">
              <w:rPr>
                <w:rFonts w:eastAsia="新細明體" w:cs="Segoe UI" w:hint="eastAsia"/>
                <w:sz w:val="17"/>
                <w:szCs w:val="17"/>
                <w:lang w:eastAsia="zh-TW"/>
              </w:rPr>
              <w:t>抵；</w:t>
            </w:r>
            <w:r w:rsidRPr="005A22C2">
              <w:rPr>
                <w:rFonts w:eastAsia="新細明體" w:cs="Segoe UI" w:hint="eastAsia"/>
                <w:sz w:val="17"/>
                <w:szCs w:val="17"/>
                <w:lang w:eastAsia="zh-HK"/>
              </w:rPr>
              <w:t>以及</w:t>
            </w:r>
            <w:r w:rsidRPr="005A22C2">
              <w:rPr>
                <w:rFonts w:eastAsia="新細明體" w:cs="Segoe UI"/>
                <w:sz w:val="17"/>
                <w:szCs w:val="17"/>
                <w:lang w:eastAsia="zh-TW"/>
              </w:rPr>
              <w:t xml:space="preserve">(iv) </w:t>
            </w:r>
            <w:r w:rsidRPr="005A22C2">
              <w:rPr>
                <w:rFonts w:eastAsia="新細明體" w:cs="Segoe UI" w:hint="eastAsia"/>
                <w:sz w:val="17"/>
                <w:szCs w:val="17"/>
                <w:lang w:eastAsia="zh-HK"/>
              </w:rPr>
              <w:t>匯兌差額引</w:t>
            </w:r>
            <w:r w:rsidRPr="005A22C2">
              <w:rPr>
                <w:rFonts w:eastAsia="新細明體" w:cs="Segoe UI" w:hint="eastAsia"/>
                <w:sz w:val="17"/>
                <w:szCs w:val="17"/>
                <w:lang w:eastAsia="zh-TW"/>
              </w:rPr>
              <w:t>起</w:t>
            </w:r>
            <w:r w:rsidRPr="005A22C2">
              <w:rPr>
                <w:rFonts w:eastAsia="新細明體" w:cs="Segoe UI" w:hint="eastAsia"/>
                <w:sz w:val="17"/>
                <w:szCs w:val="17"/>
                <w:lang w:eastAsia="zh-HK"/>
              </w:rPr>
              <w:t>的盈虧相</w:t>
            </w:r>
            <w:r w:rsidRPr="005A22C2">
              <w:rPr>
                <w:rFonts w:eastAsia="新細明體" w:cs="Segoe UI" w:hint="eastAsia"/>
                <w:sz w:val="17"/>
                <w:szCs w:val="17"/>
                <w:lang w:eastAsia="zh-TW"/>
              </w:rPr>
              <w:t>抵。</w:t>
            </w:r>
          </w:p>
        </w:tc>
      </w:tr>
      <w:tr w:rsidR="005A22C2" w:rsidRPr="005A22C2" w14:paraId="198A0EFB" w14:textId="77777777" w:rsidTr="00723A77">
        <w:trPr>
          <w:trHeight w:val="373"/>
        </w:trPr>
        <w:tc>
          <w:tcPr>
            <w:tcW w:w="596" w:type="dxa"/>
          </w:tcPr>
          <w:p w14:paraId="5B96A970"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4</w:t>
            </w:r>
          </w:p>
        </w:tc>
        <w:tc>
          <w:tcPr>
            <w:tcW w:w="8477" w:type="dxa"/>
          </w:tcPr>
          <w:p w14:paraId="3DEF1F21" w14:textId="77777777" w:rsidR="004F62C3" w:rsidRPr="005A22C2" w:rsidRDefault="004F62C3" w:rsidP="009C54A9">
            <w:pPr>
              <w:keepNext/>
              <w:spacing w:before="40" w:after="40"/>
              <w:jc w:val="both"/>
              <w:rPr>
                <w:rFonts w:eastAsia="新細明體" w:cs="Segoe UI"/>
                <w:sz w:val="17"/>
                <w:szCs w:val="17"/>
                <w:lang w:eastAsia="zh-TW"/>
              </w:rPr>
            </w:pPr>
            <w:r w:rsidRPr="005A22C2">
              <w:rPr>
                <w:rFonts w:eastAsia="新細明體" w:cs="Segoe UI"/>
                <w:sz w:val="17"/>
                <w:szCs w:val="17"/>
                <w:lang w:eastAsia="zh-TW"/>
              </w:rPr>
              <w:t>BI</w:t>
            </w:r>
            <w:r w:rsidRPr="005A22C2">
              <w:rPr>
                <w:rFonts w:eastAsia="新細明體" w:cs="Segoe UI" w:hint="eastAsia"/>
                <w:sz w:val="17"/>
                <w:szCs w:val="17"/>
                <w:lang w:eastAsia="zh-HK"/>
              </w:rPr>
              <w:t>是</w:t>
            </w:r>
            <w:r w:rsidRPr="005A22C2">
              <w:rPr>
                <w:rFonts w:eastAsia="新細明體" w:cs="Segoe UI" w:hint="eastAsia"/>
                <w:sz w:val="17"/>
                <w:szCs w:val="17"/>
                <w:lang w:eastAsia="zh-TW"/>
              </w:rPr>
              <w:t>3</w:t>
            </w:r>
            <w:proofErr w:type="gramStart"/>
            <w:r w:rsidRPr="005A22C2">
              <w:rPr>
                <w:rFonts w:eastAsia="新細明體" w:cs="Segoe UI" w:hint="eastAsia"/>
                <w:sz w:val="17"/>
                <w:szCs w:val="17"/>
                <w:lang w:eastAsia="zh-HK"/>
              </w:rPr>
              <w:t>個組成部分</w:t>
            </w:r>
            <w:r w:rsidRPr="005A22C2">
              <w:rPr>
                <w:rFonts w:eastAsia="新細明體" w:cs="Segoe UI" w:hint="eastAsia"/>
                <w:sz w:val="17"/>
                <w:szCs w:val="17"/>
                <w:lang w:eastAsia="zh-TW"/>
              </w:rPr>
              <w:t>(</w:t>
            </w:r>
            <w:proofErr w:type="gramEnd"/>
            <w:r w:rsidRPr="005A22C2">
              <w:rPr>
                <w:rFonts w:eastAsia="新細明體" w:cs="Segoe UI"/>
                <w:sz w:val="17"/>
                <w:szCs w:val="17"/>
                <w:lang w:eastAsia="zh-TW"/>
              </w:rPr>
              <w:t>ILDC</w:t>
            </w:r>
            <w:r w:rsidRPr="005A22C2">
              <w:rPr>
                <w:rFonts w:eastAsia="新細明體" w:cs="Segoe UI" w:hint="eastAsia"/>
                <w:sz w:val="17"/>
                <w:szCs w:val="17"/>
                <w:lang w:eastAsia="zh-TW"/>
              </w:rPr>
              <w:t>、</w:t>
            </w:r>
            <w:r w:rsidRPr="005A22C2">
              <w:rPr>
                <w:rFonts w:eastAsia="新細明體" w:cs="Segoe UI"/>
                <w:sz w:val="17"/>
                <w:szCs w:val="17"/>
                <w:lang w:eastAsia="zh-TW"/>
              </w:rPr>
              <w:t>SC</w:t>
            </w:r>
            <w:r w:rsidRPr="005A22C2">
              <w:rPr>
                <w:rFonts w:eastAsia="新細明體" w:cs="Segoe UI" w:hint="eastAsia"/>
                <w:sz w:val="17"/>
                <w:szCs w:val="17"/>
                <w:lang w:eastAsia="zh-HK"/>
              </w:rPr>
              <w:t>及</w:t>
            </w:r>
            <w:r w:rsidRPr="005A22C2">
              <w:rPr>
                <w:rFonts w:eastAsia="新細明體" w:cs="Segoe UI"/>
                <w:sz w:val="17"/>
                <w:szCs w:val="17"/>
                <w:lang w:eastAsia="zh-TW"/>
              </w:rPr>
              <w:t>FC</w:t>
            </w:r>
            <w:r w:rsidRPr="005A22C2">
              <w:rPr>
                <w:rFonts w:eastAsia="新細明體" w:cs="Segoe UI" w:hint="eastAsia"/>
                <w:sz w:val="17"/>
                <w:szCs w:val="17"/>
                <w:lang w:eastAsia="zh-TW"/>
              </w:rPr>
              <w:t>)</w:t>
            </w:r>
            <w:r w:rsidRPr="005A22C2">
              <w:rPr>
                <w:rFonts w:eastAsia="新細明體" w:cs="Segoe UI" w:hint="eastAsia"/>
                <w:sz w:val="17"/>
                <w:szCs w:val="17"/>
                <w:lang w:eastAsia="zh-HK"/>
              </w:rPr>
              <w:t>的總和</w:t>
            </w:r>
            <w:r w:rsidRPr="005A22C2">
              <w:rPr>
                <w:rFonts w:eastAsia="新細明體" w:cs="Segoe UI" w:hint="eastAsia"/>
                <w:sz w:val="17"/>
                <w:szCs w:val="17"/>
                <w:lang w:eastAsia="zh-TW"/>
              </w:rPr>
              <w:t>（</w:t>
            </w:r>
            <w:r w:rsidRPr="005A22C2">
              <w:rPr>
                <w:rFonts w:eastAsia="新細明體" w:cs="Segoe UI" w:hint="eastAsia"/>
                <w:sz w:val="17"/>
                <w:szCs w:val="17"/>
                <w:lang w:eastAsia="zh-HK"/>
              </w:rPr>
              <w:t>即第</w:t>
            </w:r>
            <w:r w:rsidRPr="005A22C2">
              <w:rPr>
                <w:rFonts w:eastAsia="新細明體" w:cs="Segoe UI"/>
                <w:sz w:val="17"/>
                <w:szCs w:val="17"/>
                <w:lang w:eastAsia="zh-TW"/>
              </w:rPr>
              <w:t>1</w:t>
            </w:r>
            <w:r w:rsidRPr="005A22C2">
              <w:rPr>
                <w:rFonts w:eastAsia="新細明體" w:cs="Segoe UI" w:hint="eastAsia"/>
                <w:sz w:val="17"/>
                <w:szCs w:val="17"/>
                <w:lang w:eastAsia="zh-TW"/>
              </w:rPr>
              <w:t>、</w:t>
            </w:r>
            <w:r w:rsidRPr="005A22C2">
              <w:rPr>
                <w:rFonts w:eastAsia="新細明體" w:cs="Segoe UI"/>
                <w:sz w:val="17"/>
                <w:szCs w:val="17"/>
                <w:lang w:eastAsia="zh-TW"/>
              </w:rPr>
              <w:t>2</w:t>
            </w:r>
            <w:r w:rsidRPr="005A22C2">
              <w:rPr>
                <w:rFonts w:eastAsia="新細明體" w:cs="Segoe UI" w:hint="eastAsia"/>
                <w:sz w:val="17"/>
                <w:szCs w:val="17"/>
                <w:lang w:eastAsia="zh-HK"/>
              </w:rPr>
              <w:t>及</w:t>
            </w:r>
            <w:r w:rsidRPr="005A22C2">
              <w:rPr>
                <w:rFonts w:eastAsia="新細明體" w:cs="Segoe UI"/>
                <w:sz w:val="17"/>
                <w:szCs w:val="17"/>
                <w:lang w:eastAsia="zh-TW"/>
              </w:rPr>
              <w:t>3</w:t>
            </w:r>
            <w:r w:rsidRPr="005A22C2">
              <w:rPr>
                <w:rFonts w:eastAsia="新細明體" w:cs="Segoe UI" w:hint="eastAsia"/>
                <w:sz w:val="17"/>
                <w:szCs w:val="17"/>
                <w:lang w:eastAsia="zh-HK"/>
              </w:rPr>
              <w:t>行的值的總和</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TW"/>
              </w:rPr>
              <w:t>。</w:t>
            </w:r>
          </w:p>
        </w:tc>
      </w:tr>
      <w:tr w:rsidR="005A22C2" w:rsidRPr="005A22C2" w14:paraId="60C9C625" w14:textId="77777777" w:rsidTr="00723A77">
        <w:trPr>
          <w:trHeight w:val="373"/>
        </w:trPr>
        <w:tc>
          <w:tcPr>
            <w:tcW w:w="596" w:type="dxa"/>
          </w:tcPr>
          <w:p w14:paraId="606D6C6D"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lang w:eastAsia="en-GB"/>
              </w:rPr>
            </w:pPr>
            <w:r w:rsidRPr="005A22C2">
              <w:rPr>
                <w:rFonts w:eastAsia="新細明體" w:cs="Segoe UI"/>
                <w:sz w:val="17"/>
                <w:szCs w:val="17"/>
                <w:lang w:eastAsia="en-GB"/>
              </w:rPr>
              <w:t>5</w:t>
            </w:r>
          </w:p>
        </w:tc>
        <w:tc>
          <w:tcPr>
            <w:tcW w:w="8477" w:type="dxa"/>
          </w:tcPr>
          <w:p w14:paraId="60E5891B" w14:textId="3A054A5F" w:rsidR="004F62C3" w:rsidRPr="005A22C2" w:rsidRDefault="004F62C3" w:rsidP="009C54A9">
            <w:pPr>
              <w:keepNext/>
              <w:spacing w:before="40" w:after="40"/>
              <w:jc w:val="both"/>
              <w:rPr>
                <w:rFonts w:eastAsia="新細明體" w:cs="Segoe UI"/>
                <w:sz w:val="17"/>
                <w:szCs w:val="17"/>
                <w:lang w:eastAsia="zh-TW"/>
              </w:rPr>
            </w:pPr>
            <w:r w:rsidRPr="005A22C2">
              <w:rPr>
                <w:rFonts w:eastAsia="新細明體" w:cs="Segoe UI"/>
                <w:sz w:val="17"/>
                <w:szCs w:val="17"/>
                <w:lang w:eastAsia="zh-TW"/>
              </w:rPr>
              <w:t>BIC</w:t>
            </w:r>
            <w:r w:rsidRPr="005A22C2">
              <w:rPr>
                <w:rFonts w:eastAsia="新細明體" w:cs="Segoe UI" w:hint="eastAsia"/>
                <w:sz w:val="17"/>
                <w:szCs w:val="17"/>
                <w:lang w:eastAsia="zh-HK"/>
              </w:rPr>
              <w:t>是將</w:t>
            </w:r>
            <w:r w:rsidRPr="005A22C2">
              <w:rPr>
                <w:rFonts w:eastAsia="新細明體" w:cs="Segoe UI"/>
                <w:sz w:val="17"/>
                <w:szCs w:val="17"/>
                <w:lang w:eastAsia="zh-TW"/>
              </w:rPr>
              <w:t>BI</w:t>
            </w:r>
            <w:r w:rsidR="007C5C29" w:rsidRPr="005A22C2">
              <w:rPr>
                <w:rFonts w:eastAsia="新細明體" w:cs="Segoe UI" w:hint="eastAsia"/>
                <w:sz w:val="17"/>
                <w:szCs w:val="17"/>
                <w:lang w:eastAsia="zh-HK"/>
              </w:rPr>
              <w:t>乘以一套</w:t>
            </w:r>
            <w:r w:rsidRPr="005A22C2">
              <w:rPr>
                <w:rFonts w:eastAsia="新細明體" w:cs="Segoe UI" w:hint="eastAsia"/>
                <w:sz w:val="17"/>
                <w:szCs w:val="17"/>
                <w:lang w:eastAsia="zh-HK"/>
              </w:rPr>
              <w:t>《資本規則》第</w:t>
            </w:r>
            <w:r w:rsidRPr="005A22C2">
              <w:rPr>
                <w:rFonts w:eastAsia="新細明體" w:cs="Segoe UI"/>
                <w:sz w:val="17"/>
                <w:szCs w:val="17"/>
                <w:lang w:eastAsia="zh-HK"/>
              </w:rPr>
              <w:t>9</w:t>
            </w:r>
            <w:r w:rsidRPr="005A22C2">
              <w:rPr>
                <w:rFonts w:eastAsia="新細明體" w:cs="Segoe UI" w:hint="eastAsia"/>
                <w:sz w:val="17"/>
                <w:szCs w:val="17"/>
                <w:lang w:eastAsia="zh-HK"/>
              </w:rPr>
              <w:t>部</w:t>
            </w:r>
            <w:r w:rsidR="007C5C29" w:rsidRPr="005A22C2">
              <w:rPr>
                <w:rFonts w:ascii="新細明體" w:eastAsia="新細明體" w:hAnsi="新細明體" w:cs="Segoe UI" w:hint="eastAsia"/>
                <w:sz w:val="17"/>
                <w:szCs w:val="17"/>
                <w:lang w:eastAsia="zh-HK"/>
              </w:rPr>
              <w:t>所載的</w:t>
            </w:r>
            <w:r w:rsidRPr="005A22C2">
              <w:rPr>
                <w:rFonts w:eastAsia="新細明體" w:cs="Segoe UI" w:hint="eastAsia"/>
                <w:sz w:val="17"/>
                <w:szCs w:val="17"/>
                <w:lang w:eastAsia="zh-HK"/>
              </w:rPr>
              <w:t>監管斷定邊際系數計算所得</w:t>
            </w:r>
            <w:r w:rsidRPr="005A22C2">
              <w:rPr>
                <w:rFonts w:eastAsia="新細明體" w:cs="Segoe UI" w:hint="eastAsia"/>
                <w:sz w:val="17"/>
                <w:szCs w:val="17"/>
                <w:lang w:eastAsia="zh-TW"/>
              </w:rPr>
              <w:t>。</w:t>
            </w:r>
            <w:r w:rsidRPr="005A22C2">
              <w:rPr>
                <w:rFonts w:eastAsia="新細明體" w:cs="Segoe UI" w:hint="eastAsia"/>
                <w:sz w:val="17"/>
                <w:szCs w:val="17"/>
                <w:lang w:eastAsia="zh-HK"/>
              </w:rPr>
              <w:t>邊際系數會隨</w:t>
            </w:r>
            <w:r w:rsidRPr="005A22C2">
              <w:rPr>
                <w:rFonts w:eastAsia="新細明體" w:cs="Segoe UI" w:hint="eastAsia"/>
                <w:sz w:val="17"/>
                <w:szCs w:val="17"/>
                <w:lang w:eastAsia="zh-TW"/>
              </w:rPr>
              <w:t>BI</w:t>
            </w:r>
            <w:r w:rsidRPr="005A22C2">
              <w:rPr>
                <w:rFonts w:eastAsia="新細明體" w:cs="Segoe UI" w:hint="eastAsia"/>
                <w:sz w:val="17"/>
                <w:szCs w:val="17"/>
                <w:lang w:eastAsia="zh-HK"/>
              </w:rPr>
              <w:t>規模變大</w:t>
            </w:r>
            <w:r w:rsidRPr="005A22C2">
              <w:rPr>
                <w:rFonts w:eastAsia="新細明體" w:cs="Segoe UI"/>
                <w:sz w:val="17"/>
                <w:szCs w:val="17"/>
                <w:lang w:eastAsia="zh-TW"/>
              </w:rPr>
              <w:t>：</w:t>
            </w:r>
            <w:r w:rsidRPr="005A22C2">
              <w:rPr>
                <w:rFonts w:eastAsia="新細明體" w:cs="Segoe UI"/>
                <w:sz w:val="17"/>
                <w:szCs w:val="17"/>
                <w:lang w:eastAsia="zh-TW"/>
              </w:rPr>
              <w:t xml:space="preserve"> BI ≤ </w:t>
            </w:r>
            <w:r w:rsidRPr="005A22C2">
              <w:rPr>
                <w:rFonts w:eastAsia="新細明體" w:cs="Segoe UI" w:hint="eastAsia"/>
                <w:sz w:val="17"/>
                <w:szCs w:val="17"/>
                <w:lang w:eastAsia="zh-TW"/>
              </w:rPr>
              <w:t>100</w:t>
            </w:r>
            <w:r w:rsidRPr="005A22C2">
              <w:rPr>
                <w:rFonts w:eastAsia="新細明體" w:cs="Segoe UI" w:hint="eastAsia"/>
                <w:sz w:val="17"/>
                <w:szCs w:val="17"/>
                <w:lang w:eastAsia="zh-HK"/>
              </w:rPr>
              <w:t>億港元是</w:t>
            </w:r>
            <w:r w:rsidRPr="005A22C2">
              <w:rPr>
                <w:rFonts w:eastAsia="新細明體" w:cs="Segoe UI"/>
                <w:sz w:val="17"/>
                <w:szCs w:val="17"/>
                <w:lang w:eastAsia="zh-TW"/>
              </w:rPr>
              <w:t>12%</w:t>
            </w:r>
            <w:r w:rsidRPr="005A22C2">
              <w:rPr>
                <w:rFonts w:eastAsia="新細明體" w:cs="Segoe UI" w:hint="eastAsia"/>
                <w:sz w:val="17"/>
                <w:szCs w:val="17"/>
                <w:lang w:eastAsia="zh-TW"/>
              </w:rPr>
              <w:t>；</w:t>
            </w:r>
            <w:r w:rsidRPr="005A22C2">
              <w:rPr>
                <w:rFonts w:eastAsia="新細明體" w:cs="Segoe UI" w:hint="eastAsia"/>
                <w:sz w:val="17"/>
                <w:szCs w:val="17"/>
                <w:lang w:eastAsia="zh-TW"/>
              </w:rPr>
              <w:t>100</w:t>
            </w:r>
            <w:r w:rsidRPr="005A22C2">
              <w:rPr>
                <w:rFonts w:eastAsia="新細明體" w:cs="Segoe UI" w:hint="eastAsia"/>
                <w:sz w:val="17"/>
                <w:szCs w:val="17"/>
                <w:lang w:eastAsia="zh-HK"/>
              </w:rPr>
              <w:t>億港元</w:t>
            </w:r>
            <w:r w:rsidRPr="005A22C2">
              <w:rPr>
                <w:rFonts w:eastAsia="新細明體" w:cs="Segoe UI"/>
                <w:sz w:val="17"/>
                <w:szCs w:val="17"/>
                <w:lang w:eastAsia="zh-TW"/>
              </w:rPr>
              <w:t>&lt; BI ≤ 3</w:t>
            </w:r>
            <w:r w:rsidRPr="005A22C2">
              <w:rPr>
                <w:rFonts w:eastAsia="新細明體" w:cs="Segoe UI" w:hint="eastAsia"/>
                <w:sz w:val="17"/>
                <w:szCs w:val="17"/>
                <w:lang w:eastAsia="zh-TW"/>
              </w:rPr>
              <w:t>,</w:t>
            </w:r>
            <w:r w:rsidRPr="005A22C2">
              <w:rPr>
                <w:rFonts w:eastAsia="新細明體" w:cs="Segoe UI"/>
                <w:sz w:val="17"/>
                <w:szCs w:val="17"/>
                <w:lang w:eastAsia="zh-TW"/>
              </w:rPr>
              <w:t>00</w:t>
            </w:r>
            <w:r w:rsidRPr="005A22C2">
              <w:rPr>
                <w:rFonts w:eastAsia="新細明體" w:cs="Segoe UI" w:hint="eastAsia"/>
                <w:sz w:val="17"/>
                <w:szCs w:val="17"/>
                <w:lang w:eastAsia="zh-TW"/>
              </w:rPr>
              <w:t>0</w:t>
            </w:r>
            <w:r w:rsidRPr="005A22C2">
              <w:rPr>
                <w:rFonts w:eastAsia="新細明體" w:cs="Segoe UI" w:hint="eastAsia"/>
                <w:sz w:val="17"/>
                <w:szCs w:val="17"/>
                <w:lang w:eastAsia="zh-HK"/>
              </w:rPr>
              <w:t>億港元是</w:t>
            </w:r>
            <w:r w:rsidRPr="005A22C2">
              <w:rPr>
                <w:rFonts w:eastAsia="新細明體" w:cs="Segoe UI" w:hint="eastAsia"/>
                <w:sz w:val="17"/>
                <w:szCs w:val="17"/>
                <w:lang w:eastAsia="zh-TW"/>
              </w:rPr>
              <w:t>15%</w:t>
            </w:r>
            <w:r w:rsidRPr="005A22C2">
              <w:rPr>
                <w:rFonts w:eastAsia="新細明體" w:cs="Segoe UI" w:hint="eastAsia"/>
                <w:sz w:val="17"/>
                <w:szCs w:val="17"/>
                <w:lang w:eastAsia="zh-TW"/>
              </w:rPr>
              <w:t>；</w:t>
            </w:r>
            <w:r w:rsidRPr="005A22C2">
              <w:rPr>
                <w:rFonts w:eastAsia="新細明體" w:cs="Segoe UI" w:hint="eastAsia"/>
                <w:sz w:val="17"/>
                <w:szCs w:val="17"/>
                <w:lang w:eastAsia="zh-HK"/>
              </w:rPr>
              <w:t>及</w:t>
            </w:r>
            <w:r w:rsidR="007C5C29" w:rsidRPr="005A22C2">
              <w:rPr>
                <w:rFonts w:eastAsia="新細明體" w:cs="Segoe UI"/>
                <w:sz w:val="17"/>
                <w:szCs w:val="17"/>
                <w:lang w:eastAsia="zh-TW"/>
              </w:rPr>
              <w:t xml:space="preserve">BI &gt; </w:t>
            </w:r>
            <w:r w:rsidRPr="005A22C2">
              <w:rPr>
                <w:rFonts w:eastAsia="新細明體" w:cs="Segoe UI"/>
                <w:sz w:val="17"/>
                <w:szCs w:val="17"/>
                <w:lang w:eastAsia="zh-TW"/>
              </w:rPr>
              <w:t>3</w:t>
            </w:r>
            <w:r w:rsidRPr="005A22C2">
              <w:rPr>
                <w:rFonts w:eastAsia="新細明體" w:cs="Segoe UI" w:hint="eastAsia"/>
                <w:sz w:val="17"/>
                <w:szCs w:val="17"/>
                <w:lang w:eastAsia="zh-TW"/>
              </w:rPr>
              <w:t>,</w:t>
            </w:r>
            <w:r w:rsidRPr="005A22C2">
              <w:rPr>
                <w:rFonts w:eastAsia="新細明體" w:cs="Segoe UI"/>
                <w:sz w:val="17"/>
                <w:szCs w:val="17"/>
                <w:lang w:eastAsia="zh-TW"/>
              </w:rPr>
              <w:t>00</w:t>
            </w:r>
            <w:r w:rsidRPr="005A22C2">
              <w:rPr>
                <w:rFonts w:eastAsia="新細明體" w:cs="Segoe UI" w:hint="eastAsia"/>
                <w:sz w:val="17"/>
                <w:szCs w:val="17"/>
                <w:lang w:eastAsia="zh-TW"/>
              </w:rPr>
              <w:t>0</w:t>
            </w:r>
            <w:r w:rsidRPr="005A22C2">
              <w:rPr>
                <w:rFonts w:eastAsia="新細明體" w:cs="Segoe UI" w:hint="eastAsia"/>
                <w:sz w:val="17"/>
                <w:szCs w:val="17"/>
                <w:lang w:eastAsia="zh-HK"/>
              </w:rPr>
              <w:t>億港元是</w:t>
            </w:r>
            <w:r w:rsidRPr="005A22C2">
              <w:rPr>
                <w:rFonts w:eastAsia="新細明體" w:cs="Segoe UI" w:hint="eastAsia"/>
                <w:sz w:val="17"/>
                <w:szCs w:val="17"/>
                <w:lang w:eastAsia="zh-TW"/>
              </w:rPr>
              <w:t>18%</w:t>
            </w:r>
            <w:r w:rsidRPr="005A22C2">
              <w:rPr>
                <w:rFonts w:eastAsia="新細明體" w:cs="Segoe UI" w:hint="eastAsia"/>
                <w:sz w:val="17"/>
                <w:szCs w:val="17"/>
                <w:lang w:eastAsia="zh-TW"/>
              </w:rPr>
              <w:t>。</w:t>
            </w:r>
            <w:r w:rsidRPr="005A22C2">
              <w:rPr>
                <w:rFonts w:eastAsia="新細明體" w:cs="Segoe UI"/>
                <w:sz w:val="17"/>
                <w:szCs w:val="17"/>
                <w:lang w:eastAsia="zh-TW"/>
              </w:rPr>
              <w:t>[OR2:5/</w:t>
            </w:r>
            <w:proofErr w:type="gramStart"/>
            <w:r w:rsidRPr="005A22C2">
              <w:rPr>
                <w:rFonts w:eastAsia="新細明體" w:cs="Segoe UI"/>
                <w:sz w:val="17"/>
                <w:szCs w:val="17"/>
                <w:lang w:eastAsia="zh-TW"/>
              </w:rPr>
              <w:t>a]</w:t>
            </w:r>
            <w:r w:rsidRPr="005A22C2">
              <w:rPr>
                <w:rFonts w:eastAsia="新細明體" w:cs="Segoe UI" w:hint="eastAsia"/>
                <w:sz w:val="17"/>
                <w:szCs w:val="17"/>
                <w:lang w:eastAsia="zh-HK"/>
              </w:rPr>
              <w:t>的值應相等於</w:t>
            </w:r>
            <w:proofErr w:type="gramEnd"/>
            <w:r w:rsidRPr="005A22C2">
              <w:rPr>
                <w:rFonts w:eastAsia="新細明體" w:cs="Segoe UI"/>
                <w:sz w:val="17"/>
                <w:szCs w:val="17"/>
                <w:lang w:eastAsia="zh-TW"/>
              </w:rPr>
              <w:t>[OR3:1/a]</w:t>
            </w:r>
            <w:r w:rsidRPr="005A22C2">
              <w:rPr>
                <w:rFonts w:eastAsia="新細明體" w:cs="Segoe UI" w:hint="eastAsia"/>
                <w:sz w:val="17"/>
                <w:szCs w:val="17"/>
                <w:lang w:eastAsia="zh-HK"/>
              </w:rPr>
              <w:t>的值</w:t>
            </w:r>
            <w:r w:rsidRPr="005A22C2">
              <w:rPr>
                <w:rFonts w:eastAsia="新細明體" w:cs="Segoe UI" w:hint="eastAsia"/>
                <w:sz w:val="17"/>
                <w:szCs w:val="17"/>
                <w:lang w:eastAsia="zh-TW"/>
              </w:rPr>
              <w:t>。</w:t>
            </w:r>
          </w:p>
        </w:tc>
      </w:tr>
      <w:tr w:rsidR="005A22C2" w:rsidRPr="005A22C2" w14:paraId="5DF3E515" w14:textId="77777777" w:rsidTr="00723A77">
        <w:tc>
          <w:tcPr>
            <w:tcW w:w="9073" w:type="dxa"/>
            <w:gridSpan w:val="2"/>
            <w:shd w:val="clear" w:color="auto" w:fill="F2F2F2"/>
          </w:tcPr>
          <w:p w14:paraId="37C36484" w14:textId="77777777" w:rsidR="004F62C3" w:rsidRPr="005A22C2" w:rsidRDefault="004F62C3" w:rsidP="009C54A9">
            <w:pPr>
              <w:spacing w:before="40" w:after="40"/>
              <w:jc w:val="both"/>
              <w:rPr>
                <w:rFonts w:eastAsia="新細明體" w:cs="Segoe UI"/>
                <w:b/>
                <w:sz w:val="17"/>
                <w:szCs w:val="17"/>
                <w:lang w:eastAsia="zh-TW"/>
              </w:rPr>
            </w:pPr>
            <w:r w:rsidRPr="005A22C2">
              <w:rPr>
                <w:rFonts w:eastAsia="新細明體" w:cs="Segoe UI" w:hint="eastAsia"/>
                <w:b/>
                <w:sz w:val="17"/>
                <w:szCs w:val="17"/>
                <w:lang w:eastAsia="zh-HK"/>
              </w:rPr>
              <w:t>第</w:t>
            </w:r>
            <w:r w:rsidRPr="005A22C2">
              <w:rPr>
                <w:rFonts w:eastAsia="新細明體" w:cs="Segoe UI"/>
                <w:b/>
                <w:sz w:val="17"/>
                <w:szCs w:val="17"/>
                <w:lang w:eastAsia="zh-TW"/>
              </w:rPr>
              <w:t>6a</w:t>
            </w:r>
            <w:r w:rsidRPr="005A22C2">
              <w:rPr>
                <w:rFonts w:eastAsia="新細明體" w:cs="Segoe UI" w:hint="eastAsia"/>
                <w:b/>
                <w:sz w:val="17"/>
                <w:szCs w:val="17"/>
                <w:lang w:eastAsia="zh-HK"/>
              </w:rPr>
              <w:t>及</w:t>
            </w:r>
            <w:r w:rsidRPr="005A22C2">
              <w:rPr>
                <w:rFonts w:eastAsia="新細明體" w:cs="Segoe UI"/>
                <w:b/>
                <w:sz w:val="17"/>
                <w:szCs w:val="17"/>
                <w:lang w:eastAsia="zh-TW"/>
              </w:rPr>
              <w:t>6b</w:t>
            </w:r>
            <w:r w:rsidRPr="005A22C2">
              <w:rPr>
                <w:rFonts w:eastAsia="新細明體" w:cs="Segoe UI" w:hint="eastAsia"/>
                <w:b/>
                <w:sz w:val="17"/>
                <w:szCs w:val="17"/>
                <w:lang w:eastAsia="zh-HK"/>
              </w:rPr>
              <w:t>行關於</w:t>
            </w:r>
            <w:r w:rsidRPr="005A22C2">
              <w:rPr>
                <w:rFonts w:eastAsia="新細明體" w:cs="Segoe UI" w:hint="eastAsia"/>
                <w:b/>
                <w:sz w:val="17"/>
                <w:szCs w:val="17"/>
                <w:lang w:eastAsia="zh-TW"/>
              </w:rPr>
              <w:t>BI</w:t>
            </w:r>
            <w:r w:rsidRPr="005A22C2">
              <w:rPr>
                <w:rFonts w:eastAsia="新細明體" w:cs="Segoe UI" w:hint="eastAsia"/>
                <w:b/>
                <w:sz w:val="17"/>
                <w:szCs w:val="17"/>
                <w:lang w:eastAsia="zh-HK"/>
              </w:rPr>
              <w:t>的披露</w:t>
            </w:r>
            <w:r w:rsidRPr="005A22C2">
              <w:rPr>
                <w:rFonts w:eastAsia="新細明體" w:cs="Segoe UI" w:hint="eastAsia"/>
                <w:b/>
                <w:sz w:val="17"/>
                <w:szCs w:val="17"/>
                <w:lang w:eastAsia="zh-TW"/>
              </w:rPr>
              <w:t>：</w:t>
            </w:r>
            <w:r w:rsidRPr="005A22C2">
              <w:rPr>
                <w:rFonts w:eastAsia="新細明體" w:cs="Segoe UI" w:hint="eastAsia"/>
                <w:sz w:val="17"/>
                <w:szCs w:val="17"/>
                <w:lang w:eastAsia="zh-HK"/>
              </w:rPr>
              <w:t>已獲金融管理專員批准在計算</w:t>
            </w:r>
            <w:r w:rsidRPr="005A22C2">
              <w:rPr>
                <w:rFonts w:eastAsia="新細明體" w:cs="Segoe UI" w:hint="eastAsia"/>
                <w:sz w:val="17"/>
                <w:szCs w:val="17"/>
                <w:lang w:eastAsia="zh-TW"/>
              </w:rPr>
              <w:t>BI</w:t>
            </w:r>
            <w:r w:rsidRPr="005A22C2">
              <w:rPr>
                <w:rFonts w:eastAsia="新細明體" w:cs="Segoe UI" w:hint="eastAsia"/>
                <w:sz w:val="17"/>
                <w:szCs w:val="17"/>
                <w:lang w:eastAsia="zh-HK"/>
              </w:rPr>
              <w:t>時豁除已</w:t>
            </w:r>
            <w:r w:rsidRPr="005A22C2">
              <w:rPr>
                <w:rFonts w:ascii="新細明體" w:eastAsia="新細明體" w:hAnsi="新細明體" w:cs="Segoe UI" w:hint="eastAsia"/>
                <w:kern w:val="2"/>
                <w:sz w:val="17"/>
                <w:szCs w:val="17"/>
                <w:lang w:eastAsia="zh-TW"/>
              </w:rPr>
              <w:t>出售</w:t>
            </w:r>
            <w:r w:rsidRPr="005A22C2">
              <w:rPr>
                <w:rFonts w:ascii="新細明體" w:eastAsia="新細明體" w:hAnsi="新細明體" w:cs="Segoe UI" w:hint="eastAsia"/>
                <w:kern w:val="2"/>
                <w:sz w:val="18"/>
                <w:szCs w:val="18"/>
                <w:lang w:eastAsia="zh-TW"/>
              </w:rPr>
              <w:t>業務及</w:t>
            </w:r>
            <w:r w:rsidRPr="005A22C2">
              <w:rPr>
                <w:rFonts w:eastAsia="新細明體" w:cs="Segoe UI" w:hint="eastAsia"/>
                <w:sz w:val="17"/>
                <w:szCs w:val="17"/>
                <w:lang w:eastAsia="zh-HK"/>
              </w:rPr>
              <w:t>活動的認可機構均須填報</w:t>
            </w:r>
            <w:r w:rsidRPr="005A22C2">
              <w:rPr>
                <w:rFonts w:eastAsia="新細明體" w:cs="Segoe UI" w:hint="eastAsia"/>
                <w:sz w:val="17"/>
                <w:szCs w:val="17"/>
                <w:lang w:eastAsia="zh-TW"/>
              </w:rPr>
              <w:t>。</w:t>
            </w:r>
          </w:p>
        </w:tc>
      </w:tr>
      <w:tr w:rsidR="005A22C2" w:rsidRPr="005A22C2" w14:paraId="7ECEC37F" w14:textId="77777777" w:rsidTr="00723A77">
        <w:tc>
          <w:tcPr>
            <w:tcW w:w="596" w:type="dxa"/>
          </w:tcPr>
          <w:p w14:paraId="70A83B41"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6a</w:t>
            </w:r>
          </w:p>
        </w:tc>
        <w:tc>
          <w:tcPr>
            <w:tcW w:w="8477" w:type="dxa"/>
          </w:tcPr>
          <w:p w14:paraId="00F62AA6" w14:textId="77777777" w:rsidR="004F62C3" w:rsidRPr="005A22C2" w:rsidRDefault="004F62C3"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本行所填報的</w:t>
            </w:r>
            <w:r w:rsidRPr="005A22C2">
              <w:rPr>
                <w:rFonts w:eastAsia="新細明體" w:cs="Segoe UI"/>
                <w:sz w:val="17"/>
                <w:szCs w:val="17"/>
                <w:lang w:eastAsia="zh-TW"/>
              </w:rPr>
              <w:t>BI</w:t>
            </w:r>
            <w:r w:rsidRPr="005A22C2">
              <w:rPr>
                <w:rFonts w:eastAsia="新細明體" w:cs="Segoe UI" w:hint="eastAsia"/>
                <w:sz w:val="17"/>
                <w:szCs w:val="17"/>
                <w:lang w:eastAsia="zh-HK"/>
              </w:rPr>
              <w:t>包括已</w:t>
            </w:r>
            <w:r w:rsidRPr="005A22C2">
              <w:rPr>
                <w:rFonts w:ascii="新細明體" w:eastAsia="新細明體" w:hAnsi="新細明體" w:cs="Segoe UI" w:hint="eastAsia"/>
                <w:kern w:val="2"/>
                <w:sz w:val="17"/>
                <w:szCs w:val="17"/>
                <w:lang w:eastAsia="zh-TW"/>
              </w:rPr>
              <w:t>出售</w:t>
            </w:r>
            <w:r w:rsidRPr="005A22C2">
              <w:rPr>
                <w:rFonts w:ascii="新細明體" w:eastAsia="新細明體" w:hAnsi="新細明體" w:cs="Segoe UI" w:hint="eastAsia"/>
                <w:kern w:val="2"/>
                <w:sz w:val="18"/>
                <w:szCs w:val="18"/>
                <w:lang w:eastAsia="zh-TW"/>
              </w:rPr>
              <w:t>業務及</w:t>
            </w:r>
            <w:r w:rsidRPr="005A22C2">
              <w:rPr>
                <w:rFonts w:eastAsia="新細明體" w:cs="Segoe UI" w:hint="eastAsia"/>
                <w:sz w:val="17"/>
                <w:szCs w:val="17"/>
                <w:lang w:eastAsia="zh-HK"/>
              </w:rPr>
              <w:t>活動</w:t>
            </w:r>
            <w:r w:rsidRPr="005A22C2">
              <w:rPr>
                <w:rFonts w:eastAsia="新細明體" w:cs="Segoe UI" w:hint="eastAsia"/>
                <w:sz w:val="17"/>
                <w:szCs w:val="17"/>
                <w:lang w:eastAsia="zh-TW"/>
              </w:rPr>
              <w:t>。</w:t>
            </w:r>
          </w:p>
        </w:tc>
      </w:tr>
      <w:tr w:rsidR="005A22C2" w:rsidRPr="005A22C2" w14:paraId="5811E31D" w14:textId="77777777" w:rsidTr="00723A77">
        <w:tc>
          <w:tcPr>
            <w:tcW w:w="596" w:type="dxa"/>
          </w:tcPr>
          <w:p w14:paraId="5D2ECAE2" w14:textId="77777777" w:rsidR="004F62C3" w:rsidRPr="005A22C2" w:rsidRDefault="004F62C3" w:rsidP="009C54A9">
            <w:pPr>
              <w:keepLines/>
              <w:widowControl w:val="0"/>
              <w:tabs>
                <w:tab w:val="left" w:pos="150"/>
                <w:tab w:val="left" w:pos="397"/>
                <w:tab w:val="left" w:pos="794"/>
                <w:tab w:val="left" w:pos="1191"/>
              </w:tabs>
              <w:spacing w:before="20" w:after="20"/>
              <w:rPr>
                <w:rFonts w:eastAsia="新細明體" w:cs="Segoe UI"/>
                <w:sz w:val="17"/>
                <w:szCs w:val="17"/>
              </w:rPr>
            </w:pPr>
            <w:r w:rsidRPr="005A22C2">
              <w:rPr>
                <w:rFonts w:eastAsia="新細明體" w:cs="Segoe UI"/>
                <w:sz w:val="17"/>
                <w:szCs w:val="17"/>
              </w:rPr>
              <w:t>6b</w:t>
            </w:r>
          </w:p>
        </w:tc>
        <w:tc>
          <w:tcPr>
            <w:tcW w:w="8477" w:type="dxa"/>
          </w:tcPr>
          <w:p w14:paraId="672A2D1F" w14:textId="2113C86B" w:rsidR="004F62C3" w:rsidRPr="005A22C2" w:rsidRDefault="004F62C3" w:rsidP="009C54A9">
            <w:pPr>
              <w:keepLines/>
              <w:widowControl w:val="0"/>
              <w:tabs>
                <w:tab w:val="left" w:pos="150"/>
                <w:tab w:val="left" w:pos="397"/>
                <w:tab w:val="left" w:pos="794"/>
                <w:tab w:val="left" w:pos="1191"/>
              </w:tabs>
              <w:spacing w:before="20" w:after="20"/>
              <w:jc w:val="both"/>
              <w:rPr>
                <w:rFonts w:eastAsia="新細明體" w:cs="Segoe UI"/>
                <w:sz w:val="17"/>
                <w:szCs w:val="17"/>
                <w:lang w:eastAsia="zh-TW"/>
              </w:rPr>
            </w:pPr>
            <w:r w:rsidRPr="005A22C2">
              <w:rPr>
                <w:rFonts w:eastAsia="新細明體" w:cs="Segoe UI" w:hint="eastAsia"/>
                <w:sz w:val="17"/>
                <w:szCs w:val="17"/>
                <w:lang w:eastAsia="zh-HK"/>
              </w:rPr>
              <w:t>未扣除已</w:t>
            </w:r>
            <w:r w:rsidRPr="005A22C2">
              <w:rPr>
                <w:rFonts w:ascii="新細明體" w:eastAsia="新細明體" w:hAnsi="新細明體" w:cs="Segoe UI" w:hint="eastAsia"/>
                <w:kern w:val="2"/>
                <w:sz w:val="17"/>
                <w:szCs w:val="17"/>
                <w:lang w:eastAsia="zh-TW"/>
              </w:rPr>
              <w:t>出售業務及</w:t>
            </w:r>
            <w:r w:rsidRPr="005A22C2">
              <w:rPr>
                <w:rFonts w:eastAsia="新細明體" w:cs="Segoe UI" w:hint="eastAsia"/>
                <w:sz w:val="17"/>
                <w:szCs w:val="17"/>
                <w:lang w:eastAsia="zh-HK"/>
              </w:rPr>
              <w:t>活動的</w:t>
            </w:r>
            <w:r w:rsidRPr="005A22C2">
              <w:rPr>
                <w:rFonts w:eastAsia="新細明體" w:cs="Segoe UI"/>
                <w:sz w:val="17"/>
                <w:szCs w:val="17"/>
                <w:lang w:eastAsia="zh-TW"/>
              </w:rPr>
              <w:t>BI</w:t>
            </w:r>
            <w:r w:rsidRPr="005A22C2">
              <w:rPr>
                <w:rFonts w:eastAsia="新細明體" w:cs="Segoe UI" w:hint="eastAsia"/>
                <w:sz w:val="17"/>
                <w:lang w:eastAsia="zh-HK"/>
              </w:rPr>
              <w:t>（</w:t>
            </w:r>
            <w:r w:rsidRPr="005A22C2">
              <w:rPr>
                <w:rFonts w:eastAsia="新細明體" w:cs="Segoe UI" w:hint="eastAsia"/>
                <w:sz w:val="17"/>
                <w:szCs w:val="17"/>
                <w:lang w:eastAsia="zh-HK"/>
              </w:rPr>
              <w:t>第</w:t>
            </w:r>
            <w:r w:rsidRPr="005A22C2">
              <w:rPr>
                <w:rFonts w:eastAsia="新細明體" w:cs="Segoe UI"/>
                <w:sz w:val="17"/>
                <w:szCs w:val="17"/>
                <w:lang w:eastAsia="zh-TW"/>
              </w:rPr>
              <w:t>6a</w:t>
            </w:r>
            <w:r w:rsidRPr="005A22C2">
              <w:rPr>
                <w:rFonts w:eastAsia="新細明體" w:cs="Segoe UI" w:hint="eastAsia"/>
                <w:sz w:val="17"/>
                <w:szCs w:val="17"/>
                <w:lang w:eastAsia="zh-HK"/>
              </w:rPr>
              <w:t>行</w:t>
            </w:r>
            <w:r w:rsidRPr="005A22C2">
              <w:rPr>
                <w:rFonts w:ascii="新細明體" w:eastAsia="新細明體" w:hAnsi="新細明體" w:cs="Segoe UI" w:hint="eastAsia"/>
                <w:sz w:val="17"/>
                <w:szCs w:val="17"/>
                <w:lang w:eastAsia="zh-TW"/>
              </w:rPr>
              <w:t>）</w:t>
            </w:r>
            <w:r w:rsidRPr="005A22C2">
              <w:rPr>
                <w:rFonts w:eastAsia="新細明體" w:cs="Segoe UI" w:hint="eastAsia"/>
                <w:sz w:val="17"/>
                <w:szCs w:val="17"/>
                <w:lang w:eastAsia="zh-HK"/>
              </w:rPr>
              <w:t>與已扣除已</w:t>
            </w:r>
            <w:r w:rsidRPr="005A22C2">
              <w:rPr>
                <w:rFonts w:ascii="新細明體" w:eastAsia="新細明體" w:hAnsi="新細明體" w:cs="Segoe UI" w:hint="eastAsia"/>
                <w:kern w:val="2"/>
                <w:sz w:val="17"/>
                <w:szCs w:val="17"/>
                <w:lang w:eastAsia="zh-TW"/>
              </w:rPr>
              <w:t>出售業務及</w:t>
            </w:r>
            <w:r w:rsidRPr="005A22C2">
              <w:rPr>
                <w:rFonts w:eastAsia="新細明體" w:cs="Segoe UI" w:hint="eastAsia"/>
                <w:sz w:val="17"/>
                <w:szCs w:val="17"/>
                <w:lang w:eastAsia="zh-HK"/>
              </w:rPr>
              <w:t>活動的</w:t>
            </w:r>
            <w:r w:rsidRPr="005A22C2">
              <w:rPr>
                <w:rFonts w:eastAsia="新細明體" w:cs="Segoe UI" w:hint="eastAsia"/>
                <w:sz w:val="17"/>
                <w:szCs w:val="17"/>
                <w:lang w:eastAsia="zh-TW"/>
              </w:rPr>
              <w:t>BI</w:t>
            </w:r>
            <w:r w:rsidRPr="005A22C2">
              <w:rPr>
                <w:rFonts w:eastAsia="新細明體" w:cs="Segoe UI" w:hint="eastAsia"/>
                <w:sz w:val="17"/>
                <w:lang w:eastAsia="zh-HK"/>
              </w:rPr>
              <w:t>（</w:t>
            </w:r>
            <w:r w:rsidRPr="005A22C2">
              <w:rPr>
                <w:rFonts w:eastAsia="新細明體" w:cs="Segoe UI" w:hint="eastAsia"/>
                <w:sz w:val="17"/>
                <w:szCs w:val="17"/>
                <w:lang w:eastAsia="zh-HK"/>
              </w:rPr>
              <w:t>第</w:t>
            </w:r>
            <w:r w:rsidRPr="005A22C2">
              <w:rPr>
                <w:rFonts w:eastAsia="新細明體" w:cs="Segoe UI"/>
                <w:sz w:val="17"/>
                <w:szCs w:val="17"/>
                <w:lang w:eastAsia="zh-TW"/>
              </w:rPr>
              <w:t>4</w:t>
            </w:r>
            <w:r w:rsidRPr="005A22C2">
              <w:rPr>
                <w:rFonts w:eastAsia="新細明體" w:cs="Segoe UI" w:hint="eastAsia"/>
                <w:sz w:val="17"/>
                <w:szCs w:val="17"/>
                <w:lang w:eastAsia="zh-HK"/>
              </w:rPr>
              <w:t>行</w:t>
            </w:r>
            <w:r w:rsidRPr="005A22C2">
              <w:rPr>
                <w:rFonts w:ascii="新細明體" w:eastAsia="新細明體" w:hAnsi="新細明體" w:cs="Segoe UI" w:hint="eastAsia"/>
                <w:sz w:val="17"/>
                <w:szCs w:val="17"/>
                <w:lang w:eastAsia="zh-TW"/>
              </w:rPr>
              <w:t>）</w:t>
            </w:r>
            <w:r w:rsidR="007C5C29" w:rsidRPr="005A22C2">
              <w:rPr>
                <w:rFonts w:eastAsia="新細明體" w:cs="Segoe UI" w:hint="eastAsia"/>
                <w:sz w:val="17"/>
                <w:szCs w:val="17"/>
                <w:lang w:eastAsia="zh-HK"/>
              </w:rPr>
              <w:t>之間的差額</w:t>
            </w:r>
            <w:r w:rsidRPr="005A22C2">
              <w:rPr>
                <w:rFonts w:eastAsia="新細明體" w:cs="Segoe UI" w:hint="eastAsia"/>
                <w:sz w:val="17"/>
                <w:szCs w:val="17"/>
                <w:lang w:eastAsia="zh-TW"/>
              </w:rPr>
              <w:t>。</w:t>
            </w:r>
          </w:p>
        </w:tc>
      </w:tr>
    </w:tbl>
    <w:p w14:paraId="57808541" w14:textId="77777777" w:rsidR="00190D67" w:rsidRPr="003905B9" w:rsidRDefault="00190D67" w:rsidP="00190D67">
      <w:pPr>
        <w:spacing w:before="40" w:after="40"/>
        <w:jc w:val="both"/>
        <w:rPr>
          <w:rFonts w:eastAsia="新細明體" w:cs="Segoe UI"/>
          <w:sz w:val="22"/>
          <w:lang w:eastAsia="zh-TW"/>
        </w:rPr>
        <w:sectPr w:rsidR="00190D67" w:rsidRPr="003905B9">
          <w:footerReference w:type="default" r:id="rId118"/>
          <w:pgSz w:w="11906" w:h="16838" w:code="9"/>
          <w:pgMar w:top="1440" w:right="1797" w:bottom="1440" w:left="1797" w:header="851" w:footer="737" w:gutter="0"/>
          <w:cols w:space="425"/>
          <w:docGrid w:type="linesAndChars" w:linePitch="360"/>
        </w:sectPr>
      </w:pPr>
    </w:p>
    <w:p w14:paraId="2C8D3316" w14:textId="5250F7DF" w:rsidR="00A35C2D" w:rsidRPr="006A6FF6" w:rsidRDefault="00A35C2D" w:rsidP="00385A3B">
      <w:pPr>
        <w:pStyle w:val="Heading2"/>
        <w:keepNext w:val="0"/>
        <w:suppressAutoHyphens w:val="0"/>
        <w:spacing w:before="40" w:line="240" w:lineRule="auto"/>
        <w:ind w:left="-454" w:firstLine="28"/>
        <w:rPr>
          <w:rFonts w:asciiTheme="majorEastAsia" w:eastAsiaTheme="majorEastAsia" w:hAnsiTheme="majorEastAsia"/>
          <w:b w:val="0"/>
          <w:bCs w:val="0"/>
          <w:sz w:val="22"/>
          <w:szCs w:val="20"/>
          <w:lang w:eastAsia="zh-TW"/>
        </w:rPr>
      </w:pPr>
      <w:r w:rsidRPr="006A6FF6">
        <w:rPr>
          <w:rFonts w:asciiTheme="majorEastAsia" w:eastAsiaTheme="majorEastAsia" w:hAnsiTheme="majorEastAsia" w:cs="微軟正黑體" w:hint="eastAsia"/>
          <w:b w:val="0"/>
          <w:bCs w:val="0"/>
          <w:sz w:val="22"/>
          <w:szCs w:val="20"/>
          <w:lang w:eastAsia="zh-TW"/>
        </w:rPr>
        <w:t>模版</w:t>
      </w:r>
      <w:r w:rsidRPr="006A6FF6">
        <w:rPr>
          <w:rFonts w:ascii="Segoe UI" w:eastAsiaTheme="majorEastAsia" w:hAnsi="Segoe UI" w:cs="Segoe UI"/>
          <w:b w:val="0"/>
          <w:bCs w:val="0"/>
          <w:sz w:val="22"/>
          <w:szCs w:val="20"/>
          <w:lang w:eastAsia="zh-TW"/>
        </w:rPr>
        <w:t>OR3</w:t>
      </w:r>
      <w:r w:rsidRPr="006A6FF6">
        <w:rPr>
          <w:rFonts w:asciiTheme="majorEastAsia" w:eastAsiaTheme="majorEastAsia" w:hAnsiTheme="majorEastAsia" w:cs="微軟正黑體" w:hint="eastAsia"/>
          <w:b w:val="0"/>
          <w:bCs w:val="0"/>
          <w:sz w:val="22"/>
          <w:szCs w:val="20"/>
          <w:lang w:eastAsia="zh-TW"/>
        </w:rPr>
        <w:t>：業務操作風險最低資本規定</w:t>
      </w:r>
    </w:p>
    <w:tbl>
      <w:tblPr>
        <w:tblW w:w="9240"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36"/>
        <w:gridCol w:w="7104"/>
      </w:tblGrid>
      <w:tr w:rsidR="006A6FF6" w:rsidRPr="006A6FF6" w14:paraId="30C6D8AE" w14:textId="77777777" w:rsidTr="00385A3B">
        <w:tc>
          <w:tcPr>
            <w:tcW w:w="1156" w:type="pct"/>
          </w:tcPr>
          <w:p w14:paraId="1C29661A" w14:textId="77777777" w:rsidR="00A35C2D" w:rsidRPr="006A6FF6" w:rsidRDefault="00A35C2D" w:rsidP="009C54A9">
            <w:pPr>
              <w:spacing w:before="40" w:after="40"/>
              <w:rPr>
                <w:rFonts w:eastAsia="新細明體" w:cs="Segoe UI"/>
                <w:noProof/>
                <w:sz w:val="17"/>
                <w:lang w:eastAsia="en-GB"/>
              </w:rPr>
            </w:pPr>
            <w:proofErr w:type="spellStart"/>
            <w:r w:rsidRPr="006A6FF6">
              <w:rPr>
                <w:rFonts w:eastAsia="新細明體" w:cs="Segoe UI"/>
                <w:b/>
                <w:sz w:val="17"/>
                <w:lang w:eastAsia="en-GB"/>
              </w:rPr>
              <w:t>目的</w:t>
            </w:r>
            <w:proofErr w:type="spellEnd"/>
            <w:r w:rsidRPr="006A6FF6">
              <w:rPr>
                <w:rFonts w:eastAsia="新細明體" w:cs="Segoe UI"/>
                <w:b/>
                <w:sz w:val="17"/>
                <w:lang w:eastAsia="en-GB"/>
              </w:rPr>
              <w:t>：</w:t>
            </w:r>
          </w:p>
        </w:tc>
        <w:tc>
          <w:tcPr>
            <w:tcW w:w="3844" w:type="pct"/>
          </w:tcPr>
          <w:p w14:paraId="7B3EBC33" w14:textId="77777777" w:rsidR="00A35C2D" w:rsidRPr="006A6FF6" w:rsidRDefault="00A35C2D" w:rsidP="009C54A9">
            <w:pPr>
              <w:spacing w:before="40" w:after="40"/>
              <w:jc w:val="both"/>
              <w:rPr>
                <w:rFonts w:eastAsia="新細明體" w:cs="Segoe UI"/>
                <w:noProof/>
                <w:sz w:val="17"/>
                <w:lang w:eastAsia="zh-TW"/>
              </w:rPr>
            </w:pPr>
            <w:r w:rsidRPr="006A6FF6">
              <w:rPr>
                <w:rFonts w:eastAsia="新細明體" w:cs="Segoe UI" w:hint="eastAsia"/>
                <w:sz w:val="17"/>
                <w:lang w:eastAsia="zh-HK"/>
              </w:rPr>
              <w:t>披露</w:t>
            </w:r>
            <w:r w:rsidRPr="006A6FF6">
              <w:rPr>
                <w:rFonts w:eastAsia="新細明體" w:cs="Segoe UI"/>
                <w:sz w:val="17"/>
                <w:lang w:eastAsia="zh-TW"/>
              </w:rPr>
              <w:t>業務操作風險</w:t>
            </w:r>
            <w:r w:rsidRPr="006A6FF6">
              <w:rPr>
                <w:rFonts w:eastAsia="新細明體" w:cs="Segoe UI" w:hint="eastAsia"/>
                <w:sz w:val="17"/>
                <w:lang w:eastAsia="zh-HK"/>
              </w:rPr>
              <w:t>的資本規定</w:t>
            </w:r>
            <w:r w:rsidRPr="006A6FF6">
              <w:rPr>
                <w:rFonts w:eastAsia="新細明體" w:cs="Segoe UI" w:hint="eastAsia"/>
                <w:sz w:val="17"/>
                <w:lang w:eastAsia="zh-TW"/>
              </w:rPr>
              <w:t>。</w:t>
            </w:r>
          </w:p>
        </w:tc>
      </w:tr>
      <w:tr w:rsidR="006A6FF6" w:rsidRPr="006A6FF6" w14:paraId="1E1F49F3" w14:textId="77777777" w:rsidTr="00385A3B">
        <w:tc>
          <w:tcPr>
            <w:tcW w:w="1156" w:type="pct"/>
          </w:tcPr>
          <w:p w14:paraId="57735145" w14:textId="77777777" w:rsidR="00A35C2D" w:rsidRPr="006A6FF6" w:rsidRDefault="00A35C2D" w:rsidP="009C54A9">
            <w:pPr>
              <w:spacing w:before="40" w:after="40"/>
              <w:rPr>
                <w:rFonts w:eastAsia="新細明體" w:cs="Segoe UI"/>
                <w:b/>
                <w:sz w:val="17"/>
                <w:lang w:eastAsia="en-GB"/>
              </w:rPr>
            </w:pPr>
            <w:proofErr w:type="spellStart"/>
            <w:r w:rsidRPr="006A6FF6">
              <w:rPr>
                <w:rFonts w:eastAsia="新細明體" w:cs="Segoe UI"/>
                <w:b/>
                <w:sz w:val="17"/>
                <w:lang w:eastAsia="en-GB"/>
              </w:rPr>
              <w:t>適用範圍</w:t>
            </w:r>
            <w:proofErr w:type="spellEnd"/>
            <w:r w:rsidRPr="006A6FF6">
              <w:rPr>
                <w:rFonts w:eastAsia="新細明體" w:cs="Segoe UI"/>
                <w:b/>
                <w:sz w:val="17"/>
                <w:lang w:eastAsia="en-GB"/>
              </w:rPr>
              <w:t>：</w:t>
            </w:r>
          </w:p>
        </w:tc>
        <w:tc>
          <w:tcPr>
            <w:tcW w:w="3844" w:type="pct"/>
          </w:tcPr>
          <w:p w14:paraId="7E019788" w14:textId="77777777" w:rsidR="00A35C2D" w:rsidRPr="006A6FF6" w:rsidRDefault="00A35C2D" w:rsidP="009C54A9">
            <w:pPr>
              <w:spacing w:before="40" w:after="40"/>
              <w:jc w:val="both"/>
              <w:rPr>
                <w:rFonts w:eastAsia="新細明體" w:cs="Segoe UI"/>
                <w:b/>
                <w:sz w:val="17"/>
                <w:lang w:eastAsia="zh-TW"/>
              </w:rPr>
            </w:pPr>
            <w:r w:rsidRPr="006A6FF6">
              <w:rPr>
                <w:rFonts w:eastAsia="新細明體" w:cs="Segoe UI" w:hint="eastAsia"/>
                <w:sz w:val="17"/>
                <w:lang w:eastAsia="zh-HK"/>
              </w:rPr>
              <w:t>所有在香港成立為法團的認可機構均須填報本模版</w:t>
            </w:r>
            <w:r w:rsidRPr="006A6FF6">
              <w:rPr>
                <w:rFonts w:eastAsia="新細明體" w:cs="Segoe UI" w:hint="eastAsia"/>
                <w:sz w:val="17"/>
                <w:lang w:eastAsia="zh-TW"/>
              </w:rPr>
              <w:t>。</w:t>
            </w:r>
          </w:p>
        </w:tc>
      </w:tr>
      <w:tr w:rsidR="006A6FF6" w:rsidRPr="006A6FF6" w14:paraId="520D78A1" w14:textId="77777777" w:rsidTr="00385A3B">
        <w:tc>
          <w:tcPr>
            <w:tcW w:w="1156" w:type="pct"/>
          </w:tcPr>
          <w:p w14:paraId="3164A766" w14:textId="77777777" w:rsidR="00A35C2D" w:rsidRPr="006A6FF6" w:rsidRDefault="00A35C2D" w:rsidP="009C54A9">
            <w:pPr>
              <w:spacing w:before="40" w:after="40"/>
              <w:rPr>
                <w:rFonts w:eastAsia="新細明體" w:cs="Segoe UI"/>
                <w:b/>
                <w:sz w:val="17"/>
                <w:lang w:eastAsia="en-GB"/>
              </w:rPr>
            </w:pPr>
            <w:proofErr w:type="spellStart"/>
            <w:r w:rsidRPr="006A6FF6">
              <w:rPr>
                <w:rFonts w:eastAsia="新細明體" w:cs="Segoe UI"/>
                <w:b/>
                <w:sz w:val="17"/>
                <w:lang w:eastAsia="en-GB"/>
              </w:rPr>
              <w:t>內容</w:t>
            </w:r>
            <w:proofErr w:type="spellEnd"/>
            <w:r w:rsidRPr="006A6FF6">
              <w:rPr>
                <w:rFonts w:eastAsia="新細明體" w:cs="Segoe UI"/>
                <w:b/>
                <w:sz w:val="17"/>
                <w:lang w:eastAsia="en-GB"/>
              </w:rPr>
              <w:t>：</w:t>
            </w:r>
          </w:p>
        </w:tc>
        <w:tc>
          <w:tcPr>
            <w:tcW w:w="3844" w:type="pct"/>
          </w:tcPr>
          <w:p w14:paraId="7D76CFC3" w14:textId="77777777" w:rsidR="00A35C2D" w:rsidRPr="006A6FF6" w:rsidRDefault="00A35C2D" w:rsidP="009C54A9">
            <w:pPr>
              <w:spacing w:before="40" w:after="40"/>
              <w:jc w:val="both"/>
              <w:rPr>
                <w:rFonts w:eastAsia="新細明體" w:cs="Segoe UI"/>
                <w:sz w:val="17"/>
                <w:lang w:eastAsia="en-GB"/>
              </w:rPr>
            </w:pPr>
            <w:r w:rsidRPr="006A6FF6">
              <w:rPr>
                <w:rFonts w:eastAsia="新細明體" w:cs="Segoe UI" w:hint="eastAsia"/>
                <w:sz w:val="17"/>
                <w:lang w:eastAsia="zh-HK"/>
              </w:rPr>
              <w:t>量化資料</w:t>
            </w:r>
            <w:r w:rsidRPr="006A6FF6">
              <w:rPr>
                <w:rFonts w:eastAsia="新細明體" w:cs="Segoe UI" w:hint="eastAsia"/>
                <w:sz w:val="17"/>
                <w:lang w:eastAsia="zh-TW"/>
              </w:rPr>
              <w:t>。</w:t>
            </w:r>
          </w:p>
        </w:tc>
      </w:tr>
      <w:tr w:rsidR="006A6FF6" w:rsidRPr="006A6FF6" w14:paraId="1644FBC6" w14:textId="77777777" w:rsidTr="00385A3B">
        <w:tc>
          <w:tcPr>
            <w:tcW w:w="1156" w:type="pct"/>
          </w:tcPr>
          <w:p w14:paraId="69D99E04" w14:textId="77777777" w:rsidR="00A35C2D" w:rsidRPr="006A6FF6" w:rsidRDefault="00A35C2D" w:rsidP="009C54A9">
            <w:pPr>
              <w:spacing w:before="40" w:after="40"/>
              <w:rPr>
                <w:rFonts w:eastAsia="新細明體" w:cs="Segoe UI"/>
                <w:sz w:val="17"/>
                <w:lang w:eastAsia="en-GB"/>
              </w:rPr>
            </w:pPr>
            <w:proofErr w:type="spellStart"/>
            <w:r w:rsidRPr="006A6FF6">
              <w:rPr>
                <w:rFonts w:eastAsia="新細明體" w:cs="Segoe UI"/>
                <w:b/>
                <w:sz w:val="17"/>
                <w:lang w:eastAsia="en-GB"/>
              </w:rPr>
              <w:t>頻密程度</w:t>
            </w:r>
            <w:proofErr w:type="spellEnd"/>
            <w:r w:rsidRPr="006A6FF6">
              <w:rPr>
                <w:rFonts w:eastAsia="新細明體" w:cs="Segoe UI"/>
                <w:b/>
                <w:sz w:val="17"/>
                <w:lang w:eastAsia="en-GB"/>
              </w:rPr>
              <w:t>：</w:t>
            </w:r>
          </w:p>
        </w:tc>
        <w:tc>
          <w:tcPr>
            <w:tcW w:w="3844" w:type="pct"/>
          </w:tcPr>
          <w:p w14:paraId="5C8FDE03" w14:textId="77777777" w:rsidR="00A35C2D" w:rsidRPr="006A6FF6" w:rsidRDefault="00A35C2D" w:rsidP="009C54A9">
            <w:pPr>
              <w:spacing w:before="40" w:after="40"/>
              <w:jc w:val="both"/>
              <w:rPr>
                <w:rFonts w:eastAsia="新細明體" w:cs="Segoe UI"/>
                <w:sz w:val="17"/>
                <w:lang w:eastAsia="zh-TW"/>
              </w:rPr>
            </w:pPr>
            <w:proofErr w:type="spellStart"/>
            <w:r w:rsidRPr="006A6FF6">
              <w:rPr>
                <w:rFonts w:eastAsia="新細明體" w:cs="Segoe UI"/>
                <w:sz w:val="17"/>
                <w:lang w:eastAsia="en-GB"/>
              </w:rPr>
              <w:t>每年一次</w:t>
            </w:r>
            <w:proofErr w:type="spellEnd"/>
            <w:r w:rsidRPr="006A6FF6">
              <w:rPr>
                <w:rFonts w:eastAsia="新細明體" w:cs="Segoe UI"/>
                <w:sz w:val="17"/>
                <w:lang w:eastAsia="en-GB"/>
              </w:rPr>
              <w:t>。</w:t>
            </w:r>
          </w:p>
        </w:tc>
      </w:tr>
      <w:tr w:rsidR="006A6FF6" w:rsidRPr="006A6FF6" w14:paraId="0AA6E241" w14:textId="77777777" w:rsidTr="00385A3B">
        <w:tc>
          <w:tcPr>
            <w:tcW w:w="1156" w:type="pct"/>
          </w:tcPr>
          <w:p w14:paraId="6F7B96DF" w14:textId="77777777" w:rsidR="00A35C2D" w:rsidRPr="006A6FF6" w:rsidRDefault="00A35C2D" w:rsidP="009C54A9">
            <w:pPr>
              <w:spacing w:before="40" w:after="40"/>
              <w:rPr>
                <w:rFonts w:eastAsia="新細明體" w:cs="Segoe UI"/>
                <w:sz w:val="17"/>
                <w:lang w:eastAsia="en-GB"/>
              </w:rPr>
            </w:pPr>
            <w:proofErr w:type="spellStart"/>
            <w:r w:rsidRPr="006A6FF6">
              <w:rPr>
                <w:rFonts w:eastAsia="新細明體" w:cs="Segoe UI"/>
                <w:b/>
                <w:sz w:val="17"/>
                <w:lang w:eastAsia="en-GB"/>
              </w:rPr>
              <w:t>格式</w:t>
            </w:r>
            <w:proofErr w:type="spellEnd"/>
            <w:r w:rsidRPr="006A6FF6">
              <w:rPr>
                <w:rFonts w:eastAsia="新細明體" w:cs="Segoe UI"/>
                <w:b/>
                <w:sz w:val="17"/>
                <w:lang w:eastAsia="en-GB"/>
              </w:rPr>
              <w:t>：</w:t>
            </w:r>
          </w:p>
        </w:tc>
        <w:tc>
          <w:tcPr>
            <w:tcW w:w="3844" w:type="pct"/>
          </w:tcPr>
          <w:p w14:paraId="7357CED6" w14:textId="77777777" w:rsidR="00A35C2D" w:rsidRPr="006A6FF6" w:rsidRDefault="00A35C2D" w:rsidP="009C54A9">
            <w:pPr>
              <w:spacing w:before="40" w:after="40"/>
              <w:jc w:val="both"/>
              <w:rPr>
                <w:rFonts w:eastAsia="新細明體" w:cs="Segoe UI"/>
                <w:sz w:val="17"/>
                <w:lang w:eastAsia="en-GB"/>
              </w:rPr>
            </w:pPr>
            <w:r w:rsidRPr="006A6FF6">
              <w:rPr>
                <w:rFonts w:eastAsia="新細明體" w:cs="Segoe UI" w:hint="eastAsia"/>
                <w:sz w:val="17"/>
                <w:lang w:eastAsia="zh-HK"/>
              </w:rPr>
              <w:t>固定</w:t>
            </w:r>
            <w:r w:rsidRPr="006A6FF6">
              <w:rPr>
                <w:rFonts w:eastAsia="新細明體" w:cs="Segoe UI" w:hint="eastAsia"/>
                <w:sz w:val="17"/>
                <w:lang w:eastAsia="zh-TW"/>
              </w:rPr>
              <w:t>。</w:t>
            </w:r>
          </w:p>
        </w:tc>
      </w:tr>
      <w:tr w:rsidR="006A6FF6" w:rsidRPr="006A6FF6" w14:paraId="68B96DCE" w14:textId="77777777" w:rsidTr="00385A3B">
        <w:tc>
          <w:tcPr>
            <w:tcW w:w="1156" w:type="pct"/>
          </w:tcPr>
          <w:p w14:paraId="3F428A7D" w14:textId="77777777" w:rsidR="00A35C2D" w:rsidRPr="006A6FF6" w:rsidRDefault="00A35C2D" w:rsidP="009C54A9">
            <w:pPr>
              <w:spacing w:before="40" w:after="40"/>
              <w:rPr>
                <w:rFonts w:eastAsia="新細明體" w:cs="Segoe UI"/>
                <w:b/>
                <w:sz w:val="17"/>
                <w:szCs w:val="17"/>
                <w:lang w:eastAsia="zh-TW"/>
              </w:rPr>
            </w:pPr>
            <w:r w:rsidRPr="006A6FF6">
              <w:rPr>
                <w:rFonts w:eastAsia="新細明體" w:cs="Segoe UI"/>
                <w:b/>
                <w:sz w:val="17"/>
                <w:szCs w:val="17"/>
                <w:lang w:eastAsia="zh-TW"/>
              </w:rPr>
              <w:t>《披露規則》相應條文：</w:t>
            </w:r>
          </w:p>
        </w:tc>
        <w:tc>
          <w:tcPr>
            <w:tcW w:w="3844" w:type="pct"/>
          </w:tcPr>
          <w:p w14:paraId="76C7C40F" w14:textId="77777777" w:rsidR="00A35C2D" w:rsidRPr="006A6FF6" w:rsidRDefault="00A35C2D" w:rsidP="009C54A9">
            <w:pPr>
              <w:spacing w:before="40" w:after="40"/>
              <w:jc w:val="both"/>
              <w:rPr>
                <w:rFonts w:eastAsia="新細明體" w:cs="Segoe UI"/>
                <w:sz w:val="17"/>
                <w:szCs w:val="17"/>
                <w:lang w:eastAsia="en-GB"/>
              </w:rPr>
            </w:pPr>
            <w:r w:rsidRPr="006A6FF6">
              <w:rPr>
                <w:rFonts w:eastAsia="DengXian" w:cs="Segoe UI" w:hint="eastAsia"/>
                <w:sz w:val="17"/>
                <w:lang w:eastAsia="zh-CN"/>
              </w:rPr>
              <w:t>16ZQD</w:t>
            </w:r>
          </w:p>
        </w:tc>
      </w:tr>
    </w:tbl>
    <w:p w14:paraId="71C8E442" w14:textId="3EB39B75" w:rsidR="00A35C2D" w:rsidRPr="006A6FF6" w:rsidRDefault="00A35C2D">
      <w:pPr>
        <w:rPr>
          <w:lang w:eastAsia="zh-TW"/>
        </w:rPr>
      </w:pPr>
    </w:p>
    <w:tbl>
      <w:tblPr>
        <w:tblW w:w="9242" w:type="dxa"/>
        <w:tblInd w:w="-426" w:type="dxa"/>
        <w:tblBorders>
          <w:top w:val="single" w:sz="4" w:space="0" w:color="BCBCBD"/>
          <w:insideV w:val="single" w:sz="4" w:space="0" w:color="BCBCBD"/>
        </w:tblBorders>
        <w:tblLook w:val="04A0" w:firstRow="1" w:lastRow="0" w:firstColumn="1" w:lastColumn="0" w:noHBand="0" w:noVBand="1"/>
      </w:tblPr>
      <w:tblGrid>
        <w:gridCol w:w="676"/>
        <w:gridCol w:w="4428"/>
        <w:gridCol w:w="4111"/>
        <w:gridCol w:w="27"/>
      </w:tblGrid>
      <w:tr w:rsidR="006A6FF6" w:rsidRPr="006A6FF6" w14:paraId="22BC147F" w14:textId="77777777" w:rsidTr="00385A3B">
        <w:trPr>
          <w:gridAfter w:val="1"/>
          <w:wAfter w:w="27" w:type="dxa"/>
          <w:trHeight w:val="230"/>
        </w:trPr>
        <w:tc>
          <w:tcPr>
            <w:tcW w:w="676" w:type="dxa"/>
            <w:tcBorders>
              <w:top w:val="nil"/>
              <w:left w:val="nil"/>
              <w:bottom w:val="single" w:sz="4" w:space="0" w:color="auto"/>
              <w:right w:val="nil"/>
            </w:tcBorders>
            <w:noWrap/>
            <w:vAlign w:val="center"/>
          </w:tcPr>
          <w:p w14:paraId="26286A38" w14:textId="77777777" w:rsidR="00A35C2D" w:rsidRPr="006A6FF6" w:rsidRDefault="00A35C2D" w:rsidP="009C54A9">
            <w:pPr>
              <w:tabs>
                <w:tab w:val="decimal" w:pos="474"/>
                <w:tab w:val="left" w:pos="794"/>
              </w:tabs>
              <w:adjustRightInd w:val="0"/>
              <w:snapToGrid w:val="0"/>
              <w:spacing w:before="40" w:after="40"/>
              <w:ind w:left="170"/>
              <w:rPr>
                <w:rFonts w:eastAsia="新細明體" w:cs="Segoe UI"/>
                <w:kern w:val="2"/>
                <w:sz w:val="18"/>
                <w:szCs w:val="18"/>
                <w:lang w:eastAsia="ja-JP"/>
              </w:rPr>
            </w:pPr>
          </w:p>
        </w:tc>
        <w:tc>
          <w:tcPr>
            <w:tcW w:w="4428" w:type="dxa"/>
            <w:tcBorders>
              <w:top w:val="nil"/>
              <w:left w:val="nil"/>
              <w:bottom w:val="single" w:sz="4" w:space="0" w:color="auto"/>
              <w:right w:val="single" w:sz="4" w:space="0" w:color="auto"/>
            </w:tcBorders>
            <w:vAlign w:val="center"/>
          </w:tcPr>
          <w:p w14:paraId="777FBDA2"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rPr>
            </w:pPr>
          </w:p>
        </w:tc>
        <w:tc>
          <w:tcPr>
            <w:tcW w:w="4111" w:type="dxa"/>
            <w:tcBorders>
              <w:top w:val="single" w:sz="4" w:space="0" w:color="auto"/>
              <w:left w:val="single" w:sz="4" w:space="0" w:color="auto"/>
              <w:bottom w:val="single" w:sz="4" w:space="0" w:color="auto"/>
              <w:right w:val="single" w:sz="4" w:space="0" w:color="auto"/>
            </w:tcBorders>
          </w:tcPr>
          <w:p w14:paraId="7A9AE124" w14:textId="77777777" w:rsidR="00A35C2D" w:rsidRPr="006A6FF6" w:rsidRDefault="00A35C2D"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r w:rsidRPr="006A6FF6">
              <w:rPr>
                <w:rFonts w:eastAsia="新細明體" w:cs="Segoe UI"/>
                <w:kern w:val="2"/>
                <w:sz w:val="18"/>
                <w:szCs w:val="18"/>
                <w:lang w:eastAsia="ja-JP"/>
              </w:rPr>
              <w:t>(a)</w:t>
            </w:r>
          </w:p>
        </w:tc>
      </w:tr>
      <w:tr w:rsidR="006A6FF6" w:rsidRPr="006A6FF6" w14:paraId="1A68C7CA" w14:textId="77777777" w:rsidTr="00385A3B">
        <w:trPr>
          <w:gridAfter w:val="1"/>
          <w:wAfter w:w="27" w:type="dxa"/>
          <w:trHeight w:val="230"/>
        </w:trPr>
        <w:tc>
          <w:tcPr>
            <w:tcW w:w="676" w:type="dxa"/>
            <w:tcBorders>
              <w:top w:val="single" w:sz="4" w:space="0" w:color="auto"/>
              <w:left w:val="nil"/>
              <w:bottom w:val="single" w:sz="4" w:space="0" w:color="BFBFBF"/>
              <w:right w:val="single" w:sz="4" w:space="0" w:color="auto"/>
            </w:tcBorders>
            <w:noWrap/>
            <w:vAlign w:val="center"/>
            <w:hideMark/>
          </w:tcPr>
          <w:p w14:paraId="246B0DB3" w14:textId="77777777" w:rsidR="00A35C2D" w:rsidRPr="006A6FF6" w:rsidRDefault="00A35C2D"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6A6FF6">
              <w:rPr>
                <w:rFonts w:eastAsia="新細明體" w:cs="Segoe UI"/>
                <w:kern w:val="2"/>
                <w:sz w:val="18"/>
                <w:szCs w:val="18"/>
                <w:lang w:eastAsia="ja-JP"/>
              </w:rPr>
              <w:t>1</w:t>
            </w:r>
          </w:p>
        </w:tc>
        <w:tc>
          <w:tcPr>
            <w:tcW w:w="4428" w:type="dxa"/>
            <w:tcBorders>
              <w:top w:val="single" w:sz="4" w:space="0" w:color="auto"/>
              <w:left w:val="single" w:sz="4" w:space="0" w:color="auto"/>
              <w:bottom w:val="single" w:sz="4" w:space="0" w:color="BFBFBF"/>
              <w:right w:val="single" w:sz="4" w:space="0" w:color="auto"/>
            </w:tcBorders>
            <w:vAlign w:val="center"/>
            <w:hideMark/>
          </w:tcPr>
          <w:p w14:paraId="39F96365"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lang w:eastAsia="zh-TW"/>
              </w:rPr>
            </w:pPr>
            <w:r w:rsidRPr="006A6FF6">
              <w:rPr>
                <w:rFonts w:eastAsia="新細明體" w:cs="Segoe UI" w:hint="eastAsia"/>
                <w:kern w:val="2"/>
                <w:sz w:val="18"/>
                <w:szCs w:val="18"/>
                <w:lang w:eastAsia="zh-HK"/>
              </w:rPr>
              <w:t>業務指標組成部分</w:t>
            </w:r>
            <w:r w:rsidRPr="006A6FF6">
              <w:rPr>
                <w:rFonts w:eastAsia="新細明體" w:cs="Segoe UI"/>
                <w:kern w:val="2"/>
                <w:sz w:val="18"/>
                <w:szCs w:val="18"/>
                <w:lang w:eastAsia="zh-TW"/>
              </w:rPr>
              <w:t xml:space="preserve">(BIC) </w:t>
            </w:r>
          </w:p>
        </w:tc>
        <w:tc>
          <w:tcPr>
            <w:tcW w:w="4111" w:type="dxa"/>
            <w:tcBorders>
              <w:top w:val="single" w:sz="4" w:space="0" w:color="auto"/>
              <w:left w:val="single" w:sz="4" w:space="0" w:color="auto"/>
              <w:bottom w:val="single" w:sz="4" w:space="0" w:color="BFBFBF"/>
              <w:right w:val="single" w:sz="4" w:space="0" w:color="auto"/>
            </w:tcBorders>
          </w:tcPr>
          <w:p w14:paraId="2F66EB97" w14:textId="77777777" w:rsidR="00A35C2D" w:rsidRPr="006A6FF6" w:rsidRDefault="00A35C2D" w:rsidP="009C54A9">
            <w:pPr>
              <w:keepNext/>
              <w:tabs>
                <w:tab w:val="decimal" w:pos="474"/>
                <w:tab w:val="left" w:pos="794"/>
              </w:tabs>
              <w:adjustRightInd w:val="0"/>
              <w:snapToGrid w:val="0"/>
              <w:spacing w:before="40" w:after="40"/>
              <w:jc w:val="center"/>
              <w:rPr>
                <w:rFonts w:eastAsia="新細明體" w:cs="Segoe UI"/>
                <w:kern w:val="2"/>
                <w:sz w:val="18"/>
                <w:szCs w:val="18"/>
                <w:lang w:eastAsia="ja-JP"/>
              </w:rPr>
            </w:pPr>
          </w:p>
        </w:tc>
      </w:tr>
      <w:tr w:rsidR="006A6FF6" w:rsidRPr="006A6FF6" w14:paraId="6E9B95E7" w14:textId="77777777" w:rsidTr="00385A3B">
        <w:trPr>
          <w:gridAfter w:val="1"/>
          <w:wAfter w:w="27" w:type="dxa"/>
          <w:trHeight w:val="230"/>
        </w:trPr>
        <w:tc>
          <w:tcPr>
            <w:tcW w:w="676" w:type="dxa"/>
            <w:tcBorders>
              <w:top w:val="single" w:sz="4" w:space="0" w:color="BFBFBF"/>
              <w:left w:val="nil"/>
              <w:bottom w:val="single" w:sz="4" w:space="0" w:color="BFBFBF"/>
              <w:right w:val="single" w:sz="4" w:space="0" w:color="auto"/>
            </w:tcBorders>
            <w:noWrap/>
            <w:vAlign w:val="center"/>
            <w:hideMark/>
          </w:tcPr>
          <w:p w14:paraId="40C5523F" w14:textId="77777777" w:rsidR="00A35C2D" w:rsidRPr="006A6FF6" w:rsidRDefault="00A35C2D"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6A6FF6">
              <w:rPr>
                <w:rFonts w:eastAsia="新細明體" w:cs="Segoe UI"/>
                <w:kern w:val="2"/>
                <w:sz w:val="18"/>
                <w:szCs w:val="18"/>
                <w:lang w:eastAsia="ja-JP"/>
              </w:rPr>
              <w:t>2</w:t>
            </w:r>
          </w:p>
        </w:tc>
        <w:tc>
          <w:tcPr>
            <w:tcW w:w="4428" w:type="dxa"/>
            <w:tcBorders>
              <w:top w:val="single" w:sz="4" w:space="0" w:color="BFBFBF"/>
              <w:left w:val="single" w:sz="4" w:space="0" w:color="auto"/>
              <w:bottom w:val="single" w:sz="4" w:space="0" w:color="BFBFBF"/>
              <w:right w:val="single" w:sz="4" w:space="0" w:color="auto"/>
            </w:tcBorders>
            <w:vAlign w:val="center"/>
            <w:hideMark/>
          </w:tcPr>
          <w:p w14:paraId="6CF107C3"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rPr>
            </w:pPr>
            <w:r w:rsidRPr="006A6FF6">
              <w:rPr>
                <w:rFonts w:eastAsia="新細明體" w:cs="Segoe UI" w:hint="eastAsia"/>
                <w:kern w:val="2"/>
                <w:sz w:val="18"/>
                <w:szCs w:val="18"/>
                <w:lang w:eastAsia="zh-HK"/>
              </w:rPr>
              <w:t>內部損失倍率</w:t>
            </w:r>
            <w:r w:rsidRPr="006A6FF6">
              <w:rPr>
                <w:rFonts w:eastAsia="新細明體" w:cs="Segoe UI"/>
                <w:kern w:val="2"/>
                <w:sz w:val="18"/>
                <w:szCs w:val="18"/>
              </w:rPr>
              <w:t>(ILM)</w:t>
            </w:r>
          </w:p>
        </w:tc>
        <w:tc>
          <w:tcPr>
            <w:tcW w:w="4111" w:type="dxa"/>
            <w:tcBorders>
              <w:top w:val="single" w:sz="4" w:space="0" w:color="BFBFBF"/>
              <w:left w:val="single" w:sz="4" w:space="0" w:color="auto"/>
              <w:bottom w:val="single" w:sz="4" w:space="0" w:color="BFBFBF"/>
              <w:right w:val="single" w:sz="4" w:space="0" w:color="auto"/>
            </w:tcBorders>
          </w:tcPr>
          <w:p w14:paraId="75C3AB9D"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highlight w:val="darkGray"/>
                <w:lang w:eastAsia="ja-JP"/>
              </w:rPr>
            </w:pPr>
          </w:p>
        </w:tc>
      </w:tr>
      <w:tr w:rsidR="006A6FF6" w:rsidRPr="006A6FF6" w14:paraId="7804E526" w14:textId="77777777" w:rsidTr="00385A3B">
        <w:trPr>
          <w:gridAfter w:val="1"/>
          <w:wAfter w:w="27" w:type="dxa"/>
          <w:trHeight w:val="230"/>
        </w:trPr>
        <w:tc>
          <w:tcPr>
            <w:tcW w:w="676" w:type="dxa"/>
            <w:tcBorders>
              <w:top w:val="single" w:sz="4" w:space="0" w:color="BFBFBF"/>
              <w:left w:val="nil"/>
              <w:bottom w:val="single" w:sz="4" w:space="0" w:color="BFBFBF"/>
              <w:right w:val="single" w:sz="4" w:space="0" w:color="auto"/>
            </w:tcBorders>
            <w:noWrap/>
            <w:vAlign w:val="center"/>
            <w:hideMark/>
          </w:tcPr>
          <w:p w14:paraId="61D2A019" w14:textId="77777777" w:rsidR="00A35C2D" w:rsidRPr="006A6FF6" w:rsidRDefault="00A35C2D"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6A6FF6">
              <w:rPr>
                <w:rFonts w:eastAsia="新細明體" w:cs="Segoe UI"/>
                <w:kern w:val="2"/>
                <w:sz w:val="18"/>
                <w:szCs w:val="18"/>
                <w:lang w:eastAsia="ja-JP"/>
              </w:rPr>
              <w:t>3</w:t>
            </w:r>
          </w:p>
        </w:tc>
        <w:tc>
          <w:tcPr>
            <w:tcW w:w="4428" w:type="dxa"/>
            <w:tcBorders>
              <w:top w:val="single" w:sz="4" w:space="0" w:color="BFBFBF"/>
              <w:left w:val="single" w:sz="4" w:space="0" w:color="auto"/>
              <w:bottom w:val="single" w:sz="4" w:space="0" w:color="BFBFBF"/>
              <w:right w:val="single" w:sz="4" w:space="0" w:color="auto"/>
            </w:tcBorders>
            <w:vAlign w:val="center"/>
            <w:hideMark/>
          </w:tcPr>
          <w:p w14:paraId="6854CF8C"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lang w:eastAsia="zh-TW"/>
              </w:rPr>
            </w:pPr>
            <w:r w:rsidRPr="006A6FF6">
              <w:rPr>
                <w:rFonts w:eastAsia="新細明體" w:cs="Segoe UI"/>
                <w:kern w:val="2"/>
                <w:sz w:val="18"/>
                <w:szCs w:val="18"/>
                <w:lang w:eastAsia="zh-TW"/>
              </w:rPr>
              <w:t>業務操作風險</w:t>
            </w:r>
            <w:r w:rsidRPr="006A6FF6">
              <w:rPr>
                <w:rFonts w:ascii="新細明體" w:eastAsia="新細明體" w:hAnsi="新細明體" w:cs="Segoe UI" w:hint="eastAsia"/>
                <w:kern w:val="2"/>
                <w:sz w:val="18"/>
                <w:szCs w:val="18"/>
                <w:lang w:eastAsia="zh-TW"/>
              </w:rPr>
              <w:t>最低</w:t>
            </w:r>
            <w:r w:rsidRPr="006A6FF6">
              <w:rPr>
                <w:rFonts w:eastAsia="新細明體" w:cs="Segoe UI" w:hint="eastAsia"/>
                <w:kern w:val="2"/>
                <w:sz w:val="18"/>
                <w:szCs w:val="18"/>
                <w:lang w:eastAsia="zh-HK"/>
              </w:rPr>
              <w:t>資本規定</w:t>
            </w:r>
          </w:p>
        </w:tc>
        <w:tc>
          <w:tcPr>
            <w:tcW w:w="4111" w:type="dxa"/>
            <w:tcBorders>
              <w:top w:val="single" w:sz="4" w:space="0" w:color="BFBFBF"/>
              <w:left w:val="single" w:sz="4" w:space="0" w:color="auto"/>
              <w:bottom w:val="single" w:sz="4" w:space="0" w:color="BFBFBF"/>
              <w:right w:val="single" w:sz="4" w:space="0" w:color="auto"/>
            </w:tcBorders>
          </w:tcPr>
          <w:p w14:paraId="18AB205A"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highlight w:val="darkGray"/>
                <w:lang w:eastAsia="ja-JP"/>
              </w:rPr>
            </w:pPr>
          </w:p>
        </w:tc>
      </w:tr>
      <w:tr w:rsidR="006A6FF6" w:rsidRPr="006A6FF6" w14:paraId="63FF3997" w14:textId="77777777" w:rsidTr="00385A3B">
        <w:trPr>
          <w:gridAfter w:val="1"/>
          <w:wAfter w:w="27" w:type="dxa"/>
          <w:trHeight w:val="230"/>
        </w:trPr>
        <w:tc>
          <w:tcPr>
            <w:tcW w:w="676" w:type="dxa"/>
            <w:tcBorders>
              <w:top w:val="single" w:sz="4" w:space="0" w:color="BFBFBF"/>
              <w:left w:val="nil"/>
              <w:bottom w:val="single" w:sz="4" w:space="0" w:color="auto"/>
              <w:right w:val="single" w:sz="4" w:space="0" w:color="auto"/>
            </w:tcBorders>
            <w:noWrap/>
            <w:vAlign w:val="center"/>
            <w:hideMark/>
          </w:tcPr>
          <w:p w14:paraId="6ED7D571" w14:textId="77777777" w:rsidR="00A35C2D" w:rsidRPr="006A6FF6" w:rsidRDefault="00A35C2D" w:rsidP="009C54A9">
            <w:pPr>
              <w:tabs>
                <w:tab w:val="decimal" w:pos="474"/>
                <w:tab w:val="left" w:pos="794"/>
              </w:tabs>
              <w:adjustRightInd w:val="0"/>
              <w:snapToGrid w:val="0"/>
              <w:spacing w:before="40" w:after="40"/>
              <w:ind w:left="170"/>
              <w:rPr>
                <w:rFonts w:eastAsia="新細明體" w:cs="Segoe UI"/>
                <w:kern w:val="2"/>
                <w:sz w:val="18"/>
                <w:szCs w:val="18"/>
                <w:lang w:eastAsia="ja-JP"/>
              </w:rPr>
            </w:pPr>
            <w:r w:rsidRPr="006A6FF6">
              <w:rPr>
                <w:rFonts w:eastAsia="新細明體" w:cs="Segoe UI"/>
                <w:kern w:val="2"/>
                <w:sz w:val="18"/>
                <w:szCs w:val="18"/>
                <w:lang w:eastAsia="ja-JP"/>
              </w:rPr>
              <w:t>4</w:t>
            </w:r>
          </w:p>
        </w:tc>
        <w:tc>
          <w:tcPr>
            <w:tcW w:w="4428" w:type="dxa"/>
            <w:tcBorders>
              <w:top w:val="single" w:sz="4" w:space="0" w:color="BFBFBF"/>
              <w:left w:val="single" w:sz="4" w:space="0" w:color="auto"/>
              <w:bottom w:val="single" w:sz="4" w:space="0" w:color="auto"/>
              <w:right w:val="single" w:sz="4" w:space="0" w:color="auto"/>
            </w:tcBorders>
            <w:vAlign w:val="center"/>
            <w:hideMark/>
          </w:tcPr>
          <w:p w14:paraId="69244CF4"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lang w:eastAsia="zh-TW"/>
              </w:rPr>
            </w:pPr>
            <w:r w:rsidRPr="006A6FF6">
              <w:rPr>
                <w:rFonts w:eastAsia="新細明體" w:cs="Segoe UI"/>
                <w:kern w:val="2"/>
                <w:sz w:val="18"/>
                <w:szCs w:val="18"/>
                <w:lang w:eastAsia="zh-TW"/>
              </w:rPr>
              <w:t>業務操作風險</w:t>
            </w:r>
            <w:r w:rsidRPr="006A6FF6">
              <w:rPr>
                <w:rFonts w:eastAsia="新細明體" w:cs="Segoe UI" w:hint="eastAsia"/>
                <w:kern w:val="2"/>
                <w:sz w:val="18"/>
                <w:szCs w:val="18"/>
                <w:lang w:eastAsia="zh-HK"/>
              </w:rPr>
              <w:t>的總</w:t>
            </w:r>
            <w:r w:rsidRPr="006A6FF6">
              <w:rPr>
                <w:rFonts w:eastAsia="新細明體" w:cs="Segoe UI"/>
                <w:kern w:val="2"/>
                <w:sz w:val="18"/>
                <w:szCs w:val="18"/>
                <w:lang w:eastAsia="zh-TW"/>
              </w:rPr>
              <w:t>風險加權數額</w:t>
            </w:r>
          </w:p>
        </w:tc>
        <w:tc>
          <w:tcPr>
            <w:tcW w:w="4111" w:type="dxa"/>
            <w:tcBorders>
              <w:top w:val="single" w:sz="4" w:space="0" w:color="BFBFBF"/>
              <w:left w:val="single" w:sz="4" w:space="0" w:color="auto"/>
              <w:bottom w:val="single" w:sz="4" w:space="0" w:color="auto"/>
              <w:right w:val="single" w:sz="4" w:space="0" w:color="auto"/>
            </w:tcBorders>
          </w:tcPr>
          <w:p w14:paraId="30A9250D" w14:textId="77777777" w:rsidR="00A35C2D" w:rsidRPr="006A6FF6" w:rsidRDefault="00A35C2D" w:rsidP="009C54A9">
            <w:pPr>
              <w:keepNext/>
              <w:tabs>
                <w:tab w:val="decimal" w:pos="474"/>
                <w:tab w:val="left" w:pos="794"/>
              </w:tabs>
              <w:adjustRightInd w:val="0"/>
              <w:snapToGrid w:val="0"/>
              <w:spacing w:before="40" w:after="40"/>
              <w:jc w:val="both"/>
              <w:rPr>
                <w:rFonts w:eastAsia="新細明體" w:cs="Segoe UI"/>
                <w:kern w:val="2"/>
                <w:sz w:val="18"/>
                <w:szCs w:val="18"/>
                <w:highlight w:val="darkGray"/>
                <w:lang w:eastAsia="ja-JP"/>
              </w:rPr>
            </w:pPr>
          </w:p>
        </w:tc>
      </w:tr>
      <w:tr w:rsidR="006A6FF6" w:rsidRPr="006A6FF6" w14:paraId="2DCBF57B" w14:textId="77777777" w:rsidTr="00385A3B">
        <w:tc>
          <w:tcPr>
            <w:tcW w:w="9242" w:type="dxa"/>
            <w:gridSpan w:val="4"/>
            <w:tcBorders>
              <w:top w:val="single" w:sz="4" w:space="0" w:color="auto"/>
              <w:left w:val="nil"/>
              <w:bottom w:val="single" w:sz="4" w:space="0" w:color="auto"/>
              <w:right w:val="nil"/>
            </w:tcBorders>
            <w:tcMar>
              <w:top w:w="0" w:type="dxa"/>
              <w:left w:w="0" w:type="dxa"/>
              <w:bottom w:w="0" w:type="dxa"/>
              <w:right w:w="0" w:type="dxa"/>
            </w:tcMar>
            <w:hideMark/>
          </w:tcPr>
          <w:p w14:paraId="515135D6" w14:textId="77777777" w:rsidR="00A35C2D" w:rsidRPr="006A6FF6" w:rsidRDefault="00A35C2D" w:rsidP="009C54A9">
            <w:pPr>
              <w:keepNext/>
              <w:tabs>
                <w:tab w:val="left" w:pos="794"/>
              </w:tabs>
              <w:spacing w:before="40" w:after="40"/>
              <w:rPr>
                <w:rFonts w:eastAsia="新細明體" w:cs="Segoe UI"/>
                <w:b/>
                <w:kern w:val="2"/>
                <w:sz w:val="15"/>
                <w:szCs w:val="15"/>
                <w:lang w:eastAsia="ja-JP"/>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8689"/>
            </w:tblGrid>
            <w:tr w:rsidR="006A6FF6" w:rsidRPr="006A6FF6" w14:paraId="012554AC" w14:textId="77777777" w:rsidTr="00233433">
              <w:trPr>
                <w:trHeight w:val="373"/>
              </w:trPr>
              <w:tc>
                <w:tcPr>
                  <w:tcW w:w="9214" w:type="dxa"/>
                  <w:gridSpan w:val="2"/>
                  <w:shd w:val="clear" w:color="auto" w:fill="BFBFBF" w:themeFill="background1" w:themeFillShade="BF"/>
                  <w:vAlign w:val="bottom"/>
                </w:tcPr>
                <w:p w14:paraId="338B46BB" w14:textId="77777777" w:rsidR="00A35C2D" w:rsidRPr="006A6FF6" w:rsidRDefault="00A35C2D" w:rsidP="00233433">
                  <w:pPr>
                    <w:spacing w:before="40" w:after="40"/>
                    <w:jc w:val="both"/>
                    <w:rPr>
                      <w:rFonts w:eastAsia="新細明體" w:cs="Segoe UI"/>
                      <w:i/>
                      <w:kern w:val="2"/>
                      <w:sz w:val="17"/>
                      <w:szCs w:val="17"/>
                      <w:lang w:val="en-US" w:eastAsia="en-GB"/>
                    </w:rPr>
                  </w:pPr>
                  <w:r w:rsidRPr="006A6FF6">
                    <w:rPr>
                      <w:rFonts w:eastAsia="新細明體" w:cs="Segoe UI" w:hint="eastAsia"/>
                      <w:b/>
                      <w:sz w:val="17"/>
                      <w:szCs w:val="17"/>
                      <w:lang w:eastAsia="zh-HK"/>
                    </w:rPr>
                    <w:t>註釋</w:t>
                  </w:r>
                </w:p>
              </w:tc>
            </w:tr>
            <w:tr w:rsidR="006A6FF6" w:rsidRPr="006A6FF6" w14:paraId="4C91D947" w14:textId="77777777" w:rsidTr="009C54A9">
              <w:trPr>
                <w:trHeight w:val="373"/>
              </w:trPr>
              <w:tc>
                <w:tcPr>
                  <w:tcW w:w="9214" w:type="dxa"/>
                  <w:gridSpan w:val="2"/>
                  <w:shd w:val="pct10" w:color="auto" w:fill="auto"/>
                  <w:vAlign w:val="bottom"/>
                </w:tcPr>
                <w:p w14:paraId="102DEAB5" w14:textId="77777777" w:rsidR="00A35C2D" w:rsidRPr="006A6FF6" w:rsidRDefault="00A35C2D" w:rsidP="00233433">
                  <w:pPr>
                    <w:spacing w:before="40" w:after="40"/>
                    <w:jc w:val="both"/>
                    <w:rPr>
                      <w:rFonts w:eastAsia="新細明體" w:cs="Segoe UI"/>
                      <w:b/>
                      <w:kern w:val="2"/>
                      <w:sz w:val="17"/>
                      <w:szCs w:val="17"/>
                      <w:lang w:val="en-US" w:eastAsia="en-GB"/>
                    </w:rPr>
                  </w:pPr>
                  <w:r w:rsidRPr="006A6FF6">
                    <w:rPr>
                      <w:rFonts w:eastAsia="新細明體" w:cs="Segoe UI" w:hint="eastAsia"/>
                      <w:b/>
                      <w:sz w:val="17"/>
                      <w:szCs w:val="17"/>
                      <w:lang w:eastAsia="zh-HK"/>
                    </w:rPr>
                    <w:t>行</w:t>
                  </w:r>
                </w:p>
              </w:tc>
            </w:tr>
            <w:tr w:rsidR="006A6FF6" w:rsidRPr="006A6FF6" w14:paraId="188D76FC" w14:textId="77777777" w:rsidTr="009C54A9">
              <w:trPr>
                <w:trHeight w:val="373"/>
              </w:trPr>
              <w:tc>
                <w:tcPr>
                  <w:tcW w:w="525" w:type="dxa"/>
                  <w:shd w:val="clear" w:color="auto" w:fill="auto"/>
                </w:tcPr>
                <w:p w14:paraId="12494EA0" w14:textId="77777777" w:rsidR="00A35C2D" w:rsidRPr="006A6FF6" w:rsidRDefault="00A35C2D" w:rsidP="009C54A9">
                  <w:pPr>
                    <w:keepLines/>
                    <w:widowControl w:val="0"/>
                    <w:tabs>
                      <w:tab w:val="left" w:pos="150"/>
                      <w:tab w:val="left" w:pos="397"/>
                      <w:tab w:val="left" w:pos="794"/>
                      <w:tab w:val="left" w:pos="1191"/>
                    </w:tabs>
                    <w:adjustRightInd w:val="0"/>
                    <w:snapToGrid w:val="0"/>
                    <w:spacing w:before="40" w:after="40" w:line="360" w:lineRule="auto"/>
                    <w:rPr>
                      <w:rFonts w:eastAsia="新細明體" w:cs="Segoe UI"/>
                      <w:kern w:val="2"/>
                      <w:sz w:val="17"/>
                      <w:szCs w:val="17"/>
                      <w:lang w:val="en-US" w:eastAsia="en-GB"/>
                    </w:rPr>
                  </w:pPr>
                  <w:r w:rsidRPr="006A6FF6">
                    <w:rPr>
                      <w:rFonts w:eastAsia="新細明體" w:cs="Segoe UI"/>
                      <w:kern w:val="2"/>
                      <w:sz w:val="17"/>
                      <w:szCs w:val="17"/>
                      <w:lang w:val="en-US" w:eastAsia="en-GB"/>
                    </w:rPr>
                    <w:t>1</w:t>
                  </w:r>
                </w:p>
              </w:tc>
              <w:tc>
                <w:tcPr>
                  <w:tcW w:w="8689" w:type="dxa"/>
                  <w:shd w:val="clear" w:color="auto" w:fill="auto"/>
                </w:tcPr>
                <w:p w14:paraId="215A1968" w14:textId="77777777" w:rsidR="00A35C2D" w:rsidRPr="006A6FF6" w:rsidRDefault="00A35C2D" w:rsidP="009C54A9">
                  <w:pPr>
                    <w:adjustRightInd w:val="0"/>
                    <w:snapToGrid w:val="0"/>
                    <w:spacing w:before="60" w:after="120"/>
                    <w:jc w:val="both"/>
                    <w:rPr>
                      <w:rFonts w:eastAsia="新細明體" w:cs="Segoe UI"/>
                      <w:kern w:val="2"/>
                      <w:sz w:val="17"/>
                      <w:szCs w:val="17"/>
                      <w:lang w:val="en-US" w:eastAsia="zh-TW"/>
                    </w:rPr>
                  </w:pPr>
                  <w:r w:rsidRPr="006A6FF6">
                    <w:rPr>
                      <w:rFonts w:eastAsia="新細明體" w:cs="Segoe UI" w:hint="eastAsia"/>
                      <w:i/>
                      <w:kern w:val="2"/>
                      <w:sz w:val="17"/>
                      <w:szCs w:val="17"/>
                      <w:lang w:val="en-US" w:eastAsia="zh-TW"/>
                    </w:rPr>
                    <w:t>業務指標組成部分</w:t>
                  </w:r>
                  <w:r w:rsidRPr="006A6FF6">
                    <w:rPr>
                      <w:rFonts w:eastAsia="新細明體" w:cs="Segoe UI" w:hint="eastAsia"/>
                      <w:i/>
                      <w:kern w:val="2"/>
                      <w:sz w:val="17"/>
                      <w:szCs w:val="17"/>
                      <w:lang w:val="en-US" w:eastAsia="zh-TW"/>
                    </w:rPr>
                    <w:t>(</w:t>
                  </w:r>
                  <w:r w:rsidRPr="006A6FF6">
                    <w:rPr>
                      <w:rFonts w:eastAsia="新細明體" w:cs="Segoe UI"/>
                      <w:i/>
                      <w:kern w:val="2"/>
                      <w:sz w:val="17"/>
                      <w:szCs w:val="17"/>
                      <w:lang w:val="en-US" w:eastAsia="zh-TW"/>
                    </w:rPr>
                    <w:t>BIC)</w:t>
                  </w:r>
                  <w:r w:rsidRPr="006A6FF6">
                    <w:rPr>
                      <w:rFonts w:eastAsia="新細明體" w:cs="Segoe UI"/>
                      <w:kern w:val="2"/>
                      <w:sz w:val="17"/>
                      <w:szCs w:val="17"/>
                      <w:lang w:val="en-US" w:eastAsia="zh-TW"/>
                    </w:rPr>
                    <w:t>：</w:t>
                  </w:r>
                  <w:r w:rsidRPr="006A6FF6">
                    <w:rPr>
                      <w:rFonts w:eastAsia="新細明體" w:cs="Segoe UI" w:hint="eastAsia"/>
                      <w:kern w:val="2"/>
                      <w:sz w:val="17"/>
                      <w:szCs w:val="17"/>
                      <w:lang w:val="en-US" w:eastAsia="zh-HK"/>
                    </w:rPr>
                    <w:t>用作計算</w:t>
                  </w:r>
                  <w:r w:rsidRPr="006A6FF6">
                    <w:rPr>
                      <w:rFonts w:eastAsia="新細明體" w:cs="Segoe UI"/>
                      <w:kern w:val="2"/>
                      <w:sz w:val="17"/>
                      <w:szCs w:val="17"/>
                      <w:lang w:val="en-US" w:eastAsia="zh-TW"/>
                    </w:rPr>
                    <w:t>業務操作風險資本要求</w:t>
                  </w:r>
                  <w:r w:rsidRPr="006A6FF6">
                    <w:rPr>
                      <w:rFonts w:eastAsia="新細明體" w:cs="Segoe UI" w:hint="eastAsia"/>
                      <w:kern w:val="2"/>
                      <w:sz w:val="17"/>
                      <w:szCs w:val="17"/>
                      <w:lang w:val="en-US" w:eastAsia="zh-HK"/>
                    </w:rPr>
                    <w:t>的</w:t>
                  </w:r>
                  <w:r w:rsidRPr="006A6FF6">
                    <w:rPr>
                      <w:rFonts w:eastAsia="新細明體" w:cs="Segoe UI"/>
                      <w:kern w:val="2"/>
                      <w:sz w:val="17"/>
                      <w:szCs w:val="17"/>
                      <w:lang w:val="en-US" w:eastAsia="zh-TW"/>
                    </w:rPr>
                    <w:t>BIC</w:t>
                  </w:r>
                  <w:r w:rsidRPr="006A6FF6">
                    <w:rPr>
                      <w:rFonts w:eastAsia="新細明體" w:cs="Segoe UI" w:hint="eastAsia"/>
                      <w:kern w:val="2"/>
                      <w:sz w:val="17"/>
                      <w:szCs w:val="17"/>
                      <w:lang w:val="en-US" w:eastAsia="zh-TW"/>
                    </w:rPr>
                    <w:t>。</w:t>
                  </w:r>
                </w:p>
              </w:tc>
            </w:tr>
            <w:tr w:rsidR="006A6FF6" w:rsidRPr="006A6FF6" w14:paraId="4B5905CD" w14:textId="77777777" w:rsidTr="009C54A9">
              <w:trPr>
                <w:trHeight w:val="373"/>
              </w:trPr>
              <w:tc>
                <w:tcPr>
                  <w:tcW w:w="525" w:type="dxa"/>
                  <w:shd w:val="clear" w:color="auto" w:fill="auto"/>
                </w:tcPr>
                <w:p w14:paraId="061A70FA" w14:textId="77777777" w:rsidR="00A35C2D" w:rsidRPr="006A6FF6" w:rsidRDefault="00A35C2D" w:rsidP="009C54A9">
                  <w:pPr>
                    <w:keepLines/>
                    <w:widowControl w:val="0"/>
                    <w:tabs>
                      <w:tab w:val="left" w:pos="150"/>
                      <w:tab w:val="left" w:pos="397"/>
                      <w:tab w:val="left" w:pos="794"/>
                      <w:tab w:val="left" w:pos="1191"/>
                    </w:tabs>
                    <w:adjustRightInd w:val="0"/>
                    <w:snapToGrid w:val="0"/>
                    <w:spacing w:before="40" w:after="40" w:line="360" w:lineRule="auto"/>
                    <w:rPr>
                      <w:rFonts w:eastAsia="新細明體" w:cs="Segoe UI"/>
                      <w:kern w:val="2"/>
                      <w:sz w:val="17"/>
                      <w:szCs w:val="17"/>
                      <w:lang w:val="en-US" w:eastAsia="en-GB"/>
                    </w:rPr>
                  </w:pPr>
                  <w:r w:rsidRPr="006A6FF6">
                    <w:rPr>
                      <w:rFonts w:eastAsia="新細明體" w:cs="Segoe UI"/>
                      <w:kern w:val="2"/>
                      <w:sz w:val="17"/>
                      <w:szCs w:val="17"/>
                      <w:lang w:val="en-US" w:eastAsia="en-GB"/>
                    </w:rPr>
                    <w:t>2</w:t>
                  </w:r>
                </w:p>
              </w:tc>
              <w:tc>
                <w:tcPr>
                  <w:tcW w:w="8689" w:type="dxa"/>
                  <w:shd w:val="clear" w:color="auto" w:fill="auto"/>
                </w:tcPr>
                <w:p w14:paraId="3F6CC89D" w14:textId="4C60E986" w:rsidR="00A35C2D" w:rsidRPr="006A6FF6" w:rsidRDefault="00A35C2D" w:rsidP="009C54A9">
                  <w:pPr>
                    <w:adjustRightInd w:val="0"/>
                    <w:snapToGrid w:val="0"/>
                    <w:spacing w:before="60" w:after="120"/>
                    <w:jc w:val="both"/>
                    <w:rPr>
                      <w:rFonts w:eastAsia="新細明體" w:cs="Segoe UI"/>
                      <w:kern w:val="2"/>
                      <w:sz w:val="17"/>
                      <w:szCs w:val="17"/>
                      <w:lang w:val="en-US" w:eastAsia="zh-TW"/>
                    </w:rPr>
                  </w:pPr>
                  <w:r w:rsidRPr="006A6FF6">
                    <w:rPr>
                      <w:rFonts w:eastAsia="新細明體" w:cs="Segoe UI" w:hint="eastAsia"/>
                      <w:i/>
                      <w:kern w:val="2"/>
                      <w:sz w:val="17"/>
                      <w:szCs w:val="17"/>
                      <w:lang w:val="en-US" w:eastAsia="zh-TW"/>
                    </w:rPr>
                    <w:t>內部損失倍率</w:t>
                  </w:r>
                  <w:r w:rsidRPr="006A6FF6">
                    <w:rPr>
                      <w:rFonts w:eastAsia="新細明體" w:cs="Segoe UI" w:hint="eastAsia"/>
                      <w:i/>
                      <w:kern w:val="2"/>
                      <w:sz w:val="17"/>
                      <w:szCs w:val="17"/>
                      <w:lang w:val="en-US" w:eastAsia="zh-TW"/>
                    </w:rPr>
                    <w:t>(</w:t>
                  </w:r>
                  <w:r w:rsidRPr="006A6FF6">
                    <w:rPr>
                      <w:rFonts w:eastAsia="新細明體" w:cs="Segoe UI"/>
                      <w:i/>
                      <w:kern w:val="2"/>
                      <w:sz w:val="17"/>
                      <w:szCs w:val="17"/>
                      <w:lang w:val="en-US" w:eastAsia="zh-TW"/>
                    </w:rPr>
                    <w:t>ILM)</w:t>
                  </w:r>
                  <w:r w:rsidRPr="006A6FF6">
                    <w:rPr>
                      <w:rFonts w:eastAsia="新細明體" w:cs="Segoe UI"/>
                      <w:kern w:val="2"/>
                      <w:sz w:val="17"/>
                      <w:szCs w:val="17"/>
                      <w:lang w:val="en-US" w:eastAsia="zh-TW"/>
                    </w:rPr>
                    <w:t>：</w:t>
                  </w:r>
                  <w:r w:rsidRPr="006A6FF6">
                    <w:rPr>
                      <w:rFonts w:eastAsia="新細明體" w:cs="Segoe UI" w:hint="eastAsia"/>
                      <w:kern w:val="2"/>
                      <w:sz w:val="17"/>
                      <w:szCs w:val="17"/>
                      <w:lang w:val="en-US" w:eastAsia="zh-HK"/>
                    </w:rPr>
                    <w:t>用作計算</w:t>
                  </w:r>
                  <w:r w:rsidRPr="006A6FF6">
                    <w:rPr>
                      <w:rFonts w:eastAsia="新細明體" w:cs="Segoe UI"/>
                      <w:kern w:val="2"/>
                      <w:sz w:val="17"/>
                      <w:szCs w:val="17"/>
                      <w:lang w:val="en-US" w:eastAsia="zh-TW"/>
                    </w:rPr>
                    <w:t>業務操作風險</w:t>
                  </w:r>
                  <w:r w:rsidRPr="006A6FF6">
                    <w:rPr>
                      <w:rFonts w:eastAsia="新細明體" w:cs="Segoe UI" w:hint="eastAsia"/>
                      <w:kern w:val="2"/>
                      <w:sz w:val="17"/>
                      <w:szCs w:val="17"/>
                      <w:lang w:val="en-US" w:eastAsia="zh-HK"/>
                    </w:rPr>
                    <w:t>資</w:t>
                  </w:r>
                  <w:r w:rsidRPr="006A6FF6">
                    <w:rPr>
                      <w:rFonts w:eastAsia="新細明體" w:cs="Segoe UI"/>
                      <w:kern w:val="2"/>
                      <w:sz w:val="17"/>
                      <w:szCs w:val="17"/>
                      <w:lang w:val="en-US" w:eastAsia="zh-TW"/>
                    </w:rPr>
                    <w:t>本要求</w:t>
                  </w:r>
                  <w:r w:rsidRPr="006A6FF6">
                    <w:rPr>
                      <w:rFonts w:eastAsia="新細明體" w:cs="Segoe UI" w:hint="eastAsia"/>
                      <w:kern w:val="2"/>
                      <w:sz w:val="17"/>
                      <w:szCs w:val="17"/>
                      <w:lang w:val="en-US" w:eastAsia="zh-HK"/>
                    </w:rPr>
                    <w:t>的</w:t>
                  </w:r>
                  <w:r w:rsidRPr="006A6FF6">
                    <w:rPr>
                      <w:rFonts w:eastAsia="新細明體" w:cs="Segoe UI"/>
                      <w:kern w:val="2"/>
                      <w:sz w:val="17"/>
                      <w:szCs w:val="17"/>
                      <w:lang w:val="en-US" w:eastAsia="zh-TW"/>
                    </w:rPr>
                    <w:t>ILM</w:t>
                  </w:r>
                  <w:r w:rsidRPr="006A6FF6">
                    <w:rPr>
                      <w:rFonts w:eastAsia="新細明體" w:cs="Segoe UI" w:hint="eastAsia"/>
                      <w:kern w:val="2"/>
                      <w:sz w:val="17"/>
                      <w:szCs w:val="17"/>
                      <w:lang w:val="en-US" w:eastAsia="zh-TW"/>
                    </w:rPr>
                    <w:t>。</w:t>
                  </w:r>
                  <w:r w:rsidRPr="006A6FF6">
                    <w:rPr>
                      <w:rFonts w:eastAsia="新細明體" w:cs="Segoe UI" w:hint="eastAsia"/>
                      <w:kern w:val="2"/>
                      <w:sz w:val="17"/>
                      <w:szCs w:val="17"/>
                      <w:lang w:val="en-US" w:eastAsia="zh-HK"/>
                    </w:rPr>
                    <w:t>若認可機構的</w:t>
                  </w:r>
                  <w:r w:rsidRPr="006A6FF6">
                    <w:rPr>
                      <w:rFonts w:eastAsia="新細明體" w:cs="Segoe UI" w:hint="eastAsia"/>
                      <w:kern w:val="2"/>
                      <w:sz w:val="17"/>
                      <w:szCs w:val="17"/>
                      <w:lang w:val="en-US" w:eastAsia="zh-TW"/>
                    </w:rPr>
                    <w:t>ILM</w:t>
                  </w:r>
                  <w:r w:rsidR="00AA7898" w:rsidRPr="006A6FF6">
                    <w:rPr>
                      <w:rFonts w:eastAsia="新細明體" w:cs="Segoe UI" w:hint="eastAsia"/>
                      <w:kern w:val="2"/>
                      <w:sz w:val="17"/>
                      <w:szCs w:val="17"/>
                      <w:lang w:val="en-US" w:eastAsia="zh-HK"/>
                    </w:rPr>
                    <w:t>並非按照內部</w:t>
                  </w:r>
                  <w:r w:rsidR="00AA7898" w:rsidRPr="006A6FF6">
                    <w:rPr>
                      <w:rFonts w:ascii="新細明體" w:eastAsia="新細明體" w:hAnsi="新細明體" w:cs="Segoe UI" w:hint="eastAsia"/>
                      <w:sz w:val="17"/>
                      <w:szCs w:val="17"/>
                      <w:lang w:eastAsia="zh-HK"/>
                    </w:rPr>
                    <w:t>虧損</w:t>
                  </w:r>
                  <w:r w:rsidRPr="006A6FF6">
                    <w:rPr>
                      <w:rFonts w:eastAsia="新細明體" w:cs="Segoe UI" w:hint="eastAsia"/>
                      <w:kern w:val="2"/>
                      <w:sz w:val="17"/>
                      <w:szCs w:val="17"/>
                      <w:lang w:val="en-US" w:eastAsia="zh-HK"/>
                    </w:rPr>
                    <w:t>數據斷定</w:t>
                  </w:r>
                  <w:r w:rsidRPr="006A6FF6">
                    <w:rPr>
                      <w:rFonts w:eastAsia="新細明體" w:cs="Segoe UI" w:hint="eastAsia"/>
                      <w:kern w:val="2"/>
                      <w:sz w:val="17"/>
                      <w:szCs w:val="17"/>
                      <w:lang w:val="en-US" w:eastAsia="zh-TW"/>
                    </w:rPr>
                    <w:t>，</w:t>
                  </w:r>
                  <w:r w:rsidRPr="006A6FF6">
                    <w:rPr>
                      <w:rFonts w:eastAsia="新細明體" w:cs="Segoe UI" w:hint="eastAsia"/>
                      <w:kern w:val="2"/>
                      <w:sz w:val="17"/>
                      <w:szCs w:val="17"/>
                      <w:lang w:val="en-US" w:eastAsia="zh-HK"/>
                    </w:rPr>
                    <w:t>認可機構必須披露有關</w:t>
                  </w:r>
                  <w:r w:rsidRPr="006A6FF6">
                    <w:rPr>
                      <w:rFonts w:eastAsia="新細明體" w:cs="Segoe UI" w:hint="eastAsia"/>
                      <w:kern w:val="2"/>
                      <w:sz w:val="17"/>
                      <w:szCs w:val="17"/>
                      <w:lang w:val="en-US" w:eastAsia="zh-TW"/>
                    </w:rPr>
                    <w:t>ILM</w:t>
                  </w:r>
                  <w:r w:rsidRPr="006A6FF6">
                    <w:rPr>
                      <w:rFonts w:eastAsia="新細明體" w:cs="Segoe UI" w:hint="eastAsia"/>
                      <w:kern w:val="2"/>
                      <w:sz w:val="17"/>
                      <w:szCs w:val="17"/>
                      <w:lang w:val="en-US" w:eastAsia="zh-TW"/>
                    </w:rPr>
                    <w:t>，</w:t>
                  </w:r>
                  <w:r w:rsidRPr="006A6FF6">
                    <w:rPr>
                      <w:rFonts w:eastAsia="新細明體" w:cs="Segoe UI" w:hint="eastAsia"/>
                      <w:kern w:val="2"/>
                      <w:sz w:val="17"/>
                      <w:szCs w:val="17"/>
                      <w:lang w:val="en-US" w:eastAsia="zh-HK"/>
                    </w:rPr>
                    <w:t>並附以說明。</w:t>
                  </w:r>
                </w:p>
              </w:tc>
            </w:tr>
            <w:tr w:rsidR="006A6FF6" w:rsidRPr="006A6FF6" w14:paraId="27408FAA" w14:textId="77777777" w:rsidTr="009C54A9">
              <w:trPr>
                <w:trHeight w:val="373"/>
              </w:trPr>
              <w:tc>
                <w:tcPr>
                  <w:tcW w:w="525" w:type="dxa"/>
                  <w:tcBorders>
                    <w:bottom w:val="single" w:sz="4" w:space="0" w:color="auto"/>
                  </w:tcBorders>
                  <w:shd w:val="clear" w:color="auto" w:fill="auto"/>
                </w:tcPr>
                <w:p w14:paraId="3140705A" w14:textId="77777777" w:rsidR="00A35C2D" w:rsidRPr="006A6FF6" w:rsidRDefault="00A35C2D" w:rsidP="009C54A9">
                  <w:pPr>
                    <w:keepLines/>
                    <w:widowControl w:val="0"/>
                    <w:tabs>
                      <w:tab w:val="left" w:pos="150"/>
                      <w:tab w:val="left" w:pos="397"/>
                      <w:tab w:val="left" w:pos="794"/>
                      <w:tab w:val="left" w:pos="1191"/>
                    </w:tabs>
                    <w:adjustRightInd w:val="0"/>
                    <w:snapToGrid w:val="0"/>
                    <w:spacing w:before="40" w:after="40" w:line="360" w:lineRule="auto"/>
                    <w:rPr>
                      <w:rFonts w:eastAsia="新細明體" w:cs="Segoe UI"/>
                      <w:kern w:val="2"/>
                      <w:sz w:val="17"/>
                      <w:szCs w:val="17"/>
                      <w:lang w:val="en-US" w:eastAsia="en-GB"/>
                    </w:rPr>
                  </w:pPr>
                  <w:r w:rsidRPr="006A6FF6">
                    <w:rPr>
                      <w:rFonts w:eastAsia="新細明體" w:cs="Segoe UI"/>
                      <w:kern w:val="2"/>
                      <w:sz w:val="17"/>
                      <w:szCs w:val="17"/>
                      <w:lang w:val="en-US" w:eastAsia="en-GB"/>
                    </w:rPr>
                    <w:t>3</w:t>
                  </w:r>
                </w:p>
              </w:tc>
              <w:tc>
                <w:tcPr>
                  <w:tcW w:w="8689" w:type="dxa"/>
                  <w:tcBorders>
                    <w:bottom w:val="single" w:sz="4" w:space="0" w:color="auto"/>
                  </w:tcBorders>
                  <w:shd w:val="clear" w:color="auto" w:fill="auto"/>
                </w:tcPr>
                <w:p w14:paraId="1022EF3C" w14:textId="77777777" w:rsidR="00A35C2D" w:rsidRPr="006A6FF6" w:rsidRDefault="00A35C2D" w:rsidP="009C54A9">
                  <w:pPr>
                    <w:adjustRightInd w:val="0"/>
                    <w:snapToGrid w:val="0"/>
                    <w:spacing w:before="60" w:after="120"/>
                    <w:jc w:val="both"/>
                    <w:rPr>
                      <w:rFonts w:eastAsia="新細明體" w:cs="Segoe UI"/>
                      <w:kern w:val="2"/>
                      <w:sz w:val="17"/>
                      <w:szCs w:val="17"/>
                      <w:lang w:val="en-US" w:eastAsia="zh-TW"/>
                    </w:rPr>
                  </w:pPr>
                  <w:r w:rsidRPr="006A6FF6">
                    <w:rPr>
                      <w:rFonts w:eastAsia="新細明體" w:cs="Segoe UI"/>
                      <w:i/>
                      <w:kern w:val="2"/>
                      <w:sz w:val="17"/>
                      <w:szCs w:val="17"/>
                      <w:lang w:val="en-US" w:eastAsia="zh-TW"/>
                    </w:rPr>
                    <w:t>業務操作風險</w:t>
                  </w:r>
                  <w:r w:rsidRPr="006A6FF6">
                    <w:rPr>
                      <w:rFonts w:eastAsia="新細明體" w:cs="Segoe UI" w:hint="eastAsia"/>
                      <w:i/>
                      <w:kern w:val="2"/>
                      <w:sz w:val="17"/>
                      <w:szCs w:val="17"/>
                      <w:lang w:val="en-US" w:eastAsia="zh-HK"/>
                    </w:rPr>
                    <w:t>最低資本規定</w:t>
                  </w:r>
                  <w:r w:rsidRPr="006A6FF6">
                    <w:rPr>
                      <w:rFonts w:eastAsia="新細明體" w:cs="Segoe UI" w:hint="eastAsia"/>
                      <w:kern w:val="2"/>
                      <w:sz w:val="17"/>
                      <w:szCs w:val="17"/>
                      <w:lang w:val="en-US" w:eastAsia="zh-TW"/>
                    </w:rPr>
                    <w:t>：</w:t>
                  </w:r>
                  <w:r w:rsidRPr="006A6FF6">
                    <w:rPr>
                      <w:rFonts w:eastAsia="新細明體" w:cs="Segoe UI" w:hint="eastAsia"/>
                      <w:kern w:val="2"/>
                      <w:sz w:val="17"/>
                      <w:szCs w:val="17"/>
                      <w:lang w:val="en-US" w:eastAsia="zh-HK"/>
                    </w:rPr>
                    <w:t>這相等於</w:t>
                  </w:r>
                  <w:r w:rsidRPr="006A6FF6">
                    <w:rPr>
                      <w:rFonts w:eastAsia="新細明體" w:cs="Segoe UI"/>
                      <w:kern w:val="2"/>
                      <w:sz w:val="17"/>
                      <w:szCs w:val="17"/>
                      <w:lang w:val="en-US" w:eastAsia="zh-TW"/>
                    </w:rPr>
                    <w:t>BIC</w:t>
                  </w:r>
                  <w:r w:rsidRPr="006A6FF6">
                    <w:rPr>
                      <w:rFonts w:eastAsia="新細明體" w:cs="Segoe UI" w:hint="eastAsia"/>
                      <w:kern w:val="2"/>
                      <w:sz w:val="17"/>
                      <w:szCs w:val="17"/>
                      <w:lang w:val="en-US" w:eastAsia="zh-HK"/>
                    </w:rPr>
                    <w:t>乘以</w:t>
                  </w:r>
                  <w:r w:rsidRPr="006A6FF6">
                    <w:rPr>
                      <w:rFonts w:eastAsia="新細明體" w:cs="Segoe UI"/>
                      <w:kern w:val="2"/>
                      <w:sz w:val="17"/>
                      <w:szCs w:val="17"/>
                      <w:lang w:val="en-US" w:eastAsia="zh-TW"/>
                    </w:rPr>
                    <w:t>ILM</w:t>
                  </w:r>
                  <w:r w:rsidRPr="006A6FF6">
                    <w:rPr>
                      <w:rFonts w:eastAsia="新細明體" w:cs="Segoe UI" w:hint="eastAsia"/>
                      <w:kern w:val="2"/>
                      <w:sz w:val="17"/>
                      <w:szCs w:val="17"/>
                      <w:lang w:val="en-US" w:eastAsia="zh-TW"/>
                    </w:rPr>
                    <w:t>。</w:t>
                  </w:r>
                  <w:r w:rsidRPr="006A6FF6">
                    <w:rPr>
                      <w:rFonts w:eastAsia="新細明體" w:cs="Segoe UI" w:hint="eastAsia"/>
                      <w:kern w:val="2"/>
                      <w:sz w:val="17"/>
                      <w:szCs w:val="17"/>
                      <w:lang w:val="en-US" w:eastAsia="zh-HK"/>
                    </w:rPr>
                    <w:t>若認可機構的</w:t>
                  </w:r>
                  <w:r w:rsidRPr="006A6FF6">
                    <w:rPr>
                      <w:rFonts w:eastAsia="新細明體" w:cs="Segoe UI"/>
                      <w:kern w:val="2"/>
                      <w:sz w:val="17"/>
                      <w:szCs w:val="17"/>
                      <w:lang w:val="en-US" w:eastAsia="zh-TW"/>
                    </w:rPr>
                    <w:t xml:space="preserve">ILM </w:t>
                  </w:r>
                  <w:r w:rsidRPr="006A6FF6">
                    <w:rPr>
                      <w:rFonts w:eastAsia="新細明體" w:cs="Segoe UI" w:hint="eastAsia"/>
                      <w:kern w:val="2"/>
                      <w:sz w:val="17"/>
                      <w:szCs w:val="17"/>
                      <w:lang w:val="en-US" w:eastAsia="zh-HK"/>
                    </w:rPr>
                    <w:t>相等於</w:t>
                  </w:r>
                  <w:r w:rsidRPr="006A6FF6">
                    <w:rPr>
                      <w:rFonts w:eastAsia="新細明體" w:cs="Segoe UI"/>
                      <w:kern w:val="2"/>
                      <w:sz w:val="17"/>
                      <w:szCs w:val="17"/>
                      <w:lang w:val="en-US" w:eastAsia="zh-TW"/>
                    </w:rPr>
                    <w:t>1</w:t>
                  </w:r>
                  <w:r w:rsidRPr="006A6FF6">
                    <w:rPr>
                      <w:rFonts w:eastAsia="新細明體" w:cs="Segoe UI" w:hint="eastAsia"/>
                      <w:kern w:val="2"/>
                      <w:sz w:val="17"/>
                      <w:szCs w:val="17"/>
                      <w:lang w:val="en-US" w:eastAsia="zh-TW"/>
                    </w:rPr>
                    <w:t>，</w:t>
                  </w:r>
                  <w:r w:rsidRPr="006A6FF6">
                    <w:rPr>
                      <w:rFonts w:eastAsia="新細明體" w:cs="Segoe UI" w:hint="eastAsia"/>
                      <w:kern w:val="2"/>
                      <w:sz w:val="17"/>
                      <w:szCs w:val="17"/>
                      <w:lang w:val="en-US" w:eastAsia="zh-HK"/>
                    </w:rPr>
                    <w:t>這便會與</w:t>
                  </w:r>
                  <w:r w:rsidRPr="006A6FF6">
                    <w:rPr>
                      <w:rFonts w:eastAsia="新細明體" w:cs="Segoe UI"/>
                      <w:kern w:val="2"/>
                      <w:sz w:val="17"/>
                      <w:szCs w:val="17"/>
                      <w:lang w:val="en-US" w:eastAsia="zh-TW"/>
                    </w:rPr>
                    <w:t>BIC</w:t>
                  </w:r>
                  <w:r w:rsidRPr="006A6FF6">
                    <w:rPr>
                      <w:rFonts w:eastAsia="新細明體" w:cs="Segoe UI" w:hint="eastAsia"/>
                      <w:kern w:val="2"/>
                      <w:sz w:val="17"/>
                      <w:szCs w:val="17"/>
                      <w:lang w:val="en-US" w:eastAsia="zh-HK"/>
                    </w:rPr>
                    <w:t>相同</w:t>
                  </w:r>
                  <w:r w:rsidRPr="006A6FF6">
                    <w:rPr>
                      <w:rFonts w:eastAsia="新細明體" w:cs="Segoe UI" w:hint="eastAsia"/>
                      <w:kern w:val="2"/>
                      <w:sz w:val="17"/>
                      <w:szCs w:val="17"/>
                      <w:lang w:val="en-US" w:eastAsia="zh-TW"/>
                    </w:rPr>
                    <w:t>。</w:t>
                  </w:r>
                </w:p>
              </w:tc>
            </w:tr>
            <w:tr w:rsidR="006A6FF6" w:rsidRPr="006A6FF6" w14:paraId="44C81FDD" w14:textId="77777777" w:rsidTr="009C54A9">
              <w:trPr>
                <w:trHeight w:val="373"/>
              </w:trPr>
              <w:tc>
                <w:tcPr>
                  <w:tcW w:w="525" w:type="dxa"/>
                  <w:tcBorders>
                    <w:bottom w:val="nil"/>
                  </w:tcBorders>
                  <w:shd w:val="clear" w:color="auto" w:fill="auto"/>
                </w:tcPr>
                <w:p w14:paraId="72D42F71" w14:textId="77777777" w:rsidR="00A35C2D" w:rsidRPr="006A6FF6" w:rsidRDefault="00A35C2D" w:rsidP="009C54A9">
                  <w:pPr>
                    <w:keepLines/>
                    <w:widowControl w:val="0"/>
                    <w:tabs>
                      <w:tab w:val="left" w:pos="150"/>
                      <w:tab w:val="left" w:pos="397"/>
                      <w:tab w:val="left" w:pos="794"/>
                      <w:tab w:val="left" w:pos="1191"/>
                    </w:tabs>
                    <w:adjustRightInd w:val="0"/>
                    <w:snapToGrid w:val="0"/>
                    <w:spacing w:before="40" w:after="40" w:line="360" w:lineRule="auto"/>
                    <w:rPr>
                      <w:rFonts w:eastAsia="新細明體" w:cs="Segoe UI"/>
                      <w:kern w:val="2"/>
                      <w:sz w:val="17"/>
                      <w:szCs w:val="17"/>
                      <w:lang w:val="en-US" w:eastAsia="en-GB"/>
                    </w:rPr>
                  </w:pPr>
                  <w:r w:rsidRPr="006A6FF6">
                    <w:rPr>
                      <w:rFonts w:eastAsia="新細明體" w:cs="Segoe UI"/>
                      <w:kern w:val="2"/>
                      <w:sz w:val="17"/>
                      <w:szCs w:val="17"/>
                      <w:lang w:val="en-US" w:eastAsia="en-GB"/>
                    </w:rPr>
                    <w:t>4</w:t>
                  </w:r>
                </w:p>
              </w:tc>
              <w:tc>
                <w:tcPr>
                  <w:tcW w:w="8689" w:type="dxa"/>
                  <w:tcBorders>
                    <w:bottom w:val="nil"/>
                  </w:tcBorders>
                  <w:shd w:val="clear" w:color="auto" w:fill="auto"/>
                </w:tcPr>
                <w:p w14:paraId="512CF537" w14:textId="77777777" w:rsidR="00A35C2D" w:rsidRPr="006A6FF6" w:rsidRDefault="00A35C2D" w:rsidP="009C54A9">
                  <w:pPr>
                    <w:adjustRightInd w:val="0"/>
                    <w:snapToGrid w:val="0"/>
                    <w:spacing w:before="60" w:after="120" w:line="360" w:lineRule="auto"/>
                    <w:jc w:val="both"/>
                    <w:rPr>
                      <w:rFonts w:eastAsia="新細明體" w:cs="Segoe UI"/>
                      <w:kern w:val="2"/>
                      <w:sz w:val="17"/>
                      <w:szCs w:val="17"/>
                      <w:lang w:val="en-US" w:eastAsia="zh-TW"/>
                    </w:rPr>
                  </w:pPr>
                  <w:r w:rsidRPr="006A6FF6">
                    <w:rPr>
                      <w:rFonts w:eastAsia="新細明體" w:cs="Segoe UI"/>
                      <w:i/>
                      <w:kern w:val="2"/>
                      <w:sz w:val="17"/>
                      <w:szCs w:val="17"/>
                      <w:lang w:val="en-US" w:eastAsia="zh-TW"/>
                    </w:rPr>
                    <w:t>業務操作風險</w:t>
                  </w:r>
                  <w:r w:rsidRPr="006A6FF6">
                    <w:rPr>
                      <w:rFonts w:eastAsia="新細明體" w:cs="Segoe UI" w:hint="eastAsia"/>
                      <w:i/>
                      <w:kern w:val="2"/>
                      <w:sz w:val="17"/>
                      <w:szCs w:val="17"/>
                      <w:lang w:val="en-US" w:eastAsia="zh-HK"/>
                    </w:rPr>
                    <w:t>的總</w:t>
                  </w:r>
                  <w:r w:rsidRPr="006A6FF6">
                    <w:rPr>
                      <w:rFonts w:eastAsia="新細明體" w:cs="Segoe UI"/>
                      <w:i/>
                      <w:kern w:val="2"/>
                      <w:sz w:val="17"/>
                      <w:szCs w:val="17"/>
                      <w:lang w:val="en-US" w:eastAsia="zh-TW"/>
                    </w:rPr>
                    <w:t>風險加權數額</w:t>
                  </w:r>
                  <w:r w:rsidRPr="006A6FF6">
                    <w:rPr>
                      <w:rFonts w:eastAsia="新細明體" w:cs="Segoe UI"/>
                      <w:kern w:val="2"/>
                      <w:sz w:val="17"/>
                      <w:szCs w:val="17"/>
                      <w:lang w:val="en-US" w:eastAsia="zh-TW"/>
                    </w:rPr>
                    <w:t>：</w:t>
                  </w:r>
                  <w:r w:rsidRPr="006A6FF6">
                    <w:rPr>
                      <w:rFonts w:eastAsia="新細明體" w:cs="Segoe UI" w:hint="eastAsia"/>
                      <w:kern w:val="2"/>
                      <w:sz w:val="17"/>
                      <w:szCs w:val="17"/>
                      <w:lang w:val="en-US" w:eastAsia="zh-HK"/>
                    </w:rPr>
                    <w:t>將</w:t>
                  </w:r>
                  <w:r w:rsidRPr="006A6FF6">
                    <w:rPr>
                      <w:rFonts w:eastAsia="新細明體" w:cs="Segoe UI"/>
                      <w:kern w:val="2"/>
                      <w:sz w:val="17"/>
                      <w:szCs w:val="17"/>
                      <w:lang w:val="en-US" w:eastAsia="zh-TW"/>
                    </w:rPr>
                    <w:t>業務操作風險</w:t>
                  </w:r>
                  <w:r w:rsidRPr="006A6FF6">
                    <w:rPr>
                      <w:rFonts w:ascii="新細明體" w:eastAsia="新細明體" w:hAnsi="新細明體" w:cs="Segoe UI" w:hint="eastAsia"/>
                      <w:kern w:val="2"/>
                      <w:sz w:val="17"/>
                      <w:szCs w:val="17"/>
                      <w:lang w:val="en-US" w:eastAsia="zh-TW"/>
                    </w:rPr>
                    <w:t>最低</w:t>
                  </w:r>
                  <w:r w:rsidRPr="006A6FF6">
                    <w:rPr>
                      <w:rFonts w:eastAsia="新細明體" w:cs="Segoe UI" w:hint="eastAsia"/>
                      <w:kern w:val="2"/>
                      <w:sz w:val="17"/>
                      <w:szCs w:val="17"/>
                      <w:lang w:val="en-US" w:eastAsia="zh-HK"/>
                    </w:rPr>
                    <w:t>資本規定轉換為</w:t>
                  </w:r>
                  <w:r w:rsidRPr="006A6FF6">
                    <w:rPr>
                      <w:rFonts w:eastAsia="新細明體" w:cs="Segoe UI"/>
                      <w:kern w:val="2"/>
                      <w:sz w:val="17"/>
                      <w:szCs w:val="17"/>
                      <w:lang w:val="en-US" w:eastAsia="zh-TW"/>
                    </w:rPr>
                    <w:t>風險加權數額</w:t>
                  </w:r>
                  <w:r w:rsidRPr="006A6FF6">
                    <w:rPr>
                      <w:rFonts w:eastAsia="新細明體" w:cs="Segoe UI" w:hint="eastAsia"/>
                      <w:kern w:val="2"/>
                      <w:sz w:val="17"/>
                      <w:szCs w:val="17"/>
                      <w:lang w:val="en-US" w:eastAsia="zh-TW"/>
                    </w:rPr>
                    <w:t>。</w:t>
                  </w:r>
                </w:p>
              </w:tc>
            </w:tr>
          </w:tbl>
          <w:p w14:paraId="4C7B35CE" w14:textId="77777777" w:rsidR="00A35C2D" w:rsidRPr="006A6FF6" w:rsidRDefault="00A35C2D" w:rsidP="009C54A9">
            <w:pPr>
              <w:keepNext/>
              <w:tabs>
                <w:tab w:val="left" w:pos="794"/>
              </w:tabs>
              <w:spacing w:before="40" w:after="40"/>
              <w:rPr>
                <w:rFonts w:eastAsia="新細明體" w:cs="Segoe UI"/>
                <w:sz w:val="15"/>
                <w:lang w:eastAsia="zh-TW"/>
              </w:rPr>
            </w:pPr>
          </w:p>
        </w:tc>
      </w:tr>
    </w:tbl>
    <w:p w14:paraId="0B5F9DDD" w14:textId="77777777" w:rsidR="00A35C2D" w:rsidRDefault="00A35C2D">
      <w:pPr>
        <w:rPr>
          <w:lang w:eastAsia="zh-TW"/>
        </w:rPr>
      </w:pPr>
    </w:p>
    <w:p w14:paraId="59B4BA68" w14:textId="77777777" w:rsidR="00190D67" w:rsidRDefault="00190D67">
      <w:pPr>
        <w:rPr>
          <w:rFonts w:eastAsiaTheme="minorEastAsia" w:cs="Segoe UI"/>
          <w:lang w:eastAsia="zh-TW"/>
        </w:rPr>
        <w:sectPr w:rsidR="00190D67">
          <w:footerReference w:type="default" r:id="rId119"/>
          <w:pgSz w:w="11906" w:h="16838"/>
          <w:pgMar w:top="1440" w:right="1800" w:bottom="1440" w:left="1800" w:header="851" w:footer="992" w:gutter="0"/>
          <w:cols w:space="425"/>
          <w:docGrid w:type="lines" w:linePitch="360"/>
        </w:sectPr>
      </w:pPr>
    </w:p>
    <w:p w14:paraId="2F02EB5C" w14:textId="77777777" w:rsidR="00190D67" w:rsidRPr="003905B9" w:rsidRDefault="00190D67" w:rsidP="00385A3B">
      <w:pPr>
        <w:pStyle w:val="Heading1"/>
        <w:tabs>
          <w:tab w:val="left" w:pos="426"/>
        </w:tabs>
        <w:spacing w:before="0"/>
        <w:ind w:leftChars="-283" w:left="-566" w:firstLine="140"/>
        <w:rPr>
          <w:rFonts w:eastAsia="新細明體" w:cs="Segoe UI"/>
          <w:lang w:eastAsia="zh-TW"/>
        </w:rPr>
      </w:pPr>
      <w:r w:rsidRPr="00076EA3">
        <w:rPr>
          <w:rFonts w:eastAsia="新細明體" w:cs="Segoe UI"/>
          <w:lang w:eastAsia="zh-TW"/>
        </w:rPr>
        <w:t>第</w:t>
      </w:r>
      <w:r w:rsidRPr="00076EA3">
        <w:rPr>
          <w:rFonts w:eastAsia="新細明體" w:cs="Segoe UI"/>
          <w:lang w:eastAsia="zh-TW"/>
        </w:rPr>
        <w:t>X</w:t>
      </w:r>
      <w:r w:rsidRPr="00076EA3">
        <w:rPr>
          <w:rFonts w:eastAsia="新細明體" w:cs="Segoe UI" w:hint="eastAsia"/>
          <w:lang w:eastAsia="zh-HK"/>
        </w:rPr>
        <w:t>部</w:t>
      </w:r>
      <w:r w:rsidRPr="00076EA3">
        <w:rPr>
          <w:rFonts w:eastAsia="新細明體" w:cs="Segoe UI" w:hint="eastAsia"/>
          <w:lang w:eastAsia="zh-TW"/>
        </w:rPr>
        <w:t>：</w:t>
      </w:r>
      <w:r w:rsidRPr="00076EA3">
        <w:rPr>
          <w:rFonts w:eastAsia="新細明體" w:cs="Segoe UI" w:hint="eastAsia"/>
          <w:lang w:eastAsia="zh-HK"/>
        </w:rPr>
        <w:t>模式化與標準化</w:t>
      </w:r>
      <w:r w:rsidRPr="00076EA3">
        <w:rPr>
          <w:rFonts w:eastAsia="新細明體" w:cs="Segoe UI"/>
          <w:lang w:eastAsia="zh-TW"/>
        </w:rPr>
        <w:t>風險加權數額</w:t>
      </w:r>
      <w:r w:rsidRPr="00076EA3">
        <w:rPr>
          <w:rFonts w:eastAsia="新細明體" w:cs="Segoe UI" w:hint="eastAsia"/>
          <w:lang w:eastAsia="zh-HK"/>
        </w:rPr>
        <w:t>的比較</w:t>
      </w:r>
    </w:p>
    <w:p w14:paraId="70A4EBD7" w14:textId="311E8F6D" w:rsidR="00A35C2D" w:rsidRPr="006A6FF6" w:rsidRDefault="00A35C2D" w:rsidP="00A35C2D">
      <w:pPr>
        <w:pStyle w:val="Heading2"/>
        <w:keepNext w:val="0"/>
        <w:suppressAutoHyphens w:val="0"/>
        <w:spacing w:before="40" w:line="240" w:lineRule="auto"/>
        <w:ind w:left="-454"/>
        <w:rPr>
          <w:rFonts w:asciiTheme="majorEastAsia" w:eastAsiaTheme="majorEastAsia" w:hAnsiTheme="majorEastAsia"/>
          <w:b w:val="0"/>
          <w:bCs w:val="0"/>
          <w:sz w:val="22"/>
          <w:szCs w:val="20"/>
          <w:lang w:eastAsia="zh-TW"/>
        </w:rPr>
      </w:pPr>
      <w:r w:rsidRPr="006A6FF6">
        <w:rPr>
          <w:rFonts w:asciiTheme="majorEastAsia" w:eastAsiaTheme="majorEastAsia" w:hAnsiTheme="majorEastAsia" w:cs="微軟正黑體" w:hint="eastAsia"/>
          <w:b w:val="0"/>
          <w:bCs w:val="0"/>
          <w:sz w:val="22"/>
          <w:szCs w:val="20"/>
          <w:lang w:eastAsia="zh-TW"/>
        </w:rPr>
        <w:t>模版</w:t>
      </w:r>
      <w:r w:rsidRPr="006A6FF6">
        <w:rPr>
          <w:rFonts w:ascii="Segoe UI" w:eastAsiaTheme="majorEastAsia" w:hAnsi="Segoe UI" w:cs="Segoe UI"/>
          <w:b w:val="0"/>
          <w:bCs w:val="0"/>
          <w:sz w:val="22"/>
          <w:szCs w:val="20"/>
          <w:lang w:eastAsia="zh-TW"/>
        </w:rPr>
        <w:t>CMS1</w:t>
      </w:r>
      <w:r w:rsidRPr="006A6FF6">
        <w:rPr>
          <w:rFonts w:asciiTheme="majorEastAsia" w:eastAsiaTheme="majorEastAsia" w:hAnsiTheme="majorEastAsia" w:cs="微軟正黑體" w:hint="eastAsia"/>
          <w:b w:val="0"/>
          <w:bCs w:val="0"/>
          <w:sz w:val="22"/>
          <w:szCs w:val="20"/>
          <w:lang w:eastAsia="zh-TW"/>
        </w:rPr>
        <w:t>：模式化與標準化風險加權數額在風險層面上的比較</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6A6FF6" w:rsidRPr="006A6FF6" w14:paraId="49005DED" w14:textId="77777777" w:rsidTr="000F143F">
        <w:tc>
          <w:tcPr>
            <w:tcW w:w="2160" w:type="dxa"/>
          </w:tcPr>
          <w:p w14:paraId="773FC9D3" w14:textId="77777777" w:rsidR="00190D67" w:rsidRPr="006A6FF6" w:rsidRDefault="00190D67" w:rsidP="00862754">
            <w:pPr>
              <w:spacing w:before="40" w:after="40"/>
              <w:rPr>
                <w:rFonts w:eastAsia="新細明體" w:cs="Segoe UI"/>
                <w:noProof/>
                <w:sz w:val="17"/>
                <w:lang w:eastAsia="en-GB"/>
              </w:rPr>
            </w:pPr>
            <w:proofErr w:type="spellStart"/>
            <w:r w:rsidRPr="006A6FF6">
              <w:rPr>
                <w:rFonts w:eastAsia="新細明體" w:cs="Segoe UI"/>
                <w:b/>
                <w:sz w:val="17"/>
                <w:lang w:eastAsia="en-GB"/>
              </w:rPr>
              <w:t>目的</w:t>
            </w:r>
            <w:proofErr w:type="spellEnd"/>
            <w:r w:rsidRPr="006A6FF6">
              <w:rPr>
                <w:rFonts w:eastAsia="新細明體" w:cs="Segoe UI"/>
                <w:b/>
                <w:sz w:val="17"/>
                <w:lang w:eastAsia="en-GB"/>
              </w:rPr>
              <w:t>：</w:t>
            </w:r>
          </w:p>
        </w:tc>
        <w:tc>
          <w:tcPr>
            <w:tcW w:w="7088" w:type="dxa"/>
          </w:tcPr>
          <w:p w14:paraId="652EA1C1" w14:textId="2FF0A26A" w:rsidR="00190D67" w:rsidRPr="006A6FF6" w:rsidRDefault="00FC5741" w:rsidP="008475EA">
            <w:pPr>
              <w:spacing w:before="40" w:after="40"/>
              <w:jc w:val="both"/>
              <w:rPr>
                <w:rFonts w:eastAsia="新細明體" w:cs="Segoe UI"/>
                <w:noProof/>
                <w:sz w:val="17"/>
                <w:lang w:eastAsia="zh-TW"/>
              </w:rPr>
            </w:pPr>
            <w:r w:rsidRPr="006A6FF6">
              <w:rPr>
                <w:rFonts w:eastAsia="新細明體" w:cs="Segoe UI" w:hint="eastAsia"/>
                <w:sz w:val="17"/>
                <w:lang w:eastAsia="zh-HK"/>
              </w:rPr>
              <w:t>為</w:t>
            </w:r>
            <w:r w:rsidR="00190D67" w:rsidRPr="006A6FF6">
              <w:rPr>
                <w:rFonts w:eastAsia="新細明體" w:cs="Segoe UI" w:hint="eastAsia"/>
                <w:sz w:val="17"/>
                <w:lang w:eastAsia="zh-HK"/>
              </w:rPr>
              <w:t>比較</w:t>
            </w:r>
            <w:r w:rsidRPr="006A6FF6">
              <w:rPr>
                <w:rFonts w:eastAsia="新細明體" w:cs="Segoe UI" w:hint="eastAsia"/>
                <w:sz w:val="17"/>
                <w:lang w:eastAsia="zh-HK"/>
              </w:rPr>
              <w:t>按</w:t>
            </w:r>
            <w:r w:rsidR="00190D67" w:rsidRPr="006A6FF6">
              <w:rPr>
                <w:rFonts w:ascii="新細明體" w:eastAsia="新細明體" w:hAnsi="新細明體" w:cs="Segoe UI" w:hint="eastAsia"/>
                <w:sz w:val="17"/>
                <w:lang w:eastAsia="zh-TW"/>
              </w:rPr>
              <w:t>「</w:t>
            </w:r>
            <w:r w:rsidR="00190D67" w:rsidRPr="006A6FF6">
              <w:rPr>
                <w:rFonts w:ascii="新細明體" w:eastAsia="新細明體" w:hAnsi="新細明體" w:cs="Segoe UI" w:hint="eastAsia"/>
                <w:sz w:val="17"/>
                <w:lang w:eastAsia="zh-HK"/>
              </w:rPr>
              <w:t>全</w:t>
            </w:r>
            <w:r w:rsidR="00775E47" w:rsidRPr="006A6FF6">
              <w:rPr>
                <w:rFonts w:ascii="新細明體" w:eastAsia="新細明體" w:hAnsi="新細明體" w:cs="Segoe UI" w:hint="eastAsia"/>
                <w:sz w:val="17"/>
                <w:lang w:eastAsia="zh-HK"/>
              </w:rPr>
              <w:t>面</w:t>
            </w:r>
            <w:r w:rsidR="00190D67" w:rsidRPr="006A6FF6">
              <w:rPr>
                <w:rFonts w:ascii="新細明體" w:eastAsia="新細明體" w:hAnsi="新細明體" w:cs="Segoe UI" w:hint="eastAsia"/>
                <w:sz w:val="17"/>
                <w:lang w:eastAsia="zh-HK"/>
              </w:rPr>
              <w:t>標準</w:t>
            </w:r>
            <w:r w:rsidR="00190D67" w:rsidRPr="006A6FF6">
              <w:rPr>
                <w:rFonts w:ascii="新細明體" w:eastAsia="新細明體" w:hAnsi="新細明體" w:cs="Segoe UI" w:hint="eastAsia"/>
                <w:sz w:val="17"/>
                <w:lang w:eastAsia="zh-TW"/>
              </w:rPr>
              <w:t>」</w:t>
            </w:r>
            <w:r w:rsidR="00190D67" w:rsidRPr="006A6FF6">
              <w:rPr>
                <w:rFonts w:ascii="新細明體" w:eastAsia="新細明體" w:hAnsi="新細明體" w:cs="Segoe UI" w:hint="eastAsia"/>
                <w:sz w:val="17"/>
                <w:lang w:eastAsia="zh-HK"/>
              </w:rPr>
              <w:t>計算法計算的</w:t>
            </w:r>
            <w:r w:rsidR="00190D67" w:rsidRPr="006A6FF6">
              <w:rPr>
                <w:rFonts w:eastAsia="新細明體" w:cs="Segoe UI"/>
                <w:sz w:val="17"/>
                <w:lang w:eastAsia="zh-TW"/>
              </w:rPr>
              <w:t>風險加權數額</w:t>
            </w:r>
            <w:r w:rsidRPr="006A6FF6">
              <w:rPr>
                <w:rFonts w:eastAsia="新細明體" w:cs="Segoe UI" w:hint="eastAsia"/>
                <w:sz w:val="17"/>
                <w:lang w:eastAsia="zh-TW"/>
              </w:rPr>
              <w:t>與</w:t>
            </w:r>
            <w:r w:rsidR="00190D67" w:rsidRPr="006A6FF6">
              <w:rPr>
                <w:rFonts w:eastAsia="新細明體" w:cs="Segoe UI" w:hint="eastAsia"/>
                <w:sz w:val="17"/>
                <w:lang w:eastAsia="zh-HK"/>
              </w:rPr>
              <w:t>實際風險加權數額</w:t>
            </w:r>
            <w:r w:rsidR="00190D67" w:rsidRPr="006A6FF6">
              <w:rPr>
                <w:rFonts w:eastAsia="新細明體" w:cs="Segoe UI" w:hint="eastAsia"/>
                <w:sz w:val="17"/>
                <w:lang w:eastAsia="zh-TW"/>
              </w:rPr>
              <w:t>，</w:t>
            </w:r>
            <w:r w:rsidR="007F0C67" w:rsidRPr="006A6FF6">
              <w:rPr>
                <w:rFonts w:eastAsia="新細明體" w:cs="Segoe UI" w:hint="eastAsia"/>
                <w:sz w:val="17"/>
                <w:lang w:eastAsia="zh-HK"/>
              </w:rPr>
              <w:t>後者部分是按</w:t>
            </w:r>
            <w:r w:rsidR="00190D67" w:rsidRPr="006A6FF6">
              <w:rPr>
                <w:rFonts w:eastAsia="新細明體" w:cs="Segoe UI" w:hint="eastAsia"/>
                <w:sz w:val="17"/>
                <w:lang w:eastAsia="zh-HK"/>
              </w:rPr>
              <w:t>金融管理專員批准</w:t>
            </w:r>
            <w:r w:rsidR="00756D6D" w:rsidRPr="006A6FF6">
              <w:rPr>
                <w:rFonts w:eastAsia="新細明體" w:cs="Segoe UI" w:hint="eastAsia"/>
                <w:sz w:val="17"/>
                <w:lang w:eastAsia="zh-HK"/>
              </w:rPr>
              <w:t>認可機構</w:t>
            </w:r>
            <w:r w:rsidR="008475EA" w:rsidRPr="006A6FF6">
              <w:rPr>
                <w:rFonts w:eastAsia="新細明體" w:cs="Segoe UI" w:hint="eastAsia"/>
                <w:sz w:val="17"/>
                <w:lang w:eastAsia="zh-HK"/>
              </w:rPr>
              <w:t>採</w:t>
            </w:r>
            <w:r w:rsidR="00190D67" w:rsidRPr="006A6FF6">
              <w:rPr>
                <w:rFonts w:eastAsia="新細明體" w:cs="Segoe UI" w:hint="eastAsia"/>
                <w:sz w:val="17"/>
                <w:lang w:eastAsia="zh-HK"/>
              </w:rPr>
              <w:t>用的任何模式基準計算法計算</w:t>
            </w:r>
            <w:r w:rsidR="00F67A69" w:rsidRPr="006A6FF6">
              <w:rPr>
                <w:rFonts w:eastAsia="新細明體" w:cs="Segoe UI" w:hint="eastAsia"/>
                <w:sz w:val="17"/>
                <w:lang w:eastAsia="zh-HK"/>
              </w:rPr>
              <w:t>所</w:t>
            </w:r>
            <w:r w:rsidR="00190D67" w:rsidRPr="006A6FF6">
              <w:rPr>
                <w:rFonts w:eastAsia="新細明體" w:cs="Segoe UI" w:hint="eastAsia"/>
                <w:sz w:val="17"/>
                <w:lang w:eastAsia="zh-HK"/>
              </w:rPr>
              <w:t>得</w:t>
            </w:r>
            <w:r w:rsidR="00190D67" w:rsidRPr="006A6FF6">
              <w:rPr>
                <w:rFonts w:eastAsia="新細明體" w:cs="Segoe UI" w:hint="eastAsia"/>
                <w:sz w:val="17"/>
                <w:lang w:eastAsia="zh-TW"/>
              </w:rPr>
              <w:t>。</w:t>
            </w:r>
            <w:r w:rsidR="00775E47" w:rsidRPr="006A6FF6">
              <w:rPr>
                <w:rFonts w:eastAsia="新細明體" w:cs="Segoe UI" w:hint="eastAsia"/>
                <w:sz w:val="17"/>
                <w:lang w:eastAsia="zh-HK"/>
              </w:rPr>
              <w:t>本</w:t>
            </w:r>
            <w:r w:rsidR="00190D67" w:rsidRPr="006A6FF6">
              <w:rPr>
                <w:rFonts w:ascii="新細明體" w:eastAsia="新細明體" w:hAnsi="新細明體" w:cs="Segoe UI" w:hint="eastAsia"/>
                <w:sz w:val="17"/>
                <w:lang w:eastAsia="zh-TW"/>
              </w:rPr>
              <w:t>披露</w:t>
            </w:r>
            <w:r w:rsidR="00190D67" w:rsidRPr="006A6FF6">
              <w:rPr>
                <w:rFonts w:eastAsia="新細明體" w:cs="Segoe UI" w:hint="eastAsia"/>
                <w:sz w:val="17"/>
                <w:lang w:eastAsia="zh-HK"/>
              </w:rPr>
              <w:t>亦</w:t>
            </w:r>
            <w:r w:rsidR="00190D67" w:rsidRPr="006A6FF6">
              <w:rPr>
                <w:rFonts w:ascii="新細明體" w:eastAsia="新細明體" w:hAnsi="新細明體" w:cs="Segoe UI" w:hint="eastAsia"/>
                <w:sz w:val="17"/>
                <w:lang w:eastAsia="zh-TW"/>
              </w:rPr>
              <w:t>提供</w:t>
            </w:r>
            <w:r w:rsidR="00190D67" w:rsidRPr="006A6FF6">
              <w:rPr>
                <w:rFonts w:ascii="細明體" w:eastAsia="細明體" w:hAnsi="細明體" w:cs="Segoe UI" w:hint="eastAsia"/>
                <w:sz w:val="17"/>
                <w:lang w:eastAsia="zh-TW"/>
              </w:rPr>
              <w:t>《</w:t>
            </w:r>
            <w:r w:rsidR="00190D67" w:rsidRPr="006A6FF6">
              <w:rPr>
                <w:rFonts w:ascii="細明體" w:eastAsia="細明體" w:hAnsi="細明體" w:cs="Segoe UI" w:hint="eastAsia"/>
                <w:sz w:val="17"/>
                <w:lang w:eastAsia="zh-HK"/>
              </w:rPr>
              <w:t>資本規則</w:t>
            </w:r>
            <w:r w:rsidR="00190D67" w:rsidRPr="006A6FF6">
              <w:rPr>
                <w:rFonts w:ascii="細明體" w:eastAsia="細明體" w:hAnsi="細明體" w:cs="Segoe UI" w:hint="eastAsia"/>
                <w:sz w:val="17"/>
                <w:lang w:eastAsia="zh-TW"/>
              </w:rPr>
              <w:t>》</w:t>
            </w:r>
            <w:r w:rsidR="00190D67" w:rsidRPr="006A6FF6">
              <w:rPr>
                <w:rFonts w:eastAsia="新細明體" w:cs="Segoe UI"/>
                <w:sz w:val="17"/>
                <w:lang w:eastAsia="zh-TW"/>
              </w:rPr>
              <w:t>第</w:t>
            </w:r>
            <w:r w:rsidR="00756D6D" w:rsidRPr="006A6FF6">
              <w:rPr>
                <w:rFonts w:eastAsia="新細明體" w:cs="Segoe UI"/>
                <w:sz w:val="17"/>
                <w:lang w:eastAsia="zh-TW"/>
              </w:rPr>
              <w:t>11</w:t>
            </w:r>
            <w:r w:rsidR="00190D67" w:rsidRPr="006A6FF6">
              <w:rPr>
                <w:rFonts w:eastAsia="新細明體" w:cs="Segoe UI" w:hint="eastAsia"/>
                <w:sz w:val="17"/>
                <w:lang w:eastAsia="zh-HK"/>
              </w:rPr>
              <w:t>部所指明用作計算出項下限的全</w:t>
            </w:r>
            <w:r w:rsidR="00775E47" w:rsidRPr="006A6FF6">
              <w:rPr>
                <w:rFonts w:ascii="新細明體" w:eastAsia="新細明體" w:hAnsi="新細明體" w:cs="Segoe UI" w:hint="eastAsia"/>
                <w:sz w:val="17"/>
                <w:lang w:eastAsia="zh-HK"/>
              </w:rPr>
              <w:t>面</w:t>
            </w:r>
            <w:r w:rsidR="00190D67" w:rsidRPr="006A6FF6">
              <w:rPr>
                <w:rFonts w:eastAsia="新細明體" w:cs="Segoe UI" w:hint="eastAsia"/>
                <w:sz w:val="17"/>
                <w:lang w:eastAsia="zh-HK"/>
              </w:rPr>
              <w:t>標準化風險加權數額</w:t>
            </w:r>
            <w:r w:rsidR="00190D67" w:rsidRPr="006A6FF6">
              <w:rPr>
                <w:rFonts w:eastAsia="新細明體" w:cs="Segoe UI" w:hint="eastAsia"/>
                <w:sz w:val="17"/>
                <w:lang w:eastAsia="zh-TW"/>
              </w:rPr>
              <w:t>。</w:t>
            </w:r>
          </w:p>
        </w:tc>
      </w:tr>
      <w:tr w:rsidR="006A6FF6" w:rsidRPr="006A6FF6" w14:paraId="39E9F35D" w14:textId="77777777" w:rsidTr="000F143F">
        <w:tc>
          <w:tcPr>
            <w:tcW w:w="2160" w:type="dxa"/>
          </w:tcPr>
          <w:p w14:paraId="2E202DC2"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lang w:eastAsia="en-GB"/>
              </w:rPr>
              <w:t>適用範圍</w:t>
            </w:r>
            <w:proofErr w:type="spellEnd"/>
            <w:r w:rsidRPr="006A6FF6">
              <w:rPr>
                <w:rFonts w:eastAsia="新細明體" w:cs="Segoe UI"/>
                <w:b/>
                <w:sz w:val="17"/>
                <w:lang w:eastAsia="en-GB"/>
              </w:rPr>
              <w:t>：</w:t>
            </w:r>
          </w:p>
        </w:tc>
        <w:tc>
          <w:tcPr>
            <w:tcW w:w="7088" w:type="dxa"/>
          </w:tcPr>
          <w:p w14:paraId="23882B18" w14:textId="2D05FF1B" w:rsidR="00190D67" w:rsidRPr="006A6FF6" w:rsidRDefault="00190D67" w:rsidP="00862754">
            <w:pPr>
              <w:spacing w:before="40" w:after="40"/>
              <w:jc w:val="both"/>
              <w:rPr>
                <w:rFonts w:eastAsia="新細明體" w:cs="Segoe UI"/>
                <w:b/>
                <w:sz w:val="17"/>
                <w:lang w:eastAsia="zh-TW"/>
              </w:rPr>
            </w:pPr>
            <w:r w:rsidRPr="006A6FF6">
              <w:rPr>
                <w:rFonts w:eastAsia="新細明體" w:cs="Segoe UI" w:hint="eastAsia"/>
                <w:sz w:val="17"/>
                <w:lang w:eastAsia="zh-HK"/>
              </w:rPr>
              <w:t>所有在香港成立為法團並採用模式基準計算法計算</w:t>
            </w:r>
            <w:r w:rsidRPr="006A6FF6">
              <w:rPr>
                <w:rFonts w:ascii="新細明體" w:eastAsia="新細明體" w:hAnsi="新細明體" w:cs="Segoe UI" w:hint="eastAsia"/>
                <w:sz w:val="17"/>
                <w:lang w:eastAsia="zh-TW"/>
              </w:rPr>
              <w:t>其</w:t>
            </w:r>
            <w:r w:rsidRPr="006A6FF6">
              <w:rPr>
                <w:rFonts w:eastAsia="新細明體" w:cs="Segoe UI" w:hint="eastAsia"/>
                <w:sz w:val="17"/>
                <w:lang w:eastAsia="zh-HK"/>
              </w:rPr>
              <w:t>信用風險或市場風險</w:t>
            </w:r>
            <w:r w:rsidRPr="006A6FF6">
              <w:rPr>
                <w:rFonts w:ascii="DengXian" w:eastAsia="DengXian" w:hAnsi="DengXian" w:cs="Segoe UI" w:hint="eastAsia"/>
                <w:sz w:val="17"/>
                <w:lang w:eastAsia="zh-TW"/>
              </w:rPr>
              <w:t>（</w:t>
            </w:r>
            <w:r w:rsidRPr="006A6FF6">
              <w:rPr>
                <w:rFonts w:eastAsia="新細明體" w:cs="Segoe UI" w:hint="eastAsia"/>
                <w:sz w:val="17"/>
                <w:lang w:eastAsia="zh-HK"/>
              </w:rPr>
              <w:t>或同</w:t>
            </w:r>
            <w:r w:rsidRPr="006A6FF6">
              <w:rPr>
                <w:rFonts w:eastAsia="新細明體" w:cs="Segoe UI" w:hint="eastAsia"/>
                <w:sz w:val="17"/>
                <w:lang w:eastAsia="zh-TW"/>
              </w:rPr>
              <w:t>時</w:t>
            </w:r>
            <w:r w:rsidRPr="006A6FF6">
              <w:rPr>
                <w:rFonts w:ascii="新細明體" w:eastAsia="新細明體" w:hAnsi="新細明體" w:cs="Segoe UI" w:hint="eastAsia"/>
                <w:sz w:val="17"/>
                <w:lang w:eastAsia="zh-TW"/>
              </w:rPr>
              <w:t>計算</w:t>
            </w:r>
            <w:r w:rsidRPr="006A6FF6">
              <w:rPr>
                <w:rFonts w:eastAsia="新細明體" w:cs="Segoe UI" w:hint="eastAsia"/>
                <w:sz w:val="17"/>
                <w:lang w:eastAsia="zh-HK"/>
              </w:rPr>
              <w:t>兩者</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lang w:eastAsia="zh-HK"/>
              </w:rPr>
              <w:t>的認可機構</w:t>
            </w:r>
            <w:r w:rsidR="00FF30C5" w:rsidRPr="006A6FF6">
              <w:rPr>
                <w:rFonts w:eastAsia="新細明體" w:cs="Segoe UI" w:hint="eastAsia"/>
                <w:sz w:val="17"/>
                <w:lang w:eastAsia="zh-HK"/>
              </w:rPr>
              <w:t>，</w:t>
            </w:r>
            <w:r w:rsidRPr="006A6FF6">
              <w:rPr>
                <w:rFonts w:eastAsia="新細明體" w:cs="Segoe UI" w:hint="eastAsia"/>
                <w:sz w:val="17"/>
                <w:lang w:eastAsia="zh-HK"/>
              </w:rPr>
              <w:t>均須填報本模版</w:t>
            </w:r>
            <w:r w:rsidRPr="006A6FF6">
              <w:rPr>
                <w:rFonts w:eastAsia="新細明體" w:cs="Segoe UI" w:hint="eastAsia"/>
                <w:sz w:val="17"/>
                <w:lang w:eastAsia="zh-TW"/>
              </w:rPr>
              <w:t>。</w:t>
            </w:r>
          </w:p>
        </w:tc>
      </w:tr>
      <w:tr w:rsidR="006A6FF6" w:rsidRPr="006A6FF6" w14:paraId="513209AD" w14:textId="77777777" w:rsidTr="000F143F">
        <w:tc>
          <w:tcPr>
            <w:tcW w:w="2160" w:type="dxa"/>
          </w:tcPr>
          <w:p w14:paraId="5F2A00BD"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lang w:eastAsia="en-GB"/>
              </w:rPr>
              <w:t>內容</w:t>
            </w:r>
            <w:proofErr w:type="spellEnd"/>
            <w:r w:rsidRPr="006A6FF6">
              <w:rPr>
                <w:rFonts w:eastAsia="新細明體" w:cs="Segoe UI"/>
                <w:b/>
                <w:sz w:val="17"/>
                <w:lang w:eastAsia="en-GB"/>
              </w:rPr>
              <w:t>：</w:t>
            </w:r>
          </w:p>
        </w:tc>
        <w:tc>
          <w:tcPr>
            <w:tcW w:w="7088" w:type="dxa"/>
          </w:tcPr>
          <w:p w14:paraId="696B3736" w14:textId="77777777" w:rsidR="00190D67" w:rsidRPr="006A6FF6" w:rsidRDefault="00190D67" w:rsidP="00862754">
            <w:pPr>
              <w:spacing w:before="40" w:after="40"/>
              <w:jc w:val="both"/>
              <w:rPr>
                <w:rFonts w:eastAsia="新細明體" w:cs="Segoe UI"/>
                <w:b/>
                <w:sz w:val="17"/>
                <w:lang w:eastAsia="zh-TW"/>
              </w:rPr>
            </w:pPr>
            <w:r w:rsidRPr="006A6FF6">
              <w:rPr>
                <w:rFonts w:eastAsia="新細明體" w:cs="Segoe UI" w:hint="eastAsia"/>
                <w:sz w:val="17"/>
                <w:lang w:eastAsia="zh-HK"/>
              </w:rPr>
              <w:t>風險加權數額</w:t>
            </w:r>
            <w:r w:rsidRPr="006A6FF6">
              <w:rPr>
                <w:rFonts w:eastAsia="新細明體" w:cs="Segoe UI" w:hint="eastAsia"/>
                <w:sz w:val="17"/>
                <w:lang w:eastAsia="zh-TW"/>
              </w:rPr>
              <w:t>。</w:t>
            </w:r>
          </w:p>
        </w:tc>
      </w:tr>
      <w:tr w:rsidR="006A6FF6" w:rsidRPr="006A6FF6" w14:paraId="539370F7" w14:textId="77777777" w:rsidTr="000F143F">
        <w:tc>
          <w:tcPr>
            <w:tcW w:w="2160" w:type="dxa"/>
          </w:tcPr>
          <w:p w14:paraId="07AA23BE" w14:textId="77777777" w:rsidR="00190D67" w:rsidRPr="006A6FF6" w:rsidRDefault="00190D67" w:rsidP="00862754">
            <w:pPr>
              <w:spacing w:before="40" w:after="40"/>
              <w:rPr>
                <w:rFonts w:eastAsia="新細明體" w:cs="Segoe UI"/>
                <w:sz w:val="17"/>
                <w:lang w:eastAsia="en-GB"/>
              </w:rPr>
            </w:pPr>
            <w:proofErr w:type="spellStart"/>
            <w:r w:rsidRPr="006A6FF6">
              <w:rPr>
                <w:rFonts w:eastAsia="新細明體" w:cs="Segoe UI"/>
                <w:b/>
                <w:sz w:val="17"/>
                <w:lang w:eastAsia="en-GB"/>
              </w:rPr>
              <w:t>頻密程度</w:t>
            </w:r>
            <w:proofErr w:type="spellEnd"/>
            <w:r w:rsidRPr="006A6FF6">
              <w:rPr>
                <w:rFonts w:eastAsia="新細明體" w:cs="Segoe UI"/>
                <w:b/>
                <w:sz w:val="17"/>
                <w:lang w:eastAsia="en-GB"/>
              </w:rPr>
              <w:t>：</w:t>
            </w:r>
          </w:p>
        </w:tc>
        <w:tc>
          <w:tcPr>
            <w:tcW w:w="7088" w:type="dxa"/>
          </w:tcPr>
          <w:p w14:paraId="2529E719" w14:textId="77777777" w:rsidR="00190D67" w:rsidRPr="006A6FF6" w:rsidRDefault="00190D67" w:rsidP="00862754">
            <w:pPr>
              <w:spacing w:before="40" w:after="40"/>
              <w:jc w:val="both"/>
              <w:rPr>
                <w:rFonts w:eastAsia="新細明體" w:cs="Segoe UI"/>
                <w:sz w:val="17"/>
                <w:lang w:eastAsia="zh-TW"/>
              </w:rPr>
            </w:pPr>
            <w:proofErr w:type="spellStart"/>
            <w:r w:rsidRPr="006A6FF6">
              <w:rPr>
                <w:rFonts w:eastAsia="新細明體" w:cs="Segoe UI"/>
                <w:sz w:val="17"/>
                <w:lang w:eastAsia="en-GB"/>
              </w:rPr>
              <w:t>每季一次</w:t>
            </w:r>
            <w:proofErr w:type="spellEnd"/>
            <w:r w:rsidRPr="006A6FF6">
              <w:rPr>
                <w:rFonts w:eastAsia="新細明體" w:cs="Segoe UI"/>
                <w:sz w:val="17"/>
                <w:lang w:eastAsia="en-GB"/>
              </w:rPr>
              <w:t>。</w:t>
            </w:r>
          </w:p>
        </w:tc>
      </w:tr>
      <w:tr w:rsidR="006A6FF6" w:rsidRPr="006A6FF6" w14:paraId="4037EBE9" w14:textId="77777777" w:rsidTr="000F143F">
        <w:tc>
          <w:tcPr>
            <w:tcW w:w="2160" w:type="dxa"/>
          </w:tcPr>
          <w:p w14:paraId="5A618720" w14:textId="77777777" w:rsidR="00190D67" w:rsidRPr="006A6FF6" w:rsidRDefault="00190D67" w:rsidP="00862754">
            <w:pPr>
              <w:spacing w:before="40" w:after="40"/>
              <w:rPr>
                <w:rFonts w:eastAsia="新細明體" w:cs="Segoe UI"/>
                <w:sz w:val="17"/>
                <w:lang w:eastAsia="en-GB"/>
              </w:rPr>
            </w:pPr>
            <w:proofErr w:type="spellStart"/>
            <w:r w:rsidRPr="006A6FF6">
              <w:rPr>
                <w:rFonts w:eastAsia="新細明體" w:cs="Segoe UI"/>
                <w:b/>
                <w:sz w:val="17"/>
                <w:lang w:eastAsia="en-GB"/>
              </w:rPr>
              <w:t>格式</w:t>
            </w:r>
            <w:proofErr w:type="spellEnd"/>
            <w:r w:rsidRPr="006A6FF6">
              <w:rPr>
                <w:rFonts w:eastAsia="新細明體" w:cs="Segoe UI"/>
                <w:b/>
                <w:sz w:val="17"/>
                <w:lang w:eastAsia="en-GB"/>
              </w:rPr>
              <w:t>：</w:t>
            </w:r>
          </w:p>
        </w:tc>
        <w:tc>
          <w:tcPr>
            <w:tcW w:w="7088" w:type="dxa"/>
          </w:tcPr>
          <w:p w14:paraId="6A89B6D5" w14:textId="77777777" w:rsidR="00190D67" w:rsidRPr="006A6FF6" w:rsidRDefault="00190D67" w:rsidP="00862754">
            <w:pPr>
              <w:spacing w:before="40" w:after="40"/>
              <w:jc w:val="both"/>
              <w:rPr>
                <w:rFonts w:eastAsia="新細明體" w:cs="Segoe UI"/>
                <w:noProof/>
                <w:sz w:val="17"/>
                <w:lang w:eastAsia="en-GB"/>
              </w:rPr>
            </w:pPr>
            <w:r w:rsidRPr="006A6FF6">
              <w:rPr>
                <w:rFonts w:eastAsia="新細明體" w:cs="Segoe UI" w:hint="eastAsia"/>
                <w:sz w:val="17"/>
                <w:lang w:eastAsia="zh-HK"/>
              </w:rPr>
              <w:t>固定</w:t>
            </w:r>
            <w:r w:rsidRPr="006A6FF6">
              <w:rPr>
                <w:rFonts w:eastAsia="新細明體" w:cs="Segoe UI" w:hint="eastAsia"/>
                <w:sz w:val="17"/>
                <w:lang w:eastAsia="zh-TW"/>
              </w:rPr>
              <w:t>。</w:t>
            </w:r>
          </w:p>
        </w:tc>
      </w:tr>
      <w:tr w:rsidR="006A6FF6" w:rsidRPr="006A6FF6" w14:paraId="2684C337" w14:textId="77777777" w:rsidTr="000F143F">
        <w:tc>
          <w:tcPr>
            <w:tcW w:w="2160" w:type="dxa"/>
          </w:tcPr>
          <w:p w14:paraId="3C621E04"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szCs w:val="17"/>
                <w:lang w:eastAsia="en-GB"/>
              </w:rPr>
              <w:t>附加說明</w:t>
            </w:r>
            <w:proofErr w:type="spellEnd"/>
            <w:r w:rsidRPr="006A6FF6">
              <w:rPr>
                <w:rFonts w:eastAsia="新細明體" w:cs="Segoe UI"/>
                <w:b/>
                <w:sz w:val="17"/>
                <w:szCs w:val="17"/>
                <w:lang w:eastAsia="en-GB"/>
              </w:rPr>
              <w:t>：</w:t>
            </w:r>
          </w:p>
        </w:tc>
        <w:tc>
          <w:tcPr>
            <w:tcW w:w="7088" w:type="dxa"/>
          </w:tcPr>
          <w:p w14:paraId="1B264729" w14:textId="4AA1006F" w:rsidR="007F0C67" w:rsidRPr="006A6FF6" w:rsidRDefault="00775E47" w:rsidP="007F0C67">
            <w:pPr>
              <w:spacing w:before="40" w:after="40"/>
              <w:ind w:left="1"/>
              <w:jc w:val="both"/>
              <w:rPr>
                <w:rFonts w:eastAsia="新細明體" w:cs="Segoe UI"/>
                <w:sz w:val="17"/>
                <w:lang w:eastAsia="zh-HK"/>
              </w:rPr>
            </w:pPr>
            <w:r w:rsidRPr="006A6FF6">
              <w:rPr>
                <w:rFonts w:eastAsia="新細明體" w:cs="Segoe UI" w:hint="eastAsia"/>
                <w:sz w:val="17"/>
                <w:lang w:eastAsia="zh-HK"/>
              </w:rPr>
              <w:t>就</w:t>
            </w:r>
            <w:r w:rsidR="00190D67" w:rsidRPr="006A6FF6">
              <w:rPr>
                <w:rFonts w:eastAsia="新細明體" w:cs="Segoe UI" w:hint="eastAsia"/>
                <w:sz w:val="17"/>
                <w:lang w:eastAsia="zh-HK"/>
              </w:rPr>
              <w:t>認可機構用作計算</w:t>
            </w:r>
            <w:r w:rsidR="00190D67" w:rsidRPr="006A6FF6">
              <w:rPr>
                <w:rFonts w:ascii="新細明體" w:eastAsia="新細明體" w:hAnsi="新細明體" w:cs="Segoe UI" w:hint="eastAsia"/>
                <w:sz w:val="17"/>
                <w:lang w:eastAsia="zh-TW"/>
              </w:rPr>
              <w:t>其</w:t>
            </w:r>
            <w:r w:rsidR="00190D67" w:rsidRPr="006A6FF6">
              <w:rPr>
                <w:rFonts w:eastAsia="新細明體" w:cs="Segoe UI" w:hint="eastAsia"/>
                <w:sz w:val="17"/>
                <w:lang w:eastAsia="zh-HK"/>
              </w:rPr>
              <w:t>資本比率的模式基準計算法下計算</w:t>
            </w:r>
            <w:r w:rsidR="00F67A69" w:rsidRPr="006A6FF6">
              <w:rPr>
                <w:rFonts w:eastAsia="新細明體" w:cs="Segoe UI" w:hint="eastAsia"/>
                <w:sz w:val="17"/>
                <w:lang w:eastAsia="zh-HK"/>
              </w:rPr>
              <w:t>所</w:t>
            </w:r>
            <w:r w:rsidR="00190D67" w:rsidRPr="006A6FF6">
              <w:rPr>
                <w:rFonts w:ascii="新細明體" w:eastAsia="新細明體" w:hAnsi="新細明體" w:cs="Segoe UI" w:hint="eastAsia"/>
                <w:sz w:val="17"/>
                <w:lang w:eastAsia="zh-HK"/>
              </w:rPr>
              <w:t>得</w:t>
            </w:r>
            <w:r w:rsidR="00190D67" w:rsidRPr="006A6FF6">
              <w:rPr>
                <w:rFonts w:eastAsia="新細明體" w:cs="Segoe UI" w:hint="eastAsia"/>
                <w:sz w:val="17"/>
                <w:lang w:eastAsia="zh-HK"/>
              </w:rPr>
              <w:t>的風險加權數額</w:t>
            </w:r>
            <w:r w:rsidR="00190D67" w:rsidRPr="006A6FF6">
              <w:rPr>
                <w:rFonts w:eastAsia="新細明體" w:cs="Segoe UI" w:hint="eastAsia"/>
                <w:sz w:val="17"/>
                <w:lang w:eastAsia="zh-TW"/>
              </w:rPr>
              <w:t>，</w:t>
            </w:r>
            <w:r w:rsidR="00190D67" w:rsidRPr="006A6FF6">
              <w:rPr>
                <w:rFonts w:eastAsia="新細明體" w:cs="Segoe UI" w:hint="eastAsia"/>
                <w:sz w:val="17"/>
                <w:lang w:eastAsia="zh-HK"/>
              </w:rPr>
              <w:t>與</w:t>
            </w:r>
            <w:r w:rsidR="004E75ED" w:rsidRPr="006A6FF6">
              <w:rPr>
                <w:rFonts w:eastAsia="新細明體" w:cs="Segoe UI" w:hint="eastAsia"/>
                <w:sz w:val="17"/>
                <w:lang w:eastAsia="zh-HK"/>
              </w:rPr>
              <w:t>（</w:t>
            </w:r>
            <w:r w:rsidR="00190D67" w:rsidRPr="006A6FF6">
              <w:rPr>
                <w:rFonts w:eastAsia="新細明體" w:cs="Segoe UI" w:hint="eastAsia"/>
                <w:sz w:val="17"/>
                <w:lang w:eastAsia="zh-HK"/>
              </w:rPr>
              <w:t>若認可機構不獲准採用任何模式</w:t>
            </w:r>
            <w:r w:rsidRPr="006A6FF6">
              <w:rPr>
                <w:rFonts w:eastAsia="新細明體" w:cs="Segoe UI" w:hint="eastAsia"/>
                <w:sz w:val="17"/>
                <w:lang w:eastAsia="zh-HK"/>
              </w:rPr>
              <w:t>以</w:t>
            </w:r>
            <w:r w:rsidR="00190D67" w:rsidRPr="006A6FF6">
              <w:rPr>
                <w:rFonts w:eastAsia="新細明體" w:cs="Segoe UI" w:hint="eastAsia"/>
                <w:sz w:val="17"/>
                <w:lang w:eastAsia="zh-HK"/>
              </w:rPr>
              <w:t>計算其資本比率</w:t>
            </w:r>
            <w:r w:rsidR="003B266B" w:rsidRPr="006A6FF6">
              <w:rPr>
                <w:rFonts w:ascii="新細明體" w:eastAsia="新細明體" w:hAnsi="新細明體" w:cs="Segoe UI" w:hint="eastAsia"/>
                <w:sz w:val="17"/>
                <w:szCs w:val="17"/>
                <w:lang w:eastAsia="zh-TW"/>
              </w:rPr>
              <w:t>）</w:t>
            </w:r>
            <w:r w:rsidRPr="006A6FF6">
              <w:rPr>
                <w:rFonts w:ascii="新細明體" w:eastAsia="新細明體" w:hAnsi="新細明體" w:cs="Segoe UI" w:hint="eastAsia"/>
                <w:sz w:val="17"/>
                <w:szCs w:val="17"/>
                <w:lang w:eastAsia="zh-HK"/>
              </w:rPr>
              <w:t>所披露的</w:t>
            </w:r>
            <w:r w:rsidR="00190D67" w:rsidRPr="006A6FF6">
              <w:rPr>
                <w:rFonts w:eastAsia="新細明體" w:cs="Segoe UI" w:hint="eastAsia"/>
                <w:sz w:val="17"/>
                <w:lang w:eastAsia="zh-HK"/>
              </w:rPr>
              <w:t>全</w:t>
            </w:r>
            <w:r w:rsidRPr="006A6FF6">
              <w:rPr>
                <w:rFonts w:ascii="新細明體" w:eastAsia="新細明體" w:hAnsi="新細明體" w:cs="Segoe UI" w:hint="eastAsia"/>
                <w:sz w:val="17"/>
                <w:lang w:eastAsia="zh-HK"/>
              </w:rPr>
              <w:t>面</w:t>
            </w:r>
            <w:r w:rsidR="00190D67" w:rsidRPr="006A6FF6">
              <w:rPr>
                <w:rFonts w:eastAsia="新細明體" w:cs="Segoe UI" w:hint="eastAsia"/>
                <w:sz w:val="17"/>
                <w:lang w:eastAsia="zh-HK"/>
              </w:rPr>
              <w:t>標準計算法下的風險加權數額之間</w:t>
            </w:r>
            <w:r w:rsidR="00190D67" w:rsidRPr="006A6FF6">
              <w:rPr>
                <w:rFonts w:ascii="新細明體" w:eastAsia="新細明體" w:hAnsi="新細明體" w:cs="Segoe UI" w:hint="eastAsia"/>
                <w:sz w:val="17"/>
                <w:lang w:eastAsia="zh-TW"/>
              </w:rPr>
              <w:t>的</w:t>
            </w:r>
            <w:r w:rsidR="00190D67" w:rsidRPr="006A6FF6">
              <w:rPr>
                <w:rFonts w:eastAsia="新細明體" w:cs="Segoe UI" w:hint="eastAsia"/>
                <w:sz w:val="17"/>
                <w:lang w:eastAsia="zh-HK"/>
              </w:rPr>
              <w:t>差別</w:t>
            </w:r>
            <w:r w:rsidRPr="006A6FF6">
              <w:rPr>
                <w:rFonts w:eastAsia="新細明體" w:cs="Segoe UI" w:hint="eastAsia"/>
                <w:sz w:val="17"/>
                <w:lang w:eastAsia="zh-TW"/>
              </w:rPr>
              <w:t>，</w:t>
            </w:r>
            <w:r w:rsidRPr="006A6FF6">
              <w:rPr>
                <w:rFonts w:eastAsia="新細明體" w:cs="Segoe UI" w:hint="eastAsia"/>
                <w:sz w:val="17"/>
                <w:lang w:eastAsia="zh-HK"/>
              </w:rPr>
              <w:t>認可機構應解</w:t>
            </w:r>
            <w:r w:rsidRPr="006A6FF6">
              <w:rPr>
                <w:rFonts w:eastAsia="新細明體" w:cs="Segoe UI" w:hint="eastAsia"/>
                <w:sz w:val="17"/>
                <w:lang w:eastAsia="zh-TW"/>
              </w:rPr>
              <w:t>釋</w:t>
            </w:r>
            <w:r w:rsidRPr="006A6FF6">
              <w:rPr>
                <w:rFonts w:eastAsia="新細明體" w:cs="Segoe UI" w:hint="eastAsia"/>
                <w:sz w:val="17"/>
                <w:lang w:eastAsia="zh-HK"/>
              </w:rPr>
              <w:t>該等差別</w:t>
            </w:r>
            <w:r w:rsidR="00190D67" w:rsidRPr="006A6FF6">
              <w:rPr>
                <w:rFonts w:eastAsia="新細明體" w:cs="Segoe UI" w:hint="eastAsia"/>
                <w:sz w:val="17"/>
                <w:lang w:eastAsia="zh-HK"/>
              </w:rPr>
              <w:t>的主要驅動因素</w:t>
            </w:r>
            <w:r w:rsidR="004E75ED" w:rsidRPr="006A6FF6">
              <w:rPr>
                <w:rFonts w:eastAsia="新細明體" w:cs="Segoe UI" w:hint="eastAsia"/>
                <w:sz w:val="17"/>
                <w:lang w:eastAsia="zh-HK"/>
              </w:rPr>
              <w:t>（</w:t>
            </w:r>
            <w:r w:rsidR="00190D67" w:rsidRPr="006A6FF6">
              <w:rPr>
                <w:rFonts w:eastAsia="新細明體" w:cs="Segoe UI" w:hint="eastAsia"/>
                <w:sz w:val="17"/>
                <w:lang w:eastAsia="zh-HK"/>
              </w:rPr>
              <w:t>例如某風險類別的資產類別或子</w:t>
            </w:r>
            <w:r w:rsidR="00F42A73" w:rsidRPr="006A6FF6">
              <w:rPr>
                <w:rFonts w:eastAsia="新細明體" w:cs="Segoe UI" w:hint="eastAsia"/>
                <w:sz w:val="17"/>
                <w:lang w:eastAsia="zh-HK"/>
              </w:rPr>
              <w:t>資產</w:t>
            </w:r>
            <w:r w:rsidR="00190D67" w:rsidRPr="006A6FF6">
              <w:rPr>
                <w:rFonts w:eastAsia="新細明體" w:cs="Segoe UI" w:hint="eastAsia"/>
                <w:sz w:val="17"/>
                <w:lang w:eastAsia="zh-HK"/>
              </w:rPr>
              <w:t>類別</w:t>
            </w:r>
            <w:r w:rsidR="00190D67" w:rsidRPr="006A6FF6">
              <w:rPr>
                <w:rFonts w:eastAsia="新細明體" w:cs="Segoe UI" w:hint="eastAsia"/>
                <w:sz w:val="17"/>
                <w:lang w:eastAsia="zh-TW"/>
              </w:rPr>
              <w:t>、</w:t>
            </w:r>
            <w:r w:rsidR="00190D67" w:rsidRPr="006A6FF6">
              <w:rPr>
                <w:rFonts w:eastAsia="新細明體" w:cs="Segoe UI" w:hint="eastAsia"/>
                <w:sz w:val="17"/>
                <w:lang w:eastAsia="zh-HK"/>
              </w:rPr>
              <w:t>參數估計的主要假設</w:t>
            </w:r>
            <w:r w:rsidR="00190D67" w:rsidRPr="006A6FF6">
              <w:rPr>
                <w:rFonts w:eastAsia="新細明體" w:cs="Segoe UI" w:hint="eastAsia"/>
                <w:sz w:val="17"/>
                <w:lang w:eastAsia="zh-TW"/>
              </w:rPr>
              <w:t>、</w:t>
            </w:r>
            <w:r w:rsidRPr="006A6FF6">
              <w:rPr>
                <w:rFonts w:eastAsia="新細明體" w:cs="Segoe UI" w:hint="eastAsia"/>
                <w:sz w:val="17"/>
                <w:lang w:eastAsia="zh-HK"/>
              </w:rPr>
              <w:t>各</w:t>
            </w:r>
            <w:r w:rsidR="00123DAB" w:rsidRPr="006A6FF6">
              <w:rPr>
                <w:rFonts w:eastAsia="新細明體" w:cs="Segoe UI" w:hint="eastAsia"/>
                <w:sz w:val="17"/>
                <w:lang w:eastAsia="zh-HK"/>
              </w:rPr>
              <w:t>地</w:t>
            </w:r>
            <w:r w:rsidR="00190D67" w:rsidRPr="006A6FF6">
              <w:rPr>
                <w:rFonts w:eastAsia="新細明體" w:cs="Segoe UI" w:hint="eastAsia"/>
                <w:sz w:val="17"/>
                <w:lang w:eastAsia="zh-HK"/>
              </w:rPr>
              <w:t>實施政策方面的差異</w:t>
            </w:r>
            <w:r w:rsidR="003B266B" w:rsidRPr="006A6FF6">
              <w:rPr>
                <w:rFonts w:ascii="新細明體" w:eastAsia="新細明體" w:hAnsi="新細明體" w:cs="Segoe UI" w:hint="eastAsia"/>
                <w:sz w:val="17"/>
                <w:szCs w:val="17"/>
                <w:lang w:eastAsia="zh-TW"/>
              </w:rPr>
              <w:t>）</w:t>
            </w:r>
            <w:r w:rsidR="00190D67" w:rsidRPr="006A6FF6">
              <w:rPr>
                <w:rFonts w:eastAsia="新細明體" w:cs="Segoe UI" w:hint="eastAsia"/>
                <w:sz w:val="17"/>
                <w:lang w:eastAsia="zh-TW"/>
              </w:rPr>
              <w:t>。</w:t>
            </w:r>
            <w:r w:rsidR="00190D67" w:rsidRPr="006A6FF6">
              <w:rPr>
                <w:rFonts w:eastAsia="新細明體" w:cs="Segoe UI" w:hint="eastAsia"/>
                <w:sz w:val="17"/>
                <w:lang w:eastAsia="zh-HK"/>
              </w:rPr>
              <w:t>有關解釋應具體並可按適</w:t>
            </w:r>
            <w:r w:rsidRPr="006A6FF6">
              <w:rPr>
                <w:rFonts w:eastAsia="新細明體" w:cs="Segoe UI" w:hint="eastAsia"/>
                <w:sz w:val="17"/>
                <w:lang w:eastAsia="zh-HK"/>
              </w:rPr>
              <w:t>用</w:t>
            </w:r>
            <w:r w:rsidR="00190D67" w:rsidRPr="006A6FF6">
              <w:rPr>
                <w:rFonts w:eastAsia="新細明體" w:cs="Segoe UI" w:hint="eastAsia"/>
                <w:sz w:val="17"/>
                <w:lang w:eastAsia="zh-HK"/>
              </w:rPr>
              <w:t>情況附以量化資料作為補充</w:t>
            </w:r>
            <w:r w:rsidR="00190D67" w:rsidRPr="006A6FF6">
              <w:rPr>
                <w:rFonts w:eastAsia="新細明體" w:cs="Segoe UI" w:hint="eastAsia"/>
                <w:sz w:val="17"/>
                <w:lang w:eastAsia="zh-TW"/>
              </w:rPr>
              <w:t>。</w:t>
            </w:r>
            <w:r w:rsidR="00190D67" w:rsidRPr="006A6FF6">
              <w:rPr>
                <w:rFonts w:eastAsia="新細明體" w:cs="Segoe UI" w:hint="eastAsia"/>
                <w:sz w:val="17"/>
                <w:lang w:eastAsia="zh-HK"/>
              </w:rPr>
              <w:t>尤其</w:t>
            </w:r>
            <w:r w:rsidR="00190D67" w:rsidRPr="006A6FF6">
              <w:rPr>
                <w:rFonts w:ascii="新細明體" w:eastAsia="新細明體" w:hAnsi="新細明體" w:cs="Segoe UI" w:hint="eastAsia"/>
                <w:sz w:val="17"/>
                <w:lang w:eastAsia="zh-TW"/>
              </w:rPr>
              <w:t>如</w:t>
            </w:r>
            <w:r w:rsidR="00190D67" w:rsidRPr="006A6FF6">
              <w:rPr>
                <w:rFonts w:eastAsia="新細明體" w:cs="Segoe UI" w:hint="eastAsia"/>
                <w:sz w:val="17"/>
                <w:lang w:eastAsia="zh-HK"/>
              </w:rPr>
              <w:t>銀行帳</w:t>
            </w:r>
            <w:r w:rsidR="00190D67" w:rsidRPr="006A6FF6">
              <w:rPr>
                <w:rFonts w:ascii="新細明體" w:eastAsia="新細明體" w:hAnsi="新細明體" w:cs="Segoe UI" w:hint="eastAsia"/>
                <w:sz w:val="17"/>
                <w:lang w:eastAsia="zh-TW"/>
              </w:rPr>
              <w:t>内</w:t>
            </w:r>
            <w:r w:rsidR="00190D67" w:rsidRPr="006A6FF6">
              <w:rPr>
                <w:rFonts w:eastAsia="新細明體" w:cs="Segoe UI" w:hint="eastAsia"/>
                <w:sz w:val="17"/>
                <w:lang w:eastAsia="zh-HK"/>
              </w:rPr>
              <w:t>證券化類別風險承擔的風險加權數額是有關差別的一項主要驅動因素</w:t>
            </w:r>
            <w:r w:rsidR="00190D67" w:rsidRPr="006A6FF6">
              <w:rPr>
                <w:rFonts w:eastAsia="新細明體" w:cs="Segoe UI" w:hint="eastAsia"/>
                <w:sz w:val="17"/>
                <w:lang w:eastAsia="zh-TW"/>
              </w:rPr>
              <w:t>，</w:t>
            </w:r>
            <w:r w:rsidR="00190D67" w:rsidRPr="006A6FF6">
              <w:rPr>
                <w:rFonts w:eastAsia="新細明體" w:cs="Segoe UI" w:hint="eastAsia"/>
                <w:sz w:val="17"/>
                <w:lang w:eastAsia="zh-HK"/>
              </w:rPr>
              <w:t>認可機構應解釋其</w:t>
            </w:r>
            <w:r w:rsidR="007F0C67" w:rsidRPr="006A6FF6">
              <w:rPr>
                <w:rFonts w:eastAsia="新細明體" w:cs="Segoe UI" w:hint="eastAsia"/>
                <w:sz w:val="17"/>
                <w:lang w:eastAsia="zh-HK"/>
              </w:rPr>
              <w:t>在多大程</w:t>
            </w:r>
            <w:r w:rsidR="007F0C67" w:rsidRPr="006A6FF6">
              <w:rPr>
                <w:rFonts w:eastAsia="新細明體" w:cs="Segoe UI" w:hint="eastAsia"/>
                <w:sz w:val="17"/>
                <w:lang w:eastAsia="zh-TW"/>
              </w:rPr>
              <w:t>度</w:t>
            </w:r>
            <w:r w:rsidR="007F0C67" w:rsidRPr="006A6FF6">
              <w:rPr>
                <w:rFonts w:eastAsia="新細明體" w:cs="Segoe UI" w:hint="eastAsia"/>
                <w:sz w:val="17"/>
                <w:lang w:eastAsia="zh-HK"/>
              </w:rPr>
              <w:t>上採</w:t>
            </w:r>
            <w:r w:rsidR="007F0C67" w:rsidRPr="006A6FF6">
              <w:rPr>
                <w:rFonts w:eastAsia="新細明體" w:cs="Segoe UI" w:hint="eastAsia"/>
                <w:sz w:val="17"/>
                <w:lang w:eastAsia="zh-TW"/>
              </w:rPr>
              <w:t>用</w:t>
            </w:r>
            <w:r w:rsidR="007F0C67" w:rsidRPr="006A6FF6">
              <w:rPr>
                <w:rFonts w:eastAsia="新細明體" w:cs="Segoe UI" w:hint="eastAsia"/>
                <w:sz w:val="17"/>
                <w:lang w:eastAsia="zh-HK"/>
              </w:rPr>
              <w:t>了三</w:t>
            </w:r>
            <w:r w:rsidR="007F0C67" w:rsidRPr="006A6FF6">
              <w:rPr>
                <w:rFonts w:ascii="新細明體" w:eastAsia="新細明體" w:hAnsi="新細明體" w:cs="Segoe UI" w:hint="eastAsia"/>
                <w:sz w:val="17"/>
                <w:lang w:eastAsia="zh-TW"/>
              </w:rPr>
              <w:t>種</w:t>
            </w:r>
            <w:r w:rsidR="007F0C67" w:rsidRPr="006A6FF6">
              <w:rPr>
                <w:rFonts w:eastAsia="新細明體" w:cs="Segoe UI" w:hint="eastAsia"/>
                <w:sz w:val="17"/>
                <w:lang w:eastAsia="zh-HK"/>
              </w:rPr>
              <w:t>潛在的計算法（</w:t>
            </w:r>
            <w:r w:rsidR="007F0C67" w:rsidRPr="006A6FF6">
              <w:rPr>
                <w:rFonts w:cs="Segoe UI"/>
                <w:sz w:val="17"/>
                <w:lang w:eastAsia="zh-TW"/>
              </w:rPr>
              <w:t>SEC-ERBA</w:t>
            </w:r>
            <w:r w:rsidR="007F0C67" w:rsidRPr="006A6FF6">
              <w:rPr>
                <w:rFonts w:eastAsia="新細明體" w:cs="Segoe UI" w:hint="eastAsia"/>
                <w:sz w:val="17"/>
                <w:lang w:eastAsia="zh-HK"/>
              </w:rPr>
              <w:t>（</w:t>
            </w:r>
            <w:r w:rsidR="007F0C67" w:rsidRPr="006A6FF6">
              <w:rPr>
                <w:rFonts w:ascii="新細明體" w:eastAsia="新細明體" w:hAnsi="新細明體" w:cs="Segoe UI" w:hint="eastAsia"/>
                <w:sz w:val="17"/>
                <w:lang w:eastAsia="zh-HK"/>
              </w:rPr>
              <w:t>不包括</w:t>
            </w:r>
            <w:r w:rsidR="007F0C67" w:rsidRPr="006A6FF6">
              <w:rPr>
                <w:rFonts w:cs="Segoe UI"/>
                <w:sz w:val="17"/>
                <w:lang w:eastAsia="zh-TW"/>
              </w:rPr>
              <w:t>IAA</w:t>
            </w:r>
            <w:r w:rsidR="007F0C67" w:rsidRPr="006A6FF6">
              <w:rPr>
                <w:rFonts w:ascii="新細明體" w:eastAsia="新細明體" w:hAnsi="新細明體" w:cs="Segoe UI" w:hint="eastAsia"/>
                <w:sz w:val="17"/>
                <w:szCs w:val="17"/>
                <w:lang w:eastAsia="zh-TW"/>
              </w:rPr>
              <w:t>）</w:t>
            </w:r>
            <w:r w:rsidR="007F0C67" w:rsidRPr="006A6FF6">
              <w:rPr>
                <w:rFonts w:eastAsia="新細明體" w:cs="Segoe UI" w:hint="eastAsia"/>
                <w:sz w:val="17"/>
                <w:lang w:eastAsia="zh-TW"/>
              </w:rPr>
              <w:t>，</w:t>
            </w:r>
            <w:r w:rsidR="007F0C67" w:rsidRPr="006A6FF6">
              <w:rPr>
                <w:rFonts w:cs="Segoe UI"/>
                <w:sz w:val="17"/>
                <w:lang w:eastAsia="zh-TW"/>
              </w:rPr>
              <w:t xml:space="preserve">SEC-SA </w:t>
            </w:r>
            <w:r w:rsidR="007F0C67" w:rsidRPr="006A6FF6">
              <w:rPr>
                <w:rFonts w:ascii="新細明體" w:eastAsia="新細明體" w:hAnsi="新細明體" w:cs="Segoe UI" w:hint="eastAsia"/>
                <w:sz w:val="17"/>
                <w:lang w:eastAsia="zh-HK"/>
              </w:rPr>
              <w:t>及</w:t>
            </w:r>
            <w:r w:rsidR="007F0C67" w:rsidRPr="006A6FF6">
              <w:rPr>
                <w:rFonts w:cs="Segoe UI"/>
                <w:sz w:val="17"/>
                <w:lang w:eastAsia="zh-TW"/>
              </w:rPr>
              <w:t>SEC-FBA</w:t>
            </w:r>
            <w:r w:rsidR="007F0C67" w:rsidRPr="006A6FF6">
              <w:rPr>
                <w:rFonts w:ascii="新細明體" w:eastAsia="新細明體" w:hAnsi="新細明體" w:cs="Segoe UI" w:hint="eastAsia"/>
                <w:sz w:val="17"/>
                <w:szCs w:val="17"/>
                <w:lang w:eastAsia="zh-TW"/>
              </w:rPr>
              <w:t>）</w:t>
            </w:r>
            <w:r w:rsidR="007F0C67" w:rsidRPr="006A6FF6">
              <w:rPr>
                <w:rFonts w:ascii="新細明體" w:eastAsia="新細明體" w:hAnsi="新細明體" w:cs="Segoe UI" w:hint="eastAsia"/>
                <w:sz w:val="17"/>
                <w:szCs w:val="17"/>
                <w:lang w:eastAsia="zh-HK"/>
              </w:rPr>
              <w:t>中的</w:t>
            </w:r>
            <w:r w:rsidR="007F0C67" w:rsidRPr="006A6FF6">
              <w:rPr>
                <w:rFonts w:ascii="新細明體" w:eastAsia="新細明體" w:hAnsi="新細明體" w:cs="Segoe UI" w:hint="eastAsia"/>
                <w:sz w:val="17"/>
                <w:lang w:eastAsia="zh-TW"/>
              </w:rPr>
              <w:t>每種</w:t>
            </w:r>
            <w:r w:rsidR="007F0C67" w:rsidRPr="006A6FF6">
              <w:rPr>
                <w:rFonts w:eastAsia="新細明體" w:cs="Segoe UI" w:hint="eastAsia"/>
                <w:sz w:val="17"/>
                <w:lang w:eastAsia="zh-HK"/>
              </w:rPr>
              <w:t>方</w:t>
            </w:r>
            <w:r w:rsidR="007F0C67" w:rsidRPr="006A6FF6">
              <w:rPr>
                <w:rFonts w:eastAsia="新細明體" w:cs="Segoe UI" w:hint="eastAsia"/>
                <w:sz w:val="17"/>
                <w:lang w:eastAsia="zh-TW"/>
              </w:rPr>
              <w:t>法</w:t>
            </w:r>
            <w:r w:rsidR="007F0C67" w:rsidRPr="006A6FF6">
              <w:rPr>
                <w:rFonts w:eastAsia="新細明體" w:cs="Segoe UI" w:hint="eastAsia"/>
                <w:sz w:val="17"/>
                <w:lang w:eastAsia="zh-HK"/>
              </w:rPr>
              <w:t>來計</w:t>
            </w:r>
            <w:r w:rsidR="007F0C67" w:rsidRPr="006A6FF6">
              <w:rPr>
                <w:rFonts w:eastAsia="新細明體" w:cs="Segoe UI" w:hint="eastAsia"/>
                <w:sz w:val="17"/>
                <w:lang w:eastAsia="zh-TW"/>
              </w:rPr>
              <w:t>算</w:t>
            </w:r>
            <w:r w:rsidR="007F0C67" w:rsidRPr="006A6FF6">
              <w:rPr>
                <w:rFonts w:eastAsia="新細明體" w:cs="Segoe UI" w:hint="eastAsia"/>
                <w:sz w:val="17"/>
                <w:lang w:eastAsia="zh-HK"/>
              </w:rPr>
              <w:t>證券化類別風險承擔的風險加權數額</w:t>
            </w:r>
            <w:r w:rsidR="007F0C67" w:rsidRPr="006A6FF6">
              <w:rPr>
                <w:rFonts w:eastAsia="新細明體" w:cs="Segoe UI" w:hint="eastAsia"/>
                <w:sz w:val="17"/>
                <w:lang w:eastAsia="zh-TW"/>
              </w:rPr>
              <w:t>。</w:t>
            </w:r>
          </w:p>
        </w:tc>
      </w:tr>
      <w:tr w:rsidR="006A6FF6" w:rsidRPr="006A6FF6" w14:paraId="4B64CAA2" w14:textId="77777777" w:rsidTr="000F143F">
        <w:tc>
          <w:tcPr>
            <w:tcW w:w="2160" w:type="dxa"/>
          </w:tcPr>
          <w:p w14:paraId="4E41EE38" w14:textId="77777777" w:rsidR="00190D67" w:rsidRPr="006A6FF6" w:rsidRDefault="00190D67" w:rsidP="00862754">
            <w:pPr>
              <w:spacing w:before="40" w:after="40"/>
              <w:rPr>
                <w:rFonts w:eastAsia="新細明體" w:cs="Segoe UI"/>
                <w:b/>
                <w:sz w:val="17"/>
                <w:szCs w:val="17"/>
                <w:lang w:eastAsia="zh-TW"/>
              </w:rPr>
            </w:pPr>
            <w:r w:rsidRPr="006A6FF6">
              <w:rPr>
                <w:rFonts w:eastAsia="新細明體" w:cs="Segoe UI"/>
                <w:b/>
                <w:sz w:val="17"/>
                <w:szCs w:val="17"/>
                <w:lang w:eastAsia="zh-TW"/>
              </w:rPr>
              <w:t>《披露規則》相應條文：</w:t>
            </w:r>
          </w:p>
        </w:tc>
        <w:tc>
          <w:tcPr>
            <w:tcW w:w="7088" w:type="dxa"/>
          </w:tcPr>
          <w:p w14:paraId="525CC0FF" w14:textId="7ED07F7B" w:rsidR="00190D67" w:rsidRPr="006A6FF6" w:rsidRDefault="00190D67" w:rsidP="00862754">
            <w:pPr>
              <w:spacing w:before="40" w:after="40"/>
              <w:jc w:val="both"/>
              <w:rPr>
                <w:rFonts w:eastAsia="新細明體" w:cs="Segoe UI"/>
                <w:sz w:val="17"/>
                <w:szCs w:val="17"/>
                <w:lang w:eastAsia="en-GB"/>
              </w:rPr>
            </w:pPr>
            <w:r w:rsidRPr="006A6FF6">
              <w:rPr>
                <w:rFonts w:eastAsia="新細明體" w:cs="Segoe UI"/>
                <w:sz w:val="17"/>
                <w:szCs w:val="17"/>
                <w:lang w:eastAsia="en-GB"/>
              </w:rPr>
              <w:t>16ZQE</w:t>
            </w:r>
          </w:p>
        </w:tc>
      </w:tr>
    </w:tbl>
    <w:p w14:paraId="732179B7" w14:textId="77777777" w:rsidR="00190D67" w:rsidRPr="006A6FF6" w:rsidRDefault="00190D67" w:rsidP="00190D67">
      <w:pPr>
        <w:spacing w:before="120" w:after="120"/>
        <w:rPr>
          <w:rFonts w:eastAsia="新細明體" w:cs="Segoe UI"/>
          <w:sz w:val="22"/>
        </w:rPr>
      </w:pPr>
    </w:p>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67"/>
        <w:gridCol w:w="2869"/>
        <w:gridCol w:w="1418"/>
        <w:gridCol w:w="1559"/>
        <w:gridCol w:w="1276"/>
        <w:gridCol w:w="1559"/>
      </w:tblGrid>
      <w:tr w:rsidR="00883F2A" w:rsidRPr="006A6FF6" w14:paraId="2F09E77A" w14:textId="77777777" w:rsidTr="00862754">
        <w:trPr>
          <w:trHeight w:val="299"/>
          <w:tblHeader/>
        </w:trPr>
        <w:tc>
          <w:tcPr>
            <w:tcW w:w="567" w:type="dxa"/>
            <w:tcBorders>
              <w:top w:val="nil"/>
              <w:left w:val="nil"/>
              <w:bottom w:val="nil"/>
              <w:right w:val="nil"/>
            </w:tcBorders>
          </w:tcPr>
          <w:p w14:paraId="595C00D6" w14:textId="77777777" w:rsidR="00190D67" w:rsidRPr="006A6FF6" w:rsidRDefault="00190D67" w:rsidP="00862754">
            <w:pPr>
              <w:keepLines/>
              <w:snapToGrid w:val="0"/>
              <w:rPr>
                <w:rFonts w:eastAsia="新細明體" w:cs="Segoe UI"/>
                <w:i/>
                <w:sz w:val="17"/>
                <w:szCs w:val="17"/>
                <w:lang w:eastAsia="en-GB"/>
              </w:rPr>
            </w:pPr>
          </w:p>
        </w:tc>
        <w:tc>
          <w:tcPr>
            <w:tcW w:w="2869" w:type="dxa"/>
            <w:tcBorders>
              <w:top w:val="nil"/>
              <w:left w:val="nil"/>
              <w:bottom w:val="nil"/>
              <w:right w:val="single" w:sz="4" w:space="0" w:color="auto"/>
            </w:tcBorders>
          </w:tcPr>
          <w:p w14:paraId="399904AF" w14:textId="77777777" w:rsidR="00190D67" w:rsidRPr="006A6FF6" w:rsidRDefault="00190D67" w:rsidP="00862754">
            <w:pPr>
              <w:keepLines/>
              <w:snapToGrid w:val="0"/>
              <w:rPr>
                <w:rFonts w:eastAsia="新細明體"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55797A"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22173B"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E2316F"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(c)</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8F6B09"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(d)</w:t>
            </w:r>
          </w:p>
        </w:tc>
      </w:tr>
      <w:tr w:rsidR="001B39FD" w:rsidRPr="006A6FF6" w14:paraId="4AD7AA99" w14:textId="77777777" w:rsidTr="00862754">
        <w:trPr>
          <w:trHeight w:val="275"/>
          <w:tblHeader/>
        </w:trPr>
        <w:tc>
          <w:tcPr>
            <w:tcW w:w="567" w:type="dxa"/>
            <w:tcBorders>
              <w:top w:val="nil"/>
              <w:left w:val="nil"/>
              <w:bottom w:val="nil"/>
              <w:right w:val="nil"/>
            </w:tcBorders>
          </w:tcPr>
          <w:p w14:paraId="2A01F76F" w14:textId="77777777" w:rsidR="00190D67" w:rsidRPr="006A6FF6" w:rsidRDefault="00190D67" w:rsidP="00862754">
            <w:pPr>
              <w:keepLines/>
              <w:snapToGrid w:val="0"/>
              <w:rPr>
                <w:rFonts w:eastAsia="新細明體" w:cs="Segoe UI"/>
                <w:i/>
                <w:sz w:val="17"/>
                <w:szCs w:val="17"/>
                <w:lang w:eastAsia="en-GB"/>
              </w:rPr>
            </w:pPr>
          </w:p>
        </w:tc>
        <w:tc>
          <w:tcPr>
            <w:tcW w:w="2869" w:type="dxa"/>
            <w:vMerge w:val="restart"/>
            <w:tcBorders>
              <w:top w:val="nil"/>
              <w:left w:val="nil"/>
              <w:bottom w:val="single" w:sz="4" w:space="0" w:color="auto"/>
              <w:right w:val="single" w:sz="4" w:space="0" w:color="auto"/>
            </w:tcBorders>
          </w:tcPr>
          <w:p w14:paraId="287E1513" w14:textId="77777777" w:rsidR="00190D67" w:rsidRPr="006A6FF6" w:rsidRDefault="00190D67" w:rsidP="00862754">
            <w:pPr>
              <w:keepLines/>
              <w:snapToGrid w:val="0"/>
              <w:rPr>
                <w:rFonts w:eastAsia="新細明體" w:cs="Segoe UI"/>
                <w:i/>
                <w:noProof/>
                <w:sz w:val="17"/>
                <w:szCs w:val="17"/>
                <w:lang w:eastAsia="en-GB"/>
              </w:rPr>
            </w:pPr>
          </w:p>
        </w:tc>
        <w:tc>
          <w:tcPr>
            <w:tcW w:w="58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FB32C7" w14:textId="050DABE3" w:rsidR="00190D67" w:rsidRPr="006A6FF6" w:rsidRDefault="00C843D8" w:rsidP="00862754">
            <w:pPr>
              <w:keepLines/>
              <w:snapToGrid w:val="0"/>
              <w:spacing w:before="40" w:after="40"/>
              <w:jc w:val="center"/>
              <w:rPr>
                <w:rFonts w:eastAsia="新細明體" w:cs="Segoe UI"/>
                <w:sz w:val="17"/>
                <w:szCs w:val="17"/>
                <w:lang w:eastAsia="en-GB"/>
              </w:rPr>
            </w:pPr>
            <w:r w:rsidRPr="006A6FF6">
              <w:rPr>
                <w:rFonts w:eastAsia="新細明體" w:cs="Segoe UI" w:hint="eastAsia"/>
                <w:sz w:val="17"/>
                <w:szCs w:val="17"/>
                <w:lang w:eastAsia="zh-HK"/>
              </w:rPr>
              <w:t>風險加權數額</w:t>
            </w:r>
          </w:p>
        </w:tc>
      </w:tr>
      <w:tr w:rsidR="00883F2A" w:rsidRPr="006A6FF6" w14:paraId="475EBF34" w14:textId="77777777" w:rsidTr="00862754">
        <w:trPr>
          <w:trHeight w:val="245"/>
          <w:tblHeader/>
        </w:trPr>
        <w:tc>
          <w:tcPr>
            <w:tcW w:w="567" w:type="dxa"/>
            <w:tcBorders>
              <w:top w:val="nil"/>
              <w:left w:val="nil"/>
              <w:bottom w:val="single" w:sz="4" w:space="0" w:color="auto"/>
              <w:right w:val="nil"/>
            </w:tcBorders>
          </w:tcPr>
          <w:p w14:paraId="4EB89329" w14:textId="77777777" w:rsidR="00190D67" w:rsidRPr="006A6FF6" w:rsidRDefault="00190D67" w:rsidP="00862754">
            <w:pPr>
              <w:keepLines/>
              <w:snapToGrid w:val="0"/>
              <w:rPr>
                <w:rFonts w:eastAsia="新細明體" w:cs="Segoe UI"/>
                <w:i/>
                <w:sz w:val="17"/>
                <w:szCs w:val="17"/>
                <w:lang w:eastAsia="en-GB"/>
              </w:rPr>
            </w:pPr>
          </w:p>
        </w:tc>
        <w:tc>
          <w:tcPr>
            <w:tcW w:w="2869" w:type="dxa"/>
            <w:vMerge/>
            <w:tcBorders>
              <w:top w:val="single" w:sz="4" w:space="0" w:color="auto"/>
              <w:left w:val="nil"/>
              <w:bottom w:val="single" w:sz="4" w:space="0" w:color="auto"/>
              <w:right w:val="single" w:sz="4" w:space="0" w:color="auto"/>
            </w:tcBorders>
          </w:tcPr>
          <w:p w14:paraId="19F27519" w14:textId="77777777" w:rsidR="00190D67" w:rsidRPr="006A6FF6" w:rsidRDefault="00190D67" w:rsidP="00862754">
            <w:pPr>
              <w:keepLines/>
              <w:snapToGrid w:val="0"/>
              <w:rPr>
                <w:rFonts w:eastAsia="新細明體"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82F476" w14:textId="16AE605F" w:rsidR="00190D67" w:rsidRPr="006A6FF6" w:rsidRDefault="00190D67" w:rsidP="00862754">
            <w:pPr>
              <w:keepLines/>
              <w:snapToGrid w:val="0"/>
              <w:spacing w:before="40" w:after="40"/>
              <w:jc w:val="center"/>
              <w:rPr>
                <w:rFonts w:eastAsia="新細明體" w:cs="Segoe UI"/>
                <w:sz w:val="17"/>
                <w:szCs w:val="17"/>
                <w:lang w:eastAsia="zh-TW"/>
              </w:rPr>
            </w:pPr>
            <w:r w:rsidRPr="006A6FF6">
              <w:rPr>
                <w:rFonts w:eastAsia="新細明體" w:cs="Segoe UI" w:hint="eastAsia"/>
                <w:sz w:val="17"/>
                <w:szCs w:val="17"/>
                <w:lang w:eastAsia="zh-HK"/>
              </w:rPr>
              <w:t>認可機構獲金融管理專員批准採用的模式基準計算法</w:t>
            </w:r>
            <w:r w:rsidR="005A7AE8" w:rsidRPr="006A6FF6">
              <w:rPr>
                <w:rFonts w:eastAsia="新細明體" w:cs="Segoe UI" w:hint="eastAsia"/>
                <w:sz w:val="17"/>
                <w:szCs w:val="17"/>
                <w:lang w:eastAsia="zh-HK"/>
              </w:rPr>
              <w:t>下</w:t>
            </w:r>
            <w:r w:rsidRPr="006A6FF6">
              <w:rPr>
                <w:rFonts w:eastAsia="新細明體" w:cs="Segoe UI" w:hint="eastAsia"/>
                <w:sz w:val="17"/>
                <w:szCs w:val="17"/>
                <w:lang w:eastAsia="zh-HK"/>
              </w:rPr>
              <w:t>計算的風險加權數額</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E90513" w14:textId="666AE05E" w:rsidR="00190D67" w:rsidRPr="006A6FF6" w:rsidRDefault="00D34ED8" w:rsidP="00862754">
            <w:pPr>
              <w:keepLines/>
              <w:snapToGrid w:val="0"/>
              <w:spacing w:before="40" w:after="40"/>
              <w:jc w:val="center"/>
              <w:rPr>
                <w:rFonts w:eastAsia="新細明體" w:cs="Segoe UI"/>
                <w:sz w:val="17"/>
                <w:szCs w:val="17"/>
                <w:lang w:eastAsia="zh-TW"/>
              </w:rPr>
            </w:pPr>
            <w:r w:rsidRPr="006A6FF6">
              <w:rPr>
                <w:rFonts w:eastAsia="新細明體" w:cs="Segoe UI" w:hint="eastAsia"/>
                <w:sz w:val="17"/>
                <w:szCs w:val="17"/>
                <w:lang w:eastAsia="zh-HK"/>
              </w:rPr>
              <w:t>採</w:t>
            </w:r>
            <w:r w:rsidR="00190D67" w:rsidRPr="006A6FF6">
              <w:rPr>
                <w:rFonts w:eastAsia="新細明體" w:cs="Segoe UI" w:hint="eastAsia"/>
                <w:sz w:val="17"/>
                <w:szCs w:val="17"/>
                <w:lang w:eastAsia="zh-HK"/>
              </w:rPr>
              <w:t>用標準計算法的組合的風險加權數額</w:t>
            </w:r>
          </w:p>
          <w:p w14:paraId="057451D8" w14:textId="77777777" w:rsidR="00190D67" w:rsidRPr="006A6FF6" w:rsidRDefault="00190D67" w:rsidP="00862754">
            <w:pPr>
              <w:keepLines/>
              <w:snapToGrid w:val="0"/>
              <w:spacing w:before="40" w:after="40"/>
              <w:jc w:val="center"/>
              <w:rPr>
                <w:rFonts w:eastAsia="新細明體" w:cs="Segoe UI"/>
                <w:sz w:val="17"/>
                <w:szCs w:val="17"/>
                <w:lang w:eastAsia="zh-TW"/>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7477D3" w14:textId="2D2E56A9" w:rsidR="00190D67" w:rsidRPr="006A6FF6" w:rsidRDefault="00190D67" w:rsidP="00862754">
            <w:pPr>
              <w:keepLines/>
              <w:snapToGrid w:val="0"/>
              <w:spacing w:before="40" w:after="40"/>
              <w:jc w:val="center"/>
              <w:rPr>
                <w:rFonts w:eastAsia="新細明體" w:cs="Segoe UI"/>
                <w:noProof/>
                <w:sz w:val="17"/>
                <w:szCs w:val="17"/>
                <w:lang w:eastAsia="zh-TW"/>
              </w:rPr>
            </w:pPr>
            <w:r w:rsidRPr="006A6FF6">
              <w:rPr>
                <w:rFonts w:eastAsia="新細明體" w:cs="Segoe UI" w:hint="eastAsia"/>
                <w:noProof/>
                <w:sz w:val="17"/>
                <w:szCs w:val="17"/>
                <w:lang w:eastAsia="zh-HK"/>
              </w:rPr>
              <w:t>總實際風險加權數額</w:t>
            </w:r>
          </w:p>
          <w:p w14:paraId="4125C7DF" w14:textId="77777777" w:rsidR="00190D67" w:rsidRPr="006A6FF6" w:rsidRDefault="00190D67" w:rsidP="00862754">
            <w:pPr>
              <w:keepLines/>
              <w:snapToGrid w:val="0"/>
              <w:spacing w:before="40" w:after="40"/>
              <w:jc w:val="center"/>
              <w:rPr>
                <w:rFonts w:eastAsia="新細明體" w:cs="Segoe UI"/>
                <w:noProof/>
                <w:sz w:val="17"/>
                <w:szCs w:val="17"/>
                <w:lang w:eastAsia="zh-TW"/>
              </w:rPr>
            </w:pPr>
            <w:r w:rsidRPr="006A6FF6">
              <w:rPr>
                <w:rFonts w:eastAsia="新細明體" w:cs="Segoe UI"/>
                <w:noProof/>
                <w:sz w:val="17"/>
                <w:szCs w:val="17"/>
                <w:lang w:eastAsia="zh-TW"/>
              </w:rPr>
              <w:t>(a + b)</w:t>
            </w:r>
          </w:p>
          <w:p w14:paraId="61719744" w14:textId="4F56D934" w:rsidR="00190D67" w:rsidRPr="006A6FF6" w:rsidRDefault="00BC3FE4" w:rsidP="002D5083">
            <w:pPr>
              <w:keepLines/>
              <w:snapToGrid w:val="0"/>
              <w:spacing w:before="40" w:after="40"/>
              <w:jc w:val="center"/>
              <w:rPr>
                <w:rFonts w:eastAsia="新細明體" w:cs="Segoe UI"/>
                <w:noProof/>
                <w:sz w:val="17"/>
                <w:szCs w:val="17"/>
                <w:lang w:eastAsia="zh-TW"/>
              </w:rPr>
            </w:pPr>
            <w:r w:rsidRPr="006A6FF6">
              <w:rPr>
                <w:rFonts w:eastAsia="新細明體" w:cs="Segoe UI" w:hint="eastAsia"/>
                <w:sz w:val="17"/>
                <w:lang w:eastAsia="zh-HK"/>
              </w:rPr>
              <w:t>（</w:t>
            </w:r>
            <w:r w:rsidR="00190D67" w:rsidRPr="006A6FF6">
              <w:rPr>
                <w:rFonts w:eastAsia="新細明體" w:cs="Segoe UI" w:hint="eastAsia"/>
                <w:noProof/>
                <w:sz w:val="17"/>
                <w:szCs w:val="17"/>
                <w:lang w:eastAsia="zh-HK"/>
              </w:rPr>
              <w:t>即認可機構</w:t>
            </w:r>
            <w:r w:rsidR="002D5083" w:rsidRPr="006A6FF6">
              <w:rPr>
                <w:rFonts w:eastAsia="新細明體" w:cs="Segoe UI" w:hint="eastAsia"/>
                <w:noProof/>
                <w:sz w:val="17"/>
                <w:szCs w:val="17"/>
                <w:lang w:eastAsia="zh-HK"/>
              </w:rPr>
              <w:t>按</w:t>
            </w:r>
            <w:r w:rsidR="00190D67" w:rsidRPr="006A6FF6">
              <w:rPr>
                <w:rFonts w:eastAsia="新細明體" w:cs="Segoe UI" w:hint="eastAsia"/>
                <w:noProof/>
                <w:sz w:val="17"/>
                <w:szCs w:val="17"/>
                <w:lang w:eastAsia="zh-HK"/>
              </w:rPr>
              <w:t>現時規定</w:t>
            </w:r>
            <w:r w:rsidR="000A76A0" w:rsidRPr="006A6FF6">
              <w:rPr>
                <w:rFonts w:eastAsia="新細明體" w:cs="Segoe UI" w:hint="eastAsia"/>
                <w:noProof/>
                <w:sz w:val="17"/>
                <w:szCs w:val="17"/>
                <w:lang w:eastAsia="zh-HK"/>
              </w:rPr>
              <w:t>填報</w:t>
            </w:r>
            <w:r w:rsidR="00190D67" w:rsidRPr="006A6FF6">
              <w:rPr>
                <w:rFonts w:eastAsia="新細明體" w:cs="Segoe UI" w:hint="eastAsia"/>
                <w:noProof/>
                <w:sz w:val="17"/>
                <w:szCs w:val="17"/>
                <w:lang w:eastAsia="zh-HK"/>
              </w:rPr>
              <w:t>的風險加權數額</w:t>
            </w:r>
            <w:r w:rsidR="003B266B" w:rsidRPr="006A6FF6">
              <w:rPr>
                <w:rFonts w:ascii="新細明體" w:eastAsia="新細明體" w:hAnsi="新細明體" w:cs="Segoe UI" w:hint="eastAsia"/>
                <w:sz w:val="17"/>
                <w:szCs w:val="17"/>
                <w:lang w:eastAsia="zh-TW"/>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C50310" w14:textId="70A38818" w:rsidR="00190D67" w:rsidRPr="006A6FF6" w:rsidRDefault="00D34ED8" w:rsidP="00862754">
            <w:pPr>
              <w:keepLines/>
              <w:snapToGrid w:val="0"/>
              <w:spacing w:before="40" w:after="40"/>
              <w:jc w:val="center"/>
              <w:rPr>
                <w:rFonts w:eastAsia="新細明體" w:cs="Segoe UI"/>
                <w:noProof/>
                <w:sz w:val="17"/>
                <w:szCs w:val="17"/>
                <w:lang w:eastAsia="zh-TW"/>
              </w:rPr>
            </w:pPr>
            <w:r w:rsidRPr="006A6FF6">
              <w:rPr>
                <w:rFonts w:eastAsia="新細明體" w:cs="Segoe UI" w:hint="eastAsia"/>
                <w:sz w:val="17"/>
                <w:szCs w:val="17"/>
                <w:lang w:eastAsia="zh-HK"/>
              </w:rPr>
              <w:t>採</w:t>
            </w:r>
            <w:r w:rsidR="00190D67" w:rsidRPr="006A6FF6">
              <w:rPr>
                <w:rFonts w:eastAsia="新細明體" w:cs="Segoe UI" w:hint="eastAsia"/>
                <w:noProof/>
                <w:sz w:val="17"/>
                <w:szCs w:val="17"/>
                <w:lang w:eastAsia="zh-HK"/>
              </w:rPr>
              <w:t>用全</w:t>
            </w:r>
            <w:r w:rsidR="00775E47" w:rsidRPr="006A6FF6">
              <w:rPr>
                <w:rFonts w:eastAsia="新細明體" w:cs="Segoe UI" w:hint="eastAsia"/>
                <w:noProof/>
                <w:sz w:val="17"/>
                <w:szCs w:val="17"/>
                <w:lang w:eastAsia="zh-HK"/>
              </w:rPr>
              <w:t>面</w:t>
            </w:r>
            <w:r w:rsidR="00190D67" w:rsidRPr="006A6FF6">
              <w:rPr>
                <w:rFonts w:eastAsia="新細明體" w:cs="Segoe UI" w:hint="eastAsia"/>
                <w:noProof/>
                <w:sz w:val="17"/>
                <w:szCs w:val="17"/>
                <w:lang w:eastAsia="zh-HK"/>
              </w:rPr>
              <w:t>標準計算法計算的風險加權數額</w:t>
            </w:r>
          </w:p>
          <w:p w14:paraId="6A136436" w14:textId="4CA9062A" w:rsidR="00190D67" w:rsidRPr="006A6FF6" w:rsidRDefault="004E75ED" w:rsidP="00862754">
            <w:pPr>
              <w:keepLines/>
              <w:snapToGrid w:val="0"/>
              <w:spacing w:before="40" w:after="40"/>
              <w:jc w:val="center"/>
              <w:rPr>
                <w:rFonts w:eastAsia="新細明體" w:cs="Segoe UI"/>
                <w:noProof/>
                <w:sz w:val="17"/>
                <w:szCs w:val="17"/>
                <w:lang w:eastAsia="zh-TW"/>
              </w:rPr>
            </w:pPr>
            <w:r w:rsidRPr="006A6FF6">
              <w:rPr>
                <w:rFonts w:eastAsia="新細明體" w:cs="Segoe UI" w:hint="eastAsia"/>
                <w:sz w:val="17"/>
                <w:lang w:eastAsia="zh-HK"/>
              </w:rPr>
              <w:t>（</w:t>
            </w:r>
            <w:r w:rsidR="00190D67" w:rsidRPr="006A6FF6">
              <w:rPr>
                <w:rFonts w:eastAsia="新細明體" w:cs="Segoe UI" w:hint="eastAsia"/>
                <w:noProof/>
                <w:sz w:val="17"/>
                <w:szCs w:val="17"/>
                <w:lang w:eastAsia="zh-HK"/>
              </w:rPr>
              <w:t>即用於</w:t>
            </w:r>
            <w:r w:rsidR="00190D67" w:rsidRPr="006A6FF6">
              <w:rPr>
                <w:rFonts w:eastAsia="新細明體" w:cs="Segoe UI"/>
                <w:noProof/>
                <w:sz w:val="17"/>
                <w:szCs w:val="17"/>
                <w:lang w:eastAsia="zh-HK"/>
              </w:rPr>
              <w:br/>
            </w:r>
            <w:r w:rsidR="00190D67" w:rsidRPr="006A6FF6">
              <w:rPr>
                <w:rFonts w:eastAsia="新細明體" w:cs="Segoe UI" w:hint="eastAsia"/>
                <w:noProof/>
                <w:sz w:val="17"/>
                <w:szCs w:val="17"/>
                <w:lang w:eastAsia="zh-HK"/>
              </w:rPr>
              <w:t>出項下限的計算</w:t>
            </w:r>
            <w:r w:rsidR="003B266B" w:rsidRPr="006A6FF6">
              <w:rPr>
                <w:rFonts w:ascii="新細明體" w:eastAsia="新細明體" w:hAnsi="新細明體" w:cs="Segoe UI" w:hint="eastAsia"/>
                <w:sz w:val="17"/>
                <w:szCs w:val="17"/>
                <w:lang w:eastAsia="zh-TW"/>
              </w:rPr>
              <w:t>）</w:t>
            </w:r>
          </w:p>
          <w:p w14:paraId="04F85EF0" w14:textId="77777777" w:rsidR="00190D67" w:rsidRPr="006A6FF6" w:rsidRDefault="00190D67" w:rsidP="00862754">
            <w:pPr>
              <w:jc w:val="center"/>
              <w:textAlignment w:val="baseline"/>
              <w:rPr>
                <w:rFonts w:eastAsia="新細明體" w:cs="Segoe UI"/>
                <w:noProof/>
                <w:sz w:val="17"/>
                <w:szCs w:val="17"/>
                <w:lang w:eastAsia="zh-TW"/>
              </w:rPr>
            </w:pPr>
          </w:p>
        </w:tc>
      </w:tr>
      <w:tr w:rsidR="00883F2A" w:rsidRPr="006A6FF6" w14:paraId="73485AB3" w14:textId="77777777" w:rsidTr="00862754">
        <w:tc>
          <w:tcPr>
            <w:tcW w:w="567" w:type="dxa"/>
            <w:tcBorders>
              <w:top w:val="single" w:sz="4" w:space="0" w:color="auto"/>
              <w:left w:val="nil"/>
              <w:right w:val="single" w:sz="4" w:space="0" w:color="auto"/>
            </w:tcBorders>
          </w:tcPr>
          <w:p w14:paraId="18DA1991" w14:textId="77777777" w:rsidR="00190D67" w:rsidRPr="006A6FF6" w:rsidRDefault="00190D67" w:rsidP="00862754">
            <w:pPr>
              <w:keepLines/>
              <w:tabs>
                <w:tab w:val="left" w:pos="150"/>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1</w:t>
            </w:r>
          </w:p>
        </w:tc>
        <w:tc>
          <w:tcPr>
            <w:tcW w:w="2869" w:type="dxa"/>
            <w:tcBorders>
              <w:top w:val="single" w:sz="4" w:space="0" w:color="auto"/>
              <w:left w:val="single" w:sz="4" w:space="0" w:color="auto"/>
              <w:right w:val="single" w:sz="4" w:space="0" w:color="auto"/>
            </w:tcBorders>
          </w:tcPr>
          <w:p w14:paraId="021383D4" w14:textId="77777777" w:rsidR="00190D67" w:rsidRPr="006A6FF6" w:rsidRDefault="00190D67" w:rsidP="00862754">
            <w:pPr>
              <w:keepLines/>
              <w:tabs>
                <w:tab w:val="left" w:pos="397"/>
                <w:tab w:val="left" w:pos="794"/>
                <w:tab w:val="left" w:pos="1191"/>
              </w:tabs>
              <w:snapToGrid w:val="0"/>
              <w:spacing w:before="20" w:after="20"/>
              <w:rPr>
                <w:rFonts w:eastAsia="新細明體" w:cs="Segoe UI"/>
                <w:noProof/>
                <w:sz w:val="17"/>
                <w:szCs w:val="17"/>
                <w:lang w:eastAsia="zh-TW"/>
              </w:rPr>
            </w:pPr>
            <w:r w:rsidRPr="006A6FF6">
              <w:rPr>
                <w:rFonts w:eastAsia="新細明體" w:cs="Segoe UI"/>
                <w:sz w:val="17"/>
                <w:szCs w:val="17"/>
                <w:lang w:eastAsia="zh-TW"/>
              </w:rPr>
              <w:t>非證券化類別風險承擔的信用風險</w:t>
            </w:r>
          </w:p>
        </w:tc>
        <w:tc>
          <w:tcPr>
            <w:tcW w:w="1418" w:type="dxa"/>
            <w:tcBorders>
              <w:top w:val="single" w:sz="4" w:space="0" w:color="auto"/>
              <w:left w:val="single" w:sz="4" w:space="0" w:color="auto"/>
              <w:bottom w:val="single" w:sz="4" w:space="0" w:color="BFBFBF"/>
              <w:right w:val="single" w:sz="4" w:space="0" w:color="auto"/>
            </w:tcBorders>
            <w:shd w:val="clear" w:color="auto" w:fill="FFFFFF"/>
          </w:tcPr>
          <w:p w14:paraId="41B51FAD"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5C8D0A8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auto"/>
              <w:left w:val="single" w:sz="4" w:space="0" w:color="auto"/>
              <w:bottom w:val="single" w:sz="4" w:space="0" w:color="BFBFBF"/>
              <w:right w:val="single" w:sz="4" w:space="0" w:color="auto"/>
            </w:tcBorders>
            <w:shd w:val="clear" w:color="auto" w:fill="FFFFFF"/>
          </w:tcPr>
          <w:p w14:paraId="29D92C3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0B811D2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3B5F9FF3" w14:textId="77777777" w:rsidTr="00862754">
        <w:tc>
          <w:tcPr>
            <w:tcW w:w="567" w:type="dxa"/>
            <w:tcBorders>
              <w:left w:val="nil"/>
              <w:right w:val="single" w:sz="4" w:space="0" w:color="auto"/>
            </w:tcBorders>
          </w:tcPr>
          <w:p w14:paraId="39CC76B2"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2</w:t>
            </w:r>
          </w:p>
        </w:tc>
        <w:tc>
          <w:tcPr>
            <w:tcW w:w="2869" w:type="dxa"/>
            <w:tcBorders>
              <w:left w:val="single" w:sz="4" w:space="0" w:color="auto"/>
              <w:right w:val="single" w:sz="4" w:space="0" w:color="auto"/>
            </w:tcBorders>
          </w:tcPr>
          <w:p w14:paraId="73F25344" w14:textId="28C22302"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hint="eastAsia"/>
                <w:sz w:val="17"/>
                <w:szCs w:val="17"/>
                <w:lang w:eastAsia="zh-TW"/>
              </w:rPr>
              <w:t>對手</w:t>
            </w:r>
            <w:r w:rsidRPr="006A6FF6">
              <w:rPr>
                <w:rFonts w:eastAsia="新細明體" w:cs="Segoe UI" w:hint="eastAsia"/>
                <w:sz w:val="17"/>
                <w:szCs w:val="17"/>
                <w:lang w:eastAsia="zh-HK"/>
              </w:rPr>
              <w:t>方信用</w:t>
            </w:r>
            <w:r w:rsidRPr="006A6FF6">
              <w:rPr>
                <w:rFonts w:eastAsia="新細明體" w:cs="Segoe UI" w:hint="eastAsia"/>
                <w:sz w:val="17"/>
                <w:szCs w:val="17"/>
                <w:lang w:eastAsia="zh-TW"/>
              </w:rPr>
              <w:t>風險</w:t>
            </w:r>
            <w:proofErr w:type="gramStart"/>
            <w:r w:rsidRPr="006A6FF6">
              <w:rPr>
                <w:rFonts w:eastAsia="新細明體" w:cs="Segoe UI" w:hint="eastAsia"/>
                <w:sz w:val="17"/>
                <w:szCs w:val="17"/>
                <w:lang w:eastAsia="zh-HK"/>
              </w:rPr>
              <w:t>及違責基金</w:t>
            </w:r>
            <w:proofErr w:type="gramEnd"/>
            <w:r w:rsidRPr="006A6FF6">
              <w:rPr>
                <w:rFonts w:eastAsia="新細明體" w:cs="Segoe UI" w:hint="eastAsia"/>
                <w:sz w:val="17"/>
                <w:szCs w:val="17"/>
                <w:lang w:eastAsia="zh-HK"/>
              </w:rPr>
              <w:t>承擔</w:t>
            </w:r>
            <w:r w:rsidRPr="006A6FF6">
              <w:rPr>
                <w:rFonts w:eastAsia="新細明體" w:cs="Segoe UI"/>
                <w:sz w:val="17"/>
                <w:szCs w:val="17"/>
                <w:lang w:eastAsia="zh-TW"/>
              </w:rPr>
              <w:t xml:space="preserve"> </w:t>
            </w:r>
          </w:p>
        </w:tc>
        <w:tc>
          <w:tcPr>
            <w:tcW w:w="1418" w:type="dxa"/>
            <w:tcBorders>
              <w:top w:val="single" w:sz="4" w:space="0" w:color="BFBFBF"/>
              <w:left w:val="single" w:sz="4" w:space="0" w:color="auto"/>
              <w:bottom w:val="single" w:sz="4" w:space="0" w:color="BFBFBF"/>
              <w:right w:val="single" w:sz="4" w:space="0" w:color="auto"/>
            </w:tcBorders>
            <w:shd w:val="clear" w:color="auto" w:fill="FFFFFF"/>
          </w:tcPr>
          <w:p w14:paraId="32715848"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154904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6430EB7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3C6C42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7D8AF656" w14:textId="77777777" w:rsidTr="00862754">
        <w:tc>
          <w:tcPr>
            <w:tcW w:w="567" w:type="dxa"/>
            <w:tcBorders>
              <w:left w:val="nil"/>
              <w:right w:val="single" w:sz="4" w:space="0" w:color="auto"/>
            </w:tcBorders>
          </w:tcPr>
          <w:p w14:paraId="5E88055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3</w:t>
            </w:r>
          </w:p>
        </w:tc>
        <w:tc>
          <w:tcPr>
            <w:tcW w:w="2869" w:type="dxa"/>
            <w:tcBorders>
              <w:left w:val="single" w:sz="4" w:space="0" w:color="auto"/>
              <w:right w:val="single" w:sz="4" w:space="0" w:color="auto"/>
            </w:tcBorders>
          </w:tcPr>
          <w:p w14:paraId="2340DEAD" w14:textId="793B1169"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CVA</w:t>
            </w:r>
            <w:r w:rsidRPr="006A6FF6">
              <w:rPr>
                <w:rFonts w:eastAsia="新細明體" w:cs="Segoe UI" w:hint="eastAsia"/>
                <w:sz w:val="17"/>
                <w:szCs w:val="17"/>
                <w:lang w:eastAsia="zh-HK"/>
              </w:rPr>
              <w:t>風險</w:t>
            </w:r>
          </w:p>
        </w:tc>
        <w:tc>
          <w:tcPr>
            <w:tcW w:w="1418" w:type="dxa"/>
            <w:tcBorders>
              <w:top w:val="single" w:sz="4" w:space="0" w:color="BFBFBF"/>
              <w:left w:val="single" w:sz="4" w:space="0" w:color="auto"/>
              <w:bottom w:val="single" w:sz="4" w:space="0" w:color="BFBFBF"/>
              <w:right w:val="single" w:sz="4" w:space="0" w:color="auto"/>
            </w:tcBorders>
            <w:shd w:val="clear" w:color="auto" w:fill="D0CECE"/>
          </w:tcPr>
          <w:p w14:paraId="0AAB5C0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AF74A5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2BEAFF56"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1524E1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0292279D" w14:textId="77777777" w:rsidTr="00862754">
        <w:tc>
          <w:tcPr>
            <w:tcW w:w="567" w:type="dxa"/>
            <w:tcBorders>
              <w:left w:val="nil"/>
              <w:right w:val="single" w:sz="4" w:space="0" w:color="auto"/>
            </w:tcBorders>
          </w:tcPr>
          <w:p w14:paraId="571938C0"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4</w:t>
            </w:r>
          </w:p>
        </w:tc>
        <w:tc>
          <w:tcPr>
            <w:tcW w:w="2869" w:type="dxa"/>
            <w:tcBorders>
              <w:left w:val="single" w:sz="4" w:space="0" w:color="auto"/>
              <w:right w:val="single" w:sz="4" w:space="0" w:color="auto"/>
            </w:tcBorders>
          </w:tcPr>
          <w:p w14:paraId="7DA31329" w14:textId="3D65A578"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hint="eastAsia"/>
                <w:sz w:val="17"/>
                <w:szCs w:val="17"/>
                <w:lang w:eastAsia="zh-HK"/>
              </w:rPr>
              <w:t>銀行帳內</w:t>
            </w:r>
            <w:r w:rsidR="00775E47" w:rsidRPr="006A6FF6">
              <w:rPr>
                <w:rFonts w:eastAsia="新細明體" w:cs="Segoe UI" w:hint="eastAsia"/>
                <w:sz w:val="17"/>
                <w:szCs w:val="17"/>
                <w:lang w:eastAsia="zh-HK"/>
              </w:rPr>
              <w:t>的</w:t>
            </w:r>
            <w:r w:rsidRPr="006A6FF6">
              <w:rPr>
                <w:rFonts w:eastAsia="新細明體" w:cs="Segoe UI" w:hint="eastAsia"/>
                <w:sz w:val="17"/>
                <w:szCs w:val="17"/>
                <w:lang w:eastAsia="zh-HK"/>
              </w:rPr>
              <w:t>證券化類別風險承擔</w:t>
            </w:r>
          </w:p>
        </w:tc>
        <w:tc>
          <w:tcPr>
            <w:tcW w:w="1418" w:type="dxa"/>
            <w:tcBorders>
              <w:top w:val="single" w:sz="4" w:space="0" w:color="BFBFBF"/>
              <w:left w:val="single" w:sz="4" w:space="0" w:color="auto"/>
              <w:bottom w:val="single" w:sz="4" w:space="0" w:color="BFBFBF"/>
              <w:right w:val="single" w:sz="4" w:space="0" w:color="auto"/>
            </w:tcBorders>
            <w:shd w:val="clear" w:color="auto" w:fill="FFFFFF"/>
          </w:tcPr>
          <w:p w14:paraId="7422FDE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D74A558"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7EF813F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E237D7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4A0EEC7E" w14:textId="77777777" w:rsidTr="00862754">
        <w:tc>
          <w:tcPr>
            <w:tcW w:w="567" w:type="dxa"/>
            <w:tcBorders>
              <w:left w:val="nil"/>
              <w:right w:val="single" w:sz="4" w:space="0" w:color="auto"/>
            </w:tcBorders>
          </w:tcPr>
          <w:p w14:paraId="3C06678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5</w:t>
            </w:r>
          </w:p>
        </w:tc>
        <w:tc>
          <w:tcPr>
            <w:tcW w:w="2869" w:type="dxa"/>
            <w:tcBorders>
              <w:left w:val="single" w:sz="4" w:space="0" w:color="auto"/>
              <w:right w:val="single" w:sz="4" w:space="0" w:color="auto"/>
            </w:tcBorders>
          </w:tcPr>
          <w:p w14:paraId="5CBEC0C5" w14:textId="56C78486"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hint="eastAsia"/>
                <w:sz w:val="17"/>
                <w:szCs w:val="17"/>
                <w:lang w:eastAsia="zh-HK"/>
              </w:rPr>
              <w:t>市場風險</w:t>
            </w:r>
          </w:p>
        </w:tc>
        <w:tc>
          <w:tcPr>
            <w:tcW w:w="1418" w:type="dxa"/>
            <w:tcBorders>
              <w:top w:val="single" w:sz="4" w:space="0" w:color="BFBFBF"/>
              <w:left w:val="single" w:sz="4" w:space="0" w:color="auto"/>
              <w:bottom w:val="single" w:sz="4" w:space="0" w:color="BFBFBF"/>
              <w:right w:val="single" w:sz="4" w:space="0" w:color="auto"/>
            </w:tcBorders>
            <w:shd w:val="clear" w:color="auto" w:fill="FFFFFF"/>
          </w:tcPr>
          <w:p w14:paraId="1CF639C8"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D137CE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5FAC970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B2B6000"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03782538" w14:textId="77777777" w:rsidTr="00862754">
        <w:tc>
          <w:tcPr>
            <w:tcW w:w="567" w:type="dxa"/>
            <w:tcBorders>
              <w:left w:val="nil"/>
              <w:right w:val="single" w:sz="4" w:space="0" w:color="auto"/>
            </w:tcBorders>
          </w:tcPr>
          <w:p w14:paraId="3993676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6</w:t>
            </w:r>
          </w:p>
        </w:tc>
        <w:tc>
          <w:tcPr>
            <w:tcW w:w="2869" w:type="dxa"/>
            <w:tcBorders>
              <w:left w:val="single" w:sz="4" w:space="0" w:color="auto"/>
              <w:right w:val="single" w:sz="4" w:space="0" w:color="auto"/>
            </w:tcBorders>
          </w:tcPr>
          <w:p w14:paraId="66F3AFA4" w14:textId="77777777" w:rsidR="00190D67" w:rsidRPr="006A6FF6" w:rsidRDefault="00190D67" w:rsidP="00862754">
            <w:pPr>
              <w:keepLines/>
              <w:tabs>
                <w:tab w:val="left" w:pos="397"/>
                <w:tab w:val="left" w:pos="794"/>
                <w:tab w:val="left" w:pos="1191"/>
              </w:tabs>
              <w:snapToGrid w:val="0"/>
              <w:spacing w:before="20" w:after="20"/>
              <w:rPr>
                <w:rFonts w:eastAsia="新細明體" w:cs="Segoe UI"/>
                <w:noProof/>
                <w:sz w:val="17"/>
                <w:szCs w:val="17"/>
                <w:lang w:eastAsia="zh-TW"/>
              </w:rPr>
            </w:pPr>
            <w:r w:rsidRPr="006A6FF6">
              <w:rPr>
                <w:rFonts w:eastAsia="新細明體" w:cs="Segoe UI"/>
                <w:sz w:val="17"/>
                <w:szCs w:val="17"/>
                <w:lang w:eastAsia="zh-TW"/>
              </w:rPr>
              <w:t>業務操作風險</w:t>
            </w:r>
          </w:p>
        </w:tc>
        <w:tc>
          <w:tcPr>
            <w:tcW w:w="1418" w:type="dxa"/>
            <w:tcBorders>
              <w:top w:val="single" w:sz="4" w:space="0" w:color="BFBFBF"/>
              <w:left w:val="single" w:sz="4" w:space="0" w:color="auto"/>
              <w:bottom w:val="single" w:sz="4" w:space="0" w:color="BFBFBF"/>
              <w:right w:val="single" w:sz="4" w:space="0" w:color="auto"/>
            </w:tcBorders>
            <w:shd w:val="clear" w:color="auto" w:fill="D0CECE"/>
          </w:tcPr>
          <w:p w14:paraId="2DA607C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5848DD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5943692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A26899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03B1C4E9" w14:textId="77777777" w:rsidTr="00862754">
        <w:tc>
          <w:tcPr>
            <w:tcW w:w="567" w:type="dxa"/>
            <w:tcBorders>
              <w:left w:val="nil"/>
              <w:right w:val="single" w:sz="4" w:space="0" w:color="auto"/>
            </w:tcBorders>
          </w:tcPr>
          <w:p w14:paraId="333888E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sz w:val="17"/>
                <w:szCs w:val="17"/>
                <w:lang w:eastAsia="zh-TW"/>
              </w:rPr>
              <w:t>7</w:t>
            </w:r>
          </w:p>
        </w:tc>
        <w:tc>
          <w:tcPr>
            <w:tcW w:w="2869" w:type="dxa"/>
            <w:tcBorders>
              <w:left w:val="single" w:sz="4" w:space="0" w:color="auto"/>
              <w:right w:val="single" w:sz="4" w:space="0" w:color="auto"/>
            </w:tcBorders>
          </w:tcPr>
          <w:p w14:paraId="1AE891D6"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hint="eastAsia"/>
                <w:sz w:val="17"/>
                <w:szCs w:val="17"/>
                <w:lang w:eastAsia="zh-HK"/>
              </w:rPr>
              <w:t>剩餘風險加權數額</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72F6DA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18E47E8"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6A69578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64F1A5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151DAD4C" w14:textId="77777777" w:rsidTr="00862754">
        <w:trPr>
          <w:trHeight w:val="281"/>
        </w:trPr>
        <w:tc>
          <w:tcPr>
            <w:tcW w:w="567" w:type="dxa"/>
            <w:tcBorders>
              <w:left w:val="nil"/>
              <w:bottom w:val="single" w:sz="4" w:space="0" w:color="auto"/>
              <w:right w:val="single" w:sz="4" w:space="0" w:color="auto"/>
            </w:tcBorders>
          </w:tcPr>
          <w:p w14:paraId="55DBE18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highlight w:val="yellow"/>
                <w:lang w:eastAsia="zh-TW"/>
              </w:rPr>
            </w:pPr>
            <w:r w:rsidRPr="006A6FF6">
              <w:rPr>
                <w:rFonts w:eastAsia="新細明體" w:cs="Segoe UI"/>
                <w:sz w:val="17"/>
                <w:szCs w:val="17"/>
                <w:lang w:eastAsia="zh-TW"/>
              </w:rPr>
              <w:t>8</w:t>
            </w:r>
          </w:p>
        </w:tc>
        <w:tc>
          <w:tcPr>
            <w:tcW w:w="2869" w:type="dxa"/>
            <w:tcBorders>
              <w:left w:val="single" w:sz="4" w:space="0" w:color="auto"/>
              <w:bottom w:val="single" w:sz="4" w:space="0" w:color="auto"/>
              <w:right w:val="single" w:sz="4" w:space="0" w:color="auto"/>
            </w:tcBorders>
            <w:vAlign w:val="center"/>
          </w:tcPr>
          <w:p w14:paraId="6F68E64A" w14:textId="77777777" w:rsidR="00190D67" w:rsidRPr="006A6FF6" w:rsidRDefault="00190D67" w:rsidP="00862754">
            <w:pPr>
              <w:keepLines/>
              <w:tabs>
                <w:tab w:val="left" w:pos="397"/>
                <w:tab w:val="left" w:pos="794"/>
                <w:tab w:val="left" w:pos="1191"/>
              </w:tabs>
              <w:snapToGrid w:val="0"/>
              <w:spacing w:before="20" w:after="20"/>
              <w:rPr>
                <w:rFonts w:eastAsia="新細明體" w:cs="Segoe UI"/>
                <w:noProof/>
                <w:sz w:val="17"/>
                <w:szCs w:val="17"/>
                <w:lang w:eastAsia="en-GB"/>
              </w:rPr>
            </w:pPr>
            <w:r w:rsidRPr="006A6FF6">
              <w:rPr>
                <w:rFonts w:eastAsia="新細明體" w:cs="Segoe UI" w:hint="eastAsia"/>
                <w:noProof/>
                <w:sz w:val="17"/>
                <w:szCs w:val="17"/>
                <w:lang w:eastAsia="zh-HK"/>
              </w:rPr>
              <w:t>總計</w:t>
            </w:r>
          </w:p>
        </w:tc>
        <w:tc>
          <w:tcPr>
            <w:tcW w:w="1418" w:type="dxa"/>
            <w:tcBorders>
              <w:top w:val="single" w:sz="4" w:space="0" w:color="BFBFBF"/>
              <w:left w:val="single" w:sz="4" w:space="0" w:color="auto"/>
              <w:bottom w:val="single" w:sz="4" w:space="0" w:color="auto"/>
              <w:right w:val="single" w:sz="4" w:space="0" w:color="auto"/>
            </w:tcBorders>
            <w:shd w:val="clear" w:color="auto" w:fill="auto"/>
          </w:tcPr>
          <w:p w14:paraId="26579FB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0A96180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276" w:type="dxa"/>
            <w:tcBorders>
              <w:top w:val="single" w:sz="4" w:space="0" w:color="BFBFBF"/>
              <w:left w:val="single" w:sz="4" w:space="0" w:color="auto"/>
              <w:bottom w:val="single" w:sz="4" w:space="0" w:color="auto"/>
              <w:right w:val="single" w:sz="4" w:space="0" w:color="auto"/>
            </w:tcBorders>
            <w:shd w:val="clear" w:color="auto" w:fill="FFFFFF"/>
          </w:tcPr>
          <w:p w14:paraId="3B2580E4"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28CE805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r>
    </w:tbl>
    <w:p w14:paraId="7E0932BC" w14:textId="77777777" w:rsidR="00190D67" w:rsidRPr="006A6FF6" w:rsidRDefault="00190D67" w:rsidP="00190D67">
      <w:pPr>
        <w:spacing w:before="120" w:after="120"/>
        <w:ind w:leftChars="-283" w:left="-566"/>
        <w:rPr>
          <w:rFonts w:eastAsia="新細明體" w:cs="Segoe UI"/>
          <w:sz w:val="22"/>
          <w:lang w:eastAsia="zh-TW"/>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6A6FF6" w:rsidRPr="006A6FF6" w14:paraId="24C4A6F8" w14:textId="77777777" w:rsidTr="00862754">
        <w:trPr>
          <w:tblHeader/>
        </w:trPr>
        <w:tc>
          <w:tcPr>
            <w:tcW w:w="9214" w:type="dxa"/>
            <w:gridSpan w:val="2"/>
            <w:shd w:val="clear" w:color="auto" w:fill="BFBFBF"/>
          </w:tcPr>
          <w:p w14:paraId="41EC63FD"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hint="eastAsia"/>
                <w:b/>
                <w:sz w:val="17"/>
                <w:lang w:eastAsia="zh-HK"/>
              </w:rPr>
              <w:t>註釋</w:t>
            </w:r>
          </w:p>
        </w:tc>
      </w:tr>
      <w:tr w:rsidR="006A6FF6" w:rsidRPr="006A6FF6" w14:paraId="4ECDBA7D" w14:textId="77777777" w:rsidTr="00845D23">
        <w:tc>
          <w:tcPr>
            <w:tcW w:w="9214" w:type="dxa"/>
            <w:gridSpan w:val="2"/>
            <w:shd w:val="clear" w:color="auto" w:fill="F2F2F2" w:themeFill="background1" w:themeFillShade="F2"/>
          </w:tcPr>
          <w:p w14:paraId="27464B91"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sz w:val="17"/>
                <w:szCs w:val="17"/>
                <w:lang w:eastAsia="en-GB"/>
              </w:rPr>
            </w:pPr>
            <w:r w:rsidRPr="006A6FF6">
              <w:rPr>
                <w:rFonts w:eastAsia="新細明體" w:cs="Segoe UI" w:hint="eastAsia"/>
                <w:b/>
                <w:sz w:val="17"/>
                <w:lang w:eastAsia="zh-HK"/>
              </w:rPr>
              <w:t>欄</w:t>
            </w:r>
          </w:p>
        </w:tc>
      </w:tr>
      <w:tr w:rsidR="006A6FF6" w:rsidRPr="006A6FF6" w14:paraId="65ACD974" w14:textId="77777777" w:rsidTr="00862754">
        <w:tc>
          <w:tcPr>
            <w:tcW w:w="567" w:type="dxa"/>
            <w:shd w:val="clear" w:color="auto" w:fill="auto"/>
          </w:tcPr>
          <w:p w14:paraId="45782BD2"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sz w:val="17"/>
                <w:lang w:eastAsia="en-GB"/>
              </w:rPr>
            </w:pPr>
            <w:r w:rsidRPr="006A6FF6">
              <w:rPr>
                <w:rFonts w:eastAsia="新細明體" w:cs="Segoe UI"/>
                <w:sz w:val="17"/>
                <w:lang w:eastAsia="en-GB"/>
              </w:rPr>
              <w:t>(a)</w:t>
            </w:r>
          </w:p>
        </w:tc>
        <w:tc>
          <w:tcPr>
            <w:tcW w:w="8647" w:type="dxa"/>
            <w:shd w:val="clear" w:color="auto" w:fill="auto"/>
          </w:tcPr>
          <w:p w14:paraId="2E35EC09" w14:textId="2F284EC6" w:rsidR="00190D67" w:rsidRPr="006A6FF6" w:rsidRDefault="00190D67" w:rsidP="00880D3B">
            <w:pPr>
              <w:keepNext/>
              <w:keepLines/>
              <w:tabs>
                <w:tab w:val="left" w:pos="150"/>
                <w:tab w:val="left" w:pos="397"/>
                <w:tab w:val="left" w:pos="794"/>
                <w:tab w:val="left" w:pos="1191"/>
              </w:tabs>
              <w:spacing w:before="40" w:after="40"/>
              <w:jc w:val="both"/>
              <w:rPr>
                <w:rFonts w:eastAsia="新細明體" w:cs="Segoe UI"/>
                <w:sz w:val="17"/>
                <w:szCs w:val="17"/>
                <w:highlight w:val="lightGray"/>
                <w:lang w:eastAsia="zh-TW"/>
              </w:rPr>
            </w:pPr>
            <w:r w:rsidRPr="006A6FF6">
              <w:rPr>
                <w:rFonts w:eastAsia="新細明體" w:cs="Segoe UI" w:hint="eastAsia"/>
                <w:i/>
                <w:sz w:val="17"/>
                <w:szCs w:val="17"/>
                <w:lang w:eastAsia="zh-TW"/>
              </w:rPr>
              <w:t>認可機構獲金融管理專員批准採用的模式基準計算法</w:t>
            </w:r>
            <w:r w:rsidR="00854707" w:rsidRPr="006A6FF6">
              <w:rPr>
                <w:rFonts w:eastAsia="新細明體" w:cs="Segoe UI" w:hint="eastAsia"/>
                <w:i/>
                <w:sz w:val="17"/>
                <w:szCs w:val="17"/>
                <w:lang w:eastAsia="zh-HK"/>
              </w:rPr>
              <w:t>下</w:t>
            </w:r>
            <w:r w:rsidRPr="006A6FF6">
              <w:rPr>
                <w:rFonts w:eastAsia="新細明體" w:cs="Segoe UI" w:hint="eastAsia"/>
                <w:i/>
                <w:sz w:val="17"/>
                <w:szCs w:val="17"/>
                <w:lang w:eastAsia="zh-TW"/>
              </w:rPr>
              <w:t>計算的風險加權數額</w:t>
            </w:r>
            <w:r w:rsidRPr="006A6FF6">
              <w:rPr>
                <w:rFonts w:eastAsia="新細明體" w:cs="Segoe UI"/>
                <w:sz w:val="17"/>
                <w:szCs w:val="17"/>
                <w:lang w:eastAsia="zh-TW"/>
              </w:rPr>
              <w:t>：</w:t>
            </w:r>
            <w:r w:rsidRPr="006A6FF6">
              <w:rPr>
                <w:rFonts w:eastAsia="新細明體" w:cs="Segoe UI" w:hint="eastAsia"/>
                <w:sz w:val="17"/>
                <w:szCs w:val="17"/>
                <w:lang w:eastAsia="zh-HK"/>
              </w:rPr>
              <w:t>模式基準計算法指</w:t>
            </w:r>
            <w:r w:rsidRPr="006A6FF6">
              <w:rPr>
                <w:rFonts w:eastAsia="細明體" w:cs="Segoe UI"/>
                <w:kern w:val="2"/>
                <w:sz w:val="17"/>
                <w:szCs w:val="17"/>
                <w:lang w:val="en-US" w:eastAsia="zh-TW"/>
              </w:rPr>
              <w:t>《資本規則》</w:t>
            </w:r>
            <w:r w:rsidRPr="006A6FF6">
              <w:rPr>
                <w:rFonts w:eastAsia="新細明體" w:cs="Segoe UI" w:hint="eastAsia"/>
                <w:sz w:val="17"/>
                <w:szCs w:val="17"/>
                <w:lang w:eastAsia="zh-HK"/>
              </w:rPr>
              <w:t>第</w:t>
            </w:r>
            <w:r w:rsidRPr="006A6FF6">
              <w:rPr>
                <w:rFonts w:eastAsia="新細明體" w:cs="Segoe UI"/>
                <w:sz w:val="17"/>
                <w:szCs w:val="17"/>
                <w:lang w:eastAsia="zh-TW"/>
              </w:rPr>
              <w:t>355</w:t>
            </w:r>
            <w:r w:rsidRPr="006A6FF6">
              <w:rPr>
                <w:rFonts w:eastAsia="新細明體" w:cs="Segoe UI" w:hint="eastAsia"/>
                <w:sz w:val="17"/>
                <w:szCs w:val="17"/>
                <w:lang w:eastAsia="zh-HK"/>
              </w:rPr>
              <w:t>條中所指明的計算法</w:t>
            </w:r>
            <w:r w:rsidR="004E75ED" w:rsidRPr="006A6FF6">
              <w:rPr>
                <w:rFonts w:eastAsia="新細明體" w:cs="Segoe UI" w:hint="eastAsia"/>
                <w:sz w:val="17"/>
                <w:lang w:eastAsia="zh-HK"/>
              </w:rPr>
              <w:t>（</w:t>
            </w:r>
            <w:r w:rsidRPr="006A6FF6">
              <w:rPr>
                <w:rFonts w:eastAsia="新細明體" w:cs="Segoe UI" w:hint="eastAsia"/>
                <w:sz w:val="17"/>
                <w:szCs w:val="17"/>
                <w:lang w:eastAsia="zh-HK"/>
              </w:rPr>
              <w:t>即</w:t>
            </w:r>
            <w:r w:rsidRPr="006A6FF6">
              <w:rPr>
                <w:rFonts w:eastAsia="新細明體" w:cs="Segoe UI"/>
                <w:sz w:val="17"/>
                <w:szCs w:val="17"/>
                <w:lang w:eastAsia="zh-TW"/>
              </w:rPr>
              <w:t xml:space="preserve">IRB </w:t>
            </w:r>
            <w:r w:rsidRPr="006A6FF6">
              <w:rPr>
                <w:rFonts w:eastAsia="新細明體" w:cs="Segoe UI" w:hint="eastAsia"/>
                <w:sz w:val="17"/>
                <w:szCs w:val="17"/>
                <w:lang w:eastAsia="zh-HK"/>
              </w:rPr>
              <w:t>計算法</w:t>
            </w:r>
            <w:r w:rsidRPr="006A6FF6">
              <w:rPr>
                <w:rFonts w:eastAsia="新細明體" w:cs="Segoe UI" w:hint="eastAsia"/>
                <w:sz w:val="17"/>
                <w:szCs w:val="17"/>
                <w:lang w:eastAsia="zh-TW"/>
              </w:rPr>
              <w:t>、</w:t>
            </w:r>
            <w:r w:rsidRPr="006A6FF6">
              <w:rPr>
                <w:rFonts w:eastAsia="新細明體" w:cs="Segoe UI"/>
                <w:sz w:val="17"/>
                <w:szCs w:val="17"/>
                <w:lang w:eastAsia="zh-TW"/>
              </w:rPr>
              <w:t>SEC-IRBA</w:t>
            </w:r>
            <w:r w:rsidRPr="006A6FF6">
              <w:rPr>
                <w:rFonts w:eastAsia="新細明體" w:cs="Segoe UI" w:hint="eastAsia"/>
                <w:sz w:val="17"/>
                <w:szCs w:val="17"/>
                <w:lang w:eastAsia="zh-TW"/>
              </w:rPr>
              <w:t>、</w:t>
            </w:r>
            <w:r w:rsidRPr="006A6FF6">
              <w:rPr>
                <w:rFonts w:eastAsia="新細明體" w:cs="Segoe UI"/>
                <w:sz w:val="17"/>
                <w:szCs w:val="17"/>
                <w:lang w:eastAsia="zh-TW"/>
              </w:rPr>
              <w:t>IAA</w:t>
            </w:r>
            <w:r w:rsidRPr="006A6FF6">
              <w:rPr>
                <w:rFonts w:eastAsia="新細明體" w:cs="Segoe UI" w:hint="eastAsia"/>
                <w:sz w:val="17"/>
                <w:szCs w:val="17"/>
                <w:lang w:eastAsia="zh-TW"/>
              </w:rPr>
              <w:t>、</w:t>
            </w:r>
            <w:r w:rsidRPr="006A6FF6">
              <w:rPr>
                <w:rFonts w:eastAsia="新細明體" w:cs="Segoe UI"/>
                <w:sz w:val="17"/>
                <w:szCs w:val="17"/>
                <w:lang w:eastAsia="zh-TW"/>
              </w:rPr>
              <w:t>IMM(CCR</w:t>
            </w:r>
            <w:r w:rsidR="00FF30C5" w:rsidRPr="006A6FF6">
              <w:rPr>
                <w:rFonts w:eastAsia="新細明體" w:cs="Segoe UI"/>
                <w:sz w:val="17"/>
                <w:szCs w:val="17"/>
                <w:lang w:eastAsia="zh-TW"/>
              </w:rPr>
              <w:t>)</w:t>
            </w:r>
            <w:r w:rsidRPr="006A6FF6">
              <w:rPr>
                <w:rFonts w:eastAsia="新細明體" w:cs="Segoe UI" w:hint="eastAsia"/>
                <w:sz w:val="17"/>
                <w:szCs w:val="17"/>
                <w:lang w:eastAsia="zh-HK"/>
              </w:rPr>
              <w:t>計算法</w:t>
            </w:r>
            <w:r w:rsidRPr="006A6FF6">
              <w:rPr>
                <w:rFonts w:eastAsia="新細明體" w:cs="Segoe UI" w:hint="eastAsia"/>
                <w:sz w:val="17"/>
                <w:szCs w:val="17"/>
                <w:lang w:eastAsia="zh-TW"/>
              </w:rPr>
              <w:t>、</w:t>
            </w:r>
            <w:r w:rsidRPr="006A6FF6">
              <w:rPr>
                <w:rFonts w:eastAsia="新細明體" w:cs="Segoe UI" w:hint="eastAsia"/>
                <w:sz w:val="17"/>
                <w:szCs w:val="17"/>
                <w:lang w:eastAsia="zh-HK"/>
              </w:rPr>
              <w:t>風險值模式及</w:t>
            </w:r>
            <w:r w:rsidRPr="006A6FF6">
              <w:rPr>
                <w:rFonts w:eastAsia="新細明體" w:cs="Segoe UI"/>
                <w:sz w:val="17"/>
                <w:szCs w:val="17"/>
                <w:lang w:eastAsia="zh-TW"/>
              </w:rPr>
              <w:t>IMA</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p>
        </w:tc>
      </w:tr>
      <w:tr w:rsidR="006A6FF6" w:rsidRPr="006A6FF6" w14:paraId="18493C8D" w14:textId="77777777" w:rsidTr="00862754">
        <w:tc>
          <w:tcPr>
            <w:tcW w:w="567" w:type="dxa"/>
            <w:shd w:val="clear" w:color="auto" w:fill="auto"/>
          </w:tcPr>
          <w:p w14:paraId="331F1C38"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sz w:val="17"/>
                <w:lang w:eastAsia="en-GB"/>
              </w:rPr>
            </w:pPr>
            <w:r w:rsidRPr="006A6FF6">
              <w:rPr>
                <w:rFonts w:eastAsia="新細明體" w:cs="Segoe UI"/>
                <w:sz w:val="17"/>
                <w:lang w:eastAsia="en-GB"/>
              </w:rPr>
              <w:t>(d)</w:t>
            </w:r>
          </w:p>
        </w:tc>
        <w:tc>
          <w:tcPr>
            <w:tcW w:w="8647" w:type="dxa"/>
            <w:shd w:val="clear" w:color="auto" w:fill="auto"/>
          </w:tcPr>
          <w:p w14:paraId="4B8A6B75" w14:textId="6F072CCD" w:rsidR="00190D67" w:rsidRPr="006A6FF6" w:rsidRDefault="00D34ED8" w:rsidP="00775E47">
            <w:pPr>
              <w:keepLines/>
              <w:tabs>
                <w:tab w:val="left" w:pos="150"/>
                <w:tab w:val="left" w:pos="397"/>
                <w:tab w:val="left" w:pos="794"/>
                <w:tab w:val="left" w:pos="1191"/>
              </w:tabs>
              <w:spacing w:before="40" w:after="40"/>
              <w:jc w:val="both"/>
              <w:rPr>
                <w:rFonts w:eastAsia="新細明體" w:cs="Segoe UI"/>
                <w:noProof/>
                <w:sz w:val="17"/>
                <w:szCs w:val="17"/>
                <w:lang w:eastAsia="zh-TW"/>
              </w:rPr>
            </w:pPr>
            <w:r w:rsidRPr="006A6FF6">
              <w:rPr>
                <w:rFonts w:eastAsia="新細明體" w:cs="Segoe UI" w:hint="eastAsia"/>
                <w:i/>
                <w:sz w:val="17"/>
                <w:szCs w:val="17"/>
                <w:lang w:eastAsia="zh-HK"/>
              </w:rPr>
              <w:t>採</w:t>
            </w:r>
            <w:r w:rsidR="00190D67" w:rsidRPr="006A6FF6">
              <w:rPr>
                <w:rFonts w:eastAsia="新細明體" w:cs="Segoe UI" w:hint="eastAsia"/>
                <w:i/>
                <w:sz w:val="17"/>
                <w:szCs w:val="17"/>
                <w:lang w:eastAsia="zh-HK"/>
              </w:rPr>
              <w:t>用全</w:t>
            </w:r>
            <w:r w:rsidR="00775E47" w:rsidRPr="006A6FF6">
              <w:rPr>
                <w:rFonts w:eastAsia="新細明體" w:cs="Segoe UI" w:hint="eastAsia"/>
                <w:i/>
                <w:sz w:val="17"/>
                <w:szCs w:val="17"/>
                <w:lang w:eastAsia="zh-HK"/>
              </w:rPr>
              <w:t>面</w:t>
            </w:r>
            <w:r w:rsidR="00190D67" w:rsidRPr="006A6FF6">
              <w:rPr>
                <w:rFonts w:eastAsia="新細明體" w:cs="Segoe UI" w:hint="eastAsia"/>
                <w:i/>
                <w:sz w:val="17"/>
                <w:szCs w:val="17"/>
                <w:lang w:eastAsia="zh-HK"/>
              </w:rPr>
              <w:t>標準計算法計算的風險加權數額</w:t>
            </w:r>
            <w:r w:rsidR="00BC3FE4" w:rsidRPr="006A6FF6">
              <w:rPr>
                <w:rFonts w:eastAsia="新細明體" w:cs="Segoe UI" w:hint="eastAsia"/>
                <w:i/>
                <w:sz w:val="17"/>
                <w:lang w:eastAsia="zh-HK"/>
              </w:rPr>
              <w:t>（</w:t>
            </w:r>
            <w:r w:rsidR="00190D67" w:rsidRPr="006A6FF6">
              <w:rPr>
                <w:rFonts w:eastAsia="新細明體" w:cs="Segoe UI" w:hint="eastAsia"/>
                <w:i/>
                <w:sz w:val="17"/>
                <w:szCs w:val="17"/>
                <w:lang w:eastAsia="zh-HK"/>
              </w:rPr>
              <w:t>即用於出項下限的計算</w:t>
            </w:r>
            <w:r w:rsidR="003B266B" w:rsidRPr="006A6FF6">
              <w:rPr>
                <w:rFonts w:ascii="新細明體" w:eastAsia="新細明體" w:hAnsi="新細明體" w:cs="Segoe UI" w:hint="eastAsia"/>
                <w:i/>
                <w:sz w:val="17"/>
                <w:szCs w:val="17"/>
                <w:lang w:eastAsia="zh-TW"/>
              </w:rPr>
              <w:t>）</w:t>
            </w:r>
            <w:r w:rsidR="00190D67" w:rsidRPr="006A6FF6">
              <w:rPr>
                <w:rFonts w:eastAsia="新細明體" w:cs="Segoe UI"/>
                <w:sz w:val="17"/>
                <w:szCs w:val="17"/>
                <w:lang w:eastAsia="zh-TW"/>
              </w:rPr>
              <w:t>：</w:t>
            </w:r>
            <w:r w:rsidR="00190D67" w:rsidRPr="006A6FF6">
              <w:rPr>
                <w:rFonts w:eastAsia="新細明體" w:cs="Segoe UI" w:hint="eastAsia"/>
                <w:sz w:val="17"/>
                <w:szCs w:val="17"/>
                <w:lang w:eastAsia="zh-HK"/>
              </w:rPr>
              <w:t>在第</w:t>
            </w:r>
            <w:r w:rsidR="00190D67" w:rsidRPr="006A6FF6">
              <w:rPr>
                <w:rFonts w:eastAsia="新細明體" w:cs="Segoe UI"/>
                <w:sz w:val="17"/>
                <w:szCs w:val="17"/>
                <w:lang w:eastAsia="zh-TW"/>
              </w:rPr>
              <w:t>1</w:t>
            </w:r>
            <w:r w:rsidR="00190D67" w:rsidRPr="006A6FF6">
              <w:rPr>
                <w:rFonts w:eastAsia="新細明體" w:cs="Segoe UI" w:hint="eastAsia"/>
                <w:sz w:val="17"/>
                <w:szCs w:val="17"/>
                <w:lang w:eastAsia="zh-HK"/>
              </w:rPr>
              <w:t>至</w:t>
            </w:r>
            <w:r w:rsidR="00190D67" w:rsidRPr="006A6FF6">
              <w:rPr>
                <w:rFonts w:eastAsia="新細明體" w:cs="Segoe UI"/>
                <w:sz w:val="17"/>
                <w:szCs w:val="17"/>
                <w:lang w:eastAsia="zh-TW"/>
              </w:rPr>
              <w:t>8</w:t>
            </w:r>
            <w:r w:rsidR="00190D67" w:rsidRPr="006A6FF6">
              <w:rPr>
                <w:rFonts w:eastAsia="新細明體" w:cs="Segoe UI" w:hint="eastAsia"/>
                <w:sz w:val="17"/>
                <w:szCs w:val="17"/>
                <w:lang w:eastAsia="zh-HK"/>
              </w:rPr>
              <w:t>行披</w:t>
            </w:r>
            <w:r w:rsidR="00190D67" w:rsidRPr="006A6FF6">
              <w:rPr>
                <w:rFonts w:eastAsia="新細明體" w:cs="Segoe UI" w:hint="eastAsia"/>
                <w:sz w:val="17"/>
                <w:szCs w:val="17"/>
                <w:lang w:eastAsia="zh-TW"/>
              </w:rPr>
              <w:t>露</w:t>
            </w:r>
            <w:r w:rsidR="00190D67" w:rsidRPr="006A6FF6">
              <w:rPr>
                <w:rFonts w:eastAsia="新細明體" w:cs="Segoe UI" w:hint="eastAsia"/>
                <w:sz w:val="17"/>
                <w:szCs w:val="17"/>
                <w:lang w:eastAsia="zh-HK"/>
              </w:rPr>
              <w:t>的風險加權數額指</w:t>
            </w:r>
            <w:r w:rsidR="00775E47" w:rsidRPr="006A6FF6">
              <w:rPr>
                <w:rFonts w:eastAsia="新細明體" w:cs="Segoe UI" w:hint="eastAsia"/>
                <w:sz w:val="17"/>
                <w:szCs w:val="17"/>
                <w:lang w:eastAsia="zh-HK"/>
              </w:rPr>
              <w:t>按照</w:t>
            </w:r>
            <w:r w:rsidR="00C95FAC" w:rsidRPr="006A6FF6">
              <w:rPr>
                <w:rFonts w:eastAsia="細明體" w:cs="Segoe UI"/>
                <w:kern w:val="2"/>
                <w:sz w:val="17"/>
                <w:szCs w:val="17"/>
                <w:lang w:val="en-US" w:eastAsia="zh-TW"/>
              </w:rPr>
              <w:t>《資本規則》</w:t>
            </w:r>
            <w:r w:rsidR="00C95FAC" w:rsidRPr="006A6FF6">
              <w:rPr>
                <w:rFonts w:eastAsia="新細明體" w:cs="Segoe UI"/>
                <w:sz w:val="17"/>
                <w:szCs w:val="17"/>
                <w:lang w:eastAsia="zh-TW"/>
              </w:rPr>
              <w:t>第</w:t>
            </w:r>
            <w:r w:rsidR="00C95FAC" w:rsidRPr="006A6FF6">
              <w:rPr>
                <w:rFonts w:eastAsia="新細明體" w:cs="Segoe UI"/>
                <w:sz w:val="17"/>
                <w:szCs w:val="17"/>
                <w:lang w:eastAsia="zh-TW"/>
              </w:rPr>
              <w:t>11</w:t>
            </w:r>
            <w:r w:rsidR="00C95FAC" w:rsidRPr="006A6FF6">
              <w:rPr>
                <w:rFonts w:eastAsia="新細明體" w:cs="Segoe UI"/>
                <w:sz w:val="17"/>
                <w:szCs w:val="17"/>
                <w:lang w:eastAsia="zh-TW"/>
              </w:rPr>
              <w:t>部</w:t>
            </w:r>
            <w:r w:rsidR="00775E47" w:rsidRPr="006A6FF6">
              <w:rPr>
                <w:rFonts w:eastAsia="新細明體" w:cs="Segoe UI" w:hint="eastAsia"/>
                <w:sz w:val="17"/>
                <w:szCs w:val="17"/>
                <w:lang w:eastAsia="zh-HK"/>
              </w:rPr>
              <w:t>應用</w:t>
            </w:r>
            <w:r w:rsidR="00190D67" w:rsidRPr="006A6FF6">
              <w:rPr>
                <w:rFonts w:eastAsia="新細明體" w:cs="Segoe UI" w:hint="eastAsia"/>
                <w:sz w:val="17"/>
                <w:szCs w:val="17"/>
                <w:lang w:eastAsia="zh-HK"/>
              </w:rPr>
              <w:t>出項下限水平前的風險加權數額</w:t>
            </w:r>
            <w:r w:rsidR="00190D67" w:rsidRPr="006A6FF6">
              <w:rPr>
                <w:rFonts w:eastAsia="新細明體" w:cs="Segoe UI" w:hint="eastAsia"/>
                <w:sz w:val="17"/>
                <w:szCs w:val="17"/>
                <w:lang w:eastAsia="zh-TW"/>
              </w:rPr>
              <w:t>。</w:t>
            </w:r>
          </w:p>
        </w:tc>
      </w:tr>
      <w:tr w:rsidR="006A6FF6" w:rsidRPr="006A6FF6" w14:paraId="63A459F7" w14:textId="77777777" w:rsidTr="004E75ED">
        <w:trPr>
          <w:trHeight w:val="245"/>
        </w:trPr>
        <w:tc>
          <w:tcPr>
            <w:tcW w:w="9214" w:type="dxa"/>
            <w:gridSpan w:val="2"/>
            <w:shd w:val="clear" w:color="auto" w:fill="F2F2F2"/>
          </w:tcPr>
          <w:p w14:paraId="4CA4A6EB" w14:textId="326FD077" w:rsidR="00190D67" w:rsidRPr="006A6FF6" w:rsidRDefault="00190D67" w:rsidP="00862754">
            <w:pPr>
              <w:keepNext/>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hint="eastAsia"/>
                <w:b/>
                <w:sz w:val="17"/>
                <w:lang w:eastAsia="zh-HK"/>
              </w:rPr>
              <w:t>行</w:t>
            </w:r>
          </w:p>
        </w:tc>
      </w:tr>
      <w:tr w:rsidR="006A6FF6" w:rsidRPr="006A6FF6" w14:paraId="2EC65380" w14:textId="77777777" w:rsidTr="00862754">
        <w:tc>
          <w:tcPr>
            <w:tcW w:w="567" w:type="dxa"/>
            <w:shd w:val="clear" w:color="auto" w:fill="auto"/>
          </w:tcPr>
          <w:p w14:paraId="331C3558" w14:textId="77777777" w:rsidR="00190D67" w:rsidRPr="006A6FF6" w:rsidRDefault="00190D67" w:rsidP="00862754">
            <w:pPr>
              <w:keepLines/>
              <w:tabs>
                <w:tab w:val="left" w:pos="150"/>
                <w:tab w:val="left" w:pos="397"/>
                <w:tab w:val="left" w:pos="794"/>
                <w:tab w:val="left" w:pos="1191"/>
              </w:tabs>
              <w:spacing w:before="40" w:after="40" w:line="20" w:lineRule="atLeast"/>
              <w:rPr>
                <w:rFonts w:eastAsia="新細明體" w:cs="Segoe UI"/>
                <w:sz w:val="17"/>
                <w:szCs w:val="17"/>
                <w:highlight w:val="yellow"/>
              </w:rPr>
            </w:pPr>
            <w:r w:rsidRPr="006A6FF6">
              <w:rPr>
                <w:rFonts w:eastAsia="新細明體" w:cs="Segoe UI"/>
                <w:sz w:val="17"/>
                <w:szCs w:val="17"/>
              </w:rPr>
              <w:t>1</w:t>
            </w:r>
          </w:p>
        </w:tc>
        <w:tc>
          <w:tcPr>
            <w:tcW w:w="8647" w:type="dxa"/>
            <w:shd w:val="clear" w:color="auto" w:fill="auto"/>
          </w:tcPr>
          <w:p w14:paraId="5C3737ED" w14:textId="77777777" w:rsidR="00190D67" w:rsidRPr="006A6FF6" w:rsidRDefault="00190D67" w:rsidP="00862754">
            <w:pPr>
              <w:keepLines/>
              <w:tabs>
                <w:tab w:val="left" w:pos="150"/>
                <w:tab w:val="left" w:pos="397"/>
                <w:tab w:val="left" w:pos="794"/>
                <w:tab w:val="left" w:pos="1191"/>
              </w:tabs>
              <w:spacing w:line="20" w:lineRule="atLeast"/>
              <w:contextualSpacing/>
              <w:jc w:val="both"/>
              <w:rPr>
                <w:rFonts w:eastAsia="新細明體" w:cs="Segoe UI"/>
                <w:sz w:val="17"/>
                <w:szCs w:val="17"/>
                <w:highlight w:val="yellow"/>
                <w:lang w:eastAsia="zh-TW"/>
              </w:rPr>
            </w:pPr>
            <w:r w:rsidRPr="006A6FF6">
              <w:rPr>
                <w:rFonts w:eastAsia="新細明體" w:cs="Segoe UI" w:hint="eastAsia"/>
                <w:i/>
                <w:sz w:val="17"/>
                <w:szCs w:val="17"/>
                <w:u w:val="single"/>
                <w:lang w:eastAsia="zh-TW"/>
              </w:rPr>
              <w:t>非證券化類別風險承擔的信用風險</w:t>
            </w:r>
          </w:p>
          <w:p w14:paraId="4D695976" w14:textId="7923DD3A" w:rsidR="00190D67" w:rsidRDefault="00190D67" w:rsidP="00862754">
            <w:pPr>
              <w:keepLines/>
              <w:tabs>
                <w:tab w:val="left" w:pos="150"/>
                <w:tab w:val="left" w:pos="397"/>
                <w:tab w:val="left" w:pos="794"/>
                <w:tab w:val="left" w:pos="1191"/>
              </w:tabs>
              <w:spacing w:line="20" w:lineRule="atLeast"/>
              <w:contextualSpacing/>
              <w:jc w:val="both"/>
              <w:rPr>
                <w:rFonts w:eastAsia="新細明體" w:cs="Segoe UI"/>
                <w:sz w:val="17"/>
                <w:szCs w:val="17"/>
                <w:lang w:eastAsia="zh-TW"/>
              </w:rPr>
            </w:pPr>
            <w:r w:rsidRPr="006A6FF6">
              <w:rPr>
                <w:rFonts w:eastAsia="新細明體" w:cs="Segoe UI" w:hint="eastAsia"/>
                <w:sz w:val="17"/>
                <w:szCs w:val="17"/>
                <w:lang w:eastAsia="zh-HK"/>
              </w:rPr>
              <w:t>本行不包括因對手方信用風險及違責基金承擔</w:t>
            </w:r>
            <w:r w:rsidR="004E75ED" w:rsidRPr="006A6FF6">
              <w:rPr>
                <w:rFonts w:eastAsia="新細明體" w:cs="Segoe UI" w:hint="eastAsia"/>
                <w:sz w:val="17"/>
                <w:lang w:eastAsia="zh-HK"/>
              </w:rPr>
              <w:t>（</w:t>
            </w:r>
            <w:r w:rsidR="00DD24D1" w:rsidRPr="006A6FF6">
              <w:rPr>
                <w:rFonts w:eastAsia="新細明體" w:cs="Segoe UI" w:hint="eastAsia"/>
                <w:sz w:val="17"/>
                <w:szCs w:val="17"/>
                <w:lang w:eastAsia="zh-HK"/>
              </w:rPr>
              <w:t>在</w:t>
            </w:r>
            <w:r w:rsidRPr="006A6FF6">
              <w:rPr>
                <w:rFonts w:eastAsia="新細明體" w:cs="Segoe UI" w:hint="eastAsia"/>
                <w:sz w:val="17"/>
                <w:szCs w:val="17"/>
                <w:lang w:eastAsia="zh-HK"/>
              </w:rPr>
              <w:t>第</w:t>
            </w:r>
            <w:r w:rsidRPr="006A6FF6">
              <w:rPr>
                <w:rFonts w:eastAsia="新細明體" w:cs="Segoe UI"/>
                <w:sz w:val="17"/>
                <w:szCs w:val="17"/>
                <w:lang w:eastAsia="zh-TW"/>
              </w:rPr>
              <w:t>2</w:t>
            </w:r>
            <w:r w:rsidRPr="006A6FF6">
              <w:rPr>
                <w:rFonts w:eastAsia="新細明體" w:cs="Segoe UI" w:hint="eastAsia"/>
                <w:sz w:val="17"/>
                <w:szCs w:val="17"/>
                <w:lang w:eastAsia="zh-HK"/>
              </w:rPr>
              <w:t>行填報</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eastAsia="新細明體" w:cs="Segoe UI"/>
                <w:sz w:val="17"/>
                <w:szCs w:val="17"/>
                <w:lang w:eastAsia="zh-TW"/>
              </w:rPr>
              <w:t xml:space="preserve">CVA </w:t>
            </w:r>
            <w:r w:rsidRPr="006A6FF6">
              <w:rPr>
                <w:rFonts w:eastAsia="新細明體" w:cs="Segoe UI" w:hint="eastAsia"/>
                <w:sz w:val="17"/>
                <w:szCs w:val="17"/>
                <w:lang w:eastAsia="zh-HK"/>
              </w:rPr>
              <w:t>風險</w:t>
            </w:r>
            <w:r w:rsidRPr="006A6FF6">
              <w:rPr>
                <w:rFonts w:eastAsia="新細明體" w:cs="Segoe UI" w:hint="eastAsia"/>
                <w:sz w:val="17"/>
                <w:szCs w:val="17"/>
                <w:lang w:eastAsia="zh-HK"/>
              </w:rPr>
              <w:t xml:space="preserve"> </w:t>
            </w:r>
            <w:r w:rsidR="004E75ED" w:rsidRPr="006A6FF6">
              <w:rPr>
                <w:rFonts w:eastAsia="新細明體" w:cs="Segoe UI" w:hint="eastAsia"/>
                <w:sz w:val="17"/>
                <w:lang w:eastAsia="zh-HK"/>
              </w:rPr>
              <w:t>（</w:t>
            </w:r>
            <w:r w:rsidR="00DD24D1" w:rsidRPr="006A6FF6">
              <w:rPr>
                <w:rFonts w:eastAsia="新細明體" w:cs="Segoe UI" w:hint="eastAsia"/>
                <w:sz w:val="17"/>
                <w:szCs w:val="17"/>
                <w:lang w:eastAsia="zh-HK"/>
              </w:rPr>
              <w:t>在</w:t>
            </w:r>
            <w:r w:rsidRPr="006A6FF6">
              <w:rPr>
                <w:rFonts w:eastAsia="新細明體" w:cs="Segoe UI" w:hint="eastAsia"/>
                <w:sz w:val="17"/>
                <w:szCs w:val="17"/>
                <w:lang w:eastAsia="zh-HK"/>
              </w:rPr>
              <w:t>第</w:t>
            </w:r>
            <w:r w:rsidRPr="006A6FF6">
              <w:rPr>
                <w:rFonts w:eastAsia="新細明體" w:cs="Segoe UI"/>
                <w:sz w:val="17"/>
                <w:szCs w:val="17"/>
                <w:lang w:eastAsia="zh-TW"/>
              </w:rPr>
              <w:t>3</w:t>
            </w:r>
            <w:r w:rsidRPr="006A6FF6">
              <w:rPr>
                <w:rFonts w:eastAsia="新細明體" w:cs="Segoe UI" w:hint="eastAsia"/>
                <w:sz w:val="17"/>
                <w:szCs w:val="17"/>
                <w:lang w:eastAsia="zh-HK"/>
              </w:rPr>
              <w:t>行填報</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eastAsia="新細明體" w:cs="Segoe UI" w:hint="eastAsia"/>
                <w:sz w:val="17"/>
                <w:szCs w:val="17"/>
                <w:lang w:eastAsia="zh-HK"/>
              </w:rPr>
              <w:t>證券化框架</w:t>
            </w:r>
            <w:r w:rsidR="004E75ED" w:rsidRPr="006A6FF6">
              <w:rPr>
                <w:rFonts w:eastAsia="新細明體" w:cs="Segoe UI" w:hint="eastAsia"/>
                <w:sz w:val="17"/>
                <w:lang w:eastAsia="zh-HK"/>
              </w:rPr>
              <w:t>（</w:t>
            </w:r>
            <w:r w:rsidRPr="006A6FF6">
              <w:rPr>
                <w:rFonts w:eastAsia="新細明體" w:cs="Segoe UI" w:hint="eastAsia"/>
                <w:sz w:val="17"/>
                <w:szCs w:val="17"/>
                <w:lang w:eastAsia="zh-HK"/>
              </w:rPr>
              <w:t>包括銀行帳內</w:t>
            </w:r>
            <w:r w:rsidR="00D71FEA" w:rsidRPr="006A6FF6">
              <w:rPr>
                <w:rFonts w:eastAsia="新細明體" w:cs="Segoe UI" w:hint="eastAsia"/>
                <w:sz w:val="17"/>
                <w:szCs w:val="17"/>
                <w:lang w:eastAsia="zh-HK"/>
              </w:rPr>
              <w:t>的</w:t>
            </w:r>
            <w:r w:rsidRPr="006A6FF6">
              <w:rPr>
                <w:rFonts w:eastAsia="新細明體" w:cs="Segoe UI" w:hint="eastAsia"/>
                <w:sz w:val="17"/>
                <w:szCs w:val="17"/>
                <w:lang w:eastAsia="zh-HK"/>
              </w:rPr>
              <w:t>證券化類別風險承擔</w:t>
            </w:r>
            <w:r w:rsidR="004E75ED" w:rsidRPr="006A6FF6">
              <w:rPr>
                <w:rFonts w:eastAsia="新細明體" w:cs="Segoe UI" w:hint="eastAsia"/>
                <w:sz w:val="17"/>
                <w:lang w:eastAsia="zh-HK"/>
              </w:rPr>
              <w:t>（</w:t>
            </w:r>
            <w:r w:rsidR="00DD24D1" w:rsidRPr="006A6FF6">
              <w:rPr>
                <w:rFonts w:eastAsia="新細明體" w:cs="Segoe UI" w:hint="eastAsia"/>
                <w:sz w:val="17"/>
                <w:szCs w:val="17"/>
                <w:lang w:eastAsia="zh-HK"/>
              </w:rPr>
              <w:t>在</w:t>
            </w:r>
            <w:r w:rsidRPr="006A6FF6">
              <w:rPr>
                <w:rFonts w:eastAsia="新細明體" w:cs="Segoe UI" w:hint="eastAsia"/>
                <w:sz w:val="17"/>
                <w:szCs w:val="17"/>
                <w:lang w:eastAsia="zh-HK"/>
              </w:rPr>
              <w:t>第</w:t>
            </w:r>
            <w:r w:rsidRPr="006A6FF6">
              <w:rPr>
                <w:rFonts w:eastAsia="新細明體" w:cs="Segoe UI" w:hint="eastAsia"/>
                <w:sz w:val="17"/>
                <w:szCs w:val="17"/>
                <w:lang w:eastAsia="zh-TW"/>
              </w:rPr>
              <w:t>4</w:t>
            </w:r>
            <w:r w:rsidRPr="006A6FF6">
              <w:rPr>
                <w:rFonts w:eastAsia="新細明體" w:cs="Segoe UI" w:hint="eastAsia"/>
                <w:sz w:val="17"/>
                <w:szCs w:val="17"/>
                <w:lang w:eastAsia="zh-HK"/>
              </w:rPr>
              <w:t>行填報</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eastAsia="新細明體" w:cs="Segoe UI"/>
                <w:sz w:val="17"/>
                <w:szCs w:val="17"/>
                <w:lang w:eastAsia="zh-TW"/>
              </w:rPr>
              <w:t>CIS</w:t>
            </w:r>
            <w:r w:rsidRPr="006A6FF6">
              <w:rPr>
                <w:rFonts w:eastAsia="新細明體" w:cs="Segoe UI" w:hint="eastAsia"/>
                <w:sz w:val="17"/>
                <w:szCs w:val="17"/>
                <w:lang w:eastAsia="zh-HK"/>
              </w:rPr>
              <w:t>風險承擔</w:t>
            </w:r>
            <w:r w:rsidRPr="006A6FF6">
              <w:rPr>
                <w:rFonts w:eastAsia="新細明體" w:cs="Segoe UI" w:hint="eastAsia"/>
                <w:sz w:val="17"/>
                <w:szCs w:val="17"/>
                <w:lang w:eastAsia="zh-TW"/>
              </w:rPr>
              <w:t>、</w:t>
            </w:r>
            <w:r w:rsidRPr="006A6FF6">
              <w:rPr>
                <w:rFonts w:eastAsia="新細明體" w:cs="Segoe UI" w:hint="eastAsia"/>
                <w:sz w:val="17"/>
                <w:szCs w:val="17"/>
                <w:lang w:eastAsia="zh-HK"/>
              </w:rPr>
              <w:t>交收風險</w:t>
            </w:r>
            <w:r w:rsidRPr="006A6FF6">
              <w:rPr>
                <w:rFonts w:eastAsia="新細明體" w:cs="Segoe UI" w:hint="eastAsia"/>
                <w:sz w:val="17"/>
                <w:szCs w:val="17"/>
                <w:lang w:eastAsia="zh-TW"/>
              </w:rPr>
              <w:t>，</w:t>
            </w:r>
            <w:r w:rsidRPr="006A6FF6">
              <w:rPr>
                <w:rFonts w:eastAsia="新細明體" w:cs="Segoe UI" w:hint="eastAsia"/>
                <w:sz w:val="17"/>
                <w:szCs w:val="17"/>
                <w:lang w:eastAsia="zh-HK"/>
              </w:rPr>
              <w:t>以及</w:t>
            </w:r>
            <w:r w:rsidRPr="006A6FF6">
              <w:rPr>
                <w:rFonts w:eastAsia="新細明體" w:cs="Segoe UI" w:hint="eastAsia"/>
                <w:sz w:val="17"/>
                <w:szCs w:val="17"/>
                <w:lang w:eastAsia="zh-TW"/>
              </w:rPr>
              <w:t>低於</w:t>
            </w:r>
            <w:r w:rsidRPr="006A6FF6">
              <w:rPr>
                <w:rFonts w:eastAsia="新細明體" w:cs="Segoe UI" w:hint="eastAsia"/>
                <w:sz w:val="17"/>
                <w:szCs w:val="17"/>
                <w:lang w:eastAsia="zh-HK"/>
              </w:rPr>
              <w:t>從</w:t>
            </w:r>
            <w:r w:rsidRPr="006A6FF6">
              <w:rPr>
                <w:rFonts w:eastAsia="新細明體" w:cs="Segoe UI" w:hint="eastAsia"/>
                <w:sz w:val="17"/>
                <w:szCs w:val="17"/>
                <w:lang w:eastAsia="zh-TW"/>
              </w:rPr>
              <w:t>CET1</w:t>
            </w:r>
            <w:r w:rsidRPr="006A6FF6">
              <w:rPr>
                <w:rFonts w:eastAsia="新細明體" w:cs="Segoe UI" w:hint="eastAsia"/>
                <w:sz w:val="17"/>
                <w:szCs w:val="17"/>
                <w:lang w:eastAsia="zh-HK"/>
              </w:rPr>
              <w:t>資本</w:t>
            </w:r>
            <w:r w:rsidRPr="006A6FF6">
              <w:rPr>
                <w:rFonts w:eastAsia="新細明體" w:cs="Segoe UI" w:hint="eastAsia"/>
                <w:sz w:val="17"/>
                <w:szCs w:val="17"/>
                <w:lang w:eastAsia="zh-TW"/>
              </w:rPr>
              <w:t>扣減門檻</w:t>
            </w:r>
            <w:r w:rsidR="00933A9F" w:rsidRPr="006A6FF6">
              <w:rPr>
                <w:rFonts w:eastAsia="新細明體" w:cs="Segoe UI" w:hint="eastAsia"/>
                <w:sz w:val="17"/>
                <w:szCs w:val="17"/>
                <w:lang w:eastAsia="zh-HK"/>
              </w:rPr>
              <w:t>並</w:t>
            </w:r>
            <w:r w:rsidR="00471E41" w:rsidRPr="006A6FF6">
              <w:rPr>
                <w:rFonts w:eastAsia="新細明體" w:cs="Segoe UI" w:hint="eastAsia"/>
                <w:sz w:val="17"/>
                <w:szCs w:val="17"/>
                <w:lang w:eastAsia="zh-HK"/>
              </w:rPr>
              <w:t>須</w:t>
            </w:r>
            <w:r w:rsidR="00D71FEA" w:rsidRPr="006A6FF6">
              <w:rPr>
                <w:rFonts w:eastAsia="新細明體" w:cs="Segoe UI" w:hint="eastAsia"/>
                <w:sz w:val="17"/>
                <w:szCs w:val="17"/>
                <w:lang w:eastAsia="zh-HK"/>
              </w:rPr>
              <w:t>計</w:t>
            </w:r>
            <w:r w:rsidR="00D71FEA" w:rsidRPr="006A6FF6">
              <w:rPr>
                <w:rFonts w:eastAsia="新細明體" w:cs="Segoe UI" w:hint="eastAsia"/>
                <w:sz w:val="17"/>
                <w:szCs w:val="17"/>
                <w:lang w:eastAsia="zh-TW"/>
              </w:rPr>
              <w:t>算</w:t>
            </w:r>
            <w:r w:rsidRPr="006A6FF6">
              <w:rPr>
                <w:rFonts w:eastAsia="新細明體" w:cs="Segoe UI" w:hint="eastAsia"/>
                <w:sz w:val="17"/>
                <w:szCs w:val="17"/>
                <w:lang w:eastAsia="zh-TW"/>
              </w:rPr>
              <w:t>250%</w:t>
            </w:r>
            <w:r w:rsidRPr="006A6FF6">
              <w:rPr>
                <w:rFonts w:eastAsia="新細明體" w:cs="Segoe UI" w:hint="eastAsia"/>
                <w:sz w:val="17"/>
                <w:szCs w:val="17"/>
                <w:lang w:eastAsia="zh-TW"/>
              </w:rPr>
              <w:t>風險權</w:t>
            </w:r>
            <w:r w:rsidRPr="006A6FF6">
              <w:rPr>
                <w:rFonts w:eastAsia="新細明體" w:cs="Segoe UI" w:hint="eastAsia"/>
                <w:sz w:val="17"/>
                <w:szCs w:val="17"/>
                <w:lang w:eastAsia="zh-HK"/>
              </w:rPr>
              <w:t>重</w:t>
            </w:r>
            <w:r w:rsidRPr="006A6FF6">
              <w:rPr>
                <w:rFonts w:eastAsia="新細明體" w:cs="Segoe UI" w:hint="eastAsia"/>
                <w:sz w:val="17"/>
                <w:szCs w:val="17"/>
                <w:lang w:eastAsia="zh-TW"/>
              </w:rPr>
              <w:t>的數額</w:t>
            </w:r>
            <w:r w:rsidR="00BC3FE4" w:rsidRPr="006A6FF6">
              <w:rPr>
                <w:rFonts w:eastAsia="新細明體" w:cs="Segoe UI" w:hint="eastAsia"/>
                <w:sz w:val="17"/>
                <w:lang w:eastAsia="zh-HK"/>
              </w:rPr>
              <w:t>（</w:t>
            </w:r>
            <w:r w:rsidR="00DD24D1" w:rsidRPr="006A6FF6">
              <w:rPr>
                <w:rFonts w:eastAsia="新細明體" w:cs="Segoe UI" w:hint="eastAsia"/>
                <w:sz w:val="17"/>
                <w:szCs w:val="17"/>
                <w:lang w:eastAsia="zh-HK"/>
              </w:rPr>
              <w:t>在</w:t>
            </w:r>
            <w:r w:rsidRPr="006A6FF6">
              <w:rPr>
                <w:rFonts w:eastAsia="新細明體" w:cs="Segoe UI" w:hint="eastAsia"/>
                <w:sz w:val="17"/>
                <w:szCs w:val="17"/>
                <w:lang w:eastAsia="zh-HK"/>
              </w:rPr>
              <w:t>第</w:t>
            </w:r>
            <w:r w:rsidRPr="006A6FF6">
              <w:rPr>
                <w:rFonts w:eastAsia="新細明體" w:cs="Segoe UI" w:hint="eastAsia"/>
                <w:sz w:val="17"/>
                <w:szCs w:val="17"/>
                <w:lang w:eastAsia="zh-TW"/>
              </w:rPr>
              <w:t>7</w:t>
            </w:r>
            <w:r w:rsidRPr="006A6FF6">
              <w:rPr>
                <w:rFonts w:eastAsia="新細明體" w:cs="Segoe UI" w:hint="eastAsia"/>
                <w:sz w:val="17"/>
                <w:szCs w:val="17"/>
                <w:lang w:eastAsia="zh-HK"/>
              </w:rPr>
              <w:t>行填報</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HK"/>
              </w:rPr>
              <w:t>所產生的風險加權數額</w:t>
            </w:r>
            <w:r w:rsidRPr="006A6FF6">
              <w:rPr>
                <w:rFonts w:eastAsia="新細明體" w:cs="Segoe UI" w:hint="eastAsia"/>
                <w:sz w:val="17"/>
                <w:szCs w:val="17"/>
                <w:lang w:eastAsia="zh-TW"/>
              </w:rPr>
              <w:t>。</w:t>
            </w:r>
          </w:p>
          <w:p w14:paraId="6FEAED28" w14:textId="77777777" w:rsidR="00747924" w:rsidRDefault="00747924" w:rsidP="00862754">
            <w:pPr>
              <w:keepLines/>
              <w:tabs>
                <w:tab w:val="left" w:pos="150"/>
                <w:tab w:val="left" w:pos="397"/>
                <w:tab w:val="left" w:pos="794"/>
                <w:tab w:val="left" w:pos="1191"/>
              </w:tabs>
              <w:spacing w:line="20" w:lineRule="atLeast"/>
              <w:contextualSpacing/>
              <w:jc w:val="both"/>
              <w:rPr>
                <w:rFonts w:eastAsia="新細明體" w:cs="Segoe UI"/>
                <w:sz w:val="17"/>
                <w:szCs w:val="17"/>
                <w:lang w:eastAsia="zh-TW"/>
              </w:rPr>
            </w:pPr>
          </w:p>
          <w:p w14:paraId="5D99DFF4" w14:textId="1A026A05" w:rsidR="00190D67" w:rsidRDefault="007945E0" w:rsidP="005C3F5E">
            <w:pPr>
              <w:keepLines/>
              <w:tabs>
                <w:tab w:val="left" w:pos="150"/>
                <w:tab w:val="left" w:pos="397"/>
                <w:tab w:val="left" w:pos="794"/>
                <w:tab w:val="left" w:pos="1191"/>
              </w:tabs>
              <w:spacing w:line="20" w:lineRule="atLeast"/>
              <w:contextualSpacing/>
              <w:jc w:val="both"/>
              <w:rPr>
                <w:rFonts w:eastAsia="新細明體" w:cs="Segoe UI"/>
                <w:sz w:val="17"/>
                <w:szCs w:val="17"/>
                <w:lang w:eastAsia="zh-HK"/>
              </w:rPr>
            </w:pPr>
            <w:r w:rsidRPr="005639B5">
              <w:rPr>
                <w:rFonts w:eastAsia="新細明體" w:cs="Segoe UI"/>
                <w:i/>
                <w:sz w:val="17"/>
                <w:szCs w:val="17"/>
                <w:lang w:eastAsia="zh-TW"/>
              </w:rPr>
              <w:t xml:space="preserve">[CMS1:1/a] </w:t>
            </w:r>
            <w:r w:rsidR="005639B5" w:rsidRPr="00737C61">
              <w:rPr>
                <w:rFonts w:eastAsia="新細明體" w:cs="Segoe UI" w:hint="eastAsia"/>
                <w:i/>
                <w:sz w:val="17"/>
                <w:szCs w:val="17"/>
                <w:lang w:eastAsia="zh-HK"/>
              </w:rPr>
              <w:t>即</w:t>
            </w:r>
            <w:r w:rsidR="005639B5" w:rsidRPr="00737C61" w:rsidDel="001811E9">
              <w:rPr>
                <w:rFonts w:eastAsia="新細明體" w:cs="Segoe UI" w:hint="eastAsia"/>
                <w:i/>
                <w:sz w:val="17"/>
                <w:szCs w:val="17"/>
                <w:lang w:eastAsia="zh-HK"/>
              </w:rPr>
              <w:t>認可機構</w:t>
            </w:r>
            <w:r w:rsidR="005639B5" w:rsidRPr="00737C61">
              <w:rPr>
                <w:rFonts w:eastAsia="新細明體" w:cs="Segoe UI" w:hint="eastAsia"/>
                <w:i/>
                <w:sz w:val="17"/>
                <w:szCs w:val="17"/>
                <w:lang w:eastAsia="zh-HK"/>
              </w:rPr>
              <w:t>獲金融管理專員批准採用</w:t>
            </w:r>
            <w:r w:rsidR="005639B5" w:rsidRPr="00737C61" w:rsidDel="001811E9">
              <w:rPr>
                <w:rFonts w:eastAsia="新細明體" w:cs="Segoe UI" w:hint="eastAsia"/>
                <w:i/>
                <w:sz w:val="17"/>
                <w:szCs w:val="17"/>
                <w:lang w:eastAsia="zh-HK"/>
              </w:rPr>
              <w:t>的</w:t>
            </w:r>
            <w:r w:rsidR="005639B5" w:rsidRPr="00737C61">
              <w:rPr>
                <w:rFonts w:eastAsia="新細明體" w:cs="Segoe UI" w:hint="eastAsia"/>
                <w:i/>
                <w:sz w:val="17"/>
                <w:szCs w:val="17"/>
                <w:lang w:eastAsia="zh-HK"/>
              </w:rPr>
              <w:t>模式基準計算法</w:t>
            </w:r>
            <w:r w:rsidR="005639B5" w:rsidRPr="00737C61" w:rsidDel="00C01218">
              <w:rPr>
                <w:rFonts w:eastAsia="新細明體" w:cs="Segoe UI" w:hint="eastAsia"/>
                <w:i/>
                <w:sz w:val="17"/>
                <w:szCs w:val="17"/>
                <w:lang w:eastAsia="zh-HK"/>
              </w:rPr>
              <w:t>下</w:t>
            </w:r>
            <w:r w:rsidR="005639B5" w:rsidRPr="00737C61">
              <w:rPr>
                <w:rFonts w:eastAsia="新細明體" w:cs="Segoe UI" w:hint="eastAsia"/>
                <w:i/>
                <w:sz w:val="17"/>
                <w:szCs w:val="17"/>
                <w:lang w:eastAsia="zh-HK"/>
              </w:rPr>
              <w:t>計算的風險加權數額</w:t>
            </w:r>
            <w:r w:rsidR="005639B5" w:rsidRPr="006A6FF6">
              <w:rPr>
                <w:rFonts w:eastAsia="新細明體" w:cs="Segoe UI"/>
                <w:sz w:val="17"/>
                <w:szCs w:val="17"/>
                <w:lang w:eastAsia="zh-HK"/>
              </w:rPr>
              <w:t>：</w:t>
            </w:r>
            <w:r w:rsidR="00481347">
              <w:rPr>
                <w:rFonts w:eastAsia="新細明體" w:cs="Segoe UI" w:hint="eastAsia"/>
                <w:sz w:val="17"/>
                <w:szCs w:val="17"/>
                <w:lang w:eastAsia="zh-HK"/>
              </w:rPr>
              <w:t>使</w:t>
            </w:r>
            <w:r w:rsidR="00045E58">
              <w:rPr>
                <w:rFonts w:eastAsia="新細明體" w:cs="Segoe UI" w:hint="eastAsia"/>
                <w:sz w:val="17"/>
                <w:szCs w:val="17"/>
                <w:lang w:eastAsia="zh-HK"/>
              </w:rPr>
              <w:t>用</w:t>
            </w:r>
            <w:r w:rsidR="00AC4DD3" w:rsidRPr="005C3F5E">
              <w:rPr>
                <w:rFonts w:eastAsia="新細明體" w:cs="Segoe UI" w:hint="eastAsia"/>
                <w:sz w:val="17"/>
                <w:szCs w:val="17"/>
                <w:lang w:eastAsia="zh-HK"/>
              </w:rPr>
              <w:t>IRB</w:t>
            </w:r>
            <w:r w:rsidR="00AC4DD3" w:rsidRPr="005C3F5E">
              <w:rPr>
                <w:rFonts w:eastAsia="新細明體" w:cs="Segoe UI" w:hint="eastAsia"/>
                <w:sz w:val="17"/>
                <w:szCs w:val="17"/>
                <w:lang w:eastAsia="zh-HK"/>
              </w:rPr>
              <w:t>計算法計算的風險承擔的風險</w:t>
            </w:r>
            <w:r w:rsidR="00961567" w:rsidRPr="005C3F5E">
              <w:rPr>
                <w:rFonts w:eastAsia="新細明體" w:cs="Segoe UI" w:hint="eastAsia"/>
                <w:sz w:val="17"/>
                <w:szCs w:val="17"/>
                <w:lang w:eastAsia="zh-HK"/>
              </w:rPr>
              <w:t>加權</w:t>
            </w:r>
            <w:r w:rsidR="00AC4DD3" w:rsidRPr="005C3F5E">
              <w:rPr>
                <w:rFonts w:eastAsia="新細明體" w:cs="Segoe UI" w:hint="eastAsia"/>
                <w:sz w:val="17"/>
                <w:szCs w:val="17"/>
                <w:lang w:eastAsia="zh-HK"/>
              </w:rPr>
              <w:t>數額</w:t>
            </w:r>
            <w:r w:rsidRPr="007945E0">
              <w:rPr>
                <w:rFonts w:eastAsia="新細明體" w:cs="Segoe UI" w:hint="eastAsia"/>
                <w:sz w:val="17"/>
                <w:szCs w:val="17"/>
                <w:lang w:eastAsia="zh-HK"/>
              </w:rPr>
              <w:t>，</w:t>
            </w:r>
            <w:r w:rsidRPr="00C52745">
              <w:rPr>
                <w:rFonts w:eastAsia="新細明體" w:cs="Segoe UI" w:hint="eastAsia"/>
                <w:sz w:val="17"/>
                <w:szCs w:val="17"/>
                <w:lang w:eastAsia="zh-HK"/>
              </w:rPr>
              <w:t>包括</w:t>
            </w:r>
            <w:r w:rsidR="00710CD8" w:rsidRPr="00C52745">
              <w:rPr>
                <w:rFonts w:eastAsia="新細明體" w:cs="Segoe UI" w:hint="eastAsia"/>
                <w:sz w:val="17"/>
                <w:szCs w:val="17"/>
                <w:lang w:eastAsia="zh-HK"/>
              </w:rPr>
              <w:t>以下</w:t>
            </w:r>
            <w:r w:rsidR="00C01218" w:rsidRPr="00C52745">
              <w:rPr>
                <w:rFonts w:eastAsia="新細明體" w:cs="Segoe UI" w:hint="eastAsia"/>
                <w:sz w:val="17"/>
                <w:szCs w:val="17"/>
                <w:lang w:eastAsia="zh-HK"/>
              </w:rPr>
              <w:t>項目</w:t>
            </w:r>
            <w:r w:rsidR="00710CD8" w:rsidRPr="00C52745">
              <w:rPr>
                <w:rFonts w:eastAsia="新細明體" w:cs="Segoe UI" w:hint="eastAsia"/>
                <w:sz w:val="17"/>
                <w:szCs w:val="17"/>
                <w:lang w:eastAsia="zh-HK"/>
              </w:rPr>
              <w:t>的風險加權數額</w:t>
            </w:r>
            <w:r w:rsidRPr="00C52745">
              <w:rPr>
                <w:rFonts w:eastAsia="新細明體" w:cs="Segoe UI" w:hint="eastAsia"/>
                <w:sz w:val="17"/>
                <w:szCs w:val="17"/>
                <w:lang w:eastAsia="zh-HK"/>
              </w:rPr>
              <w:t>：</w:t>
            </w:r>
            <w:r w:rsidR="005C3F5E" w:rsidRPr="00C52745">
              <w:rPr>
                <w:rFonts w:eastAsia="新細明體" w:cs="Segoe UI" w:hint="eastAsia"/>
                <w:sz w:val="17"/>
                <w:szCs w:val="17"/>
                <w:lang w:eastAsia="zh-HK"/>
              </w:rPr>
              <w:t>就編配予交易帳的第</w:t>
            </w:r>
            <w:r w:rsidR="005C3F5E" w:rsidRPr="00C52745">
              <w:rPr>
                <w:rFonts w:eastAsia="新細明體" w:cs="Segoe UI"/>
                <w:sz w:val="17"/>
                <w:szCs w:val="17"/>
                <w:lang w:eastAsia="zh-HK"/>
              </w:rPr>
              <w:t>1b</w:t>
            </w:r>
            <w:r w:rsidR="005C3F5E" w:rsidRPr="00C52745">
              <w:rPr>
                <w:rFonts w:eastAsia="新細明體" w:cs="Segoe UI" w:hint="eastAsia"/>
                <w:sz w:val="17"/>
                <w:szCs w:val="17"/>
                <w:lang w:eastAsia="zh-HK"/>
              </w:rPr>
              <w:t>組加密資產風險承擔</w:t>
            </w:r>
            <w:r w:rsidR="00EB3E40" w:rsidRPr="00C52745">
              <w:rPr>
                <w:rFonts w:eastAsia="新細明體" w:cs="Segoe UI" w:hint="eastAsia"/>
                <w:sz w:val="17"/>
                <w:szCs w:val="17"/>
                <w:lang w:eastAsia="zh-HK"/>
              </w:rPr>
              <w:t>，以</w:t>
            </w:r>
            <w:r w:rsidR="005C3F5E" w:rsidRPr="00C52745">
              <w:rPr>
                <w:rFonts w:eastAsia="新細明體" w:cs="Segoe UI" w:hint="eastAsia"/>
                <w:sz w:val="17"/>
                <w:szCs w:val="17"/>
                <w:lang w:eastAsia="zh-HK"/>
              </w:rPr>
              <w:t>及關乎屬穩定幣的第</w:t>
            </w:r>
            <w:r w:rsidR="005C3F5E" w:rsidRPr="00C52745">
              <w:rPr>
                <w:rFonts w:eastAsia="新細明體" w:cs="Segoe UI"/>
                <w:sz w:val="17"/>
                <w:szCs w:val="17"/>
                <w:lang w:eastAsia="zh-HK"/>
              </w:rPr>
              <w:t>2a</w:t>
            </w:r>
            <w:r w:rsidR="005C3F5E" w:rsidRPr="00C52745">
              <w:rPr>
                <w:rFonts w:eastAsia="新細明體" w:cs="Segoe UI" w:hint="eastAsia"/>
                <w:sz w:val="17"/>
                <w:szCs w:val="17"/>
                <w:lang w:eastAsia="zh-HK"/>
              </w:rPr>
              <w:t>組加密資產的第</w:t>
            </w:r>
            <w:r w:rsidR="005C3F5E" w:rsidRPr="00C52745">
              <w:rPr>
                <w:rFonts w:eastAsia="新細明體" w:cs="Segoe UI"/>
                <w:sz w:val="17"/>
                <w:szCs w:val="17"/>
                <w:lang w:eastAsia="zh-HK"/>
              </w:rPr>
              <w:t>2a</w:t>
            </w:r>
            <w:r w:rsidR="005C3F5E" w:rsidRPr="00C52745">
              <w:rPr>
                <w:rFonts w:eastAsia="新細明體" w:cs="Segoe UI" w:hint="eastAsia"/>
                <w:sz w:val="17"/>
                <w:szCs w:val="17"/>
                <w:lang w:eastAsia="zh-HK"/>
              </w:rPr>
              <w:t>組加密資產風險承擔</w:t>
            </w:r>
            <w:r w:rsidR="00C52745">
              <w:rPr>
                <w:rFonts w:eastAsia="新細明體" w:cs="Segoe UI" w:hint="eastAsia"/>
                <w:sz w:val="17"/>
                <w:szCs w:val="17"/>
                <w:lang w:eastAsia="zh-HK"/>
              </w:rPr>
              <w:t>（</w:t>
            </w:r>
            <w:r w:rsidR="00EB3E40" w:rsidRPr="00C52745">
              <w:rPr>
                <w:rFonts w:eastAsia="新細明體" w:cs="Segoe UI" w:hint="eastAsia"/>
                <w:sz w:val="17"/>
                <w:szCs w:val="17"/>
                <w:lang w:eastAsia="zh-HK"/>
              </w:rPr>
              <w:t>分別見《資本規則》第</w:t>
            </w:r>
            <w:r w:rsidR="00EB3E40" w:rsidRPr="00C52745">
              <w:rPr>
                <w:rFonts w:eastAsia="新細明體" w:cs="Segoe UI"/>
                <w:sz w:val="17"/>
                <w:szCs w:val="17"/>
                <w:lang w:eastAsia="zh-HK"/>
              </w:rPr>
              <w:t>376</w:t>
            </w:r>
            <w:r w:rsidR="00EB3E40" w:rsidRPr="00C52745">
              <w:rPr>
                <w:rFonts w:eastAsia="新細明體" w:cs="Segoe UI" w:hint="eastAsia"/>
                <w:sz w:val="17"/>
                <w:szCs w:val="17"/>
                <w:lang w:eastAsia="zh-HK"/>
              </w:rPr>
              <w:t>及</w:t>
            </w:r>
            <w:r w:rsidR="00EB3E40" w:rsidRPr="00C52745">
              <w:rPr>
                <w:rFonts w:eastAsia="新細明體" w:cs="Segoe UI"/>
                <w:sz w:val="17"/>
                <w:szCs w:val="17"/>
                <w:lang w:eastAsia="zh-HK"/>
              </w:rPr>
              <w:t>384</w:t>
            </w:r>
            <w:r w:rsidR="00EB3E40" w:rsidRPr="00C52745">
              <w:rPr>
                <w:rFonts w:eastAsia="新細明體" w:cs="Segoe UI" w:hint="eastAsia"/>
                <w:sz w:val="17"/>
                <w:szCs w:val="17"/>
                <w:lang w:eastAsia="zh-HK"/>
              </w:rPr>
              <w:t>條</w:t>
            </w:r>
            <w:r w:rsidR="00C52745">
              <w:rPr>
                <w:rFonts w:eastAsia="新細明體" w:cs="Segoe UI" w:hint="eastAsia"/>
                <w:sz w:val="17"/>
                <w:szCs w:val="17"/>
                <w:lang w:eastAsia="zh-HK"/>
              </w:rPr>
              <w:t>）</w:t>
            </w:r>
            <w:r w:rsidR="000D2BF0" w:rsidRPr="00C52745">
              <w:rPr>
                <w:rFonts w:eastAsia="新細明體" w:cs="Segoe UI" w:hint="eastAsia"/>
                <w:sz w:val="17"/>
                <w:szCs w:val="17"/>
                <w:lang w:eastAsia="zh-HK"/>
              </w:rPr>
              <w:t>所</w:t>
            </w:r>
            <w:r w:rsidR="00150432" w:rsidRPr="00C52745">
              <w:rPr>
                <w:rFonts w:eastAsia="新細明體" w:cs="Segoe UI" w:hint="eastAsia"/>
                <w:sz w:val="17"/>
                <w:szCs w:val="17"/>
                <w:lang w:eastAsia="zh-HK"/>
              </w:rPr>
              <w:t>產生的</w:t>
            </w:r>
            <w:r w:rsidR="009319FA" w:rsidRPr="00C52745">
              <w:rPr>
                <w:rFonts w:ascii="Calibri" w:eastAsia="新細明體" w:hAnsi="Calibri" w:cs="Segoe UI"/>
                <w:sz w:val="17"/>
                <w:szCs w:val="17"/>
                <w:lang w:eastAsia="zh-TW"/>
              </w:rPr>
              <w:t>、</w:t>
            </w:r>
            <w:r w:rsidR="005C3F5E" w:rsidRPr="00C52745">
              <w:rPr>
                <w:rFonts w:eastAsia="新細明體" w:cs="Segoe UI" w:hint="eastAsia"/>
                <w:sz w:val="17"/>
                <w:szCs w:val="17"/>
                <w:lang w:eastAsia="zh-HK"/>
              </w:rPr>
              <w:t>有關贖回人違責的風險以及中介人執行有關</w:t>
            </w:r>
            <w:r w:rsidR="00FA0732" w:rsidRPr="00C52745">
              <w:rPr>
                <w:rFonts w:eastAsia="新細明體" w:cs="Segoe UI" w:hint="eastAsia"/>
                <w:sz w:val="17"/>
                <w:szCs w:val="17"/>
                <w:lang w:eastAsia="zh-HK"/>
              </w:rPr>
              <w:t>兌</w:t>
            </w:r>
            <w:r w:rsidR="005C3F5E" w:rsidRPr="00C52745">
              <w:rPr>
                <w:rFonts w:eastAsia="新細明體" w:cs="Segoe UI" w:hint="eastAsia"/>
                <w:sz w:val="17"/>
                <w:szCs w:val="17"/>
                <w:lang w:eastAsia="zh-HK"/>
              </w:rPr>
              <w:t>換職能時產生的風險</w:t>
            </w:r>
            <w:r w:rsidR="00680381" w:rsidRPr="00C52745">
              <w:rPr>
                <w:rFonts w:eastAsia="新細明體" w:cs="Segoe UI" w:hint="eastAsia"/>
                <w:sz w:val="17"/>
                <w:szCs w:val="17"/>
                <w:lang w:eastAsia="zh-HK"/>
              </w:rPr>
              <w:t>。</w:t>
            </w:r>
          </w:p>
          <w:p w14:paraId="0EA40F0E" w14:textId="77777777" w:rsidR="00810C43" w:rsidRPr="006A6FF6" w:rsidRDefault="00810C43" w:rsidP="005C3F5E">
            <w:pPr>
              <w:keepLines/>
              <w:tabs>
                <w:tab w:val="left" w:pos="150"/>
                <w:tab w:val="left" w:pos="397"/>
                <w:tab w:val="left" w:pos="794"/>
                <w:tab w:val="left" w:pos="1191"/>
              </w:tabs>
              <w:spacing w:line="20" w:lineRule="atLeast"/>
              <w:contextualSpacing/>
              <w:jc w:val="both"/>
              <w:rPr>
                <w:rFonts w:eastAsia="新細明體" w:cs="Segoe UI"/>
                <w:sz w:val="17"/>
                <w:szCs w:val="17"/>
                <w:lang w:eastAsia="zh-HK"/>
              </w:rPr>
            </w:pPr>
          </w:p>
          <w:p w14:paraId="580C355A" w14:textId="150A6A63" w:rsidR="00295490" w:rsidRPr="00AA7EA1" w:rsidRDefault="00190D67" w:rsidP="00862754">
            <w:pPr>
              <w:keepLines/>
              <w:tabs>
                <w:tab w:val="left" w:pos="150"/>
                <w:tab w:val="left" w:pos="397"/>
                <w:tab w:val="left" w:pos="794"/>
                <w:tab w:val="left" w:pos="1191"/>
              </w:tabs>
              <w:spacing w:line="20" w:lineRule="atLeast"/>
              <w:contextualSpacing/>
              <w:jc w:val="both"/>
              <w:rPr>
                <w:rFonts w:eastAsiaTheme="minorEastAsia" w:cs="Segoe UI"/>
                <w:sz w:val="17"/>
                <w:szCs w:val="17"/>
                <w:lang w:eastAsia="zh-TW"/>
              </w:rPr>
            </w:pPr>
            <w:r w:rsidRPr="006A6FF6">
              <w:rPr>
                <w:rFonts w:eastAsia="新細明體" w:cs="Segoe UI"/>
                <w:i/>
                <w:sz w:val="17"/>
                <w:szCs w:val="17"/>
                <w:lang w:eastAsia="zh-TW"/>
              </w:rPr>
              <w:t xml:space="preserve">[CMS1:1/b] </w:t>
            </w:r>
            <w:r w:rsidRPr="006A6FF6">
              <w:rPr>
                <w:rFonts w:eastAsia="新細明體" w:cs="Segoe UI" w:hint="eastAsia"/>
                <w:i/>
                <w:sz w:val="17"/>
                <w:szCs w:val="17"/>
                <w:lang w:eastAsia="zh-HK"/>
              </w:rPr>
              <w:t>即</w:t>
            </w:r>
            <w:r w:rsidR="00D34ED8" w:rsidRPr="006A6FF6">
              <w:rPr>
                <w:rFonts w:eastAsia="新細明體" w:cs="Segoe UI" w:hint="eastAsia"/>
                <w:i/>
                <w:sz w:val="17"/>
                <w:szCs w:val="17"/>
                <w:lang w:eastAsia="zh-HK"/>
              </w:rPr>
              <w:t>採</w:t>
            </w:r>
            <w:r w:rsidRPr="006A6FF6">
              <w:rPr>
                <w:rFonts w:eastAsia="新細明體" w:cs="Segoe UI" w:hint="eastAsia"/>
                <w:i/>
                <w:sz w:val="17"/>
                <w:szCs w:val="17"/>
                <w:lang w:eastAsia="zh-TW"/>
              </w:rPr>
              <w:t>用標準計算法的組合的風險加權數額</w:t>
            </w:r>
            <w:r w:rsidRPr="006A6FF6">
              <w:rPr>
                <w:rFonts w:eastAsia="新細明體" w:cs="Segoe UI"/>
                <w:sz w:val="17"/>
                <w:szCs w:val="17"/>
                <w:lang w:eastAsia="zh-TW"/>
              </w:rPr>
              <w:t>：</w:t>
            </w:r>
            <w:r w:rsidR="003E6D31">
              <w:rPr>
                <w:rFonts w:eastAsia="新細明體" w:cs="Segoe UI" w:hint="eastAsia"/>
                <w:sz w:val="17"/>
                <w:szCs w:val="17"/>
                <w:lang w:eastAsia="zh-HK"/>
              </w:rPr>
              <w:t>包括</w:t>
            </w:r>
            <w:r w:rsidR="00295490" w:rsidRPr="006202F0">
              <w:rPr>
                <w:rFonts w:eastAsia="新細明體" w:cs="Segoe UI" w:hint="eastAsia"/>
                <w:sz w:val="17"/>
                <w:szCs w:val="17"/>
                <w:lang w:eastAsia="zh-HK"/>
              </w:rPr>
              <w:t>以下</w:t>
            </w:r>
            <w:r w:rsidR="003E6D31">
              <w:rPr>
                <w:rFonts w:eastAsia="新細明體" w:cs="Segoe UI" w:hint="eastAsia"/>
                <w:sz w:val="17"/>
                <w:szCs w:val="17"/>
                <w:lang w:eastAsia="zh-HK"/>
              </w:rPr>
              <w:t>的風</w:t>
            </w:r>
            <w:r w:rsidR="003E6D31">
              <w:rPr>
                <w:rFonts w:eastAsia="新細明體" w:cs="Segoe UI" w:hint="eastAsia"/>
                <w:sz w:val="17"/>
                <w:szCs w:val="17"/>
                <w:lang w:eastAsia="zh-TW"/>
              </w:rPr>
              <w:t>險</w:t>
            </w:r>
            <w:r w:rsidR="00A35BA5" w:rsidRPr="00A35BA5">
              <w:rPr>
                <w:rFonts w:eastAsia="新細明體" w:cs="Segoe UI" w:hint="eastAsia"/>
                <w:iCs/>
                <w:sz w:val="17"/>
                <w:szCs w:val="17"/>
                <w:lang w:eastAsia="zh-TW"/>
              </w:rPr>
              <w:t>加權</w:t>
            </w:r>
            <w:r w:rsidR="003E6D31">
              <w:rPr>
                <w:rFonts w:eastAsia="新細明體" w:cs="Segoe UI" w:hint="eastAsia"/>
                <w:sz w:val="17"/>
                <w:szCs w:val="17"/>
                <w:lang w:eastAsia="zh-HK"/>
              </w:rPr>
              <w:t>數額</w:t>
            </w:r>
            <w:r w:rsidR="00295490" w:rsidRPr="006202F0">
              <w:rPr>
                <w:rFonts w:eastAsia="新細明體" w:cs="Segoe UI" w:hint="eastAsia"/>
                <w:sz w:val="17"/>
                <w:szCs w:val="17"/>
                <w:lang w:eastAsia="zh-HK"/>
              </w:rPr>
              <w:t>：</w:t>
            </w:r>
          </w:p>
          <w:p w14:paraId="7331768B" w14:textId="3862BBA0" w:rsidR="00190D67" w:rsidRPr="00AA7EA1" w:rsidRDefault="00481347" w:rsidP="00634D9A">
            <w:pPr>
              <w:pStyle w:val="ListParagraph"/>
              <w:keepLines/>
              <w:numPr>
                <w:ilvl w:val="0"/>
                <w:numId w:val="64"/>
              </w:numPr>
              <w:tabs>
                <w:tab w:val="left" w:pos="489"/>
                <w:tab w:val="left" w:pos="635"/>
              </w:tabs>
              <w:spacing w:line="20" w:lineRule="atLeast"/>
              <w:ind w:leftChars="0" w:left="489" w:hanging="489"/>
              <w:contextualSpacing/>
              <w:jc w:val="both"/>
              <w:rPr>
                <w:rFonts w:eastAsiaTheme="minorEastAsia" w:cs="Segoe UI"/>
                <w:sz w:val="17"/>
                <w:szCs w:val="17"/>
                <w:lang w:eastAsia="zh-TW"/>
              </w:rPr>
            </w:pPr>
            <w:r w:rsidRPr="00AA7EA1">
              <w:rPr>
                <w:rFonts w:eastAsiaTheme="minorEastAsia" w:cs="Segoe UI" w:hint="eastAsia"/>
                <w:sz w:val="17"/>
                <w:szCs w:val="17"/>
                <w:lang w:eastAsia="zh-HK"/>
              </w:rPr>
              <w:t>使</w:t>
            </w:r>
            <w:r w:rsidR="00045E58" w:rsidRPr="00AA7EA1">
              <w:rPr>
                <w:rFonts w:eastAsiaTheme="minorEastAsia" w:cs="Segoe UI" w:hint="eastAsia"/>
                <w:sz w:val="17"/>
                <w:szCs w:val="17"/>
                <w:lang w:eastAsia="zh-HK"/>
              </w:rPr>
              <w:t>用</w:t>
            </w:r>
            <w:r w:rsidR="00190D67" w:rsidRPr="00AA7EA1">
              <w:rPr>
                <w:rFonts w:eastAsiaTheme="minorEastAsia" w:cs="Segoe UI"/>
                <w:sz w:val="17"/>
                <w:szCs w:val="17"/>
                <w:lang w:eastAsia="zh-TW"/>
              </w:rPr>
              <w:t>STC</w:t>
            </w:r>
            <w:r w:rsidR="00190D67" w:rsidRPr="00AA7EA1">
              <w:rPr>
                <w:rFonts w:eastAsiaTheme="minorEastAsia" w:cs="Segoe UI" w:hint="eastAsia"/>
                <w:sz w:val="17"/>
                <w:szCs w:val="17"/>
                <w:lang w:eastAsia="zh-HK"/>
              </w:rPr>
              <w:t>計算法</w:t>
            </w:r>
            <w:r w:rsidR="004E75ED" w:rsidRPr="00AA7EA1">
              <w:rPr>
                <w:rFonts w:eastAsiaTheme="minorEastAsia" w:cs="Segoe UI" w:hint="eastAsia"/>
                <w:sz w:val="17"/>
                <w:lang w:eastAsia="zh-HK"/>
              </w:rPr>
              <w:t>（</w:t>
            </w:r>
            <w:r w:rsidR="00190D67" w:rsidRPr="00AA7EA1">
              <w:rPr>
                <w:rFonts w:eastAsiaTheme="minorEastAsia" w:cs="Segoe UI" w:hint="eastAsia"/>
                <w:sz w:val="17"/>
                <w:szCs w:val="17"/>
                <w:lang w:eastAsia="zh-HK"/>
              </w:rPr>
              <w:t>或</w:t>
            </w:r>
            <w:r w:rsidR="001C78D1" w:rsidRPr="00AA7EA1">
              <w:rPr>
                <w:rFonts w:eastAsiaTheme="minorEastAsia" w:cs="Segoe UI" w:hint="eastAsia"/>
                <w:sz w:val="17"/>
                <w:szCs w:val="17"/>
                <w:lang w:eastAsia="zh-HK"/>
              </w:rPr>
              <w:t>如</w:t>
            </w:r>
            <w:r w:rsidR="00190D67" w:rsidRPr="00AA7EA1">
              <w:rPr>
                <w:rFonts w:eastAsiaTheme="minorEastAsia" w:cs="Segoe UI" w:hint="eastAsia"/>
                <w:sz w:val="17"/>
                <w:szCs w:val="17"/>
                <w:lang w:eastAsia="zh-HK"/>
              </w:rPr>
              <w:t>適用</w:t>
            </w:r>
            <w:r w:rsidR="00190D67" w:rsidRPr="00AA7EA1">
              <w:rPr>
                <w:rFonts w:eastAsiaTheme="minorEastAsia" w:cs="Segoe UI" w:hint="eastAsia"/>
                <w:sz w:val="17"/>
                <w:szCs w:val="17"/>
                <w:lang w:eastAsia="zh-TW"/>
              </w:rPr>
              <w:t>，</w:t>
            </w:r>
            <w:r w:rsidR="00190D67" w:rsidRPr="00AA7EA1">
              <w:rPr>
                <w:rFonts w:eastAsiaTheme="minorEastAsia" w:cs="Segoe UI"/>
                <w:sz w:val="17"/>
                <w:szCs w:val="17"/>
                <w:lang w:eastAsia="zh-TW"/>
              </w:rPr>
              <w:t>BSC</w:t>
            </w:r>
            <w:r w:rsidR="00190D67" w:rsidRPr="00AA7EA1">
              <w:rPr>
                <w:rFonts w:eastAsiaTheme="minorEastAsia" w:cs="Segoe UI" w:hint="eastAsia"/>
                <w:sz w:val="17"/>
                <w:szCs w:val="17"/>
                <w:lang w:eastAsia="zh-HK"/>
              </w:rPr>
              <w:t>計算法</w:t>
            </w:r>
            <w:r w:rsidR="003B266B" w:rsidRPr="00AA7EA1">
              <w:rPr>
                <w:rFonts w:eastAsiaTheme="minorEastAsia" w:cs="Segoe UI" w:hint="eastAsia"/>
                <w:sz w:val="17"/>
                <w:szCs w:val="17"/>
                <w:lang w:eastAsia="zh-TW"/>
              </w:rPr>
              <w:t>）</w:t>
            </w:r>
            <w:r w:rsidR="001C78D1" w:rsidRPr="00AA7EA1">
              <w:rPr>
                <w:rFonts w:eastAsiaTheme="minorEastAsia" w:cs="Segoe UI" w:hint="eastAsia"/>
                <w:sz w:val="17"/>
                <w:szCs w:val="17"/>
                <w:lang w:eastAsia="zh-HK"/>
              </w:rPr>
              <w:t>計算</w:t>
            </w:r>
            <w:r w:rsidR="00190D67" w:rsidRPr="00AA7EA1">
              <w:rPr>
                <w:rFonts w:eastAsiaTheme="minorEastAsia" w:cs="Segoe UI" w:hint="eastAsia"/>
                <w:sz w:val="17"/>
                <w:szCs w:val="17"/>
                <w:lang w:eastAsia="zh-HK"/>
              </w:rPr>
              <w:t>的風險承擔的風險加權數額</w:t>
            </w:r>
            <w:r w:rsidR="00B3283E" w:rsidRPr="00AA7EA1">
              <w:rPr>
                <w:rFonts w:eastAsiaTheme="minorEastAsia" w:cs="Segoe UI" w:hint="eastAsia"/>
                <w:sz w:val="17"/>
                <w:szCs w:val="17"/>
                <w:lang w:eastAsia="zh-HK"/>
              </w:rPr>
              <w:t>，</w:t>
            </w:r>
            <w:r w:rsidR="00150432" w:rsidRPr="00AA7EA1">
              <w:rPr>
                <w:rFonts w:eastAsiaTheme="minorEastAsia" w:cs="Segoe UI" w:hint="eastAsia"/>
                <w:sz w:val="17"/>
                <w:szCs w:val="17"/>
                <w:lang w:eastAsia="zh-HK"/>
              </w:rPr>
              <w:t>其中</w:t>
            </w:r>
            <w:r w:rsidR="002D650F" w:rsidRPr="00AA7EA1">
              <w:rPr>
                <w:rFonts w:eastAsiaTheme="minorEastAsia" w:cs="Segoe UI" w:hint="eastAsia"/>
                <w:sz w:val="17"/>
                <w:szCs w:val="17"/>
                <w:lang w:eastAsia="zh-HK"/>
              </w:rPr>
              <w:t>包括</w:t>
            </w:r>
            <w:r w:rsidR="00B3283E" w:rsidRPr="00AA7EA1">
              <w:rPr>
                <w:rFonts w:eastAsiaTheme="minorEastAsia" w:cs="Segoe UI" w:hint="eastAsia"/>
                <w:sz w:val="17"/>
                <w:szCs w:val="17"/>
                <w:lang w:eastAsia="zh-HK"/>
              </w:rPr>
              <w:t>以下風</w:t>
            </w:r>
            <w:r w:rsidR="00B3283E" w:rsidRPr="00AA7EA1">
              <w:rPr>
                <w:rFonts w:eastAsiaTheme="minorEastAsia" w:cs="Segoe UI" w:hint="eastAsia"/>
                <w:sz w:val="17"/>
                <w:szCs w:val="17"/>
                <w:lang w:eastAsia="zh-TW"/>
              </w:rPr>
              <w:t>險</w:t>
            </w:r>
            <w:r w:rsidR="00B3283E" w:rsidRPr="00AA7EA1">
              <w:rPr>
                <w:rFonts w:eastAsiaTheme="minorEastAsia" w:cs="Segoe UI" w:hint="eastAsia"/>
                <w:sz w:val="17"/>
                <w:szCs w:val="17"/>
                <w:lang w:eastAsia="zh-HK"/>
              </w:rPr>
              <w:t>的風險加權數額：</w:t>
            </w:r>
            <w:r w:rsidR="00150432" w:rsidRPr="00AA7EA1">
              <w:rPr>
                <w:rFonts w:eastAsiaTheme="minorEastAsia" w:cs="Segoe UI" w:hint="eastAsia"/>
                <w:sz w:val="17"/>
                <w:szCs w:val="17"/>
                <w:lang w:eastAsia="zh-HK"/>
              </w:rPr>
              <w:t>就編配予交易帳的第</w:t>
            </w:r>
            <w:r w:rsidR="00150432" w:rsidRPr="00AA7EA1">
              <w:rPr>
                <w:rFonts w:eastAsiaTheme="minorEastAsia" w:cs="Segoe UI"/>
                <w:sz w:val="17"/>
                <w:szCs w:val="17"/>
                <w:lang w:eastAsia="zh-HK"/>
              </w:rPr>
              <w:t>1b</w:t>
            </w:r>
            <w:r w:rsidR="00150432" w:rsidRPr="00AA7EA1">
              <w:rPr>
                <w:rFonts w:eastAsiaTheme="minorEastAsia" w:cs="Segoe UI" w:hint="eastAsia"/>
                <w:sz w:val="17"/>
                <w:szCs w:val="17"/>
                <w:lang w:eastAsia="zh-HK"/>
              </w:rPr>
              <w:t>組加密資產風險承擔，以及關乎屬穩定幣的第</w:t>
            </w:r>
            <w:r w:rsidR="00150432" w:rsidRPr="00AA7EA1">
              <w:rPr>
                <w:rFonts w:eastAsiaTheme="minorEastAsia" w:cs="Segoe UI"/>
                <w:sz w:val="17"/>
                <w:szCs w:val="17"/>
                <w:lang w:eastAsia="zh-HK"/>
              </w:rPr>
              <w:t>2a</w:t>
            </w:r>
            <w:r w:rsidR="00150432" w:rsidRPr="00AA7EA1">
              <w:rPr>
                <w:rFonts w:eastAsiaTheme="minorEastAsia" w:cs="Segoe UI" w:hint="eastAsia"/>
                <w:sz w:val="17"/>
                <w:szCs w:val="17"/>
                <w:lang w:eastAsia="zh-HK"/>
              </w:rPr>
              <w:t>組加密資產的第</w:t>
            </w:r>
            <w:r w:rsidR="00150432" w:rsidRPr="00AA7EA1">
              <w:rPr>
                <w:rFonts w:eastAsiaTheme="minorEastAsia" w:cs="Segoe UI"/>
                <w:sz w:val="17"/>
                <w:szCs w:val="17"/>
                <w:lang w:eastAsia="zh-HK"/>
              </w:rPr>
              <w:t>2a</w:t>
            </w:r>
            <w:r w:rsidR="00150432" w:rsidRPr="00AA7EA1">
              <w:rPr>
                <w:rFonts w:eastAsiaTheme="minorEastAsia" w:cs="Segoe UI" w:hint="eastAsia"/>
                <w:sz w:val="17"/>
                <w:szCs w:val="17"/>
                <w:lang w:eastAsia="zh-HK"/>
              </w:rPr>
              <w:t>組加密資產風險承擔</w:t>
            </w:r>
            <w:r w:rsidR="00150432" w:rsidRPr="00AA7EA1">
              <w:rPr>
                <w:rFonts w:eastAsiaTheme="minorEastAsia" w:cs="Segoe UI" w:hint="eastAsia"/>
                <w:sz w:val="17"/>
                <w:szCs w:val="17"/>
                <w:lang w:eastAsia="zh-TW"/>
              </w:rPr>
              <w:t xml:space="preserve"> (</w:t>
            </w:r>
            <w:r w:rsidR="00150432" w:rsidRPr="00AA7EA1">
              <w:rPr>
                <w:rFonts w:eastAsiaTheme="minorEastAsia" w:cs="Segoe UI" w:hint="eastAsia"/>
                <w:sz w:val="17"/>
                <w:szCs w:val="17"/>
                <w:lang w:eastAsia="zh-HK"/>
              </w:rPr>
              <w:t>分別見</w:t>
            </w:r>
            <w:r w:rsidR="00150432" w:rsidRPr="00AA7EA1">
              <w:rPr>
                <w:rFonts w:eastAsiaTheme="minorEastAsia" w:cs="Segoe UI"/>
                <w:sz w:val="17"/>
                <w:szCs w:val="17"/>
                <w:lang w:eastAsia="zh-HK"/>
              </w:rPr>
              <w:t>《資本規則》</w:t>
            </w:r>
            <w:r w:rsidR="00150432" w:rsidRPr="00AA7EA1">
              <w:rPr>
                <w:rFonts w:eastAsiaTheme="minorEastAsia" w:cs="Segoe UI" w:hint="eastAsia"/>
                <w:sz w:val="17"/>
                <w:szCs w:val="17"/>
                <w:lang w:eastAsia="zh-HK"/>
              </w:rPr>
              <w:t>第</w:t>
            </w:r>
            <w:r w:rsidR="00150432" w:rsidRPr="00AA7EA1">
              <w:rPr>
                <w:rFonts w:eastAsiaTheme="minorEastAsia" w:cs="Segoe UI"/>
                <w:sz w:val="17"/>
                <w:szCs w:val="17"/>
                <w:lang w:eastAsia="zh-HK"/>
              </w:rPr>
              <w:t>376</w:t>
            </w:r>
            <w:r w:rsidR="00150432" w:rsidRPr="00AA7EA1">
              <w:rPr>
                <w:rFonts w:eastAsiaTheme="minorEastAsia" w:cs="Segoe UI" w:hint="eastAsia"/>
                <w:sz w:val="17"/>
                <w:szCs w:val="17"/>
                <w:lang w:eastAsia="zh-HK"/>
              </w:rPr>
              <w:t>及</w:t>
            </w:r>
            <w:r w:rsidR="00150432" w:rsidRPr="00AA7EA1">
              <w:rPr>
                <w:rFonts w:eastAsiaTheme="minorEastAsia" w:cs="Segoe UI"/>
                <w:sz w:val="17"/>
                <w:szCs w:val="17"/>
                <w:lang w:eastAsia="zh-HK"/>
              </w:rPr>
              <w:t>384</w:t>
            </w:r>
            <w:r w:rsidR="00150432" w:rsidRPr="00AA7EA1">
              <w:rPr>
                <w:rFonts w:eastAsiaTheme="minorEastAsia" w:cs="Segoe UI" w:hint="eastAsia"/>
                <w:sz w:val="17"/>
                <w:szCs w:val="17"/>
                <w:lang w:eastAsia="zh-HK"/>
              </w:rPr>
              <w:t>條</w:t>
            </w:r>
            <w:r w:rsidR="00150432" w:rsidRPr="00AA7EA1">
              <w:rPr>
                <w:rFonts w:eastAsiaTheme="minorEastAsia" w:cs="Segoe UI" w:hint="eastAsia"/>
                <w:sz w:val="17"/>
                <w:szCs w:val="17"/>
                <w:lang w:eastAsia="zh-TW"/>
              </w:rPr>
              <w:t>)</w:t>
            </w:r>
            <w:r w:rsidR="000D2BF0" w:rsidRPr="00AA7EA1">
              <w:rPr>
                <w:rFonts w:eastAsiaTheme="minorEastAsia" w:cs="Segoe UI" w:hint="eastAsia"/>
                <w:sz w:val="17"/>
                <w:szCs w:val="17"/>
                <w:lang w:eastAsia="zh-HK"/>
              </w:rPr>
              <w:t>所</w:t>
            </w:r>
            <w:r w:rsidR="00150432" w:rsidRPr="00AA7EA1">
              <w:rPr>
                <w:rFonts w:eastAsiaTheme="minorEastAsia" w:cs="Segoe UI" w:hint="eastAsia"/>
                <w:sz w:val="17"/>
                <w:szCs w:val="17"/>
                <w:lang w:eastAsia="zh-HK"/>
              </w:rPr>
              <w:t>產生的</w:t>
            </w:r>
            <w:r w:rsidR="009319FA" w:rsidRPr="00AA7EA1">
              <w:rPr>
                <w:rFonts w:eastAsiaTheme="minorEastAsia" w:cs="Segoe UI" w:hint="eastAsia"/>
                <w:sz w:val="17"/>
                <w:szCs w:val="17"/>
                <w:lang w:eastAsia="zh-TW"/>
              </w:rPr>
              <w:t>、</w:t>
            </w:r>
            <w:r w:rsidR="00150432" w:rsidRPr="00AA7EA1">
              <w:rPr>
                <w:rFonts w:eastAsiaTheme="minorEastAsia" w:cs="Segoe UI" w:hint="eastAsia"/>
                <w:sz w:val="17"/>
                <w:szCs w:val="17"/>
                <w:lang w:eastAsia="zh-HK"/>
              </w:rPr>
              <w:t>有關贖回人違責的風險以及中介人執行有關</w:t>
            </w:r>
            <w:r w:rsidR="00FA0732" w:rsidRPr="00AA7EA1">
              <w:rPr>
                <w:rFonts w:eastAsiaTheme="minorEastAsia" w:cs="Segoe UI" w:hint="eastAsia"/>
                <w:sz w:val="17"/>
                <w:szCs w:val="17"/>
                <w:lang w:eastAsia="zh-HK"/>
              </w:rPr>
              <w:t>兌</w:t>
            </w:r>
            <w:r w:rsidR="00150432" w:rsidRPr="00AA7EA1">
              <w:rPr>
                <w:rFonts w:eastAsiaTheme="minorEastAsia" w:cs="Segoe UI" w:hint="eastAsia"/>
                <w:sz w:val="17"/>
                <w:szCs w:val="17"/>
                <w:lang w:eastAsia="zh-HK"/>
              </w:rPr>
              <w:t>換職能時產生的風險</w:t>
            </w:r>
            <w:r w:rsidR="009D1CBD" w:rsidRPr="00AA7EA1">
              <w:rPr>
                <w:rFonts w:eastAsiaTheme="minorEastAsia" w:cs="Segoe UI" w:hint="eastAsia"/>
                <w:sz w:val="17"/>
                <w:szCs w:val="17"/>
                <w:lang w:eastAsia="zh-TW"/>
              </w:rPr>
              <w:t>；</w:t>
            </w:r>
          </w:p>
          <w:p w14:paraId="39FDDA1B" w14:textId="5205B2B3" w:rsidR="00295490" w:rsidRPr="00AA7EA1" w:rsidRDefault="00B61EF1" w:rsidP="00ED4F18">
            <w:pPr>
              <w:pStyle w:val="ListParagraph"/>
              <w:keepLines/>
              <w:numPr>
                <w:ilvl w:val="0"/>
                <w:numId w:val="64"/>
              </w:numPr>
              <w:tabs>
                <w:tab w:val="left" w:pos="150"/>
                <w:tab w:val="left" w:pos="773"/>
                <w:tab w:val="left" w:pos="1191"/>
              </w:tabs>
              <w:spacing w:line="20" w:lineRule="atLeast"/>
              <w:ind w:leftChars="0" w:left="489" w:hanging="489"/>
              <w:contextualSpacing/>
              <w:jc w:val="both"/>
              <w:rPr>
                <w:rFonts w:eastAsiaTheme="minorEastAsia" w:cs="Segoe UI"/>
                <w:sz w:val="17"/>
                <w:szCs w:val="17"/>
                <w:lang w:eastAsia="zh-TW"/>
              </w:rPr>
            </w:pPr>
            <w:r w:rsidRPr="00AA7EA1">
              <w:rPr>
                <w:rFonts w:eastAsiaTheme="minorEastAsia" w:cs="Segoe UI" w:hint="eastAsia"/>
                <w:sz w:val="17"/>
                <w:szCs w:val="17"/>
                <w:lang w:eastAsia="zh-TW"/>
              </w:rPr>
              <w:t>按照</w:t>
            </w:r>
            <w:r w:rsidR="00295490" w:rsidRPr="00AA7EA1">
              <w:rPr>
                <w:rFonts w:eastAsiaTheme="minorEastAsia" w:cs="Segoe UI" w:hint="eastAsia"/>
                <w:sz w:val="17"/>
                <w:szCs w:val="17"/>
                <w:lang w:eastAsia="zh-TW"/>
              </w:rPr>
              <w:t>《資本規則》第</w:t>
            </w:r>
            <w:r w:rsidR="00295490" w:rsidRPr="00AA7EA1">
              <w:rPr>
                <w:rFonts w:eastAsiaTheme="minorEastAsia" w:cs="Segoe UI" w:hint="eastAsia"/>
                <w:sz w:val="17"/>
                <w:szCs w:val="17"/>
                <w:lang w:eastAsia="zh-TW"/>
              </w:rPr>
              <w:t>385</w:t>
            </w:r>
            <w:r w:rsidR="00295490" w:rsidRPr="00AA7EA1">
              <w:rPr>
                <w:rFonts w:eastAsiaTheme="minorEastAsia" w:cs="Segoe UI" w:hint="eastAsia"/>
                <w:sz w:val="17"/>
                <w:szCs w:val="17"/>
                <w:lang w:eastAsia="zh-TW"/>
              </w:rPr>
              <w:t>條計算的第</w:t>
            </w:r>
            <w:r w:rsidR="00295490" w:rsidRPr="00AA7EA1">
              <w:rPr>
                <w:rFonts w:eastAsiaTheme="minorEastAsia" w:cs="Segoe UI" w:hint="eastAsia"/>
                <w:sz w:val="17"/>
                <w:szCs w:val="17"/>
                <w:lang w:eastAsia="zh-TW"/>
              </w:rPr>
              <w:t>2b</w:t>
            </w:r>
            <w:r w:rsidR="0061383C" w:rsidRPr="00AA7EA1">
              <w:rPr>
                <w:rFonts w:eastAsiaTheme="minorEastAsia" w:cs="Segoe UI" w:hint="eastAsia"/>
                <w:sz w:val="17"/>
                <w:szCs w:val="17"/>
                <w:lang w:eastAsia="zh-HK"/>
              </w:rPr>
              <w:t>組</w:t>
            </w:r>
            <w:r w:rsidR="00295490" w:rsidRPr="00AA7EA1">
              <w:rPr>
                <w:rFonts w:eastAsiaTheme="minorEastAsia" w:cs="Segoe UI" w:hint="eastAsia"/>
                <w:sz w:val="17"/>
                <w:szCs w:val="17"/>
                <w:lang w:eastAsia="zh-TW"/>
              </w:rPr>
              <w:t>加密資產風險承擔的風險加權數額</w:t>
            </w:r>
            <w:r w:rsidR="00C36857" w:rsidRPr="00AA7EA1">
              <w:rPr>
                <w:rFonts w:eastAsiaTheme="minorEastAsia" w:cs="Segoe UI" w:hint="eastAsia"/>
                <w:sz w:val="17"/>
                <w:szCs w:val="17"/>
                <w:lang w:eastAsia="zh-TW"/>
              </w:rPr>
              <w:t>；</w:t>
            </w:r>
            <w:r w:rsidR="00C36857" w:rsidRPr="00AA7EA1">
              <w:rPr>
                <w:rFonts w:eastAsiaTheme="minorEastAsia" w:cs="Segoe UI" w:hint="eastAsia"/>
                <w:sz w:val="17"/>
                <w:szCs w:val="17"/>
                <w:lang w:eastAsia="zh-TW"/>
              </w:rPr>
              <w:t xml:space="preserve"> </w:t>
            </w:r>
          </w:p>
          <w:p w14:paraId="722B84B1" w14:textId="38204177" w:rsidR="00295490" w:rsidRDefault="00F92F46" w:rsidP="00ED4F18">
            <w:pPr>
              <w:pStyle w:val="ListParagraph"/>
              <w:keepLines/>
              <w:numPr>
                <w:ilvl w:val="0"/>
                <w:numId w:val="64"/>
              </w:numPr>
              <w:tabs>
                <w:tab w:val="left" w:pos="150"/>
                <w:tab w:val="left" w:pos="489"/>
                <w:tab w:val="left" w:pos="794"/>
                <w:tab w:val="left" w:pos="1191"/>
              </w:tabs>
              <w:spacing w:line="20" w:lineRule="atLeast"/>
              <w:ind w:leftChars="0" w:left="489" w:hanging="489"/>
              <w:contextualSpacing/>
              <w:jc w:val="both"/>
              <w:rPr>
                <w:rFonts w:eastAsiaTheme="minorEastAsia" w:cs="Segoe UI"/>
                <w:sz w:val="17"/>
                <w:szCs w:val="17"/>
                <w:lang w:eastAsia="zh-TW"/>
              </w:rPr>
            </w:pPr>
            <w:r w:rsidRPr="00AA7EA1">
              <w:rPr>
                <w:rFonts w:eastAsiaTheme="minorEastAsia" w:cs="Segoe UI" w:hint="eastAsia"/>
                <w:sz w:val="17"/>
                <w:szCs w:val="17"/>
                <w:lang w:eastAsia="zh-TW"/>
              </w:rPr>
              <w:t>金融管理專員</w:t>
            </w:r>
            <w:r w:rsidR="009319FA" w:rsidRPr="00AA7EA1">
              <w:rPr>
                <w:rFonts w:eastAsiaTheme="minorEastAsia" w:cs="Segoe UI" w:hint="eastAsia"/>
                <w:sz w:val="17"/>
                <w:szCs w:val="17"/>
                <w:lang w:eastAsia="zh-HK"/>
              </w:rPr>
              <w:t>根</w:t>
            </w:r>
            <w:r w:rsidR="009319FA" w:rsidRPr="00AA7EA1">
              <w:rPr>
                <w:rFonts w:eastAsiaTheme="minorEastAsia" w:cs="Segoe UI" w:hint="eastAsia"/>
                <w:sz w:val="17"/>
                <w:szCs w:val="17"/>
                <w:lang w:eastAsia="zh-TW"/>
              </w:rPr>
              <w:t>據</w:t>
            </w:r>
            <w:r w:rsidRPr="00AA7EA1">
              <w:rPr>
                <w:rFonts w:eastAsiaTheme="minorEastAsia" w:cs="Segoe UI" w:hint="eastAsia"/>
                <w:sz w:val="17"/>
                <w:szCs w:val="17"/>
                <w:lang w:eastAsia="zh-TW"/>
              </w:rPr>
              <w:t>《資本規則》第</w:t>
            </w:r>
            <w:r w:rsidRPr="00AA7EA1">
              <w:rPr>
                <w:rFonts w:eastAsiaTheme="minorEastAsia" w:cs="Segoe UI"/>
                <w:sz w:val="17"/>
                <w:szCs w:val="17"/>
                <w:lang w:eastAsia="zh-TW"/>
              </w:rPr>
              <w:t>380</w:t>
            </w:r>
            <w:r w:rsidRPr="00AA7EA1">
              <w:rPr>
                <w:rFonts w:eastAsiaTheme="minorEastAsia" w:cs="Segoe UI" w:hint="eastAsia"/>
                <w:sz w:val="17"/>
                <w:szCs w:val="17"/>
                <w:lang w:eastAsia="zh-TW"/>
              </w:rPr>
              <w:t>條指</w:t>
            </w:r>
            <w:r w:rsidRPr="00AA7EA1">
              <w:rPr>
                <w:rFonts w:eastAsiaTheme="minorEastAsia" w:cs="Segoe UI" w:hint="eastAsia"/>
                <w:sz w:val="17"/>
                <w:szCs w:val="17"/>
                <w:lang w:eastAsia="zh-HK"/>
              </w:rPr>
              <w:t>明</w:t>
            </w:r>
            <w:r w:rsidRPr="00AA7EA1">
              <w:rPr>
                <w:rFonts w:eastAsiaTheme="minorEastAsia" w:cs="Segoe UI" w:hint="eastAsia"/>
                <w:sz w:val="17"/>
                <w:szCs w:val="17"/>
                <w:lang w:eastAsia="zh-TW"/>
              </w:rPr>
              <w:t>的</w:t>
            </w:r>
            <w:r w:rsidRPr="00AA7EA1">
              <w:rPr>
                <w:rFonts w:eastAsiaTheme="minorEastAsia" w:cs="Segoe UI"/>
                <w:sz w:val="17"/>
                <w:szCs w:val="17"/>
                <w:lang w:eastAsia="zh-TW"/>
              </w:rPr>
              <w:t>、</w:t>
            </w:r>
            <w:r w:rsidR="00E04676" w:rsidRPr="00AA7EA1">
              <w:rPr>
                <w:rFonts w:eastAsiaTheme="minorEastAsia" w:cs="Segoe UI"/>
                <w:sz w:val="17"/>
                <w:szCs w:val="17"/>
                <w:lang w:eastAsia="zh-HK"/>
              </w:rPr>
              <w:t>有</w:t>
            </w:r>
            <w:r w:rsidR="009319FA" w:rsidRPr="00AA7EA1">
              <w:rPr>
                <w:rFonts w:eastAsiaTheme="minorEastAsia" w:cs="Segoe UI"/>
                <w:sz w:val="17"/>
                <w:szCs w:val="17"/>
                <w:lang w:eastAsia="zh-HK"/>
              </w:rPr>
              <w:t>關</w:t>
            </w:r>
            <w:r w:rsidRPr="00AA7EA1">
              <w:rPr>
                <w:rFonts w:eastAsiaTheme="minorEastAsia" w:cs="Segoe UI" w:hint="eastAsia"/>
                <w:sz w:val="17"/>
                <w:szCs w:val="17"/>
                <w:lang w:eastAsia="zh-HK"/>
              </w:rPr>
              <w:t>編配予</w:t>
            </w:r>
            <w:r w:rsidRPr="00AA7EA1">
              <w:rPr>
                <w:rFonts w:eastAsiaTheme="minorEastAsia" w:cs="Segoe UI" w:hint="eastAsia"/>
                <w:sz w:val="17"/>
                <w:szCs w:val="17"/>
                <w:lang w:eastAsia="zh-TW"/>
              </w:rPr>
              <w:t>銀行帳的第</w:t>
            </w:r>
            <w:r w:rsidRPr="00AA7EA1">
              <w:rPr>
                <w:rFonts w:eastAsiaTheme="minorEastAsia" w:cs="Segoe UI" w:hint="eastAsia"/>
                <w:sz w:val="17"/>
                <w:szCs w:val="17"/>
                <w:lang w:eastAsia="zh-TW"/>
              </w:rPr>
              <w:t>1</w:t>
            </w:r>
            <w:r w:rsidRPr="00AA7EA1">
              <w:rPr>
                <w:rFonts w:eastAsiaTheme="minorEastAsia" w:cs="Segoe UI" w:hint="eastAsia"/>
                <w:sz w:val="17"/>
                <w:szCs w:val="17"/>
                <w:lang w:val="en-US" w:eastAsia="zh-HK"/>
              </w:rPr>
              <w:t>組</w:t>
            </w:r>
            <w:r w:rsidRPr="00AA7EA1">
              <w:rPr>
                <w:rFonts w:eastAsiaTheme="minorEastAsia" w:cs="Segoe UI" w:hint="eastAsia"/>
                <w:sz w:val="17"/>
                <w:szCs w:val="17"/>
                <w:lang w:eastAsia="zh-TW"/>
              </w:rPr>
              <w:t>加密資產風險承擔的基建風險附加</w:t>
            </w:r>
            <w:r w:rsidRPr="00AA7EA1">
              <w:rPr>
                <w:rFonts w:eastAsiaTheme="minorEastAsia" w:cs="Segoe UI" w:hint="eastAsia"/>
                <w:sz w:val="17"/>
                <w:szCs w:val="17"/>
                <w:lang w:val="en-US" w:eastAsia="zh-HK"/>
              </w:rPr>
              <w:t>額</w:t>
            </w:r>
            <w:r w:rsidRPr="00AA7EA1">
              <w:rPr>
                <w:rFonts w:eastAsiaTheme="minorEastAsia" w:cs="Segoe UI" w:hint="eastAsia"/>
                <w:sz w:val="17"/>
                <w:szCs w:val="17"/>
                <w:lang w:eastAsia="zh-TW"/>
              </w:rPr>
              <w:t>；</w:t>
            </w:r>
          </w:p>
          <w:p w14:paraId="223EDDC4" w14:textId="4D5B50CD" w:rsidR="00114D52" w:rsidRPr="00AA7EA1" w:rsidRDefault="00EE401C" w:rsidP="00ED4F18">
            <w:pPr>
              <w:pStyle w:val="ListParagraph"/>
              <w:keepLines/>
              <w:numPr>
                <w:ilvl w:val="0"/>
                <w:numId w:val="64"/>
              </w:numPr>
              <w:tabs>
                <w:tab w:val="left" w:pos="150"/>
                <w:tab w:val="left" w:pos="397"/>
                <w:tab w:val="left" w:pos="489"/>
                <w:tab w:val="left" w:pos="1191"/>
              </w:tabs>
              <w:spacing w:line="20" w:lineRule="atLeast"/>
              <w:ind w:leftChars="0" w:left="489" w:hanging="489"/>
              <w:contextualSpacing/>
              <w:jc w:val="both"/>
              <w:rPr>
                <w:rFonts w:eastAsiaTheme="minorEastAsia" w:cs="Segoe UI"/>
                <w:sz w:val="17"/>
                <w:szCs w:val="17"/>
                <w:lang w:eastAsia="zh-TW"/>
              </w:rPr>
            </w:pPr>
            <w:r w:rsidRPr="00AA7EA1">
              <w:rPr>
                <w:rFonts w:eastAsiaTheme="minorEastAsia" w:cs="Segoe UI" w:hint="eastAsia"/>
                <w:sz w:val="17"/>
                <w:szCs w:val="17"/>
                <w:lang w:eastAsia="zh-TW"/>
              </w:rPr>
              <w:t>《資本規則》</w:t>
            </w:r>
            <w:proofErr w:type="gramStart"/>
            <w:r w:rsidRPr="00AA7EA1">
              <w:rPr>
                <w:rFonts w:eastAsiaTheme="minorEastAsia" w:cs="Segoe UI" w:hint="eastAsia"/>
                <w:sz w:val="17"/>
                <w:szCs w:val="17"/>
                <w:lang w:eastAsia="zh-TW"/>
              </w:rPr>
              <w:t>第</w:t>
            </w:r>
            <w:r w:rsidRPr="00AA7EA1">
              <w:rPr>
                <w:rFonts w:eastAsiaTheme="minorEastAsia" w:cs="Segoe UI"/>
                <w:sz w:val="17"/>
                <w:szCs w:val="17"/>
                <w:lang w:eastAsia="zh-TW"/>
              </w:rPr>
              <w:t>388</w:t>
            </w:r>
            <w:r w:rsidRPr="00AA7EA1">
              <w:rPr>
                <w:rFonts w:eastAsiaTheme="minorEastAsia" w:cs="Segoe UI" w:hint="eastAsia"/>
                <w:sz w:val="17"/>
                <w:szCs w:val="17"/>
                <w:lang w:eastAsia="zh-TW"/>
              </w:rPr>
              <w:t>條提述的</w:t>
            </w:r>
            <w:proofErr w:type="gramEnd"/>
            <w:r w:rsidR="005329AC" w:rsidRPr="00AA7EA1">
              <w:rPr>
                <w:rFonts w:eastAsiaTheme="minorEastAsia" w:cs="Segoe UI" w:hint="eastAsia"/>
                <w:sz w:val="17"/>
                <w:szCs w:val="17"/>
                <w:lang w:eastAsia="zh-HK"/>
              </w:rPr>
              <w:t>、</w:t>
            </w:r>
            <w:r w:rsidRPr="00AA7EA1">
              <w:rPr>
                <w:rFonts w:eastAsiaTheme="minorEastAsia" w:cs="Segoe UI" w:hint="eastAsia"/>
                <w:sz w:val="17"/>
                <w:szCs w:val="17"/>
                <w:lang w:eastAsia="zh-TW"/>
              </w:rPr>
              <w:t>認可機構的第</w:t>
            </w:r>
            <w:r w:rsidRPr="00AA7EA1">
              <w:rPr>
                <w:rFonts w:eastAsiaTheme="minorEastAsia" w:cs="Segoe UI"/>
                <w:sz w:val="17"/>
                <w:szCs w:val="17"/>
                <w:lang w:eastAsia="zh-TW"/>
              </w:rPr>
              <w:t>2</w:t>
            </w:r>
            <w:r w:rsidRPr="00AA7EA1">
              <w:rPr>
                <w:rFonts w:eastAsiaTheme="minorEastAsia" w:cs="Segoe UI" w:hint="eastAsia"/>
                <w:sz w:val="17"/>
                <w:szCs w:val="17"/>
                <w:lang w:eastAsia="zh-TW"/>
              </w:rPr>
              <w:t>組加密資產風險承擔的附加額</w:t>
            </w:r>
            <w:r w:rsidR="009D1CBD">
              <w:rPr>
                <w:rFonts w:eastAsiaTheme="minorEastAsia" w:cs="Segoe UI" w:hint="eastAsia"/>
                <w:sz w:val="17"/>
                <w:szCs w:val="17"/>
                <w:lang w:eastAsia="zh-TW"/>
              </w:rPr>
              <w:t>。</w:t>
            </w:r>
          </w:p>
          <w:p w14:paraId="4B9DA9B5"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7A845E4A" w14:textId="2B1A594D" w:rsidR="00190D67" w:rsidRPr="006A6FF6" w:rsidRDefault="00190D67" w:rsidP="00862754">
            <w:pPr>
              <w:keepLines/>
              <w:tabs>
                <w:tab w:val="left" w:pos="150"/>
                <w:tab w:val="left" w:pos="397"/>
                <w:tab w:val="left" w:pos="794"/>
                <w:tab w:val="left" w:pos="1191"/>
              </w:tabs>
              <w:spacing w:line="20" w:lineRule="atLeast"/>
              <w:contextualSpacing/>
              <w:jc w:val="both"/>
              <w:rPr>
                <w:rFonts w:eastAsia="新細明體" w:cs="Segoe UI"/>
                <w:sz w:val="17"/>
                <w:szCs w:val="17"/>
                <w:lang w:eastAsia="zh-TW"/>
              </w:rPr>
            </w:pPr>
            <w:r w:rsidRPr="006A6FF6">
              <w:rPr>
                <w:rFonts w:eastAsia="新細明體" w:cs="Segoe UI"/>
                <w:i/>
                <w:sz w:val="17"/>
                <w:szCs w:val="17"/>
                <w:lang w:eastAsia="zh-TW"/>
              </w:rPr>
              <w:t xml:space="preserve">[CMS1:1/c] </w:t>
            </w:r>
            <w:r w:rsidRPr="006A6FF6">
              <w:rPr>
                <w:rFonts w:eastAsia="新細明體" w:cs="Segoe UI" w:hint="eastAsia"/>
                <w:i/>
                <w:sz w:val="17"/>
                <w:szCs w:val="17"/>
                <w:lang w:eastAsia="zh-HK"/>
              </w:rPr>
              <w:t>即總實際風險加權</w:t>
            </w:r>
            <w:r w:rsidR="00344219" w:rsidRPr="006A6FF6">
              <w:rPr>
                <w:rFonts w:eastAsia="新細明體" w:cs="Segoe UI" w:hint="eastAsia"/>
                <w:i/>
                <w:sz w:val="17"/>
                <w:szCs w:val="17"/>
                <w:lang w:eastAsia="zh-TW"/>
              </w:rPr>
              <w:t>數</w:t>
            </w:r>
            <w:r w:rsidRPr="006A6FF6">
              <w:rPr>
                <w:rFonts w:eastAsia="新細明體" w:cs="Segoe UI" w:hint="eastAsia"/>
                <w:i/>
                <w:sz w:val="17"/>
                <w:szCs w:val="17"/>
                <w:lang w:eastAsia="zh-HK"/>
              </w:rPr>
              <w:t>額</w:t>
            </w:r>
            <w:r w:rsidRPr="006A6FF6">
              <w:rPr>
                <w:rFonts w:eastAsia="新細明體" w:cs="Segoe UI"/>
                <w:sz w:val="17"/>
                <w:szCs w:val="17"/>
                <w:lang w:eastAsia="zh-TW"/>
              </w:rPr>
              <w:t>：</w:t>
            </w:r>
            <w:r w:rsidRPr="006A6FF6">
              <w:rPr>
                <w:rFonts w:eastAsia="新細明體" w:cs="Segoe UI" w:hint="eastAsia"/>
                <w:sz w:val="17"/>
                <w:szCs w:val="17"/>
                <w:lang w:eastAsia="zh-HK"/>
              </w:rPr>
              <w:t>填報的風險加權數額是</w:t>
            </w:r>
            <w:r w:rsidRPr="006A6FF6">
              <w:rPr>
                <w:rFonts w:eastAsia="新細明體" w:cs="Segoe UI"/>
                <w:sz w:val="17"/>
                <w:szCs w:val="17"/>
                <w:lang w:eastAsia="zh-TW"/>
              </w:rPr>
              <w:t xml:space="preserve"> [CMS1:1/</w:t>
            </w:r>
            <w:proofErr w:type="gramStart"/>
            <w:r w:rsidRPr="006A6FF6">
              <w:rPr>
                <w:rFonts w:eastAsia="新細明體" w:cs="Segoe UI"/>
                <w:sz w:val="17"/>
                <w:szCs w:val="17"/>
                <w:lang w:eastAsia="zh-TW"/>
              </w:rPr>
              <w:t>a]</w:t>
            </w:r>
            <w:r w:rsidRPr="006A6FF6">
              <w:rPr>
                <w:rFonts w:eastAsia="新細明體" w:cs="Segoe UI" w:hint="eastAsia"/>
                <w:sz w:val="17"/>
                <w:szCs w:val="17"/>
                <w:lang w:eastAsia="zh-HK"/>
              </w:rPr>
              <w:t>與</w:t>
            </w:r>
            <w:proofErr w:type="gramEnd"/>
            <w:r w:rsidRPr="006A6FF6">
              <w:rPr>
                <w:rFonts w:eastAsia="新細明體" w:cs="Segoe UI"/>
                <w:sz w:val="17"/>
                <w:szCs w:val="17"/>
                <w:lang w:eastAsia="zh-TW"/>
              </w:rPr>
              <w:t>[CMS1:1/b]</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r w:rsidRPr="006A6FF6">
              <w:rPr>
                <w:rFonts w:eastAsia="新細明體" w:cs="Segoe UI"/>
                <w:sz w:val="17"/>
                <w:szCs w:val="17"/>
                <w:lang w:eastAsia="zh-TW"/>
              </w:rPr>
              <w:t xml:space="preserve">[CMS1:1/c] </w:t>
            </w:r>
            <w:r w:rsidRPr="006A6FF6">
              <w:rPr>
                <w:rFonts w:eastAsia="新細明體" w:cs="Segoe UI" w:hint="eastAsia"/>
                <w:sz w:val="17"/>
                <w:szCs w:val="17"/>
                <w:lang w:eastAsia="zh-HK"/>
              </w:rPr>
              <w:t>的值相等於</w:t>
            </w:r>
            <w:r w:rsidRPr="006A6FF6">
              <w:rPr>
                <w:rFonts w:eastAsia="新細明體" w:cs="Segoe UI"/>
                <w:sz w:val="17"/>
                <w:szCs w:val="17"/>
                <w:lang w:eastAsia="zh-TW"/>
              </w:rPr>
              <w:t>[OV1:1/a]</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p>
          <w:p w14:paraId="43223F68"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13E762CF" w14:textId="4045DD0E" w:rsidR="00DE7580" w:rsidRPr="006A6FF6" w:rsidRDefault="00190D67" w:rsidP="00C00A44">
            <w:pPr>
              <w:keepLines/>
              <w:tabs>
                <w:tab w:val="left" w:pos="150"/>
                <w:tab w:val="left" w:pos="397"/>
                <w:tab w:val="left" w:pos="794"/>
                <w:tab w:val="left" w:pos="1191"/>
              </w:tabs>
              <w:spacing w:line="20" w:lineRule="atLeast"/>
              <w:contextualSpacing/>
              <w:jc w:val="both"/>
              <w:rPr>
                <w:rFonts w:eastAsia="新細明體" w:cs="Segoe UI"/>
                <w:sz w:val="17"/>
                <w:szCs w:val="17"/>
                <w:lang w:eastAsia="zh-HK"/>
              </w:rPr>
            </w:pPr>
            <w:r w:rsidRPr="006A6FF6">
              <w:rPr>
                <w:rFonts w:eastAsia="新細明體" w:cs="Segoe UI"/>
                <w:i/>
                <w:sz w:val="17"/>
                <w:szCs w:val="17"/>
                <w:lang w:eastAsia="zh-TW"/>
              </w:rPr>
              <w:t xml:space="preserve">[CMS1:1/d] </w:t>
            </w:r>
            <w:r w:rsidRPr="006A6FF6">
              <w:rPr>
                <w:rFonts w:eastAsia="新細明體" w:cs="Segoe UI" w:hint="eastAsia"/>
                <w:i/>
                <w:sz w:val="17"/>
                <w:szCs w:val="17"/>
                <w:lang w:eastAsia="zh-HK"/>
              </w:rPr>
              <w:t>即</w:t>
            </w:r>
            <w:r w:rsidR="00D34ED8" w:rsidRPr="006A6FF6">
              <w:rPr>
                <w:rFonts w:eastAsia="新細明體" w:cs="Segoe UI" w:hint="eastAsia"/>
                <w:i/>
                <w:sz w:val="17"/>
                <w:szCs w:val="17"/>
                <w:lang w:eastAsia="zh-HK"/>
              </w:rPr>
              <w:t>採</w:t>
            </w:r>
            <w:r w:rsidRPr="006A6FF6">
              <w:rPr>
                <w:rFonts w:eastAsia="新細明體" w:cs="Segoe UI" w:hint="eastAsia"/>
                <w:i/>
                <w:sz w:val="17"/>
                <w:szCs w:val="17"/>
                <w:lang w:eastAsia="zh-TW"/>
              </w:rPr>
              <w:t>用</w:t>
            </w:r>
            <w:r w:rsidRPr="006A6FF6">
              <w:rPr>
                <w:rFonts w:eastAsia="新細明體" w:cs="Segoe UI" w:hint="eastAsia"/>
                <w:i/>
                <w:sz w:val="17"/>
                <w:szCs w:val="17"/>
                <w:lang w:eastAsia="zh-HK"/>
              </w:rPr>
              <w:t>全</w:t>
            </w:r>
            <w:r w:rsidR="001C78D1" w:rsidRPr="006A6FF6">
              <w:rPr>
                <w:rFonts w:eastAsia="新細明體" w:cs="Segoe UI" w:hint="eastAsia"/>
                <w:i/>
                <w:sz w:val="17"/>
                <w:szCs w:val="17"/>
                <w:lang w:eastAsia="zh-HK"/>
              </w:rPr>
              <w:t>面</w:t>
            </w:r>
            <w:r w:rsidRPr="006A6FF6">
              <w:rPr>
                <w:rFonts w:eastAsia="新細明體" w:cs="Segoe UI" w:hint="eastAsia"/>
                <w:i/>
                <w:sz w:val="17"/>
                <w:szCs w:val="17"/>
                <w:lang w:eastAsia="zh-TW"/>
              </w:rPr>
              <w:t>標準計算法計算的風險加權數額</w:t>
            </w:r>
            <w:r w:rsidRPr="006A6FF6">
              <w:rPr>
                <w:rFonts w:eastAsia="新細明體" w:cs="Segoe UI"/>
                <w:sz w:val="17"/>
                <w:szCs w:val="17"/>
                <w:lang w:eastAsia="zh-TW"/>
              </w:rPr>
              <w:t>：</w:t>
            </w:r>
            <w:proofErr w:type="gramStart"/>
            <w:r w:rsidR="00700EAE" w:rsidRPr="006A6FF6">
              <w:rPr>
                <w:rFonts w:eastAsia="新細明體" w:cs="Segoe UI" w:hint="eastAsia"/>
                <w:sz w:val="17"/>
                <w:szCs w:val="17"/>
                <w:lang w:eastAsia="zh-HK"/>
              </w:rPr>
              <w:t>就引致</w:t>
            </w:r>
            <w:r w:rsidR="00700EAE" w:rsidRPr="006A6FF6">
              <w:rPr>
                <w:rFonts w:eastAsia="新細明體" w:cs="Segoe UI"/>
                <w:sz w:val="17"/>
                <w:szCs w:val="17"/>
                <w:lang w:eastAsia="zh-TW"/>
              </w:rPr>
              <w:t>[</w:t>
            </w:r>
            <w:proofErr w:type="gramEnd"/>
            <w:r w:rsidR="00700EAE" w:rsidRPr="006A6FF6">
              <w:rPr>
                <w:rFonts w:eastAsia="新細明體" w:cs="Segoe UI"/>
                <w:sz w:val="17"/>
                <w:szCs w:val="17"/>
                <w:lang w:eastAsia="zh-TW"/>
              </w:rPr>
              <w:t>CMS1:1/c]</w:t>
            </w:r>
            <w:r w:rsidR="00700EAE" w:rsidRPr="006A6FF6">
              <w:rPr>
                <w:rFonts w:eastAsia="新細明體" w:cs="Segoe UI" w:hint="eastAsia"/>
                <w:sz w:val="17"/>
                <w:szCs w:val="17"/>
                <w:lang w:eastAsia="zh-HK"/>
              </w:rPr>
              <w:t>中填報的風險加權數額的所有風險承擔</w:t>
            </w:r>
            <w:r w:rsidR="00700EAE" w:rsidRPr="006A6FF6">
              <w:rPr>
                <w:rFonts w:ascii="新細明體" w:eastAsia="新細明體" w:hAnsi="新細明體" w:cs="Segoe UI" w:hint="eastAsia"/>
                <w:sz w:val="17"/>
                <w:szCs w:val="17"/>
                <w:lang w:eastAsia="zh-HK"/>
              </w:rPr>
              <w:t>，</w:t>
            </w:r>
            <w:r w:rsidR="00C00A44" w:rsidRPr="006A6FF6">
              <w:rPr>
                <w:rFonts w:ascii="新細明體" w:eastAsia="新細明體" w:hAnsi="新細明體" w:cs="Segoe UI" w:hint="eastAsia"/>
                <w:sz w:val="17"/>
                <w:szCs w:val="17"/>
                <w:lang w:eastAsia="zh-HK"/>
              </w:rPr>
              <w:t>根</w:t>
            </w:r>
            <w:r w:rsidR="00C00A44" w:rsidRPr="006A6FF6">
              <w:rPr>
                <w:rFonts w:ascii="新細明體" w:eastAsia="新細明體" w:hAnsi="新細明體" w:cs="Segoe UI" w:hint="eastAsia"/>
                <w:sz w:val="17"/>
                <w:szCs w:val="17"/>
                <w:lang w:eastAsia="zh-TW"/>
              </w:rPr>
              <w:t>據《資本規則》第</w:t>
            </w:r>
            <w:r w:rsidR="00C00A44" w:rsidRPr="006A6FF6">
              <w:rPr>
                <w:rFonts w:eastAsia="新細明體" w:cs="Segoe UI"/>
                <w:sz w:val="17"/>
                <w:szCs w:val="17"/>
                <w:lang w:eastAsia="zh-TW"/>
              </w:rPr>
              <w:t>11</w:t>
            </w:r>
            <w:r w:rsidR="00C00A44" w:rsidRPr="006A6FF6">
              <w:rPr>
                <w:rFonts w:ascii="新細明體" w:eastAsia="新細明體" w:hAnsi="新細明體" w:cs="Segoe UI" w:hint="eastAsia"/>
                <w:sz w:val="17"/>
                <w:szCs w:val="17"/>
                <w:lang w:eastAsia="zh-TW"/>
              </w:rPr>
              <w:t>部</w:t>
            </w:r>
            <w:r w:rsidR="00C00A44" w:rsidRPr="006A6FF6">
              <w:rPr>
                <w:rFonts w:eastAsia="新細明體" w:cs="Segoe UI" w:hint="eastAsia"/>
                <w:sz w:val="17"/>
                <w:szCs w:val="17"/>
                <w:lang w:eastAsia="zh-HK"/>
              </w:rPr>
              <w:t>作為出項下限計算</w:t>
            </w:r>
            <w:r w:rsidR="00C00A44" w:rsidRPr="006A6FF6">
              <w:rPr>
                <w:rFonts w:eastAsiaTheme="minorEastAsia" w:cs="Segoe UI" w:hint="eastAsia"/>
                <w:sz w:val="17"/>
                <w:szCs w:val="17"/>
                <w:lang w:eastAsia="zh-HK"/>
              </w:rPr>
              <w:t>的</w:t>
            </w:r>
            <w:r w:rsidR="00C00A44" w:rsidRPr="006A6FF6">
              <w:rPr>
                <w:rFonts w:eastAsia="新細明體" w:cs="Segoe UI" w:hint="eastAsia"/>
                <w:sz w:val="17"/>
                <w:szCs w:val="17"/>
                <w:lang w:eastAsia="zh-HK"/>
              </w:rPr>
              <w:t>基礎</w:t>
            </w:r>
            <w:r w:rsidR="00700EAE" w:rsidRPr="006A6FF6">
              <w:rPr>
                <w:rFonts w:ascii="新細明體" w:eastAsia="新細明體" w:hAnsi="新細明體" w:cs="Segoe UI" w:hint="eastAsia"/>
                <w:sz w:val="17"/>
                <w:szCs w:val="17"/>
                <w:lang w:eastAsia="zh-HK"/>
              </w:rPr>
              <w:t>以</w:t>
            </w:r>
            <w:r w:rsidR="00700EAE" w:rsidRPr="006A6FF6">
              <w:rPr>
                <w:rFonts w:eastAsia="新細明體" w:cs="Segoe UI"/>
                <w:sz w:val="17"/>
                <w:szCs w:val="17"/>
                <w:lang w:eastAsia="zh-TW"/>
              </w:rPr>
              <w:t>[CMS1:1/b]</w:t>
            </w:r>
            <w:r w:rsidR="00700EAE" w:rsidRPr="006A6FF6">
              <w:rPr>
                <w:rFonts w:eastAsia="新細明體" w:cs="Segoe UI" w:hint="eastAsia"/>
                <w:sz w:val="17"/>
                <w:szCs w:val="17"/>
                <w:lang w:eastAsia="zh-HK"/>
              </w:rPr>
              <w:t>所述的計算法計</w:t>
            </w:r>
            <w:r w:rsidR="00700EAE" w:rsidRPr="006A6FF6">
              <w:rPr>
                <w:rFonts w:eastAsia="新細明體" w:cs="Segoe UI" w:hint="eastAsia"/>
                <w:sz w:val="17"/>
                <w:szCs w:val="17"/>
                <w:lang w:eastAsia="zh-TW"/>
              </w:rPr>
              <w:t>算</w:t>
            </w:r>
            <w:r w:rsidR="00700EAE" w:rsidRPr="006A6FF6">
              <w:rPr>
                <w:rFonts w:eastAsia="新細明體" w:cs="Segoe UI" w:hint="eastAsia"/>
                <w:sz w:val="17"/>
                <w:szCs w:val="17"/>
                <w:lang w:eastAsia="zh-HK"/>
              </w:rPr>
              <w:t>其信用風險的風險加權數額。</w:t>
            </w:r>
          </w:p>
        </w:tc>
      </w:tr>
      <w:tr w:rsidR="006A6FF6" w:rsidRPr="006A6FF6" w14:paraId="2BA8A7E7" w14:textId="77777777" w:rsidTr="00862754">
        <w:tc>
          <w:tcPr>
            <w:tcW w:w="567" w:type="dxa"/>
            <w:shd w:val="clear" w:color="auto" w:fill="auto"/>
          </w:tcPr>
          <w:p w14:paraId="097E271A"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rPr>
            </w:pPr>
            <w:r w:rsidRPr="006A6FF6">
              <w:rPr>
                <w:rFonts w:eastAsia="新細明體" w:cs="Segoe UI"/>
                <w:sz w:val="17"/>
                <w:szCs w:val="17"/>
              </w:rPr>
              <w:t>2</w:t>
            </w:r>
          </w:p>
        </w:tc>
        <w:tc>
          <w:tcPr>
            <w:tcW w:w="8647" w:type="dxa"/>
            <w:shd w:val="clear" w:color="auto" w:fill="auto"/>
          </w:tcPr>
          <w:p w14:paraId="47AEBC81" w14:textId="3CD54B6A"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hint="eastAsia"/>
                <w:i/>
                <w:sz w:val="17"/>
                <w:szCs w:val="17"/>
                <w:u w:val="single"/>
                <w:lang w:eastAsia="zh-HK"/>
              </w:rPr>
              <w:t>對手方</w:t>
            </w:r>
            <w:r w:rsidRPr="006A6FF6">
              <w:rPr>
                <w:rFonts w:eastAsia="新細明體" w:cs="Segoe UI" w:hint="eastAsia"/>
                <w:i/>
                <w:sz w:val="17"/>
                <w:szCs w:val="17"/>
                <w:u w:val="single"/>
                <w:lang w:val="en-US" w:eastAsia="zh-HK"/>
              </w:rPr>
              <w:t>信用</w:t>
            </w:r>
            <w:r w:rsidRPr="006A6FF6">
              <w:rPr>
                <w:rFonts w:eastAsia="新細明體" w:cs="Segoe UI" w:hint="eastAsia"/>
                <w:i/>
                <w:sz w:val="17"/>
                <w:szCs w:val="17"/>
                <w:u w:val="single"/>
                <w:lang w:eastAsia="zh-HK"/>
              </w:rPr>
              <w:t>風險及違責基金承擔</w:t>
            </w:r>
            <w:r w:rsidRPr="006A6FF6">
              <w:rPr>
                <w:rFonts w:eastAsia="新細明體" w:cs="Segoe UI"/>
                <w:sz w:val="17"/>
                <w:szCs w:val="17"/>
                <w:lang w:eastAsia="zh-TW"/>
              </w:rPr>
              <w:t xml:space="preserve"> </w:t>
            </w:r>
          </w:p>
          <w:p w14:paraId="15827336" w14:textId="128CDE48"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hint="eastAsia"/>
                <w:sz w:val="17"/>
                <w:szCs w:val="17"/>
                <w:lang w:eastAsia="zh-HK"/>
              </w:rPr>
              <w:t>本行不包括須</w:t>
            </w:r>
            <w:r w:rsidR="00221F0F" w:rsidRPr="006A6FF6">
              <w:rPr>
                <w:rFonts w:eastAsia="新細明體" w:cs="Segoe UI" w:hint="eastAsia"/>
                <w:sz w:val="17"/>
                <w:szCs w:val="17"/>
                <w:lang w:eastAsia="zh-HK"/>
              </w:rPr>
              <w:t>遵</w:t>
            </w:r>
            <w:r w:rsidR="00221F0F" w:rsidRPr="006A6FF6">
              <w:rPr>
                <w:rFonts w:eastAsia="新細明體" w:cs="Segoe UI" w:hint="eastAsia"/>
                <w:sz w:val="17"/>
                <w:szCs w:val="17"/>
                <w:lang w:eastAsia="zh-TW"/>
              </w:rPr>
              <w:t>守</w:t>
            </w:r>
            <w:r w:rsidRPr="006A6FF6">
              <w:rPr>
                <w:rFonts w:eastAsia="新細明體" w:cs="Segoe UI" w:hint="eastAsia"/>
                <w:sz w:val="17"/>
                <w:szCs w:val="17"/>
                <w:lang w:eastAsia="zh-TW"/>
              </w:rPr>
              <w:t>CVA</w:t>
            </w:r>
            <w:r w:rsidRPr="006A6FF6">
              <w:rPr>
                <w:rFonts w:eastAsia="新細明體" w:cs="Segoe UI" w:hint="eastAsia"/>
                <w:sz w:val="17"/>
                <w:szCs w:val="17"/>
                <w:lang w:eastAsia="zh-HK"/>
              </w:rPr>
              <w:t>風險相關資本規定的所有持倉</w:t>
            </w:r>
            <w:r w:rsidRPr="006A6FF6">
              <w:rPr>
                <w:rFonts w:eastAsia="新細明體" w:cs="Segoe UI" w:hint="eastAsia"/>
                <w:sz w:val="17"/>
                <w:szCs w:val="17"/>
                <w:lang w:eastAsia="zh-TW"/>
              </w:rPr>
              <w:t>。</w:t>
            </w:r>
          </w:p>
          <w:p w14:paraId="488AA9FF"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i/>
                <w:sz w:val="17"/>
                <w:szCs w:val="17"/>
                <w:lang w:eastAsia="zh-TW"/>
              </w:rPr>
            </w:pPr>
          </w:p>
          <w:p w14:paraId="1A142318" w14:textId="2EB2F8E3" w:rsidR="00114D52"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[CMS1:2/b]</w:t>
            </w:r>
            <w:r w:rsidR="00221F0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w:t>
            </w:r>
            <w:r w:rsidR="00D34ED8" w:rsidRPr="006A6FF6">
              <w:rPr>
                <w:rFonts w:eastAsia="新細明體" w:cs="Segoe UI" w:hint="eastAsia"/>
                <w:i/>
                <w:sz w:val="17"/>
                <w:szCs w:val="17"/>
                <w:lang w:eastAsia="zh-HK"/>
              </w:rPr>
              <w:t>採</w:t>
            </w:r>
            <w:r w:rsidRPr="006A6FF6">
              <w:rPr>
                <w:rFonts w:eastAsia="新細明體" w:cs="Segoe UI" w:hint="eastAsia"/>
                <w:i/>
                <w:sz w:val="17"/>
                <w:szCs w:val="17"/>
                <w:lang w:eastAsia="zh-TW"/>
              </w:rPr>
              <w:t>用標準計算法的組合的風險加權數額</w:t>
            </w:r>
            <w:r w:rsidRPr="006A6FF6">
              <w:rPr>
                <w:rFonts w:eastAsia="新細明體" w:cs="Segoe UI"/>
                <w:sz w:val="17"/>
                <w:szCs w:val="17"/>
                <w:lang w:eastAsia="zh-TW"/>
              </w:rPr>
              <w:t>：</w:t>
            </w:r>
            <w:r w:rsidR="00481347">
              <w:rPr>
                <w:rFonts w:eastAsia="新細明體" w:cs="Segoe UI" w:hint="eastAsia"/>
                <w:sz w:val="17"/>
                <w:szCs w:val="17"/>
                <w:lang w:eastAsia="zh-HK"/>
              </w:rPr>
              <w:t>使</w:t>
            </w:r>
            <w:r w:rsidR="00C81E9D">
              <w:rPr>
                <w:rFonts w:eastAsia="新細明體" w:cs="Segoe UI" w:hint="eastAsia"/>
                <w:sz w:val="17"/>
                <w:szCs w:val="17"/>
                <w:lang w:eastAsia="zh-HK"/>
              </w:rPr>
              <w:t>用</w:t>
            </w:r>
            <w:r w:rsidR="003B795E">
              <w:rPr>
                <w:rFonts w:eastAsia="新細明體" w:cs="Segoe UI" w:hint="eastAsia"/>
                <w:sz w:val="17"/>
                <w:szCs w:val="17"/>
                <w:lang w:eastAsia="zh-HK"/>
              </w:rPr>
              <w:t>以下方法計算</w:t>
            </w:r>
            <w:r w:rsidR="00CA5528" w:rsidRPr="00685C77">
              <w:rPr>
                <w:rFonts w:eastAsia="新細明體" w:cs="Segoe UI" w:hint="eastAsia"/>
                <w:sz w:val="17"/>
                <w:szCs w:val="17"/>
                <w:lang w:eastAsia="zh-HK"/>
              </w:rPr>
              <w:t>違責風險的風險承擔</w:t>
            </w:r>
            <w:r w:rsidR="001A59DD" w:rsidRPr="00685C77">
              <w:rPr>
                <w:rFonts w:eastAsia="新細明體" w:cs="Segoe UI" w:hint="eastAsia"/>
                <w:sz w:val="17"/>
                <w:szCs w:val="17"/>
                <w:lang w:eastAsia="zh-HK"/>
              </w:rPr>
              <w:t>的風險加權數額</w:t>
            </w:r>
            <w:r w:rsidR="00481347">
              <w:rPr>
                <w:rFonts w:eastAsia="新細明體" w:cs="Segoe UI" w:hint="eastAsia"/>
                <w:sz w:val="17"/>
                <w:szCs w:val="17"/>
                <w:lang w:eastAsia="zh-HK"/>
              </w:rPr>
              <w:t>：</w:t>
            </w:r>
          </w:p>
          <w:p w14:paraId="40FD4A56" w14:textId="1CAF1875" w:rsidR="00481347" w:rsidRDefault="00A02F15" w:rsidP="00634D9A">
            <w:pPr>
              <w:pStyle w:val="ListParagraph"/>
              <w:keepLines/>
              <w:numPr>
                <w:ilvl w:val="0"/>
                <w:numId w:val="65"/>
              </w:numPr>
              <w:tabs>
                <w:tab w:val="left" w:pos="493"/>
                <w:tab w:val="left" w:pos="1191"/>
              </w:tabs>
              <w:spacing w:before="40" w:after="40"/>
              <w:ind w:leftChars="0" w:left="489" w:hanging="489"/>
              <w:jc w:val="both"/>
              <w:rPr>
                <w:rFonts w:eastAsia="新細明體" w:cs="Segoe UI"/>
                <w:sz w:val="17"/>
                <w:szCs w:val="17"/>
                <w:lang w:eastAsia="zh-TW"/>
              </w:rPr>
            </w:pPr>
            <w:r w:rsidRPr="00E5600A">
              <w:rPr>
                <w:rFonts w:eastAsia="新細明體" w:cs="Segoe UI"/>
                <w:sz w:val="17"/>
                <w:szCs w:val="17"/>
                <w:lang w:eastAsia="zh-TW"/>
              </w:rPr>
              <w:t>SA-CCR</w:t>
            </w:r>
            <w:r w:rsidRPr="00E5600A">
              <w:rPr>
                <w:rFonts w:eastAsia="新細明體" w:cs="Segoe UI" w:hint="eastAsia"/>
                <w:sz w:val="17"/>
                <w:szCs w:val="17"/>
                <w:lang w:eastAsia="zh-HK"/>
              </w:rPr>
              <w:t>計算法或</w:t>
            </w:r>
            <w:r w:rsidR="00F5495F" w:rsidRPr="00481347">
              <w:rPr>
                <w:rFonts w:eastAsia="新細明體" w:cs="Segoe UI" w:hint="eastAsia"/>
                <w:sz w:val="17"/>
                <w:szCs w:val="17"/>
                <w:lang w:eastAsia="zh-TW"/>
              </w:rPr>
              <w:t>《資本規則》第</w:t>
            </w:r>
            <w:r w:rsidR="00F5495F" w:rsidRPr="00481347">
              <w:rPr>
                <w:rFonts w:eastAsia="新細明體" w:cs="Segoe UI"/>
                <w:sz w:val="17"/>
                <w:szCs w:val="17"/>
                <w:lang w:eastAsia="zh-TW"/>
              </w:rPr>
              <w:t>377</w:t>
            </w:r>
            <w:r w:rsidR="00F5495F" w:rsidRPr="00481347">
              <w:rPr>
                <w:rFonts w:eastAsia="新細明體" w:cs="Segoe UI" w:hint="eastAsia"/>
                <w:sz w:val="17"/>
                <w:szCs w:val="17"/>
                <w:lang w:eastAsia="zh-TW"/>
              </w:rPr>
              <w:t>條</w:t>
            </w:r>
            <w:r w:rsidR="00246932">
              <w:rPr>
                <w:rFonts w:eastAsia="新細明體" w:cs="Segoe UI" w:hint="eastAsia"/>
                <w:sz w:val="17"/>
                <w:szCs w:val="17"/>
                <w:lang w:eastAsia="zh-HK"/>
              </w:rPr>
              <w:t>就</w:t>
            </w:r>
            <w:r w:rsidR="00481347" w:rsidRPr="00481347">
              <w:rPr>
                <w:rFonts w:eastAsia="新細明體" w:cs="Segoe UI" w:hint="eastAsia"/>
                <w:sz w:val="17"/>
                <w:szCs w:val="17"/>
                <w:lang w:eastAsia="zh-TW"/>
              </w:rPr>
              <w:t>第</w:t>
            </w:r>
            <w:r w:rsidR="00481347" w:rsidRPr="00481347">
              <w:rPr>
                <w:rFonts w:eastAsia="新細明體" w:cs="Segoe UI"/>
                <w:sz w:val="17"/>
                <w:szCs w:val="17"/>
                <w:lang w:eastAsia="zh-TW"/>
              </w:rPr>
              <w:t>2b</w:t>
            </w:r>
            <w:r w:rsidR="00246932">
              <w:rPr>
                <w:rFonts w:eastAsia="新細明體" w:cs="Segoe UI" w:hint="eastAsia"/>
                <w:sz w:val="17"/>
                <w:szCs w:val="17"/>
                <w:lang w:eastAsia="zh-HK"/>
              </w:rPr>
              <w:t>組</w:t>
            </w:r>
            <w:r w:rsidR="00246932">
              <w:rPr>
                <w:rFonts w:eastAsia="新細明體" w:cs="Segoe UI" w:hint="eastAsia"/>
                <w:sz w:val="17"/>
                <w:szCs w:val="17"/>
                <w:lang w:eastAsia="zh-TW"/>
              </w:rPr>
              <w:t>加密資產衍生工具合約</w:t>
            </w:r>
            <w:r w:rsidR="00F5495F" w:rsidRPr="00481347">
              <w:rPr>
                <w:rFonts w:eastAsia="新細明體" w:cs="Segoe UI" w:hint="eastAsia"/>
                <w:sz w:val="17"/>
                <w:szCs w:val="17"/>
                <w:lang w:eastAsia="zh-TW"/>
              </w:rPr>
              <w:t>所</w:t>
            </w:r>
            <w:r w:rsidR="008B2804" w:rsidRPr="00E5600A">
              <w:rPr>
                <w:rFonts w:eastAsia="新細明體" w:cs="Segoe UI" w:hint="eastAsia"/>
                <w:sz w:val="17"/>
                <w:szCs w:val="17"/>
                <w:lang w:eastAsia="zh-HK"/>
              </w:rPr>
              <w:t>載</w:t>
            </w:r>
            <w:r w:rsidR="00481347" w:rsidRPr="00481347">
              <w:rPr>
                <w:rFonts w:eastAsia="新細明體" w:cs="Segoe UI" w:hint="eastAsia"/>
                <w:sz w:val="17"/>
                <w:szCs w:val="17"/>
                <w:lang w:eastAsia="zh-TW"/>
              </w:rPr>
              <w:t>的方法</w:t>
            </w:r>
            <w:r w:rsidR="00881C31">
              <w:rPr>
                <w:rFonts w:eastAsia="新細明體" w:cs="Segoe UI" w:hint="eastAsia"/>
                <w:sz w:val="17"/>
                <w:szCs w:val="17"/>
                <w:lang w:eastAsia="zh-TW"/>
              </w:rPr>
              <w:t>；</w:t>
            </w:r>
          </w:p>
          <w:p w14:paraId="6D811DD9" w14:textId="76D69288" w:rsidR="00F22A0F" w:rsidRPr="006C07A4" w:rsidRDefault="00A02F15" w:rsidP="00ED4F18">
            <w:pPr>
              <w:pStyle w:val="ListParagraph"/>
              <w:keepLines/>
              <w:numPr>
                <w:ilvl w:val="0"/>
                <w:numId w:val="65"/>
              </w:numPr>
              <w:tabs>
                <w:tab w:val="left" w:pos="150"/>
                <w:tab w:val="left" w:pos="489"/>
                <w:tab w:val="left" w:pos="794"/>
                <w:tab w:val="left" w:pos="1191"/>
              </w:tabs>
              <w:spacing w:before="40" w:after="40"/>
              <w:ind w:leftChars="0" w:left="489" w:hanging="425"/>
              <w:jc w:val="both"/>
              <w:rPr>
                <w:rFonts w:eastAsiaTheme="minorEastAsia" w:cs="Segoe UI"/>
                <w:sz w:val="17"/>
                <w:szCs w:val="17"/>
                <w:lang w:eastAsia="zh-TW"/>
              </w:rPr>
            </w:pPr>
            <w:r w:rsidRPr="006C07A4">
              <w:rPr>
                <w:rFonts w:eastAsiaTheme="minorEastAsia" w:cs="Segoe UI"/>
                <w:sz w:val="17"/>
                <w:szCs w:val="17"/>
                <w:lang w:eastAsia="zh-TW"/>
              </w:rPr>
              <w:t>《</w:t>
            </w:r>
            <w:r w:rsidRPr="006C07A4">
              <w:rPr>
                <w:rFonts w:eastAsiaTheme="minorEastAsia" w:cs="Segoe UI"/>
                <w:sz w:val="17"/>
                <w:szCs w:val="17"/>
                <w:lang w:eastAsia="zh-HK"/>
              </w:rPr>
              <w:t>資本規則</w:t>
            </w:r>
            <w:r w:rsidRPr="006C07A4">
              <w:rPr>
                <w:rFonts w:eastAsiaTheme="minorEastAsia" w:cs="Segoe UI"/>
                <w:sz w:val="17"/>
                <w:szCs w:val="17"/>
                <w:lang w:val="en-US" w:eastAsia="zh-TW"/>
              </w:rPr>
              <w:t>》</w:t>
            </w:r>
            <w:r w:rsidRPr="006C07A4">
              <w:rPr>
                <w:rFonts w:eastAsiaTheme="minorEastAsia" w:cs="Segoe UI"/>
                <w:sz w:val="17"/>
                <w:szCs w:val="17"/>
                <w:lang w:eastAsia="zh-TW"/>
              </w:rPr>
              <w:t>第</w:t>
            </w:r>
            <w:r w:rsidRPr="006C07A4">
              <w:rPr>
                <w:rFonts w:eastAsiaTheme="minorEastAsia" w:cs="Segoe UI"/>
                <w:sz w:val="17"/>
                <w:szCs w:val="17"/>
                <w:lang w:eastAsia="zh-TW"/>
              </w:rPr>
              <w:t>6A</w:t>
            </w:r>
            <w:r w:rsidRPr="006C07A4">
              <w:rPr>
                <w:rFonts w:eastAsiaTheme="minorEastAsia" w:cs="Segoe UI"/>
                <w:sz w:val="17"/>
                <w:szCs w:val="17"/>
                <w:lang w:eastAsia="zh-HK"/>
              </w:rPr>
              <w:t>部第</w:t>
            </w:r>
            <w:r w:rsidRPr="006C07A4">
              <w:rPr>
                <w:rFonts w:eastAsiaTheme="minorEastAsia" w:cs="Segoe UI"/>
                <w:sz w:val="17"/>
                <w:szCs w:val="17"/>
                <w:lang w:eastAsia="zh-TW"/>
              </w:rPr>
              <w:t>2B</w:t>
            </w:r>
            <w:r w:rsidRPr="006C07A4">
              <w:rPr>
                <w:rFonts w:eastAsiaTheme="minorEastAsia" w:cs="Segoe UI"/>
                <w:sz w:val="17"/>
                <w:szCs w:val="17"/>
                <w:lang w:eastAsia="zh-HK"/>
              </w:rPr>
              <w:t>分部所</w:t>
            </w:r>
            <w:r w:rsidRPr="006C07A4" w:rsidDel="001C5687">
              <w:rPr>
                <w:rFonts w:eastAsiaTheme="minorEastAsia" w:cs="Segoe UI"/>
                <w:sz w:val="17"/>
                <w:szCs w:val="17"/>
                <w:lang w:eastAsia="zh-HK"/>
              </w:rPr>
              <w:t>載</w:t>
            </w:r>
            <w:r w:rsidRPr="006C07A4">
              <w:rPr>
                <w:rFonts w:eastAsiaTheme="minorEastAsia" w:cs="Segoe UI"/>
                <w:sz w:val="17"/>
                <w:szCs w:val="17"/>
                <w:lang w:eastAsia="zh-HK"/>
              </w:rPr>
              <w:t>的方法</w:t>
            </w:r>
            <w:r w:rsidRPr="006C07A4">
              <w:rPr>
                <w:rFonts w:eastAsiaTheme="minorEastAsia" w:cs="Segoe UI"/>
                <w:sz w:val="17"/>
                <w:lang w:eastAsia="zh-HK"/>
              </w:rPr>
              <w:t>（</w:t>
            </w:r>
            <w:r w:rsidRPr="006C07A4">
              <w:rPr>
                <w:rFonts w:eastAsiaTheme="minorEastAsia" w:cs="Segoe UI"/>
                <w:sz w:val="17"/>
                <w:szCs w:val="17"/>
                <w:lang w:eastAsia="zh-HK"/>
              </w:rPr>
              <w:t>不包括使用風險值模式</w:t>
            </w:r>
            <w:r w:rsidRPr="006C07A4">
              <w:rPr>
                <w:rFonts w:eastAsiaTheme="minorEastAsia" w:cs="Segoe UI"/>
                <w:sz w:val="17"/>
                <w:szCs w:val="17"/>
                <w:lang w:eastAsia="zh-TW"/>
              </w:rPr>
              <w:t>），</w:t>
            </w:r>
            <w:r w:rsidR="00565099" w:rsidRPr="006C07A4">
              <w:rPr>
                <w:rFonts w:eastAsiaTheme="minorEastAsia" w:cs="Segoe UI"/>
                <w:sz w:val="17"/>
                <w:szCs w:val="17"/>
                <w:lang w:eastAsia="zh-HK"/>
              </w:rPr>
              <w:t>並</w:t>
            </w:r>
            <w:r w:rsidR="00751815" w:rsidRPr="006C07A4">
              <w:rPr>
                <w:rFonts w:eastAsiaTheme="minorEastAsia" w:cs="Segoe UI"/>
                <w:sz w:val="17"/>
                <w:szCs w:val="17"/>
                <w:lang w:eastAsia="zh-HK"/>
              </w:rPr>
              <w:t>須</w:t>
            </w:r>
            <w:r w:rsidR="00565099" w:rsidRPr="006C07A4">
              <w:rPr>
                <w:rFonts w:eastAsiaTheme="minorEastAsia" w:cs="Segoe UI"/>
                <w:sz w:val="17"/>
                <w:szCs w:val="17"/>
                <w:lang w:eastAsia="zh-HK"/>
              </w:rPr>
              <w:t>受</w:t>
            </w:r>
            <w:r w:rsidR="00565099" w:rsidRPr="006C07A4">
              <w:rPr>
                <w:rFonts w:eastAsiaTheme="minorEastAsia" w:cs="Segoe UI"/>
                <w:sz w:val="17"/>
                <w:szCs w:val="17"/>
                <w:lang w:eastAsia="zh-TW"/>
              </w:rPr>
              <w:t>《資本規則》第</w:t>
            </w:r>
            <w:r w:rsidR="00565099" w:rsidRPr="006C07A4">
              <w:rPr>
                <w:rFonts w:eastAsiaTheme="minorEastAsia" w:cs="Segoe UI"/>
                <w:sz w:val="17"/>
                <w:szCs w:val="17"/>
                <w:lang w:eastAsia="zh-TW"/>
              </w:rPr>
              <w:t>378</w:t>
            </w:r>
            <w:r w:rsidR="00565099" w:rsidRPr="006C07A4">
              <w:rPr>
                <w:rFonts w:eastAsiaTheme="minorEastAsia" w:cs="Segoe UI"/>
                <w:color w:val="000000"/>
                <w:sz w:val="17"/>
                <w:szCs w:val="17"/>
                <w:lang w:eastAsia="zh-TW"/>
              </w:rPr>
              <w:t>條</w:t>
            </w:r>
            <w:r w:rsidR="00565099" w:rsidRPr="006C07A4">
              <w:rPr>
                <w:rFonts w:eastAsiaTheme="minorEastAsia" w:cs="Segoe UI"/>
                <w:sz w:val="17"/>
                <w:szCs w:val="17"/>
                <w:lang w:eastAsia="zh-TW"/>
              </w:rPr>
              <w:t>所</w:t>
            </w:r>
            <w:r w:rsidR="00565099" w:rsidRPr="006C07A4">
              <w:rPr>
                <w:rFonts w:eastAsiaTheme="minorEastAsia" w:cs="Segoe UI"/>
                <w:sz w:val="17"/>
                <w:szCs w:val="17"/>
                <w:lang w:eastAsia="zh-HK"/>
              </w:rPr>
              <w:t>載變通所</w:t>
            </w:r>
            <w:proofErr w:type="gramStart"/>
            <w:r w:rsidR="00565099" w:rsidRPr="006C07A4">
              <w:rPr>
                <w:rFonts w:eastAsiaTheme="minorEastAsia" w:cs="Segoe UI"/>
                <w:sz w:val="17"/>
                <w:szCs w:val="17"/>
                <w:lang w:eastAsia="zh-HK"/>
              </w:rPr>
              <w:t>規</w:t>
            </w:r>
            <w:proofErr w:type="gramEnd"/>
            <w:r w:rsidR="00565099" w:rsidRPr="006C07A4">
              <w:rPr>
                <w:rFonts w:eastAsiaTheme="minorEastAsia" w:cs="Segoe UI"/>
                <w:sz w:val="17"/>
                <w:szCs w:val="17"/>
                <w:lang w:eastAsia="zh-HK"/>
              </w:rPr>
              <w:t>限</w:t>
            </w:r>
            <w:r w:rsidR="00630B3B" w:rsidRPr="006C07A4">
              <w:rPr>
                <w:rFonts w:eastAsiaTheme="minorEastAsia" w:cs="Segoe UI"/>
                <w:sz w:val="17"/>
                <w:szCs w:val="17"/>
                <w:lang w:eastAsia="zh-TW"/>
              </w:rPr>
              <w:t>（</w:t>
            </w:r>
            <w:r w:rsidR="00630B3B" w:rsidRPr="006C07A4">
              <w:rPr>
                <w:rFonts w:eastAsiaTheme="minorEastAsia" w:cs="Segoe UI"/>
                <w:sz w:val="17"/>
                <w:szCs w:val="17"/>
                <w:lang w:eastAsia="zh-HK"/>
              </w:rPr>
              <w:t>如適用</w:t>
            </w:r>
            <w:r w:rsidR="00700805" w:rsidRPr="006C07A4">
              <w:rPr>
                <w:rFonts w:eastAsiaTheme="minorEastAsia" w:cs="Segoe UI"/>
                <w:sz w:val="17"/>
                <w:szCs w:val="17"/>
                <w:lang w:eastAsia="zh-TW"/>
              </w:rPr>
              <w:t>）</w:t>
            </w:r>
            <w:r w:rsidR="00931341" w:rsidRPr="006C07A4">
              <w:rPr>
                <w:rFonts w:eastAsiaTheme="minorEastAsia" w:cs="Segoe UI"/>
                <w:sz w:val="17"/>
                <w:szCs w:val="17"/>
                <w:lang w:eastAsia="zh-TW"/>
              </w:rPr>
              <w:t>；</w:t>
            </w:r>
            <w:r w:rsidR="00A15DBA" w:rsidRPr="006C07A4">
              <w:rPr>
                <w:rFonts w:eastAsiaTheme="minorEastAsia" w:cs="Segoe UI"/>
                <w:sz w:val="17"/>
                <w:szCs w:val="17"/>
                <w:lang w:eastAsia="zh-HK"/>
              </w:rPr>
              <w:t>或</w:t>
            </w:r>
          </w:p>
          <w:p w14:paraId="51B63075" w14:textId="72B74600" w:rsidR="00F22A0F" w:rsidRDefault="00A02F15" w:rsidP="00ED4F18">
            <w:pPr>
              <w:pStyle w:val="ListParagraph"/>
              <w:keepLines/>
              <w:numPr>
                <w:ilvl w:val="0"/>
                <w:numId w:val="65"/>
              </w:numPr>
              <w:tabs>
                <w:tab w:val="left" w:pos="150"/>
                <w:tab w:val="left" w:pos="489"/>
              </w:tabs>
              <w:spacing w:before="40" w:after="40"/>
              <w:ind w:leftChars="0" w:left="489" w:hanging="425"/>
              <w:jc w:val="both"/>
              <w:rPr>
                <w:rFonts w:eastAsia="新細明體" w:cs="Segoe UI"/>
                <w:sz w:val="17"/>
                <w:szCs w:val="17"/>
                <w:lang w:eastAsia="zh-TW"/>
              </w:rPr>
            </w:pPr>
            <w:r w:rsidRPr="00AA4088">
              <w:rPr>
                <w:rFonts w:ascii="新細明體" w:eastAsia="新細明體" w:hAnsi="新細明體" w:cs="Segoe UI" w:hint="eastAsia"/>
                <w:sz w:val="17"/>
                <w:szCs w:val="17"/>
                <w:lang w:eastAsia="zh-HK"/>
              </w:rPr>
              <w:t>就</w:t>
            </w:r>
            <w:r w:rsidRPr="00AA4088">
              <w:rPr>
                <w:rFonts w:eastAsia="新細明體" w:cs="Segoe UI" w:hint="eastAsia"/>
                <w:sz w:val="17"/>
                <w:szCs w:val="17"/>
                <w:lang w:eastAsia="zh-HK"/>
              </w:rPr>
              <w:t>使用</w:t>
            </w:r>
            <w:r w:rsidRPr="00AA4088">
              <w:rPr>
                <w:rFonts w:eastAsia="新細明體" w:cs="Segoe UI"/>
                <w:sz w:val="17"/>
                <w:szCs w:val="17"/>
                <w:lang w:eastAsia="zh-TW"/>
              </w:rPr>
              <w:t>BSC</w:t>
            </w:r>
            <w:r w:rsidRPr="00AA4088">
              <w:rPr>
                <w:rFonts w:eastAsia="新細明體" w:cs="Segoe UI" w:hint="eastAsia"/>
                <w:sz w:val="17"/>
                <w:szCs w:val="17"/>
                <w:lang w:eastAsia="zh-HK"/>
              </w:rPr>
              <w:t>計算法計算其所有非證券化類別風險承擔的信用風險的認可機構</w:t>
            </w:r>
            <w:r w:rsidR="00E07ACB">
              <w:rPr>
                <w:rFonts w:ascii="新細明體" w:eastAsia="新細明體" w:hAnsi="新細明體" w:cs="Segoe UI" w:hint="eastAsia"/>
                <w:sz w:val="17"/>
                <w:szCs w:val="17"/>
                <w:lang w:eastAsia="zh-HK"/>
              </w:rPr>
              <w:t>，</w:t>
            </w:r>
            <w:r w:rsidR="000A248B">
              <w:rPr>
                <w:rFonts w:eastAsia="新細明體" w:cs="Segoe UI" w:hint="eastAsia"/>
                <w:sz w:val="17"/>
                <w:szCs w:val="17"/>
                <w:lang w:eastAsia="zh-HK"/>
              </w:rPr>
              <w:t>如</w:t>
            </w:r>
            <w:r w:rsidR="008B2804" w:rsidRPr="00AA4088">
              <w:rPr>
                <w:rFonts w:eastAsia="新細明體" w:cs="Segoe UI" w:hint="eastAsia"/>
                <w:sz w:val="17"/>
                <w:szCs w:val="17"/>
                <w:lang w:eastAsia="zh-HK"/>
              </w:rPr>
              <w:t>該</w:t>
            </w:r>
            <w:r w:rsidR="000A248B">
              <w:rPr>
                <w:rFonts w:eastAsia="新細明體" w:cs="Segoe UI" w:hint="eastAsia"/>
                <w:sz w:val="17"/>
                <w:szCs w:val="17"/>
                <w:lang w:eastAsia="zh-HK"/>
              </w:rPr>
              <w:t>認可機構已選</w:t>
            </w:r>
            <w:r w:rsidR="000A248B">
              <w:rPr>
                <w:rFonts w:eastAsia="新細明體" w:cs="Segoe UI" w:hint="eastAsia"/>
                <w:sz w:val="17"/>
                <w:szCs w:val="17"/>
                <w:lang w:eastAsia="zh-TW"/>
              </w:rPr>
              <w:t>擇</w:t>
            </w:r>
            <w:r w:rsidR="00094703" w:rsidRPr="00AA4088">
              <w:rPr>
                <w:rFonts w:eastAsia="新細明體" w:cs="Segoe UI" w:hint="eastAsia"/>
                <w:sz w:val="17"/>
                <w:szCs w:val="17"/>
                <w:lang w:eastAsia="zh-TW"/>
              </w:rPr>
              <w:t>以</w:t>
            </w:r>
            <w:r w:rsidRPr="004E018B">
              <w:rPr>
                <w:rFonts w:eastAsia="新細明體" w:cs="Segoe UI" w:hint="eastAsia"/>
                <w:sz w:val="17"/>
                <w:szCs w:val="17"/>
                <w:lang w:eastAsia="zh-HK"/>
              </w:rPr>
              <w:t>現行風險承擔方法計算</w:t>
            </w:r>
            <w:r w:rsidR="00094703" w:rsidRPr="00AA4088">
              <w:rPr>
                <w:rFonts w:eastAsia="新細明體" w:cs="Segoe UI" w:hint="eastAsia"/>
                <w:sz w:val="17"/>
                <w:szCs w:val="17"/>
                <w:lang w:eastAsia="zh-HK"/>
              </w:rPr>
              <w:t>其</w:t>
            </w:r>
            <w:r w:rsidRPr="00DD4D0D">
              <w:rPr>
                <w:rFonts w:eastAsia="新細明體" w:cs="Segoe UI" w:hint="eastAsia"/>
                <w:sz w:val="17"/>
                <w:szCs w:val="17"/>
                <w:lang w:eastAsia="zh-HK"/>
              </w:rPr>
              <w:t>違責風險的風險承擔</w:t>
            </w:r>
            <w:r w:rsidR="000A248B">
              <w:rPr>
                <w:rFonts w:eastAsia="新細明體" w:cs="Segoe UI" w:hint="eastAsia"/>
                <w:sz w:val="17"/>
                <w:szCs w:val="17"/>
                <w:lang w:eastAsia="zh-HK"/>
              </w:rPr>
              <w:t>，</w:t>
            </w:r>
            <w:r w:rsidR="008B2804" w:rsidRPr="00AA4088">
              <w:rPr>
                <w:rFonts w:eastAsia="新細明體" w:cs="Segoe UI" w:hint="eastAsia"/>
                <w:sz w:val="17"/>
                <w:szCs w:val="17"/>
                <w:lang w:eastAsia="zh-HK"/>
              </w:rPr>
              <w:t>則使用</w:t>
            </w:r>
            <w:r w:rsidR="000A248B">
              <w:rPr>
                <w:rFonts w:eastAsia="新細明體" w:cs="Segoe UI" w:hint="eastAsia"/>
                <w:sz w:val="17"/>
                <w:szCs w:val="17"/>
                <w:lang w:eastAsia="zh-HK"/>
              </w:rPr>
              <w:t>該方法</w:t>
            </w:r>
            <w:r w:rsidRPr="00DD4D0D">
              <w:rPr>
                <w:rFonts w:eastAsia="新細明體" w:cs="Segoe UI" w:hint="eastAsia"/>
                <w:sz w:val="17"/>
                <w:szCs w:val="17"/>
                <w:lang w:eastAsia="zh-TW"/>
              </w:rPr>
              <w:t>。</w:t>
            </w:r>
          </w:p>
          <w:p w14:paraId="0AA86B24" w14:textId="15BB68F5" w:rsidR="00190D67" w:rsidRPr="004E018B" w:rsidRDefault="00A02F15" w:rsidP="00F22A0F">
            <w:pPr>
              <w:keepLines/>
              <w:tabs>
                <w:tab w:val="left" w:pos="150"/>
                <w:tab w:val="left" w:pos="397"/>
                <w:tab w:val="left" w:pos="794"/>
                <w:tab w:val="left" w:pos="1191"/>
              </w:tabs>
              <w:spacing w:before="40" w:after="40"/>
              <w:jc w:val="both"/>
              <w:rPr>
                <w:rFonts w:eastAsia="新細明體" w:cs="Segoe UI"/>
                <w:sz w:val="17"/>
                <w:szCs w:val="17"/>
                <w:lang w:eastAsia="zh-TW"/>
              </w:rPr>
            </w:pPr>
            <w:r w:rsidRPr="004E018B">
              <w:rPr>
                <w:rFonts w:eastAsia="新細明體" w:cs="Segoe UI" w:hint="eastAsia"/>
                <w:sz w:val="17"/>
                <w:szCs w:val="17"/>
                <w:lang w:eastAsia="zh-HK"/>
              </w:rPr>
              <w:t>填報的風險加權數額亦應涵蓋違責基金承擔的風險加權數額</w:t>
            </w:r>
            <w:r w:rsidRPr="004E018B">
              <w:rPr>
                <w:rFonts w:eastAsia="新細明體" w:cs="Segoe UI" w:hint="eastAsia"/>
                <w:sz w:val="17"/>
                <w:szCs w:val="17"/>
                <w:lang w:eastAsia="zh-TW"/>
              </w:rPr>
              <w:t>。</w:t>
            </w:r>
          </w:p>
          <w:p w14:paraId="7A22ECD6"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28E4C6C1" w14:textId="01EB991C"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rPr>
            </w:pPr>
            <w:r w:rsidRPr="006A6FF6">
              <w:rPr>
                <w:rFonts w:eastAsia="新細明體" w:cs="Segoe UI"/>
                <w:i/>
                <w:sz w:val="17"/>
                <w:szCs w:val="17"/>
                <w:lang w:eastAsia="zh-TW"/>
              </w:rPr>
              <w:t xml:space="preserve">[CMS1:2/c] </w:t>
            </w:r>
            <w:r w:rsidRPr="006A6FF6">
              <w:rPr>
                <w:rFonts w:eastAsia="新細明體" w:cs="Segoe UI" w:hint="eastAsia"/>
                <w:i/>
                <w:sz w:val="17"/>
                <w:szCs w:val="17"/>
                <w:lang w:eastAsia="zh-HK"/>
              </w:rPr>
              <w:t>即總實際風險加權</w:t>
            </w:r>
            <w:r w:rsidR="003D6EDF" w:rsidRPr="006A6FF6">
              <w:rPr>
                <w:rFonts w:eastAsia="新細明體" w:cs="Segoe UI" w:hint="eastAsia"/>
                <w:i/>
                <w:sz w:val="17"/>
                <w:szCs w:val="17"/>
                <w:lang w:eastAsia="zh-TW"/>
              </w:rPr>
              <w:t>數</w:t>
            </w:r>
            <w:r w:rsidRPr="006A6FF6">
              <w:rPr>
                <w:rFonts w:eastAsia="新細明體" w:cs="Segoe UI" w:hint="eastAsia"/>
                <w:i/>
                <w:sz w:val="17"/>
                <w:szCs w:val="17"/>
                <w:lang w:eastAsia="zh-HK"/>
              </w:rPr>
              <w:t>額</w:t>
            </w:r>
            <w:r w:rsidRPr="006A6FF6">
              <w:rPr>
                <w:rFonts w:eastAsia="新細明體" w:cs="Segoe UI"/>
                <w:sz w:val="17"/>
                <w:szCs w:val="17"/>
                <w:lang w:eastAsia="zh-TW"/>
              </w:rPr>
              <w:t>：</w:t>
            </w:r>
            <w:proofErr w:type="gramStart"/>
            <w:r w:rsidRPr="006A6FF6">
              <w:rPr>
                <w:rFonts w:eastAsia="新細明體" w:cs="Segoe UI" w:hint="eastAsia"/>
                <w:sz w:val="17"/>
                <w:szCs w:val="17"/>
                <w:lang w:eastAsia="zh-HK"/>
              </w:rPr>
              <w:t>填報的風險加權數額是</w:t>
            </w:r>
            <w:r w:rsidRPr="006A6FF6">
              <w:rPr>
                <w:rFonts w:eastAsia="新細明體" w:cs="Segoe UI"/>
                <w:sz w:val="17"/>
                <w:szCs w:val="17"/>
                <w:lang w:eastAsia="zh-TW"/>
              </w:rPr>
              <w:t>[</w:t>
            </w:r>
            <w:proofErr w:type="gramEnd"/>
            <w:r w:rsidRPr="006A6FF6">
              <w:rPr>
                <w:rFonts w:eastAsia="新細明體" w:cs="Segoe UI"/>
                <w:sz w:val="17"/>
                <w:szCs w:val="17"/>
                <w:lang w:eastAsia="zh-TW"/>
              </w:rPr>
              <w:t>CMS1:2/a]</w:t>
            </w:r>
            <w:r w:rsidRPr="006A6FF6">
              <w:rPr>
                <w:rFonts w:eastAsia="新細明體" w:cs="Segoe UI" w:hint="eastAsia"/>
                <w:sz w:val="17"/>
                <w:szCs w:val="17"/>
                <w:lang w:eastAsia="zh-HK"/>
              </w:rPr>
              <w:t>與</w:t>
            </w:r>
            <w:r w:rsidRPr="006A6FF6">
              <w:rPr>
                <w:rFonts w:eastAsia="新細明體" w:cs="Segoe UI"/>
                <w:sz w:val="17"/>
                <w:szCs w:val="17"/>
                <w:lang w:eastAsia="zh-TW"/>
              </w:rPr>
              <w:t>[CMS1:2/b]</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r w:rsidRPr="006A6FF6">
              <w:rPr>
                <w:rFonts w:eastAsia="新細明體" w:cs="Segoe UI"/>
                <w:sz w:val="17"/>
                <w:szCs w:val="17"/>
              </w:rPr>
              <w:t>[CMS1:2/c]</w:t>
            </w:r>
            <w:r w:rsidRPr="006A6FF6">
              <w:rPr>
                <w:rFonts w:eastAsia="新細明體" w:cs="Segoe UI" w:hint="eastAsia"/>
                <w:sz w:val="17"/>
                <w:szCs w:val="17"/>
                <w:lang w:eastAsia="zh-HK"/>
              </w:rPr>
              <w:t>的值相等於</w:t>
            </w:r>
            <w:r w:rsidRPr="006A6FF6">
              <w:rPr>
                <w:rFonts w:eastAsia="新細明體" w:cs="Segoe UI"/>
                <w:sz w:val="17"/>
                <w:szCs w:val="17"/>
              </w:rPr>
              <w:t>[OV1:6/a]</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p>
          <w:p w14:paraId="6BA99B13"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rPr>
            </w:pPr>
          </w:p>
          <w:p w14:paraId="64AF143F" w14:textId="69297F40" w:rsidR="00A44068" w:rsidRPr="006A6FF6" w:rsidRDefault="00190D67" w:rsidP="00296DA5">
            <w:pPr>
              <w:keepLines/>
              <w:tabs>
                <w:tab w:val="left" w:pos="150"/>
                <w:tab w:val="left" w:pos="397"/>
                <w:tab w:val="left" w:pos="794"/>
                <w:tab w:val="left" w:pos="1191"/>
              </w:tabs>
              <w:spacing w:before="40" w:after="40"/>
              <w:jc w:val="both"/>
              <w:rPr>
                <w:rFonts w:ascii="DengXian" w:eastAsiaTheme="minorEastAsia" w:hAnsi="DengXian" w:cs="Segoe UI"/>
                <w:sz w:val="17"/>
                <w:szCs w:val="17"/>
                <w:lang w:eastAsia="zh-TW"/>
              </w:rPr>
            </w:pPr>
            <w:r w:rsidRPr="006A6FF6">
              <w:rPr>
                <w:rFonts w:eastAsia="新細明體" w:cs="Segoe UI"/>
                <w:i/>
                <w:sz w:val="17"/>
                <w:szCs w:val="17"/>
                <w:lang w:eastAsia="zh-TW"/>
              </w:rPr>
              <w:t xml:space="preserve">[CMS1:2/d] </w:t>
            </w:r>
            <w:r w:rsidRPr="006A6FF6">
              <w:rPr>
                <w:rFonts w:eastAsia="新細明體" w:cs="Segoe UI" w:hint="eastAsia"/>
                <w:i/>
                <w:sz w:val="17"/>
                <w:szCs w:val="17"/>
                <w:lang w:eastAsia="zh-HK"/>
              </w:rPr>
              <w:t>即</w:t>
            </w:r>
            <w:r w:rsidR="00D34ED8" w:rsidRPr="006A6FF6">
              <w:rPr>
                <w:rFonts w:eastAsia="新細明體" w:cs="Segoe UI" w:hint="eastAsia"/>
                <w:i/>
                <w:sz w:val="17"/>
                <w:szCs w:val="17"/>
                <w:lang w:eastAsia="zh-HK"/>
              </w:rPr>
              <w:t>採</w:t>
            </w:r>
            <w:r w:rsidRPr="006A6FF6">
              <w:rPr>
                <w:rFonts w:eastAsia="新細明體" w:cs="Segoe UI" w:hint="eastAsia"/>
                <w:i/>
                <w:sz w:val="17"/>
                <w:szCs w:val="17"/>
                <w:lang w:eastAsia="zh-HK"/>
              </w:rPr>
              <w:t>用全</w:t>
            </w:r>
            <w:r w:rsidR="00E65A1E" w:rsidRPr="006A6FF6">
              <w:rPr>
                <w:rFonts w:eastAsia="新細明體" w:cs="Segoe UI" w:hint="eastAsia"/>
                <w:i/>
                <w:sz w:val="17"/>
                <w:szCs w:val="17"/>
                <w:lang w:eastAsia="zh-HK"/>
              </w:rPr>
              <w:t>面</w:t>
            </w:r>
            <w:r w:rsidRPr="006A6FF6">
              <w:rPr>
                <w:rFonts w:eastAsia="新細明體" w:cs="Segoe UI" w:hint="eastAsia"/>
                <w:i/>
                <w:sz w:val="17"/>
                <w:szCs w:val="17"/>
                <w:lang w:eastAsia="zh-HK"/>
              </w:rPr>
              <w:t>標準計算法計算的風險加權數額</w:t>
            </w:r>
            <w:r w:rsidRPr="006A6FF6">
              <w:rPr>
                <w:rFonts w:eastAsia="新細明體" w:cs="Segoe UI"/>
                <w:sz w:val="17"/>
                <w:szCs w:val="17"/>
                <w:lang w:eastAsia="zh-TW"/>
              </w:rPr>
              <w:t>：</w:t>
            </w:r>
            <w:proofErr w:type="gramStart"/>
            <w:r w:rsidR="00A02F15" w:rsidRPr="006A6FF6">
              <w:rPr>
                <w:rFonts w:eastAsia="新細明體" w:cs="Segoe UI" w:hint="eastAsia"/>
                <w:sz w:val="17"/>
                <w:szCs w:val="17"/>
                <w:lang w:eastAsia="zh-HK"/>
              </w:rPr>
              <w:t>就引致</w:t>
            </w:r>
            <w:r w:rsidR="00A02F15" w:rsidRPr="006A6FF6">
              <w:rPr>
                <w:rFonts w:eastAsia="新細明體" w:cs="Segoe UI"/>
                <w:sz w:val="17"/>
                <w:szCs w:val="17"/>
                <w:lang w:eastAsia="zh-TW"/>
              </w:rPr>
              <w:t>[</w:t>
            </w:r>
            <w:proofErr w:type="gramEnd"/>
            <w:r w:rsidR="00A02F15" w:rsidRPr="006A6FF6">
              <w:rPr>
                <w:rFonts w:eastAsia="新細明體" w:cs="Segoe UI"/>
                <w:sz w:val="17"/>
                <w:szCs w:val="17"/>
                <w:lang w:eastAsia="zh-TW"/>
              </w:rPr>
              <w:t>CMS1:</w:t>
            </w:r>
            <w:r w:rsidR="00A02F15" w:rsidRPr="006A6FF6">
              <w:rPr>
                <w:rFonts w:eastAsia="新細明體" w:cs="Segoe UI" w:hint="eastAsia"/>
                <w:sz w:val="17"/>
                <w:szCs w:val="17"/>
                <w:lang w:eastAsia="zh-TW"/>
              </w:rPr>
              <w:t>2</w:t>
            </w:r>
            <w:r w:rsidR="00A02F15" w:rsidRPr="006A6FF6">
              <w:rPr>
                <w:rFonts w:eastAsia="新細明體" w:cs="Segoe UI"/>
                <w:sz w:val="17"/>
                <w:szCs w:val="17"/>
                <w:lang w:eastAsia="zh-TW"/>
              </w:rPr>
              <w:t>/c]</w:t>
            </w:r>
            <w:r w:rsidR="00A02F15" w:rsidRPr="006A6FF6">
              <w:rPr>
                <w:rFonts w:eastAsia="新細明體" w:cs="Segoe UI" w:hint="eastAsia"/>
                <w:sz w:val="17"/>
                <w:szCs w:val="17"/>
                <w:lang w:eastAsia="zh-HK"/>
              </w:rPr>
              <w:t>中填報的風險加權數額的所有風險承擔</w:t>
            </w:r>
            <w:r w:rsidR="00A02F15" w:rsidRPr="006A6FF6">
              <w:rPr>
                <w:rFonts w:ascii="新細明體" w:eastAsia="新細明體" w:hAnsi="新細明體" w:cs="Segoe UI" w:hint="eastAsia"/>
                <w:sz w:val="17"/>
                <w:szCs w:val="17"/>
                <w:lang w:eastAsia="zh-HK"/>
              </w:rPr>
              <w:t>，</w:t>
            </w:r>
            <w:r w:rsidR="00296DA5" w:rsidRPr="006A6FF6">
              <w:rPr>
                <w:rFonts w:eastAsia="新細明體" w:cs="Segoe UI" w:hint="eastAsia"/>
                <w:sz w:val="17"/>
                <w:szCs w:val="17"/>
                <w:lang w:eastAsia="zh-HK"/>
              </w:rPr>
              <w:t>根</w:t>
            </w:r>
            <w:r w:rsidR="00296DA5" w:rsidRPr="006A6FF6">
              <w:rPr>
                <w:rFonts w:eastAsia="新細明體" w:cs="Segoe UI" w:hint="eastAsia"/>
                <w:sz w:val="17"/>
                <w:szCs w:val="17"/>
                <w:lang w:eastAsia="zh-TW"/>
              </w:rPr>
              <w:t>據</w:t>
            </w:r>
            <w:r w:rsidR="00296DA5" w:rsidRPr="006A6FF6">
              <w:rPr>
                <w:rFonts w:ascii="新細明體" w:eastAsia="新細明體" w:hAnsi="新細明體" w:cs="Segoe UI" w:hint="eastAsia"/>
                <w:sz w:val="17"/>
                <w:szCs w:val="17"/>
                <w:lang w:eastAsia="zh-TW"/>
              </w:rPr>
              <w:t>《資本規則》第</w:t>
            </w:r>
            <w:r w:rsidR="00296DA5" w:rsidRPr="006A6FF6">
              <w:rPr>
                <w:rFonts w:eastAsia="新細明體" w:cs="Segoe UI"/>
                <w:sz w:val="17"/>
                <w:szCs w:val="17"/>
                <w:lang w:eastAsia="zh-TW"/>
              </w:rPr>
              <w:t>11</w:t>
            </w:r>
            <w:r w:rsidR="00296DA5" w:rsidRPr="006A6FF6">
              <w:rPr>
                <w:rFonts w:ascii="新細明體" w:eastAsia="新細明體" w:hAnsi="新細明體" w:cs="Segoe UI" w:hint="eastAsia"/>
                <w:sz w:val="17"/>
                <w:szCs w:val="17"/>
                <w:lang w:eastAsia="zh-TW"/>
              </w:rPr>
              <w:t>部</w:t>
            </w:r>
            <w:r w:rsidR="00296DA5" w:rsidRPr="006A6FF6">
              <w:rPr>
                <w:rFonts w:eastAsia="新細明體" w:cs="Segoe UI" w:hint="eastAsia"/>
                <w:sz w:val="17"/>
                <w:szCs w:val="17"/>
                <w:lang w:eastAsia="zh-HK"/>
              </w:rPr>
              <w:t>作為出項下限計算的基礎</w:t>
            </w:r>
            <w:r w:rsidR="00A02F15" w:rsidRPr="006A6FF6">
              <w:rPr>
                <w:rFonts w:eastAsia="新細明體" w:cs="Segoe UI" w:hint="eastAsia"/>
                <w:sz w:val="17"/>
                <w:szCs w:val="17"/>
                <w:lang w:eastAsia="zh-HK"/>
              </w:rPr>
              <w:t>計</w:t>
            </w:r>
            <w:r w:rsidR="00A02F15" w:rsidRPr="006A6FF6">
              <w:rPr>
                <w:rFonts w:eastAsia="新細明體" w:cs="Segoe UI" w:hint="eastAsia"/>
                <w:sz w:val="17"/>
                <w:szCs w:val="17"/>
                <w:lang w:eastAsia="zh-TW"/>
              </w:rPr>
              <w:t>算</w:t>
            </w:r>
            <w:r w:rsidR="00A02F15" w:rsidRPr="006A6FF6">
              <w:rPr>
                <w:rFonts w:eastAsia="新細明體" w:cs="Segoe UI" w:hint="eastAsia"/>
                <w:sz w:val="17"/>
                <w:szCs w:val="17"/>
                <w:lang w:eastAsia="zh-HK"/>
              </w:rPr>
              <w:t>其信用風險的風險加權數額</w:t>
            </w:r>
            <w:r w:rsidR="00A02F15" w:rsidRPr="006A6FF6">
              <w:rPr>
                <w:rFonts w:ascii="新細明體" w:eastAsia="新細明體" w:hAnsi="新細明體" w:cs="Segoe UI" w:hint="eastAsia"/>
                <w:sz w:val="17"/>
                <w:szCs w:val="17"/>
                <w:lang w:eastAsia="zh-HK"/>
              </w:rPr>
              <w:t>，</w:t>
            </w:r>
            <w:r w:rsidR="00A02F15" w:rsidRPr="006A6FF6">
              <w:rPr>
                <w:rFonts w:eastAsia="新細明體" w:cs="Segoe UI" w:hint="eastAsia"/>
                <w:sz w:val="17"/>
                <w:szCs w:val="17"/>
                <w:lang w:eastAsia="zh-HK"/>
              </w:rPr>
              <w:t>當中違責風險的風險承擔應以</w:t>
            </w:r>
            <w:r w:rsidR="00A02F15" w:rsidRPr="006A6FF6">
              <w:rPr>
                <w:rFonts w:eastAsia="新細明體" w:cs="Segoe UI"/>
                <w:sz w:val="17"/>
                <w:szCs w:val="17"/>
                <w:lang w:eastAsia="zh-TW"/>
              </w:rPr>
              <w:t>[CMS1:2/b]</w:t>
            </w:r>
            <w:r w:rsidR="00A02F15" w:rsidRPr="006A6FF6">
              <w:rPr>
                <w:rFonts w:eastAsia="新細明體" w:cs="Segoe UI" w:hint="eastAsia"/>
                <w:sz w:val="17"/>
                <w:szCs w:val="17"/>
                <w:lang w:eastAsia="zh-HK"/>
              </w:rPr>
              <w:t>所述的計算法計算</w:t>
            </w:r>
            <w:r w:rsidR="00A02F15" w:rsidRPr="006A6FF6">
              <w:rPr>
                <w:rFonts w:eastAsia="新細明體" w:cs="Segoe UI" w:hint="eastAsia"/>
                <w:sz w:val="17"/>
                <w:szCs w:val="17"/>
                <w:lang w:eastAsia="zh-TW"/>
              </w:rPr>
              <w:t>。</w:t>
            </w:r>
          </w:p>
        </w:tc>
      </w:tr>
      <w:tr w:rsidR="006A6FF6" w:rsidRPr="006A6FF6" w14:paraId="0F6FBAAF" w14:textId="77777777" w:rsidTr="00862754">
        <w:tc>
          <w:tcPr>
            <w:tcW w:w="567" w:type="dxa"/>
            <w:shd w:val="clear" w:color="auto" w:fill="auto"/>
          </w:tcPr>
          <w:p w14:paraId="003E1BCB" w14:textId="77777777" w:rsidR="00190D67" w:rsidRPr="006A6FF6" w:rsidRDefault="00190D67" w:rsidP="00862754">
            <w:pPr>
              <w:keepLines/>
              <w:tabs>
                <w:tab w:val="left" w:pos="150"/>
                <w:tab w:val="left" w:pos="397"/>
                <w:tab w:val="left" w:pos="794"/>
                <w:tab w:val="left" w:pos="1191"/>
              </w:tabs>
              <w:adjustRightInd w:val="0"/>
              <w:spacing w:before="40" w:after="40"/>
              <w:rPr>
                <w:rFonts w:eastAsia="新細明體" w:cs="Segoe UI"/>
                <w:sz w:val="17"/>
                <w:szCs w:val="17"/>
              </w:rPr>
            </w:pPr>
            <w:r w:rsidRPr="006A6FF6">
              <w:rPr>
                <w:rFonts w:eastAsia="新細明體" w:cs="Segoe UI"/>
                <w:sz w:val="17"/>
                <w:szCs w:val="17"/>
              </w:rPr>
              <w:t>3</w:t>
            </w:r>
          </w:p>
        </w:tc>
        <w:tc>
          <w:tcPr>
            <w:tcW w:w="8647" w:type="dxa"/>
            <w:shd w:val="clear" w:color="auto" w:fill="auto"/>
          </w:tcPr>
          <w:p w14:paraId="69BCEA2C" w14:textId="7D0692B8" w:rsidR="00190D67" w:rsidRPr="006A6FF6" w:rsidRDefault="00190D67" w:rsidP="00862754">
            <w:pPr>
              <w:keepLines/>
              <w:tabs>
                <w:tab w:val="left" w:pos="150"/>
                <w:tab w:val="left" w:pos="397"/>
                <w:tab w:val="left" w:pos="794"/>
                <w:tab w:val="left" w:pos="1191"/>
              </w:tabs>
              <w:adjustRightInd w:val="0"/>
              <w:spacing w:before="40" w:after="40"/>
              <w:jc w:val="both"/>
              <w:rPr>
                <w:rFonts w:eastAsia="新細明體" w:cs="Segoe UI"/>
                <w:sz w:val="17"/>
                <w:szCs w:val="17"/>
                <w:lang w:eastAsia="zh-TW"/>
              </w:rPr>
            </w:pPr>
            <w:r w:rsidRPr="006A6FF6">
              <w:rPr>
                <w:rFonts w:eastAsia="新細明體" w:cs="Segoe UI"/>
                <w:i/>
                <w:sz w:val="17"/>
                <w:szCs w:val="17"/>
                <w:u w:val="single"/>
                <w:lang w:eastAsia="zh-TW"/>
              </w:rPr>
              <w:t>CVA</w:t>
            </w:r>
            <w:r w:rsidRPr="006A6FF6">
              <w:rPr>
                <w:rFonts w:eastAsia="新細明體" w:cs="Segoe UI" w:hint="eastAsia"/>
                <w:i/>
                <w:sz w:val="17"/>
                <w:szCs w:val="17"/>
                <w:u w:val="single"/>
                <w:lang w:eastAsia="zh-HK"/>
              </w:rPr>
              <w:t>風險</w:t>
            </w:r>
            <w:r w:rsidRPr="006A6FF6">
              <w:rPr>
                <w:rFonts w:eastAsia="新細明體" w:cs="Segoe UI" w:hint="eastAsia"/>
                <w:i/>
                <w:sz w:val="17"/>
                <w:szCs w:val="17"/>
                <w:lang w:eastAsia="zh-HK"/>
              </w:rPr>
              <w:t xml:space="preserve"> </w:t>
            </w:r>
          </w:p>
          <w:p w14:paraId="0F70995E" w14:textId="179086D5" w:rsidR="00190D67" w:rsidRPr="006A6FF6" w:rsidRDefault="00190D67" w:rsidP="00862754">
            <w:pPr>
              <w:keepLines/>
              <w:tabs>
                <w:tab w:val="left" w:pos="150"/>
                <w:tab w:val="left" w:pos="397"/>
                <w:tab w:val="left" w:pos="794"/>
                <w:tab w:val="left" w:pos="1191"/>
              </w:tabs>
              <w:adjustRightInd w:val="0"/>
              <w:spacing w:before="40" w:after="40"/>
              <w:jc w:val="both"/>
              <w:rPr>
                <w:rFonts w:eastAsia="新細明體" w:cs="Segoe UI"/>
                <w:sz w:val="17"/>
                <w:szCs w:val="17"/>
                <w:lang w:eastAsia="zh-HK"/>
              </w:rPr>
            </w:pPr>
            <w:r w:rsidRPr="006A6FF6">
              <w:rPr>
                <w:rFonts w:eastAsia="新細明體" w:cs="Segoe UI"/>
                <w:i/>
                <w:sz w:val="17"/>
                <w:szCs w:val="17"/>
                <w:lang w:eastAsia="zh-TW"/>
              </w:rPr>
              <w:t>[CMS1:3/b]</w:t>
            </w:r>
            <w:r w:rsidR="00221F0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w:t>
            </w:r>
            <w:r w:rsidR="00D34ED8" w:rsidRPr="006A6FF6">
              <w:rPr>
                <w:rFonts w:eastAsia="新細明體" w:cs="Segoe UI" w:hint="eastAsia"/>
                <w:i/>
                <w:sz w:val="17"/>
                <w:szCs w:val="17"/>
                <w:lang w:eastAsia="zh-HK"/>
              </w:rPr>
              <w:t>採</w:t>
            </w:r>
            <w:r w:rsidRPr="006A6FF6">
              <w:rPr>
                <w:rFonts w:eastAsia="新細明體" w:cs="Segoe UI" w:hint="eastAsia"/>
                <w:i/>
                <w:sz w:val="17"/>
                <w:szCs w:val="17"/>
                <w:lang w:eastAsia="zh-HK"/>
              </w:rPr>
              <w:t>用標準計算法的組合的風險加權數額</w:t>
            </w:r>
            <w:r w:rsidRPr="006A6FF6">
              <w:rPr>
                <w:rFonts w:eastAsia="新細明體" w:cs="Segoe UI"/>
                <w:sz w:val="17"/>
                <w:szCs w:val="17"/>
                <w:lang w:eastAsia="zh-TW"/>
              </w:rPr>
              <w:t>：</w:t>
            </w:r>
            <w:r w:rsidR="00E65A1E" w:rsidRPr="006A6FF6">
              <w:rPr>
                <w:rFonts w:eastAsia="新細明體" w:cs="Segoe UI" w:hint="eastAsia"/>
                <w:sz w:val="17"/>
                <w:szCs w:val="17"/>
                <w:lang w:eastAsia="zh-HK"/>
              </w:rPr>
              <w:t>根</w:t>
            </w:r>
            <w:r w:rsidR="00E65A1E" w:rsidRPr="006A6FF6">
              <w:rPr>
                <w:rFonts w:eastAsia="新細明體" w:cs="Segoe UI" w:hint="eastAsia"/>
                <w:sz w:val="17"/>
                <w:szCs w:val="17"/>
                <w:lang w:eastAsia="zh-TW"/>
              </w:rPr>
              <w:t>據</w:t>
            </w:r>
            <w:r w:rsidRPr="006A6FF6">
              <w:rPr>
                <w:rFonts w:eastAsia="新細明體" w:cs="Segoe UI" w:hint="eastAsia"/>
                <w:sz w:val="17"/>
                <w:szCs w:val="17"/>
                <w:lang w:eastAsia="zh-HK"/>
              </w:rPr>
              <w:t>認可機構就</w:t>
            </w:r>
            <w:r w:rsidRPr="006A6FF6">
              <w:rPr>
                <w:rFonts w:eastAsia="新細明體" w:cs="Segoe UI" w:hint="eastAsia"/>
                <w:sz w:val="17"/>
                <w:szCs w:val="17"/>
                <w:lang w:eastAsia="zh-TW"/>
              </w:rPr>
              <w:t>CVA</w:t>
            </w:r>
            <w:r w:rsidRPr="006A6FF6">
              <w:rPr>
                <w:rFonts w:eastAsia="新細明體" w:cs="Segoe UI" w:hint="eastAsia"/>
                <w:sz w:val="17"/>
                <w:szCs w:val="17"/>
                <w:lang w:eastAsia="zh-HK"/>
              </w:rPr>
              <w:t>風險所使用</w:t>
            </w:r>
            <w:r w:rsidRPr="006A6FF6">
              <w:rPr>
                <w:rFonts w:ascii="新細明體" w:eastAsia="新細明體" w:hAnsi="新細明體" w:cs="Segoe UI" w:hint="eastAsia"/>
                <w:sz w:val="17"/>
                <w:szCs w:val="17"/>
                <w:lang w:eastAsia="zh-TW"/>
              </w:rPr>
              <w:t>的</w:t>
            </w:r>
            <w:r w:rsidRPr="006A6FF6">
              <w:rPr>
                <w:rFonts w:eastAsia="新細明體" w:cs="Segoe UI" w:hint="eastAsia"/>
                <w:sz w:val="17"/>
                <w:szCs w:val="17"/>
                <w:lang w:eastAsia="zh-HK"/>
              </w:rPr>
              <w:t>計算法計算的風險加權數額</w:t>
            </w:r>
            <w:r w:rsidRPr="006A6FF6">
              <w:rPr>
                <w:rFonts w:eastAsia="新細明體" w:cs="Segoe UI" w:hint="eastAsia"/>
                <w:sz w:val="17"/>
                <w:szCs w:val="17"/>
                <w:lang w:eastAsia="zh-TW"/>
              </w:rPr>
              <w:t>。</w:t>
            </w:r>
          </w:p>
          <w:p w14:paraId="6DB864EA"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560466EF" w14:textId="08120818" w:rsidR="00190D67" w:rsidRPr="006A6FF6" w:rsidRDefault="00190D67" w:rsidP="00862754">
            <w:pPr>
              <w:keepLines/>
              <w:tabs>
                <w:tab w:val="left" w:pos="150"/>
                <w:tab w:val="left" w:pos="397"/>
                <w:tab w:val="left" w:pos="794"/>
                <w:tab w:val="left" w:pos="1191"/>
              </w:tabs>
              <w:adjustRightInd w:val="0"/>
              <w:spacing w:before="40" w:after="40"/>
              <w:jc w:val="both"/>
              <w:rPr>
                <w:rFonts w:eastAsia="新細明體" w:cs="Segoe UI"/>
                <w:sz w:val="17"/>
                <w:szCs w:val="17"/>
                <w:lang w:eastAsia="zh-HK"/>
              </w:rPr>
            </w:pPr>
            <w:r w:rsidRPr="006A6FF6">
              <w:rPr>
                <w:rFonts w:eastAsia="新細明體" w:cs="Segoe UI"/>
                <w:i/>
                <w:sz w:val="17"/>
                <w:szCs w:val="17"/>
                <w:lang w:eastAsia="zh-TW"/>
              </w:rPr>
              <w:t>[CMS1:3/c]</w:t>
            </w:r>
            <w:r w:rsidR="00E65A1E"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w:t>
            </w:r>
            <w:r w:rsidR="001B6E07" w:rsidRPr="006A6FF6">
              <w:rPr>
                <w:rFonts w:eastAsia="新細明體" w:cs="Segoe UI" w:hint="eastAsia"/>
                <w:i/>
                <w:sz w:val="17"/>
                <w:szCs w:val="17"/>
                <w:lang w:eastAsia="zh-HK"/>
              </w:rPr>
              <w:t>總實際風險加權</w:t>
            </w:r>
            <w:r w:rsidR="001B6E07" w:rsidRPr="006A6FF6">
              <w:rPr>
                <w:rFonts w:eastAsia="新細明體" w:cs="Segoe UI" w:hint="eastAsia"/>
                <w:i/>
                <w:sz w:val="17"/>
                <w:szCs w:val="17"/>
                <w:lang w:eastAsia="zh-TW"/>
              </w:rPr>
              <w:t>數</w:t>
            </w:r>
            <w:r w:rsidR="001B6E07" w:rsidRPr="006A6FF6">
              <w:rPr>
                <w:rFonts w:eastAsia="新細明體" w:cs="Segoe UI" w:hint="eastAsia"/>
                <w:i/>
                <w:sz w:val="17"/>
                <w:szCs w:val="17"/>
                <w:lang w:eastAsia="zh-HK"/>
              </w:rPr>
              <w:t>額</w:t>
            </w:r>
            <w:r w:rsidRPr="006A6FF6">
              <w:rPr>
                <w:rFonts w:eastAsia="新細明體" w:cs="Segoe UI"/>
                <w:sz w:val="17"/>
                <w:szCs w:val="17"/>
                <w:lang w:eastAsia="zh-TW"/>
              </w:rPr>
              <w:t>：</w:t>
            </w:r>
            <w:r w:rsidRPr="006A6FF6">
              <w:rPr>
                <w:rFonts w:eastAsia="新細明體" w:cs="Segoe UI"/>
                <w:sz w:val="17"/>
                <w:szCs w:val="17"/>
                <w:lang w:eastAsia="zh-TW"/>
              </w:rPr>
              <w:t>[CMS1:3/</w:t>
            </w:r>
            <w:proofErr w:type="gramStart"/>
            <w:r w:rsidRPr="006A6FF6">
              <w:rPr>
                <w:rFonts w:eastAsia="新細明體" w:cs="Segoe UI"/>
                <w:sz w:val="17"/>
                <w:szCs w:val="17"/>
                <w:lang w:eastAsia="zh-TW"/>
              </w:rPr>
              <w:t>c]</w:t>
            </w:r>
            <w:r w:rsidRPr="006A6FF6">
              <w:rPr>
                <w:rFonts w:eastAsia="新細明體" w:cs="Segoe UI" w:hint="eastAsia"/>
                <w:sz w:val="17"/>
                <w:szCs w:val="17"/>
                <w:lang w:eastAsia="zh-HK"/>
              </w:rPr>
              <w:t>的值相等於</w:t>
            </w:r>
            <w:proofErr w:type="gramEnd"/>
            <w:r w:rsidRPr="006A6FF6">
              <w:rPr>
                <w:rFonts w:eastAsia="新細明體" w:cs="Segoe UI"/>
                <w:sz w:val="17"/>
                <w:szCs w:val="17"/>
                <w:lang w:eastAsia="zh-TW"/>
              </w:rPr>
              <w:t>[CMS</w:t>
            </w:r>
            <w:r w:rsidR="00A62CEC" w:rsidRPr="006A6FF6">
              <w:rPr>
                <w:rFonts w:eastAsia="新細明體" w:cs="Segoe UI"/>
                <w:sz w:val="17"/>
                <w:szCs w:val="17"/>
                <w:lang w:eastAsia="zh-TW"/>
              </w:rPr>
              <w:t>1</w:t>
            </w:r>
            <w:r w:rsidRPr="006A6FF6">
              <w:rPr>
                <w:rFonts w:eastAsia="新細明體" w:cs="Segoe UI"/>
                <w:sz w:val="17"/>
                <w:szCs w:val="17"/>
                <w:lang w:eastAsia="zh-TW"/>
              </w:rPr>
              <w:t>:3/b]</w:t>
            </w:r>
            <w:r w:rsidRPr="006A6FF6">
              <w:rPr>
                <w:rFonts w:eastAsia="新細明體" w:cs="Segoe UI" w:hint="eastAsia"/>
                <w:sz w:val="17"/>
                <w:szCs w:val="17"/>
                <w:lang w:eastAsia="zh-HK"/>
              </w:rPr>
              <w:t>及</w:t>
            </w:r>
            <w:r w:rsidRPr="006A6FF6">
              <w:rPr>
                <w:rFonts w:eastAsia="新細明體" w:cs="Segoe UI"/>
                <w:sz w:val="17"/>
                <w:szCs w:val="17"/>
                <w:lang w:eastAsia="zh-TW"/>
              </w:rPr>
              <w:t>[OV1:10/a]</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p>
          <w:p w14:paraId="01EDB778"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0F3F6E1B" w14:textId="71B160A5" w:rsidR="00190D67" w:rsidRPr="006A6FF6" w:rsidRDefault="00190D67" w:rsidP="00296DA5">
            <w:pPr>
              <w:keepLines/>
              <w:tabs>
                <w:tab w:val="left" w:pos="150"/>
                <w:tab w:val="left" w:pos="397"/>
                <w:tab w:val="left" w:pos="794"/>
                <w:tab w:val="left" w:pos="1191"/>
              </w:tabs>
              <w:adjustRightInd w:val="0"/>
              <w:spacing w:before="40" w:after="40"/>
              <w:jc w:val="both"/>
              <w:rPr>
                <w:rFonts w:eastAsia="新細明體" w:cs="Segoe UI"/>
                <w:sz w:val="17"/>
                <w:szCs w:val="17"/>
                <w:lang w:eastAsia="zh-TW"/>
              </w:rPr>
            </w:pPr>
            <w:r w:rsidRPr="006A6FF6">
              <w:rPr>
                <w:rFonts w:eastAsia="新細明體" w:cs="Segoe UI"/>
                <w:i/>
                <w:sz w:val="17"/>
                <w:szCs w:val="17"/>
                <w:lang w:eastAsia="zh-TW"/>
              </w:rPr>
              <w:t>[CMS1:3/d]</w:t>
            </w:r>
            <w:r w:rsidR="00E65A1E"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w:t>
            </w:r>
            <w:r w:rsidR="00D34ED8" w:rsidRPr="006A6FF6">
              <w:rPr>
                <w:rFonts w:eastAsia="新細明體" w:cs="Segoe UI" w:hint="eastAsia"/>
                <w:i/>
                <w:sz w:val="17"/>
                <w:szCs w:val="17"/>
                <w:lang w:eastAsia="zh-HK"/>
              </w:rPr>
              <w:t>採</w:t>
            </w:r>
            <w:r w:rsidRPr="006A6FF6">
              <w:rPr>
                <w:rFonts w:eastAsia="新細明體" w:cs="Segoe UI" w:hint="eastAsia"/>
                <w:i/>
                <w:sz w:val="17"/>
                <w:szCs w:val="17"/>
                <w:lang w:eastAsia="zh-HK"/>
              </w:rPr>
              <w:t>用全</w:t>
            </w:r>
            <w:r w:rsidR="0005179F" w:rsidRPr="006A6FF6">
              <w:rPr>
                <w:rFonts w:eastAsia="新細明體" w:cs="Segoe UI" w:hint="eastAsia"/>
                <w:i/>
                <w:sz w:val="17"/>
                <w:szCs w:val="17"/>
                <w:lang w:eastAsia="zh-HK"/>
              </w:rPr>
              <w:t>面</w:t>
            </w:r>
            <w:r w:rsidRPr="006A6FF6">
              <w:rPr>
                <w:rFonts w:eastAsia="新細明體" w:cs="Segoe UI" w:hint="eastAsia"/>
                <w:i/>
                <w:sz w:val="17"/>
                <w:szCs w:val="17"/>
                <w:lang w:eastAsia="zh-HK"/>
              </w:rPr>
              <w:t>標準計算法計算的風險加權數額</w:t>
            </w:r>
            <w:r w:rsidRPr="006A6FF6">
              <w:rPr>
                <w:rFonts w:eastAsia="新細明體" w:cs="Segoe UI"/>
                <w:sz w:val="17"/>
                <w:szCs w:val="17"/>
                <w:lang w:eastAsia="zh-TW"/>
              </w:rPr>
              <w:t>：</w:t>
            </w:r>
            <w:proofErr w:type="gramStart"/>
            <w:r w:rsidR="00A02F15" w:rsidRPr="006A6FF6">
              <w:rPr>
                <w:rFonts w:eastAsia="新細明體" w:cs="Segoe UI" w:hint="eastAsia"/>
                <w:sz w:val="17"/>
                <w:szCs w:val="17"/>
                <w:lang w:eastAsia="zh-HK"/>
              </w:rPr>
              <w:t>就引致</w:t>
            </w:r>
            <w:r w:rsidR="00A02F15" w:rsidRPr="006A6FF6">
              <w:rPr>
                <w:rFonts w:eastAsia="新細明體" w:cs="Segoe UI"/>
                <w:sz w:val="17"/>
                <w:szCs w:val="17"/>
                <w:lang w:eastAsia="zh-TW"/>
              </w:rPr>
              <w:t>[</w:t>
            </w:r>
            <w:proofErr w:type="gramEnd"/>
            <w:r w:rsidR="00A02F15" w:rsidRPr="006A6FF6">
              <w:rPr>
                <w:rFonts w:eastAsia="新細明體" w:cs="Segoe UI"/>
                <w:sz w:val="17"/>
                <w:szCs w:val="17"/>
                <w:lang w:eastAsia="zh-TW"/>
              </w:rPr>
              <w:t>CMS1:</w:t>
            </w:r>
            <w:r w:rsidR="00A02F15" w:rsidRPr="006A6FF6">
              <w:rPr>
                <w:rFonts w:eastAsia="新細明體" w:cs="Segoe UI" w:hint="eastAsia"/>
                <w:sz w:val="17"/>
                <w:szCs w:val="17"/>
                <w:lang w:eastAsia="zh-TW"/>
              </w:rPr>
              <w:t>3</w:t>
            </w:r>
            <w:r w:rsidR="00A02F15" w:rsidRPr="006A6FF6">
              <w:rPr>
                <w:rFonts w:eastAsia="新細明體" w:cs="Segoe UI"/>
                <w:sz w:val="17"/>
                <w:szCs w:val="17"/>
                <w:lang w:eastAsia="zh-TW"/>
              </w:rPr>
              <w:t>/c]</w:t>
            </w:r>
            <w:r w:rsidR="00A02F15" w:rsidRPr="006A6FF6">
              <w:rPr>
                <w:rFonts w:eastAsia="新細明體" w:cs="Segoe UI" w:hint="eastAsia"/>
                <w:sz w:val="17"/>
                <w:szCs w:val="17"/>
                <w:lang w:eastAsia="zh-HK"/>
              </w:rPr>
              <w:t>中填報的風險加權數額的所有風險承擔</w:t>
            </w:r>
            <w:r w:rsidR="00A02F15" w:rsidRPr="006A6FF6">
              <w:rPr>
                <w:rFonts w:ascii="新細明體" w:eastAsia="新細明體" w:hAnsi="新細明體" w:cs="Segoe UI" w:hint="eastAsia"/>
                <w:sz w:val="17"/>
                <w:szCs w:val="17"/>
                <w:lang w:eastAsia="zh-HK"/>
              </w:rPr>
              <w:t>，</w:t>
            </w:r>
            <w:r w:rsidR="00A02F15" w:rsidRPr="006A6FF6">
              <w:rPr>
                <w:rFonts w:eastAsia="新細明體" w:cs="Segoe UI" w:hint="eastAsia"/>
                <w:sz w:val="17"/>
                <w:szCs w:val="17"/>
                <w:lang w:eastAsia="zh-HK"/>
              </w:rPr>
              <w:t>以</w:t>
            </w:r>
            <w:r w:rsidR="00A02F15" w:rsidRPr="006A6FF6">
              <w:rPr>
                <w:rFonts w:eastAsia="新細明體" w:cs="Segoe UI"/>
                <w:sz w:val="17"/>
                <w:szCs w:val="17"/>
                <w:lang w:eastAsia="zh-TW"/>
              </w:rPr>
              <w:t>[CMS1:3/b]</w:t>
            </w:r>
            <w:r w:rsidR="00A02F15" w:rsidRPr="006A6FF6">
              <w:rPr>
                <w:rFonts w:eastAsia="新細明體" w:cs="Segoe UI" w:hint="eastAsia"/>
                <w:sz w:val="17"/>
                <w:szCs w:val="17"/>
                <w:lang w:eastAsia="zh-HK"/>
              </w:rPr>
              <w:t>所述的計算法計</w:t>
            </w:r>
            <w:r w:rsidR="00A02F15" w:rsidRPr="006A6FF6">
              <w:rPr>
                <w:rFonts w:eastAsia="新細明體" w:cs="Segoe UI" w:hint="eastAsia"/>
                <w:sz w:val="17"/>
                <w:szCs w:val="17"/>
                <w:lang w:eastAsia="zh-TW"/>
              </w:rPr>
              <w:t>算</w:t>
            </w:r>
            <w:r w:rsidR="00A02F15" w:rsidRPr="006A6FF6">
              <w:rPr>
                <w:rFonts w:eastAsia="新細明體" w:cs="Segoe UI" w:hint="eastAsia"/>
                <w:sz w:val="17"/>
                <w:szCs w:val="17"/>
                <w:lang w:eastAsia="zh-HK"/>
              </w:rPr>
              <w:t>其</w:t>
            </w:r>
            <w:r w:rsidR="00A02F15" w:rsidRPr="006A6FF6">
              <w:rPr>
                <w:rFonts w:eastAsia="新細明體" w:cs="Segoe UI"/>
                <w:sz w:val="17"/>
                <w:szCs w:val="17"/>
                <w:lang w:eastAsia="zh-HK"/>
              </w:rPr>
              <w:t>CVA</w:t>
            </w:r>
            <w:r w:rsidR="00A02F15" w:rsidRPr="006A6FF6">
              <w:rPr>
                <w:rFonts w:eastAsia="新細明體" w:cs="Segoe UI" w:hint="eastAsia"/>
                <w:sz w:val="17"/>
                <w:szCs w:val="17"/>
                <w:lang w:eastAsia="zh-HK"/>
              </w:rPr>
              <w:t>風險的風險加權數額</w:t>
            </w:r>
            <w:r w:rsidR="00296DA5">
              <w:rPr>
                <w:rFonts w:eastAsia="新細明體" w:cs="Segoe UI" w:hint="eastAsia"/>
                <w:sz w:val="17"/>
                <w:szCs w:val="17"/>
                <w:lang w:eastAsia="zh-HK"/>
              </w:rPr>
              <w:t>，</w:t>
            </w:r>
            <w:r w:rsidR="00A02F15" w:rsidRPr="006A6FF6">
              <w:rPr>
                <w:rFonts w:eastAsia="新細明體" w:cs="Segoe UI" w:hint="eastAsia"/>
                <w:sz w:val="17"/>
                <w:lang w:eastAsia="zh-HK"/>
              </w:rPr>
              <w:t>作為</w:t>
            </w:r>
            <w:r w:rsidR="00A02F15" w:rsidRPr="006A6FF6">
              <w:rPr>
                <w:rFonts w:eastAsia="新細明體" w:cs="Segoe UI" w:hint="eastAsia"/>
                <w:sz w:val="17"/>
                <w:szCs w:val="17"/>
                <w:lang w:eastAsia="zh-HK"/>
              </w:rPr>
              <w:t>出項下限計算</w:t>
            </w:r>
            <w:r w:rsidR="00A02F15" w:rsidRPr="006A6FF6">
              <w:rPr>
                <w:rFonts w:eastAsiaTheme="minorEastAsia" w:cs="Segoe UI" w:hint="eastAsia"/>
                <w:sz w:val="17"/>
                <w:szCs w:val="17"/>
                <w:lang w:eastAsia="zh-HK"/>
              </w:rPr>
              <w:t>的</w:t>
            </w:r>
            <w:r w:rsidR="00A02F15" w:rsidRPr="006A6FF6">
              <w:rPr>
                <w:rFonts w:eastAsia="新細明體" w:cs="Segoe UI" w:hint="eastAsia"/>
                <w:sz w:val="17"/>
                <w:szCs w:val="17"/>
                <w:lang w:eastAsia="zh-HK"/>
              </w:rPr>
              <w:t>基礎</w:t>
            </w:r>
            <w:r w:rsidR="00A02F15" w:rsidRPr="006A6FF6">
              <w:rPr>
                <w:rFonts w:eastAsia="新細明體" w:cs="Segoe UI" w:hint="eastAsia"/>
                <w:sz w:val="17"/>
                <w:szCs w:val="17"/>
                <w:lang w:eastAsia="zh-TW"/>
              </w:rPr>
              <w:t>。</w:t>
            </w:r>
          </w:p>
        </w:tc>
      </w:tr>
      <w:tr w:rsidR="006A6FF6" w:rsidRPr="006A6FF6" w14:paraId="1BC300C8" w14:textId="77777777" w:rsidTr="00862754">
        <w:tc>
          <w:tcPr>
            <w:tcW w:w="567" w:type="dxa"/>
            <w:shd w:val="clear" w:color="auto" w:fill="auto"/>
          </w:tcPr>
          <w:p w14:paraId="4C5979E1"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highlight w:val="yellow"/>
              </w:rPr>
            </w:pPr>
            <w:r w:rsidRPr="006A6FF6">
              <w:rPr>
                <w:rFonts w:eastAsia="新細明體" w:cs="Segoe UI"/>
                <w:sz w:val="17"/>
                <w:szCs w:val="17"/>
              </w:rPr>
              <w:t>4</w:t>
            </w:r>
          </w:p>
        </w:tc>
        <w:tc>
          <w:tcPr>
            <w:tcW w:w="8647" w:type="dxa"/>
            <w:shd w:val="clear" w:color="auto" w:fill="auto"/>
          </w:tcPr>
          <w:p w14:paraId="1FA59052" w14:textId="1E7C61B4"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hint="eastAsia"/>
                <w:i/>
                <w:sz w:val="17"/>
                <w:szCs w:val="17"/>
                <w:u w:val="single"/>
                <w:lang w:eastAsia="zh-HK"/>
              </w:rPr>
              <w:t>銀行帳內</w:t>
            </w:r>
            <w:r w:rsidR="00E65A1E" w:rsidRPr="006A6FF6">
              <w:rPr>
                <w:rFonts w:eastAsia="新細明體" w:cs="Segoe UI" w:hint="eastAsia"/>
                <w:i/>
                <w:sz w:val="17"/>
                <w:szCs w:val="17"/>
                <w:u w:val="single"/>
                <w:lang w:eastAsia="zh-HK"/>
              </w:rPr>
              <w:t>的</w:t>
            </w:r>
            <w:r w:rsidRPr="006A6FF6">
              <w:rPr>
                <w:rFonts w:eastAsia="新細明體" w:cs="Segoe UI" w:hint="eastAsia"/>
                <w:i/>
                <w:sz w:val="17"/>
                <w:szCs w:val="17"/>
                <w:u w:val="single"/>
                <w:lang w:eastAsia="zh-HK"/>
              </w:rPr>
              <w:t>證券化類別風險承擔</w:t>
            </w:r>
            <w:r w:rsidRPr="006A6FF6">
              <w:rPr>
                <w:rFonts w:eastAsia="新細明體" w:cs="Segoe UI"/>
                <w:sz w:val="17"/>
                <w:szCs w:val="17"/>
                <w:lang w:eastAsia="zh-TW"/>
              </w:rPr>
              <w:t xml:space="preserve"> </w:t>
            </w:r>
          </w:p>
          <w:p w14:paraId="2D9E5CA0" w14:textId="07383DEB"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[CMS1:4/b]</w:t>
            </w:r>
            <w:r w:rsidR="0005179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即採用標準計算法的組合的風險加權數額</w:t>
            </w:r>
            <w:r w:rsidRPr="006A6FF6">
              <w:rPr>
                <w:rFonts w:eastAsia="新細明體" w:cs="Segoe UI" w:hint="eastAsia"/>
                <w:sz w:val="17"/>
                <w:szCs w:val="17"/>
                <w:lang w:eastAsia="zh-TW"/>
              </w:rPr>
              <w:t>：</w:t>
            </w:r>
            <w:r w:rsidRPr="006A6FF6">
              <w:rPr>
                <w:rFonts w:eastAsia="新細明體" w:cs="Segoe UI" w:hint="eastAsia"/>
                <w:sz w:val="17"/>
                <w:szCs w:val="17"/>
                <w:lang w:eastAsia="zh-HK"/>
              </w:rPr>
              <w:t>根據</w:t>
            </w:r>
            <w:r w:rsidR="004E75ED" w:rsidRPr="006A6FF6">
              <w:rPr>
                <w:rFonts w:eastAsia="新細明體" w:cs="Segoe UI"/>
                <w:sz w:val="17"/>
                <w:szCs w:val="17"/>
                <w:lang w:eastAsia="zh-TW"/>
              </w:rPr>
              <w:t>SEC-ERBA</w:t>
            </w:r>
            <w:r w:rsidR="004E75ED" w:rsidRPr="006A6FF6">
              <w:rPr>
                <w:rFonts w:eastAsia="新細明體" w:cs="Segoe UI" w:hint="eastAsia"/>
                <w:sz w:val="17"/>
                <w:lang w:eastAsia="zh-HK"/>
              </w:rPr>
              <w:t>（</w:t>
            </w:r>
            <w:r w:rsidRPr="006A6FF6">
              <w:rPr>
                <w:rFonts w:eastAsia="新細明體" w:cs="Segoe UI" w:hint="eastAsia"/>
                <w:sz w:val="17"/>
                <w:szCs w:val="17"/>
                <w:lang w:eastAsia="zh-HK"/>
              </w:rPr>
              <w:t>不包括</w:t>
            </w:r>
            <w:r w:rsidRPr="006A6FF6">
              <w:rPr>
                <w:rFonts w:eastAsia="新細明體" w:cs="Segoe UI" w:hint="eastAsia"/>
                <w:sz w:val="17"/>
                <w:szCs w:val="17"/>
                <w:lang w:eastAsia="zh-TW"/>
              </w:rPr>
              <w:t>IAA</w:t>
            </w:r>
            <w:r w:rsidRPr="006A6FF6">
              <w:rPr>
                <w:rFonts w:ascii="新細明體" w:eastAsia="新細明體" w:hAnsi="新細明體" w:cs="Segoe UI" w:hint="eastAsia"/>
                <w:sz w:val="17"/>
                <w:szCs w:val="17"/>
                <w:lang w:eastAsia="zh-TW"/>
              </w:rPr>
              <w:t>的</w:t>
            </w:r>
            <w:r w:rsidRPr="006A6FF6">
              <w:rPr>
                <w:rFonts w:eastAsia="新細明體" w:cs="Segoe UI" w:hint="eastAsia"/>
                <w:sz w:val="17"/>
                <w:szCs w:val="17"/>
                <w:lang w:eastAsia="zh-HK"/>
              </w:rPr>
              <w:t>使用</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eastAsia="新細明體" w:cs="Segoe UI"/>
                <w:sz w:val="17"/>
                <w:szCs w:val="17"/>
                <w:lang w:eastAsia="zh-TW"/>
              </w:rPr>
              <w:t>SEC-SA</w:t>
            </w:r>
            <w:r w:rsidRPr="006A6FF6">
              <w:rPr>
                <w:rFonts w:eastAsia="新細明體" w:cs="Segoe UI" w:hint="eastAsia"/>
                <w:sz w:val="17"/>
                <w:szCs w:val="17"/>
                <w:lang w:eastAsia="zh-HK"/>
              </w:rPr>
              <w:t>或</w:t>
            </w:r>
            <w:r w:rsidRPr="006A6FF6">
              <w:rPr>
                <w:rFonts w:eastAsia="新細明體" w:cs="Segoe UI"/>
                <w:sz w:val="17"/>
                <w:szCs w:val="17"/>
                <w:lang w:eastAsia="zh-TW"/>
              </w:rPr>
              <w:t>SEC-FBA</w:t>
            </w:r>
            <w:r w:rsidRPr="006A6FF6">
              <w:rPr>
                <w:rFonts w:eastAsia="新細明體" w:cs="Segoe UI" w:hint="eastAsia"/>
                <w:sz w:val="17"/>
                <w:szCs w:val="17"/>
                <w:lang w:eastAsia="zh-HK"/>
              </w:rPr>
              <w:t>計算的風險加權數額</w:t>
            </w:r>
            <w:r w:rsidRPr="006A6FF6">
              <w:rPr>
                <w:rFonts w:eastAsia="新細明體" w:cs="Segoe UI" w:hint="eastAsia"/>
                <w:sz w:val="17"/>
                <w:szCs w:val="17"/>
                <w:lang w:eastAsia="zh-TW"/>
              </w:rPr>
              <w:t>。</w:t>
            </w:r>
          </w:p>
          <w:p w14:paraId="2F5440DD"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4E4936DA" w14:textId="4CCFBA01"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rPr>
            </w:pPr>
            <w:r w:rsidRPr="006A6FF6">
              <w:rPr>
                <w:rFonts w:eastAsia="新細明體" w:cs="Segoe UI"/>
                <w:i/>
                <w:sz w:val="17"/>
                <w:szCs w:val="17"/>
                <w:lang w:eastAsia="zh-TW"/>
              </w:rPr>
              <w:t>[CMS1:4/c]</w:t>
            </w:r>
            <w:r w:rsidR="0005179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w:t>
            </w:r>
            <w:r w:rsidR="001B6E07" w:rsidRPr="006A6FF6">
              <w:rPr>
                <w:rFonts w:eastAsia="新細明體" w:cs="Segoe UI" w:hint="eastAsia"/>
                <w:i/>
                <w:sz w:val="17"/>
                <w:szCs w:val="17"/>
                <w:lang w:eastAsia="zh-HK"/>
              </w:rPr>
              <w:t>總</w:t>
            </w:r>
            <w:r w:rsidRPr="006A6FF6">
              <w:rPr>
                <w:rFonts w:eastAsia="新細明體" w:cs="Segoe UI" w:hint="eastAsia"/>
                <w:i/>
                <w:sz w:val="17"/>
                <w:szCs w:val="17"/>
                <w:lang w:eastAsia="zh-HK"/>
              </w:rPr>
              <w:t>實際風險加權總額</w:t>
            </w:r>
            <w:r w:rsidRPr="006A6FF6">
              <w:rPr>
                <w:rFonts w:eastAsia="新細明體" w:cs="Segoe UI"/>
                <w:sz w:val="17"/>
                <w:szCs w:val="17"/>
                <w:lang w:eastAsia="zh-TW"/>
              </w:rPr>
              <w:t>：</w:t>
            </w:r>
            <w:proofErr w:type="gramStart"/>
            <w:r w:rsidRPr="006A6FF6">
              <w:rPr>
                <w:rFonts w:eastAsia="新細明體" w:cs="Segoe UI" w:hint="eastAsia"/>
                <w:sz w:val="17"/>
                <w:szCs w:val="17"/>
                <w:lang w:eastAsia="zh-HK"/>
              </w:rPr>
              <w:t>填報的風險加權數額是</w:t>
            </w:r>
            <w:r w:rsidRPr="006A6FF6">
              <w:rPr>
                <w:rFonts w:eastAsia="新細明體" w:cs="Segoe UI"/>
                <w:sz w:val="17"/>
                <w:szCs w:val="17"/>
                <w:lang w:eastAsia="zh-TW"/>
              </w:rPr>
              <w:t>[</w:t>
            </w:r>
            <w:proofErr w:type="gramEnd"/>
            <w:r w:rsidRPr="006A6FF6">
              <w:rPr>
                <w:rFonts w:eastAsia="新細明體" w:cs="Segoe UI"/>
                <w:sz w:val="17"/>
                <w:szCs w:val="17"/>
                <w:lang w:eastAsia="zh-TW"/>
              </w:rPr>
              <w:t>CMS1:4/a]</w:t>
            </w:r>
            <w:r w:rsidRPr="006A6FF6">
              <w:rPr>
                <w:rFonts w:eastAsia="新細明體" w:cs="Segoe UI" w:hint="eastAsia"/>
                <w:sz w:val="17"/>
                <w:szCs w:val="17"/>
                <w:lang w:eastAsia="zh-HK"/>
              </w:rPr>
              <w:t>與</w:t>
            </w:r>
            <w:r w:rsidRPr="006A6FF6">
              <w:rPr>
                <w:rFonts w:eastAsia="新細明體" w:cs="Segoe UI"/>
                <w:sz w:val="17"/>
                <w:szCs w:val="17"/>
                <w:lang w:eastAsia="zh-TW"/>
              </w:rPr>
              <w:t>[CMS1:4/b]</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r w:rsidRPr="006A6FF6">
              <w:rPr>
                <w:rFonts w:eastAsia="新細明體" w:cs="Segoe UI"/>
                <w:sz w:val="17"/>
                <w:szCs w:val="17"/>
              </w:rPr>
              <w:t>[CMS1:4/c]</w:t>
            </w:r>
            <w:r w:rsidRPr="006A6FF6">
              <w:rPr>
                <w:rFonts w:eastAsia="新細明體" w:cs="Segoe UI" w:hint="eastAsia"/>
                <w:sz w:val="17"/>
                <w:szCs w:val="17"/>
                <w:lang w:eastAsia="zh-HK"/>
              </w:rPr>
              <w:t>的值相等於</w:t>
            </w:r>
            <w:r w:rsidRPr="006A6FF6">
              <w:rPr>
                <w:rFonts w:eastAsia="新細明體" w:cs="Segoe UI"/>
                <w:sz w:val="17"/>
                <w:szCs w:val="17"/>
              </w:rPr>
              <w:t>[OV1:16/a]</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p>
          <w:p w14:paraId="69CA177E"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rPr>
            </w:pPr>
          </w:p>
          <w:p w14:paraId="08F435DC" w14:textId="6D8AAB84" w:rsidR="00190D67" w:rsidRPr="006A6FF6" w:rsidRDefault="00190D67" w:rsidP="00A02F15">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[CMS1:4/d]</w:t>
            </w:r>
            <w:r w:rsidR="0005179F" w:rsidRPr="006A6FF6">
              <w:rPr>
                <w:rFonts w:eastAsia="新細明體" w:cs="Segoe UI"/>
                <w:i/>
                <w:sz w:val="17"/>
                <w:szCs w:val="17"/>
                <w:lang w:eastAsia="zh-TW"/>
              </w:rPr>
              <w:t xml:space="preserve"> </w:t>
            </w:r>
            <w:r w:rsidR="00123DAB" w:rsidRPr="006A6FF6">
              <w:rPr>
                <w:rFonts w:eastAsia="新細明體" w:cs="Segoe UI" w:hint="eastAsia"/>
                <w:i/>
                <w:sz w:val="17"/>
                <w:szCs w:val="17"/>
                <w:lang w:eastAsia="zh-HK"/>
              </w:rPr>
              <w:t>即採用全面標準計算法計算的風險加權數額</w:t>
            </w:r>
            <w:r w:rsidRPr="006A6FF6">
              <w:rPr>
                <w:rFonts w:eastAsia="新細明體" w:cs="Segoe UI"/>
                <w:sz w:val="17"/>
                <w:szCs w:val="17"/>
                <w:lang w:eastAsia="zh-TW"/>
              </w:rPr>
              <w:t>：</w:t>
            </w:r>
            <w:proofErr w:type="gramStart"/>
            <w:r w:rsidR="00A02F15" w:rsidRPr="006A6FF6">
              <w:rPr>
                <w:rFonts w:eastAsia="新細明體" w:cs="Segoe UI" w:hint="eastAsia"/>
                <w:sz w:val="17"/>
                <w:szCs w:val="17"/>
                <w:lang w:eastAsia="zh-HK"/>
              </w:rPr>
              <w:t>就引致</w:t>
            </w:r>
            <w:r w:rsidR="00A02F15" w:rsidRPr="006A6FF6">
              <w:rPr>
                <w:rFonts w:eastAsia="新細明體" w:cs="Segoe UI"/>
                <w:sz w:val="17"/>
                <w:szCs w:val="17"/>
                <w:lang w:eastAsia="zh-TW"/>
              </w:rPr>
              <w:t>[</w:t>
            </w:r>
            <w:proofErr w:type="gramEnd"/>
            <w:r w:rsidR="00A02F15" w:rsidRPr="006A6FF6">
              <w:rPr>
                <w:rFonts w:eastAsia="新細明體" w:cs="Segoe UI"/>
                <w:sz w:val="17"/>
                <w:szCs w:val="17"/>
                <w:lang w:eastAsia="zh-TW"/>
              </w:rPr>
              <w:t>CMS1:</w:t>
            </w:r>
            <w:r w:rsidR="00A02F15" w:rsidRPr="006A6FF6">
              <w:rPr>
                <w:rFonts w:eastAsia="新細明體" w:cs="Segoe UI" w:hint="eastAsia"/>
                <w:sz w:val="17"/>
                <w:szCs w:val="17"/>
                <w:lang w:eastAsia="zh-TW"/>
              </w:rPr>
              <w:t>4</w:t>
            </w:r>
            <w:r w:rsidR="00A02F15" w:rsidRPr="006A6FF6">
              <w:rPr>
                <w:rFonts w:eastAsia="新細明體" w:cs="Segoe UI"/>
                <w:sz w:val="17"/>
                <w:szCs w:val="17"/>
                <w:lang w:eastAsia="zh-TW"/>
              </w:rPr>
              <w:t>/c]</w:t>
            </w:r>
            <w:r w:rsidR="00A02F15" w:rsidRPr="006A6FF6">
              <w:rPr>
                <w:rFonts w:eastAsia="新細明體" w:cs="Segoe UI" w:hint="eastAsia"/>
                <w:sz w:val="17"/>
                <w:szCs w:val="17"/>
                <w:lang w:eastAsia="zh-HK"/>
              </w:rPr>
              <w:t>中填報的風險加權數額的所有風險承擔</w:t>
            </w:r>
            <w:r w:rsidR="00A02F15" w:rsidRPr="006A6FF6">
              <w:rPr>
                <w:rFonts w:ascii="新細明體" w:eastAsia="新細明體" w:hAnsi="新細明體" w:cs="Segoe UI" w:hint="eastAsia"/>
                <w:sz w:val="17"/>
                <w:szCs w:val="17"/>
                <w:lang w:eastAsia="zh-HK"/>
              </w:rPr>
              <w:t>，</w:t>
            </w:r>
            <w:r w:rsidR="00A02F15" w:rsidRPr="006A6FF6">
              <w:rPr>
                <w:rFonts w:eastAsia="新細明體" w:cs="Segoe UI" w:hint="eastAsia"/>
                <w:sz w:val="17"/>
                <w:szCs w:val="17"/>
                <w:lang w:eastAsia="zh-HK"/>
              </w:rPr>
              <w:t>以</w:t>
            </w:r>
            <w:r w:rsidR="00A02F15" w:rsidRPr="006A6FF6">
              <w:rPr>
                <w:rFonts w:eastAsia="新細明體" w:cs="Segoe UI"/>
                <w:sz w:val="17"/>
                <w:szCs w:val="17"/>
                <w:lang w:eastAsia="zh-TW"/>
              </w:rPr>
              <w:t>[CMS1:4/b]</w:t>
            </w:r>
            <w:r w:rsidR="00A02F15" w:rsidRPr="006A6FF6">
              <w:rPr>
                <w:rFonts w:eastAsia="新細明體" w:cs="Segoe UI" w:hint="eastAsia"/>
                <w:sz w:val="17"/>
                <w:szCs w:val="17"/>
                <w:lang w:eastAsia="zh-HK"/>
              </w:rPr>
              <w:t>所述的計算法計</w:t>
            </w:r>
            <w:r w:rsidR="00A02F15" w:rsidRPr="006A6FF6">
              <w:rPr>
                <w:rFonts w:eastAsia="新細明體" w:cs="Segoe UI" w:hint="eastAsia"/>
                <w:sz w:val="17"/>
                <w:szCs w:val="17"/>
                <w:lang w:eastAsia="zh-TW"/>
              </w:rPr>
              <w:t>算</w:t>
            </w:r>
            <w:r w:rsidR="00A02F15" w:rsidRPr="006A6FF6">
              <w:rPr>
                <w:rFonts w:eastAsia="新細明體" w:cs="Segoe UI" w:hint="eastAsia"/>
                <w:sz w:val="17"/>
                <w:szCs w:val="17"/>
                <w:lang w:eastAsia="zh-HK"/>
              </w:rPr>
              <w:t>其信用風險的風險加權數額</w:t>
            </w:r>
            <w:r w:rsidR="002560CE">
              <w:rPr>
                <w:rFonts w:eastAsia="新細明體" w:cs="Segoe UI" w:hint="eastAsia"/>
                <w:sz w:val="17"/>
                <w:szCs w:val="17"/>
                <w:lang w:eastAsia="zh-HK"/>
              </w:rPr>
              <w:t>，</w:t>
            </w:r>
            <w:r w:rsidR="002560CE" w:rsidRPr="006A6FF6">
              <w:rPr>
                <w:rFonts w:eastAsia="新細明體" w:cs="Segoe UI" w:hint="eastAsia"/>
                <w:sz w:val="17"/>
                <w:lang w:eastAsia="zh-HK"/>
              </w:rPr>
              <w:t>作為</w:t>
            </w:r>
            <w:r w:rsidR="002560CE" w:rsidRPr="006A6FF6">
              <w:rPr>
                <w:rFonts w:eastAsia="新細明體" w:cs="Segoe UI" w:hint="eastAsia"/>
                <w:sz w:val="17"/>
                <w:szCs w:val="17"/>
                <w:lang w:eastAsia="zh-HK"/>
              </w:rPr>
              <w:t>出項下限計算</w:t>
            </w:r>
            <w:r w:rsidR="002560CE" w:rsidRPr="006A6FF6">
              <w:rPr>
                <w:rFonts w:eastAsiaTheme="minorEastAsia" w:cs="Segoe UI" w:hint="eastAsia"/>
                <w:sz w:val="17"/>
                <w:szCs w:val="17"/>
                <w:lang w:eastAsia="zh-HK"/>
              </w:rPr>
              <w:t>的</w:t>
            </w:r>
            <w:r w:rsidR="002560CE" w:rsidRPr="006A6FF6">
              <w:rPr>
                <w:rFonts w:eastAsia="新細明體" w:cs="Segoe UI" w:hint="eastAsia"/>
                <w:sz w:val="17"/>
                <w:szCs w:val="17"/>
                <w:lang w:eastAsia="zh-HK"/>
              </w:rPr>
              <w:t>基礎</w:t>
            </w:r>
            <w:r w:rsidR="00A02F15" w:rsidRPr="006A6FF6">
              <w:rPr>
                <w:rFonts w:eastAsia="新細明體" w:cs="Segoe UI" w:hint="eastAsia"/>
                <w:sz w:val="17"/>
                <w:szCs w:val="17"/>
                <w:lang w:eastAsia="zh-TW"/>
              </w:rPr>
              <w:t>。</w:t>
            </w:r>
          </w:p>
        </w:tc>
      </w:tr>
      <w:tr w:rsidR="006A6FF6" w:rsidRPr="006A6FF6" w14:paraId="4741A995" w14:textId="77777777" w:rsidTr="00862754">
        <w:tc>
          <w:tcPr>
            <w:tcW w:w="567" w:type="dxa"/>
            <w:shd w:val="clear" w:color="auto" w:fill="auto"/>
          </w:tcPr>
          <w:p w14:paraId="2301B38D"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rPr>
            </w:pPr>
            <w:r w:rsidRPr="006A6FF6">
              <w:rPr>
                <w:rFonts w:eastAsia="新細明體" w:cs="Segoe UI"/>
                <w:sz w:val="17"/>
                <w:szCs w:val="17"/>
              </w:rPr>
              <w:t>5</w:t>
            </w:r>
          </w:p>
        </w:tc>
        <w:tc>
          <w:tcPr>
            <w:tcW w:w="8647" w:type="dxa"/>
            <w:shd w:val="clear" w:color="auto" w:fill="auto"/>
          </w:tcPr>
          <w:p w14:paraId="1351F939" w14:textId="2F4A2E49" w:rsidR="00190D67" w:rsidRPr="006A6FF6" w:rsidRDefault="00190D67" w:rsidP="00862754">
            <w:pPr>
              <w:keepLines/>
              <w:tabs>
                <w:tab w:val="left" w:pos="150"/>
                <w:tab w:val="left" w:pos="397"/>
                <w:tab w:val="left" w:pos="794"/>
                <w:tab w:val="left" w:pos="1191"/>
              </w:tabs>
              <w:spacing w:before="40" w:after="40"/>
              <w:jc w:val="both"/>
              <w:rPr>
                <w:rFonts w:eastAsia="新細明體" w:cs="Segoe UI"/>
                <w:b/>
                <w:sz w:val="17"/>
                <w:szCs w:val="17"/>
                <w:lang w:eastAsia="zh-TW"/>
              </w:rPr>
            </w:pPr>
            <w:r w:rsidRPr="006A6FF6">
              <w:rPr>
                <w:rFonts w:eastAsia="新細明體" w:cs="Segoe UI" w:hint="eastAsia"/>
                <w:i/>
                <w:sz w:val="17"/>
                <w:szCs w:val="17"/>
                <w:u w:val="single"/>
                <w:lang w:eastAsia="zh-HK"/>
              </w:rPr>
              <w:t>市場風險</w:t>
            </w:r>
            <w:r w:rsidRPr="006A6FF6">
              <w:rPr>
                <w:rFonts w:eastAsia="新細明體" w:cs="Segoe UI"/>
                <w:i/>
                <w:sz w:val="17"/>
                <w:szCs w:val="17"/>
                <w:lang w:eastAsia="zh-TW"/>
              </w:rPr>
              <w:t xml:space="preserve"> </w:t>
            </w:r>
          </w:p>
          <w:p w14:paraId="4AD2C0BF" w14:textId="0CFA9E78" w:rsidR="00190D67" w:rsidRPr="006A6FF6" w:rsidRDefault="00190D67" w:rsidP="00DB0471">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[CMS1:5/b]</w:t>
            </w:r>
            <w:r w:rsidR="0005179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即採用標準計算法的組合的風險加權數額</w:t>
            </w:r>
            <w:r w:rsidRPr="006A6FF6">
              <w:rPr>
                <w:rFonts w:eastAsia="新細明體" w:cs="Segoe UI" w:hint="eastAsia"/>
                <w:sz w:val="17"/>
                <w:szCs w:val="17"/>
                <w:lang w:eastAsia="zh-TW"/>
              </w:rPr>
              <w:t>：</w:t>
            </w:r>
            <w:r w:rsidRPr="006A6FF6">
              <w:rPr>
                <w:rFonts w:eastAsia="新細明體" w:cs="Segoe UI" w:hint="eastAsia"/>
                <w:sz w:val="17"/>
                <w:szCs w:val="17"/>
                <w:lang w:eastAsia="zh-HK"/>
              </w:rPr>
              <w:t>在</w:t>
            </w:r>
            <w:r w:rsidRPr="006A6FF6">
              <w:rPr>
                <w:rFonts w:eastAsia="新細明體" w:cs="Segoe UI"/>
                <w:sz w:val="17"/>
                <w:szCs w:val="17"/>
                <w:lang w:eastAsia="zh-TW"/>
              </w:rPr>
              <w:t>STM</w:t>
            </w:r>
            <w:r w:rsidRPr="006A6FF6">
              <w:rPr>
                <w:rFonts w:eastAsia="新細明體" w:cs="Segoe UI" w:hint="eastAsia"/>
                <w:sz w:val="17"/>
                <w:szCs w:val="17"/>
                <w:lang w:eastAsia="zh-HK"/>
              </w:rPr>
              <w:t>計算法</w:t>
            </w:r>
            <w:r w:rsidR="0005179F" w:rsidRPr="006A6FF6">
              <w:rPr>
                <w:rFonts w:eastAsia="新細明體" w:cs="Segoe UI" w:hint="eastAsia"/>
                <w:sz w:val="17"/>
                <w:lang w:eastAsia="zh-HK"/>
              </w:rPr>
              <w:t>（</w:t>
            </w:r>
            <w:r w:rsidRPr="006A6FF6">
              <w:rPr>
                <w:rFonts w:eastAsia="新細明體" w:cs="Segoe UI" w:hint="eastAsia"/>
                <w:sz w:val="17"/>
                <w:szCs w:val="17"/>
                <w:lang w:eastAsia="zh-HK"/>
              </w:rPr>
              <w:t>或</w:t>
            </w:r>
            <w:r w:rsidR="0005179F" w:rsidRPr="006A6FF6">
              <w:rPr>
                <w:rFonts w:eastAsia="新細明體" w:cs="Segoe UI" w:hint="eastAsia"/>
                <w:sz w:val="17"/>
                <w:lang w:eastAsia="zh-HK"/>
              </w:rPr>
              <w:t>如</w:t>
            </w:r>
            <w:r w:rsidRPr="006A6FF6">
              <w:rPr>
                <w:rFonts w:eastAsia="新細明體" w:cs="Segoe UI" w:hint="eastAsia"/>
                <w:sz w:val="17"/>
                <w:szCs w:val="17"/>
                <w:lang w:eastAsia="zh-HK"/>
              </w:rPr>
              <w:t>適用</w:t>
            </w:r>
            <w:r w:rsidRPr="006A6FF6">
              <w:rPr>
                <w:rFonts w:eastAsia="新細明體" w:cs="Segoe UI"/>
                <w:sz w:val="17"/>
                <w:szCs w:val="17"/>
                <w:lang w:eastAsia="zh-TW"/>
              </w:rPr>
              <w:t>SSTM</w:t>
            </w:r>
            <w:r w:rsidRPr="006A6FF6">
              <w:rPr>
                <w:rFonts w:eastAsia="新細明體" w:cs="Segoe UI" w:hint="eastAsia"/>
                <w:sz w:val="17"/>
                <w:szCs w:val="17"/>
                <w:lang w:eastAsia="zh-HK"/>
              </w:rPr>
              <w:t>計算法</w:t>
            </w:r>
            <w:r w:rsidR="0005179F"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HK"/>
              </w:rPr>
              <w:t>下計算的風險加權數額</w:t>
            </w:r>
            <w:r w:rsidRPr="006A6FF6">
              <w:rPr>
                <w:rFonts w:eastAsia="新細明體" w:cs="Segoe UI" w:hint="eastAsia"/>
                <w:sz w:val="17"/>
                <w:szCs w:val="17"/>
                <w:lang w:eastAsia="zh-TW"/>
              </w:rPr>
              <w:t>。</w:t>
            </w:r>
            <w:r w:rsidR="00A02F15" w:rsidRPr="006A6FF6">
              <w:rPr>
                <w:rFonts w:eastAsia="新細明體" w:cs="Segoe UI" w:hint="eastAsia"/>
                <w:sz w:val="17"/>
                <w:szCs w:val="17"/>
                <w:lang w:eastAsia="zh-TW"/>
              </w:rPr>
              <w:t>對</w:t>
            </w:r>
            <w:r w:rsidRPr="006A6FF6">
              <w:rPr>
                <w:rFonts w:eastAsia="新細明體" w:cs="Segoe UI" w:hint="eastAsia"/>
                <w:sz w:val="17"/>
                <w:szCs w:val="17"/>
                <w:lang w:eastAsia="zh-HK"/>
              </w:rPr>
              <w:t>於交易帳</w:t>
            </w:r>
            <w:r w:rsidR="00670B2C" w:rsidRPr="006A6FF6">
              <w:rPr>
                <w:rFonts w:eastAsia="新細明體" w:cs="Segoe UI" w:hint="eastAsia"/>
                <w:sz w:val="17"/>
                <w:szCs w:val="17"/>
                <w:lang w:eastAsia="zh-HK"/>
              </w:rPr>
              <w:t>內</w:t>
            </w:r>
            <w:r w:rsidRPr="006A6FF6">
              <w:rPr>
                <w:rFonts w:eastAsia="新細明體" w:cs="Segoe UI" w:hint="eastAsia"/>
                <w:sz w:val="17"/>
                <w:szCs w:val="17"/>
                <w:lang w:eastAsia="zh-HK"/>
              </w:rPr>
              <w:t>所持有的證券化類別風險承擔</w:t>
            </w:r>
            <w:r w:rsidRPr="006A6FF6">
              <w:rPr>
                <w:rFonts w:eastAsia="新細明體" w:cs="Segoe UI" w:hint="eastAsia"/>
                <w:sz w:val="17"/>
                <w:szCs w:val="17"/>
                <w:lang w:eastAsia="zh-TW"/>
              </w:rPr>
              <w:t>，</w:t>
            </w:r>
            <w:r w:rsidRPr="006A6FF6">
              <w:rPr>
                <w:rFonts w:eastAsia="新細明體" w:cs="Segoe UI" w:hint="eastAsia"/>
                <w:sz w:val="17"/>
                <w:szCs w:val="17"/>
                <w:lang w:eastAsia="zh-HK"/>
              </w:rPr>
              <w:t>在斷定</w:t>
            </w:r>
            <w:r w:rsidRPr="006A6FF6">
              <w:rPr>
                <w:rFonts w:eastAsia="新細明體" w:cs="Segoe UI" w:hint="eastAsia"/>
                <w:sz w:val="17"/>
                <w:szCs w:val="17"/>
                <w:lang w:eastAsia="zh-TW"/>
              </w:rPr>
              <w:t>STM</w:t>
            </w:r>
            <w:r w:rsidRPr="006A6FF6">
              <w:rPr>
                <w:rFonts w:eastAsia="新細明體" w:cs="Segoe UI" w:hint="eastAsia"/>
                <w:sz w:val="17"/>
                <w:szCs w:val="17"/>
                <w:lang w:eastAsia="zh-HK"/>
              </w:rPr>
              <w:t>計算法下的違責風險</w:t>
            </w:r>
            <w:r w:rsidR="0032281C" w:rsidRPr="006A6FF6">
              <w:rPr>
                <w:rFonts w:eastAsia="新細明體" w:cs="Segoe UI"/>
                <w:sz w:val="17"/>
                <w:szCs w:val="17"/>
                <w:lang w:eastAsia="zh-HK"/>
              </w:rPr>
              <w:t>資本</w:t>
            </w:r>
            <w:r w:rsidRPr="006A6FF6">
              <w:rPr>
                <w:rFonts w:eastAsia="新細明體" w:cs="Segoe UI" w:hint="eastAsia"/>
                <w:sz w:val="17"/>
                <w:szCs w:val="17"/>
                <w:lang w:eastAsia="zh-HK"/>
              </w:rPr>
              <w:t>要求組成部分及</w:t>
            </w:r>
            <w:r w:rsidRPr="006A6FF6">
              <w:rPr>
                <w:rFonts w:eastAsia="新細明體" w:cs="Segoe UI" w:hint="eastAsia"/>
                <w:sz w:val="17"/>
                <w:szCs w:val="17"/>
                <w:lang w:eastAsia="zh-TW"/>
              </w:rPr>
              <w:t>SSTM</w:t>
            </w:r>
            <w:r w:rsidRPr="006A6FF6">
              <w:rPr>
                <w:rFonts w:eastAsia="新細明體" w:cs="Segoe UI" w:hint="eastAsia"/>
                <w:sz w:val="17"/>
                <w:szCs w:val="17"/>
                <w:lang w:eastAsia="zh-HK"/>
              </w:rPr>
              <w:t>計算法下</w:t>
            </w:r>
            <w:r w:rsidRPr="006A6FF6">
              <w:rPr>
                <w:rFonts w:eastAsia="新細明體" w:cs="Segoe UI"/>
                <w:sz w:val="17"/>
                <w:szCs w:val="17"/>
                <w:lang w:eastAsia="zh-HK"/>
              </w:rPr>
              <w:t>利率風險承擔的特定風險的市場風險資本要求</w:t>
            </w:r>
            <w:r w:rsidR="0005179F" w:rsidRPr="006A6FF6">
              <w:rPr>
                <w:rFonts w:eastAsia="新細明體" w:cs="Segoe UI" w:hint="eastAsia"/>
                <w:sz w:val="17"/>
                <w:szCs w:val="17"/>
                <w:lang w:eastAsia="zh-HK"/>
              </w:rPr>
              <w:t>因數</w:t>
            </w:r>
            <w:r w:rsidRPr="006A6FF6">
              <w:rPr>
                <w:rFonts w:eastAsia="新細明體" w:cs="Segoe UI" w:hint="eastAsia"/>
                <w:sz w:val="17"/>
                <w:szCs w:val="17"/>
                <w:lang w:eastAsia="zh-HK"/>
              </w:rPr>
              <w:t>時</w:t>
            </w:r>
            <w:r w:rsidRPr="006A6FF6">
              <w:rPr>
                <w:rFonts w:eastAsia="新細明體" w:cs="Segoe UI" w:hint="eastAsia"/>
                <w:sz w:val="17"/>
                <w:szCs w:val="17"/>
                <w:lang w:eastAsia="zh-TW"/>
              </w:rPr>
              <w:t>，</w:t>
            </w:r>
            <w:r w:rsidRPr="006A6FF6">
              <w:rPr>
                <w:rFonts w:eastAsia="新細明體" w:cs="Segoe UI" w:hint="eastAsia"/>
                <w:sz w:val="17"/>
                <w:szCs w:val="17"/>
                <w:lang w:eastAsia="zh-HK"/>
              </w:rPr>
              <w:t>亦應使用</w:t>
            </w:r>
            <w:r w:rsidRPr="006A6FF6">
              <w:rPr>
                <w:rFonts w:eastAsia="新細明體" w:cs="Segoe UI"/>
                <w:sz w:val="17"/>
                <w:szCs w:val="17"/>
                <w:lang w:eastAsia="zh-TW"/>
              </w:rPr>
              <w:t>SEC-ERBA</w:t>
            </w:r>
            <w:r w:rsidR="003B266B" w:rsidRPr="006A6FF6">
              <w:rPr>
                <w:rFonts w:eastAsia="新細明體" w:cs="Segoe UI" w:hint="eastAsia"/>
                <w:sz w:val="17"/>
                <w:lang w:eastAsia="zh-HK"/>
              </w:rPr>
              <w:t>（</w:t>
            </w:r>
            <w:r w:rsidR="00D53DEC" w:rsidRPr="006A6FF6">
              <w:rPr>
                <w:rFonts w:eastAsia="新細明體" w:cs="Segoe UI" w:hint="eastAsia"/>
                <w:sz w:val="17"/>
                <w:szCs w:val="17"/>
                <w:lang w:eastAsia="zh-HK"/>
              </w:rPr>
              <w:t>不包括</w:t>
            </w:r>
            <w:r w:rsidRPr="006A6FF6">
              <w:rPr>
                <w:rFonts w:eastAsia="新細明體" w:cs="Segoe UI"/>
                <w:sz w:val="17"/>
                <w:szCs w:val="17"/>
                <w:lang w:eastAsia="zh-TW"/>
              </w:rPr>
              <w:t>IAA</w:t>
            </w:r>
            <w:r w:rsidR="00D53DEC" w:rsidRPr="006A6FF6">
              <w:rPr>
                <w:rFonts w:ascii="新細明體" w:eastAsia="新細明體" w:hAnsi="新細明體" w:cs="Segoe UI" w:hint="eastAsia"/>
                <w:sz w:val="17"/>
                <w:szCs w:val="17"/>
                <w:lang w:eastAsia="zh-TW"/>
              </w:rPr>
              <w:t>的</w:t>
            </w:r>
            <w:r w:rsidR="00D53DEC" w:rsidRPr="006A6FF6">
              <w:rPr>
                <w:rFonts w:eastAsia="新細明體" w:cs="Segoe UI" w:hint="eastAsia"/>
                <w:sz w:val="17"/>
                <w:szCs w:val="17"/>
                <w:lang w:eastAsia="zh-HK"/>
              </w:rPr>
              <w:t>使用</w:t>
            </w:r>
            <w:r w:rsidR="003B266B"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eastAsia="新細明體" w:cs="Segoe UI"/>
                <w:sz w:val="17"/>
                <w:szCs w:val="17"/>
                <w:lang w:eastAsia="zh-TW"/>
              </w:rPr>
              <w:t>SEC</w:t>
            </w:r>
            <w:r w:rsidRPr="004245DE">
              <w:rPr>
                <w:rFonts w:eastAsia="新細明體" w:cs="Segoe UI"/>
                <w:sz w:val="17"/>
                <w:szCs w:val="17"/>
                <w:lang w:eastAsia="zh-TW"/>
              </w:rPr>
              <w:t xml:space="preserve">-SA </w:t>
            </w:r>
            <w:r w:rsidRPr="004245DE">
              <w:rPr>
                <w:rFonts w:eastAsia="新細明體" w:cs="Segoe UI" w:hint="eastAsia"/>
                <w:sz w:val="17"/>
                <w:szCs w:val="17"/>
                <w:lang w:eastAsia="zh-HK"/>
              </w:rPr>
              <w:t>或</w:t>
            </w:r>
            <w:r w:rsidRPr="004245DE">
              <w:rPr>
                <w:rFonts w:eastAsia="新細明體" w:cs="Segoe UI"/>
                <w:sz w:val="17"/>
                <w:szCs w:val="17"/>
                <w:lang w:eastAsia="zh-TW"/>
              </w:rPr>
              <w:t>SEC-FBA</w:t>
            </w:r>
            <w:r w:rsidRPr="004245DE">
              <w:rPr>
                <w:rFonts w:eastAsia="新細明體" w:cs="Segoe UI" w:hint="eastAsia"/>
                <w:sz w:val="17"/>
                <w:szCs w:val="17"/>
                <w:lang w:eastAsia="zh-TW"/>
              </w:rPr>
              <w:t>。</w:t>
            </w:r>
            <w:r w:rsidR="00DB0471" w:rsidRPr="004245DE">
              <w:rPr>
                <w:rFonts w:eastAsia="新細明體" w:cs="Segoe UI" w:hint="eastAsia"/>
                <w:sz w:val="17"/>
                <w:szCs w:val="17"/>
                <w:lang w:eastAsia="zh-HK"/>
              </w:rPr>
              <w:t>所</w:t>
            </w:r>
            <w:r w:rsidR="005119FA" w:rsidRPr="004245DE">
              <w:rPr>
                <w:rFonts w:eastAsia="新細明體" w:cs="Segoe UI" w:hint="eastAsia"/>
                <w:sz w:val="17"/>
                <w:szCs w:val="17"/>
                <w:lang w:eastAsia="zh-HK"/>
              </w:rPr>
              <w:t>填</w:t>
            </w:r>
            <w:r w:rsidR="00DB0471" w:rsidRPr="004245DE">
              <w:rPr>
                <w:rFonts w:eastAsia="新細明體" w:cs="Segoe UI" w:hint="eastAsia"/>
                <w:sz w:val="17"/>
                <w:szCs w:val="17"/>
                <w:lang w:eastAsia="zh-HK"/>
              </w:rPr>
              <w:t>報的風險加權數額</w:t>
            </w:r>
            <w:r w:rsidR="005119FA" w:rsidRPr="004245DE">
              <w:rPr>
                <w:rFonts w:eastAsia="新細明體" w:cs="Segoe UI" w:hint="eastAsia"/>
                <w:sz w:val="17"/>
                <w:szCs w:val="17"/>
                <w:lang w:eastAsia="zh-HK"/>
              </w:rPr>
              <w:t>亦</w:t>
            </w:r>
            <w:r w:rsidR="00DB0471" w:rsidRPr="004245DE">
              <w:rPr>
                <w:rFonts w:eastAsia="新細明體" w:cs="Segoe UI" w:hint="eastAsia"/>
                <w:sz w:val="17"/>
                <w:szCs w:val="17"/>
                <w:lang w:eastAsia="zh-HK"/>
              </w:rPr>
              <w:t>應</w:t>
            </w:r>
            <w:r w:rsidR="005119FA" w:rsidRPr="004245DE">
              <w:rPr>
                <w:rFonts w:eastAsia="新細明體" w:cs="Segoe UI" w:hint="eastAsia"/>
                <w:sz w:val="17"/>
                <w:szCs w:val="17"/>
                <w:lang w:eastAsia="zh-HK"/>
              </w:rPr>
              <w:t>涵蓋</w:t>
            </w:r>
            <w:r w:rsidR="00274EA6" w:rsidRPr="004245DE">
              <w:rPr>
                <w:rFonts w:ascii="Calibri" w:eastAsia="新細明體" w:hAnsi="Calibri" w:cs="Segoe UI" w:hint="eastAsia"/>
                <w:sz w:val="17"/>
                <w:szCs w:val="17"/>
                <w:lang w:eastAsia="zh-TW"/>
              </w:rPr>
              <w:t>金融管理專員</w:t>
            </w:r>
            <w:r w:rsidR="009319FA" w:rsidRPr="004245DE">
              <w:rPr>
                <w:rFonts w:ascii="Calibri" w:eastAsia="新細明體" w:hAnsi="Calibri" w:cs="Segoe UI" w:hint="eastAsia"/>
                <w:sz w:val="17"/>
                <w:szCs w:val="17"/>
                <w:lang w:eastAsia="zh-HK"/>
              </w:rPr>
              <w:t>根</w:t>
            </w:r>
            <w:r w:rsidR="009319FA" w:rsidRPr="004245DE">
              <w:rPr>
                <w:rFonts w:ascii="Calibri" w:eastAsia="新細明體" w:hAnsi="Calibri" w:cs="Segoe UI" w:hint="eastAsia"/>
                <w:sz w:val="17"/>
                <w:szCs w:val="17"/>
                <w:lang w:eastAsia="zh-TW"/>
              </w:rPr>
              <w:t>據</w:t>
            </w:r>
            <w:r w:rsidR="00274EA6" w:rsidRPr="004245DE">
              <w:rPr>
                <w:rFonts w:ascii="Calibri" w:eastAsia="新細明體" w:hAnsi="Calibri" w:cs="Segoe UI" w:hint="eastAsia"/>
                <w:sz w:val="17"/>
                <w:szCs w:val="17"/>
                <w:lang w:eastAsia="zh-TW"/>
              </w:rPr>
              <w:t>《資本規則》第</w:t>
            </w:r>
            <w:r w:rsidR="00274EA6" w:rsidRPr="00F1648F">
              <w:rPr>
                <w:rFonts w:eastAsia="新細明體" w:cs="Segoe UI"/>
                <w:sz w:val="17"/>
                <w:szCs w:val="17"/>
                <w:lang w:eastAsia="zh-TW"/>
              </w:rPr>
              <w:t>380</w:t>
            </w:r>
            <w:r w:rsidR="00274EA6" w:rsidRPr="004245DE">
              <w:rPr>
                <w:rFonts w:ascii="Calibri" w:eastAsia="新細明體" w:hAnsi="Calibri" w:cs="Segoe UI" w:hint="eastAsia"/>
                <w:sz w:val="17"/>
                <w:szCs w:val="17"/>
                <w:lang w:eastAsia="zh-TW"/>
              </w:rPr>
              <w:t>條指</w:t>
            </w:r>
            <w:r w:rsidR="00274EA6" w:rsidRPr="004245DE">
              <w:rPr>
                <w:rFonts w:ascii="Calibri" w:eastAsia="新細明體" w:hAnsi="Calibri" w:cs="Segoe UI" w:hint="eastAsia"/>
                <w:sz w:val="17"/>
                <w:szCs w:val="17"/>
                <w:lang w:eastAsia="zh-HK"/>
              </w:rPr>
              <w:t>明</w:t>
            </w:r>
            <w:r w:rsidR="00274EA6" w:rsidRPr="004245DE">
              <w:rPr>
                <w:rFonts w:ascii="Calibri" w:eastAsia="新細明體" w:hAnsi="Calibri" w:cs="Segoe UI" w:hint="eastAsia"/>
                <w:sz w:val="17"/>
                <w:szCs w:val="17"/>
                <w:lang w:eastAsia="zh-TW"/>
              </w:rPr>
              <w:t>的</w:t>
            </w:r>
            <w:r w:rsidR="00274EA6" w:rsidRPr="004245DE">
              <w:rPr>
                <w:rFonts w:ascii="Calibri" w:eastAsia="新細明體" w:hAnsi="Calibri" w:cs="Segoe UI"/>
                <w:sz w:val="17"/>
                <w:szCs w:val="17"/>
                <w:lang w:eastAsia="zh-TW"/>
              </w:rPr>
              <w:t>、</w:t>
            </w:r>
            <w:r w:rsidR="00274EA6" w:rsidRPr="004245DE">
              <w:rPr>
                <w:rFonts w:ascii="Calibri" w:eastAsia="新細明體" w:hAnsi="Calibri" w:cs="Segoe UI" w:hint="eastAsia"/>
                <w:sz w:val="17"/>
                <w:szCs w:val="17"/>
                <w:lang w:eastAsia="zh-HK"/>
              </w:rPr>
              <w:t>有</w:t>
            </w:r>
            <w:r w:rsidR="009319FA" w:rsidRPr="004245DE">
              <w:rPr>
                <w:rFonts w:ascii="Calibri" w:eastAsia="新細明體" w:hAnsi="Calibri" w:cs="Segoe UI" w:hint="eastAsia"/>
                <w:sz w:val="17"/>
                <w:szCs w:val="17"/>
                <w:lang w:eastAsia="zh-HK"/>
              </w:rPr>
              <w:t>關</w:t>
            </w:r>
            <w:r w:rsidR="00274EA6" w:rsidRPr="004245DE">
              <w:rPr>
                <w:rFonts w:ascii="Calibri" w:eastAsia="新細明體" w:hAnsi="Calibri" w:cs="Segoe UI" w:hint="eastAsia"/>
                <w:sz w:val="17"/>
                <w:szCs w:val="17"/>
                <w:lang w:eastAsia="zh-HK"/>
              </w:rPr>
              <w:t>編配予</w:t>
            </w:r>
            <w:r w:rsidR="00577175" w:rsidRPr="004245DE">
              <w:rPr>
                <w:rFonts w:ascii="Calibri" w:eastAsia="新細明體" w:hAnsi="Calibri" w:cs="Segoe UI" w:hint="eastAsia"/>
                <w:sz w:val="17"/>
                <w:szCs w:val="17"/>
                <w:lang w:eastAsia="zh-HK"/>
              </w:rPr>
              <w:t>交</w:t>
            </w:r>
            <w:r w:rsidR="00577175">
              <w:rPr>
                <w:rFonts w:ascii="Calibri" w:eastAsia="新細明體" w:hAnsi="Calibri" w:cs="Segoe UI" w:hint="eastAsia"/>
                <w:sz w:val="17"/>
                <w:szCs w:val="17"/>
                <w:lang w:eastAsia="zh-HK"/>
              </w:rPr>
              <w:t>易</w:t>
            </w:r>
            <w:r w:rsidR="00274EA6" w:rsidRPr="009E56FC">
              <w:rPr>
                <w:rFonts w:ascii="Calibri" w:eastAsia="新細明體" w:hAnsi="Calibri" w:cs="Segoe UI" w:hint="eastAsia"/>
                <w:sz w:val="17"/>
                <w:szCs w:val="17"/>
                <w:lang w:eastAsia="zh-TW"/>
              </w:rPr>
              <w:t>帳的第</w:t>
            </w:r>
            <w:r w:rsidR="00274EA6" w:rsidRPr="00F1648F">
              <w:rPr>
                <w:rFonts w:eastAsia="新細明體" w:cs="Segoe UI" w:hint="eastAsia"/>
                <w:sz w:val="17"/>
                <w:szCs w:val="17"/>
                <w:lang w:eastAsia="zh-TW"/>
              </w:rPr>
              <w:t>1</w:t>
            </w:r>
            <w:r w:rsidR="00274EA6" w:rsidRPr="009E56FC">
              <w:rPr>
                <w:rFonts w:ascii="Calibri" w:eastAsia="新細明體" w:hAnsi="Calibri" w:cs="Segoe UI" w:hint="eastAsia"/>
                <w:sz w:val="17"/>
                <w:szCs w:val="17"/>
                <w:lang w:val="en-US" w:eastAsia="zh-HK"/>
              </w:rPr>
              <w:t>組</w:t>
            </w:r>
            <w:r w:rsidR="00274EA6" w:rsidRPr="009E56FC">
              <w:rPr>
                <w:rFonts w:ascii="Calibri" w:eastAsia="新細明體" w:hAnsi="Calibri" w:cs="Segoe UI" w:hint="eastAsia"/>
                <w:sz w:val="17"/>
                <w:szCs w:val="17"/>
                <w:lang w:eastAsia="zh-TW"/>
              </w:rPr>
              <w:t>加密資產風險承擔的基建風險附加</w:t>
            </w:r>
            <w:r w:rsidR="00274EA6" w:rsidRPr="009E56FC">
              <w:rPr>
                <w:rFonts w:ascii="Calibri" w:eastAsia="新細明體" w:hAnsi="Calibri" w:cs="Segoe UI" w:hint="eastAsia"/>
                <w:sz w:val="17"/>
                <w:szCs w:val="17"/>
                <w:lang w:val="en-US" w:eastAsia="zh-HK"/>
              </w:rPr>
              <w:t>額</w:t>
            </w:r>
            <w:r w:rsidR="00DB0471" w:rsidRPr="00DB0471">
              <w:rPr>
                <w:rFonts w:eastAsia="新細明體" w:cs="Segoe UI" w:hint="eastAsia"/>
                <w:sz w:val="17"/>
                <w:szCs w:val="17"/>
                <w:lang w:eastAsia="zh-HK"/>
              </w:rPr>
              <w:t>。</w:t>
            </w:r>
          </w:p>
          <w:p w14:paraId="12392C57"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3666CDFD" w14:textId="605857E9"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HK"/>
              </w:rPr>
            </w:pPr>
            <w:r w:rsidRPr="006A6FF6">
              <w:rPr>
                <w:rFonts w:eastAsia="新細明體" w:cs="Segoe UI"/>
                <w:i/>
                <w:sz w:val="17"/>
                <w:szCs w:val="17"/>
                <w:lang w:eastAsia="zh-TW"/>
              </w:rPr>
              <w:t>[CMS1:5/c]</w:t>
            </w:r>
            <w:r w:rsidR="0005179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w:t>
            </w:r>
            <w:r w:rsidR="001B6E07" w:rsidRPr="006A6FF6">
              <w:rPr>
                <w:rFonts w:eastAsia="新細明體" w:cs="Segoe UI" w:hint="eastAsia"/>
                <w:i/>
                <w:sz w:val="17"/>
                <w:szCs w:val="17"/>
                <w:lang w:eastAsia="zh-HK"/>
              </w:rPr>
              <w:t>總實際風險加權</w:t>
            </w:r>
            <w:r w:rsidR="001B6E07" w:rsidRPr="006A6FF6">
              <w:rPr>
                <w:rFonts w:eastAsia="新細明體" w:cs="Segoe UI" w:hint="eastAsia"/>
                <w:i/>
                <w:sz w:val="17"/>
                <w:szCs w:val="17"/>
                <w:lang w:eastAsia="zh-TW"/>
              </w:rPr>
              <w:t>數</w:t>
            </w:r>
            <w:r w:rsidR="001B6E07" w:rsidRPr="006A6FF6">
              <w:rPr>
                <w:rFonts w:eastAsia="新細明體" w:cs="Segoe UI" w:hint="eastAsia"/>
                <w:i/>
                <w:sz w:val="17"/>
                <w:szCs w:val="17"/>
                <w:lang w:eastAsia="zh-HK"/>
              </w:rPr>
              <w:t>額</w:t>
            </w:r>
            <w:r w:rsidRPr="006A6FF6">
              <w:rPr>
                <w:rFonts w:eastAsia="新細明體" w:cs="Segoe UI"/>
                <w:sz w:val="17"/>
                <w:szCs w:val="17"/>
                <w:lang w:eastAsia="zh-TW"/>
              </w:rPr>
              <w:t>：</w:t>
            </w:r>
            <w:proofErr w:type="gramStart"/>
            <w:r w:rsidRPr="006A6FF6">
              <w:rPr>
                <w:rFonts w:eastAsia="新細明體" w:cs="Segoe UI" w:hint="eastAsia"/>
                <w:sz w:val="17"/>
                <w:szCs w:val="17"/>
                <w:lang w:eastAsia="zh-HK"/>
              </w:rPr>
              <w:t>填報的風險加權數額是</w:t>
            </w:r>
            <w:r w:rsidRPr="006A6FF6">
              <w:rPr>
                <w:rFonts w:eastAsia="新細明體" w:cs="Segoe UI"/>
                <w:sz w:val="17"/>
                <w:szCs w:val="17"/>
                <w:lang w:eastAsia="zh-TW"/>
              </w:rPr>
              <w:t>[</w:t>
            </w:r>
            <w:proofErr w:type="gramEnd"/>
            <w:r w:rsidRPr="006A6FF6">
              <w:rPr>
                <w:rFonts w:eastAsia="新細明體" w:cs="Segoe UI"/>
                <w:sz w:val="17"/>
                <w:szCs w:val="17"/>
                <w:lang w:eastAsia="zh-TW"/>
              </w:rPr>
              <w:t>CMS1:5/a]</w:t>
            </w:r>
            <w:r w:rsidRPr="006A6FF6">
              <w:rPr>
                <w:rFonts w:eastAsia="新細明體" w:cs="Segoe UI" w:hint="eastAsia"/>
                <w:sz w:val="17"/>
                <w:szCs w:val="17"/>
                <w:lang w:eastAsia="zh-HK"/>
              </w:rPr>
              <w:t>與</w:t>
            </w:r>
            <w:r w:rsidRPr="006A6FF6">
              <w:rPr>
                <w:rFonts w:eastAsia="新細明體" w:cs="Segoe UI"/>
                <w:sz w:val="17"/>
                <w:szCs w:val="17"/>
                <w:lang w:eastAsia="zh-TW"/>
              </w:rPr>
              <w:t>[CMS1:5/b]</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r w:rsidRPr="006A6FF6">
              <w:rPr>
                <w:rFonts w:eastAsia="新細明體" w:cs="Segoe UI"/>
                <w:sz w:val="17"/>
                <w:szCs w:val="17"/>
              </w:rPr>
              <w:t>[CMS1</w:t>
            </w:r>
            <w:r w:rsidRPr="006A6FF6">
              <w:rPr>
                <w:rFonts w:ascii="DengXian" w:eastAsia="DengXian" w:hAnsi="DengXian" w:cs="Segoe UI" w:hint="eastAsia"/>
                <w:sz w:val="17"/>
                <w:szCs w:val="17"/>
                <w:lang w:eastAsia="zh-CN"/>
              </w:rPr>
              <w:t>:</w:t>
            </w:r>
            <w:r w:rsidRPr="006A6FF6">
              <w:rPr>
                <w:rFonts w:eastAsia="新細明體" w:cs="Segoe UI"/>
                <w:sz w:val="17"/>
                <w:szCs w:val="17"/>
              </w:rPr>
              <w:t>5/c]</w:t>
            </w:r>
            <w:r w:rsidRPr="006A6FF6">
              <w:rPr>
                <w:rFonts w:eastAsia="新細明體" w:cs="Segoe UI" w:hint="eastAsia"/>
                <w:sz w:val="17"/>
                <w:szCs w:val="17"/>
                <w:lang w:eastAsia="zh-HK"/>
              </w:rPr>
              <w:t>的值相等於</w:t>
            </w:r>
            <w:r w:rsidRPr="006A6FF6">
              <w:rPr>
                <w:rFonts w:eastAsia="新細明體" w:cs="Segoe UI"/>
                <w:sz w:val="17"/>
                <w:szCs w:val="17"/>
              </w:rPr>
              <w:t>[OV1:20/a]</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p>
          <w:p w14:paraId="20F92839"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rPr>
            </w:pPr>
          </w:p>
          <w:p w14:paraId="1188C6DC" w14:textId="68F5BBA4" w:rsidR="00190D67" w:rsidRPr="006A6FF6" w:rsidRDefault="00190D67" w:rsidP="002560CE">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[CMS1:5/d]</w:t>
            </w:r>
            <w:r w:rsidR="0005179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即採用全</w:t>
            </w:r>
            <w:r w:rsidR="0005179F" w:rsidRPr="006A6FF6">
              <w:rPr>
                <w:rFonts w:eastAsia="新細明體" w:cs="Segoe UI" w:hint="eastAsia"/>
                <w:i/>
                <w:sz w:val="17"/>
                <w:szCs w:val="17"/>
                <w:lang w:eastAsia="zh-HK"/>
              </w:rPr>
              <w:t>面</w:t>
            </w:r>
            <w:r w:rsidRPr="006A6FF6">
              <w:rPr>
                <w:rFonts w:eastAsia="新細明體" w:cs="Segoe UI" w:hint="eastAsia"/>
                <w:i/>
                <w:sz w:val="17"/>
                <w:szCs w:val="17"/>
                <w:lang w:eastAsia="zh-HK"/>
              </w:rPr>
              <w:t>標準計算法計算的風險加權數額</w:t>
            </w:r>
            <w:r w:rsidRPr="006A6FF6">
              <w:rPr>
                <w:rFonts w:eastAsia="新細明體" w:cs="Segoe UI"/>
                <w:sz w:val="17"/>
                <w:szCs w:val="17"/>
                <w:lang w:eastAsia="zh-TW"/>
              </w:rPr>
              <w:t>：</w:t>
            </w:r>
            <w:proofErr w:type="gramStart"/>
            <w:r w:rsidR="00A02F15" w:rsidRPr="006A6FF6">
              <w:rPr>
                <w:rFonts w:eastAsia="新細明體" w:cs="Segoe UI" w:hint="eastAsia"/>
                <w:sz w:val="17"/>
                <w:szCs w:val="17"/>
                <w:lang w:eastAsia="zh-HK"/>
              </w:rPr>
              <w:t>就引致</w:t>
            </w:r>
            <w:r w:rsidR="00A02F15" w:rsidRPr="006A6FF6">
              <w:rPr>
                <w:rFonts w:eastAsia="新細明體" w:cs="Segoe UI"/>
                <w:sz w:val="17"/>
                <w:szCs w:val="17"/>
                <w:lang w:eastAsia="zh-TW"/>
              </w:rPr>
              <w:t>[</w:t>
            </w:r>
            <w:proofErr w:type="gramEnd"/>
            <w:r w:rsidR="00A02F15" w:rsidRPr="006A6FF6">
              <w:rPr>
                <w:rFonts w:eastAsia="新細明體" w:cs="Segoe UI"/>
                <w:sz w:val="17"/>
                <w:szCs w:val="17"/>
                <w:lang w:eastAsia="zh-TW"/>
              </w:rPr>
              <w:t>CMS1:</w:t>
            </w:r>
            <w:r w:rsidR="00A02F15" w:rsidRPr="006A6FF6">
              <w:rPr>
                <w:rFonts w:eastAsia="新細明體" w:cs="Segoe UI" w:hint="eastAsia"/>
                <w:sz w:val="17"/>
                <w:szCs w:val="17"/>
                <w:lang w:eastAsia="zh-TW"/>
              </w:rPr>
              <w:t>5</w:t>
            </w:r>
            <w:r w:rsidR="00A02F15" w:rsidRPr="006A6FF6">
              <w:rPr>
                <w:rFonts w:eastAsia="新細明體" w:cs="Segoe UI"/>
                <w:sz w:val="17"/>
                <w:szCs w:val="17"/>
                <w:lang w:eastAsia="zh-TW"/>
              </w:rPr>
              <w:t>/c]</w:t>
            </w:r>
            <w:r w:rsidR="00A02F15" w:rsidRPr="006A6FF6">
              <w:rPr>
                <w:rFonts w:eastAsia="新細明體" w:cs="Segoe UI" w:hint="eastAsia"/>
                <w:sz w:val="17"/>
                <w:szCs w:val="17"/>
                <w:lang w:eastAsia="zh-HK"/>
              </w:rPr>
              <w:t>中填報的風險加權數額的所有風險承擔</w:t>
            </w:r>
            <w:r w:rsidR="00A02F15" w:rsidRPr="006A6FF6">
              <w:rPr>
                <w:rFonts w:ascii="新細明體" w:eastAsia="新細明體" w:hAnsi="新細明體" w:cs="Segoe UI" w:hint="eastAsia"/>
                <w:sz w:val="17"/>
                <w:szCs w:val="17"/>
                <w:lang w:eastAsia="zh-HK"/>
              </w:rPr>
              <w:t>，</w:t>
            </w:r>
            <w:r w:rsidR="00A02F15" w:rsidRPr="006A6FF6">
              <w:rPr>
                <w:rFonts w:eastAsia="新細明體" w:cs="Segoe UI" w:hint="eastAsia"/>
                <w:sz w:val="17"/>
                <w:szCs w:val="17"/>
                <w:lang w:eastAsia="zh-HK"/>
              </w:rPr>
              <w:t>以</w:t>
            </w:r>
            <w:r w:rsidR="00A02F15" w:rsidRPr="006A6FF6">
              <w:rPr>
                <w:rFonts w:eastAsia="新細明體" w:cs="Segoe UI"/>
                <w:sz w:val="17"/>
                <w:szCs w:val="17"/>
                <w:lang w:eastAsia="zh-TW"/>
              </w:rPr>
              <w:t>[CMS1:5/b]</w:t>
            </w:r>
            <w:r w:rsidR="00A02F15" w:rsidRPr="006A6FF6">
              <w:rPr>
                <w:rFonts w:eastAsia="新細明體" w:cs="Segoe UI" w:hint="eastAsia"/>
                <w:sz w:val="17"/>
                <w:szCs w:val="17"/>
                <w:lang w:eastAsia="zh-HK"/>
              </w:rPr>
              <w:t>所述的計算法計</w:t>
            </w:r>
            <w:r w:rsidR="00A02F15" w:rsidRPr="006A6FF6">
              <w:rPr>
                <w:rFonts w:eastAsia="新細明體" w:cs="Segoe UI" w:hint="eastAsia"/>
                <w:sz w:val="17"/>
                <w:szCs w:val="17"/>
                <w:lang w:eastAsia="zh-TW"/>
              </w:rPr>
              <w:t>算</w:t>
            </w:r>
            <w:r w:rsidR="00A02F15" w:rsidRPr="006A6FF6">
              <w:rPr>
                <w:rFonts w:eastAsia="新細明體" w:cs="Segoe UI" w:hint="eastAsia"/>
                <w:sz w:val="17"/>
                <w:szCs w:val="17"/>
                <w:lang w:eastAsia="zh-HK"/>
              </w:rPr>
              <w:t>其市</w:t>
            </w:r>
            <w:r w:rsidR="00A02F15" w:rsidRPr="006A6FF6">
              <w:rPr>
                <w:rFonts w:eastAsia="新細明體" w:cs="Segoe UI" w:hint="eastAsia"/>
                <w:sz w:val="17"/>
                <w:szCs w:val="17"/>
                <w:lang w:eastAsia="zh-TW"/>
              </w:rPr>
              <w:t>場</w:t>
            </w:r>
            <w:r w:rsidR="00A02F15" w:rsidRPr="006A6FF6">
              <w:rPr>
                <w:rFonts w:eastAsia="新細明體" w:cs="Segoe UI" w:hint="eastAsia"/>
                <w:sz w:val="17"/>
                <w:szCs w:val="17"/>
                <w:lang w:eastAsia="zh-HK"/>
              </w:rPr>
              <w:t>風險的風險加權數額</w:t>
            </w:r>
            <w:r w:rsidR="002560CE">
              <w:rPr>
                <w:rFonts w:eastAsia="新細明體" w:cs="Segoe UI" w:hint="eastAsia"/>
                <w:sz w:val="17"/>
                <w:szCs w:val="17"/>
                <w:lang w:eastAsia="zh-HK"/>
              </w:rPr>
              <w:t>，</w:t>
            </w:r>
            <w:r w:rsidR="002560CE" w:rsidRPr="006A6FF6">
              <w:rPr>
                <w:rFonts w:eastAsia="新細明體" w:cs="Segoe UI" w:hint="eastAsia"/>
                <w:sz w:val="17"/>
                <w:lang w:eastAsia="zh-HK"/>
              </w:rPr>
              <w:t>作為</w:t>
            </w:r>
            <w:r w:rsidR="002560CE" w:rsidRPr="006A6FF6">
              <w:rPr>
                <w:rFonts w:eastAsia="新細明體" w:cs="Segoe UI" w:hint="eastAsia"/>
                <w:sz w:val="17"/>
                <w:szCs w:val="17"/>
                <w:lang w:eastAsia="zh-HK"/>
              </w:rPr>
              <w:t>出項下限計算</w:t>
            </w:r>
            <w:r w:rsidR="002560CE" w:rsidRPr="006A6FF6">
              <w:rPr>
                <w:rFonts w:eastAsiaTheme="minorEastAsia" w:cs="Segoe UI" w:hint="eastAsia"/>
                <w:sz w:val="17"/>
                <w:szCs w:val="17"/>
                <w:lang w:eastAsia="zh-HK"/>
              </w:rPr>
              <w:t>的</w:t>
            </w:r>
            <w:r w:rsidR="002560CE" w:rsidRPr="006A6FF6">
              <w:rPr>
                <w:rFonts w:eastAsia="新細明體" w:cs="Segoe UI" w:hint="eastAsia"/>
                <w:sz w:val="17"/>
                <w:szCs w:val="17"/>
                <w:lang w:eastAsia="zh-HK"/>
              </w:rPr>
              <w:t>基礎</w:t>
            </w:r>
            <w:r w:rsidR="00A02F15" w:rsidRPr="006A6FF6">
              <w:rPr>
                <w:rFonts w:eastAsia="新細明體" w:cs="Segoe UI" w:hint="eastAsia"/>
                <w:sz w:val="17"/>
                <w:szCs w:val="17"/>
                <w:lang w:eastAsia="zh-TW"/>
              </w:rPr>
              <w:t>。</w:t>
            </w:r>
          </w:p>
        </w:tc>
      </w:tr>
      <w:tr w:rsidR="006A6FF6" w:rsidRPr="006A6FF6" w14:paraId="57DE821B" w14:textId="77777777" w:rsidTr="00862754">
        <w:tc>
          <w:tcPr>
            <w:tcW w:w="567" w:type="dxa"/>
            <w:shd w:val="clear" w:color="auto" w:fill="auto"/>
          </w:tcPr>
          <w:p w14:paraId="3D1393CB"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highlight w:val="yellow"/>
              </w:rPr>
            </w:pPr>
            <w:r w:rsidRPr="006A6FF6">
              <w:rPr>
                <w:rFonts w:eastAsia="新細明體" w:cs="Segoe UI"/>
                <w:sz w:val="17"/>
                <w:szCs w:val="17"/>
              </w:rPr>
              <w:t>6</w:t>
            </w:r>
          </w:p>
        </w:tc>
        <w:tc>
          <w:tcPr>
            <w:tcW w:w="8647" w:type="dxa"/>
            <w:shd w:val="clear" w:color="auto" w:fill="auto"/>
          </w:tcPr>
          <w:p w14:paraId="3319A458" w14:textId="77777777"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u w:val="single"/>
                <w:lang w:eastAsia="zh-TW"/>
              </w:rPr>
              <w:t>業務操作風險</w:t>
            </w:r>
            <w:r w:rsidRPr="006A6FF6">
              <w:rPr>
                <w:rFonts w:eastAsia="新細明體" w:cs="Segoe UI"/>
                <w:sz w:val="17"/>
                <w:szCs w:val="17"/>
                <w:lang w:eastAsia="zh-TW"/>
              </w:rPr>
              <w:t xml:space="preserve"> </w:t>
            </w:r>
          </w:p>
          <w:p w14:paraId="79C29663" w14:textId="545C7FDE"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HK"/>
              </w:rPr>
            </w:pPr>
            <w:r w:rsidRPr="006A6FF6">
              <w:rPr>
                <w:rFonts w:eastAsia="新細明體" w:cs="Segoe UI"/>
                <w:i/>
                <w:sz w:val="17"/>
                <w:szCs w:val="17"/>
                <w:lang w:eastAsia="zh-TW"/>
              </w:rPr>
              <w:t>[CMS1:6/b]</w:t>
            </w:r>
            <w:r w:rsidR="0005179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即採用標準計算法的組合的風險加權數額</w:t>
            </w:r>
            <w:r w:rsidRPr="006A6FF6">
              <w:rPr>
                <w:rFonts w:eastAsia="新細明體" w:cs="Segoe UI" w:hint="eastAsia"/>
                <w:sz w:val="17"/>
                <w:szCs w:val="17"/>
                <w:lang w:eastAsia="zh-TW"/>
              </w:rPr>
              <w:t>：</w:t>
            </w:r>
            <w:r w:rsidRPr="006A6FF6">
              <w:rPr>
                <w:rFonts w:eastAsia="新細明體" w:cs="Segoe UI" w:hint="eastAsia"/>
                <w:sz w:val="17"/>
                <w:szCs w:val="17"/>
                <w:lang w:eastAsia="zh-HK"/>
              </w:rPr>
              <w:t>根據認可機構就</w:t>
            </w:r>
            <w:r w:rsidRPr="006A6FF6">
              <w:rPr>
                <w:rFonts w:eastAsia="新細明體" w:cs="Segoe UI"/>
                <w:sz w:val="17"/>
                <w:szCs w:val="17"/>
                <w:lang w:eastAsia="zh-TW"/>
              </w:rPr>
              <w:t>業務操作風險</w:t>
            </w:r>
            <w:r w:rsidRPr="006A6FF6">
              <w:rPr>
                <w:rFonts w:eastAsia="新細明體" w:cs="Segoe UI" w:hint="eastAsia"/>
                <w:sz w:val="17"/>
                <w:szCs w:val="17"/>
                <w:lang w:eastAsia="zh-TW"/>
              </w:rPr>
              <w:t>所使用</w:t>
            </w:r>
            <w:r w:rsidRPr="006A6FF6">
              <w:rPr>
                <w:rFonts w:eastAsia="新細明體" w:cs="Segoe UI" w:hint="eastAsia"/>
                <w:sz w:val="17"/>
                <w:szCs w:val="17"/>
                <w:lang w:eastAsia="zh-HK"/>
              </w:rPr>
              <w:t>的計算法計算的風險加權數額</w:t>
            </w:r>
            <w:r w:rsidRPr="006A6FF6">
              <w:rPr>
                <w:rFonts w:eastAsia="新細明體" w:cs="Segoe UI" w:hint="eastAsia"/>
                <w:sz w:val="17"/>
                <w:szCs w:val="17"/>
                <w:lang w:eastAsia="zh-TW"/>
              </w:rPr>
              <w:t>。</w:t>
            </w:r>
          </w:p>
          <w:p w14:paraId="39104CAD"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415A544D" w14:textId="71F1E25F"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rPr>
            </w:pPr>
            <w:r w:rsidRPr="006A6FF6">
              <w:rPr>
                <w:rFonts w:eastAsia="新細明體" w:cs="Segoe UI"/>
                <w:i/>
                <w:sz w:val="17"/>
                <w:szCs w:val="17"/>
                <w:lang w:eastAsia="zh-TW"/>
              </w:rPr>
              <w:t>[CMS1:6/c]</w:t>
            </w:r>
            <w:r w:rsidR="0005179F" w:rsidRPr="006A6FF6">
              <w:rPr>
                <w:rFonts w:eastAsia="新細明體" w:cs="Segoe UI"/>
                <w:i/>
                <w:sz w:val="17"/>
                <w:szCs w:val="17"/>
                <w:lang w:eastAsia="zh-TW"/>
              </w:rPr>
              <w:t xml:space="preserve"> </w:t>
            </w:r>
            <w:r w:rsidRPr="006A6FF6">
              <w:rPr>
                <w:rFonts w:eastAsia="新細明體" w:cs="Segoe UI" w:hint="eastAsia"/>
                <w:i/>
                <w:sz w:val="17"/>
                <w:szCs w:val="17"/>
                <w:lang w:eastAsia="zh-HK"/>
              </w:rPr>
              <w:t>即</w:t>
            </w:r>
            <w:r w:rsidR="001B6E07" w:rsidRPr="006A6FF6">
              <w:rPr>
                <w:rFonts w:eastAsia="新細明體" w:cs="Segoe UI" w:hint="eastAsia"/>
                <w:i/>
                <w:sz w:val="17"/>
                <w:szCs w:val="17"/>
                <w:lang w:eastAsia="zh-HK"/>
              </w:rPr>
              <w:t>總實際風險加權</w:t>
            </w:r>
            <w:r w:rsidR="001B6E07" w:rsidRPr="006A6FF6">
              <w:rPr>
                <w:rFonts w:eastAsia="新細明體" w:cs="Segoe UI" w:hint="eastAsia"/>
                <w:i/>
                <w:sz w:val="17"/>
                <w:szCs w:val="17"/>
                <w:lang w:eastAsia="zh-TW"/>
              </w:rPr>
              <w:t>數</w:t>
            </w:r>
            <w:r w:rsidR="001B6E07" w:rsidRPr="006A6FF6">
              <w:rPr>
                <w:rFonts w:eastAsia="新細明體" w:cs="Segoe UI" w:hint="eastAsia"/>
                <w:i/>
                <w:sz w:val="17"/>
                <w:szCs w:val="17"/>
                <w:lang w:eastAsia="zh-HK"/>
              </w:rPr>
              <w:t>額</w:t>
            </w:r>
            <w:r w:rsidRPr="006A6FF6">
              <w:rPr>
                <w:rFonts w:eastAsia="新細明體" w:cs="Segoe UI"/>
                <w:sz w:val="17"/>
                <w:szCs w:val="17"/>
                <w:lang w:eastAsia="zh-TW"/>
              </w:rPr>
              <w:t>：</w:t>
            </w:r>
            <w:r w:rsidRPr="006A6FF6">
              <w:rPr>
                <w:rFonts w:eastAsia="新細明體" w:cs="Segoe UI" w:hint="eastAsia"/>
                <w:sz w:val="17"/>
                <w:szCs w:val="17"/>
                <w:lang w:eastAsia="zh-HK"/>
              </w:rPr>
              <w:t>填報的風險加權數額</w:t>
            </w:r>
            <w:r w:rsidR="002560CE">
              <w:rPr>
                <w:rFonts w:eastAsia="新細明體" w:cs="Segoe UI" w:hint="eastAsia"/>
                <w:sz w:val="17"/>
                <w:szCs w:val="17"/>
                <w:lang w:eastAsia="zh-HK"/>
              </w:rPr>
              <w:t>以</w:t>
            </w:r>
            <w:r w:rsidRPr="006A6FF6">
              <w:rPr>
                <w:rFonts w:eastAsia="新細明體" w:cs="Segoe UI" w:hint="eastAsia"/>
                <w:sz w:val="17"/>
                <w:szCs w:val="17"/>
                <w:lang w:eastAsia="zh-HK"/>
              </w:rPr>
              <w:t>認可機構就業務操作風險所使用的計算法</w:t>
            </w:r>
            <w:r w:rsidR="002560CE">
              <w:rPr>
                <w:rFonts w:eastAsia="新細明體" w:cs="Segoe UI" w:hint="eastAsia"/>
                <w:sz w:val="17"/>
                <w:szCs w:val="17"/>
                <w:lang w:eastAsia="zh-HK"/>
              </w:rPr>
              <w:t>計算</w:t>
            </w:r>
            <w:r w:rsidRPr="006A6FF6">
              <w:rPr>
                <w:rFonts w:eastAsia="新細明體" w:cs="Segoe UI" w:hint="eastAsia"/>
                <w:sz w:val="17"/>
                <w:szCs w:val="17"/>
                <w:lang w:eastAsia="zh-TW"/>
              </w:rPr>
              <w:t>。</w:t>
            </w:r>
            <w:r w:rsidRPr="006A6FF6">
              <w:rPr>
                <w:rFonts w:eastAsia="新細明體" w:cs="Segoe UI"/>
                <w:sz w:val="17"/>
                <w:szCs w:val="17"/>
              </w:rPr>
              <w:t>[CMS1</w:t>
            </w:r>
            <w:r w:rsidR="00F111C5" w:rsidRPr="006A6FF6">
              <w:rPr>
                <w:rFonts w:eastAsia="新細明體" w:cs="Segoe UI"/>
                <w:sz w:val="17"/>
                <w:szCs w:val="17"/>
              </w:rPr>
              <w:t>:</w:t>
            </w:r>
            <w:r w:rsidRPr="006A6FF6">
              <w:rPr>
                <w:rFonts w:eastAsia="新細明體" w:cs="Segoe UI"/>
                <w:sz w:val="17"/>
                <w:szCs w:val="17"/>
              </w:rPr>
              <w:t>6/</w:t>
            </w:r>
            <w:proofErr w:type="gramStart"/>
            <w:r w:rsidRPr="006A6FF6">
              <w:rPr>
                <w:rFonts w:eastAsia="新細明體" w:cs="Segoe UI"/>
                <w:sz w:val="17"/>
                <w:szCs w:val="17"/>
              </w:rPr>
              <w:t>c]</w:t>
            </w:r>
            <w:r w:rsidRPr="006A6FF6">
              <w:rPr>
                <w:rFonts w:eastAsia="新細明體" w:cs="Segoe UI" w:hint="eastAsia"/>
                <w:sz w:val="17"/>
                <w:szCs w:val="17"/>
                <w:lang w:eastAsia="zh-HK"/>
              </w:rPr>
              <w:t>的值相等於</w:t>
            </w:r>
            <w:proofErr w:type="gramEnd"/>
            <w:r w:rsidRPr="006A6FF6">
              <w:rPr>
                <w:rFonts w:eastAsia="新細明體" w:cs="Segoe UI"/>
                <w:sz w:val="17"/>
                <w:szCs w:val="17"/>
              </w:rPr>
              <w:t>[OV1:24/a]</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p>
          <w:p w14:paraId="4160E471"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rPr>
            </w:pPr>
          </w:p>
          <w:p w14:paraId="3D288E0E" w14:textId="40F6300D" w:rsidR="00190D67" w:rsidRPr="006A6FF6" w:rsidRDefault="00190D67" w:rsidP="006571E6">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[CMS1:6/d]</w:t>
            </w:r>
            <w:r w:rsidR="0005179F" w:rsidRPr="006A6FF6">
              <w:rPr>
                <w:rFonts w:eastAsia="新細明體" w:cs="Segoe UI"/>
                <w:i/>
                <w:sz w:val="17"/>
                <w:szCs w:val="17"/>
                <w:lang w:eastAsia="zh-TW"/>
              </w:rPr>
              <w:t xml:space="preserve"> </w:t>
            </w:r>
            <w:r w:rsidR="00654485" w:rsidRPr="006A6FF6">
              <w:rPr>
                <w:rFonts w:eastAsia="新細明體" w:cs="Segoe UI" w:hint="eastAsia"/>
                <w:i/>
                <w:sz w:val="17"/>
                <w:szCs w:val="17"/>
                <w:lang w:eastAsia="zh-HK"/>
              </w:rPr>
              <w:t>即採用全面標準計算法計算的風險加權數額</w:t>
            </w:r>
            <w:r w:rsidRPr="006A6FF6">
              <w:rPr>
                <w:rFonts w:eastAsia="新細明體" w:cs="Segoe UI"/>
                <w:sz w:val="17"/>
                <w:szCs w:val="17"/>
                <w:lang w:eastAsia="zh-TW"/>
              </w:rPr>
              <w:t>：</w:t>
            </w:r>
            <w:proofErr w:type="gramStart"/>
            <w:r w:rsidR="006571E6" w:rsidRPr="006A6FF6">
              <w:rPr>
                <w:rFonts w:eastAsia="新細明體" w:cs="Segoe UI" w:hint="eastAsia"/>
                <w:sz w:val="17"/>
                <w:szCs w:val="17"/>
                <w:lang w:eastAsia="zh-HK"/>
              </w:rPr>
              <w:t>就引致</w:t>
            </w:r>
            <w:r w:rsidR="006571E6" w:rsidRPr="006A6FF6">
              <w:rPr>
                <w:rFonts w:eastAsia="新細明體" w:cs="Segoe UI"/>
                <w:sz w:val="17"/>
                <w:szCs w:val="17"/>
                <w:lang w:eastAsia="zh-TW"/>
              </w:rPr>
              <w:t>[</w:t>
            </w:r>
            <w:proofErr w:type="gramEnd"/>
            <w:r w:rsidR="006571E6" w:rsidRPr="006A6FF6">
              <w:rPr>
                <w:rFonts w:eastAsia="新細明體" w:cs="Segoe UI"/>
                <w:sz w:val="17"/>
                <w:szCs w:val="17"/>
                <w:lang w:eastAsia="zh-TW"/>
              </w:rPr>
              <w:t>CMS1:</w:t>
            </w:r>
            <w:r w:rsidR="006571E6" w:rsidRPr="006A6FF6">
              <w:rPr>
                <w:rFonts w:eastAsia="新細明體" w:cs="Segoe UI" w:hint="eastAsia"/>
                <w:sz w:val="17"/>
                <w:szCs w:val="17"/>
                <w:lang w:eastAsia="zh-TW"/>
              </w:rPr>
              <w:t>6</w:t>
            </w:r>
            <w:r w:rsidR="006571E6" w:rsidRPr="006A6FF6">
              <w:rPr>
                <w:rFonts w:eastAsia="新細明體" w:cs="Segoe UI"/>
                <w:sz w:val="17"/>
                <w:szCs w:val="17"/>
                <w:lang w:eastAsia="zh-TW"/>
              </w:rPr>
              <w:t>/c]</w:t>
            </w:r>
            <w:r w:rsidR="006571E6" w:rsidRPr="006A6FF6">
              <w:rPr>
                <w:rFonts w:eastAsia="新細明體" w:cs="Segoe UI" w:hint="eastAsia"/>
                <w:sz w:val="17"/>
                <w:szCs w:val="17"/>
                <w:lang w:eastAsia="zh-HK"/>
              </w:rPr>
              <w:t>中填報的風險加權數額的所有風險承擔</w:t>
            </w:r>
            <w:r w:rsidR="006571E6" w:rsidRPr="006A6FF6">
              <w:rPr>
                <w:rFonts w:ascii="新細明體" w:eastAsia="新細明體" w:hAnsi="新細明體" w:cs="Segoe UI" w:hint="eastAsia"/>
                <w:sz w:val="17"/>
                <w:szCs w:val="17"/>
                <w:lang w:eastAsia="zh-HK"/>
              </w:rPr>
              <w:t>，</w:t>
            </w:r>
            <w:r w:rsidR="006571E6" w:rsidRPr="006A6FF6">
              <w:rPr>
                <w:rFonts w:eastAsia="新細明體" w:cs="Segoe UI" w:hint="eastAsia"/>
                <w:sz w:val="17"/>
                <w:szCs w:val="17"/>
                <w:lang w:eastAsia="zh-HK"/>
              </w:rPr>
              <w:t>以</w:t>
            </w:r>
            <w:r w:rsidR="006571E6" w:rsidRPr="006A6FF6">
              <w:rPr>
                <w:rFonts w:eastAsia="新細明體" w:cs="Segoe UI"/>
                <w:sz w:val="17"/>
                <w:szCs w:val="17"/>
                <w:lang w:eastAsia="zh-TW"/>
              </w:rPr>
              <w:t>[CMS1:6/b]</w:t>
            </w:r>
            <w:r w:rsidR="006571E6" w:rsidRPr="006A6FF6">
              <w:rPr>
                <w:rFonts w:eastAsia="新細明體" w:cs="Segoe UI" w:hint="eastAsia"/>
                <w:sz w:val="17"/>
                <w:szCs w:val="17"/>
                <w:lang w:eastAsia="zh-HK"/>
              </w:rPr>
              <w:t>所述的計算法計</w:t>
            </w:r>
            <w:r w:rsidR="006571E6" w:rsidRPr="006A6FF6">
              <w:rPr>
                <w:rFonts w:eastAsia="新細明體" w:cs="Segoe UI" w:hint="eastAsia"/>
                <w:sz w:val="17"/>
                <w:szCs w:val="17"/>
                <w:lang w:eastAsia="zh-TW"/>
              </w:rPr>
              <w:t>算</w:t>
            </w:r>
            <w:r w:rsidR="006571E6" w:rsidRPr="006A6FF6">
              <w:rPr>
                <w:rFonts w:eastAsia="新細明體" w:cs="Segoe UI" w:hint="eastAsia"/>
                <w:sz w:val="17"/>
                <w:szCs w:val="17"/>
                <w:lang w:eastAsia="zh-HK"/>
              </w:rPr>
              <w:t>其</w:t>
            </w:r>
            <w:r w:rsidR="006571E6" w:rsidRPr="006A6FF6">
              <w:rPr>
                <w:rFonts w:eastAsia="新細明體" w:cs="Segoe UI" w:hint="eastAsia"/>
                <w:sz w:val="17"/>
                <w:szCs w:val="17"/>
                <w:lang w:eastAsia="zh-TW"/>
              </w:rPr>
              <w:t>業</w:t>
            </w:r>
            <w:r w:rsidR="006571E6" w:rsidRPr="006A6FF6">
              <w:rPr>
                <w:rFonts w:eastAsia="新細明體" w:cs="Segoe UI" w:hint="eastAsia"/>
                <w:sz w:val="17"/>
                <w:szCs w:val="17"/>
                <w:lang w:eastAsia="zh-HK"/>
              </w:rPr>
              <w:t>務操</w:t>
            </w:r>
            <w:r w:rsidR="006571E6" w:rsidRPr="006A6FF6">
              <w:rPr>
                <w:rFonts w:eastAsia="新細明體" w:cs="Segoe UI" w:hint="eastAsia"/>
                <w:sz w:val="17"/>
                <w:szCs w:val="17"/>
                <w:lang w:eastAsia="zh-TW"/>
              </w:rPr>
              <w:t>作</w:t>
            </w:r>
            <w:r w:rsidR="006571E6" w:rsidRPr="006A6FF6">
              <w:rPr>
                <w:rFonts w:eastAsia="新細明體" w:cs="Segoe UI" w:hint="eastAsia"/>
                <w:sz w:val="17"/>
                <w:szCs w:val="17"/>
                <w:lang w:eastAsia="zh-HK"/>
              </w:rPr>
              <w:t>風險的風險加權數額</w:t>
            </w:r>
            <w:r w:rsidR="002560CE">
              <w:rPr>
                <w:rFonts w:eastAsia="新細明體" w:cs="Segoe UI" w:hint="eastAsia"/>
                <w:sz w:val="17"/>
                <w:szCs w:val="17"/>
                <w:lang w:eastAsia="zh-HK"/>
              </w:rPr>
              <w:t>，</w:t>
            </w:r>
            <w:r w:rsidR="002560CE" w:rsidRPr="006A6FF6">
              <w:rPr>
                <w:rFonts w:eastAsia="新細明體" w:cs="Segoe UI" w:hint="eastAsia"/>
                <w:sz w:val="17"/>
                <w:lang w:eastAsia="zh-HK"/>
              </w:rPr>
              <w:t>作為</w:t>
            </w:r>
            <w:r w:rsidR="002560CE" w:rsidRPr="006A6FF6">
              <w:rPr>
                <w:rFonts w:eastAsia="新細明體" w:cs="Segoe UI" w:hint="eastAsia"/>
                <w:sz w:val="17"/>
                <w:szCs w:val="17"/>
                <w:lang w:eastAsia="zh-HK"/>
              </w:rPr>
              <w:t>出項下限計算</w:t>
            </w:r>
            <w:r w:rsidR="002560CE" w:rsidRPr="006A6FF6">
              <w:rPr>
                <w:rFonts w:eastAsiaTheme="minorEastAsia" w:cs="Segoe UI" w:hint="eastAsia"/>
                <w:sz w:val="17"/>
                <w:szCs w:val="17"/>
                <w:lang w:eastAsia="zh-HK"/>
              </w:rPr>
              <w:t>的</w:t>
            </w:r>
            <w:r w:rsidR="002560CE" w:rsidRPr="006A6FF6">
              <w:rPr>
                <w:rFonts w:eastAsia="新細明體" w:cs="Segoe UI" w:hint="eastAsia"/>
                <w:sz w:val="17"/>
                <w:szCs w:val="17"/>
                <w:lang w:eastAsia="zh-HK"/>
              </w:rPr>
              <w:t>基礎</w:t>
            </w:r>
            <w:r w:rsidR="006571E6" w:rsidRPr="006A6FF6">
              <w:rPr>
                <w:rFonts w:eastAsia="新細明體" w:cs="Segoe UI" w:hint="eastAsia"/>
                <w:sz w:val="17"/>
                <w:szCs w:val="17"/>
                <w:lang w:eastAsia="zh-TW"/>
              </w:rPr>
              <w:t>。</w:t>
            </w:r>
          </w:p>
        </w:tc>
      </w:tr>
      <w:tr w:rsidR="006A6FF6" w:rsidRPr="006A6FF6" w14:paraId="2AC3464D" w14:textId="77777777" w:rsidTr="00784A49">
        <w:trPr>
          <w:trHeight w:val="1953"/>
        </w:trPr>
        <w:tc>
          <w:tcPr>
            <w:tcW w:w="567" w:type="dxa"/>
            <w:shd w:val="clear" w:color="auto" w:fill="auto"/>
          </w:tcPr>
          <w:p w14:paraId="0E32298B"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highlight w:val="yellow"/>
              </w:rPr>
            </w:pPr>
            <w:r w:rsidRPr="006A6FF6">
              <w:rPr>
                <w:rFonts w:eastAsia="新細明體" w:cs="Segoe UI"/>
                <w:sz w:val="17"/>
                <w:szCs w:val="17"/>
              </w:rPr>
              <w:t>7</w:t>
            </w:r>
          </w:p>
        </w:tc>
        <w:tc>
          <w:tcPr>
            <w:tcW w:w="8647" w:type="dxa"/>
            <w:shd w:val="clear" w:color="auto" w:fill="auto"/>
          </w:tcPr>
          <w:p w14:paraId="357063E8" w14:textId="77777777" w:rsidR="00190D67" w:rsidRPr="006A6FF6" w:rsidRDefault="00190D67" w:rsidP="00862754">
            <w:pPr>
              <w:keepLines/>
              <w:tabs>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hint="eastAsia"/>
                <w:i/>
                <w:sz w:val="17"/>
                <w:szCs w:val="17"/>
                <w:u w:val="single"/>
                <w:lang w:eastAsia="zh-HK"/>
              </w:rPr>
              <w:t>剩餘風險加權數額</w:t>
            </w:r>
            <w:r w:rsidRPr="006A6FF6">
              <w:rPr>
                <w:rFonts w:eastAsia="新細明體" w:cs="Segoe UI"/>
                <w:sz w:val="17"/>
                <w:szCs w:val="17"/>
                <w:lang w:eastAsia="zh-TW"/>
              </w:rPr>
              <w:t xml:space="preserve"> </w:t>
            </w:r>
          </w:p>
          <w:p w14:paraId="03065091" w14:textId="2E851B4A" w:rsidR="00B40CC0" w:rsidRPr="006A6FF6" w:rsidRDefault="00B40CC0" w:rsidP="00B40CC0">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hint="eastAsia"/>
                <w:sz w:val="17"/>
                <w:szCs w:val="17"/>
                <w:lang w:eastAsia="zh-HK"/>
              </w:rPr>
              <w:t>本行指第</w:t>
            </w:r>
            <w:r w:rsidRPr="006A6FF6">
              <w:rPr>
                <w:rFonts w:eastAsia="新細明體" w:cs="Segoe UI" w:hint="eastAsia"/>
                <w:sz w:val="17"/>
                <w:szCs w:val="17"/>
                <w:lang w:eastAsia="zh-TW"/>
              </w:rPr>
              <w:t>1</w:t>
            </w:r>
            <w:r w:rsidRPr="006A6FF6">
              <w:rPr>
                <w:rFonts w:eastAsia="新細明體" w:cs="Segoe UI" w:hint="eastAsia"/>
                <w:sz w:val="17"/>
                <w:szCs w:val="17"/>
                <w:lang w:eastAsia="zh-HK"/>
              </w:rPr>
              <w:t>至</w:t>
            </w:r>
            <w:r w:rsidRPr="006A6FF6">
              <w:rPr>
                <w:rFonts w:eastAsia="新細明體" w:cs="Segoe UI" w:hint="eastAsia"/>
                <w:sz w:val="17"/>
                <w:szCs w:val="17"/>
                <w:lang w:eastAsia="zh-TW"/>
              </w:rPr>
              <w:t>6</w:t>
            </w:r>
            <w:r w:rsidRPr="006A6FF6">
              <w:rPr>
                <w:rFonts w:eastAsia="新細明體" w:cs="Segoe UI" w:hint="eastAsia"/>
                <w:sz w:val="17"/>
                <w:szCs w:val="17"/>
                <w:lang w:eastAsia="zh-HK"/>
              </w:rPr>
              <w:t>行沒有涵蓋的風險加權數額</w:t>
            </w:r>
            <w:r w:rsidRPr="006A6FF6">
              <w:rPr>
                <w:rFonts w:eastAsia="新細明體" w:cs="Segoe UI" w:hint="eastAsia"/>
                <w:sz w:val="17"/>
                <w:lang w:eastAsia="zh-HK"/>
              </w:rPr>
              <w:t>（</w:t>
            </w:r>
            <w:r w:rsidRPr="006A6FF6">
              <w:rPr>
                <w:rFonts w:eastAsia="新細明體" w:cs="Segoe UI" w:hint="eastAsia"/>
                <w:sz w:val="17"/>
                <w:szCs w:val="17"/>
                <w:lang w:eastAsia="zh-HK"/>
              </w:rPr>
              <w:t>即此為以下各項的總和</w:t>
            </w:r>
            <w:r w:rsidRPr="006A6FF6">
              <w:rPr>
                <w:rFonts w:eastAsia="新細明體" w:cs="Segoe UI" w:hint="eastAsia"/>
                <w:sz w:val="17"/>
                <w:szCs w:val="17"/>
                <w:lang w:eastAsia="zh-TW"/>
              </w:rPr>
              <w:t>：</w:t>
            </w:r>
            <w:r w:rsidRPr="006A6FF6">
              <w:rPr>
                <w:rFonts w:eastAsia="新細明體" w:cs="Segoe UI" w:hint="eastAsia"/>
                <w:sz w:val="17"/>
                <w:szCs w:val="17"/>
                <w:lang w:eastAsia="zh-HK"/>
              </w:rPr>
              <w:t>因</w:t>
            </w:r>
            <w:r w:rsidRPr="006A6FF6">
              <w:rPr>
                <w:rFonts w:eastAsia="新細明體" w:cs="Segoe UI" w:hint="eastAsia"/>
                <w:sz w:val="17"/>
                <w:szCs w:val="17"/>
                <w:lang w:eastAsia="zh-HK"/>
              </w:rPr>
              <w:t>CIS</w:t>
            </w:r>
            <w:r w:rsidRPr="006A6FF6">
              <w:rPr>
                <w:rFonts w:eastAsia="新細明體" w:cs="Segoe UI" w:hint="eastAsia"/>
                <w:sz w:val="17"/>
                <w:szCs w:val="17"/>
                <w:lang w:eastAsia="zh-HK"/>
              </w:rPr>
              <w:t>風險承擔</w:t>
            </w:r>
            <w:r w:rsidRPr="006A6FF6">
              <w:rPr>
                <w:rFonts w:eastAsia="新細明體" w:cs="Segoe UI" w:hint="eastAsia"/>
                <w:sz w:val="17"/>
                <w:lang w:eastAsia="zh-HK"/>
              </w:rPr>
              <w:t>（</w:t>
            </w:r>
            <w:r w:rsidRPr="006A6FF6">
              <w:rPr>
                <w:rFonts w:eastAsia="新細明體" w:cs="Segoe UI"/>
                <w:sz w:val="17"/>
                <w:szCs w:val="17"/>
                <w:lang w:eastAsia="zh-TW"/>
              </w:rPr>
              <w:t>[OV1:12/a]</w:t>
            </w:r>
            <w:r w:rsidRPr="006A6FF6">
              <w:rPr>
                <w:rFonts w:eastAsia="新細明體" w:cs="Segoe UI" w:hint="eastAsia"/>
                <w:sz w:val="17"/>
                <w:szCs w:val="17"/>
                <w:lang w:eastAsia="zh-TW"/>
              </w:rPr>
              <w:t>、</w:t>
            </w:r>
            <w:r w:rsidRPr="006A6FF6">
              <w:rPr>
                <w:rFonts w:eastAsia="新細明體" w:cs="Segoe UI"/>
                <w:sz w:val="17"/>
                <w:szCs w:val="17"/>
                <w:lang w:eastAsia="zh-TW"/>
              </w:rPr>
              <w:t>[OV1:13/a]</w:t>
            </w:r>
            <w:r w:rsidRPr="006A6FF6">
              <w:rPr>
                <w:rFonts w:eastAsia="新細明體" w:cs="Segoe UI" w:hint="eastAsia"/>
                <w:sz w:val="17"/>
                <w:szCs w:val="17"/>
                <w:lang w:eastAsia="zh-TW"/>
              </w:rPr>
              <w:t>、</w:t>
            </w:r>
            <w:r w:rsidRPr="006A6FF6">
              <w:rPr>
                <w:rFonts w:eastAsia="新細明體" w:cs="Segoe UI"/>
                <w:sz w:val="17"/>
                <w:szCs w:val="17"/>
                <w:lang w:eastAsia="zh-TW"/>
              </w:rPr>
              <w:t>[OV1:14/a]</w:t>
            </w:r>
            <w:r w:rsidRPr="006A6FF6">
              <w:rPr>
                <w:rFonts w:eastAsia="新細明體" w:cs="Segoe UI" w:hint="eastAsia"/>
                <w:sz w:val="17"/>
                <w:szCs w:val="17"/>
                <w:lang w:eastAsia="zh-HK"/>
              </w:rPr>
              <w:t>及</w:t>
            </w:r>
            <w:r w:rsidRPr="006A6FF6">
              <w:rPr>
                <w:rFonts w:eastAsia="新細明體" w:cs="Segoe UI"/>
                <w:sz w:val="17"/>
                <w:szCs w:val="17"/>
                <w:lang w:eastAsia="zh-TW"/>
              </w:rPr>
              <w:t>[OV1:14a/a]</w:t>
            </w:r>
            <w:r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eastAsia="新細明體" w:cs="Segoe UI" w:hint="eastAsia"/>
                <w:sz w:val="17"/>
                <w:szCs w:val="17"/>
                <w:lang w:eastAsia="zh-HK"/>
              </w:rPr>
              <w:t>交收風險</w:t>
            </w:r>
            <w:r w:rsidRPr="006A6FF6">
              <w:rPr>
                <w:rFonts w:eastAsia="新細明體" w:cs="Segoe UI" w:hint="eastAsia"/>
                <w:sz w:val="17"/>
                <w:lang w:eastAsia="zh-HK"/>
              </w:rPr>
              <w:t>（</w:t>
            </w:r>
            <w:r w:rsidRPr="006A6FF6">
              <w:rPr>
                <w:rFonts w:eastAsia="新細明體" w:cs="Segoe UI"/>
                <w:sz w:val="17"/>
                <w:szCs w:val="17"/>
                <w:lang w:eastAsia="zh-TW"/>
              </w:rPr>
              <w:t>[OV1:15/a]</w:t>
            </w:r>
            <w:r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ascii="Calibri" w:eastAsia="新細明體" w:hAnsi="Calibri" w:cs="Segoe UI" w:hint="eastAsia"/>
                <w:sz w:val="17"/>
                <w:szCs w:val="17"/>
                <w:lang w:eastAsia="zh-HK"/>
              </w:rPr>
              <w:t>在</w:t>
            </w:r>
            <w:r w:rsidRPr="006A6FF6">
              <w:rPr>
                <w:rFonts w:eastAsia="新細明體" w:cs="Segoe UI" w:hint="eastAsia"/>
                <w:sz w:val="17"/>
                <w:szCs w:val="17"/>
                <w:lang w:eastAsia="zh-HK"/>
              </w:rPr>
              <w:t>交易帳與銀行帳之間</w:t>
            </w:r>
            <w:r w:rsidRPr="006A6FF6">
              <w:rPr>
                <w:rFonts w:ascii="Calibri" w:eastAsia="新細明體" w:hAnsi="Calibri" w:cs="Segoe UI" w:hint="eastAsia"/>
                <w:sz w:val="17"/>
                <w:szCs w:val="17"/>
                <w:lang w:eastAsia="zh-TW"/>
              </w:rPr>
              <w:t>調動</w:t>
            </w:r>
            <w:r w:rsidRPr="006A6FF6">
              <w:rPr>
                <w:rFonts w:eastAsia="新細明體" w:cs="Segoe UI" w:hint="eastAsia"/>
                <w:sz w:val="17"/>
                <w:szCs w:val="17"/>
                <w:lang w:eastAsia="zh-HK"/>
              </w:rPr>
              <w:t>風險承擔的資本要求</w:t>
            </w:r>
            <w:r w:rsidRPr="006A6FF6">
              <w:rPr>
                <w:rFonts w:eastAsia="新細明體" w:cs="Segoe UI" w:hint="eastAsia"/>
                <w:sz w:val="17"/>
                <w:lang w:eastAsia="zh-HK"/>
              </w:rPr>
              <w:t>（</w:t>
            </w:r>
            <w:r w:rsidRPr="006A6FF6">
              <w:rPr>
                <w:rFonts w:eastAsia="新細明體" w:cs="Segoe UI"/>
                <w:sz w:val="17"/>
                <w:szCs w:val="17"/>
                <w:lang w:eastAsia="zh-TW"/>
              </w:rPr>
              <w:t>[OV1:23/a]</w:t>
            </w:r>
            <w:r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r w:rsidRPr="006A6FF6">
              <w:rPr>
                <w:rFonts w:eastAsia="新細明體" w:cs="Segoe UI" w:hint="eastAsia"/>
                <w:sz w:val="17"/>
                <w:szCs w:val="17"/>
                <w:lang w:eastAsia="zh-HK"/>
              </w:rPr>
              <w:t>以及低於從</w:t>
            </w:r>
            <w:r w:rsidRPr="006A6FF6">
              <w:rPr>
                <w:rFonts w:eastAsia="新細明體" w:cs="Segoe UI"/>
                <w:sz w:val="17"/>
                <w:szCs w:val="17"/>
                <w:lang w:eastAsia="zh-TW"/>
              </w:rPr>
              <w:t>CET1</w:t>
            </w:r>
            <w:r w:rsidRPr="006A6FF6">
              <w:rPr>
                <w:rFonts w:eastAsia="新細明體" w:cs="Segoe UI" w:hint="eastAsia"/>
                <w:sz w:val="17"/>
                <w:szCs w:val="17"/>
                <w:lang w:eastAsia="zh-HK"/>
              </w:rPr>
              <w:t>資本扣減的門檻並須</w:t>
            </w:r>
            <w:r w:rsidRPr="006A6FF6">
              <w:rPr>
                <w:rFonts w:asciiTheme="minorEastAsia" w:eastAsiaTheme="minorEastAsia" w:hAnsiTheme="minorEastAsia" w:cs="Segoe UI" w:hint="eastAsia"/>
                <w:sz w:val="17"/>
                <w:szCs w:val="17"/>
                <w:lang w:eastAsia="zh-HK"/>
              </w:rPr>
              <w:t>計</w:t>
            </w:r>
            <w:r w:rsidRPr="006A6FF6">
              <w:rPr>
                <w:rFonts w:asciiTheme="minorEastAsia" w:eastAsiaTheme="minorEastAsia" w:hAnsiTheme="minorEastAsia" w:cs="Segoe UI" w:hint="eastAsia"/>
                <w:sz w:val="17"/>
                <w:szCs w:val="17"/>
                <w:lang w:eastAsia="zh-TW"/>
              </w:rPr>
              <w:t>算</w:t>
            </w:r>
            <w:r w:rsidRPr="006A6FF6">
              <w:rPr>
                <w:rFonts w:eastAsia="新細明體" w:cs="Segoe UI" w:hint="eastAsia"/>
                <w:sz w:val="17"/>
                <w:szCs w:val="17"/>
                <w:lang w:eastAsia="zh-TW"/>
              </w:rPr>
              <w:t>250%</w:t>
            </w:r>
            <w:r w:rsidRPr="006A6FF6">
              <w:rPr>
                <w:rFonts w:eastAsia="新細明體" w:cs="Segoe UI" w:hint="eastAsia"/>
                <w:sz w:val="17"/>
                <w:szCs w:val="17"/>
                <w:lang w:eastAsia="zh-HK"/>
              </w:rPr>
              <w:t>風險權重的數額</w:t>
            </w:r>
            <w:r w:rsidRPr="006A6FF6">
              <w:rPr>
                <w:rFonts w:eastAsia="新細明體" w:cs="Segoe UI" w:hint="eastAsia"/>
                <w:sz w:val="17"/>
                <w:lang w:eastAsia="zh-HK"/>
              </w:rPr>
              <w:t>（</w:t>
            </w:r>
            <w:r w:rsidRPr="006A6FF6">
              <w:rPr>
                <w:rFonts w:eastAsia="新細明體" w:cs="Segoe UI"/>
                <w:sz w:val="17"/>
                <w:szCs w:val="17"/>
                <w:lang w:eastAsia="zh-TW"/>
              </w:rPr>
              <w:t>[OV1:25/a]</w:t>
            </w:r>
            <w:r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HK"/>
              </w:rPr>
              <w:t>所產</w:t>
            </w:r>
            <w:r w:rsidRPr="006A6FF6">
              <w:rPr>
                <w:rFonts w:eastAsia="新細明體" w:cs="Segoe UI" w:hint="eastAsia"/>
                <w:sz w:val="17"/>
                <w:szCs w:val="17"/>
                <w:lang w:eastAsia="zh-TW"/>
              </w:rPr>
              <w:t>生</w:t>
            </w:r>
            <w:r w:rsidRPr="006A6FF6">
              <w:rPr>
                <w:rFonts w:eastAsia="新細明體" w:cs="Segoe UI" w:hint="eastAsia"/>
                <w:sz w:val="17"/>
                <w:szCs w:val="17"/>
                <w:lang w:eastAsia="zh-HK"/>
              </w:rPr>
              <w:t>的風險加權數額</w:t>
            </w:r>
            <w:r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TW"/>
              </w:rPr>
              <w:t>。</w:t>
            </w:r>
          </w:p>
          <w:p w14:paraId="244D6DAB" w14:textId="77777777" w:rsidR="00B40CC0" w:rsidRPr="006A6FF6" w:rsidRDefault="00B40CC0" w:rsidP="00B40CC0">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49750C4B" w14:textId="6780CFE0" w:rsidR="00B40CC0" w:rsidRPr="006A6FF6" w:rsidRDefault="00B40CC0" w:rsidP="00B40CC0">
            <w:pPr>
              <w:keepLines/>
              <w:tabs>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 xml:space="preserve">[CMS1:7/a] </w:t>
            </w:r>
            <w:r w:rsidRPr="006A6FF6">
              <w:rPr>
                <w:rFonts w:eastAsia="新細明體" w:cs="Segoe UI" w:hint="eastAsia"/>
                <w:i/>
                <w:sz w:val="17"/>
                <w:szCs w:val="17"/>
                <w:lang w:eastAsia="zh-HK"/>
              </w:rPr>
              <w:t>即</w:t>
            </w:r>
            <w:r w:rsidRPr="006A6FF6">
              <w:rPr>
                <w:rFonts w:eastAsia="新細明體" w:cs="Segoe UI" w:hint="eastAsia"/>
                <w:i/>
                <w:sz w:val="17"/>
                <w:szCs w:val="17"/>
                <w:lang w:eastAsia="zh-TW"/>
              </w:rPr>
              <w:t>認可機構獲金融管理專員批准採用的模式基準計算法</w:t>
            </w:r>
            <w:r w:rsidR="00316509" w:rsidRPr="006A6FF6">
              <w:rPr>
                <w:rFonts w:eastAsia="新細明體" w:cs="Segoe UI" w:hint="eastAsia"/>
                <w:i/>
                <w:sz w:val="17"/>
                <w:szCs w:val="17"/>
                <w:lang w:eastAsia="zh-HK"/>
              </w:rPr>
              <w:t>下</w:t>
            </w:r>
            <w:r w:rsidRPr="006A6FF6">
              <w:rPr>
                <w:rFonts w:eastAsia="新細明體" w:cs="Segoe UI" w:hint="eastAsia"/>
                <w:i/>
                <w:sz w:val="17"/>
                <w:szCs w:val="17"/>
                <w:lang w:eastAsia="zh-TW"/>
              </w:rPr>
              <w:t>計算的風險加權數額</w:t>
            </w:r>
            <w:r w:rsidRPr="006A6FF6">
              <w:rPr>
                <w:rFonts w:eastAsia="新細明體" w:cs="Segoe UI"/>
                <w:sz w:val="17"/>
                <w:szCs w:val="17"/>
                <w:lang w:eastAsia="zh-TW"/>
              </w:rPr>
              <w:t>：</w:t>
            </w:r>
            <w:r w:rsidRPr="006A6FF6">
              <w:rPr>
                <w:rFonts w:eastAsia="新細明體" w:cs="Segoe UI" w:hint="eastAsia"/>
                <w:sz w:val="17"/>
                <w:szCs w:val="17"/>
                <w:lang w:eastAsia="zh-HK"/>
              </w:rPr>
              <w:t>本格適用於根據上文</w:t>
            </w:r>
            <w:r w:rsidRPr="006A6FF6">
              <w:rPr>
                <w:rFonts w:eastAsia="新細明體" w:cs="Segoe UI" w:hint="eastAsia"/>
                <w:sz w:val="17"/>
                <w:szCs w:val="17"/>
                <w:lang w:eastAsia="zh-TW"/>
              </w:rPr>
              <w:t>(a)</w:t>
            </w:r>
            <w:r w:rsidRPr="006A6FF6">
              <w:rPr>
                <w:rFonts w:eastAsia="新細明體" w:cs="Segoe UI" w:hint="eastAsia"/>
                <w:sz w:val="17"/>
                <w:szCs w:val="17"/>
                <w:lang w:eastAsia="zh-HK"/>
              </w:rPr>
              <w:t>欄的註</w:t>
            </w:r>
            <w:r w:rsidRPr="006A6FF6">
              <w:rPr>
                <w:rFonts w:ascii="新細明體" w:eastAsia="新細明體" w:hAnsi="新細明體" w:cs="Segoe UI" w:hint="eastAsia"/>
                <w:sz w:val="17"/>
                <w:szCs w:val="17"/>
                <w:lang w:eastAsia="zh-TW"/>
              </w:rPr>
              <w:t>釋</w:t>
            </w:r>
            <w:r w:rsidRPr="006A6FF6">
              <w:rPr>
                <w:rFonts w:eastAsia="新細明體" w:cs="Segoe UI" w:hint="eastAsia"/>
                <w:sz w:val="17"/>
                <w:szCs w:val="17"/>
                <w:lang w:eastAsia="zh-HK"/>
              </w:rPr>
              <w:t>所述</w:t>
            </w:r>
            <w:r w:rsidR="0011089C" w:rsidRPr="006A6FF6">
              <w:rPr>
                <w:rFonts w:eastAsia="新細明體" w:cs="Segoe UI" w:hint="eastAsia"/>
                <w:sz w:val="17"/>
                <w:szCs w:val="17"/>
                <w:lang w:eastAsia="zh-HK"/>
              </w:rPr>
              <w:t>用以計算認可機構信用風險（</w:t>
            </w:r>
            <w:r w:rsidR="0011089C" w:rsidRPr="006A6FF6">
              <w:rPr>
                <w:rFonts w:eastAsia="細明體" w:cs="Segoe UI"/>
                <w:noProof/>
                <w:sz w:val="17"/>
                <w:lang w:val="en-US" w:eastAsia="zh-TW"/>
              </w:rPr>
              <w:t>例如</w:t>
            </w:r>
            <w:r w:rsidR="0011089C" w:rsidRPr="006A6FF6">
              <w:rPr>
                <w:rFonts w:eastAsia="細明體" w:cs="Segoe UI" w:hint="eastAsia"/>
                <w:noProof/>
                <w:sz w:val="17"/>
                <w:lang w:val="en-US" w:eastAsia="zh-HK"/>
              </w:rPr>
              <w:t>就</w:t>
            </w:r>
            <w:r w:rsidR="0011089C" w:rsidRPr="006A6FF6">
              <w:rPr>
                <w:rFonts w:eastAsia="新細明體" w:cs="Segoe UI" w:hint="eastAsia"/>
                <w:sz w:val="17"/>
                <w:szCs w:val="17"/>
                <w:lang w:eastAsia="zh-TW"/>
              </w:rPr>
              <w:t>CIS</w:t>
            </w:r>
            <w:r w:rsidR="0011089C" w:rsidRPr="006A6FF6">
              <w:rPr>
                <w:rFonts w:eastAsia="新細明體" w:cs="Segoe UI" w:hint="eastAsia"/>
                <w:sz w:val="17"/>
                <w:szCs w:val="17"/>
                <w:lang w:eastAsia="zh-HK"/>
              </w:rPr>
              <w:t>風險承擔的組成項目</w:t>
            </w:r>
            <w:r w:rsidR="0011089C" w:rsidRPr="006A6FF6">
              <w:rPr>
                <w:rFonts w:ascii="新細明體" w:eastAsia="新細明體" w:hAnsi="新細明體" w:cs="Segoe UI" w:hint="eastAsia"/>
                <w:sz w:val="17"/>
                <w:szCs w:val="17"/>
                <w:lang w:eastAsia="zh-TW"/>
              </w:rPr>
              <w:t>）</w:t>
            </w:r>
            <w:r w:rsidR="0011089C" w:rsidRPr="006A6FF6">
              <w:rPr>
                <w:rFonts w:eastAsia="新細明體" w:cs="Segoe UI" w:hint="eastAsia"/>
                <w:sz w:val="17"/>
                <w:szCs w:val="17"/>
                <w:lang w:eastAsia="zh-HK"/>
              </w:rPr>
              <w:t>的任何一種</w:t>
            </w:r>
            <w:r w:rsidRPr="006A6FF6">
              <w:rPr>
                <w:rFonts w:eastAsia="新細明體" w:cs="Segoe UI" w:hint="eastAsia"/>
                <w:sz w:val="17"/>
                <w:szCs w:val="17"/>
                <w:lang w:eastAsia="zh-HK"/>
              </w:rPr>
              <w:t>模式基準計算法</w:t>
            </w:r>
            <w:r w:rsidRPr="006A6FF6">
              <w:rPr>
                <w:rFonts w:ascii="新細明體" w:eastAsia="新細明體" w:hAnsi="新細明體" w:cs="Segoe UI" w:hint="eastAsia"/>
                <w:sz w:val="17"/>
                <w:szCs w:val="17"/>
                <w:lang w:eastAsia="zh-HK"/>
              </w:rPr>
              <w:t>計</w:t>
            </w:r>
            <w:r w:rsidRPr="006A6FF6">
              <w:rPr>
                <w:rFonts w:ascii="新細明體" w:eastAsia="新細明體" w:hAnsi="新細明體" w:cs="Segoe UI" w:hint="eastAsia"/>
                <w:sz w:val="17"/>
                <w:szCs w:val="17"/>
                <w:lang w:eastAsia="zh-TW"/>
              </w:rPr>
              <w:t>算</w:t>
            </w:r>
            <w:r w:rsidRPr="006A6FF6">
              <w:rPr>
                <w:rFonts w:ascii="新細明體" w:eastAsia="新細明體" w:hAnsi="新細明體" w:cs="Segoe UI" w:hint="eastAsia"/>
                <w:sz w:val="17"/>
                <w:szCs w:val="17"/>
                <w:lang w:eastAsia="zh-HK"/>
              </w:rPr>
              <w:t>的</w:t>
            </w:r>
            <w:r w:rsidRPr="006A6FF6">
              <w:rPr>
                <w:rFonts w:eastAsia="新細明體" w:cs="Segoe UI" w:hint="eastAsia"/>
                <w:sz w:val="17"/>
                <w:szCs w:val="17"/>
                <w:lang w:eastAsia="zh-HK"/>
              </w:rPr>
              <w:t>風險加權數額</w:t>
            </w:r>
            <w:r w:rsidRPr="006A6FF6">
              <w:rPr>
                <w:rFonts w:eastAsia="新細明體" w:cs="Segoe UI" w:hint="eastAsia"/>
                <w:sz w:val="17"/>
                <w:szCs w:val="17"/>
                <w:lang w:eastAsia="zh-TW"/>
              </w:rPr>
              <w:t>。</w:t>
            </w:r>
            <w:r w:rsidRPr="006A6FF6">
              <w:rPr>
                <w:rFonts w:eastAsia="新細明體" w:cs="Segoe UI"/>
                <w:sz w:val="17"/>
                <w:szCs w:val="17"/>
                <w:lang w:eastAsia="zh-TW"/>
              </w:rPr>
              <w:t xml:space="preserve"> </w:t>
            </w:r>
          </w:p>
          <w:p w14:paraId="2A657B8E" w14:textId="77777777" w:rsidR="00B40CC0" w:rsidRPr="006A6FF6" w:rsidRDefault="00B40CC0" w:rsidP="00B40CC0">
            <w:pPr>
              <w:keepLines/>
              <w:tabs>
                <w:tab w:val="left" w:pos="150"/>
                <w:tab w:val="left" w:pos="397"/>
                <w:tab w:val="left" w:pos="794"/>
                <w:tab w:val="left" w:pos="1191"/>
              </w:tabs>
              <w:snapToGrid w:val="0"/>
              <w:spacing w:line="20" w:lineRule="atLeast"/>
              <w:contextualSpacing/>
              <w:jc w:val="both"/>
              <w:rPr>
                <w:rFonts w:eastAsia="新細明體" w:cs="Segoe UI"/>
                <w:i/>
                <w:sz w:val="17"/>
                <w:szCs w:val="17"/>
                <w:lang w:eastAsia="zh-TW"/>
              </w:rPr>
            </w:pPr>
          </w:p>
          <w:p w14:paraId="1241B60E" w14:textId="1A046BC4" w:rsidR="00B40CC0" w:rsidRPr="006A6FF6" w:rsidRDefault="00B40CC0" w:rsidP="00B40CC0">
            <w:pPr>
              <w:keepLines/>
              <w:tabs>
                <w:tab w:val="left" w:pos="397"/>
                <w:tab w:val="left" w:pos="794"/>
                <w:tab w:val="left" w:pos="1191"/>
              </w:tabs>
              <w:spacing w:before="40" w:after="40"/>
              <w:jc w:val="both"/>
              <w:rPr>
                <w:rFonts w:ascii="DengXian" w:eastAsia="DengXian" w:hAnsi="DengXian" w:cs="Segoe UI"/>
                <w:sz w:val="17"/>
                <w:szCs w:val="17"/>
                <w:lang w:eastAsia="zh-TW"/>
              </w:rPr>
            </w:pPr>
            <w:r w:rsidRPr="006A6FF6">
              <w:rPr>
                <w:rFonts w:eastAsia="新細明體" w:cs="Segoe UI"/>
                <w:i/>
                <w:sz w:val="17"/>
                <w:szCs w:val="17"/>
                <w:lang w:eastAsia="zh-TW"/>
              </w:rPr>
              <w:t>[CMS1:7/b]</w:t>
            </w:r>
            <w:r w:rsidRPr="006A6FF6">
              <w:rPr>
                <w:rFonts w:eastAsia="新細明體" w:cs="Segoe UI" w:hint="eastAsia"/>
                <w:i/>
                <w:sz w:val="17"/>
                <w:szCs w:val="17"/>
                <w:lang w:eastAsia="zh-TW"/>
              </w:rPr>
              <w:t xml:space="preserve"> </w:t>
            </w:r>
            <w:r w:rsidRPr="006A6FF6">
              <w:rPr>
                <w:rFonts w:eastAsia="新細明體" w:cs="Segoe UI" w:hint="eastAsia"/>
                <w:i/>
                <w:sz w:val="17"/>
                <w:szCs w:val="17"/>
                <w:lang w:eastAsia="zh-HK"/>
              </w:rPr>
              <w:t>即採用標準計算法的組合</w:t>
            </w:r>
            <w:r w:rsidRPr="006A6FF6">
              <w:rPr>
                <w:rFonts w:eastAsia="新細明體" w:cs="Segoe UI" w:hint="eastAsia"/>
                <w:i/>
                <w:sz w:val="17"/>
                <w:szCs w:val="17"/>
                <w:lang w:eastAsia="zh-TW"/>
              </w:rPr>
              <w:t>的風險加權數額</w:t>
            </w:r>
            <w:r w:rsidRPr="006A6FF6">
              <w:rPr>
                <w:rFonts w:eastAsia="新細明體" w:cs="Segoe UI"/>
                <w:sz w:val="17"/>
                <w:szCs w:val="17"/>
                <w:lang w:eastAsia="zh-TW"/>
              </w:rPr>
              <w:t>：</w:t>
            </w:r>
            <w:proofErr w:type="gramStart"/>
            <w:r w:rsidR="006F2C88" w:rsidRPr="006F2C88">
              <w:rPr>
                <w:rFonts w:eastAsia="新細明體" w:cs="Segoe UI" w:hint="eastAsia"/>
                <w:sz w:val="17"/>
                <w:szCs w:val="17"/>
                <w:lang w:eastAsia="zh-TW"/>
              </w:rPr>
              <w:t>本格適用於根據認可機構就信用風險使用</w:t>
            </w:r>
            <w:r w:rsidR="006F2C88" w:rsidRPr="006F2C88">
              <w:rPr>
                <w:rFonts w:eastAsia="新細明體" w:cs="Segoe UI"/>
                <w:sz w:val="17"/>
                <w:szCs w:val="17"/>
                <w:lang w:eastAsia="zh-TW"/>
              </w:rPr>
              <w:t>[</w:t>
            </w:r>
            <w:proofErr w:type="gramEnd"/>
            <w:r w:rsidR="006F2C88" w:rsidRPr="006F2C88">
              <w:rPr>
                <w:rFonts w:eastAsia="新細明體" w:cs="Segoe UI"/>
                <w:sz w:val="17"/>
                <w:szCs w:val="17"/>
                <w:lang w:eastAsia="zh-TW"/>
              </w:rPr>
              <w:t>CMS1:7/a]</w:t>
            </w:r>
            <w:r w:rsidR="006F2C88" w:rsidRPr="006F2C88">
              <w:rPr>
                <w:rFonts w:eastAsia="新細明體" w:cs="Segoe UI" w:hint="eastAsia"/>
                <w:sz w:val="17"/>
                <w:szCs w:val="17"/>
                <w:lang w:eastAsia="zh-TW"/>
              </w:rPr>
              <w:t>所述模式基準計算法以外的計算法計算風險加權數額的風險承擔</w:t>
            </w:r>
            <w:r w:rsidRPr="006A6FF6">
              <w:rPr>
                <w:rFonts w:eastAsia="新細明體" w:cs="Segoe UI" w:hint="eastAsia"/>
                <w:sz w:val="17"/>
                <w:szCs w:val="17"/>
                <w:lang w:eastAsia="zh-TW"/>
              </w:rPr>
              <w:t>。</w:t>
            </w:r>
          </w:p>
          <w:p w14:paraId="7DF1E4CA" w14:textId="77777777" w:rsidR="00B40CC0" w:rsidRPr="006A6FF6" w:rsidRDefault="00B40CC0" w:rsidP="00B40CC0">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43E311F1" w14:textId="77777777" w:rsidR="00B40CC0" w:rsidRPr="006A6FF6" w:rsidRDefault="00B40CC0" w:rsidP="00B40CC0">
            <w:pPr>
              <w:keepLines/>
              <w:tabs>
                <w:tab w:val="left" w:pos="397"/>
                <w:tab w:val="left" w:pos="794"/>
                <w:tab w:val="left" w:pos="1191"/>
              </w:tabs>
              <w:spacing w:before="40" w:after="40"/>
              <w:jc w:val="both"/>
              <w:rPr>
                <w:rFonts w:eastAsia="新細明體" w:cs="Segoe UI"/>
                <w:sz w:val="17"/>
                <w:szCs w:val="17"/>
                <w:lang w:eastAsia="zh-HK"/>
              </w:rPr>
            </w:pPr>
            <w:r w:rsidRPr="006A6FF6">
              <w:rPr>
                <w:rFonts w:eastAsia="新細明體" w:cs="Segoe UI"/>
                <w:i/>
                <w:sz w:val="17"/>
                <w:szCs w:val="17"/>
                <w:lang w:eastAsia="zh-TW"/>
              </w:rPr>
              <w:t xml:space="preserve">[CMS1:7/c] </w:t>
            </w:r>
            <w:r w:rsidRPr="006A6FF6">
              <w:rPr>
                <w:rFonts w:eastAsia="新細明體" w:cs="Segoe UI" w:hint="eastAsia"/>
                <w:i/>
                <w:sz w:val="17"/>
                <w:szCs w:val="17"/>
                <w:lang w:eastAsia="zh-HK"/>
              </w:rPr>
              <w:t>即總實際風險加權</w:t>
            </w:r>
            <w:r w:rsidRPr="006A6FF6">
              <w:rPr>
                <w:rFonts w:eastAsia="新細明體" w:cs="Segoe UI" w:hint="eastAsia"/>
                <w:i/>
                <w:sz w:val="17"/>
                <w:szCs w:val="17"/>
                <w:lang w:eastAsia="zh-TW"/>
              </w:rPr>
              <w:t>數</w:t>
            </w:r>
            <w:r w:rsidRPr="006A6FF6">
              <w:rPr>
                <w:rFonts w:eastAsia="新細明體" w:cs="Segoe UI" w:hint="eastAsia"/>
                <w:i/>
                <w:sz w:val="17"/>
                <w:szCs w:val="17"/>
                <w:lang w:eastAsia="zh-HK"/>
              </w:rPr>
              <w:t>額</w:t>
            </w:r>
            <w:r w:rsidRPr="006A6FF6">
              <w:rPr>
                <w:rFonts w:eastAsia="新細明體" w:cs="Segoe UI"/>
                <w:sz w:val="17"/>
                <w:szCs w:val="17"/>
                <w:lang w:eastAsia="zh-TW"/>
              </w:rPr>
              <w:t>：</w:t>
            </w:r>
            <w:proofErr w:type="gramStart"/>
            <w:r w:rsidRPr="006A6FF6">
              <w:rPr>
                <w:rFonts w:eastAsia="新細明體" w:cs="Segoe UI" w:hint="eastAsia"/>
                <w:sz w:val="17"/>
                <w:szCs w:val="17"/>
                <w:lang w:eastAsia="zh-HK"/>
              </w:rPr>
              <w:t>填報的風險加權數額是</w:t>
            </w:r>
            <w:r w:rsidRPr="006A6FF6">
              <w:rPr>
                <w:rFonts w:eastAsia="新細明體" w:cs="Segoe UI"/>
                <w:sz w:val="17"/>
                <w:szCs w:val="17"/>
                <w:lang w:eastAsia="zh-TW"/>
              </w:rPr>
              <w:t>[</w:t>
            </w:r>
            <w:proofErr w:type="gramEnd"/>
            <w:r w:rsidRPr="006A6FF6">
              <w:rPr>
                <w:rFonts w:eastAsia="新細明體" w:cs="Segoe UI"/>
                <w:sz w:val="17"/>
                <w:szCs w:val="17"/>
                <w:lang w:eastAsia="zh-TW"/>
              </w:rPr>
              <w:t>CMS1:7/a]</w:t>
            </w:r>
            <w:r w:rsidRPr="006A6FF6">
              <w:rPr>
                <w:rFonts w:eastAsia="新細明體" w:cs="Segoe UI" w:hint="eastAsia"/>
                <w:sz w:val="17"/>
                <w:szCs w:val="17"/>
                <w:lang w:eastAsia="zh-HK"/>
              </w:rPr>
              <w:t>與</w:t>
            </w:r>
            <w:r w:rsidRPr="006A6FF6">
              <w:rPr>
                <w:rFonts w:eastAsia="新細明體" w:cs="Segoe UI"/>
                <w:sz w:val="17"/>
                <w:szCs w:val="17"/>
                <w:lang w:eastAsia="zh-TW"/>
              </w:rPr>
              <w:t>[CMS1:7/b]</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p>
          <w:p w14:paraId="79342E6D" w14:textId="77777777" w:rsidR="00B40CC0" w:rsidRPr="006A6FF6" w:rsidRDefault="00B40CC0" w:rsidP="00B40CC0">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6E46BCBB" w14:textId="1823E7B4" w:rsidR="00190D67" w:rsidRPr="006A6FF6" w:rsidRDefault="00B40CC0" w:rsidP="00476F33">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 xml:space="preserve">[CMS1:7/d] </w:t>
            </w:r>
            <w:r w:rsidRPr="006A6FF6">
              <w:rPr>
                <w:rFonts w:eastAsia="新細明體" w:cs="Segoe UI" w:hint="eastAsia"/>
                <w:i/>
                <w:sz w:val="17"/>
                <w:szCs w:val="17"/>
                <w:lang w:eastAsia="zh-HK"/>
              </w:rPr>
              <w:t>即採用全面標準計算法計算的風險加權數額</w:t>
            </w:r>
            <w:r w:rsidRPr="006A6FF6">
              <w:rPr>
                <w:rFonts w:eastAsia="新細明體" w:cs="Segoe UI"/>
                <w:sz w:val="17"/>
                <w:szCs w:val="17"/>
                <w:lang w:eastAsia="zh-TW"/>
              </w:rPr>
              <w:t>：</w:t>
            </w:r>
            <w:r w:rsidRPr="006A6FF6">
              <w:rPr>
                <w:rFonts w:eastAsia="新細明體" w:cs="Segoe UI" w:hint="eastAsia"/>
                <w:sz w:val="17"/>
                <w:szCs w:val="17"/>
                <w:lang w:eastAsia="zh-HK"/>
              </w:rPr>
              <w:t>如屬適用</w:t>
            </w:r>
            <w:r w:rsidRPr="006A6FF6">
              <w:rPr>
                <w:rFonts w:eastAsia="新細明體" w:cs="Segoe UI" w:hint="eastAsia"/>
                <w:sz w:val="17"/>
                <w:szCs w:val="17"/>
                <w:lang w:eastAsia="zh-TW"/>
              </w:rPr>
              <w:t>，</w:t>
            </w:r>
            <w:proofErr w:type="gramStart"/>
            <w:r w:rsidRPr="006A6FF6">
              <w:rPr>
                <w:rFonts w:eastAsia="新細明體" w:cs="Segoe UI" w:hint="eastAsia"/>
                <w:sz w:val="17"/>
                <w:szCs w:val="17"/>
                <w:lang w:eastAsia="zh-HK"/>
              </w:rPr>
              <w:t>認可機構應就引致</w:t>
            </w:r>
            <w:r w:rsidRPr="006A6FF6">
              <w:rPr>
                <w:rFonts w:eastAsia="新細明體" w:cs="Segoe UI"/>
                <w:sz w:val="17"/>
                <w:szCs w:val="17"/>
                <w:lang w:eastAsia="zh-TW"/>
              </w:rPr>
              <w:t>[</w:t>
            </w:r>
            <w:proofErr w:type="gramEnd"/>
            <w:r w:rsidRPr="006A6FF6">
              <w:rPr>
                <w:rFonts w:eastAsia="新細明體" w:cs="Segoe UI"/>
                <w:sz w:val="17"/>
                <w:szCs w:val="17"/>
                <w:lang w:eastAsia="zh-TW"/>
              </w:rPr>
              <w:t>CMS1:7/c]</w:t>
            </w:r>
            <w:r w:rsidRPr="006A6FF6">
              <w:rPr>
                <w:rFonts w:eastAsia="新細明體" w:cs="Segoe UI" w:hint="eastAsia"/>
                <w:sz w:val="17"/>
                <w:szCs w:val="17"/>
                <w:lang w:eastAsia="zh-HK"/>
              </w:rPr>
              <w:t>中填報的風險加權數額的風險承擔，以上文註</w:t>
            </w:r>
            <w:r w:rsidRPr="006A6FF6">
              <w:rPr>
                <w:rFonts w:ascii="新細明體" w:eastAsia="新細明體" w:hAnsi="新細明體" w:cs="Segoe UI" w:hint="eastAsia"/>
                <w:sz w:val="17"/>
                <w:szCs w:val="17"/>
                <w:lang w:eastAsia="zh-TW"/>
              </w:rPr>
              <w:t>釋</w:t>
            </w:r>
            <w:r w:rsidRPr="006A6FF6">
              <w:rPr>
                <w:rFonts w:eastAsia="新細明體" w:cs="Segoe UI"/>
                <w:sz w:val="17"/>
                <w:szCs w:val="17"/>
                <w:lang w:eastAsia="zh-TW"/>
              </w:rPr>
              <w:t>(a)</w:t>
            </w:r>
            <w:r w:rsidRPr="006A6FF6">
              <w:rPr>
                <w:rFonts w:eastAsia="新細明體" w:cs="Segoe UI" w:hint="eastAsia"/>
                <w:sz w:val="17"/>
                <w:szCs w:val="17"/>
                <w:lang w:eastAsia="zh-HK"/>
              </w:rPr>
              <w:t>欄所述模式基準計算法以外的計算法計算信用風</w:t>
            </w:r>
            <w:r w:rsidRPr="006A6FF6">
              <w:rPr>
                <w:rFonts w:eastAsia="新細明體" w:cs="Segoe UI" w:hint="eastAsia"/>
                <w:sz w:val="17"/>
                <w:szCs w:val="17"/>
                <w:lang w:eastAsia="zh-TW"/>
              </w:rPr>
              <w:t>險</w:t>
            </w:r>
            <w:r w:rsidRPr="006A6FF6">
              <w:rPr>
                <w:rFonts w:eastAsia="新細明體" w:cs="Segoe UI" w:hint="eastAsia"/>
                <w:sz w:val="17"/>
                <w:szCs w:val="17"/>
                <w:lang w:eastAsia="zh-HK"/>
              </w:rPr>
              <w:t>的風險加權數額</w:t>
            </w:r>
            <w:r w:rsidR="00476F33">
              <w:rPr>
                <w:rFonts w:eastAsia="新細明體" w:cs="Segoe UI" w:hint="eastAsia"/>
                <w:sz w:val="17"/>
                <w:szCs w:val="17"/>
                <w:lang w:eastAsia="zh-HK"/>
              </w:rPr>
              <w:t>，</w:t>
            </w:r>
            <w:r w:rsidR="00476F33" w:rsidRPr="006A6FF6">
              <w:rPr>
                <w:rFonts w:eastAsia="新細明體" w:cs="Segoe UI" w:hint="eastAsia"/>
                <w:sz w:val="17"/>
                <w:lang w:eastAsia="zh-HK"/>
              </w:rPr>
              <w:t>作為</w:t>
            </w:r>
            <w:r w:rsidR="00476F33" w:rsidRPr="006A6FF6">
              <w:rPr>
                <w:rFonts w:eastAsia="新細明體" w:cs="Segoe UI" w:hint="eastAsia"/>
                <w:sz w:val="17"/>
                <w:szCs w:val="17"/>
                <w:lang w:eastAsia="zh-HK"/>
              </w:rPr>
              <w:t>出項下限計算</w:t>
            </w:r>
            <w:r w:rsidR="00476F33" w:rsidRPr="006A6FF6">
              <w:rPr>
                <w:rFonts w:eastAsiaTheme="minorEastAsia" w:cs="Segoe UI" w:hint="eastAsia"/>
                <w:sz w:val="17"/>
                <w:szCs w:val="17"/>
                <w:lang w:eastAsia="zh-HK"/>
              </w:rPr>
              <w:t>的</w:t>
            </w:r>
            <w:r w:rsidR="00476F33" w:rsidRPr="006A6FF6">
              <w:rPr>
                <w:rFonts w:eastAsia="新細明體" w:cs="Segoe UI" w:hint="eastAsia"/>
                <w:sz w:val="17"/>
                <w:szCs w:val="17"/>
                <w:lang w:eastAsia="zh-HK"/>
              </w:rPr>
              <w:t>基礎</w:t>
            </w:r>
            <w:r w:rsidRPr="006A6FF6">
              <w:rPr>
                <w:rFonts w:eastAsia="新細明體" w:cs="Segoe UI" w:hint="eastAsia"/>
                <w:sz w:val="17"/>
                <w:szCs w:val="17"/>
                <w:lang w:eastAsia="zh-HK"/>
              </w:rPr>
              <w:t>。</w:t>
            </w:r>
          </w:p>
        </w:tc>
      </w:tr>
      <w:tr w:rsidR="006A6FF6" w:rsidRPr="006A6FF6" w14:paraId="7094E24E" w14:textId="77777777" w:rsidTr="00862754">
        <w:tc>
          <w:tcPr>
            <w:tcW w:w="567" w:type="dxa"/>
            <w:shd w:val="clear" w:color="auto" w:fill="auto"/>
          </w:tcPr>
          <w:p w14:paraId="206CAEE6"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rPr>
            </w:pPr>
            <w:r w:rsidRPr="006A6FF6">
              <w:rPr>
                <w:rFonts w:eastAsia="新細明體" w:cs="Segoe UI"/>
                <w:sz w:val="17"/>
                <w:szCs w:val="17"/>
              </w:rPr>
              <w:t>8</w:t>
            </w:r>
          </w:p>
        </w:tc>
        <w:tc>
          <w:tcPr>
            <w:tcW w:w="8647" w:type="dxa"/>
            <w:shd w:val="clear" w:color="auto" w:fill="auto"/>
          </w:tcPr>
          <w:p w14:paraId="047E6681" w14:textId="77777777"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en-GB"/>
              </w:rPr>
            </w:pPr>
            <w:r w:rsidRPr="006A6FF6">
              <w:rPr>
                <w:rFonts w:eastAsia="新細明體" w:cs="Segoe UI" w:hint="eastAsia"/>
                <w:i/>
                <w:sz w:val="17"/>
                <w:szCs w:val="17"/>
                <w:u w:val="single"/>
                <w:lang w:eastAsia="zh-HK"/>
              </w:rPr>
              <w:t>總計</w:t>
            </w:r>
            <w:r w:rsidRPr="006A6FF6">
              <w:rPr>
                <w:rFonts w:eastAsia="新細明體" w:cs="Segoe UI"/>
                <w:sz w:val="17"/>
                <w:szCs w:val="17"/>
              </w:rPr>
              <w:t xml:space="preserve"> </w:t>
            </w:r>
          </w:p>
          <w:p w14:paraId="002F1824" w14:textId="2D436D4A"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HK"/>
              </w:rPr>
            </w:pPr>
            <w:r w:rsidRPr="006A6FF6">
              <w:rPr>
                <w:rFonts w:eastAsia="新細明體" w:cs="Segoe UI"/>
                <w:i/>
                <w:sz w:val="17"/>
                <w:szCs w:val="17"/>
              </w:rPr>
              <w:t xml:space="preserve">[CMS1:8/a] </w:t>
            </w:r>
            <w:r w:rsidRPr="006A6FF6">
              <w:rPr>
                <w:rFonts w:eastAsia="新細明體" w:cs="Segoe UI" w:hint="eastAsia"/>
                <w:i/>
                <w:sz w:val="17"/>
                <w:szCs w:val="17"/>
                <w:lang w:eastAsia="zh-HK"/>
              </w:rPr>
              <w:t>即</w:t>
            </w:r>
            <w:r w:rsidRPr="006A6FF6">
              <w:rPr>
                <w:rFonts w:eastAsia="新細明體" w:cs="Segoe UI" w:hint="eastAsia"/>
                <w:i/>
                <w:sz w:val="17"/>
                <w:szCs w:val="17"/>
                <w:lang w:eastAsia="zh-TW"/>
              </w:rPr>
              <w:t>認可機構獲金融管理專員批准採用的模式基準計算法</w:t>
            </w:r>
            <w:r w:rsidR="008836DF" w:rsidRPr="006A6FF6">
              <w:rPr>
                <w:rFonts w:eastAsia="新細明體" w:cs="Segoe UI" w:hint="eastAsia"/>
                <w:i/>
                <w:sz w:val="17"/>
                <w:szCs w:val="17"/>
                <w:lang w:eastAsia="zh-HK"/>
              </w:rPr>
              <w:t>下</w:t>
            </w:r>
            <w:r w:rsidRPr="006A6FF6">
              <w:rPr>
                <w:rFonts w:eastAsia="新細明體" w:cs="Segoe UI" w:hint="eastAsia"/>
                <w:i/>
                <w:sz w:val="17"/>
                <w:szCs w:val="17"/>
                <w:lang w:eastAsia="zh-TW"/>
              </w:rPr>
              <w:t>計算的風險加權數額</w:t>
            </w:r>
            <w:r w:rsidRPr="006A6FF6">
              <w:rPr>
                <w:rFonts w:eastAsia="新細明體" w:cs="Segoe UI"/>
                <w:sz w:val="17"/>
                <w:szCs w:val="17"/>
                <w:lang w:eastAsia="zh-TW"/>
              </w:rPr>
              <w:t>：</w:t>
            </w:r>
            <w:proofErr w:type="gramStart"/>
            <w:r w:rsidRPr="006A6FF6">
              <w:rPr>
                <w:rFonts w:eastAsia="新細明體" w:cs="Segoe UI" w:hint="eastAsia"/>
                <w:sz w:val="17"/>
                <w:szCs w:val="17"/>
                <w:lang w:eastAsia="zh-HK"/>
              </w:rPr>
              <w:t>此為</w:t>
            </w:r>
            <w:r w:rsidRPr="006A6FF6">
              <w:rPr>
                <w:rFonts w:eastAsia="新細明體" w:cs="Segoe UI"/>
                <w:sz w:val="17"/>
                <w:szCs w:val="17"/>
                <w:lang w:eastAsia="en-GB"/>
              </w:rPr>
              <w:t>[</w:t>
            </w:r>
            <w:proofErr w:type="gramEnd"/>
            <w:r w:rsidRPr="006A6FF6">
              <w:rPr>
                <w:rFonts w:eastAsia="新細明體" w:cs="Segoe UI"/>
                <w:sz w:val="17"/>
                <w:szCs w:val="17"/>
                <w:lang w:eastAsia="en-GB"/>
              </w:rPr>
              <w:t>CMS1:1/a]</w:t>
            </w:r>
            <w:r w:rsidRPr="006A6FF6">
              <w:rPr>
                <w:rFonts w:eastAsia="新細明體" w:cs="Segoe UI" w:hint="eastAsia"/>
                <w:sz w:val="17"/>
                <w:szCs w:val="17"/>
                <w:lang w:eastAsia="zh-TW"/>
              </w:rPr>
              <w:t>、</w:t>
            </w:r>
            <w:r w:rsidRPr="006A6FF6">
              <w:rPr>
                <w:rFonts w:eastAsia="新細明體" w:cs="Segoe UI"/>
                <w:sz w:val="17"/>
                <w:szCs w:val="17"/>
                <w:lang w:eastAsia="en-GB"/>
              </w:rPr>
              <w:t>[CMS1:2/a]</w:t>
            </w:r>
            <w:r w:rsidRPr="006A6FF6">
              <w:rPr>
                <w:rFonts w:eastAsia="新細明體" w:cs="Segoe UI" w:hint="eastAsia"/>
                <w:sz w:val="17"/>
                <w:szCs w:val="17"/>
                <w:lang w:eastAsia="zh-TW"/>
              </w:rPr>
              <w:t>、</w:t>
            </w:r>
            <w:r w:rsidRPr="006A6FF6">
              <w:rPr>
                <w:rFonts w:eastAsia="新細明體" w:cs="Segoe UI"/>
                <w:sz w:val="17"/>
                <w:szCs w:val="17"/>
                <w:lang w:eastAsia="en-GB"/>
              </w:rPr>
              <w:t>[CMS1:4/a]</w:t>
            </w:r>
            <w:r w:rsidRPr="006A6FF6">
              <w:rPr>
                <w:rFonts w:eastAsia="新細明體" w:cs="Segoe UI" w:hint="eastAsia"/>
                <w:sz w:val="17"/>
                <w:szCs w:val="17"/>
                <w:lang w:eastAsia="zh-TW"/>
              </w:rPr>
              <w:t>、</w:t>
            </w:r>
            <w:r w:rsidRPr="006A6FF6">
              <w:rPr>
                <w:rFonts w:eastAsia="新細明體" w:cs="Segoe UI"/>
                <w:sz w:val="17"/>
                <w:szCs w:val="17"/>
                <w:lang w:eastAsia="en-GB"/>
              </w:rPr>
              <w:t xml:space="preserve">[CMS1:5/a] </w:t>
            </w:r>
            <w:r w:rsidRPr="006A6FF6">
              <w:rPr>
                <w:rFonts w:eastAsia="新細明體" w:cs="Segoe UI" w:hint="eastAsia"/>
                <w:sz w:val="17"/>
                <w:szCs w:val="17"/>
                <w:lang w:eastAsia="zh-HK"/>
              </w:rPr>
              <w:t>及</w:t>
            </w:r>
            <w:r w:rsidRPr="006A6FF6">
              <w:rPr>
                <w:rFonts w:eastAsia="新細明體" w:cs="Segoe UI"/>
                <w:sz w:val="17"/>
                <w:szCs w:val="17"/>
                <w:lang w:eastAsia="en-GB"/>
              </w:rPr>
              <w:t>[CMS1:7a]</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p>
          <w:p w14:paraId="29BDD62D"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en-GB"/>
              </w:rPr>
            </w:pPr>
          </w:p>
          <w:p w14:paraId="72CE3F8F" w14:textId="061C6267"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en-GB"/>
              </w:rPr>
            </w:pPr>
            <w:r w:rsidRPr="006A6FF6">
              <w:rPr>
                <w:rFonts w:eastAsia="新細明體" w:cs="Segoe UI"/>
                <w:i/>
                <w:sz w:val="17"/>
                <w:szCs w:val="17"/>
              </w:rPr>
              <w:t xml:space="preserve">[CMS1:8/b] </w:t>
            </w:r>
            <w:r w:rsidRPr="006A6FF6">
              <w:rPr>
                <w:rFonts w:eastAsia="新細明體" w:cs="Segoe UI" w:hint="eastAsia"/>
                <w:i/>
                <w:sz w:val="17"/>
                <w:szCs w:val="17"/>
                <w:lang w:eastAsia="zh-HK"/>
              </w:rPr>
              <w:t>即</w:t>
            </w:r>
            <w:r w:rsidRPr="006A6FF6">
              <w:rPr>
                <w:rFonts w:eastAsia="新細明體" w:cs="Segoe UI" w:hint="eastAsia"/>
                <w:i/>
                <w:sz w:val="17"/>
                <w:szCs w:val="17"/>
                <w:lang w:eastAsia="zh-TW"/>
              </w:rPr>
              <w:t>採</w:t>
            </w:r>
            <w:r w:rsidRPr="006A6FF6">
              <w:rPr>
                <w:rFonts w:eastAsia="新細明體" w:cs="Segoe UI" w:hint="eastAsia"/>
                <w:i/>
                <w:sz w:val="17"/>
                <w:szCs w:val="17"/>
                <w:lang w:eastAsia="zh-HK"/>
              </w:rPr>
              <w:t>用標準計算法的組合</w:t>
            </w:r>
            <w:r w:rsidRPr="006A6FF6">
              <w:rPr>
                <w:rFonts w:eastAsia="新細明體" w:cs="Segoe UI" w:hint="eastAsia"/>
                <w:i/>
                <w:sz w:val="17"/>
                <w:szCs w:val="17"/>
                <w:lang w:eastAsia="zh-TW"/>
              </w:rPr>
              <w:t>的風險加權數額</w:t>
            </w:r>
            <w:r w:rsidRPr="006A6FF6">
              <w:rPr>
                <w:rFonts w:eastAsia="新細明體" w:cs="Segoe UI"/>
                <w:sz w:val="17"/>
                <w:szCs w:val="17"/>
                <w:lang w:eastAsia="zh-TW"/>
              </w:rPr>
              <w:t>：</w:t>
            </w:r>
            <w:proofErr w:type="gramStart"/>
            <w:r w:rsidRPr="006A6FF6">
              <w:rPr>
                <w:rFonts w:eastAsia="新細明體" w:cs="Segoe UI" w:hint="eastAsia"/>
                <w:sz w:val="17"/>
                <w:szCs w:val="17"/>
                <w:lang w:eastAsia="zh-HK"/>
              </w:rPr>
              <w:t>此為</w:t>
            </w:r>
            <w:r w:rsidRPr="006A6FF6">
              <w:rPr>
                <w:rFonts w:eastAsia="新細明體" w:cs="Segoe UI"/>
                <w:sz w:val="17"/>
                <w:szCs w:val="17"/>
                <w:lang w:eastAsia="en-GB"/>
              </w:rPr>
              <w:t>[</w:t>
            </w:r>
            <w:proofErr w:type="gramEnd"/>
            <w:r w:rsidRPr="006A6FF6">
              <w:rPr>
                <w:rFonts w:eastAsia="新細明體" w:cs="Segoe UI"/>
                <w:sz w:val="17"/>
                <w:szCs w:val="17"/>
                <w:lang w:eastAsia="en-GB"/>
              </w:rPr>
              <w:t>CMS1:1/b]</w:t>
            </w:r>
            <w:r w:rsidRPr="006A6FF6">
              <w:rPr>
                <w:rFonts w:eastAsia="新細明體" w:cs="Segoe UI" w:hint="eastAsia"/>
                <w:sz w:val="17"/>
                <w:szCs w:val="17"/>
                <w:lang w:eastAsia="zh-TW"/>
              </w:rPr>
              <w:t>、</w:t>
            </w:r>
            <w:r w:rsidRPr="006A6FF6">
              <w:rPr>
                <w:rFonts w:eastAsia="新細明體" w:cs="Segoe UI"/>
                <w:sz w:val="17"/>
                <w:szCs w:val="17"/>
                <w:lang w:eastAsia="en-GB"/>
              </w:rPr>
              <w:t>[CMS1:2/b]</w:t>
            </w:r>
            <w:r w:rsidRPr="006A6FF6">
              <w:rPr>
                <w:rFonts w:eastAsia="新細明體" w:cs="Segoe UI" w:hint="eastAsia"/>
                <w:sz w:val="17"/>
                <w:szCs w:val="17"/>
                <w:lang w:eastAsia="zh-TW"/>
              </w:rPr>
              <w:t>、</w:t>
            </w:r>
            <w:r w:rsidRPr="006A6FF6">
              <w:rPr>
                <w:rFonts w:eastAsia="新細明體" w:cs="Segoe UI"/>
                <w:sz w:val="17"/>
                <w:szCs w:val="17"/>
                <w:lang w:eastAsia="en-GB"/>
              </w:rPr>
              <w:t>[CMS1:3/b]</w:t>
            </w:r>
            <w:r w:rsidRPr="006A6FF6">
              <w:rPr>
                <w:rFonts w:eastAsia="新細明體" w:cs="Segoe UI" w:hint="eastAsia"/>
                <w:sz w:val="17"/>
                <w:szCs w:val="17"/>
                <w:lang w:eastAsia="zh-TW"/>
              </w:rPr>
              <w:t>、</w:t>
            </w:r>
            <w:r w:rsidRPr="006A6FF6">
              <w:rPr>
                <w:rFonts w:eastAsia="新細明體" w:cs="Segoe UI"/>
                <w:sz w:val="17"/>
                <w:szCs w:val="17"/>
                <w:lang w:eastAsia="en-GB"/>
              </w:rPr>
              <w:t>[CMS1:4/b]</w:t>
            </w:r>
            <w:r w:rsidRPr="006A6FF6">
              <w:rPr>
                <w:rFonts w:eastAsia="新細明體" w:cs="Segoe UI" w:hint="eastAsia"/>
                <w:sz w:val="17"/>
                <w:szCs w:val="17"/>
                <w:lang w:eastAsia="zh-TW"/>
              </w:rPr>
              <w:t>、</w:t>
            </w:r>
            <w:r w:rsidRPr="006A6FF6">
              <w:rPr>
                <w:rFonts w:eastAsia="新細明體" w:cs="Segoe UI"/>
                <w:sz w:val="17"/>
                <w:szCs w:val="17"/>
                <w:lang w:eastAsia="en-GB"/>
              </w:rPr>
              <w:t>[CMS1:5/b]</w:t>
            </w:r>
            <w:r w:rsidRPr="006A6FF6">
              <w:rPr>
                <w:rFonts w:eastAsia="新細明體" w:cs="Segoe UI" w:hint="eastAsia"/>
                <w:sz w:val="17"/>
                <w:szCs w:val="17"/>
                <w:lang w:eastAsia="zh-TW"/>
              </w:rPr>
              <w:t>、</w:t>
            </w:r>
            <w:r w:rsidRPr="006A6FF6">
              <w:rPr>
                <w:rFonts w:eastAsia="新細明體" w:cs="Segoe UI"/>
                <w:sz w:val="17"/>
                <w:szCs w:val="17"/>
                <w:lang w:eastAsia="en-GB"/>
              </w:rPr>
              <w:t>[CMS1:6/b]</w:t>
            </w:r>
            <w:r w:rsidRPr="006A6FF6">
              <w:rPr>
                <w:rFonts w:eastAsia="新細明體" w:cs="Segoe UI" w:hint="eastAsia"/>
                <w:sz w:val="17"/>
                <w:szCs w:val="17"/>
                <w:lang w:eastAsia="zh-HK"/>
              </w:rPr>
              <w:t>及</w:t>
            </w:r>
            <w:r w:rsidRPr="006A6FF6">
              <w:rPr>
                <w:rFonts w:eastAsia="新細明體" w:cs="Segoe UI"/>
                <w:sz w:val="17"/>
                <w:szCs w:val="17"/>
                <w:lang w:eastAsia="en-GB"/>
              </w:rPr>
              <w:t>[CMS1:7/b]</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p>
          <w:p w14:paraId="6D69368D"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en-GB"/>
              </w:rPr>
            </w:pPr>
          </w:p>
          <w:p w14:paraId="785EA4BF" w14:textId="33F40D8C"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 xml:space="preserve">[CMS1:8/c] </w:t>
            </w:r>
            <w:r w:rsidRPr="006A6FF6">
              <w:rPr>
                <w:rFonts w:eastAsia="新細明體" w:cs="Segoe UI" w:hint="eastAsia"/>
                <w:i/>
                <w:sz w:val="17"/>
                <w:szCs w:val="17"/>
                <w:lang w:eastAsia="zh-HK"/>
              </w:rPr>
              <w:t>即</w:t>
            </w:r>
            <w:r w:rsidR="001B6E07" w:rsidRPr="006A6FF6">
              <w:rPr>
                <w:rFonts w:eastAsia="新細明體" w:cs="Segoe UI" w:hint="eastAsia"/>
                <w:i/>
                <w:sz w:val="17"/>
                <w:szCs w:val="17"/>
                <w:lang w:eastAsia="zh-HK"/>
              </w:rPr>
              <w:t>總實際風險加權</w:t>
            </w:r>
            <w:r w:rsidR="001B6E07" w:rsidRPr="006A6FF6">
              <w:rPr>
                <w:rFonts w:eastAsia="新細明體" w:cs="Segoe UI" w:hint="eastAsia"/>
                <w:i/>
                <w:sz w:val="17"/>
                <w:szCs w:val="17"/>
                <w:lang w:eastAsia="zh-TW"/>
              </w:rPr>
              <w:t>數</w:t>
            </w:r>
            <w:r w:rsidR="001B6E07" w:rsidRPr="006A6FF6">
              <w:rPr>
                <w:rFonts w:eastAsia="新細明體" w:cs="Segoe UI" w:hint="eastAsia"/>
                <w:i/>
                <w:sz w:val="17"/>
                <w:szCs w:val="17"/>
                <w:lang w:eastAsia="zh-HK"/>
              </w:rPr>
              <w:t>額</w:t>
            </w:r>
            <w:r w:rsidRPr="006A6FF6">
              <w:rPr>
                <w:rFonts w:eastAsia="新細明體" w:cs="Segoe UI"/>
                <w:sz w:val="17"/>
                <w:szCs w:val="17"/>
                <w:lang w:eastAsia="zh-TW"/>
              </w:rPr>
              <w:t>：</w:t>
            </w:r>
            <w:r w:rsidRPr="006A6FF6">
              <w:rPr>
                <w:rFonts w:eastAsia="新細明體" w:cs="Segoe UI" w:hint="eastAsia"/>
                <w:sz w:val="17"/>
                <w:szCs w:val="17"/>
                <w:lang w:eastAsia="zh-HK"/>
              </w:rPr>
              <w:t>此為按照</w:t>
            </w:r>
            <w:r w:rsidRPr="006A6FF6">
              <w:rPr>
                <w:rFonts w:ascii="細明體" w:eastAsia="細明體" w:hAnsi="細明體" w:cs="Segoe UI" w:hint="eastAsia"/>
                <w:sz w:val="17"/>
                <w:szCs w:val="17"/>
                <w:lang w:eastAsia="zh-TW"/>
              </w:rPr>
              <w:t>《</w:t>
            </w:r>
            <w:r w:rsidRPr="006A6FF6">
              <w:rPr>
                <w:rFonts w:ascii="細明體" w:eastAsia="細明體" w:hAnsi="細明體" w:cs="Segoe UI" w:hint="eastAsia"/>
                <w:sz w:val="17"/>
                <w:szCs w:val="17"/>
                <w:lang w:eastAsia="zh-HK"/>
              </w:rPr>
              <w:t>資本規則</w:t>
            </w:r>
            <w:r w:rsidRPr="006A6FF6">
              <w:rPr>
                <w:rFonts w:ascii="細明體" w:eastAsia="細明體" w:hAnsi="細明體" w:cs="Segoe UI" w:hint="eastAsia"/>
                <w:sz w:val="17"/>
                <w:szCs w:val="17"/>
                <w:lang w:eastAsia="zh-TW"/>
              </w:rPr>
              <w:t>》</w:t>
            </w:r>
            <w:r w:rsidRPr="006A6FF6">
              <w:rPr>
                <w:rFonts w:eastAsia="新細明體" w:cs="Segoe UI"/>
                <w:sz w:val="17"/>
                <w:szCs w:val="17"/>
                <w:lang w:eastAsia="zh-TW"/>
              </w:rPr>
              <w:t>第</w:t>
            </w:r>
            <w:r w:rsidRPr="006A6FF6">
              <w:rPr>
                <w:rFonts w:eastAsia="新細明體" w:cs="Segoe UI"/>
                <w:sz w:val="17"/>
                <w:szCs w:val="17"/>
                <w:lang w:eastAsia="zh-TW"/>
              </w:rPr>
              <w:t>11</w:t>
            </w:r>
            <w:r w:rsidRPr="006A6FF6">
              <w:rPr>
                <w:rFonts w:eastAsia="新細明體" w:cs="Segoe UI"/>
                <w:sz w:val="17"/>
                <w:szCs w:val="17"/>
                <w:lang w:eastAsia="zh-TW"/>
              </w:rPr>
              <w:t>部</w:t>
            </w:r>
            <w:r w:rsidR="00B40CC0" w:rsidRPr="006A6FF6">
              <w:rPr>
                <w:rFonts w:eastAsia="新細明體" w:cs="Segoe UI" w:hint="eastAsia"/>
                <w:sz w:val="17"/>
                <w:szCs w:val="17"/>
                <w:lang w:eastAsia="zh-HK"/>
              </w:rPr>
              <w:t>計算的總</w:t>
            </w:r>
            <w:r w:rsidRPr="006A6FF6">
              <w:rPr>
                <w:rFonts w:eastAsia="新細明體" w:cs="Segoe UI" w:hint="eastAsia"/>
                <w:sz w:val="17"/>
                <w:szCs w:val="17"/>
                <w:lang w:eastAsia="zh-HK"/>
              </w:rPr>
              <w:t>實際風險加權數額</w:t>
            </w:r>
            <w:r w:rsidRPr="006A6FF6">
              <w:rPr>
                <w:rFonts w:eastAsia="新細明體" w:cs="Segoe UI" w:hint="eastAsia"/>
                <w:sz w:val="17"/>
                <w:szCs w:val="17"/>
                <w:lang w:eastAsia="zh-TW"/>
              </w:rPr>
              <w:t>。</w:t>
            </w:r>
            <w:r w:rsidRPr="006A6FF6">
              <w:rPr>
                <w:rFonts w:eastAsia="新細明體" w:cs="Segoe UI" w:hint="eastAsia"/>
                <w:sz w:val="17"/>
                <w:szCs w:val="17"/>
                <w:lang w:eastAsia="zh-HK"/>
              </w:rPr>
              <w:t>填報的風險加權數額相等於</w:t>
            </w:r>
            <w:r w:rsidRPr="006A6FF6">
              <w:rPr>
                <w:rFonts w:eastAsia="新細明體" w:cs="Segoe UI"/>
                <w:sz w:val="17"/>
                <w:szCs w:val="17"/>
                <w:lang w:eastAsia="zh-TW"/>
              </w:rPr>
              <w:t>[CMS1:1/</w:t>
            </w:r>
            <w:proofErr w:type="gramStart"/>
            <w:r w:rsidRPr="006A6FF6">
              <w:rPr>
                <w:rFonts w:eastAsia="新細明體" w:cs="Segoe UI"/>
                <w:sz w:val="17"/>
                <w:szCs w:val="17"/>
                <w:lang w:eastAsia="zh-TW"/>
              </w:rPr>
              <w:t>c]</w:t>
            </w:r>
            <w:r w:rsidRPr="006A6FF6">
              <w:rPr>
                <w:rFonts w:eastAsia="新細明體" w:cs="Segoe UI" w:hint="eastAsia"/>
                <w:sz w:val="17"/>
                <w:szCs w:val="17"/>
                <w:lang w:eastAsia="zh-TW"/>
              </w:rPr>
              <w:t>、</w:t>
            </w:r>
            <w:proofErr w:type="gramEnd"/>
            <w:r w:rsidRPr="006A6FF6">
              <w:rPr>
                <w:rFonts w:eastAsia="新細明體" w:cs="Segoe UI"/>
                <w:sz w:val="17"/>
                <w:szCs w:val="17"/>
                <w:lang w:eastAsia="zh-TW"/>
              </w:rPr>
              <w:t>[CMS1:2/c]</w:t>
            </w:r>
            <w:r w:rsidRPr="006A6FF6">
              <w:rPr>
                <w:rFonts w:eastAsia="新細明體" w:cs="Segoe UI" w:hint="eastAsia"/>
                <w:sz w:val="17"/>
                <w:szCs w:val="17"/>
                <w:lang w:eastAsia="zh-TW"/>
              </w:rPr>
              <w:t>、</w:t>
            </w:r>
            <w:r w:rsidRPr="006A6FF6">
              <w:rPr>
                <w:rFonts w:eastAsia="新細明體" w:cs="Segoe UI"/>
                <w:sz w:val="17"/>
                <w:szCs w:val="17"/>
                <w:lang w:eastAsia="zh-TW"/>
              </w:rPr>
              <w:t>[CMS1:3/c]</w:t>
            </w:r>
            <w:r w:rsidRPr="006A6FF6">
              <w:rPr>
                <w:rFonts w:eastAsia="新細明體" w:cs="Segoe UI" w:hint="eastAsia"/>
                <w:sz w:val="17"/>
                <w:szCs w:val="17"/>
                <w:lang w:eastAsia="zh-TW"/>
              </w:rPr>
              <w:t>、</w:t>
            </w:r>
            <w:r w:rsidRPr="006A6FF6">
              <w:rPr>
                <w:rFonts w:eastAsia="新細明體" w:cs="Segoe UI"/>
                <w:sz w:val="17"/>
                <w:szCs w:val="17"/>
                <w:lang w:eastAsia="zh-TW"/>
              </w:rPr>
              <w:t>[CMS1:4/c]</w:t>
            </w:r>
            <w:r w:rsidRPr="006A6FF6">
              <w:rPr>
                <w:rFonts w:eastAsia="新細明體" w:cs="Segoe UI" w:hint="eastAsia"/>
                <w:sz w:val="17"/>
                <w:szCs w:val="17"/>
                <w:lang w:eastAsia="zh-TW"/>
              </w:rPr>
              <w:t>、</w:t>
            </w:r>
            <w:r w:rsidRPr="006A6FF6">
              <w:rPr>
                <w:rFonts w:eastAsia="新細明體" w:cs="Segoe UI"/>
                <w:sz w:val="17"/>
                <w:szCs w:val="17"/>
                <w:lang w:eastAsia="zh-TW"/>
              </w:rPr>
              <w:t>[CMS1:5/c]</w:t>
            </w:r>
            <w:r w:rsidRPr="006A6FF6">
              <w:rPr>
                <w:rFonts w:eastAsia="新細明體" w:cs="Segoe UI" w:hint="eastAsia"/>
                <w:sz w:val="17"/>
                <w:szCs w:val="17"/>
                <w:lang w:eastAsia="zh-TW"/>
              </w:rPr>
              <w:t>、</w:t>
            </w:r>
            <w:r w:rsidRPr="006A6FF6">
              <w:rPr>
                <w:rFonts w:eastAsia="新細明體" w:cs="Segoe UI"/>
                <w:sz w:val="17"/>
                <w:szCs w:val="17"/>
                <w:lang w:eastAsia="zh-TW"/>
              </w:rPr>
              <w:t>[CMS1:6/c]</w:t>
            </w:r>
            <w:r w:rsidRPr="006A6FF6">
              <w:rPr>
                <w:rFonts w:eastAsia="新細明體" w:cs="Segoe UI" w:hint="eastAsia"/>
                <w:sz w:val="17"/>
                <w:szCs w:val="17"/>
                <w:lang w:eastAsia="zh-HK"/>
              </w:rPr>
              <w:t>及</w:t>
            </w:r>
            <w:r w:rsidRPr="006A6FF6">
              <w:rPr>
                <w:rFonts w:eastAsia="新細明體" w:cs="Segoe UI"/>
                <w:sz w:val="17"/>
                <w:szCs w:val="17"/>
                <w:lang w:eastAsia="zh-TW"/>
              </w:rPr>
              <w:t>[CMS1:7/c]</w:t>
            </w:r>
            <w:r w:rsidRPr="006A6FF6">
              <w:rPr>
                <w:rFonts w:eastAsia="新細明體" w:cs="Segoe UI" w:hint="eastAsia"/>
                <w:sz w:val="17"/>
                <w:szCs w:val="17"/>
                <w:lang w:eastAsia="zh-HK"/>
              </w:rPr>
              <w:t>的值的總和</w:t>
            </w:r>
            <w:r w:rsidRPr="006A6FF6">
              <w:rPr>
                <w:rFonts w:eastAsia="新細明體" w:cs="Segoe UI" w:hint="eastAsia"/>
                <w:sz w:val="17"/>
                <w:szCs w:val="17"/>
                <w:lang w:eastAsia="zh-TW"/>
              </w:rPr>
              <w:t>。</w:t>
            </w:r>
            <w:r w:rsidRPr="006A6FF6">
              <w:rPr>
                <w:rFonts w:eastAsia="新細明體" w:cs="Segoe UI"/>
                <w:sz w:val="17"/>
                <w:szCs w:val="17"/>
                <w:lang w:eastAsia="zh-TW"/>
              </w:rPr>
              <w:t xml:space="preserve">  </w:t>
            </w:r>
          </w:p>
          <w:p w14:paraId="61E33862" w14:textId="77777777" w:rsidR="00190D67" w:rsidRPr="006A6FF6" w:rsidRDefault="00190D67" w:rsidP="00862754">
            <w:pPr>
              <w:keepLines/>
              <w:tabs>
                <w:tab w:val="left" w:pos="150"/>
                <w:tab w:val="left" w:pos="397"/>
                <w:tab w:val="left" w:pos="794"/>
                <w:tab w:val="left" w:pos="1191"/>
              </w:tabs>
              <w:snapToGrid w:val="0"/>
              <w:spacing w:line="20" w:lineRule="atLeast"/>
              <w:contextualSpacing/>
              <w:jc w:val="both"/>
              <w:rPr>
                <w:rFonts w:eastAsia="新細明體" w:cs="Segoe UI"/>
                <w:sz w:val="17"/>
                <w:szCs w:val="17"/>
                <w:lang w:eastAsia="zh-TW"/>
              </w:rPr>
            </w:pPr>
          </w:p>
          <w:p w14:paraId="64F6F153" w14:textId="1D46A5EC" w:rsidR="00190D67" w:rsidRPr="006A6FF6" w:rsidRDefault="00190D67" w:rsidP="00B40CC0">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i/>
                <w:sz w:val="17"/>
                <w:szCs w:val="17"/>
                <w:lang w:eastAsia="zh-TW"/>
              </w:rPr>
              <w:t xml:space="preserve">[CMS1:8/d] </w:t>
            </w:r>
            <w:r w:rsidR="00654485" w:rsidRPr="006A6FF6">
              <w:rPr>
                <w:rFonts w:eastAsia="新細明體" w:cs="Segoe UI" w:hint="eastAsia"/>
                <w:i/>
                <w:sz w:val="17"/>
                <w:szCs w:val="17"/>
                <w:lang w:eastAsia="zh-HK"/>
              </w:rPr>
              <w:t>即採用全面標準計算法計算的風險加權數額</w:t>
            </w:r>
            <w:r w:rsidRPr="006A6FF6">
              <w:rPr>
                <w:rFonts w:eastAsia="新細明體" w:cs="Segoe UI"/>
                <w:sz w:val="17"/>
                <w:szCs w:val="17"/>
                <w:lang w:eastAsia="zh-TW"/>
              </w:rPr>
              <w:t>：</w:t>
            </w:r>
            <w:r w:rsidR="00B40CC0" w:rsidRPr="006A6FF6">
              <w:rPr>
                <w:rFonts w:eastAsia="新細明體" w:cs="Segoe UI" w:hint="eastAsia"/>
                <w:sz w:val="17"/>
                <w:szCs w:val="17"/>
                <w:lang w:eastAsia="zh-HK"/>
              </w:rPr>
              <w:t>此指</w:t>
            </w:r>
            <w:r w:rsidR="00B40CC0" w:rsidRPr="006A6FF6">
              <w:rPr>
                <w:rFonts w:ascii="新細明體" w:eastAsia="新細明體" w:hAnsi="新細明體" w:cs="Segoe UI" w:hint="eastAsia"/>
                <w:sz w:val="17"/>
                <w:szCs w:val="17"/>
                <w:lang w:eastAsia="zh-HK"/>
              </w:rPr>
              <w:t>根</w:t>
            </w:r>
            <w:r w:rsidR="00B40CC0" w:rsidRPr="006A6FF6">
              <w:rPr>
                <w:rFonts w:ascii="新細明體" w:eastAsia="新細明體" w:hAnsi="新細明體" w:cs="Segoe UI" w:hint="eastAsia"/>
                <w:sz w:val="17"/>
                <w:szCs w:val="17"/>
                <w:lang w:eastAsia="zh-TW"/>
              </w:rPr>
              <w:t>據</w:t>
            </w:r>
            <w:r w:rsidR="00B40CC0" w:rsidRPr="006A6FF6">
              <w:rPr>
                <w:rFonts w:ascii="細明體" w:eastAsia="細明體" w:hAnsi="細明體" w:cs="Segoe UI" w:hint="eastAsia"/>
                <w:sz w:val="17"/>
                <w:szCs w:val="17"/>
                <w:lang w:eastAsia="zh-TW"/>
              </w:rPr>
              <w:t>《</w:t>
            </w:r>
            <w:r w:rsidR="00B40CC0" w:rsidRPr="006A6FF6">
              <w:rPr>
                <w:rFonts w:ascii="細明體" w:eastAsia="細明體" w:hAnsi="細明體" w:cs="Segoe UI" w:hint="eastAsia"/>
                <w:sz w:val="17"/>
                <w:szCs w:val="17"/>
                <w:lang w:eastAsia="zh-HK"/>
              </w:rPr>
              <w:t>資本規則</w:t>
            </w:r>
            <w:r w:rsidR="00B40CC0" w:rsidRPr="006A6FF6">
              <w:rPr>
                <w:rFonts w:ascii="細明體" w:eastAsia="細明體" w:hAnsi="細明體" w:cs="Segoe UI" w:hint="eastAsia"/>
                <w:sz w:val="17"/>
                <w:szCs w:val="17"/>
                <w:lang w:eastAsia="zh-TW"/>
              </w:rPr>
              <w:t>》</w:t>
            </w:r>
            <w:r w:rsidR="00B40CC0" w:rsidRPr="006A6FF6">
              <w:rPr>
                <w:rFonts w:eastAsia="新細明體" w:cs="Segoe UI" w:hint="eastAsia"/>
                <w:sz w:val="17"/>
                <w:szCs w:val="17"/>
                <w:lang w:eastAsia="zh-TW"/>
              </w:rPr>
              <w:t>第</w:t>
            </w:r>
            <w:r w:rsidR="00B40CC0" w:rsidRPr="006A6FF6">
              <w:rPr>
                <w:rFonts w:eastAsia="新細明體" w:cs="Segoe UI"/>
                <w:sz w:val="17"/>
                <w:szCs w:val="17"/>
                <w:lang w:eastAsia="zh-TW"/>
              </w:rPr>
              <w:t>11</w:t>
            </w:r>
            <w:r w:rsidR="00B40CC0" w:rsidRPr="006A6FF6">
              <w:rPr>
                <w:rFonts w:eastAsia="新細明體" w:cs="Segoe UI" w:hint="eastAsia"/>
                <w:sz w:val="17"/>
                <w:szCs w:val="17"/>
                <w:lang w:eastAsia="zh-TW"/>
              </w:rPr>
              <w:t>部</w:t>
            </w:r>
            <w:r w:rsidR="00B40CC0" w:rsidRPr="006A6FF6">
              <w:rPr>
                <w:rFonts w:eastAsia="新細明體" w:cs="Segoe UI" w:hint="eastAsia"/>
                <w:sz w:val="17"/>
                <w:szCs w:val="17"/>
                <w:lang w:eastAsia="zh-HK"/>
              </w:rPr>
              <w:t>作為出項下限計算的基礎的認可機構的總風險加權數額</w:t>
            </w:r>
            <w:r w:rsidR="00B40CC0" w:rsidRPr="006A6FF6">
              <w:rPr>
                <w:rFonts w:eastAsia="新細明體" w:cs="Segoe UI" w:hint="eastAsia"/>
                <w:sz w:val="17"/>
                <w:lang w:eastAsia="zh-HK"/>
              </w:rPr>
              <w:t>（</w:t>
            </w:r>
            <w:r w:rsidR="00B40CC0" w:rsidRPr="006A6FF6">
              <w:rPr>
                <w:rFonts w:eastAsia="新細明體" w:cs="Segoe UI" w:hint="eastAsia"/>
                <w:sz w:val="17"/>
                <w:szCs w:val="17"/>
                <w:lang w:eastAsia="zh-HK"/>
              </w:rPr>
              <w:t>即應用出項下限水平前的數額</w:t>
            </w:r>
            <w:r w:rsidR="00B40CC0" w:rsidRPr="006A6FF6">
              <w:rPr>
                <w:rFonts w:ascii="新細明體" w:eastAsia="新細明體" w:hAnsi="新細明體" w:cs="Segoe UI" w:hint="eastAsia"/>
                <w:sz w:val="17"/>
                <w:szCs w:val="17"/>
                <w:lang w:eastAsia="zh-TW"/>
              </w:rPr>
              <w:t>）</w:t>
            </w:r>
            <w:r w:rsidR="00B40CC0" w:rsidRPr="006A6FF6">
              <w:rPr>
                <w:rFonts w:eastAsia="新細明體" w:cs="Segoe UI" w:hint="eastAsia"/>
                <w:sz w:val="17"/>
                <w:szCs w:val="17"/>
                <w:lang w:eastAsia="zh-TW"/>
              </w:rPr>
              <w:t>。</w:t>
            </w:r>
            <w:proofErr w:type="gramStart"/>
            <w:r w:rsidR="00B40CC0" w:rsidRPr="006A6FF6">
              <w:rPr>
                <w:rFonts w:eastAsia="新細明體" w:cs="Segoe UI" w:hint="eastAsia"/>
                <w:sz w:val="17"/>
                <w:szCs w:val="17"/>
                <w:lang w:eastAsia="zh-HK"/>
              </w:rPr>
              <w:t>填報的數額相等於</w:t>
            </w:r>
            <w:r w:rsidR="00B40CC0" w:rsidRPr="006A6FF6">
              <w:rPr>
                <w:rFonts w:eastAsia="新細明體" w:cs="Segoe UI"/>
                <w:sz w:val="17"/>
                <w:szCs w:val="17"/>
                <w:lang w:eastAsia="zh-TW"/>
              </w:rPr>
              <w:t>[</w:t>
            </w:r>
            <w:proofErr w:type="gramEnd"/>
            <w:r w:rsidR="00B40CC0" w:rsidRPr="006A6FF6">
              <w:rPr>
                <w:rFonts w:eastAsia="新細明體" w:cs="Segoe UI"/>
                <w:sz w:val="17"/>
                <w:szCs w:val="17"/>
                <w:lang w:eastAsia="zh-TW"/>
              </w:rPr>
              <w:t>CMS1:1/d]</w:t>
            </w:r>
            <w:r w:rsidR="00B40CC0" w:rsidRPr="006A6FF6">
              <w:rPr>
                <w:rFonts w:eastAsia="新細明體" w:cs="Segoe UI" w:hint="eastAsia"/>
                <w:sz w:val="17"/>
                <w:szCs w:val="17"/>
                <w:lang w:eastAsia="zh-TW"/>
              </w:rPr>
              <w:t>、</w:t>
            </w:r>
            <w:r w:rsidR="00B40CC0" w:rsidRPr="006A6FF6">
              <w:rPr>
                <w:rFonts w:eastAsia="新細明體" w:cs="Segoe UI"/>
                <w:sz w:val="17"/>
                <w:szCs w:val="17"/>
                <w:lang w:eastAsia="zh-TW"/>
              </w:rPr>
              <w:t>[CMS1:2/d]</w:t>
            </w:r>
            <w:r w:rsidR="00B40CC0" w:rsidRPr="006A6FF6">
              <w:rPr>
                <w:rFonts w:eastAsia="新細明體" w:cs="Segoe UI" w:hint="eastAsia"/>
                <w:sz w:val="17"/>
                <w:szCs w:val="17"/>
                <w:lang w:eastAsia="zh-TW"/>
              </w:rPr>
              <w:t>、</w:t>
            </w:r>
            <w:r w:rsidR="00B40CC0" w:rsidRPr="006A6FF6">
              <w:rPr>
                <w:rFonts w:eastAsia="新細明體" w:cs="Segoe UI"/>
                <w:sz w:val="17"/>
                <w:szCs w:val="17"/>
                <w:lang w:eastAsia="zh-TW"/>
              </w:rPr>
              <w:t>[CMS1:3/d]</w:t>
            </w:r>
            <w:r w:rsidR="00B40CC0" w:rsidRPr="006A6FF6">
              <w:rPr>
                <w:rFonts w:eastAsia="新細明體" w:cs="Segoe UI" w:hint="eastAsia"/>
                <w:sz w:val="17"/>
                <w:szCs w:val="17"/>
                <w:lang w:eastAsia="zh-TW"/>
              </w:rPr>
              <w:t>、</w:t>
            </w:r>
            <w:r w:rsidR="00B40CC0" w:rsidRPr="006A6FF6">
              <w:rPr>
                <w:rFonts w:eastAsia="新細明體" w:cs="Segoe UI"/>
                <w:sz w:val="17"/>
                <w:szCs w:val="17"/>
                <w:lang w:eastAsia="zh-TW"/>
              </w:rPr>
              <w:t>[CMS1:4/d]</w:t>
            </w:r>
            <w:r w:rsidR="00B40CC0" w:rsidRPr="006A6FF6">
              <w:rPr>
                <w:rFonts w:eastAsia="新細明體" w:cs="Segoe UI" w:hint="eastAsia"/>
                <w:sz w:val="17"/>
                <w:szCs w:val="17"/>
                <w:lang w:eastAsia="zh-TW"/>
              </w:rPr>
              <w:t>、</w:t>
            </w:r>
            <w:r w:rsidR="00B40CC0" w:rsidRPr="006A6FF6">
              <w:rPr>
                <w:rFonts w:eastAsia="新細明體" w:cs="Segoe UI"/>
                <w:sz w:val="17"/>
                <w:szCs w:val="17"/>
                <w:lang w:eastAsia="zh-TW"/>
              </w:rPr>
              <w:t>[CMS1:5/d]</w:t>
            </w:r>
            <w:r w:rsidR="00B40CC0" w:rsidRPr="006A6FF6">
              <w:rPr>
                <w:rFonts w:eastAsia="新細明體" w:cs="Segoe UI" w:hint="eastAsia"/>
                <w:sz w:val="17"/>
                <w:szCs w:val="17"/>
                <w:lang w:eastAsia="zh-TW"/>
              </w:rPr>
              <w:t>、</w:t>
            </w:r>
            <w:r w:rsidR="00B40CC0" w:rsidRPr="006A6FF6">
              <w:rPr>
                <w:rFonts w:eastAsia="新細明體" w:cs="Segoe UI"/>
                <w:sz w:val="17"/>
                <w:szCs w:val="17"/>
                <w:lang w:eastAsia="zh-TW"/>
              </w:rPr>
              <w:t>[CMS1:6/d]</w:t>
            </w:r>
            <w:r w:rsidR="00B40CC0" w:rsidRPr="006A6FF6">
              <w:rPr>
                <w:rFonts w:eastAsia="新細明體" w:cs="Segoe UI" w:hint="eastAsia"/>
                <w:sz w:val="17"/>
                <w:szCs w:val="17"/>
                <w:lang w:eastAsia="zh-HK"/>
              </w:rPr>
              <w:t>及</w:t>
            </w:r>
            <w:r w:rsidR="00B40CC0" w:rsidRPr="006A6FF6">
              <w:rPr>
                <w:rFonts w:eastAsia="新細明體" w:cs="Segoe UI"/>
                <w:sz w:val="17"/>
                <w:szCs w:val="17"/>
                <w:lang w:eastAsia="zh-TW"/>
              </w:rPr>
              <w:t>[CMS1:7/d]</w:t>
            </w:r>
            <w:r w:rsidR="00B40CC0" w:rsidRPr="006A6FF6">
              <w:rPr>
                <w:rFonts w:eastAsia="新細明體" w:cs="Segoe UI" w:hint="eastAsia"/>
                <w:sz w:val="17"/>
                <w:szCs w:val="17"/>
                <w:lang w:eastAsia="zh-HK"/>
              </w:rPr>
              <w:t>的值的總和</w:t>
            </w:r>
            <w:r w:rsidR="00B40CC0" w:rsidRPr="006A6FF6">
              <w:rPr>
                <w:rFonts w:eastAsia="新細明體" w:cs="Segoe UI" w:hint="eastAsia"/>
                <w:sz w:val="17"/>
                <w:szCs w:val="17"/>
                <w:lang w:eastAsia="zh-TW"/>
              </w:rPr>
              <w:t>。</w:t>
            </w:r>
          </w:p>
        </w:tc>
      </w:tr>
    </w:tbl>
    <w:p w14:paraId="1ABAAC6B" w14:textId="77777777" w:rsidR="00190D67" w:rsidRPr="006A6FF6" w:rsidRDefault="00190D67" w:rsidP="00190D67">
      <w:pPr>
        <w:keepNext/>
        <w:keepLines/>
        <w:tabs>
          <w:tab w:val="left" w:pos="426"/>
        </w:tabs>
        <w:spacing w:after="360"/>
        <w:ind w:rightChars="-142" w:right="-284"/>
        <w:outlineLvl w:val="0"/>
        <w:rPr>
          <w:rFonts w:eastAsia="新細明體" w:cs="Segoe UI"/>
          <w:lang w:eastAsia="zh-TW"/>
        </w:rPr>
        <w:sectPr w:rsidR="00190D67" w:rsidRPr="006A6FF6" w:rsidSect="00862754">
          <w:footerReference w:type="default" r:id="rId120"/>
          <w:pgSz w:w="11906" w:h="16838"/>
          <w:pgMar w:top="1440" w:right="1800" w:bottom="1276" w:left="1800" w:header="851" w:footer="992" w:gutter="0"/>
          <w:cols w:space="425"/>
          <w:docGrid w:type="lines" w:linePitch="360"/>
        </w:sectPr>
      </w:pPr>
    </w:p>
    <w:p w14:paraId="4014530D" w14:textId="623B227A" w:rsidR="00013F1A" w:rsidRPr="006A6FF6" w:rsidRDefault="00013F1A" w:rsidP="00013F1A">
      <w:pPr>
        <w:pStyle w:val="Heading2"/>
        <w:keepNext w:val="0"/>
        <w:suppressAutoHyphens w:val="0"/>
        <w:spacing w:before="40" w:line="240" w:lineRule="auto"/>
        <w:ind w:left="-454"/>
        <w:rPr>
          <w:rFonts w:asciiTheme="majorEastAsia" w:eastAsiaTheme="majorEastAsia" w:hAnsiTheme="majorEastAsia"/>
          <w:b w:val="0"/>
          <w:bCs w:val="0"/>
          <w:sz w:val="22"/>
          <w:szCs w:val="20"/>
          <w:lang w:eastAsia="zh-TW"/>
        </w:rPr>
      </w:pPr>
      <w:r w:rsidRPr="006A6FF6">
        <w:rPr>
          <w:rFonts w:asciiTheme="majorEastAsia" w:eastAsiaTheme="majorEastAsia" w:hAnsiTheme="majorEastAsia" w:cs="微軟正黑體" w:hint="eastAsia"/>
          <w:b w:val="0"/>
          <w:bCs w:val="0"/>
          <w:sz w:val="22"/>
          <w:szCs w:val="20"/>
          <w:lang w:eastAsia="zh-TW"/>
        </w:rPr>
        <w:t>模版</w:t>
      </w:r>
      <w:r w:rsidRPr="006A6FF6">
        <w:rPr>
          <w:rFonts w:ascii="Segoe UI" w:eastAsiaTheme="majorEastAsia" w:hAnsi="Segoe UI" w:cs="Segoe UI"/>
          <w:b w:val="0"/>
          <w:bCs w:val="0"/>
          <w:sz w:val="22"/>
          <w:szCs w:val="20"/>
          <w:lang w:eastAsia="zh-TW"/>
        </w:rPr>
        <w:t>CMS2</w:t>
      </w:r>
      <w:r w:rsidRPr="006A6FF6">
        <w:rPr>
          <w:rFonts w:asciiTheme="majorEastAsia" w:eastAsiaTheme="majorEastAsia" w:hAnsiTheme="majorEastAsia" w:cs="微軟正黑體" w:hint="eastAsia"/>
          <w:b w:val="0"/>
          <w:bCs w:val="0"/>
          <w:sz w:val="22"/>
          <w:szCs w:val="20"/>
          <w:lang w:eastAsia="zh-TW"/>
        </w:rPr>
        <w:t>：信用風險的模式化與標準化風險加權數額在風險承擔類別層面上的比較</w:t>
      </w:r>
    </w:p>
    <w:tbl>
      <w:tblPr>
        <w:tblW w:w="9248"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7088"/>
      </w:tblGrid>
      <w:tr w:rsidR="006A6FF6" w:rsidRPr="006A6FF6" w14:paraId="40293447" w14:textId="77777777" w:rsidTr="000F143F">
        <w:tc>
          <w:tcPr>
            <w:tcW w:w="2160" w:type="dxa"/>
          </w:tcPr>
          <w:p w14:paraId="3B4B4D3B" w14:textId="77777777" w:rsidR="00190D67" w:rsidRPr="006A6FF6" w:rsidRDefault="00190D67" w:rsidP="00862754">
            <w:pPr>
              <w:spacing w:before="40" w:after="40"/>
              <w:rPr>
                <w:rFonts w:eastAsia="新細明體" w:cs="Segoe UI"/>
                <w:noProof/>
                <w:sz w:val="17"/>
                <w:lang w:eastAsia="en-GB"/>
              </w:rPr>
            </w:pPr>
            <w:proofErr w:type="spellStart"/>
            <w:r w:rsidRPr="006A6FF6">
              <w:rPr>
                <w:rFonts w:eastAsia="新細明體" w:cs="Segoe UI"/>
                <w:b/>
                <w:sz w:val="17"/>
                <w:lang w:eastAsia="en-GB"/>
              </w:rPr>
              <w:t>目的</w:t>
            </w:r>
            <w:proofErr w:type="spellEnd"/>
            <w:r w:rsidRPr="006A6FF6">
              <w:rPr>
                <w:rFonts w:eastAsia="新細明體" w:cs="Segoe UI"/>
                <w:b/>
                <w:sz w:val="17"/>
                <w:lang w:eastAsia="en-GB"/>
              </w:rPr>
              <w:t>：</w:t>
            </w:r>
          </w:p>
        </w:tc>
        <w:tc>
          <w:tcPr>
            <w:tcW w:w="7088" w:type="dxa"/>
          </w:tcPr>
          <w:p w14:paraId="52DE95E4" w14:textId="16F2D884" w:rsidR="00755328" w:rsidRPr="006A6FF6" w:rsidRDefault="00565419" w:rsidP="00755328">
            <w:pPr>
              <w:spacing w:before="40" w:after="40"/>
              <w:jc w:val="both"/>
              <w:rPr>
                <w:rFonts w:eastAsia="新細明體" w:cs="Segoe UI"/>
                <w:sz w:val="17"/>
                <w:lang w:eastAsia="zh-HK"/>
              </w:rPr>
            </w:pPr>
            <w:r w:rsidRPr="006A6FF6">
              <w:rPr>
                <w:rFonts w:eastAsia="新細明體" w:cs="Segoe UI" w:hint="eastAsia"/>
                <w:sz w:val="17"/>
                <w:lang w:eastAsia="zh-HK"/>
              </w:rPr>
              <w:t>在風險承擔類別層面上比較以下兩項</w:t>
            </w:r>
            <w:r w:rsidR="00684973" w:rsidRPr="006A6FF6">
              <w:rPr>
                <w:rFonts w:eastAsia="新細明體" w:cs="Segoe UI" w:hint="eastAsia"/>
                <w:sz w:val="17"/>
                <w:lang w:eastAsia="zh-HK"/>
              </w:rPr>
              <w:t>非證券化類別風險承擔的信用風險的風險加權數額</w:t>
            </w:r>
            <w:r w:rsidRPr="006A6FF6">
              <w:rPr>
                <w:rFonts w:eastAsia="新細明體" w:cs="Segoe UI" w:hint="eastAsia"/>
                <w:sz w:val="17"/>
                <w:lang w:eastAsia="zh-HK"/>
              </w:rPr>
              <w:t>：</w:t>
            </w:r>
            <w:r w:rsidR="00684973" w:rsidRPr="006A6FF6">
              <w:rPr>
                <w:rFonts w:eastAsia="新細明體" w:cs="Segoe UI" w:hint="eastAsia"/>
                <w:sz w:val="17"/>
                <w:lang w:eastAsia="zh-HK"/>
              </w:rPr>
              <w:t>為出項下限計算</w:t>
            </w:r>
            <w:r w:rsidRPr="006A6FF6">
              <w:rPr>
                <w:rFonts w:eastAsia="新細明體" w:cs="Segoe UI" w:hint="eastAsia"/>
                <w:sz w:val="17"/>
                <w:lang w:eastAsia="zh-HK"/>
              </w:rPr>
              <w:t>而</w:t>
            </w:r>
            <w:r w:rsidR="00190D67" w:rsidRPr="006A6FF6">
              <w:rPr>
                <w:rFonts w:ascii="細明體" w:eastAsia="細明體" w:hAnsi="細明體" w:cs="Segoe UI" w:hint="eastAsia"/>
                <w:sz w:val="17"/>
                <w:lang w:eastAsia="zh-TW"/>
              </w:rPr>
              <w:t>按照</w:t>
            </w:r>
            <w:r w:rsidR="00190D67" w:rsidRPr="006A6FF6">
              <w:rPr>
                <w:rFonts w:eastAsia="新細明體" w:cs="Segoe UI" w:hint="eastAsia"/>
                <w:sz w:val="17"/>
                <w:lang w:eastAsia="zh-TW"/>
              </w:rPr>
              <w:t>STC</w:t>
            </w:r>
            <w:r w:rsidR="00190D67" w:rsidRPr="006A6FF6">
              <w:rPr>
                <w:rFonts w:eastAsia="新細明體" w:cs="Segoe UI" w:hint="eastAsia"/>
                <w:sz w:val="17"/>
                <w:lang w:eastAsia="zh-HK"/>
              </w:rPr>
              <w:t>計算法計算的風險加權數額</w:t>
            </w:r>
            <w:r w:rsidR="00684973" w:rsidRPr="006A6FF6">
              <w:rPr>
                <w:rFonts w:eastAsia="新細明體" w:cs="Segoe UI" w:hint="eastAsia"/>
                <w:sz w:val="17"/>
                <w:lang w:eastAsia="zh-HK"/>
              </w:rPr>
              <w:t>（即按照《資本規則》第</w:t>
            </w:r>
            <w:r w:rsidR="00684973" w:rsidRPr="006A6FF6">
              <w:rPr>
                <w:rFonts w:eastAsia="新細明體" w:cs="Segoe UI"/>
                <w:sz w:val="17"/>
                <w:lang w:eastAsia="zh-HK"/>
              </w:rPr>
              <w:t>356(2)(a)</w:t>
            </w:r>
            <w:r w:rsidR="00684973" w:rsidRPr="006A6FF6">
              <w:rPr>
                <w:rFonts w:eastAsia="新細明體" w:cs="Segoe UI" w:hint="eastAsia"/>
                <w:sz w:val="17"/>
                <w:lang w:eastAsia="zh-HK"/>
              </w:rPr>
              <w:t>條</w:t>
            </w:r>
            <w:r w:rsidR="00684973" w:rsidRPr="006A6FF6">
              <w:rPr>
                <w:rFonts w:ascii="新細明體" w:eastAsia="新細明體" w:hAnsi="新細明體" w:cs="Segoe UI" w:hint="eastAsia"/>
                <w:sz w:val="17"/>
                <w:szCs w:val="17"/>
                <w:lang w:eastAsia="zh-TW"/>
              </w:rPr>
              <w:t>）</w:t>
            </w:r>
            <w:r w:rsidR="00190D67" w:rsidRPr="006A6FF6">
              <w:rPr>
                <w:rFonts w:eastAsia="新細明體" w:cs="Segoe UI" w:hint="eastAsia"/>
                <w:sz w:val="17"/>
                <w:lang w:eastAsia="zh-TW"/>
              </w:rPr>
              <w:t>，</w:t>
            </w:r>
            <w:r w:rsidR="00190D67" w:rsidRPr="006A6FF6">
              <w:rPr>
                <w:rFonts w:eastAsia="新細明體" w:cs="Segoe UI" w:hint="eastAsia"/>
                <w:sz w:val="17"/>
                <w:lang w:eastAsia="zh-HK"/>
              </w:rPr>
              <w:t>與認可機構在計算</w:t>
            </w:r>
            <w:r w:rsidR="00821854" w:rsidRPr="006A6FF6">
              <w:rPr>
                <w:rFonts w:eastAsia="新細明體" w:cs="Segoe UI" w:hint="eastAsia"/>
                <w:sz w:val="17"/>
                <w:lang w:eastAsia="zh-HK"/>
              </w:rPr>
              <w:t>其</w:t>
            </w:r>
            <w:r w:rsidR="00190D67" w:rsidRPr="006A6FF6">
              <w:rPr>
                <w:rFonts w:eastAsia="新細明體" w:cs="Segoe UI" w:hint="eastAsia"/>
                <w:sz w:val="17"/>
                <w:lang w:eastAsia="zh-HK"/>
              </w:rPr>
              <w:t>信用風險時</w:t>
            </w:r>
            <w:r w:rsidRPr="006A6FF6">
              <w:rPr>
                <w:rFonts w:eastAsia="新細明體" w:cs="Segoe UI" w:hint="eastAsia"/>
                <w:sz w:val="17"/>
                <w:lang w:eastAsia="zh-HK"/>
              </w:rPr>
              <w:t>採</w:t>
            </w:r>
            <w:r w:rsidR="00190D67" w:rsidRPr="006A6FF6">
              <w:rPr>
                <w:rFonts w:eastAsia="新細明體" w:cs="Segoe UI" w:hint="eastAsia"/>
                <w:sz w:val="17"/>
                <w:lang w:eastAsia="zh-HK"/>
              </w:rPr>
              <w:t>用的計算法</w:t>
            </w:r>
            <w:r w:rsidR="00BC3FE4" w:rsidRPr="006A6FF6">
              <w:rPr>
                <w:rFonts w:eastAsia="新細明體" w:cs="Segoe UI" w:hint="eastAsia"/>
                <w:sz w:val="17"/>
                <w:lang w:eastAsia="zh-HK"/>
              </w:rPr>
              <w:t>（</w:t>
            </w:r>
            <w:r w:rsidR="00190D67" w:rsidRPr="006A6FF6">
              <w:rPr>
                <w:rFonts w:eastAsia="新細明體" w:cs="Segoe UI" w:hint="eastAsia"/>
                <w:sz w:val="17"/>
                <w:lang w:eastAsia="zh-HK"/>
              </w:rPr>
              <w:t>同時包括</w:t>
            </w:r>
            <w:r w:rsidR="00190D67" w:rsidRPr="006A6FF6">
              <w:rPr>
                <w:rFonts w:eastAsia="新細明體" w:cs="Segoe UI" w:hint="eastAsia"/>
                <w:sz w:val="17"/>
                <w:lang w:eastAsia="zh-TW"/>
              </w:rPr>
              <w:t>STC</w:t>
            </w:r>
            <w:r w:rsidR="00190D67" w:rsidRPr="006A6FF6">
              <w:rPr>
                <w:rFonts w:eastAsia="新細明體" w:cs="Segoe UI" w:hint="eastAsia"/>
                <w:sz w:val="17"/>
                <w:lang w:eastAsia="zh-HK"/>
              </w:rPr>
              <w:t>計算法及</w:t>
            </w:r>
            <w:r w:rsidR="00190D67" w:rsidRPr="006A6FF6">
              <w:rPr>
                <w:rFonts w:eastAsia="新細明體" w:cs="Segoe UI" w:hint="eastAsia"/>
                <w:sz w:val="17"/>
                <w:lang w:eastAsia="zh-TW"/>
              </w:rPr>
              <w:t>IRB</w:t>
            </w:r>
            <w:r w:rsidR="00190D67" w:rsidRPr="006A6FF6">
              <w:rPr>
                <w:rFonts w:eastAsia="新細明體" w:cs="Segoe UI" w:hint="eastAsia"/>
                <w:sz w:val="17"/>
                <w:lang w:eastAsia="zh-HK"/>
              </w:rPr>
              <w:t>計算法</w:t>
            </w:r>
            <w:r w:rsidR="00DD17F4" w:rsidRPr="006A6FF6">
              <w:rPr>
                <w:rFonts w:eastAsia="新細明體" w:cs="Segoe UI" w:hint="eastAsia"/>
                <w:sz w:val="17"/>
                <w:lang w:eastAsia="zh-HK"/>
              </w:rPr>
              <w:t>（</w:t>
            </w:r>
            <w:r w:rsidR="00190D67" w:rsidRPr="006A6FF6">
              <w:rPr>
                <w:rFonts w:eastAsia="新細明體" w:cs="Segoe UI" w:hint="eastAsia"/>
                <w:sz w:val="17"/>
                <w:lang w:eastAsia="zh-HK"/>
              </w:rPr>
              <w:t>當中包括監管分類準則計算法</w:t>
            </w:r>
            <w:r w:rsidR="00BD228C" w:rsidRPr="006A6FF6">
              <w:rPr>
                <w:rFonts w:ascii="新細明體" w:eastAsia="新細明體" w:hAnsi="新細明體" w:cs="Segoe UI" w:hint="eastAsia"/>
                <w:sz w:val="17"/>
                <w:szCs w:val="17"/>
                <w:lang w:eastAsia="zh-TW"/>
              </w:rPr>
              <w:t>）</w:t>
            </w:r>
            <w:r w:rsidR="00DD17F4" w:rsidRPr="006A6FF6">
              <w:rPr>
                <w:rFonts w:ascii="新細明體" w:eastAsia="新細明體" w:hAnsi="新細明體" w:cs="Segoe UI" w:hint="eastAsia"/>
                <w:sz w:val="17"/>
                <w:szCs w:val="17"/>
                <w:lang w:eastAsia="zh-TW"/>
              </w:rPr>
              <w:t>）</w:t>
            </w:r>
            <w:r w:rsidR="00190D67" w:rsidRPr="006A6FF6">
              <w:rPr>
                <w:rFonts w:eastAsia="新細明體" w:cs="Segoe UI" w:hint="eastAsia"/>
                <w:sz w:val="17"/>
                <w:lang w:eastAsia="zh-HK"/>
              </w:rPr>
              <w:t>計算的相應風險加權數額</w:t>
            </w:r>
            <w:r w:rsidR="00190D67" w:rsidRPr="006A6FF6">
              <w:rPr>
                <w:rFonts w:eastAsia="新細明體" w:cs="Segoe UI" w:hint="eastAsia"/>
                <w:sz w:val="17"/>
                <w:lang w:eastAsia="zh-TW"/>
              </w:rPr>
              <w:t>。</w:t>
            </w:r>
          </w:p>
        </w:tc>
      </w:tr>
      <w:tr w:rsidR="006A6FF6" w:rsidRPr="006A6FF6" w14:paraId="4F7AA77B" w14:textId="77777777" w:rsidTr="000F143F">
        <w:tc>
          <w:tcPr>
            <w:tcW w:w="2160" w:type="dxa"/>
          </w:tcPr>
          <w:p w14:paraId="07C76994"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lang w:eastAsia="en-GB"/>
              </w:rPr>
              <w:t>適用範圍</w:t>
            </w:r>
            <w:proofErr w:type="spellEnd"/>
            <w:r w:rsidRPr="006A6FF6">
              <w:rPr>
                <w:rFonts w:eastAsia="新細明體" w:cs="Segoe UI"/>
                <w:b/>
                <w:sz w:val="17"/>
                <w:lang w:eastAsia="en-GB"/>
              </w:rPr>
              <w:t>：</w:t>
            </w:r>
          </w:p>
        </w:tc>
        <w:tc>
          <w:tcPr>
            <w:tcW w:w="7088" w:type="dxa"/>
          </w:tcPr>
          <w:p w14:paraId="082A07D2" w14:textId="280179D5" w:rsidR="00190D67" w:rsidRPr="006A6FF6" w:rsidRDefault="00B40CC0" w:rsidP="006F1A44">
            <w:pPr>
              <w:spacing w:before="40" w:after="40"/>
              <w:jc w:val="both"/>
              <w:rPr>
                <w:rFonts w:eastAsia="新細明體" w:cs="Segoe UI"/>
                <w:b/>
                <w:sz w:val="17"/>
                <w:lang w:eastAsia="zh-TW"/>
              </w:rPr>
            </w:pPr>
            <w:r w:rsidRPr="006A6FF6">
              <w:rPr>
                <w:rFonts w:eastAsia="新細明體" w:cs="Segoe UI" w:hint="eastAsia"/>
                <w:sz w:val="17"/>
                <w:lang w:eastAsia="zh-HK"/>
              </w:rPr>
              <w:t>所有在香港成立為法團並為其所有或部分非證券化類別風險承擔的信用風險採用</w:t>
            </w:r>
            <w:r w:rsidRPr="006A6FF6">
              <w:rPr>
                <w:rFonts w:eastAsia="新細明體" w:cs="Segoe UI" w:hint="eastAsia"/>
                <w:sz w:val="17"/>
                <w:lang w:eastAsia="zh-TW"/>
              </w:rPr>
              <w:t>IRB</w:t>
            </w:r>
            <w:r w:rsidRPr="006A6FF6">
              <w:rPr>
                <w:rFonts w:eastAsia="新細明體" w:cs="Segoe UI" w:hint="eastAsia"/>
                <w:sz w:val="17"/>
                <w:lang w:eastAsia="zh-HK"/>
              </w:rPr>
              <w:t>計算法的認可機構</w:t>
            </w:r>
            <w:r w:rsidRPr="006A6FF6">
              <w:rPr>
                <w:rFonts w:eastAsia="新細明體" w:cs="Segoe UI" w:hint="eastAsia"/>
                <w:sz w:val="17"/>
                <w:lang w:eastAsia="zh-TW"/>
              </w:rPr>
              <w:t>，</w:t>
            </w:r>
            <w:r w:rsidRPr="006A6FF6">
              <w:rPr>
                <w:rFonts w:eastAsia="新細明體" w:cs="Segoe UI" w:hint="eastAsia"/>
                <w:sz w:val="17"/>
                <w:lang w:eastAsia="zh-HK"/>
              </w:rPr>
              <w:t>均須填報本模版</w:t>
            </w:r>
            <w:r w:rsidRPr="006A6FF6">
              <w:rPr>
                <w:rFonts w:eastAsia="新細明體" w:cs="Segoe UI" w:hint="eastAsia"/>
                <w:sz w:val="17"/>
                <w:lang w:eastAsia="zh-TW"/>
              </w:rPr>
              <w:t>。</w:t>
            </w:r>
            <w:r w:rsidRPr="006A6FF6">
              <w:rPr>
                <w:rFonts w:eastAsia="新細明體" w:cs="Segoe UI" w:hint="eastAsia"/>
                <w:sz w:val="17"/>
                <w:lang w:eastAsia="zh-HK"/>
              </w:rPr>
              <w:t>與</w:t>
            </w:r>
            <w:r w:rsidRPr="006A6FF6">
              <w:rPr>
                <w:rFonts w:eastAsia="新細明體" w:cs="Segoe UI"/>
                <w:sz w:val="17"/>
                <w:lang w:eastAsia="zh-TW"/>
              </w:rPr>
              <w:t>模版</w:t>
            </w:r>
            <w:r w:rsidRPr="006A6FF6">
              <w:rPr>
                <w:rFonts w:eastAsia="新細明體" w:cs="Segoe UI"/>
                <w:sz w:val="17"/>
                <w:lang w:eastAsia="zh-TW"/>
              </w:rPr>
              <w:t>CMS1</w:t>
            </w:r>
            <w:r w:rsidRPr="006A6FF6">
              <w:rPr>
                <w:rFonts w:eastAsia="新細明體" w:cs="Segoe UI" w:hint="eastAsia"/>
                <w:sz w:val="17"/>
                <w:lang w:eastAsia="zh-HK"/>
              </w:rPr>
              <w:t>第</w:t>
            </w:r>
            <w:r w:rsidRPr="006A6FF6">
              <w:rPr>
                <w:rFonts w:eastAsia="新細明體" w:cs="Segoe UI" w:hint="eastAsia"/>
                <w:sz w:val="17"/>
                <w:lang w:eastAsia="zh-TW"/>
              </w:rPr>
              <w:t>1</w:t>
            </w:r>
            <w:r w:rsidRPr="006A6FF6">
              <w:rPr>
                <w:rFonts w:eastAsia="新細明體" w:cs="Segoe UI" w:hint="eastAsia"/>
                <w:sz w:val="17"/>
                <w:lang w:eastAsia="zh-HK"/>
              </w:rPr>
              <w:t>行一樣</w:t>
            </w:r>
            <w:r w:rsidRPr="006A6FF6">
              <w:rPr>
                <w:rFonts w:eastAsia="新細明體" w:cs="Segoe UI" w:hint="eastAsia"/>
                <w:sz w:val="17"/>
                <w:lang w:eastAsia="zh-TW"/>
              </w:rPr>
              <w:t>，</w:t>
            </w:r>
            <w:r w:rsidRPr="006A6FF6">
              <w:rPr>
                <w:rFonts w:eastAsia="新細明體" w:cs="Segoe UI" w:hint="eastAsia"/>
                <w:sz w:val="17"/>
                <w:lang w:eastAsia="zh-HK"/>
              </w:rPr>
              <w:t>本模</w:t>
            </w:r>
            <w:r w:rsidRPr="006A6FF6">
              <w:rPr>
                <w:rFonts w:eastAsia="新細明體" w:cs="Segoe UI" w:hint="eastAsia"/>
                <w:sz w:val="17"/>
                <w:lang w:eastAsia="zh-TW"/>
              </w:rPr>
              <w:t>版</w:t>
            </w:r>
            <w:r w:rsidRPr="006A6FF6">
              <w:rPr>
                <w:rFonts w:eastAsia="新細明體" w:cs="Segoe UI" w:hint="eastAsia"/>
                <w:sz w:val="17"/>
                <w:szCs w:val="17"/>
                <w:lang w:eastAsia="zh-HK"/>
              </w:rPr>
              <w:t>不包</w:t>
            </w:r>
            <w:r w:rsidRPr="006A6FF6">
              <w:rPr>
                <w:rFonts w:eastAsia="新細明體" w:cs="Segoe UI" w:hint="eastAsia"/>
                <w:sz w:val="17"/>
                <w:szCs w:val="17"/>
                <w:lang w:eastAsia="zh-TW"/>
              </w:rPr>
              <w:t>括</w:t>
            </w:r>
            <w:r w:rsidRPr="006A6FF6">
              <w:rPr>
                <w:rFonts w:eastAsia="新細明體" w:cs="Segoe UI" w:hint="eastAsia"/>
                <w:sz w:val="17"/>
                <w:szCs w:val="17"/>
                <w:lang w:eastAsia="zh-HK"/>
              </w:rPr>
              <w:t>受有關對手方信用風險及違責基金承擔</w:t>
            </w:r>
            <w:r w:rsidRPr="006A6FF6">
              <w:rPr>
                <w:rFonts w:eastAsia="新細明體" w:cs="Segoe UI" w:hint="eastAsia"/>
                <w:sz w:val="17"/>
                <w:szCs w:val="17"/>
                <w:lang w:eastAsia="zh-TW"/>
              </w:rPr>
              <w:t>、</w:t>
            </w:r>
            <w:r w:rsidRPr="006A6FF6">
              <w:rPr>
                <w:rFonts w:eastAsia="新細明體" w:cs="Segoe UI"/>
                <w:sz w:val="17"/>
                <w:szCs w:val="17"/>
                <w:lang w:eastAsia="zh-TW"/>
              </w:rPr>
              <w:t>CVA</w:t>
            </w:r>
            <w:r w:rsidRPr="006A6FF6">
              <w:rPr>
                <w:rFonts w:eastAsia="新細明體" w:cs="Segoe UI" w:hint="eastAsia"/>
                <w:sz w:val="17"/>
                <w:szCs w:val="17"/>
                <w:lang w:eastAsia="zh-HK"/>
              </w:rPr>
              <w:t>風險</w:t>
            </w:r>
            <w:r w:rsidRPr="006A6FF6">
              <w:rPr>
                <w:rFonts w:eastAsia="新細明體" w:cs="Segoe UI" w:hint="eastAsia"/>
                <w:sz w:val="17"/>
                <w:szCs w:val="17"/>
                <w:lang w:eastAsia="zh-TW"/>
              </w:rPr>
              <w:t>、</w:t>
            </w:r>
            <w:r w:rsidRPr="006A6FF6">
              <w:rPr>
                <w:rFonts w:eastAsia="新細明體" w:cs="Segoe UI"/>
                <w:sz w:val="17"/>
                <w:szCs w:val="17"/>
                <w:lang w:eastAsia="zh-TW"/>
              </w:rPr>
              <w:t>CIS</w:t>
            </w:r>
            <w:r w:rsidR="00DB0471" w:rsidRPr="00D1245E">
              <w:rPr>
                <w:rFonts w:eastAsia="新細明體" w:cs="Segoe UI" w:hint="eastAsia"/>
                <w:sz w:val="17"/>
                <w:lang w:eastAsia="zh-TW"/>
              </w:rPr>
              <w:t>風險承擔</w:t>
            </w:r>
            <w:r w:rsidRPr="006A6FF6">
              <w:rPr>
                <w:rFonts w:eastAsia="新細明體" w:cs="Segoe UI" w:hint="eastAsia"/>
                <w:sz w:val="17"/>
                <w:szCs w:val="17"/>
                <w:lang w:eastAsia="zh-TW"/>
              </w:rPr>
              <w:t>、</w:t>
            </w:r>
            <w:r w:rsidRPr="006A6FF6">
              <w:rPr>
                <w:rFonts w:eastAsia="新細明體" w:cs="Segoe UI" w:hint="eastAsia"/>
                <w:sz w:val="17"/>
                <w:szCs w:val="17"/>
                <w:lang w:eastAsia="zh-HK"/>
              </w:rPr>
              <w:t>交收風險及證券化框架</w:t>
            </w:r>
            <w:r w:rsidRPr="006A6FF6">
              <w:rPr>
                <w:rFonts w:eastAsia="新細明體" w:cs="Segoe UI" w:hint="eastAsia"/>
                <w:sz w:val="17"/>
                <w:lang w:eastAsia="zh-HK"/>
              </w:rPr>
              <w:t>（</w:t>
            </w:r>
            <w:r w:rsidRPr="006A6FF6">
              <w:rPr>
                <w:rFonts w:eastAsia="新細明體" w:cs="Segoe UI" w:hint="eastAsia"/>
                <w:sz w:val="17"/>
                <w:szCs w:val="17"/>
                <w:lang w:eastAsia="zh-HK"/>
              </w:rPr>
              <w:t>包括銀行帳內的證券化類別風險承擔</w:t>
            </w:r>
            <w:r w:rsidRPr="006A6FF6">
              <w:rPr>
                <w:rFonts w:ascii="新細明體" w:eastAsia="新細明體" w:hAnsi="新細明體" w:cs="Segoe UI" w:hint="eastAsia"/>
                <w:sz w:val="17"/>
                <w:szCs w:val="17"/>
                <w:lang w:eastAsia="zh-TW"/>
              </w:rPr>
              <w:t>）</w:t>
            </w:r>
            <w:r w:rsidRPr="006A6FF6">
              <w:rPr>
                <w:rFonts w:eastAsia="新細明體" w:cs="Segoe UI" w:hint="eastAsia"/>
                <w:sz w:val="17"/>
                <w:szCs w:val="17"/>
                <w:lang w:eastAsia="zh-HK"/>
              </w:rPr>
              <w:t>的資本規定所規限的所有持倉</w:t>
            </w:r>
            <w:r w:rsidRPr="006A6FF6">
              <w:rPr>
                <w:rFonts w:eastAsia="新細明體" w:cs="Segoe UI" w:hint="eastAsia"/>
                <w:sz w:val="17"/>
                <w:szCs w:val="17"/>
                <w:lang w:eastAsia="zh-TW"/>
              </w:rPr>
              <w:t>，</w:t>
            </w:r>
            <w:r w:rsidRPr="006A6FF6">
              <w:rPr>
                <w:rFonts w:eastAsia="新細明體" w:cs="Segoe UI" w:hint="eastAsia"/>
                <w:sz w:val="17"/>
                <w:szCs w:val="17"/>
                <w:lang w:eastAsia="zh-HK"/>
              </w:rPr>
              <w:t>以及</w:t>
            </w:r>
            <w:r w:rsidRPr="006A6FF6">
              <w:rPr>
                <w:rFonts w:eastAsia="新細明體" w:cs="Segoe UI" w:hint="eastAsia"/>
                <w:sz w:val="17"/>
                <w:szCs w:val="17"/>
                <w:lang w:eastAsia="zh-TW"/>
              </w:rPr>
              <w:t>低於</w:t>
            </w:r>
            <w:r w:rsidRPr="006A6FF6">
              <w:rPr>
                <w:rFonts w:eastAsia="新細明體" w:cs="Segoe UI" w:hint="eastAsia"/>
                <w:sz w:val="17"/>
                <w:szCs w:val="17"/>
                <w:lang w:eastAsia="zh-HK"/>
              </w:rPr>
              <w:t>從</w:t>
            </w:r>
            <w:r w:rsidRPr="006A6FF6">
              <w:rPr>
                <w:rFonts w:eastAsia="新細明體" w:cs="Segoe UI" w:hint="eastAsia"/>
                <w:sz w:val="17"/>
                <w:szCs w:val="17"/>
                <w:lang w:eastAsia="zh-TW"/>
              </w:rPr>
              <w:t>CET1</w:t>
            </w:r>
            <w:r w:rsidRPr="006A6FF6">
              <w:rPr>
                <w:rFonts w:eastAsia="新細明體" w:cs="Segoe UI" w:hint="eastAsia"/>
                <w:sz w:val="17"/>
                <w:szCs w:val="17"/>
                <w:lang w:eastAsia="zh-HK"/>
              </w:rPr>
              <w:t>資本</w:t>
            </w:r>
            <w:r w:rsidRPr="006A6FF6">
              <w:rPr>
                <w:rFonts w:eastAsia="新細明體" w:cs="Segoe UI" w:hint="eastAsia"/>
                <w:sz w:val="17"/>
                <w:szCs w:val="17"/>
                <w:lang w:eastAsia="zh-TW"/>
              </w:rPr>
              <w:t>扣減</w:t>
            </w:r>
            <w:r w:rsidRPr="006A6FF6">
              <w:rPr>
                <w:rFonts w:eastAsia="新細明體" w:cs="Segoe UI" w:hint="eastAsia"/>
                <w:sz w:val="17"/>
                <w:szCs w:val="17"/>
                <w:lang w:eastAsia="zh-HK"/>
              </w:rPr>
              <w:t>的</w:t>
            </w:r>
            <w:r w:rsidRPr="006A6FF6">
              <w:rPr>
                <w:rFonts w:eastAsia="新細明體" w:cs="Segoe UI" w:hint="eastAsia"/>
                <w:sz w:val="17"/>
                <w:szCs w:val="17"/>
                <w:lang w:eastAsia="zh-TW"/>
              </w:rPr>
              <w:t>門檻</w:t>
            </w:r>
            <w:r w:rsidRPr="006A6FF6">
              <w:rPr>
                <w:rFonts w:eastAsia="新細明體" w:cs="Segoe UI" w:hint="eastAsia"/>
                <w:sz w:val="17"/>
                <w:szCs w:val="17"/>
                <w:lang w:eastAsia="zh-HK"/>
              </w:rPr>
              <w:t>並須計算</w:t>
            </w:r>
            <w:r w:rsidRPr="006A6FF6">
              <w:rPr>
                <w:rFonts w:eastAsia="新細明體" w:cs="Segoe UI" w:hint="eastAsia"/>
                <w:sz w:val="17"/>
                <w:szCs w:val="17"/>
                <w:lang w:eastAsia="zh-TW"/>
              </w:rPr>
              <w:t>250%</w:t>
            </w:r>
            <w:r w:rsidRPr="006A6FF6">
              <w:rPr>
                <w:rFonts w:eastAsia="新細明體" w:cs="Segoe UI" w:hint="eastAsia"/>
                <w:sz w:val="17"/>
                <w:szCs w:val="17"/>
                <w:lang w:eastAsia="zh-TW"/>
              </w:rPr>
              <w:t>風險權</w:t>
            </w:r>
            <w:r w:rsidRPr="006A6FF6">
              <w:rPr>
                <w:rFonts w:eastAsia="新細明體" w:cs="Segoe UI" w:hint="eastAsia"/>
                <w:sz w:val="17"/>
                <w:szCs w:val="17"/>
                <w:lang w:eastAsia="zh-HK"/>
              </w:rPr>
              <w:t>重</w:t>
            </w:r>
            <w:r w:rsidRPr="006A6FF6">
              <w:rPr>
                <w:rFonts w:eastAsia="新細明體" w:cs="Segoe UI" w:hint="eastAsia"/>
                <w:sz w:val="17"/>
                <w:szCs w:val="17"/>
                <w:lang w:eastAsia="zh-TW"/>
              </w:rPr>
              <w:t>的</w:t>
            </w:r>
            <w:r w:rsidRPr="006A6FF6">
              <w:rPr>
                <w:rFonts w:eastAsia="新細明體" w:cs="Segoe UI" w:hint="eastAsia"/>
                <w:sz w:val="17"/>
                <w:szCs w:val="17"/>
                <w:lang w:eastAsia="zh-HK"/>
              </w:rPr>
              <w:t>數額</w:t>
            </w:r>
            <w:r w:rsidRPr="006A6FF6">
              <w:rPr>
                <w:rFonts w:eastAsia="新細明體" w:cs="Segoe UI" w:hint="eastAsia"/>
                <w:sz w:val="17"/>
                <w:szCs w:val="17"/>
                <w:lang w:eastAsia="zh-TW"/>
              </w:rPr>
              <w:t>。</w:t>
            </w:r>
          </w:p>
        </w:tc>
      </w:tr>
      <w:tr w:rsidR="006A6FF6" w:rsidRPr="006A6FF6" w14:paraId="75180410" w14:textId="77777777" w:rsidTr="000F143F">
        <w:tc>
          <w:tcPr>
            <w:tcW w:w="2160" w:type="dxa"/>
          </w:tcPr>
          <w:p w14:paraId="2F77E942"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lang w:eastAsia="en-GB"/>
              </w:rPr>
              <w:t>內容</w:t>
            </w:r>
            <w:proofErr w:type="spellEnd"/>
            <w:r w:rsidRPr="006A6FF6">
              <w:rPr>
                <w:rFonts w:eastAsia="新細明體" w:cs="Segoe UI"/>
                <w:b/>
                <w:sz w:val="17"/>
                <w:lang w:eastAsia="en-GB"/>
              </w:rPr>
              <w:t>：</w:t>
            </w:r>
          </w:p>
        </w:tc>
        <w:tc>
          <w:tcPr>
            <w:tcW w:w="7088" w:type="dxa"/>
          </w:tcPr>
          <w:p w14:paraId="263C5F12" w14:textId="77777777" w:rsidR="00190D67" w:rsidRPr="006A6FF6" w:rsidRDefault="00190D67" w:rsidP="00862754">
            <w:pPr>
              <w:spacing w:before="40" w:after="40"/>
              <w:jc w:val="both"/>
              <w:rPr>
                <w:rFonts w:eastAsia="新細明體" w:cs="Segoe UI"/>
                <w:b/>
                <w:sz w:val="17"/>
                <w:lang w:eastAsia="en-GB"/>
              </w:rPr>
            </w:pPr>
            <w:r w:rsidRPr="006A6FF6">
              <w:rPr>
                <w:rFonts w:eastAsia="新細明體" w:cs="Segoe UI" w:hint="eastAsia"/>
                <w:sz w:val="17"/>
                <w:lang w:eastAsia="zh-HK"/>
              </w:rPr>
              <w:t>風險加權數額</w:t>
            </w:r>
            <w:r w:rsidRPr="006A6FF6">
              <w:rPr>
                <w:rFonts w:eastAsia="新細明體" w:cs="Segoe UI" w:hint="eastAsia"/>
                <w:sz w:val="17"/>
                <w:lang w:eastAsia="zh-TW"/>
              </w:rPr>
              <w:t>。</w:t>
            </w:r>
          </w:p>
        </w:tc>
      </w:tr>
      <w:tr w:rsidR="006A6FF6" w:rsidRPr="006A6FF6" w14:paraId="329BE1C0" w14:textId="77777777" w:rsidTr="000F143F">
        <w:tc>
          <w:tcPr>
            <w:tcW w:w="2160" w:type="dxa"/>
          </w:tcPr>
          <w:p w14:paraId="3560C170" w14:textId="77777777" w:rsidR="00190D67" w:rsidRPr="006A6FF6" w:rsidRDefault="00190D67" w:rsidP="00862754">
            <w:pPr>
              <w:spacing w:before="40" w:after="40"/>
              <w:rPr>
                <w:rFonts w:eastAsia="新細明體" w:cs="Segoe UI"/>
                <w:sz w:val="17"/>
                <w:lang w:eastAsia="en-GB"/>
              </w:rPr>
            </w:pPr>
            <w:proofErr w:type="spellStart"/>
            <w:r w:rsidRPr="006A6FF6">
              <w:rPr>
                <w:rFonts w:eastAsia="新細明體" w:cs="Segoe UI"/>
                <w:b/>
                <w:sz w:val="17"/>
                <w:lang w:eastAsia="en-GB"/>
              </w:rPr>
              <w:t>頻密程度</w:t>
            </w:r>
            <w:proofErr w:type="spellEnd"/>
            <w:r w:rsidRPr="006A6FF6">
              <w:rPr>
                <w:rFonts w:eastAsia="新細明體" w:cs="Segoe UI"/>
                <w:b/>
                <w:sz w:val="17"/>
                <w:lang w:eastAsia="en-GB"/>
              </w:rPr>
              <w:t>：</w:t>
            </w:r>
          </w:p>
        </w:tc>
        <w:tc>
          <w:tcPr>
            <w:tcW w:w="7088" w:type="dxa"/>
          </w:tcPr>
          <w:p w14:paraId="5BE9C79E" w14:textId="77777777" w:rsidR="00190D67" w:rsidRPr="006A6FF6" w:rsidRDefault="00190D67" w:rsidP="00862754">
            <w:pPr>
              <w:spacing w:before="40" w:after="40"/>
              <w:jc w:val="both"/>
              <w:rPr>
                <w:rFonts w:eastAsia="新細明體" w:cs="Segoe UI"/>
                <w:sz w:val="17"/>
                <w:lang w:eastAsia="en-GB"/>
              </w:rPr>
            </w:pPr>
            <w:proofErr w:type="spellStart"/>
            <w:r w:rsidRPr="006A6FF6">
              <w:rPr>
                <w:rFonts w:eastAsia="新細明體" w:cs="Segoe UI"/>
                <w:sz w:val="17"/>
                <w:lang w:eastAsia="en-GB"/>
              </w:rPr>
              <w:t>每半年一次</w:t>
            </w:r>
            <w:proofErr w:type="spellEnd"/>
            <w:r w:rsidRPr="006A6FF6">
              <w:rPr>
                <w:rFonts w:eastAsia="新細明體" w:cs="Segoe UI"/>
                <w:sz w:val="17"/>
                <w:lang w:eastAsia="en-GB"/>
              </w:rPr>
              <w:t>。</w:t>
            </w:r>
          </w:p>
        </w:tc>
      </w:tr>
      <w:tr w:rsidR="006A6FF6" w:rsidRPr="006A6FF6" w14:paraId="5E73D8C3" w14:textId="77777777" w:rsidTr="000F143F">
        <w:tc>
          <w:tcPr>
            <w:tcW w:w="2160" w:type="dxa"/>
          </w:tcPr>
          <w:p w14:paraId="21304510" w14:textId="77777777" w:rsidR="00190D67" w:rsidRPr="006A6FF6" w:rsidRDefault="00190D67" w:rsidP="00862754">
            <w:pPr>
              <w:spacing w:before="40" w:after="40"/>
              <w:rPr>
                <w:rFonts w:eastAsia="新細明體" w:cs="Segoe UI"/>
                <w:sz w:val="17"/>
                <w:lang w:eastAsia="en-GB"/>
              </w:rPr>
            </w:pPr>
            <w:proofErr w:type="spellStart"/>
            <w:r w:rsidRPr="006A6FF6">
              <w:rPr>
                <w:rFonts w:eastAsia="新細明體" w:cs="Segoe UI"/>
                <w:b/>
                <w:sz w:val="17"/>
                <w:lang w:eastAsia="en-GB"/>
              </w:rPr>
              <w:t>格式</w:t>
            </w:r>
            <w:proofErr w:type="spellEnd"/>
            <w:r w:rsidRPr="006A6FF6">
              <w:rPr>
                <w:rFonts w:eastAsia="新細明體" w:cs="Segoe UI"/>
                <w:b/>
                <w:sz w:val="17"/>
                <w:lang w:eastAsia="en-GB"/>
              </w:rPr>
              <w:t>：</w:t>
            </w:r>
          </w:p>
        </w:tc>
        <w:tc>
          <w:tcPr>
            <w:tcW w:w="7088" w:type="dxa"/>
          </w:tcPr>
          <w:p w14:paraId="53D64722" w14:textId="11C36589" w:rsidR="00190D67" w:rsidRPr="006A6FF6" w:rsidRDefault="00190D67" w:rsidP="00483612">
            <w:pPr>
              <w:spacing w:before="40" w:after="40"/>
              <w:jc w:val="both"/>
              <w:rPr>
                <w:rFonts w:eastAsia="新細明體" w:cs="Segoe UI"/>
                <w:noProof/>
                <w:sz w:val="17"/>
                <w:lang w:eastAsia="zh-TW"/>
              </w:rPr>
            </w:pPr>
            <w:r w:rsidRPr="006A6FF6">
              <w:rPr>
                <w:rFonts w:eastAsia="新細明體" w:cs="Segoe UI"/>
                <w:sz w:val="17"/>
                <w:lang w:eastAsia="zh-TW"/>
              </w:rPr>
              <w:t>固定</w:t>
            </w:r>
            <w:r w:rsidRPr="006A6FF6">
              <w:rPr>
                <w:rFonts w:eastAsia="新細明體" w:cs="Segoe UI" w:hint="eastAsia"/>
                <w:sz w:val="17"/>
                <w:lang w:eastAsia="zh-TW"/>
              </w:rPr>
              <w:t>。</w:t>
            </w:r>
            <w:r w:rsidRPr="006A6FF6">
              <w:rPr>
                <w:rFonts w:eastAsia="新細明體" w:cs="Segoe UI" w:hint="eastAsia"/>
                <w:sz w:val="17"/>
                <w:lang w:eastAsia="zh-HK"/>
              </w:rPr>
              <w:t>欄</w:t>
            </w:r>
            <w:r w:rsidR="003A6A2E" w:rsidRPr="006A6FF6">
              <w:rPr>
                <w:rFonts w:eastAsia="新細明體" w:cs="Segoe UI" w:hint="eastAsia"/>
                <w:sz w:val="17"/>
                <w:lang w:eastAsia="zh-HK"/>
              </w:rPr>
              <w:t>是</w:t>
            </w:r>
            <w:r w:rsidRPr="006A6FF6">
              <w:rPr>
                <w:rFonts w:eastAsia="新細明體" w:cs="Segoe UI" w:hint="eastAsia"/>
                <w:sz w:val="17"/>
                <w:lang w:eastAsia="zh-HK"/>
              </w:rPr>
              <w:t>固定</w:t>
            </w:r>
            <w:r w:rsidR="003A6A2E" w:rsidRPr="006A6FF6">
              <w:rPr>
                <w:rFonts w:eastAsia="新細明體" w:cs="Segoe UI" w:hint="eastAsia"/>
                <w:sz w:val="17"/>
                <w:lang w:eastAsia="zh-HK"/>
              </w:rPr>
              <w:t>的</w:t>
            </w:r>
            <w:r w:rsidRPr="006A6FF6">
              <w:rPr>
                <w:rFonts w:eastAsia="新細明體" w:cs="Segoe UI" w:hint="eastAsia"/>
                <w:sz w:val="17"/>
                <w:lang w:eastAsia="zh-TW"/>
              </w:rPr>
              <w:t>，</w:t>
            </w:r>
            <w:r w:rsidR="00745BC3" w:rsidRPr="006A6FF6">
              <w:rPr>
                <w:rFonts w:eastAsia="新細明體" w:cs="Segoe UI" w:hint="eastAsia"/>
                <w:sz w:val="17"/>
                <w:lang w:eastAsia="zh-HK"/>
              </w:rPr>
              <w:t>而</w:t>
            </w:r>
            <w:r w:rsidRPr="006A6FF6">
              <w:rPr>
                <w:rFonts w:eastAsia="新細明體" w:cs="Segoe UI" w:hint="eastAsia"/>
                <w:sz w:val="17"/>
                <w:lang w:eastAsia="zh-HK"/>
              </w:rPr>
              <w:t>行的組合細目分類反映</w:t>
            </w:r>
            <w:r w:rsidRPr="006A6FF6">
              <w:rPr>
                <w:rFonts w:ascii="細明體" w:eastAsia="細明體" w:hAnsi="細明體" w:cs="Segoe UI" w:hint="eastAsia"/>
                <w:sz w:val="17"/>
                <w:lang w:eastAsia="zh-HK"/>
              </w:rPr>
              <w:t>《資本規則》第</w:t>
            </w:r>
            <w:r w:rsidRPr="006A6FF6">
              <w:rPr>
                <w:rFonts w:eastAsia="新細明體" w:cs="Segoe UI" w:hint="eastAsia"/>
                <w:sz w:val="17"/>
                <w:szCs w:val="17"/>
                <w:lang w:eastAsia="zh-TW"/>
              </w:rPr>
              <w:t>6</w:t>
            </w:r>
            <w:r w:rsidRPr="006A6FF6">
              <w:rPr>
                <w:rFonts w:ascii="細明體" w:eastAsia="細明體" w:hAnsi="細明體" w:cs="Segoe UI" w:hint="eastAsia"/>
                <w:sz w:val="17"/>
                <w:lang w:eastAsia="zh-HK"/>
              </w:rPr>
              <w:t>部及第</w:t>
            </w:r>
            <w:r w:rsidRPr="006A6FF6">
              <w:rPr>
                <w:rFonts w:eastAsia="新細明體" w:cs="Segoe UI" w:hint="eastAsia"/>
                <w:sz w:val="17"/>
                <w:szCs w:val="17"/>
                <w:lang w:eastAsia="zh-TW"/>
              </w:rPr>
              <w:t>4</w:t>
            </w:r>
            <w:r w:rsidRPr="006A6FF6">
              <w:rPr>
                <w:rFonts w:ascii="細明體" w:eastAsia="細明體" w:hAnsi="細明體" w:cs="Segoe UI" w:hint="eastAsia"/>
                <w:sz w:val="17"/>
                <w:lang w:eastAsia="zh-HK"/>
              </w:rPr>
              <w:t>部的風險承擔分類</w:t>
            </w:r>
            <w:r w:rsidR="009E2332" w:rsidRPr="006A6FF6">
              <w:rPr>
                <w:rFonts w:eastAsia="新細明體" w:cs="Segoe UI" w:hint="eastAsia"/>
                <w:sz w:val="17"/>
                <w:lang w:eastAsia="zh-HK"/>
              </w:rPr>
              <w:t>（</w:t>
            </w:r>
            <w:r w:rsidR="009E2332">
              <w:rPr>
                <w:rFonts w:eastAsia="新細明體" w:cs="Segoe UI" w:hint="eastAsia"/>
                <w:sz w:val="17"/>
                <w:szCs w:val="17"/>
                <w:lang w:eastAsia="zh-HK"/>
              </w:rPr>
              <w:t>如</w:t>
            </w:r>
            <w:r w:rsidR="009E2332">
              <w:rPr>
                <w:rFonts w:eastAsia="新細明體" w:cs="Segoe UI" w:hint="eastAsia"/>
                <w:sz w:val="17"/>
                <w:szCs w:val="17"/>
                <w:lang w:eastAsia="zh-TW"/>
              </w:rPr>
              <w:t>適</w:t>
            </w:r>
            <w:r w:rsidR="009E2332">
              <w:rPr>
                <w:rFonts w:eastAsia="新細明體" w:cs="Segoe UI" w:hint="eastAsia"/>
                <w:sz w:val="17"/>
                <w:szCs w:val="17"/>
                <w:lang w:eastAsia="zh-HK"/>
              </w:rPr>
              <w:t>用</w:t>
            </w:r>
            <w:r w:rsidR="009E2332" w:rsidRPr="006A6FF6">
              <w:rPr>
                <w:rFonts w:ascii="新細明體" w:eastAsia="新細明體" w:hAnsi="新細明體" w:cs="Segoe UI" w:hint="eastAsia"/>
                <w:sz w:val="17"/>
                <w:szCs w:val="17"/>
                <w:lang w:eastAsia="zh-TW"/>
              </w:rPr>
              <w:t>）</w:t>
            </w:r>
            <w:r w:rsidRPr="006A6FF6">
              <w:rPr>
                <w:rFonts w:ascii="細明體" w:eastAsia="細明體" w:hAnsi="細明體" w:cs="Segoe UI" w:hint="eastAsia"/>
                <w:sz w:val="17"/>
                <w:lang w:eastAsia="zh-TW"/>
              </w:rPr>
              <w:t>。</w:t>
            </w:r>
            <w:r w:rsidRPr="006A6FF6">
              <w:rPr>
                <w:rFonts w:ascii="細明體" w:eastAsia="細明體" w:hAnsi="細明體" w:cs="Segoe UI" w:hint="eastAsia"/>
                <w:sz w:val="17"/>
                <w:lang w:eastAsia="zh-HK"/>
              </w:rPr>
              <w:t>認可機構可加</w:t>
            </w:r>
            <w:r w:rsidR="00D97018" w:rsidRPr="006A6FF6">
              <w:rPr>
                <w:rFonts w:ascii="細明體" w:eastAsia="細明體" w:hAnsi="細明體" w:cs="Segoe UI" w:hint="eastAsia"/>
                <w:sz w:val="17"/>
                <w:lang w:eastAsia="zh-HK"/>
              </w:rPr>
              <w:t>入</w:t>
            </w:r>
            <w:r w:rsidR="00655852" w:rsidRPr="006A6FF6">
              <w:rPr>
                <w:rFonts w:ascii="細明體" w:eastAsia="細明體" w:hAnsi="細明體" w:cs="Segoe UI" w:hint="eastAsia"/>
                <w:sz w:val="17"/>
                <w:lang w:eastAsia="zh-HK"/>
              </w:rPr>
              <w:t>附加</w:t>
            </w:r>
            <w:r w:rsidRPr="006A6FF6">
              <w:rPr>
                <w:rFonts w:ascii="細明體" w:eastAsia="細明體" w:hAnsi="細明體" w:cs="Segoe UI" w:hint="eastAsia"/>
                <w:sz w:val="17"/>
                <w:lang w:eastAsia="zh-HK"/>
              </w:rPr>
              <w:t>行以顯示出現重大差別的地方</w:t>
            </w:r>
            <w:r w:rsidRPr="006A6FF6">
              <w:rPr>
                <w:rFonts w:ascii="細明體" w:eastAsia="細明體" w:hAnsi="細明體" w:cs="Segoe UI" w:hint="eastAsia"/>
                <w:sz w:val="17"/>
                <w:lang w:eastAsia="zh-TW"/>
              </w:rPr>
              <w:t>。</w:t>
            </w:r>
          </w:p>
        </w:tc>
      </w:tr>
      <w:tr w:rsidR="006A6FF6" w:rsidRPr="006A6FF6" w14:paraId="2BC6127E" w14:textId="77777777" w:rsidTr="000F143F">
        <w:tc>
          <w:tcPr>
            <w:tcW w:w="2160" w:type="dxa"/>
          </w:tcPr>
          <w:p w14:paraId="1D4FA2E2"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szCs w:val="17"/>
                <w:lang w:eastAsia="en-GB"/>
              </w:rPr>
              <w:t>附加說明</w:t>
            </w:r>
            <w:proofErr w:type="spellEnd"/>
            <w:r w:rsidRPr="006A6FF6">
              <w:rPr>
                <w:rFonts w:eastAsia="新細明體" w:cs="Segoe UI"/>
                <w:b/>
                <w:sz w:val="17"/>
                <w:szCs w:val="17"/>
                <w:lang w:eastAsia="en-GB"/>
              </w:rPr>
              <w:t>：</w:t>
            </w:r>
          </w:p>
        </w:tc>
        <w:tc>
          <w:tcPr>
            <w:tcW w:w="7088" w:type="dxa"/>
          </w:tcPr>
          <w:p w14:paraId="1354802E" w14:textId="32BCFDB0" w:rsidR="00190D67" w:rsidRPr="006A6FF6" w:rsidRDefault="00B40CC0" w:rsidP="00862754">
            <w:pPr>
              <w:spacing w:before="40" w:after="40"/>
              <w:jc w:val="both"/>
              <w:rPr>
                <w:rFonts w:eastAsia="新細明體" w:cs="Segoe UI"/>
                <w:noProof/>
                <w:sz w:val="17"/>
                <w:lang w:eastAsia="zh-TW"/>
              </w:rPr>
            </w:pPr>
            <w:r w:rsidRPr="006A6FF6">
              <w:rPr>
                <w:rFonts w:eastAsia="新細明體" w:cs="Segoe UI" w:hint="eastAsia"/>
                <w:sz w:val="17"/>
                <w:szCs w:val="17"/>
                <w:lang w:eastAsia="zh-HK"/>
              </w:rPr>
              <w:t>認可機構應就所</w:t>
            </w:r>
            <w:r w:rsidRPr="006A6FF6">
              <w:rPr>
                <w:rFonts w:eastAsia="新細明體" w:cs="Segoe UI" w:hint="eastAsia"/>
                <w:sz w:val="17"/>
                <w:szCs w:val="17"/>
                <w:lang w:eastAsia="zh-TW"/>
              </w:rPr>
              <w:t>披露</w:t>
            </w:r>
            <w:r w:rsidRPr="006A6FF6">
              <w:rPr>
                <w:rFonts w:eastAsia="新細明體" w:cs="Segoe UI" w:hint="eastAsia"/>
                <w:sz w:val="17"/>
                <w:szCs w:val="17"/>
                <w:lang w:eastAsia="zh-HK"/>
              </w:rPr>
              <w:t>的用作計算資本比率的內部模式數額</w:t>
            </w:r>
            <w:r w:rsidRPr="006A6FF6">
              <w:rPr>
                <w:rFonts w:eastAsia="新細明體" w:cs="Segoe UI" w:hint="eastAsia"/>
                <w:sz w:val="17"/>
                <w:szCs w:val="17"/>
                <w:lang w:eastAsia="zh-TW"/>
              </w:rPr>
              <w:t>，</w:t>
            </w:r>
            <w:r w:rsidRPr="006A6FF6">
              <w:rPr>
                <w:rFonts w:eastAsia="新細明體" w:cs="Segoe UI" w:hint="eastAsia"/>
                <w:sz w:val="17"/>
                <w:szCs w:val="17"/>
                <w:lang w:eastAsia="zh-HK"/>
              </w:rPr>
              <w:t>與所</w:t>
            </w:r>
            <w:r w:rsidRPr="006A6FF6">
              <w:rPr>
                <w:rFonts w:eastAsia="新細明體" w:cs="Segoe UI"/>
                <w:sz w:val="17"/>
                <w:szCs w:val="17"/>
                <w:lang w:eastAsia="zh-TW"/>
              </w:rPr>
              <w:t>披露</w:t>
            </w:r>
            <w:r w:rsidRPr="006A6FF6">
              <w:rPr>
                <w:rFonts w:eastAsia="新細明體" w:cs="Segoe UI" w:hint="eastAsia"/>
                <w:sz w:val="17"/>
                <w:szCs w:val="17"/>
                <w:lang w:eastAsia="zh-HK"/>
              </w:rPr>
              <w:t>的若其按照</w:t>
            </w:r>
            <w:r w:rsidRPr="006A6FF6">
              <w:rPr>
                <w:rFonts w:ascii="細明體" w:eastAsia="細明體" w:hAnsi="細明體" w:cs="Segoe UI" w:hint="eastAsia"/>
                <w:sz w:val="17"/>
                <w:szCs w:val="17"/>
                <w:lang w:eastAsia="zh-TW"/>
              </w:rPr>
              <w:t>《</w:t>
            </w:r>
            <w:r w:rsidRPr="006A6FF6">
              <w:rPr>
                <w:rFonts w:ascii="細明體" w:eastAsia="細明體" w:hAnsi="細明體" w:cs="Segoe UI" w:hint="eastAsia"/>
                <w:sz w:val="17"/>
                <w:szCs w:val="17"/>
                <w:lang w:eastAsia="zh-HK"/>
              </w:rPr>
              <w:t>資本規則</w:t>
            </w:r>
            <w:r w:rsidRPr="006A6FF6">
              <w:rPr>
                <w:rFonts w:ascii="細明體" w:eastAsia="細明體" w:hAnsi="細明體" w:cs="Segoe UI" w:hint="eastAsia"/>
                <w:sz w:val="17"/>
                <w:szCs w:val="17"/>
                <w:lang w:eastAsia="zh-TW"/>
              </w:rPr>
              <w:t>》</w:t>
            </w:r>
            <w:r w:rsidRPr="006A6FF6">
              <w:rPr>
                <w:rFonts w:eastAsia="新細明體" w:cs="Segoe UI"/>
                <w:sz w:val="17"/>
                <w:szCs w:val="17"/>
                <w:lang w:eastAsia="zh-TW"/>
              </w:rPr>
              <w:t>第</w:t>
            </w:r>
            <w:r w:rsidRPr="006A6FF6">
              <w:rPr>
                <w:rFonts w:eastAsia="新細明體" w:cs="Segoe UI"/>
                <w:sz w:val="17"/>
                <w:szCs w:val="17"/>
                <w:lang w:eastAsia="zh-TW"/>
              </w:rPr>
              <w:t>11</w:t>
            </w:r>
            <w:r w:rsidRPr="006A6FF6">
              <w:rPr>
                <w:rFonts w:eastAsia="新細明體" w:cs="Segoe UI"/>
                <w:sz w:val="17"/>
                <w:szCs w:val="17"/>
                <w:lang w:eastAsia="zh-TW"/>
              </w:rPr>
              <w:t>部</w:t>
            </w:r>
            <w:r w:rsidRPr="006A6FF6">
              <w:rPr>
                <w:rFonts w:eastAsia="新細明體" w:cs="Segoe UI" w:hint="eastAsia"/>
                <w:sz w:val="17"/>
                <w:szCs w:val="17"/>
                <w:lang w:eastAsia="zh-HK"/>
              </w:rPr>
              <w:t>採用</w:t>
            </w:r>
            <w:r w:rsidRPr="006A6FF6">
              <w:rPr>
                <w:rFonts w:eastAsia="新細明體" w:cs="Segoe UI" w:hint="eastAsia"/>
                <w:sz w:val="17"/>
                <w:szCs w:val="17"/>
                <w:lang w:eastAsia="zh-TW"/>
              </w:rPr>
              <w:t>STC</w:t>
            </w:r>
            <w:r w:rsidRPr="006A6FF6">
              <w:rPr>
                <w:rFonts w:eastAsia="新細明體" w:cs="Segoe UI" w:hint="eastAsia"/>
                <w:sz w:val="17"/>
                <w:szCs w:val="17"/>
                <w:lang w:eastAsia="zh-HK"/>
              </w:rPr>
              <w:t>計算法所得的數額之間的差</w:t>
            </w:r>
            <w:r w:rsidRPr="006A6FF6">
              <w:rPr>
                <w:rFonts w:ascii="新細明體" w:eastAsia="新細明體" w:hAnsi="新細明體" w:cs="Segoe UI" w:hint="eastAsia"/>
                <w:sz w:val="17"/>
                <w:szCs w:val="17"/>
                <w:lang w:eastAsia="zh-TW"/>
              </w:rPr>
              <w:t>別</w:t>
            </w:r>
            <w:r w:rsidRPr="006A6FF6">
              <w:rPr>
                <w:rFonts w:eastAsia="新細明體" w:cs="Segoe UI" w:hint="eastAsia"/>
                <w:sz w:val="17"/>
                <w:szCs w:val="17"/>
                <w:lang w:eastAsia="zh-HK"/>
              </w:rPr>
              <w:t>的主要驅動因素作解</w:t>
            </w:r>
            <w:r w:rsidRPr="006A6FF6">
              <w:rPr>
                <w:rFonts w:eastAsia="新細明體" w:cs="Segoe UI" w:hint="eastAsia"/>
                <w:sz w:val="17"/>
                <w:szCs w:val="17"/>
                <w:lang w:eastAsia="zh-TW"/>
              </w:rPr>
              <w:t>釋。</w:t>
            </w:r>
            <w:r w:rsidRPr="006A6FF6">
              <w:rPr>
                <w:rFonts w:eastAsia="新細明體" w:cs="Segoe UI" w:hint="eastAsia"/>
                <w:sz w:val="17"/>
                <w:szCs w:val="17"/>
                <w:lang w:eastAsia="zh-HK"/>
              </w:rPr>
              <w:t>若差別歸因於</w:t>
            </w:r>
            <w:r w:rsidRPr="006A6FF6">
              <w:rPr>
                <w:rFonts w:eastAsia="新細明體" w:cs="Segoe UI" w:hint="eastAsia"/>
                <w:sz w:val="17"/>
                <w:szCs w:val="17"/>
                <w:lang w:eastAsia="zh-TW"/>
              </w:rPr>
              <w:t>IRB</w:t>
            </w:r>
            <w:r w:rsidRPr="006A6FF6">
              <w:rPr>
                <w:rFonts w:eastAsia="新細明體" w:cs="Segoe UI" w:hint="eastAsia"/>
                <w:sz w:val="17"/>
                <w:szCs w:val="17"/>
                <w:lang w:eastAsia="zh-HK"/>
              </w:rPr>
              <w:t>計算法與</w:t>
            </w:r>
            <w:r w:rsidRPr="006A6FF6">
              <w:rPr>
                <w:rFonts w:eastAsia="新細明體" w:cs="Segoe UI" w:hint="eastAsia"/>
                <w:sz w:val="17"/>
                <w:szCs w:val="17"/>
                <w:lang w:eastAsia="zh-TW"/>
              </w:rPr>
              <w:t>STC</w:t>
            </w:r>
            <w:r w:rsidRPr="006A6FF6">
              <w:rPr>
                <w:rFonts w:eastAsia="新細明體" w:cs="Segoe UI" w:hint="eastAsia"/>
                <w:sz w:val="17"/>
                <w:szCs w:val="17"/>
                <w:lang w:eastAsia="zh-HK"/>
              </w:rPr>
              <w:t>計算法之間的配對</w:t>
            </w:r>
            <w:r w:rsidRPr="006A6FF6">
              <w:rPr>
                <w:rFonts w:eastAsia="新細明體" w:cs="Segoe UI" w:hint="eastAsia"/>
                <w:sz w:val="17"/>
                <w:szCs w:val="17"/>
                <w:lang w:eastAsia="zh-TW"/>
              </w:rPr>
              <w:t>，</w:t>
            </w:r>
            <w:r w:rsidRPr="006A6FF6">
              <w:rPr>
                <w:rFonts w:eastAsia="新細明體" w:cs="Segoe UI" w:hint="eastAsia"/>
                <w:sz w:val="17"/>
                <w:szCs w:val="17"/>
                <w:lang w:eastAsia="zh-HK"/>
              </w:rPr>
              <w:t>認可機構可就其提</w:t>
            </w:r>
            <w:r w:rsidRPr="006A6FF6">
              <w:rPr>
                <w:rFonts w:eastAsia="新細明體" w:cs="Segoe UI" w:hint="eastAsia"/>
                <w:sz w:val="17"/>
                <w:szCs w:val="17"/>
                <w:lang w:eastAsia="zh-TW"/>
              </w:rPr>
              <w:t>供</w:t>
            </w:r>
            <w:r w:rsidRPr="006A6FF6">
              <w:rPr>
                <w:rFonts w:eastAsia="新細明體" w:cs="Segoe UI" w:hint="eastAsia"/>
                <w:sz w:val="17"/>
                <w:szCs w:val="17"/>
                <w:lang w:eastAsia="zh-HK"/>
              </w:rPr>
              <w:t>解釋並估計其重要性</w:t>
            </w:r>
            <w:r w:rsidRPr="006A6FF6">
              <w:rPr>
                <w:rFonts w:eastAsia="新細明體" w:cs="Segoe UI" w:hint="eastAsia"/>
                <w:sz w:val="17"/>
                <w:szCs w:val="17"/>
                <w:lang w:eastAsia="zh-TW"/>
              </w:rPr>
              <w:t>。</w:t>
            </w:r>
          </w:p>
        </w:tc>
      </w:tr>
      <w:tr w:rsidR="006A6FF6" w:rsidRPr="006A6FF6" w14:paraId="37096DD8" w14:textId="77777777" w:rsidTr="000F143F">
        <w:tc>
          <w:tcPr>
            <w:tcW w:w="2160" w:type="dxa"/>
          </w:tcPr>
          <w:p w14:paraId="68C044F0" w14:textId="77777777" w:rsidR="00190D67" w:rsidRPr="006A6FF6" w:rsidRDefault="00190D67" w:rsidP="00862754">
            <w:pPr>
              <w:spacing w:before="40" w:after="40"/>
              <w:rPr>
                <w:rFonts w:eastAsia="新細明體" w:cs="Segoe UI"/>
                <w:b/>
                <w:sz w:val="17"/>
                <w:szCs w:val="17"/>
                <w:lang w:eastAsia="zh-TW"/>
              </w:rPr>
            </w:pPr>
            <w:r w:rsidRPr="006A6FF6">
              <w:rPr>
                <w:rFonts w:eastAsia="新細明體" w:cs="Segoe UI"/>
                <w:b/>
                <w:sz w:val="17"/>
                <w:szCs w:val="17"/>
                <w:lang w:eastAsia="zh-TW"/>
              </w:rPr>
              <w:t>《披露規則》相應條文：</w:t>
            </w:r>
          </w:p>
        </w:tc>
        <w:tc>
          <w:tcPr>
            <w:tcW w:w="7088" w:type="dxa"/>
          </w:tcPr>
          <w:p w14:paraId="28D96521" w14:textId="4D6C9FF9" w:rsidR="00190D67" w:rsidRPr="006A6FF6" w:rsidRDefault="00190D67" w:rsidP="00862754">
            <w:pPr>
              <w:spacing w:before="40" w:after="40"/>
              <w:jc w:val="both"/>
              <w:rPr>
                <w:rFonts w:eastAsia="新細明體" w:cs="Segoe UI"/>
                <w:sz w:val="17"/>
                <w:szCs w:val="17"/>
                <w:lang w:eastAsia="en-GB"/>
              </w:rPr>
            </w:pPr>
            <w:r w:rsidRPr="006A6FF6">
              <w:rPr>
                <w:rFonts w:eastAsia="DengXian" w:cs="Segoe UI"/>
                <w:sz w:val="17"/>
                <w:szCs w:val="17"/>
                <w:lang w:eastAsia="zh-CN"/>
              </w:rPr>
              <w:t>16ZQF</w:t>
            </w:r>
          </w:p>
        </w:tc>
      </w:tr>
    </w:tbl>
    <w:p w14:paraId="7FC7BC8D" w14:textId="77777777" w:rsidR="00190D67" w:rsidRDefault="00190D67" w:rsidP="00190D67">
      <w:pPr>
        <w:spacing w:before="120" w:after="120"/>
        <w:rPr>
          <w:rFonts w:eastAsia="新細明體" w:cs="Segoe UI"/>
          <w:sz w:val="22"/>
        </w:rPr>
      </w:pPr>
    </w:p>
    <w:p w14:paraId="04EFC05B" w14:textId="34EAF711" w:rsidR="008D59AE" w:rsidRDefault="008D59AE">
      <w:pPr>
        <w:rPr>
          <w:rFonts w:eastAsia="新細明體" w:cs="Segoe UI"/>
          <w:sz w:val="22"/>
        </w:rPr>
      </w:pPr>
      <w:r>
        <w:rPr>
          <w:rFonts w:eastAsia="新細明體" w:cs="Segoe UI"/>
          <w:sz w:val="22"/>
        </w:rPr>
        <w:br w:type="page"/>
      </w:r>
    </w:p>
    <w:p w14:paraId="2B8B6597" w14:textId="77777777" w:rsidR="00803733" w:rsidRPr="006A6FF6" w:rsidRDefault="00803733" w:rsidP="00190D67">
      <w:pPr>
        <w:spacing w:before="120" w:after="120"/>
        <w:rPr>
          <w:rFonts w:eastAsia="新細明體" w:cs="Segoe UI"/>
          <w:sz w:val="22"/>
        </w:rPr>
      </w:pPr>
    </w:p>
    <w:tbl>
      <w:tblPr>
        <w:tblW w:w="9214"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67"/>
        <w:gridCol w:w="2835"/>
        <w:gridCol w:w="1418"/>
        <w:gridCol w:w="1559"/>
        <w:gridCol w:w="1276"/>
        <w:gridCol w:w="1559"/>
      </w:tblGrid>
      <w:tr w:rsidR="00883F2A" w:rsidRPr="006A6FF6" w14:paraId="79DB905C" w14:textId="77777777" w:rsidTr="00983159">
        <w:trPr>
          <w:trHeight w:val="299"/>
          <w:tblHeader/>
        </w:trPr>
        <w:tc>
          <w:tcPr>
            <w:tcW w:w="567" w:type="dxa"/>
            <w:tcBorders>
              <w:top w:val="nil"/>
              <w:left w:val="nil"/>
              <w:bottom w:val="nil"/>
              <w:right w:val="nil"/>
            </w:tcBorders>
          </w:tcPr>
          <w:p w14:paraId="6666AA42" w14:textId="77777777" w:rsidR="00190D67" w:rsidRPr="006A6FF6" w:rsidRDefault="00190D67" w:rsidP="00862754">
            <w:pPr>
              <w:keepLines/>
              <w:snapToGrid w:val="0"/>
              <w:rPr>
                <w:rFonts w:eastAsia="新細明體" w:cs="Segoe UI"/>
                <w:i/>
                <w:sz w:val="17"/>
                <w:szCs w:val="17"/>
                <w:lang w:eastAsia="en-GB"/>
              </w:rPr>
            </w:pPr>
          </w:p>
        </w:tc>
        <w:tc>
          <w:tcPr>
            <w:tcW w:w="2835" w:type="dxa"/>
            <w:tcBorders>
              <w:top w:val="nil"/>
              <w:left w:val="nil"/>
              <w:bottom w:val="nil"/>
              <w:right w:val="single" w:sz="4" w:space="0" w:color="auto"/>
            </w:tcBorders>
          </w:tcPr>
          <w:p w14:paraId="0B9E958C" w14:textId="77777777" w:rsidR="00190D67" w:rsidRPr="006A6FF6" w:rsidRDefault="00190D67" w:rsidP="00862754">
            <w:pPr>
              <w:keepLines/>
              <w:snapToGrid w:val="0"/>
              <w:rPr>
                <w:rFonts w:eastAsia="新細明體"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DBE117"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(a)</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7572943"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D6DD7C"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(c)</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EFBB855"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sz w:val="17"/>
                <w:szCs w:val="17"/>
                <w:lang w:eastAsia="en-GB"/>
              </w:rPr>
              <w:t>(d)</w:t>
            </w:r>
          </w:p>
        </w:tc>
      </w:tr>
      <w:tr w:rsidR="001B39FD" w:rsidRPr="006A6FF6" w14:paraId="6768C15B" w14:textId="77777777" w:rsidTr="00983159">
        <w:trPr>
          <w:trHeight w:val="275"/>
          <w:tblHeader/>
        </w:trPr>
        <w:tc>
          <w:tcPr>
            <w:tcW w:w="567" w:type="dxa"/>
            <w:tcBorders>
              <w:top w:val="nil"/>
              <w:left w:val="nil"/>
              <w:bottom w:val="nil"/>
              <w:right w:val="nil"/>
            </w:tcBorders>
          </w:tcPr>
          <w:p w14:paraId="773E0072" w14:textId="77777777" w:rsidR="00190D67" w:rsidRPr="006A6FF6" w:rsidRDefault="00190D67" w:rsidP="00862754">
            <w:pPr>
              <w:keepLines/>
              <w:snapToGrid w:val="0"/>
              <w:rPr>
                <w:rFonts w:eastAsia="新細明體" w:cs="Segoe UI"/>
                <w:i/>
                <w:sz w:val="17"/>
                <w:szCs w:val="17"/>
                <w:lang w:eastAsia="en-GB"/>
              </w:rPr>
            </w:pPr>
          </w:p>
        </w:tc>
        <w:tc>
          <w:tcPr>
            <w:tcW w:w="2835" w:type="dxa"/>
            <w:vMerge w:val="restart"/>
            <w:tcBorders>
              <w:top w:val="nil"/>
              <w:left w:val="nil"/>
              <w:bottom w:val="single" w:sz="4" w:space="0" w:color="auto"/>
              <w:right w:val="single" w:sz="4" w:space="0" w:color="auto"/>
            </w:tcBorders>
          </w:tcPr>
          <w:p w14:paraId="20A40C54" w14:textId="77777777" w:rsidR="00190D67" w:rsidRPr="006A6FF6" w:rsidRDefault="00190D67" w:rsidP="00862754">
            <w:pPr>
              <w:keepLines/>
              <w:snapToGrid w:val="0"/>
              <w:rPr>
                <w:rFonts w:eastAsia="新細明體" w:cs="Segoe UI"/>
                <w:i/>
                <w:noProof/>
                <w:sz w:val="17"/>
                <w:szCs w:val="17"/>
                <w:lang w:eastAsia="en-GB"/>
              </w:rPr>
            </w:pPr>
          </w:p>
        </w:tc>
        <w:tc>
          <w:tcPr>
            <w:tcW w:w="581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79B02E" w14:textId="77777777" w:rsidR="00190D67" w:rsidRPr="006A6FF6" w:rsidRDefault="00190D67" w:rsidP="00862754">
            <w:pPr>
              <w:keepLines/>
              <w:snapToGrid w:val="0"/>
              <w:spacing w:before="40" w:after="40"/>
              <w:jc w:val="center"/>
              <w:rPr>
                <w:rFonts w:eastAsia="新細明體" w:cs="Segoe UI"/>
                <w:sz w:val="17"/>
                <w:szCs w:val="17"/>
                <w:lang w:eastAsia="en-GB"/>
              </w:rPr>
            </w:pPr>
            <w:r w:rsidRPr="006A6FF6">
              <w:rPr>
                <w:rFonts w:eastAsia="新細明體" w:cs="Segoe UI" w:hint="eastAsia"/>
                <w:sz w:val="17"/>
                <w:szCs w:val="17"/>
                <w:lang w:eastAsia="zh-HK"/>
              </w:rPr>
              <w:t>風險加權數額</w:t>
            </w:r>
          </w:p>
        </w:tc>
      </w:tr>
      <w:tr w:rsidR="00883F2A" w:rsidRPr="006A6FF6" w14:paraId="673640E2" w14:textId="77777777" w:rsidTr="00983159">
        <w:trPr>
          <w:trHeight w:val="245"/>
          <w:tblHeader/>
        </w:trPr>
        <w:tc>
          <w:tcPr>
            <w:tcW w:w="567" w:type="dxa"/>
            <w:tcBorders>
              <w:top w:val="nil"/>
              <w:left w:val="nil"/>
              <w:bottom w:val="single" w:sz="4" w:space="0" w:color="auto"/>
              <w:right w:val="nil"/>
            </w:tcBorders>
          </w:tcPr>
          <w:p w14:paraId="38CEA86F" w14:textId="77777777" w:rsidR="00190D67" w:rsidRPr="006A6FF6" w:rsidRDefault="00190D67" w:rsidP="00862754">
            <w:pPr>
              <w:keepLines/>
              <w:snapToGrid w:val="0"/>
              <w:rPr>
                <w:rFonts w:eastAsia="新細明體" w:cs="Segoe UI"/>
                <w:i/>
                <w:sz w:val="17"/>
                <w:szCs w:val="17"/>
                <w:lang w:eastAsia="en-GB"/>
              </w:rPr>
            </w:pPr>
          </w:p>
        </w:tc>
        <w:tc>
          <w:tcPr>
            <w:tcW w:w="2835" w:type="dxa"/>
            <w:vMerge/>
            <w:tcBorders>
              <w:top w:val="single" w:sz="4" w:space="0" w:color="auto"/>
              <w:left w:val="nil"/>
              <w:bottom w:val="single" w:sz="4" w:space="0" w:color="auto"/>
              <w:right w:val="single" w:sz="4" w:space="0" w:color="auto"/>
            </w:tcBorders>
          </w:tcPr>
          <w:p w14:paraId="6B208523" w14:textId="77777777" w:rsidR="00190D67" w:rsidRPr="006A6FF6" w:rsidRDefault="00190D67" w:rsidP="00862754">
            <w:pPr>
              <w:keepLines/>
              <w:snapToGrid w:val="0"/>
              <w:rPr>
                <w:rFonts w:eastAsia="新細明體" w:cs="Segoe UI"/>
                <w:i/>
                <w:sz w:val="17"/>
                <w:szCs w:val="17"/>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A06F3F" w14:textId="4B424FA6" w:rsidR="00190D67" w:rsidRPr="006A6FF6" w:rsidRDefault="00190D67" w:rsidP="00862754">
            <w:pPr>
              <w:keepLines/>
              <w:snapToGrid w:val="0"/>
              <w:spacing w:before="40" w:after="40"/>
              <w:jc w:val="center"/>
              <w:rPr>
                <w:rFonts w:eastAsia="新細明體" w:cs="Segoe UI"/>
                <w:sz w:val="17"/>
                <w:szCs w:val="17"/>
                <w:lang w:eastAsia="zh-TW"/>
              </w:rPr>
            </w:pPr>
            <w:r w:rsidRPr="006A6FF6">
              <w:rPr>
                <w:rFonts w:eastAsia="新細明體" w:cs="Segoe UI" w:hint="eastAsia"/>
                <w:sz w:val="17"/>
                <w:szCs w:val="17"/>
                <w:lang w:eastAsia="zh-TW"/>
              </w:rPr>
              <w:t>認可機構獲金融管理專員批准</w:t>
            </w:r>
            <w:r w:rsidR="00395FDD" w:rsidRPr="006A6FF6">
              <w:rPr>
                <w:rFonts w:eastAsia="新細明體" w:cs="Segoe UI" w:hint="eastAsia"/>
                <w:sz w:val="17"/>
                <w:szCs w:val="17"/>
                <w:lang w:eastAsia="zh-HK"/>
              </w:rPr>
              <w:t>採</w:t>
            </w:r>
            <w:r w:rsidRPr="006A6FF6">
              <w:rPr>
                <w:rFonts w:eastAsia="新細明體" w:cs="Segoe UI" w:hint="eastAsia"/>
                <w:sz w:val="17"/>
                <w:szCs w:val="17"/>
                <w:lang w:eastAsia="zh-TW"/>
              </w:rPr>
              <w:t>用的模式基準計算法</w:t>
            </w:r>
            <w:r w:rsidR="004F536B" w:rsidRPr="006A6FF6">
              <w:rPr>
                <w:rFonts w:eastAsia="新細明體" w:cs="Segoe UI" w:hint="eastAsia"/>
                <w:sz w:val="17"/>
                <w:szCs w:val="17"/>
                <w:lang w:eastAsia="zh-HK"/>
              </w:rPr>
              <w:t>下</w:t>
            </w:r>
            <w:r w:rsidRPr="006A6FF6">
              <w:rPr>
                <w:rFonts w:eastAsia="新細明體" w:cs="Segoe UI" w:hint="eastAsia"/>
                <w:sz w:val="17"/>
                <w:szCs w:val="17"/>
                <w:lang w:eastAsia="zh-TW"/>
              </w:rPr>
              <w:t>計算的風險加權數額</w:t>
            </w:r>
          </w:p>
          <w:p w14:paraId="7AD8B480" w14:textId="77777777" w:rsidR="00190D67" w:rsidRPr="006A6FF6" w:rsidRDefault="00190D67" w:rsidP="00862754">
            <w:pPr>
              <w:keepLines/>
              <w:snapToGrid w:val="0"/>
              <w:spacing w:before="40" w:after="40"/>
              <w:jc w:val="center"/>
              <w:rPr>
                <w:rFonts w:eastAsia="新細明體" w:cs="Segoe UI"/>
                <w:sz w:val="17"/>
                <w:szCs w:val="17"/>
                <w:lang w:eastAsia="zh-TW"/>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9192ED" w14:textId="57F38A9D" w:rsidR="00190D67" w:rsidRPr="006A6FF6" w:rsidRDefault="00190D67" w:rsidP="00862754">
            <w:pPr>
              <w:keepLines/>
              <w:snapToGrid w:val="0"/>
              <w:spacing w:before="40" w:after="40"/>
              <w:jc w:val="center"/>
              <w:rPr>
                <w:rFonts w:eastAsia="新細明體" w:cs="Segoe UI"/>
                <w:sz w:val="17"/>
                <w:szCs w:val="17"/>
                <w:lang w:eastAsia="zh-TW"/>
              </w:rPr>
            </w:pPr>
            <w:r w:rsidRPr="006A6FF6">
              <w:rPr>
                <w:rFonts w:eastAsia="新細明體" w:cs="Segoe UI" w:hint="eastAsia"/>
                <w:sz w:val="17"/>
                <w:szCs w:val="17"/>
                <w:lang w:eastAsia="zh-HK"/>
              </w:rPr>
              <w:t>若</w:t>
            </w:r>
            <w:r w:rsidR="00FB44BE" w:rsidRPr="006A6FF6">
              <w:rPr>
                <w:rFonts w:eastAsia="新細明體" w:cs="Segoe UI" w:hint="eastAsia"/>
                <w:sz w:val="17"/>
                <w:szCs w:val="17"/>
                <w:lang w:eastAsia="zh-HK"/>
              </w:rPr>
              <w:t>採</w:t>
            </w:r>
            <w:r w:rsidR="00FB44BE" w:rsidRPr="006A6FF6">
              <w:rPr>
                <w:rFonts w:eastAsia="新細明體" w:cs="Segoe UI" w:hint="eastAsia"/>
                <w:noProof/>
                <w:sz w:val="17"/>
                <w:szCs w:val="17"/>
                <w:lang w:eastAsia="zh-HK"/>
              </w:rPr>
              <w:t>用</w:t>
            </w:r>
            <w:r w:rsidRPr="006A6FF6">
              <w:rPr>
                <w:rFonts w:eastAsia="新細明體" w:cs="Segoe UI" w:hint="eastAsia"/>
                <w:sz w:val="17"/>
                <w:szCs w:val="17"/>
                <w:lang w:eastAsia="zh-HK"/>
              </w:rPr>
              <w:t>標準計算法重計</w:t>
            </w:r>
            <w:r w:rsidRPr="006A6FF6">
              <w:rPr>
                <w:rFonts w:eastAsia="新細明體" w:cs="Segoe UI" w:hint="eastAsia"/>
                <w:sz w:val="17"/>
                <w:szCs w:val="17"/>
                <w:lang w:eastAsia="zh-TW"/>
              </w:rPr>
              <w:t>(a)</w:t>
            </w:r>
            <w:r w:rsidRPr="006A6FF6">
              <w:rPr>
                <w:rFonts w:eastAsia="新細明體" w:cs="Segoe UI" w:hint="eastAsia"/>
                <w:sz w:val="17"/>
                <w:szCs w:val="17"/>
                <w:lang w:eastAsia="zh-HK"/>
              </w:rPr>
              <w:t>欄的風險加權數額</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BE74D2" w14:textId="35198C17" w:rsidR="00190D67" w:rsidRPr="006A6FF6" w:rsidRDefault="00395FDD" w:rsidP="00862754">
            <w:pPr>
              <w:keepLines/>
              <w:snapToGrid w:val="0"/>
              <w:spacing w:before="40" w:after="40"/>
              <w:jc w:val="center"/>
              <w:rPr>
                <w:rFonts w:eastAsia="新細明體" w:cs="Segoe UI"/>
                <w:noProof/>
                <w:sz w:val="17"/>
                <w:szCs w:val="17"/>
                <w:lang w:eastAsia="zh-TW"/>
              </w:rPr>
            </w:pPr>
            <w:r w:rsidRPr="006A6FF6">
              <w:rPr>
                <w:rFonts w:eastAsia="新細明體" w:cs="Segoe UI" w:hint="eastAsia"/>
                <w:noProof/>
                <w:sz w:val="17"/>
                <w:szCs w:val="17"/>
                <w:lang w:eastAsia="zh-HK"/>
              </w:rPr>
              <w:t>總</w:t>
            </w:r>
            <w:r w:rsidR="00190D67" w:rsidRPr="006A6FF6">
              <w:rPr>
                <w:rFonts w:eastAsia="新細明體" w:cs="Segoe UI" w:hint="eastAsia"/>
                <w:noProof/>
                <w:sz w:val="17"/>
                <w:szCs w:val="17"/>
                <w:lang w:eastAsia="zh-HK"/>
              </w:rPr>
              <w:t>實際風險加權數額</w:t>
            </w:r>
            <w:r w:rsidR="00190D67" w:rsidRPr="006A6FF6">
              <w:rPr>
                <w:rFonts w:eastAsia="新細明體" w:cs="Segoe UI"/>
                <w:noProof/>
                <w:sz w:val="17"/>
                <w:szCs w:val="17"/>
                <w:lang w:eastAsia="zh-TW"/>
              </w:rPr>
              <w:t xml:space="preserve"> </w:t>
            </w:r>
          </w:p>
          <w:p w14:paraId="1A949D9E" w14:textId="31017D8C" w:rsidR="00190D67" w:rsidRPr="006A6FF6" w:rsidRDefault="00BC3FE4" w:rsidP="00636BAB">
            <w:pPr>
              <w:keepLines/>
              <w:snapToGrid w:val="0"/>
              <w:spacing w:before="40" w:after="40"/>
              <w:jc w:val="center"/>
              <w:rPr>
                <w:rFonts w:eastAsia="新細明體" w:cs="Segoe UI"/>
                <w:noProof/>
                <w:sz w:val="17"/>
                <w:szCs w:val="17"/>
                <w:lang w:eastAsia="zh-TW"/>
              </w:rPr>
            </w:pPr>
            <w:r w:rsidRPr="006A6FF6">
              <w:rPr>
                <w:rFonts w:eastAsia="新細明體" w:cs="Segoe UI" w:hint="eastAsia"/>
                <w:sz w:val="17"/>
                <w:lang w:eastAsia="zh-HK"/>
              </w:rPr>
              <w:t>（</w:t>
            </w:r>
            <w:r w:rsidR="00190D67" w:rsidRPr="006A6FF6">
              <w:rPr>
                <w:rFonts w:eastAsia="新細明體" w:cs="Segoe UI" w:hint="eastAsia"/>
                <w:noProof/>
                <w:sz w:val="17"/>
                <w:szCs w:val="17"/>
                <w:lang w:eastAsia="zh-HK"/>
              </w:rPr>
              <w:t>即認可機構</w:t>
            </w:r>
            <w:r w:rsidR="00636BAB" w:rsidRPr="006A6FF6">
              <w:rPr>
                <w:rFonts w:eastAsia="新細明體" w:cs="Segoe UI" w:hint="eastAsia"/>
                <w:noProof/>
                <w:sz w:val="17"/>
                <w:szCs w:val="17"/>
                <w:lang w:eastAsia="zh-HK"/>
              </w:rPr>
              <w:t>按</w:t>
            </w:r>
            <w:r w:rsidR="00190D67" w:rsidRPr="006A6FF6">
              <w:rPr>
                <w:rFonts w:eastAsia="新細明體" w:cs="Segoe UI" w:hint="eastAsia"/>
                <w:noProof/>
                <w:sz w:val="17"/>
                <w:szCs w:val="17"/>
                <w:lang w:eastAsia="zh-HK"/>
              </w:rPr>
              <w:t>現</w:t>
            </w:r>
            <w:r w:rsidR="00FB44BE" w:rsidRPr="006A6FF6">
              <w:rPr>
                <w:rFonts w:eastAsia="新細明體" w:cs="Segoe UI" w:hint="eastAsia"/>
                <w:noProof/>
                <w:sz w:val="17"/>
                <w:szCs w:val="17"/>
                <w:lang w:eastAsia="zh-HK"/>
              </w:rPr>
              <w:t>時</w:t>
            </w:r>
            <w:r w:rsidR="00190D67" w:rsidRPr="006A6FF6">
              <w:rPr>
                <w:rFonts w:eastAsia="新細明體" w:cs="Segoe UI" w:hint="eastAsia"/>
                <w:noProof/>
                <w:sz w:val="17"/>
                <w:szCs w:val="17"/>
                <w:lang w:eastAsia="zh-HK"/>
              </w:rPr>
              <w:t>規定填報的風險加權數額</w:t>
            </w:r>
            <w:r w:rsidR="00BD228C" w:rsidRPr="006A6FF6">
              <w:rPr>
                <w:rFonts w:ascii="新細明體" w:eastAsia="新細明體" w:hAnsi="新細明體" w:cs="Segoe UI" w:hint="eastAsia"/>
                <w:sz w:val="17"/>
                <w:szCs w:val="17"/>
                <w:lang w:eastAsia="zh-TW"/>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6F7DA8" w14:textId="3917C1F6" w:rsidR="00190D67" w:rsidRPr="006A6FF6" w:rsidRDefault="00395FDD" w:rsidP="00862754">
            <w:pPr>
              <w:keepLines/>
              <w:snapToGrid w:val="0"/>
              <w:spacing w:before="40" w:after="40"/>
              <w:jc w:val="center"/>
              <w:rPr>
                <w:rFonts w:eastAsia="新細明體" w:cs="Segoe UI"/>
                <w:noProof/>
                <w:sz w:val="17"/>
                <w:szCs w:val="17"/>
                <w:lang w:eastAsia="zh-TW"/>
              </w:rPr>
            </w:pPr>
            <w:r w:rsidRPr="006A6FF6">
              <w:rPr>
                <w:rFonts w:eastAsia="新細明體" w:cs="Segoe UI" w:hint="eastAsia"/>
                <w:sz w:val="17"/>
                <w:szCs w:val="17"/>
                <w:lang w:eastAsia="zh-HK"/>
              </w:rPr>
              <w:t>採</w:t>
            </w:r>
            <w:r w:rsidR="00190D67" w:rsidRPr="006A6FF6">
              <w:rPr>
                <w:rFonts w:eastAsia="新細明體" w:cs="Segoe UI" w:hint="eastAsia"/>
                <w:noProof/>
                <w:sz w:val="17"/>
                <w:szCs w:val="17"/>
                <w:lang w:eastAsia="zh-HK"/>
              </w:rPr>
              <w:t>用全</w:t>
            </w:r>
            <w:r w:rsidR="005A1A2F" w:rsidRPr="006A6FF6">
              <w:rPr>
                <w:rFonts w:eastAsia="新細明體" w:cs="Segoe UI" w:hint="eastAsia"/>
                <w:noProof/>
                <w:sz w:val="17"/>
                <w:szCs w:val="17"/>
                <w:lang w:eastAsia="zh-HK"/>
              </w:rPr>
              <w:t>面</w:t>
            </w:r>
            <w:r w:rsidR="00190D67" w:rsidRPr="006A6FF6">
              <w:rPr>
                <w:rFonts w:eastAsia="新細明體" w:cs="Segoe UI" w:hint="eastAsia"/>
                <w:noProof/>
                <w:sz w:val="17"/>
                <w:szCs w:val="17"/>
                <w:lang w:eastAsia="zh-HK"/>
              </w:rPr>
              <w:t>標準計算法計算的風險加權數額</w:t>
            </w:r>
          </w:p>
          <w:p w14:paraId="1A3465E8" w14:textId="5F78C3DF" w:rsidR="00190D67" w:rsidRPr="006A6FF6" w:rsidRDefault="00BC3FE4" w:rsidP="00862754">
            <w:pPr>
              <w:keepLines/>
              <w:snapToGrid w:val="0"/>
              <w:spacing w:before="40" w:after="40"/>
              <w:jc w:val="center"/>
              <w:rPr>
                <w:rFonts w:eastAsia="新細明體" w:cs="Segoe UI"/>
                <w:noProof/>
                <w:sz w:val="17"/>
                <w:szCs w:val="17"/>
                <w:lang w:eastAsia="zh-TW"/>
              </w:rPr>
            </w:pPr>
            <w:r w:rsidRPr="006A6FF6">
              <w:rPr>
                <w:rFonts w:eastAsia="新細明體" w:cs="Segoe UI" w:hint="eastAsia"/>
                <w:sz w:val="17"/>
                <w:lang w:eastAsia="zh-HK"/>
              </w:rPr>
              <w:t>（</w:t>
            </w:r>
            <w:r w:rsidR="00190D67" w:rsidRPr="006A6FF6">
              <w:rPr>
                <w:rFonts w:eastAsia="新細明體" w:cs="Segoe UI" w:hint="eastAsia"/>
                <w:noProof/>
                <w:sz w:val="17"/>
                <w:szCs w:val="17"/>
                <w:lang w:eastAsia="zh-HK"/>
              </w:rPr>
              <w:t>即用</w:t>
            </w:r>
            <w:r w:rsidR="005A1A2F" w:rsidRPr="006A6FF6">
              <w:rPr>
                <w:rFonts w:eastAsia="新細明體" w:cs="Segoe UI" w:hint="eastAsia"/>
                <w:noProof/>
                <w:sz w:val="17"/>
                <w:szCs w:val="17"/>
                <w:lang w:eastAsia="zh-HK"/>
              </w:rPr>
              <w:t>於</w:t>
            </w:r>
            <w:r w:rsidR="00190D67" w:rsidRPr="006A6FF6">
              <w:rPr>
                <w:rFonts w:eastAsia="新細明體" w:cs="Segoe UI" w:hint="eastAsia"/>
                <w:noProof/>
                <w:sz w:val="17"/>
                <w:szCs w:val="17"/>
                <w:lang w:eastAsia="zh-HK"/>
              </w:rPr>
              <w:t>計算出項下限的風險加權數額</w:t>
            </w:r>
            <w:r w:rsidR="00BD228C" w:rsidRPr="006A6FF6">
              <w:rPr>
                <w:rFonts w:ascii="新細明體" w:eastAsia="新細明體" w:hAnsi="新細明體" w:cs="Segoe UI" w:hint="eastAsia"/>
                <w:sz w:val="17"/>
                <w:szCs w:val="17"/>
                <w:lang w:eastAsia="zh-TW"/>
              </w:rPr>
              <w:t>）</w:t>
            </w:r>
          </w:p>
        </w:tc>
      </w:tr>
      <w:tr w:rsidR="00883F2A" w:rsidRPr="006A6FF6" w14:paraId="52F34E73" w14:textId="77777777" w:rsidTr="00983159">
        <w:tc>
          <w:tcPr>
            <w:tcW w:w="567" w:type="dxa"/>
            <w:tcBorders>
              <w:top w:val="single" w:sz="4" w:space="0" w:color="auto"/>
              <w:left w:val="nil"/>
              <w:right w:val="single" w:sz="4" w:space="0" w:color="auto"/>
            </w:tcBorders>
          </w:tcPr>
          <w:p w14:paraId="27640282" w14:textId="77777777" w:rsidR="00190D67" w:rsidRPr="006A6FF6" w:rsidRDefault="00190D67" w:rsidP="00862754">
            <w:pPr>
              <w:keepLines/>
              <w:tabs>
                <w:tab w:val="left" w:pos="150"/>
                <w:tab w:val="left" w:pos="397"/>
                <w:tab w:val="left" w:pos="794"/>
                <w:tab w:val="left" w:pos="1191"/>
              </w:tabs>
              <w:snapToGrid w:val="0"/>
              <w:spacing w:before="20" w:after="20"/>
              <w:rPr>
                <w:rFonts w:eastAsia="新細明體" w:cs="Segoe UI"/>
                <w:sz w:val="17"/>
                <w:szCs w:val="17"/>
                <w:lang w:eastAsia="en-GB"/>
              </w:rPr>
            </w:pPr>
            <w:r w:rsidRPr="006A6FF6">
              <w:rPr>
                <w:rFonts w:eastAsia="新細明體" w:cs="Segoe UI"/>
                <w:sz w:val="17"/>
                <w:szCs w:val="17"/>
                <w:lang w:eastAsia="en-GB"/>
              </w:rPr>
              <w:t>1</w:t>
            </w:r>
          </w:p>
        </w:tc>
        <w:tc>
          <w:tcPr>
            <w:tcW w:w="2835" w:type="dxa"/>
            <w:tcBorders>
              <w:top w:val="single" w:sz="4" w:space="0" w:color="auto"/>
              <w:left w:val="single" w:sz="4" w:space="0" w:color="auto"/>
              <w:right w:val="single" w:sz="4" w:space="0" w:color="auto"/>
            </w:tcBorders>
          </w:tcPr>
          <w:p w14:paraId="42C0F7FD" w14:textId="77777777" w:rsidR="00190D67" w:rsidRPr="006A6FF6" w:rsidRDefault="00190D67" w:rsidP="00862754">
            <w:pPr>
              <w:keepLines/>
              <w:tabs>
                <w:tab w:val="left" w:pos="397"/>
                <w:tab w:val="left" w:pos="794"/>
                <w:tab w:val="left" w:pos="1191"/>
              </w:tabs>
              <w:snapToGrid w:val="0"/>
              <w:spacing w:before="20" w:after="20"/>
              <w:rPr>
                <w:rFonts w:eastAsia="新細明體" w:cs="Segoe UI"/>
                <w:noProof/>
                <w:sz w:val="17"/>
                <w:szCs w:val="17"/>
                <w:lang w:eastAsia="en-GB"/>
              </w:rPr>
            </w:pPr>
            <w:r w:rsidRPr="006A6FF6">
              <w:rPr>
                <w:rFonts w:eastAsia="新細明體" w:cs="Segoe UI" w:hint="eastAsia"/>
                <w:sz w:val="17"/>
                <w:szCs w:val="17"/>
                <w:lang w:eastAsia="zh-HK"/>
              </w:rPr>
              <w:t>官方實體風險承擔</w:t>
            </w:r>
            <w:r w:rsidRPr="006A6FF6">
              <w:rPr>
                <w:rFonts w:eastAsia="新細明體" w:cs="Segoe UI"/>
                <w:sz w:val="17"/>
                <w:szCs w:val="17"/>
                <w:lang w:eastAsia="en-GB"/>
              </w:rPr>
              <w:t xml:space="preserve"> </w:t>
            </w:r>
          </w:p>
        </w:tc>
        <w:tc>
          <w:tcPr>
            <w:tcW w:w="1418" w:type="dxa"/>
            <w:tcBorders>
              <w:top w:val="single" w:sz="4" w:space="0" w:color="auto"/>
              <w:left w:val="single" w:sz="4" w:space="0" w:color="auto"/>
              <w:bottom w:val="single" w:sz="4" w:space="0" w:color="BFBFBF"/>
              <w:right w:val="single" w:sz="4" w:space="0" w:color="auto"/>
            </w:tcBorders>
            <w:shd w:val="clear" w:color="auto" w:fill="FFFFFF"/>
          </w:tcPr>
          <w:p w14:paraId="7FF678AD"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2D8087E6"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276" w:type="dxa"/>
            <w:tcBorders>
              <w:top w:val="single" w:sz="4" w:space="0" w:color="auto"/>
              <w:left w:val="single" w:sz="4" w:space="0" w:color="auto"/>
              <w:bottom w:val="single" w:sz="4" w:space="0" w:color="BFBFBF"/>
              <w:right w:val="single" w:sz="4" w:space="0" w:color="auto"/>
            </w:tcBorders>
            <w:shd w:val="clear" w:color="auto" w:fill="FFFFFF"/>
          </w:tcPr>
          <w:p w14:paraId="36EA508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562134CC"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r>
      <w:tr w:rsidR="00883F2A" w:rsidRPr="006A6FF6" w14:paraId="44DDF69E" w14:textId="77777777" w:rsidTr="00983159">
        <w:tc>
          <w:tcPr>
            <w:tcW w:w="567" w:type="dxa"/>
            <w:tcBorders>
              <w:top w:val="single" w:sz="4" w:space="0" w:color="auto"/>
              <w:left w:val="nil"/>
              <w:right w:val="single" w:sz="4" w:space="0" w:color="auto"/>
            </w:tcBorders>
          </w:tcPr>
          <w:p w14:paraId="5B157189" w14:textId="77777777" w:rsidR="00190D67" w:rsidRPr="006A6FF6" w:rsidRDefault="00190D67" w:rsidP="00862754">
            <w:pPr>
              <w:keepLines/>
              <w:tabs>
                <w:tab w:val="left" w:pos="150"/>
                <w:tab w:val="left" w:pos="397"/>
                <w:tab w:val="left" w:pos="794"/>
                <w:tab w:val="left" w:pos="1191"/>
              </w:tabs>
              <w:snapToGrid w:val="0"/>
              <w:spacing w:before="20" w:after="20"/>
              <w:rPr>
                <w:rFonts w:eastAsia="新細明體" w:cs="Segoe UI"/>
                <w:sz w:val="17"/>
                <w:szCs w:val="17"/>
                <w:lang w:eastAsia="en-GB"/>
              </w:rPr>
            </w:pPr>
            <w:r w:rsidRPr="006A6FF6">
              <w:rPr>
                <w:rFonts w:eastAsia="新細明體" w:cs="Segoe UI"/>
                <w:sz w:val="17"/>
                <w:szCs w:val="17"/>
                <w:lang w:eastAsia="en-GB"/>
              </w:rPr>
              <w:t>1a</w:t>
            </w:r>
          </w:p>
        </w:tc>
        <w:tc>
          <w:tcPr>
            <w:tcW w:w="2835" w:type="dxa"/>
            <w:tcBorders>
              <w:top w:val="single" w:sz="4" w:space="0" w:color="auto"/>
              <w:left w:val="single" w:sz="4" w:space="0" w:color="auto"/>
              <w:right w:val="single" w:sz="4" w:space="0" w:color="auto"/>
            </w:tcBorders>
          </w:tcPr>
          <w:p w14:paraId="60B173DA" w14:textId="77777777" w:rsidR="00190D67" w:rsidRPr="006A6FF6" w:rsidRDefault="00190D67" w:rsidP="00862754">
            <w:pPr>
              <w:keepLines/>
              <w:widowControl w:val="0"/>
              <w:tabs>
                <w:tab w:val="left" w:pos="397"/>
                <w:tab w:val="left" w:pos="794"/>
                <w:tab w:val="left" w:pos="1191"/>
              </w:tabs>
              <w:snapToGrid w:val="0"/>
              <w:spacing w:before="20" w:after="20"/>
              <w:ind w:left="353"/>
              <w:rPr>
                <w:rFonts w:eastAsia="新細明體" w:cs="Segoe UI"/>
                <w:sz w:val="17"/>
                <w:szCs w:val="17"/>
                <w:lang w:eastAsia="zh-TW"/>
              </w:rPr>
            </w:pPr>
            <w:r w:rsidRPr="006A6FF6">
              <w:rPr>
                <w:rFonts w:eastAsia="新細明體" w:cs="Segoe UI"/>
                <w:sz w:val="17"/>
                <w:szCs w:val="17"/>
                <w:lang w:eastAsia="zh-TW"/>
              </w:rPr>
              <w:t>其中：</w:t>
            </w:r>
            <w:r w:rsidRPr="006A6FF6">
              <w:rPr>
                <w:rFonts w:eastAsia="新細明體" w:cs="Segoe UI" w:hint="eastAsia"/>
                <w:sz w:val="17"/>
                <w:szCs w:val="17"/>
                <w:lang w:eastAsia="zh-HK"/>
              </w:rPr>
              <w:t>在</w:t>
            </w:r>
            <w:r w:rsidRPr="006A6FF6">
              <w:rPr>
                <w:rFonts w:eastAsia="新細明體" w:cs="Segoe UI"/>
                <w:sz w:val="17"/>
                <w:szCs w:val="17"/>
                <w:lang w:eastAsia="zh-TW"/>
              </w:rPr>
              <w:t>STC</w:t>
            </w:r>
            <w:r w:rsidRPr="006A6FF6">
              <w:rPr>
                <w:rFonts w:eastAsia="新細明體" w:cs="Segoe UI" w:hint="eastAsia"/>
                <w:sz w:val="17"/>
                <w:szCs w:val="17"/>
                <w:lang w:eastAsia="zh-HK"/>
              </w:rPr>
              <w:t>計算法下歸類為公營單位風險承擔及多邊發展銀行風險承擔</w:t>
            </w:r>
          </w:p>
        </w:tc>
        <w:tc>
          <w:tcPr>
            <w:tcW w:w="1418" w:type="dxa"/>
            <w:tcBorders>
              <w:top w:val="single" w:sz="4" w:space="0" w:color="auto"/>
              <w:left w:val="single" w:sz="4" w:space="0" w:color="auto"/>
              <w:bottom w:val="single" w:sz="4" w:space="0" w:color="BFBFBF"/>
              <w:right w:val="single" w:sz="4" w:space="0" w:color="auto"/>
            </w:tcBorders>
            <w:shd w:val="clear" w:color="auto" w:fill="FFFFFF"/>
          </w:tcPr>
          <w:p w14:paraId="12B65F4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797285B4"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auto"/>
              <w:left w:val="single" w:sz="4" w:space="0" w:color="auto"/>
              <w:bottom w:val="single" w:sz="4" w:space="0" w:color="BFBFBF"/>
              <w:right w:val="single" w:sz="4" w:space="0" w:color="auto"/>
            </w:tcBorders>
            <w:shd w:val="clear" w:color="auto" w:fill="FFFFFF"/>
          </w:tcPr>
          <w:p w14:paraId="398032D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auto"/>
              <w:left w:val="single" w:sz="4" w:space="0" w:color="auto"/>
              <w:bottom w:val="single" w:sz="4" w:space="0" w:color="BFBFBF"/>
              <w:right w:val="single" w:sz="4" w:space="0" w:color="auto"/>
            </w:tcBorders>
            <w:shd w:val="clear" w:color="auto" w:fill="FFFFFF"/>
          </w:tcPr>
          <w:p w14:paraId="062B440A"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39951215" w14:textId="77777777" w:rsidTr="00983159">
        <w:tc>
          <w:tcPr>
            <w:tcW w:w="567" w:type="dxa"/>
            <w:tcBorders>
              <w:left w:val="nil"/>
              <w:right w:val="single" w:sz="4" w:space="0" w:color="auto"/>
            </w:tcBorders>
          </w:tcPr>
          <w:p w14:paraId="124AF414"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r w:rsidRPr="006A6FF6">
              <w:rPr>
                <w:rFonts w:eastAsia="新細明體" w:cs="Segoe UI"/>
                <w:sz w:val="17"/>
                <w:szCs w:val="17"/>
                <w:lang w:eastAsia="en-GB"/>
              </w:rPr>
              <w:t>2</w:t>
            </w:r>
          </w:p>
        </w:tc>
        <w:tc>
          <w:tcPr>
            <w:tcW w:w="2835" w:type="dxa"/>
            <w:tcBorders>
              <w:left w:val="single" w:sz="4" w:space="0" w:color="auto"/>
              <w:right w:val="single" w:sz="4" w:space="0" w:color="auto"/>
            </w:tcBorders>
          </w:tcPr>
          <w:p w14:paraId="60824D3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hint="eastAsia"/>
                <w:sz w:val="17"/>
                <w:szCs w:val="17"/>
                <w:lang w:eastAsia="zh-HK"/>
              </w:rPr>
              <w:t>銀行風險承擔</w:t>
            </w:r>
            <w:r w:rsidRPr="006A6FF6">
              <w:rPr>
                <w:rFonts w:eastAsia="新細明體" w:cs="Segoe UI"/>
                <w:sz w:val="17"/>
                <w:szCs w:val="17"/>
                <w:lang w:eastAsia="zh-TW"/>
              </w:rPr>
              <w:t xml:space="preserve"> </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01D97920"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F0865F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503B9390"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898D0F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17AF71B6" w14:textId="77777777" w:rsidTr="00983159">
        <w:tc>
          <w:tcPr>
            <w:tcW w:w="567" w:type="dxa"/>
            <w:tcBorders>
              <w:left w:val="nil"/>
              <w:right w:val="single" w:sz="4" w:space="0" w:color="auto"/>
            </w:tcBorders>
          </w:tcPr>
          <w:p w14:paraId="26E3899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r w:rsidRPr="006A6FF6">
              <w:rPr>
                <w:rFonts w:eastAsia="新細明體" w:cs="Segoe UI"/>
                <w:sz w:val="17"/>
                <w:szCs w:val="17"/>
                <w:lang w:eastAsia="en-GB"/>
              </w:rPr>
              <w:t>3</w:t>
            </w:r>
          </w:p>
        </w:tc>
        <w:tc>
          <w:tcPr>
            <w:tcW w:w="2835" w:type="dxa"/>
            <w:tcBorders>
              <w:left w:val="single" w:sz="4" w:space="0" w:color="auto"/>
              <w:right w:val="single" w:sz="4" w:space="0" w:color="auto"/>
            </w:tcBorders>
          </w:tcPr>
          <w:p w14:paraId="0223520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r w:rsidRPr="006A6FF6">
              <w:rPr>
                <w:rFonts w:eastAsia="新細明體" w:cs="Segoe UI" w:hint="eastAsia"/>
                <w:sz w:val="17"/>
                <w:szCs w:val="17"/>
                <w:lang w:eastAsia="zh-HK"/>
              </w:rPr>
              <w:t>股權</w:t>
            </w:r>
          </w:p>
        </w:tc>
        <w:tc>
          <w:tcPr>
            <w:tcW w:w="1418" w:type="dxa"/>
            <w:tcBorders>
              <w:top w:val="single" w:sz="4" w:space="0" w:color="BFBFBF"/>
              <w:left w:val="single" w:sz="4" w:space="0" w:color="auto"/>
              <w:bottom w:val="single" w:sz="4" w:space="0" w:color="BFBFBF"/>
              <w:right w:val="single" w:sz="4" w:space="0" w:color="auto"/>
            </w:tcBorders>
            <w:shd w:val="clear" w:color="auto" w:fill="D0CECE"/>
          </w:tcPr>
          <w:p w14:paraId="200DE7E0"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D0CECE"/>
          </w:tcPr>
          <w:p w14:paraId="50854B5A"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24A8976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2C5573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r>
      <w:tr w:rsidR="001B39FD" w:rsidRPr="006A6FF6" w14:paraId="387C28EA" w14:textId="77777777" w:rsidTr="00983159">
        <w:tc>
          <w:tcPr>
            <w:tcW w:w="567" w:type="dxa"/>
            <w:tcBorders>
              <w:left w:val="nil"/>
              <w:right w:val="single" w:sz="4" w:space="0" w:color="auto"/>
            </w:tcBorders>
          </w:tcPr>
          <w:p w14:paraId="40AA047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4</w:t>
            </w:r>
          </w:p>
        </w:tc>
        <w:tc>
          <w:tcPr>
            <w:tcW w:w="2835" w:type="dxa"/>
            <w:tcBorders>
              <w:left w:val="single" w:sz="4" w:space="0" w:color="auto"/>
              <w:right w:val="single" w:sz="4" w:space="0" w:color="auto"/>
            </w:tcBorders>
          </w:tcPr>
          <w:p w14:paraId="557B4A83" w14:textId="6A17D659"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roofErr w:type="gramStart"/>
            <w:r w:rsidRPr="006A6FF6">
              <w:rPr>
                <w:rFonts w:eastAsia="新細明體" w:cs="Segoe UI" w:hint="eastAsia"/>
                <w:sz w:val="17"/>
                <w:szCs w:val="17"/>
                <w:lang w:eastAsia="zh-TW"/>
              </w:rPr>
              <w:t>法團風險</w:t>
            </w:r>
            <w:proofErr w:type="gramEnd"/>
            <w:r w:rsidRPr="006A6FF6">
              <w:rPr>
                <w:rFonts w:eastAsia="新細明體" w:cs="Segoe UI" w:hint="eastAsia"/>
                <w:sz w:val="17"/>
                <w:szCs w:val="17"/>
                <w:lang w:eastAsia="zh-TW"/>
              </w:rPr>
              <w:t>承擔</w:t>
            </w:r>
            <w:r w:rsidR="00BC3FE4" w:rsidRPr="006A6FF6">
              <w:rPr>
                <w:rFonts w:eastAsia="新細明體" w:cs="Segoe UI" w:hint="eastAsia"/>
                <w:sz w:val="17"/>
                <w:lang w:eastAsia="zh-HK"/>
              </w:rPr>
              <w:t>（</w:t>
            </w:r>
            <w:r w:rsidRPr="006A6FF6">
              <w:rPr>
                <w:rFonts w:eastAsia="新細明體" w:cs="Segoe UI" w:hint="eastAsia"/>
                <w:sz w:val="17"/>
                <w:szCs w:val="17"/>
                <w:lang w:eastAsia="zh-HK"/>
              </w:rPr>
              <w:t>不包括專門性借貸</w:t>
            </w:r>
            <w:r w:rsidR="00BD228C" w:rsidRPr="006A6FF6">
              <w:rPr>
                <w:rFonts w:ascii="新細明體" w:eastAsia="新細明體" w:hAnsi="新細明體" w:cs="Segoe UI" w:hint="eastAsia"/>
                <w:sz w:val="17"/>
                <w:szCs w:val="17"/>
                <w:lang w:eastAsia="zh-TW"/>
              </w:rPr>
              <w:t>）</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75E65D4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19556E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79334A7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FBC5E58"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63BED575" w14:textId="77777777" w:rsidTr="00983159">
        <w:tc>
          <w:tcPr>
            <w:tcW w:w="567" w:type="dxa"/>
            <w:tcBorders>
              <w:left w:val="nil"/>
              <w:right w:val="single" w:sz="4" w:space="0" w:color="auto"/>
            </w:tcBorders>
          </w:tcPr>
          <w:p w14:paraId="0E3A75C6"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4a</w:t>
            </w:r>
          </w:p>
        </w:tc>
        <w:tc>
          <w:tcPr>
            <w:tcW w:w="2835" w:type="dxa"/>
            <w:tcBorders>
              <w:left w:val="single" w:sz="4" w:space="0" w:color="auto"/>
              <w:right w:val="single" w:sz="4" w:space="0" w:color="auto"/>
            </w:tcBorders>
          </w:tcPr>
          <w:p w14:paraId="73C4DB75" w14:textId="6C8BD393" w:rsidR="00190D67" w:rsidRPr="006A6FF6" w:rsidRDefault="00190D67" w:rsidP="00D97018">
            <w:pPr>
              <w:keepLines/>
              <w:widowControl w:val="0"/>
              <w:tabs>
                <w:tab w:val="left" w:pos="397"/>
                <w:tab w:val="left" w:pos="794"/>
                <w:tab w:val="left" w:pos="1191"/>
              </w:tabs>
              <w:snapToGrid w:val="0"/>
              <w:spacing w:before="20" w:after="20"/>
              <w:ind w:firstLine="323"/>
              <w:rPr>
                <w:rFonts w:eastAsia="新細明體" w:cs="Segoe UI"/>
                <w:sz w:val="17"/>
                <w:szCs w:val="17"/>
                <w:lang w:eastAsia="zh-TW"/>
              </w:rPr>
            </w:pPr>
            <w:r w:rsidRPr="006A6FF6">
              <w:rPr>
                <w:rFonts w:eastAsia="新細明體" w:cs="Segoe UI"/>
                <w:sz w:val="17"/>
                <w:szCs w:val="17"/>
                <w:lang w:eastAsia="zh-TW"/>
              </w:rPr>
              <w:t>其中：</w:t>
            </w:r>
            <w:r w:rsidRPr="006A6FF6">
              <w:rPr>
                <w:rFonts w:eastAsia="新細明體" w:cs="Segoe UI" w:hint="eastAsia"/>
                <w:sz w:val="17"/>
                <w:szCs w:val="17"/>
                <w:lang w:eastAsia="zh-HK"/>
              </w:rPr>
              <w:t>採用</w:t>
            </w:r>
            <w:r w:rsidR="00651F10" w:rsidRPr="006A6FF6">
              <w:rPr>
                <w:rFonts w:eastAsia="新細明體" w:cs="Segoe UI" w:hint="eastAsia"/>
                <w:sz w:val="17"/>
                <w:szCs w:val="17"/>
                <w:lang w:eastAsia="zh-HK"/>
              </w:rPr>
              <w:t>基礎</w:t>
            </w:r>
            <w:r w:rsidR="00651F10" w:rsidRPr="006A6FF6">
              <w:rPr>
                <w:rFonts w:eastAsia="新細明體" w:cs="Segoe UI"/>
                <w:sz w:val="17"/>
                <w:szCs w:val="17"/>
                <w:lang w:eastAsia="zh-HK"/>
              </w:rPr>
              <w:t>IRB</w:t>
            </w:r>
            <w:r w:rsidR="00575D9E" w:rsidRPr="006A6FF6">
              <w:rPr>
                <w:rFonts w:eastAsia="新細明體" w:cs="Segoe UI" w:hint="eastAsia"/>
                <w:sz w:val="17"/>
                <w:szCs w:val="17"/>
                <w:lang w:eastAsia="zh-HK"/>
              </w:rPr>
              <w:t>計算法</w:t>
            </w:r>
            <w:r w:rsidRPr="006A6FF6">
              <w:rPr>
                <w:rFonts w:eastAsia="新細明體" w:cs="Segoe UI"/>
                <w:sz w:val="17"/>
                <w:szCs w:val="17"/>
                <w:lang w:eastAsia="zh-TW"/>
              </w:rPr>
              <w:t xml:space="preserve"> </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2240FFD"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C8639C0"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6462303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5E1D54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57B0C7B4" w14:textId="77777777" w:rsidTr="00983159">
        <w:tc>
          <w:tcPr>
            <w:tcW w:w="567" w:type="dxa"/>
            <w:tcBorders>
              <w:left w:val="nil"/>
              <w:right w:val="single" w:sz="4" w:space="0" w:color="auto"/>
            </w:tcBorders>
          </w:tcPr>
          <w:p w14:paraId="2B0FE836"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4b</w:t>
            </w:r>
          </w:p>
        </w:tc>
        <w:tc>
          <w:tcPr>
            <w:tcW w:w="2835" w:type="dxa"/>
            <w:tcBorders>
              <w:left w:val="single" w:sz="4" w:space="0" w:color="auto"/>
              <w:right w:val="single" w:sz="4" w:space="0" w:color="auto"/>
            </w:tcBorders>
          </w:tcPr>
          <w:p w14:paraId="1C4C1904" w14:textId="4B40944E" w:rsidR="00190D67" w:rsidRPr="006A6FF6" w:rsidRDefault="00190D67" w:rsidP="00D97018">
            <w:pPr>
              <w:keepLines/>
              <w:widowControl w:val="0"/>
              <w:tabs>
                <w:tab w:val="left" w:pos="397"/>
                <w:tab w:val="left" w:pos="794"/>
                <w:tab w:val="left" w:pos="1191"/>
              </w:tabs>
              <w:snapToGrid w:val="0"/>
              <w:spacing w:before="20" w:after="20"/>
              <w:ind w:firstLine="323"/>
              <w:rPr>
                <w:rFonts w:eastAsia="新細明體" w:cs="Segoe UI"/>
                <w:sz w:val="17"/>
                <w:szCs w:val="17"/>
                <w:lang w:eastAsia="zh-TW"/>
              </w:rPr>
            </w:pPr>
            <w:r w:rsidRPr="006A6FF6">
              <w:rPr>
                <w:rFonts w:eastAsia="新細明體" w:cs="Segoe UI"/>
                <w:sz w:val="17"/>
                <w:szCs w:val="17"/>
                <w:lang w:eastAsia="zh-TW"/>
              </w:rPr>
              <w:t>其中：</w:t>
            </w:r>
            <w:r w:rsidRPr="006A6FF6">
              <w:rPr>
                <w:rFonts w:eastAsia="新細明體" w:cs="Segoe UI" w:hint="eastAsia"/>
                <w:sz w:val="17"/>
                <w:szCs w:val="17"/>
                <w:lang w:eastAsia="zh-HK"/>
              </w:rPr>
              <w:t>採用</w:t>
            </w:r>
            <w:r w:rsidR="00651F10" w:rsidRPr="006A6FF6">
              <w:rPr>
                <w:rFonts w:eastAsia="新細明體" w:cs="Segoe UI" w:hint="eastAsia"/>
                <w:sz w:val="17"/>
                <w:szCs w:val="17"/>
                <w:lang w:eastAsia="zh-HK"/>
              </w:rPr>
              <w:t>高級</w:t>
            </w:r>
            <w:r w:rsidR="00651F10" w:rsidRPr="006A6FF6">
              <w:rPr>
                <w:rFonts w:eastAsia="新細明體" w:cs="Segoe UI"/>
                <w:sz w:val="17"/>
                <w:szCs w:val="17"/>
                <w:lang w:eastAsia="zh-HK"/>
              </w:rPr>
              <w:t>IRB</w:t>
            </w:r>
            <w:r w:rsidR="00575D9E" w:rsidRPr="006A6FF6">
              <w:rPr>
                <w:rFonts w:eastAsia="新細明體" w:cs="Segoe UI" w:hint="eastAsia"/>
                <w:sz w:val="17"/>
                <w:szCs w:val="17"/>
                <w:lang w:eastAsia="zh-HK"/>
              </w:rPr>
              <w:t>計算法</w:t>
            </w:r>
            <w:r w:rsidRPr="006A6FF6">
              <w:rPr>
                <w:rFonts w:eastAsia="新細明體" w:cs="Segoe UI"/>
                <w:sz w:val="17"/>
                <w:szCs w:val="17"/>
                <w:lang w:eastAsia="zh-TW"/>
              </w:rPr>
              <w:t xml:space="preserve"> </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2E68672D"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64AF014"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33E91B1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0C1038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57E2F2B6" w14:textId="77777777" w:rsidTr="00983159">
        <w:tc>
          <w:tcPr>
            <w:tcW w:w="567" w:type="dxa"/>
            <w:tcBorders>
              <w:left w:val="nil"/>
              <w:right w:val="single" w:sz="4" w:space="0" w:color="auto"/>
            </w:tcBorders>
          </w:tcPr>
          <w:p w14:paraId="33EA1BA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5</w:t>
            </w:r>
          </w:p>
        </w:tc>
        <w:tc>
          <w:tcPr>
            <w:tcW w:w="2835" w:type="dxa"/>
            <w:tcBorders>
              <w:left w:val="single" w:sz="4" w:space="0" w:color="auto"/>
              <w:right w:val="single" w:sz="4" w:space="0" w:color="auto"/>
            </w:tcBorders>
          </w:tcPr>
          <w:p w14:paraId="3734D381" w14:textId="77777777" w:rsidR="00190D67" w:rsidRPr="006A6FF6" w:rsidRDefault="00190D67" w:rsidP="00862754">
            <w:pPr>
              <w:keepLines/>
              <w:tabs>
                <w:tab w:val="left" w:pos="397"/>
                <w:tab w:val="left" w:pos="794"/>
                <w:tab w:val="left" w:pos="1191"/>
              </w:tabs>
              <w:snapToGrid w:val="0"/>
              <w:spacing w:before="20" w:after="20"/>
              <w:rPr>
                <w:rFonts w:eastAsia="新細明體" w:cs="Segoe UI"/>
                <w:noProof/>
                <w:sz w:val="17"/>
                <w:szCs w:val="17"/>
                <w:lang w:eastAsia="en-GB"/>
              </w:rPr>
            </w:pPr>
            <w:r w:rsidRPr="006A6FF6">
              <w:rPr>
                <w:rFonts w:eastAsia="新細明體" w:cs="Segoe UI" w:hint="eastAsia"/>
                <w:sz w:val="17"/>
                <w:szCs w:val="17"/>
                <w:lang w:eastAsia="zh-HK"/>
              </w:rPr>
              <w:t>零售風險承擔</w:t>
            </w:r>
            <w:r w:rsidRPr="006A6FF6">
              <w:rPr>
                <w:rFonts w:eastAsia="新細明體" w:cs="Segoe UI"/>
                <w:sz w:val="17"/>
                <w:szCs w:val="17"/>
                <w:lang w:eastAsia="en-GB"/>
              </w:rPr>
              <w:t xml:space="preserve"> </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00A2C7E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FDC43D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40241F52"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4D26E6C"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r>
      <w:tr w:rsidR="001B39FD" w:rsidRPr="006A6FF6" w14:paraId="4FAB82A7" w14:textId="77777777" w:rsidTr="00983159">
        <w:tc>
          <w:tcPr>
            <w:tcW w:w="567" w:type="dxa"/>
            <w:tcBorders>
              <w:left w:val="nil"/>
              <w:right w:val="single" w:sz="4" w:space="0" w:color="auto"/>
            </w:tcBorders>
          </w:tcPr>
          <w:p w14:paraId="388602EA"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5a</w:t>
            </w:r>
          </w:p>
        </w:tc>
        <w:tc>
          <w:tcPr>
            <w:tcW w:w="2835" w:type="dxa"/>
            <w:tcBorders>
              <w:left w:val="single" w:sz="4" w:space="0" w:color="auto"/>
              <w:right w:val="single" w:sz="4" w:space="0" w:color="auto"/>
            </w:tcBorders>
          </w:tcPr>
          <w:p w14:paraId="082A99D6" w14:textId="77777777" w:rsidR="00190D67" w:rsidRPr="006A6FF6" w:rsidRDefault="00190D67" w:rsidP="00862754">
            <w:pPr>
              <w:keepLines/>
              <w:widowControl w:val="0"/>
              <w:tabs>
                <w:tab w:val="left" w:pos="397"/>
                <w:tab w:val="left" w:pos="794"/>
                <w:tab w:val="left" w:pos="1191"/>
              </w:tabs>
              <w:snapToGrid w:val="0"/>
              <w:spacing w:before="20" w:after="20"/>
              <w:ind w:left="353"/>
              <w:rPr>
                <w:rFonts w:eastAsia="新細明體" w:cs="Segoe UI"/>
                <w:sz w:val="17"/>
                <w:szCs w:val="17"/>
                <w:lang w:eastAsia="zh-TW"/>
              </w:rPr>
            </w:pPr>
            <w:r w:rsidRPr="006A6FF6">
              <w:rPr>
                <w:rFonts w:eastAsia="新細明體" w:cs="Segoe UI"/>
                <w:sz w:val="17"/>
                <w:szCs w:val="17"/>
                <w:lang w:eastAsia="zh-TW"/>
              </w:rPr>
              <w:t>其中：</w:t>
            </w:r>
            <w:r w:rsidRPr="006A6FF6">
              <w:rPr>
                <w:rFonts w:eastAsia="新細明體" w:cs="Segoe UI" w:hint="eastAsia"/>
                <w:sz w:val="17"/>
                <w:szCs w:val="17"/>
                <w:lang w:eastAsia="zh-TW"/>
              </w:rPr>
              <w:t>合資格循環式零售</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55C5D8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37C6254"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75D4EE0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4BC879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1C382F04" w14:textId="77777777" w:rsidTr="00983159">
        <w:tc>
          <w:tcPr>
            <w:tcW w:w="567" w:type="dxa"/>
            <w:tcBorders>
              <w:left w:val="nil"/>
              <w:right w:val="single" w:sz="4" w:space="0" w:color="auto"/>
            </w:tcBorders>
          </w:tcPr>
          <w:p w14:paraId="01C01ABC"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5b</w:t>
            </w:r>
          </w:p>
        </w:tc>
        <w:tc>
          <w:tcPr>
            <w:tcW w:w="2835" w:type="dxa"/>
            <w:tcBorders>
              <w:left w:val="single" w:sz="4" w:space="0" w:color="auto"/>
              <w:right w:val="single" w:sz="4" w:space="0" w:color="auto"/>
            </w:tcBorders>
          </w:tcPr>
          <w:p w14:paraId="250C949F" w14:textId="27EB24DA" w:rsidR="00190D67" w:rsidRPr="006A6FF6" w:rsidRDefault="00190D67" w:rsidP="00F9408C">
            <w:pPr>
              <w:keepLines/>
              <w:widowControl w:val="0"/>
              <w:tabs>
                <w:tab w:val="left" w:pos="397"/>
                <w:tab w:val="left" w:pos="794"/>
                <w:tab w:val="left" w:pos="1191"/>
              </w:tabs>
              <w:snapToGrid w:val="0"/>
              <w:spacing w:before="20" w:after="20"/>
              <w:ind w:left="353"/>
              <w:rPr>
                <w:rFonts w:eastAsia="新細明體" w:cs="Segoe UI"/>
                <w:sz w:val="17"/>
                <w:szCs w:val="17"/>
                <w:lang w:eastAsia="zh-HK"/>
              </w:rPr>
            </w:pPr>
            <w:r w:rsidRPr="006A6FF6">
              <w:rPr>
                <w:rFonts w:eastAsia="新細明體" w:cs="Segoe UI"/>
                <w:sz w:val="17"/>
                <w:szCs w:val="17"/>
                <w:lang w:eastAsia="zh-TW"/>
              </w:rPr>
              <w:t>其中：</w:t>
            </w:r>
            <w:r w:rsidRPr="006A6FF6">
              <w:rPr>
                <w:rFonts w:eastAsia="新細明體" w:cs="Segoe UI" w:hint="eastAsia"/>
                <w:sz w:val="17"/>
                <w:szCs w:val="17"/>
                <w:lang w:eastAsia="zh-HK"/>
              </w:rPr>
              <w:t>其他對個人的零售風險承擔及小型業務零售風險承擔</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EAE57B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1693F3C"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2DABBC96"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306E8D8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605D02A0" w14:textId="77777777" w:rsidTr="00983159">
        <w:tc>
          <w:tcPr>
            <w:tcW w:w="567" w:type="dxa"/>
            <w:tcBorders>
              <w:left w:val="nil"/>
              <w:right w:val="single" w:sz="4" w:space="0" w:color="auto"/>
            </w:tcBorders>
          </w:tcPr>
          <w:p w14:paraId="32705E0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5c</w:t>
            </w:r>
          </w:p>
        </w:tc>
        <w:tc>
          <w:tcPr>
            <w:tcW w:w="2835" w:type="dxa"/>
            <w:tcBorders>
              <w:left w:val="single" w:sz="4" w:space="0" w:color="auto"/>
              <w:right w:val="single" w:sz="4" w:space="0" w:color="auto"/>
            </w:tcBorders>
          </w:tcPr>
          <w:p w14:paraId="1BD5225E" w14:textId="478EB528" w:rsidR="00190D67" w:rsidRPr="006A6FF6" w:rsidRDefault="00190D67" w:rsidP="00862754">
            <w:pPr>
              <w:keepLines/>
              <w:widowControl w:val="0"/>
              <w:tabs>
                <w:tab w:val="left" w:pos="397"/>
                <w:tab w:val="left" w:pos="794"/>
                <w:tab w:val="left" w:pos="1191"/>
              </w:tabs>
              <w:snapToGrid w:val="0"/>
              <w:spacing w:before="20" w:after="20"/>
              <w:ind w:left="353"/>
              <w:rPr>
                <w:rFonts w:eastAsia="新細明體" w:cs="Segoe UI"/>
                <w:sz w:val="17"/>
                <w:szCs w:val="17"/>
                <w:lang w:eastAsia="en-GB"/>
              </w:rPr>
            </w:pPr>
            <w:proofErr w:type="spellStart"/>
            <w:r w:rsidRPr="006A6FF6">
              <w:rPr>
                <w:rFonts w:eastAsia="新細明體" w:cs="Segoe UI"/>
                <w:sz w:val="17"/>
                <w:szCs w:val="17"/>
                <w:lang w:eastAsia="en-GB"/>
              </w:rPr>
              <w:t>其中</w:t>
            </w:r>
            <w:proofErr w:type="spellEnd"/>
            <w:r w:rsidRPr="006A6FF6">
              <w:rPr>
                <w:rFonts w:eastAsia="新細明體" w:cs="Segoe UI"/>
                <w:sz w:val="17"/>
                <w:szCs w:val="17"/>
                <w:lang w:eastAsia="en-GB"/>
              </w:rPr>
              <w:t>：</w:t>
            </w:r>
            <w:r w:rsidRPr="006A6FF6">
              <w:rPr>
                <w:rFonts w:eastAsia="新細明體" w:cs="Segoe UI" w:hint="eastAsia"/>
                <w:sz w:val="17"/>
                <w:szCs w:val="17"/>
                <w:lang w:eastAsia="zh-HK"/>
              </w:rPr>
              <w:t>住宅按揭</w:t>
            </w:r>
            <w:r w:rsidRPr="006A6FF6">
              <w:rPr>
                <w:rFonts w:eastAsia="新細明體" w:cs="Segoe UI"/>
                <w:sz w:val="17"/>
                <w:szCs w:val="17"/>
                <w:lang w:eastAsia="en-GB"/>
              </w:rPr>
              <w:t xml:space="preserve"> </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5A943D7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407362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23B659C8"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259F03A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r>
      <w:tr w:rsidR="001B39FD" w:rsidRPr="006A6FF6" w14:paraId="0C6C3E9F" w14:textId="77777777" w:rsidTr="00983159">
        <w:tc>
          <w:tcPr>
            <w:tcW w:w="567" w:type="dxa"/>
            <w:tcBorders>
              <w:left w:val="nil"/>
              <w:right w:val="single" w:sz="4" w:space="0" w:color="auto"/>
            </w:tcBorders>
          </w:tcPr>
          <w:p w14:paraId="6B3A9AD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6</w:t>
            </w:r>
          </w:p>
        </w:tc>
        <w:tc>
          <w:tcPr>
            <w:tcW w:w="2835" w:type="dxa"/>
            <w:tcBorders>
              <w:left w:val="single" w:sz="4" w:space="0" w:color="auto"/>
              <w:right w:val="single" w:sz="4" w:space="0" w:color="auto"/>
            </w:tcBorders>
          </w:tcPr>
          <w:p w14:paraId="42537829" w14:textId="07864F61"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roofErr w:type="gramStart"/>
            <w:r w:rsidRPr="006A6FF6">
              <w:rPr>
                <w:rFonts w:eastAsia="新細明體" w:cs="Segoe UI" w:hint="eastAsia"/>
                <w:sz w:val="17"/>
                <w:szCs w:val="17"/>
                <w:lang w:eastAsia="zh-TW"/>
              </w:rPr>
              <w:t>法團風險</w:t>
            </w:r>
            <w:proofErr w:type="gramEnd"/>
            <w:r w:rsidRPr="006A6FF6">
              <w:rPr>
                <w:rFonts w:eastAsia="新細明體" w:cs="Segoe UI" w:hint="eastAsia"/>
                <w:sz w:val="17"/>
                <w:szCs w:val="17"/>
                <w:lang w:eastAsia="zh-TW"/>
              </w:rPr>
              <w:t>承擔</w:t>
            </w:r>
            <w:proofErr w:type="gramStart"/>
            <w:r w:rsidRPr="006A6FF6">
              <w:rPr>
                <w:rFonts w:eastAsia="新細明體" w:cs="Segoe UI" w:hint="eastAsia"/>
                <w:sz w:val="17"/>
                <w:szCs w:val="17"/>
                <w:lang w:eastAsia="zh-TW"/>
              </w:rPr>
              <w:t>—</w:t>
            </w:r>
            <w:proofErr w:type="gramEnd"/>
            <w:r w:rsidRPr="006A6FF6">
              <w:rPr>
                <w:rFonts w:eastAsia="新細明體" w:cs="Segoe UI" w:hint="eastAsia"/>
                <w:sz w:val="17"/>
                <w:szCs w:val="17"/>
                <w:lang w:eastAsia="zh-TW"/>
              </w:rPr>
              <w:t>專門性借貸</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1735842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B1B9C0A"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6D3E1D99"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03025B11"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6741034B" w14:textId="77777777" w:rsidTr="00983159">
        <w:tc>
          <w:tcPr>
            <w:tcW w:w="567" w:type="dxa"/>
            <w:tcBorders>
              <w:left w:val="nil"/>
              <w:right w:val="single" w:sz="4" w:space="0" w:color="auto"/>
            </w:tcBorders>
          </w:tcPr>
          <w:p w14:paraId="2FAB0A0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6a</w:t>
            </w:r>
          </w:p>
        </w:tc>
        <w:tc>
          <w:tcPr>
            <w:tcW w:w="2835" w:type="dxa"/>
            <w:tcBorders>
              <w:left w:val="single" w:sz="4" w:space="0" w:color="auto"/>
              <w:right w:val="single" w:sz="4" w:space="0" w:color="auto"/>
            </w:tcBorders>
          </w:tcPr>
          <w:p w14:paraId="4FAC2B63" w14:textId="7EF8C574" w:rsidR="00190D67" w:rsidRPr="006A6FF6" w:rsidRDefault="00190D67" w:rsidP="00862754">
            <w:pPr>
              <w:keepLines/>
              <w:widowControl w:val="0"/>
              <w:tabs>
                <w:tab w:val="left" w:pos="397"/>
                <w:tab w:val="left" w:pos="794"/>
                <w:tab w:val="left" w:pos="1191"/>
              </w:tabs>
              <w:snapToGrid w:val="0"/>
              <w:spacing w:before="20" w:after="20"/>
              <w:ind w:left="353"/>
              <w:rPr>
                <w:rFonts w:eastAsia="新細明體" w:cs="Segoe UI"/>
                <w:sz w:val="17"/>
                <w:szCs w:val="17"/>
                <w:lang w:eastAsia="zh-TW"/>
              </w:rPr>
            </w:pPr>
            <w:r w:rsidRPr="006A6FF6">
              <w:rPr>
                <w:rFonts w:eastAsia="新細明體" w:cs="Segoe UI"/>
                <w:sz w:val="17"/>
                <w:szCs w:val="17"/>
                <w:lang w:eastAsia="zh-TW"/>
              </w:rPr>
              <w:t>其中：</w:t>
            </w:r>
            <w:r w:rsidRPr="006A6FF6">
              <w:rPr>
                <w:rFonts w:eastAsia="新細明體" w:cs="Segoe UI" w:hint="eastAsia"/>
                <w:sz w:val="17"/>
                <w:szCs w:val="17"/>
                <w:lang w:eastAsia="zh-TW"/>
              </w:rPr>
              <w:t>具收益地產</w:t>
            </w:r>
            <w:r w:rsidRPr="006A6FF6">
              <w:rPr>
                <w:rFonts w:eastAsia="新細明體" w:cs="Segoe UI" w:hint="eastAsia"/>
                <w:sz w:val="17"/>
                <w:szCs w:val="17"/>
                <w:lang w:eastAsia="zh-HK"/>
              </w:rPr>
              <w:t>及</w:t>
            </w:r>
            <w:r w:rsidRPr="006A6FF6">
              <w:rPr>
                <w:rFonts w:eastAsia="新細明體" w:cs="Segoe UI" w:hint="eastAsia"/>
                <w:sz w:val="17"/>
                <w:szCs w:val="17"/>
                <w:lang w:eastAsia="zh-TW"/>
              </w:rPr>
              <w:t>高波動性商業地產</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1B094DC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4EFA383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704B7D2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1B0D45F2"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1B39FD" w:rsidRPr="006A6FF6" w14:paraId="29B88A95" w14:textId="77777777" w:rsidTr="00983159">
        <w:tc>
          <w:tcPr>
            <w:tcW w:w="567" w:type="dxa"/>
            <w:tcBorders>
              <w:left w:val="nil"/>
              <w:right w:val="single" w:sz="4" w:space="0" w:color="auto"/>
            </w:tcBorders>
          </w:tcPr>
          <w:p w14:paraId="44283ECB"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rPr>
            </w:pPr>
            <w:r w:rsidRPr="006A6FF6">
              <w:rPr>
                <w:rFonts w:eastAsia="新細明體" w:cs="Segoe UI"/>
                <w:sz w:val="17"/>
                <w:szCs w:val="17"/>
              </w:rPr>
              <w:t>7</w:t>
            </w:r>
          </w:p>
        </w:tc>
        <w:tc>
          <w:tcPr>
            <w:tcW w:w="2835" w:type="dxa"/>
            <w:tcBorders>
              <w:left w:val="single" w:sz="4" w:space="0" w:color="auto"/>
              <w:right w:val="single" w:sz="4" w:space="0" w:color="auto"/>
            </w:tcBorders>
          </w:tcPr>
          <w:p w14:paraId="56FDD6D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r w:rsidRPr="006A6FF6">
              <w:rPr>
                <w:rFonts w:eastAsia="新細明體" w:cs="Segoe UI" w:hint="eastAsia"/>
                <w:sz w:val="17"/>
                <w:szCs w:val="17"/>
                <w:lang w:eastAsia="zh-HK"/>
              </w:rPr>
              <w:t>其他風險承擔</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632737C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2932F3E"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138863F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726F0FA8"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r>
      <w:tr w:rsidR="001B39FD" w:rsidRPr="006A6FF6" w14:paraId="398E553F" w14:textId="77777777" w:rsidTr="00983159">
        <w:tc>
          <w:tcPr>
            <w:tcW w:w="567" w:type="dxa"/>
            <w:tcBorders>
              <w:left w:val="nil"/>
              <w:right w:val="single" w:sz="4" w:space="0" w:color="auto"/>
            </w:tcBorders>
          </w:tcPr>
          <w:p w14:paraId="280FE2E5" w14:textId="69949D10" w:rsidR="00D540EB" w:rsidRPr="006A6FF6" w:rsidRDefault="00DB0471" w:rsidP="00862754">
            <w:pPr>
              <w:keepLines/>
              <w:tabs>
                <w:tab w:val="left" w:pos="397"/>
                <w:tab w:val="left" w:pos="794"/>
                <w:tab w:val="left" w:pos="1191"/>
              </w:tabs>
              <w:snapToGrid w:val="0"/>
              <w:spacing w:before="20" w:after="20"/>
              <w:rPr>
                <w:rFonts w:eastAsia="新細明體" w:cs="Segoe UI"/>
                <w:sz w:val="17"/>
                <w:szCs w:val="17"/>
                <w:lang w:eastAsia="zh-HK"/>
              </w:rPr>
            </w:pPr>
            <w:r w:rsidRPr="00EE697E">
              <w:rPr>
                <w:rFonts w:eastAsia="新細明體" w:cs="Segoe UI"/>
                <w:sz w:val="17"/>
                <w:szCs w:val="17"/>
                <w:lang w:eastAsia="zh-HK"/>
              </w:rPr>
              <w:t>7a</w:t>
            </w:r>
          </w:p>
        </w:tc>
        <w:tc>
          <w:tcPr>
            <w:tcW w:w="2835" w:type="dxa"/>
            <w:tcBorders>
              <w:left w:val="single" w:sz="4" w:space="0" w:color="auto"/>
              <w:right w:val="single" w:sz="4" w:space="0" w:color="auto"/>
            </w:tcBorders>
          </w:tcPr>
          <w:p w14:paraId="04803526" w14:textId="104702E7" w:rsidR="00D540EB" w:rsidRPr="006A6FF6" w:rsidRDefault="002C51F1" w:rsidP="00CD1AF7">
            <w:pPr>
              <w:keepLines/>
              <w:tabs>
                <w:tab w:val="left" w:pos="397"/>
                <w:tab w:val="left" w:pos="794"/>
                <w:tab w:val="left" w:pos="1191"/>
              </w:tabs>
              <w:snapToGrid w:val="0"/>
              <w:spacing w:before="20" w:after="20"/>
              <w:rPr>
                <w:rFonts w:eastAsia="新細明體" w:cs="Segoe UI"/>
                <w:sz w:val="17"/>
                <w:szCs w:val="17"/>
                <w:lang w:eastAsia="zh-HK"/>
              </w:rPr>
            </w:pPr>
            <w:r w:rsidRPr="00EE697E">
              <w:rPr>
                <w:rFonts w:ascii="Calibri" w:eastAsia="新細明體" w:hAnsi="Calibri" w:cs="Segoe UI" w:hint="eastAsia"/>
                <w:sz w:val="17"/>
                <w:szCs w:val="17"/>
                <w:lang w:eastAsia="zh-HK"/>
              </w:rPr>
              <w:t>根據</w:t>
            </w:r>
            <w:r w:rsidR="003927AD" w:rsidRPr="00EE697E">
              <w:rPr>
                <w:rFonts w:eastAsia="新細明體" w:cs="Segoe UI" w:hint="eastAsia"/>
                <w:sz w:val="17"/>
                <w:szCs w:val="17"/>
                <w:lang w:eastAsia="zh-HK"/>
              </w:rPr>
              <w:t>《資本規則》第</w:t>
            </w:r>
            <w:r w:rsidR="003927AD" w:rsidRPr="00EE697E">
              <w:rPr>
                <w:rFonts w:eastAsia="新細明體" w:cs="Segoe UI"/>
                <w:sz w:val="17"/>
                <w:szCs w:val="17"/>
                <w:lang w:eastAsia="zh-HK"/>
              </w:rPr>
              <w:t>376</w:t>
            </w:r>
            <w:r w:rsidR="003927AD" w:rsidRPr="00EE697E">
              <w:rPr>
                <w:rFonts w:eastAsia="新細明體" w:cs="Segoe UI" w:hint="eastAsia"/>
                <w:sz w:val="17"/>
                <w:szCs w:val="17"/>
                <w:lang w:eastAsia="zh-HK"/>
              </w:rPr>
              <w:t>條及第</w:t>
            </w:r>
            <w:r w:rsidR="003927AD" w:rsidRPr="00EE697E">
              <w:rPr>
                <w:rFonts w:eastAsia="新細明體" w:cs="Segoe UI"/>
                <w:sz w:val="17"/>
                <w:szCs w:val="17"/>
                <w:lang w:eastAsia="zh-HK"/>
              </w:rPr>
              <w:t>12</w:t>
            </w:r>
            <w:r w:rsidR="003927AD" w:rsidRPr="00EE697E">
              <w:rPr>
                <w:rFonts w:eastAsia="新細明體" w:cs="Segoe UI" w:hint="eastAsia"/>
                <w:sz w:val="17"/>
                <w:szCs w:val="17"/>
                <w:lang w:eastAsia="zh-HK"/>
              </w:rPr>
              <w:t>部第</w:t>
            </w:r>
            <w:r w:rsidR="003927AD" w:rsidRPr="00EE697E">
              <w:rPr>
                <w:rFonts w:eastAsia="新細明體" w:cs="Segoe UI"/>
                <w:sz w:val="17"/>
                <w:szCs w:val="17"/>
                <w:lang w:eastAsia="zh-HK"/>
              </w:rPr>
              <w:t>5</w:t>
            </w:r>
            <w:r w:rsidR="003927AD" w:rsidRPr="00EE697E">
              <w:rPr>
                <w:rFonts w:eastAsia="新細明體" w:cs="Segoe UI" w:hint="eastAsia"/>
                <w:sz w:val="17"/>
                <w:szCs w:val="17"/>
                <w:lang w:eastAsia="zh-HK"/>
              </w:rPr>
              <w:t>、</w:t>
            </w:r>
            <w:r w:rsidR="003927AD" w:rsidRPr="00EE697E">
              <w:rPr>
                <w:rFonts w:eastAsia="新細明體" w:cs="Segoe UI"/>
                <w:sz w:val="17"/>
                <w:szCs w:val="17"/>
                <w:lang w:eastAsia="zh-HK"/>
              </w:rPr>
              <w:t>6</w:t>
            </w:r>
            <w:r w:rsidR="00A3517D" w:rsidRPr="00EE697E">
              <w:rPr>
                <w:rFonts w:eastAsia="新細明體" w:cs="Segoe UI" w:hint="eastAsia"/>
                <w:sz w:val="17"/>
                <w:szCs w:val="17"/>
                <w:lang w:eastAsia="zh-HK"/>
              </w:rPr>
              <w:t>及</w:t>
            </w:r>
            <w:r w:rsidR="003927AD" w:rsidRPr="00EE697E">
              <w:rPr>
                <w:rFonts w:eastAsia="新細明體" w:cs="Segoe UI"/>
                <w:sz w:val="17"/>
                <w:szCs w:val="17"/>
                <w:lang w:eastAsia="zh-HK"/>
              </w:rPr>
              <w:t>8</w:t>
            </w:r>
            <w:r w:rsidR="003927AD" w:rsidRPr="00EE697E">
              <w:rPr>
                <w:rFonts w:eastAsia="新細明體" w:cs="Segoe UI" w:hint="eastAsia"/>
                <w:sz w:val="17"/>
                <w:szCs w:val="17"/>
                <w:lang w:eastAsia="zh-HK"/>
              </w:rPr>
              <w:t>分部計算</w:t>
            </w:r>
            <w:r w:rsidRPr="00EE697E">
              <w:rPr>
                <w:rFonts w:eastAsia="新細明體" w:cs="Segoe UI" w:hint="eastAsia"/>
                <w:sz w:val="17"/>
                <w:szCs w:val="17"/>
                <w:lang w:eastAsia="zh-HK"/>
              </w:rPr>
              <w:t>的</w:t>
            </w:r>
            <w:r w:rsidR="00A3517D" w:rsidRPr="00EE697E">
              <w:rPr>
                <w:rFonts w:eastAsia="新細明體" w:cs="Segoe UI" w:hint="eastAsia"/>
                <w:sz w:val="17"/>
                <w:szCs w:val="17"/>
                <w:lang w:eastAsia="zh-HK"/>
              </w:rPr>
              <w:t>對</w:t>
            </w:r>
            <w:r w:rsidR="00CD1AF7" w:rsidRPr="00EE697E">
              <w:rPr>
                <w:rFonts w:eastAsia="新細明體" w:cs="Segoe UI" w:hint="eastAsia"/>
                <w:sz w:val="17"/>
                <w:szCs w:val="17"/>
                <w:lang w:eastAsia="zh-HK"/>
              </w:rPr>
              <w:t>信用風險的</w:t>
            </w:r>
            <w:r w:rsidR="003927AD" w:rsidRPr="00EE697E">
              <w:rPr>
                <w:rFonts w:eastAsia="新細明體" w:cs="Segoe UI" w:hint="eastAsia"/>
                <w:sz w:val="17"/>
                <w:szCs w:val="17"/>
                <w:lang w:eastAsia="zh-HK"/>
              </w:rPr>
              <w:t>加密資產</w:t>
            </w:r>
            <w:r w:rsidR="00D0499F" w:rsidRPr="00EE697E">
              <w:rPr>
                <w:rFonts w:eastAsia="新細明體" w:cs="Segoe UI" w:hint="eastAsia"/>
                <w:sz w:val="17"/>
                <w:szCs w:val="17"/>
                <w:lang w:eastAsia="zh-HK"/>
              </w:rPr>
              <w:t>風</w:t>
            </w:r>
            <w:r w:rsidRPr="00EE697E">
              <w:rPr>
                <w:rFonts w:eastAsia="新細明體" w:cs="Segoe UI" w:hint="eastAsia"/>
                <w:sz w:val="17"/>
                <w:szCs w:val="17"/>
                <w:lang w:eastAsia="zh-HK"/>
              </w:rPr>
              <w:t>險</w:t>
            </w:r>
            <w:r w:rsidR="003927AD" w:rsidRPr="00EE697E">
              <w:rPr>
                <w:rFonts w:eastAsia="新細明體" w:cs="Segoe UI" w:hint="eastAsia"/>
                <w:sz w:val="17"/>
                <w:szCs w:val="17"/>
                <w:lang w:eastAsia="zh-HK"/>
              </w:rPr>
              <w:t>承擔</w:t>
            </w:r>
          </w:p>
        </w:tc>
        <w:tc>
          <w:tcPr>
            <w:tcW w:w="1418" w:type="dxa"/>
            <w:tcBorders>
              <w:top w:val="single" w:sz="4" w:space="0" w:color="BFBFBF"/>
              <w:left w:val="single" w:sz="4" w:space="0" w:color="auto"/>
              <w:bottom w:val="single" w:sz="4" w:space="0" w:color="BFBFBF"/>
              <w:right w:val="single" w:sz="4" w:space="0" w:color="auto"/>
            </w:tcBorders>
            <w:shd w:val="clear" w:color="auto" w:fill="auto"/>
          </w:tcPr>
          <w:p w14:paraId="4583B0FF" w14:textId="77777777" w:rsidR="00D540EB" w:rsidRPr="006A6FF6" w:rsidRDefault="00D540EB"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6829F755" w14:textId="77777777" w:rsidR="00D540EB" w:rsidRPr="006A6FF6" w:rsidRDefault="00D540EB"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276" w:type="dxa"/>
            <w:tcBorders>
              <w:top w:val="single" w:sz="4" w:space="0" w:color="BFBFBF"/>
              <w:left w:val="single" w:sz="4" w:space="0" w:color="auto"/>
              <w:bottom w:val="single" w:sz="4" w:space="0" w:color="BFBFBF"/>
              <w:right w:val="single" w:sz="4" w:space="0" w:color="auto"/>
            </w:tcBorders>
            <w:shd w:val="clear" w:color="auto" w:fill="FFFFFF"/>
          </w:tcPr>
          <w:p w14:paraId="2D0269C5" w14:textId="77777777" w:rsidR="00D540EB" w:rsidRPr="006A6FF6" w:rsidRDefault="00D540EB" w:rsidP="00862754">
            <w:pPr>
              <w:keepLines/>
              <w:tabs>
                <w:tab w:val="left" w:pos="397"/>
                <w:tab w:val="left" w:pos="794"/>
                <w:tab w:val="left" w:pos="1191"/>
              </w:tabs>
              <w:snapToGrid w:val="0"/>
              <w:spacing w:before="20" w:after="20"/>
              <w:rPr>
                <w:rFonts w:eastAsia="新細明體" w:cs="Segoe UI"/>
                <w:sz w:val="17"/>
                <w:szCs w:val="17"/>
                <w:lang w:eastAsia="zh-TW"/>
              </w:rPr>
            </w:pPr>
          </w:p>
        </w:tc>
        <w:tc>
          <w:tcPr>
            <w:tcW w:w="1559" w:type="dxa"/>
            <w:tcBorders>
              <w:top w:val="single" w:sz="4" w:space="0" w:color="BFBFBF"/>
              <w:left w:val="single" w:sz="4" w:space="0" w:color="auto"/>
              <w:bottom w:val="single" w:sz="4" w:space="0" w:color="BFBFBF"/>
              <w:right w:val="single" w:sz="4" w:space="0" w:color="auto"/>
            </w:tcBorders>
            <w:shd w:val="clear" w:color="auto" w:fill="FFFFFF"/>
          </w:tcPr>
          <w:p w14:paraId="50A08800" w14:textId="77777777" w:rsidR="00D540EB" w:rsidRPr="006A6FF6" w:rsidRDefault="00D540EB" w:rsidP="00862754">
            <w:pPr>
              <w:keepLines/>
              <w:tabs>
                <w:tab w:val="left" w:pos="397"/>
                <w:tab w:val="left" w:pos="794"/>
                <w:tab w:val="left" w:pos="1191"/>
              </w:tabs>
              <w:snapToGrid w:val="0"/>
              <w:spacing w:before="20" w:after="20"/>
              <w:rPr>
                <w:rFonts w:eastAsia="新細明體" w:cs="Segoe UI"/>
                <w:sz w:val="17"/>
                <w:szCs w:val="17"/>
                <w:lang w:eastAsia="zh-TW"/>
              </w:rPr>
            </w:pPr>
          </w:p>
        </w:tc>
      </w:tr>
      <w:tr w:rsidR="00883F2A" w:rsidRPr="006A6FF6" w14:paraId="32FF1FDC" w14:textId="77777777" w:rsidTr="00983159">
        <w:trPr>
          <w:trHeight w:val="281"/>
        </w:trPr>
        <w:tc>
          <w:tcPr>
            <w:tcW w:w="567" w:type="dxa"/>
            <w:tcBorders>
              <w:left w:val="nil"/>
              <w:bottom w:val="single" w:sz="4" w:space="0" w:color="auto"/>
              <w:right w:val="single" w:sz="4" w:space="0" w:color="auto"/>
            </w:tcBorders>
          </w:tcPr>
          <w:p w14:paraId="27A934FF"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highlight w:val="yellow"/>
              </w:rPr>
            </w:pPr>
            <w:r w:rsidRPr="006A6FF6">
              <w:rPr>
                <w:rFonts w:eastAsia="新細明體" w:cs="Segoe UI"/>
                <w:sz w:val="17"/>
                <w:szCs w:val="17"/>
              </w:rPr>
              <w:t>8</w:t>
            </w:r>
          </w:p>
        </w:tc>
        <w:tc>
          <w:tcPr>
            <w:tcW w:w="2835" w:type="dxa"/>
            <w:tcBorders>
              <w:left w:val="single" w:sz="4" w:space="0" w:color="auto"/>
              <w:bottom w:val="single" w:sz="4" w:space="0" w:color="auto"/>
              <w:right w:val="single" w:sz="4" w:space="0" w:color="auto"/>
            </w:tcBorders>
            <w:vAlign w:val="center"/>
          </w:tcPr>
          <w:p w14:paraId="2162DD53" w14:textId="77777777" w:rsidR="00190D67" w:rsidRPr="006A6FF6" w:rsidRDefault="00190D67" w:rsidP="00862754">
            <w:pPr>
              <w:keepLines/>
              <w:tabs>
                <w:tab w:val="left" w:pos="397"/>
                <w:tab w:val="left" w:pos="794"/>
                <w:tab w:val="left" w:pos="1191"/>
              </w:tabs>
              <w:snapToGrid w:val="0"/>
              <w:spacing w:before="20" w:after="20"/>
              <w:rPr>
                <w:rFonts w:eastAsia="新細明體" w:cs="Segoe UI"/>
                <w:noProof/>
                <w:sz w:val="17"/>
                <w:szCs w:val="17"/>
                <w:lang w:eastAsia="en-GB"/>
              </w:rPr>
            </w:pPr>
            <w:r w:rsidRPr="006A6FF6">
              <w:rPr>
                <w:rFonts w:eastAsia="新細明體" w:cs="Segoe UI" w:hint="eastAsia"/>
                <w:sz w:val="17"/>
                <w:szCs w:val="17"/>
                <w:lang w:eastAsia="zh-HK"/>
              </w:rPr>
              <w:t>總計</w:t>
            </w:r>
          </w:p>
        </w:tc>
        <w:tc>
          <w:tcPr>
            <w:tcW w:w="1418" w:type="dxa"/>
            <w:tcBorders>
              <w:top w:val="single" w:sz="4" w:space="0" w:color="BFBFBF"/>
              <w:left w:val="single" w:sz="4" w:space="0" w:color="auto"/>
              <w:bottom w:val="single" w:sz="4" w:space="0" w:color="auto"/>
              <w:right w:val="single" w:sz="4" w:space="0" w:color="auto"/>
            </w:tcBorders>
            <w:shd w:val="clear" w:color="auto" w:fill="auto"/>
          </w:tcPr>
          <w:p w14:paraId="68D185F4"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490CC273"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276" w:type="dxa"/>
            <w:tcBorders>
              <w:top w:val="single" w:sz="4" w:space="0" w:color="BFBFBF"/>
              <w:left w:val="single" w:sz="4" w:space="0" w:color="auto"/>
              <w:bottom w:val="single" w:sz="4" w:space="0" w:color="auto"/>
              <w:right w:val="single" w:sz="4" w:space="0" w:color="auto"/>
            </w:tcBorders>
            <w:shd w:val="clear" w:color="auto" w:fill="FFFFFF"/>
          </w:tcPr>
          <w:p w14:paraId="098C8355"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c>
          <w:tcPr>
            <w:tcW w:w="1559" w:type="dxa"/>
            <w:tcBorders>
              <w:top w:val="single" w:sz="4" w:space="0" w:color="BFBFBF"/>
              <w:left w:val="single" w:sz="4" w:space="0" w:color="auto"/>
              <w:bottom w:val="single" w:sz="4" w:space="0" w:color="auto"/>
              <w:right w:val="single" w:sz="4" w:space="0" w:color="auto"/>
            </w:tcBorders>
            <w:shd w:val="clear" w:color="auto" w:fill="FFFFFF"/>
          </w:tcPr>
          <w:p w14:paraId="6E970747" w14:textId="77777777" w:rsidR="00190D67" w:rsidRPr="006A6FF6" w:rsidRDefault="00190D67" w:rsidP="00862754">
            <w:pPr>
              <w:keepLines/>
              <w:tabs>
                <w:tab w:val="left" w:pos="397"/>
                <w:tab w:val="left" w:pos="794"/>
                <w:tab w:val="left" w:pos="1191"/>
              </w:tabs>
              <w:snapToGrid w:val="0"/>
              <w:spacing w:before="20" w:after="20"/>
              <w:rPr>
                <w:rFonts w:eastAsia="新細明體" w:cs="Segoe UI"/>
                <w:sz w:val="17"/>
                <w:szCs w:val="17"/>
                <w:lang w:eastAsia="en-GB"/>
              </w:rPr>
            </w:pPr>
          </w:p>
        </w:tc>
      </w:tr>
    </w:tbl>
    <w:p w14:paraId="70C1292B" w14:textId="77777777" w:rsidR="00190D67" w:rsidRPr="006A6FF6" w:rsidRDefault="00190D67" w:rsidP="00190D67">
      <w:pPr>
        <w:spacing w:before="120" w:after="120"/>
        <w:ind w:leftChars="-283" w:left="-566"/>
        <w:rPr>
          <w:rFonts w:eastAsia="新細明體" w:cs="Segoe UI"/>
          <w:sz w:val="22"/>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6A6FF6" w:rsidRPr="006A6FF6" w14:paraId="0DC88724" w14:textId="77777777" w:rsidTr="00862754">
        <w:trPr>
          <w:tblHeader/>
        </w:trPr>
        <w:tc>
          <w:tcPr>
            <w:tcW w:w="9214" w:type="dxa"/>
            <w:gridSpan w:val="2"/>
            <w:shd w:val="clear" w:color="auto" w:fill="BFBFBF"/>
          </w:tcPr>
          <w:p w14:paraId="3D5555C7"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hint="eastAsia"/>
                <w:b/>
                <w:sz w:val="17"/>
                <w:lang w:eastAsia="zh-HK"/>
              </w:rPr>
              <w:t>註釋</w:t>
            </w:r>
          </w:p>
        </w:tc>
      </w:tr>
      <w:tr w:rsidR="006A6FF6" w:rsidRPr="006A6FF6" w14:paraId="38DA5F51" w14:textId="77777777" w:rsidTr="00862754">
        <w:tc>
          <w:tcPr>
            <w:tcW w:w="9214" w:type="dxa"/>
            <w:gridSpan w:val="2"/>
            <w:shd w:val="clear" w:color="auto" w:fill="F2F2F2"/>
          </w:tcPr>
          <w:p w14:paraId="60F52D5E"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hint="eastAsia"/>
                <w:b/>
                <w:sz w:val="17"/>
                <w:lang w:eastAsia="zh-HK"/>
              </w:rPr>
              <w:t>欄</w:t>
            </w:r>
          </w:p>
        </w:tc>
      </w:tr>
      <w:tr w:rsidR="006A6FF6" w:rsidRPr="006A6FF6" w14:paraId="56D2ACF7" w14:textId="77777777" w:rsidTr="00862754">
        <w:tc>
          <w:tcPr>
            <w:tcW w:w="567" w:type="dxa"/>
            <w:shd w:val="clear" w:color="auto" w:fill="auto"/>
          </w:tcPr>
          <w:p w14:paraId="2C877D0B"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sz w:val="17"/>
                <w:szCs w:val="17"/>
                <w:lang w:eastAsia="en-GB"/>
              </w:rPr>
              <w:t>(a)</w:t>
            </w:r>
          </w:p>
        </w:tc>
        <w:tc>
          <w:tcPr>
            <w:tcW w:w="8647" w:type="dxa"/>
            <w:shd w:val="clear" w:color="auto" w:fill="auto"/>
          </w:tcPr>
          <w:p w14:paraId="64D4E7EF" w14:textId="06DBDC1B" w:rsidR="00190D67" w:rsidRPr="006A6FF6" w:rsidRDefault="00190D67" w:rsidP="005C50FD">
            <w:pPr>
              <w:keepNext/>
              <w:keepLines/>
              <w:tabs>
                <w:tab w:val="left" w:pos="150"/>
                <w:tab w:val="left" w:pos="397"/>
                <w:tab w:val="left" w:pos="794"/>
                <w:tab w:val="left" w:pos="1191"/>
              </w:tabs>
              <w:spacing w:before="40" w:after="40"/>
              <w:jc w:val="both"/>
              <w:rPr>
                <w:rFonts w:eastAsia="新細明體" w:cs="Segoe UI"/>
                <w:i/>
                <w:sz w:val="17"/>
                <w:szCs w:val="17"/>
                <w:lang w:eastAsia="zh-HK"/>
              </w:rPr>
            </w:pPr>
            <w:r w:rsidRPr="006A6FF6">
              <w:rPr>
                <w:rFonts w:eastAsia="新細明體" w:cs="Segoe UI" w:hint="eastAsia"/>
                <w:i/>
                <w:sz w:val="17"/>
                <w:szCs w:val="17"/>
                <w:lang w:eastAsia="zh-TW"/>
              </w:rPr>
              <w:t>認可機構獲金融管理專員批准</w:t>
            </w:r>
            <w:r w:rsidR="000F2795" w:rsidRPr="006A6FF6">
              <w:rPr>
                <w:rFonts w:eastAsia="新細明體" w:cs="Segoe UI" w:hint="eastAsia"/>
                <w:i/>
                <w:sz w:val="17"/>
                <w:szCs w:val="17"/>
                <w:lang w:eastAsia="zh-HK"/>
              </w:rPr>
              <w:t>採</w:t>
            </w:r>
            <w:r w:rsidRPr="006A6FF6">
              <w:rPr>
                <w:rFonts w:eastAsia="新細明體" w:cs="Segoe UI" w:hint="eastAsia"/>
                <w:i/>
                <w:sz w:val="17"/>
                <w:szCs w:val="17"/>
                <w:lang w:eastAsia="zh-TW"/>
              </w:rPr>
              <w:t>用的模式基準計算法</w:t>
            </w:r>
            <w:r w:rsidR="00636BAB" w:rsidRPr="006A6FF6">
              <w:rPr>
                <w:rFonts w:eastAsia="新細明體" w:cs="Segoe UI" w:hint="eastAsia"/>
                <w:i/>
                <w:sz w:val="17"/>
                <w:szCs w:val="17"/>
                <w:lang w:eastAsia="zh-HK"/>
              </w:rPr>
              <w:t>下</w:t>
            </w:r>
            <w:r w:rsidRPr="006A6FF6">
              <w:rPr>
                <w:rFonts w:eastAsia="新細明體" w:cs="Segoe UI" w:hint="eastAsia"/>
                <w:i/>
                <w:sz w:val="17"/>
                <w:szCs w:val="17"/>
                <w:lang w:eastAsia="zh-TW"/>
              </w:rPr>
              <w:t>計算的風險加權數額</w:t>
            </w:r>
            <w:r w:rsidRPr="006A6FF6">
              <w:rPr>
                <w:rFonts w:eastAsia="新細明體" w:cs="Segoe UI"/>
                <w:sz w:val="17"/>
                <w:szCs w:val="17"/>
                <w:lang w:eastAsia="zh-TW"/>
              </w:rPr>
              <w:t>：</w:t>
            </w:r>
            <w:r w:rsidRPr="006A6FF6">
              <w:rPr>
                <w:rFonts w:eastAsia="新細明體" w:cs="Segoe UI" w:hint="eastAsia"/>
                <w:sz w:val="17"/>
                <w:szCs w:val="17"/>
                <w:lang w:eastAsia="zh-HK"/>
              </w:rPr>
              <w:t>本欄代表</w:t>
            </w:r>
            <w:r w:rsidR="005C50FD" w:rsidRPr="006A6FF6">
              <w:rPr>
                <w:rFonts w:ascii="細明體" w:eastAsia="細明體" w:hAnsi="細明體" w:cs="Segoe UI" w:hint="eastAsia"/>
                <w:sz w:val="17"/>
                <w:szCs w:val="17"/>
                <w:lang w:eastAsia="zh-HK"/>
              </w:rPr>
              <w:t>風險加權數額中</w:t>
            </w:r>
            <w:r w:rsidRPr="006A6FF6">
              <w:rPr>
                <w:rFonts w:eastAsia="新細明體" w:cs="Segoe UI" w:hint="eastAsia"/>
                <w:sz w:val="17"/>
                <w:szCs w:val="17"/>
                <w:lang w:eastAsia="zh-HK"/>
              </w:rPr>
              <w:t>按照</w:t>
            </w:r>
            <w:r w:rsidRPr="006A6FF6">
              <w:rPr>
                <w:rFonts w:ascii="細明體" w:eastAsia="細明體" w:hAnsi="細明體" w:cs="Segoe UI" w:hint="eastAsia"/>
                <w:sz w:val="17"/>
                <w:szCs w:val="17"/>
                <w:lang w:eastAsia="zh-HK"/>
              </w:rPr>
              <w:t>《資本規則》第</w:t>
            </w:r>
            <w:r w:rsidRPr="006A6FF6">
              <w:rPr>
                <w:rFonts w:eastAsia="新細明體" w:cs="Segoe UI"/>
                <w:sz w:val="17"/>
                <w:szCs w:val="17"/>
                <w:lang w:eastAsia="zh-TW"/>
              </w:rPr>
              <w:t>6</w:t>
            </w:r>
            <w:r w:rsidRPr="006A6FF6">
              <w:rPr>
                <w:rFonts w:ascii="細明體" w:eastAsia="細明體" w:hAnsi="細明體" w:cs="Segoe UI" w:hint="eastAsia"/>
                <w:sz w:val="17"/>
                <w:szCs w:val="17"/>
                <w:lang w:eastAsia="zh-HK"/>
              </w:rPr>
              <w:t>部所載</w:t>
            </w:r>
            <w:r w:rsidRPr="006A6FF6">
              <w:rPr>
                <w:rFonts w:eastAsia="新細明體" w:cs="Segoe UI"/>
                <w:sz w:val="17"/>
                <w:szCs w:val="17"/>
                <w:lang w:eastAsia="zh-TW"/>
              </w:rPr>
              <w:t>IRB</w:t>
            </w:r>
            <w:r w:rsidRPr="006A6FF6">
              <w:rPr>
                <w:rFonts w:ascii="細明體" w:eastAsia="細明體" w:hAnsi="細明體" w:cs="Segoe UI" w:hint="eastAsia"/>
                <w:sz w:val="17"/>
                <w:szCs w:val="17"/>
                <w:lang w:eastAsia="zh-HK"/>
              </w:rPr>
              <w:t>計算法計算的部分</w:t>
            </w:r>
            <w:r w:rsidRPr="006A6FF6">
              <w:rPr>
                <w:rFonts w:ascii="細明體" w:eastAsia="細明體" w:hAnsi="細明體" w:cs="Segoe UI" w:hint="eastAsia"/>
                <w:sz w:val="17"/>
                <w:szCs w:val="17"/>
                <w:lang w:eastAsia="zh-TW"/>
              </w:rPr>
              <w:t>。</w:t>
            </w:r>
          </w:p>
        </w:tc>
      </w:tr>
      <w:tr w:rsidR="006A6FF6" w:rsidRPr="006A6FF6" w14:paraId="620A66FB" w14:textId="77777777" w:rsidTr="00862754">
        <w:tc>
          <w:tcPr>
            <w:tcW w:w="567" w:type="dxa"/>
            <w:shd w:val="clear" w:color="auto" w:fill="auto"/>
          </w:tcPr>
          <w:p w14:paraId="6B426435"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sz w:val="17"/>
                <w:szCs w:val="17"/>
                <w:lang w:eastAsia="en-GB"/>
              </w:rPr>
              <w:t>(b)</w:t>
            </w:r>
          </w:p>
        </w:tc>
        <w:tc>
          <w:tcPr>
            <w:tcW w:w="8647" w:type="dxa"/>
            <w:shd w:val="clear" w:color="auto" w:fill="auto"/>
          </w:tcPr>
          <w:p w14:paraId="6D0B3558" w14:textId="5D40A9C3" w:rsidR="00190D67" w:rsidRPr="006A6FF6" w:rsidRDefault="00190D67" w:rsidP="00BF35B7">
            <w:pPr>
              <w:keepNext/>
              <w:keepLines/>
              <w:tabs>
                <w:tab w:val="left" w:pos="150"/>
                <w:tab w:val="left" w:pos="397"/>
                <w:tab w:val="left" w:pos="794"/>
                <w:tab w:val="left" w:pos="1191"/>
              </w:tabs>
              <w:spacing w:before="40" w:after="40"/>
              <w:jc w:val="both"/>
              <w:rPr>
                <w:rFonts w:eastAsia="新細明體" w:cs="Segoe UI"/>
                <w:b/>
                <w:sz w:val="17"/>
                <w:lang w:eastAsia="zh-HK"/>
              </w:rPr>
            </w:pPr>
            <w:r w:rsidRPr="006A6FF6">
              <w:rPr>
                <w:rFonts w:eastAsia="新細明體" w:cs="Segoe UI" w:hint="eastAsia"/>
                <w:i/>
                <w:sz w:val="17"/>
                <w:szCs w:val="17"/>
                <w:lang w:eastAsia="zh-HK"/>
              </w:rPr>
              <w:t>若</w:t>
            </w:r>
            <w:r w:rsidR="000F2795" w:rsidRPr="006A6FF6">
              <w:rPr>
                <w:rFonts w:eastAsia="新細明體" w:cs="Segoe UI" w:hint="eastAsia"/>
                <w:i/>
                <w:sz w:val="17"/>
                <w:szCs w:val="17"/>
                <w:lang w:eastAsia="zh-HK"/>
              </w:rPr>
              <w:t>採</w:t>
            </w:r>
            <w:r w:rsidR="000F2795" w:rsidRPr="006A6FF6">
              <w:rPr>
                <w:rFonts w:eastAsia="新細明體" w:cs="Segoe UI" w:hint="eastAsia"/>
                <w:i/>
                <w:sz w:val="17"/>
                <w:szCs w:val="17"/>
                <w:lang w:eastAsia="zh-TW"/>
              </w:rPr>
              <w:t>用</w:t>
            </w:r>
            <w:r w:rsidRPr="006A6FF6">
              <w:rPr>
                <w:rFonts w:eastAsia="新細明體" w:cs="Segoe UI" w:hint="eastAsia"/>
                <w:i/>
                <w:sz w:val="17"/>
                <w:szCs w:val="17"/>
                <w:lang w:eastAsia="zh-HK"/>
              </w:rPr>
              <w:t>標準計算法重計</w:t>
            </w:r>
            <w:r w:rsidRPr="006A6FF6">
              <w:rPr>
                <w:rFonts w:eastAsia="新細明體" w:cs="Segoe UI" w:hint="eastAsia"/>
                <w:i/>
                <w:sz w:val="17"/>
                <w:szCs w:val="17"/>
                <w:lang w:eastAsia="zh-TW"/>
              </w:rPr>
              <w:t>(a)</w:t>
            </w:r>
            <w:r w:rsidRPr="006A6FF6">
              <w:rPr>
                <w:rFonts w:eastAsia="新細明體" w:cs="Segoe UI" w:hint="eastAsia"/>
                <w:i/>
                <w:sz w:val="17"/>
                <w:szCs w:val="17"/>
                <w:lang w:eastAsia="zh-HK"/>
              </w:rPr>
              <w:t>欄的風險加權數額</w:t>
            </w:r>
            <w:r w:rsidRPr="006A6FF6">
              <w:rPr>
                <w:rFonts w:eastAsia="新細明體" w:cs="Segoe UI"/>
                <w:sz w:val="17"/>
                <w:szCs w:val="17"/>
                <w:lang w:eastAsia="zh-TW"/>
              </w:rPr>
              <w:t>：</w:t>
            </w:r>
            <w:r w:rsidR="00BF35B7" w:rsidRPr="006A6FF6">
              <w:rPr>
                <w:rFonts w:eastAsia="新細明體" w:cs="Segoe UI" w:hint="eastAsia"/>
                <w:sz w:val="17"/>
                <w:szCs w:val="17"/>
                <w:lang w:eastAsia="zh-HK"/>
              </w:rPr>
              <w:t>這是指</w:t>
            </w:r>
            <w:r w:rsidRPr="006A6FF6">
              <w:rPr>
                <w:rFonts w:eastAsia="新細明體" w:cs="Segoe UI" w:hint="eastAsia"/>
                <w:sz w:val="17"/>
                <w:szCs w:val="17"/>
                <w:lang w:eastAsia="zh-HK"/>
              </w:rPr>
              <w:t>若</w:t>
            </w:r>
            <w:r w:rsidR="00864A2A" w:rsidRPr="006A6FF6">
              <w:rPr>
                <w:rFonts w:eastAsia="新細明體" w:cs="Segoe UI" w:hint="eastAsia"/>
                <w:sz w:val="17"/>
                <w:szCs w:val="17"/>
                <w:lang w:eastAsia="zh-HK"/>
              </w:rPr>
              <w:t>按照</w:t>
            </w:r>
            <w:r w:rsidR="00864A2A" w:rsidRPr="006A6FF6">
              <w:rPr>
                <w:rFonts w:ascii="細明體" w:eastAsia="細明體" w:hAnsi="細明體" w:cs="Segoe UI" w:hint="eastAsia"/>
                <w:sz w:val="17"/>
                <w:szCs w:val="17"/>
                <w:lang w:eastAsia="zh-HK"/>
              </w:rPr>
              <w:t>《資本規則》第</w:t>
            </w:r>
            <w:r w:rsidR="00864A2A" w:rsidRPr="006A6FF6">
              <w:rPr>
                <w:rFonts w:eastAsia="新細明體" w:cs="Segoe UI" w:hint="eastAsia"/>
                <w:sz w:val="17"/>
                <w:szCs w:val="17"/>
                <w:lang w:eastAsia="zh-TW"/>
              </w:rPr>
              <w:t>356(2)(</w:t>
            </w:r>
            <w:r w:rsidR="00864A2A" w:rsidRPr="006A6FF6">
              <w:rPr>
                <w:rFonts w:eastAsia="新細明體" w:cs="Segoe UI" w:hint="eastAsia"/>
                <w:sz w:val="17"/>
                <w:szCs w:val="17"/>
                <w:lang w:eastAsia="zh-HK"/>
              </w:rPr>
              <w:t>a)</w:t>
            </w:r>
            <w:r w:rsidR="00864A2A" w:rsidRPr="006A6FF6">
              <w:rPr>
                <w:rFonts w:eastAsia="新細明體" w:cs="Segoe UI" w:hint="eastAsia"/>
                <w:sz w:val="17"/>
                <w:szCs w:val="17"/>
                <w:lang w:eastAsia="zh-HK"/>
              </w:rPr>
              <w:t>條</w:t>
            </w:r>
            <w:r w:rsidR="00837871" w:rsidRPr="006A6FF6">
              <w:rPr>
                <w:rFonts w:eastAsia="新細明體" w:cs="Segoe UI" w:hint="eastAsia"/>
                <w:sz w:val="17"/>
                <w:szCs w:val="17"/>
                <w:lang w:eastAsia="zh-HK"/>
              </w:rPr>
              <w:t>應用</w:t>
            </w:r>
            <w:r w:rsidRPr="006A6FF6">
              <w:rPr>
                <w:rFonts w:eastAsia="新細明體" w:cs="Segoe UI" w:hint="eastAsia"/>
                <w:sz w:val="17"/>
                <w:szCs w:val="17"/>
                <w:lang w:eastAsia="zh-TW"/>
              </w:rPr>
              <w:t>STC</w:t>
            </w:r>
            <w:r w:rsidRPr="006A6FF6">
              <w:rPr>
                <w:rFonts w:eastAsia="新細明體" w:cs="Segoe UI" w:hint="eastAsia"/>
                <w:sz w:val="17"/>
                <w:szCs w:val="17"/>
                <w:lang w:eastAsia="zh-HK"/>
              </w:rPr>
              <w:t>計算法</w:t>
            </w:r>
            <w:r w:rsidR="00BF35B7" w:rsidRPr="006A6FF6">
              <w:rPr>
                <w:rFonts w:eastAsia="新細明體" w:cs="Segoe UI" w:hint="eastAsia"/>
                <w:sz w:val="17"/>
                <w:szCs w:val="17"/>
                <w:lang w:eastAsia="zh-HK"/>
              </w:rPr>
              <w:t>在引致於</w:t>
            </w:r>
            <w:r w:rsidR="00BF35B7" w:rsidRPr="006A6FF6">
              <w:rPr>
                <w:rFonts w:eastAsia="新細明體" w:cs="Segoe UI" w:hint="eastAsia"/>
                <w:sz w:val="17"/>
                <w:szCs w:val="17"/>
                <w:lang w:eastAsia="zh-TW"/>
              </w:rPr>
              <w:t>(</w:t>
            </w:r>
            <w:r w:rsidR="00BF35B7" w:rsidRPr="006A6FF6">
              <w:rPr>
                <w:rFonts w:eastAsia="新細明體" w:cs="Segoe UI"/>
                <w:sz w:val="17"/>
                <w:szCs w:val="17"/>
                <w:lang w:eastAsia="zh-HK"/>
              </w:rPr>
              <w:t>a)</w:t>
            </w:r>
            <w:r w:rsidR="00BF35B7" w:rsidRPr="006A6FF6">
              <w:rPr>
                <w:rFonts w:eastAsia="新細明體" w:cs="Segoe UI" w:hint="eastAsia"/>
                <w:sz w:val="17"/>
                <w:szCs w:val="17"/>
                <w:lang w:eastAsia="zh-HK"/>
              </w:rPr>
              <w:t>欄填報的風險承擔數額的所有風險承擔而</w:t>
            </w:r>
            <w:r w:rsidR="00903E9E" w:rsidRPr="006A6FF6">
              <w:rPr>
                <w:rFonts w:eastAsia="新細明體" w:cs="Segoe UI" w:hint="eastAsia"/>
                <w:sz w:val="17"/>
                <w:szCs w:val="17"/>
                <w:lang w:eastAsia="zh-HK"/>
              </w:rPr>
              <w:t>所</w:t>
            </w:r>
            <w:r w:rsidRPr="006A6FF6">
              <w:rPr>
                <w:rFonts w:eastAsia="新細明體" w:cs="Segoe UI" w:hint="eastAsia"/>
                <w:sz w:val="17"/>
                <w:szCs w:val="17"/>
                <w:lang w:eastAsia="zh-HK"/>
              </w:rPr>
              <w:t>得的風險加權數額</w:t>
            </w:r>
            <w:r w:rsidRPr="006A6FF6">
              <w:rPr>
                <w:rFonts w:eastAsia="新細明體" w:cs="Segoe UI" w:hint="eastAsia"/>
                <w:sz w:val="17"/>
                <w:szCs w:val="17"/>
                <w:lang w:eastAsia="zh-TW"/>
              </w:rPr>
              <w:t>，</w:t>
            </w:r>
            <w:r w:rsidRPr="006A6FF6">
              <w:rPr>
                <w:rFonts w:eastAsia="新細明體" w:cs="Segoe UI" w:hint="eastAsia"/>
                <w:sz w:val="17"/>
                <w:szCs w:val="17"/>
                <w:lang w:eastAsia="zh-HK"/>
              </w:rPr>
              <w:t>不論</w:t>
            </w:r>
            <w:r w:rsidR="00FC3011" w:rsidRPr="006A6FF6">
              <w:rPr>
                <w:rFonts w:eastAsia="新細明體" w:cs="Segoe UI" w:hint="eastAsia"/>
                <w:sz w:val="17"/>
                <w:szCs w:val="17"/>
                <w:lang w:eastAsia="zh-HK"/>
              </w:rPr>
              <w:t>該些</w:t>
            </w:r>
            <w:r w:rsidR="00590413" w:rsidRPr="006A6FF6">
              <w:rPr>
                <w:rFonts w:eastAsia="新細明體" w:cs="Segoe UI" w:hint="eastAsia"/>
                <w:sz w:val="17"/>
                <w:szCs w:val="17"/>
                <w:lang w:eastAsia="zh-HK"/>
              </w:rPr>
              <w:t>風險承擔</w:t>
            </w:r>
            <w:r w:rsidRPr="006A6FF6">
              <w:rPr>
                <w:rFonts w:eastAsia="新細明體" w:cs="Segoe UI" w:hint="eastAsia"/>
                <w:sz w:val="17"/>
                <w:szCs w:val="17"/>
                <w:lang w:eastAsia="zh-HK"/>
              </w:rPr>
              <w:t>以</w:t>
            </w:r>
            <w:r w:rsidRPr="006A6FF6">
              <w:rPr>
                <w:rFonts w:eastAsia="新細明體" w:cs="Segoe UI" w:hint="eastAsia"/>
                <w:sz w:val="17"/>
                <w:szCs w:val="17"/>
                <w:lang w:eastAsia="zh-TW"/>
              </w:rPr>
              <w:t>STC</w:t>
            </w:r>
            <w:r w:rsidRPr="006A6FF6">
              <w:rPr>
                <w:rFonts w:eastAsia="新細明體" w:cs="Segoe UI" w:hint="eastAsia"/>
                <w:sz w:val="17"/>
                <w:szCs w:val="17"/>
                <w:lang w:eastAsia="zh-HK"/>
              </w:rPr>
              <w:t>計算法重計時屬</w:t>
            </w:r>
            <w:r w:rsidR="00590413" w:rsidRPr="006A6FF6">
              <w:rPr>
                <w:rFonts w:eastAsia="新細明體" w:cs="Segoe UI" w:hint="eastAsia"/>
                <w:sz w:val="17"/>
                <w:szCs w:val="17"/>
                <w:lang w:eastAsia="zh-HK"/>
              </w:rPr>
              <w:t>於</w:t>
            </w:r>
            <w:r w:rsidR="00FC3011" w:rsidRPr="006A6FF6">
              <w:rPr>
                <w:rFonts w:eastAsia="新細明體" w:cs="Segoe UI" w:hint="eastAsia"/>
                <w:sz w:val="17"/>
                <w:szCs w:val="17"/>
                <w:lang w:eastAsia="zh-HK"/>
              </w:rPr>
              <w:t>在</w:t>
            </w:r>
            <w:r w:rsidR="00FC3011" w:rsidRPr="006A6FF6">
              <w:rPr>
                <w:rFonts w:eastAsia="新細明體" w:cs="Segoe UI" w:hint="eastAsia"/>
                <w:sz w:val="17"/>
                <w:szCs w:val="17"/>
                <w:lang w:eastAsia="zh-TW"/>
              </w:rPr>
              <w:t>STC</w:t>
            </w:r>
            <w:r w:rsidR="00FC3011" w:rsidRPr="006A6FF6">
              <w:rPr>
                <w:rFonts w:eastAsia="新細明體" w:cs="Segoe UI" w:hint="eastAsia"/>
                <w:sz w:val="17"/>
                <w:szCs w:val="17"/>
                <w:lang w:eastAsia="zh-HK"/>
              </w:rPr>
              <w:t>計算法下的</w:t>
            </w:r>
            <w:r w:rsidR="009D6D19" w:rsidRPr="006A6FF6">
              <w:rPr>
                <w:rFonts w:eastAsia="新細明體" w:cs="Segoe UI" w:hint="eastAsia"/>
                <w:sz w:val="17"/>
                <w:szCs w:val="17"/>
                <w:lang w:eastAsia="zh-HK"/>
              </w:rPr>
              <w:t>何種</w:t>
            </w:r>
            <w:r w:rsidRPr="006A6FF6">
              <w:rPr>
                <w:rFonts w:eastAsia="新細明體" w:cs="Segoe UI" w:hint="eastAsia"/>
                <w:sz w:val="17"/>
                <w:szCs w:val="17"/>
                <w:lang w:eastAsia="zh-HK"/>
              </w:rPr>
              <w:t>風險承擔</w:t>
            </w:r>
            <w:r w:rsidR="00590413" w:rsidRPr="006A6FF6">
              <w:rPr>
                <w:rFonts w:eastAsia="新細明體" w:cs="Segoe UI" w:hint="eastAsia"/>
                <w:sz w:val="17"/>
                <w:szCs w:val="17"/>
                <w:lang w:eastAsia="zh-HK"/>
              </w:rPr>
              <w:t>類</w:t>
            </w:r>
            <w:r w:rsidR="00590413" w:rsidRPr="006A6FF6">
              <w:rPr>
                <w:rFonts w:eastAsia="新細明體" w:cs="Segoe UI" w:hint="eastAsia"/>
                <w:sz w:val="17"/>
                <w:szCs w:val="17"/>
                <w:lang w:eastAsia="zh-TW"/>
              </w:rPr>
              <w:t>別</w:t>
            </w:r>
            <w:r w:rsidRPr="006A6FF6">
              <w:rPr>
                <w:rFonts w:eastAsia="新細明體" w:cs="Segoe UI" w:hint="eastAsia"/>
                <w:sz w:val="17"/>
                <w:szCs w:val="17"/>
                <w:lang w:eastAsia="zh-TW"/>
              </w:rPr>
              <w:t>。</w:t>
            </w:r>
          </w:p>
        </w:tc>
      </w:tr>
      <w:tr w:rsidR="006A6FF6" w:rsidRPr="006A6FF6" w14:paraId="6DCB9FC5" w14:textId="77777777" w:rsidTr="00862754">
        <w:tc>
          <w:tcPr>
            <w:tcW w:w="567" w:type="dxa"/>
            <w:shd w:val="clear" w:color="auto" w:fill="auto"/>
          </w:tcPr>
          <w:p w14:paraId="441D8852"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sz w:val="17"/>
                <w:szCs w:val="17"/>
                <w:lang w:eastAsia="en-GB"/>
              </w:rPr>
              <w:t>(c)</w:t>
            </w:r>
          </w:p>
        </w:tc>
        <w:tc>
          <w:tcPr>
            <w:tcW w:w="8647" w:type="dxa"/>
            <w:shd w:val="clear" w:color="auto" w:fill="auto"/>
          </w:tcPr>
          <w:p w14:paraId="5D3B8862" w14:textId="14E0562B" w:rsidR="009F49C8" w:rsidRDefault="000F2795" w:rsidP="00D66815">
            <w:pPr>
              <w:keepNext/>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hint="eastAsia"/>
                <w:i/>
                <w:sz w:val="17"/>
                <w:szCs w:val="17"/>
                <w:lang w:eastAsia="zh-HK"/>
              </w:rPr>
              <w:t>總</w:t>
            </w:r>
            <w:r w:rsidR="00190D67" w:rsidRPr="006A6FF6">
              <w:rPr>
                <w:rFonts w:eastAsia="新細明體" w:cs="Segoe UI" w:hint="eastAsia"/>
                <w:i/>
                <w:sz w:val="17"/>
                <w:szCs w:val="17"/>
                <w:lang w:eastAsia="zh-HK"/>
              </w:rPr>
              <w:t>實際風險加權數額</w:t>
            </w:r>
            <w:r w:rsidR="00BC3FE4" w:rsidRPr="006A6FF6">
              <w:rPr>
                <w:rFonts w:eastAsia="新細明體" w:cs="Segoe UI" w:hint="eastAsia"/>
                <w:i/>
                <w:sz w:val="17"/>
                <w:lang w:eastAsia="zh-HK"/>
              </w:rPr>
              <w:t>（</w:t>
            </w:r>
            <w:r w:rsidR="00190D67" w:rsidRPr="006A6FF6">
              <w:rPr>
                <w:rFonts w:eastAsia="新細明體" w:cs="Segoe UI" w:hint="eastAsia"/>
                <w:i/>
                <w:sz w:val="17"/>
                <w:szCs w:val="17"/>
                <w:lang w:eastAsia="zh-HK"/>
              </w:rPr>
              <w:t>即認可機構</w:t>
            </w:r>
            <w:r w:rsidR="00776FBA" w:rsidRPr="006A6FF6">
              <w:rPr>
                <w:rFonts w:eastAsia="新細明體" w:cs="Segoe UI" w:hint="eastAsia"/>
                <w:i/>
                <w:sz w:val="17"/>
                <w:szCs w:val="17"/>
                <w:lang w:eastAsia="zh-HK"/>
              </w:rPr>
              <w:t>按</w:t>
            </w:r>
            <w:r w:rsidR="00190D67" w:rsidRPr="006A6FF6">
              <w:rPr>
                <w:rFonts w:eastAsia="新細明體" w:cs="Segoe UI" w:hint="eastAsia"/>
                <w:i/>
                <w:sz w:val="17"/>
                <w:szCs w:val="17"/>
                <w:lang w:eastAsia="zh-HK"/>
              </w:rPr>
              <w:t>現時規定填報的風險加權數額</w:t>
            </w:r>
            <w:r w:rsidR="00BD228C" w:rsidRPr="006A6FF6">
              <w:rPr>
                <w:rFonts w:ascii="新細明體" w:eastAsia="新細明體" w:hAnsi="新細明體" w:cs="Segoe UI" w:hint="eastAsia"/>
                <w:i/>
                <w:sz w:val="17"/>
                <w:szCs w:val="17"/>
                <w:lang w:eastAsia="zh-TW"/>
              </w:rPr>
              <w:t>）</w:t>
            </w:r>
            <w:r w:rsidR="00190D67" w:rsidRPr="006A6FF6">
              <w:rPr>
                <w:rFonts w:eastAsia="新細明體" w:cs="Segoe UI"/>
                <w:sz w:val="17"/>
                <w:szCs w:val="17"/>
                <w:lang w:eastAsia="zh-TW"/>
              </w:rPr>
              <w:t>：</w:t>
            </w:r>
            <w:r w:rsidR="00512E50" w:rsidRPr="00265D68">
              <w:rPr>
                <w:rFonts w:ascii="新細明體" w:eastAsia="新細明體" w:hAnsi="新細明體" w:cs="Segoe UI" w:hint="eastAsia"/>
                <w:sz w:val="17"/>
                <w:szCs w:val="17"/>
                <w:lang w:eastAsia="zh-HK"/>
              </w:rPr>
              <w:t>這是</w:t>
            </w:r>
            <w:r w:rsidR="000C180A" w:rsidRPr="00265D68">
              <w:rPr>
                <w:rFonts w:ascii="新細明體" w:eastAsia="新細明體" w:hAnsi="新細明體" w:cs="Segoe UI" w:hint="eastAsia"/>
                <w:sz w:val="17"/>
                <w:szCs w:val="17"/>
                <w:lang w:eastAsia="zh-HK"/>
              </w:rPr>
              <w:t>以</w:t>
            </w:r>
            <w:r w:rsidR="009F49C8" w:rsidRPr="00265D68">
              <w:rPr>
                <w:rFonts w:ascii="新細明體" w:eastAsia="新細明體" w:hAnsi="新細明體" w:cs="Segoe UI" w:hint="eastAsia"/>
                <w:sz w:val="17"/>
                <w:szCs w:val="17"/>
                <w:lang w:eastAsia="zh-TW"/>
              </w:rPr>
              <w:t>下</w:t>
            </w:r>
            <w:r w:rsidR="002C51F1" w:rsidRPr="00A31DB0">
              <w:rPr>
                <w:rFonts w:ascii="新細明體" w:eastAsia="新細明體" w:hAnsi="新細明體" w:cs="Segoe UI" w:hint="eastAsia"/>
                <w:sz w:val="17"/>
                <w:szCs w:val="17"/>
                <w:lang w:eastAsia="zh-HK"/>
              </w:rPr>
              <w:t>各項</w:t>
            </w:r>
            <w:r w:rsidR="009F49C8" w:rsidRPr="00265D68">
              <w:rPr>
                <w:rFonts w:ascii="新細明體" w:eastAsia="新細明體" w:hAnsi="新細明體" w:cs="Segoe UI" w:hint="eastAsia"/>
                <w:sz w:val="17"/>
                <w:szCs w:val="17"/>
                <w:lang w:eastAsia="zh-TW"/>
              </w:rPr>
              <w:t>實際風險加權數額的總和</w:t>
            </w:r>
            <w:r w:rsidR="00CF131A">
              <w:rPr>
                <w:rFonts w:asciiTheme="minorEastAsia" w:eastAsiaTheme="minorEastAsia" w:hAnsiTheme="minorEastAsia" w:cs="Segoe UI" w:hint="eastAsia"/>
                <w:sz w:val="17"/>
                <w:szCs w:val="17"/>
                <w:lang w:eastAsia="zh-HK"/>
              </w:rPr>
              <w:t>：</w:t>
            </w:r>
          </w:p>
          <w:p w14:paraId="4D00F164" w14:textId="755C29EA" w:rsidR="009F49C8" w:rsidRDefault="00B40CC0" w:rsidP="00DB6F7B">
            <w:pPr>
              <w:pStyle w:val="ListParagraph"/>
              <w:keepNext/>
              <w:keepLines/>
              <w:numPr>
                <w:ilvl w:val="0"/>
                <w:numId w:val="66"/>
              </w:numPr>
              <w:tabs>
                <w:tab w:val="left" w:pos="347"/>
                <w:tab w:val="left" w:pos="489"/>
                <w:tab w:val="left" w:pos="794"/>
                <w:tab w:val="left" w:pos="1191"/>
              </w:tabs>
              <w:spacing w:before="40" w:after="40"/>
              <w:ind w:leftChars="0" w:left="347" w:hanging="347"/>
              <w:jc w:val="both"/>
              <w:rPr>
                <w:rFonts w:eastAsia="新細明體" w:cs="Segoe UI"/>
                <w:sz w:val="17"/>
                <w:szCs w:val="17"/>
                <w:lang w:eastAsia="zh-TW"/>
              </w:rPr>
            </w:pPr>
            <w:r w:rsidRPr="00FA3712">
              <w:rPr>
                <w:rFonts w:eastAsia="新細明體" w:cs="Segoe UI" w:hint="eastAsia"/>
                <w:sz w:val="17"/>
                <w:szCs w:val="17"/>
                <w:lang w:eastAsia="zh-HK"/>
              </w:rPr>
              <w:t>認可機構以獲得金融管理專員批准採用</w:t>
            </w:r>
            <w:r w:rsidRPr="00FA3712">
              <w:rPr>
                <w:rFonts w:ascii="新細明體" w:eastAsia="新細明體" w:hAnsi="新細明體" w:cs="Segoe UI" w:hint="eastAsia"/>
                <w:sz w:val="17"/>
                <w:szCs w:val="17"/>
                <w:lang w:eastAsia="zh-TW"/>
              </w:rPr>
              <w:t>的</w:t>
            </w:r>
            <w:r w:rsidRPr="00FA3712">
              <w:rPr>
                <w:rFonts w:eastAsia="新細明體" w:cs="Segoe UI"/>
                <w:sz w:val="17"/>
                <w:szCs w:val="17"/>
                <w:lang w:eastAsia="zh-TW"/>
              </w:rPr>
              <w:t>IRB</w:t>
            </w:r>
            <w:r w:rsidRPr="00FA3712">
              <w:rPr>
                <w:rFonts w:eastAsia="新細明體" w:cs="Segoe UI" w:hint="eastAsia"/>
                <w:sz w:val="17"/>
                <w:szCs w:val="17"/>
                <w:lang w:eastAsia="zh-HK"/>
              </w:rPr>
              <w:t>計算法計算的實際風險加權數額</w:t>
            </w:r>
            <w:r w:rsidR="001F4602">
              <w:rPr>
                <w:rFonts w:eastAsia="新細明體" w:cs="Segoe UI" w:hint="eastAsia"/>
                <w:sz w:val="17"/>
                <w:szCs w:val="17"/>
                <w:lang w:eastAsia="zh-TW"/>
              </w:rPr>
              <w:t>；</w:t>
            </w:r>
          </w:p>
          <w:p w14:paraId="18F5D025" w14:textId="19185EC6" w:rsidR="009F49C8" w:rsidRDefault="00B40CC0" w:rsidP="00ED4F18">
            <w:pPr>
              <w:pStyle w:val="ListParagraph"/>
              <w:keepNext/>
              <w:keepLines/>
              <w:numPr>
                <w:ilvl w:val="0"/>
                <w:numId w:val="66"/>
              </w:numPr>
              <w:tabs>
                <w:tab w:val="left" w:pos="150"/>
                <w:tab w:val="left" w:pos="347"/>
                <w:tab w:val="left" w:pos="1191"/>
              </w:tabs>
              <w:spacing w:before="40" w:after="40"/>
              <w:ind w:leftChars="0" w:left="489" w:hanging="489"/>
              <w:jc w:val="both"/>
              <w:rPr>
                <w:rFonts w:eastAsia="新細明體" w:cs="Segoe UI"/>
                <w:sz w:val="17"/>
                <w:szCs w:val="17"/>
                <w:lang w:eastAsia="zh-TW"/>
              </w:rPr>
            </w:pPr>
            <w:r w:rsidRPr="007F3035">
              <w:rPr>
                <w:rFonts w:ascii="新細明體" w:eastAsia="新細明體" w:hAnsi="新細明體" w:cs="Segoe UI" w:hint="eastAsia"/>
                <w:sz w:val="17"/>
                <w:szCs w:val="17"/>
                <w:lang w:eastAsia="zh-TW"/>
              </w:rPr>
              <w:t>以</w:t>
            </w:r>
            <w:r w:rsidRPr="00FA3712">
              <w:rPr>
                <w:rFonts w:eastAsia="新細明體" w:cs="Segoe UI"/>
                <w:sz w:val="17"/>
                <w:szCs w:val="17"/>
                <w:lang w:eastAsia="zh-TW"/>
              </w:rPr>
              <w:t>STC</w:t>
            </w:r>
            <w:r w:rsidRPr="00FA3712">
              <w:rPr>
                <w:rFonts w:eastAsia="新細明體" w:cs="Segoe UI" w:hint="eastAsia"/>
                <w:sz w:val="17"/>
                <w:szCs w:val="17"/>
                <w:lang w:eastAsia="zh-HK"/>
              </w:rPr>
              <w:t>計算法計算的</w:t>
            </w:r>
            <w:r w:rsidR="00A31DB0" w:rsidRPr="00FA3712">
              <w:rPr>
                <w:rFonts w:eastAsia="新細明體" w:cs="Segoe UI" w:hint="eastAsia"/>
                <w:sz w:val="17"/>
                <w:szCs w:val="17"/>
                <w:lang w:eastAsia="zh-HK"/>
              </w:rPr>
              <w:t>實際</w:t>
            </w:r>
            <w:r w:rsidRPr="00FA3712">
              <w:rPr>
                <w:rFonts w:eastAsia="新細明體" w:cs="Segoe UI" w:hint="eastAsia"/>
                <w:sz w:val="17"/>
                <w:szCs w:val="17"/>
                <w:lang w:eastAsia="zh-HK"/>
              </w:rPr>
              <w:t>風險加權數額</w:t>
            </w:r>
            <w:r w:rsidR="001F4602">
              <w:rPr>
                <w:rFonts w:eastAsia="新細明體" w:cs="Segoe UI" w:hint="eastAsia"/>
                <w:sz w:val="17"/>
                <w:szCs w:val="17"/>
                <w:lang w:eastAsia="zh-TW"/>
              </w:rPr>
              <w:t>；</w:t>
            </w:r>
          </w:p>
          <w:p w14:paraId="7F1901E9" w14:textId="4818D4B6" w:rsidR="009F49C8" w:rsidRDefault="00E328A4" w:rsidP="00ED4F18">
            <w:pPr>
              <w:pStyle w:val="ListParagraph"/>
              <w:keepNext/>
              <w:keepLines/>
              <w:numPr>
                <w:ilvl w:val="0"/>
                <w:numId w:val="66"/>
              </w:numPr>
              <w:tabs>
                <w:tab w:val="left" w:pos="150"/>
                <w:tab w:val="left" w:pos="773"/>
                <w:tab w:val="left" w:pos="1191"/>
              </w:tabs>
              <w:spacing w:before="40" w:after="40"/>
              <w:ind w:leftChars="0" w:left="347" w:hanging="347"/>
              <w:jc w:val="both"/>
              <w:rPr>
                <w:rFonts w:eastAsia="新細明體" w:cs="Segoe UI"/>
                <w:sz w:val="17"/>
                <w:szCs w:val="17"/>
                <w:lang w:eastAsia="zh-TW"/>
              </w:rPr>
            </w:pPr>
            <w:r>
              <w:rPr>
                <w:rFonts w:eastAsia="新細明體" w:cs="Segoe UI" w:hint="eastAsia"/>
                <w:sz w:val="17"/>
                <w:szCs w:val="17"/>
                <w:lang w:eastAsia="zh-HK"/>
              </w:rPr>
              <w:t>第</w:t>
            </w:r>
            <w:r w:rsidR="009F49C8" w:rsidRPr="009F49C8">
              <w:rPr>
                <w:rFonts w:eastAsia="新細明體" w:cs="Segoe UI"/>
                <w:sz w:val="17"/>
                <w:szCs w:val="17"/>
                <w:lang w:eastAsia="zh-TW"/>
              </w:rPr>
              <w:t>7a</w:t>
            </w:r>
            <w:r>
              <w:rPr>
                <w:rFonts w:eastAsia="新細明體" w:cs="Segoe UI" w:hint="eastAsia"/>
                <w:sz w:val="17"/>
                <w:szCs w:val="17"/>
                <w:lang w:eastAsia="zh-HK"/>
              </w:rPr>
              <w:t>行</w:t>
            </w:r>
            <w:r w:rsidR="00E95424" w:rsidRPr="00A31DB0">
              <w:rPr>
                <w:rFonts w:eastAsia="新細明體" w:cs="Segoe UI" w:hint="eastAsia"/>
                <w:sz w:val="17"/>
                <w:szCs w:val="17"/>
                <w:lang w:eastAsia="zh-HK"/>
              </w:rPr>
              <w:t>所</w:t>
            </w:r>
            <w:r w:rsidR="009F49C8" w:rsidRPr="00A31DB0">
              <w:rPr>
                <w:rFonts w:eastAsia="新細明體" w:cs="Segoe UI" w:hint="eastAsia"/>
                <w:sz w:val="17"/>
                <w:szCs w:val="17"/>
                <w:lang w:eastAsia="zh-TW"/>
              </w:rPr>
              <w:t>述</w:t>
            </w:r>
            <w:r w:rsidRPr="00A31DB0">
              <w:rPr>
                <w:rFonts w:eastAsia="新細明體" w:cs="Segoe UI" w:hint="eastAsia"/>
                <w:sz w:val="17"/>
                <w:szCs w:val="17"/>
                <w:lang w:eastAsia="zh-HK"/>
              </w:rPr>
              <w:t>的</w:t>
            </w:r>
            <w:r w:rsidR="00E95424" w:rsidRPr="00A31DB0">
              <w:rPr>
                <w:rFonts w:eastAsia="新細明體" w:cs="Segoe UI" w:hint="eastAsia"/>
                <w:sz w:val="17"/>
                <w:szCs w:val="17"/>
                <w:lang w:eastAsia="zh-TW"/>
              </w:rPr>
              <w:t>，</w:t>
            </w:r>
            <w:r w:rsidR="002C51F1" w:rsidRPr="00A31DB0">
              <w:rPr>
                <w:rFonts w:eastAsia="新細明體" w:cs="Segoe UI" w:hint="eastAsia"/>
                <w:sz w:val="17"/>
                <w:szCs w:val="17"/>
                <w:lang w:eastAsia="zh-HK"/>
              </w:rPr>
              <w:t>根</w:t>
            </w:r>
            <w:r w:rsidR="002C51F1" w:rsidRPr="00A31DB0">
              <w:rPr>
                <w:rFonts w:eastAsia="新細明體" w:cs="Segoe UI" w:hint="eastAsia"/>
                <w:sz w:val="17"/>
                <w:szCs w:val="17"/>
                <w:lang w:eastAsia="zh-TW"/>
              </w:rPr>
              <w:t>據</w:t>
            </w:r>
            <w:r w:rsidRPr="00A31DB0">
              <w:rPr>
                <w:rFonts w:eastAsia="新細明體" w:cs="Segoe UI" w:hint="eastAsia"/>
                <w:sz w:val="17"/>
                <w:szCs w:val="17"/>
                <w:lang w:eastAsia="zh-HK"/>
              </w:rPr>
              <w:t>《資本規則》第</w:t>
            </w:r>
            <w:r w:rsidRPr="00A31DB0">
              <w:rPr>
                <w:rFonts w:eastAsia="新細明體" w:cs="Segoe UI"/>
                <w:sz w:val="17"/>
                <w:szCs w:val="17"/>
                <w:lang w:eastAsia="zh-HK"/>
              </w:rPr>
              <w:t>376</w:t>
            </w:r>
            <w:r w:rsidRPr="00A31DB0">
              <w:rPr>
                <w:rFonts w:eastAsia="新細明體" w:cs="Segoe UI" w:hint="eastAsia"/>
                <w:sz w:val="17"/>
                <w:szCs w:val="17"/>
                <w:lang w:eastAsia="zh-HK"/>
              </w:rPr>
              <w:t>條及第</w:t>
            </w:r>
            <w:r w:rsidRPr="00A31DB0">
              <w:rPr>
                <w:rFonts w:eastAsia="新細明體" w:cs="Segoe UI"/>
                <w:sz w:val="17"/>
                <w:szCs w:val="17"/>
                <w:lang w:eastAsia="zh-HK"/>
              </w:rPr>
              <w:t>12</w:t>
            </w:r>
            <w:r w:rsidRPr="00A31DB0">
              <w:rPr>
                <w:rFonts w:eastAsia="新細明體" w:cs="Segoe UI" w:hint="eastAsia"/>
                <w:sz w:val="17"/>
                <w:szCs w:val="17"/>
                <w:lang w:eastAsia="zh-HK"/>
              </w:rPr>
              <w:t>部第</w:t>
            </w:r>
            <w:r w:rsidRPr="00A31DB0">
              <w:rPr>
                <w:rFonts w:eastAsia="新細明體" w:cs="Segoe UI"/>
                <w:sz w:val="17"/>
                <w:szCs w:val="17"/>
                <w:lang w:eastAsia="zh-HK"/>
              </w:rPr>
              <w:t>5</w:t>
            </w:r>
            <w:r w:rsidRPr="00A31DB0">
              <w:rPr>
                <w:rFonts w:eastAsia="新細明體" w:cs="Segoe UI" w:hint="eastAsia"/>
                <w:sz w:val="17"/>
                <w:szCs w:val="17"/>
                <w:lang w:eastAsia="zh-HK"/>
              </w:rPr>
              <w:t>、</w:t>
            </w:r>
            <w:r w:rsidRPr="00A31DB0">
              <w:rPr>
                <w:rFonts w:eastAsia="新細明體" w:cs="Segoe UI"/>
                <w:sz w:val="17"/>
                <w:szCs w:val="17"/>
                <w:lang w:eastAsia="zh-HK"/>
              </w:rPr>
              <w:t>6</w:t>
            </w:r>
            <w:r w:rsidRPr="00A31DB0">
              <w:rPr>
                <w:rFonts w:eastAsia="新細明體" w:cs="Segoe UI" w:hint="eastAsia"/>
                <w:sz w:val="17"/>
                <w:szCs w:val="17"/>
                <w:lang w:eastAsia="zh-HK"/>
              </w:rPr>
              <w:t>及</w:t>
            </w:r>
            <w:r w:rsidRPr="00A31DB0">
              <w:rPr>
                <w:rFonts w:eastAsia="新細明體" w:cs="Segoe UI"/>
                <w:sz w:val="17"/>
                <w:szCs w:val="17"/>
                <w:lang w:eastAsia="zh-HK"/>
              </w:rPr>
              <w:t>8</w:t>
            </w:r>
            <w:r w:rsidRPr="00A31DB0">
              <w:rPr>
                <w:rFonts w:eastAsia="新細明體" w:cs="Segoe UI" w:hint="eastAsia"/>
                <w:sz w:val="17"/>
                <w:szCs w:val="17"/>
                <w:lang w:eastAsia="zh-HK"/>
              </w:rPr>
              <w:t>分部計算</w:t>
            </w:r>
            <w:r w:rsidR="00E95424" w:rsidRPr="00A31DB0">
              <w:rPr>
                <w:rFonts w:eastAsia="新細明體" w:cs="Segoe UI" w:hint="eastAsia"/>
                <w:sz w:val="17"/>
                <w:szCs w:val="17"/>
                <w:lang w:eastAsia="zh-TW"/>
              </w:rPr>
              <w:t>的</w:t>
            </w:r>
            <w:r w:rsidR="00E95424" w:rsidRPr="00A31DB0">
              <w:rPr>
                <w:rFonts w:eastAsia="新細明體" w:cs="Segoe UI" w:hint="eastAsia"/>
                <w:sz w:val="17"/>
                <w:szCs w:val="17"/>
                <w:lang w:eastAsia="zh-HK"/>
              </w:rPr>
              <w:t>、</w:t>
            </w:r>
            <w:r w:rsidRPr="00A31DB0">
              <w:rPr>
                <w:rFonts w:eastAsia="新細明體" w:cs="Segoe UI" w:hint="eastAsia"/>
                <w:sz w:val="17"/>
                <w:szCs w:val="17"/>
                <w:lang w:eastAsia="zh-HK"/>
              </w:rPr>
              <w:t>對</w:t>
            </w:r>
            <w:r w:rsidR="00E95424" w:rsidRPr="00A31DB0">
              <w:rPr>
                <w:rFonts w:eastAsia="新細明體" w:cs="Segoe UI" w:hint="eastAsia"/>
                <w:sz w:val="17"/>
                <w:szCs w:val="17"/>
                <w:lang w:eastAsia="zh-HK"/>
              </w:rPr>
              <w:t>信用風險的</w:t>
            </w:r>
            <w:r w:rsidRPr="00A31DB0">
              <w:rPr>
                <w:rFonts w:eastAsia="新細明體" w:cs="Segoe UI" w:hint="eastAsia"/>
                <w:sz w:val="17"/>
                <w:szCs w:val="17"/>
                <w:lang w:eastAsia="zh-HK"/>
              </w:rPr>
              <w:t>加密資產風</w:t>
            </w:r>
            <w:r w:rsidR="002C51F1" w:rsidRPr="00A31DB0">
              <w:rPr>
                <w:rFonts w:eastAsia="新細明體" w:cs="Segoe UI" w:hint="eastAsia"/>
                <w:sz w:val="17"/>
                <w:szCs w:val="17"/>
                <w:lang w:eastAsia="zh-HK"/>
              </w:rPr>
              <w:t>險</w:t>
            </w:r>
            <w:r w:rsidRPr="00A31DB0">
              <w:rPr>
                <w:rFonts w:eastAsia="新細明體" w:cs="Segoe UI" w:hint="eastAsia"/>
                <w:sz w:val="17"/>
                <w:szCs w:val="17"/>
                <w:lang w:eastAsia="zh-HK"/>
              </w:rPr>
              <w:t>承擔</w:t>
            </w:r>
            <w:r w:rsidR="00EB162E" w:rsidRPr="00FA3712">
              <w:rPr>
                <w:rFonts w:eastAsia="新細明體" w:cs="Segoe UI" w:hint="eastAsia"/>
                <w:sz w:val="17"/>
                <w:szCs w:val="17"/>
                <w:lang w:eastAsia="zh-TW"/>
              </w:rPr>
              <w:t>的</w:t>
            </w:r>
            <w:r w:rsidR="009F49C8" w:rsidRPr="009F49C8">
              <w:rPr>
                <w:rFonts w:eastAsia="新細明體" w:cs="Segoe UI" w:hint="eastAsia"/>
                <w:sz w:val="17"/>
                <w:szCs w:val="17"/>
                <w:lang w:eastAsia="zh-TW"/>
              </w:rPr>
              <w:t>實際風險加權數額。</w:t>
            </w:r>
          </w:p>
          <w:p w14:paraId="3C038329" w14:textId="095438F0" w:rsidR="00190D67" w:rsidRPr="00A31DB0" w:rsidRDefault="00B40CC0" w:rsidP="009F49C8">
            <w:pPr>
              <w:keepNext/>
              <w:keepLines/>
              <w:tabs>
                <w:tab w:val="left" w:pos="150"/>
                <w:tab w:val="left" w:pos="397"/>
                <w:tab w:val="left" w:pos="794"/>
                <w:tab w:val="left" w:pos="1191"/>
              </w:tabs>
              <w:spacing w:before="40" w:after="40"/>
              <w:jc w:val="both"/>
              <w:rPr>
                <w:rFonts w:eastAsia="新細明體" w:cs="Segoe UI"/>
                <w:sz w:val="17"/>
                <w:szCs w:val="17"/>
                <w:lang w:eastAsia="zh-TW"/>
              </w:rPr>
            </w:pPr>
            <w:r w:rsidRPr="00A31DB0">
              <w:rPr>
                <w:rFonts w:eastAsia="新細明體" w:cs="Segoe UI" w:hint="eastAsia"/>
                <w:sz w:val="17"/>
                <w:szCs w:val="17"/>
                <w:lang w:eastAsia="zh-HK"/>
              </w:rPr>
              <w:t>至於以</w:t>
            </w:r>
            <w:r w:rsidRPr="00A31DB0">
              <w:rPr>
                <w:rFonts w:eastAsia="新細明體" w:cs="Segoe UI"/>
                <w:sz w:val="17"/>
                <w:szCs w:val="17"/>
                <w:lang w:eastAsia="zh-TW"/>
              </w:rPr>
              <w:t>STC</w:t>
            </w:r>
            <w:r w:rsidRPr="00A31DB0">
              <w:rPr>
                <w:rFonts w:eastAsia="新細明體" w:cs="Segoe UI" w:hint="eastAsia"/>
                <w:sz w:val="17"/>
                <w:szCs w:val="17"/>
                <w:lang w:eastAsia="zh-HK"/>
              </w:rPr>
              <w:t>計算法計算實際風險加權數額的風險承擔</w:t>
            </w:r>
            <w:r w:rsidRPr="00A31DB0">
              <w:rPr>
                <w:rFonts w:eastAsia="新細明體" w:cs="Segoe UI" w:hint="eastAsia"/>
                <w:sz w:val="17"/>
                <w:szCs w:val="17"/>
                <w:lang w:eastAsia="zh-TW"/>
              </w:rPr>
              <w:t>，</w:t>
            </w:r>
            <w:r w:rsidR="003C38C5" w:rsidRPr="00A31DB0">
              <w:rPr>
                <w:rFonts w:eastAsia="新細明體" w:cs="Segoe UI" w:hint="eastAsia"/>
                <w:sz w:val="17"/>
                <w:szCs w:val="17"/>
                <w:lang w:eastAsia="zh-HK"/>
              </w:rPr>
              <w:t>應按</w:t>
            </w:r>
            <w:r w:rsidR="003C38C5" w:rsidRPr="00A31DB0">
              <w:rPr>
                <w:rFonts w:eastAsia="新細明體" w:cs="Segoe UI" w:hint="eastAsia"/>
                <w:sz w:val="17"/>
                <w:szCs w:val="17"/>
                <w:lang w:eastAsia="zh-TW"/>
              </w:rPr>
              <w:t>照</w:t>
            </w:r>
            <w:r w:rsidR="003C38C5" w:rsidRPr="00A31DB0">
              <w:rPr>
                <w:rFonts w:eastAsia="新細明體" w:cs="Segoe UI" w:hint="eastAsia"/>
                <w:sz w:val="17"/>
                <w:szCs w:val="17"/>
                <w:lang w:eastAsia="zh-HK"/>
              </w:rPr>
              <w:t>其在</w:t>
            </w:r>
            <w:r w:rsidR="003C38C5" w:rsidRPr="00A31DB0">
              <w:rPr>
                <w:rFonts w:eastAsia="新細明體" w:cs="Segoe UI"/>
                <w:sz w:val="17"/>
                <w:szCs w:val="17"/>
                <w:lang w:eastAsia="zh-TW"/>
              </w:rPr>
              <w:t>IRB</w:t>
            </w:r>
            <w:r w:rsidR="003C38C5" w:rsidRPr="00A31DB0">
              <w:rPr>
                <w:rFonts w:eastAsia="新細明體" w:cs="Segoe UI" w:hint="eastAsia"/>
                <w:sz w:val="17"/>
                <w:szCs w:val="17"/>
                <w:lang w:eastAsia="zh-HK"/>
              </w:rPr>
              <w:t>計算法下所屬的</w:t>
            </w:r>
            <w:r w:rsidR="003C38C5" w:rsidRPr="00A31DB0">
              <w:rPr>
                <w:rFonts w:eastAsia="新細明體" w:cs="Segoe UI"/>
                <w:sz w:val="17"/>
                <w:szCs w:val="17"/>
                <w:lang w:eastAsia="zh-TW"/>
              </w:rPr>
              <w:t>IRB</w:t>
            </w:r>
            <w:r w:rsidR="003C38C5" w:rsidRPr="00A31DB0">
              <w:rPr>
                <w:rFonts w:eastAsia="新細明體" w:cs="Segoe UI" w:hint="eastAsia"/>
                <w:sz w:val="17"/>
                <w:szCs w:val="17"/>
                <w:lang w:eastAsia="zh-HK"/>
              </w:rPr>
              <w:t>類別和</w:t>
            </w:r>
            <w:r w:rsidR="003C38C5" w:rsidRPr="00A31DB0">
              <w:rPr>
                <w:rFonts w:eastAsia="新細明體" w:cs="Segoe UI"/>
                <w:sz w:val="17"/>
                <w:szCs w:val="17"/>
                <w:lang w:eastAsia="zh-TW"/>
              </w:rPr>
              <w:t>IRB</w:t>
            </w:r>
            <w:r w:rsidR="003C38C5" w:rsidRPr="00A31DB0">
              <w:rPr>
                <w:rFonts w:eastAsia="新細明體" w:cs="Segoe UI" w:hint="eastAsia"/>
                <w:sz w:val="17"/>
                <w:szCs w:val="17"/>
                <w:lang w:eastAsia="zh-HK"/>
              </w:rPr>
              <w:t>子類別進行披露，如</w:t>
            </w:r>
            <w:r w:rsidR="00D66815" w:rsidRPr="00A31DB0">
              <w:rPr>
                <w:rFonts w:eastAsia="新細明體" w:cs="Segoe UI" w:hint="eastAsia"/>
                <w:sz w:val="17"/>
                <w:szCs w:val="17"/>
                <w:lang w:eastAsia="zh-HK"/>
              </w:rPr>
              <w:t>同</w:t>
            </w:r>
            <w:r w:rsidR="003C38C5" w:rsidRPr="00A31DB0">
              <w:rPr>
                <w:rFonts w:eastAsia="新細明體" w:cs="Segoe UI" w:hint="eastAsia"/>
                <w:sz w:val="17"/>
                <w:szCs w:val="17"/>
                <w:lang w:eastAsia="zh-HK"/>
              </w:rPr>
              <w:t>使用</w:t>
            </w:r>
            <w:r w:rsidR="003C38C5" w:rsidRPr="00A31DB0">
              <w:rPr>
                <w:rFonts w:eastAsia="新細明體" w:cs="Segoe UI"/>
                <w:sz w:val="17"/>
                <w:szCs w:val="17"/>
                <w:lang w:eastAsia="zh-TW"/>
              </w:rPr>
              <w:t>IRB</w:t>
            </w:r>
            <w:r w:rsidR="003C38C5" w:rsidRPr="00A31DB0">
              <w:rPr>
                <w:rFonts w:eastAsia="新細明體" w:cs="Segoe UI" w:hint="eastAsia"/>
                <w:sz w:val="17"/>
                <w:szCs w:val="17"/>
                <w:lang w:eastAsia="zh-HK"/>
              </w:rPr>
              <w:t>計算法一樣。</w:t>
            </w:r>
          </w:p>
        </w:tc>
      </w:tr>
      <w:tr w:rsidR="006A6FF6" w:rsidRPr="006A6FF6" w14:paraId="7C080370" w14:textId="77777777" w:rsidTr="00862754">
        <w:tc>
          <w:tcPr>
            <w:tcW w:w="567" w:type="dxa"/>
            <w:shd w:val="clear" w:color="auto" w:fill="auto"/>
          </w:tcPr>
          <w:p w14:paraId="37BD4DA4" w14:textId="77777777" w:rsidR="00190D67" w:rsidRPr="006A6FF6" w:rsidRDefault="00190D67" w:rsidP="00862754">
            <w:pPr>
              <w:keepNext/>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sz w:val="17"/>
                <w:szCs w:val="17"/>
                <w:lang w:eastAsia="en-GB"/>
              </w:rPr>
              <w:t>(d)</w:t>
            </w:r>
          </w:p>
        </w:tc>
        <w:tc>
          <w:tcPr>
            <w:tcW w:w="8647" w:type="dxa"/>
            <w:shd w:val="clear" w:color="auto" w:fill="auto"/>
          </w:tcPr>
          <w:p w14:paraId="745856D4" w14:textId="2D86A169" w:rsidR="00190D67" w:rsidRPr="006A6FF6" w:rsidRDefault="000F2795" w:rsidP="0008665B">
            <w:pPr>
              <w:keepNext/>
              <w:keepLines/>
              <w:tabs>
                <w:tab w:val="left" w:pos="150"/>
                <w:tab w:val="left" w:pos="397"/>
                <w:tab w:val="left" w:pos="794"/>
                <w:tab w:val="left" w:pos="1191"/>
              </w:tabs>
              <w:spacing w:before="40" w:after="40"/>
              <w:jc w:val="both"/>
              <w:rPr>
                <w:rFonts w:eastAsia="新細明體" w:cs="Segoe UI"/>
                <w:b/>
                <w:sz w:val="17"/>
                <w:lang w:eastAsia="zh-TW"/>
              </w:rPr>
            </w:pPr>
            <w:r w:rsidRPr="006A6FF6">
              <w:rPr>
                <w:rFonts w:eastAsia="新細明體" w:cs="Segoe UI" w:hint="eastAsia"/>
                <w:i/>
                <w:sz w:val="17"/>
                <w:szCs w:val="17"/>
                <w:lang w:eastAsia="zh-HK"/>
              </w:rPr>
              <w:t>採</w:t>
            </w:r>
            <w:r w:rsidR="00190D67" w:rsidRPr="006A6FF6">
              <w:rPr>
                <w:rFonts w:eastAsia="新細明體" w:cs="Segoe UI" w:hint="eastAsia"/>
                <w:i/>
                <w:sz w:val="17"/>
                <w:szCs w:val="17"/>
                <w:lang w:eastAsia="zh-HK"/>
              </w:rPr>
              <w:t>用全</w:t>
            </w:r>
            <w:r w:rsidR="00A1159A" w:rsidRPr="006A6FF6">
              <w:rPr>
                <w:rFonts w:eastAsia="新細明體" w:cs="Segoe UI" w:hint="eastAsia"/>
                <w:i/>
                <w:sz w:val="17"/>
                <w:szCs w:val="17"/>
                <w:lang w:eastAsia="zh-HK"/>
              </w:rPr>
              <w:t>面</w:t>
            </w:r>
            <w:r w:rsidR="00190D67" w:rsidRPr="006A6FF6">
              <w:rPr>
                <w:rFonts w:eastAsia="新細明體" w:cs="Segoe UI" w:hint="eastAsia"/>
                <w:i/>
                <w:sz w:val="17"/>
                <w:szCs w:val="17"/>
                <w:lang w:eastAsia="zh-HK"/>
              </w:rPr>
              <w:t>標準計算法計算的風險加權數額</w:t>
            </w:r>
            <w:r w:rsidR="00190D67" w:rsidRPr="006A6FF6">
              <w:rPr>
                <w:rFonts w:eastAsia="新細明體" w:cs="Segoe UI"/>
                <w:sz w:val="17"/>
                <w:szCs w:val="17"/>
                <w:lang w:eastAsia="zh-TW"/>
              </w:rPr>
              <w:t>：</w:t>
            </w:r>
            <w:r w:rsidR="00190D67" w:rsidRPr="006A6FF6">
              <w:rPr>
                <w:rFonts w:eastAsia="新細明體" w:cs="Segoe UI" w:hint="eastAsia"/>
                <w:sz w:val="17"/>
                <w:szCs w:val="17"/>
                <w:lang w:eastAsia="zh-HK"/>
              </w:rPr>
              <w:t>這是</w:t>
            </w:r>
            <w:r w:rsidR="0008665B" w:rsidRPr="0008665B">
              <w:rPr>
                <w:rFonts w:eastAsia="新細明體" w:cs="Segoe UI" w:hint="eastAsia"/>
                <w:sz w:val="17"/>
                <w:szCs w:val="17"/>
                <w:lang w:eastAsia="zh-HK"/>
              </w:rPr>
              <w:t>就引致</w:t>
            </w:r>
            <w:r w:rsidR="0008665B" w:rsidRPr="006A6FF6">
              <w:rPr>
                <w:rFonts w:eastAsia="新細明體" w:cs="Segoe UI"/>
                <w:sz w:val="17"/>
                <w:szCs w:val="17"/>
                <w:lang w:eastAsia="zh-HK"/>
              </w:rPr>
              <w:t>(c)</w:t>
            </w:r>
            <w:r w:rsidR="0008665B" w:rsidRPr="006A6FF6">
              <w:rPr>
                <w:rFonts w:eastAsia="新細明體" w:cs="Segoe UI" w:hint="eastAsia"/>
                <w:sz w:val="17"/>
                <w:szCs w:val="17"/>
                <w:lang w:eastAsia="zh-HK"/>
              </w:rPr>
              <w:t>欄</w:t>
            </w:r>
            <w:r w:rsidR="0008665B" w:rsidRPr="0008665B">
              <w:rPr>
                <w:rFonts w:eastAsia="新細明體" w:cs="Segoe UI" w:hint="eastAsia"/>
                <w:sz w:val="17"/>
                <w:szCs w:val="17"/>
                <w:lang w:eastAsia="zh-HK"/>
              </w:rPr>
              <w:t>填報的風險加權數額的風險承擔</w:t>
            </w:r>
            <w:r w:rsidR="0008665B">
              <w:rPr>
                <w:rFonts w:eastAsia="新細明體" w:cs="Segoe UI" w:hint="eastAsia"/>
                <w:sz w:val="17"/>
                <w:szCs w:val="17"/>
                <w:lang w:eastAsia="zh-HK"/>
              </w:rPr>
              <w:t>，</w:t>
            </w:r>
            <w:r w:rsidR="00190D67" w:rsidRPr="006A6FF6">
              <w:rPr>
                <w:rFonts w:eastAsia="新細明體" w:cs="Segoe UI" w:hint="eastAsia"/>
                <w:sz w:val="17"/>
                <w:szCs w:val="17"/>
                <w:lang w:eastAsia="zh-HK"/>
              </w:rPr>
              <w:t>按照</w:t>
            </w:r>
            <w:r w:rsidR="00190D67" w:rsidRPr="006A6FF6">
              <w:rPr>
                <w:rFonts w:ascii="細明體" w:eastAsia="細明體" w:hAnsi="細明體" w:cs="Segoe UI" w:hint="eastAsia"/>
                <w:sz w:val="17"/>
                <w:szCs w:val="17"/>
                <w:lang w:eastAsia="zh-TW"/>
              </w:rPr>
              <w:t>《</w:t>
            </w:r>
            <w:r w:rsidR="00190D67" w:rsidRPr="006A6FF6">
              <w:rPr>
                <w:rFonts w:ascii="細明體" w:eastAsia="細明體" w:hAnsi="細明體" w:cs="Segoe UI" w:hint="eastAsia"/>
                <w:sz w:val="17"/>
                <w:szCs w:val="17"/>
                <w:lang w:eastAsia="zh-HK"/>
              </w:rPr>
              <w:t>資本規則</w:t>
            </w:r>
            <w:r w:rsidR="00190D67" w:rsidRPr="006A6FF6">
              <w:rPr>
                <w:rFonts w:ascii="細明體" w:eastAsia="細明體" w:hAnsi="細明體" w:cs="Segoe UI" w:hint="eastAsia"/>
                <w:sz w:val="17"/>
                <w:szCs w:val="17"/>
                <w:lang w:eastAsia="zh-TW"/>
              </w:rPr>
              <w:t>》</w:t>
            </w:r>
            <w:r w:rsidR="00190D67" w:rsidRPr="006A6FF6">
              <w:rPr>
                <w:rFonts w:eastAsia="新細明體" w:cs="Segoe UI"/>
                <w:sz w:val="17"/>
                <w:szCs w:val="17"/>
                <w:lang w:eastAsia="zh-TW"/>
              </w:rPr>
              <w:t>第</w:t>
            </w:r>
            <w:r w:rsidR="00072165" w:rsidRPr="006A6FF6">
              <w:rPr>
                <w:rFonts w:eastAsia="新細明體" w:cs="Segoe UI" w:hint="eastAsia"/>
                <w:sz w:val="17"/>
                <w:szCs w:val="17"/>
                <w:lang w:eastAsia="zh-TW"/>
              </w:rPr>
              <w:t>356(2)(</w:t>
            </w:r>
            <w:r w:rsidR="00072165" w:rsidRPr="006A6FF6">
              <w:rPr>
                <w:rFonts w:eastAsia="新細明體" w:cs="Segoe UI" w:hint="eastAsia"/>
                <w:sz w:val="17"/>
                <w:szCs w:val="17"/>
                <w:lang w:eastAsia="zh-HK"/>
              </w:rPr>
              <w:t>a)</w:t>
            </w:r>
            <w:r w:rsidR="00072165" w:rsidRPr="006A6FF6">
              <w:rPr>
                <w:rFonts w:eastAsia="新細明體" w:cs="Segoe UI" w:hint="eastAsia"/>
                <w:sz w:val="17"/>
                <w:szCs w:val="17"/>
                <w:lang w:eastAsia="zh-HK"/>
              </w:rPr>
              <w:t>條</w:t>
            </w:r>
            <w:r w:rsidR="00190D67" w:rsidRPr="006A6FF6">
              <w:rPr>
                <w:rFonts w:eastAsia="新細明體" w:cs="Segoe UI" w:hint="eastAsia"/>
                <w:sz w:val="17"/>
                <w:szCs w:val="17"/>
                <w:lang w:eastAsia="zh-HK"/>
              </w:rPr>
              <w:t>假設在風險承擔類別層面</w:t>
            </w:r>
            <w:r w:rsidR="00021987" w:rsidRPr="006A6FF6">
              <w:rPr>
                <w:rFonts w:eastAsia="新細明體" w:cs="Segoe UI" w:hint="eastAsia"/>
                <w:sz w:val="17"/>
                <w:szCs w:val="17"/>
                <w:lang w:eastAsia="zh-HK"/>
              </w:rPr>
              <w:t>上</w:t>
            </w:r>
            <w:r w:rsidR="00190D67" w:rsidRPr="006A6FF6">
              <w:rPr>
                <w:rFonts w:eastAsia="新細明體" w:cs="Segoe UI" w:hint="eastAsia"/>
                <w:sz w:val="17"/>
                <w:szCs w:val="17"/>
                <w:lang w:eastAsia="zh-HK"/>
              </w:rPr>
              <w:t>使用</w:t>
            </w:r>
            <w:r w:rsidR="003A3994" w:rsidRPr="006A6FF6">
              <w:rPr>
                <w:rFonts w:eastAsia="新細明體" w:cs="Segoe UI" w:hint="eastAsia"/>
                <w:sz w:val="17"/>
                <w:szCs w:val="17"/>
                <w:lang w:eastAsia="zh-HK"/>
              </w:rPr>
              <w:t>非證券化類別的信用風險的</w:t>
            </w:r>
            <w:r w:rsidR="00190D67" w:rsidRPr="006A6FF6">
              <w:rPr>
                <w:rFonts w:eastAsia="新細明體" w:cs="Segoe UI" w:hint="eastAsia"/>
                <w:sz w:val="17"/>
                <w:szCs w:val="17"/>
                <w:lang w:eastAsia="zh-HK"/>
              </w:rPr>
              <w:t>全</w:t>
            </w:r>
            <w:r w:rsidR="003A3994" w:rsidRPr="006A6FF6">
              <w:rPr>
                <w:rFonts w:eastAsia="新細明體" w:cs="Segoe UI" w:hint="eastAsia"/>
                <w:sz w:val="17"/>
                <w:szCs w:val="17"/>
                <w:lang w:eastAsia="zh-HK"/>
              </w:rPr>
              <w:t>面</w:t>
            </w:r>
            <w:r w:rsidR="00190D67" w:rsidRPr="006A6FF6">
              <w:rPr>
                <w:rFonts w:eastAsia="新細明體" w:cs="Segoe UI" w:hint="eastAsia"/>
                <w:sz w:val="17"/>
                <w:szCs w:val="17"/>
                <w:lang w:eastAsia="zh-HK"/>
              </w:rPr>
              <w:t>標準計算法</w:t>
            </w:r>
            <w:r w:rsidR="00756432" w:rsidRPr="006A6FF6">
              <w:rPr>
                <w:rFonts w:eastAsia="新細明體" w:cs="Segoe UI" w:hint="eastAsia"/>
                <w:sz w:val="17"/>
                <w:lang w:eastAsia="zh-HK"/>
              </w:rPr>
              <w:t>所</w:t>
            </w:r>
            <w:r w:rsidR="00190D67" w:rsidRPr="006A6FF6">
              <w:rPr>
                <w:rFonts w:eastAsia="新細明體" w:cs="Segoe UI" w:hint="eastAsia"/>
                <w:sz w:val="17"/>
                <w:szCs w:val="17"/>
                <w:lang w:eastAsia="zh-HK"/>
              </w:rPr>
              <w:t>得的總風險加權數額</w:t>
            </w:r>
            <w:r w:rsidR="00190D67" w:rsidRPr="006A6FF6">
              <w:rPr>
                <w:rFonts w:eastAsia="新細明體" w:cs="Segoe UI" w:hint="eastAsia"/>
                <w:sz w:val="17"/>
                <w:szCs w:val="17"/>
                <w:lang w:eastAsia="zh-TW"/>
              </w:rPr>
              <w:t>。</w:t>
            </w:r>
            <w:r w:rsidR="00190D67" w:rsidRPr="006A6FF6">
              <w:rPr>
                <w:rFonts w:eastAsia="新細明體" w:cs="Segoe UI" w:hint="eastAsia"/>
                <w:sz w:val="17"/>
                <w:szCs w:val="17"/>
                <w:lang w:eastAsia="zh-HK"/>
              </w:rPr>
              <w:t>至於</w:t>
            </w:r>
            <w:r w:rsidR="003F79BC" w:rsidRPr="006A6FF6">
              <w:rPr>
                <w:rFonts w:eastAsia="新細明體" w:cs="Segoe UI" w:hint="eastAsia"/>
                <w:sz w:val="17"/>
                <w:szCs w:val="17"/>
                <w:lang w:eastAsia="zh-HK"/>
              </w:rPr>
              <w:t>在</w:t>
            </w:r>
            <w:r w:rsidR="00190D67" w:rsidRPr="006A6FF6">
              <w:rPr>
                <w:rFonts w:eastAsia="新細明體" w:cs="Segoe UI"/>
                <w:sz w:val="17"/>
                <w:szCs w:val="17"/>
                <w:lang w:eastAsia="zh-HK"/>
              </w:rPr>
              <w:t>(c)</w:t>
            </w:r>
            <w:r w:rsidR="00190D67" w:rsidRPr="006A6FF6">
              <w:rPr>
                <w:rFonts w:eastAsia="新細明體" w:cs="Segoe UI" w:hint="eastAsia"/>
                <w:sz w:val="17"/>
                <w:szCs w:val="17"/>
                <w:lang w:eastAsia="zh-HK"/>
              </w:rPr>
              <w:t>欄</w:t>
            </w:r>
            <w:r w:rsidR="003C3F82" w:rsidRPr="006A6FF6">
              <w:rPr>
                <w:rFonts w:eastAsia="新細明體" w:cs="Segoe UI" w:hint="eastAsia"/>
                <w:sz w:val="17"/>
                <w:szCs w:val="17"/>
                <w:lang w:eastAsia="zh-HK"/>
              </w:rPr>
              <w:t>中</w:t>
            </w:r>
            <w:r w:rsidR="003A2CD5" w:rsidRPr="006A6FF6">
              <w:rPr>
                <w:rFonts w:eastAsia="新細明體" w:cs="Segoe UI" w:hint="eastAsia"/>
                <w:sz w:val="17"/>
                <w:szCs w:val="17"/>
                <w:lang w:eastAsia="zh-HK"/>
              </w:rPr>
              <w:t>以</w:t>
            </w:r>
            <w:r w:rsidR="00190D67" w:rsidRPr="006A6FF6">
              <w:rPr>
                <w:rFonts w:eastAsia="新細明體" w:cs="Segoe UI" w:hint="eastAsia"/>
                <w:sz w:val="17"/>
                <w:szCs w:val="17"/>
                <w:lang w:eastAsia="zh-TW"/>
              </w:rPr>
              <w:t>STC</w:t>
            </w:r>
            <w:r w:rsidR="00190D67" w:rsidRPr="006A6FF6">
              <w:rPr>
                <w:rFonts w:eastAsia="新細明體" w:cs="Segoe UI" w:hint="eastAsia"/>
                <w:sz w:val="17"/>
                <w:szCs w:val="17"/>
                <w:lang w:eastAsia="zh-HK"/>
              </w:rPr>
              <w:t>計算法計算</w:t>
            </w:r>
            <w:r w:rsidR="003C3F82" w:rsidRPr="006A6FF6">
              <w:rPr>
                <w:rFonts w:eastAsia="新細明體" w:cs="Segoe UI" w:hint="eastAsia"/>
                <w:sz w:val="17"/>
                <w:szCs w:val="17"/>
                <w:lang w:eastAsia="zh-HK"/>
              </w:rPr>
              <w:t>實際風險加權數額</w:t>
            </w:r>
            <w:r w:rsidR="00190D67" w:rsidRPr="006A6FF6">
              <w:rPr>
                <w:rFonts w:eastAsia="新細明體" w:cs="Segoe UI" w:hint="eastAsia"/>
                <w:sz w:val="17"/>
                <w:szCs w:val="17"/>
                <w:lang w:eastAsia="zh-HK"/>
              </w:rPr>
              <w:t>的風險承擔</w:t>
            </w:r>
            <w:r w:rsidR="00190D67" w:rsidRPr="006A6FF6">
              <w:rPr>
                <w:rFonts w:eastAsia="新細明體" w:cs="Segoe UI" w:hint="eastAsia"/>
                <w:sz w:val="17"/>
                <w:szCs w:val="17"/>
                <w:lang w:eastAsia="zh-TW"/>
              </w:rPr>
              <w:t>，</w:t>
            </w:r>
            <w:r w:rsidR="003C38C5" w:rsidRPr="006A6FF6">
              <w:rPr>
                <w:rFonts w:eastAsia="新細明體" w:cs="Segoe UI" w:hint="eastAsia"/>
                <w:sz w:val="17"/>
                <w:szCs w:val="17"/>
                <w:lang w:eastAsia="zh-HK"/>
              </w:rPr>
              <w:t>應按</w:t>
            </w:r>
            <w:r w:rsidR="003C38C5" w:rsidRPr="006A6FF6">
              <w:rPr>
                <w:rFonts w:eastAsia="新細明體" w:cs="Segoe UI" w:hint="eastAsia"/>
                <w:sz w:val="17"/>
                <w:szCs w:val="17"/>
                <w:lang w:eastAsia="zh-TW"/>
              </w:rPr>
              <w:t>照</w:t>
            </w:r>
            <w:r w:rsidR="003C38C5" w:rsidRPr="006A6FF6">
              <w:rPr>
                <w:rFonts w:eastAsia="新細明體" w:cs="Segoe UI" w:hint="eastAsia"/>
                <w:sz w:val="17"/>
                <w:szCs w:val="17"/>
                <w:lang w:eastAsia="zh-HK"/>
              </w:rPr>
              <w:t>其在</w:t>
            </w:r>
            <w:r w:rsidR="003C38C5" w:rsidRPr="006A6FF6">
              <w:rPr>
                <w:rFonts w:eastAsia="新細明體" w:cs="Segoe UI" w:hint="eastAsia"/>
                <w:sz w:val="17"/>
                <w:szCs w:val="17"/>
                <w:lang w:eastAsia="zh-TW"/>
              </w:rPr>
              <w:t>IRB</w:t>
            </w:r>
            <w:r w:rsidR="003C38C5" w:rsidRPr="006A6FF6">
              <w:rPr>
                <w:rFonts w:eastAsia="新細明體" w:cs="Segoe UI" w:hint="eastAsia"/>
                <w:sz w:val="17"/>
                <w:szCs w:val="17"/>
                <w:lang w:eastAsia="zh-HK"/>
              </w:rPr>
              <w:t>計算法下所屬的</w:t>
            </w:r>
            <w:r w:rsidR="003C38C5" w:rsidRPr="006A6FF6">
              <w:rPr>
                <w:rFonts w:eastAsia="新細明體" w:cs="Segoe UI" w:hint="eastAsia"/>
                <w:sz w:val="17"/>
                <w:szCs w:val="17"/>
                <w:lang w:eastAsia="zh-TW"/>
              </w:rPr>
              <w:t>IRB</w:t>
            </w:r>
            <w:r w:rsidR="003C38C5" w:rsidRPr="006A6FF6">
              <w:rPr>
                <w:rFonts w:eastAsia="新細明體" w:cs="Segoe UI" w:hint="eastAsia"/>
                <w:sz w:val="17"/>
                <w:szCs w:val="17"/>
                <w:lang w:eastAsia="zh-HK"/>
              </w:rPr>
              <w:t>類別和</w:t>
            </w:r>
            <w:r w:rsidR="003C38C5" w:rsidRPr="006A6FF6">
              <w:rPr>
                <w:rFonts w:eastAsia="新細明體" w:cs="Segoe UI" w:hint="eastAsia"/>
                <w:sz w:val="17"/>
                <w:szCs w:val="17"/>
                <w:lang w:eastAsia="zh-TW"/>
              </w:rPr>
              <w:t>IRB</w:t>
            </w:r>
            <w:r w:rsidR="003C38C5" w:rsidRPr="006A6FF6">
              <w:rPr>
                <w:rFonts w:eastAsia="新細明體" w:cs="Segoe UI" w:hint="eastAsia"/>
                <w:sz w:val="17"/>
                <w:szCs w:val="17"/>
                <w:lang w:eastAsia="zh-HK"/>
              </w:rPr>
              <w:t>子類別進行披露，如</w:t>
            </w:r>
            <w:r w:rsidR="00D66815" w:rsidRPr="006A6FF6">
              <w:rPr>
                <w:rFonts w:eastAsia="新細明體" w:cs="Segoe UI" w:hint="eastAsia"/>
                <w:sz w:val="17"/>
                <w:szCs w:val="17"/>
                <w:lang w:eastAsia="zh-HK"/>
              </w:rPr>
              <w:t>同</w:t>
            </w:r>
            <w:r w:rsidR="003C38C5" w:rsidRPr="006A6FF6">
              <w:rPr>
                <w:rFonts w:eastAsia="新細明體" w:cs="Segoe UI" w:hint="eastAsia"/>
                <w:sz w:val="17"/>
                <w:szCs w:val="17"/>
                <w:lang w:eastAsia="zh-HK"/>
              </w:rPr>
              <w:t>使用</w:t>
            </w:r>
            <w:r w:rsidR="003C38C5" w:rsidRPr="006A6FF6">
              <w:rPr>
                <w:rFonts w:eastAsia="新細明體" w:cs="Segoe UI" w:hint="eastAsia"/>
                <w:sz w:val="17"/>
                <w:szCs w:val="17"/>
                <w:lang w:eastAsia="zh-TW"/>
              </w:rPr>
              <w:t>IRB</w:t>
            </w:r>
            <w:r w:rsidR="003C38C5" w:rsidRPr="006A6FF6">
              <w:rPr>
                <w:rFonts w:eastAsia="新細明體" w:cs="Segoe UI" w:hint="eastAsia"/>
                <w:sz w:val="17"/>
                <w:szCs w:val="17"/>
                <w:lang w:eastAsia="zh-HK"/>
              </w:rPr>
              <w:t>計算法一樣</w:t>
            </w:r>
            <w:r w:rsidR="00190D67" w:rsidRPr="006A6FF6">
              <w:rPr>
                <w:rFonts w:eastAsia="新細明體" w:cs="Segoe UI" w:hint="eastAsia"/>
                <w:sz w:val="17"/>
                <w:szCs w:val="17"/>
                <w:lang w:eastAsia="zh-TW"/>
              </w:rPr>
              <w:t>。</w:t>
            </w:r>
            <w:r w:rsidR="0098043F" w:rsidRPr="006A6FF6">
              <w:rPr>
                <w:rFonts w:eastAsia="新細明體" w:cs="Segoe UI" w:hint="eastAsia"/>
                <w:sz w:val="17"/>
                <w:szCs w:val="17"/>
                <w:lang w:eastAsia="zh-HK"/>
              </w:rPr>
              <w:t>各</w:t>
            </w:r>
            <w:r w:rsidR="00190D67" w:rsidRPr="006A6FF6">
              <w:rPr>
                <w:rFonts w:eastAsia="新細明體" w:cs="Segoe UI" w:hint="eastAsia"/>
                <w:sz w:val="17"/>
                <w:szCs w:val="17"/>
                <w:lang w:eastAsia="zh-HK"/>
              </w:rPr>
              <w:t>風險承擔類別</w:t>
            </w:r>
            <w:r w:rsidR="0098043F" w:rsidRPr="006A6FF6">
              <w:rPr>
                <w:rFonts w:eastAsia="新細明體" w:cs="Segoe UI" w:hint="eastAsia"/>
                <w:sz w:val="17"/>
                <w:szCs w:val="17"/>
                <w:lang w:eastAsia="zh-HK"/>
              </w:rPr>
              <w:t>的</w:t>
            </w:r>
            <w:r w:rsidR="00190D67" w:rsidRPr="006A6FF6">
              <w:rPr>
                <w:rFonts w:eastAsia="新細明體" w:cs="Segoe UI" w:hint="eastAsia"/>
                <w:sz w:val="17"/>
                <w:szCs w:val="17"/>
                <w:lang w:eastAsia="zh-HK"/>
              </w:rPr>
              <w:t>披露數字</w:t>
            </w:r>
            <w:r w:rsidR="003C38C5" w:rsidRPr="006A6FF6">
              <w:rPr>
                <w:rFonts w:eastAsia="新細明體" w:cs="Segoe UI" w:hint="eastAsia"/>
                <w:sz w:val="17"/>
                <w:szCs w:val="17"/>
                <w:lang w:eastAsia="zh-HK"/>
              </w:rPr>
              <w:t>僅</w:t>
            </w:r>
            <w:r w:rsidR="00190D67" w:rsidRPr="006A6FF6">
              <w:rPr>
                <w:rFonts w:eastAsia="新細明體" w:cs="Segoe UI" w:hint="eastAsia"/>
                <w:sz w:val="17"/>
                <w:szCs w:val="17"/>
                <w:lang w:eastAsia="zh-HK"/>
              </w:rPr>
              <w:t>為比較目的</w:t>
            </w:r>
            <w:r w:rsidR="003A2CD5" w:rsidRPr="006A6FF6">
              <w:rPr>
                <w:rFonts w:eastAsia="新細明體" w:cs="Segoe UI" w:hint="eastAsia"/>
                <w:sz w:val="17"/>
                <w:szCs w:val="17"/>
                <w:lang w:eastAsia="zh-HK"/>
              </w:rPr>
              <w:t>而</w:t>
            </w:r>
            <w:r w:rsidR="00190D67" w:rsidRPr="006A6FF6">
              <w:rPr>
                <w:rFonts w:eastAsia="新細明體" w:cs="Segoe UI" w:hint="eastAsia"/>
                <w:sz w:val="17"/>
                <w:szCs w:val="17"/>
                <w:lang w:eastAsia="zh-HK"/>
              </w:rPr>
              <w:t>計算</w:t>
            </w:r>
            <w:r w:rsidR="00190D67" w:rsidRPr="006A6FF6">
              <w:rPr>
                <w:rFonts w:eastAsia="新細明體" w:cs="Segoe UI" w:hint="eastAsia"/>
                <w:sz w:val="17"/>
                <w:szCs w:val="17"/>
                <w:lang w:eastAsia="zh-TW"/>
              </w:rPr>
              <w:t>，</w:t>
            </w:r>
            <w:r w:rsidR="00190D67" w:rsidRPr="006A6FF6">
              <w:rPr>
                <w:rFonts w:eastAsia="新細明體" w:cs="Segoe UI" w:hint="eastAsia"/>
                <w:sz w:val="17"/>
                <w:szCs w:val="17"/>
                <w:lang w:eastAsia="zh-HK"/>
              </w:rPr>
              <w:t>並不代表</w:t>
            </w:r>
            <w:r w:rsidR="00190D67" w:rsidRPr="006A6FF6">
              <w:rPr>
                <w:rFonts w:ascii="細明體" w:eastAsia="細明體" w:hAnsi="細明體" w:cs="Segoe UI" w:hint="eastAsia"/>
                <w:sz w:val="17"/>
                <w:szCs w:val="17"/>
                <w:lang w:eastAsia="zh-HK"/>
              </w:rPr>
              <w:t>《資本規則》下的資本規定</w:t>
            </w:r>
            <w:r w:rsidR="00190D67" w:rsidRPr="006A6FF6">
              <w:rPr>
                <w:rFonts w:ascii="細明體" w:eastAsia="細明體" w:hAnsi="細明體" w:cs="Segoe UI" w:hint="eastAsia"/>
                <w:sz w:val="17"/>
                <w:szCs w:val="17"/>
                <w:lang w:eastAsia="zh-TW"/>
              </w:rPr>
              <w:t>。</w:t>
            </w:r>
          </w:p>
        </w:tc>
      </w:tr>
      <w:tr w:rsidR="006A6FF6" w:rsidRPr="006A6FF6" w14:paraId="6C206954" w14:textId="77777777" w:rsidTr="00862754">
        <w:tc>
          <w:tcPr>
            <w:tcW w:w="9214" w:type="dxa"/>
            <w:gridSpan w:val="2"/>
            <w:shd w:val="clear" w:color="auto" w:fill="F2F2F2"/>
          </w:tcPr>
          <w:p w14:paraId="5A78ECC7" w14:textId="4DD2ECD4" w:rsidR="00190D67" w:rsidRPr="006A6FF6" w:rsidRDefault="00190D67" w:rsidP="00862754">
            <w:pPr>
              <w:keepNext/>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hint="eastAsia"/>
                <w:b/>
                <w:sz w:val="17"/>
                <w:lang w:eastAsia="zh-HK"/>
              </w:rPr>
              <w:t>行</w:t>
            </w:r>
          </w:p>
        </w:tc>
      </w:tr>
      <w:tr w:rsidR="006A6FF6" w:rsidRPr="006A6FF6" w14:paraId="64FA973F" w14:textId="77777777" w:rsidTr="00862754">
        <w:tc>
          <w:tcPr>
            <w:tcW w:w="567" w:type="dxa"/>
            <w:shd w:val="clear" w:color="auto" w:fill="auto"/>
          </w:tcPr>
          <w:p w14:paraId="3275AFF5" w14:textId="74597433" w:rsidR="00190D67" w:rsidRPr="006A6FF6" w:rsidRDefault="009F49C8" w:rsidP="00862754">
            <w:pPr>
              <w:keepLines/>
              <w:tabs>
                <w:tab w:val="left" w:pos="150"/>
                <w:tab w:val="left" w:pos="397"/>
                <w:tab w:val="left" w:pos="794"/>
                <w:tab w:val="left" w:pos="1191"/>
              </w:tabs>
              <w:spacing w:before="40" w:after="40"/>
              <w:rPr>
                <w:rFonts w:eastAsia="新細明體" w:cs="Segoe UI"/>
                <w:sz w:val="17"/>
                <w:szCs w:val="17"/>
                <w:lang w:eastAsia="zh-HK"/>
              </w:rPr>
            </w:pPr>
            <w:r w:rsidRPr="00FA3712">
              <w:rPr>
                <w:rFonts w:eastAsia="新細明體" w:cs="Segoe UI"/>
                <w:sz w:val="17"/>
                <w:szCs w:val="17"/>
                <w:lang w:eastAsia="zh-HK"/>
              </w:rPr>
              <w:t>7a</w:t>
            </w:r>
          </w:p>
        </w:tc>
        <w:tc>
          <w:tcPr>
            <w:tcW w:w="8647" w:type="dxa"/>
            <w:shd w:val="clear" w:color="auto" w:fill="auto"/>
          </w:tcPr>
          <w:p w14:paraId="303106DA" w14:textId="6E60222C" w:rsidR="00190D67" w:rsidRPr="00FA3712" w:rsidRDefault="008401D4" w:rsidP="009F49C8">
            <w:pPr>
              <w:keepLines/>
              <w:tabs>
                <w:tab w:val="left" w:pos="150"/>
                <w:tab w:val="left" w:pos="397"/>
                <w:tab w:val="left" w:pos="794"/>
                <w:tab w:val="left" w:pos="1191"/>
              </w:tabs>
              <w:spacing w:before="40" w:after="40"/>
              <w:jc w:val="both"/>
              <w:rPr>
                <w:rFonts w:eastAsia="新細明體" w:cs="Segoe UI"/>
                <w:sz w:val="17"/>
                <w:szCs w:val="17"/>
                <w:lang w:eastAsia="zh-HK"/>
              </w:rPr>
            </w:pPr>
            <w:r w:rsidRPr="00CE463A">
              <w:rPr>
                <w:rFonts w:eastAsia="新細明體" w:cs="Segoe UI" w:hint="eastAsia"/>
                <w:i/>
                <w:sz w:val="17"/>
                <w:szCs w:val="17"/>
                <w:lang w:eastAsia="zh-HK"/>
              </w:rPr>
              <w:t>根</w:t>
            </w:r>
            <w:r w:rsidRPr="00CE463A">
              <w:rPr>
                <w:rFonts w:eastAsia="新細明體" w:cs="Segoe UI" w:hint="eastAsia"/>
                <w:i/>
                <w:sz w:val="17"/>
                <w:szCs w:val="17"/>
                <w:lang w:eastAsia="zh-TW"/>
              </w:rPr>
              <w:t>據</w:t>
            </w:r>
            <w:r w:rsidR="008D4B36" w:rsidRPr="00CE463A">
              <w:rPr>
                <w:rFonts w:eastAsia="新細明體" w:cs="Segoe UI" w:hint="eastAsia"/>
                <w:i/>
                <w:sz w:val="17"/>
                <w:szCs w:val="17"/>
                <w:lang w:eastAsia="zh-HK"/>
              </w:rPr>
              <w:t>《資本規則》第</w:t>
            </w:r>
            <w:r w:rsidR="008D4B36" w:rsidRPr="00CE463A">
              <w:rPr>
                <w:rFonts w:eastAsia="新細明體" w:cs="Segoe UI"/>
                <w:i/>
                <w:sz w:val="17"/>
                <w:szCs w:val="17"/>
                <w:lang w:eastAsia="zh-HK"/>
              </w:rPr>
              <w:t>376</w:t>
            </w:r>
            <w:r w:rsidR="008D4B36" w:rsidRPr="00CE463A">
              <w:rPr>
                <w:rFonts w:eastAsia="新細明體" w:cs="Segoe UI" w:hint="eastAsia"/>
                <w:i/>
                <w:sz w:val="17"/>
                <w:szCs w:val="17"/>
                <w:lang w:eastAsia="zh-HK"/>
              </w:rPr>
              <w:t>條及第</w:t>
            </w:r>
            <w:r w:rsidR="008D4B36" w:rsidRPr="00CE463A">
              <w:rPr>
                <w:rFonts w:eastAsia="新細明體" w:cs="Segoe UI"/>
                <w:i/>
                <w:sz w:val="17"/>
                <w:szCs w:val="17"/>
                <w:lang w:eastAsia="zh-HK"/>
              </w:rPr>
              <w:t>12</w:t>
            </w:r>
            <w:r w:rsidR="008D4B36" w:rsidRPr="00CE463A">
              <w:rPr>
                <w:rFonts w:eastAsia="新細明體" w:cs="Segoe UI" w:hint="eastAsia"/>
                <w:i/>
                <w:sz w:val="17"/>
                <w:szCs w:val="17"/>
                <w:lang w:eastAsia="zh-HK"/>
              </w:rPr>
              <w:t>部第</w:t>
            </w:r>
            <w:r w:rsidR="008D4B36" w:rsidRPr="00CE463A">
              <w:rPr>
                <w:rFonts w:eastAsia="新細明體" w:cs="Segoe UI"/>
                <w:i/>
                <w:sz w:val="17"/>
                <w:szCs w:val="17"/>
                <w:lang w:eastAsia="zh-HK"/>
              </w:rPr>
              <w:t>5</w:t>
            </w:r>
            <w:r w:rsidR="008D4B36" w:rsidRPr="00CE463A">
              <w:rPr>
                <w:rFonts w:eastAsia="新細明體" w:cs="Segoe UI" w:hint="eastAsia"/>
                <w:i/>
                <w:sz w:val="17"/>
                <w:szCs w:val="17"/>
                <w:lang w:eastAsia="zh-HK"/>
              </w:rPr>
              <w:t>、</w:t>
            </w:r>
            <w:r w:rsidR="008D4B36" w:rsidRPr="00CE463A">
              <w:rPr>
                <w:rFonts w:eastAsia="新細明體" w:cs="Segoe UI"/>
                <w:i/>
                <w:sz w:val="17"/>
                <w:szCs w:val="17"/>
                <w:lang w:eastAsia="zh-HK"/>
              </w:rPr>
              <w:t>6</w:t>
            </w:r>
            <w:r w:rsidR="008D4B36" w:rsidRPr="00CE463A">
              <w:rPr>
                <w:rFonts w:eastAsia="新細明體" w:cs="Segoe UI" w:hint="eastAsia"/>
                <w:i/>
                <w:sz w:val="17"/>
                <w:szCs w:val="17"/>
                <w:lang w:eastAsia="zh-HK"/>
              </w:rPr>
              <w:t>及</w:t>
            </w:r>
            <w:r w:rsidR="008D4B36" w:rsidRPr="00CE463A">
              <w:rPr>
                <w:rFonts w:eastAsia="新細明體" w:cs="Segoe UI"/>
                <w:i/>
                <w:sz w:val="17"/>
                <w:szCs w:val="17"/>
                <w:lang w:eastAsia="zh-HK"/>
              </w:rPr>
              <w:t>8</w:t>
            </w:r>
            <w:r w:rsidR="008D4B36" w:rsidRPr="00CE463A">
              <w:rPr>
                <w:rFonts w:eastAsia="新細明體" w:cs="Segoe UI" w:hint="eastAsia"/>
                <w:i/>
                <w:sz w:val="17"/>
                <w:szCs w:val="17"/>
                <w:lang w:eastAsia="zh-HK"/>
              </w:rPr>
              <w:t>分部計算</w:t>
            </w:r>
            <w:r w:rsidRPr="00CE463A">
              <w:rPr>
                <w:rFonts w:eastAsia="新細明體" w:cs="Segoe UI" w:hint="eastAsia"/>
                <w:i/>
                <w:sz w:val="17"/>
                <w:szCs w:val="17"/>
                <w:lang w:eastAsia="zh-HK"/>
              </w:rPr>
              <w:t>的</w:t>
            </w:r>
            <w:r w:rsidR="00DB14EB" w:rsidRPr="00CE463A">
              <w:rPr>
                <w:rFonts w:eastAsia="新細明體" w:cs="Segoe UI" w:hint="eastAsia"/>
                <w:i/>
                <w:sz w:val="17"/>
                <w:szCs w:val="17"/>
                <w:lang w:eastAsia="zh-HK"/>
              </w:rPr>
              <w:t>對信用風險的</w:t>
            </w:r>
            <w:r w:rsidR="008D4B36" w:rsidRPr="00CE463A">
              <w:rPr>
                <w:rFonts w:eastAsia="新細明體" w:cs="Segoe UI" w:hint="eastAsia"/>
                <w:i/>
                <w:sz w:val="17"/>
                <w:szCs w:val="17"/>
                <w:lang w:eastAsia="zh-HK"/>
              </w:rPr>
              <w:t>加密資產風</w:t>
            </w:r>
            <w:r w:rsidR="002C51F1" w:rsidRPr="00CE463A">
              <w:rPr>
                <w:rFonts w:eastAsia="新細明體" w:cs="Segoe UI" w:hint="eastAsia"/>
                <w:i/>
                <w:sz w:val="17"/>
                <w:szCs w:val="17"/>
                <w:lang w:eastAsia="zh-HK"/>
              </w:rPr>
              <w:t>險</w:t>
            </w:r>
            <w:r w:rsidR="008D4B36" w:rsidRPr="00CE463A">
              <w:rPr>
                <w:rFonts w:eastAsia="新細明體" w:cs="Segoe UI" w:hint="eastAsia"/>
                <w:i/>
                <w:sz w:val="17"/>
                <w:szCs w:val="17"/>
                <w:lang w:eastAsia="zh-HK"/>
              </w:rPr>
              <w:t>承擔</w:t>
            </w:r>
            <w:r w:rsidR="008D4B36" w:rsidRPr="00CE463A">
              <w:rPr>
                <w:rFonts w:eastAsia="新細明體" w:cs="Segoe UI" w:hint="eastAsia"/>
                <w:sz w:val="17"/>
                <w:szCs w:val="17"/>
                <w:lang w:eastAsia="zh-HK"/>
              </w:rPr>
              <w:t>：</w:t>
            </w:r>
            <w:r w:rsidR="009F49C8" w:rsidRPr="00CE463A">
              <w:rPr>
                <w:rFonts w:eastAsia="新細明體" w:cs="Segoe UI" w:hint="eastAsia"/>
                <w:sz w:val="17"/>
                <w:szCs w:val="17"/>
                <w:lang w:eastAsia="zh-HK"/>
              </w:rPr>
              <w:t>本行包</w:t>
            </w:r>
            <w:r w:rsidR="0073573F" w:rsidRPr="00CE463A">
              <w:rPr>
                <w:rFonts w:eastAsia="新細明體" w:cs="Segoe UI" w:hint="eastAsia"/>
                <w:sz w:val="17"/>
                <w:szCs w:val="17"/>
                <w:lang w:eastAsia="zh-HK"/>
              </w:rPr>
              <w:t>括以</w:t>
            </w:r>
            <w:r w:rsidR="009F49C8" w:rsidRPr="00CE463A">
              <w:rPr>
                <w:rFonts w:eastAsia="新細明體" w:cs="Segoe UI" w:hint="eastAsia"/>
                <w:sz w:val="17"/>
                <w:szCs w:val="17"/>
                <w:lang w:eastAsia="zh-HK"/>
              </w:rPr>
              <w:t>下</w:t>
            </w:r>
            <w:r w:rsidR="0073573F" w:rsidRPr="00CE463A">
              <w:rPr>
                <w:rFonts w:eastAsia="新細明體" w:cs="Segoe UI" w:hint="eastAsia"/>
                <w:sz w:val="17"/>
                <w:szCs w:val="17"/>
                <w:lang w:eastAsia="zh-HK"/>
              </w:rPr>
              <w:t>項目的</w:t>
            </w:r>
            <w:r w:rsidR="009F49C8" w:rsidRPr="00CE463A">
              <w:rPr>
                <w:rFonts w:eastAsia="新細明體" w:cs="Segoe UI" w:hint="eastAsia"/>
                <w:sz w:val="17"/>
                <w:szCs w:val="17"/>
                <w:lang w:eastAsia="zh-HK"/>
              </w:rPr>
              <w:t>風險加權數額：</w:t>
            </w:r>
          </w:p>
          <w:p w14:paraId="2D72433A" w14:textId="3D528A9F" w:rsidR="00D34890" w:rsidRPr="000668C6" w:rsidRDefault="008401D4" w:rsidP="00DB6F7B">
            <w:pPr>
              <w:pStyle w:val="ListParagraph"/>
              <w:keepNext/>
              <w:keepLines/>
              <w:numPr>
                <w:ilvl w:val="0"/>
                <w:numId w:val="67"/>
              </w:numPr>
              <w:tabs>
                <w:tab w:val="left" w:pos="347"/>
                <w:tab w:val="left" w:pos="397"/>
                <w:tab w:val="left" w:pos="769"/>
                <w:tab w:val="left" w:pos="1191"/>
              </w:tabs>
              <w:spacing w:before="40" w:after="40"/>
              <w:ind w:leftChars="0" w:left="343" w:hanging="343"/>
              <w:jc w:val="both"/>
              <w:rPr>
                <w:rFonts w:eastAsiaTheme="minorEastAsia" w:cs="Segoe UI"/>
                <w:sz w:val="17"/>
                <w:szCs w:val="17"/>
                <w:lang w:eastAsia="zh-TW"/>
              </w:rPr>
            </w:pPr>
            <w:r w:rsidRPr="000668C6">
              <w:rPr>
                <w:rFonts w:eastAsiaTheme="minorEastAsia" w:cs="Segoe UI"/>
                <w:sz w:val="17"/>
                <w:szCs w:val="17"/>
                <w:lang w:eastAsia="zh-HK"/>
              </w:rPr>
              <w:t>就編配予交易帳的第</w:t>
            </w:r>
            <w:r w:rsidRPr="000668C6">
              <w:rPr>
                <w:rFonts w:eastAsiaTheme="minorEastAsia" w:cs="Segoe UI"/>
                <w:sz w:val="17"/>
                <w:szCs w:val="17"/>
                <w:lang w:eastAsia="zh-HK"/>
              </w:rPr>
              <w:t>1b</w:t>
            </w:r>
            <w:r w:rsidRPr="000668C6">
              <w:rPr>
                <w:rFonts w:eastAsiaTheme="minorEastAsia" w:cs="Segoe UI"/>
                <w:sz w:val="17"/>
                <w:szCs w:val="17"/>
                <w:lang w:eastAsia="zh-HK"/>
              </w:rPr>
              <w:t>組加密資產風險承擔，以及關乎屬穩定幣的第</w:t>
            </w:r>
            <w:r w:rsidRPr="000668C6">
              <w:rPr>
                <w:rFonts w:eastAsiaTheme="minorEastAsia" w:cs="Segoe UI"/>
                <w:sz w:val="17"/>
                <w:szCs w:val="17"/>
                <w:lang w:eastAsia="zh-HK"/>
              </w:rPr>
              <w:t>2a</w:t>
            </w:r>
            <w:r w:rsidRPr="000668C6">
              <w:rPr>
                <w:rFonts w:eastAsiaTheme="minorEastAsia" w:cs="Segoe UI"/>
                <w:sz w:val="17"/>
                <w:szCs w:val="17"/>
                <w:lang w:eastAsia="zh-HK"/>
              </w:rPr>
              <w:t>組加密資產的第</w:t>
            </w:r>
            <w:r w:rsidRPr="000668C6">
              <w:rPr>
                <w:rFonts w:eastAsiaTheme="minorEastAsia" w:cs="Segoe UI"/>
                <w:sz w:val="17"/>
                <w:szCs w:val="17"/>
                <w:lang w:eastAsia="zh-HK"/>
              </w:rPr>
              <w:t>2a</w:t>
            </w:r>
            <w:r w:rsidRPr="000668C6">
              <w:rPr>
                <w:rFonts w:eastAsiaTheme="minorEastAsia" w:cs="Segoe UI"/>
                <w:sz w:val="17"/>
                <w:szCs w:val="17"/>
                <w:lang w:eastAsia="zh-HK"/>
              </w:rPr>
              <w:t>組加密資產風險承擔</w:t>
            </w:r>
            <w:r w:rsidRPr="000668C6">
              <w:rPr>
                <w:rFonts w:eastAsiaTheme="minorEastAsia" w:cs="Segoe UI"/>
                <w:sz w:val="17"/>
                <w:szCs w:val="17"/>
                <w:lang w:eastAsia="zh-TW"/>
              </w:rPr>
              <w:t xml:space="preserve"> (</w:t>
            </w:r>
            <w:r w:rsidRPr="000668C6">
              <w:rPr>
                <w:rFonts w:eastAsiaTheme="minorEastAsia" w:cs="Segoe UI"/>
                <w:sz w:val="17"/>
                <w:szCs w:val="17"/>
                <w:lang w:eastAsia="zh-HK"/>
              </w:rPr>
              <w:t>分別</w:t>
            </w:r>
            <w:r w:rsidR="003B0977" w:rsidRPr="000668C6">
              <w:rPr>
                <w:rFonts w:eastAsiaTheme="minorEastAsia" w:cs="Segoe UI"/>
                <w:sz w:val="17"/>
                <w:szCs w:val="17"/>
                <w:lang w:eastAsia="zh-HK"/>
              </w:rPr>
              <w:t>根</w:t>
            </w:r>
            <w:r w:rsidR="003B0977" w:rsidRPr="000668C6">
              <w:rPr>
                <w:rFonts w:eastAsiaTheme="minorEastAsia" w:cs="Segoe UI"/>
                <w:sz w:val="17"/>
                <w:szCs w:val="17"/>
                <w:lang w:eastAsia="zh-TW"/>
              </w:rPr>
              <w:t>據</w:t>
            </w:r>
            <w:r w:rsidRPr="000668C6">
              <w:rPr>
                <w:rFonts w:eastAsiaTheme="minorEastAsia" w:cs="Segoe UI"/>
                <w:sz w:val="17"/>
                <w:szCs w:val="17"/>
                <w:lang w:eastAsia="zh-HK"/>
              </w:rPr>
              <w:t>《資本規則》第</w:t>
            </w:r>
            <w:r w:rsidRPr="000668C6">
              <w:rPr>
                <w:rFonts w:eastAsiaTheme="minorEastAsia" w:cs="Segoe UI"/>
                <w:sz w:val="17"/>
                <w:szCs w:val="17"/>
                <w:lang w:eastAsia="zh-HK"/>
              </w:rPr>
              <w:t>376</w:t>
            </w:r>
            <w:r w:rsidRPr="000668C6">
              <w:rPr>
                <w:rFonts w:eastAsiaTheme="minorEastAsia" w:cs="Segoe UI"/>
                <w:sz w:val="17"/>
                <w:szCs w:val="17"/>
                <w:lang w:eastAsia="zh-HK"/>
              </w:rPr>
              <w:t>及</w:t>
            </w:r>
            <w:r w:rsidRPr="000668C6">
              <w:rPr>
                <w:rFonts w:eastAsiaTheme="minorEastAsia" w:cs="Segoe UI"/>
                <w:sz w:val="17"/>
                <w:szCs w:val="17"/>
                <w:lang w:eastAsia="zh-HK"/>
              </w:rPr>
              <w:t>384</w:t>
            </w:r>
            <w:r w:rsidRPr="000668C6">
              <w:rPr>
                <w:rFonts w:eastAsiaTheme="minorEastAsia" w:cs="Segoe UI"/>
                <w:sz w:val="17"/>
                <w:szCs w:val="17"/>
                <w:lang w:eastAsia="zh-HK"/>
              </w:rPr>
              <w:t>條</w:t>
            </w:r>
            <w:r w:rsidR="003B0977" w:rsidRPr="000668C6">
              <w:rPr>
                <w:rFonts w:eastAsiaTheme="minorEastAsia" w:cs="Segoe UI"/>
                <w:sz w:val="17"/>
                <w:szCs w:val="17"/>
                <w:lang w:eastAsia="zh-TW"/>
              </w:rPr>
              <w:t>計算</w:t>
            </w:r>
            <w:r w:rsidRPr="000668C6">
              <w:rPr>
                <w:rFonts w:eastAsiaTheme="minorEastAsia" w:cs="Segoe UI"/>
                <w:sz w:val="17"/>
                <w:szCs w:val="17"/>
                <w:lang w:eastAsia="zh-TW"/>
              </w:rPr>
              <w:t>)</w:t>
            </w:r>
            <w:r w:rsidR="000D2BF0" w:rsidRPr="000668C6">
              <w:rPr>
                <w:rFonts w:eastAsiaTheme="minorEastAsia" w:cs="Segoe UI"/>
                <w:sz w:val="17"/>
                <w:szCs w:val="17"/>
                <w:lang w:eastAsia="zh-HK"/>
              </w:rPr>
              <w:t>所</w:t>
            </w:r>
            <w:r w:rsidRPr="000668C6">
              <w:rPr>
                <w:rFonts w:eastAsiaTheme="minorEastAsia" w:cs="Segoe UI"/>
                <w:sz w:val="17"/>
                <w:szCs w:val="17"/>
                <w:lang w:eastAsia="zh-HK"/>
              </w:rPr>
              <w:t>產生的</w:t>
            </w:r>
            <w:r w:rsidRPr="000668C6">
              <w:rPr>
                <w:rFonts w:eastAsiaTheme="minorEastAsia" w:cs="Segoe UI"/>
                <w:sz w:val="17"/>
                <w:szCs w:val="17"/>
                <w:lang w:eastAsia="zh-TW"/>
              </w:rPr>
              <w:t>、</w:t>
            </w:r>
            <w:r w:rsidRPr="000668C6">
              <w:rPr>
                <w:rFonts w:eastAsiaTheme="minorEastAsia" w:cs="Segoe UI"/>
                <w:sz w:val="17"/>
                <w:szCs w:val="17"/>
                <w:lang w:eastAsia="zh-HK"/>
              </w:rPr>
              <w:t>有關贖回人違責的風險以及中介人執行有關</w:t>
            </w:r>
            <w:r w:rsidR="00FA0732" w:rsidRPr="000668C6">
              <w:rPr>
                <w:rFonts w:eastAsiaTheme="minorEastAsia" w:cs="Segoe UI"/>
                <w:sz w:val="17"/>
                <w:szCs w:val="17"/>
                <w:lang w:eastAsia="zh-HK"/>
              </w:rPr>
              <w:t>兌</w:t>
            </w:r>
            <w:r w:rsidRPr="000668C6">
              <w:rPr>
                <w:rFonts w:eastAsiaTheme="minorEastAsia" w:cs="Segoe UI"/>
                <w:sz w:val="17"/>
                <w:szCs w:val="17"/>
                <w:lang w:eastAsia="zh-HK"/>
              </w:rPr>
              <w:t>換職能時產生的風險</w:t>
            </w:r>
            <w:r w:rsidR="00D34890" w:rsidRPr="000668C6">
              <w:rPr>
                <w:rFonts w:eastAsiaTheme="minorEastAsia" w:cs="Segoe UI"/>
                <w:sz w:val="17"/>
                <w:szCs w:val="17"/>
                <w:lang w:eastAsia="zh-TW"/>
              </w:rPr>
              <w:t>；</w:t>
            </w:r>
          </w:p>
          <w:p w14:paraId="486894AC" w14:textId="77777777" w:rsidR="00D34890" w:rsidRPr="00DF1923" w:rsidRDefault="00D34890" w:rsidP="000748D0">
            <w:pPr>
              <w:pStyle w:val="ListParagraph"/>
              <w:keepNext/>
              <w:keepLines/>
              <w:numPr>
                <w:ilvl w:val="0"/>
                <w:numId w:val="67"/>
              </w:numPr>
              <w:tabs>
                <w:tab w:val="left" w:pos="150"/>
                <w:tab w:val="left" w:pos="397"/>
                <w:tab w:val="left" w:pos="769"/>
                <w:tab w:val="left" w:pos="1191"/>
              </w:tabs>
              <w:spacing w:before="40" w:after="40"/>
              <w:ind w:leftChars="0" w:left="343" w:hanging="343"/>
              <w:jc w:val="both"/>
              <w:rPr>
                <w:rFonts w:eastAsiaTheme="minorEastAsia" w:cs="Segoe UI"/>
                <w:sz w:val="17"/>
                <w:szCs w:val="17"/>
                <w:lang w:eastAsia="zh-TW"/>
              </w:rPr>
            </w:pPr>
            <w:r w:rsidRPr="00DF1923">
              <w:rPr>
                <w:rFonts w:eastAsiaTheme="minorEastAsia" w:cs="Segoe UI"/>
                <w:sz w:val="17"/>
                <w:szCs w:val="17"/>
                <w:lang w:eastAsia="zh-TW"/>
              </w:rPr>
              <w:t>按照《資本規則》第</w:t>
            </w:r>
            <w:r w:rsidRPr="00DF1923">
              <w:rPr>
                <w:rFonts w:eastAsiaTheme="minorEastAsia" w:cs="Segoe UI"/>
                <w:sz w:val="17"/>
                <w:szCs w:val="17"/>
                <w:lang w:eastAsia="zh-TW"/>
              </w:rPr>
              <w:t>385</w:t>
            </w:r>
            <w:r w:rsidRPr="00DF1923">
              <w:rPr>
                <w:rFonts w:eastAsiaTheme="minorEastAsia" w:cs="Segoe UI"/>
                <w:sz w:val="17"/>
                <w:szCs w:val="17"/>
                <w:lang w:eastAsia="zh-TW"/>
              </w:rPr>
              <w:t>條計算的第</w:t>
            </w:r>
            <w:r w:rsidRPr="00DF1923">
              <w:rPr>
                <w:rFonts w:eastAsiaTheme="minorEastAsia" w:cs="Segoe UI"/>
                <w:sz w:val="17"/>
                <w:szCs w:val="17"/>
                <w:lang w:eastAsia="zh-TW"/>
              </w:rPr>
              <w:t>2b</w:t>
            </w:r>
            <w:r w:rsidRPr="00DF1923">
              <w:rPr>
                <w:rFonts w:eastAsiaTheme="minorEastAsia" w:cs="Segoe UI"/>
                <w:sz w:val="17"/>
                <w:szCs w:val="17"/>
                <w:lang w:eastAsia="zh-TW"/>
              </w:rPr>
              <w:t>組加密資產風險承擔；</w:t>
            </w:r>
          </w:p>
          <w:p w14:paraId="1240A3B9" w14:textId="7A6E6904" w:rsidR="00D34890" w:rsidRPr="000668C6" w:rsidRDefault="00D34890" w:rsidP="000748D0">
            <w:pPr>
              <w:pStyle w:val="ListParagraph"/>
              <w:keepNext/>
              <w:keepLines/>
              <w:numPr>
                <w:ilvl w:val="0"/>
                <w:numId w:val="67"/>
              </w:numPr>
              <w:tabs>
                <w:tab w:val="left" w:pos="150"/>
                <w:tab w:val="left" w:pos="397"/>
                <w:tab w:val="left" w:pos="769"/>
                <w:tab w:val="left" w:pos="1191"/>
              </w:tabs>
              <w:spacing w:before="40" w:after="40"/>
              <w:ind w:leftChars="0" w:left="343" w:hanging="343"/>
              <w:jc w:val="both"/>
              <w:rPr>
                <w:rFonts w:eastAsiaTheme="minorEastAsia" w:cs="Segoe UI"/>
                <w:sz w:val="17"/>
                <w:szCs w:val="17"/>
                <w:lang w:eastAsia="zh-TW"/>
              </w:rPr>
            </w:pPr>
            <w:r w:rsidRPr="00DF1923">
              <w:rPr>
                <w:rFonts w:eastAsiaTheme="minorEastAsia" w:cs="Segoe UI"/>
                <w:sz w:val="17"/>
                <w:szCs w:val="17"/>
                <w:lang w:eastAsia="zh-TW"/>
              </w:rPr>
              <w:t>金融管理</w:t>
            </w:r>
            <w:r w:rsidRPr="000668C6">
              <w:rPr>
                <w:rFonts w:eastAsiaTheme="minorEastAsia" w:cs="Segoe UI"/>
                <w:sz w:val="17"/>
                <w:szCs w:val="17"/>
                <w:lang w:eastAsia="zh-TW"/>
              </w:rPr>
              <w:t>專員</w:t>
            </w:r>
            <w:r w:rsidR="009319FA" w:rsidRPr="000668C6">
              <w:rPr>
                <w:rFonts w:eastAsiaTheme="minorEastAsia" w:cs="Segoe UI"/>
                <w:sz w:val="17"/>
                <w:szCs w:val="17"/>
                <w:lang w:eastAsia="zh-HK"/>
              </w:rPr>
              <w:t>根</w:t>
            </w:r>
            <w:r w:rsidR="009319FA" w:rsidRPr="000668C6">
              <w:rPr>
                <w:rFonts w:eastAsiaTheme="minorEastAsia" w:cs="Segoe UI"/>
                <w:sz w:val="17"/>
                <w:szCs w:val="17"/>
                <w:lang w:eastAsia="zh-TW"/>
              </w:rPr>
              <w:t>據</w:t>
            </w:r>
            <w:r w:rsidRPr="000668C6">
              <w:rPr>
                <w:rFonts w:eastAsiaTheme="minorEastAsia" w:cs="Segoe UI"/>
                <w:sz w:val="17"/>
                <w:szCs w:val="17"/>
                <w:lang w:eastAsia="zh-TW"/>
              </w:rPr>
              <w:t>《資本規則》第</w:t>
            </w:r>
            <w:r w:rsidRPr="000668C6">
              <w:rPr>
                <w:rFonts w:eastAsiaTheme="minorEastAsia" w:cs="Segoe UI"/>
                <w:sz w:val="17"/>
                <w:szCs w:val="17"/>
                <w:lang w:eastAsia="zh-TW"/>
              </w:rPr>
              <w:t>380</w:t>
            </w:r>
            <w:r w:rsidRPr="000668C6">
              <w:rPr>
                <w:rFonts w:eastAsiaTheme="minorEastAsia" w:cs="Segoe UI"/>
                <w:sz w:val="17"/>
                <w:szCs w:val="17"/>
                <w:lang w:eastAsia="zh-TW"/>
              </w:rPr>
              <w:t>條指</w:t>
            </w:r>
            <w:r w:rsidRPr="000668C6">
              <w:rPr>
                <w:rFonts w:eastAsiaTheme="minorEastAsia" w:cs="Segoe UI"/>
                <w:sz w:val="17"/>
                <w:szCs w:val="17"/>
                <w:lang w:eastAsia="zh-HK"/>
              </w:rPr>
              <w:t>明的</w:t>
            </w:r>
            <w:r w:rsidRPr="000668C6">
              <w:rPr>
                <w:rFonts w:eastAsiaTheme="minorEastAsia" w:cs="Segoe UI"/>
                <w:sz w:val="17"/>
                <w:szCs w:val="17"/>
                <w:lang w:eastAsia="zh-TW"/>
              </w:rPr>
              <w:t>、</w:t>
            </w:r>
            <w:r w:rsidRPr="000668C6">
              <w:rPr>
                <w:rFonts w:eastAsiaTheme="minorEastAsia" w:cs="Segoe UI"/>
                <w:sz w:val="17"/>
                <w:szCs w:val="17"/>
                <w:lang w:eastAsia="zh-HK"/>
              </w:rPr>
              <w:t>有</w:t>
            </w:r>
            <w:r w:rsidR="009319FA" w:rsidRPr="000668C6">
              <w:rPr>
                <w:rFonts w:eastAsiaTheme="minorEastAsia" w:cs="Segoe UI"/>
                <w:sz w:val="17"/>
                <w:szCs w:val="17"/>
                <w:lang w:eastAsia="zh-HK"/>
              </w:rPr>
              <w:t>關</w:t>
            </w:r>
            <w:r w:rsidRPr="000668C6">
              <w:rPr>
                <w:rFonts w:eastAsiaTheme="minorEastAsia" w:cs="Segoe UI"/>
                <w:sz w:val="17"/>
                <w:szCs w:val="17"/>
                <w:lang w:eastAsia="zh-HK"/>
              </w:rPr>
              <w:t>編配予</w:t>
            </w:r>
            <w:r w:rsidRPr="000668C6">
              <w:rPr>
                <w:rFonts w:eastAsiaTheme="minorEastAsia" w:cs="Segoe UI"/>
                <w:sz w:val="17"/>
                <w:szCs w:val="17"/>
                <w:lang w:eastAsia="zh-TW"/>
              </w:rPr>
              <w:t>銀行帳的第</w:t>
            </w:r>
            <w:r w:rsidRPr="000668C6">
              <w:rPr>
                <w:rFonts w:eastAsiaTheme="minorEastAsia" w:cs="Segoe UI"/>
                <w:sz w:val="17"/>
                <w:szCs w:val="17"/>
                <w:lang w:eastAsia="zh-TW"/>
              </w:rPr>
              <w:t>1</w:t>
            </w:r>
            <w:r w:rsidRPr="000668C6">
              <w:rPr>
                <w:rFonts w:eastAsiaTheme="minorEastAsia" w:cs="Segoe UI"/>
                <w:sz w:val="17"/>
                <w:szCs w:val="17"/>
                <w:lang w:val="en-US" w:eastAsia="zh-HK"/>
              </w:rPr>
              <w:t>組</w:t>
            </w:r>
            <w:r w:rsidRPr="000668C6">
              <w:rPr>
                <w:rFonts w:eastAsiaTheme="minorEastAsia" w:cs="Segoe UI"/>
                <w:sz w:val="17"/>
                <w:szCs w:val="17"/>
                <w:lang w:eastAsia="zh-TW"/>
              </w:rPr>
              <w:t>加密資產風險承擔的基建風險附加</w:t>
            </w:r>
            <w:r w:rsidRPr="000668C6">
              <w:rPr>
                <w:rFonts w:eastAsiaTheme="minorEastAsia" w:cs="Segoe UI"/>
                <w:sz w:val="17"/>
                <w:szCs w:val="17"/>
                <w:lang w:val="en-US" w:eastAsia="zh-HK"/>
              </w:rPr>
              <w:t>額</w:t>
            </w:r>
            <w:r w:rsidRPr="000668C6">
              <w:rPr>
                <w:rFonts w:eastAsiaTheme="minorEastAsia" w:cs="Segoe UI"/>
                <w:sz w:val="17"/>
                <w:szCs w:val="17"/>
                <w:lang w:eastAsia="zh-TW"/>
              </w:rPr>
              <w:t>；及</w:t>
            </w:r>
          </w:p>
          <w:p w14:paraId="67EC07F8" w14:textId="5F3066A2" w:rsidR="009F49C8" w:rsidRPr="00DF1923" w:rsidRDefault="00D34890" w:rsidP="00A241E4">
            <w:pPr>
              <w:pStyle w:val="ListParagraph"/>
              <w:keepNext/>
              <w:keepLines/>
              <w:numPr>
                <w:ilvl w:val="0"/>
                <w:numId w:val="67"/>
              </w:numPr>
              <w:tabs>
                <w:tab w:val="left" w:pos="150"/>
                <w:tab w:val="left" w:pos="397"/>
                <w:tab w:val="left" w:pos="769"/>
                <w:tab w:val="left" w:pos="1191"/>
              </w:tabs>
              <w:spacing w:before="40" w:after="40"/>
              <w:ind w:leftChars="0" w:left="343" w:hanging="343"/>
              <w:jc w:val="both"/>
              <w:rPr>
                <w:rFonts w:eastAsia="新細明體" w:cs="Segoe UI"/>
                <w:sz w:val="17"/>
                <w:szCs w:val="17"/>
                <w:lang w:eastAsia="zh-HK"/>
              </w:rPr>
            </w:pPr>
            <w:r w:rsidRPr="00DF1923">
              <w:rPr>
                <w:rFonts w:eastAsiaTheme="minorEastAsia" w:cs="Segoe UI"/>
                <w:sz w:val="17"/>
                <w:szCs w:val="17"/>
                <w:lang w:eastAsia="zh-TW"/>
              </w:rPr>
              <w:t>《資本規則》</w:t>
            </w:r>
            <w:proofErr w:type="gramStart"/>
            <w:r w:rsidRPr="00DF1923">
              <w:rPr>
                <w:rFonts w:eastAsiaTheme="minorEastAsia" w:cs="Segoe UI"/>
                <w:sz w:val="17"/>
                <w:szCs w:val="17"/>
                <w:lang w:eastAsia="zh-TW"/>
              </w:rPr>
              <w:t>第</w:t>
            </w:r>
            <w:r w:rsidRPr="00DF1923">
              <w:rPr>
                <w:rFonts w:eastAsiaTheme="minorEastAsia" w:cs="Segoe UI"/>
                <w:sz w:val="17"/>
                <w:szCs w:val="17"/>
                <w:lang w:eastAsia="zh-TW"/>
              </w:rPr>
              <w:t>388</w:t>
            </w:r>
            <w:r w:rsidRPr="00DF1923">
              <w:rPr>
                <w:rFonts w:eastAsiaTheme="minorEastAsia" w:cs="Segoe UI"/>
                <w:sz w:val="17"/>
                <w:szCs w:val="17"/>
                <w:lang w:eastAsia="zh-TW"/>
              </w:rPr>
              <w:t>條</w:t>
            </w:r>
            <w:r w:rsidRPr="00DF1923">
              <w:rPr>
                <w:rFonts w:eastAsiaTheme="minorEastAsia" w:cs="Segoe UI"/>
                <w:sz w:val="17"/>
                <w:szCs w:val="17"/>
                <w:lang w:eastAsia="zh-HK"/>
              </w:rPr>
              <w:t>提述</w:t>
            </w:r>
            <w:r w:rsidRPr="00DF1923">
              <w:rPr>
                <w:rFonts w:eastAsiaTheme="minorEastAsia" w:cs="Segoe UI"/>
                <w:sz w:val="17"/>
                <w:szCs w:val="17"/>
                <w:lang w:eastAsia="zh-TW"/>
              </w:rPr>
              <w:t>的</w:t>
            </w:r>
            <w:proofErr w:type="gramEnd"/>
            <w:r w:rsidRPr="00DF1923">
              <w:rPr>
                <w:rFonts w:eastAsiaTheme="minorEastAsia" w:cs="Segoe UI"/>
                <w:sz w:val="17"/>
                <w:szCs w:val="17"/>
                <w:lang w:eastAsia="zh-TW"/>
              </w:rPr>
              <w:t>第</w:t>
            </w:r>
            <w:r w:rsidRPr="00DF1923">
              <w:rPr>
                <w:rFonts w:eastAsiaTheme="minorEastAsia" w:cs="Segoe UI"/>
                <w:sz w:val="17"/>
                <w:szCs w:val="17"/>
                <w:lang w:eastAsia="zh-TW"/>
              </w:rPr>
              <w:t>2</w:t>
            </w:r>
            <w:r w:rsidRPr="00DF1923">
              <w:rPr>
                <w:rFonts w:eastAsiaTheme="minorEastAsia" w:cs="Segoe UI"/>
                <w:sz w:val="17"/>
                <w:szCs w:val="17"/>
                <w:lang w:eastAsia="zh-TW"/>
              </w:rPr>
              <w:t>組加密資產</w:t>
            </w:r>
            <w:r w:rsidRPr="00DF1923">
              <w:rPr>
                <w:rFonts w:eastAsiaTheme="minorEastAsia" w:cs="Segoe UI"/>
                <w:sz w:val="17"/>
                <w:szCs w:val="17"/>
                <w:lang w:eastAsia="zh-HK"/>
              </w:rPr>
              <w:t>風險承擔的附加額</w:t>
            </w:r>
            <w:r w:rsidRPr="00DF1923">
              <w:rPr>
                <w:rFonts w:eastAsiaTheme="minorEastAsia" w:cs="Segoe UI"/>
                <w:sz w:val="17"/>
                <w:szCs w:val="17"/>
                <w:lang w:eastAsia="zh-TW"/>
              </w:rPr>
              <w:t>。</w:t>
            </w:r>
          </w:p>
        </w:tc>
      </w:tr>
      <w:tr w:rsidR="00D540EB" w:rsidRPr="006A6FF6" w14:paraId="3BB03DF6" w14:textId="77777777" w:rsidTr="00862754">
        <w:tc>
          <w:tcPr>
            <w:tcW w:w="567" w:type="dxa"/>
            <w:shd w:val="clear" w:color="auto" w:fill="auto"/>
          </w:tcPr>
          <w:p w14:paraId="00362FE7" w14:textId="0BD0AF91" w:rsidR="00D540EB" w:rsidRPr="006A6FF6" w:rsidRDefault="00D540EB" w:rsidP="00D540EB">
            <w:pPr>
              <w:keepLines/>
              <w:tabs>
                <w:tab w:val="left" w:pos="150"/>
                <w:tab w:val="left" w:pos="397"/>
                <w:tab w:val="left" w:pos="794"/>
                <w:tab w:val="left" w:pos="1191"/>
              </w:tabs>
              <w:spacing w:before="40" w:after="40"/>
              <w:rPr>
                <w:rFonts w:eastAsia="新細明體" w:cs="Segoe UI"/>
                <w:sz w:val="17"/>
                <w:szCs w:val="17"/>
                <w:lang w:eastAsia="zh-TW"/>
              </w:rPr>
            </w:pPr>
            <w:r w:rsidRPr="006A6FF6">
              <w:rPr>
                <w:rFonts w:eastAsia="新細明體" w:cs="Segoe UI"/>
                <w:sz w:val="17"/>
                <w:szCs w:val="17"/>
                <w:lang w:eastAsia="zh-TW"/>
              </w:rPr>
              <w:t>8</w:t>
            </w:r>
          </w:p>
        </w:tc>
        <w:tc>
          <w:tcPr>
            <w:tcW w:w="8647" w:type="dxa"/>
            <w:shd w:val="clear" w:color="auto" w:fill="auto"/>
          </w:tcPr>
          <w:p w14:paraId="39D857E2" w14:textId="5FEBF550" w:rsidR="00D540EB" w:rsidRPr="006A6FF6" w:rsidRDefault="00D540EB" w:rsidP="00D540EB">
            <w:pPr>
              <w:keepLines/>
              <w:tabs>
                <w:tab w:val="left" w:pos="150"/>
                <w:tab w:val="left" w:pos="397"/>
                <w:tab w:val="left" w:pos="794"/>
                <w:tab w:val="left" w:pos="1191"/>
              </w:tabs>
              <w:spacing w:before="40" w:after="40"/>
              <w:jc w:val="both"/>
              <w:rPr>
                <w:rFonts w:eastAsia="新細明體" w:cs="Segoe UI"/>
                <w:i/>
                <w:sz w:val="17"/>
                <w:szCs w:val="17"/>
                <w:lang w:eastAsia="zh-HK"/>
              </w:rPr>
            </w:pPr>
            <w:r w:rsidRPr="006A6FF6">
              <w:rPr>
                <w:rFonts w:eastAsia="新細明體" w:cs="Segoe UI" w:hint="eastAsia"/>
                <w:i/>
                <w:sz w:val="17"/>
                <w:szCs w:val="17"/>
                <w:lang w:eastAsia="zh-HK"/>
              </w:rPr>
              <w:t>總計</w:t>
            </w:r>
            <w:r w:rsidRPr="006A6FF6">
              <w:rPr>
                <w:rFonts w:eastAsia="新細明體" w:cs="Segoe UI"/>
                <w:sz w:val="17"/>
                <w:szCs w:val="17"/>
                <w:lang w:eastAsia="zh-TW"/>
              </w:rPr>
              <w:t>：</w:t>
            </w:r>
            <w:r w:rsidRPr="006A6FF6">
              <w:rPr>
                <w:rFonts w:eastAsia="新細明體" w:cs="Segoe UI"/>
                <w:sz w:val="17"/>
                <w:szCs w:val="17"/>
                <w:lang w:eastAsia="zh-TW"/>
              </w:rPr>
              <w:t>[CMS2:8/a]</w:t>
            </w:r>
            <w:r w:rsidRPr="006A6FF6">
              <w:rPr>
                <w:rFonts w:eastAsia="新細明體" w:cs="Segoe UI" w:hint="eastAsia"/>
                <w:sz w:val="17"/>
                <w:szCs w:val="17"/>
                <w:lang w:eastAsia="zh-TW"/>
              </w:rPr>
              <w:t>、</w:t>
            </w:r>
            <w:r w:rsidRPr="006A6FF6">
              <w:rPr>
                <w:rFonts w:eastAsia="新細明體" w:cs="Segoe UI"/>
                <w:sz w:val="17"/>
                <w:szCs w:val="17"/>
                <w:lang w:eastAsia="zh-TW"/>
              </w:rPr>
              <w:t>[CMS2:8/c]</w:t>
            </w:r>
            <w:r w:rsidRPr="006A6FF6">
              <w:rPr>
                <w:rFonts w:eastAsia="新細明體" w:cs="Segoe UI" w:hint="eastAsia"/>
                <w:sz w:val="17"/>
                <w:szCs w:val="17"/>
                <w:lang w:eastAsia="zh-HK"/>
              </w:rPr>
              <w:t>及</w:t>
            </w:r>
            <w:r w:rsidRPr="006A6FF6">
              <w:rPr>
                <w:rFonts w:eastAsia="新細明體" w:cs="Segoe UI"/>
                <w:sz w:val="17"/>
                <w:szCs w:val="17"/>
                <w:lang w:eastAsia="zh-TW"/>
              </w:rPr>
              <w:t>[CMS2:8/d]</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r w:rsidRPr="006A6FF6">
              <w:rPr>
                <w:rFonts w:eastAsia="新細明體" w:cs="Segoe UI" w:hint="eastAsia"/>
                <w:sz w:val="17"/>
                <w:szCs w:val="17"/>
                <w:lang w:eastAsia="zh-HK"/>
              </w:rPr>
              <w:t>分別相等於</w:t>
            </w:r>
            <w:r w:rsidRPr="006A6FF6">
              <w:rPr>
                <w:rFonts w:eastAsia="新細明體" w:cs="Segoe UI"/>
                <w:sz w:val="17"/>
                <w:szCs w:val="17"/>
                <w:lang w:eastAsia="zh-TW"/>
              </w:rPr>
              <w:t>[CMS1:1/a]</w:t>
            </w:r>
            <w:r w:rsidRPr="006A6FF6">
              <w:rPr>
                <w:rFonts w:eastAsia="新細明體" w:cs="Segoe UI" w:hint="eastAsia"/>
                <w:sz w:val="17"/>
                <w:szCs w:val="17"/>
                <w:lang w:eastAsia="zh-TW"/>
              </w:rPr>
              <w:t>、</w:t>
            </w:r>
            <w:r w:rsidRPr="006A6FF6">
              <w:rPr>
                <w:rFonts w:eastAsia="新細明體" w:cs="Segoe UI"/>
                <w:sz w:val="17"/>
                <w:szCs w:val="17"/>
                <w:lang w:eastAsia="zh-TW"/>
              </w:rPr>
              <w:t>[CMS1:1/c]</w:t>
            </w:r>
            <w:r w:rsidRPr="006A6FF6">
              <w:rPr>
                <w:rFonts w:eastAsia="新細明體" w:cs="Segoe UI" w:hint="eastAsia"/>
                <w:sz w:val="17"/>
                <w:szCs w:val="17"/>
                <w:lang w:eastAsia="zh-HK"/>
              </w:rPr>
              <w:t>及</w:t>
            </w:r>
            <w:r w:rsidRPr="006A6FF6">
              <w:rPr>
                <w:rFonts w:eastAsia="新細明體" w:cs="Segoe UI"/>
                <w:sz w:val="17"/>
                <w:szCs w:val="17"/>
                <w:lang w:eastAsia="zh-TW"/>
              </w:rPr>
              <w:t>[CMS1:1/d]</w:t>
            </w:r>
            <w:r w:rsidRPr="006A6FF6">
              <w:rPr>
                <w:rFonts w:eastAsia="新細明體" w:cs="Segoe UI" w:hint="eastAsia"/>
                <w:sz w:val="17"/>
                <w:szCs w:val="17"/>
                <w:lang w:eastAsia="zh-HK"/>
              </w:rPr>
              <w:t>的值</w:t>
            </w:r>
            <w:r w:rsidRPr="006A6FF6">
              <w:rPr>
                <w:rFonts w:eastAsia="新細明體" w:cs="Segoe UI" w:hint="eastAsia"/>
                <w:sz w:val="17"/>
                <w:szCs w:val="17"/>
                <w:lang w:eastAsia="zh-TW"/>
              </w:rPr>
              <w:t>。</w:t>
            </w:r>
          </w:p>
        </w:tc>
      </w:tr>
    </w:tbl>
    <w:p w14:paraId="39EE2364" w14:textId="22677CEF" w:rsidR="00190D67" w:rsidRPr="006A6FF6" w:rsidRDefault="00190D67" w:rsidP="00190D67">
      <w:pPr>
        <w:spacing w:before="120" w:after="120"/>
        <w:rPr>
          <w:rFonts w:eastAsia="新細明體" w:cs="Segoe UI"/>
          <w:sz w:val="22"/>
          <w:lang w:eastAsia="zh-TW"/>
        </w:rPr>
      </w:pPr>
    </w:p>
    <w:p w14:paraId="7FD084C6" w14:textId="77777777" w:rsidR="00190D67" w:rsidRPr="003905B9" w:rsidRDefault="00190D67" w:rsidP="00190D67">
      <w:pPr>
        <w:pStyle w:val="DDIs1"/>
        <w:tabs>
          <w:tab w:val="left" w:pos="567"/>
        </w:tabs>
        <w:spacing w:before="360" w:after="360"/>
        <w:ind w:left="567" w:hanging="567"/>
        <w:rPr>
          <w:rFonts w:ascii="Segoe UI" w:eastAsia="新細明體" w:hAnsi="Segoe UI" w:cs="Segoe UI"/>
          <w:u w:val="single"/>
        </w:rPr>
        <w:sectPr w:rsidR="00190D67" w:rsidRPr="003905B9" w:rsidSect="00862754">
          <w:footerReference w:type="default" r:id="rId121"/>
          <w:pgSz w:w="11906" w:h="16838" w:code="9"/>
          <w:pgMar w:top="1440" w:right="1418" w:bottom="1440" w:left="1797" w:header="851" w:footer="737" w:gutter="0"/>
          <w:cols w:space="425"/>
          <w:docGrid w:type="linesAndChars" w:linePitch="360"/>
        </w:sectPr>
      </w:pPr>
    </w:p>
    <w:p w14:paraId="7D828AC6" w14:textId="77777777" w:rsidR="00190D67" w:rsidRPr="00CB2DE0" w:rsidRDefault="00190D67" w:rsidP="000F143F">
      <w:pPr>
        <w:pStyle w:val="PubliTitle"/>
        <w:spacing w:after="0" w:line="360" w:lineRule="auto"/>
        <w:ind w:left="-426" w:firstLine="568"/>
        <w:rPr>
          <w:rFonts w:eastAsia="新細明體" w:cs="Segoe UI"/>
          <w:sz w:val="28"/>
          <w:szCs w:val="28"/>
          <w:lang w:eastAsia="zh-TW"/>
        </w:rPr>
      </w:pPr>
      <w:bookmarkStart w:id="6" w:name="_Toc526832842"/>
      <w:r w:rsidRPr="00CB2DE0">
        <w:rPr>
          <w:rFonts w:eastAsia="新細明體" w:cs="Segoe UI"/>
          <w:sz w:val="28"/>
          <w:szCs w:val="28"/>
          <w:lang w:eastAsia="zh-TW"/>
        </w:rPr>
        <w:t>第</w:t>
      </w:r>
      <w:r w:rsidRPr="00CB2DE0">
        <w:rPr>
          <w:rFonts w:eastAsia="新細明體" w:cs="Segoe UI"/>
          <w:sz w:val="28"/>
          <w:szCs w:val="28"/>
          <w:lang w:eastAsia="zh-TW"/>
        </w:rPr>
        <w:t>XI</w:t>
      </w:r>
      <w:r w:rsidRPr="00CB2DE0">
        <w:rPr>
          <w:rFonts w:eastAsia="新細明體" w:cs="Segoe UI" w:hint="eastAsia"/>
          <w:sz w:val="28"/>
          <w:szCs w:val="28"/>
          <w:lang w:eastAsia="zh-HK"/>
        </w:rPr>
        <w:t>部</w:t>
      </w:r>
      <w:r w:rsidRPr="00CB2DE0">
        <w:rPr>
          <w:rFonts w:eastAsia="新細明體" w:cs="Segoe UI" w:hint="eastAsia"/>
          <w:sz w:val="28"/>
          <w:szCs w:val="28"/>
          <w:lang w:eastAsia="zh-TW"/>
        </w:rPr>
        <w:t>：</w:t>
      </w:r>
      <w:r w:rsidRPr="00CB2DE0">
        <w:rPr>
          <w:rFonts w:eastAsia="新細明體" w:cs="Segoe UI" w:hint="eastAsia"/>
          <w:sz w:val="28"/>
          <w:szCs w:val="28"/>
          <w:lang w:eastAsia="zh-HK"/>
        </w:rPr>
        <w:t>資產產權負擔</w:t>
      </w:r>
      <w:bookmarkEnd w:id="6"/>
      <w:r w:rsidRPr="00CB2DE0">
        <w:rPr>
          <w:rFonts w:eastAsia="新細明體" w:cs="Segoe UI"/>
          <w:sz w:val="28"/>
          <w:szCs w:val="28"/>
          <w:lang w:eastAsia="zh-TW"/>
        </w:rPr>
        <w:t xml:space="preserve"> </w:t>
      </w:r>
    </w:p>
    <w:p w14:paraId="1BE89668" w14:textId="1C9686A9" w:rsidR="00013F1A" w:rsidRPr="006A6FF6" w:rsidRDefault="00013F1A" w:rsidP="000F143F">
      <w:pPr>
        <w:pStyle w:val="Heading2"/>
        <w:keepNext w:val="0"/>
        <w:suppressAutoHyphens w:val="0"/>
        <w:spacing w:before="40" w:line="240" w:lineRule="auto"/>
        <w:ind w:left="-454" w:firstLine="568"/>
        <w:rPr>
          <w:rFonts w:asciiTheme="majorEastAsia" w:eastAsiaTheme="majorEastAsia" w:hAnsiTheme="majorEastAsia"/>
          <w:b w:val="0"/>
          <w:bCs w:val="0"/>
          <w:sz w:val="22"/>
          <w:szCs w:val="20"/>
          <w:lang w:eastAsia="zh-TW"/>
        </w:rPr>
      </w:pPr>
      <w:r w:rsidRPr="006A6FF6">
        <w:rPr>
          <w:rFonts w:asciiTheme="majorEastAsia" w:eastAsiaTheme="majorEastAsia" w:hAnsiTheme="majorEastAsia" w:cs="微軟正黑體" w:hint="eastAsia"/>
          <w:b w:val="0"/>
          <w:bCs w:val="0"/>
          <w:sz w:val="22"/>
          <w:szCs w:val="20"/>
          <w:lang w:eastAsia="zh-TW"/>
        </w:rPr>
        <w:t>模版</w:t>
      </w:r>
      <w:r w:rsidRPr="006A6FF6">
        <w:rPr>
          <w:rFonts w:ascii="Segoe UI" w:eastAsiaTheme="majorEastAsia" w:hAnsi="Segoe UI" w:cs="Segoe UI"/>
          <w:b w:val="0"/>
          <w:bCs w:val="0"/>
          <w:sz w:val="22"/>
          <w:szCs w:val="20"/>
          <w:lang w:eastAsia="zh-TW"/>
        </w:rPr>
        <w:t>ENC</w:t>
      </w:r>
      <w:r w:rsidRPr="006A6FF6">
        <w:rPr>
          <w:rFonts w:asciiTheme="majorEastAsia" w:eastAsiaTheme="majorEastAsia" w:hAnsiTheme="majorEastAsia" w:cs="微軟正黑體" w:hint="eastAsia"/>
          <w:b w:val="0"/>
          <w:bCs w:val="0"/>
          <w:sz w:val="22"/>
          <w:szCs w:val="20"/>
          <w:lang w:eastAsia="zh-TW"/>
        </w:rPr>
        <w:t>：資產產權負擔</w:t>
      </w:r>
    </w:p>
    <w:tbl>
      <w:tblPr>
        <w:tblW w:w="8964"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60"/>
        <w:gridCol w:w="6804"/>
      </w:tblGrid>
      <w:tr w:rsidR="006A6FF6" w:rsidRPr="006A6FF6" w14:paraId="6CB4AF15" w14:textId="77777777" w:rsidTr="000F143F">
        <w:tc>
          <w:tcPr>
            <w:tcW w:w="2160" w:type="dxa"/>
          </w:tcPr>
          <w:p w14:paraId="1B755621" w14:textId="77777777" w:rsidR="00190D67" w:rsidRPr="006A6FF6" w:rsidRDefault="00190D67" w:rsidP="00862754">
            <w:pPr>
              <w:spacing w:before="40" w:after="40"/>
              <w:rPr>
                <w:rFonts w:eastAsia="新細明體" w:cs="Segoe UI"/>
                <w:noProof/>
                <w:sz w:val="17"/>
                <w:lang w:eastAsia="zh-TW"/>
              </w:rPr>
            </w:pPr>
            <w:r w:rsidRPr="006A6FF6">
              <w:rPr>
                <w:rFonts w:eastAsia="新細明體" w:cs="Segoe UI" w:hint="eastAsia"/>
                <w:b/>
                <w:sz w:val="17"/>
                <w:lang w:eastAsia="zh-HK"/>
              </w:rPr>
              <w:t>目的</w:t>
            </w:r>
            <w:r w:rsidRPr="006A6FF6">
              <w:rPr>
                <w:rFonts w:eastAsia="新細明體" w:cs="Segoe UI"/>
                <w:b/>
                <w:sz w:val="17"/>
                <w:lang w:eastAsia="zh-TW"/>
              </w:rPr>
              <w:t>：</w:t>
            </w:r>
          </w:p>
        </w:tc>
        <w:tc>
          <w:tcPr>
            <w:tcW w:w="6804" w:type="dxa"/>
          </w:tcPr>
          <w:p w14:paraId="7F75FE96" w14:textId="5C17B404" w:rsidR="00190D67" w:rsidRPr="006A6FF6" w:rsidRDefault="00190D67" w:rsidP="00862754">
            <w:pPr>
              <w:spacing w:before="40" w:after="40"/>
              <w:jc w:val="both"/>
              <w:rPr>
                <w:rFonts w:eastAsia="新細明體" w:cs="Segoe UI"/>
                <w:noProof/>
                <w:sz w:val="17"/>
                <w:lang w:eastAsia="zh-TW"/>
              </w:rPr>
            </w:pPr>
            <w:r w:rsidRPr="006A6FF6">
              <w:rPr>
                <w:rFonts w:ascii="新細明體" w:eastAsia="新細明體" w:hAnsi="新細明體" w:cs="Segoe UI" w:hint="eastAsia"/>
                <w:sz w:val="17"/>
                <w:lang w:eastAsia="zh-TW"/>
              </w:rPr>
              <w:t>提供</w:t>
            </w:r>
            <w:r w:rsidRPr="006A6FF6">
              <w:rPr>
                <w:rFonts w:eastAsia="新細明體" w:cs="Segoe UI" w:hint="eastAsia"/>
                <w:sz w:val="17"/>
                <w:lang w:eastAsia="zh-HK"/>
              </w:rPr>
              <w:t>具產權負擔及無產權負擔資產的數額</w:t>
            </w:r>
            <w:r w:rsidRPr="006A6FF6">
              <w:rPr>
                <w:rFonts w:eastAsia="新細明體" w:cs="Segoe UI" w:hint="eastAsia"/>
                <w:sz w:val="17"/>
                <w:lang w:eastAsia="zh-TW"/>
              </w:rPr>
              <w:t>。</w:t>
            </w:r>
          </w:p>
        </w:tc>
      </w:tr>
      <w:tr w:rsidR="006A6FF6" w:rsidRPr="006A6FF6" w14:paraId="4FEB4F4C" w14:textId="77777777" w:rsidTr="000F143F">
        <w:tc>
          <w:tcPr>
            <w:tcW w:w="2160" w:type="dxa"/>
          </w:tcPr>
          <w:p w14:paraId="6AADBCBA"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lang w:eastAsia="en-GB"/>
              </w:rPr>
              <w:t>適用範圍</w:t>
            </w:r>
            <w:proofErr w:type="spellEnd"/>
            <w:r w:rsidRPr="006A6FF6">
              <w:rPr>
                <w:rFonts w:eastAsia="新細明體" w:cs="Segoe UI"/>
                <w:b/>
                <w:sz w:val="17"/>
                <w:lang w:eastAsia="en-GB"/>
              </w:rPr>
              <w:t>：</w:t>
            </w:r>
          </w:p>
        </w:tc>
        <w:tc>
          <w:tcPr>
            <w:tcW w:w="6804" w:type="dxa"/>
          </w:tcPr>
          <w:p w14:paraId="262E0E67" w14:textId="2F04EB25" w:rsidR="00190D67" w:rsidRPr="006A6FF6" w:rsidRDefault="00190D67" w:rsidP="00862754">
            <w:pPr>
              <w:spacing w:before="40" w:after="40"/>
              <w:jc w:val="both"/>
              <w:rPr>
                <w:rFonts w:eastAsia="新細明體" w:cs="Segoe UI"/>
                <w:sz w:val="17"/>
                <w:lang w:eastAsia="zh-TW"/>
              </w:rPr>
            </w:pPr>
            <w:r w:rsidRPr="006A6FF6">
              <w:rPr>
                <w:rFonts w:eastAsia="新細明體" w:cs="Segoe UI" w:hint="eastAsia"/>
                <w:sz w:val="17"/>
                <w:lang w:eastAsia="zh-HK"/>
              </w:rPr>
              <w:t>所有在香港成立為法團的認可機構均須填報本模版</w:t>
            </w:r>
            <w:r w:rsidRPr="006A6FF6">
              <w:rPr>
                <w:rFonts w:eastAsia="新細明體" w:cs="Segoe UI" w:hint="eastAsia"/>
                <w:sz w:val="17"/>
                <w:lang w:eastAsia="zh-TW"/>
              </w:rPr>
              <w:t>。</w:t>
            </w:r>
          </w:p>
        </w:tc>
      </w:tr>
      <w:tr w:rsidR="006A6FF6" w:rsidRPr="006A6FF6" w14:paraId="2518ECB4" w14:textId="77777777" w:rsidTr="000F143F">
        <w:tc>
          <w:tcPr>
            <w:tcW w:w="2160" w:type="dxa"/>
          </w:tcPr>
          <w:p w14:paraId="114DF433"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lang w:eastAsia="en-GB"/>
              </w:rPr>
              <w:t>內容</w:t>
            </w:r>
            <w:proofErr w:type="spellEnd"/>
            <w:r w:rsidRPr="006A6FF6">
              <w:rPr>
                <w:rFonts w:eastAsia="新細明體" w:cs="Segoe UI"/>
                <w:b/>
                <w:sz w:val="17"/>
                <w:lang w:eastAsia="en-GB"/>
              </w:rPr>
              <w:t>：</w:t>
            </w:r>
          </w:p>
        </w:tc>
        <w:tc>
          <w:tcPr>
            <w:tcW w:w="6804" w:type="dxa"/>
          </w:tcPr>
          <w:p w14:paraId="769DF6FB" w14:textId="1AB54C94" w:rsidR="00190D67" w:rsidRPr="006A6FF6" w:rsidRDefault="00190D67" w:rsidP="003509DE">
            <w:pPr>
              <w:spacing w:before="40" w:after="40"/>
              <w:jc w:val="both"/>
              <w:rPr>
                <w:rFonts w:eastAsia="新細明體" w:cs="Segoe UI"/>
                <w:sz w:val="17"/>
                <w:lang w:eastAsia="zh-TW"/>
              </w:rPr>
            </w:pPr>
            <w:r w:rsidRPr="006A6FF6">
              <w:rPr>
                <w:rFonts w:eastAsia="新細明體" w:cs="Segoe UI" w:hint="eastAsia"/>
                <w:sz w:val="17"/>
                <w:lang w:eastAsia="zh-HK"/>
              </w:rPr>
              <w:t>資產負債表內的具產權負擔及無產權負擔資產的期末值帳面數額</w:t>
            </w:r>
            <w:r w:rsidRPr="006A6FF6">
              <w:rPr>
                <w:rFonts w:eastAsia="新細明體" w:cs="Segoe UI" w:hint="eastAsia"/>
                <w:sz w:val="17"/>
                <w:lang w:eastAsia="zh-TW"/>
              </w:rPr>
              <w:t>。</w:t>
            </w:r>
            <w:r w:rsidRPr="006A6FF6">
              <w:rPr>
                <w:rFonts w:eastAsia="新細明體" w:cs="Segoe UI" w:hint="eastAsia"/>
                <w:sz w:val="17"/>
                <w:lang w:eastAsia="zh-HK"/>
              </w:rPr>
              <w:t>認可機構在作出披</w:t>
            </w:r>
            <w:r w:rsidRPr="006A6FF6">
              <w:rPr>
                <w:rFonts w:eastAsia="新細明體" w:cs="Segoe UI" w:hint="eastAsia"/>
                <w:sz w:val="17"/>
                <w:lang w:eastAsia="zh-TW"/>
              </w:rPr>
              <w:t>露</w:t>
            </w:r>
            <w:r w:rsidRPr="006A6FF6">
              <w:rPr>
                <w:rFonts w:eastAsia="新細明體" w:cs="Segoe UI" w:hint="eastAsia"/>
                <w:sz w:val="17"/>
                <w:lang w:eastAsia="zh-HK"/>
              </w:rPr>
              <w:t>時應採用《披露規則》</w:t>
            </w:r>
            <w:r w:rsidRPr="006A6FF6">
              <w:rPr>
                <w:rFonts w:ascii="新細明體" w:eastAsia="新細明體" w:hAnsi="新細明體" w:cs="Segoe UI" w:hint="eastAsia"/>
                <w:sz w:val="17"/>
                <w:lang w:eastAsia="zh-TW"/>
              </w:rPr>
              <w:t>第</w:t>
            </w:r>
            <w:r w:rsidRPr="006A6FF6">
              <w:rPr>
                <w:rFonts w:eastAsia="新細明體" w:cs="Segoe UI"/>
                <w:sz w:val="17"/>
                <w:lang w:eastAsia="zh-TW"/>
              </w:rPr>
              <w:t>16ZQG(2)</w:t>
            </w:r>
            <w:r w:rsidRPr="006A6FF6">
              <w:rPr>
                <w:rFonts w:ascii="新細明體" w:eastAsia="新細明體" w:hAnsi="新細明體" w:cs="Segoe UI" w:hint="eastAsia"/>
                <w:sz w:val="17"/>
                <w:lang w:eastAsia="zh-TW"/>
              </w:rPr>
              <w:t>條及</w:t>
            </w:r>
            <w:r w:rsidRPr="006A6FF6">
              <w:rPr>
                <w:rFonts w:eastAsia="新細明體" w:cs="Segoe UI" w:hint="eastAsia"/>
                <w:sz w:val="17"/>
                <w:lang w:eastAsia="zh-HK"/>
              </w:rPr>
              <w:t>下文註釋列</w:t>
            </w:r>
            <w:r w:rsidR="00342F70" w:rsidRPr="006A6FF6">
              <w:rPr>
                <w:rFonts w:eastAsia="新細明體" w:cs="Segoe UI" w:hint="eastAsia"/>
                <w:sz w:val="17"/>
                <w:lang w:eastAsia="zh-HK"/>
              </w:rPr>
              <w:t>明</w:t>
            </w:r>
            <w:r w:rsidRPr="006A6FF6">
              <w:rPr>
                <w:rFonts w:ascii="新細明體" w:eastAsia="新細明體" w:hAnsi="新細明體" w:cs="Segoe UI" w:hint="eastAsia"/>
                <w:sz w:val="17"/>
                <w:lang w:eastAsia="zh-HK"/>
              </w:rPr>
              <w:t>「具產權負擔</w:t>
            </w:r>
            <w:r w:rsidRPr="006A6FF6">
              <w:rPr>
                <w:rFonts w:eastAsia="新細明體" w:cs="Segoe UI" w:hint="eastAsia"/>
                <w:sz w:val="17"/>
                <w:lang w:eastAsia="zh-HK"/>
              </w:rPr>
              <w:t>資產</w:t>
            </w:r>
            <w:r w:rsidRPr="006A6FF6">
              <w:rPr>
                <w:rFonts w:ascii="新細明體" w:eastAsia="新細明體" w:hAnsi="新細明體" w:cs="Segoe UI" w:hint="eastAsia"/>
                <w:sz w:val="17"/>
                <w:lang w:eastAsia="zh-HK"/>
              </w:rPr>
              <w:t>」的</w:t>
            </w:r>
            <w:r w:rsidRPr="006A6FF6">
              <w:rPr>
                <w:rFonts w:eastAsia="新細明體" w:cs="Segoe UI" w:hint="eastAsia"/>
                <w:sz w:val="17"/>
                <w:lang w:eastAsia="zh-HK"/>
              </w:rPr>
              <w:t>具體定義</w:t>
            </w:r>
            <w:r w:rsidRPr="006A6FF6">
              <w:rPr>
                <w:rFonts w:eastAsia="新細明體" w:cs="Segoe UI" w:hint="eastAsia"/>
                <w:sz w:val="17"/>
                <w:lang w:eastAsia="zh-TW"/>
              </w:rPr>
              <w:t>。</w:t>
            </w:r>
            <w:r w:rsidRPr="006A6FF6">
              <w:rPr>
                <w:rFonts w:eastAsia="新細明體" w:cs="Segoe UI" w:hint="eastAsia"/>
                <w:sz w:val="17"/>
                <w:lang w:eastAsia="zh-HK"/>
              </w:rPr>
              <w:t>就</w:t>
            </w:r>
            <w:r w:rsidRPr="006A6FF6">
              <w:rPr>
                <w:rFonts w:ascii="新細明體" w:eastAsia="新細明體" w:hAnsi="新細明體" w:cs="Segoe UI" w:hint="eastAsia"/>
                <w:sz w:val="17"/>
                <w:lang w:eastAsia="zh-TW"/>
              </w:rPr>
              <w:t>本披露規定</w:t>
            </w:r>
            <w:r w:rsidRPr="006A6FF6">
              <w:rPr>
                <w:rFonts w:eastAsia="新細明體" w:cs="Segoe UI" w:hint="eastAsia"/>
                <w:sz w:val="17"/>
                <w:lang w:eastAsia="zh-HK"/>
              </w:rPr>
              <w:t>而言</w:t>
            </w:r>
            <w:r w:rsidRPr="006A6FF6">
              <w:rPr>
                <w:rFonts w:eastAsia="新細明體" w:cs="Segoe UI" w:hint="eastAsia"/>
                <w:sz w:val="17"/>
                <w:lang w:eastAsia="zh-TW"/>
              </w:rPr>
              <w:t>，</w:t>
            </w:r>
            <w:r w:rsidRPr="006A6FF6">
              <w:rPr>
                <w:rFonts w:eastAsia="新細明體" w:cs="Segoe UI" w:hint="eastAsia"/>
                <w:sz w:val="17"/>
                <w:lang w:eastAsia="zh-HK"/>
              </w:rPr>
              <w:t>綜合範圍應為認可機構的監管綜合範圍</w:t>
            </w:r>
            <w:r w:rsidRPr="006A6FF6">
              <w:rPr>
                <w:rFonts w:eastAsia="新細明體" w:cs="Segoe UI" w:hint="eastAsia"/>
                <w:sz w:val="17"/>
                <w:lang w:eastAsia="zh-TW"/>
              </w:rPr>
              <w:t>，</w:t>
            </w:r>
            <w:r w:rsidRPr="006A6FF6">
              <w:rPr>
                <w:rFonts w:ascii="新細明體" w:eastAsia="新細明體" w:hAnsi="新細明體" w:cs="Segoe UI" w:hint="eastAsia"/>
                <w:sz w:val="17"/>
                <w:lang w:eastAsia="zh-TW"/>
              </w:rPr>
              <w:t>任何符合</w:t>
            </w:r>
            <w:r w:rsidRPr="006A6FF6">
              <w:rPr>
                <w:rFonts w:ascii="新細明體" w:eastAsia="新細明體" w:hAnsi="新細明體" w:cs="Segoe UI" w:hint="eastAsia"/>
                <w:sz w:val="17"/>
                <w:lang w:eastAsia="zh-HK"/>
              </w:rPr>
              <w:t>「具產權負擔資產」</w:t>
            </w:r>
            <w:r w:rsidRPr="006A6FF6">
              <w:rPr>
                <w:rFonts w:ascii="新細明體" w:eastAsia="新細明體" w:hAnsi="新細明體" w:cs="Segoe UI" w:hint="eastAsia"/>
                <w:sz w:val="17"/>
                <w:lang w:eastAsia="zh-TW"/>
              </w:rPr>
              <w:t>定義的資產（</w:t>
            </w:r>
            <w:r w:rsidRPr="006A6FF6">
              <w:rPr>
                <w:rFonts w:ascii="新細明體" w:eastAsia="新細明體" w:hAnsi="新細明體" w:cs="Segoe UI" w:hint="eastAsia"/>
                <w:sz w:val="17"/>
                <w:lang w:eastAsia="zh-HK"/>
              </w:rPr>
              <w:t>包括</w:t>
            </w:r>
            <w:r w:rsidRPr="006A6FF6">
              <w:rPr>
                <w:rFonts w:ascii="新細明體" w:eastAsia="新細明體" w:hAnsi="新細明體" w:cs="Segoe UI" w:hint="eastAsia"/>
                <w:sz w:val="17"/>
                <w:lang w:eastAsia="zh-TW"/>
              </w:rPr>
              <w:t>與</w:t>
            </w:r>
            <w:r w:rsidRPr="006A6FF6">
              <w:rPr>
                <w:rFonts w:ascii="新細明體" w:eastAsia="新細明體" w:hAnsi="新細明體" w:cs="Segoe UI" w:hint="eastAsia"/>
                <w:sz w:val="17"/>
                <w:lang w:eastAsia="zh-HK"/>
              </w:rPr>
              <w:t>證券化類別風險承擔</w:t>
            </w:r>
            <w:r w:rsidRPr="006A6FF6">
              <w:rPr>
                <w:rFonts w:ascii="新細明體" w:eastAsia="新細明體" w:hAnsi="新細明體" w:cs="Segoe UI" w:hint="eastAsia"/>
                <w:sz w:val="17"/>
                <w:lang w:eastAsia="zh-TW"/>
              </w:rPr>
              <w:t>相關的資產）應包括在</w:t>
            </w:r>
            <w:r w:rsidR="003509DE" w:rsidRPr="006A6FF6">
              <w:rPr>
                <w:rFonts w:ascii="新細明體" w:eastAsia="新細明體" w:hAnsi="新細明體" w:cs="Segoe UI" w:hint="eastAsia"/>
                <w:sz w:val="17"/>
                <w:lang w:eastAsia="zh-HK"/>
              </w:rPr>
              <w:t>本</w:t>
            </w:r>
            <w:r w:rsidRPr="006A6FF6">
              <w:rPr>
                <w:rFonts w:ascii="新細明體" w:eastAsia="新細明體" w:hAnsi="新細明體" w:cs="Segoe UI" w:hint="eastAsia"/>
                <w:sz w:val="17"/>
                <w:lang w:eastAsia="zh-TW"/>
              </w:rPr>
              <w:t>披露内</w:t>
            </w:r>
            <w:r w:rsidRPr="006A6FF6">
              <w:rPr>
                <w:rFonts w:eastAsia="新細明體" w:cs="Segoe UI" w:hint="eastAsia"/>
                <w:sz w:val="17"/>
                <w:lang w:eastAsia="zh-TW"/>
              </w:rPr>
              <w:t>。</w:t>
            </w:r>
          </w:p>
        </w:tc>
      </w:tr>
      <w:tr w:rsidR="006A6FF6" w:rsidRPr="006A6FF6" w14:paraId="52817EAE" w14:textId="77777777" w:rsidTr="000F143F">
        <w:tc>
          <w:tcPr>
            <w:tcW w:w="2160" w:type="dxa"/>
          </w:tcPr>
          <w:p w14:paraId="483D700F" w14:textId="77777777" w:rsidR="00190D67" w:rsidRPr="006A6FF6" w:rsidRDefault="00190D67" w:rsidP="00862754">
            <w:pPr>
              <w:spacing w:before="40" w:after="40"/>
              <w:rPr>
                <w:rFonts w:eastAsia="新細明體" w:cs="Segoe UI"/>
                <w:sz w:val="17"/>
                <w:lang w:eastAsia="en-GB"/>
              </w:rPr>
            </w:pPr>
            <w:proofErr w:type="spellStart"/>
            <w:r w:rsidRPr="006A6FF6">
              <w:rPr>
                <w:rFonts w:eastAsia="新細明體" w:cs="Segoe UI"/>
                <w:b/>
                <w:sz w:val="17"/>
                <w:lang w:eastAsia="en-GB"/>
              </w:rPr>
              <w:t>頻密程度</w:t>
            </w:r>
            <w:proofErr w:type="spellEnd"/>
            <w:r w:rsidRPr="006A6FF6">
              <w:rPr>
                <w:rFonts w:eastAsia="新細明體" w:cs="Segoe UI"/>
                <w:b/>
                <w:sz w:val="17"/>
                <w:lang w:eastAsia="en-GB"/>
              </w:rPr>
              <w:t>：</w:t>
            </w:r>
          </w:p>
        </w:tc>
        <w:tc>
          <w:tcPr>
            <w:tcW w:w="6804" w:type="dxa"/>
          </w:tcPr>
          <w:p w14:paraId="7800D1E7" w14:textId="77777777" w:rsidR="00190D67" w:rsidRPr="006A6FF6" w:rsidRDefault="00190D67" w:rsidP="00862754">
            <w:pPr>
              <w:spacing w:before="40" w:after="40"/>
              <w:jc w:val="both"/>
              <w:rPr>
                <w:rFonts w:eastAsia="新細明體" w:cs="Segoe UI"/>
                <w:sz w:val="17"/>
                <w:lang w:eastAsia="en-GB"/>
              </w:rPr>
            </w:pPr>
            <w:r w:rsidRPr="006A6FF6">
              <w:rPr>
                <w:rFonts w:eastAsia="新細明體" w:cs="Segoe UI" w:hint="eastAsia"/>
                <w:sz w:val="17"/>
                <w:lang w:eastAsia="zh-HK"/>
              </w:rPr>
              <w:t>每半年一次</w:t>
            </w:r>
            <w:r w:rsidRPr="006A6FF6">
              <w:rPr>
                <w:rFonts w:eastAsia="新細明體" w:cs="Segoe UI" w:hint="eastAsia"/>
                <w:sz w:val="17"/>
                <w:lang w:eastAsia="zh-TW"/>
              </w:rPr>
              <w:t>。</w:t>
            </w:r>
          </w:p>
        </w:tc>
      </w:tr>
      <w:tr w:rsidR="006A6FF6" w:rsidRPr="006A6FF6" w14:paraId="10BC9371" w14:textId="77777777" w:rsidTr="000F143F">
        <w:tc>
          <w:tcPr>
            <w:tcW w:w="2160" w:type="dxa"/>
          </w:tcPr>
          <w:p w14:paraId="4CE5CB7A" w14:textId="77777777" w:rsidR="00190D67" w:rsidRPr="006A6FF6" w:rsidRDefault="00190D67" w:rsidP="00862754">
            <w:pPr>
              <w:spacing w:before="40" w:after="40"/>
              <w:rPr>
                <w:rFonts w:eastAsia="新細明體" w:cs="Segoe UI"/>
                <w:sz w:val="17"/>
                <w:lang w:eastAsia="en-GB"/>
              </w:rPr>
            </w:pPr>
            <w:proofErr w:type="spellStart"/>
            <w:r w:rsidRPr="006A6FF6">
              <w:rPr>
                <w:rFonts w:eastAsia="新細明體" w:cs="Segoe UI"/>
                <w:b/>
                <w:sz w:val="17"/>
                <w:lang w:eastAsia="en-GB"/>
              </w:rPr>
              <w:t>格式</w:t>
            </w:r>
            <w:proofErr w:type="spellEnd"/>
            <w:r w:rsidRPr="006A6FF6">
              <w:rPr>
                <w:rFonts w:eastAsia="新細明體" w:cs="Segoe UI"/>
                <w:b/>
                <w:sz w:val="17"/>
                <w:lang w:eastAsia="en-GB"/>
              </w:rPr>
              <w:t>：</w:t>
            </w:r>
          </w:p>
        </w:tc>
        <w:tc>
          <w:tcPr>
            <w:tcW w:w="6804" w:type="dxa"/>
          </w:tcPr>
          <w:p w14:paraId="26BBE13C" w14:textId="72FFA8A8" w:rsidR="00190D67" w:rsidRPr="006A6FF6" w:rsidRDefault="00190D67" w:rsidP="00862754">
            <w:pPr>
              <w:spacing w:before="40" w:after="40"/>
              <w:jc w:val="both"/>
              <w:rPr>
                <w:rFonts w:eastAsia="新細明體" w:cs="Segoe UI"/>
                <w:sz w:val="17"/>
                <w:lang w:eastAsia="zh-TW"/>
              </w:rPr>
            </w:pPr>
            <w:r w:rsidRPr="006A6FF6">
              <w:rPr>
                <w:rFonts w:eastAsia="新細明體" w:cs="Segoe UI"/>
                <w:sz w:val="17"/>
                <w:lang w:eastAsia="zh-TW"/>
              </w:rPr>
              <w:t>固定。</w:t>
            </w:r>
            <w:r w:rsidRPr="006A6FF6">
              <w:rPr>
                <w:rFonts w:eastAsia="新細明體" w:cs="Segoe UI" w:hint="eastAsia"/>
                <w:sz w:val="17"/>
                <w:lang w:eastAsia="zh-HK"/>
              </w:rPr>
              <w:t>認可機構應按適用情況將用於中央銀行融通的任何資產與其他具產權負擔和無產權負擔資產集合</w:t>
            </w:r>
            <w:r w:rsidRPr="006A6FF6">
              <w:rPr>
                <w:rFonts w:ascii="新細明體" w:eastAsia="新細明體" w:hAnsi="新細明體" w:cs="Segoe UI" w:hint="eastAsia"/>
                <w:sz w:val="17"/>
                <w:lang w:eastAsia="zh-TW"/>
              </w:rPr>
              <w:t>在</w:t>
            </w:r>
            <w:r w:rsidRPr="006A6FF6">
              <w:rPr>
                <w:rFonts w:eastAsia="新細明體" w:cs="Segoe UI" w:hint="eastAsia"/>
                <w:sz w:val="17"/>
                <w:lang w:eastAsia="zh-HK"/>
              </w:rPr>
              <w:t>一起</w:t>
            </w:r>
            <w:r w:rsidRPr="006A6FF6">
              <w:rPr>
                <w:rFonts w:eastAsia="新細明體" w:cs="Segoe UI" w:hint="eastAsia"/>
                <w:sz w:val="17"/>
                <w:lang w:eastAsia="zh-TW"/>
              </w:rPr>
              <w:t>。</w:t>
            </w:r>
          </w:p>
        </w:tc>
      </w:tr>
      <w:tr w:rsidR="006A6FF6" w:rsidRPr="006A6FF6" w14:paraId="6F8F7789" w14:textId="77777777" w:rsidTr="000F143F">
        <w:tc>
          <w:tcPr>
            <w:tcW w:w="2160" w:type="dxa"/>
          </w:tcPr>
          <w:p w14:paraId="2D7104F5" w14:textId="77777777" w:rsidR="00190D67" w:rsidRPr="006A6FF6" w:rsidRDefault="00190D67" w:rsidP="00862754">
            <w:pPr>
              <w:spacing w:before="40" w:after="40"/>
              <w:rPr>
                <w:rFonts w:eastAsia="新細明體" w:cs="Segoe UI"/>
                <w:b/>
                <w:sz w:val="17"/>
                <w:lang w:eastAsia="en-GB"/>
              </w:rPr>
            </w:pPr>
            <w:proofErr w:type="spellStart"/>
            <w:r w:rsidRPr="006A6FF6">
              <w:rPr>
                <w:rFonts w:eastAsia="新細明體" w:cs="Segoe UI"/>
                <w:b/>
                <w:sz w:val="17"/>
                <w:szCs w:val="17"/>
                <w:lang w:eastAsia="en-GB"/>
              </w:rPr>
              <w:t>附加說明</w:t>
            </w:r>
            <w:proofErr w:type="spellEnd"/>
            <w:r w:rsidRPr="006A6FF6">
              <w:rPr>
                <w:rFonts w:eastAsia="新細明體" w:cs="Segoe UI"/>
                <w:b/>
                <w:sz w:val="17"/>
                <w:szCs w:val="17"/>
                <w:lang w:eastAsia="en-GB"/>
              </w:rPr>
              <w:t>：</w:t>
            </w:r>
          </w:p>
        </w:tc>
        <w:tc>
          <w:tcPr>
            <w:tcW w:w="6804" w:type="dxa"/>
          </w:tcPr>
          <w:p w14:paraId="63D7F99A" w14:textId="6491907D" w:rsidR="00190D67" w:rsidRPr="006A6FF6" w:rsidRDefault="00190D67" w:rsidP="00862754">
            <w:pPr>
              <w:spacing w:before="40" w:after="40"/>
              <w:jc w:val="both"/>
              <w:rPr>
                <w:rFonts w:eastAsia="新細明體" w:cs="Segoe UI"/>
                <w:sz w:val="17"/>
                <w:lang w:eastAsia="zh-TW"/>
              </w:rPr>
            </w:pPr>
            <w:r w:rsidRPr="006A6FF6">
              <w:rPr>
                <w:rFonts w:eastAsia="新細明體" w:cs="Segoe UI" w:hint="eastAsia"/>
                <w:sz w:val="17"/>
                <w:lang w:eastAsia="zh-HK"/>
              </w:rPr>
              <w:t>為</w:t>
            </w:r>
            <w:r w:rsidRPr="006A6FF6">
              <w:rPr>
                <w:rFonts w:eastAsia="新細明體" w:cs="Segoe UI" w:hint="eastAsia"/>
                <w:sz w:val="17"/>
                <w:lang w:eastAsia="zh-TW"/>
              </w:rPr>
              <w:t>補充本模版，認可機構應以敘述評註闡明</w:t>
            </w:r>
            <w:r w:rsidRPr="006A6FF6">
              <w:rPr>
                <w:rFonts w:eastAsia="新細明體" w:cs="Segoe UI" w:hint="eastAsia"/>
                <w:sz w:val="17"/>
                <w:lang w:eastAsia="zh-TW"/>
              </w:rPr>
              <w:t>(</w:t>
            </w:r>
            <w:proofErr w:type="spellStart"/>
            <w:r w:rsidRPr="006A6FF6">
              <w:rPr>
                <w:rFonts w:eastAsia="新細明體" w:cs="Segoe UI"/>
                <w:sz w:val="17"/>
                <w:lang w:eastAsia="zh-TW"/>
              </w:rPr>
              <w:t>i</w:t>
            </w:r>
            <w:proofErr w:type="spellEnd"/>
            <w:r w:rsidRPr="006A6FF6">
              <w:rPr>
                <w:rFonts w:eastAsia="新細明體" w:cs="Segoe UI" w:hint="eastAsia"/>
                <w:sz w:val="17"/>
                <w:lang w:eastAsia="zh-TW"/>
              </w:rPr>
              <w:t>)</w:t>
            </w:r>
            <w:r w:rsidRPr="006A6FF6">
              <w:rPr>
                <w:rFonts w:eastAsia="新細明體" w:cs="Segoe UI"/>
                <w:sz w:val="17"/>
                <w:lang w:eastAsia="zh-TW"/>
              </w:rPr>
              <w:t xml:space="preserve"> </w:t>
            </w:r>
            <w:r w:rsidRPr="006A6FF6">
              <w:rPr>
                <w:rFonts w:eastAsia="新細明體" w:cs="Segoe UI" w:hint="eastAsia"/>
                <w:sz w:val="17"/>
                <w:lang w:eastAsia="zh-HK"/>
              </w:rPr>
              <w:t>與上</w:t>
            </w:r>
            <w:r w:rsidRPr="006A6FF6">
              <w:rPr>
                <w:rFonts w:ascii="新細明體" w:eastAsia="新細明體" w:hAnsi="新細明體" w:cs="Segoe UI" w:hint="eastAsia"/>
                <w:sz w:val="17"/>
                <w:lang w:eastAsia="zh-TW"/>
              </w:rPr>
              <w:t>一</w:t>
            </w:r>
            <w:r w:rsidRPr="006A6FF6">
              <w:rPr>
                <w:rFonts w:ascii="新細明體" w:eastAsia="新細明體" w:hAnsi="新細明體" w:cs="Segoe UI" w:hint="eastAsia"/>
                <w:sz w:val="17"/>
                <w:lang w:eastAsia="zh-HK"/>
              </w:rPr>
              <w:t>次</w:t>
            </w:r>
            <w:r w:rsidRPr="006A6FF6">
              <w:rPr>
                <w:rFonts w:eastAsia="新細明體" w:cs="Segoe UI" w:hint="eastAsia"/>
                <w:sz w:val="17"/>
                <w:lang w:eastAsia="zh-HK"/>
              </w:rPr>
              <w:t>披露相比</w:t>
            </w:r>
            <w:r w:rsidRPr="006A6FF6">
              <w:rPr>
                <w:rFonts w:eastAsia="新細明體" w:cs="Segoe UI" w:hint="eastAsia"/>
                <w:sz w:val="17"/>
                <w:lang w:eastAsia="zh-TW"/>
              </w:rPr>
              <w:t>，具產權負擔</w:t>
            </w:r>
            <w:r w:rsidRPr="006A6FF6">
              <w:rPr>
                <w:rFonts w:eastAsia="新細明體" w:cs="Segoe UI" w:hint="eastAsia"/>
                <w:sz w:val="17"/>
                <w:lang w:eastAsia="zh-HK"/>
              </w:rPr>
              <w:t>及無產權負擔</w:t>
            </w:r>
            <w:r w:rsidRPr="006A6FF6">
              <w:rPr>
                <w:rFonts w:eastAsia="新細明體" w:cs="Segoe UI" w:hint="eastAsia"/>
                <w:sz w:val="17"/>
                <w:lang w:eastAsia="zh-TW"/>
              </w:rPr>
              <w:t>資產</w:t>
            </w:r>
            <w:r w:rsidRPr="006A6FF6">
              <w:rPr>
                <w:rFonts w:ascii="新細明體" w:eastAsia="新細明體" w:hAnsi="新細明體" w:cs="Segoe UI Historic" w:hint="eastAsia"/>
                <w:sz w:val="17"/>
                <w:lang w:val="en-US" w:eastAsia="zh-HK"/>
              </w:rPr>
              <w:t>數</w:t>
            </w:r>
            <w:r w:rsidRPr="006A6FF6">
              <w:rPr>
                <w:rFonts w:ascii="新細明體" w:eastAsia="新細明體" w:hAnsi="新細明體" w:cs="Segoe UI Historic" w:hint="eastAsia"/>
                <w:sz w:val="17"/>
                <w:lang w:val="en-US" w:eastAsia="zh-TW"/>
              </w:rPr>
              <w:t>額</w:t>
            </w:r>
            <w:r w:rsidRPr="006A6FF6">
              <w:rPr>
                <w:rFonts w:eastAsia="新細明體" w:cs="Segoe UI" w:hint="eastAsia"/>
                <w:sz w:val="17"/>
                <w:lang w:eastAsia="zh-HK"/>
              </w:rPr>
              <w:t>的任何重大</w:t>
            </w:r>
            <w:r w:rsidR="003509DE" w:rsidRPr="006A6FF6">
              <w:rPr>
                <w:rFonts w:eastAsia="新細明體" w:cs="Segoe UI" w:hint="eastAsia"/>
                <w:sz w:val="17"/>
                <w:lang w:eastAsia="zh-HK"/>
              </w:rPr>
              <w:t>改</w:t>
            </w:r>
            <w:r w:rsidRPr="006A6FF6">
              <w:rPr>
                <w:rFonts w:eastAsia="新細明體" w:cs="Segoe UI" w:hint="eastAsia"/>
                <w:sz w:val="17"/>
                <w:lang w:eastAsia="zh-HK"/>
              </w:rPr>
              <w:t>變</w:t>
            </w:r>
            <w:r w:rsidRPr="006A6FF6">
              <w:rPr>
                <w:rFonts w:eastAsia="新細明體" w:cs="Segoe UI" w:hint="eastAsia"/>
                <w:sz w:val="17"/>
                <w:lang w:eastAsia="zh-TW"/>
              </w:rPr>
              <w:t>；</w:t>
            </w:r>
            <w:r w:rsidRPr="006A6FF6">
              <w:rPr>
                <w:rFonts w:eastAsia="新細明體" w:cs="Segoe UI" w:hint="eastAsia"/>
                <w:sz w:val="17"/>
                <w:lang w:eastAsia="zh-HK"/>
              </w:rPr>
              <w:t>及</w:t>
            </w:r>
            <w:r w:rsidRPr="006A6FF6">
              <w:rPr>
                <w:rFonts w:eastAsia="新細明體" w:cs="Segoe UI"/>
                <w:sz w:val="17"/>
                <w:lang w:eastAsia="zh-TW"/>
              </w:rPr>
              <w:t xml:space="preserve">(ii) </w:t>
            </w:r>
            <w:r w:rsidRPr="006A6FF6">
              <w:rPr>
                <w:rFonts w:eastAsia="新細明體" w:cs="Segoe UI" w:hint="eastAsia"/>
                <w:sz w:val="17"/>
                <w:lang w:eastAsia="zh-HK"/>
              </w:rPr>
              <w:t>為了解所披露數字的情況所需的任何其他相關資料</w:t>
            </w:r>
            <w:r w:rsidRPr="006A6FF6">
              <w:rPr>
                <w:rFonts w:eastAsia="新細明體" w:cs="Segoe UI" w:hint="eastAsia"/>
                <w:sz w:val="17"/>
                <w:lang w:eastAsia="zh-TW"/>
              </w:rPr>
              <w:t>。</w:t>
            </w:r>
          </w:p>
        </w:tc>
      </w:tr>
      <w:tr w:rsidR="00190D67" w:rsidRPr="006A6FF6" w14:paraId="7267D9A3" w14:textId="77777777" w:rsidTr="000F143F">
        <w:tc>
          <w:tcPr>
            <w:tcW w:w="2160" w:type="dxa"/>
          </w:tcPr>
          <w:p w14:paraId="6DE9C6DE" w14:textId="77777777" w:rsidR="00190D67" w:rsidRPr="006A6FF6" w:rsidRDefault="00190D67" w:rsidP="00862754">
            <w:pPr>
              <w:spacing w:before="40" w:after="40"/>
              <w:rPr>
                <w:rFonts w:eastAsia="新細明體" w:cs="Segoe UI"/>
                <w:b/>
                <w:sz w:val="17"/>
                <w:szCs w:val="17"/>
                <w:lang w:eastAsia="zh-TW"/>
              </w:rPr>
            </w:pPr>
            <w:r w:rsidRPr="006A6FF6">
              <w:rPr>
                <w:rFonts w:eastAsia="新細明體" w:cs="Segoe UI"/>
                <w:b/>
                <w:sz w:val="17"/>
                <w:szCs w:val="17"/>
                <w:lang w:eastAsia="zh-TW"/>
              </w:rPr>
              <w:t>《披露規則》相應條文：</w:t>
            </w:r>
          </w:p>
        </w:tc>
        <w:tc>
          <w:tcPr>
            <w:tcW w:w="6804" w:type="dxa"/>
          </w:tcPr>
          <w:p w14:paraId="3C7F157B" w14:textId="77777777" w:rsidR="00190D67" w:rsidRPr="006A6FF6" w:rsidRDefault="00190D67" w:rsidP="00862754">
            <w:pPr>
              <w:spacing w:before="40" w:after="40"/>
              <w:jc w:val="both"/>
              <w:rPr>
                <w:rFonts w:eastAsia="新細明體" w:cs="Segoe UI"/>
                <w:sz w:val="17"/>
                <w:lang w:eastAsia="en-GB"/>
              </w:rPr>
            </w:pPr>
            <w:r w:rsidRPr="006A6FF6">
              <w:rPr>
                <w:rFonts w:eastAsia="DengXian" w:cs="Segoe UI"/>
                <w:sz w:val="17"/>
                <w:lang w:eastAsia="zh-CN"/>
              </w:rPr>
              <w:t>16ZQG</w:t>
            </w:r>
          </w:p>
        </w:tc>
      </w:tr>
    </w:tbl>
    <w:p w14:paraId="151526C6" w14:textId="77777777" w:rsidR="00190D67" w:rsidRPr="006A6FF6" w:rsidRDefault="00190D67" w:rsidP="00190D67">
      <w:pPr>
        <w:spacing w:before="120" w:after="120"/>
        <w:rPr>
          <w:rFonts w:eastAsia="新細明體" w:cs="Segoe UI"/>
          <w:sz w:val="22"/>
        </w:rPr>
      </w:pPr>
    </w:p>
    <w:p w14:paraId="677D2469" w14:textId="77777777" w:rsidR="00190D67" w:rsidRPr="006A6FF6" w:rsidRDefault="00190D67" w:rsidP="00190D67">
      <w:pPr>
        <w:spacing w:before="120" w:after="120"/>
        <w:rPr>
          <w:rFonts w:eastAsia="新細明體" w:cs="Segoe UI"/>
          <w:sz w:val="22"/>
        </w:rPr>
      </w:pPr>
    </w:p>
    <w:tbl>
      <w:tblPr>
        <w:tblW w:w="8931" w:type="dxa"/>
        <w:tblInd w:w="108"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458"/>
        <w:gridCol w:w="2458"/>
        <w:gridCol w:w="2172"/>
      </w:tblGrid>
      <w:tr w:rsidR="006A6FF6" w:rsidRPr="006A6FF6" w14:paraId="6E580183" w14:textId="77777777" w:rsidTr="00CB2DE0">
        <w:trPr>
          <w:trHeight w:val="197"/>
        </w:trPr>
        <w:tc>
          <w:tcPr>
            <w:tcW w:w="1032" w:type="pct"/>
            <w:vMerge w:val="restart"/>
            <w:tcBorders>
              <w:top w:val="nil"/>
            </w:tcBorders>
            <w:tcMar>
              <w:top w:w="0" w:type="dxa"/>
              <w:left w:w="108" w:type="dxa"/>
              <w:bottom w:w="0" w:type="dxa"/>
              <w:right w:w="108" w:type="dxa"/>
            </w:tcMar>
          </w:tcPr>
          <w:p w14:paraId="46EACFF9" w14:textId="77777777" w:rsidR="00190D67" w:rsidRPr="006A6FF6" w:rsidRDefault="00190D67" w:rsidP="00862754">
            <w:pPr>
              <w:spacing w:before="120" w:after="120"/>
              <w:rPr>
                <w:rFonts w:eastAsia="新細明體" w:cs="Segoe UI"/>
                <w:sz w:val="22"/>
              </w:rPr>
            </w:pPr>
          </w:p>
        </w:tc>
        <w:tc>
          <w:tcPr>
            <w:tcW w:w="1376" w:type="pct"/>
            <w:tcMar>
              <w:top w:w="0" w:type="dxa"/>
              <w:left w:w="108" w:type="dxa"/>
              <w:bottom w:w="0" w:type="dxa"/>
              <w:right w:w="108" w:type="dxa"/>
            </w:tcMar>
          </w:tcPr>
          <w:p w14:paraId="393958A7" w14:textId="77777777" w:rsidR="00190D67" w:rsidRPr="006A6FF6" w:rsidRDefault="00190D67" w:rsidP="00862754">
            <w:pPr>
              <w:spacing w:before="120" w:after="120"/>
              <w:jc w:val="center"/>
              <w:rPr>
                <w:rFonts w:eastAsia="新細明體" w:cs="Segoe UI"/>
                <w:sz w:val="17"/>
                <w:szCs w:val="17"/>
              </w:rPr>
            </w:pPr>
            <w:r w:rsidRPr="006A6FF6">
              <w:rPr>
                <w:rFonts w:eastAsia="新細明體" w:cs="Segoe UI"/>
                <w:sz w:val="17"/>
                <w:szCs w:val="17"/>
              </w:rPr>
              <w:t>(a)</w:t>
            </w:r>
          </w:p>
        </w:tc>
        <w:tc>
          <w:tcPr>
            <w:tcW w:w="1376" w:type="pct"/>
          </w:tcPr>
          <w:p w14:paraId="680AC64C" w14:textId="77777777" w:rsidR="00190D67" w:rsidRPr="006A6FF6" w:rsidRDefault="00190D67" w:rsidP="00862754">
            <w:pPr>
              <w:spacing w:before="120" w:after="120"/>
              <w:jc w:val="center"/>
              <w:rPr>
                <w:rFonts w:eastAsia="新細明體" w:cs="Segoe UI"/>
                <w:sz w:val="17"/>
                <w:szCs w:val="17"/>
              </w:rPr>
            </w:pPr>
            <w:r w:rsidRPr="006A6FF6">
              <w:rPr>
                <w:rFonts w:eastAsia="新細明體" w:cs="Segoe UI"/>
                <w:sz w:val="17"/>
                <w:szCs w:val="17"/>
              </w:rPr>
              <w:t>(c)</w:t>
            </w:r>
          </w:p>
        </w:tc>
        <w:tc>
          <w:tcPr>
            <w:tcW w:w="1217" w:type="pct"/>
            <w:tcBorders>
              <w:right w:val="single" w:sz="4" w:space="0" w:color="auto"/>
            </w:tcBorders>
            <w:tcMar>
              <w:top w:w="0" w:type="dxa"/>
              <w:left w:w="108" w:type="dxa"/>
              <w:bottom w:w="0" w:type="dxa"/>
              <w:right w:w="108" w:type="dxa"/>
            </w:tcMar>
          </w:tcPr>
          <w:p w14:paraId="00664454" w14:textId="77777777" w:rsidR="00190D67" w:rsidRPr="006A6FF6" w:rsidRDefault="00190D67" w:rsidP="00862754">
            <w:pPr>
              <w:spacing w:before="120" w:after="120"/>
              <w:jc w:val="center"/>
              <w:rPr>
                <w:rFonts w:eastAsia="新細明體" w:cs="Segoe UI"/>
                <w:iCs/>
                <w:sz w:val="17"/>
                <w:szCs w:val="17"/>
              </w:rPr>
            </w:pPr>
            <w:r w:rsidRPr="006A6FF6">
              <w:rPr>
                <w:rFonts w:eastAsia="新細明體" w:cs="Segoe UI"/>
                <w:iCs/>
                <w:sz w:val="17"/>
                <w:szCs w:val="17"/>
              </w:rPr>
              <w:t>(d)</w:t>
            </w:r>
          </w:p>
        </w:tc>
      </w:tr>
      <w:tr w:rsidR="006A6FF6" w:rsidRPr="006A6FF6" w14:paraId="0B4B60E5" w14:textId="77777777" w:rsidTr="00CB2DE0">
        <w:tc>
          <w:tcPr>
            <w:tcW w:w="1032" w:type="pct"/>
            <w:vMerge/>
            <w:tcMar>
              <w:top w:w="0" w:type="dxa"/>
              <w:left w:w="108" w:type="dxa"/>
              <w:bottom w:w="0" w:type="dxa"/>
              <w:right w:w="108" w:type="dxa"/>
            </w:tcMar>
          </w:tcPr>
          <w:p w14:paraId="413EE4DE" w14:textId="77777777" w:rsidR="00190D67" w:rsidRPr="006A6FF6" w:rsidRDefault="00190D67" w:rsidP="00862754">
            <w:pPr>
              <w:spacing w:before="120" w:after="120"/>
              <w:rPr>
                <w:rFonts w:eastAsia="新細明體" w:cs="Segoe UI"/>
                <w:sz w:val="22"/>
              </w:rPr>
            </w:pPr>
          </w:p>
        </w:tc>
        <w:tc>
          <w:tcPr>
            <w:tcW w:w="1376" w:type="pct"/>
            <w:tcMar>
              <w:top w:w="0" w:type="dxa"/>
              <w:left w:w="108" w:type="dxa"/>
              <w:bottom w:w="0" w:type="dxa"/>
              <w:right w:w="108" w:type="dxa"/>
            </w:tcMar>
            <w:hideMark/>
          </w:tcPr>
          <w:p w14:paraId="24DEFEA1" w14:textId="1B7C7238" w:rsidR="00190D67" w:rsidRPr="006A6FF6" w:rsidRDefault="00190D67" w:rsidP="00862754">
            <w:pPr>
              <w:spacing w:before="120" w:after="120"/>
              <w:jc w:val="center"/>
              <w:rPr>
                <w:rFonts w:eastAsia="新細明體" w:cs="Segoe UI"/>
                <w:b/>
                <w:sz w:val="17"/>
                <w:szCs w:val="17"/>
              </w:rPr>
            </w:pPr>
            <w:r w:rsidRPr="006A6FF6">
              <w:rPr>
                <w:rFonts w:eastAsia="新細明體" w:cs="Segoe UI" w:hint="eastAsia"/>
                <w:b/>
                <w:sz w:val="17"/>
                <w:szCs w:val="17"/>
                <w:lang w:eastAsia="zh-HK"/>
              </w:rPr>
              <w:t>具產權負擔資產</w:t>
            </w:r>
          </w:p>
        </w:tc>
        <w:tc>
          <w:tcPr>
            <w:tcW w:w="1376" w:type="pct"/>
          </w:tcPr>
          <w:p w14:paraId="19DB2222" w14:textId="3188C08E" w:rsidR="00190D67" w:rsidRPr="006A6FF6" w:rsidRDefault="00190D67" w:rsidP="00862754">
            <w:pPr>
              <w:spacing w:before="120" w:after="120"/>
              <w:jc w:val="center"/>
              <w:rPr>
                <w:rFonts w:eastAsia="新細明體" w:cs="Segoe UI"/>
                <w:sz w:val="17"/>
                <w:szCs w:val="17"/>
                <w:lang w:eastAsia="zh-TW"/>
              </w:rPr>
            </w:pPr>
            <w:r w:rsidRPr="006A6FF6">
              <w:rPr>
                <w:rFonts w:eastAsia="新細明體" w:cs="Segoe UI" w:hint="eastAsia"/>
                <w:b/>
                <w:sz w:val="17"/>
                <w:szCs w:val="17"/>
                <w:lang w:eastAsia="zh-HK"/>
              </w:rPr>
              <w:t>無產權負擔資產</w:t>
            </w:r>
          </w:p>
        </w:tc>
        <w:tc>
          <w:tcPr>
            <w:tcW w:w="1217" w:type="pct"/>
            <w:tcBorders>
              <w:right w:val="single" w:sz="4" w:space="0" w:color="auto"/>
            </w:tcBorders>
            <w:tcMar>
              <w:top w:w="0" w:type="dxa"/>
              <w:left w:w="108" w:type="dxa"/>
              <w:bottom w:w="0" w:type="dxa"/>
              <w:right w:w="108" w:type="dxa"/>
            </w:tcMar>
            <w:hideMark/>
          </w:tcPr>
          <w:p w14:paraId="06B93C4F" w14:textId="77777777" w:rsidR="00190D67" w:rsidRPr="006A6FF6" w:rsidRDefault="00190D67" w:rsidP="00862754">
            <w:pPr>
              <w:spacing w:before="120" w:after="120"/>
              <w:jc w:val="center"/>
              <w:rPr>
                <w:rFonts w:eastAsia="新細明體" w:cs="Segoe UI"/>
                <w:b/>
                <w:iCs/>
                <w:sz w:val="17"/>
                <w:szCs w:val="17"/>
              </w:rPr>
            </w:pPr>
            <w:r w:rsidRPr="006A6FF6">
              <w:rPr>
                <w:rFonts w:eastAsia="新細明體" w:cs="Segoe UI" w:hint="eastAsia"/>
                <w:b/>
                <w:iCs/>
                <w:sz w:val="17"/>
                <w:szCs w:val="17"/>
                <w:lang w:eastAsia="zh-HK"/>
              </w:rPr>
              <w:t>總計</w:t>
            </w:r>
          </w:p>
        </w:tc>
      </w:tr>
      <w:tr w:rsidR="006A6FF6" w:rsidRPr="006A6FF6" w14:paraId="1619284A" w14:textId="77777777" w:rsidTr="00CB2DE0">
        <w:trPr>
          <w:trHeight w:val="793"/>
        </w:trPr>
        <w:tc>
          <w:tcPr>
            <w:tcW w:w="1032" w:type="pct"/>
            <w:vMerge w:val="restart"/>
            <w:tcMar>
              <w:top w:w="0" w:type="dxa"/>
              <w:left w:w="108" w:type="dxa"/>
              <w:bottom w:w="0" w:type="dxa"/>
              <w:right w:w="108" w:type="dxa"/>
            </w:tcMar>
            <w:hideMark/>
          </w:tcPr>
          <w:p w14:paraId="65D0DB86" w14:textId="34C58900" w:rsidR="00190D67" w:rsidRPr="006A6FF6" w:rsidRDefault="00190D67" w:rsidP="00862754">
            <w:pPr>
              <w:spacing w:before="120" w:after="120"/>
              <w:rPr>
                <w:rFonts w:eastAsia="新細明體" w:cs="Segoe UI"/>
                <w:sz w:val="17"/>
                <w:szCs w:val="17"/>
                <w:lang w:eastAsia="zh-TW"/>
              </w:rPr>
            </w:pPr>
            <w:r w:rsidRPr="006A6FF6">
              <w:rPr>
                <w:rFonts w:eastAsia="新細明體" w:cs="Segoe UI" w:hint="eastAsia"/>
                <w:sz w:val="17"/>
                <w:szCs w:val="17"/>
                <w:lang w:eastAsia="zh-HK"/>
              </w:rPr>
              <w:t>資產負債表</w:t>
            </w:r>
            <w:r w:rsidRPr="006A6FF6">
              <w:rPr>
                <w:rFonts w:ascii="新細明體" w:eastAsia="新細明體" w:hAnsi="新細明體" w:cs="Segoe UI" w:hint="eastAsia"/>
                <w:sz w:val="17"/>
                <w:szCs w:val="17"/>
                <w:lang w:eastAsia="zh-TW"/>
              </w:rPr>
              <w:t>内</w:t>
            </w:r>
            <w:r w:rsidRPr="006A6FF6">
              <w:rPr>
                <w:rFonts w:eastAsia="新細明體" w:cs="Segoe UI" w:hint="eastAsia"/>
                <w:sz w:val="17"/>
                <w:szCs w:val="17"/>
                <w:lang w:eastAsia="zh-HK"/>
              </w:rPr>
              <w:t>的資產會被分類</w:t>
            </w:r>
            <w:r w:rsidRPr="006A6FF6">
              <w:rPr>
                <w:rFonts w:eastAsia="新細明體" w:cs="Segoe UI" w:hint="eastAsia"/>
                <w:sz w:val="17"/>
                <w:szCs w:val="17"/>
                <w:lang w:eastAsia="zh-TW"/>
              </w:rPr>
              <w:t>；</w:t>
            </w:r>
            <w:r w:rsidRPr="006A6FF6">
              <w:rPr>
                <w:rFonts w:eastAsia="新細明體" w:cs="Segoe UI" w:hint="eastAsia"/>
                <w:sz w:val="17"/>
                <w:szCs w:val="17"/>
                <w:lang w:eastAsia="zh-HK"/>
              </w:rPr>
              <w:t>認可機構可自行決定分類的仔細程度</w:t>
            </w:r>
          </w:p>
        </w:tc>
        <w:tc>
          <w:tcPr>
            <w:tcW w:w="1376" w:type="pct"/>
            <w:tcBorders>
              <w:bottom w:val="single" w:sz="4" w:space="0" w:color="BFBFBF"/>
            </w:tcBorders>
            <w:tcMar>
              <w:top w:w="0" w:type="dxa"/>
              <w:left w:w="108" w:type="dxa"/>
              <w:bottom w:w="0" w:type="dxa"/>
              <w:right w:w="108" w:type="dxa"/>
            </w:tcMar>
          </w:tcPr>
          <w:p w14:paraId="18829593" w14:textId="77777777" w:rsidR="00190D67" w:rsidRPr="006A6FF6" w:rsidRDefault="00190D67" w:rsidP="00862754">
            <w:pPr>
              <w:spacing w:before="120" w:after="120"/>
              <w:rPr>
                <w:rFonts w:eastAsia="新細明體" w:cs="Segoe UI"/>
                <w:sz w:val="22"/>
                <w:lang w:eastAsia="zh-TW"/>
              </w:rPr>
            </w:pPr>
          </w:p>
        </w:tc>
        <w:tc>
          <w:tcPr>
            <w:tcW w:w="1376" w:type="pct"/>
            <w:tcBorders>
              <w:bottom w:val="single" w:sz="4" w:space="0" w:color="BFBFBF"/>
            </w:tcBorders>
          </w:tcPr>
          <w:p w14:paraId="64B0DF79" w14:textId="77777777" w:rsidR="00190D67" w:rsidRPr="006A6FF6" w:rsidRDefault="00190D67" w:rsidP="00862754">
            <w:pPr>
              <w:spacing w:before="120" w:after="120"/>
              <w:rPr>
                <w:rFonts w:eastAsia="新細明體" w:cs="Segoe UI"/>
                <w:sz w:val="22"/>
                <w:lang w:eastAsia="zh-TW"/>
              </w:rPr>
            </w:pPr>
          </w:p>
        </w:tc>
        <w:tc>
          <w:tcPr>
            <w:tcW w:w="1217" w:type="pct"/>
            <w:tcBorders>
              <w:bottom w:val="single" w:sz="4" w:space="0" w:color="BFBFBF"/>
              <w:right w:val="single" w:sz="4" w:space="0" w:color="auto"/>
            </w:tcBorders>
          </w:tcPr>
          <w:p w14:paraId="707A1233" w14:textId="77777777" w:rsidR="00190D67" w:rsidRPr="006A6FF6" w:rsidRDefault="00190D67" w:rsidP="00862754">
            <w:pPr>
              <w:spacing w:before="120" w:after="120"/>
              <w:rPr>
                <w:rFonts w:eastAsia="新細明體" w:cs="Segoe UI"/>
                <w:sz w:val="22"/>
                <w:lang w:eastAsia="zh-TW"/>
              </w:rPr>
            </w:pPr>
          </w:p>
        </w:tc>
      </w:tr>
      <w:tr w:rsidR="006A6FF6" w:rsidRPr="006A6FF6" w14:paraId="435DE98A" w14:textId="77777777" w:rsidTr="00CB2DE0">
        <w:trPr>
          <w:trHeight w:val="793"/>
        </w:trPr>
        <w:tc>
          <w:tcPr>
            <w:tcW w:w="1032" w:type="pct"/>
            <w:vMerge/>
            <w:tcMar>
              <w:top w:w="0" w:type="dxa"/>
              <w:left w:w="108" w:type="dxa"/>
              <w:bottom w:w="0" w:type="dxa"/>
              <w:right w:w="108" w:type="dxa"/>
            </w:tcMar>
          </w:tcPr>
          <w:p w14:paraId="5E2B58CD" w14:textId="77777777" w:rsidR="00190D67" w:rsidRPr="006A6FF6" w:rsidRDefault="00190D67" w:rsidP="00862754">
            <w:pPr>
              <w:spacing w:before="120" w:after="120"/>
              <w:rPr>
                <w:rFonts w:eastAsia="新細明體" w:cs="Segoe UI"/>
                <w:sz w:val="17"/>
                <w:szCs w:val="17"/>
                <w:lang w:eastAsia="zh-TW"/>
              </w:rPr>
            </w:pPr>
          </w:p>
        </w:tc>
        <w:tc>
          <w:tcPr>
            <w:tcW w:w="1376" w:type="pct"/>
            <w:tcBorders>
              <w:top w:val="single" w:sz="4" w:space="0" w:color="BFBFBF"/>
              <w:bottom w:val="single" w:sz="4" w:space="0" w:color="BFBFBF"/>
            </w:tcBorders>
            <w:tcMar>
              <w:top w:w="0" w:type="dxa"/>
              <w:left w:w="108" w:type="dxa"/>
              <w:bottom w:w="0" w:type="dxa"/>
              <w:right w:w="108" w:type="dxa"/>
            </w:tcMar>
          </w:tcPr>
          <w:p w14:paraId="3FFA99F9" w14:textId="77777777" w:rsidR="00190D67" w:rsidRPr="006A6FF6" w:rsidRDefault="00190D67" w:rsidP="00862754">
            <w:pPr>
              <w:spacing w:before="120" w:after="120"/>
              <w:rPr>
                <w:rFonts w:eastAsia="新細明體" w:cs="Segoe UI"/>
                <w:sz w:val="22"/>
                <w:lang w:eastAsia="zh-TW"/>
              </w:rPr>
            </w:pPr>
          </w:p>
        </w:tc>
        <w:tc>
          <w:tcPr>
            <w:tcW w:w="1376" w:type="pct"/>
            <w:tcBorders>
              <w:top w:val="single" w:sz="4" w:space="0" w:color="BFBFBF"/>
              <w:bottom w:val="single" w:sz="4" w:space="0" w:color="BFBFBF"/>
            </w:tcBorders>
          </w:tcPr>
          <w:p w14:paraId="0BF1B5B5" w14:textId="77777777" w:rsidR="00190D67" w:rsidRPr="006A6FF6" w:rsidRDefault="00190D67" w:rsidP="00862754">
            <w:pPr>
              <w:spacing w:before="120" w:after="120"/>
              <w:rPr>
                <w:rFonts w:eastAsia="新細明體" w:cs="Segoe UI"/>
                <w:sz w:val="22"/>
                <w:lang w:eastAsia="zh-TW"/>
              </w:rPr>
            </w:pPr>
          </w:p>
        </w:tc>
        <w:tc>
          <w:tcPr>
            <w:tcW w:w="1217" w:type="pct"/>
            <w:tcBorders>
              <w:top w:val="single" w:sz="4" w:space="0" w:color="BFBFBF"/>
              <w:bottom w:val="single" w:sz="4" w:space="0" w:color="BFBFBF"/>
              <w:right w:val="single" w:sz="4" w:space="0" w:color="auto"/>
            </w:tcBorders>
          </w:tcPr>
          <w:p w14:paraId="52D4A8D6" w14:textId="77777777" w:rsidR="00190D67" w:rsidRPr="006A6FF6" w:rsidRDefault="00190D67" w:rsidP="00862754">
            <w:pPr>
              <w:spacing w:before="120" w:after="120"/>
              <w:rPr>
                <w:rFonts w:eastAsia="新細明體" w:cs="Segoe UI"/>
                <w:sz w:val="22"/>
                <w:lang w:eastAsia="zh-TW"/>
              </w:rPr>
            </w:pPr>
          </w:p>
        </w:tc>
      </w:tr>
      <w:tr w:rsidR="006A6FF6" w:rsidRPr="006A6FF6" w14:paraId="38F6DC7C" w14:textId="77777777" w:rsidTr="00CB2DE0">
        <w:trPr>
          <w:trHeight w:val="794"/>
        </w:trPr>
        <w:tc>
          <w:tcPr>
            <w:tcW w:w="1032" w:type="pct"/>
            <w:vMerge/>
            <w:tcMar>
              <w:top w:w="0" w:type="dxa"/>
              <w:left w:w="108" w:type="dxa"/>
              <w:bottom w:w="0" w:type="dxa"/>
              <w:right w:w="108" w:type="dxa"/>
            </w:tcMar>
          </w:tcPr>
          <w:p w14:paraId="04D53E22" w14:textId="77777777" w:rsidR="00190D67" w:rsidRPr="006A6FF6" w:rsidRDefault="00190D67" w:rsidP="00862754">
            <w:pPr>
              <w:spacing w:before="120" w:after="120"/>
              <w:rPr>
                <w:rFonts w:eastAsia="新細明體" w:cs="Segoe UI"/>
                <w:sz w:val="17"/>
                <w:szCs w:val="17"/>
                <w:lang w:eastAsia="zh-TW"/>
              </w:rPr>
            </w:pPr>
          </w:p>
        </w:tc>
        <w:tc>
          <w:tcPr>
            <w:tcW w:w="1376" w:type="pct"/>
            <w:tcBorders>
              <w:top w:val="single" w:sz="4" w:space="0" w:color="BFBFBF"/>
            </w:tcBorders>
            <w:tcMar>
              <w:top w:w="0" w:type="dxa"/>
              <w:left w:w="108" w:type="dxa"/>
              <w:bottom w:w="0" w:type="dxa"/>
              <w:right w:w="108" w:type="dxa"/>
            </w:tcMar>
          </w:tcPr>
          <w:p w14:paraId="03BD6084" w14:textId="77777777" w:rsidR="00190D67" w:rsidRPr="006A6FF6" w:rsidRDefault="00190D67" w:rsidP="00862754">
            <w:pPr>
              <w:spacing w:before="120" w:after="120"/>
              <w:rPr>
                <w:rFonts w:eastAsia="新細明體" w:cs="Segoe UI"/>
                <w:sz w:val="22"/>
                <w:lang w:eastAsia="zh-TW"/>
              </w:rPr>
            </w:pPr>
          </w:p>
        </w:tc>
        <w:tc>
          <w:tcPr>
            <w:tcW w:w="1376" w:type="pct"/>
            <w:tcBorders>
              <w:top w:val="single" w:sz="4" w:space="0" w:color="BFBFBF"/>
            </w:tcBorders>
          </w:tcPr>
          <w:p w14:paraId="132C6A58" w14:textId="77777777" w:rsidR="00190D67" w:rsidRPr="006A6FF6" w:rsidRDefault="00190D67" w:rsidP="00862754">
            <w:pPr>
              <w:spacing w:before="120" w:after="120"/>
              <w:rPr>
                <w:rFonts w:eastAsia="新細明體" w:cs="Segoe UI"/>
                <w:sz w:val="22"/>
                <w:lang w:eastAsia="zh-TW"/>
              </w:rPr>
            </w:pPr>
          </w:p>
        </w:tc>
        <w:tc>
          <w:tcPr>
            <w:tcW w:w="1217" w:type="pct"/>
            <w:tcBorders>
              <w:top w:val="single" w:sz="4" w:space="0" w:color="BFBFBF"/>
              <w:right w:val="single" w:sz="4" w:space="0" w:color="auto"/>
            </w:tcBorders>
          </w:tcPr>
          <w:p w14:paraId="29F862E6" w14:textId="77777777" w:rsidR="00190D67" w:rsidRPr="006A6FF6" w:rsidRDefault="00190D67" w:rsidP="00862754">
            <w:pPr>
              <w:spacing w:before="120" w:after="120"/>
              <w:rPr>
                <w:rFonts w:eastAsia="新細明體" w:cs="Segoe UI"/>
                <w:sz w:val="22"/>
                <w:lang w:eastAsia="zh-TW"/>
              </w:rPr>
            </w:pPr>
          </w:p>
        </w:tc>
      </w:tr>
    </w:tbl>
    <w:p w14:paraId="0DB83C10" w14:textId="77777777" w:rsidR="00CB2DE0" w:rsidRPr="006A6FF6" w:rsidRDefault="00CB2DE0" w:rsidP="00190D67">
      <w:pPr>
        <w:spacing w:before="120" w:after="120"/>
        <w:ind w:leftChars="-283" w:left="-566"/>
        <w:rPr>
          <w:rFonts w:eastAsia="新細明體" w:cs="Segoe UI"/>
          <w:sz w:val="22"/>
          <w:lang w:eastAsia="zh-TW"/>
        </w:rPr>
      </w:pPr>
    </w:p>
    <w:p w14:paraId="1A82280F" w14:textId="3629F3AB" w:rsidR="007F3E1E" w:rsidRPr="006A6FF6" w:rsidRDefault="007F3E1E" w:rsidP="00190D67">
      <w:pPr>
        <w:spacing w:before="120" w:after="120"/>
        <w:ind w:leftChars="-283" w:left="-566"/>
        <w:rPr>
          <w:rFonts w:eastAsia="新細明體" w:cs="Segoe UI"/>
          <w:sz w:val="22"/>
          <w:lang w:eastAsia="zh-TW"/>
        </w:rPr>
      </w:pPr>
      <w:r w:rsidRPr="006A6FF6">
        <w:rPr>
          <w:rFonts w:eastAsia="新細明體" w:cs="Segoe UI"/>
          <w:sz w:val="22"/>
          <w:lang w:eastAsia="zh-TW"/>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6A6FF6" w:rsidRPr="006A6FF6" w14:paraId="6ABE7477" w14:textId="77777777" w:rsidTr="00CB2DE0">
        <w:trPr>
          <w:tblHeader/>
        </w:trPr>
        <w:tc>
          <w:tcPr>
            <w:tcW w:w="8931" w:type="dxa"/>
            <w:gridSpan w:val="2"/>
            <w:shd w:val="clear" w:color="auto" w:fill="BFBFBF"/>
          </w:tcPr>
          <w:p w14:paraId="0AD36460"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hint="eastAsia"/>
                <w:b/>
                <w:sz w:val="17"/>
                <w:lang w:eastAsia="zh-HK"/>
              </w:rPr>
              <w:t>註釋</w:t>
            </w:r>
          </w:p>
        </w:tc>
      </w:tr>
      <w:tr w:rsidR="006A6FF6" w:rsidRPr="006A6FF6" w14:paraId="7C2256C6" w14:textId="77777777" w:rsidTr="00CB2DE0">
        <w:trPr>
          <w:trHeight w:val="153"/>
        </w:trPr>
        <w:tc>
          <w:tcPr>
            <w:tcW w:w="8931" w:type="dxa"/>
            <w:gridSpan w:val="2"/>
            <w:shd w:val="clear" w:color="auto" w:fill="F2F2F2"/>
          </w:tcPr>
          <w:p w14:paraId="2786DEE9"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b/>
                <w:sz w:val="17"/>
                <w:lang w:eastAsia="en-GB"/>
              </w:rPr>
            </w:pPr>
            <w:r w:rsidRPr="006A6FF6">
              <w:rPr>
                <w:rFonts w:eastAsia="新細明體" w:cs="Segoe UI" w:hint="eastAsia"/>
                <w:b/>
                <w:sz w:val="17"/>
                <w:lang w:eastAsia="zh-HK"/>
              </w:rPr>
              <w:t>欄</w:t>
            </w:r>
          </w:p>
        </w:tc>
      </w:tr>
      <w:tr w:rsidR="006A6FF6" w:rsidRPr="006A6FF6" w14:paraId="56DAAA90" w14:textId="77777777" w:rsidTr="00CB2DE0">
        <w:tc>
          <w:tcPr>
            <w:tcW w:w="567" w:type="dxa"/>
            <w:shd w:val="clear" w:color="auto" w:fill="auto"/>
          </w:tcPr>
          <w:p w14:paraId="4C67EABB"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lang w:eastAsia="en-GB"/>
              </w:rPr>
            </w:pPr>
            <w:r w:rsidRPr="006A6FF6">
              <w:rPr>
                <w:rFonts w:eastAsia="新細明體" w:cs="Segoe UI"/>
                <w:sz w:val="17"/>
                <w:szCs w:val="17"/>
                <w:lang w:eastAsia="en-GB"/>
              </w:rPr>
              <w:t>(a)</w:t>
            </w:r>
          </w:p>
        </w:tc>
        <w:tc>
          <w:tcPr>
            <w:tcW w:w="8364" w:type="dxa"/>
            <w:shd w:val="clear" w:color="auto" w:fill="auto"/>
          </w:tcPr>
          <w:p w14:paraId="49A4EB10" w14:textId="6C34CCBE" w:rsidR="00190D67" w:rsidRPr="006A6FF6" w:rsidRDefault="00190D67" w:rsidP="00862754">
            <w:pPr>
              <w:keepLines/>
              <w:tabs>
                <w:tab w:val="left" w:pos="150"/>
                <w:tab w:val="left" w:pos="397"/>
                <w:tab w:val="left" w:pos="794"/>
                <w:tab w:val="left" w:pos="1191"/>
              </w:tabs>
              <w:spacing w:before="40" w:after="40"/>
              <w:jc w:val="both"/>
              <w:rPr>
                <w:rFonts w:ascii="細明體" w:eastAsia="細明體" w:hAnsi="細明體" w:cs="Segoe UI"/>
                <w:sz w:val="17"/>
                <w:szCs w:val="17"/>
                <w:lang w:eastAsia="zh-HK"/>
              </w:rPr>
            </w:pPr>
            <w:r w:rsidRPr="006A6FF6">
              <w:rPr>
                <w:rFonts w:eastAsia="新細明體" w:cs="Segoe UI"/>
                <w:i/>
                <w:sz w:val="17"/>
                <w:szCs w:val="17"/>
                <w:lang w:eastAsia="zh-TW"/>
              </w:rPr>
              <w:t>具產權負擔資產</w:t>
            </w:r>
            <w:r w:rsidRPr="006A6FF6">
              <w:rPr>
                <w:rFonts w:eastAsia="新細明體" w:cs="Segoe UI"/>
                <w:sz w:val="17"/>
                <w:szCs w:val="17"/>
                <w:lang w:eastAsia="zh-TW"/>
              </w:rPr>
              <w:t>：</w:t>
            </w:r>
            <w:r w:rsidRPr="006A6FF6">
              <w:rPr>
                <w:rFonts w:eastAsia="新細明體" w:cs="Segoe UI" w:hint="eastAsia"/>
                <w:sz w:val="17"/>
                <w:szCs w:val="17"/>
                <w:lang w:eastAsia="zh-HK"/>
              </w:rPr>
              <w:t>指認可機構因</w:t>
            </w:r>
            <w:r w:rsidRPr="006A6FF6">
              <w:rPr>
                <w:rFonts w:ascii="新細明體" w:eastAsia="新細明體" w:hAnsi="新細明體" w:cs="Segoe UI" w:hint="eastAsia"/>
                <w:sz w:val="17"/>
                <w:szCs w:val="17"/>
                <w:lang w:eastAsia="zh-HK"/>
              </w:rPr>
              <w:t>法律</w:t>
            </w:r>
            <w:r w:rsidRPr="006A6FF6">
              <w:rPr>
                <w:rFonts w:ascii="新細明體" w:eastAsia="新細明體" w:hAnsi="新細明體" w:cs="Segoe UI" w:hint="eastAsia"/>
                <w:sz w:val="17"/>
                <w:szCs w:val="17"/>
                <w:lang w:eastAsia="zh-TW"/>
              </w:rPr>
              <w:t>上、規</w:t>
            </w:r>
            <w:r w:rsidRPr="006A6FF6">
              <w:rPr>
                <w:rFonts w:ascii="新細明體" w:eastAsia="新細明體" w:hAnsi="新細明體" w:cs="Segoe UI" w:hint="eastAsia"/>
                <w:sz w:val="17"/>
                <w:szCs w:val="17"/>
                <w:lang w:eastAsia="zh-HK"/>
              </w:rPr>
              <w:t>管</w:t>
            </w:r>
            <w:r w:rsidRPr="006A6FF6">
              <w:rPr>
                <w:rFonts w:ascii="新細明體" w:eastAsia="新細明體" w:hAnsi="新細明體" w:cs="Segoe UI" w:hint="eastAsia"/>
                <w:sz w:val="17"/>
                <w:szCs w:val="17"/>
                <w:lang w:eastAsia="zh-TW"/>
              </w:rPr>
              <w:t>性、</w:t>
            </w:r>
            <w:r w:rsidRPr="006A6FF6">
              <w:rPr>
                <w:rFonts w:ascii="新細明體" w:eastAsia="新細明體" w:hAnsi="新細明體" w:cs="Segoe UI" w:hint="eastAsia"/>
                <w:sz w:val="17"/>
                <w:szCs w:val="17"/>
                <w:lang w:eastAsia="zh-HK"/>
              </w:rPr>
              <w:t>合約</w:t>
            </w:r>
            <w:r w:rsidRPr="006A6FF6">
              <w:rPr>
                <w:rFonts w:ascii="新細明體" w:eastAsia="新細明體" w:hAnsi="新細明體" w:cs="Segoe UI" w:hint="eastAsia"/>
                <w:sz w:val="17"/>
                <w:szCs w:val="17"/>
                <w:lang w:eastAsia="zh-TW"/>
              </w:rPr>
              <w:t>上</w:t>
            </w:r>
            <w:r w:rsidRPr="006A6FF6">
              <w:rPr>
                <w:rFonts w:ascii="新細明體" w:eastAsia="新細明體" w:hAnsi="新細明體" w:cs="Segoe UI" w:hint="eastAsia"/>
                <w:sz w:val="17"/>
                <w:szCs w:val="17"/>
                <w:lang w:eastAsia="zh-HK"/>
              </w:rPr>
              <w:t>或其他</w:t>
            </w:r>
            <w:r w:rsidRPr="006A6FF6">
              <w:rPr>
                <w:rFonts w:ascii="新細明體" w:eastAsia="新細明體" w:hAnsi="新細明體" w:cs="Segoe UI" w:hint="eastAsia"/>
                <w:sz w:val="17"/>
                <w:szCs w:val="17"/>
                <w:lang w:eastAsia="zh-TW"/>
              </w:rPr>
              <w:t>的</w:t>
            </w:r>
            <w:r w:rsidRPr="006A6FF6">
              <w:rPr>
                <w:rFonts w:ascii="新細明體" w:eastAsia="新細明體" w:hAnsi="新細明體" w:cs="Segoe UI" w:hint="eastAsia"/>
                <w:sz w:val="17"/>
                <w:szCs w:val="17"/>
                <w:lang w:eastAsia="zh-HK"/>
              </w:rPr>
              <w:t>限制</w:t>
            </w:r>
            <w:r w:rsidRPr="006A6FF6">
              <w:rPr>
                <w:rFonts w:ascii="新細明體" w:eastAsia="新細明體" w:hAnsi="新細明體" w:cs="Segoe UI" w:hint="eastAsia"/>
                <w:sz w:val="17"/>
                <w:szCs w:val="17"/>
                <w:lang w:eastAsia="zh-TW"/>
              </w:rPr>
              <w:t>，以致妨礙</w:t>
            </w:r>
            <w:r w:rsidRPr="006A6FF6">
              <w:rPr>
                <w:rFonts w:ascii="新細明體" w:eastAsia="新細明體" w:hAnsi="新細明體" w:cs="Segoe UI" w:hint="eastAsia"/>
                <w:sz w:val="17"/>
                <w:szCs w:val="17"/>
                <w:lang w:eastAsia="zh-HK"/>
              </w:rPr>
              <w:t>或</w:t>
            </w:r>
            <w:r w:rsidRPr="006A6FF6">
              <w:rPr>
                <w:rFonts w:ascii="新細明體" w:eastAsia="新細明體" w:hAnsi="新細明體" w:cs="Segoe UI" w:hint="eastAsia"/>
                <w:sz w:val="17"/>
                <w:szCs w:val="17"/>
                <w:lang w:eastAsia="zh-TW"/>
              </w:rPr>
              <w:t>防止該機構清償、</w:t>
            </w:r>
            <w:r w:rsidRPr="006A6FF6">
              <w:rPr>
                <w:rFonts w:ascii="新細明體" w:eastAsia="新細明體" w:hAnsi="新細明體" w:cs="Segoe UI" w:hint="eastAsia"/>
                <w:sz w:val="17"/>
                <w:szCs w:val="17"/>
                <w:lang w:eastAsia="zh-HK"/>
              </w:rPr>
              <w:t>出售</w:t>
            </w:r>
            <w:r w:rsidRPr="006A6FF6">
              <w:rPr>
                <w:rFonts w:ascii="新細明體" w:eastAsia="新細明體" w:hAnsi="新細明體" w:cs="Segoe UI" w:hint="eastAsia"/>
                <w:sz w:val="17"/>
                <w:szCs w:val="17"/>
                <w:lang w:eastAsia="zh-TW"/>
              </w:rPr>
              <w:t>、</w:t>
            </w:r>
            <w:r w:rsidRPr="006A6FF6">
              <w:rPr>
                <w:rFonts w:ascii="新細明體" w:eastAsia="新細明體" w:hAnsi="新細明體" w:cs="Segoe UI" w:hint="eastAsia"/>
                <w:sz w:val="17"/>
                <w:szCs w:val="17"/>
                <w:lang w:eastAsia="zh-HK"/>
              </w:rPr>
              <w:t>移</w:t>
            </w:r>
            <w:r w:rsidRPr="006A6FF6">
              <w:rPr>
                <w:rFonts w:ascii="新細明體" w:eastAsia="新細明體" w:hAnsi="新細明體" w:cs="Segoe UI" w:hint="eastAsia"/>
                <w:sz w:val="17"/>
                <w:szCs w:val="17"/>
                <w:lang w:eastAsia="zh-TW"/>
              </w:rPr>
              <w:t>轉</w:t>
            </w:r>
            <w:r w:rsidRPr="006A6FF6">
              <w:rPr>
                <w:rFonts w:ascii="新細明體" w:eastAsia="新細明體" w:hAnsi="新細明體" w:cs="Segoe UI" w:hint="eastAsia"/>
                <w:sz w:val="17"/>
                <w:szCs w:val="17"/>
                <w:lang w:eastAsia="zh-HK"/>
              </w:rPr>
              <w:t>或轉</w:t>
            </w:r>
            <w:r w:rsidRPr="006A6FF6">
              <w:rPr>
                <w:rFonts w:ascii="新細明體" w:eastAsia="新細明體" w:hAnsi="新細明體" w:cs="Segoe UI" w:hint="eastAsia"/>
                <w:sz w:val="17"/>
                <w:szCs w:val="17"/>
                <w:lang w:eastAsia="zh-TW"/>
              </w:rPr>
              <w:t>撥</w:t>
            </w:r>
            <w:r w:rsidRPr="006A6FF6">
              <w:rPr>
                <w:rFonts w:ascii="新細明體" w:eastAsia="新細明體" w:hAnsi="新細明體" w:cs="Segoe UI" w:hint="eastAsia"/>
                <w:sz w:val="17"/>
                <w:szCs w:val="17"/>
                <w:lang w:eastAsia="zh-HK"/>
              </w:rPr>
              <w:t>的資產</w:t>
            </w:r>
            <w:r w:rsidRPr="006A6FF6">
              <w:rPr>
                <w:rFonts w:eastAsia="新細明體" w:cs="Segoe UI" w:hint="eastAsia"/>
                <w:sz w:val="17"/>
                <w:szCs w:val="17"/>
                <w:lang w:eastAsia="zh-TW"/>
              </w:rPr>
              <w:t>。</w:t>
            </w:r>
            <w:r w:rsidRPr="006A6FF6">
              <w:rPr>
                <w:rFonts w:eastAsia="新細明體" w:cs="Segoe UI" w:hint="eastAsia"/>
                <w:sz w:val="17"/>
                <w:szCs w:val="17"/>
                <w:lang w:eastAsia="zh-HK"/>
              </w:rPr>
              <w:t>在本模版中</w:t>
            </w:r>
            <w:r w:rsidRPr="006A6FF6">
              <w:rPr>
                <w:rFonts w:ascii="細明體" w:eastAsia="細明體" w:hAnsi="細明體" w:cs="Segoe UI" w:hint="eastAsia"/>
                <w:sz w:val="17"/>
                <w:szCs w:val="17"/>
                <w:lang w:eastAsia="zh-TW"/>
              </w:rPr>
              <w:t>，</w:t>
            </w:r>
            <w:r w:rsidRPr="006A6FF6">
              <w:rPr>
                <w:rFonts w:ascii="新細明體" w:eastAsia="新細明體" w:hAnsi="新細明體" w:cs="Segoe UI" w:hint="eastAsia"/>
                <w:sz w:val="17"/>
                <w:szCs w:val="17"/>
                <w:lang w:eastAsia="zh-TW"/>
              </w:rPr>
              <w:t>「</w:t>
            </w:r>
            <w:r w:rsidRPr="006A6FF6">
              <w:rPr>
                <w:rFonts w:ascii="新細明體" w:eastAsia="新細明體" w:hAnsi="新細明體" w:cs="Segoe UI" w:hint="eastAsia"/>
                <w:sz w:val="17"/>
                <w:szCs w:val="17"/>
                <w:lang w:eastAsia="zh-HK"/>
              </w:rPr>
              <w:t>具產權負擔資產</w:t>
            </w:r>
            <w:r w:rsidRPr="006A6FF6">
              <w:rPr>
                <w:rFonts w:ascii="新細明體" w:eastAsia="新細明體" w:hAnsi="新細明體" w:cs="Segoe UI" w:hint="eastAsia"/>
                <w:sz w:val="17"/>
                <w:szCs w:val="17"/>
                <w:lang w:eastAsia="zh-TW"/>
              </w:rPr>
              <w:t>」</w:t>
            </w:r>
            <w:r w:rsidRPr="006A6FF6">
              <w:rPr>
                <w:rFonts w:ascii="新細明體" w:eastAsia="新細明體" w:hAnsi="新細明體" w:cs="Segoe UI" w:hint="eastAsia"/>
                <w:sz w:val="17"/>
                <w:szCs w:val="17"/>
                <w:lang w:eastAsia="zh-HK"/>
              </w:rPr>
              <w:t>的定義</w:t>
            </w:r>
            <w:proofErr w:type="gramStart"/>
            <w:r w:rsidRPr="006A6FF6">
              <w:rPr>
                <w:rFonts w:ascii="新細明體" w:eastAsia="新細明體" w:hAnsi="新細明體" w:cs="Segoe UI" w:hint="eastAsia"/>
                <w:sz w:val="17"/>
                <w:szCs w:val="17"/>
                <w:lang w:eastAsia="zh-HK"/>
              </w:rPr>
              <w:t>豁</w:t>
            </w:r>
            <w:proofErr w:type="gramEnd"/>
            <w:r w:rsidRPr="006A6FF6">
              <w:rPr>
                <w:rFonts w:ascii="新細明體" w:eastAsia="新細明體" w:hAnsi="新細明體" w:cs="Segoe UI" w:hint="eastAsia"/>
                <w:sz w:val="17"/>
                <w:szCs w:val="17"/>
                <w:lang w:eastAsia="zh-HK"/>
              </w:rPr>
              <w:t>除了資產套現的</w:t>
            </w:r>
            <w:r w:rsidRPr="006A6FF6">
              <w:rPr>
                <w:rFonts w:ascii="新細明體" w:eastAsia="新細明體" w:hAnsi="新細明體" w:cs="Segoe UI" w:hint="eastAsia"/>
                <w:sz w:val="17"/>
                <w:szCs w:val="17"/>
                <w:lang w:eastAsia="zh-TW"/>
              </w:rPr>
              <w:t>要求</w:t>
            </w:r>
            <w:proofErr w:type="gramStart"/>
            <w:r w:rsidR="005D6C74" w:rsidRPr="006A6FF6">
              <w:rPr>
                <w:rFonts w:ascii="新細明體" w:eastAsia="新細明體" w:hAnsi="新細明體" w:cs="Segoe UI" w:hint="eastAsia"/>
                <w:sz w:val="17"/>
                <w:szCs w:val="17"/>
                <w:lang w:eastAsia="zh-TW"/>
              </w:rPr>
              <w:t>（</w:t>
            </w:r>
            <w:proofErr w:type="gramEnd"/>
            <w:r w:rsidRPr="006A6FF6">
              <w:rPr>
                <w:rFonts w:ascii="新細明體" w:eastAsia="新細明體" w:hAnsi="新細明體" w:cs="Segoe UI" w:hint="eastAsia"/>
                <w:sz w:val="17"/>
                <w:szCs w:val="17"/>
                <w:lang w:eastAsia="zh-HK"/>
              </w:rPr>
              <w:t>根據</w:t>
            </w:r>
            <w:r w:rsidRPr="006A6FF6">
              <w:rPr>
                <w:rFonts w:ascii="細明體" w:eastAsia="細明體" w:hAnsi="細明體" w:cs="Segoe UI" w:hint="eastAsia"/>
                <w:sz w:val="17"/>
                <w:szCs w:val="17"/>
                <w:lang w:eastAsia="zh-HK"/>
              </w:rPr>
              <w:t>《流動性規則》</w:t>
            </w:r>
            <w:r w:rsidRPr="006A6FF6">
              <w:rPr>
                <w:rFonts w:ascii="細明體" w:eastAsia="細明體" w:hAnsi="細明體" w:cs="Segoe UI" w:hint="eastAsia"/>
                <w:sz w:val="17"/>
                <w:szCs w:val="17"/>
                <w:lang w:eastAsia="zh-TW"/>
              </w:rPr>
              <w:t>，</w:t>
            </w:r>
            <w:r w:rsidRPr="006A6FF6">
              <w:rPr>
                <w:rFonts w:ascii="細明體" w:eastAsia="細明體" w:hAnsi="細明體" w:cs="Segoe UI" w:hint="eastAsia"/>
                <w:sz w:val="17"/>
                <w:szCs w:val="17"/>
                <w:lang w:eastAsia="zh-HK"/>
              </w:rPr>
              <w:t>資產必須具備這</w:t>
            </w:r>
            <w:r w:rsidRPr="006A6FF6">
              <w:rPr>
                <w:rFonts w:ascii="新細明體" w:eastAsia="新細明體" w:hAnsi="新細明體" w:cs="Segoe UI" w:hint="eastAsia"/>
                <w:sz w:val="17"/>
                <w:szCs w:val="17"/>
                <w:lang w:eastAsia="zh-HK"/>
              </w:rPr>
              <w:t>要求</w:t>
            </w:r>
            <w:r w:rsidRPr="006A6FF6">
              <w:rPr>
                <w:rFonts w:ascii="細明體" w:eastAsia="細明體" w:hAnsi="細明體" w:cs="Segoe UI" w:hint="eastAsia"/>
                <w:sz w:val="17"/>
                <w:szCs w:val="17"/>
                <w:lang w:eastAsia="zh-HK"/>
              </w:rPr>
              <w:t>才合資格成為優質流動資產</w:t>
            </w:r>
            <w:r w:rsidRPr="006A6FF6">
              <w:rPr>
                <w:rFonts w:ascii="細明體" w:eastAsia="細明體" w:hAnsi="細明體" w:cs="Segoe UI" w:hint="eastAsia"/>
                <w:sz w:val="17"/>
                <w:szCs w:val="17"/>
                <w:lang w:eastAsia="zh-TW"/>
              </w:rPr>
              <w:t>。</w:t>
            </w:r>
            <w:r w:rsidRPr="006A6FF6">
              <w:rPr>
                <w:rFonts w:eastAsia="新細明體" w:cs="Segoe UI" w:hint="eastAsia"/>
                <w:sz w:val="17"/>
                <w:szCs w:val="17"/>
                <w:lang w:eastAsia="zh-HK"/>
              </w:rPr>
              <w:t>無</w:t>
            </w:r>
            <w:r w:rsidRPr="006A6FF6">
              <w:rPr>
                <w:rFonts w:ascii="細明體" w:eastAsia="細明體" w:hAnsi="細明體" w:cs="Segoe UI" w:hint="eastAsia"/>
                <w:sz w:val="17"/>
                <w:szCs w:val="17"/>
                <w:lang w:eastAsia="zh-HK"/>
              </w:rPr>
              <w:t>產權負擔資產</w:t>
            </w:r>
            <w:r w:rsidRPr="006A6FF6">
              <w:rPr>
                <w:rFonts w:ascii="新細明體" w:eastAsia="新細明體" w:hAnsi="新細明體" w:cs="Segoe UI" w:hint="eastAsia"/>
                <w:sz w:val="17"/>
                <w:szCs w:val="17"/>
                <w:lang w:eastAsia="zh-TW"/>
              </w:rPr>
              <w:t>若</w:t>
            </w:r>
            <w:r w:rsidRPr="006A6FF6">
              <w:rPr>
                <w:rFonts w:ascii="細明體" w:eastAsia="細明體" w:hAnsi="細明體" w:cs="Segoe UI" w:hint="eastAsia"/>
                <w:sz w:val="17"/>
                <w:szCs w:val="17"/>
                <w:lang w:eastAsia="zh-HK"/>
              </w:rPr>
              <w:t>要合資格成為優質流動資產</w:t>
            </w:r>
            <w:r w:rsidRPr="006A6FF6">
              <w:rPr>
                <w:rFonts w:ascii="細明體" w:eastAsia="細明體" w:hAnsi="細明體" w:cs="Segoe UI" w:hint="eastAsia"/>
                <w:sz w:val="17"/>
                <w:szCs w:val="17"/>
                <w:lang w:eastAsia="zh-TW"/>
              </w:rPr>
              <w:t>，《</w:t>
            </w:r>
            <w:r w:rsidRPr="006A6FF6">
              <w:rPr>
                <w:rFonts w:ascii="細明體" w:eastAsia="細明體" w:hAnsi="細明體" w:cs="Segoe UI" w:hint="eastAsia"/>
                <w:sz w:val="17"/>
                <w:szCs w:val="17"/>
                <w:lang w:eastAsia="zh-HK"/>
              </w:rPr>
              <w:t>流動性規則</w:t>
            </w:r>
            <w:r w:rsidRPr="006A6FF6">
              <w:rPr>
                <w:rFonts w:ascii="細明體" w:eastAsia="細明體" w:hAnsi="細明體" w:cs="Segoe UI" w:hint="eastAsia"/>
                <w:sz w:val="17"/>
                <w:szCs w:val="17"/>
                <w:lang w:eastAsia="zh-TW"/>
              </w:rPr>
              <w:t>》</w:t>
            </w:r>
            <w:r w:rsidRPr="006A6FF6">
              <w:rPr>
                <w:rFonts w:ascii="細明體" w:eastAsia="細明體" w:hAnsi="細明體" w:cs="Segoe UI" w:hint="eastAsia"/>
                <w:sz w:val="17"/>
                <w:szCs w:val="17"/>
                <w:lang w:eastAsia="zh-HK"/>
              </w:rPr>
              <w:t>規定認可機構在壓</w:t>
            </w:r>
            <w:r w:rsidR="00FB7472" w:rsidRPr="006A6FF6">
              <w:rPr>
                <w:rFonts w:ascii="細明體" w:eastAsia="細明體" w:hAnsi="細明體" w:cs="Segoe UI" w:hint="eastAsia"/>
                <w:sz w:val="17"/>
                <w:szCs w:val="17"/>
                <w:lang w:eastAsia="zh-HK"/>
              </w:rPr>
              <w:t>力</w:t>
            </w:r>
            <w:r w:rsidRPr="006A6FF6">
              <w:rPr>
                <w:rFonts w:ascii="細明體" w:eastAsia="細明體" w:hAnsi="細明體" w:cs="Segoe UI" w:hint="eastAsia"/>
                <w:sz w:val="17"/>
                <w:szCs w:val="17"/>
                <w:lang w:eastAsia="zh-HK"/>
              </w:rPr>
              <w:t>期間須有能力</w:t>
            </w:r>
            <w:r w:rsidRPr="006A6FF6">
              <w:rPr>
                <w:rFonts w:ascii="新細明體" w:eastAsia="新細明體" w:hAnsi="新細明體" w:cs="Segoe UI" w:hint="eastAsia"/>
                <w:sz w:val="17"/>
                <w:szCs w:val="17"/>
                <w:lang w:eastAsia="zh-HK"/>
              </w:rPr>
              <w:t>將</w:t>
            </w:r>
            <w:r w:rsidRPr="006A6FF6">
              <w:rPr>
                <w:rFonts w:ascii="細明體" w:eastAsia="細明體" w:hAnsi="細明體" w:cs="Segoe UI" w:hint="eastAsia"/>
                <w:sz w:val="17"/>
                <w:szCs w:val="17"/>
                <w:lang w:eastAsia="zh-HK"/>
              </w:rPr>
              <w:t>該資產套現以應付淨現金</w:t>
            </w:r>
            <w:r w:rsidRPr="006A6FF6">
              <w:rPr>
                <w:rFonts w:ascii="新細明體" w:eastAsia="新細明體" w:hAnsi="新細明體" w:cs="Segoe UI" w:hint="eastAsia"/>
                <w:sz w:val="17"/>
                <w:szCs w:val="17"/>
                <w:lang w:eastAsia="zh-TW"/>
              </w:rPr>
              <w:t>流出</w:t>
            </w:r>
            <w:r w:rsidR="005D6C74" w:rsidRPr="006A6FF6">
              <w:rPr>
                <w:rFonts w:ascii="新細明體" w:eastAsia="新細明體" w:hAnsi="新細明體" w:cs="Segoe UI" w:hint="eastAsia"/>
                <w:sz w:val="17"/>
                <w:szCs w:val="17"/>
                <w:lang w:eastAsia="zh-TW"/>
              </w:rPr>
              <w:t>）</w:t>
            </w:r>
            <w:r w:rsidRPr="006A6FF6">
              <w:rPr>
                <w:rFonts w:ascii="細明體" w:eastAsia="細明體" w:hAnsi="細明體" w:cs="Segoe UI" w:hint="eastAsia"/>
                <w:sz w:val="17"/>
                <w:szCs w:val="17"/>
                <w:lang w:eastAsia="zh-TW"/>
              </w:rPr>
              <w:t>。</w:t>
            </w:r>
          </w:p>
        </w:tc>
      </w:tr>
      <w:tr w:rsidR="006A6FF6" w:rsidRPr="006A6FF6" w14:paraId="786F9D19" w14:textId="77777777" w:rsidTr="00810AD9">
        <w:trPr>
          <w:trHeight w:val="534"/>
        </w:trPr>
        <w:tc>
          <w:tcPr>
            <w:tcW w:w="567" w:type="dxa"/>
            <w:shd w:val="clear" w:color="auto" w:fill="auto"/>
          </w:tcPr>
          <w:p w14:paraId="1DCE49C8" w14:textId="77777777" w:rsidR="00190D67" w:rsidRPr="006A6FF6" w:rsidDel="00FE1883" w:rsidRDefault="00190D67" w:rsidP="00862754">
            <w:pPr>
              <w:keepLines/>
              <w:tabs>
                <w:tab w:val="left" w:pos="150"/>
                <w:tab w:val="left" w:pos="397"/>
                <w:tab w:val="left" w:pos="794"/>
                <w:tab w:val="left" w:pos="1191"/>
              </w:tabs>
              <w:spacing w:before="40" w:after="40"/>
              <w:rPr>
                <w:rFonts w:eastAsia="新細明體" w:cs="Segoe UI"/>
                <w:sz w:val="17"/>
                <w:szCs w:val="17"/>
                <w:lang w:eastAsia="en-GB"/>
              </w:rPr>
            </w:pPr>
            <w:r w:rsidRPr="006A6FF6">
              <w:rPr>
                <w:rFonts w:eastAsia="新細明體" w:cs="Segoe UI"/>
                <w:sz w:val="17"/>
                <w:szCs w:val="17"/>
                <w:lang w:eastAsia="en-GB"/>
              </w:rPr>
              <w:t>(c)</w:t>
            </w:r>
          </w:p>
        </w:tc>
        <w:tc>
          <w:tcPr>
            <w:tcW w:w="8364" w:type="dxa"/>
            <w:shd w:val="clear" w:color="auto" w:fill="auto"/>
          </w:tcPr>
          <w:p w14:paraId="0DF12D9D" w14:textId="3A3C0B92" w:rsidR="00190D67" w:rsidRPr="006A6FF6" w:rsidDel="00FE1883" w:rsidRDefault="00190D67" w:rsidP="00862754">
            <w:pPr>
              <w:keepLines/>
              <w:tabs>
                <w:tab w:val="left" w:pos="150"/>
                <w:tab w:val="left" w:pos="397"/>
                <w:tab w:val="left" w:pos="794"/>
                <w:tab w:val="left" w:pos="1191"/>
              </w:tabs>
              <w:spacing w:before="40" w:after="40"/>
              <w:jc w:val="both"/>
              <w:rPr>
                <w:rFonts w:eastAsia="新細明體" w:cs="Segoe UI"/>
                <w:i/>
                <w:sz w:val="17"/>
                <w:szCs w:val="17"/>
                <w:lang w:eastAsia="zh-TW"/>
              </w:rPr>
            </w:pPr>
            <w:r w:rsidRPr="006A6FF6">
              <w:rPr>
                <w:rFonts w:eastAsia="新細明體" w:cs="Segoe UI" w:hint="eastAsia"/>
                <w:i/>
                <w:sz w:val="17"/>
                <w:szCs w:val="17"/>
                <w:lang w:eastAsia="zh-HK"/>
              </w:rPr>
              <w:t>無</w:t>
            </w:r>
            <w:r w:rsidRPr="006A6FF6">
              <w:rPr>
                <w:rFonts w:eastAsia="新細明體" w:cs="Segoe UI"/>
                <w:i/>
                <w:sz w:val="17"/>
                <w:szCs w:val="17"/>
                <w:lang w:eastAsia="zh-TW"/>
              </w:rPr>
              <w:t>產權負擔資產</w:t>
            </w:r>
            <w:r w:rsidRPr="006A6FF6">
              <w:rPr>
                <w:rFonts w:eastAsia="新細明體" w:cs="Segoe UI"/>
                <w:sz w:val="17"/>
                <w:szCs w:val="17"/>
                <w:lang w:eastAsia="zh-TW"/>
              </w:rPr>
              <w:t>：</w:t>
            </w:r>
            <w:r w:rsidRPr="006A6FF6">
              <w:rPr>
                <w:rFonts w:eastAsia="新細明體" w:cs="Segoe UI" w:hint="eastAsia"/>
                <w:sz w:val="17"/>
                <w:szCs w:val="17"/>
                <w:lang w:eastAsia="zh-HK"/>
              </w:rPr>
              <w:t>指不符合本模版內具產權負擔</w:t>
            </w:r>
            <w:r w:rsidRPr="006A6FF6">
              <w:rPr>
                <w:rFonts w:eastAsia="新細明體" w:cs="Segoe UI"/>
                <w:sz w:val="17"/>
                <w:szCs w:val="17"/>
                <w:lang w:eastAsia="zh-TW"/>
              </w:rPr>
              <w:t>資產</w:t>
            </w:r>
            <w:r w:rsidRPr="006A6FF6">
              <w:rPr>
                <w:rFonts w:eastAsia="新細明體" w:cs="Segoe UI" w:hint="eastAsia"/>
                <w:sz w:val="17"/>
                <w:szCs w:val="17"/>
                <w:lang w:eastAsia="zh-HK"/>
              </w:rPr>
              <w:t>定義的資產</w:t>
            </w:r>
            <w:r w:rsidRPr="006A6FF6">
              <w:rPr>
                <w:rFonts w:eastAsia="新細明體" w:cs="Segoe UI" w:hint="eastAsia"/>
                <w:sz w:val="17"/>
                <w:szCs w:val="17"/>
                <w:lang w:eastAsia="zh-TW"/>
              </w:rPr>
              <w:t>。</w:t>
            </w:r>
            <w:r w:rsidRPr="006A6FF6">
              <w:rPr>
                <w:rFonts w:eastAsia="新細明體" w:cs="Segoe UI"/>
                <w:sz w:val="17"/>
                <w:szCs w:val="17"/>
                <w:lang w:eastAsia="zh-TW"/>
              </w:rPr>
              <w:t xml:space="preserve"> </w:t>
            </w:r>
          </w:p>
        </w:tc>
      </w:tr>
      <w:tr w:rsidR="006A6FF6" w:rsidRPr="006A6FF6" w14:paraId="3AC04EEE" w14:textId="77777777" w:rsidTr="00CB2DE0">
        <w:tc>
          <w:tcPr>
            <w:tcW w:w="567" w:type="dxa"/>
            <w:shd w:val="clear" w:color="auto" w:fill="auto"/>
          </w:tcPr>
          <w:p w14:paraId="6CEAC9B5" w14:textId="77777777" w:rsidR="00190D67" w:rsidRPr="006A6FF6" w:rsidRDefault="00190D67" w:rsidP="00862754">
            <w:pPr>
              <w:keepLines/>
              <w:tabs>
                <w:tab w:val="left" w:pos="150"/>
                <w:tab w:val="left" w:pos="397"/>
                <w:tab w:val="left" w:pos="794"/>
                <w:tab w:val="left" w:pos="1191"/>
              </w:tabs>
              <w:spacing w:before="40" w:after="40"/>
              <w:rPr>
                <w:rFonts w:eastAsia="新細明體" w:cs="Segoe UI"/>
                <w:sz w:val="17"/>
                <w:szCs w:val="17"/>
                <w:lang w:eastAsia="en-GB"/>
              </w:rPr>
            </w:pPr>
            <w:r w:rsidRPr="006A6FF6">
              <w:rPr>
                <w:rFonts w:eastAsia="新細明體" w:cs="Segoe UI"/>
                <w:sz w:val="17"/>
                <w:szCs w:val="17"/>
                <w:lang w:eastAsia="en-GB"/>
              </w:rPr>
              <w:t>(d)</w:t>
            </w:r>
          </w:p>
        </w:tc>
        <w:tc>
          <w:tcPr>
            <w:tcW w:w="8364" w:type="dxa"/>
            <w:shd w:val="clear" w:color="auto" w:fill="auto"/>
          </w:tcPr>
          <w:p w14:paraId="064907E3" w14:textId="18B40BB6" w:rsidR="00190D67" w:rsidRPr="006A6FF6" w:rsidRDefault="00190D67" w:rsidP="00862754">
            <w:pPr>
              <w:keepLines/>
              <w:tabs>
                <w:tab w:val="left" w:pos="150"/>
                <w:tab w:val="left" w:pos="397"/>
                <w:tab w:val="left" w:pos="794"/>
                <w:tab w:val="left" w:pos="1191"/>
              </w:tabs>
              <w:spacing w:before="40" w:after="40"/>
              <w:jc w:val="both"/>
              <w:rPr>
                <w:rFonts w:eastAsia="新細明體" w:cs="Segoe UI"/>
                <w:sz w:val="17"/>
                <w:szCs w:val="17"/>
                <w:lang w:eastAsia="zh-TW"/>
              </w:rPr>
            </w:pPr>
            <w:r w:rsidRPr="006A6FF6">
              <w:rPr>
                <w:rFonts w:eastAsia="新細明體" w:cs="Segoe UI" w:hint="eastAsia"/>
                <w:i/>
                <w:sz w:val="17"/>
                <w:szCs w:val="17"/>
                <w:lang w:eastAsia="zh-HK"/>
              </w:rPr>
              <w:t>總計</w:t>
            </w:r>
            <w:r w:rsidRPr="006A6FF6">
              <w:rPr>
                <w:rFonts w:eastAsia="新細明體" w:cs="Segoe UI"/>
                <w:sz w:val="17"/>
                <w:szCs w:val="17"/>
                <w:lang w:eastAsia="zh-TW"/>
              </w:rPr>
              <w:t>：</w:t>
            </w:r>
            <w:r w:rsidRPr="006A6FF6">
              <w:rPr>
                <w:rFonts w:eastAsia="新細明體" w:cs="Segoe UI" w:hint="eastAsia"/>
                <w:sz w:val="17"/>
                <w:szCs w:val="17"/>
                <w:lang w:eastAsia="zh-HK"/>
              </w:rPr>
              <w:t>指</w:t>
            </w:r>
            <w:r w:rsidRPr="006A6FF6">
              <w:rPr>
                <w:rFonts w:eastAsia="新細明體" w:cs="Segoe UI" w:hint="eastAsia"/>
                <w:sz w:val="17"/>
                <w:szCs w:val="17"/>
                <w:lang w:eastAsia="zh-TW"/>
              </w:rPr>
              <w:t>具產權負擔</w:t>
            </w:r>
            <w:r w:rsidRPr="006A6FF6">
              <w:rPr>
                <w:rFonts w:eastAsia="新細明體" w:cs="Segoe UI" w:hint="eastAsia"/>
                <w:sz w:val="17"/>
                <w:szCs w:val="17"/>
                <w:lang w:eastAsia="zh-HK"/>
              </w:rPr>
              <w:t>及無</w:t>
            </w:r>
            <w:r w:rsidRPr="006A6FF6">
              <w:rPr>
                <w:rFonts w:eastAsia="新細明體" w:cs="Segoe UI" w:hint="eastAsia"/>
                <w:sz w:val="17"/>
                <w:szCs w:val="17"/>
                <w:lang w:eastAsia="zh-TW"/>
              </w:rPr>
              <w:t>產權負擔資產的</w:t>
            </w:r>
            <w:r w:rsidRPr="006A6FF6">
              <w:rPr>
                <w:rFonts w:eastAsia="新細明體" w:cs="Segoe UI" w:hint="eastAsia"/>
                <w:sz w:val="17"/>
                <w:szCs w:val="17"/>
                <w:lang w:eastAsia="zh-HK"/>
              </w:rPr>
              <w:t>總和</w:t>
            </w:r>
            <w:r w:rsidRPr="006A6FF6">
              <w:rPr>
                <w:rFonts w:eastAsia="新細明體" w:cs="Segoe UI" w:hint="eastAsia"/>
                <w:sz w:val="17"/>
                <w:szCs w:val="17"/>
                <w:lang w:eastAsia="zh-TW"/>
              </w:rPr>
              <w:t>。</w:t>
            </w:r>
            <w:r w:rsidRPr="006A6FF6">
              <w:rPr>
                <w:rFonts w:eastAsia="新細明體" w:cs="Segoe UI" w:hint="eastAsia"/>
                <w:sz w:val="17"/>
                <w:szCs w:val="17"/>
                <w:lang w:eastAsia="zh-HK"/>
              </w:rPr>
              <w:t>就本披露規定而言</w:t>
            </w:r>
            <w:r w:rsidRPr="006A6FF6">
              <w:rPr>
                <w:rFonts w:eastAsia="新細明體" w:cs="Segoe UI" w:hint="eastAsia"/>
                <w:sz w:val="17"/>
                <w:szCs w:val="17"/>
                <w:lang w:eastAsia="zh-TW"/>
              </w:rPr>
              <w:t>，</w:t>
            </w:r>
            <w:r w:rsidRPr="006A6FF6">
              <w:rPr>
                <w:rFonts w:eastAsia="新細明體" w:cs="Segoe UI" w:hint="eastAsia"/>
                <w:sz w:val="17"/>
                <w:szCs w:val="17"/>
                <w:lang w:eastAsia="zh-HK"/>
              </w:rPr>
              <w:t>綜合範圍應</w:t>
            </w:r>
            <w:r w:rsidR="000008BE" w:rsidRPr="006A6FF6">
              <w:rPr>
                <w:rFonts w:eastAsia="新細明體" w:cs="Segoe UI" w:hint="eastAsia"/>
                <w:sz w:val="17"/>
                <w:szCs w:val="17"/>
                <w:lang w:eastAsia="zh-HK"/>
              </w:rPr>
              <w:t>為</w:t>
            </w:r>
            <w:r w:rsidRPr="006A6FF6">
              <w:rPr>
                <w:rFonts w:eastAsia="新細明體" w:cs="Segoe UI" w:hint="eastAsia"/>
                <w:sz w:val="17"/>
                <w:szCs w:val="17"/>
                <w:lang w:eastAsia="zh-HK"/>
              </w:rPr>
              <w:t>認可機構的監管綜合範圍</w:t>
            </w:r>
            <w:r w:rsidRPr="006A6FF6">
              <w:rPr>
                <w:rFonts w:eastAsia="新細明體" w:cs="Segoe UI" w:hint="eastAsia"/>
                <w:sz w:val="17"/>
                <w:szCs w:val="17"/>
                <w:lang w:eastAsia="zh-TW"/>
              </w:rPr>
              <w:t>，</w:t>
            </w:r>
            <w:r w:rsidRPr="006A6FF6">
              <w:rPr>
                <w:rFonts w:ascii="新細明體" w:eastAsia="新細明體" w:hAnsi="新細明體" w:cs="Segoe UI" w:hint="eastAsia"/>
                <w:sz w:val="17"/>
                <w:szCs w:val="17"/>
                <w:lang w:eastAsia="zh-TW"/>
              </w:rPr>
              <w:t>任何資產（</w:t>
            </w:r>
            <w:r w:rsidRPr="006A6FF6">
              <w:rPr>
                <w:rFonts w:ascii="新細明體" w:eastAsia="新細明體" w:hAnsi="新細明體" w:cs="Segoe UI" w:hint="eastAsia"/>
                <w:sz w:val="17"/>
                <w:szCs w:val="17"/>
                <w:lang w:eastAsia="zh-HK"/>
              </w:rPr>
              <w:t>包括</w:t>
            </w:r>
            <w:r w:rsidRPr="006A6FF6">
              <w:rPr>
                <w:rFonts w:ascii="新細明體" w:eastAsia="新細明體" w:hAnsi="新細明體" w:cs="Segoe UI" w:hint="eastAsia"/>
                <w:sz w:val="17"/>
                <w:szCs w:val="17"/>
                <w:lang w:eastAsia="zh-TW"/>
              </w:rPr>
              <w:t>與</w:t>
            </w:r>
            <w:r w:rsidRPr="006A6FF6">
              <w:rPr>
                <w:rFonts w:ascii="新細明體" w:eastAsia="新細明體" w:hAnsi="新細明體" w:cs="Segoe UI" w:hint="eastAsia"/>
                <w:sz w:val="17"/>
                <w:szCs w:val="17"/>
                <w:lang w:eastAsia="zh-HK"/>
              </w:rPr>
              <w:t>證券化類別風險承擔</w:t>
            </w:r>
            <w:r w:rsidRPr="006A6FF6">
              <w:rPr>
                <w:rFonts w:ascii="新細明體" w:eastAsia="新細明體" w:hAnsi="新細明體" w:cs="Segoe UI" w:hint="eastAsia"/>
                <w:sz w:val="17"/>
                <w:szCs w:val="17"/>
                <w:lang w:eastAsia="zh-TW"/>
              </w:rPr>
              <w:t>相關的</w:t>
            </w:r>
            <w:r w:rsidRPr="006A6FF6">
              <w:rPr>
                <w:rFonts w:ascii="新細明體" w:eastAsia="新細明體" w:hAnsi="新細明體" w:cs="Segoe UI" w:hint="eastAsia"/>
                <w:sz w:val="17"/>
                <w:szCs w:val="17"/>
                <w:lang w:eastAsia="zh-HK"/>
              </w:rPr>
              <w:t>資產</w:t>
            </w:r>
            <w:r w:rsidRPr="006A6FF6">
              <w:rPr>
                <w:rFonts w:ascii="新細明體" w:eastAsia="新細明體" w:hAnsi="新細明體" w:cs="Segoe UI" w:hint="eastAsia"/>
                <w:sz w:val="17"/>
                <w:szCs w:val="17"/>
                <w:lang w:eastAsia="zh-TW"/>
              </w:rPr>
              <w:t>）亦包括在内。</w:t>
            </w:r>
          </w:p>
        </w:tc>
      </w:tr>
      <w:tr w:rsidR="006A6FF6" w:rsidRPr="006A6FF6" w14:paraId="7B063799" w14:textId="77777777" w:rsidTr="00CB2DE0">
        <w:tc>
          <w:tcPr>
            <w:tcW w:w="8931" w:type="dxa"/>
            <w:gridSpan w:val="2"/>
            <w:shd w:val="clear" w:color="auto" w:fill="F2F2F2"/>
          </w:tcPr>
          <w:p w14:paraId="7EA0D487" w14:textId="77777777" w:rsidR="00190D67" w:rsidRPr="006A6FF6" w:rsidRDefault="00190D67" w:rsidP="00862754">
            <w:pPr>
              <w:keepLines/>
              <w:tabs>
                <w:tab w:val="left" w:pos="150"/>
                <w:tab w:val="left" w:pos="397"/>
                <w:tab w:val="left" w:pos="794"/>
                <w:tab w:val="left" w:pos="1191"/>
              </w:tabs>
              <w:spacing w:before="40" w:after="40"/>
              <w:jc w:val="both"/>
              <w:rPr>
                <w:rFonts w:eastAsia="新細明體" w:cs="Segoe UI"/>
                <w:i/>
                <w:sz w:val="17"/>
                <w:szCs w:val="17"/>
                <w:lang w:eastAsia="zh-HK"/>
              </w:rPr>
            </w:pPr>
            <w:r w:rsidRPr="006A6FF6">
              <w:rPr>
                <w:rFonts w:eastAsia="新細明體" w:cs="Segoe UI" w:hint="eastAsia"/>
                <w:b/>
                <w:sz w:val="17"/>
                <w:lang w:eastAsia="zh-HK"/>
              </w:rPr>
              <w:t>行</w:t>
            </w:r>
          </w:p>
        </w:tc>
      </w:tr>
      <w:tr w:rsidR="006A6FF6" w:rsidRPr="006A6FF6" w14:paraId="05636771" w14:textId="77777777" w:rsidTr="00CB2DE0">
        <w:tc>
          <w:tcPr>
            <w:tcW w:w="8931" w:type="dxa"/>
            <w:gridSpan w:val="2"/>
            <w:shd w:val="clear" w:color="auto" w:fill="auto"/>
          </w:tcPr>
          <w:p w14:paraId="388FF2D3" w14:textId="73C01D8E" w:rsidR="00190D67" w:rsidRPr="006A6FF6" w:rsidRDefault="00190D67" w:rsidP="003509DE">
            <w:pPr>
              <w:keepLines/>
              <w:tabs>
                <w:tab w:val="left" w:pos="150"/>
                <w:tab w:val="left" w:pos="397"/>
                <w:tab w:val="left" w:pos="794"/>
                <w:tab w:val="left" w:pos="1191"/>
              </w:tabs>
              <w:spacing w:before="40" w:after="40"/>
              <w:jc w:val="both"/>
              <w:rPr>
                <w:rFonts w:ascii="新細明體" w:eastAsia="新細明體" w:hAnsi="新細明體" w:cs="Segoe UI"/>
                <w:sz w:val="17"/>
                <w:szCs w:val="17"/>
                <w:lang w:eastAsia="zh-HK"/>
              </w:rPr>
            </w:pPr>
            <w:r w:rsidRPr="006A6FF6">
              <w:rPr>
                <w:rFonts w:ascii="新細明體" w:eastAsia="新細明體" w:hAnsi="新細明體" w:cs="Segoe UI" w:hint="eastAsia"/>
                <w:sz w:val="17"/>
                <w:szCs w:val="17"/>
                <w:lang w:eastAsia="zh-HK"/>
              </w:rPr>
              <w:t>認可機構須以獨立的行提供資</w:t>
            </w:r>
            <w:r w:rsidRPr="006A6FF6">
              <w:rPr>
                <w:rFonts w:ascii="新細明體" w:eastAsia="新細明體" w:hAnsi="新細明體" w:cs="Segoe UI" w:hint="eastAsia"/>
                <w:sz w:val="17"/>
                <w:szCs w:val="17"/>
                <w:lang w:eastAsia="zh-TW"/>
              </w:rPr>
              <w:t>產</w:t>
            </w:r>
            <w:r w:rsidRPr="006A6FF6">
              <w:rPr>
                <w:rFonts w:ascii="新細明體" w:eastAsia="新細明體" w:hAnsi="新細明體" w:cs="Segoe UI" w:hint="eastAsia"/>
                <w:sz w:val="17"/>
                <w:szCs w:val="17"/>
                <w:lang w:eastAsia="zh-HK"/>
              </w:rPr>
              <w:t>負</w:t>
            </w:r>
            <w:r w:rsidRPr="006A6FF6">
              <w:rPr>
                <w:rFonts w:ascii="新細明體" w:eastAsia="新細明體" w:hAnsi="新細明體" w:cs="Segoe UI" w:hint="eastAsia"/>
                <w:sz w:val="17"/>
                <w:szCs w:val="17"/>
                <w:lang w:eastAsia="zh-TW"/>
              </w:rPr>
              <w:t>債</w:t>
            </w:r>
            <w:r w:rsidR="00B40CC0" w:rsidRPr="006A6FF6">
              <w:rPr>
                <w:rFonts w:ascii="新細明體" w:eastAsia="新細明體" w:hAnsi="新細明體" w:cs="Segoe UI" w:hint="eastAsia"/>
                <w:sz w:val="17"/>
                <w:szCs w:val="17"/>
                <w:lang w:eastAsia="zh-HK"/>
              </w:rPr>
              <w:t>表資產的細目分類。</w:t>
            </w:r>
            <w:r w:rsidRPr="006A6FF6">
              <w:rPr>
                <w:rFonts w:ascii="新細明體" w:eastAsia="新細明體" w:hAnsi="新細明體" w:cs="Segoe UI" w:hint="eastAsia"/>
                <w:sz w:val="17"/>
                <w:szCs w:val="17"/>
                <w:lang w:eastAsia="zh-HK"/>
              </w:rPr>
              <w:t>該細目分類可基於</w:t>
            </w:r>
            <w:r w:rsidR="003509DE" w:rsidRPr="006A6FF6">
              <w:rPr>
                <w:rFonts w:ascii="新細明體" w:eastAsia="新細明體" w:hAnsi="新細明體" w:cs="Segoe UI" w:hint="eastAsia"/>
                <w:sz w:val="17"/>
                <w:szCs w:val="17"/>
                <w:lang w:eastAsia="zh-HK"/>
              </w:rPr>
              <w:t>廣</w:t>
            </w:r>
            <w:r w:rsidR="003509DE" w:rsidRPr="006A6FF6">
              <w:rPr>
                <w:rFonts w:ascii="新細明體" w:eastAsia="新細明體" w:hAnsi="新細明體" w:cs="Segoe UI" w:hint="eastAsia"/>
                <w:sz w:val="17"/>
                <w:szCs w:val="17"/>
                <w:lang w:eastAsia="zh-TW"/>
              </w:rPr>
              <w:t>泛</w:t>
            </w:r>
            <w:r w:rsidR="003509DE" w:rsidRPr="006A6FF6">
              <w:rPr>
                <w:rFonts w:ascii="新細明體" w:eastAsia="新細明體" w:hAnsi="新細明體" w:cs="Segoe UI" w:hint="eastAsia"/>
                <w:sz w:val="17"/>
                <w:szCs w:val="17"/>
                <w:lang w:eastAsia="zh-HK"/>
              </w:rPr>
              <w:t>而具參</w:t>
            </w:r>
            <w:r w:rsidR="003509DE" w:rsidRPr="006A6FF6">
              <w:rPr>
                <w:rFonts w:ascii="新細明體" w:eastAsia="新細明體" w:hAnsi="新細明體" w:cs="Segoe UI" w:hint="eastAsia"/>
                <w:sz w:val="17"/>
                <w:szCs w:val="17"/>
                <w:lang w:eastAsia="zh-TW"/>
              </w:rPr>
              <w:t>考</w:t>
            </w:r>
            <w:r w:rsidR="003509DE" w:rsidRPr="006A6FF6">
              <w:rPr>
                <w:rFonts w:ascii="新細明體" w:eastAsia="新細明體" w:hAnsi="新細明體" w:cs="Segoe UI" w:hint="eastAsia"/>
                <w:sz w:val="17"/>
                <w:szCs w:val="17"/>
                <w:lang w:eastAsia="zh-HK"/>
              </w:rPr>
              <w:t>價值的</w:t>
            </w:r>
            <w:r w:rsidRPr="006A6FF6">
              <w:rPr>
                <w:rFonts w:ascii="新細明體" w:eastAsia="新細明體" w:hAnsi="新細明體" w:cs="Segoe UI" w:hint="eastAsia"/>
                <w:sz w:val="17"/>
                <w:szCs w:val="17"/>
                <w:lang w:eastAsia="zh-HK"/>
              </w:rPr>
              <w:t>資產負債表項目分類</w:t>
            </w:r>
            <w:r w:rsidRPr="006A6FF6">
              <w:rPr>
                <w:rFonts w:ascii="新細明體" w:eastAsia="新細明體" w:hAnsi="新細明體" w:cs="Segoe UI" w:hint="eastAsia"/>
                <w:sz w:val="17"/>
                <w:szCs w:val="17"/>
                <w:lang w:eastAsia="zh-TW"/>
              </w:rPr>
              <w:t>（</w:t>
            </w:r>
            <w:r w:rsidRPr="006A6FF6">
              <w:rPr>
                <w:rFonts w:ascii="新細明體" w:eastAsia="新細明體" w:hAnsi="新細明體" w:cs="Segoe UI" w:hint="eastAsia"/>
                <w:sz w:val="17"/>
                <w:szCs w:val="17"/>
                <w:lang w:eastAsia="zh-HK"/>
              </w:rPr>
              <w:t>例</w:t>
            </w:r>
            <w:r w:rsidRPr="006A6FF6">
              <w:rPr>
                <w:rFonts w:ascii="新細明體" w:eastAsia="新細明體" w:hAnsi="新細明體" w:cs="Segoe UI" w:hint="eastAsia"/>
                <w:sz w:val="17"/>
                <w:szCs w:val="17"/>
                <w:lang w:eastAsia="zh-TW"/>
              </w:rPr>
              <w:t>如</w:t>
            </w:r>
            <w:r w:rsidRPr="006A6FF6">
              <w:rPr>
                <w:rFonts w:ascii="新細明體" w:eastAsia="新細明體" w:hAnsi="新細明體" w:cs="Segoe UI" w:hint="eastAsia"/>
                <w:sz w:val="17"/>
                <w:szCs w:val="17"/>
                <w:lang w:eastAsia="zh-HK"/>
              </w:rPr>
              <w:t>貸</w:t>
            </w:r>
            <w:r w:rsidRPr="006A6FF6">
              <w:rPr>
                <w:rFonts w:ascii="新細明體" w:eastAsia="新細明體" w:hAnsi="新細明體" w:cs="Segoe UI" w:hint="eastAsia"/>
                <w:sz w:val="17"/>
                <w:szCs w:val="17"/>
                <w:lang w:eastAsia="zh-TW"/>
              </w:rPr>
              <w:t>款</w:t>
            </w:r>
            <w:r w:rsidRPr="006A6FF6">
              <w:rPr>
                <w:rFonts w:ascii="新細明體" w:eastAsia="新細明體" w:hAnsi="新細明體" w:cs="Segoe UI" w:hint="eastAsia"/>
                <w:sz w:val="17"/>
                <w:szCs w:val="17"/>
                <w:lang w:eastAsia="zh-HK"/>
              </w:rPr>
              <w:t>及放款、金融資產、非金融資產等</w:t>
            </w:r>
            <w:r w:rsidRPr="006A6FF6">
              <w:rPr>
                <w:rFonts w:ascii="新細明體" w:eastAsia="新細明體" w:hAnsi="新細明體" w:cs="Segoe UI" w:hint="eastAsia"/>
                <w:sz w:val="17"/>
                <w:szCs w:val="17"/>
                <w:lang w:eastAsia="zh-TW"/>
              </w:rPr>
              <w:t>）</w:t>
            </w:r>
            <w:r w:rsidR="00B40CC0" w:rsidRPr="006A6FF6">
              <w:rPr>
                <w:rFonts w:ascii="新細明體" w:eastAsia="新細明體" w:hAnsi="新細明體" w:cs="Segoe UI" w:hint="eastAsia"/>
                <w:sz w:val="17"/>
                <w:szCs w:val="17"/>
                <w:lang w:eastAsia="zh-HK"/>
              </w:rPr>
              <w:t>，</w:t>
            </w:r>
            <w:r w:rsidR="00B40CC0" w:rsidRPr="006A6FF6">
              <w:rPr>
                <w:rFonts w:ascii="新細明體" w:eastAsia="新細明體" w:hAnsi="新細明體" w:cs="Segoe UI" w:hint="eastAsia"/>
                <w:sz w:val="17"/>
                <w:szCs w:val="17"/>
                <w:lang w:eastAsia="zh-TW"/>
              </w:rPr>
              <w:t>視</w:t>
            </w:r>
            <w:r w:rsidR="00B40CC0" w:rsidRPr="006A6FF6">
              <w:rPr>
                <w:rFonts w:ascii="新細明體" w:eastAsia="新細明體" w:hAnsi="新細明體" w:cs="Segoe UI" w:hint="eastAsia"/>
                <w:sz w:val="17"/>
                <w:szCs w:val="17"/>
                <w:lang w:eastAsia="zh-HK"/>
              </w:rPr>
              <w:t>情</w:t>
            </w:r>
            <w:r w:rsidR="00B40CC0" w:rsidRPr="006A6FF6">
              <w:rPr>
                <w:rFonts w:ascii="新細明體" w:eastAsia="新細明體" w:hAnsi="新細明體" w:cs="Segoe UI" w:hint="eastAsia"/>
                <w:sz w:val="17"/>
                <w:szCs w:val="17"/>
                <w:lang w:eastAsia="zh-TW"/>
              </w:rPr>
              <w:t>況</w:t>
            </w:r>
            <w:r w:rsidR="00B40CC0" w:rsidRPr="006A6FF6">
              <w:rPr>
                <w:rFonts w:ascii="新細明體" w:eastAsia="新細明體" w:hAnsi="新細明體" w:cs="Segoe UI" w:hint="eastAsia"/>
                <w:sz w:val="17"/>
                <w:szCs w:val="17"/>
                <w:lang w:eastAsia="zh-HK"/>
              </w:rPr>
              <w:t>而定</w:t>
            </w:r>
            <w:r w:rsidRPr="006A6FF6">
              <w:rPr>
                <w:rFonts w:ascii="新細明體" w:eastAsia="新細明體" w:hAnsi="新細明體" w:cs="Segoe UI" w:hint="eastAsia"/>
                <w:sz w:val="17"/>
                <w:szCs w:val="17"/>
                <w:lang w:eastAsia="zh-HK"/>
              </w:rPr>
              <w:t>。</w:t>
            </w:r>
          </w:p>
        </w:tc>
      </w:tr>
    </w:tbl>
    <w:p w14:paraId="2CEF8C18" w14:textId="77777777" w:rsidR="00D540EB" w:rsidRDefault="00D540EB">
      <w:pPr>
        <w:rPr>
          <w:rFonts w:eastAsiaTheme="minorEastAsia" w:cs="Segoe UI"/>
          <w:lang w:eastAsia="zh-TW"/>
        </w:rPr>
        <w:sectPr w:rsidR="00D540EB" w:rsidSect="00862754">
          <w:footerReference w:type="default" r:id="rId122"/>
          <w:pgSz w:w="11906" w:h="16838" w:code="9"/>
          <w:pgMar w:top="1440" w:right="1134" w:bottom="1440" w:left="1418" w:header="851" w:footer="737" w:gutter="0"/>
          <w:cols w:space="425"/>
          <w:docGrid w:type="linesAndChars" w:linePitch="360"/>
        </w:sectPr>
      </w:pPr>
    </w:p>
    <w:p w14:paraId="3260F1C6" w14:textId="77777777" w:rsidR="00DA1457" w:rsidRPr="006854AC" w:rsidRDefault="00DA1457" w:rsidP="00DA1457">
      <w:pPr>
        <w:keepNext/>
        <w:keepLines/>
        <w:ind w:hanging="426"/>
        <w:outlineLvl w:val="0"/>
        <w:rPr>
          <w:rFonts w:eastAsia="新細明體"/>
          <w:color w:val="AA322F"/>
          <w:sz w:val="28"/>
          <w:lang w:eastAsia="zh-TW"/>
        </w:rPr>
      </w:pPr>
      <w:r w:rsidRPr="006854AC">
        <w:rPr>
          <w:rFonts w:eastAsia="新細明體" w:cs="Segoe UI" w:hint="eastAsia"/>
          <w:color w:val="AA322F"/>
          <w:sz w:val="28"/>
          <w:lang w:eastAsia="zh-HK"/>
        </w:rPr>
        <w:t>第</w:t>
      </w:r>
      <w:r w:rsidRPr="006854AC">
        <w:rPr>
          <w:rFonts w:eastAsia="新細明體"/>
          <w:color w:val="AA322F"/>
          <w:sz w:val="28"/>
          <w:lang w:eastAsia="zh-TW"/>
        </w:rPr>
        <w:t>XII</w:t>
      </w:r>
      <w:r w:rsidRPr="006854AC">
        <w:rPr>
          <w:rFonts w:eastAsia="新細明體" w:cs="Segoe UI" w:hint="eastAsia"/>
          <w:color w:val="AA322F"/>
          <w:sz w:val="28"/>
          <w:lang w:eastAsia="zh-HK"/>
        </w:rPr>
        <w:t>部：加密資產風險承擔</w:t>
      </w:r>
    </w:p>
    <w:p w14:paraId="4C27FDDD" w14:textId="2E7EAA1A" w:rsidR="00DA1457" w:rsidRPr="006854AC" w:rsidRDefault="00DA1457" w:rsidP="00DA1457">
      <w:pPr>
        <w:spacing w:before="40" w:after="40"/>
        <w:ind w:left="-454"/>
        <w:outlineLvl w:val="1"/>
        <w:rPr>
          <w:rFonts w:eastAsia="新細明體"/>
          <w:sz w:val="22"/>
          <w:szCs w:val="24"/>
          <w:lang w:eastAsia="zh-TW"/>
        </w:rPr>
      </w:pPr>
      <w:r w:rsidRPr="006854AC">
        <w:rPr>
          <w:rFonts w:eastAsia="新細明體" w:hint="eastAsia"/>
          <w:sz w:val="22"/>
          <w:szCs w:val="24"/>
          <w:lang w:eastAsia="zh-HK"/>
        </w:rPr>
        <w:t>表</w:t>
      </w:r>
      <w:r w:rsidRPr="006854AC">
        <w:rPr>
          <w:rFonts w:eastAsia="新細明體"/>
          <w:sz w:val="22"/>
          <w:szCs w:val="24"/>
          <w:lang w:eastAsia="zh-TW"/>
        </w:rPr>
        <w:t>CAEA</w:t>
      </w:r>
      <w:r w:rsidRPr="006854AC">
        <w:rPr>
          <w:rFonts w:eastAsia="新細明體" w:hint="eastAsia"/>
          <w:sz w:val="22"/>
          <w:szCs w:val="24"/>
          <w:lang w:eastAsia="zh-TW"/>
        </w:rPr>
        <w:t>：</w:t>
      </w:r>
      <w:r w:rsidRPr="006854AC">
        <w:rPr>
          <w:rFonts w:eastAsia="新細明體" w:hint="eastAsia"/>
          <w:sz w:val="22"/>
          <w:szCs w:val="24"/>
          <w:lang w:eastAsia="zh-HK"/>
        </w:rPr>
        <w:t>關於加密資產</w:t>
      </w:r>
      <w:r w:rsidR="0013004F" w:rsidRPr="006854AC">
        <w:rPr>
          <w:rFonts w:eastAsia="新細明體" w:hint="eastAsia"/>
          <w:sz w:val="22"/>
          <w:szCs w:val="24"/>
          <w:lang w:eastAsia="zh-HK"/>
        </w:rPr>
        <w:t>的</w:t>
      </w:r>
      <w:r w:rsidRPr="006854AC">
        <w:rPr>
          <w:rFonts w:eastAsia="新細明體" w:hint="eastAsia"/>
          <w:sz w:val="22"/>
          <w:szCs w:val="24"/>
          <w:lang w:eastAsia="zh-HK"/>
        </w:rPr>
        <w:t>活動及評估分類條件所用方法</w:t>
      </w:r>
      <w:r w:rsidR="0013004F" w:rsidRPr="006854AC">
        <w:rPr>
          <w:rFonts w:eastAsia="新細明體" w:hint="eastAsia"/>
          <w:sz w:val="22"/>
          <w:szCs w:val="24"/>
          <w:lang w:eastAsia="zh-HK"/>
        </w:rPr>
        <w:t>的</w:t>
      </w:r>
      <w:r w:rsidR="0013004F" w:rsidRPr="006854AC">
        <w:rPr>
          <w:rFonts w:eastAsia="新細明體" w:hint="eastAsia"/>
          <w:sz w:val="22"/>
          <w:szCs w:val="24"/>
          <w:lang w:eastAsia="zh-TW"/>
        </w:rPr>
        <w:t>的描述披露</w:t>
      </w:r>
    </w:p>
    <w:tbl>
      <w:tblPr>
        <w:tblW w:w="9390" w:type="dxa"/>
        <w:tblInd w:w="-4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04"/>
        <w:gridCol w:w="7286"/>
      </w:tblGrid>
      <w:tr w:rsidR="006854AC" w:rsidRPr="006854AC" w14:paraId="3DD318E0" w14:textId="77777777" w:rsidTr="00DA0A17">
        <w:tc>
          <w:tcPr>
            <w:tcW w:w="2160" w:type="dxa"/>
          </w:tcPr>
          <w:p w14:paraId="3542E552" w14:textId="33783EE5" w:rsidR="00DA1457" w:rsidRPr="006854AC" w:rsidRDefault="00DA1457" w:rsidP="001D33A0">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目的</w:t>
            </w:r>
            <w:r w:rsidRPr="006854AC">
              <w:rPr>
                <w:rFonts w:ascii="新細明體" w:eastAsia="新細明體" w:hAnsi="新細明體" w:hint="eastAsia"/>
                <w:b/>
                <w:sz w:val="17"/>
                <w:lang w:eastAsia="zh-TW"/>
              </w:rPr>
              <w:t>：</w:t>
            </w:r>
          </w:p>
        </w:tc>
        <w:tc>
          <w:tcPr>
            <w:tcW w:w="7521" w:type="dxa"/>
          </w:tcPr>
          <w:p w14:paraId="6264530E" w14:textId="585464F4" w:rsidR="00DA1457" w:rsidRPr="006854AC" w:rsidRDefault="00DA1457" w:rsidP="009D3B32">
            <w:pPr>
              <w:spacing w:before="40" w:after="40"/>
              <w:jc w:val="both"/>
              <w:rPr>
                <w:rFonts w:eastAsia="新細明體"/>
                <w:noProof/>
                <w:sz w:val="17"/>
                <w:lang w:eastAsia="zh-TW"/>
              </w:rPr>
            </w:pPr>
            <w:r w:rsidRPr="006854AC">
              <w:rPr>
                <w:rFonts w:eastAsia="新細明體" w:hint="eastAsia"/>
                <w:noProof/>
                <w:sz w:val="17"/>
                <w:lang w:eastAsia="zh-HK"/>
              </w:rPr>
              <w:t>概述認可機構</w:t>
            </w:r>
            <w:r w:rsidR="00BF4E19" w:rsidRPr="006854AC">
              <w:rPr>
                <w:rFonts w:eastAsia="新細明體" w:hint="eastAsia"/>
                <w:noProof/>
                <w:sz w:val="17"/>
                <w:lang w:eastAsia="zh-HK"/>
              </w:rPr>
              <w:t>關於</w:t>
            </w:r>
            <w:r w:rsidRPr="006854AC">
              <w:rPr>
                <w:rFonts w:eastAsia="新細明體" w:hint="eastAsia"/>
                <w:noProof/>
                <w:sz w:val="17"/>
                <w:lang w:eastAsia="zh-HK"/>
              </w:rPr>
              <w:t>加密資產</w:t>
            </w:r>
            <w:r w:rsidR="0028429F" w:rsidRPr="006854AC">
              <w:rPr>
                <w:rFonts w:eastAsia="新細明體" w:hint="eastAsia"/>
                <w:noProof/>
                <w:sz w:val="17"/>
                <w:lang w:eastAsia="zh-HK"/>
              </w:rPr>
              <w:t>的</w:t>
            </w:r>
            <w:r w:rsidRPr="006854AC">
              <w:rPr>
                <w:rFonts w:eastAsia="新細明體" w:hint="eastAsia"/>
                <w:noProof/>
                <w:sz w:val="17"/>
                <w:lang w:eastAsia="zh-HK"/>
              </w:rPr>
              <w:t>活動及</w:t>
            </w:r>
            <w:r w:rsidR="009D3B32" w:rsidRPr="006854AC">
              <w:rPr>
                <w:rFonts w:eastAsia="新細明體" w:hint="eastAsia"/>
                <w:noProof/>
                <w:sz w:val="17"/>
                <w:lang w:eastAsia="zh-HK"/>
              </w:rPr>
              <w:t>關於</w:t>
            </w:r>
            <w:r w:rsidRPr="006854AC">
              <w:rPr>
                <w:rFonts w:eastAsia="新細明體" w:hint="eastAsia"/>
                <w:noProof/>
                <w:sz w:val="17"/>
                <w:lang w:eastAsia="zh-HK"/>
              </w:rPr>
              <w:t>其加密資產風險承擔的主要風險，以及評估分類條件</w:t>
            </w:r>
            <w:r w:rsidR="00DA0A17" w:rsidRPr="006854AC">
              <w:rPr>
                <w:rFonts w:eastAsia="新細明體" w:hint="eastAsia"/>
                <w:noProof/>
                <w:sz w:val="17"/>
                <w:lang w:eastAsia="zh-HK"/>
              </w:rPr>
              <w:t>時採</w:t>
            </w:r>
            <w:r w:rsidRPr="006854AC">
              <w:rPr>
                <w:rFonts w:eastAsia="新細明體" w:hint="eastAsia"/>
                <w:noProof/>
                <w:sz w:val="17"/>
                <w:lang w:eastAsia="zh-HK"/>
              </w:rPr>
              <w:t>用</w:t>
            </w:r>
            <w:r w:rsidR="00DA0A17" w:rsidRPr="006854AC">
              <w:rPr>
                <w:rFonts w:eastAsia="新細明體" w:hint="eastAsia"/>
                <w:noProof/>
                <w:sz w:val="17"/>
                <w:lang w:eastAsia="zh-HK"/>
              </w:rPr>
              <w:t>的</w:t>
            </w:r>
            <w:r w:rsidRPr="006854AC">
              <w:rPr>
                <w:rFonts w:eastAsia="新細明體" w:hint="eastAsia"/>
                <w:noProof/>
                <w:sz w:val="17"/>
                <w:lang w:eastAsia="zh-HK"/>
              </w:rPr>
              <w:t>方法</w:t>
            </w:r>
            <w:r w:rsidRPr="006854AC">
              <w:rPr>
                <w:rFonts w:eastAsia="新細明體" w:hint="eastAsia"/>
                <w:noProof/>
                <w:sz w:val="17"/>
                <w:lang w:eastAsia="zh-TW"/>
              </w:rPr>
              <w:t>。</w:t>
            </w:r>
          </w:p>
        </w:tc>
      </w:tr>
      <w:tr w:rsidR="006854AC" w:rsidRPr="006854AC" w14:paraId="186F0D06" w14:textId="77777777" w:rsidTr="00DA0A17">
        <w:tc>
          <w:tcPr>
            <w:tcW w:w="2160" w:type="dxa"/>
            <w:shd w:val="clear" w:color="auto" w:fill="auto"/>
          </w:tcPr>
          <w:p w14:paraId="666E2C94" w14:textId="558D288C" w:rsidR="00DA1457" w:rsidRPr="006854AC" w:rsidRDefault="00DA1457" w:rsidP="001D33A0">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適用範圍</w:t>
            </w:r>
            <w:r w:rsidRPr="006854AC">
              <w:rPr>
                <w:rFonts w:ascii="新細明體" w:eastAsia="新細明體" w:hAnsi="新細明體" w:hint="eastAsia"/>
                <w:b/>
                <w:sz w:val="17"/>
                <w:lang w:eastAsia="zh-TW"/>
              </w:rPr>
              <w:t>：</w:t>
            </w:r>
          </w:p>
        </w:tc>
        <w:tc>
          <w:tcPr>
            <w:tcW w:w="7521" w:type="dxa"/>
            <w:shd w:val="clear" w:color="auto" w:fill="auto"/>
          </w:tcPr>
          <w:p w14:paraId="2BB1167D" w14:textId="665606B9" w:rsidR="00DA1457" w:rsidRPr="006854AC" w:rsidRDefault="00DA1457" w:rsidP="00DA1457">
            <w:pPr>
              <w:spacing w:before="40" w:after="40"/>
              <w:jc w:val="both"/>
              <w:rPr>
                <w:rFonts w:eastAsia="新細明體"/>
                <w:sz w:val="17"/>
                <w:lang w:eastAsia="zh-TW"/>
              </w:rPr>
            </w:pPr>
            <w:r w:rsidRPr="006854AC">
              <w:rPr>
                <w:rFonts w:eastAsia="新細明體"/>
                <w:sz w:val="17"/>
                <w:lang w:eastAsia="zh-TW"/>
              </w:rPr>
              <w:t>所有在香港成立</w:t>
            </w:r>
            <w:proofErr w:type="gramStart"/>
            <w:r w:rsidRPr="006854AC">
              <w:rPr>
                <w:rFonts w:eastAsia="新細明體"/>
                <w:sz w:val="17"/>
                <w:lang w:eastAsia="zh-TW"/>
              </w:rPr>
              <w:t>為法團的</w:t>
            </w:r>
            <w:proofErr w:type="gramEnd"/>
            <w:r w:rsidRPr="006854AC">
              <w:rPr>
                <w:rFonts w:eastAsia="新細明體"/>
                <w:sz w:val="17"/>
                <w:lang w:eastAsia="zh-TW"/>
              </w:rPr>
              <w:t>認可機構</w:t>
            </w:r>
            <w:r w:rsidR="003243E4" w:rsidRPr="006854AC">
              <w:rPr>
                <w:rFonts w:eastAsia="新細明體" w:hint="eastAsia"/>
                <w:sz w:val="17"/>
                <w:lang w:eastAsia="zh-HK"/>
              </w:rPr>
              <w:t>，凡有加密資產風險承擔，</w:t>
            </w:r>
            <w:proofErr w:type="gramStart"/>
            <w:r w:rsidRPr="006854AC">
              <w:rPr>
                <w:rFonts w:eastAsia="新細明體"/>
                <w:sz w:val="17"/>
                <w:lang w:eastAsia="zh-TW"/>
              </w:rPr>
              <w:t>均須填報</w:t>
            </w:r>
            <w:proofErr w:type="gramEnd"/>
            <w:r w:rsidRPr="006854AC">
              <w:rPr>
                <w:rFonts w:eastAsia="新細明體"/>
                <w:sz w:val="17"/>
                <w:lang w:eastAsia="zh-TW"/>
              </w:rPr>
              <w:t>本</w:t>
            </w:r>
            <w:r w:rsidRPr="006854AC">
              <w:rPr>
                <w:rFonts w:eastAsia="新細明體" w:hint="eastAsia"/>
                <w:sz w:val="17"/>
                <w:lang w:eastAsia="zh-HK"/>
              </w:rPr>
              <w:t>表</w:t>
            </w:r>
            <w:r w:rsidRPr="006854AC">
              <w:rPr>
                <w:rFonts w:eastAsia="新細明體" w:hint="eastAsia"/>
                <w:sz w:val="17"/>
                <w:lang w:eastAsia="zh-TW"/>
              </w:rPr>
              <w:t>。</w:t>
            </w:r>
          </w:p>
          <w:p w14:paraId="43B88264" w14:textId="01AB071D" w:rsidR="00746BA0" w:rsidRPr="006854AC" w:rsidRDefault="006A6684" w:rsidP="0028538D">
            <w:pPr>
              <w:spacing w:before="40" w:after="40"/>
              <w:jc w:val="both"/>
              <w:rPr>
                <w:rFonts w:eastAsia="新細明體"/>
                <w:sz w:val="17"/>
                <w:lang w:eastAsia="zh-TW"/>
              </w:rPr>
            </w:pPr>
            <w:r w:rsidRPr="006854AC">
              <w:rPr>
                <w:rFonts w:eastAsia="新細明體"/>
                <w:sz w:val="17"/>
                <w:lang w:eastAsia="zh-TW"/>
              </w:rPr>
              <w:t>所有</w:t>
            </w:r>
            <w:r w:rsidR="00DA1457" w:rsidRPr="006854AC">
              <w:rPr>
                <w:rFonts w:eastAsia="新細明體"/>
                <w:sz w:val="17"/>
                <w:lang w:eastAsia="zh-TW"/>
              </w:rPr>
              <w:t>在香港以外成立</w:t>
            </w:r>
            <w:proofErr w:type="gramStart"/>
            <w:r w:rsidR="00DA1457" w:rsidRPr="006854AC">
              <w:rPr>
                <w:rFonts w:eastAsia="新細明體"/>
                <w:sz w:val="17"/>
                <w:lang w:eastAsia="zh-TW"/>
              </w:rPr>
              <w:t>為法團的</w:t>
            </w:r>
            <w:proofErr w:type="gramEnd"/>
            <w:r w:rsidR="00DA1457" w:rsidRPr="006854AC">
              <w:rPr>
                <w:rFonts w:eastAsia="新細明體"/>
                <w:sz w:val="17"/>
                <w:lang w:eastAsia="zh-TW"/>
              </w:rPr>
              <w:t>認可機構</w:t>
            </w:r>
            <w:r w:rsidR="003243E4" w:rsidRPr="006854AC">
              <w:rPr>
                <w:rFonts w:eastAsia="新細明體" w:hint="eastAsia"/>
                <w:sz w:val="17"/>
                <w:lang w:eastAsia="zh-HK"/>
              </w:rPr>
              <w:t>，凡</w:t>
            </w:r>
            <w:r w:rsidR="00DA1457" w:rsidRPr="006854AC">
              <w:rPr>
                <w:rFonts w:eastAsia="新細明體" w:hint="eastAsia"/>
                <w:sz w:val="17"/>
                <w:lang w:eastAsia="zh-HK"/>
              </w:rPr>
              <w:t>有加密資產風險承擔</w:t>
            </w:r>
            <w:r w:rsidR="00DA1457" w:rsidRPr="006854AC">
              <w:rPr>
                <w:rFonts w:eastAsia="新細明體" w:hint="eastAsia"/>
                <w:sz w:val="17"/>
                <w:lang w:eastAsia="zh-TW"/>
              </w:rPr>
              <w:t>，</w:t>
            </w:r>
            <w:r w:rsidR="00DA1457" w:rsidRPr="006854AC">
              <w:rPr>
                <w:rFonts w:eastAsia="新細明體" w:hint="eastAsia"/>
                <w:sz w:val="17"/>
                <w:lang w:eastAsia="zh-HK"/>
              </w:rPr>
              <w:t>亦須填報本表</w:t>
            </w:r>
            <w:r w:rsidR="0028538D" w:rsidRPr="006854AC">
              <w:rPr>
                <w:rFonts w:eastAsia="新細明體" w:hint="eastAsia"/>
                <w:sz w:val="17"/>
                <w:lang w:eastAsia="zh-TW"/>
              </w:rPr>
              <w:t>（</w:t>
            </w:r>
            <w:r w:rsidR="00DA1457" w:rsidRPr="006854AC">
              <w:rPr>
                <w:rFonts w:eastAsia="新細明體" w:hint="eastAsia"/>
                <w:sz w:val="17"/>
                <w:lang w:eastAsia="zh-HK"/>
              </w:rPr>
              <w:t>但</w:t>
            </w:r>
            <w:r w:rsidR="00746BA0" w:rsidRPr="006854AC">
              <w:rPr>
                <w:rFonts w:eastAsia="新細明體" w:cs="Segoe UI" w:hint="eastAsia"/>
                <w:sz w:val="17"/>
                <w:lang w:eastAsia="zh-HK"/>
              </w:rPr>
              <w:t>僅</w:t>
            </w:r>
            <w:r w:rsidR="00746BA0" w:rsidRPr="006854AC">
              <w:rPr>
                <w:rFonts w:eastAsia="新細明體" w:hint="eastAsia"/>
                <w:sz w:val="17"/>
                <w:lang w:eastAsia="zh-HK"/>
              </w:rPr>
              <w:t>須就該認可機構與產生流動性風險的加密資產相關的業務活動填報本表</w:t>
            </w:r>
            <w:r w:rsidR="0028538D" w:rsidRPr="006854AC">
              <w:rPr>
                <w:rFonts w:eastAsia="新細明體" w:hint="eastAsia"/>
                <w:sz w:val="17"/>
                <w:lang w:eastAsia="zh-TW"/>
              </w:rPr>
              <w:t>）</w:t>
            </w:r>
            <w:r w:rsidR="00746BA0" w:rsidRPr="006854AC">
              <w:rPr>
                <w:rFonts w:eastAsia="新細明體" w:hint="eastAsia"/>
                <w:sz w:val="17"/>
                <w:lang w:eastAsia="zh-TW"/>
              </w:rPr>
              <w:t>。</w:t>
            </w:r>
          </w:p>
        </w:tc>
      </w:tr>
      <w:tr w:rsidR="006854AC" w:rsidRPr="006854AC" w14:paraId="61E5FBFF" w14:textId="77777777" w:rsidTr="00DA0A17">
        <w:tc>
          <w:tcPr>
            <w:tcW w:w="2160" w:type="dxa"/>
          </w:tcPr>
          <w:p w14:paraId="775358B9" w14:textId="4998C92D" w:rsidR="00DA1457" w:rsidRPr="006854AC" w:rsidRDefault="00DA1457" w:rsidP="001D33A0">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內容</w:t>
            </w:r>
            <w:r w:rsidRPr="006854AC">
              <w:rPr>
                <w:rFonts w:ascii="新細明體" w:eastAsia="新細明體" w:hAnsi="新細明體" w:hint="eastAsia"/>
                <w:b/>
                <w:sz w:val="17"/>
                <w:lang w:eastAsia="zh-TW"/>
              </w:rPr>
              <w:t>：</w:t>
            </w:r>
          </w:p>
        </w:tc>
        <w:tc>
          <w:tcPr>
            <w:tcW w:w="7521" w:type="dxa"/>
          </w:tcPr>
          <w:p w14:paraId="537F9E3A" w14:textId="77777777" w:rsidR="00DA1457" w:rsidRPr="006854AC" w:rsidRDefault="00DA1457" w:rsidP="00DA1457">
            <w:pPr>
              <w:spacing w:before="40" w:after="40"/>
              <w:jc w:val="both"/>
              <w:rPr>
                <w:rFonts w:eastAsia="新細明體"/>
                <w:sz w:val="17"/>
                <w:lang w:eastAsia="en-GB"/>
              </w:rPr>
            </w:pPr>
            <w:r w:rsidRPr="006854AC">
              <w:rPr>
                <w:rFonts w:eastAsia="新細明體" w:hint="eastAsia"/>
                <w:sz w:val="17"/>
                <w:lang w:eastAsia="zh-HK"/>
              </w:rPr>
              <w:t>描述資料</w:t>
            </w:r>
            <w:r w:rsidRPr="006854AC">
              <w:rPr>
                <w:rFonts w:eastAsia="新細明體" w:hint="eastAsia"/>
                <w:sz w:val="17"/>
                <w:lang w:eastAsia="zh-TW"/>
              </w:rPr>
              <w:t>。</w:t>
            </w:r>
          </w:p>
        </w:tc>
      </w:tr>
      <w:tr w:rsidR="006854AC" w:rsidRPr="006854AC" w14:paraId="480A5629" w14:textId="77777777" w:rsidTr="00DA0A17">
        <w:tc>
          <w:tcPr>
            <w:tcW w:w="2160" w:type="dxa"/>
          </w:tcPr>
          <w:p w14:paraId="4F01592D" w14:textId="77777777" w:rsidR="00DA1457" w:rsidRPr="006854AC" w:rsidRDefault="00DA1457" w:rsidP="00DA1457">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頻密程度</w:t>
            </w:r>
            <w:r w:rsidRPr="006854AC">
              <w:rPr>
                <w:rFonts w:ascii="新細明體" w:eastAsia="新細明體" w:hAnsi="新細明體" w:hint="eastAsia"/>
                <w:b/>
                <w:sz w:val="17"/>
                <w:lang w:eastAsia="zh-TW"/>
              </w:rPr>
              <w:t>：</w:t>
            </w:r>
          </w:p>
        </w:tc>
        <w:tc>
          <w:tcPr>
            <w:tcW w:w="7521" w:type="dxa"/>
          </w:tcPr>
          <w:p w14:paraId="01C6F0A3" w14:textId="77777777" w:rsidR="00DA1457" w:rsidRPr="006854AC" w:rsidRDefault="00DA1457" w:rsidP="00DA1457">
            <w:pPr>
              <w:spacing w:before="40" w:after="40"/>
              <w:jc w:val="both"/>
              <w:rPr>
                <w:rFonts w:eastAsia="新細明體"/>
                <w:sz w:val="17"/>
                <w:lang w:eastAsia="en-GB"/>
              </w:rPr>
            </w:pPr>
            <w:r w:rsidRPr="006854AC">
              <w:rPr>
                <w:rFonts w:eastAsia="新細明體" w:hint="eastAsia"/>
                <w:sz w:val="17"/>
                <w:lang w:eastAsia="zh-HK"/>
              </w:rPr>
              <w:t>每年一次。</w:t>
            </w:r>
          </w:p>
        </w:tc>
      </w:tr>
      <w:tr w:rsidR="006854AC" w:rsidRPr="006854AC" w14:paraId="0F836E29" w14:textId="77777777" w:rsidTr="00DA0A17">
        <w:tc>
          <w:tcPr>
            <w:tcW w:w="2160" w:type="dxa"/>
          </w:tcPr>
          <w:p w14:paraId="4F983E89" w14:textId="45F44F56" w:rsidR="00DA1457" w:rsidRPr="006854AC" w:rsidRDefault="00DA1457" w:rsidP="001D33A0">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格式：</w:t>
            </w:r>
          </w:p>
        </w:tc>
        <w:tc>
          <w:tcPr>
            <w:tcW w:w="7521" w:type="dxa"/>
          </w:tcPr>
          <w:p w14:paraId="1EA3DDDF" w14:textId="77777777" w:rsidR="00DA1457" w:rsidRPr="006854AC" w:rsidRDefault="00DA1457" w:rsidP="00DA1457">
            <w:pPr>
              <w:spacing w:before="40" w:after="40"/>
              <w:jc w:val="both"/>
              <w:rPr>
                <w:rFonts w:eastAsia="新細明體"/>
                <w:sz w:val="17"/>
                <w:lang w:eastAsia="en-GB"/>
              </w:rPr>
            </w:pPr>
            <w:r w:rsidRPr="006854AC">
              <w:rPr>
                <w:rFonts w:eastAsia="新細明體" w:hint="eastAsia"/>
                <w:sz w:val="17"/>
                <w:lang w:eastAsia="zh-HK"/>
              </w:rPr>
              <w:t>非固定</w:t>
            </w:r>
            <w:r w:rsidRPr="006854AC">
              <w:rPr>
                <w:rFonts w:eastAsia="新細明體" w:hint="eastAsia"/>
                <w:sz w:val="17"/>
                <w:lang w:eastAsia="zh-TW"/>
              </w:rPr>
              <w:t>。</w:t>
            </w:r>
          </w:p>
        </w:tc>
      </w:tr>
      <w:tr w:rsidR="006854AC" w:rsidRPr="006854AC" w14:paraId="1A26CB17" w14:textId="77777777" w:rsidTr="00DA0A17">
        <w:tc>
          <w:tcPr>
            <w:tcW w:w="2160" w:type="dxa"/>
          </w:tcPr>
          <w:p w14:paraId="4025CC93" w14:textId="77777777" w:rsidR="00DA1457" w:rsidRPr="006854AC" w:rsidRDefault="00DA1457" w:rsidP="00DA1457">
            <w:pPr>
              <w:spacing w:before="40" w:after="40"/>
              <w:rPr>
                <w:rFonts w:ascii="新細明體" w:eastAsia="新細明體" w:hAnsi="新細明體"/>
                <w:b/>
                <w:sz w:val="17"/>
                <w:szCs w:val="17"/>
                <w:lang w:eastAsia="zh-TW"/>
              </w:rPr>
            </w:pPr>
            <w:r w:rsidRPr="006854AC">
              <w:rPr>
                <w:rFonts w:ascii="新細明體" w:eastAsia="新細明體" w:hAnsi="新細明體"/>
                <w:b/>
                <w:sz w:val="17"/>
                <w:szCs w:val="17"/>
                <w:lang w:eastAsia="zh-TW"/>
              </w:rPr>
              <w:t>《披露規則》相應條文：</w:t>
            </w:r>
          </w:p>
        </w:tc>
        <w:tc>
          <w:tcPr>
            <w:tcW w:w="7521" w:type="dxa"/>
          </w:tcPr>
          <w:p w14:paraId="0525E74B" w14:textId="5E8C871A" w:rsidR="00DA1457" w:rsidRPr="006854AC" w:rsidRDefault="00DA1457" w:rsidP="00CA4369">
            <w:pPr>
              <w:spacing w:before="40" w:after="40"/>
              <w:jc w:val="both"/>
              <w:rPr>
                <w:rFonts w:eastAsia="新細明體"/>
                <w:sz w:val="17"/>
                <w:lang w:eastAsia="en-GB"/>
              </w:rPr>
            </w:pPr>
            <w:r w:rsidRPr="006854AC">
              <w:rPr>
                <w:rFonts w:eastAsia="新細明體"/>
                <w:sz w:val="17"/>
                <w:lang w:eastAsia="en-GB"/>
              </w:rPr>
              <w:t>16ZQH</w:t>
            </w:r>
            <w:r w:rsidRPr="006854AC">
              <w:rPr>
                <w:rFonts w:eastAsia="新細明體" w:hint="eastAsia"/>
                <w:sz w:val="17"/>
                <w:lang w:eastAsia="zh-HK"/>
              </w:rPr>
              <w:t>及</w:t>
            </w:r>
            <w:r w:rsidRPr="006854AC">
              <w:rPr>
                <w:rFonts w:eastAsia="新細明體"/>
                <w:sz w:val="17"/>
                <w:lang w:eastAsia="en-GB"/>
              </w:rPr>
              <w:t>103(4B)</w:t>
            </w:r>
          </w:p>
        </w:tc>
      </w:tr>
    </w:tbl>
    <w:p w14:paraId="5D49F696" w14:textId="77777777" w:rsidR="00DA1457" w:rsidRPr="006854AC" w:rsidRDefault="00DA1457" w:rsidP="00DA1457"/>
    <w:tbl>
      <w:tblPr>
        <w:tblW w:w="9385" w:type="dxa"/>
        <w:tblInd w:w="-454" w:type="dxa"/>
        <w:tblCellMar>
          <w:left w:w="70" w:type="dxa"/>
          <w:right w:w="70" w:type="dxa"/>
        </w:tblCellMar>
        <w:tblLook w:val="00A0" w:firstRow="1" w:lastRow="0" w:firstColumn="1" w:lastColumn="0" w:noHBand="0" w:noVBand="0"/>
      </w:tblPr>
      <w:tblGrid>
        <w:gridCol w:w="454"/>
        <w:gridCol w:w="8931"/>
      </w:tblGrid>
      <w:tr w:rsidR="006854AC" w:rsidRPr="006854AC" w14:paraId="1DE58134" w14:textId="77777777" w:rsidTr="004F24AE">
        <w:trPr>
          <w:trHeight w:val="448"/>
        </w:trPr>
        <w:tc>
          <w:tcPr>
            <w:tcW w:w="9385" w:type="dxa"/>
            <w:gridSpan w:val="2"/>
            <w:tcBorders>
              <w:top w:val="single" w:sz="4" w:space="0" w:color="auto"/>
              <w:bottom w:val="single" w:sz="4" w:space="0" w:color="auto"/>
            </w:tcBorders>
            <w:vAlign w:val="center"/>
          </w:tcPr>
          <w:p w14:paraId="7985D266" w14:textId="77777777" w:rsidR="00DA1457" w:rsidRPr="006854AC" w:rsidRDefault="00DA1457" w:rsidP="00DA1457">
            <w:pPr>
              <w:widowControl w:val="0"/>
              <w:spacing w:before="40" w:after="40"/>
              <w:jc w:val="both"/>
              <w:rPr>
                <w:rFonts w:eastAsiaTheme="minorEastAsia" w:cs="Segoe UI"/>
                <w:sz w:val="17"/>
                <w:szCs w:val="17"/>
                <w:lang w:eastAsia="fr-FR"/>
              </w:rPr>
            </w:pPr>
            <w:proofErr w:type="spellStart"/>
            <w:proofErr w:type="gramStart"/>
            <w:r w:rsidRPr="006854AC">
              <w:rPr>
                <w:rFonts w:eastAsiaTheme="minorEastAsia" w:cs="Segoe UI"/>
                <w:sz w:val="17"/>
                <w:szCs w:val="17"/>
                <w:lang w:eastAsia="fr-FR"/>
              </w:rPr>
              <w:t>認可機構應描述</w:t>
            </w:r>
            <w:proofErr w:type="spellEnd"/>
            <w:proofErr w:type="gramEnd"/>
            <w:r w:rsidRPr="006854AC">
              <w:rPr>
                <w:rFonts w:eastAsiaTheme="minorEastAsia" w:cs="Segoe UI"/>
                <w:sz w:val="17"/>
                <w:szCs w:val="17"/>
                <w:lang w:eastAsia="zh-TW"/>
              </w:rPr>
              <w:t>：</w:t>
            </w:r>
          </w:p>
        </w:tc>
      </w:tr>
      <w:tr w:rsidR="006854AC" w:rsidRPr="006854AC" w14:paraId="7FCFFECD" w14:textId="77777777" w:rsidTr="004F24AE">
        <w:trPr>
          <w:trHeight w:val="318"/>
        </w:trPr>
        <w:tc>
          <w:tcPr>
            <w:tcW w:w="454" w:type="dxa"/>
            <w:tcBorders>
              <w:top w:val="single" w:sz="4" w:space="0" w:color="auto"/>
              <w:bottom w:val="single" w:sz="4" w:space="0" w:color="auto"/>
            </w:tcBorders>
            <w:noWrap/>
          </w:tcPr>
          <w:p w14:paraId="089A5BF8" w14:textId="77777777" w:rsidR="00DA1457" w:rsidRPr="006854AC" w:rsidRDefault="00DA1457" w:rsidP="00DA1457">
            <w:pPr>
              <w:widowControl w:val="0"/>
              <w:spacing w:before="40" w:after="40"/>
              <w:rPr>
                <w:rFonts w:eastAsiaTheme="minorEastAsia" w:cs="Segoe UI"/>
                <w:sz w:val="17"/>
                <w:szCs w:val="17"/>
              </w:rPr>
            </w:pPr>
            <w:r w:rsidRPr="006854AC">
              <w:rPr>
                <w:rFonts w:eastAsiaTheme="minorEastAsia" w:cs="Segoe UI"/>
                <w:sz w:val="17"/>
                <w:szCs w:val="17"/>
              </w:rPr>
              <w:t>(a)</w:t>
            </w:r>
          </w:p>
        </w:tc>
        <w:tc>
          <w:tcPr>
            <w:tcW w:w="8931" w:type="dxa"/>
            <w:tcBorders>
              <w:top w:val="single" w:sz="4" w:space="0" w:color="auto"/>
              <w:bottom w:val="single" w:sz="4" w:space="0" w:color="auto"/>
            </w:tcBorders>
            <w:noWrap/>
            <w:vAlign w:val="center"/>
          </w:tcPr>
          <w:p w14:paraId="24C6F5CA" w14:textId="14CB8728" w:rsidR="00DA1457" w:rsidRPr="006854AC" w:rsidRDefault="00DA1457" w:rsidP="004F24AE">
            <w:pPr>
              <w:tabs>
                <w:tab w:val="left" w:pos="509"/>
              </w:tabs>
              <w:spacing w:before="40" w:after="40"/>
              <w:ind w:left="7"/>
              <w:jc w:val="both"/>
              <w:rPr>
                <w:rFonts w:eastAsiaTheme="minorEastAsia" w:cs="Segoe UI"/>
                <w:noProof/>
                <w:sz w:val="17"/>
                <w:lang w:eastAsia="zh-TW"/>
              </w:rPr>
            </w:pPr>
            <w:r w:rsidRPr="006854AC">
              <w:rPr>
                <w:rFonts w:eastAsiaTheme="minorEastAsia" w:cs="Segoe UI"/>
                <w:noProof/>
                <w:sz w:val="17"/>
                <w:lang w:eastAsia="zh-HK"/>
              </w:rPr>
              <w:t>其</w:t>
            </w:r>
            <w:r w:rsidR="00F673D9" w:rsidRPr="006854AC">
              <w:rPr>
                <w:rFonts w:eastAsiaTheme="minorEastAsia" w:cs="Segoe UI" w:hint="eastAsia"/>
                <w:noProof/>
                <w:sz w:val="17"/>
                <w:lang w:eastAsia="zh-HK"/>
              </w:rPr>
              <w:t>關於</w:t>
            </w:r>
            <w:r w:rsidRPr="006854AC">
              <w:rPr>
                <w:rFonts w:eastAsiaTheme="minorEastAsia" w:cs="Segoe UI"/>
                <w:noProof/>
                <w:sz w:val="17"/>
                <w:lang w:eastAsia="zh-HK"/>
              </w:rPr>
              <w:t>加密資產</w:t>
            </w:r>
            <w:r w:rsidR="00D00C59" w:rsidRPr="006854AC">
              <w:rPr>
                <w:rFonts w:eastAsiaTheme="minorEastAsia" w:cs="Segoe UI" w:hint="eastAsia"/>
                <w:noProof/>
                <w:sz w:val="17"/>
                <w:lang w:eastAsia="zh-HK"/>
              </w:rPr>
              <w:t>的</w:t>
            </w:r>
            <w:r w:rsidRPr="006854AC">
              <w:rPr>
                <w:rFonts w:eastAsiaTheme="minorEastAsia" w:cs="Segoe UI"/>
                <w:noProof/>
                <w:sz w:val="17"/>
                <w:lang w:eastAsia="zh-HK"/>
              </w:rPr>
              <w:t>業務活動</w:t>
            </w:r>
            <w:r w:rsidRPr="006854AC">
              <w:rPr>
                <w:rFonts w:eastAsiaTheme="minorEastAsia" w:cs="Segoe UI"/>
                <w:noProof/>
                <w:sz w:val="17"/>
                <w:lang w:eastAsia="zh-TW"/>
              </w:rPr>
              <w:t>，</w:t>
            </w:r>
            <w:r w:rsidRPr="006854AC">
              <w:rPr>
                <w:rFonts w:eastAsiaTheme="minorEastAsia" w:cs="Segoe UI"/>
                <w:noProof/>
                <w:sz w:val="17"/>
                <w:lang w:eastAsia="zh-HK"/>
              </w:rPr>
              <w:t>包括直接擁有加密資產</w:t>
            </w:r>
            <w:r w:rsidRPr="006854AC">
              <w:rPr>
                <w:rFonts w:eastAsiaTheme="minorEastAsia" w:cs="Segoe UI"/>
                <w:noProof/>
                <w:sz w:val="17"/>
                <w:lang w:eastAsia="zh-TW"/>
              </w:rPr>
              <w:t>、</w:t>
            </w:r>
            <w:r w:rsidRPr="006854AC">
              <w:rPr>
                <w:rFonts w:eastAsiaTheme="minorEastAsia" w:cs="Segoe UI"/>
                <w:noProof/>
                <w:sz w:val="17"/>
                <w:lang w:eastAsia="zh-HK"/>
              </w:rPr>
              <w:t>代客戶帳戶買賣加密資產</w:t>
            </w:r>
            <w:r w:rsidRPr="006854AC">
              <w:rPr>
                <w:rFonts w:eastAsiaTheme="minorEastAsia" w:cs="Segoe UI"/>
                <w:noProof/>
                <w:sz w:val="17"/>
                <w:lang w:eastAsia="zh-TW"/>
              </w:rPr>
              <w:t>、</w:t>
            </w:r>
            <w:r w:rsidRPr="006854AC">
              <w:rPr>
                <w:rFonts w:eastAsiaTheme="minorEastAsia" w:cs="Segoe UI"/>
                <w:noProof/>
                <w:sz w:val="17"/>
                <w:lang w:eastAsia="zh-HK"/>
              </w:rPr>
              <w:t>對加密資產活動的股權投資</w:t>
            </w:r>
            <w:r w:rsidR="007F652F" w:rsidRPr="006854AC">
              <w:rPr>
                <w:rFonts w:eastAsiaTheme="minorEastAsia" w:cs="Segoe UI"/>
                <w:noProof/>
                <w:sz w:val="17"/>
                <w:lang w:eastAsia="zh-TW"/>
              </w:rPr>
              <w:t>（</w:t>
            </w:r>
            <w:r w:rsidR="007F652F" w:rsidRPr="006854AC">
              <w:rPr>
                <w:rFonts w:eastAsiaTheme="minorEastAsia" w:cs="Segoe UI"/>
                <w:noProof/>
                <w:sz w:val="17"/>
                <w:lang w:eastAsia="zh-HK"/>
              </w:rPr>
              <w:t>例如加密資產交易所及加密資產交易所買賣基金的基金經理</w:t>
            </w:r>
            <w:r w:rsidR="007F652F" w:rsidRPr="006854AC">
              <w:rPr>
                <w:rFonts w:eastAsiaTheme="minorEastAsia" w:cs="Segoe UI"/>
                <w:noProof/>
                <w:sz w:val="17"/>
                <w:lang w:eastAsia="zh-TW"/>
              </w:rPr>
              <w:t>）</w:t>
            </w:r>
            <w:r w:rsidRPr="006854AC">
              <w:rPr>
                <w:rFonts w:eastAsiaTheme="minorEastAsia" w:cs="Segoe UI"/>
                <w:noProof/>
                <w:sz w:val="17"/>
                <w:lang w:eastAsia="zh-TW"/>
              </w:rPr>
              <w:t>，</w:t>
            </w:r>
            <w:r w:rsidR="00D75038" w:rsidRPr="006854AC">
              <w:rPr>
                <w:rFonts w:eastAsiaTheme="minorEastAsia" w:cs="Segoe UI"/>
                <w:noProof/>
                <w:sz w:val="17"/>
                <w:lang w:eastAsia="zh-HK"/>
              </w:rPr>
              <w:t>以及</w:t>
            </w:r>
            <w:r w:rsidR="00D75038" w:rsidRPr="006854AC">
              <w:rPr>
                <w:rFonts w:eastAsiaTheme="minorEastAsia" w:cs="Segoe UI" w:hint="eastAsia"/>
                <w:noProof/>
                <w:sz w:val="17"/>
                <w:lang w:eastAsia="zh-HK"/>
              </w:rPr>
              <w:t>該機</w:t>
            </w:r>
            <w:r w:rsidRPr="006854AC">
              <w:rPr>
                <w:rFonts w:eastAsiaTheme="minorEastAsia" w:cs="Segoe UI"/>
                <w:noProof/>
                <w:sz w:val="17"/>
                <w:lang w:eastAsia="zh-HK"/>
              </w:rPr>
              <w:t>構發行的加密資產</w:t>
            </w:r>
            <w:r w:rsidRPr="006854AC">
              <w:rPr>
                <w:rFonts w:eastAsiaTheme="minorEastAsia" w:cs="Segoe UI"/>
                <w:noProof/>
                <w:sz w:val="17"/>
                <w:lang w:eastAsia="zh-TW"/>
              </w:rPr>
              <w:t>（</w:t>
            </w:r>
            <w:r w:rsidRPr="006854AC">
              <w:rPr>
                <w:rFonts w:eastAsiaTheme="minorEastAsia" w:cs="Segoe UI"/>
                <w:noProof/>
                <w:sz w:val="17"/>
                <w:lang w:eastAsia="zh-HK"/>
              </w:rPr>
              <w:t>即其加密負債</w:t>
            </w:r>
            <w:r w:rsidRPr="006854AC">
              <w:rPr>
                <w:rFonts w:eastAsiaTheme="minorEastAsia" w:cs="Segoe UI"/>
                <w:noProof/>
                <w:sz w:val="17"/>
                <w:lang w:eastAsia="zh-TW"/>
              </w:rPr>
              <w:t>）。</w:t>
            </w:r>
            <w:r w:rsidRPr="006854AC">
              <w:rPr>
                <w:rFonts w:eastAsiaTheme="minorEastAsia" w:cs="Segoe UI"/>
                <w:noProof/>
                <w:sz w:val="17"/>
                <w:lang w:eastAsia="zh-HK"/>
              </w:rPr>
              <w:t>認可機構</w:t>
            </w:r>
            <w:r w:rsidR="00DA0A17" w:rsidRPr="006854AC">
              <w:rPr>
                <w:rFonts w:eastAsiaTheme="minorEastAsia" w:cs="Segoe UI"/>
                <w:noProof/>
                <w:sz w:val="17"/>
                <w:lang w:eastAsia="zh-HK"/>
              </w:rPr>
              <w:t>應明確說明其</w:t>
            </w:r>
            <w:r w:rsidR="00891D2C" w:rsidRPr="006854AC">
              <w:rPr>
                <w:rFonts w:eastAsiaTheme="minorEastAsia" w:cs="Segoe UI"/>
                <w:noProof/>
                <w:sz w:val="17"/>
                <w:lang w:eastAsia="zh-HK"/>
              </w:rPr>
              <w:t>是否</w:t>
            </w:r>
            <w:r w:rsidR="00891D2C" w:rsidRPr="006854AC">
              <w:rPr>
                <w:rFonts w:eastAsiaTheme="minorEastAsia" w:cs="Segoe UI" w:hint="eastAsia"/>
                <w:noProof/>
                <w:sz w:val="17"/>
                <w:lang w:eastAsia="zh-HK"/>
              </w:rPr>
              <w:t>作</w:t>
            </w:r>
            <w:r w:rsidRPr="006854AC">
              <w:rPr>
                <w:rFonts w:eastAsiaTheme="minorEastAsia" w:cs="Segoe UI"/>
                <w:noProof/>
                <w:sz w:val="17"/>
                <w:lang w:eastAsia="zh-HK"/>
              </w:rPr>
              <w:t>為</w:t>
            </w:r>
            <w:r w:rsidR="008219C1" w:rsidRPr="006854AC">
              <w:rPr>
                <w:rFonts w:eastAsiaTheme="minorEastAsia" w:cs="Segoe UI" w:hint="eastAsia"/>
                <w:noProof/>
                <w:sz w:val="17"/>
                <w:lang w:eastAsia="zh-HK"/>
              </w:rPr>
              <w:t>某</w:t>
            </w:r>
            <w:r w:rsidRPr="006854AC">
              <w:rPr>
                <w:rFonts w:eastAsiaTheme="minorEastAsia" w:cs="Segoe UI"/>
                <w:noProof/>
                <w:sz w:val="17"/>
                <w:lang w:eastAsia="zh-HK"/>
              </w:rPr>
              <w:t>加密資產安排的成員持有人</w:t>
            </w:r>
            <w:r w:rsidR="00D41D0F" w:rsidRPr="006854AC">
              <w:rPr>
                <w:rFonts w:eastAsiaTheme="minorEastAsia" w:cs="Segoe UI"/>
                <w:noProof/>
                <w:sz w:val="17"/>
                <w:lang w:eastAsia="zh-TW"/>
              </w:rPr>
              <w:t>（</w:t>
            </w:r>
            <w:r w:rsidR="00D41D0F" w:rsidRPr="006854AC">
              <w:rPr>
                <w:rFonts w:eastAsiaTheme="minorEastAsia" w:cs="Segoe UI"/>
                <w:noProof/>
                <w:sz w:val="17"/>
                <w:lang w:eastAsia="zh-HK"/>
              </w:rPr>
              <w:t>《資本規則》第</w:t>
            </w:r>
            <w:r w:rsidR="00D41D0F" w:rsidRPr="006854AC">
              <w:rPr>
                <w:rFonts w:eastAsiaTheme="minorEastAsia" w:cs="Segoe UI"/>
                <w:noProof/>
                <w:sz w:val="17"/>
                <w:lang w:eastAsia="zh-TW"/>
              </w:rPr>
              <w:t>363</w:t>
            </w:r>
            <w:r w:rsidR="00D41D0F" w:rsidRPr="006854AC">
              <w:rPr>
                <w:rFonts w:eastAsiaTheme="minorEastAsia" w:cs="Segoe UI"/>
                <w:noProof/>
                <w:sz w:val="17"/>
                <w:lang w:eastAsia="zh-HK"/>
              </w:rPr>
              <w:t>條所界定</w:t>
            </w:r>
            <w:r w:rsidR="00D41D0F" w:rsidRPr="006854AC">
              <w:rPr>
                <w:rFonts w:eastAsiaTheme="minorEastAsia" w:cs="Segoe UI" w:hint="eastAsia"/>
                <w:noProof/>
                <w:sz w:val="17"/>
                <w:lang w:eastAsia="zh-HK"/>
              </w:rPr>
              <w:t>者</w:t>
            </w:r>
            <w:r w:rsidR="00D41D0F" w:rsidRPr="006854AC">
              <w:rPr>
                <w:rFonts w:eastAsiaTheme="minorEastAsia" w:cs="Segoe UI"/>
                <w:noProof/>
                <w:sz w:val="17"/>
                <w:lang w:eastAsia="zh-TW"/>
              </w:rPr>
              <w:t>）</w:t>
            </w:r>
            <w:r w:rsidRPr="006854AC">
              <w:rPr>
                <w:rFonts w:eastAsiaTheme="minorEastAsia" w:cs="Segoe UI"/>
                <w:noProof/>
                <w:sz w:val="17"/>
                <w:lang w:eastAsia="zh-TW"/>
              </w:rPr>
              <w:t>，</w:t>
            </w:r>
            <w:r w:rsidR="00E77488" w:rsidRPr="006854AC">
              <w:rPr>
                <w:rFonts w:eastAsiaTheme="minorEastAsia" w:cs="Segoe UI" w:hint="eastAsia"/>
                <w:sz w:val="17"/>
                <w:lang w:eastAsia="zh-HK"/>
              </w:rPr>
              <w:t>且</w:t>
            </w:r>
            <w:r w:rsidR="00DA0A17" w:rsidRPr="006854AC">
              <w:rPr>
                <w:rFonts w:eastAsiaTheme="minorEastAsia" w:cs="Segoe UI"/>
                <w:noProof/>
                <w:sz w:val="17"/>
                <w:lang w:eastAsia="zh-HK"/>
              </w:rPr>
              <w:t>在加密資產</w:t>
            </w:r>
            <w:r w:rsidR="00F02F4B" w:rsidRPr="006854AC">
              <w:rPr>
                <w:rFonts w:eastAsiaTheme="minorEastAsia" w:cs="Segoe UI" w:hint="eastAsia"/>
                <w:sz w:val="17"/>
                <w:lang w:eastAsia="zh-HK"/>
              </w:rPr>
              <w:t>兌</w:t>
            </w:r>
            <w:r w:rsidR="00DA0A17" w:rsidRPr="006854AC">
              <w:rPr>
                <w:rFonts w:eastAsiaTheme="minorEastAsia" w:cs="Segoe UI"/>
                <w:noProof/>
                <w:sz w:val="17"/>
                <w:lang w:eastAsia="zh-HK"/>
              </w:rPr>
              <w:t>換</w:t>
            </w:r>
            <w:r w:rsidR="00E77488" w:rsidRPr="006854AC">
              <w:rPr>
                <w:rFonts w:eastAsiaTheme="minorEastAsia" w:cs="Segoe UI" w:hint="eastAsia"/>
                <w:sz w:val="17"/>
                <w:lang w:eastAsia="zh-HK"/>
              </w:rPr>
              <w:t>中</w:t>
            </w:r>
            <w:r w:rsidR="00DA0A17" w:rsidRPr="006854AC">
              <w:rPr>
                <w:rFonts w:eastAsiaTheme="minorEastAsia" w:cs="Segoe UI"/>
                <w:noProof/>
                <w:sz w:val="17"/>
                <w:lang w:eastAsia="zh-HK"/>
              </w:rPr>
              <w:t>擔</w:t>
            </w:r>
            <w:r w:rsidR="00DA0A17" w:rsidRPr="006854AC">
              <w:rPr>
                <w:rFonts w:eastAsiaTheme="minorEastAsia" w:cs="Segoe UI"/>
                <w:noProof/>
                <w:sz w:val="17"/>
                <w:lang w:eastAsia="zh-TW"/>
              </w:rPr>
              <w:t>當</w:t>
            </w:r>
            <w:r w:rsidR="00DA0A17" w:rsidRPr="006854AC">
              <w:rPr>
                <w:rFonts w:eastAsiaTheme="minorEastAsia" w:cs="Segoe UI"/>
                <w:noProof/>
                <w:sz w:val="17"/>
                <w:lang w:eastAsia="zh-HK"/>
              </w:rPr>
              <w:t>中介人</w:t>
            </w:r>
            <w:r w:rsidR="00E77488" w:rsidRPr="006854AC">
              <w:rPr>
                <w:rFonts w:eastAsiaTheme="minorEastAsia" w:cs="Segoe UI" w:hint="eastAsia"/>
                <w:sz w:val="17"/>
                <w:lang w:eastAsia="zh-HK"/>
              </w:rPr>
              <w:t>角色</w:t>
            </w:r>
            <w:r w:rsidRPr="006854AC">
              <w:rPr>
                <w:rFonts w:eastAsiaTheme="minorEastAsia" w:cs="Segoe UI"/>
                <w:noProof/>
                <w:sz w:val="17"/>
                <w:lang w:eastAsia="zh-TW"/>
              </w:rPr>
              <w:t>。</w:t>
            </w:r>
            <w:r w:rsidRPr="006854AC">
              <w:rPr>
                <w:rFonts w:eastAsiaTheme="minorEastAsia" w:cs="Segoe UI"/>
                <w:noProof/>
                <w:sz w:val="17"/>
                <w:lang w:eastAsia="zh-HK"/>
              </w:rPr>
              <w:t>在該等情況下</w:t>
            </w:r>
            <w:r w:rsidRPr="006854AC">
              <w:rPr>
                <w:rFonts w:eastAsiaTheme="minorEastAsia" w:cs="Segoe UI"/>
                <w:noProof/>
                <w:sz w:val="17"/>
                <w:lang w:eastAsia="zh-TW"/>
              </w:rPr>
              <w:t>，</w:t>
            </w:r>
            <w:r w:rsidRPr="006854AC">
              <w:rPr>
                <w:rFonts w:eastAsiaTheme="minorEastAsia" w:cs="Segoe UI"/>
                <w:noProof/>
                <w:sz w:val="17"/>
                <w:lang w:eastAsia="zh-HK"/>
              </w:rPr>
              <w:t>認可機構</w:t>
            </w:r>
            <w:r w:rsidRPr="006854AC">
              <w:rPr>
                <w:rFonts w:eastAsiaTheme="minorEastAsia" w:cs="Segoe UI" w:hint="eastAsia"/>
                <w:sz w:val="17"/>
                <w:lang w:eastAsia="zh-HK"/>
              </w:rPr>
              <w:t>應</w:t>
            </w:r>
            <w:r w:rsidR="00E77488" w:rsidRPr="006854AC">
              <w:rPr>
                <w:rFonts w:eastAsiaTheme="minorEastAsia" w:cs="Segoe UI" w:hint="eastAsia"/>
                <w:sz w:val="17"/>
                <w:lang w:eastAsia="zh-HK"/>
              </w:rPr>
              <w:t>明確說明其角色</w:t>
            </w:r>
            <w:r w:rsidR="00E77488" w:rsidRPr="006854AC">
              <w:rPr>
                <w:rFonts w:eastAsiaTheme="minorEastAsia" w:cs="Segoe UI" w:hint="eastAsia"/>
                <w:sz w:val="17"/>
                <w:lang w:eastAsia="zh-TW"/>
              </w:rPr>
              <w:t>，</w:t>
            </w:r>
            <w:r w:rsidR="00E77488" w:rsidRPr="006854AC">
              <w:rPr>
                <w:rFonts w:eastAsiaTheme="minorEastAsia" w:cs="Segoe UI" w:hint="eastAsia"/>
                <w:sz w:val="17"/>
                <w:lang w:eastAsia="zh-HK"/>
              </w:rPr>
              <w:t>並</w:t>
            </w:r>
            <w:r w:rsidRPr="006854AC">
              <w:rPr>
                <w:rFonts w:eastAsiaTheme="minorEastAsia" w:cs="Segoe UI" w:hint="eastAsia"/>
                <w:sz w:val="17"/>
                <w:lang w:eastAsia="zh-HK"/>
              </w:rPr>
              <w:t>描述其</w:t>
            </w:r>
            <w:r w:rsidR="00E77488" w:rsidRPr="006854AC">
              <w:rPr>
                <w:rFonts w:eastAsiaTheme="minorEastAsia" w:cs="Segoe UI" w:hint="eastAsia"/>
                <w:noProof/>
                <w:sz w:val="17"/>
                <w:lang w:eastAsia="zh-HK"/>
              </w:rPr>
              <w:t>在</w:t>
            </w:r>
            <w:r w:rsidRPr="006854AC">
              <w:rPr>
                <w:rFonts w:eastAsiaTheme="minorEastAsia" w:cs="Segoe UI" w:hint="eastAsia"/>
                <w:sz w:val="17"/>
                <w:lang w:eastAsia="zh-HK"/>
              </w:rPr>
              <w:t>該等活動</w:t>
            </w:r>
            <w:r w:rsidR="00086CE5" w:rsidRPr="006854AC">
              <w:rPr>
                <w:rFonts w:eastAsiaTheme="minorEastAsia" w:cs="Segoe UI" w:hint="eastAsia"/>
                <w:sz w:val="17"/>
                <w:lang w:eastAsia="zh-HK"/>
              </w:rPr>
              <w:t>可</w:t>
            </w:r>
            <w:r w:rsidRPr="006854AC">
              <w:rPr>
                <w:rFonts w:eastAsiaTheme="minorEastAsia" w:cs="Segoe UI" w:hint="eastAsia"/>
                <w:sz w:val="17"/>
                <w:lang w:eastAsia="zh-HK"/>
              </w:rPr>
              <w:t>引起的</w:t>
            </w:r>
            <w:r w:rsidR="007C0C1A" w:rsidRPr="006854AC">
              <w:rPr>
                <w:rFonts w:eastAsiaTheme="minorEastAsia" w:cs="Segoe UI" w:hint="eastAsia"/>
                <w:sz w:val="17"/>
                <w:lang w:eastAsia="zh-HK"/>
              </w:rPr>
              <w:t>兌</w:t>
            </w:r>
            <w:r w:rsidR="00DA0A17" w:rsidRPr="006854AC">
              <w:rPr>
                <w:rFonts w:eastAsiaTheme="minorEastAsia" w:cs="Segoe UI" w:hint="eastAsia"/>
                <w:sz w:val="17"/>
                <w:lang w:eastAsia="zh-HK"/>
              </w:rPr>
              <w:t>換</w:t>
            </w:r>
            <w:r w:rsidRPr="006854AC">
              <w:rPr>
                <w:rFonts w:eastAsiaTheme="minorEastAsia" w:cs="Segoe UI" w:hint="eastAsia"/>
                <w:sz w:val="17"/>
                <w:lang w:eastAsia="zh-HK"/>
              </w:rPr>
              <w:t>或回購加密資產</w:t>
            </w:r>
            <w:r w:rsidR="00E77488" w:rsidRPr="006854AC">
              <w:rPr>
                <w:rFonts w:eastAsiaTheme="minorEastAsia" w:cs="Segoe UI" w:hint="eastAsia"/>
                <w:sz w:val="17"/>
                <w:lang w:eastAsia="zh-HK"/>
              </w:rPr>
              <w:t>方面</w:t>
            </w:r>
            <w:r w:rsidRPr="006854AC">
              <w:rPr>
                <w:rFonts w:eastAsiaTheme="minorEastAsia" w:cs="Segoe UI" w:hint="eastAsia"/>
                <w:sz w:val="17"/>
                <w:lang w:eastAsia="zh-HK"/>
              </w:rPr>
              <w:t>的</w:t>
            </w:r>
            <w:r w:rsidR="00E77488" w:rsidRPr="006854AC">
              <w:rPr>
                <w:rFonts w:eastAsiaTheme="minorEastAsia" w:cs="Segoe UI" w:hint="eastAsia"/>
                <w:sz w:val="17"/>
                <w:lang w:eastAsia="zh-HK"/>
              </w:rPr>
              <w:t>承諾</w:t>
            </w:r>
            <w:r w:rsidR="00A322D4" w:rsidRPr="006854AC">
              <w:rPr>
                <w:rFonts w:eastAsiaTheme="minorEastAsia" w:cs="Segoe UI" w:hint="eastAsia"/>
                <w:sz w:val="17"/>
                <w:lang w:eastAsia="zh-HK"/>
              </w:rPr>
              <w:t>程</w:t>
            </w:r>
            <w:r w:rsidRPr="006854AC">
              <w:rPr>
                <w:rFonts w:eastAsiaTheme="minorEastAsia" w:cs="Segoe UI" w:hint="eastAsia"/>
                <w:sz w:val="17"/>
                <w:lang w:eastAsia="zh-HK"/>
              </w:rPr>
              <w:t>度</w:t>
            </w:r>
            <w:r w:rsidRPr="006854AC">
              <w:rPr>
                <w:rFonts w:eastAsiaTheme="minorEastAsia" w:cs="Segoe UI" w:hint="eastAsia"/>
                <w:sz w:val="17"/>
                <w:lang w:eastAsia="zh-TW"/>
              </w:rPr>
              <w:t>。</w:t>
            </w:r>
          </w:p>
        </w:tc>
      </w:tr>
      <w:tr w:rsidR="006854AC" w:rsidRPr="006854AC" w14:paraId="6A71AA47" w14:textId="77777777" w:rsidTr="004F24AE">
        <w:trPr>
          <w:trHeight w:val="318"/>
        </w:trPr>
        <w:tc>
          <w:tcPr>
            <w:tcW w:w="454" w:type="dxa"/>
            <w:tcBorders>
              <w:top w:val="single" w:sz="4" w:space="0" w:color="auto"/>
              <w:bottom w:val="single" w:sz="4" w:space="0" w:color="auto"/>
            </w:tcBorders>
            <w:noWrap/>
          </w:tcPr>
          <w:p w14:paraId="696EF60E" w14:textId="77777777" w:rsidR="00DA1457" w:rsidRPr="006854AC" w:rsidRDefault="00DA1457" w:rsidP="00DA1457">
            <w:pPr>
              <w:widowControl w:val="0"/>
              <w:spacing w:before="40" w:after="40"/>
              <w:rPr>
                <w:rFonts w:eastAsiaTheme="minorEastAsia" w:cs="Segoe UI"/>
                <w:sz w:val="17"/>
                <w:szCs w:val="17"/>
              </w:rPr>
            </w:pPr>
            <w:r w:rsidRPr="006854AC">
              <w:rPr>
                <w:rFonts w:eastAsiaTheme="minorEastAsia" w:cs="Segoe UI"/>
                <w:sz w:val="17"/>
                <w:szCs w:val="17"/>
              </w:rPr>
              <w:t>(b)</w:t>
            </w:r>
          </w:p>
        </w:tc>
        <w:tc>
          <w:tcPr>
            <w:tcW w:w="8931" w:type="dxa"/>
            <w:tcBorders>
              <w:top w:val="single" w:sz="4" w:space="0" w:color="auto"/>
              <w:bottom w:val="single" w:sz="4" w:space="0" w:color="auto"/>
            </w:tcBorders>
            <w:noWrap/>
            <w:vAlign w:val="center"/>
          </w:tcPr>
          <w:p w14:paraId="60E27364" w14:textId="69138FA7" w:rsidR="00DA1457" w:rsidRPr="006854AC" w:rsidRDefault="00DA1457" w:rsidP="009B4FAB">
            <w:pPr>
              <w:tabs>
                <w:tab w:val="left" w:pos="509"/>
              </w:tabs>
              <w:spacing w:before="40" w:after="40"/>
              <w:jc w:val="both"/>
              <w:rPr>
                <w:rFonts w:eastAsiaTheme="minorEastAsia" w:cs="Segoe UI"/>
                <w:noProof/>
                <w:sz w:val="17"/>
                <w:lang w:eastAsia="zh-TW"/>
              </w:rPr>
            </w:pPr>
            <w:r w:rsidRPr="006854AC">
              <w:rPr>
                <w:rFonts w:eastAsiaTheme="minorEastAsia" w:cs="Segoe UI"/>
                <w:noProof/>
                <w:sz w:val="17"/>
                <w:lang w:eastAsia="zh-HK"/>
              </w:rPr>
              <w:t>就</w:t>
            </w:r>
            <w:r w:rsidRPr="006854AC">
              <w:rPr>
                <w:rFonts w:eastAsiaTheme="minorEastAsia" w:cs="Segoe UI"/>
                <w:noProof/>
                <w:sz w:val="17"/>
                <w:lang w:eastAsia="zh-TW"/>
              </w:rPr>
              <w:t>(a)</w:t>
            </w:r>
            <w:r w:rsidRPr="006854AC">
              <w:rPr>
                <w:rFonts w:eastAsiaTheme="minorEastAsia" w:cs="Segoe UI"/>
                <w:noProof/>
                <w:sz w:val="17"/>
                <w:lang w:eastAsia="zh-HK"/>
              </w:rPr>
              <w:t>所述的每項活動而言，</w:t>
            </w:r>
            <w:r w:rsidR="005F1B6D" w:rsidRPr="006854AC">
              <w:rPr>
                <w:rFonts w:eastAsiaTheme="minorEastAsia" w:cs="Segoe UI" w:hint="eastAsia"/>
                <w:sz w:val="17"/>
                <w:lang w:eastAsia="zh-HK"/>
              </w:rPr>
              <w:t>該</w:t>
            </w:r>
            <w:r w:rsidRPr="006854AC">
              <w:rPr>
                <w:rFonts w:eastAsiaTheme="minorEastAsia" w:cs="Segoe UI"/>
                <w:noProof/>
                <w:sz w:val="17"/>
                <w:lang w:eastAsia="zh-HK"/>
              </w:rPr>
              <w:t>項活動如何</w:t>
            </w:r>
            <w:r w:rsidR="005F1B6D" w:rsidRPr="006854AC">
              <w:rPr>
                <w:rFonts w:eastAsiaTheme="minorEastAsia" w:cs="Segoe UI" w:hint="eastAsia"/>
                <w:sz w:val="17"/>
                <w:lang w:eastAsia="zh-HK"/>
              </w:rPr>
              <w:t>影響</w:t>
            </w:r>
            <w:r w:rsidRPr="006854AC">
              <w:rPr>
                <w:rFonts w:eastAsiaTheme="minorEastAsia" w:cs="Segoe UI"/>
                <w:noProof/>
                <w:sz w:val="17"/>
                <w:lang w:eastAsia="zh-HK"/>
              </w:rPr>
              <w:t>認可機構的風險狀況的組成部分</w:t>
            </w:r>
            <w:r w:rsidRPr="006854AC">
              <w:rPr>
                <w:rFonts w:eastAsiaTheme="minorEastAsia" w:cs="Segoe UI"/>
                <w:noProof/>
                <w:sz w:val="17"/>
                <w:lang w:eastAsia="zh-TW"/>
              </w:rPr>
              <w:t>（</w:t>
            </w:r>
            <w:r w:rsidRPr="006854AC">
              <w:rPr>
                <w:rFonts w:eastAsiaTheme="minorEastAsia" w:cs="Segoe UI"/>
                <w:noProof/>
                <w:sz w:val="17"/>
                <w:lang w:eastAsia="zh-HK"/>
              </w:rPr>
              <w:t>包括但不限於信用</w:t>
            </w:r>
            <w:r w:rsidRPr="006854AC">
              <w:rPr>
                <w:rFonts w:eastAsiaTheme="minorEastAsia" w:cs="Segoe UI"/>
                <w:noProof/>
                <w:sz w:val="17"/>
                <w:lang w:eastAsia="zh-TW"/>
              </w:rPr>
              <w:t>、</w:t>
            </w:r>
            <w:r w:rsidRPr="006854AC">
              <w:rPr>
                <w:rFonts w:eastAsiaTheme="minorEastAsia" w:cs="Segoe UI"/>
                <w:noProof/>
                <w:sz w:val="17"/>
                <w:lang w:eastAsia="zh-HK"/>
              </w:rPr>
              <w:t>市場</w:t>
            </w:r>
            <w:r w:rsidRPr="006854AC">
              <w:rPr>
                <w:rFonts w:eastAsiaTheme="minorEastAsia" w:cs="Segoe UI"/>
                <w:noProof/>
                <w:sz w:val="17"/>
                <w:lang w:eastAsia="zh-TW"/>
              </w:rPr>
              <w:t>、</w:t>
            </w:r>
            <w:r w:rsidRPr="006854AC">
              <w:rPr>
                <w:rFonts w:eastAsiaTheme="minorEastAsia" w:cs="Segoe UI"/>
                <w:noProof/>
                <w:sz w:val="17"/>
                <w:lang w:eastAsia="zh-HK"/>
              </w:rPr>
              <w:t>業務操作及</w:t>
            </w:r>
            <w:r w:rsidRPr="006854AC">
              <w:rPr>
                <w:rFonts w:eastAsiaTheme="minorEastAsia" w:cs="Segoe UI"/>
                <w:noProof/>
                <w:sz w:val="17"/>
                <w:lang w:eastAsia="zh-TW"/>
              </w:rPr>
              <w:t>／</w:t>
            </w:r>
            <w:r w:rsidRPr="006854AC">
              <w:rPr>
                <w:rFonts w:eastAsiaTheme="minorEastAsia" w:cs="Segoe UI"/>
                <w:noProof/>
                <w:sz w:val="17"/>
                <w:lang w:eastAsia="zh-HK"/>
              </w:rPr>
              <w:t>或流動性風險</w:t>
            </w:r>
            <w:r w:rsidRPr="006854AC">
              <w:rPr>
                <w:rFonts w:eastAsiaTheme="minorEastAsia" w:cs="Segoe UI"/>
                <w:noProof/>
                <w:sz w:val="17"/>
                <w:lang w:eastAsia="zh-TW"/>
              </w:rPr>
              <w:t>）</w:t>
            </w:r>
            <w:r w:rsidR="005F1B6D" w:rsidRPr="006854AC">
              <w:rPr>
                <w:rFonts w:eastAsiaTheme="minorEastAsia" w:cs="Segoe UI" w:hint="eastAsia"/>
                <w:sz w:val="17"/>
                <w:lang w:eastAsia="zh-HK"/>
              </w:rPr>
              <w:t>，以</w:t>
            </w:r>
            <w:r w:rsidRPr="006854AC">
              <w:rPr>
                <w:rFonts w:eastAsiaTheme="minorEastAsia" w:cs="Segoe UI"/>
                <w:noProof/>
                <w:sz w:val="17"/>
                <w:lang w:eastAsia="zh-HK"/>
              </w:rPr>
              <w:t>及相關風險管理政策</w:t>
            </w:r>
            <w:r w:rsidRPr="006854AC">
              <w:rPr>
                <w:rFonts w:eastAsiaTheme="minorEastAsia" w:cs="Segoe UI"/>
                <w:noProof/>
                <w:sz w:val="17"/>
                <w:lang w:eastAsia="zh-TW"/>
              </w:rPr>
              <w:t>（</w:t>
            </w:r>
            <w:r w:rsidRPr="006854AC">
              <w:rPr>
                <w:rFonts w:eastAsiaTheme="minorEastAsia" w:cs="Segoe UI"/>
                <w:noProof/>
                <w:sz w:val="17"/>
                <w:lang w:eastAsia="zh-HK"/>
              </w:rPr>
              <w:t>包括但不限於管理</w:t>
            </w:r>
            <w:r w:rsidRPr="006854AC">
              <w:rPr>
                <w:rFonts w:eastAsiaTheme="minorEastAsia" w:cs="Segoe UI"/>
                <w:noProof/>
                <w:sz w:val="17"/>
                <w:lang w:eastAsia="zh-TW"/>
              </w:rPr>
              <w:t>、</w:t>
            </w:r>
            <w:r w:rsidRPr="006854AC">
              <w:rPr>
                <w:rFonts w:eastAsiaTheme="minorEastAsia" w:cs="Segoe UI"/>
                <w:noProof/>
                <w:sz w:val="17"/>
                <w:lang w:eastAsia="zh-HK"/>
              </w:rPr>
              <w:t>對沖及減</w:t>
            </w:r>
            <w:r w:rsidR="00EB4F90" w:rsidRPr="006854AC">
              <w:rPr>
                <w:rFonts w:eastAsiaTheme="minorEastAsia" w:cs="Segoe UI" w:hint="eastAsia"/>
                <w:noProof/>
                <w:sz w:val="17"/>
                <w:lang w:val="en-US" w:eastAsia="zh-HK"/>
              </w:rPr>
              <w:t>低</w:t>
            </w:r>
            <w:r w:rsidRPr="006854AC">
              <w:rPr>
                <w:rFonts w:eastAsiaTheme="minorEastAsia" w:cs="Segoe UI"/>
                <w:noProof/>
                <w:sz w:val="17"/>
                <w:lang w:eastAsia="zh-HK"/>
              </w:rPr>
              <w:t>由認可機構的業務活動</w:t>
            </w:r>
            <w:r w:rsidR="009B4FAB" w:rsidRPr="006854AC">
              <w:rPr>
                <w:rFonts w:eastAsiaTheme="minorEastAsia" w:cs="Segoe UI" w:hint="eastAsia"/>
                <w:noProof/>
                <w:sz w:val="17"/>
                <w:lang w:eastAsia="zh-HK"/>
              </w:rPr>
              <w:t>所</w:t>
            </w:r>
            <w:r w:rsidRPr="006854AC">
              <w:rPr>
                <w:rFonts w:eastAsiaTheme="minorEastAsia" w:cs="Segoe UI"/>
                <w:noProof/>
                <w:sz w:val="17"/>
                <w:lang w:eastAsia="zh-HK"/>
              </w:rPr>
              <w:t>引起的風險的策略及程序</w:t>
            </w:r>
            <w:r w:rsidRPr="006854AC">
              <w:rPr>
                <w:rFonts w:eastAsiaTheme="minorEastAsia" w:cs="Segoe UI"/>
                <w:noProof/>
                <w:sz w:val="17"/>
                <w:lang w:eastAsia="zh-TW"/>
              </w:rPr>
              <w:t>，</w:t>
            </w:r>
            <w:r w:rsidRPr="006854AC">
              <w:rPr>
                <w:rFonts w:eastAsiaTheme="minorEastAsia" w:cs="Segoe UI"/>
                <w:noProof/>
                <w:sz w:val="17"/>
                <w:lang w:eastAsia="zh-HK"/>
              </w:rPr>
              <w:t>以及監察對沖及</w:t>
            </w:r>
            <w:r w:rsidR="00EB4F90" w:rsidRPr="006854AC">
              <w:rPr>
                <w:rFonts w:eastAsiaTheme="minorEastAsia" w:cs="Segoe UI" w:hint="eastAsia"/>
                <w:noProof/>
                <w:sz w:val="17"/>
                <w:lang w:eastAsia="zh-HK"/>
              </w:rPr>
              <w:t>緩減</w:t>
            </w:r>
            <w:r w:rsidR="00DA0A17" w:rsidRPr="006854AC">
              <w:rPr>
                <w:rFonts w:eastAsiaTheme="minorEastAsia" w:cs="Segoe UI"/>
                <w:noProof/>
                <w:sz w:val="17"/>
                <w:lang w:eastAsia="zh-HK"/>
              </w:rPr>
              <w:t>措</w:t>
            </w:r>
            <w:r w:rsidR="00DA0A17" w:rsidRPr="006854AC">
              <w:rPr>
                <w:rFonts w:eastAsiaTheme="minorEastAsia" w:cs="Segoe UI"/>
                <w:noProof/>
                <w:sz w:val="17"/>
                <w:lang w:eastAsia="zh-TW"/>
              </w:rPr>
              <w:t>施</w:t>
            </w:r>
            <w:r w:rsidR="00EB4F90" w:rsidRPr="006854AC">
              <w:rPr>
                <w:rFonts w:eastAsiaTheme="minorEastAsia" w:cs="Segoe UI" w:hint="eastAsia"/>
                <w:noProof/>
                <w:sz w:val="17"/>
                <w:lang w:eastAsia="zh-HK"/>
              </w:rPr>
              <w:t>是否</w:t>
            </w:r>
            <w:r w:rsidR="00DA0A17" w:rsidRPr="006854AC">
              <w:rPr>
                <w:rFonts w:eastAsiaTheme="minorEastAsia" w:cs="Segoe UI"/>
                <w:noProof/>
                <w:sz w:val="17"/>
                <w:lang w:eastAsia="zh-HK"/>
              </w:rPr>
              <w:t>持續</w:t>
            </w:r>
            <w:r w:rsidR="00EB4F90" w:rsidRPr="006854AC">
              <w:rPr>
                <w:rFonts w:eastAsiaTheme="minorEastAsia" w:cs="Segoe UI" w:hint="eastAsia"/>
                <w:noProof/>
                <w:sz w:val="17"/>
                <w:lang w:eastAsia="zh-HK"/>
              </w:rPr>
              <w:t>有</w:t>
            </w:r>
            <w:r w:rsidR="00DA0A17" w:rsidRPr="006854AC">
              <w:rPr>
                <w:rFonts w:eastAsiaTheme="minorEastAsia" w:cs="Segoe UI"/>
                <w:noProof/>
                <w:sz w:val="17"/>
                <w:lang w:eastAsia="zh-HK"/>
              </w:rPr>
              <w:t>效的</w:t>
            </w:r>
            <w:r w:rsidRPr="006854AC">
              <w:rPr>
                <w:rFonts w:eastAsiaTheme="minorEastAsia" w:cs="Segoe UI"/>
                <w:noProof/>
                <w:sz w:val="17"/>
                <w:lang w:eastAsia="zh-HK"/>
              </w:rPr>
              <w:t>程</w:t>
            </w:r>
            <w:r w:rsidR="00DA0A17" w:rsidRPr="006854AC">
              <w:rPr>
                <w:rFonts w:eastAsiaTheme="minorEastAsia" w:cs="Segoe UI"/>
                <w:noProof/>
                <w:sz w:val="17"/>
                <w:lang w:eastAsia="zh-HK"/>
              </w:rPr>
              <w:t>序</w:t>
            </w:r>
            <w:r w:rsidRPr="006854AC">
              <w:rPr>
                <w:rFonts w:eastAsiaTheme="minorEastAsia" w:cs="Segoe UI"/>
                <w:noProof/>
                <w:sz w:val="17"/>
                <w:lang w:eastAsia="zh-TW"/>
              </w:rPr>
              <w:t>）。</w:t>
            </w:r>
          </w:p>
        </w:tc>
      </w:tr>
      <w:tr w:rsidR="006854AC" w:rsidRPr="006854AC" w14:paraId="7CCAB8EC" w14:textId="77777777" w:rsidTr="004F24AE">
        <w:trPr>
          <w:trHeight w:val="318"/>
        </w:trPr>
        <w:tc>
          <w:tcPr>
            <w:tcW w:w="454" w:type="dxa"/>
            <w:tcBorders>
              <w:top w:val="single" w:sz="4" w:space="0" w:color="auto"/>
              <w:bottom w:val="single" w:sz="4" w:space="0" w:color="auto"/>
            </w:tcBorders>
            <w:noWrap/>
          </w:tcPr>
          <w:p w14:paraId="259E55AA" w14:textId="77777777" w:rsidR="00DA1457" w:rsidRPr="006854AC" w:rsidRDefault="00DA1457" w:rsidP="00DA1457">
            <w:pPr>
              <w:widowControl w:val="0"/>
              <w:spacing w:before="40" w:after="40"/>
              <w:rPr>
                <w:rFonts w:eastAsiaTheme="minorEastAsia" w:cs="Segoe UI"/>
                <w:sz w:val="17"/>
                <w:szCs w:val="17"/>
              </w:rPr>
            </w:pPr>
            <w:r w:rsidRPr="006854AC">
              <w:rPr>
                <w:rFonts w:eastAsiaTheme="minorEastAsia" w:cs="Segoe UI"/>
                <w:sz w:val="17"/>
                <w:szCs w:val="17"/>
              </w:rPr>
              <w:t>(c)</w:t>
            </w:r>
          </w:p>
        </w:tc>
        <w:tc>
          <w:tcPr>
            <w:tcW w:w="8931" w:type="dxa"/>
            <w:tcBorders>
              <w:top w:val="single" w:sz="4" w:space="0" w:color="auto"/>
              <w:bottom w:val="single" w:sz="4" w:space="0" w:color="auto"/>
            </w:tcBorders>
            <w:noWrap/>
            <w:vAlign w:val="center"/>
          </w:tcPr>
          <w:p w14:paraId="46491580" w14:textId="3244AFF9" w:rsidR="00640D20" w:rsidRPr="006854AC" w:rsidRDefault="00DA1457" w:rsidP="005E7C60">
            <w:pPr>
              <w:tabs>
                <w:tab w:val="left" w:pos="509"/>
              </w:tabs>
              <w:spacing w:before="40" w:after="40"/>
              <w:jc w:val="both"/>
              <w:rPr>
                <w:rFonts w:eastAsiaTheme="minorEastAsia" w:cs="Segoe UI"/>
                <w:noProof/>
                <w:sz w:val="17"/>
                <w:lang w:eastAsia="zh-TW"/>
              </w:rPr>
            </w:pPr>
            <w:r w:rsidRPr="006854AC">
              <w:rPr>
                <w:rFonts w:eastAsiaTheme="minorEastAsia" w:cs="Segoe UI"/>
                <w:noProof/>
                <w:sz w:val="17"/>
                <w:lang w:eastAsia="zh-HK"/>
              </w:rPr>
              <w:t>認可機構就加密資產</w:t>
            </w:r>
            <w:r w:rsidR="005F1B6D" w:rsidRPr="006854AC">
              <w:rPr>
                <w:rFonts w:eastAsiaTheme="minorEastAsia" w:cs="Segoe UI" w:hint="eastAsia"/>
                <w:sz w:val="17"/>
                <w:lang w:eastAsia="zh-HK"/>
              </w:rPr>
              <w:t>的</w:t>
            </w:r>
            <w:r w:rsidRPr="006854AC">
              <w:rPr>
                <w:rFonts w:eastAsiaTheme="minorEastAsia" w:cs="Segoe UI" w:hint="eastAsia"/>
                <w:sz w:val="17"/>
                <w:lang w:eastAsia="zh-HK"/>
              </w:rPr>
              <w:t>匯報</w:t>
            </w:r>
            <w:r w:rsidRPr="006854AC">
              <w:rPr>
                <w:rFonts w:eastAsiaTheme="minorEastAsia" w:cs="Segoe UI"/>
                <w:noProof/>
                <w:sz w:val="17"/>
                <w:lang w:eastAsia="zh-HK"/>
              </w:rPr>
              <w:t>範圍及主要內容</w:t>
            </w:r>
            <w:r w:rsidRPr="006854AC">
              <w:rPr>
                <w:rFonts w:eastAsiaTheme="minorEastAsia" w:cs="Segoe UI"/>
                <w:noProof/>
                <w:sz w:val="17"/>
                <w:lang w:eastAsia="zh-TW"/>
              </w:rPr>
              <w:t>，</w:t>
            </w:r>
            <w:r w:rsidRPr="006854AC">
              <w:rPr>
                <w:rFonts w:eastAsiaTheme="minorEastAsia" w:cs="Segoe UI"/>
                <w:noProof/>
                <w:sz w:val="17"/>
                <w:lang w:eastAsia="zh-HK"/>
              </w:rPr>
              <w:t>包括但不限於業務活動如何</w:t>
            </w:r>
            <w:r w:rsidR="00640D20" w:rsidRPr="006854AC">
              <w:rPr>
                <w:rFonts w:eastAsiaTheme="minorEastAsia" w:cs="Segoe UI" w:hint="eastAsia"/>
                <w:noProof/>
                <w:sz w:val="17"/>
                <w:lang w:eastAsia="zh-HK"/>
              </w:rPr>
              <w:t>引致</w:t>
            </w:r>
            <w:r w:rsidR="00640D20" w:rsidRPr="006854AC">
              <w:rPr>
                <w:rFonts w:eastAsiaTheme="minorEastAsia" w:cs="Segoe UI"/>
                <w:noProof/>
                <w:sz w:val="17"/>
                <w:lang w:eastAsia="zh-HK"/>
              </w:rPr>
              <w:t>認可機構</w:t>
            </w:r>
            <w:r w:rsidR="00640D20" w:rsidRPr="006854AC">
              <w:rPr>
                <w:rFonts w:eastAsiaTheme="minorEastAsia" w:cs="Segoe UI" w:hint="eastAsia"/>
                <w:noProof/>
                <w:sz w:val="17"/>
                <w:lang w:eastAsia="zh-HK"/>
              </w:rPr>
              <w:t>的</w:t>
            </w:r>
            <w:r w:rsidR="00640D20" w:rsidRPr="006854AC">
              <w:rPr>
                <w:rFonts w:eastAsiaTheme="minorEastAsia" w:cs="Segoe UI"/>
                <w:noProof/>
                <w:sz w:val="17"/>
                <w:lang w:eastAsia="zh-HK"/>
              </w:rPr>
              <w:t>加密資產風險承擔</w:t>
            </w:r>
            <w:r w:rsidR="00640D20" w:rsidRPr="006854AC">
              <w:rPr>
                <w:rFonts w:eastAsiaTheme="minorEastAsia" w:cs="Segoe UI"/>
                <w:noProof/>
                <w:sz w:val="17"/>
                <w:lang w:eastAsia="zh-TW"/>
              </w:rPr>
              <w:t>（</w:t>
            </w:r>
            <w:r w:rsidR="00640D20" w:rsidRPr="006854AC">
              <w:rPr>
                <w:rFonts w:eastAsiaTheme="minorEastAsia" w:cs="Segoe UI"/>
                <w:noProof/>
                <w:sz w:val="17"/>
                <w:lang w:eastAsia="zh-HK"/>
              </w:rPr>
              <w:t>加密資產審慎</w:t>
            </w:r>
            <w:r w:rsidR="00F151E9" w:rsidRPr="006854AC">
              <w:rPr>
                <w:rFonts w:eastAsiaTheme="minorEastAsia" w:cs="Segoe UI" w:hint="eastAsia"/>
                <w:noProof/>
                <w:sz w:val="17"/>
                <w:lang w:eastAsia="zh-HK"/>
              </w:rPr>
              <w:t>監管</w:t>
            </w:r>
            <w:r w:rsidR="00640D20" w:rsidRPr="006854AC">
              <w:rPr>
                <w:rFonts w:eastAsiaTheme="minorEastAsia" w:cs="Segoe UI"/>
                <w:noProof/>
                <w:sz w:val="17"/>
                <w:lang w:eastAsia="zh-HK"/>
              </w:rPr>
              <w:t>處理方法範圍</w:t>
            </w:r>
            <w:r w:rsidR="00EC3E56" w:rsidRPr="006854AC">
              <w:rPr>
                <w:rFonts w:eastAsiaTheme="minorEastAsia" w:cs="Segoe UI" w:hint="eastAsia"/>
                <w:noProof/>
                <w:sz w:val="17"/>
                <w:lang w:eastAsia="zh-HK"/>
              </w:rPr>
              <w:t>下</w:t>
            </w:r>
            <w:r w:rsidR="00640D20" w:rsidRPr="006854AC">
              <w:rPr>
                <w:rFonts w:eastAsiaTheme="minorEastAsia" w:cs="Segoe UI"/>
                <w:noProof/>
                <w:sz w:val="17"/>
                <w:lang w:eastAsia="zh-HK"/>
              </w:rPr>
              <w:t>涵蓋</w:t>
            </w:r>
            <w:r w:rsidR="00640D20" w:rsidRPr="006854AC">
              <w:rPr>
                <w:rFonts w:eastAsiaTheme="minorEastAsia" w:cs="Segoe UI" w:hint="eastAsia"/>
                <w:noProof/>
                <w:sz w:val="17"/>
                <w:lang w:eastAsia="zh-HK"/>
              </w:rPr>
              <w:t>者</w:t>
            </w:r>
            <w:r w:rsidR="00640D20" w:rsidRPr="006854AC">
              <w:rPr>
                <w:rFonts w:eastAsiaTheme="minorEastAsia" w:cs="Segoe UI"/>
                <w:noProof/>
                <w:sz w:val="17"/>
                <w:lang w:eastAsia="zh-TW"/>
              </w:rPr>
              <w:t>）</w:t>
            </w:r>
            <w:r w:rsidRPr="006854AC">
              <w:rPr>
                <w:rFonts w:eastAsiaTheme="minorEastAsia" w:cs="Segoe UI"/>
                <w:noProof/>
                <w:sz w:val="17"/>
                <w:lang w:eastAsia="zh-HK"/>
              </w:rPr>
              <w:t>及</w:t>
            </w:r>
            <w:r w:rsidRPr="006854AC">
              <w:rPr>
                <w:rFonts w:eastAsiaTheme="minorEastAsia" w:cs="Segoe UI"/>
                <w:noProof/>
                <w:sz w:val="17"/>
                <w:lang w:eastAsia="zh-TW"/>
              </w:rPr>
              <w:t>／</w:t>
            </w:r>
            <w:r w:rsidRPr="006854AC">
              <w:rPr>
                <w:rFonts w:eastAsiaTheme="minorEastAsia" w:cs="Segoe UI"/>
                <w:noProof/>
                <w:sz w:val="17"/>
                <w:lang w:eastAsia="zh-HK"/>
              </w:rPr>
              <w:t>或對特定加密資產的任何重大風險承擔</w:t>
            </w:r>
            <w:r w:rsidRPr="006854AC">
              <w:rPr>
                <w:rFonts w:eastAsiaTheme="minorEastAsia" w:cs="Segoe UI"/>
                <w:noProof/>
                <w:sz w:val="17"/>
                <w:lang w:eastAsia="zh-TW"/>
              </w:rPr>
              <w:t>。</w:t>
            </w:r>
          </w:p>
        </w:tc>
      </w:tr>
      <w:tr w:rsidR="006854AC" w:rsidRPr="006854AC" w14:paraId="6F2A6C37" w14:textId="77777777" w:rsidTr="004F24AE">
        <w:trPr>
          <w:trHeight w:val="318"/>
        </w:trPr>
        <w:tc>
          <w:tcPr>
            <w:tcW w:w="454" w:type="dxa"/>
            <w:tcBorders>
              <w:top w:val="single" w:sz="4" w:space="0" w:color="auto"/>
              <w:bottom w:val="single" w:sz="4" w:space="0" w:color="auto"/>
            </w:tcBorders>
            <w:noWrap/>
          </w:tcPr>
          <w:p w14:paraId="08252562" w14:textId="77777777" w:rsidR="00DA1457" w:rsidRPr="006854AC" w:rsidRDefault="00DA1457" w:rsidP="00DA1457">
            <w:pPr>
              <w:widowControl w:val="0"/>
              <w:spacing w:before="40" w:after="40"/>
              <w:rPr>
                <w:rFonts w:eastAsiaTheme="minorEastAsia" w:cs="Segoe UI"/>
                <w:sz w:val="17"/>
                <w:szCs w:val="17"/>
              </w:rPr>
            </w:pPr>
            <w:r w:rsidRPr="006854AC">
              <w:rPr>
                <w:rFonts w:eastAsiaTheme="minorEastAsia" w:cs="Segoe UI"/>
                <w:sz w:val="17"/>
                <w:szCs w:val="17"/>
              </w:rPr>
              <w:t>(d)</w:t>
            </w:r>
          </w:p>
        </w:tc>
        <w:tc>
          <w:tcPr>
            <w:tcW w:w="8931" w:type="dxa"/>
            <w:tcBorders>
              <w:top w:val="single" w:sz="4" w:space="0" w:color="auto"/>
              <w:bottom w:val="single" w:sz="4" w:space="0" w:color="auto"/>
            </w:tcBorders>
            <w:noWrap/>
            <w:vAlign w:val="center"/>
          </w:tcPr>
          <w:p w14:paraId="1417C698" w14:textId="294208CF" w:rsidR="00DA1457" w:rsidRPr="006854AC" w:rsidRDefault="00DA1457" w:rsidP="00414C6F">
            <w:pPr>
              <w:tabs>
                <w:tab w:val="left" w:pos="509"/>
              </w:tabs>
              <w:spacing w:before="40" w:after="40"/>
              <w:jc w:val="both"/>
              <w:rPr>
                <w:rFonts w:eastAsiaTheme="minorEastAsia" w:cs="Segoe UI"/>
                <w:noProof/>
                <w:sz w:val="17"/>
                <w:lang w:eastAsia="zh-TW"/>
              </w:rPr>
            </w:pPr>
            <w:r w:rsidRPr="006854AC">
              <w:rPr>
                <w:rFonts w:eastAsiaTheme="minorEastAsia" w:cs="Segoe UI"/>
                <w:noProof/>
                <w:sz w:val="17"/>
                <w:lang w:eastAsia="zh-HK"/>
              </w:rPr>
              <w:t>與認可機構</w:t>
            </w:r>
            <w:r w:rsidR="00A15446" w:rsidRPr="006854AC">
              <w:rPr>
                <w:rFonts w:eastAsiaTheme="minorEastAsia" w:cs="Segoe UI" w:hint="eastAsia"/>
                <w:noProof/>
                <w:sz w:val="17"/>
                <w:lang w:eastAsia="zh-HK"/>
              </w:rPr>
              <w:t>關於</w:t>
            </w:r>
            <w:r w:rsidRPr="006854AC">
              <w:rPr>
                <w:rFonts w:eastAsiaTheme="minorEastAsia" w:cs="Segoe UI"/>
                <w:noProof/>
                <w:sz w:val="17"/>
                <w:lang w:eastAsia="zh-HK"/>
              </w:rPr>
              <w:t>加密資產</w:t>
            </w:r>
            <w:r w:rsidR="00A15446" w:rsidRPr="006854AC">
              <w:rPr>
                <w:rFonts w:eastAsiaTheme="minorEastAsia" w:cs="Segoe UI" w:hint="eastAsia"/>
                <w:noProof/>
                <w:sz w:val="17"/>
                <w:lang w:eastAsia="zh-HK"/>
              </w:rPr>
              <w:t>的</w:t>
            </w:r>
            <w:r w:rsidRPr="006854AC">
              <w:rPr>
                <w:rFonts w:eastAsiaTheme="minorEastAsia" w:cs="Segoe UI"/>
                <w:noProof/>
                <w:sz w:val="17"/>
                <w:lang w:eastAsia="zh-HK"/>
              </w:rPr>
              <w:t>活動及其加密資產風險承擔</w:t>
            </w:r>
            <w:r w:rsidR="00DA0FC0" w:rsidRPr="006854AC">
              <w:rPr>
                <w:rFonts w:eastAsiaTheme="minorEastAsia" w:cs="Segoe UI" w:hint="eastAsia"/>
                <w:noProof/>
                <w:sz w:val="17"/>
                <w:lang w:eastAsia="zh-HK"/>
              </w:rPr>
              <w:t>相</w:t>
            </w:r>
            <w:r w:rsidRPr="006854AC">
              <w:rPr>
                <w:rFonts w:eastAsiaTheme="minorEastAsia" w:cs="Segoe UI"/>
                <w:noProof/>
                <w:sz w:val="17"/>
                <w:lang w:eastAsia="zh-HK"/>
              </w:rPr>
              <w:t>關的最重大</w:t>
            </w:r>
            <w:r w:rsidR="00DA0A17" w:rsidRPr="006854AC">
              <w:rPr>
                <w:rFonts w:eastAsiaTheme="minorEastAsia" w:cs="Segoe UI"/>
                <w:noProof/>
                <w:sz w:val="17"/>
                <w:lang w:eastAsia="zh-HK"/>
              </w:rPr>
              <w:t>現行</w:t>
            </w:r>
            <w:r w:rsidRPr="006854AC">
              <w:rPr>
                <w:rFonts w:eastAsiaTheme="minorEastAsia" w:cs="Segoe UI"/>
                <w:noProof/>
                <w:sz w:val="17"/>
                <w:lang w:eastAsia="zh-HK"/>
              </w:rPr>
              <w:t>風險</w:t>
            </w:r>
            <w:r w:rsidR="005C3324" w:rsidRPr="006854AC">
              <w:rPr>
                <w:rFonts w:eastAsiaTheme="minorEastAsia" w:cs="Segoe UI" w:hint="eastAsia"/>
                <w:noProof/>
                <w:sz w:val="17"/>
                <w:lang w:eastAsia="zh-TW"/>
              </w:rPr>
              <w:t>（</w:t>
            </w:r>
            <w:r w:rsidR="005C3324" w:rsidRPr="006854AC">
              <w:rPr>
                <w:rFonts w:eastAsiaTheme="minorEastAsia" w:cs="Segoe UI" w:hint="eastAsia"/>
                <w:noProof/>
                <w:sz w:val="17"/>
                <w:lang w:eastAsia="zh-HK"/>
              </w:rPr>
              <w:t>可多於一種風</w:t>
            </w:r>
            <w:r w:rsidR="005C3324" w:rsidRPr="006854AC">
              <w:rPr>
                <w:rFonts w:eastAsiaTheme="minorEastAsia" w:cs="Segoe UI" w:hint="eastAsia"/>
                <w:noProof/>
                <w:sz w:val="17"/>
                <w:lang w:eastAsia="zh-TW"/>
              </w:rPr>
              <w:t>險）</w:t>
            </w:r>
            <w:r w:rsidRPr="006854AC">
              <w:rPr>
                <w:rFonts w:eastAsiaTheme="minorEastAsia" w:cs="Segoe UI"/>
                <w:noProof/>
                <w:sz w:val="17"/>
                <w:lang w:eastAsia="zh-TW"/>
              </w:rPr>
              <w:t>，</w:t>
            </w:r>
            <w:r w:rsidRPr="006854AC">
              <w:rPr>
                <w:rFonts w:eastAsiaTheme="minorEastAsia" w:cs="Segoe UI"/>
                <w:noProof/>
                <w:sz w:val="17"/>
                <w:lang w:eastAsia="zh-HK"/>
              </w:rPr>
              <w:t>以及如何管理該</w:t>
            </w:r>
            <w:r w:rsidR="00DA0A17" w:rsidRPr="006854AC">
              <w:rPr>
                <w:rFonts w:eastAsiaTheme="minorEastAsia" w:cs="Segoe UI"/>
                <w:noProof/>
                <w:sz w:val="17"/>
                <w:lang w:eastAsia="zh-HK"/>
              </w:rPr>
              <w:t>現行</w:t>
            </w:r>
            <w:r w:rsidRPr="006854AC">
              <w:rPr>
                <w:rFonts w:eastAsiaTheme="minorEastAsia" w:cs="Segoe UI"/>
                <w:noProof/>
                <w:sz w:val="17"/>
                <w:lang w:eastAsia="zh-HK"/>
              </w:rPr>
              <w:t>風險</w:t>
            </w:r>
            <w:r w:rsidRPr="006854AC">
              <w:rPr>
                <w:rFonts w:eastAsiaTheme="minorEastAsia" w:cs="Segoe UI"/>
                <w:noProof/>
                <w:sz w:val="17"/>
                <w:lang w:eastAsia="zh-TW"/>
              </w:rPr>
              <w:t>。</w:t>
            </w:r>
          </w:p>
        </w:tc>
      </w:tr>
      <w:tr w:rsidR="006854AC" w:rsidRPr="006854AC" w14:paraId="6187F07A" w14:textId="77777777" w:rsidTr="004F24AE">
        <w:trPr>
          <w:trHeight w:val="318"/>
        </w:trPr>
        <w:tc>
          <w:tcPr>
            <w:tcW w:w="454" w:type="dxa"/>
            <w:tcBorders>
              <w:top w:val="single" w:sz="4" w:space="0" w:color="auto"/>
              <w:bottom w:val="single" w:sz="4" w:space="0" w:color="auto"/>
            </w:tcBorders>
            <w:noWrap/>
          </w:tcPr>
          <w:p w14:paraId="49866042" w14:textId="77777777" w:rsidR="00DA1457" w:rsidRPr="006854AC" w:rsidRDefault="00DA1457" w:rsidP="00DA1457">
            <w:pPr>
              <w:widowControl w:val="0"/>
              <w:spacing w:before="40" w:after="40"/>
              <w:rPr>
                <w:rFonts w:eastAsiaTheme="minorEastAsia" w:cs="Segoe UI"/>
                <w:sz w:val="17"/>
                <w:szCs w:val="17"/>
              </w:rPr>
            </w:pPr>
            <w:r w:rsidRPr="006854AC">
              <w:rPr>
                <w:rFonts w:eastAsiaTheme="minorEastAsia" w:cs="Segoe UI"/>
                <w:sz w:val="17"/>
                <w:szCs w:val="17"/>
              </w:rPr>
              <w:t>(e)</w:t>
            </w:r>
          </w:p>
        </w:tc>
        <w:tc>
          <w:tcPr>
            <w:tcW w:w="8931" w:type="dxa"/>
            <w:tcBorders>
              <w:top w:val="single" w:sz="4" w:space="0" w:color="auto"/>
              <w:bottom w:val="single" w:sz="4" w:space="0" w:color="auto"/>
            </w:tcBorders>
            <w:noWrap/>
            <w:vAlign w:val="center"/>
          </w:tcPr>
          <w:p w14:paraId="43279B91" w14:textId="785366B7" w:rsidR="00DA1457" w:rsidRPr="006854AC" w:rsidRDefault="00DA1457" w:rsidP="00414C6F">
            <w:pPr>
              <w:tabs>
                <w:tab w:val="left" w:pos="509"/>
              </w:tabs>
              <w:spacing w:before="40" w:after="40"/>
              <w:jc w:val="both"/>
              <w:rPr>
                <w:rFonts w:eastAsiaTheme="minorEastAsia" w:cs="Segoe UI"/>
                <w:noProof/>
                <w:sz w:val="17"/>
                <w:lang w:eastAsia="zh-TW"/>
              </w:rPr>
            </w:pPr>
            <w:r w:rsidRPr="006854AC">
              <w:rPr>
                <w:rFonts w:eastAsiaTheme="minorEastAsia" w:cs="Segoe UI"/>
                <w:noProof/>
                <w:sz w:val="17"/>
                <w:lang w:eastAsia="zh-HK"/>
              </w:rPr>
              <w:t>與認可機構</w:t>
            </w:r>
            <w:r w:rsidR="00A15446" w:rsidRPr="006854AC">
              <w:rPr>
                <w:rFonts w:eastAsiaTheme="minorEastAsia" w:cs="Segoe UI" w:hint="eastAsia"/>
                <w:noProof/>
                <w:sz w:val="17"/>
                <w:lang w:eastAsia="zh-HK"/>
              </w:rPr>
              <w:t>關於</w:t>
            </w:r>
            <w:r w:rsidRPr="006854AC">
              <w:rPr>
                <w:rFonts w:eastAsiaTheme="minorEastAsia" w:cs="Segoe UI"/>
                <w:noProof/>
                <w:sz w:val="17"/>
                <w:lang w:eastAsia="zh-HK"/>
              </w:rPr>
              <w:t>加密資產</w:t>
            </w:r>
            <w:r w:rsidR="00A15446" w:rsidRPr="006854AC">
              <w:rPr>
                <w:rFonts w:eastAsiaTheme="minorEastAsia" w:cs="Segoe UI" w:hint="eastAsia"/>
                <w:noProof/>
                <w:sz w:val="17"/>
                <w:lang w:eastAsia="zh-HK"/>
              </w:rPr>
              <w:t>的</w:t>
            </w:r>
            <w:r w:rsidRPr="006854AC">
              <w:rPr>
                <w:rFonts w:eastAsiaTheme="minorEastAsia" w:cs="Segoe UI"/>
                <w:noProof/>
                <w:sz w:val="17"/>
                <w:lang w:eastAsia="zh-HK"/>
              </w:rPr>
              <w:t>活動及其加密資產風險承擔</w:t>
            </w:r>
            <w:r w:rsidR="004D3E49" w:rsidRPr="006854AC">
              <w:rPr>
                <w:rFonts w:eastAsiaTheme="minorEastAsia" w:cs="Segoe UI" w:hint="eastAsia"/>
                <w:noProof/>
                <w:sz w:val="17"/>
                <w:lang w:eastAsia="zh-HK"/>
              </w:rPr>
              <w:t>相</w:t>
            </w:r>
            <w:r w:rsidRPr="006854AC">
              <w:rPr>
                <w:rFonts w:eastAsiaTheme="minorEastAsia" w:cs="Segoe UI"/>
                <w:noProof/>
                <w:sz w:val="17"/>
                <w:lang w:eastAsia="zh-HK"/>
              </w:rPr>
              <w:t>關的最重大</w:t>
            </w:r>
            <w:r w:rsidR="00790046" w:rsidRPr="006854AC">
              <w:rPr>
                <w:rFonts w:eastAsiaTheme="minorEastAsia" w:cs="Segoe UI" w:hint="eastAsia"/>
                <w:sz w:val="17"/>
                <w:lang w:eastAsia="zh-HK"/>
              </w:rPr>
              <w:t>新興</w:t>
            </w:r>
            <w:r w:rsidRPr="006854AC">
              <w:rPr>
                <w:rFonts w:eastAsiaTheme="minorEastAsia" w:cs="Segoe UI" w:hint="eastAsia"/>
                <w:sz w:val="17"/>
                <w:lang w:eastAsia="zh-HK"/>
              </w:rPr>
              <w:t>風險</w:t>
            </w:r>
            <w:r w:rsidR="00E42D27" w:rsidRPr="006854AC">
              <w:rPr>
                <w:rFonts w:eastAsiaTheme="minorEastAsia" w:cs="Segoe UI" w:hint="eastAsia"/>
                <w:sz w:val="17"/>
                <w:lang w:eastAsia="zh-TW"/>
              </w:rPr>
              <w:t>（</w:t>
            </w:r>
            <w:r w:rsidR="00E42D27" w:rsidRPr="006854AC">
              <w:rPr>
                <w:rFonts w:eastAsiaTheme="minorEastAsia" w:cs="Segoe UI" w:hint="eastAsia"/>
                <w:noProof/>
                <w:sz w:val="17"/>
                <w:lang w:eastAsia="zh-HK"/>
              </w:rPr>
              <w:t>可多於一種風</w:t>
            </w:r>
            <w:r w:rsidR="00E42D27" w:rsidRPr="006854AC">
              <w:rPr>
                <w:rFonts w:eastAsiaTheme="minorEastAsia" w:cs="Segoe UI" w:hint="eastAsia"/>
                <w:noProof/>
                <w:sz w:val="17"/>
                <w:lang w:eastAsia="zh-TW"/>
              </w:rPr>
              <w:t>險）</w:t>
            </w:r>
            <w:r w:rsidRPr="006854AC">
              <w:rPr>
                <w:rFonts w:eastAsiaTheme="minorEastAsia" w:cs="Segoe UI"/>
                <w:noProof/>
                <w:sz w:val="17"/>
                <w:lang w:eastAsia="zh-TW"/>
              </w:rPr>
              <w:t>，</w:t>
            </w:r>
            <w:r w:rsidRPr="006854AC">
              <w:rPr>
                <w:rFonts w:eastAsiaTheme="minorEastAsia" w:cs="Segoe UI"/>
                <w:noProof/>
                <w:sz w:val="17"/>
                <w:lang w:eastAsia="zh-HK"/>
              </w:rPr>
              <w:t>以及如何管理該</w:t>
            </w:r>
            <w:r w:rsidRPr="006854AC">
              <w:rPr>
                <w:rFonts w:eastAsiaTheme="minorEastAsia" w:cs="Segoe UI" w:hint="eastAsia"/>
                <w:sz w:val="17"/>
                <w:lang w:eastAsia="zh-HK"/>
              </w:rPr>
              <w:t>新</w:t>
            </w:r>
            <w:r w:rsidR="00790046" w:rsidRPr="006854AC">
              <w:rPr>
                <w:rFonts w:eastAsiaTheme="minorEastAsia" w:cs="Segoe UI" w:hint="eastAsia"/>
                <w:sz w:val="17"/>
                <w:lang w:eastAsia="zh-HK"/>
              </w:rPr>
              <w:t>興</w:t>
            </w:r>
            <w:r w:rsidRPr="006854AC">
              <w:rPr>
                <w:rFonts w:eastAsiaTheme="minorEastAsia" w:cs="Segoe UI" w:hint="eastAsia"/>
                <w:sz w:val="17"/>
                <w:lang w:eastAsia="zh-HK"/>
              </w:rPr>
              <w:t>風險</w:t>
            </w:r>
            <w:r w:rsidRPr="006854AC">
              <w:rPr>
                <w:rFonts w:eastAsiaTheme="minorEastAsia" w:cs="Segoe UI"/>
                <w:noProof/>
                <w:sz w:val="17"/>
                <w:lang w:eastAsia="zh-TW"/>
              </w:rPr>
              <w:t>。</w:t>
            </w:r>
          </w:p>
        </w:tc>
      </w:tr>
      <w:tr w:rsidR="006854AC" w:rsidRPr="006854AC" w14:paraId="6669EF5A" w14:textId="77777777" w:rsidTr="004F24AE">
        <w:trPr>
          <w:trHeight w:val="318"/>
        </w:trPr>
        <w:tc>
          <w:tcPr>
            <w:tcW w:w="454" w:type="dxa"/>
            <w:tcBorders>
              <w:top w:val="single" w:sz="4" w:space="0" w:color="auto"/>
              <w:bottom w:val="single" w:sz="4" w:space="0" w:color="auto"/>
            </w:tcBorders>
            <w:noWrap/>
          </w:tcPr>
          <w:p w14:paraId="37215A41" w14:textId="77777777" w:rsidR="00DA1457" w:rsidRPr="006854AC" w:rsidRDefault="00DA1457" w:rsidP="00DA1457">
            <w:pPr>
              <w:widowControl w:val="0"/>
              <w:spacing w:before="40" w:after="40"/>
              <w:rPr>
                <w:rFonts w:eastAsiaTheme="minorEastAsia" w:cs="Segoe UI"/>
                <w:sz w:val="17"/>
                <w:szCs w:val="17"/>
              </w:rPr>
            </w:pPr>
            <w:r w:rsidRPr="006854AC">
              <w:rPr>
                <w:rFonts w:eastAsiaTheme="minorEastAsia" w:cs="Segoe UI"/>
                <w:sz w:val="17"/>
                <w:szCs w:val="17"/>
              </w:rPr>
              <w:t>(f)</w:t>
            </w:r>
          </w:p>
        </w:tc>
        <w:tc>
          <w:tcPr>
            <w:tcW w:w="8931" w:type="dxa"/>
            <w:tcBorders>
              <w:top w:val="single" w:sz="4" w:space="0" w:color="auto"/>
              <w:bottom w:val="single" w:sz="4" w:space="0" w:color="auto"/>
            </w:tcBorders>
            <w:noWrap/>
            <w:vAlign w:val="center"/>
          </w:tcPr>
          <w:p w14:paraId="1590329A" w14:textId="527DFC99" w:rsidR="00DA1457" w:rsidRPr="006854AC" w:rsidRDefault="00DA1457" w:rsidP="00DA1457">
            <w:pPr>
              <w:tabs>
                <w:tab w:val="left" w:pos="509"/>
              </w:tabs>
              <w:spacing w:before="40" w:after="40"/>
              <w:jc w:val="both"/>
              <w:rPr>
                <w:rFonts w:eastAsiaTheme="minorEastAsia" w:cs="Segoe UI"/>
                <w:noProof/>
                <w:sz w:val="17"/>
                <w:lang w:eastAsia="zh-TW"/>
              </w:rPr>
            </w:pPr>
            <w:r w:rsidRPr="006854AC">
              <w:rPr>
                <w:rFonts w:eastAsiaTheme="minorEastAsia" w:cs="Segoe UI"/>
                <w:noProof/>
                <w:sz w:val="17"/>
                <w:lang w:eastAsia="zh-HK"/>
              </w:rPr>
              <w:t>就對第</w:t>
            </w:r>
            <w:r w:rsidRPr="006854AC">
              <w:rPr>
                <w:rFonts w:eastAsiaTheme="minorEastAsia" w:cs="Segoe UI"/>
                <w:noProof/>
                <w:sz w:val="17"/>
                <w:lang w:eastAsia="zh-TW"/>
              </w:rPr>
              <w:t>1</w:t>
            </w:r>
            <w:r w:rsidRPr="006854AC">
              <w:rPr>
                <w:rFonts w:eastAsiaTheme="minorEastAsia" w:cs="Segoe UI"/>
                <w:noProof/>
                <w:sz w:val="17"/>
                <w:lang w:eastAsia="zh-HK"/>
              </w:rPr>
              <w:t>組加密資產的風險承擔而言，認可機構</w:t>
            </w:r>
            <w:r w:rsidR="002F4D57" w:rsidRPr="006854AC">
              <w:rPr>
                <w:rFonts w:eastAsiaTheme="minorEastAsia" w:cs="Segoe UI" w:hint="eastAsia"/>
                <w:noProof/>
                <w:sz w:val="17"/>
                <w:lang w:eastAsia="zh-HK"/>
              </w:rPr>
              <w:t>為</w:t>
            </w:r>
            <w:r w:rsidRPr="006854AC">
              <w:rPr>
                <w:rFonts w:eastAsiaTheme="minorEastAsia" w:cs="Segoe UI"/>
                <w:noProof/>
                <w:sz w:val="17"/>
                <w:lang w:eastAsia="zh-HK"/>
              </w:rPr>
              <w:t>評估《資本規則》第</w:t>
            </w:r>
            <w:r w:rsidRPr="006854AC">
              <w:rPr>
                <w:rFonts w:eastAsiaTheme="minorEastAsia" w:cs="Segoe UI"/>
                <w:noProof/>
                <w:sz w:val="17"/>
                <w:lang w:eastAsia="zh-TW"/>
              </w:rPr>
              <w:t>361(2)</w:t>
            </w:r>
            <w:r w:rsidRPr="006854AC">
              <w:rPr>
                <w:rFonts w:eastAsiaTheme="minorEastAsia" w:cs="Segoe UI"/>
                <w:noProof/>
                <w:sz w:val="17"/>
                <w:lang w:eastAsia="zh-HK"/>
              </w:rPr>
              <w:t>或</w:t>
            </w:r>
            <w:r w:rsidRPr="006854AC">
              <w:rPr>
                <w:rFonts w:eastAsiaTheme="minorEastAsia" w:cs="Segoe UI"/>
                <w:noProof/>
                <w:sz w:val="17"/>
                <w:lang w:eastAsia="zh-TW"/>
              </w:rPr>
              <w:t>(3)</w:t>
            </w:r>
            <w:r w:rsidRPr="006854AC">
              <w:rPr>
                <w:rFonts w:eastAsiaTheme="minorEastAsia" w:cs="Segoe UI"/>
                <w:noProof/>
                <w:sz w:val="17"/>
                <w:lang w:eastAsia="zh-HK"/>
              </w:rPr>
              <w:t>條</w:t>
            </w:r>
            <w:r w:rsidR="002F4D57" w:rsidRPr="006854AC">
              <w:rPr>
                <w:rFonts w:eastAsiaTheme="minorEastAsia" w:cs="Segoe UI" w:hint="eastAsia"/>
                <w:noProof/>
                <w:sz w:val="17"/>
                <w:lang w:eastAsia="zh-HK"/>
              </w:rPr>
              <w:t>所訂</w:t>
            </w:r>
            <w:r w:rsidRPr="006854AC">
              <w:rPr>
                <w:rFonts w:eastAsiaTheme="minorEastAsia" w:cs="Segoe UI"/>
                <w:noProof/>
                <w:sz w:val="17"/>
                <w:lang w:eastAsia="zh-HK"/>
              </w:rPr>
              <w:t>的</w:t>
            </w:r>
            <w:r w:rsidR="00A73A9D" w:rsidRPr="006854AC">
              <w:rPr>
                <w:rFonts w:eastAsiaTheme="minorEastAsia" w:cs="Segoe UI"/>
                <w:noProof/>
                <w:sz w:val="17"/>
                <w:lang w:eastAsia="zh-HK"/>
              </w:rPr>
              <w:t>每項下述</w:t>
            </w:r>
            <w:r w:rsidRPr="006854AC">
              <w:rPr>
                <w:rFonts w:eastAsiaTheme="minorEastAsia" w:cs="Segoe UI"/>
                <w:noProof/>
                <w:sz w:val="17"/>
                <w:lang w:eastAsia="zh-HK"/>
              </w:rPr>
              <w:t>分類條件</w:t>
            </w:r>
            <w:r w:rsidR="00A73A9D" w:rsidRPr="006854AC">
              <w:rPr>
                <w:rFonts w:eastAsiaTheme="minorEastAsia" w:cs="Segoe UI" w:hint="eastAsia"/>
                <w:noProof/>
                <w:sz w:val="17"/>
                <w:lang w:eastAsia="zh-HK"/>
              </w:rPr>
              <w:t>時採用</w:t>
            </w:r>
            <w:r w:rsidRPr="006854AC">
              <w:rPr>
                <w:rFonts w:eastAsiaTheme="minorEastAsia" w:cs="Segoe UI"/>
                <w:noProof/>
                <w:sz w:val="17"/>
                <w:lang w:eastAsia="zh-HK"/>
              </w:rPr>
              <w:t>的方法</w:t>
            </w:r>
            <w:r w:rsidRPr="006854AC">
              <w:rPr>
                <w:rFonts w:eastAsiaTheme="minorEastAsia" w:cs="Segoe UI"/>
                <w:noProof/>
                <w:sz w:val="17"/>
                <w:lang w:eastAsia="zh-TW"/>
              </w:rPr>
              <w:t>，</w:t>
            </w:r>
            <w:r w:rsidRPr="006854AC">
              <w:rPr>
                <w:rFonts w:eastAsiaTheme="minorEastAsia" w:cs="Segoe UI"/>
                <w:noProof/>
                <w:sz w:val="17"/>
                <w:lang w:eastAsia="zh-HK"/>
              </w:rPr>
              <w:t>包括所</w:t>
            </w:r>
            <w:r w:rsidR="000A0193" w:rsidRPr="006854AC">
              <w:rPr>
                <w:rFonts w:eastAsiaTheme="minorEastAsia" w:cs="Segoe UI" w:hint="eastAsia"/>
                <w:noProof/>
                <w:sz w:val="17"/>
                <w:lang w:eastAsia="zh-HK"/>
              </w:rPr>
              <w:t>使</w:t>
            </w:r>
            <w:r w:rsidRPr="006854AC">
              <w:rPr>
                <w:rFonts w:eastAsiaTheme="minorEastAsia" w:cs="Segoe UI"/>
                <w:noProof/>
                <w:sz w:val="17"/>
                <w:lang w:eastAsia="zh-HK"/>
              </w:rPr>
              <w:t>用的任何公開資料</w:t>
            </w:r>
            <w:r w:rsidRPr="006854AC">
              <w:rPr>
                <w:rFonts w:eastAsiaTheme="minorEastAsia" w:cs="Segoe UI"/>
                <w:noProof/>
                <w:sz w:val="17"/>
                <w:lang w:eastAsia="zh-TW"/>
              </w:rPr>
              <w:t>，</w:t>
            </w:r>
            <w:r w:rsidRPr="006854AC">
              <w:rPr>
                <w:rFonts w:eastAsiaTheme="minorEastAsia" w:cs="Segoe UI"/>
                <w:noProof/>
                <w:sz w:val="17"/>
                <w:lang w:eastAsia="zh-HK"/>
              </w:rPr>
              <w:t>但不包括任何</w:t>
            </w:r>
            <w:r w:rsidR="00DA0A17" w:rsidRPr="006854AC">
              <w:rPr>
                <w:rFonts w:eastAsiaTheme="minorEastAsia" w:cs="Segoe UI"/>
                <w:noProof/>
                <w:sz w:val="17"/>
                <w:lang w:eastAsia="zh-HK"/>
              </w:rPr>
              <w:t>機</w:t>
            </w:r>
            <w:r w:rsidRPr="006854AC">
              <w:rPr>
                <w:rFonts w:eastAsiaTheme="minorEastAsia" w:cs="Segoe UI"/>
                <w:noProof/>
                <w:sz w:val="17"/>
                <w:lang w:eastAsia="zh-HK"/>
              </w:rPr>
              <w:t>密及專有資料</w:t>
            </w:r>
            <w:r w:rsidRPr="006854AC">
              <w:rPr>
                <w:rFonts w:eastAsiaTheme="minorEastAsia" w:cs="Segoe UI"/>
                <w:noProof/>
                <w:sz w:val="17"/>
                <w:lang w:eastAsia="zh-TW"/>
              </w:rPr>
              <w:t>：</w:t>
            </w:r>
          </w:p>
          <w:p w14:paraId="57F20041" w14:textId="75D35C58" w:rsidR="00DA1457" w:rsidRPr="006854AC" w:rsidRDefault="003F797B" w:rsidP="00DA1457">
            <w:pPr>
              <w:tabs>
                <w:tab w:val="left" w:pos="509"/>
              </w:tabs>
              <w:spacing w:before="40" w:after="40"/>
              <w:jc w:val="both"/>
              <w:rPr>
                <w:rFonts w:eastAsiaTheme="minorEastAsia" w:cs="Segoe UI"/>
                <w:noProof/>
                <w:sz w:val="17"/>
                <w:lang w:eastAsia="en-GB"/>
              </w:rPr>
            </w:pPr>
            <w:r w:rsidRPr="006854AC">
              <w:rPr>
                <w:rFonts w:eastAsiaTheme="minorEastAsia" w:cs="Segoe UI" w:hint="eastAsia"/>
                <w:noProof/>
                <w:sz w:val="17"/>
                <w:lang w:eastAsia="zh-TW"/>
              </w:rPr>
              <w:t>(</w:t>
            </w:r>
            <w:r w:rsidR="00DA1457" w:rsidRPr="006854AC">
              <w:rPr>
                <w:rFonts w:eastAsiaTheme="minorEastAsia" w:cs="Segoe UI"/>
                <w:noProof/>
                <w:sz w:val="17"/>
                <w:lang w:eastAsia="en-GB"/>
              </w:rPr>
              <w:t>i)</w:t>
            </w:r>
            <w:r w:rsidR="00DA1457" w:rsidRPr="006854AC">
              <w:rPr>
                <w:rFonts w:eastAsiaTheme="minorEastAsia" w:cs="Segoe UI"/>
                <w:noProof/>
                <w:sz w:val="17"/>
                <w:lang w:eastAsia="en-GB"/>
              </w:rPr>
              <w:tab/>
            </w:r>
            <w:r w:rsidR="00DA1457" w:rsidRPr="006854AC">
              <w:rPr>
                <w:rFonts w:eastAsiaTheme="minorEastAsia" w:cs="Segoe UI"/>
                <w:noProof/>
                <w:sz w:val="17"/>
                <w:lang w:eastAsia="zh-HK"/>
              </w:rPr>
              <w:t>分類條件</w:t>
            </w:r>
            <w:r w:rsidR="00DA1457" w:rsidRPr="006854AC">
              <w:rPr>
                <w:rFonts w:eastAsiaTheme="minorEastAsia" w:cs="Segoe UI"/>
                <w:noProof/>
                <w:sz w:val="17"/>
                <w:lang w:eastAsia="en-GB"/>
              </w:rPr>
              <w:t>1</w:t>
            </w:r>
            <w:r w:rsidR="00DA1457" w:rsidRPr="006854AC">
              <w:rPr>
                <w:rFonts w:eastAsiaTheme="minorEastAsia" w:cs="Segoe UI"/>
                <w:noProof/>
                <w:sz w:val="17"/>
                <w:lang w:eastAsia="zh-TW"/>
              </w:rPr>
              <w:t>：</w:t>
            </w:r>
            <w:r w:rsidR="00DA1457" w:rsidRPr="006854AC">
              <w:rPr>
                <w:rFonts w:eastAsiaTheme="minorEastAsia" w:cs="Segoe UI"/>
                <w:noProof/>
                <w:sz w:val="17"/>
                <w:lang w:eastAsia="zh-HK"/>
              </w:rPr>
              <w:t>第</w:t>
            </w:r>
            <w:r w:rsidR="00DA1457" w:rsidRPr="006854AC">
              <w:rPr>
                <w:rFonts w:eastAsiaTheme="minorEastAsia" w:cs="Segoe UI"/>
                <w:noProof/>
                <w:sz w:val="17"/>
                <w:lang w:eastAsia="en-GB"/>
              </w:rPr>
              <w:t>361(2)(a)</w:t>
            </w:r>
            <w:r w:rsidR="00DA1457" w:rsidRPr="006854AC">
              <w:rPr>
                <w:rFonts w:eastAsiaTheme="minorEastAsia" w:cs="Segoe UI"/>
                <w:noProof/>
                <w:sz w:val="17"/>
                <w:lang w:eastAsia="zh-HK"/>
              </w:rPr>
              <w:t>或</w:t>
            </w:r>
            <w:r w:rsidR="00DA1457" w:rsidRPr="006854AC">
              <w:rPr>
                <w:rFonts w:eastAsiaTheme="minorEastAsia" w:cs="Segoe UI"/>
                <w:noProof/>
                <w:sz w:val="17"/>
                <w:lang w:eastAsia="en-GB"/>
              </w:rPr>
              <w:t>(3)(a)</w:t>
            </w:r>
            <w:r w:rsidR="00DA1457" w:rsidRPr="006854AC">
              <w:rPr>
                <w:rFonts w:eastAsiaTheme="minorEastAsia" w:cs="Segoe UI"/>
                <w:noProof/>
                <w:sz w:val="17"/>
                <w:lang w:eastAsia="zh-HK"/>
              </w:rPr>
              <w:t>條</w:t>
            </w:r>
            <w:r w:rsidR="00DA1457" w:rsidRPr="006854AC">
              <w:rPr>
                <w:rFonts w:eastAsiaTheme="minorEastAsia" w:cs="Segoe UI"/>
                <w:noProof/>
                <w:sz w:val="17"/>
                <w:lang w:eastAsia="zh-TW"/>
              </w:rPr>
              <w:t>，</w:t>
            </w:r>
            <w:r w:rsidR="00DA1457" w:rsidRPr="006854AC">
              <w:rPr>
                <w:rFonts w:eastAsiaTheme="minorEastAsia" w:cs="Segoe UI"/>
                <w:noProof/>
                <w:sz w:val="17"/>
                <w:lang w:eastAsia="zh-HK"/>
              </w:rPr>
              <w:t>視情況所需而定</w:t>
            </w:r>
            <w:r w:rsidR="00DA1457" w:rsidRPr="006854AC" w:rsidDel="00BF03A2">
              <w:rPr>
                <w:rFonts w:eastAsiaTheme="minorEastAsia" w:cs="Segoe UI"/>
                <w:noProof/>
                <w:sz w:val="17"/>
                <w:lang w:eastAsia="en-GB"/>
              </w:rPr>
              <w:t xml:space="preserve"> </w:t>
            </w:r>
          </w:p>
          <w:p w14:paraId="7A00B44C" w14:textId="244DC3B1" w:rsidR="00DA1457" w:rsidRPr="006854AC" w:rsidRDefault="003F797B" w:rsidP="00DA1457">
            <w:pPr>
              <w:tabs>
                <w:tab w:val="left" w:pos="509"/>
              </w:tabs>
              <w:spacing w:before="40" w:after="40"/>
              <w:jc w:val="both"/>
              <w:rPr>
                <w:rFonts w:eastAsiaTheme="minorEastAsia" w:cs="Segoe UI"/>
                <w:noProof/>
                <w:sz w:val="17"/>
                <w:lang w:eastAsia="zh-TW"/>
              </w:rPr>
            </w:pPr>
            <w:r w:rsidRPr="006854AC">
              <w:rPr>
                <w:rFonts w:eastAsiaTheme="minorEastAsia" w:cs="Segoe UI" w:hint="eastAsia"/>
                <w:noProof/>
                <w:sz w:val="17"/>
                <w:lang w:eastAsia="zh-TW"/>
              </w:rPr>
              <w:t>(</w:t>
            </w:r>
            <w:r w:rsidR="00DA1457" w:rsidRPr="006854AC">
              <w:rPr>
                <w:rFonts w:eastAsiaTheme="minorEastAsia" w:cs="Segoe UI"/>
                <w:noProof/>
                <w:sz w:val="17"/>
                <w:lang w:eastAsia="en-GB"/>
              </w:rPr>
              <w:t>ii)</w:t>
            </w:r>
            <w:r w:rsidR="00DA1457" w:rsidRPr="006854AC">
              <w:rPr>
                <w:rFonts w:eastAsiaTheme="minorEastAsia" w:cs="Segoe UI"/>
                <w:noProof/>
                <w:sz w:val="17"/>
                <w:lang w:eastAsia="en-GB"/>
              </w:rPr>
              <w:tab/>
            </w:r>
            <w:r w:rsidR="00DA1457" w:rsidRPr="006854AC">
              <w:rPr>
                <w:rFonts w:eastAsiaTheme="minorEastAsia" w:cs="Segoe UI"/>
                <w:noProof/>
                <w:sz w:val="17"/>
                <w:lang w:eastAsia="zh-HK"/>
              </w:rPr>
              <w:t>分類條件</w:t>
            </w:r>
            <w:r w:rsidR="00DA1457" w:rsidRPr="006854AC">
              <w:rPr>
                <w:rFonts w:eastAsiaTheme="minorEastAsia" w:cs="Segoe UI"/>
                <w:noProof/>
                <w:sz w:val="17"/>
                <w:lang w:eastAsia="en-GB"/>
              </w:rPr>
              <w:t>2</w:t>
            </w:r>
            <w:r w:rsidR="00DA1457" w:rsidRPr="006854AC">
              <w:rPr>
                <w:rFonts w:eastAsiaTheme="minorEastAsia" w:cs="Segoe UI"/>
                <w:noProof/>
                <w:sz w:val="17"/>
                <w:lang w:eastAsia="zh-TW"/>
              </w:rPr>
              <w:t>：</w:t>
            </w:r>
            <w:r w:rsidR="00DA1457" w:rsidRPr="006854AC">
              <w:rPr>
                <w:rFonts w:eastAsiaTheme="minorEastAsia" w:cs="Segoe UI"/>
                <w:noProof/>
                <w:sz w:val="17"/>
                <w:lang w:eastAsia="zh-HK"/>
              </w:rPr>
              <w:t>第</w:t>
            </w:r>
            <w:r w:rsidR="00DA1457" w:rsidRPr="006854AC">
              <w:rPr>
                <w:rFonts w:eastAsiaTheme="minorEastAsia" w:cs="Segoe UI"/>
                <w:noProof/>
                <w:sz w:val="17"/>
                <w:lang w:eastAsia="en-GB"/>
              </w:rPr>
              <w:t>361(2)(b)</w:t>
            </w:r>
            <w:r w:rsidR="00DA1457" w:rsidRPr="006854AC">
              <w:rPr>
                <w:rFonts w:eastAsiaTheme="minorEastAsia" w:cs="Segoe UI"/>
                <w:noProof/>
                <w:sz w:val="17"/>
                <w:lang w:eastAsia="zh-HK"/>
              </w:rPr>
              <w:t>條</w:t>
            </w:r>
          </w:p>
          <w:p w14:paraId="0811BD07" w14:textId="4600F3EE" w:rsidR="00DA1457" w:rsidRPr="006854AC" w:rsidRDefault="003F797B" w:rsidP="00DA1457">
            <w:pPr>
              <w:tabs>
                <w:tab w:val="left" w:pos="509"/>
              </w:tabs>
              <w:spacing w:before="40" w:after="40"/>
              <w:jc w:val="both"/>
              <w:rPr>
                <w:rFonts w:eastAsiaTheme="minorEastAsia" w:cs="Segoe UI"/>
                <w:noProof/>
                <w:sz w:val="17"/>
                <w:lang w:eastAsia="zh-TW"/>
              </w:rPr>
            </w:pPr>
            <w:r w:rsidRPr="006854AC">
              <w:rPr>
                <w:rFonts w:eastAsiaTheme="minorEastAsia" w:cs="Segoe UI" w:hint="eastAsia"/>
                <w:noProof/>
                <w:sz w:val="17"/>
                <w:lang w:eastAsia="zh-TW"/>
              </w:rPr>
              <w:t>(</w:t>
            </w:r>
            <w:r w:rsidR="00DA1457" w:rsidRPr="006854AC">
              <w:rPr>
                <w:rFonts w:eastAsiaTheme="minorEastAsia" w:cs="Segoe UI"/>
                <w:noProof/>
                <w:sz w:val="17"/>
                <w:lang w:eastAsia="zh-TW"/>
              </w:rPr>
              <w:t>iii)</w:t>
            </w:r>
            <w:r w:rsidR="00DA1457" w:rsidRPr="006854AC">
              <w:rPr>
                <w:rFonts w:eastAsiaTheme="minorEastAsia" w:cs="Segoe UI"/>
                <w:noProof/>
                <w:sz w:val="17"/>
                <w:lang w:eastAsia="zh-TW"/>
              </w:rPr>
              <w:tab/>
            </w:r>
            <w:r w:rsidR="00DA1457" w:rsidRPr="006854AC">
              <w:rPr>
                <w:rFonts w:eastAsiaTheme="minorEastAsia" w:cs="Segoe UI"/>
                <w:noProof/>
                <w:sz w:val="17"/>
                <w:lang w:eastAsia="zh-HK"/>
              </w:rPr>
              <w:t>分類條件</w:t>
            </w:r>
            <w:r w:rsidR="00DA1457" w:rsidRPr="006854AC">
              <w:rPr>
                <w:rFonts w:eastAsiaTheme="minorEastAsia" w:cs="Segoe UI"/>
                <w:noProof/>
                <w:sz w:val="17"/>
                <w:lang w:eastAsia="zh-TW"/>
              </w:rPr>
              <w:t>3</w:t>
            </w:r>
            <w:r w:rsidR="00DA1457" w:rsidRPr="006854AC">
              <w:rPr>
                <w:rFonts w:eastAsiaTheme="minorEastAsia" w:cs="Segoe UI"/>
                <w:noProof/>
                <w:sz w:val="17"/>
                <w:lang w:eastAsia="zh-TW"/>
              </w:rPr>
              <w:t>：</w:t>
            </w:r>
            <w:r w:rsidR="00DA1457" w:rsidRPr="006854AC">
              <w:rPr>
                <w:rFonts w:eastAsiaTheme="minorEastAsia" w:cs="Segoe UI"/>
                <w:noProof/>
                <w:sz w:val="17"/>
                <w:lang w:eastAsia="zh-HK"/>
              </w:rPr>
              <w:t>第</w:t>
            </w:r>
            <w:r w:rsidR="00DA1457" w:rsidRPr="006854AC">
              <w:rPr>
                <w:rFonts w:eastAsiaTheme="minorEastAsia" w:cs="Segoe UI"/>
                <w:noProof/>
                <w:sz w:val="17"/>
                <w:lang w:eastAsia="zh-TW"/>
              </w:rPr>
              <w:t>361(2)(c)</w:t>
            </w:r>
            <w:r w:rsidR="00DA1457" w:rsidRPr="006854AC">
              <w:rPr>
                <w:rFonts w:eastAsiaTheme="minorEastAsia" w:cs="Segoe UI"/>
                <w:noProof/>
                <w:sz w:val="17"/>
                <w:lang w:eastAsia="zh-HK"/>
              </w:rPr>
              <w:t>條</w:t>
            </w:r>
          </w:p>
          <w:p w14:paraId="2B8D5AEF" w14:textId="6E7AEA98" w:rsidR="00DA1457" w:rsidRPr="006854AC" w:rsidRDefault="003F797B" w:rsidP="00DA1457">
            <w:pPr>
              <w:tabs>
                <w:tab w:val="left" w:pos="509"/>
              </w:tabs>
              <w:spacing w:before="40" w:after="40"/>
              <w:jc w:val="both"/>
              <w:rPr>
                <w:rFonts w:eastAsiaTheme="minorEastAsia" w:cs="Segoe UI"/>
                <w:noProof/>
                <w:sz w:val="17"/>
                <w:lang w:eastAsia="zh-TW"/>
              </w:rPr>
            </w:pPr>
            <w:r w:rsidRPr="006854AC">
              <w:rPr>
                <w:rFonts w:eastAsiaTheme="minorEastAsia" w:cs="Segoe UI" w:hint="eastAsia"/>
                <w:noProof/>
                <w:sz w:val="17"/>
                <w:lang w:eastAsia="zh-TW"/>
              </w:rPr>
              <w:t>(</w:t>
            </w:r>
            <w:r w:rsidR="00DA1457" w:rsidRPr="006854AC">
              <w:rPr>
                <w:rFonts w:eastAsiaTheme="minorEastAsia" w:cs="Segoe UI"/>
                <w:noProof/>
                <w:sz w:val="17"/>
                <w:lang w:eastAsia="zh-TW"/>
              </w:rPr>
              <w:t>iv)</w:t>
            </w:r>
            <w:r w:rsidR="00DA1457" w:rsidRPr="006854AC">
              <w:rPr>
                <w:rFonts w:eastAsiaTheme="minorEastAsia" w:cs="Segoe UI"/>
                <w:noProof/>
                <w:sz w:val="17"/>
                <w:lang w:eastAsia="zh-TW"/>
              </w:rPr>
              <w:tab/>
            </w:r>
            <w:r w:rsidR="00DA1457" w:rsidRPr="006854AC">
              <w:rPr>
                <w:rFonts w:eastAsiaTheme="minorEastAsia" w:cs="Segoe UI"/>
                <w:noProof/>
                <w:sz w:val="17"/>
                <w:lang w:eastAsia="zh-HK"/>
              </w:rPr>
              <w:t>分類條件</w:t>
            </w:r>
            <w:r w:rsidR="00DA1457" w:rsidRPr="006854AC">
              <w:rPr>
                <w:rFonts w:eastAsiaTheme="minorEastAsia" w:cs="Segoe UI"/>
                <w:noProof/>
                <w:sz w:val="17"/>
                <w:lang w:eastAsia="zh-TW"/>
              </w:rPr>
              <w:t>4</w:t>
            </w:r>
            <w:r w:rsidR="00DA1457" w:rsidRPr="006854AC">
              <w:rPr>
                <w:rFonts w:eastAsiaTheme="minorEastAsia" w:cs="Segoe UI"/>
                <w:noProof/>
                <w:sz w:val="17"/>
                <w:lang w:eastAsia="zh-TW"/>
              </w:rPr>
              <w:t>：</w:t>
            </w:r>
            <w:r w:rsidR="00DA1457" w:rsidRPr="006854AC">
              <w:rPr>
                <w:rFonts w:eastAsiaTheme="minorEastAsia" w:cs="Segoe UI"/>
                <w:noProof/>
                <w:sz w:val="17"/>
                <w:lang w:eastAsia="zh-HK"/>
              </w:rPr>
              <w:t>第</w:t>
            </w:r>
            <w:r w:rsidR="00DA1457" w:rsidRPr="006854AC">
              <w:rPr>
                <w:rFonts w:eastAsiaTheme="minorEastAsia" w:cs="Segoe UI"/>
                <w:noProof/>
                <w:sz w:val="17"/>
                <w:lang w:eastAsia="zh-TW"/>
              </w:rPr>
              <w:t>361(2)(d)</w:t>
            </w:r>
            <w:r w:rsidR="00DA1457" w:rsidRPr="006854AC">
              <w:rPr>
                <w:rFonts w:eastAsiaTheme="minorEastAsia" w:cs="Segoe UI"/>
                <w:noProof/>
                <w:sz w:val="17"/>
                <w:lang w:eastAsia="zh-HK"/>
              </w:rPr>
              <w:t>條</w:t>
            </w:r>
          </w:p>
          <w:p w14:paraId="68E64ECD" w14:textId="05306E43" w:rsidR="00DA1457" w:rsidRPr="006854AC" w:rsidRDefault="00DA1457" w:rsidP="00DA1457">
            <w:pPr>
              <w:tabs>
                <w:tab w:val="left" w:pos="509"/>
              </w:tabs>
              <w:spacing w:before="40" w:after="40"/>
              <w:jc w:val="both"/>
              <w:rPr>
                <w:rFonts w:eastAsiaTheme="minorEastAsia" w:cs="Segoe UI"/>
                <w:noProof/>
                <w:sz w:val="17"/>
                <w:highlight w:val="yellow"/>
                <w:lang w:eastAsia="zh-TW"/>
              </w:rPr>
            </w:pPr>
            <w:r w:rsidRPr="006854AC">
              <w:rPr>
                <w:rFonts w:eastAsiaTheme="minorEastAsia" w:cs="Segoe UI"/>
                <w:noProof/>
                <w:sz w:val="17"/>
                <w:lang w:eastAsia="zh-HK"/>
              </w:rPr>
              <w:t>註</w:t>
            </w:r>
            <w:r w:rsidRPr="006854AC">
              <w:rPr>
                <w:rFonts w:eastAsiaTheme="minorEastAsia" w:cs="Segoe UI"/>
                <w:noProof/>
                <w:sz w:val="17"/>
                <w:lang w:eastAsia="zh-TW"/>
              </w:rPr>
              <w:t>：</w:t>
            </w:r>
            <w:r w:rsidRPr="006854AC">
              <w:rPr>
                <w:rFonts w:eastAsiaTheme="minorEastAsia" w:cs="Segoe UI"/>
                <w:noProof/>
                <w:sz w:val="17"/>
                <w:lang w:eastAsia="zh-HK"/>
              </w:rPr>
              <w:t>如屬</w:t>
            </w:r>
            <w:r w:rsidRPr="006854AC">
              <w:rPr>
                <w:rFonts w:eastAsiaTheme="minorEastAsia" w:cs="Segoe UI"/>
                <w:sz w:val="17"/>
                <w:lang w:eastAsia="zh-TW"/>
              </w:rPr>
              <w:t>在香港以外成立為法團的認可機構，</w:t>
            </w:r>
            <w:r w:rsidRPr="006854AC">
              <w:rPr>
                <w:rFonts w:eastAsiaTheme="minorEastAsia" w:cs="Segoe UI"/>
                <w:sz w:val="17"/>
                <w:lang w:eastAsia="zh-HK"/>
              </w:rPr>
              <w:t>本段僅適用於在《流動性規則》下被指定為</w:t>
            </w:r>
            <w:r w:rsidR="00AF14A5" w:rsidRPr="006854AC">
              <w:rPr>
                <w:rFonts w:eastAsia="新細明體" w:hint="eastAsia"/>
                <w:sz w:val="17"/>
                <w:lang w:eastAsia="zh-TW"/>
              </w:rPr>
              <w:t>「</w:t>
            </w:r>
            <w:r w:rsidRPr="006854AC">
              <w:rPr>
                <w:rFonts w:eastAsiaTheme="minorEastAsia" w:cs="Segoe UI"/>
                <w:sz w:val="17"/>
                <w:lang w:eastAsia="zh-HK"/>
              </w:rPr>
              <w:t>第</w:t>
            </w:r>
            <w:r w:rsidRPr="006854AC">
              <w:rPr>
                <w:rFonts w:eastAsiaTheme="minorEastAsia" w:cs="Segoe UI"/>
                <w:sz w:val="17"/>
                <w:lang w:eastAsia="zh-TW"/>
              </w:rPr>
              <w:t>1</w:t>
            </w:r>
            <w:r w:rsidRPr="006854AC">
              <w:rPr>
                <w:rFonts w:eastAsiaTheme="minorEastAsia" w:cs="Segoe UI"/>
                <w:sz w:val="17"/>
                <w:lang w:eastAsia="zh-HK"/>
              </w:rPr>
              <w:t>類機構</w:t>
            </w:r>
            <w:r w:rsidR="00AF14A5" w:rsidRPr="006854AC">
              <w:rPr>
                <w:rFonts w:eastAsia="新細明體" w:hint="eastAsia"/>
                <w:sz w:val="17"/>
                <w:lang w:eastAsia="zh-TW"/>
              </w:rPr>
              <w:t>」</w:t>
            </w:r>
            <w:r w:rsidRPr="006854AC">
              <w:rPr>
                <w:rFonts w:eastAsiaTheme="minorEastAsia" w:cs="Segoe UI"/>
                <w:sz w:val="17"/>
                <w:lang w:eastAsia="zh-HK"/>
              </w:rPr>
              <w:t>的認可機構</w:t>
            </w:r>
            <w:r w:rsidRPr="006854AC">
              <w:rPr>
                <w:rFonts w:eastAsiaTheme="minorEastAsia" w:cs="Segoe UI"/>
                <w:sz w:val="17"/>
                <w:lang w:eastAsia="zh-TW"/>
              </w:rPr>
              <w:t>。</w:t>
            </w:r>
          </w:p>
        </w:tc>
      </w:tr>
    </w:tbl>
    <w:p w14:paraId="09104A95" w14:textId="77777777" w:rsidR="00DA1457" w:rsidRPr="006854AC" w:rsidRDefault="00DA1457" w:rsidP="00DA1457">
      <w:pPr>
        <w:keepNext/>
        <w:suppressAutoHyphens/>
        <w:spacing w:line="480" w:lineRule="auto"/>
        <w:ind w:left="-426"/>
        <w:outlineLvl w:val="1"/>
        <w:rPr>
          <w:rFonts w:ascii="Cambria" w:eastAsia="新細明體" w:hAnsi="Cambria"/>
          <w:b/>
          <w:bCs/>
          <w:sz w:val="48"/>
          <w:szCs w:val="24"/>
          <w:lang w:eastAsia="ar-SA"/>
        </w:rPr>
        <w:sectPr w:rsidR="00DA1457" w:rsidRPr="006854AC" w:rsidSect="00D540EB">
          <w:footerReference w:type="default" r:id="rId123"/>
          <w:pgSz w:w="11906" w:h="16838" w:code="9"/>
          <w:pgMar w:top="1440" w:right="1797" w:bottom="1440" w:left="1797" w:header="851" w:footer="737" w:gutter="0"/>
          <w:cols w:space="425"/>
          <w:docGrid w:type="lines" w:linePitch="360"/>
        </w:sectPr>
      </w:pPr>
    </w:p>
    <w:p w14:paraId="5109E568" w14:textId="77777777" w:rsidR="00DA1457" w:rsidRPr="006854AC" w:rsidRDefault="00DA1457" w:rsidP="00DA1457">
      <w:pPr>
        <w:keepNext/>
        <w:suppressAutoHyphens/>
        <w:spacing w:line="480" w:lineRule="auto"/>
        <w:ind w:left="-426"/>
        <w:outlineLvl w:val="1"/>
        <w:rPr>
          <w:rFonts w:eastAsia="新細明體"/>
          <w:sz w:val="22"/>
          <w:szCs w:val="24"/>
          <w:lang w:eastAsia="zh-TW"/>
        </w:rPr>
      </w:pPr>
      <w:r w:rsidRPr="006854AC">
        <w:rPr>
          <w:rFonts w:eastAsia="新細明體" w:hint="eastAsia"/>
          <w:sz w:val="22"/>
          <w:szCs w:val="24"/>
          <w:lang w:eastAsia="zh-HK"/>
        </w:rPr>
        <w:t>模版</w:t>
      </w:r>
      <w:r w:rsidRPr="006854AC">
        <w:rPr>
          <w:rFonts w:eastAsia="新細明體"/>
          <w:sz w:val="22"/>
          <w:szCs w:val="24"/>
          <w:lang w:eastAsia="zh-TW"/>
        </w:rPr>
        <w:t>CAE1</w:t>
      </w:r>
      <w:r w:rsidRPr="006854AC">
        <w:rPr>
          <w:rFonts w:eastAsia="新細明體" w:hint="eastAsia"/>
          <w:sz w:val="22"/>
          <w:szCs w:val="24"/>
          <w:lang w:eastAsia="zh-TW"/>
        </w:rPr>
        <w:t>：</w:t>
      </w:r>
      <w:r w:rsidRPr="006854AC">
        <w:rPr>
          <w:rFonts w:eastAsia="新細明體" w:hint="eastAsia"/>
          <w:sz w:val="22"/>
          <w:szCs w:val="24"/>
          <w:lang w:eastAsia="zh-HK"/>
        </w:rPr>
        <w:t>加密資產風險承擔及</w:t>
      </w:r>
      <w:r w:rsidRPr="006854AC">
        <w:rPr>
          <w:rFonts w:eastAsia="新細明體"/>
          <w:sz w:val="22"/>
          <w:szCs w:val="24"/>
          <w:lang w:eastAsia="zh-HK"/>
        </w:rPr>
        <w:t>風險加權數額</w:t>
      </w:r>
    </w:p>
    <w:tbl>
      <w:tblPr>
        <w:tblW w:w="9384"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257"/>
      </w:tblGrid>
      <w:tr w:rsidR="006854AC" w:rsidRPr="006854AC" w14:paraId="3FEF5846" w14:textId="77777777" w:rsidTr="00103B24">
        <w:tc>
          <w:tcPr>
            <w:tcW w:w="2127" w:type="dxa"/>
          </w:tcPr>
          <w:p w14:paraId="03B2B83A"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目的</w:t>
            </w:r>
            <w:r w:rsidRPr="006854AC">
              <w:rPr>
                <w:rFonts w:ascii="新細明體" w:eastAsia="新細明體" w:hAnsi="新細明體" w:hint="eastAsia"/>
                <w:b/>
                <w:sz w:val="17"/>
                <w:lang w:eastAsia="zh-TW"/>
              </w:rPr>
              <w:t>：</w:t>
            </w:r>
          </w:p>
        </w:tc>
        <w:tc>
          <w:tcPr>
            <w:tcW w:w="7257" w:type="dxa"/>
          </w:tcPr>
          <w:p w14:paraId="7A523CB1" w14:textId="5273AFDC" w:rsidR="00DA1457" w:rsidRPr="006854AC" w:rsidRDefault="00535494" w:rsidP="00535494">
            <w:pPr>
              <w:spacing w:before="40" w:after="40"/>
              <w:jc w:val="both"/>
              <w:rPr>
                <w:rFonts w:eastAsia="新細明體"/>
                <w:sz w:val="17"/>
                <w:lang w:eastAsia="zh-TW"/>
              </w:rPr>
            </w:pPr>
            <w:r w:rsidRPr="006854AC">
              <w:rPr>
                <w:rFonts w:eastAsia="新細明體" w:hint="eastAsia"/>
                <w:sz w:val="17"/>
                <w:lang w:eastAsia="zh-TW"/>
              </w:rPr>
              <w:t>按照加密資產的審慎監管分類（第</w:t>
            </w:r>
            <w:r w:rsidRPr="006854AC">
              <w:rPr>
                <w:rFonts w:eastAsia="新細明體"/>
                <w:sz w:val="17"/>
                <w:lang w:eastAsia="zh-TW"/>
              </w:rPr>
              <w:t>1a</w:t>
            </w:r>
            <w:r w:rsidRPr="006854AC">
              <w:rPr>
                <w:rFonts w:eastAsia="新細明體" w:hint="eastAsia"/>
                <w:sz w:val="17"/>
                <w:lang w:eastAsia="zh-TW"/>
              </w:rPr>
              <w:t>、</w:t>
            </w:r>
            <w:r w:rsidRPr="006854AC">
              <w:rPr>
                <w:rFonts w:eastAsia="新細明體"/>
                <w:sz w:val="17"/>
                <w:lang w:eastAsia="zh-TW"/>
              </w:rPr>
              <w:t>1b</w:t>
            </w:r>
            <w:r w:rsidRPr="006854AC">
              <w:rPr>
                <w:rFonts w:eastAsia="新細明體" w:hint="eastAsia"/>
                <w:sz w:val="17"/>
                <w:lang w:eastAsia="zh-TW"/>
              </w:rPr>
              <w:t>、</w:t>
            </w:r>
            <w:r w:rsidRPr="006854AC">
              <w:rPr>
                <w:rFonts w:eastAsia="新細明體"/>
                <w:sz w:val="17"/>
                <w:lang w:eastAsia="zh-TW"/>
              </w:rPr>
              <w:t xml:space="preserve">2a </w:t>
            </w:r>
            <w:r w:rsidRPr="006854AC">
              <w:rPr>
                <w:rFonts w:eastAsia="新細明體" w:hint="eastAsia"/>
                <w:sz w:val="17"/>
                <w:lang w:eastAsia="zh-TW"/>
              </w:rPr>
              <w:t>及</w:t>
            </w:r>
            <w:r w:rsidRPr="006854AC">
              <w:rPr>
                <w:rFonts w:eastAsia="新細明體"/>
                <w:sz w:val="17"/>
                <w:lang w:eastAsia="zh-TW"/>
              </w:rPr>
              <w:t>2b</w:t>
            </w:r>
            <w:r w:rsidRPr="006854AC">
              <w:rPr>
                <w:rFonts w:eastAsia="新細明體" w:hint="eastAsia"/>
                <w:sz w:val="17"/>
                <w:lang w:eastAsia="zh-TW"/>
              </w:rPr>
              <w:t>組），概述認可機構的加密資產風險承擔及相關風險加權數額。</w:t>
            </w:r>
          </w:p>
        </w:tc>
      </w:tr>
      <w:tr w:rsidR="006854AC" w:rsidRPr="006854AC" w14:paraId="1895BFBC" w14:textId="77777777" w:rsidTr="00103B24">
        <w:tc>
          <w:tcPr>
            <w:tcW w:w="2127" w:type="dxa"/>
          </w:tcPr>
          <w:p w14:paraId="5C1A4693"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適用範圍</w:t>
            </w:r>
            <w:r w:rsidRPr="006854AC">
              <w:rPr>
                <w:rFonts w:ascii="新細明體" w:eastAsia="新細明體" w:hAnsi="新細明體" w:hint="eastAsia"/>
                <w:b/>
                <w:sz w:val="17"/>
                <w:lang w:eastAsia="zh-TW"/>
              </w:rPr>
              <w:t>：</w:t>
            </w:r>
          </w:p>
        </w:tc>
        <w:tc>
          <w:tcPr>
            <w:tcW w:w="7257" w:type="dxa"/>
          </w:tcPr>
          <w:p w14:paraId="77126ABD" w14:textId="09FAF1E5" w:rsidR="00DA1457" w:rsidRPr="006854AC" w:rsidRDefault="009B744A" w:rsidP="009B744A">
            <w:pPr>
              <w:spacing w:before="40" w:after="40"/>
              <w:jc w:val="both"/>
              <w:rPr>
                <w:rFonts w:eastAsia="新細明體"/>
                <w:sz w:val="17"/>
                <w:lang w:eastAsia="zh-TW"/>
              </w:rPr>
            </w:pPr>
            <w:r w:rsidRPr="006854AC">
              <w:rPr>
                <w:rFonts w:eastAsia="新細明體" w:hint="eastAsia"/>
                <w:sz w:val="17"/>
                <w:lang w:eastAsia="zh-TW"/>
              </w:rPr>
              <w:t>所有在香港成立</w:t>
            </w:r>
            <w:proofErr w:type="gramStart"/>
            <w:r w:rsidRPr="006854AC">
              <w:rPr>
                <w:rFonts w:eastAsia="新細明體" w:hint="eastAsia"/>
                <w:sz w:val="17"/>
                <w:lang w:eastAsia="zh-TW"/>
              </w:rPr>
              <w:t>為法團的</w:t>
            </w:r>
            <w:proofErr w:type="gramEnd"/>
            <w:r w:rsidRPr="006854AC">
              <w:rPr>
                <w:rFonts w:eastAsia="新細明體" w:hint="eastAsia"/>
                <w:sz w:val="17"/>
                <w:lang w:eastAsia="zh-TW"/>
              </w:rPr>
              <w:t>認可機構</w:t>
            </w:r>
            <w:r w:rsidR="007E5CA0" w:rsidRPr="006854AC">
              <w:rPr>
                <w:rFonts w:eastAsia="新細明體" w:hint="eastAsia"/>
                <w:sz w:val="17"/>
                <w:lang w:eastAsia="zh-TW"/>
              </w:rPr>
              <w:t>，</w:t>
            </w:r>
            <w:r w:rsidRPr="006854AC">
              <w:rPr>
                <w:rFonts w:eastAsia="新細明體" w:hint="eastAsia"/>
                <w:sz w:val="17"/>
                <w:lang w:eastAsia="zh-HK"/>
              </w:rPr>
              <w:t>凡有加密資產風險承擔，</w:t>
            </w:r>
            <w:proofErr w:type="gramStart"/>
            <w:r w:rsidRPr="006854AC">
              <w:rPr>
                <w:rFonts w:eastAsia="新細明體" w:hint="eastAsia"/>
                <w:sz w:val="17"/>
                <w:lang w:eastAsia="zh-TW"/>
              </w:rPr>
              <w:t>均須填報本模</w:t>
            </w:r>
            <w:proofErr w:type="gramEnd"/>
            <w:r w:rsidRPr="006854AC">
              <w:rPr>
                <w:rFonts w:eastAsia="新細明體" w:hint="eastAsia"/>
                <w:sz w:val="17"/>
                <w:lang w:eastAsia="zh-TW"/>
              </w:rPr>
              <w:t>版。</w:t>
            </w:r>
          </w:p>
        </w:tc>
      </w:tr>
      <w:tr w:rsidR="006854AC" w:rsidRPr="006854AC" w14:paraId="79C41CA0" w14:textId="77777777" w:rsidTr="00103B24">
        <w:tc>
          <w:tcPr>
            <w:tcW w:w="2127" w:type="dxa"/>
          </w:tcPr>
          <w:p w14:paraId="43E95880" w14:textId="1B929266" w:rsidR="00DA1457" w:rsidRPr="006854AC" w:rsidRDefault="00DA1457" w:rsidP="00625C98">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內容</w:t>
            </w:r>
            <w:r w:rsidRPr="006854AC">
              <w:rPr>
                <w:rFonts w:ascii="新細明體" w:eastAsia="新細明體" w:hAnsi="新細明體" w:hint="eastAsia"/>
                <w:b/>
                <w:sz w:val="17"/>
                <w:lang w:eastAsia="zh-TW"/>
              </w:rPr>
              <w:t>：</w:t>
            </w:r>
          </w:p>
        </w:tc>
        <w:tc>
          <w:tcPr>
            <w:tcW w:w="7257" w:type="dxa"/>
          </w:tcPr>
          <w:p w14:paraId="69F51218" w14:textId="77777777" w:rsidR="00DA1457" w:rsidRPr="006854AC" w:rsidRDefault="00DA1457" w:rsidP="00DA1457">
            <w:pPr>
              <w:spacing w:before="40" w:after="40"/>
              <w:jc w:val="both"/>
              <w:rPr>
                <w:rFonts w:eastAsia="新細明體"/>
                <w:sz w:val="17"/>
                <w:lang w:eastAsia="zh-TW"/>
              </w:rPr>
            </w:pPr>
            <w:r w:rsidRPr="006854AC">
              <w:rPr>
                <w:rFonts w:eastAsia="新細明體"/>
                <w:sz w:val="17"/>
                <w:lang w:eastAsia="zh-TW"/>
              </w:rPr>
              <w:t>認可機構</w:t>
            </w:r>
            <w:r w:rsidRPr="006854AC">
              <w:rPr>
                <w:rFonts w:eastAsia="新細明體" w:hint="eastAsia"/>
                <w:sz w:val="17"/>
                <w:lang w:eastAsia="zh-HK"/>
              </w:rPr>
              <w:t>的加密資產風險承擔及風險加權數額</w:t>
            </w:r>
            <w:r w:rsidRPr="006854AC">
              <w:rPr>
                <w:rFonts w:eastAsia="新細明體" w:hint="eastAsia"/>
                <w:sz w:val="17"/>
                <w:lang w:eastAsia="zh-TW"/>
              </w:rPr>
              <w:t>。</w:t>
            </w:r>
          </w:p>
        </w:tc>
      </w:tr>
      <w:tr w:rsidR="006854AC" w:rsidRPr="006854AC" w14:paraId="35C9B8FF" w14:textId="77777777" w:rsidTr="00103B24">
        <w:tc>
          <w:tcPr>
            <w:tcW w:w="2127" w:type="dxa"/>
          </w:tcPr>
          <w:p w14:paraId="738B1444" w14:textId="10981958" w:rsidR="00DA1457" w:rsidRPr="006854AC" w:rsidRDefault="00DA1457" w:rsidP="00625C98">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頻密程度</w:t>
            </w:r>
            <w:r w:rsidRPr="006854AC">
              <w:rPr>
                <w:rFonts w:ascii="新細明體" w:eastAsia="新細明體" w:hAnsi="新細明體" w:hint="eastAsia"/>
                <w:b/>
                <w:sz w:val="17"/>
                <w:lang w:eastAsia="zh-TW"/>
              </w:rPr>
              <w:t>：</w:t>
            </w:r>
          </w:p>
        </w:tc>
        <w:tc>
          <w:tcPr>
            <w:tcW w:w="7257" w:type="dxa"/>
          </w:tcPr>
          <w:p w14:paraId="39957581" w14:textId="77777777" w:rsidR="00DA1457" w:rsidRPr="006854AC" w:rsidRDefault="00DA1457" w:rsidP="00DA1457">
            <w:pPr>
              <w:spacing w:before="40" w:after="40"/>
              <w:jc w:val="both"/>
              <w:rPr>
                <w:rFonts w:eastAsia="新細明體"/>
                <w:sz w:val="17"/>
                <w:lang w:eastAsia="en-GB"/>
              </w:rPr>
            </w:pPr>
            <w:r w:rsidRPr="006854AC">
              <w:rPr>
                <w:rFonts w:eastAsia="新細明體" w:cs="Segoe UI" w:hint="eastAsia"/>
                <w:sz w:val="17"/>
                <w:lang w:eastAsia="zh-HK"/>
              </w:rPr>
              <w:t>每半年一次。</w:t>
            </w:r>
          </w:p>
        </w:tc>
      </w:tr>
      <w:tr w:rsidR="006854AC" w:rsidRPr="006854AC" w14:paraId="4EB52342" w14:textId="77777777" w:rsidTr="00103B24">
        <w:tc>
          <w:tcPr>
            <w:tcW w:w="2127" w:type="dxa"/>
          </w:tcPr>
          <w:p w14:paraId="16CACE07" w14:textId="44E01170" w:rsidR="00DA1457" w:rsidRPr="006854AC" w:rsidRDefault="00DA1457" w:rsidP="00DA1457">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格式</w:t>
            </w:r>
            <w:r w:rsidRPr="006854AC">
              <w:rPr>
                <w:rFonts w:ascii="新細明體" w:eastAsia="新細明體" w:hAnsi="新細明體" w:hint="eastAsia"/>
                <w:b/>
                <w:sz w:val="17"/>
                <w:lang w:eastAsia="zh-TW"/>
              </w:rPr>
              <w:t>：</w:t>
            </w:r>
          </w:p>
        </w:tc>
        <w:tc>
          <w:tcPr>
            <w:tcW w:w="7257" w:type="dxa"/>
          </w:tcPr>
          <w:p w14:paraId="7D4EAFA4" w14:textId="77777777" w:rsidR="00DA1457" w:rsidRPr="006854AC" w:rsidRDefault="00DA1457" w:rsidP="00DA1457">
            <w:pPr>
              <w:spacing w:before="40" w:after="40"/>
              <w:jc w:val="both"/>
              <w:rPr>
                <w:rFonts w:eastAsia="新細明體"/>
                <w:sz w:val="17"/>
                <w:lang w:eastAsia="en-GB"/>
              </w:rPr>
            </w:pPr>
            <w:r w:rsidRPr="006854AC">
              <w:rPr>
                <w:rFonts w:eastAsia="新細明體" w:cs="Segoe UI" w:hint="eastAsia"/>
                <w:sz w:val="17"/>
                <w:lang w:eastAsia="zh-HK"/>
              </w:rPr>
              <w:t>非固定</w:t>
            </w:r>
            <w:r w:rsidRPr="006854AC">
              <w:rPr>
                <w:rFonts w:eastAsia="新細明體" w:cs="Segoe UI" w:hint="eastAsia"/>
                <w:sz w:val="17"/>
                <w:lang w:eastAsia="zh-TW"/>
              </w:rPr>
              <w:t>。</w:t>
            </w:r>
          </w:p>
        </w:tc>
      </w:tr>
      <w:tr w:rsidR="006854AC" w:rsidRPr="006854AC" w14:paraId="5D2FA4A1" w14:textId="77777777" w:rsidTr="00103B24">
        <w:tc>
          <w:tcPr>
            <w:tcW w:w="2127" w:type="dxa"/>
          </w:tcPr>
          <w:p w14:paraId="16167E69"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szCs w:val="17"/>
                <w:lang w:eastAsia="zh-HK"/>
              </w:rPr>
              <w:t>附加說明</w:t>
            </w:r>
            <w:r w:rsidRPr="006854AC">
              <w:rPr>
                <w:rFonts w:ascii="新細明體" w:eastAsia="新細明體" w:hAnsi="新細明體" w:hint="eastAsia"/>
                <w:b/>
                <w:sz w:val="17"/>
                <w:szCs w:val="17"/>
                <w:lang w:eastAsia="zh-TW"/>
              </w:rPr>
              <w:t>：</w:t>
            </w:r>
          </w:p>
        </w:tc>
        <w:tc>
          <w:tcPr>
            <w:tcW w:w="7257" w:type="dxa"/>
          </w:tcPr>
          <w:p w14:paraId="77FC370A" w14:textId="38524735" w:rsidR="00DA1457" w:rsidRPr="006854AC" w:rsidRDefault="00B70F04" w:rsidP="00B05D10">
            <w:pPr>
              <w:widowControl w:val="0"/>
              <w:numPr>
                <w:ilvl w:val="0"/>
                <w:numId w:val="61"/>
              </w:numPr>
              <w:tabs>
                <w:tab w:val="left" w:pos="320"/>
              </w:tabs>
              <w:autoSpaceDE w:val="0"/>
              <w:autoSpaceDN w:val="0"/>
              <w:spacing w:before="38"/>
              <w:ind w:left="324" w:right="103" w:hanging="284"/>
              <w:jc w:val="both"/>
              <w:rPr>
                <w:rFonts w:eastAsia="Segoe UI" w:cs="Segoe UI"/>
                <w:sz w:val="17"/>
                <w:szCs w:val="22"/>
                <w:lang w:val="en-US" w:eastAsia="zh-TW" w:bidi="en-US"/>
              </w:rPr>
            </w:pPr>
            <w:r w:rsidRPr="006854AC">
              <w:rPr>
                <w:rFonts w:eastAsiaTheme="minorEastAsia" w:cs="Segoe UI"/>
                <w:sz w:val="17"/>
                <w:szCs w:val="22"/>
                <w:lang w:val="en-US" w:eastAsia="zh-HK" w:bidi="en-US"/>
              </w:rPr>
              <w:t>鑑於難以</w:t>
            </w:r>
            <w:r w:rsidR="0047161A" w:rsidRPr="006854AC">
              <w:rPr>
                <w:rFonts w:eastAsiaTheme="minorEastAsia" w:cs="Segoe UI" w:hint="eastAsia"/>
                <w:sz w:val="17"/>
                <w:szCs w:val="22"/>
                <w:lang w:val="en-US" w:eastAsia="zh-HK" w:bidi="en-US"/>
              </w:rPr>
              <w:t>區</w:t>
            </w:r>
            <w:r w:rsidR="00DA1457" w:rsidRPr="006854AC">
              <w:rPr>
                <w:rFonts w:eastAsiaTheme="minorEastAsia" w:cs="Segoe UI"/>
                <w:sz w:val="17"/>
                <w:szCs w:val="22"/>
                <w:lang w:val="en-US" w:eastAsia="zh-HK" w:bidi="en-US"/>
              </w:rPr>
              <w:t>分僅與</w:t>
            </w:r>
            <w:r w:rsidR="00DA1457" w:rsidRPr="006854AC">
              <w:rPr>
                <w:rFonts w:eastAsia="新細明體" w:cs="Segoe UI"/>
                <w:sz w:val="17"/>
                <w:szCs w:val="22"/>
                <w:lang w:val="en-US" w:eastAsia="zh-HK" w:bidi="en-US"/>
              </w:rPr>
              <w:t>加密資產風險承擔相關的</w:t>
            </w:r>
            <w:r w:rsidR="00DA1457" w:rsidRPr="006854AC">
              <w:rPr>
                <w:rFonts w:eastAsia="新細明體" w:cs="Segoe UI"/>
                <w:sz w:val="17"/>
                <w:szCs w:val="22"/>
                <w:lang w:eastAsia="zh-HK" w:bidi="en-US"/>
              </w:rPr>
              <w:t>業務操作風險的風險加權數額</w:t>
            </w:r>
            <w:r w:rsidR="00DA1457" w:rsidRPr="006854AC">
              <w:rPr>
                <w:rFonts w:eastAsia="新細明體" w:cs="Segoe UI"/>
                <w:sz w:val="17"/>
                <w:szCs w:val="22"/>
                <w:lang w:eastAsia="zh-TW" w:bidi="en-US"/>
              </w:rPr>
              <w:t>，</w:t>
            </w:r>
            <w:r w:rsidRPr="006854AC">
              <w:rPr>
                <w:rFonts w:eastAsia="新細明體" w:cs="Segoe UI"/>
                <w:sz w:val="17"/>
                <w:szCs w:val="22"/>
                <w:lang w:eastAsia="zh-HK" w:bidi="en-US"/>
              </w:rPr>
              <w:t>認可機構應</w:t>
            </w:r>
            <w:r w:rsidR="0047161A" w:rsidRPr="006854AC">
              <w:rPr>
                <w:rFonts w:eastAsia="新細明體" w:cs="Segoe UI" w:hint="eastAsia"/>
                <w:sz w:val="17"/>
                <w:szCs w:val="22"/>
                <w:lang w:eastAsia="zh-HK" w:bidi="en-US"/>
              </w:rPr>
              <w:t>闡明</w:t>
            </w:r>
            <w:r w:rsidR="00DA1457" w:rsidRPr="006854AC">
              <w:rPr>
                <w:rFonts w:eastAsia="新細明體" w:cs="Segoe UI"/>
                <w:sz w:val="17"/>
                <w:szCs w:val="22"/>
                <w:lang w:eastAsia="zh-HK" w:bidi="en-US"/>
              </w:rPr>
              <w:t>其</w:t>
            </w:r>
            <w:r w:rsidR="0047161A" w:rsidRPr="006854AC">
              <w:rPr>
                <w:rFonts w:eastAsia="新細明體" w:cs="Segoe UI" w:hint="eastAsia"/>
                <w:sz w:val="17"/>
                <w:szCs w:val="22"/>
                <w:lang w:eastAsia="zh-HK" w:bidi="en-US"/>
              </w:rPr>
              <w:t>在</w:t>
            </w:r>
            <w:r w:rsidR="00DA1457" w:rsidRPr="006854AC">
              <w:rPr>
                <w:rFonts w:eastAsia="新細明體" w:cs="Segoe UI"/>
                <w:sz w:val="17"/>
                <w:szCs w:val="22"/>
                <w:lang w:eastAsia="zh-HK" w:bidi="en-US"/>
              </w:rPr>
              <w:t>管理</w:t>
            </w:r>
            <w:r w:rsidR="0047161A" w:rsidRPr="006854AC">
              <w:rPr>
                <w:rFonts w:eastAsia="新細明體" w:cs="Segoe UI" w:hint="eastAsia"/>
                <w:sz w:val="17"/>
                <w:szCs w:val="22"/>
                <w:lang w:eastAsia="zh-HK" w:bidi="en-US"/>
              </w:rPr>
              <w:t>關於</w:t>
            </w:r>
            <w:r w:rsidR="00DA1457" w:rsidRPr="006854AC">
              <w:rPr>
                <w:rFonts w:eastAsia="新細明體" w:cs="Segoe UI"/>
                <w:sz w:val="17"/>
                <w:szCs w:val="22"/>
                <w:lang w:val="en-US" w:eastAsia="zh-HK" w:bidi="en-US"/>
              </w:rPr>
              <w:t>加密資產風險承擔的</w:t>
            </w:r>
            <w:r w:rsidR="00DA1457" w:rsidRPr="006854AC">
              <w:rPr>
                <w:rFonts w:eastAsia="新細明體" w:cs="Segoe UI"/>
                <w:sz w:val="17"/>
                <w:szCs w:val="22"/>
                <w:lang w:eastAsia="zh-HK" w:bidi="en-US"/>
              </w:rPr>
              <w:t>業務操作風險</w:t>
            </w:r>
            <w:r w:rsidR="0047161A" w:rsidRPr="006854AC">
              <w:rPr>
                <w:rFonts w:eastAsia="新細明體" w:cs="Segoe UI" w:hint="eastAsia"/>
                <w:sz w:val="17"/>
                <w:szCs w:val="22"/>
                <w:lang w:eastAsia="zh-HK" w:bidi="en-US"/>
              </w:rPr>
              <w:t>方面所採用</w:t>
            </w:r>
            <w:r w:rsidR="00DA1457" w:rsidRPr="006854AC">
              <w:rPr>
                <w:rFonts w:eastAsia="新細明體" w:cs="Segoe UI"/>
                <w:sz w:val="17"/>
                <w:szCs w:val="22"/>
                <w:lang w:eastAsia="zh-HK" w:bidi="en-US"/>
              </w:rPr>
              <w:t>的政策</w:t>
            </w:r>
            <w:r w:rsidR="0047161A" w:rsidRPr="006854AC">
              <w:rPr>
                <w:rFonts w:eastAsia="新細明體" w:cs="Segoe UI" w:hint="eastAsia"/>
                <w:sz w:val="17"/>
                <w:szCs w:val="22"/>
                <w:lang w:eastAsia="zh-HK" w:bidi="en-US"/>
              </w:rPr>
              <w:t>及</w:t>
            </w:r>
            <w:r w:rsidR="00DA1457" w:rsidRPr="006854AC">
              <w:rPr>
                <w:rFonts w:eastAsia="新細明體" w:cs="Segoe UI"/>
                <w:sz w:val="17"/>
                <w:szCs w:val="22"/>
                <w:lang w:eastAsia="zh-HK" w:bidi="en-US"/>
              </w:rPr>
              <w:t>減低風險措施，以補充本模版。</w:t>
            </w:r>
          </w:p>
          <w:p w14:paraId="21D883FB" w14:textId="6C7D0FD4" w:rsidR="00DA1457" w:rsidRPr="006854AC" w:rsidRDefault="00DA1457" w:rsidP="00B05D10">
            <w:pPr>
              <w:widowControl w:val="0"/>
              <w:numPr>
                <w:ilvl w:val="0"/>
                <w:numId w:val="61"/>
              </w:numPr>
              <w:tabs>
                <w:tab w:val="left" w:pos="320"/>
              </w:tabs>
              <w:autoSpaceDE w:val="0"/>
              <w:autoSpaceDN w:val="0"/>
              <w:spacing w:before="38"/>
              <w:ind w:left="324" w:right="103" w:hanging="284"/>
              <w:jc w:val="both"/>
              <w:rPr>
                <w:rFonts w:eastAsia="新細明體" w:cs="Segoe UI"/>
                <w:sz w:val="17"/>
                <w:szCs w:val="22"/>
                <w:lang w:eastAsia="zh-TW" w:bidi="en-US"/>
              </w:rPr>
            </w:pPr>
            <w:r w:rsidRPr="006854AC">
              <w:rPr>
                <w:rFonts w:eastAsia="新細明體" w:cs="Segoe UI"/>
                <w:sz w:val="17"/>
                <w:szCs w:val="22"/>
                <w:lang w:val="en-US" w:eastAsia="zh-HK" w:bidi="en-US"/>
              </w:rPr>
              <w:t>如</w:t>
            </w:r>
            <w:r w:rsidRPr="006854AC">
              <w:rPr>
                <w:rFonts w:eastAsia="新細明體" w:cs="Segoe UI"/>
                <w:sz w:val="17"/>
                <w:szCs w:val="22"/>
                <w:lang w:eastAsia="zh-TW" w:bidi="en-US"/>
              </w:rPr>
              <w:t>金融管理專員根據《資本規則》第</w:t>
            </w:r>
            <w:r w:rsidRPr="006854AC">
              <w:rPr>
                <w:rFonts w:eastAsia="新細明體" w:cs="Segoe UI"/>
                <w:sz w:val="17"/>
                <w:szCs w:val="22"/>
                <w:lang w:eastAsia="zh-TW" w:bidi="en-US"/>
              </w:rPr>
              <w:t>380</w:t>
            </w:r>
            <w:r w:rsidRPr="006854AC">
              <w:rPr>
                <w:rFonts w:eastAsia="新細明體" w:cs="Segoe UI"/>
                <w:sz w:val="17"/>
                <w:szCs w:val="22"/>
                <w:lang w:eastAsia="zh-TW" w:bidi="en-US"/>
              </w:rPr>
              <w:t>條</w:t>
            </w:r>
            <w:r w:rsidR="00B70427" w:rsidRPr="006854AC">
              <w:rPr>
                <w:rFonts w:eastAsia="新細明體" w:cs="Segoe UI" w:hint="eastAsia"/>
                <w:sz w:val="17"/>
                <w:szCs w:val="22"/>
                <w:lang w:eastAsia="zh-TW" w:bidi="en-US"/>
              </w:rPr>
              <w:t>規定</w:t>
            </w:r>
            <w:r w:rsidR="00DD3F86" w:rsidRPr="006854AC">
              <w:rPr>
                <w:rFonts w:eastAsia="新細明體" w:cs="Segoe UI"/>
                <w:sz w:val="17"/>
                <w:szCs w:val="22"/>
                <w:lang w:eastAsia="zh-TW" w:bidi="en-US"/>
              </w:rPr>
              <w:t>認可機構</w:t>
            </w:r>
            <w:r w:rsidR="00B70F04" w:rsidRPr="006854AC">
              <w:rPr>
                <w:rFonts w:eastAsia="新細明體" w:cs="Segoe UI" w:hint="eastAsia"/>
                <w:sz w:val="17"/>
                <w:szCs w:val="22"/>
                <w:lang w:eastAsia="zh-TW" w:bidi="en-US"/>
              </w:rPr>
              <w:t>就</w:t>
            </w:r>
            <w:r w:rsidRPr="006854AC">
              <w:rPr>
                <w:rFonts w:eastAsia="新細明體" w:cs="Segoe UI"/>
                <w:sz w:val="17"/>
                <w:szCs w:val="22"/>
                <w:lang w:eastAsia="zh-TW" w:bidi="en-US"/>
              </w:rPr>
              <w:t>第</w:t>
            </w:r>
            <w:r w:rsidRPr="006854AC">
              <w:rPr>
                <w:rFonts w:eastAsia="新細明體" w:cs="Segoe UI"/>
                <w:sz w:val="17"/>
                <w:szCs w:val="22"/>
                <w:lang w:eastAsia="zh-TW" w:bidi="en-US"/>
              </w:rPr>
              <w:t>1</w:t>
            </w:r>
            <w:r w:rsidRPr="006854AC">
              <w:rPr>
                <w:rFonts w:eastAsia="新細明體" w:cs="Segoe UI"/>
                <w:sz w:val="17"/>
                <w:szCs w:val="22"/>
                <w:lang w:eastAsia="zh-TW" w:bidi="en-US"/>
              </w:rPr>
              <w:t>組加密資產風險承擔</w:t>
            </w:r>
            <w:r w:rsidR="00B70F04" w:rsidRPr="006854AC">
              <w:rPr>
                <w:rFonts w:eastAsia="新細明體" w:cs="Segoe UI"/>
                <w:sz w:val="17"/>
                <w:szCs w:val="22"/>
                <w:lang w:eastAsia="zh-TW" w:bidi="en-US"/>
              </w:rPr>
              <w:t>計算</w:t>
            </w:r>
            <w:r w:rsidRPr="006854AC">
              <w:rPr>
                <w:rFonts w:eastAsia="新細明體" w:cs="Segoe UI"/>
                <w:sz w:val="17"/>
                <w:szCs w:val="22"/>
                <w:lang w:eastAsia="zh-TW" w:bidi="en-US"/>
              </w:rPr>
              <w:t>基建風險附加額，認可機構應披露該附加額的數額。</w:t>
            </w:r>
          </w:p>
          <w:p w14:paraId="0A4BE5B7" w14:textId="1CC8D084" w:rsidR="00DA1457" w:rsidRPr="006854AC" w:rsidRDefault="00DA1457" w:rsidP="00B05D10">
            <w:pPr>
              <w:widowControl w:val="0"/>
              <w:numPr>
                <w:ilvl w:val="0"/>
                <w:numId w:val="61"/>
              </w:numPr>
              <w:tabs>
                <w:tab w:val="left" w:pos="320"/>
              </w:tabs>
              <w:autoSpaceDE w:val="0"/>
              <w:autoSpaceDN w:val="0"/>
              <w:spacing w:before="38"/>
              <w:ind w:left="324" w:right="103" w:hanging="284"/>
              <w:jc w:val="both"/>
              <w:rPr>
                <w:rFonts w:eastAsia="Segoe UI" w:cs="Segoe UI"/>
                <w:sz w:val="17"/>
                <w:szCs w:val="22"/>
                <w:lang w:val="en-US" w:eastAsia="zh-HK" w:bidi="en-US"/>
              </w:rPr>
            </w:pPr>
            <w:r w:rsidRPr="006854AC">
              <w:rPr>
                <w:rFonts w:eastAsiaTheme="minorEastAsia" w:cs="Segoe UI"/>
                <w:spacing w:val="-4"/>
                <w:sz w:val="17"/>
                <w:szCs w:val="22"/>
                <w:lang w:val="en-US" w:eastAsia="zh-HK" w:bidi="en-US"/>
              </w:rPr>
              <w:t>認可機構應提供受託管的加密資產的總額水平</w:t>
            </w:r>
            <w:r w:rsidRPr="006854AC">
              <w:rPr>
                <w:rFonts w:eastAsiaTheme="minorEastAsia" w:cs="Segoe UI"/>
                <w:spacing w:val="-4"/>
                <w:sz w:val="17"/>
                <w:szCs w:val="22"/>
                <w:lang w:val="en-US" w:eastAsia="zh-TW" w:bidi="en-US"/>
              </w:rPr>
              <w:t>（</w:t>
            </w:r>
            <w:r w:rsidRPr="006854AC">
              <w:rPr>
                <w:rFonts w:eastAsiaTheme="minorEastAsia" w:cs="Segoe UI"/>
                <w:spacing w:val="-4"/>
                <w:sz w:val="17"/>
                <w:szCs w:val="22"/>
                <w:lang w:val="en-US" w:eastAsia="zh-HK" w:bidi="en-US"/>
              </w:rPr>
              <w:t>即於</w:t>
            </w:r>
            <w:r w:rsidRPr="006854AC">
              <w:rPr>
                <w:rFonts w:eastAsiaTheme="minorEastAsia" w:cs="Segoe UI"/>
                <w:spacing w:val="-4"/>
                <w:sz w:val="17"/>
                <w:szCs w:val="22"/>
                <w:lang w:eastAsia="zh-HK" w:bidi="en-US"/>
              </w:rPr>
              <w:t>報告期末認可機構以託管方式代客戶持有的加密資產的市值</w:t>
            </w:r>
            <w:r w:rsidRPr="006854AC">
              <w:rPr>
                <w:rFonts w:eastAsiaTheme="minorEastAsia" w:cs="Segoe UI"/>
                <w:spacing w:val="-4"/>
                <w:sz w:val="17"/>
                <w:szCs w:val="22"/>
                <w:lang w:eastAsia="zh-TW" w:bidi="en-US"/>
              </w:rPr>
              <w:t>），</w:t>
            </w:r>
            <w:r w:rsidRPr="006854AC">
              <w:rPr>
                <w:rFonts w:eastAsiaTheme="minorEastAsia" w:cs="Segoe UI"/>
                <w:spacing w:val="-4"/>
                <w:sz w:val="17"/>
                <w:szCs w:val="22"/>
                <w:lang w:eastAsia="zh-HK" w:bidi="en-US"/>
              </w:rPr>
              <w:t>作為附加說明的一部分。</w:t>
            </w:r>
            <w:r w:rsidRPr="006854AC">
              <w:rPr>
                <w:rFonts w:eastAsiaTheme="minorEastAsia" w:cs="Segoe UI"/>
                <w:spacing w:val="-4"/>
                <w:sz w:val="17"/>
                <w:szCs w:val="22"/>
                <w:lang w:val="en-US" w:eastAsia="zh-HK" w:bidi="en-US"/>
              </w:rPr>
              <w:t>有關說明應涵蓋受託管的加密資產類別</w:t>
            </w:r>
            <w:r w:rsidRPr="006854AC">
              <w:rPr>
                <w:rFonts w:eastAsiaTheme="minorEastAsia" w:cs="Segoe UI"/>
                <w:spacing w:val="-4"/>
                <w:sz w:val="17"/>
                <w:szCs w:val="22"/>
                <w:lang w:val="en-US" w:eastAsia="zh-TW" w:bidi="en-US"/>
              </w:rPr>
              <w:t>（</w:t>
            </w:r>
            <w:r w:rsidRPr="006854AC">
              <w:rPr>
                <w:rFonts w:eastAsiaTheme="minorEastAsia" w:cs="Segoe UI"/>
                <w:spacing w:val="-4"/>
                <w:sz w:val="17"/>
                <w:szCs w:val="22"/>
                <w:lang w:val="en-US" w:eastAsia="zh-HK" w:bidi="en-US"/>
              </w:rPr>
              <w:t>例如分別列明</w:t>
            </w:r>
            <w:r w:rsidR="00103B24" w:rsidRPr="006854AC">
              <w:rPr>
                <w:rFonts w:eastAsiaTheme="minorEastAsia" w:cs="Segoe UI"/>
                <w:spacing w:val="-4"/>
                <w:sz w:val="17"/>
                <w:szCs w:val="22"/>
                <w:lang w:val="en-US" w:eastAsia="zh-HK" w:bidi="en-US"/>
              </w:rPr>
              <w:t>傳統資產</w:t>
            </w:r>
            <w:r w:rsidR="00103B24" w:rsidRPr="006854AC">
              <w:rPr>
                <w:rFonts w:eastAsiaTheme="minorEastAsia" w:cs="Segoe UI" w:hint="eastAsia"/>
                <w:spacing w:val="-4"/>
                <w:sz w:val="17"/>
                <w:szCs w:val="22"/>
                <w:lang w:val="en-US" w:eastAsia="zh-HK" w:bidi="en-US"/>
              </w:rPr>
              <w:t>的</w:t>
            </w:r>
            <w:r w:rsidRPr="006854AC">
              <w:rPr>
                <w:rFonts w:eastAsiaTheme="minorEastAsia" w:cs="Segoe UI"/>
                <w:spacing w:val="-4"/>
                <w:sz w:val="17"/>
                <w:szCs w:val="22"/>
                <w:lang w:val="en-US" w:eastAsia="zh-HK" w:bidi="en-US"/>
              </w:rPr>
              <w:t>代幣化</w:t>
            </w:r>
            <w:r w:rsidR="00103B24" w:rsidRPr="006854AC">
              <w:rPr>
                <w:rFonts w:eastAsiaTheme="minorEastAsia" w:cs="Segoe UI" w:hint="eastAsia"/>
                <w:spacing w:val="-4"/>
                <w:sz w:val="17"/>
                <w:szCs w:val="22"/>
                <w:lang w:val="en-US" w:eastAsia="zh-HK" w:bidi="en-US"/>
              </w:rPr>
              <w:t>版本</w:t>
            </w:r>
            <w:r w:rsidRPr="006854AC">
              <w:rPr>
                <w:rFonts w:eastAsiaTheme="minorEastAsia" w:cs="Segoe UI"/>
                <w:spacing w:val="-4"/>
                <w:sz w:val="17"/>
                <w:szCs w:val="22"/>
                <w:lang w:val="en-US" w:eastAsia="zh-TW" w:bidi="en-US"/>
              </w:rPr>
              <w:t>、</w:t>
            </w:r>
            <w:r w:rsidRPr="006854AC">
              <w:rPr>
                <w:rFonts w:eastAsiaTheme="minorEastAsia" w:cs="Segoe UI"/>
                <w:spacing w:val="-4"/>
                <w:sz w:val="17"/>
                <w:szCs w:val="22"/>
                <w:lang w:val="en-US" w:eastAsia="zh-HK" w:bidi="en-US"/>
              </w:rPr>
              <w:t>穩定幣及其他加密資產</w:t>
            </w:r>
            <w:r w:rsidRPr="006854AC">
              <w:rPr>
                <w:rFonts w:eastAsiaTheme="minorEastAsia" w:cs="Segoe UI"/>
                <w:spacing w:val="-4"/>
                <w:sz w:val="17"/>
                <w:szCs w:val="22"/>
                <w:lang w:val="en-US" w:eastAsia="zh-TW" w:bidi="en-US"/>
              </w:rPr>
              <w:t>）。</w:t>
            </w:r>
          </w:p>
          <w:p w14:paraId="66657468" w14:textId="4F93FDC2" w:rsidR="00DA1457" w:rsidRPr="006854AC" w:rsidRDefault="00DA1457" w:rsidP="00B05D10">
            <w:pPr>
              <w:widowControl w:val="0"/>
              <w:numPr>
                <w:ilvl w:val="0"/>
                <w:numId w:val="61"/>
              </w:numPr>
              <w:tabs>
                <w:tab w:val="left" w:pos="320"/>
              </w:tabs>
              <w:autoSpaceDE w:val="0"/>
              <w:autoSpaceDN w:val="0"/>
              <w:spacing w:before="38"/>
              <w:ind w:left="324" w:right="103" w:hanging="284"/>
              <w:jc w:val="both"/>
              <w:rPr>
                <w:rFonts w:eastAsia="Segoe UI" w:cs="Segoe UI"/>
                <w:sz w:val="17"/>
                <w:szCs w:val="22"/>
                <w:lang w:val="en-US" w:eastAsia="zh-TW" w:bidi="en-US"/>
              </w:rPr>
            </w:pPr>
            <w:r w:rsidRPr="006854AC">
              <w:rPr>
                <w:rFonts w:eastAsiaTheme="minorEastAsia" w:cs="Segoe UI"/>
                <w:spacing w:val="-3"/>
                <w:sz w:val="17"/>
                <w:szCs w:val="22"/>
                <w:lang w:val="en-US" w:eastAsia="zh-HK" w:bidi="en-US"/>
              </w:rPr>
              <w:t>認可機構</w:t>
            </w:r>
            <w:r w:rsidR="00103B24" w:rsidRPr="006854AC">
              <w:rPr>
                <w:rFonts w:eastAsiaTheme="minorEastAsia" w:cs="Segoe UI"/>
                <w:spacing w:val="-3"/>
                <w:sz w:val="17"/>
                <w:szCs w:val="22"/>
                <w:lang w:eastAsia="zh-HK" w:bidi="en-US"/>
              </w:rPr>
              <w:t>應以敘述評註</w:t>
            </w:r>
            <w:r w:rsidR="008D45AD" w:rsidRPr="006854AC">
              <w:rPr>
                <w:rFonts w:eastAsiaTheme="minorEastAsia" w:cs="Segoe UI"/>
                <w:spacing w:val="-4"/>
                <w:sz w:val="17"/>
                <w:szCs w:val="22"/>
                <w:lang w:eastAsia="zh-TW" w:bidi="en-US"/>
              </w:rPr>
              <w:t>，</w:t>
            </w:r>
            <w:r w:rsidR="00103B24" w:rsidRPr="006854AC">
              <w:rPr>
                <w:rFonts w:eastAsiaTheme="minorEastAsia" w:cs="Segoe UI"/>
                <w:spacing w:val="-3"/>
                <w:sz w:val="17"/>
                <w:szCs w:val="22"/>
                <w:lang w:eastAsia="zh-HK" w:bidi="en-US"/>
              </w:rPr>
              <w:t>闡明報告期內在本模版所填報的事宜的任何重大改變及引致</w:t>
            </w:r>
            <w:r w:rsidR="00103B24" w:rsidRPr="006854AC">
              <w:rPr>
                <w:rFonts w:eastAsiaTheme="minorEastAsia" w:cs="Segoe UI" w:hint="eastAsia"/>
                <w:spacing w:val="-3"/>
                <w:sz w:val="17"/>
                <w:szCs w:val="22"/>
                <w:lang w:eastAsia="zh-HK" w:bidi="en-US"/>
              </w:rPr>
              <w:t>該等</w:t>
            </w:r>
            <w:r w:rsidRPr="006854AC">
              <w:rPr>
                <w:rFonts w:eastAsiaTheme="minorEastAsia" w:cs="Segoe UI"/>
                <w:spacing w:val="-3"/>
                <w:sz w:val="17"/>
                <w:szCs w:val="22"/>
                <w:lang w:eastAsia="zh-HK" w:bidi="en-US"/>
              </w:rPr>
              <w:t>改變的主要驅動因素，以補充本模版。</w:t>
            </w:r>
          </w:p>
        </w:tc>
      </w:tr>
      <w:tr w:rsidR="006854AC" w:rsidRPr="006854AC" w14:paraId="602773BB" w14:textId="77777777" w:rsidTr="00103B24">
        <w:tc>
          <w:tcPr>
            <w:tcW w:w="2127" w:type="dxa"/>
          </w:tcPr>
          <w:p w14:paraId="07CB8F15" w14:textId="77777777" w:rsidR="00DA1457" w:rsidRPr="006854AC" w:rsidRDefault="00DA1457" w:rsidP="00DA1457">
            <w:pPr>
              <w:spacing w:before="40" w:after="40"/>
              <w:rPr>
                <w:rFonts w:ascii="新細明體" w:eastAsia="新細明體" w:hAnsi="新細明體"/>
                <w:b/>
                <w:sz w:val="17"/>
                <w:szCs w:val="17"/>
                <w:lang w:eastAsia="zh-TW"/>
              </w:rPr>
            </w:pPr>
            <w:r w:rsidRPr="006854AC">
              <w:rPr>
                <w:rFonts w:ascii="新細明體" w:eastAsia="新細明體" w:hAnsi="新細明體" w:hint="eastAsia"/>
                <w:b/>
                <w:sz w:val="17"/>
                <w:szCs w:val="17"/>
                <w:lang w:eastAsia="zh-TW"/>
              </w:rPr>
              <w:t>《披露規則》相應條文：</w:t>
            </w:r>
          </w:p>
        </w:tc>
        <w:tc>
          <w:tcPr>
            <w:tcW w:w="7257" w:type="dxa"/>
          </w:tcPr>
          <w:p w14:paraId="273CBCE5" w14:textId="77777777" w:rsidR="00DA1457" w:rsidRPr="006854AC" w:rsidRDefault="00DA1457" w:rsidP="00DA1457">
            <w:pPr>
              <w:spacing w:before="40" w:after="40"/>
              <w:jc w:val="both"/>
              <w:rPr>
                <w:sz w:val="17"/>
                <w:szCs w:val="17"/>
                <w:highlight w:val="yellow"/>
                <w:lang w:eastAsia="en-GB"/>
              </w:rPr>
            </w:pPr>
            <w:r w:rsidRPr="006854AC">
              <w:rPr>
                <w:sz w:val="17"/>
                <w:szCs w:val="17"/>
                <w:lang w:eastAsia="en-GB"/>
              </w:rPr>
              <w:t>16ZQI</w:t>
            </w:r>
          </w:p>
        </w:tc>
      </w:tr>
    </w:tbl>
    <w:p w14:paraId="648FC544" w14:textId="77777777" w:rsidR="00DA1457" w:rsidRPr="006854AC" w:rsidRDefault="00DA1457" w:rsidP="00DA1457">
      <w:r w:rsidRPr="006854AC">
        <w:br w:type="page"/>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2024"/>
        <w:gridCol w:w="1275"/>
        <w:gridCol w:w="1276"/>
        <w:gridCol w:w="1134"/>
        <w:gridCol w:w="1276"/>
        <w:gridCol w:w="1134"/>
        <w:gridCol w:w="1237"/>
      </w:tblGrid>
      <w:tr w:rsidR="006854AC" w:rsidRPr="006854AC" w14:paraId="56B2E277" w14:textId="77777777" w:rsidTr="00F60474">
        <w:trPr>
          <w:trHeight w:val="283"/>
          <w:jc w:val="center"/>
        </w:trPr>
        <w:tc>
          <w:tcPr>
            <w:tcW w:w="2592" w:type="dxa"/>
            <w:gridSpan w:val="2"/>
            <w:tcBorders>
              <w:top w:val="nil"/>
              <w:left w:val="nil"/>
              <w:bottom w:val="nil"/>
            </w:tcBorders>
            <w:shd w:val="clear" w:color="auto" w:fill="auto"/>
          </w:tcPr>
          <w:p w14:paraId="7A8FB6F6" w14:textId="77777777" w:rsidR="00DA1457" w:rsidRPr="006854AC" w:rsidRDefault="00DA1457" w:rsidP="00DA1457">
            <w:pPr>
              <w:widowControl w:val="0"/>
              <w:autoSpaceDE w:val="0"/>
              <w:autoSpaceDN w:val="0"/>
              <w:ind w:left="-8"/>
              <w:rPr>
                <w:rFonts w:eastAsia="Segoe UI" w:cs="Segoe UI"/>
                <w:sz w:val="17"/>
                <w:szCs w:val="17"/>
                <w:lang w:val="en-US" w:bidi="en-US"/>
              </w:rPr>
            </w:pPr>
          </w:p>
        </w:tc>
        <w:tc>
          <w:tcPr>
            <w:tcW w:w="1275" w:type="dxa"/>
          </w:tcPr>
          <w:p w14:paraId="766B05D5"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(a)</w:t>
            </w:r>
          </w:p>
        </w:tc>
        <w:tc>
          <w:tcPr>
            <w:tcW w:w="1276" w:type="dxa"/>
          </w:tcPr>
          <w:p w14:paraId="02CBAFFF"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(b)</w:t>
            </w:r>
          </w:p>
        </w:tc>
        <w:tc>
          <w:tcPr>
            <w:tcW w:w="1134" w:type="dxa"/>
          </w:tcPr>
          <w:p w14:paraId="5B2B879A"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(c)</w:t>
            </w:r>
          </w:p>
        </w:tc>
        <w:tc>
          <w:tcPr>
            <w:tcW w:w="1276" w:type="dxa"/>
          </w:tcPr>
          <w:p w14:paraId="2FFE011B"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(d)</w:t>
            </w:r>
          </w:p>
        </w:tc>
        <w:tc>
          <w:tcPr>
            <w:tcW w:w="1134" w:type="dxa"/>
          </w:tcPr>
          <w:p w14:paraId="3E7D3157"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(e)</w:t>
            </w:r>
          </w:p>
        </w:tc>
        <w:tc>
          <w:tcPr>
            <w:tcW w:w="1237" w:type="dxa"/>
          </w:tcPr>
          <w:p w14:paraId="63DAA9D9"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(f)</w:t>
            </w:r>
          </w:p>
        </w:tc>
      </w:tr>
      <w:tr w:rsidR="006854AC" w:rsidRPr="006854AC" w14:paraId="64BA06C6" w14:textId="77777777" w:rsidTr="00F60474">
        <w:trPr>
          <w:trHeight w:val="292"/>
          <w:jc w:val="center"/>
        </w:trPr>
        <w:tc>
          <w:tcPr>
            <w:tcW w:w="2592" w:type="dxa"/>
            <w:gridSpan w:val="2"/>
            <w:tcBorders>
              <w:top w:val="nil"/>
              <w:left w:val="nil"/>
              <w:bottom w:val="nil"/>
            </w:tcBorders>
          </w:tcPr>
          <w:p w14:paraId="27A6DA01" w14:textId="77777777" w:rsidR="00DA1457" w:rsidRPr="006854AC" w:rsidRDefault="00DA1457" w:rsidP="00DA1457">
            <w:pPr>
              <w:widowControl w:val="0"/>
              <w:autoSpaceDE w:val="0"/>
              <w:autoSpaceDN w:val="0"/>
              <w:rPr>
                <w:rFonts w:eastAsia="Segoe UI" w:cs="Segoe UI"/>
                <w:sz w:val="17"/>
                <w:szCs w:val="17"/>
                <w:lang w:val="en-US" w:bidi="en-US"/>
              </w:rPr>
            </w:pPr>
          </w:p>
        </w:tc>
        <w:tc>
          <w:tcPr>
            <w:tcW w:w="3685" w:type="dxa"/>
            <w:gridSpan w:val="3"/>
          </w:tcPr>
          <w:p w14:paraId="47062BFC" w14:textId="77777777" w:rsidR="00DA1457" w:rsidRPr="006854AC" w:rsidRDefault="00DA1457" w:rsidP="00DA1457">
            <w:pPr>
              <w:keepLines/>
              <w:snapToGrid w:val="0"/>
              <w:spacing w:before="40" w:after="40"/>
              <w:jc w:val="center"/>
              <w:rPr>
                <w:rFonts w:eastAsiaTheme="minorEastAsia" w:cs="Segoe UI"/>
                <w:sz w:val="17"/>
                <w:szCs w:val="17"/>
                <w:lang w:eastAsia="en-GB"/>
              </w:rPr>
            </w:pPr>
            <w:r w:rsidRPr="006854AC">
              <w:rPr>
                <w:rFonts w:eastAsiaTheme="minorEastAsia" w:cs="Segoe UI"/>
                <w:sz w:val="17"/>
                <w:szCs w:val="17"/>
                <w:lang w:eastAsia="zh-HK"/>
              </w:rPr>
              <w:t>信用風險</w:t>
            </w:r>
          </w:p>
        </w:tc>
        <w:tc>
          <w:tcPr>
            <w:tcW w:w="3647" w:type="dxa"/>
            <w:gridSpan w:val="3"/>
          </w:tcPr>
          <w:p w14:paraId="52D2314C" w14:textId="77777777" w:rsidR="00DA1457" w:rsidRPr="006854AC" w:rsidRDefault="00DA1457" w:rsidP="00DA1457">
            <w:pPr>
              <w:keepLines/>
              <w:snapToGrid w:val="0"/>
              <w:spacing w:before="40" w:after="40"/>
              <w:jc w:val="center"/>
              <w:rPr>
                <w:rFonts w:eastAsiaTheme="minorEastAsia" w:cs="Segoe UI"/>
                <w:sz w:val="17"/>
                <w:szCs w:val="17"/>
                <w:lang w:eastAsia="en-GB"/>
              </w:rPr>
            </w:pPr>
            <w:r w:rsidRPr="006854AC">
              <w:rPr>
                <w:rFonts w:eastAsiaTheme="minorEastAsia" w:cs="Segoe UI"/>
                <w:sz w:val="17"/>
                <w:szCs w:val="17"/>
                <w:lang w:eastAsia="zh-HK"/>
              </w:rPr>
              <w:t>市場風險</w:t>
            </w:r>
          </w:p>
        </w:tc>
      </w:tr>
      <w:tr w:rsidR="006854AC" w:rsidRPr="006854AC" w14:paraId="250F62A8" w14:textId="77777777" w:rsidTr="00F60474">
        <w:trPr>
          <w:trHeight w:val="292"/>
          <w:jc w:val="center"/>
        </w:trPr>
        <w:tc>
          <w:tcPr>
            <w:tcW w:w="2592" w:type="dxa"/>
            <w:gridSpan w:val="2"/>
            <w:tcBorders>
              <w:top w:val="nil"/>
              <w:left w:val="nil"/>
            </w:tcBorders>
          </w:tcPr>
          <w:p w14:paraId="4FA2D5C9"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5" w:type="dxa"/>
          </w:tcPr>
          <w:p w14:paraId="34F06386" w14:textId="77777777" w:rsidR="00DA1457" w:rsidRPr="006854AC" w:rsidRDefault="00DA1457" w:rsidP="00DA1457">
            <w:pPr>
              <w:keepLines/>
              <w:snapToGrid w:val="0"/>
              <w:spacing w:before="40" w:after="40"/>
              <w:jc w:val="center"/>
              <w:rPr>
                <w:rFonts w:eastAsiaTheme="minorEastAsia" w:cs="Segoe UI"/>
                <w:sz w:val="17"/>
                <w:szCs w:val="17"/>
                <w:lang w:eastAsia="en-GB"/>
              </w:rPr>
            </w:pPr>
            <w:proofErr w:type="spellStart"/>
            <w:r w:rsidRPr="006854AC">
              <w:rPr>
                <w:rFonts w:eastAsiaTheme="minorEastAsia" w:cs="Segoe UI"/>
                <w:sz w:val="17"/>
                <w:szCs w:val="17"/>
                <w:lang w:eastAsia="en-GB"/>
              </w:rPr>
              <w:t>總風險承擔</w:t>
            </w:r>
            <w:proofErr w:type="spellEnd"/>
          </w:p>
        </w:tc>
        <w:tc>
          <w:tcPr>
            <w:tcW w:w="1276" w:type="dxa"/>
          </w:tcPr>
          <w:p w14:paraId="0526EDEA" w14:textId="5632E901" w:rsidR="00DA1457" w:rsidRPr="006854AC" w:rsidRDefault="00DA1457" w:rsidP="00E13738">
            <w:pPr>
              <w:keepLines/>
              <w:snapToGrid w:val="0"/>
              <w:spacing w:before="40" w:after="40"/>
              <w:jc w:val="center"/>
              <w:rPr>
                <w:rFonts w:eastAsiaTheme="minorEastAsia" w:cs="Segoe UI"/>
                <w:sz w:val="17"/>
                <w:szCs w:val="17"/>
                <w:lang w:eastAsia="en-GB"/>
              </w:rPr>
            </w:pPr>
            <w:proofErr w:type="spellStart"/>
            <w:r w:rsidRPr="006854AC">
              <w:rPr>
                <w:rFonts w:eastAsiaTheme="minorEastAsia" w:cs="Segoe UI"/>
                <w:sz w:val="17"/>
                <w:szCs w:val="17"/>
                <w:lang w:eastAsia="en-GB"/>
              </w:rPr>
              <w:t>風險承擔</w:t>
            </w:r>
            <w:proofErr w:type="spellEnd"/>
            <w:r w:rsidRPr="006854AC">
              <w:rPr>
                <w:rFonts w:eastAsiaTheme="minorEastAsia" w:cs="Segoe UI"/>
                <w:sz w:val="17"/>
                <w:szCs w:val="17"/>
                <w:lang w:eastAsia="zh-TW"/>
              </w:rPr>
              <w:t>／</w:t>
            </w:r>
            <w:r w:rsidRPr="006854AC">
              <w:rPr>
                <w:rFonts w:eastAsiaTheme="minorEastAsia" w:cs="Segoe UI"/>
                <w:sz w:val="17"/>
                <w:szCs w:val="17"/>
                <w:lang w:eastAsia="en-GB"/>
              </w:rPr>
              <w:br/>
              <w:t>EAD</w:t>
            </w:r>
          </w:p>
        </w:tc>
        <w:tc>
          <w:tcPr>
            <w:tcW w:w="1134" w:type="dxa"/>
          </w:tcPr>
          <w:p w14:paraId="4181E281" w14:textId="77777777" w:rsidR="00DA1457" w:rsidRPr="006854AC" w:rsidRDefault="00DA1457" w:rsidP="00DA1457">
            <w:pPr>
              <w:keepLines/>
              <w:snapToGrid w:val="0"/>
              <w:spacing w:before="40" w:after="40"/>
              <w:jc w:val="center"/>
              <w:rPr>
                <w:rFonts w:eastAsiaTheme="minorEastAsia" w:cs="Segoe UI"/>
                <w:sz w:val="17"/>
                <w:szCs w:val="17"/>
                <w:lang w:eastAsia="en-GB"/>
              </w:rPr>
            </w:pPr>
            <w:proofErr w:type="spellStart"/>
            <w:r w:rsidRPr="006854AC">
              <w:rPr>
                <w:rFonts w:eastAsiaTheme="minorEastAsia" w:cs="Segoe UI"/>
                <w:sz w:val="17"/>
                <w:szCs w:val="17"/>
                <w:lang w:eastAsia="en-GB"/>
              </w:rPr>
              <w:t>風險加權數額</w:t>
            </w:r>
            <w:proofErr w:type="spellEnd"/>
          </w:p>
        </w:tc>
        <w:tc>
          <w:tcPr>
            <w:tcW w:w="1276" w:type="dxa"/>
          </w:tcPr>
          <w:p w14:paraId="2EDB470E" w14:textId="77777777" w:rsidR="00DA1457" w:rsidRPr="006854AC" w:rsidRDefault="00DA1457" w:rsidP="00DA1457">
            <w:pPr>
              <w:keepLines/>
              <w:snapToGrid w:val="0"/>
              <w:spacing w:before="40" w:after="40"/>
              <w:jc w:val="center"/>
              <w:rPr>
                <w:rFonts w:eastAsiaTheme="minorEastAsia" w:cs="Segoe UI"/>
                <w:sz w:val="17"/>
                <w:szCs w:val="17"/>
                <w:lang w:eastAsia="en-GB"/>
              </w:rPr>
            </w:pPr>
            <w:proofErr w:type="spellStart"/>
            <w:r w:rsidRPr="006854AC">
              <w:rPr>
                <w:rFonts w:eastAsiaTheme="minorEastAsia" w:cs="Segoe UI"/>
                <w:sz w:val="17"/>
                <w:szCs w:val="17"/>
                <w:lang w:eastAsia="en-GB"/>
              </w:rPr>
              <w:t>長風險承擔</w:t>
            </w:r>
            <w:proofErr w:type="spellEnd"/>
          </w:p>
        </w:tc>
        <w:tc>
          <w:tcPr>
            <w:tcW w:w="1134" w:type="dxa"/>
          </w:tcPr>
          <w:p w14:paraId="2D41B5E9" w14:textId="77777777" w:rsidR="00DA1457" w:rsidRPr="006854AC" w:rsidRDefault="00DA1457" w:rsidP="00DA1457">
            <w:pPr>
              <w:keepLines/>
              <w:snapToGrid w:val="0"/>
              <w:spacing w:before="40" w:after="40"/>
              <w:jc w:val="center"/>
              <w:rPr>
                <w:rFonts w:eastAsiaTheme="minorEastAsia" w:cs="Segoe UI"/>
                <w:sz w:val="17"/>
                <w:szCs w:val="17"/>
                <w:lang w:eastAsia="en-GB"/>
              </w:rPr>
            </w:pPr>
            <w:r w:rsidRPr="006854AC">
              <w:rPr>
                <w:rFonts w:eastAsiaTheme="minorEastAsia" w:cs="Segoe UI"/>
                <w:sz w:val="17"/>
                <w:szCs w:val="17"/>
                <w:lang w:eastAsia="zh-HK"/>
              </w:rPr>
              <w:t>短</w:t>
            </w:r>
            <w:proofErr w:type="spellStart"/>
            <w:r w:rsidRPr="006854AC">
              <w:rPr>
                <w:rFonts w:eastAsiaTheme="minorEastAsia" w:cs="Segoe UI"/>
                <w:sz w:val="17"/>
                <w:szCs w:val="17"/>
                <w:lang w:eastAsia="en-GB"/>
              </w:rPr>
              <w:t>風險承擔</w:t>
            </w:r>
            <w:proofErr w:type="spellEnd"/>
          </w:p>
        </w:tc>
        <w:tc>
          <w:tcPr>
            <w:tcW w:w="1237" w:type="dxa"/>
          </w:tcPr>
          <w:p w14:paraId="4CEC6C9B" w14:textId="77777777" w:rsidR="00DA1457" w:rsidRPr="006854AC" w:rsidRDefault="00DA1457" w:rsidP="00DA1457">
            <w:pPr>
              <w:keepLines/>
              <w:snapToGrid w:val="0"/>
              <w:spacing w:before="40" w:after="40"/>
              <w:jc w:val="center"/>
              <w:rPr>
                <w:rFonts w:eastAsiaTheme="minorEastAsia" w:cs="Segoe UI"/>
                <w:sz w:val="17"/>
                <w:szCs w:val="17"/>
                <w:lang w:eastAsia="en-GB"/>
              </w:rPr>
            </w:pPr>
            <w:proofErr w:type="spellStart"/>
            <w:r w:rsidRPr="006854AC">
              <w:rPr>
                <w:rFonts w:eastAsiaTheme="minorEastAsia" w:cs="Segoe UI"/>
                <w:sz w:val="17"/>
                <w:szCs w:val="17"/>
                <w:lang w:eastAsia="en-GB"/>
              </w:rPr>
              <w:t>風險加權數額</w:t>
            </w:r>
            <w:proofErr w:type="spellEnd"/>
          </w:p>
        </w:tc>
      </w:tr>
      <w:tr w:rsidR="006854AC" w:rsidRPr="006854AC" w14:paraId="7B6350A7" w14:textId="77777777" w:rsidTr="00F60474">
        <w:trPr>
          <w:trHeight w:val="227"/>
          <w:jc w:val="center"/>
        </w:trPr>
        <w:tc>
          <w:tcPr>
            <w:tcW w:w="568" w:type="dxa"/>
            <w:tcBorders>
              <w:left w:val="nil"/>
            </w:tcBorders>
          </w:tcPr>
          <w:p w14:paraId="5A489388" w14:textId="77777777" w:rsidR="00DA1457" w:rsidRPr="006854AC" w:rsidRDefault="00DA1457" w:rsidP="00DA1457">
            <w:pPr>
              <w:widowControl w:val="0"/>
              <w:autoSpaceDE w:val="0"/>
              <w:autoSpaceDN w:val="0"/>
              <w:ind w:left="-279" w:firstLine="307"/>
              <w:rPr>
                <w:rFonts w:eastAsia="Segoe UI" w:cs="Segoe UI"/>
                <w:sz w:val="17"/>
                <w:szCs w:val="17"/>
                <w:lang w:val="en-US" w:bidi="en-US"/>
              </w:rPr>
            </w:pPr>
            <w:r w:rsidRPr="006854AC">
              <w:rPr>
                <w:rFonts w:eastAsia="Segoe UI" w:cs="Segoe UI"/>
                <w:sz w:val="17"/>
                <w:szCs w:val="17"/>
                <w:lang w:val="en-US" w:bidi="en-US"/>
              </w:rPr>
              <w:t>1</w:t>
            </w:r>
          </w:p>
        </w:tc>
        <w:tc>
          <w:tcPr>
            <w:tcW w:w="2024" w:type="dxa"/>
          </w:tcPr>
          <w:p w14:paraId="2D50B3B4" w14:textId="77777777" w:rsidR="00DA1457" w:rsidRPr="006854AC" w:rsidRDefault="00DA1457" w:rsidP="00DA1457">
            <w:pPr>
              <w:widowControl w:val="0"/>
              <w:autoSpaceDE w:val="0"/>
              <w:autoSpaceDN w:val="0"/>
              <w:ind w:left="105"/>
              <w:rPr>
                <w:rFonts w:eastAsiaTheme="minorEastAsia" w:cs="Segoe UI"/>
                <w:sz w:val="17"/>
                <w:szCs w:val="17"/>
                <w:lang w:val="en-US"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bidi="en-US"/>
              </w:rPr>
              <w:t>1a</w:t>
            </w:r>
            <w:r w:rsidRPr="006854AC">
              <w:rPr>
                <w:rFonts w:eastAsiaTheme="minorEastAsia" w:cs="Segoe UI"/>
                <w:sz w:val="17"/>
                <w:szCs w:val="17"/>
                <w:lang w:val="en-US" w:eastAsia="zh-HK" w:bidi="en-US"/>
              </w:rPr>
              <w:t>組加密資產</w:t>
            </w:r>
          </w:p>
        </w:tc>
        <w:tc>
          <w:tcPr>
            <w:tcW w:w="1275" w:type="dxa"/>
          </w:tcPr>
          <w:p w14:paraId="0C0ADE6E"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1803D3DE"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65E39E13"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6834221B"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330D5288" w14:textId="77777777" w:rsidR="00DA1457" w:rsidRPr="006854AC" w:rsidRDefault="00DA1457" w:rsidP="00DA1457">
            <w:pPr>
              <w:widowControl w:val="0"/>
              <w:autoSpaceDE w:val="0"/>
              <w:autoSpaceDN w:val="0"/>
              <w:rPr>
                <w:rFonts w:eastAsia="Segoe UI" w:cs="Segoe UI"/>
                <w:sz w:val="17"/>
                <w:szCs w:val="17"/>
                <w:lang w:val="en-US" w:bidi="en-US"/>
              </w:rPr>
            </w:pPr>
          </w:p>
        </w:tc>
        <w:tc>
          <w:tcPr>
            <w:tcW w:w="1237" w:type="dxa"/>
            <w:shd w:val="clear" w:color="auto" w:fill="CECECE"/>
          </w:tcPr>
          <w:p w14:paraId="2123F463" w14:textId="77777777" w:rsidR="00DA1457" w:rsidRPr="006854AC" w:rsidRDefault="00DA1457" w:rsidP="00DA1457">
            <w:pPr>
              <w:widowControl w:val="0"/>
              <w:autoSpaceDE w:val="0"/>
              <w:autoSpaceDN w:val="0"/>
              <w:rPr>
                <w:rFonts w:eastAsia="Segoe UI" w:cs="Segoe UI"/>
                <w:sz w:val="17"/>
                <w:szCs w:val="17"/>
                <w:lang w:val="en-US" w:bidi="en-US"/>
              </w:rPr>
            </w:pPr>
          </w:p>
        </w:tc>
      </w:tr>
      <w:tr w:rsidR="006854AC" w:rsidRPr="006854AC" w14:paraId="010B994D" w14:textId="77777777" w:rsidTr="00F60474">
        <w:trPr>
          <w:trHeight w:val="138"/>
          <w:jc w:val="center"/>
        </w:trPr>
        <w:tc>
          <w:tcPr>
            <w:tcW w:w="568" w:type="dxa"/>
            <w:tcBorders>
              <w:left w:val="nil"/>
            </w:tcBorders>
          </w:tcPr>
          <w:p w14:paraId="2C1A1CF1" w14:textId="77777777" w:rsidR="00DA1457" w:rsidRPr="006854AC" w:rsidRDefault="00DA1457" w:rsidP="00DA1457">
            <w:pPr>
              <w:widowControl w:val="0"/>
              <w:autoSpaceDE w:val="0"/>
              <w:autoSpaceDN w:val="0"/>
              <w:ind w:left="28"/>
              <w:rPr>
                <w:rFonts w:eastAsia="Segoe UI" w:cs="Segoe UI"/>
                <w:sz w:val="17"/>
                <w:szCs w:val="17"/>
                <w:lang w:val="en-US" w:bidi="en-US"/>
              </w:rPr>
            </w:pPr>
            <w:r w:rsidRPr="006854AC">
              <w:rPr>
                <w:rFonts w:eastAsia="Segoe UI" w:cs="Segoe UI"/>
                <w:sz w:val="17"/>
                <w:szCs w:val="17"/>
                <w:lang w:val="en-US" w:bidi="en-US"/>
              </w:rPr>
              <w:t>2</w:t>
            </w:r>
          </w:p>
        </w:tc>
        <w:tc>
          <w:tcPr>
            <w:tcW w:w="2024" w:type="dxa"/>
          </w:tcPr>
          <w:p w14:paraId="00D51036" w14:textId="77777777" w:rsidR="00DA1457" w:rsidRPr="006854AC" w:rsidRDefault="00DA1457" w:rsidP="00DA1457">
            <w:pPr>
              <w:widowControl w:val="0"/>
              <w:autoSpaceDE w:val="0"/>
              <w:autoSpaceDN w:val="0"/>
              <w:ind w:left="105"/>
              <w:rPr>
                <w:rFonts w:eastAsiaTheme="minorEastAsia" w:cs="Segoe UI"/>
                <w:sz w:val="17"/>
                <w:szCs w:val="17"/>
                <w:lang w:val="en-US"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bidi="en-US"/>
              </w:rPr>
              <w:t>1b</w:t>
            </w:r>
            <w:r w:rsidRPr="006854AC">
              <w:rPr>
                <w:rFonts w:eastAsiaTheme="minorEastAsia" w:cs="Segoe UI"/>
                <w:sz w:val="17"/>
                <w:szCs w:val="17"/>
                <w:lang w:val="en-US" w:eastAsia="zh-HK" w:bidi="en-US"/>
              </w:rPr>
              <w:t>組加密資產</w:t>
            </w:r>
          </w:p>
        </w:tc>
        <w:tc>
          <w:tcPr>
            <w:tcW w:w="1275" w:type="dxa"/>
          </w:tcPr>
          <w:p w14:paraId="08DBA61C"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6D804661"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6D18E425"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6EF54D0F"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539A2EC3" w14:textId="77777777" w:rsidR="00DA1457" w:rsidRPr="006854AC" w:rsidRDefault="00DA1457" w:rsidP="00DA1457">
            <w:pPr>
              <w:widowControl w:val="0"/>
              <w:autoSpaceDE w:val="0"/>
              <w:autoSpaceDN w:val="0"/>
              <w:rPr>
                <w:rFonts w:eastAsia="Segoe UI" w:cs="Segoe UI"/>
                <w:sz w:val="17"/>
                <w:szCs w:val="17"/>
                <w:lang w:val="en-US" w:bidi="en-US"/>
              </w:rPr>
            </w:pPr>
          </w:p>
        </w:tc>
        <w:tc>
          <w:tcPr>
            <w:tcW w:w="1237" w:type="dxa"/>
            <w:shd w:val="clear" w:color="auto" w:fill="CECECE"/>
          </w:tcPr>
          <w:p w14:paraId="5D00C17C" w14:textId="77777777" w:rsidR="00DA1457" w:rsidRPr="006854AC" w:rsidRDefault="00DA1457" w:rsidP="00DA1457">
            <w:pPr>
              <w:widowControl w:val="0"/>
              <w:autoSpaceDE w:val="0"/>
              <w:autoSpaceDN w:val="0"/>
              <w:rPr>
                <w:rFonts w:eastAsia="Segoe UI" w:cs="Segoe UI"/>
                <w:sz w:val="17"/>
                <w:szCs w:val="17"/>
                <w:lang w:val="en-US" w:bidi="en-US"/>
              </w:rPr>
            </w:pPr>
          </w:p>
        </w:tc>
      </w:tr>
      <w:tr w:rsidR="006854AC" w:rsidRPr="006854AC" w14:paraId="4C214B16" w14:textId="77777777" w:rsidTr="00F60474">
        <w:trPr>
          <w:trHeight w:val="387"/>
          <w:jc w:val="center"/>
        </w:trPr>
        <w:tc>
          <w:tcPr>
            <w:tcW w:w="568" w:type="dxa"/>
            <w:tcBorders>
              <w:left w:val="nil"/>
            </w:tcBorders>
          </w:tcPr>
          <w:p w14:paraId="3504DDFD" w14:textId="77777777" w:rsidR="00DA1457" w:rsidRPr="006854AC" w:rsidRDefault="00DA1457" w:rsidP="00DA1457">
            <w:pPr>
              <w:widowControl w:val="0"/>
              <w:autoSpaceDE w:val="0"/>
              <w:autoSpaceDN w:val="0"/>
              <w:ind w:left="28"/>
              <w:rPr>
                <w:rFonts w:eastAsia="Segoe UI" w:cs="Segoe UI"/>
                <w:sz w:val="17"/>
                <w:szCs w:val="17"/>
                <w:lang w:val="en-US" w:bidi="en-US"/>
              </w:rPr>
            </w:pPr>
            <w:r w:rsidRPr="006854AC">
              <w:rPr>
                <w:rFonts w:eastAsia="Segoe UI" w:cs="Segoe UI"/>
                <w:sz w:val="17"/>
                <w:szCs w:val="17"/>
                <w:lang w:val="en-US" w:bidi="en-US"/>
              </w:rPr>
              <w:t>2.i</w:t>
            </w:r>
          </w:p>
        </w:tc>
        <w:tc>
          <w:tcPr>
            <w:tcW w:w="2024" w:type="dxa"/>
          </w:tcPr>
          <w:p w14:paraId="16C50389" w14:textId="77777777" w:rsidR="00DA1457" w:rsidRPr="006854AC" w:rsidRDefault="00DA1457" w:rsidP="00DA1457">
            <w:pPr>
              <w:widowControl w:val="0"/>
              <w:autoSpaceDE w:val="0"/>
              <w:autoSpaceDN w:val="0"/>
              <w:ind w:left="482" w:right="93"/>
              <w:rPr>
                <w:rFonts w:eastAsiaTheme="minorEastAsia" w:cs="Segoe UI"/>
                <w:sz w:val="17"/>
                <w:szCs w:val="17"/>
                <w:lang w:val="en-US" w:eastAsia="zh-TW" w:bidi="en-US"/>
              </w:rPr>
            </w:pPr>
            <w:r w:rsidRPr="006854AC">
              <w:rPr>
                <w:rFonts w:eastAsiaTheme="minorEastAsia" w:cs="Segoe UI"/>
                <w:sz w:val="17"/>
                <w:szCs w:val="17"/>
                <w:lang w:val="en-US" w:eastAsia="zh-HK" w:bidi="en-US"/>
              </w:rPr>
              <w:t>其中：</w:t>
            </w:r>
            <w:r w:rsidRPr="006854AC">
              <w:rPr>
                <w:rFonts w:eastAsiaTheme="minorEastAsia" w:cs="Segoe UI"/>
                <w:sz w:val="17"/>
                <w:szCs w:val="17"/>
                <w:lang w:val="en-US" w:eastAsia="zh-TW" w:bidi="en-US"/>
              </w:rPr>
              <w:t xml:space="preserve"> </w:t>
            </w:r>
          </w:p>
          <w:p w14:paraId="1F256ED5" w14:textId="77777777" w:rsidR="00DA1457" w:rsidRPr="006854AC" w:rsidRDefault="00DA1457" w:rsidP="00DA1457">
            <w:pPr>
              <w:widowControl w:val="0"/>
              <w:autoSpaceDE w:val="0"/>
              <w:autoSpaceDN w:val="0"/>
              <w:ind w:left="482" w:right="93"/>
              <w:rPr>
                <w:rFonts w:eastAsiaTheme="minorEastAsia" w:cs="Segoe UI"/>
                <w:sz w:val="17"/>
                <w:szCs w:val="17"/>
                <w:lang w:val="en-US" w:eastAsia="zh-TW" w:bidi="en-US"/>
              </w:rPr>
            </w:pPr>
            <w:r w:rsidRPr="006854AC">
              <w:rPr>
                <w:rFonts w:eastAsiaTheme="minorEastAsia" w:cs="Segoe UI"/>
                <w:sz w:val="17"/>
                <w:szCs w:val="17"/>
                <w:lang w:val="en-US" w:eastAsia="zh-HK" w:bidi="en-US"/>
              </w:rPr>
              <w:t>加密資產</w:t>
            </w:r>
            <w:r w:rsidRPr="006854AC">
              <w:rPr>
                <w:rFonts w:eastAsiaTheme="minorEastAsia" w:cs="Segoe UI"/>
                <w:sz w:val="17"/>
                <w:szCs w:val="17"/>
                <w:lang w:val="en-US" w:eastAsia="zh-TW" w:bidi="en-US"/>
              </w:rPr>
              <w:t xml:space="preserve"> XXX</w:t>
            </w:r>
          </w:p>
        </w:tc>
        <w:tc>
          <w:tcPr>
            <w:tcW w:w="1275" w:type="dxa"/>
          </w:tcPr>
          <w:p w14:paraId="7A19AB38"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45CA70A0"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024F944D"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41F91036"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0AEFB0FA"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37" w:type="dxa"/>
            <w:shd w:val="clear" w:color="auto" w:fill="CECECE"/>
          </w:tcPr>
          <w:p w14:paraId="28652AA2" w14:textId="77777777" w:rsidR="00DA1457" w:rsidRPr="006854AC" w:rsidRDefault="00DA1457" w:rsidP="00DA1457">
            <w:pPr>
              <w:widowControl w:val="0"/>
              <w:autoSpaceDE w:val="0"/>
              <w:autoSpaceDN w:val="0"/>
              <w:rPr>
                <w:rFonts w:eastAsia="Segoe UI" w:cs="Segoe UI"/>
                <w:sz w:val="17"/>
                <w:szCs w:val="17"/>
                <w:lang w:val="en-US" w:eastAsia="zh-TW" w:bidi="en-US"/>
              </w:rPr>
            </w:pPr>
          </w:p>
        </w:tc>
      </w:tr>
      <w:tr w:rsidR="006854AC" w:rsidRPr="006854AC" w14:paraId="2AEC4380" w14:textId="77777777" w:rsidTr="00F60474">
        <w:trPr>
          <w:trHeight w:val="227"/>
          <w:jc w:val="center"/>
        </w:trPr>
        <w:tc>
          <w:tcPr>
            <w:tcW w:w="568" w:type="dxa"/>
            <w:tcBorders>
              <w:left w:val="nil"/>
            </w:tcBorders>
          </w:tcPr>
          <w:p w14:paraId="344A7AB6" w14:textId="77777777" w:rsidR="00DA1457" w:rsidRPr="006854AC" w:rsidRDefault="00DA1457" w:rsidP="00DA1457">
            <w:pPr>
              <w:widowControl w:val="0"/>
              <w:autoSpaceDE w:val="0"/>
              <w:autoSpaceDN w:val="0"/>
              <w:ind w:left="28"/>
              <w:rPr>
                <w:rFonts w:eastAsia="Segoe UI" w:cs="Segoe UI"/>
                <w:sz w:val="17"/>
                <w:szCs w:val="17"/>
                <w:lang w:val="en-US" w:bidi="en-US"/>
              </w:rPr>
            </w:pPr>
            <w:r w:rsidRPr="006854AC">
              <w:rPr>
                <w:rFonts w:eastAsia="Segoe UI" w:cs="Segoe UI"/>
                <w:sz w:val="17"/>
                <w:szCs w:val="17"/>
                <w:lang w:val="en-US" w:bidi="en-US"/>
              </w:rPr>
              <w:t>2.ii</w:t>
            </w:r>
          </w:p>
        </w:tc>
        <w:tc>
          <w:tcPr>
            <w:tcW w:w="2024" w:type="dxa"/>
          </w:tcPr>
          <w:p w14:paraId="28526B4A" w14:textId="77777777" w:rsidR="00DA1457" w:rsidRPr="006854AC" w:rsidRDefault="00DA1457" w:rsidP="00DA1457">
            <w:pPr>
              <w:widowControl w:val="0"/>
              <w:autoSpaceDE w:val="0"/>
              <w:autoSpaceDN w:val="0"/>
              <w:spacing w:line="250" w:lineRule="atLeast"/>
              <w:ind w:left="482" w:right="111"/>
              <w:rPr>
                <w:rFonts w:eastAsiaTheme="minorEastAsia" w:cs="Segoe UI"/>
                <w:sz w:val="17"/>
                <w:szCs w:val="17"/>
                <w:lang w:val="en-US" w:eastAsia="zh-TW" w:bidi="en-US"/>
              </w:rPr>
            </w:pPr>
            <w:r w:rsidRPr="006854AC">
              <w:rPr>
                <w:rFonts w:eastAsiaTheme="minorEastAsia" w:cs="Segoe UI"/>
                <w:sz w:val="17"/>
                <w:szCs w:val="17"/>
                <w:lang w:val="en-US" w:eastAsia="zh-HK" w:bidi="en-US"/>
              </w:rPr>
              <w:t>其中</w:t>
            </w:r>
            <w:r w:rsidRPr="006854AC">
              <w:rPr>
                <w:rFonts w:eastAsiaTheme="minorEastAsia" w:cs="Segoe UI"/>
                <w:sz w:val="17"/>
                <w:szCs w:val="17"/>
                <w:lang w:val="en-US" w:eastAsia="zh-TW" w:bidi="en-US"/>
              </w:rPr>
              <w:t>：</w:t>
            </w:r>
            <w:r w:rsidRPr="006854AC">
              <w:rPr>
                <w:rFonts w:eastAsiaTheme="minorEastAsia" w:cs="Segoe UI"/>
                <w:sz w:val="17"/>
                <w:szCs w:val="17"/>
                <w:lang w:val="en-US" w:eastAsia="zh-TW" w:bidi="en-US"/>
              </w:rPr>
              <w:t xml:space="preserve"> </w:t>
            </w:r>
          </w:p>
          <w:p w14:paraId="7CEAC12F" w14:textId="77777777" w:rsidR="00DA1457" w:rsidRPr="006854AC" w:rsidRDefault="00DA1457" w:rsidP="00DA1457">
            <w:pPr>
              <w:widowControl w:val="0"/>
              <w:autoSpaceDE w:val="0"/>
              <w:autoSpaceDN w:val="0"/>
              <w:spacing w:line="250" w:lineRule="atLeast"/>
              <w:ind w:left="482" w:right="111"/>
              <w:rPr>
                <w:rFonts w:eastAsiaTheme="minorEastAsia" w:cs="Segoe UI"/>
                <w:sz w:val="17"/>
                <w:szCs w:val="17"/>
                <w:lang w:val="en-US" w:eastAsia="zh-TW" w:bidi="en-US"/>
              </w:rPr>
            </w:pPr>
            <w:r w:rsidRPr="006854AC">
              <w:rPr>
                <w:rFonts w:eastAsiaTheme="minorEastAsia" w:cs="Segoe UI"/>
                <w:sz w:val="17"/>
                <w:szCs w:val="17"/>
                <w:lang w:val="en-US" w:eastAsia="zh-HK" w:bidi="en-US"/>
              </w:rPr>
              <w:t>加密資產</w:t>
            </w:r>
            <w:r w:rsidRPr="006854AC">
              <w:rPr>
                <w:rFonts w:eastAsiaTheme="minorEastAsia" w:cs="Segoe UI"/>
                <w:sz w:val="17"/>
                <w:szCs w:val="17"/>
                <w:lang w:val="en-US" w:eastAsia="zh-TW" w:bidi="en-US"/>
              </w:rPr>
              <w:t xml:space="preserve"> YYY</w:t>
            </w:r>
          </w:p>
        </w:tc>
        <w:tc>
          <w:tcPr>
            <w:tcW w:w="1275" w:type="dxa"/>
          </w:tcPr>
          <w:p w14:paraId="550216F8"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4C37FB57"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1AB20AE1"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3B581E26"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3E896B6D"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37" w:type="dxa"/>
            <w:shd w:val="clear" w:color="auto" w:fill="CECECE"/>
          </w:tcPr>
          <w:p w14:paraId="38EB0359" w14:textId="77777777" w:rsidR="00DA1457" w:rsidRPr="006854AC" w:rsidRDefault="00DA1457" w:rsidP="00DA1457">
            <w:pPr>
              <w:widowControl w:val="0"/>
              <w:autoSpaceDE w:val="0"/>
              <w:autoSpaceDN w:val="0"/>
              <w:rPr>
                <w:rFonts w:eastAsia="Segoe UI" w:cs="Segoe UI"/>
                <w:sz w:val="17"/>
                <w:szCs w:val="17"/>
                <w:lang w:val="en-US" w:eastAsia="zh-TW" w:bidi="en-US"/>
              </w:rPr>
            </w:pPr>
          </w:p>
        </w:tc>
      </w:tr>
      <w:tr w:rsidR="006854AC" w:rsidRPr="006854AC" w14:paraId="4C9111DD" w14:textId="77777777" w:rsidTr="00F60474">
        <w:trPr>
          <w:trHeight w:val="227"/>
          <w:jc w:val="center"/>
        </w:trPr>
        <w:tc>
          <w:tcPr>
            <w:tcW w:w="568" w:type="dxa"/>
            <w:tcBorders>
              <w:left w:val="nil"/>
            </w:tcBorders>
          </w:tcPr>
          <w:p w14:paraId="44E65AFE"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2024" w:type="dxa"/>
          </w:tcPr>
          <w:p w14:paraId="543DA5C7" w14:textId="77777777" w:rsidR="00DA1457" w:rsidRPr="006854AC" w:rsidRDefault="00DA1457" w:rsidP="00DA1457">
            <w:pPr>
              <w:widowControl w:val="0"/>
              <w:autoSpaceDE w:val="0"/>
              <w:autoSpaceDN w:val="0"/>
              <w:ind w:left="105"/>
              <w:rPr>
                <w:rFonts w:eastAsiaTheme="minorEastAsia" w:cs="Segoe UI"/>
                <w:sz w:val="17"/>
                <w:szCs w:val="17"/>
                <w:lang w:val="en-US" w:bidi="en-US"/>
              </w:rPr>
            </w:pPr>
            <w:r w:rsidRPr="006854AC">
              <w:rPr>
                <w:rFonts w:eastAsiaTheme="minorEastAsia" w:cs="Segoe UI"/>
                <w:sz w:val="17"/>
                <w:szCs w:val="17"/>
                <w:lang w:val="en-US" w:bidi="en-US"/>
              </w:rPr>
              <w:t>…</w:t>
            </w:r>
          </w:p>
        </w:tc>
        <w:tc>
          <w:tcPr>
            <w:tcW w:w="1275" w:type="dxa"/>
          </w:tcPr>
          <w:p w14:paraId="5C0DA586" w14:textId="77777777" w:rsidR="00DA1457" w:rsidRPr="006854AC" w:rsidRDefault="00DA1457" w:rsidP="00DA1457">
            <w:pPr>
              <w:widowControl w:val="0"/>
              <w:autoSpaceDE w:val="0"/>
              <w:autoSpaceDN w:val="0"/>
              <w:rPr>
                <w:rFonts w:eastAsia="Segoe UI" w:cs="Segoe UI"/>
                <w:sz w:val="17"/>
                <w:szCs w:val="17"/>
                <w:lang w:val="en-US" w:bidi="en-US"/>
              </w:rPr>
            </w:pPr>
            <w:r w:rsidRPr="006854AC">
              <w:rPr>
                <w:rFonts w:eastAsia="Segoe UI" w:cs="Segoe UI"/>
                <w:sz w:val="17"/>
                <w:szCs w:val="17"/>
                <w:lang w:val="en-US" w:bidi="en-US"/>
              </w:rPr>
              <w:t xml:space="preserve"> </w:t>
            </w:r>
          </w:p>
        </w:tc>
        <w:tc>
          <w:tcPr>
            <w:tcW w:w="1276" w:type="dxa"/>
          </w:tcPr>
          <w:p w14:paraId="1293E48B"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4EB35A53"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519CF3F9"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0D487EC9" w14:textId="77777777" w:rsidR="00DA1457" w:rsidRPr="006854AC" w:rsidRDefault="00DA1457" w:rsidP="00DA1457">
            <w:pPr>
              <w:widowControl w:val="0"/>
              <w:autoSpaceDE w:val="0"/>
              <w:autoSpaceDN w:val="0"/>
              <w:rPr>
                <w:rFonts w:eastAsia="Segoe UI" w:cs="Segoe UI"/>
                <w:sz w:val="17"/>
                <w:szCs w:val="17"/>
                <w:lang w:val="en-US" w:bidi="en-US"/>
              </w:rPr>
            </w:pPr>
          </w:p>
        </w:tc>
        <w:tc>
          <w:tcPr>
            <w:tcW w:w="1237" w:type="dxa"/>
            <w:shd w:val="clear" w:color="auto" w:fill="CECECE"/>
          </w:tcPr>
          <w:p w14:paraId="3134AB01" w14:textId="77777777" w:rsidR="00DA1457" w:rsidRPr="006854AC" w:rsidRDefault="00DA1457" w:rsidP="00DA1457">
            <w:pPr>
              <w:widowControl w:val="0"/>
              <w:autoSpaceDE w:val="0"/>
              <w:autoSpaceDN w:val="0"/>
              <w:rPr>
                <w:rFonts w:eastAsia="Segoe UI" w:cs="Segoe UI"/>
                <w:sz w:val="17"/>
                <w:szCs w:val="17"/>
                <w:lang w:val="en-US" w:bidi="en-US"/>
              </w:rPr>
            </w:pPr>
          </w:p>
        </w:tc>
      </w:tr>
      <w:tr w:rsidR="006854AC" w:rsidRPr="006854AC" w14:paraId="19FE049A" w14:textId="77777777" w:rsidTr="00F60474">
        <w:trPr>
          <w:trHeight w:val="227"/>
          <w:jc w:val="center"/>
        </w:trPr>
        <w:tc>
          <w:tcPr>
            <w:tcW w:w="568" w:type="dxa"/>
            <w:tcBorders>
              <w:left w:val="nil"/>
            </w:tcBorders>
          </w:tcPr>
          <w:p w14:paraId="74673694" w14:textId="77777777" w:rsidR="00DA1457" w:rsidRPr="006854AC" w:rsidRDefault="00DA1457" w:rsidP="00DA1457">
            <w:pPr>
              <w:widowControl w:val="0"/>
              <w:autoSpaceDE w:val="0"/>
              <w:autoSpaceDN w:val="0"/>
              <w:ind w:left="28"/>
              <w:rPr>
                <w:rFonts w:eastAsia="Segoe UI" w:cs="Segoe UI"/>
                <w:sz w:val="17"/>
                <w:szCs w:val="17"/>
                <w:lang w:val="en-US" w:bidi="en-US"/>
              </w:rPr>
            </w:pPr>
            <w:r w:rsidRPr="006854AC">
              <w:rPr>
                <w:rFonts w:eastAsia="Segoe UI" w:cs="Segoe UI"/>
                <w:sz w:val="17"/>
                <w:szCs w:val="17"/>
                <w:lang w:val="en-US" w:bidi="en-US"/>
              </w:rPr>
              <w:t>3</w:t>
            </w:r>
          </w:p>
        </w:tc>
        <w:tc>
          <w:tcPr>
            <w:tcW w:w="2024" w:type="dxa"/>
          </w:tcPr>
          <w:p w14:paraId="36A5D02A" w14:textId="77777777" w:rsidR="00DA1457" w:rsidRPr="006854AC" w:rsidRDefault="00DA1457" w:rsidP="00DA1457">
            <w:pPr>
              <w:widowControl w:val="0"/>
              <w:autoSpaceDE w:val="0"/>
              <w:autoSpaceDN w:val="0"/>
              <w:ind w:left="105"/>
              <w:rPr>
                <w:rFonts w:eastAsiaTheme="minorEastAsia" w:cs="Segoe UI"/>
                <w:sz w:val="17"/>
                <w:szCs w:val="17"/>
                <w:lang w:val="en-US"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eastAsia="zh-TW" w:bidi="en-US"/>
              </w:rPr>
              <w:t>2</w:t>
            </w:r>
            <w:r w:rsidRPr="006854AC">
              <w:rPr>
                <w:rFonts w:eastAsiaTheme="minorEastAsia" w:cs="Segoe UI"/>
                <w:sz w:val="17"/>
                <w:szCs w:val="17"/>
                <w:lang w:val="en-US" w:bidi="en-US"/>
              </w:rPr>
              <w:t>a</w:t>
            </w:r>
            <w:r w:rsidRPr="006854AC">
              <w:rPr>
                <w:rFonts w:eastAsiaTheme="minorEastAsia" w:cs="Segoe UI"/>
                <w:sz w:val="17"/>
                <w:szCs w:val="17"/>
                <w:lang w:val="en-US" w:eastAsia="zh-HK" w:bidi="en-US"/>
              </w:rPr>
              <w:t>組加密資產</w:t>
            </w:r>
          </w:p>
        </w:tc>
        <w:tc>
          <w:tcPr>
            <w:tcW w:w="1275" w:type="dxa"/>
          </w:tcPr>
          <w:p w14:paraId="122FB39A"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4B09D457"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5323ECB0"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243C0909"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2E3363BB" w14:textId="77777777" w:rsidR="00DA1457" w:rsidRPr="006854AC" w:rsidRDefault="00DA1457" w:rsidP="00DA1457">
            <w:pPr>
              <w:widowControl w:val="0"/>
              <w:autoSpaceDE w:val="0"/>
              <w:autoSpaceDN w:val="0"/>
              <w:rPr>
                <w:rFonts w:eastAsia="Segoe UI" w:cs="Segoe UI"/>
                <w:sz w:val="17"/>
                <w:szCs w:val="17"/>
                <w:lang w:val="en-US" w:bidi="en-US"/>
              </w:rPr>
            </w:pPr>
          </w:p>
        </w:tc>
        <w:tc>
          <w:tcPr>
            <w:tcW w:w="1237" w:type="dxa"/>
          </w:tcPr>
          <w:p w14:paraId="0485BF06" w14:textId="77777777" w:rsidR="00DA1457" w:rsidRPr="006854AC" w:rsidRDefault="00DA1457" w:rsidP="00DA1457">
            <w:pPr>
              <w:widowControl w:val="0"/>
              <w:autoSpaceDE w:val="0"/>
              <w:autoSpaceDN w:val="0"/>
              <w:rPr>
                <w:rFonts w:eastAsia="Segoe UI" w:cs="Segoe UI"/>
                <w:sz w:val="17"/>
                <w:szCs w:val="17"/>
                <w:lang w:val="en-US" w:bidi="en-US"/>
              </w:rPr>
            </w:pPr>
          </w:p>
        </w:tc>
      </w:tr>
      <w:tr w:rsidR="006854AC" w:rsidRPr="006854AC" w14:paraId="73A63E64" w14:textId="77777777" w:rsidTr="00F60474">
        <w:trPr>
          <w:trHeight w:val="227"/>
          <w:jc w:val="center"/>
        </w:trPr>
        <w:tc>
          <w:tcPr>
            <w:tcW w:w="568" w:type="dxa"/>
            <w:tcBorders>
              <w:left w:val="nil"/>
            </w:tcBorders>
          </w:tcPr>
          <w:p w14:paraId="41033CFF" w14:textId="77777777" w:rsidR="00DA1457" w:rsidRPr="006854AC" w:rsidRDefault="00DA1457" w:rsidP="00DA1457">
            <w:pPr>
              <w:widowControl w:val="0"/>
              <w:autoSpaceDE w:val="0"/>
              <w:autoSpaceDN w:val="0"/>
              <w:ind w:left="28"/>
              <w:rPr>
                <w:rFonts w:eastAsia="Segoe UI" w:cs="Segoe UI"/>
                <w:sz w:val="17"/>
                <w:szCs w:val="17"/>
                <w:lang w:val="en-US" w:bidi="en-US"/>
              </w:rPr>
            </w:pPr>
            <w:r w:rsidRPr="006854AC">
              <w:rPr>
                <w:rFonts w:eastAsia="Segoe UI" w:cs="Segoe UI"/>
                <w:sz w:val="17"/>
                <w:szCs w:val="17"/>
                <w:lang w:val="en-US" w:bidi="en-US"/>
              </w:rPr>
              <w:t>3.i</w:t>
            </w:r>
          </w:p>
        </w:tc>
        <w:tc>
          <w:tcPr>
            <w:tcW w:w="2024" w:type="dxa"/>
          </w:tcPr>
          <w:p w14:paraId="3447CD31"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val="en-US" w:eastAsia="zh-TW" w:bidi="en-US"/>
              </w:rPr>
            </w:pPr>
            <w:r w:rsidRPr="006854AC">
              <w:rPr>
                <w:rFonts w:eastAsiaTheme="minorEastAsia" w:cs="Segoe UI"/>
                <w:sz w:val="17"/>
                <w:szCs w:val="17"/>
                <w:lang w:val="en-US" w:eastAsia="zh-HK" w:bidi="en-US"/>
              </w:rPr>
              <w:t>其中：</w:t>
            </w:r>
            <w:r w:rsidRPr="006854AC">
              <w:rPr>
                <w:rFonts w:eastAsiaTheme="minorEastAsia" w:cs="Segoe UI"/>
                <w:sz w:val="17"/>
                <w:szCs w:val="17"/>
                <w:lang w:val="en-US" w:eastAsia="zh-TW" w:bidi="en-US"/>
              </w:rPr>
              <w:t xml:space="preserve"> </w:t>
            </w:r>
          </w:p>
          <w:p w14:paraId="4197A060"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val="en-US" w:eastAsia="zh-TW" w:bidi="en-US"/>
              </w:rPr>
            </w:pPr>
            <w:r w:rsidRPr="006854AC">
              <w:rPr>
                <w:rFonts w:eastAsiaTheme="minorEastAsia" w:cs="Segoe UI"/>
                <w:sz w:val="17"/>
                <w:szCs w:val="17"/>
                <w:lang w:val="en-US" w:eastAsia="zh-HK" w:bidi="en-US"/>
              </w:rPr>
              <w:t>加密資產</w:t>
            </w:r>
            <w:r w:rsidRPr="006854AC">
              <w:rPr>
                <w:rFonts w:eastAsiaTheme="minorEastAsia" w:cs="Segoe UI"/>
                <w:sz w:val="17"/>
                <w:szCs w:val="17"/>
                <w:lang w:val="en-US" w:eastAsia="zh-TW" w:bidi="en-US"/>
              </w:rPr>
              <w:t xml:space="preserve"> XXX</w:t>
            </w:r>
          </w:p>
        </w:tc>
        <w:tc>
          <w:tcPr>
            <w:tcW w:w="1275" w:type="dxa"/>
          </w:tcPr>
          <w:p w14:paraId="70F058F7"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4F91F09E"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2CC8C507"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2D3B590A"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58D390A6"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37" w:type="dxa"/>
          </w:tcPr>
          <w:p w14:paraId="47611D1A" w14:textId="77777777" w:rsidR="00DA1457" w:rsidRPr="006854AC" w:rsidRDefault="00DA1457" w:rsidP="00DA1457">
            <w:pPr>
              <w:widowControl w:val="0"/>
              <w:autoSpaceDE w:val="0"/>
              <w:autoSpaceDN w:val="0"/>
              <w:rPr>
                <w:rFonts w:eastAsia="Segoe UI" w:cs="Segoe UI"/>
                <w:sz w:val="17"/>
                <w:szCs w:val="17"/>
                <w:lang w:val="en-US" w:eastAsia="zh-TW" w:bidi="en-US"/>
              </w:rPr>
            </w:pPr>
          </w:p>
        </w:tc>
      </w:tr>
      <w:tr w:rsidR="006854AC" w:rsidRPr="006854AC" w14:paraId="370C2290" w14:textId="77777777" w:rsidTr="00F60474">
        <w:trPr>
          <w:trHeight w:val="227"/>
          <w:jc w:val="center"/>
        </w:trPr>
        <w:tc>
          <w:tcPr>
            <w:tcW w:w="568" w:type="dxa"/>
            <w:tcBorders>
              <w:left w:val="nil"/>
            </w:tcBorders>
          </w:tcPr>
          <w:p w14:paraId="4BB47B43"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3.ii</w:t>
            </w:r>
          </w:p>
        </w:tc>
        <w:tc>
          <w:tcPr>
            <w:tcW w:w="2024" w:type="dxa"/>
          </w:tcPr>
          <w:p w14:paraId="65E999C5"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val="en-US" w:eastAsia="zh-TW" w:bidi="en-US"/>
              </w:rPr>
            </w:pPr>
            <w:r w:rsidRPr="006854AC">
              <w:rPr>
                <w:rFonts w:eastAsiaTheme="minorEastAsia" w:cs="Segoe UI"/>
                <w:sz w:val="17"/>
                <w:szCs w:val="17"/>
                <w:lang w:val="en-US" w:eastAsia="zh-HK" w:bidi="en-US"/>
              </w:rPr>
              <w:t>其中：</w:t>
            </w:r>
          </w:p>
          <w:p w14:paraId="4DBD1200"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val="en-US" w:eastAsia="zh-TW" w:bidi="en-US"/>
              </w:rPr>
            </w:pPr>
            <w:r w:rsidRPr="006854AC">
              <w:rPr>
                <w:rFonts w:eastAsiaTheme="minorEastAsia" w:cs="Segoe UI"/>
                <w:sz w:val="17"/>
                <w:szCs w:val="17"/>
                <w:lang w:val="en-US" w:eastAsia="zh-HK" w:bidi="en-US"/>
              </w:rPr>
              <w:t>加密資產</w:t>
            </w:r>
            <w:r w:rsidRPr="006854AC">
              <w:rPr>
                <w:rFonts w:eastAsiaTheme="minorEastAsia" w:cs="Segoe UI"/>
                <w:sz w:val="17"/>
                <w:szCs w:val="17"/>
                <w:lang w:val="en-US" w:eastAsia="zh-TW" w:bidi="en-US"/>
              </w:rPr>
              <w:t xml:space="preserve"> YYY</w:t>
            </w:r>
          </w:p>
        </w:tc>
        <w:tc>
          <w:tcPr>
            <w:tcW w:w="1275" w:type="dxa"/>
          </w:tcPr>
          <w:p w14:paraId="6968785E"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67DE9D57"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624701B9"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76" w:type="dxa"/>
          </w:tcPr>
          <w:p w14:paraId="5919FE5B"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134" w:type="dxa"/>
          </w:tcPr>
          <w:p w14:paraId="553FD554" w14:textId="77777777" w:rsidR="00DA1457" w:rsidRPr="006854AC" w:rsidRDefault="00DA1457" w:rsidP="00DA1457">
            <w:pPr>
              <w:widowControl w:val="0"/>
              <w:autoSpaceDE w:val="0"/>
              <w:autoSpaceDN w:val="0"/>
              <w:rPr>
                <w:rFonts w:eastAsia="Segoe UI" w:cs="Segoe UI"/>
                <w:sz w:val="17"/>
                <w:szCs w:val="17"/>
                <w:lang w:val="en-US" w:eastAsia="zh-TW" w:bidi="en-US"/>
              </w:rPr>
            </w:pPr>
          </w:p>
        </w:tc>
        <w:tc>
          <w:tcPr>
            <w:tcW w:w="1237" w:type="dxa"/>
          </w:tcPr>
          <w:p w14:paraId="0CE7E36A" w14:textId="77777777" w:rsidR="00DA1457" w:rsidRPr="006854AC" w:rsidRDefault="00DA1457" w:rsidP="00DA1457">
            <w:pPr>
              <w:widowControl w:val="0"/>
              <w:autoSpaceDE w:val="0"/>
              <w:autoSpaceDN w:val="0"/>
              <w:rPr>
                <w:rFonts w:eastAsia="Segoe UI" w:cs="Segoe UI"/>
                <w:sz w:val="17"/>
                <w:szCs w:val="17"/>
                <w:lang w:val="en-US" w:eastAsia="zh-TW" w:bidi="en-US"/>
              </w:rPr>
            </w:pPr>
          </w:p>
        </w:tc>
      </w:tr>
      <w:tr w:rsidR="006854AC" w:rsidRPr="006854AC" w14:paraId="6416BE88" w14:textId="77777777" w:rsidTr="00F60474">
        <w:trPr>
          <w:trHeight w:val="227"/>
          <w:jc w:val="center"/>
        </w:trPr>
        <w:tc>
          <w:tcPr>
            <w:tcW w:w="568" w:type="dxa"/>
            <w:tcBorders>
              <w:left w:val="nil"/>
            </w:tcBorders>
          </w:tcPr>
          <w:p w14:paraId="6796CBF9" w14:textId="77777777" w:rsidR="00DA1457" w:rsidRPr="006854AC" w:rsidRDefault="00DA1457" w:rsidP="00DA1457">
            <w:pPr>
              <w:widowControl w:val="0"/>
              <w:autoSpaceDE w:val="0"/>
              <w:autoSpaceDN w:val="0"/>
              <w:ind w:left="28"/>
              <w:rPr>
                <w:rFonts w:eastAsia="Segoe UI" w:cs="Segoe UI"/>
                <w:sz w:val="17"/>
                <w:szCs w:val="17"/>
                <w:lang w:eastAsia="zh-TW" w:bidi="en-US"/>
              </w:rPr>
            </w:pPr>
          </w:p>
        </w:tc>
        <w:tc>
          <w:tcPr>
            <w:tcW w:w="2024" w:type="dxa"/>
          </w:tcPr>
          <w:p w14:paraId="1F1BEB3F" w14:textId="77777777" w:rsidR="00DA1457" w:rsidRPr="006854AC" w:rsidRDefault="00DA1457" w:rsidP="00DA1457">
            <w:pPr>
              <w:widowControl w:val="0"/>
              <w:autoSpaceDE w:val="0"/>
              <w:autoSpaceDN w:val="0"/>
              <w:spacing w:line="250" w:lineRule="atLeast"/>
              <w:ind w:left="105" w:right="93"/>
              <w:rPr>
                <w:rFonts w:eastAsiaTheme="minorEastAsia" w:cs="Segoe UI"/>
                <w:sz w:val="17"/>
                <w:szCs w:val="17"/>
                <w:lang w:val="en-US" w:bidi="en-US"/>
              </w:rPr>
            </w:pPr>
            <w:r w:rsidRPr="006854AC">
              <w:rPr>
                <w:rFonts w:eastAsiaTheme="minorEastAsia" w:cs="Segoe UI"/>
                <w:sz w:val="17"/>
                <w:szCs w:val="17"/>
                <w:lang w:val="en-US" w:bidi="en-US"/>
              </w:rPr>
              <w:t>…</w:t>
            </w:r>
          </w:p>
        </w:tc>
        <w:tc>
          <w:tcPr>
            <w:tcW w:w="1275" w:type="dxa"/>
          </w:tcPr>
          <w:p w14:paraId="0D1C96EC"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1CD696B5"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6F604F5B" w14:textId="77777777" w:rsidR="00DA1457" w:rsidRPr="006854AC" w:rsidRDefault="00DA1457" w:rsidP="00DA1457">
            <w:pPr>
              <w:widowControl w:val="0"/>
              <w:autoSpaceDE w:val="0"/>
              <w:autoSpaceDN w:val="0"/>
              <w:rPr>
                <w:rFonts w:eastAsia="Segoe UI" w:cs="Segoe UI"/>
                <w:sz w:val="17"/>
                <w:szCs w:val="17"/>
                <w:lang w:val="en-US" w:bidi="en-US"/>
              </w:rPr>
            </w:pPr>
          </w:p>
        </w:tc>
        <w:tc>
          <w:tcPr>
            <w:tcW w:w="1276" w:type="dxa"/>
          </w:tcPr>
          <w:p w14:paraId="5CD13956" w14:textId="77777777" w:rsidR="00DA1457" w:rsidRPr="006854AC" w:rsidRDefault="00DA1457" w:rsidP="00DA1457">
            <w:pPr>
              <w:widowControl w:val="0"/>
              <w:autoSpaceDE w:val="0"/>
              <w:autoSpaceDN w:val="0"/>
              <w:rPr>
                <w:rFonts w:eastAsia="Segoe UI" w:cs="Segoe UI"/>
                <w:sz w:val="17"/>
                <w:szCs w:val="17"/>
                <w:lang w:val="en-US" w:bidi="en-US"/>
              </w:rPr>
            </w:pPr>
          </w:p>
        </w:tc>
        <w:tc>
          <w:tcPr>
            <w:tcW w:w="1134" w:type="dxa"/>
          </w:tcPr>
          <w:p w14:paraId="61918C01" w14:textId="77777777" w:rsidR="00DA1457" w:rsidRPr="006854AC" w:rsidRDefault="00DA1457" w:rsidP="00DA1457">
            <w:pPr>
              <w:widowControl w:val="0"/>
              <w:autoSpaceDE w:val="0"/>
              <w:autoSpaceDN w:val="0"/>
              <w:rPr>
                <w:rFonts w:eastAsia="Segoe UI" w:cs="Segoe UI"/>
                <w:sz w:val="17"/>
                <w:szCs w:val="17"/>
                <w:lang w:val="en-US" w:bidi="en-US"/>
              </w:rPr>
            </w:pPr>
          </w:p>
        </w:tc>
        <w:tc>
          <w:tcPr>
            <w:tcW w:w="1237" w:type="dxa"/>
          </w:tcPr>
          <w:p w14:paraId="27B4F48E" w14:textId="77777777" w:rsidR="00DA1457" w:rsidRPr="006854AC" w:rsidRDefault="00DA1457" w:rsidP="00DA1457">
            <w:pPr>
              <w:widowControl w:val="0"/>
              <w:autoSpaceDE w:val="0"/>
              <w:autoSpaceDN w:val="0"/>
              <w:rPr>
                <w:rFonts w:eastAsia="Segoe UI" w:cs="Segoe UI"/>
                <w:sz w:val="17"/>
                <w:szCs w:val="17"/>
                <w:lang w:val="en-US" w:bidi="en-US"/>
              </w:rPr>
            </w:pPr>
          </w:p>
        </w:tc>
      </w:tr>
      <w:tr w:rsidR="006854AC" w:rsidRPr="006854AC" w14:paraId="01E6F72A" w14:textId="77777777" w:rsidTr="00F60474">
        <w:trPr>
          <w:trHeight w:val="227"/>
          <w:jc w:val="center"/>
        </w:trPr>
        <w:tc>
          <w:tcPr>
            <w:tcW w:w="568" w:type="dxa"/>
            <w:tcBorders>
              <w:left w:val="nil"/>
            </w:tcBorders>
          </w:tcPr>
          <w:p w14:paraId="5798442B"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4</w:t>
            </w:r>
          </w:p>
        </w:tc>
        <w:tc>
          <w:tcPr>
            <w:tcW w:w="2024" w:type="dxa"/>
          </w:tcPr>
          <w:p w14:paraId="077BFA85" w14:textId="77777777" w:rsidR="00DA1457" w:rsidRPr="006854AC" w:rsidRDefault="00DA1457" w:rsidP="00DA1457">
            <w:pPr>
              <w:widowControl w:val="0"/>
              <w:autoSpaceDE w:val="0"/>
              <w:autoSpaceDN w:val="0"/>
              <w:spacing w:line="250" w:lineRule="atLeast"/>
              <w:ind w:left="105" w:right="93"/>
              <w:rPr>
                <w:rFonts w:eastAsiaTheme="minorEastAsia" w:cs="Segoe UI"/>
                <w:sz w:val="17"/>
                <w:szCs w:val="17"/>
                <w:lang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eastAsia="zh-TW" w:bidi="en-US"/>
              </w:rPr>
              <w:t>2</w:t>
            </w:r>
            <w:r w:rsidRPr="006854AC">
              <w:rPr>
                <w:rFonts w:eastAsiaTheme="minorEastAsia" w:cs="Segoe UI"/>
                <w:sz w:val="17"/>
                <w:szCs w:val="17"/>
                <w:lang w:val="en-US" w:bidi="en-US"/>
              </w:rPr>
              <w:t>b</w:t>
            </w:r>
            <w:r w:rsidRPr="006854AC">
              <w:rPr>
                <w:rFonts w:eastAsiaTheme="minorEastAsia" w:cs="Segoe UI"/>
                <w:sz w:val="17"/>
                <w:szCs w:val="17"/>
                <w:lang w:val="en-US" w:eastAsia="zh-HK" w:bidi="en-US"/>
              </w:rPr>
              <w:t>組加密資產</w:t>
            </w:r>
          </w:p>
        </w:tc>
        <w:tc>
          <w:tcPr>
            <w:tcW w:w="1275" w:type="dxa"/>
          </w:tcPr>
          <w:p w14:paraId="3A466C13" w14:textId="77777777" w:rsidR="00DA1457" w:rsidRPr="006854AC" w:rsidRDefault="00DA1457" w:rsidP="00DA1457">
            <w:pPr>
              <w:widowControl w:val="0"/>
              <w:autoSpaceDE w:val="0"/>
              <w:autoSpaceDN w:val="0"/>
              <w:rPr>
                <w:rFonts w:eastAsia="Segoe UI" w:cs="Segoe UI"/>
                <w:sz w:val="17"/>
                <w:szCs w:val="17"/>
                <w:lang w:bidi="en-US"/>
              </w:rPr>
            </w:pPr>
          </w:p>
        </w:tc>
        <w:tc>
          <w:tcPr>
            <w:tcW w:w="1276" w:type="dxa"/>
          </w:tcPr>
          <w:p w14:paraId="3AACF1BD" w14:textId="77777777" w:rsidR="00DA1457" w:rsidRPr="006854AC" w:rsidRDefault="00DA1457" w:rsidP="00DA1457">
            <w:pPr>
              <w:widowControl w:val="0"/>
              <w:autoSpaceDE w:val="0"/>
              <w:autoSpaceDN w:val="0"/>
              <w:rPr>
                <w:rFonts w:eastAsia="Segoe UI" w:cs="Segoe UI"/>
                <w:sz w:val="17"/>
                <w:szCs w:val="17"/>
                <w:lang w:bidi="en-US"/>
              </w:rPr>
            </w:pPr>
          </w:p>
        </w:tc>
        <w:tc>
          <w:tcPr>
            <w:tcW w:w="1134" w:type="dxa"/>
          </w:tcPr>
          <w:p w14:paraId="17C2BB86" w14:textId="77777777" w:rsidR="00DA1457" w:rsidRPr="006854AC" w:rsidRDefault="00DA1457" w:rsidP="00DA1457">
            <w:pPr>
              <w:widowControl w:val="0"/>
              <w:autoSpaceDE w:val="0"/>
              <w:autoSpaceDN w:val="0"/>
              <w:rPr>
                <w:rFonts w:eastAsia="Segoe UI" w:cs="Segoe UI"/>
                <w:sz w:val="17"/>
                <w:szCs w:val="17"/>
                <w:lang w:bidi="en-US"/>
              </w:rPr>
            </w:pPr>
          </w:p>
        </w:tc>
        <w:tc>
          <w:tcPr>
            <w:tcW w:w="1276" w:type="dxa"/>
          </w:tcPr>
          <w:p w14:paraId="24A0D1AF" w14:textId="77777777" w:rsidR="00DA1457" w:rsidRPr="006854AC" w:rsidRDefault="00DA1457" w:rsidP="00DA1457">
            <w:pPr>
              <w:widowControl w:val="0"/>
              <w:autoSpaceDE w:val="0"/>
              <w:autoSpaceDN w:val="0"/>
              <w:rPr>
                <w:rFonts w:eastAsia="Segoe UI" w:cs="Segoe UI"/>
                <w:sz w:val="17"/>
                <w:szCs w:val="17"/>
                <w:lang w:bidi="en-US"/>
              </w:rPr>
            </w:pPr>
          </w:p>
        </w:tc>
        <w:tc>
          <w:tcPr>
            <w:tcW w:w="1134" w:type="dxa"/>
          </w:tcPr>
          <w:p w14:paraId="4898DD6C" w14:textId="77777777" w:rsidR="00DA1457" w:rsidRPr="006854AC" w:rsidRDefault="00DA1457" w:rsidP="00DA1457">
            <w:pPr>
              <w:widowControl w:val="0"/>
              <w:autoSpaceDE w:val="0"/>
              <w:autoSpaceDN w:val="0"/>
              <w:rPr>
                <w:rFonts w:eastAsia="Segoe UI" w:cs="Segoe UI"/>
                <w:sz w:val="17"/>
                <w:szCs w:val="17"/>
                <w:lang w:bidi="en-US"/>
              </w:rPr>
            </w:pPr>
          </w:p>
        </w:tc>
        <w:tc>
          <w:tcPr>
            <w:tcW w:w="1237" w:type="dxa"/>
            <w:shd w:val="clear" w:color="auto" w:fill="CECECE"/>
          </w:tcPr>
          <w:p w14:paraId="2B735094" w14:textId="77777777" w:rsidR="00DA1457" w:rsidRPr="006854AC" w:rsidRDefault="00DA1457" w:rsidP="00DA1457">
            <w:pPr>
              <w:widowControl w:val="0"/>
              <w:autoSpaceDE w:val="0"/>
              <w:autoSpaceDN w:val="0"/>
              <w:rPr>
                <w:rFonts w:eastAsia="Segoe UI" w:cs="Segoe UI"/>
                <w:sz w:val="17"/>
                <w:szCs w:val="17"/>
                <w:lang w:bidi="en-US"/>
              </w:rPr>
            </w:pPr>
          </w:p>
        </w:tc>
      </w:tr>
      <w:tr w:rsidR="006854AC" w:rsidRPr="006854AC" w14:paraId="06D1CE05" w14:textId="77777777" w:rsidTr="00F60474">
        <w:trPr>
          <w:trHeight w:val="227"/>
          <w:jc w:val="center"/>
        </w:trPr>
        <w:tc>
          <w:tcPr>
            <w:tcW w:w="568" w:type="dxa"/>
            <w:tcBorders>
              <w:left w:val="nil"/>
            </w:tcBorders>
          </w:tcPr>
          <w:p w14:paraId="14A4BEFB"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4.i</w:t>
            </w:r>
          </w:p>
        </w:tc>
        <w:tc>
          <w:tcPr>
            <w:tcW w:w="2024" w:type="dxa"/>
          </w:tcPr>
          <w:p w14:paraId="0F3F69EC"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eastAsia="zh-TW" w:bidi="en-US"/>
              </w:rPr>
            </w:pPr>
            <w:r w:rsidRPr="006854AC">
              <w:rPr>
                <w:rFonts w:eastAsiaTheme="minorEastAsia" w:cs="Segoe UI"/>
                <w:sz w:val="17"/>
                <w:szCs w:val="17"/>
                <w:lang w:val="en-US" w:eastAsia="zh-HK" w:bidi="en-US"/>
              </w:rPr>
              <w:t>其中：</w:t>
            </w:r>
            <w:r w:rsidRPr="006854AC">
              <w:rPr>
                <w:rFonts w:eastAsiaTheme="minorEastAsia" w:cs="Segoe UI"/>
                <w:sz w:val="17"/>
                <w:szCs w:val="17"/>
                <w:lang w:eastAsia="zh-TW" w:bidi="en-US"/>
              </w:rPr>
              <w:t xml:space="preserve"> </w:t>
            </w:r>
          </w:p>
          <w:p w14:paraId="0ECF38D6"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eastAsia="zh-TW" w:bidi="en-US"/>
              </w:rPr>
            </w:pPr>
            <w:r w:rsidRPr="006854AC">
              <w:rPr>
                <w:rFonts w:eastAsiaTheme="minorEastAsia" w:cs="Segoe UI"/>
                <w:sz w:val="17"/>
                <w:szCs w:val="17"/>
                <w:lang w:val="en-US" w:eastAsia="zh-HK" w:bidi="en-US"/>
              </w:rPr>
              <w:t>加密資產</w:t>
            </w:r>
            <w:r w:rsidRPr="006854AC">
              <w:rPr>
                <w:rFonts w:eastAsiaTheme="minorEastAsia" w:cs="Segoe UI"/>
                <w:sz w:val="17"/>
                <w:szCs w:val="17"/>
                <w:lang w:eastAsia="zh-TW" w:bidi="en-US"/>
              </w:rPr>
              <w:t xml:space="preserve"> XXX</w:t>
            </w:r>
          </w:p>
        </w:tc>
        <w:tc>
          <w:tcPr>
            <w:tcW w:w="1275" w:type="dxa"/>
          </w:tcPr>
          <w:p w14:paraId="3EC422C3"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276" w:type="dxa"/>
          </w:tcPr>
          <w:p w14:paraId="05767573"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134" w:type="dxa"/>
          </w:tcPr>
          <w:p w14:paraId="2C8471C1"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276" w:type="dxa"/>
          </w:tcPr>
          <w:p w14:paraId="700CBCB2"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134" w:type="dxa"/>
          </w:tcPr>
          <w:p w14:paraId="33AFF2B9"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237" w:type="dxa"/>
            <w:shd w:val="clear" w:color="auto" w:fill="CECECE"/>
          </w:tcPr>
          <w:p w14:paraId="7FFF78FF" w14:textId="77777777" w:rsidR="00DA1457" w:rsidRPr="006854AC" w:rsidRDefault="00DA1457" w:rsidP="00DA1457">
            <w:pPr>
              <w:widowControl w:val="0"/>
              <w:autoSpaceDE w:val="0"/>
              <w:autoSpaceDN w:val="0"/>
              <w:rPr>
                <w:rFonts w:eastAsia="Segoe UI" w:cs="Segoe UI"/>
                <w:sz w:val="17"/>
                <w:szCs w:val="17"/>
                <w:lang w:eastAsia="zh-TW" w:bidi="en-US"/>
              </w:rPr>
            </w:pPr>
          </w:p>
        </w:tc>
      </w:tr>
      <w:tr w:rsidR="006854AC" w:rsidRPr="006854AC" w14:paraId="217A62F4" w14:textId="77777777" w:rsidTr="00F60474">
        <w:trPr>
          <w:trHeight w:val="227"/>
          <w:jc w:val="center"/>
        </w:trPr>
        <w:tc>
          <w:tcPr>
            <w:tcW w:w="568" w:type="dxa"/>
            <w:tcBorders>
              <w:left w:val="nil"/>
            </w:tcBorders>
          </w:tcPr>
          <w:p w14:paraId="39D94133"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4.ii</w:t>
            </w:r>
          </w:p>
        </w:tc>
        <w:tc>
          <w:tcPr>
            <w:tcW w:w="2024" w:type="dxa"/>
          </w:tcPr>
          <w:p w14:paraId="5EA721E2"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val="en-US" w:eastAsia="zh-TW" w:bidi="en-US"/>
              </w:rPr>
            </w:pPr>
            <w:r w:rsidRPr="006854AC">
              <w:rPr>
                <w:rFonts w:eastAsiaTheme="minorEastAsia" w:cs="Segoe UI"/>
                <w:sz w:val="17"/>
                <w:szCs w:val="17"/>
                <w:lang w:val="en-US" w:eastAsia="zh-HK" w:bidi="en-US"/>
              </w:rPr>
              <w:t>其中：</w:t>
            </w:r>
            <w:r w:rsidRPr="006854AC">
              <w:rPr>
                <w:rFonts w:eastAsiaTheme="minorEastAsia" w:cs="Segoe UI"/>
                <w:sz w:val="17"/>
                <w:szCs w:val="17"/>
                <w:lang w:val="en-US" w:eastAsia="zh-TW" w:bidi="en-US"/>
              </w:rPr>
              <w:t xml:space="preserve"> </w:t>
            </w:r>
          </w:p>
          <w:p w14:paraId="4CCBCB92" w14:textId="77777777" w:rsidR="00DA1457" w:rsidRPr="006854AC" w:rsidRDefault="00DA1457" w:rsidP="00DA1457">
            <w:pPr>
              <w:widowControl w:val="0"/>
              <w:autoSpaceDE w:val="0"/>
              <w:autoSpaceDN w:val="0"/>
              <w:spacing w:line="250" w:lineRule="atLeast"/>
              <w:ind w:left="482" w:right="93"/>
              <w:rPr>
                <w:rFonts w:eastAsiaTheme="minorEastAsia" w:cs="Segoe UI"/>
                <w:sz w:val="17"/>
                <w:szCs w:val="17"/>
                <w:lang w:eastAsia="zh-TW" w:bidi="en-US"/>
              </w:rPr>
            </w:pPr>
            <w:r w:rsidRPr="006854AC">
              <w:rPr>
                <w:rFonts w:eastAsiaTheme="minorEastAsia" w:cs="Segoe UI"/>
                <w:sz w:val="17"/>
                <w:szCs w:val="17"/>
                <w:lang w:val="en-US" w:eastAsia="zh-HK" w:bidi="en-US"/>
              </w:rPr>
              <w:t>加密資產</w:t>
            </w:r>
            <w:r w:rsidRPr="006854AC">
              <w:rPr>
                <w:rFonts w:eastAsiaTheme="minorEastAsia" w:cs="Segoe UI"/>
                <w:sz w:val="17"/>
                <w:szCs w:val="17"/>
                <w:lang w:val="en-US" w:eastAsia="zh-TW" w:bidi="en-US"/>
              </w:rPr>
              <w:t xml:space="preserve"> YYY</w:t>
            </w:r>
          </w:p>
        </w:tc>
        <w:tc>
          <w:tcPr>
            <w:tcW w:w="1275" w:type="dxa"/>
          </w:tcPr>
          <w:p w14:paraId="414D6C2B"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276" w:type="dxa"/>
          </w:tcPr>
          <w:p w14:paraId="523B7613"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134" w:type="dxa"/>
          </w:tcPr>
          <w:p w14:paraId="4E2DA98B"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276" w:type="dxa"/>
          </w:tcPr>
          <w:p w14:paraId="48CE0FE3"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134" w:type="dxa"/>
          </w:tcPr>
          <w:p w14:paraId="244461DD"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1237" w:type="dxa"/>
            <w:shd w:val="clear" w:color="auto" w:fill="CECECE"/>
          </w:tcPr>
          <w:p w14:paraId="6E6B326D" w14:textId="77777777" w:rsidR="00DA1457" w:rsidRPr="006854AC" w:rsidRDefault="00DA1457" w:rsidP="00DA1457">
            <w:pPr>
              <w:widowControl w:val="0"/>
              <w:autoSpaceDE w:val="0"/>
              <w:autoSpaceDN w:val="0"/>
              <w:rPr>
                <w:rFonts w:eastAsia="Segoe UI" w:cs="Segoe UI"/>
                <w:sz w:val="17"/>
                <w:szCs w:val="17"/>
                <w:lang w:eastAsia="zh-TW" w:bidi="en-US"/>
              </w:rPr>
            </w:pPr>
          </w:p>
        </w:tc>
      </w:tr>
      <w:tr w:rsidR="006854AC" w:rsidRPr="006854AC" w14:paraId="78B43CA4" w14:textId="77777777" w:rsidTr="00F60474">
        <w:trPr>
          <w:trHeight w:val="227"/>
          <w:jc w:val="center"/>
        </w:trPr>
        <w:tc>
          <w:tcPr>
            <w:tcW w:w="568" w:type="dxa"/>
            <w:tcBorders>
              <w:left w:val="nil"/>
            </w:tcBorders>
          </w:tcPr>
          <w:p w14:paraId="6F32FF15" w14:textId="77777777" w:rsidR="00DA1457" w:rsidRPr="006854AC" w:rsidRDefault="00DA1457" w:rsidP="00DA1457">
            <w:pPr>
              <w:widowControl w:val="0"/>
              <w:autoSpaceDE w:val="0"/>
              <w:autoSpaceDN w:val="0"/>
              <w:ind w:left="28"/>
              <w:rPr>
                <w:rFonts w:eastAsia="Segoe UI" w:cs="Segoe UI"/>
                <w:sz w:val="17"/>
                <w:szCs w:val="17"/>
                <w:lang w:eastAsia="zh-TW" w:bidi="en-US"/>
              </w:rPr>
            </w:pPr>
          </w:p>
        </w:tc>
        <w:tc>
          <w:tcPr>
            <w:tcW w:w="2024" w:type="dxa"/>
          </w:tcPr>
          <w:p w14:paraId="1270BDAC" w14:textId="77777777" w:rsidR="00DA1457" w:rsidRPr="006854AC" w:rsidRDefault="00DA1457" w:rsidP="00DA1457">
            <w:pPr>
              <w:widowControl w:val="0"/>
              <w:autoSpaceDE w:val="0"/>
              <w:autoSpaceDN w:val="0"/>
              <w:spacing w:line="250" w:lineRule="atLeast"/>
              <w:ind w:left="105" w:right="93"/>
              <w:rPr>
                <w:rFonts w:eastAsiaTheme="minorEastAsia" w:cs="Segoe UI"/>
                <w:sz w:val="17"/>
                <w:szCs w:val="17"/>
                <w:lang w:val="en-US" w:bidi="en-US"/>
              </w:rPr>
            </w:pPr>
            <w:r w:rsidRPr="006854AC">
              <w:rPr>
                <w:rFonts w:eastAsiaTheme="minorEastAsia" w:cs="Segoe UI"/>
                <w:sz w:val="17"/>
                <w:szCs w:val="17"/>
                <w:lang w:val="en-US" w:bidi="en-US"/>
              </w:rPr>
              <w:t>…</w:t>
            </w:r>
          </w:p>
        </w:tc>
        <w:tc>
          <w:tcPr>
            <w:tcW w:w="1275" w:type="dxa"/>
          </w:tcPr>
          <w:p w14:paraId="0A291879" w14:textId="77777777" w:rsidR="00DA1457" w:rsidRPr="006854AC" w:rsidRDefault="00DA1457" w:rsidP="00DA1457">
            <w:pPr>
              <w:widowControl w:val="0"/>
              <w:autoSpaceDE w:val="0"/>
              <w:autoSpaceDN w:val="0"/>
              <w:rPr>
                <w:rFonts w:eastAsia="Segoe UI" w:cs="Segoe UI"/>
                <w:sz w:val="17"/>
                <w:szCs w:val="17"/>
                <w:lang w:bidi="en-US"/>
              </w:rPr>
            </w:pPr>
          </w:p>
        </w:tc>
        <w:tc>
          <w:tcPr>
            <w:tcW w:w="1276" w:type="dxa"/>
          </w:tcPr>
          <w:p w14:paraId="659C9B25" w14:textId="77777777" w:rsidR="00DA1457" w:rsidRPr="006854AC" w:rsidRDefault="00DA1457" w:rsidP="00DA1457">
            <w:pPr>
              <w:widowControl w:val="0"/>
              <w:autoSpaceDE w:val="0"/>
              <w:autoSpaceDN w:val="0"/>
              <w:rPr>
                <w:rFonts w:eastAsia="Segoe UI" w:cs="Segoe UI"/>
                <w:sz w:val="17"/>
                <w:szCs w:val="17"/>
                <w:lang w:bidi="en-US"/>
              </w:rPr>
            </w:pPr>
          </w:p>
        </w:tc>
        <w:tc>
          <w:tcPr>
            <w:tcW w:w="1134" w:type="dxa"/>
            <w:tcBorders>
              <w:bottom w:val="single" w:sz="4" w:space="0" w:color="000000"/>
            </w:tcBorders>
          </w:tcPr>
          <w:p w14:paraId="43F8B554" w14:textId="77777777" w:rsidR="00DA1457" w:rsidRPr="006854AC" w:rsidRDefault="00DA1457" w:rsidP="00DA1457">
            <w:pPr>
              <w:widowControl w:val="0"/>
              <w:autoSpaceDE w:val="0"/>
              <w:autoSpaceDN w:val="0"/>
              <w:rPr>
                <w:rFonts w:eastAsia="Segoe UI" w:cs="Segoe UI"/>
                <w:sz w:val="17"/>
                <w:szCs w:val="17"/>
                <w:lang w:bidi="en-US"/>
              </w:rPr>
            </w:pPr>
          </w:p>
        </w:tc>
        <w:tc>
          <w:tcPr>
            <w:tcW w:w="1276" w:type="dxa"/>
            <w:tcBorders>
              <w:bottom w:val="single" w:sz="4" w:space="0" w:color="000000"/>
            </w:tcBorders>
          </w:tcPr>
          <w:p w14:paraId="37513E05" w14:textId="77777777" w:rsidR="00DA1457" w:rsidRPr="006854AC" w:rsidRDefault="00DA1457" w:rsidP="00DA1457">
            <w:pPr>
              <w:widowControl w:val="0"/>
              <w:autoSpaceDE w:val="0"/>
              <w:autoSpaceDN w:val="0"/>
              <w:rPr>
                <w:rFonts w:eastAsia="Segoe UI" w:cs="Segoe UI"/>
                <w:sz w:val="17"/>
                <w:szCs w:val="17"/>
                <w:lang w:bidi="en-US"/>
              </w:rPr>
            </w:pPr>
          </w:p>
        </w:tc>
        <w:tc>
          <w:tcPr>
            <w:tcW w:w="1134" w:type="dxa"/>
            <w:tcBorders>
              <w:bottom w:val="single" w:sz="4" w:space="0" w:color="000000"/>
            </w:tcBorders>
          </w:tcPr>
          <w:p w14:paraId="42C50BE0" w14:textId="77777777" w:rsidR="00DA1457" w:rsidRPr="006854AC" w:rsidRDefault="00DA1457" w:rsidP="00DA1457">
            <w:pPr>
              <w:widowControl w:val="0"/>
              <w:autoSpaceDE w:val="0"/>
              <w:autoSpaceDN w:val="0"/>
              <w:rPr>
                <w:rFonts w:eastAsia="Segoe UI" w:cs="Segoe UI"/>
                <w:sz w:val="17"/>
                <w:szCs w:val="17"/>
                <w:lang w:bidi="en-US"/>
              </w:rPr>
            </w:pPr>
          </w:p>
        </w:tc>
        <w:tc>
          <w:tcPr>
            <w:tcW w:w="1237" w:type="dxa"/>
            <w:tcBorders>
              <w:bottom w:val="single" w:sz="4" w:space="0" w:color="000000"/>
            </w:tcBorders>
            <w:shd w:val="clear" w:color="auto" w:fill="CECECE"/>
          </w:tcPr>
          <w:p w14:paraId="1C6563D9" w14:textId="77777777" w:rsidR="00DA1457" w:rsidRPr="006854AC" w:rsidRDefault="00DA1457" w:rsidP="00DA1457">
            <w:pPr>
              <w:widowControl w:val="0"/>
              <w:autoSpaceDE w:val="0"/>
              <w:autoSpaceDN w:val="0"/>
              <w:rPr>
                <w:rFonts w:eastAsia="Segoe UI" w:cs="Segoe UI"/>
                <w:sz w:val="17"/>
                <w:szCs w:val="17"/>
                <w:lang w:bidi="en-US"/>
              </w:rPr>
            </w:pPr>
          </w:p>
        </w:tc>
      </w:tr>
      <w:tr w:rsidR="006854AC" w:rsidRPr="006854AC" w14:paraId="2A4D3A1D" w14:textId="77777777" w:rsidTr="00F60474">
        <w:trPr>
          <w:trHeight w:val="109"/>
          <w:jc w:val="center"/>
        </w:trPr>
        <w:tc>
          <w:tcPr>
            <w:tcW w:w="568" w:type="dxa"/>
            <w:tcBorders>
              <w:left w:val="nil"/>
            </w:tcBorders>
          </w:tcPr>
          <w:p w14:paraId="3587645A"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5</w:t>
            </w:r>
          </w:p>
        </w:tc>
        <w:tc>
          <w:tcPr>
            <w:tcW w:w="2024" w:type="dxa"/>
          </w:tcPr>
          <w:p w14:paraId="2621A571" w14:textId="2FF826D9" w:rsidR="00DA1457" w:rsidRPr="006854AC" w:rsidRDefault="00103B24" w:rsidP="00DA1457">
            <w:pPr>
              <w:widowControl w:val="0"/>
              <w:autoSpaceDE w:val="0"/>
              <w:autoSpaceDN w:val="0"/>
              <w:spacing w:line="250" w:lineRule="atLeast"/>
              <w:ind w:left="105" w:right="93"/>
              <w:rPr>
                <w:rFonts w:eastAsiaTheme="minorEastAsia" w:cs="Segoe UI"/>
                <w:b/>
                <w:sz w:val="17"/>
                <w:szCs w:val="17"/>
                <w:lang w:val="en-US" w:bidi="en-US"/>
              </w:rPr>
            </w:pPr>
            <w:r w:rsidRPr="006854AC">
              <w:rPr>
                <w:rFonts w:eastAsiaTheme="minorEastAsia" w:cs="Segoe UI"/>
                <w:b/>
                <w:sz w:val="17"/>
                <w:szCs w:val="17"/>
                <w:lang w:val="en-US" w:eastAsia="zh-HK" w:bidi="en-US"/>
              </w:rPr>
              <w:t>總計</w:t>
            </w:r>
          </w:p>
        </w:tc>
        <w:tc>
          <w:tcPr>
            <w:tcW w:w="1275" w:type="dxa"/>
            <w:tcBorders>
              <w:bottom w:val="single" w:sz="4" w:space="0" w:color="000000"/>
            </w:tcBorders>
          </w:tcPr>
          <w:p w14:paraId="73D4A43C" w14:textId="77777777" w:rsidR="00DA1457" w:rsidRPr="006854AC" w:rsidRDefault="00DA1457" w:rsidP="00DA1457">
            <w:pPr>
              <w:widowControl w:val="0"/>
              <w:autoSpaceDE w:val="0"/>
              <w:autoSpaceDN w:val="0"/>
              <w:rPr>
                <w:rFonts w:eastAsia="Segoe UI" w:cs="Segoe UI"/>
                <w:sz w:val="17"/>
                <w:szCs w:val="17"/>
                <w:lang w:bidi="en-US"/>
              </w:rPr>
            </w:pPr>
          </w:p>
        </w:tc>
        <w:tc>
          <w:tcPr>
            <w:tcW w:w="1276" w:type="dxa"/>
            <w:tcBorders>
              <w:bottom w:val="single" w:sz="4" w:space="0" w:color="000000"/>
            </w:tcBorders>
          </w:tcPr>
          <w:p w14:paraId="3FAD76E0" w14:textId="77777777" w:rsidR="00DA1457" w:rsidRPr="006854AC" w:rsidRDefault="00DA1457" w:rsidP="00DA1457">
            <w:pPr>
              <w:widowControl w:val="0"/>
              <w:autoSpaceDE w:val="0"/>
              <w:autoSpaceDN w:val="0"/>
              <w:rPr>
                <w:rFonts w:eastAsia="Segoe UI" w:cs="Segoe UI"/>
                <w:sz w:val="17"/>
                <w:szCs w:val="17"/>
                <w:lang w:bidi="en-US"/>
              </w:rPr>
            </w:pPr>
          </w:p>
        </w:tc>
        <w:tc>
          <w:tcPr>
            <w:tcW w:w="1134" w:type="dxa"/>
            <w:tcBorders>
              <w:bottom w:val="single" w:sz="4" w:space="0" w:color="000000"/>
            </w:tcBorders>
          </w:tcPr>
          <w:p w14:paraId="7CB64A8F" w14:textId="77777777" w:rsidR="00DA1457" w:rsidRPr="006854AC" w:rsidRDefault="00DA1457" w:rsidP="00DA1457">
            <w:pPr>
              <w:widowControl w:val="0"/>
              <w:autoSpaceDE w:val="0"/>
              <w:autoSpaceDN w:val="0"/>
              <w:rPr>
                <w:rFonts w:eastAsia="Segoe UI" w:cs="Segoe UI"/>
                <w:sz w:val="17"/>
                <w:szCs w:val="17"/>
                <w:lang w:bidi="en-US"/>
              </w:rPr>
            </w:pPr>
          </w:p>
        </w:tc>
        <w:tc>
          <w:tcPr>
            <w:tcW w:w="1276" w:type="dxa"/>
            <w:tcBorders>
              <w:bottom w:val="single" w:sz="4" w:space="0" w:color="000000"/>
            </w:tcBorders>
          </w:tcPr>
          <w:p w14:paraId="78575252" w14:textId="77777777" w:rsidR="00DA1457" w:rsidRPr="006854AC" w:rsidRDefault="00DA1457" w:rsidP="00DA1457">
            <w:pPr>
              <w:widowControl w:val="0"/>
              <w:autoSpaceDE w:val="0"/>
              <w:autoSpaceDN w:val="0"/>
              <w:rPr>
                <w:rFonts w:eastAsia="Segoe UI" w:cs="Segoe UI"/>
                <w:sz w:val="17"/>
                <w:szCs w:val="17"/>
                <w:lang w:bidi="en-US"/>
              </w:rPr>
            </w:pPr>
          </w:p>
        </w:tc>
        <w:tc>
          <w:tcPr>
            <w:tcW w:w="1134" w:type="dxa"/>
            <w:tcBorders>
              <w:bottom w:val="single" w:sz="4" w:space="0" w:color="000000"/>
            </w:tcBorders>
          </w:tcPr>
          <w:p w14:paraId="48FE1617" w14:textId="77777777" w:rsidR="00DA1457" w:rsidRPr="006854AC" w:rsidRDefault="00DA1457" w:rsidP="00DA1457">
            <w:pPr>
              <w:widowControl w:val="0"/>
              <w:autoSpaceDE w:val="0"/>
              <w:autoSpaceDN w:val="0"/>
              <w:rPr>
                <w:rFonts w:eastAsia="Segoe UI" w:cs="Segoe UI"/>
                <w:sz w:val="17"/>
                <w:szCs w:val="17"/>
                <w:lang w:bidi="en-US"/>
              </w:rPr>
            </w:pPr>
          </w:p>
        </w:tc>
        <w:tc>
          <w:tcPr>
            <w:tcW w:w="1237" w:type="dxa"/>
            <w:tcBorders>
              <w:bottom w:val="single" w:sz="4" w:space="0" w:color="000000"/>
            </w:tcBorders>
          </w:tcPr>
          <w:p w14:paraId="56A24566" w14:textId="77777777" w:rsidR="00DA1457" w:rsidRPr="006854AC" w:rsidRDefault="00DA1457" w:rsidP="00DA1457">
            <w:pPr>
              <w:widowControl w:val="0"/>
              <w:autoSpaceDE w:val="0"/>
              <w:autoSpaceDN w:val="0"/>
              <w:rPr>
                <w:rFonts w:eastAsia="Segoe UI" w:cs="Segoe UI"/>
                <w:sz w:val="17"/>
                <w:szCs w:val="17"/>
                <w:lang w:bidi="en-US"/>
              </w:rPr>
            </w:pPr>
          </w:p>
        </w:tc>
      </w:tr>
      <w:tr w:rsidR="006854AC" w:rsidRPr="006854AC" w14:paraId="1CC1BD1E" w14:textId="77777777" w:rsidTr="00F60474">
        <w:trPr>
          <w:trHeight w:val="227"/>
          <w:jc w:val="center"/>
        </w:trPr>
        <w:tc>
          <w:tcPr>
            <w:tcW w:w="568" w:type="dxa"/>
            <w:tcBorders>
              <w:left w:val="nil"/>
            </w:tcBorders>
          </w:tcPr>
          <w:p w14:paraId="6FBB3F20"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6</w:t>
            </w:r>
          </w:p>
        </w:tc>
        <w:tc>
          <w:tcPr>
            <w:tcW w:w="2024" w:type="dxa"/>
          </w:tcPr>
          <w:p w14:paraId="7D71B199" w14:textId="77777777" w:rsidR="00DA1457" w:rsidRPr="006854AC" w:rsidRDefault="00DA1457" w:rsidP="00DA1457">
            <w:pPr>
              <w:widowControl w:val="0"/>
              <w:autoSpaceDE w:val="0"/>
              <w:autoSpaceDN w:val="0"/>
              <w:spacing w:line="250" w:lineRule="atLeast"/>
              <w:ind w:left="105" w:right="93"/>
              <w:rPr>
                <w:rFonts w:eastAsiaTheme="minorEastAsia" w:cs="Segoe UI"/>
                <w:sz w:val="17"/>
                <w:szCs w:val="17"/>
                <w:lang w:val="en-US" w:eastAsia="zh-TW"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eastAsia="zh-TW" w:bidi="en-US"/>
              </w:rPr>
              <w:t>2</w:t>
            </w:r>
            <w:r w:rsidRPr="006854AC">
              <w:rPr>
                <w:rFonts w:eastAsiaTheme="minorEastAsia" w:cs="Segoe UI"/>
                <w:sz w:val="17"/>
                <w:szCs w:val="17"/>
                <w:lang w:val="en-US" w:eastAsia="zh-HK" w:bidi="en-US"/>
              </w:rPr>
              <w:t>組加密資產風險承擔限額</w:t>
            </w:r>
            <w:r w:rsidRPr="006854AC">
              <w:rPr>
                <w:rFonts w:eastAsiaTheme="minorEastAsia" w:cs="Segoe UI"/>
                <w:sz w:val="17"/>
                <w:szCs w:val="17"/>
                <w:lang w:val="en-US" w:eastAsia="zh-TW" w:bidi="en-US"/>
              </w:rPr>
              <w:t>——</w:t>
            </w:r>
            <w:r w:rsidRPr="006854AC">
              <w:rPr>
                <w:rFonts w:eastAsiaTheme="minorEastAsia" w:cs="Segoe UI"/>
                <w:sz w:val="17"/>
                <w:szCs w:val="17"/>
                <w:lang w:val="en-US" w:eastAsia="zh-HK" w:bidi="en-US"/>
              </w:rPr>
              <w:t>直接持有</w:t>
            </w:r>
          </w:p>
        </w:tc>
        <w:tc>
          <w:tcPr>
            <w:tcW w:w="2551" w:type="dxa"/>
            <w:gridSpan w:val="2"/>
            <w:tcBorders>
              <w:right w:val="nil"/>
            </w:tcBorders>
          </w:tcPr>
          <w:p w14:paraId="0DB727E8"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4781" w:type="dxa"/>
            <w:gridSpan w:val="4"/>
            <w:vMerge w:val="restart"/>
            <w:tcBorders>
              <w:left w:val="nil"/>
              <w:bottom w:val="nil"/>
              <w:right w:val="nil"/>
            </w:tcBorders>
          </w:tcPr>
          <w:p w14:paraId="4682A35B" w14:textId="77777777" w:rsidR="00DA1457" w:rsidRPr="006854AC" w:rsidRDefault="00DA1457" w:rsidP="00DA1457">
            <w:pPr>
              <w:widowControl w:val="0"/>
              <w:autoSpaceDE w:val="0"/>
              <w:autoSpaceDN w:val="0"/>
              <w:rPr>
                <w:rFonts w:eastAsia="Segoe UI" w:cs="Segoe UI"/>
                <w:sz w:val="17"/>
                <w:szCs w:val="17"/>
                <w:lang w:eastAsia="zh-TW" w:bidi="en-US"/>
              </w:rPr>
            </w:pPr>
          </w:p>
        </w:tc>
      </w:tr>
      <w:tr w:rsidR="006854AC" w:rsidRPr="006854AC" w14:paraId="32428E6D" w14:textId="77777777" w:rsidTr="00F60474">
        <w:trPr>
          <w:trHeight w:val="227"/>
          <w:jc w:val="center"/>
        </w:trPr>
        <w:tc>
          <w:tcPr>
            <w:tcW w:w="568" w:type="dxa"/>
            <w:tcBorders>
              <w:left w:val="nil"/>
            </w:tcBorders>
          </w:tcPr>
          <w:p w14:paraId="4F80E052"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7</w:t>
            </w:r>
          </w:p>
        </w:tc>
        <w:tc>
          <w:tcPr>
            <w:tcW w:w="2024" w:type="dxa"/>
          </w:tcPr>
          <w:p w14:paraId="1E2A7B04" w14:textId="77777777" w:rsidR="00DA1457" w:rsidRPr="006854AC" w:rsidRDefault="00DA1457" w:rsidP="00DA1457">
            <w:pPr>
              <w:widowControl w:val="0"/>
              <w:autoSpaceDE w:val="0"/>
              <w:autoSpaceDN w:val="0"/>
              <w:spacing w:line="250" w:lineRule="atLeast"/>
              <w:ind w:left="105" w:right="93"/>
              <w:rPr>
                <w:rFonts w:eastAsiaTheme="minorEastAsia" w:cs="Segoe UI"/>
                <w:sz w:val="17"/>
                <w:szCs w:val="17"/>
                <w:lang w:val="en-US" w:eastAsia="zh-TW"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eastAsia="zh-TW" w:bidi="en-US"/>
              </w:rPr>
              <w:t>2</w:t>
            </w:r>
            <w:r w:rsidRPr="006854AC">
              <w:rPr>
                <w:rFonts w:eastAsiaTheme="minorEastAsia" w:cs="Segoe UI"/>
                <w:sz w:val="17"/>
                <w:szCs w:val="17"/>
                <w:lang w:val="en-US" w:eastAsia="zh-HK" w:bidi="en-US"/>
              </w:rPr>
              <w:t>組加密資產風險承擔限額</w:t>
            </w:r>
            <w:r w:rsidRPr="006854AC">
              <w:rPr>
                <w:rFonts w:eastAsiaTheme="minorEastAsia" w:cs="Segoe UI"/>
                <w:sz w:val="17"/>
                <w:szCs w:val="17"/>
                <w:lang w:val="en-US" w:eastAsia="zh-TW" w:bidi="en-US"/>
              </w:rPr>
              <w:t>——</w:t>
            </w:r>
            <w:r w:rsidRPr="006854AC">
              <w:rPr>
                <w:rFonts w:eastAsiaTheme="minorEastAsia" w:cs="Segoe UI"/>
                <w:sz w:val="17"/>
                <w:szCs w:val="17"/>
                <w:lang w:val="en-US" w:eastAsia="zh-HK" w:bidi="en-US"/>
              </w:rPr>
              <w:t>間接持有</w:t>
            </w:r>
          </w:p>
        </w:tc>
        <w:tc>
          <w:tcPr>
            <w:tcW w:w="2551" w:type="dxa"/>
            <w:gridSpan w:val="2"/>
            <w:tcBorders>
              <w:right w:val="nil"/>
            </w:tcBorders>
          </w:tcPr>
          <w:p w14:paraId="5EBDF808"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4781" w:type="dxa"/>
            <w:gridSpan w:val="4"/>
            <w:vMerge/>
            <w:tcBorders>
              <w:left w:val="nil"/>
              <w:bottom w:val="nil"/>
              <w:right w:val="nil"/>
            </w:tcBorders>
          </w:tcPr>
          <w:p w14:paraId="38E131DC" w14:textId="77777777" w:rsidR="00DA1457" w:rsidRPr="006854AC" w:rsidRDefault="00DA1457" w:rsidP="00DA1457">
            <w:pPr>
              <w:widowControl w:val="0"/>
              <w:autoSpaceDE w:val="0"/>
              <w:autoSpaceDN w:val="0"/>
              <w:rPr>
                <w:rFonts w:eastAsia="Segoe UI" w:cs="Segoe UI"/>
                <w:sz w:val="17"/>
                <w:szCs w:val="17"/>
                <w:lang w:eastAsia="zh-TW" w:bidi="en-US"/>
              </w:rPr>
            </w:pPr>
          </w:p>
        </w:tc>
      </w:tr>
      <w:tr w:rsidR="006854AC" w:rsidRPr="006854AC" w14:paraId="161529EE" w14:textId="77777777" w:rsidTr="00F60474">
        <w:trPr>
          <w:trHeight w:val="227"/>
          <w:jc w:val="center"/>
        </w:trPr>
        <w:tc>
          <w:tcPr>
            <w:tcW w:w="568" w:type="dxa"/>
            <w:tcBorders>
              <w:left w:val="nil"/>
            </w:tcBorders>
          </w:tcPr>
          <w:p w14:paraId="3E5ECCB5"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8</w:t>
            </w:r>
          </w:p>
        </w:tc>
        <w:tc>
          <w:tcPr>
            <w:tcW w:w="2024" w:type="dxa"/>
          </w:tcPr>
          <w:p w14:paraId="55DFFED0" w14:textId="77777777" w:rsidR="00DA1457" w:rsidRPr="006854AC" w:rsidRDefault="00DA1457" w:rsidP="00DA1457">
            <w:pPr>
              <w:widowControl w:val="0"/>
              <w:autoSpaceDE w:val="0"/>
              <w:autoSpaceDN w:val="0"/>
              <w:spacing w:line="250" w:lineRule="atLeast"/>
              <w:ind w:left="105" w:right="93"/>
              <w:rPr>
                <w:rFonts w:eastAsiaTheme="minorEastAsia" w:cs="Segoe UI"/>
                <w:sz w:val="17"/>
                <w:szCs w:val="17"/>
                <w:lang w:eastAsia="zh-TW"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eastAsia="zh-TW" w:bidi="en-US"/>
              </w:rPr>
              <w:t>2</w:t>
            </w:r>
            <w:r w:rsidRPr="006854AC">
              <w:rPr>
                <w:rFonts w:eastAsiaTheme="minorEastAsia" w:cs="Segoe UI"/>
                <w:sz w:val="17"/>
                <w:szCs w:val="17"/>
                <w:lang w:val="en-US" w:eastAsia="zh-HK" w:bidi="en-US"/>
              </w:rPr>
              <w:t>組加密資產風險承擔限額</w:t>
            </w:r>
            <w:r w:rsidRPr="006854AC">
              <w:rPr>
                <w:rFonts w:eastAsiaTheme="minorEastAsia" w:cs="Segoe UI"/>
                <w:sz w:val="17"/>
                <w:szCs w:val="17"/>
                <w:lang w:val="en-US" w:eastAsia="zh-TW" w:bidi="en-US"/>
              </w:rPr>
              <w:t>——</w:t>
            </w:r>
            <w:r w:rsidRPr="006854AC">
              <w:rPr>
                <w:rFonts w:eastAsiaTheme="minorEastAsia" w:cs="Segoe UI"/>
                <w:sz w:val="17"/>
                <w:szCs w:val="17"/>
                <w:lang w:val="en-US" w:eastAsia="zh-HK" w:bidi="en-US"/>
              </w:rPr>
              <w:t>超逾</w:t>
            </w:r>
            <w:r w:rsidRPr="006854AC">
              <w:rPr>
                <w:rFonts w:eastAsiaTheme="minorEastAsia" w:cs="Segoe UI"/>
                <w:sz w:val="17"/>
                <w:szCs w:val="17"/>
                <w:lang w:eastAsia="zh-TW" w:bidi="en-US"/>
              </w:rPr>
              <w:t>1%</w:t>
            </w:r>
            <w:r w:rsidRPr="006854AC">
              <w:rPr>
                <w:rFonts w:eastAsiaTheme="minorEastAsia" w:cs="Segoe UI"/>
                <w:sz w:val="17"/>
                <w:szCs w:val="17"/>
                <w:lang w:eastAsia="zh-HK" w:bidi="en-US"/>
              </w:rPr>
              <w:t>限額的風險承擔</w:t>
            </w:r>
          </w:p>
        </w:tc>
        <w:tc>
          <w:tcPr>
            <w:tcW w:w="2551" w:type="dxa"/>
            <w:gridSpan w:val="2"/>
            <w:tcBorders>
              <w:right w:val="nil"/>
            </w:tcBorders>
          </w:tcPr>
          <w:p w14:paraId="0D3F6136"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4781" w:type="dxa"/>
            <w:gridSpan w:val="4"/>
            <w:vMerge/>
            <w:tcBorders>
              <w:left w:val="nil"/>
              <w:bottom w:val="nil"/>
              <w:right w:val="nil"/>
            </w:tcBorders>
          </w:tcPr>
          <w:p w14:paraId="5380FA75" w14:textId="77777777" w:rsidR="00DA1457" w:rsidRPr="006854AC" w:rsidRDefault="00DA1457" w:rsidP="00DA1457">
            <w:pPr>
              <w:widowControl w:val="0"/>
              <w:autoSpaceDE w:val="0"/>
              <w:autoSpaceDN w:val="0"/>
              <w:rPr>
                <w:rFonts w:eastAsia="Segoe UI" w:cs="Segoe UI"/>
                <w:sz w:val="17"/>
                <w:szCs w:val="17"/>
                <w:lang w:eastAsia="zh-TW" w:bidi="en-US"/>
              </w:rPr>
            </w:pPr>
          </w:p>
        </w:tc>
      </w:tr>
      <w:tr w:rsidR="006854AC" w:rsidRPr="006854AC" w14:paraId="7DB7B67A" w14:textId="77777777" w:rsidTr="00F60474">
        <w:trPr>
          <w:trHeight w:val="227"/>
          <w:jc w:val="center"/>
        </w:trPr>
        <w:tc>
          <w:tcPr>
            <w:tcW w:w="568" w:type="dxa"/>
            <w:tcBorders>
              <w:left w:val="nil"/>
              <w:bottom w:val="single" w:sz="4" w:space="0" w:color="000000"/>
            </w:tcBorders>
          </w:tcPr>
          <w:p w14:paraId="44F6579E"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9</w:t>
            </w:r>
          </w:p>
        </w:tc>
        <w:tc>
          <w:tcPr>
            <w:tcW w:w="2024" w:type="dxa"/>
            <w:tcBorders>
              <w:bottom w:val="single" w:sz="4" w:space="0" w:color="000000"/>
            </w:tcBorders>
          </w:tcPr>
          <w:p w14:paraId="398C1F2B" w14:textId="77777777" w:rsidR="00DA1457" w:rsidRPr="006854AC" w:rsidRDefault="00DA1457" w:rsidP="00DA1457">
            <w:pPr>
              <w:widowControl w:val="0"/>
              <w:autoSpaceDE w:val="0"/>
              <w:autoSpaceDN w:val="0"/>
              <w:spacing w:line="250" w:lineRule="atLeast"/>
              <w:ind w:left="105" w:right="93"/>
              <w:rPr>
                <w:rFonts w:eastAsiaTheme="minorEastAsia" w:cs="Segoe UI"/>
                <w:sz w:val="17"/>
                <w:szCs w:val="17"/>
                <w:lang w:eastAsia="zh-TW" w:bidi="en-US"/>
              </w:rPr>
            </w:pPr>
            <w:r w:rsidRPr="006854AC">
              <w:rPr>
                <w:rFonts w:eastAsiaTheme="minorEastAsia" w:cs="Segoe UI"/>
                <w:sz w:val="17"/>
                <w:szCs w:val="17"/>
                <w:lang w:val="en-US" w:eastAsia="zh-HK" w:bidi="en-US"/>
              </w:rPr>
              <w:t>第</w:t>
            </w:r>
            <w:r w:rsidRPr="006854AC">
              <w:rPr>
                <w:rFonts w:eastAsiaTheme="minorEastAsia" w:cs="Segoe UI"/>
                <w:sz w:val="17"/>
                <w:szCs w:val="17"/>
                <w:lang w:val="en-US" w:eastAsia="zh-TW" w:bidi="en-US"/>
              </w:rPr>
              <w:t>2</w:t>
            </w:r>
            <w:r w:rsidRPr="006854AC">
              <w:rPr>
                <w:rFonts w:eastAsiaTheme="minorEastAsia" w:cs="Segoe UI"/>
                <w:sz w:val="17"/>
                <w:szCs w:val="17"/>
                <w:lang w:val="en-US" w:eastAsia="zh-HK" w:bidi="en-US"/>
              </w:rPr>
              <w:t>組加密資產風險承擔限額</w:t>
            </w:r>
            <w:r w:rsidRPr="006854AC">
              <w:rPr>
                <w:rFonts w:eastAsiaTheme="minorEastAsia" w:cs="Segoe UI"/>
                <w:sz w:val="17"/>
                <w:szCs w:val="17"/>
                <w:lang w:val="en-US" w:eastAsia="zh-TW" w:bidi="en-US"/>
              </w:rPr>
              <w:t>——</w:t>
            </w:r>
            <w:r w:rsidRPr="006854AC">
              <w:rPr>
                <w:rFonts w:eastAsiaTheme="minorEastAsia" w:cs="Segoe UI"/>
                <w:sz w:val="17"/>
                <w:szCs w:val="17"/>
                <w:lang w:val="en-US" w:eastAsia="zh-HK" w:bidi="en-US"/>
              </w:rPr>
              <w:t>超逾</w:t>
            </w:r>
            <w:r w:rsidRPr="006854AC">
              <w:rPr>
                <w:rFonts w:eastAsiaTheme="minorEastAsia" w:cs="Segoe UI"/>
                <w:sz w:val="17"/>
                <w:szCs w:val="17"/>
                <w:lang w:eastAsia="zh-TW" w:bidi="en-US"/>
              </w:rPr>
              <w:t>1%</w:t>
            </w:r>
            <w:r w:rsidRPr="006854AC">
              <w:rPr>
                <w:rFonts w:eastAsiaTheme="minorEastAsia" w:cs="Segoe UI"/>
                <w:sz w:val="17"/>
                <w:szCs w:val="17"/>
                <w:lang w:eastAsia="zh-HK" w:bidi="en-US"/>
              </w:rPr>
              <w:t>限額的風險加權數額</w:t>
            </w:r>
          </w:p>
        </w:tc>
        <w:tc>
          <w:tcPr>
            <w:tcW w:w="2551" w:type="dxa"/>
            <w:gridSpan w:val="2"/>
            <w:tcBorders>
              <w:right w:val="nil"/>
            </w:tcBorders>
          </w:tcPr>
          <w:p w14:paraId="4F947522"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4781" w:type="dxa"/>
            <w:gridSpan w:val="4"/>
            <w:vMerge/>
            <w:tcBorders>
              <w:left w:val="nil"/>
              <w:bottom w:val="nil"/>
              <w:right w:val="nil"/>
            </w:tcBorders>
          </w:tcPr>
          <w:p w14:paraId="0D5E8241" w14:textId="77777777" w:rsidR="00DA1457" w:rsidRPr="006854AC" w:rsidRDefault="00DA1457" w:rsidP="00DA1457">
            <w:pPr>
              <w:widowControl w:val="0"/>
              <w:autoSpaceDE w:val="0"/>
              <w:autoSpaceDN w:val="0"/>
              <w:rPr>
                <w:rFonts w:eastAsia="Segoe UI" w:cs="Segoe UI"/>
                <w:sz w:val="17"/>
                <w:szCs w:val="17"/>
                <w:lang w:eastAsia="zh-TW" w:bidi="en-US"/>
              </w:rPr>
            </w:pPr>
          </w:p>
        </w:tc>
      </w:tr>
      <w:tr w:rsidR="006854AC" w:rsidRPr="006854AC" w14:paraId="45FC977B" w14:textId="77777777" w:rsidTr="00F60474">
        <w:trPr>
          <w:trHeight w:val="227"/>
          <w:jc w:val="center"/>
        </w:trPr>
        <w:tc>
          <w:tcPr>
            <w:tcW w:w="568" w:type="dxa"/>
            <w:tcBorders>
              <w:left w:val="nil"/>
              <w:bottom w:val="single" w:sz="8" w:space="0" w:color="auto"/>
            </w:tcBorders>
          </w:tcPr>
          <w:p w14:paraId="0BE04F60" w14:textId="77777777" w:rsidR="00DA1457" w:rsidRPr="006854AC" w:rsidRDefault="00DA1457" w:rsidP="00DA1457">
            <w:pPr>
              <w:widowControl w:val="0"/>
              <w:autoSpaceDE w:val="0"/>
              <w:autoSpaceDN w:val="0"/>
              <w:ind w:left="28"/>
              <w:rPr>
                <w:rFonts w:eastAsia="Segoe UI" w:cs="Segoe UI"/>
                <w:sz w:val="17"/>
                <w:szCs w:val="17"/>
                <w:lang w:bidi="en-US"/>
              </w:rPr>
            </w:pPr>
            <w:r w:rsidRPr="006854AC">
              <w:rPr>
                <w:rFonts w:eastAsia="Segoe UI" w:cs="Segoe UI"/>
                <w:sz w:val="17"/>
                <w:szCs w:val="17"/>
                <w:lang w:bidi="en-US"/>
              </w:rPr>
              <w:t>10</w:t>
            </w:r>
          </w:p>
        </w:tc>
        <w:tc>
          <w:tcPr>
            <w:tcW w:w="2024" w:type="dxa"/>
            <w:tcBorders>
              <w:bottom w:val="single" w:sz="8" w:space="0" w:color="auto"/>
            </w:tcBorders>
          </w:tcPr>
          <w:p w14:paraId="3751BC77" w14:textId="0EC538EB" w:rsidR="00DA1457" w:rsidRPr="006854AC" w:rsidRDefault="00DA1457" w:rsidP="00E06733">
            <w:pPr>
              <w:widowControl w:val="0"/>
              <w:autoSpaceDE w:val="0"/>
              <w:autoSpaceDN w:val="0"/>
              <w:ind w:left="105" w:right="93"/>
              <w:rPr>
                <w:rFonts w:eastAsiaTheme="minorEastAsia" w:cs="Segoe UI"/>
                <w:sz w:val="17"/>
                <w:szCs w:val="17"/>
                <w:lang w:eastAsia="zh-TW" w:bidi="en-US"/>
              </w:rPr>
            </w:pPr>
            <w:r w:rsidRPr="006854AC">
              <w:rPr>
                <w:rFonts w:eastAsiaTheme="minorEastAsia" w:cs="Segoe UI"/>
                <w:sz w:val="17"/>
                <w:szCs w:val="17"/>
                <w:lang w:eastAsia="zh-HK" w:bidi="en-US"/>
              </w:rPr>
              <w:t>違反</w:t>
            </w:r>
            <w:r w:rsidRPr="006854AC">
              <w:rPr>
                <w:rFonts w:eastAsiaTheme="minorEastAsia" w:cs="Segoe UI"/>
                <w:sz w:val="17"/>
                <w:szCs w:val="17"/>
                <w:lang w:eastAsia="zh-TW" w:bidi="en-US"/>
              </w:rPr>
              <w:t>2%</w:t>
            </w:r>
            <w:r w:rsidRPr="006854AC">
              <w:rPr>
                <w:rFonts w:eastAsiaTheme="minorEastAsia" w:cs="Segoe UI"/>
                <w:sz w:val="17"/>
                <w:szCs w:val="17"/>
                <w:lang w:eastAsia="zh-HK" w:bidi="en-US"/>
              </w:rPr>
              <w:t>限額</w:t>
            </w:r>
            <w:r w:rsidR="00E06733" w:rsidRPr="006854AC">
              <w:rPr>
                <w:rFonts w:eastAsiaTheme="minorEastAsia" w:cs="Segoe UI" w:hint="eastAsia"/>
                <w:sz w:val="17"/>
                <w:szCs w:val="17"/>
                <w:lang w:eastAsia="zh-HK" w:bidi="en-US"/>
              </w:rPr>
              <w:t>後</w:t>
            </w:r>
            <w:r w:rsidRPr="006854AC">
              <w:rPr>
                <w:rFonts w:eastAsiaTheme="minorEastAsia" w:cs="Segoe UI"/>
                <w:sz w:val="17"/>
                <w:szCs w:val="17"/>
                <w:lang w:eastAsia="zh-HK" w:bidi="en-US"/>
              </w:rPr>
              <w:t>的</w:t>
            </w:r>
            <w:r w:rsidRPr="006854AC">
              <w:rPr>
                <w:rFonts w:eastAsiaTheme="minorEastAsia" w:cs="Segoe UI"/>
                <w:sz w:val="17"/>
                <w:szCs w:val="17"/>
                <w:lang w:val="en-US" w:eastAsia="zh-HK" w:bidi="en-US"/>
              </w:rPr>
              <w:t>第</w:t>
            </w:r>
            <w:r w:rsidRPr="006854AC">
              <w:rPr>
                <w:rFonts w:eastAsiaTheme="minorEastAsia" w:cs="Segoe UI"/>
                <w:sz w:val="17"/>
                <w:szCs w:val="17"/>
                <w:lang w:val="en-US" w:eastAsia="zh-TW" w:bidi="en-US"/>
              </w:rPr>
              <w:t>2</w:t>
            </w:r>
            <w:r w:rsidRPr="006854AC">
              <w:rPr>
                <w:rFonts w:eastAsiaTheme="minorEastAsia" w:cs="Segoe UI"/>
                <w:sz w:val="17"/>
                <w:szCs w:val="17"/>
                <w:lang w:val="en-US" w:eastAsia="zh-HK" w:bidi="en-US"/>
              </w:rPr>
              <w:t>組加密資產的總</w:t>
            </w:r>
            <w:r w:rsidRPr="006854AC">
              <w:rPr>
                <w:rFonts w:eastAsiaTheme="minorEastAsia" w:cs="Segoe UI"/>
                <w:sz w:val="17"/>
                <w:szCs w:val="17"/>
                <w:lang w:eastAsia="zh-HK" w:bidi="en-US"/>
              </w:rPr>
              <w:t>風險加權數額</w:t>
            </w:r>
          </w:p>
        </w:tc>
        <w:tc>
          <w:tcPr>
            <w:tcW w:w="2551" w:type="dxa"/>
            <w:gridSpan w:val="2"/>
            <w:tcBorders>
              <w:bottom w:val="single" w:sz="8" w:space="0" w:color="auto"/>
              <w:right w:val="nil"/>
            </w:tcBorders>
          </w:tcPr>
          <w:p w14:paraId="55B7E99C" w14:textId="77777777" w:rsidR="00DA1457" w:rsidRPr="006854AC" w:rsidRDefault="00DA1457" w:rsidP="00DA1457">
            <w:pPr>
              <w:widowControl w:val="0"/>
              <w:autoSpaceDE w:val="0"/>
              <w:autoSpaceDN w:val="0"/>
              <w:rPr>
                <w:rFonts w:eastAsia="Segoe UI" w:cs="Segoe UI"/>
                <w:sz w:val="17"/>
                <w:szCs w:val="17"/>
                <w:lang w:eastAsia="zh-TW" w:bidi="en-US"/>
              </w:rPr>
            </w:pPr>
          </w:p>
        </w:tc>
        <w:tc>
          <w:tcPr>
            <w:tcW w:w="4781" w:type="dxa"/>
            <w:gridSpan w:val="4"/>
            <w:vMerge/>
            <w:tcBorders>
              <w:left w:val="nil"/>
              <w:bottom w:val="single" w:sz="8" w:space="0" w:color="auto"/>
              <w:right w:val="nil"/>
            </w:tcBorders>
          </w:tcPr>
          <w:p w14:paraId="0B89F159" w14:textId="77777777" w:rsidR="00DA1457" w:rsidRPr="006854AC" w:rsidRDefault="00DA1457" w:rsidP="00DA1457">
            <w:pPr>
              <w:widowControl w:val="0"/>
              <w:autoSpaceDE w:val="0"/>
              <w:autoSpaceDN w:val="0"/>
              <w:rPr>
                <w:rFonts w:eastAsia="Segoe UI" w:cs="Segoe UI"/>
                <w:sz w:val="17"/>
                <w:szCs w:val="17"/>
                <w:lang w:eastAsia="zh-TW" w:bidi="en-US"/>
              </w:rPr>
            </w:pPr>
          </w:p>
        </w:tc>
      </w:tr>
      <w:tr w:rsidR="006854AC" w:rsidRPr="006854AC" w14:paraId="43DE1007" w14:textId="77777777" w:rsidTr="00F60474">
        <w:tblPrEx>
          <w:tblBorders>
            <w:top w:val="single" w:sz="4" w:space="0" w:color="BCBCBD"/>
            <w:left w:val="none" w:sz="0" w:space="0" w:color="auto"/>
            <w:bottom w:val="none" w:sz="0" w:space="0" w:color="auto"/>
            <w:right w:val="none" w:sz="0" w:space="0" w:color="auto"/>
            <w:insideH w:val="none" w:sz="0" w:space="0" w:color="auto"/>
            <w:insideV w:val="single" w:sz="4" w:space="0" w:color="BCBCBD"/>
          </w:tblBorders>
          <w:tblCellMar>
            <w:left w:w="108" w:type="dxa"/>
            <w:right w:w="108" w:type="dxa"/>
          </w:tblCellMar>
          <w:tblLook w:val="04A0" w:firstRow="1" w:lastRow="0" w:firstColumn="1" w:lastColumn="0" w:noHBand="0" w:noVBand="1"/>
        </w:tblPrEx>
        <w:trPr>
          <w:trHeight w:val="283"/>
          <w:jc w:val="center"/>
        </w:trPr>
        <w:tc>
          <w:tcPr>
            <w:tcW w:w="9924" w:type="dxa"/>
            <w:gridSpan w:val="8"/>
            <w:tcBorders>
              <w:top w:val="single" w:sz="8" w:space="0" w:color="auto"/>
              <w:left w:val="nil"/>
              <w:bottom w:val="single" w:sz="8" w:space="0" w:color="auto"/>
              <w:right w:val="single" w:sz="4" w:space="0" w:color="auto"/>
            </w:tcBorders>
          </w:tcPr>
          <w:p w14:paraId="064C33B6" w14:textId="7280915A" w:rsidR="00DA1457" w:rsidRPr="006854AC" w:rsidRDefault="00DA1457" w:rsidP="00DA1457">
            <w:pPr>
              <w:keepLines/>
              <w:tabs>
                <w:tab w:val="left" w:pos="397"/>
                <w:tab w:val="left" w:pos="794"/>
                <w:tab w:val="left" w:pos="1191"/>
              </w:tabs>
              <w:snapToGrid w:val="0"/>
              <w:spacing w:before="20" w:after="20"/>
              <w:ind w:hanging="70"/>
              <w:rPr>
                <w:rFonts w:asciiTheme="minorEastAsia" w:eastAsiaTheme="minorEastAsia" w:hAnsiTheme="minorEastAsia" w:cs="Segoe UI"/>
                <w:i/>
                <w:sz w:val="17"/>
                <w:szCs w:val="17"/>
                <w:lang w:eastAsia="en-GB"/>
              </w:rPr>
            </w:pPr>
            <w:proofErr w:type="spellStart"/>
            <w:r w:rsidRPr="006854AC">
              <w:rPr>
                <w:rFonts w:asciiTheme="minorEastAsia" w:eastAsiaTheme="minorEastAsia" w:hAnsiTheme="minorEastAsia" w:cs="Segoe UI"/>
                <w:i/>
                <w:sz w:val="17"/>
                <w:szCs w:val="17"/>
                <w:lang w:eastAsia="en-GB"/>
              </w:rPr>
              <w:t>注意事項</w:t>
            </w:r>
            <w:proofErr w:type="spellEnd"/>
            <w:r w:rsidRPr="006854AC">
              <w:rPr>
                <w:rFonts w:asciiTheme="minorEastAsia" w:eastAsiaTheme="minorEastAsia" w:hAnsiTheme="minorEastAsia" w:cs="Segoe UI"/>
                <w:i/>
                <w:sz w:val="17"/>
                <w:szCs w:val="17"/>
                <w:lang w:eastAsia="en-GB"/>
              </w:rPr>
              <w:t>：</w:t>
            </w:r>
          </w:p>
          <w:p w14:paraId="3468816B" w14:textId="6A0CFE71" w:rsidR="00DA1457" w:rsidRPr="006854AC" w:rsidRDefault="00DA1457" w:rsidP="008B272E">
            <w:pPr>
              <w:keepLines/>
              <w:widowControl w:val="0"/>
              <w:numPr>
                <w:ilvl w:val="0"/>
                <w:numId w:val="62"/>
              </w:numPr>
              <w:snapToGrid w:val="0"/>
              <w:spacing w:before="20" w:after="20" w:line="259" w:lineRule="auto"/>
              <w:ind w:left="356" w:hanging="356"/>
              <w:jc w:val="both"/>
              <w:rPr>
                <w:rFonts w:eastAsia="新細明體" w:cs="Segoe UI"/>
                <w:sz w:val="17"/>
                <w:szCs w:val="17"/>
                <w:lang w:eastAsia="zh-TW"/>
              </w:rPr>
            </w:pPr>
            <w:r w:rsidRPr="006854AC">
              <w:rPr>
                <w:rFonts w:eastAsiaTheme="minorEastAsia" w:cs="Segoe UI"/>
                <w:sz w:val="17"/>
                <w:szCs w:val="17"/>
                <w:lang w:eastAsia="zh-HK"/>
              </w:rPr>
              <w:t>在本模版填報的資產負</w:t>
            </w:r>
            <w:r w:rsidR="008874CF" w:rsidRPr="006854AC">
              <w:rPr>
                <w:rFonts w:eastAsiaTheme="minorEastAsia" w:cs="Segoe UI"/>
                <w:sz w:val="17"/>
                <w:szCs w:val="17"/>
                <w:lang w:eastAsia="zh-HK"/>
              </w:rPr>
              <w:t>債</w:t>
            </w:r>
            <w:r w:rsidRPr="006854AC">
              <w:rPr>
                <w:rFonts w:eastAsiaTheme="minorEastAsia" w:cs="Segoe UI"/>
                <w:sz w:val="17"/>
                <w:szCs w:val="17"/>
                <w:lang w:eastAsia="zh-HK"/>
              </w:rPr>
              <w:t>表及</w:t>
            </w:r>
            <w:r w:rsidR="00E953E6" w:rsidRPr="006854AC">
              <w:rPr>
                <w:rFonts w:eastAsiaTheme="minorEastAsia" w:cs="Segoe UI" w:hint="eastAsia"/>
                <w:sz w:val="17"/>
                <w:szCs w:val="17"/>
                <w:lang w:eastAsia="zh-HK"/>
              </w:rPr>
              <w:t>用作</w:t>
            </w:r>
            <w:r w:rsidRPr="006854AC">
              <w:rPr>
                <w:rFonts w:eastAsiaTheme="minorEastAsia" w:cs="Segoe UI"/>
                <w:sz w:val="17"/>
                <w:szCs w:val="17"/>
                <w:lang w:eastAsia="zh-HK"/>
              </w:rPr>
              <w:t>監管</w:t>
            </w:r>
            <w:r w:rsidR="008874CF" w:rsidRPr="006854AC">
              <w:rPr>
                <w:rFonts w:eastAsiaTheme="minorEastAsia" w:cs="Segoe UI"/>
                <w:sz w:val="17"/>
                <w:szCs w:val="17"/>
                <w:lang w:eastAsia="zh-HK"/>
              </w:rPr>
              <w:t>用途</w:t>
            </w:r>
            <w:r w:rsidR="00E953E6" w:rsidRPr="006854AC">
              <w:rPr>
                <w:rFonts w:eastAsiaTheme="minorEastAsia" w:cs="Segoe UI" w:hint="eastAsia"/>
                <w:sz w:val="17"/>
                <w:szCs w:val="17"/>
                <w:lang w:eastAsia="zh-HK"/>
              </w:rPr>
              <w:t>的</w:t>
            </w:r>
            <w:r w:rsidRPr="006854AC">
              <w:rPr>
                <w:rFonts w:eastAsiaTheme="minorEastAsia" w:cs="Segoe UI"/>
                <w:sz w:val="17"/>
                <w:szCs w:val="17"/>
                <w:lang w:eastAsia="zh-HK"/>
              </w:rPr>
              <w:t>數額應反映報告期末的值</w:t>
            </w:r>
            <w:r w:rsidRPr="006854AC">
              <w:rPr>
                <w:rFonts w:eastAsiaTheme="minorEastAsia" w:cs="Segoe UI"/>
                <w:sz w:val="17"/>
                <w:szCs w:val="17"/>
                <w:lang w:eastAsia="zh-TW"/>
              </w:rPr>
              <w:t>。</w:t>
            </w:r>
            <w:bookmarkStart w:id="7" w:name="_Hlk212194910"/>
            <w:r w:rsidR="00AB5524" w:rsidRPr="006854AC">
              <w:rPr>
                <w:rFonts w:eastAsiaTheme="minorEastAsia" w:cs="Segoe UI" w:hint="eastAsia"/>
                <w:sz w:val="17"/>
                <w:szCs w:val="17"/>
                <w:lang w:eastAsia="zh-TW"/>
              </w:rPr>
              <w:t>同時</w:t>
            </w:r>
            <w:r w:rsidR="00AB5524" w:rsidRPr="006854AC">
              <w:rPr>
                <w:rFonts w:eastAsiaTheme="minorEastAsia" w:cs="Segoe UI"/>
                <w:sz w:val="17"/>
                <w:szCs w:val="17"/>
                <w:lang w:eastAsia="zh-HK"/>
              </w:rPr>
              <w:t>，</w:t>
            </w:r>
            <w:r w:rsidRPr="006854AC">
              <w:rPr>
                <w:rFonts w:eastAsiaTheme="minorEastAsia" w:cs="Segoe UI"/>
                <w:sz w:val="17"/>
                <w:szCs w:val="17"/>
                <w:lang w:eastAsia="zh-HK"/>
              </w:rPr>
              <w:t>認可機構</w:t>
            </w:r>
            <w:r w:rsidR="00CB3682" w:rsidRPr="006854AC">
              <w:rPr>
                <w:rFonts w:eastAsiaTheme="minorEastAsia" w:cs="Segoe UI" w:hint="eastAsia"/>
                <w:sz w:val="17"/>
                <w:szCs w:val="17"/>
                <w:lang w:eastAsia="zh-TW"/>
              </w:rPr>
              <w:t>亦</w:t>
            </w:r>
            <w:r w:rsidRPr="006854AC">
              <w:rPr>
                <w:rFonts w:eastAsiaTheme="minorEastAsia" w:cs="Segoe UI"/>
                <w:sz w:val="17"/>
                <w:szCs w:val="17"/>
                <w:lang w:eastAsia="zh-HK"/>
              </w:rPr>
              <w:t>應就第</w:t>
            </w:r>
            <w:r w:rsidRPr="006854AC">
              <w:rPr>
                <w:rFonts w:eastAsiaTheme="minorEastAsia" w:cs="Segoe UI"/>
                <w:sz w:val="17"/>
                <w:szCs w:val="17"/>
                <w:lang w:eastAsia="zh-TW"/>
              </w:rPr>
              <w:t>3</w:t>
            </w:r>
            <w:r w:rsidRPr="006854AC">
              <w:rPr>
                <w:rFonts w:eastAsiaTheme="minorEastAsia" w:cs="Segoe UI"/>
                <w:sz w:val="17"/>
                <w:szCs w:val="17"/>
                <w:lang w:eastAsia="zh-HK"/>
              </w:rPr>
              <w:t>行</w:t>
            </w:r>
            <w:r w:rsidRPr="006854AC">
              <w:rPr>
                <w:rFonts w:eastAsiaTheme="minorEastAsia" w:cs="Segoe UI"/>
                <w:i/>
                <w:sz w:val="17"/>
                <w:szCs w:val="17"/>
                <w:lang w:eastAsia="zh-HK"/>
              </w:rPr>
              <w:t>第</w:t>
            </w:r>
            <w:r w:rsidRPr="006854AC">
              <w:rPr>
                <w:rFonts w:eastAsiaTheme="minorEastAsia" w:cs="Segoe UI"/>
                <w:i/>
                <w:sz w:val="17"/>
                <w:szCs w:val="17"/>
                <w:lang w:eastAsia="zh-TW"/>
              </w:rPr>
              <w:t>2</w:t>
            </w:r>
            <w:r w:rsidRPr="006854AC">
              <w:rPr>
                <w:rFonts w:eastAsiaTheme="minorEastAsia" w:cs="Segoe UI"/>
                <w:i/>
                <w:sz w:val="17"/>
                <w:szCs w:val="17"/>
                <w:lang w:eastAsia="zh-HK"/>
              </w:rPr>
              <w:t>a</w:t>
            </w:r>
            <w:r w:rsidRPr="006854AC">
              <w:rPr>
                <w:rFonts w:eastAsiaTheme="minorEastAsia" w:cs="Segoe UI"/>
                <w:i/>
                <w:sz w:val="17"/>
                <w:szCs w:val="17"/>
                <w:lang w:eastAsia="zh-HK"/>
              </w:rPr>
              <w:t>組加密資產</w:t>
            </w:r>
            <w:bookmarkEnd w:id="7"/>
            <w:r w:rsidRPr="006854AC">
              <w:rPr>
                <w:rFonts w:eastAsiaTheme="minorEastAsia" w:cs="Segoe UI"/>
                <w:sz w:val="17"/>
                <w:szCs w:val="17"/>
                <w:lang w:eastAsia="zh-TW"/>
              </w:rPr>
              <w:t>（</w:t>
            </w:r>
            <w:r w:rsidRPr="006854AC">
              <w:rPr>
                <w:rFonts w:eastAsiaTheme="minorEastAsia" w:cs="Segoe UI"/>
                <w:sz w:val="17"/>
                <w:szCs w:val="17"/>
                <w:lang w:eastAsia="zh-TW"/>
              </w:rPr>
              <w:t>(</w:t>
            </w:r>
            <w:r w:rsidRPr="006854AC">
              <w:rPr>
                <w:rFonts w:eastAsiaTheme="minorEastAsia" w:cs="Segoe UI"/>
                <w:sz w:val="17"/>
                <w:szCs w:val="17"/>
                <w:lang w:eastAsia="zh-HK"/>
              </w:rPr>
              <w:t>d)</w:t>
            </w:r>
            <w:r w:rsidRPr="006854AC">
              <w:rPr>
                <w:rFonts w:eastAsiaTheme="minorEastAsia" w:cs="Segoe UI"/>
                <w:sz w:val="17"/>
                <w:szCs w:val="17"/>
                <w:lang w:eastAsia="zh-HK"/>
              </w:rPr>
              <w:t>欄</w:t>
            </w:r>
            <w:r w:rsidRPr="006854AC">
              <w:rPr>
                <w:rFonts w:eastAsiaTheme="minorEastAsia" w:cs="Segoe UI"/>
                <w:i/>
                <w:sz w:val="17"/>
                <w:szCs w:val="17"/>
                <w:lang w:eastAsia="zh-HK"/>
              </w:rPr>
              <w:t>長風險承擔</w:t>
            </w:r>
            <w:r w:rsidRPr="006854AC">
              <w:rPr>
                <w:rFonts w:eastAsiaTheme="minorEastAsia" w:cs="Segoe UI"/>
                <w:sz w:val="17"/>
                <w:szCs w:val="17"/>
                <w:lang w:eastAsia="zh-HK"/>
              </w:rPr>
              <w:t>及</w:t>
            </w:r>
            <w:r w:rsidRPr="006854AC">
              <w:rPr>
                <w:rFonts w:eastAsiaTheme="minorEastAsia" w:cs="Segoe UI"/>
                <w:sz w:val="17"/>
                <w:szCs w:val="17"/>
                <w:lang w:eastAsia="zh-TW"/>
              </w:rPr>
              <w:t>(e)</w:t>
            </w:r>
            <w:r w:rsidRPr="006854AC">
              <w:rPr>
                <w:rFonts w:eastAsiaTheme="minorEastAsia" w:cs="Segoe UI"/>
                <w:sz w:val="17"/>
                <w:szCs w:val="17"/>
                <w:lang w:eastAsia="zh-HK"/>
              </w:rPr>
              <w:t>欄</w:t>
            </w:r>
            <w:r w:rsidRPr="006854AC">
              <w:rPr>
                <w:rFonts w:eastAsiaTheme="minorEastAsia" w:cs="Segoe UI"/>
                <w:i/>
                <w:sz w:val="17"/>
                <w:szCs w:val="17"/>
                <w:lang w:eastAsia="zh-HK"/>
              </w:rPr>
              <w:t>短風險承擔</w:t>
            </w:r>
            <w:r w:rsidRPr="006854AC">
              <w:rPr>
                <w:rFonts w:eastAsiaTheme="minorEastAsia" w:cs="Segoe UI"/>
                <w:sz w:val="17"/>
                <w:szCs w:val="17"/>
                <w:lang w:eastAsia="zh-TW"/>
              </w:rPr>
              <w:t>）</w:t>
            </w:r>
            <w:r w:rsidRPr="006854AC">
              <w:rPr>
                <w:rFonts w:eastAsiaTheme="minorEastAsia" w:cs="Segoe UI"/>
                <w:sz w:val="17"/>
                <w:szCs w:val="17"/>
                <w:lang w:eastAsia="zh-HK"/>
              </w:rPr>
              <w:t>及第</w:t>
            </w:r>
            <w:r w:rsidRPr="006854AC">
              <w:rPr>
                <w:rFonts w:eastAsiaTheme="minorEastAsia" w:cs="Segoe UI"/>
                <w:sz w:val="17"/>
                <w:szCs w:val="17"/>
                <w:lang w:eastAsia="zh-TW"/>
              </w:rPr>
              <w:t>4</w:t>
            </w:r>
            <w:r w:rsidRPr="006854AC">
              <w:rPr>
                <w:rFonts w:eastAsiaTheme="minorEastAsia" w:cs="Segoe UI"/>
                <w:sz w:val="17"/>
                <w:szCs w:val="17"/>
                <w:lang w:eastAsia="zh-HK"/>
              </w:rPr>
              <w:t>行</w:t>
            </w:r>
            <w:r w:rsidRPr="006854AC">
              <w:rPr>
                <w:rFonts w:eastAsiaTheme="minorEastAsia" w:cs="Segoe UI"/>
                <w:i/>
                <w:sz w:val="17"/>
                <w:szCs w:val="17"/>
                <w:lang w:eastAsia="zh-HK"/>
              </w:rPr>
              <w:t>第</w:t>
            </w:r>
            <w:r w:rsidRPr="006854AC">
              <w:rPr>
                <w:rFonts w:eastAsiaTheme="minorEastAsia" w:cs="Segoe UI"/>
                <w:i/>
                <w:sz w:val="17"/>
                <w:szCs w:val="17"/>
                <w:lang w:eastAsia="zh-TW"/>
              </w:rPr>
              <w:t>2</w:t>
            </w:r>
            <w:r w:rsidRPr="006854AC">
              <w:rPr>
                <w:rFonts w:eastAsiaTheme="minorEastAsia" w:cs="Segoe UI"/>
                <w:i/>
                <w:sz w:val="17"/>
                <w:szCs w:val="17"/>
                <w:lang w:eastAsia="zh-HK"/>
              </w:rPr>
              <w:t>b</w:t>
            </w:r>
            <w:r w:rsidRPr="006854AC">
              <w:rPr>
                <w:rFonts w:eastAsiaTheme="minorEastAsia" w:cs="Segoe UI"/>
                <w:i/>
                <w:sz w:val="17"/>
                <w:szCs w:val="17"/>
                <w:lang w:eastAsia="zh-HK"/>
              </w:rPr>
              <w:t>組加密資產</w:t>
            </w:r>
            <w:r w:rsidRPr="006854AC">
              <w:rPr>
                <w:rFonts w:eastAsiaTheme="minorEastAsia" w:cs="Segoe UI"/>
                <w:sz w:val="17"/>
                <w:szCs w:val="17"/>
                <w:lang w:eastAsia="zh-TW"/>
              </w:rPr>
              <w:t>（</w:t>
            </w:r>
            <w:r w:rsidRPr="006854AC">
              <w:rPr>
                <w:rFonts w:eastAsiaTheme="minorEastAsia" w:cs="Segoe UI"/>
                <w:sz w:val="17"/>
                <w:szCs w:val="17"/>
                <w:lang w:eastAsia="zh-TW"/>
              </w:rPr>
              <w:t>(</w:t>
            </w:r>
            <w:r w:rsidRPr="006854AC">
              <w:rPr>
                <w:rFonts w:eastAsiaTheme="minorEastAsia" w:cs="Segoe UI"/>
                <w:sz w:val="17"/>
                <w:szCs w:val="17"/>
                <w:lang w:eastAsia="zh-HK"/>
              </w:rPr>
              <w:t>a)</w:t>
            </w:r>
            <w:r w:rsidRPr="006854AC">
              <w:rPr>
                <w:rFonts w:eastAsiaTheme="minorEastAsia" w:cs="Segoe UI"/>
                <w:sz w:val="17"/>
                <w:szCs w:val="17"/>
                <w:lang w:eastAsia="zh-HK"/>
              </w:rPr>
              <w:t>欄</w:t>
            </w:r>
            <w:r w:rsidRPr="006854AC">
              <w:rPr>
                <w:rFonts w:eastAsiaTheme="minorEastAsia" w:cs="Segoe UI"/>
                <w:i/>
                <w:sz w:val="17"/>
                <w:szCs w:val="17"/>
                <w:lang w:eastAsia="zh-HK"/>
              </w:rPr>
              <w:t>總風險承擔</w:t>
            </w:r>
            <w:r w:rsidRPr="006854AC">
              <w:rPr>
                <w:rFonts w:eastAsiaTheme="minorEastAsia" w:cs="Segoe UI"/>
                <w:sz w:val="17"/>
                <w:szCs w:val="17"/>
                <w:lang w:eastAsia="zh-TW"/>
              </w:rPr>
              <w:t>、</w:t>
            </w:r>
            <w:r w:rsidRPr="006854AC">
              <w:rPr>
                <w:rFonts w:eastAsiaTheme="minorEastAsia" w:cs="Segoe UI"/>
                <w:sz w:val="17"/>
                <w:szCs w:val="17"/>
                <w:lang w:eastAsia="zh-TW"/>
              </w:rPr>
              <w:t>(</w:t>
            </w:r>
            <w:r w:rsidRPr="006854AC">
              <w:rPr>
                <w:rFonts w:eastAsiaTheme="minorEastAsia" w:cs="Segoe UI"/>
                <w:sz w:val="17"/>
                <w:szCs w:val="17"/>
                <w:lang w:eastAsia="zh-HK"/>
              </w:rPr>
              <w:t>d)</w:t>
            </w:r>
            <w:r w:rsidRPr="006854AC">
              <w:rPr>
                <w:rFonts w:eastAsiaTheme="minorEastAsia" w:cs="Segoe UI"/>
                <w:sz w:val="17"/>
                <w:szCs w:val="17"/>
                <w:lang w:eastAsia="zh-HK"/>
              </w:rPr>
              <w:t>欄</w:t>
            </w:r>
            <w:r w:rsidRPr="006854AC">
              <w:rPr>
                <w:rFonts w:eastAsiaTheme="minorEastAsia" w:cs="Segoe UI"/>
                <w:i/>
                <w:sz w:val="17"/>
                <w:szCs w:val="17"/>
                <w:lang w:eastAsia="zh-HK"/>
              </w:rPr>
              <w:t>長風險承擔</w:t>
            </w:r>
            <w:r w:rsidRPr="006854AC">
              <w:rPr>
                <w:rFonts w:eastAsiaTheme="minorEastAsia" w:cs="Segoe UI"/>
                <w:sz w:val="17"/>
                <w:szCs w:val="17"/>
                <w:lang w:eastAsia="zh-HK"/>
              </w:rPr>
              <w:t>及</w:t>
            </w:r>
            <w:r w:rsidRPr="006854AC">
              <w:rPr>
                <w:rFonts w:eastAsiaTheme="minorEastAsia" w:cs="Segoe UI"/>
                <w:sz w:val="17"/>
                <w:szCs w:val="17"/>
                <w:lang w:eastAsia="zh-TW"/>
              </w:rPr>
              <w:t>(e)</w:t>
            </w:r>
            <w:r w:rsidRPr="006854AC">
              <w:rPr>
                <w:rFonts w:eastAsiaTheme="minorEastAsia" w:cs="Segoe UI"/>
                <w:sz w:val="17"/>
                <w:szCs w:val="17"/>
                <w:lang w:eastAsia="zh-HK"/>
              </w:rPr>
              <w:t>欄</w:t>
            </w:r>
            <w:r w:rsidRPr="006854AC">
              <w:rPr>
                <w:rFonts w:eastAsiaTheme="minorEastAsia" w:cs="Segoe UI"/>
                <w:i/>
                <w:sz w:val="17"/>
                <w:szCs w:val="17"/>
                <w:lang w:eastAsia="zh-HK"/>
              </w:rPr>
              <w:t>短風險承擔</w:t>
            </w:r>
            <w:r w:rsidRPr="006854AC">
              <w:rPr>
                <w:rFonts w:eastAsiaTheme="minorEastAsia" w:cs="Segoe UI"/>
                <w:sz w:val="17"/>
                <w:szCs w:val="17"/>
                <w:lang w:eastAsia="zh-TW"/>
              </w:rPr>
              <w:t>）</w:t>
            </w:r>
            <w:r w:rsidR="0027521A" w:rsidRPr="006854AC">
              <w:rPr>
                <w:rFonts w:eastAsiaTheme="minorEastAsia" w:cs="Segoe UI" w:hint="eastAsia"/>
                <w:sz w:val="17"/>
                <w:szCs w:val="17"/>
                <w:lang w:val="en-US" w:eastAsia="zh-HK"/>
              </w:rPr>
              <w:t>使</w:t>
            </w:r>
            <w:r w:rsidRPr="006854AC">
              <w:rPr>
                <w:rFonts w:eastAsiaTheme="minorEastAsia" w:cs="Segoe UI"/>
                <w:sz w:val="17"/>
                <w:szCs w:val="17"/>
                <w:lang w:val="en-US" w:eastAsia="zh-HK"/>
              </w:rPr>
              <w:t>用以報告期內每日計算的平均值填報本模版</w:t>
            </w:r>
            <w:r w:rsidRPr="006854AC">
              <w:rPr>
                <w:rFonts w:eastAsiaTheme="minorEastAsia" w:cs="Segoe UI"/>
                <w:sz w:val="17"/>
                <w:szCs w:val="17"/>
                <w:lang w:val="en-US" w:eastAsia="zh-TW"/>
              </w:rPr>
              <w:t>。</w:t>
            </w:r>
            <w:r w:rsidRPr="006854AC">
              <w:rPr>
                <w:rFonts w:eastAsiaTheme="minorEastAsia" w:cs="Segoe UI"/>
                <w:sz w:val="17"/>
                <w:szCs w:val="17"/>
                <w:lang w:val="en-US" w:eastAsia="zh-HK"/>
              </w:rPr>
              <w:t>就第</w:t>
            </w:r>
            <w:r w:rsidRPr="006854AC">
              <w:rPr>
                <w:rFonts w:eastAsia="新細明體" w:cs="Segoe UI"/>
                <w:sz w:val="17"/>
                <w:szCs w:val="17"/>
                <w:lang w:eastAsia="zh-TW"/>
              </w:rPr>
              <w:t>3</w:t>
            </w:r>
            <w:r w:rsidR="000677A4" w:rsidRPr="006854AC">
              <w:rPr>
                <w:rFonts w:eastAsiaTheme="minorEastAsia" w:cs="Segoe UI"/>
                <w:sz w:val="17"/>
                <w:szCs w:val="17"/>
                <w:lang w:eastAsia="zh-HK"/>
              </w:rPr>
              <w:t>及</w:t>
            </w:r>
            <w:r w:rsidRPr="006854AC">
              <w:rPr>
                <w:rFonts w:eastAsia="新細明體" w:cs="Segoe UI"/>
                <w:sz w:val="17"/>
                <w:szCs w:val="17"/>
                <w:lang w:eastAsia="zh-TW"/>
              </w:rPr>
              <w:t>4</w:t>
            </w:r>
            <w:r w:rsidRPr="006854AC">
              <w:rPr>
                <w:rFonts w:eastAsiaTheme="minorEastAsia" w:cs="Segoe UI"/>
                <w:sz w:val="17"/>
                <w:szCs w:val="17"/>
                <w:lang w:eastAsia="zh-HK"/>
              </w:rPr>
              <w:t>行而言，認可機構在填報有關第</w:t>
            </w:r>
            <w:r w:rsidRPr="006854AC">
              <w:rPr>
                <w:rFonts w:eastAsiaTheme="minorEastAsia" w:cs="Segoe UI"/>
                <w:sz w:val="17"/>
                <w:szCs w:val="17"/>
                <w:lang w:eastAsia="zh-HK"/>
              </w:rPr>
              <w:t>2a</w:t>
            </w:r>
            <w:r w:rsidRPr="006854AC">
              <w:rPr>
                <w:rFonts w:eastAsiaTheme="minorEastAsia" w:cs="Segoe UI"/>
                <w:sz w:val="17"/>
                <w:szCs w:val="17"/>
                <w:lang w:eastAsia="zh-HK"/>
              </w:rPr>
              <w:t>及</w:t>
            </w:r>
            <w:r w:rsidRPr="006854AC">
              <w:rPr>
                <w:rFonts w:eastAsiaTheme="minorEastAsia" w:cs="Segoe UI"/>
                <w:sz w:val="17"/>
                <w:szCs w:val="17"/>
                <w:lang w:eastAsia="zh-TW"/>
              </w:rPr>
              <w:t>2</w:t>
            </w:r>
            <w:r w:rsidRPr="006854AC">
              <w:rPr>
                <w:rFonts w:eastAsiaTheme="minorEastAsia" w:cs="Segoe UI"/>
                <w:sz w:val="17"/>
                <w:szCs w:val="17"/>
                <w:lang w:eastAsia="zh-HK"/>
              </w:rPr>
              <w:t>b</w:t>
            </w:r>
            <w:r w:rsidRPr="006854AC">
              <w:rPr>
                <w:rFonts w:eastAsiaTheme="minorEastAsia" w:cs="Segoe UI"/>
                <w:sz w:val="17"/>
                <w:szCs w:val="17"/>
                <w:lang w:eastAsia="zh-HK"/>
              </w:rPr>
              <w:t>組加密資產</w:t>
            </w:r>
            <w:r w:rsidR="00734D9F" w:rsidRPr="006854AC">
              <w:rPr>
                <w:rFonts w:eastAsiaTheme="minorEastAsia" w:cs="Segoe UI" w:hint="eastAsia"/>
                <w:sz w:val="17"/>
                <w:szCs w:val="17"/>
                <w:lang w:eastAsia="zh-HK"/>
              </w:rPr>
              <w:t>各自</w:t>
            </w:r>
            <w:r w:rsidRPr="006854AC">
              <w:rPr>
                <w:rFonts w:eastAsiaTheme="minorEastAsia" w:cs="Segoe UI"/>
                <w:sz w:val="17"/>
                <w:szCs w:val="17"/>
                <w:lang w:eastAsia="zh-HK"/>
              </w:rPr>
              <w:t>總值的行及有關任何重大加密資產風險承擔的</w:t>
            </w:r>
            <w:r w:rsidR="00DA5BD8" w:rsidRPr="006854AC">
              <w:rPr>
                <w:rFonts w:eastAsiaTheme="minorEastAsia" w:cs="Segoe UI" w:hint="eastAsia"/>
                <w:sz w:val="17"/>
                <w:szCs w:val="17"/>
                <w:lang w:eastAsia="zh-HK"/>
              </w:rPr>
              <w:t>各</w:t>
            </w:r>
            <w:r w:rsidR="00667D7D" w:rsidRPr="006854AC">
              <w:rPr>
                <w:rFonts w:eastAsiaTheme="minorEastAsia" w:cs="Segoe UI" w:hint="eastAsia"/>
                <w:sz w:val="17"/>
                <w:szCs w:val="17"/>
                <w:lang w:eastAsia="zh-HK"/>
              </w:rPr>
              <w:t>附加</w:t>
            </w:r>
            <w:r w:rsidRPr="006854AC">
              <w:rPr>
                <w:rFonts w:eastAsiaTheme="minorEastAsia" w:cs="Segoe UI"/>
                <w:sz w:val="17"/>
                <w:szCs w:val="17"/>
                <w:lang w:eastAsia="zh-HK"/>
              </w:rPr>
              <w:t>行時</w:t>
            </w:r>
            <w:r w:rsidRPr="006854AC">
              <w:rPr>
                <w:rFonts w:eastAsiaTheme="minorEastAsia" w:cs="Segoe UI"/>
                <w:sz w:val="17"/>
                <w:szCs w:val="17"/>
                <w:lang w:eastAsia="zh-TW"/>
              </w:rPr>
              <w:t>，</w:t>
            </w:r>
            <w:r w:rsidRPr="006854AC">
              <w:rPr>
                <w:rFonts w:eastAsiaTheme="minorEastAsia" w:cs="Segoe UI"/>
                <w:sz w:val="17"/>
                <w:szCs w:val="17"/>
                <w:lang w:eastAsia="zh-HK"/>
              </w:rPr>
              <w:t>應</w:t>
            </w:r>
            <w:r w:rsidR="0027521A" w:rsidRPr="006854AC">
              <w:rPr>
                <w:rFonts w:eastAsiaTheme="minorEastAsia" w:cs="Segoe UI" w:hint="eastAsia"/>
                <w:sz w:val="17"/>
                <w:szCs w:val="17"/>
                <w:lang w:val="en-US" w:eastAsia="zh-HK"/>
              </w:rPr>
              <w:t>使</w:t>
            </w:r>
            <w:r w:rsidRPr="006854AC">
              <w:rPr>
                <w:rFonts w:eastAsiaTheme="minorEastAsia" w:cs="Segoe UI"/>
                <w:sz w:val="17"/>
                <w:szCs w:val="17"/>
                <w:lang w:eastAsia="zh-HK"/>
              </w:rPr>
              <w:t>用以報告期內每日計算的平均值</w:t>
            </w:r>
            <w:r w:rsidRPr="006854AC">
              <w:rPr>
                <w:rFonts w:eastAsiaTheme="minorEastAsia" w:cs="Segoe UI"/>
                <w:sz w:val="17"/>
                <w:szCs w:val="17"/>
                <w:lang w:eastAsia="zh-TW"/>
              </w:rPr>
              <w:t>。</w:t>
            </w:r>
          </w:p>
          <w:p w14:paraId="2839B778" w14:textId="332917F6" w:rsidR="00DA1457" w:rsidRPr="006854AC" w:rsidRDefault="00DA1457" w:rsidP="008B272E">
            <w:pPr>
              <w:keepLines/>
              <w:widowControl w:val="0"/>
              <w:numPr>
                <w:ilvl w:val="0"/>
                <w:numId w:val="62"/>
              </w:numPr>
              <w:snapToGrid w:val="0"/>
              <w:spacing w:before="20" w:after="20" w:line="259" w:lineRule="auto"/>
              <w:ind w:left="356" w:hanging="356"/>
              <w:jc w:val="both"/>
              <w:rPr>
                <w:rFonts w:eastAsia="新細明體" w:cs="Segoe UI"/>
                <w:sz w:val="17"/>
                <w:szCs w:val="17"/>
                <w:lang w:eastAsia="zh-TW"/>
              </w:rPr>
            </w:pPr>
            <w:r w:rsidRPr="006854AC">
              <w:rPr>
                <w:rFonts w:eastAsiaTheme="minorEastAsia" w:cs="Segoe UI"/>
                <w:sz w:val="17"/>
                <w:szCs w:val="17"/>
                <w:lang w:eastAsia="zh-HK"/>
              </w:rPr>
              <w:t>除本模版所列載適用於所有第</w:t>
            </w:r>
            <w:r w:rsidRPr="006854AC">
              <w:rPr>
                <w:rFonts w:eastAsia="新細明體" w:cs="Segoe UI"/>
                <w:sz w:val="17"/>
                <w:szCs w:val="17"/>
                <w:lang w:eastAsia="zh-TW"/>
              </w:rPr>
              <w:t>1a</w:t>
            </w:r>
            <w:r w:rsidRPr="006854AC">
              <w:rPr>
                <w:rFonts w:eastAsiaTheme="minorEastAsia" w:cs="Segoe UI"/>
                <w:sz w:val="17"/>
                <w:szCs w:val="17"/>
                <w:lang w:eastAsia="zh-TW"/>
              </w:rPr>
              <w:t>、</w:t>
            </w:r>
            <w:r w:rsidRPr="006854AC">
              <w:rPr>
                <w:rFonts w:eastAsia="新細明體" w:cs="Segoe UI"/>
                <w:sz w:val="17"/>
                <w:szCs w:val="17"/>
                <w:lang w:eastAsia="zh-TW"/>
              </w:rPr>
              <w:t>1b</w:t>
            </w:r>
            <w:r w:rsidRPr="006854AC">
              <w:rPr>
                <w:rFonts w:eastAsiaTheme="minorEastAsia" w:cs="Segoe UI"/>
                <w:sz w:val="17"/>
                <w:szCs w:val="17"/>
                <w:lang w:eastAsia="zh-TW"/>
              </w:rPr>
              <w:t>、</w:t>
            </w:r>
            <w:r w:rsidRPr="006854AC">
              <w:rPr>
                <w:rFonts w:eastAsia="新細明體" w:cs="Segoe UI"/>
                <w:sz w:val="17"/>
                <w:szCs w:val="17"/>
                <w:lang w:eastAsia="zh-TW"/>
              </w:rPr>
              <w:t>2a</w:t>
            </w:r>
            <w:r w:rsidRPr="006854AC">
              <w:rPr>
                <w:rFonts w:eastAsiaTheme="minorEastAsia" w:cs="Segoe UI"/>
                <w:sz w:val="17"/>
                <w:szCs w:val="17"/>
                <w:lang w:eastAsia="zh-HK"/>
              </w:rPr>
              <w:t>及</w:t>
            </w:r>
            <w:r w:rsidRPr="006854AC">
              <w:rPr>
                <w:rFonts w:eastAsia="新細明體" w:cs="Segoe UI"/>
                <w:sz w:val="17"/>
                <w:szCs w:val="17"/>
                <w:lang w:eastAsia="zh-TW"/>
              </w:rPr>
              <w:t>2b</w:t>
            </w:r>
            <w:r w:rsidRPr="006854AC">
              <w:rPr>
                <w:rFonts w:eastAsiaTheme="minorEastAsia" w:cs="Segoe UI"/>
                <w:sz w:val="17"/>
                <w:szCs w:val="17"/>
                <w:lang w:eastAsia="zh-HK"/>
              </w:rPr>
              <w:t>組加密資產的獨立披露規定外</w:t>
            </w:r>
            <w:r w:rsidRPr="006854AC">
              <w:rPr>
                <w:rFonts w:eastAsiaTheme="minorEastAsia" w:cs="Segoe UI"/>
                <w:sz w:val="17"/>
                <w:szCs w:val="17"/>
                <w:lang w:eastAsia="zh-TW"/>
              </w:rPr>
              <w:t>，</w:t>
            </w:r>
            <w:r w:rsidRPr="006854AC">
              <w:rPr>
                <w:rFonts w:eastAsiaTheme="minorEastAsia" w:cs="Segoe UI"/>
                <w:sz w:val="17"/>
                <w:szCs w:val="17"/>
                <w:lang w:eastAsia="zh-HK"/>
              </w:rPr>
              <w:t>認可機構</w:t>
            </w:r>
            <w:r w:rsidR="00694EEF" w:rsidRPr="006854AC">
              <w:rPr>
                <w:rFonts w:eastAsiaTheme="minorEastAsia" w:cs="Segoe UI" w:hint="eastAsia"/>
                <w:sz w:val="17"/>
                <w:szCs w:val="17"/>
                <w:lang w:eastAsia="zh-HK"/>
              </w:rPr>
              <w:t>還</w:t>
            </w:r>
            <w:r w:rsidRPr="006854AC">
              <w:rPr>
                <w:rFonts w:eastAsiaTheme="minorEastAsia" w:cs="Segoe UI"/>
                <w:sz w:val="17"/>
                <w:szCs w:val="17"/>
                <w:lang w:eastAsia="zh-HK"/>
              </w:rPr>
              <w:t>應</w:t>
            </w:r>
            <w:r w:rsidR="00431CD2" w:rsidRPr="006854AC">
              <w:rPr>
                <w:rFonts w:eastAsia="新細明體" w:cs="Segoe UI" w:hint="eastAsia"/>
                <w:sz w:val="17"/>
                <w:szCs w:val="17"/>
                <w:lang w:eastAsia="zh-TW"/>
              </w:rPr>
              <w:t>（</w:t>
            </w:r>
            <w:r w:rsidR="00FD3C6E" w:rsidRPr="006854AC">
              <w:rPr>
                <w:rFonts w:eastAsia="新細明體" w:cs="Segoe UI" w:hint="eastAsia"/>
                <w:sz w:val="17"/>
                <w:szCs w:val="17"/>
                <w:lang w:eastAsia="zh-HK"/>
              </w:rPr>
              <w:t>按</w:t>
            </w:r>
            <w:r w:rsidR="00431CD2" w:rsidRPr="006854AC">
              <w:rPr>
                <w:rFonts w:eastAsia="新細明體" w:cs="Segoe UI" w:hint="eastAsia"/>
                <w:sz w:val="17"/>
                <w:szCs w:val="17"/>
                <w:lang w:eastAsia="zh-TW"/>
              </w:rPr>
              <w:t>適用情況</w:t>
            </w:r>
            <w:r w:rsidR="00FD3C6E" w:rsidRPr="006854AC">
              <w:rPr>
                <w:rFonts w:eastAsia="新細明體" w:cs="Segoe UI" w:hint="eastAsia"/>
                <w:sz w:val="17"/>
                <w:szCs w:val="17"/>
                <w:lang w:eastAsia="zh-HK"/>
              </w:rPr>
              <w:t>而定</w:t>
            </w:r>
            <w:r w:rsidR="00431CD2" w:rsidRPr="006854AC">
              <w:rPr>
                <w:rFonts w:eastAsia="新細明體" w:cs="Segoe UI" w:hint="eastAsia"/>
                <w:sz w:val="17"/>
                <w:szCs w:val="17"/>
                <w:lang w:eastAsia="zh-TW"/>
              </w:rPr>
              <w:t>）</w:t>
            </w:r>
            <w:r w:rsidRPr="006854AC">
              <w:rPr>
                <w:rFonts w:eastAsiaTheme="minorEastAsia" w:cs="Segoe UI"/>
                <w:sz w:val="17"/>
                <w:szCs w:val="17"/>
                <w:lang w:eastAsia="zh-HK"/>
              </w:rPr>
              <w:t>將第</w:t>
            </w:r>
            <w:r w:rsidRPr="006854AC">
              <w:rPr>
                <w:rFonts w:eastAsia="新細明體" w:cs="Segoe UI"/>
                <w:sz w:val="17"/>
                <w:szCs w:val="17"/>
                <w:lang w:eastAsia="zh-TW"/>
              </w:rPr>
              <w:t>1</w:t>
            </w:r>
            <w:r w:rsidRPr="006854AC">
              <w:rPr>
                <w:rFonts w:eastAsiaTheme="minorEastAsia" w:cs="Segoe UI"/>
                <w:sz w:val="17"/>
                <w:szCs w:val="17"/>
                <w:lang w:eastAsia="zh-HK"/>
              </w:rPr>
              <w:t>組加密資產風險承擔包括在本披露</w:t>
            </w:r>
            <w:r w:rsidR="00A92B03" w:rsidRPr="006854AC">
              <w:rPr>
                <w:rFonts w:eastAsia="新細明體" w:cs="Segoe UI" w:hint="eastAsia"/>
                <w:sz w:val="17"/>
                <w:szCs w:val="17"/>
                <w:lang w:eastAsia="zh-TW"/>
              </w:rPr>
              <w:t>方案</w:t>
            </w:r>
            <w:r w:rsidRPr="006854AC">
              <w:rPr>
                <w:rFonts w:eastAsiaTheme="minorEastAsia" w:cs="Segoe UI"/>
                <w:sz w:val="17"/>
                <w:szCs w:val="17"/>
                <w:lang w:eastAsia="zh-HK"/>
              </w:rPr>
              <w:t>其他</w:t>
            </w:r>
            <w:r w:rsidR="00E32B7B" w:rsidRPr="006854AC">
              <w:rPr>
                <w:rFonts w:eastAsiaTheme="minorEastAsia" w:cs="Segoe UI" w:hint="eastAsia"/>
                <w:sz w:val="17"/>
                <w:szCs w:val="17"/>
                <w:lang w:eastAsia="zh-HK"/>
              </w:rPr>
              <w:t>各</w:t>
            </w:r>
            <w:r w:rsidRPr="006854AC">
              <w:rPr>
                <w:rFonts w:eastAsiaTheme="minorEastAsia" w:cs="Segoe UI"/>
                <w:sz w:val="17"/>
                <w:szCs w:val="17"/>
                <w:lang w:eastAsia="zh-HK"/>
              </w:rPr>
              <w:t>部中適用於傳統資產的相關披露模版內</w:t>
            </w:r>
            <w:r w:rsidRPr="006854AC">
              <w:rPr>
                <w:rFonts w:eastAsiaTheme="minorEastAsia" w:cs="Segoe UI"/>
                <w:sz w:val="17"/>
                <w:szCs w:val="17"/>
                <w:lang w:eastAsia="zh-TW"/>
              </w:rPr>
              <w:t>（</w:t>
            </w:r>
            <w:r w:rsidRPr="006854AC">
              <w:rPr>
                <w:rFonts w:eastAsiaTheme="minorEastAsia" w:cs="Segoe UI"/>
                <w:sz w:val="17"/>
                <w:szCs w:val="17"/>
                <w:lang w:eastAsia="zh-HK"/>
              </w:rPr>
              <w:t>例如信用風險及市場風險</w:t>
            </w:r>
            <w:r w:rsidR="00E32B7B" w:rsidRPr="006854AC">
              <w:rPr>
                <w:rFonts w:eastAsiaTheme="minorEastAsia" w:cs="Segoe UI"/>
                <w:sz w:val="17"/>
                <w:szCs w:val="17"/>
                <w:lang w:eastAsia="zh-HK"/>
              </w:rPr>
              <w:t>的披露模版</w:t>
            </w:r>
            <w:r w:rsidRPr="006854AC">
              <w:rPr>
                <w:rFonts w:eastAsiaTheme="minorEastAsia" w:cs="Segoe UI"/>
                <w:sz w:val="17"/>
                <w:szCs w:val="17"/>
                <w:lang w:eastAsia="zh-TW"/>
              </w:rPr>
              <w:t>），</w:t>
            </w:r>
            <w:r w:rsidRPr="006854AC">
              <w:rPr>
                <w:rFonts w:eastAsiaTheme="minorEastAsia" w:cs="Segoe UI"/>
                <w:sz w:val="17"/>
                <w:szCs w:val="17"/>
                <w:lang w:eastAsia="zh-HK"/>
              </w:rPr>
              <w:t>以及將第</w:t>
            </w:r>
            <w:r w:rsidRPr="006854AC">
              <w:rPr>
                <w:rFonts w:eastAsia="新細明體" w:cs="Segoe UI"/>
                <w:sz w:val="17"/>
                <w:szCs w:val="17"/>
                <w:lang w:eastAsia="zh-TW"/>
              </w:rPr>
              <w:t>2</w:t>
            </w:r>
            <w:r w:rsidRPr="006854AC">
              <w:rPr>
                <w:rFonts w:eastAsiaTheme="minorEastAsia" w:cs="Segoe UI"/>
                <w:sz w:val="17"/>
                <w:szCs w:val="17"/>
                <w:lang w:eastAsia="zh-HK"/>
              </w:rPr>
              <w:t>組加密資產風險承擔包括在本披露</w:t>
            </w:r>
            <w:r w:rsidR="00E32B7B" w:rsidRPr="006854AC">
              <w:rPr>
                <w:rFonts w:eastAsiaTheme="minorEastAsia" w:cs="Segoe UI" w:hint="eastAsia"/>
                <w:sz w:val="17"/>
                <w:szCs w:val="17"/>
                <w:lang w:eastAsia="zh-HK"/>
              </w:rPr>
              <w:t>方案</w:t>
            </w:r>
            <w:r w:rsidRPr="006854AC">
              <w:rPr>
                <w:rFonts w:eastAsiaTheme="minorEastAsia" w:cs="Segoe UI"/>
                <w:sz w:val="17"/>
                <w:szCs w:val="17"/>
                <w:lang w:eastAsia="zh-HK"/>
              </w:rPr>
              <w:t>其他</w:t>
            </w:r>
            <w:r w:rsidR="00E32B7B" w:rsidRPr="006854AC">
              <w:rPr>
                <w:rFonts w:eastAsiaTheme="minorEastAsia" w:cs="Segoe UI" w:hint="eastAsia"/>
                <w:sz w:val="17"/>
                <w:szCs w:val="17"/>
                <w:lang w:eastAsia="zh-HK"/>
              </w:rPr>
              <w:t>各</w:t>
            </w:r>
            <w:r w:rsidRPr="006854AC">
              <w:rPr>
                <w:rFonts w:eastAsiaTheme="minorEastAsia" w:cs="Segoe UI"/>
                <w:sz w:val="17"/>
                <w:szCs w:val="17"/>
                <w:lang w:eastAsia="zh-HK"/>
              </w:rPr>
              <w:t>部中的相關披露</w:t>
            </w:r>
            <w:r w:rsidR="00694EEF" w:rsidRPr="006854AC">
              <w:rPr>
                <w:rFonts w:eastAsiaTheme="minorEastAsia" w:cs="Segoe UI" w:hint="eastAsia"/>
                <w:sz w:val="17"/>
                <w:szCs w:val="17"/>
                <w:lang w:eastAsia="zh-HK"/>
              </w:rPr>
              <w:t>模</w:t>
            </w:r>
            <w:r w:rsidRPr="006854AC">
              <w:rPr>
                <w:rFonts w:eastAsiaTheme="minorEastAsia" w:cs="Segoe UI"/>
                <w:sz w:val="17"/>
                <w:szCs w:val="17"/>
                <w:lang w:eastAsia="zh-HK"/>
              </w:rPr>
              <w:t>版內。</w:t>
            </w:r>
          </w:p>
          <w:p w14:paraId="49404904" w14:textId="5FBD2FE2" w:rsidR="00DA1457" w:rsidRPr="006854AC" w:rsidRDefault="00DA1457" w:rsidP="008B272E">
            <w:pPr>
              <w:keepLines/>
              <w:widowControl w:val="0"/>
              <w:numPr>
                <w:ilvl w:val="0"/>
                <w:numId w:val="62"/>
              </w:numPr>
              <w:snapToGrid w:val="0"/>
              <w:spacing w:before="20" w:after="20" w:line="259" w:lineRule="auto"/>
              <w:ind w:left="356" w:hanging="356"/>
              <w:jc w:val="both"/>
              <w:rPr>
                <w:rFonts w:eastAsia="新細明體" w:cs="Segoe UI"/>
                <w:sz w:val="17"/>
                <w:szCs w:val="17"/>
                <w:lang w:eastAsia="zh-TW"/>
              </w:rPr>
            </w:pPr>
            <w:r w:rsidRPr="006854AC">
              <w:rPr>
                <w:rFonts w:eastAsiaTheme="minorEastAsia" w:cs="Segoe UI"/>
                <w:sz w:val="17"/>
                <w:szCs w:val="17"/>
                <w:lang w:eastAsia="zh-HK"/>
              </w:rPr>
              <w:t>就第</w:t>
            </w:r>
            <w:r w:rsidRPr="006854AC">
              <w:rPr>
                <w:rFonts w:eastAsia="新細明體" w:cs="Segoe UI"/>
                <w:sz w:val="17"/>
                <w:szCs w:val="17"/>
                <w:lang w:eastAsia="zh-TW"/>
              </w:rPr>
              <w:t>1b</w:t>
            </w:r>
            <w:r w:rsidRPr="006854AC">
              <w:rPr>
                <w:rFonts w:eastAsiaTheme="minorEastAsia" w:cs="Segoe UI"/>
                <w:sz w:val="17"/>
                <w:szCs w:val="17"/>
                <w:lang w:eastAsia="zh-TW"/>
              </w:rPr>
              <w:t>、</w:t>
            </w:r>
            <w:r w:rsidRPr="006854AC">
              <w:rPr>
                <w:rFonts w:eastAsia="新細明體" w:cs="Segoe UI"/>
                <w:sz w:val="17"/>
                <w:szCs w:val="17"/>
                <w:lang w:eastAsia="zh-TW"/>
              </w:rPr>
              <w:t>2a</w:t>
            </w:r>
            <w:r w:rsidRPr="006854AC">
              <w:rPr>
                <w:rFonts w:eastAsiaTheme="minorEastAsia" w:cs="Segoe UI"/>
                <w:sz w:val="17"/>
                <w:szCs w:val="17"/>
                <w:lang w:eastAsia="zh-HK"/>
              </w:rPr>
              <w:t>及</w:t>
            </w:r>
            <w:r w:rsidRPr="006854AC">
              <w:rPr>
                <w:rFonts w:eastAsia="新細明體" w:cs="Segoe UI"/>
                <w:sz w:val="17"/>
                <w:szCs w:val="17"/>
                <w:lang w:eastAsia="zh-TW"/>
              </w:rPr>
              <w:t>2b</w:t>
            </w:r>
            <w:r w:rsidRPr="006854AC">
              <w:rPr>
                <w:rFonts w:eastAsiaTheme="minorEastAsia" w:cs="Segoe UI"/>
                <w:sz w:val="17"/>
                <w:szCs w:val="17"/>
                <w:lang w:eastAsia="zh-HK"/>
              </w:rPr>
              <w:t>組加密資產而言，認可機構應對穩定幣及</w:t>
            </w:r>
            <w:r w:rsidR="00952C4E" w:rsidRPr="006854AC">
              <w:rPr>
                <w:rFonts w:eastAsiaTheme="minorEastAsia" w:cs="Segoe UI" w:hint="eastAsia"/>
                <w:sz w:val="17"/>
                <w:szCs w:val="17"/>
                <w:lang w:eastAsia="zh-HK"/>
              </w:rPr>
              <w:t>不具</w:t>
            </w:r>
            <w:r w:rsidRPr="006854AC">
              <w:rPr>
                <w:rFonts w:eastAsiaTheme="minorEastAsia" w:cs="Segoe UI"/>
                <w:sz w:val="17"/>
                <w:szCs w:val="17"/>
                <w:lang w:eastAsia="zh-HK"/>
              </w:rPr>
              <w:t>資產支持</w:t>
            </w:r>
            <w:r w:rsidR="00130E0B" w:rsidRPr="006854AC">
              <w:rPr>
                <w:rFonts w:eastAsiaTheme="minorEastAsia" w:cs="Segoe UI" w:hint="eastAsia"/>
                <w:sz w:val="17"/>
                <w:szCs w:val="17"/>
                <w:lang w:eastAsia="zh-HK"/>
              </w:rPr>
              <w:t>的</w:t>
            </w:r>
            <w:r w:rsidRPr="006854AC">
              <w:rPr>
                <w:rFonts w:eastAsiaTheme="minorEastAsia" w:cs="Segoe UI"/>
                <w:sz w:val="17"/>
                <w:szCs w:val="17"/>
                <w:lang w:eastAsia="zh-HK"/>
              </w:rPr>
              <w:t>加密資產的每項重大風險承擔</w:t>
            </w:r>
            <w:r w:rsidR="00D840DB" w:rsidRPr="006854AC">
              <w:rPr>
                <w:rFonts w:eastAsiaTheme="minorEastAsia" w:cs="Segoe UI"/>
                <w:sz w:val="17"/>
                <w:szCs w:val="17"/>
                <w:lang w:eastAsia="zh-HK"/>
              </w:rPr>
              <w:t>，按</w:t>
            </w:r>
            <w:r w:rsidR="00323167" w:rsidRPr="006854AC">
              <w:rPr>
                <w:rFonts w:eastAsiaTheme="minorEastAsia" w:cs="Segoe UI"/>
                <w:sz w:val="17"/>
                <w:szCs w:val="17"/>
                <w:lang w:eastAsia="zh-HK"/>
              </w:rPr>
              <w:t>個別加密資產</w:t>
            </w:r>
            <w:r w:rsidRPr="006854AC">
              <w:rPr>
                <w:rFonts w:eastAsiaTheme="minorEastAsia" w:cs="Segoe UI"/>
                <w:sz w:val="17"/>
                <w:szCs w:val="17"/>
                <w:lang w:eastAsia="zh-HK"/>
              </w:rPr>
              <w:t>加入附加行</w:t>
            </w:r>
            <w:r w:rsidRPr="006854AC">
              <w:rPr>
                <w:rFonts w:eastAsiaTheme="minorEastAsia" w:cs="Segoe UI"/>
                <w:sz w:val="17"/>
                <w:szCs w:val="17"/>
                <w:lang w:eastAsia="zh-TW"/>
              </w:rPr>
              <w:t>。</w:t>
            </w:r>
            <w:r w:rsidRPr="006854AC">
              <w:rPr>
                <w:rFonts w:eastAsiaTheme="minorEastAsia" w:cs="Segoe UI"/>
                <w:sz w:val="17"/>
                <w:szCs w:val="17"/>
                <w:lang w:eastAsia="zh-HK"/>
              </w:rPr>
              <w:t>就第</w:t>
            </w:r>
            <w:r w:rsidRPr="006854AC">
              <w:rPr>
                <w:rFonts w:eastAsia="新細明體" w:cs="Segoe UI"/>
                <w:sz w:val="17"/>
                <w:szCs w:val="17"/>
                <w:lang w:eastAsia="zh-TW"/>
              </w:rPr>
              <w:t>1b</w:t>
            </w:r>
            <w:r w:rsidR="00323167" w:rsidRPr="006854AC">
              <w:rPr>
                <w:rFonts w:eastAsiaTheme="minorEastAsia" w:cs="Segoe UI"/>
                <w:sz w:val="17"/>
                <w:szCs w:val="17"/>
                <w:lang w:eastAsia="zh-HK"/>
              </w:rPr>
              <w:t>組加密資產風險承擔而言，</w:t>
            </w:r>
            <w:r w:rsidR="00637FAE" w:rsidRPr="006854AC">
              <w:rPr>
                <w:rFonts w:eastAsiaTheme="minorEastAsia" w:cs="Segoe UI"/>
                <w:sz w:val="17"/>
                <w:szCs w:val="17"/>
                <w:lang w:eastAsia="zh-HK"/>
              </w:rPr>
              <w:t>重大風險承擔的斷定應基於為遵守《披露規則》而採納的</w:t>
            </w:r>
            <w:r w:rsidR="002000E6" w:rsidRPr="006854AC">
              <w:rPr>
                <w:rFonts w:eastAsiaTheme="minorEastAsia" w:cs="Segoe UI"/>
                <w:sz w:val="17"/>
                <w:szCs w:val="17"/>
                <w:lang w:eastAsia="zh-HK"/>
              </w:rPr>
              <w:t>一般</w:t>
            </w:r>
            <w:r w:rsidR="00637FAE" w:rsidRPr="006854AC">
              <w:rPr>
                <w:rFonts w:eastAsiaTheme="minorEastAsia" w:cs="Segoe UI"/>
                <w:sz w:val="17"/>
                <w:szCs w:val="17"/>
                <w:lang w:eastAsia="zh-HK"/>
              </w:rPr>
              <w:t>重要性原則</w:t>
            </w:r>
            <w:r w:rsidR="002000E6" w:rsidRPr="006854AC">
              <w:rPr>
                <w:rFonts w:eastAsiaTheme="minorEastAsia" w:cs="Segoe UI" w:hint="eastAsia"/>
                <w:sz w:val="17"/>
                <w:szCs w:val="17"/>
                <w:lang w:eastAsia="zh-TW"/>
              </w:rPr>
              <w:t>（</w:t>
            </w:r>
            <w:r w:rsidR="002000E6" w:rsidRPr="006854AC">
              <w:rPr>
                <w:rFonts w:eastAsiaTheme="minorEastAsia" w:cs="Segoe UI" w:hint="eastAsia"/>
                <w:sz w:val="17"/>
                <w:szCs w:val="17"/>
                <w:lang w:eastAsia="zh-HK"/>
              </w:rPr>
              <w:t>參照</w:t>
            </w:r>
            <w:r w:rsidRPr="006854AC">
              <w:rPr>
                <w:rFonts w:eastAsiaTheme="minorEastAsia" w:cs="Segoe UI"/>
                <w:sz w:val="17"/>
                <w:szCs w:val="17"/>
                <w:lang w:eastAsia="zh-HK"/>
              </w:rPr>
              <w:t>《披露規則》第</w:t>
            </w:r>
            <w:r w:rsidRPr="006854AC">
              <w:rPr>
                <w:rFonts w:eastAsiaTheme="minorEastAsia" w:cs="Segoe UI"/>
                <w:sz w:val="17"/>
                <w:szCs w:val="17"/>
                <w:lang w:eastAsia="zh-TW"/>
              </w:rPr>
              <w:t>10</w:t>
            </w:r>
            <w:r w:rsidRPr="006854AC">
              <w:rPr>
                <w:rFonts w:eastAsiaTheme="minorEastAsia" w:cs="Segoe UI"/>
                <w:sz w:val="17"/>
                <w:szCs w:val="17"/>
                <w:lang w:eastAsia="zh-HK"/>
              </w:rPr>
              <w:t>條及《監管政策手冊》單元</w:t>
            </w:r>
            <w:r w:rsidRPr="006854AC">
              <w:rPr>
                <w:rFonts w:eastAsiaTheme="minorEastAsia" w:cs="Segoe UI"/>
                <w:sz w:val="17"/>
                <w:szCs w:val="17"/>
                <w:lang w:eastAsia="zh-TW"/>
              </w:rPr>
              <w:t>CA-D-1</w:t>
            </w:r>
            <w:r w:rsidRPr="006854AC">
              <w:rPr>
                <w:rFonts w:eastAsiaTheme="minorEastAsia" w:cs="Segoe UI"/>
                <w:sz w:val="17"/>
                <w:szCs w:val="17"/>
                <w:lang w:eastAsia="zh-HK"/>
              </w:rPr>
              <w:t>「《銀行業</w:t>
            </w:r>
            <w:r w:rsidRPr="006854AC">
              <w:rPr>
                <w:rFonts w:eastAsiaTheme="minorEastAsia" w:cs="Segoe UI"/>
                <w:sz w:val="17"/>
                <w:szCs w:val="17"/>
                <w:lang w:eastAsia="zh-HK"/>
              </w:rPr>
              <w:t>(</w:t>
            </w:r>
            <w:r w:rsidRPr="006854AC">
              <w:rPr>
                <w:rFonts w:eastAsiaTheme="minorEastAsia" w:cs="Segoe UI"/>
                <w:sz w:val="17"/>
                <w:szCs w:val="17"/>
                <w:lang w:eastAsia="zh-HK"/>
              </w:rPr>
              <w:t>披露</w:t>
            </w:r>
            <w:r w:rsidRPr="006854AC">
              <w:rPr>
                <w:rFonts w:eastAsiaTheme="minorEastAsia" w:cs="Segoe UI"/>
                <w:sz w:val="17"/>
                <w:szCs w:val="17"/>
                <w:lang w:eastAsia="zh-HK"/>
              </w:rPr>
              <w:t>)</w:t>
            </w:r>
            <w:r w:rsidRPr="006854AC">
              <w:rPr>
                <w:rFonts w:eastAsiaTheme="minorEastAsia" w:cs="Segoe UI"/>
                <w:sz w:val="17"/>
                <w:szCs w:val="17"/>
                <w:lang w:eastAsia="zh-HK"/>
              </w:rPr>
              <w:t>規則》的應用指引」第</w:t>
            </w:r>
            <w:r w:rsidRPr="006854AC">
              <w:rPr>
                <w:rFonts w:eastAsia="新細明體" w:cs="Segoe UI"/>
                <w:sz w:val="17"/>
                <w:szCs w:val="17"/>
                <w:lang w:eastAsia="zh-TW"/>
              </w:rPr>
              <w:t>8.4</w:t>
            </w:r>
            <w:r w:rsidRPr="006854AC">
              <w:rPr>
                <w:rFonts w:eastAsiaTheme="minorEastAsia" w:cs="Segoe UI"/>
                <w:sz w:val="17"/>
                <w:szCs w:val="17"/>
                <w:lang w:eastAsia="zh-HK"/>
              </w:rPr>
              <w:t>及</w:t>
            </w:r>
            <w:r w:rsidRPr="006854AC">
              <w:rPr>
                <w:rFonts w:eastAsia="新細明體" w:cs="Segoe UI"/>
                <w:sz w:val="17"/>
                <w:szCs w:val="17"/>
                <w:lang w:eastAsia="zh-TW"/>
              </w:rPr>
              <w:t>9.6</w:t>
            </w:r>
            <w:r w:rsidRPr="006854AC">
              <w:rPr>
                <w:rFonts w:eastAsiaTheme="minorEastAsia" w:cs="Segoe UI"/>
                <w:sz w:val="17"/>
                <w:szCs w:val="17"/>
                <w:lang w:eastAsia="zh-HK"/>
              </w:rPr>
              <w:t>段</w:t>
            </w:r>
            <w:r w:rsidR="001D0D4A" w:rsidRPr="006854AC">
              <w:rPr>
                <w:rFonts w:eastAsiaTheme="minorEastAsia" w:cs="Segoe UI" w:hint="eastAsia"/>
                <w:sz w:val="17"/>
                <w:szCs w:val="17"/>
                <w:lang w:eastAsia="zh-HK"/>
              </w:rPr>
              <w:t>所</w:t>
            </w:r>
            <w:r w:rsidR="002000E6" w:rsidRPr="006854AC">
              <w:rPr>
                <w:rFonts w:eastAsiaTheme="minorEastAsia" w:cs="Segoe UI" w:hint="eastAsia"/>
                <w:sz w:val="17"/>
                <w:szCs w:val="17"/>
                <w:lang w:eastAsia="zh-TW"/>
              </w:rPr>
              <w:t>載</w:t>
            </w:r>
            <w:r w:rsidRPr="006854AC">
              <w:rPr>
                <w:rFonts w:eastAsiaTheme="minorEastAsia" w:cs="Segoe UI"/>
                <w:sz w:val="17"/>
                <w:szCs w:val="17"/>
                <w:lang w:eastAsia="zh-HK"/>
              </w:rPr>
              <w:t>的進一步指引</w:t>
            </w:r>
            <w:r w:rsidR="002000E6" w:rsidRPr="006854AC">
              <w:rPr>
                <w:rFonts w:eastAsiaTheme="minorEastAsia" w:cs="Segoe UI" w:hint="eastAsia"/>
                <w:sz w:val="17"/>
                <w:szCs w:val="17"/>
                <w:lang w:eastAsia="zh-TW"/>
              </w:rPr>
              <w:t>）</w:t>
            </w:r>
            <w:r w:rsidRPr="006854AC">
              <w:rPr>
                <w:rFonts w:eastAsiaTheme="minorEastAsia" w:cs="Segoe UI"/>
                <w:sz w:val="17"/>
                <w:szCs w:val="17"/>
                <w:lang w:eastAsia="zh-TW"/>
              </w:rPr>
              <w:t>。</w:t>
            </w:r>
            <w:r w:rsidRPr="006854AC">
              <w:rPr>
                <w:rFonts w:eastAsiaTheme="minorEastAsia" w:cs="Segoe UI"/>
                <w:sz w:val="17"/>
                <w:szCs w:val="17"/>
                <w:lang w:eastAsia="zh-HK"/>
              </w:rPr>
              <w:t>就本模版而言，第</w:t>
            </w:r>
            <w:r w:rsidRPr="006854AC">
              <w:rPr>
                <w:rFonts w:eastAsiaTheme="minorEastAsia" w:cs="Segoe UI"/>
                <w:sz w:val="17"/>
                <w:szCs w:val="17"/>
                <w:lang w:eastAsia="zh-TW"/>
              </w:rPr>
              <w:t>2</w:t>
            </w:r>
            <w:r w:rsidRPr="006854AC">
              <w:rPr>
                <w:rFonts w:eastAsiaTheme="minorEastAsia" w:cs="Segoe UI"/>
                <w:sz w:val="17"/>
                <w:szCs w:val="17"/>
                <w:lang w:eastAsia="zh-HK"/>
              </w:rPr>
              <w:t>組加密資產風險承擔如符合以下兩個</w:t>
            </w:r>
            <w:r w:rsidR="00DD6C98" w:rsidRPr="006854AC">
              <w:rPr>
                <w:rFonts w:eastAsiaTheme="minorEastAsia" w:cs="Segoe UI" w:hint="eastAsia"/>
                <w:sz w:val="17"/>
                <w:szCs w:val="17"/>
                <w:lang w:eastAsia="zh-TW"/>
              </w:rPr>
              <w:t>條件</w:t>
            </w:r>
            <w:r w:rsidRPr="006854AC">
              <w:rPr>
                <w:rFonts w:eastAsiaTheme="minorEastAsia" w:cs="Segoe UI"/>
                <w:sz w:val="17"/>
                <w:szCs w:val="17"/>
                <w:lang w:eastAsia="zh-TW"/>
              </w:rPr>
              <w:t>，</w:t>
            </w:r>
            <w:r w:rsidRPr="006854AC">
              <w:rPr>
                <w:rFonts w:eastAsiaTheme="minorEastAsia" w:cs="Segoe UI"/>
                <w:sz w:val="17"/>
                <w:szCs w:val="17"/>
                <w:lang w:eastAsia="zh-HK"/>
              </w:rPr>
              <w:t>即被視為重大風險承擔</w:t>
            </w:r>
            <w:r w:rsidRPr="006854AC">
              <w:rPr>
                <w:rFonts w:eastAsiaTheme="minorEastAsia" w:cs="Segoe UI"/>
                <w:sz w:val="17"/>
                <w:szCs w:val="17"/>
                <w:lang w:eastAsia="zh-TW"/>
              </w:rPr>
              <w:t>：</w:t>
            </w:r>
          </w:p>
          <w:p w14:paraId="423DF0CD" w14:textId="3C432A35" w:rsidR="00DA1457" w:rsidRPr="006854AC" w:rsidRDefault="00637FAE" w:rsidP="008B272E">
            <w:pPr>
              <w:keepLines/>
              <w:widowControl w:val="0"/>
              <w:numPr>
                <w:ilvl w:val="1"/>
                <w:numId w:val="62"/>
              </w:numPr>
              <w:snapToGrid w:val="0"/>
              <w:spacing w:before="20" w:after="20" w:line="259" w:lineRule="auto"/>
              <w:ind w:left="782" w:hanging="425"/>
              <w:jc w:val="both"/>
              <w:rPr>
                <w:rFonts w:eastAsia="新細明體" w:cs="Segoe UI"/>
                <w:sz w:val="17"/>
                <w:szCs w:val="17"/>
                <w:lang w:eastAsia="zh-TW"/>
              </w:rPr>
            </w:pPr>
            <w:r w:rsidRPr="006854AC">
              <w:rPr>
                <w:rFonts w:eastAsiaTheme="minorEastAsia" w:cs="Segoe UI"/>
                <w:sz w:val="17"/>
                <w:szCs w:val="17"/>
                <w:lang w:eastAsia="zh-HK"/>
              </w:rPr>
              <w:t>認可機構</w:t>
            </w:r>
            <w:r w:rsidRPr="006854AC">
              <w:rPr>
                <w:rFonts w:eastAsiaTheme="minorEastAsia" w:cs="Segoe UI"/>
                <w:sz w:val="17"/>
                <w:szCs w:val="17"/>
                <w:lang w:val="en-US" w:eastAsia="zh-HK"/>
              </w:rPr>
              <w:t>根</w:t>
            </w:r>
            <w:r w:rsidRPr="006854AC">
              <w:rPr>
                <w:rFonts w:eastAsiaTheme="minorEastAsia" w:cs="Segoe UI"/>
                <w:sz w:val="17"/>
                <w:szCs w:val="17"/>
                <w:lang w:val="en-US" w:eastAsia="zh-TW"/>
              </w:rPr>
              <w:t>據</w:t>
            </w:r>
            <w:r w:rsidR="00DA1457" w:rsidRPr="006854AC">
              <w:rPr>
                <w:rFonts w:eastAsiaTheme="minorEastAsia" w:cs="Segoe UI"/>
                <w:sz w:val="17"/>
                <w:szCs w:val="17"/>
                <w:lang w:eastAsia="zh-TW"/>
              </w:rPr>
              <w:t>《</w:t>
            </w:r>
            <w:r w:rsidR="00DA1457" w:rsidRPr="006854AC">
              <w:rPr>
                <w:rFonts w:eastAsiaTheme="minorEastAsia" w:cs="Segoe UI"/>
                <w:sz w:val="17"/>
                <w:szCs w:val="17"/>
                <w:lang w:eastAsia="zh-HK"/>
              </w:rPr>
              <w:t>資本規則》第</w:t>
            </w:r>
            <w:r w:rsidR="00DA1457" w:rsidRPr="006854AC">
              <w:rPr>
                <w:rFonts w:eastAsiaTheme="minorEastAsia" w:cs="Segoe UI"/>
                <w:sz w:val="17"/>
                <w:szCs w:val="17"/>
                <w:lang w:eastAsia="zh-TW"/>
              </w:rPr>
              <w:t>12</w:t>
            </w:r>
            <w:r w:rsidR="00DA1457" w:rsidRPr="006854AC">
              <w:rPr>
                <w:rFonts w:eastAsiaTheme="minorEastAsia" w:cs="Segoe UI"/>
                <w:sz w:val="17"/>
                <w:szCs w:val="17"/>
                <w:lang w:eastAsia="zh-HK"/>
              </w:rPr>
              <w:t>部第</w:t>
            </w:r>
            <w:r w:rsidR="00DA1457" w:rsidRPr="006854AC">
              <w:rPr>
                <w:rFonts w:eastAsiaTheme="minorEastAsia" w:cs="Segoe UI"/>
                <w:sz w:val="17"/>
                <w:szCs w:val="17"/>
                <w:lang w:eastAsia="zh-TW"/>
              </w:rPr>
              <w:t>8</w:t>
            </w:r>
            <w:r w:rsidR="00DA1457" w:rsidRPr="006854AC">
              <w:rPr>
                <w:rFonts w:eastAsiaTheme="minorEastAsia" w:cs="Segoe UI"/>
                <w:sz w:val="17"/>
                <w:szCs w:val="17"/>
                <w:lang w:eastAsia="zh-HK"/>
              </w:rPr>
              <w:t>分部計算的第</w:t>
            </w:r>
            <w:r w:rsidR="00DA1457" w:rsidRPr="006854AC">
              <w:rPr>
                <w:rFonts w:eastAsiaTheme="minorEastAsia" w:cs="Segoe UI"/>
                <w:sz w:val="17"/>
                <w:szCs w:val="17"/>
                <w:lang w:eastAsia="zh-TW"/>
              </w:rPr>
              <w:t>2</w:t>
            </w:r>
            <w:r w:rsidR="00DA1457" w:rsidRPr="006854AC">
              <w:rPr>
                <w:rFonts w:eastAsiaTheme="minorEastAsia" w:cs="Segoe UI"/>
                <w:sz w:val="17"/>
                <w:szCs w:val="17"/>
                <w:lang w:eastAsia="zh-HK"/>
              </w:rPr>
              <w:t>組加密資產風險承擔比率相等或大於</w:t>
            </w:r>
            <w:r w:rsidR="00DA1457" w:rsidRPr="006854AC">
              <w:rPr>
                <w:rFonts w:eastAsiaTheme="minorEastAsia" w:cs="Segoe UI"/>
                <w:sz w:val="17"/>
                <w:szCs w:val="17"/>
                <w:lang w:eastAsia="zh-TW"/>
              </w:rPr>
              <w:t>0.3%</w:t>
            </w:r>
            <w:r w:rsidR="00DA1457" w:rsidRPr="006854AC">
              <w:rPr>
                <w:rFonts w:eastAsiaTheme="minorEastAsia" w:cs="Segoe UI"/>
                <w:sz w:val="17"/>
                <w:szCs w:val="17"/>
                <w:lang w:eastAsia="zh-TW"/>
              </w:rPr>
              <w:t>。</w:t>
            </w:r>
            <w:r w:rsidR="00DA1457" w:rsidRPr="006854AC">
              <w:rPr>
                <w:rFonts w:eastAsiaTheme="minorEastAsia" w:cs="Segoe UI"/>
                <w:sz w:val="17"/>
                <w:szCs w:val="17"/>
                <w:lang w:eastAsia="zh-HK"/>
              </w:rPr>
              <w:t>為斷定某第</w:t>
            </w:r>
            <w:r w:rsidR="00DA1457" w:rsidRPr="006854AC">
              <w:rPr>
                <w:rFonts w:eastAsiaTheme="minorEastAsia" w:cs="Segoe UI"/>
                <w:sz w:val="17"/>
                <w:szCs w:val="17"/>
                <w:lang w:eastAsia="zh-TW"/>
              </w:rPr>
              <w:t>2</w:t>
            </w:r>
            <w:r w:rsidR="00DA1457" w:rsidRPr="006854AC">
              <w:rPr>
                <w:rFonts w:eastAsiaTheme="minorEastAsia" w:cs="Segoe UI"/>
                <w:sz w:val="17"/>
                <w:szCs w:val="17"/>
                <w:lang w:eastAsia="zh-HK"/>
              </w:rPr>
              <w:t>組加密資產風險承擔重大</w:t>
            </w:r>
            <w:r w:rsidR="000E7A2D" w:rsidRPr="006854AC">
              <w:rPr>
                <w:rFonts w:eastAsiaTheme="minorEastAsia" w:cs="Segoe UI" w:hint="eastAsia"/>
                <w:sz w:val="17"/>
                <w:szCs w:val="17"/>
                <w:lang w:eastAsia="zh-HK"/>
              </w:rPr>
              <w:t>與否</w:t>
            </w:r>
            <w:r w:rsidR="00DA1457" w:rsidRPr="006854AC">
              <w:rPr>
                <w:rFonts w:eastAsiaTheme="minorEastAsia" w:cs="Segoe UI"/>
                <w:sz w:val="17"/>
                <w:szCs w:val="17"/>
                <w:lang w:eastAsia="zh-TW"/>
              </w:rPr>
              <w:t>，</w:t>
            </w:r>
            <w:r w:rsidR="00CA7188" w:rsidRPr="006854AC">
              <w:rPr>
                <w:rFonts w:eastAsiaTheme="minorEastAsia" w:cs="Segoe UI"/>
                <w:sz w:val="17"/>
                <w:szCs w:val="17"/>
                <w:lang w:eastAsia="zh-HK"/>
              </w:rPr>
              <w:t>認可機構應計算</w:t>
            </w:r>
            <w:r w:rsidR="000E7A2D" w:rsidRPr="006854AC">
              <w:rPr>
                <w:rFonts w:eastAsiaTheme="minorEastAsia" w:cs="Segoe UI" w:hint="eastAsia"/>
                <w:sz w:val="17"/>
                <w:szCs w:val="17"/>
                <w:lang w:eastAsia="zh-HK"/>
              </w:rPr>
              <w:t>於</w:t>
            </w:r>
            <w:r w:rsidR="00DA1457" w:rsidRPr="006854AC">
              <w:rPr>
                <w:rFonts w:eastAsiaTheme="minorEastAsia" w:cs="Segoe UI"/>
                <w:sz w:val="17"/>
                <w:szCs w:val="17"/>
                <w:lang w:eastAsia="zh-HK"/>
              </w:rPr>
              <w:t>報告期末的第</w:t>
            </w:r>
            <w:r w:rsidR="00DA1457" w:rsidRPr="006854AC">
              <w:rPr>
                <w:rFonts w:eastAsiaTheme="minorEastAsia" w:cs="Segoe UI"/>
                <w:sz w:val="17"/>
                <w:szCs w:val="17"/>
                <w:lang w:eastAsia="zh-TW"/>
              </w:rPr>
              <w:t>2</w:t>
            </w:r>
            <w:r w:rsidR="00DA1457" w:rsidRPr="006854AC">
              <w:rPr>
                <w:rFonts w:eastAsiaTheme="minorEastAsia" w:cs="Segoe UI"/>
                <w:sz w:val="17"/>
                <w:szCs w:val="17"/>
                <w:lang w:eastAsia="zh-HK"/>
              </w:rPr>
              <w:t>組加密資產風險承擔比率</w:t>
            </w:r>
            <w:r w:rsidR="00DA1457" w:rsidRPr="006854AC">
              <w:rPr>
                <w:rFonts w:eastAsiaTheme="minorEastAsia" w:cs="Segoe UI"/>
                <w:sz w:val="17"/>
                <w:szCs w:val="17"/>
                <w:lang w:eastAsia="zh-TW"/>
              </w:rPr>
              <w:t>。</w:t>
            </w:r>
          </w:p>
          <w:p w14:paraId="5D4BB3D9" w14:textId="6C238579" w:rsidR="00DA1457" w:rsidRPr="006854AC" w:rsidRDefault="00DA1457" w:rsidP="008B272E">
            <w:pPr>
              <w:keepLines/>
              <w:widowControl w:val="0"/>
              <w:numPr>
                <w:ilvl w:val="1"/>
                <w:numId w:val="62"/>
              </w:numPr>
              <w:snapToGrid w:val="0"/>
              <w:spacing w:before="20" w:after="20" w:line="259" w:lineRule="auto"/>
              <w:ind w:left="782" w:hanging="425"/>
              <w:jc w:val="both"/>
              <w:rPr>
                <w:rFonts w:eastAsia="新細明體" w:cs="Segoe UI"/>
                <w:sz w:val="17"/>
                <w:szCs w:val="17"/>
                <w:lang w:eastAsia="zh-TW"/>
              </w:rPr>
            </w:pPr>
            <w:r w:rsidRPr="006854AC">
              <w:rPr>
                <w:rFonts w:eastAsiaTheme="minorEastAsia" w:cs="Segoe UI"/>
                <w:sz w:val="17"/>
                <w:szCs w:val="17"/>
                <w:lang w:eastAsia="zh-HK"/>
              </w:rPr>
              <w:t>認可機構對某個別第</w:t>
            </w:r>
            <w:r w:rsidRPr="006854AC">
              <w:rPr>
                <w:rFonts w:eastAsiaTheme="minorEastAsia" w:cs="Segoe UI"/>
                <w:sz w:val="17"/>
                <w:szCs w:val="17"/>
                <w:lang w:eastAsia="zh-TW"/>
              </w:rPr>
              <w:t>2</w:t>
            </w:r>
            <w:r w:rsidRPr="006854AC">
              <w:rPr>
                <w:rFonts w:eastAsiaTheme="minorEastAsia" w:cs="Segoe UI"/>
                <w:sz w:val="17"/>
                <w:szCs w:val="17"/>
                <w:lang w:eastAsia="zh-HK"/>
              </w:rPr>
              <w:t>組加密資產的風險承擔</w:t>
            </w:r>
            <w:r w:rsidRPr="006854AC">
              <w:rPr>
                <w:rFonts w:eastAsiaTheme="minorEastAsia" w:cs="Segoe UI"/>
                <w:sz w:val="17"/>
                <w:szCs w:val="17"/>
                <w:lang w:eastAsia="zh-TW"/>
              </w:rPr>
              <w:t>（</w:t>
            </w:r>
            <w:r w:rsidRPr="006854AC">
              <w:rPr>
                <w:rFonts w:eastAsiaTheme="minorEastAsia" w:cs="Segoe UI"/>
                <w:sz w:val="17"/>
                <w:szCs w:val="17"/>
                <w:lang w:eastAsia="zh-HK"/>
              </w:rPr>
              <w:t>即</w:t>
            </w:r>
            <w:r w:rsidRPr="006854AC">
              <w:rPr>
                <w:rFonts w:eastAsia="新細明體" w:cs="Segoe UI"/>
                <w:sz w:val="17"/>
                <w:szCs w:val="17"/>
                <w:lang w:eastAsia="zh-TW"/>
              </w:rPr>
              <w:t xml:space="preserve"> </w:t>
            </w:r>
            <m:oMath>
              <m:sSub>
                <m:sSubPr>
                  <m:ctrlPr>
                    <w:rPr>
                      <w:rFonts w:ascii="Cambria Math" w:eastAsia="新細明體" w:hAnsi="Cambria Math" w:cs="Segoe UI"/>
                      <w:i/>
                      <w:sz w:val="17"/>
                      <w:szCs w:val="17"/>
                    </w:rPr>
                  </m:ctrlPr>
                </m:sSubPr>
                <m:e>
                  <m:r>
                    <m:rPr>
                      <m:nor/>
                    </m:rPr>
                    <w:rPr>
                      <w:rFonts w:eastAsia="新細明體" w:cs="Segoe UI"/>
                      <w:sz w:val="17"/>
                      <w:szCs w:val="17"/>
                      <w:lang w:eastAsia="zh-TW"/>
                    </w:rPr>
                    <m:t>c</m:t>
                  </m:r>
                </m:e>
                <m:sub>
                  <m:r>
                    <m:rPr>
                      <m:nor/>
                    </m:rPr>
                    <w:rPr>
                      <w:rFonts w:eastAsia="新細明體" w:cs="Segoe UI"/>
                      <w:sz w:val="17"/>
                      <w:szCs w:val="17"/>
                      <w:lang w:eastAsia="zh-TW"/>
                    </w:rPr>
                    <m:t>k</m:t>
                  </m:r>
                </m:sub>
              </m:sSub>
              <m:r>
                <m:rPr>
                  <m:sty m:val="p"/>
                </m:rPr>
                <w:rPr>
                  <w:rFonts w:ascii="Cambria Math" w:eastAsiaTheme="minorEastAsia" w:hAnsi="Cambria Math" w:cs="Segoe UI"/>
                  <w:sz w:val="17"/>
                  <w:szCs w:val="17"/>
                  <w:lang w:eastAsia="zh-TW"/>
                </w:rPr>
                <m:t>）</m:t>
              </m:r>
            </m:oMath>
            <w:r w:rsidRPr="006854AC">
              <w:rPr>
                <w:rFonts w:eastAsiaTheme="minorEastAsia" w:cs="Segoe UI"/>
                <w:sz w:val="17"/>
                <w:szCs w:val="17"/>
                <w:lang w:eastAsia="zh-HK"/>
              </w:rPr>
              <w:t>大於其第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組加密資產風險承擔總額</w:t>
            </w:r>
            <w:r w:rsidR="009C3C7C" w:rsidRPr="006854AC">
              <w:rPr>
                <w:rFonts w:eastAsiaTheme="minorEastAsia" w:cs="Segoe UI"/>
                <w:sz w:val="17"/>
                <w:szCs w:val="17"/>
                <w:lang w:eastAsia="zh-TW"/>
              </w:rPr>
              <w:t>（</w:t>
            </w:r>
            <w:r w:rsidR="009C3C7C" w:rsidRPr="006854AC">
              <w:rPr>
                <w:rFonts w:eastAsiaTheme="minorEastAsia" w:cs="Segoe UI"/>
                <w:sz w:val="17"/>
                <w:szCs w:val="17"/>
                <w:lang w:eastAsia="zh-HK"/>
              </w:rPr>
              <w:t>即</w:t>
            </w:r>
            <w:r w:rsidR="009C3C7C" w:rsidRPr="006854AC">
              <w:rPr>
                <w:rFonts w:eastAsia="新細明體" w:cs="Segoe UI"/>
                <w:sz w:val="17"/>
                <w:szCs w:val="17"/>
                <w:lang w:eastAsia="zh-TW"/>
              </w:rPr>
              <w:t xml:space="preserve"> </w:t>
            </w:r>
            <m:oMath>
              <m:nary>
                <m:naryPr>
                  <m:chr m:val="∑"/>
                  <m:limLoc m:val="undOvr"/>
                  <m:supHide m:val="1"/>
                  <m:ctrlPr>
                    <w:rPr>
                      <w:rFonts w:ascii="Cambria Math" w:eastAsia="新細明體" w:hAnsi="Cambria Math" w:cs="Segoe UI"/>
                      <w:sz w:val="17"/>
                      <w:szCs w:val="17"/>
                      <w:lang w:val="en-US"/>
                    </w:rPr>
                  </m:ctrlPr>
                </m:naryPr>
                <m:sub>
                  <m:r>
                    <m:rPr>
                      <m:nor/>
                    </m:rPr>
                    <w:rPr>
                      <w:rFonts w:eastAsia="新細明體" w:cs="Segoe UI"/>
                      <w:sz w:val="17"/>
                      <w:szCs w:val="17"/>
                      <w:lang w:val="en-US" w:eastAsia="zh-TW"/>
                    </w:rPr>
                    <m:t>k</m:t>
                  </m:r>
                </m:sub>
                <m:sup/>
                <m:e>
                  <m:sSub>
                    <m:sSubPr>
                      <m:ctrlPr>
                        <w:rPr>
                          <w:rFonts w:ascii="Cambria Math" w:eastAsia="新細明體" w:hAnsi="Cambria Math" w:cs="Segoe UI"/>
                          <w:sz w:val="17"/>
                          <w:szCs w:val="17"/>
                          <w:lang w:val="en-US"/>
                        </w:rPr>
                      </m:ctrlPr>
                    </m:sSubPr>
                    <m:e>
                      <m:r>
                        <m:rPr>
                          <m:nor/>
                        </m:rPr>
                        <w:rPr>
                          <w:rFonts w:eastAsia="新細明體" w:cs="Segoe UI"/>
                          <w:sz w:val="17"/>
                          <w:szCs w:val="17"/>
                          <w:lang w:val="en-US" w:eastAsia="zh-TW"/>
                        </w:rPr>
                        <m:t>c</m:t>
                      </m:r>
                    </m:e>
                    <m:sub>
                      <m:r>
                        <m:rPr>
                          <m:nor/>
                        </m:rPr>
                        <w:rPr>
                          <w:rFonts w:eastAsia="新細明體" w:cs="Segoe UI"/>
                          <w:sz w:val="17"/>
                          <w:szCs w:val="17"/>
                          <w:lang w:val="en-US" w:eastAsia="zh-TW"/>
                        </w:rPr>
                        <m:t>k</m:t>
                      </m:r>
                    </m:sub>
                  </m:sSub>
                </m:e>
              </m:nary>
            </m:oMath>
            <w:r w:rsidR="009C3C7C" w:rsidRPr="006854AC">
              <w:rPr>
                <w:rFonts w:eastAsiaTheme="minorEastAsia" w:cs="Segoe UI"/>
                <w:sz w:val="17"/>
                <w:szCs w:val="17"/>
                <w:lang w:val="en-US" w:eastAsia="zh-TW"/>
              </w:rPr>
              <w:t>）</w:t>
            </w:r>
            <w:r w:rsidRPr="006854AC">
              <w:rPr>
                <w:rFonts w:eastAsiaTheme="minorEastAsia" w:cs="Segoe UI"/>
                <w:sz w:val="17"/>
                <w:szCs w:val="17"/>
                <w:lang w:eastAsia="zh-HK"/>
              </w:rPr>
              <w:t>的</w:t>
            </w:r>
            <w:r w:rsidRPr="006854AC">
              <w:rPr>
                <w:rFonts w:eastAsia="新細明體" w:cs="Segoe UI"/>
                <w:sz w:val="17"/>
                <w:szCs w:val="17"/>
                <w:lang w:eastAsia="zh-TW"/>
              </w:rPr>
              <w:t>5%</w:t>
            </w:r>
            <w:r w:rsidRPr="006854AC">
              <w:rPr>
                <w:rFonts w:eastAsiaTheme="minorEastAsia" w:cs="Segoe UI"/>
                <w:sz w:val="17"/>
                <w:szCs w:val="17"/>
                <w:lang w:val="en-US" w:eastAsia="zh-TW"/>
              </w:rPr>
              <w:t>。</w:t>
            </w:r>
            <w:r w:rsidR="00637FAE" w:rsidRPr="006854AC">
              <w:rPr>
                <w:rFonts w:eastAsiaTheme="minorEastAsia" w:cs="Segoe UI"/>
                <w:sz w:val="17"/>
                <w:szCs w:val="17"/>
                <w:lang w:val="en-US" w:eastAsia="zh-HK"/>
              </w:rPr>
              <w:t>就此而言，認可機構應根</w:t>
            </w:r>
            <w:r w:rsidR="00637FAE" w:rsidRPr="006854AC">
              <w:rPr>
                <w:rFonts w:eastAsiaTheme="minorEastAsia" w:cs="Segoe UI"/>
                <w:sz w:val="17"/>
                <w:szCs w:val="17"/>
                <w:lang w:val="en-US" w:eastAsia="zh-TW"/>
              </w:rPr>
              <w:t>據</w:t>
            </w:r>
            <w:r w:rsidRPr="006854AC">
              <w:rPr>
                <w:rFonts w:eastAsiaTheme="minorEastAsia" w:cs="Segoe UI"/>
                <w:sz w:val="17"/>
                <w:szCs w:val="17"/>
                <w:lang w:eastAsia="zh-HK"/>
              </w:rPr>
              <w:t>《資本規則》第</w:t>
            </w:r>
            <w:r w:rsidRPr="006854AC">
              <w:rPr>
                <w:rFonts w:eastAsiaTheme="minorEastAsia" w:cs="Segoe UI"/>
                <w:sz w:val="17"/>
                <w:szCs w:val="17"/>
                <w:lang w:eastAsia="zh-HK"/>
              </w:rPr>
              <w:t>12</w:t>
            </w:r>
            <w:r w:rsidRPr="006854AC">
              <w:rPr>
                <w:rFonts w:eastAsiaTheme="minorEastAsia" w:cs="Segoe UI"/>
                <w:sz w:val="17"/>
                <w:szCs w:val="17"/>
                <w:lang w:eastAsia="zh-HK"/>
              </w:rPr>
              <w:t>部第</w:t>
            </w:r>
            <w:r w:rsidRPr="006854AC">
              <w:rPr>
                <w:rFonts w:eastAsiaTheme="minorEastAsia" w:cs="Segoe UI"/>
                <w:sz w:val="17"/>
                <w:szCs w:val="17"/>
                <w:lang w:eastAsia="zh-HK"/>
              </w:rPr>
              <w:t>8</w:t>
            </w:r>
            <w:r w:rsidR="00CA7188" w:rsidRPr="006854AC">
              <w:rPr>
                <w:rFonts w:eastAsiaTheme="minorEastAsia" w:cs="Segoe UI"/>
                <w:sz w:val="17"/>
                <w:szCs w:val="17"/>
                <w:lang w:eastAsia="zh-HK"/>
              </w:rPr>
              <w:t>分部計算</w:t>
            </w:r>
            <w:r w:rsidR="00CB046D" w:rsidRPr="006854AC">
              <w:rPr>
                <w:rFonts w:eastAsiaTheme="minorEastAsia" w:cs="Segoe UI" w:hint="eastAsia"/>
                <w:sz w:val="17"/>
                <w:szCs w:val="17"/>
                <w:lang w:eastAsia="zh-HK"/>
              </w:rPr>
              <w:t>於</w:t>
            </w:r>
            <w:r w:rsidRPr="006854AC">
              <w:rPr>
                <w:rFonts w:eastAsiaTheme="minorEastAsia" w:cs="Segoe UI"/>
                <w:sz w:val="17"/>
                <w:szCs w:val="17"/>
                <w:lang w:eastAsia="zh-HK"/>
              </w:rPr>
              <w:t>報告期末的</w:t>
            </w:r>
            <w:r w:rsidRPr="006854AC">
              <w:rPr>
                <w:rFonts w:eastAsiaTheme="minorEastAsia" w:cs="Segoe UI"/>
                <w:sz w:val="17"/>
                <w:szCs w:val="17"/>
                <w:lang w:val="en-US" w:eastAsia="zh-HK"/>
              </w:rPr>
              <w:t>第</w:t>
            </w:r>
            <w:r w:rsidRPr="006854AC">
              <w:rPr>
                <w:rFonts w:eastAsia="新細明體" w:cs="Segoe UI"/>
                <w:sz w:val="17"/>
                <w:szCs w:val="17"/>
                <w:lang w:eastAsia="zh-TW"/>
              </w:rPr>
              <w:t>2</w:t>
            </w:r>
            <w:r w:rsidRPr="006854AC">
              <w:rPr>
                <w:rFonts w:eastAsiaTheme="minorEastAsia" w:cs="Segoe UI"/>
                <w:sz w:val="17"/>
                <w:szCs w:val="17"/>
                <w:lang w:eastAsia="zh-HK"/>
              </w:rPr>
              <w:t>組加密資產風險承擔</w:t>
            </w:r>
            <w:r w:rsidRPr="006854AC">
              <w:rPr>
                <w:rFonts w:eastAsiaTheme="minorEastAsia" w:cs="Segoe UI"/>
                <w:sz w:val="17"/>
                <w:szCs w:val="17"/>
                <w:lang w:eastAsia="zh-TW"/>
              </w:rPr>
              <w:t>。</w:t>
            </w:r>
          </w:p>
          <w:p w14:paraId="3C3F81B2" w14:textId="1B24E697" w:rsidR="00DA1457" w:rsidRPr="006854AC" w:rsidRDefault="00DA1457" w:rsidP="008B272E">
            <w:pPr>
              <w:keepLines/>
              <w:widowControl w:val="0"/>
              <w:snapToGrid w:val="0"/>
              <w:spacing w:before="20" w:after="20" w:line="259" w:lineRule="auto"/>
              <w:ind w:left="356"/>
              <w:jc w:val="both"/>
              <w:rPr>
                <w:rFonts w:eastAsia="新細明體" w:cs="Segoe UI"/>
                <w:sz w:val="17"/>
                <w:szCs w:val="17"/>
                <w:lang w:eastAsia="zh-TW"/>
              </w:rPr>
            </w:pPr>
            <w:r w:rsidRPr="006854AC">
              <w:rPr>
                <w:rFonts w:eastAsiaTheme="minorEastAsia" w:cs="Segoe UI"/>
                <w:sz w:val="17"/>
                <w:szCs w:val="17"/>
                <w:lang w:eastAsia="zh-HK"/>
              </w:rPr>
              <w:t>因不符合第</w:t>
            </w:r>
            <w:r w:rsidRPr="006854AC">
              <w:rPr>
                <w:rFonts w:eastAsiaTheme="minorEastAsia" w:cs="Segoe UI"/>
                <w:sz w:val="17"/>
                <w:szCs w:val="17"/>
                <w:lang w:eastAsia="zh-TW"/>
              </w:rPr>
              <w:t>1</w:t>
            </w:r>
            <w:r w:rsidRPr="006854AC">
              <w:rPr>
                <w:rFonts w:eastAsiaTheme="minorEastAsia" w:cs="Segoe UI"/>
                <w:sz w:val="17"/>
                <w:szCs w:val="17"/>
                <w:lang w:eastAsia="zh-HK"/>
              </w:rPr>
              <w:t>組加密資產風險承擔的分類條件而</w:t>
            </w:r>
            <w:r w:rsidR="00D92D06" w:rsidRPr="006854AC">
              <w:rPr>
                <w:rFonts w:eastAsiaTheme="minorEastAsia" w:hint="eastAsia"/>
                <w:sz w:val="17"/>
                <w:szCs w:val="17"/>
                <w:lang w:eastAsia="zh-TW"/>
              </w:rPr>
              <w:t>被</w:t>
            </w:r>
            <w:r w:rsidR="001C2DF0" w:rsidRPr="006854AC">
              <w:rPr>
                <w:rFonts w:eastAsiaTheme="minorEastAsia" w:cs="Segoe UI" w:hint="eastAsia"/>
                <w:sz w:val="17"/>
                <w:szCs w:val="17"/>
                <w:lang w:eastAsia="zh-HK"/>
              </w:rPr>
              <w:t>納入為</w:t>
            </w:r>
            <w:r w:rsidRPr="006854AC">
              <w:rPr>
                <w:rFonts w:eastAsiaTheme="minorEastAsia" w:cs="Segoe UI"/>
                <w:sz w:val="17"/>
                <w:szCs w:val="17"/>
                <w:lang w:eastAsia="zh-HK"/>
              </w:rPr>
              <w:t>第</w:t>
            </w:r>
            <w:r w:rsidRPr="006854AC">
              <w:rPr>
                <w:rFonts w:eastAsia="新細明體" w:cs="Segoe UI"/>
                <w:sz w:val="17"/>
                <w:szCs w:val="17"/>
                <w:lang w:eastAsia="zh-TW"/>
              </w:rPr>
              <w:t>2a</w:t>
            </w:r>
            <w:r w:rsidRPr="006854AC">
              <w:rPr>
                <w:rFonts w:eastAsiaTheme="minorEastAsia" w:cs="Segoe UI"/>
                <w:sz w:val="17"/>
                <w:szCs w:val="17"/>
                <w:lang w:eastAsia="zh-HK"/>
              </w:rPr>
              <w:t>或</w:t>
            </w:r>
            <w:r w:rsidRPr="006854AC">
              <w:rPr>
                <w:rFonts w:eastAsia="新細明體" w:cs="Segoe UI"/>
                <w:sz w:val="17"/>
                <w:szCs w:val="17"/>
                <w:lang w:eastAsia="zh-TW"/>
              </w:rPr>
              <w:t>2b</w:t>
            </w:r>
            <w:r w:rsidRPr="006854AC">
              <w:rPr>
                <w:rFonts w:eastAsiaTheme="minorEastAsia" w:cs="Segoe UI"/>
                <w:sz w:val="17"/>
                <w:szCs w:val="17"/>
                <w:lang w:eastAsia="zh-HK"/>
              </w:rPr>
              <w:t>組加密資產風險承擔的任何傳統資產</w:t>
            </w:r>
            <w:r w:rsidR="002B65F0" w:rsidRPr="006854AC">
              <w:rPr>
                <w:rFonts w:eastAsiaTheme="minorEastAsia" w:cs="Segoe UI"/>
                <w:sz w:val="17"/>
                <w:szCs w:val="17"/>
                <w:lang w:eastAsia="zh-HK"/>
              </w:rPr>
              <w:t>的代幣化</w:t>
            </w:r>
            <w:r w:rsidR="002B65F0" w:rsidRPr="006854AC">
              <w:rPr>
                <w:rFonts w:eastAsiaTheme="minorEastAsia" w:cs="Segoe UI" w:hint="eastAsia"/>
                <w:sz w:val="17"/>
                <w:szCs w:val="17"/>
                <w:lang w:eastAsia="zh-HK"/>
              </w:rPr>
              <w:t>版本</w:t>
            </w:r>
            <w:r w:rsidRPr="006854AC">
              <w:rPr>
                <w:rFonts w:eastAsiaTheme="minorEastAsia" w:cs="Segoe UI"/>
                <w:sz w:val="17"/>
                <w:szCs w:val="17"/>
                <w:lang w:eastAsia="zh-TW"/>
              </w:rPr>
              <w:t>，</w:t>
            </w:r>
            <w:r w:rsidR="00F8406A" w:rsidRPr="006854AC">
              <w:rPr>
                <w:rFonts w:eastAsiaTheme="minorEastAsia" w:cs="Segoe UI"/>
                <w:sz w:val="17"/>
                <w:szCs w:val="17"/>
                <w:lang w:eastAsia="zh-HK"/>
              </w:rPr>
              <w:t>認可機構無</w:t>
            </w:r>
            <w:r w:rsidR="00F8406A" w:rsidRPr="006854AC">
              <w:rPr>
                <w:rFonts w:eastAsiaTheme="minorEastAsia" w:cs="Segoe UI" w:hint="eastAsia"/>
                <w:sz w:val="17"/>
                <w:szCs w:val="17"/>
                <w:lang w:eastAsia="zh-HK"/>
              </w:rPr>
              <w:t>須</w:t>
            </w:r>
            <w:r w:rsidR="001C2DF0" w:rsidRPr="006854AC">
              <w:rPr>
                <w:rFonts w:eastAsiaTheme="minorEastAsia" w:cs="Segoe UI" w:hint="eastAsia"/>
                <w:sz w:val="17"/>
                <w:szCs w:val="17"/>
                <w:lang w:eastAsia="zh-HK"/>
              </w:rPr>
              <w:t>就此</w:t>
            </w:r>
            <w:r w:rsidR="00D92D06" w:rsidRPr="006854AC">
              <w:rPr>
                <w:rFonts w:eastAsiaTheme="minorEastAsia" w:cs="Segoe UI" w:hint="eastAsia"/>
                <w:sz w:val="17"/>
                <w:szCs w:val="17"/>
                <w:lang w:eastAsia="zh-HK"/>
              </w:rPr>
              <w:t>單獨</w:t>
            </w:r>
            <w:r w:rsidR="00F8406A" w:rsidRPr="006854AC">
              <w:rPr>
                <w:rFonts w:eastAsiaTheme="minorEastAsia" w:cs="Segoe UI" w:hint="eastAsia"/>
                <w:sz w:val="17"/>
                <w:szCs w:val="17"/>
                <w:lang w:eastAsia="zh-HK"/>
              </w:rPr>
              <w:t>披露，</w:t>
            </w:r>
            <w:r w:rsidRPr="006854AC">
              <w:rPr>
                <w:rFonts w:eastAsiaTheme="minorEastAsia" w:cs="Segoe UI" w:hint="eastAsia"/>
                <w:sz w:val="17"/>
                <w:szCs w:val="17"/>
                <w:lang w:eastAsia="zh-HK"/>
              </w:rPr>
              <w:t>但應</w:t>
            </w:r>
            <w:r w:rsidR="00D92D06" w:rsidRPr="006854AC">
              <w:rPr>
                <w:rFonts w:eastAsiaTheme="minorEastAsia" w:cs="Segoe UI" w:hint="eastAsia"/>
                <w:sz w:val="17"/>
                <w:szCs w:val="17"/>
                <w:lang w:eastAsia="zh-HK"/>
              </w:rPr>
              <w:t>將相關金額列入</w:t>
            </w:r>
            <w:r w:rsidRPr="006854AC">
              <w:rPr>
                <w:rFonts w:eastAsiaTheme="minorEastAsia" w:cs="Segoe UI" w:hint="eastAsia"/>
                <w:sz w:val="17"/>
                <w:szCs w:val="17"/>
                <w:lang w:eastAsia="zh-HK"/>
              </w:rPr>
              <w:t>第</w:t>
            </w:r>
            <w:r w:rsidRPr="006854AC">
              <w:rPr>
                <w:rFonts w:eastAsia="新細明體" w:cs="Segoe UI"/>
                <w:sz w:val="17"/>
                <w:szCs w:val="17"/>
                <w:lang w:eastAsia="zh-TW"/>
              </w:rPr>
              <w:t>2a</w:t>
            </w:r>
            <w:r w:rsidR="002B65F0" w:rsidRPr="006854AC">
              <w:rPr>
                <w:rFonts w:eastAsiaTheme="minorEastAsia" w:cs="Segoe UI" w:hint="eastAsia"/>
                <w:sz w:val="17"/>
                <w:szCs w:val="17"/>
                <w:lang w:eastAsia="zh-HK"/>
              </w:rPr>
              <w:t>組加密資產</w:t>
            </w:r>
            <w:r w:rsidRPr="006854AC">
              <w:rPr>
                <w:rFonts w:eastAsiaTheme="minorEastAsia" w:cs="Segoe UI" w:hint="eastAsia"/>
                <w:sz w:val="17"/>
                <w:szCs w:val="17"/>
                <w:lang w:eastAsia="zh-HK"/>
              </w:rPr>
              <w:t>及第</w:t>
            </w:r>
            <w:r w:rsidRPr="006854AC">
              <w:rPr>
                <w:rFonts w:eastAsia="新細明體" w:cs="Segoe UI"/>
                <w:sz w:val="17"/>
                <w:szCs w:val="17"/>
                <w:lang w:eastAsia="zh-TW"/>
              </w:rPr>
              <w:t>2b</w:t>
            </w:r>
            <w:r w:rsidR="002B65F0" w:rsidRPr="006854AC">
              <w:rPr>
                <w:rFonts w:eastAsiaTheme="minorEastAsia" w:cs="Segoe UI" w:hint="eastAsia"/>
                <w:sz w:val="17"/>
                <w:szCs w:val="17"/>
                <w:lang w:eastAsia="zh-HK"/>
              </w:rPr>
              <w:t>組加密資產</w:t>
            </w:r>
            <w:r w:rsidRPr="006854AC">
              <w:rPr>
                <w:rFonts w:eastAsiaTheme="minorEastAsia" w:cs="Segoe UI" w:hint="eastAsia"/>
                <w:sz w:val="17"/>
                <w:szCs w:val="17"/>
                <w:lang w:eastAsia="zh-HK"/>
              </w:rPr>
              <w:t>的總額行</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即第</w:t>
            </w:r>
            <w:r w:rsidRPr="006854AC">
              <w:rPr>
                <w:rFonts w:eastAsiaTheme="minorEastAsia" w:cs="Segoe UI"/>
                <w:sz w:val="17"/>
                <w:szCs w:val="17"/>
                <w:lang w:eastAsia="zh-TW"/>
              </w:rPr>
              <w:t>3</w:t>
            </w:r>
            <w:r w:rsidR="00F8406A" w:rsidRPr="006854AC">
              <w:rPr>
                <w:rFonts w:eastAsiaTheme="minorEastAsia" w:cs="Segoe UI" w:hint="eastAsia"/>
                <w:sz w:val="17"/>
                <w:szCs w:val="17"/>
                <w:lang w:eastAsia="zh-HK"/>
              </w:rPr>
              <w:t>行</w:t>
            </w:r>
            <w:r w:rsidRPr="006854AC">
              <w:rPr>
                <w:rFonts w:eastAsiaTheme="minorEastAsia" w:cs="Segoe UI" w:hint="eastAsia"/>
                <w:sz w:val="17"/>
                <w:szCs w:val="17"/>
                <w:lang w:eastAsia="zh-HK"/>
              </w:rPr>
              <w:t>及第</w:t>
            </w:r>
            <w:r w:rsidRPr="006854AC">
              <w:rPr>
                <w:rFonts w:eastAsiaTheme="minorEastAsia" w:cs="Segoe UI"/>
                <w:sz w:val="17"/>
                <w:szCs w:val="17"/>
                <w:lang w:eastAsia="zh-TW"/>
              </w:rPr>
              <w:t>4</w:t>
            </w:r>
            <w:r w:rsidRPr="006854AC">
              <w:rPr>
                <w:rFonts w:eastAsiaTheme="minorEastAsia" w:cs="Segoe UI" w:hint="eastAsia"/>
                <w:sz w:val="17"/>
                <w:szCs w:val="17"/>
                <w:lang w:eastAsia="zh-HK"/>
              </w:rPr>
              <w:t>行</w:t>
            </w:r>
            <w:r w:rsidRPr="006854AC">
              <w:rPr>
                <w:rFonts w:eastAsiaTheme="minorEastAsia" w:cs="Segoe UI" w:hint="eastAsia"/>
                <w:sz w:val="17"/>
                <w:szCs w:val="17"/>
                <w:lang w:eastAsia="zh-TW"/>
              </w:rPr>
              <w:t>）。</w:t>
            </w:r>
          </w:p>
          <w:p w14:paraId="6B5F58C9" w14:textId="070F4D3A" w:rsidR="00DA1457" w:rsidRPr="006854AC" w:rsidRDefault="00DA1457" w:rsidP="008B272E">
            <w:pPr>
              <w:keepLines/>
              <w:widowControl w:val="0"/>
              <w:numPr>
                <w:ilvl w:val="0"/>
                <w:numId w:val="62"/>
              </w:numPr>
              <w:snapToGrid w:val="0"/>
              <w:spacing w:before="20" w:after="20" w:line="259" w:lineRule="auto"/>
              <w:ind w:left="356" w:hanging="356"/>
              <w:jc w:val="both"/>
              <w:rPr>
                <w:sz w:val="17"/>
                <w:szCs w:val="17"/>
                <w:lang w:eastAsia="zh-TW"/>
              </w:rPr>
            </w:pPr>
            <w:r w:rsidRPr="006854AC">
              <w:rPr>
                <w:rFonts w:eastAsiaTheme="minorEastAsia" w:cs="Segoe UI" w:hint="eastAsia"/>
                <w:sz w:val="17"/>
                <w:szCs w:val="17"/>
                <w:lang w:eastAsia="zh-HK"/>
              </w:rPr>
              <w:t>鑑</w:t>
            </w:r>
            <w:r w:rsidRPr="006854AC">
              <w:rPr>
                <w:rFonts w:eastAsiaTheme="minorEastAsia" w:cs="Segoe UI"/>
                <w:sz w:val="17"/>
                <w:szCs w:val="17"/>
                <w:lang w:eastAsia="zh-HK"/>
              </w:rPr>
              <w:t>於對手方信用風險及</w:t>
            </w:r>
            <w:r w:rsidRPr="006854AC">
              <w:rPr>
                <w:rFonts w:eastAsia="新細明體" w:cs="Segoe UI"/>
                <w:sz w:val="17"/>
                <w:szCs w:val="17"/>
                <w:lang w:eastAsia="zh-TW"/>
              </w:rPr>
              <w:t>CVA</w:t>
            </w:r>
            <w:r w:rsidRPr="006854AC">
              <w:rPr>
                <w:rFonts w:eastAsiaTheme="minorEastAsia" w:cs="Segoe UI"/>
                <w:sz w:val="17"/>
                <w:szCs w:val="17"/>
                <w:lang w:eastAsia="zh-HK"/>
              </w:rPr>
              <w:t>風險的風險加權數額是按組合</w:t>
            </w:r>
            <w:r w:rsidR="00D146F3" w:rsidRPr="006854AC">
              <w:rPr>
                <w:rFonts w:eastAsiaTheme="minorEastAsia" w:cs="Segoe UI" w:hint="eastAsia"/>
                <w:sz w:val="17"/>
                <w:szCs w:val="17"/>
                <w:lang w:eastAsia="zh-HK"/>
              </w:rPr>
              <w:t>方式</w:t>
            </w:r>
            <w:r w:rsidRPr="006854AC">
              <w:rPr>
                <w:rFonts w:eastAsiaTheme="minorEastAsia" w:cs="Segoe UI"/>
                <w:sz w:val="17"/>
                <w:szCs w:val="17"/>
                <w:lang w:eastAsia="zh-HK"/>
              </w:rPr>
              <w:t>計算</w:t>
            </w:r>
            <w:r w:rsidRPr="006854AC">
              <w:rPr>
                <w:rFonts w:eastAsiaTheme="minorEastAsia" w:cs="Segoe UI"/>
                <w:sz w:val="17"/>
                <w:szCs w:val="17"/>
                <w:lang w:eastAsia="zh-TW"/>
              </w:rPr>
              <w:t>，</w:t>
            </w:r>
            <w:r w:rsidR="00E673D8" w:rsidRPr="006854AC">
              <w:rPr>
                <w:rFonts w:eastAsiaTheme="minorEastAsia" w:cs="Segoe UI" w:hint="eastAsia"/>
                <w:sz w:val="17"/>
                <w:szCs w:val="17"/>
                <w:lang w:eastAsia="zh-TW"/>
              </w:rPr>
              <w:t>無法</w:t>
            </w:r>
            <w:r w:rsidR="00D92D06" w:rsidRPr="006854AC">
              <w:rPr>
                <w:rFonts w:eastAsiaTheme="minorEastAsia" w:cs="Segoe UI" w:hint="eastAsia"/>
                <w:sz w:val="17"/>
                <w:szCs w:val="17"/>
                <w:lang w:eastAsia="zh-TW"/>
              </w:rPr>
              <w:t>單</w:t>
            </w:r>
            <w:r w:rsidR="00732DE5" w:rsidRPr="006854AC">
              <w:rPr>
                <w:rFonts w:eastAsiaTheme="minorEastAsia" w:cs="Segoe UI" w:hint="eastAsia"/>
                <w:sz w:val="17"/>
                <w:szCs w:val="17"/>
                <w:lang w:eastAsia="zh-HK"/>
              </w:rPr>
              <w:t>獨</w:t>
            </w:r>
            <w:r w:rsidRPr="006854AC">
              <w:rPr>
                <w:rFonts w:eastAsiaTheme="minorEastAsia" w:cs="Segoe UI" w:hint="eastAsia"/>
                <w:sz w:val="17"/>
                <w:szCs w:val="17"/>
                <w:lang w:eastAsia="zh-HK"/>
              </w:rPr>
              <w:t>識別</w:t>
            </w:r>
            <w:r w:rsidR="00E673D8" w:rsidRPr="006854AC">
              <w:rPr>
                <w:rFonts w:eastAsiaTheme="minorEastAsia" w:cs="Segoe UI" w:hint="eastAsia"/>
                <w:sz w:val="17"/>
                <w:szCs w:val="17"/>
                <w:lang w:eastAsia="zh-HK"/>
              </w:rPr>
              <w:t>與</w:t>
            </w:r>
            <w:r w:rsidRPr="006854AC">
              <w:rPr>
                <w:rFonts w:eastAsiaTheme="minorEastAsia" w:cs="Segoe UI" w:hint="eastAsia"/>
                <w:sz w:val="17"/>
                <w:szCs w:val="17"/>
                <w:lang w:eastAsia="zh-HK"/>
              </w:rPr>
              <w:t>加密資產</w:t>
            </w:r>
            <w:r w:rsidR="00E673D8" w:rsidRPr="006854AC">
              <w:rPr>
                <w:rFonts w:eastAsiaTheme="minorEastAsia" w:cs="Segoe UI" w:hint="eastAsia"/>
                <w:sz w:val="17"/>
                <w:szCs w:val="17"/>
                <w:lang w:eastAsia="zh-HK"/>
              </w:rPr>
              <w:t>相關</w:t>
            </w:r>
            <w:r w:rsidRPr="006854AC">
              <w:rPr>
                <w:rFonts w:eastAsiaTheme="minorEastAsia" w:cs="Segoe UI" w:hint="eastAsia"/>
                <w:sz w:val="17"/>
                <w:szCs w:val="17"/>
                <w:lang w:eastAsia="zh-HK"/>
              </w:rPr>
              <w:t>的數額</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因此</w:t>
            </w:r>
            <w:r w:rsidR="00E673D8" w:rsidRPr="006854AC">
              <w:rPr>
                <w:rFonts w:eastAsiaTheme="minorEastAsia" w:cs="Segoe UI" w:hint="eastAsia"/>
                <w:sz w:val="17"/>
                <w:szCs w:val="17"/>
                <w:lang w:eastAsia="zh-HK"/>
              </w:rPr>
              <w:t>，</w:t>
            </w:r>
            <w:r w:rsidRPr="006854AC">
              <w:rPr>
                <w:rFonts w:eastAsiaTheme="minorEastAsia" w:cs="Segoe UI" w:hint="eastAsia"/>
                <w:sz w:val="17"/>
                <w:szCs w:val="17"/>
                <w:lang w:eastAsia="zh-HK"/>
              </w:rPr>
              <w:t>本模版</w:t>
            </w:r>
            <w:r w:rsidR="00D92D06" w:rsidRPr="006854AC">
              <w:rPr>
                <w:rFonts w:eastAsiaTheme="minorEastAsia" w:cs="Segoe UI" w:hint="eastAsia"/>
                <w:sz w:val="17"/>
                <w:szCs w:val="17"/>
                <w:lang w:eastAsia="zh-HK"/>
              </w:rPr>
              <w:t>不包括</w:t>
            </w:r>
            <w:r w:rsidRPr="006854AC">
              <w:rPr>
                <w:rFonts w:eastAsiaTheme="minorEastAsia" w:cs="Segoe UI" w:hint="eastAsia"/>
                <w:sz w:val="17"/>
                <w:szCs w:val="17"/>
                <w:lang w:eastAsia="zh-HK"/>
              </w:rPr>
              <w:t>對手方信用風險及</w:t>
            </w:r>
            <w:r w:rsidRPr="006854AC">
              <w:rPr>
                <w:rFonts w:eastAsia="新細明體" w:cs="Segoe UI"/>
                <w:sz w:val="17"/>
                <w:szCs w:val="17"/>
                <w:lang w:eastAsia="zh-TW"/>
              </w:rPr>
              <w:t>CVA</w:t>
            </w:r>
            <w:r w:rsidRPr="006854AC">
              <w:rPr>
                <w:rFonts w:eastAsiaTheme="minorEastAsia" w:cs="Segoe UI" w:hint="eastAsia"/>
                <w:sz w:val="17"/>
                <w:szCs w:val="17"/>
                <w:lang w:eastAsia="zh-HK"/>
              </w:rPr>
              <w:t>數額</w:t>
            </w:r>
            <w:r w:rsidRPr="006854AC">
              <w:rPr>
                <w:rFonts w:eastAsiaTheme="minorEastAsia" w:cs="Segoe UI"/>
                <w:sz w:val="17"/>
                <w:szCs w:val="17"/>
                <w:lang w:eastAsia="zh-TW"/>
              </w:rPr>
              <w:t>。</w:t>
            </w:r>
          </w:p>
        </w:tc>
      </w:tr>
    </w:tbl>
    <w:p w14:paraId="3919C3DF" w14:textId="77777777" w:rsidR="00DA1457" w:rsidRDefault="00DA1457" w:rsidP="00DA1457">
      <w:pPr>
        <w:rPr>
          <w:lang w:eastAsia="zh-TW"/>
        </w:rPr>
      </w:pPr>
    </w:p>
    <w:p w14:paraId="6347EBCF" w14:textId="77777777" w:rsidR="00B51F08" w:rsidRPr="006854AC" w:rsidRDefault="00B51F08" w:rsidP="00DA1457">
      <w:pPr>
        <w:rPr>
          <w:lang w:eastAsia="zh-TW"/>
        </w:rPr>
      </w:pPr>
    </w:p>
    <w:tbl>
      <w:tblPr>
        <w:tblpPr w:leftFromText="181" w:rightFromText="181" w:vertAnchor="text" w:horzAnchor="margin" w:tblpX="-430" w:tblpY="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5"/>
      </w:tblGrid>
      <w:tr w:rsidR="006854AC" w:rsidRPr="006854AC" w14:paraId="2D4B8E24" w14:textId="77777777" w:rsidTr="00B51F08">
        <w:trPr>
          <w:tblHeader/>
        </w:trPr>
        <w:tc>
          <w:tcPr>
            <w:tcW w:w="9351" w:type="dxa"/>
            <w:gridSpan w:val="2"/>
            <w:shd w:val="clear" w:color="auto" w:fill="BFBFBF"/>
          </w:tcPr>
          <w:p w14:paraId="2C7C07FF" w14:textId="77777777" w:rsidR="00DA1457" w:rsidRPr="006854AC" w:rsidRDefault="00DA1457" w:rsidP="00B51F08">
            <w:pPr>
              <w:keepLines/>
              <w:tabs>
                <w:tab w:val="left" w:pos="150"/>
                <w:tab w:val="left" w:pos="397"/>
                <w:tab w:val="left" w:pos="794"/>
                <w:tab w:val="left" w:pos="1191"/>
              </w:tabs>
              <w:spacing w:before="40" w:after="40"/>
              <w:rPr>
                <w:rFonts w:eastAsia="新細明體"/>
                <w:b/>
                <w:sz w:val="17"/>
                <w:lang w:eastAsia="en-GB"/>
              </w:rPr>
            </w:pPr>
            <w:r w:rsidRPr="006854AC">
              <w:rPr>
                <w:rFonts w:eastAsia="新細明體" w:hint="eastAsia"/>
                <w:b/>
                <w:sz w:val="17"/>
                <w:lang w:eastAsia="zh-HK"/>
              </w:rPr>
              <w:t>註釋</w:t>
            </w:r>
          </w:p>
        </w:tc>
      </w:tr>
      <w:tr w:rsidR="006854AC" w:rsidRPr="006854AC" w14:paraId="6D0B111F" w14:textId="77777777" w:rsidTr="00B51F08">
        <w:tc>
          <w:tcPr>
            <w:tcW w:w="9351" w:type="dxa"/>
            <w:gridSpan w:val="2"/>
            <w:shd w:val="clear" w:color="auto" w:fill="F2F2F2"/>
          </w:tcPr>
          <w:p w14:paraId="4698C003" w14:textId="77777777" w:rsidR="00DA1457" w:rsidRPr="006854AC" w:rsidRDefault="00DA1457" w:rsidP="00B51F08">
            <w:pPr>
              <w:keepNext/>
              <w:keepLines/>
              <w:tabs>
                <w:tab w:val="left" w:pos="150"/>
                <w:tab w:val="left" w:pos="397"/>
                <w:tab w:val="left" w:pos="794"/>
                <w:tab w:val="left" w:pos="1191"/>
              </w:tabs>
              <w:spacing w:before="40" w:after="40"/>
              <w:rPr>
                <w:rFonts w:eastAsia="新細明體"/>
                <w:b/>
                <w:sz w:val="17"/>
                <w:lang w:eastAsia="en-GB"/>
              </w:rPr>
            </w:pPr>
            <w:r w:rsidRPr="006854AC">
              <w:rPr>
                <w:rFonts w:eastAsia="新細明體" w:hint="eastAsia"/>
                <w:b/>
                <w:sz w:val="17"/>
                <w:lang w:eastAsia="zh-HK"/>
              </w:rPr>
              <w:t>欄</w:t>
            </w:r>
          </w:p>
        </w:tc>
      </w:tr>
      <w:tr w:rsidR="006854AC" w:rsidRPr="006854AC" w14:paraId="225FB759" w14:textId="77777777" w:rsidTr="00B51F08">
        <w:tc>
          <w:tcPr>
            <w:tcW w:w="846" w:type="dxa"/>
            <w:shd w:val="clear" w:color="auto" w:fill="auto"/>
          </w:tcPr>
          <w:p w14:paraId="5C9CD0E4" w14:textId="77777777" w:rsidR="00DA1457" w:rsidRPr="0065556D" w:rsidRDefault="00DA1457" w:rsidP="00B51F08">
            <w:pPr>
              <w:keepNext/>
              <w:keepLines/>
              <w:tabs>
                <w:tab w:val="left" w:pos="150"/>
                <w:tab w:val="left" w:pos="397"/>
                <w:tab w:val="left" w:pos="794"/>
                <w:tab w:val="left" w:pos="1191"/>
              </w:tabs>
              <w:spacing w:before="40" w:after="40"/>
              <w:rPr>
                <w:rFonts w:eastAsia="新細明體" w:cs="Segoe UI"/>
                <w:b/>
                <w:sz w:val="17"/>
                <w:lang w:eastAsia="en-GB"/>
              </w:rPr>
            </w:pPr>
            <w:r w:rsidRPr="0065556D">
              <w:rPr>
                <w:rFonts w:eastAsiaTheme="minorEastAsia" w:cs="Segoe UI"/>
                <w:sz w:val="17"/>
                <w:szCs w:val="17"/>
                <w:lang w:eastAsia="en-GB"/>
              </w:rPr>
              <w:t>(a)</w:t>
            </w:r>
          </w:p>
        </w:tc>
        <w:tc>
          <w:tcPr>
            <w:tcW w:w="8505" w:type="dxa"/>
            <w:shd w:val="clear" w:color="auto" w:fill="auto"/>
          </w:tcPr>
          <w:p w14:paraId="070693C6" w14:textId="53FECA41" w:rsidR="00DA1457" w:rsidRPr="006854AC" w:rsidRDefault="00DA1457" w:rsidP="00B51F08">
            <w:pPr>
              <w:keepLines/>
              <w:widowControl w:val="0"/>
              <w:tabs>
                <w:tab w:val="left" w:pos="150"/>
                <w:tab w:val="left" w:pos="397"/>
                <w:tab w:val="left" w:pos="794"/>
                <w:tab w:val="left" w:pos="1191"/>
              </w:tabs>
              <w:spacing w:before="40" w:after="40" w:line="259" w:lineRule="auto"/>
              <w:jc w:val="both"/>
              <w:rPr>
                <w:rFonts w:eastAsiaTheme="minorEastAsia" w:cs="Segoe UI"/>
                <w:spacing w:val="4"/>
                <w:sz w:val="17"/>
                <w:szCs w:val="17"/>
                <w:lang w:eastAsia="zh-TW"/>
              </w:rPr>
            </w:pPr>
            <w:r w:rsidRPr="006854AC">
              <w:rPr>
                <w:rFonts w:eastAsia="新細明體" w:cs="Segoe UI"/>
                <w:i/>
                <w:sz w:val="17"/>
                <w:szCs w:val="17"/>
                <w:lang w:eastAsia="zh-TW"/>
              </w:rPr>
              <w:t>信用風險</w:t>
            </w:r>
            <w:proofErr w:type="gramStart"/>
            <w:r w:rsidRPr="006854AC">
              <w:rPr>
                <w:rFonts w:eastAsia="新細明體" w:cs="Segoe UI"/>
                <w:i/>
                <w:sz w:val="17"/>
                <w:szCs w:val="17"/>
                <w:lang w:eastAsia="zh-TW"/>
              </w:rPr>
              <w:t>——</w:t>
            </w:r>
            <w:proofErr w:type="gramEnd"/>
            <w:r w:rsidRPr="006854AC">
              <w:rPr>
                <w:rFonts w:eastAsia="新細明體" w:cs="Segoe UI"/>
                <w:i/>
                <w:sz w:val="17"/>
                <w:szCs w:val="17"/>
                <w:lang w:eastAsia="zh-TW"/>
              </w:rPr>
              <w:t>總風險承擔</w:t>
            </w:r>
            <w:r w:rsidRPr="006854AC">
              <w:rPr>
                <w:rFonts w:eastAsia="新細明體" w:cs="Segoe UI"/>
                <w:sz w:val="17"/>
                <w:szCs w:val="17"/>
                <w:lang w:eastAsia="zh-TW"/>
              </w:rPr>
              <w:t>：資產負債表內及表外加密資產風險承擔，而相關的信用風險的風險加權數額必須</w:t>
            </w:r>
            <w:r w:rsidR="009770AC" w:rsidRPr="006854AC">
              <w:rPr>
                <w:rFonts w:eastAsia="新細明體" w:cs="Segoe UI"/>
                <w:sz w:val="17"/>
                <w:szCs w:val="17"/>
                <w:lang w:eastAsia="zh-TW"/>
              </w:rPr>
              <w:t>根據</w:t>
            </w:r>
            <w:r w:rsidRPr="006854AC">
              <w:rPr>
                <w:rFonts w:eastAsia="新細明體" w:cs="Segoe UI"/>
                <w:sz w:val="17"/>
                <w:szCs w:val="17"/>
                <w:lang w:eastAsia="zh-TW"/>
              </w:rPr>
              <w:t>《資本規則》計算。有關數額應</w:t>
            </w:r>
            <w:r w:rsidR="001441DF" w:rsidRPr="006854AC">
              <w:rPr>
                <w:rFonts w:eastAsia="新細明體" w:cs="Segoe UI"/>
                <w:sz w:val="17"/>
                <w:szCs w:val="17"/>
                <w:lang w:eastAsia="zh-TW"/>
              </w:rPr>
              <w:t>並</w:t>
            </w:r>
            <w:r w:rsidR="001441DF" w:rsidRPr="006854AC">
              <w:rPr>
                <w:rFonts w:eastAsia="新細明體" w:cs="Segoe UI" w:hint="eastAsia"/>
                <w:sz w:val="17"/>
                <w:szCs w:val="17"/>
                <w:lang w:eastAsia="zh-TW"/>
              </w:rPr>
              <w:t>未</w:t>
            </w:r>
            <w:r w:rsidRPr="006854AC">
              <w:rPr>
                <w:rFonts w:eastAsia="新細明體" w:cs="Segoe UI"/>
                <w:sz w:val="17"/>
                <w:szCs w:val="17"/>
                <w:lang w:eastAsia="zh-TW"/>
              </w:rPr>
              <w:t>將任何</w:t>
            </w:r>
            <w:r w:rsidRPr="006854AC">
              <w:rPr>
                <w:rFonts w:eastAsia="新細明體" w:cs="Segoe UI"/>
                <w:sz w:val="17"/>
                <w:szCs w:val="17"/>
                <w:lang w:eastAsia="zh-TW"/>
              </w:rPr>
              <w:t>CCF</w:t>
            </w:r>
            <w:r w:rsidRPr="006854AC">
              <w:rPr>
                <w:rFonts w:eastAsia="新細明體" w:cs="Segoe UI"/>
                <w:sz w:val="17"/>
                <w:szCs w:val="17"/>
                <w:lang w:eastAsia="zh-TW"/>
              </w:rPr>
              <w:t>或認可減低信用風險措施計算在內。就第</w:t>
            </w:r>
            <w:r w:rsidRPr="006854AC">
              <w:rPr>
                <w:rFonts w:eastAsia="新細明體" w:cs="Segoe UI"/>
                <w:sz w:val="17"/>
                <w:szCs w:val="17"/>
                <w:lang w:eastAsia="zh-TW"/>
              </w:rPr>
              <w:t>2a</w:t>
            </w:r>
            <w:r w:rsidRPr="006854AC">
              <w:rPr>
                <w:rFonts w:eastAsia="新細明體" w:cs="Segoe UI"/>
                <w:sz w:val="17"/>
                <w:szCs w:val="17"/>
                <w:lang w:eastAsia="zh-TW"/>
              </w:rPr>
              <w:t>組加密資產而言，在本欄填報的總風險承擔應僅反映</w:t>
            </w:r>
            <w:r w:rsidR="00FA3E6E" w:rsidRPr="006854AC">
              <w:rPr>
                <w:rFonts w:eastAsia="新細明體" w:cs="Segoe UI"/>
                <w:sz w:val="17"/>
                <w:szCs w:val="17"/>
                <w:lang w:eastAsia="zh-TW"/>
              </w:rPr>
              <w:t>根據</w:t>
            </w:r>
            <w:r w:rsidRPr="006854AC">
              <w:rPr>
                <w:rFonts w:eastAsia="新細明體" w:cs="Segoe UI"/>
                <w:sz w:val="17"/>
                <w:szCs w:val="17"/>
                <w:lang w:eastAsia="zh-TW"/>
              </w:rPr>
              <w:t>《資本規則》第</w:t>
            </w:r>
            <w:r w:rsidRPr="006854AC">
              <w:rPr>
                <w:rFonts w:eastAsia="新細明體" w:cs="Segoe UI"/>
                <w:sz w:val="17"/>
                <w:szCs w:val="17"/>
                <w:lang w:eastAsia="zh-TW"/>
              </w:rPr>
              <w:t>384</w:t>
            </w:r>
            <w:r w:rsidRPr="006854AC">
              <w:rPr>
                <w:rFonts w:eastAsia="新細明體" w:cs="Segoe UI"/>
                <w:sz w:val="17"/>
                <w:szCs w:val="17"/>
                <w:lang w:eastAsia="zh-TW"/>
              </w:rPr>
              <w:t>條</w:t>
            </w:r>
            <w:r w:rsidR="009845AE" w:rsidRPr="006854AC">
              <w:rPr>
                <w:rFonts w:eastAsia="新細明體" w:cs="Segoe UI"/>
                <w:sz w:val="17"/>
                <w:szCs w:val="17"/>
                <w:lang w:eastAsia="zh-TW"/>
              </w:rPr>
              <w:t>斷定</w:t>
            </w:r>
            <w:r w:rsidR="004C6F00" w:rsidRPr="006854AC">
              <w:rPr>
                <w:rFonts w:eastAsia="新細明體" w:cs="Segoe UI" w:hint="eastAsia"/>
                <w:sz w:val="17"/>
                <w:szCs w:val="17"/>
                <w:lang w:eastAsia="zh-HK"/>
              </w:rPr>
              <w:t>的、</w:t>
            </w:r>
            <w:r w:rsidRPr="006854AC">
              <w:rPr>
                <w:rFonts w:eastAsia="新細明體" w:cs="Segoe UI"/>
                <w:sz w:val="17"/>
                <w:szCs w:val="17"/>
                <w:lang w:eastAsia="zh-TW"/>
              </w:rPr>
              <w:t>就認可機構的第</w:t>
            </w:r>
            <w:r w:rsidRPr="006854AC">
              <w:rPr>
                <w:rFonts w:eastAsia="新細明體" w:cs="Segoe UI"/>
                <w:sz w:val="17"/>
                <w:szCs w:val="17"/>
                <w:lang w:eastAsia="zh-TW"/>
              </w:rPr>
              <w:t>2a</w:t>
            </w:r>
            <w:r w:rsidRPr="006854AC">
              <w:rPr>
                <w:rFonts w:eastAsia="新細明體" w:cs="Segoe UI"/>
                <w:sz w:val="17"/>
                <w:szCs w:val="17"/>
                <w:lang w:eastAsia="zh-TW"/>
              </w:rPr>
              <w:t>組加密資產風險承擔的</w:t>
            </w:r>
            <w:r w:rsidR="009845AE" w:rsidRPr="006854AC">
              <w:rPr>
                <w:rFonts w:eastAsia="新細明體" w:cs="Segoe UI" w:hint="eastAsia"/>
                <w:sz w:val="17"/>
                <w:szCs w:val="17"/>
                <w:lang w:eastAsia="zh-HK"/>
              </w:rPr>
              <w:t>、</w:t>
            </w:r>
            <w:r w:rsidRPr="006854AC">
              <w:rPr>
                <w:rFonts w:eastAsia="新細明體" w:cs="Segoe UI"/>
                <w:sz w:val="17"/>
                <w:szCs w:val="17"/>
                <w:lang w:eastAsia="zh-TW"/>
              </w:rPr>
              <w:t>有關贖回</w:t>
            </w:r>
            <w:proofErr w:type="gramStart"/>
            <w:r w:rsidRPr="006854AC">
              <w:rPr>
                <w:rFonts w:eastAsia="新細明體" w:cs="Segoe UI"/>
                <w:sz w:val="17"/>
                <w:szCs w:val="17"/>
                <w:lang w:eastAsia="zh-TW"/>
              </w:rPr>
              <w:t>人違責</w:t>
            </w:r>
            <w:proofErr w:type="gramEnd"/>
            <w:r w:rsidRPr="006854AC">
              <w:rPr>
                <w:rFonts w:eastAsia="新細明體" w:cs="Segoe UI"/>
                <w:sz w:val="17"/>
                <w:szCs w:val="17"/>
                <w:lang w:eastAsia="zh-TW"/>
              </w:rPr>
              <w:t>的風險及中介人執行有關兌換職能時產生的風險所引起的信用風險承擔數額</w:t>
            </w:r>
            <w:r w:rsidR="00402D4A" w:rsidRPr="006854AC">
              <w:rPr>
                <w:rFonts w:eastAsia="新細明體" w:cs="Segoe UI" w:hint="eastAsia"/>
                <w:sz w:val="17"/>
                <w:szCs w:val="17"/>
                <w:lang w:eastAsia="zh-TW"/>
              </w:rPr>
              <w:t>。</w:t>
            </w:r>
            <w:r w:rsidR="00402D4A" w:rsidRPr="006854AC">
              <w:rPr>
                <w:rFonts w:eastAsia="新細明體" w:cs="Segoe UI" w:hint="eastAsia"/>
                <w:sz w:val="17"/>
                <w:szCs w:val="17"/>
                <w:lang w:eastAsia="zh-HK"/>
              </w:rPr>
              <w:t>這亦</w:t>
            </w:r>
            <w:r w:rsidRPr="006854AC">
              <w:rPr>
                <w:rFonts w:eastAsia="新細明體" w:cs="Segoe UI"/>
                <w:sz w:val="17"/>
                <w:szCs w:val="17"/>
                <w:lang w:eastAsia="zh-TW"/>
              </w:rPr>
              <w:t>包括</w:t>
            </w:r>
            <w:r w:rsidR="00402D4A" w:rsidRPr="006854AC">
              <w:rPr>
                <w:rFonts w:eastAsia="新細明體" w:cs="Segoe UI" w:hint="eastAsia"/>
                <w:sz w:val="17"/>
                <w:szCs w:val="17"/>
                <w:lang w:eastAsia="zh-HK"/>
              </w:rPr>
              <w:t>當</w:t>
            </w:r>
            <w:r w:rsidRPr="006854AC">
              <w:rPr>
                <w:rFonts w:eastAsia="新細明體" w:cs="Segoe UI"/>
                <w:sz w:val="17"/>
                <w:szCs w:val="17"/>
                <w:lang w:eastAsia="zh-TW"/>
              </w:rPr>
              <w:t>認可機構</w:t>
            </w:r>
            <w:r w:rsidR="00D840DB" w:rsidRPr="006854AC">
              <w:rPr>
                <w:rFonts w:eastAsia="新細明體" w:cs="Segoe UI" w:hint="eastAsia"/>
                <w:sz w:val="17"/>
                <w:szCs w:val="17"/>
                <w:lang w:eastAsia="zh-TW"/>
              </w:rPr>
              <w:t>屬</w:t>
            </w:r>
            <w:r w:rsidR="00D840DB" w:rsidRPr="006854AC">
              <w:rPr>
                <w:rFonts w:eastAsia="新細明體" w:cs="Segoe UI"/>
                <w:sz w:val="17"/>
                <w:szCs w:val="17"/>
                <w:lang w:eastAsia="zh-TW"/>
              </w:rPr>
              <w:t>某</w:t>
            </w:r>
            <w:r w:rsidR="0095512D" w:rsidRPr="006854AC">
              <w:rPr>
                <w:rFonts w:eastAsia="新細明體" w:cs="Segoe UI"/>
                <w:sz w:val="17"/>
                <w:szCs w:val="17"/>
                <w:lang w:eastAsia="zh-TW"/>
              </w:rPr>
              <w:t>加密資產安排的成員持有人，</w:t>
            </w:r>
            <w:r w:rsidR="0095512D" w:rsidRPr="006854AC">
              <w:rPr>
                <w:rFonts w:eastAsia="新細明體" w:cs="Segoe UI" w:hint="eastAsia"/>
                <w:sz w:val="17"/>
                <w:szCs w:val="17"/>
                <w:lang w:eastAsia="zh-TW"/>
              </w:rPr>
              <w:t>而</w:t>
            </w:r>
            <w:r w:rsidRPr="006854AC">
              <w:rPr>
                <w:rFonts w:eastAsia="新細明體" w:cs="Segoe UI"/>
                <w:sz w:val="17"/>
                <w:szCs w:val="17"/>
                <w:lang w:eastAsia="zh-TW"/>
              </w:rPr>
              <w:t>就其第</w:t>
            </w:r>
            <w:r w:rsidRPr="006854AC">
              <w:rPr>
                <w:rFonts w:eastAsia="新細明體" w:cs="Segoe UI"/>
                <w:sz w:val="17"/>
                <w:szCs w:val="17"/>
                <w:lang w:eastAsia="zh-TW"/>
              </w:rPr>
              <w:t>2a</w:t>
            </w:r>
            <w:r w:rsidRPr="006854AC">
              <w:rPr>
                <w:rFonts w:eastAsia="新細明體" w:cs="Segoe UI"/>
                <w:sz w:val="17"/>
                <w:szCs w:val="17"/>
                <w:lang w:eastAsia="zh-TW"/>
              </w:rPr>
              <w:t>組加密資產風險承擔</w:t>
            </w:r>
            <w:r w:rsidR="006C28B3" w:rsidRPr="006854AC">
              <w:rPr>
                <w:rFonts w:eastAsia="新細明體" w:cs="Segoe UI"/>
                <w:sz w:val="17"/>
                <w:szCs w:val="17"/>
                <w:lang w:eastAsia="zh-TW"/>
              </w:rPr>
              <w:t>所</w:t>
            </w:r>
            <w:r w:rsidRPr="006854AC">
              <w:rPr>
                <w:rFonts w:eastAsia="新細明體" w:cs="Segoe UI"/>
                <w:sz w:val="17"/>
                <w:szCs w:val="17"/>
                <w:lang w:eastAsia="zh-TW"/>
              </w:rPr>
              <w:t>產生的風險承擔數額</w:t>
            </w:r>
            <w:r w:rsidR="006C28B3" w:rsidRPr="006854AC">
              <w:rPr>
                <w:rFonts w:eastAsia="新細明體" w:cs="Segoe UI"/>
                <w:sz w:val="17"/>
                <w:szCs w:val="17"/>
                <w:lang w:eastAsia="zh-TW"/>
              </w:rPr>
              <w:t>。</w:t>
            </w:r>
            <w:r w:rsidR="006C28B3" w:rsidRPr="006854AC">
              <w:rPr>
                <w:rFonts w:eastAsia="新細明體" w:cs="Segoe UI" w:hint="eastAsia"/>
                <w:sz w:val="17"/>
                <w:szCs w:val="17"/>
                <w:lang w:eastAsia="zh-TW"/>
              </w:rPr>
              <w:t>該計算方</w:t>
            </w:r>
            <w:r w:rsidR="006C28B3" w:rsidRPr="006854AC">
              <w:rPr>
                <w:rFonts w:eastAsia="新細明體" w:cs="Segoe UI" w:hint="eastAsia"/>
                <w:sz w:val="17"/>
                <w:szCs w:val="17"/>
                <w:lang w:eastAsia="zh-HK"/>
              </w:rPr>
              <w:t>法應</w:t>
            </w:r>
            <w:r w:rsidRPr="006854AC">
              <w:rPr>
                <w:rFonts w:eastAsia="新細明體" w:cs="Segoe UI"/>
                <w:sz w:val="17"/>
                <w:szCs w:val="17"/>
                <w:lang w:eastAsia="zh-TW"/>
              </w:rPr>
              <w:t>與</w:t>
            </w:r>
            <w:r w:rsidR="00A032FD" w:rsidRPr="006854AC">
              <w:rPr>
                <w:rFonts w:eastAsia="新細明體" w:cs="Segoe UI" w:hint="eastAsia"/>
                <w:sz w:val="17"/>
                <w:szCs w:val="17"/>
                <w:lang w:eastAsia="zh-HK"/>
              </w:rPr>
              <w:t>根</w:t>
            </w:r>
            <w:r w:rsidR="00A032FD" w:rsidRPr="006854AC">
              <w:rPr>
                <w:rFonts w:eastAsia="新細明體" w:cs="Segoe UI" w:hint="eastAsia"/>
                <w:sz w:val="17"/>
                <w:szCs w:val="17"/>
                <w:lang w:eastAsia="zh-TW"/>
              </w:rPr>
              <w:t>據</w:t>
            </w:r>
            <w:r w:rsidRPr="006854AC">
              <w:rPr>
                <w:rFonts w:eastAsia="新細明體" w:cs="Segoe UI"/>
                <w:sz w:val="17"/>
                <w:szCs w:val="17"/>
                <w:lang w:eastAsia="zh-TW"/>
              </w:rPr>
              <w:t>《資本規則》第</w:t>
            </w:r>
            <w:r w:rsidRPr="006854AC">
              <w:rPr>
                <w:rFonts w:eastAsia="新細明體" w:cs="Segoe UI"/>
                <w:sz w:val="17"/>
                <w:szCs w:val="17"/>
                <w:lang w:eastAsia="zh-TW"/>
              </w:rPr>
              <w:t>368</w:t>
            </w:r>
            <w:r w:rsidRPr="006854AC">
              <w:rPr>
                <w:rFonts w:eastAsia="新細明體" w:cs="Segoe UI"/>
                <w:sz w:val="17"/>
                <w:szCs w:val="17"/>
                <w:lang w:eastAsia="zh-TW"/>
              </w:rPr>
              <w:t>條</w:t>
            </w:r>
            <w:r w:rsidR="00A032FD" w:rsidRPr="006854AC">
              <w:rPr>
                <w:rFonts w:eastAsia="新細明體" w:cs="Segoe UI"/>
                <w:sz w:val="17"/>
                <w:szCs w:val="17"/>
                <w:lang w:eastAsia="zh-TW"/>
              </w:rPr>
              <w:t>斷定</w:t>
            </w:r>
            <w:r w:rsidRPr="006854AC">
              <w:rPr>
                <w:rFonts w:eastAsia="新細明體" w:cs="Segoe UI"/>
                <w:sz w:val="17"/>
                <w:szCs w:val="17"/>
                <w:lang w:eastAsia="zh-TW"/>
              </w:rPr>
              <w:t>第</w:t>
            </w:r>
            <w:r w:rsidRPr="006854AC">
              <w:rPr>
                <w:rFonts w:eastAsia="新細明體" w:cs="Segoe UI"/>
                <w:sz w:val="17"/>
                <w:szCs w:val="17"/>
                <w:lang w:eastAsia="zh-TW"/>
              </w:rPr>
              <w:t>1b</w:t>
            </w:r>
            <w:r w:rsidRPr="006854AC">
              <w:rPr>
                <w:rFonts w:eastAsia="新細明體" w:cs="Segoe UI"/>
                <w:sz w:val="17"/>
                <w:szCs w:val="17"/>
                <w:lang w:eastAsia="zh-TW"/>
              </w:rPr>
              <w:t>組加密資產風險承</w:t>
            </w:r>
            <w:r w:rsidR="00C16933" w:rsidRPr="006854AC">
              <w:rPr>
                <w:rFonts w:eastAsia="新細明體" w:cs="Segoe UI" w:hint="eastAsia"/>
                <w:sz w:val="17"/>
                <w:szCs w:val="17"/>
                <w:lang w:eastAsia="zh-HK"/>
              </w:rPr>
              <w:t>擔</w:t>
            </w:r>
            <w:r w:rsidR="006C28B3" w:rsidRPr="006854AC">
              <w:rPr>
                <w:rFonts w:eastAsia="新細明體" w:cs="Segoe UI" w:hint="eastAsia"/>
                <w:sz w:val="17"/>
                <w:szCs w:val="17"/>
                <w:lang w:eastAsia="zh-HK"/>
              </w:rPr>
              <w:t>的信用風險</w:t>
            </w:r>
            <w:r w:rsidRPr="006854AC">
              <w:rPr>
                <w:rFonts w:eastAsia="新細明體" w:cs="Segoe UI"/>
                <w:sz w:val="17"/>
                <w:szCs w:val="17"/>
                <w:lang w:eastAsia="zh-TW"/>
              </w:rPr>
              <w:t>的</w:t>
            </w:r>
            <w:r w:rsidR="00A032FD" w:rsidRPr="006854AC">
              <w:rPr>
                <w:rFonts w:eastAsia="新細明體" w:cs="Segoe UI"/>
                <w:sz w:val="17"/>
                <w:szCs w:val="17"/>
                <w:lang w:eastAsia="zh-TW"/>
              </w:rPr>
              <w:t>方</w:t>
            </w:r>
            <w:r w:rsidR="00FF655A" w:rsidRPr="006854AC">
              <w:rPr>
                <w:rFonts w:eastAsia="新細明體" w:cs="Segoe UI" w:hint="eastAsia"/>
                <w:sz w:val="17"/>
                <w:szCs w:val="17"/>
                <w:lang w:eastAsia="zh-HK"/>
              </w:rPr>
              <w:t>式</w:t>
            </w:r>
            <w:r w:rsidR="00A032FD" w:rsidRPr="006854AC">
              <w:rPr>
                <w:rFonts w:eastAsia="新細明體" w:cs="Segoe UI"/>
                <w:sz w:val="17"/>
                <w:szCs w:val="17"/>
                <w:lang w:eastAsia="zh-TW"/>
              </w:rPr>
              <w:t>相同</w:t>
            </w:r>
            <w:r w:rsidRPr="006854AC">
              <w:rPr>
                <w:rFonts w:eastAsia="新細明體" w:cs="Segoe UI"/>
                <w:sz w:val="17"/>
                <w:szCs w:val="17"/>
                <w:lang w:eastAsia="zh-TW"/>
              </w:rPr>
              <w:t>。就第</w:t>
            </w:r>
            <w:r w:rsidRPr="006854AC">
              <w:rPr>
                <w:rFonts w:eastAsia="新細明體" w:cs="Segoe UI"/>
                <w:sz w:val="17"/>
                <w:szCs w:val="17"/>
                <w:lang w:eastAsia="zh-TW"/>
              </w:rPr>
              <w:t>2b</w:t>
            </w:r>
            <w:r w:rsidRPr="006854AC">
              <w:rPr>
                <w:rFonts w:eastAsia="新細明體" w:cs="Segoe UI"/>
                <w:sz w:val="17"/>
                <w:szCs w:val="17"/>
                <w:lang w:eastAsia="zh-TW"/>
              </w:rPr>
              <w:t>組加密資產風險承擔而言，認可機構應填報有關合計長倉的絕對值與有關</w:t>
            </w:r>
            <w:proofErr w:type="gramStart"/>
            <w:r w:rsidRPr="006854AC">
              <w:rPr>
                <w:rFonts w:eastAsia="新細明體" w:cs="Segoe UI"/>
                <w:sz w:val="17"/>
                <w:szCs w:val="17"/>
                <w:lang w:eastAsia="zh-TW"/>
              </w:rPr>
              <w:t>合計短倉的絕對值兩值中的</w:t>
            </w:r>
            <w:proofErr w:type="gramEnd"/>
            <w:r w:rsidRPr="006854AC">
              <w:rPr>
                <w:rFonts w:eastAsia="新細明體" w:cs="Segoe UI"/>
                <w:sz w:val="17"/>
                <w:szCs w:val="17"/>
                <w:lang w:eastAsia="zh-TW"/>
              </w:rPr>
              <w:t>較大者。</w:t>
            </w:r>
          </w:p>
        </w:tc>
      </w:tr>
      <w:tr w:rsidR="006854AC" w:rsidRPr="006854AC" w14:paraId="25DA62E1" w14:textId="77777777" w:rsidTr="00B51F08">
        <w:tc>
          <w:tcPr>
            <w:tcW w:w="846" w:type="dxa"/>
            <w:shd w:val="clear" w:color="auto" w:fill="auto"/>
          </w:tcPr>
          <w:p w14:paraId="4D098F72" w14:textId="77777777" w:rsidR="00DA1457" w:rsidRPr="0065556D" w:rsidRDefault="00DA1457" w:rsidP="00B51F08">
            <w:pPr>
              <w:keepNext/>
              <w:keepLines/>
              <w:tabs>
                <w:tab w:val="left" w:pos="150"/>
                <w:tab w:val="left" w:pos="397"/>
                <w:tab w:val="left" w:pos="794"/>
                <w:tab w:val="left" w:pos="1191"/>
              </w:tabs>
              <w:spacing w:before="40" w:after="40"/>
              <w:rPr>
                <w:rFonts w:eastAsia="新細明體" w:cs="Segoe UI"/>
                <w:b/>
                <w:sz w:val="17"/>
                <w:lang w:eastAsia="en-GB"/>
              </w:rPr>
            </w:pPr>
            <w:r w:rsidRPr="0065556D">
              <w:rPr>
                <w:rFonts w:eastAsiaTheme="minorEastAsia" w:cs="Segoe UI"/>
                <w:sz w:val="17"/>
                <w:szCs w:val="17"/>
                <w:lang w:eastAsia="en-GB"/>
              </w:rPr>
              <w:t>(b)</w:t>
            </w:r>
          </w:p>
        </w:tc>
        <w:tc>
          <w:tcPr>
            <w:tcW w:w="8505" w:type="dxa"/>
            <w:shd w:val="clear" w:color="auto" w:fill="auto"/>
          </w:tcPr>
          <w:p w14:paraId="02D0F883" w14:textId="756F8A82" w:rsidR="00DA1457" w:rsidRPr="006854AC" w:rsidRDefault="00DA1457" w:rsidP="00B51F08">
            <w:pPr>
              <w:keepNext/>
              <w:keepLines/>
              <w:tabs>
                <w:tab w:val="left" w:pos="150"/>
                <w:tab w:val="left" w:pos="397"/>
                <w:tab w:val="left" w:pos="794"/>
                <w:tab w:val="left" w:pos="1191"/>
              </w:tabs>
              <w:snapToGrid w:val="0"/>
              <w:spacing w:before="40" w:after="40"/>
              <w:jc w:val="both"/>
              <w:rPr>
                <w:rFonts w:eastAsiaTheme="minorEastAsia" w:cs="Segoe UI"/>
                <w:sz w:val="17"/>
                <w:szCs w:val="17"/>
                <w:lang w:eastAsia="zh-TW"/>
              </w:rPr>
            </w:pPr>
            <w:r w:rsidRPr="006854AC">
              <w:rPr>
                <w:rFonts w:eastAsiaTheme="minorEastAsia" w:cs="Segoe UI"/>
                <w:i/>
                <w:sz w:val="17"/>
                <w:szCs w:val="17"/>
                <w:lang w:eastAsia="zh-TW"/>
              </w:rPr>
              <w:t>信用風險</w:t>
            </w:r>
            <w:proofErr w:type="gramStart"/>
            <w:r w:rsidRPr="006854AC">
              <w:rPr>
                <w:rFonts w:eastAsiaTheme="minorEastAsia" w:cs="Segoe UI"/>
                <w:i/>
                <w:sz w:val="17"/>
                <w:szCs w:val="17"/>
                <w:lang w:val="en-US" w:eastAsia="zh-TW"/>
              </w:rPr>
              <w:t>——</w:t>
            </w:r>
            <w:proofErr w:type="gramEnd"/>
            <w:r w:rsidRPr="006854AC">
              <w:rPr>
                <w:rFonts w:eastAsiaTheme="minorEastAsia" w:cs="Segoe UI"/>
                <w:i/>
                <w:sz w:val="17"/>
                <w:szCs w:val="17"/>
                <w:lang w:val="en-US" w:eastAsia="zh-HK"/>
              </w:rPr>
              <w:t>風險承擔</w:t>
            </w:r>
            <w:r w:rsidRPr="006854AC">
              <w:rPr>
                <w:rFonts w:eastAsiaTheme="minorEastAsia" w:cs="Segoe UI"/>
                <w:i/>
                <w:sz w:val="17"/>
                <w:szCs w:val="17"/>
                <w:lang w:val="en-US" w:eastAsia="zh-TW"/>
              </w:rPr>
              <w:t>／</w:t>
            </w:r>
            <w:proofErr w:type="gramStart"/>
            <w:r w:rsidRPr="006854AC">
              <w:rPr>
                <w:rFonts w:eastAsiaTheme="minorEastAsia" w:cs="Segoe UI"/>
                <w:i/>
                <w:sz w:val="17"/>
                <w:szCs w:val="17"/>
                <w:lang w:eastAsia="zh-TW"/>
              </w:rPr>
              <w:t>違責風險</w:t>
            </w:r>
            <w:proofErr w:type="gramEnd"/>
            <w:r w:rsidRPr="006854AC">
              <w:rPr>
                <w:rFonts w:eastAsiaTheme="minorEastAsia" w:cs="Segoe UI"/>
                <w:i/>
                <w:sz w:val="17"/>
                <w:szCs w:val="17"/>
                <w:lang w:eastAsia="zh-TW"/>
              </w:rPr>
              <w:t>承擔</w:t>
            </w:r>
            <w:r w:rsidR="00606B36" w:rsidRPr="006854AC">
              <w:rPr>
                <w:rFonts w:eastAsiaTheme="minorEastAsia" w:cs="Segoe UI" w:hint="eastAsia"/>
                <w:i/>
                <w:sz w:val="17"/>
                <w:szCs w:val="17"/>
                <w:lang w:eastAsia="zh-TW"/>
              </w:rPr>
              <w:t>（</w:t>
            </w:r>
            <w:r w:rsidR="00606B36" w:rsidRPr="006854AC">
              <w:rPr>
                <w:rFonts w:eastAsiaTheme="minorEastAsia" w:cs="Segoe UI" w:hint="eastAsia"/>
                <w:i/>
                <w:sz w:val="17"/>
                <w:szCs w:val="17"/>
                <w:lang w:eastAsia="zh-TW"/>
              </w:rPr>
              <w:t>EAD</w:t>
            </w:r>
            <w:r w:rsidR="00606B36" w:rsidRPr="006854AC">
              <w:rPr>
                <w:rFonts w:eastAsiaTheme="minorEastAsia" w:cs="Segoe UI" w:hint="eastAsia"/>
                <w:i/>
                <w:sz w:val="17"/>
                <w:szCs w:val="17"/>
                <w:lang w:eastAsia="zh-TW"/>
              </w:rPr>
              <w:t>）</w:t>
            </w:r>
            <w:r w:rsidRPr="006854AC">
              <w:rPr>
                <w:rFonts w:eastAsiaTheme="minorEastAsia" w:cs="Segoe UI"/>
                <w:sz w:val="17"/>
                <w:szCs w:val="17"/>
                <w:lang w:val="en-US" w:eastAsia="zh-TW"/>
              </w:rPr>
              <w:t>：</w:t>
            </w:r>
            <w:r w:rsidR="00106359" w:rsidRPr="006854AC">
              <w:rPr>
                <w:rFonts w:eastAsiaTheme="minorEastAsia" w:cs="Segoe UI"/>
                <w:sz w:val="17"/>
                <w:szCs w:val="17"/>
                <w:lang w:val="en-US" w:eastAsia="zh-HK"/>
              </w:rPr>
              <w:t>與計算資本</w:t>
            </w:r>
            <w:r w:rsidR="00106359" w:rsidRPr="006854AC">
              <w:rPr>
                <w:rFonts w:eastAsiaTheme="minorEastAsia" w:cs="Segoe UI" w:hint="eastAsia"/>
                <w:sz w:val="17"/>
                <w:szCs w:val="17"/>
                <w:lang w:val="en-US" w:eastAsia="zh-HK"/>
              </w:rPr>
              <w:t>規定</w:t>
            </w:r>
            <w:r w:rsidRPr="006854AC">
              <w:rPr>
                <w:rFonts w:eastAsiaTheme="minorEastAsia" w:cs="Segoe UI"/>
                <w:sz w:val="17"/>
                <w:szCs w:val="17"/>
                <w:lang w:val="en-US" w:eastAsia="zh-HK"/>
              </w:rPr>
              <w:t>相關</w:t>
            </w:r>
            <w:r w:rsidR="00437BDF" w:rsidRPr="006854AC">
              <w:rPr>
                <w:rFonts w:eastAsiaTheme="minorEastAsia" w:cs="Segoe UI" w:hint="eastAsia"/>
                <w:sz w:val="17"/>
                <w:szCs w:val="17"/>
                <w:lang w:val="en-US" w:eastAsia="zh-HK"/>
              </w:rPr>
              <w:t>，並</w:t>
            </w:r>
            <w:r w:rsidRPr="006854AC">
              <w:rPr>
                <w:rFonts w:eastAsiaTheme="minorEastAsia" w:cs="Segoe UI"/>
                <w:sz w:val="17"/>
                <w:szCs w:val="17"/>
                <w:lang w:val="en-US" w:eastAsia="zh-HK"/>
              </w:rPr>
              <w:t>已</w:t>
            </w:r>
            <w:r w:rsidR="00437BDF" w:rsidRPr="006854AC">
              <w:rPr>
                <w:rFonts w:eastAsiaTheme="minorEastAsia" w:cs="Segoe UI" w:hint="eastAsia"/>
                <w:sz w:val="17"/>
                <w:szCs w:val="17"/>
                <w:lang w:val="en-US" w:eastAsia="zh-HK"/>
              </w:rPr>
              <w:t>將</w:t>
            </w:r>
            <w:r w:rsidRPr="006854AC">
              <w:rPr>
                <w:rFonts w:eastAsiaTheme="minorEastAsia" w:cs="Segoe UI"/>
                <w:sz w:val="17"/>
                <w:szCs w:val="17"/>
                <w:lang w:eastAsia="zh-HK"/>
              </w:rPr>
              <w:t>減低信用風險措施及</w:t>
            </w:r>
            <w:r w:rsidRPr="006854AC">
              <w:rPr>
                <w:rFonts w:eastAsiaTheme="minorEastAsia" w:cs="Segoe UI"/>
                <w:sz w:val="17"/>
                <w:szCs w:val="17"/>
                <w:lang w:eastAsia="zh-TW"/>
              </w:rPr>
              <w:t>CCF</w:t>
            </w:r>
            <w:r w:rsidR="00437BDF" w:rsidRPr="006854AC">
              <w:rPr>
                <w:rFonts w:eastAsiaTheme="minorEastAsia" w:cs="Segoe UI" w:hint="eastAsia"/>
                <w:sz w:val="17"/>
                <w:szCs w:val="17"/>
                <w:lang w:eastAsia="zh-HK"/>
              </w:rPr>
              <w:t>計算在內</w:t>
            </w:r>
            <w:r w:rsidRPr="006854AC">
              <w:rPr>
                <w:rFonts w:eastAsiaTheme="minorEastAsia" w:cs="Segoe UI"/>
                <w:sz w:val="17"/>
                <w:szCs w:val="17"/>
                <w:lang w:eastAsia="zh-HK"/>
              </w:rPr>
              <w:t>的</w:t>
            </w:r>
            <w:r w:rsidRPr="006854AC">
              <w:rPr>
                <w:rFonts w:eastAsiaTheme="minorEastAsia" w:cs="Segoe UI"/>
                <w:sz w:val="17"/>
                <w:szCs w:val="17"/>
                <w:lang w:val="en-US" w:eastAsia="zh-HK"/>
              </w:rPr>
              <w:t>風險承擔數額或違責風險承擔</w:t>
            </w:r>
            <w:r w:rsidRPr="006854AC">
              <w:rPr>
                <w:rFonts w:eastAsiaTheme="minorEastAsia" w:cs="Segoe UI"/>
                <w:sz w:val="17"/>
                <w:szCs w:val="17"/>
                <w:lang w:val="en-US" w:eastAsia="zh-TW"/>
              </w:rPr>
              <w:t>。</w:t>
            </w:r>
            <w:r w:rsidRPr="006854AC">
              <w:rPr>
                <w:rFonts w:eastAsiaTheme="minorEastAsia" w:cs="Segoe UI"/>
                <w:sz w:val="17"/>
                <w:szCs w:val="17"/>
                <w:lang w:val="en-US" w:eastAsia="zh-HK"/>
              </w:rPr>
              <w:t>就</w:t>
            </w:r>
            <w:r w:rsidRPr="006854AC">
              <w:rPr>
                <w:rFonts w:eastAsiaTheme="minorEastAsia" w:cs="Segoe UI"/>
                <w:sz w:val="17"/>
                <w:szCs w:val="17"/>
                <w:lang w:eastAsia="zh-HK"/>
              </w:rPr>
              <w:t>第</w:t>
            </w:r>
            <w:r w:rsidRPr="006854AC">
              <w:rPr>
                <w:rFonts w:eastAsiaTheme="minorEastAsia" w:cs="Segoe UI"/>
                <w:sz w:val="17"/>
                <w:szCs w:val="17"/>
                <w:lang w:eastAsia="zh-HK"/>
              </w:rPr>
              <w:t>2a</w:t>
            </w:r>
            <w:r w:rsidRPr="006854AC">
              <w:rPr>
                <w:rFonts w:eastAsiaTheme="minorEastAsia" w:cs="Segoe UI"/>
                <w:sz w:val="17"/>
                <w:szCs w:val="17"/>
                <w:lang w:eastAsia="zh-HK"/>
              </w:rPr>
              <w:t>組加密資產</w:t>
            </w:r>
            <w:r w:rsidR="00437BDF" w:rsidRPr="006854AC">
              <w:rPr>
                <w:rFonts w:eastAsiaTheme="minorEastAsia" w:cs="Segoe UI" w:hint="eastAsia"/>
                <w:sz w:val="17"/>
                <w:szCs w:val="17"/>
                <w:lang w:eastAsia="zh-HK"/>
              </w:rPr>
              <w:t>風</w:t>
            </w:r>
            <w:r w:rsidR="00437BDF" w:rsidRPr="006854AC">
              <w:rPr>
                <w:rFonts w:eastAsiaTheme="minorEastAsia" w:cs="Segoe UI" w:hint="eastAsia"/>
                <w:sz w:val="17"/>
                <w:szCs w:val="17"/>
                <w:lang w:eastAsia="zh-TW"/>
              </w:rPr>
              <w:t>險</w:t>
            </w:r>
            <w:r w:rsidR="00437BDF" w:rsidRPr="006854AC">
              <w:rPr>
                <w:rFonts w:eastAsiaTheme="minorEastAsia" w:cs="Segoe UI" w:hint="eastAsia"/>
                <w:sz w:val="17"/>
                <w:szCs w:val="17"/>
                <w:lang w:eastAsia="zh-HK"/>
              </w:rPr>
              <w:t>承擔</w:t>
            </w:r>
            <w:r w:rsidRPr="006854AC">
              <w:rPr>
                <w:rFonts w:eastAsiaTheme="minorEastAsia" w:cs="Segoe UI"/>
                <w:sz w:val="17"/>
                <w:szCs w:val="17"/>
                <w:lang w:eastAsia="zh-HK"/>
              </w:rPr>
              <w:t>而言，在本欄填報的</w:t>
            </w:r>
            <w:r w:rsidRPr="006854AC">
              <w:rPr>
                <w:rFonts w:eastAsiaTheme="minorEastAsia" w:cs="Segoe UI"/>
                <w:sz w:val="17"/>
                <w:szCs w:val="17"/>
                <w:lang w:val="en-US" w:eastAsia="zh-HK"/>
              </w:rPr>
              <w:t>風險承擔／</w:t>
            </w:r>
            <w:r w:rsidRPr="006854AC">
              <w:rPr>
                <w:rFonts w:eastAsiaTheme="minorEastAsia" w:cs="Segoe UI"/>
                <w:sz w:val="17"/>
                <w:szCs w:val="17"/>
                <w:lang w:val="en-US" w:eastAsia="zh-TW"/>
              </w:rPr>
              <w:t>EAD</w:t>
            </w:r>
            <w:r w:rsidRPr="006854AC">
              <w:rPr>
                <w:rFonts w:eastAsiaTheme="minorEastAsia" w:cs="Segoe UI"/>
                <w:sz w:val="17"/>
                <w:szCs w:val="17"/>
                <w:lang w:eastAsia="zh-HK"/>
              </w:rPr>
              <w:t>應僅反映</w:t>
            </w:r>
            <w:r w:rsidR="00437BDF" w:rsidRPr="006854AC">
              <w:rPr>
                <w:rFonts w:eastAsiaTheme="minorEastAsia" w:cs="Segoe UI" w:hint="eastAsia"/>
                <w:sz w:val="17"/>
                <w:szCs w:val="17"/>
                <w:lang w:eastAsia="zh-HK"/>
              </w:rPr>
              <w:t>根</w:t>
            </w:r>
            <w:r w:rsidR="00437BDF" w:rsidRPr="006854AC">
              <w:rPr>
                <w:rFonts w:eastAsiaTheme="minorEastAsia" w:cs="Segoe UI" w:hint="eastAsia"/>
                <w:sz w:val="17"/>
                <w:szCs w:val="17"/>
                <w:lang w:eastAsia="zh-TW"/>
              </w:rPr>
              <w:t>據</w:t>
            </w:r>
            <w:r w:rsidRPr="006854AC">
              <w:rPr>
                <w:rFonts w:eastAsiaTheme="minorEastAsia" w:cs="Segoe UI"/>
                <w:sz w:val="17"/>
                <w:szCs w:val="17"/>
                <w:lang w:eastAsia="zh-HK"/>
              </w:rPr>
              <w:t>《資本規則》第</w:t>
            </w:r>
            <w:r w:rsidRPr="006854AC">
              <w:rPr>
                <w:rFonts w:eastAsiaTheme="minorEastAsia" w:cs="Segoe UI"/>
                <w:sz w:val="17"/>
                <w:szCs w:val="17"/>
                <w:lang w:eastAsia="zh-HK"/>
              </w:rPr>
              <w:t>384</w:t>
            </w:r>
            <w:r w:rsidRPr="006854AC">
              <w:rPr>
                <w:rFonts w:eastAsiaTheme="minorEastAsia" w:cs="Segoe UI"/>
                <w:sz w:val="17"/>
                <w:szCs w:val="17"/>
                <w:lang w:eastAsia="zh-HK"/>
              </w:rPr>
              <w:t>條</w:t>
            </w:r>
            <w:r w:rsidR="00437BDF" w:rsidRPr="006854AC">
              <w:rPr>
                <w:rFonts w:eastAsia="新細明體" w:cs="Segoe UI"/>
                <w:sz w:val="17"/>
                <w:szCs w:val="17"/>
                <w:lang w:eastAsia="zh-TW"/>
              </w:rPr>
              <w:t>斷定</w:t>
            </w:r>
            <w:r w:rsidR="004C6F00" w:rsidRPr="006854AC">
              <w:rPr>
                <w:rFonts w:eastAsia="新細明體" w:cs="Segoe UI" w:hint="eastAsia"/>
                <w:sz w:val="17"/>
                <w:szCs w:val="17"/>
                <w:lang w:eastAsia="zh-HK"/>
              </w:rPr>
              <w:t>的、</w:t>
            </w:r>
            <w:r w:rsidRPr="006854AC">
              <w:rPr>
                <w:rFonts w:eastAsiaTheme="minorEastAsia" w:cs="Segoe UI"/>
                <w:sz w:val="17"/>
                <w:szCs w:val="17"/>
                <w:lang w:eastAsia="zh-HK"/>
              </w:rPr>
              <w:t>就認可機構的第</w:t>
            </w:r>
            <w:r w:rsidRPr="006854AC">
              <w:rPr>
                <w:rFonts w:eastAsiaTheme="minorEastAsia" w:cs="Segoe UI"/>
                <w:sz w:val="17"/>
                <w:szCs w:val="17"/>
                <w:lang w:eastAsia="zh-HK"/>
              </w:rPr>
              <w:t>2a</w:t>
            </w:r>
            <w:r w:rsidRPr="006854AC">
              <w:rPr>
                <w:rFonts w:eastAsiaTheme="minorEastAsia" w:cs="Segoe UI"/>
                <w:sz w:val="17"/>
                <w:szCs w:val="17"/>
                <w:lang w:eastAsia="zh-HK"/>
              </w:rPr>
              <w:t>組加密資產風險承擔的</w:t>
            </w:r>
            <w:r w:rsidR="00437BDF" w:rsidRPr="006854AC">
              <w:rPr>
                <w:rFonts w:eastAsiaTheme="minorEastAsia" w:cs="Segoe UI" w:hint="eastAsia"/>
                <w:sz w:val="17"/>
                <w:szCs w:val="17"/>
                <w:lang w:eastAsia="zh-HK"/>
              </w:rPr>
              <w:t>、</w:t>
            </w:r>
            <w:r w:rsidRPr="006854AC">
              <w:rPr>
                <w:rFonts w:eastAsiaTheme="minorEastAsia" w:cs="Segoe UI"/>
                <w:sz w:val="17"/>
                <w:szCs w:val="17"/>
                <w:lang w:eastAsia="zh-HK"/>
              </w:rPr>
              <w:t>有關贖回人違責的風險及中介人執行有關兌換職能時產生的風險所引起的信用風險承擔</w:t>
            </w:r>
            <w:r w:rsidRPr="006854AC">
              <w:rPr>
                <w:rFonts w:eastAsiaTheme="minorEastAsia" w:cs="Segoe UI"/>
                <w:sz w:val="17"/>
                <w:szCs w:val="17"/>
                <w:lang w:eastAsia="zh-TW"/>
              </w:rPr>
              <w:t>／</w:t>
            </w:r>
            <w:r w:rsidRPr="006854AC">
              <w:rPr>
                <w:rFonts w:eastAsiaTheme="minorEastAsia" w:cs="Segoe UI"/>
                <w:sz w:val="17"/>
                <w:szCs w:val="17"/>
                <w:lang w:eastAsia="zh-TW"/>
              </w:rPr>
              <w:t>EAD</w:t>
            </w:r>
            <w:r w:rsidR="0095512D" w:rsidRPr="006854AC">
              <w:rPr>
                <w:rFonts w:eastAsia="新細明體" w:cs="Segoe UI"/>
                <w:sz w:val="17"/>
                <w:szCs w:val="17"/>
                <w:lang w:eastAsia="zh-TW"/>
              </w:rPr>
              <w:t>。</w:t>
            </w:r>
            <w:r w:rsidR="0095512D" w:rsidRPr="006854AC">
              <w:rPr>
                <w:rFonts w:eastAsia="新細明體" w:cs="Segoe UI" w:hint="eastAsia"/>
                <w:sz w:val="17"/>
                <w:szCs w:val="17"/>
                <w:lang w:eastAsia="zh-HK"/>
              </w:rPr>
              <w:t>這亦</w:t>
            </w:r>
            <w:r w:rsidRPr="006854AC">
              <w:rPr>
                <w:rFonts w:eastAsiaTheme="minorEastAsia" w:cs="Segoe UI"/>
                <w:sz w:val="17"/>
                <w:szCs w:val="17"/>
                <w:lang w:eastAsia="zh-HK"/>
              </w:rPr>
              <w:t>包括</w:t>
            </w:r>
            <w:r w:rsidR="0095512D" w:rsidRPr="006854AC">
              <w:rPr>
                <w:rFonts w:eastAsia="新細明體" w:cs="Segoe UI" w:hint="eastAsia"/>
                <w:sz w:val="17"/>
                <w:szCs w:val="17"/>
                <w:lang w:eastAsia="zh-HK"/>
              </w:rPr>
              <w:t>當</w:t>
            </w:r>
            <w:r w:rsidRPr="006854AC">
              <w:rPr>
                <w:rFonts w:eastAsiaTheme="minorEastAsia" w:cs="Segoe UI"/>
                <w:sz w:val="17"/>
                <w:szCs w:val="17"/>
                <w:lang w:eastAsia="zh-HK"/>
              </w:rPr>
              <w:t>認可機構</w:t>
            </w:r>
            <w:r w:rsidR="00D840DB" w:rsidRPr="006854AC">
              <w:rPr>
                <w:rFonts w:eastAsia="新細明體" w:cs="Segoe UI" w:hint="eastAsia"/>
                <w:sz w:val="17"/>
                <w:szCs w:val="17"/>
                <w:lang w:eastAsia="zh-TW"/>
              </w:rPr>
              <w:t>屬</w:t>
            </w:r>
            <w:r w:rsidR="00D840DB" w:rsidRPr="006854AC">
              <w:rPr>
                <w:rFonts w:eastAsia="新細明體" w:cs="Segoe UI"/>
                <w:sz w:val="17"/>
                <w:szCs w:val="17"/>
                <w:lang w:eastAsia="zh-TW"/>
              </w:rPr>
              <w:t>某</w:t>
            </w:r>
            <w:r w:rsidR="0095512D" w:rsidRPr="006854AC">
              <w:rPr>
                <w:rFonts w:eastAsia="新細明體" w:cs="Segoe UI"/>
                <w:sz w:val="17"/>
                <w:szCs w:val="17"/>
                <w:lang w:eastAsia="zh-TW"/>
              </w:rPr>
              <w:t>加密資產安排的成員持有人，</w:t>
            </w:r>
            <w:r w:rsidR="0095512D" w:rsidRPr="006854AC">
              <w:rPr>
                <w:rFonts w:eastAsia="新細明體" w:cs="Segoe UI" w:hint="eastAsia"/>
                <w:sz w:val="17"/>
                <w:szCs w:val="17"/>
                <w:lang w:eastAsia="zh-TW"/>
              </w:rPr>
              <w:t>而</w:t>
            </w:r>
            <w:r w:rsidRPr="006854AC">
              <w:rPr>
                <w:rFonts w:eastAsiaTheme="minorEastAsia" w:cs="Segoe UI"/>
                <w:sz w:val="17"/>
                <w:szCs w:val="17"/>
                <w:lang w:eastAsia="zh-HK"/>
              </w:rPr>
              <w:t>就其第</w:t>
            </w:r>
            <w:r w:rsidRPr="006854AC">
              <w:rPr>
                <w:rFonts w:eastAsiaTheme="minorEastAsia" w:cs="Segoe UI"/>
                <w:sz w:val="17"/>
                <w:szCs w:val="17"/>
                <w:lang w:eastAsia="zh-HK"/>
              </w:rPr>
              <w:t>2a</w:t>
            </w:r>
            <w:r w:rsidRPr="006854AC">
              <w:rPr>
                <w:rFonts w:eastAsiaTheme="minorEastAsia" w:cs="Segoe UI"/>
                <w:sz w:val="17"/>
                <w:szCs w:val="17"/>
                <w:lang w:eastAsia="zh-HK"/>
              </w:rPr>
              <w:t>組加密資產風險承擔</w:t>
            </w:r>
            <w:r w:rsidR="0095512D" w:rsidRPr="006854AC">
              <w:rPr>
                <w:rFonts w:eastAsiaTheme="minorEastAsia" w:cs="Segoe UI" w:hint="eastAsia"/>
                <w:sz w:val="17"/>
                <w:szCs w:val="17"/>
                <w:lang w:eastAsia="zh-HK"/>
              </w:rPr>
              <w:t>所</w:t>
            </w:r>
            <w:r w:rsidRPr="006854AC">
              <w:rPr>
                <w:rFonts w:eastAsiaTheme="minorEastAsia" w:cs="Segoe UI"/>
                <w:sz w:val="17"/>
                <w:szCs w:val="17"/>
                <w:lang w:eastAsia="zh-HK"/>
              </w:rPr>
              <w:t>產生的信用風險承擔</w:t>
            </w:r>
            <w:r w:rsidRPr="006854AC">
              <w:rPr>
                <w:rFonts w:eastAsiaTheme="minorEastAsia" w:cs="Segoe UI"/>
                <w:sz w:val="17"/>
                <w:szCs w:val="17"/>
                <w:lang w:eastAsia="zh-TW"/>
              </w:rPr>
              <w:t>／</w:t>
            </w:r>
            <w:r w:rsidRPr="006854AC">
              <w:rPr>
                <w:rFonts w:eastAsiaTheme="minorEastAsia" w:cs="Segoe UI"/>
                <w:sz w:val="17"/>
                <w:szCs w:val="17"/>
                <w:lang w:eastAsia="zh-TW"/>
              </w:rPr>
              <w:t>EAD</w:t>
            </w:r>
            <w:r w:rsidR="0095512D" w:rsidRPr="006854AC">
              <w:rPr>
                <w:rFonts w:eastAsia="新細明體" w:cs="Segoe UI"/>
                <w:sz w:val="17"/>
                <w:szCs w:val="17"/>
                <w:lang w:eastAsia="zh-TW"/>
              </w:rPr>
              <w:t>。</w:t>
            </w:r>
            <w:r w:rsidR="0095512D" w:rsidRPr="006854AC">
              <w:rPr>
                <w:rFonts w:eastAsia="新細明體" w:cs="Segoe UI" w:hint="eastAsia"/>
                <w:sz w:val="17"/>
                <w:szCs w:val="17"/>
                <w:lang w:eastAsia="zh-TW"/>
              </w:rPr>
              <w:t>該計算方</w:t>
            </w:r>
            <w:r w:rsidR="0095512D" w:rsidRPr="006854AC">
              <w:rPr>
                <w:rFonts w:eastAsia="新細明體" w:cs="Segoe UI" w:hint="eastAsia"/>
                <w:sz w:val="17"/>
                <w:szCs w:val="17"/>
                <w:lang w:eastAsia="zh-HK"/>
              </w:rPr>
              <w:t>法應</w:t>
            </w:r>
            <w:r w:rsidRPr="006854AC">
              <w:rPr>
                <w:rFonts w:eastAsiaTheme="minorEastAsia" w:cs="Segoe UI"/>
                <w:sz w:val="17"/>
                <w:szCs w:val="17"/>
                <w:lang w:eastAsia="zh-HK"/>
              </w:rPr>
              <w:t>與</w:t>
            </w:r>
            <w:r w:rsidR="00437BDF" w:rsidRPr="006854AC">
              <w:rPr>
                <w:rFonts w:eastAsiaTheme="minorEastAsia" w:cs="Segoe UI" w:hint="eastAsia"/>
                <w:sz w:val="17"/>
                <w:szCs w:val="17"/>
                <w:lang w:eastAsia="zh-HK"/>
              </w:rPr>
              <w:t>根</w:t>
            </w:r>
            <w:r w:rsidR="00437BDF" w:rsidRPr="006854AC">
              <w:rPr>
                <w:rFonts w:eastAsiaTheme="minorEastAsia" w:cs="Segoe UI" w:hint="eastAsia"/>
                <w:sz w:val="17"/>
                <w:szCs w:val="17"/>
                <w:lang w:eastAsia="zh-TW"/>
              </w:rPr>
              <w:t>據</w:t>
            </w:r>
            <w:r w:rsidRPr="006854AC">
              <w:rPr>
                <w:rFonts w:eastAsiaTheme="minorEastAsia" w:cs="Segoe UI"/>
                <w:sz w:val="17"/>
                <w:szCs w:val="17"/>
                <w:lang w:eastAsia="zh-HK"/>
              </w:rPr>
              <w:t>《資本規則》第</w:t>
            </w:r>
            <w:r w:rsidRPr="006854AC">
              <w:rPr>
                <w:rFonts w:eastAsiaTheme="minorEastAsia" w:cs="Segoe UI"/>
                <w:sz w:val="17"/>
                <w:szCs w:val="17"/>
                <w:lang w:eastAsia="zh-HK"/>
              </w:rPr>
              <w:t>3</w:t>
            </w:r>
            <w:r w:rsidRPr="006854AC">
              <w:rPr>
                <w:rFonts w:eastAsiaTheme="minorEastAsia" w:cs="Segoe UI"/>
                <w:sz w:val="17"/>
                <w:szCs w:val="17"/>
                <w:lang w:eastAsia="zh-TW"/>
              </w:rPr>
              <w:t>6</w:t>
            </w:r>
            <w:r w:rsidRPr="006854AC">
              <w:rPr>
                <w:rFonts w:eastAsiaTheme="minorEastAsia" w:cs="Segoe UI"/>
                <w:sz w:val="17"/>
                <w:szCs w:val="17"/>
                <w:lang w:eastAsia="zh-HK"/>
              </w:rPr>
              <w:t>8</w:t>
            </w:r>
            <w:r w:rsidRPr="006854AC">
              <w:rPr>
                <w:rFonts w:eastAsiaTheme="minorEastAsia" w:cs="Segoe UI"/>
                <w:sz w:val="17"/>
                <w:szCs w:val="17"/>
                <w:lang w:eastAsia="zh-HK"/>
              </w:rPr>
              <w:t>條</w:t>
            </w:r>
            <w:r w:rsidR="00437BDF" w:rsidRPr="006854AC">
              <w:rPr>
                <w:rFonts w:eastAsiaTheme="minorEastAsia" w:cs="Segoe UI"/>
                <w:sz w:val="17"/>
                <w:szCs w:val="17"/>
                <w:lang w:eastAsia="zh-HK"/>
              </w:rPr>
              <w:t>斷定</w:t>
            </w:r>
            <w:r w:rsidRPr="006854AC">
              <w:rPr>
                <w:rFonts w:eastAsiaTheme="minorEastAsia" w:cs="Segoe UI"/>
                <w:sz w:val="17"/>
                <w:szCs w:val="17"/>
                <w:lang w:eastAsia="zh-HK"/>
              </w:rPr>
              <w:t>第</w:t>
            </w:r>
            <w:r w:rsidRPr="006854AC">
              <w:rPr>
                <w:rFonts w:eastAsiaTheme="minorEastAsia" w:cs="Segoe UI"/>
                <w:sz w:val="17"/>
                <w:szCs w:val="17"/>
                <w:lang w:eastAsia="zh-HK"/>
              </w:rPr>
              <w:t xml:space="preserve"> 1b </w:t>
            </w:r>
            <w:r w:rsidRPr="006854AC">
              <w:rPr>
                <w:rFonts w:eastAsiaTheme="minorEastAsia" w:cs="Segoe UI"/>
                <w:sz w:val="17"/>
                <w:szCs w:val="17"/>
                <w:lang w:eastAsia="zh-HK"/>
              </w:rPr>
              <w:t>組加密資產風險承擔的</w:t>
            </w:r>
            <w:r w:rsidR="0095512D" w:rsidRPr="006854AC">
              <w:rPr>
                <w:rFonts w:eastAsia="新細明體" w:cs="Segoe UI"/>
                <w:sz w:val="17"/>
                <w:szCs w:val="17"/>
                <w:lang w:eastAsia="zh-TW"/>
              </w:rPr>
              <w:t>信用風險</w:t>
            </w:r>
            <w:r w:rsidR="0095512D" w:rsidRPr="006854AC">
              <w:rPr>
                <w:rFonts w:eastAsia="新細明體" w:cs="Segoe UI" w:hint="eastAsia"/>
                <w:sz w:val="17"/>
                <w:szCs w:val="17"/>
                <w:lang w:eastAsia="zh-HK"/>
              </w:rPr>
              <w:t>的</w:t>
            </w:r>
            <w:r w:rsidR="00437BDF" w:rsidRPr="006854AC">
              <w:rPr>
                <w:rFonts w:eastAsiaTheme="minorEastAsia" w:cs="Segoe UI" w:hint="eastAsia"/>
                <w:sz w:val="17"/>
                <w:szCs w:val="17"/>
                <w:lang w:eastAsia="zh-HK"/>
              </w:rPr>
              <w:t>方式</w:t>
            </w:r>
            <w:r w:rsidRPr="006854AC">
              <w:rPr>
                <w:rFonts w:eastAsiaTheme="minorEastAsia" w:cs="Segoe UI"/>
                <w:sz w:val="17"/>
                <w:szCs w:val="17"/>
                <w:lang w:eastAsia="zh-HK"/>
              </w:rPr>
              <w:t>相同</w:t>
            </w:r>
            <w:r w:rsidRPr="006854AC">
              <w:rPr>
                <w:rFonts w:eastAsiaTheme="minorEastAsia" w:cs="Segoe UI"/>
                <w:sz w:val="17"/>
                <w:szCs w:val="17"/>
                <w:lang w:eastAsia="zh-TW"/>
              </w:rPr>
              <w:t>。</w:t>
            </w:r>
            <w:r w:rsidRPr="006854AC">
              <w:rPr>
                <w:rFonts w:eastAsiaTheme="minorEastAsia" w:cs="Segoe UI"/>
                <w:sz w:val="17"/>
                <w:szCs w:val="17"/>
                <w:lang w:eastAsia="zh-HK"/>
              </w:rPr>
              <w:t>就第</w:t>
            </w:r>
            <w:r w:rsidRPr="006854AC">
              <w:rPr>
                <w:rFonts w:eastAsiaTheme="minorEastAsia" w:cs="Segoe UI"/>
                <w:sz w:val="17"/>
                <w:szCs w:val="17"/>
                <w:lang w:eastAsia="zh-TW"/>
              </w:rPr>
              <w:t>2b</w:t>
            </w:r>
            <w:r w:rsidRPr="006854AC">
              <w:rPr>
                <w:rFonts w:eastAsiaTheme="minorEastAsia" w:cs="Segoe UI"/>
                <w:sz w:val="17"/>
                <w:szCs w:val="17"/>
                <w:lang w:eastAsia="zh-HK"/>
              </w:rPr>
              <w:t>組加密資產風險承擔而言，認可機構應填報有關合計長倉的絕對值與有關合計短倉的絕對值兩值中的較大者</w:t>
            </w:r>
            <w:r w:rsidRPr="006854AC">
              <w:rPr>
                <w:rFonts w:eastAsiaTheme="minorEastAsia" w:cs="Segoe UI"/>
                <w:sz w:val="17"/>
                <w:szCs w:val="17"/>
                <w:lang w:eastAsia="zh-TW"/>
              </w:rPr>
              <w:t>。</w:t>
            </w:r>
          </w:p>
        </w:tc>
      </w:tr>
      <w:tr w:rsidR="006854AC" w:rsidRPr="006854AC" w14:paraId="2C9181A8" w14:textId="77777777" w:rsidTr="00B51F08">
        <w:tc>
          <w:tcPr>
            <w:tcW w:w="846" w:type="dxa"/>
            <w:shd w:val="clear" w:color="auto" w:fill="auto"/>
          </w:tcPr>
          <w:p w14:paraId="46100870" w14:textId="77777777" w:rsidR="00DA1457" w:rsidRPr="0065556D" w:rsidRDefault="00DA1457" w:rsidP="00B51F08">
            <w:pPr>
              <w:keepNext/>
              <w:keepLines/>
              <w:tabs>
                <w:tab w:val="left" w:pos="150"/>
                <w:tab w:val="left" w:pos="397"/>
                <w:tab w:val="left" w:pos="794"/>
                <w:tab w:val="left" w:pos="1191"/>
              </w:tabs>
              <w:spacing w:before="40" w:after="40"/>
              <w:rPr>
                <w:rFonts w:eastAsia="新細明體" w:cs="Segoe UI"/>
                <w:b/>
                <w:sz w:val="17"/>
                <w:lang w:eastAsia="en-GB"/>
              </w:rPr>
            </w:pPr>
            <w:r w:rsidRPr="0065556D">
              <w:rPr>
                <w:rFonts w:eastAsiaTheme="minorEastAsia" w:cs="Segoe UI"/>
                <w:sz w:val="17"/>
                <w:szCs w:val="17"/>
                <w:lang w:eastAsia="en-GB"/>
              </w:rPr>
              <w:t>(c)</w:t>
            </w:r>
          </w:p>
        </w:tc>
        <w:tc>
          <w:tcPr>
            <w:tcW w:w="8505" w:type="dxa"/>
            <w:shd w:val="clear" w:color="auto" w:fill="auto"/>
          </w:tcPr>
          <w:p w14:paraId="70209217" w14:textId="617E21A8" w:rsidR="00DA1457" w:rsidRPr="006854AC" w:rsidRDefault="00DA1457" w:rsidP="00B51F08">
            <w:pPr>
              <w:keepNext/>
              <w:keepLines/>
              <w:tabs>
                <w:tab w:val="left" w:pos="150"/>
                <w:tab w:val="left" w:pos="397"/>
                <w:tab w:val="left" w:pos="794"/>
                <w:tab w:val="left" w:pos="1191"/>
              </w:tabs>
              <w:snapToGrid w:val="0"/>
              <w:spacing w:before="40" w:after="40"/>
              <w:jc w:val="both"/>
              <w:rPr>
                <w:rFonts w:eastAsia="新細明體" w:cs="Segoe UI"/>
                <w:b/>
                <w:sz w:val="17"/>
                <w:lang w:eastAsia="zh-TW"/>
              </w:rPr>
            </w:pPr>
            <w:r w:rsidRPr="006854AC">
              <w:rPr>
                <w:rFonts w:eastAsia="新細明體" w:cs="Segoe UI"/>
                <w:i/>
                <w:sz w:val="17"/>
                <w:szCs w:val="17"/>
                <w:lang w:eastAsia="zh-TW"/>
              </w:rPr>
              <w:t>信用風險</w:t>
            </w:r>
            <w:proofErr w:type="gramStart"/>
            <w:r w:rsidRPr="006854AC">
              <w:rPr>
                <w:rFonts w:eastAsia="新細明體" w:cs="Segoe UI"/>
                <w:i/>
                <w:sz w:val="17"/>
                <w:szCs w:val="17"/>
                <w:lang w:val="en-US" w:eastAsia="zh-TW"/>
              </w:rPr>
              <w:t>——</w:t>
            </w:r>
            <w:proofErr w:type="gramEnd"/>
            <w:r w:rsidRPr="006854AC">
              <w:rPr>
                <w:rFonts w:eastAsia="新細明體" w:cs="Segoe UI"/>
                <w:i/>
                <w:sz w:val="17"/>
                <w:szCs w:val="17"/>
                <w:lang w:eastAsia="zh-TW"/>
              </w:rPr>
              <w:t>風險加權數額</w:t>
            </w:r>
            <w:r w:rsidRPr="006854AC">
              <w:rPr>
                <w:rFonts w:eastAsia="新細明體" w:cs="Segoe UI"/>
                <w:sz w:val="17"/>
                <w:szCs w:val="17"/>
                <w:lang w:eastAsia="zh-TW"/>
              </w:rPr>
              <w:t>：</w:t>
            </w:r>
            <w:r w:rsidR="00E13738" w:rsidRPr="006854AC">
              <w:rPr>
                <w:rFonts w:eastAsia="新細明體" w:cs="Segoe UI"/>
                <w:sz w:val="17"/>
                <w:szCs w:val="17"/>
                <w:lang w:eastAsia="zh-HK"/>
              </w:rPr>
              <w:t>就認可機構的加密資產風險承擔，根</w:t>
            </w:r>
            <w:r w:rsidR="00E13738" w:rsidRPr="006854AC">
              <w:rPr>
                <w:rFonts w:eastAsia="新細明體" w:cs="Segoe UI"/>
                <w:sz w:val="17"/>
                <w:szCs w:val="17"/>
                <w:lang w:eastAsia="zh-TW"/>
              </w:rPr>
              <w:t>據</w:t>
            </w:r>
            <w:r w:rsidRPr="006854AC">
              <w:rPr>
                <w:rFonts w:eastAsia="新細明體" w:cs="Segoe UI"/>
                <w:sz w:val="17"/>
                <w:szCs w:val="17"/>
                <w:lang w:eastAsia="zh-TW"/>
              </w:rPr>
              <w:t>《</w:t>
            </w:r>
            <w:r w:rsidRPr="006854AC">
              <w:rPr>
                <w:rFonts w:eastAsia="新細明體" w:cs="Segoe UI"/>
                <w:sz w:val="17"/>
                <w:szCs w:val="17"/>
                <w:lang w:eastAsia="zh-HK"/>
              </w:rPr>
              <w:t>資本規則</w:t>
            </w:r>
            <w:r w:rsidRPr="006854AC">
              <w:rPr>
                <w:rFonts w:eastAsia="新細明體" w:cs="Segoe UI"/>
                <w:sz w:val="17"/>
                <w:szCs w:val="17"/>
                <w:lang w:eastAsia="zh-TW"/>
              </w:rPr>
              <w:t>》</w:t>
            </w:r>
            <w:r w:rsidRPr="006854AC">
              <w:rPr>
                <w:rFonts w:eastAsia="新細明體" w:cs="Segoe UI"/>
                <w:sz w:val="17"/>
                <w:szCs w:val="17"/>
                <w:lang w:eastAsia="zh-HK"/>
              </w:rPr>
              <w:t>計算的信用風險的風險加權數額</w:t>
            </w:r>
            <w:r w:rsidRPr="006854AC">
              <w:rPr>
                <w:rFonts w:eastAsia="新細明體" w:cs="Segoe UI"/>
                <w:sz w:val="17"/>
                <w:szCs w:val="17"/>
                <w:lang w:eastAsia="zh-TW"/>
              </w:rPr>
              <w:t>。</w:t>
            </w:r>
            <w:r w:rsidRPr="006854AC">
              <w:rPr>
                <w:rFonts w:eastAsia="新細明體" w:cs="Segoe UI"/>
                <w:sz w:val="17"/>
                <w:szCs w:val="17"/>
                <w:lang w:val="en-US" w:eastAsia="zh-HK"/>
              </w:rPr>
              <w:t>就</w:t>
            </w:r>
            <w:r w:rsidRPr="006854AC">
              <w:rPr>
                <w:rFonts w:eastAsia="新細明體" w:cs="Segoe UI"/>
                <w:sz w:val="17"/>
                <w:szCs w:val="17"/>
                <w:lang w:eastAsia="zh-HK"/>
              </w:rPr>
              <w:t>第</w:t>
            </w:r>
            <w:r w:rsidRPr="006854AC">
              <w:rPr>
                <w:rFonts w:eastAsiaTheme="minorEastAsia" w:cs="Segoe UI"/>
                <w:sz w:val="17"/>
                <w:szCs w:val="17"/>
                <w:lang w:eastAsia="zh-HK"/>
              </w:rPr>
              <w:t>2a</w:t>
            </w:r>
            <w:r w:rsidRPr="006854AC">
              <w:rPr>
                <w:rFonts w:eastAsia="新細明體" w:cs="Segoe UI"/>
                <w:sz w:val="17"/>
                <w:szCs w:val="17"/>
                <w:lang w:eastAsia="zh-HK"/>
              </w:rPr>
              <w:t>組加密資產而言，在本欄填報的總風險加權數額應僅反映</w:t>
            </w:r>
            <w:r w:rsidR="00E13738" w:rsidRPr="006854AC">
              <w:rPr>
                <w:rFonts w:eastAsia="新細明體" w:cs="Segoe UI"/>
                <w:sz w:val="17"/>
                <w:szCs w:val="17"/>
                <w:lang w:eastAsia="zh-HK"/>
              </w:rPr>
              <w:t>根</w:t>
            </w:r>
            <w:r w:rsidR="00E13738" w:rsidRPr="006854AC">
              <w:rPr>
                <w:rFonts w:eastAsia="新細明體" w:cs="Segoe UI"/>
                <w:sz w:val="17"/>
                <w:szCs w:val="17"/>
                <w:lang w:eastAsia="zh-TW"/>
              </w:rPr>
              <w:t>據</w:t>
            </w:r>
            <w:r w:rsidRPr="006854AC">
              <w:rPr>
                <w:rFonts w:eastAsia="新細明體" w:cs="Segoe UI"/>
                <w:sz w:val="17"/>
                <w:szCs w:val="17"/>
                <w:lang w:eastAsia="zh-HK"/>
              </w:rPr>
              <w:t>《資本規則》第</w:t>
            </w:r>
            <w:r w:rsidRPr="006854AC">
              <w:rPr>
                <w:rFonts w:eastAsia="新細明體" w:cs="Segoe UI"/>
                <w:sz w:val="17"/>
                <w:szCs w:val="17"/>
                <w:lang w:eastAsia="zh-HK"/>
              </w:rPr>
              <w:t>384</w:t>
            </w:r>
            <w:r w:rsidRPr="006854AC">
              <w:rPr>
                <w:rFonts w:eastAsia="新細明體" w:cs="Segoe UI"/>
                <w:sz w:val="17"/>
                <w:szCs w:val="17"/>
                <w:lang w:eastAsia="zh-HK"/>
              </w:rPr>
              <w:t>條</w:t>
            </w:r>
            <w:r w:rsidR="00E13738" w:rsidRPr="006854AC">
              <w:rPr>
                <w:rFonts w:eastAsia="新細明體" w:cs="Segoe UI"/>
                <w:sz w:val="17"/>
                <w:szCs w:val="17"/>
                <w:lang w:eastAsia="zh-HK"/>
              </w:rPr>
              <w:t>計算</w:t>
            </w:r>
            <w:r w:rsidR="004C6F00" w:rsidRPr="006854AC">
              <w:rPr>
                <w:rFonts w:eastAsia="新細明體" w:cs="Segoe UI"/>
                <w:sz w:val="17"/>
                <w:szCs w:val="17"/>
                <w:lang w:eastAsia="zh-HK"/>
              </w:rPr>
              <w:t>的、</w:t>
            </w:r>
            <w:r w:rsidRPr="006854AC">
              <w:rPr>
                <w:rFonts w:eastAsia="新細明體" w:cs="Segoe UI"/>
                <w:sz w:val="17"/>
                <w:szCs w:val="17"/>
                <w:lang w:eastAsia="zh-HK"/>
              </w:rPr>
              <w:t>就認可機構的第</w:t>
            </w:r>
            <w:r w:rsidRPr="006854AC">
              <w:rPr>
                <w:rFonts w:eastAsiaTheme="minorEastAsia" w:cs="Segoe UI"/>
                <w:sz w:val="17"/>
                <w:szCs w:val="17"/>
                <w:lang w:eastAsia="zh-HK"/>
              </w:rPr>
              <w:t>2a</w:t>
            </w:r>
            <w:r w:rsidRPr="006854AC">
              <w:rPr>
                <w:rFonts w:eastAsia="新細明體" w:cs="Segoe UI"/>
                <w:sz w:val="17"/>
                <w:szCs w:val="17"/>
                <w:lang w:eastAsia="zh-HK"/>
              </w:rPr>
              <w:t>組加密資產風險承擔的</w:t>
            </w:r>
            <w:r w:rsidR="00E13738" w:rsidRPr="006854AC">
              <w:rPr>
                <w:rFonts w:eastAsia="新細明體" w:cs="Segoe UI"/>
                <w:sz w:val="17"/>
                <w:szCs w:val="17"/>
                <w:lang w:eastAsia="zh-HK"/>
              </w:rPr>
              <w:t>、</w:t>
            </w:r>
            <w:r w:rsidRPr="006854AC">
              <w:rPr>
                <w:rFonts w:eastAsia="新細明體" w:cs="Segoe UI"/>
                <w:sz w:val="17"/>
                <w:szCs w:val="17"/>
                <w:lang w:eastAsia="zh-HK"/>
              </w:rPr>
              <w:t>有關贖回人違責的風險及中介人執行有關兌換職能時產生的風險所引起的信用風險的風險加權數額</w:t>
            </w:r>
            <w:r w:rsidR="0095512D" w:rsidRPr="006854AC">
              <w:rPr>
                <w:rFonts w:eastAsia="新細明體" w:cs="Segoe UI"/>
                <w:sz w:val="17"/>
                <w:szCs w:val="17"/>
                <w:lang w:eastAsia="zh-TW"/>
              </w:rPr>
              <w:t>。</w:t>
            </w:r>
            <w:r w:rsidR="0095512D" w:rsidRPr="006854AC">
              <w:rPr>
                <w:rFonts w:eastAsia="新細明體" w:cs="Segoe UI" w:hint="eastAsia"/>
                <w:sz w:val="17"/>
                <w:szCs w:val="17"/>
                <w:lang w:eastAsia="zh-HK"/>
              </w:rPr>
              <w:t>這亦</w:t>
            </w:r>
            <w:r w:rsidRPr="006854AC">
              <w:rPr>
                <w:rFonts w:eastAsia="新細明體" w:cs="Segoe UI"/>
                <w:sz w:val="17"/>
                <w:szCs w:val="17"/>
                <w:lang w:eastAsia="zh-HK"/>
              </w:rPr>
              <w:t>包括</w:t>
            </w:r>
            <w:r w:rsidR="0095512D" w:rsidRPr="006854AC">
              <w:rPr>
                <w:rFonts w:eastAsia="新細明體" w:cs="Segoe UI" w:hint="eastAsia"/>
                <w:sz w:val="17"/>
                <w:szCs w:val="17"/>
                <w:lang w:eastAsia="zh-HK"/>
              </w:rPr>
              <w:t>當</w:t>
            </w:r>
            <w:r w:rsidRPr="006854AC">
              <w:rPr>
                <w:rFonts w:eastAsia="新細明體" w:cs="Segoe UI"/>
                <w:sz w:val="17"/>
                <w:szCs w:val="17"/>
                <w:lang w:eastAsia="zh-HK"/>
              </w:rPr>
              <w:t>認可機構</w:t>
            </w:r>
            <w:r w:rsidR="00D840DB" w:rsidRPr="006854AC">
              <w:rPr>
                <w:rFonts w:eastAsia="新細明體" w:cs="Segoe UI" w:hint="eastAsia"/>
                <w:sz w:val="17"/>
                <w:szCs w:val="17"/>
                <w:lang w:eastAsia="zh-TW"/>
              </w:rPr>
              <w:t>屬</w:t>
            </w:r>
            <w:r w:rsidR="00D840DB" w:rsidRPr="006854AC">
              <w:rPr>
                <w:rFonts w:eastAsia="新細明體" w:cs="Segoe UI"/>
                <w:sz w:val="17"/>
                <w:szCs w:val="17"/>
                <w:lang w:eastAsia="zh-TW"/>
              </w:rPr>
              <w:t>某</w:t>
            </w:r>
            <w:r w:rsidR="0095512D" w:rsidRPr="006854AC">
              <w:rPr>
                <w:rFonts w:eastAsia="新細明體" w:cs="Segoe UI"/>
                <w:sz w:val="17"/>
                <w:szCs w:val="17"/>
                <w:lang w:eastAsia="zh-TW"/>
              </w:rPr>
              <w:t>加密資產安排的成員持有人，</w:t>
            </w:r>
            <w:r w:rsidR="0095512D" w:rsidRPr="006854AC">
              <w:rPr>
                <w:rFonts w:eastAsia="新細明體" w:cs="Segoe UI" w:hint="eastAsia"/>
                <w:sz w:val="17"/>
                <w:szCs w:val="17"/>
                <w:lang w:eastAsia="zh-TW"/>
              </w:rPr>
              <w:t>而</w:t>
            </w:r>
            <w:r w:rsidRPr="006854AC">
              <w:rPr>
                <w:rFonts w:eastAsia="新細明體" w:cs="Segoe UI"/>
                <w:sz w:val="17"/>
                <w:szCs w:val="17"/>
                <w:lang w:eastAsia="zh-HK"/>
              </w:rPr>
              <w:t>就其第</w:t>
            </w:r>
            <w:r w:rsidRPr="006854AC">
              <w:rPr>
                <w:rFonts w:eastAsiaTheme="minorEastAsia" w:cs="Segoe UI"/>
                <w:sz w:val="17"/>
                <w:szCs w:val="17"/>
                <w:lang w:eastAsia="zh-HK"/>
              </w:rPr>
              <w:t>2a</w:t>
            </w:r>
            <w:r w:rsidRPr="006854AC">
              <w:rPr>
                <w:rFonts w:eastAsia="新細明體" w:cs="Segoe UI"/>
                <w:sz w:val="17"/>
                <w:szCs w:val="17"/>
                <w:lang w:eastAsia="zh-HK"/>
              </w:rPr>
              <w:t>組加密資產風險承擔</w:t>
            </w:r>
            <w:r w:rsidR="007C69C8" w:rsidRPr="006854AC">
              <w:rPr>
                <w:rFonts w:eastAsia="新細明體" w:cs="Segoe UI" w:hint="eastAsia"/>
                <w:sz w:val="17"/>
                <w:szCs w:val="17"/>
                <w:lang w:eastAsia="zh-HK"/>
              </w:rPr>
              <w:t>所</w:t>
            </w:r>
            <w:r w:rsidRPr="006854AC">
              <w:rPr>
                <w:rFonts w:eastAsia="新細明體" w:cs="Segoe UI"/>
                <w:sz w:val="17"/>
                <w:szCs w:val="17"/>
                <w:lang w:eastAsia="zh-HK"/>
              </w:rPr>
              <w:t>產生的信用風險的風險加權數額</w:t>
            </w:r>
            <w:r w:rsidR="007C69C8" w:rsidRPr="006854AC">
              <w:rPr>
                <w:rFonts w:eastAsia="新細明體" w:cs="Segoe UI"/>
                <w:sz w:val="17"/>
                <w:szCs w:val="17"/>
                <w:lang w:eastAsia="zh-TW"/>
              </w:rPr>
              <w:t>。</w:t>
            </w:r>
            <w:r w:rsidR="007C69C8" w:rsidRPr="006854AC">
              <w:rPr>
                <w:rFonts w:eastAsia="新細明體" w:cs="Segoe UI" w:hint="eastAsia"/>
                <w:sz w:val="17"/>
                <w:szCs w:val="17"/>
                <w:lang w:eastAsia="zh-TW"/>
              </w:rPr>
              <w:t>該計算方</w:t>
            </w:r>
            <w:r w:rsidR="007C69C8" w:rsidRPr="006854AC">
              <w:rPr>
                <w:rFonts w:eastAsia="新細明體" w:cs="Segoe UI" w:hint="eastAsia"/>
                <w:sz w:val="17"/>
                <w:szCs w:val="17"/>
                <w:lang w:eastAsia="zh-HK"/>
              </w:rPr>
              <w:t>法應</w:t>
            </w:r>
            <w:r w:rsidRPr="006854AC">
              <w:rPr>
                <w:rFonts w:eastAsia="新細明體" w:cs="Segoe UI"/>
                <w:sz w:val="17"/>
                <w:szCs w:val="17"/>
                <w:lang w:eastAsia="zh-HK"/>
              </w:rPr>
              <w:t>與</w:t>
            </w:r>
            <w:r w:rsidR="003A1459" w:rsidRPr="006854AC">
              <w:rPr>
                <w:rFonts w:eastAsia="新細明體" w:cs="Segoe UI"/>
                <w:sz w:val="17"/>
                <w:szCs w:val="17"/>
                <w:lang w:eastAsia="zh-HK"/>
              </w:rPr>
              <w:t>根</w:t>
            </w:r>
            <w:r w:rsidR="003A1459" w:rsidRPr="006854AC">
              <w:rPr>
                <w:rFonts w:eastAsia="新細明體" w:cs="Segoe UI"/>
                <w:sz w:val="17"/>
                <w:szCs w:val="17"/>
                <w:lang w:eastAsia="zh-TW"/>
              </w:rPr>
              <w:t>據</w:t>
            </w:r>
            <w:r w:rsidRPr="006854AC">
              <w:rPr>
                <w:rFonts w:eastAsia="新細明體" w:cs="Segoe UI"/>
                <w:sz w:val="17"/>
                <w:szCs w:val="17"/>
                <w:lang w:eastAsia="zh-HK"/>
              </w:rPr>
              <w:t>《資本規則》第</w:t>
            </w:r>
            <w:r w:rsidRPr="006854AC">
              <w:rPr>
                <w:rFonts w:eastAsiaTheme="minorEastAsia" w:cs="Segoe UI"/>
                <w:sz w:val="17"/>
                <w:szCs w:val="17"/>
                <w:lang w:eastAsia="zh-HK"/>
              </w:rPr>
              <w:t>3</w:t>
            </w:r>
            <w:r w:rsidRPr="006854AC">
              <w:rPr>
                <w:rFonts w:eastAsiaTheme="minorEastAsia" w:cs="Segoe UI"/>
                <w:sz w:val="17"/>
                <w:szCs w:val="17"/>
                <w:lang w:eastAsia="zh-TW"/>
              </w:rPr>
              <w:t>6</w:t>
            </w:r>
            <w:r w:rsidRPr="006854AC">
              <w:rPr>
                <w:rFonts w:eastAsiaTheme="minorEastAsia" w:cs="Segoe UI"/>
                <w:sz w:val="17"/>
                <w:szCs w:val="17"/>
                <w:lang w:eastAsia="zh-HK"/>
              </w:rPr>
              <w:t>8</w:t>
            </w:r>
            <w:r w:rsidRPr="006854AC">
              <w:rPr>
                <w:rFonts w:eastAsia="新細明體" w:cs="Segoe UI"/>
                <w:sz w:val="17"/>
                <w:szCs w:val="17"/>
                <w:lang w:eastAsia="zh-HK"/>
              </w:rPr>
              <w:t>條</w:t>
            </w:r>
            <w:r w:rsidR="003A1459" w:rsidRPr="006854AC">
              <w:rPr>
                <w:rFonts w:eastAsia="新細明體" w:cs="Segoe UI"/>
                <w:sz w:val="17"/>
                <w:szCs w:val="17"/>
                <w:lang w:eastAsia="zh-HK"/>
              </w:rPr>
              <w:t>計算</w:t>
            </w:r>
            <w:r w:rsidRPr="006854AC">
              <w:rPr>
                <w:rFonts w:eastAsia="新細明體" w:cs="Segoe UI"/>
                <w:sz w:val="17"/>
                <w:szCs w:val="17"/>
                <w:lang w:eastAsia="zh-HK"/>
              </w:rPr>
              <w:t>第</w:t>
            </w:r>
            <w:r w:rsidRPr="006854AC">
              <w:rPr>
                <w:rFonts w:eastAsiaTheme="minorEastAsia" w:cs="Segoe UI"/>
                <w:sz w:val="17"/>
                <w:szCs w:val="17"/>
                <w:lang w:eastAsia="zh-HK"/>
              </w:rPr>
              <w:t>1b</w:t>
            </w:r>
            <w:r w:rsidRPr="006854AC">
              <w:rPr>
                <w:rFonts w:eastAsia="新細明體" w:cs="Segoe UI"/>
                <w:sz w:val="17"/>
                <w:szCs w:val="17"/>
                <w:lang w:eastAsia="zh-HK"/>
              </w:rPr>
              <w:t>組加密資產風險承擔的信用風險的</w:t>
            </w:r>
            <w:r w:rsidR="003A1459" w:rsidRPr="006854AC">
              <w:rPr>
                <w:rFonts w:eastAsia="新細明體" w:cs="Segoe UI"/>
                <w:sz w:val="17"/>
                <w:szCs w:val="17"/>
                <w:lang w:eastAsia="zh-HK"/>
              </w:rPr>
              <w:t>方</w:t>
            </w:r>
            <w:r w:rsidR="003A1459" w:rsidRPr="006854AC">
              <w:rPr>
                <w:rFonts w:eastAsia="新細明體" w:cs="Segoe UI"/>
                <w:sz w:val="17"/>
                <w:szCs w:val="17"/>
                <w:lang w:eastAsia="zh-TW"/>
              </w:rPr>
              <w:t>式</w:t>
            </w:r>
            <w:r w:rsidRPr="006854AC">
              <w:rPr>
                <w:rFonts w:eastAsia="新細明體" w:cs="Segoe UI"/>
                <w:sz w:val="17"/>
                <w:szCs w:val="17"/>
                <w:lang w:eastAsia="zh-HK"/>
              </w:rPr>
              <w:t>相同</w:t>
            </w:r>
            <w:r w:rsidRPr="006854AC">
              <w:rPr>
                <w:rFonts w:eastAsia="新細明體" w:cs="Segoe UI"/>
                <w:sz w:val="17"/>
                <w:szCs w:val="17"/>
                <w:lang w:eastAsia="zh-TW"/>
              </w:rPr>
              <w:t>。</w:t>
            </w:r>
            <w:r w:rsidRPr="006854AC">
              <w:rPr>
                <w:rFonts w:eastAsia="新細明體" w:cs="Segoe UI"/>
                <w:sz w:val="17"/>
                <w:szCs w:val="17"/>
                <w:lang w:eastAsia="zh-HK"/>
              </w:rPr>
              <w:t>就第</w:t>
            </w:r>
            <w:r w:rsidRPr="006854AC">
              <w:rPr>
                <w:rFonts w:eastAsiaTheme="minorEastAsia" w:cs="Segoe UI"/>
                <w:sz w:val="17"/>
                <w:szCs w:val="17"/>
                <w:lang w:eastAsia="zh-HK"/>
              </w:rPr>
              <w:t>2b</w:t>
            </w:r>
            <w:r w:rsidRPr="006854AC">
              <w:rPr>
                <w:rFonts w:eastAsia="新細明體" w:cs="Segoe UI"/>
                <w:sz w:val="17"/>
                <w:szCs w:val="17"/>
                <w:lang w:eastAsia="zh-HK"/>
              </w:rPr>
              <w:t>組加密資產而言，由於《資本規則》第</w:t>
            </w:r>
            <w:r w:rsidRPr="006854AC">
              <w:rPr>
                <w:rFonts w:eastAsiaTheme="minorEastAsia" w:cs="Segoe UI"/>
                <w:sz w:val="17"/>
                <w:szCs w:val="17"/>
                <w:lang w:eastAsia="zh-TW"/>
              </w:rPr>
              <w:t>12</w:t>
            </w:r>
            <w:r w:rsidRPr="006854AC">
              <w:rPr>
                <w:rFonts w:eastAsia="新細明體" w:cs="Segoe UI"/>
                <w:sz w:val="17"/>
                <w:szCs w:val="17"/>
                <w:lang w:eastAsia="zh-HK"/>
              </w:rPr>
              <w:t>部</w:t>
            </w:r>
            <w:r w:rsidR="00A51C6A" w:rsidRPr="006854AC">
              <w:rPr>
                <w:rFonts w:eastAsia="新細明體" w:cs="Segoe UI"/>
                <w:sz w:val="17"/>
                <w:szCs w:val="17"/>
                <w:lang w:eastAsia="zh-HK"/>
              </w:rPr>
              <w:t>並沒有就</w:t>
            </w:r>
            <w:r w:rsidRPr="006854AC">
              <w:rPr>
                <w:rFonts w:eastAsia="新細明體" w:cs="Segoe UI"/>
                <w:sz w:val="17"/>
                <w:szCs w:val="17"/>
                <w:lang w:eastAsia="zh-HK"/>
              </w:rPr>
              <w:t>交易帳及銀行帳</w:t>
            </w:r>
            <w:r w:rsidR="00595114" w:rsidRPr="006854AC">
              <w:rPr>
                <w:rFonts w:eastAsia="新細明體" w:cs="Segoe UI" w:hint="eastAsia"/>
                <w:sz w:val="17"/>
                <w:szCs w:val="17"/>
                <w:lang w:eastAsia="zh-HK"/>
              </w:rPr>
              <w:t>作</w:t>
            </w:r>
            <w:r w:rsidR="007C69C8" w:rsidRPr="006854AC">
              <w:rPr>
                <w:rFonts w:eastAsia="新細明體" w:cs="Segoe UI" w:hint="eastAsia"/>
                <w:sz w:val="17"/>
                <w:szCs w:val="17"/>
                <w:lang w:eastAsia="zh-HK"/>
              </w:rPr>
              <w:t>獨立</w:t>
            </w:r>
            <w:r w:rsidRPr="006854AC">
              <w:rPr>
                <w:rFonts w:eastAsia="新細明體" w:cs="Segoe UI"/>
                <w:sz w:val="17"/>
                <w:szCs w:val="17"/>
                <w:lang w:eastAsia="zh-HK"/>
              </w:rPr>
              <w:t>處理</w:t>
            </w:r>
            <w:r w:rsidRPr="006854AC">
              <w:rPr>
                <w:rFonts w:eastAsia="新細明體" w:cs="Segoe UI"/>
                <w:sz w:val="17"/>
                <w:szCs w:val="17"/>
                <w:lang w:eastAsia="zh-TW"/>
              </w:rPr>
              <w:t>，</w:t>
            </w:r>
            <w:r w:rsidRPr="006854AC">
              <w:rPr>
                <w:rFonts w:eastAsia="新細明體" w:cs="Segoe UI"/>
                <w:sz w:val="17"/>
                <w:szCs w:val="17"/>
                <w:lang w:eastAsia="zh-HK"/>
              </w:rPr>
              <w:t>認可機構</w:t>
            </w:r>
            <w:r w:rsidR="007C69C8" w:rsidRPr="006854AC">
              <w:rPr>
                <w:rFonts w:eastAsia="新細明體" w:cs="Segoe UI" w:hint="eastAsia"/>
                <w:sz w:val="17"/>
                <w:szCs w:val="17"/>
                <w:lang w:eastAsia="zh-HK"/>
              </w:rPr>
              <w:t>須</w:t>
            </w:r>
            <w:r w:rsidRPr="006854AC">
              <w:rPr>
                <w:rFonts w:eastAsia="新細明體" w:cs="Segoe UI"/>
                <w:sz w:val="17"/>
                <w:szCs w:val="17"/>
                <w:lang w:eastAsia="zh-HK"/>
              </w:rPr>
              <w:t>在本方格內填報</w:t>
            </w:r>
            <w:r w:rsidR="00C337A8" w:rsidRPr="006854AC">
              <w:rPr>
                <w:rFonts w:eastAsia="新細明體" w:cs="Segoe UI"/>
                <w:sz w:val="17"/>
                <w:szCs w:val="17"/>
                <w:lang w:eastAsia="zh-HK"/>
              </w:rPr>
              <w:t>根</w:t>
            </w:r>
            <w:r w:rsidR="00C337A8" w:rsidRPr="006854AC">
              <w:rPr>
                <w:rFonts w:eastAsia="新細明體" w:cs="Segoe UI"/>
                <w:sz w:val="17"/>
                <w:szCs w:val="17"/>
                <w:lang w:eastAsia="zh-TW"/>
              </w:rPr>
              <w:t>據</w:t>
            </w:r>
            <w:r w:rsidRPr="006854AC">
              <w:rPr>
                <w:rFonts w:eastAsia="新細明體" w:cs="Segoe UI"/>
                <w:sz w:val="17"/>
                <w:szCs w:val="17"/>
                <w:lang w:eastAsia="zh-HK"/>
              </w:rPr>
              <w:t>《資本規則》第</w:t>
            </w:r>
            <w:r w:rsidRPr="006854AC">
              <w:rPr>
                <w:rFonts w:eastAsia="新細明體" w:cs="Segoe UI"/>
                <w:sz w:val="17"/>
                <w:szCs w:val="17"/>
                <w:lang w:eastAsia="zh-HK"/>
              </w:rPr>
              <w:t>38</w:t>
            </w:r>
            <w:r w:rsidRPr="006854AC">
              <w:rPr>
                <w:rFonts w:eastAsia="新細明體" w:cs="Segoe UI"/>
                <w:sz w:val="17"/>
                <w:szCs w:val="17"/>
                <w:lang w:eastAsia="zh-TW"/>
              </w:rPr>
              <w:t>5</w:t>
            </w:r>
            <w:r w:rsidRPr="006854AC">
              <w:rPr>
                <w:rFonts w:eastAsia="新細明體" w:cs="Segoe UI"/>
                <w:sz w:val="17"/>
                <w:szCs w:val="17"/>
                <w:lang w:eastAsia="zh-HK"/>
              </w:rPr>
              <w:t>條計算的信用風險的總風險加權數額</w:t>
            </w:r>
            <w:r w:rsidRPr="006854AC">
              <w:rPr>
                <w:rFonts w:eastAsia="新細明體" w:cs="Segoe UI"/>
                <w:sz w:val="17"/>
                <w:szCs w:val="17"/>
                <w:lang w:eastAsia="zh-TW"/>
              </w:rPr>
              <w:t>。</w:t>
            </w:r>
            <w:r w:rsidRPr="006854AC">
              <w:rPr>
                <w:rFonts w:eastAsia="新細明體" w:cs="Segoe UI"/>
                <w:sz w:val="17"/>
                <w:szCs w:val="17"/>
                <w:lang w:eastAsia="zh-HK"/>
              </w:rPr>
              <w:t>《資本規則》第</w:t>
            </w:r>
            <w:r w:rsidRPr="006854AC">
              <w:rPr>
                <w:rFonts w:eastAsiaTheme="minorEastAsia" w:cs="Segoe UI"/>
                <w:sz w:val="17"/>
                <w:szCs w:val="17"/>
                <w:lang w:eastAsia="zh-HK"/>
              </w:rPr>
              <w:t>385</w:t>
            </w:r>
            <w:r w:rsidRPr="006854AC">
              <w:rPr>
                <w:rFonts w:eastAsia="新細明體" w:cs="Segoe UI"/>
                <w:sz w:val="17"/>
                <w:szCs w:val="17"/>
                <w:lang w:eastAsia="zh-HK"/>
              </w:rPr>
              <w:t>條下的處理方法</w:t>
            </w:r>
            <w:r w:rsidR="007C69C8" w:rsidRPr="006854AC">
              <w:rPr>
                <w:rFonts w:eastAsia="新細明體" w:cs="Segoe UI" w:hint="eastAsia"/>
                <w:sz w:val="17"/>
                <w:szCs w:val="17"/>
                <w:lang w:eastAsia="zh-HK"/>
              </w:rPr>
              <w:t>旨在</w:t>
            </w:r>
            <w:r w:rsidRPr="006854AC">
              <w:rPr>
                <w:rFonts w:eastAsia="新細明體" w:cs="Segoe UI"/>
                <w:sz w:val="17"/>
                <w:szCs w:val="17"/>
                <w:lang w:eastAsia="zh-HK"/>
              </w:rPr>
              <w:t>同時涵蓋信用</w:t>
            </w:r>
            <w:r w:rsidR="005B17F6" w:rsidRPr="006854AC">
              <w:rPr>
                <w:rFonts w:eastAsia="新細明體" w:cs="Segoe UI"/>
                <w:sz w:val="17"/>
                <w:szCs w:val="17"/>
                <w:lang w:eastAsia="zh-HK"/>
              </w:rPr>
              <w:t>風險</w:t>
            </w:r>
            <w:r w:rsidR="00ED7E93" w:rsidRPr="006854AC">
              <w:rPr>
                <w:rFonts w:eastAsia="新細明體" w:cs="Segoe UI"/>
                <w:sz w:val="17"/>
                <w:szCs w:val="17"/>
                <w:lang w:eastAsia="zh-HK"/>
              </w:rPr>
              <w:t>、</w:t>
            </w:r>
            <w:r w:rsidRPr="006854AC">
              <w:rPr>
                <w:rFonts w:eastAsia="新細明體" w:cs="Segoe UI"/>
                <w:sz w:val="17"/>
                <w:szCs w:val="17"/>
                <w:lang w:eastAsia="zh-HK"/>
              </w:rPr>
              <w:t>市場風險</w:t>
            </w:r>
            <w:r w:rsidR="00ED7E93" w:rsidRPr="006854AC">
              <w:rPr>
                <w:rFonts w:eastAsia="新細明體" w:cs="Segoe UI"/>
                <w:sz w:val="17"/>
                <w:szCs w:val="17"/>
                <w:lang w:eastAsia="zh-HK"/>
              </w:rPr>
              <w:t>及</w:t>
            </w:r>
            <w:r w:rsidRPr="006854AC">
              <w:rPr>
                <w:rFonts w:eastAsiaTheme="minorEastAsia" w:cs="Segoe UI"/>
                <w:sz w:val="17"/>
                <w:szCs w:val="17"/>
                <w:lang w:eastAsia="zh-TW"/>
              </w:rPr>
              <w:t>CVA</w:t>
            </w:r>
            <w:r w:rsidRPr="006854AC">
              <w:rPr>
                <w:rFonts w:eastAsia="新細明體" w:cs="Segoe UI"/>
                <w:sz w:val="17"/>
                <w:szCs w:val="17"/>
                <w:lang w:eastAsia="zh-HK"/>
              </w:rPr>
              <w:t>風險。為保持一致</w:t>
            </w:r>
            <w:r w:rsidRPr="006854AC">
              <w:rPr>
                <w:rFonts w:eastAsia="新細明體" w:cs="Segoe UI"/>
                <w:sz w:val="17"/>
                <w:szCs w:val="17"/>
                <w:lang w:eastAsia="zh-TW"/>
              </w:rPr>
              <w:t>，</w:t>
            </w:r>
            <w:r w:rsidR="008B4574" w:rsidRPr="006854AC">
              <w:rPr>
                <w:rFonts w:eastAsia="新細明體" w:cs="Segoe UI"/>
                <w:sz w:val="17"/>
                <w:szCs w:val="17"/>
                <w:lang w:val="en-US" w:eastAsia="zh-HK"/>
              </w:rPr>
              <w:t>根</w:t>
            </w:r>
            <w:r w:rsidR="008B4574" w:rsidRPr="006854AC">
              <w:rPr>
                <w:rFonts w:eastAsia="新細明體" w:cs="Segoe UI"/>
                <w:sz w:val="17"/>
                <w:szCs w:val="17"/>
                <w:lang w:val="en-US" w:eastAsia="zh-TW"/>
              </w:rPr>
              <w:t>據</w:t>
            </w:r>
            <w:r w:rsidRPr="006854AC">
              <w:rPr>
                <w:rFonts w:eastAsia="新細明體" w:cs="Segoe UI"/>
                <w:sz w:val="17"/>
                <w:szCs w:val="17"/>
                <w:lang w:eastAsia="zh-HK"/>
              </w:rPr>
              <w:t>《資本規則》第</w:t>
            </w:r>
            <w:r w:rsidRPr="006854AC">
              <w:rPr>
                <w:rFonts w:eastAsiaTheme="minorEastAsia" w:cs="Segoe UI"/>
                <w:sz w:val="17"/>
                <w:szCs w:val="17"/>
                <w:lang w:eastAsia="zh-HK"/>
              </w:rPr>
              <w:t>385</w:t>
            </w:r>
            <w:r w:rsidRPr="006854AC">
              <w:rPr>
                <w:rFonts w:eastAsia="新細明體" w:cs="Segoe UI"/>
                <w:sz w:val="17"/>
                <w:szCs w:val="17"/>
                <w:lang w:eastAsia="zh-HK"/>
              </w:rPr>
              <w:t>條計算的風險加權數額</w:t>
            </w:r>
            <w:r w:rsidR="006A4E62" w:rsidRPr="006854AC">
              <w:rPr>
                <w:rFonts w:eastAsia="新細明體" w:cs="Segoe UI"/>
                <w:sz w:val="17"/>
                <w:szCs w:val="17"/>
                <w:lang w:eastAsia="zh-TW"/>
              </w:rPr>
              <w:t>，</w:t>
            </w:r>
            <w:r w:rsidRPr="006854AC">
              <w:rPr>
                <w:rFonts w:eastAsia="新細明體" w:cs="Segoe UI"/>
                <w:sz w:val="17"/>
                <w:szCs w:val="17"/>
                <w:lang w:eastAsia="zh-HK"/>
              </w:rPr>
              <w:t>必須全</w:t>
            </w:r>
            <w:r w:rsidR="006A4E62" w:rsidRPr="006854AC">
              <w:rPr>
                <w:rFonts w:eastAsia="新細明體" w:cs="Segoe UI" w:hint="eastAsia"/>
                <w:sz w:val="17"/>
                <w:szCs w:val="17"/>
                <w:lang w:eastAsia="zh-HK"/>
              </w:rPr>
              <w:t>數</w:t>
            </w:r>
            <w:r w:rsidRPr="006854AC">
              <w:rPr>
                <w:rFonts w:eastAsia="新細明體" w:cs="Segoe UI"/>
                <w:sz w:val="17"/>
                <w:szCs w:val="17"/>
                <w:lang w:eastAsia="zh-HK"/>
              </w:rPr>
              <w:t>作為認可機構信用風險的風險加權數額一部分填報</w:t>
            </w:r>
            <w:r w:rsidRPr="006854AC">
              <w:rPr>
                <w:rFonts w:eastAsia="新細明體" w:cs="Segoe UI"/>
                <w:sz w:val="17"/>
                <w:szCs w:val="17"/>
                <w:lang w:eastAsia="zh-TW"/>
              </w:rPr>
              <w:t>。</w:t>
            </w:r>
            <w:r w:rsidRPr="006854AC">
              <w:rPr>
                <w:rFonts w:eastAsia="新細明體" w:cs="Segoe UI"/>
                <w:sz w:val="17"/>
                <w:szCs w:val="17"/>
                <w:lang w:eastAsia="zh-HK"/>
              </w:rPr>
              <w:t>然而</w:t>
            </w:r>
            <w:r w:rsidRPr="006854AC">
              <w:rPr>
                <w:rFonts w:eastAsia="新細明體" w:cs="Segoe UI"/>
                <w:sz w:val="17"/>
                <w:szCs w:val="17"/>
                <w:lang w:eastAsia="zh-TW"/>
              </w:rPr>
              <w:t>，</w:t>
            </w:r>
            <w:r w:rsidRPr="006854AC">
              <w:rPr>
                <w:rFonts w:eastAsia="新細明體" w:cs="Segoe UI"/>
                <w:sz w:val="17"/>
                <w:szCs w:val="17"/>
                <w:lang w:eastAsia="zh-HK"/>
              </w:rPr>
              <w:t>就第</w:t>
            </w:r>
            <w:r w:rsidRPr="006854AC">
              <w:rPr>
                <w:rFonts w:eastAsiaTheme="minorEastAsia" w:cs="Segoe UI"/>
                <w:sz w:val="17"/>
                <w:szCs w:val="17"/>
                <w:lang w:eastAsia="zh-HK"/>
              </w:rPr>
              <w:t>2b</w:t>
            </w:r>
            <w:r w:rsidRPr="006854AC">
              <w:rPr>
                <w:rFonts w:eastAsia="新細明體" w:cs="Segoe UI"/>
                <w:sz w:val="17"/>
                <w:szCs w:val="17"/>
                <w:lang w:eastAsia="zh-HK"/>
              </w:rPr>
              <w:t>組加密資產風險承擔而言，認可機構應分別在</w:t>
            </w:r>
            <w:r w:rsidRPr="006854AC">
              <w:rPr>
                <w:rFonts w:eastAsiaTheme="minorEastAsia" w:cs="Segoe UI"/>
                <w:sz w:val="17"/>
                <w:szCs w:val="17"/>
                <w:lang w:eastAsia="zh-TW"/>
              </w:rPr>
              <w:t>(d)</w:t>
            </w:r>
            <w:r w:rsidRPr="006854AC">
              <w:rPr>
                <w:rFonts w:eastAsia="新細明體" w:cs="Segoe UI"/>
                <w:sz w:val="17"/>
                <w:szCs w:val="17"/>
                <w:lang w:eastAsia="zh-HK"/>
              </w:rPr>
              <w:t>及</w:t>
            </w:r>
            <w:r w:rsidRPr="006854AC">
              <w:rPr>
                <w:rFonts w:eastAsiaTheme="minorEastAsia" w:cs="Segoe UI"/>
                <w:sz w:val="17"/>
                <w:szCs w:val="17"/>
                <w:lang w:eastAsia="zh-TW"/>
              </w:rPr>
              <w:t>(e)</w:t>
            </w:r>
            <w:r w:rsidRPr="006854AC">
              <w:rPr>
                <w:rFonts w:eastAsia="新細明體" w:cs="Segoe UI"/>
                <w:sz w:val="17"/>
                <w:szCs w:val="17"/>
                <w:lang w:eastAsia="zh-HK"/>
              </w:rPr>
              <w:t>欄填報總長倉及總短倉的合計市值</w:t>
            </w:r>
            <w:r w:rsidRPr="006854AC">
              <w:rPr>
                <w:rFonts w:eastAsia="新細明體" w:cs="Segoe UI"/>
                <w:sz w:val="17"/>
                <w:szCs w:val="17"/>
                <w:lang w:eastAsia="zh-TW"/>
              </w:rPr>
              <w:t>。</w:t>
            </w:r>
            <w:r w:rsidR="00C5298A" w:rsidRPr="006854AC">
              <w:rPr>
                <w:rFonts w:eastAsia="新細明體" w:cs="Segoe UI"/>
                <w:sz w:val="17"/>
                <w:szCs w:val="17"/>
                <w:lang w:eastAsia="zh-HK"/>
              </w:rPr>
              <w:t>理由</w:t>
            </w:r>
            <w:r w:rsidRPr="006854AC">
              <w:rPr>
                <w:rFonts w:eastAsia="新細明體" w:cs="Segoe UI"/>
                <w:sz w:val="17"/>
                <w:szCs w:val="17"/>
                <w:lang w:eastAsia="zh-HK"/>
              </w:rPr>
              <w:t>是為計算風險加權數額</w:t>
            </w:r>
            <w:r w:rsidRPr="006854AC">
              <w:rPr>
                <w:rFonts w:eastAsia="新細明體" w:cs="Segoe UI"/>
                <w:sz w:val="17"/>
                <w:szCs w:val="17"/>
                <w:lang w:eastAsia="zh-TW"/>
              </w:rPr>
              <w:t>，</w:t>
            </w:r>
            <w:r w:rsidRPr="006854AC">
              <w:rPr>
                <w:rFonts w:eastAsia="新細明體" w:cs="Segoe UI"/>
                <w:sz w:val="17"/>
                <w:szCs w:val="17"/>
                <w:lang w:eastAsia="zh-HK"/>
              </w:rPr>
              <w:t>認可機構應就加密資產的合計長倉的絕對值及合計短倉的絕對值兩值中的較大者應用</w:t>
            </w:r>
            <w:r w:rsidRPr="006854AC">
              <w:rPr>
                <w:rFonts w:eastAsiaTheme="minorEastAsia" w:cs="Segoe UI"/>
                <w:sz w:val="17"/>
                <w:szCs w:val="17"/>
                <w:lang w:eastAsia="zh-HK"/>
              </w:rPr>
              <w:t>1,250%</w:t>
            </w:r>
            <w:r w:rsidRPr="006854AC">
              <w:rPr>
                <w:rFonts w:eastAsia="新細明體" w:cs="Segoe UI"/>
                <w:sz w:val="17"/>
                <w:szCs w:val="17"/>
                <w:lang w:eastAsia="zh-HK"/>
              </w:rPr>
              <w:t>的</w:t>
            </w:r>
            <w:r w:rsidRPr="006854AC">
              <w:rPr>
                <w:rFonts w:eastAsia="新細明體" w:cs="Segoe UI"/>
                <w:sz w:val="17"/>
                <w:szCs w:val="17"/>
                <w:lang w:eastAsia="zh-TW"/>
              </w:rPr>
              <w:t>風險權重。</w:t>
            </w:r>
          </w:p>
        </w:tc>
      </w:tr>
      <w:tr w:rsidR="006854AC" w:rsidRPr="006854AC" w14:paraId="0ABD1A13" w14:textId="77777777" w:rsidTr="00B51F08">
        <w:tc>
          <w:tcPr>
            <w:tcW w:w="846" w:type="dxa"/>
            <w:shd w:val="clear" w:color="auto" w:fill="auto"/>
          </w:tcPr>
          <w:p w14:paraId="6527C2E6" w14:textId="77777777" w:rsidR="00DA1457" w:rsidRPr="0065556D" w:rsidRDefault="00DA1457" w:rsidP="00B51F08">
            <w:pPr>
              <w:keepNext/>
              <w:keepLines/>
              <w:tabs>
                <w:tab w:val="left" w:pos="150"/>
                <w:tab w:val="left" w:pos="397"/>
                <w:tab w:val="left" w:pos="794"/>
                <w:tab w:val="left" w:pos="1191"/>
              </w:tabs>
              <w:spacing w:before="40" w:after="40"/>
              <w:rPr>
                <w:rFonts w:eastAsia="新細明體" w:cs="Segoe UI"/>
                <w:b/>
                <w:sz w:val="17"/>
                <w:lang w:eastAsia="en-GB"/>
              </w:rPr>
            </w:pPr>
            <w:r w:rsidRPr="0065556D">
              <w:rPr>
                <w:rFonts w:eastAsiaTheme="minorEastAsia" w:cs="Segoe UI"/>
                <w:sz w:val="17"/>
                <w:szCs w:val="17"/>
                <w:lang w:eastAsia="en-GB"/>
              </w:rPr>
              <w:t>(d)</w:t>
            </w:r>
          </w:p>
        </w:tc>
        <w:tc>
          <w:tcPr>
            <w:tcW w:w="8505" w:type="dxa"/>
            <w:shd w:val="clear" w:color="auto" w:fill="auto"/>
          </w:tcPr>
          <w:p w14:paraId="416CEC96" w14:textId="3D260A10" w:rsidR="00DA1457" w:rsidRPr="006854AC" w:rsidRDefault="00DA1457" w:rsidP="00B51F08">
            <w:pPr>
              <w:keepNext/>
              <w:keepLines/>
              <w:tabs>
                <w:tab w:val="left" w:pos="150"/>
                <w:tab w:val="left" w:pos="397"/>
                <w:tab w:val="left" w:pos="794"/>
                <w:tab w:val="left" w:pos="1191"/>
              </w:tabs>
              <w:spacing w:before="40" w:after="40"/>
              <w:jc w:val="both"/>
              <w:rPr>
                <w:rFonts w:eastAsia="新細明體" w:cs="Segoe UI"/>
                <w:b/>
                <w:sz w:val="17"/>
                <w:lang w:eastAsia="zh-TW"/>
              </w:rPr>
            </w:pPr>
            <w:r w:rsidRPr="006854AC">
              <w:rPr>
                <w:rFonts w:eastAsiaTheme="minorEastAsia" w:cs="Segoe UI"/>
                <w:i/>
                <w:sz w:val="17"/>
                <w:szCs w:val="17"/>
                <w:lang w:eastAsia="zh-HK"/>
              </w:rPr>
              <w:t>市場風險</w:t>
            </w:r>
            <w:r w:rsidRPr="006854AC">
              <w:rPr>
                <w:rFonts w:eastAsiaTheme="minorEastAsia" w:cs="Segoe UI"/>
                <w:i/>
                <w:sz w:val="17"/>
                <w:szCs w:val="17"/>
                <w:lang w:eastAsia="zh-TW"/>
              </w:rPr>
              <w:t>——</w:t>
            </w:r>
            <w:r w:rsidRPr="006854AC">
              <w:rPr>
                <w:rFonts w:eastAsiaTheme="minorEastAsia" w:cs="Segoe UI"/>
                <w:i/>
                <w:sz w:val="17"/>
                <w:szCs w:val="17"/>
                <w:lang w:eastAsia="zh-HK"/>
              </w:rPr>
              <w:t>長風險承擔</w:t>
            </w:r>
            <w:r w:rsidRPr="006854AC">
              <w:rPr>
                <w:rFonts w:eastAsiaTheme="minorEastAsia" w:cs="Segoe UI"/>
                <w:sz w:val="17"/>
                <w:szCs w:val="17"/>
                <w:lang w:eastAsia="zh-TW"/>
              </w:rPr>
              <w:t>：</w:t>
            </w:r>
            <w:r w:rsidRPr="006854AC">
              <w:rPr>
                <w:rFonts w:eastAsiaTheme="minorEastAsia" w:cs="Segoe UI"/>
                <w:sz w:val="17"/>
                <w:szCs w:val="17"/>
                <w:lang w:eastAsia="zh-HK"/>
              </w:rPr>
              <w:t>按加密資產組別填報交易帳內總長倉的合計市值</w:t>
            </w:r>
            <w:r w:rsidRPr="006854AC">
              <w:rPr>
                <w:rFonts w:eastAsiaTheme="minorEastAsia" w:cs="Segoe UI"/>
                <w:sz w:val="17"/>
                <w:szCs w:val="17"/>
                <w:lang w:eastAsia="zh-TW"/>
              </w:rPr>
              <w:t>。</w:t>
            </w:r>
            <w:r w:rsidRPr="006854AC">
              <w:rPr>
                <w:rFonts w:eastAsiaTheme="minorEastAsia" w:cs="Segoe UI"/>
                <w:sz w:val="17"/>
                <w:szCs w:val="17"/>
                <w:lang w:eastAsia="zh-HK"/>
              </w:rPr>
              <w:t>衍生</w:t>
            </w:r>
            <w:r w:rsidR="00B10763" w:rsidRPr="006854AC">
              <w:rPr>
                <w:rFonts w:eastAsiaTheme="minorEastAsia" w:cs="Segoe UI" w:hint="eastAsia"/>
                <w:sz w:val="17"/>
                <w:szCs w:val="17"/>
                <w:lang w:eastAsia="zh-HK"/>
              </w:rPr>
              <w:t>工</w:t>
            </w:r>
            <w:r w:rsidR="00B10763" w:rsidRPr="006854AC">
              <w:rPr>
                <w:rFonts w:eastAsiaTheme="minorEastAsia" w:cs="Segoe UI" w:hint="eastAsia"/>
                <w:sz w:val="17"/>
                <w:szCs w:val="17"/>
                <w:lang w:eastAsia="zh-TW"/>
              </w:rPr>
              <w:t>具</w:t>
            </w:r>
            <w:r w:rsidRPr="006854AC">
              <w:rPr>
                <w:rFonts w:eastAsiaTheme="minorEastAsia" w:cs="Segoe UI"/>
                <w:sz w:val="17"/>
                <w:szCs w:val="17"/>
                <w:lang w:eastAsia="zh-HK"/>
              </w:rPr>
              <w:t>風險承擔應</w:t>
            </w:r>
            <w:r w:rsidR="006A4E62" w:rsidRPr="006854AC">
              <w:rPr>
                <w:rFonts w:eastAsiaTheme="minorEastAsia" w:cs="Segoe UI" w:hint="eastAsia"/>
                <w:sz w:val="17"/>
                <w:szCs w:val="17"/>
                <w:lang w:eastAsia="zh-HK"/>
              </w:rPr>
              <w:t>按</w:t>
            </w:r>
            <w:r w:rsidRPr="006854AC">
              <w:rPr>
                <w:rFonts w:eastAsiaTheme="minorEastAsia" w:cs="Segoe UI"/>
                <w:sz w:val="17"/>
                <w:szCs w:val="17"/>
                <w:lang w:eastAsia="zh-HK"/>
              </w:rPr>
              <w:t>衍生工具合約的基礎加密資產的公平</w:t>
            </w:r>
            <w:r w:rsidR="00D5423C" w:rsidRPr="006854AC">
              <w:rPr>
                <w:rFonts w:eastAsiaTheme="minorEastAsia" w:cs="Segoe UI" w:hint="eastAsia"/>
                <w:sz w:val="17"/>
                <w:szCs w:val="17"/>
                <w:lang w:eastAsia="zh-HK"/>
              </w:rPr>
              <w:t>價</w:t>
            </w:r>
            <w:r w:rsidRPr="006854AC">
              <w:rPr>
                <w:rFonts w:eastAsiaTheme="minorEastAsia" w:cs="Segoe UI"/>
                <w:sz w:val="17"/>
                <w:szCs w:val="17"/>
                <w:lang w:eastAsia="zh-HK"/>
              </w:rPr>
              <w:t>值</w:t>
            </w:r>
            <w:r w:rsidR="006A4E62" w:rsidRPr="006854AC">
              <w:rPr>
                <w:rFonts w:eastAsiaTheme="minorEastAsia" w:cs="Segoe UI" w:hint="eastAsia"/>
                <w:sz w:val="17"/>
                <w:szCs w:val="17"/>
                <w:lang w:eastAsia="zh-HK"/>
              </w:rPr>
              <w:t>計算</w:t>
            </w:r>
            <w:r w:rsidRPr="006854AC">
              <w:rPr>
                <w:rFonts w:eastAsiaTheme="minorEastAsia" w:cs="Segoe UI"/>
                <w:sz w:val="17"/>
                <w:szCs w:val="17"/>
                <w:lang w:eastAsia="zh-TW"/>
              </w:rPr>
              <w:t>，</w:t>
            </w:r>
            <w:r w:rsidR="00254772" w:rsidRPr="006854AC">
              <w:rPr>
                <w:rFonts w:eastAsiaTheme="minorEastAsia" w:cs="Segoe UI" w:hint="eastAsia"/>
                <w:sz w:val="17"/>
                <w:szCs w:val="17"/>
                <w:lang w:eastAsia="zh-HK"/>
              </w:rPr>
              <w:t>並</w:t>
            </w:r>
            <w:r w:rsidRPr="006854AC">
              <w:rPr>
                <w:rFonts w:eastAsiaTheme="minorEastAsia" w:cs="Segoe UI"/>
                <w:sz w:val="17"/>
                <w:szCs w:val="17"/>
                <w:lang w:eastAsia="zh-HK"/>
              </w:rPr>
              <w:t>向上調整以</w:t>
            </w:r>
            <w:r w:rsidR="006A4E62" w:rsidRPr="006854AC">
              <w:rPr>
                <w:rFonts w:eastAsiaTheme="minorEastAsia" w:cs="Segoe UI" w:hint="eastAsia"/>
                <w:sz w:val="17"/>
                <w:szCs w:val="17"/>
                <w:lang w:eastAsia="zh-HK"/>
              </w:rPr>
              <w:t>反映</w:t>
            </w:r>
            <w:r w:rsidRPr="006854AC">
              <w:rPr>
                <w:rFonts w:eastAsiaTheme="minorEastAsia" w:cs="Segoe UI"/>
                <w:sz w:val="17"/>
                <w:szCs w:val="17"/>
                <w:lang w:eastAsia="zh-HK"/>
              </w:rPr>
              <w:t>有關槓桿</w:t>
            </w:r>
            <w:r w:rsidR="005E62B9" w:rsidRPr="006854AC">
              <w:rPr>
                <w:rFonts w:eastAsiaTheme="minorEastAsia" w:cs="Segoe UI" w:hint="eastAsia"/>
                <w:sz w:val="17"/>
                <w:szCs w:val="17"/>
                <w:lang w:eastAsia="zh-HK"/>
              </w:rPr>
              <w:t>效應</w:t>
            </w:r>
            <w:r w:rsidRPr="006854AC">
              <w:rPr>
                <w:rFonts w:eastAsiaTheme="minorEastAsia" w:cs="Segoe UI"/>
                <w:sz w:val="17"/>
                <w:szCs w:val="17"/>
                <w:lang w:eastAsia="zh-HK"/>
              </w:rPr>
              <w:t>，並以該衍生工具合約的最高可能</w:t>
            </w:r>
            <w:r w:rsidR="002D6F14" w:rsidRPr="006854AC">
              <w:rPr>
                <w:rFonts w:eastAsiaTheme="minorEastAsia" w:cs="Segoe UI" w:hint="eastAsia"/>
                <w:sz w:val="17"/>
                <w:szCs w:val="17"/>
                <w:lang w:eastAsia="zh-HK"/>
              </w:rPr>
              <w:t>損失</w:t>
            </w:r>
            <w:r w:rsidRPr="006854AC">
              <w:rPr>
                <w:rFonts w:eastAsiaTheme="minorEastAsia" w:cs="Segoe UI"/>
                <w:sz w:val="17"/>
                <w:szCs w:val="17"/>
                <w:lang w:eastAsia="zh-HK"/>
              </w:rPr>
              <w:t>為上限。</w:t>
            </w:r>
          </w:p>
        </w:tc>
      </w:tr>
      <w:tr w:rsidR="006854AC" w:rsidRPr="006854AC" w14:paraId="5F70AF9E" w14:textId="77777777" w:rsidTr="00B51F08">
        <w:tc>
          <w:tcPr>
            <w:tcW w:w="846" w:type="dxa"/>
            <w:shd w:val="clear" w:color="auto" w:fill="auto"/>
          </w:tcPr>
          <w:p w14:paraId="139E0DBE" w14:textId="77777777" w:rsidR="00DA1457" w:rsidRPr="0065556D" w:rsidRDefault="00DA1457" w:rsidP="00B51F08">
            <w:pPr>
              <w:keepNext/>
              <w:keepLines/>
              <w:tabs>
                <w:tab w:val="left" w:pos="150"/>
                <w:tab w:val="left" w:pos="397"/>
                <w:tab w:val="left" w:pos="794"/>
                <w:tab w:val="left" w:pos="1191"/>
              </w:tabs>
              <w:spacing w:before="40" w:after="40"/>
              <w:rPr>
                <w:rFonts w:eastAsiaTheme="minorEastAsia" w:cs="Segoe UI"/>
                <w:sz w:val="17"/>
                <w:szCs w:val="17"/>
                <w:lang w:eastAsia="en-GB"/>
              </w:rPr>
            </w:pPr>
            <w:r w:rsidRPr="0065556D">
              <w:rPr>
                <w:rFonts w:eastAsiaTheme="minorEastAsia" w:cs="Segoe UI"/>
                <w:sz w:val="17"/>
                <w:szCs w:val="17"/>
                <w:lang w:eastAsia="en-GB"/>
              </w:rPr>
              <w:t>(e)</w:t>
            </w:r>
          </w:p>
        </w:tc>
        <w:tc>
          <w:tcPr>
            <w:tcW w:w="8505" w:type="dxa"/>
            <w:shd w:val="clear" w:color="auto" w:fill="auto"/>
          </w:tcPr>
          <w:p w14:paraId="3181E666" w14:textId="56DD2E26" w:rsidR="00DA1457" w:rsidRPr="006854AC" w:rsidRDefault="00DA1457" w:rsidP="00B51F08">
            <w:pPr>
              <w:keepNext/>
              <w:keepLines/>
              <w:tabs>
                <w:tab w:val="left" w:pos="150"/>
                <w:tab w:val="left" w:pos="397"/>
                <w:tab w:val="left" w:pos="794"/>
                <w:tab w:val="left" w:pos="1191"/>
              </w:tabs>
              <w:spacing w:before="40" w:after="40"/>
              <w:jc w:val="both"/>
              <w:rPr>
                <w:rFonts w:eastAsiaTheme="minorEastAsia" w:cs="Segoe UI"/>
                <w:i/>
                <w:sz w:val="17"/>
                <w:szCs w:val="17"/>
                <w:lang w:eastAsia="zh-TW"/>
              </w:rPr>
            </w:pPr>
            <w:r w:rsidRPr="006854AC">
              <w:rPr>
                <w:rFonts w:eastAsiaTheme="minorEastAsia" w:cs="Segoe UI"/>
                <w:i/>
                <w:sz w:val="17"/>
                <w:szCs w:val="17"/>
                <w:lang w:eastAsia="zh-HK"/>
              </w:rPr>
              <w:t>市場風險</w:t>
            </w:r>
            <w:r w:rsidRPr="006854AC">
              <w:rPr>
                <w:rFonts w:eastAsiaTheme="minorEastAsia" w:cs="Segoe UI"/>
                <w:i/>
                <w:sz w:val="17"/>
                <w:szCs w:val="17"/>
                <w:lang w:eastAsia="zh-TW"/>
              </w:rPr>
              <w:t>——</w:t>
            </w:r>
            <w:r w:rsidRPr="006854AC">
              <w:rPr>
                <w:rFonts w:eastAsiaTheme="minorEastAsia" w:cs="Segoe UI"/>
                <w:i/>
                <w:sz w:val="17"/>
                <w:szCs w:val="17"/>
                <w:lang w:eastAsia="zh-HK"/>
              </w:rPr>
              <w:t>短風險承擔</w:t>
            </w:r>
            <w:r w:rsidRPr="006854AC">
              <w:rPr>
                <w:rFonts w:eastAsiaTheme="minorEastAsia" w:cs="Segoe UI"/>
                <w:sz w:val="17"/>
                <w:szCs w:val="17"/>
                <w:lang w:eastAsia="zh-TW"/>
              </w:rPr>
              <w:t>：</w:t>
            </w:r>
            <w:r w:rsidRPr="006854AC">
              <w:rPr>
                <w:rFonts w:eastAsiaTheme="minorEastAsia" w:cs="Segoe UI"/>
                <w:sz w:val="17"/>
                <w:szCs w:val="17"/>
                <w:lang w:eastAsia="zh-HK"/>
              </w:rPr>
              <w:t>按加密資產組別填報交易帳內總短倉的合計市值</w:t>
            </w:r>
            <w:r w:rsidRPr="006854AC">
              <w:rPr>
                <w:rFonts w:eastAsiaTheme="minorEastAsia" w:cs="Segoe UI"/>
                <w:sz w:val="17"/>
                <w:szCs w:val="17"/>
                <w:lang w:eastAsia="zh-TW"/>
              </w:rPr>
              <w:t>。</w:t>
            </w:r>
            <w:r w:rsidRPr="006854AC">
              <w:rPr>
                <w:rFonts w:eastAsiaTheme="minorEastAsia" w:cs="Segoe UI"/>
                <w:sz w:val="17"/>
                <w:szCs w:val="17"/>
                <w:lang w:eastAsia="zh-HK"/>
              </w:rPr>
              <w:t>衍生</w:t>
            </w:r>
            <w:r w:rsidR="003D3774" w:rsidRPr="006854AC">
              <w:rPr>
                <w:rFonts w:eastAsiaTheme="minorEastAsia" w:cs="Segoe UI" w:hint="eastAsia"/>
                <w:sz w:val="17"/>
                <w:szCs w:val="17"/>
                <w:lang w:eastAsia="zh-HK"/>
              </w:rPr>
              <w:t>工</w:t>
            </w:r>
            <w:r w:rsidR="003D3774" w:rsidRPr="006854AC">
              <w:rPr>
                <w:rFonts w:eastAsiaTheme="minorEastAsia" w:cs="Segoe UI" w:hint="eastAsia"/>
                <w:sz w:val="17"/>
                <w:szCs w:val="17"/>
                <w:lang w:eastAsia="zh-TW"/>
              </w:rPr>
              <w:t>具</w:t>
            </w:r>
            <w:r w:rsidRPr="006854AC">
              <w:rPr>
                <w:rFonts w:eastAsiaTheme="minorEastAsia" w:cs="Segoe UI"/>
                <w:sz w:val="17"/>
                <w:szCs w:val="17"/>
                <w:lang w:eastAsia="zh-HK"/>
              </w:rPr>
              <w:t>風險承擔應</w:t>
            </w:r>
            <w:r w:rsidR="00254772" w:rsidRPr="006854AC">
              <w:rPr>
                <w:rFonts w:eastAsiaTheme="minorEastAsia" w:cs="Segoe UI" w:hint="eastAsia"/>
                <w:sz w:val="17"/>
                <w:szCs w:val="17"/>
                <w:lang w:eastAsia="zh-HK"/>
              </w:rPr>
              <w:t>按</w:t>
            </w:r>
            <w:r w:rsidRPr="006854AC">
              <w:rPr>
                <w:rFonts w:eastAsiaTheme="minorEastAsia" w:cs="Segoe UI"/>
                <w:sz w:val="17"/>
                <w:szCs w:val="17"/>
                <w:lang w:eastAsia="zh-HK"/>
              </w:rPr>
              <w:t>衍生工具合約的基礎加密資產的公平</w:t>
            </w:r>
            <w:r w:rsidR="00D5423C" w:rsidRPr="006854AC">
              <w:rPr>
                <w:rFonts w:eastAsiaTheme="minorEastAsia" w:cs="Segoe UI" w:hint="eastAsia"/>
                <w:sz w:val="17"/>
                <w:szCs w:val="17"/>
                <w:lang w:eastAsia="zh-HK"/>
              </w:rPr>
              <w:t>價</w:t>
            </w:r>
            <w:r w:rsidRPr="006854AC">
              <w:rPr>
                <w:rFonts w:eastAsiaTheme="minorEastAsia" w:cs="Segoe UI"/>
                <w:sz w:val="17"/>
                <w:szCs w:val="17"/>
                <w:lang w:eastAsia="zh-HK"/>
              </w:rPr>
              <w:t>值</w:t>
            </w:r>
            <w:r w:rsidR="00254772" w:rsidRPr="006854AC">
              <w:rPr>
                <w:rFonts w:eastAsiaTheme="minorEastAsia" w:cs="Segoe UI" w:hint="eastAsia"/>
                <w:sz w:val="17"/>
                <w:szCs w:val="17"/>
                <w:lang w:eastAsia="zh-HK"/>
              </w:rPr>
              <w:t>計算</w:t>
            </w:r>
            <w:r w:rsidRPr="006854AC">
              <w:rPr>
                <w:rFonts w:eastAsiaTheme="minorEastAsia" w:cs="Segoe UI"/>
                <w:sz w:val="17"/>
                <w:szCs w:val="17"/>
                <w:lang w:eastAsia="zh-TW"/>
              </w:rPr>
              <w:t>，</w:t>
            </w:r>
            <w:r w:rsidR="00254772" w:rsidRPr="006854AC">
              <w:rPr>
                <w:rFonts w:eastAsiaTheme="minorEastAsia" w:cs="Segoe UI" w:hint="eastAsia"/>
                <w:sz w:val="17"/>
                <w:szCs w:val="17"/>
                <w:lang w:eastAsia="zh-HK"/>
              </w:rPr>
              <w:t>並</w:t>
            </w:r>
            <w:r w:rsidRPr="006854AC">
              <w:rPr>
                <w:rFonts w:eastAsiaTheme="minorEastAsia" w:cs="Segoe UI"/>
                <w:sz w:val="17"/>
                <w:szCs w:val="17"/>
                <w:lang w:eastAsia="zh-HK"/>
              </w:rPr>
              <w:t>向上調整以</w:t>
            </w:r>
            <w:r w:rsidR="00254772" w:rsidRPr="006854AC">
              <w:rPr>
                <w:rFonts w:eastAsiaTheme="minorEastAsia" w:cs="Segoe UI" w:hint="eastAsia"/>
                <w:sz w:val="17"/>
                <w:szCs w:val="17"/>
                <w:lang w:eastAsia="zh-HK"/>
              </w:rPr>
              <w:t>反映</w:t>
            </w:r>
            <w:r w:rsidRPr="006854AC">
              <w:rPr>
                <w:rFonts w:eastAsiaTheme="minorEastAsia" w:cs="Segoe UI"/>
                <w:sz w:val="17"/>
                <w:szCs w:val="17"/>
                <w:lang w:eastAsia="zh-HK"/>
              </w:rPr>
              <w:t>有關槓桿</w:t>
            </w:r>
            <w:r w:rsidR="00254772" w:rsidRPr="006854AC">
              <w:rPr>
                <w:rFonts w:eastAsiaTheme="minorEastAsia" w:cs="Segoe UI" w:hint="eastAsia"/>
                <w:sz w:val="17"/>
                <w:szCs w:val="17"/>
                <w:lang w:eastAsia="zh-HK"/>
              </w:rPr>
              <w:t>效應</w:t>
            </w:r>
            <w:r w:rsidRPr="006854AC">
              <w:rPr>
                <w:rFonts w:eastAsiaTheme="minorEastAsia" w:cs="Segoe UI"/>
                <w:sz w:val="17"/>
                <w:szCs w:val="17"/>
                <w:lang w:eastAsia="zh-HK"/>
              </w:rPr>
              <w:t>，並以該衍生工具合約的最高可能</w:t>
            </w:r>
            <w:r w:rsidR="002D6F14" w:rsidRPr="006854AC">
              <w:rPr>
                <w:rFonts w:eastAsiaTheme="minorEastAsia" w:cs="Segoe UI" w:hint="eastAsia"/>
                <w:sz w:val="17"/>
                <w:szCs w:val="17"/>
                <w:lang w:eastAsia="zh-HK"/>
              </w:rPr>
              <w:t>損失</w:t>
            </w:r>
            <w:r w:rsidRPr="006854AC">
              <w:rPr>
                <w:rFonts w:eastAsiaTheme="minorEastAsia" w:cs="Segoe UI"/>
                <w:sz w:val="17"/>
                <w:szCs w:val="17"/>
                <w:lang w:eastAsia="zh-HK"/>
              </w:rPr>
              <w:t>為上限。</w:t>
            </w:r>
          </w:p>
        </w:tc>
      </w:tr>
      <w:tr w:rsidR="006854AC" w:rsidRPr="006854AC" w14:paraId="0E4144A1" w14:textId="77777777" w:rsidTr="00B51F08">
        <w:tc>
          <w:tcPr>
            <w:tcW w:w="846" w:type="dxa"/>
            <w:shd w:val="clear" w:color="auto" w:fill="auto"/>
          </w:tcPr>
          <w:p w14:paraId="010E3511" w14:textId="77777777" w:rsidR="00DA1457" w:rsidRPr="0065556D" w:rsidRDefault="00DA1457" w:rsidP="00B51F08">
            <w:pPr>
              <w:keepNext/>
              <w:keepLines/>
              <w:tabs>
                <w:tab w:val="left" w:pos="150"/>
                <w:tab w:val="left" w:pos="397"/>
                <w:tab w:val="left" w:pos="794"/>
                <w:tab w:val="left" w:pos="1191"/>
              </w:tabs>
              <w:spacing w:before="40" w:after="40"/>
              <w:rPr>
                <w:rFonts w:eastAsiaTheme="minorEastAsia" w:cs="Segoe UI"/>
                <w:sz w:val="17"/>
                <w:szCs w:val="17"/>
                <w:lang w:eastAsia="en-GB"/>
              </w:rPr>
            </w:pPr>
            <w:r w:rsidRPr="0065556D">
              <w:rPr>
                <w:rFonts w:eastAsiaTheme="minorEastAsia" w:cs="Segoe UI"/>
                <w:sz w:val="17"/>
                <w:szCs w:val="17"/>
                <w:lang w:eastAsia="en-GB"/>
              </w:rPr>
              <w:t>(f)</w:t>
            </w:r>
          </w:p>
        </w:tc>
        <w:tc>
          <w:tcPr>
            <w:tcW w:w="8505" w:type="dxa"/>
            <w:shd w:val="clear" w:color="auto" w:fill="auto"/>
          </w:tcPr>
          <w:p w14:paraId="6222485C" w14:textId="77777777" w:rsidR="00DA1457" w:rsidRDefault="00DA1457" w:rsidP="00B51F08">
            <w:pPr>
              <w:keepNext/>
              <w:keepLines/>
              <w:tabs>
                <w:tab w:val="left" w:pos="150"/>
                <w:tab w:val="left" w:pos="397"/>
                <w:tab w:val="left" w:pos="794"/>
                <w:tab w:val="left" w:pos="1191"/>
              </w:tabs>
              <w:snapToGrid w:val="0"/>
              <w:spacing w:before="40" w:after="40"/>
              <w:jc w:val="both"/>
              <w:rPr>
                <w:rFonts w:eastAsiaTheme="minorEastAsia" w:cs="Segoe UI"/>
                <w:sz w:val="17"/>
                <w:szCs w:val="17"/>
                <w:lang w:eastAsia="zh-TW"/>
              </w:rPr>
            </w:pPr>
            <w:r w:rsidRPr="006854AC">
              <w:rPr>
                <w:rFonts w:eastAsiaTheme="minorEastAsia" w:cs="Segoe UI"/>
                <w:i/>
                <w:sz w:val="17"/>
                <w:szCs w:val="17"/>
                <w:lang w:eastAsia="zh-HK"/>
              </w:rPr>
              <w:t>市場風險</w:t>
            </w:r>
            <w:r w:rsidRPr="006854AC">
              <w:rPr>
                <w:rFonts w:eastAsiaTheme="minorEastAsia" w:cs="Segoe UI"/>
                <w:i/>
                <w:sz w:val="17"/>
                <w:szCs w:val="17"/>
                <w:lang w:eastAsia="zh-TW"/>
              </w:rPr>
              <w:t>——</w:t>
            </w:r>
            <w:r w:rsidRPr="006854AC">
              <w:rPr>
                <w:rFonts w:eastAsiaTheme="minorEastAsia" w:cs="Segoe UI"/>
                <w:i/>
                <w:sz w:val="17"/>
                <w:szCs w:val="17"/>
                <w:lang w:eastAsia="zh-TW"/>
              </w:rPr>
              <w:t>風險加權數額</w:t>
            </w:r>
            <w:r w:rsidRPr="006854AC">
              <w:rPr>
                <w:rFonts w:eastAsiaTheme="minorEastAsia" w:cs="Segoe UI"/>
                <w:sz w:val="17"/>
                <w:szCs w:val="17"/>
                <w:lang w:eastAsia="zh-TW"/>
              </w:rPr>
              <w:t>：</w:t>
            </w:r>
            <w:r w:rsidR="00AD5188" w:rsidRPr="006854AC">
              <w:rPr>
                <w:rFonts w:eastAsia="新細明體" w:cs="Segoe UI"/>
                <w:sz w:val="17"/>
                <w:szCs w:val="17"/>
                <w:lang w:eastAsia="zh-HK"/>
              </w:rPr>
              <w:t>就認可機構的加密資產風險承擔，</w:t>
            </w:r>
            <w:r w:rsidR="00430858" w:rsidRPr="006854AC">
              <w:rPr>
                <w:rFonts w:eastAsiaTheme="minorEastAsia" w:cs="Segoe UI" w:hint="eastAsia"/>
                <w:sz w:val="17"/>
                <w:szCs w:val="17"/>
                <w:lang w:eastAsia="zh-HK"/>
              </w:rPr>
              <w:t>根據</w:t>
            </w:r>
            <w:r w:rsidRPr="006854AC">
              <w:rPr>
                <w:rFonts w:eastAsiaTheme="minorEastAsia" w:cs="Segoe UI"/>
                <w:sz w:val="17"/>
                <w:szCs w:val="17"/>
                <w:lang w:eastAsia="zh-TW"/>
              </w:rPr>
              <w:t>《</w:t>
            </w:r>
            <w:r w:rsidRPr="006854AC">
              <w:rPr>
                <w:rFonts w:eastAsiaTheme="minorEastAsia" w:cs="Segoe UI"/>
                <w:sz w:val="17"/>
                <w:szCs w:val="17"/>
                <w:lang w:eastAsia="zh-HK"/>
              </w:rPr>
              <w:t>資本規則</w:t>
            </w:r>
            <w:r w:rsidRPr="006854AC">
              <w:rPr>
                <w:rFonts w:eastAsiaTheme="minorEastAsia" w:cs="Segoe UI"/>
                <w:sz w:val="17"/>
                <w:szCs w:val="17"/>
                <w:lang w:eastAsia="zh-TW"/>
              </w:rPr>
              <w:t>》</w:t>
            </w:r>
            <w:r w:rsidRPr="006854AC">
              <w:rPr>
                <w:rFonts w:eastAsiaTheme="minorEastAsia" w:cs="Segoe UI"/>
                <w:sz w:val="17"/>
                <w:szCs w:val="17"/>
                <w:lang w:eastAsia="zh-HK"/>
              </w:rPr>
              <w:t>計算的市場風險的風險加權數額</w:t>
            </w:r>
            <w:r w:rsidRPr="006854AC">
              <w:rPr>
                <w:rFonts w:eastAsiaTheme="minorEastAsia" w:cs="Segoe UI"/>
                <w:i/>
                <w:sz w:val="17"/>
                <w:szCs w:val="17"/>
                <w:lang w:eastAsia="zh-TW"/>
              </w:rPr>
              <w:t>。</w:t>
            </w:r>
            <w:r w:rsidR="006B601D" w:rsidRPr="006854AC">
              <w:rPr>
                <w:rFonts w:eastAsiaTheme="minorEastAsia" w:cs="Segoe UI"/>
                <w:sz w:val="17"/>
                <w:szCs w:val="17"/>
                <w:lang w:eastAsia="zh-HK"/>
              </w:rPr>
              <w:t>由於市場風險框架</w:t>
            </w:r>
            <w:r w:rsidR="006B601D" w:rsidRPr="006854AC">
              <w:rPr>
                <w:rFonts w:eastAsiaTheme="minorEastAsia" w:cs="Segoe UI" w:hint="eastAsia"/>
                <w:sz w:val="17"/>
                <w:szCs w:val="17"/>
                <w:lang w:eastAsia="zh-HK"/>
              </w:rPr>
              <w:t>沒有引用</w:t>
            </w:r>
            <w:r w:rsidRPr="006854AC">
              <w:rPr>
                <w:rFonts w:eastAsiaTheme="minorEastAsia" w:cs="Segoe UI"/>
                <w:sz w:val="17"/>
                <w:szCs w:val="17"/>
                <w:lang w:eastAsia="zh-HK"/>
              </w:rPr>
              <w:t>風險加權數額</w:t>
            </w:r>
            <w:r w:rsidRPr="006854AC">
              <w:rPr>
                <w:rFonts w:eastAsiaTheme="minorEastAsia" w:cs="Segoe UI"/>
                <w:sz w:val="17"/>
                <w:szCs w:val="17"/>
                <w:lang w:eastAsia="zh-TW"/>
              </w:rPr>
              <w:t>，</w:t>
            </w:r>
            <w:r w:rsidR="00297AD1" w:rsidRPr="006854AC">
              <w:rPr>
                <w:rFonts w:eastAsiaTheme="minorEastAsia" w:cs="Segoe UI"/>
                <w:sz w:val="17"/>
                <w:szCs w:val="17"/>
                <w:lang w:eastAsia="zh-HK"/>
              </w:rPr>
              <w:t>認可機構應</w:t>
            </w:r>
            <w:r w:rsidR="00436D51" w:rsidRPr="006854AC">
              <w:rPr>
                <w:rFonts w:eastAsiaTheme="minorEastAsia" w:cs="Segoe UI" w:hint="eastAsia"/>
                <w:sz w:val="17"/>
                <w:szCs w:val="17"/>
                <w:lang w:eastAsia="zh-HK"/>
              </w:rPr>
              <w:t>註明</w:t>
            </w:r>
            <w:r w:rsidR="00254772" w:rsidRPr="006854AC">
              <w:rPr>
                <w:rFonts w:eastAsiaTheme="minorEastAsia" w:cs="Segoe UI" w:hint="eastAsia"/>
                <w:sz w:val="17"/>
                <w:szCs w:val="17"/>
                <w:lang w:eastAsia="zh-HK"/>
              </w:rPr>
              <w:t>所推算</w:t>
            </w:r>
            <w:r w:rsidR="00E750DC" w:rsidRPr="006854AC">
              <w:rPr>
                <w:rFonts w:eastAsiaTheme="minorEastAsia" w:cs="Segoe UI"/>
                <w:sz w:val="17"/>
                <w:szCs w:val="17"/>
                <w:lang w:eastAsia="zh-HK"/>
              </w:rPr>
              <w:t>的風險加權數額</w:t>
            </w:r>
            <w:r w:rsidRPr="006854AC">
              <w:rPr>
                <w:rFonts w:eastAsiaTheme="minorEastAsia" w:cs="Segoe UI"/>
                <w:sz w:val="17"/>
                <w:szCs w:val="17"/>
                <w:lang w:eastAsia="zh-TW"/>
              </w:rPr>
              <w:t>（</w:t>
            </w:r>
            <w:r w:rsidRPr="006854AC">
              <w:rPr>
                <w:rFonts w:eastAsiaTheme="minorEastAsia" w:cs="Segoe UI"/>
                <w:sz w:val="17"/>
                <w:szCs w:val="17"/>
                <w:lang w:eastAsia="zh-HK"/>
              </w:rPr>
              <w:t>即將資本要求乘以</w:t>
            </w:r>
            <w:r w:rsidRPr="006854AC">
              <w:rPr>
                <w:rFonts w:eastAsiaTheme="minorEastAsia" w:cs="Segoe UI"/>
                <w:sz w:val="17"/>
                <w:szCs w:val="17"/>
                <w:lang w:eastAsia="zh-TW"/>
              </w:rPr>
              <w:t>12.5</w:t>
            </w:r>
            <w:r w:rsidR="00254772" w:rsidRPr="006854AC">
              <w:rPr>
                <w:rFonts w:eastAsiaTheme="minorEastAsia" w:cs="Segoe UI" w:hint="eastAsia"/>
                <w:sz w:val="17"/>
                <w:szCs w:val="17"/>
                <w:lang w:eastAsia="zh-TW"/>
              </w:rPr>
              <w:t>所</w:t>
            </w:r>
            <w:r w:rsidR="008C2570" w:rsidRPr="006854AC">
              <w:rPr>
                <w:rFonts w:eastAsiaTheme="minorEastAsia" w:cs="Segoe UI" w:hint="eastAsia"/>
                <w:sz w:val="17"/>
                <w:szCs w:val="17"/>
                <w:lang w:eastAsia="zh-HK"/>
              </w:rPr>
              <w:t>得出的數目</w:t>
            </w:r>
            <w:r w:rsidRPr="006854AC">
              <w:rPr>
                <w:rFonts w:eastAsiaTheme="minorEastAsia" w:cs="Segoe UI"/>
                <w:sz w:val="17"/>
                <w:szCs w:val="17"/>
                <w:lang w:eastAsia="zh-TW"/>
              </w:rPr>
              <w:t>）。</w:t>
            </w:r>
            <w:r w:rsidR="00297AD1" w:rsidRPr="006854AC">
              <w:rPr>
                <w:rFonts w:eastAsiaTheme="minorEastAsia" w:cs="Segoe UI"/>
                <w:sz w:val="17"/>
                <w:szCs w:val="17"/>
                <w:lang w:eastAsia="zh-HK"/>
              </w:rPr>
              <w:t>鑑於市場風險是按組合</w:t>
            </w:r>
            <w:r w:rsidR="00297AD1" w:rsidRPr="006854AC">
              <w:rPr>
                <w:rFonts w:eastAsiaTheme="minorEastAsia" w:cs="Segoe UI" w:hint="eastAsia"/>
                <w:sz w:val="17"/>
                <w:szCs w:val="17"/>
                <w:lang w:eastAsia="zh-HK"/>
              </w:rPr>
              <w:t>方</w:t>
            </w:r>
            <w:r w:rsidR="00297AD1" w:rsidRPr="006854AC">
              <w:rPr>
                <w:rFonts w:eastAsiaTheme="minorEastAsia" w:cs="Segoe UI" w:hint="eastAsia"/>
                <w:sz w:val="17"/>
                <w:szCs w:val="17"/>
                <w:lang w:eastAsia="zh-TW"/>
              </w:rPr>
              <w:t>式</w:t>
            </w:r>
            <w:r w:rsidRPr="006854AC">
              <w:rPr>
                <w:rFonts w:eastAsiaTheme="minorEastAsia" w:cs="Segoe UI"/>
                <w:sz w:val="17"/>
                <w:szCs w:val="17"/>
                <w:lang w:eastAsia="zh-HK"/>
              </w:rPr>
              <w:t>計算</w:t>
            </w:r>
            <w:r w:rsidRPr="006854AC">
              <w:rPr>
                <w:rFonts w:eastAsiaTheme="minorEastAsia" w:cs="Segoe UI"/>
                <w:sz w:val="17"/>
                <w:szCs w:val="17"/>
                <w:lang w:eastAsia="zh-TW"/>
              </w:rPr>
              <w:t>，</w:t>
            </w:r>
            <w:r w:rsidR="00254772" w:rsidRPr="006854AC">
              <w:rPr>
                <w:rFonts w:eastAsiaTheme="minorEastAsia" w:cs="Segoe UI" w:hint="eastAsia"/>
                <w:sz w:val="17"/>
                <w:szCs w:val="17"/>
                <w:lang w:eastAsia="zh-TW"/>
              </w:rPr>
              <w:t>因此未必可</w:t>
            </w:r>
            <w:r w:rsidRPr="006854AC">
              <w:rPr>
                <w:rFonts w:eastAsiaTheme="minorEastAsia" w:cs="Segoe UI"/>
                <w:sz w:val="17"/>
                <w:szCs w:val="17"/>
                <w:lang w:eastAsia="zh-HK"/>
              </w:rPr>
              <w:t>就第</w:t>
            </w:r>
            <w:r w:rsidRPr="006854AC">
              <w:rPr>
                <w:rFonts w:eastAsiaTheme="minorEastAsia" w:cs="Segoe UI"/>
                <w:sz w:val="17"/>
                <w:szCs w:val="17"/>
                <w:lang w:eastAsia="zh-HK"/>
              </w:rPr>
              <w:t>1</w:t>
            </w:r>
            <w:r w:rsidRPr="006854AC">
              <w:rPr>
                <w:rFonts w:eastAsiaTheme="minorEastAsia" w:cs="Segoe UI"/>
                <w:sz w:val="17"/>
                <w:szCs w:val="17"/>
                <w:lang w:eastAsia="zh-TW"/>
              </w:rPr>
              <w:t>a</w:t>
            </w:r>
            <w:r w:rsidRPr="006854AC">
              <w:rPr>
                <w:rFonts w:eastAsiaTheme="minorEastAsia" w:cs="Segoe UI"/>
                <w:sz w:val="17"/>
                <w:szCs w:val="17"/>
                <w:lang w:eastAsia="zh-HK"/>
              </w:rPr>
              <w:t>組加密資產風險承擔及第</w:t>
            </w:r>
            <w:r w:rsidRPr="006854AC">
              <w:rPr>
                <w:rFonts w:eastAsiaTheme="minorEastAsia" w:cs="Segoe UI"/>
                <w:sz w:val="17"/>
                <w:szCs w:val="17"/>
                <w:lang w:eastAsia="zh-TW"/>
              </w:rPr>
              <w:t>1</w:t>
            </w:r>
            <w:r w:rsidRPr="006854AC">
              <w:rPr>
                <w:rFonts w:eastAsiaTheme="minorEastAsia" w:cs="Segoe UI"/>
                <w:sz w:val="17"/>
                <w:szCs w:val="17"/>
                <w:lang w:eastAsia="zh-HK"/>
              </w:rPr>
              <w:t>b</w:t>
            </w:r>
            <w:r w:rsidRPr="006854AC">
              <w:rPr>
                <w:rFonts w:eastAsiaTheme="minorEastAsia" w:cs="Segoe UI"/>
                <w:sz w:val="17"/>
                <w:szCs w:val="17"/>
                <w:lang w:eastAsia="zh-HK"/>
              </w:rPr>
              <w:t>組加密資產風險承擔</w:t>
            </w:r>
            <w:r w:rsidR="00254772" w:rsidRPr="006854AC">
              <w:rPr>
                <w:rFonts w:eastAsiaTheme="minorEastAsia" w:cs="Segoe UI" w:hint="eastAsia"/>
                <w:sz w:val="17"/>
                <w:szCs w:val="17"/>
                <w:lang w:eastAsia="zh-HK"/>
              </w:rPr>
              <w:t>分別</w:t>
            </w:r>
            <w:r w:rsidRPr="006854AC">
              <w:rPr>
                <w:rFonts w:eastAsiaTheme="minorEastAsia" w:cs="Segoe UI"/>
                <w:sz w:val="17"/>
                <w:szCs w:val="17"/>
                <w:lang w:eastAsia="zh-HK"/>
              </w:rPr>
              <w:t>計算獨立的市場風險加權數額</w:t>
            </w:r>
            <w:r w:rsidRPr="006854AC">
              <w:rPr>
                <w:rFonts w:eastAsiaTheme="minorEastAsia" w:cs="Segoe UI"/>
                <w:sz w:val="17"/>
                <w:szCs w:val="17"/>
                <w:lang w:eastAsia="zh-TW"/>
              </w:rPr>
              <w:t>，</w:t>
            </w:r>
            <w:r w:rsidRPr="006854AC">
              <w:rPr>
                <w:rFonts w:eastAsiaTheme="minorEastAsia" w:cs="Segoe UI"/>
                <w:sz w:val="17"/>
                <w:szCs w:val="17"/>
                <w:lang w:eastAsia="zh-HK"/>
              </w:rPr>
              <w:t>本</w:t>
            </w:r>
            <w:r w:rsidRPr="006854AC">
              <w:rPr>
                <w:rFonts w:eastAsiaTheme="minorEastAsia" w:cs="Segoe UI" w:hint="eastAsia"/>
                <w:sz w:val="17"/>
                <w:szCs w:val="17"/>
                <w:lang w:eastAsia="zh-HK"/>
              </w:rPr>
              <w:t>欄</w:t>
            </w:r>
            <w:r w:rsidRPr="006854AC">
              <w:rPr>
                <w:rFonts w:eastAsiaTheme="minorEastAsia" w:cs="Segoe UI"/>
                <w:sz w:val="17"/>
                <w:szCs w:val="17"/>
                <w:lang w:eastAsia="zh-HK"/>
              </w:rPr>
              <w:t>的相關方格</w:t>
            </w:r>
            <w:r w:rsidR="00254772" w:rsidRPr="006854AC">
              <w:rPr>
                <w:rFonts w:eastAsiaTheme="minorEastAsia" w:cs="Segoe UI" w:hint="eastAsia"/>
                <w:sz w:val="17"/>
                <w:szCs w:val="17"/>
                <w:lang w:eastAsia="zh-HK"/>
              </w:rPr>
              <w:t>因此會</w:t>
            </w:r>
            <w:r w:rsidR="00C03E0A" w:rsidRPr="006854AC">
              <w:rPr>
                <w:rFonts w:eastAsiaTheme="minorEastAsia" w:cs="Segoe UI" w:hint="eastAsia"/>
                <w:sz w:val="17"/>
                <w:szCs w:val="17"/>
                <w:lang w:eastAsia="zh-HK"/>
              </w:rPr>
              <w:t>以</w:t>
            </w:r>
            <w:r w:rsidRPr="006854AC">
              <w:rPr>
                <w:rFonts w:eastAsiaTheme="minorEastAsia" w:cs="Segoe UI"/>
                <w:sz w:val="17"/>
                <w:szCs w:val="17"/>
                <w:lang w:eastAsia="zh-HK"/>
              </w:rPr>
              <w:t>灰色陰影</w:t>
            </w:r>
            <w:r w:rsidR="00C03E0A" w:rsidRPr="006854AC">
              <w:rPr>
                <w:rFonts w:eastAsiaTheme="minorEastAsia" w:cs="Segoe UI" w:hint="eastAsia"/>
                <w:sz w:val="17"/>
                <w:szCs w:val="17"/>
                <w:lang w:eastAsia="zh-HK"/>
              </w:rPr>
              <w:t>標示</w:t>
            </w:r>
            <w:r w:rsidRPr="006854AC">
              <w:rPr>
                <w:rFonts w:eastAsiaTheme="minorEastAsia" w:cs="Segoe UI"/>
                <w:sz w:val="17"/>
                <w:szCs w:val="17"/>
                <w:lang w:eastAsia="zh-TW"/>
              </w:rPr>
              <w:t>。</w:t>
            </w:r>
            <w:r w:rsidR="00834868" w:rsidRPr="006854AC">
              <w:rPr>
                <w:rFonts w:eastAsiaTheme="minorEastAsia" w:cs="Segoe UI" w:hint="eastAsia"/>
                <w:sz w:val="17"/>
                <w:szCs w:val="17"/>
                <w:lang w:eastAsia="zh-HK"/>
              </w:rPr>
              <w:t>由於</w:t>
            </w:r>
            <w:r w:rsidRPr="006854AC">
              <w:rPr>
                <w:rFonts w:eastAsiaTheme="minorEastAsia" w:cs="Segoe UI"/>
                <w:sz w:val="17"/>
                <w:szCs w:val="17"/>
                <w:lang w:eastAsia="zh-HK"/>
              </w:rPr>
              <w:t>第</w:t>
            </w:r>
            <w:r w:rsidRPr="006854AC">
              <w:rPr>
                <w:rFonts w:eastAsiaTheme="minorEastAsia" w:cs="Segoe UI"/>
                <w:sz w:val="17"/>
                <w:szCs w:val="17"/>
                <w:lang w:eastAsia="zh-TW"/>
              </w:rPr>
              <w:t>2b</w:t>
            </w:r>
            <w:r w:rsidRPr="006854AC">
              <w:rPr>
                <w:rFonts w:eastAsiaTheme="minorEastAsia" w:cs="Segoe UI"/>
                <w:sz w:val="17"/>
                <w:szCs w:val="17"/>
                <w:lang w:eastAsia="zh-HK"/>
              </w:rPr>
              <w:t>組加密資產風險承擔</w:t>
            </w:r>
            <w:r w:rsidR="00834868" w:rsidRPr="006854AC">
              <w:rPr>
                <w:rFonts w:eastAsiaTheme="minorEastAsia" w:cs="Segoe UI" w:hint="eastAsia"/>
                <w:sz w:val="17"/>
                <w:szCs w:val="17"/>
                <w:lang w:eastAsia="zh-HK"/>
              </w:rPr>
              <w:t>的</w:t>
            </w:r>
            <w:r w:rsidR="00834868" w:rsidRPr="006854AC">
              <w:rPr>
                <w:rFonts w:eastAsiaTheme="minorEastAsia" w:cs="Segoe UI"/>
                <w:sz w:val="17"/>
                <w:szCs w:val="17"/>
                <w:lang w:eastAsia="zh-HK"/>
              </w:rPr>
              <w:t>風險加權數額</w:t>
            </w:r>
            <w:r w:rsidR="00216601" w:rsidRPr="006854AC">
              <w:rPr>
                <w:rFonts w:eastAsiaTheme="minorEastAsia" w:cs="Segoe UI" w:hint="eastAsia"/>
                <w:sz w:val="17"/>
                <w:szCs w:val="17"/>
                <w:lang w:eastAsia="zh-TW"/>
              </w:rPr>
              <w:t>按</w:t>
            </w:r>
            <w:r w:rsidRPr="006854AC">
              <w:rPr>
                <w:rFonts w:eastAsiaTheme="minorEastAsia" w:cs="Segoe UI"/>
                <w:sz w:val="17"/>
                <w:szCs w:val="17"/>
                <w:lang w:eastAsia="zh-HK"/>
              </w:rPr>
              <w:t>信用風險填報</w:t>
            </w:r>
            <w:r w:rsidRPr="006854AC">
              <w:rPr>
                <w:rFonts w:eastAsiaTheme="minorEastAsia" w:cs="Segoe UI"/>
                <w:sz w:val="17"/>
                <w:szCs w:val="17"/>
                <w:lang w:eastAsia="zh-TW"/>
              </w:rPr>
              <w:t>，</w:t>
            </w:r>
            <w:r w:rsidRPr="006854AC">
              <w:rPr>
                <w:rFonts w:eastAsiaTheme="minorEastAsia" w:cs="Segoe UI"/>
                <w:sz w:val="17"/>
                <w:szCs w:val="17"/>
                <w:lang w:eastAsia="zh-HK"/>
              </w:rPr>
              <w:t>因此相關方格</w:t>
            </w:r>
            <w:r w:rsidR="00216601" w:rsidRPr="006854AC">
              <w:rPr>
                <w:rFonts w:eastAsiaTheme="minorEastAsia" w:cs="Segoe UI" w:hint="eastAsia"/>
                <w:sz w:val="17"/>
                <w:szCs w:val="17"/>
                <w:lang w:eastAsia="zh-HK"/>
              </w:rPr>
              <w:t>亦</w:t>
            </w:r>
            <w:r w:rsidR="00782CBE" w:rsidRPr="006854AC">
              <w:rPr>
                <w:rFonts w:eastAsiaTheme="minorEastAsia" w:cs="Segoe UI" w:hint="eastAsia"/>
                <w:sz w:val="17"/>
                <w:szCs w:val="17"/>
                <w:lang w:eastAsia="zh-HK"/>
              </w:rPr>
              <w:t>以</w:t>
            </w:r>
            <w:r w:rsidRPr="006854AC">
              <w:rPr>
                <w:rFonts w:eastAsiaTheme="minorEastAsia" w:cs="Segoe UI"/>
                <w:sz w:val="17"/>
                <w:szCs w:val="17"/>
                <w:lang w:eastAsia="zh-HK"/>
              </w:rPr>
              <w:t>灰色陰影</w:t>
            </w:r>
            <w:r w:rsidR="00782CBE" w:rsidRPr="006854AC">
              <w:rPr>
                <w:rFonts w:eastAsiaTheme="minorEastAsia" w:cs="Segoe UI" w:hint="eastAsia"/>
                <w:sz w:val="17"/>
                <w:szCs w:val="17"/>
                <w:lang w:eastAsia="zh-HK"/>
              </w:rPr>
              <w:t>標示</w:t>
            </w:r>
            <w:r w:rsidRPr="006854AC">
              <w:rPr>
                <w:rFonts w:eastAsiaTheme="minorEastAsia" w:cs="Segoe UI"/>
                <w:sz w:val="17"/>
                <w:szCs w:val="17"/>
                <w:lang w:eastAsia="zh-TW"/>
              </w:rPr>
              <w:t>。</w:t>
            </w:r>
            <w:r w:rsidR="009B3B7F" w:rsidRPr="006854AC">
              <w:rPr>
                <w:rFonts w:eastAsiaTheme="minorEastAsia" w:cs="Segoe UI"/>
                <w:sz w:val="17"/>
                <w:szCs w:val="17"/>
                <w:lang w:eastAsia="zh-HK"/>
              </w:rPr>
              <w:t>相反，</w:t>
            </w:r>
            <w:r w:rsidRPr="006854AC">
              <w:rPr>
                <w:rFonts w:eastAsiaTheme="minorEastAsia" w:cs="Segoe UI"/>
                <w:sz w:val="17"/>
                <w:szCs w:val="17"/>
                <w:lang w:eastAsia="zh-HK"/>
              </w:rPr>
              <w:t>第</w:t>
            </w:r>
            <w:r w:rsidRPr="006854AC">
              <w:rPr>
                <w:rFonts w:eastAsiaTheme="minorEastAsia" w:cs="Segoe UI"/>
                <w:sz w:val="17"/>
                <w:szCs w:val="17"/>
                <w:lang w:eastAsia="zh-TW"/>
              </w:rPr>
              <w:t>2a</w:t>
            </w:r>
            <w:r w:rsidR="009B3B7F" w:rsidRPr="006854AC">
              <w:rPr>
                <w:rFonts w:eastAsiaTheme="minorEastAsia" w:cs="Segoe UI"/>
                <w:sz w:val="17"/>
                <w:szCs w:val="17"/>
                <w:lang w:eastAsia="zh-HK"/>
              </w:rPr>
              <w:t>組加密資產</w:t>
            </w:r>
            <w:r w:rsidR="00216601" w:rsidRPr="006854AC">
              <w:rPr>
                <w:rFonts w:eastAsiaTheme="minorEastAsia" w:cs="Segoe UI" w:hint="eastAsia"/>
                <w:sz w:val="17"/>
                <w:szCs w:val="17"/>
                <w:lang w:eastAsia="zh-HK"/>
              </w:rPr>
              <w:t>採用</w:t>
            </w:r>
            <w:r w:rsidR="00EA0D6C" w:rsidRPr="006854AC">
              <w:rPr>
                <w:rFonts w:eastAsiaTheme="minorEastAsia" w:cs="Segoe UI" w:hint="eastAsia"/>
                <w:sz w:val="17"/>
                <w:szCs w:val="17"/>
                <w:lang w:eastAsia="zh-HK"/>
              </w:rPr>
              <w:t>專</w:t>
            </w:r>
            <w:r w:rsidR="00216601" w:rsidRPr="006854AC">
              <w:rPr>
                <w:rFonts w:eastAsiaTheme="minorEastAsia" w:cs="Segoe UI" w:hint="eastAsia"/>
                <w:sz w:val="17"/>
                <w:szCs w:val="17"/>
                <w:lang w:eastAsia="zh-HK"/>
              </w:rPr>
              <w:t>門的</w:t>
            </w:r>
            <w:r w:rsidRPr="006854AC">
              <w:rPr>
                <w:rFonts w:eastAsiaTheme="minorEastAsia" w:cs="Segoe UI"/>
                <w:sz w:val="17"/>
                <w:szCs w:val="17"/>
                <w:lang w:eastAsia="zh-HK"/>
              </w:rPr>
              <w:t>市場風險處理方法</w:t>
            </w:r>
            <w:r w:rsidR="00216601" w:rsidRPr="006854AC">
              <w:rPr>
                <w:rFonts w:eastAsiaTheme="minorEastAsia" w:cs="Segoe UI"/>
                <w:sz w:val="17"/>
                <w:szCs w:val="17"/>
                <w:lang w:eastAsia="zh-TW"/>
              </w:rPr>
              <w:t>，</w:t>
            </w:r>
            <w:r w:rsidRPr="006854AC">
              <w:rPr>
                <w:rFonts w:eastAsiaTheme="minorEastAsia" w:cs="Segoe UI"/>
                <w:sz w:val="17"/>
                <w:szCs w:val="17"/>
                <w:lang w:eastAsia="zh-HK"/>
              </w:rPr>
              <w:t>應容許認可機構填報</w:t>
            </w:r>
            <w:r w:rsidR="00216601" w:rsidRPr="006854AC">
              <w:rPr>
                <w:rFonts w:eastAsiaTheme="minorEastAsia" w:cs="Segoe UI" w:hint="eastAsia"/>
                <w:sz w:val="17"/>
                <w:szCs w:val="17"/>
                <w:lang w:eastAsia="zh-HK"/>
              </w:rPr>
              <w:t>該等</w:t>
            </w:r>
            <w:r w:rsidRPr="006854AC">
              <w:rPr>
                <w:rFonts w:eastAsiaTheme="minorEastAsia" w:cs="Segoe UI"/>
                <w:sz w:val="17"/>
                <w:szCs w:val="17"/>
                <w:lang w:eastAsia="zh-HK"/>
              </w:rPr>
              <w:t>風險</w:t>
            </w:r>
            <w:r w:rsidR="00EA0D6C" w:rsidRPr="006854AC">
              <w:rPr>
                <w:rFonts w:eastAsiaTheme="minorEastAsia" w:cs="Segoe UI"/>
                <w:sz w:val="17"/>
                <w:szCs w:val="17"/>
                <w:lang w:eastAsia="zh-HK"/>
              </w:rPr>
              <w:t>承</w:t>
            </w:r>
            <w:r w:rsidRPr="006854AC">
              <w:rPr>
                <w:rFonts w:eastAsiaTheme="minorEastAsia" w:cs="Segoe UI"/>
                <w:sz w:val="17"/>
                <w:szCs w:val="17"/>
                <w:lang w:eastAsia="zh-HK"/>
              </w:rPr>
              <w:t>擔的風險加權數額</w:t>
            </w:r>
            <w:r w:rsidRPr="006854AC">
              <w:rPr>
                <w:rFonts w:eastAsiaTheme="minorEastAsia" w:cs="Segoe UI"/>
                <w:sz w:val="17"/>
                <w:szCs w:val="17"/>
                <w:lang w:eastAsia="zh-TW"/>
              </w:rPr>
              <w:t>。</w:t>
            </w:r>
          </w:p>
          <w:p w14:paraId="19167989" w14:textId="7EE72DBE" w:rsidR="00B51F08" w:rsidRPr="006854AC" w:rsidRDefault="00B51F08" w:rsidP="00B51F08">
            <w:pPr>
              <w:keepNext/>
              <w:keepLines/>
              <w:tabs>
                <w:tab w:val="left" w:pos="150"/>
                <w:tab w:val="left" w:pos="397"/>
                <w:tab w:val="left" w:pos="794"/>
                <w:tab w:val="left" w:pos="1191"/>
              </w:tabs>
              <w:snapToGrid w:val="0"/>
              <w:spacing w:before="40" w:after="40"/>
              <w:jc w:val="both"/>
              <w:rPr>
                <w:rFonts w:eastAsiaTheme="minorEastAsia" w:cs="Segoe UI"/>
                <w:sz w:val="17"/>
                <w:szCs w:val="17"/>
                <w:lang w:eastAsia="zh-TW"/>
              </w:rPr>
            </w:pPr>
          </w:p>
        </w:tc>
      </w:tr>
      <w:tr w:rsidR="006854AC" w:rsidRPr="006854AC" w14:paraId="0E2CAFC0" w14:textId="77777777" w:rsidTr="00B51F08">
        <w:tc>
          <w:tcPr>
            <w:tcW w:w="9351" w:type="dxa"/>
            <w:gridSpan w:val="2"/>
            <w:shd w:val="clear" w:color="auto" w:fill="F2F2F2"/>
          </w:tcPr>
          <w:p w14:paraId="78F29AE1" w14:textId="77777777" w:rsidR="00DA1457" w:rsidRPr="006854AC" w:rsidRDefault="00DA1457" w:rsidP="00B51F08">
            <w:pPr>
              <w:keepNext/>
              <w:keepLines/>
              <w:tabs>
                <w:tab w:val="left" w:pos="150"/>
                <w:tab w:val="left" w:pos="397"/>
                <w:tab w:val="left" w:pos="794"/>
                <w:tab w:val="left" w:pos="1191"/>
              </w:tabs>
              <w:spacing w:before="40" w:after="40"/>
              <w:rPr>
                <w:rFonts w:eastAsia="新細明體"/>
                <w:b/>
                <w:sz w:val="17"/>
                <w:lang w:eastAsia="en-GB"/>
              </w:rPr>
            </w:pPr>
            <w:r w:rsidRPr="006854AC">
              <w:rPr>
                <w:rFonts w:eastAsia="新細明體" w:hint="eastAsia"/>
                <w:b/>
                <w:sz w:val="17"/>
                <w:lang w:eastAsia="zh-HK"/>
              </w:rPr>
              <w:t>行</w:t>
            </w:r>
          </w:p>
        </w:tc>
      </w:tr>
      <w:tr w:rsidR="006854AC" w:rsidRPr="006854AC" w14:paraId="5281466E" w14:textId="77777777" w:rsidTr="00B51F08">
        <w:tc>
          <w:tcPr>
            <w:tcW w:w="9351" w:type="dxa"/>
            <w:gridSpan w:val="2"/>
            <w:shd w:val="clear" w:color="auto" w:fill="auto"/>
          </w:tcPr>
          <w:p w14:paraId="635F1A4F" w14:textId="3A02888F" w:rsidR="00D26104" w:rsidRPr="006854AC" w:rsidRDefault="00DA1457" w:rsidP="00B51F08">
            <w:pPr>
              <w:keepLines/>
              <w:tabs>
                <w:tab w:val="left" w:pos="150"/>
                <w:tab w:val="left" w:pos="397"/>
                <w:tab w:val="left" w:pos="794"/>
                <w:tab w:val="left" w:pos="1191"/>
              </w:tabs>
              <w:spacing w:before="40" w:after="40"/>
              <w:jc w:val="both"/>
              <w:rPr>
                <w:rFonts w:ascii="新細明體" w:eastAsia="新細明體" w:hAnsi="新細明體" w:cs="Segoe UI"/>
                <w:sz w:val="17"/>
                <w:szCs w:val="17"/>
                <w:lang w:eastAsia="zh-TW"/>
              </w:rPr>
            </w:pPr>
            <w:r w:rsidRPr="006854AC">
              <w:rPr>
                <w:rFonts w:ascii="新細明體" w:eastAsia="新細明體" w:hAnsi="新細明體" w:cs="Segoe UI" w:hint="eastAsia"/>
                <w:i/>
                <w:sz w:val="17"/>
                <w:szCs w:val="17"/>
                <w:lang w:eastAsia="zh-HK"/>
              </w:rPr>
              <w:t>組別分配</w:t>
            </w:r>
            <w:r w:rsidRPr="006854AC">
              <w:rPr>
                <w:rFonts w:ascii="新細明體" w:eastAsia="新細明體" w:hAnsi="新細明體" w:cs="Segoe UI" w:hint="eastAsia"/>
                <w:i/>
                <w:sz w:val="17"/>
                <w:szCs w:val="17"/>
                <w:lang w:eastAsia="zh-TW"/>
              </w:rPr>
              <w:t>：</w:t>
            </w:r>
            <w:r w:rsidR="00D26104" w:rsidRPr="006854AC">
              <w:rPr>
                <w:rFonts w:ascii="新細明體" w:eastAsia="新細明體" w:hAnsi="新細明體" w:hint="eastAsia"/>
                <w:sz w:val="17"/>
                <w:lang w:eastAsia="zh-HK"/>
              </w:rPr>
              <w:t>本</w:t>
            </w:r>
            <w:r w:rsidR="00D26104" w:rsidRPr="006854AC">
              <w:rPr>
                <w:rFonts w:ascii="新細明體" w:eastAsia="新細明體" w:hAnsi="新細明體" w:hint="eastAsia"/>
                <w:sz w:val="17"/>
                <w:lang w:eastAsia="zh-TW"/>
              </w:rPr>
              <w:t>分類是</w:t>
            </w:r>
            <w:r w:rsidR="00952C4E" w:rsidRPr="006854AC">
              <w:rPr>
                <w:rFonts w:ascii="新細明體" w:eastAsia="新細明體" w:hAnsi="新細明體" w:hint="eastAsia"/>
                <w:sz w:val="17"/>
                <w:lang w:eastAsia="zh-HK"/>
              </w:rPr>
              <w:t>根</w:t>
            </w:r>
            <w:r w:rsidR="00952C4E" w:rsidRPr="006854AC">
              <w:rPr>
                <w:rFonts w:ascii="新細明體" w:eastAsia="新細明體" w:hAnsi="新細明體" w:hint="eastAsia"/>
                <w:sz w:val="17"/>
                <w:lang w:eastAsia="zh-TW"/>
              </w:rPr>
              <w:t>據</w:t>
            </w:r>
            <w:r w:rsidR="00D26104" w:rsidRPr="006854AC">
              <w:rPr>
                <w:rFonts w:ascii="新細明體" w:eastAsia="新細明體" w:hAnsi="新細明體" w:hint="eastAsia"/>
                <w:sz w:val="17"/>
                <w:lang w:eastAsia="zh-HK"/>
              </w:rPr>
              <w:t>認可機構</w:t>
            </w:r>
            <w:r w:rsidR="00952C4E" w:rsidRPr="006854AC">
              <w:rPr>
                <w:rFonts w:ascii="新細明體" w:eastAsia="新細明體" w:hAnsi="新細明體" w:hint="eastAsia"/>
                <w:sz w:val="17"/>
                <w:lang w:eastAsia="zh-TW"/>
              </w:rPr>
              <w:t>按</w:t>
            </w:r>
            <w:r w:rsidR="00D26104" w:rsidRPr="006854AC">
              <w:rPr>
                <w:rFonts w:ascii="新細明體" w:eastAsia="新細明體" w:hAnsi="新細明體" w:hint="eastAsia"/>
                <w:sz w:val="17"/>
                <w:lang w:eastAsia="zh-TW"/>
              </w:rPr>
              <w:t>《資本規則》第</w:t>
            </w:r>
            <w:r w:rsidR="00D26104" w:rsidRPr="006854AC">
              <w:rPr>
                <w:rFonts w:eastAsia="新細明體" w:cs="Segoe UI"/>
                <w:sz w:val="17"/>
                <w:lang w:eastAsia="zh-TW"/>
              </w:rPr>
              <w:t>361</w:t>
            </w:r>
            <w:r w:rsidR="00D26104" w:rsidRPr="006854AC">
              <w:rPr>
                <w:rFonts w:ascii="新細明體" w:eastAsia="新細明體" w:hAnsi="新細明體" w:hint="eastAsia"/>
                <w:sz w:val="17"/>
                <w:lang w:eastAsia="zh-HK"/>
              </w:rPr>
              <w:t>條</w:t>
            </w:r>
            <w:r w:rsidR="00952C4E" w:rsidRPr="006854AC">
              <w:rPr>
                <w:rFonts w:ascii="新細明體" w:eastAsia="新細明體" w:hAnsi="新細明體" w:hint="eastAsia"/>
                <w:sz w:val="17"/>
                <w:lang w:eastAsia="zh-HK"/>
              </w:rPr>
              <w:t>對加密資產</w:t>
            </w:r>
            <w:r w:rsidR="00D26104" w:rsidRPr="006854AC">
              <w:rPr>
                <w:rFonts w:ascii="新細明體" w:eastAsia="新細明體" w:hAnsi="新細明體" w:hint="eastAsia"/>
                <w:sz w:val="17"/>
                <w:lang w:eastAsia="zh-HK"/>
              </w:rPr>
              <w:t>所作</w:t>
            </w:r>
            <w:r w:rsidR="00D26104" w:rsidRPr="006854AC">
              <w:rPr>
                <w:rFonts w:ascii="新細明體" w:eastAsia="新細明體" w:hAnsi="新細明體" w:hint="eastAsia"/>
                <w:sz w:val="17"/>
                <w:lang w:eastAsia="zh-TW"/>
              </w:rPr>
              <w:t>的分類</w:t>
            </w:r>
            <w:r w:rsidR="00DD3F86" w:rsidRPr="006854AC">
              <w:rPr>
                <w:rFonts w:ascii="新細明體" w:eastAsia="新細明體" w:hAnsi="新細明體" w:hint="eastAsia"/>
                <w:sz w:val="17"/>
                <w:lang w:eastAsia="zh-TW"/>
              </w:rPr>
              <w:t>而定</w:t>
            </w:r>
            <w:r w:rsidR="00D26104" w:rsidRPr="006854AC">
              <w:rPr>
                <w:rFonts w:ascii="新細明體" w:eastAsia="新細明體" w:hAnsi="新細明體" w:hint="eastAsia"/>
                <w:sz w:val="17"/>
                <w:lang w:eastAsia="zh-TW"/>
              </w:rPr>
              <w:t>。</w:t>
            </w:r>
          </w:p>
        </w:tc>
      </w:tr>
      <w:tr w:rsidR="006854AC" w:rsidRPr="006854AC" w14:paraId="7136C96B" w14:textId="77777777" w:rsidTr="00B51F08">
        <w:tc>
          <w:tcPr>
            <w:tcW w:w="846" w:type="dxa"/>
            <w:shd w:val="clear" w:color="auto" w:fill="auto"/>
          </w:tcPr>
          <w:p w14:paraId="4477BBDC" w14:textId="77777777" w:rsidR="00DA1457" w:rsidRPr="006854AC" w:rsidRDefault="00DA1457" w:rsidP="00B51F08">
            <w:pPr>
              <w:keepNext/>
              <w:keepLines/>
              <w:tabs>
                <w:tab w:val="left" w:pos="150"/>
                <w:tab w:val="left" w:pos="397"/>
                <w:tab w:val="left" w:pos="794"/>
                <w:tab w:val="left" w:pos="1191"/>
              </w:tabs>
              <w:spacing w:before="40" w:after="40"/>
              <w:rPr>
                <w:rFonts w:eastAsia="新細明體" w:cs="Segoe UI"/>
                <w:sz w:val="17"/>
                <w:szCs w:val="17"/>
                <w:lang w:eastAsia="en-GB"/>
              </w:rPr>
            </w:pPr>
            <w:r w:rsidRPr="006854AC">
              <w:rPr>
                <w:rFonts w:eastAsia="新細明體" w:cs="Segoe UI"/>
                <w:sz w:val="17"/>
                <w:szCs w:val="17"/>
                <w:lang w:eastAsia="en-GB"/>
              </w:rPr>
              <w:t>2</w:t>
            </w:r>
            <w:r w:rsidRPr="006854AC">
              <w:rPr>
                <w:rFonts w:eastAsia="新細明體" w:cs="Segoe UI"/>
                <w:sz w:val="17"/>
                <w:szCs w:val="17"/>
                <w:lang w:eastAsia="zh-TW"/>
              </w:rPr>
              <w:t>、</w:t>
            </w:r>
            <w:r w:rsidRPr="006854AC">
              <w:rPr>
                <w:rFonts w:eastAsia="新細明體" w:cs="Segoe UI"/>
                <w:sz w:val="17"/>
                <w:szCs w:val="17"/>
                <w:lang w:eastAsia="en-GB"/>
              </w:rPr>
              <w:t>3</w:t>
            </w:r>
            <w:r w:rsidRPr="006854AC">
              <w:rPr>
                <w:rFonts w:eastAsia="新細明體" w:cs="Segoe UI"/>
                <w:sz w:val="17"/>
                <w:szCs w:val="17"/>
                <w:lang w:eastAsia="zh-HK"/>
              </w:rPr>
              <w:t>及</w:t>
            </w:r>
            <w:r w:rsidRPr="006854AC">
              <w:rPr>
                <w:rFonts w:eastAsia="新細明體" w:cs="Segoe UI"/>
                <w:sz w:val="17"/>
                <w:szCs w:val="17"/>
                <w:lang w:eastAsia="en-GB"/>
              </w:rPr>
              <w:t>4</w:t>
            </w:r>
          </w:p>
        </w:tc>
        <w:tc>
          <w:tcPr>
            <w:tcW w:w="8505" w:type="dxa"/>
            <w:shd w:val="clear" w:color="auto" w:fill="auto"/>
          </w:tcPr>
          <w:p w14:paraId="406EAEDA" w14:textId="10A9E8B6" w:rsidR="00DA1457" w:rsidRPr="006854AC" w:rsidRDefault="00DA1457" w:rsidP="00B51F08">
            <w:pPr>
              <w:keepNext/>
              <w:keepLines/>
              <w:tabs>
                <w:tab w:val="left" w:pos="150"/>
                <w:tab w:val="left" w:pos="397"/>
                <w:tab w:val="left" w:pos="794"/>
                <w:tab w:val="left" w:pos="1191"/>
              </w:tabs>
              <w:spacing w:before="40" w:after="40"/>
              <w:jc w:val="both"/>
              <w:rPr>
                <w:rFonts w:eastAsiaTheme="minorEastAsia" w:cs="Segoe UI"/>
                <w:i/>
                <w:sz w:val="17"/>
                <w:szCs w:val="17"/>
                <w:lang w:eastAsia="zh-TW"/>
              </w:rPr>
            </w:pPr>
            <w:r w:rsidRPr="006854AC">
              <w:rPr>
                <w:rFonts w:eastAsiaTheme="minorEastAsia" w:cs="Segoe UI" w:hint="eastAsia"/>
                <w:i/>
                <w:sz w:val="17"/>
                <w:szCs w:val="17"/>
                <w:lang w:eastAsia="zh-HK"/>
              </w:rPr>
              <w:t>第</w:t>
            </w:r>
            <w:r w:rsidRPr="006854AC">
              <w:rPr>
                <w:rFonts w:eastAsiaTheme="minorEastAsia" w:cs="Segoe UI"/>
                <w:i/>
                <w:sz w:val="17"/>
                <w:szCs w:val="17"/>
                <w:lang w:eastAsia="zh-TW"/>
              </w:rPr>
              <w:t>1b/2a/2b</w:t>
            </w:r>
            <w:r w:rsidRPr="006854AC">
              <w:rPr>
                <w:rFonts w:eastAsiaTheme="minorEastAsia" w:cs="Segoe UI" w:hint="eastAsia"/>
                <w:i/>
                <w:sz w:val="17"/>
                <w:szCs w:val="17"/>
                <w:lang w:eastAsia="zh-HK"/>
              </w:rPr>
              <w:t>組加密資產</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屬於該等組別的所有加密資產的相關數額</w:t>
            </w:r>
            <w:r w:rsidRPr="006854AC">
              <w:rPr>
                <w:rFonts w:eastAsiaTheme="minorEastAsia" w:cs="Segoe UI" w:hint="eastAsia"/>
                <w:sz w:val="17"/>
                <w:szCs w:val="17"/>
                <w:lang w:eastAsia="zh-TW"/>
              </w:rPr>
              <w:t>（</w:t>
            </w:r>
            <w:r w:rsidR="00430858" w:rsidRPr="006854AC">
              <w:rPr>
                <w:rFonts w:eastAsiaTheme="minorEastAsia" w:cs="Segoe UI" w:hint="eastAsia"/>
                <w:sz w:val="17"/>
                <w:szCs w:val="17"/>
                <w:lang w:eastAsia="zh-HK"/>
              </w:rPr>
              <w:t>即不僅是</w:t>
            </w:r>
            <w:r w:rsidRPr="006854AC">
              <w:rPr>
                <w:rFonts w:eastAsiaTheme="minorEastAsia" w:cs="Segoe UI" w:hint="eastAsia"/>
                <w:sz w:val="17"/>
                <w:szCs w:val="17"/>
                <w:lang w:eastAsia="zh-HK"/>
              </w:rPr>
              <w:t>本模版內每</w:t>
            </w:r>
            <w:r w:rsidR="00475C88" w:rsidRPr="006854AC">
              <w:rPr>
                <w:rFonts w:eastAsiaTheme="minorEastAsia" w:cs="Segoe UI" w:hint="eastAsia"/>
                <w:sz w:val="17"/>
                <w:szCs w:val="17"/>
                <w:lang w:eastAsia="zh-HK"/>
              </w:rPr>
              <w:t>個</w:t>
            </w:r>
            <w:r w:rsidRPr="006854AC">
              <w:rPr>
                <w:rFonts w:eastAsiaTheme="minorEastAsia" w:cs="Segoe UI" w:hint="eastAsia"/>
                <w:sz w:val="17"/>
                <w:szCs w:val="17"/>
                <w:lang w:eastAsia="zh-HK"/>
              </w:rPr>
              <w:t>組</w:t>
            </w:r>
            <w:r w:rsidR="00430858" w:rsidRPr="006854AC">
              <w:rPr>
                <w:rFonts w:eastAsiaTheme="minorEastAsia" w:cs="Segoe UI" w:hint="eastAsia"/>
                <w:sz w:val="17"/>
                <w:szCs w:val="17"/>
                <w:lang w:eastAsia="zh-HK"/>
              </w:rPr>
              <w:t>別</w:t>
            </w:r>
            <w:r w:rsidRPr="006854AC">
              <w:rPr>
                <w:rFonts w:eastAsiaTheme="minorEastAsia" w:cs="Segoe UI" w:hint="eastAsia"/>
                <w:sz w:val="17"/>
                <w:szCs w:val="17"/>
                <w:lang w:eastAsia="zh-HK"/>
              </w:rPr>
              <w:t>的細目分類所涵蓋對穩定幣及</w:t>
            </w:r>
            <w:r w:rsidR="00952C4E" w:rsidRPr="006854AC">
              <w:rPr>
                <w:rFonts w:eastAsiaTheme="minorEastAsia" w:cs="Segoe UI" w:hint="eastAsia"/>
                <w:sz w:val="17"/>
                <w:szCs w:val="17"/>
                <w:lang w:eastAsia="zh-HK"/>
              </w:rPr>
              <w:t>不具</w:t>
            </w:r>
            <w:r w:rsidRPr="006854AC">
              <w:rPr>
                <w:rFonts w:eastAsiaTheme="minorEastAsia" w:cs="Segoe UI"/>
                <w:sz w:val="17"/>
                <w:szCs w:val="17"/>
                <w:lang w:eastAsia="zh-HK"/>
              </w:rPr>
              <w:t>資產支持</w:t>
            </w:r>
            <w:r w:rsidR="00475C88" w:rsidRPr="006854AC">
              <w:rPr>
                <w:rFonts w:eastAsiaTheme="minorEastAsia" w:cs="Segoe UI" w:hint="eastAsia"/>
                <w:sz w:val="17"/>
                <w:szCs w:val="17"/>
                <w:lang w:eastAsia="zh-HK"/>
              </w:rPr>
              <w:t>的</w:t>
            </w:r>
            <w:r w:rsidRPr="006854AC">
              <w:rPr>
                <w:rFonts w:eastAsiaTheme="minorEastAsia" w:cs="Segoe UI"/>
                <w:sz w:val="17"/>
                <w:szCs w:val="17"/>
                <w:lang w:eastAsia="zh-HK"/>
              </w:rPr>
              <w:t>加密資產的每項重大</w:t>
            </w:r>
            <w:r w:rsidRPr="006854AC">
              <w:rPr>
                <w:rFonts w:eastAsiaTheme="minorEastAsia" w:cs="Segoe UI" w:hint="eastAsia"/>
                <w:sz w:val="17"/>
                <w:szCs w:val="17"/>
                <w:lang w:eastAsia="zh-HK"/>
              </w:rPr>
              <w:t>個別</w:t>
            </w:r>
            <w:r w:rsidRPr="006854AC">
              <w:rPr>
                <w:rFonts w:eastAsiaTheme="minorEastAsia" w:cs="Segoe UI"/>
                <w:sz w:val="17"/>
                <w:szCs w:val="17"/>
                <w:lang w:eastAsia="zh-HK"/>
              </w:rPr>
              <w:t>風險承擔</w:t>
            </w:r>
            <w:r w:rsidR="00BE274E" w:rsidRPr="006854AC">
              <w:rPr>
                <w:rFonts w:eastAsiaTheme="minorEastAsia" w:cs="Segoe UI" w:hint="eastAsia"/>
                <w:sz w:val="17"/>
                <w:szCs w:val="17"/>
                <w:lang w:eastAsia="zh-HK"/>
              </w:rPr>
              <w:t>的總和</w:t>
            </w:r>
            <w:r w:rsidRPr="006854AC">
              <w:rPr>
                <w:rFonts w:eastAsiaTheme="minorEastAsia" w:cs="Segoe UI"/>
                <w:sz w:val="17"/>
                <w:szCs w:val="17"/>
                <w:lang w:eastAsia="zh-TW"/>
              </w:rPr>
              <w:t>）</w:t>
            </w:r>
            <w:r w:rsidRPr="006854AC">
              <w:rPr>
                <w:rFonts w:eastAsiaTheme="minorEastAsia" w:cs="Segoe UI" w:hint="eastAsia"/>
                <w:sz w:val="17"/>
                <w:szCs w:val="17"/>
                <w:lang w:eastAsia="zh-TW"/>
              </w:rPr>
              <w:t>。</w:t>
            </w:r>
          </w:p>
        </w:tc>
      </w:tr>
      <w:tr w:rsidR="006854AC" w:rsidRPr="006854AC" w14:paraId="5C0AD172" w14:textId="77777777" w:rsidTr="00B51F08">
        <w:tc>
          <w:tcPr>
            <w:tcW w:w="846" w:type="dxa"/>
            <w:shd w:val="clear" w:color="auto" w:fill="auto"/>
          </w:tcPr>
          <w:p w14:paraId="5DDA011C" w14:textId="77777777" w:rsidR="00DA1457" w:rsidRPr="006854AC" w:rsidRDefault="00DA1457" w:rsidP="00B51F08">
            <w:pPr>
              <w:keepNext/>
              <w:keepLines/>
              <w:tabs>
                <w:tab w:val="left" w:pos="150"/>
                <w:tab w:val="left" w:pos="397"/>
                <w:tab w:val="left" w:pos="794"/>
                <w:tab w:val="left" w:pos="1191"/>
              </w:tabs>
              <w:spacing w:before="40" w:after="40"/>
              <w:rPr>
                <w:rFonts w:eastAsia="新細明體" w:cs="Segoe UI"/>
                <w:sz w:val="17"/>
                <w:szCs w:val="17"/>
                <w:lang w:eastAsia="en-GB"/>
              </w:rPr>
            </w:pPr>
            <w:r w:rsidRPr="006854AC">
              <w:rPr>
                <w:rFonts w:eastAsia="新細明體" w:cs="Segoe UI"/>
                <w:sz w:val="17"/>
                <w:szCs w:val="17"/>
                <w:lang w:eastAsia="en-GB"/>
              </w:rPr>
              <w:t>6</w:t>
            </w:r>
          </w:p>
        </w:tc>
        <w:tc>
          <w:tcPr>
            <w:tcW w:w="8505" w:type="dxa"/>
            <w:shd w:val="clear" w:color="auto" w:fill="auto"/>
          </w:tcPr>
          <w:p w14:paraId="0F69771A" w14:textId="2F15CB62" w:rsidR="00DF6B06" w:rsidRPr="006854AC" w:rsidRDefault="00DA1457" w:rsidP="00B51F08">
            <w:pPr>
              <w:keepNext/>
              <w:keepLines/>
              <w:tabs>
                <w:tab w:val="left" w:pos="150"/>
                <w:tab w:val="left" w:pos="397"/>
                <w:tab w:val="left" w:pos="794"/>
                <w:tab w:val="left" w:pos="1191"/>
              </w:tabs>
              <w:spacing w:before="40" w:after="40"/>
              <w:jc w:val="both"/>
              <w:rPr>
                <w:rFonts w:eastAsiaTheme="minorEastAsia" w:cs="Segoe UI"/>
                <w:i/>
                <w:sz w:val="17"/>
                <w:szCs w:val="17"/>
                <w:lang w:eastAsia="zh-TW"/>
              </w:rPr>
            </w:pPr>
            <w:r w:rsidRPr="006854AC">
              <w:rPr>
                <w:rFonts w:eastAsiaTheme="minorEastAsia" w:cs="Segoe UI"/>
                <w:i/>
                <w:sz w:val="17"/>
                <w:szCs w:val="17"/>
                <w:lang w:eastAsia="zh-HK"/>
              </w:rPr>
              <w:t>第</w:t>
            </w:r>
            <w:r w:rsidRPr="006854AC">
              <w:rPr>
                <w:rFonts w:eastAsiaTheme="minorEastAsia" w:cs="Segoe UI"/>
                <w:i/>
                <w:sz w:val="17"/>
                <w:szCs w:val="17"/>
                <w:lang w:eastAsia="zh-TW"/>
              </w:rPr>
              <w:t>2</w:t>
            </w:r>
            <w:r w:rsidRPr="006854AC">
              <w:rPr>
                <w:rFonts w:eastAsiaTheme="minorEastAsia" w:cs="Segoe UI"/>
                <w:i/>
                <w:sz w:val="17"/>
                <w:szCs w:val="17"/>
                <w:lang w:eastAsia="zh-HK"/>
              </w:rPr>
              <w:t>組加密資產風險承擔限額</w:t>
            </w:r>
            <w:r w:rsidRPr="006854AC">
              <w:rPr>
                <w:rFonts w:eastAsiaTheme="minorEastAsia" w:cs="Segoe UI"/>
                <w:i/>
                <w:sz w:val="17"/>
                <w:szCs w:val="17"/>
                <w:lang w:eastAsia="zh-TW"/>
              </w:rPr>
              <w:t>——</w:t>
            </w:r>
            <w:r w:rsidRPr="006854AC">
              <w:rPr>
                <w:rFonts w:eastAsiaTheme="minorEastAsia" w:cs="Segoe UI"/>
                <w:i/>
                <w:sz w:val="17"/>
                <w:szCs w:val="17"/>
                <w:lang w:eastAsia="zh-HK"/>
              </w:rPr>
              <w:t>直</w:t>
            </w:r>
            <w:r w:rsidRPr="006854AC">
              <w:rPr>
                <w:rFonts w:eastAsiaTheme="minorEastAsia" w:cs="Segoe UI" w:hint="eastAsia"/>
                <w:i/>
                <w:sz w:val="17"/>
                <w:szCs w:val="17"/>
                <w:lang w:eastAsia="zh-HK"/>
              </w:rPr>
              <w:t>接</w:t>
            </w:r>
            <w:r w:rsidRPr="006854AC">
              <w:rPr>
                <w:rFonts w:eastAsiaTheme="minorEastAsia" w:cs="Segoe UI"/>
                <w:i/>
                <w:sz w:val="17"/>
                <w:szCs w:val="17"/>
                <w:lang w:eastAsia="zh-HK"/>
              </w:rPr>
              <w:t>持有</w:t>
            </w:r>
            <w:r w:rsidRPr="006854AC">
              <w:rPr>
                <w:rFonts w:eastAsiaTheme="minorEastAsia" w:cs="Segoe UI"/>
                <w:sz w:val="17"/>
                <w:szCs w:val="17"/>
                <w:lang w:eastAsia="zh-TW"/>
              </w:rPr>
              <w:t>：</w:t>
            </w:r>
            <w:r w:rsidR="00814E5D" w:rsidRPr="006854AC">
              <w:rPr>
                <w:rFonts w:eastAsiaTheme="minorEastAsia" w:cs="Segoe UI" w:hint="eastAsia"/>
                <w:sz w:val="17"/>
                <w:szCs w:val="17"/>
                <w:lang w:eastAsia="zh-HK"/>
              </w:rPr>
              <w:t>根據</w:t>
            </w:r>
            <w:r w:rsidR="00814E5D" w:rsidRPr="006854AC">
              <w:rPr>
                <w:rFonts w:eastAsiaTheme="minorEastAsia" w:cs="Segoe UI"/>
                <w:sz w:val="17"/>
                <w:szCs w:val="17"/>
                <w:lang w:eastAsia="zh-HK"/>
              </w:rPr>
              <w:t>《資本規則》第</w:t>
            </w:r>
            <w:r w:rsidR="00814E5D" w:rsidRPr="006854AC">
              <w:rPr>
                <w:rFonts w:eastAsiaTheme="minorEastAsia" w:cs="Segoe UI"/>
                <w:sz w:val="17"/>
                <w:szCs w:val="17"/>
                <w:lang w:eastAsia="zh-TW"/>
              </w:rPr>
              <w:t>12</w:t>
            </w:r>
            <w:r w:rsidR="00814E5D" w:rsidRPr="006854AC">
              <w:rPr>
                <w:rFonts w:eastAsiaTheme="minorEastAsia" w:cs="Segoe UI"/>
                <w:sz w:val="17"/>
                <w:szCs w:val="17"/>
                <w:lang w:eastAsia="zh-HK"/>
              </w:rPr>
              <w:t>部第</w:t>
            </w:r>
            <w:r w:rsidR="00814E5D" w:rsidRPr="006854AC">
              <w:rPr>
                <w:rFonts w:eastAsiaTheme="minorEastAsia" w:cs="Segoe UI"/>
                <w:sz w:val="17"/>
                <w:szCs w:val="17"/>
                <w:lang w:eastAsia="zh-TW"/>
              </w:rPr>
              <w:t>8</w:t>
            </w:r>
            <w:r w:rsidR="00814E5D" w:rsidRPr="006854AC">
              <w:rPr>
                <w:rFonts w:eastAsiaTheme="minorEastAsia" w:cs="Segoe UI"/>
                <w:sz w:val="17"/>
                <w:szCs w:val="17"/>
                <w:lang w:eastAsia="zh-HK"/>
              </w:rPr>
              <w:t>分部</w:t>
            </w:r>
            <w:r w:rsidR="00814E5D" w:rsidRPr="006854AC">
              <w:rPr>
                <w:rFonts w:eastAsiaTheme="minorEastAsia" w:cs="Segoe UI" w:hint="eastAsia"/>
                <w:sz w:val="17"/>
                <w:szCs w:val="17"/>
                <w:lang w:eastAsia="zh-HK"/>
              </w:rPr>
              <w:t>所訂的</w:t>
            </w:r>
            <w:r w:rsidR="00814E5D" w:rsidRPr="006854AC">
              <w:rPr>
                <w:rFonts w:eastAsiaTheme="minorEastAsia" w:cs="Segoe UI"/>
                <w:sz w:val="17"/>
                <w:szCs w:val="17"/>
                <w:lang w:eastAsia="zh-HK"/>
              </w:rPr>
              <w:t>第</w:t>
            </w:r>
            <w:r w:rsidR="00814E5D" w:rsidRPr="006854AC">
              <w:rPr>
                <w:rFonts w:eastAsiaTheme="minorEastAsia" w:cs="Segoe UI"/>
                <w:sz w:val="17"/>
                <w:szCs w:val="17"/>
                <w:lang w:eastAsia="zh-HK"/>
              </w:rPr>
              <w:t>2</w:t>
            </w:r>
            <w:r w:rsidR="00814E5D" w:rsidRPr="006854AC">
              <w:rPr>
                <w:rFonts w:eastAsiaTheme="minorEastAsia" w:cs="Segoe UI"/>
                <w:sz w:val="17"/>
                <w:szCs w:val="17"/>
                <w:lang w:eastAsia="zh-HK"/>
              </w:rPr>
              <w:t>組加密資產風險承擔比率</w:t>
            </w:r>
            <w:r w:rsidR="00814E5D" w:rsidRPr="006854AC">
              <w:rPr>
                <w:rFonts w:eastAsiaTheme="minorEastAsia" w:cs="Segoe UI" w:hint="eastAsia"/>
                <w:sz w:val="17"/>
                <w:szCs w:val="17"/>
                <w:lang w:eastAsia="zh-HK"/>
              </w:rPr>
              <w:t>計算下的第</w:t>
            </w:r>
            <w:r w:rsidR="00814E5D" w:rsidRPr="006854AC">
              <w:rPr>
                <w:rFonts w:eastAsiaTheme="minorEastAsia" w:cs="Segoe UI" w:hint="eastAsia"/>
                <w:sz w:val="17"/>
                <w:szCs w:val="17"/>
                <w:lang w:eastAsia="zh-TW"/>
              </w:rPr>
              <w:t>2</w:t>
            </w:r>
            <w:r w:rsidR="00814E5D" w:rsidRPr="006854AC">
              <w:rPr>
                <w:rFonts w:eastAsiaTheme="minorEastAsia" w:cs="Segoe UI" w:hint="eastAsia"/>
                <w:sz w:val="17"/>
                <w:szCs w:val="17"/>
                <w:lang w:eastAsia="zh-HK"/>
              </w:rPr>
              <w:t>組加密資產的直接持有總額</w:t>
            </w:r>
            <w:r w:rsidR="00814E5D" w:rsidRPr="006854AC">
              <w:rPr>
                <w:rFonts w:eastAsiaTheme="minorEastAsia" w:cs="Segoe UI" w:hint="eastAsia"/>
                <w:sz w:val="17"/>
                <w:szCs w:val="17"/>
                <w:lang w:eastAsia="zh-TW"/>
              </w:rPr>
              <w:t>。</w:t>
            </w:r>
          </w:p>
        </w:tc>
      </w:tr>
      <w:tr w:rsidR="006854AC" w:rsidRPr="006854AC" w14:paraId="66A16884" w14:textId="77777777" w:rsidTr="00B51F08">
        <w:tc>
          <w:tcPr>
            <w:tcW w:w="846" w:type="dxa"/>
            <w:shd w:val="clear" w:color="auto" w:fill="auto"/>
          </w:tcPr>
          <w:p w14:paraId="2611FAAD" w14:textId="77777777" w:rsidR="00DA1457" w:rsidRPr="006854AC" w:rsidRDefault="00DA1457" w:rsidP="00B51F08">
            <w:pPr>
              <w:keepNext/>
              <w:keepLines/>
              <w:tabs>
                <w:tab w:val="left" w:pos="150"/>
                <w:tab w:val="left" w:pos="397"/>
                <w:tab w:val="left" w:pos="794"/>
                <w:tab w:val="left" w:pos="1191"/>
              </w:tabs>
              <w:spacing w:before="40" w:after="40"/>
              <w:rPr>
                <w:rFonts w:eastAsia="新細明體" w:cs="Segoe UI"/>
                <w:sz w:val="17"/>
                <w:szCs w:val="17"/>
                <w:lang w:eastAsia="en-GB"/>
              </w:rPr>
            </w:pPr>
            <w:r w:rsidRPr="006854AC">
              <w:rPr>
                <w:rFonts w:eastAsia="新細明體" w:cs="Segoe UI"/>
                <w:sz w:val="17"/>
                <w:szCs w:val="17"/>
                <w:lang w:eastAsia="en-GB"/>
              </w:rPr>
              <w:t>7</w:t>
            </w:r>
          </w:p>
        </w:tc>
        <w:tc>
          <w:tcPr>
            <w:tcW w:w="8505" w:type="dxa"/>
            <w:shd w:val="clear" w:color="auto" w:fill="auto"/>
          </w:tcPr>
          <w:p w14:paraId="1ACA86C8" w14:textId="1F23E3F3" w:rsidR="00DA1457" w:rsidRPr="006854AC" w:rsidRDefault="00DA1457" w:rsidP="00B51F08">
            <w:pPr>
              <w:keepNext/>
              <w:keepLines/>
              <w:tabs>
                <w:tab w:val="left" w:pos="150"/>
                <w:tab w:val="left" w:pos="397"/>
                <w:tab w:val="left" w:pos="794"/>
                <w:tab w:val="left" w:pos="1191"/>
              </w:tabs>
              <w:spacing w:before="40" w:after="40"/>
              <w:jc w:val="both"/>
              <w:rPr>
                <w:rFonts w:eastAsiaTheme="minorEastAsia" w:cs="Segoe UI"/>
                <w:i/>
                <w:sz w:val="17"/>
                <w:szCs w:val="17"/>
                <w:lang w:eastAsia="zh-TW"/>
              </w:rPr>
            </w:pPr>
            <w:r w:rsidRPr="006854AC">
              <w:rPr>
                <w:rFonts w:eastAsiaTheme="minorEastAsia" w:cs="Segoe UI"/>
                <w:i/>
                <w:sz w:val="17"/>
                <w:szCs w:val="17"/>
                <w:lang w:eastAsia="zh-HK"/>
              </w:rPr>
              <w:t>第</w:t>
            </w:r>
            <w:r w:rsidRPr="006854AC">
              <w:rPr>
                <w:rFonts w:eastAsiaTheme="minorEastAsia" w:cs="Segoe UI"/>
                <w:i/>
                <w:sz w:val="17"/>
                <w:szCs w:val="17"/>
                <w:lang w:eastAsia="zh-TW"/>
              </w:rPr>
              <w:t>2</w:t>
            </w:r>
            <w:r w:rsidRPr="006854AC">
              <w:rPr>
                <w:rFonts w:eastAsiaTheme="minorEastAsia" w:cs="Segoe UI"/>
                <w:i/>
                <w:sz w:val="17"/>
                <w:szCs w:val="17"/>
                <w:lang w:eastAsia="zh-HK"/>
              </w:rPr>
              <w:t>組加密資產風險承擔限額</w:t>
            </w:r>
            <w:r w:rsidRPr="006854AC">
              <w:rPr>
                <w:rFonts w:eastAsiaTheme="minorEastAsia" w:cs="Segoe UI"/>
                <w:i/>
                <w:sz w:val="17"/>
                <w:szCs w:val="17"/>
                <w:lang w:eastAsia="zh-TW"/>
              </w:rPr>
              <w:t>——</w:t>
            </w:r>
            <w:r w:rsidRPr="006854AC">
              <w:rPr>
                <w:rFonts w:eastAsiaTheme="minorEastAsia" w:cs="Segoe UI" w:hint="eastAsia"/>
                <w:i/>
                <w:sz w:val="17"/>
                <w:szCs w:val="17"/>
                <w:lang w:eastAsia="zh-HK"/>
              </w:rPr>
              <w:t>間接</w:t>
            </w:r>
            <w:r w:rsidRPr="006854AC">
              <w:rPr>
                <w:rFonts w:eastAsiaTheme="minorEastAsia" w:cs="Segoe UI"/>
                <w:i/>
                <w:sz w:val="17"/>
                <w:szCs w:val="17"/>
                <w:lang w:eastAsia="zh-HK"/>
              </w:rPr>
              <w:t>持有</w:t>
            </w:r>
            <w:r w:rsidRPr="006854AC">
              <w:rPr>
                <w:rFonts w:eastAsiaTheme="minorEastAsia" w:cs="Segoe UI"/>
                <w:sz w:val="17"/>
                <w:szCs w:val="17"/>
                <w:lang w:eastAsia="zh-TW"/>
              </w:rPr>
              <w:t>：</w:t>
            </w:r>
            <w:r w:rsidR="00430858" w:rsidRPr="006854AC">
              <w:rPr>
                <w:rFonts w:eastAsiaTheme="minorEastAsia" w:cs="Segoe UI" w:hint="eastAsia"/>
                <w:sz w:val="17"/>
                <w:szCs w:val="17"/>
                <w:lang w:eastAsia="zh-HK"/>
              </w:rPr>
              <w:t>根據</w:t>
            </w:r>
            <w:r w:rsidRPr="006854AC">
              <w:rPr>
                <w:rFonts w:eastAsiaTheme="minorEastAsia" w:cs="Segoe UI"/>
                <w:sz w:val="17"/>
                <w:szCs w:val="17"/>
                <w:lang w:eastAsia="zh-HK"/>
              </w:rPr>
              <w:t>《資本規則》第</w:t>
            </w:r>
            <w:r w:rsidRPr="006854AC">
              <w:rPr>
                <w:rFonts w:eastAsiaTheme="minorEastAsia" w:cs="Segoe UI"/>
                <w:sz w:val="17"/>
                <w:szCs w:val="17"/>
                <w:lang w:eastAsia="zh-TW"/>
              </w:rPr>
              <w:t>12</w:t>
            </w:r>
            <w:r w:rsidRPr="006854AC">
              <w:rPr>
                <w:rFonts w:eastAsiaTheme="minorEastAsia" w:cs="Segoe UI"/>
                <w:sz w:val="17"/>
                <w:szCs w:val="17"/>
                <w:lang w:eastAsia="zh-HK"/>
              </w:rPr>
              <w:t>部第</w:t>
            </w:r>
            <w:r w:rsidRPr="006854AC">
              <w:rPr>
                <w:rFonts w:eastAsiaTheme="minorEastAsia" w:cs="Segoe UI"/>
                <w:sz w:val="17"/>
                <w:szCs w:val="17"/>
                <w:lang w:eastAsia="zh-TW"/>
              </w:rPr>
              <w:t>8</w:t>
            </w:r>
            <w:r w:rsidRPr="006854AC">
              <w:rPr>
                <w:rFonts w:eastAsiaTheme="minorEastAsia" w:cs="Segoe UI"/>
                <w:sz w:val="17"/>
                <w:szCs w:val="17"/>
                <w:lang w:eastAsia="zh-HK"/>
              </w:rPr>
              <w:t>分部</w:t>
            </w:r>
            <w:r w:rsidR="00F67D2B" w:rsidRPr="006854AC">
              <w:rPr>
                <w:rFonts w:eastAsiaTheme="minorEastAsia" w:cs="Segoe UI" w:hint="eastAsia"/>
                <w:sz w:val="17"/>
                <w:szCs w:val="17"/>
                <w:lang w:eastAsia="zh-HK"/>
              </w:rPr>
              <w:t>所訂的</w:t>
            </w:r>
            <w:r w:rsidRPr="006854AC">
              <w:rPr>
                <w:rFonts w:eastAsiaTheme="minorEastAsia" w:cs="Segoe UI"/>
                <w:sz w:val="17"/>
                <w:szCs w:val="17"/>
                <w:lang w:eastAsia="zh-HK"/>
              </w:rPr>
              <w:t>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組加密資產風險承擔比率</w:t>
            </w:r>
            <w:r w:rsidR="00F67D2B" w:rsidRPr="006854AC">
              <w:rPr>
                <w:rFonts w:eastAsiaTheme="minorEastAsia" w:cs="Segoe UI" w:hint="eastAsia"/>
                <w:sz w:val="17"/>
                <w:szCs w:val="17"/>
                <w:lang w:eastAsia="zh-HK"/>
              </w:rPr>
              <w:t>計算下</w:t>
            </w:r>
            <w:r w:rsidRPr="006854AC">
              <w:rPr>
                <w:rFonts w:eastAsiaTheme="minorEastAsia" w:cs="Segoe UI" w:hint="eastAsia"/>
                <w:sz w:val="17"/>
                <w:szCs w:val="17"/>
                <w:lang w:eastAsia="zh-HK"/>
              </w:rPr>
              <w:t>的第</w:t>
            </w:r>
            <w:r w:rsidRPr="006854AC">
              <w:rPr>
                <w:rFonts w:eastAsiaTheme="minorEastAsia" w:cs="Segoe UI" w:hint="eastAsia"/>
                <w:sz w:val="17"/>
                <w:szCs w:val="17"/>
                <w:lang w:eastAsia="zh-TW"/>
              </w:rPr>
              <w:t>2</w:t>
            </w:r>
            <w:r w:rsidRPr="006854AC">
              <w:rPr>
                <w:rFonts w:eastAsiaTheme="minorEastAsia" w:cs="Segoe UI" w:hint="eastAsia"/>
                <w:sz w:val="17"/>
                <w:szCs w:val="17"/>
                <w:lang w:eastAsia="zh-HK"/>
              </w:rPr>
              <w:t>組加密資產的間接持有總額</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例如透過投資基金、交易所買賣基金</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交易所買賣票據</w:t>
            </w:r>
            <w:r w:rsidRPr="006854AC">
              <w:rPr>
                <w:rFonts w:eastAsiaTheme="minorEastAsia" w:cs="Segoe UI" w:hint="eastAsia"/>
                <w:sz w:val="17"/>
                <w:szCs w:val="17"/>
                <w:lang w:eastAsia="zh-TW"/>
              </w:rPr>
              <w:t>，</w:t>
            </w:r>
            <w:r w:rsidR="00430858" w:rsidRPr="006854AC">
              <w:rPr>
                <w:rFonts w:eastAsiaTheme="minorEastAsia" w:cs="Segoe UI" w:hint="eastAsia"/>
                <w:sz w:val="17"/>
                <w:szCs w:val="17"/>
                <w:lang w:eastAsia="zh-HK"/>
              </w:rPr>
              <w:t>或任何</w:t>
            </w:r>
            <w:r w:rsidRPr="006854AC">
              <w:rPr>
                <w:rFonts w:eastAsiaTheme="minorEastAsia" w:cs="Segoe UI" w:hint="eastAsia"/>
                <w:sz w:val="17"/>
                <w:szCs w:val="17"/>
                <w:lang w:eastAsia="zh-HK"/>
              </w:rPr>
              <w:t>旨在提供加密資產風險承擔的法律安排</w:t>
            </w:r>
            <w:r w:rsidR="008A6B24" w:rsidRPr="006854AC">
              <w:rPr>
                <w:rFonts w:eastAsiaTheme="minorEastAsia" w:cs="Segoe UI" w:hint="eastAsia"/>
                <w:sz w:val="17"/>
                <w:szCs w:val="17"/>
                <w:lang w:eastAsia="zh-HK"/>
              </w:rPr>
              <w:t>而間接持有</w:t>
            </w:r>
            <w:r w:rsidRPr="006854AC">
              <w:rPr>
                <w:rFonts w:eastAsiaTheme="minorEastAsia" w:cs="Segoe UI" w:hint="eastAsia"/>
                <w:sz w:val="17"/>
                <w:szCs w:val="17"/>
                <w:lang w:eastAsia="zh-TW"/>
              </w:rPr>
              <w:t>）。</w:t>
            </w:r>
            <w:r w:rsidR="00F67D2B" w:rsidRPr="006854AC">
              <w:rPr>
                <w:rFonts w:eastAsiaTheme="minorEastAsia" w:cs="Segoe UI" w:hint="eastAsia"/>
                <w:sz w:val="17"/>
                <w:szCs w:val="17"/>
                <w:lang w:eastAsia="zh-TW"/>
              </w:rPr>
              <w:t xml:space="preserve"> </w:t>
            </w:r>
          </w:p>
        </w:tc>
      </w:tr>
      <w:tr w:rsidR="006854AC" w:rsidRPr="006854AC" w14:paraId="4100B532" w14:textId="77777777" w:rsidTr="00B51F08">
        <w:tc>
          <w:tcPr>
            <w:tcW w:w="846" w:type="dxa"/>
            <w:shd w:val="clear" w:color="auto" w:fill="auto"/>
          </w:tcPr>
          <w:p w14:paraId="59338331" w14:textId="77777777" w:rsidR="00DA1457" w:rsidRPr="006854AC" w:rsidRDefault="00DA1457" w:rsidP="00B51F08">
            <w:pPr>
              <w:keepNext/>
              <w:keepLines/>
              <w:tabs>
                <w:tab w:val="left" w:pos="150"/>
                <w:tab w:val="left" w:pos="397"/>
                <w:tab w:val="left" w:pos="794"/>
                <w:tab w:val="left" w:pos="1191"/>
              </w:tabs>
              <w:spacing w:before="40" w:after="40"/>
              <w:rPr>
                <w:rFonts w:eastAsia="新細明體" w:cs="Segoe UI"/>
                <w:sz w:val="17"/>
                <w:szCs w:val="17"/>
                <w:lang w:eastAsia="en-GB"/>
              </w:rPr>
            </w:pPr>
            <w:r w:rsidRPr="006854AC">
              <w:rPr>
                <w:rFonts w:eastAsia="新細明體" w:cs="Segoe UI"/>
                <w:sz w:val="17"/>
                <w:szCs w:val="17"/>
                <w:lang w:eastAsia="en-GB"/>
              </w:rPr>
              <w:t>8</w:t>
            </w:r>
          </w:p>
        </w:tc>
        <w:tc>
          <w:tcPr>
            <w:tcW w:w="8505" w:type="dxa"/>
            <w:shd w:val="clear" w:color="auto" w:fill="auto"/>
          </w:tcPr>
          <w:p w14:paraId="283CD694" w14:textId="39EBFE7E" w:rsidR="00DA1457" w:rsidRPr="006854AC" w:rsidRDefault="00DA1457" w:rsidP="00B51F08">
            <w:pPr>
              <w:keepNext/>
              <w:keepLines/>
              <w:tabs>
                <w:tab w:val="left" w:pos="150"/>
                <w:tab w:val="left" w:pos="397"/>
                <w:tab w:val="left" w:pos="794"/>
                <w:tab w:val="left" w:pos="1191"/>
              </w:tabs>
              <w:spacing w:before="40" w:after="40"/>
              <w:jc w:val="both"/>
              <w:rPr>
                <w:rFonts w:eastAsiaTheme="minorEastAsia" w:cs="Segoe UI"/>
                <w:i/>
                <w:sz w:val="17"/>
                <w:szCs w:val="17"/>
                <w:lang w:eastAsia="zh-TW"/>
              </w:rPr>
            </w:pPr>
            <w:r w:rsidRPr="006854AC">
              <w:rPr>
                <w:rFonts w:eastAsiaTheme="minorEastAsia" w:cs="Segoe UI"/>
                <w:i/>
                <w:sz w:val="17"/>
                <w:szCs w:val="17"/>
                <w:lang w:eastAsia="zh-HK"/>
              </w:rPr>
              <w:t>第</w:t>
            </w:r>
            <w:r w:rsidRPr="006854AC">
              <w:rPr>
                <w:rFonts w:eastAsiaTheme="minorEastAsia" w:cs="Segoe UI"/>
                <w:i/>
                <w:sz w:val="17"/>
                <w:szCs w:val="17"/>
                <w:lang w:eastAsia="zh-TW"/>
              </w:rPr>
              <w:t>2</w:t>
            </w:r>
            <w:r w:rsidRPr="006854AC">
              <w:rPr>
                <w:rFonts w:eastAsiaTheme="minorEastAsia" w:cs="Segoe UI"/>
                <w:i/>
                <w:sz w:val="17"/>
                <w:szCs w:val="17"/>
                <w:lang w:eastAsia="zh-HK"/>
              </w:rPr>
              <w:t>組加密資產風險承擔限額</w:t>
            </w:r>
            <w:r w:rsidRPr="006854AC">
              <w:rPr>
                <w:rFonts w:eastAsiaTheme="minorEastAsia" w:cs="Segoe UI"/>
                <w:i/>
                <w:sz w:val="17"/>
                <w:szCs w:val="17"/>
                <w:lang w:eastAsia="zh-TW"/>
              </w:rPr>
              <w:t>——</w:t>
            </w:r>
            <w:r w:rsidRPr="006854AC">
              <w:rPr>
                <w:rFonts w:eastAsiaTheme="minorEastAsia" w:cs="Segoe UI"/>
                <w:i/>
                <w:sz w:val="17"/>
                <w:szCs w:val="17"/>
                <w:lang w:eastAsia="zh-TW"/>
              </w:rPr>
              <w:t>超</w:t>
            </w:r>
            <w:r w:rsidRPr="006854AC">
              <w:rPr>
                <w:rFonts w:eastAsiaTheme="minorEastAsia" w:cs="Segoe UI"/>
                <w:i/>
                <w:sz w:val="17"/>
                <w:szCs w:val="17"/>
                <w:lang w:eastAsia="zh-HK"/>
              </w:rPr>
              <w:t>逾</w:t>
            </w:r>
            <w:r w:rsidRPr="006854AC">
              <w:rPr>
                <w:rFonts w:eastAsiaTheme="minorEastAsia" w:cs="Segoe UI"/>
                <w:i/>
                <w:sz w:val="17"/>
                <w:szCs w:val="17"/>
                <w:lang w:eastAsia="zh-TW"/>
              </w:rPr>
              <w:t>1%</w:t>
            </w:r>
            <w:r w:rsidRPr="006854AC">
              <w:rPr>
                <w:rFonts w:eastAsiaTheme="minorEastAsia" w:cs="Segoe UI"/>
                <w:i/>
                <w:sz w:val="17"/>
                <w:szCs w:val="17"/>
                <w:lang w:eastAsia="zh-TW"/>
              </w:rPr>
              <w:t>限額的風險承擔</w:t>
            </w:r>
            <w:r w:rsidRPr="006854AC">
              <w:rPr>
                <w:rFonts w:eastAsiaTheme="minorEastAsia" w:cs="Segoe UI"/>
                <w:sz w:val="17"/>
                <w:szCs w:val="17"/>
                <w:lang w:eastAsia="zh-TW"/>
              </w:rPr>
              <w:t>：</w:t>
            </w:r>
            <w:r w:rsidR="00614249" w:rsidRPr="006854AC">
              <w:rPr>
                <w:rFonts w:eastAsiaTheme="minorEastAsia" w:cs="Segoe UI" w:hint="eastAsia"/>
                <w:sz w:val="17"/>
                <w:szCs w:val="17"/>
                <w:lang w:eastAsia="zh-HK"/>
              </w:rPr>
              <w:t>根據</w:t>
            </w:r>
            <w:r w:rsidR="00614249" w:rsidRPr="006854AC">
              <w:rPr>
                <w:rFonts w:eastAsiaTheme="minorEastAsia" w:cs="Segoe UI"/>
                <w:sz w:val="17"/>
                <w:szCs w:val="17"/>
                <w:lang w:eastAsia="zh-HK"/>
              </w:rPr>
              <w:t>《資本規則》第</w:t>
            </w:r>
            <w:r w:rsidR="00614249" w:rsidRPr="006854AC">
              <w:rPr>
                <w:rFonts w:eastAsiaTheme="minorEastAsia" w:cs="Segoe UI"/>
                <w:sz w:val="17"/>
                <w:szCs w:val="17"/>
                <w:lang w:eastAsia="zh-TW"/>
              </w:rPr>
              <w:t>12</w:t>
            </w:r>
            <w:r w:rsidR="00614249" w:rsidRPr="006854AC">
              <w:rPr>
                <w:rFonts w:eastAsiaTheme="minorEastAsia" w:cs="Segoe UI"/>
                <w:sz w:val="17"/>
                <w:szCs w:val="17"/>
                <w:lang w:eastAsia="zh-HK"/>
              </w:rPr>
              <w:t>部第</w:t>
            </w:r>
            <w:r w:rsidR="00614249" w:rsidRPr="006854AC">
              <w:rPr>
                <w:rFonts w:eastAsiaTheme="minorEastAsia" w:cs="Segoe UI"/>
                <w:sz w:val="17"/>
                <w:szCs w:val="17"/>
                <w:lang w:eastAsia="zh-TW"/>
              </w:rPr>
              <w:t>8</w:t>
            </w:r>
            <w:r w:rsidR="00614249" w:rsidRPr="006854AC">
              <w:rPr>
                <w:rFonts w:eastAsiaTheme="minorEastAsia" w:cs="Segoe UI"/>
                <w:sz w:val="17"/>
                <w:szCs w:val="17"/>
                <w:lang w:eastAsia="zh-HK"/>
              </w:rPr>
              <w:t>分部計算</w:t>
            </w:r>
            <w:r w:rsidR="00614249" w:rsidRPr="006854AC">
              <w:rPr>
                <w:rFonts w:eastAsiaTheme="minorEastAsia" w:cs="Segoe UI"/>
                <w:sz w:val="17"/>
                <w:szCs w:val="17"/>
                <w:lang w:eastAsia="zh-TW"/>
              </w:rPr>
              <w:t>，</w:t>
            </w:r>
            <w:r w:rsidRPr="006854AC">
              <w:rPr>
                <w:rFonts w:eastAsiaTheme="minorEastAsia" w:cs="Segoe UI"/>
                <w:sz w:val="17"/>
                <w:szCs w:val="17"/>
                <w:lang w:eastAsia="zh-HK"/>
              </w:rPr>
              <w:t>認可機構</w:t>
            </w:r>
            <w:r w:rsidR="00614249" w:rsidRPr="006854AC">
              <w:rPr>
                <w:rFonts w:eastAsiaTheme="minorEastAsia" w:cs="Segoe UI"/>
                <w:sz w:val="17"/>
                <w:szCs w:val="17"/>
                <w:lang w:eastAsia="zh-HK"/>
              </w:rPr>
              <w:t>對第</w:t>
            </w:r>
            <w:r w:rsidR="00614249" w:rsidRPr="006854AC">
              <w:rPr>
                <w:rFonts w:eastAsiaTheme="minorEastAsia" w:cs="Segoe UI"/>
                <w:sz w:val="17"/>
                <w:szCs w:val="17"/>
                <w:lang w:eastAsia="zh-HK"/>
              </w:rPr>
              <w:t>2</w:t>
            </w:r>
            <w:r w:rsidR="00614249" w:rsidRPr="006854AC">
              <w:rPr>
                <w:rFonts w:eastAsiaTheme="minorEastAsia" w:cs="Segoe UI"/>
                <w:sz w:val="17"/>
                <w:szCs w:val="17"/>
                <w:lang w:eastAsia="zh-HK"/>
              </w:rPr>
              <w:t>組加密資產的總風險承擔</w:t>
            </w:r>
            <w:r w:rsidR="00614249" w:rsidRPr="006854AC">
              <w:rPr>
                <w:rFonts w:eastAsiaTheme="minorEastAsia" w:cs="Segoe UI" w:hint="eastAsia"/>
                <w:sz w:val="17"/>
                <w:szCs w:val="17"/>
                <w:lang w:eastAsia="zh-HK"/>
              </w:rPr>
              <w:t>中超逾其</w:t>
            </w:r>
            <w:r w:rsidRPr="006854AC">
              <w:rPr>
                <w:rFonts w:eastAsiaTheme="minorEastAsia" w:cs="Segoe UI"/>
                <w:sz w:val="17"/>
                <w:szCs w:val="17"/>
                <w:lang w:eastAsia="zh-HK"/>
              </w:rPr>
              <w:t>一級資本</w:t>
            </w:r>
            <w:r w:rsidRPr="006854AC">
              <w:rPr>
                <w:rFonts w:eastAsiaTheme="minorEastAsia" w:cs="Segoe UI"/>
                <w:sz w:val="17"/>
                <w:szCs w:val="17"/>
                <w:lang w:eastAsia="zh-TW"/>
              </w:rPr>
              <w:t>1%</w:t>
            </w:r>
            <w:r w:rsidRPr="006854AC">
              <w:rPr>
                <w:rFonts w:eastAsiaTheme="minorEastAsia" w:cs="Segoe UI"/>
                <w:sz w:val="17"/>
                <w:szCs w:val="17"/>
                <w:lang w:eastAsia="zh-HK"/>
              </w:rPr>
              <w:t>的</w:t>
            </w:r>
            <w:r w:rsidR="00614249" w:rsidRPr="006854AC">
              <w:rPr>
                <w:rFonts w:eastAsiaTheme="minorEastAsia" w:cs="Segoe UI" w:hint="eastAsia"/>
                <w:sz w:val="17"/>
                <w:szCs w:val="17"/>
                <w:lang w:eastAsia="zh-HK"/>
              </w:rPr>
              <w:t>部分</w:t>
            </w:r>
            <w:r w:rsidRPr="006854AC">
              <w:rPr>
                <w:rFonts w:eastAsiaTheme="minorEastAsia" w:cs="Segoe UI"/>
                <w:sz w:val="17"/>
                <w:szCs w:val="17"/>
                <w:lang w:eastAsia="zh-TW"/>
              </w:rPr>
              <w:t>。</w:t>
            </w:r>
          </w:p>
        </w:tc>
      </w:tr>
      <w:tr w:rsidR="006854AC" w:rsidRPr="006854AC" w14:paraId="060A933A" w14:textId="77777777" w:rsidTr="00B51F08">
        <w:tc>
          <w:tcPr>
            <w:tcW w:w="846" w:type="dxa"/>
            <w:shd w:val="clear" w:color="auto" w:fill="auto"/>
          </w:tcPr>
          <w:p w14:paraId="5334194D" w14:textId="77777777" w:rsidR="00DA1457" w:rsidRPr="006854AC" w:rsidRDefault="00DA1457" w:rsidP="00B51F08">
            <w:pPr>
              <w:keepNext/>
              <w:keepLines/>
              <w:tabs>
                <w:tab w:val="left" w:pos="150"/>
                <w:tab w:val="left" w:pos="397"/>
                <w:tab w:val="left" w:pos="794"/>
                <w:tab w:val="left" w:pos="1191"/>
              </w:tabs>
              <w:spacing w:before="40" w:after="40"/>
              <w:rPr>
                <w:rFonts w:eastAsia="新細明體" w:cs="Segoe UI"/>
                <w:sz w:val="17"/>
                <w:szCs w:val="17"/>
                <w:lang w:eastAsia="en-GB"/>
              </w:rPr>
            </w:pPr>
            <w:r w:rsidRPr="006854AC">
              <w:rPr>
                <w:rFonts w:eastAsia="新細明體" w:cs="Segoe UI"/>
                <w:sz w:val="17"/>
                <w:szCs w:val="17"/>
                <w:lang w:eastAsia="en-GB"/>
              </w:rPr>
              <w:t>9</w:t>
            </w:r>
          </w:p>
        </w:tc>
        <w:tc>
          <w:tcPr>
            <w:tcW w:w="8505" w:type="dxa"/>
            <w:shd w:val="clear" w:color="auto" w:fill="auto"/>
          </w:tcPr>
          <w:p w14:paraId="10BB8C85" w14:textId="18996BD9" w:rsidR="00DA1457" w:rsidRPr="006854AC" w:rsidRDefault="00DA1457" w:rsidP="00B51F08">
            <w:pPr>
              <w:keepNext/>
              <w:keepLines/>
              <w:tabs>
                <w:tab w:val="left" w:pos="150"/>
                <w:tab w:val="left" w:pos="397"/>
                <w:tab w:val="left" w:pos="794"/>
                <w:tab w:val="left" w:pos="1191"/>
              </w:tabs>
              <w:spacing w:before="40" w:after="40"/>
              <w:jc w:val="both"/>
              <w:rPr>
                <w:rFonts w:eastAsiaTheme="minorEastAsia" w:cs="Segoe UI"/>
                <w:i/>
                <w:sz w:val="17"/>
                <w:szCs w:val="17"/>
                <w:lang w:eastAsia="zh-TW"/>
              </w:rPr>
            </w:pPr>
            <w:r w:rsidRPr="006854AC">
              <w:rPr>
                <w:rFonts w:eastAsiaTheme="minorEastAsia" w:cs="Segoe UI"/>
                <w:i/>
                <w:sz w:val="17"/>
                <w:szCs w:val="17"/>
                <w:lang w:eastAsia="zh-HK"/>
              </w:rPr>
              <w:t>第</w:t>
            </w:r>
            <w:r w:rsidRPr="006854AC">
              <w:rPr>
                <w:rFonts w:eastAsiaTheme="minorEastAsia" w:cs="Segoe UI"/>
                <w:i/>
                <w:sz w:val="17"/>
                <w:szCs w:val="17"/>
                <w:lang w:eastAsia="zh-TW"/>
              </w:rPr>
              <w:t>2</w:t>
            </w:r>
            <w:r w:rsidRPr="006854AC">
              <w:rPr>
                <w:rFonts w:eastAsiaTheme="minorEastAsia" w:cs="Segoe UI"/>
                <w:i/>
                <w:sz w:val="17"/>
                <w:szCs w:val="17"/>
                <w:lang w:eastAsia="zh-HK"/>
              </w:rPr>
              <w:t>組加密資產風險承擔限額</w:t>
            </w:r>
            <w:r w:rsidRPr="006854AC">
              <w:rPr>
                <w:rFonts w:eastAsiaTheme="minorEastAsia" w:cs="Segoe UI"/>
                <w:i/>
                <w:sz w:val="17"/>
                <w:szCs w:val="17"/>
                <w:lang w:eastAsia="zh-TW"/>
              </w:rPr>
              <w:t>——</w:t>
            </w:r>
            <w:r w:rsidRPr="006854AC">
              <w:rPr>
                <w:rFonts w:eastAsiaTheme="minorEastAsia" w:cs="Segoe UI"/>
                <w:i/>
                <w:sz w:val="17"/>
                <w:szCs w:val="17"/>
                <w:lang w:eastAsia="zh-TW"/>
              </w:rPr>
              <w:t>超</w:t>
            </w:r>
            <w:r w:rsidRPr="006854AC">
              <w:rPr>
                <w:rFonts w:eastAsiaTheme="minorEastAsia" w:cs="Segoe UI"/>
                <w:i/>
                <w:sz w:val="17"/>
                <w:szCs w:val="17"/>
                <w:lang w:eastAsia="zh-HK"/>
              </w:rPr>
              <w:t>逾</w:t>
            </w:r>
            <w:r w:rsidRPr="006854AC">
              <w:rPr>
                <w:rFonts w:eastAsiaTheme="minorEastAsia" w:cs="Segoe UI"/>
                <w:i/>
                <w:sz w:val="17"/>
                <w:szCs w:val="17"/>
                <w:lang w:eastAsia="zh-TW"/>
              </w:rPr>
              <w:t>1%</w:t>
            </w:r>
            <w:r w:rsidRPr="006854AC">
              <w:rPr>
                <w:rFonts w:eastAsiaTheme="minorEastAsia" w:cs="Segoe UI"/>
                <w:i/>
                <w:sz w:val="17"/>
                <w:szCs w:val="17"/>
                <w:lang w:eastAsia="zh-TW"/>
              </w:rPr>
              <w:t>限額的風險</w:t>
            </w:r>
            <w:r w:rsidRPr="006854AC">
              <w:rPr>
                <w:rFonts w:eastAsiaTheme="minorEastAsia" w:cs="Segoe UI"/>
                <w:i/>
                <w:sz w:val="17"/>
                <w:szCs w:val="17"/>
                <w:lang w:eastAsia="zh-HK"/>
              </w:rPr>
              <w:t>加權數額</w:t>
            </w:r>
            <w:r w:rsidRPr="006854AC">
              <w:rPr>
                <w:rFonts w:eastAsiaTheme="minorEastAsia" w:cs="Segoe UI"/>
                <w:sz w:val="17"/>
                <w:szCs w:val="17"/>
                <w:lang w:eastAsia="zh-TW"/>
              </w:rPr>
              <w:t>：</w:t>
            </w:r>
            <w:r w:rsidRPr="006854AC">
              <w:rPr>
                <w:rFonts w:eastAsiaTheme="minorEastAsia" w:cs="Segoe UI"/>
                <w:sz w:val="17"/>
                <w:szCs w:val="17"/>
                <w:lang w:eastAsia="zh-HK"/>
              </w:rPr>
              <w:t>本行適用於屬</w:t>
            </w:r>
            <w:r w:rsidRPr="006854AC">
              <w:rPr>
                <w:rFonts w:eastAsiaTheme="minorEastAsia" w:cs="Segoe UI"/>
                <w:sz w:val="17"/>
                <w:szCs w:val="17"/>
                <w:lang w:eastAsia="zh-TW"/>
              </w:rPr>
              <w:t>G-SIB</w:t>
            </w:r>
            <w:r w:rsidRPr="006854AC">
              <w:rPr>
                <w:rFonts w:eastAsiaTheme="minorEastAsia" w:cs="Segoe UI"/>
                <w:sz w:val="17"/>
                <w:szCs w:val="17"/>
                <w:lang w:eastAsia="zh-HK"/>
              </w:rPr>
              <w:t>或</w:t>
            </w:r>
            <w:r w:rsidRPr="006854AC">
              <w:rPr>
                <w:rFonts w:eastAsiaTheme="minorEastAsia" w:cs="Segoe UI"/>
                <w:sz w:val="17"/>
                <w:szCs w:val="17"/>
                <w:lang w:eastAsia="zh-TW"/>
              </w:rPr>
              <w:t>D-SIB</w:t>
            </w:r>
            <w:r w:rsidR="00614249" w:rsidRPr="006854AC">
              <w:rPr>
                <w:rFonts w:eastAsiaTheme="minorEastAsia" w:cs="Segoe UI"/>
                <w:sz w:val="17"/>
                <w:szCs w:val="17"/>
                <w:lang w:eastAsia="zh-HK"/>
              </w:rPr>
              <w:t>的認可機構，</w:t>
            </w:r>
            <w:r w:rsidR="009E2A35" w:rsidRPr="006854AC">
              <w:rPr>
                <w:rFonts w:eastAsiaTheme="minorEastAsia" w:cs="Segoe UI" w:hint="eastAsia"/>
                <w:sz w:val="17"/>
                <w:szCs w:val="17"/>
                <w:lang w:eastAsia="zh-HK"/>
              </w:rPr>
              <w:t>而</w:t>
            </w:r>
            <w:r w:rsidR="00281B05" w:rsidRPr="006854AC">
              <w:rPr>
                <w:rFonts w:eastAsiaTheme="minorEastAsia" w:cs="Segoe UI" w:hint="eastAsia"/>
                <w:sz w:val="17"/>
                <w:szCs w:val="17"/>
                <w:lang w:eastAsia="zh-HK"/>
              </w:rPr>
              <w:t>其</w:t>
            </w:r>
            <w:r w:rsidR="009E2A35" w:rsidRPr="006854AC">
              <w:rPr>
                <w:rFonts w:eastAsiaTheme="minorEastAsia" w:cs="Segoe UI" w:hint="eastAsia"/>
                <w:sz w:val="17"/>
                <w:szCs w:val="17"/>
                <w:lang w:eastAsia="zh-HK"/>
              </w:rPr>
              <w:t>根據</w:t>
            </w:r>
            <w:r w:rsidR="009E2A35" w:rsidRPr="006854AC">
              <w:rPr>
                <w:rFonts w:eastAsiaTheme="minorEastAsia" w:cs="Segoe UI"/>
                <w:sz w:val="17"/>
                <w:szCs w:val="17"/>
                <w:lang w:eastAsia="zh-HK"/>
              </w:rPr>
              <w:t>《資本規則》第</w:t>
            </w:r>
            <w:r w:rsidR="009E2A35" w:rsidRPr="006854AC">
              <w:rPr>
                <w:rFonts w:eastAsiaTheme="minorEastAsia" w:cs="Segoe UI"/>
                <w:sz w:val="17"/>
                <w:szCs w:val="17"/>
                <w:lang w:eastAsia="zh-HK"/>
              </w:rPr>
              <w:t>12</w:t>
            </w:r>
            <w:r w:rsidR="009E2A35" w:rsidRPr="006854AC">
              <w:rPr>
                <w:rFonts w:eastAsiaTheme="minorEastAsia" w:cs="Segoe UI"/>
                <w:sz w:val="17"/>
                <w:szCs w:val="17"/>
                <w:lang w:eastAsia="zh-HK"/>
              </w:rPr>
              <w:t>部第</w:t>
            </w:r>
            <w:r w:rsidR="009E2A35" w:rsidRPr="006854AC">
              <w:rPr>
                <w:rFonts w:eastAsiaTheme="minorEastAsia" w:cs="Segoe UI"/>
                <w:sz w:val="17"/>
                <w:szCs w:val="17"/>
                <w:lang w:eastAsia="zh-HK"/>
              </w:rPr>
              <w:t>8</w:t>
            </w:r>
            <w:r w:rsidR="009E2A35" w:rsidRPr="006854AC">
              <w:rPr>
                <w:rFonts w:eastAsiaTheme="minorEastAsia" w:cs="Segoe UI"/>
                <w:sz w:val="17"/>
                <w:szCs w:val="17"/>
                <w:lang w:eastAsia="zh-HK"/>
              </w:rPr>
              <w:t>分部計算的</w:t>
            </w:r>
            <w:r w:rsidRPr="006854AC">
              <w:rPr>
                <w:rFonts w:eastAsiaTheme="minorEastAsia" w:cs="Segoe UI"/>
                <w:sz w:val="17"/>
                <w:szCs w:val="17"/>
                <w:lang w:eastAsia="zh-HK"/>
              </w:rPr>
              <w:t>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w:t>
            </w:r>
            <w:r w:rsidR="00BC31F8" w:rsidRPr="006854AC">
              <w:rPr>
                <w:rFonts w:eastAsiaTheme="minorEastAsia" w:cs="Segoe UI" w:hint="eastAsia"/>
                <w:sz w:val="17"/>
                <w:szCs w:val="17"/>
                <w:lang w:eastAsia="zh-HK"/>
              </w:rPr>
              <w:t>比</w:t>
            </w:r>
            <w:r w:rsidR="00BC31F8" w:rsidRPr="006854AC">
              <w:rPr>
                <w:rFonts w:eastAsiaTheme="minorEastAsia" w:cs="Segoe UI" w:hint="eastAsia"/>
                <w:sz w:val="17"/>
                <w:szCs w:val="17"/>
                <w:lang w:eastAsia="zh-TW"/>
              </w:rPr>
              <w:t>率</w:t>
            </w:r>
            <w:r w:rsidRPr="006854AC">
              <w:rPr>
                <w:rFonts w:eastAsiaTheme="minorEastAsia" w:cs="Segoe UI"/>
                <w:sz w:val="17"/>
                <w:szCs w:val="17"/>
                <w:lang w:eastAsia="zh-HK"/>
              </w:rPr>
              <w:t>超逾</w:t>
            </w:r>
            <w:r w:rsidRPr="006854AC">
              <w:rPr>
                <w:rFonts w:eastAsiaTheme="minorEastAsia" w:cs="Segoe UI"/>
                <w:sz w:val="17"/>
                <w:szCs w:val="17"/>
                <w:lang w:eastAsia="zh-TW"/>
              </w:rPr>
              <w:t>1%</w:t>
            </w:r>
            <w:r w:rsidRPr="006854AC">
              <w:rPr>
                <w:rFonts w:eastAsiaTheme="minorEastAsia" w:cs="Segoe UI"/>
                <w:sz w:val="17"/>
                <w:szCs w:val="17"/>
                <w:lang w:eastAsia="zh-TW"/>
              </w:rPr>
              <w:t>。</w:t>
            </w:r>
            <w:r w:rsidRPr="006854AC">
              <w:rPr>
                <w:rFonts w:eastAsiaTheme="minorEastAsia" w:cs="Segoe UI"/>
                <w:sz w:val="17"/>
                <w:szCs w:val="17"/>
                <w:lang w:eastAsia="zh-HK"/>
              </w:rPr>
              <w:t>在</w:t>
            </w:r>
            <w:r w:rsidRPr="006854AC">
              <w:rPr>
                <w:rFonts w:eastAsiaTheme="minorEastAsia" w:cs="Segoe UI" w:hint="eastAsia"/>
                <w:sz w:val="17"/>
                <w:szCs w:val="17"/>
                <w:lang w:eastAsia="zh-HK"/>
              </w:rPr>
              <w:t>此</w:t>
            </w:r>
            <w:r w:rsidRPr="006854AC">
              <w:rPr>
                <w:rFonts w:eastAsiaTheme="minorEastAsia" w:cs="Segoe UI"/>
                <w:sz w:val="17"/>
                <w:szCs w:val="17"/>
                <w:lang w:eastAsia="zh-HK"/>
              </w:rPr>
              <w:t>情況</w:t>
            </w:r>
            <w:r w:rsidRPr="006854AC">
              <w:rPr>
                <w:rFonts w:eastAsiaTheme="minorEastAsia" w:cs="Segoe UI" w:hint="eastAsia"/>
                <w:sz w:val="17"/>
                <w:szCs w:val="17"/>
                <w:lang w:eastAsia="zh-HK"/>
              </w:rPr>
              <w:t>下</w:t>
            </w:r>
            <w:r w:rsidR="00430858" w:rsidRPr="006854AC">
              <w:rPr>
                <w:rFonts w:eastAsiaTheme="minorEastAsia" w:cs="Segoe UI"/>
                <w:sz w:val="17"/>
                <w:szCs w:val="17"/>
                <w:lang w:eastAsia="zh-HK"/>
              </w:rPr>
              <w:t>，認可機構應在本行填報</w:t>
            </w:r>
            <w:r w:rsidR="00430858" w:rsidRPr="006854AC">
              <w:rPr>
                <w:rFonts w:eastAsiaTheme="minorEastAsia" w:cs="Segoe UI" w:hint="eastAsia"/>
                <w:sz w:val="17"/>
                <w:szCs w:val="17"/>
                <w:lang w:eastAsia="zh-HK"/>
              </w:rPr>
              <w:t>根據</w:t>
            </w:r>
            <w:r w:rsidRPr="006854AC">
              <w:rPr>
                <w:rFonts w:eastAsiaTheme="minorEastAsia" w:cs="Segoe UI"/>
                <w:sz w:val="17"/>
                <w:szCs w:val="17"/>
                <w:lang w:eastAsia="zh-HK"/>
              </w:rPr>
              <w:t>《資本規則》第</w:t>
            </w:r>
            <w:r w:rsidRPr="006854AC">
              <w:rPr>
                <w:rFonts w:eastAsiaTheme="minorEastAsia" w:cs="Segoe UI"/>
                <w:sz w:val="17"/>
                <w:szCs w:val="17"/>
                <w:lang w:eastAsia="zh-TW"/>
              </w:rPr>
              <w:t>388</w:t>
            </w:r>
            <w:r w:rsidRPr="006854AC">
              <w:rPr>
                <w:rFonts w:eastAsiaTheme="minorEastAsia" w:cs="Segoe UI"/>
                <w:sz w:val="17"/>
                <w:szCs w:val="17"/>
                <w:lang w:eastAsia="zh-HK"/>
              </w:rPr>
              <w:t>條就第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w:t>
            </w:r>
            <w:r w:rsidR="00614249" w:rsidRPr="006854AC">
              <w:rPr>
                <w:rFonts w:eastAsiaTheme="minorEastAsia" w:cs="Segoe UI" w:hint="eastAsia"/>
                <w:sz w:val="17"/>
                <w:szCs w:val="17"/>
                <w:lang w:eastAsia="zh-HK"/>
              </w:rPr>
              <w:t>所</w:t>
            </w:r>
            <w:r w:rsidRPr="006854AC">
              <w:rPr>
                <w:rFonts w:eastAsiaTheme="minorEastAsia" w:cs="Segoe UI"/>
                <w:sz w:val="17"/>
                <w:szCs w:val="17"/>
                <w:lang w:eastAsia="zh-HK"/>
              </w:rPr>
              <w:t>施加的附加額</w:t>
            </w:r>
            <w:r w:rsidRPr="006854AC">
              <w:rPr>
                <w:rFonts w:eastAsiaTheme="minorEastAsia" w:cs="Segoe UI" w:hint="eastAsia"/>
                <w:sz w:val="17"/>
                <w:szCs w:val="17"/>
                <w:lang w:eastAsia="zh-TW"/>
              </w:rPr>
              <w:t>。</w:t>
            </w:r>
            <w:r w:rsidR="00614249" w:rsidRPr="006854AC">
              <w:rPr>
                <w:rFonts w:eastAsiaTheme="minorEastAsia" w:cs="Segoe UI" w:hint="eastAsia"/>
                <w:sz w:val="17"/>
                <w:szCs w:val="17"/>
                <w:lang w:eastAsia="zh-HK"/>
              </w:rPr>
              <w:t>該</w:t>
            </w:r>
            <w:r w:rsidRPr="006854AC">
              <w:rPr>
                <w:rFonts w:eastAsiaTheme="minorEastAsia" w:cs="Segoe UI" w:hint="eastAsia"/>
                <w:sz w:val="17"/>
                <w:szCs w:val="17"/>
                <w:lang w:eastAsia="zh-HK"/>
              </w:rPr>
              <w:t>附加額基本上是對認可機構</w:t>
            </w:r>
            <w:r w:rsidR="00614249" w:rsidRPr="006854AC">
              <w:rPr>
                <w:rFonts w:eastAsiaTheme="minorEastAsia" w:cs="Segoe UI" w:hint="eastAsia"/>
                <w:sz w:val="17"/>
                <w:szCs w:val="17"/>
                <w:lang w:eastAsia="zh-HK"/>
              </w:rPr>
              <w:t>的</w:t>
            </w:r>
            <w:r w:rsidR="00614249" w:rsidRPr="006854AC">
              <w:rPr>
                <w:rFonts w:eastAsiaTheme="minorEastAsia" w:cs="Segoe UI"/>
                <w:sz w:val="17"/>
                <w:szCs w:val="17"/>
                <w:lang w:eastAsia="zh-HK"/>
              </w:rPr>
              <w:t>第</w:t>
            </w:r>
            <w:r w:rsidR="00614249" w:rsidRPr="006854AC">
              <w:rPr>
                <w:rFonts w:eastAsiaTheme="minorEastAsia" w:cs="Segoe UI"/>
                <w:sz w:val="17"/>
                <w:szCs w:val="17"/>
                <w:lang w:eastAsia="zh-HK"/>
              </w:rPr>
              <w:t>2</w:t>
            </w:r>
            <w:r w:rsidR="00614249" w:rsidRPr="006854AC">
              <w:rPr>
                <w:rFonts w:eastAsiaTheme="minorEastAsia" w:cs="Segoe UI"/>
                <w:sz w:val="17"/>
                <w:szCs w:val="17"/>
                <w:lang w:eastAsia="zh-HK"/>
              </w:rPr>
              <w:t>組加密資產風險承擔</w:t>
            </w:r>
            <w:r w:rsidR="00614249" w:rsidRPr="006854AC">
              <w:rPr>
                <w:rFonts w:eastAsiaTheme="minorEastAsia" w:cs="Segoe UI" w:hint="eastAsia"/>
                <w:sz w:val="17"/>
                <w:szCs w:val="17"/>
                <w:lang w:eastAsia="zh-HK"/>
              </w:rPr>
              <w:t>中</w:t>
            </w:r>
            <w:r w:rsidR="00614249" w:rsidRPr="006854AC">
              <w:rPr>
                <w:rFonts w:eastAsiaTheme="minorEastAsia" w:cs="Segoe UI"/>
                <w:sz w:val="17"/>
                <w:szCs w:val="17"/>
                <w:lang w:eastAsia="zh-TW"/>
              </w:rPr>
              <w:t>，</w:t>
            </w:r>
            <w:r w:rsidRPr="006854AC">
              <w:rPr>
                <w:rFonts w:eastAsiaTheme="minorEastAsia" w:cs="Segoe UI" w:hint="eastAsia"/>
                <w:sz w:val="17"/>
                <w:szCs w:val="17"/>
                <w:lang w:eastAsia="zh-HK"/>
              </w:rPr>
              <w:t>超逾其一級資本</w:t>
            </w:r>
            <w:r w:rsidRPr="006854AC">
              <w:rPr>
                <w:rFonts w:eastAsiaTheme="minorEastAsia" w:cs="Segoe UI" w:hint="eastAsia"/>
                <w:sz w:val="17"/>
                <w:szCs w:val="17"/>
                <w:lang w:eastAsia="zh-TW"/>
              </w:rPr>
              <w:t>1%</w:t>
            </w:r>
            <w:r w:rsidRPr="006854AC">
              <w:rPr>
                <w:rFonts w:eastAsiaTheme="minorEastAsia" w:cs="Segoe UI"/>
                <w:sz w:val="17"/>
                <w:szCs w:val="17"/>
                <w:lang w:eastAsia="zh-TW"/>
              </w:rPr>
              <w:t>但少於</w:t>
            </w:r>
            <w:r w:rsidRPr="006854AC">
              <w:rPr>
                <w:rFonts w:eastAsiaTheme="minorEastAsia" w:cs="Segoe UI"/>
                <w:sz w:val="17"/>
                <w:szCs w:val="17"/>
                <w:lang w:eastAsia="zh-TW"/>
              </w:rPr>
              <w:t>2%</w:t>
            </w:r>
            <w:r w:rsidR="00686CD5" w:rsidRPr="006854AC">
              <w:rPr>
                <w:rFonts w:eastAsiaTheme="minorEastAsia" w:cs="Segoe UI" w:hint="eastAsia"/>
                <w:sz w:val="17"/>
                <w:szCs w:val="17"/>
                <w:lang w:eastAsia="zh-TW"/>
              </w:rPr>
              <w:t>的</w:t>
            </w:r>
            <w:r w:rsidR="00614249" w:rsidRPr="006854AC">
              <w:rPr>
                <w:rFonts w:eastAsiaTheme="minorEastAsia" w:cs="Segoe UI" w:hint="eastAsia"/>
                <w:sz w:val="17"/>
                <w:szCs w:val="17"/>
                <w:lang w:eastAsia="zh-TW"/>
              </w:rPr>
              <w:t>部分</w:t>
            </w:r>
            <w:r w:rsidRPr="006854AC">
              <w:rPr>
                <w:rFonts w:eastAsiaTheme="minorEastAsia" w:cs="Segoe UI" w:hint="eastAsia"/>
                <w:sz w:val="17"/>
                <w:szCs w:val="17"/>
                <w:lang w:eastAsia="zh-HK"/>
              </w:rPr>
              <w:t>的一項遞增風險加權數額</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該認可機構不應在</w:t>
            </w:r>
            <w:r w:rsidRPr="006854AC">
              <w:rPr>
                <w:rFonts w:eastAsiaTheme="minorEastAsia" w:cs="Segoe UI"/>
                <w:sz w:val="17"/>
                <w:szCs w:val="17"/>
                <w:lang w:eastAsia="zh-TW"/>
              </w:rPr>
              <w:t>(c)</w:t>
            </w:r>
            <w:r w:rsidRPr="006854AC">
              <w:rPr>
                <w:rFonts w:eastAsiaTheme="minorEastAsia" w:cs="Segoe UI" w:hint="eastAsia"/>
                <w:sz w:val="17"/>
                <w:szCs w:val="17"/>
                <w:lang w:eastAsia="zh-HK"/>
              </w:rPr>
              <w:t>或</w:t>
            </w:r>
            <w:r w:rsidRPr="006854AC">
              <w:rPr>
                <w:rFonts w:eastAsiaTheme="minorEastAsia" w:cs="Segoe UI"/>
                <w:sz w:val="17"/>
                <w:szCs w:val="17"/>
                <w:lang w:eastAsia="zh-TW"/>
              </w:rPr>
              <w:t>(f</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欄填報</w:t>
            </w:r>
            <w:r w:rsidR="000C34ED" w:rsidRPr="006854AC">
              <w:rPr>
                <w:rFonts w:eastAsiaTheme="minorEastAsia" w:cs="Segoe UI" w:hint="eastAsia"/>
                <w:sz w:val="17"/>
                <w:szCs w:val="17"/>
                <w:lang w:eastAsia="zh-HK"/>
              </w:rPr>
              <w:t>相關</w:t>
            </w:r>
            <w:r w:rsidRPr="006854AC">
              <w:rPr>
                <w:rFonts w:eastAsiaTheme="minorEastAsia" w:cs="Segoe UI" w:hint="eastAsia"/>
                <w:sz w:val="17"/>
                <w:szCs w:val="17"/>
                <w:lang w:eastAsia="zh-HK"/>
              </w:rPr>
              <w:t>附加額</w:t>
            </w:r>
            <w:r w:rsidRPr="006854AC">
              <w:rPr>
                <w:rFonts w:eastAsiaTheme="minorEastAsia" w:cs="Segoe UI" w:hint="eastAsia"/>
                <w:sz w:val="17"/>
                <w:szCs w:val="17"/>
                <w:lang w:eastAsia="zh-TW"/>
              </w:rPr>
              <w:t>。</w:t>
            </w:r>
          </w:p>
        </w:tc>
      </w:tr>
      <w:tr w:rsidR="006854AC" w:rsidRPr="006854AC" w14:paraId="083AE28F" w14:textId="77777777" w:rsidTr="00B51F08">
        <w:tc>
          <w:tcPr>
            <w:tcW w:w="846" w:type="dxa"/>
            <w:shd w:val="clear" w:color="auto" w:fill="auto"/>
          </w:tcPr>
          <w:p w14:paraId="5EBEC16E" w14:textId="77777777" w:rsidR="00DA1457" w:rsidRPr="006854AC" w:rsidRDefault="00DA1457" w:rsidP="00B51F08">
            <w:pPr>
              <w:keepNext/>
              <w:keepLines/>
              <w:tabs>
                <w:tab w:val="left" w:pos="150"/>
                <w:tab w:val="left" w:pos="397"/>
                <w:tab w:val="left" w:pos="794"/>
                <w:tab w:val="left" w:pos="1191"/>
              </w:tabs>
              <w:spacing w:before="40" w:after="40"/>
              <w:rPr>
                <w:rFonts w:eastAsia="新細明體" w:cs="Segoe UI"/>
                <w:sz w:val="17"/>
                <w:szCs w:val="17"/>
                <w:lang w:eastAsia="en-GB"/>
              </w:rPr>
            </w:pPr>
            <w:r w:rsidRPr="006854AC">
              <w:rPr>
                <w:rFonts w:eastAsia="新細明體" w:cs="Segoe UI"/>
                <w:sz w:val="17"/>
                <w:szCs w:val="17"/>
                <w:lang w:eastAsia="en-GB"/>
              </w:rPr>
              <w:t>10</w:t>
            </w:r>
          </w:p>
        </w:tc>
        <w:tc>
          <w:tcPr>
            <w:tcW w:w="8505" w:type="dxa"/>
            <w:shd w:val="clear" w:color="auto" w:fill="auto"/>
          </w:tcPr>
          <w:p w14:paraId="570F7CFD" w14:textId="2ABE8A43" w:rsidR="00DA1457" w:rsidRPr="006854AC" w:rsidRDefault="00DA1457" w:rsidP="00B51F08">
            <w:pPr>
              <w:keepNext/>
              <w:keepLines/>
              <w:tabs>
                <w:tab w:val="left" w:pos="150"/>
                <w:tab w:val="left" w:pos="397"/>
                <w:tab w:val="left" w:pos="794"/>
                <w:tab w:val="left" w:pos="1191"/>
              </w:tabs>
              <w:snapToGrid w:val="0"/>
              <w:spacing w:before="40" w:after="40"/>
              <w:jc w:val="both"/>
              <w:rPr>
                <w:rFonts w:eastAsiaTheme="minorEastAsia" w:cs="Segoe UI"/>
                <w:sz w:val="17"/>
                <w:szCs w:val="17"/>
                <w:lang w:eastAsia="zh-TW"/>
              </w:rPr>
            </w:pPr>
            <w:r w:rsidRPr="006854AC">
              <w:rPr>
                <w:rFonts w:eastAsiaTheme="minorEastAsia" w:cs="Segoe UI" w:hint="eastAsia"/>
                <w:i/>
                <w:sz w:val="17"/>
                <w:szCs w:val="17"/>
                <w:lang w:eastAsia="zh-TW"/>
              </w:rPr>
              <w:t>違反</w:t>
            </w:r>
            <w:r w:rsidRPr="006854AC">
              <w:rPr>
                <w:rFonts w:eastAsiaTheme="minorEastAsia" w:cs="Segoe UI"/>
                <w:i/>
                <w:sz w:val="17"/>
                <w:szCs w:val="17"/>
                <w:lang w:eastAsia="zh-TW"/>
              </w:rPr>
              <w:t>2%</w:t>
            </w:r>
            <w:r w:rsidRPr="006854AC">
              <w:rPr>
                <w:rFonts w:eastAsiaTheme="minorEastAsia" w:cs="Segoe UI" w:hint="eastAsia"/>
                <w:i/>
                <w:sz w:val="17"/>
                <w:szCs w:val="17"/>
                <w:lang w:eastAsia="zh-TW"/>
              </w:rPr>
              <w:t>限額</w:t>
            </w:r>
            <w:r w:rsidR="00E06733" w:rsidRPr="006854AC">
              <w:rPr>
                <w:rFonts w:eastAsiaTheme="minorEastAsia" w:cs="Segoe UI" w:hint="eastAsia"/>
                <w:i/>
                <w:sz w:val="17"/>
                <w:szCs w:val="17"/>
                <w:lang w:eastAsia="zh-HK"/>
              </w:rPr>
              <w:t>後</w:t>
            </w:r>
            <w:r w:rsidRPr="006854AC">
              <w:rPr>
                <w:rFonts w:eastAsiaTheme="minorEastAsia" w:cs="Segoe UI" w:hint="eastAsia"/>
                <w:i/>
                <w:sz w:val="17"/>
                <w:szCs w:val="17"/>
                <w:lang w:eastAsia="zh-TW"/>
              </w:rPr>
              <w:t>的第</w:t>
            </w:r>
            <w:r w:rsidRPr="006854AC">
              <w:rPr>
                <w:rFonts w:eastAsiaTheme="minorEastAsia" w:cs="Segoe UI"/>
                <w:i/>
                <w:sz w:val="17"/>
                <w:szCs w:val="17"/>
                <w:lang w:eastAsia="zh-TW"/>
              </w:rPr>
              <w:t>2</w:t>
            </w:r>
            <w:r w:rsidRPr="006854AC">
              <w:rPr>
                <w:rFonts w:eastAsiaTheme="minorEastAsia" w:cs="Segoe UI" w:hint="eastAsia"/>
                <w:i/>
                <w:sz w:val="17"/>
                <w:szCs w:val="17"/>
                <w:lang w:eastAsia="zh-TW"/>
              </w:rPr>
              <w:t>組加密資產的總風險加權數額</w:t>
            </w:r>
            <w:r w:rsidRPr="006854AC">
              <w:rPr>
                <w:rFonts w:eastAsiaTheme="minorEastAsia" w:cs="Segoe UI" w:hint="eastAsia"/>
                <w:sz w:val="17"/>
                <w:szCs w:val="17"/>
                <w:lang w:eastAsia="zh-TW"/>
              </w:rPr>
              <w:t>：</w:t>
            </w:r>
            <w:r w:rsidRPr="006854AC">
              <w:rPr>
                <w:rFonts w:eastAsiaTheme="minorEastAsia" w:cs="Segoe UI"/>
                <w:sz w:val="17"/>
                <w:szCs w:val="17"/>
                <w:lang w:eastAsia="zh-HK"/>
              </w:rPr>
              <w:t>本行</w:t>
            </w:r>
            <w:r w:rsidR="00430858" w:rsidRPr="006854AC">
              <w:rPr>
                <w:rFonts w:eastAsiaTheme="minorEastAsia" w:cs="Segoe UI" w:hint="eastAsia"/>
                <w:sz w:val="17"/>
                <w:szCs w:val="17"/>
                <w:lang w:eastAsia="zh-HK"/>
              </w:rPr>
              <w:t>僅</w:t>
            </w:r>
            <w:r w:rsidRPr="006854AC">
              <w:rPr>
                <w:rFonts w:eastAsiaTheme="minorEastAsia" w:cs="Segoe UI"/>
                <w:sz w:val="17"/>
                <w:szCs w:val="17"/>
                <w:lang w:eastAsia="zh-HK"/>
              </w:rPr>
              <w:t>適用於屬</w:t>
            </w:r>
            <w:r w:rsidRPr="006854AC">
              <w:rPr>
                <w:rFonts w:eastAsiaTheme="minorEastAsia" w:cs="Segoe UI"/>
                <w:sz w:val="17"/>
                <w:szCs w:val="17"/>
                <w:lang w:eastAsia="zh-TW"/>
              </w:rPr>
              <w:t>G-SIB</w:t>
            </w:r>
            <w:r w:rsidRPr="006854AC">
              <w:rPr>
                <w:rFonts w:eastAsiaTheme="minorEastAsia" w:cs="Segoe UI"/>
                <w:sz w:val="17"/>
                <w:szCs w:val="17"/>
                <w:lang w:eastAsia="zh-HK"/>
              </w:rPr>
              <w:t>或</w:t>
            </w:r>
            <w:r w:rsidRPr="006854AC">
              <w:rPr>
                <w:rFonts w:eastAsiaTheme="minorEastAsia" w:cs="Segoe UI"/>
                <w:sz w:val="17"/>
                <w:szCs w:val="17"/>
                <w:lang w:eastAsia="zh-TW"/>
              </w:rPr>
              <w:t>D-SIB</w:t>
            </w:r>
            <w:r w:rsidR="00943CFC" w:rsidRPr="006854AC">
              <w:rPr>
                <w:rFonts w:eastAsiaTheme="minorEastAsia" w:cs="Segoe UI"/>
                <w:sz w:val="17"/>
                <w:szCs w:val="17"/>
                <w:lang w:eastAsia="zh-HK"/>
              </w:rPr>
              <w:t>的認可機構，</w:t>
            </w:r>
            <w:r w:rsidR="00F83F28" w:rsidRPr="006854AC">
              <w:rPr>
                <w:rFonts w:eastAsiaTheme="minorEastAsia" w:cs="Segoe UI" w:hint="eastAsia"/>
                <w:sz w:val="17"/>
                <w:szCs w:val="17"/>
                <w:lang w:eastAsia="zh-HK"/>
              </w:rPr>
              <w:t>而其</w:t>
            </w:r>
            <w:r w:rsidR="00430858" w:rsidRPr="006854AC">
              <w:rPr>
                <w:rFonts w:eastAsiaTheme="minorEastAsia" w:cs="Segoe UI" w:hint="eastAsia"/>
                <w:sz w:val="17"/>
                <w:szCs w:val="17"/>
                <w:lang w:eastAsia="zh-HK"/>
              </w:rPr>
              <w:t>根據</w:t>
            </w:r>
            <w:r w:rsidRPr="006854AC">
              <w:rPr>
                <w:rFonts w:eastAsiaTheme="minorEastAsia" w:cs="Segoe UI"/>
                <w:sz w:val="17"/>
                <w:szCs w:val="17"/>
                <w:lang w:eastAsia="zh-HK"/>
              </w:rPr>
              <w:t>《資本規則》第</w:t>
            </w:r>
            <w:r w:rsidRPr="006854AC">
              <w:rPr>
                <w:rFonts w:eastAsiaTheme="minorEastAsia" w:cs="Segoe UI"/>
                <w:sz w:val="17"/>
                <w:szCs w:val="17"/>
                <w:lang w:eastAsia="zh-HK"/>
              </w:rPr>
              <w:t>12</w:t>
            </w:r>
            <w:r w:rsidRPr="006854AC">
              <w:rPr>
                <w:rFonts w:eastAsiaTheme="minorEastAsia" w:cs="Segoe UI"/>
                <w:sz w:val="17"/>
                <w:szCs w:val="17"/>
                <w:lang w:eastAsia="zh-HK"/>
              </w:rPr>
              <w:t>部第</w:t>
            </w:r>
            <w:r w:rsidRPr="006854AC">
              <w:rPr>
                <w:rFonts w:eastAsiaTheme="minorEastAsia" w:cs="Segoe UI"/>
                <w:sz w:val="17"/>
                <w:szCs w:val="17"/>
                <w:lang w:eastAsia="zh-HK"/>
              </w:rPr>
              <w:t>8</w:t>
            </w:r>
            <w:r w:rsidRPr="006854AC">
              <w:rPr>
                <w:rFonts w:eastAsiaTheme="minorEastAsia" w:cs="Segoe UI"/>
                <w:sz w:val="17"/>
                <w:szCs w:val="17"/>
                <w:lang w:eastAsia="zh-HK"/>
              </w:rPr>
              <w:t>分部計算的第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w:t>
            </w:r>
            <w:r w:rsidR="00430858" w:rsidRPr="006854AC">
              <w:rPr>
                <w:rFonts w:eastAsiaTheme="minorEastAsia" w:cs="Segoe UI" w:hint="eastAsia"/>
                <w:sz w:val="17"/>
                <w:szCs w:val="17"/>
                <w:lang w:eastAsia="zh-HK"/>
              </w:rPr>
              <w:t>比</w:t>
            </w:r>
            <w:r w:rsidR="00430858" w:rsidRPr="006854AC">
              <w:rPr>
                <w:rFonts w:eastAsiaTheme="minorEastAsia" w:cs="Segoe UI" w:hint="eastAsia"/>
                <w:sz w:val="17"/>
                <w:szCs w:val="17"/>
                <w:lang w:eastAsia="zh-TW"/>
              </w:rPr>
              <w:t>率</w:t>
            </w:r>
            <w:r w:rsidRPr="006854AC">
              <w:rPr>
                <w:rFonts w:eastAsiaTheme="minorEastAsia" w:cs="Segoe UI"/>
                <w:sz w:val="17"/>
                <w:szCs w:val="17"/>
                <w:lang w:eastAsia="zh-HK"/>
              </w:rPr>
              <w:t>超逾</w:t>
            </w:r>
            <w:r w:rsidRPr="006854AC">
              <w:rPr>
                <w:rFonts w:eastAsiaTheme="minorEastAsia" w:cs="Segoe UI" w:hint="eastAsia"/>
                <w:sz w:val="17"/>
                <w:szCs w:val="17"/>
                <w:lang w:eastAsia="zh-TW"/>
              </w:rPr>
              <w:t>2</w:t>
            </w:r>
            <w:r w:rsidRPr="006854AC">
              <w:rPr>
                <w:rFonts w:eastAsiaTheme="minorEastAsia" w:cs="Segoe UI"/>
                <w:sz w:val="17"/>
                <w:szCs w:val="17"/>
                <w:lang w:eastAsia="zh-TW"/>
              </w:rPr>
              <w:t>%</w:t>
            </w:r>
            <w:r w:rsidRPr="006854AC">
              <w:rPr>
                <w:rFonts w:eastAsiaTheme="minorEastAsia" w:cs="Segoe UI"/>
                <w:sz w:val="17"/>
                <w:szCs w:val="17"/>
                <w:lang w:eastAsia="zh-TW"/>
              </w:rPr>
              <w:t>。</w:t>
            </w:r>
            <w:r w:rsidRPr="006854AC">
              <w:rPr>
                <w:rFonts w:eastAsiaTheme="minorEastAsia" w:cs="Segoe UI" w:hint="eastAsia"/>
                <w:sz w:val="17"/>
                <w:szCs w:val="17"/>
                <w:lang w:eastAsia="zh-HK"/>
              </w:rPr>
              <w:t>在此情況下</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認可機構應在本行填報其所有</w:t>
            </w:r>
            <w:r w:rsidRPr="006854AC">
              <w:rPr>
                <w:rFonts w:eastAsiaTheme="minorEastAsia" w:cs="Segoe UI"/>
                <w:sz w:val="17"/>
                <w:szCs w:val="17"/>
                <w:lang w:eastAsia="zh-HK"/>
              </w:rPr>
              <w:t>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w:t>
            </w:r>
            <w:r w:rsidRPr="006854AC">
              <w:rPr>
                <w:rFonts w:eastAsiaTheme="minorEastAsia" w:cs="Segoe UI" w:hint="eastAsia"/>
                <w:sz w:val="17"/>
                <w:szCs w:val="17"/>
                <w:lang w:eastAsia="zh-HK"/>
              </w:rPr>
              <w:t>的總風險加權數額</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包括根據</w:t>
            </w:r>
            <w:r w:rsidRPr="006854AC">
              <w:rPr>
                <w:rFonts w:eastAsiaTheme="minorEastAsia" w:cs="Segoe UI"/>
                <w:sz w:val="17"/>
                <w:szCs w:val="17"/>
                <w:lang w:eastAsia="zh-HK"/>
              </w:rPr>
              <w:t>《資本規則》第</w:t>
            </w:r>
            <w:r w:rsidRPr="006854AC">
              <w:rPr>
                <w:rFonts w:eastAsiaTheme="minorEastAsia" w:cs="Segoe UI"/>
                <w:sz w:val="17"/>
                <w:szCs w:val="17"/>
                <w:lang w:eastAsia="zh-HK"/>
              </w:rPr>
              <w:t>388</w:t>
            </w:r>
            <w:r w:rsidRPr="006854AC">
              <w:rPr>
                <w:rFonts w:eastAsiaTheme="minorEastAsia" w:cs="Segoe UI"/>
                <w:sz w:val="17"/>
                <w:szCs w:val="17"/>
                <w:lang w:eastAsia="zh-HK"/>
              </w:rPr>
              <w:t>條就第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組加密資產風險承擔施加的附加額</w:t>
            </w:r>
            <w:r w:rsidRPr="006854AC">
              <w:rPr>
                <w:rFonts w:eastAsiaTheme="minorEastAsia" w:cs="Segoe UI" w:hint="eastAsia"/>
                <w:sz w:val="17"/>
                <w:szCs w:val="17"/>
                <w:lang w:eastAsia="zh-TW"/>
              </w:rPr>
              <w:t>）。</w:t>
            </w:r>
            <w:r w:rsidRPr="006854AC">
              <w:rPr>
                <w:rFonts w:eastAsiaTheme="minorEastAsia" w:cs="Segoe UI" w:hint="eastAsia"/>
                <w:sz w:val="17"/>
                <w:szCs w:val="17"/>
                <w:lang w:eastAsia="zh-HK"/>
              </w:rPr>
              <w:t>因此，該認可機構不應就其所有</w:t>
            </w:r>
            <w:r w:rsidRPr="006854AC">
              <w:rPr>
                <w:rFonts w:eastAsiaTheme="minorEastAsia" w:cs="Segoe UI"/>
                <w:sz w:val="17"/>
                <w:szCs w:val="17"/>
                <w:lang w:eastAsia="zh-HK"/>
              </w:rPr>
              <w:t>第</w:t>
            </w:r>
            <w:r w:rsidRPr="006854AC">
              <w:rPr>
                <w:rFonts w:eastAsiaTheme="minorEastAsia" w:cs="Segoe UI"/>
                <w:sz w:val="17"/>
                <w:szCs w:val="17"/>
                <w:lang w:eastAsia="zh-HK"/>
              </w:rPr>
              <w:t>2</w:t>
            </w:r>
            <w:r w:rsidRPr="006854AC">
              <w:rPr>
                <w:rFonts w:eastAsiaTheme="minorEastAsia" w:cs="Segoe UI"/>
                <w:sz w:val="17"/>
                <w:szCs w:val="17"/>
                <w:lang w:eastAsia="zh-HK"/>
              </w:rPr>
              <w:t>組加密資產風險承擔</w:t>
            </w:r>
            <w:r w:rsidRPr="006854AC">
              <w:rPr>
                <w:rFonts w:eastAsiaTheme="minorEastAsia" w:cs="Segoe UI" w:hint="eastAsia"/>
                <w:sz w:val="17"/>
                <w:szCs w:val="17"/>
                <w:lang w:eastAsia="zh-HK"/>
              </w:rPr>
              <w:t>在</w:t>
            </w:r>
            <w:r w:rsidRPr="006854AC">
              <w:rPr>
                <w:rFonts w:eastAsiaTheme="minorEastAsia" w:cs="Segoe UI"/>
                <w:sz w:val="17"/>
                <w:szCs w:val="17"/>
                <w:lang w:eastAsia="zh-TW"/>
              </w:rPr>
              <w:t>(c)</w:t>
            </w:r>
            <w:r w:rsidRPr="006854AC">
              <w:rPr>
                <w:rFonts w:eastAsiaTheme="minorEastAsia" w:cs="Segoe UI" w:hint="eastAsia"/>
                <w:sz w:val="17"/>
                <w:szCs w:val="17"/>
                <w:lang w:eastAsia="zh-HK"/>
              </w:rPr>
              <w:t>或</w:t>
            </w:r>
            <w:r w:rsidRPr="006854AC">
              <w:rPr>
                <w:rFonts w:eastAsiaTheme="minorEastAsia" w:cs="Segoe UI"/>
                <w:sz w:val="17"/>
                <w:szCs w:val="17"/>
                <w:lang w:eastAsia="zh-TW"/>
              </w:rPr>
              <w:t>(f)</w:t>
            </w:r>
            <w:r w:rsidRPr="006854AC">
              <w:rPr>
                <w:rFonts w:eastAsiaTheme="minorEastAsia" w:cs="Segoe UI" w:hint="eastAsia"/>
                <w:sz w:val="17"/>
                <w:szCs w:val="17"/>
                <w:lang w:eastAsia="zh-HK"/>
              </w:rPr>
              <w:t>欄填報</w:t>
            </w:r>
            <w:r w:rsidR="00943CFC" w:rsidRPr="006854AC">
              <w:rPr>
                <w:rFonts w:eastAsiaTheme="minorEastAsia" w:cs="Segoe UI" w:hint="eastAsia"/>
                <w:sz w:val="17"/>
                <w:szCs w:val="17"/>
                <w:lang w:eastAsia="zh-HK"/>
              </w:rPr>
              <w:t>相關</w:t>
            </w:r>
            <w:r w:rsidRPr="006854AC">
              <w:rPr>
                <w:rFonts w:eastAsiaTheme="minorEastAsia" w:cs="Segoe UI" w:hint="eastAsia"/>
                <w:sz w:val="17"/>
                <w:szCs w:val="17"/>
                <w:lang w:eastAsia="zh-HK"/>
              </w:rPr>
              <w:t>風險加權數額</w:t>
            </w:r>
            <w:r w:rsidRPr="006854AC">
              <w:rPr>
                <w:rFonts w:eastAsiaTheme="minorEastAsia" w:cs="Segoe UI" w:hint="eastAsia"/>
                <w:sz w:val="17"/>
                <w:szCs w:val="17"/>
                <w:lang w:eastAsia="zh-TW"/>
              </w:rPr>
              <w:t>。</w:t>
            </w:r>
          </w:p>
        </w:tc>
      </w:tr>
    </w:tbl>
    <w:p w14:paraId="561249F6" w14:textId="77777777" w:rsidR="00DA1457" w:rsidRPr="006854AC" w:rsidRDefault="00DA1457" w:rsidP="00DA1457">
      <w:pPr>
        <w:keepNext/>
        <w:suppressAutoHyphens/>
        <w:spacing w:line="480" w:lineRule="auto"/>
        <w:outlineLvl w:val="1"/>
        <w:rPr>
          <w:rFonts w:ascii="Cambria" w:eastAsia="新細明體" w:hAnsi="Cambria"/>
          <w:b/>
          <w:bCs/>
          <w:sz w:val="48"/>
          <w:szCs w:val="48"/>
          <w:lang w:eastAsia="ar-SA"/>
        </w:rPr>
        <w:sectPr w:rsidR="00DA1457" w:rsidRPr="006854AC" w:rsidSect="00DA1457">
          <w:footerReference w:type="default" r:id="rId124"/>
          <w:pgSz w:w="11906" w:h="16838" w:code="9"/>
          <w:pgMar w:top="1440" w:right="1797" w:bottom="1440" w:left="1797" w:header="851" w:footer="737" w:gutter="0"/>
          <w:cols w:space="425"/>
          <w:docGrid w:type="lines" w:linePitch="273"/>
        </w:sectPr>
      </w:pPr>
    </w:p>
    <w:p w14:paraId="68B3ED3E" w14:textId="4920E4AA" w:rsidR="00DA1457" w:rsidRPr="006854AC" w:rsidRDefault="00DA1457" w:rsidP="004E3585">
      <w:pPr>
        <w:keepNext/>
        <w:suppressAutoHyphens/>
        <w:spacing w:line="480" w:lineRule="auto"/>
        <w:ind w:hanging="426"/>
        <w:outlineLvl w:val="1"/>
        <w:rPr>
          <w:rFonts w:eastAsia="新細明體"/>
          <w:sz w:val="22"/>
          <w:szCs w:val="24"/>
          <w:lang w:eastAsia="zh-TW"/>
        </w:rPr>
      </w:pPr>
      <w:r w:rsidRPr="006854AC">
        <w:rPr>
          <w:rFonts w:eastAsia="新細明體" w:hint="eastAsia"/>
          <w:sz w:val="22"/>
          <w:szCs w:val="24"/>
          <w:lang w:eastAsia="zh-HK"/>
        </w:rPr>
        <w:t>模版</w:t>
      </w:r>
      <w:r w:rsidRPr="006854AC">
        <w:rPr>
          <w:rFonts w:eastAsia="新細明體"/>
          <w:sz w:val="22"/>
          <w:szCs w:val="24"/>
          <w:lang w:eastAsia="zh-TW"/>
        </w:rPr>
        <w:t>CAE2</w:t>
      </w:r>
      <w:r w:rsidRPr="006854AC">
        <w:rPr>
          <w:rFonts w:eastAsia="新細明體" w:hint="eastAsia"/>
          <w:sz w:val="22"/>
          <w:szCs w:val="24"/>
          <w:lang w:eastAsia="zh-TW"/>
        </w:rPr>
        <w:t>：加密資產風險承擔的會計分類</w:t>
      </w:r>
    </w:p>
    <w:tbl>
      <w:tblPr>
        <w:tblW w:w="8928"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6801"/>
      </w:tblGrid>
      <w:tr w:rsidR="006854AC" w:rsidRPr="006854AC" w14:paraId="5E75B8C3" w14:textId="77777777" w:rsidTr="00584243">
        <w:tc>
          <w:tcPr>
            <w:tcW w:w="2127" w:type="dxa"/>
          </w:tcPr>
          <w:p w14:paraId="59A15411" w14:textId="77777777" w:rsidR="00DA1457" w:rsidRPr="006854AC" w:rsidRDefault="00DA1457" w:rsidP="00DA1457">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目的</w:t>
            </w:r>
            <w:r w:rsidRPr="006854AC">
              <w:rPr>
                <w:rFonts w:ascii="新細明體" w:eastAsia="新細明體" w:hAnsi="新細明體" w:hint="eastAsia"/>
                <w:b/>
                <w:sz w:val="17"/>
                <w:lang w:eastAsia="zh-TW"/>
              </w:rPr>
              <w:t>：</w:t>
            </w:r>
            <w:r w:rsidRPr="006854AC">
              <w:rPr>
                <w:rFonts w:ascii="新細明體" w:eastAsia="新細明體" w:hAnsi="新細明體"/>
                <w:sz w:val="17"/>
                <w:lang w:eastAsia="en-GB"/>
              </w:rPr>
              <w:t xml:space="preserve"> </w:t>
            </w:r>
          </w:p>
        </w:tc>
        <w:tc>
          <w:tcPr>
            <w:tcW w:w="6801" w:type="dxa"/>
          </w:tcPr>
          <w:p w14:paraId="1D22E346" w14:textId="5327DA18" w:rsidR="00DA1457" w:rsidRPr="006854AC" w:rsidRDefault="00C21563" w:rsidP="00DA1457">
            <w:pPr>
              <w:spacing w:before="40" w:after="40"/>
              <w:jc w:val="both"/>
              <w:rPr>
                <w:rFonts w:eastAsia="新細明體"/>
                <w:sz w:val="17"/>
                <w:lang w:eastAsia="zh-TW"/>
              </w:rPr>
            </w:pPr>
            <w:r w:rsidRPr="006854AC">
              <w:rPr>
                <w:rFonts w:eastAsia="新細明體" w:hint="eastAsia"/>
                <w:sz w:val="17"/>
                <w:lang w:eastAsia="zh-HK"/>
              </w:rPr>
              <w:t>提供</w:t>
            </w:r>
            <w:r w:rsidR="00DA1457" w:rsidRPr="006854AC">
              <w:rPr>
                <w:rFonts w:eastAsia="新細明體" w:hint="eastAsia"/>
                <w:sz w:val="17"/>
                <w:lang w:eastAsia="zh-HK"/>
              </w:rPr>
              <w:t>有關認可機構加密資產風險承擔的會計分類及計量</w:t>
            </w:r>
            <w:r w:rsidR="00AE421B" w:rsidRPr="006854AC">
              <w:rPr>
                <w:rFonts w:eastAsia="新細明體" w:hint="eastAsia"/>
                <w:sz w:val="17"/>
                <w:lang w:eastAsia="zh-HK"/>
              </w:rPr>
              <w:t>的資料</w:t>
            </w:r>
            <w:r w:rsidR="00DA1457" w:rsidRPr="006854AC">
              <w:rPr>
                <w:rFonts w:eastAsia="新細明體" w:hint="eastAsia"/>
                <w:sz w:val="17"/>
                <w:lang w:eastAsia="zh-TW"/>
              </w:rPr>
              <w:t>。</w:t>
            </w:r>
          </w:p>
        </w:tc>
      </w:tr>
      <w:tr w:rsidR="006854AC" w:rsidRPr="006854AC" w14:paraId="43F140C1" w14:textId="77777777" w:rsidTr="00584243">
        <w:tc>
          <w:tcPr>
            <w:tcW w:w="2127" w:type="dxa"/>
          </w:tcPr>
          <w:p w14:paraId="653E03DA"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適用範圍</w:t>
            </w:r>
            <w:r w:rsidRPr="006854AC">
              <w:rPr>
                <w:rFonts w:ascii="新細明體" w:eastAsia="新細明體" w:hAnsi="新細明體" w:hint="eastAsia"/>
                <w:b/>
                <w:sz w:val="17"/>
                <w:lang w:eastAsia="zh-TW"/>
              </w:rPr>
              <w:t>：</w:t>
            </w:r>
          </w:p>
        </w:tc>
        <w:tc>
          <w:tcPr>
            <w:tcW w:w="6801" w:type="dxa"/>
          </w:tcPr>
          <w:p w14:paraId="1726BB6F" w14:textId="0F7F8FFC" w:rsidR="00DA1457" w:rsidRPr="006854AC" w:rsidRDefault="00DA1457" w:rsidP="00017F52">
            <w:pPr>
              <w:spacing w:before="40" w:after="40"/>
              <w:jc w:val="both"/>
              <w:rPr>
                <w:rFonts w:eastAsia="新細明體"/>
                <w:sz w:val="17"/>
                <w:lang w:eastAsia="zh-TW"/>
              </w:rPr>
            </w:pPr>
            <w:r w:rsidRPr="006854AC">
              <w:rPr>
                <w:rFonts w:eastAsia="新細明體" w:hint="eastAsia"/>
                <w:sz w:val="17"/>
                <w:lang w:eastAsia="zh-TW"/>
              </w:rPr>
              <w:t>所有在香港成立</w:t>
            </w:r>
            <w:proofErr w:type="gramStart"/>
            <w:r w:rsidRPr="006854AC">
              <w:rPr>
                <w:rFonts w:eastAsia="新細明體" w:hint="eastAsia"/>
                <w:sz w:val="17"/>
                <w:lang w:eastAsia="zh-TW"/>
              </w:rPr>
              <w:t>為法團的</w:t>
            </w:r>
            <w:proofErr w:type="gramEnd"/>
            <w:r w:rsidRPr="006854AC">
              <w:rPr>
                <w:rFonts w:eastAsia="新細明體" w:hint="eastAsia"/>
                <w:sz w:val="17"/>
                <w:lang w:eastAsia="zh-TW"/>
              </w:rPr>
              <w:t>認可機構</w:t>
            </w:r>
            <w:r w:rsidR="007E5CA0" w:rsidRPr="006854AC">
              <w:rPr>
                <w:rFonts w:eastAsia="新細明體" w:hint="eastAsia"/>
                <w:sz w:val="17"/>
                <w:lang w:eastAsia="zh-TW"/>
              </w:rPr>
              <w:t>，</w:t>
            </w:r>
            <w:r w:rsidR="00017F52" w:rsidRPr="006854AC">
              <w:rPr>
                <w:rFonts w:eastAsia="新細明體" w:hint="eastAsia"/>
                <w:sz w:val="17"/>
                <w:lang w:eastAsia="zh-HK"/>
              </w:rPr>
              <w:t>凡有加密資產風險承擔，</w:t>
            </w:r>
            <w:proofErr w:type="gramStart"/>
            <w:r w:rsidRPr="006854AC">
              <w:rPr>
                <w:rFonts w:eastAsia="新細明體" w:hint="eastAsia"/>
                <w:sz w:val="17"/>
                <w:lang w:eastAsia="zh-TW"/>
              </w:rPr>
              <w:t>均須填報本模</w:t>
            </w:r>
            <w:proofErr w:type="gramEnd"/>
            <w:r w:rsidRPr="006854AC">
              <w:rPr>
                <w:rFonts w:eastAsia="新細明體" w:hint="eastAsia"/>
                <w:sz w:val="17"/>
                <w:lang w:eastAsia="zh-TW"/>
              </w:rPr>
              <w:t>版。</w:t>
            </w:r>
          </w:p>
        </w:tc>
      </w:tr>
      <w:tr w:rsidR="006854AC" w:rsidRPr="006854AC" w14:paraId="4681D0A8" w14:textId="77777777" w:rsidTr="00584243">
        <w:tc>
          <w:tcPr>
            <w:tcW w:w="2127" w:type="dxa"/>
          </w:tcPr>
          <w:p w14:paraId="194E0521"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內容</w:t>
            </w:r>
            <w:r w:rsidRPr="006854AC">
              <w:rPr>
                <w:rFonts w:ascii="新細明體" w:eastAsia="新細明體" w:hAnsi="新細明體" w:hint="eastAsia"/>
                <w:b/>
                <w:sz w:val="17"/>
                <w:lang w:eastAsia="zh-TW"/>
              </w:rPr>
              <w:t>：</w:t>
            </w:r>
            <w:r w:rsidRPr="006854AC">
              <w:rPr>
                <w:rFonts w:ascii="新細明體" w:eastAsia="新細明體" w:hAnsi="新細明體"/>
                <w:b/>
                <w:sz w:val="17"/>
                <w:lang w:eastAsia="en-GB"/>
              </w:rPr>
              <w:t xml:space="preserve"> </w:t>
            </w:r>
          </w:p>
        </w:tc>
        <w:tc>
          <w:tcPr>
            <w:tcW w:w="6801" w:type="dxa"/>
          </w:tcPr>
          <w:p w14:paraId="612794BC" w14:textId="1BE917A4" w:rsidR="00DA1457" w:rsidRPr="006854AC" w:rsidRDefault="00DA1457" w:rsidP="00DA1457">
            <w:pPr>
              <w:spacing w:before="40" w:after="40"/>
              <w:jc w:val="both"/>
              <w:rPr>
                <w:rFonts w:eastAsia="新細明體"/>
                <w:sz w:val="17"/>
                <w:lang w:eastAsia="zh-TW"/>
              </w:rPr>
            </w:pPr>
            <w:proofErr w:type="gramStart"/>
            <w:r w:rsidRPr="006854AC">
              <w:rPr>
                <w:rFonts w:eastAsia="新細明體" w:hint="eastAsia"/>
                <w:sz w:val="17"/>
                <w:lang w:eastAsia="zh-TW"/>
              </w:rPr>
              <w:t>帳面</w:t>
            </w:r>
            <w:proofErr w:type="gramEnd"/>
            <w:r w:rsidRPr="006854AC">
              <w:rPr>
                <w:rFonts w:eastAsia="新細明體" w:hint="eastAsia"/>
                <w:sz w:val="17"/>
                <w:lang w:eastAsia="zh-TW"/>
              </w:rPr>
              <w:t>值（</w:t>
            </w:r>
            <w:r w:rsidRPr="006854AC">
              <w:rPr>
                <w:rFonts w:asciiTheme="minorEastAsia" w:eastAsiaTheme="minorEastAsia" w:hAnsiTheme="minorEastAsia" w:hint="eastAsia"/>
                <w:sz w:val="17"/>
                <w:lang w:eastAsia="zh-TW"/>
              </w:rPr>
              <w:t>對應在財務報表所</w:t>
            </w:r>
            <w:r w:rsidR="00366903" w:rsidRPr="006854AC">
              <w:rPr>
                <w:rFonts w:asciiTheme="minorEastAsia" w:eastAsiaTheme="minorEastAsia" w:hAnsiTheme="minorEastAsia" w:hint="eastAsia"/>
                <w:sz w:val="17"/>
                <w:lang w:eastAsia="zh-TW"/>
              </w:rPr>
              <w:t>載</w:t>
            </w:r>
            <w:r w:rsidR="00943CFC" w:rsidRPr="006854AC">
              <w:rPr>
                <w:rFonts w:asciiTheme="minorEastAsia" w:eastAsiaTheme="minorEastAsia" w:hAnsiTheme="minorEastAsia" w:cs="Segoe UI" w:hint="eastAsia"/>
                <w:sz w:val="17"/>
                <w:lang w:eastAsia="ar-SA"/>
              </w:rPr>
              <w:t>的值</w:t>
            </w:r>
            <w:r w:rsidR="00943CFC" w:rsidRPr="006854AC">
              <w:rPr>
                <w:rFonts w:asciiTheme="minorEastAsia" w:eastAsiaTheme="minorEastAsia" w:hAnsiTheme="minorEastAsia" w:cs="Segoe UI" w:hint="eastAsia"/>
                <w:sz w:val="17"/>
                <w:szCs w:val="17"/>
                <w:lang w:eastAsia="ar-SA"/>
              </w:rPr>
              <w:t>，</w:t>
            </w:r>
            <w:r w:rsidR="00366903" w:rsidRPr="006854AC">
              <w:rPr>
                <w:rFonts w:asciiTheme="minorEastAsia" w:eastAsiaTheme="minorEastAsia" w:hAnsiTheme="minorEastAsia" w:hint="eastAsia"/>
                <w:sz w:val="17"/>
                <w:lang w:eastAsia="zh-TW"/>
              </w:rPr>
              <w:t>但</w:t>
            </w:r>
            <w:r w:rsidR="00366903" w:rsidRPr="006854AC">
              <w:rPr>
                <w:rFonts w:asciiTheme="minorEastAsia" w:eastAsiaTheme="minorEastAsia" w:hAnsiTheme="minorEastAsia" w:hint="eastAsia"/>
                <w:sz w:val="17"/>
                <w:lang w:eastAsia="zh-HK"/>
              </w:rPr>
              <w:t>根</w:t>
            </w:r>
            <w:r w:rsidR="00366903" w:rsidRPr="006854AC">
              <w:rPr>
                <w:rFonts w:asciiTheme="minorEastAsia" w:eastAsiaTheme="minorEastAsia" w:hAnsiTheme="minorEastAsia" w:hint="eastAsia"/>
                <w:sz w:val="17"/>
                <w:lang w:eastAsia="zh-TW"/>
              </w:rPr>
              <w:t>據</w:t>
            </w:r>
            <w:r w:rsidR="00DC6E89" w:rsidRPr="006854AC">
              <w:rPr>
                <w:rFonts w:asciiTheme="minorEastAsia" w:eastAsiaTheme="minorEastAsia" w:hAnsiTheme="minorEastAsia" w:hint="eastAsia"/>
                <w:sz w:val="17"/>
                <w:lang w:eastAsia="zh-TW"/>
              </w:rPr>
              <w:t>用作計算資本充足程度而適用的</w:t>
            </w:r>
            <w:r w:rsidRPr="006854AC">
              <w:rPr>
                <w:rFonts w:asciiTheme="minorEastAsia" w:eastAsiaTheme="minorEastAsia" w:hAnsiTheme="minorEastAsia" w:hint="eastAsia"/>
                <w:sz w:val="17"/>
                <w:lang w:eastAsia="zh-TW"/>
              </w:rPr>
              <w:t>監管綜合範圍</w:t>
            </w:r>
            <w:r w:rsidRPr="006854AC">
              <w:rPr>
                <w:rFonts w:eastAsia="新細明體" w:hint="eastAsia"/>
                <w:sz w:val="17"/>
                <w:lang w:eastAsia="zh-TW"/>
              </w:rPr>
              <w:t>）。</w:t>
            </w:r>
          </w:p>
        </w:tc>
      </w:tr>
      <w:tr w:rsidR="006854AC" w:rsidRPr="006854AC" w14:paraId="7A69C7EC" w14:textId="77777777" w:rsidTr="00584243">
        <w:tc>
          <w:tcPr>
            <w:tcW w:w="2127" w:type="dxa"/>
          </w:tcPr>
          <w:p w14:paraId="7D2E8722" w14:textId="29FC7C0E" w:rsidR="00DA1457" w:rsidRPr="006854AC" w:rsidRDefault="00DA1457" w:rsidP="00625C98">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頻密程度</w:t>
            </w:r>
            <w:r w:rsidRPr="006854AC">
              <w:rPr>
                <w:rFonts w:ascii="新細明體" w:eastAsia="新細明體" w:hAnsi="新細明體" w:hint="eastAsia"/>
                <w:b/>
                <w:sz w:val="17"/>
                <w:lang w:eastAsia="zh-TW"/>
              </w:rPr>
              <w:t>：</w:t>
            </w:r>
          </w:p>
        </w:tc>
        <w:tc>
          <w:tcPr>
            <w:tcW w:w="6801" w:type="dxa"/>
          </w:tcPr>
          <w:p w14:paraId="7D0315D7" w14:textId="77777777" w:rsidR="00DA1457" w:rsidRPr="006854AC" w:rsidRDefault="00DA1457" w:rsidP="00DA1457">
            <w:pPr>
              <w:spacing w:before="40" w:after="40"/>
              <w:jc w:val="both"/>
              <w:rPr>
                <w:rFonts w:eastAsia="新細明體"/>
                <w:sz w:val="17"/>
                <w:lang w:eastAsia="en-GB"/>
              </w:rPr>
            </w:pPr>
            <w:r w:rsidRPr="006854AC">
              <w:rPr>
                <w:rFonts w:eastAsia="新細明體" w:cs="Segoe UI" w:hint="eastAsia"/>
                <w:sz w:val="17"/>
                <w:lang w:eastAsia="zh-HK"/>
              </w:rPr>
              <w:t>每半年</w:t>
            </w:r>
            <w:r w:rsidRPr="006854AC">
              <w:rPr>
                <w:rFonts w:eastAsia="新細明體" w:cs="Segoe UI" w:hint="eastAsia"/>
                <w:sz w:val="17"/>
                <w:lang w:eastAsia="zh-TW"/>
              </w:rPr>
              <w:t>一</w:t>
            </w:r>
            <w:r w:rsidRPr="006854AC">
              <w:rPr>
                <w:rFonts w:eastAsia="新細明體" w:cs="Segoe UI" w:hint="eastAsia"/>
                <w:sz w:val="17"/>
                <w:lang w:eastAsia="zh-HK"/>
              </w:rPr>
              <w:t>次</w:t>
            </w:r>
            <w:r w:rsidRPr="006854AC">
              <w:rPr>
                <w:rFonts w:eastAsia="新細明體" w:cs="Segoe UI" w:hint="eastAsia"/>
                <w:sz w:val="17"/>
                <w:lang w:eastAsia="zh-TW"/>
              </w:rPr>
              <w:t>。</w:t>
            </w:r>
          </w:p>
        </w:tc>
      </w:tr>
      <w:tr w:rsidR="006854AC" w:rsidRPr="006854AC" w14:paraId="2D41CCDD" w14:textId="77777777" w:rsidTr="00584243">
        <w:tc>
          <w:tcPr>
            <w:tcW w:w="2127" w:type="dxa"/>
          </w:tcPr>
          <w:p w14:paraId="47279B73" w14:textId="03024560" w:rsidR="00DA1457" w:rsidRPr="006854AC" w:rsidRDefault="00DA1457" w:rsidP="00625C98">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格式</w:t>
            </w:r>
            <w:r w:rsidRPr="006854AC">
              <w:rPr>
                <w:rFonts w:ascii="新細明體" w:eastAsia="新細明體" w:hAnsi="新細明體" w:hint="eastAsia"/>
                <w:b/>
                <w:sz w:val="17"/>
                <w:lang w:eastAsia="zh-TW"/>
              </w:rPr>
              <w:t>：</w:t>
            </w:r>
          </w:p>
        </w:tc>
        <w:tc>
          <w:tcPr>
            <w:tcW w:w="6801" w:type="dxa"/>
          </w:tcPr>
          <w:p w14:paraId="55836836" w14:textId="322E9850" w:rsidR="00DA1457" w:rsidRPr="006854AC" w:rsidRDefault="001525AB" w:rsidP="004E3585">
            <w:pPr>
              <w:widowControl w:val="0"/>
              <w:tabs>
                <w:tab w:val="left" w:pos="519"/>
              </w:tabs>
              <w:autoSpaceDE w:val="0"/>
              <w:autoSpaceDN w:val="0"/>
              <w:spacing w:before="40"/>
              <w:ind w:right="104"/>
              <w:jc w:val="both"/>
              <w:rPr>
                <w:rFonts w:eastAsia="新細明體"/>
                <w:sz w:val="17"/>
                <w:lang w:eastAsia="zh-TW"/>
              </w:rPr>
            </w:pPr>
            <w:r w:rsidRPr="006854AC">
              <w:rPr>
                <w:rFonts w:eastAsia="新細明體" w:hint="eastAsia"/>
                <w:sz w:val="17"/>
                <w:lang w:eastAsia="zh-HK"/>
              </w:rPr>
              <w:t>非固定，但各行應與認可機構財務報表</w:t>
            </w:r>
            <w:r w:rsidR="00845D5E" w:rsidRPr="006854AC">
              <w:rPr>
                <w:rFonts w:eastAsia="新細明體" w:hint="eastAsia"/>
                <w:sz w:val="17"/>
                <w:szCs w:val="17"/>
                <w:lang w:eastAsia="zh-TW"/>
              </w:rPr>
              <w:t>中的</w:t>
            </w:r>
            <w:r w:rsidR="00DA1457" w:rsidRPr="006854AC">
              <w:rPr>
                <w:rFonts w:eastAsia="新細明體" w:hint="eastAsia"/>
                <w:sz w:val="17"/>
                <w:lang w:eastAsia="zh-HK"/>
              </w:rPr>
              <w:t>加密資產風險承擔</w:t>
            </w:r>
            <w:r w:rsidR="00845D5E" w:rsidRPr="006854AC">
              <w:rPr>
                <w:rFonts w:eastAsia="新細明體" w:hint="eastAsia"/>
                <w:sz w:val="17"/>
                <w:lang w:eastAsia="zh-HK"/>
              </w:rPr>
              <w:t>呈報</w:t>
            </w:r>
            <w:r w:rsidR="00DA1457" w:rsidRPr="006854AC">
              <w:rPr>
                <w:rFonts w:eastAsia="新細明體" w:hint="eastAsia"/>
                <w:sz w:val="17"/>
                <w:lang w:eastAsia="zh-HK"/>
              </w:rPr>
              <w:t>方式一致。</w:t>
            </w:r>
          </w:p>
        </w:tc>
      </w:tr>
      <w:tr w:rsidR="006854AC" w:rsidRPr="006854AC" w14:paraId="3EFD6767" w14:textId="77777777" w:rsidTr="00584243">
        <w:tc>
          <w:tcPr>
            <w:tcW w:w="2127" w:type="dxa"/>
          </w:tcPr>
          <w:p w14:paraId="505D0DAE"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szCs w:val="17"/>
                <w:lang w:eastAsia="zh-HK"/>
              </w:rPr>
              <w:t>附加說明</w:t>
            </w:r>
            <w:r w:rsidRPr="006854AC">
              <w:rPr>
                <w:rFonts w:ascii="新細明體" w:eastAsia="新細明體" w:hAnsi="新細明體" w:hint="eastAsia"/>
                <w:b/>
                <w:sz w:val="17"/>
                <w:szCs w:val="17"/>
                <w:lang w:eastAsia="zh-TW"/>
              </w:rPr>
              <w:t>：</w:t>
            </w:r>
          </w:p>
        </w:tc>
        <w:tc>
          <w:tcPr>
            <w:tcW w:w="6801" w:type="dxa"/>
          </w:tcPr>
          <w:p w14:paraId="1CE2AC6C" w14:textId="03A19557" w:rsidR="00DA1457" w:rsidRPr="006854AC" w:rsidRDefault="00DA1457" w:rsidP="00F15F38">
            <w:pPr>
              <w:widowControl w:val="0"/>
              <w:tabs>
                <w:tab w:val="left" w:pos="519"/>
              </w:tabs>
              <w:autoSpaceDE w:val="0"/>
              <w:autoSpaceDN w:val="0"/>
              <w:spacing w:before="40"/>
              <w:ind w:right="104"/>
              <w:jc w:val="both"/>
              <w:rPr>
                <w:rFonts w:eastAsia="Segoe UI" w:cs="Segoe UI"/>
                <w:sz w:val="17"/>
                <w:szCs w:val="22"/>
                <w:lang w:val="en-US" w:eastAsia="zh-TW" w:bidi="en-US"/>
              </w:rPr>
            </w:pPr>
            <w:bookmarkStart w:id="8" w:name="OLE_LINK2"/>
            <w:r w:rsidRPr="006854AC">
              <w:rPr>
                <w:rFonts w:eastAsia="新細明體" w:hint="eastAsia"/>
                <w:sz w:val="17"/>
                <w:lang w:eastAsia="zh-HK"/>
              </w:rPr>
              <w:t>認可機構</w:t>
            </w:r>
            <w:bookmarkEnd w:id="8"/>
            <w:r w:rsidRPr="006854AC">
              <w:rPr>
                <w:rFonts w:eastAsia="新細明體" w:hint="eastAsia"/>
                <w:sz w:val="17"/>
                <w:lang w:eastAsia="zh-HK"/>
              </w:rPr>
              <w:t>應以敘述評註</w:t>
            </w:r>
            <w:r w:rsidR="00845D5E" w:rsidRPr="006854AC">
              <w:rPr>
                <w:rFonts w:eastAsia="新細明體" w:hint="eastAsia"/>
                <w:sz w:val="17"/>
                <w:lang w:eastAsia="zh-HK"/>
              </w:rPr>
              <w:t>，</w:t>
            </w:r>
            <w:r w:rsidRPr="006854AC">
              <w:rPr>
                <w:rFonts w:eastAsia="新細明體" w:hint="eastAsia"/>
                <w:sz w:val="17"/>
                <w:lang w:eastAsia="zh-HK"/>
              </w:rPr>
              <w:t>闡明現行報告期內任何重大改變及引致該等改變的主要驅動因素，以補充本模版。此外，</w:t>
            </w:r>
            <w:r w:rsidR="00F15F38" w:rsidRPr="006854AC">
              <w:rPr>
                <w:rFonts w:eastAsia="新細明體" w:hint="eastAsia"/>
                <w:sz w:val="17"/>
                <w:lang w:eastAsia="zh-HK"/>
              </w:rPr>
              <w:t>認可機構</w:t>
            </w:r>
            <w:r w:rsidR="00895424" w:rsidRPr="006854AC">
              <w:rPr>
                <w:rFonts w:eastAsia="新細明體" w:hint="eastAsia"/>
                <w:sz w:val="17"/>
                <w:lang w:eastAsia="zh-HK"/>
              </w:rPr>
              <w:t>應填報針對按攤銷成本值計量的風險承擔</w:t>
            </w:r>
            <w:r w:rsidR="00845D5E" w:rsidRPr="006854AC">
              <w:rPr>
                <w:rFonts w:eastAsia="新細明體" w:hint="eastAsia"/>
                <w:sz w:val="17"/>
                <w:lang w:eastAsia="zh-HK"/>
              </w:rPr>
              <w:t>是否存在</w:t>
            </w:r>
            <w:r w:rsidR="00895424" w:rsidRPr="006854AC">
              <w:rPr>
                <w:rFonts w:eastAsia="新細明體" w:hint="eastAsia"/>
                <w:sz w:val="17"/>
                <w:lang w:eastAsia="zh-HK"/>
              </w:rPr>
              <w:t>任何累計備抵</w:t>
            </w:r>
            <w:r w:rsidR="00845D5E" w:rsidRPr="006854AC">
              <w:rPr>
                <w:rFonts w:eastAsia="新細明體" w:hint="eastAsia"/>
                <w:sz w:val="17"/>
                <w:lang w:eastAsia="zh-TW"/>
              </w:rPr>
              <w:t>或</w:t>
            </w:r>
            <w:r w:rsidRPr="006854AC">
              <w:rPr>
                <w:rFonts w:eastAsia="新細明體" w:hint="eastAsia"/>
                <w:sz w:val="17"/>
                <w:lang w:eastAsia="zh-HK"/>
              </w:rPr>
              <w:t>減值。</w:t>
            </w:r>
          </w:p>
        </w:tc>
      </w:tr>
      <w:tr w:rsidR="006854AC" w:rsidRPr="006854AC" w14:paraId="19B49CAE" w14:textId="77777777" w:rsidTr="00584243">
        <w:tc>
          <w:tcPr>
            <w:tcW w:w="2127" w:type="dxa"/>
          </w:tcPr>
          <w:p w14:paraId="1A74AECA" w14:textId="77777777" w:rsidR="00DA1457" w:rsidRPr="006854AC" w:rsidRDefault="00DA1457" w:rsidP="00DA1457">
            <w:pPr>
              <w:spacing w:before="40" w:after="40"/>
              <w:rPr>
                <w:rFonts w:ascii="新細明體" w:eastAsia="新細明體" w:hAnsi="新細明體"/>
                <w:b/>
                <w:sz w:val="17"/>
                <w:szCs w:val="17"/>
                <w:lang w:eastAsia="zh-TW"/>
              </w:rPr>
            </w:pPr>
            <w:r w:rsidRPr="006854AC">
              <w:rPr>
                <w:rFonts w:ascii="新細明體" w:eastAsia="新細明體" w:hAnsi="新細明體" w:hint="eastAsia"/>
                <w:b/>
                <w:sz w:val="17"/>
                <w:szCs w:val="17"/>
                <w:lang w:eastAsia="zh-TW"/>
              </w:rPr>
              <w:t>《披露規則》相應條文：</w:t>
            </w:r>
          </w:p>
        </w:tc>
        <w:tc>
          <w:tcPr>
            <w:tcW w:w="6801" w:type="dxa"/>
          </w:tcPr>
          <w:p w14:paraId="09624318" w14:textId="77777777" w:rsidR="00DA1457" w:rsidRPr="006854AC" w:rsidRDefault="00DA1457" w:rsidP="00DA1457">
            <w:pPr>
              <w:spacing w:before="40" w:after="40"/>
              <w:jc w:val="both"/>
              <w:rPr>
                <w:rFonts w:eastAsia="新細明體"/>
                <w:sz w:val="17"/>
                <w:szCs w:val="17"/>
                <w:lang w:eastAsia="en-GB"/>
              </w:rPr>
            </w:pPr>
            <w:r w:rsidRPr="006854AC">
              <w:rPr>
                <w:rFonts w:eastAsia="新細明體"/>
                <w:sz w:val="17"/>
                <w:szCs w:val="17"/>
                <w:lang w:eastAsia="en-GB"/>
              </w:rPr>
              <w:t>16ZQJ</w:t>
            </w:r>
          </w:p>
        </w:tc>
      </w:tr>
    </w:tbl>
    <w:p w14:paraId="40EB7216" w14:textId="77777777" w:rsidR="00DA1457" w:rsidRPr="006854AC" w:rsidRDefault="00DA1457" w:rsidP="00DA1457"/>
    <w:tbl>
      <w:tblPr>
        <w:tblW w:w="9248" w:type="dxa"/>
        <w:tblInd w:w="-459" w:type="dxa"/>
        <w:tblBorders>
          <w:top w:val="single" w:sz="4" w:space="0" w:color="BCBDBC"/>
          <w:left w:val="single" w:sz="4" w:space="0" w:color="BCBDBC"/>
          <w:bottom w:val="single" w:sz="4" w:space="0" w:color="BCBDBC"/>
          <w:right w:val="single" w:sz="4" w:space="0" w:color="BCBDBC"/>
          <w:insideH w:val="single" w:sz="4" w:space="0" w:color="BCBDBC"/>
          <w:insideV w:val="single" w:sz="4" w:space="0" w:color="BCBDBC"/>
        </w:tblBorders>
        <w:tblLayout w:type="fixed"/>
        <w:tblLook w:val="0600" w:firstRow="0" w:lastRow="0" w:firstColumn="0" w:lastColumn="0" w:noHBand="1" w:noVBand="1"/>
      </w:tblPr>
      <w:tblGrid>
        <w:gridCol w:w="528"/>
        <w:gridCol w:w="2648"/>
        <w:gridCol w:w="1518"/>
        <w:gridCol w:w="1518"/>
        <w:gridCol w:w="1518"/>
        <w:gridCol w:w="1518"/>
      </w:tblGrid>
      <w:tr w:rsidR="006854AC" w:rsidRPr="006854AC" w14:paraId="05277E76" w14:textId="77777777" w:rsidTr="00DA1457">
        <w:trPr>
          <w:trHeight w:val="299"/>
          <w:tblHeader/>
        </w:trPr>
        <w:tc>
          <w:tcPr>
            <w:tcW w:w="528" w:type="dxa"/>
            <w:tcBorders>
              <w:top w:val="nil"/>
              <w:left w:val="nil"/>
              <w:bottom w:val="nil"/>
              <w:right w:val="nil"/>
            </w:tcBorders>
          </w:tcPr>
          <w:p w14:paraId="23849CA5" w14:textId="77777777" w:rsidR="00DA1457" w:rsidRPr="006854AC" w:rsidRDefault="00DA1457" w:rsidP="00DA1457">
            <w:pPr>
              <w:keepLines/>
              <w:snapToGrid w:val="0"/>
              <w:rPr>
                <w:rFonts w:cs="Segoe UI"/>
                <w:i/>
                <w:sz w:val="17"/>
                <w:szCs w:val="17"/>
                <w:lang w:eastAsia="en-GB"/>
              </w:rPr>
            </w:pPr>
          </w:p>
        </w:tc>
        <w:tc>
          <w:tcPr>
            <w:tcW w:w="2648" w:type="dxa"/>
            <w:tcBorders>
              <w:top w:val="nil"/>
              <w:left w:val="nil"/>
              <w:bottom w:val="nil"/>
              <w:right w:val="single" w:sz="4" w:space="0" w:color="auto"/>
            </w:tcBorders>
          </w:tcPr>
          <w:p w14:paraId="317A39F0" w14:textId="77777777" w:rsidR="00DA1457" w:rsidRPr="006854AC" w:rsidRDefault="00DA1457" w:rsidP="00DA1457">
            <w:pPr>
              <w:keepLines/>
              <w:snapToGrid w:val="0"/>
              <w:rPr>
                <w:rFonts w:cs="Segoe UI"/>
                <w:i/>
                <w:sz w:val="17"/>
                <w:szCs w:val="17"/>
                <w:lang w:eastAsia="en-GB"/>
              </w:rPr>
            </w:pP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390D776B"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(a)</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54AB056F" w14:textId="77777777" w:rsidR="00DA1457" w:rsidRPr="006854AC" w:rsidRDefault="00DA1457" w:rsidP="00DA1457">
            <w:pPr>
              <w:keepLines/>
              <w:tabs>
                <w:tab w:val="left" w:pos="447"/>
              </w:tabs>
              <w:snapToGrid w:val="0"/>
              <w:spacing w:before="40" w:after="40"/>
              <w:jc w:val="center"/>
              <w:rPr>
                <w:rFonts w:cs="Segoe UI"/>
                <w:sz w:val="17"/>
                <w:szCs w:val="17"/>
                <w:lang w:eastAsia="en-GB"/>
              </w:rPr>
            </w:pPr>
            <w:r w:rsidRPr="006854AC">
              <w:rPr>
                <w:rFonts w:cs="Segoe UI"/>
                <w:sz w:val="17"/>
                <w:szCs w:val="17"/>
                <w:lang w:eastAsia="en-GB"/>
              </w:rPr>
              <w:t>(b)</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3FFC4AB1"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(c)</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4CCA3A32"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(d)</w:t>
            </w:r>
          </w:p>
        </w:tc>
      </w:tr>
      <w:tr w:rsidR="006854AC" w:rsidRPr="006854AC" w14:paraId="1B4DEC41" w14:textId="77777777" w:rsidTr="00DA1457">
        <w:trPr>
          <w:trHeight w:val="245"/>
          <w:tblHeader/>
        </w:trPr>
        <w:tc>
          <w:tcPr>
            <w:tcW w:w="528" w:type="dxa"/>
            <w:tcBorders>
              <w:top w:val="nil"/>
              <w:left w:val="nil"/>
              <w:bottom w:val="nil"/>
              <w:right w:val="nil"/>
            </w:tcBorders>
          </w:tcPr>
          <w:p w14:paraId="572B36BA" w14:textId="77777777" w:rsidR="00DA1457" w:rsidRPr="006854AC" w:rsidRDefault="00DA1457" w:rsidP="00DA1457">
            <w:pPr>
              <w:keepLines/>
              <w:snapToGrid w:val="0"/>
              <w:rPr>
                <w:rFonts w:cs="Segoe UI"/>
                <w:i/>
                <w:sz w:val="17"/>
                <w:szCs w:val="17"/>
                <w:lang w:eastAsia="en-GB"/>
              </w:rPr>
            </w:pPr>
          </w:p>
        </w:tc>
        <w:tc>
          <w:tcPr>
            <w:tcW w:w="2648" w:type="dxa"/>
            <w:vMerge w:val="restart"/>
            <w:tcBorders>
              <w:top w:val="nil"/>
              <w:left w:val="nil"/>
              <w:bottom w:val="single" w:sz="4" w:space="0" w:color="auto"/>
              <w:right w:val="single" w:sz="4" w:space="0" w:color="auto"/>
            </w:tcBorders>
          </w:tcPr>
          <w:p w14:paraId="2FDF70D0" w14:textId="77777777" w:rsidR="00DA1457" w:rsidRPr="006854AC" w:rsidRDefault="00DA1457" w:rsidP="00DA1457">
            <w:pPr>
              <w:keepLines/>
              <w:snapToGrid w:val="0"/>
              <w:rPr>
                <w:rFonts w:cs="Segoe UI"/>
                <w:i/>
                <w:sz w:val="17"/>
                <w:szCs w:val="17"/>
                <w:lang w:eastAsia="en-GB"/>
              </w:rPr>
            </w:pPr>
          </w:p>
        </w:tc>
        <w:tc>
          <w:tcPr>
            <w:tcW w:w="6072" w:type="dxa"/>
            <w:gridSpan w:val="4"/>
            <w:tcBorders>
              <w:top w:val="single" w:sz="4" w:space="0" w:color="auto"/>
              <w:left w:val="single" w:sz="4" w:space="0" w:color="auto"/>
              <w:bottom w:val="single" w:sz="4" w:space="0" w:color="auto"/>
              <w:right w:val="single" w:sz="4" w:space="0" w:color="auto"/>
            </w:tcBorders>
            <w:shd w:val="clear" w:color="auto" w:fill="FFFFFF"/>
          </w:tcPr>
          <w:p w14:paraId="29F79CFA" w14:textId="1E976EA8" w:rsidR="00DA1457" w:rsidRPr="006854AC" w:rsidRDefault="00B444A3" w:rsidP="00DA1457">
            <w:pPr>
              <w:keepLines/>
              <w:snapToGrid w:val="0"/>
              <w:spacing w:before="40" w:after="40"/>
              <w:jc w:val="center"/>
              <w:rPr>
                <w:rFonts w:ascii="新細明體" w:eastAsia="新細明體" w:hAnsi="新細明體" w:cs="Segoe UI"/>
                <w:sz w:val="17"/>
                <w:szCs w:val="17"/>
                <w:lang w:eastAsia="zh-TW"/>
              </w:rPr>
            </w:pPr>
            <w:r w:rsidRPr="006854AC">
              <w:rPr>
                <w:rFonts w:ascii="新細明體" w:eastAsia="新細明體" w:hAnsi="新細明體" w:cs="Segoe UI" w:hint="eastAsia"/>
                <w:sz w:val="17"/>
                <w:szCs w:val="17"/>
                <w:lang w:eastAsia="zh-HK"/>
              </w:rPr>
              <w:t>在監管綜合範圍下</w:t>
            </w:r>
            <w:r w:rsidR="00BC5D5A" w:rsidRPr="006854AC">
              <w:rPr>
                <w:rFonts w:ascii="新細明體" w:eastAsia="新細明體" w:hAnsi="新細明體" w:cs="Segoe UI" w:hint="eastAsia"/>
                <w:sz w:val="17"/>
                <w:szCs w:val="17"/>
                <w:lang w:eastAsia="zh-HK"/>
              </w:rPr>
              <w:t>的</w:t>
            </w:r>
            <w:r w:rsidR="00DA1457" w:rsidRPr="006854AC">
              <w:rPr>
                <w:rFonts w:ascii="新細明體" w:eastAsia="新細明體" w:hAnsi="新細明體" w:cs="Segoe UI"/>
                <w:sz w:val="17"/>
                <w:szCs w:val="17"/>
                <w:lang w:eastAsia="zh-HK"/>
              </w:rPr>
              <w:br/>
            </w:r>
            <w:r w:rsidR="00DA1457" w:rsidRPr="006854AC">
              <w:rPr>
                <w:rFonts w:ascii="新細明體" w:eastAsia="新細明體" w:hAnsi="新細明體" w:cs="Segoe UI" w:hint="eastAsia"/>
                <w:sz w:val="17"/>
                <w:szCs w:val="17"/>
                <w:lang w:eastAsia="zh-HK"/>
              </w:rPr>
              <w:t>加密資產風險承擔的帳面值</w:t>
            </w:r>
          </w:p>
        </w:tc>
      </w:tr>
      <w:tr w:rsidR="006854AC" w:rsidRPr="006854AC" w14:paraId="5765201C" w14:textId="77777777" w:rsidTr="00DA1457">
        <w:trPr>
          <w:trHeight w:val="245"/>
          <w:tblHeader/>
        </w:trPr>
        <w:tc>
          <w:tcPr>
            <w:tcW w:w="528" w:type="dxa"/>
            <w:tcBorders>
              <w:top w:val="nil"/>
              <w:left w:val="nil"/>
              <w:bottom w:val="single" w:sz="4" w:space="0" w:color="auto"/>
              <w:right w:val="nil"/>
            </w:tcBorders>
          </w:tcPr>
          <w:p w14:paraId="176D2D64" w14:textId="77777777" w:rsidR="00DA1457" w:rsidRPr="006854AC" w:rsidRDefault="00DA1457" w:rsidP="00DA1457">
            <w:pPr>
              <w:keepLines/>
              <w:snapToGrid w:val="0"/>
              <w:rPr>
                <w:rFonts w:cs="Segoe UI"/>
                <w:i/>
                <w:sz w:val="17"/>
                <w:szCs w:val="17"/>
                <w:lang w:eastAsia="zh-TW"/>
              </w:rPr>
            </w:pPr>
          </w:p>
        </w:tc>
        <w:tc>
          <w:tcPr>
            <w:tcW w:w="2648" w:type="dxa"/>
            <w:vMerge/>
            <w:tcBorders>
              <w:top w:val="single" w:sz="4" w:space="0" w:color="auto"/>
              <w:left w:val="nil"/>
              <w:bottom w:val="single" w:sz="4" w:space="0" w:color="auto"/>
              <w:right w:val="single" w:sz="4" w:space="0" w:color="auto"/>
            </w:tcBorders>
          </w:tcPr>
          <w:p w14:paraId="52731C82" w14:textId="77777777" w:rsidR="00DA1457" w:rsidRPr="006854AC" w:rsidRDefault="00DA1457" w:rsidP="00DA1457">
            <w:pPr>
              <w:keepLines/>
              <w:snapToGrid w:val="0"/>
              <w:rPr>
                <w:rFonts w:cs="Segoe UI"/>
                <w:i/>
                <w:sz w:val="17"/>
                <w:szCs w:val="17"/>
                <w:lang w:eastAsia="zh-TW"/>
              </w:rPr>
            </w:pP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2519967F" w14:textId="77777777"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新細明體" w:cs="Segoe UI" w:hint="eastAsia"/>
                <w:sz w:val="17"/>
                <w:szCs w:val="17"/>
                <w:lang w:eastAsia="en-GB"/>
              </w:rPr>
              <w:t>第</w:t>
            </w:r>
            <w:r w:rsidRPr="006854AC">
              <w:rPr>
                <w:rFonts w:eastAsia="新細明體" w:cs="Segoe UI"/>
                <w:sz w:val="17"/>
                <w:szCs w:val="17"/>
                <w:lang w:eastAsia="en-GB"/>
              </w:rPr>
              <w:t>1a</w:t>
            </w:r>
            <w:r w:rsidRPr="006854AC">
              <w:rPr>
                <w:rFonts w:eastAsia="新細明體" w:cs="Segoe UI" w:hint="eastAsia"/>
                <w:sz w:val="17"/>
                <w:szCs w:val="17"/>
                <w:lang w:eastAsia="en-GB"/>
              </w:rPr>
              <w:t>組</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61AF55DC" w14:textId="77777777" w:rsidR="00DA1457" w:rsidRPr="006854AC" w:rsidRDefault="00DA1457" w:rsidP="00DA1457">
            <w:pPr>
              <w:keepLines/>
              <w:tabs>
                <w:tab w:val="left" w:pos="447"/>
              </w:tabs>
              <w:snapToGrid w:val="0"/>
              <w:spacing w:before="40" w:after="40"/>
              <w:jc w:val="center"/>
              <w:rPr>
                <w:rFonts w:eastAsia="新細明體" w:cs="Segoe UI"/>
                <w:sz w:val="17"/>
                <w:szCs w:val="17"/>
                <w:lang w:eastAsia="en-GB"/>
              </w:rPr>
            </w:pPr>
            <w:r w:rsidRPr="006854AC">
              <w:rPr>
                <w:rFonts w:eastAsia="新細明體" w:cs="Segoe UI" w:hint="eastAsia"/>
                <w:sz w:val="17"/>
                <w:szCs w:val="17"/>
                <w:lang w:eastAsia="en-GB"/>
              </w:rPr>
              <w:t>第</w:t>
            </w:r>
            <w:r w:rsidRPr="006854AC">
              <w:rPr>
                <w:rFonts w:eastAsia="新細明體" w:cs="Segoe UI"/>
                <w:sz w:val="17"/>
                <w:szCs w:val="17"/>
                <w:lang w:eastAsia="en-GB"/>
              </w:rPr>
              <w:t>1b</w:t>
            </w:r>
            <w:r w:rsidRPr="006854AC">
              <w:rPr>
                <w:rFonts w:eastAsia="新細明體" w:cs="Segoe UI" w:hint="eastAsia"/>
                <w:sz w:val="17"/>
                <w:szCs w:val="17"/>
                <w:lang w:eastAsia="en-GB"/>
              </w:rPr>
              <w:t>組</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1E7DBCF4" w14:textId="77777777"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新細明體" w:cs="Segoe UI" w:hint="eastAsia"/>
                <w:sz w:val="17"/>
                <w:szCs w:val="17"/>
                <w:lang w:eastAsia="en-GB"/>
              </w:rPr>
              <w:t>第</w:t>
            </w:r>
            <w:r w:rsidRPr="006854AC">
              <w:rPr>
                <w:rFonts w:eastAsia="新細明體" w:cs="Segoe UI"/>
                <w:sz w:val="17"/>
                <w:szCs w:val="17"/>
                <w:lang w:eastAsia="en-GB"/>
              </w:rPr>
              <w:t>2a</w:t>
            </w:r>
            <w:r w:rsidRPr="006854AC">
              <w:rPr>
                <w:rFonts w:eastAsia="新細明體" w:cs="Segoe UI" w:hint="eastAsia"/>
                <w:sz w:val="17"/>
                <w:szCs w:val="17"/>
                <w:lang w:eastAsia="en-GB"/>
              </w:rPr>
              <w:t>組</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58C6A2EC" w14:textId="77777777"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新細明體" w:cs="Segoe UI" w:hint="eastAsia"/>
                <w:sz w:val="17"/>
                <w:szCs w:val="17"/>
                <w:lang w:eastAsia="en-GB"/>
              </w:rPr>
              <w:t>第</w:t>
            </w:r>
            <w:r w:rsidRPr="006854AC">
              <w:rPr>
                <w:rFonts w:eastAsia="新細明體" w:cs="Segoe UI"/>
                <w:sz w:val="17"/>
                <w:szCs w:val="17"/>
                <w:lang w:eastAsia="en-GB"/>
              </w:rPr>
              <w:t>2b</w:t>
            </w:r>
            <w:r w:rsidRPr="006854AC">
              <w:rPr>
                <w:rFonts w:eastAsia="新細明體" w:cs="Segoe UI" w:hint="eastAsia"/>
                <w:sz w:val="17"/>
                <w:szCs w:val="17"/>
                <w:lang w:eastAsia="en-GB"/>
              </w:rPr>
              <w:t>組</w:t>
            </w:r>
          </w:p>
        </w:tc>
      </w:tr>
      <w:tr w:rsidR="006854AC" w:rsidRPr="006854AC" w14:paraId="1F321F15" w14:textId="77777777" w:rsidTr="00DA1457">
        <w:trPr>
          <w:tblHeader/>
        </w:trPr>
        <w:tc>
          <w:tcPr>
            <w:tcW w:w="9248" w:type="dxa"/>
            <w:gridSpan w:val="6"/>
            <w:tcBorders>
              <w:top w:val="single" w:sz="4" w:space="0" w:color="auto"/>
              <w:left w:val="nil"/>
              <w:right w:val="single" w:sz="4" w:space="0" w:color="auto"/>
            </w:tcBorders>
            <w:shd w:val="clear" w:color="auto" w:fill="F2F2F2"/>
          </w:tcPr>
          <w:p w14:paraId="5D8DACFC" w14:textId="77777777" w:rsidR="00DA1457" w:rsidRPr="006854AC" w:rsidRDefault="00DA1457" w:rsidP="00DA1457">
            <w:pPr>
              <w:keepLines/>
              <w:tabs>
                <w:tab w:val="left" w:pos="397"/>
                <w:tab w:val="left" w:pos="447"/>
                <w:tab w:val="left" w:pos="794"/>
                <w:tab w:val="left" w:pos="1191"/>
              </w:tabs>
              <w:snapToGrid w:val="0"/>
              <w:spacing w:before="20" w:after="20"/>
              <w:rPr>
                <w:rFonts w:ascii="新細明體" w:eastAsia="新細明體" w:hAnsi="新細明體" w:cs="Segoe UI"/>
                <w:b/>
                <w:sz w:val="17"/>
                <w:szCs w:val="17"/>
                <w:lang w:eastAsia="en-GB"/>
              </w:rPr>
            </w:pPr>
            <w:r w:rsidRPr="006854AC">
              <w:rPr>
                <w:rFonts w:ascii="新細明體" w:eastAsia="新細明體" w:hAnsi="新細明體" w:cs="Segoe UI" w:hint="eastAsia"/>
                <w:b/>
                <w:sz w:val="17"/>
                <w:szCs w:val="17"/>
                <w:lang w:eastAsia="zh-HK"/>
              </w:rPr>
              <w:t>資產</w:t>
            </w:r>
          </w:p>
        </w:tc>
      </w:tr>
      <w:tr w:rsidR="006854AC" w:rsidRPr="006854AC" w14:paraId="0AEFFEA8" w14:textId="77777777" w:rsidTr="00DA1457">
        <w:trPr>
          <w:tblHeader/>
        </w:trPr>
        <w:tc>
          <w:tcPr>
            <w:tcW w:w="3176" w:type="dxa"/>
            <w:gridSpan w:val="2"/>
            <w:tcBorders>
              <w:top w:val="single" w:sz="4" w:space="0" w:color="auto"/>
              <w:left w:val="nil"/>
              <w:right w:val="single" w:sz="4" w:space="0" w:color="auto"/>
            </w:tcBorders>
          </w:tcPr>
          <w:p w14:paraId="60DF32CE" w14:textId="77777777" w:rsidR="00DA1457" w:rsidRPr="006854AC" w:rsidRDefault="00DA1457" w:rsidP="00DA1457">
            <w:pPr>
              <w:keepLines/>
              <w:widowControl w:val="0"/>
              <w:tabs>
                <w:tab w:val="left" w:pos="397"/>
                <w:tab w:val="left" w:pos="794"/>
                <w:tab w:val="left" w:pos="1191"/>
              </w:tabs>
              <w:snapToGrid w:val="0"/>
              <w:spacing w:before="20" w:after="20"/>
              <w:rPr>
                <w:rFonts w:ascii="新細明體" w:eastAsia="新細明體" w:hAnsi="新細明體" w:cs="Segoe UI"/>
                <w:sz w:val="17"/>
                <w:szCs w:val="17"/>
                <w:lang w:eastAsia="en-GB"/>
              </w:rPr>
            </w:pPr>
            <w:r w:rsidRPr="006854AC">
              <w:rPr>
                <w:rFonts w:ascii="新細明體" w:eastAsia="新細明體" w:hAnsi="新細明體" w:cs="Segoe UI" w:hint="eastAsia"/>
                <w:sz w:val="17"/>
                <w:szCs w:val="17"/>
                <w:lang w:eastAsia="zh-HK"/>
              </w:rPr>
              <w:t>現金</w:t>
            </w: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6DAD024B"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213DE1F2"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5E11CD90"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6C08068B"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1C79764B" w14:textId="77777777" w:rsidTr="00DA1457">
        <w:trPr>
          <w:tblHeader/>
        </w:trPr>
        <w:tc>
          <w:tcPr>
            <w:tcW w:w="3176" w:type="dxa"/>
            <w:gridSpan w:val="2"/>
            <w:tcBorders>
              <w:left w:val="nil"/>
              <w:right w:val="single" w:sz="4" w:space="0" w:color="auto"/>
            </w:tcBorders>
          </w:tcPr>
          <w:p w14:paraId="340925C2" w14:textId="77777777" w:rsidR="00DA1457" w:rsidRPr="006854AC" w:rsidRDefault="00DA1457" w:rsidP="00DA1457">
            <w:pPr>
              <w:keepLines/>
              <w:tabs>
                <w:tab w:val="left" w:pos="397"/>
                <w:tab w:val="left" w:pos="794"/>
                <w:tab w:val="left" w:pos="1191"/>
              </w:tabs>
              <w:snapToGrid w:val="0"/>
              <w:spacing w:before="20" w:after="20"/>
              <w:rPr>
                <w:rFonts w:ascii="新細明體" w:eastAsia="新細明體" w:hAnsi="新細明體" w:cs="Segoe UI"/>
                <w:sz w:val="17"/>
                <w:szCs w:val="17"/>
                <w:lang w:eastAsia="en-GB"/>
              </w:rPr>
            </w:pPr>
            <w:r w:rsidRPr="006854AC">
              <w:rPr>
                <w:rFonts w:ascii="新細明體" w:eastAsia="新細明體" w:hAnsi="新細明體" w:cs="Segoe UI" w:hint="eastAsia"/>
                <w:sz w:val="17"/>
                <w:szCs w:val="17"/>
                <w:lang w:eastAsia="zh-HK"/>
              </w:rPr>
              <w:t>金融資產</w:t>
            </w:r>
            <w:r w:rsidRPr="006854AC">
              <w:rPr>
                <w:rFonts w:ascii="新細明體" w:eastAsia="新細明體" w:hAnsi="新細明體" w:cs="Segoe UI"/>
                <w:sz w:val="17"/>
                <w:szCs w:val="17"/>
                <w:lang w:eastAsia="en-GB"/>
              </w:rPr>
              <w:t xml:space="preserve"> </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5DFA5C31"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68AFA009"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349B6A1D"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4942A324"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1895DD60" w14:textId="77777777" w:rsidTr="00DA1457">
        <w:trPr>
          <w:tblHeader/>
        </w:trPr>
        <w:tc>
          <w:tcPr>
            <w:tcW w:w="3176" w:type="dxa"/>
            <w:gridSpan w:val="2"/>
            <w:tcBorders>
              <w:left w:val="nil"/>
              <w:right w:val="single" w:sz="4" w:space="0" w:color="auto"/>
            </w:tcBorders>
          </w:tcPr>
          <w:p w14:paraId="7ABBE965" w14:textId="7D58EE7E" w:rsidR="00DA1457" w:rsidRPr="006854AC" w:rsidRDefault="00DA1457" w:rsidP="00DA1457">
            <w:pPr>
              <w:keepLines/>
              <w:tabs>
                <w:tab w:val="left" w:pos="397"/>
                <w:tab w:val="left" w:pos="794"/>
                <w:tab w:val="left" w:pos="1191"/>
              </w:tabs>
              <w:snapToGrid w:val="0"/>
              <w:spacing w:before="20" w:after="20"/>
              <w:ind w:left="397"/>
              <w:rPr>
                <w:rFonts w:ascii="新細明體" w:eastAsia="新細明體" w:hAnsi="新細明體" w:cs="Segoe UI"/>
                <w:sz w:val="17"/>
                <w:szCs w:val="17"/>
                <w:lang w:eastAsia="zh-TW"/>
              </w:rPr>
            </w:pPr>
            <w:r w:rsidRPr="006854AC">
              <w:rPr>
                <w:rFonts w:ascii="新細明體" w:eastAsia="新細明體" w:hAnsi="新細明體" w:cs="微軟正黑體" w:hint="eastAsia"/>
                <w:sz w:val="17"/>
                <w:szCs w:val="17"/>
                <w:lang w:eastAsia="zh-TW"/>
              </w:rPr>
              <w:t>其中：</w:t>
            </w:r>
            <w:r w:rsidRPr="006854AC">
              <w:rPr>
                <w:rFonts w:ascii="新細明體" w:eastAsia="新細明體" w:hAnsi="新細明體" w:cs="微軟正黑體"/>
                <w:sz w:val="17"/>
                <w:szCs w:val="17"/>
                <w:lang w:eastAsia="zh-TW"/>
              </w:rPr>
              <w:t>按公平</w:t>
            </w:r>
            <w:r w:rsidR="00D5423C" w:rsidRPr="006854AC">
              <w:rPr>
                <w:rFonts w:ascii="新細明體" w:eastAsia="新細明體" w:hAnsi="新細明體" w:cs="微軟正黑體" w:hint="eastAsia"/>
                <w:sz w:val="17"/>
                <w:szCs w:val="17"/>
                <w:lang w:eastAsia="zh-TW"/>
              </w:rPr>
              <w:t>價</w:t>
            </w:r>
            <w:r w:rsidRPr="006854AC">
              <w:rPr>
                <w:rFonts w:ascii="新細明體" w:eastAsia="新細明體" w:hAnsi="新細明體" w:cs="微軟正黑體"/>
                <w:sz w:val="17"/>
                <w:szCs w:val="17"/>
                <w:lang w:eastAsia="zh-TW"/>
              </w:rPr>
              <w:t>值計入損益計量</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15F5B2D7"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0DDAB25B"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9F91524"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03ACD5E1"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r>
      <w:tr w:rsidR="006854AC" w:rsidRPr="006854AC" w14:paraId="4E838CFD" w14:textId="77777777" w:rsidTr="00DA1457">
        <w:trPr>
          <w:tblHeader/>
        </w:trPr>
        <w:tc>
          <w:tcPr>
            <w:tcW w:w="3176" w:type="dxa"/>
            <w:gridSpan w:val="2"/>
            <w:tcBorders>
              <w:left w:val="nil"/>
              <w:right w:val="single" w:sz="4" w:space="0" w:color="auto"/>
            </w:tcBorders>
          </w:tcPr>
          <w:p w14:paraId="485A6E09" w14:textId="32FC6581" w:rsidR="00DA1457" w:rsidRPr="006854AC" w:rsidRDefault="00DA1457" w:rsidP="00DA1457">
            <w:pPr>
              <w:keepLines/>
              <w:widowControl w:val="0"/>
              <w:tabs>
                <w:tab w:val="left" w:pos="397"/>
                <w:tab w:val="left" w:pos="794"/>
                <w:tab w:val="left" w:pos="1191"/>
              </w:tabs>
              <w:snapToGrid w:val="0"/>
              <w:spacing w:before="20" w:after="20"/>
              <w:ind w:left="397"/>
              <w:rPr>
                <w:rFonts w:ascii="新細明體" w:eastAsia="新細明體" w:hAnsi="新細明體" w:cs="Segoe UI"/>
                <w:sz w:val="17"/>
                <w:szCs w:val="17"/>
                <w:lang w:eastAsia="zh-TW"/>
              </w:rPr>
            </w:pPr>
            <w:r w:rsidRPr="006854AC">
              <w:rPr>
                <w:rFonts w:ascii="新細明體" w:eastAsia="新細明體" w:hAnsi="新細明體" w:cs="微軟正黑體" w:hint="eastAsia"/>
                <w:sz w:val="17"/>
                <w:szCs w:val="17"/>
                <w:lang w:eastAsia="zh-TW"/>
              </w:rPr>
              <w:t>其中：</w:t>
            </w:r>
            <w:r w:rsidRPr="006854AC">
              <w:rPr>
                <w:rFonts w:ascii="新細明體" w:eastAsia="新細明體" w:hAnsi="新細明體" w:cs="微軟正黑體"/>
                <w:sz w:val="17"/>
                <w:szCs w:val="17"/>
                <w:lang w:eastAsia="zh-TW"/>
              </w:rPr>
              <w:t>按公平</w:t>
            </w:r>
            <w:r w:rsidR="00D5423C" w:rsidRPr="006854AC">
              <w:rPr>
                <w:rFonts w:ascii="新細明體" w:eastAsia="新細明體" w:hAnsi="新細明體" w:cs="微軟正黑體" w:hint="eastAsia"/>
                <w:sz w:val="17"/>
                <w:szCs w:val="17"/>
                <w:lang w:eastAsia="zh-TW"/>
              </w:rPr>
              <w:t>價</w:t>
            </w:r>
            <w:r w:rsidRPr="006854AC">
              <w:rPr>
                <w:rFonts w:ascii="新細明體" w:eastAsia="新細明體" w:hAnsi="新細明體" w:cs="微軟正黑體"/>
                <w:sz w:val="17"/>
                <w:szCs w:val="17"/>
                <w:lang w:eastAsia="zh-TW"/>
              </w:rPr>
              <w:t>值計入</w:t>
            </w:r>
            <w:r w:rsidRPr="006854AC">
              <w:rPr>
                <w:rFonts w:ascii="新細明體" w:eastAsia="新細明體" w:hAnsi="新細明體" w:cs="微軟正黑體" w:hint="eastAsia"/>
                <w:sz w:val="17"/>
                <w:szCs w:val="17"/>
                <w:lang w:eastAsia="zh-HK"/>
              </w:rPr>
              <w:t>其他全面收益</w:t>
            </w:r>
            <w:r w:rsidRPr="006854AC">
              <w:rPr>
                <w:rFonts w:ascii="新細明體" w:eastAsia="新細明體" w:hAnsi="新細明體" w:cs="微軟正黑體"/>
                <w:sz w:val="17"/>
                <w:szCs w:val="17"/>
                <w:lang w:eastAsia="zh-TW"/>
              </w:rPr>
              <w:t>計量</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503C3805"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313DEF1C"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300AD01A"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29DE4180"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r>
      <w:tr w:rsidR="006854AC" w:rsidRPr="006854AC" w14:paraId="45DFEB8B" w14:textId="77777777" w:rsidTr="00DA1457">
        <w:trPr>
          <w:tblHeader/>
        </w:trPr>
        <w:tc>
          <w:tcPr>
            <w:tcW w:w="3176" w:type="dxa"/>
            <w:gridSpan w:val="2"/>
            <w:tcBorders>
              <w:left w:val="nil"/>
              <w:right w:val="single" w:sz="4" w:space="0" w:color="auto"/>
            </w:tcBorders>
          </w:tcPr>
          <w:p w14:paraId="27C4964F" w14:textId="16B44666" w:rsidR="00DA1457" w:rsidRPr="006854AC" w:rsidRDefault="00DA1457" w:rsidP="00DA1457">
            <w:pPr>
              <w:keepLines/>
              <w:widowControl w:val="0"/>
              <w:tabs>
                <w:tab w:val="left" w:pos="397"/>
                <w:tab w:val="left" w:pos="794"/>
                <w:tab w:val="left" w:pos="1191"/>
              </w:tabs>
              <w:snapToGrid w:val="0"/>
              <w:spacing w:before="20" w:after="20"/>
              <w:ind w:left="397"/>
              <w:rPr>
                <w:rFonts w:ascii="新細明體" w:eastAsia="新細明體" w:hAnsi="新細明體" w:cs="Segoe UI"/>
                <w:sz w:val="17"/>
                <w:szCs w:val="17"/>
                <w:lang w:eastAsia="zh-TW"/>
              </w:rPr>
            </w:pPr>
            <w:r w:rsidRPr="006854AC">
              <w:rPr>
                <w:rFonts w:ascii="新細明體" w:eastAsia="新細明體" w:hAnsi="新細明體" w:cs="微軟正黑體" w:hint="eastAsia"/>
                <w:sz w:val="17"/>
                <w:szCs w:val="17"/>
                <w:lang w:eastAsia="zh-TW"/>
              </w:rPr>
              <w:t>其中：</w:t>
            </w:r>
            <w:r w:rsidR="002D478D" w:rsidRPr="006854AC">
              <w:rPr>
                <w:rFonts w:ascii="新細明體" w:eastAsia="新細明體" w:hAnsi="新細明體" w:cs="微軟正黑體" w:hint="eastAsia"/>
                <w:sz w:val="17"/>
                <w:szCs w:val="17"/>
                <w:lang w:eastAsia="zh-HK"/>
              </w:rPr>
              <w:t>按</w:t>
            </w:r>
            <w:r w:rsidR="002D478D" w:rsidRPr="006854AC">
              <w:rPr>
                <w:rFonts w:ascii="新細明體" w:eastAsia="新細明體" w:hAnsi="新細明體" w:cs="微軟正黑體"/>
                <w:sz w:val="17"/>
                <w:szCs w:val="17"/>
                <w:lang w:eastAsia="zh-TW"/>
              </w:rPr>
              <w:t>攤銷成本</w:t>
            </w:r>
            <w:r w:rsidR="002D478D" w:rsidRPr="006854AC">
              <w:rPr>
                <w:rFonts w:ascii="新細明體" w:eastAsia="新細明體" w:hAnsi="新細明體" w:cs="微軟正黑體" w:hint="eastAsia"/>
                <w:sz w:val="17"/>
                <w:szCs w:val="17"/>
                <w:lang w:eastAsia="zh-TW"/>
              </w:rPr>
              <w:t>值</w:t>
            </w:r>
            <w:r w:rsidR="002D478D" w:rsidRPr="006854AC">
              <w:rPr>
                <w:rFonts w:ascii="新細明體" w:eastAsia="新細明體" w:hAnsi="新細明體" w:cs="微軟正黑體" w:hint="eastAsia"/>
                <w:sz w:val="17"/>
                <w:szCs w:val="17"/>
                <w:lang w:eastAsia="zh-HK"/>
              </w:rPr>
              <w:t>計量</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3BC72AB8"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62BE9C66"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4582E0CD"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48F6F9F4"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zh-TW"/>
              </w:rPr>
            </w:pPr>
          </w:p>
        </w:tc>
      </w:tr>
      <w:tr w:rsidR="006854AC" w:rsidRPr="006854AC" w14:paraId="597E0E04" w14:textId="77777777" w:rsidTr="00DA1457">
        <w:trPr>
          <w:tblHeader/>
        </w:trPr>
        <w:tc>
          <w:tcPr>
            <w:tcW w:w="3176" w:type="dxa"/>
            <w:gridSpan w:val="2"/>
            <w:tcBorders>
              <w:left w:val="nil"/>
              <w:right w:val="single" w:sz="4" w:space="0" w:color="auto"/>
            </w:tcBorders>
          </w:tcPr>
          <w:p w14:paraId="3A5C0E89" w14:textId="77777777" w:rsidR="00DA1457" w:rsidRPr="006854AC" w:rsidRDefault="00DA1457" w:rsidP="00DA1457">
            <w:pPr>
              <w:keepLines/>
              <w:tabs>
                <w:tab w:val="left" w:pos="397"/>
                <w:tab w:val="left" w:pos="794"/>
                <w:tab w:val="left" w:pos="1191"/>
              </w:tabs>
              <w:snapToGrid w:val="0"/>
              <w:spacing w:before="20" w:after="20"/>
              <w:rPr>
                <w:rFonts w:ascii="新細明體" w:eastAsia="新細明體" w:hAnsi="新細明體" w:cs="Segoe UI"/>
                <w:sz w:val="17"/>
                <w:szCs w:val="17"/>
                <w:lang w:eastAsia="en-GB"/>
              </w:rPr>
            </w:pPr>
            <w:r w:rsidRPr="006854AC">
              <w:rPr>
                <w:rFonts w:ascii="新細明體" w:eastAsia="新細明體" w:hAnsi="新細明體" w:cs="Segoe UI" w:hint="eastAsia"/>
                <w:sz w:val="17"/>
                <w:szCs w:val="17"/>
                <w:lang w:eastAsia="zh-HK"/>
              </w:rPr>
              <w:t>無形資產</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78A66BD7"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238421A6"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F0BB19A"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EA921B0"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72F2BDA7" w14:textId="77777777" w:rsidTr="00DA1457">
        <w:trPr>
          <w:tblHeader/>
        </w:trPr>
        <w:tc>
          <w:tcPr>
            <w:tcW w:w="3176" w:type="dxa"/>
            <w:gridSpan w:val="2"/>
            <w:tcBorders>
              <w:left w:val="nil"/>
              <w:right w:val="single" w:sz="4" w:space="0" w:color="auto"/>
            </w:tcBorders>
          </w:tcPr>
          <w:p w14:paraId="53EC8851" w14:textId="77777777" w:rsidR="00DA1457" w:rsidRPr="006854AC" w:rsidRDefault="00DA1457" w:rsidP="00DA1457">
            <w:pPr>
              <w:keepLines/>
              <w:tabs>
                <w:tab w:val="left" w:pos="397"/>
                <w:tab w:val="left" w:pos="794"/>
                <w:tab w:val="left" w:pos="1191"/>
              </w:tabs>
              <w:snapToGrid w:val="0"/>
              <w:spacing w:before="20" w:after="20"/>
              <w:rPr>
                <w:rFonts w:ascii="新細明體" w:eastAsia="新細明體" w:hAnsi="新細明體" w:cs="Segoe UI"/>
                <w:sz w:val="17"/>
                <w:szCs w:val="17"/>
                <w:lang w:eastAsia="en-GB"/>
              </w:rPr>
            </w:pPr>
            <w:r w:rsidRPr="006854AC">
              <w:rPr>
                <w:rFonts w:ascii="新細明體" w:eastAsia="新細明體" w:hAnsi="新細明體" w:cs="Segoe UI"/>
                <w:sz w:val="17"/>
                <w:szCs w:val="17"/>
                <w:lang w:eastAsia="en-GB"/>
              </w:rPr>
              <w:t>…</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3436759A"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284A572F"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46FF6F6E"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5062A221"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072C2B12" w14:textId="77777777" w:rsidTr="00DA1457">
        <w:trPr>
          <w:trHeight w:val="281"/>
          <w:tblHeader/>
        </w:trPr>
        <w:tc>
          <w:tcPr>
            <w:tcW w:w="3176" w:type="dxa"/>
            <w:gridSpan w:val="2"/>
            <w:tcBorders>
              <w:left w:val="nil"/>
              <w:bottom w:val="single" w:sz="4" w:space="0" w:color="auto"/>
              <w:right w:val="single" w:sz="4" w:space="0" w:color="auto"/>
            </w:tcBorders>
            <w:vAlign w:val="center"/>
          </w:tcPr>
          <w:p w14:paraId="65629E8F" w14:textId="77777777" w:rsidR="00DA1457" w:rsidRPr="006854AC" w:rsidRDefault="00DA1457" w:rsidP="00DA1457">
            <w:pPr>
              <w:keepLines/>
              <w:tabs>
                <w:tab w:val="left" w:pos="397"/>
                <w:tab w:val="left" w:pos="794"/>
                <w:tab w:val="left" w:pos="1191"/>
              </w:tabs>
              <w:snapToGrid w:val="0"/>
              <w:spacing w:before="20" w:after="20"/>
              <w:rPr>
                <w:rFonts w:ascii="新細明體" w:eastAsia="新細明體" w:hAnsi="新細明體" w:cs="Segoe UI"/>
                <w:b/>
                <w:sz w:val="17"/>
                <w:szCs w:val="17"/>
                <w:lang w:eastAsia="en-GB"/>
              </w:rPr>
            </w:pPr>
            <w:r w:rsidRPr="006854AC">
              <w:rPr>
                <w:rFonts w:ascii="新細明體" w:eastAsia="新細明體" w:hAnsi="新細明體" w:cs="Segoe UI" w:hint="eastAsia"/>
                <w:b/>
                <w:sz w:val="17"/>
                <w:szCs w:val="17"/>
                <w:lang w:eastAsia="zh-HK"/>
              </w:rPr>
              <w:t>資產總額</w:t>
            </w:r>
            <w:r w:rsidRPr="006854AC">
              <w:rPr>
                <w:rFonts w:ascii="新細明體" w:eastAsia="新細明體" w:hAnsi="新細明體" w:cs="Segoe UI"/>
                <w:b/>
                <w:sz w:val="17"/>
                <w:szCs w:val="17"/>
                <w:lang w:eastAsia="en-GB"/>
              </w:rPr>
              <w:t xml:space="preserve"> </w:t>
            </w:r>
          </w:p>
        </w:tc>
        <w:tc>
          <w:tcPr>
            <w:tcW w:w="1518" w:type="dxa"/>
            <w:tcBorders>
              <w:top w:val="single" w:sz="4" w:space="0" w:color="BFBFBF"/>
              <w:left w:val="single" w:sz="4" w:space="0" w:color="auto"/>
              <w:bottom w:val="single" w:sz="4" w:space="0" w:color="auto"/>
              <w:right w:val="single" w:sz="4" w:space="0" w:color="auto"/>
            </w:tcBorders>
            <w:shd w:val="clear" w:color="auto" w:fill="auto"/>
          </w:tcPr>
          <w:p w14:paraId="1369CD90"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5CFFB938"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5971841E"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72E64684"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0AAC4256" w14:textId="77777777" w:rsidTr="00DA1457">
        <w:trPr>
          <w:tblHeader/>
        </w:trPr>
        <w:tc>
          <w:tcPr>
            <w:tcW w:w="9248" w:type="dxa"/>
            <w:gridSpan w:val="6"/>
            <w:tcBorders>
              <w:top w:val="single" w:sz="4" w:space="0" w:color="auto"/>
              <w:left w:val="nil"/>
              <w:right w:val="single" w:sz="4" w:space="0" w:color="auto"/>
            </w:tcBorders>
            <w:shd w:val="clear" w:color="auto" w:fill="F2F2F2"/>
          </w:tcPr>
          <w:p w14:paraId="447D016B" w14:textId="77777777" w:rsidR="00DA1457" w:rsidRPr="006854AC" w:rsidRDefault="00DA1457" w:rsidP="00DA1457">
            <w:pPr>
              <w:keepLines/>
              <w:tabs>
                <w:tab w:val="left" w:pos="397"/>
                <w:tab w:val="left" w:pos="447"/>
                <w:tab w:val="left" w:pos="794"/>
                <w:tab w:val="left" w:pos="1191"/>
              </w:tabs>
              <w:snapToGrid w:val="0"/>
              <w:spacing w:before="20" w:after="20"/>
              <w:rPr>
                <w:rFonts w:ascii="新細明體" w:eastAsia="新細明體" w:hAnsi="新細明體" w:cs="Segoe UI"/>
                <w:b/>
                <w:sz w:val="17"/>
                <w:szCs w:val="17"/>
                <w:lang w:eastAsia="en-GB"/>
              </w:rPr>
            </w:pPr>
            <w:r w:rsidRPr="006854AC">
              <w:rPr>
                <w:rFonts w:ascii="新細明體" w:eastAsia="新細明體" w:hAnsi="新細明體" w:cs="Segoe UI" w:hint="eastAsia"/>
                <w:b/>
                <w:sz w:val="17"/>
                <w:szCs w:val="17"/>
                <w:lang w:eastAsia="zh-HK"/>
              </w:rPr>
              <w:t>負債</w:t>
            </w:r>
          </w:p>
        </w:tc>
      </w:tr>
      <w:tr w:rsidR="006854AC" w:rsidRPr="006854AC" w14:paraId="1FCD6681" w14:textId="77777777" w:rsidTr="00DA1457">
        <w:trPr>
          <w:tblHeader/>
        </w:trPr>
        <w:tc>
          <w:tcPr>
            <w:tcW w:w="3176" w:type="dxa"/>
            <w:gridSpan w:val="2"/>
            <w:tcBorders>
              <w:top w:val="single" w:sz="4" w:space="0" w:color="auto"/>
              <w:left w:val="nil"/>
              <w:right w:val="single" w:sz="4" w:space="0" w:color="auto"/>
            </w:tcBorders>
          </w:tcPr>
          <w:p w14:paraId="0D799644" w14:textId="77777777" w:rsidR="00DA1457" w:rsidRPr="006854AC" w:rsidRDefault="00DA1457" w:rsidP="00DA1457">
            <w:pPr>
              <w:keepLines/>
              <w:widowControl w:val="0"/>
              <w:tabs>
                <w:tab w:val="left" w:pos="397"/>
                <w:tab w:val="left" w:pos="794"/>
                <w:tab w:val="left" w:pos="1191"/>
              </w:tabs>
              <w:snapToGrid w:val="0"/>
              <w:spacing w:before="20" w:after="20"/>
              <w:rPr>
                <w:rFonts w:ascii="新細明體" w:eastAsia="新細明體" w:hAnsi="新細明體" w:cs="Segoe UI"/>
                <w:sz w:val="17"/>
                <w:szCs w:val="17"/>
                <w:lang w:eastAsia="en-GB"/>
              </w:rPr>
            </w:pPr>
            <w:r w:rsidRPr="006854AC">
              <w:rPr>
                <w:rFonts w:ascii="新細明體" w:eastAsia="新細明體" w:hAnsi="新細明體" w:cs="Segoe UI" w:hint="eastAsia"/>
                <w:sz w:val="17"/>
                <w:szCs w:val="17"/>
                <w:lang w:eastAsia="zh-HK"/>
              </w:rPr>
              <w:t>金融負債</w:t>
            </w:r>
            <w:r w:rsidRPr="006854AC">
              <w:rPr>
                <w:rFonts w:ascii="新細明體" w:eastAsia="新細明體" w:hAnsi="新細明體" w:cs="Segoe UI"/>
                <w:sz w:val="17"/>
                <w:szCs w:val="17"/>
                <w:lang w:eastAsia="en-GB"/>
              </w:rPr>
              <w:t xml:space="preserve"> </w:t>
            </w: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0C866AF3"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1BC1A141"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6E53FE32"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auto"/>
              <w:left w:val="single" w:sz="4" w:space="0" w:color="auto"/>
              <w:bottom w:val="single" w:sz="4" w:space="0" w:color="BFBFBF"/>
              <w:right w:val="single" w:sz="4" w:space="0" w:color="auto"/>
            </w:tcBorders>
            <w:shd w:val="clear" w:color="auto" w:fill="FFFFFF"/>
          </w:tcPr>
          <w:p w14:paraId="274BBE39"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7E5C7B5B" w14:textId="77777777" w:rsidTr="00DA1457">
        <w:trPr>
          <w:tblHeader/>
        </w:trPr>
        <w:tc>
          <w:tcPr>
            <w:tcW w:w="3176" w:type="dxa"/>
            <w:gridSpan w:val="2"/>
            <w:tcBorders>
              <w:left w:val="nil"/>
              <w:right w:val="single" w:sz="4" w:space="0" w:color="auto"/>
            </w:tcBorders>
          </w:tcPr>
          <w:p w14:paraId="25E21584" w14:textId="77777777" w:rsidR="00DA1457" w:rsidRPr="006854AC" w:rsidRDefault="00DA1457" w:rsidP="00DA1457">
            <w:pPr>
              <w:keepLines/>
              <w:tabs>
                <w:tab w:val="left" w:pos="397"/>
                <w:tab w:val="left" w:pos="794"/>
                <w:tab w:val="left" w:pos="1191"/>
              </w:tabs>
              <w:snapToGrid w:val="0"/>
              <w:spacing w:before="20" w:after="20"/>
              <w:rPr>
                <w:rFonts w:ascii="新細明體" w:eastAsia="新細明體" w:hAnsi="新細明體" w:cs="Segoe UI"/>
                <w:sz w:val="17"/>
                <w:szCs w:val="17"/>
                <w:lang w:eastAsia="en-GB"/>
              </w:rPr>
            </w:pPr>
            <w:r w:rsidRPr="006854AC">
              <w:rPr>
                <w:rFonts w:ascii="新細明體" w:eastAsia="新細明體" w:hAnsi="新細明體" w:cs="Segoe UI"/>
                <w:sz w:val="17"/>
                <w:szCs w:val="17"/>
                <w:lang w:eastAsia="en-GB"/>
              </w:rPr>
              <w:t>…</w:t>
            </w:r>
          </w:p>
        </w:tc>
        <w:tc>
          <w:tcPr>
            <w:tcW w:w="1518" w:type="dxa"/>
            <w:tcBorders>
              <w:top w:val="single" w:sz="4" w:space="0" w:color="BFBFBF"/>
              <w:left w:val="single" w:sz="4" w:space="0" w:color="auto"/>
              <w:bottom w:val="single" w:sz="4" w:space="0" w:color="BFBFBF"/>
              <w:right w:val="single" w:sz="4" w:space="0" w:color="auto"/>
            </w:tcBorders>
            <w:shd w:val="clear" w:color="auto" w:fill="auto"/>
          </w:tcPr>
          <w:p w14:paraId="6D603AB3"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1FB8C563"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0E793139"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BFBFBF"/>
              <w:right w:val="single" w:sz="4" w:space="0" w:color="auto"/>
            </w:tcBorders>
            <w:shd w:val="clear" w:color="auto" w:fill="FFFFFF"/>
          </w:tcPr>
          <w:p w14:paraId="5A620B68"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051DA009" w14:textId="77777777" w:rsidTr="00DA1457">
        <w:trPr>
          <w:tblHeader/>
        </w:trPr>
        <w:tc>
          <w:tcPr>
            <w:tcW w:w="3176" w:type="dxa"/>
            <w:gridSpan w:val="2"/>
            <w:tcBorders>
              <w:left w:val="nil"/>
              <w:bottom w:val="single" w:sz="4" w:space="0" w:color="auto"/>
              <w:right w:val="single" w:sz="4" w:space="0" w:color="auto"/>
            </w:tcBorders>
          </w:tcPr>
          <w:p w14:paraId="3CF54573" w14:textId="77777777" w:rsidR="00DA1457" w:rsidRPr="006854AC" w:rsidRDefault="00DA1457" w:rsidP="00DA1457">
            <w:pPr>
              <w:keepLines/>
              <w:tabs>
                <w:tab w:val="left" w:pos="397"/>
                <w:tab w:val="left" w:pos="794"/>
                <w:tab w:val="left" w:pos="1191"/>
              </w:tabs>
              <w:snapToGrid w:val="0"/>
              <w:spacing w:before="20" w:after="20"/>
              <w:rPr>
                <w:rFonts w:ascii="新細明體" w:eastAsia="新細明體" w:hAnsi="新細明體" w:cs="Segoe UI"/>
                <w:b/>
                <w:sz w:val="17"/>
                <w:szCs w:val="17"/>
                <w:lang w:eastAsia="en-GB"/>
              </w:rPr>
            </w:pPr>
            <w:r w:rsidRPr="006854AC">
              <w:rPr>
                <w:rFonts w:ascii="新細明體" w:eastAsia="新細明體" w:hAnsi="新細明體" w:cs="Segoe UI" w:hint="eastAsia"/>
                <w:b/>
                <w:sz w:val="17"/>
                <w:szCs w:val="17"/>
                <w:lang w:eastAsia="zh-HK"/>
              </w:rPr>
              <w:t>負債總額</w:t>
            </w:r>
          </w:p>
        </w:tc>
        <w:tc>
          <w:tcPr>
            <w:tcW w:w="1518" w:type="dxa"/>
            <w:tcBorders>
              <w:top w:val="single" w:sz="4" w:space="0" w:color="BFBFBF"/>
              <w:left w:val="single" w:sz="4" w:space="0" w:color="auto"/>
              <w:bottom w:val="single" w:sz="4" w:space="0" w:color="auto"/>
              <w:right w:val="single" w:sz="4" w:space="0" w:color="auto"/>
            </w:tcBorders>
            <w:shd w:val="clear" w:color="auto" w:fill="auto"/>
          </w:tcPr>
          <w:p w14:paraId="28761C21"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auto"/>
          </w:tcPr>
          <w:p w14:paraId="5621DF2D" w14:textId="77777777" w:rsidR="00DA1457" w:rsidRPr="006854AC" w:rsidRDefault="00DA1457" w:rsidP="00DA1457">
            <w:pPr>
              <w:keepLines/>
              <w:tabs>
                <w:tab w:val="left" w:pos="397"/>
                <w:tab w:val="left" w:pos="44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6C7B9C3C"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c>
          <w:tcPr>
            <w:tcW w:w="1518" w:type="dxa"/>
            <w:tcBorders>
              <w:top w:val="single" w:sz="4" w:space="0" w:color="BFBFBF"/>
              <w:left w:val="single" w:sz="4" w:space="0" w:color="auto"/>
              <w:bottom w:val="single" w:sz="4" w:space="0" w:color="auto"/>
              <w:right w:val="single" w:sz="4" w:space="0" w:color="auto"/>
            </w:tcBorders>
            <w:shd w:val="clear" w:color="auto" w:fill="FFFFFF"/>
          </w:tcPr>
          <w:p w14:paraId="5D25904C" w14:textId="77777777" w:rsidR="00DA1457" w:rsidRPr="006854AC" w:rsidRDefault="00DA1457" w:rsidP="00DA1457">
            <w:pPr>
              <w:keepLines/>
              <w:tabs>
                <w:tab w:val="left" w:pos="397"/>
                <w:tab w:val="left" w:pos="794"/>
                <w:tab w:val="left" w:pos="1191"/>
              </w:tabs>
              <w:snapToGrid w:val="0"/>
              <w:spacing w:before="20" w:after="20"/>
              <w:rPr>
                <w:rFonts w:cs="Segoe UI"/>
                <w:sz w:val="17"/>
                <w:szCs w:val="17"/>
                <w:lang w:eastAsia="en-GB"/>
              </w:rPr>
            </w:pPr>
          </w:p>
        </w:tc>
      </w:tr>
      <w:tr w:rsidR="006854AC" w:rsidRPr="006854AC" w14:paraId="4D0EB218" w14:textId="77777777" w:rsidTr="00DA1457">
        <w:trPr>
          <w:tblHeader/>
        </w:trPr>
        <w:tc>
          <w:tcPr>
            <w:tcW w:w="9248" w:type="dxa"/>
            <w:gridSpan w:val="6"/>
            <w:tcBorders>
              <w:top w:val="single" w:sz="4" w:space="0" w:color="auto"/>
              <w:left w:val="nil"/>
              <w:bottom w:val="single" w:sz="4" w:space="0" w:color="auto"/>
              <w:right w:val="single" w:sz="4" w:space="0" w:color="auto"/>
            </w:tcBorders>
          </w:tcPr>
          <w:p w14:paraId="5C912660" w14:textId="77777777" w:rsidR="00DA1457" w:rsidRPr="006854AC" w:rsidRDefault="00DA1457" w:rsidP="00DA1457">
            <w:pPr>
              <w:keepLines/>
              <w:tabs>
                <w:tab w:val="left" w:pos="397"/>
                <w:tab w:val="left" w:pos="447"/>
                <w:tab w:val="left" w:pos="794"/>
                <w:tab w:val="left" w:pos="1191"/>
              </w:tabs>
              <w:snapToGrid w:val="0"/>
              <w:spacing w:before="20" w:after="20"/>
              <w:rPr>
                <w:rFonts w:eastAsia="新細明體" w:cs="Segoe UI"/>
                <w:i/>
                <w:sz w:val="17"/>
                <w:szCs w:val="17"/>
                <w:lang w:eastAsia="zh-TW"/>
              </w:rPr>
            </w:pPr>
            <w:r w:rsidRPr="006854AC">
              <w:rPr>
                <w:rFonts w:eastAsia="新細明體" w:cs="Segoe UI" w:hint="eastAsia"/>
                <w:i/>
                <w:sz w:val="17"/>
                <w:szCs w:val="17"/>
                <w:lang w:eastAsia="zh-HK"/>
              </w:rPr>
              <w:t>注意事項</w:t>
            </w:r>
            <w:r w:rsidRPr="006854AC">
              <w:rPr>
                <w:rFonts w:eastAsia="新細明體" w:cs="Segoe UI" w:hint="eastAsia"/>
                <w:i/>
                <w:sz w:val="17"/>
                <w:szCs w:val="17"/>
                <w:lang w:eastAsia="zh-TW"/>
              </w:rPr>
              <w:t>：</w:t>
            </w:r>
            <w:r w:rsidRPr="006854AC">
              <w:rPr>
                <w:rFonts w:eastAsia="新細明體" w:cs="Segoe UI"/>
                <w:i/>
                <w:sz w:val="17"/>
                <w:szCs w:val="17"/>
                <w:lang w:eastAsia="zh-TW"/>
              </w:rPr>
              <w:t xml:space="preserve"> </w:t>
            </w:r>
          </w:p>
          <w:p w14:paraId="31F98922" w14:textId="3A01BC34" w:rsidR="00DA1457" w:rsidRPr="006854AC" w:rsidRDefault="00DA1457" w:rsidP="00DA1457">
            <w:pPr>
              <w:keepLines/>
              <w:widowControl w:val="0"/>
              <w:numPr>
                <w:ilvl w:val="0"/>
                <w:numId w:val="69"/>
              </w:numPr>
              <w:snapToGrid w:val="0"/>
              <w:spacing w:before="20" w:after="20" w:line="259" w:lineRule="auto"/>
              <w:ind w:left="346" w:hanging="346"/>
              <w:jc w:val="both"/>
              <w:rPr>
                <w:rFonts w:eastAsia="新細明體" w:cs="Segoe UI"/>
                <w:sz w:val="17"/>
                <w:szCs w:val="17"/>
                <w:lang w:eastAsia="zh-TW"/>
              </w:rPr>
            </w:pPr>
            <w:r w:rsidRPr="006854AC">
              <w:rPr>
                <w:rFonts w:eastAsiaTheme="minorEastAsia" w:cs="Segoe UI" w:hint="eastAsia"/>
                <w:sz w:val="17"/>
                <w:szCs w:val="17"/>
                <w:lang w:eastAsia="zh-HK"/>
              </w:rPr>
              <w:t>認可</w:t>
            </w:r>
            <w:r w:rsidRPr="006854AC">
              <w:rPr>
                <w:rFonts w:eastAsia="新細明體" w:cs="Segoe UI" w:hint="eastAsia"/>
                <w:sz w:val="17"/>
                <w:szCs w:val="17"/>
                <w:lang w:eastAsia="zh-TW"/>
              </w:rPr>
              <w:t>機構亦應（</w:t>
            </w:r>
            <w:r w:rsidR="00FD3C6E" w:rsidRPr="006854AC">
              <w:rPr>
                <w:rFonts w:eastAsia="新細明體" w:cs="Segoe UI" w:hint="eastAsia"/>
                <w:sz w:val="17"/>
                <w:szCs w:val="17"/>
                <w:lang w:eastAsia="zh-HK"/>
              </w:rPr>
              <w:t>按</w:t>
            </w:r>
            <w:r w:rsidRPr="006854AC">
              <w:rPr>
                <w:rFonts w:eastAsia="新細明體" w:cs="Segoe UI" w:hint="eastAsia"/>
                <w:sz w:val="17"/>
                <w:szCs w:val="17"/>
                <w:lang w:eastAsia="zh-TW"/>
              </w:rPr>
              <w:t>適用情況</w:t>
            </w:r>
            <w:r w:rsidR="00FD3C6E" w:rsidRPr="006854AC">
              <w:rPr>
                <w:rFonts w:eastAsia="新細明體" w:cs="Segoe UI" w:hint="eastAsia"/>
                <w:sz w:val="17"/>
                <w:szCs w:val="17"/>
                <w:lang w:eastAsia="zh-HK"/>
              </w:rPr>
              <w:t>而定</w:t>
            </w:r>
            <w:r w:rsidRPr="006854AC">
              <w:rPr>
                <w:rFonts w:eastAsia="新細明體" w:cs="Segoe UI" w:hint="eastAsia"/>
                <w:sz w:val="17"/>
                <w:szCs w:val="17"/>
                <w:lang w:eastAsia="zh-TW"/>
              </w:rPr>
              <w:t>）將</w:t>
            </w:r>
            <w:r w:rsidR="001A0CEE" w:rsidRPr="006854AC">
              <w:rPr>
                <w:rFonts w:eastAsia="新細明體" w:cs="Segoe UI" w:hint="eastAsia"/>
                <w:sz w:val="17"/>
                <w:szCs w:val="17"/>
                <w:lang w:eastAsia="zh-TW"/>
              </w:rPr>
              <w:t>在</w:t>
            </w:r>
            <w:r w:rsidR="001A0CEE" w:rsidRPr="006854AC">
              <w:rPr>
                <w:rFonts w:eastAsia="新細明體" w:cs="Segoe UI" w:hint="eastAsia"/>
                <w:sz w:val="17"/>
                <w:szCs w:val="17"/>
                <w:lang w:eastAsia="zh-TW"/>
              </w:rPr>
              <w:t>(</w:t>
            </w:r>
            <w:r w:rsidR="001A0CEE" w:rsidRPr="006854AC">
              <w:rPr>
                <w:rFonts w:eastAsiaTheme="minorEastAsia" w:cs="Segoe UI"/>
                <w:sz w:val="17"/>
                <w:szCs w:val="17"/>
                <w:lang w:eastAsia="zh-TW"/>
              </w:rPr>
              <w:t>a</w:t>
            </w:r>
            <w:r w:rsidR="001A0CEE" w:rsidRPr="006854AC">
              <w:rPr>
                <w:rFonts w:eastAsia="新細明體" w:cs="Segoe UI" w:hint="eastAsia"/>
                <w:sz w:val="17"/>
                <w:szCs w:val="17"/>
                <w:lang w:eastAsia="zh-TW"/>
              </w:rPr>
              <w:t>)</w:t>
            </w:r>
            <w:r w:rsidR="001A0CEE" w:rsidRPr="006854AC">
              <w:rPr>
                <w:rFonts w:eastAsia="新細明體" w:cs="Segoe UI" w:hint="eastAsia"/>
                <w:sz w:val="17"/>
                <w:szCs w:val="17"/>
                <w:lang w:eastAsia="zh-TW"/>
              </w:rPr>
              <w:t>及</w:t>
            </w:r>
            <w:r w:rsidR="001A0CEE" w:rsidRPr="006854AC">
              <w:rPr>
                <w:rFonts w:eastAsia="新細明體" w:cs="Segoe UI" w:hint="eastAsia"/>
                <w:sz w:val="17"/>
                <w:szCs w:val="17"/>
                <w:lang w:eastAsia="zh-TW"/>
              </w:rPr>
              <w:t>(</w:t>
            </w:r>
            <w:r w:rsidR="001A0CEE" w:rsidRPr="006854AC">
              <w:rPr>
                <w:rFonts w:eastAsiaTheme="minorEastAsia" w:cs="Segoe UI"/>
                <w:sz w:val="17"/>
                <w:szCs w:val="17"/>
                <w:lang w:eastAsia="zh-TW"/>
              </w:rPr>
              <w:t>b</w:t>
            </w:r>
            <w:r w:rsidR="001A0CEE" w:rsidRPr="006854AC">
              <w:rPr>
                <w:rFonts w:eastAsia="新細明體" w:cs="Segoe UI" w:hint="eastAsia"/>
                <w:sz w:val="17"/>
                <w:szCs w:val="17"/>
                <w:lang w:eastAsia="zh-TW"/>
              </w:rPr>
              <w:t>)</w:t>
            </w:r>
            <w:r w:rsidR="001A0CEE" w:rsidRPr="006854AC">
              <w:rPr>
                <w:rFonts w:eastAsia="新細明體" w:cs="Segoe UI" w:hint="eastAsia"/>
                <w:sz w:val="17"/>
                <w:szCs w:val="17"/>
                <w:lang w:eastAsia="zh-TW"/>
              </w:rPr>
              <w:t>欄中披露</w:t>
            </w:r>
            <w:r w:rsidR="001A0CEE" w:rsidRPr="006854AC">
              <w:rPr>
                <w:rFonts w:eastAsia="新細明體" w:cs="Segoe UI" w:hint="eastAsia"/>
                <w:sz w:val="17"/>
                <w:szCs w:val="17"/>
                <w:lang w:eastAsia="zh-HK"/>
              </w:rPr>
              <w:t>的</w:t>
            </w:r>
            <w:r w:rsidRPr="006854AC">
              <w:rPr>
                <w:rFonts w:eastAsia="新細明體" w:cs="Segoe UI" w:hint="eastAsia"/>
                <w:sz w:val="17"/>
                <w:szCs w:val="17"/>
                <w:lang w:eastAsia="zh-TW"/>
              </w:rPr>
              <w:t>第</w:t>
            </w:r>
            <w:r w:rsidRPr="006854AC">
              <w:rPr>
                <w:rFonts w:eastAsiaTheme="minorEastAsia" w:cs="Segoe UI"/>
                <w:sz w:val="17"/>
                <w:szCs w:val="17"/>
                <w:lang w:eastAsia="zh-TW"/>
              </w:rPr>
              <w:t>1</w:t>
            </w:r>
            <w:r w:rsidRPr="006854AC">
              <w:rPr>
                <w:rFonts w:eastAsia="新細明體" w:cs="Segoe UI" w:hint="eastAsia"/>
                <w:sz w:val="17"/>
                <w:szCs w:val="17"/>
                <w:lang w:eastAsia="zh-TW"/>
              </w:rPr>
              <w:t>組加密資產風險承擔</w:t>
            </w:r>
            <w:r w:rsidR="0007611A" w:rsidRPr="006854AC">
              <w:rPr>
                <w:rFonts w:eastAsia="新細明體" w:cs="Segoe UI" w:hint="eastAsia"/>
                <w:sz w:val="17"/>
                <w:szCs w:val="17"/>
                <w:lang w:eastAsia="zh-HK"/>
              </w:rPr>
              <w:t>包括在</w:t>
            </w:r>
            <w:r w:rsidRPr="006854AC">
              <w:rPr>
                <w:rFonts w:eastAsia="新細明體" w:cs="Segoe UI" w:hint="eastAsia"/>
                <w:sz w:val="17"/>
                <w:szCs w:val="17"/>
                <w:lang w:eastAsia="zh-TW"/>
              </w:rPr>
              <w:t>本披露方案其他各部</w:t>
            </w:r>
            <w:r w:rsidR="00E32B7B" w:rsidRPr="006854AC">
              <w:rPr>
                <w:rFonts w:eastAsia="新細明體" w:cs="Segoe UI" w:hint="eastAsia"/>
                <w:sz w:val="17"/>
                <w:szCs w:val="17"/>
                <w:lang w:eastAsia="zh-HK"/>
              </w:rPr>
              <w:t>中</w:t>
            </w:r>
            <w:r w:rsidR="0004144F" w:rsidRPr="006854AC">
              <w:rPr>
                <w:rFonts w:eastAsia="新細明體" w:cs="Segoe UI" w:hint="eastAsia"/>
                <w:sz w:val="17"/>
                <w:szCs w:val="17"/>
                <w:lang w:eastAsia="zh-TW"/>
              </w:rPr>
              <w:t>適用於</w:t>
            </w:r>
            <w:r w:rsidRPr="006854AC">
              <w:rPr>
                <w:rFonts w:eastAsia="新細明體" w:cs="Segoe UI" w:hint="eastAsia"/>
                <w:sz w:val="17"/>
                <w:szCs w:val="17"/>
                <w:lang w:eastAsia="zh-TW"/>
              </w:rPr>
              <w:t>傳統資產的相關披露模版</w:t>
            </w:r>
            <w:r w:rsidR="00E32B7B" w:rsidRPr="006854AC">
              <w:rPr>
                <w:rFonts w:eastAsia="新細明體" w:cs="Segoe UI" w:hint="eastAsia"/>
                <w:sz w:val="17"/>
                <w:szCs w:val="17"/>
                <w:lang w:eastAsia="zh-HK"/>
              </w:rPr>
              <w:t>內</w:t>
            </w:r>
            <w:r w:rsidRPr="006854AC">
              <w:rPr>
                <w:rFonts w:eastAsia="新細明體" w:cs="Segoe UI" w:hint="eastAsia"/>
                <w:sz w:val="17"/>
                <w:szCs w:val="17"/>
                <w:lang w:eastAsia="zh-TW"/>
              </w:rPr>
              <w:t>，以及將</w:t>
            </w:r>
            <w:r w:rsidR="001A0CEE" w:rsidRPr="006854AC">
              <w:rPr>
                <w:rFonts w:eastAsia="新細明體" w:cs="Segoe UI" w:hint="eastAsia"/>
                <w:sz w:val="17"/>
                <w:szCs w:val="17"/>
                <w:lang w:eastAsia="zh-TW"/>
              </w:rPr>
              <w:t>在</w:t>
            </w:r>
            <w:r w:rsidR="001A0CEE" w:rsidRPr="006854AC">
              <w:rPr>
                <w:rFonts w:eastAsia="新細明體" w:cs="Segoe UI" w:hint="eastAsia"/>
                <w:sz w:val="17"/>
                <w:szCs w:val="17"/>
                <w:lang w:eastAsia="zh-TW"/>
              </w:rPr>
              <w:t>(</w:t>
            </w:r>
            <w:r w:rsidR="001A0CEE" w:rsidRPr="006854AC">
              <w:rPr>
                <w:rFonts w:eastAsiaTheme="minorEastAsia" w:cs="Segoe UI"/>
                <w:sz w:val="17"/>
                <w:szCs w:val="17"/>
                <w:lang w:eastAsia="zh-TW"/>
              </w:rPr>
              <w:t>c</w:t>
            </w:r>
            <w:r w:rsidR="001A0CEE" w:rsidRPr="006854AC">
              <w:rPr>
                <w:rFonts w:eastAsia="新細明體" w:cs="Segoe UI" w:hint="eastAsia"/>
                <w:sz w:val="17"/>
                <w:szCs w:val="17"/>
                <w:lang w:eastAsia="zh-TW"/>
              </w:rPr>
              <w:t>)</w:t>
            </w:r>
            <w:r w:rsidR="001A0CEE" w:rsidRPr="006854AC">
              <w:rPr>
                <w:rFonts w:eastAsia="新細明體" w:cs="Segoe UI" w:hint="eastAsia"/>
                <w:sz w:val="17"/>
                <w:szCs w:val="17"/>
                <w:lang w:eastAsia="zh-TW"/>
              </w:rPr>
              <w:t>及</w:t>
            </w:r>
            <w:r w:rsidR="001A0CEE" w:rsidRPr="006854AC">
              <w:rPr>
                <w:rFonts w:eastAsia="新細明體" w:cs="Segoe UI" w:hint="eastAsia"/>
                <w:sz w:val="17"/>
                <w:szCs w:val="17"/>
                <w:lang w:eastAsia="zh-TW"/>
              </w:rPr>
              <w:t>(</w:t>
            </w:r>
            <w:r w:rsidR="001A0CEE" w:rsidRPr="006854AC">
              <w:rPr>
                <w:rFonts w:eastAsiaTheme="minorEastAsia" w:cs="Segoe UI"/>
                <w:sz w:val="17"/>
                <w:szCs w:val="17"/>
                <w:lang w:eastAsia="zh-TW"/>
              </w:rPr>
              <w:t>d</w:t>
            </w:r>
            <w:r w:rsidR="001A0CEE" w:rsidRPr="006854AC">
              <w:rPr>
                <w:rFonts w:eastAsia="新細明體" w:cs="Segoe UI" w:hint="eastAsia"/>
                <w:sz w:val="17"/>
                <w:szCs w:val="17"/>
                <w:lang w:eastAsia="zh-TW"/>
              </w:rPr>
              <w:t>)</w:t>
            </w:r>
            <w:r w:rsidR="001A0CEE" w:rsidRPr="006854AC">
              <w:rPr>
                <w:rFonts w:eastAsia="新細明體" w:cs="Segoe UI" w:hint="eastAsia"/>
                <w:sz w:val="17"/>
                <w:szCs w:val="17"/>
                <w:lang w:eastAsia="zh-TW"/>
              </w:rPr>
              <w:t>欄中披露</w:t>
            </w:r>
            <w:r w:rsidR="001A0CEE" w:rsidRPr="006854AC">
              <w:rPr>
                <w:rFonts w:eastAsia="新細明體" w:cs="Segoe UI" w:hint="eastAsia"/>
                <w:sz w:val="17"/>
                <w:szCs w:val="17"/>
                <w:lang w:eastAsia="zh-HK"/>
              </w:rPr>
              <w:t>的</w:t>
            </w:r>
            <w:r w:rsidRPr="006854AC">
              <w:rPr>
                <w:rFonts w:eastAsia="新細明體" w:cs="Segoe UI" w:hint="eastAsia"/>
                <w:sz w:val="17"/>
                <w:szCs w:val="17"/>
                <w:lang w:eastAsia="zh-TW"/>
              </w:rPr>
              <w:t>第</w:t>
            </w:r>
            <w:r w:rsidRPr="006854AC">
              <w:rPr>
                <w:rFonts w:eastAsiaTheme="minorEastAsia" w:cs="Segoe UI"/>
                <w:sz w:val="17"/>
                <w:szCs w:val="17"/>
                <w:lang w:eastAsia="zh-TW"/>
              </w:rPr>
              <w:t>2</w:t>
            </w:r>
            <w:r w:rsidRPr="006854AC">
              <w:rPr>
                <w:rFonts w:eastAsia="新細明體" w:cs="Segoe UI" w:hint="eastAsia"/>
                <w:sz w:val="17"/>
                <w:szCs w:val="17"/>
                <w:lang w:eastAsia="zh-TW"/>
              </w:rPr>
              <w:t>組加密資產風險承擔</w:t>
            </w:r>
            <w:r w:rsidR="0007611A" w:rsidRPr="006854AC">
              <w:rPr>
                <w:rFonts w:eastAsia="新細明體" w:cs="Segoe UI" w:hint="eastAsia"/>
                <w:sz w:val="17"/>
                <w:szCs w:val="17"/>
                <w:lang w:eastAsia="zh-HK"/>
              </w:rPr>
              <w:t>包括在</w:t>
            </w:r>
            <w:r w:rsidR="00431CD2" w:rsidRPr="006854AC">
              <w:rPr>
                <w:rFonts w:eastAsia="新細明體" w:cs="Segoe UI" w:hint="eastAsia"/>
                <w:sz w:val="17"/>
                <w:szCs w:val="17"/>
                <w:lang w:eastAsia="zh-TW"/>
              </w:rPr>
              <w:t>本披露方案其他各部</w:t>
            </w:r>
            <w:r w:rsidR="00431CD2" w:rsidRPr="006854AC">
              <w:rPr>
                <w:rFonts w:eastAsia="新細明體" w:cs="Segoe UI" w:hint="eastAsia"/>
                <w:sz w:val="17"/>
                <w:szCs w:val="17"/>
                <w:lang w:eastAsia="zh-HK"/>
              </w:rPr>
              <w:t>中</w:t>
            </w:r>
            <w:r w:rsidR="00431CD2" w:rsidRPr="006854AC">
              <w:rPr>
                <w:rFonts w:eastAsia="新細明體" w:cs="Segoe UI" w:hint="eastAsia"/>
                <w:sz w:val="17"/>
                <w:szCs w:val="17"/>
                <w:lang w:eastAsia="zh-TW"/>
              </w:rPr>
              <w:t>的相關披露模版</w:t>
            </w:r>
            <w:r w:rsidR="00431CD2" w:rsidRPr="006854AC">
              <w:rPr>
                <w:rFonts w:eastAsia="新細明體" w:cs="Segoe UI" w:hint="eastAsia"/>
                <w:sz w:val="17"/>
                <w:szCs w:val="17"/>
                <w:lang w:eastAsia="zh-HK"/>
              </w:rPr>
              <w:t>內</w:t>
            </w:r>
            <w:r w:rsidRPr="006854AC">
              <w:rPr>
                <w:rFonts w:eastAsia="新細明體" w:cs="Segoe UI" w:hint="eastAsia"/>
                <w:sz w:val="17"/>
                <w:szCs w:val="17"/>
                <w:lang w:eastAsia="zh-TW"/>
              </w:rPr>
              <w:t>。</w:t>
            </w:r>
          </w:p>
        </w:tc>
      </w:tr>
    </w:tbl>
    <w:p w14:paraId="47D32D44" w14:textId="77777777" w:rsidR="00DA1457" w:rsidRPr="006854AC" w:rsidRDefault="00DA1457" w:rsidP="00DA1457">
      <w:pPr>
        <w:rPr>
          <w:lang w:eastAsia="zh-TW"/>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854AC" w:rsidRPr="006854AC" w14:paraId="3FB2C9C5" w14:textId="77777777" w:rsidTr="00DA1457">
        <w:trPr>
          <w:tblHeader/>
        </w:trPr>
        <w:tc>
          <w:tcPr>
            <w:tcW w:w="9243" w:type="dxa"/>
            <w:shd w:val="clear" w:color="auto" w:fill="BFBFBF"/>
          </w:tcPr>
          <w:p w14:paraId="0B7C6EC9" w14:textId="77777777" w:rsidR="00DA1457" w:rsidRPr="006854AC" w:rsidRDefault="00DA1457" w:rsidP="00DA1457">
            <w:pPr>
              <w:keepLines/>
              <w:tabs>
                <w:tab w:val="left" w:pos="150"/>
                <w:tab w:val="left" w:pos="397"/>
                <w:tab w:val="left" w:pos="794"/>
                <w:tab w:val="left" w:pos="1191"/>
              </w:tabs>
              <w:spacing w:before="40" w:after="40"/>
              <w:rPr>
                <w:rFonts w:eastAsia="新細明體"/>
                <w:b/>
                <w:sz w:val="17"/>
                <w:lang w:eastAsia="zh-TW"/>
              </w:rPr>
            </w:pPr>
            <w:proofErr w:type="gramStart"/>
            <w:r w:rsidRPr="006854AC">
              <w:rPr>
                <w:rFonts w:eastAsia="新細明體" w:hint="eastAsia"/>
                <w:b/>
                <w:sz w:val="17"/>
                <w:lang w:eastAsia="zh-TW"/>
              </w:rPr>
              <w:t>註</w:t>
            </w:r>
            <w:proofErr w:type="gramEnd"/>
            <w:r w:rsidRPr="006854AC">
              <w:rPr>
                <w:rFonts w:eastAsia="新細明體"/>
                <w:b/>
                <w:sz w:val="17"/>
                <w:lang w:eastAsia="zh-TW"/>
              </w:rPr>
              <w:t>釋</w:t>
            </w:r>
          </w:p>
        </w:tc>
      </w:tr>
      <w:tr w:rsidR="006854AC" w:rsidRPr="006854AC" w14:paraId="3BA7C3BB" w14:textId="77777777" w:rsidTr="00DA1457">
        <w:tc>
          <w:tcPr>
            <w:tcW w:w="9243" w:type="dxa"/>
            <w:shd w:val="clear" w:color="auto" w:fill="F2F2F2"/>
          </w:tcPr>
          <w:p w14:paraId="48F35F9C" w14:textId="77777777" w:rsidR="00DA1457" w:rsidRPr="006854AC" w:rsidRDefault="00DA1457" w:rsidP="00DA1457">
            <w:pPr>
              <w:keepNext/>
              <w:keepLines/>
              <w:tabs>
                <w:tab w:val="left" w:pos="150"/>
                <w:tab w:val="left" w:pos="397"/>
                <w:tab w:val="left" w:pos="794"/>
                <w:tab w:val="left" w:pos="1191"/>
              </w:tabs>
              <w:spacing w:before="40" w:after="40"/>
              <w:rPr>
                <w:rFonts w:eastAsia="新細明體"/>
                <w:b/>
                <w:sz w:val="17"/>
                <w:lang w:eastAsia="zh-TW"/>
              </w:rPr>
            </w:pPr>
            <w:r w:rsidRPr="006854AC">
              <w:rPr>
                <w:rFonts w:eastAsia="新細明體" w:hint="eastAsia"/>
                <w:b/>
                <w:sz w:val="17"/>
                <w:lang w:eastAsia="zh-TW"/>
              </w:rPr>
              <w:t>欄</w:t>
            </w:r>
          </w:p>
        </w:tc>
      </w:tr>
      <w:tr w:rsidR="006854AC" w:rsidRPr="006854AC" w14:paraId="380364A8" w14:textId="77777777" w:rsidTr="00DA1457">
        <w:tc>
          <w:tcPr>
            <w:tcW w:w="9243" w:type="dxa"/>
            <w:shd w:val="clear" w:color="auto" w:fill="auto"/>
          </w:tcPr>
          <w:p w14:paraId="2E0CB187" w14:textId="6A3FA430" w:rsidR="00DA1457" w:rsidRPr="006854AC" w:rsidRDefault="00DA1457" w:rsidP="00D32FA6">
            <w:pPr>
              <w:keepNext/>
              <w:keepLines/>
              <w:tabs>
                <w:tab w:val="left" w:pos="150"/>
                <w:tab w:val="left" w:pos="397"/>
                <w:tab w:val="left" w:pos="794"/>
                <w:tab w:val="left" w:pos="1191"/>
              </w:tabs>
              <w:spacing w:before="40" w:after="40"/>
              <w:jc w:val="both"/>
              <w:rPr>
                <w:rFonts w:ascii="新細明體" w:eastAsia="新細明體" w:hAnsi="新細明體"/>
                <w:b/>
                <w:i/>
                <w:sz w:val="17"/>
                <w:lang w:eastAsia="zh-TW"/>
              </w:rPr>
            </w:pPr>
            <w:r w:rsidRPr="006854AC">
              <w:rPr>
                <w:rFonts w:ascii="新細明體" w:eastAsia="新細明體" w:hAnsi="新細明體" w:hint="eastAsia"/>
                <w:i/>
                <w:sz w:val="17"/>
                <w:lang w:eastAsia="zh-HK"/>
              </w:rPr>
              <w:t>組別</w:t>
            </w:r>
            <w:r w:rsidRPr="006854AC">
              <w:rPr>
                <w:rFonts w:ascii="新細明體" w:eastAsia="新細明體" w:hAnsi="新細明體" w:hint="eastAsia"/>
                <w:i/>
                <w:sz w:val="17"/>
                <w:lang w:eastAsia="zh-TW"/>
              </w:rPr>
              <w:t>分配</w:t>
            </w:r>
            <w:r w:rsidRPr="006854AC">
              <w:rPr>
                <w:rFonts w:ascii="新細明體" w:eastAsia="新細明體" w:hAnsi="新細明體" w:hint="eastAsia"/>
                <w:sz w:val="17"/>
                <w:lang w:eastAsia="zh-TW"/>
              </w:rPr>
              <w:t>：</w:t>
            </w:r>
            <w:r w:rsidRPr="006854AC">
              <w:rPr>
                <w:rFonts w:ascii="新細明體" w:eastAsia="新細明體" w:hAnsi="新細明體" w:hint="eastAsia"/>
                <w:sz w:val="17"/>
                <w:lang w:eastAsia="zh-HK"/>
              </w:rPr>
              <w:t>本</w:t>
            </w:r>
            <w:r w:rsidRPr="006854AC">
              <w:rPr>
                <w:rFonts w:ascii="新細明體" w:eastAsia="新細明體" w:hAnsi="新細明體" w:hint="eastAsia"/>
                <w:sz w:val="17"/>
                <w:lang w:eastAsia="zh-TW"/>
              </w:rPr>
              <w:t>分類是</w:t>
            </w:r>
            <w:r w:rsidR="00DD3F86" w:rsidRPr="006854AC">
              <w:rPr>
                <w:rFonts w:ascii="新細明體" w:eastAsia="新細明體" w:hAnsi="新細明體" w:hint="eastAsia"/>
                <w:sz w:val="17"/>
                <w:lang w:eastAsia="zh-HK"/>
              </w:rPr>
              <w:t>根</w:t>
            </w:r>
            <w:r w:rsidR="00DD3F86" w:rsidRPr="006854AC">
              <w:rPr>
                <w:rFonts w:ascii="新細明體" w:eastAsia="新細明體" w:hAnsi="新細明體" w:hint="eastAsia"/>
                <w:sz w:val="17"/>
                <w:lang w:eastAsia="zh-TW"/>
              </w:rPr>
              <w:t>據</w:t>
            </w:r>
            <w:r w:rsidRPr="006854AC">
              <w:rPr>
                <w:rFonts w:ascii="新細明體" w:eastAsia="新細明體" w:hAnsi="新細明體" w:hint="eastAsia"/>
                <w:sz w:val="17"/>
                <w:lang w:eastAsia="zh-HK"/>
              </w:rPr>
              <w:t>認可機構</w:t>
            </w:r>
            <w:r w:rsidR="00DD3F86" w:rsidRPr="006854AC">
              <w:rPr>
                <w:rFonts w:ascii="新細明體" w:eastAsia="新細明體" w:hAnsi="新細明體" w:hint="eastAsia"/>
                <w:sz w:val="17"/>
                <w:lang w:eastAsia="zh-TW"/>
              </w:rPr>
              <w:t>按</w:t>
            </w:r>
            <w:r w:rsidR="00D32FA6" w:rsidRPr="006854AC">
              <w:rPr>
                <w:rFonts w:ascii="新細明體" w:eastAsia="新細明體" w:hAnsi="新細明體" w:hint="eastAsia"/>
                <w:sz w:val="17"/>
                <w:lang w:eastAsia="zh-TW"/>
              </w:rPr>
              <w:t>《資本規則》第</w:t>
            </w:r>
            <w:r w:rsidR="00D32FA6" w:rsidRPr="006854AC">
              <w:rPr>
                <w:rFonts w:eastAsia="新細明體" w:cs="Segoe UI"/>
                <w:sz w:val="17"/>
                <w:lang w:eastAsia="zh-TW"/>
              </w:rPr>
              <w:t>361</w:t>
            </w:r>
            <w:r w:rsidR="00D32FA6" w:rsidRPr="006854AC">
              <w:rPr>
                <w:rFonts w:ascii="新細明體" w:eastAsia="新細明體" w:hAnsi="新細明體" w:hint="eastAsia"/>
                <w:sz w:val="17"/>
                <w:lang w:eastAsia="zh-HK"/>
              </w:rPr>
              <w:t>條</w:t>
            </w:r>
            <w:r w:rsidR="00DD3F86" w:rsidRPr="006854AC">
              <w:rPr>
                <w:rFonts w:ascii="新細明體" w:eastAsia="新細明體" w:hAnsi="新細明體" w:hint="eastAsia"/>
                <w:sz w:val="17"/>
                <w:lang w:eastAsia="zh-HK"/>
              </w:rPr>
              <w:t>對</w:t>
            </w:r>
            <w:r w:rsidR="00DD3F86" w:rsidRPr="006854AC">
              <w:rPr>
                <w:rFonts w:ascii="新細明體" w:eastAsia="新細明體" w:hAnsi="新細明體" w:hint="eastAsia"/>
                <w:sz w:val="17"/>
                <w:lang w:eastAsia="zh-TW"/>
              </w:rPr>
              <w:t>加密資產</w:t>
            </w:r>
            <w:r w:rsidR="00D32FA6" w:rsidRPr="006854AC">
              <w:rPr>
                <w:rFonts w:ascii="新細明體" w:eastAsia="新細明體" w:hAnsi="新細明體" w:hint="eastAsia"/>
                <w:sz w:val="17"/>
                <w:lang w:eastAsia="zh-HK"/>
              </w:rPr>
              <w:t>所作</w:t>
            </w:r>
            <w:r w:rsidRPr="006854AC">
              <w:rPr>
                <w:rFonts w:ascii="新細明體" w:eastAsia="新細明體" w:hAnsi="新細明體" w:hint="eastAsia"/>
                <w:sz w:val="17"/>
                <w:lang w:eastAsia="zh-TW"/>
              </w:rPr>
              <w:t>的分類</w:t>
            </w:r>
            <w:r w:rsidR="00DD3F86" w:rsidRPr="006854AC">
              <w:rPr>
                <w:rFonts w:ascii="新細明體" w:eastAsia="新細明體" w:hAnsi="新細明體" w:hint="eastAsia"/>
                <w:sz w:val="17"/>
                <w:lang w:eastAsia="zh-HK"/>
              </w:rPr>
              <w:t>而定</w:t>
            </w:r>
            <w:r w:rsidRPr="006854AC">
              <w:rPr>
                <w:rFonts w:ascii="新細明體" w:eastAsia="新細明體" w:hAnsi="新細明體" w:hint="eastAsia"/>
                <w:sz w:val="17"/>
                <w:lang w:eastAsia="zh-TW"/>
              </w:rPr>
              <w:t>。</w:t>
            </w:r>
          </w:p>
        </w:tc>
      </w:tr>
      <w:tr w:rsidR="006854AC" w:rsidRPr="006854AC" w14:paraId="318B8F46" w14:textId="77777777" w:rsidTr="00DA1457">
        <w:tc>
          <w:tcPr>
            <w:tcW w:w="9243" w:type="dxa"/>
            <w:shd w:val="clear" w:color="auto" w:fill="F2F2F2"/>
          </w:tcPr>
          <w:p w14:paraId="753947FC" w14:textId="77777777" w:rsidR="00DA1457" w:rsidRPr="006854AC" w:rsidRDefault="00DA1457" w:rsidP="00DA1457">
            <w:pPr>
              <w:keepNext/>
              <w:keepLines/>
              <w:tabs>
                <w:tab w:val="left" w:pos="150"/>
                <w:tab w:val="left" w:pos="397"/>
                <w:tab w:val="left" w:pos="794"/>
                <w:tab w:val="left" w:pos="1191"/>
              </w:tabs>
              <w:spacing w:before="40" w:after="40"/>
              <w:rPr>
                <w:rFonts w:ascii="新細明體" w:eastAsia="新細明體" w:hAnsi="新細明體"/>
                <w:b/>
                <w:sz w:val="17"/>
                <w:lang w:eastAsia="zh-TW"/>
              </w:rPr>
            </w:pPr>
            <w:r w:rsidRPr="006854AC">
              <w:rPr>
                <w:rFonts w:ascii="新細明體" w:eastAsia="新細明體" w:hAnsi="新細明體" w:hint="eastAsia"/>
                <w:b/>
                <w:sz w:val="17"/>
                <w:lang w:eastAsia="zh-TW"/>
              </w:rPr>
              <w:t>行</w:t>
            </w:r>
          </w:p>
        </w:tc>
      </w:tr>
      <w:tr w:rsidR="006854AC" w:rsidRPr="006854AC" w14:paraId="71500A8C" w14:textId="77777777" w:rsidTr="00DA1457">
        <w:tc>
          <w:tcPr>
            <w:tcW w:w="9243" w:type="dxa"/>
            <w:shd w:val="clear" w:color="auto" w:fill="auto"/>
          </w:tcPr>
          <w:p w14:paraId="09FE069A" w14:textId="29F4E673" w:rsidR="00DA1457" w:rsidRPr="006854AC" w:rsidRDefault="00DA1457" w:rsidP="00DA1457">
            <w:pPr>
              <w:keepLines/>
              <w:tabs>
                <w:tab w:val="left" w:pos="150"/>
                <w:tab w:val="left" w:pos="397"/>
                <w:tab w:val="left" w:pos="794"/>
                <w:tab w:val="left" w:pos="1191"/>
              </w:tabs>
              <w:spacing w:before="40" w:after="40"/>
              <w:rPr>
                <w:rFonts w:ascii="新細明體" w:eastAsia="新細明體" w:hAnsi="新細明體" w:cs="Segoe UI"/>
                <w:sz w:val="17"/>
                <w:szCs w:val="17"/>
                <w:lang w:eastAsia="zh-TW"/>
              </w:rPr>
            </w:pPr>
            <w:r w:rsidRPr="006854AC">
              <w:rPr>
                <w:rFonts w:ascii="新細明體" w:eastAsia="新細明體" w:hAnsi="新細明體" w:cs="微軟正黑體" w:hint="eastAsia"/>
                <w:sz w:val="17"/>
                <w:szCs w:val="17"/>
                <w:lang w:eastAsia="zh-TW"/>
              </w:rPr>
              <w:t>各行應只包括</w:t>
            </w:r>
            <w:r w:rsidR="008D45AD" w:rsidRPr="006854AC">
              <w:rPr>
                <w:rFonts w:ascii="新細明體" w:eastAsia="新細明體" w:hAnsi="新細明體" w:cs="微軟正黑體" w:hint="eastAsia"/>
                <w:sz w:val="17"/>
                <w:szCs w:val="17"/>
                <w:lang w:eastAsia="zh-TW"/>
              </w:rPr>
              <w:t>引</w:t>
            </w:r>
            <w:r w:rsidR="00B957EC" w:rsidRPr="006854AC">
              <w:rPr>
                <w:rFonts w:ascii="新細明體" w:eastAsia="新細明體" w:hAnsi="新細明體" w:cs="微軟正黑體" w:hint="eastAsia"/>
                <w:sz w:val="17"/>
                <w:szCs w:val="17"/>
                <w:lang w:eastAsia="zh-TW"/>
              </w:rPr>
              <w:t>致</w:t>
            </w:r>
            <w:r w:rsidRPr="006854AC">
              <w:rPr>
                <w:rFonts w:ascii="新細明體" w:eastAsia="新細明體" w:hAnsi="新細明體" w:cs="微軟正黑體" w:hint="eastAsia"/>
                <w:sz w:val="17"/>
                <w:szCs w:val="17"/>
                <w:lang w:eastAsia="zh-TW"/>
              </w:rPr>
              <w:t>認可機構加密資產風險</w:t>
            </w:r>
            <w:r w:rsidR="00DB61F7" w:rsidRPr="006854AC">
              <w:rPr>
                <w:rFonts w:ascii="新細明體" w:eastAsia="新細明體" w:hAnsi="新細明體" w:cs="微軟正黑體" w:hint="eastAsia"/>
                <w:sz w:val="17"/>
                <w:szCs w:val="17"/>
                <w:lang w:eastAsia="zh-HK"/>
              </w:rPr>
              <w:t>承</w:t>
            </w:r>
            <w:r w:rsidR="00DB61F7" w:rsidRPr="006854AC">
              <w:rPr>
                <w:rFonts w:ascii="新細明體" w:eastAsia="新細明體" w:hAnsi="新細明體" w:cs="微軟正黑體" w:hint="eastAsia"/>
                <w:sz w:val="17"/>
                <w:szCs w:val="17"/>
                <w:lang w:eastAsia="zh-TW"/>
              </w:rPr>
              <w:t>擔</w:t>
            </w:r>
            <w:r w:rsidRPr="006854AC">
              <w:rPr>
                <w:rFonts w:ascii="新細明體" w:eastAsia="新細明體" w:hAnsi="新細明體" w:cs="微軟正黑體" w:hint="eastAsia"/>
                <w:sz w:val="17"/>
                <w:szCs w:val="17"/>
                <w:lang w:eastAsia="zh-TW"/>
              </w:rPr>
              <w:t>的資產</w:t>
            </w:r>
            <w:r w:rsidR="004E3585" w:rsidRPr="006854AC">
              <w:rPr>
                <w:rFonts w:ascii="新細明體" w:eastAsia="新細明體" w:hAnsi="新細明體" w:cs="微軟正黑體" w:hint="eastAsia"/>
                <w:sz w:val="17"/>
                <w:szCs w:val="17"/>
                <w:lang w:eastAsia="zh-TW"/>
              </w:rPr>
              <w:t>及負債，並須依循認可機構在其財務報表所使用的資產負債表呈報方式</w:t>
            </w:r>
            <w:r w:rsidR="004E3585" w:rsidRPr="006854AC">
              <w:rPr>
                <w:rFonts w:ascii="新細明體" w:eastAsia="新細明體" w:hAnsi="新細明體" w:hint="eastAsia"/>
                <w:sz w:val="17"/>
                <w:lang w:eastAsia="zh-TW"/>
              </w:rPr>
              <w:t>。</w:t>
            </w:r>
          </w:p>
        </w:tc>
      </w:tr>
    </w:tbl>
    <w:p w14:paraId="26B19D70" w14:textId="77777777" w:rsidR="00DA1457" w:rsidRPr="006854AC" w:rsidRDefault="00DA1457" w:rsidP="00DA1457">
      <w:pPr>
        <w:rPr>
          <w:u w:val="single"/>
          <w:lang w:eastAsia="zh-TW"/>
        </w:rPr>
        <w:sectPr w:rsidR="00DA1457" w:rsidRPr="006854AC" w:rsidSect="00DA1457">
          <w:footerReference w:type="default" r:id="rId125"/>
          <w:pgSz w:w="11906" w:h="16838" w:code="9"/>
          <w:pgMar w:top="1440" w:right="1797" w:bottom="1440" w:left="1797" w:header="851" w:footer="737" w:gutter="0"/>
          <w:cols w:space="425"/>
          <w:docGrid w:type="lines" w:linePitch="360"/>
        </w:sectPr>
      </w:pPr>
    </w:p>
    <w:p w14:paraId="06F19FD7" w14:textId="77777777" w:rsidR="00DA1457" w:rsidRPr="006854AC" w:rsidRDefault="00DA1457" w:rsidP="00DA1457">
      <w:pPr>
        <w:keepNext/>
        <w:suppressAutoHyphens/>
        <w:spacing w:line="480" w:lineRule="auto"/>
        <w:ind w:left="-426"/>
        <w:outlineLvl w:val="1"/>
        <w:rPr>
          <w:rFonts w:eastAsia="新細明體"/>
          <w:sz w:val="22"/>
          <w:szCs w:val="24"/>
          <w:lang w:eastAsia="zh-TW"/>
        </w:rPr>
      </w:pPr>
      <w:r w:rsidRPr="006854AC">
        <w:rPr>
          <w:rFonts w:eastAsia="新細明體" w:hint="eastAsia"/>
          <w:sz w:val="22"/>
          <w:szCs w:val="24"/>
          <w:lang w:eastAsia="zh-HK"/>
        </w:rPr>
        <w:t>模版</w:t>
      </w:r>
      <w:r w:rsidRPr="006854AC">
        <w:rPr>
          <w:rFonts w:eastAsia="新細明體"/>
          <w:sz w:val="22"/>
          <w:szCs w:val="24"/>
          <w:lang w:eastAsia="zh-TW"/>
        </w:rPr>
        <w:t>CAE3</w:t>
      </w:r>
      <w:r w:rsidRPr="006854AC">
        <w:rPr>
          <w:rFonts w:eastAsia="新細明體" w:hint="eastAsia"/>
          <w:sz w:val="22"/>
          <w:szCs w:val="24"/>
          <w:lang w:eastAsia="zh-TW"/>
        </w:rPr>
        <w:t>：</w:t>
      </w:r>
      <w:r w:rsidRPr="006854AC">
        <w:rPr>
          <w:rFonts w:eastAsia="新細明體" w:hint="eastAsia"/>
          <w:sz w:val="22"/>
          <w:szCs w:val="24"/>
          <w:lang w:eastAsia="zh-HK"/>
        </w:rPr>
        <w:t>加密資產風險承擔的流動性規定</w:t>
      </w:r>
      <w:r w:rsidRPr="006854AC">
        <w:rPr>
          <w:rFonts w:ascii="Arial" w:eastAsia="細明體" w:hAnsi="Arial" w:cs="Arial" w:hint="eastAsia"/>
          <w:sz w:val="22"/>
          <w:szCs w:val="24"/>
          <w:lang w:eastAsia="zh-TW"/>
        </w:rPr>
        <w:t>──</w:t>
      </w:r>
      <w:r w:rsidRPr="006854AC">
        <w:rPr>
          <w:rFonts w:eastAsia="新細明體"/>
          <w:sz w:val="22"/>
          <w:szCs w:val="24"/>
          <w:lang w:eastAsia="zh-TW"/>
        </w:rPr>
        <w:t>第</w:t>
      </w:r>
      <w:r w:rsidRPr="006854AC">
        <w:rPr>
          <w:rFonts w:eastAsia="新細明體"/>
          <w:sz w:val="22"/>
          <w:szCs w:val="24"/>
          <w:lang w:eastAsia="zh-TW"/>
        </w:rPr>
        <w:t>1</w:t>
      </w:r>
      <w:r w:rsidRPr="006854AC">
        <w:rPr>
          <w:rFonts w:eastAsia="新細明體"/>
          <w:sz w:val="22"/>
          <w:szCs w:val="24"/>
          <w:lang w:eastAsia="zh-TW"/>
        </w:rPr>
        <w:t>類機構</w:t>
      </w:r>
    </w:p>
    <w:tbl>
      <w:tblPr>
        <w:tblW w:w="9356" w:type="dxa"/>
        <w:tblInd w:w="-426"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127"/>
        <w:gridCol w:w="7229"/>
      </w:tblGrid>
      <w:tr w:rsidR="006854AC" w:rsidRPr="006854AC" w14:paraId="78AB2DAD" w14:textId="77777777" w:rsidTr="000677A4">
        <w:tc>
          <w:tcPr>
            <w:tcW w:w="2127" w:type="dxa"/>
          </w:tcPr>
          <w:p w14:paraId="7E8DBFE3" w14:textId="77777777" w:rsidR="00DA1457" w:rsidRPr="006854AC" w:rsidRDefault="00DA1457" w:rsidP="00DA1457">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目的</w:t>
            </w:r>
            <w:r w:rsidRPr="006854AC">
              <w:rPr>
                <w:rFonts w:ascii="新細明體" w:eastAsia="新細明體" w:hAnsi="新細明體" w:hint="eastAsia"/>
                <w:b/>
                <w:sz w:val="17"/>
                <w:lang w:eastAsia="zh-TW"/>
              </w:rPr>
              <w:t>：</w:t>
            </w:r>
          </w:p>
        </w:tc>
        <w:tc>
          <w:tcPr>
            <w:tcW w:w="7229" w:type="dxa"/>
          </w:tcPr>
          <w:p w14:paraId="1F075DEE" w14:textId="2BA047BF" w:rsidR="00DA1457" w:rsidRPr="006854AC" w:rsidRDefault="00DA1457" w:rsidP="00DA1457">
            <w:pPr>
              <w:spacing w:before="40" w:after="40"/>
              <w:jc w:val="both"/>
              <w:rPr>
                <w:rFonts w:eastAsia="新細明體"/>
                <w:sz w:val="17"/>
                <w:lang w:eastAsia="zh-TW"/>
              </w:rPr>
            </w:pPr>
            <w:r w:rsidRPr="006854AC">
              <w:rPr>
                <w:rFonts w:eastAsia="新細明體" w:hint="eastAsia"/>
                <w:sz w:val="17"/>
                <w:lang w:eastAsia="zh-HK"/>
              </w:rPr>
              <w:t>根據流動性風險分類</w:t>
            </w:r>
            <w:r w:rsidR="008D45AD" w:rsidRPr="006854AC">
              <w:rPr>
                <w:rFonts w:eastAsia="新細明體" w:hint="eastAsia"/>
                <w:sz w:val="17"/>
                <w:lang w:eastAsia="zh-TW"/>
              </w:rPr>
              <w:t>，</w:t>
            </w:r>
            <w:r w:rsidR="008D45AD" w:rsidRPr="006854AC">
              <w:rPr>
                <w:rFonts w:eastAsia="新細明體"/>
                <w:sz w:val="17"/>
                <w:lang w:eastAsia="zh-HK"/>
              </w:rPr>
              <w:t>提供</w:t>
            </w:r>
            <w:r w:rsidRPr="006854AC">
              <w:rPr>
                <w:rFonts w:eastAsia="新細明體" w:hint="eastAsia"/>
                <w:sz w:val="17"/>
                <w:lang w:eastAsia="zh-HK"/>
              </w:rPr>
              <w:t>認可機構的加密資產風險承擔</w:t>
            </w:r>
            <w:r w:rsidR="008D45AD" w:rsidRPr="006854AC">
              <w:rPr>
                <w:rFonts w:eastAsia="新細明體" w:hint="eastAsia"/>
                <w:sz w:val="17"/>
                <w:lang w:eastAsia="zh-HK"/>
              </w:rPr>
              <w:t>的概</w:t>
            </w:r>
            <w:r w:rsidR="008D45AD" w:rsidRPr="006854AC">
              <w:rPr>
                <w:rFonts w:eastAsia="新細明體"/>
                <w:sz w:val="17"/>
                <w:lang w:eastAsia="zh-HK"/>
              </w:rPr>
              <w:t>覽</w:t>
            </w:r>
            <w:r w:rsidR="008D45AD" w:rsidRPr="006854AC">
              <w:rPr>
                <w:rFonts w:eastAsia="新細明體" w:hint="eastAsia"/>
                <w:sz w:val="17"/>
                <w:lang w:eastAsia="zh-TW"/>
              </w:rPr>
              <w:t>。</w:t>
            </w:r>
          </w:p>
        </w:tc>
      </w:tr>
      <w:tr w:rsidR="006854AC" w:rsidRPr="006854AC" w14:paraId="6894B089" w14:textId="77777777" w:rsidTr="000677A4">
        <w:tc>
          <w:tcPr>
            <w:tcW w:w="2127" w:type="dxa"/>
          </w:tcPr>
          <w:p w14:paraId="5A044B38"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適用範圍</w:t>
            </w:r>
            <w:r w:rsidRPr="006854AC">
              <w:rPr>
                <w:rFonts w:ascii="新細明體" w:eastAsia="新細明體" w:hAnsi="新細明體" w:hint="eastAsia"/>
                <w:b/>
                <w:sz w:val="17"/>
                <w:lang w:eastAsia="zh-TW"/>
              </w:rPr>
              <w:t>：</w:t>
            </w:r>
          </w:p>
        </w:tc>
        <w:tc>
          <w:tcPr>
            <w:tcW w:w="7229" w:type="dxa"/>
          </w:tcPr>
          <w:p w14:paraId="71C68978" w14:textId="247E02B1" w:rsidR="00DA1457" w:rsidRPr="006854AC" w:rsidRDefault="00DA1457" w:rsidP="006318BC">
            <w:pPr>
              <w:spacing w:before="40" w:after="40"/>
              <w:jc w:val="both"/>
              <w:rPr>
                <w:rFonts w:eastAsia="新細明體"/>
                <w:sz w:val="17"/>
                <w:lang w:eastAsia="zh-TW"/>
              </w:rPr>
            </w:pPr>
            <w:r w:rsidRPr="006854AC">
              <w:rPr>
                <w:rFonts w:eastAsia="新細明體"/>
                <w:sz w:val="17"/>
                <w:lang w:eastAsia="zh-TW"/>
              </w:rPr>
              <w:t>所有在香港成立</w:t>
            </w:r>
            <w:proofErr w:type="gramStart"/>
            <w:r w:rsidRPr="006854AC">
              <w:rPr>
                <w:rFonts w:eastAsia="新細明體"/>
                <w:sz w:val="17"/>
                <w:lang w:eastAsia="zh-TW"/>
              </w:rPr>
              <w:t>為法團</w:t>
            </w:r>
            <w:r w:rsidR="00E516C1" w:rsidRPr="006854AC">
              <w:rPr>
                <w:rFonts w:eastAsia="新細明體" w:hint="eastAsia"/>
                <w:sz w:val="17"/>
                <w:lang w:eastAsia="zh-TW"/>
              </w:rPr>
              <w:t>的</w:t>
            </w:r>
            <w:proofErr w:type="gramEnd"/>
            <w:r w:rsidR="00E516C1" w:rsidRPr="006854AC">
              <w:rPr>
                <w:rFonts w:eastAsia="新細明體" w:hint="eastAsia"/>
                <w:sz w:val="17"/>
                <w:lang w:eastAsia="zh-TW"/>
              </w:rPr>
              <w:t>認可機構</w:t>
            </w:r>
            <w:r w:rsidRPr="006854AC">
              <w:rPr>
                <w:rFonts w:eastAsia="新細明體"/>
                <w:sz w:val="17"/>
                <w:lang w:eastAsia="zh-TW"/>
              </w:rPr>
              <w:t>及在香港以外成立</w:t>
            </w:r>
            <w:proofErr w:type="gramStart"/>
            <w:r w:rsidRPr="006854AC">
              <w:rPr>
                <w:rFonts w:eastAsia="新細明體"/>
                <w:sz w:val="17"/>
                <w:lang w:eastAsia="zh-TW"/>
              </w:rPr>
              <w:t>為法團</w:t>
            </w:r>
            <w:r w:rsidR="00FC2CCB" w:rsidRPr="006854AC">
              <w:rPr>
                <w:rFonts w:eastAsia="新細明體" w:hint="eastAsia"/>
                <w:sz w:val="17"/>
                <w:lang w:eastAsia="zh-TW"/>
              </w:rPr>
              <w:t>的</w:t>
            </w:r>
            <w:proofErr w:type="gramEnd"/>
            <w:r w:rsidR="00FC2CCB" w:rsidRPr="006854AC">
              <w:rPr>
                <w:rFonts w:eastAsia="新細明體" w:hint="eastAsia"/>
                <w:sz w:val="17"/>
                <w:lang w:eastAsia="zh-TW"/>
              </w:rPr>
              <w:t>認可機構</w:t>
            </w:r>
            <w:r w:rsidR="006318BC" w:rsidRPr="006854AC">
              <w:rPr>
                <w:rFonts w:eastAsia="新細明體" w:hint="eastAsia"/>
                <w:sz w:val="17"/>
                <w:lang w:eastAsia="zh-HK"/>
              </w:rPr>
              <w:t>，凡</w:t>
            </w:r>
            <w:r w:rsidRPr="006854AC">
              <w:rPr>
                <w:rFonts w:eastAsia="新細明體" w:hint="eastAsia"/>
                <w:sz w:val="17"/>
                <w:lang w:eastAsia="zh-TW"/>
              </w:rPr>
              <w:t>在《流動性規則》下</w:t>
            </w:r>
            <w:r w:rsidRPr="006854AC">
              <w:rPr>
                <w:rFonts w:eastAsia="新細明體"/>
                <w:sz w:val="17"/>
                <w:lang w:eastAsia="zh-TW"/>
              </w:rPr>
              <w:t>被指定為</w:t>
            </w:r>
            <w:r w:rsidR="00894D99" w:rsidRPr="006854AC">
              <w:rPr>
                <w:rFonts w:eastAsia="新細明體" w:hint="eastAsia"/>
                <w:sz w:val="17"/>
                <w:lang w:eastAsia="zh-TW"/>
              </w:rPr>
              <w:t>「</w:t>
            </w:r>
            <w:r w:rsidRPr="006854AC">
              <w:rPr>
                <w:rFonts w:eastAsia="新細明體"/>
                <w:sz w:val="17"/>
                <w:lang w:eastAsia="zh-TW"/>
              </w:rPr>
              <w:t>第</w:t>
            </w:r>
            <w:r w:rsidRPr="006854AC">
              <w:rPr>
                <w:rFonts w:eastAsia="新細明體"/>
                <w:sz w:val="17"/>
                <w:lang w:eastAsia="zh-TW"/>
              </w:rPr>
              <w:t>1</w:t>
            </w:r>
            <w:r w:rsidRPr="006854AC">
              <w:rPr>
                <w:rFonts w:eastAsia="新細明體"/>
                <w:sz w:val="17"/>
                <w:lang w:eastAsia="zh-TW"/>
              </w:rPr>
              <w:t>類機構</w:t>
            </w:r>
            <w:r w:rsidR="00894D99" w:rsidRPr="006854AC">
              <w:rPr>
                <w:rFonts w:eastAsia="新細明體" w:hint="eastAsia"/>
                <w:sz w:val="17"/>
                <w:lang w:eastAsia="zh-TW"/>
              </w:rPr>
              <w:t>」</w:t>
            </w:r>
            <w:r w:rsidR="006318BC" w:rsidRPr="006854AC">
              <w:rPr>
                <w:rFonts w:eastAsia="新細明體" w:hint="eastAsia"/>
                <w:sz w:val="17"/>
                <w:lang w:eastAsia="zh-HK"/>
              </w:rPr>
              <w:t>並</w:t>
            </w:r>
            <w:r w:rsidR="00E516C1" w:rsidRPr="006854AC">
              <w:rPr>
                <w:rFonts w:eastAsia="新細明體" w:hint="eastAsia"/>
                <w:sz w:val="17"/>
                <w:lang w:eastAsia="zh-TW"/>
              </w:rPr>
              <w:t>有</w:t>
            </w:r>
            <w:r w:rsidR="00E516C1" w:rsidRPr="006854AC">
              <w:rPr>
                <w:rFonts w:eastAsia="新細明體" w:hint="eastAsia"/>
                <w:sz w:val="17"/>
                <w:lang w:eastAsia="zh-HK"/>
              </w:rPr>
              <w:t>加密</w:t>
            </w:r>
            <w:r w:rsidR="00E516C1" w:rsidRPr="006854AC">
              <w:rPr>
                <w:rFonts w:eastAsia="新細明體" w:hint="eastAsia"/>
                <w:sz w:val="17"/>
                <w:lang w:eastAsia="zh-TW"/>
              </w:rPr>
              <w:t>資產風險承擔</w:t>
            </w:r>
            <w:r w:rsidR="00E516C1" w:rsidRPr="006854AC">
              <w:rPr>
                <w:rFonts w:eastAsia="新細明體" w:hint="eastAsia"/>
                <w:sz w:val="17"/>
                <w:lang w:eastAsia="zh-HK"/>
              </w:rPr>
              <w:t>，</w:t>
            </w:r>
            <w:proofErr w:type="gramStart"/>
            <w:r w:rsidRPr="006854AC">
              <w:rPr>
                <w:rFonts w:eastAsia="新細明體"/>
                <w:sz w:val="17"/>
                <w:lang w:eastAsia="zh-TW"/>
              </w:rPr>
              <w:t>均須填報本模</w:t>
            </w:r>
            <w:proofErr w:type="gramEnd"/>
            <w:r w:rsidRPr="006854AC">
              <w:rPr>
                <w:rFonts w:eastAsia="新細明體"/>
                <w:sz w:val="17"/>
                <w:lang w:eastAsia="zh-TW"/>
              </w:rPr>
              <w:t>版。</w:t>
            </w:r>
          </w:p>
        </w:tc>
      </w:tr>
      <w:tr w:rsidR="006854AC" w:rsidRPr="006854AC" w14:paraId="20B5375E" w14:textId="77777777" w:rsidTr="000677A4">
        <w:tc>
          <w:tcPr>
            <w:tcW w:w="2127" w:type="dxa"/>
          </w:tcPr>
          <w:p w14:paraId="2B455FFF"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lang w:eastAsia="zh-HK"/>
              </w:rPr>
              <w:t>內容</w:t>
            </w:r>
            <w:r w:rsidRPr="006854AC">
              <w:rPr>
                <w:rFonts w:ascii="新細明體" w:eastAsia="新細明體" w:hAnsi="新細明體" w:hint="eastAsia"/>
                <w:b/>
                <w:sz w:val="17"/>
                <w:lang w:eastAsia="zh-TW"/>
              </w:rPr>
              <w:t>：</w:t>
            </w:r>
          </w:p>
        </w:tc>
        <w:tc>
          <w:tcPr>
            <w:tcW w:w="7229" w:type="dxa"/>
          </w:tcPr>
          <w:p w14:paraId="1F808684" w14:textId="5E844BA2" w:rsidR="00DA1457" w:rsidRPr="006854AC" w:rsidRDefault="00DA1457" w:rsidP="00DA1457">
            <w:pPr>
              <w:spacing w:before="40" w:after="40"/>
              <w:jc w:val="both"/>
              <w:rPr>
                <w:rFonts w:eastAsia="新細明體"/>
                <w:sz w:val="17"/>
                <w:lang w:eastAsia="zh-TW"/>
              </w:rPr>
            </w:pPr>
            <w:r w:rsidRPr="006854AC">
              <w:rPr>
                <w:rFonts w:eastAsia="新細明體" w:hint="eastAsia"/>
                <w:sz w:val="17"/>
                <w:lang w:eastAsia="zh-HK"/>
              </w:rPr>
              <w:t>與</w:t>
            </w:r>
            <w:r w:rsidRPr="006854AC">
              <w:rPr>
                <w:rFonts w:eastAsia="新細明體" w:hint="eastAsia"/>
                <w:sz w:val="17"/>
                <w:lang w:eastAsia="zh-TW"/>
              </w:rPr>
              <w:t>計算</w:t>
            </w:r>
            <w:r w:rsidRPr="006854AC">
              <w:rPr>
                <w:rFonts w:eastAsia="新細明體" w:hint="eastAsia"/>
                <w:sz w:val="17"/>
                <w:lang w:eastAsia="zh-TW"/>
              </w:rPr>
              <w:t>LCR</w:t>
            </w:r>
            <w:r w:rsidRPr="006854AC">
              <w:rPr>
                <w:rFonts w:eastAsia="新細明體" w:hint="eastAsia"/>
                <w:sz w:val="17"/>
                <w:lang w:eastAsia="zh-TW"/>
              </w:rPr>
              <w:t>及</w:t>
            </w:r>
            <w:r w:rsidRPr="006854AC">
              <w:rPr>
                <w:rFonts w:eastAsia="新細明體" w:hint="eastAsia"/>
                <w:sz w:val="17"/>
                <w:lang w:eastAsia="zh-TW"/>
              </w:rPr>
              <w:t>NSFR</w:t>
            </w:r>
            <w:r w:rsidRPr="006854AC">
              <w:rPr>
                <w:rFonts w:eastAsia="新細明體" w:hint="eastAsia"/>
                <w:sz w:val="17"/>
                <w:lang w:eastAsia="zh-TW"/>
              </w:rPr>
              <w:t>相關</w:t>
            </w:r>
            <w:r w:rsidRPr="006854AC">
              <w:rPr>
                <w:rFonts w:eastAsia="新細明體" w:hint="eastAsia"/>
                <w:sz w:val="17"/>
                <w:lang w:eastAsia="zh-HK"/>
              </w:rPr>
              <w:t>的</w:t>
            </w:r>
            <w:r w:rsidRPr="006854AC">
              <w:rPr>
                <w:rFonts w:eastAsia="新細明體" w:hint="eastAsia"/>
                <w:sz w:val="17"/>
                <w:lang w:eastAsia="zh-TW"/>
              </w:rPr>
              <w:t>加密資產風險承擔類別的</w:t>
            </w:r>
            <w:r w:rsidRPr="006854AC">
              <w:rPr>
                <w:rFonts w:eastAsia="新細明體" w:hint="eastAsia"/>
                <w:sz w:val="17"/>
                <w:lang w:eastAsia="zh-HK"/>
              </w:rPr>
              <w:t>主要</w:t>
            </w:r>
            <w:r w:rsidRPr="006854AC">
              <w:rPr>
                <w:rFonts w:eastAsia="新細明體" w:hint="eastAsia"/>
                <w:sz w:val="17"/>
                <w:lang w:eastAsia="zh-TW"/>
              </w:rPr>
              <w:t>流動性風險參數</w:t>
            </w:r>
            <w:r w:rsidR="00043640" w:rsidRPr="006854AC">
              <w:rPr>
                <w:rFonts w:eastAsia="新細明體" w:hint="eastAsia"/>
                <w:sz w:val="17"/>
                <w:lang w:eastAsia="zh-HK"/>
              </w:rPr>
              <w:t>，而該</w:t>
            </w:r>
            <w:r w:rsidR="00043640" w:rsidRPr="006854AC">
              <w:rPr>
                <w:rFonts w:eastAsia="新細明體" w:hint="eastAsia"/>
                <w:sz w:val="17"/>
                <w:lang w:eastAsia="zh-TW"/>
              </w:rPr>
              <w:t>LCR</w:t>
            </w:r>
            <w:r w:rsidR="00043640" w:rsidRPr="006854AC">
              <w:rPr>
                <w:rFonts w:eastAsia="新細明體" w:hint="eastAsia"/>
                <w:sz w:val="17"/>
                <w:lang w:eastAsia="zh-TW"/>
              </w:rPr>
              <w:t>及</w:t>
            </w:r>
            <w:r w:rsidR="00043640" w:rsidRPr="006854AC">
              <w:rPr>
                <w:rFonts w:eastAsia="新細明體" w:hint="eastAsia"/>
                <w:sz w:val="17"/>
                <w:lang w:eastAsia="zh-TW"/>
              </w:rPr>
              <w:t>NSFR</w:t>
            </w:r>
            <w:r w:rsidR="00043640" w:rsidRPr="006854AC">
              <w:rPr>
                <w:rFonts w:eastAsia="新細明體" w:hint="eastAsia"/>
                <w:sz w:val="17"/>
                <w:lang w:eastAsia="zh-HK"/>
              </w:rPr>
              <w:t>的計算，是以</w:t>
            </w:r>
            <w:r w:rsidR="00043640" w:rsidRPr="006854AC">
              <w:rPr>
                <w:rFonts w:eastAsia="新細明體" w:hint="eastAsia"/>
                <w:sz w:val="17"/>
                <w:lang w:eastAsia="zh-TW"/>
              </w:rPr>
              <w:t>「流動性狀況申報表」</w:t>
            </w:r>
            <w:r w:rsidR="00043640" w:rsidRPr="006854AC">
              <w:rPr>
                <w:rFonts w:eastAsia="新細明體"/>
                <w:sz w:val="17"/>
                <w:lang w:eastAsia="zh-TW"/>
              </w:rPr>
              <w:t>(MA(BS)1E)</w:t>
            </w:r>
            <w:r w:rsidR="00043640" w:rsidRPr="006854AC">
              <w:rPr>
                <w:rFonts w:eastAsia="新細明體" w:hint="eastAsia"/>
                <w:sz w:val="17"/>
                <w:lang w:eastAsia="zh-TW"/>
              </w:rPr>
              <w:t>及「穩定資金狀況申報表」</w:t>
            </w:r>
            <w:r w:rsidR="00043640" w:rsidRPr="006854AC">
              <w:rPr>
                <w:rFonts w:eastAsia="新細明體"/>
                <w:sz w:val="17"/>
                <w:lang w:eastAsia="zh-TW"/>
              </w:rPr>
              <w:t>(MA(BS)26)(</w:t>
            </w:r>
            <w:r w:rsidR="00043640" w:rsidRPr="006854AC">
              <w:rPr>
                <w:rFonts w:eastAsia="新細明體" w:hint="eastAsia"/>
                <w:sz w:val="17"/>
                <w:lang w:eastAsia="zh-TW"/>
              </w:rPr>
              <w:t>視</w:t>
            </w:r>
            <w:r w:rsidR="00043640" w:rsidRPr="006854AC">
              <w:rPr>
                <w:rFonts w:eastAsia="新細明體" w:hint="eastAsia"/>
                <w:sz w:val="17"/>
                <w:lang w:eastAsia="zh-HK"/>
              </w:rPr>
              <w:t>何者</w:t>
            </w:r>
            <w:r w:rsidR="00043640" w:rsidRPr="006854AC">
              <w:rPr>
                <w:rFonts w:eastAsia="新細明體" w:hint="eastAsia"/>
                <w:sz w:val="17"/>
                <w:lang w:eastAsia="zh-TW"/>
              </w:rPr>
              <w:t>適用而定</w:t>
            </w:r>
            <w:r w:rsidR="00043640" w:rsidRPr="006854AC">
              <w:rPr>
                <w:rFonts w:eastAsia="新細明體" w:hint="eastAsia"/>
                <w:sz w:val="17"/>
                <w:lang w:eastAsia="zh-TW"/>
              </w:rPr>
              <w:t>)</w:t>
            </w:r>
            <w:r w:rsidR="00043640" w:rsidRPr="006854AC">
              <w:rPr>
                <w:rFonts w:eastAsia="新細明體"/>
                <w:sz w:val="17"/>
                <w:lang w:eastAsia="zh-TW"/>
              </w:rPr>
              <w:t>所</w:t>
            </w:r>
            <w:r w:rsidR="00043640" w:rsidRPr="006854AC">
              <w:rPr>
                <w:rFonts w:eastAsia="新細明體" w:hint="eastAsia"/>
                <w:sz w:val="17"/>
                <w:lang w:eastAsia="zh-HK"/>
              </w:rPr>
              <w:t>列的</w:t>
            </w:r>
            <w:r w:rsidR="00043640" w:rsidRPr="006854AC">
              <w:rPr>
                <w:rFonts w:eastAsia="新細明體" w:hint="eastAsia"/>
                <w:sz w:val="17"/>
                <w:lang w:eastAsia="zh-TW"/>
              </w:rPr>
              <w:t>計算方法及指示</w:t>
            </w:r>
            <w:r w:rsidR="00043640" w:rsidRPr="006854AC">
              <w:rPr>
                <w:rFonts w:eastAsia="新細明體" w:hint="eastAsia"/>
                <w:sz w:val="17"/>
                <w:lang w:eastAsia="zh-HK"/>
              </w:rPr>
              <w:t>為基礎</w:t>
            </w:r>
            <w:r w:rsidRPr="006854AC">
              <w:rPr>
                <w:rFonts w:eastAsia="新細明體" w:hint="eastAsia"/>
                <w:sz w:val="17"/>
                <w:lang w:eastAsia="zh-TW"/>
              </w:rPr>
              <w:t>。須注意</w:t>
            </w:r>
            <w:r w:rsidRPr="006854AC">
              <w:rPr>
                <w:rFonts w:eastAsia="新細明體"/>
                <w:sz w:val="17"/>
                <w:lang w:eastAsia="zh-TW"/>
              </w:rPr>
              <w:t>，</w:t>
            </w:r>
            <w:r w:rsidRPr="006854AC">
              <w:rPr>
                <w:rFonts w:eastAsia="新細明體" w:hint="eastAsia"/>
                <w:sz w:val="17"/>
                <w:lang w:eastAsia="zh-TW"/>
              </w:rPr>
              <w:t>適用於流動性審慎</w:t>
            </w:r>
            <w:r w:rsidR="003E6861" w:rsidRPr="006854AC">
              <w:rPr>
                <w:rFonts w:eastAsia="新細明體" w:hint="eastAsia"/>
                <w:sz w:val="17"/>
                <w:lang w:eastAsia="zh-TW"/>
              </w:rPr>
              <w:t>監管</w:t>
            </w:r>
            <w:r w:rsidRPr="006854AC">
              <w:rPr>
                <w:rFonts w:eastAsia="新細明體" w:hint="eastAsia"/>
                <w:sz w:val="17"/>
                <w:lang w:eastAsia="zh-TW"/>
              </w:rPr>
              <w:t>處理的加密資產及加密負債風險承擔類別，與用於信用風險及市場風險的類別</w:t>
            </w:r>
            <w:r w:rsidR="003E6861" w:rsidRPr="006854AC">
              <w:rPr>
                <w:rFonts w:eastAsia="新細明體" w:hint="eastAsia"/>
                <w:sz w:val="17"/>
                <w:lang w:eastAsia="zh-TW"/>
              </w:rPr>
              <w:t>並</w:t>
            </w:r>
            <w:r w:rsidRPr="006854AC">
              <w:rPr>
                <w:rFonts w:eastAsia="新細明體" w:hint="eastAsia"/>
                <w:sz w:val="17"/>
                <w:lang w:eastAsia="zh-TW"/>
              </w:rPr>
              <w:t>不</w:t>
            </w:r>
            <w:r w:rsidR="003E6861" w:rsidRPr="006854AC">
              <w:rPr>
                <w:rFonts w:eastAsia="新細明體" w:hint="eastAsia"/>
                <w:sz w:val="17"/>
                <w:lang w:eastAsia="zh-TW"/>
              </w:rPr>
              <w:t>相</w:t>
            </w:r>
            <w:r w:rsidRPr="006854AC">
              <w:rPr>
                <w:rFonts w:eastAsia="新細明體" w:hint="eastAsia"/>
                <w:sz w:val="17"/>
                <w:lang w:eastAsia="zh-TW"/>
              </w:rPr>
              <w:t>同。</w:t>
            </w:r>
          </w:p>
        </w:tc>
      </w:tr>
      <w:tr w:rsidR="006854AC" w:rsidRPr="006854AC" w14:paraId="35314077" w14:textId="77777777" w:rsidTr="000677A4">
        <w:tc>
          <w:tcPr>
            <w:tcW w:w="2127" w:type="dxa"/>
          </w:tcPr>
          <w:p w14:paraId="6319DA94" w14:textId="77777777" w:rsidR="00DA1457" w:rsidRPr="006854AC" w:rsidRDefault="00DA1457" w:rsidP="00DA1457">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頻密程度</w:t>
            </w:r>
            <w:r w:rsidRPr="006854AC">
              <w:rPr>
                <w:rFonts w:ascii="新細明體" w:eastAsia="新細明體" w:hAnsi="新細明體" w:hint="eastAsia"/>
                <w:b/>
                <w:sz w:val="17"/>
                <w:lang w:eastAsia="zh-TW"/>
              </w:rPr>
              <w:t>：</w:t>
            </w:r>
          </w:p>
        </w:tc>
        <w:tc>
          <w:tcPr>
            <w:tcW w:w="7229" w:type="dxa"/>
          </w:tcPr>
          <w:p w14:paraId="71E339E7" w14:textId="77777777" w:rsidR="00DA1457" w:rsidRPr="006854AC" w:rsidRDefault="00DA1457" w:rsidP="00DA1457">
            <w:pPr>
              <w:spacing w:before="40" w:after="40"/>
              <w:jc w:val="both"/>
              <w:rPr>
                <w:rFonts w:eastAsia="新細明體"/>
                <w:sz w:val="17"/>
                <w:lang w:eastAsia="en-GB"/>
              </w:rPr>
            </w:pPr>
            <w:r w:rsidRPr="006854AC">
              <w:rPr>
                <w:rFonts w:eastAsia="新細明體" w:cs="Segoe UI" w:hint="eastAsia"/>
                <w:sz w:val="17"/>
                <w:lang w:eastAsia="zh-HK"/>
              </w:rPr>
              <w:t>每半年一次</w:t>
            </w:r>
            <w:r w:rsidRPr="006854AC">
              <w:rPr>
                <w:rFonts w:eastAsia="新細明體" w:cs="Segoe UI" w:hint="eastAsia"/>
                <w:sz w:val="17"/>
                <w:lang w:eastAsia="zh-TW"/>
              </w:rPr>
              <w:t>。</w:t>
            </w:r>
          </w:p>
        </w:tc>
      </w:tr>
      <w:tr w:rsidR="006854AC" w:rsidRPr="006854AC" w14:paraId="06F3E480" w14:textId="77777777" w:rsidTr="000677A4">
        <w:tc>
          <w:tcPr>
            <w:tcW w:w="2127" w:type="dxa"/>
          </w:tcPr>
          <w:p w14:paraId="3D82DE49" w14:textId="1CFFF9E8" w:rsidR="00DA1457" w:rsidRPr="006854AC" w:rsidRDefault="00DA1457" w:rsidP="00625C98">
            <w:pPr>
              <w:spacing w:before="40" w:after="40"/>
              <w:rPr>
                <w:rFonts w:ascii="新細明體" w:eastAsia="新細明體" w:hAnsi="新細明體"/>
                <w:sz w:val="17"/>
                <w:lang w:eastAsia="en-GB"/>
              </w:rPr>
            </w:pPr>
            <w:r w:rsidRPr="006854AC">
              <w:rPr>
                <w:rFonts w:ascii="新細明體" w:eastAsia="新細明體" w:hAnsi="新細明體" w:hint="eastAsia"/>
                <w:b/>
                <w:sz w:val="17"/>
                <w:lang w:eastAsia="zh-HK"/>
              </w:rPr>
              <w:t>格式</w:t>
            </w:r>
            <w:r w:rsidRPr="006854AC">
              <w:rPr>
                <w:rFonts w:ascii="新細明體" w:eastAsia="新細明體" w:hAnsi="新細明體" w:hint="eastAsia"/>
                <w:b/>
                <w:sz w:val="17"/>
                <w:lang w:eastAsia="zh-TW"/>
              </w:rPr>
              <w:t>：</w:t>
            </w:r>
          </w:p>
        </w:tc>
        <w:tc>
          <w:tcPr>
            <w:tcW w:w="7229" w:type="dxa"/>
          </w:tcPr>
          <w:p w14:paraId="6096742E" w14:textId="77777777" w:rsidR="00DA1457" w:rsidRPr="006854AC" w:rsidRDefault="00DA1457" w:rsidP="00DA1457">
            <w:pPr>
              <w:spacing w:before="40" w:after="40"/>
              <w:jc w:val="both"/>
              <w:rPr>
                <w:rFonts w:eastAsia="新細明體"/>
                <w:sz w:val="17"/>
                <w:lang w:eastAsia="en-GB"/>
              </w:rPr>
            </w:pPr>
            <w:r w:rsidRPr="006854AC">
              <w:rPr>
                <w:rFonts w:eastAsia="新細明體" w:cs="Segoe UI" w:hint="eastAsia"/>
                <w:sz w:val="17"/>
                <w:lang w:eastAsia="zh-HK"/>
              </w:rPr>
              <w:t>固定</w:t>
            </w:r>
            <w:r w:rsidRPr="006854AC">
              <w:rPr>
                <w:rFonts w:eastAsia="新細明體" w:cs="Segoe UI" w:hint="eastAsia"/>
                <w:sz w:val="17"/>
                <w:lang w:eastAsia="zh-TW"/>
              </w:rPr>
              <w:t>。</w:t>
            </w:r>
          </w:p>
        </w:tc>
      </w:tr>
      <w:tr w:rsidR="006854AC" w:rsidRPr="006854AC" w14:paraId="2DE5F5A1" w14:textId="77777777" w:rsidTr="000677A4">
        <w:tc>
          <w:tcPr>
            <w:tcW w:w="2127" w:type="dxa"/>
          </w:tcPr>
          <w:p w14:paraId="5591C988" w14:textId="77777777" w:rsidR="00DA1457" w:rsidRPr="006854AC" w:rsidRDefault="00DA1457" w:rsidP="00DA1457">
            <w:pPr>
              <w:spacing w:before="40" w:after="40"/>
              <w:rPr>
                <w:rFonts w:ascii="新細明體" w:eastAsia="新細明體" w:hAnsi="新細明體"/>
                <w:b/>
                <w:sz w:val="17"/>
                <w:lang w:eastAsia="en-GB"/>
              </w:rPr>
            </w:pPr>
            <w:r w:rsidRPr="006854AC">
              <w:rPr>
                <w:rFonts w:ascii="新細明體" w:eastAsia="新細明體" w:hAnsi="新細明體" w:hint="eastAsia"/>
                <w:b/>
                <w:sz w:val="17"/>
                <w:szCs w:val="17"/>
                <w:lang w:eastAsia="zh-HK"/>
              </w:rPr>
              <w:t>附加說明</w:t>
            </w:r>
            <w:r w:rsidRPr="006854AC">
              <w:rPr>
                <w:rFonts w:ascii="新細明體" w:eastAsia="新細明體" w:hAnsi="新細明體" w:hint="eastAsia"/>
                <w:b/>
                <w:sz w:val="17"/>
                <w:szCs w:val="17"/>
                <w:lang w:eastAsia="zh-TW"/>
              </w:rPr>
              <w:t>：</w:t>
            </w:r>
          </w:p>
        </w:tc>
        <w:tc>
          <w:tcPr>
            <w:tcW w:w="7229" w:type="dxa"/>
          </w:tcPr>
          <w:p w14:paraId="54ED47BD" w14:textId="06388F3B" w:rsidR="00DA1457" w:rsidRPr="006854AC" w:rsidRDefault="00DA1457" w:rsidP="00DA1457">
            <w:pPr>
              <w:widowControl w:val="0"/>
              <w:tabs>
                <w:tab w:val="left" w:pos="519"/>
              </w:tabs>
              <w:autoSpaceDE w:val="0"/>
              <w:autoSpaceDN w:val="0"/>
              <w:spacing w:before="40"/>
              <w:ind w:right="104"/>
              <w:jc w:val="both"/>
              <w:rPr>
                <w:rFonts w:eastAsia="Segoe UI" w:cs="Segoe UI"/>
                <w:sz w:val="17"/>
                <w:szCs w:val="22"/>
                <w:lang w:val="en-US" w:eastAsia="zh-TW" w:bidi="en-US"/>
              </w:rPr>
            </w:pPr>
            <w:r w:rsidRPr="006854AC">
              <w:rPr>
                <w:rFonts w:eastAsia="新細明體" w:cs="Segoe UI"/>
                <w:sz w:val="17"/>
                <w:szCs w:val="22"/>
                <w:lang w:eastAsia="zh-TW"/>
              </w:rPr>
              <w:t>認可機構應以敘述評</w:t>
            </w:r>
            <w:proofErr w:type="gramStart"/>
            <w:r w:rsidRPr="006854AC">
              <w:rPr>
                <w:rFonts w:eastAsia="新細明體" w:cs="Segoe UI"/>
                <w:sz w:val="17"/>
                <w:szCs w:val="22"/>
                <w:lang w:eastAsia="zh-TW"/>
              </w:rPr>
              <w:t>註</w:t>
            </w:r>
            <w:proofErr w:type="gramEnd"/>
            <w:r w:rsidR="003E6861" w:rsidRPr="006854AC">
              <w:rPr>
                <w:rFonts w:eastAsia="新細明體" w:hint="eastAsia"/>
                <w:sz w:val="17"/>
                <w:lang w:eastAsia="zh-TW"/>
              </w:rPr>
              <w:t>，</w:t>
            </w:r>
            <w:r w:rsidRPr="006854AC">
              <w:rPr>
                <w:rFonts w:eastAsia="新細明體" w:cs="Segoe UI"/>
                <w:sz w:val="17"/>
                <w:szCs w:val="22"/>
                <w:lang w:eastAsia="zh-TW"/>
              </w:rPr>
              <w:t>闡明現行報告期內任何重大</w:t>
            </w:r>
            <w:r w:rsidRPr="006854AC">
              <w:rPr>
                <w:rFonts w:eastAsia="新細明體" w:cs="Segoe UI" w:hint="eastAsia"/>
                <w:sz w:val="17"/>
                <w:szCs w:val="22"/>
                <w:lang w:eastAsia="zh-TW"/>
              </w:rPr>
              <w:t>改變</w:t>
            </w:r>
            <w:r w:rsidRPr="006854AC">
              <w:rPr>
                <w:rFonts w:eastAsia="新細明體" w:cs="Segoe UI"/>
                <w:sz w:val="17"/>
                <w:szCs w:val="22"/>
                <w:lang w:eastAsia="zh-TW"/>
              </w:rPr>
              <w:t>及引致該等</w:t>
            </w:r>
            <w:r w:rsidRPr="006854AC">
              <w:rPr>
                <w:rFonts w:eastAsia="新細明體" w:cs="Segoe UI" w:hint="eastAsia"/>
                <w:sz w:val="17"/>
                <w:szCs w:val="22"/>
                <w:lang w:eastAsia="zh-TW"/>
              </w:rPr>
              <w:t>改變</w:t>
            </w:r>
            <w:r w:rsidRPr="006854AC">
              <w:rPr>
                <w:rFonts w:eastAsia="新細明體" w:cs="Segoe UI"/>
                <w:sz w:val="17"/>
                <w:szCs w:val="22"/>
                <w:lang w:eastAsia="zh-TW"/>
              </w:rPr>
              <w:t>的主要驅動因素，以</w:t>
            </w:r>
            <w:proofErr w:type="gramStart"/>
            <w:r w:rsidRPr="006854AC">
              <w:rPr>
                <w:rFonts w:eastAsia="新細明體" w:cs="Segoe UI"/>
                <w:sz w:val="17"/>
                <w:szCs w:val="22"/>
                <w:lang w:eastAsia="zh-TW"/>
              </w:rPr>
              <w:t>補充本模版</w:t>
            </w:r>
            <w:proofErr w:type="gramEnd"/>
            <w:r w:rsidRPr="006854AC">
              <w:rPr>
                <w:rFonts w:eastAsia="新細明體" w:cs="Segoe UI" w:hint="eastAsia"/>
                <w:sz w:val="17"/>
                <w:szCs w:val="22"/>
                <w:lang w:eastAsia="zh-TW"/>
              </w:rPr>
              <w:t>。</w:t>
            </w:r>
          </w:p>
        </w:tc>
      </w:tr>
      <w:tr w:rsidR="006854AC" w:rsidRPr="006854AC" w14:paraId="11133C09" w14:textId="77777777" w:rsidTr="000677A4">
        <w:tc>
          <w:tcPr>
            <w:tcW w:w="2127" w:type="dxa"/>
          </w:tcPr>
          <w:p w14:paraId="6A0CDE67" w14:textId="77777777" w:rsidR="00DA1457" w:rsidRPr="006854AC" w:rsidRDefault="00DA1457" w:rsidP="00DA1457">
            <w:pPr>
              <w:spacing w:before="40" w:after="40"/>
              <w:rPr>
                <w:rFonts w:ascii="新細明體" w:eastAsia="新細明體" w:hAnsi="新細明體"/>
                <w:b/>
                <w:sz w:val="17"/>
                <w:szCs w:val="17"/>
                <w:lang w:eastAsia="zh-TW"/>
              </w:rPr>
            </w:pPr>
            <w:r w:rsidRPr="006854AC">
              <w:rPr>
                <w:rFonts w:ascii="新細明體" w:eastAsia="新細明體" w:hAnsi="新細明體"/>
                <w:b/>
                <w:sz w:val="17"/>
                <w:szCs w:val="17"/>
                <w:lang w:eastAsia="zh-TW"/>
              </w:rPr>
              <w:t>《披露規則》相應條文：</w:t>
            </w:r>
          </w:p>
        </w:tc>
        <w:tc>
          <w:tcPr>
            <w:tcW w:w="7229" w:type="dxa"/>
          </w:tcPr>
          <w:p w14:paraId="0ABD091C" w14:textId="77777777" w:rsidR="00DA1457" w:rsidRPr="006854AC" w:rsidRDefault="00DA1457" w:rsidP="00DA1457">
            <w:pPr>
              <w:spacing w:before="40" w:after="40"/>
              <w:jc w:val="both"/>
              <w:rPr>
                <w:rFonts w:eastAsia="新細明體"/>
                <w:sz w:val="17"/>
                <w:szCs w:val="17"/>
                <w:lang w:eastAsia="en-GB"/>
              </w:rPr>
            </w:pPr>
            <w:r w:rsidRPr="006854AC">
              <w:rPr>
                <w:rFonts w:eastAsia="新細明體"/>
                <w:sz w:val="17"/>
                <w:szCs w:val="17"/>
                <w:lang w:eastAsia="en-GB"/>
              </w:rPr>
              <w:t>16ZQK</w:t>
            </w:r>
            <w:r w:rsidRPr="006854AC">
              <w:rPr>
                <w:rFonts w:eastAsia="新細明體" w:cs="Segoe UI" w:hint="eastAsia"/>
                <w:sz w:val="17"/>
                <w:szCs w:val="17"/>
                <w:lang w:eastAsia="zh-HK"/>
              </w:rPr>
              <w:t>及</w:t>
            </w:r>
            <w:r w:rsidRPr="006854AC">
              <w:rPr>
                <w:rFonts w:eastAsia="新細明體"/>
                <w:sz w:val="17"/>
                <w:szCs w:val="17"/>
                <w:lang w:eastAsia="en-GB"/>
              </w:rPr>
              <w:t>103AC</w:t>
            </w:r>
          </w:p>
        </w:tc>
      </w:tr>
    </w:tbl>
    <w:p w14:paraId="29F2D5F9" w14:textId="77777777" w:rsidR="00DA1457" w:rsidRPr="006854AC" w:rsidRDefault="00DA1457" w:rsidP="00DA1457">
      <w:pPr>
        <w:spacing w:before="60" w:after="60"/>
      </w:pPr>
    </w:p>
    <w:tbl>
      <w:tblPr>
        <w:tblW w:w="9489"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1539"/>
        <w:gridCol w:w="742"/>
        <w:gridCol w:w="885"/>
        <w:gridCol w:w="821"/>
        <w:gridCol w:w="852"/>
        <w:gridCol w:w="852"/>
        <w:gridCol w:w="853"/>
        <w:gridCol w:w="852"/>
        <w:gridCol w:w="852"/>
        <w:gridCol w:w="855"/>
      </w:tblGrid>
      <w:tr w:rsidR="006854AC" w:rsidRPr="006854AC" w14:paraId="20D0E5B8" w14:textId="77777777" w:rsidTr="000748D0">
        <w:trPr>
          <w:trHeight w:val="292"/>
        </w:trPr>
        <w:tc>
          <w:tcPr>
            <w:tcW w:w="1925" w:type="dxa"/>
            <w:gridSpan w:val="2"/>
            <w:tcBorders>
              <w:top w:val="nil"/>
              <w:left w:val="nil"/>
              <w:bottom w:val="nil"/>
            </w:tcBorders>
            <w:shd w:val="clear" w:color="auto" w:fill="auto"/>
          </w:tcPr>
          <w:p w14:paraId="64078DD7" w14:textId="77777777" w:rsidR="00DA1457" w:rsidRPr="006854AC" w:rsidRDefault="00DA1457" w:rsidP="00DA1457">
            <w:pPr>
              <w:widowControl w:val="0"/>
              <w:autoSpaceDE w:val="0"/>
              <w:autoSpaceDN w:val="0"/>
              <w:ind w:left="-8"/>
              <w:rPr>
                <w:rFonts w:ascii="Times New Roman" w:eastAsia="Segoe UI" w:cs="Segoe UI"/>
                <w:sz w:val="17"/>
                <w:szCs w:val="17"/>
                <w:lang w:val="en-US" w:bidi="en-US"/>
              </w:rPr>
            </w:pPr>
          </w:p>
        </w:tc>
        <w:tc>
          <w:tcPr>
            <w:tcW w:w="742" w:type="dxa"/>
          </w:tcPr>
          <w:p w14:paraId="10D96FE3"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(a)</w:t>
            </w:r>
          </w:p>
        </w:tc>
        <w:tc>
          <w:tcPr>
            <w:tcW w:w="885" w:type="dxa"/>
          </w:tcPr>
          <w:p w14:paraId="00A617D5"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(b)</w:t>
            </w:r>
          </w:p>
        </w:tc>
        <w:tc>
          <w:tcPr>
            <w:tcW w:w="821" w:type="dxa"/>
          </w:tcPr>
          <w:p w14:paraId="7EECFAFA"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(c)</w:t>
            </w:r>
          </w:p>
        </w:tc>
        <w:tc>
          <w:tcPr>
            <w:tcW w:w="852" w:type="dxa"/>
          </w:tcPr>
          <w:p w14:paraId="6465364A"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(d)</w:t>
            </w:r>
          </w:p>
        </w:tc>
        <w:tc>
          <w:tcPr>
            <w:tcW w:w="852" w:type="dxa"/>
          </w:tcPr>
          <w:p w14:paraId="19E0A8CD"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(e)</w:t>
            </w:r>
          </w:p>
        </w:tc>
        <w:tc>
          <w:tcPr>
            <w:tcW w:w="853" w:type="dxa"/>
          </w:tcPr>
          <w:p w14:paraId="5AB873DF"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(f)</w:t>
            </w:r>
          </w:p>
        </w:tc>
        <w:tc>
          <w:tcPr>
            <w:tcW w:w="852" w:type="dxa"/>
          </w:tcPr>
          <w:p w14:paraId="71422313"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(g)</w:t>
            </w:r>
          </w:p>
        </w:tc>
        <w:tc>
          <w:tcPr>
            <w:tcW w:w="852" w:type="dxa"/>
          </w:tcPr>
          <w:p w14:paraId="114893C8"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(h)</w:t>
            </w:r>
          </w:p>
        </w:tc>
        <w:tc>
          <w:tcPr>
            <w:tcW w:w="855" w:type="dxa"/>
          </w:tcPr>
          <w:p w14:paraId="285A0725" w14:textId="77777777" w:rsidR="00DA1457" w:rsidRPr="006854AC" w:rsidRDefault="00DA1457" w:rsidP="00DA1457">
            <w:pPr>
              <w:keepLines/>
              <w:snapToGrid w:val="0"/>
              <w:spacing w:before="40" w:after="40"/>
              <w:jc w:val="center"/>
              <w:rPr>
                <w:rFonts w:cs="Segoe UI"/>
                <w:sz w:val="17"/>
                <w:szCs w:val="17"/>
                <w:lang w:eastAsia="en-GB"/>
              </w:rPr>
            </w:pPr>
            <w:r w:rsidRPr="006854AC">
              <w:rPr>
                <w:rFonts w:cs="Segoe UI"/>
                <w:sz w:val="17"/>
                <w:szCs w:val="17"/>
                <w:lang w:eastAsia="en-GB"/>
              </w:rPr>
              <w:t>(</w:t>
            </w:r>
            <w:proofErr w:type="spellStart"/>
            <w:r w:rsidRPr="006854AC">
              <w:rPr>
                <w:rFonts w:cs="Segoe UI"/>
                <w:sz w:val="17"/>
                <w:szCs w:val="17"/>
                <w:lang w:eastAsia="en-GB"/>
              </w:rPr>
              <w:t>i</w:t>
            </w:r>
            <w:proofErr w:type="spellEnd"/>
            <w:r w:rsidRPr="006854AC">
              <w:rPr>
                <w:rFonts w:cs="Segoe UI"/>
                <w:sz w:val="17"/>
                <w:szCs w:val="17"/>
                <w:lang w:eastAsia="en-GB"/>
              </w:rPr>
              <w:t>)</w:t>
            </w:r>
          </w:p>
        </w:tc>
      </w:tr>
      <w:tr w:rsidR="006854AC" w:rsidRPr="006854AC" w14:paraId="41FED273" w14:textId="77777777" w:rsidTr="000748D0">
        <w:trPr>
          <w:trHeight w:val="292"/>
        </w:trPr>
        <w:tc>
          <w:tcPr>
            <w:tcW w:w="1925" w:type="dxa"/>
            <w:gridSpan w:val="2"/>
            <w:tcBorders>
              <w:top w:val="nil"/>
              <w:left w:val="nil"/>
              <w:bottom w:val="nil"/>
            </w:tcBorders>
          </w:tcPr>
          <w:p w14:paraId="09097E11"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3300" w:type="dxa"/>
            <w:gridSpan w:val="4"/>
          </w:tcPr>
          <w:p w14:paraId="4C360AD2" w14:textId="77777777" w:rsidR="00DA1457" w:rsidRPr="006854AC" w:rsidRDefault="00DA1457" w:rsidP="00DA1457">
            <w:pPr>
              <w:keepLines/>
              <w:snapToGrid w:val="0"/>
              <w:spacing w:before="40" w:after="40"/>
              <w:jc w:val="center"/>
              <w:rPr>
                <w:rFonts w:eastAsia="新細明體" w:cs="Segoe UI"/>
                <w:sz w:val="17"/>
                <w:szCs w:val="17"/>
                <w:lang w:eastAsia="en-GB"/>
              </w:rPr>
            </w:pPr>
            <w:proofErr w:type="spellStart"/>
            <w:r w:rsidRPr="006854AC">
              <w:rPr>
                <w:rFonts w:eastAsia="新細明體" w:cs="Segoe UI" w:hint="eastAsia"/>
                <w:sz w:val="17"/>
                <w:szCs w:val="17"/>
                <w:lang w:eastAsia="en-GB"/>
              </w:rPr>
              <w:t>風險承擔數額</w:t>
            </w:r>
            <w:proofErr w:type="spellEnd"/>
          </w:p>
        </w:tc>
        <w:tc>
          <w:tcPr>
            <w:tcW w:w="4264" w:type="dxa"/>
            <w:gridSpan w:val="5"/>
          </w:tcPr>
          <w:p w14:paraId="504A006A" w14:textId="77777777" w:rsidR="00DA1457" w:rsidRPr="006854AC" w:rsidRDefault="00DA1457" w:rsidP="00DA1457">
            <w:pPr>
              <w:keepLines/>
              <w:snapToGrid w:val="0"/>
              <w:spacing w:before="40" w:after="40"/>
              <w:jc w:val="center"/>
              <w:rPr>
                <w:rFonts w:eastAsia="新細明體" w:cs="Segoe UI"/>
                <w:sz w:val="17"/>
                <w:szCs w:val="17"/>
                <w:lang w:eastAsia="zh-TW"/>
              </w:rPr>
            </w:pPr>
            <w:r w:rsidRPr="006854AC">
              <w:rPr>
                <w:rFonts w:eastAsia="新細明體" w:cs="Segoe UI" w:hint="eastAsia"/>
                <w:sz w:val="17"/>
                <w:szCs w:val="17"/>
                <w:lang w:eastAsia="zh-HK"/>
              </w:rPr>
              <w:t>流動性風險</w:t>
            </w:r>
          </w:p>
        </w:tc>
      </w:tr>
      <w:tr w:rsidR="006854AC" w:rsidRPr="006854AC" w14:paraId="31E22A81" w14:textId="77777777" w:rsidTr="000748D0">
        <w:trPr>
          <w:trHeight w:val="292"/>
        </w:trPr>
        <w:tc>
          <w:tcPr>
            <w:tcW w:w="1925" w:type="dxa"/>
            <w:gridSpan w:val="2"/>
            <w:tcBorders>
              <w:top w:val="nil"/>
              <w:left w:val="nil"/>
              <w:bottom w:val="nil"/>
            </w:tcBorders>
          </w:tcPr>
          <w:p w14:paraId="67DC6DDA"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1627" w:type="dxa"/>
            <w:gridSpan w:val="2"/>
          </w:tcPr>
          <w:p w14:paraId="0E6F2980" w14:textId="77777777"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新細明體" w:cs="Segoe UI" w:hint="eastAsia"/>
                <w:sz w:val="17"/>
                <w:szCs w:val="17"/>
                <w:lang w:eastAsia="zh-HK"/>
              </w:rPr>
              <w:t>加密資產</w:t>
            </w:r>
          </w:p>
        </w:tc>
        <w:tc>
          <w:tcPr>
            <w:tcW w:w="1673" w:type="dxa"/>
            <w:gridSpan w:val="2"/>
          </w:tcPr>
          <w:p w14:paraId="5997DD27" w14:textId="77777777" w:rsidR="00DA1457" w:rsidRPr="006854AC" w:rsidRDefault="00DA1457" w:rsidP="00DA1457">
            <w:pPr>
              <w:keepLines/>
              <w:snapToGrid w:val="0"/>
              <w:spacing w:before="40" w:after="40"/>
              <w:jc w:val="center"/>
              <w:rPr>
                <w:rFonts w:eastAsia="新細明體" w:cs="Segoe UI"/>
                <w:sz w:val="17"/>
                <w:szCs w:val="17"/>
                <w:lang w:eastAsia="en-GB"/>
              </w:rPr>
            </w:pPr>
            <w:proofErr w:type="spellStart"/>
            <w:r w:rsidRPr="006854AC">
              <w:rPr>
                <w:rFonts w:eastAsia="新細明體" w:cs="Segoe UI" w:hint="eastAsia"/>
                <w:sz w:val="17"/>
                <w:szCs w:val="17"/>
                <w:lang w:eastAsia="en-GB"/>
              </w:rPr>
              <w:t>加密負債</w:t>
            </w:r>
            <w:proofErr w:type="spellEnd"/>
          </w:p>
        </w:tc>
        <w:tc>
          <w:tcPr>
            <w:tcW w:w="2557" w:type="dxa"/>
            <w:gridSpan w:val="3"/>
            <w:tcBorders>
              <w:right w:val="single" w:sz="4" w:space="0" w:color="auto"/>
            </w:tcBorders>
          </w:tcPr>
          <w:p w14:paraId="320C1036" w14:textId="77777777" w:rsidR="00DA1457" w:rsidRPr="006854AC" w:rsidRDefault="00DA1457" w:rsidP="00DA1457">
            <w:pPr>
              <w:keepLines/>
              <w:snapToGrid w:val="0"/>
              <w:spacing w:before="40" w:after="40"/>
              <w:jc w:val="center"/>
              <w:rPr>
                <w:rFonts w:eastAsia="新細明體" w:cs="Segoe UI"/>
                <w:sz w:val="17"/>
                <w:szCs w:val="17"/>
                <w:lang w:eastAsia="en-GB"/>
              </w:rPr>
            </w:pPr>
            <w:proofErr w:type="spellStart"/>
            <w:r w:rsidRPr="006854AC">
              <w:rPr>
                <w:rFonts w:eastAsia="新細明體" w:cs="Segoe UI" w:hint="eastAsia"/>
                <w:sz w:val="17"/>
                <w:szCs w:val="17"/>
                <w:lang w:eastAsia="en-GB"/>
              </w:rPr>
              <w:t>加密資產</w:t>
            </w:r>
            <w:proofErr w:type="spellEnd"/>
          </w:p>
        </w:tc>
        <w:tc>
          <w:tcPr>
            <w:tcW w:w="1707" w:type="dxa"/>
            <w:gridSpan w:val="2"/>
            <w:tcBorders>
              <w:left w:val="single" w:sz="4" w:space="0" w:color="auto"/>
            </w:tcBorders>
          </w:tcPr>
          <w:p w14:paraId="13D6C8CD" w14:textId="77777777" w:rsidR="00DA1457" w:rsidRPr="006854AC" w:rsidRDefault="00DA1457" w:rsidP="00DA1457">
            <w:pPr>
              <w:keepLines/>
              <w:snapToGrid w:val="0"/>
              <w:spacing w:before="40" w:after="40"/>
              <w:jc w:val="center"/>
              <w:rPr>
                <w:rFonts w:eastAsia="新細明體" w:cs="Segoe UI"/>
                <w:sz w:val="17"/>
                <w:szCs w:val="17"/>
                <w:lang w:eastAsia="en-GB"/>
              </w:rPr>
            </w:pPr>
            <w:proofErr w:type="spellStart"/>
            <w:r w:rsidRPr="006854AC">
              <w:rPr>
                <w:rFonts w:eastAsia="新細明體" w:cs="Segoe UI" w:hint="eastAsia"/>
                <w:sz w:val="17"/>
                <w:szCs w:val="17"/>
                <w:lang w:eastAsia="en-GB"/>
              </w:rPr>
              <w:t>加密負債</w:t>
            </w:r>
            <w:proofErr w:type="spellEnd"/>
          </w:p>
        </w:tc>
      </w:tr>
      <w:tr w:rsidR="006854AC" w:rsidRPr="006854AC" w14:paraId="4D6B69E9" w14:textId="77777777" w:rsidTr="000748D0">
        <w:trPr>
          <w:trHeight w:val="292"/>
        </w:trPr>
        <w:tc>
          <w:tcPr>
            <w:tcW w:w="1925" w:type="dxa"/>
            <w:gridSpan w:val="2"/>
            <w:tcBorders>
              <w:top w:val="nil"/>
              <w:left w:val="nil"/>
            </w:tcBorders>
          </w:tcPr>
          <w:p w14:paraId="4C855C0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742" w:type="dxa"/>
          </w:tcPr>
          <w:p w14:paraId="33281EC2" w14:textId="77777777"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新細明體" w:cs="Segoe UI" w:hint="eastAsia"/>
                <w:sz w:val="17"/>
                <w:szCs w:val="17"/>
                <w:lang w:eastAsia="zh-HK"/>
              </w:rPr>
              <w:t>總計</w:t>
            </w:r>
          </w:p>
        </w:tc>
        <w:tc>
          <w:tcPr>
            <w:tcW w:w="885" w:type="dxa"/>
          </w:tcPr>
          <w:p w14:paraId="2530C462" w14:textId="77777777" w:rsidR="00DA1457" w:rsidRPr="006854AC" w:rsidRDefault="00DA1457" w:rsidP="00DA1457">
            <w:pPr>
              <w:keepLines/>
              <w:snapToGrid w:val="0"/>
              <w:spacing w:before="40" w:after="40"/>
              <w:jc w:val="center"/>
              <w:rPr>
                <w:rFonts w:eastAsia="新細明體" w:cs="Segoe UI"/>
                <w:sz w:val="17"/>
                <w:szCs w:val="17"/>
                <w:lang w:eastAsia="zh-TW"/>
              </w:rPr>
            </w:pPr>
            <w:r w:rsidRPr="006854AC">
              <w:rPr>
                <w:rFonts w:eastAsia="新細明體" w:cs="Segoe UI" w:hint="eastAsia"/>
                <w:sz w:val="17"/>
                <w:szCs w:val="17"/>
                <w:lang w:eastAsia="zh-TW"/>
              </w:rPr>
              <w:t>其中：衍生工具風險承擔</w:t>
            </w:r>
          </w:p>
        </w:tc>
        <w:tc>
          <w:tcPr>
            <w:tcW w:w="821" w:type="dxa"/>
          </w:tcPr>
          <w:p w14:paraId="5AEA9727" w14:textId="77777777"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新細明體" w:cs="Segoe UI" w:hint="eastAsia"/>
                <w:sz w:val="17"/>
                <w:szCs w:val="17"/>
                <w:lang w:eastAsia="zh-HK"/>
              </w:rPr>
              <w:t>總計</w:t>
            </w:r>
          </w:p>
        </w:tc>
        <w:tc>
          <w:tcPr>
            <w:tcW w:w="852" w:type="dxa"/>
          </w:tcPr>
          <w:p w14:paraId="74B58BCE" w14:textId="77777777" w:rsidR="00DA1457" w:rsidRPr="006854AC" w:rsidRDefault="00DA1457" w:rsidP="00DA1457">
            <w:pPr>
              <w:keepLines/>
              <w:snapToGrid w:val="0"/>
              <w:spacing w:before="40" w:after="40"/>
              <w:jc w:val="center"/>
              <w:rPr>
                <w:rFonts w:eastAsia="新細明體" w:cs="Segoe UI"/>
                <w:sz w:val="17"/>
                <w:szCs w:val="17"/>
                <w:lang w:eastAsia="zh-TW"/>
              </w:rPr>
            </w:pPr>
            <w:r w:rsidRPr="006854AC">
              <w:rPr>
                <w:rFonts w:eastAsia="新細明體" w:cs="Segoe UI" w:hint="eastAsia"/>
                <w:sz w:val="17"/>
                <w:szCs w:val="17"/>
                <w:lang w:eastAsia="zh-TW"/>
              </w:rPr>
              <w:t>其中：衍生工具風險承擔</w:t>
            </w:r>
          </w:p>
        </w:tc>
        <w:tc>
          <w:tcPr>
            <w:tcW w:w="852" w:type="dxa"/>
          </w:tcPr>
          <w:p w14:paraId="73C15977" w14:textId="1E98D006" w:rsidR="00DA1457" w:rsidRPr="006854AC" w:rsidRDefault="00DA1457" w:rsidP="00831D3B">
            <w:pPr>
              <w:keepLines/>
              <w:snapToGrid w:val="0"/>
              <w:spacing w:before="40" w:after="40"/>
              <w:jc w:val="center"/>
              <w:rPr>
                <w:rFonts w:eastAsia="新細明體" w:cs="Segoe UI"/>
                <w:sz w:val="17"/>
                <w:szCs w:val="17"/>
                <w:lang w:val="en-US" w:eastAsia="zh-TW"/>
              </w:rPr>
            </w:pPr>
            <w:r w:rsidRPr="006854AC">
              <w:rPr>
                <w:rFonts w:eastAsiaTheme="minorEastAsia" w:cs="Segoe UI"/>
                <w:sz w:val="17"/>
                <w:szCs w:val="17"/>
                <w:lang w:eastAsia="zh-HK"/>
              </w:rPr>
              <w:t>LCR</w:t>
            </w:r>
            <w:r w:rsidR="00792E0F" w:rsidRPr="006854AC">
              <w:rPr>
                <w:rFonts w:eastAsia="新細明體" w:cs="Segoe UI" w:hint="eastAsia"/>
                <w:sz w:val="17"/>
                <w:szCs w:val="17"/>
                <w:lang w:eastAsia="zh-TW"/>
              </w:rPr>
              <w:t>適用</w:t>
            </w:r>
            <w:r w:rsidR="00792E0F" w:rsidRPr="006854AC">
              <w:rPr>
                <w:rFonts w:eastAsia="新細明體" w:cs="Segoe UI" w:hint="eastAsia"/>
                <w:sz w:val="17"/>
                <w:szCs w:val="17"/>
                <w:lang w:eastAsia="zh-HK"/>
              </w:rPr>
              <w:t>的</w:t>
            </w:r>
            <w:r w:rsidR="00792E0F" w:rsidRPr="006854AC">
              <w:rPr>
                <w:rFonts w:eastAsiaTheme="minorEastAsia" w:cs="Segoe UI"/>
                <w:sz w:val="17"/>
                <w:szCs w:val="17"/>
                <w:lang w:eastAsia="zh-TW"/>
              </w:rPr>
              <w:br/>
            </w:r>
            <w:r w:rsidR="00831D3B" w:rsidRPr="006854AC">
              <w:rPr>
                <w:rFonts w:eastAsiaTheme="minorEastAsia" w:cs="Segoe UI"/>
                <w:sz w:val="17"/>
                <w:szCs w:val="17"/>
                <w:lang w:eastAsia="zh-TW"/>
              </w:rPr>
              <w:t>HQLA</w:t>
            </w:r>
            <w:r w:rsidRPr="006854AC">
              <w:rPr>
                <w:rFonts w:eastAsia="新細明體" w:cs="Segoe UI" w:hint="eastAsia"/>
                <w:sz w:val="17"/>
                <w:szCs w:val="17"/>
                <w:lang w:eastAsia="zh-HK"/>
              </w:rPr>
              <w:t>扣減</w:t>
            </w:r>
          </w:p>
        </w:tc>
        <w:tc>
          <w:tcPr>
            <w:tcW w:w="853" w:type="dxa"/>
          </w:tcPr>
          <w:p w14:paraId="5B921F58" w14:textId="5F5E9572" w:rsidR="00DA1457" w:rsidRPr="006854AC" w:rsidRDefault="00DA1457" w:rsidP="00DA1457">
            <w:pPr>
              <w:keepLines/>
              <w:snapToGrid w:val="0"/>
              <w:spacing w:before="40" w:after="40"/>
              <w:jc w:val="center"/>
              <w:rPr>
                <w:rFonts w:eastAsia="新細明體" w:cs="Segoe UI"/>
                <w:sz w:val="17"/>
                <w:szCs w:val="17"/>
                <w:lang w:eastAsia="zh-HK"/>
              </w:rPr>
            </w:pPr>
            <w:r w:rsidRPr="006854AC">
              <w:rPr>
                <w:rFonts w:eastAsia="新細明體" w:cs="Segoe UI"/>
                <w:sz w:val="17"/>
                <w:szCs w:val="17"/>
                <w:lang w:eastAsia="zh-TW"/>
              </w:rPr>
              <w:t>LCR</w:t>
            </w:r>
            <w:r w:rsidR="00792E0F" w:rsidRPr="006854AC">
              <w:rPr>
                <w:rFonts w:eastAsia="新細明體" w:cs="Segoe UI" w:hint="eastAsia"/>
                <w:sz w:val="17"/>
                <w:szCs w:val="17"/>
                <w:lang w:eastAsia="zh-TW"/>
              </w:rPr>
              <w:t>適用的</w:t>
            </w:r>
            <w:r w:rsidRPr="006854AC">
              <w:rPr>
                <w:rFonts w:eastAsia="新細明體" w:cs="Segoe UI" w:hint="eastAsia"/>
                <w:sz w:val="17"/>
                <w:szCs w:val="17"/>
                <w:lang w:eastAsia="zh-HK"/>
              </w:rPr>
              <w:t>現金流入率</w:t>
            </w:r>
          </w:p>
        </w:tc>
        <w:tc>
          <w:tcPr>
            <w:tcW w:w="852" w:type="dxa"/>
            <w:tcBorders>
              <w:right w:val="single" w:sz="4" w:space="0" w:color="auto"/>
            </w:tcBorders>
          </w:tcPr>
          <w:p w14:paraId="0FC94937" w14:textId="4B17F1BE"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Theme="minorEastAsia" w:cs="Segoe UI"/>
                <w:sz w:val="17"/>
                <w:szCs w:val="17"/>
                <w:lang w:eastAsia="en-GB"/>
              </w:rPr>
              <w:t>NSFR</w:t>
            </w:r>
            <w:r w:rsidR="00792E0F" w:rsidRPr="006854AC">
              <w:rPr>
                <w:rFonts w:eastAsia="新細明體" w:cs="Segoe UI" w:hint="eastAsia"/>
                <w:sz w:val="17"/>
                <w:szCs w:val="17"/>
                <w:lang w:eastAsia="zh-TW"/>
              </w:rPr>
              <w:t>適用</w:t>
            </w:r>
            <w:r w:rsidR="00792E0F" w:rsidRPr="006854AC">
              <w:rPr>
                <w:rFonts w:eastAsia="新細明體" w:cs="Segoe UI" w:hint="eastAsia"/>
                <w:sz w:val="17"/>
                <w:szCs w:val="17"/>
                <w:lang w:eastAsia="zh-HK"/>
              </w:rPr>
              <w:t>的</w:t>
            </w:r>
            <w:r w:rsidRPr="006854AC">
              <w:rPr>
                <w:rFonts w:eastAsiaTheme="minorEastAsia" w:cs="Segoe UI"/>
                <w:sz w:val="17"/>
                <w:szCs w:val="17"/>
                <w:lang w:eastAsia="en-GB"/>
              </w:rPr>
              <w:br/>
              <w:t>RSF</w:t>
            </w:r>
            <w:r w:rsidRPr="006854AC">
              <w:rPr>
                <w:rFonts w:eastAsia="新細明體" w:cs="Segoe UI" w:hint="eastAsia"/>
                <w:sz w:val="17"/>
                <w:szCs w:val="17"/>
                <w:lang w:eastAsia="zh-HK"/>
              </w:rPr>
              <w:t>因數</w:t>
            </w:r>
          </w:p>
        </w:tc>
        <w:tc>
          <w:tcPr>
            <w:tcW w:w="852" w:type="dxa"/>
            <w:tcBorders>
              <w:left w:val="single" w:sz="4" w:space="0" w:color="auto"/>
            </w:tcBorders>
          </w:tcPr>
          <w:p w14:paraId="380A7914" w14:textId="67586DE4" w:rsidR="00DA1457" w:rsidRPr="006854AC" w:rsidRDefault="00DA1457" w:rsidP="00DA1457">
            <w:pPr>
              <w:keepLines/>
              <w:snapToGrid w:val="0"/>
              <w:spacing w:before="40" w:after="40"/>
              <w:jc w:val="center"/>
              <w:rPr>
                <w:rFonts w:eastAsia="新細明體" w:cs="Segoe UI"/>
                <w:sz w:val="17"/>
                <w:szCs w:val="17"/>
                <w:lang w:eastAsia="zh-TW"/>
              </w:rPr>
            </w:pPr>
            <w:r w:rsidRPr="006854AC">
              <w:rPr>
                <w:rFonts w:eastAsiaTheme="minorEastAsia" w:cs="Segoe UI"/>
                <w:sz w:val="17"/>
                <w:szCs w:val="17"/>
                <w:lang w:eastAsia="zh-TW"/>
              </w:rPr>
              <w:t>LCR</w:t>
            </w:r>
            <w:r w:rsidR="00792E0F" w:rsidRPr="006854AC">
              <w:rPr>
                <w:rFonts w:eastAsia="新細明體" w:cs="Segoe UI" w:hint="eastAsia"/>
                <w:sz w:val="17"/>
                <w:szCs w:val="17"/>
                <w:lang w:eastAsia="zh-TW"/>
              </w:rPr>
              <w:t>適用的</w:t>
            </w:r>
            <w:r w:rsidRPr="006854AC">
              <w:rPr>
                <w:rFonts w:eastAsia="新細明體" w:cs="Segoe UI" w:hint="eastAsia"/>
                <w:sz w:val="17"/>
                <w:szCs w:val="17"/>
                <w:lang w:eastAsia="zh-HK"/>
              </w:rPr>
              <w:t>現金流出率</w:t>
            </w:r>
            <w:r w:rsidRPr="006854AC">
              <w:rPr>
                <w:rFonts w:eastAsia="新細明體" w:cs="Segoe UI"/>
                <w:sz w:val="17"/>
                <w:szCs w:val="17"/>
                <w:lang w:eastAsia="zh-TW"/>
              </w:rPr>
              <w:t xml:space="preserve"> </w:t>
            </w:r>
          </w:p>
        </w:tc>
        <w:tc>
          <w:tcPr>
            <w:tcW w:w="855" w:type="dxa"/>
          </w:tcPr>
          <w:p w14:paraId="04D3D3A7" w14:textId="60D7B9C9" w:rsidR="00DA1457" w:rsidRPr="006854AC" w:rsidRDefault="00DA1457" w:rsidP="00DA1457">
            <w:pPr>
              <w:keepLines/>
              <w:snapToGrid w:val="0"/>
              <w:spacing w:before="40" w:after="40"/>
              <w:jc w:val="center"/>
              <w:rPr>
                <w:rFonts w:eastAsia="新細明體" w:cs="Segoe UI"/>
                <w:sz w:val="17"/>
                <w:szCs w:val="17"/>
                <w:lang w:eastAsia="en-GB"/>
              </w:rPr>
            </w:pPr>
            <w:r w:rsidRPr="006854AC">
              <w:rPr>
                <w:rFonts w:eastAsiaTheme="minorEastAsia" w:cs="Segoe UI"/>
                <w:sz w:val="17"/>
                <w:szCs w:val="17"/>
                <w:lang w:eastAsia="en-GB"/>
              </w:rPr>
              <w:t>NSFR</w:t>
            </w:r>
            <w:r w:rsidR="00792E0F" w:rsidRPr="006854AC">
              <w:rPr>
                <w:rFonts w:eastAsia="新細明體" w:cs="Segoe UI" w:hint="eastAsia"/>
                <w:sz w:val="17"/>
                <w:szCs w:val="17"/>
                <w:lang w:eastAsia="zh-TW"/>
              </w:rPr>
              <w:t>適用的</w:t>
            </w:r>
            <w:r w:rsidRPr="006854AC">
              <w:rPr>
                <w:rFonts w:eastAsiaTheme="minorEastAsia" w:cs="Segoe UI"/>
                <w:sz w:val="17"/>
                <w:szCs w:val="17"/>
                <w:lang w:eastAsia="en-GB"/>
              </w:rPr>
              <w:br/>
              <w:t>ASF</w:t>
            </w:r>
            <w:r w:rsidRPr="006854AC">
              <w:rPr>
                <w:rFonts w:eastAsia="新細明體" w:cs="Segoe UI" w:hint="eastAsia"/>
                <w:sz w:val="17"/>
                <w:szCs w:val="17"/>
                <w:lang w:eastAsia="zh-HK"/>
              </w:rPr>
              <w:t>因數</w:t>
            </w:r>
          </w:p>
        </w:tc>
      </w:tr>
      <w:tr w:rsidR="006854AC" w:rsidRPr="006854AC" w14:paraId="736F466A" w14:textId="77777777" w:rsidTr="000748D0">
        <w:trPr>
          <w:trHeight w:val="113"/>
        </w:trPr>
        <w:tc>
          <w:tcPr>
            <w:tcW w:w="386" w:type="dxa"/>
            <w:tcBorders>
              <w:left w:val="nil"/>
            </w:tcBorders>
          </w:tcPr>
          <w:p w14:paraId="2CCAEAFC" w14:textId="77777777" w:rsidR="00DA1457" w:rsidRPr="006854AC" w:rsidRDefault="00DA1457" w:rsidP="00DA1457">
            <w:pPr>
              <w:widowControl w:val="0"/>
              <w:autoSpaceDE w:val="0"/>
              <w:autoSpaceDN w:val="0"/>
              <w:spacing w:before="43"/>
              <w:ind w:left="-279" w:firstLine="307"/>
              <w:rPr>
                <w:rFonts w:eastAsiaTheme="minorEastAsia" w:cs="Segoe UI"/>
                <w:sz w:val="17"/>
                <w:szCs w:val="17"/>
                <w:lang w:val="en-US" w:bidi="en-US"/>
              </w:rPr>
            </w:pPr>
            <w:r w:rsidRPr="006854AC">
              <w:rPr>
                <w:rFonts w:eastAsiaTheme="minorEastAsia" w:cs="Segoe UI"/>
                <w:sz w:val="17"/>
                <w:szCs w:val="17"/>
                <w:lang w:val="en-US" w:bidi="en-US"/>
              </w:rPr>
              <w:t>1</w:t>
            </w:r>
          </w:p>
        </w:tc>
        <w:tc>
          <w:tcPr>
            <w:tcW w:w="1539" w:type="dxa"/>
          </w:tcPr>
          <w:p w14:paraId="7FA58921" w14:textId="77777777" w:rsidR="00DA1457" w:rsidRPr="006854AC" w:rsidRDefault="00DA1457" w:rsidP="00DA1457">
            <w:pPr>
              <w:widowControl w:val="0"/>
              <w:autoSpaceDE w:val="0"/>
              <w:autoSpaceDN w:val="0"/>
              <w:spacing w:before="43"/>
              <w:ind w:left="105"/>
              <w:rPr>
                <w:rFonts w:eastAsia="新細明體" w:cs="Segoe UI"/>
                <w:sz w:val="17"/>
                <w:szCs w:val="17"/>
                <w:lang w:val="en-US" w:bidi="en-US"/>
              </w:rPr>
            </w:pPr>
            <w:r w:rsidRPr="006854AC">
              <w:rPr>
                <w:rFonts w:eastAsia="新細明體" w:cs="Segoe UI" w:hint="eastAsia"/>
                <w:sz w:val="17"/>
                <w:szCs w:val="17"/>
                <w:lang w:val="en-US" w:bidi="en-US"/>
              </w:rPr>
              <w:t>第</w:t>
            </w:r>
            <w:r w:rsidRPr="006854AC">
              <w:rPr>
                <w:rFonts w:eastAsiaTheme="minorEastAsia" w:cs="Segoe UI"/>
                <w:sz w:val="17"/>
                <w:szCs w:val="17"/>
                <w:lang w:val="en-US" w:bidi="en-US"/>
              </w:rPr>
              <w:t>1a</w:t>
            </w:r>
            <w:r w:rsidRPr="006854AC">
              <w:rPr>
                <w:rFonts w:eastAsia="新細明體" w:cs="Segoe UI" w:hint="eastAsia"/>
                <w:sz w:val="17"/>
                <w:szCs w:val="17"/>
                <w:lang w:val="en-US" w:bidi="en-US"/>
              </w:rPr>
              <w:t>組</w:t>
            </w:r>
          </w:p>
        </w:tc>
        <w:tc>
          <w:tcPr>
            <w:tcW w:w="742" w:type="dxa"/>
          </w:tcPr>
          <w:p w14:paraId="0C8AB10D"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85" w:type="dxa"/>
          </w:tcPr>
          <w:p w14:paraId="3FB6EF27"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21" w:type="dxa"/>
          </w:tcPr>
          <w:p w14:paraId="6801842E"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1D38D0D3"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CECECE"/>
          </w:tcPr>
          <w:p w14:paraId="27AFE8A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3" w:type="dxa"/>
            <w:shd w:val="clear" w:color="auto" w:fill="auto"/>
          </w:tcPr>
          <w:p w14:paraId="227CF269"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auto"/>
          </w:tcPr>
          <w:p w14:paraId="2E6C724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auto"/>
          </w:tcPr>
          <w:p w14:paraId="1168AFE3"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5" w:type="dxa"/>
            <w:shd w:val="clear" w:color="auto" w:fill="auto"/>
          </w:tcPr>
          <w:p w14:paraId="783063BD"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r>
      <w:tr w:rsidR="006854AC" w:rsidRPr="006854AC" w14:paraId="067A5AA8" w14:textId="77777777" w:rsidTr="000748D0">
        <w:trPr>
          <w:trHeight w:val="283"/>
        </w:trPr>
        <w:tc>
          <w:tcPr>
            <w:tcW w:w="386" w:type="dxa"/>
            <w:tcBorders>
              <w:left w:val="nil"/>
            </w:tcBorders>
          </w:tcPr>
          <w:p w14:paraId="0EED3AFC" w14:textId="77777777" w:rsidR="00DA1457" w:rsidRPr="006854AC" w:rsidRDefault="00DA1457" w:rsidP="005258CF">
            <w:pPr>
              <w:widowControl w:val="0"/>
              <w:autoSpaceDE w:val="0"/>
              <w:autoSpaceDN w:val="0"/>
              <w:ind w:left="28"/>
              <w:rPr>
                <w:rFonts w:eastAsiaTheme="minorEastAsia" w:cs="Segoe UI"/>
                <w:sz w:val="17"/>
                <w:szCs w:val="17"/>
                <w:lang w:val="en-US" w:bidi="en-US"/>
              </w:rPr>
            </w:pPr>
            <w:r w:rsidRPr="006854AC">
              <w:rPr>
                <w:rFonts w:eastAsiaTheme="minorEastAsia" w:cs="Segoe UI"/>
                <w:sz w:val="17"/>
                <w:szCs w:val="17"/>
                <w:lang w:val="en-US" w:bidi="en-US"/>
              </w:rPr>
              <w:t>1.i</w:t>
            </w:r>
          </w:p>
        </w:tc>
        <w:tc>
          <w:tcPr>
            <w:tcW w:w="1539" w:type="dxa"/>
          </w:tcPr>
          <w:p w14:paraId="3DFC8D5E" w14:textId="77777777" w:rsidR="00DA1457" w:rsidRPr="006854AC" w:rsidRDefault="00DA1457" w:rsidP="005258CF">
            <w:pPr>
              <w:widowControl w:val="0"/>
              <w:autoSpaceDE w:val="0"/>
              <w:autoSpaceDN w:val="0"/>
              <w:ind w:left="334" w:hanging="7"/>
              <w:rPr>
                <w:rFonts w:eastAsia="新細明體" w:cs="Segoe UI"/>
                <w:sz w:val="17"/>
                <w:szCs w:val="17"/>
                <w:lang w:val="en-US" w:eastAsia="zh-TW" w:bidi="en-US"/>
              </w:rPr>
            </w:pPr>
            <w:proofErr w:type="spellStart"/>
            <w:r w:rsidRPr="006854AC">
              <w:rPr>
                <w:rFonts w:eastAsia="新細明體" w:cs="Segoe UI" w:hint="eastAsia"/>
                <w:sz w:val="17"/>
                <w:szCs w:val="17"/>
                <w:lang w:val="en-US" w:bidi="en-US"/>
              </w:rPr>
              <w:t>其中：</w:t>
            </w:r>
            <w:r w:rsidRPr="006854AC">
              <w:rPr>
                <w:rFonts w:eastAsiaTheme="minorEastAsia" w:cs="Segoe UI"/>
                <w:sz w:val="17"/>
                <w:szCs w:val="17"/>
                <w:lang w:val="en-US" w:bidi="en-US"/>
              </w:rPr>
              <w:t>HQLA</w:t>
            </w:r>
            <w:proofErr w:type="spellEnd"/>
            <w:r w:rsidRPr="006854AC">
              <w:rPr>
                <w:rFonts w:eastAsia="新細明體" w:cs="Segoe UI" w:hint="eastAsia"/>
                <w:sz w:val="17"/>
                <w:szCs w:val="17"/>
                <w:lang w:val="en-US" w:eastAsia="zh-HK" w:bidi="en-US"/>
              </w:rPr>
              <w:t>工具</w:t>
            </w:r>
          </w:p>
        </w:tc>
        <w:tc>
          <w:tcPr>
            <w:tcW w:w="742" w:type="dxa"/>
          </w:tcPr>
          <w:p w14:paraId="1CC8355A"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85" w:type="dxa"/>
            <w:shd w:val="clear" w:color="auto" w:fill="BFBFBF" w:themeFill="background1" w:themeFillShade="BF"/>
          </w:tcPr>
          <w:p w14:paraId="47B38E3E"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21" w:type="dxa"/>
            <w:shd w:val="clear" w:color="auto" w:fill="BFBFBF" w:themeFill="background1" w:themeFillShade="BF"/>
          </w:tcPr>
          <w:p w14:paraId="4E64C47A"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BFBFBF" w:themeFill="background1" w:themeFillShade="BF"/>
          </w:tcPr>
          <w:p w14:paraId="0AD26200"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44066022"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3" w:type="dxa"/>
            <w:shd w:val="clear" w:color="auto" w:fill="auto"/>
          </w:tcPr>
          <w:p w14:paraId="43A2D2CA"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auto"/>
          </w:tcPr>
          <w:p w14:paraId="587D7270"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BFBFBF" w:themeFill="background1" w:themeFillShade="BF"/>
          </w:tcPr>
          <w:p w14:paraId="5F9C1178"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bidi="en-US"/>
              </w:rPr>
            </w:pPr>
          </w:p>
        </w:tc>
        <w:tc>
          <w:tcPr>
            <w:tcW w:w="855" w:type="dxa"/>
            <w:shd w:val="clear" w:color="auto" w:fill="BFBFBF" w:themeFill="background1" w:themeFillShade="BF"/>
          </w:tcPr>
          <w:p w14:paraId="0157202F"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r>
      <w:tr w:rsidR="006854AC" w:rsidRPr="006854AC" w14:paraId="2D1AD297" w14:textId="77777777" w:rsidTr="000748D0">
        <w:trPr>
          <w:trHeight w:val="227"/>
        </w:trPr>
        <w:tc>
          <w:tcPr>
            <w:tcW w:w="386" w:type="dxa"/>
            <w:tcBorders>
              <w:left w:val="nil"/>
            </w:tcBorders>
          </w:tcPr>
          <w:p w14:paraId="1EF49F9F" w14:textId="77777777" w:rsidR="00DA1457" w:rsidRPr="006854AC" w:rsidRDefault="00DA1457" w:rsidP="005258CF">
            <w:pPr>
              <w:widowControl w:val="0"/>
              <w:autoSpaceDE w:val="0"/>
              <w:autoSpaceDN w:val="0"/>
              <w:ind w:left="28"/>
              <w:rPr>
                <w:rFonts w:eastAsiaTheme="minorEastAsia" w:cs="Segoe UI"/>
                <w:sz w:val="17"/>
                <w:szCs w:val="17"/>
                <w:lang w:val="en-US" w:bidi="en-US"/>
              </w:rPr>
            </w:pPr>
            <w:r w:rsidRPr="006854AC">
              <w:rPr>
                <w:rFonts w:eastAsiaTheme="minorEastAsia" w:cs="Segoe UI"/>
                <w:sz w:val="17"/>
                <w:szCs w:val="17"/>
                <w:lang w:val="en-US" w:bidi="en-US"/>
              </w:rPr>
              <w:t>1.ii</w:t>
            </w:r>
          </w:p>
        </w:tc>
        <w:tc>
          <w:tcPr>
            <w:tcW w:w="1539" w:type="dxa"/>
          </w:tcPr>
          <w:p w14:paraId="299C6BC4" w14:textId="2BFDE1B7" w:rsidR="00DA1457" w:rsidRPr="006854AC" w:rsidRDefault="00DA1457" w:rsidP="005258CF">
            <w:pPr>
              <w:widowControl w:val="0"/>
              <w:autoSpaceDE w:val="0"/>
              <w:autoSpaceDN w:val="0"/>
              <w:ind w:left="334" w:right="93"/>
              <w:rPr>
                <w:rFonts w:eastAsia="新細明體" w:cs="Segoe UI"/>
                <w:sz w:val="17"/>
                <w:szCs w:val="17"/>
                <w:lang w:val="en-US" w:eastAsia="zh-TW" w:bidi="en-US"/>
              </w:rPr>
            </w:pPr>
            <w:r w:rsidRPr="006854AC">
              <w:rPr>
                <w:rFonts w:eastAsia="新細明體" w:cs="Segoe UI" w:hint="eastAsia"/>
                <w:sz w:val="17"/>
                <w:szCs w:val="17"/>
                <w:lang w:val="en-US" w:eastAsia="zh-TW" w:bidi="en-US"/>
              </w:rPr>
              <w:t>其中：</w:t>
            </w:r>
            <w:r w:rsidRPr="006854AC">
              <w:rPr>
                <w:rFonts w:eastAsia="新細明體" w:cs="Segoe UI" w:hint="eastAsia"/>
                <w:sz w:val="17"/>
                <w:szCs w:val="17"/>
                <w:lang w:val="en-US" w:eastAsia="zh-HK" w:bidi="en-US"/>
              </w:rPr>
              <w:t>對銀行的代幣化</w:t>
            </w:r>
            <w:r w:rsidR="00B745E0" w:rsidRPr="006854AC">
              <w:rPr>
                <w:rFonts w:eastAsia="新細明體" w:cs="Segoe UI" w:hint="eastAsia"/>
                <w:sz w:val="17"/>
                <w:szCs w:val="17"/>
                <w:lang w:val="en-US" w:eastAsia="zh-HK" w:bidi="en-US"/>
              </w:rPr>
              <w:t>申索</w:t>
            </w:r>
          </w:p>
        </w:tc>
        <w:tc>
          <w:tcPr>
            <w:tcW w:w="742" w:type="dxa"/>
          </w:tcPr>
          <w:p w14:paraId="70DEFFF3"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85" w:type="dxa"/>
          </w:tcPr>
          <w:p w14:paraId="360E093F"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21" w:type="dxa"/>
          </w:tcPr>
          <w:p w14:paraId="538590C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tcPr>
          <w:p w14:paraId="460FE26E"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shd w:val="clear" w:color="auto" w:fill="CECECE"/>
          </w:tcPr>
          <w:p w14:paraId="6A6E8261"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3" w:type="dxa"/>
            <w:shd w:val="clear" w:color="auto" w:fill="auto"/>
          </w:tcPr>
          <w:p w14:paraId="2C8CBD13"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shd w:val="clear" w:color="auto" w:fill="auto"/>
          </w:tcPr>
          <w:p w14:paraId="2E3E42B7"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shd w:val="clear" w:color="auto" w:fill="auto"/>
          </w:tcPr>
          <w:p w14:paraId="259244E4"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5" w:type="dxa"/>
            <w:shd w:val="clear" w:color="auto" w:fill="auto"/>
          </w:tcPr>
          <w:p w14:paraId="7769B392"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r>
      <w:tr w:rsidR="006854AC" w:rsidRPr="006854AC" w14:paraId="07AD95D1" w14:textId="77777777" w:rsidTr="000748D0">
        <w:trPr>
          <w:trHeight w:val="227"/>
        </w:trPr>
        <w:tc>
          <w:tcPr>
            <w:tcW w:w="386" w:type="dxa"/>
            <w:tcBorders>
              <w:left w:val="nil"/>
            </w:tcBorders>
          </w:tcPr>
          <w:p w14:paraId="790DA9B8" w14:textId="77777777" w:rsidR="00DA1457" w:rsidRPr="006854AC" w:rsidRDefault="00DA1457" w:rsidP="005258CF">
            <w:pPr>
              <w:widowControl w:val="0"/>
              <w:autoSpaceDE w:val="0"/>
              <w:autoSpaceDN w:val="0"/>
              <w:ind w:left="28"/>
              <w:rPr>
                <w:rFonts w:eastAsiaTheme="minorEastAsia" w:cs="Segoe UI"/>
                <w:sz w:val="17"/>
                <w:szCs w:val="17"/>
                <w:lang w:val="en-US" w:bidi="en-US"/>
              </w:rPr>
            </w:pPr>
            <w:r w:rsidRPr="006854AC">
              <w:rPr>
                <w:rFonts w:eastAsiaTheme="minorEastAsia" w:cs="Segoe UI"/>
                <w:sz w:val="17"/>
                <w:szCs w:val="17"/>
                <w:lang w:val="en-US" w:bidi="en-US"/>
              </w:rPr>
              <w:t>1.iii</w:t>
            </w:r>
          </w:p>
        </w:tc>
        <w:tc>
          <w:tcPr>
            <w:tcW w:w="1539" w:type="dxa"/>
          </w:tcPr>
          <w:p w14:paraId="1C34E0E5" w14:textId="77777777" w:rsidR="00DA1457" w:rsidRPr="006854AC" w:rsidRDefault="00DA1457" w:rsidP="005258CF">
            <w:pPr>
              <w:widowControl w:val="0"/>
              <w:autoSpaceDE w:val="0"/>
              <w:autoSpaceDN w:val="0"/>
              <w:spacing w:line="250" w:lineRule="atLeast"/>
              <w:ind w:left="334" w:right="111"/>
              <w:rPr>
                <w:rFonts w:eastAsia="新細明體" w:cs="Segoe UI"/>
                <w:sz w:val="17"/>
                <w:szCs w:val="17"/>
                <w:lang w:val="en-US" w:eastAsia="zh-TW" w:bidi="en-US"/>
              </w:rPr>
            </w:pPr>
            <w:r w:rsidRPr="006854AC">
              <w:rPr>
                <w:rFonts w:eastAsia="新細明體" w:cs="Segoe UI" w:hint="eastAsia"/>
                <w:sz w:val="17"/>
                <w:szCs w:val="17"/>
                <w:lang w:val="en-US" w:eastAsia="zh-TW" w:bidi="en-US"/>
              </w:rPr>
              <w:t>其中：</w:t>
            </w:r>
            <w:r w:rsidRPr="006854AC">
              <w:rPr>
                <w:rFonts w:eastAsia="新細明體" w:cs="Segoe UI" w:hint="eastAsia"/>
                <w:sz w:val="17"/>
                <w:szCs w:val="17"/>
                <w:lang w:val="en-US" w:eastAsia="zh-HK" w:bidi="en-US"/>
              </w:rPr>
              <w:t>其他代幣化資產</w:t>
            </w:r>
          </w:p>
        </w:tc>
        <w:tc>
          <w:tcPr>
            <w:tcW w:w="742" w:type="dxa"/>
          </w:tcPr>
          <w:p w14:paraId="33A47E25"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85" w:type="dxa"/>
          </w:tcPr>
          <w:p w14:paraId="488819D2"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21" w:type="dxa"/>
          </w:tcPr>
          <w:p w14:paraId="285378F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tcPr>
          <w:p w14:paraId="25544FE2"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shd w:val="clear" w:color="auto" w:fill="CECECE"/>
          </w:tcPr>
          <w:p w14:paraId="2E8954C3"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3" w:type="dxa"/>
            <w:shd w:val="clear" w:color="auto" w:fill="auto"/>
          </w:tcPr>
          <w:p w14:paraId="65859780"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shd w:val="clear" w:color="auto" w:fill="auto"/>
          </w:tcPr>
          <w:p w14:paraId="5112017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2" w:type="dxa"/>
            <w:shd w:val="clear" w:color="auto" w:fill="auto"/>
          </w:tcPr>
          <w:p w14:paraId="3ACEDE4A"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c>
          <w:tcPr>
            <w:tcW w:w="855" w:type="dxa"/>
            <w:shd w:val="clear" w:color="auto" w:fill="auto"/>
          </w:tcPr>
          <w:p w14:paraId="2D328F3B"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eastAsia="zh-TW" w:bidi="en-US"/>
              </w:rPr>
            </w:pPr>
          </w:p>
        </w:tc>
      </w:tr>
      <w:tr w:rsidR="006854AC" w:rsidRPr="006854AC" w14:paraId="0A9FD365" w14:textId="77777777" w:rsidTr="000748D0">
        <w:trPr>
          <w:trHeight w:val="227"/>
        </w:trPr>
        <w:tc>
          <w:tcPr>
            <w:tcW w:w="386" w:type="dxa"/>
            <w:tcBorders>
              <w:left w:val="nil"/>
            </w:tcBorders>
          </w:tcPr>
          <w:p w14:paraId="29591C10" w14:textId="77777777" w:rsidR="00DA1457" w:rsidRPr="006854AC" w:rsidRDefault="00DA1457" w:rsidP="005258CF">
            <w:pPr>
              <w:widowControl w:val="0"/>
              <w:autoSpaceDE w:val="0"/>
              <w:autoSpaceDN w:val="0"/>
              <w:ind w:left="28"/>
              <w:rPr>
                <w:rFonts w:eastAsiaTheme="minorEastAsia" w:cs="Segoe UI"/>
                <w:sz w:val="17"/>
                <w:szCs w:val="17"/>
                <w:lang w:val="en-US" w:bidi="en-US"/>
              </w:rPr>
            </w:pPr>
            <w:r w:rsidRPr="006854AC">
              <w:rPr>
                <w:rFonts w:eastAsiaTheme="minorEastAsia" w:cs="Segoe UI"/>
                <w:sz w:val="17"/>
                <w:szCs w:val="17"/>
                <w:lang w:val="en-US" w:bidi="en-US"/>
              </w:rPr>
              <w:t>2</w:t>
            </w:r>
          </w:p>
        </w:tc>
        <w:tc>
          <w:tcPr>
            <w:tcW w:w="1539" w:type="dxa"/>
          </w:tcPr>
          <w:p w14:paraId="5A9660EF" w14:textId="77777777" w:rsidR="00DA1457" w:rsidRPr="006854AC" w:rsidRDefault="00DA1457" w:rsidP="005258CF">
            <w:pPr>
              <w:widowControl w:val="0"/>
              <w:autoSpaceDE w:val="0"/>
              <w:autoSpaceDN w:val="0"/>
              <w:ind w:left="105"/>
              <w:rPr>
                <w:rFonts w:eastAsia="新細明體" w:cs="Segoe UI"/>
                <w:sz w:val="17"/>
                <w:szCs w:val="17"/>
                <w:lang w:val="en-US" w:bidi="en-US"/>
              </w:rPr>
            </w:pPr>
            <w:r w:rsidRPr="006854AC">
              <w:rPr>
                <w:rFonts w:eastAsia="新細明體" w:cs="Segoe UI" w:hint="eastAsia"/>
                <w:sz w:val="17"/>
                <w:szCs w:val="17"/>
                <w:lang w:val="en-US" w:eastAsia="zh-HK" w:bidi="en-US"/>
              </w:rPr>
              <w:t>穩定幣</w:t>
            </w:r>
          </w:p>
        </w:tc>
        <w:tc>
          <w:tcPr>
            <w:tcW w:w="742" w:type="dxa"/>
          </w:tcPr>
          <w:p w14:paraId="5611A9D5"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85" w:type="dxa"/>
          </w:tcPr>
          <w:p w14:paraId="7EAD37A0"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21" w:type="dxa"/>
          </w:tcPr>
          <w:p w14:paraId="563C00DE"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56FA1558"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CECECE"/>
          </w:tcPr>
          <w:p w14:paraId="5311C2DC"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3" w:type="dxa"/>
            <w:shd w:val="clear" w:color="auto" w:fill="auto"/>
          </w:tcPr>
          <w:p w14:paraId="6B6D4F5B"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auto"/>
          </w:tcPr>
          <w:p w14:paraId="5B8A434D"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auto"/>
          </w:tcPr>
          <w:p w14:paraId="6244DAE1"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5" w:type="dxa"/>
            <w:shd w:val="clear" w:color="auto" w:fill="auto"/>
          </w:tcPr>
          <w:p w14:paraId="068DD7E3"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r>
      <w:tr w:rsidR="006854AC" w:rsidRPr="006854AC" w14:paraId="4974A894" w14:textId="77777777" w:rsidTr="000748D0">
        <w:trPr>
          <w:trHeight w:val="227"/>
        </w:trPr>
        <w:tc>
          <w:tcPr>
            <w:tcW w:w="386" w:type="dxa"/>
            <w:tcBorders>
              <w:left w:val="nil"/>
            </w:tcBorders>
          </w:tcPr>
          <w:p w14:paraId="307D7873" w14:textId="77777777" w:rsidR="00DA1457" w:rsidRPr="006854AC" w:rsidRDefault="00DA1457" w:rsidP="005258CF">
            <w:pPr>
              <w:widowControl w:val="0"/>
              <w:autoSpaceDE w:val="0"/>
              <w:autoSpaceDN w:val="0"/>
              <w:ind w:left="28"/>
              <w:rPr>
                <w:rFonts w:eastAsiaTheme="minorEastAsia" w:cs="Segoe UI"/>
                <w:sz w:val="17"/>
                <w:szCs w:val="17"/>
                <w:lang w:val="en-US" w:bidi="en-US"/>
              </w:rPr>
            </w:pPr>
            <w:r w:rsidRPr="006854AC">
              <w:rPr>
                <w:rFonts w:eastAsiaTheme="minorEastAsia" w:cs="Segoe UI"/>
                <w:sz w:val="17"/>
                <w:szCs w:val="17"/>
                <w:lang w:val="en-US" w:bidi="en-US"/>
              </w:rPr>
              <w:t>2.i</w:t>
            </w:r>
          </w:p>
        </w:tc>
        <w:tc>
          <w:tcPr>
            <w:tcW w:w="1539" w:type="dxa"/>
          </w:tcPr>
          <w:p w14:paraId="58829470" w14:textId="77777777" w:rsidR="00DA1457" w:rsidRPr="006854AC" w:rsidRDefault="00DA1457" w:rsidP="005258CF">
            <w:pPr>
              <w:widowControl w:val="0"/>
              <w:autoSpaceDE w:val="0"/>
              <w:autoSpaceDN w:val="0"/>
              <w:ind w:left="334"/>
              <w:rPr>
                <w:rFonts w:eastAsia="新細明體" w:cs="Segoe UI"/>
                <w:sz w:val="17"/>
                <w:szCs w:val="17"/>
                <w:lang w:val="en-US" w:bidi="en-US"/>
              </w:rPr>
            </w:pPr>
            <w:r w:rsidRPr="006854AC">
              <w:rPr>
                <w:rFonts w:eastAsia="新細明體" w:cs="Segoe UI" w:hint="eastAsia"/>
                <w:sz w:val="17"/>
                <w:szCs w:val="17"/>
                <w:lang w:val="en-US" w:bidi="en-US"/>
              </w:rPr>
              <w:t>其中：第</w:t>
            </w:r>
            <w:r w:rsidRPr="006854AC">
              <w:rPr>
                <w:rFonts w:eastAsiaTheme="minorEastAsia" w:cs="Segoe UI"/>
                <w:sz w:val="17"/>
                <w:szCs w:val="17"/>
                <w:lang w:val="en-US" w:bidi="en-US"/>
              </w:rPr>
              <w:t>1b</w:t>
            </w:r>
            <w:r w:rsidRPr="006854AC">
              <w:rPr>
                <w:rFonts w:eastAsia="新細明體" w:cs="Segoe UI" w:hint="eastAsia"/>
                <w:sz w:val="17"/>
                <w:szCs w:val="17"/>
                <w:lang w:val="en-US" w:bidi="en-US"/>
              </w:rPr>
              <w:t>組</w:t>
            </w:r>
          </w:p>
        </w:tc>
        <w:tc>
          <w:tcPr>
            <w:tcW w:w="742" w:type="dxa"/>
          </w:tcPr>
          <w:p w14:paraId="24858387"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85" w:type="dxa"/>
          </w:tcPr>
          <w:p w14:paraId="311388AB"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21" w:type="dxa"/>
          </w:tcPr>
          <w:p w14:paraId="556ECB8E"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1683F2B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CECECE"/>
          </w:tcPr>
          <w:p w14:paraId="5F02E7B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3" w:type="dxa"/>
          </w:tcPr>
          <w:p w14:paraId="0D8028C8"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08A93735"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5EB7A8B8"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5" w:type="dxa"/>
          </w:tcPr>
          <w:p w14:paraId="46D08B1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r>
      <w:tr w:rsidR="006854AC" w:rsidRPr="006854AC" w14:paraId="213BBD72" w14:textId="77777777" w:rsidTr="000748D0">
        <w:trPr>
          <w:trHeight w:val="227"/>
        </w:trPr>
        <w:tc>
          <w:tcPr>
            <w:tcW w:w="386" w:type="dxa"/>
            <w:tcBorders>
              <w:left w:val="nil"/>
            </w:tcBorders>
          </w:tcPr>
          <w:p w14:paraId="1B740A96" w14:textId="77777777" w:rsidR="00DA1457" w:rsidRPr="006854AC" w:rsidRDefault="00DA1457" w:rsidP="005258CF">
            <w:pPr>
              <w:widowControl w:val="0"/>
              <w:autoSpaceDE w:val="0"/>
              <w:autoSpaceDN w:val="0"/>
              <w:ind w:left="28"/>
              <w:rPr>
                <w:rFonts w:eastAsiaTheme="minorEastAsia" w:cs="Segoe UI"/>
                <w:sz w:val="17"/>
                <w:szCs w:val="17"/>
                <w:lang w:val="en-US" w:bidi="en-US"/>
              </w:rPr>
            </w:pPr>
            <w:r w:rsidRPr="006854AC">
              <w:rPr>
                <w:rFonts w:eastAsiaTheme="minorEastAsia" w:cs="Segoe UI"/>
                <w:sz w:val="17"/>
                <w:szCs w:val="17"/>
                <w:lang w:val="en-US" w:bidi="en-US"/>
              </w:rPr>
              <w:t>2.ii</w:t>
            </w:r>
          </w:p>
        </w:tc>
        <w:tc>
          <w:tcPr>
            <w:tcW w:w="1539" w:type="dxa"/>
          </w:tcPr>
          <w:p w14:paraId="4DC6E7A5" w14:textId="77777777" w:rsidR="00DA1457" w:rsidRPr="006854AC" w:rsidRDefault="00DA1457" w:rsidP="005258CF">
            <w:pPr>
              <w:widowControl w:val="0"/>
              <w:autoSpaceDE w:val="0"/>
              <w:autoSpaceDN w:val="0"/>
              <w:spacing w:line="250" w:lineRule="atLeast"/>
              <w:ind w:left="334" w:right="93"/>
              <w:rPr>
                <w:rFonts w:eastAsia="新細明體" w:cs="Segoe UI"/>
                <w:sz w:val="17"/>
                <w:szCs w:val="17"/>
                <w:lang w:val="en-US" w:bidi="en-US"/>
              </w:rPr>
            </w:pPr>
            <w:r w:rsidRPr="006854AC">
              <w:rPr>
                <w:rFonts w:eastAsia="新細明體" w:cs="Segoe UI" w:hint="eastAsia"/>
                <w:sz w:val="17"/>
                <w:szCs w:val="17"/>
                <w:lang w:val="en-US" w:bidi="en-US"/>
              </w:rPr>
              <w:t>其中：第</w:t>
            </w:r>
            <w:r w:rsidRPr="006854AC">
              <w:rPr>
                <w:rFonts w:eastAsia="新細明體" w:cs="Segoe UI"/>
                <w:sz w:val="17"/>
                <w:szCs w:val="17"/>
                <w:lang w:val="en-US" w:bidi="en-US"/>
              </w:rPr>
              <w:t>2</w:t>
            </w:r>
            <w:r w:rsidRPr="006854AC">
              <w:rPr>
                <w:rFonts w:eastAsia="新細明體" w:cs="Segoe UI" w:hint="eastAsia"/>
                <w:sz w:val="17"/>
                <w:szCs w:val="17"/>
                <w:lang w:val="en-US" w:bidi="en-US"/>
              </w:rPr>
              <w:t>組</w:t>
            </w:r>
          </w:p>
        </w:tc>
        <w:tc>
          <w:tcPr>
            <w:tcW w:w="742" w:type="dxa"/>
          </w:tcPr>
          <w:p w14:paraId="62B185E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85" w:type="dxa"/>
          </w:tcPr>
          <w:p w14:paraId="4F6AA40B"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21" w:type="dxa"/>
          </w:tcPr>
          <w:p w14:paraId="49240B85"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06DAB8C6"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shd w:val="clear" w:color="auto" w:fill="CECECE"/>
          </w:tcPr>
          <w:p w14:paraId="0FEF3409"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3" w:type="dxa"/>
          </w:tcPr>
          <w:p w14:paraId="66AC0845"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70C63873"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Pr>
          <w:p w14:paraId="7F707781"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5" w:type="dxa"/>
          </w:tcPr>
          <w:p w14:paraId="18A58714"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r>
      <w:tr w:rsidR="006854AC" w:rsidRPr="006854AC" w14:paraId="1C788E24" w14:textId="77777777" w:rsidTr="000748D0">
        <w:trPr>
          <w:trHeight w:val="198"/>
        </w:trPr>
        <w:tc>
          <w:tcPr>
            <w:tcW w:w="386" w:type="dxa"/>
            <w:tcBorders>
              <w:left w:val="nil"/>
              <w:bottom w:val="single" w:sz="4" w:space="0" w:color="auto"/>
            </w:tcBorders>
          </w:tcPr>
          <w:p w14:paraId="0BDF7437" w14:textId="77777777" w:rsidR="00DA1457" w:rsidRPr="006854AC" w:rsidRDefault="00DA1457" w:rsidP="005258CF">
            <w:pPr>
              <w:widowControl w:val="0"/>
              <w:autoSpaceDE w:val="0"/>
              <w:autoSpaceDN w:val="0"/>
              <w:ind w:left="28"/>
              <w:rPr>
                <w:rFonts w:eastAsiaTheme="minorEastAsia" w:cs="Segoe UI"/>
                <w:sz w:val="17"/>
                <w:szCs w:val="17"/>
                <w:lang w:bidi="en-US"/>
              </w:rPr>
            </w:pPr>
            <w:r w:rsidRPr="006854AC">
              <w:rPr>
                <w:rFonts w:eastAsiaTheme="minorEastAsia" w:cs="Segoe UI"/>
                <w:sz w:val="17"/>
                <w:szCs w:val="17"/>
                <w:lang w:bidi="en-US"/>
              </w:rPr>
              <w:t>3</w:t>
            </w:r>
          </w:p>
        </w:tc>
        <w:tc>
          <w:tcPr>
            <w:tcW w:w="1539" w:type="dxa"/>
            <w:tcBorders>
              <w:bottom w:val="single" w:sz="4" w:space="0" w:color="auto"/>
            </w:tcBorders>
          </w:tcPr>
          <w:p w14:paraId="167A257E" w14:textId="77777777" w:rsidR="00DA1457" w:rsidRPr="006854AC" w:rsidRDefault="00DA1457" w:rsidP="005258CF">
            <w:pPr>
              <w:widowControl w:val="0"/>
              <w:autoSpaceDE w:val="0"/>
              <w:autoSpaceDN w:val="0"/>
              <w:spacing w:line="250" w:lineRule="atLeast"/>
              <w:ind w:left="105" w:right="93"/>
              <w:rPr>
                <w:rFonts w:eastAsia="新細明體" w:cs="Segoe UI"/>
                <w:sz w:val="17"/>
                <w:szCs w:val="17"/>
                <w:lang w:val="en-US" w:bidi="en-US"/>
              </w:rPr>
            </w:pPr>
            <w:r w:rsidRPr="006854AC">
              <w:rPr>
                <w:rFonts w:eastAsia="新細明體" w:cs="Segoe UI" w:hint="eastAsia"/>
                <w:sz w:val="17"/>
                <w:szCs w:val="17"/>
                <w:lang w:val="en-US" w:eastAsia="zh-HK" w:bidi="en-US"/>
              </w:rPr>
              <w:t>其他</w:t>
            </w:r>
            <w:r w:rsidRPr="006854AC">
              <w:rPr>
                <w:rFonts w:eastAsia="新細明體" w:cs="Segoe UI" w:hint="eastAsia"/>
                <w:sz w:val="17"/>
                <w:szCs w:val="17"/>
                <w:lang w:val="en-US" w:bidi="en-US"/>
              </w:rPr>
              <w:t>第</w:t>
            </w:r>
            <w:r w:rsidRPr="006854AC">
              <w:rPr>
                <w:rFonts w:eastAsia="新細明體" w:cs="Segoe UI"/>
                <w:sz w:val="17"/>
                <w:szCs w:val="17"/>
                <w:lang w:val="en-US" w:bidi="en-US"/>
              </w:rPr>
              <w:t>2</w:t>
            </w:r>
            <w:r w:rsidRPr="006854AC">
              <w:rPr>
                <w:rFonts w:eastAsia="新細明體" w:cs="Segoe UI" w:hint="eastAsia"/>
                <w:sz w:val="17"/>
                <w:szCs w:val="17"/>
                <w:lang w:val="en-US" w:bidi="en-US"/>
              </w:rPr>
              <w:t>組</w:t>
            </w:r>
          </w:p>
        </w:tc>
        <w:tc>
          <w:tcPr>
            <w:tcW w:w="742" w:type="dxa"/>
            <w:tcBorders>
              <w:bottom w:val="single" w:sz="4" w:space="0" w:color="auto"/>
            </w:tcBorders>
          </w:tcPr>
          <w:p w14:paraId="66FD1F7F"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85" w:type="dxa"/>
            <w:tcBorders>
              <w:bottom w:val="single" w:sz="4" w:space="0" w:color="auto"/>
            </w:tcBorders>
          </w:tcPr>
          <w:p w14:paraId="17AE4B58"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21" w:type="dxa"/>
            <w:tcBorders>
              <w:bottom w:val="single" w:sz="4" w:space="0" w:color="auto"/>
            </w:tcBorders>
          </w:tcPr>
          <w:p w14:paraId="148D1A48"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Borders>
              <w:bottom w:val="single" w:sz="4" w:space="0" w:color="auto"/>
            </w:tcBorders>
          </w:tcPr>
          <w:p w14:paraId="0435EF30"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Borders>
              <w:bottom w:val="single" w:sz="4" w:space="0" w:color="auto"/>
            </w:tcBorders>
            <w:shd w:val="clear" w:color="auto" w:fill="CECECE"/>
          </w:tcPr>
          <w:p w14:paraId="2425AC4D"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3" w:type="dxa"/>
            <w:tcBorders>
              <w:bottom w:val="single" w:sz="4" w:space="0" w:color="auto"/>
            </w:tcBorders>
          </w:tcPr>
          <w:p w14:paraId="544FD1B9"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Borders>
              <w:bottom w:val="single" w:sz="4" w:space="0" w:color="auto"/>
            </w:tcBorders>
          </w:tcPr>
          <w:p w14:paraId="152D988D"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2" w:type="dxa"/>
            <w:tcBorders>
              <w:bottom w:val="single" w:sz="4" w:space="0" w:color="auto"/>
            </w:tcBorders>
          </w:tcPr>
          <w:p w14:paraId="114213BF"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c>
          <w:tcPr>
            <w:tcW w:w="855" w:type="dxa"/>
            <w:tcBorders>
              <w:bottom w:val="single" w:sz="4" w:space="0" w:color="auto"/>
            </w:tcBorders>
          </w:tcPr>
          <w:p w14:paraId="2EFC348B" w14:textId="77777777" w:rsidR="00DA1457" w:rsidRPr="006854AC" w:rsidRDefault="00DA1457" w:rsidP="00DA1457">
            <w:pPr>
              <w:widowControl w:val="0"/>
              <w:autoSpaceDE w:val="0"/>
              <w:autoSpaceDN w:val="0"/>
              <w:rPr>
                <w:rFonts w:asciiTheme="minorEastAsia" w:eastAsiaTheme="minorEastAsia" w:hAnsiTheme="minorEastAsia" w:cs="Segoe UI"/>
                <w:sz w:val="17"/>
                <w:szCs w:val="17"/>
                <w:lang w:val="en-US" w:bidi="en-US"/>
              </w:rPr>
            </w:pPr>
          </w:p>
        </w:tc>
      </w:tr>
      <w:tr w:rsidR="006854AC" w:rsidRPr="006854AC" w14:paraId="2706A97E" w14:textId="77777777" w:rsidTr="007B09D2">
        <w:trPr>
          <w:trHeight w:val="198"/>
        </w:trPr>
        <w:tc>
          <w:tcPr>
            <w:tcW w:w="9489" w:type="dxa"/>
            <w:gridSpan w:val="11"/>
            <w:tcBorders>
              <w:left w:val="nil"/>
              <w:bottom w:val="single" w:sz="4" w:space="0" w:color="auto"/>
            </w:tcBorders>
          </w:tcPr>
          <w:p w14:paraId="4492F1D6" w14:textId="6762811E" w:rsidR="000748D0" w:rsidRPr="006854AC" w:rsidRDefault="000748D0" w:rsidP="000748D0">
            <w:pPr>
              <w:widowControl w:val="0"/>
              <w:autoSpaceDE w:val="0"/>
              <w:autoSpaceDN w:val="0"/>
              <w:rPr>
                <w:rFonts w:asciiTheme="minorEastAsia" w:eastAsiaTheme="minorEastAsia" w:hAnsiTheme="minorEastAsia" w:cs="Segoe UI"/>
                <w:i/>
                <w:iCs/>
                <w:sz w:val="17"/>
                <w:szCs w:val="17"/>
                <w:lang w:val="en-US" w:eastAsia="zh-TW" w:bidi="en-US"/>
              </w:rPr>
            </w:pPr>
            <w:r w:rsidRPr="006854AC">
              <w:rPr>
                <w:rFonts w:asciiTheme="minorEastAsia" w:eastAsiaTheme="minorEastAsia" w:hAnsiTheme="minorEastAsia" w:cs="Segoe UI" w:hint="eastAsia"/>
                <w:i/>
                <w:iCs/>
                <w:sz w:val="17"/>
                <w:szCs w:val="17"/>
                <w:lang w:val="en-US" w:eastAsia="zh-TW" w:bidi="en-US"/>
              </w:rPr>
              <w:t>注意事項：</w:t>
            </w:r>
          </w:p>
          <w:p w14:paraId="77A599B5" w14:textId="55786769" w:rsidR="000748D0" w:rsidRPr="006854AC" w:rsidRDefault="000748D0" w:rsidP="000748D0">
            <w:pPr>
              <w:keepLines/>
              <w:widowControl w:val="0"/>
              <w:numPr>
                <w:ilvl w:val="0"/>
                <w:numId w:val="70"/>
              </w:numPr>
              <w:snapToGrid w:val="0"/>
              <w:spacing w:before="20" w:after="20" w:line="259" w:lineRule="auto"/>
              <w:ind w:left="391" w:hanging="391"/>
              <w:jc w:val="both"/>
              <w:rPr>
                <w:rFonts w:asciiTheme="minorEastAsia" w:eastAsiaTheme="minorEastAsia" w:hAnsiTheme="minorEastAsia" w:cs="Segoe UI"/>
                <w:sz w:val="17"/>
                <w:szCs w:val="17"/>
                <w:lang w:val="en-US" w:eastAsia="zh-TW" w:bidi="en-US"/>
              </w:rPr>
            </w:pPr>
            <w:proofErr w:type="gramStart"/>
            <w:r w:rsidRPr="006854AC">
              <w:rPr>
                <w:rFonts w:asciiTheme="minorEastAsia" w:eastAsiaTheme="minorEastAsia" w:hAnsiTheme="minorEastAsia" w:cs="Segoe UI" w:hint="eastAsia"/>
                <w:sz w:val="17"/>
                <w:szCs w:val="17"/>
                <w:lang w:val="en-US" w:eastAsia="zh-TW" w:bidi="en-US"/>
              </w:rPr>
              <w:t>本模版</w:t>
            </w:r>
            <w:proofErr w:type="gramEnd"/>
            <w:r w:rsidRPr="006854AC">
              <w:rPr>
                <w:rFonts w:asciiTheme="minorEastAsia" w:eastAsiaTheme="minorEastAsia" w:hAnsiTheme="minorEastAsia" w:cs="Segoe UI" w:hint="eastAsia"/>
                <w:sz w:val="17"/>
                <w:szCs w:val="17"/>
                <w:lang w:val="en-US" w:eastAsia="zh-TW" w:bidi="en-US"/>
              </w:rPr>
              <w:t>就對加密資產及加密負債的風險承擔的流動性風險分類提供概</w:t>
            </w:r>
            <w:proofErr w:type="gramStart"/>
            <w:r w:rsidRPr="006854AC">
              <w:rPr>
                <w:rFonts w:asciiTheme="minorEastAsia" w:eastAsiaTheme="minorEastAsia" w:hAnsiTheme="minorEastAsia" w:cs="Segoe UI" w:hint="eastAsia"/>
                <w:sz w:val="17"/>
                <w:szCs w:val="17"/>
                <w:lang w:val="en-US" w:eastAsia="zh-TW" w:bidi="en-US"/>
              </w:rPr>
              <w:t>覽</w:t>
            </w:r>
            <w:proofErr w:type="gramEnd"/>
            <w:r w:rsidRPr="006854AC">
              <w:rPr>
                <w:rFonts w:asciiTheme="minorEastAsia" w:eastAsiaTheme="minorEastAsia" w:hAnsiTheme="minorEastAsia" w:cs="Segoe UI" w:hint="eastAsia"/>
                <w:sz w:val="17"/>
                <w:szCs w:val="17"/>
                <w:lang w:val="en-US" w:eastAsia="zh-TW" w:bidi="en-US"/>
              </w:rPr>
              <w:t>。認可機構亦應將這些工具</w:t>
            </w:r>
            <w:r w:rsidRPr="006854AC">
              <w:rPr>
                <w:rFonts w:eastAsia="新細明體" w:cs="Segoe UI" w:hint="eastAsia"/>
                <w:sz w:val="17"/>
                <w:szCs w:val="17"/>
                <w:lang w:eastAsia="zh-HK"/>
              </w:rPr>
              <w:t>納入</w:t>
            </w:r>
            <w:r w:rsidRPr="006854AC">
              <w:rPr>
                <w:rFonts w:asciiTheme="minorEastAsia" w:eastAsiaTheme="minorEastAsia" w:hAnsiTheme="minorEastAsia" w:cs="Segoe UI" w:hint="eastAsia"/>
                <w:sz w:val="17"/>
                <w:szCs w:val="17"/>
                <w:lang w:val="en-US" w:eastAsia="zh-TW" w:bidi="en-US"/>
              </w:rPr>
              <w:t>與該機構流動性相關的披露模版（即本文件的第</w:t>
            </w:r>
            <w:r w:rsidRPr="006854AC">
              <w:rPr>
                <w:rFonts w:eastAsiaTheme="minorEastAsia" w:cs="Segoe UI"/>
                <w:sz w:val="17"/>
                <w:szCs w:val="17"/>
                <w:lang w:val="en-US" w:eastAsia="zh-TW" w:bidi="en-US"/>
              </w:rPr>
              <w:t>IID</w:t>
            </w:r>
            <w:r w:rsidRPr="006854AC">
              <w:rPr>
                <w:rFonts w:asciiTheme="minorEastAsia" w:eastAsiaTheme="minorEastAsia" w:hAnsiTheme="minorEastAsia" w:cs="Segoe UI" w:hint="eastAsia"/>
                <w:sz w:val="17"/>
                <w:szCs w:val="17"/>
                <w:lang w:val="en-US" w:eastAsia="zh-TW" w:bidi="en-US"/>
              </w:rPr>
              <w:t>部）。須注意，認可機構</w:t>
            </w:r>
            <w:proofErr w:type="gramStart"/>
            <w:r w:rsidRPr="006854AC">
              <w:rPr>
                <w:rFonts w:asciiTheme="minorEastAsia" w:eastAsiaTheme="minorEastAsia" w:hAnsiTheme="minorEastAsia" w:cs="Segoe UI" w:hint="eastAsia"/>
                <w:sz w:val="17"/>
                <w:szCs w:val="17"/>
                <w:lang w:val="en-US" w:eastAsia="zh-TW" w:bidi="en-US"/>
              </w:rPr>
              <w:t>在本模版</w:t>
            </w:r>
            <w:proofErr w:type="gramEnd"/>
            <w:r w:rsidRPr="006854AC">
              <w:rPr>
                <w:rFonts w:eastAsiaTheme="minorEastAsia" w:cs="Segoe UI"/>
                <w:sz w:val="17"/>
                <w:szCs w:val="17"/>
                <w:lang w:val="en-US" w:eastAsia="zh-TW" w:bidi="en-US"/>
              </w:rPr>
              <w:t>CAE3</w:t>
            </w:r>
            <w:r w:rsidRPr="006854AC">
              <w:rPr>
                <w:rFonts w:asciiTheme="minorEastAsia" w:eastAsiaTheme="minorEastAsia" w:hAnsiTheme="minorEastAsia" w:cs="Segoe UI" w:hint="eastAsia"/>
                <w:sz w:val="17"/>
                <w:szCs w:val="17"/>
                <w:lang w:val="en-US" w:eastAsia="zh-TW" w:bidi="en-US"/>
              </w:rPr>
              <w:t>的「加密負債」的各欄下僅須就作為負債而發行的加密資產披露所須的資料。</w:t>
            </w:r>
          </w:p>
        </w:tc>
      </w:tr>
    </w:tbl>
    <w:p w14:paraId="7435443E" w14:textId="77777777" w:rsidR="00DA1457" w:rsidRPr="006854AC" w:rsidRDefault="00DA1457" w:rsidP="00DA1457">
      <w:pPr>
        <w:rPr>
          <w:lang w:eastAsia="zh-TW"/>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9"/>
        <w:gridCol w:w="6017"/>
        <w:gridCol w:w="3093"/>
      </w:tblGrid>
      <w:tr w:rsidR="00DA1457" w:rsidRPr="006854AC" w14:paraId="0CA34113" w14:textId="77777777" w:rsidTr="00F60474">
        <w:trPr>
          <w:tblHeader/>
          <w:jc w:val="center"/>
        </w:trPr>
        <w:tc>
          <w:tcPr>
            <w:tcW w:w="9947" w:type="dxa"/>
            <w:gridSpan w:val="4"/>
            <w:shd w:val="clear" w:color="auto" w:fill="BFBFBF"/>
          </w:tcPr>
          <w:p w14:paraId="3A87F3DD" w14:textId="77777777" w:rsidR="00DA1457" w:rsidRPr="006854AC" w:rsidRDefault="00DA1457" w:rsidP="00DA1457">
            <w:pPr>
              <w:keepLines/>
              <w:tabs>
                <w:tab w:val="left" w:pos="150"/>
                <w:tab w:val="left" w:pos="397"/>
                <w:tab w:val="left" w:pos="794"/>
                <w:tab w:val="left" w:pos="1191"/>
              </w:tabs>
              <w:spacing w:before="40" w:after="40"/>
              <w:rPr>
                <w:rFonts w:eastAsia="新細明體"/>
                <w:b/>
                <w:sz w:val="17"/>
                <w:lang w:eastAsia="en-GB"/>
              </w:rPr>
            </w:pPr>
            <w:r w:rsidRPr="006854AC">
              <w:rPr>
                <w:rFonts w:eastAsia="新細明體" w:hint="eastAsia"/>
                <w:b/>
                <w:sz w:val="17"/>
                <w:lang w:eastAsia="zh-HK"/>
              </w:rPr>
              <w:t>註釋</w:t>
            </w:r>
          </w:p>
        </w:tc>
      </w:tr>
      <w:tr w:rsidR="00DA1457" w:rsidRPr="006854AC" w14:paraId="33A27E28" w14:textId="77777777" w:rsidTr="00F60474">
        <w:trPr>
          <w:jc w:val="center"/>
        </w:trPr>
        <w:tc>
          <w:tcPr>
            <w:tcW w:w="9947" w:type="dxa"/>
            <w:gridSpan w:val="4"/>
            <w:shd w:val="clear" w:color="auto" w:fill="F2F2F2"/>
          </w:tcPr>
          <w:p w14:paraId="6E043CEF" w14:textId="77777777" w:rsidR="00DA1457" w:rsidRPr="006854AC" w:rsidRDefault="00DA1457" w:rsidP="00DA1457">
            <w:pPr>
              <w:keepNext/>
              <w:keepLines/>
              <w:tabs>
                <w:tab w:val="left" w:pos="150"/>
                <w:tab w:val="left" w:pos="397"/>
                <w:tab w:val="left" w:pos="794"/>
                <w:tab w:val="left" w:pos="1191"/>
              </w:tabs>
              <w:spacing w:before="40" w:after="40"/>
              <w:rPr>
                <w:rFonts w:eastAsia="新細明體"/>
                <w:b/>
                <w:sz w:val="17"/>
                <w:lang w:eastAsia="en-GB"/>
              </w:rPr>
            </w:pPr>
            <w:r w:rsidRPr="006854AC">
              <w:rPr>
                <w:rFonts w:eastAsia="新細明體" w:hint="eastAsia"/>
                <w:b/>
                <w:sz w:val="17"/>
                <w:lang w:eastAsia="zh-HK"/>
              </w:rPr>
              <w:t>欄</w:t>
            </w:r>
          </w:p>
        </w:tc>
      </w:tr>
      <w:tr w:rsidR="00DA1457" w:rsidRPr="006854AC" w14:paraId="43421B3D" w14:textId="77777777" w:rsidTr="00F60474">
        <w:trPr>
          <w:jc w:val="center"/>
        </w:trPr>
        <w:tc>
          <w:tcPr>
            <w:tcW w:w="818" w:type="dxa"/>
            <w:shd w:val="clear" w:color="auto" w:fill="auto"/>
          </w:tcPr>
          <w:p w14:paraId="7BCE9C92" w14:textId="7393ACD9" w:rsidR="00DA1457" w:rsidRPr="00E6554D" w:rsidRDefault="00DA1457" w:rsidP="00DA1457">
            <w:pPr>
              <w:keepNext/>
              <w:keepLines/>
              <w:tabs>
                <w:tab w:val="left" w:pos="150"/>
                <w:tab w:val="left" w:pos="397"/>
                <w:tab w:val="left" w:pos="794"/>
                <w:tab w:val="left" w:pos="1191"/>
              </w:tabs>
              <w:spacing w:before="40" w:after="40"/>
              <w:jc w:val="both"/>
              <w:rPr>
                <w:rFonts w:eastAsia="新細明體" w:cs="Segoe UI"/>
                <w:sz w:val="17"/>
                <w:szCs w:val="17"/>
              </w:rPr>
            </w:pPr>
            <w:r w:rsidRPr="00E6554D">
              <w:rPr>
                <w:rFonts w:eastAsia="新細明體" w:cs="Segoe UI"/>
                <w:sz w:val="17"/>
                <w:szCs w:val="17"/>
              </w:rPr>
              <w:t>(a)</w:t>
            </w:r>
            <w:r w:rsidRPr="00E6554D">
              <w:rPr>
                <w:rFonts w:eastAsia="新細明體" w:cs="Segoe UI" w:hint="eastAsia"/>
                <w:sz w:val="17"/>
                <w:szCs w:val="17"/>
                <w:lang w:eastAsia="zh-HK"/>
              </w:rPr>
              <w:t>至</w:t>
            </w:r>
            <w:r w:rsidRPr="00E6554D">
              <w:rPr>
                <w:rFonts w:eastAsia="新細明體" w:cs="Segoe UI"/>
                <w:sz w:val="17"/>
                <w:szCs w:val="17"/>
              </w:rPr>
              <w:t>(d)</w:t>
            </w:r>
          </w:p>
        </w:tc>
        <w:tc>
          <w:tcPr>
            <w:tcW w:w="9129" w:type="dxa"/>
            <w:gridSpan w:val="3"/>
            <w:shd w:val="clear" w:color="auto" w:fill="auto"/>
          </w:tcPr>
          <w:p w14:paraId="4059774A" w14:textId="1853DCED" w:rsidR="00DA1457" w:rsidRPr="00E6554D" w:rsidRDefault="00DA1457" w:rsidP="00DA1457">
            <w:pPr>
              <w:keepNext/>
              <w:keepLines/>
              <w:tabs>
                <w:tab w:val="left" w:pos="150"/>
                <w:tab w:val="left" w:pos="397"/>
                <w:tab w:val="left" w:pos="794"/>
                <w:tab w:val="left" w:pos="1191"/>
              </w:tabs>
              <w:spacing w:before="40" w:after="40"/>
              <w:jc w:val="both"/>
              <w:rPr>
                <w:rFonts w:eastAsiaTheme="minorEastAsia" w:cs="Segoe UI"/>
                <w:sz w:val="17"/>
                <w:szCs w:val="17"/>
                <w:lang w:eastAsia="zh-TW"/>
              </w:rPr>
            </w:pPr>
            <w:r w:rsidRPr="00E6554D">
              <w:rPr>
                <w:rFonts w:eastAsiaTheme="minorEastAsia" w:cs="Segoe UI" w:hint="eastAsia"/>
                <w:sz w:val="17"/>
                <w:szCs w:val="17"/>
                <w:lang w:eastAsia="zh-TW"/>
              </w:rPr>
              <w:t>資產</w:t>
            </w:r>
            <w:r w:rsidRPr="00E6554D">
              <w:rPr>
                <w:rFonts w:eastAsiaTheme="minorEastAsia" w:cs="Segoe UI" w:hint="eastAsia"/>
                <w:sz w:val="17"/>
                <w:szCs w:val="17"/>
                <w:lang w:eastAsia="zh-HK"/>
              </w:rPr>
              <w:t>及</w:t>
            </w:r>
            <w:r w:rsidRPr="00E6554D">
              <w:rPr>
                <w:rFonts w:eastAsiaTheme="minorEastAsia" w:cs="Segoe UI" w:hint="eastAsia"/>
                <w:sz w:val="17"/>
                <w:szCs w:val="17"/>
                <w:lang w:eastAsia="zh-TW"/>
              </w:rPr>
              <w:t>負債風險承擔</w:t>
            </w:r>
            <w:r w:rsidRPr="00E6554D">
              <w:rPr>
                <w:rFonts w:eastAsiaTheme="minorEastAsia" w:cs="Segoe UI" w:hint="eastAsia"/>
                <w:sz w:val="17"/>
                <w:szCs w:val="17"/>
                <w:lang w:eastAsia="zh-HK"/>
              </w:rPr>
              <w:t>數</w:t>
            </w:r>
            <w:r w:rsidRPr="00E6554D">
              <w:rPr>
                <w:rFonts w:eastAsiaTheme="minorEastAsia" w:cs="Segoe UI" w:hint="eastAsia"/>
                <w:sz w:val="17"/>
                <w:szCs w:val="17"/>
                <w:lang w:eastAsia="zh-TW"/>
              </w:rPr>
              <w:t>額是</w:t>
            </w:r>
            <w:r w:rsidRPr="00E6554D">
              <w:rPr>
                <w:rFonts w:eastAsiaTheme="minorEastAsia" w:cs="Segoe UI" w:hint="eastAsia"/>
                <w:sz w:val="17"/>
                <w:szCs w:val="17"/>
                <w:lang w:eastAsia="zh-HK"/>
              </w:rPr>
              <w:t>指</w:t>
            </w:r>
            <w:r w:rsidRPr="00E6554D">
              <w:rPr>
                <w:rFonts w:eastAsiaTheme="minorEastAsia" w:cs="Segoe UI" w:hint="eastAsia"/>
                <w:sz w:val="17"/>
                <w:szCs w:val="17"/>
                <w:lang w:eastAsia="zh-TW"/>
              </w:rPr>
              <w:t>報告期末的</w:t>
            </w:r>
            <w:r w:rsidR="00AA04A8" w:rsidRPr="00E6554D">
              <w:rPr>
                <w:rFonts w:eastAsiaTheme="minorEastAsia" w:cs="Segoe UI" w:hint="eastAsia"/>
                <w:sz w:val="17"/>
                <w:szCs w:val="17"/>
                <w:lang w:eastAsia="zh-HK"/>
              </w:rPr>
              <w:t>尚欠餘</w:t>
            </w:r>
            <w:r w:rsidRPr="00E6554D">
              <w:rPr>
                <w:rFonts w:eastAsiaTheme="minorEastAsia" w:cs="Segoe UI" w:hint="eastAsia"/>
                <w:sz w:val="17"/>
                <w:szCs w:val="17"/>
                <w:lang w:eastAsia="zh-TW"/>
              </w:rPr>
              <w:t>額，這些</w:t>
            </w:r>
            <w:r w:rsidRPr="00E6554D">
              <w:rPr>
                <w:rFonts w:eastAsiaTheme="minorEastAsia" w:cs="Segoe UI" w:hint="eastAsia"/>
                <w:sz w:val="17"/>
                <w:szCs w:val="17"/>
                <w:lang w:eastAsia="zh-HK"/>
              </w:rPr>
              <w:t>數</w:t>
            </w:r>
            <w:r w:rsidRPr="00E6554D">
              <w:rPr>
                <w:rFonts w:eastAsiaTheme="minorEastAsia" w:cs="Segoe UI" w:hint="eastAsia"/>
                <w:sz w:val="17"/>
                <w:szCs w:val="17"/>
                <w:lang w:eastAsia="zh-TW"/>
              </w:rPr>
              <w:t>額是計算</w:t>
            </w:r>
            <w:r w:rsidRPr="00E6554D">
              <w:rPr>
                <w:rFonts w:eastAsiaTheme="minorEastAsia" w:cs="Segoe UI" w:hint="eastAsia"/>
                <w:sz w:val="17"/>
                <w:szCs w:val="17"/>
                <w:lang w:eastAsia="zh-TW"/>
              </w:rPr>
              <w:t>NSFR</w:t>
            </w:r>
            <w:r w:rsidR="005758D1" w:rsidRPr="00E6554D">
              <w:rPr>
                <w:rFonts w:eastAsiaTheme="minorEastAsia" w:cs="Segoe UI" w:hint="eastAsia"/>
                <w:sz w:val="17"/>
                <w:szCs w:val="17"/>
                <w:lang w:eastAsia="zh-TW"/>
              </w:rPr>
              <w:t>時</w:t>
            </w:r>
            <w:r w:rsidR="007C5E1E" w:rsidRPr="00E6554D">
              <w:rPr>
                <w:rFonts w:eastAsiaTheme="minorEastAsia" w:cs="Segoe UI" w:hint="eastAsia"/>
                <w:sz w:val="17"/>
                <w:szCs w:val="17"/>
                <w:lang w:eastAsia="zh-TW"/>
              </w:rPr>
              <w:t>所</w:t>
            </w:r>
            <w:r w:rsidR="005758D1" w:rsidRPr="00E6554D">
              <w:rPr>
                <w:rFonts w:eastAsiaTheme="minorEastAsia" w:cs="Segoe UI" w:hint="eastAsia"/>
                <w:sz w:val="17"/>
                <w:szCs w:val="17"/>
                <w:lang w:eastAsia="zh-TW"/>
              </w:rPr>
              <w:t>使用的</w:t>
            </w:r>
            <w:r w:rsidR="005758D1" w:rsidRPr="00E6554D">
              <w:rPr>
                <w:rFonts w:eastAsiaTheme="minorEastAsia" w:cs="Segoe UI" w:hint="eastAsia"/>
                <w:sz w:val="17"/>
                <w:szCs w:val="17"/>
                <w:lang w:eastAsia="zh-HK"/>
              </w:rPr>
              <w:t>非</w:t>
            </w:r>
            <w:r w:rsidRPr="00E6554D">
              <w:rPr>
                <w:rFonts w:eastAsiaTheme="minorEastAsia" w:cs="Segoe UI" w:hint="eastAsia"/>
                <w:sz w:val="17"/>
                <w:szCs w:val="17"/>
                <w:lang w:eastAsia="zh-TW"/>
              </w:rPr>
              <w:t>加權值；</w:t>
            </w:r>
            <w:r w:rsidRPr="00E6554D">
              <w:rPr>
                <w:rFonts w:eastAsiaTheme="minorEastAsia" w:cs="Segoe UI" w:hint="eastAsia"/>
                <w:sz w:val="17"/>
                <w:szCs w:val="17"/>
                <w:lang w:eastAsia="zh-HK"/>
              </w:rPr>
              <w:t>惟第</w:t>
            </w:r>
            <w:r w:rsidRPr="00E6554D">
              <w:rPr>
                <w:rFonts w:eastAsiaTheme="minorEastAsia" w:cs="Segoe UI"/>
                <w:sz w:val="17"/>
                <w:szCs w:val="17"/>
                <w:lang w:eastAsia="zh-TW"/>
              </w:rPr>
              <w:t>1.i/a</w:t>
            </w:r>
            <w:r w:rsidRPr="00E6554D">
              <w:rPr>
                <w:rFonts w:eastAsiaTheme="minorEastAsia" w:cs="Segoe UI" w:hint="eastAsia"/>
                <w:sz w:val="17"/>
                <w:szCs w:val="17"/>
                <w:lang w:eastAsia="zh-HK"/>
              </w:rPr>
              <w:t>格</w:t>
            </w:r>
            <w:r w:rsidRPr="00E6554D">
              <w:rPr>
                <w:rFonts w:eastAsiaTheme="minorEastAsia" w:cs="Segoe UI" w:hint="eastAsia"/>
                <w:sz w:val="17"/>
                <w:szCs w:val="17"/>
                <w:lang w:eastAsia="zh-TW"/>
              </w:rPr>
              <w:t>的風險承擔</w:t>
            </w:r>
            <w:r w:rsidRPr="00E6554D">
              <w:rPr>
                <w:rFonts w:eastAsiaTheme="minorEastAsia" w:cs="Segoe UI" w:hint="eastAsia"/>
                <w:sz w:val="17"/>
                <w:szCs w:val="17"/>
                <w:lang w:eastAsia="zh-HK"/>
              </w:rPr>
              <w:t>數</w:t>
            </w:r>
            <w:r w:rsidRPr="00E6554D">
              <w:rPr>
                <w:rFonts w:eastAsiaTheme="minorEastAsia" w:cs="Segoe UI" w:hint="eastAsia"/>
                <w:sz w:val="17"/>
                <w:szCs w:val="17"/>
                <w:lang w:eastAsia="zh-TW"/>
              </w:rPr>
              <w:t>額是計算</w:t>
            </w:r>
            <w:r w:rsidRPr="00E6554D">
              <w:rPr>
                <w:rFonts w:eastAsiaTheme="minorEastAsia" w:cs="Segoe UI" w:hint="eastAsia"/>
                <w:sz w:val="17"/>
                <w:szCs w:val="17"/>
                <w:lang w:eastAsia="zh-TW"/>
              </w:rPr>
              <w:t>LCR</w:t>
            </w:r>
            <w:r w:rsidR="005758D1" w:rsidRPr="00E6554D">
              <w:rPr>
                <w:rFonts w:eastAsiaTheme="minorEastAsia" w:cs="Segoe UI" w:hint="eastAsia"/>
                <w:sz w:val="17"/>
                <w:szCs w:val="17"/>
                <w:lang w:eastAsia="zh-TW"/>
              </w:rPr>
              <w:t>時</w:t>
            </w:r>
            <w:r w:rsidR="007C5E1E" w:rsidRPr="00E6554D">
              <w:rPr>
                <w:rFonts w:eastAsiaTheme="minorEastAsia" w:cs="Segoe UI" w:hint="eastAsia"/>
                <w:sz w:val="17"/>
                <w:szCs w:val="17"/>
                <w:lang w:eastAsia="zh-TW"/>
              </w:rPr>
              <w:t>所</w:t>
            </w:r>
            <w:r w:rsidR="005758D1" w:rsidRPr="00E6554D">
              <w:rPr>
                <w:rFonts w:eastAsiaTheme="minorEastAsia" w:cs="Segoe UI" w:hint="eastAsia"/>
                <w:sz w:val="17"/>
                <w:szCs w:val="17"/>
                <w:lang w:eastAsia="zh-TW"/>
              </w:rPr>
              <w:t>使用的</w:t>
            </w:r>
            <w:r w:rsidR="005758D1" w:rsidRPr="00E6554D">
              <w:rPr>
                <w:rFonts w:eastAsiaTheme="minorEastAsia" w:cs="Segoe UI" w:hint="eastAsia"/>
                <w:sz w:val="17"/>
                <w:szCs w:val="17"/>
                <w:lang w:eastAsia="zh-HK"/>
              </w:rPr>
              <w:t>非</w:t>
            </w:r>
            <w:r w:rsidRPr="00E6554D">
              <w:rPr>
                <w:rFonts w:eastAsiaTheme="minorEastAsia" w:cs="Segoe UI" w:hint="eastAsia"/>
                <w:sz w:val="17"/>
                <w:szCs w:val="17"/>
                <w:lang w:eastAsia="zh-TW"/>
              </w:rPr>
              <w:t>加權值。</w:t>
            </w:r>
          </w:p>
        </w:tc>
      </w:tr>
      <w:tr w:rsidR="00DA1457" w:rsidRPr="006854AC" w14:paraId="3886B19B" w14:textId="77777777" w:rsidTr="00F60474">
        <w:trPr>
          <w:jc w:val="center"/>
        </w:trPr>
        <w:tc>
          <w:tcPr>
            <w:tcW w:w="818" w:type="dxa"/>
            <w:shd w:val="clear" w:color="auto" w:fill="auto"/>
          </w:tcPr>
          <w:p w14:paraId="5A1BC654" w14:textId="77777777" w:rsidR="00DA1457" w:rsidRPr="00E6554D" w:rsidRDefault="00DA1457" w:rsidP="00DA1457">
            <w:pPr>
              <w:keepNext/>
              <w:keepLines/>
              <w:tabs>
                <w:tab w:val="left" w:pos="150"/>
                <w:tab w:val="left" w:pos="397"/>
                <w:tab w:val="left" w:pos="794"/>
                <w:tab w:val="left" w:pos="1191"/>
              </w:tabs>
              <w:spacing w:before="40" w:after="40"/>
              <w:jc w:val="both"/>
              <w:rPr>
                <w:rFonts w:eastAsia="新細明體" w:cs="Segoe UI"/>
                <w:sz w:val="17"/>
                <w:szCs w:val="17"/>
              </w:rPr>
            </w:pPr>
            <w:r w:rsidRPr="00E6554D">
              <w:rPr>
                <w:rFonts w:eastAsia="新細明體" w:cs="Segoe UI"/>
                <w:sz w:val="17"/>
                <w:szCs w:val="17"/>
              </w:rPr>
              <w:t>(e)</w:t>
            </w:r>
            <w:r w:rsidRPr="00E6554D">
              <w:rPr>
                <w:rFonts w:eastAsia="新細明體" w:cs="Segoe UI" w:hint="eastAsia"/>
                <w:sz w:val="17"/>
                <w:szCs w:val="17"/>
                <w:lang w:eastAsia="zh-HK"/>
              </w:rPr>
              <w:t>至</w:t>
            </w:r>
            <w:r w:rsidRPr="00E6554D">
              <w:rPr>
                <w:rFonts w:eastAsia="新細明體" w:cs="Segoe UI"/>
                <w:sz w:val="17"/>
                <w:szCs w:val="17"/>
              </w:rPr>
              <w:t>(</w:t>
            </w:r>
            <w:proofErr w:type="spellStart"/>
            <w:r w:rsidRPr="00E6554D">
              <w:rPr>
                <w:rFonts w:eastAsia="新細明體" w:cs="Segoe UI"/>
                <w:sz w:val="17"/>
                <w:szCs w:val="17"/>
              </w:rPr>
              <w:t>i</w:t>
            </w:r>
            <w:proofErr w:type="spellEnd"/>
            <w:r w:rsidRPr="00E6554D">
              <w:rPr>
                <w:rFonts w:eastAsia="新細明體" w:cs="Segoe UI"/>
                <w:sz w:val="17"/>
                <w:szCs w:val="17"/>
              </w:rPr>
              <w:t>)</w:t>
            </w:r>
          </w:p>
        </w:tc>
        <w:tc>
          <w:tcPr>
            <w:tcW w:w="9129" w:type="dxa"/>
            <w:gridSpan w:val="3"/>
            <w:shd w:val="clear" w:color="auto" w:fill="auto"/>
          </w:tcPr>
          <w:p w14:paraId="7694762E" w14:textId="5C5D285A" w:rsidR="00DA1457" w:rsidRPr="00E6554D" w:rsidRDefault="00DA1457" w:rsidP="00DA1457">
            <w:pPr>
              <w:keepNext/>
              <w:keepLines/>
              <w:tabs>
                <w:tab w:val="left" w:pos="150"/>
                <w:tab w:val="left" w:pos="397"/>
                <w:tab w:val="left" w:pos="794"/>
                <w:tab w:val="left" w:pos="1191"/>
              </w:tabs>
              <w:spacing w:before="40" w:after="40"/>
              <w:jc w:val="both"/>
              <w:rPr>
                <w:rFonts w:eastAsia="新細明體" w:cs="Segoe UI"/>
                <w:sz w:val="17"/>
                <w:szCs w:val="17"/>
                <w:lang w:eastAsia="zh-TW"/>
              </w:rPr>
            </w:pPr>
            <w:r w:rsidRPr="00E6554D">
              <w:rPr>
                <w:rFonts w:eastAsia="新細明體" w:cs="Segoe UI" w:hint="eastAsia"/>
                <w:sz w:val="17"/>
                <w:szCs w:val="17"/>
                <w:lang w:eastAsia="zh-HK"/>
              </w:rPr>
              <w:t>第</w:t>
            </w:r>
            <w:r w:rsidRPr="00E6554D">
              <w:rPr>
                <w:rFonts w:eastAsiaTheme="minorEastAsia" w:cs="Segoe UI"/>
                <w:sz w:val="17"/>
                <w:szCs w:val="17"/>
                <w:lang w:eastAsia="zh-HK"/>
              </w:rPr>
              <w:t>(e)</w:t>
            </w:r>
            <w:r w:rsidRPr="00E6554D">
              <w:rPr>
                <w:rFonts w:eastAsiaTheme="minorEastAsia" w:cs="Segoe UI"/>
                <w:sz w:val="17"/>
                <w:szCs w:val="17"/>
                <w:lang w:eastAsia="zh-HK"/>
              </w:rPr>
              <w:t>至</w:t>
            </w:r>
            <w:r w:rsidRPr="00E6554D">
              <w:rPr>
                <w:rFonts w:eastAsiaTheme="minorEastAsia" w:cs="Segoe UI"/>
                <w:sz w:val="17"/>
                <w:szCs w:val="17"/>
                <w:lang w:eastAsia="zh-HK"/>
              </w:rPr>
              <w:t>(</w:t>
            </w:r>
            <w:proofErr w:type="spellStart"/>
            <w:r w:rsidRPr="00E6554D">
              <w:rPr>
                <w:rFonts w:eastAsiaTheme="minorEastAsia" w:cs="Segoe UI"/>
                <w:sz w:val="17"/>
                <w:szCs w:val="17"/>
                <w:lang w:eastAsia="zh-HK"/>
              </w:rPr>
              <w:t>i</w:t>
            </w:r>
            <w:proofErr w:type="spellEnd"/>
            <w:r w:rsidRPr="00E6554D">
              <w:rPr>
                <w:rFonts w:eastAsiaTheme="minorEastAsia" w:cs="Segoe UI"/>
                <w:sz w:val="17"/>
                <w:szCs w:val="17"/>
                <w:lang w:eastAsia="zh-HK"/>
              </w:rPr>
              <w:t>)</w:t>
            </w:r>
            <w:r w:rsidRPr="00E6554D">
              <w:rPr>
                <w:rFonts w:eastAsiaTheme="minorEastAsia" w:cs="Segoe UI"/>
                <w:sz w:val="17"/>
                <w:szCs w:val="17"/>
                <w:lang w:eastAsia="zh-HK"/>
              </w:rPr>
              <w:t>欄應以加密資產及加密負債類別的加權平均率表示。</w:t>
            </w:r>
            <w:r w:rsidRPr="00E6554D">
              <w:rPr>
                <w:rFonts w:eastAsiaTheme="minorEastAsia" w:cs="Segoe UI"/>
                <w:sz w:val="17"/>
                <w:szCs w:val="17"/>
                <w:lang w:eastAsia="zh-HK"/>
              </w:rPr>
              <w:t>LCR</w:t>
            </w:r>
            <w:r w:rsidRPr="00E6554D">
              <w:rPr>
                <w:rFonts w:eastAsiaTheme="minorEastAsia" w:cs="Segoe UI"/>
                <w:sz w:val="17"/>
                <w:szCs w:val="17"/>
                <w:lang w:eastAsia="zh-HK"/>
              </w:rPr>
              <w:t>的</w:t>
            </w:r>
            <w:r w:rsidRPr="00E6554D">
              <w:rPr>
                <w:rFonts w:eastAsiaTheme="minorEastAsia" w:cs="Segoe UI"/>
                <w:sz w:val="17"/>
                <w:szCs w:val="17"/>
                <w:lang w:eastAsia="zh-HK"/>
              </w:rPr>
              <w:t>HQLA</w:t>
            </w:r>
            <w:r w:rsidRPr="00E6554D">
              <w:rPr>
                <w:rFonts w:eastAsiaTheme="minorEastAsia" w:cs="Segoe UI"/>
                <w:sz w:val="17"/>
                <w:szCs w:val="17"/>
                <w:lang w:eastAsia="zh-HK"/>
              </w:rPr>
              <w:t>扣減、現金流入率及現金流出率（即第</w:t>
            </w:r>
            <w:r w:rsidRPr="00E6554D">
              <w:rPr>
                <w:rFonts w:eastAsiaTheme="minorEastAsia" w:cs="Segoe UI"/>
                <w:sz w:val="17"/>
                <w:szCs w:val="17"/>
                <w:lang w:eastAsia="zh-HK"/>
              </w:rPr>
              <w:t>(e)</w:t>
            </w:r>
            <w:r w:rsidRPr="00E6554D">
              <w:rPr>
                <w:rFonts w:eastAsiaTheme="minorEastAsia" w:cs="Segoe UI"/>
                <w:sz w:val="17"/>
                <w:szCs w:val="17"/>
                <w:lang w:eastAsia="zh-HK"/>
              </w:rPr>
              <w:t>、</w:t>
            </w:r>
            <w:r w:rsidRPr="00E6554D">
              <w:rPr>
                <w:rFonts w:eastAsiaTheme="minorEastAsia" w:cs="Segoe UI"/>
                <w:sz w:val="17"/>
                <w:szCs w:val="17"/>
                <w:lang w:eastAsia="zh-HK"/>
              </w:rPr>
              <w:t>(f)</w:t>
            </w:r>
            <w:r w:rsidRPr="00E6554D">
              <w:rPr>
                <w:rFonts w:eastAsiaTheme="minorEastAsia" w:cs="Segoe UI"/>
                <w:sz w:val="17"/>
                <w:szCs w:val="17"/>
                <w:lang w:eastAsia="zh-HK"/>
              </w:rPr>
              <w:t>及</w:t>
            </w:r>
            <w:r w:rsidRPr="00E6554D">
              <w:rPr>
                <w:rFonts w:eastAsiaTheme="minorEastAsia" w:cs="Segoe UI"/>
                <w:sz w:val="17"/>
                <w:szCs w:val="17"/>
                <w:lang w:eastAsia="zh-HK"/>
              </w:rPr>
              <w:t>(h)</w:t>
            </w:r>
            <w:r w:rsidRPr="00E6554D">
              <w:rPr>
                <w:rFonts w:eastAsiaTheme="minorEastAsia" w:cs="Segoe UI"/>
                <w:sz w:val="17"/>
                <w:szCs w:val="17"/>
                <w:lang w:eastAsia="zh-HK"/>
              </w:rPr>
              <w:t>欄）應根據用作計算</w:t>
            </w:r>
            <w:r w:rsidRPr="00E6554D">
              <w:rPr>
                <w:rFonts w:eastAsiaTheme="minorEastAsia" w:cs="Segoe UI"/>
                <w:sz w:val="17"/>
                <w:szCs w:val="17"/>
                <w:lang w:eastAsia="zh-HK"/>
              </w:rPr>
              <w:t>LCR</w:t>
            </w:r>
            <w:r w:rsidRPr="00E6554D">
              <w:rPr>
                <w:rFonts w:eastAsiaTheme="minorEastAsia" w:cs="Segoe UI"/>
                <w:sz w:val="17"/>
                <w:szCs w:val="17"/>
                <w:lang w:eastAsia="zh-HK"/>
              </w:rPr>
              <w:t>的風險承擔數額加權，而</w:t>
            </w:r>
            <w:r w:rsidRPr="00E6554D">
              <w:rPr>
                <w:rFonts w:eastAsiaTheme="minorEastAsia" w:cs="Segoe UI"/>
                <w:sz w:val="17"/>
                <w:szCs w:val="17"/>
                <w:lang w:eastAsia="zh-HK"/>
              </w:rPr>
              <w:t>NSFR</w:t>
            </w:r>
            <w:r w:rsidRPr="00E6554D">
              <w:rPr>
                <w:rFonts w:eastAsiaTheme="minorEastAsia" w:cs="Segoe UI"/>
                <w:sz w:val="17"/>
                <w:szCs w:val="17"/>
                <w:lang w:eastAsia="zh-HK"/>
              </w:rPr>
              <w:t>的</w:t>
            </w:r>
            <w:r w:rsidRPr="00E6554D">
              <w:rPr>
                <w:rFonts w:eastAsiaTheme="minorEastAsia" w:cs="Segoe UI"/>
                <w:sz w:val="17"/>
                <w:szCs w:val="17"/>
                <w:lang w:eastAsia="zh-HK"/>
              </w:rPr>
              <w:t>RSF</w:t>
            </w:r>
            <w:r w:rsidRPr="00E6554D">
              <w:rPr>
                <w:rFonts w:eastAsiaTheme="minorEastAsia" w:cs="Segoe UI"/>
                <w:sz w:val="17"/>
                <w:szCs w:val="17"/>
                <w:lang w:eastAsia="zh-HK"/>
              </w:rPr>
              <w:t>因數及</w:t>
            </w:r>
            <w:r w:rsidRPr="00E6554D">
              <w:rPr>
                <w:rFonts w:eastAsiaTheme="minorEastAsia" w:cs="Segoe UI"/>
                <w:sz w:val="17"/>
                <w:szCs w:val="17"/>
                <w:lang w:eastAsia="zh-HK"/>
              </w:rPr>
              <w:t>ASF</w:t>
            </w:r>
            <w:r w:rsidRPr="00E6554D">
              <w:rPr>
                <w:rFonts w:eastAsiaTheme="minorEastAsia" w:cs="Segoe UI"/>
                <w:sz w:val="17"/>
                <w:szCs w:val="17"/>
                <w:lang w:eastAsia="zh-HK"/>
              </w:rPr>
              <w:t>因數（即第</w:t>
            </w:r>
            <w:r w:rsidRPr="00E6554D">
              <w:rPr>
                <w:rFonts w:eastAsiaTheme="minorEastAsia" w:cs="Segoe UI"/>
                <w:sz w:val="17"/>
                <w:szCs w:val="17"/>
                <w:lang w:eastAsia="zh-HK"/>
              </w:rPr>
              <w:t>(g)</w:t>
            </w:r>
            <w:r w:rsidRPr="00E6554D">
              <w:rPr>
                <w:rFonts w:eastAsiaTheme="minorEastAsia" w:cs="Segoe UI"/>
                <w:sz w:val="17"/>
                <w:szCs w:val="17"/>
                <w:lang w:eastAsia="zh-HK"/>
              </w:rPr>
              <w:t>及</w:t>
            </w:r>
            <w:r w:rsidRPr="00E6554D">
              <w:rPr>
                <w:rFonts w:eastAsiaTheme="minorEastAsia" w:cs="Segoe UI"/>
                <w:sz w:val="17"/>
                <w:szCs w:val="17"/>
                <w:lang w:eastAsia="zh-HK"/>
              </w:rPr>
              <w:t>(</w:t>
            </w:r>
            <w:proofErr w:type="spellStart"/>
            <w:r w:rsidRPr="00E6554D">
              <w:rPr>
                <w:rFonts w:eastAsiaTheme="minorEastAsia" w:cs="Segoe UI"/>
                <w:sz w:val="17"/>
                <w:szCs w:val="17"/>
                <w:lang w:eastAsia="zh-HK"/>
              </w:rPr>
              <w:t>i</w:t>
            </w:r>
            <w:proofErr w:type="spellEnd"/>
            <w:r w:rsidRPr="00E6554D">
              <w:rPr>
                <w:rFonts w:eastAsiaTheme="minorEastAsia" w:cs="Segoe UI"/>
                <w:sz w:val="17"/>
                <w:szCs w:val="17"/>
                <w:lang w:eastAsia="zh-HK"/>
              </w:rPr>
              <w:t>)</w:t>
            </w:r>
            <w:r w:rsidRPr="00E6554D">
              <w:rPr>
                <w:rFonts w:eastAsiaTheme="minorEastAsia" w:cs="Segoe UI"/>
                <w:sz w:val="17"/>
                <w:szCs w:val="17"/>
                <w:lang w:eastAsia="zh-HK"/>
              </w:rPr>
              <w:t>欄）應根據用作計算</w:t>
            </w:r>
            <w:r w:rsidRPr="00E6554D">
              <w:rPr>
                <w:rFonts w:eastAsiaTheme="minorEastAsia" w:cs="Segoe UI"/>
                <w:sz w:val="17"/>
                <w:szCs w:val="17"/>
                <w:lang w:eastAsia="zh-HK"/>
              </w:rPr>
              <w:t>NSFR</w:t>
            </w:r>
            <w:r w:rsidRPr="00E6554D">
              <w:rPr>
                <w:rFonts w:eastAsiaTheme="minorEastAsia" w:cs="Segoe UI"/>
                <w:sz w:val="17"/>
                <w:szCs w:val="17"/>
                <w:lang w:eastAsia="zh-HK"/>
              </w:rPr>
              <w:t>的風險承擔數額加權</w:t>
            </w:r>
            <w:r w:rsidRPr="00E6554D">
              <w:rPr>
                <w:rFonts w:eastAsia="新細明體" w:cs="Segoe UI" w:hint="eastAsia"/>
                <w:sz w:val="17"/>
                <w:szCs w:val="17"/>
                <w:lang w:eastAsia="zh-HK"/>
              </w:rPr>
              <w:t>。</w:t>
            </w:r>
          </w:p>
        </w:tc>
      </w:tr>
      <w:tr w:rsidR="00DA1457" w:rsidRPr="006854AC" w14:paraId="3296CBDC" w14:textId="77777777" w:rsidTr="00F60474">
        <w:trPr>
          <w:jc w:val="center"/>
        </w:trPr>
        <w:tc>
          <w:tcPr>
            <w:tcW w:w="9947" w:type="dxa"/>
            <w:gridSpan w:val="4"/>
            <w:shd w:val="clear" w:color="auto" w:fill="F2F2F2"/>
          </w:tcPr>
          <w:p w14:paraId="22585A8E" w14:textId="77777777" w:rsidR="00DA1457" w:rsidRPr="006854AC" w:rsidRDefault="00DA1457" w:rsidP="00DA1457">
            <w:pPr>
              <w:keepNext/>
              <w:keepLines/>
              <w:tabs>
                <w:tab w:val="left" w:pos="150"/>
                <w:tab w:val="left" w:pos="397"/>
                <w:tab w:val="left" w:pos="794"/>
                <w:tab w:val="left" w:pos="1191"/>
              </w:tabs>
              <w:spacing w:before="40" w:after="40"/>
              <w:rPr>
                <w:rFonts w:eastAsia="新細明體"/>
                <w:b/>
                <w:sz w:val="17"/>
                <w:lang w:eastAsia="en-GB"/>
              </w:rPr>
            </w:pPr>
            <w:r w:rsidRPr="006854AC">
              <w:rPr>
                <w:rFonts w:eastAsia="新細明體" w:hint="eastAsia"/>
                <w:b/>
                <w:sz w:val="17"/>
                <w:lang w:eastAsia="zh-HK"/>
              </w:rPr>
              <w:t>行</w:t>
            </w:r>
          </w:p>
        </w:tc>
      </w:tr>
      <w:tr w:rsidR="00DA1457" w:rsidRPr="006854AC" w14:paraId="5B32CD6B" w14:textId="77777777" w:rsidTr="00F60474">
        <w:trPr>
          <w:jc w:val="center"/>
        </w:trPr>
        <w:tc>
          <w:tcPr>
            <w:tcW w:w="837" w:type="dxa"/>
            <w:gridSpan w:val="2"/>
            <w:shd w:val="clear" w:color="auto" w:fill="auto"/>
          </w:tcPr>
          <w:p w14:paraId="5E177B54" w14:textId="77777777" w:rsidR="00DA1457" w:rsidRPr="006854AC" w:rsidRDefault="00DA1457" w:rsidP="00DA1457">
            <w:pPr>
              <w:keepLines/>
              <w:tabs>
                <w:tab w:val="left" w:pos="150"/>
                <w:tab w:val="left" w:pos="397"/>
                <w:tab w:val="left" w:pos="794"/>
                <w:tab w:val="left" w:pos="1191"/>
              </w:tabs>
              <w:spacing w:before="40" w:after="40"/>
              <w:jc w:val="center"/>
              <w:rPr>
                <w:rFonts w:eastAsiaTheme="minorEastAsia" w:cs="Segoe UI"/>
                <w:sz w:val="17"/>
                <w:szCs w:val="17"/>
              </w:rPr>
            </w:pPr>
            <w:r w:rsidRPr="006854AC">
              <w:rPr>
                <w:rFonts w:eastAsiaTheme="minorEastAsia" w:cs="Segoe UI"/>
                <w:sz w:val="17"/>
                <w:szCs w:val="17"/>
                <w:lang w:eastAsia="zh-HK"/>
              </w:rPr>
              <w:t>行號</w:t>
            </w:r>
          </w:p>
        </w:tc>
        <w:tc>
          <w:tcPr>
            <w:tcW w:w="6017" w:type="dxa"/>
            <w:shd w:val="clear" w:color="auto" w:fill="auto"/>
          </w:tcPr>
          <w:p w14:paraId="45E33F80" w14:textId="77777777" w:rsidR="00DA1457" w:rsidRPr="006854AC" w:rsidRDefault="00DA1457" w:rsidP="00DA1457">
            <w:pPr>
              <w:keepLines/>
              <w:tabs>
                <w:tab w:val="left" w:pos="150"/>
                <w:tab w:val="left" w:pos="397"/>
                <w:tab w:val="left" w:pos="794"/>
                <w:tab w:val="left" w:pos="1191"/>
              </w:tabs>
              <w:spacing w:before="40" w:after="40"/>
              <w:jc w:val="center"/>
              <w:rPr>
                <w:rFonts w:eastAsiaTheme="minorEastAsia" w:cs="Segoe UI"/>
                <w:sz w:val="17"/>
                <w:szCs w:val="17"/>
              </w:rPr>
            </w:pPr>
            <w:r w:rsidRPr="006854AC">
              <w:rPr>
                <w:rFonts w:eastAsiaTheme="minorEastAsia" w:cs="Segoe UI"/>
                <w:sz w:val="17"/>
                <w:szCs w:val="17"/>
                <w:lang w:eastAsia="zh-HK"/>
              </w:rPr>
              <w:t>說明</w:t>
            </w:r>
          </w:p>
        </w:tc>
        <w:tc>
          <w:tcPr>
            <w:tcW w:w="3093" w:type="dxa"/>
            <w:shd w:val="clear" w:color="auto" w:fill="auto"/>
          </w:tcPr>
          <w:p w14:paraId="3A07E040" w14:textId="54490B53" w:rsidR="00DA1457" w:rsidRPr="006854AC" w:rsidRDefault="00DA1457" w:rsidP="00DA1457">
            <w:pPr>
              <w:keepLines/>
              <w:tabs>
                <w:tab w:val="left" w:pos="150"/>
                <w:tab w:val="left" w:pos="397"/>
                <w:tab w:val="left" w:pos="794"/>
                <w:tab w:val="left" w:pos="1191"/>
              </w:tabs>
              <w:spacing w:before="40" w:after="40"/>
              <w:jc w:val="center"/>
              <w:rPr>
                <w:rFonts w:eastAsiaTheme="minorEastAsia" w:cs="Segoe UI"/>
                <w:sz w:val="17"/>
                <w:szCs w:val="17"/>
                <w:lang w:eastAsia="zh-TW"/>
              </w:rPr>
            </w:pPr>
            <w:r w:rsidRPr="006854AC">
              <w:rPr>
                <w:rFonts w:eastAsiaTheme="minorEastAsia" w:cs="Segoe UI"/>
                <w:sz w:val="17"/>
                <w:szCs w:val="17"/>
                <w:lang w:eastAsia="zh-HK"/>
              </w:rPr>
              <w:t>巴塞爾框架</w:t>
            </w:r>
            <w:r w:rsidR="001F3160" w:rsidRPr="006854AC">
              <w:rPr>
                <w:rFonts w:eastAsiaTheme="minorEastAsia" w:cs="Segoe UI"/>
                <w:sz w:val="17"/>
                <w:szCs w:val="17"/>
                <w:lang w:eastAsia="zh-HK"/>
              </w:rPr>
              <w:t>第</w:t>
            </w:r>
            <w:r w:rsidRPr="006854AC">
              <w:rPr>
                <w:rFonts w:eastAsiaTheme="minorEastAsia" w:cs="Segoe UI"/>
                <w:sz w:val="17"/>
                <w:szCs w:val="17"/>
                <w:lang w:eastAsia="zh-TW"/>
              </w:rPr>
              <w:t>SCO60</w:t>
            </w:r>
            <w:r w:rsidR="001F3160" w:rsidRPr="006854AC">
              <w:rPr>
                <w:rFonts w:eastAsiaTheme="minorEastAsia" w:cs="Segoe UI"/>
                <w:sz w:val="17"/>
                <w:szCs w:val="17"/>
                <w:lang w:eastAsia="zh-HK"/>
              </w:rPr>
              <w:t>章</w:t>
            </w:r>
            <w:r w:rsidRPr="006854AC">
              <w:rPr>
                <w:rFonts w:eastAsiaTheme="minorEastAsia" w:cs="Segoe UI"/>
                <w:sz w:val="17"/>
                <w:szCs w:val="17"/>
                <w:lang w:eastAsia="zh-HK"/>
              </w:rPr>
              <w:t>的相關段落</w:t>
            </w:r>
            <w:r w:rsidRPr="006854AC">
              <w:rPr>
                <w:rFonts w:eastAsiaTheme="minorEastAsia" w:cs="Segoe UI"/>
                <w:sz w:val="17"/>
                <w:szCs w:val="17"/>
                <w:vertAlign w:val="superscript"/>
              </w:rPr>
              <w:footnoteReference w:id="20"/>
            </w:r>
          </w:p>
        </w:tc>
      </w:tr>
      <w:tr w:rsidR="00DA1457" w:rsidRPr="006854AC" w14:paraId="18880A66" w14:textId="77777777" w:rsidTr="00F60474">
        <w:trPr>
          <w:jc w:val="center"/>
        </w:trPr>
        <w:tc>
          <w:tcPr>
            <w:tcW w:w="837" w:type="dxa"/>
            <w:gridSpan w:val="2"/>
            <w:shd w:val="clear" w:color="auto" w:fill="auto"/>
          </w:tcPr>
          <w:p w14:paraId="46FF575D"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1</w:t>
            </w:r>
          </w:p>
        </w:tc>
        <w:tc>
          <w:tcPr>
            <w:tcW w:w="6017" w:type="dxa"/>
            <w:shd w:val="clear" w:color="auto" w:fill="auto"/>
          </w:tcPr>
          <w:p w14:paraId="4CC76E4A"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sz w:val="17"/>
                <w:szCs w:val="17"/>
                <w:lang w:eastAsia="zh-HK"/>
              </w:rPr>
              <w:t>此行為第</w:t>
            </w:r>
            <w:r w:rsidRPr="006854AC">
              <w:rPr>
                <w:rFonts w:eastAsiaTheme="minorEastAsia" w:cs="Segoe UI"/>
                <w:sz w:val="17"/>
                <w:szCs w:val="17"/>
                <w:lang w:eastAsia="zh-TW"/>
              </w:rPr>
              <w:t>1.i</w:t>
            </w:r>
            <w:r w:rsidRPr="006854AC">
              <w:rPr>
                <w:rFonts w:eastAsiaTheme="minorEastAsia" w:cs="Segoe UI"/>
                <w:sz w:val="17"/>
                <w:szCs w:val="17"/>
                <w:lang w:eastAsia="zh-TW"/>
              </w:rPr>
              <w:t>、</w:t>
            </w:r>
            <w:r w:rsidRPr="006854AC">
              <w:rPr>
                <w:rFonts w:eastAsiaTheme="minorEastAsia" w:cs="Segoe UI"/>
                <w:sz w:val="17"/>
                <w:szCs w:val="17"/>
                <w:lang w:eastAsia="zh-TW"/>
              </w:rPr>
              <w:t xml:space="preserve">1.ii </w:t>
            </w:r>
            <w:r w:rsidRPr="006854AC">
              <w:rPr>
                <w:rFonts w:eastAsiaTheme="minorEastAsia" w:cs="Segoe UI"/>
                <w:sz w:val="17"/>
                <w:szCs w:val="17"/>
                <w:lang w:eastAsia="zh-HK"/>
              </w:rPr>
              <w:t>及</w:t>
            </w:r>
            <w:r w:rsidRPr="006854AC">
              <w:rPr>
                <w:rFonts w:eastAsiaTheme="minorEastAsia" w:cs="Segoe UI"/>
                <w:sz w:val="17"/>
                <w:szCs w:val="17"/>
                <w:lang w:eastAsia="zh-TW"/>
              </w:rPr>
              <w:t>1.iii</w:t>
            </w:r>
            <w:r w:rsidRPr="006854AC">
              <w:rPr>
                <w:rFonts w:eastAsiaTheme="minorEastAsia" w:cs="Segoe UI"/>
                <w:sz w:val="17"/>
                <w:szCs w:val="17"/>
                <w:lang w:eastAsia="zh-HK"/>
              </w:rPr>
              <w:t>行的和</w:t>
            </w:r>
            <w:r w:rsidRPr="006854AC">
              <w:rPr>
                <w:rFonts w:eastAsiaTheme="minorEastAsia" w:cs="Segoe UI"/>
                <w:sz w:val="17"/>
                <w:szCs w:val="17"/>
                <w:lang w:eastAsia="zh-TW"/>
              </w:rPr>
              <w:t>。</w:t>
            </w:r>
          </w:p>
        </w:tc>
        <w:tc>
          <w:tcPr>
            <w:tcW w:w="3093" w:type="dxa"/>
            <w:shd w:val="clear" w:color="auto" w:fill="auto"/>
          </w:tcPr>
          <w:p w14:paraId="19DEEF1E"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en-GB"/>
              </w:rPr>
            </w:pPr>
            <w:r w:rsidRPr="006854AC">
              <w:rPr>
                <w:rFonts w:eastAsiaTheme="minorEastAsia" w:cs="Segoe UI"/>
                <w:sz w:val="17"/>
                <w:szCs w:val="17"/>
                <w:lang w:eastAsia="en-GB"/>
              </w:rPr>
              <w:t>SCO60.102</w:t>
            </w:r>
            <w:r w:rsidRPr="006854AC">
              <w:rPr>
                <w:rFonts w:eastAsiaTheme="minorEastAsia" w:cs="Segoe UI"/>
                <w:sz w:val="17"/>
                <w:szCs w:val="17"/>
                <w:lang w:eastAsia="zh-HK"/>
              </w:rPr>
              <w:t>至</w:t>
            </w:r>
            <w:r w:rsidRPr="006854AC">
              <w:rPr>
                <w:rFonts w:eastAsiaTheme="minorEastAsia" w:cs="Segoe UI"/>
                <w:sz w:val="17"/>
                <w:szCs w:val="17"/>
                <w:lang w:eastAsia="en-GB"/>
              </w:rPr>
              <w:t>SCO60.108</w:t>
            </w:r>
          </w:p>
        </w:tc>
      </w:tr>
      <w:tr w:rsidR="00DA1457" w:rsidRPr="006854AC" w14:paraId="79A2AFCB" w14:textId="77777777" w:rsidTr="00F60474">
        <w:trPr>
          <w:jc w:val="center"/>
        </w:trPr>
        <w:tc>
          <w:tcPr>
            <w:tcW w:w="837" w:type="dxa"/>
            <w:gridSpan w:val="2"/>
            <w:shd w:val="clear" w:color="auto" w:fill="auto"/>
          </w:tcPr>
          <w:p w14:paraId="36039CE2"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1.i</w:t>
            </w:r>
          </w:p>
        </w:tc>
        <w:tc>
          <w:tcPr>
            <w:tcW w:w="6017" w:type="dxa"/>
            <w:shd w:val="clear" w:color="auto" w:fill="auto"/>
          </w:tcPr>
          <w:p w14:paraId="43A65BEC" w14:textId="77FBFE50" w:rsidR="00DA1457" w:rsidRPr="006854AC" w:rsidRDefault="005E3354"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hint="eastAsia"/>
                <w:sz w:val="17"/>
                <w:szCs w:val="17"/>
                <w:lang w:eastAsia="zh-HK"/>
              </w:rPr>
              <w:t>作為</w:t>
            </w:r>
            <w:r w:rsidR="00DA1457" w:rsidRPr="006854AC">
              <w:rPr>
                <w:rFonts w:eastAsiaTheme="minorEastAsia" w:cs="Segoe UI"/>
                <w:sz w:val="17"/>
                <w:szCs w:val="17"/>
                <w:lang w:eastAsia="zh-HK"/>
              </w:rPr>
              <w:t>HQLA</w:t>
            </w:r>
            <w:r w:rsidR="00DA1457" w:rsidRPr="006854AC">
              <w:rPr>
                <w:rFonts w:eastAsiaTheme="minorEastAsia" w:cs="Segoe UI"/>
                <w:sz w:val="17"/>
                <w:szCs w:val="17"/>
                <w:lang w:eastAsia="zh-HK"/>
              </w:rPr>
              <w:t>的代幣化版本的第</w:t>
            </w:r>
            <w:r w:rsidR="00DA1457" w:rsidRPr="006854AC">
              <w:rPr>
                <w:rFonts w:eastAsiaTheme="minorEastAsia" w:cs="Segoe UI"/>
                <w:sz w:val="17"/>
                <w:szCs w:val="17"/>
                <w:lang w:eastAsia="zh-HK"/>
              </w:rPr>
              <w:t>1a</w:t>
            </w:r>
            <w:r w:rsidR="00DA1457" w:rsidRPr="006854AC">
              <w:rPr>
                <w:rFonts w:eastAsiaTheme="minorEastAsia" w:cs="Segoe UI"/>
                <w:sz w:val="17"/>
                <w:szCs w:val="17"/>
                <w:lang w:eastAsia="zh-HK"/>
              </w:rPr>
              <w:t>組加密資產。就</w:t>
            </w:r>
            <w:r w:rsidR="00DA1457" w:rsidRPr="006854AC">
              <w:rPr>
                <w:rFonts w:eastAsiaTheme="minorEastAsia" w:cs="Segoe UI"/>
                <w:sz w:val="17"/>
                <w:szCs w:val="17"/>
                <w:lang w:eastAsia="zh-TW"/>
              </w:rPr>
              <w:t>LCR</w:t>
            </w:r>
            <w:r w:rsidR="00DA1457" w:rsidRPr="006854AC">
              <w:rPr>
                <w:rFonts w:eastAsiaTheme="minorEastAsia" w:cs="Segoe UI"/>
                <w:sz w:val="17"/>
                <w:szCs w:val="17"/>
                <w:lang w:eastAsia="zh-HK"/>
              </w:rPr>
              <w:t>及</w:t>
            </w:r>
            <w:r w:rsidR="00DA1457" w:rsidRPr="006854AC">
              <w:rPr>
                <w:rFonts w:eastAsiaTheme="minorEastAsia" w:cs="Segoe UI"/>
                <w:sz w:val="17"/>
                <w:szCs w:val="17"/>
                <w:lang w:eastAsia="zh-TW"/>
              </w:rPr>
              <w:t>NSFR</w:t>
            </w:r>
            <w:r w:rsidR="00DA1457" w:rsidRPr="006854AC">
              <w:rPr>
                <w:rFonts w:eastAsiaTheme="minorEastAsia" w:cs="Segoe UI"/>
                <w:sz w:val="17"/>
                <w:szCs w:val="17"/>
                <w:lang w:eastAsia="zh-HK"/>
              </w:rPr>
              <w:t>而言</w:t>
            </w:r>
            <w:r w:rsidR="00B25351" w:rsidRPr="006854AC">
              <w:rPr>
                <w:rFonts w:eastAsiaTheme="minorEastAsia" w:cs="Segoe UI"/>
                <w:sz w:val="17"/>
                <w:szCs w:val="17"/>
                <w:lang w:eastAsia="zh-TW"/>
              </w:rPr>
              <w:t>，</w:t>
            </w:r>
            <w:r w:rsidR="00DA1457" w:rsidRPr="006854AC">
              <w:rPr>
                <w:rFonts w:eastAsiaTheme="minorEastAsia" w:cs="Segoe UI"/>
                <w:sz w:val="17"/>
                <w:szCs w:val="17"/>
                <w:lang w:eastAsia="zh-TW"/>
              </w:rPr>
              <w:t>HQLA</w:t>
            </w:r>
            <w:r w:rsidR="00DA1457" w:rsidRPr="006854AC">
              <w:rPr>
                <w:rFonts w:eastAsiaTheme="minorEastAsia" w:cs="Segoe UI"/>
                <w:sz w:val="17"/>
                <w:szCs w:val="17"/>
                <w:lang w:eastAsia="zh-HK"/>
              </w:rPr>
              <w:t>的計算及定義必須與</w:t>
            </w:r>
            <w:r w:rsidR="00DA1457" w:rsidRPr="006854AC">
              <w:rPr>
                <w:rFonts w:eastAsiaTheme="minorEastAsia" w:cs="Segoe UI"/>
                <w:sz w:val="17"/>
                <w:szCs w:val="17"/>
                <w:lang w:eastAsia="zh-TW"/>
              </w:rPr>
              <w:t>LCR</w:t>
            </w:r>
            <w:r w:rsidR="00DA1457" w:rsidRPr="006854AC">
              <w:rPr>
                <w:rFonts w:eastAsiaTheme="minorEastAsia" w:cs="Segoe UI"/>
                <w:sz w:val="17"/>
                <w:szCs w:val="17"/>
                <w:lang w:eastAsia="zh-HK"/>
              </w:rPr>
              <w:t>披露標準所載的一致</w:t>
            </w:r>
            <w:r w:rsidR="00DA1457" w:rsidRPr="006854AC">
              <w:rPr>
                <w:rFonts w:eastAsiaTheme="minorEastAsia" w:cs="Segoe UI"/>
                <w:sz w:val="17"/>
                <w:szCs w:val="17"/>
                <w:lang w:eastAsia="zh-TW"/>
              </w:rPr>
              <w:t>（</w:t>
            </w:r>
            <w:r w:rsidR="00DA1457" w:rsidRPr="006854AC">
              <w:rPr>
                <w:rFonts w:eastAsiaTheme="minorEastAsia" w:cs="Segoe UI"/>
                <w:sz w:val="17"/>
                <w:szCs w:val="17"/>
                <w:lang w:eastAsia="zh-HK"/>
              </w:rPr>
              <w:t>即符合《流動性規則》第</w:t>
            </w:r>
            <w:r w:rsidR="00DA1457" w:rsidRPr="006854AC">
              <w:rPr>
                <w:rFonts w:eastAsiaTheme="minorEastAsia" w:cs="Segoe UI"/>
                <w:sz w:val="17"/>
                <w:szCs w:val="17"/>
                <w:lang w:eastAsia="zh-HK"/>
              </w:rPr>
              <w:t>25</w:t>
            </w:r>
            <w:r w:rsidR="00DA1457" w:rsidRPr="006854AC">
              <w:rPr>
                <w:rFonts w:eastAsiaTheme="minorEastAsia" w:cs="Segoe UI"/>
                <w:sz w:val="17"/>
                <w:szCs w:val="17"/>
                <w:lang w:eastAsia="zh-HK"/>
              </w:rPr>
              <w:t>條適用規定的</w:t>
            </w:r>
            <w:r w:rsidR="00DA1457" w:rsidRPr="006854AC">
              <w:rPr>
                <w:rFonts w:eastAsiaTheme="minorEastAsia" w:cs="Segoe UI"/>
                <w:sz w:val="17"/>
                <w:szCs w:val="17"/>
                <w:lang w:eastAsia="zh-HK"/>
              </w:rPr>
              <w:t>HQLA</w:t>
            </w:r>
            <w:r w:rsidR="00DA1457" w:rsidRPr="006854AC">
              <w:rPr>
                <w:rFonts w:eastAsiaTheme="minorEastAsia" w:cs="Segoe UI"/>
                <w:sz w:val="17"/>
                <w:szCs w:val="17"/>
                <w:lang w:eastAsia="zh-TW"/>
              </w:rPr>
              <w:t>）</w:t>
            </w:r>
            <w:r w:rsidR="00DA1457" w:rsidRPr="006854AC">
              <w:rPr>
                <w:rFonts w:eastAsiaTheme="minorEastAsia" w:cs="Segoe UI"/>
                <w:sz w:val="17"/>
                <w:szCs w:val="17"/>
                <w:lang w:eastAsia="zh-HK"/>
              </w:rPr>
              <w:t>。</w:t>
            </w:r>
          </w:p>
        </w:tc>
        <w:tc>
          <w:tcPr>
            <w:tcW w:w="3093" w:type="dxa"/>
            <w:shd w:val="clear" w:color="auto" w:fill="auto"/>
          </w:tcPr>
          <w:p w14:paraId="6021540F"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en-GB"/>
              </w:rPr>
            </w:pPr>
            <w:r w:rsidRPr="006854AC">
              <w:rPr>
                <w:rFonts w:eastAsiaTheme="minorEastAsia" w:cs="Segoe UI"/>
                <w:sz w:val="17"/>
                <w:szCs w:val="17"/>
                <w:lang w:eastAsia="en-GB"/>
              </w:rPr>
              <w:t>SCO60.102</w:t>
            </w:r>
            <w:r w:rsidRPr="006854AC">
              <w:rPr>
                <w:rFonts w:eastAsiaTheme="minorEastAsia" w:cs="Segoe UI"/>
                <w:sz w:val="17"/>
                <w:szCs w:val="17"/>
                <w:lang w:eastAsia="zh-HK"/>
              </w:rPr>
              <w:t>至</w:t>
            </w:r>
            <w:r w:rsidRPr="006854AC">
              <w:rPr>
                <w:rFonts w:eastAsiaTheme="minorEastAsia" w:cs="Segoe UI"/>
                <w:sz w:val="17"/>
                <w:szCs w:val="17"/>
                <w:lang w:eastAsia="en-GB"/>
              </w:rPr>
              <w:t>SCO60.103</w:t>
            </w:r>
          </w:p>
        </w:tc>
      </w:tr>
      <w:tr w:rsidR="00DA1457" w:rsidRPr="006854AC" w14:paraId="6D189403" w14:textId="77777777" w:rsidTr="00F60474">
        <w:trPr>
          <w:jc w:val="center"/>
        </w:trPr>
        <w:tc>
          <w:tcPr>
            <w:tcW w:w="837" w:type="dxa"/>
            <w:gridSpan w:val="2"/>
            <w:shd w:val="clear" w:color="auto" w:fill="auto"/>
          </w:tcPr>
          <w:p w14:paraId="713EF19C"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1.ii</w:t>
            </w:r>
          </w:p>
        </w:tc>
        <w:tc>
          <w:tcPr>
            <w:tcW w:w="6017" w:type="dxa"/>
            <w:shd w:val="clear" w:color="auto" w:fill="auto"/>
          </w:tcPr>
          <w:p w14:paraId="16C7D90C" w14:textId="3669370C" w:rsidR="00DA1457" w:rsidRPr="006854AC" w:rsidRDefault="009644E4"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hint="eastAsia"/>
                <w:sz w:val="17"/>
                <w:szCs w:val="17"/>
                <w:lang w:eastAsia="zh-HK"/>
              </w:rPr>
              <w:t>作為</w:t>
            </w:r>
            <w:r w:rsidR="00DA1457" w:rsidRPr="006854AC">
              <w:rPr>
                <w:rFonts w:eastAsiaTheme="minorEastAsia" w:cs="Segoe UI"/>
                <w:sz w:val="17"/>
                <w:szCs w:val="17"/>
                <w:lang w:eastAsia="zh-TW"/>
              </w:rPr>
              <w:t>對</w:t>
            </w:r>
            <w:r w:rsidR="00CE066D" w:rsidRPr="006854AC">
              <w:rPr>
                <w:rFonts w:eastAsiaTheme="minorEastAsia" w:cs="Segoe UI"/>
                <w:sz w:val="17"/>
                <w:szCs w:val="17"/>
                <w:lang w:eastAsia="zh-TW"/>
              </w:rPr>
              <w:t>銀行的代幣化</w:t>
            </w:r>
            <w:r w:rsidR="00827BBB" w:rsidRPr="006854AC">
              <w:rPr>
                <w:rFonts w:eastAsiaTheme="minorEastAsia" w:cs="Segoe UI"/>
                <w:sz w:val="17"/>
                <w:szCs w:val="17"/>
                <w:lang w:eastAsia="zh-TW"/>
              </w:rPr>
              <w:t>申索</w:t>
            </w:r>
            <w:r w:rsidR="00DA1457" w:rsidRPr="006854AC">
              <w:rPr>
                <w:rFonts w:eastAsiaTheme="minorEastAsia" w:cs="Segoe UI"/>
                <w:sz w:val="17"/>
                <w:szCs w:val="17"/>
                <w:lang w:eastAsia="zh-TW"/>
              </w:rPr>
              <w:t>的第</w:t>
            </w:r>
            <w:r w:rsidR="00DA1457" w:rsidRPr="006854AC">
              <w:rPr>
                <w:rFonts w:eastAsiaTheme="minorEastAsia" w:cs="Segoe UI"/>
                <w:sz w:val="17"/>
                <w:szCs w:val="17"/>
                <w:lang w:eastAsia="zh-TW"/>
              </w:rPr>
              <w:t>1a</w:t>
            </w:r>
            <w:r w:rsidR="00DA1457" w:rsidRPr="006854AC">
              <w:rPr>
                <w:rFonts w:eastAsiaTheme="minorEastAsia" w:cs="Segoe UI"/>
                <w:sz w:val="17"/>
                <w:szCs w:val="17"/>
                <w:lang w:eastAsia="zh-TW"/>
              </w:rPr>
              <w:t>組加密資產或加密負債。</w:t>
            </w:r>
          </w:p>
        </w:tc>
        <w:tc>
          <w:tcPr>
            <w:tcW w:w="3093" w:type="dxa"/>
            <w:shd w:val="clear" w:color="auto" w:fill="auto"/>
          </w:tcPr>
          <w:p w14:paraId="0BDE6014"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en-GB"/>
              </w:rPr>
            </w:pPr>
            <w:r w:rsidRPr="006854AC">
              <w:rPr>
                <w:rFonts w:eastAsiaTheme="minorEastAsia" w:cs="Segoe UI"/>
                <w:sz w:val="17"/>
                <w:szCs w:val="17"/>
                <w:lang w:eastAsia="en-GB"/>
              </w:rPr>
              <w:t>SCO60.107</w:t>
            </w:r>
          </w:p>
        </w:tc>
      </w:tr>
      <w:tr w:rsidR="00DA1457" w:rsidRPr="006854AC" w14:paraId="7A2344FA" w14:textId="77777777" w:rsidTr="00F60474">
        <w:trPr>
          <w:jc w:val="center"/>
        </w:trPr>
        <w:tc>
          <w:tcPr>
            <w:tcW w:w="837" w:type="dxa"/>
            <w:gridSpan w:val="2"/>
            <w:shd w:val="clear" w:color="auto" w:fill="auto"/>
          </w:tcPr>
          <w:p w14:paraId="62F3327F"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1.iii</w:t>
            </w:r>
          </w:p>
        </w:tc>
        <w:tc>
          <w:tcPr>
            <w:tcW w:w="6017" w:type="dxa"/>
            <w:shd w:val="clear" w:color="auto" w:fill="auto"/>
          </w:tcPr>
          <w:p w14:paraId="26E51246" w14:textId="270213E6"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sz w:val="17"/>
                <w:szCs w:val="17"/>
                <w:lang w:eastAsia="zh-TW"/>
              </w:rPr>
              <w:t>不同於在第</w:t>
            </w:r>
            <w:r w:rsidR="00A822B7" w:rsidRPr="006854AC">
              <w:rPr>
                <w:rFonts w:eastAsiaTheme="minorEastAsia" w:cs="Segoe UI"/>
                <w:sz w:val="17"/>
                <w:szCs w:val="17"/>
                <w:lang w:eastAsia="zh-TW"/>
              </w:rPr>
              <w:t xml:space="preserve">1.i </w:t>
            </w:r>
            <w:r w:rsidR="00A822B7" w:rsidRPr="006854AC">
              <w:rPr>
                <w:rFonts w:eastAsiaTheme="minorEastAsia" w:cs="Segoe UI" w:hint="eastAsia"/>
                <w:sz w:val="17"/>
                <w:szCs w:val="17"/>
                <w:lang w:eastAsia="zh-HK"/>
              </w:rPr>
              <w:t>及</w:t>
            </w:r>
            <w:proofErr w:type="gramStart"/>
            <w:r w:rsidRPr="006854AC">
              <w:rPr>
                <w:rFonts w:eastAsiaTheme="minorEastAsia" w:cs="Segoe UI"/>
                <w:sz w:val="17"/>
                <w:szCs w:val="17"/>
                <w:lang w:eastAsia="zh-TW"/>
              </w:rPr>
              <w:t>1.ii</w:t>
            </w:r>
            <w:proofErr w:type="gramEnd"/>
            <w:r w:rsidRPr="006854AC">
              <w:rPr>
                <w:rFonts w:eastAsiaTheme="minorEastAsia" w:cs="Segoe UI"/>
                <w:sz w:val="17"/>
                <w:szCs w:val="17"/>
                <w:lang w:eastAsia="zh-TW"/>
              </w:rPr>
              <w:t>行填報的第</w:t>
            </w:r>
            <w:r w:rsidRPr="006854AC">
              <w:rPr>
                <w:rFonts w:eastAsiaTheme="minorEastAsia" w:cs="Segoe UI"/>
                <w:sz w:val="17"/>
                <w:szCs w:val="17"/>
                <w:lang w:eastAsia="zh-TW"/>
              </w:rPr>
              <w:t>1a</w:t>
            </w:r>
            <w:r w:rsidRPr="006854AC">
              <w:rPr>
                <w:rFonts w:eastAsiaTheme="minorEastAsia" w:cs="Segoe UI"/>
                <w:sz w:val="17"/>
                <w:szCs w:val="17"/>
                <w:lang w:eastAsia="zh-TW"/>
              </w:rPr>
              <w:t>組加密資產或加密負債。</w:t>
            </w:r>
          </w:p>
        </w:tc>
        <w:tc>
          <w:tcPr>
            <w:tcW w:w="3093" w:type="dxa"/>
            <w:shd w:val="clear" w:color="auto" w:fill="auto"/>
          </w:tcPr>
          <w:p w14:paraId="3CFABCA1"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en-GB"/>
              </w:rPr>
            </w:pPr>
            <w:r w:rsidRPr="006854AC">
              <w:rPr>
                <w:rFonts w:eastAsiaTheme="minorEastAsia" w:cs="Segoe UI"/>
                <w:sz w:val="17"/>
                <w:szCs w:val="17"/>
                <w:lang w:eastAsia="en-GB"/>
              </w:rPr>
              <w:t>SCO60.102</w:t>
            </w:r>
            <w:r w:rsidRPr="006854AC">
              <w:rPr>
                <w:rFonts w:eastAsiaTheme="minorEastAsia" w:cs="Segoe UI"/>
                <w:sz w:val="17"/>
                <w:szCs w:val="17"/>
                <w:lang w:eastAsia="zh-HK"/>
              </w:rPr>
              <w:t>至</w:t>
            </w:r>
            <w:r w:rsidRPr="006854AC">
              <w:rPr>
                <w:rFonts w:eastAsiaTheme="minorEastAsia" w:cs="Segoe UI"/>
                <w:sz w:val="17"/>
                <w:szCs w:val="17"/>
                <w:lang w:eastAsia="en-GB"/>
              </w:rPr>
              <w:t>SCO60.108</w:t>
            </w:r>
          </w:p>
        </w:tc>
      </w:tr>
      <w:tr w:rsidR="00DA1457" w:rsidRPr="006854AC" w14:paraId="659D60A2" w14:textId="77777777" w:rsidTr="00F60474">
        <w:trPr>
          <w:jc w:val="center"/>
        </w:trPr>
        <w:tc>
          <w:tcPr>
            <w:tcW w:w="837" w:type="dxa"/>
            <w:gridSpan w:val="2"/>
            <w:shd w:val="clear" w:color="auto" w:fill="auto"/>
          </w:tcPr>
          <w:p w14:paraId="361A1884"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2</w:t>
            </w:r>
          </w:p>
        </w:tc>
        <w:tc>
          <w:tcPr>
            <w:tcW w:w="6017" w:type="dxa"/>
            <w:shd w:val="clear" w:color="auto" w:fill="auto"/>
          </w:tcPr>
          <w:p w14:paraId="222B56CC" w14:textId="018DF1E1" w:rsidR="00DA1457" w:rsidRPr="006854AC" w:rsidRDefault="00443378"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hint="eastAsia"/>
                <w:sz w:val="17"/>
                <w:szCs w:val="17"/>
                <w:lang w:eastAsia="zh-HK"/>
              </w:rPr>
              <w:t>以</w:t>
            </w:r>
            <w:r w:rsidR="003929ED" w:rsidRPr="006854AC">
              <w:rPr>
                <w:rFonts w:eastAsiaTheme="minorEastAsia" w:cs="Segoe UI"/>
                <w:sz w:val="17"/>
                <w:szCs w:val="17"/>
                <w:lang w:eastAsia="zh-HK"/>
              </w:rPr>
              <w:t>一組被分隔開的</w:t>
            </w:r>
            <w:r w:rsidR="003929ED" w:rsidRPr="006854AC">
              <w:rPr>
                <w:rFonts w:eastAsiaTheme="minorEastAsia" w:cs="Segoe UI" w:hint="eastAsia"/>
                <w:sz w:val="17"/>
                <w:szCs w:val="17"/>
                <w:lang w:eastAsia="zh-HK"/>
              </w:rPr>
              <w:t>基</w:t>
            </w:r>
            <w:r w:rsidR="003929ED" w:rsidRPr="006854AC">
              <w:rPr>
                <w:rFonts w:eastAsiaTheme="minorEastAsia" w:cs="Segoe UI" w:hint="eastAsia"/>
                <w:sz w:val="17"/>
                <w:szCs w:val="17"/>
                <w:lang w:eastAsia="zh-TW"/>
              </w:rPr>
              <w:t>礎</w:t>
            </w:r>
            <w:r w:rsidR="00DA1457" w:rsidRPr="006854AC">
              <w:rPr>
                <w:rFonts w:eastAsiaTheme="minorEastAsia" w:cs="Segoe UI"/>
                <w:sz w:val="17"/>
                <w:szCs w:val="17"/>
                <w:lang w:eastAsia="zh-HK"/>
              </w:rPr>
              <w:t>資產</w:t>
            </w:r>
            <w:r w:rsidR="00DA1457" w:rsidRPr="006854AC">
              <w:rPr>
                <w:rFonts w:eastAsiaTheme="minorEastAsia" w:cs="Segoe UI"/>
                <w:sz w:val="17"/>
                <w:szCs w:val="17"/>
                <w:lang w:eastAsia="zh-TW"/>
              </w:rPr>
              <w:t>（</w:t>
            </w:r>
            <w:r w:rsidR="00DA1457" w:rsidRPr="006854AC">
              <w:rPr>
                <w:rFonts w:eastAsiaTheme="minorEastAsia" w:cs="Segoe UI"/>
                <w:sz w:val="17"/>
                <w:szCs w:val="17"/>
                <w:lang w:eastAsia="zh-HK"/>
              </w:rPr>
              <w:t>並不計入認可機構</w:t>
            </w:r>
            <w:r w:rsidR="00DA1457" w:rsidRPr="006854AC">
              <w:rPr>
                <w:rFonts w:eastAsiaTheme="minorEastAsia" w:cs="Segoe UI"/>
                <w:sz w:val="17"/>
                <w:szCs w:val="17"/>
                <w:lang w:eastAsia="zh-HK"/>
              </w:rPr>
              <w:t>HQLA</w:t>
            </w:r>
            <w:r w:rsidR="003929ED" w:rsidRPr="006854AC">
              <w:rPr>
                <w:rFonts w:eastAsiaTheme="minorEastAsia" w:cs="Segoe UI" w:hint="eastAsia"/>
                <w:sz w:val="17"/>
                <w:szCs w:val="17"/>
                <w:lang w:eastAsia="zh-HK"/>
              </w:rPr>
              <w:t>儲</w:t>
            </w:r>
            <w:r w:rsidR="003929ED" w:rsidRPr="006854AC">
              <w:rPr>
                <w:rFonts w:eastAsiaTheme="minorEastAsia" w:cs="Segoe UI" w:hint="eastAsia"/>
                <w:sz w:val="17"/>
                <w:szCs w:val="17"/>
                <w:lang w:eastAsia="zh-TW"/>
              </w:rPr>
              <w:t>備</w:t>
            </w:r>
            <w:r w:rsidR="00DA1457" w:rsidRPr="006854AC">
              <w:rPr>
                <w:rFonts w:eastAsiaTheme="minorEastAsia" w:cs="Segoe UI"/>
                <w:sz w:val="17"/>
                <w:szCs w:val="17"/>
                <w:lang w:eastAsia="zh-TW"/>
              </w:rPr>
              <w:t>）</w:t>
            </w:r>
            <w:r w:rsidRPr="006854AC">
              <w:rPr>
                <w:rFonts w:eastAsiaTheme="minorEastAsia" w:cs="Segoe UI" w:hint="eastAsia"/>
                <w:sz w:val="17"/>
                <w:szCs w:val="17"/>
                <w:lang w:eastAsia="zh-HK"/>
              </w:rPr>
              <w:t>作</w:t>
            </w:r>
            <w:r w:rsidR="00DA1457" w:rsidRPr="006854AC">
              <w:rPr>
                <w:rFonts w:eastAsiaTheme="minorEastAsia" w:cs="Segoe UI"/>
                <w:sz w:val="17"/>
                <w:szCs w:val="17"/>
                <w:lang w:eastAsia="zh-HK"/>
              </w:rPr>
              <w:t>完全抵押的加密資產或加密負債。此行是第</w:t>
            </w:r>
            <w:r w:rsidR="00DA1457" w:rsidRPr="006854AC">
              <w:rPr>
                <w:rFonts w:eastAsiaTheme="minorEastAsia" w:cs="Segoe UI"/>
                <w:sz w:val="17"/>
                <w:szCs w:val="17"/>
                <w:lang w:eastAsia="zh-HK"/>
              </w:rPr>
              <w:t>2.i</w:t>
            </w:r>
            <w:r w:rsidR="00DA1457" w:rsidRPr="006854AC">
              <w:rPr>
                <w:rFonts w:eastAsiaTheme="minorEastAsia" w:cs="Segoe UI"/>
                <w:sz w:val="17"/>
                <w:szCs w:val="17"/>
                <w:lang w:eastAsia="zh-HK"/>
              </w:rPr>
              <w:t>行及第</w:t>
            </w:r>
            <w:r w:rsidR="00DA1457" w:rsidRPr="006854AC">
              <w:rPr>
                <w:rFonts w:eastAsiaTheme="minorEastAsia" w:cs="Segoe UI"/>
                <w:sz w:val="17"/>
                <w:szCs w:val="17"/>
                <w:lang w:eastAsia="zh-HK"/>
              </w:rPr>
              <w:t>2.ii</w:t>
            </w:r>
            <w:r w:rsidR="00DA1457" w:rsidRPr="006854AC">
              <w:rPr>
                <w:rFonts w:eastAsiaTheme="minorEastAsia" w:cs="Segoe UI"/>
                <w:sz w:val="17"/>
                <w:szCs w:val="17"/>
                <w:lang w:eastAsia="zh-HK"/>
              </w:rPr>
              <w:t>行的和。</w:t>
            </w:r>
          </w:p>
        </w:tc>
        <w:tc>
          <w:tcPr>
            <w:tcW w:w="3093" w:type="dxa"/>
            <w:vMerge w:val="restart"/>
            <w:shd w:val="clear" w:color="auto" w:fill="auto"/>
            <w:vAlign w:val="center"/>
          </w:tcPr>
          <w:p w14:paraId="73AD9797" w14:textId="77777777" w:rsidR="00DA1457" w:rsidRPr="006854AC" w:rsidRDefault="00DA1457" w:rsidP="00DA1457">
            <w:pPr>
              <w:keepLines/>
              <w:tabs>
                <w:tab w:val="left" w:pos="150"/>
                <w:tab w:val="left" w:pos="397"/>
                <w:tab w:val="left" w:pos="794"/>
                <w:tab w:val="left" w:pos="1191"/>
              </w:tabs>
              <w:spacing w:before="40" w:after="40"/>
              <w:rPr>
                <w:rFonts w:eastAsiaTheme="minorEastAsia" w:cs="Segoe UI"/>
                <w:sz w:val="17"/>
                <w:szCs w:val="17"/>
                <w:lang w:eastAsia="en-GB"/>
              </w:rPr>
            </w:pPr>
            <w:r w:rsidRPr="006854AC">
              <w:rPr>
                <w:rFonts w:eastAsiaTheme="minorEastAsia" w:cs="Segoe UI"/>
                <w:sz w:val="17"/>
                <w:szCs w:val="17"/>
                <w:lang w:eastAsia="en-GB"/>
              </w:rPr>
              <w:t>SCO60.108</w:t>
            </w:r>
          </w:p>
        </w:tc>
      </w:tr>
      <w:tr w:rsidR="00DA1457" w:rsidRPr="006854AC" w14:paraId="6D890718" w14:textId="77777777" w:rsidTr="00F60474">
        <w:trPr>
          <w:jc w:val="center"/>
        </w:trPr>
        <w:tc>
          <w:tcPr>
            <w:tcW w:w="837" w:type="dxa"/>
            <w:gridSpan w:val="2"/>
            <w:shd w:val="clear" w:color="auto" w:fill="auto"/>
          </w:tcPr>
          <w:p w14:paraId="61910C87"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2.i</w:t>
            </w:r>
          </w:p>
        </w:tc>
        <w:tc>
          <w:tcPr>
            <w:tcW w:w="6017" w:type="dxa"/>
            <w:shd w:val="clear" w:color="auto" w:fill="auto"/>
          </w:tcPr>
          <w:p w14:paraId="149A838B"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sz w:val="17"/>
                <w:szCs w:val="17"/>
                <w:lang w:eastAsia="zh-HK"/>
              </w:rPr>
              <w:t>被認可機構歸類為</w:t>
            </w:r>
            <w:r w:rsidRPr="006854AC">
              <w:rPr>
                <w:rFonts w:eastAsiaTheme="minorEastAsia" w:cs="Segoe UI"/>
                <w:sz w:val="17"/>
                <w:szCs w:val="17"/>
                <w:lang w:eastAsia="zh-TW"/>
              </w:rPr>
              <w:t>第</w:t>
            </w:r>
            <w:r w:rsidRPr="006854AC">
              <w:rPr>
                <w:rFonts w:eastAsiaTheme="minorEastAsia" w:cs="Segoe UI"/>
                <w:sz w:val="17"/>
                <w:szCs w:val="17"/>
                <w:lang w:eastAsia="zh-TW"/>
              </w:rPr>
              <w:t>1b</w:t>
            </w:r>
            <w:r w:rsidRPr="006854AC">
              <w:rPr>
                <w:rFonts w:eastAsiaTheme="minorEastAsia" w:cs="Segoe UI"/>
                <w:sz w:val="17"/>
                <w:szCs w:val="17"/>
                <w:lang w:eastAsia="zh-TW"/>
              </w:rPr>
              <w:t>組</w:t>
            </w:r>
            <w:r w:rsidRPr="006854AC">
              <w:rPr>
                <w:rFonts w:eastAsiaTheme="minorEastAsia" w:cs="Segoe UI"/>
                <w:sz w:val="17"/>
                <w:szCs w:val="17"/>
                <w:lang w:eastAsia="zh-HK"/>
              </w:rPr>
              <w:t>的穩定幣</w:t>
            </w:r>
            <w:r w:rsidRPr="006854AC">
              <w:rPr>
                <w:rFonts w:eastAsiaTheme="minorEastAsia" w:cs="Segoe UI"/>
                <w:sz w:val="17"/>
                <w:szCs w:val="17"/>
                <w:lang w:eastAsia="zh-TW"/>
              </w:rPr>
              <w:t>。</w:t>
            </w:r>
          </w:p>
        </w:tc>
        <w:tc>
          <w:tcPr>
            <w:tcW w:w="3093" w:type="dxa"/>
            <w:vMerge/>
            <w:shd w:val="clear" w:color="auto" w:fill="auto"/>
          </w:tcPr>
          <w:p w14:paraId="06B51F93"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p>
        </w:tc>
      </w:tr>
      <w:tr w:rsidR="00DA1457" w:rsidRPr="006854AC" w14:paraId="0D7EFEAB" w14:textId="77777777" w:rsidTr="00F60474">
        <w:trPr>
          <w:jc w:val="center"/>
        </w:trPr>
        <w:tc>
          <w:tcPr>
            <w:tcW w:w="837" w:type="dxa"/>
            <w:gridSpan w:val="2"/>
            <w:shd w:val="clear" w:color="auto" w:fill="auto"/>
          </w:tcPr>
          <w:p w14:paraId="3CE20281"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2.ii</w:t>
            </w:r>
          </w:p>
        </w:tc>
        <w:tc>
          <w:tcPr>
            <w:tcW w:w="6017" w:type="dxa"/>
            <w:shd w:val="clear" w:color="auto" w:fill="auto"/>
          </w:tcPr>
          <w:p w14:paraId="4586E029"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sz w:val="17"/>
                <w:szCs w:val="17"/>
                <w:lang w:eastAsia="zh-HK"/>
              </w:rPr>
              <w:t>僅因贖回限制（即最低通知期）而不符合第</w:t>
            </w:r>
            <w:r w:rsidRPr="006854AC">
              <w:rPr>
                <w:rFonts w:eastAsiaTheme="minorEastAsia" w:cs="Segoe UI"/>
                <w:sz w:val="17"/>
                <w:szCs w:val="17"/>
                <w:lang w:eastAsia="zh-HK"/>
              </w:rPr>
              <w:t>1b</w:t>
            </w:r>
            <w:r w:rsidRPr="006854AC">
              <w:rPr>
                <w:rFonts w:eastAsiaTheme="minorEastAsia" w:cs="Segoe UI"/>
                <w:sz w:val="17"/>
                <w:szCs w:val="17"/>
                <w:lang w:eastAsia="zh-HK"/>
              </w:rPr>
              <w:t>組加密資產資格的穩定幣</w:t>
            </w:r>
            <w:r w:rsidRPr="006854AC">
              <w:rPr>
                <w:rFonts w:eastAsiaTheme="minorEastAsia" w:cs="Segoe UI"/>
                <w:sz w:val="17"/>
                <w:szCs w:val="17"/>
                <w:lang w:eastAsia="zh-TW"/>
              </w:rPr>
              <w:t>。</w:t>
            </w:r>
          </w:p>
        </w:tc>
        <w:tc>
          <w:tcPr>
            <w:tcW w:w="3093" w:type="dxa"/>
            <w:vMerge/>
            <w:shd w:val="clear" w:color="auto" w:fill="auto"/>
          </w:tcPr>
          <w:p w14:paraId="625261CE"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p>
        </w:tc>
      </w:tr>
      <w:tr w:rsidR="00DA1457" w:rsidRPr="006854AC" w14:paraId="19587038" w14:textId="77777777" w:rsidTr="00F60474">
        <w:trPr>
          <w:jc w:val="center"/>
        </w:trPr>
        <w:tc>
          <w:tcPr>
            <w:tcW w:w="837" w:type="dxa"/>
            <w:gridSpan w:val="2"/>
            <w:shd w:val="clear" w:color="auto" w:fill="auto"/>
          </w:tcPr>
          <w:p w14:paraId="5BFCB000" w14:textId="77777777" w:rsidR="00DA1457" w:rsidRPr="00804EAD" w:rsidRDefault="00DA1457" w:rsidP="00DA1457">
            <w:pPr>
              <w:keepLines/>
              <w:tabs>
                <w:tab w:val="left" w:pos="150"/>
                <w:tab w:val="left" w:pos="397"/>
                <w:tab w:val="left" w:pos="794"/>
                <w:tab w:val="left" w:pos="1191"/>
              </w:tabs>
              <w:spacing w:before="40" w:after="40"/>
              <w:rPr>
                <w:rFonts w:eastAsiaTheme="minorEastAsia" w:cs="Segoe UI"/>
                <w:sz w:val="17"/>
                <w:szCs w:val="17"/>
              </w:rPr>
            </w:pPr>
            <w:r w:rsidRPr="00804EAD">
              <w:rPr>
                <w:rFonts w:eastAsiaTheme="minorEastAsia" w:cs="Segoe UI"/>
                <w:sz w:val="17"/>
                <w:szCs w:val="17"/>
              </w:rPr>
              <w:t>3</w:t>
            </w:r>
          </w:p>
        </w:tc>
        <w:tc>
          <w:tcPr>
            <w:tcW w:w="6017" w:type="dxa"/>
            <w:shd w:val="clear" w:color="auto" w:fill="auto"/>
          </w:tcPr>
          <w:p w14:paraId="07F8CD97" w14:textId="258AE62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zh-TW"/>
              </w:rPr>
            </w:pPr>
            <w:r w:rsidRPr="006854AC">
              <w:rPr>
                <w:rFonts w:eastAsiaTheme="minorEastAsia" w:cs="Segoe UI"/>
                <w:sz w:val="17"/>
                <w:szCs w:val="17"/>
                <w:lang w:eastAsia="zh-TW"/>
              </w:rPr>
              <w:t>在第</w:t>
            </w:r>
            <w:r w:rsidRPr="006854AC">
              <w:rPr>
                <w:rFonts w:eastAsiaTheme="minorEastAsia" w:cs="Segoe UI"/>
                <w:sz w:val="17"/>
                <w:szCs w:val="17"/>
                <w:lang w:eastAsia="zh-TW"/>
              </w:rPr>
              <w:t>2.ii</w:t>
            </w:r>
            <w:r w:rsidRPr="006854AC">
              <w:rPr>
                <w:rFonts w:eastAsiaTheme="minorEastAsia" w:cs="Segoe UI"/>
                <w:sz w:val="17"/>
                <w:szCs w:val="17"/>
                <w:lang w:eastAsia="zh-TW"/>
              </w:rPr>
              <w:t>行</w:t>
            </w:r>
            <w:r w:rsidRPr="006854AC">
              <w:rPr>
                <w:rFonts w:eastAsiaTheme="minorEastAsia" w:cs="Segoe UI"/>
                <w:sz w:val="17"/>
                <w:szCs w:val="17"/>
                <w:lang w:eastAsia="zh-HK"/>
              </w:rPr>
              <w:t>填</w:t>
            </w:r>
            <w:r w:rsidRPr="006854AC">
              <w:rPr>
                <w:rFonts w:eastAsiaTheme="minorEastAsia" w:cs="Segoe UI"/>
                <w:sz w:val="17"/>
                <w:szCs w:val="17"/>
                <w:lang w:eastAsia="zh-TW"/>
              </w:rPr>
              <w:t>報的穩定幣</w:t>
            </w:r>
            <w:r w:rsidRPr="006854AC">
              <w:rPr>
                <w:rFonts w:eastAsiaTheme="minorEastAsia" w:cs="Segoe UI"/>
                <w:sz w:val="17"/>
                <w:szCs w:val="17"/>
                <w:lang w:eastAsia="zh-HK"/>
              </w:rPr>
              <w:t>以</w:t>
            </w:r>
            <w:r w:rsidRPr="006854AC">
              <w:rPr>
                <w:rFonts w:eastAsiaTheme="minorEastAsia" w:cs="Segoe UI"/>
                <w:sz w:val="17"/>
                <w:szCs w:val="17"/>
                <w:lang w:eastAsia="zh-TW"/>
              </w:rPr>
              <w:t>外的第</w:t>
            </w:r>
            <w:r w:rsidRPr="006854AC">
              <w:rPr>
                <w:rFonts w:eastAsiaTheme="minorEastAsia" w:cs="Segoe UI"/>
                <w:sz w:val="17"/>
                <w:szCs w:val="17"/>
                <w:lang w:eastAsia="zh-TW"/>
              </w:rPr>
              <w:t>2</w:t>
            </w:r>
            <w:r w:rsidRPr="006854AC">
              <w:rPr>
                <w:rFonts w:eastAsiaTheme="minorEastAsia" w:cs="Segoe UI"/>
                <w:sz w:val="17"/>
                <w:szCs w:val="17"/>
                <w:lang w:eastAsia="zh-TW"/>
              </w:rPr>
              <w:t>組加密資產或加密負債，即</w:t>
            </w:r>
            <w:r w:rsidRPr="006854AC">
              <w:rPr>
                <w:rFonts w:eastAsiaTheme="minorEastAsia" w:cs="Segoe UI"/>
                <w:sz w:val="17"/>
                <w:szCs w:val="17"/>
                <w:lang w:eastAsia="zh-HK"/>
              </w:rPr>
              <w:t>其須受</w:t>
            </w:r>
            <w:r w:rsidRPr="006854AC">
              <w:rPr>
                <w:rFonts w:eastAsiaTheme="minorEastAsia" w:cs="Segoe UI"/>
                <w:sz w:val="17"/>
                <w:szCs w:val="17"/>
                <w:lang w:eastAsia="zh-TW"/>
              </w:rPr>
              <w:t>SCO60.109</w:t>
            </w:r>
            <w:r w:rsidRPr="006854AC">
              <w:rPr>
                <w:rFonts w:eastAsiaTheme="minorEastAsia" w:cs="Segoe UI"/>
                <w:sz w:val="17"/>
                <w:szCs w:val="17"/>
                <w:lang w:eastAsia="zh-HK"/>
              </w:rPr>
              <w:t>所載</w:t>
            </w:r>
            <w:r w:rsidR="007D403A" w:rsidRPr="006854AC">
              <w:rPr>
                <w:rFonts w:eastAsiaTheme="minorEastAsia" w:cs="Segoe UI"/>
                <w:sz w:val="17"/>
                <w:szCs w:val="17"/>
                <w:lang w:eastAsia="zh-TW"/>
              </w:rPr>
              <w:t>處理方</w:t>
            </w:r>
            <w:r w:rsidR="007D403A" w:rsidRPr="006854AC">
              <w:rPr>
                <w:rFonts w:eastAsiaTheme="minorEastAsia" w:cs="Segoe UI" w:hint="eastAsia"/>
                <w:sz w:val="17"/>
                <w:szCs w:val="17"/>
                <w:lang w:eastAsia="zh-HK"/>
              </w:rPr>
              <w:t>法規限</w:t>
            </w:r>
            <w:r w:rsidRPr="006854AC">
              <w:rPr>
                <w:rFonts w:eastAsiaTheme="minorEastAsia" w:cs="Segoe UI"/>
                <w:sz w:val="17"/>
                <w:szCs w:val="17"/>
                <w:lang w:eastAsia="zh-TW"/>
              </w:rPr>
              <w:t>。</w:t>
            </w:r>
          </w:p>
        </w:tc>
        <w:tc>
          <w:tcPr>
            <w:tcW w:w="3093" w:type="dxa"/>
            <w:shd w:val="clear" w:color="auto" w:fill="auto"/>
          </w:tcPr>
          <w:p w14:paraId="6EF3C84F" w14:textId="77777777" w:rsidR="00DA1457" w:rsidRPr="006854AC" w:rsidRDefault="00DA1457" w:rsidP="00DA1457">
            <w:pPr>
              <w:keepLines/>
              <w:tabs>
                <w:tab w:val="left" w:pos="150"/>
                <w:tab w:val="left" w:pos="397"/>
                <w:tab w:val="left" w:pos="794"/>
                <w:tab w:val="left" w:pos="1191"/>
              </w:tabs>
              <w:spacing w:before="40" w:after="40"/>
              <w:jc w:val="both"/>
              <w:rPr>
                <w:rFonts w:eastAsiaTheme="minorEastAsia" w:cs="Segoe UI"/>
                <w:sz w:val="17"/>
                <w:szCs w:val="17"/>
                <w:lang w:eastAsia="en-GB"/>
              </w:rPr>
            </w:pPr>
            <w:r w:rsidRPr="006854AC">
              <w:rPr>
                <w:rFonts w:eastAsiaTheme="minorEastAsia" w:cs="Segoe UI"/>
                <w:sz w:val="17"/>
                <w:szCs w:val="17"/>
                <w:lang w:eastAsia="en-GB"/>
              </w:rPr>
              <w:t>SCO60.109</w:t>
            </w:r>
          </w:p>
        </w:tc>
      </w:tr>
    </w:tbl>
    <w:p w14:paraId="70D5CF03" w14:textId="77777777" w:rsidR="00DA1457" w:rsidRPr="006854AC" w:rsidRDefault="00DA1457" w:rsidP="00DA1457">
      <w:pPr>
        <w:rPr>
          <w:u w:val="single"/>
        </w:rPr>
      </w:pPr>
    </w:p>
    <w:p w14:paraId="5573888B" w14:textId="77777777" w:rsidR="00DA1457" w:rsidRPr="006854AC" w:rsidRDefault="00DA1457" w:rsidP="00DA1457">
      <w:pPr>
        <w:rPr>
          <w:rFonts w:eastAsiaTheme="minorEastAsia" w:cs="Segoe UI"/>
          <w:lang w:eastAsia="zh-TW"/>
        </w:rPr>
      </w:pPr>
    </w:p>
    <w:p w14:paraId="4C4A3069" w14:textId="3D885B6C" w:rsidR="00DA1457" w:rsidRPr="006854AC" w:rsidRDefault="00DA1457" w:rsidP="00DA1457">
      <w:pPr>
        <w:rPr>
          <w:rFonts w:eastAsia="新細明體"/>
          <w:sz w:val="22"/>
          <w:szCs w:val="24"/>
          <w:u w:val="single"/>
        </w:rPr>
      </w:pPr>
    </w:p>
    <w:p w14:paraId="3DBAAFCD" w14:textId="7564892D" w:rsidR="00FE5BB7" w:rsidRPr="006A6FF6" w:rsidRDefault="00FE5BB7" w:rsidP="00DA1457">
      <w:pPr>
        <w:keepNext/>
        <w:keepLines/>
        <w:ind w:hanging="426"/>
        <w:outlineLvl w:val="0"/>
        <w:rPr>
          <w:rFonts w:eastAsiaTheme="minorEastAsia" w:cs="Segoe UI"/>
          <w:lang w:eastAsia="zh-TW"/>
        </w:rPr>
      </w:pPr>
    </w:p>
    <w:sectPr w:rsidR="00FE5BB7" w:rsidRPr="006A6FF6" w:rsidSect="00DA1457">
      <w:footerReference w:type="default" r:id="rId126"/>
      <w:pgSz w:w="11906" w:h="16838" w:code="9"/>
      <w:pgMar w:top="1440" w:right="1797" w:bottom="1440" w:left="179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2504" w14:textId="77777777" w:rsidR="003C038F" w:rsidRDefault="003C038F" w:rsidP="00D56E58">
      <w:r>
        <w:separator/>
      </w:r>
    </w:p>
  </w:endnote>
  <w:endnote w:type="continuationSeparator" w:id="0">
    <w:p w14:paraId="659054E4" w14:textId="77777777" w:rsidR="003C038F" w:rsidRDefault="003C038F" w:rsidP="00D56E58">
      <w:r>
        <w:continuationSeparator/>
      </w:r>
    </w:p>
  </w:endnote>
  <w:endnote w:type="continuationNotice" w:id="1">
    <w:p w14:paraId="7372BCE1" w14:textId="77777777" w:rsidR="003C038F" w:rsidRDefault="003C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
    <w:altName w:val="新細明體"/>
    <w:panose1 w:val="00000000000000000000"/>
    <w:charset w:val="88"/>
    <w:family w:val="roman"/>
    <w:notTrueType/>
    <w:pitch w:val="default"/>
    <w:sig w:usb0="00000000"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Xingkai">
    <w:charset w:val="86"/>
    <w:family w:val="auto"/>
    <w:pitch w:val="variable"/>
    <w:sig w:usb0="00000001" w:usb1="080F0000" w:usb2="00000010" w:usb3="00000000" w:csb0="00040000"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4784" w14:textId="77777777" w:rsidR="00DD7625" w:rsidRDefault="00DD76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0704" w14:textId="57F83FA6" w:rsidR="003C038F" w:rsidRPr="0050380D" w:rsidRDefault="003C038F" w:rsidP="00293C0D">
    <w:pPr>
      <w:pStyle w:val="Footer"/>
      <w:tabs>
        <w:tab w:val="clear" w:pos="4153"/>
        <w:tab w:val="clear" w:pos="8306"/>
        <w:tab w:val="left" w:pos="4111"/>
        <w:tab w:val="center" w:pos="4156"/>
        <w:tab w:val="right" w:pos="8312"/>
      </w:tabs>
      <w:rPr>
        <w:rFonts w:cs="Segoe UI"/>
      </w:rPr>
    </w:pPr>
    <w:r w:rsidRPr="0050380D">
      <w:rPr>
        <w:rFonts w:ascii="細明體" w:eastAsia="細明體" w:hAnsi="細明體" w:cs="細明體" w:hint="eastAsia"/>
      </w:rPr>
      <w:t>第</w:t>
    </w:r>
    <w:r w:rsidRPr="001D7C56">
      <w:rPr>
        <w:rFonts w:cs="Segoe UI"/>
      </w:rPr>
      <w:t>II</w:t>
    </w:r>
    <w:r w:rsidRPr="0050380D">
      <w:rPr>
        <w:rFonts w:ascii="細明體" w:eastAsia="細明體" w:hAnsi="細明體" w:cs="細明體" w:hint="eastAsia"/>
      </w:rPr>
      <w:t>部</w:t>
    </w:r>
    <w:r w:rsidRPr="001D7C56">
      <w:rPr>
        <w:rFonts w:cs="Segoe UI"/>
      </w:rPr>
      <w:t xml:space="preserve"> – PV1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27</w:t>
    </w:r>
    <w:r w:rsidRPr="0050380D">
      <w:rPr>
        <w:rFonts w:cs="Segoe UI"/>
        <w:noProof/>
      </w:rPr>
      <w:fldChar w:fldCharType="end"/>
    </w:r>
    <w:r w:rsidRPr="0050380D">
      <w:rPr>
        <w:rFonts w:cs="Segoe UI"/>
        <w:noProof/>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AE92" w14:textId="77777777" w:rsidR="003C038F" w:rsidRDefault="003C038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B106" w14:textId="1B996BF9" w:rsidR="003C038F" w:rsidRPr="001D7C56" w:rsidRDefault="003C038F">
    <w:pPr>
      <w:pStyle w:val="Footer"/>
      <w:rPr>
        <w:rFonts w:cs="Segoe UI"/>
      </w:rPr>
    </w:pPr>
    <w:r w:rsidRPr="0050380D">
      <w:rPr>
        <w:rFonts w:eastAsia="細明體" w:cs="Segoe UI" w:hint="eastAsia"/>
      </w:rPr>
      <w:t>第</w:t>
    </w:r>
    <w:r w:rsidRPr="001D7C56">
      <w:rPr>
        <w:rFonts w:cs="Segoe UI"/>
      </w:rPr>
      <w:t>IIA</w:t>
    </w:r>
    <w:r w:rsidRPr="0050380D">
      <w:rPr>
        <w:rFonts w:eastAsia="細明體" w:cs="Segoe UI" w:hint="eastAsia"/>
      </w:rPr>
      <w:t>部</w:t>
    </w:r>
    <w:r w:rsidRPr="0050380D">
      <w:rPr>
        <w:rFonts w:eastAsia="細明體" w:cs="Segoe UI"/>
      </w:rPr>
      <w:t xml:space="preserve"> </w:t>
    </w:r>
    <w:r w:rsidRPr="001D7C56">
      <w:rPr>
        <w:rFonts w:cs="Segoe UI"/>
      </w:rPr>
      <w:t>– CC1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38</w:t>
    </w:r>
    <w:r w:rsidRPr="0050380D">
      <w:rPr>
        <w:rFonts w:cs="Segoe UI"/>
        <w:noProof/>
      </w:rPr>
      <w:fldChar w:fldCharType="end"/>
    </w:r>
    <w:r w:rsidRPr="001D7C56">
      <w:rPr>
        <w:rFonts w:cs="Segoe UI"/>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CF9D" w14:textId="77777777" w:rsidR="003C038F" w:rsidRDefault="003C038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3381" w14:textId="77777777" w:rsidR="003C038F" w:rsidRDefault="003C038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ED8A" w14:textId="18F2E1E2" w:rsidR="003C038F" w:rsidRPr="001D7C56" w:rsidRDefault="003C038F">
    <w:pPr>
      <w:pStyle w:val="Footer"/>
      <w:rPr>
        <w:rFonts w:cs="Segoe UI"/>
      </w:rPr>
    </w:pPr>
    <w:r w:rsidRPr="0050380D">
      <w:rPr>
        <w:rFonts w:eastAsia="細明體" w:cs="Segoe UI" w:hint="eastAsia"/>
      </w:rPr>
      <w:t>第</w:t>
    </w:r>
    <w:r w:rsidRPr="001D7C56">
      <w:rPr>
        <w:rFonts w:cs="Segoe UI"/>
      </w:rPr>
      <w:t>IIA</w:t>
    </w:r>
    <w:r w:rsidRPr="0050380D">
      <w:rPr>
        <w:rFonts w:eastAsia="細明體" w:cs="Segoe UI" w:hint="eastAsia"/>
      </w:rPr>
      <w:t>部</w:t>
    </w:r>
    <w:r w:rsidRPr="001D7C56">
      <w:rPr>
        <w:rFonts w:cs="Segoe UI"/>
      </w:rPr>
      <w:t xml:space="preserve"> – CC2</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41</w:t>
    </w:r>
    <w:r w:rsidRPr="0050380D">
      <w:rPr>
        <w:rFonts w:cs="Segoe UI"/>
        <w:noProof/>
      </w:rPr>
      <w:fldChar w:fldCharType="end"/>
    </w:r>
    <w:r w:rsidRPr="001D7C56">
      <w:rPr>
        <w:rFonts w:cs="Segoe UI"/>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5454" w14:textId="77777777" w:rsidR="003C038F" w:rsidRDefault="003C038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3298" w14:textId="137668BF" w:rsidR="003C038F" w:rsidRPr="001D7C56" w:rsidRDefault="003C038F">
    <w:pPr>
      <w:pStyle w:val="Footer"/>
      <w:rPr>
        <w:rFonts w:cs="Segoe UI"/>
      </w:rPr>
    </w:pPr>
    <w:r w:rsidRPr="0050380D">
      <w:rPr>
        <w:rFonts w:eastAsia="細明體" w:cs="Segoe UI" w:hint="eastAsia"/>
      </w:rPr>
      <w:t>第</w:t>
    </w:r>
    <w:r w:rsidRPr="001D7C56">
      <w:rPr>
        <w:rFonts w:cs="Segoe UI"/>
      </w:rPr>
      <w:t>IIA</w:t>
    </w:r>
    <w:r w:rsidRPr="0050380D">
      <w:rPr>
        <w:rFonts w:eastAsia="細明體" w:cs="Segoe UI" w:hint="eastAsia"/>
      </w:rPr>
      <w:t>部</w:t>
    </w:r>
    <w:r w:rsidRPr="001D7C56">
      <w:rPr>
        <w:rFonts w:cs="Segoe UI"/>
      </w:rPr>
      <w:t xml:space="preserve"> – CCA</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46</w:t>
    </w:r>
    <w:r w:rsidRPr="0050380D">
      <w:rPr>
        <w:rFonts w:cs="Segoe UI"/>
        <w:noProof/>
      </w:rPr>
      <w:fldChar w:fldCharType="end"/>
    </w:r>
    <w:r w:rsidRPr="001D7C56">
      <w:rPr>
        <w:rFonts w:cs="Segoe UI"/>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BBF6" w14:textId="37BCEEDC" w:rsidR="003C038F" w:rsidRPr="001D7C56" w:rsidRDefault="003C038F">
    <w:pPr>
      <w:pStyle w:val="Footer"/>
      <w:rPr>
        <w:rFonts w:cs="Segoe UI"/>
      </w:rPr>
    </w:pPr>
    <w:r w:rsidRPr="0050380D">
      <w:rPr>
        <w:rFonts w:eastAsia="細明體" w:cs="Segoe UI" w:hint="eastAsia"/>
      </w:rPr>
      <w:t>第</w:t>
    </w:r>
    <w:r w:rsidRPr="001D7C56">
      <w:rPr>
        <w:rFonts w:cs="Segoe UI"/>
      </w:rPr>
      <w:t>IIB</w:t>
    </w:r>
    <w:r w:rsidRPr="0050380D">
      <w:rPr>
        <w:rFonts w:eastAsia="細明體" w:cs="Segoe UI" w:hint="eastAsia"/>
      </w:rPr>
      <w:t>部</w:t>
    </w:r>
    <w:r w:rsidRPr="0050380D">
      <w:rPr>
        <w:rFonts w:eastAsia="細明體" w:cs="Segoe UI"/>
        <w:lang w:eastAsia="zh-TW"/>
      </w:rPr>
      <w:t xml:space="preserve"> </w:t>
    </w:r>
    <w:r w:rsidRPr="001D7C56">
      <w:rPr>
        <w:rFonts w:cs="Segoe UI"/>
      </w:rPr>
      <w:t>– GSIB1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48</w:t>
    </w:r>
    <w:r w:rsidRPr="0050380D">
      <w:rPr>
        <w:rFonts w:cs="Segoe UI"/>
        <w:noProof/>
      </w:rPr>
      <w:fldChar w:fldCharType="end"/>
    </w:r>
    <w:r w:rsidRPr="001D7C56">
      <w:rPr>
        <w:rFonts w:cs="Segoe UI"/>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62D9" w14:textId="77777777" w:rsidR="003C038F" w:rsidRDefault="003C0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92B3" w14:textId="4F291DBF" w:rsidR="003C038F" w:rsidRPr="001D7C56" w:rsidRDefault="003C038F" w:rsidP="00F62652">
    <w:pPr>
      <w:pStyle w:val="Footer"/>
      <w:tabs>
        <w:tab w:val="clear" w:pos="4153"/>
        <w:tab w:val="clear" w:pos="8306"/>
        <w:tab w:val="center" w:pos="6979"/>
      </w:tabs>
      <w:rPr>
        <w:rFonts w:cs="Segoe UI"/>
      </w:rPr>
    </w:pPr>
    <w:proofErr w:type="spellStart"/>
    <w:r w:rsidRPr="0050380D">
      <w:rPr>
        <w:rFonts w:eastAsia="細明體" w:cs="Segoe UI" w:hint="eastAsia"/>
      </w:rPr>
      <w:t>披露模版及表概覽</w:t>
    </w:r>
    <w:proofErr w:type="spellEnd"/>
    <w:r w:rsidRPr="001D7C56">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8</w:t>
    </w:r>
    <w:r w:rsidRPr="0050380D">
      <w:rPr>
        <w:rFonts w:cs="Segoe UI"/>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B766" w14:textId="2BC9B9E8" w:rsidR="003C038F" w:rsidRPr="001D7C56" w:rsidRDefault="003C038F">
    <w:pPr>
      <w:pStyle w:val="Footer"/>
      <w:rPr>
        <w:rFonts w:cs="Segoe UI"/>
      </w:rPr>
    </w:pPr>
    <w:r w:rsidRPr="0050380D">
      <w:rPr>
        <w:rFonts w:eastAsia="細明體" w:cs="Segoe UI" w:hint="eastAsia"/>
      </w:rPr>
      <w:t>第</w:t>
    </w:r>
    <w:r w:rsidRPr="001D7C56">
      <w:rPr>
        <w:rFonts w:cs="Segoe UI"/>
      </w:rPr>
      <w:t>IIB</w:t>
    </w:r>
    <w:r w:rsidRPr="0050380D">
      <w:rPr>
        <w:rFonts w:eastAsia="細明體" w:cs="Segoe UI" w:hint="eastAsia"/>
      </w:rPr>
      <w:t>部</w:t>
    </w:r>
    <w:r w:rsidRPr="001D7C56">
      <w:rPr>
        <w:rFonts w:cs="Segoe UI"/>
      </w:rPr>
      <w:t xml:space="preserve"> – CCyB1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50</w:t>
    </w:r>
    <w:r w:rsidRPr="0050380D">
      <w:rPr>
        <w:rFonts w:cs="Segoe UI"/>
        <w:noProof/>
      </w:rPr>
      <w:fldChar w:fldCharType="end"/>
    </w:r>
    <w:r w:rsidRPr="001D7C56">
      <w:rPr>
        <w:rFonts w:cs="Segoe UI"/>
      </w:rPr>
      <w:ptab w:relativeTo="margin" w:alignment="right" w:leader="none"/>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97A" w14:textId="77777777" w:rsidR="003C038F" w:rsidRDefault="003C038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059E" w14:textId="78EC750F" w:rsidR="003C038F" w:rsidRPr="001D7C56" w:rsidRDefault="003C038F">
    <w:pPr>
      <w:pStyle w:val="Footer"/>
      <w:rPr>
        <w:rFonts w:cs="Segoe UI"/>
      </w:rPr>
    </w:pPr>
    <w:r w:rsidRPr="0050380D">
      <w:rPr>
        <w:rFonts w:eastAsia="細明體" w:cs="Segoe UI" w:hint="eastAsia"/>
      </w:rPr>
      <w:t>第</w:t>
    </w:r>
    <w:r w:rsidRPr="001D7C56">
      <w:rPr>
        <w:rFonts w:cs="Segoe UI"/>
      </w:rPr>
      <w:t>IIC</w:t>
    </w:r>
    <w:r w:rsidRPr="0050380D">
      <w:rPr>
        <w:rFonts w:eastAsia="細明體" w:cs="Segoe UI" w:hint="eastAsia"/>
      </w:rPr>
      <w:t>部</w:t>
    </w:r>
    <w:r w:rsidRPr="0050380D">
      <w:rPr>
        <w:rFonts w:eastAsia="細明體" w:cs="Segoe UI"/>
      </w:rPr>
      <w:t xml:space="preserve"> </w:t>
    </w:r>
    <w:r w:rsidRPr="001D7C56">
      <w:rPr>
        <w:rFonts w:cs="Segoe UI"/>
      </w:rPr>
      <w:t>– LR1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53</w:t>
    </w:r>
    <w:r w:rsidRPr="0050380D">
      <w:rPr>
        <w:rFonts w:cs="Segoe UI"/>
        <w:noProof/>
      </w:rPr>
      <w:fldChar w:fldCharType="end"/>
    </w:r>
    <w:r w:rsidRPr="001D7C56">
      <w:rPr>
        <w:rFonts w:cs="Segoe UI"/>
      </w:rPr>
      <w:ptab w:relativeTo="margin" w:alignment="right" w:leader="none"/>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6B87" w14:textId="77777777" w:rsidR="003C038F" w:rsidRDefault="003C038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61C0" w14:textId="600E8CA1" w:rsidR="003C038F" w:rsidRPr="001D7C56" w:rsidRDefault="003C038F">
    <w:pPr>
      <w:pStyle w:val="Footer"/>
      <w:rPr>
        <w:rFonts w:cs="Segoe UI"/>
      </w:rPr>
    </w:pPr>
    <w:r w:rsidRPr="0050380D">
      <w:rPr>
        <w:rFonts w:eastAsia="細明體" w:cs="Segoe UI" w:hint="eastAsia"/>
      </w:rPr>
      <w:t>第</w:t>
    </w:r>
    <w:r w:rsidRPr="001D7C56">
      <w:rPr>
        <w:rFonts w:cs="Segoe UI"/>
      </w:rPr>
      <w:t>IIC</w:t>
    </w:r>
    <w:r w:rsidRPr="0050380D">
      <w:rPr>
        <w:rFonts w:eastAsia="細明體" w:cs="Segoe UI" w:hint="eastAsia"/>
      </w:rPr>
      <w:t>部</w:t>
    </w:r>
    <w:r w:rsidRPr="001D7C56">
      <w:rPr>
        <w:rFonts w:cs="Segoe UI"/>
      </w:rPr>
      <w:t xml:space="preserve"> – LR2</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58</w:t>
    </w:r>
    <w:r w:rsidRPr="0050380D">
      <w:rPr>
        <w:rFonts w:cs="Segoe UI"/>
        <w:noProof/>
      </w:rPr>
      <w:fldChar w:fldCharType="end"/>
    </w:r>
    <w:r w:rsidRPr="001D7C56">
      <w:rPr>
        <w:rFonts w:cs="Segoe UI"/>
      </w:rPr>
      <w:ptab w:relativeTo="margin" w:alignment="right" w:leader="none"/>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850B" w14:textId="77777777" w:rsidR="003C038F" w:rsidRDefault="003C038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10A5" w14:textId="10746615" w:rsidR="003C038F" w:rsidRPr="001D7C56" w:rsidRDefault="003C038F">
    <w:pPr>
      <w:pStyle w:val="Footer"/>
      <w:rPr>
        <w:rFonts w:cs="Segoe UI"/>
      </w:rPr>
    </w:pPr>
    <w:r w:rsidRPr="0050380D">
      <w:rPr>
        <w:rFonts w:eastAsia="細明體" w:cs="Segoe UI" w:hint="eastAsia"/>
      </w:rPr>
      <w:t>第</w:t>
    </w:r>
    <w:r w:rsidRPr="001D7C56">
      <w:rPr>
        <w:rFonts w:cs="Segoe UI"/>
      </w:rPr>
      <w:t>IID</w:t>
    </w:r>
    <w:r w:rsidRPr="0050380D">
      <w:rPr>
        <w:rFonts w:eastAsia="細明體" w:cs="Segoe UI" w:hint="eastAsia"/>
      </w:rPr>
      <w:t>部</w:t>
    </w:r>
    <w:r w:rsidRPr="0050380D">
      <w:rPr>
        <w:rFonts w:eastAsia="細明體" w:cs="Segoe UI"/>
      </w:rPr>
      <w:t xml:space="preserve"> </w:t>
    </w:r>
    <w:r w:rsidRPr="001D7C56">
      <w:rPr>
        <w:rFonts w:cs="Segoe UI"/>
      </w:rPr>
      <w:t>– LIQA</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60</w:t>
    </w:r>
    <w:r w:rsidRPr="0050380D">
      <w:rPr>
        <w:rFonts w:cs="Segoe UI"/>
        <w:noProof/>
      </w:rPr>
      <w:fldChar w:fldCharType="end"/>
    </w:r>
    <w:r w:rsidRPr="001D7C56">
      <w:rPr>
        <w:rFonts w:cs="Segoe UI"/>
      </w:rPr>
      <w:ptab w:relativeTo="margin" w:alignment="right" w:leader="none"/>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74A8" w14:textId="180B21BF" w:rsidR="003C038F" w:rsidRPr="001D7C56" w:rsidRDefault="003C038F">
    <w:pPr>
      <w:pStyle w:val="Footer"/>
      <w:rPr>
        <w:rFonts w:cs="Segoe UI"/>
      </w:rPr>
    </w:pPr>
    <w:r w:rsidRPr="0050380D">
      <w:rPr>
        <w:rFonts w:eastAsia="細明體" w:cs="Segoe UI" w:hint="eastAsia"/>
      </w:rPr>
      <w:t>第</w:t>
    </w:r>
    <w:r w:rsidRPr="001D7C56">
      <w:rPr>
        <w:rFonts w:cs="Segoe UI"/>
      </w:rPr>
      <w:t>IID</w:t>
    </w:r>
    <w:r w:rsidRPr="0050380D">
      <w:rPr>
        <w:rFonts w:eastAsia="細明體" w:cs="Segoe UI" w:hint="eastAsia"/>
      </w:rPr>
      <w:t>部</w:t>
    </w:r>
    <w:r w:rsidRPr="0050380D">
      <w:rPr>
        <w:rFonts w:eastAsia="細明體" w:cs="Segoe UI"/>
      </w:rPr>
      <w:t xml:space="preserve"> </w:t>
    </w:r>
    <w:r w:rsidRPr="001D7C56">
      <w:rPr>
        <w:rFonts w:cs="Segoe UI"/>
      </w:rPr>
      <w:t>– LIQ1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66</w:t>
    </w:r>
    <w:r w:rsidRPr="0050380D">
      <w:rPr>
        <w:rFonts w:cs="Segoe UI"/>
        <w:noProof/>
      </w:rPr>
      <w:fldChar w:fldCharType="end"/>
    </w:r>
    <w:r w:rsidRPr="001D7C56">
      <w:rPr>
        <w:rFonts w:cs="Segoe UI"/>
      </w:rPr>
      <w:ptab w:relativeTo="margin" w:alignment="right" w:leader="none"/>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2260" w14:textId="74C41F31" w:rsidR="003C038F" w:rsidRPr="001D7C56" w:rsidRDefault="003C038F">
    <w:pPr>
      <w:pStyle w:val="Footer"/>
      <w:rPr>
        <w:rFonts w:cs="Segoe UI"/>
      </w:rPr>
    </w:pPr>
    <w:r w:rsidRPr="001D7C56">
      <w:rPr>
        <w:rFonts w:eastAsia="細明體" w:cs="Segoe UI"/>
      </w:rPr>
      <w:t>第</w:t>
    </w:r>
    <w:r w:rsidRPr="001D7C56">
      <w:rPr>
        <w:rFonts w:cs="Segoe UI"/>
      </w:rPr>
      <w:t>IID</w:t>
    </w:r>
    <w:r w:rsidRPr="001D7C56">
      <w:rPr>
        <w:rFonts w:eastAsia="細明體" w:cs="Segoe UI"/>
      </w:rPr>
      <w:t>部</w:t>
    </w:r>
    <w:r w:rsidRPr="001D7C56">
      <w:rPr>
        <w:rFonts w:eastAsia="細明體" w:cs="Segoe UI"/>
        <w:lang w:eastAsia="zh-TW"/>
      </w:rPr>
      <w:t xml:space="preserve"> </w:t>
    </w:r>
    <w:r w:rsidRPr="001D7C56">
      <w:rPr>
        <w:rFonts w:cs="Segoe UI"/>
      </w:rPr>
      <w:t>– LIQ2</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72</w:t>
    </w:r>
    <w:r w:rsidRPr="0050380D">
      <w:rPr>
        <w:rFonts w:cs="Segoe UI"/>
        <w:noProof/>
      </w:rPr>
      <w:fldChar w:fldCharType="end"/>
    </w:r>
    <w:r w:rsidRPr="001D7C56">
      <w:rPr>
        <w:rFonts w:cs="Segoe UI"/>
      </w:rPr>
      <w:ptab w:relativeTo="margin" w:alignment="right" w:leader="none"/>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048E" w14:textId="3173AE97" w:rsidR="003C038F" w:rsidRDefault="003C038F" w:rsidP="00AD102B">
    <w:pPr>
      <w:pStyle w:val="Footer"/>
      <w:tabs>
        <w:tab w:val="clear" w:pos="4153"/>
        <w:tab w:val="clear" w:pos="8306"/>
        <w:tab w:val="center" w:pos="4156"/>
        <w:tab w:val="right" w:pos="8312"/>
      </w:tabs>
    </w:pPr>
    <w:r>
      <w:rPr>
        <w:rFonts w:eastAsia="細明體" w:hint="eastAsia"/>
      </w:rPr>
      <w:t>第</w:t>
    </w:r>
    <w:r>
      <w:t>III</w:t>
    </w:r>
    <w:r>
      <w:rPr>
        <w:rFonts w:eastAsia="細明體" w:hint="eastAsia"/>
      </w:rPr>
      <w:t>部</w:t>
    </w:r>
    <w:r>
      <w:t xml:space="preserve"> – CRA</w:t>
    </w:r>
    <w:r>
      <w:tab/>
    </w:r>
    <w:r>
      <w:fldChar w:fldCharType="begin"/>
    </w:r>
    <w:r>
      <w:instrText xml:space="preserve"> PAGE </w:instrText>
    </w:r>
    <w:r>
      <w:fldChar w:fldCharType="separate"/>
    </w:r>
    <w:r w:rsidR="00CC54CB">
      <w:rPr>
        <w:noProof/>
      </w:rPr>
      <w:t>73</w: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D790" w14:textId="77777777" w:rsidR="00DD7625" w:rsidRDefault="00DD762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5EF2" w14:textId="05B49CFB" w:rsidR="003C038F" w:rsidRDefault="003C038F" w:rsidP="00F92073">
    <w:pPr>
      <w:pStyle w:val="Footer"/>
      <w:tabs>
        <w:tab w:val="clear" w:pos="4153"/>
        <w:tab w:val="clear" w:pos="8306"/>
        <w:tab w:val="left" w:pos="4111"/>
        <w:tab w:val="center" w:pos="4156"/>
        <w:tab w:val="right" w:pos="8312"/>
      </w:tabs>
    </w:pPr>
    <w:r>
      <w:rPr>
        <w:rFonts w:eastAsia="細明體" w:hint="eastAsia"/>
      </w:rPr>
      <w:t>第</w:t>
    </w:r>
    <w:r>
      <w:t>III</w:t>
    </w:r>
    <w:r>
      <w:rPr>
        <w:rFonts w:eastAsia="細明體" w:hint="eastAsia"/>
      </w:rPr>
      <w:t>部</w:t>
    </w:r>
    <w:r>
      <w:t xml:space="preserve"> – CR1</w:t>
    </w:r>
    <w:r>
      <w:tab/>
    </w:r>
    <w:r>
      <w:fldChar w:fldCharType="begin"/>
    </w:r>
    <w:r>
      <w:instrText xml:space="preserve"> PAGE </w:instrText>
    </w:r>
    <w:r>
      <w:fldChar w:fldCharType="separate"/>
    </w:r>
    <w:r w:rsidR="00CC54CB">
      <w:rPr>
        <w:noProof/>
      </w:rPr>
      <w:t>75</w:t>
    </w:r>
    <w:r>
      <w:fldChar w:fldCharType="end"/>
    </w:r>
    <w: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3F82" w14:textId="27BE0E4C" w:rsidR="003C038F" w:rsidRDefault="003C038F" w:rsidP="003450BA">
    <w:pPr>
      <w:pStyle w:val="Footer"/>
      <w:tabs>
        <w:tab w:val="clear" w:pos="4153"/>
        <w:tab w:val="clear" w:pos="8306"/>
        <w:tab w:val="left" w:pos="4111"/>
        <w:tab w:val="center" w:pos="4156"/>
        <w:tab w:val="right" w:pos="8312"/>
      </w:tabs>
    </w:pPr>
    <w:r>
      <w:rPr>
        <w:rFonts w:eastAsia="細明體" w:hint="eastAsia"/>
      </w:rPr>
      <w:t>第</w:t>
    </w:r>
    <w:r>
      <w:t>III</w:t>
    </w:r>
    <w:r>
      <w:rPr>
        <w:rFonts w:eastAsia="細明體" w:hint="eastAsia"/>
      </w:rPr>
      <w:t>部</w:t>
    </w:r>
    <w:r>
      <w:t xml:space="preserve"> – CR2</w:t>
    </w:r>
    <w:r>
      <w:tab/>
    </w:r>
    <w:r>
      <w:fldChar w:fldCharType="begin"/>
    </w:r>
    <w:r>
      <w:instrText xml:space="preserve"> PAGE </w:instrText>
    </w:r>
    <w:r>
      <w:fldChar w:fldCharType="separate"/>
    </w:r>
    <w:r w:rsidR="00CC54CB">
      <w:rPr>
        <w:noProof/>
      </w:rPr>
      <w:t>76</w:t>
    </w:r>
    <w:r>
      <w:fldChar w:fldCharType="end"/>
    </w:r>
    <w: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C04D" w14:textId="7E506512" w:rsidR="003C038F" w:rsidRDefault="003C038F" w:rsidP="003450BA">
    <w:pPr>
      <w:pStyle w:val="Footer"/>
      <w:tabs>
        <w:tab w:val="clear" w:pos="4153"/>
        <w:tab w:val="clear" w:pos="8306"/>
        <w:tab w:val="left" w:pos="4111"/>
        <w:tab w:val="center" w:pos="4156"/>
        <w:tab w:val="right" w:pos="8312"/>
      </w:tabs>
    </w:pPr>
    <w:r>
      <w:rPr>
        <w:rFonts w:eastAsia="細明體" w:hint="eastAsia"/>
      </w:rPr>
      <w:t>第</w:t>
    </w:r>
    <w:r>
      <w:t>III</w:t>
    </w:r>
    <w:r>
      <w:rPr>
        <w:rFonts w:eastAsia="細明體" w:hint="eastAsia"/>
      </w:rPr>
      <w:t>部</w:t>
    </w:r>
    <w:r>
      <w:t xml:space="preserve"> – CRB</w:t>
    </w:r>
    <w:r>
      <w:tab/>
    </w:r>
    <w:r>
      <w:fldChar w:fldCharType="begin"/>
    </w:r>
    <w:r>
      <w:instrText xml:space="preserve"> PAGE </w:instrText>
    </w:r>
    <w:r>
      <w:fldChar w:fldCharType="separate"/>
    </w:r>
    <w:r w:rsidR="00CC54CB">
      <w:rPr>
        <w:noProof/>
      </w:rPr>
      <w:t>77</w:t>
    </w:r>
    <w:r>
      <w:fldChar w:fldCharType="end"/>
    </w:r>
    <w: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117B" w14:textId="2926E8AF" w:rsidR="003C038F" w:rsidRDefault="003C038F" w:rsidP="00B37AF0">
    <w:pPr>
      <w:pStyle w:val="Footer"/>
      <w:tabs>
        <w:tab w:val="clear" w:pos="4153"/>
        <w:tab w:val="clear" w:pos="8306"/>
        <w:tab w:val="left" w:pos="3828"/>
        <w:tab w:val="center" w:pos="4156"/>
        <w:tab w:val="right" w:pos="8312"/>
      </w:tabs>
    </w:pPr>
    <w:r>
      <w:rPr>
        <w:rFonts w:eastAsia="細明體" w:hint="eastAsia"/>
      </w:rPr>
      <w:t>第</w:t>
    </w:r>
    <w:r>
      <w:t>III</w:t>
    </w:r>
    <w:r>
      <w:rPr>
        <w:rFonts w:eastAsia="細明體" w:hint="eastAsia"/>
      </w:rPr>
      <w:t>部</w:t>
    </w:r>
    <w:r>
      <w:t xml:space="preserve"> – CRC</w:t>
    </w:r>
    <w:r>
      <w:tab/>
    </w:r>
    <w:r>
      <w:fldChar w:fldCharType="begin"/>
    </w:r>
    <w:r>
      <w:instrText xml:space="preserve"> PAGE </w:instrText>
    </w:r>
    <w:r>
      <w:fldChar w:fldCharType="separate"/>
    </w:r>
    <w:r w:rsidR="00CC54CB">
      <w:rPr>
        <w:noProof/>
      </w:rPr>
      <w:t>78</w:t>
    </w:r>
    <w:r>
      <w:fldChar w:fldCharType="end"/>
    </w:r>
    <w:r>
      <w:tab/>
    </w:r>
    <w: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FA6" w14:textId="3F860C23" w:rsidR="003C038F" w:rsidRDefault="003C038F" w:rsidP="00B37AF0">
    <w:pPr>
      <w:pStyle w:val="Footer"/>
      <w:tabs>
        <w:tab w:val="clear" w:pos="4153"/>
        <w:tab w:val="clear" w:pos="8306"/>
        <w:tab w:val="center" w:pos="4156"/>
        <w:tab w:val="right" w:pos="8312"/>
      </w:tabs>
    </w:pPr>
    <w:r>
      <w:rPr>
        <w:rFonts w:eastAsia="細明體" w:hint="eastAsia"/>
      </w:rPr>
      <w:t>第</w:t>
    </w:r>
    <w:r>
      <w:t>III</w:t>
    </w:r>
    <w:r>
      <w:rPr>
        <w:rFonts w:eastAsia="細明體" w:hint="eastAsia"/>
      </w:rPr>
      <w:t>部</w:t>
    </w:r>
    <w:r>
      <w:t xml:space="preserve"> – CR3</w:t>
    </w:r>
    <w:r>
      <w:tab/>
    </w:r>
    <w:r>
      <w:fldChar w:fldCharType="begin"/>
    </w:r>
    <w:r>
      <w:instrText xml:space="preserve"> PAGE </w:instrText>
    </w:r>
    <w:r>
      <w:fldChar w:fldCharType="separate"/>
    </w:r>
    <w:r w:rsidR="00CC54CB">
      <w:rPr>
        <w:noProof/>
      </w:rPr>
      <w:t>81</w:t>
    </w:r>
    <w:r>
      <w:fldChar w:fldCharType="end"/>
    </w:r>
    <w: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667D" w14:textId="68695F66" w:rsidR="003C038F" w:rsidRDefault="003C038F" w:rsidP="003450BA">
    <w:pPr>
      <w:pStyle w:val="Footer"/>
      <w:tabs>
        <w:tab w:val="clear" w:pos="4153"/>
        <w:tab w:val="clear" w:pos="8306"/>
        <w:tab w:val="center" w:pos="4253"/>
        <w:tab w:val="right" w:pos="8312"/>
      </w:tabs>
    </w:pPr>
    <w:r>
      <w:rPr>
        <w:rFonts w:eastAsia="細明體" w:hint="eastAsia"/>
      </w:rPr>
      <w:t>第</w:t>
    </w:r>
    <w:r>
      <w:t>III</w:t>
    </w:r>
    <w:r>
      <w:rPr>
        <w:rFonts w:eastAsia="細明體" w:hint="eastAsia"/>
      </w:rPr>
      <w:t>部</w:t>
    </w:r>
    <w:r>
      <w:t xml:space="preserve"> – CRD</w:t>
    </w:r>
    <w:r>
      <w:tab/>
    </w:r>
    <w:r>
      <w:fldChar w:fldCharType="begin"/>
    </w:r>
    <w:r>
      <w:instrText xml:space="preserve"> PAGE </w:instrText>
    </w:r>
    <w:r>
      <w:fldChar w:fldCharType="separate"/>
    </w:r>
    <w:r w:rsidR="00CC54CB">
      <w:rPr>
        <w:noProof/>
      </w:rPr>
      <w:t>82</w:t>
    </w:r>
    <w:r>
      <w:fldChar w:fldCharType="end"/>
    </w:r>
    <w: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355E" w14:textId="6867AB24" w:rsidR="003C038F" w:rsidRDefault="003C038F" w:rsidP="003201F6">
    <w:pPr>
      <w:pStyle w:val="Footer"/>
      <w:tabs>
        <w:tab w:val="clear" w:pos="4153"/>
        <w:tab w:val="clear" w:pos="8306"/>
        <w:tab w:val="left" w:pos="1403"/>
        <w:tab w:val="center" w:pos="7088"/>
        <w:tab w:val="right" w:pos="14034"/>
      </w:tabs>
      <w:ind w:left="426"/>
    </w:pPr>
    <w:r>
      <w:rPr>
        <w:rFonts w:ascii="細明體" w:eastAsia="細明體" w:hAnsi="細明體" w:cs="細明體" w:hint="eastAsia"/>
      </w:rPr>
      <w:t>第</w:t>
    </w:r>
    <w:r>
      <w:t>III</w:t>
    </w:r>
    <w:r>
      <w:rPr>
        <w:rFonts w:ascii="細明體" w:eastAsia="細明體" w:hAnsi="細明體" w:cs="細明體" w:hint="eastAsia"/>
      </w:rPr>
      <w:t>部</w:t>
    </w:r>
    <w:r>
      <w:t xml:space="preserve"> – CR4</w:t>
    </w:r>
    <w:r>
      <w:tab/>
    </w:r>
    <w:r>
      <w:fldChar w:fldCharType="begin"/>
    </w:r>
    <w:r>
      <w:instrText xml:space="preserve"> PAGE </w:instrText>
    </w:r>
    <w:r>
      <w:fldChar w:fldCharType="separate"/>
    </w:r>
    <w:r w:rsidR="00CC54CB">
      <w:rPr>
        <w:noProof/>
      </w:rPr>
      <w:t>88</w:t>
    </w:r>
    <w:r>
      <w:fldChar w:fldCharType="end"/>
    </w:r>
    <w: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0FF9" w14:textId="485F7D5A" w:rsidR="003C038F" w:rsidRDefault="003C038F" w:rsidP="003201F6">
    <w:pPr>
      <w:pStyle w:val="Footer"/>
      <w:tabs>
        <w:tab w:val="clear" w:pos="4153"/>
        <w:tab w:val="clear" w:pos="8306"/>
        <w:tab w:val="center" w:pos="6946"/>
        <w:tab w:val="right" w:pos="13892"/>
      </w:tabs>
      <w:ind w:left="426"/>
    </w:pPr>
    <w:r>
      <w:rPr>
        <w:rFonts w:ascii="細明體" w:eastAsia="細明體" w:hAnsi="細明體" w:cs="細明體" w:hint="eastAsia"/>
      </w:rPr>
      <w:t>第</w:t>
    </w:r>
    <w:r>
      <w:t>III</w:t>
    </w:r>
    <w:r>
      <w:rPr>
        <w:rFonts w:ascii="細明體" w:eastAsia="細明體" w:hAnsi="細明體" w:cs="細明體" w:hint="eastAsia"/>
      </w:rPr>
      <w:t>部</w:t>
    </w:r>
    <w:r>
      <w:t xml:space="preserve"> – CR5</w:t>
    </w:r>
    <w:r>
      <w:tab/>
    </w:r>
    <w:r>
      <w:fldChar w:fldCharType="begin"/>
    </w:r>
    <w:r>
      <w:instrText xml:space="preserve"> PAGE </w:instrText>
    </w:r>
    <w:r>
      <w:fldChar w:fldCharType="separate"/>
    </w:r>
    <w:r w:rsidR="00CC54CB">
      <w:rPr>
        <w:noProof/>
      </w:rPr>
      <w:t>102</w:t>
    </w:r>
    <w:r>
      <w:fldChar w:fldCharType="end"/>
    </w:r>
    <w: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A78D" w14:textId="73456A97" w:rsidR="003C038F" w:rsidRDefault="003C038F" w:rsidP="00D62C09">
    <w:pPr>
      <w:pStyle w:val="Footer"/>
      <w:tabs>
        <w:tab w:val="clear" w:pos="4153"/>
        <w:tab w:val="clear" w:pos="8306"/>
        <w:tab w:val="center" w:pos="4253"/>
        <w:tab w:val="right" w:pos="8647"/>
      </w:tabs>
    </w:pPr>
    <w:r>
      <w:rPr>
        <w:rFonts w:ascii="細明體" w:eastAsia="細明體" w:hAnsi="細明體" w:cs="細明體" w:hint="eastAsia"/>
      </w:rPr>
      <w:t>第</w:t>
    </w:r>
    <w:r>
      <w:t>III</w:t>
    </w:r>
    <w:r>
      <w:rPr>
        <w:rFonts w:ascii="細明體" w:eastAsia="細明體" w:hAnsi="細明體" w:cs="細明體" w:hint="eastAsia"/>
      </w:rPr>
      <w:t>部</w:t>
    </w:r>
    <w:r>
      <w:t xml:space="preserve"> – CRE</w:t>
    </w:r>
    <w:r>
      <w:tab/>
    </w:r>
    <w:r>
      <w:fldChar w:fldCharType="begin"/>
    </w:r>
    <w:r>
      <w:instrText xml:space="preserve"> PAGE </w:instrText>
    </w:r>
    <w:r>
      <w:fldChar w:fldCharType="separate"/>
    </w:r>
    <w:r w:rsidR="00CC54CB">
      <w:rPr>
        <w:noProof/>
      </w:rPr>
      <w:t>103</w:t>
    </w:r>
    <w:r>
      <w:fldChar w:fldCharType="end"/>
    </w:r>
    <w: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9A83" w14:textId="138E7D27" w:rsidR="003C038F" w:rsidRDefault="003C038F" w:rsidP="00D62C09">
    <w:pPr>
      <w:pStyle w:val="Footer"/>
      <w:tabs>
        <w:tab w:val="clear" w:pos="4153"/>
        <w:tab w:val="clear" w:pos="8306"/>
        <w:tab w:val="center" w:pos="6946"/>
        <w:tab w:val="center" w:pos="6979"/>
        <w:tab w:val="right" w:pos="13750"/>
      </w:tabs>
      <w:ind w:left="284"/>
    </w:pPr>
    <w:r>
      <w:rPr>
        <w:rFonts w:ascii="細明體" w:eastAsia="細明體" w:hAnsi="細明體" w:cs="細明體" w:hint="eastAsia"/>
      </w:rPr>
      <w:t>第</w:t>
    </w:r>
    <w:r>
      <w:t>III</w:t>
    </w:r>
    <w:r>
      <w:rPr>
        <w:rFonts w:ascii="細明體" w:eastAsia="細明體" w:hAnsi="細明體" w:cs="細明體" w:hint="eastAsia"/>
      </w:rPr>
      <w:t>部</w:t>
    </w:r>
    <w:r>
      <w:t xml:space="preserve"> – CR6</w:t>
    </w:r>
    <w:r>
      <w:tab/>
    </w:r>
    <w:r>
      <w:fldChar w:fldCharType="begin"/>
    </w:r>
    <w:r>
      <w:instrText xml:space="preserve"> PAGE </w:instrText>
    </w:r>
    <w:r>
      <w:fldChar w:fldCharType="separate"/>
    </w:r>
    <w:r w:rsidR="00D877DA">
      <w:rPr>
        <w:noProof/>
      </w:rPr>
      <w:t>184</w:t>
    </w:r>
    <w: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4D43" w14:textId="22BD063F" w:rsidR="003C038F" w:rsidRPr="001D7C56" w:rsidRDefault="003C038F" w:rsidP="0091087C">
    <w:pPr>
      <w:pStyle w:val="Footer"/>
      <w:rPr>
        <w:rFonts w:cs="Segoe UI"/>
      </w:rPr>
    </w:pPr>
    <w:r w:rsidRPr="0050380D">
      <w:rPr>
        <w:rFonts w:eastAsia="細明體" w:cs="Segoe UI" w:hint="eastAsia"/>
      </w:rPr>
      <w:t>第</w:t>
    </w:r>
    <w:r w:rsidRPr="001D7C56">
      <w:rPr>
        <w:rFonts w:eastAsia="細明體" w:cs="Segoe UI"/>
      </w:rPr>
      <w:t>I</w:t>
    </w:r>
    <w:r w:rsidRPr="0050380D">
      <w:rPr>
        <w:rFonts w:eastAsia="細明體" w:cs="Segoe UI" w:hint="eastAsia"/>
      </w:rPr>
      <w:t>部</w:t>
    </w:r>
    <w:r w:rsidRPr="0050380D">
      <w:rPr>
        <w:rFonts w:eastAsia="細明體" w:cs="Segoe UI"/>
      </w:rPr>
      <w:t xml:space="preserve"> </w:t>
    </w:r>
    <w:r>
      <w:rPr>
        <w:rFonts w:cs="Segoe UI"/>
      </w:rPr>
      <w:t>– OVA</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9</w:t>
    </w:r>
    <w:r w:rsidRPr="0050380D">
      <w:rPr>
        <w:rFonts w:cs="Segoe UI"/>
        <w:noProof/>
      </w:rPr>
      <w:fldChar w:fldCharType="end"/>
    </w:r>
    <w:r w:rsidRPr="001D7C56">
      <w:rPr>
        <w:rFonts w:cs="Segoe UI"/>
      </w:rPr>
      <w:ptab w:relativeTo="margin" w:alignment="right" w:leader="none"/>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334F" w14:textId="612E1AA3" w:rsidR="003C038F" w:rsidRDefault="003C038F" w:rsidP="00D62C09">
    <w:pPr>
      <w:pStyle w:val="Footer"/>
      <w:tabs>
        <w:tab w:val="clear" w:pos="4153"/>
        <w:tab w:val="clear" w:pos="8306"/>
        <w:tab w:val="center" w:pos="4156"/>
        <w:tab w:val="right" w:pos="8312"/>
      </w:tabs>
    </w:pPr>
    <w:r>
      <w:rPr>
        <w:rFonts w:eastAsia="細明體" w:hint="eastAsia"/>
      </w:rPr>
      <w:t>第</w:t>
    </w:r>
    <w:r>
      <w:t>III</w:t>
    </w:r>
    <w:r>
      <w:rPr>
        <w:rFonts w:eastAsia="細明體" w:hint="eastAsia"/>
      </w:rPr>
      <w:t>部</w:t>
    </w:r>
    <w:r>
      <w:t xml:space="preserve"> – CR7</w:t>
    </w:r>
    <w:r>
      <w:tab/>
    </w:r>
    <w:r>
      <w:fldChar w:fldCharType="begin"/>
    </w:r>
    <w:r>
      <w:instrText xml:space="preserve"> PAGE </w:instrText>
    </w:r>
    <w:r>
      <w:fldChar w:fldCharType="separate"/>
    </w:r>
    <w:r w:rsidR="00CC54CB">
      <w:rPr>
        <w:noProof/>
      </w:rPr>
      <w:t>108</w:t>
    </w:r>
    <w:r>
      <w:fldChar w:fldCharType="end"/>
    </w:r>
    <w: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4746" w14:textId="412C26E2" w:rsidR="003C038F" w:rsidRPr="001D7C56" w:rsidRDefault="003C038F">
    <w:pPr>
      <w:pStyle w:val="Footer"/>
      <w:rPr>
        <w:rFonts w:cs="Segoe UI"/>
      </w:rPr>
    </w:pPr>
    <w:r w:rsidRPr="0050380D">
      <w:rPr>
        <w:rFonts w:eastAsia="細明體" w:cs="Segoe UI" w:hint="eastAsia"/>
      </w:rPr>
      <w:t>第</w:t>
    </w:r>
    <w:r>
      <w:rPr>
        <w:rFonts w:cs="Segoe UI"/>
      </w:rPr>
      <w:t>I</w:t>
    </w:r>
    <w:r w:rsidRPr="001D7C56">
      <w:rPr>
        <w:rFonts w:cs="Segoe UI"/>
      </w:rPr>
      <w:t>II</w:t>
    </w:r>
    <w:r w:rsidRPr="0050380D">
      <w:rPr>
        <w:rFonts w:eastAsia="細明體" w:cs="Segoe UI" w:hint="eastAsia"/>
      </w:rPr>
      <w:t>部</w:t>
    </w:r>
    <w:r w:rsidRPr="0050380D">
      <w:rPr>
        <w:rFonts w:eastAsia="細明體" w:cs="Segoe UI"/>
      </w:rPr>
      <w:t xml:space="preserve"> </w:t>
    </w:r>
    <w:r>
      <w:rPr>
        <w:rFonts w:cs="Segoe UI"/>
      </w:rPr>
      <w:t>– CR8</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110</w:t>
    </w:r>
    <w:r w:rsidRPr="0050380D">
      <w:rPr>
        <w:rFonts w:cs="Segoe UI"/>
        <w:noProof/>
      </w:rPr>
      <w:fldChar w:fldCharType="end"/>
    </w:r>
    <w:r w:rsidRPr="001D7C56">
      <w:rPr>
        <w:rFonts w:cs="Segoe UI"/>
      </w:rPr>
      <w:ptab w:relativeTo="margin" w:alignment="right" w:leader="none"/>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6DBF" w14:textId="073CE424" w:rsidR="003C038F" w:rsidRDefault="003C038F" w:rsidP="005171C5">
    <w:pPr>
      <w:pStyle w:val="Footer"/>
      <w:tabs>
        <w:tab w:val="clear" w:pos="4153"/>
        <w:tab w:val="clear" w:pos="8306"/>
        <w:tab w:val="center" w:pos="4156"/>
        <w:tab w:val="right" w:pos="8312"/>
      </w:tabs>
    </w:pPr>
    <w:r>
      <w:rPr>
        <w:rFonts w:eastAsia="細明體" w:hint="eastAsia"/>
      </w:rPr>
      <w:t>第</w:t>
    </w:r>
    <w:r>
      <w:t>III</w:t>
    </w:r>
    <w:r>
      <w:rPr>
        <w:rFonts w:eastAsia="細明體" w:hint="eastAsia"/>
      </w:rPr>
      <w:t>部</w:t>
    </w:r>
    <w:r>
      <w:t xml:space="preserve"> – CR9</w:t>
    </w:r>
    <w:r>
      <w:tab/>
    </w:r>
    <w:r>
      <w:fldChar w:fldCharType="begin"/>
    </w:r>
    <w:r>
      <w:instrText xml:space="preserve"> PAGE </w:instrText>
    </w:r>
    <w:r>
      <w:fldChar w:fldCharType="separate"/>
    </w:r>
    <w:r w:rsidR="00CC54CB">
      <w:rPr>
        <w:noProof/>
      </w:rPr>
      <w:t>112</w:t>
    </w:r>
    <w:r>
      <w:fldChar w:fldCharType="end"/>
    </w:r>
    <w: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6FCC" w14:textId="4BB11D62" w:rsidR="003C038F" w:rsidRPr="001D7C56" w:rsidRDefault="003C038F" w:rsidP="003201F6">
    <w:pPr>
      <w:pStyle w:val="Footer"/>
      <w:tabs>
        <w:tab w:val="clear" w:pos="4153"/>
        <w:tab w:val="clear" w:pos="8306"/>
        <w:tab w:val="center" w:pos="6946"/>
        <w:tab w:val="right" w:pos="13750"/>
      </w:tabs>
      <w:ind w:left="284"/>
      <w:rPr>
        <w:rFonts w:cs="Segoe UI"/>
      </w:rPr>
    </w:pPr>
    <w:r w:rsidRPr="0050380D">
      <w:rPr>
        <w:rFonts w:eastAsia="細明體" w:cs="Segoe UI" w:hint="eastAsia"/>
      </w:rPr>
      <w:t>第</w:t>
    </w:r>
    <w:r>
      <w:rPr>
        <w:rFonts w:cs="Segoe UI"/>
      </w:rPr>
      <w:t>I</w:t>
    </w:r>
    <w:r w:rsidRPr="001D7C56">
      <w:rPr>
        <w:rFonts w:cs="Segoe UI"/>
      </w:rPr>
      <w:t>II</w:t>
    </w:r>
    <w:r w:rsidRPr="0050380D">
      <w:rPr>
        <w:rFonts w:eastAsia="細明體" w:cs="Segoe UI" w:hint="eastAsia"/>
      </w:rPr>
      <w:t>部</w:t>
    </w:r>
    <w:r w:rsidRPr="0050380D">
      <w:rPr>
        <w:rFonts w:eastAsia="細明體" w:cs="Segoe UI"/>
      </w:rPr>
      <w:t xml:space="preserve"> </w:t>
    </w:r>
    <w:r>
      <w:rPr>
        <w:rFonts w:cs="Segoe UI"/>
      </w:rPr>
      <w:t>– CR10</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115</w:t>
    </w:r>
    <w:r w:rsidRPr="0050380D">
      <w:rPr>
        <w:rFonts w:cs="Segoe UI"/>
        <w:noProof/>
      </w:rPr>
      <w:fldChar w:fldCharType="end"/>
    </w:r>
    <w:r>
      <w:rPr>
        <w:rFonts w:cs="Segoe UI"/>
        <w:noProof/>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ECEA" w14:textId="5FB93607" w:rsidR="003C038F" w:rsidRDefault="003C038F" w:rsidP="00547B75">
    <w:pPr>
      <w:pStyle w:val="Footer"/>
      <w:tabs>
        <w:tab w:val="clear" w:pos="4153"/>
        <w:tab w:val="clear" w:pos="8306"/>
        <w:tab w:val="center" w:pos="4253"/>
        <w:tab w:val="right" w:pos="8364"/>
      </w:tabs>
    </w:pPr>
    <w:r>
      <w:rPr>
        <w:rFonts w:eastAsia="細明體" w:hint="eastAsia"/>
      </w:rPr>
      <w:t>第</w:t>
    </w:r>
    <w:r>
      <w:t>IV</w:t>
    </w:r>
    <w:r>
      <w:rPr>
        <w:rFonts w:eastAsia="細明體" w:hint="eastAsia"/>
      </w:rPr>
      <w:t>部</w:t>
    </w:r>
    <w:r>
      <w:t xml:space="preserve"> – CCRA</w:t>
    </w:r>
    <w:r>
      <w:tab/>
    </w:r>
    <w:r>
      <w:fldChar w:fldCharType="begin"/>
    </w:r>
    <w:r>
      <w:instrText xml:space="preserve"> PAGE   \* MERGEFORMAT </w:instrText>
    </w:r>
    <w:r>
      <w:fldChar w:fldCharType="separate"/>
    </w:r>
    <w:r w:rsidR="00CC54CB">
      <w:rPr>
        <w:noProof/>
      </w:rPr>
      <w:t>116</w:t>
    </w:r>
    <w:r>
      <w:rPr>
        <w:noProof/>
      </w:rPr>
      <w:fldChar w:fldCharType="end"/>
    </w:r>
    <w: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A112" w14:textId="199B4EE0" w:rsidR="003C038F" w:rsidRDefault="003C038F" w:rsidP="00547B75">
    <w:pPr>
      <w:pStyle w:val="Footer"/>
      <w:tabs>
        <w:tab w:val="clear" w:pos="4153"/>
        <w:tab w:val="clear" w:pos="8306"/>
        <w:tab w:val="center" w:pos="4156"/>
        <w:tab w:val="right" w:pos="8789"/>
      </w:tabs>
    </w:pPr>
    <w:r>
      <w:rPr>
        <w:rFonts w:ascii="細明體" w:eastAsia="細明體" w:hAnsi="細明體" w:cs="細明體" w:hint="eastAsia"/>
      </w:rPr>
      <w:t>第</w:t>
    </w:r>
    <w:r>
      <w:t>IV</w:t>
    </w:r>
    <w:r>
      <w:rPr>
        <w:rFonts w:ascii="細明體" w:eastAsia="細明體" w:hAnsi="細明體" w:cs="細明體" w:hint="eastAsia"/>
      </w:rPr>
      <w:t>部</w:t>
    </w:r>
    <w:r>
      <w:t xml:space="preserve"> – CCR1</w:t>
    </w:r>
    <w:r>
      <w:tab/>
    </w:r>
    <w:r>
      <w:fldChar w:fldCharType="begin"/>
    </w:r>
    <w:r>
      <w:instrText xml:space="preserve"> PAGE </w:instrText>
    </w:r>
    <w:r>
      <w:fldChar w:fldCharType="separate"/>
    </w:r>
    <w:r w:rsidR="00CC54CB">
      <w:rPr>
        <w:noProof/>
      </w:rPr>
      <w:t>119</w:t>
    </w:r>
    <w:r>
      <w:fldChar w:fldCharType="end"/>
    </w:r>
    <w: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4477" w14:textId="25E87575" w:rsidR="003C038F" w:rsidRDefault="003C038F" w:rsidP="00547B75">
    <w:pPr>
      <w:pStyle w:val="Footer"/>
      <w:tabs>
        <w:tab w:val="clear" w:pos="4153"/>
        <w:tab w:val="clear" w:pos="8306"/>
        <w:tab w:val="center" w:pos="7088"/>
        <w:tab w:val="right" w:pos="13750"/>
      </w:tabs>
      <w:ind w:left="284"/>
    </w:pPr>
    <w:r>
      <w:rPr>
        <w:rFonts w:ascii="細明體" w:eastAsia="細明體" w:hAnsi="細明體" w:cs="細明體" w:hint="eastAsia"/>
      </w:rPr>
      <w:t>第</w:t>
    </w:r>
    <w:r>
      <w:t>IV</w:t>
    </w:r>
    <w:r>
      <w:rPr>
        <w:rFonts w:ascii="細明體" w:eastAsia="細明體" w:hAnsi="細明體" w:cs="細明體" w:hint="eastAsia"/>
      </w:rPr>
      <w:t>部</w:t>
    </w:r>
    <w:r>
      <w:t xml:space="preserve"> – CCR3</w:t>
    </w:r>
    <w:r>
      <w:tab/>
    </w:r>
    <w:r>
      <w:fldChar w:fldCharType="begin"/>
    </w:r>
    <w:r>
      <w:instrText xml:space="preserve"> PAGE </w:instrText>
    </w:r>
    <w:r>
      <w:fldChar w:fldCharType="separate"/>
    </w:r>
    <w:r w:rsidR="00CC54CB">
      <w:rPr>
        <w:noProof/>
      </w:rPr>
      <w:t>122</w:t>
    </w:r>
    <w:r>
      <w:fldChar w:fldCharType="end"/>
    </w:r>
    <w: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5C62" w14:textId="5EDDC2B8" w:rsidR="003C038F" w:rsidRDefault="003C038F" w:rsidP="001A63FE">
    <w:pPr>
      <w:pStyle w:val="Footer"/>
      <w:tabs>
        <w:tab w:val="clear" w:pos="4153"/>
        <w:tab w:val="clear" w:pos="8306"/>
        <w:tab w:val="center" w:pos="7088"/>
        <w:tab w:val="right" w:pos="13608"/>
      </w:tabs>
      <w:ind w:left="284"/>
    </w:pPr>
    <w:r>
      <w:rPr>
        <w:rFonts w:ascii="細明體" w:eastAsia="細明體" w:hAnsi="細明體" w:cs="細明體" w:hint="eastAsia"/>
      </w:rPr>
      <w:t>第</w:t>
    </w:r>
    <w:r>
      <w:t>IV</w:t>
    </w:r>
    <w:r>
      <w:rPr>
        <w:rFonts w:ascii="細明體" w:eastAsia="細明體" w:hAnsi="細明體" w:cs="細明體" w:hint="eastAsia"/>
      </w:rPr>
      <w:t>部</w:t>
    </w:r>
    <w:r>
      <w:t xml:space="preserve"> – CCR4</w:t>
    </w:r>
    <w:r>
      <w:tab/>
    </w:r>
    <w:r>
      <w:fldChar w:fldCharType="begin"/>
    </w:r>
    <w:r>
      <w:instrText xml:space="preserve"> PAGE </w:instrText>
    </w:r>
    <w:r>
      <w:fldChar w:fldCharType="separate"/>
    </w:r>
    <w:r w:rsidR="00CC54CB">
      <w:rPr>
        <w:noProof/>
      </w:rPr>
      <w:t>125</w:t>
    </w:r>
    <w:r>
      <w:fldChar w:fldCharType="end"/>
    </w:r>
    <w: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4828" w14:textId="6CC88FAC" w:rsidR="003C038F" w:rsidRDefault="003C038F" w:rsidP="00B64FB5">
    <w:pPr>
      <w:pStyle w:val="Footer"/>
      <w:tabs>
        <w:tab w:val="clear" w:pos="4153"/>
        <w:tab w:val="clear" w:pos="8306"/>
        <w:tab w:val="center" w:pos="4253"/>
        <w:tab w:val="right" w:pos="8364"/>
      </w:tabs>
    </w:pPr>
    <w:r>
      <w:rPr>
        <w:rFonts w:eastAsia="細明體" w:hint="eastAsia"/>
      </w:rPr>
      <w:t>第</w:t>
    </w:r>
    <w:r>
      <w:t>IV</w:t>
    </w:r>
    <w:r>
      <w:rPr>
        <w:rFonts w:eastAsia="細明體" w:hint="eastAsia"/>
      </w:rPr>
      <w:t>部</w:t>
    </w:r>
    <w:r>
      <w:t xml:space="preserve"> – CCR5</w:t>
    </w:r>
    <w:r>
      <w:tab/>
    </w:r>
    <w:r>
      <w:fldChar w:fldCharType="begin"/>
    </w:r>
    <w:r>
      <w:instrText xml:space="preserve"> PAGE   \* MERGEFORMAT </w:instrText>
    </w:r>
    <w:r>
      <w:fldChar w:fldCharType="separate"/>
    </w:r>
    <w:r w:rsidR="00CC54CB">
      <w:rPr>
        <w:noProof/>
      </w:rPr>
      <w:t>127</w:t>
    </w:r>
    <w:r>
      <w:rPr>
        <w:noProof/>
      </w:rPr>
      <w:fldChar w:fldCharType="end"/>
    </w:r>
    <w: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6E34" w14:textId="62AA0958" w:rsidR="003C038F" w:rsidRDefault="003C038F" w:rsidP="00942FDF">
    <w:pPr>
      <w:pStyle w:val="Footer"/>
      <w:tabs>
        <w:tab w:val="clear" w:pos="4153"/>
        <w:tab w:val="clear" w:pos="8306"/>
        <w:tab w:val="center" w:pos="4253"/>
        <w:tab w:val="right" w:pos="8312"/>
      </w:tabs>
    </w:pPr>
    <w:r>
      <w:rPr>
        <w:rFonts w:eastAsia="細明體" w:hint="eastAsia"/>
      </w:rPr>
      <w:t>第</w:t>
    </w:r>
    <w:r>
      <w:t>IV</w:t>
    </w:r>
    <w:r>
      <w:rPr>
        <w:rFonts w:eastAsia="細明體" w:hint="eastAsia"/>
      </w:rPr>
      <w:t>部</w:t>
    </w:r>
    <w:r>
      <w:t xml:space="preserve"> – CCR6</w:t>
    </w:r>
    <w:r>
      <w:tab/>
    </w:r>
    <w:r>
      <w:fldChar w:fldCharType="begin"/>
    </w:r>
    <w:r>
      <w:instrText xml:space="preserve"> PAGE </w:instrText>
    </w:r>
    <w:r>
      <w:fldChar w:fldCharType="separate"/>
    </w:r>
    <w:r w:rsidR="00CC54CB">
      <w:rPr>
        <w:noProof/>
      </w:rPr>
      <w:t>128</w:t>
    </w:r>
    <w: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43D6" w14:textId="5B0CB1E7" w:rsidR="003C038F" w:rsidRPr="001D7C56" w:rsidRDefault="003C038F" w:rsidP="00293C0D">
    <w:pPr>
      <w:pStyle w:val="Footer"/>
      <w:rPr>
        <w:rFonts w:cs="Segoe UI"/>
      </w:rPr>
    </w:pPr>
    <w:r w:rsidRPr="0050380D">
      <w:rPr>
        <w:rFonts w:eastAsia="細明體" w:cs="Segoe UI" w:hint="eastAsia"/>
      </w:rPr>
      <w:t>第</w:t>
    </w:r>
    <w:r w:rsidRPr="001D7C56">
      <w:rPr>
        <w:rFonts w:eastAsia="細明體" w:cs="Segoe UI"/>
      </w:rPr>
      <w:t>I</w:t>
    </w:r>
    <w:r w:rsidRPr="0050380D">
      <w:rPr>
        <w:rFonts w:eastAsia="細明體" w:cs="Segoe UI" w:hint="eastAsia"/>
      </w:rPr>
      <w:t>部</w:t>
    </w:r>
    <w:r w:rsidRPr="0050380D">
      <w:rPr>
        <w:rFonts w:eastAsia="細明體" w:cs="Segoe UI"/>
      </w:rPr>
      <w:t xml:space="preserve"> </w:t>
    </w:r>
    <w:r w:rsidRPr="001D7C56">
      <w:rPr>
        <w:rFonts w:cs="Segoe UI"/>
      </w:rPr>
      <w:t>– KM1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12</w:t>
    </w:r>
    <w:r w:rsidRPr="0050380D">
      <w:rPr>
        <w:rFonts w:cs="Segoe UI"/>
        <w:noProof/>
      </w:rPr>
      <w:fldChar w:fldCharType="end"/>
    </w:r>
    <w:r w:rsidRPr="001D7C56">
      <w:rPr>
        <w:rFonts w:cs="Segoe UI"/>
      </w:rPr>
      <w:ptab w:relativeTo="margin" w:alignment="right" w:leader="none"/>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E96D" w14:textId="5023E962" w:rsidR="003C038F" w:rsidRDefault="003C038F" w:rsidP="00942FDF">
    <w:pPr>
      <w:pStyle w:val="Footer"/>
      <w:tabs>
        <w:tab w:val="clear" w:pos="4153"/>
        <w:tab w:val="clear" w:pos="8306"/>
        <w:tab w:val="center" w:pos="4253"/>
        <w:tab w:val="right" w:pos="8312"/>
      </w:tabs>
    </w:pPr>
    <w:r>
      <w:rPr>
        <w:rFonts w:eastAsia="細明體" w:hint="eastAsia"/>
      </w:rPr>
      <w:t>第</w:t>
    </w:r>
    <w:r>
      <w:t>IV</w:t>
    </w:r>
    <w:r>
      <w:rPr>
        <w:rFonts w:eastAsia="細明體" w:hint="eastAsia"/>
      </w:rPr>
      <w:t>部</w:t>
    </w:r>
    <w:r>
      <w:t xml:space="preserve"> – CCR7</w:t>
    </w:r>
    <w:r>
      <w:tab/>
    </w:r>
    <w:r>
      <w:fldChar w:fldCharType="begin"/>
    </w:r>
    <w:r>
      <w:instrText xml:space="preserve"> PAGE </w:instrText>
    </w:r>
    <w:r>
      <w:fldChar w:fldCharType="separate"/>
    </w:r>
    <w:r w:rsidR="00CC54CB">
      <w:rPr>
        <w:noProof/>
      </w:rPr>
      <w:t>130</w:t>
    </w:r>
    <w:r>
      <w:fldChar w:fldCharType="end"/>
    </w:r>
    <w: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4439" w14:textId="260CB862" w:rsidR="003C038F" w:rsidRDefault="003C038F" w:rsidP="00B64FB5">
    <w:pPr>
      <w:pStyle w:val="Footer"/>
      <w:tabs>
        <w:tab w:val="clear" w:pos="4153"/>
        <w:tab w:val="clear" w:pos="8306"/>
        <w:tab w:val="center" w:pos="4253"/>
        <w:tab w:val="right" w:pos="8505"/>
      </w:tabs>
    </w:pPr>
    <w:r>
      <w:rPr>
        <w:rFonts w:eastAsia="細明體" w:hint="eastAsia"/>
      </w:rPr>
      <w:t>第</w:t>
    </w:r>
    <w:r>
      <w:t>IV</w:t>
    </w:r>
    <w:r>
      <w:rPr>
        <w:rFonts w:eastAsia="細明體" w:hint="eastAsia"/>
      </w:rPr>
      <w:t>部</w:t>
    </w:r>
    <w:r>
      <w:t xml:space="preserve"> – CCR8</w:t>
    </w:r>
    <w:r>
      <w:tab/>
    </w:r>
    <w:r>
      <w:fldChar w:fldCharType="begin"/>
    </w:r>
    <w:r>
      <w:instrText xml:space="preserve"> PAGE   \* MERGEFORMAT </w:instrText>
    </w:r>
    <w:r>
      <w:fldChar w:fldCharType="separate"/>
    </w:r>
    <w:r w:rsidR="00D877DA">
      <w:rPr>
        <w:noProof/>
      </w:rPr>
      <w:t>184</w:t>
    </w:r>
    <w:r>
      <w:rPr>
        <w:noProof/>
      </w:rPr>
      <w:fldChar w:fldCharType="end"/>
    </w:r>
    <w: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8654" w14:textId="422908D0" w:rsidR="003C038F" w:rsidRPr="001D7C56" w:rsidRDefault="003C038F">
    <w:pPr>
      <w:pStyle w:val="Footer"/>
      <w:rPr>
        <w:rFonts w:cs="Segoe UI"/>
      </w:rPr>
    </w:pPr>
    <w:r w:rsidRPr="0050380D">
      <w:rPr>
        <w:rFonts w:eastAsia="細明體" w:cs="Segoe UI" w:hint="eastAsia"/>
      </w:rPr>
      <w:t>第</w:t>
    </w:r>
    <w:r>
      <w:rPr>
        <w:rFonts w:eastAsia="細明體" w:cs="Segoe UI" w:hint="eastAsia"/>
      </w:rPr>
      <w:t>I</w:t>
    </w:r>
    <w:r>
      <w:rPr>
        <w:rFonts w:cs="Segoe UI"/>
      </w:rPr>
      <w:t>VA</w:t>
    </w:r>
    <w:r w:rsidRPr="0050380D">
      <w:rPr>
        <w:rFonts w:eastAsia="細明體" w:cs="Segoe UI" w:hint="eastAsia"/>
      </w:rPr>
      <w:t>部</w:t>
    </w:r>
    <w:r w:rsidRPr="0050380D">
      <w:rPr>
        <w:rFonts w:eastAsia="細明體" w:cs="Segoe UI"/>
      </w:rPr>
      <w:t xml:space="preserve"> </w:t>
    </w:r>
    <w:r>
      <w:rPr>
        <w:rFonts w:cs="Segoe UI"/>
      </w:rPr>
      <w:t>– CVAA</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134</w:t>
    </w:r>
    <w:r w:rsidRPr="0050380D">
      <w:rPr>
        <w:rFonts w:cs="Segoe UI"/>
        <w:noProof/>
      </w:rPr>
      <w:fldChar w:fldCharType="end"/>
    </w:r>
    <w:r w:rsidRPr="001D7C56">
      <w:rPr>
        <w:rFonts w:cs="Segoe UI"/>
      </w:rPr>
      <w:ptab w:relativeTo="margin" w:alignment="right" w:leader="none"/>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A5F4" w14:textId="35EF1180" w:rsidR="003C038F" w:rsidRPr="001D7C56" w:rsidRDefault="003C038F">
    <w:pPr>
      <w:pStyle w:val="Footer"/>
      <w:rPr>
        <w:rFonts w:cs="Segoe UI"/>
      </w:rPr>
    </w:pPr>
    <w:r w:rsidRPr="0050380D">
      <w:rPr>
        <w:rFonts w:eastAsia="細明體" w:cs="Segoe UI" w:hint="eastAsia"/>
      </w:rPr>
      <w:t>第</w:t>
    </w:r>
    <w:r>
      <w:rPr>
        <w:rFonts w:eastAsia="細明體" w:cs="Segoe UI" w:hint="eastAsia"/>
      </w:rPr>
      <w:t>I</w:t>
    </w:r>
    <w:r>
      <w:rPr>
        <w:rFonts w:cs="Segoe UI"/>
      </w:rPr>
      <w:t>VA</w:t>
    </w:r>
    <w:r w:rsidRPr="0050380D">
      <w:rPr>
        <w:rFonts w:eastAsia="細明體" w:cs="Segoe UI" w:hint="eastAsia"/>
      </w:rPr>
      <w:t>部</w:t>
    </w:r>
    <w:r w:rsidRPr="0050380D">
      <w:rPr>
        <w:rFonts w:eastAsia="細明體" w:cs="Segoe UI"/>
      </w:rPr>
      <w:t xml:space="preserve"> </w:t>
    </w:r>
    <w:r>
      <w:rPr>
        <w:rFonts w:cs="Segoe UI"/>
      </w:rPr>
      <w:t>– CVA1</w:t>
    </w:r>
    <w:r w:rsidRPr="00C166FC">
      <w:rPr>
        <w:rFonts w:cs="Segoe UI"/>
      </w:rPr>
      <w:ptab w:relativeTo="margin" w:alignment="center" w:leader="none"/>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135</w:t>
    </w:r>
    <w:r w:rsidRPr="0050380D">
      <w:rPr>
        <w:rFonts w:cs="Segoe UI"/>
        <w:noProof/>
      </w:rPr>
      <w:fldChar w:fldCharType="end"/>
    </w:r>
    <w:r w:rsidRPr="001D7C56">
      <w:rPr>
        <w:rFonts w:cs="Segoe UI"/>
      </w:rPr>
      <w:ptab w:relativeTo="margin" w:alignment="right" w:leader="none"/>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64C5" w14:textId="3AE9A1E9" w:rsidR="003C038F" w:rsidRDefault="003C038F">
    <w:pPr>
      <w:pStyle w:val="Footer"/>
      <w:tabs>
        <w:tab w:val="clear" w:pos="4153"/>
        <w:tab w:val="clear" w:pos="8306"/>
        <w:tab w:val="center" w:pos="4156"/>
        <w:tab w:val="right" w:pos="8312"/>
      </w:tabs>
      <w:rPr>
        <w:rFonts w:ascii="Arial" w:hAnsi="Arial" w:cs="Arial"/>
      </w:rPr>
    </w:pPr>
    <w:r w:rsidRPr="0040381C">
      <w:rPr>
        <w:rFonts w:ascii="微軟正黑體" w:eastAsia="微軟正黑體" w:hAnsi="微軟正黑體" w:cs="微軟正黑體" w:hint="eastAsia"/>
      </w:rPr>
      <w:t>第</w:t>
    </w:r>
    <w:r w:rsidRPr="00623B1C">
      <w:t>IVA</w:t>
    </w:r>
    <w:r w:rsidRPr="0080147B">
      <w:rPr>
        <w:rFonts w:ascii="微軟正黑體" w:eastAsia="微軟正黑體" w:hAnsi="微軟正黑體" w:cs="微軟正黑體" w:hint="eastAsia"/>
      </w:rPr>
      <w:t>部</w:t>
    </w:r>
    <w:r>
      <w:rPr>
        <w:rFonts w:ascii="微軟正黑體" w:eastAsia="微軟正黑體" w:hAnsi="微軟正黑體" w:cs="微軟正黑體" w:hint="eastAsia"/>
      </w:rPr>
      <w:t xml:space="preserve"> </w:t>
    </w:r>
    <w:r>
      <w:t>– CVA2</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C54CB">
      <w:rPr>
        <w:rFonts w:ascii="Arial" w:hAnsi="Arial" w:cs="Arial"/>
        <w:noProof/>
      </w:rPr>
      <w:t>136</w:t>
    </w:r>
    <w:r>
      <w:rPr>
        <w:rFonts w:ascii="Arial" w:hAnsi="Arial" w:cs="Arial"/>
        <w:noProof/>
      </w:rPr>
      <w:fldChar w:fldCharType="end"/>
    </w:r>
    <w:r>
      <w:rPr>
        <w:rFonts w:ascii="Arial" w:hAnsi="Arial" w:cs="Arial"/>
        <w:noProof/>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82C2" w14:textId="704B134B" w:rsidR="003C038F" w:rsidRDefault="003C038F">
    <w:pPr>
      <w:pStyle w:val="Footer"/>
      <w:tabs>
        <w:tab w:val="clear" w:pos="4153"/>
        <w:tab w:val="clear" w:pos="8306"/>
        <w:tab w:val="center" w:pos="4156"/>
        <w:tab w:val="right" w:pos="8312"/>
      </w:tabs>
      <w:rPr>
        <w:rFonts w:ascii="Arial" w:hAnsi="Arial" w:cs="Arial"/>
      </w:rPr>
    </w:pPr>
    <w:r w:rsidRPr="0040381C">
      <w:rPr>
        <w:rFonts w:ascii="微軟正黑體" w:eastAsia="微軟正黑體" w:hAnsi="微軟正黑體" w:cs="微軟正黑體" w:hint="eastAsia"/>
      </w:rPr>
      <w:t>第</w:t>
    </w:r>
    <w:r w:rsidRPr="00623B1C">
      <w:t>IVA</w:t>
    </w:r>
    <w:r w:rsidRPr="0080147B">
      <w:rPr>
        <w:rFonts w:ascii="微軟正黑體" w:eastAsia="微軟正黑體" w:hAnsi="微軟正黑體" w:cs="微軟正黑體" w:hint="eastAsia"/>
      </w:rPr>
      <w:t>部</w:t>
    </w:r>
    <w:r>
      <w:rPr>
        <w:rFonts w:ascii="微軟正黑體" w:eastAsia="微軟正黑體" w:hAnsi="微軟正黑體" w:cs="微軟正黑體" w:hint="eastAsia"/>
      </w:rPr>
      <w:t xml:space="preserve"> </w:t>
    </w:r>
    <w:r>
      <w:t>– CVAB</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C54CB">
      <w:rPr>
        <w:rFonts w:ascii="Arial" w:hAnsi="Arial" w:cs="Arial"/>
        <w:noProof/>
      </w:rPr>
      <w:t>137</w:t>
    </w:r>
    <w:r>
      <w:rPr>
        <w:rFonts w:ascii="Arial" w:hAnsi="Arial" w:cs="Arial"/>
        <w:noProof/>
      </w:rPr>
      <w:fldChar w:fldCharType="end"/>
    </w:r>
    <w:r>
      <w:rPr>
        <w:rFonts w:ascii="Arial" w:hAnsi="Arial" w:cs="Arial"/>
        <w:noProof/>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72EE" w14:textId="4D302CC6" w:rsidR="003C038F" w:rsidRDefault="003C038F">
    <w:pPr>
      <w:pStyle w:val="Footer"/>
      <w:tabs>
        <w:tab w:val="clear" w:pos="4153"/>
        <w:tab w:val="clear" w:pos="8306"/>
        <w:tab w:val="center" w:pos="4156"/>
        <w:tab w:val="right" w:pos="8312"/>
      </w:tabs>
      <w:rPr>
        <w:rFonts w:ascii="Arial" w:hAnsi="Arial" w:cs="Arial"/>
      </w:rPr>
    </w:pPr>
    <w:r w:rsidRPr="0040381C">
      <w:rPr>
        <w:rFonts w:ascii="微軟正黑體" w:eastAsia="微軟正黑體" w:hAnsi="微軟正黑體" w:cs="微軟正黑體" w:hint="eastAsia"/>
      </w:rPr>
      <w:t>第</w:t>
    </w:r>
    <w:r w:rsidRPr="00623B1C">
      <w:t>IVA</w:t>
    </w:r>
    <w:r w:rsidRPr="0080147B">
      <w:rPr>
        <w:rFonts w:ascii="微軟正黑體" w:eastAsia="微軟正黑體" w:hAnsi="微軟正黑體" w:cs="微軟正黑體" w:hint="eastAsia"/>
      </w:rPr>
      <w:t>部</w:t>
    </w:r>
    <w:r>
      <w:rPr>
        <w:rFonts w:ascii="微軟正黑體" w:eastAsia="微軟正黑體" w:hAnsi="微軟正黑體" w:cs="微軟正黑體" w:hint="eastAsia"/>
      </w:rPr>
      <w:t xml:space="preserve"> </w:t>
    </w:r>
    <w:r>
      <w:t>– CVA3</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C54CB">
      <w:rPr>
        <w:rFonts w:ascii="Arial" w:hAnsi="Arial" w:cs="Arial"/>
        <w:noProof/>
      </w:rPr>
      <w:t>138</w:t>
    </w:r>
    <w:r>
      <w:rPr>
        <w:rFonts w:ascii="Arial" w:hAnsi="Arial" w:cs="Arial"/>
        <w:noProof/>
      </w:rPr>
      <w:fldChar w:fldCharType="end"/>
    </w:r>
    <w:r>
      <w:rPr>
        <w:rFonts w:ascii="Arial" w:hAnsi="Arial" w:cs="Arial"/>
        <w:noProof/>
      </w:rPr>
      <w:tab/>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408B" w14:textId="4883D5EB" w:rsidR="003C038F" w:rsidRPr="001D7C56" w:rsidRDefault="003C038F">
    <w:pPr>
      <w:pStyle w:val="Footer"/>
      <w:rPr>
        <w:rFonts w:cs="Segoe UI"/>
      </w:rPr>
    </w:pPr>
    <w:r w:rsidRPr="0050380D">
      <w:rPr>
        <w:rFonts w:eastAsia="細明體" w:cs="Segoe UI" w:hint="eastAsia"/>
      </w:rPr>
      <w:t>第</w:t>
    </w:r>
    <w:r>
      <w:rPr>
        <w:rFonts w:eastAsia="細明體" w:cs="Segoe UI" w:hint="eastAsia"/>
      </w:rPr>
      <w:t>I</w:t>
    </w:r>
    <w:r>
      <w:rPr>
        <w:rFonts w:cs="Segoe UI"/>
      </w:rPr>
      <w:t>VA</w:t>
    </w:r>
    <w:r w:rsidRPr="0050380D">
      <w:rPr>
        <w:rFonts w:eastAsia="細明體" w:cs="Segoe UI" w:hint="eastAsia"/>
      </w:rPr>
      <w:t>部</w:t>
    </w:r>
    <w:r w:rsidRPr="0050380D">
      <w:rPr>
        <w:rFonts w:eastAsia="細明體" w:cs="Segoe UI"/>
      </w:rPr>
      <w:t xml:space="preserve"> </w:t>
    </w:r>
    <w:r>
      <w:rPr>
        <w:rFonts w:cs="Segoe UI"/>
      </w:rPr>
      <w:t>– CVA4</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139</w:t>
    </w:r>
    <w:r w:rsidRPr="0050380D">
      <w:rPr>
        <w:rFonts w:cs="Segoe UI"/>
        <w:noProof/>
      </w:rPr>
      <w:fldChar w:fldCharType="end"/>
    </w:r>
    <w:r w:rsidRPr="001D7C56">
      <w:rPr>
        <w:rFonts w:cs="Segoe UI"/>
      </w:rPr>
      <w:ptab w:relativeTo="margin" w:alignment="right" w:leader="none"/>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483A" w14:textId="0B1F5E9A" w:rsidR="003C038F" w:rsidRDefault="003C038F" w:rsidP="00B64FB5">
    <w:pPr>
      <w:pStyle w:val="Footer"/>
      <w:tabs>
        <w:tab w:val="clear" w:pos="4153"/>
        <w:tab w:val="clear" w:pos="8306"/>
        <w:tab w:val="center" w:pos="4111"/>
        <w:tab w:val="right" w:pos="8222"/>
      </w:tabs>
    </w:pPr>
    <w:r>
      <w:rPr>
        <w:rFonts w:eastAsia="細明體" w:hint="eastAsia"/>
      </w:rPr>
      <w:t>第</w:t>
    </w:r>
    <w:r>
      <w:t>V</w:t>
    </w:r>
    <w:r>
      <w:rPr>
        <w:rFonts w:eastAsia="細明體" w:hint="eastAsia"/>
      </w:rPr>
      <w:t>部</w:t>
    </w:r>
    <w:r>
      <w:t xml:space="preserve"> – SECA</w:t>
    </w:r>
    <w:r>
      <w:tab/>
    </w:r>
    <w:r>
      <w:fldChar w:fldCharType="begin"/>
    </w:r>
    <w:r>
      <w:instrText xml:space="preserve"> PAGE </w:instrText>
    </w:r>
    <w:r>
      <w:fldChar w:fldCharType="separate"/>
    </w:r>
    <w:r w:rsidR="00CC54CB">
      <w:rPr>
        <w:noProof/>
      </w:rPr>
      <w:t>141</w:t>
    </w:r>
    <w:r>
      <w:fldChar w:fldCharType="end"/>
    </w:r>
    <w: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B53F" w14:textId="49A3C7CD" w:rsidR="003C038F" w:rsidRDefault="003C038F" w:rsidP="00B0631F">
    <w:pPr>
      <w:pStyle w:val="Footer"/>
      <w:tabs>
        <w:tab w:val="clear" w:pos="4153"/>
        <w:tab w:val="clear" w:pos="8306"/>
        <w:tab w:val="center" w:pos="7088"/>
        <w:tab w:val="right" w:pos="13892"/>
      </w:tabs>
      <w:ind w:left="284"/>
    </w:pPr>
    <w:r>
      <w:rPr>
        <w:rFonts w:ascii="細明體" w:eastAsia="細明體" w:hAnsi="細明體" w:cs="細明體" w:hint="eastAsia"/>
      </w:rPr>
      <w:t>第</w:t>
    </w:r>
    <w:r>
      <w:t>V</w:t>
    </w:r>
    <w:r>
      <w:rPr>
        <w:rFonts w:ascii="細明體" w:eastAsia="細明體" w:hAnsi="細明體" w:cs="細明體" w:hint="eastAsia"/>
      </w:rPr>
      <w:t>部</w:t>
    </w:r>
    <w:r>
      <w:t xml:space="preserve"> – SEC1</w:t>
    </w:r>
    <w:r>
      <w:tab/>
    </w:r>
    <w:r>
      <w:fldChar w:fldCharType="begin"/>
    </w:r>
    <w:r>
      <w:instrText xml:space="preserve"> PAGE </w:instrText>
    </w:r>
    <w:r>
      <w:fldChar w:fldCharType="separate"/>
    </w:r>
    <w:r w:rsidR="00D877DA">
      <w:rPr>
        <w:noProof/>
      </w:rPr>
      <w:t>184</w:t>
    </w:r>
    <w: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DD9D" w14:textId="481EF8D7" w:rsidR="003C038F" w:rsidRDefault="003C038F" w:rsidP="00894BC7">
    <w:pPr>
      <w:pStyle w:val="Footer"/>
      <w:tabs>
        <w:tab w:val="clear" w:pos="4153"/>
        <w:tab w:val="clear" w:pos="8306"/>
        <w:tab w:val="center" w:pos="4678"/>
        <w:tab w:val="left" w:pos="4965"/>
        <w:tab w:val="right" w:pos="13892"/>
      </w:tabs>
      <w:ind w:left="284"/>
    </w:pPr>
    <w:r w:rsidRPr="00511248">
      <w:rPr>
        <w:rFonts w:eastAsia="細明體" w:hint="eastAsia"/>
      </w:rPr>
      <w:t>第</w:t>
    </w:r>
    <w:r w:rsidRPr="008877B5">
      <w:t>I</w:t>
    </w:r>
    <w:r w:rsidRPr="00511248">
      <w:rPr>
        <w:rFonts w:eastAsia="細明體" w:hint="eastAsia"/>
      </w:rPr>
      <w:t>部</w:t>
    </w:r>
    <w:r w:rsidRPr="00511248">
      <w:rPr>
        <w:rFonts w:eastAsia="細明體"/>
        <w:lang w:eastAsia="zh-TW"/>
      </w:rPr>
      <w:t xml:space="preserve"> </w:t>
    </w:r>
    <w:r w:rsidRPr="008877B5">
      <w:t xml:space="preserve">– </w:t>
    </w:r>
    <w:r>
      <w:t>OV1</w:t>
    </w:r>
    <w:r>
      <w:tab/>
    </w:r>
    <w:r>
      <w:fldChar w:fldCharType="begin"/>
    </w:r>
    <w:r>
      <w:instrText xml:space="preserve"> PAGE </w:instrText>
    </w:r>
    <w:r>
      <w:fldChar w:fldCharType="separate"/>
    </w:r>
    <w:r w:rsidR="00D877DA">
      <w:rPr>
        <w:noProof/>
      </w:rPr>
      <w:t>184</w:t>
    </w:r>
    <w:r>
      <w:fldChar w:fldCharType="end"/>
    </w:r>
    <w:r>
      <w:tab/>
    </w:r>
    <w:r>
      <w:tab/>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D866" w14:textId="18E59E0E" w:rsidR="003C038F" w:rsidRPr="00A94770" w:rsidRDefault="003C038F" w:rsidP="006F3119">
    <w:pPr>
      <w:pStyle w:val="Footer"/>
      <w:tabs>
        <w:tab w:val="clear" w:pos="4153"/>
        <w:tab w:val="clear" w:pos="8306"/>
        <w:tab w:val="center" w:pos="6946"/>
        <w:tab w:val="right" w:pos="13750"/>
      </w:tabs>
      <w:ind w:left="284"/>
      <w:rPr>
        <w:rFonts w:cs="Segoe UI"/>
      </w:rPr>
    </w:pPr>
    <w:r w:rsidRPr="0050380D">
      <w:rPr>
        <w:rFonts w:eastAsia="細明體" w:cs="Segoe UI" w:hint="eastAsia"/>
      </w:rPr>
      <w:t>第</w:t>
    </w:r>
    <w:r>
      <w:rPr>
        <w:rFonts w:cs="Segoe UI"/>
      </w:rPr>
      <w:t>V</w:t>
    </w:r>
    <w:r w:rsidRPr="0050380D">
      <w:rPr>
        <w:rFonts w:eastAsia="細明體" w:cs="Segoe UI" w:hint="eastAsia"/>
      </w:rPr>
      <w:t>部</w:t>
    </w:r>
    <w:r w:rsidRPr="0050380D">
      <w:rPr>
        <w:rFonts w:eastAsia="細明體" w:cs="Segoe UI"/>
      </w:rPr>
      <w:t xml:space="preserve"> </w:t>
    </w:r>
    <w:r>
      <w:rPr>
        <w:rFonts w:cs="Segoe UI"/>
      </w:rPr>
      <w:t>– SEC2</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145</w:t>
    </w:r>
    <w:r w:rsidRPr="0050380D">
      <w:rPr>
        <w:rFonts w:cs="Segoe UI"/>
        <w:noProof/>
      </w:rPr>
      <w:fldChar w:fldCharType="end"/>
    </w:r>
    <w:r w:rsidRPr="001D7C56">
      <w:rPr>
        <w:rFonts w:cs="Segoe UI"/>
      </w:rPr>
      <w:ptab w:relativeTo="margin" w:alignment="right" w:leader="none"/>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97B8" w14:textId="3CDEBDE3" w:rsidR="003C038F" w:rsidRDefault="003C038F" w:rsidP="00B0631F">
    <w:pPr>
      <w:pStyle w:val="Footer"/>
      <w:tabs>
        <w:tab w:val="clear" w:pos="4153"/>
        <w:tab w:val="clear" w:pos="8306"/>
        <w:tab w:val="center" w:pos="7088"/>
        <w:tab w:val="right" w:pos="13750"/>
      </w:tabs>
      <w:ind w:left="426"/>
    </w:pPr>
    <w:r>
      <w:rPr>
        <w:rFonts w:ascii="細明體" w:eastAsia="細明體" w:hAnsi="細明體" w:cs="細明體" w:hint="eastAsia"/>
      </w:rPr>
      <w:t>第</w:t>
    </w:r>
    <w:r>
      <w:t>V</w:t>
    </w:r>
    <w:r>
      <w:rPr>
        <w:rFonts w:ascii="細明體" w:eastAsia="細明體" w:hAnsi="細明體" w:cs="細明體" w:hint="eastAsia"/>
      </w:rPr>
      <w:t>部</w:t>
    </w:r>
    <w:r>
      <w:t xml:space="preserve"> – SEC3</w:t>
    </w:r>
    <w:r>
      <w:tab/>
    </w:r>
    <w:r>
      <w:fldChar w:fldCharType="begin"/>
    </w:r>
    <w:r>
      <w:instrText xml:space="preserve"> PAGE </w:instrText>
    </w:r>
    <w:r>
      <w:fldChar w:fldCharType="separate"/>
    </w:r>
    <w:r w:rsidR="00CC54CB">
      <w:rPr>
        <w:noProof/>
      </w:rPr>
      <w:t>147</w:t>
    </w:r>
    <w:r>
      <w:fldChar w:fldCharType="end"/>
    </w:r>
    <w:r>
      <w:tab/>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4DD8" w14:textId="3CC1AE23" w:rsidR="003C038F" w:rsidRDefault="003C038F" w:rsidP="007760B9">
    <w:pPr>
      <w:pStyle w:val="Footer"/>
      <w:tabs>
        <w:tab w:val="clear" w:pos="4153"/>
        <w:tab w:val="clear" w:pos="8306"/>
        <w:tab w:val="center" w:pos="7088"/>
        <w:tab w:val="right" w:pos="13892"/>
      </w:tabs>
      <w:ind w:left="284"/>
    </w:pPr>
    <w:r>
      <w:rPr>
        <w:rFonts w:ascii="細明體" w:eastAsia="細明體" w:hAnsi="細明體" w:cs="細明體" w:hint="eastAsia"/>
      </w:rPr>
      <w:t>第</w:t>
    </w:r>
    <w:r>
      <w:t>V</w:t>
    </w:r>
    <w:r>
      <w:rPr>
        <w:rFonts w:ascii="細明體" w:eastAsia="細明體" w:hAnsi="細明體" w:cs="細明體" w:hint="eastAsia"/>
      </w:rPr>
      <w:t>部</w:t>
    </w:r>
    <w:r>
      <w:t xml:space="preserve"> – SEC4</w:t>
    </w:r>
    <w:r>
      <w:tab/>
    </w:r>
    <w:r>
      <w:fldChar w:fldCharType="begin"/>
    </w:r>
    <w:r>
      <w:instrText xml:space="preserve"> PAGE </w:instrText>
    </w:r>
    <w:r>
      <w:fldChar w:fldCharType="separate"/>
    </w:r>
    <w:r w:rsidR="00CC54CB">
      <w:rPr>
        <w:noProof/>
      </w:rPr>
      <w:t>149</w:t>
    </w:r>
    <w:r>
      <w:fldChar w:fldCharType="end"/>
    </w:r>
    <w:r>
      <w:tab/>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127C" w14:textId="22B87BAD" w:rsidR="003C038F" w:rsidRDefault="003C038F" w:rsidP="00360504">
    <w:pPr>
      <w:pStyle w:val="Footer"/>
      <w:tabs>
        <w:tab w:val="clear" w:pos="4153"/>
        <w:tab w:val="clear" w:pos="8306"/>
        <w:tab w:val="center" w:pos="4253"/>
        <w:tab w:val="right" w:pos="8312"/>
      </w:tabs>
    </w:pPr>
    <w:r>
      <w:rPr>
        <w:rFonts w:ascii="細明體" w:eastAsia="細明體" w:hAnsi="細明體" w:cs="細明體" w:hint="eastAsia"/>
      </w:rPr>
      <w:t>第</w:t>
    </w:r>
    <w:r>
      <w:t>VI</w:t>
    </w:r>
    <w:r>
      <w:rPr>
        <w:rFonts w:ascii="細明體" w:eastAsia="細明體" w:hAnsi="細明體" w:cs="細明體" w:hint="eastAsia"/>
      </w:rPr>
      <w:t>部</w:t>
    </w:r>
    <w:r>
      <w:t xml:space="preserve"> – MRA</w:t>
    </w:r>
    <w:r>
      <w:tab/>
    </w:r>
    <w:r>
      <w:fldChar w:fldCharType="begin"/>
    </w:r>
    <w:r>
      <w:instrText xml:space="preserve"> PAGE </w:instrText>
    </w:r>
    <w:r>
      <w:fldChar w:fldCharType="separate"/>
    </w:r>
    <w:r w:rsidR="00CC54CB">
      <w:rPr>
        <w:noProof/>
      </w:rPr>
      <w:t>150</w:t>
    </w:r>
    <w:r>
      <w:fldChar w:fldCharType="end"/>
    </w:r>
    <w:r>
      <w:tab/>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ED15" w14:textId="704960A6" w:rsidR="003C038F" w:rsidRDefault="003C038F" w:rsidP="00FA2EB4">
    <w:pPr>
      <w:pStyle w:val="Footer"/>
      <w:tabs>
        <w:tab w:val="clear" w:pos="4153"/>
        <w:tab w:val="clear" w:pos="8306"/>
        <w:tab w:val="center" w:pos="4253"/>
        <w:tab w:val="right" w:pos="8312"/>
      </w:tabs>
    </w:pPr>
    <w:r>
      <w:rPr>
        <w:rFonts w:ascii="微軟正黑體" w:eastAsia="微軟正黑體" w:hAnsi="微軟正黑體" w:cs="微軟正黑體" w:hint="eastAsia"/>
      </w:rPr>
      <w:t>第</w:t>
    </w:r>
    <w:r>
      <w:t>VI</w:t>
    </w:r>
    <w:r w:rsidRPr="008F773E">
      <w:rPr>
        <w:rFonts w:eastAsia="新細明體" w:hint="eastAsia"/>
        <w:lang w:eastAsia="zh-HK"/>
      </w:rPr>
      <w:t>部</w:t>
    </w:r>
    <w:r>
      <w:t xml:space="preserve"> – MR1</w:t>
    </w:r>
    <w:r>
      <w:tab/>
    </w:r>
    <w:r>
      <w:fldChar w:fldCharType="begin"/>
    </w:r>
    <w:r>
      <w:instrText xml:space="preserve"> PAGE   \* MERGEFORMAT </w:instrText>
    </w:r>
    <w:r>
      <w:fldChar w:fldCharType="separate"/>
    </w:r>
    <w:r w:rsidR="00CC54CB">
      <w:rPr>
        <w:noProof/>
      </w:rPr>
      <w:t>151</w:t>
    </w:r>
    <w:r>
      <w:rPr>
        <w:noProof/>
      </w:rPr>
      <w:fldChar w:fldCharType="end"/>
    </w:r>
    <w:r>
      <w:tab/>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57A2" w14:textId="24D08824" w:rsidR="003C038F" w:rsidRDefault="003C038F" w:rsidP="00FA2EB4">
    <w:pPr>
      <w:pStyle w:val="Footer"/>
      <w:tabs>
        <w:tab w:val="clear" w:pos="4153"/>
        <w:tab w:val="clear" w:pos="8306"/>
        <w:tab w:val="center" w:pos="4253"/>
        <w:tab w:val="right" w:pos="8312"/>
      </w:tabs>
    </w:pPr>
    <w:r>
      <w:rPr>
        <w:rFonts w:ascii="微軟正黑體" w:eastAsia="微軟正黑體" w:hAnsi="微軟正黑體" w:cs="微軟正黑體" w:hint="eastAsia"/>
      </w:rPr>
      <w:t>第</w:t>
    </w:r>
    <w:r>
      <w:t>VI</w:t>
    </w:r>
    <w:r>
      <w:rPr>
        <w:rFonts w:ascii="微軟正黑體" w:eastAsia="微軟正黑體" w:hAnsi="微軟正黑體" w:cs="微軟正黑體" w:hint="eastAsia"/>
      </w:rPr>
      <w:t>部</w:t>
    </w:r>
    <w:r>
      <w:t xml:space="preserve"> – MR</w:t>
    </w:r>
    <w:r w:rsidRPr="00C77361">
      <w:t>B</w:t>
    </w:r>
    <w:r>
      <w:tab/>
    </w:r>
    <w:r>
      <w:fldChar w:fldCharType="begin"/>
    </w:r>
    <w:r>
      <w:instrText xml:space="preserve"> PAGE   \* MERGEFORMAT </w:instrText>
    </w:r>
    <w:r>
      <w:fldChar w:fldCharType="separate"/>
    </w:r>
    <w:r w:rsidR="00CC54CB">
      <w:rPr>
        <w:noProof/>
      </w:rPr>
      <w:t>153</w:t>
    </w:r>
    <w:r>
      <w:rPr>
        <w:noProof/>
      </w:rPr>
      <w:fldChar w:fldCharType="end"/>
    </w:r>
    <w:r>
      <w:tab/>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F926" w14:textId="73DF70BB" w:rsidR="003C038F" w:rsidRDefault="003C038F" w:rsidP="00FA2EB4">
    <w:pPr>
      <w:pStyle w:val="Footer"/>
      <w:tabs>
        <w:tab w:val="clear" w:pos="4153"/>
        <w:tab w:val="clear" w:pos="8306"/>
        <w:tab w:val="center" w:pos="4156"/>
        <w:tab w:val="right" w:pos="8312"/>
      </w:tabs>
    </w:pPr>
    <w:r>
      <w:rPr>
        <w:rFonts w:ascii="微軟正黑體" w:eastAsia="微軟正黑體" w:hAnsi="微軟正黑體" w:cs="微軟正黑體" w:hint="eastAsia"/>
      </w:rPr>
      <w:t>第</w:t>
    </w:r>
    <w:r>
      <w:t>VI</w:t>
    </w:r>
    <w:r>
      <w:rPr>
        <w:rFonts w:ascii="微軟正黑體" w:eastAsia="微軟正黑體" w:hAnsi="微軟正黑體" w:cs="微軟正黑體" w:hint="eastAsia"/>
      </w:rPr>
      <w:t>部</w:t>
    </w:r>
    <w:r>
      <w:t xml:space="preserve"> – MR2</w:t>
    </w:r>
    <w:r>
      <w:tab/>
    </w:r>
    <w:r>
      <w:fldChar w:fldCharType="begin"/>
    </w:r>
    <w:r>
      <w:instrText xml:space="preserve"> PAGE   \* MERGEFORMAT </w:instrText>
    </w:r>
    <w:r>
      <w:fldChar w:fldCharType="separate"/>
    </w:r>
    <w:r w:rsidR="00CC54CB">
      <w:rPr>
        <w:noProof/>
      </w:rPr>
      <w:t>156</w:t>
    </w:r>
    <w:r>
      <w:rPr>
        <w:noProof/>
      </w:rPr>
      <w:fldChar w:fldCharType="end"/>
    </w:r>
    <w:r>
      <w:tab/>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6040" w14:textId="0A83DF36" w:rsidR="003C038F" w:rsidRPr="001D7C56" w:rsidRDefault="003C038F">
    <w:pPr>
      <w:pStyle w:val="Footer"/>
      <w:rPr>
        <w:rFonts w:cs="Segoe UI"/>
      </w:rPr>
    </w:pPr>
    <w:r w:rsidRPr="0050380D">
      <w:rPr>
        <w:rFonts w:eastAsia="細明體" w:cs="Segoe UI" w:hint="eastAsia"/>
      </w:rPr>
      <w:t>第</w:t>
    </w:r>
    <w:r w:rsidRPr="001D7C56">
      <w:rPr>
        <w:rFonts w:cs="Segoe UI"/>
      </w:rPr>
      <w:t>V</w:t>
    </w:r>
    <w:r>
      <w:rPr>
        <w:rFonts w:cs="Segoe UI"/>
      </w:rPr>
      <w:t>I</w:t>
    </w:r>
    <w:r w:rsidRPr="0050380D">
      <w:rPr>
        <w:rFonts w:eastAsia="細明體" w:cs="Segoe UI" w:hint="eastAsia"/>
      </w:rPr>
      <w:t>部</w:t>
    </w:r>
    <w:r w:rsidRPr="0050380D">
      <w:rPr>
        <w:rFonts w:eastAsia="細明體" w:cs="Segoe UI"/>
      </w:rPr>
      <w:t xml:space="preserve"> </w:t>
    </w:r>
    <w:r>
      <w:rPr>
        <w:rFonts w:cs="Segoe UI"/>
      </w:rPr>
      <w:t>–</w:t>
    </w:r>
    <w:r w:rsidR="00DD7625" w:rsidRPr="0050380D">
      <w:rPr>
        <w:rFonts w:eastAsia="細明體" w:cs="Segoe UI"/>
      </w:rPr>
      <w:t xml:space="preserve"> </w:t>
    </w:r>
    <w:r>
      <w:rPr>
        <w:rFonts w:cs="Segoe UI"/>
      </w:rPr>
      <w:t>MR3</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158</w:t>
    </w:r>
    <w:r w:rsidRPr="0050380D">
      <w:rPr>
        <w:rFonts w:cs="Segoe UI"/>
        <w:noProof/>
      </w:rPr>
      <w:fldChar w:fldCharType="end"/>
    </w:r>
    <w:r w:rsidRPr="001D7C56">
      <w:rPr>
        <w:rFonts w:cs="Segoe UI"/>
      </w:rPr>
      <w:ptab w:relativeTo="margin" w:alignment="right" w:leader="none"/>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C54F" w14:textId="48AC394C" w:rsidR="003C038F" w:rsidRPr="001D7C56" w:rsidRDefault="003C038F">
    <w:pPr>
      <w:pStyle w:val="Footer"/>
      <w:rPr>
        <w:rFonts w:cs="Segoe UI"/>
      </w:rPr>
    </w:pPr>
    <w:r w:rsidRPr="0050380D">
      <w:rPr>
        <w:rFonts w:eastAsia="細明體" w:cs="Segoe UI" w:hint="eastAsia"/>
      </w:rPr>
      <w:t>第</w:t>
    </w:r>
    <w:r w:rsidRPr="001D7C56">
      <w:rPr>
        <w:rFonts w:cs="Segoe UI"/>
      </w:rPr>
      <w:t>V</w:t>
    </w:r>
    <w:r>
      <w:rPr>
        <w:rFonts w:cs="Segoe UI"/>
      </w:rPr>
      <w:t>I</w:t>
    </w:r>
    <w:r w:rsidRPr="001D7C56">
      <w:rPr>
        <w:rFonts w:cs="Segoe UI"/>
      </w:rPr>
      <w:t>I</w:t>
    </w:r>
    <w:r w:rsidRPr="0050380D">
      <w:rPr>
        <w:rFonts w:eastAsia="細明體" w:cs="Segoe UI" w:hint="eastAsia"/>
      </w:rPr>
      <w:t>部</w:t>
    </w:r>
    <w:r w:rsidRPr="0050380D">
      <w:rPr>
        <w:rFonts w:eastAsia="細明體" w:cs="Segoe UI"/>
      </w:rPr>
      <w:t xml:space="preserve"> </w:t>
    </w:r>
    <w:r>
      <w:rPr>
        <w:rFonts w:cs="Segoe UI"/>
      </w:rPr>
      <w:t>– IRRBBA</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D877DA">
      <w:rPr>
        <w:rFonts w:cs="Segoe UI"/>
        <w:noProof/>
      </w:rPr>
      <w:t>184</w:t>
    </w:r>
    <w:r w:rsidRPr="0050380D">
      <w:rPr>
        <w:rFonts w:cs="Segoe UI"/>
        <w:noProof/>
      </w:rPr>
      <w:fldChar w:fldCharType="end"/>
    </w:r>
    <w:r w:rsidRPr="001D7C56">
      <w:rPr>
        <w:rFonts w:cs="Segoe UI"/>
      </w:rPr>
      <w:ptab w:relativeTo="margin" w:alignment="right" w:leader="none"/>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A23D" w14:textId="38AAC225" w:rsidR="003C038F" w:rsidRPr="001D7C56" w:rsidRDefault="003C038F">
    <w:pPr>
      <w:pStyle w:val="Footer"/>
      <w:rPr>
        <w:rFonts w:cs="Segoe UI"/>
      </w:rPr>
    </w:pPr>
    <w:r w:rsidRPr="0050380D">
      <w:rPr>
        <w:rFonts w:eastAsia="細明體" w:cs="Segoe UI" w:hint="eastAsia"/>
      </w:rPr>
      <w:t>第</w:t>
    </w:r>
    <w:r w:rsidRPr="001D7C56">
      <w:rPr>
        <w:rFonts w:cs="Segoe UI"/>
      </w:rPr>
      <w:t>VII</w:t>
    </w:r>
    <w:r w:rsidRPr="0050380D">
      <w:rPr>
        <w:rFonts w:eastAsia="細明體" w:cs="Segoe UI" w:hint="eastAsia"/>
      </w:rPr>
      <w:t>部</w:t>
    </w:r>
    <w:r w:rsidRPr="0050380D">
      <w:rPr>
        <w:rFonts w:eastAsia="細明體" w:cs="Segoe UI"/>
      </w:rPr>
      <w:t xml:space="preserve"> </w:t>
    </w:r>
    <w:r w:rsidRPr="001D7C56">
      <w:rPr>
        <w:rFonts w:cs="Segoe UI"/>
      </w:rPr>
      <w:t>– IRRBB</w:t>
    </w:r>
    <w:r w:rsidRPr="001D7C56">
      <w:rPr>
        <w:rFonts w:eastAsiaTheme="minorEastAsia" w:cs="Segoe UI"/>
        <w:lang w:eastAsia="zh-TW"/>
      </w:rPr>
      <w:t>1</w:t>
    </w:r>
    <w:r>
      <w:rPr>
        <w:rFonts w:eastAsiaTheme="minorEastAsia" w:cs="Segoe UI"/>
        <w:lang w:eastAsia="zh-TW"/>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161</w:t>
    </w:r>
    <w:r w:rsidRPr="0050380D">
      <w:rPr>
        <w:rFonts w:cs="Segoe UI"/>
        <w:noProof/>
      </w:rPr>
      <w:fldChar w:fldCharType="end"/>
    </w:r>
    <w:r w:rsidRPr="001D7C56">
      <w:rPr>
        <w:rFonts w:cs="Segoe UI"/>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546B" w14:textId="4B63396B" w:rsidR="003C038F" w:rsidRDefault="003C038F" w:rsidP="00894BC7">
    <w:pPr>
      <w:pStyle w:val="Footer"/>
      <w:tabs>
        <w:tab w:val="clear" w:pos="4153"/>
        <w:tab w:val="clear" w:pos="8306"/>
        <w:tab w:val="left" w:pos="6521"/>
        <w:tab w:val="right" w:pos="13892"/>
      </w:tabs>
      <w:ind w:left="284"/>
    </w:pPr>
    <w:r w:rsidRPr="00511248">
      <w:rPr>
        <w:rFonts w:eastAsia="細明體" w:hint="eastAsia"/>
      </w:rPr>
      <w:t>第</w:t>
    </w:r>
    <w:r>
      <w:rPr>
        <w:rFonts w:eastAsia="細明體"/>
      </w:rPr>
      <w:t>I</w:t>
    </w:r>
    <w:r w:rsidRPr="008877B5">
      <w:t>I</w:t>
    </w:r>
    <w:r w:rsidRPr="00511248">
      <w:rPr>
        <w:rFonts w:eastAsia="細明體" w:hint="eastAsia"/>
      </w:rPr>
      <w:t>部</w:t>
    </w:r>
    <w:r w:rsidRPr="00511248">
      <w:rPr>
        <w:rFonts w:eastAsia="細明體"/>
        <w:lang w:eastAsia="zh-TW"/>
      </w:rPr>
      <w:t xml:space="preserve"> </w:t>
    </w:r>
    <w:r w:rsidRPr="008877B5">
      <w:t xml:space="preserve">– </w:t>
    </w:r>
    <w:r>
      <w:t>LI1</w:t>
    </w:r>
    <w:r>
      <w:tab/>
    </w:r>
    <w:r>
      <w:fldChar w:fldCharType="begin"/>
    </w:r>
    <w:r>
      <w:instrText xml:space="preserve"> PAGE </w:instrText>
    </w:r>
    <w:r>
      <w:fldChar w:fldCharType="separate"/>
    </w:r>
    <w:r w:rsidR="00CC54CB">
      <w:rPr>
        <w:noProof/>
      </w:rPr>
      <w:t>21</w:t>
    </w:r>
    <w:r>
      <w:fldChar w:fldCharType="end"/>
    </w:r>
    <w:r>
      <w:tab/>
    </w:r>
    <w:r>
      <w:tab/>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622A" w14:textId="5C9FC20D" w:rsidR="003C038F" w:rsidRPr="001D7C56" w:rsidRDefault="003C038F">
    <w:pPr>
      <w:pStyle w:val="Footer"/>
      <w:rPr>
        <w:rFonts w:cs="Segoe UI"/>
      </w:rPr>
    </w:pPr>
    <w:r w:rsidRPr="0050380D">
      <w:rPr>
        <w:rFonts w:eastAsia="細明體" w:cs="Segoe UI" w:hint="eastAsia"/>
      </w:rPr>
      <w:t>第</w:t>
    </w:r>
    <w:r w:rsidRPr="001D7C56">
      <w:rPr>
        <w:rFonts w:cs="Segoe UI"/>
      </w:rPr>
      <w:t>VIII</w:t>
    </w:r>
    <w:r w:rsidRPr="0050380D">
      <w:rPr>
        <w:rFonts w:eastAsia="細明體" w:cs="Segoe UI" w:hint="eastAsia"/>
      </w:rPr>
      <w:t>部</w:t>
    </w:r>
    <w:r w:rsidRPr="0050380D">
      <w:rPr>
        <w:rFonts w:eastAsia="細明體" w:cs="Segoe UI"/>
      </w:rPr>
      <w:t xml:space="preserve"> </w:t>
    </w:r>
    <w:r w:rsidRPr="001D7C56">
      <w:rPr>
        <w:rFonts w:cs="Segoe UI"/>
      </w:rPr>
      <w:t>– REMA</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163</w:t>
    </w:r>
    <w:r w:rsidRPr="0050380D">
      <w:rPr>
        <w:rFonts w:cs="Segoe UI"/>
        <w:noProof/>
      </w:rPr>
      <w:fldChar w:fldCharType="end"/>
    </w:r>
    <w:r w:rsidRPr="001D7C56">
      <w:rPr>
        <w:rFonts w:cs="Segoe UI"/>
      </w:rPr>
      <w:ptab w:relativeTo="margin" w:alignment="right" w:leader="none"/>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EC7E" w14:textId="6FF9BBC8" w:rsidR="003C038F" w:rsidRPr="001D7C56" w:rsidRDefault="003C038F">
    <w:pPr>
      <w:pStyle w:val="Footer"/>
      <w:rPr>
        <w:rFonts w:cs="Segoe UI"/>
      </w:rPr>
    </w:pPr>
    <w:r w:rsidRPr="0050380D">
      <w:rPr>
        <w:rFonts w:eastAsia="細明體" w:cs="Segoe UI" w:hint="eastAsia"/>
      </w:rPr>
      <w:t>第</w:t>
    </w:r>
    <w:r w:rsidRPr="001D7C56">
      <w:rPr>
        <w:rFonts w:cs="Segoe UI"/>
      </w:rPr>
      <w:t>VIII</w:t>
    </w:r>
    <w:r w:rsidRPr="0050380D">
      <w:rPr>
        <w:rFonts w:eastAsia="細明體" w:cs="Segoe UI" w:hint="eastAsia"/>
      </w:rPr>
      <w:t>部</w:t>
    </w:r>
    <w:r w:rsidRPr="0050380D">
      <w:rPr>
        <w:rFonts w:eastAsia="細明體" w:cs="Segoe UI"/>
      </w:rPr>
      <w:t xml:space="preserve"> </w:t>
    </w:r>
    <w:r w:rsidRPr="001D7C56">
      <w:rPr>
        <w:rFonts w:cs="Segoe UI"/>
      </w:rPr>
      <w:t>– REM1</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165</w:t>
    </w:r>
    <w:r w:rsidRPr="0050380D">
      <w:rPr>
        <w:rFonts w:cs="Segoe UI"/>
        <w:noProof/>
      </w:rPr>
      <w:fldChar w:fldCharType="end"/>
    </w:r>
    <w:r w:rsidRPr="001D7C56">
      <w:rPr>
        <w:rFonts w:cs="Segoe UI"/>
      </w:rPr>
      <w:ptab w:relativeTo="margin" w:alignment="right" w:leader="none"/>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632D" w14:textId="2A4C6E34" w:rsidR="003C038F" w:rsidRPr="001D7C56" w:rsidRDefault="003C038F">
    <w:pPr>
      <w:pStyle w:val="Footer"/>
      <w:rPr>
        <w:rFonts w:cs="Segoe UI"/>
      </w:rPr>
    </w:pPr>
    <w:r w:rsidRPr="0050380D">
      <w:rPr>
        <w:rFonts w:eastAsia="細明體" w:cs="Segoe UI" w:hint="eastAsia"/>
      </w:rPr>
      <w:t>第</w:t>
    </w:r>
    <w:r w:rsidRPr="001D7C56">
      <w:rPr>
        <w:rFonts w:cs="Segoe UI"/>
      </w:rPr>
      <w:t>VIII</w:t>
    </w:r>
    <w:r w:rsidRPr="0050380D">
      <w:rPr>
        <w:rFonts w:eastAsia="細明體" w:cs="Segoe UI" w:hint="eastAsia"/>
      </w:rPr>
      <w:t>部</w:t>
    </w:r>
    <w:r w:rsidRPr="0050380D">
      <w:rPr>
        <w:rFonts w:eastAsia="細明體" w:cs="Segoe UI"/>
      </w:rPr>
      <w:t xml:space="preserve"> </w:t>
    </w:r>
    <w:r w:rsidRPr="001D7C56">
      <w:rPr>
        <w:rFonts w:cs="Segoe UI"/>
      </w:rPr>
      <w:t>– REM2</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166</w:t>
    </w:r>
    <w:r w:rsidRPr="0050380D">
      <w:rPr>
        <w:rFonts w:cs="Segoe UI"/>
        <w:noProof/>
      </w:rPr>
      <w:fldChar w:fldCharType="end"/>
    </w:r>
    <w:r w:rsidRPr="001D7C56">
      <w:rPr>
        <w:rFonts w:cs="Segoe UI"/>
      </w:rPr>
      <w:ptab w:relativeTo="margin" w:alignment="right" w:leader="none"/>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EF47" w14:textId="3D5B145E" w:rsidR="003C038F" w:rsidRPr="00C166FC" w:rsidRDefault="003C038F">
    <w:pPr>
      <w:pStyle w:val="Footer"/>
      <w:rPr>
        <w:rFonts w:cs="Segoe UI"/>
      </w:rPr>
    </w:pPr>
    <w:r w:rsidRPr="0050380D">
      <w:rPr>
        <w:rFonts w:eastAsia="細明體" w:cs="Segoe UI" w:hint="eastAsia"/>
      </w:rPr>
      <w:t>第</w:t>
    </w:r>
    <w:r w:rsidRPr="001D7C56">
      <w:rPr>
        <w:rFonts w:cs="Segoe UI"/>
      </w:rPr>
      <w:t>VIII</w:t>
    </w:r>
    <w:r w:rsidRPr="0050380D">
      <w:rPr>
        <w:rFonts w:eastAsia="細明體" w:cs="Segoe UI" w:hint="eastAsia"/>
      </w:rPr>
      <w:t>部</w:t>
    </w:r>
    <w:r w:rsidRPr="0050380D">
      <w:rPr>
        <w:rFonts w:eastAsia="細明體" w:cs="Segoe UI"/>
      </w:rPr>
      <w:t xml:space="preserve"> </w:t>
    </w:r>
    <w:r w:rsidRPr="001D7C56">
      <w:rPr>
        <w:rFonts w:cs="Segoe UI"/>
      </w:rPr>
      <w:t>– REM3</w:t>
    </w:r>
    <w:r>
      <w:rPr>
        <w:rFonts w:cs="Segoe UI"/>
      </w:rPr>
      <w:tab/>
    </w:r>
    <w:r w:rsidRPr="0050380D">
      <w:rPr>
        <w:rFonts w:cs="Segoe UI"/>
      </w:rPr>
      <w:fldChar w:fldCharType="begin"/>
    </w:r>
    <w:r w:rsidRPr="0050380D">
      <w:rPr>
        <w:rFonts w:cs="Segoe UI"/>
      </w:rPr>
      <w:instrText xml:space="preserve"> PAGE   \* MERGEFORMAT </w:instrText>
    </w:r>
    <w:r w:rsidRPr="0050380D">
      <w:rPr>
        <w:rFonts w:cs="Segoe UI"/>
      </w:rPr>
      <w:fldChar w:fldCharType="separate"/>
    </w:r>
    <w:r w:rsidR="00CC54CB">
      <w:rPr>
        <w:rFonts w:cs="Segoe UI"/>
        <w:noProof/>
      </w:rPr>
      <w:t>168</w:t>
    </w:r>
    <w:r w:rsidRPr="0050380D">
      <w:rPr>
        <w:rFonts w:cs="Segoe UI"/>
        <w:noProof/>
      </w:rPr>
      <w:fldChar w:fldCharType="end"/>
    </w:r>
    <w:r w:rsidRPr="001D7C56">
      <w:rPr>
        <w:rFonts w:cs="Segoe UI"/>
      </w:rPr>
      <w:ptab w:relativeTo="margin" w:alignment="right" w:leader="none"/>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1BCB" w14:textId="4A3D9CC3" w:rsidR="003C038F" w:rsidRDefault="003C038F" w:rsidP="00F10613">
    <w:pPr>
      <w:pStyle w:val="Footer"/>
      <w:tabs>
        <w:tab w:val="clear" w:pos="4153"/>
        <w:tab w:val="clear" w:pos="8306"/>
        <w:tab w:val="center" w:pos="4253"/>
        <w:tab w:val="right" w:pos="8364"/>
      </w:tabs>
      <w:rPr>
        <w:rFonts w:ascii="Arial" w:hAnsi="Arial" w:cs="Arial"/>
      </w:rPr>
    </w:pPr>
    <w:r w:rsidRPr="0040381C">
      <w:rPr>
        <w:rFonts w:ascii="微軟正黑體" w:eastAsia="微軟正黑體" w:hAnsi="微軟正黑體" w:cs="微軟正黑體" w:hint="eastAsia"/>
      </w:rPr>
      <w:t>第</w:t>
    </w:r>
    <w:r w:rsidRPr="00623B1C">
      <w:t>IX</w:t>
    </w:r>
    <w:r w:rsidRPr="00623B1C">
      <w:rPr>
        <w:rFonts w:ascii="微軟正黑體" w:eastAsia="微軟正黑體" w:hAnsi="微軟正黑體" w:cs="微軟正黑體" w:hint="eastAsia"/>
      </w:rPr>
      <w:t>部</w:t>
    </w:r>
    <w:r>
      <w:rPr>
        <w:rFonts w:ascii="微軟正黑體" w:eastAsia="微軟正黑體" w:hAnsi="微軟正黑體" w:cs="微軟正黑體" w:hint="eastAsia"/>
      </w:rPr>
      <w:t xml:space="preserve"> </w:t>
    </w:r>
    <w:r w:rsidRPr="0040381C">
      <w:t>–</w:t>
    </w:r>
    <w:r>
      <w:t xml:space="preserve"> ORA</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C54CB">
      <w:rPr>
        <w:rFonts w:ascii="Arial" w:hAnsi="Arial" w:cs="Arial"/>
        <w:noProof/>
      </w:rPr>
      <w:t>169</w:t>
    </w:r>
    <w:r>
      <w:rPr>
        <w:rFonts w:ascii="Arial" w:hAnsi="Arial" w:cs="Arial"/>
        <w:noProof/>
      </w:rPr>
      <w:fldChar w:fldCharType="end"/>
    </w:r>
    <w:r>
      <w:rPr>
        <w:rFonts w:ascii="Arial" w:hAnsi="Arial" w:cs="Arial"/>
        <w:noProof/>
      </w:rPr>
      <w:tab/>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C662" w14:textId="7B9DE9B2" w:rsidR="003C038F" w:rsidRDefault="003C038F" w:rsidP="00F10613">
    <w:pPr>
      <w:pStyle w:val="Footer"/>
      <w:tabs>
        <w:tab w:val="clear" w:pos="4153"/>
        <w:tab w:val="clear" w:pos="8306"/>
        <w:tab w:val="center" w:pos="4253"/>
        <w:tab w:val="right" w:pos="8312"/>
      </w:tabs>
      <w:rPr>
        <w:rFonts w:ascii="Arial" w:hAnsi="Arial" w:cs="Arial"/>
      </w:rPr>
    </w:pPr>
    <w:r w:rsidRPr="0040381C">
      <w:rPr>
        <w:rFonts w:ascii="微軟正黑體" w:eastAsia="微軟正黑體" w:hAnsi="微軟正黑體" w:cs="微軟正黑體" w:hint="eastAsia"/>
      </w:rPr>
      <w:t>第</w:t>
    </w:r>
    <w:r w:rsidRPr="00623B1C">
      <w:t>IX</w:t>
    </w:r>
    <w:r w:rsidRPr="00623B1C">
      <w:rPr>
        <w:rFonts w:ascii="微軟正黑體" w:eastAsia="微軟正黑體" w:hAnsi="微軟正黑體" w:cs="微軟正黑體" w:hint="eastAsia"/>
      </w:rPr>
      <w:t>部</w:t>
    </w:r>
    <w:r>
      <w:rPr>
        <w:rFonts w:ascii="微軟正黑體" w:eastAsia="微軟正黑體" w:hAnsi="微軟正黑體" w:cs="微軟正黑體" w:hint="eastAsia"/>
      </w:rPr>
      <w:t xml:space="preserve"> </w:t>
    </w:r>
    <w:r w:rsidRPr="0040381C">
      <w:t>–</w:t>
    </w:r>
    <w:r>
      <w:t xml:space="preserve"> OR1</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C54CB">
      <w:rPr>
        <w:rFonts w:ascii="Arial" w:hAnsi="Arial" w:cs="Arial"/>
        <w:noProof/>
      </w:rPr>
      <w:t>172</w:t>
    </w:r>
    <w:r>
      <w:rPr>
        <w:rFonts w:ascii="Arial" w:hAnsi="Arial" w:cs="Arial"/>
        <w:noProof/>
      </w:rPr>
      <w:fldChar w:fldCharType="end"/>
    </w:r>
    <w:r>
      <w:rPr>
        <w:rFonts w:ascii="Arial" w:hAnsi="Arial" w:cs="Arial"/>
        <w:noProof/>
      </w:rPr>
      <w:tab/>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2318" w14:textId="2D3290FC" w:rsidR="003C038F" w:rsidRDefault="003C038F" w:rsidP="00A961FD">
    <w:pPr>
      <w:pStyle w:val="Footer"/>
      <w:tabs>
        <w:tab w:val="clear" w:pos="4153"/>
        <w:tab w:val="clear" w:pos="8306"/>
        <w:tab w:val="center" w:pos="4253"/>
        <w:tab w:val="right" w:pos="8312"/>
      </w:tabs>
      <w:rPr>
        <w:rFonts w:ascii="Arial" w:hAnsi="Arial" w:cs="Arial"/>
      </w:rPr>
    </w:pPr>
    <w:r>
      <w:rPr>
        <w:rFonts w:ascii="微軟正黑體" w:eastAsia="微軟正黑體" w:hAnsi="微軟正黑體" w:cs="微軟正黑體" w:hint="eastAsia"/>
      </w:rPr>
      <w:t>第</w:t>
    </w:r>
    <w:r w:rsidRPr="00623B1C">
      <w:t>IX</w:t>
    </w:r>
    <w:r w:rsidRPr="00623B1C">
      <w:rPr>
        <w:rFonts w:ascii="微軟正黑體" w:eastAsia="微軟正黑體" w:hAnsi="微軟正黑體" w:cs="微軟正黑體" w:hint="eastAsia"/>
      </w:rPr>
      <w:t>部</w:t>
    </w:r>
    <w:r>
      <w:rPr>
        <w:rFonts w:ascii="微軟正黑體" w:eastAsia="微軟正黑體" w:hAnsi="微軟正黑體" w:cs="微軟正黑體" w:hint="eastAsia"/>
        <w:lang w:eastAsia="zh-TW"/>
      </w:rPr>
      <w:t xml:space="preserve"> </w:t>
    </w:r>
    <w:r w:rsidRPr="0040381C">
      <w:t>– OR</w:t>
    </w:r>
    <w:r>
      <w:t>2</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C54CB">
      <w:rPr>
        <w:rFonts w:ascii="Arial" w:hAnsi="Arial" w:cs="Arial"/>
        <w:noProof/>
      </w:rPr>
      <w:t>175</w:t>
    </w:r>
    <w:r>
      <w:rPr>
        <w:rFonts w:ascii="Arial" w:hAnsi="Arial" w:cs="Arial"/>
        <w:noProof/>
      </w:rPr>
      <w:fldChar w:fldCharType="end"/>
    </w:r>
    <w:r>
      <w:rPr>
        <w:rFonts w:ascii="Arial" w:hAnsi="Arial" w:cs="Arial"/>
        <w:noProof/>
      </w:rPr>
      <w:tab/>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2CDC" w14:textId="3BC7FA93" w:rsidR="003C038F" w:rsidRDefault="003C038F" w:rsidP="00494529">
    <w:pPr>
      <w:pStyle w:val="Footer"/>
      <w:tabs>
        <w:tab w:val="clear" w:pos="4153"/>
        <w:tab w:val="clear" w:pos="8306"/>
        <w:tab w:val="center" w:pos="4253"/>
        <w:tab w:val="right" w:pos="8312"/>
      </w:tabs>
      <w:rPr>
        <w:rFonts w:ascii="Arial" w:hAnsi="Arial" w:cs="Arial"/>
      </w:rPr>
    </w:pPr>
    <w:r>
      <w:rPr>
        <w:rFonts w:ascii="微軟正黑體" w:eastAsia="微軟正黑體" w:hAnsi="微軟正黑體" w:cs="微軟正黑體" w:hint="eastAsia"/>
      </w:rPr>
      <w:t>第</w:t>
    </w:r>
    <w:r w:rsidRPr="00623B1C">
      <w:t>IX</w:t>
    </w:r>
    <w:r w:rsidRPr="00623B1C">
      <w:rPr>
        <w:rFonts w:ascii="微軟正黑體" w:eastAsia="微軟正黑體" w:hAnsi="微軟正黑體" w:cs="微軟正黑體" w:hint="eastAsia"/>
      </w:rPr>
      <w:t>部</w:t>
    </w:r>
    <w:r>
      <w:rPr>
        <w:rFonts w:ascii="微軟正黑體" w:eastAsia="微軟正黑體" w:hAnsi="微軟正黑體" w:cs="微軟正黑體" w:hint="eastAsia"/>
        <w:lang w:eastAsia="zh-TW"/>
      </w:rPr>
      <w:t xml:space="preserve"> </w:t>
    </w:r>
    <w:r w:rsidRPr="0040381C">
      <w:t>– OR</w:t>
    </w:r>
    <w:r>
      <w:t>3</w:t>
    </w:r>
    <w: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CC54CB">
      <w:rPr>
        <w:rFonts w:ascii="Arial" w:hAnsi="Arial" w:cs="Arial"/>
        <w:noProof/>
      </w:rPr>
      <w:t>176</w:t>
    </w:r>
    <w:r>
      <w:rPr>
        <w:rFonts w:ascii="Arial" w:hAnsi="Arial" w:cs="Arial"/>
        <w:noProof/>
      </w:rPr>
      <w:fldChar w:fldCharType="end"/>
    </w:r>
    <w:r>
      <w:rPr>
        <w:rFonts w:ascii="Arial" w:hAnsi="Arial" w:cs="Arial"/>
        <w:noProof/>
      </w:rPr>
      <w:tab/>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6EE0" w14:textId="35C2CE47" w:rsidR="003C038F" w:rsidRDefault="003C038F" w:rsidP="00862754">
    <w:pPr>
      <w:pStyle w:val="Footer"/>
    </w:pPr>
    <w:r>
      <w:rPr>
        <w:rFonts w:ascii="微軟正黑體" w:eastAsia="微軟正黑體" w:hAnsi="微軟正黑體" w:cs="微軟正黑體" w:hint="eastAsia"/>
      </w:rPr>
      <w:t>第</w:t>
    </w:r>
    <w:r w:rsidRPr="00EC0187">
      <w:t>X</w:t>
    </w:r>
    <w:r w:rsidRPr="00EC0187">
      <w:rPr>
        <w:rFonts w:ascii="微軟正黑體" w:eastAsia="微軟正黑體" w:hAnsi="微軟正黑體" w:cs="微軟正黑體" w:hint="eastAsia"/>
      </w:rPr>
      <w:t>部</w:t>
    </w:r>
    <w:r>
      <w:rPr>
        <w:rFonts w:ascii="微軟正黑體" w:eastAsia="微軟正黑體" w:hAnsi="微軟正黑體" w:cs="微軟正黑體" w:hint="eastAsia"/>
        <w:lang w:eastAsia="zh-TW"/>
      </w:rPr>
      <w:t xml:space="preserve"> </w:t>
    </w:r>
    <w:r w:rsidRPr="002F3DB6">
      <w:t>– CMS1</w:t>
    </w:r>
    <w:r>
      <w:tab/>
    </w:r>
    <w:r w:rsidRPr="002F3DB6">
      <w:rPr>
        <w:rFonts w:ascii="Arial" w:hAnsi="Arial" w:cs="Arial"/>
      </w:rPr>
      <w:fldChar w:fldCharType="begin"/>
    </w:r>
    <w:r w:rsidRPr="002F3DB6">
      <w:rPr>
        <w:rFonts w:ascii="Arial" w:hAnsi="Arial" w:cs="Arial"/>
      </w:rPr>
      <w:instrText xml:space="preserve"> PAGE   \* MERGEFORMAT </w:instrText>
    </w:r>
    <w:r w:rsidRPr="002F3DB6">
      <w:rPr>
        <w:rFonts w:ascii="Arial" w:hAnsi="Arial" w:cs="Arial"/>
      </w:rPr>
      <w:fldChar w:fldCharType="separate"/>
    </w:r>
    <w:r w:rsidR="00CC54CB">
      <w:rPr>
        <w:rFonts w:ascii="Arial" w:hAnsi="Arial" w:cs="Arial"/>
        <w:noProof/>
      </w:rPr>
      <w:t>181</w:t>
    </w:r>
    <w:r w:rsidRPr="002F3DB6">
      <w:rPr>
        <w:rFonts w:ascii="Arial" w:hAnsi="Arial" w:cs="Arial"/>
        <w:noProof/>
      </w:rPr>
      <w:fldChar w:fldCharType="end"/>
    </w:r>
    <w:r>
      <w:tab/>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8DF1" w14:textId="5D880E6E" w:rsidR="003C038F" w:rsidRDefault="003C038F" w:rsidP="00494529">
    <w:pPr>
      <w:pStyle w:val="Footer"/>
      <w:tabs>
        <w:tab w:val="clear" w:pos="4153"/>
        <w:tab w:val="clear" w:pos="8306"/>
        <w:tab w:val="center" w:pos="4253"/>
        <w:tab w:val="right" w:pos="8505"/>
      </w:tabs>
    </w:pPr>
    <w:r>
      <w:rPr>
        <w:rFonts w:ascii="微軟正黑體" w:eastAsia="微軟正黑體" w:hAnsi="微軟正黑體" w:cs="微軟正黑體" w:hint="eastAsia"/>
      </w:rPr>
      <w:t>第</w:t>
    </w:r>
    <w:r w:rsidRPr="00EC0187">
      <w:t>X</w:t>
    </w:r>
    <w:r w:rsidRPr="00EC0187">
      <w:rPr>
        <w:rFonts w:ascii="微軟正黑體" w:eastAsia="微軟正黑體" w:hAnsi="微軟正黑體" w:cs="微軟正黑體" w:hint="eastAsia"/>
      </w:rPr>
      <w:t>部</w:t>
    </w:r>
    <w:r>
      <w:rPr>
        <w:rFonts w:ascii="微軟正黑體" w:eastAsia="微軟正黑體" w:hAnsi="微軟正黑體" w:cs="微軟正黑體" w:hint="eastAsia"/>
        <w:lang w:eastAsia="zh-TW"/>
      </w:rPr>
      <w:t xml:space="preserve"> </w:t>
    </w:r>
    <w:r w:rsidRPr="0040381C">
      <w:t>–</w:t>
    </w:r>
    <w:r>
      <w:t xml:space="preserve"> CMS2</w:t>
    </w:r>
    <w:r>
      <w:tab/>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CC54CB">
      <w:rPr>
        <w:rFonts w:cs="Segoe UI"/>
        <w:noProof/>
      </w:rPr>
      <w:t>184</w:t>
    </w:r>
    <w:r w:rsidRPr="006F14C7">
      <w:rPr>
        <w:rFonts w:cs="Segoe UI"/>
        <w:noProof/>
      </w:rPr>
      <w:fldChar w:fldCharType="end"/>
    </w:r>
    <w:r>
      <w:rPr>
        <w:rFonts w:cs="Segoe UI"/>
        <w:noProof/>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EF11" w14:textId="3DA95053" w:rsidR="003C038F" w:rsidRDefault="003C038F" w:rsidP="00BE62EF">
    <w:pPr>
      <w:pStyle w:val="Footer"/>
      <w:tabs>
        <w:tab w:val="clear" w:pos="4153"/>
        <w:tab w:val="clear" w:pos="8306"/>
        <w:tab w:val="center" w:pos="6804"/>
        <w:tab w:val="right" w:pos="13892"/>
      </w:tabs>
      <w:ind w:left="284"/>
    </w:pPr>
    <w:r w:rsidRPr="00511248">
      <w:rPr>
        <w:rFonts w:eastAsia="細明體" w:hint="eastAsia"/>
      </w:rPr>
      <w:t>第</w:t>
    </w:r>
    <w:r>
      <w:rPr>
        <w:rFonts w:eastAsia="細明體"/>
      </w:rPr>
      <w:t>I</w:t>
    </w:r>
    <w:r w:rsidRPr="008877B5">
      <w:t>I</w:t>
    </w:r>
    <w:r w:rsidRPr="00511248">
      <w:rPr>
        <w:rFonts w:eastAsia="細明體" w:hint="eastAsia"/>
      </w:rPr>
      <w:t>部</w:t>
    </w:r>
    <w:r w:rsidRPr="00511248">
      <w:rPr>
        <w:rFonts w:eastAsia="細明體"/>
        <w:lang w:eastAsia="zh-TW"/>
      </w:rPr>
      <w:t xml:space="preserve"> </w:t>
    </w:r>
    <w:r w:rsidRPr="008877B5">
      <w:t xml:space="preserve">– </w:t>
    </w:r>
    <w:r>
      <w:t>LI2</w:t>
    </w:r>
    <w:r>
      <w:tab/>
    </w:r>
    <w:r>
      <w:fldChar w:fldCharType="begin"/>
    </w:r>
    <w:r>
      <w:instrText xml:space="preserve"> PAGE </w:instrText>
    </w:r>
    <w:r>
      <w:fldChar w:fldCharType="separate"/>
    </w:r>
    <w:r w:rsidR="00CC54CB">
      <w:rPr>
        <w:noProof/>
      </w:rPr>
      <w:t>24</w:t>
    </w:r>
    <w:r>
      <w:fldChar w:fldCharType="end"/>
    </w:r>
    <w:r>
      <w:tab/>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F7B8" w14:textId="42EFEB2D" w:rsidR="003C038F" w:rsidRDefault="003C038F" w:rsidP="00693637">
    <w:pPr>
      <w:pStyle w:val="Footer"/>
      <w:tabs>
        <w:tab w:val="clear" w:pos="4153"/>
        <w:tab w:val="clear" w:pos="8306"/>
        <w:tab w:val="center" w:pos="4678"/>
        <w:tab w:val="right" w:pos="9214"/>
      </w:tabs>
      <w:ind w:left="426"/>
      <w:rPr>
        <w:rFonts w:ascii="Arial" w:hAnsi="Arial" w:cs="Arial"/>
      </w:rPr>
    </w:pPr>
    <w:r>
      <w:rPr>
        <w:rFonts w:ascii="微軟正黑體" w:eastAsia="微軟正黑體" w:hAnsi="微軟正黑體" w:cs="微軟正黑體" w:hint="eastAsia"/>
      </w:rPr>
      <w:t>第</w:t>
    </w:r>
    <w:r>
      <w:t>XI</w:t>
    </w:r>
    <w:r w:rsidRPr="00EC0187">
      <w:rPr>
        <w:rFonts w:ascii="微軟正黑體" w:eastAsia="微軟正黑體" w:hAnsi="微軟正黑體" w:cs="微軟正黑體" w:hint="eastAsia"/>
      </w:rPr>
      <w:t>部</w:t>
    </w:r>
    <w:r>
      <w:rPr>
        <w:rFonts w:ascii="微軟正黑體" w:eastAsia="微軟正黑體" w:hAnsi="微軟正黑體" w:cs="微軟正黑體" w:hint="eastAsia"/>
        <w:lang w:eastAsia="zh-TW"/>
      </w:rPr>
      <w:t xml:space="preserve"> </w:t>
    </w:r>
    <w:r>
      <w:t>– ENC</w:t>
    </w:r>
    <w:r>
      <w:tab/>
    </w:r>
    <w:r w:rsidRPr="006F14C7">
      <w:rPr>
        <w:rFonts w:cs="Segoe UI"/>
      </w:rPr>
      <w:fldChar w:fldCharType="begin"/>
    </w:r>
    <w:r w:rsidRPr="006F14C7">
      <w:rPr>
        <w:rFonts w:cs="Segoe UI"/>
      </w:rPr>
      <w:instrText xml:space="preserve"> PAGE   \* MERGEFORMAT </w:instrText>
    </w:r>
    <w:r w:rsidRPr="006F14C7">
      <w:rPr>
        <w:rFonts w:cs="Segoe UI"/>
      </w:rPr>
      <w:fldChar w:fldCharType="separate"/>
    </w:r>
    <w:r w:rsidR="00CC54CB">
      <w:rPr>
        <w:rFonts w:cs="Segoe UI"/>
        <w:noProof/>
      </w:rPr>
      <w:t>186</w:t>
    </w:r>
    <w:r w:rsidRPr="006F14C7">
      <w:rPr>
        <w:rFonts w:cs="Segoe UI"/>
        <w:noProof/>
      </w:rPr>
      <w:fldChar w:fldCharType="end"/>
    </w:r>
    <w:r>
      <w:rPr>
        <w:rFonts w:cs="Segoe UI"/>
        <w:noProof/>
      </w:rPr>
      <w:tab/>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84C4" w14:textId="5D4A81FD" w:rsidR="003C038F" w:rsidRDefault="003C038F">
    <w:pPr>
      <w:pStyle w:val="Footer"/>
    </w:pPr>
    <w:r w:rsidRPr="006854AC">
      <w:rPr>
        <w:rFonts w:ascii="微軟正黑體" w:eastAsia="微軟正黑體" w:hAnsi="微軟正黑體" w:cs="微軟正黑體" w:hint="eastAsia"/>
      </w:rPr>
      <w:t>第</w:t>
    </w:r>
    <w:r w:rsidRPr="006854AC">
      <w:t>XII</w:t>
    </w:r>
    <w:r w:rsidRPr="006854AC">
      <w:rPr>
        <w:rFonts w:ascii="微軟正黑體" w:eastAsia="微軟正黑體" w:hAnsi="微軟正黑體" w:cs="微軟正黑體" w:hint="eastAsia"/>
      </w:rPr>
      <w:t>部</w:t>
    </w:r>
    <w:r w:rsidRPr="006854AC">
      <w:rPr>
        <w:rFonts w:hint="eastAsia"/>
      </w:rPr>
      <w:t xml:space="preserve"> </w:t>
    </w:r>
    <w:r w:rsidRPr="006854AC">
      <w:t>– CAEA</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CC54CB">
      <w:rPr>
        <w:rFonts w:ascii="Arial" w:hAnsi="Arial" w:cs="Arial"/>
        <w:noProof/>
      </w:rPr>
      <w:t>187</w:t>
    </w:r>
    <w:r w:rsidRPr="009D2A25">
      <w:rPr>
        <w:rFonts w:ascii="Arial" w:hAnsi="Arial" w:cs="Arial"/>
        <w:noProof/>
      </w:rPr>
      <w:fldChar w:fldCharType="end"/>
    </w:r>
    <w:r>
      <w:ptab w:relativeTo="margin" w:alignment="right" w:leader="none"/>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36D9" w14:textId="6BD290D9" w:rsidR="003C038F" w:rsidRDefault="003C038F">
    <w:pPr>
      <w:pStyle w:val="Footer"/>
    </w:pPr>
    <w:r w:rsidRPr="006854AC">
      <w:rPr>
        <w:rFonts w:ascii="微軟正黑體" w:eastAsia="微軟正黑體" w:hAnsi="微軟正黑體" w:cs="微軟正黑體" w:hint="eastAsia"/>
      </w:rPr>
      <w:t>第</w:t>
    </w:r>
    <w:r w:rsidRPr="006854AC">
      <w:t>XII</w:t>
    </w:r>
    <w:r w:rsidRPr="006854AC">
      <w:rPr>
        <w:rFonts w:ascii="微軟正黑體" w:eastAsia="微軟正黑體" w:hAnsi="微軟正黑體" w:cs="微軟正黑體" w:hint="eastAsia"/>
      </w:rPr>
      <w:t>部</w:t>
    </w:r>
    <w:r w:rsidRPr="006854AC">
      <w:rPr>
        <w:rFonts w:hint="eastAsia"/>
      </w:rPr>
      <w:t xml:space="preserve"> </w:t>
    </w:r>
    <w:r w:rsidRPr="006854AC">
      <w:t>– CAE1</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CC54CB">
      <w:rPr>
        <w:rFonts w:ascii="Arial" w:hAnsi="Arial" w:cs="Arial"/>
        <w:noProof/>
      </w:rPr>
      <w:t>191</w:t>
    </w:r>
    <w:r w:rsidRPr="009D2A25">
      <w:rPr>
        <w:rFonts w:ascii="Arial" w:hAnsi="Arial" w:cs="Arial"/>
        <w:noProof/>
      </w:rPr>
      <w:fldChar w:fldCharType="end"/>
    </w:r>
    <w:r>
      <w:ptab w:relativeTo="margin" w:alignment="right" w:leader="none"/>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3C47" w14:textId="32E10742" w:rsidR="003C038F" w:rsidRDefault="003C038F">
    <w:pPr>
      <w:pStyle w:val="Footer"/>
    </w:pPr>
    <w:r w:rsidRPr="006854AC">
      <w:rPr>
        <w:rFonts w:ascii="微軟正黑體" w:eastAsia="微軟正黑體" w:hAnsi="微軟正黑體" w:cs="微軟正黑體" w:hint="eastAsia"/>
      </w:rPr>
      <w:t>第</w:t>
    </w:r>
    <w:r w:rsidRPr="006854AC">
      <w:t>XII</w:t>
    </w:r>
    <w:r w:rsidRPr="006854AC">
      <w:rPr>
        <w:rFonts w:ascii="微軟正黑體" w:eastAsia="微軟正黑體" w:hAnsi="微軟正黑體" w:cs="微軟正黑體" w:hint="eastAsia"/>
      </w:rPr>
      <w:t>部</w:t>
    </w:r>
    <w:r w:rsidRPr="006854AC">
      <w:rPr>
        <w:rFonts w:hint="eastAsia"/>
      </w:rPr>
      <w:t xml:space="preserve"> </w:t>
    </w:r>
    <w:r w:rsidRPr="006854AC">
      <w:t>– CAE2</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CC54CB">
      <w:rPr>
        <w:rFonts w:ascii="Arial" w:hAnsi="Arial" w:cs="Arial"/>
        <w:noProof/>
      </w:rPr>
      <w:t>193</w:t>
    </w:r>
    <w:r w:rsidRPr="009D2A25">
      <w:rPr>
        <w:rFonts w:ascii="Arial" w:hAnsi="Arial" w:cs="Arial"/>
        <w:noProof/>
      </w:rPr>
      <w:fldChar w:fldCharType="end"/>
    </w:r>
    <w:r>
      <w:ptab w:relativeTo="margin" w:alignment="right" w:leader="none"/>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59C9" w14:textId="1EACCAC5" w:rsidR="003C038F" w:rsidRDefault="003C038F">
    <w:pPr>
      <w:pStyle w:val="Footer"/>
    </w:pPr>
    <w:r w:rsidRPr="006854AC">
      <w:rPr>
        <w:rFonts w:ascii="微軟正黑體" w:eastAsia="微軟正黑體" w:hAnsi="微軟正黑體" w:cs="微軟正黑體" w:hint="eastAsia"/>
      </w:rPr>
      <w:t>第</w:t>
    </w:r>
    <w:r w:rsidRPr="006854AC">
      <w:t>XII</w:t>
    </w:r>
    <w:r w:rsidRPr="006854AC">
      <w:rPr>
        <w:rFonts w:ascii="微軟正黑體" w:eastAsia="微軟正黑體" w:hAnsi="微軟正黑體" w:cs="微軟正黑體" w:hint="eastAsia"/>
      </w:rPr>
      <w:t>部</w:t>
    </w:r>
    <w:r w:rsidRPr="006854AC">
      <w:rPr>
        <w:rFonts w:hint="eastAsia"/>
      </w:rPr>
      <w:t xml:space="preserve"> </w:t>
    </w:r>
    <w:r w:rsidRPr="006854AC">
      <w:t>– CAE3</w:t>
    </w:r>
    <w:r>
      <w:ptab w:relativeTo="margin" w:alignment="center" w:leader="none"/>
    </w:r>
    <w:r w:rsidRPr="009D2A25">
      <w:rPr>
        <w:rFonts w:ascii="Arial" w:hAnsi="Arial" w:cs="Arial"/>
      </w:rPr>
      <w:fldChar w:fldCharType="begin"/>
    </w:r>
    <w:r w:rsidRPr="009D2A25">
      <w:rPr>
        <w:rFonts w:ascii="Arial" w:hAnsi="Arial" w:cs="Arial"/>
      </w:rPr>
      <w:instrText xml:space="preserve"> PAGE   \* MERGEFORMAT </w:instrText>
    </w:r>
    <w:r w:rsidRPr="009D2A25">
      <w:rPr>
        <w:rFonts w:ascii="Arial" w:hAnsi="Arial" w:cs="Arial"/>
      </w:rPr>
      <w:fldChar w:fldCharType="separate"/>
    </w:r>
    <w:r w:rsidR="00CC54CB">
      <w:rPr>
        <w:rFonts w:ascii="Arial" w:hAnsi="Arial" w:cs="Arial"/>
        <w:noProof/>
      </w:rPr>
      <w:t>195</w:t>
    </w:r>
    <w:r w:rsidRPr="009D2A25">
      <w:rPr>
        <w:rFonts w:ascii="Arial" w:hAnsi="Arial" w:cs="Arial"/>
        <w:noProof/>
      </w:rPr>
      <w:fldChar w:fldCharType="end"/>
    </w:r>
    <w: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2BEE" w14:textId="352894F3" w:rsidR="003C038F" w:rsidRDefault="003C038F" w:rsidP="00293C0D">
    <w:pPr>
      <w:pStyle w:val="Footer"/>
      <w:tabs>
        <w:tab w:val="clear" w:pos="4153"/>
        <w:tab w:val="clear" w:pos="8306"/>
        <w:tab w:val="center" w:pos="4156"/>
        <w:tab w:val="right" w:pos="8312"/>
      </w:tabs>
    </w:pPr>
    <w:r>
      <w:rPr>
        <w:rFonts w:eastAsia="細明體" w:hint="eastAsia"/>
      </w:rPr>
      <w:t>第</w:t>
    </w:r>
    <w:r>
      <w:t>II</w:t>
    </w:r>
    <w:r>
      <w:rPr>
        <w:rFonts w:eastAsia="細明體" w:hint="eastAsia"/>
      </w:rPr>
      <w:t>部</w:t>
    </w:r>
    <w:r>
      <w:t xml:space="preserve"> – LIA</w:t>
    </w:r>
    <w:r>
      <w:tab/>
    </w:r>
    <w:r>
      <w:fldChar w:fldCharType="begin"/>
    </w:r>
    <w:r>
      <w:instrText xml:space="preserve"> PAGE </w:instrText>
    </w:r>
    <w:r>
      <w:fldChar w:fldCharType="separate"/>
    </w:r>
    <w:r w:rsidR="00CC54CB">
      <w:rPr>
        <w:noProof/>
      </w:rPr>
      <w:t>25</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FCF0" w14:textId="77777777" w:rsidR="003C038F" w:rsidRDefault="003C038F" w:rsidP="00D56E58">
      <w:r>
        <w:separator/>
      </w:r>
    </w:p>
  </w:footnote>
  <w:footnote w:type="continuationSeparator" w:id="0">
    <w:p w14:paraId="6A2AF2CC" w14:textId="77777777" w:rsidR="003C038F" w:rsidRDefault="003C038F" w:rsidP="00D56E58">
      <w:r>
        <w:continuationSeparator/>
      </w:r>
    </w:p>
  </w:footnote>
  <w:footnote w:type="continuationNotice" w:id="1">
    <w:p w14:paraId="0B51F068" w14:textId="77777777" w:rsidR="003C038F" w:rsidRDefault="003C038F"/>
  </w:footnote>
  <w:footnote w:id="2">
    <w:p w14:paraId="3C9D9A94" w14:textId="7EE1AC3C" w:rsidR="003C038F" w:rsidRPr="0098403E" w:rsidRDefault="003C038F" w:rsidP="00EB0F03">
      <w:pPr>
        <w:pStyle w:val="FootnoteText"/>
        <w:ind w:left="142" w:hanging="142"/>
        <w:rPr>
          <w:rFonts w:eastAsia="新細明體"/>
          <w:sz w:val="20"/>
          <w:lang w:eastAsia="zh-TW"/>
        </w:rPr>
      </w:pPr>
      <w:r w:rsidRPr="00F40BB9">
        <w:rPr>
          <w:rStyle w:val="FootnoteReference"/>
          <w:sz w:val="20"/>
        </w:rPr>
        <w:footnoteRef/>
      </w:r>
      <w:r>
        <w:rPr>
          <w:rFonts w:eastAsia="新細明體"/>
          <w:sz w:val="20"/>
          <w:lang w:eastAsia="zh-TW"/>
        </w:rPr>
        <w:t xml:space="preserve"> </w:t>
      </w:r>
      <w:r w:rsidRPr="00BD1D77">
        <w:rPr>
          <w:rFonts w:eastAsia="新細明體" w:hint="eastAsia"/>
          <w:sz w:val="20"/>
          <w:lang w:eastAsia="zh-TW"/>
        </w:rPr>
        <w:t>除非在相關的</w:t>
      </w:r>
      <w:proofErr w:type="gramStart"/>
      <w:r w:rsidRPr="00BD1D77">
        <w:rPr>
          <w:rFonts w:eastAsia="新細明體" w:hint="eastAsia"/>
          <w:sz w:val="20"/>
          <w:lang w:eastAsia="zh-TW"/>
        </w:rPr>
        <w:t>註</w:t>
      </w:r>
      <w:proofErr w:type="gramEnd"/>
      <w:r w:rsidRPr="00BD1D77">
        <w:rPr>
          <w:rFonts w:eastAsia="新細明體" w:hint="eastAsia"/>
          <w:sz w:val="20"/>
          <w:lang w:eastAsia="zh-TW"/>
        </w:rPr>
        <w:t>釋</w:t>
      </w:r>
      <w:r>
        <w:rPr>
          <w:rFonts w:eastAsia="新細明體" w:hint="eastAsia"/>
          <w:sz w:val="20"/>
          <w:lang w:eastAsia="zh-TW"/>
        </w:rPr>
        <w:t>中另有指明，否則在披露</w:t>
      </w:r>
      <w:r w:rsidRPr="00BD1D77">
        <w:rPr>
          <w:rFonts w:eastAsia="新細明體" w:hint="eastAsia"/>
          <w:sz w:val="20"/>
          <w:lang w:eastAsia="zh-TW"/>
        </w:rPr>
        <w:t>模版</w:t>
      </w:r>
      <w:r>
        <w:rPr>
          <w:rFonts w:eastAsia="新細明體" w:hint="eastAsia"/>
          <w:sz w:val="20"/>
          <w:lang w:eastAsia="zh-TW"/>
        </w:rPr>
        <w:t>及表中使用的所有</w:t>
      </w:r>
      <w:r>
        <w:rPr>
          <w:rFonts w:eastAsia="新細明體" w:hint="eastAsia"/>
          <w:sz w:val="20"/>
          <w:lang w:eastAsia="zh-HK"/>
        </w:rPr>
        <w:t>用</w:t>
      </w:r>
      <w:r>
        <w:rPr>
          <w:rFonts w:eastAsia="新細明體" w:hint="eastAsia"/>
          <w:sz w:val="20"/>
          <w:lang w:eastAsia="zh-TW"/>
        </w:rPr>
        <w:t>語及定義，均具有《銀行業（資本）規則》（《資本規則》）、《銀行業（流動性）規則》（《流動性規則》）及《銀行業（披露）規則》（《披露規則》</w:t>
      </w:r>
      <w:r w:rsidRPr="00BD1D77">
        <w:rPr>
          <w:rFonts w:eastAsia="新細明體" w:hint="eastAsia"/>
          <w:sz w:val="20"/>
          <w:lang w:eastAsia="zh-TW"/>
        </w:rPr>
        <w:t>）</w:t>
      </w:r>
      <w:r>
        <w:rPr>
          <w:rFonts w:eastAsia="新細明體" w:hint="eastAsia"/>
          <w:sz w:val="20"/>
          <w:lang w:eastAsia="zh-TW"/>
        </w:rPr>
        <w:t>所</w:t>
      </w:r>
      <w:r w:rsidRPr="00BD1D77">
        <w:rPr>
          <w:rFonts w:eastAsia="新細明體" w:hint="eastAsia"/>
          <w:sz w:val="20"/>
          <w:lang w:eastAsia="zh-TW"/>
        </w:rPr>
        <w:t>賦予的含義</w:t>
      </w:r>
      <w:r w:rsidRPr="00C924F4">
        <w:rPr>
          <w:rFonts w:eastAsia="新細明體" w:hint="eastAsia"/>
          <w:sz w:val="20"/>
          <w:lang w:eastAsia="zh-TW"/>
        </w:rPr>
        <w:t>，</w:t>
      </w:r>
      <w:r>
        <w:rPr>
          <w:rFonts w:eastAsia="新細明體" w:hint="eastAsia"/>
          <w:sz w:val="20"/>
          <w:lang w:eastAsia="zh-TW"/>
        </w:rPr>
        <w:t>視乎</w:t>
      </w:r>
      <w:r w:rsidRPr="00C924F4">
        <w:rPr>
          <w:rFonts w:eastAsia="新細明體" w:hint="eastAsia"/>
          <w:sz w:val="20"/>
          <w:lang w:eastAsia="zh-TW"/>
        </w:rPr>
        <w:t>內容而定</w:t>
      </w:r>
      <w:r w:rsidRPr="00BD1D77">
        <w:rPr>
          <w:rFonts w:eastAsia="新細明體" w:hint="eastAsia"/>
          <w:sz w:val="20"/>
          <w:lang w:eastAsia="zh-TW"/>
        </w:rPr>
        <w:t>。</w:t>
      </w:r>
    </w:p>
  </w:footnote>
  <w:footnote w:id="3">
    <w:p w14:paraId="053FFD94" w14:textId="1810BC43" w:rsidR="003C038F" w:rsidRPr="00F40BB9" w:rsidRDefault="003C038F" w:rsidP="00EB0F03">
      <w:pPr>
        <w:jc w:val="both"/>
        <w:rPr>
          <w:rFonts w:eastAsia="細明體"/>
          <w:lang w:eastAsia="zh-TW"/>
        </w:rPr>
      </w:pPr>
      <w:r w:rsidRPr="00F40BB9">
        <w:rPr>
          <w:rStyle w:val="FootnoteReference"/>
        </w:rPr>
        <w:footnoteRef/>
      </w:r>
      <w:r w:rsidRPr="00F40BB9">
        <w:rPr>
          <w:lang w:eastAsia="zh-TW"/>
        </w:rPr>
        <w:t xml:space="preserve"> </w:t>
      </w:r>
      <w:r w:rsidRPr="00192521">
        <w:rPr>
          <w:rFonts w:eastAsia="新細明體"/>
          <w:lang w:eastAsia="zh-TW"/>
        </w:rPr>
        <w:t>「</w:t>
      </w:r>
      <w:proofErr w:type="gramStart"/>
      <w:r w:rsidRPr="00192521">
        <w:rPr>
          <w:rFonts w:eastAsia="新細明體"/>
          <w:lang w:eastAsia="zh-TW"/>
        </w:rPr>
        <w:t>本地」</w:t>
      </w:r>
      <w:proofErr w:type="gramEnd"/>
      <w:r w:rsidRPr="00192521">
        <w:rPr>
          <w:rStyle w:val="shorttext"/>
          <w:rFonts w:eastAsia="細明體"/>
          <w:color w:val="222222"/>
          <w:lang w:eastAsia="zh-TW"/>
        </w:rPr>
        <w:t>表示</w:t>
      </w:r>
      <w:r w:rsidRPr="00192521">
        <w:rPr>
          <w:rFonts w:eastAsia="細明體"/>
          <w:lang w:eastAsia="zh-TW"/>
        </w:rPr>
        <w:t>模版</w:t>
      </w:r>
      <w:r w:rsidRPr="00192521">
        <w:rPr>
          <w:rFonts w:eastAsia="細明體" w:hint="eastAsia"/>
          <w:lang w:eastAsia="zh-TW"/>
        </w:rPr>
        <w:t>/</w:t>
      </w:r>
      <w:r w:rsidRPr="00192521">
        <w:rPr>
          <w:rFonts w:eastAsia="細明體"/>
          <w:lang w:eastAsia="zh-TW"/>
        </w:rPr>
        <w:t>表適用於對在香港成立</w:t>
      </w:r>
      <w:proofErr w:type="gramStart"/>
      <w:r w:rsidRPr="00192521">
        <w:rPr>
          <w:rFonts w:eastAsia="細明體"/>
          <w:lang w:eastAsia="zh-TW"/>
        </w:rPr>
        <w:t>為法團的</w:t>
      </w:r>
      <w:proofErr w:type="gramEnd"/>
      <w:r w:rsidRPr="00192521">
        <w:rPr>
          <w:rFonts w:eastAsia="細明體"/>
          <w:lang w:eastAsia="zh-TW"/>
        </w:rPr>
        <w:t>認可機構</w:t>
      </w:r>
      <w:r w:rsidRPr="00192521">
        <w:rPr>
          <w:rFonts w:eastAsia="新細明體"/>
          <w:lang w:eastAsia="zh-TW"/>
        </w:rPr>
        <w:t>；「</w:t>
      </w:r>
      <w:r>
        <w:rPr>
          <w:rFonts w:eastAsia="新細明體" w:hint="eastAsia"/>
          <w:lang w:eastAsia="zh-HK"/>
        </w:rPr>
        <w:t>非</w:t>
      </w:r>
      <w:proofErr w:type="gramStart"/>
      <w:r w:rsidRPr="00192521">
        <w:rPr>
          <w:rFonts w:eastAsia="新細明體"/>
          <w:lang w:eastAsia="zh-TW"/>
        </w:rPr>
        <w:t>本地」</w:t>
      </w:r>
      <w:proofErr w:type="gramEnd"/>
      <w:r w:rsidRPr="00192521">
        <w:rPr>
          <w:rStyle w:val="shorttext"/>
          <w:rFonts w:eastAsia="細明體"/>
          <w:color w:val="222222"/>
          <w:lang w:eastAsia="zh-TW"/>
        </w:rPr>
        <w:t>表示</w:t>
      </w:r>
      <w:r w:rsidRPr="00192521">
        <w:rPr>
          <w:rFonts w:eastAsia="細明體"/>
          <w:lang w:eastAsia="zh-TW"/>
        </w:rPr>
        <w:t>模版</w:t>
      </w:r>
      <w:r w:rsidRPr="00192521">
        <w:rPr>
          <w:rFonts w:eastAsia="細明體" w:hint="eastAsia"/>
          <w:lang w:eastAsia="zh-TW"/>
        </w:rPr>
        <w:t>/</w:t>
      </w:r>
      <w:r w:rsidRPr="00192521">
        <w:rPr>
          <w:rFonts w:eastAsia="細明體"/>
          <w:lang w:eastAsia="zh-TW"/>
        </w:rPr>
        <w:t>表適用於在香港以外成立</w:t>
      </w:r>
      <w:proofErr w:type="gramStart"/>
      <w:r w:rsidRPr="00192521">
        <w:rPr>
          <w:rFonts w:eastAsia="細明體"/>
          <w:lang w:eastAsia="zh-TW"/>
        </w:rPr>
        <w:t>為法團的</w:t>
      </w:r>
      <w:proofErr w:type="gramEnd"/>
      <w:r w:rsidRPr="00192521">
        <w:rPr>
          <w:rFonts w:eastAsia="細明體"/>
          <w:lang w:eastAsia="zh-TW"/>
        </w:rPr>
        <w:t>認可機構。</w:t>
      </w:r>
    </w:p>
  </w:footnote>
  <w:footnote w:id="4">
    <w:p w14:paraId="18FBCE61" w14:textId="77777777" w:rsidR="003C038F" w:rsidRDefault="003C038F" w:rsidP="00A76FA1">
      <w:pPr>
        <w:pStyle w:val="FootnoteText"/>
        <w:tabs>
          <w:tab w:val="clear" w:pos="397"/>
          <w:tab w:val="left" w:pos="0"/>
        </w:tabs>
        <w:snapToGrid w:val="0"/>
        <w:spacing w:before="0"/>
        <w:ind w:leftChars="-142" w:left="-284" w:firstLine="0"/>
        <w:rPr>
          <w:rFonts w:eastAsiaTheme="minorEastAsia"/>
          <w:lang w:eastAsia="zh-TW"/>
        </w:rPr>
      </w:pPr>
      <w:r>
        <w:rPr>
          <w:rStyle w:val="FootnoteReference"/>
        </w:rPr>
        <w:footnoteRef/>
      </w:r>
      <w:r>
        <w:rPr>
          <w:lang w:eastAsia="zh-TW"/>
        </w:rPr>
        <w:t xml:space="preserve"> </w:t>
      </w:r>
      <w:r>
        <w:rPr>
          <w:lang w:eastAsia="zh-TW"/>
        </w:rPr>
        <w:tab/>
      </w:r>
      <w:r>
        <w:rPr>
          <w:rFonts w:asciiTheme="minorEastAsia" w:eastAsiaTheme="minorEastAsia" w:hAnsiTheme="minorEastAsia" w:hint="eastAsia"/>
          <w:lang w:eastAsia="zh-TW"/>
        </w:rPr>
        <w:t>就</w:t>
      </w:r>
      <w:proofErr w:type="gramStart"/>
      <w:r>
        <w:rPr>
          <w:rFonts w:asciiTheme="minorEastAsia" w:eastAsiaTheme="minorEastAsia" w:hAnsiTheme="minorEastAsia" w:hint="eastAsia"/>
          <w:lang w:eastAsia="zh-TW"/>
        </w:rPr>
        <w:t>於本模版</w:t>
      </w:r>
      <w:proofErr w:type="gramEnd"/>
      <w:r>
        <w:rPr>
          <w:rFonts w:asciiTheme="minorEastAsia" w:eastAsiaTheme="minorEastAsia" w:hAnsiTheme="minorEastAsia" w:hint="eastAsia"/>
          <w:lang w:eastAsia="zh-TW"/>
        </w:rPr>
        <w:t>所作披露而言，</w:t>
      </w:r>
      <w:r>
        <w:rPr>
          <w:rFonts w:eastAsiaTheme="minorEastAsia" w:hint="eastAsia"/>
          <w:lang w:eastAsia="zh-TW"/>
        </w:rPr>
        <w:t>「</w:t>
      </w:r>
      <w:r>
        <w:rPr>
          <w:rFonts w:eastAsiaTheme="minorEastAsia"/>
          <w:lang w:eastAsia="zh-TW"/>
        </w:rPr>
        <w:t>G-SIB</w:t>
      </w:r>
      <w:r>
        <w:rPr>
          <w:rFonts w:eastAsiaTheme="minorEastAsia" w:hint="eastAsia"/>
          <w:lang w:eastAsia="zh-TW"/>
        </w:rPr>
        <w:t>」指金融管理專員作為其</w:t>
      </w:r>
      <w:r>
        <w:rPr>
          <w:rFonts w:ascii="細明體" w:eastAsia="細明體" w:hAnsi="細明體" w:cs="細明體" w:hint="eastAsia"/>
          <w:lang w:eastAsia="zh-TW"/>
        </w:rPr>
        <w:t>註冊地</w:t>
      </w:r>
      <w:r>
        <w:rPr>
          <w:rFonts w:eastAsiaTheme="minorEastAsia" w:hint="eastAsia"/>
          <w:lang w:eastAsia="zh-TW"/>
        </w:rPr>
        <w:t>監管機構的</w:t>
      </w:r>
      <w:r>
        <w:rPr>
          <w:rFonts w:eastAsiaTheme="minorEastAsia"/>
          <w:lang w:eastAsia="zh-TW"/>
        </w:rPr>
        <w:t>G-SIB</w:t>
      </w:r>
      <w:r>
        <w:rPr>
          <w:rFonts w:eastAsiaTheme="minorEastAsia" w:hint="eastAsia"/>
          <w:lang w:eastAsia="zh-TW"/>
        </w:rPr>
        <w:t>。</w:t>
      </w:r>
    </w:p>
  </w:footnote>
  <w:footnote w:id="5">
    <w:p w14:paraId="0F2920CE" w14:textId="77777777" w:rsidR="003C038F" w:rsidRDefault="003C038F" w:rsidP="00A76FA1">
      <w:pPr>
        <w:pStyle w:val="FootnoteText"/>
        <w:tabs>
          <w:tab w:val="clear" w:pos="397"/>
          <w:tab w:val="left" w:pos="0"/>
        </w:tabs>
        <w:snapToGrid w:val="0"/>
        <w:spacing w:before="0"/>
        <w:ind w:leftChars="-142" w:left="-284" w:firstLine="0"/>
        <w:rPr>
          <w:rFonts w:eastAsiaTheme="minorEastAsia"/>
          <w:lang w:eastAsia="zh-TW"/>
        </w:rPr>
      </w:pPr>
      <w:r>
        <w:rPr>
          <w:rStyle w:val="FootnoteReference"/>
        </w:rPr>
        <w:footnoteRef/>
      </w:r>
      <w:r>
        <w:rPr>
          <w:lang w:eastAsia="zh-TW"/>
        </w:rPr>
        <w:t xml:space="preserve"> </w:t>
      </w:r>
      <w:r>
        <w:rPr>
          <w:lang w:eastAsia="zh-TW"/>
        </w:rPr>
        <w:tab/>
      </w:r>
      <w:r>
        <w:rPr>
          <w:rFonts w:asciiTheme="minorEastAsia" w:eastAsiaTheme="minorEastAsia" w:hAnsiTheme="minorEastAsia" w:hint="eastAsia"/>
          <w:lang w:eastAsia="zh-TW"/>
        </w:rPr>
        <w:t>為應用此門檻，適用匯率為巴塞爾委員會所指明的匯率。</w:t>
      </w:r>
    </w:p>
  </w:footnote>
  <w:footnote w:id="6">
    <w:p w14:paraId="37DC2FD7" w14:textId="77777777" w:rsidR="003C038F" w:rsidRDefault="003C038F" w:rsidP="00A76FA1">
      <w:pPr>
        <w:pStyle w:val="FootnoteText"/>
        <w:tabs>
          <w:tab w:val="clear" w:pos="397"/>
          <w:tab w:val="left" w:pos="0"/>
        </w:tabs>
        <w:snapToGrid w:val="0"/>
        <w:spacing w:before="0"/>
        <w:ind w:leftChars="-142" w:left="-284" w:firstLine="0"/>
        <w:rPr>
          <w:rFonts w:eastAsiaTheme="minorEastAsia"/>
          <w:lang w:eastAsia="zh-TW"/>
        </w:rPr>
      </w:pPr>
      <w:r>
        <w:rPr>
          <w:rStyle w:val="FootnoteReference"/>
        </w:rPr>
        <w:footnoteRef/>
      </w:r>
      <w:r>
        <w:rPr>
          <w:lang w:eastAsia="zh-TW"/>
        </w:rPr>
        <w:t xml:space="preserve"> </w:t>
      </w:r>
      <w:r>
        <w:rPr>
          <w:lang w:eastAsia="zh-TW"/>
        </w:rPr>
        <w:tab/>
      </w:r>
      <w:r>
        <w:rPr>
          <w:rFonts w:asciiTheme="minorEastAsia" w:eastAsiaTheme="minorEastAsia" w:hAnsiTheme="minorEastAsia" w:hint="eastAsia"/>
          <w:lang w:eastAsia="zh-TW"/>
        </w:rPr>
        <w:t>有關模版格式與填報指示</w:t>
      </w:r>
      <w:proofErr w:type="gramStart"/>
      <w:r>
        <w:rPr>
          <w:rFonts w:asciiTheme="minorEastAsia" w:eastAsiaTheme="minorEastAsia" w:hAnsiTheme="minorEastAsia" w:hint="eastAsia"/>
          <w:lang w:eastAsia="zh-TW"/>
        </w:rPr>
        <w:t>的</w:t>
      </w:r>
      <w:r>
        <w:rPr>
          <w:rFonts w:ascii="細明體" w:eastAsia="細明體" w:hAnsi="細明體" w:cs="細明體" w:hint="eastAsia"/>
          <w:lang w:eastAsia="zh-TW"/>
        </w:rPr>
        <w:t>提述</w:t>
      </w:r>
      <w:proofErr w:type="gramEnd"/>
      <w:r>
        <w:rPr>
          <w:rFonts w:asciiTheme="minorEastAsia" w:eastAsiaTheme="minorEastAsia" w:hAnsiTheme="minorEastAsia" w:hint="eastAsia"/>
          <w:lang w:eastAsia="zh-TW"/>
        </w:rPr>
        <w:t>，見國際結算銀行網站：</w:t>
      </w:r>
      <w:r>
        <w:rPr>
          <w:lang w:eastAsia="zh-TW"/>
        </w:rPr>
        <w:t xml:space="preserve"> </w:t>
      </w:r>
      <w:hyperlink r:id="rId1" w:history="1">
        <w:r>
          <w:rPr>
            <w:rStyle w:val="Hyperlink"/>
            <w:color w:val="0000FF"/>
            <w:lang w:eastAsia="zh-TW"/>
          </w:rPr>
          <w:t>https://www.bis.org/bcbs/gsib/reporting_instructions.htm</w:t>
        </w:r>
      </w:hyperlink>
      <w:r>
        <w:rPr>
          <w:rFonts w:asciiTheme="minorEastAsia" w:eastAsiaTheme="minorEastAsia" w:hAnsiTheme="minorEastAsia" w:hint="eastAsia"/>
          <w:lang w:eastAsia="zh-TW"/>
        </w:rPr>
        <w:t>。</w:t>
      </w:r>
    </w:p>
  </w:footnote>
  <w:footnote w:id="7">
    <w:p w14:paraId="15241D01" w14:textId="70FE6F3B" w:rsidR="003C038F" w:rsidRDefault="003C038F" w:rsidP="00A76FA1">
      <w:pPr>
        <w:pStyle w:val="FootnoteText"/>
        <w:tabs>
          <w:tab w:val="clear" w:pos="397"/>
          <w:tab w:val="left" w:pos="0"/>
        </w:tabs>
        <w:snapToGrid w:val="0"/>
        <w:spacing w:before="0"/>
        <w:ind w:leftChars="-142" w:left="-284" w:firstLine="0"/>
        <w:rPr>
          <w:lang w:eastAsia="zh-TW"/>
        </w:rPr>
      </w:pPr>
      <w:r>
        <w:rPr>
          <w:rStyle w:val="FootnoteReference"/>
        </w:rPr>
        <w:footnoteRef/>
      </w:r>
      <w:r>
        <w:rPr>
          <w:lang w:eastAsia="zh-TW"/>
        </w:rPr>
        <w:t xml:space="preserve"> </w:t>
      </w:r>
      <w:r>
        <w:rPr>
          <w:lang w:eastAsia="zh-TW"/>
        </w:rPr>
        <w:tab/>
      </w:r>
      <w:r>
        <w:rPr>
          <w:rFonts w:asciiTheme="minorEastAsia" w:eastAsiaTheme="minorEastAsia" w:hAnsiTheme="minorEastAsia" w:hint="eastAsia"/>
          <w:lang w:eastAsia="zh-TW"/>
        </w:rPr>
        <w:t>將風險承擔配予司法管轄區時，應顧及巴塞爾</w:t>
      </w:r>
      <w:r>
        <w:rPr>
          <w:rFonts w:asciiTheme="minorEastAsia" w:eastAsiaTheme="minorEastAsia" w:hAnsiTheme="minorEastAsia" w:hint="eastAsia"/>
          <w:lang w:eastAsia="zh-HK"/>
        </w:rPr>
        <w:t>框架</w:t>
      </w:r>
      <w:r w:rsidRPr="000D0C63">
        <w:rPr>
          <w:rFonts w:asciiTheme="minorEastAsia" w:eastAsiaTheme="minorEastAsia" w:hAnsiTheme="minorEastAsia" w:hint="eastAsia"/>
          <w:lang w:eastAsia="zh-HK"/>
        </w:rPr>
        <w:t>第</w:t>
      </w:r>
      <w:r w:rsidRPr="000D0C63">
        <w:rPr>
          <w:rFonts w:cs="Segoe UI"/>
          <w:szCs w:val="16"/>
          <w:lang w:val="en-US" w:eastAsia="zh-TW"/>
        </w:rPr>
        <w:t>RBC</w:t>
      </w:r>
      <w:r>
        <w:rPr>
          <w:rFonts w:eastAsiaTheme="minorEastAsia" w:cs="Segoe UI" w:hint="eastAsia"/>
          <w:sz w:val="17"/>
          <w:szCs w:val="17"/>
          <w:lang w:eastAsia="zh-HK"/>
        </w:rPr>
        <w:t>章</w:t>
      </w:r>
      <w:r>
        <w:rPr>
          <w:rFonts w:ascii="新細明體" w:eastAsia="新細明體" w:hAnsi="新細明體" w:hint="eastAsia"/>
          <w:lang w:eastAsia="zh-TW"/>
        </w:rPr>
        <w:t>所作的澄清。</w:t>
      </w:r>
    </w:p>
  </w:footnote>
  <w:footnote w:id="8">
    <w:p w14:paraId="3980B643" w14:textId="5DCA64D6" w:rsidR="003C038F" w:rsidRDefault="003C038F" w:rsidP="00C72980">
      <w:pPr>
        <w:pStyle w:val="FootnoteText"/>
        <w:tabs>
          <w:tab w:val="clear" w:pos="397"/>
          <w:tab w:val="left" w:pos="0"/>
        </w:tabs>
        <w:snapToGrid w:val="0"/>
        <w:spacing w:before="0"/>
        <w:ind w:leftChars="-142" w:left="-284" w:firstLine="0"/>
        <w:rPr>
          <w:lang w:eastAsia="zh-TW"/>
        </w:rPr>
      </w:pPr>
      <w:r>
        <w:rPr>
          <w:rStyle w:val="FootnoteReference"/>
        </w:rPr>
        <w:footnoteRef/>
      </w:r>
      <w:r>
        <w:rPr>
          <w:lang w:eastAsia="zh-TW"/>
        </w:rPr>
        <w:t xml:space="preserve"> </w:t>
      </w:r>
      <w:r w:rsidRPr="00ED4F40">
        <w:rPr>
          <w:rFonts w:cs="Segoe UI"/>
          <w:lang w:eastAsia="zh-TW"/>
        </w:rPr>
        <w:tab/>
      </w:r>
      <w:r w:rsidRPr="008D749B">
        <w:rPr>
          <w:rFonts w:eastAsia="細明體" w:cs="Segoe UI"/>
          <w:lang w:eastAsia="zh-TW"/>
        </w:rPr>
        <w:t>對</w:t>
      </w:r>
      <w:r w:rsidRPr="008D749B">
        <w:rPr>
          <w:rFonts w:eastAsia="細明體" w:cs="Segoe UI"/>
          <w:lang w:eastAsia="zh-HK"/>
        </w:rPr>
        <w:t>於</w:t>
      </w:r>
      <w:r w:rsidRPr="008D749B">
        <w:rPr>
          <w:rFonts w:eastAsia="細明體" w:cs="Segoe UI"/>
          <w:lang w:eastAsia="zh-TW"/>
        </w:rPr>
        <w:t>在香港以外成立</w:t>
      </w:r>
      <w:proofErr w:type="gramStart"/>
      <w:r w:rsidRPr="008D749B">
        <w:rPr>
          <w:rFonts w:eastAsia="細明體" w:cs="Segoe UI"/>
          <w:lang w:eastAsia="zh-TW"/>
        </w:rPr>
        <w:t>為法團的</w:t>
      </w:r>
      <w:proofErr w:type="gramEnd"/>
      <w:r w:rsidRPr="008D749B">
        <w:rPr>
          <w:rFonts w:eastAsia="細明體" w:cs="Segoe UI"/>
          <w:lang w:eastAsia="zh-TW"/>
        </w:rPr>
        <w:t>認可機構</w:t>
      </w:r>
      <w:r w:rsidR="00D41C9D">
        <w:rPr>
          <w:rFonts w:eastAsia="細明體" w:cs="Segoe UI" w:hint="eastAsia"/>
          <w:lang w:eastAsia="zh-TW"/>
        </w:rPr>
        <w:t>（</w:t>
      </w:r>
      <w:r w:rsidR="00D41C9D" w:rsidRPr="008D749B">
        <w:rPr>
          <w:rFonts w:eastAsia="細明體" w:cs="Segoe UI"/>
          <w:lang w:eastAsia="zh-TW"/>
        </w:rPr>
        <w:t>且有加密資產風險承擔</w:t>
      </w:r>
      <w:r w:rsidR="00C0254D">
        <w:rPr>
          <w:rFonts w:eastAsia="細明體" w:cs="Segoe UI" w:hint="eastAsia"/>
          <w:lang w:eastAsia="zh-TW"/>
        </w:rPr>
        <w:t>者</w:t>
      </w:r>
      <w:r w:rsidR="00D41C9D">
        <w:rPr>
          <w:rFonts w:eastAsia="細明體" w:cs="Segoe UI" w:hint="eastAsia"/>
          <w:lang w:eastAsia="zh-TW"/>
        </w:rPr>
        <w:t>）</w:t>
      </w:r>
      <w:r w:rsidRPr="008D749B">
        <w:rPr>
          <w:rFonts w:eastAsia="細明體" w:cs="Segoe UI"/>
          <w:lang w:eastAsia="zh-TW"/>
        </w:rPr>
        <w:t>，根據《披露規則》第</w:t>
      </w:r>
      <w:r w:rsidRPr="008D749B">
        <w:rPr>
          <w:rFonts w:eastAsia="細明體" w:cs="Segoe UI"/>
          <w:lang w:eastAsia="zh-TW"/>
        </w:rPr>
        <w:t>103(4B)</w:t>
      </w:r>
      <w:r w:rsidRPr="008D749B">
        <w:rPr>
          <w:rFonts w:eastAsia="細明體" w:cs="Segoe UI"/>
          <w:lang w:eastAsia="zh-TW"/>
        </w:rPr>
        <w:t>條</w:t>
      </w:r>
      <w:r w:rsidRPr="008D749B">
        <w:rPr>
          <w:rFonts w:eastAsia="細明體" w:cs="Segoe UI"/>
          <w:lang w:eastAsia="zh-HK"/>
        </w:rPr>
        <w:t>所</w:t>
      </w:r>
      <w:r w:rsidRPr="008D749B">
        <w:rPr>
          <w:rFonts w:eastAsia="細明體" w:cs="Segoe UI"/>
          <w:lang w:eastAsia="zh-TW"/>
        </w:rPr>
        <w:t>須披露的</w:t>
      </w:r>
      <w:r w:rsidRPr="008D749B">
        <w:rPr>
          <w:rFonts w:eastAsia="細明體" w:cs="Segoe UI"/>
          <w:sz w:val="17"/>
          <w:szCs w:val="17"/>
          <w:lang w:eastAsia="zh-TW"/>
        </w:rPr>
        <w:t>、</w:t>
      </w:r>
      <w:r w:rsidRPr="008D749B">
        <w:rPr>
          <w:rFonts w:eastAsia="細明體" w:cs="Segoe UI"/>
          <w:lang w:eastAsia="zh-TW"/>
        </w:rPr>
        <w:t>與認可機構加密資產風險承擔相關的流動性風險管理資</w:t>
      </w:r>
      <w:r w:rsidRPr="008D749B">
        <w:rPr>
          <w:rFonts w:eastAsia="細明體" w:cs="Segoe UI"/>
          <w:lang w:val="en-US" w:eastAsia="zh-HK"/>
        </w:rPr>
        <w:t>料</w:t>
      </w:r>
      <w:r w:rsidRPr="008D749B">
        <w:rPr>
          <w:rFonts w:eastAsia="細明體" w:cs="Segoe UI"/>
          <w:lang w:eastAsia="zh-TW"/>
        </w:rPr>
        <w:t>，已載於本文件第</w:t>
      </w:r>
      <w:r w:rsidRPr="008D749B">
        <w:rPr>
          <w:rFonts w:eastAsia="細明體" w:cs="Segoe UI"/>
          <w:lang w:eastAsia="zh-TW"/>
        </w:rPr>
        <w:t>XII</w:t>
      </w:r>
      <w:proofErr w:type="gramStart"/>
      <w:r w:rsidRPr="008D749B">
        <w:rPr>
          <w:rFonts w:eastAsia="細明體" w:cs="Segoe UI"/>
          <w:lang w:eastAsia="zh-TW"/>
        </w:rPr>
        <w:t>部表</w:t>
      </w:r>
      <w:proofErr w:type="gramEnd"/>
      <w:r w:rsidRPr="008D749B">
        <w:rPr>
          <w:rFonts w:eastAsia="細明體" w:cs="Segoe UI"/>
          <w:lang w:eastAsia="zh-TW"/>
        </w:rPr>
        <w:t>CAEA</w:t>
      </w:r>
      <w:r w:rsidRPr="008D749B">
        <w:rPr>
          <w:rFonts w:eastAsia="細明體" w:cs="Segoe UI"/>
          <w:lang w:eastAsia="zh-TW"/>
        </w:rPr>
        <w:t>內。</w:t>
      </w:r>
    </w:p>
  </w:footnote>
  <w:footnote w:id="9">
    <w:p w14:paraId="2579774C" w14:textId="77777777" w:rsidR="003C038F" w:rsidRPr="000E15AA" w:rsidRDefault="003C038F" w:rsidP="00A76FA1">
      <w:pPr>
        <w:pStyle w:val="FootnoteText"/>
        <w:tabs>
          <w:tab w:val="clear" w:pos="397"/>
          <w:tab w:val="left" w:pos="0"/>
        </w:tabs>
        <w:snapToGrid w:val="0"/>
        <w:spacing w:before="0"/>
        <w:ind w:leftChars="-142" w:left="-284" w:firstLine="0"/>
        <w:rPr>
          <w:rFonts w:cs="Segoe UI"/>
          <w:lang w:eastAsia="zh-TW"/>
        </w:rPr>
      </w:pPr>
      <w:r w:rsidRPr="000E15AA">
        <w:rPr>
          <w:rStyle w:val="FootnoteReference"/>
          <w:rFonts w:cs="Segoe UI"/>
        </w:rPr>
        <w:footnoteRef/>
      </w:r>
      <w:r w:rsidRPr="000E15AA">
        <w:rPr>
          <w:rFonts w:cs="Segoe UI"/>
          <w:lang w:eastAsia="zh-TW"/>
        </w:rPr>
        <w:t xml:space="preserve"> </w:t>
      </w:r>
      <w:r w:rsidRPr="000E15AA">
        <w:rPr>
          <w:rFonts w:cs="Segoe UI"/>
          <w:lang w:eastAsia="zh-TW"/>
        </w:rPr>
        <w:tab/>
      </w:r>
      <w:r w:rsidRPr="00C628D5">
        <w:rPr>
          <w:rFonts w:eastAsiaTheme="minorEastAsia" w:cs="Segoe UI" w:hint="eastAsia"/>
          <w:lang w:eastAsia="zh-TW"/>
        </w:rPr>
        <w:t>就</w:t>
      </w:r>
      <w:r w:rsidRPr="001B3B44">
        <w:rPr>
          <w:rFonts w:eastAsiaTheme="minorEastAsia" w:cs="Segoe UI" w:hint="eastAsia"/>
          <w:lang w:eastAsia="zh-TW"/>
        </w:rPr>
        <w:t>對應而言，以下各行的</w:t>
      </w:r>
      <w:proofErr w:type="gramStart"/>
      <w:r w:rsidRPr="001B3B44">
        <w:rPr>
          <w:rFonts w:eastAsiaTheme="minorEastAsia" w:cs="Segoe UI" w:hint="eastAsia"/>
          <w:lang w:eastAsia="zh-TW"/>
        </w:rPr>
        <w:t>註釋亦</w:t>
      </w:r>
      <w:proofErr w:type="gramEnd"/>
      <w:r w:rsidRPr="001B3B44">
        <w:rPr>
          <w:rFonts w:eastAsiaTheme="minorEastAsia" w:cs="Segoe UI" w:hint="eastAsia"/>
          <w:lang w:eastAsia="zh-TW"/>
        </w:rPr>
        <w:t>以大括號</w:t>
      </w:r>
      <w:r w:rsidRPr="001B3B44">
        <w:rPr>
          <w:rFonts w:eastAsiaTheme="minorEastAsia" w:cs="Segoe UI"/>
          <w:lang w:eastAsia="zh-TW"/>
        </w:rPr>
        <w:t>（</w:t>
      </w:r>
      <w:r w:rsidRPr="001B3B44">
        <w:rPr>
          <w:rFonts w:eastAsiaTheme="minorEastAsia" w:cs="Segoe UI" w:hint="eastAsia"/>
          <w:lang w:eastAsia="zh-TW"/>
        </w:rPr>
        <w:t>即</w:t>
      </w:r>
      <w:r w:rsidRPr="001B3B44">
        <w:rPr>
          <w:rFonts w:eastAsiaTheme="minorEastAsia" w:cs="Segoe UI"/>
          <w:lang w:eastAsia="zh-TW"/>
        </w:rPr>
        <w:t>{</w:t>
      </w:r>
      <w:r w:rsidRPr="001B3B44">
        <w:rPr>
          <w:rFonts w:eastAsiaTheme="minorEastAsia" w:cs="Segoe UI"/>
          <w:lang w:eastAsia="zh-TW"/>
        </w:rPr>
        <w:tab/>
        <w:t>}</w:t>
      </w:r>
      <w:r w:rsidRPr="001B3B44">
        <w:rPr>
          <w:rFonts w:eastAsiaTheme="minorEastAsia" w:cs="Segoe UI"/>
          <w:lang w:eastAsia="zh-TW"/>
        </w:rPr>
        <w:t>）</w:t>
      </w:r>
      <w:r w:rsidRPr="001B3B44">
        <w:rPr>
          <w:rFonts w:eastAsiaTheme="minorEastAsia" w:cs="Segoe UI" w:hint="eastAsia"/>
          <w:lang w:eastAsia="zh-TW"/>
        </w:rPr>
        <w:t>載明「流動性狀況申報表」第</w:t>
      </w:r>
      <w:r w:rsidRPr="001B3B44">
        <w:rPr>
          <w:rFonts w:eastAsiaTheme="minorEastAsia" w:cs="Segoe UI"/>
          <w:lang w:eastAsia="zh-TW"/>
        </w:rPr>
        <w:t>2</w:t>
      </w:r>
      <w:r w:rsidRPr="001B3B44">
        <w:rPr>
          <w:rFonts w:eastAsiaTheme="minorEastAsia" w:cs="Segoe UI" w:hint="eastAsia"/>
          <w:lang w:eastAsia="zh-TW"/>
        </w:rPr>
        <w:t>部</w:t>
      </w:r>
      <w:r w:rsidRPr="001B3B44">
        <w:rPr>
          <w:rFonts w:eastAsiaTheme="minorEastAsia" w:cs="Segoe UI"/>
          <w:lang w:eastAsia="zh-TW"/>
        </w:rPr>
        <w:t>(I)</w:t>
      </w:r>
      <w:r w:rsidRPr="001B3B44">
        <w:rPr>
          <w:rFonts w:eastAsiaTheme="minorEastAsia" w:cs="Segoe UI" w:hint="eastAsia"/>
          <w:lang w:eastAsia="zh-TW"/>
        </w:rPr>
        <w:t>節的相應項目。然而，認可機構應注意這些僅為有關項目的定義參照，不應被理解為簡單公式，因此不是使用</w:t>
      </w:r>
      <w:r w:rsidRPr="001B3B44">
        <w:rPr>
          <w:rFonts w:eastAsiaTheme="minorEastAsia" w:cs="Segoe UI"/>
          <w:lang w:eastAsia="zh-TW"/>
        </w:rPr>
        <w:t>該</w:t>
      </w:r>
      <w:r w:rsidRPr="001B3B44">
        <w:rPr>
          <w:rFonts w:eastAsiaTheme="minorEastAsia" w:cs="Segoe UI" w:hint="eastAsia"/>
          <w:lang w:eastAsia="zh-TW"/>
        </w:rPr>
        <w:t>定義參照</w:t>
      </w:r>
      <w:r w:rsidRPr="001B3B44">
        <w:rPr>
          <w:rFonts w:eastAsiaTheme="minorEastAsia" w:cs="Segoe UI"/>
          <w:lang w:eastAsia="zh-TW"/>
        </w:rPr>
        <w:t>便</w:t>
      </w:r>
      <w:r w:rsidRPr="001B3B44">
        <w:rPr>
          <w:rFonts w:eastAsiaTheme="minorEastAsia" w:cs="Segoe UI" w:hint="eastAsia"/>
          <w:lang w:eastAsia="zh-TW"/>
        </w:rPr>
        <w:t>可得出須在以下各行內披露的數值。例如，第</w:t>
      </w:r>
      <w:r w:rsidRPr="001B3B44">
        <w:rPr>
          <w:rFonts w:eastAsiaTheme="minorEastAsia" w:cs="Segoe UI"/>
          <w:lang w:eastAsia="zh-TW"/>
        </w:rPr>
        <w:t>2</w:t>
      </w:r>
      <w:r w:rsidRPr="001B3B44">
        <w:rPr>
          <w:rFonts w:eastAsiaTheme="minorEastAsia" w:cs="Segoe UI" w:hint="eastAsia"/>
          <w:lang w:eastAsia="zh-TW"/>
        </w:rPr>
        <w:t>行</w:t>
      </w:r>
      <w:r w:rsidRPr="001B3B44">
        <w:rPr>
          <w:rFonts w:eastAsiaTheme="minorEastAsia" w:cs="Segoe UI"/>
          <w:lang w:eastAsia="zh-TW"/>
        </w:rPr>
        <w:t>（</w:t>
      </w:r>
      <w:r w:rsidRPr="001B3B44">
        <w:rPr>
          <w:rFonts w:eastAsiaTheme="minorEastAsia" w:cs="Segoe UI" w:hint="eastAsia"/>
          <w:lang w:eastAsia="zh-TW"/>
        </w:rPr>
        <w:t>項目「零售存款及小型企業借款」</w:t>
      </w:r>
      <w:r w:rsidRPr="001B3B44">
        <w:rPr>
          <w:rFonts w:eastAsiaTheme="minorEastAsia" w:cs="Segoe UI"/>
          <w:lang w:eastAsia="zh-TW"/>
        </w:rPr>
        <w:t>）</w:t>
      </w:r>
      <w:r w:rsidRPr="001B3B44">
        <w:rPr>
          <w:rFonts w:eastAsiaTheme="minorEastAsia" w:cs="Segoe UI" w:hint="eastAsia"/>
          <w:lang w:eastAsia="zh-TW"/>
        </w:rPr>
        <w:t>的定義參照是</w:t>
      </w:r>
      <w:r w:rsidRPr="001B3B44">
        <w:rPr>
          <w:rFonts w:eastAsiaTheme="minorEastAsia" w:cs="Segoe UI"/>
          <w:lang w:eastAsia="zh-TW"/>
        </w:rPr>
        <w:t>{</w:t>
      </w:r>
      <w:r w:rsidRPr="001B3B44">
        <w:rPr>
          <w:rFonts w:eastAsiaTheme="minorEastAsia" w:cs="Segoe UI" w:hint="eastAsia"/>
          <w:lang w:eastAsia="zh-TW"/>
        </w:rPr>
        <w:t>項目</w:t>
      </w:r>
      <w:r w:rsidRPr="001B3B44">
        <w:rPr>
          <w:rFonts w:eastAsiaTheme="minorEastAsia" w:cs="Segoe UI"/>
          <w:lang w:eastAsia="zh-TW"/>
        </w:rPr>
        <w:t>B1</w:t>
      </w:r>
      <w:r w:rsidRPr="001B3B44">
        <w:rPr>
          <w:rFonts w:eastAsiaTheme="minorEastAsia" w:cs="Segoe UI" w:hint="eastAsia"/>
          <w:lang w:eastAsia="zh-TW"/>
        </w:rPr>
        <w:t>至</w:t>
      </w:r>
      <w:r w:rsidRPr="001B3B44">
        <w:rPr>
          <w:rFonts w:eastAsiaTheme="minorEastAsia" w:cs="Segoe UI"/>
          <w:lang w:eastAsia="zh-TW"/>
        </w:rPr>
        <w:t>B4</w:t>
      </w:r>
      <w:r w:rsidRPr="00C628D5">
        <w:rPr>
          <w:rFonts w:eastAsiaTheme="minorEastAsia" w:cs="Segoe UI" w:hint="eastAsia"/>
          <w:lang w:eastAsia="zh-TW"/>
        </w:rPr>
        <w:t>的總和</w:t>
      </w:r>
      <w:r w:rsidRPr="00C628D5">
        <w:rPr>
          <w:rFonts w:eastAsiaTheme="minorEastAsia" w:cs="Segoe UI"/>
          <w:lang w:eastAsia="zh-TW"/>
        </w:rPr>
        <w:t>}</w:t>
      </w:r>
      <w:r w:rsidRPr="00C628D5">
        <w:rPr>
          <w:rFonts w:eastAsiaTheme="minorEastAsia" w:cs="Segoe UI" w:hint="eastAsia"/>
          <w:lang w:eastAsia="zh-TW"/>
        </w:rPr>
        <w:t>。然而，</w:t>
      </w:r>
      <w:proofErr w:type="gramStart"/>
      <w:r w:rsidRPr="00C628D5">
        <w:rPr>
          <w:rFonts w:eastAsiaTheme="minorEastAsia" w:cs="Segoe UI" w:hint="eastAsia"/>
          <w:lang w:eastAsia="zh-TW"/>
        </w:rPr>
        <w:t>在本模版</w:t>
      </w:r>
      <w:proofErr w:type="gramEnd"/>
      <w:r w:rsidRPr="00C628D5">
        <w:rPr>
          <w:rFonts w:eastAsiaTheme="minorEastAsia" w:cs="Segoe UI" w:hint="eastAsia"/>
          <w:lang w:eastAsia="zh-TW"/>
        </w:rPr>
        <w:t>內</w:t>
      </w:r>
      <w:r w:rsidRPr="00C628D5">
        <w:rPr>
          <w:rFonts w:eastAsiaTheme="minorEastAsia" w:cs="Segoe UI"/>
          <w:lang w:eastAsia="zh-TW"/>
        </w:rPr>
        <w:t>[LIQ1: 2/</w:t>
      </w:r>
      <w:proofErr w:type="gramStart"/>
      <w:r w:rsidRPr="00C628D5">
        <w:rPr>
          <w:rFonts w:eastAsiaTheme="minorEastAsia" w:cs="Segoe UI"/>
          <w:lang w:eastAsia="zh-TW"/>
        </w:rPr>
        <w:t>a]</w:t>
      </w:r>
      <w:r w:rsidRPr="00C628D5">
        <w:rPr>
          <w:rFonts w:eastAsiaTheme="minorEastAsia" w:cs="Segoe UI" w:hint="eastAsia"/>
          <w:lang w:eastAsia="zh-TW"/>
        </w:rPr>
        <w:t>須就特定季度披露的數值</w:t>
      </w:r>
      <w:proofErr w:type="gramEnd"/>
      <w:r w:rsidRPr="00C628D5">
        <w:rPr>
          <w:rFonts w:eastAsiaTheme="minorEastAsia" w:cs="Segoe UI" w:hint="eastAsia"/>
          <w:lang w:eastAsia="zh-TW"/>
        </w:rPr>
        <w:t>，並不等於在「流動性狀況申報表」第</w:t>
      </w:r>
      <w:r w:rsidRPr="00C628D5">
        <w:rPr>
          <w:rFonts w:eastAsiaTheme="minorEastAsia" w:cs="Segoe UI"/>
          <w:lang w:eastAsia="zh-TW"/>
        </w:rPr>
        <w:t>2</w:t>
      </w:r>
      <w:r w:rsidRPr="00C628D5">
        <w:rPr>
          <w:rFonts w:eastAsiaTheme="minorEastAsia" w:cs="Segoe UI" w:hint="eastAsia"/>
          <w:lang w:eastAsia="zh-TW"/>
        </w:rPr>
        <w:t>部</w:t>
      </w:r>
      <w:r w:rsidRPr="00C628D5">
        <w:rPr>
          <w:rFonts w:eastAsiaTheme="minorEastAsia" w:cs="Segoe UI"/>
          <w:lang w:eastAsia="zh-TW"/>
        </w:rPr>
        <w:t>(I)</w:t>
      </w:r>
      <w:r w:rsidRPr="00C628D5">
        <w:rPr>
          <w:rFonts w:eastAsiaTheme="minorEastAsia" w:cs="Segoe UI" w:hint="eastAsia"/>
          <w:lang w:eastAsia="zh-TW"/>
        </w:rPr>
        <w:t>節就季末當日結束的月份所申報的項目</w:t>
      </w:r>
      <w:r w:rsidRPr="00C628D5">
        <w:rPr>
          <w:rFonts w:eastAsiaTheme="minorEastAsia" w:cs="Segoe UI"/>
          <w:lang w:eastAsia="zh-TW"/>
        </w:rPr>
        <w:t>B1</w:t>
      </w:r>
      <w:r w:rsidRPr="00C628D5">
        <w:rPr>
          <w:rFonts w:eastAsiaTheme="minorEastAsia" w:cs="Segoe UI" w:hint="eastAsia"/>
          <w:lang w:eastAsia="zh-TW"/>
        </w:rPr>
        <w:t>至</w:t>
      </w:r>
      <w:r w:rsidRPr="00C628D5">
        <w:rPr>
          <w:rFonts w:eastAsiaTheme="minorEastAsia" w:cs="Segoe UI"/>
          <w:lang w:eastAsia="zh-TW"/>
        </w:rPr>
        <w:t>B4</w:t>
      </w:r>
      <w:r w:rsidRPr="00C628D5">
        <w:rPr>
          <w:rFonts w:eastAsiaTheme="minorEastAsia" w:cs="Segoe UI" w:hint="eastAsia"/>
          <w:lang w:eastAsia="zh-TW"/>
        </w:rPr>
        <w:t>的本金額的簡單合計總和。</w:t>
      </w:r>
      <w:r w:rsidRPr="00C628D5">
        <w:rPr>
          <w:rFonts w:eastAsiaTheme="minorEastAsia" w:cs="Segoe UI"/>
          <w:lang w:eastAsia="zh-TW"/>
        </w:rPr>
        <w:t>[LIQ1: 2/a]</w:t>
      </w:r>
      <w:r w:rsidRPr="00C628D5">
        <w:rPr>
          <w:rFonts w:eastAsiaTheme="minorEastAsia" w:cs="Segoe UI" w:hint="eastAsia"/>
          <w:lang w:eastAsia="zh-TW"/>
        </w:rPr>
        <w:t>的數值其實應計算為季度內每個工作日終結時的「零售存款及小型企業借款」的</w:t>
      </w:r>
      <w:r>
        <w:rPr>
          <w:rFonts w:eastAsiaTheme="minorEastAsia" w:cs="Segoe UI" w:hint="eastAsia"/>
          <w:lang w:eastAsia="zh-TW"/>
        </w:rPr>
        <w:t>非</w:t>
      </w:r>
      <w:r w:rsidRPr="000E15AA">
        <w:rPr>
          <w:rFonts w:eastAsiaTheme="minorEastAsia" w:cs="Segoe UI"/>
          <w:lang w:eastAsia="zh-TW"/>
        </w:rPr>
        <w:t>加權</w:t>
      </w:r>
      <w:r w:rsidRPr="00C628D5">
        <w:rPr>
          <w:rFonts w:eastAsiaTheme="minorEastAsia" w:cs="Segoe UI" w:hint="eastAsia"/>
          <w:lang w:eastAsia="zh-TW"/>
        </w:rPr>
        <w:t>數值的算術平均數</w:t>
      </w:r>
      <w:r w:rsidRPr="000E15AA">
        <w:rPr>
          <w:rFonts w:eastAsiaTheme="minorEastAsia" w:cs="Segoe UI"/>
          <w:lang w:eastAsia="zh-TW"/>
        </w:rPr>
        <w:t>（</w:t>
      </w:r>
      <w:r w:rsidRPr="00C628D5">
        <w:rPr>
          <w:rFonts w:eastAsiaTheme="minorEastAsia" w:cs="Segoe UI" w:hint="eastAsia"/>
          <w:lang w:eastAsia="zh-TW"/>
        </w:rPr>
        <w:t>即該季度項目「零售存款及小型企業借款」的所有數據點的平均數</w:t>
      </w:r>
      <w:r w:rsidRPr="000E15AA">
        <w:rPr>
          <w:rFonts w:eastAsiaTheme="minorEastAsia" w:cs="Segoe UI"/>
          <w:lang w:eastAsia="zh-TW"/>
        </w:rPr>
        <w:t>）</w:t>
      </w:r>
      <w:r w:rsidRPr="00C628D5">
        <w:rPr>
          <w:rFonts w:eastAsiaTheme="minorEastAsia" w:cs="Segoe UI" w:hint="eastAsia"/>
          <w:lang w:eastAsia="zh-TW"/>
        </w:rPr>
        <w:t>。有關計算方法詳情請參閱第</w:t>
      </w:r>
      <w:r w:rsidRPr="00C628D5">
        <w:rPr>
          <w:rFonts w:eastAsiaTheme="minorEastAsia" w:cs="Segoe UI"/>
          <w:lang w:eastAsia="zh-TW"/>
        </w:rPr>
        <w:t>(a)</w:t>
      </w:r>
      <w:r w:rsidRPr="00C628D5">
        <w:rPr>
          <w:rFonts w:eastAsiaTheme="minorEastAsia" w:cs="Segoe UI" w:hint="eastAsia"/>
          <w:lang w:eastAsia="zh-TW"/>
        </w:rPr>
        <w:t>及</w:t>
      </w:r>
      <w:r w:rsidRPr="00C628D5">
        <w:rPr>
          <w:rFonts w:eastAsiaTheme="minorEastAsia" w:cs="Segoe UI"/>
          <w:lang w:eastAsia="zh-TW"/>
        </w:rPr>
        <w:t>(b)</w:t>
      </w:r>
      <w:r w:rsidRPr="00C628D5">
        <w:rPr>
          <w:rFonts w:eastAsiaTheme="minorEastAsia" w:cs="Segoe UI" w:hint="eastAsia"/>
          <w:lang w:eastAsia="zh-TW"/>
        </w:rPr>
        <w:t>欄註釋。</w:t>
      </w:r>
    </w:p>
  </w:footnote>
  <w:footnote w:id="10">
    <w:p w14:paraId="3FE26079" w14:textId="77777777" w:rsidR="003C038F" w:rsidRPr="00ED4F40" w:rsidRDefault="003C038F" w:rsidP="00A76FA1">
      <w:pPr>
        <w:pStyle w:val="FootnoteText"/>
        <w:tabs>
          <w:tab w:val="clear" w:pos="397"/>
          <w:tab w:val="left" w:pos="0"/>
        </w:tabs>
        <w:snapToGrid w:val="0"/>
        <w:spacing w:before="0"/>
        <w:ind w:leftChars="-142" w:left="-284" w:firstLine="0"/>
        <w:rPr>
          <w:rFonts w:cs="Segoe UI"/>
          <w:lang w:eastAsia="zh-TW"/>
        </w:rPr>
      </w:pPr>
      <w:r w:rsidRPr="00ED4F40">
        <w:rPr>
          <w:rStyle w:val="FootnoteReference"/>
          <w:rFonts w:cs="Segoe UI"/>
        </w:rPr>
        <w:footnoteRef/>
      </w:r>
      <w:r w:rsidRPr="00ED4F40">
        <w:rPr>
          <w:rFonts w:cs="Segoe UI"/>
          <w:lang w:eastAsia="zh-TW"/>
        </w:rPr>
        <w:t xml:space="preserve"> </w:t>
      </w:r>
      <w:r w:rsidRPr="00ED4F40">
        <w:rPr>
          <w:rFonts w:cs="Segoe UI"/>
          <w:lang w:eastAsia="zh-TW"/>
        </w:rPr>
        <w:tab/>
      </w:r>
      <w:r w:rsidRPr="00C628D5">
        <w:rPr>
          <w:rFonts w:eastAsia="細明體" w:cs="Segoe UI" w:hint="eastAsia"/>
          <w:lang w:eastAsia="zh-TW"/>
        </w:rPr>
        <w:t>指</w:t>
      </w:r>
      <w:r w:rsidRPr="00ED4F40">
        <w:rPr>
          <w:rFonts w:cs="Segoe UI"/>
          <w:lang w:eastAsia="zh-TW"/>
        </w:rPr>
        <w:t>2B</w:t>
      </w:r>
      <w:r w:rsidRPr="00C628D5">
        <w:rPr>
          <w:rFonts w:eastAsia="細明體" w:cs="Segoe UI" w:hint="eastAsia"/>
          <w:lang w:eastAsia="zh-TW"/>
        </w:rPr>
        <w:t>級資產的</w:t>
      </w:r>
      <w:r w:rsidRPr="00ED4F40">
        <w:rPr>
          <w:rFonts w:cs="Segoe UI"/>
          <w:lang w:eastAsia="zh-TW"/>
        </w:rPr>
        <w:t>15%</w:t>
      </w:r>
      <w:r w:rsidRPr="00C628D5">
        <w:rPr>
          <w:rFonts w:eastAsia="細明體" w:cs="Segoe UI" w:hint="eastAsia"/>
          <w:lang w:eastAsia="zh-TW"/>
        </w:rPr>
        <w:t>上限及</w:t>
      </w:r>
      <w:r w:rsidRPr="00ED4F40">
        <w:rPr>
          <w:rFonts w:cs="Segoe UI"/>
          <w:lang w:eastAsia="zh-TW"/>
        </w:rPr>
        <w:t>2A</w:t>
      </w:r>
      <w:r w:rsidRPr="00C628D5">
        <w:rPr>
          <w:rFonts w:eastAsia="細明體" w:cs="Segoe UI" w:hint="eastAsia"/>
          <w:lang w:eastAsia="zh-TW"/>
        </w:rPr>
        <w:t>級資產與</w:t>
      </w:r>
      <w:r w:rsidRPr="00ED4F40">
        <w:rPr>
          <w:rFonts w:cs="Segoe UI"/>
          <w:lang w:eastAsia="zh-TW"/>
        </w:rPr>
        <w:t>2B</w:t>
      </w:r>
      <w:r w:rsidRPr="00C628D5">
        <w:rPr>
          <w:rFonts w:eastAsia="細明體" w:cs="Segoe UI" w:hint="eastAsia"/>
          <w:lang w:eastAsia="zh-TW"/>
        </w:rPr>
        <w:t>級資產之和的</w:t>
      </w:r>
      <w:r w:rsidRPr="00ED4F40">
        <w:rPr>
          <w:rFonts w:cs="Segoe UI"/>
          <w:lang w:eastAsia="zh-TW"/>
        </w:rPr>
        <w:t xml:space="preserve"> 40%</w:t>
      </w:r>
      <w:r w:rsidRPr="00C628D5">
        <w:rPr>
          <w:rFonts w:eastAsia="細明體" w:cs="Segoe UI" w:hint="eastAsia"/>
          <w:lang w:eastAsia="zh-TW"/>
        </w:rPr>
        <w:t>上限。</w:t>
      </w:r>
    </w:p>
  </w:footnote>
  <w:footnote w:id="11">
    <w:p w14:paraId="6A9BCED5" w14:textId="77777777" w:rsidR="003C038F" w:rsidRPr="00ED4F40" w:rsidRDefault="003C038F" w:rsidP="00A76FA1">
      <w:pPr>
        <w:pStyle w:val="FootnoteText"/>
        <w:tabs>
          <w:tab w:val="clear" w:pos="397"/>
          <w:tab w:val="left" w:pos="0"/>
        </w:tabs>
        <w:snapToGrid w:val="0"/>
        <w:spacing w:before="0"/>
        <w:ind w:leftChars="-142" w:left="-284" w:firstLine="0"/>
        <w:rPr>
          <w:rFonts w:cs="Segoe UI"/>
          <w:lang w:eastAsia="zh-TW"/>
        </w:rPr>
      </w:pPr>
      <w:r w:rsidRPr="00ED4F40">
        <w:rPr>
          <w:rStyle w:val="FootnoteReference"/>
          <w:rFonts w:cs="Segoe UI"/>
        </w:rPr>
        <w:footnoteRef/>
      </w:r>
      <w:r w:rsidRPr="00ED4F40">
        <w:rPr>
          <w:rFonts w:cs="Segoe UI"/>
          <w:lang w:eastAsia="zh-TW"/>
        </w:rPr>
        <w:t xml:space="preserve"> </w:t>
      </w:r>
      <w:r w:rsidRPr="00ED4F40">
        <w:rPr>
          <w:rFonts w:cs="Segoe UI"/>
          <w:lang w:eastAsia="zh-TW"/>
        </w:rPr>
        <w:tab/>
      </w:r>
      <w:r w:rsidRPr="00C628D5">
        <w:rPr>
          <w:rFonts w:eastAsia="細明體" w:cs="Segoe UI" w:hint="eastAsia"/>
          <w:lang w:eastAsia="zh-TW"/>
        </w:rPr>
        <w:t>為免引起疑問，本行包括在提供代理銀行及主要經紀服務</w:t>
      </w:r>
      <w:r>
        <w:rPr>
          <w:rFonts w:asciiTheme="minorEastAsia" w:eastAsiaTheme="minorEastAsia" w:hAnsiTheme="minorEastAsia" w:cs="Segoe UI" w:hint="eastAsia"/>
          <w:lang w:eastAsia="zh-TW"/>
        </w:rPr>
        <w:t>（</w:t>
      </w:r>
      <w:r w:rsidRPr="00C628D5">
        <w:rPr>
          <w:rFonts w:eastAsia="細明體" w:cs="Segoe UI" w:hint="eastAsia"/>
          <w:lang w:eastAsia="zh-TW"/>
        </w:rPr>
        <w:t>如《流動性規則》</w:t>
      </w:r>
      <w:r>
        <w:rPr>
          <w:rFonts w:eastAsia="細明體" w:cs="Segoe UI" w:hint="eastAsia"/>
          <w:lang w:eastAsia="zh-TW"/>
        </w:rPr>
        <w:t>第</w:t>
      </w:r>
      <w:r w:rsidRPr="00ED4F40">
        <w:rPr>
          <w:rFonts w:cs="Segoe UI"/>
          <w:lang w:eastAsia="zh-TW"/>
        </w:rPr>
        <w:t>39</w:t>
      </w:r>
      <w:r>
        <w:rPr>
          <w:rFonts w:asciiTheme="minorEastAsia" w:eastAsiaTheme="minorEastAsia" w:hAnsiTheme="minorEastAsia" w:cs="Segoe UI" w:hint="eastAsia"/>
          <w:lang w:eastAsia="zh-TW"/>
        </w:rPr>
        <w:t>條</w:t>
      </w:r>
      <w:r w:rsidRPr="00C628D5">
        <w:rPr>
          <w:rFonts w:eastAsia="細明體" w:cs="Segoe UI" w:hint="eastAsia"/>
          <w:lang w:eastAsia="zh-TW"/>
        </w:rPr>
        <w:t>所界定</w:t>
      </w:r>
      <w:r>
        <w:rPr>
          <w:rFonts w:asciiTheme="minorEastAsia" w:eastAsiaTheme="minorEastAsia" w:hAnsiTheme="minorEastAsia" w:cs="Segoe UI" w:hint="eastAsia"/>
          <w:lang w:eastAsia="zh-TW"/>
        </w:rPr>
        <w:t>）</w:t>
      </w:r>
      <w:r w:rsidRPr="00C628D5">
        <w:rPr>
          <w:rFonts w:eastAsia="細明體" w:cs="Segoe UI" w:hint="eastAsia"/>
          <w:lang w:eastAsia="zh-TW"/>
        </w:rPr>
        <w:t>過程中收到的無抵押批發借款。</w:t>
      </w:r>
    </w:p>
  </w:footnote>
  <w:footnote w:id="12">
    <w:p w14:paraId="765AA927" w14:textId="6BFE1774" w:rsidR="003C038F" w:rsidRPr="00ED4F40" w:rsidRDefault="003C038F" w:rsidP="00A76FA1">
      <w:pPr>
        <w:pStyle w:val="FootnoteText"/>
        <w:tabs>
          <w:tab w:val="clear" w:pos="397"/>
          <w:tab w:val="left" w:pos="0"/>
        </w:tabs>
        <w:snapToGrid w:val="0"/>
        <w:spacing w:before="0"/>
        <w:ind w:leftChars="-142" w:left="-284" w:firstLine="0"/>
        <w:rPr>
          <w:rFonts w:cs="Segoe UI"/>
          <w:lang w:eastAsia="zh-TW"/>
        </w:rPr>
      </w:pPr>
      <w:r w:rsidRPr="00ED4F40">
        <w:rPr>
          <w:rStyle w:val="FootnoteReference"/>
          <w:rFonts w:cs="Segoe UI"/>
        </w:rPr>
        <w:footnoteRef/>
      </w:r>
      <w:r w:rsidRPr="00ED4F40">
        <w:rPr>
          <w:rFonts w:cs="Segoe UI"/>
          <w:lang w:eastAsia="zh-TW"/>
        </w:rPr>
        <w:t xml:space="preserve"> </w:t>
      </w:r>
      <w:r w:rsidRPr="00ED4F40">
        <w:rPr>
          <w:rFonts w:cs="Segoe UI"/>
          <w:lang w:eastAsia="zh-TW"/>
        </w:rPr>
        <w:tab/>
      </w:r>
      <w:r w:rsidRPr="00C628D5">
        <w:rPr>
          <w:rFonts w:eastAsia="細明體" w:cs="Segoe UI" w:hint="eastAsia"/>
          <w:lang w:eastAsia="zh-TW"/>
        </w:rPr>
        <w:t>為免引起疑問，因贖回由第</w:t>
      </w:r>
      <w:r w:rsidRPr="00ED4F40">
        <w:rPr>
          <w:rFonts w:cs="Segoe UI"/>
          <w:lang w:eastAsia="zh-TW"/>
        </w:rPr>
        <w:t>1</w:t>
      </w:r>
      <w:r w:rsidRPr="00C628D5">
        <w:rPr>
          <w:rFonts w:eastAsia="細明體" w:cs="Segoe UI" w:hint="eastAsia"/>
          <w:lang w:eastAsia="zh-TW"/>
        </w:rPr>
        <w:t>類機構發行並可在有關的</w:t>
      </w:r>
      <w:r w:rsidRPr="00ED4F40">
        <w:rPr>
          <w:rFonts w:cs="Segoe UI"/>
          <w:lang w:eastAsia="zh-TW"/>
        </w:rPr>
        <w:t>LCR</w:t>
      </w:r>
      <w:r w:rsidRPr="00C628D5">
        <w:rPr>
          <w:rFonts w:eastAsia="細明體" w:cs="Segoe UI" w:hint="eastAsia"/>
          <w:lang w:eastAsia="zh-TW"/>
        </w:rPr>
        <w:t>涵蓋時期內贖回的有資產支持的證券、資產覆蓋債券或其他結構式金融工具所產生的預期現金流出，須在第</w:t>
      </w:r>
      <w:r w:rsidRPr="00ED4F40">
        <w:rPr>
          <w:rFonts w:cs="Segoe UI"/>
          <w:lang w:eastAsia="zh-TW"/>
        </w:rPr>
        <w:t>12</w:t>
      </w:r>
      <w:r w:rsidRPr="00C628D5">
        <w:rPr>
          <w:rFonts w:eastAsiaTheme="minorEastAsia" w:cs="Segoe UI" w:hint="eastAsia"/>
          <w:lang w:eastAsia="zh-TW"/>
        </w:rPr>
        <w:t>行</w:t>
      </w:r>
      <w:r>
        <w:rPr>
          <w:rFonts w:eastAsiaTheme="minorEastAsia" w:cs="Segoe UI" w:hint="eastAsia"/>
          <w:lang w:eastAsia="zh-HK"/>
        </w:rPr>
        <w:t>填</w:t>
      </w:r>
      <w:r w:rsidRPr="00C628D5">
        <w:rPr>
          <w:rFonts w:eastAsia="細明體" w:cs="Segoe UI" w:hint="eastAsia"/>
          <w:lang w:eastAsia="zh-TW"/>
        </w:rPr>
        <w:t>報。</w:t>
      </w:r>
    </w:p>
  </w:footnote>
  <w:footnote w:id="13">
    <w:p w14:paraId="0F182CF7" w14:textId="77777777" w:rsidR="003C038F" w:rsidRPr="00ED4F40" w:rsidRDefault="003C038F" w:rsidP="00A76FA1">
      <w:pPr>
        <w:pStyle w:val="FootnoteText"/>
        <w:tabs>
          <w:tab w:val="clear" w:pos="397"/>
          <w:tab w:val="left" w:pos="0"/>
        </w:tabs>
        <w:snapToGrid w:val="0"/>
        <w:spacing w:before="0"/>
        <w:ind w:leftChars="-142" w:left="-284" w:firstLine="0"/>
        <w:rPr>
          <w:rFonts w:cs="Segoe UI"/>
          <w:lang w:eastAsia="zh-TW"/>
        </w:rPr>
      </w:pPr>
      <w:r w:rsidRPr="00ED4F40">
        <w:rPr>
          <w:rStyle w:val="FootnoteReference"/>
          <w:rFonts w:cs="Segoe UI"/>
        </w:rPr>
        <w:footnoteRef/>
      </w:r>
      <w:r w:rsidRPr="00ED4F40">
        <w:rPr>
          <w:rFonts w:cs="Segoe UI"/>
          <w:lang w:eastAsia="zh-TW"/>
        </w:rPr>
        <w:t xml:space="preserve"> </w:t>
      </w:r>
      <w:r w:rsidRPr="00ED4F40">
        <w:rPr>
          <w:rFonts w:cs="Segoe UI"/>
          <w:lang w:eastAsia="zh-TW"/>
        </w:rPr>
        <w:tab/>
      </w:r>
      <w:r w:rsidRPr="00C628D5">
        <w:rPr>
          <w:rFonts w:eastAsia="細明體" w:cs="Segoe UI" w:hint="eastAsia"/>
          <w:lang w:eastAsia="zh-TW"/>
        </w:rPr>
        <w:t>如第</w:t>
      </w:r>
      <w:r w:rsidRPr="00ED4F40">
        <w:rPr>
          <w:rFonts w:cs="Segoe UI"/>
          <w:lang w:eastAsia="zh-TW"/>
        </w:rPr>
        <w:t>1</w:t>
      </w:r>
      <w:r w:rsidRPr="00C628D5">
        <w:rPr>
          <w:rFonts w:eastAsia="細明體" w:cs="Segoe UI" w:hint="eastAsia"/>
          <w:lang w:eastAsia="zh-TW"/>
        </w:rPr>
        <w:t>類機構的預期現金流入總額的加權數額超過其預期現金流出總額的加權數額的</w:t>
      </w:r>
      <w:r w:rsidRPr="00ED4F40">
        <w:rPr>
          <w:rFonts w:cs="Segoe UI"/>
          <w:lang w:eastAsia="zh-TW"/>
        </w:rPr>
        <w:t>75%</w:t>
      </w:r>
      <w:r w:rsidRPr="00C628D5">
        <w:rPr>
          <w:rFonts w:eastAsia="細明體" w:cs="Segoe UI" w:hint="eastAsia"/>
          <w:lang w:eastAsia="zh-TW"/>
        </w:rPr>
        <w:t>，即須應用</w:t>
      </w:r>
      <w:r w:rsidRPr="00ED4F40">
        <w:rPr>
          <w:rFonts w:cs="Segoe UI"/>
          <w:lang w:eastAsia="zh-TW"/>
        </w:rPr>
        <w:t>75%</w:t>
      </w:r>
      <w:r w:rsidRPr="00C628D5">
        <w:rPr>
          <w:rFonts w:eastAsia="細明體" w:cs="Segoe UI" w:hint="eastAsia"/>
          <w:lang w:eastAsia="zh-TW"/>
        </w:rPr>
        <w:t>的流入上限，而超出的部分不得用作抵銷預期現金流出總額的加權數額。</w:t>
      </w:r>
    </w:p>
  </w:footnote>
  <w:footnote w:id="14">
    <w:p w14:paraId="33EF09B9" w14:textId="0DD6A213" w:rsidR="003C038F" w:rsidRPr="00977FF6" w:rsidRDefault="003C038F" w:rsidP="00AC10B9">
      <w:pPr>
        <w:pStyle w:val="FootnoteText"/>
        <w:tabs>
          <w:tab w:val="clear" w:pos="397"/>
          <w:tab w:val="left" w:pos="0"/>
        </w:tabs>
        <w:snapToGrid w:val="0"/>
        <w:spacing w:before="0"/>
        <w:ind w:leftChars="-142" w:left="-284" w:firstLine="0"/>
        <w:rPr>
          <w:rFonts w:eastAsia="細明體"/>
          <w:szCs w:val="16"/>
          <w:lang w:eastAsia="zh-TW"/>
        </w:rPr>
      </w:pPr>
      <w:r w:rsidRPr="00977FF6">
        <w:rPr>
          <w:rStyle w:val="a"/>
          <w:szCs w:val="16"/>
        </w:rPr>
        <w:footnoteRef/>
      </w:r>
      <w:r w:rsidRPr="00977FF6">
        <w:rPr>
          <w:rFonts w:eastAsia="細明體"/>
          <w:szCs w:val="16"/>
          <w:lang w:eastAsia="zh-TW"/>
        </w:rPr>
        <w:t xml:space="preserve"> </w:t>
      </w:r>
      <w:r>
        <w:rPr>
          <w:rFonts w:eastAsia="細明體"/>
          <w:szCs w:val="16"/>
          <w:lang w:eastAsia="zh-TW"/>
        </w:rPr>
        <w:tab/>
      </w:r>
      <w:r w:rsidRPr="00977FF6">
        <w:rPr>
          <w:rFonts w:eastAsia="細明體" w:hint="eastAsia"/>
          <w:szCs w:val="16"/>
          <w:lang w:eastAsia="zh-TW"/>
        </w:rPr>
        <w:t>在</w:t>
      </w:r>
      <w:r w:rsidRPr="00977FF6">
        <w:rPr>
          <w:rFonts w:eastAsia="細明體"/>
          <w:szCs w:val="16"/>
          <w:lang w:eastAsia="zh-TW"/>
        </w:rPr>
        <w:t>(e)</w:t>
      </w:r>
      <w:r w:rsidRPr="00977FF6">
        <w:rPr>
          <w:rFonts w:eastAsia="細明體" w:hint="eastAsia"/>
          <w:szCs w:val="16"/>
          <w:lang w:eastAsia="zh-TW"/>
        </w:rPr>
        <w:t>及</w:t>
      </w:r>
      <w:r w:rsidRPr="00977FF6">
        <w:rPr>
          <w:rFonts w:eastAsia="細明體"/>
          <w:szCs w:val="16"/>
          <w:lang w:eastAsia="zh-TW"/>
        </w:rPr>
        <w:t>(f)</w:t>
      </w:r>
      <w:r w:rsidRPr="00977FF6">
        <w:rPr>
          <w:rFonts w:eastAsia="細明體" w:hint="eastAsia"/>
          <w:szCs w:val="16"/>
          <w:lang w:eastAsia="zh-TW"/>
        </w:rPr>
        <w:t>欄填報的「</w:t>
      </w:r>
      <w:r w:rsidRPr="007C0E1E">
        <w:rPr>
          <w:rFonts w:eastAsia="細明體" w:hint="eastAsia"/>
          <w:szCs w:val="16"/>
          <w:lang w:eastAsia="zh-TW"/>
        </w:rPr>
        <w:t>SFT</w:t>
      </w:r>
      <w:r w:rsidRPr="00977FF6">
        <w:rPr>
          <w:rFonts w:eastAsia="細明體" w:hint="eastAsia"/>
          <w:szCs w:val="16"/>
          <w:lang w:eastAsia="zh-TW"/>
        </w:rPr>
        <w:t>」</w:t>
      </w:r>
      <w:r>
        <w:rPr>
          <w:rFonts w:eastAsia="細明體" w:hint="eastAsia"/>
          <w:szCs w:val="16"/>
          <w:lang w:eastAsia="zh-HK"/>
        </w:rPr>
        <w:t>，</w:t>
      </w:r>
      <w:r w:rsidRPr="0032247B">
        <w:rPr>
          <w:rFonts w:eastAsia="細明體" w:hint="eastAsia"/>
          <w:szCs w:val="16"/>
          <w:lang w:eastAsia="zh-TW"/>
        </w:rPr>
        <w:t>抵押品指交易中使用的雙向抵押品。例如認可機構向某第三方轉移證券，而該第三方則向認可機構提供抵押品。認可機構應</w:t>
      </w:r>
      <w:proofErr w:type="gramStart"/>
      <w:r w:rsidRPr="0032247B">
        <w:rPr>
          <w:rFonts w:eastAsia="細明體" w:hint="eastAsia"/>
          <w:szCs w:val="16"/>
          <w:lang w:eastAsia="zh-TW"/>
        </w:rPr>
        <w:t>在本模版</w:t>
      </w:r>
      <w:proofErr w:type="gramEnd"/>
      <w:r w:rsidRPr="0032247B">
        <w:rPr>
          <w:rFonts w:eastAsia="細明體" w:hint="eastAsia"/>
          <w:szCs w:val="16"/>
          <w:lang w:eastAsia="zh-TW"/>
        </w:rPr>
        <w:t>中填報該交易的兩部分</w:t>
      </w:r>
      <w:r w:rsidRPr="00977FF6">
        <w:rPr>
          <w:rFonts w:eastAsia="細明體" w:hint="eastAsia"/>
          <w:szCs w:val="16"/>
          <w:lang w:eastAsia="zh-TW"/>
        </w:rPr>
        <w:t>：一方面在</w:t>
      </w:r>
      <w:r w:rsidRPr="00977FF6">
        <w:rPr>
          <w:rFonts w:eastAsia="細明體"/>
          <w:szCs w:val="16"/>
          <w:lang w:eastAsia="zh-TW"/>
        </w:rPr>
        <w:t>(e)</w:t>
      </w:r>
      <w:r w:rsidRPr="00977FF6">
        <w:rPr>
          <w:rFonts w:eastAsia="細明體" w:hint="eastAsia"/>
          <w:szCs w:val="16"/>
          <w:lang w:eastAsia="zh-TW"/>
        </w:rPr>
        <w:t>欄填報收取的抵押品，另一方面在</w:t>
      </w:r>
      <w:r w:rsidRPr="00977FF6">
        <w:rPr>
          <w:rFonts w:eastAsia="細明體"/>
          <w:szCs w:val="16"/>
          <w:lang w:eastAsia="zh-TW"/>
        </w:rPr>
        <w:t>(f)</w:t>
      </w:r>
      <w:r w:rsidRPr="00977FF6">
        <w:rPr>
          <w:rFonts w:eastAsia="細明體" w:hint="eastAsia"/>
          <w:szCs w:val="16"/>
          <w:lang w:eastAsia="zh-TW"/>
        </w:rPr>
        <w:t>欄填報認可機構提供的抵押品。</w:t>
      </w:r>
    </w:p>
  </w:footnote>
  <w:footnote w:id="15">
    <w:p w14:paraId="7454BABF" w14:textId="7E1459C9" w:rsidR="003C038F" w:rsidRPr="00977FF6" w:rsidRDefault="003C038F" w:rsidP="00AC10B9">
      <w:pPr>
        <w:pStyle w:val="FootnoteText"/>
        <w:tabs>
          <w:tab w:val="clear" w:pos="397"/>
          <w:tab w:val="left" w:pos="0"/>
        </w:tabs>
        <w:snapToGrid w:val="0"/>
        <w:spacing w:before="0"/>
        <w:ind w:leftChars="-142" w:left="-284" w:firstLine="0"/>
        <w:rPr>
          <w:szCs w:val="16"/>
          <w:lang w:eastAsia="zh-TW"/>
        </w:rPr>
      </w:pPr>
      <w:r w:rsidRPr="00977FF6">
        <w:rPr>
          <w:rStyle w:val="a"/>
          <w:szCs w:val="16"/>
        </w:rPr>
        <w:footnoteRef/>
      </w:r>
      <w:r w:rsidRPr="00977FF6">
        <w:rPr>
          <w:rFonts w:eastAsia="細明體"/>
          <w:szCs w:val="16"/>
          <w:lang w:eastAsia="zh-TW"/>
        </w:rPr>
        <w:tab/>
      </w:r>
      <w:r w:rsidRPr="00977FF6">
        <w:rPr>
          <w:rFonts w:eastAsia="細明體" w:hint="eastAsia"/>
          <w:szCs w:val="16"/>
          <w:lang w:eastAsia="zh-TW"/>
        </w:rPr>
        <w:t>「本地貨幣」指認可機構填報用的貨幣（</w:t>
      </w:r>
      <w:r w:rsidRPr="00977FF6">
        <w:rPr>
          <w:rFonts w:eastAsia="細明體" w:hint="eastAsia"/>
          <w:szCs w:val="16"/>
          <w:lang w:eastAsia="zh-TW"/>
        </w:rPr>
        <w:t>而非有關的衍生工具或</w:t>
      </w:r>
      <w:r w:rsidRPr="007C0E1E">
        <w:rPr>
          <w:rFonts w:eastAsia="細明體" w:hint="eastAsia"/>
          <w:szCs w:val="16"/>
          <w:lang w:eastAsia="zh-TW"/>
        </w:rPr>
        <w:t>SFT</w:t>
      </w:r>
      <w:r w:rsidRPr="00977FF6">
        <w:rPr>
          <w:rFonts w:eastAsia="細明體" w:hint="eastAsia"/>
          <w:szCs w:val="16"/>
          <w:lang w:eastAsia="zh-TW"/>
        </w:rPr>
        <w:t>用以計價的貨幣）。</w:t>
      </w:r>
    </w:p>
  </w:footnote>
  <w:footnote w:id="16">
    <w:p w14:paraId="37160786" w14:textId="77777777" w:rsidR="003C038F" w:rsidRPr="00BC269C" w:rsidRDefault="003C038F" w:rsidP="00AC10B9">
      <w:pPr>
        <w:pStyle w:val="FootnoteText"/>
        <w:tabs>
          <w:tab w:val="clear" w:pos="397"/>
          <w:tab w:val="left" w:pos="0"/>
        </w:tabs>
        <w:snapToGrid w:val="0"/>
        <w:spacing w:before="0"/>
        <w:ind w:leftChars="-142" w:left="-284" w:firstLine="0"/>
        <w:rPr>
          <w:rFonts w:eastAsia="新細明體"/>
          <w:lang w:eastAsia="zh-TW"/>
        </w:rPr>
      </w:pPr>
      <w:r>
        <w:rPr>
          <w:rStyle w:val="FootnoteReference"/>
        </w:rPr>
        <w:footnoteRef/>
      </w:r>
      <w:r>
        <w:rPr>
          <w:lang w:eastAsia="zh-TW"/>
        </w:rPr>
        <w:t xml:space="preserve"> </w:t>
      </w:r>
      <w:r>
        <w:rPr>
          <w:lang w:eastAsia="zh-TW"/>
        </w:rPr>
        <w:tab/>
      </w:r>
      <w:r w:rsidRPr="00BC269C">
        <w:rPr>
          <w:rFonts w:ascii="新細明體" w:eastAsia="新細明體" w:hAnsi="新細明體" w:hint="eastAsia"/>
          <w:lang w:eastAsia="zh-HK"/>
        </w:rPr>
        <w:t>「</w:t>
      </w:r>
      <w:r w:rsidRPr="00BC269C">
        <w:rPr>
          <w:rFonts w:ascii="新細明體" w:eastAsia="新細明體" w:hAnsi="新細明體" w:cs="微軟正黑體" w:hint="eastAsia"/>
          <w:lang w:eastAsia="zh-TW"/>
        </w:rPr>
        <w:t>結算客戶</w:t>
      </w:r>
      <w:r w:rsidRPr="00BC269C">
        <w:rPr>
          <w:rFonts w:ascii="新細明體" w:eastAsia="新細明體" w:hAnsi="新細明體" w:cs="微軟正黑體" w:hint="eastAsia"/>
          <w:lang w:eastAsia="zh-HK"/>
        </w:rPr>
        <w:t>」在此指直</w:t>
      </w:r>
      <w:r w:rsidRPr="00BC269C">
        <w:rPr>
          <w:rFonts w:ascii="新細明體" w:eastAsia="新細明體" w:hAnsi="新細明體" w:cs="微軟正黑體" w:hint="eastAsia"/>
          <w:lang w:eastAsia="zh-TW"/>
        </w:rPr>
        <w:t>接</w:t>
      </w:r>
      <w:r w:rsidRPr="00BC269C">
        <w:rPr>
          <w:rFonts w:ascii="新細明體" w:eastAsia="新細明體" w:hAnsi="新細明體" w:cs="微軟正黑體" w:hint="eastAsia"/>
          <w:lang w:eastAsia="zh-HK"/>
        </w:rPr>
        <w:t>客戶或多層客戶結構內的間接客戶（視何者屬適用而定）。本詞具有</w:t>
      </w:r>
      <w:r w:rsidRPr="00BC269C">
        <w:rPr>
          <w:rFonts w:ascii="新細明體" w:eastAsia="新細明體" w:hAnsi="新細明體" w:cs="微軟正黑體"/>
          <w:lang w:eastAsia="zh-HK"/>
        </w:rPr>
        <w:t>《資本規則》所</w:t>
      </w:r>
      <w:r>
        <w:rPr>
          <w:rFonts w:eastAsia="細明體"/>
          <w:szCs w:val="17"/>
          <w:lang w:eastAsia="zh-TW"/>
        </w:rPr>
        <w:t>賦予</w:t>
      </w:r>
      <w:r w:rsidRPr="00BC269C">
        <w:rPr>
          <w:rFonts w:ascii="新細明體" w:eastAsia="新細明體" w:hAnsi="新細明體" w:cs="微軟正黑體"/>
          <w:lang w:eastAsia="zh-HK"/>
        </w:rPr>
        <w:t>的</w:t>
      </w:r>
      <w:r w:rsidRPr="00BC269C">
        <w:rPr>
          <w:rFonts w:ascii="新細明體" w:eastAsia="新細明體" w:hAnsi="新細明體" w:cs="微軟正黑體" w:hint="eastAsia"/>
          <w:lang w:eastAsia="zh-HK"/>
        </w:rPr>
        <w:t>涵義。</w:t>
      </w:r>
    </w:p>
  </w:footnote>
  <w:footnote w:id="17">
    <w:p w14:paraId="19DEA2F3" w14:textId="77777777" w:rsidR="003C038F" w:rsidRPr="00977FF6" w:rsidRDefault="003C038F" w:rsidP="000D5C9B">
      <w:pPr>
        <w:pStyle w:val="FootnoteText"/>
        <w:tabs>
          <w:tab w:val="left" w:pos="284"/>
        </w:tabs>
        <w:snapToGrid w:val="0"/>
        <w:spacing w:before="0"/>
        <w:ind w:left="0" w:firstLine="0"/>
        <w:rPr>
          <w:szCs w:val="16"/>
          <w:lang w:eastAsia="zh-TW"/>
        </w:rPr>
      </w:pPr>
      <w:r w:rsidRPr="00977FF6">
        <w:rPr>
          <w:rStyle w:val="a"/>
          <w:szCs w:val="16"/>
        </w:rPr>
        <w:footnoteRef/>
      </w:r>
      <w:r w:rsidRPr="00977FF6">
        <w:rPr>
          <w:rFonts w:ascii="新細明體" w:eastAsia="新細明體" w:hAnsi="新細明體" w:hint="eastAsia"/>
          <w:szCs w:val="16"/>
          <w:lang w:eastAsia="zh-TW"/>
        </w:rPr>
        <w:t xml:space="preserve"> </w:t>
      </w:r>
      <w:r>
        <w:rPr>
          <w:rFonts w:ascii="新細明體" w:eastAsia="新細明體" w:hAnsi="新細明體"/>
          <w:szCs w:val="16"/>
          <w:lang w:eastAsia="zh-TW"/>
        </w:rPr>
        <w:tab/>
      </w:r>
      <w:r w:rsidRPr="00977FF6">
        <w:rPr>
          <w:rFonts w:ascii="新細明體" w:eastAsia="新細明體" w:hAnsi="新細明體" w:hint="eastAsia"/>
          <w:szCs w:val="16"/>
          <w:lang w:eastAsia="zh-TW"/>
        </w:rPr>
        <w:t>為清楚起見，「發起人」具有《資本規則》第</w:t>
      </w:r>
      <w:r w:rsidRPr="00977FF6">
        <w:rPr>
          <w:rFonts w:ascii="新細明體" w:eastAsia="新細明體" w:hAnsi="新細明體"/>
          <w:szCs w:val="16"/>
          <w:lang w:eastAsia="zh-TW"/>
        </w:rPr>
        <w:t>7</w:t>
      </w:r>
      <w:r w:rsidRPr="00977FF6">
        <w:rPr>
          <w:rFonts w:ascii="新細明體" w:eastAsia="新細明體" w:hAnsi="新細明體" w:hint="eastAsia"/>
          <w:szCs w:val="16"/>
          <w:lang w:eastAsia="zh-TW"/>
        </w:rPr>
        <w:t>部</w:t>
      </w:r>
      <w:proofErr w:type="gramStart"/>
      <w:r w:rsidRPr="00977FF6">
        <w:rPr>
          <w:rFonts w:ascii="新細明體" w:eastAsia="新細明體" w:hAnsi="新細明體" w:hint="eastAsia"/>
          <w:szCs w:val="16"/>
          <w:lang w:eastAsia="zh-TW"/>
        </w:rPr>
        <w:t>賦予該詞的</w:t>
      </w:r>
      <w:proofErr w:type="gramEnd"/>
      <w:r w:rsidRPr="00977FF6">
        <w:rPr>
          <w:rFonts w:ascii="新細明體" w:eastAsia="新細明體" w:hAnsi="新細明體" w:hint="eastAsia"/>
          <w:szCs w:val="16"/>
          <w:lang w:eastAsia="zh-TW"/>
        </w:rPr>
        <w:t>涵義，並且包括擔任</w:t>
      </w:r>
      <w:r w:rsidRPr="00722213">
        <w:rPr>
          <w:rFonts w:ascii="Calibri" w:eastAsia="細明體" w:hAnsi="Calibri"/>
          <w:sz w:val="17"/>
          <w:szCs w:val="17"/>
          <w:lang w:eastAsia="zh-TW"/>
        </w:rPr>
        <w:t>ABCP</w:t>
      </w:r>
      <w:r w:rsidRPr="00977FF6">
        <w:rPr>
          <w:rFonts w:ascii="新細明體" w:eastAsia="新細明體" w:hAnsi="新細明體" w:hint="eastAsia"/>
          <w:szCs w:val="16"/>
          <w:lang w:eastAsia="zh-TW"/>
        </w:rPr>
        <w:t>計劃或具類似特點的計劃的保薦人。</w:t>
      </w:r>
    </w:p>
  </w:footnote>
  <w:footnote w:id="18">
    <w:p w14:paraId="5E5A2B90" w14:textId="77777777" w:rsidR="003C038F" w:rsidRPr="00977FF6" w:rsidRDefault="003C038F" w:rsidP="005F4B44">
      <w:pPr>
        <w:pStyle w:val="FootnoteText"/>
        <w:tabs>
          <w:tab w:val="left" w:pos="284"/>
        </w:tabs>
        <w:snapToGrid w:val="0"/>
        <w:spacing w:before="0"/>
        <w:ind w:left="0" w:firstLine="0"/>
        <w:rPr>
          <w:szCs w:val="16"/>
          <w:lang w:eastAsia="zh-TW"/>
        </w:rPr>
      </w:pPr>
      <w:r w:rsidRPr="00977FF6">
        <w:rPr>
          <w:rStyle w:val="a"/>
          <w:szCs w:val="16"/>
        </w:rPr>
        <w:footnoteRef/>
      </w:r>
      <w:r w:rsidRPr="00977FF6">
        <w:rPr>
          <w:szCs w:val="16"/>
          <w:lang w:eastAsia="zh-TW"/>
        </w:rPr>
        <w:tab/>
        <w:t>(n)</w:t>
      </w:r>
      <w:r w:rsidRPr="00977FF6">
        <w:rPr>
          <w:rFonts w:ascii="新細明體" w:eastAsia="新細明體" w:hAnsi="新細明體" w:cs="新細明體" w:hint="eastAsia"/>
          <w:szCs w:val="16"/>
          <w:lang w:eastAsia="zh-TW"/>
        </w:rPr>
        <w:t>至</w:t>
      </w:r>
      <w:r w:rsidRPr="00977FF6">
        <w:rPr>
          <w:szCs w:val="16"/>
          <w:lang w:eastAsia="zh-TW"/>
        </w:rPr>
        <w:t>(q)</w:t>
      </w:r>
      <w:r w:rsidRPr="00977FF6">
        <w:rPr>
          <w:rFonts w:ascii="新細明體" w:eastAsia="新細明體" w:hAnsi="新細明體" w:cs="新細明體" w:hint="eastAsia"/>
          <w:szCs w:val="16"/>
          <w:lang w:eastAsia="zh-TW"/>
        </w:rPr>
        <w:t>欄內</w:t>
      </w:r>
      <w:r w:rsidRPr="00977FF6">
        <w:rPr>
          <w:rFonts w:ascii="細明體" w:eastAsia="細明體" w:hAnsi="細明體" w:cs="細明體" w:hint="eastAsia"/>
          <w:szCs w:val="16"/>
          <w:lang w:eastAsia="zh-TW"/>
        </w:rPr>
        <w:t>應用上限後的資本要求將指對優先風險承擔應用風險權重</w:t>
      </w:r>
      <w:r>
        <w:rPr>
          <w:rFonts w:ascii="細明體" w:eastAsia="細明體" w:hAnsi="細明體" w:cs="細明體" w:hint="eastAsia"/>
          <w:szCs w:val="16"/>
          <w:lang w:eastAsia="zh-TW"/>
        </w:rPr>
        <w:t>上限</w:t>
      </w:r>
      <w:r w:rsidRPr="00977FF6">
        <w:rPr>
          <w:rFonts w:ascii="細明體" w:eastAsia="細明體" w:hAnsi="細明體" w:cs="細明體" w:hint="eastAsia"/>
          <w:szCs w:val="16"/>
          <w:lang w:eastAsia="zh-TW"/>
        </w:rPr>
        <w:t>及</w:t>
      </w:r>
      <w:r w:rsidRPr="004476AA">
        <w:rPr>
          <w:rFonts w:ascii="細明體" w:eastAsia="細明體" w:hAnsi="細明體" w:cs="細明體" w:hint="eastAsia"/>
          <w:szCs w:val="16"/>
          <w:lang w:eastAsia="zh-TW"/>
        </w:rPr>
        <w:t>《資本規則》第</w:t>
      </w:r>
      <w:r w:rsidRPr="004476AA">
        <w:rPr>
          <w:rFonts w:ascii="細明體" w:eastAsia="細明體" w:hAnsi="細明體" w:cs="細明體"/>
          <w:szCs w:val="16"/>
          <w:lang w:eastAsia="zh-TW"/>
        </w:rPr>
        <w:t>7</w:t>
      </w:r>
      <w:r w:rsidRPr="004476AA">
        <w:rPr>
          <w:rFonts w:ascii="細明體" w:eastAsia="細明體" w:hAnsi="細明體" w:cs="細明體" w:hint="eastAsia"/>
          <w:szCs w:val="16"/>
          <w:lang w:eastAsia="zh-TW"/>
        </w:rPr>
        <w:t>部</w:t>
      </w:r>
      <w:r w:rsidRPr="00977FF6">
        <w:rPr>
          <w:rFonts w:ascii="細明體" w:eastAsia="細明體" w:hAnsi="細明體" w:cs="細明體" w:hint="eastAsia"/>
          <w:szCs w:val="16"/>
          <w:lang w:eastAsia="zh-TW"/>
        </w:rPr>
        <w:t>最高資本要求後的資本要求。</w:t>
      </w:r>
    </w:p>
  </w:footnote>
  <w:footnote w:id="19">
    <w:p w14:paraId="44461398" w14:textId="77777777" w:rsidR="003C038F" w:rsidRPr="00977FF6" w:rsidRDefault="003C038F" w:rsidP="005F4B44">
      <w:pPr>
        <w:pStyle w:val="FootnoteText"/>
        <w:tabs>
          <w:tab w:val="left" w:pos="284"/>
        </w:tabs>
        <w:snapToGrid w:val="0"/>
        <w:spacing w:before="0"/>
        <w:ind w:left="0" w:firstLine="0"/>
        <w:rPr>
          <w:szCs w:val="16"/>
          <w:lang w:eastAsia="zh-TW"/>
        </w:rPr>
      </w:pPr>
      <w:r w:rsidRPr="00977FF6">
        <w:rPr>
          <w:rStyle w:val="FootnoteReference"/>
          <w:szCs w:val="16"/>
        </w:rPr>
        <w:footnoteRef/>
      </w:r>
      <w:r w:rsidRPr="00977FF6">
        <w:rPr>
          <w:rFonts w:ascii="細明體" w:eastAsia="細明體" w:hAnsi="細明體" w:cs="細明體"/>
          <w:szCs w:val="16"/>
          <w:lang w:eastAsia="zh-TW"/>
        </w:rPr>
        <w:t xml:space="preserve"> </w:t>
      </w:r>
      <w:r>
        <w:rPr>
          <w:rFonts w:ascii="細明體" w:eastAsia="細明體" w:hAnsi="細明體" w:cs="細明體"/>
          <w:szCs w:val="16"/>
          <w:lang w:eastAsia="zh-TW"/>
        </w:rPr>
        <w:tab/>
      </w:r>
      <w:r w:rsidRPr="00977FF6">
        <w:rPr>
          <w:szCs w:val="16"/>
          <w:lang w:eastAsia="zh-TW"/>
        </w:rPr>
        <w:t>(n)</w:t>
      </w:r>
      <w:r w:rsidRPr="00977FF6">
        <w:rPr>
          <w:rFonts w:ascii="細明體" w:eastAsia="細明體" w:hAnsi="細明體" w:cs="細明體" w:hint="eastAsia"/>
          <w:szCs w:val="16"/>
          <w:lang w:eastAsia="zh-TW"/>
        </w:rPr>
        <w:t>至</w:t>
      </w:r>
      <w:r w:rsidRPr="00977FF6">
        <w:rPr>
          <w:szCs w:val="16"/>
          <w:lang w:eastAsia="zh-TW"/>
        </w:rPr>
        <w:t>(q)</w:t>
      </w:r>
      <w:r w:rsidRPr="00977FF6">
        <w:rPr>
          <w:rFonts w:ascii="細明體" w:eastAsia="細明體" w:hAnsi="細明體" w:cs="細明體" w:hint="eastAsia"/>
          <w:szCs w:val="16"/>
          <w:lang w:eastAsia="zh-TW"/>
        </w:rPr>
        <w:t>欄內應用上限後的資本要求將指對優先風險承擔應用風險權重</w:t>
      </w:r>
      <w:r>
        <w:rPr>
          <w:rFonts w:ascii="細明體" w:eastAsia="細明體" w:hAnsi="細明體" w:cs="細明體" w:hint="eastAsia"/>
          <w:szCs w:val="16"/>
          <w:lang w:eastAsia="zh-TW"/>
        </w:rPr>
        <w:t>上限</w:t>
      </w:r>
      <w:r w:rsidRPr="00977FF6">
        <w:rPr>
          <w:rFonts w:ascii="細明體" w:eastAsia="細明體" w:hAnsi="細明體" w:cs="細明體" w:hint="eastAsia"/>
          <w:szCs w:val="16"/>
          <w:lang w:eastAsia="zh-TW"/>
        </w:rPr>
        <w:t>及</w:t>
      </w:r>
      <w:r w:rsidRPr="004476AA">
        <w:rPr>
          <w:rFonts w:ascii="細明體" w:eastAsia="細明體" w:hAnsi="細明體" w:cs="細明體" w:hint="eastAsia"/>
          <w:szCs w:val="16"/>
          <w:lang w:eastAsia="zh-TW"/>
        </w:rPr>
        <w:t>《資本規則》第</w:t>
      </w:r>
      <w:r w:rsidRPr="00623B1C">
        <w:rPr>
          <w:rFonts w:eastAsia="細明體" w:cs="Segoe UI"/>
          <w:szCs w:val="16"/>
          <w:lang w:eastAsia="zh-TW"/>
        </w:rPr>
        <w:t>7</w:t>
      </w:r>
      <w:r w:rsidRPr="004476AA">
        <w:rPr>
          <w:rFonts w:ascii="細明體" w:eastAsia="細明體" w:hAnsi="細明體" w:cs="細明體" w:hint="eastAsia"/>
          <w:szCs w:val="16"/>
          <w:lang w:eastAsia="zh-TW"/>
        </w:rPr>
        <w:t>部</w:t>
      </w:r>
      <w:r w:rsidRPr="00977FF6">
        <w:rPr>
          <w:rFonts w:ascii="細明體" w:eastAsia="細明體" w:hAnsi="細明體" w:cs="細明體" w:hint="eastAsia"/>
          <w:szCs w:val="16"/>
          <w:lang w:eastAsia="zh-TW"/>
        </w:rPr>
        <w:t>最高資本</w:t>
      </w:r>
      <w:r>
        <w:rPr>
          <w:rFonts w:ascii="細明體" w:eastAsia="細明體" w:hAnsi="細明體" w:cs="細明體" w:hint="eastAsia"/>
          <w:szCs w:val="16"/>
          <w:lang w:eastAsia="zh-TW"/>
        </w:rPr>
        <w:t>要求</w:t>
      </w:r>
      <w:r w:rsidRPr="00977FF6">
        <w:rPr>
          <w:rFonts w:ascii="細明體" w:eastAsia="細明體" w:hAnsi="細明體" w:cs="細明體" w:hint="eastAsia"/>
          <w:szCs w:val="16"/>
          <w:lang w:eastAsia="zh-TW"/>
        </w:rPr>
        <w:t>後的資本要求。</w:t>
      </w:r>
    </w:p>
  </w:footnote>
  <w:footnote w:id="20">
    <w:p w14:paraId="4C4E8D4C" w14:textId="38E0A11F" w:rsidR="003C038F" w:rsidRPr="006854AC" w:rsidRDefault="003C038F" w:rsidP="001F3160">
      <w:pPr>
        <w:pStyle w:val="FootnoteText"/>
        <w:tabs>
          <w:tab w:val="clear" w:pos="397"/>
          <w:tab w:val="left" w:pos="0"/>
        </w:tabs>
        <w:snapToGrid w:val="0"/>
        <w:spacing w:before="0"/>
        <w:ind w:leftChars="-142" w:left="-284" w:firstLine="0"/>
        <w:rPr>
          <w:rFonts w:ascii="微軟正黑體" w:eastAsia="微軟正黑體" w:hAnsi="微軟正黑體" w:cs="微軟正黑體"/>
          <w:lang w:eastAsia="zh-TW"/>
        </w:rPr>
      </w:pPr>
      <w:r w:rsidRPr="006854AC">
        <w:rPr>
          <w:rStyle w:val="FootnoteReference"/>
        </w:rPr>
        <w:footnoteRef/>
      </w:r>
      <w:r w:rsidRPr="006854AC">
        <w:rPr>
          <w:lang w:eastAsia="zh-TW"/>
        </w:rPr>
        <w:t xml:space="preserve"> </w:t>
      </w:r>
      <w:r w:rsidRPr="006854AC">
        <w:rPr>
          <w:lang w:eastAsia="zh-TW"/>
        </w:rPr>
        <w:tab/>
      </w:r>
      <w:r w:rsidRPr="006854AC">
        <w:rPr>
          <w:rFonts w:eastAsiaTheme="minorEastAsia" w:cs="Segoe UI"/>
          <w:lang w:eastAsia="zh-HK"/>
        </w:rPr>
        <w:t>就</w:t>
      </w:r>
      <w:r w:rsidRPr="006854AC">
        <w:rPr>
          <w:rFonts w:eastAsiaTheme="minorEastAsia" w:cs="Segoe UI"/>
          <w:lang w:eastAsia="zh-TW"/>
        </w:rPr>
        <w:t>金管局關於加密資產風險承擔的流動性處理</w:t>
      </w:r>
      <w:r w:rsidRPr="006854AC">
        <w:rPr>
          <w:rFonts w:eastAsiaTheme="minorEastAsia" w:cs="Segoe UI"/>
          <w:lang w:eastAsia="zh-HK"/>
        </w:rPr>
        <w:t>方法</w:t>
      </w:r>
      <w:r w:rsidRPr="006854AC">
        <w:rPr>
          <w:rFonts w:eastAsiaTheme="minorEastAsia" w:cs="Segoe UI"/>
          <w:lang w:eastAsia="zh-TW"/>
        </w:rPr>
        <w:t>的指引</w:t>
      </w:r>
      <w:r w:rsidRPr="006854AC">
        <w:rPr>
          <w:rFonts w:eastAsiaTheme="minorEastAsia" w:cs="Segoe UI"/>
          <w:lang w:eastAsia="zh-HK"/>
        </w:rPr>
        <w:t>，</w:t>
      </w:r>
      <w:r w:rsidRPr="006854AC">
        <w:rPr>
          <w:rFonts w:eastAsiaTheme="minorEastAsia" w:cs="Segoe UI"/>
          <w:lang w:eastAsia="zh-TW"/>
        </w:rPr>
        <w:t>認可機構亦應參閱《監管政策手冊》單元</w:t>
      </w:r>
      <w:r w:rsidRPr="006854AC">
        <w:rPr>
          <w:rFonts w:eastAsiaTheme="minorEastAsia" w:cs="Segoe UI"/>
          <w:lang w:eastAsia="zh-TW"/>
        </w:rPr>
        <w:t>LM-1</w:t>
      </w:r>
      <w:r w:rsidRPr="006854AC">
        <w:rPr>
          <w:rFonts w:eastAsiaTheme="minorEastAsia" w:cs="Segoe UI"/>
          <w:lang w:eastAsia="zh-TW"/>
        </w:rPr>
        <w:t>「流動性風險監管制度」附件</w:t>
      </w:r>
      <w:r w:rsidRPr="006854AC">
        <w:rPr>
          <w:rFonts w:eastAsiaTheme="minorEastAsia" w:cs="Segoe UI"/>
          <w:lang w:eastAsia="zh-TW"/>
        </w:rPr>
        <w:t>3</w:t>
      </w:r>
      <w:r w:rsidR="0089597F" w:rsidRPr="006854AC">
        <w:rPr>
          <w:rFonts w:eastAsiaTheme="minorEastAsia" w:cs="Segoe UI"/>
          <w:lang w:eastAsia="zh-HK"/>
        </w:rPr>
        <w:t>，</w:t>
      </w:r>
      <w:r w:rsidR="0089597F" w:rsidRPr="006854AC">
        <w:rPr>
          <w:rFonts w:eastAsiaTheme="minorEastAsia" w:cs="Segoe UI"/>
          <w:lang w:eastAsia="zh-TW"/>
        </w:rPr>
        <w:t>特別是關於將加密資產認可為</w:t>
      </w:r>
      <w:r w:rsidR="004E4894" w:rsidRPr="006854AC">
        <w:rPr>
          <w:rFonts w:eastAsiaTheme="minorEastAsia" w:cs="Segoe UI" w:hint="eastAsia"/>
          <w:lang w:eastAsia="zh-TW"/>
        </w:rPr>
        <w:t>HQLA</w:t>
      </w:r>
      <w:r w:rsidR="0089597F" w:rsidRPr="006854AC">
        <w:rPr>
          <w:rFonts w:eastAsiaTheme="minorEastAsia" w:cs="Segoe UI"/>
          <w:lang w:eastAsia="zh-TW"/>
        </w:rPr>
        <w:t>的準則（第</w:t>
      </w:r>
      <w:r w:rsidR="0089597F" w:rsidRPr="006854AC">
        <w:rPr>
          <w:rFonts w:eastAsiaTheme="minorEastAsia" w:cs="Segoe UI"/>
          <w:lang w:eastAsia="zh-TW"/>
        </w:rPr>
        <w:t>1</w:t>
      </w:r>
      <w:r w:rsidR="0089597F" w:rsidRPr="006854AC">
        <w:rPr>
          <w:rFonts w:eastAsiaTheme="minorEastAsia" w:cs="Segoe UI"/>
          <w:lang w:eastAsia="zh-TW"/>
        </w:rPr>
        <w:t>段）及其他主要的</w:t>
      </w:r>
      <w:r w:rsidR="004E4894" w:rsidRPr="006854AC">
        <w:rPr>
          <w:rFonts w:eastAsiaTheme="minorEastAsia" w:cs="Segoe UI" w:hint="eastAsia"/>
          <w:lang w:eastAsia="zh-TW"/>
        </w:rPr>
        <w:t>LCR</w:t>
      </w:r>
      <w:r w:rsidR="004E4894" w:rsidRPr="006854AC">
        <w:rPr>
          <w:rFonts w:eastAsiaTheme="minorEastAsia" w:cs="Segoe UI" w:hint="eastAsia"/>
          <w:lang w:eastAsia="zh-TW"/>
        </w:rPr>
        <w:t>和</w:t>
      </w:r>
      <w:r w:rsidR="004E4894" w:rsidRPr="006854AC">
        <w:rPr>
          <w:rFonts w:eastAsiaTheme="minorEastAsia" w:cs="Segoe UI" w:hint="eastAsia"/>
          <w:lang w:eastAsia="zh-TW"/>
        </w:rPr>
        <w:t>NSFR</w:t>
      </w:r>
      <w:r w:rsidR="0089597F" w:rsidRPr="006854AC">
        <w:rPr>
          <w:rFonts w:eastAsiaTheme="minorEastAsia" w:cs="Segoe UI"/>
          <w:lang w:eastAsia="zh-TW"/>
        </w:rPr>
        <w:t>處理方法（第</w:t>
      </w:r>
      <w:r w:rsidR="0089597F" w:rsidRPr="006854AC">
        <w:rPr>
          <w:rFonts w:eastAsiaTheme="minorEastAsia" w:cs="Segoe UI"/>
          <w:lang w:eastAsia="zh-TW"/>
        </w:rPr>
        <w:t>2</w:t>
      </w:r>
      <w:r w:rsidR="0089597F" w:rsidRPr="006854AC">
        <w:rPr>
          <w:rFonts w:eastAsiaTheme="minorEastAsia" w:cs="Segoe UI"/>
          <w:lang w:eastAsia="zh-TW"/>
        </w:rPr>
        <w:t>至</w:t>
      </w:r>
      <w:r w:rsidR="0089597F" w:rsidRPr="006854AC">
        <w:rPr>
          <w:rFonts w:eastAsiaTheme="minorEastAsia" w:cs="Segoe UI"/>
          <w:lang w:eastAsia="zh-TW"/>
        </w:rPr>
        <w:t>10</w:t>
      </w:r>
      <w:r w:rsidR="0089597F" w:rsidRPr="006854AC">
        <w:rPr>
          <w:rFonts w:eastAsiaTheme="minorEastAsia" w:cs="Segoe UI"/>
          <w:lang w:eastAsia="zh-TW"/>
        </w:rPr>
        <w:t>段）</w:t>
      </w:r>
      <w:r w:rsidRPr="006854AC">
        <w:rPr>
          <w:rFonts w:eastAsiaTheme="minorEastAsia" w:cs="Segoe UI"/>
          <w:lang w:eastAsia="zh-TW"/>
        </w:rPr>
        <w:t>。</w:t>
      </w:r>
    </w:p>
    <w:p w14:paraId="7C8F6B0E" w14:textId="77777777" w:rsidR="003C038F" w:rsidRPr="00B42154" w:rsidRDefault="003C038F" w:rsidP="00DA1457">
      <w:pPr>
        <w:pStyle w:val="FootnoteText"/>
        <w:widowControl w:val="0"/>
        <w:tabs>
          <w:tab w:val="clear" w:pos="397"/>
          <w:tab w:val="left" w:pos="284"/>
        </w:tabs>
        <w:snapToGrid w:val="0"/>
        <w:spacing w:before="0"/>
        <w:ind w:left="1" w:firstLine="0"/>
        <w:rPr>
          <w:u w:val="single"/>
          <w:lang w:eastAsia="zh-T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E104" w14:textId="77777777" w:rsidR="00DD7625" w:rsidRDefault="00DD76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3DB0" w14:textId="77777777" w:rsidR="003C038F" w:rsidRDefault="003C03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580B" w14:textId="77777777" w:rsidR="003C038F" w:rsidRDefault="003C03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70D3" w14:textId="77777777" w:rsidR="003C038F" w:rsidRDefault="003C03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3554" w14:textId="77777777" w:rsidR="003C038F" w:rsidRDefault="003C03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636B" w14:textId="77777777" w:rsidR="003C038F" w:rsidRDefault="003C03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EB9B" w14:textId="77777777" w:rsidR="003C038F" w:rsidRDefault="003C03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8EC2" w14:textId="77777777" w:rsidR="003C038F" w:rsidRDefault="003C03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716D" w14:textId="77777777" w:rsidR="003C038F" w:rsidRDefault="003C038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1E54" w14:textId="77777777" w:rsidR="003C038F" w:rsidRDefault="003C038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2480" w14:textId="77777777" w:rsidR="003C038F" w:rsidRDefault="003C0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1325" w14:textId="77777777" w:rsidR="00DD7625" w:rsidRDefault="00DD762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D4C7" w14:textId="77777777" w:rsidR="003C038F" w:rsidRDefault="003C038F" w:rsidP="005171C5">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3DEC" w14:textId="77777777" w:rsidR="003C038F" w:rsidRDefault="003C038F" w:rsidP="005171C5">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8615" w14:textId="77777777" w:rsidR="003C038F" w:rsidRDefault="003C038F" w:rsidP="005171C5">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DCA3" w14:textId="77777777" w:rsidR="003C038F" w:rsidRDefault="003C038F" w:rsidP="005171C5">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6577" w14:textId="77777777" w:rsidR="003C038F" w:rsidRDefault="003C038F" w:rsidP="005171C5">
    <w:pPr>
      <w:pStyle w:val="Heade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631B" w14:textId="77777777" w:rsidR="003C038F" w:rsidRDefault="003C038F" w:rsidP="005171C5">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D1FE" w14:textId="77777777" w:rsidR="003C038F" w:rsidRDefault="003C038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0337" w14:textId="77777777" w:rsidR="003C038F" w:rsidRDefault="003C038F" w:rsidP="005171C5">
    <w:pPr>
      <w:pStyle w:val="Header"/>
      <w:jc w:val="righ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908E" w14:textId="77777777" w:rsidR="003C038F" w:rsidRDefault="003C038F" w:rsidP="005171C5">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27A2" w14:textId="77777777" w:rsidR="003C038F" w:rsidRDefault="003C038F" w:rsidP="005F4B4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86ED" w14:textId="77777777" w:rsidR="00DD7625" w:rsidRDefault="00DD762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CE88" w14:textId="77777777" w:rsidR="003C038F" w:rsidRDefault="003C038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C101" w14:textId="77777777" w:rsidR="003C038F" w:rsidRDefault="003C038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2095" w14:textId="77777777" w:rsidR="003C038F" w:rsidRDefault="003C038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5CC3" w14:textId="77777777" w:rsidR="003C038F" w:rsidRDefault="003C038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2DB5" w14:textId="77777777" w:rsidR="003C038F" w:rsidRDefault="003C03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175C" w14:textId="77777777" w:rsidR="003C038F" w:rsidRDefault="003C03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DEF2" w14:textId="77777777" w:rsidR="003C038F" w:rsidRDefault="003C03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D255" w14:textId="77777777" w:rsidR="003C038F" w:rsidRDefault="003C03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0F1E" w14:textId="77777777" w:rsidR="003C038F" w:rsidRDefault="003C03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00CD" w14:textId="77777777" w:rsidR="003C038F" w:rsidRDefault="003C03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33B0" w14:textId="77777777" w:rsidR="003C038F" w:rsidRDefault="003C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6CF1E6"/>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Roman"/>
      <w:lvlText w:val="(%1)"/>
      <w:lvlJc w:val="left"/>
      <w:pPr>
        <w:tabs>
          <w:tab w:val="num" w:pos="0"/>
        </w:tabs>
        <w:ind w:left="720" w:hanging="720"/>
      </w:pPr>
      <w:rPr>
        <w:rFonts w:eastAsia="細明體" w:cs="Segoe UI" w:hint="default"/>
        <w:lang w:val="en-GB"/>
      </w:rPr>
    </w:lvl>
  </w:abstractNum>
  <w:abstractNum w:abstractNumId="3" w15:restartNumberingAfterBreak="0">
    <w:nsid w:val="00000003"/>
    <w:multiLevelType w:val="singleLevel"/>
    <w:tmpl w:val="00000003"/>
    <w:name w:val="WW8Num3"/>
    <w:lvl w:ilvl="0">
      <w:start w:val="1"/>
      <w:numFmt w:val="lowerRoman"/>
      <w:lvlText w:val="(%1)"/>
      <w:lvlJc w:val="left"/>
      <w:pPr>
        <w:tabs>
          <w:tab w:val="num" w:pos="0"/>
        </w:tabs>
        <w:ind w:left="480" w:hanging="480"/>
      </w:pPr>
      <w:rPr>
        <w:rFonts w:eastAsia="細明體" w:cs="Segoe UI" w:hint="default"/>
      </w:rPr>
    </w:lvl>
  </w:abstractNum>
  <w:abstractNum w:abstractNumId="4" w15:restartNumberingAfterBreak="0">
    <w:nsid w:val="00000004"/>
    <w:multiLevelType w:val="singleLevel"/>
    <w:tmpl w:val="00000004"/>
    <w:name w:val="WW8Num4"/>
    <w:lvl w:ilvl="0">
      <w:start w:val="1"/>
      <w:numFmt w:val="lowerRoman"/>
      <w:lvlText w:val="(%1)"/>
      <w:lvlJc w:val="left"/>
      <w:pPr>
        <w:tabs>
          <w:tab w:val="num" w:pos="0"/>
        </w:tabs>
        <w:ind w:left="480" w:hanging="480"/>
      </w:pPr>
      <w:rPr>
        <w:rFonts w:eastAsia="細明體" w:cs="Segoe UI" w:hint="eastAsia"/>
      </w:rPr>
    </w:lvl>
  </w:abstractNum>
  <w:abstractNum w:abstractNumId="5" w15:restartNumberingAfterBreak="0">
    <w:nsid w:val="00000005"/>
    <w:multiLevelType w:val="singleLevel"/>
    <w:tmpl w:val="00000005"/>
    <w:name w:val="WW8Num5"/>
    <w:lvl w:ilvl="0">
      <w:start w:val="1"/>
      <w:numFmt w:val="lowerRoman"/>
      <w:lvlText w:val="(%1)"/>
      <w:lvlJc w:val="left"/>
      <w:pPr>
        <w:tabs>
          <w:tab w:val="num" w:pos="0"/>
        </w:tabs>
        <w:ind w:left="480" w:hanging="480"/>
      </w:pPr>
      <w:rPr>
        <w:rFonts w:eastAsia="細明體" w:cs="Segoe UI" w:hint="eastAsia"/>
      </w:rPr>
    </w:lvl>
  </w:abstractNum>
  <w:abstractNum w:abstractNumId="6" w15:restartNumberingAfterBreak="0">
    <w:nsid w:val="00000006"/>
    <w:multiLevelType w:val="singleLevel"/>
    <w:tmpl w:val="00000006"/>
    <w:name w:val="WW8Num6"/>
    <w:lvl w:ilvl="0">
      <w:start w:val="1"/>
      <w:numFmt w:val="lowerRoman"/>
      <w:lvlText w:val="(%1)"/>
      <w:lvlJc w:val="left"/>
      <w:pPr>
        <w:tabs>
          <w:tab w:val="num" w:pos="0"/>
        </w:tabs>
        <w:ind w:left="720" w:hanging="720"/>
      </w:pPr>
      <w:rPr>
        <w:rFonts w:eastAsia="細明體" w:cs="Segoe UI" w:hint="eastAsia"/>
        <w:sz w:val="17"/>
        <w:szCs w:val="17"/>
      </w:rPr>
    </w:lvl>
  </w:abstractNum>
  <w:abstractNum w:abstractNumId="7" w15:restartNumberingAfterBreak="0">
    <w:nsid w:val="00000007"/>
    <w:multiLevelType w:val="singleLevel"/>
    <w:tmpl w:val="00000007"/>
    <w:name w:val="WW8Num7"/>
    <w:lvl w:ilvl="0">
      <w:start w:val="1"/>
      <w:numFmt w:val="upperRoman"/>
      <w:lvlText w:val="%1."/>
      <w:lvlJc w:val="left"/>
      <w:pPr>
        <w:tabs>
          <w:tab w:val="num" w:pos="0"/>
        </w:tabs>
        <w:ind w:left="720" w:hanging="720"/>
      </w:pPr>
      <w:rPr>
        <w:rFonts w:eastAsia="細明體" w:cs="Segoe UI" w:hint="default"/>
        <w:b/>
        <w:sz w:val="17"/>
      </w:rPr>
    </w:lvl>
  </w:abstractNum>
  <w:abstractNum w:abstractNumId="8" w15:restartNumberingAfterBreak="0">
    <w:nsid w:val="00000008"/>
    <w:multiLevelType w:val="singleLevel"/>
    <w:tmpl w:val="00000008"/>
    <w:name w:val="WW8Num8"/>
    <w:lvl w:ilvl="0">
      <w:start w:val="1"/>
      <w:numFmt w:val="lowerRoman"/>
      <w:lvlText w:val="(%1)"/>
      <w:lvlJc w:val="left"/>
      <w:pPr>
        <w:tabs>
          <w:tab w:val="num" w:pos="0"/>
        </w:tabs>
        <w:ind w:left="480" w:hanging="480"/>
      </w:pPr>
      <w:rPr>
        <w:rFonts w:ascii="Wingdings" w:hAnsi="Wingdings" w:cs="Wingdings" w:hint="default"/>
      </w:rPr>
    </w:lvl>
  </w:abstractNum>
  <w:abstractNum w:abstractNumId="9" w15:restartNumberingAfterBreak="0">
    <w:nsid w:val="00000009"/>
    <w:multiLevelType w:val="singleLevel"/>
    <w:tmpl w:val="00000009"/>
    <w:name w:val="WW8Num9"/>
    <w:lvl w:ilvl="0">
      <w:start w:val="1"/>
      <w:numFmt w:val="lowerRoman"/>
      <w:lvlText w:val="(%1)"/>
      <w:lvlJc w:val="left"/>
      <w:pPr>
        <w:tabs>
          <w:tab w:val="num" w:pos="0"/>
        </w:tabs>
        <w:ind w:left="480" w:hanging="480"/>
      </w:pPr>
      <w:rPr>
        <w:rFonts w:eastAsia="細明體" w:cs="Segoe UI" w:hint="default"/>
        <w:b/>
        <w:sz w:val="17"/>
        <w:szCs w:val="17"/>
      </w:rPr>
    </w:lvl>
  </w:abstractNum>
  <w:abstractNum w:abstractNumId="10" w15:restartNumberingAfterBreak="0">
    <w:nsid w:val="0000000A"/>
    <w:multiLevelType w:val="singleLevel"/>
    <w:tmpl w:val="0000000A"/>
    <w:name w:val="WW8Num10"/>
    <w:lvl w:ilvl="0">
      <w:start w:val="1"/>
      <w:numFmt w:val="lowerRoman"/>
      <w:lvlText w:val="(%1)"/>
      <w:lvlJc w:val="left"/>
      <w:pPr>
        <w:tabs>
          <w:tab w:val="num" w:pos="0"/>
        </w:tabs>
        <w:ind w:left="1120" w:hanging="720"/>
      </w:pPr>
      <w:rPr>
        <w:rFonts w:eastAsia="細明體" w:hint="default"/>
        <w:sz w:val="17"/>
        <w:lang w:val="en-GB"/>
      </w:rPr>
    </w:lvl>
  </w:abstractNum>
  <w:abstractNum w:abstractNumId="11" w15:restartNumberingAfterBreak="0">
    <w:nsid w:val="0000000B"/>
    <w:multiLevelType w:val="singleLevel"/>
    <w:tmpl w:val="0000000B"/>
    <w:name w:val="WW8Num11"/>
    <w:lvl w:ilvl="0">
      <w:start w:val="1"/>
      <w:numFmt w:val="lowerRoman"/>
      <w:lvlText w:val="(%1)"/>
      <w:lvlJc w:val="left"/>
      <w:pPr>
        <w:tabs>
          <w:tab w:val="num" w:pos="0"/>
        </w:tabs>
        <w:ind w:left="480" w:hanging="480"/>
      </w:pPr>
      <w:rPr>
        <w:rFonts w:eastAsia="細明體" w:cs="Segoe UI" w:hint="eastAsia"/>
      </w:rPr>
    </w:lvl>
  </w:abstractNum>
  <w:abstractNum w:abstractNumId="12" w15:restartNumberingAfterBreak="0">
    <w:nsid w:val="0000000C"/>
    <w:multiLevelType w:val="singleLevel"/>
    <w:tmpl w:val="6A84C6D6"/>
    <w:name w:val="WW8Num12"/>
    <w:lvl w:ilvl="0">
      <w:start w:val="1"/>
      <w:numFmt w:val="upperRoman"/>
      <w:lvlText w:val="%1."/>
      <w:lvlJc w:val="left"/>
      <w:pPr>
        <w:tabs>
          <w:tab w:val="num" w:pos="0"/>
        </w:tabs>
        <w:ind w:left="154" w:hanging="720"/>
      </w:pPr>
      <w:rPr>
        <w:rFonts w:eastAsia="細明體" w:cs="Segoe UI" w:hint="eastAsia"/>
        <w:sz w:val="24"/>
        <w:szCs w:val="17"/>
      </w:rPr>
    </w:lvl>
  </w:abstractNum>
  <w:abstractNum w:abstractNumId="13" w15:restartNumberingAfterBreak="0">
    <w:nsid w:val="0000000D"/>
    <w:multiLevelType w:val="singleLevel"/>
    <w:tmpl w:val="0000000D"/>
    <w:name w:val="WW8Num13"/>
    <w:lvl w:ilvl="0">
      <w:start w:val="1"/>
      <w:numFmt w:val="lowerRoman"/>
      <w:lvlText w:val="(%1)"/>
      <w:lvlJc w:val="left"/>
      <w:pPr>
        <w:tabs>
          <w:tab w:val="num" w:pos="0"/>
        </w:tabs>
        <w:ind w:left="480" w:hanging="480"/>
      </w:pPr>
      <w:rPr>
        <w:rFonts w:eastAsia="新細明體" w:cs="Segoe UI" w:hint="default"/>
        <w:color w:val="000000"/>
      </w:rPr>
    </w:lvl>
  </w:abstractNum>
  <w:abstractNum w:abstractNumId="14" w15:restartNumberingAfterBreak="0">
    <w:nsid w:val="0000000E"/>
    <w:multiLevelType w:val="singleLevel"/>
    <w:tmpl w:val="0000000E"/>
    <w:name w:val="WW8Num14"/>
    <w:lvl w:ilvl="0">
      <w:start w:val="1"/>
      <w:numFmt w:val="lowerRoman"/>
      <w:lvlText w:val="(%1)"/>
      <w:lvlJc w:val="left"/>
      <w:pPr>
        <w:tabs>
          <w:tab w:val="num" w:pos="0"/>
        </w:tabs>
        <w:ind w:left="724" w:hanging="720"/>
      </w:pPr>
      <w:rPr>
        <w:rFonts w:eastAsia="細明體" w:cs="Segoe UI" w:hint="eastAsia"/>
        <w:color w:val="000000"/>
        <w:sz w:val="17"/>
        <w:szCs w:val="17"/>
      </w:rPr>
    </w:lvl>
  </w:abstractNum>
  <w:abstractNum w:abstractNumId="15" w15:restartNumberingAfterBreak="0">
    <w:nsid w:val="0000000F"/>
    <w:multiLevelType w:val="singleLevel"/>
    <w:tmpl w:val="0000000F"/>
    <w:name w:val="WW8Num15"/>
    <w:lvl w:ilvl="0">
      <w:start w:val="1"/>
      <w:numFmt w:val="lowerRoman"/>
      <w:lvlText w:val="(%1)"/>
      <w:lvlJc w:val="left"/>
      <w:pPr>
        <w:tabs>
          <w:tab w:val="num" w:pos="0"/>
        </w:tabs>
        <w:ind w:left="480" w:hanging="480"/>
      </w:pPr>
      <w:rPr>
        <w:rFonts w:ascii="Wingdings" w:eastAsia="細明體" w:hAnsi="Wingdings" w:cs="Wingdings" w:hint="default"/>
        <w:lang w:val="en-GB"/>
      </w:rPr>
    </w:lvl>
  </w:abstractNum>
  <w:abstractNum w:abstractNumId="16" w15:restartNumberingAfterBreak="0">
    <w:nsid w:val="00000010"/>
    <w:multiLevelType w:val="singleLevel"/>
    <w:tmpl w:val="00000010"/>
    <w:name w:val="WW8Num16"/>
    <w:lvl w:ilvl="0">
      <w:start w:val="1"/>
      <w:numFmt w:val="lowerRoman"/>
      <w:lvlText w:val="(%1)"/>
      <w:lvlJc w:val="left"/>
      <w:pPr>
        <w:tabs>
          <w:tab w:val="num" w:pos="0"/>
        </w:tabs>
        <w:ind w:left="720" w:hanging="720"/>
      </w:pPr>
      <w:rPr>
        <w:rFonts w:ascii="Wingdings" w:eastAsia="細明體" w:hAnsi="Wingdings" w:cs="Wingdings" w:hint="default"/>
        <w:sz w:val="17"/>
        <w:szCs w:val="17"/>
      </w:rPr>
    </w:lvl>
  </w:abstractNum>
  <w:abstractNum w:abstractNumId="17" w15:restartNumberingAfterBreak="0">
    <w:nsid w:val="00000011"/>
    <w:multiLevelType w:val="singleLevel"/>
    <w:tmpl w:val="00000011"/>
    <w:name w:val="WW8Num17"/>
    <w:lvl w:ilvl="0">
      <w:start w:val="1"/>
      <w:numFmt w:val="lowerLetter"/>
      <w:lvlText w:val="(%1)"/>
      <w:lvlJc w:val="left"/>
      <w:pPr>
        <w:tabs>
          <w:tab w:val="num" w:pos="0"/>
        </w:tabs>
        <w:ind w:left="360" w:hanging="360"/>
      </w:pPr>
      <w:rPr>
        <w:rFonts w:ascii="Wingdings" w:eastAsia="細明體" w:hAnsi="Wingdings" w:cs="Wingdings" w:hint="default"/>
        <w:sz w:val="17"/>
        <w:szCs w:val="17"/>
      </w:rPr>
    </w:lvl>
  </w:abstractNum>
  <w:abstractNum w:abstractNumId="18" w15:restartNumberingAfterBreak="0">
    <w:nsid w:val="00000012"/>
    <w:multiLevelType w:val="singleLevel"/>
    <w:tmpl w:val="00000012"/>
    <w:name w:val="WW8Num18"/>
    <w:lvl w:ilvl="0">
      <w:start w:val="1"/>
      <w:numFmt w:val="bullet"/>
      <w:lvlText w:val=""/>
      <w:lvlJc w:val="left"/>
      <w:pPr>
        <w:tabs>
          <w:tab w:val="num" w:pos="0"/>
        </w:tabs>
        <w:ind w:left="572" w:hanging="480"/>
      </w:pPr>
      <w:rPr>
        <w:rFonts w:ascii="Wingdings" w:hAnsi="Wingdings" w:cs="Segoe UI" w:hint="default"/>
        <w:sz w:val="17"/>
        <w:szCs w:val="17"/>
      </w:rPr>
    </w:lvl>
  </w:abstractNum>
  <w:abstractNum w:abstractNumId="19" w15:restartNumberingAfterBreak="0">
    <w:nsid w:val="00000013"/>
    <w:multiLevelType w:val="singleLevel"/>
    <w:tmpl w:val="00000013"/>
    <w:name w:val="WW8Num19"/>
    <w:lvl w:ilvl="0">
      <w:start w:val="1"/>
      <w:numFmt w:val="bullet"/>
      <w:lvlText w:val="•"/>
      <w:lvlJc w:val="left"/>
      <w:pPr>
        <w:tabs>
          <w:tab w:val="num" w:pos="0"/>
        </w:tabs>
        <w:ind w:left="480" w:hanging="480"/>
      </w:pPr>
      <w:rPr>
        <w:rFonts w:ascii="新細明體" w:hAnsi="新細明體" w:cs="Segoe UI" w:hint="eastAsia"/>
        <w:sz w:val="17"/>
        <w:szCs w:val="17"/>
      </w:rPr>
    </w:lvl>
  </w:abstractNum>
  <w:abstractNum w:abstractNumId="20" w15:restartNumberingAfterBreak="0">
    <w:nsid w:val="00000014"/>
    <w:multiLevelType w:val="singleLevel"/>
    <w:tmpl w:val="00000012"/>
    <w:lvl w:ilvl="0">
      <w:start w:val="1"/>
      <w:numFmt w:val="bullet"/>
      <w:lvlText w:val=""/>
      <w:lvlJc w:val="left"/>
      <w:pPr>
        <w:ind w:left="480" w:hanging="480"/>
      </w:pPr>
      <w:rPr>
        <w:rFonts w:ascii="Wingdings" w:hAnsi="Wingdings" w:cs="新細明體" w:hint="default"/>
        <w:sz w:val="17"/>
        <w:szCs w:val="17"/>
      </w:rPr>
    </w:lvl>
  </w:abstractNum>
  <w:abstractNum w:abstractNumId="21" w15:restartNumberingAfterBreak="0">
    <w:nsid w:val="00000015"/>
    <w:multiLevelType w:val="singleLevel"/>
    <w:tmpl w:val="00000015"/>
    <w:name w:val="WW8Num21"/>
    <w:lvl w:ilvl="0">
      <w:start w:val="1"/>
      <w:numFmt w:val="bullet"/>
      <w:lvlText w:val=""/>
      <w:lvlJc w:val="left"/>
      <w:pPr>
        <w:tabs>
          <w:tab w:val="num" w:pos="851"/>
        </w:tabs>
        <w:ind w:left="851" w:hanging="851"/>
      </w:pPr>
      <w:rPr>
        <w:rFonts w:ascii="Symbol" w:hAnsi="Symbol" w:cs="Segoe UI" w:hint="default"/>
        <w:color w:val="000000"/>
        <w:sz w:val="17"/>
        <w:szCs w:val="17"/>
      </w:rPr>
    </w:lvl>
  </w:abstractNum>
  <w:abstractNum w:abstractNumId="22" w15:restartNumberingAfterBreak="0">
    <w:nsid w:val="00000016"/>
    <w:multiLevelType w:val="singleLevel"/>
    <w:tmpl w:val="00000016"/>
    <w:name w:val="WW8Num22"/>
    <w:lvl w:ilvl="0">
      <w:start w:val="1"/>
      <w:numFmt w:val="bullet"/>
      <w:lvlText w:val=""/>
      <w:lvlJc w:val="left"/>
      <w:pPr>
        <w:tabs>
          <w:tab w:val="num" w:pos="0"/>
        </w:tabs>
        <w:ind w:left="480" w:hanging="480"/>
      </w:pPr>
      <w:rPr>
        <w:rFonts w:ascii="Wingdings" w:hAnsi="Wingdings" w:cs="Segoe UI" w:hint="eastAsia"/>
        <w:sz w:val="17"/>
        <w:szCs w:val="17"/>
        <w:lang w:val="en-GB"/>
      </w:rPr>
    </w:lvl>
  </w:abstractNum>
  <w:abstractNum w:abstractNumId="23" w15:restartNumberingAfterBreak="0">
    <w:nsid w:val="00000017"/>
    <w:multiLevelType w:val="singleLevel"/>
    <w:tmpl w:val="00000017"/>
    <w:name w:val="WW8Num23"/>
    <w:lvl w:ilvl="0">
      <w:start w:val="1"/>
      <w:numFmt w:val="upperRoman"/>
      <w:lvlText w:val="(%1)"/>
      <w:lvlJc w:val="left"/>
      <w:pPr>
        <w:tabs>
          <w:tab w:val="num" w:pos="0"/>
        </w:tabs>
        <w:ind w:left="720" w:hanging="720"/>
      </w:pPr>
      <w:rPr>
        <w:rFonts w:eastAsia="細明體" w:hint="eastAsia"/>
        <w:sz w:val="17"/>
        <w:szCs w:val="17"/>
      </w:rPr>
    </w:lvl>
  </w:abstractNum>
  <w:abstractNum w:abstractNumId="24" w15:restartNumberingAfterBreak="0">
    <w:nsid w:val="00000018"/>
    <w:multiLevelType w:val="singleLevel"/>
    <w:tmpl w:val="00000018"/>
    <w:name w:val="WW8Num24"/>
    <w:lvl w:ilvl="0">
      <w:start w:val="1"/>
      <w:numFmt w:val="lowerRoman"/>
      <w:lvlText w:val="(%1)"/>
      <w:lvlJc w:val="left"/>
      <w:pPr>
        <w:tabs>
          <w:tab w:val="num" w:pos="0"/>
        </w:tabs>
        <w:ind w:left="720" w:hanging="720"/>
      </w:pPr>
      <w:rPr>
        <w:rFonts w:eastAsia="細明體" w:cs="Segoe UI" w:hint="default"/>
        <w:sz w:val="17"/>
        <w:szCs w:val="17"/>
      </w:rPr>
    </w:lvl>
  </w:abstractNum>
  <w:abstractNum w:abstractNumId="25" w15:restartNumberingAfterBreak="0">
    <w:nsid w:val="00000019"/>
    <w:multiLevelType w:val="singleLevel"/>
    <w:tmpl w:val="00000019"/>
    <w:name w:val="WW8Num25"/>
    <w:lvl w:ilvl="0">
      <w:start w:val="1"/>
      <w:numFmt w:val="bullet"/>
      <w:lvlText w:val=""/>
      <w:lvlJc w:val="left"/>
      <w:pPr>
        <w:tabs>
          <w:tab w:val="num" w:pos="0"/>
        </w:tabs>
        <w:ind w:left="360" w:hanging="360"/>
      </w:pPr>
      <w:rPr>
        <w:rFonts w:ascii="Symbol" w:hAnsi="Symbol" w:cs="Wingdings" w:hint="default"/>
        <w:sz w:val="17"/>
        <w:szCs w:val="17"/>
      </w:rPr>
    </w:lvl>
  </w:abstractNum>
  <w:abstractNum w:abstractNumId="26" w15:restartNumberingAfterBreak="0">
    <w:nsid w:val="0000001A"/>
    <w:multiLevelType w:val="singleLevel"/>
    <w:tmpl w:val="BBFAFC78"/>
    <w:name w:val="WW8Num26"/>
    <w:lvl w:ilvl="0">
      <w:start w:val="1"/>
      <w:numFmt w:val="lowerRoman"/>
      <w:lvlText w:val="(%1)"/>
      <w:lvlJc w:val="left"/>
      <w:pPr>
        <w:tabs>
          <w:tab w:val="num" w:pos="0"/>
        </w:tabs>
        <w:ind w:left="1120" w:hanging="720"/>
      </w:pPr>
      <w:rPr>
        <w:rFonts w:ascii="Segoe UI" w:eastAsia="新細明體" w:hAnsi="Segoe UI" w:cs="Segoe UI" w:hint="default"/>
        <w:sz w:val="17"/>
        <w:szCs w:val="17"/>
      </w:rPr>
    </w:lvl>
  </w:abstractNum>
  <w:abstractNum w:abstractNumId="27" w15:restartNumberingAfterBreak="0">
    <w:nsid w:val="00875C5D"/>
    <w:multiLevelType w:val="hybridMultilevel"/>
    <w:tmpl w:val="33629920"/>
    <w:lvl w:ilvl="0" w:tplc="D28022EC">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00FB52E9"/>
    <w:multiLevelType w:val="hybridMultilevel"/>
    <w:tmpl w:val="33F8F7C2"/>
    <w:lvl w:ilvl="0" w:tplc="08090001">
      <w:start w:val="1"/>
      <w:numFmt w:val="bullet"/>
      <w:lvlText w:val=""/>
      <w:lvlJc w:val="left"/>
      <w:pPr>
        <w:ind w:left="154" w:hanging="360"/>
      </w:pPr>
      <w:rPr>
        <w:rFonts w:ascii="Symbol" w:hAnsi="Symbol" w:hint="default"/>
      </w:rPr>
    </w:lvl>
    <w:lvl w:ilvl="1" w:tplc="08090003" w:tentative="1">
      <w:start w:val="1"/>
      <w:numFmt w:val="bullet"/>
      <w:lvlText w:val="o"/>
      <w:lvlJc w:val="left"/>
      <w:pPr>
        <w:ind w:left="874" w:hanging="360"/>
      </w:pPr>
      <w:rPr>
        <w:rFonts w:ascii="Courier New" w:hAnsi="Courier New" w:cs="Courier New" w:hint="default"/>
      </w:rPr>
    </w:lvl>
    <w:lvl w:ilvl="2" w:tplc="08090005" w:tentative="1">
      <w:start w:val="1"/>
      <w:numFmt w:val="bullet"/>
      <w:lvlText w:val=""/>
      <w:lvlJc w:val="left"/>
      <w:pPr>
        <w:ind w:left="1594" w:hanging="360"/>
      </w:pPr>
      <w:rPr>
        <w:rFonts w:ascii="Wingdings" w:hAnsi="Wingdings" w:hint="default"/>
      </w:rPr>
    </w:lvl>
    <w:lvl w:ilvl="3" w:tplc="08090001" w:tentative="1">
      <w:start w:val="1"/>
      <w:numFmt w:val="bullet"/>
      <w:lvlText w:val=""/>
      <w:lvlJc w:val="left"/>
      <w:pPr>
        <w:ind w:left="2314" w:hanging="360"/>
      </w:pPr>
      <w:rPr>
        <w:rFonts w:ascii="Symbol" w:hAnsi="Symbol" w:hint="default"/>
      </w:rPr>
    </w:lvl>
    <w:lvl w:ilvl="4" w:tplc="08090003" w:tentative="1">
      <w:start w:val="1"/>
      <w:numFmt w:val="bullet"/>
      <w:lvlText w:val="o"/>
      <w:lvlJc w:val="left"/>
      <w:pPr>
        <w:ind w:left="3034" w:hanging="360"/>
      </w:pPr>
      <w:rPr>
        <w:rFonts w:ascii="Courier New" w:hAnsi="Courier New" w:cs="Courier New" w:hint="default"/>
      </w:rPr>
    </w:lvl>
    <w:lvl w:ilvl="5" w:tplc="08090005" w:tentative="1">
      <w:start w:val="1"/>
      <w:numFmt w:val="bullet"/>
      <w:lvlText w:val=""/>
      <w:lvlJc w:val="left"/>
      <w:pPr>
        <w:ind w:left="3754" w:hanging="360"/>
      </w:pPr>
      <w:rPr>
        <w:rFonts w:ascii="Wingdings" w:hAnsi="Wingdings" w:hint="default"/>
      </w:rPr>
    </w:lvl>
    <w:lvl w:ilvl="6" w:tplc="08090001" w:tentative="1">
      <w:start w:val="1"/>
      <w:numFmt w:val="bullet"/>
      <w:lvlText w:val=""/>
      <w:lvlJc w:val="left"/>
      <w:pPr>
        <w:ind w:left="4474" w:hanging="360"/>
      </w:pPr>
      <w:rPr>
        <w:rFonts w:ascii="Symbol" w:hAnsi="Symbol" w:hint="default"/>
      </w:rPr>
    </w:lvl>
    <w:lvl w:ilvl="7" w:tplc="08090003" w:tentative="1">
      <w:start w:val="1"/>
      <w:numFmt w:val="bullet"/>
      <w:lvlText w:val="o"/>
      <w:lvlJc w:val="left"/>
      <w:pPr>
        <w:ind w:left="5194" w:hanging="360"/>
      </w:pPr>
      <w:rPr>
        <w:rFonts w:ascii="Courier New" w:hAnsi="Courier New" w:cs="Courier New" w:hint="default"/>
      </w:rPr>
    </w:lvl>
    <w:lvl w:ilvl="8" w:tplc="08090005" w:tentative="1">
      <w:start w:val="1"/>
      <w:numFmt w:val="bullet"/>
      <w:lvlText w:val=""/>
      <w:lvlJc w:val="left"/>
      <w:pPr>
        <w:ind w:left="5914" w:hanging="360"/>
      </w:pPr>
      <w:rPr>
        <w:rFonts w:ascii="Wingdings" w:hAnsi="Wingdings" w:hint="default"/>
      </w:rPr>
    </w:lvl>
  </w:abstractNum>
  <w:abstractNum w:abstractNumId="29" w15:restartNumberingAfterBreak="0">
    <w:nsid w:val="02300CBF"/>
    <w:multiLevelType w:val="hybridMultilevel"/>
    <w:tmpl w:val="6F7AF390"/>
    <w:lvl w:ilvl="0" w:tplc="71AA265C">
      <w:start w:val="1"/>
      <w:numFmt w:val="lowerLetter"/>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6DA1BB7"/>
    <w:multiLevelType w:val="hybridMultilevel"/>
    <w:tmpl w:val="C400B7FA"/>
    <w:lvl w:ilvl="0" w:tplc="C158FDD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74F13A5"/>
    <w:multiLevelType w:val="hybridMultilevel"/>
    <w:tmpl w:val="A888FAE6"/>
    <w:lvl w:ilvl="0" w:tplc="4B8E1ECA">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095E18CE"/>
    <w:multiLevelType w:val="hybridMultilevel"/>
    <w:tmpl w:val="538C9820"/>
    <w:lvl w:ilvl="0" w:tplc="DD5A4066">
      <w:start w:val="1"/>
      <w:numFmt w:val="bullet"/>
      <w:lvlText w:val="•"/>
      <w:lvlJc w:val="left"/>
      <w:pPr>
        <w:ind w:left="1246" w:hanging="480"/>
      </w:pPr>
      <w:rPr>
        <w:rFonts w:ascii="Times New Roman" w:hAnsi="Times New Roman" w:cs="Times New Roman" w:hint="default"/>
      </w:rPr>
    </w:lvl>
    <w:lvl w:ilvl="1" w:tplc="DD5A4066">
      <w:start w:val="1"/>
      <w:numFmt w:val="bullet"/>
      <w:lvlText w:val="•"/>
      <w:lvlJc w:val="left"/>
      <w:pPr>
        <w:ind w:left="1726" w:hanging="480"/>
      </w:pPr>
      <w:rPr>
        <w:rFonts w:ascii="Times New Roman" w:hAnsi="Times New Roman" w:cs="Times New Roman" w:hint="default"/>
      </w:rPr>
    </w:lvl>
    <w:lvl w:ilvl="2" w:tplc="04090005" w:tentative="1">
      <w:start w:val="1"/>
      <w:numFmt w:val="bullet"/>
      <w:lvlText w:val=""/>
      <w:lvlJc w:val="left"/>
      <w:pPr>
        <w:ind w:left="2206" w:hanging="480"/>
      </w:pPr>
      <w:rPr>
        <w:rFonts w:ascii="Wingdings" w:hAnsi="Wingdings" w:hint="default"/>
      </w:rPr>
    </w:lvl>
    <w:lvl w:ilvl="3" w:tplc="04090001" w:tentative="1">
      <w:start w:val="1"/>
      <w:numFmt w:val="bullet"/>
      <w:lvlText w:val=""/>
      <w:lvlJc w:val="left"/>
      <w:pPr>
        <w:ind w:left="2686" w:hanging="480"/>
      </w:pPr>
      <w:rPr>
        <w:rFonts w:ascii="Wingdings" w:hAnsi="Wingdings" w:hint="default"/>
      </w:rPr>
    </w:lvl>
    <w:lvl w:ilvl="4" w:tplc="04090003" w:tentative="1">
      <w:start w:val="1"/>
      <w:numFmt w:val="bullet"/>
      <w:lvlText w:val=""/>
      <w:lvlJc w:val="left"/>
      <w:pPr>
        <w:ind w:left="3166" w:hanging="480"/>
      </w:pPr>
      <w:rPr>
        <w:rFonts w:ascii="Wingdings" w:hAnsi="Wingdings" w:hint="default"/>
      </w:rPr>
    </w:lvl>
    <w:lvl w:ilvl="5" w:tplc="04090005" w:tentative="1">
      <w:start w:val="1"/>
      <w:numFmt w:val="bullet"/>
      <w:lvlText w:val=""/>
      <w:lvlJc w:val="left"/>
      <w:pPr>
        <w:ind w:left="3646" w:hanging="480"/>
      </w:pPr>
      <w:rPr>
        <w:rFonts w:ascii="Wingdings" w:hAnsi="Wingdings" w:hint="default"/>
      </w:rPr>
    </w:lvl>
    <w:lvl w:ilvl="6" w:tplc="04090001" w:tentative="1">
      <w:start w:val="1"/>
      <w:numFmt w:val="bullet"/>
      <w:lvlText w:val=""/>
      <w:lvlJc w:val="left"/>
      <w:pPr>
        <w:ind w:left="4126" w:hanging="480"/>
      </w:pPr>
      <w:rPr>
        <w:rFonts w:ascii="Wingdings" w:hAnsi="Wingdings" w:hint="default"/>
      </w:rPr>
    </w:lvl>
    <w:lvl w:ilvl="7" w:tplc="04090003" w:tentative="1">
      <w:start w:val="1"/>
      <w:numFmt w:val="bullet"/>
      <w:lvlText w:val=""/>
      <w:lvlJc w:val="left"/>
      <w:pPr>
        <w:ind w:left="4606" w:hanging="480"/>
      </w:pPr>
      <w:rPr>
        <w:rFonts w:ascii="Wingdings" w:hAnsi="Wingdings" w:hint="default"/>
      </w:rPr>
    </w:lvl>
    <w:lvl w:ilvl="8" w:tplc="04090005" w:tentative="1">
      <w:start w:val="1"/>
      <w:numFmt w:val="bullet"/>
      <w:lvlText w:val=""/>
      <w:lvlJc w:val="left"/>
      <w:pPr>
        <w:ind w:left="5086" w:hanging="480"/>
      </w:pPr>
      <w:rPr>
        <w:rFonts w:ascii="Wingdings" w:hAnsi="Wingdings" w:hint="default"/>
      </w:rPr>
    </w:lvl>
  </w:abstractNum>
  <w:abstractNum w:abstractNumId="33" w15:restartNumberingAfterBreak="0">
    <w:nsid w:val="0B28293F"/>
    <w:multiLevelType w:val="hybridMultilevel"/>
    <w:tmpl w:val="A24C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D3B33CE"/>
    <w:multiLevelType w:val="hybridMultilevel"/>
    <w:tmpl w:val="FC921452"/>
    <w:lvl w:ilvl="0" w:tplc="08090001">
      <w:start w:val="1"/>
      <w:numFmt w:val="bullet"/>
      <w:lvlText w:val=""/>
      <w:lvlJc w:val="left"/>
      <w:pPr>
        <w:ind w:left="154" w:hanging="360"/>
      </w:pPr>
      <w:rPr>
        <w:rFonts w:ascii="Symbol" w:hAnsi="Symbol" w:hint="default"/>
      </w:rPr>
    </w:lvl>
    <w:lvl w:ilvl="1" w:tplc="08090003" w:tentative="1">
      <w:start w:val="1"/>
      <w:numFmt w:val="bullet"/>
      <w:lvlText w:val="o"/>
      <w:lvlJc w:val="left"/>
      <w:pPr>
        <w:ind w:left="874" w:hanging="360"/>
      </w:pPr>
      <w:rPr>
        <w:rFonts w:ascii="Courier New" w:hAnsi="Courier New" w:cs="Courier New" w:hint="default"/>
      </w:rPr>
    </w:lvl>
    <w:lvl w:ilvl="2" w:tplc="08090005" w:tentative="1">
      <w:start w:val="1"/>
      <w:numFmt w:val="bullet"/>
      <w:lvlText w:val=""/>
      <w:lvlJc w:val="left"/>
      <w:pPr>
        <w:ind w:left="1594" w:hanging="360"/>
      </w:pPr>
      <w:rPr>
        <w:rFonts w:ascii="Wingdings" w:hAnsi="Wingdings" w:hint="default"/>
      </w:rPr>
    </w:lvl>
    <w:lvl w:ilvl="3" w:tplc="08090001" w:tentative="1">
      <w:start w:val="1"/>
      <w:numFmt w:val="bullet"/>
      <w:lvlText w:val=""/>
      <w:lvlJc w:val="left"/>
      <w:pPr>
        <w:ind w:left="2314" w:hanging="360"/>
      </w:pPr>
      <w:rPr>
        <w:rFonts w:ascii="Symbol" w:hAnsi="Symbol" w:hint="default"/>
      </w:rPr>
    </w:lvl>
    <w:lvl w:ilvl="4" w:tplc="08090003" w:tentative="1">
      <w:start w:val="1"/>
      <w:numFmt w:val="bullet"/>
      <w:lvlText w:val="o"/>
      <w:lvlJc w:val="left"/>
      <w:pPr>
        <w:ind w:left="3034" w:hanging="360"/>
      </w:pPr>
      <w:rPr>
        <w:rFonts w:ascii="Courier New" w:hAnsi="Courier New" w:cs="Courier New" w:hint="default"/>
      </w:rPr>
    </w:lvl>
    <w:lvl w:ilvl="5" w:tplc="08090005" w:tentative="1">
      <w:start w:val="1"/>
      <w:numFmt w:val="bullet"/>
      <w:lvlText w:val=""/>
      <w:lvlJc w:val="left"/>
      <w:pPr>
        <w:ind w:left="3754" w:hanging="360"/>
      </w:pPr>
      <w:rPr>
        <w:rFonts w:ascii="Wingdings" w:hAnsi="Wingdings" w:hint="default"/>
      </w:rPr>
    </w:lvl>
    <w:lvl w:ilvl="6" w:tplc="08090001" w:tentative="1">
      <w:start w:val="1"/>
      <w:numFmt w:val="bullet"/>
      <w:lvlText w:val=""/>
      <w:lvlJc w:val="left"/>
      <w:pPr>
        <w:ind w:left="4474" w:hanging="360"/>
      </w:pPr>
      <w:rPr>
        <w:rFonts w:ascii="Symbol" w:hAnsi="Symbol" w:hint="default"/>
      </w:rPr>
    </w:lvl>
    <w:lvl w:ilvl="7" w:tplc="08090003" w:tentative="1">
      <w:start w:val="1"/>
      <w:numFmt w:val="bullet"/>
      <w:lvlText w:val="o"/>
      <w:lvlJc w:val="left"/>
      <w:pPr>
        <w:ind w:left="5194" w:hanging="360"/>
      </w:pPr>
      <w:rPr>
        <w:rFonts w:ascii="Courier New" w:hAnsi="Courier New" w:cs="Courier New" w:hint="default"/>
      </w:rPr>
    </w:lvl>
    <w:lvl w:ilvl="8" w:tplc="08090005" w:tentative="1">
      <w:start w:val="1"/>
      <w:numFmt w:val="bullet"/>
      <w:lvlText w:val=""/>
      <w:lvlJc w:val="left"/>
      <w:pPr>
        <w:ind w:left="5914" w:hanging="360"/>
      </w:pPr>
      <w:rPr>
        <w:rFonts w:ascii="Wingdings" w:hAnsi="Wingdings" w:hint="default"/>
      </w:rPr>
    </w:lvl>
  </w:abstractNum>
  <w:abstractNum w:abstractNumId="35" w15:restartNumberingAfterBreak="0">
    <w:nsid w:val="0F002F88"/>
    <w:multiLevelType w:val="hybridMultilevel"/>
    <w:tmpl w:val="DBE6B320"/>
    <w:lvl w:ilvl="0" w:tplc="50B23344">
      <w:start w:val="1"/>
      <w:numFmt w:val="lowerRoman"/>
      <w:lvlText w:val="(%1)"/>
      <w:lvlJc w:val="left"/>
      <w:pPr>
        <w:ind w:left="-206" w:hanging="360"/>
      </w:pPr>
      <w:rPr>
        <w:rFonts w:hint="eastAsia"/>
        <w:i w:val="0"/>
        <w:iCs/>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6" w15:restartNumberingAfterBreak="0">
    <w:nsid w:val="117C7020"/>
    <w:multiLevelType w:val="hybridMultilevel"/>
    <w:tmpl w:val="06507728"/>
    <w:lvl w:ilvl="0" w:tplc="C0BCA6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36E1A11"/>
    <w:multiLevelType w:val="hybridMultilevel"/>
    <w:tmpl w:val="4C84FBCA"/>
    <w:lvl w:ilvl="0" w:tplc="F9FCC050">
      <w:start w:val="5"/>
      <w:numFmt w:val="bullet"/>
      <w:lvlText w:val="-"/>
      <w:lvlJc w:val="left"/>
      <w:pPr>
        <w:ind w:left="932" w:hanging="360"/>
      </w:pPr>
      <w:rPr>
        <w:rFonts w:ascii="Segoe UI" w:eastAsia="細明體" w:hAnsi="Segoe UI" w:cs="Segoe UI"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38" w15:restartNumberingAfterBreak="0">
    <w:nsid w:val="154D5210"/>
    <w:multiLevelType w:val="multilevel"/>
    <w:tmpl w:val="E9E6AC64"/>
    <w:lvl w:ilvl="0">
      <w:start w:val="1"/>
      <w:numFmt w:val="upperRoman"/>
      <w:pStyle w:val="CoPHeading1"/>
      <w:lvlText w:val="%1."/>
      <w:lvlJc w:val="left"/>
      <w:pPr>
        <w:ind w:left="567" w:hanging="567"/>
      </w:pPr>
      <w:rPr>
        <w:rFonts w:eastAsia="新細明體" w:hint="eastAsia"/>
        <w:b/>
        <w:sz w:val="24"/>
      </w:rPr>
    </w:lvl>
    <w:lvl w:ilvl="1">
      <w:start w:val="1"/>
      <w:numFmt w:val="decimal"/>
      <w:lvlRestart w:val="0"/>
      <w:lvlText w:val="%2."/>
      <w:lvlJc w:val="left"/>
      <w:pPr>
        <w:ind w:left="567" w:hanging="567"/>
      </w:pPr>
      <w:rPr>
        <w:rFonts w:hint="eastAsia"/>
      </w:rPr>
    </w:lvl>
    <w:lvl w:ilvl="2">
      <w:start w:val="1"/>
      <w:numFmt w:val="decimal"/>
      <w:pStyle w:val="DDIs3"/>
      <w:lvlText w:val="(%3)"/>
      <w:lvlJc w:val="left"/>
      <w:pPr>
        <w:ind w:left="1134" w:hanging="567"/>
      </w:pPr>
      <w:rPr>
        <w:rFonts w:hint="eastAsia"/>
      </w:rPr>
    </w:lvl>
    <w:lvl w:ilvl="3">
      <w:start w:val="1"/>
      <w:numFmt w:val="lowerLetter"/>
      <w:pStyle w:val="DDIs4"/>
      <w:lvlText w:val="(%4)"/>
      <w:lvlJc w:val="left"/>
      <w:pPr>
        <w:ind w:left="1701" w:hanging="567"/>
      </w:pPr>
      <w:rPr>
        <w:rFonts w:hint="eastAsia"/>
      </w:rPr>
    </w:lvl>
    <w:lvl w:ilvl="4">
      <w:start w:val="1"/>
      <w:numFmt w:val="lowerRoman"/>
      <w:pStyle w:val="DDIs5"/>
      <w:lvlText w:val="(%5)"/>
      <w:lvlJc w:val="left"/>
      <w:pPr>
        <w:ind w:left="2268" w:hanging="567"/>
      </w:pPr>
      <w:rPr>
        <w:rFonts w:hint="eastAsia"/>
      </w:rPr>
    </w:lvl>
    <w:lvl w:ilvl="5">
      <w:start w:val="1"/>
      <w:numFmt w:val="upperLetter"/>
      <w:pStyle w:val="DDIs6"/>
      <w:lvlText w:val="(%6)"/>
      <w:lvlJc w:val="left"/>
      <w:pPr>
        <w:ind w:left="2835" w:hanging="567"/>
      </w:pPr>
      <w:rPr>
        <w:rFonts w:hint="eastAsia"/>
      </w:rPr>
    </w:lvl>
    <w:lvl w:ilvl="6">
      <w:start w:val="1"/>
      <w:numFmt w:val="decimal"/>
      <w:pStyle w:val="DDIs7"/>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184A7E50"/>
    <w:multiLevelType w:val="hybridMultilevel"/>
    <w:tmpl w:val="C4BAC54A"/>
    <w:lvl w:ilvl="0" w:tplc="337689F8">
      <w:start w:val="1"/>
      <w:numFmt w:val="lowerRoman"/>
      <w:lvlText w:val="(%1)"/>
      <w:lvlJc w:val="left"/>
      <w:pPr>
        <w:ind w:left="720" w:hanging="72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475C3B"/>
    <w:multiLevelType w:val="hybridMultilevel"/>
    <w:tmpl w:val="D2ACC3EA"/>
    <w:lvl w:ilvl="0" w:tplc="00000006">
      <w:start w:val="1"/>
      <w:numFmt w:val="lowerRoman"/>
      <w:lvlText w:val="(%1)"/>
      <w:lvlJc w:val="left"/>
      <w:pPr>
        <w:ind w:left="720" w:hanging="360"/>
      </w:pPr>
      <w:rPr>
        <w:rFonts w:eastAsia="細明體" w:cs="Segoe UI" w:hint="eastAsia"/>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D7075F1"/>
    <w:multiLevelType w:val="hybridMultilevel"/>
    <w:tmpl w:val="19B235CA"/>
    <w:lvl w:ilvl="0" w:tplc="D0CA924C">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1ED03739"/>
    <w:multiLevelType w:val="hybridMultilevel"/>
    <w:tmpl w:val="6990431E"/>
    <w:lvl w:ilvl="0" w:tplc="4FC2409A">
      <w:start w:val="1"/>
      <w:numFmt w:val="lowerRoman"/>
      <w:lvlText w:val="(%1)"/>
      <w:lvlJc w:val="left"/>
      <w:pPr>
        <w:ind w:left="720" w:hanging="720"/>
      </w:pPr>
      <w:rPr>
        <w:rFonts w:hint="default"/>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FB10A3C"/>
    <w:multiLevelType w:val="hybridMultilevel"/>
    <w:tmpl w:val="604CA0DC"/>
    <w:lvl w:ilvl="0" w:tplc="1774294A">
      <w:start w:val="1"/>
      <w:numFmt w:val="upperLetter"/>
      <w:lvlText w:val="%1."/>
      <w:lvlJc w:val="left"/>
      <w:pPr>
        <w:ind w:left="417" w:hanging="360"/>
      </w:pPr>
      <w:rPr>
        <w:rFonts w:hint="eastAsia"/>
        <w:sz w:val="17"/>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44" w15:restartNumberingAfterBreak="0">
    <w:nsid w:val="209939AE"/>
    <w:multiLevelType w:val="hybridMultilevel"/>
    <w:tmpl w:val="EF285A80"/>
    <w:lvl w:ilvl="0" w:tplc="DD5A4066">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248B2BF0"/>
    <w:multiLevelType w:val="hybridMultilevel"/>
    <w:tmpl w:val="97A63E22"/>
    <w:lvl w:ilvl="0" w:tplc="FDB4A5D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665250"/>
    <w:multiLevelType w:val="hybridMultilevel"/>
    <w:tmpl w:val="2E9ED40A"/>
    <w:lvl w:ilvl="0" w:tplc="C158FDD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763432B"/>
    <w:multiLevelType w:val="hybridMultilevel"/>
    <w:tmpl w:val="EB3CE32E"/>
    <w:lvl w:ilvl="0" w:tplc="19A4F9E8">
      <w:start w:val="1"/>
      <w:numFmt w:val="lowerRoman"/>
      <w:lvlText w:val="(%1)"/>
      <w:lvlJc w:val="left"/>
      <w:pPr>
        <w:ind w:left="720" w:hanging="720"/>
      </w:pPr>
      <w:rPr>
        <w:rFonts w:ascii="Segoe UI" w:hAnsi="Segoe UI" w:cs="Segoe UI"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A3414F"/>
    <w:multiLevelType w:val="hybridMultilevel"/>
    <w:tmpl w:val="627210EA"/>
    <w:lvl w:ilvl="0" w:tplc="DD5A4066">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2E2C177A"/>
    <w:multiLevelType w:val="hybridMultilevel"/>
    <w:tmpl w:val="57FCFA96"/>
    <w:lvl w:ilvl="0" w:tplc="00000006">
      <w:start w:val="1"/>
      <w:numFmt w:val="lowerRoman"/>
      <w:lvlText w:val="(%1)"/>
      <w:lvlJc w:val="left"/>
      <w:pPr>
        <w:ind w:left="720" w:hanging="360"/>
      </w:pPr>
      <w:rPr>
        <w:rFonts w:eastAsia="細明體" w:cs="Segoe UI" w:hint="eastAsia"/>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1F131A5"/>
    <w:multiLevelType w:val="hybridMultilevel"/>
    <w:tmpl w:val="E27A1512"/>
    <w:lvl w:ilvl="0" w:tplc="9E9A14C4">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338E06F2"/>
    <w:multiLevelType w:val="hybridMultilevel"/>
    <w:tmpl w:val="2710E87C"/>
    <w:lvl w:ilvl="0" w:tplc="1B4C99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4C364FD"/>
    <w:multiLevelType w:val="hybridMultilevel"/>
    <w:tmpl w:val="016E3BD0"/>
    <w:lvl w:ilvl="0" w:tplc="02ACBF26">
      <w:numFmt w:val="bullet"/>
      <w:lvlText w:val=""/>
      <w:lvlJc w:val="left"/>
      <w:pPr>
        <w:ind w:left="518" w:hanging="397"/>
      </w:pPr>
      <w:rPr>
        <w:rFonts w:ascii="Symbol" w:eastAsia="Symbol" w:hAnsi="Symbol" w:cs="Symbol" w:hint="default"/>
        <w:w w:val="100"/>
        <w:sz w:val="17"/>
        <w:szCs w:val="17"/>
        <w:lang w:val="en-US" w:eastAsia="en-US" w:bidi="en-US"/>
      </w:rPr>
    </w:lvl>
    <w:lvl w:ilvl="1" w:tplc="C71C1830">
      <w:numFmt w:val="bullet"/>
      <w:lvlText w:val="•"/>
      <w:lvlJc w:val="left"/>
      <w:pPr>
        <w:ind w:left="1873" w:hanging="397"/>
      </w:pPr>
      <w:rPr>
        <w:rFonts w:hint="default"/>
        <w:lang w:val="en-US" w:eastAsia="en-US" w:bidi="en-US"/>
      </w:rPr>
    </w:lvl>
    <w:lvl w:ilvl="2" w:tplc="4BC655AC">
      <w:numFmt w:val="bullet"/>
      <w:lvlText w:val="•"/>
      <w:lvlJc w:val="left"/>
      <w:pPr>
        <w:ind w:left="3226" w:hanging="397"/>
      </w:pPr>
      <w:rPr>
        <w:rFonts w:hint="default"/>
        <w:lang w:val="en-US" w:eastAsia="en-US" w:bidi="en-US"/>
      </w:rPr>
    </w:lvl>
    <w:lvl w:ilvl="3" w:tplc="3B0A383A">
      <w:numFmt w:val="bullet"/>
      <w:lvlText w:val="•"/>
      <w:lvlJc w:val="left"/>
      <w:pPr>
        <w:ind w:left="4579" w:hanging="397"/>
      </w:pPr>
      <w:rPr>
        <w:rFonts w:hint="default"/>
        <w:lang w:val="en-US" w:eastAsia="en-US" w:bidi="en-US"/>
      </w:rPr>
    </w:lvl>
    <w:lvl w:ilvl="4" w:tplc="878A327A">
      <w:numFmt w:val="bullet"/>
      <w:lvlText w:val="•"/>
      <w:lvlJc w:val="left"/>
      <w:pPr>
        <w:ind w:left="5932" w:hanging="397"/>
      </w:pPr>
      <w:rPr>
        <w:rFonts w:hint="default"/>
        <w:lang w:val="en-US" w:eastAsia="en-US" w:bidi="en-US"/>
      </w:rPr>
    </w:lvl>
    <w:lvl w:ilvl="5" w:tplc="FB50B70A">
      <w:numFmt w:val="bullet"/>
      <w:lvlText w:val="•"/>
      <w:lvlJc w:val="left"/>
      <w:pPr>
        <w:ind w:left="7286" w:hanging="397"/>
      </w:pPr>
      <w:rPr>
        <w:rFonts w:hint="default"/>
        <w:lang w:val="en-US" w:eastAsia="en-US" w:bidi="en-US"/>
      </w:rPr>
    </w:lvl>
    <w:lvl w:ilvl="6" w:tplc="A5321AA6">
      <w:numFmt w:val="bullet"/>
      <w:lvlText w:val="•"/>
      <w:lvlJc w:val="left"/>
      <w:pPr>
        <w:ind w:left="8639" w:hanging="397"/>
      </w:pPr>
      <w:rPr>
        <w:rFonts w:hint="default"/>
        <w:lang w:val="en-US" w:eastAsia="en-US" w:bidi="en-US"/>
      </w:rPr>
    </w:lvl>
    <w:lvl w:ilvl="7" w:tplc="C68C6C76">
      <w:numFmt w:val="bullet"/>
      <w:lvlText w:val="•"/>
      <w:lvlJc w:val="left"/>
      <w:pPr>
        <w:ind w:left="9992" w:hanging="397"/>
      </w:pPr>
      <w:rPr>
        <w:rFonts w:hint="default"/>
        <w:lang w:val="en-US" w:eastAsia="en-US" w:bidi="en-US"/>
      </w:rPr>
    </w:lvl>
    <w:lvl w:ilvl="8" w:tplc="84E6F74A">
      <w:numFmt w:val="bullet"/>
      <w:lvlText w:val="•"/>
      <w:lvlJc w:val="left"/>
      <w:pPr>
        <w:ind w:left="11345" w:hanging="397"/>
      </w:pPr>
      <w:rPr>
        <w:rFonts w:hint="default"/>
        <w:lang w:val="en-US" w:eastAsia="en-US" w:bidi="en-US"/>
      </w:rPr>
    </w:lvl>
  </w:abstractNum>
  <w:abstractNum w:abstractNumId="53" w15:restartNumberingAfterBreak="0">
    <w:nsid w:val="371D23F1"/>
    <w:multiLevelType w:val="singleLevel"/>
    <w:tmpl w:val="00000018"/>
    <w:lvl w:ilvl="0">
      <w:start w:val="1"/>
      <w:numFmt w:val="lowerRoman"/>
      <w:lvlText w:val="(%1)"/>
      <w:lvlJc w:val="left"/>
      <w:pPr>
        <w:tabs>
          <w:tab w:val="num" w:pos="0"/>
        </w:tabs>
        <w:ind w:left="720" w:hanging="720"/>
      </w:pPr>
      <w:rPr>
        <w:rFonts w:eastAsia="細明體" w:cs="Segoe UI" w:hint="default"/>
        <w:sz w:val="17"/>
        <w:szCs w:val="17"/>
      </w:rPr>
    </w:lvl>
  </w:abstractNum>
  <w:abstractNum w:abstractNumId="54" w15:restartNumberingAfterBreak="0">
    <w:nsid w:val="37EB7B5F"/>
    <w:multiLevelType w:val="hybridMultilevel"/>
    <w:tmpl w:val="070468AC"/>
    <w:lvl w:ilvl="0" w:tplc="28DE4E30">
      <w:start w:val="1"/>
      <w:numFmt w:val="lowerRoman"/>
      <w:lvlText w:val="(%1)"/>
      <w:lvlJc w:val="left"/>
      <w:pPr>
        <w:ind w:left="720" w:hanging="720"/>
      </w:pPr>
      <w:rPr>
        <w:rFonts w:hint="default"/>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8DE4F8F"/>
    <w:multiLevelType w:val="hybridMultilevel"/>
    <w:tmpl w:val="723CC9E4"/>
    <w:lvl w:ilvl="0" w:tplc="B7049DB8">
      <w:start w:val="1"/>
      <w:numFmt w:val="lowerRoman"/>
      <w:lvlText w:val="(%1)"/>
      <w:lvlJc w:val="left"/>
      <w:pPr>
        <w:ind w:left="720" w:hanging="720"/>
      </w:pPr>
      <w:rPr>
        <w:rFonts w:ascii="Segoe UI" w:hAnsi="Segoe UI" w:cs="Segoe U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A2F6DE0"/>
    <w:multiLevelType w:val="hybridMultilevel"/>
    <w:tmpl w:val="604CA0DC"/>
    <w:lvl w:ilvl="0" w:tplc="1774294A">
      <w:start w:val="1"/>
      <w:numFmt w:val="upperLetter"/>
      <w:lvlText w:val="%1."/>
      <w:lvlJc w:val="left"/>
      <w:pPr>
        <w:ind w:left="417" w:hanging="360"/>
      </w:pPr>
      <w:rPr>
        <w:rFonts w:hint="eastAsia"/>
        <w:sz w:val="17"/>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57" w15:restartNumberingAfterBreak="0">
    <w:nsid w:val="3D663116"/>
    <w:multiLevelType w:val="hybridMultilevel"/>
    <w:tmpl w:val="A0987294"/>
    <w:lvl w:ilvl="0" w:tplc="351E4C8E">
      <w:start w:val="1"/>
      <w:numFmt w:val="lowerRoman"/>
      <w:lvlText w:val="(%1)"/>
      <w:lvlJc w:val="left"/>
      <w:pPr>
        <w:ind w:left="720" w:hanging="720"/>
      </w:pPr>
      <w:rPr>
        <w:rFonts w:ascii="Segoe UI" w:hAnsi="Segoe UI" w:cs="Segoe UI" w:hint="default"/>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DD0107E"/>
    <w:multiLevelType w:val="hybridMultilevel"/>
    <w:tmpl w:val="FE50F632"/>
    <w:lvl w:ilvl="0" w:tplc="7F1E3E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E952419"/>
    <w:multiLevelType w:val="hybridMultilevel"/>
    <w:tmpl w:val="B310214E"/>
    <w:lvl w:ilvl="0" w:tplc="C158FDD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374787C"/>
    <w:multiLevelType w:val="hybridMultilevel"/>
    <w:tmpl w:val="CB561916"/>
    <w:lvl w:ilvl="0" w:tplc="8C726E18">
      <w:start w:val="1"/>
      <w:numFmt w:val="lowerRoman"/>
      <w:lvlText w:val="(%1)"/>
      <w:lvlJc w:val="left"/>
      <w:pPr>
        <w:ind w:left="720" w:hanging="720"/>
      </w:pPr>
      <w:rPr>
        <w:rFonts w:hint="default"/>
        <w:i w:val="0"/>
        <w:iCs w:val="0"/>
      </w:rPr>
    </w:lvl>
    <w:lvl w:ilvl="1" w:tplc="BD7A7708">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49D6B56"/>
    <w:multiLevelType w:val="hybridMultilevel"/>
    <w:tmpl w:val="E5EADA42"/>
    <w:lvl w:ilvl="0" w:tplc="C158FDD2">
      <w:start w:val="1"/>
      <w:numFmt w:val="lowerRoman"/>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2" w15:restartNumberingAfterBreak="0">
    <w:nsid w:val="45906095"/>
    <w:multiLevelType w:val="hybridMultilevel"/>
    <w:tmpl w:val="0C98875A"/>
    <w:lvl w:ilvl="0" w:tplc="4F18B7A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5C3062B"/>
    <w:multiLevelType w:val="hybridMultilevel"/>
    <w:tmpl w:val="5A6410B2"/>
    <w:lvl w:ilvl="0" w:tplc="00000006">
      <w:start w:val="1"/>
      <w:numFmt w:val="lowerRoman"/>
      <w:lvlText w:val="(%1)"/>
      <w:lvlJc w:val="left"/>
      <w:pPr>
        <w:ind w:left="720" w:hanging="360"/>
      </w:pPr>
      <w:rPr>
        <w:rFonts w:eastAsia="細明體" w:cs="Segoe UI" w:hint="eastAsia"/>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6C1284E"/>
    <w:multiLevelType w:val="hybridMultilevel"/>
    <w:tmpl w:val="392C98F8"/>
    <w:lvl w:ilvl="0" w:tplc="1A3CD634">
      <w:start w:val="1"/>
      <w:numFmt w:val="bullet"/>
      <w:lvlText w:val="-"/>
      <w:lvlJc w:val="left"/>
      <w:pPr>
        <w:ind w:left="720" w:hanging="36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1E076D"/>
    <w:multiLevelType w:val="hybridMultilevel"/>
    <w:tmpl w:val="696E20D8"/>
    <w:lvl w:ilvl="0" w:tplc="F1829464">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7301839"/>
    <w:multiLevelType w:val="hybridMultilevel"/>
    <w:tmpl w:val="F4F2B05A"/>
    <w:lvl w:ilvl="0" w:tplc="C0528BE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CAE3861"/>
    <w:multiLevelType w:val="hybridMultilevel"/>
    <w:tmpl w:val="357AF872"/>
    <w:lvl w:ilvl="0" w:tplc="7E26F72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33356DE"/>
    <w:multiLevelType w:val="hybridMultilevel"/>
    <w:tmpl w:val="85ACB5C4"/>
    <w:lvl w:ilvl="0" w:tplc="A844BB40">
      <w:start w:val="1"/>
      <w:numFmt w:val="lowerLetter"/>
      <w:lvlText w:val="(%1)"/>
      <w:lvlJc w:val="left"/>
      <w:pPr>
        <w:ind w:left="360" w:hanging="360"/>
      </w:pPr>
      <w:rPr>
        <w:rFonts w:ascii="Segoe UI" w:hAnsi="Segoe UI" w:cs="Segoe UI"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69" w15:restartNumberingAfterBreak="0">
    <w:nsid w:val="638C4C20"/>
    <w:multiLevelType w:val="hybridMultilevel"/>
    <w:tmpl w:val="7A66FD14"/>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638F2A07"/>
    <w:multiLevelType w:val="hybridMultilevel"/>
    <w:tmpl w:val="8AA2FFC6"/>
    <w:lvl w:ilvl="0" w:tplc="5F4ECB66">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7B97AC7"/>
    <w:multiLevelType w:val="hybridMultilevel"/>
    <w:tmpl w:val="CB424E0A"/>
    <w:lvl w:ilvl="0" w:tplc="9E28EC4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F0558D4"/>
    <w:multiLevelType w:val="hybridMultilevel"/>
    <w:tmpl w:val="8CD068B4"/>
    <w:lvl w:ilvl="0" w:tplc="3A145A10">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704B375D"/>
    <w:multiLevelType w:val="hybridMultilevel"/>
    <w:tmpl w:val="8F9E460C"/>
    <w:lvl w:ilvl="0" w:tplc="C1D0CD08">
      <w:start w:val="1"/>
      <w:numFmt w:val="lowerRoman"/>
      <w:lvlText w:val="(%1)"/>
      <w:lvlJc w:val="left"/>
      <w:pPr>
        <w:ind w:left="720" w:hanging="720"/>
      </w:pPr>
      <w:rPr>
        <w:rFonts w:hint="default"/>
        <w:i w:val="0"/>
        <w:iCs w:val="0"/>
        <w:sz w:val="17"/>
        <w:szCs w:val="1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D9043F"/>
    <w:multiLevelType w:val="hybridMultilevel"/>
    <w:tmpl w:val="269EC038"/>
    <w:lvl w:ilvl="0" w:tplc="A1BAC98A">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720278E0"/>
    <w:multiLevelType w:val="hybridMultilevel"/>
    <w:tmpl w:val="443AAFD4"/>
    <w:lvl w:ilvl="0" w:tplc="6650A7C8">
      <w:start w:val="1"/>
      <w:numFmt w:val="lowerRoman"/>
      <w:lvlText w:val="(%1)"/>
      <w:lvlJc w:val="left"/>
      <w:pPr>
        <w:ind w:left="1120" w:hanging="72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76" w15:restartNumberingAfterBreak="0">
    <w:nsid w:val="76450FCA"/>
    <w:multiLevelType w:val="hybridMultilevel"/>
    <w:tmpl w:val="95FC5BA2"/>
    <w:lvl w:ilvl="0" w:tplc="00000006">
      <w:start w:val="1"/>
      <w:numFmt w:val="lowerRoman"/>
      <w:lvlText w:val="(%1)"/>
      <w:lvlJc w:val="left"/>
      <w:pPr>
        <w:ind w:left="720" w:hanging="360"/>
      </w:pPr>
      <w:rPr>
        <w:rFonts w:eastAsia="細明體" w:cs="Segoe UI" w:hint="eastAsia"/>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7281889"/>
    <w:multiLevelType w:val="hybridMultilevel"/>
    <w:tmpl w:val="415CC944"/>
    <w:lvl w:ilvl="0" w:tplc="DCF659D2">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77B47617"/>
    <w:multiLevelType w:val="hybridMultilevel"/>
    <w:tmpl w:val="6106A67A"/>
    <w:lvl w:ilvl="0" w:tplc="C1C2D2B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C244903"/>
    <w:multiLevelType w:val="hybridMultilevel"/>
    <w:tmpl w:val="41C0CC06"/>
    <w:lvl w:ilvl="0" w:tplc="2BEC7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F1218D4"/>
    <w:multiLevelType w:val="hybridMultilevel"/>
    <w:tmpl w:val="80A4B8E2"/>
    <w:lvl w:ilvl="0" w:tplc="DD5A4066">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531188706">
    <w:abstractNumId w:val="46"/>
  </w:num>
  <w:num w:numId="2" w16cid:durableId="2134473783">
    <w:abstractNumId w:val="80"/>
  </w:num>
  <w:num w:numId="3" w16cid:durableId="733891144">
    <w:abstractNumId w:val="56"/>
  </w:num>
  <w:num w:numId="4" w16cid:durableId="2062172376">
    <w:abstractNumId w:val="66"/>
  </w:num>
  <w:num w:numId="5" w16cid:durableId="841235215">
    <w:abstractNumId w:val="54"/>
  </w:num>
  <w:num w:numId="6" w16cid:durableId="1734350340">
    <w:abstractNumId w:val="36"/>
  </w:num>
  <w:num w:numId="7" w16cid:durableId="1398091676">
    <w:abstractNumId w:val="75"/>
  </w:num>
  <w:num w:numId="8" w16cid:durableId="877356769">
    <w:abstractNumId w:val="67"/>
  </w:num>
  <w:num w:numId="9" w16cid:durableId="1458640857">
    <w:abstractNumId w:val="79"/>
  </w:num>
  <w:num w:numId="10" w16cid:durableId="483595304">
    <w:abstractNumId w:val="73"/>
  </w:num>
  <w:num w:numId="11" w16cid:durableId="1128860959">
    <w:abstractNumId w:val="48"/>
  </w:num>
  <w:num w:numId="12" w16cid:durableId="1565294070">
    <w:abstractNumId w:val="0"/>
  </w:num>
  <w:num w:numId="13" w16cid:durableId="1632204184">
    <w:abstractNumId w:val="35"/>
  </w:num>
  <w:num w:numId="14" w16cid:durableId="1021589139">
    <w:abstractNumId w:val="42"/>
  </w:num>
  <w:num w:numId="15" w16cid:durableId="707726877">
    <w:abstractNumId w:val="71"/>
  </w:num>
  <w:num w:numId="16" w16cid:durableId="1281035714">
    <w:abstractNumId w:val="32"/>
  </w:num>
  <w:num w:numId="17" w16cid:durableId="1757510510">
    <w:abstractNumId w:val="62"/>
  </w:num>
  <w:num w:numId="18" w16cid:durableId="551889318">
    <w:abstractNumId w:val="44"/>
  </w:num>
  <w:num w:numId="19" w16cid:durableId="701780882">
    <w:abstractNumId w:val="57"/>
  </w:num>
  <w:num w:numId="20" w16cid:durableId="1457333596">
    <w:abstractNumId w:val="78"/>
  </w:num>
  <w:num w:numId="21" w16cid:durableId="8511844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525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08645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1688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23079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08913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8160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673611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6493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7724537">
    <w:abstractNumId w:val="61"/>
    <w:lvlOverride w:ilvl="0">
      <w:startOverride w:val="1"/>
    </w:lvlOverride>
    <w:lvlOverride w:ilvl="1"/>
    <w:lvlOverride w:ilvl="2"/>
    <w:lvlOverride w:ilvl="3"/>
    <w:lvlOverride w:ilvl="4"/>
    <w:lvlOverride w:ilvl="5"/>
    <w:lvlOverride w:ilvl="6"/>
    <w:lvlOverride w:ilvl="7"/>
    <w:lvlOverride w:ilvl="8"/>
  </w:num>
  <w:num w:numId="31" w16cid:durableId="2056735442">
    <w:abstractNumId w:val="1"/>
  </w:num>
  <w:num w:numId="32" w16cid:durableId="1032076662">
    <w:abstractNumId w:val="19"/>
  </w:num>
  <w:num w:numId="33" w16cid:durableId="1158375145">
    <w:abstractNumId w:val="6"/>
  </w:num>
  <w:num w:numId="34" w16cid:durableId="1461454685">
    <w:abstractNumId w:val="45"/>
  </w:num>
  <w:num w:numId="35" w16cid:durableId="1701272340">
    <w:abstractNumId w:val="12"/>
  </w:num>
  <w:num w:numId="36" w16cid:durableId="884608546">
    <w:abstractNumId w:val="26"/>
  </w:num>
  <w:num w:numId="37" w16cid:durableId="935092017">
    <w:abstractNumId w:val="29"/>
  </w:num>
  <w:num w:numId="38" w16cid:durableId="1605845318">
    <w:abstractNumId w:val="59"/>
  </w:num>
  <w:num w:numId="39" w16cid:durableId="2004309739">
    <w:abstractNumId w:val="14"/>
  </w:num>
  <w:num w:numId="40" w16cid:durableId="523439698">
    <w:abstractNumId w:val="3"/>
  </w:num>
  <w:num w:numId="41" w16cid:durableId="1994292560">
    <w:abstractNumId w:val="4"/>
  </w:num>
  <w:num w:numId="42" w16cid:durableId="923800766">
    <w:abstractNumId w:val="7"/>
  </w:num>
  <w:num w:numId="43" w16cid:durableId="1741445349">
    <w:abstractNumId w:val="10"/>
  </w:num>
  <w:num w:numId="44" w16cid:durableId="706565465">
    <w:abstractNumId w:val="11"/>
  </w:num>
  <w:num w:numId="45" w16cid:durableId="1031415586">
    <w:abstractNumId w:val="13"/>
  </w:num>
  <w:num w:numId="46" w16cid:durableId="2002148927">
    <w:abstractNumId w:val="18"/>
  </w:num>
  <w:num w:numId="47" w16cid:durableId="584993422">
    <w:abstractNumId w:val="20"/>
  </w:num>
  <w:num w:numId="48" w16cid:durableId="719128798">
    <w:abstractNumId w:val="24"/>
  </w:num>
  <w:num w:numId="49" w16cid:durableId="882867491">
    <w:abstractNumId w:val="25"/>
  </w:num>
  <w:num w:numId="50" w16cid:durableId="1357198847">
    <w:abstractNumId w:val="53"/>
  </w:num>
  <w:num w:numId="51" w16cid:durableId="1291935495">
    <w:abstractNumId w:val="30"/>
  </w:num>
  <w:num w:numId="52" w16cid:durableId="1576166405">
    <w:abstractNumId w:val="69"/>
  </w:num>
  <w:num w:numId="53" w16cid:durableId="1580364006">
    <w:abstractNumId w:val="38"/>
  </w:num>
  <w:num w:numId="54" w16cid:durableId="886718408">
    <w:abstractNumId w:val="37"/>
  </w:num>
  <w:num w:numId="55" w16cid:durableId="1096370142">
    <w:abstractNumId w:val="58"/>
  </w:num>
  <w:num w:numId="56" w16cid:durableId="538320345">
    <w:abstractNumId w:val="28"/>
  </w:num>
  <w:num w:numId="57" w16cid:durableId="10398156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2013934">
    <w:abstractNumId w:val="55"/>
  </w:num>
  <w:num w:numId="59" w16cid:durableId="263540937">
    <w:abstractNumId w:val="34"/>
  </w:num>
  <w:num w:numId="60" w16cid:durableId="1272585895">
    <w:abstractNumId w:val="43"/>
  </w:num>
  <w:num w:numId="61" w16cid:durableId="1205018623">
    <w:abstractNumId w:val="52"/>
  </w:num>
  <w:num w:numId="62" w16cid:durableId="1589728661">
    <w:abstractNumId w:val="60"/>
  </w:num>
  <w:num w:numId="63" w16cid:durableId="1391222643">
    <w:abstractNumId w:val="33"/>
  </w:num>
  <w:num w:numId="64" w16cid:durableId="1976444083">
    <w:abstractNumId w:val="49"/>
  </w:num>
  <w:num w:numId="65" w16cid:durableId="2065447461">
    <w:abstractNumId w:val="40"/>
  </w:num>
  <w:num w:numId="66" w16cid:durableId="396401">
    <w:abstractNumId w:val="63"/>
  </w:num>
  <w:num w:numId="67" w16cid:durableId="862595622">
    <w:abstractNumId w:val="76"/>
  </w:num>
  <w:num w:numId="68" w16cid:durableId="854225841">
    <w:abstractNumId w:val="51"/>
  </w:num>
  <w:num w:numId="69" w16cid:durableId="223562928">
    <w:abstractNumId w:val="39"/>
  </w:num>
  <w:num w:numId="70" w16cid:durableId="433136775">
    <w:abstractNumId w:val="47"/>
  </w:num>
  <w:num w:numId="71" w16cid:durableId="1766026604">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bordersDoNotSurroundHeader/>
  <w:bordersDoNotSurroundFooter/>
  <w:hideSpellingErrors/>
  <w:hideGrammaticalErrors/>
  <w:proofState w:spelling="clean" w:grammar="clean"/>
  <w:defaultTabStop w:val="482"/>
  <w:drawingGridHorizontalSpacing w:val="100"/>
  <w:displayHorizontalDrawingGridEvery w:val="0"/>
  <w:displayVerticalDrawingGridEvery w:val="2"/>
  <w:characterSpacingControl w:val="compressPunctuation"/>
  <w:hdrShapeDefaults>
    <o:shapedefaults v:ext="edit" spidmax="17305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57"/>
    <w:rsid w:val="000008BE"/>
    <w:rsid w:val="00000DFA"/>
    <w:rsid w:val="00000F87"/>
    <w:rsid w:val="0000132B"/>
    <w:rsid w:val="00001C03"/>
    <w:rsid w:val="000030A4"/>
    <w:rsid w:val="00003594"/>
    <w:rsid w:val="0000443C"/>
    <w:rsid w:val="00007A15"/>
    <w:rsid w:val="000107CE"/>
    <w:rsid w:val="00010C5F"/>
    <w:rsid w:val="00012212"/>
    <w:rsid w:val="00012380"/>
    <w:rsid w:val="00012615"/>
    <w:rsid w:val="000132A4"/>
    <w:rsid w:val="0001349D"/>
    <w:rsid w:val="00013582"/>
    <w:rsid w:val="00013820"/>
    <w:rsid w:val="00013CF1"/>
    <w:rsid w:val="00013F1A"/>
    <w:rsid w:val="00015887"/>
    <w:rsid w:val="00015DC0"/>
    <w:rsid w:val="00017F52"/>
    <w:rsid w:val="0002062F"/>
    <w:rsid w:val="0002065E"/>
    <w:rsid w:val="00021987"/>
    <w:rsid w:val="00021E54"/>
    <w:rsid w:val="00023591"/>
    <w:rsid w:val="000235CD"/>
    <w:rsid w:val="00024608"/>
    <w:rsid w:val="00024B08"/>
    <w:rsid w:val="00025362"/>
    <w:rsid w:val="00025979"/>
    <w:rsid w:val="00025E7D"/>
    <w:rsid w:val="00025EA4"/>
    <w:rsid w:val="00026916"/>
    <w:rsid w:val="00027D27"/>
    <w:rsid w:val="0003013A"/>
    <w:rsid w:val="00030D79"/>
    <w:rsid w:val="00031F5E"/>
    <w:rsid w:val="000321DF"/>
    <w:rsid w:val="00032FDE"/>
    <w:rsid w:val="00033178"/>
    <w:rsid w:val="00033632"/>
    <w:rsid w:val="000336F3"/>
    <w:rsid w:val="00034351"/>
    <w:rsid w:val="00034CB4"/>
    <w:rsid w:val="00035C44"/>
    <w:rsid w:val="00036631"/>
    <w:rsid w:val="00036A3A"/>
    <w:rsid w:val="00036C15"/>
    <w:rsid w:val="00036C53"/>
    <w:rsid w:val="00037854"/>
    <w:rsid w:val="00037906"/>
    <w:rsid w:val="000379F3"/>
    <w:rsid w:val="000413D6"/>
    <w:rsid w:val="0004144F"/>
    <w:rsid w:val="0004201D"/>
    <w:rsid w:val="0004290C"/>
    <w:rsid w:val="00042FE2"/>
    <w:rsid w:val="00043231"/>
    <w:rsid w:val="00043640"/>
    <w:rsid w:val="00043EEB"/>
    <w:rsid w:val="00044951"/>
    <w:rsid w:val="00045218"/>
    <w:rsid w:val="00045E58"/>
    <w:rsid w:val="0004623D"/>
    <w:rsid w:val="00046620"/>
    <w:rsid w:val="00046A9E"/>
    <w:rsid w:val="000471F6"/>
    <w:rsid w:val="0004729D"/>
    <w:rsid w:val="0004768B"/>
    <w:rsid w:val="00050A21"/>
    <w:rsid w:val="00050B75"/>
    <w:rsid w:val="00050E85"/>
    <w:rsid w:val="0005179F"/>
    <w:rsid w:val="00051A0B"/>
    <w:rsid w:val="00051BB5"/>
    <w:rsid w:val="000526AD"/>
    <w:rsid w:val="00052B50"/>
    <w:rsid w:val="00052EC2"/>
    <w:rsid w:val="00053185"/>
    <w:rsid w:val="00054393"/>
    <w:rsid w:val="00054F5A"/>
    <w:rsid w:val="00056531"/>
    <w:rsid w:val="00056B64"/>
    <w:rsid w:val="00056C13"/>
    <w:rsid w:val="00057C06"/>
    <w:rsid w:val="00060537"/>
    <w:rsid w:val="000609B1"/>
    <w:rsid w:val="00061FED"/>
    <w:rsid w:val="00062366"/>
    <w:rsid w:val="00062B7F"/>
    <w:rsid w:val="000630FC"/>
    <w:rsid w:val="000634A1"/>
    <w:rsid w:val="00064904"/>
    <w:rsid w:val="00065234"/>
    <w:rsid w:val="00065466"/>
    <w:rsid w:val="000665E3"/>
    <w:rsid w:val="000668C6"/>
    <w:rsid w:val="00067246"/>
    <w:rsid w:val="00067255"/>
    <w:rsid w:val="00067395"/>
    <w:rsid w:val="00067617"/>
    <w:rsid w:val="000677A4"/>
    <w:rsid w:val="00070E01"/>
    <w:rsid w:val="000717B9"/>
    <w:rsid w:val="00071E80"/>
    <w:rsid w:val="00072165"/>
    <w:rsid w:val="000724CE"/>
    <w:rsid w:val="00072A79"/>
    <w:rsid w:val="000733C7"/>
    <w:rsid w:val="000737AC"/>
    <w:rsid w:val="000748D0"/>
    <w:rsid w:val="00074D17"/>
    <w:rsid w:val="00075DF4"/>
    <w:rsid w:val="0007611A"/>
    <w:rsid w:val="000763BF"/>
    <w:rsid w:val="0007655C"/>
    <w:rsid w:val="000801DC"/>
    <w:rsid w:val="00080C93"/>
    <w:rsid w:val="00083254"/>
    <w:rsid w:val="000832CC"/>
    <w:rsid w:val="000834AE"/>
    <w:rsid w:val="0008665B"/>
    <w:rsid w:val="00086750"/>
    <w:rsid w:val="00086C8D"/>
    <w:rsid w:val="00086CE5"/>
    <w:rsid w:val="00087CF9"/>
    <w:rsid w:val="00087E83"/>
    <w:rsid w:val="00091D81"/>
    <w:rsid w:val="000926B6"/>
    <w:rsid w:val="00093FDE"/>
    <w:rsid w:val="00094703"/>
    <w:rsid w:val="00094F84"/>
    <w:rsid w:val="0009514E"/>
    <w:rsid w:val="0009626B"/>
    <w:rsid w:val="000967EC"/>
    <w:rsid w:val="000A0193"/>
    <w:rsid w:val="000A15EA"/>
    <w:rsid w:val="000A18E7"/>
    <w:rsid w:val="000A1BD9"/>
    <w:rsid w:val="000A1E55"/>
    <w:rsid w:val="000A1F87"/>
    <w:rsid w:val="000A248B"/>
    <w:rsid w:val="000A2A60"/>
    <w:rsid w:val="000A2A83"/>
    <w:rsid w:val="000A2F94"/>
    <w:rsid w:val="000A45EF"/>
    <w:rsid w:val="000A4E0D"/>
    <w:rsid w:val="000A5AE1"/>
    <w:rsid w:val="000A6135"/>
    <w:rsid w:val="000A6B32"/>
    <w:rsid w:val="000A76A0"/>
    <w:rsid w:val="000A772C"/>
    <w:rsid w:val="000B06C6"/>
    <w:rsid w:val="000B07D4"/>
    <w:rsid w:val="000B20D4"/>
    <w:rsid w:val="000B48C6"/>
    <w:rsid w:val="000B52EC"/>
    <w:rsid w:val="000B55C2"/>
    <w:rsid w:val="000B60D4"/>
    <w:rsid w:val="000B6933"/>
    <w:rsid w:val="000B7878"/>
    <w:rsid w:val="000C001C"/>
    <w:rsid w:val="000C00B1"/>
    <w:rsid w:val="000C010D"/>
    <w:rsid w:val="000C08DD"/>
    <w:rsid w:val="000C0BE7"/>
    <w:rsid w:val="000C180A"/>
    <w:rsid w:val="000C25D1"/>
    <w:rsid w:val="000C34ED"/>
    <w:rsid w:val="000C6238"/>
    <w:rsid w:val="000C718F"/>
    <w:rsid w:val="000D0693"/>
    <w:rsid w:val="000D0C63"/>
    <w:rsid w:val="000D0D1D"/>
    <w:rsid w:val="000D1970"/>
    <w:rsid w:val="000D2BF0"/>
    <w:rsid w:val="000D3270"/>
    <w:rsid w:val="000D477C"/>
    <w:rsid w:val="000D47C9"/>
    <w:rsid w:val="000D4B6E"/>
    <w:rsid w:val="000D4D78"/>
    <w:rsid w:val="000D5512"/>
    <w:rsid w:val="000D57AC"/>
    <w:rsid w:val="000D5869"/>
    <w:rsid w:val="000D5B78"/>
    <w:rsid w:val="000D5C9B"/>
    <w:rsid w:val="000D6518"/>
    <w:rsid w:val="000D7EA9"/>
    <w:rsid w:val="000E107B"/>
    <w:rsid w:val="000E16F5"/>
    <w:rsid w:val="000E1850"/>
    <w:rsid w:val="000E2176"/>
    <w:rsid w:val="000E2E79"/>
    <w:rsid w:val="000E32E8"/>
    <w:rsid w:val="000E37C3"/>
    <w:rsid w:val="000E43B1"/>
    <w:rsid w:val="000E4B62"/>
    <w:rsid w:val="000E62DB"/>
    <w:rsid w:val="000E62F6"/>
    <w:rsid w:val="000E63CA"/>
    <w:rsid w:val="000E78BA"/>
    <w:rsid w:val="000E7A2D"/>
    <w:rsid w:val="000E7E3F"/>
    <w:rsid w:val="000F07D7"/>
    <w:rsid w:val="000F143F"/>
    <w:rsid w:val="000F2158"/>
    <w:rsid w:val="000F2795"/>
    <w:rsid w:val="000F69E7"/>
    <w:rsid w:val="000F69FE"/>
    <w:rsid w:val="000F7607"/>
    <w:rsid w:val="000F7880"/>
    <w:rsid w:val="00100196"/>
    <w:rsid w:val="00100B71"/>
    <w:rsid w:val="001014CC"/>
    <w:rsid w:val="001016FE"/>
    <w:rsid w:val="0010236D"/>
    <w:rsid w:val="00102371"/>
    <w:rsid w:val="00102D98"/>
    <w:rsid w:val="00103244"/>
    <w:rsid w:val="0010366F"/>
    <w:rsid w:val="00103B24"/>
    <w:rsid w:val="00103B85"/>
    <w:rsid w:val="001041D3"/>
    <w:rsid w:val="001045A0"/>
    <w:rsid w:val="0010499C"/>
    <w:rsid w:val="00105156"/>
    <w:rsid w:val="00105595"/>
    <w:rsid w:val="00106359"/>
    <w:rsid w:val="00107719"/>
    <w:rsid w:val="0011021A"/>
    <w:rsid w:val="00110621"/>
    <w:rsid w:val="0011089C"/>
    <w:rsid w:val="001116CC"/>
    <w:rsid w:val="00112529"/>
    <w:rsid w:val="00113BD9"/>
    <w:rsid w:val="001148F7"/>
    <w:rsid w:val="00114D52"/>
    <w:rsid w:val="001177B0"/>
    <w:rsid w:val="00117BFE"/>
    <w:rsid w:val="0012055E"/>
    <w:rsid w:val="00122BC0"/>
    <w:rsid w:val="00123C32"/>
    <w:rsid w:val="00123DAB"/>
    <w:rsid w:val="0012484E"/>
    <w:rsid w:val="0013004F"/>
    <w:rsid w:val="00130127"/>
    <w:rsid w:val="00130E0B"/>
    <w:rsid w:val="00132625"/>
    <w:rsid w:val="00133644"/>
    <w:rsid w:val="00134C61"/>
    <w:rsid w:val="001362D1"/>
    <w:rsid w:val="00136436"/>
    <w:rsid w:val="00136EF5"/>
    <w:rsid w:val="00137283"/>
    <w:rsid w:val="0013733C"/>
    <w:rsid w:val="00137C4D"/>
    <w:rsid w:val="00140817"/>
    <w:rsid w:val="001410F5"/>
    <w:rsid w:val="0014148B"/>
    <w:rsid w:val="0014170E"/>
    <w:rsid w:val="001437F0"/>
    <w:rsid w:val="001441DF"/>
    <w:rsid w:val="0014544C"/>
    <w:rsid w:val="00145F3E"/>
    <w:rsid w:val="00146821"/>
    <w:rsid w:val="0014703E"/>
    <w:rsid w:val="0014779B"/>
    <w:rsid w:val="00150432"/>
    <w:rsid w:val="00150B10"/>
    <w:rsid w:val="00150E22"/>
    <w:rsid w:val="00150E7E"/>
    <w:rsid w:val="001510A8"/>
    <w:rsid w:val="001513E3"/>
    <w:rsid w:val="001513EA"/>
    <w:rsid w:val="001525AB"/>
    <w:rsid w:val="00152E56"/>
    <w:rsid w:val="00153453"/>
    <w:rsid w:val="00153499"/>
    <w:rsid w:val="0015394F"/>
    <w:rsid w:val="00154E72"/>
    <w:rsid w:val="00155296"/>
    <w:rsid w:val="00155665"/>
    <w:rsid w:val="00156D76"/>
    <w:rsid w:val="00157615"/>
    <w:rsid w:val="00160814"/>
    <w:rsid w:val="00160F44"/>
    <w:rsid w:val="0016125B"/>
    <w:rsid w:val="001614EF"/>
    <w:rsid w:val="001617BA"/>
    <w:rsid w:val="00161B5D"/>
    <w:rsid w:val="00161CCF"/>
    <w:rsid w:val="00162A3D"/>
    <w:rsid w:val="00164C4A"/>
    <w:rsid w:val="00165227"/>
    <w:rsid w:val="00165A23"/>
    <w:rsid w:val="00166659"/>
    <w:rsid w:val="0016738B"/>
    <w:rsid w:val="00167437"/>
    <w:rsid w:val="001702A6"/>
    <w:rsid w:val="00170411"/>
    <w:rsid w:val="00171F67"/>
    <w:rsid w:val="00172967"/>
    <w:rsid w:val="00172B54"/>
    <w:rsid w:val="001747A2"/>
    <w:rsid w:val="00174FB3"/>
    <w:rsid w:val="001752E2"/>
    <w:rsid w:val="00175C37"/>
    <w:rsid w:val="00175DEC"/>
    <w:rsid w:val="00176579"/>
    <w:rsid w:val="0017695C"/>
    <w:rsid w:val="0017755C"/>
    <w:rsid w:val="00177657"/>
    <w:rsid w:val="001776E1"/>
    <w:rsid w:val="00180756"/>
    <w:rsid w:val="00180C3A"/>
    <w:rsid w:val="001811E9"/>
    <w:rsid w:val="001820D9"/>
    <w:rsid w:val="00183326"/>
    <w:rsid w:val="00185914"/>
    <w:rsid w:val="00186097"/>
    <w:rsid w:val="00186F18"/>
    <w:rsid w:val="00187025"/>
    <w:rsid w:val="001876D8"/>
    <w:rsid w:val="00190D67"/>
    <w:rsid w:val="00191262"/>
    <w:rsid w:val="00191E0B"/>
    <w:rsid w:val="00192E7C"/>
    <w:rsid w:val="00193455"/>
    <w:rsid w:val="0019465D"/>
    <w:rsid w:val="00196704"/>
    <w:rsid w:val="00197ADA"/>
    <w:rsid w:val="001A0492"/>
    <w:rsid w:val="001A0CEE"/>
    <w:rsid w:val="001A21CA"/>
    <w:rsid w:val="001A2DE3"/>
    <w:rsid w:val="001A350E"/>
    <w:rsid w:val="001A5146"/>
    <w:rsid w:val="001A59DD"/>
    <w:rsid w:val="001A5EF4"/>
    <w:rsid w:val="001A63FE"/>
    <w:rsid w:val="001A78AC"/>
    <w:rsid w:val="001B11EF"/>
    <w:rsid w:val="001B2A43"/>
    <w:rsid w:val="001B39FD"/>
    <w:rsid w:val="001B3B44"/>
    <w:rsid w:val="001B4396"/>
    <w:rsid w:val="001B6026"/>
    <w:rsid w:val="001B6E07"/>
    <w:rsid w:val="001B7F10"/>
    <w:rsid w:val="001C0971"/>
    <w:rsid w:val="001C1EA9"/>
    <w:rsid w:val="001C2DF0"/>
    <w:rsid w:val="001C3844"/>
    <w:rsid w:val="001C3C49"/>
    <w:rsid w:val="001C45CD"/>
    <w:rsid w:val="001C4B28"/>
    <w:rsid w:val="001C4E63"/>
    <w:rsid w:val="001C54CC"/>
    <w:rsid w:val="001C5687"/>
    <w:rsid w:val="001C5F12"/>
    <w:rsid w:val="001C6675"/>
    <w:rsid w:val="001C68A0"/>
    <w:rsid w:val="001C6D45"/>
    <w:rsid w:val="001C7095"/>
    <w:rsid w:val="001C78D1"/>
    <w:rsid w:val="001D0D4A"/>
    <w:rsid w:val="001D1285"/>
    <w:rsid w:val="001D1B97"/>
    <w:rsid w:val="001D1F4A"/>
    <w:rsid w:val="001D213E"/>
    <w:rsid w:val="001D25C6"/>
    <w:rsid w:val="001D33A0"/>
    <w:rsid w:val="001D3A08"/>
    <w:rsid w:val="001D4074"/>
    <w:rsid w:val="001D4405"/>
    <w:rsid w:val="001D5FE8"/>
    <w:rsid w:val="001D6590"/>
    <w:rsid w:val="001D7C56"/>
    <w:rsid w:val="001E17EC"/>
    <w:rsid w:val="001E245E"/>
    <w:rsid w:val="001E29B7"/>
    <w:rsid w:val="001E2A32"/>
    <w:rsid w:val="001E2BEC"/>
    <w:rsid w:val="001E3E9B"/>
    <w:rsid w:val="001E4BF5"/>
    <w:rsid w:val="001E4D81"/>
    <w:rsid w:val="001E56E5"/>
    <w:rsid w:val="001E5726"/>
    <w:rsid w:val="001E5A12"/>
    <w:rsid w:val="001E74C3"/>
    <w:rsid w:val="001F1521"/>
    <w:rsid w:val="001F1BDA"/>
    <w:rsid w:val="001F1EF0"/>
    <w:rsid w:val="001F2419"/>
    <w:rsid w:val="001F2E3D"/>
    <w:rsid w:val="001F3160"/>
    <w:rsid w:val="001F394D"/>
    <w:rsid w:val="001F39C0"/>
    <w:rsid w:val="001F3A28"/>
    <w:rsid w:val="001F3EF0"/>
    <w:rsid w:val="001F4602"/>
    <w:rsid w:val="001F4F18"/>
    <w:rsid w:val="001F70BB"/>
    <w:rsid w:val="002000E6"/>
    <w:rsid w:val="00200398"/>
    <w:rsid w:val="002021C4"/>
    <w:rsid w:val="00202871"/>
    <w:rsid w:val="0020318C"/>
    <w:rsid w:val="00203242"/>
    <w:rsid w:val="00203666"/>
    <w:rsid w:val="002036B4"/>
    <w:rsid w:val="002037AB"/>
    <w:rsid w:val="00203949"/>
    <w:rsid w:val="00203BE8"/>
    <w:rsid w:val="002049FA"/>
    <w:rsid w:val="00204FCF"/>
    <w:rsid w:val="00205121"/>
    <w:rsid w:val="002053FB"/>
    <w:rsid w:val="002057ED"/>
    <w:rsid w:val="0020776B"/>
    <w:rsid w:val="00211136"/>
    <w:rsid w:val="0021190D"/>
    <w:rsid w:val="00212444"/>
    <w:rsid w:val="002125B6"/>
    <w:rsid w:val="00213CED"/>
    <w:rsid w:val="00214537"/>
    <w:rsid w:val="00214FA9"/>
    <w:rsid w:val="00215149"/>
    <w:rsid w:val="00215733"/>
    <w:rsid w:val="00215A45"/>
    <w:rsid w:val="00215B81"/>
    <w:rsid w:val="00216206"/>
    <w:rsid w:val="0021629C"/>
    <w:rsid w:val="00216553"/>
    <w:rsid w:val="00216601"/>
    <w:rsid w:val="0021664F"/>
    <w:rsid w:val="00216943"/>
    <w:rsid w:val="00216BA2"/>
    <w:rsid w:val="00217BE5"/>
    <w:rsid w:val="00217EEC"/>
    <w:rsid w:val="00221780"/>
    <w:rsid w:val="00221CDC"/>
    <w:rsid w:val="00221F0F"/>
    <w:rsid w:val="0022225D"/>
    <w:rsid w:val="002230E5"/>
    <w:rsid w:val="0022383F"/>
    <w:rsid w:val="00224207"/>
    <w:rsid w:val="00224A8E"/>
    <w:rsid w:val="00224B6E"/>
    <w:rsid w:val="00224F09"/>
    <w:rsid w:val="00225187"/>
    <w:rsid w:val="00225F62"/>
    <w:rsid w:val="002277DC"/>
    <w:rsid w:val="00230DEC"/>
    <w:rsid w:val="00230EE2"/>
    <w:rsid w:val="00231EC8"/>
    <w:rsid w:val="00232589"/>
    <w:rsid w:val="002330DA"/>
    <w:rsid w:val="00233433"/>
    <w:rsid w:val="002337B5"/>
    <w:rsid w:val="00233CFC"/>
    <w:rsid w:val="002342E8"/>
    <w:rsid w:val="00235AF2"/>
    <w:rsid w:val="00235FFA"/>
    <w:rsid w:val="00236DEF"/>
    <w:rsid w:val="002403BC"/>
    <w:rsid w:val="00240A05"/>
    <w:rsid w:val="00241C3B"/>
    <w:rsid w:val="0024225E"/>
    <w:rsid w:val="002426FA"/>
    <w:rsid w:val="00242E37"/>
    <w:rsid w:val="00246932"/>
    <w:rsid w:val="00247102"/>
    <w:rsid w:val="002472EC"/>
    <w:rsid w:val="002509C6"/>
    <w:rsid w:val="002511D5"/>
    <w:rsid w:val="00252558"/>
    <w:rsid w:val="0025261D"/>
    <w:rsid w:val="00252697"/>
    <w:rsid w:val="002527A1"/>
    <w:rsid w:val="002527CB"/>
    <w:rsid w:val="002532DD"/>
    <w:rsid w:val="002539BD"/>
    <w:rsid w:val="00253AFB"/>
    <w:rsid w:val="00253DDD"/>
    <w:rsid w:val="00253F98"/>
    <w:rsid w:val="00254772"/>
    <w:rsid w:val="00254944"/>
    <w:rsid w:val="00254C0F"/>
    <w:rsid w:val="00255822"/>
    <w:rsid w:val="002560CE"/>
    <w:rsid w:val="00256712"/>
    <w:rsid w:val="0025780D"/>
    <w:rsid w:val="002578F5"/>
    <w:rsid w:val="00257D9B"/>
    <w:rsid w:val="00257F1E"/>
    <w:rsid w:val="0026026F"/>
    <w:rsid w:val="00261596"/>
    <w:rsid w:val="002615A2"/>
    <w:rsid w:val="0026497C"/>
    <w:rsid w:val="00265864"/>
    <w:rsid w:val="00265A05"/>
    <w:rsid w:val="00265BF9"/>
    <w:rsid w:val="00265C1F"/>
    <w:rsid w:val="00265D68"/>
    <w:rsid w:val="00265E36"/>
    <w:rsid w:val="002668CC"/>
    <w:rsid w:val="0027000B"/>
    <w:rsid w:val="0027008C"/>
    <w:rsid w:val="0027072F"/>
    <w:rsid w:val="002707E1"/>
    <w:rsid w:val="00271C1E"/>
    <w:rsid w:val="00271DC1"/>
    <w:rsid w:val="00272425"/>
    <w:rsid w:val="00272D6C"/>
    <w:rsid w:val="0027373F"/>
    <w:rsid w:val="00274E53"/>
    <w:rsid w:val="00274EA6"/>
    <w:rsid w:val="0027521A"/>
    <w:rsid w:val="00275E1B"/>
    <w:rsid w:val="002816A8"/>
    <w:rsid w:val="002818E4"/>
    <w:rsid w:val="00281B05"/>
    <w:rsid w:val="002822D2"/>
    <w:rsid w:val="00282C02"/>
    <w:rsid w:val="00283894"/>
    <w:rsid w:val="0028429F"/>
    <w:rsid w:val="0028538D"/>
    <w:rsid w:val="00285B6D"/>
    <w:rsid w:val="0028643C"/>
    <w:rsid w:val="002865BF"/>
    <w:rsid w:val="00287D13"/>
    <w:rsid w:val="00287DAE"/>
    <w:rsid w:val="00290784"/>
    <w:rsid w:val="00290883"/>
    <w:rsid w:val="002910BC"/>
    <w:rsid w:val="0029131C"/>
    <w:rsid w:val="002921B2"/>
    <w:rsid w:val="00292EB6"/>
    <w:rsid w:val="00293499"/>
    <w:rsid w:val="00293C0D"/>
    <w:rsid w:val="00295490"/>
    <w:rsid w:val="0029623D"/>
    <w:rsid w:val="0029639E"/>
    <w:rsid w:val="00296B15"/>
    <w:rsid w:val="00296DA5"/>
    <w:rsid w:val="00296F0A"/>
    <w:rsid w:val="00296F2C"/>
    <w:rsid w:val="0029778C"/>
    <w:rsid w:val="00297AD1"/>
    <w:rsid w:val="002A1470"/>
    <w:rsid w:val="002A32F7"/>
    <w:rsid w:val="002A3B39"/>
    <w:rsid w:val="002A5685"/>
    <w:rsid w:val="002A5EFD"/>
    <w:rsid w:val="002A6F4C"/>
    <w:rsid w:val="002B0A85"/>
    <w:rsid w:val="002B0A90"/>
    <w:rsid w:val="002B22AF"/>
    <w:rsid w:val="002B37AB"/>
    <w:rsid w:val="002B3DF7"/>
    <w:rsid w:val="002B47A4"/>
    <w:rsid w:val="002B65F0"/>
    <w:rsid w:val="002B6634"/>
    <w:rsid w:val="002B6916"/>
    <w:rsid w:val="002B6AD1"/>
    <w:rsid w:val="002C192D"/>
    <w:rsid w:val="002C1A85"/>
    <w:rsid w:val="002C237E"/>
    <w:rsid w:val="002C2DA8"/>
    <w:rsid w:val="002C3FF5"/>
    <w:rsid w:val="002C41F9"/>
    <w:rsid w:val="002C4264"/>
    <w:rsid w:val="002C4C82"/>
    <w:rsid w:val="002C5065"/>
    <w:rsid w:val="002C51F1"/>
    <w:rsid w:val="002C52A0"/>
    <w:rsid w:val="002C5773"/>
    <w:rsid w:val="002C68E5"/>
    <w:rsid w:val="002C6D3F"/>
    <w:rsid w:val="002C7931"/>
    <w:rsid w:val="002D0367"/>
    <w:rsid w:val="002D104D"/>
    <w:rsid w:val="002D11E4"/>
    <w:rsid w:val="002D1BDE"/>
    <w:rsid w:val="002D1CD8"/>
    <w:rsid w:val="002D2064"/>
    <w:rsid w:val="002D26B5"/>
    <w:rsid w:val="002D28A2"/>
    <w:rsid w:val="002D3549"/>
    <w:rsid w:val="002D38B6"/>
    <w:rsid w:val="002D3F9A"/>
    <w:rsid w:val="002D400C"/>
    <w:rsid w:val="002D478D"/>
    <w:rsid w:val="002D4C95"/>
    <w:rsid w:val="002D5083"/>
    <w:rsid w:val="002D62C7"/>
    <w:rsid w:val="002D650F"/>
    <w:rsid w:val="002D6F14"/>
    <w:rsid w:val="002D7471"/>
    <w:rsid w:val="002E01C1"/>
    <w:rsid w:val="002E0400"/>
    <w:rsid w:val="002E0AB0"/>
    <w:rsid w:val="002E1138"/>
    <w:rsid w:val="002E1292"/>
    <w:rsid w:val="002E2181"/>
    <w:rsid w:val="002E284D"/>
    <w:rsid w:val="002E2BF3"/>
    <w:rsid w:val="002E36D6"/>
    <w:rsid w:val="002E3CD4"/>
    <w:rsid w:val="002E415E"/>
    <w:rsid w:val="002E57CE"/>
    <w:rsid w:val="002E6C43"/>
    <w:rsid w:val="002E7131"/>
    <w:rsid w:val="002E7ADD"/>
    <w:rsid w:val="002E7B0A"/>
    <w:rsid w:val="002F09CD"/>
    <w:rsid w:val="002F09DC"/>
    <w:rsid w:val="002F1C23"/>
    <w:rsid w:val="002F2348"/>
    <w:rsid w:val="002F2AE4"/>
    <w:rsid w:val="002F2E35"/>
    <w:rsid w:val="002F30A1"/>
    <w:rsid w:val="002F35D2"/>
    <w:rsid w:val="002F3D32"/>
    <w:rsid w:val="002F4A51"/>
    <w:rsid w:val="002F4D57"/>
    <w:rsid w:val="002F7E39"/>
    <w:rsid w:val="002F7E82"/>
    <w:rsid w:val="00300738"/>
    <w:rsid w:val="00300CB6"/>
    <w:rsid w:val="00300E4F"/>
    <w:rsid w:val="00300FE2"/>
    <w:rsid w:val="00301050"/>
    <w:rsid w:val="003024B0"/>
    <w:rsid w:val="003028F9"/>
    <w:rsid w:val="0030331A"/>
    <w:rsid w:val="00303F44"/>
    <w:rsid w:val="003042CE"/>
    <w:rsid w:val="00304959"/>
    <w:rsid w:val="0030497B"/>
    <w:rsid w:val="00304D4F"/>
    <w:rsid w:val="00305036"/>
    <w:rsid w:val="0030589E"/>
    <w:rsid w:val="00305C3A"/>
    <w:rsid w:val="00305DAC"/>
    <w:rsid w:val="0031013B"/>
    <w:rsid w:val="00310A2F"/>
    <w:rsid w:val="003122E3"/>
    <w:rsid w:val="003139F1"/>
    <w:rsid w:val="00313A81"/>
    <w:rsid w:val="00313ADD"/>
    <w:rsid w:val="00315D30"/>
    <w:rsid w:val="00316509"/>
    <w:rsid w:val="0031658B"/>
    <w:rsid w:val="003165B3"/>
    <w:rsid w:val="003201F6"/>
    <w:rsid w:val="003204B6"/>
    <w:rsid w:val="00320A12"/>
    <w:rsid w:val="003220DF"/>
    <w:rsid w:val="003222BC"/>
    <w:rsid w:val="0032281C"/>
    <w:rsid w:val="00323167"/>
    <w:rsid w:val="003232D4"/>
    <w:rsid w:val="00323353"/>
    <w:rsid w:val="00323956"/>
    <w:rsid w:val="003242D3"/>
    <w:rsid w:val="003242F9"/>
    <w:rsid w:val="003243E4"/>
    <w:rsid w:val="0032558B"/>
    <w:rsid w:val="003256F6"/>
    <w:rsid w:val="00325B8E"/>
    <w:rsid w:val="00326343"/>
    <w:rsid w:val="00330208"/>
    <w:rsid w:val="003302CC"/>
    <w:rsid w:val="00330F91"/>
    <w:rsid w:val="003314A1"/>
    <w:rsid w:val="00331BA0"/>
    <w:rsid w:val="00331BB7"/>
    <w:rsid w:val="003327E9"/>
    <w:rsid w:val="00332C22"/>
    <w:rsid w:val="00333C02"/>
    <w:rsid w:val="0033438A"/>
    <w:rsid w:val="003357B0"/>
    <w:rsid w:val="00335A81"/>
    <w:rsid w:val="00336D17"/>
    <w:rsid w:val="00337141"/>
    <w:rsid w:val="00337C6C"/>
    <w:rsid w:val="00337CC9"/>
    <w:rsid w:val="00340065"/>
    <w:rsid w:val="00340754"/>
    <w:rsid w:val="003409B9"/>
    <w:rsid w:val="00340C2F"/>
    <w:rsid w:val="00342D97"/>
    <w:rsid w:val="00342F70"/>
    <w:rsid w:val="00343C40"/>
    <w:rsid w:val="00344219"/>
    <w:rsid w:val="0034449F"/>
    <w:rsid w:val="003450BA"/>
    <w:rsid w:val="0034540E"/>
    <w:rsid w:val="003474B3"/>
    <w:rsid w:val="00347554"/>
    <w:rsid w:val="00347DA2"/>
    <w:rsid w:val="003501C9"/>
    <w:rsid w:val="00350368"/>
    <w:rsid w:val="003506AE"/>
    <w:rsid w:val="00350754"/>
    <w:rsid w:val="003508A4"/>
    <w:rsid w:val="003509DE"/>
    <w:rsid w:val="00350FD2"/>
    <w:rsid w:val="00351AB5"/>
    <w:rsid w:val="00352179"/>
    <w:rsid w:val="0035315D"/>
    <w:rsid w:val="003547D1"/>
    <w:rsid w:val="00354B86"/>
    <w:rsid w:val="003572E1"/>
    <w:rsid w:val="003574DD"/>
    <w:rsid w:val="0035778A"/>
    <w:rsid w:val="00360504"/>
    <w:rsid w:val="00360B12"/>
    <w:rsid w:val="003626C7"/>
    <w:rsid w:val="0036296C"/>
    <w:rsid w:val="00363321"/>
    <w:rsid w:val="00365A0F"/>
    <w:rsid w:val="00365E67"/>
    <w:rsid w:val="003666EA"/>
    <w:rsid w:val="00366903"/>
    <w:rsid w:val="00366B87"/>
    <w:rsid w:val="00367651"/>
    <w:rsid w:val="00367B4B"/>
    <w:rsid w:val="0037175D"/>
    <w:rsid w:val="0037183C"/>
    <w:rsid w:val="00372436"/>
    <w:rsid w:val="00372825"/>
    <w:rsid w:val="00373588"/>
    <w:rsid w:val="003746FF"/>
    <w:rsid w:val="00374C72"/>
    <w:rsid w:val="00374DEA"/>
    <w:rsid w:val="00374F66"/>
    <w:rsid w:val="00375C8B"/>
    <w:rsid w:val="003765CD"/>
    <w:rsid w:val="0037698A"/>
    <w:rsid w:val="003774DF"/>
    <w:rsid w:val="00377943"/>
    <w:rsid w:val="00377EB7"/>
    <w:rsid w:val="00380176"/>
    <w:rsid w:val="0038045F"/>
    <w:rsid w:val="00380821"/>
    <w:rsid w:val="00381087"/>
    <w:rsid w:val="003810E4"/>
    <w:rsid w:val="00382586"/>
    <w:rsid w:val="00382DAE"/>
    <w:rsid w:val="00382F08"/>
    <w:rsid w:val="003833B5"/>
    <w:rsid w:val="00383A0F"/>
    <w:rsid w:val="003847E3"/>
    <w:rsid w:val="0038574D"/>
    <w:rsid w:val="003857F5"/>
    <w:rsid w:val="00385A3B"/>
    <w:rsid w:val="00386B6E"/>
    <w:rsid w:val="00387FC3"/>
    <w:rsid w:val="00390464"/>
    <w:rsid w:val="003927AD"/>
    <w:rsid w:val="003929ED"/>
    <w:rsid w:val="00393746"/>
    <w:rsid w:val="00393D32"/>
    <w:rsid w:val="00394AA3"/>
    <w:rsid w:val="00395FDD"/>
    <w:rsid w:val="00396B6B"/>
    <w:rsid w:val="00397986"/>
    <w:rsid w:val="003A09E4"/>
    <w:rsid w:val="003A1459"/>
    <w:rsid w:val="003A268D"/>
    <w:rsid w:val="003A2CD5"/>
    <w:rsid w:val="003A302D"/>
    <w:rsid w:val="003A3178"/>
    <w:rsid w:val="003A3994"/>
    <w:rsid w:val="003A4197"/>
    <w:rsid w:val="003A4B83"/>
    <w:rsid w:val="003A5912"/>
    <w:rsid w:val="003A5A3E"/>
    <w:rsid w:val="003A5BBD"/>
    <w:rsid w:val="003A67F0"/>
    <w:rsid w:val="003A6A2E"/>
    <w:rsid w:val="003A72A1"/>
    <w:rsid w:val="003B0977"/>
    <w:rsid w:val="003B1266"/>
    <w:rsid w:val="003B13AC"/>
    <w:rsid w:val="003B266B"/>
    <w:rsid w:val="003B3920"/>
    <w:rsid w:val="003B3B7C"/>
    <w:rsid w:val="003B414A"/>
    <w:rsid w:val="003B4921"/>
    <w:rsid w:val="003B7436"/>
    <w:rsid w:val="003B762C"/>
    <w:rsid w:val="003B795E"/>
    <w:rsid w:val="003B7E7F"/>
    <w:rsid w:val="003C02DE"/>
    <w:rsid w:val="003C038F"/>
    <w:rsid w:val="003C1286"/>
    <w:rsid w:val="003C13EC"/>
    <w:rsid w:val="003C23F0"/>
    <w:rsid w:val="003C2541"/>
    <w:rsid w:val="003C363C"/>
    <w:rsid w:val="003C38C5"/>
    <w:rsid w:val="003C3BA9"/>
    <w:rsid w:val="003C3F82"/>
    <w:rsid w:val="003C5EB6"/>
    <w:rsid w:val="003C61FD"/>
    <w:rsid w:val="003C65B8"/>
    <w:rsid w:val="003C6C48"/>
    <w:rsid w:val="003C6C6E"/>
    <w:rsid w:val="003C7BBA"/>
    <w:rsid w:val="003D0B25"/>
    <w:rsid w:val="003D22A4"/>
    <w:rsid w:val="003D36A2"/>
    <w:rsid w:val="003D3774"/>
    <w:rsid w:val="003D3EA6"/>
    <w:rsid w:val="003D479A"/>
    <w:rsid w:val="003D4AD6"/>
    <w:rsid w:val="003D6EDF"/>
    <w:rsid w:val="003E01EE"/>
    <w:rsid w:val="003E0476"/>
    <w:rsid w:val="003E096A"/>
    <w:rsid w:val="003E0C5D"/>
    <w:rsid w:val="003E1314"/>
    <w:rsid w:val="003E1CF4"/>
    <w:rsid w:val="003E318E"/>
    <w:rsid w:val="003E3501"/>
    <w:rsid w:val="003E3B71"/>
    <w:rsid w:val="003E3D02"/>
    <w:rsid w:val="003E4604"/>
    <w:rsid w:val="003E4938"/>
    <w:rsid w:val="003E512E"/>
    <w:rsid w:val="003E56F6"/>
    <w:rsid w:val="003E5A0F"/>
    <w:rsid w:val="003E5E01"/>
    <w:rsid w:val="003E6861"/>
    <w:rsid w:val="003E6D31"/>
    <w:rsid w:val="003F0C1B"/>
    <w:rsid w:val="003F0E82"/>
    <w:rsid w:val="003F23C9"/>
    <w:rsid w:val="003F2C6C"/>
    <w:rsid w:val="003F2D69"/>
    <w:rsid w:val="003F3821"/>
    <w:rsid w:val="003F3A43"/>
    <w:rsid w:val="003F4413"/>
    <w:rsid w:val="003F6116"/>
    <w:rsid w:val="003F6C49"/>
    <w:rsid w:val="003F73B0"/>
    <w:rsid w:val="003F797B"/>
    <w:rsid w:val="003F79BC"/>
    <w:rsid w:val="004001F4"/>
    <w:rsid w:val="00400E95"/>
    <w:rsid w:val="00401054"/>
    <w:rsid w:val="00401D7F"/>
    <w:rsid w:val="00402222"/>
    <w:rsid w:val="0040239E"/>
    <w:rsid w:val="004029D2"/>
    <w:rsid w:val="00402D4A"/>
    <w:rsid w:val="004036B2"/>
    <w:rsid w:val="0040428A"/>
    <w:rsid w:val="004047AC"/>
    <w:rsid w:val="00405641"/>
    <w:rsid w:val="00407942"/>
    <w:rsid w:val="00407C40"/>
    <w:rsid w:val="00407C5C"/>
    <w:rsid w:val="004116C1"/>
    <w:rsid w:val="00411721"/>
    <w:rsid w:val="004119E5"/>
    <w:rsid w:val="00412D69"/>
    <w:rsid w:val="00414C6F"/>
    <w:rsid w:val="00415AF7"/>
    <w:rsid w:val="00415BEF"/>
    <w:rsid w:val="00420EC9"/>
    <w:rsid w:val="00422BB7"/>
    <w:rsid w:val="00422EED"/>
    <w:rsid w:val="004233F4"/>
    <w:rsid w:val="004235B8"/>
    <w:rsid w:val="00423D3E"/>
    <w:rsid w:val="00423EB9"/>
    <w:rsid w:val="004243BE"/>
    <w:rsid w:val="004245DE"/>
    <w:rsid w:val="004258C7"/>
    <w:rsid w:val="00425912"/>
    <w:rsid w:val="0042688E"/>
    <w:rsid w:val="00427044"/>
    <w:rsid w:val="00427F3F"/>
    <w:rsid w:val="00430858"/>
    <w:rsid w:val="00430E47"/>
    <w:rsid w:val="004312CB"/>
    <w:rsid w:val="00431CD2"/>
    <w:rsid w:val="004337F2"/>
    <w:rsid w:val="00434E03"/>
    <w:rsid w:val="004351B8"/>
    <w:rsid w:val="004353AE"/>
    <w:rsid w:val="00436D51"/>
    <w:rsid w:val="00436F1C"/>
    <w:rsid w:val="00437B97"/>
    <w:rsid w:val="00437BDF"/>
    <w:rsid w:val="00441CB5"/>
    <w:rsid w:val="00442260"/>
    <w:rsid w:val="00442B45"/>
    <w:rsid w:val="00443378"/>
    <w:rsid w:val="00444277"/>
    <w:rsid w:val="004453E2"/>
    <w:rsid w:val="004471D0"/>
    <w:rsid w:val="00447B41"/>
    <w:rsid w:val="0045005F"/>
    <w:rsid w:val="004523AE"/>
    <w:rsid w:val="0045248F"/>
    <w:rsid w:val="0045264D"/>
    <w:rsid w:val="00452783"/>
    <w:rsid w:val="00452B2A"/>
    <w:rsid w:val="004530A5"/>
    <w:rsid w:val="004530C0"/>
    <w:rsid w:val="00454703"/>
    <w:rsid w:val="0045498E"/>
    <w:rsid w:val="0045524B"/>
    <w:rsid w:val="00455D23"/>
    <w:rsid w:val="004562CE"/>
    <w:rsid w:val="004570E8"/>
    <w:rsid w:val="004571E5"/>
    <w:rsid w:val="004578C6"/>
    <w:rsid w:val="00457E25"/>
    <w:rsid w:val="00460921"/>
    <w:rsid w:val="0046092B"/>
    <w:rsid w:val="00460FAC"/>
    <w:rsid w:val="00461F15"/>
    <w:rsid w:val="004623D9"/>
    <w:rsid w:val="00462481"/>
    <w:rsid w:val="004624D3"/>
    <w:rsid w:val="00463DD8"/>
    <w:rsid w:val="00464662"/>
    <w:rsid w:val="00464CBF"/>
    <w:rsid w:val="004650DA"/>
    <w:rsid w:val="004652AE"/>
    <w:rsid w:val="0046648A"/>
    <w:rsid w:val="00466AFB"/>
    <w:rsid w:val="00466B83"/>
    <w:rsid w:val="00467345"/>
    <w:rsid w:val="004673BC"/>
    <w:rsid w:val="004674D7"/>
    <w:rsid w:val="004676E6"/>
    <w:rsid w:val="00470D09"/>
    <w:rsid w:val="0047161A"/>
    <w:rsid w:val="00471E41"/>
    <w:rsid w:val="0047298C"/>
    <w:rsid w:val="004731B3"/>
    <w:rsid w:val="00473D2B"/>
    <w:rsid w:val="00474FD9"/>
    <w:rsid w:val="00475983"/>
    <w:rsid w:val="004759D5"/>
    <w:rsid w:val="00475C88"/>
    <w:rsid w:val="004764F0"/>
    <w:rsid w:val="00476F33"/>
    <w:rsid w:val="004771A5"/>
    <w:rsid w:val="004773E5"/>
    <w:rsid w:val="00481068"/>
    <w:rsid w:val="00481347"/>
    <w:rsid w:val="00482CD7"/>
    <w:rsid w:val="00482D97"/>
    <w:rsid w:val="00483612"/>
    <w:rsid w:val="004846A0"/>
    <w:rsid w:val="00485A14"/>
    <w:rsid w:val="00485EC5"/>
    <w:rsid w:val="00487253"/>
    <w:rsid w:val="004873CC"/>
    <w:rsid w:val="0048741D"/>
    <w:rsid w:val="00487774"/>
    <w:rsid w:val="004900F5"/>
    <w:rsid w:val="00491686"/>
    <w:rsid w:val="00491732"/>
    <w:rsid w:val="00493BE6"/>
    <w:rsid w:val="00494529"/>
    <w:rsid w:val="00494E17"/>
    <w:rsid w:val="00494ED4"/>
    <w:rsid w:val="00496A84"/>
    <w:rsid w:val="004975BA"/>
    <w:rsid w:val="004A1740"/>
    <w:rsid w:val="004A1E91"/>
    <w:rsid w:val="004A2119"/>
    <w:rsid w:val="004A2CDC"/>
    <w:rsid w:val="004A2F0D"/>
    <w:rsid w:val="004A371B"/>
    <w:rsid w:val="004A3D58"/>
    <w:rsid w:val="004A4E8D"/>
    <w:rsid w:val="004A650B"/>
    <w:rsid w:val="004B0D69"/>
    <w:rsid w:val="004B2390"/>
    <w:rsid w:val="004B2AC2"/>
    <w:rsid w:val="004B2DC8"/>
    <w:rsid w:val="004B2E5F"/>
    <w:rsid w:val="004B323E"/>
    <w:rsid w:val="004B3C54"/>
    <w:rsid w:val="004B422A"/>
    <w:rsid w:val="004B4649"/>
    <w:rsid w:val="004B4830"/>
    <w:rsid w:val="004B5417"/>
    <w:rsid w:val="004B61B7"/>
    <w:rsid w:val="004B6D1B"/>
    <w:rsid w:val="004B715A"/>
    <w:rsid w:val="004C01BD"/>
    <w:rsid w:val="004C03CE"/>
    <w:rsid w:val="004C061F"/>
    <w:rsid w:val="004C0D6F"/>
    <w:rsid w:val="004C140E"/>
    <w:rsid w:val="004C1F3A"/>
    <w:rsid w:val="004C2622"/>
    <w:rsid w:val="004C3FCB"/>
    <w:rsid w:val="004C450B"/>
    <w:rsid w:val="004C645E"/>
    <w:rsid w:val="004C6F00"/>
    <w:rsid w:val="004C78BF"/>
    <w:rsid w:val="004D00DD"/>
    <w:rsid w:val="004D0372"/>
    <w:rsid w:val="004D0753"/>
    <w:rsid w:val="004D0E0C"/>
    <w:rsid w:val="004D13C8"/>
    <w:rsid w:val="004D1691"/>
    <w:rsid w:val="004D2D27"/>
    <w:rsid w:val="004D35FD"/>
    <w:rsid w:val="004D38FA"/>
    <w:rsid w:val="004D3E49"/>
    <w:rsid w:val="004D44B4"/>
    <w:rsid w:val="004D45C6"/>
    <w:rsid w:val="004D4BA6"/>
    <w:rsid w:val="004D530E"/>
    <w:rsid w:val="004D668F"/>
    <w:rsid w:val="004D6CF0"/>
    <w:rsid w:val="004D77CB"/>
    <w:rsid w:val="004E018B"/>
    <w:rsid w:val="004E0884"/>
    <w:rsid w:val="004E1376"/>
    <w:rsid w:val="004E16E7"/>
    <w:rsid w:val="004E1726"/>
    <w:rsid w:val="004E1C48"/>
    <w:rsid w:val="004E2EE4"/>
    <w:rsid w:val="004E3585"/>
    <w:rsid w:val="004E38B6"/>
    <w:rsid w:val="004E3C42"/>
    <w:rsid w:val="004E4894"/>
    <w:rsid w:val="004E48B2"/>
    <w:rsid w:val="004E4CB8"/>
    <w:rsid w:val="004E4CFF"/>
    <w:rsid w:val="004E592D"/>
    <w:rsid w:val="004E5B20"/>
    <w:rsid w:val="004E5E44"/>
    <w:rsid w:val="004E5FAF"/>
    <w:rsid w:val="004E6485"/>
    <w:rsid w:val="004E6CE6"/>
    <w:rsid w:val="004E7152"/>
    <w:rsid w:val="004E75ED"/>
    <w:rsid w:val="004F00BA"/>
    <w:rsid w:val="004F0C57"/>
    <w:rsid w:val="004F1139"/>
    <w:rsid w:val="004F14EB"/>
    <w:rsid w:val="004F1CD5"/>
    <w:rsid w:val="004F2266"/>
    <w:rsid w:val="004F24AE"/>
    <w:rsid w:val="004F4749"/>
    <w:rsid w:val="004F4861"/>
    <w:rsid w:val="004F4C40"/>
    <w:rsid w:val="004F536B"/>
    <w:rsid w:val="004F56FF"/>
    <w:rsid w:val="004F62C3"/>
    <w:rsid w:val="004F69C6"/>
    <w:rsid w:val="004F78E4"/>
    <w:rsid w:val="00501357"/>
    <w:rsid w:val="005014F5"/>
    <w:rsid w:val="00501617"/>
    <w:rsid w:val="00501AF6"/>
    <w:rsid w:val="00501BD4"/>
    <w:rsid w:val="00502076"/>
    <w:rsid w:val="0050380D"/>
    <w:rsid w:val="0050526E"/>
    <w:rsid w:val="00506085"/>
    <w:rsid w:val="00506393"/>
    <w:rsid w:val="005103FD"/>
    <w:rsid w:val="005119FA"/>
    <w:rsid w:val="005125C2"/>
    <w:rsid w:val="00512DD9"/>
    <w:rsid w:val="00512E50"/>
    <w:rsid w:val="005133C0"/>
    <w:rsid w:val="0051406F"/>
    <w:rsid w:val="00514798"/>
    <w:rsid w:val="00514EEB"/>
    <w:rsid w:val="00515783"/>
    <w:rsid w:val="005160F2"/>
    <w:rsid w:val="00516CC7"/>
    <w:rsid w:val="005171C5"/>
    <w:rsid w:val="00517527"/>
    <w:rsid w:val="005223FA"/>
    <w:rsid w:val="0052286F"/>
    <w:rsid w:val="00522E71"/>
    <w:rsid w:val="0052324D"/>
    <w:rsid w:val="005234B5"/>
    <w:rsid w:val="005236B0"/>
    <w:rsid w:val="00523F85"/>
    <w:rsid w:val="005258CF"/>
    <w:rsid w:val="00525A9D"/>
    <w:rsid w:val="00526095"/>
    <w:rsid w:val="00526C81"/>
    <w:rsid w:val="005270E3"/>
    <w:rsid w:val="0052772F"/>
    <w:rsid w:val="00530EDC"/>
    <w:rsid w:val="00531E46"/>
    <w:rsid w:val="005322FC"/>
    <w:rsid w:val="005329AC"/>
    <w:rsid w:val="00532DB1"/>
    <w:rsid w:val="00532EDF"/>
    <w:rsid w:val="0053362F"/>
    <w:rsid w:val="00535494"/>
    <w:rsid w:val="00535A4A"/>
    <w:rsid w:val="00537237"/>
    <w:rsid w:val="00537793"/>
    <w:rsid w:val="005408A3"/>
    <w:rsid w:val="00541746"/>
    <w:rsid w:val="00543E31"/>
    <w:rsid w:val="00545C13"/>
    <w:rsid w:val="00545C3B"/>
    <w:rsid w:val="00546F0B"/>
    <w:rsid w:val="00547B75"/>
    <w:rsid w:val="0055208D"/>
    <w:rsid w:val="005520A0"/>
    <w:rsid w:val="005528F7"/>
    <w:rsid w:val="00554614"/>
    <w:rsid w:val="005571A5"/>
    <w:rsid w:val="00557730"/>
    <w:rsid w:val="005578A8"/>
    <w:rsid w:val="005604D5"/>
    <w:rsid w:val="005606E8"/>
    <w:rsid w:val="0056149F"/>
    <w:rsid w:val="005630B0"/>
    <w:rsid w:val="005639B5"/>
    <w:rsid w:val="00564ECC"/>
    <w:rsid w:val="00565099"/>
    <w:rsid w:val="00565419"/>
    <w:rsid w:val="0056546F"/>
    <w:rsid w:val="005659AE"/>
    <w:rsid w:val="00566584"/>
    <w:rsid w:val="00566AB2"/>
    <w:rsid w:val="00567170"/>
    <w:rsid w:val="00567265"/>
    <w:rsid w:val="00567986"/>
    <w:rsid w:val="00567C99"/>
    <w:rsid w:val="005702C2"/>
    <w:rsid w:val="0057092A"/>
    <w:rsid w:val="005712E4"/>
    <w:rsid w:val="005715BA"/>
    <w:rsid w:val="005719FB"/>
    <w:rsid w:val="005733CB"/>
    <w:rsid w:val="005736AF"/>
    <w:rsid w:val="0057392C"/>
    <w:rsid w:val="00573955"/>
    <w:rsid w:val="00574126"/>
    <w:rsid w:val="0057451A"/>
    <w:rsid w:val="005747F5"/>
    <w:rsid w:val="005753A5"/>
    <w:rsid w:val="005753F7"/>
    <w:rsid w:val="005758AB"/>
    <w:rsid w:val="005758D1"/>
    <w:rsid w:val="00575B6E"/>
    <w:rsid w:val="00575D9E"/>
    <w:rsid w:val="00577175"/>
    <w:rsid w:val="00577180"/>
    <w:rsid w:val="0057723B"/>
    <w:rsid w:val="00577442"/>
    <w:rsid w:val="00577496"/>
    <w:rsid w:val="0057760F"/>
    <w:rsid w:val="005812FC"/>
    <w:rsid w:val="00582676"/>
    <w:rsid w:val="00583541"/>
    <w:rsid w:val="00583D15"/>
    <w:rsid w:val="00584243"/>
    <w:rsid w:val="00584B96"/>
    <w:rsid w:val="005852EA"/>
    <w:rsid w:val="005856B8"/>
    <w:rsid w:val="005857DF"/>
    <w:rsid w:val="00586163"/>
    <w:rsid w:val="00586F5C"/>
    <w:rsid w:val="00587408"/>
    <w:rsid w:val="005874A2"/>
    <w:rsid w:val="00590413"/>
    <w:rsid w:val="0059118B"/>
    <w:rsid w:val="00591B81"/>
    <w:rsid w:val="005922A2"/>
    <w:rsid w:val="00592522"/>
    <w:rsid w:val="00592826"/>
    <w:rsid w:val="005940FE"/>
    <w:rsid w:val="00594A3D"/>
    <w:rsid w:val="00595114"/>
    <w:rsid w:val="00595243"/>
    <w:rsid w:val="0059528D"/>
    <w:rsid w:val="005952D1"/>
    <w:rsid w:val="005954C9"/>
    <w:rsid w:val="00595827"/>
    <w:rsid w:val="00595B65"/>
    <w:rsid w:val="00596B0D"/>
    <w:rsid w:val="005974CB"/>
    <w:rsid w:val="005A025B"/>
    <w:rsid w:val="005A03DC"/>
    <w:rsid w:val="005A0C7E"/>
    <w:rsid w:val="005A15EF"/>
    <w:rsid w:val="005A1809"/>
    <w:rsid w:val="005A1A2F"/>
    <w:rsid w:val="005A22C2"/>
    <w:rsid w:val="005A25BC"/>
    <w:rsid w:val="005A2C3B"/>
    <w:rsid w:val="005A2F48"/>
    <w:rsid w:val="005A39EE"/>
    <w:rsid w:val="005A56F2"/>
    <w:rsid w:val="005A65FD"/>
    <w:rsid w:val="005A78B8"/>
    <w:rsid w:val="005A7AE8"/>
    <w:rsid w:val="005B00D7"/>
    <w:rsid w:val="005B0688"/>
    <w:rsid w:val="005B17F6"/>
    <w:rsid w:val="005B1BE7"/>
    <w:rsid w:val="005B358E"/>
    <w:rsid w:val="005B393E"/>
    <w:rsid w:val="005B3D29"/>
    <w:rsid w:val="005B3F08"/>
    <w:rsid w:val="005B4D1A"/>
    <w:rsid w:val="005B501D"/>
    <w:rsid w:val="005B516E"/>
    <w:rsid w:val="005B5B5B"/>
    <w:rsid w:val="005B6B7A"/>
    <w:rsid w:val="005B7604"/>
    <w:rsid w:val="005B7FA4"/>
    <w:rsid w:val="005C07D5"/>
    <w:rsid w:val="005C200B"/>
    <w:rsid w:val="005C26B2"/>
    <w:rsid w:val="005C3324"/>
    <w:rsid w:val="005C3F5E"/>
    <w:rsid w:val="005C50FD"/>
    <w:rsid w:val="005C551A"/>
    <w:rsid w:val="005C5C58"/>
    <w:rsid w:val="005C5EA8"/>
    <w:rsid w:val="005C6A19"/>
    <w:rsid w:val="005C79E3"/>
    <w:rsid w:val="005C7CC8"/>
    <w:rsid w:val="005C7EC7"/>
    <w:rsid w:val="005D3BAA"/>
    <w:rsid w:val="005D4322"/>
    <w:rsid w:val="005D4BAE"/>
    <w:rsid w:val="005D4F9F"/>
    <w:rsid w:val="005D6C74"/>
    <w:rsid w:val="005D738E"/>
    <w:rsid w:val="005D74FA"/>
    <w:rsid w:val="005D7B2E"/>
    <w:rsid w:val="005D7D5E"/>
    <w:rsid w:val="005E0B8B"/>
    <w:rsid w:val="005E1FB7"/>
    <w:rsid w:val="005E2D89"/>
    <w:rsid w:val="005E3354"/>
    <w:rsid w:val="005E51B8"/>
    <w:rsid w:val="005E62B9"/>
    <w:rsid w:val="005E679C"/>
    <w:rsid w:val="005E6DD6"/>
    <w:rsid w:val="005E7676"/>
    <w:rsid w:val="005E7C60"/>
    <w:rsid w:val="005F0DAA"/>
    <w:rsid w:val="005F1B6D"/>
    <w:rsid w:val="005F1DE5"/>
    <w:rsid w:val="005F2C18"/>
    <w:rsid w:val="005F2E0A"/>
    <w:rsid w:val="005F31E3"/>
    <w:rsid w:val="005F337F"/>
    <w:rsid w:val="005F37C5"/>
    <w:rsid w:val="005F38DF"/>
    <w:rsid w:val="005F4B44"/>
    <w:rsid w:val="005F59FF"/>
    <w:rsid w:val="005F5A72"/>
    <w:rsid w:val="005F5EF5"/>
    <w:rsid w:val="005F657A"/>
    <w:rsid w:val="005F6973"/>
    <w:rsid w:val="005F7307"/>
    <w:rsid w:val="005F7C78"/>
    <w:rsid w:val="0060067F"/>
    <w:rsid w:val="00601FCB"/>
    <w:rsid w:val="006034F4"/>
    <w:rsid w:val="006034FE"/>
    <w:rsid w:val="00603598"/>
    <w:rsid w:val="0060457F"/>
    <w:rsid w:val="006053A9"/>
    <w:rsid w:val="0060683A"/>
    <w:rsid w:val="00606B36"/>
    <w:rsid w:val="00607481"/>
    <w:rsid w:val="00607C03"/>
    <w:rsid w:val="00607C27"/>
    <w:rsid w:val="00607CFC"/>
    <w:rsid w:val="00610166"/>
    <w:rsid w:val="00610822"/>
    <w:rsid w:val="006110DB"/>
    <w:rsid w:val="006111C5"/>
    <w:rsid w:val="00612318"/>
    <w:rsid w:val="00612F85"/>
    <w:rsid w:val="0061383C"/>
    <w:rsid w:val="00613A7E"/>
    <w:rsid w:val="00614249"/>
    <w:rsid w:val="00614426"/>
    <w:rsid w:val="00614B90"/>
    <w:rsid w:val="00614EE7"/>
    <w:rsid w:val="0061728A"/>
    <w:rsid w:val="006202F0"/>
    <w:rsid w:val="006209ED"/>
    <w:rsid w:val="0062119E"/>
    <w:rsid w:val="00621822"/>
    <w:rsid w:val="006218BA"/>
    <w:rsid w:val="00621F35"/>
    <w:rsid w:val="00622A19"/>
    <w:rsid w:val="0062304E"/>
    <w:rsid w:val="006232C7"/>
    <w:rsid w:val="00623417"/>
    <w:rsid w:val="00623B1C"/>
    <w:rsid w:val="00623D90"/>
    <w:rsid w:val="00624497"/>
    <w:rsid w:val="00624B53"/>
    <w:rsid w:val="006255A5"/>
    <w:rsid w:val="00625C98"/>
    <w:rsid w:val="00626A29"/>
    <w:rsid w:val="00627C58"/>
    <w:rsid w:val="00630439"/>
    <w:rsid w:val="00630A17"/>
    <w:rsid w:val="00630B3B"/>
    <w:rsid w:val="006311E9"/>
    <w:rsid w:val="0063145F"/>
    <w:rsid w:val="006318BC"/>
    <w:rsid w:val="00631969"/>
    <w:rsid w:val="00632122"/>
    <w:rsid w:val="006324EC"/>
    <w:rsid w:val="006338FE"/>
    <w:rsid w:val="0063412B"/>
    <w:rsid w:val="00634A4E"/>
    <w:rsid w:val="00634D9A"/>
    <w:rsid w:val="006357BB"/>
    <w:rsid w:val="00635874"/>
    <w:rsid w:val="00635CAF"/>
    <w:rsid w:val="00636BAB"/>
    <w:rsid w:val="00637517"/>
    <w:rsid w:val="00637FAE"/>
    <w:rsid w:val="006402FC"/>
    <w:rsid w:val="00640880"/>
    <w:rsid w:val="00640D20"/>
    <w:rsid w:val="00640E84"/>
    <w:rsid w:val="00641075"/>
    <w:rsid w:val="006419E7"/>
    <w:rsid w:val="00641AD4"/>
    <w:rsid w:val="006424AA"/>
    <w:rsid w:val="006429A8"/>
    <w:rsid w:val="00642E34"/>
    <w:rsid w:val="00643705"/>
    <w:rsid w:val="00643C71"/>
    <w:rsid w:val="00645EA1"/>
    <w:rsid w:val="006462F0"/>
    <w:rsid w:val="0064651F"/>
    <w:rsid w:val="00646724"/>
    <w:rsid w:val="00646C0E"/>
    <w:rsid w:val="00646C82"/>
    <w:rsid w:val="0065110B"/>
    <w:rsid w:val="00651F10"/>
    <w:rsid w:val="0065223A"/>
    <w:rsid w:val="00652BA9"/>
    <w:rsid w:val="00654485"/>
    <w:rsid w:val="00654621"/>
    <w:rsid w:val="0065556D"/>
    <w:rsid w:val="00655852"/>
    <w:rsid w:val="006558A5"/>
    <w:rsid w:val="00656703"/>
    <w:rsid w:val="006571E6"/>
    <w:rsid w:val="0065762A"/>
    <w:rsid w:val="00660079"/>
    <w:rsid w:val="00662C10"/>
    <w:rsid w:val="00663064"/>
    <w:rsid w:val="00663887"/>
    <w:rsid w:val="00663BA0"/>
    <w:rsid w:val="006651A2"/>
    <w:rsid w:val="00665A23"/>
    <w:rsid w:val="00667D7D"/>
    <w:rsid w:val="00667E97"/>
    <w:rsid w:val="00670AA3"/>
    <w:rsid w:val="00670B2C"/>
    <w:rsid w:val="00670BB3"/>
    <w:rsid w:val="00670E3C"/>
    <w:rsid w:val="0067144E"/>
    <w:rsid w:val="00672511"/>
    <w:rsid w:val="00673163"/>
    <w:rsid w:val="0067406E"/>
    <w:rsid w:val="006747C0"/>
    <w:rsid w:val="006748B0"/>
    <w:rsid w:val="00677A8B"/>
    <w:rsid w:val="00677E66"/>
    <w:rsid w:val="00680381"/>
    <w:rsid w:val="0068061E"/>
    <w:rsid w:val="006807D8"/>
    <w:rsid w:val="00681101"/>
    <w:rsid w:val="00681D0D"/>
    <w:rsid w:val="00683187"/>
    <w:rsid w:val="0068327A"/>
    <w:rsid w:val="00683E11"/>
    <w:rsid w:val="0068426F"/>
    <w:rsid w:val="00684576"/>
    <w:rsid w:val="00684690"/>
    <w:rsid w:val="00684973"/>
    <w:rsid w:val="006854AC"/>
    <w:rsid w:val="0068584D"/>
    <w:rsid w:val="006864D1"/>
    <w:rsid w:val="0068671F"/>
    <w:rsid w:val="00686CD5"/>
    <w:rsid w:val="00687430"/>
    <w:rsid w:val="006876FD"/>
    <w:rsid w:val="006878B7"/>
    <w:rsid w:val="006910CC"/>
    <w:rsid w:val="006918AD"/>
    <w:rsid w:val="00692794"/>
    <w:rsid w:val="00692850"/>
    <w:rsid w:val="00692C39"/>
    <w:rsid w:val="00693637"/>
    <w:rsid w:val="0069376F"/>
    <w:rsid w:val="006938D8"/>
    <w:rsid w:val="006939F7"/>
    <w:rsid w:val="006942C0"/>
    <w:rsid w:val="00694EE0"/>
    <w:rsid w:val="00694EEF"/>
    <w:rsid w:val="00696C1C"/>
    <w:rsid w:val="00696E23"/>
    <w:rsid w:val="00697865"/>
    <w:rsid w:val="0069794B"/>
    <w:rsid w:val="00697A51"/>
    <w:rsid w:val="006A01A2"/>
    <w:rsid w:val="006A02B5"/>
    <w:rsid w:val="006A0641"/>
    <w:rsid w:val="006A178E"/>
    <w:rsid w:val="006A1CDB"/>
    <w:rsid w:val="006A1F37"/>
    <w:rsid w:val="006A4E15"/>
    <w:rsid w:val="006A4E62"/>
    <w:rsid w:val="006A539D"/>
    <w:rsid w:val="006A575D"/>
    <w:rsid w:val="006A6684"/>
    <w:rsid w:val="006A6782"/>
    <w:rsid w:val="006A6FF6"/>
    <w:rsid w:val="006A72EC"/>
    <w:rsid w:val="006A7F1C"/>
    <w:rsid w:val="006A7FC9"/>
    <w:rsid w:val="006B027C"/>
    <w:rsid w:val="006B2DD6"/>
    <w:rsid w:val="006B2EF7"/>
    <w:rsid w:val="006B3E18"/>
    <w:rsid w:val="006B54D3"/>
    <w:rsid w:val="006B601D"/>
    <w:rsid w:val="006B6806"/>
    <w:rsid w:val="006B6DE7"/>
    <w:rsid w:val="006C07A4"/>
    <w:rsid w:val="006C28B3"/>
    <w:rsid w:val="006C2F8F"/>
    <w:rsid w:val="006C2FEB"/>
    <w:rsid w:val="006C4498"/>
    <w:rsid w:val="006C4DC6"/>
    <w:rsid w:val="006C50C7"/>
    <w:rsid w:val="006C5118"/>
    <w:rsid w:val="006C5AC9"/>
    <w:rsid w:val="006C5DB0"/>
    <w:rsid w:val="006C7DFD"/>
    <w:rsid w:val="006D0D11"/>
    <w:rsid w:val="006D2145"/>
    <w:rsid w:val="006D2A4F"/>
    <w:rsid w:val="006D35D9"/>
    <w:rsid w:val="006D609B"/>
    <w:rsid w:val="006D62BF"/>
    <w:rsid w:val="006D7101"/>
    <w:rsid w:val="006D75A6"/>
    <w:rsid w:val="006D75B7"/>
    <w:rsid w:val="006E0C60"/>
    <w:rsid w:val="006E1600"/>
    <w:rsid w:val="006E1669"/>
    <w:rsid w:val="006E1D23"/>
    <w:rsid w:val="006E213A"/>
    <w:rsid w:val="006E2714"/>
    <w:rsid w:val="006E3B24"/>
    <w:rsid w:val="006E4E9B"/>
    <w:rsid w:val="006E7E01"/>
    <w:rsid w:val="006F06B0"/>
    <w:rsid w:val="006F1726"/>
    <w:rsid w:val="006F1840"/>
    <w:rsid w:val="006F1A44"/>
    <w:rsid w:val="006F221E"/>
    <w:rsid w:val="006F2C88"/>
    <w:rsid w:val="006F2E4F"/>
    <w:rsid w:val="006F3119"/>
    <w:rsid w:val="006F3E26"/>
    <w:rsid w:val="006F46ED"/>
    <w:rsid w:val="006F4E0B"/>
    <w:rsid w:val="006F51A3"/>
    <w:rsid w:val="006F52F7"/>
    <w:rsid w:val="006F5E89"/>
    <w:rsid w:val="006F62CA"/>
    <w:rsid w:val="006F62FE"/>
    <w:rsid w:val="006F71E2"/>
    <w:rsid w:val="006F76E0"/>
    <w:rsid w:val="006F7F66"/>
    <w:rsid w:val="007005DD"/>
    <w:rsid w:val="00700805"/>
    <w:rsid w:val="00700EAE"/>
    <w:rsid w:val="007010D9"/>
    <w:rsid w:val="007020B4"/>
    <w:rsid w:val="00702C55"/>
    <w:rsid w:val="00702E1A"/>
    <w:rsid w:val="007030B1"/>
    <w:rsid w:val="00703C23"/>
    <w:rsid w:val="007040BB"/>
    <w:rsid w:val="0070575D"/>
    <w:rsid w:val="0070655F"/>
    <w:rsid w:val="007066CF"/>
    <w:rsid w:val="00706990"/>
    <w:rsid w:val="00706BFC"/>
    <w:rsid w:val="00706C50"/>
    <w:rsid w:val="00710040"/>
    <w:rsid w:val="007101C7"/>
    <w:rsid w:val="00710CD8"/>
    <w:rsid w:val="00711604"/>
    <w:rsid w:val="007129EB"/>
    <w:rsid w:val="0071488C"/>
    <w:rsid w:val="00714D67"/>
    <w:rsid w:val="00714F45"/>
    <w:rsid w:val="0071591E"/>
    <w:rsid w:val="00716A15"/>
    <w:rsid w:val="00720B37"/>
    <w:rsid w:val="00720FBD"/>
    <w:rsid w:val="00721469"/>
    <w:rsid w:val="00721592"/>
    <w:rsid w:val="00722213"/>
    <w:rsid w:val="00722AB4"/>
    <w:rsid w:val="00723A77"/>
    <w:rsid w:val="00724BF3"/>
    <w:rsid w:val="0072638C"/>
    <w:rsid w:val="007266E2"/>
    <w:rsid w:val="00726D5E"/>
    <w:rsid w:val="00730244"/>
    <w:rsid w:val="00731DA5"/>
    <w:rsid w:val="007324E2"/>
    <w:rsid w:val="0073283E"/>
    <w:rsid w:val="00732DE5"/>
    <w:rsid w:val="00733EF3"/>
    <w:rsid w:val="00734D9F"/>
    <w:rsid w:val="00734E39"/>
    <w:rsid w:val="00734EB3"/>
    <w:rsid w:val="00735249"/>
    <w:rsid w:val="0073573F"/>
    <w:rsid w:val="00736ACE"/>
    <w:rsid w:val="007371C8"/>
    <w:rsid w:val="00737C61"/>
    <w:rsid w:val="00737D8D"/>
    <w:rsid w:val="00740AEA"/>
    <w:rsid w:val="0074178B"/>
    <w:rsid w:val="0074284D"/>
    <w:rsid w:val="00745BC3"/>
    <w:rsid w:val="00746086"/>
    <w:rsid w:val="00746542"/>
    <w:rsid w:val="00746941"/>
    <w:rsid w:val="00746BA0"/>
    <w:rsid w:val="00746E0A"/>
    <w:rsid w:val="00747924"/>
    <w:rsid w:val="00747A09"/>
    <w:rsid w:val="00750EB4"/>
    <w:rsid w:val="00751815"/>
    <w:rsid w:val="007524B9"/>
    <w:rsid w:val="00754D82"/>
    <w:rsid w:val="00755328"/>
    <w:rsid w:val="00756347"/>
    <w:rsid w:val="00756432"/>
    <w:rsid w:val="00756CEC"/>
    <w:rsid w:val="00756D6D"/>
    <w:rsid w:val="007608D1"/>
    <w:rsid w:val="00761288"/>
    <w:rsid w:val="00762F6B"/>
    <w:rsid w:val="0076408B"/>
    <w:rsid w:val="00764A93"/>
    <w:rsid w:val="0076589E"/>
    <w:rsid w:val="0076678C"/>
    <w:rsid w:val="00766820"/>
    <w:rsid w:val="00770902"/>
    <w:rsid w:val="00771099"/>
    <w:rsid w:val="00771215"/>
    <w:rsid w:val="0077265D"/>
    <w:rsid w:val="00772945"/>
    <w:rsid w:val="00772EF6"/>
    <w:rsid w:val="007739B8"/>
    <w:rsid w:val="00775E47"/>
    <w:rsid w:val="007760B9"/>
    <w:rsid w:val="007768C5"/>
    <w:rsid w:val="00776E7C"/>
    <w:rsid w:val="00776FBA"/>
    <w:rsid w:val="00777A88"/>
    <w:rsid w:val="00780135"/>
    <w:rsid w:val="0078019E"/>
    <w:rsid w:val="00781D29"/>
    <w:rsid w:val="00781FA3"/>
    <w:rsid w:val="00782633"/>
    <w:rsid w:val="00782CBE"/>
    <w:rsid w:val="00782DA7"/>
    <w:rsid w:val="007833DB"/>
    <w:rsid w:val="00784A49"/>
    <w:rsid w:val="00784D83"/>
    <w:rsid w:val="007858E1"/>
    <w:rsid w:val="00786698"/>
    <w:rsid w:val="00786BA1"/>
    <w:rsid w:val="0078709C"/>
    <w:rsid w:val="007870FF"/>
    <w:rsid w:val="00787884"/>
    <w:rsid w:val="00787A57"/>
    <w:rsid w:val="00790046"/>
    <w:rsid w:val="00791005"/>
    <w:rsid w:val="00791F4D"/>
    <w:rsid w:val="0079227A"/>
    <w:rsid w:val="00792E0F"/>
    <w:rsid w:val="00792E2D"/>
    <w:rsid w:val="00793074"/>
    <w:rsid w:val="0079339B"/>
    <w:rsid w:val="007935F4"/>
    <w:rsid w:val="00794163"/>
    <w:rsid w:val="007945E0"/>
    <w:rsid w:val="00794FF8"/>
    <w:rsid w:val="00795AAF"/>
    <w:rsid w:val="007965BF"/>
    <w:rsid w:val="007969DB"/>
    <w:rsid w:val="00796BE9"/>
    <w:rsid w:val="00797BFB"/>
    <w:rsid w:val="007A0649"/>
    <w:rsid w:val="007A13DD"/>
    <w:rsid w:val="007A2487"/>
    <w:rsid w:val="007A2C53"/>
    <w:rsid w:val="007A2EE1"/>
    <w:rsid w:val="007A4979"/>
    <w:rsid w:val="007A497C"/>
    <w:rsid w:val="007A5854"/>
    <w:rsid w:val="007A62EE"/>
    <w:rsid w:val="007A6D2C"/>
    <w:rsid w:val="007A6D89"/>
    <w:rsid w:val="007A7041"/>
    <w:rsid w:val="007A7187"/>
    <w:rsid w:val="007A7B65"/>
    <w:rsid w:val="007B0EA9"/>
    <w:rsid w:val="007B101D"/>
    <w:rsid w:val="007B141E"/>
    <w:rsid w:val="007B1927"/>
    <w:rsid w:val="007B1AF0"/>
    <w:rsid w:val="007B2D33"/>
    <w:rsid w:val="007B3D53"/>
    <w:rsid w:val="007B417F"/>
    <w:rsid w:val="007B49F7"/>
    <w:rsid w:val="007B4B7C"/>
    <w:rsid w:val="007B5D5C"/>
    <w:rsid w:val="007B61A7"/>
    <w:rsid w:val="007B68C6"/>
    <w:rsid w:val="007B6BF6"/>
    <w:rsid w:val="007B6F47"/>
    <w:rsid w:val="007B761C"/>
    <w:rsid w:val="007C0C1A"/>
    <w:rsid w:val="007C2358"/>
    <w:rsid w:val="007C2E82"/>
    <w:rsid w:val="007C32A4"/>
    <w:rsid w:val="007C4D9E"/>
    <w:rsid w:val="007C5143"/>
    <w:rsid w:val="007C56F5"/>
    <w:rsid w:val="007C5C29"/>
    <w:rsid w:val="007C5E1E"/>
    <w:rsid w:val="007C69C8"/>
    <w:rsid w:val="007C7D13"/>
    <w:rsid w:val="007D002F"/>
    <w:rsid w:val="007D180E"/>
    <w:rsid w:val="007D2074"/>
    <w:rsid w:val="007D29B8"/>
    <w:rsid w:val="007D2C96"/>
    <w:rsid w:val="007D35C2"/>
    <w:rsid w:val="007D403A"/>
    <w:rsid w:val="007D4801"/>
    <w:rsid w:val="007D49E7"/>
    <w:rsid w:val="007D4AC3"/>
    <w:rsid w:val="007D4CF0"/>
    <w:rsid w:val="007D5BBC"/>
    <w:rsid w:val="007D707B"/>
    <w:rsid w:val="007E04CC"/>
    <w:rsid w:val="007E2682"/>
    <w:rsid w:val="007E2900"/>
    <w:rsid w:val="007E2AD3"/>
    <w:rsid w:val="007E2F11"/>
    <w:rsid w:val="007E30DD"/>
    <w:rsid w:val="007E3C9B"/>
    <w:rsid w:val="007E3DFF"/>
    <w:rsid w:val="007E40BB"/>
    <w:rsid w:val="007E436E"/>
    <w:rsid w:val="007E4D0A"/>
    <w:rsid w:val="007E52ED"/>
    <w:rsid w:val="007E5CA0"/>
    <w:rsid w:val="007E605E"/>
    <w:rsid w:val="007E6576"/>
    <w:rsid w:val="007E6641"/>
    <w:rsid w:val="007E75A4"/>
    <w:rsid w:val="007E792D"/>
    <w:rsid w:val="007E7A53"/>
    <w:rsid w:val="007F0C67"/>
    <w:rsid w:val="007F1267"/>
    <w:rsid w:val="007F1582"/>
    <w:rsid w:val="007F2795"/>
    <w:rsid w:val="007F2D21"/>
    <w:rsid w:val="007F3035"/>
    <w:rsid w:val="007F3E1E"/>
    <w:rsid w:val="007F41A7"/>
    <w:rsid w:val="007F5DB9"/>
    <w:rsid w:val="007F652F"/>
    <w:rsid w:val="007F6F6A"/>
    <w:rsid w:val="007F721C"/>
    <w:rsid w:val="007F7971"/>
    <w:rsid w:val="00800E45"/>
    <w:rsid w:val="00801311"/>
    <w:rsid w:val="008014F0"/>
    <w:rsid w:val="0080250C"/>
    <w:rsid w:val="008027BA"/>
    <w:rsid w:val="00802B43"/>
    <w:rsid w:val="00803070"/>
    <w:rsid w:val="00803733"/>
    <w:rsid w:val="00804069"/>
    <w:rsid w:val="00804EAD"/>
    <w:rsid w:val="008058A9"/>
    <w:rsid w:val="00806BFE"/>
    <w:rsid w:val="008073E3"/>
    <w:rsid w:val="00810112"/>
    <w:rsid w:val="0081085D"/>
    <w:rsid w:val="00810A8F"/>
    <w:rsid w:val="00810AD9"/>
    <w:rsid w:val="00810C43"/>
    <w:rsid w:val="00812E74"/>
    <w:rsid w:val="00812F29"/>
    <w:rsid w:val="00813040"/>
    <w:rsid w:val="00813705"/>
    <w:rsid w:val="0081374F"/>
    <w:rsid w:val="00814E5D"/>
    <w:rsid w:val="00814EED"/>
    <w:rsid w:val="00815858"/>
    <w:rsid w:val="00816454"/>
    <w:rsid w:val="0081686E"/>
    <w:rsid w:val="0081710E"/>
    <w:rsid w:val="00820E25"/>
    <w:rsid w:val="00821663"/>
    <w:rsid w:val="00821854"/>
    <w:rsid w:val="008219C1"/>
    <w:rsid w:val="008224C7"/>
    <w:rsid w:val="00822A93"/>
    <w:rsid w:val="0082311E"/>
    <w:rsid w:val="00823321"/>
    <w:rsid w:val="00825B55"/>
    <w:rsid w:val="00826BF1"/>
    <w:rsid w:val="00826D50"/>
    <w:rsid w:val="008279D0"/>
    <w:rsid w:val="00827BBB"/>
    <w:rsid w:val="0083038E"/>
    <w:rsid w:val="008315CB"/>
    <w:rsid w:val="00831B0F"/>
    <w:rsid w:val="00831D3B"/>
    <w:rsid w:val="00831FF5"/>
    <w:rsid w:val="00833516"/>
    <w:rsid w:val="00834868"/>
    <w:rsid w:val="00835F95"/>
    <w:rsid w:val="00837824"/>
    <w:rsid w:val="00837871"/>
    <w:rsid w:val="008401D4"/>
    <w:rsid w:val="00840397"/>
    <w:rsid w:val="008409C3"/>
    <w:rsid w:val="008413BC"/>
    <w:rsid w:val="0084182A"/>
    <w:rsid w:val="00841B91"/>
    <w:rsid w:val="008426C0"/>
    <w:rsid w:val="0084302C"/>
    <w:rsid w:val="00843475"/>
    <w:rsid w:val="00844269"/>
    <w:rsid w:val="00845D23"/>
    <w:rsid w:val="00845D5E"/>
    <w:rsid w:val="008475EA"/>
    <w:rsid w:val="00847DD7"/>
    <w:rsid w:val="008509BE"/>
    <w:rsid w:val="00850D05"/>
    <w:rsid w:val="0085318A"/>
    <w:rsid w:val="00853E04"/>
    <w:rsid w:val="00854707"/>
    <w:rsid w:val="00855435"/>
    <w:rsid w:val="008556C4"/>
    <w:rsid w:val="008559CF"/>
    <w:rsid w:val="008559D4"/>
    <w:rsid w:val="00855BAB"/>
    <w:rsid w:val="00855F38"/>
    <w:rsid w:val="00856B53"/>
    <w:rsid w:val="00860BB4"/>
    <w:rsid w:val="00860BBA"/>
    <w:rsid w:val="00862137"/>
    <w:rsid w:val="00862626"/>
    <w:rsid w:val="00862754"/>
    <w:rsid w:val="008637AB"/>
    <w:rsid w:val="00863837"/>
    <w:rsid w:val="00863B81"/>
    <w:rsid w:val="00864A2A"/>
    <w:rsid w:val="0086569F"/>
    <w:rsid w:val="008720EB"/>
    <w:rsid w:val="00872976"/>
    <w:rsid w:val="00872CF6"/>
    <w:rsid w:val="008734FB"/>
    <w:rsid w:val="00874E33"/>
    <w:rsid w:val="0087533C"/>
    <w:rsid w:val="0087556B"/>
    <w:rsid w:val="00875D2F"/>
    <w:rsid w:val="00877D8D"/>
    <w:rsid w:val="00880D3B"/>
    <w:rsid w:val="00881C31"/>
    <w:rsid w:val="008836DF"/>
    <w:rsid w:val="00883BB6"/>
    <w:rsid w:val="00883F2A"/>
    <w:rsid w:val="00884618"/>
    <w:rsid w:val="008848A0"/>
    <w:rsid w:val="0088502A"/>
    <w:rsid w:val="0088570C"/>
    <w:rsid w:val="0088617C"/>
    <w:rsid w:val="008871AF"/>
    <w:rsid w:val="008871EE"/>
    <w:rsid w:val="008874CF"/>
    <w:rsid w:val="008876A3"/>
    <w:rsid w:val="008902F2"/>
    <w:rsid w:val="00891D2C"/>
    <w:rsid w:val="008928FF"/>
    <w:rsid w:val="0089337A"/>
    <w:rsid w:val="008939EA"/>
    <w:rsid w:val="00893D12"/>
    <w:rsid w:val="00894073"/>
    <w:rsid w:val="00894BC7"/>
    <w:rsid w:val="00894D99"/>
    <w:rsid w:val="00895424"/>
    <w:rsid w:val="0089597F"/>
    <w:rsid w:val="008973A6"/>
    <w:rsid w:val="00897438"/>
    <w:rsid w:val="0089776D"/>
    <w:rsid w:val="008A00EB"/>
    <w:rsid w:val="008A1B2A"/>
    <w:rsid w:val="008A1CCA"/>
    <w:rsid w:val="008A2F0D"/>
    <w:rsid w:val="008A36BF"/>
    <w:rsid w:val="008A48A8"/>
    <w:rsid w:val="008A4D81"/>
    <w:rsid w:val="008A5B12"/>
    <w:rsid w:val="008A5FFD"/>
    <w:rsid w:val="008A605E"/>
    <w:rsid w:val="008A6B24"/>
    <w:rsid w:val="008B0117"/>
    <w:rsid w:val="008B0EB9"/>
    <w:rsid w:val="008B11D6"/>
    <w:rsid w:val="008B14CC"/>
    <w:rsid w:val="008B1A48"/>
    <w:rsid w:val="008B272E"/>
    <w:rsid w:val="008B2804"/>
    <w:rsid w:val="008B4574"/>
    <w:rsid w:val="008B47DC"/>
    <w:rsid w:val="008B48A9"/>
    <w:rsid w:val="008B4E0B"/>
    <w:rsid w:val="008B5581"/>
    <w:rsid w:val="008C0231"/>
    <w:rsid w:val="008C06B5"/>
    <w:rsid w:val="008C15DD"/>
    <w:rsid w:val="008C1ACC"/>
    <w:rsid w:val="008C1ECC"/>
    <w:rsid w:val="008C2555"/>
    <w:rsid w:val="008C2570"/>
    <w:rsid w:val="008C4820"/>
    <w:rsid w:val="008C5770"/>
    <w:rsid w:val="008C66A0"/>
    <w:rsid w:val="008D06D1"/>
    <w:rsid w:val="008D0C8E"/>
    <w:rsid w:val="008D1DC9"/>
    <w:rsid w:val="008D234D"/>
    <w:rsid w:val="008D3248"/>
    <w:rsid w:val="008D34D5"/>
    <w:rsid w:val="008D3DB4"/>
    <w:rsid w:val="008D3DBE"/>
    <w:rsid w:val="008D45AD"/>
    <w:rsid w:val="008D4B36"/>
    <w:rsid w:val="008D4E52"/>
    <w:rsid w:val="008D58AC"/>
    <w:rsid w:val="008D59AE"/>
    <w:rsid w:val="008D6F65"/>
    <w:rsid w:val="008D749B"/>
    <w:rsid w:val="008E1503"/>
    <w:rsid w:val="008E23E0"/>
    <w:rsid w:val="008E3812"/>
    <w:rsid w:val="008E3A51"/>
    <w:rsid w:val="008E3B46"/>
    <w:rsid w:val="008E4C99"/>
    <w:rsid w:val="008E4D55"/>
    <w:rsid w:val="008E5015"/>
    <w:rsid w:val="008E56F7"/>
    <w:rsid w:val="008E64BD"/>
    <w:rsid w:val="008E6ABD"/>
    <w:rsid w:val="008F0927"/>
    <w:rsid w:val="008F0A42"/>
    <w:rsid w:val="008F0BC7"/>
    <w:rsid w:val="008F167B"/>
    <w:rsid w:val="008F240B"/>
    <w:rsid w:val="008F4026"/>
    <w:rsid w:val="008F5C23"/>
    <w:rsid w:val="008F71FF"/>
    <w:rsid w:val="008F72B1"/>
    <w:rsid w:val="009009D2"/>
    <w:rsid w:val="009012E8"/>
    <w:rsid w:val="00901E90"/>
    <w:rsid w:val="00903E9E"/>
    <w:rsid w:val="00904AEB"/>
    <w:rsid w:val="00905E40"/>
    <w:rsid w:val="009062B4"/>
    <w:rsid w:val="00906526"/>
    <w:rsid w:val="00906C06"/>
    <w:rsid w:val="00906CAB"/>
    <w:rsid w:val="00907C18"/>
    <w:rsid w:val="009107A7"/>
    <w:rsid w:val="0091087C"/>
    <w:rsid w:val="00911728"/>
    <w:rsid w:val="00911875"/>
    <w:rsid w:val="00911A47"/>
    <w:rsid w:val="00912338"/>
    <w:rsid w:val="00912FD8"/>
    <w:rsid w:val="00914927"/>
    <w:rsid w:val="00914B8E"/>
    <w:rsid w:val="00915C1B"/>
    <w:rsid w:val="009162BA"/>
    <w:rsid w:val="009168E6"/>
    <w:rsid w:val="009168F5"/>
    <w:rsid w:val="009224A3"/>
    <w:rsid w:val="00922ED0"/>
    <w:rsid w:val="00923C3F"/>
    <w:rsid w:val="00924790"/>
    <w:rsid w:val="00924F0D"/>
    <w:rsid w:val="009256BE"/>
    <w:rsid w:val="0092586B"/>
    <w:rsid w:val="00927493"/>
    <w:rsid w:val="00927FA7"/>
    <w:rsid w:val="00930E58"/>
    <w:rsid w:val="009312BE"/>
    <w:rsid w:val="00931341"/>
    <w:rsid w:val="00931632"/>
    <w:rsid w:val="009319FA"/>
    <w:rsid w:val="009326F1"/>
    <w:rsid w:val="00932AA4"/>
    <w:rsid w:val="00933A9F"/>
    <w:rsid w:val="00934404"/>
    <w:rsid w:val="009344D5"/>
    <w:rsid w:val="009346B4"/>
    <w:rsid w:val="00934FDE"/>
    <w:rsid w:val="009359F4"/>
    <w:rsid w:val="009360EB"/>
    <w:rsid w:val="00936951"/>
    <w:rsid w:val="00936D38"/>
    <w:rsid w:val="0093723C"/>
    <w:rsid w:val="00937754"/>
    <w:rsid w:val="009379A3"/>
    <w:rsid w:val="00937F6D"/>
    <w:rsid w:val="009401AC"/>
    <w:rsid w:val="00941E3B"/>
    <w:rsid w:val="009428BE"/>
    <w:rsid w:val="00942FDF"/>
    <w:rsid w:val="00943223"/>
    <w:rsid w:val="00943CFC"/>
    <w:rsid w:val="0094435B"/>
    <w:rsid w:val="00944CBF"/>
    <w:rsid w:val="00945CD4"/>
    <w:rsid w:val="009461C3"/>
    <w:rsid w:val="00946DF0"/>
    <w:rsid w:val="00947AEC"/>
    <w:rsid w:val="00951C95"/>
    <w:rsid w:val="0095211D"/>
    <w:rsid w:val="00952666"/>
    <w:rsid w:val="00952C4E"/>
    <w:rsid w:val="00952CC9"/>
    <w:rsid w:val="0095512D"/>
    <w:rsid w:val="009559F4"/>
    <w:rsid w:val="00961504"/>
    <w:rsid w:val="00961567"/>
    <w:rsid w:val="00961614"/>
    <w:rsid w:val="00961D52"/>
    <w:rsid w:val="009644E4"/>
    <w:rsid w:val="00965732"/>
    <w:rsid w:val="009665D5"/>
    <w:rsid w:val="00966835"/>
    <w:rsid w:val="00966A83"/>
    <w:rsid w:val="00966C90"/>
    <w:rsid w:val="0096724A"/>
    <w:rsid w:val="0097073C"/>
    <w:rsid w:val="00970DE9"/>
    <w:rsid w:val="009719A8"/>
    <w:rsid w:val="00972658"/>
    <w:rsid w:val="0097289E"/>
    <w:rsid w:val="009739C4"/>
    <w:rsid w:val="00974805"/>
    <w:rsid w:val="009752F0"/>
    <w:rsid w:val="00975883"/>
    <w:rsid w:val="00975B34"/>
    <w:rsid w:val="00975DBF"/>
    <w:rsid w:val="009770AC"/>
    <w:rsid w:val="00977E32"/>
    <w:rsid w:val="0098043F"/>
    <w:rsid w:val="00980FD3"/>
    <w:rsid w:val="0098124C"/>
    <w:rsid w:val="00982908"/>
    <w:rsid w:val="00982CB3"/>
    <w:rsid w:val="00983159"/>
    <w:rsid w:val="00983F18"/>
    <w:rsid w:val="0098403E"/>
    <w:rsid w:val="009845AE"/>
    <w:rsid w:val="00985FE8"/>
    <w:rsid w:val="009872AB"/>
    <w:rsid w:val="00987875"/>
    <w:rsid w:val="00987F93"/>
    <w:rsid w:val="00992F80"/>
    <w:rsid w:val="0099425B"/>
    <w:rsid w:val="009954B9"/>
    <w:rsid w:val="00996B1E"/>
    <w:rsid w:val="009978E7"/>
    <w:rsid w:val="00997B1F"/>
    <w:rsid w:val="009A155D"/>
    <w:rsid w:val="009A1967"/>
    <w:rsid w:val="009A3262"/>
    <w:rsid w:val="009A33AB"/>
    <w:rsid w:val="009A3498"/>
    <w:rsid w:val="009A455F"/>
    <w:rsid w:val="009A4591"/>
    <w:rsid w:val="009A51D8"/>
    <w:rsid w:val="009A559A"/>
    <w:rsid w:val="009A7160"/>
    <w:rsid w:val="009A747E"/>
    <w:rsid w:val="009A7BC9"/>
    <w:rsid w:val="009A7FC6"/>
    <w:rsid w:val="009B044F"/>
    <w:rsid w:val="009B0948"/>
    <w:rsid w:val="009B09FD"/>
    <w:rsid w:val="009B0B15"/>
    <w:rsid w:val="009B0FB2"/>
    <w:rsid w:val="009B2758"/>
    <w:rsid w:val="009B2D79"/>
    <w:rsid w:val="009B3B7F"/>
    <w:rsid w:val="009B4A7C"/>
    <w:rsid w:val="009B4FAB"/>
    <w:rsid w:val="009B5A12"/>
    <w:rsid w:val="009B6878"/>
    <w:rsid w:val="009B6B81"/>
    <w:rsid w:val="009B744A"/>
    <w:rsid w:val="009C02E4"/>
    <w:rsid w:val="009C15F8"/>
    <w:rsid w:val="009C1B9D"/>
    <w:rsid w:val="009C2277"/>
    <w:rsid w:val="009C375E"/>
    <w:rsid w:val="009C39BD"/>
    <w:rsid w:val="009C3C7C"/>
    <w:rsid w:val="009C4BF9"/>
    <w:rsid w:val="009C54A9"/>
    <w:rsid w:val="009C59C3"/>
    <w:rsid w:val="009C5A87"/>
    <w:rsid w:val="009C643D"/>
    <w:rsid w:val="009C69C0"/>
    <w:rsid w:val="009C6D90"/>
    <w:rsid w:val="009C6F48"/>
    <w:rsid w:val="009C71A1"/>
    <w:rsid w:val="009C7CB1"/>
    <w:rsid w:val="009C7F35"/>
    <w:rsid w:val="009D104F"/>
    <w:rsid w:val="009D1CBD"/>
    <w:rsid w:val="009D20C2"/>
    <w:rsid w:val="009D331A"/>
    <w:rsid w:val="009D3B32"/>
    <w:rsid w:val="009D3B4A"/>
    <w:rsid w:val="009D52E9"/>
    <w:rsid w:val="009D58F6"/>
    <w:rsid w:val="009D699B"/>
    <w:rsid w:val="009D6D19"/>
    <w:rsid w:val="009D76E2"/>
    <w:rsid w:val="009E0255"/>
    <w:rsid w:val="009E0DD9"/>
    <w:rsid w:val="009E2241"/>
    <w:rsid w:val="009E2332"/>
    <w:rsid w:val="009E241F"/>
    <w:rsid w:val="009E2A35"/>
    <w:rsid w:val="009E2B54"/>
    <w:rsid w:val="009E2F6F"/>
    <w:rsid w:val="009E462F"/>
    <w:rsid w:val="009E56FC"/>
    <w:rsid w:val="009E644E"/>
    <w:rsid w:val="009E6E97"/>
    <w:rsid w:val="009E7479"/>
    <w:rsid w:val="009E799A"/>
    <w:rsid w:val="009E7D58"/>
    <w:rsid w:val="009F0E68"/>
    <w:rsid w:val="009F165F"/>
    <w:rsid w:val="009F1E97"/>
    <w:rsid w:val="009F29CE"/>
    <w:rsid w:val="009F3182"/>
    <w:rsid w:val="009F3E78"/>
    <w:rsid w:val="009F407F"/>
    <w:rsid w:val="009F49C8"/>
    <w:rsid w:val="009F5624"/>
    <w:rsid w:val="009F5DFA"/>
    <w:rsid w:val="00A0022F"/>
    <w:rsid w:val="00A00304"/>
    <w:rsid w:val="00A0089E"/>
    <w:rsid w:val="00A01C73"/>
    <w:rsid w:val="00A02199"/>
    <w:rsid w:val="00A02693"/>
    <w:rsid w:val="00A02A3D"/>
    <w:rsid w:val="00A02AA3"/>
    <w:rsid w:val="00A02D56"/>
    <w:rsid w:val="00A02F15"/>
    <w:rsid w:val="00A032FD"/>
    <w:rsid w:val="00A03A20"/>
    <w:rsid w:val="00A03C2E"/>
    <w:rsid w:val="00A042ED"/>
    <w:rsid w:val="00A04373"/>
    <w:rsid w:val="00A043BC"/>
    <w:rsid w:val="00A048DA"/>
    <w:rsid w:val="00A05576"/>
    <w:rsid w:val="00A0630C"/>
    <w:rsid w:val="00A06947"/>
    <w:rsid w:val="00A06AA7"/>
    <w:rsid w:val="00A06F57"/>
    <w:rsid w:val="00A07709"/>
    <w:rsid w:val="00A1110C"/>
    <w:rsid w:val="00A1159A"/>
    <w:rsid w:val="00A12569"/>
    <w:rsid w:val="00A12809"/>
    <w:rsid w:val="00A128D1"/>
    <w:rsid w:val="00A139E3"/>
    <w:rsid w:val="00A14100"/>
    <w:rsid w:val="00A14375"/>
    <w:rsid w:val="00A15446"/>
    <w:rsid w:val="00A15DBA"/>
    <w:rsid w:val="00A16523"/>
    <w:rsid w:val="00A20660"/>
    <w:rsid w:val="00A23636"/>
    <w:rsid w:val="00A241E4"/>
    <w:rsid w:val="00A24467"/>
    <w:rsid w:val="00A2452A"/>
    <w:rsid w:val="00A24744"/>
    <w:rsid w:val="00A25CD3"/>
    <w:rsid w:val="00A25F8E"/>
    <w:rsid w:val="00A26C9B"/>
    <w:rsid w:val="00A27118"/>
    <w:rsid w:val="00A271D4"/>
    <w:rsid w:val="00A27846"/>
    <w:rsid w:val="00A27A8E"/>
    <w:rsid w:val="00A27CCF"/>
    <w:rsid w:val="00A27E3F"/>
    <w:rsid w:val="00A3002E"/>
    <w:rsid w:val="00A3062E"/>
    <w:rsid w:val="00A30CDA"/>
    <w:rsid w:val="00A31DB0"/>
    <w:rsid w:val="00A322D4"/>
    <w:rsid w:val="00A325FE"/>
    <w:rsid w:val="00A336E1"/>
    <w:rsid w:val="00A33737"/>
    <w:rsid w:val="00A33C1C"/>
    <w:rsid w:val="00A34C52"/>
    <w:rsid w:val="00A3517D"/>
    <w:rsid w:val="00A356A8"/>
    <w:rsid w:val="00A35BA5"/>
    <w:rsid w:val="00A35C2D"/>
    <w:rsid w:val="00A35C92"/>
    <w:rsid w:val="00A3600C"/>
    <w:rsid w:val="00A36279"/>
    <w:rsid w:val="00A374FA"/>
    <w:rsid w:val="00A37647"/>
    <w:rsid w:val="00A40EA9"/>
    <w:rsid w:val="00A4359A"/>
    <w:rsid w:val="00A43B4F"/>
    <w:rsid w:val="00A44068"/>
    <w:rsid w:val="00A45657"/>
    <w:rsid w:val="00A46275"/>
    <w:rsid w:val="00A46E1B"/>
    <w:rsid w:val="00A47331"/>
    <w:rsid w:val="00A47462"/>
    <w:rsid w:val="00A476A8"/>
    <w:rsid w:val="00A477C4"/>
    <w:rsid w:val="00A47A74"/>
    <w:rsid w:val="00A47E40"/>
    <w:rsid w:val="00A50458"/>
    <w:rsid w:val="00A50CA2"/>
    <w:rsid w:val="00A51540"/>
    <w:rsid w:val="00A51C6A"/>
    <w:rsid w:val="00A524C4"/>
    <w:rsid w:val="00A5323B"/>
    <w:rsid w:val="00A5328B"/>
    <w:rsid w:val="00A533C5"/>
    <w:rsid w:val="00A5393A"/>
    <w:rsid w:val="00A539D4"/>
    <w:rsid w:val="00A53A4A"/>
    <w:rsid w:val="00A54A5A"/>
    <w:rsid w:val="00A55126"/>
    <w:rsid w:val="00A55AE6"/>
    <w:rsid w:val="00A55D01"/>
    <w:rsid w:val="00A55E32"/>
    <w:rsid w:val="00A57AF6"/>
    <w:rsid w:val="00A6065B"/>
    <w:rsid w:val="00A62B61"/>
    <w:rsid w:val="00A62CEC"/>
    <w:rsid w:val="00A63934"/>
    <w:rsid w:val="00A64A6D"/>
    <w:rsid w:val="00A64D12"/>
    <w:rsid w:val="00A66FFE"/>
    <w:rsid w:val="00A67676"/>
    <w:rsid w:val="00A67DB3"/>
    <w:rsid w:val="00A70F32"/>
    <w:rsid w:val="00A717D6"/>
    <w:rsid w:val="00A72975"/>
    <w:rsid w:val="00A731CE"/>
    <w:rsid w:val="00A73A9D"/>
    <w:rsid w:val="00A74736"/>
    <w:rsid w:val="00A75474"/>
    <w:rsid w:val="00A759B0"/>
    <w:rsid w:val="00A75DE8"/>
    <w:rsid w:val="00A76465"/>
    <w:rsid w:val="00A76E62"/>
    <w:rsid w:val="00A76FA1"/>
    <w:rsid w:val="00A77A78"/>
    <w:rsid w:val="00A77F56"/>
    <w:rsid w:val="00A80C09"/>
    <w:rsid w:val="00A81240"/>
    <w:rsid w:val="00A8138F"/>
    <w:rsid w:val="00A8179F"/>
    <w:rsid w:val="00A822B7"/>
    <w:rsid w:val="00A82684"/>
    <w:rsid w:val="00A83738"/>
    <w:rsid w:val="00A842AC"/>
    <w:rsid w:val="00A84553"/>
    <w:rsid w:val="00A84898"/>
    <w:rsid w:val="00A856C9"/>
    <w:rsid w:val="00A85753"/>
    <w:rsid w:val="00A8666F"/>
    <w:rsid w:val="00A86AA9"/>
    <w:rsid w:val="00A86D34"/>
    <w:rsid w:val="00A9040A"/>
    <w:rsid w:val="00A9044D"/>
    <w:rsid w:val="00A91962"/>
    <w:rsid w:val="00A91E7A"/>
    <w:rsid w:val="00A92B03"/>
    <w:rsid w:val="00A930C9"/>
    <w:rsid w:val="00A93AAB"/>
    <w:rsid w:val="00A9457B"/>
    <w:rsid w:val="00A94710"/>
    <w:rsid w:val="00A94770"/>
    <w:rsid w:val="00A95BB9"/>
    <w:rsid w:val="00A95F62"/>
    <w:rsid w:val="00A96154"/>
    <w:rsid w:val="00A961FD"/>
    <w:rsid w:val="00A97B9C"/>
    <w:rsid w:val="00AA04A8"/>
    <w:rsid w:val="00AA0DF0"/>
    <w:rsid w:val="00AA1620"/>
    <w:rsid w:val="00AA1E63"/>
    <w:rsid w:val="00AA1FEA"/>
    <w:rsid w:val="00AA2CBC"/>
    <w:rsid w:val="00AA39B6"/>
    <w:rsid w:val="00AA3ADD"/>
    <w:rsid w:val="00AA3B4B"/>
    <w:rsid w:val="00AA3FB5"/>
    <w:rsid w:val="00AA4088"/>
    <w:rsid w:val="00AA4502"/>
    <w:rsid w:val="00AA48EF"/>
    <w:rsid w:val="00AA4BD2"/>
    <w:rsid w:val="00AA54E5"/>
    <w:rsid w:val="00AA7898"/>
    <w:rsid w:val="00AA7DFA"/>
    <w:rsid w:val="00AA7EA1"/>
    <w:rsid w:val="00AB0228"/>
    <w:rsid w:val="00AB1361"/>
    <w:rsid w:val="00AB16CE"/>
    <w:rsid w:val="00AB200E"/>
    <w:rsid w:val="00AB35B4"/>
    <w:rsid w:val="00AB4148"/>
    <w:rsid w:val="00AB4381"/>
    <w:rsid w:val="00AB487E"/>
    <w:rsid w:val="00AB51BA"/>
    <w:rsid w:val="00AB5392"/>
    <w:rsid w:val="00AB5524"/>
    <w:rsid w:val="00AB5F4A"/>
    <w:rsid w:val="00AB5F65"/>
    <w:rsid w:val="00AB61A9"/>
    <w:rsid w:val="00AB7FD2"/>
    <w:rsid w:val="00AC0869"/>
    <w:rsid w:val="00AC08A4"/>
    <w:rsid w:val="00AC0EB0"/>
    <w:rsid w:val="00AC10B9"/>
    <w:rsid w:val="00AC1905"/>
    <w:rsid w:val="00AC1A0D"/>
    <w:rsid w:val="00AC24A8"/>
    <w:rsid w:val="00AC2E2D"/>
    <w:rsid w:val="00AC31D6"/>
    <w:rsid w:val="00AC3B39"/>
    <w:rsid w:val="00AC3EA7"/>
    <w:rsid w:val="00AC49FB"/>
    <w:rsid w:val="00AC4DD3"/>
    <w:rsid w:val="00AC4EA6"/>
    <w:rsid w:val="00AC5021"/>
    <w:rsid w:val="00AC51E4"/>
    <w:rsid w:val="00AC5544"/>
    <w:rsid w:val="00AC57FA"/>
    <w:rsid w:val="00AC6098"/>
    <w:rsid w:val="00AC6132"/>
    <w:rsid w:val="00AC66A1"/>
    <w:rsid w:val="00AC7D3A"/>
    <w:rsid w:val="00AC7DDB"/>
    <w:rsid w:val="00AD102B"/>
    <w:rsid w:val="00AD1119"/>
    <w:rsid w:val="00AD25D0"/>
    <w:rsid w:val="00AD2826"/>
    <w:rsid w:val="00AD350C"/>
    <w:rsid w:val="00AD4B48"/>
    <w:rsid w:val="00AD5188"/>
    <w:rsid w:val="00AD5981"/>
    <w:rsid w:val="00AD5FF6"/>
    <w:rsid w:val="00AE2166"/>
    <w:rsid w:val="00AE23C9"/>
    <w:rsid w:val="00AE31FF"/>
    <w:rsid w:val="00AE4184"/>
    <w:rsid w:val="00AE421B"/>
    <w:rsid w:val="00AE4377"/>
    <w:rsid w:val="00AE457A"/>
    <w:rsid w:val="00AE665E"/>
    <w:rsid w:val="00AE7531"/>
    <w:rsid w:val="00AE7739"/>
    <w:rsid w:val="00AE7E75"/>
    <w:rsid w:val="00AF03D6"/>
    <w:rsid w:val="00AF073C"/>
    <w:rsid w:val="00AF14A5"/>
    <w:rsid w:val="00AF3F63"/>
    <w:rsid w:val="00AF430B"/>
    <w:rsid w:val="00AF49E1"/>
    <w:rsid w:val="00AF4FFB"/>
    <w:rsid w:val="00AF50B4"/>
    <w:rsid w:val="00AF7E1F"/>
    <w:rsid w:val="00B0004E"/>
    <w:rsid w:val="00B00107"/>
    <w:rsid w:val="00B00886"/>
    <w:rsid w:val="00B019E9"/>
    <w:rsid w:val="00B01C2E"/>
    <w:rsid w:val="00B029C9"/>
    <w:rsid w:val="00B038F3"/>
    <w:rsid w:val="00B03CAC"/>
    <w:rsid w:val="00B040DD"/>
    <w:rsid w:val="00B0444B"/>
    <w:rsid w:val="00B0477A"/>
    <w:rsid w:val="00B04D89"/>
    <w:rsid w:val="00B053C5"/>
    <w:rsid w:val="00B05D10"/>
    <w:rsid w:val="00B0631F"/>
    <w:rsid w:val="00B06B31"/>
    <w:rsid w:val="00B06EF9"/>
    <w:rsid w:val="00B076E2"/>
    <w:rsid w:val="00B07C2C"/>
    <w:rsid w:val="00B10763"/>
    <w:rsid w:val="00B10B11"/>
    <w:rsid w:val="00B13049"/>
    <w:rsid w:val="00B13390"/>
    <w:rsid w:val="00B14149"/>
    <w:rsid w:val="00B1427D"/>
    <w:rsid w:val="00B14512"/>
    <w:rsid w:val="00B14B78"/>
    <w:rsid w:val="00B158C7"/>
    <w:rsid w:val="00B16056"/>
    <w:rsid w:val="00B16D8C"/>
    <w:rsid w:val="00B20255"/>
    <w:rsid w:val="00B20503"/>
    <w:rsid w:val="00B20608"/>
    <w:rsid w:val="00B2114D"/>
    <w:rsid w:val="00B2174A"/>
    <w:rsid w:val="00B21EF1"/>
    <w:rsid w:val="00B2200A"/>
    <w:rsid w:val="00B22F90"/>
    <w:rsid w:val="00B237FE"/>
    <w:rsid w:val="00B23EBD"/>
    <w:rsid w:val="00B24EF9"/>
    <w:rsid w:val="00B25351"/>
    <w:rsid w:val="00B25BF4"/>
    <w:rsid w:val="00B266C3"/>
    <w:rsid w:val="00B27007"/>
    <w:rsid w:val="00B27637"/>
    <w:rsid w:val="00B304F7"/>
    <w:rsid w:val="00B31D7D"/>
    <w:rsid w:val="00B324E0"/>
    <w:rsid w:val="00B3283E"/>
    <w:rsid w:val="00B32B2D"/>
    <w:rsid w:val="00B32DF5"/>
    <w:rsid w:val="00B332C3"/>
    <w:rsid w:val="00B3615E"/>
    <w:rsid w:val="00B361DF"/>
    <w:rsid w:val="00B364EC"/>
    <w:rsid w:val="00B37417"/>
    <w:rsid w:val="00B3752A"/>
    <w:rsid w:val="00B37AF0"/>
    <w:rsid w:val="00B40296"/>
    <w:rsid w:val="00B40738"/>
    <w:rsid w:val="00B40CC0"/>
    <w:rsid w:val="00B40FED"/>
    <w:rsid w:val="00B424F8"/>
    <w:rsid w:val="00B4328C"/>
    <w:rsid w:val="00B43E63"/>
    <w:rsid w:val="00B43FB9"/>
    <w:rsid w:val="00B444A3"/>
    <w:rsid w:val="00B44531"/>
    <w:rsid w:val="00B455F7"/>
    <w:rsid w:val="00B458C3"/>
    <w:rsid w:val="00B469F7"/>
    <w:rsid w:val="00B46E14"/>
    <w:rsid w:val="00B46EA6"/>
    <w:rsid w:val="00B47E27"/>
    <w:rsid w:val="00B51F08"/>
    <w:rsid w:val="00B521D8"/>
    <w:rsid w:val="00B52AF4"/>
    <w:rsid w:val="00B53398"/>
    <w:rsid w:val="00B5422B"/>
    <w:rsid w:val="00B5478E"/>
    <w:rsid w:val="00B55471"/>
    <w:rsid w:val="00B56472"/>
    <w:rsid w:val="00B56EF8"/>
    <w:rsid w:val="00B575B8"/>
    <w:rsid w:val="00B578C3"/>
    <w:rsid w:val="00B5794D"/>
    <w:rsid w:val="00B6026D"/>
    <w:rsid w:val="00B60DB6"/>
    <w:rsid w:val="00B61A00"/>
    <w:rsid w:val="00B61EF1"/>
    <w:rsid w:val="00B620DA"/>
    <w:rsid w:val="00B6247B"/>
    <w:rsid w:val="00B62BFB"/>
    <w:rsid w:val="00B630C0"/>
    <w:rsid w:val="00B64781"/>
    <w:rsid w:val="00B649FB"/>
    <w:rsid w:val="00B64FB5"/>
    <w:rsid w:val="00B650F1"/>
    <w:rsid w:val="00B6533A"/>
    <w:rsid w:val="00B65B90"/>
    <w:rsid w:val="00B66279"/>
    <w:rsid w:val="00B70012"/>
    <w:rsid w:val="00B703DA"/>
    <w:rsid w:val="00B70427"/>
    <w:rsid w:val="00B70E3D"/>
    <w:rsid w:val="00B70F04"/>
    <w:rsid w:val="00B723A4"/>
    <w:rsid w:val="00B73735"/>
    <w:rsid w:val="00B745E0"/>
    <w:rsid w:val="00B76836"/>
    <w:rsid w:val="00B76D08"/>
    <w:rsid w:val="00B77C61"/>
    <w:rsid w:val="00B80D3E"/>
    <w:rsid w:val="00B8101F"/>
    <w:rsid w:val="00B81C22"/>
    <w:rsid w:val="00B8276A"/>
    <w:rsid w:val="00B82FD4"/>
    <w:rsid w:val="00B841B3"/>
    <w:rsid w:val="00B84393"/>
    <w:rsid w:val="00B852C6"/>
    <w:rsid w:val="00B855D6"/>
    <w:rsid w:val="00B85899"/>
    <w:rsid w:val="00B85C1D"/>
    <w:rsid w:val="00B85C86"/>
    <w:rsid w:val="00B86877"/>
    <w:rsid w:val="00B8742B"/>
    <w:rsid w:val="00B8752C"/>
    <w:rsid w:val="00B87B3C"/>
    <w:rsid w:val="00B904C3"/>
    <w:rsid w:val="00B90C54"/>
    <w:rsid w:val="00B91997"/>
    <w:rsid w:val="00B91EE8"/>
    <w:rsid w:val="00B92537"/>
    <w:rsid w:val="00B95258"/>
    <w:rsid w:val="00B957EC"/>
    <w:rsid w:val="00B95F64"/>
    <w:rsid w:val="00B9617A"/>
    <w:rsid w:val="00B961B5"/>
    <w:rsid w:val="00B9623E"/>
    <w:rsid w:val="00B964F5"/>
    <w:rsid w:val="00B970AC"/>
    <w:rsid w:val="00B971DA"/>
    <w:rsid w:val="00B978B6"/>
    <w:rsid w:val="00BA16A0"/>
    <w:rsid w:val="00BA4017"/>
    <w:rsid w:val="00BA44D7"/>
    <w:rsid w:val="00BA4F80"/>
    <w:rsid w:val="00BA555D"/>
    <w:rsid w:val="00BA629D"/>
    <w:rsid w:val="00BA69A6"/>
    <w:rsid w:val="00BA6AF5"/>
    <w:rsid w:val="00BA747C"/>
    <w:rsid w:val="00BA7D25"/>
    <w:rsid w:val="00BB14F0"/>
    <w:rsid w:val="00BB20BB"/>
    <w:rsid w:val="00BB3494"/>
    <w:rsid w:val="00BB6409"/>
    <w:rsid w:val="00BB6673"/>
    <w:rsid w:val="00BB6A1B"/>
    <w:rsid w:val="00BB7747"/>
    <w:rsid w:val="00BB77A3"/>
    <w:rsid w:val="00BC269C"/>
    <w:rsid w:val="00BC2A77"/>
    <w:rsid w:val="00BC31F8"/>
    <w:rsid w:val="00BC3501"/>
    <w:rsid w:val="00BC3FE4"/>
    <w:rsid w:val="00BC4771"/>
    <w:rsid w:val="00BC5B52"/>
    <w:rsid w:val="00BC5D5A"/>
    <w:rsid w:val="00BC6523"/>
    <w:rsid w:val="00BC69B5"/>
    <w:rsid w:val="00BC7432"/>
    <w:rsid w:val="00BC7A35"/>
    <w:rsid w:val="00BC7C3A"/>
    <w:rsid w:val="00BC7CF6"/>
    <w:rsid w:val="00BD0C5C"/>
    <w:rsid w:val="00BD1390"/>
    <w:rsid w:val="00BD228C"/>
    <w:rsid w:val="00BD2BA4"/>
    <w:rsid w:val="00BD34CC"/>
    <w:rsid w:val="00BD3689"/>
    <w:rsid w:val="00BD3F29"/>
    <w:rsid w:val="00BD3F90"/>
    <w:rsid w:val="00BD4C3D"/>
    <w:rsid w:val="00BD569F"/>
    <w:rsid w:val="00BD572B"/>
    <w:rsid w:val="00BD5B00"/>
    <w:rsid w:val="00BD6137"/>
    <w:rsid w:val="00BD628D"/>
    <w:rsid w:val="00BD64CC"/>
    <w:rsid w:val="00BD7738"/>
    <w:rsid w:val="00BE065D"/>
    <w:rsid w:val="00BE1856"/>
    <w:rsid w:val="00BE1E53"/>
    <w:rsid w:val="00BE274E"/>
    <w:rsid w:val="00BE29E3"/>
    <w:rsid w:val="00BE4ED3"/>
    <w:rsid w:val="00BE5344"/>
    <w:rsid w:val="00BE56E0"/>
    <w:rsid w:val="00BE5AF5"/>
    <w:rsid w:val="00BE6169"/>
    <w:rsid w:val="00BE62EF"/>
    <w:rsid w:val="00BE6E0E"/>
    <w:rsid w:val="00BF0878"/>
    <w:rsid w:val="00BF093E"/>
    <w:rsid w:val="00BF1CB3"/>
    <w:rsid w:val="00BF2F15"/>
    <w:rsid w:val="00BF35B7"/>
    <w:rsid w:val="00BF4E19"/>
    <w:rsid w:val="00BF6342"/>
    <w:rsid w:val="00BF6AE7"/>
    <w:rsid w:val="00BF73D6"/>
    <w:rsid w:val="00BF7F6E"/>
    <w:rsid w:val="00C00A44"/>
    <w:rsid w:val="00C01218"/>
    <w:rsid w:val="00C01F37"/>
    <w:rsid w:val="00C0254D"/>
    <w:rsid w:val="00C02FEF"/>
    <w:rsid w:val="00C03024"/>
    <w:rsid w:val="00C03779"/>
    <w:rsid w:val="00C03E0A"/>
    <w:rsid w:val="00C04803"/>
    <w:rsid w:val="00C05DD1"/>
    <w:rsid w:val="00C06DD1"/>
    <w:rsid w:val="00C07E05"/>
    <w:rsid w:val="00C11A77"/>
    <w:rsid w:val="00C11BA4"/>
    <w:rsid w:val="00C120B9"/>
    <w:rsid w:val="00C13160"/>
    <w:rsid w:val="00C1333A"/>
    <w:rsid w:val="00C13AED"/>
    <w:rsid w:val="00C140C2"/>
    <w:rsid w:val="00C145D6"/>
    <w:rsid w:val="00C14D7A"/>
    <w:rsid w:val="00C15AAE"/>
    <w:rsid w:val="00C1603E"/>
    <w:rsid w:val="00C166FC"/>
    <w:rsid w:val="00C1673A"/>
    <w:rsid w:val="00C16933"/>
    <w:rsid w:val="00C17423"/>
    <w:rsid w:val="00C20355"/>
    <w:rsid w:val="00C20A95"/>
    <w:rsid w:val="00C21563"/>
    <w:rsid w:val="00C21906"/>
    <w:rsid w:val="00C220CE"/>
    <w:rsid w:val="00C22894"/>
    <w:rsid w:val="00C2297C"/>
    <w:rsid w:val="00C233B2"/>
    <w:rsid w:val="00C25A60"/>
    <w:rsid w:val="00C26B88"/>
    <w:rsid w:val="00C27114"/>
    <w:rsid w:val="00C27F80"/>
    <w:rsid w:val="00C3084F"/>
    <w:rsid w:val="00C30978"/>
    <w:rsid w:val="00C325CE"/>
    <w:rsid w:val="00C32CFA"/>
    <w:rsid w:val="00C337A8"/>
    <w:rsid w:val="00C33DF0"/>
    <w:rsid w:val="00C34D94"/>
    <w:rsid w:val="00C34F0B"/>
    <w:rsid w:val="00C34FC7"/>
    <w:rsid w:val="00C361C1"/>
    <w:rsid w:val="00C36698"/>
    <w:rsid w:val="00C36857"/>
    <w:rsid w:val="00C36B41"/>
    <w:rsid w:val="00C3731A"/>
    <w:rsid w:val="00C37B68"/>
    <w:rsid w:val="00C408C9"/>
    <w:rsid w:val="00C4285F"/>
    <w:rsid w:val="00C42BE0"/>
    <w:rsid w:val="00C439F0"/>
    <w:rsid w:val="00C447BE"/>
    <w:rsid w:val="00C448E0"/>
    <w:rsid w:val="00C45F85"/>
    <w:rsid w:val="00C46667"/>
    <w:rsid w:val="00C46C00"/>
    <w:rsid w:val="00C47107"/>
    <w:rsid w:val="00C4753E"/>
    <w:rsid w:val="00C475F0"/>
    <w:rsid w:val="00C4764D"/>
    <w:rsid w:val="00C506A5"/>
    <w:rsid w:val="00C50DAD"/>
    <w:rsid w:val="00C50FAD"/>
    <w:rsid w:val="00C51887"/>
    <w:rsid w:val="00C51C52"/>
    <w:rsid w:val="00C52745"/>
    <w:rsid w:val="00C5298A"/>
    <w:rsid w:val="00C53734"/>
    <w:rsid w:val="00C53DF2"/>
    <w:rsid w:val="00C54C0D"/>
    <w:rsid w:val="00C5519F"/>
    <w:rsid w:val="00C5544D"/>
    <w:rsid w:val="00C559A2"/>
    <w:rsid w:val="00C60011"/>
    <w:rsid w:val="00C60382"/>
    <w:rsid w:val="00C603E6"/>
    <w:rsid w:val="00C60999"/>
    <w:rsid w:val="00C614AA"/>
    <w:rsid w:val="00C6470F"/>
    <w:rsid w:val="00C64780"/>
    <w:rsid w:val="00C64A62"/>
    <w:rsid w:val="00C64E88"/>
    <w:rsid w:val="00C65399"/>
    <w:rsid w:val="00C65694"/>
    <w:rsid w:val="00C662D1"/>
    <w:rsid w:val="00C663EA"/>
    <w:rsid w:val="00C66616"/>
    <w:rsid w:val="00C66D1F"/>
    <w:rsid w:val="00C6773D"/>
    <w:rsid w:val="00C67C37"/>
    <w:rsid w:val="00C702B9"/>
    <w:rsid w:val="00C709F9"/>
    <w:rsid w:val="00C70A84"/>
    <w:rsid w:val="00C715EB"/>
    <w:rsid w:val="00C71B05"/>
    <w:rsid w:val="00C71D4A"/>
    <w:rsid w:val="00C71F67"/>
    <w:rsid w:val="00C724F7"/>
    <w:rsid w:val="00C72980"/>
    <w:rsid w:val="00C731EC"/>
    <w:rsid w:val="00C74363"/>
    <w:rsid w:val="00C745AD"/>
    <w:rsid w:val="00C74999"/>
    <w:rsid w:val="00C74A79"/>
    <w:rsid w:val="00C77AF6"/>
    <w:rsid w:val="00C80CBC"/>
    <w:rsid w:val="00C8109B"/>
    <w:rsid w:val="00C8174D"/>
    <w:rsid w:val="00C81E9D"/>
    <w:rsid w:val="00C843D8"/>
    <w:rsid w:val="00C846D8"/>
    <w:rsid w:val="00C84847"/>
    <w:rsid w:val="00C84991"/>
    <w:rsid w:val="00C84D84"/>
    <w:rsid w:val="00C85C20"/>
    <w:rsid w:val="00C85D47"/>
    <w:rsid w:val="00C8624D"/>
    <w:rsid w:val="00C86764"/>
    <w:rsid w:val="00C91414"/>
    <w:rsid w:val="00C914F9"/>
    <w:rsid w:val="00C915B9"/>
    <w:rsid w:val="00C9226B"/>
    <w:rsid w:val="00C923F7"/>
    <w:rsid w:val="00C926E7"/>
    <w:rsid w:val="00C95192"/>
    <w:rsid w:val="00C95436"/>
    <w:rsid w:val="00C956ED"/>
    <w:rsid w:val="00C958C1"/>
    <w:rsid w:val="00C95FAC"/>
    <w:rsid w:val="00C9665D"/>
    <w:rsid w:val="00C96F40"/>
    <w:rsid w:val="00CA083A"/>
    <w:rsid w:val="00CA18F3"/>
    <w:rsid w:val="00CA1A25"/>
    <w:rsid w:val="00CA1B87"/>
    <w:rsid w:val="00CA276B"/>
    <w:rsid w:val="00CA36B9"/>
    <w:rsid w:val="00CA38A8"/>
    <w:rsid w:val="00CA3926"/>
    <w:rsid w:val="00CA3CB1"/>
    <w:rsid w:val="00CA4369"/>
    <w:rsid w:val="00CA45BA"/>
    <w:rsid w:val="00CA5528"/>
    <w:rsid w:val="00CA56BD"/>
    <w:rsid w:val="00CA6283"/>
    <w:rsid w:val="00CA67AD"/>
    <w:rsid w:val="00CA70B8"/>
    <w:rsid w:val="00CA7188"/>
    <w:rsid w:val="00CA7301"/>
    <w:rsid w:val="00CA7824"/>
    <w:rsid w:val="00CA79D3"/>
    <w:rsid w:val="00CB046D"/>
    <w:rsid w:val="00CB064A"/>
    <w:rsid w:val="00CB1CEA"/>
    <w:rsid w:val="00CB2442"/>
    <w:rsid w:val="00CB28F1"/>
    <w:rsid w:val="00CB2DE0"/>
    <w:rsid w:val="00CB33B9"/>
    <w:rsid w:val="00CB3461"/>
    <w:rsid w:val="00CB3682"/>
    <w:rsid w:val="00CB3D35"/>
    <w:rsid w:val="00CB4788"/>
    <w:rsid w:val="00CB5348"/>
    <w:rsid w:val="00CB57EC"/>
    <w:rsid w:val="00CB5D27"/>
    <w:rsid w:val="00CB66F3"/>
    <w:rsid w:val="00CB7AE1"/>
    <w:rsid w:val="00CB7BBD"/>
    <w:rsid w:val="00CC00A4"/>
    <w:rsid w:val="00CC0D23"/>
    <w:rsid w:val="00CC0E8C"/>
    <w:rsid w:val="00CC1400"/>
    <w:rsid w:val="00CC22AC"/>
    <w:rsid w:val="00CC267E"/>
    <w:rsid w:val="00CC28E3"/>
    <w:rsid w:val="00CC2A26"/>
    <w:rsid w:val="00CC4076"/>
    <w:rsid w:val="00CC473E"/>
    <w:rsid w:val="00CC491F"/>
    <w:rsid w:val="00CC4B73"/>
    <w:rsid w:val="00CC4EA8"/>
    <w:rsid w:val="00CC54CB"/>
    <w:rsid w:val="00CC5558"/>
    <w:rsid w:val="00CC59BB"/>
    <w:rsid w:val="00CC5A15"/>
    <w:rsid w:val="00CC5F28"/>
    <w:rsid w:val="00CC6DDE"/>
    <w:rsid w:val="00CC7463"/>
    <w:rsid w:val="00CD05E5"/>
    <w:rsid w:val="00CD0BC1"/>
    <w:rsid w:val="00CD0D9B"/>
    <w:rsid w:val="00CD0DCD"/>
    <w:rsid w:val="00CD0E03"/>
    <w:rsid w:val="00CD1AF7"/>
    <w:rsid w:val="00CD1C6C"/>
    <w:rsid w:val="00CD2219"/>
    <w:rsid w:val="00CD2F28"/>
    <w:rsid w:val="00CD3EF0"/>
    <w:rsid w:val="00CD496A"/>
    <w:rsid w:val="00CD4BB2"/>
    <w:rsid w:val="00CD503C"/>
    <w:rsid w:val="00CD50ED"/>
    <w:rsid w:val="00CD53D3"/>
    <w:rsid w:val="00CD60AD"/>
    <w:rsid w:val="00CD6819"/>
    <w:rsid w:val="00CD7404"/>
    <w:rsid w:val="00CD7CA4"/>
    <w:rsid w:val="00CE066D"/>
    <w:rsid w:val="00CE2823"/>
    <w:rsid w:val="00CE35F2"/>
    <w:rsid w:val="00CE37E1"/>
    <w:rsid w:val="00CE3E9B"/>
    <w:rsid w:val="00CE462E"/>
    <w:rsid w:val="00CE463A"/>
    <w:rsid w:val="00CE4E5D"/>
    <w:rsid w:val="00CE4FAE"/>
    <w:rsid w:val="00CE584C"/>
    <w:rsid w:val="00CE651D"/>
    <w:rsid w:val="00CE7D56"/>
    <w:rsid w:val="00CF05F2"/>
    <w:rsid w:val="00CF0C14"/>
    <w:rsid w:val="00CF1179"/>
    <w:rsid w:val="00CF131A"/>
    <w:rsid w:val="00CF178C"/>
    <w:rsid w:val="00CF4C7D"/>
    <w:rsid w:val="00CF4F3D"/>
    <w:rsid w:val="00CF594C"/>
    <w:rsid w:val="00CF6B05"/>
    <w:rsid w:val="00CF71B6"/>
    <w:rsid w:val="00D003B6"/>
    <w:rsid w:val="00D00838"/>
    <w:rsid w:val="00D00C59"/>
    <w:rsid w:val="00D00DEE"/>
    <w:rsid w:val="00D0434B"/>
    <w:rsid w:val="00D0499F"/>
    <w:rsid w:val="00D04A73"/>
    <w:rsid w:val="00D04D59"/>
    <w:rsid w:val="00D06F67"/>
    <w:rsid w:val="00D06F7B"/>
    <w:rsid w:val="00D074B5"/>
    <w:rsid w:val="00D07FFD"/>
    <w:rsid w:val="00D1224C"/>
    <w:rsid w:val="00D1245E"/>
    <w:rsid w:val="00D127A8"/>
    <w:rsid w:val="00D1295F"/>
    <w:rsid w:val="00D12DB7"/>
    <w:rsid w:val="00D1380C"/>
    <w:rsid w:val="00D13C01"/>
    <w:rsid w:val="00D146F3"/>
    <w:rsid w:val="00D15631"/>
    <w:rsid w:val="00D15F12"/>
    <w:rsid w:val="00D166E2"/>
    <w:rsid w:val="00D1699D"/>
    <w:rsid w:val="00D17BBE"/>
    <w:rsid w:val="00D2012F"/>
    <w:rsid w:val="00D22BBF"/>
    <w:rsid w:val="00D230A7"/>
    <w:rsid w:val="00D2325E"/>
    <w:rsid w:val="00D249C6"/>
    <w:rsid w:val="00D25824"/>
    <w:rsid w:val="00D26104"/>
    <w:rsid w:val="00D26456"/>
    <w:rsid w:val="00D2648D"/>
    <w:rsid w:val="00D26A92"/>
    <w:rsid w:val="00D26D5E"/>
    <w:rsid w:val="00D26EED"/>
    <w:rsid w:val="00D27475"/>
    <w:rsid w:val="00D27C8D"/>
    <w:rsid w:val="00D27FBE"/>
    <w:rsid w:val="00D30460"/>
    <w:rsid w:val="00D31329"/>
    <w:rsid w:val="00D316E1"/>
    <w:rsid w:val="00D31CC6"/>
    <w:rsid w:val="00D326DE"/>
    <w:rsid w:val="00D32CD4"/>
    <w:rsid w:val="00D32FA6"/>
    <w:rsid w:val="00D3377A"/>
    <w:rsid w:val="00D345F5"/>
    <w:rsid w:val="00D34890"/>
    <w:rsid w:val="00D34A4D"/>
    <w:rsid w:val="00D34ED8"/>
    <w:rsid w:val="00D354D4"/>
    <w:rsid w:val="00D361A3"/>
    <w:rsid w:val="00D36221"/>
    <w:rsid w:val="00D365BD"/>
    <w:rsid w:val="00D372E7"/>
    <w:rsid w:val="00D4136F"/>
    <w:rsid w:val="00D414B9"/>
    <w:rsid w:val="00D41C9D"/>
    <w:rsid w:val="00D41D0F"/>
    <w:rsid w:val="00D447FB"/>
    <w:rsid w:val="00D44B43"/>
    <w:rsid w:val="00D44DB9"/>
    <w:rsid w:val="00D461B7"/>
    <w:rsid w:val="00D4645F"/>
    <w:rsid w:val="00D464D3"/>
    <w:rsid w:val="00D47C8A"/>
    <w:rsid w:val="00D521D8"/>
    <w:rsid w:val="00D52CE5"/>
    <w:rsid w:val="00D52EBE"/>
    <w:rsid w:val="00D532AE"/>
    <w:rsid w:val="00D533B9"/>
    <w:rsid w:val="00D534A4"/>
    <w:rsid w:val="00D53667"/>
    <w:rsid w:val="00D538B5"/>
    <w:rsid w:val="00D53DEC"/>
    <w:rsid w:val="00D540EB"/>
    <w:rsid w:val="00D5423C"/>
    <w:rsid w:val="00D54477"/>
    <w:rsid w:val="00D54BC5"/>
    <w:rsid w:val="00D55620"/>
    <w:rsid w:val="00D55986"/>
    <w:rsid w:val="00D569A9"/>
    <w:rsid w:val="00D56B38"/>
    <w:rsid w:val="00D56E58"/>
    <w:rsid w:val="00D56EE8"/>
    <w:rsid w:val="00D56F50"/>
    <w:rsid w:val="00D60040"/>
    <w:rsid w:val="00D60A75"/>
    <w:rsid w:val="00D60F69"/>
    <w:rsid w:val="00D617F9"/>
    <w:rsid w:val="00D62C09"/>
    <w:rsid w:val="00D63657"/>
    <w:rsid w:val="00D64557"/>
    <w:rsid w:val="00D64D66"/>
    <w:rsid w:val="00D6512E"/>
    <w:rsid w:val="00D6582E"/>
    <w:rsid w:val="00D6659B"/>
    <w:rsid w:val="00D66815"/>
    <w:rsid w:val="00D6767B"/>
    <w:rsid w:val="00D67A33"/>
    <w:rsid w:val="00D67C64"/>
    <w:rsid w:val="00D709E3"/>
    <w:rsid w:val="00D70E5B"/>
    <w:rsid w:val="00D7124D"/>
    <w:rsid w:val="00D71292"/>
    <w:rsid w:val="00D716AD"/>
    <w:rsid w:val="00D71FEA"/>
    <w:rsid w:val="00D72CC8"/>
    <w:rsid w:val="00D739A0"/>
    <w:rsid w:val="00D74400"/>
    <w:rsid w:val="00D74A87"/>
    <w:rsid w:val="00D74BBE"/>
    <w:rsid w:val="00D75038"/>
    <w:rsid w:val="00D75EE0"/>
    <w:rsid w:val="00D7784F"/>
    <w:rsid w:val="00D80457"/>
    <w:rsid w:val="00D82663"/>
    <w:rsid w:val="00D8267D"/>
    <w:rsid w:val="00D840DB"/>
    <w:rsid w:val="00D8430F"/>
    <w:rsid w:val="00D8439A"/>
    <w:rsid w:val="00D85144"/>
    <w:rsid w:val="00D85839"/>
    <w:rsid w:val="00D86A38"/>
    <w:rsid w:val="00D86A47"/>
    <w:rsid w:val="00D87344"/>
    <w:rsid w:val="00D877DA"/>
    <w:rsid w:val="00D9068B"/>
    <w:rsid w:val="00D9181E"/>
    <w:rsid w:val="00D9266B"/>
    <w:rsid w:val="00D92D06"/>
    <w:rsid w:val="00D92E4B"/>
    <w:rsid w:val="00D92F93"/>
    <w:rsid w:val="00D9327C"/>
    <w:rsid w:val="00D943CF"/>
    <w:rsid w:val="00D94922"/>
    <w:rsid w:val="00D95282"/>
    <w:rsid w:val="00D95AD0"/>
    <w:rsid w:val="00D95E33"/>
    <w:rsid w:val="00D96B42"/>
    <w:rsid w:val="00D97018"/>
    <w:rsid w:val="00D978D8"/>
    <w:rsid w:val="00DA0A17"/>
    <w:rsid w:val="00DA0FC0"/>
    <w:rsid w:val="00DA1457"/>
    <w:rsid w:val="00DA2CEA"/>
    <w:rsid w:val="00DA3871"/>
    <w:rsid w:val="00DA3CA0"/>
    <w:rsid w:val="00DA3CE5"/>
    <w:rsid w:val="00DA3DB0"/>
    <w:rsid w:val="00DA44BD"/>
    <w:rsid w:val="00DA4700"/>
    <w:rsid w:val="00DA5BD8"/>
    <w:rsid w:val="00DA67D4"/>
    <w:rsid w:val="00DA6DBB"/>
    <w:rsid w:val="00DA6DF1"/>
    <w:rsid w:val="00DA6F42"/>
    <w:rsid w:val="00DA7887"/>
    <w:rsid w:val="00DB0471"/>
    <w:rsid w:val="00DB1042"/>
    <w:rsid w:val="00DB14EB"/>
    <w:rsid w:val="00DB1C2C"/>
    <w:rsid w:val="00DB1ECE"/>
    <w:rsid w:val="00DB323C"/>
    <w:rsid w:val="00DB377E"/>
    <w:rsid w:val="00DB3D92"/>
    <w:rsid w:val="00DB5945"/>
    <w:rsid w:val="00DB61F7"/>
    <w:rsid w:val="00DB6D27"/>
    <w:rsid w:val="00DB6F7B"/>
    <w:rsid w:val="00DB6FC0"/>
    <w:rsid w:val="00DC0BD8"/>
    <w:rsid w:val="00DC0C44"/>
    <w:rsid w:val="00DC1088"/>
    <w:rsid w:val="00DC166C"/>
    <w:rsid w:val="00DC1DFF"/>
    <w:rsid w:val="00DC20DF"/>
    <w:rsid w:val="00DC231A"/>
    <w:rsid w:val="00DC2ADE"/>
    <w:rsid w:val="00DC4C74"/>
    <w:rsid w:val="00DC5C33"/>
    <w:rsid w:val="00DC5DF8"/>
    <w:rsid w:val="00DC64B9"/>
    <w:rsid w:val="00DC690F"/>
    <w:rsid w:val="00DC6E89"/>
    <w:rsid w:val="00DC74F3"/>
    <w:rsid w:val="00DD0486"/>
    <w:rsid w:val="00DD1000"/>
    <w:rsid w:val="00DD14DB"/>
    <w:rsid w:val="00DD17F4"/>
    <w:rsid w:val="00DD24D1"/>
    <w:rsid w:val="00DD26A3"/>
    <w:rsid w:val="00DD2F94"/>
    <w:rsid w:val="00DD3705"/>
    <w:rsid w:val="00DD3F86"/>
    <w:rsid w:val="00DD3FE7"/>
    <w:rsid w:val="00DD4082"/>
    <w:rsid w:val="00DD48C4"/>
    <w:rsid w:val="00DD4D0D"/>
    <w:rsid w:val="00DD5230"/>
    <w:rsid w:val="00DD55D8"/>
    <w:rsid w:val="00DD5826"/>
    <w:rsid w:val="00DD6C98"/>
    <w:rsid w:val="00DD719D"/>
    <w:rsid w:val="00DD7625"/>
    <w:rsid w:val="00DE08CA"/>
    <w:rsid w:val="00DE13D1"/>
    <w:rsid w:val="00DE1C37"/>
    <w:rsid w:val="00DE31CA"/>
    <w:rsid w:val="00DE347A"/>
    <w:rsid w:val="00DE3E46"/>
    <w:rsid w:val="00DE48AC"/>
    <w:rsid w:val="00DE5615"/>
    <w:rsid w:val="00DE58EA"/>
    <w:rsid w:val="00DE7580"/>
    <w:rsid w:val="00DF01AD"/>
    <w:rsid w:val="00DF0964"/>
    <w:rsid w:val="00DF14CA"/>
    <w:rsid w:val="00DF1796"/>
    <w:rsid w:val="00DF1923"/>
    <w:rsid w:val="00DF1BC6"/>
    <w:rsid w:val="00DF4671"/>
    <w:rsid w:val="00DF5004"/>
    <w:rsid w:val="00DF503C"/>
    <w:rsid w:val="00DF59D2"/>
    <w:rsid w:val="00DF5ADD"/>
    <w:rsid w:val="00DF648B"/>
    <w:rsid w:val="00DF6B06"/>
    <w:rsid w:val="00DF6D4D"/>
    <w:rsid w:val="00DF7027"/>
    <w:rsid w:val="00DF7FBD"/>
    <w:rsid w:val="00E0105B"/>
    <w:rsid w:val="00E013E3"/>
    <w:rsid w:val="00E01AC4"/>
    <w:rsid w:val="00E01FE1"/>
    <w:rsid w:val="00E02528"/>
    <w:rsid w:val="00E02F49"/>
    <w:rsid w:val="00E0361A"/>
    <w:rsid w:val="00E04676"/>
    <w:rsid w:val="00E04812"/>
    <w:rsid w:val="00E04D27"/>
    <w:rsid w:val="00E0578A"/>
    <w:rsid w:val="00E06733"/>
    <w:rsid w:val="00E07697"/>
    <w:rsid w:val="00E07ACB"/>
    <w:rsid w:val="00E07DD5"/>
    <w:rsid w:val="00E119A8"/>
    <w:rsid w:val="00E12E36"/>
    <w:rsid w:val="00E13738"/>
    <w:rsid w:val="00E13CE6"/>
    <w:rsid w:val="00E14476"/>
    <w:rsid w:val="00E14D59"/>
    <w:rsid w:val="00E15004"/>
    <w:rsid w:val="00E1503C"/>
    <w:rsid w:val="00E1633E"/>
    <w:rsid w:val="00E16DAD"/>
    <w:rsid w:val="00E17418"/>
    <w:rsid w:val="00E17759"/>
    <w:rsid w:val="00E17F27"/>
    <w:rsid w:val="00E2022E"/>
    <w:rsid w:val="00E21B73"/>
    <w:rsid w:val="00E22B7D"/>
    <w:rsid w:val="00E2439C"/>
    <w:rsid w:val="00E24CFB"/>
    <w:rsid w:val="00E26516"/>
    <w:rsid w:val="00E26A96"/>
    <w:rsid w:val="00E26E97"/>
    <w:rsid w:val="00E279A2"/>
    <w:rsid w:val="00E30E89"/>
    <w:rsid w:val="00E315BD"/>
    <w:rsid w:val="00E3209F"/>
    <w:rsid w:val="00E328A4"/>
    <w:rsid w:val="00E32B7B"/>
    <w:rsid w:val="00E32DBC"/>
    <w:rsid w:val="00E3342E"/>
    <w:rsid w:val="00E34095"/>
    <w:rsid w:val="00E3607E"/>
    <w:rsid w:val="00E37B6D"/>
    <w:rsid w:val="00E37D37"/>
    <w:rsid w:val="00E40786"/>
    <w:rsid w:val="00E42D27"/>
    <w:rsid w:val="00E4323A"/>
    <w:rsid w:val="00E433C8"/>
    <w:rsid w:val="00E43B7A"/>
    <w:rsid w:val="00E46DB4"/>
    <w:rsid w:val="00E47D9A"/>
    <w:rsid w:val="00E50023"/>
    <w:rsid w:val="00E5106A"/>
    <w:rsid w:val="00E516C1"/>
    <w:rsid w:val="00E5187A"/>
    <w:rsid w:val="00E524D5"/>
    <w:rsid w:val="00E52CE5"/>
    <w:rsid w:val="00E54164"/>
    <w:rsid w:val="00E54643"/>
    <w:rsid w:val="00E54AFA"/>
    <w:rsid w:val="00E54F71"/>
    <w:rsid w:val="00E5600A"/>
    <w:rsid w:val="00E565E5"/>
    <w:rsid w:val="00E56910"/>
    <w:rsid w:val="00E56A8E"/>
    <w:rsid w:val="00E616E8"/>
    <w:rsid w:val="00E61829"/>
    <w:rsid w:val="00E61F83"/>
    <w:rsid w:val="00E61F90"/>
    <w:rsid w:val="00E620C7"/>
    <w:rsid w:val="00E6236A"/>
    <w:rsid w:val="00E628C3"/>
    <w:rsid w:val="00E63956"/>
    <w:rsid w:val="00E6426B"/>
    <w:rsid w:val="00E6480F"/>
    <w:rsid w:val="00E6516B"/>
    <w:rsid w:val="00E6519E"/>
    <w:rsid w:val="00E651B2"/>
    <w:rsid w:val="00E652F0"/>
    <w:rsid w:val="00E6554D"/>
    <w:rsid w:val="00E6583E"/>
    <w:rsid w:val="00E65A1E"/>
    <w:rsid w:val="00E666DF"/>
    <w:rsid w:val="00E6672B"/>
    <w:rsid w:val="00E66916"/>
    <w:rsid w:val="00E669DB"/>
    <w:rsid w:val="00E67055"/>
    <w:rsid w:val="00E673D8"/>
    <w:rsid w:val="00E67BD9"/>
    <w:rsid w:val="00E67E76"/>
    <w:rsid w:val="00E71D6A"/>
    <w:rsid w:val="00E735EA"/>
    <w:rsid w:val="00E74E7C"/>
    <w:rsid w:val="00E750DC"/>
    <w:rsid w:val="00E7515C"/>
    <w:rsid w:val="00E751FA"/>
    <w:rsid w:val="00E7595E"/>
    <w:rsid w:val="00E75DE9"/>
    <w:rsid w:val="00E7668B"/>
    <w:rsid w:val="00E766CA"/>
    <w:rsid w:val="00E76FE7"/>
    <w:rsid w:val="00E77488"/>
    <w:rsid w:val="00E814F1"/>
    <w:rsid w:val="00E848A5"/>
    <w:rsid w:val="00E853F3"/>
    <w:rsid w:val="00E875A8"/>
    <w:rsid w:val="00E90C20"/>
    <w:rsid w:val="00E90CB8"/>
    <w:rsid w:val="00E91757"/>
    <w:rsid w:val="00E92D4B"/>
    <w:rsid w:val="00E932DC"/>
    <w:rsid w:val="00E93346"/>
    <w:rsid w:val="00E93736"/>
    <w:rsid w:val="00E953E6"/>
    <w:rsid w:val="00E95424"/>
    <w:rsid w:val="00E96735"/>
    <w:rsid w:val="00E973BB"/>
    <w:rsid w:val="00E97516"/>
    <w:rsid w:val="00E9755B"/>
    <w:rsid w:val="00E97B1B"/>
    <w:rsid w:val="00E97C44"/>
    <w:rsid w:val="00EA04B1"/>
    <w:rsid w:val="00EA09A4"/>
    <w:rsid w:val="00EA0D6C"/>
    <w:rsid w:val="00EA13FB"/>
    <w:rsid w:val="00EA1663"/>
    <w:rsid w:val="00EA1EA6"/>
    <w:rsid w:val="00EA1F24"/>
    <w:rsid w:val="00EA2114"/>
    <w:rsid w:val="00EA2436"/>
    <w:rsid w:val="00EA2440"/>
    <w:rsid w:val="00EA2627"/>
    <w:rsid w:val="00EA2BF2"/>
    <w:rsid w:val="00EA36FA"/>
    <w:rsid w:val="00EA4771"/>
    <w:rsid w:val="00EA4CAE"/>
    <w:rsid w:val="00EA60C0"/>
    <w:rsid w:val="00EA66BD"/>
    <w:rsid w:val="00EB0059"/>
    <w:rsid w:val="00EB0C30"/>
    <w:rsid w:val="00EB0D44"/>
    <w:rsid w:val="00EB0F03"/>
    <w:rsid w:val="00EB162E"/>
    <w:rsid w:val="00EB1C7D"/>
    <w:rsid w:val="00EB1E72"/>
    <w:rsid w:val="00EB2F16"/>
    <w:rsid w:val="00EB35B5"/>
    <w:rsid w:val="00EB38DB"/>
    <w:rsid w:val="00EB392D"/>
    <w:rsid w:val="00EB3936"/>
    <w:rsid w:val="00EB39BB"/>
    <w:rsid w:val="00EB3E40"/>
    <w:rsid w:val="00EB3F00"/>
    <w:rsid w:val="00EB4D73"/>
    <w:rsid w:val="00EB4F90"/>
    <w:rsid w:val="00EB727C"/>
    <w:rsid w:val="00EB7571"/>
    <w:rsid w:val="00EC0187"/>
    <w:rsid w:val="00EC0692"/>
    <w:rsid w:val="00EC0ECD"/>
    <w:rsid w:val="00EC1A21"/>
    <w:rsid w:val="00EC1A44"/>
    <w:rsid w:val="00EC217F"/>
    <w:rsid w:val="00EC2C4C"/>
    <w:rsid w:val="00EC3097"/>
    <w:rsid w:val="00EC384A"/>
    <w:rsid w:val="00EC3A1E"/>
    <w:rsid w:val="00EC3E56"/>
    <w:rsid w:val="00EC46E5"/>
    <w:rsid w:val="00EC47A3"/>
    <w:rsid w:val="00EC5799"/>
    <w:rsid w:val="00EC6012"/>
    <w:rsid w:val="00EC70FA"/>
    <w:rsid w:val="00EC772A"/>
    <w:rsid w:val="00ED0438"/>
    <w:rsid w:val="00ED0C6D"/>
    <w:rsid w:val="00ED1457"/>
    <w:rsid w:val="00ED149A"/>
    <w:rsid w:val="00ED2722"/>
    <w:rsid w:val="00ED35D4"/>
    <w:rsid w:val="00ED39FC"/>
    <w:rsid w:val="00ED3EC9"/>
    <w:rsid w:val="00ED47B6"/>
    <w:rsid w:val="00ED4F18"/>
    <w:rsid w:val="00ED5050"/>
    <w:rsid w:val="00ED59FF"/>
    <w:rsid w:val="00ED5AAD"/>
    <w:rsid w:val="00ED5C3E"/>
    <w:rsid w:val="00ED5EA3"/>
    <w:rsid w:val="00ED6A6D"/>
    <w:rsid w:val="00ED70D4"/>
    <w:rsid w:val="00ED7E93"/>
    <w:rsid w:val="00EE04AF"/>
    <w:rsid w:val="00EE07B2"/>
    <w:rsid w:val="00EE1907"/>
    <w:rsid w:val="00EE203F"/>
    <w:rsid w:val="00EE29E5"/>
    <w:rsid w:val="00EE2ABD"/>
    <w:rsid w:val="00EE39F2"/>
    <w:rsid w:val="00EE401C"/>
    <w:rsid w:val="00EE4C8C"/>
    <w:rsid w:val="00EE5063"/>
    <w:rsid w:val="00EE51A9"/>
    <w:rsid w:val="00EE52CE"/>
    <w:rsid w:val="00EE697E"/>
    <w:rsid w:val="00EE6DDF"/>
    <w:rsid w:val="00EE7754"/>
    <w:rsid w:val="00EE7E4E"/>
    <w:rsid w:val="00EF1084"/>
    <w:rsid w:val="00EF10B9"/>
    <w:rsid w:val="00EF1861"/>
    <w:rsid w:val="00EF3219"/>
    <w:rsid w:val="00EF3F8C"/>
    <w:rsid w:val="00EF54B0"/>
    <w:rsid w:val="00EF5840"/>
    <w:rsid w:val="00EF5EB4"/>
    <w:rsid w:val="00EF6B4A"/>
    <w:rsid w:val="00F0037D"/>
    <w:rsid w:val="00F011B3"/>
    <w:rsid w:val="00F01737"/>
    <w:rsid w:val="00F01FF3"/>
    <w:rsid w:val="00F02071"/>
    <w:rsid w:val="00F02F4B"/>
    <w:rsid w:val="00F02F59"/>
    <w:rsid w:val="00F03EB1"/>
    <w:rsid w:val="00F070BE"/>
    <w:rsid w:val="00F10613"/>
    <w:rsid w:val="00F111C5"/>
    <w:rsid w:val="00F1181C"/>
    <w:rsid w:val="00F122CB"/>
    <w:rsid w:val="00F12351"/>
    <w:rsid w:val="00F12838"/>
    <w:rsid w:val="00F12C08"/>
    <w:rsid w:val="00F12C3E"/>
    <w:rsid w:val="00F12F33"/>
    <w:rsid w:val="00F13D52"/>
    <w:rsid w:val="00F147CE"/>
    <w:rsid w:val="00F14BD2"/>
    <w:rsid w:val="00F14D0A"/>
    <w:rsid w:val="00F14D0E"/>
    <w:rsid w:val="00F151E9"/>
    <w:rsid w:val="00F15F38"/>
    <w:rsid w:val="00F16293"/>
    <w:rsid w:val="00F162AD"/>
    <w:rsid w:val="00F1648F"/>
    <w:rsid w:val="00F16B1E"/>
    <w:rsid w:val="00F16DAB"/>
    <w:rsid w:val="00F173FA"/>
    <w:rsid w:val="00F17649"/>
    <w:rsid w:val="00F20698"/>
    <w:rsid w:val="00F2146D"/>
    <w:rsid w:val="00F21AB2"/>
    <w:rsid w:val="00F21ED6"/>
    <w:rsid w:val="00F22580"/>
    <w:rsid w:val="00F22A0F"/>
    <w:rsid w:val="00F23A86"/>
    <w:rsid w:val="00F23CB4"/>
    <w:rsid w:val="00F24084"/>
    <w:rsid w:val="00F24724"/>
    <w:rsid w:val="00F24F39"/>
    <w:rsid w:val="00F251F9"/>
    <w:rsid w:val="00F26271"/>
    <w:rsid w:val="00F26D72"/>
    <w:rsid w:val="00F2749F"/>
    <w:rsid w:val="00F27618"/>
    <w:rsid w:val="00F27F9C"/>
    <w:rsid w:val="00F30037"/>
    <w:rsid w:val="00F30277"/>
    <w:rsid w:val="00F30901"/>
    <w:rsid w:val="00F312D1"/>
    <w:rsid w:val="00F31A5B"/>
    <w:rsid w:val="00F322A1"/>
    <w:rsid w:val="00F3359E"/>
    <w:rsid w:val="00F33B45"/>
    <w:rsid w:val="00F355A5"/>
    <w:rsid w:val="00F36777"/>
    <w:rsid w:val="00F374F9"/>
    <w:rsid w:val="00F378A7"/>
    <w:rsid w:val="00F40380"/>
    <w:rsid w:val="00F409F7"/>
    <w:rsid w:val="00F41299"/>
    <w:rsid w:val="00F417DB"/>
    <w:rsid w:val="00F42A73"/>
    <w:rsid w:val="00F4342C"/>
    <w:rsid w:val="00F4438D"/>
    <w:rsid w:val="00F443EE"/>
    <w:rsid w:val="00F4485A"/>
    <w:rsid w:val="00F44F2B"/>
    <w:rsid w:val="00F462A3"/>
    <w:rsid w:val="00F47041"/>
    <w:rsid w:val="00F47258"/>
    <w:rsid w:val="00F47400"/>
    <w:rsid w:val="00F47995"/>
    <w:rsid w:val="00F529B7"/>
    <w:rsid w:val="00F52F24"/>
    <w:rsid w:val="00F53056"/>
    <w:rsid w:val="00F53508"/>
    <w:rsid w:val="00F53560"/>
    <w:rsid w:val="00F5380E"/>
    <w:rsid w:val="00F53EDC"/>
    <w:rsid w:val="00F5495F"/>
    <w:rsid w:val="00F55371"/>
    <w:rsid w:val="00F553AF"/>
    <w:rsid w:val="00F56A70"/>
    <w:rsid w:val="00F5749F"/>
    <w:rsid w:val="00F576FF"/>
    <w:rsid w:val="00F602E9"/>
    <w:rsid w:val="00F60474"/>
    <w:rsid w:val="00F61F9E"/>
    <w:rsid w:val="00F62652"/>
    <w:rsid w:val="00F64DD7"/>
    <w:rsid w:val="00F64ECC"/>
    <w:rsid w:val="00F66D45"/>
    <w:rsid w:val="00F673D9"/>
    <w:rsid w:val="00F67A69"/>
    <w:rsid w:val="00F67D2B"/>
    <w:rsid w:val="00F70EC3"/>
    <w:rsid w:val="00F71FFA"/>
    <w:rsid w:val="00F72EBB"/>
    <w:rsid w:val="00F7347A"/>
    <w:rsid w:val="00F740E3"/>
    <w:rsid w:val="00F7415C"/>
    <w:rsid w:val="00F74D83"/>
    <w:rsid w:val="00F766F7"/>
    <w:rsid w:val="00F76EAB"/>
    <w:rsid w:val="00F80E91"/>
    <w:rsid w:val="00F8165A"/>
    <w:rsid w:val="00F828C1"/>
    <w:rsid w:val="00F82BA4"/>
    <w:rsid w:val="00F82E78"/>
    <w:rsid w:val="00F83161"/>
    <w:rsid w:val="00F83AB0"/>
    <w:rsid w:val="00F83F28"/>
    <w:rsid w:val="00F8406A"/>
    <w:rsid w:val="00F847DD"/>
    <w:rsid w:val="00F852F8"/>
    <w:rsid w:val="00F859EE"/>
    <w:rsid w:val="00F86099"/>
    <w:rsid w:val="00F86B63"/>
    <w:rsid w:val="00F86D94"/>
    <w:rsid w:val="00F87521"/>
    <w:rsid w:val="00F87701"/>
    <w:rsid w:val="00F8781E"/>
    <w:rsid w:val="00F90247"/>
    <w:rsid w:val="00F9085F"/>
    <w:rsid w:val="00F9111E"/>
    <w:rsid w:val="00F911F5"/>
    <w:rsid w:val="00F91CAE"/>
    <w:rsid w:val="00F92073"/>
    <w:rsid w:val="00F92F46"/>
    <w:rsid w:val="00F9408C"/>
    <w:rsid w:val="00F94271"/>
    <w:rsid w:val="00F948AE"/>
    <w:rsid w:val="00F95F0A"/>
    <w:rsid w:val="00FA0732"/>
    <w:rsid w:val="00FA0E77"/>
    <w:rsid w:val="00FA10CD"/>
    <w:rsid w:val="00FA2086"/>
    <w:rsid w:val="00FA2B8C"/>
    <w:rsid w:val="00FA2EB4"/>
    <w:rsid w:val="00FA3508"/>
    <w:rsid w:val="00FA3712"/>
    <w:rsid w:val="00FA3E6E"/>
    <w:rsid w:val="00FA6322"/>
    <w:rsid w:val="00FA69AA"/>
    <w:rsid w:val="00FA6A57"/>
    <w:rsid w:val="00FA6A6B"/>
    <w:rsid w:val="00FA7C9E"/>
    <w:rsid w:val="00FB0BF8"/>
    <w:rsid w:val="00FB0FDF"/>
    <w:rsid w:val="00FB1136"/>
    <w:rsid w:val="00FB14C2"/>
    <w:rsid w:val="00FB1555"/>
    <w:rsid w:val="00FB19BD"/>
    <w:rsid w:val="00FB1CB3"/>
    <w:rsid w:val="00FB2AA6"/>
    <w:rsid w:val="00FB3060"/>
    <w:rsid w:val="00FB344D"/>
    <w:rsid w:val="00FB44BE"/>
    <w:rsid w:val="00FB532D"/>
    <w:rsid w:val="00FB58D2"/>
    <w:rsid w:val="00FB5DC2"/>
    <w:rsid w:val="00FB62BA"/>
    <w:rsid w:val="00FB690C"/>
    <w:rsid w:val="00FB6BF8"/>
    <w:rsid w:val="00FB6E7B"/>
    <w:rsid w:val="00FB7472"/>
    <w:rsid w:val="00FC1DAF"/>
    <w:rsid w:val="00FC2837"/>
    <w:rsid w:val="00FC2854"/>
    <w:rsid w:val="00FC29FD"/>
    <w:rsid w:val="00FC2CCB"/>
    <w:rsid w:val="00FC3011"/>
    <w:rsid w:val="00FC33DA"/>
    <w:rsid w:val="00FC48B0"/>
    <w:rsid w:val="00FC55B4"/>
    <w:rsid w:val="00FC5741"/>
    <w:rsid w:val="00FC5F1D"/>
    <w:rsid w:val="00FC6BC0"/>
    <w:rsid w:val="00FC78A0"/>
    <w:rsid w:val="00FD15F7"/>
    <w:rsid w:val="00FD1BBF"/>
    <w:rsid w:val="00FD26D7"/>
    <w:rsid w:val="00FD34BD"/>
    <w:rsid w:val="00FD3C6E"/>
    <w:rsid w:val="00FD3DE9"/>
    <w:rsid w:val="00FD45B7"/>
    <w:rsid w:val="00FD497A"/>
    <w:rsid w:val="00FD4DAE"/>
    <w:rsid w:val="00FD4F2C"/>
    <w:rsid w:val="00FD4FFB"/>
    <w:rsid w:val="00FD5056"/>
    <w:rsid w:val="00FD5191"/>
    <w:rsid w:val="00FD69F5"/>
    <w:rsid w:val="00FD7878"/>
    <w:rsid w:val="00FD7E0F"/>
    <w:rsid w:val="00FE062C"/>
    <w:rsid w:val="00FE093C"/>
    <w:rsid w:val="00FE0E22"/>
    <w:rsid w:val="00FE1315"/>
    <w:rsid w:val="00FE2726"/>
    <w:rsid w:val="00FE2BB6"/>
    <w:rsid w:val="00FE30C5"/>
    <w:rsid w:val="00FE3AE0"/>
    <w:rsid w:val="00FE44A8"/>
    <w:rsid w:val="00FE5BB7"/>
    <w:rsid w:val="00FE775E"/>
    <w:rsid w:val="00FE7E7D"/>
    <w:rsid w:val="00FF00C7"/>
    <w:rsid w:val="00FF0A73"/>
    <w:rsid w:val="00FF1E8B"/>
    <w:rsid w:val="00FF30C5"/>
    <w:rsid w:val="00FF405B"/>
    <w:rsid w:val="00FF5DBC"/>
    <w:rsid w:val="00FF655A"/>
    <w:rsid w:val="00FF696D"/>
    <w:rsid w:val="00FF71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09F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03"/>
    <w:rPr>
      <w:rFonts w:ascii="Segoe UI" w:eastAsia="Times New Roman" w:hAnsi="Segoe UI" w:cs="Times New Roman"/>
      <w:kern w:val="0"/>
      <w:sz w:val="20"/>
      <w:szCs w:val="20"/>
      <w:lang w:val="en-GB" w:eastAsia="en-US"/>
    </w:rPr>
  </w:style>
  <w:style w:type="paragraph" w:styleId="Heading1">
    <w:name w:val="heading 1"/>
    <w:basedOn w:val="Normal"/>
    <w:next w:val="Normal"/>
    <w:link w:val="Heading1Char"/>
    <w:qFormat/>
    <w:rsid w:val="00CA1B87"/>
    <w:pPr>
      <w:keepNext/>
      <w:keepLines/>
      <w:tabs>
        <w:tab w:val="left" w:pos="794"/>
      </w:tabs>
      <w:spacing w:before="600" w:after="360"/>
      <w:outlineLvl w:val="0"/>
    </w:pPr>
    <w:rPr>
      <w:color w:val="AA322F"/>
      <w:sz w:val="28"/>
    </w:rPr>
  </w:style>
  <w:style w:type="paragraph" w:styleId="Heading2">
    <w:name w:val="heading 2"/>
    <w:basedOn w:val="Normal"/>
    <w:next w:val="Normal"/>
    <w:link w:val="Heading2Char"/>
    <w:qFormat/>
    <w:rsid w:val="00272D6C"/>
    <w:pPr>
      <w:keepNext/>
      <w:suppressAutoHyphens/>
      <w:spacing w:line="480" w:lineRule="auto"/>
      <w:outlineLvl w:val="1"/>
    </w:pPr>
    <w:rPr>
      <w:rFonts w:ascii="Cambria" w:eastAsia="新細明體" w:hAnsi="Cambria"/>
      <w:b/>
      <w:bCs/>
      <w:sz w:val="48"/>
      <w:szCs w:val="48"/>
      <w:lang w:eastAsia="ar-SA"/>
    </w:rPr>
  </w:style>
  <w:style w:type="paragraph" w:styleId="Heading3">
    <w:name w:val="heading 3"/>
    <w:basedOn w:val="Normal"/>
    <w:next w:val="Normal"/>
    <w:link w:val="Heading3Char"/>
    <w:uiPriority w:val="9"/>
    <w:unhideWhenUsed/>
    <w:qFormat/>
    <w:rsid w:val="005F4B44"/>
    <w:pPr>
      <w:keepNext/>
      <w:keepLines/>
      <w:spacing w:before="40"/>
      <w:outlineLvl w:val="2"/>
    </w:pPr>
    <w:rPr>
      <w:rFonts w:ascii="Calibri Light" w:eastAsia="新細明體" w:hAnsi="Calibri Light"/>
      <w:color w:val="1F4D78"/>
      <w:sz w:val="24"/>
      <w:szCs w:val="24"/>
    </w:rPr>
  </w:style>
  <w:style w:type="paragraph" w:styleId="Heading4">
    <w:name w:val="heading 4"/>
    <w:basedOn w:val="Normal"/>
    <w:next w:val="Normal"/>
    <w:link w:val="Heading4Char"/>
    <w:uiPriority w:val="9"/>
    <w:semiHidden/>
    <w:unhideWhenUsed/>
    <w:qFormat/>
    <w:rsid w:val="001177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557"/>
    <w:pPr>
      <w:tabs>
        <w:tab w:val="center" w:pos="4153"/>
        <w:tab w:val="right" w:pos="8306"/>
      </w:tabs>
      <w:snapToGrid w:val="0"/>
    </w:pPr>
  </w:style>
  <w:style w:type="character" w:customStyle="1" w:styleId="FooterChar">
    <w:name w:val="Footer Char"/>
    <w:basedOn w:val="DefaultParagraphFont"/>
    <w:link w:val="Footer"/>
    <w:uiPriority w:val="99"/>
    <w:rsid w:val="00D64557"/>
    <w:rPr>
      <w:rFonts w:ascii="Segoe UI" w:eastAsia="Times New Roman" w:hAnsi="Segoe UI" w:cs="Times New Roman"/>
      <w:kern w:val="0"/>
      <w:sz w:val="20"/>
      <w:szCs w:val="20"/>
      <w:lang w:val="en-GB" w:eastAsia="en-US"/>
    </w:rPr>
  </w:style>
  <w:style w:type="paragraph" w:customStyle="1" w:styleId="TableText">
    <w:name w:val="TableText"/>
    <w:basedOn w:val="Normal"/>
    <w:qFormat/>
    <w:rsid w:val="00D64557"/>
    <w:pPr>
      <w:spacing w:before="40" w:after="40"/>
    </w:pPr>
    <w:rPr>
      <w:sz w:val="17"/>
    </w:rPr>
  </w:style>
  <w:style w:type="character" w:styleId="Hyperlink">
    <w:name w:val="Hyperlink"/>
    <w:basedOn w:val="DefaultParagraphFont"/>
    <w:uiPriority w:val="99"/>
    <w:unhideWhenUsed/>
    <w:rsid w:val="00D64557"/>
    <w:rPr>
      <w:color w:val="0000FF" w:themeColor="hyperlink"/>
      <w:u w:val="single"/>
    </w:rPr>
  </w:style>
  <w:style w:type="paragraph" w:styleId="Header">
    <w:name w:val="header"/>
    <w:basedOn w:val="Normal"/>
    <w:link w:val="HeaderChar"/>
    <w:uiPriority w:val="99"/>
    <w:unhideWhenUsed/>
    <w:rsid w:val="00D56E58"/>
    <w:pPr>
      <w:tabs>
        <w:tab w:val="center" w:pos="4153"/>
        <w:tab w:val="right" w:pos="8306"/>
      </w:tabs>
      <w:snapToGrid w:val="0"/>
    </w:pPr>
  </w:style>
  <w:style w:type="character" w:customStyle="1" w:styleId="HeaderChar">
    <w:name w:val="Header Char"/>
    <w:basedOn w:val="DefaultParagraphFont"/>
    <w:link w:val="Header"/>
    <w:uiPriority w:val="99"/>
    <w:rsid w:val="00D56E58"/>
    <w:rPr>
      <w:rFonts w:ascii="Segoe UI" w:eastAsia="Times New Roman" w:hAnsi="Segoe UI" w:cs="Times New Roman"/>
      <w:kern w:val="0"/>
      <w:sz w:val="20"/>
      <w:szCs w:val="20"/>
      <w:lang w:val="en-GB" w:eastAsia="en-US"/>
    </w:rPr>
  </w:style>
  <w:style w:type="character" w:customStyle="1" w:styleId="shorttext">
    <w:name w:val="short_text"/>
    <w:basedOn w:val="DefaultParagraphFont"/>
    <w:rsid w:val="00C36698"/>
  </w:style>
  <w:style w:type="paragraph" w:styleId="BalloonText">
    <w:name w:val="Balloon Text"/>
    <w:basedOn w:val="Normal"/>
    <w:link w:val="BalloonTextChar"/>
    <w:unhideWhenUsed/>
    <w:rsid w:val="00F13D52"/>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F13D52"/>
    <w:rPr>
      <w:rFonts w:asciiTheme="majorHAnsi" w:eastAsiaTheme="majorEastAsia" w:hAnsiTheme="majorHAnsi" w:cstheme="majorBidi"/>
      <w:kern w:val="0"/>
      <w:sz w:val="16"/>
      <w:szCs w:val="16"/>
      <w:lang w:val="en-GB" w:eastAsia="en-US"/>
    </w:rPr>
  </w:style>
  <w:style w:type="character" w:styleId="FollowedHyperlink">
    <w:name w:val="FollowedHyperlink"/>
    <w:basedOn w:val="DefaultParagraphFont"/>
    <w:uiPriority w:val="99"/>
    <w:semiHidden/>
    <w:unhideWhenUsed/>
    <w:rsid w:val="00B22F90"/>
    <w:rPr>
      <w:color w:val="800080" w:themeColor="followedHyperlink"/>
      <w:u w:val="single"/>
    </w:rPr>
  </w:style>
  <w:style w:type="table" w:customStyle="1" w:styleId="TableGrid1">
    <w:name w:val="Table Grid1"/>
    <w:basedOn w:val="TableNormal"/>
    <w:next w:val="TableGrid"/>
    <w:uiPriority w:val="59"/>
    <w:rsid w:val="007B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A1B87"/>
    <w:rPr>
      <w:rFonts w:ascii="Segoe UI" w:eastAsia="Times New Roman" w:hAnsi="Segoe UI" w:cs="Times New Roman"/>
      <w:color w:val="AA322F"/>
      <w:kern w:val="0"/>
      <w:sz w:val="28"/>
      <w:szCs w:val="20"/>
      <w:lang w:val="en-GB" w:eastAsia="en-US"/>
    </w:rPr>
  </w:style>
  <w:style w:type="numbering" w:customStyle="1" w:styleId="NoList1">
    <w:name w:val="No List1"/>
    <w:next w:val="NoList"/>
    <w:uiPriority w:val="99"/>
    <w:semiHidden/>
    <w:unhideWhenUsed/>
    <w:rsid w:val="00CA1B87"/>
  </w:style>
  <w:style w:type="paragraph" w:styleId="ListParagraph">
    <w:name w:val="List Paragraph"/>
    <w:basedOn w:val="Normal"/>
    <w:uiPriority w:val="34"/>
    <w:qFormat/>
    <w:rsid w:val="00CA1B87"/>
    <w:pPr>
      <w:ind w:leftChars="200" w:left="480"/>
    </w:pPr>
  </w:style>
  <w:style w:type="paragraph" w:styleId="FootnoteText">
    <w:name w:val="footnote text"/>
    <w:aliases w:val="Footnote Text Char Char,Footnote,Fußnote,FSR footnote,lábléc, Char,l¡¡¡¡ì¬¢bl¡¡¡¡ì¬¦c,Char,Carattere1, Carattere1,Voetnoottekst Char,C26 Footnote body,text,Voetnoottekst Char1 Char,Voetnoottekst Char Char Char,fn"/>
    <w:basedOn w:val="Normal"/>
    <w:link w:val="FootnoteTextChar"/>
    <w:uiPriority w:val="99"/>
    <w:qFormat/>
    <w:rsid w:val="00CA1B87"/>
    <w:pPr>
      <w:tabs>
        <w:tab w:val="left" w:pos="397"/>
      </w:tabs>
      <w:spacing w:before="120"/>
      <w:ind w:left="397" w:hanging="397"/>
      <w:jc w:val="both"/>
    </w:pPr>
    <w:rPr>
      <w:sz w:val="16"/>
    </w:rPr>
  </w:style>
  <w:style w:type="character" w:customStyle="1" w:styleId="FootnoteTextChar">
    <w:name w:val="Footnote Text Char"/>
    <w:aliases w:val="Footnote Text Char Char Char,Footnote Char,Fußnote Char,FSR footnote Char,lábléc Char, Char Char,l¡¡¡¡ì¬¢bl¡¡¡¡ì¬¦c Char,Char Char,Carattere1 Char, Carattere1 Char,Voetnoottekst Char Char,C26 Footnote body Char,text Char,fn Char"/>
    <w:basedOn w:val="DefaultParagraphFont"/>
    <w:link w:val="FootnoteText"/>
    <w:uiPriority w:val="99"/>
    <w:rsid w:val="00CA1B87"/>
    <w:rPr>
      <w:rFonts w:ascii="Segoe UI" w:eastAsia="Times New Roman" w:hAnsi="Segoe UI" w:cs="Times New Roman"/>
      <w:kern w:val="0"/>
      <w:sz w:val="16"/>
      <w:szCs w:val="20"/>
      <w:lang w:val="en-GB" w:eastAsia="en-US"/>
    </w:rPr>
  </w:style>
  <w:style w:type="character" w:styleId="FootnoteReference">
    <w:name w:val="footnote reference"/>
    <w:aliases w:val="Footnote Reference Number,Footnote Reference_LVL6,Footnote Reference_LVL61,Footnote Reference_LVL62,Footnote Reference_LVL63,Footnote Reference_LVL64,C26 Footnote Number,Footnote symbol,Footnote Reference_LVL65,Ref,Nota"/>
    <w:qFormat/>
    <w:rsid w:val="00CA1B87"/>
    <w:rPr>
      <w:rFonts w:ascii="Segoe UI" w:hAnsi="Segoe UI" w:cs="Times New Roman"/>
      <w:vertAlign w:val="superscript"/>
    </w:rPr>
  </w:style>
  <w:style w:type="table" w:customStyle="1" w:styleId="TableGrid3">
    <w:name w:val="Table Grid3"/>
    <w:basedOn w:val="TableNormal"/>
    <w:next w:val="TableGrid"/>
    <w:uiPriority w:val="59"/>
    <w:rsid w:val="00CA1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CA1B87"/>
    <w:pPr>
      <w:spacing w:before="60" w:after="120"/>
      <w:jc w:val="both"/>
    </w:pPr>
    <w:rPr>
      <w:sz w:val="15"/>
    </w:rPr>
  </w:style>
  <w:style w:type="character" w:styleId="CommentReference">
    <w:name w:val="annotation reference"/>
    <w:basedOn w:val="DefaultParagraphFont"/>
    <w:unhideWhenUsed/>
    <w:rsid w:val="00CA1B87"/>
    <w:rPr>
      <w:sz w:val="18"/>
      <w:szCs w:val="18"/>
    </w:rPr>
  </w:style>
  <w:style w:type="paragraph" w:styleId="CommentText">
    <w:name w:val="annotation text"/>
    <w:basedOn w:val="Normal"/>
    <w:link w:val="CommentTextChar"/>
    <w:uiPriority w:val="99"/>
    <w:unhideWhenUsed/>
    <w:rsid w:val="00CA1B87"/>
  </w:style>
  <w:style w:type="character" w:customStyle="1" w:styleId="CommentTextChar">
    <w:name w:val="Comment Text Char"/>
    <w:basedOn w:val="DefaultParagraphFont"/>
    <w:link w:val="CommentText"/>
    <w:uiPriority w:val="99"/>
    <w:rsid w:val="00CA1B87"/>
    <w:rPr>
      <w:rFonts w:ascii="Segoe UI" w:eastAsia="Times New Roman" w:hAnsi="Segoe UI" w:cs="Times New Roman"/>
      <w:kern w:val="0"/>
      <w:sz w:val="20"/>
      <w:szCs w:val="20"/>
      <w:lang w:val="en-GB" w:eastAsia="en-US"/>
    </w:rPr>
  </w:style>
  <w:style w:type="paragraph" w:styleId="CommentSubject">
    <w:name w:val="annotation subject"/>
    <w:basedOn w:val="CommentText"/>
    <w:next w:val="CommentText"/>
    <w:link w:val="CommentSubjectChar"/>
    <w:unhideWhenUsed/>
    <w:rsid w:val="00CA1B87"/>
    <w:rPr>
      <w:b/>
      <w:bCs/>
    </w:rPr>
  </w:style>
  <w:style w:type="character" w:customStyle="1" w:styleId="CommentSubjectChar">
    <w:name w:val="Comment Subject Char"/>
    <w:basedOn w:val="CommentTextChar"/>
    <w:link w:val="CommentSubject"/>
    <w:rsid w:val="00CA1B87"/>
    <w:rPr>
      <w:rFonts w:ascii="Segoe UI" w:eastAsia="Times New Roman" w:hAnsi="Segoe UI" w:cs="Times New Roman"/>
      <w:b/>
      <w:bCs/>
      <w:kern w:val="0"/>
      <w:sz w:val="20"/>
      <w:szCs w:val="20"/>
      <w:lang w:val="en-GB" w:eastAsia="en-US"/>
    </w:rPr>
  </w:style>
  <w:style w:type="paragraph" w:customStyle="1" w:styleId="Default">
    <w:name w:val="Default"/>
    <w:rsid w:val="00CA1B87"/>
    <w:pPr>
      <w:widowControl w:val="0"/>
      <w:autoSpaceDE w:val="0"/>
      <w:autoSpaceDN w:val="0"/>
      <w:adjustRightInd w:val="0"/>
    </w:pPr>
    <w:rPr>
      <w:rFonts w:ascii="Segoe UI" w:hAnsi="Segoe UI" w:cs="Segoe UI"/>
      <w:color w:val="000000"/>
      <w:kern w:val="0"/>
      <w:szCs w:val="24"/>
    </w:rPr>
  </w:style>
  <w:style w:type="paragraph" w:styleId="ListBullet">
    <w:name w:val="List Bullet"/>
    <w:basedOn w:val="Normal"/>
    <w:uiPriority w:val="99"/>
    <w:unhideWhenUsed/>
    <w:rsid w:val="00CA1B87"/>
    <w:pPr>
      <w:numPr>
        <w:numId w:val="12"/>
      </w:numPr>
      <w:contextualSpacing/>
    </w:pPr>
  </w:style>
  <w:style w:type="paragraph" w:styleId="Revision">
    <w:name w:val="Revision"/>
    <w:hidden/>
    <w:uiPriority w:val="99"/>
    <w:rsid w:val="00CA1B87"/>
    <w:rPr>
      <w:rFonts w:ascii="Segoe UI" w:eastAsia="Times New Roman" w:hAnsi="Segoe UI" w:cs="Times New Roman"/>
      <w:kern w:val="0"/>
      <w:sz w:val="20"/>
      <w:szCs w:val="20"/>
      <w:lang w:val="en-GB" w:eastAsia="en-US"/>
    </w:rPr>
  </w:style>
  <w:style w:type="character" w:customStyle="1" w:styleId="alt-edited1">
    <w:name w:val="alt-edited1"/>
    <w:basedOn w:val="DefaultParagraphFont"/>
    <w:rsid w:val="00CA1B87"/>
    <w:rPr>
      <w:color w:val="4D90F0"/>
    </w:rPr>
  </w:style>
  <w:style w:type="table" w:customStyle="1" w:styleId="TableGrid4">
    <w:name w:val="Table Grid4"/>
    <w:basedOn w:val="TableNormal"/>
    <w:next w:val="TableGrid"/>
    <w:uiPriority w:val="59"/>
    <w:rsid w:val="009B0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F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5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4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73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8624D"/>
  </w:style>
  <w:style w:type="table" w:customStyle="1" w:styleId="TableGrid9">
    <w:name w:val="Table Grid9"/>
    <w:basedOn w:val="TableNormal"/>
    <w:next w:val="TableGrid"/>
    <w:uiPriority w:val="59"/>
    <w:rsid w:val="00C8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7676"/>
  </w:style>
  <w:style w:type="table" w:customStyle="1" w:styleId="TableGrid10">
    <w:name w:val="Table Grid10"/>
    <w:basedOn w:val="TableNormal"/>
    <w:next w:val="TableGrid"/>
    <w:uiPriority w:val="59"/>
    <w:rsid w:val="005E7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rsid w:val="00BA44D7"/>
    <w:rPr>
      <w:rFonts w:ascii="Segoe UI" w:eastAsia="Times New Roman" w:hAnsi="Segoe UI" w:cs="Segoe UI"/>
      <w:sz w:val="20"/>
      <w:szCs w:val="20"/>
      <w:lang w:eastAsia="ar-SA"/>
    </w:rPr>
  </w:style>
  <w:style w:type="paragraph" w:styleId="BodyText">
    <w:name w:val="Body Text"/>
    <w:basedOn w:val="Normal"/>
    <w:link w:val="BodyTextChar"/>
    <w:uiPriority w:val="1"/>
    <w:qFormat/>
    <w:rsid w:val="00F52F24"/>
    <w:pPr>
      <w:suppressAutoHyphens/>
      <w:spacing w:after="120"/>
    </w:pPr>
    <w:rPr>
      <w:rFonts w:cs="Segoe UI"/>
      <w:lang w:eastAsia="ar-SA"/>
    </w:rPr>
  </w:style>
  <w:style w:type="character" w:customStyle="1" w:styleId="BodyTextChar">
    <w:name w:val="Body Text Char"/>
    <w:basedOn w:val="DefaultParagraphFont"/>
    <w:link w:val="BodyText"/>
    <w:uiPriority w:val="1"/>
    <w:rsid w:val="00F52F24"/>
    <w:rPr>
      <w:rFonts w:ascii="Segoe UI" w:eastAsia="Times New Roman" w:hAnsi="Segoe UI" w:cs="Segoe UI"/>
      <w:kern w:val="0"/>
      <w:sz w:val="20"/>
      <w:szCs w:val="20"/>
      <w:lang w:val="en-GB" w:eastAsia="ar-SA"/>
    </w:rPr>
  </w:style>
  <w:style w:type="paragraph" w:customStyle="1" w:styleId="BoxTitle">
    <w:name w:val="BoxTitle"/>
    <w:basedOn w:val="Normal"/>
    <w:next w:val="Normal"/>
    <w:rsid w:val="00B364EC"/>
    <w:pPr>
      <w:keepNext/>
      <w:keepLines/>
      <w:suppressAutoHyphens/>
      <w:spacing w:before="240" w:line="240" w:lineRule="exact"/>
    </w:pPr>
    <w:rPr>
      <w:rFonts w:eastAsia="新細明體" w:cs="Segoe UI"/>
      <w:sz w:val="24"/>
      <w:lang w:eastAsia="ar-SA"/>
    </w:rPr>
  </w:style>
  <w:style w:type="paragraph" w:styleId="BodyTextIndent">
    <w:name w:val="Body Text Indent"/>
    <w:basedOn w:val="Normal"/>
    <w:link w:val="BodyTextIndentChar"/>
    <w:uiPriority w:val="99"/>
    <w:unhideWhenUsed/>
    <w:rsid w:val="00B364EC"/>
    <w:pPr>
      <w:spacing w:after="120" w:line="259" w:lineRule="auto"/>
      <w:ind w:left="283"/>
    </w:pPr>
    <w:rPr>
      <w:rFonts w:asciiTheme="minorHAnsi" w:eastAsiaTheme="minorEastAsia" w:hAnsiTheme="minorHAnsi" w:cstheme="minorBidi"/>
      <w:sz w:val="22"/>
      <w:szCs w:val="22"/>
      <w:lang w:eastAsia="zh-CN"/>
    </w:rPr>
  </w:style>
  <w:style w:type="character" w:customStyle="1" w:styleId="BodyTextIndentChar">
    <w:name w:val="Body Text Indent Char"/>
    <w:basedOn w:val="DefaultParagraphFont"/>
    <w:link w:val="BodyTextIndent"/>
    <w:uiPriority w:val="99"/>
    <w:rsid w:val="00B364EC"/>
    <w:rPr>
      <w:kern w:val="0"/>
      <w:sz w:val="22"/>
      <w:lang w:val="en-GB" w:eastAsia="zh-CN"/>
    </w:rPr>
  </w:style>
  <w:style w:type="table" w:customStyle="1" w:styleId="TableGrid71">
    <w:name w:val="Table Grid71"/>
    <w:basedOn w:val="TableNormal"/>
    <w:next w:val="TableGrid"/>
    <w:uiPriority w:val="59"/>
    <w:rsid w:val="001D1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D1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72D6C"/>
    <w:rPr>
      <w:rFonts w:ascii="Cambria" w:eastAsia="新細明體" w:hAnsi="Cambria" w:cs="Times New Roman"/>
      <w:b/>
      <w:bCs/>
      <w:kern w:val="0"/>
      <w:sz w:val="48"/>
      <w:szCs w:val="48"/>
      <w:lang w:val="en-GB" w:eastAsia="ar-SA"/>
    </w:rPr>
  </w:style>
  <w:style w:type="numbering" w:customStyle="1" w:styleId="NoList4">
    <w:name w:val="No List4"/>
    <w:next w:val="NoList"/>
    <w:uiPriority w:val="99"/>
    <w:semiHidden/>
    <w:unhideWhenUsed/>
    <w:rsid w:val="00272D6C"/>
  </w:style>
  <w:style w:type="character" w:customStyle="1" w:styleId="WW8Num1z0">
    <w:name w:val="WW8Num1z0"/>
    <w:rsid w:val="00272D6C"/>
    <w:rPr>
      <w:rFonts w:hint="default"/>
    </w:rPr>
  </w:style>
  <w:style w:type="character" w:customStyle="1" w:styleId="WW8Num1z1">
    <w:name w:val="WW8Num1z1"/>
    <w:rsid w:val="00272D6C"/>
  </w:style>
  <w:style w:type="character" w:customStyle="1" w:styleId="WW8Num1z2">
    <w:name w:val="WW8Num1z2"/>
    <w:rsid w:val="00272D6C"/>
  </w:style>
  <w:style w:type="character" w:customStyle="1" w:styleId="WW8Num1z3">
    <w:name w:val="WW8Num1z3"/>
    <w:rsid w:val="00272D6C"/>
  </w:style>
  <w:style w:type="character" w:customStyle="1" w:styleId="WW8Num1z4">
    <w:name w:val="WW8Num1z4"/>
    <w:rsid w:val="00272D6C"/>
  </w:style>
  <w:style w:type="character" w:customStyle="1" w:styleId="WW8Num1z5">
    <w:name w:val="WW8Num1z5"/>
    <w:rsid w:val="00272D6C"/>
  </w:style>
  <w:style w:type="character" w:customStyle="1" w:styleId="WW8Num1z6">
    <w:name w:val="WW8Num1z6"/>
    <w:rsid w:val="00272D6C"/>
  </w:style>
  <w:style w:type="character" w:customStyle="1" w:styleId="WW8Num1z7">
    <w:name w:val="WW8Num1z7"/>
    <w:rsid w:val="00272D6C"/>
  </w:style>
  <w:style w:type="character" w:customStyle="1" w:styleId="WW8Num1z8">
    <w:name w:val="WW8Num1z8"/>
    <w:rsid w:val="00272D6C"/>
  </w:style>
  <w:style w:type="character" w:customStyle="1" w:styleId="WW8Num2z0">
    <w:name w:val="WW8Num2z0"/>
    <w:rsid w:val="00272D6C"/>
    <w:rPr>
      <w:rFonts w:eastAsia="細明體" w:cs="Segoe UI" w:hint="default"/>
      <w:lang w:val="en-GB"/>
    </w:rPr>
  </w:style>
  <w:style w:type="character" w:customStyle="1" w:styleId="WW8Num3z0">
    <w:name w:val="WW8Num3z0"/>
    <w:rsid w:val="00272D6C"/>
    <w:rPr>
      <w:rFonts w:eastAsia="細明體" w:cs="Segoe UI" w:hint="default"/>
    </w:rPr>
  </w:style>
  <w:style w:type="character" w:customStyle="1" w:styleId="WW8Num4z0">
    <w:name w:val="WW8Num4z0"/>
    <w:rsid w:val="00272D6C"/>
    <w:rPr>
      <w:rFonts w:eastAsia="細明體" w:cs="Segoe UI" w:hint="eastAsia"/>
    </w:rPr>
  </w:style>
  <w:style w:type="character" w:customStyle="1" w:styleId="WW8Num5z0">
    <w:name w:val="WW8Num5z0"/>
    <w:rsid w:val="00272D6C"/>
    <w:rPr>
      <w:rFonts w:eastAsia="細明體" w:cs="Segoe UI" w:hint="eastAsia"/>
    </w:rPr>
  </w:style>
  <w:style w:type="character" w:customStyle="1" w:styleId="WW8Num6z0">
    <w:name w:val="WW8Num6z0"/>
    <w:rsid w:val="00272D6C"/>
    <w:rPr>
      <w:rFonts w:eastAsia="細明體" w:cs="Segoe UI" w:hint="eastAsia"/>
      <w:sz w:val="17"/>
      <w:szCs w:val="17"/>
    </w:rPr>
  </w:style>
  <w:style w:type="character" w:customStyle="1" w:styleId="WW8Num7z0">
    <w:name w:val="WW8Num7z0"/>
    <w:rsid w:val="00272D6C"/>
    <w:rPr>
      <w:rFonts w:eastAsia="細明體" w:cs="Segoe UI" w:hint="default"/>
      <w:b/>
      <w:sz w:val="17"/>
    </w:rPr>
  </w:style>
  <w:style w:type="character" w:customStyle="1" w:styleId="WW8Num8z0">
    <w:name w:val="WW8Num8z0"/>
    <w:rsid w:val="00272D6C"/>
    <w:rPr>
      <w:rFonts w:ascii="Wingdings" w:hAnsi="Wingdings" w:cs="Wingdings" w:hint="default"/>
    </w:rPr>
  </w:style>
  <w:style w:type="character" w:customStyle="1" w:styleId="WW8Num9z0">
    <w:name w:val="WW8Num9z0"/>
    <w:rsid w:val="00272D6C"/>
    <w:rPr>
      <w:rFonts w:eastAsia="細明體" w:cs="Segoe UI" w:hint="default"/>
      <w:b/>
      <w:sz w:val="17"/>
      <w:szCs w:val="17"/>
    </w:rPr>
  </w:style>
  <w:style w:type="character" w:customStyle="1" w:styleId="WW8Num10z0">
    <w:name w:val="WW8Num10z0"/>
    <w:rsid w:val="00272D6C"/>
    <w:rPr>
      <w:rFonts w:eastAsia="細明體" w:hint="default"/>
      <w:sz w:val="17"/>
      <w:lang w:val="en-GB"/>
    </w:rPr>
  </w:style>
  <w:style w:type="character" w:customStyle="1" w:styleId="WW8Num11z0">
    <w:name w:val="WW8Num11z0"/>
    <w:rsid w:val="00272D6C"/>
    <w:rPr>
      <w:rFonts w:eastAsia="細明體" w:cs="Segoe UI" w:hint="eastAsia"/>
    </w:rPr>
  </w:style>
  <w:style w:type="character" w:customStyle="1" w:styleId="WW8Num12z0">
    <w:name w:val="WW8Num12z0"/>
    <w:rsid w:val="00272D6C"/>
    <w:rPr>
      <w:rFonts w:eastAsia="細明體" w:cs="Segoe UI" w:hint="eastAsia"/>
      <w:sz w:val="17"/>
      <w:szCs w:val="17"/>
    </w:rPr>
  </w:style>
  <w:style w:type="character" w:customStyle="1" w:styleId="WW8Num13z0">
    <w:name w:val="WW8Num13z0"/>
    <w:rsid w:val="00272D6C"/>
    <w:rPr>
      <w:rFonts w:eastAsia="新細明體" w:cs="Segoe UI" w:hint="default"/>
      <w:color w:val="000000"/>
    </w:rPr>
  </w:style>
  <w:style w:type="character" w:customStyle="1" w:styleId="WW8Num14z0">
    <w:name w:val="WW8Num14z0"/>
    <w:rsid w:val="00272D6C"/>
    <w:rPr>
      <w:rFonts w:eastAsia="細明體" w:cs="Segoe UI" w:hint="eastAsia"/>
      <w:color w:val="000000"/>
      <w:sz w:val="17"/>
      <w:szCs w:val="17"/>
    </w:rPr>
  </w:style>
  <w:style w:type="character" w:customStyle="1" w:styleId="WW8Num15z0">
    <w:name w:val="WW8Num15z0"/>
    <w:rsid w:val="00272D6C"/>
    <w:rPr>
      <w:rFonts w:ascii="Wingdings" w:eastAsia="細明體" w:hAnsi="Wingdings" w:cs="Wingdings" w:hint="default"/>
      <w:lang w:val="en-GB"/>
    </w:rPr>
  </w:style>
  <w:style w:type="character" w:customStyle="1" w:styleId="WW8Num16z0">
    <w:name w:val="WW8Num16z0"/>
    <w:rsid w:val="00272D6C"/>
    <w:rPr>
      <w:rFonts w:ascii="Wingdings" w:eastAsia="細明體" w:hAnsi="Wingdings" w:cs="Wingdings" w:hint="default"/>
      <w:sz w:val="17"/>
      <w:szCs w:val="17"/>
    </w:rPr>
  </w:style>
  <w:style w:type="character" w:customStyle="1" w:styleId="WW8Num17z0">
    <w:name w:val="WW8Num17z0"/>
    <w:rsid w:val="00272D6C"/>
    <w:rPr>
      <w:rFonts w:ascii="Wingdings" w:eastAsia="細明體" w:hAnsi="Wingdings" w:cs="Wingdings" w:hint="default"/>
      <w:sz w:val="17"/>
      <w:szCs w:val="17"/>
    </w:rPr>
  </w:style>
  <w:style w:type="character" w:customStyle="1" w:styleId="WW8Num18z0">
    <w:name w:val="WW8Num18z0"/>
    <w:rsid w:val="00272D6C"/>
    <w:rPr>
      <w:rFonts w:eastAsia="細明體" w:cs="Segoe UI" w:hint="default"/>
      <w:sz w:val="17"/>
      <w:szCs w:val="17"/>
    </w:rPr>
  </w:style>
  <w:style w:type="character" w:customStyle="1" w:styleId="WW8Num19z0">
    <w:name w:val="WW8Num19z0"/>
    <w:rsid w:val="00272D6C"/>
    <w:rPr>
      <w:rFonts w:eastAsia="細明體" w:cs="Segoe UI" w:hint="eastAsia"/>
      <w:sz w:val="17"/>
      <w:szCs w:val="17"/>
    </w:rPr>
  </w:style>
  <w:style w:type="character" w:customStyle="1" w:styleId="WW8Num20z0">
    <w:name w:val="WW8Num20z0"/>
    <w:rsid w:val="00272D6C"/>
    <w:rPr>
      <w:rFonts w:ascii="新細明體" w:eastAsia="新細明體" w:hAnsi="新細明體" w:cs="新細明體" w:hint="eastAsia"/>
    </w:rPr>
  </w:style>
  <w:style w:type="character" w:customStyle="1" w:styleId="WW8Num21z0">
    <w:name w:val="WW8Num21z0"/>
    <w:rsid w:val="00272D6C"/>
    <w:rPr>
      <w:rFonts w:eastAsia="新細明體" w:cs="Segoe UI" w:hint="default"/>
      <w:color w:val="000000"/>
      <w:sz w:val="17"/>
      <w:szCs w:val="17"/>
    </w:rPr>
  </w:style>
  <w:style w:type="character" w:customStyle="1" w:styleId="WW8Num22z0">
    <w:name w:val="WW8Num22z0"/>
    <w:rsid w:val="00272D6C"/>
    <w:rPr>
      <w:rFonts w:eastAsia="細明體" w:cs="Segoe UI" w:hint="eastAsia"/>
      <w:sz w:val="17"/>
      <w:szCs w:val="17"/>
      <w:lang w:val="en-GB"/>
    </w:rPr>
  </w:style>
  <w:style w:type="character" w:customStyle="1" w:styleId="WW8Num23z0">
    <w:name w:val="WW8Num23z0"/>
    <w:rsid w:val="00272D6C"/>
    <w:rPr>
      <w:rFonts w:eastAsia="細明體" w:hint="eastAsia"/>
      <w:sz w:val="17"/>
      <w:szCs w:val="17"/>
    </w:rPr>
  </w:style>
  <w:style w:type="character" w:customStyle="1" w:styleId="WW8Num24z0">
    <w:name w:val="WW8Num24z0"/>
    <w:rsid w:val="00272D6C"/>
    <w:rPr>
      <w:rFonts w:eastAsia="細明體" w:cs="Segoe UI" w:hint="default"/>
      <w:sz w:val="17"/>
      <w:szCs w:val="17"/>
    </w:rPr>
  </w:style>
  <w:style w:type="character" w:customStyle="1" w:styleId="WW8Num25z0">
    <w:name w:val="WW8Num25z0"/>
    <w:rsid w:val="00272D6C"/>
    <w:rPr>
      <w:rFonts w:ascii="Wingdings" w:eastAsia="細明體" w:hAnsi="Wingdings" w:cs="Wingdings" w:hint="default"/>
      <w:sz w:val="17"/>
      <w:szCs w:val="17"/>
    </w:rPr>
  </w:style>
  <w:style w:type="character" w:customStyle="1" w:styleId="WW8Num26z0">
    <w:name w:val="WW8Num26z0"/>
    <w:rsid w:val="00272D6C"/>
    <w:rPr>
      <w:rFonts w:ascii="新細明體" w:eastAsia="新細明體" w:hAnsi="新細明體" w:cs="新細明體" w:hint="eastAsia"/>
      <w:sz w:val="17"/>
      <w:szCs w:val="17"/>
    </w:rPr>
  </w:style>
  <w:style w:type="character" w:customStyle="1" w:styleId="WW8Num2z1">
    <w:name w:val="WW8Num2z1"/>
    <w:rsid w:val="00272D6C"/>
  </w:style>
  <w:style w:type="character" w:customStyle="1" w:styleId="WW8Num2z2">
    <w:name w:val="WW8Num2z2"/>
    <w:rsid w:val="00272D6C"/>
  </w:style>
  <w:style w:type="character" w:customStyle="1" w:styleId="WW8Num2z3">
    <w:name w:val="WW8Num2z3"/>
    <w:rsid w:val="00272D6C"/>
  </w:style>
  <w:style w:type="character" w:customStyle="1" w:styleId="WW8Num2z4">
    <w:name w:val="WW8Num2z4"/>
    <w:rsid w:val="00272D6C"/>
  </w:style>
  <w:style w:type="character" w:customStyle="1" w:styleId="WW8Num2z5">
    <w:name w:val="WW8Num2z5"/>
    <w:rsid w:val="00272D6C"/>
  </w:style>
  <w:style w:type="character" w:customStyle="1" w:styleId="WW8Num2z6">
    <w:name w:val="WW8Num2z6"/>
    <w:rsid w:val="00272D6C"/>
  </w:style>
  <w:style w:type="character" w:customStyle="1" w:styleId="WW8Num2z7">
    <w:name w:val="WW8Num2z7"/>
    <w:rsid w:val="00272D6C"/>
  </w:style>
  <w:style w:type="character" w:customStyle="1" w:styleId="WW8Num2z8">
    <w:name w:val="WW8Num2z8"/>
    <w:rsid w:val="00272D6C"/>
  </w:style>
  <w:style w:type="character" w:customStyle="1" w:styleId="WW8Num3z1">
    <w:name w:val="WW8Num3z1"/>
    <w:rsid w:val="00272D6C"/>
  </w:style>
  <w:style w:type="character" w:customStyle="1" w:styleId="WW8Num3z2">
    <w:name w:val="WW8Num3z2"/>
    <w:rsid w:val="00272D6C"/>
  </w:style>
  <w:style w:type="character" w:customStyle="1" w:styleId="WW8Num3z3">
    <w:name w:val="WW8Num3z3"/>
    <w:rsid w:val="00272D6C"/>
  </w:style>
  <w:style w:type="character" w:customStyle="1" w:styleId="WW8Num3z4">
    <w:name w:val="WW8Num3z4"/>
    <w:rsid w:val="00272D6C"/>
  </w:style>
  <w:style w:type="character" w:customStyle="1" w:styleId="WW8Num3z5">
    <w:name w:val="WW8Num3z5"/>
    <w:rsid w:val="00272D6C"/>
  </w:style>
  <w:style w:type="character" w:customStyle="1" w:styleId="WW8Num3z6">
    <w:name w:val="WW8Num3z6"/>
    <w:rsid w:val="00272D6C"/>
  </w:style>
  <w:style w:type="character" w:customStyle="1" w:styleId="WW8Num3z7">
    <w:name w:val="WW8Num3z7"/>
    <w:rsid w:val="00272D6C"/>
  </w:style>
  <w:style w:type="character" w:customStyle="1" w:styleId="WW8Num3z8">
    <w:name w:val="WW8Num3z8"/>
    <w:rsid w:val="00272D6C"/>
  </w:style>
  <w:style w:type="character" w:customStyle="1" w:styleId="WW8Num4z1">
    <w:name w:val="WW8Num4z1"/>
    <w:rsid w:val="00272D6C"/>
  </w:style>
  <w:style w:type="character" w:customStyle="1" w:styleId="WW8Num4z2">
    <w:name w:val="WW8Num4z2"/>
    <w:rsid w:val="00272D6C"/>
  </w:style>
  <w:style w:type="character" w:customStyle="1" w:styleId="WW8Num4z3">
    <w:name w:val="WW8Num4z3"/>
    <w:rsid w:val="00272D6C"/>
  </w:style>
  <w:style w:type="character" w:customStyle="1" w:styleId="WW8Num4z4">
    <w:name w:val="WW8Num4z4"/>
    <w:rsid w:val="00272D6C"/>
  </w:style>
  <w:style w:type="character" w:customStyle="1" w:styleId="WW8Num4z5">
    <w:name w:val="WW8Num4z5"/>
    <w:rsid w:val="00272D6C"/>
  </w:style>
  <w:style w:type="character" w:customStyle="1" w:styleId="WW8Num4z6">
    <w:name w:val="WW8Num4z6"/>
    <w:rsid w:val="00272D6C"/>
  </w:style>
  <w:style w:type="character" w:customStyle="1" w:styleId="WW8Num4z7">
    <w:name w:val="WW8Num4z7"/>
    <w:rsid w:val="00272D6C"/>
  </w:style>
  <w:style w:type="character" w:customStyle="1" w:styleId="WW8Num4z8">
    <w:name w:val="WW8Num4z8"/>
    <w:rsid w:val="00272D6C"/>
  </w:style>
  <w:style w:type="character" w:customStyle="1" w:styleId="WW8Num5z1">
    <w:name w:val="WW8Num5z1"/>
    <w:rsid w:val="00272D6C"/>
  </w:style>
  <w:style w:type="character" w:customStyle="1" w:styleId="WW8Num5z2">
    <w:name w:val="WW8Num5z2"/>
    <w:rsid w:val="00272D6C"/>
  </w:style>
  <w:style w:type="character" w:customStyle="1" w:styleId="WW8Num5z3">
    <w:name w:val="WW8Num5z3"/>
    <w:rsid w:val="00272D6C"/>
  </w:style>
  <w:style w:type="character" w:customStyle="1" w:styleId="WW8Num5z4">
    <w:name w:val="WW8Num5z4"/>
    <w:rsid w:val="00272D6C"/>
  </w:style>
  <w:style w:type="character" w:customStyle="1" w:styleId="WW8Num5z5">
    <w:name w:val="WW8Num5z5"/>
    <w:rsid w:val="00272D6C"/>
  </w:style>
  <w:style w:type="character" w:customStyle="1" w:styleId="WW8Num5z6">
    <w:name w:val="WW8Num5z6"/>
    <w:rsid w:val="00272D6C"/>
  </w:style>
  <w:style w:type="character" w:customStyle="1" w:styleId="WW8Num5z7">
    <w:name w:val="WW8Num5z7"/>
    <w:rsid w:val="00272D6C"/>
  </w:style>
  <w:style w:type="character" w:customStyle="1" w:styleId="WW8Num5z8">
    <w:name w:val="WW8Num5z8"/>
    <w:rsid w:val="00272D6C"/>
  </w:style>
  <w:style w:type="character" w:customStyle="1" w:styleId="WW8Num6z1">
    <w:name w:val="WW8Num6z1"/>
    <w:rsid w:val="00272D6C"/>
  </w:style>
  <w:style w:type="character" w:customStyle="1" w:styleId="WW8Num6z2">
    <w:name w:val="WW8Num6z2"/>
    <w:rsid w:val="00272D6C"/>
  </w:style>
  <w:style w:type="character" w:customStyle="1" w:styleId="WW8Num6z3">
    <w:name w:val="WW8Num6z3"/>
    <w:rsid w:val="00272D6C"/>
  </w:style>
  <w:style w:type="character" w:customStyle="1" w:styleId="WW8Num6z4">
    <w:name w:val="WW8Num6z4"/>
    <w:rsid w:val="00272D6C"/>
  </w:style>
  <w:style w:type="character" w:customStyle="1" w:styleId="WW8Num6z5">
    <w:name w:val="WW8Num6z5"/>
    <w:rsid w:val="00272D6C"/>
  </w:style>
  <w:style w:type="character" w:customStyle="1" w:styleId="WW8Num6z6">
    <w:name w:val="WW8Num6z6"/>
    <w:rsid w:val="00272D6C"/>
  </w:style>
  <w:style w:type="character" w:customStyle="1" w:styleId="WW8Num6z7">
    <w:name w:val="WW8Num6z7"/>
    <w:rsid w:val="00272D6C"/>
  </w:style>
  <w:style w:type="character" w:customStyle="1" w:styleId="WW8Num6z8">
    <w:name w:val="WW8Num6z8"/>
    <w:rsid w:val="00272D6C"/>
  </w:style>
  <w:style w:type="character" w:customStyle="1" w:styleId="WW8Num7z1">
    <w:name w:val="WW8Num7z1"/>
    <w:rsid w:val="00272D6C"/>
  </w:style>
  <w:style w:type="character" w:customStyle="1" w:styleId="WW8Num7z2">
    <w:name w:val="WW8Num7z2"/>
    <w:rsid w:val="00272D6C"/>
  </w:style>
  <w:style w:type="character" w:customStyle="1" w:styleId="WW8Num7z3">
    <w:name w:val="WW8Num7z3"/>
    <w:rsid w:val="00272D6C"/>
  </w:style>
  <w:style w:type="character" w:customStyle="1" w:styleId="WW8Num7z4">
    <w:name w:val="WW8Num7z4"/>
    <w:rsid w:val="00272D6C"/>
  </w:style>
  <w:style w:type="character" w:customStyle="1" w:styleId="WW8Num7z5">
    <w:name w:val="WW8Num7z5"/>
    <w:rsid w:val="00272D6C"/>
  </w:style>
  <w:style w:type="character" w:customStyle="1" w:styleId="WW8Num7z6">
    <w:name w:val="WW8Num7z6"/>
    <w:rsid w:val="00272D6C"/>
  </w:style>
  <w:style w:type="character" w:customStyle="1" w:styleId="WW8Num7z7">
    <w:name w:val="WW8Num7z7"/>
    <w:rsid w:val="00272D6C"/>
  </w:style>
  <w:style w:type="character" w:customStyle="1" w:styleId="WW8Num7z8">
    <w:name w:val="WW8Num7z8"/>
    <w:rsid w:val="00272D6C"/>
  </w:style>
  <w:style w:type="character" w:customStyle="1" w:styleId="WW8Num9z1">
    <w:name w:val="WW8Num9z1"/>
    <w:rsid w:val="00272D6C"/>
  </w:style>
  <w:style w:type="character" w:customStyle="1" w:styleId="WW8Num9z2">
    <w:name w:val="WW8Num9z2"/>
    <w:rsid w:val="00272D6C"/>
  </w:style>
  <w:style w:type="character" w:customStyle="1" w:styleId="WW8Num9z3">
    <w:name w:val="WW8Num9z3"/>
    <w:rsid w:val="00272D6C"/>
  </w:style>
  <w:style w:type="character" w:customStyle="1" w:styleId="WW8Num9z4">
    <w:name w:val="WW8Num9z4"/>
    <w:rsid w:val="00272D6C"/>
  </w:style>
  <w:style w:type="character" w:customStyle="1" w:styleId="WW8Num9z5">
    <w:name w:val="WW8Num9z5"/>
    <w:rsid w:val="00272D6C"/>
  </w:style>
  <w:style w:type="character" w:customStyle="1" w:styleId="WW8Num9z6">
    <w:name w:val="WW8Num9z6"/>
    <w:rsid w:val="00272D6C"/>
  </w:style>
  <w:style w:type="character" w:customStyle="1" w:styleId="WW8Num9z7">
    <w:name w:val="WW8Num9z7"/>
    <w:rsid w:val="00272D6C"/>
  </w:style>
  <w:style w:type="character" w:customStyle="1" w:styleId="WW8Num9z8">
    <w:name w:val="WW8Num9z8"/>
    <w:rsid w:val="00272D6C"/>
  </w:style>
  <w:style w:type="character" w:customStyle="1" w:styleId="WW8Num10z1">
    <w:name w:val="WW8Num10z1"/>
    <w:rsid w:val="00272D6C"/>
  </w:style>
  <w:style w:type="character" w:customStyle="1" w:styleId="WW8Num10z2">
    <w:name w:val="WW8Num10z2"/>
    <w:rsid w:val="00272D6C"/>
  </w:style>
  <w:style w:type="character" w:customStyle="1" w:styleId="WW8Num10z3">
    <w:name w:val="WW8Num10z3"/>
    <w:rsid w:val="00272D6C"/>
  </w:style>
  <w:style w:type="character" w:customStyle="1" w:styleId="WW8Num10z4">
    <w:name w:val="WW8Num10z4"/>
    <w:rsid w:val="00272D6C"/>
  </w:style>
  <w:style w:type="character" w:customStyle="1" w:styleId="WW8Num10z5">
    <w:name w:val="WW8Num10z5"/>
    <w:rsid w:val="00272D6C"/>
  </w:style>
  <w:style w:type="character" w:customStyle="1" w:styleId="WW8Num10z6">
    <w:name w:val="WW8Num10z6"/>
    <w:rsid w:val="00272D6C"/>
  </w:style>
  <w:style w:type="character" w:customStyle="1" w:styleId="WW8Num10z7">
    <w:name w:val="WW8Num10z7"/>
    <w:rsid w:val="00272D6C"/>
  </w:style>
  <w:style w:type="character" w:customStyle="1" w:styleId="WW8Num10z8">
    <w:name w:val="WW8Num10z8"/>
    <w:rsid w:val="00272D6C"/>
  </w:style>
  <w:style w:type="character" w:customStyle="1" w:styleId="WW8Num11z1">
    <w:name w:val="WW8Num11z1"/>
    <w:rsid w:val="00272D6C"/>
  </w:style>
  <w:style w:type="character" w:customStyle="1" w:styleId="WW8Num11z2">
    <w:name w:val="WW8Num11z2"/>
    <w:rsid w:val="00272D6C"/>
  </w:style>
  <w:style w:type="character" w:customStyle="1" w:styleId="WW8Num11z3">
    <w:name w:val="WW8Num11z3"/>
    <w:rsid w:val="00272D6C"/>
  </w:style>
  <w:style w:type="character" w:customStyle="1" w:styleId="WW8Num11z4">
    <w:name w:val="WW8Num11z4"/>
    <w:rsid w:val="00272D6C"/>
  </w:style>
  <w:style w:type="character" w:customStyle="1" w:styleId="WW8Num11z5">
    <w:name w:val="WW8Num11z5"/>
    <w:rsid w:val="00272D6C"/>
  </w:style>
  <w:style w:type="character" w:customStyle="1" w:styleId="WW8Num11z6">
    <w:name w:val="WW8Num11z6"/>
    <w:rsid w:val="00272D6C"/>
  </w:style>
  <w:style w:type="character" w:customStyle="1" w:styleId="WW8Num11z7">
    <w:name w:val="WW8Num11z7"/>
    <w:rsid w:val="00272D6C"/>
  </w:style>
  <w:style w:type="character" w:customStyle="1" w:styleId="WW8Num11z8">
    <w:name w:val="WW8Num11z8"/>
    <w:rsid w:val="00272D6C"/>
  </w:style>
  <w:style w:type="character" w:customStyle="1" w:styleId="WW8Num12z1">
    <w:name w:val="WW8Num12z1"/>
    <w:rsid w:val="00272D6C"/>
  </w:style>
  <w:style w:type="character" w:customStyle="1" w:styleId="WW8Num12z2">
    <w:name w:val="WW8Num12z2"/>
    <w:rsid w:val="00272D6C"/>
  </w:style>
  <w:style w:type="character" w:customStyle="1" w:styleId="WW8Num12z3">
    <w:name w:val="WW8Num12z3"/>
    <w:rsid w:val="00272D6C"/>
  </w:style>
  <w:style w:type="character" w:customStyle="1" w:styleId="WW8Num12z4">
    <w:name w:val="WW8Num12z4"/>
    <w:rsid w:val="00272D6C"/>
  </w:style>
  <w:style w:type="character" w:customStyle="1" w:styleId="WW8Num12z5">
    <w:name w:val="WW8Num12z5"/>
    <w:rsid w:val="00272D6C"/>
  </w:style>
  <w:style w:type="character" w:customStyle="1" w:styleId="WW8Num12z6">
    <w:name w:val="WW8Num12z6"/>
    <w:rsid w:val="00272D6C"/>
  </w:style>
  <w:style w:type="character" w:customStyle="1" w:styleId="WW8Num12z7">
    <w:name w:val="WW8Num12z7"/>
    <w:rsid w:val="00272D6C"/>
  </w:style>
  <w:style w:type="character" w:customStyle="1" w:styleId="WW8Num12z8">
    <w:name w:val="WW8Num12z8"/>
    <w:rsid w:val="00272D6C"/>
  </w:style>
  <w:style w:type="character" w:customStyle="1" w:styleId="WW8Num13z1">
    <w:name w:val="WW8Num13z1"/>
    <w:rsid w:val="00272D6C"/>
  </w:style>
  <w:style w:type="character" w:customStyle="1" w:styleId="WW8Num13z2">
    <w:name w:val="WW8Num13z2"/>
    <w:rsid w:val="00272D6C"/>
  </w:style>
  <w:style w:type="character" w:customStyle="1" w:styleId="WW8Num13z3">
    <w:name w:val="WW8Num13z3"/>
    <w:rsid w:val="00272D6C"/>
  </w:style>
  <w:style w:type="character" w:customStyle="1" w:styleId="WW8Num13z4">
    <w:name w:val="WW8Num13z4"/>
    <w:rsid w:val="00272D6C"/>
  </w:style>
  <w:style w:type="character" w:customStyle="1" w:styleId="WW8Num13z5">
    <w:name w:val="WW8Num13z5"/>
    <w:rsid w:val="00272D6C"/>
  </w:style>
  <w:style w:type="character" w:customStyle="1" w:styleId="WW8Num13z6">
    <w:name w:val="WW8Num13z6"/>
    <w:rsid w:val="00272D6C"/>
  </w:style>
  <w:style w:type="character" w:customStyle="1" w:styleId="WW8Num13z7">
    <w:name w:val="WW8Num13z7"/>
    <w:rsid w:val="00272D6C"/>
  </w:style>
  <w:style w:type="character" w:customStyle="1" w:styleId="WW8Num13z8">
    <w:name w:val="WW8Num13z8"/>
    <w:rsid w:val="00272D6C"/>
  </w:style>
  <w:style w:type="character" w:customStyle="1" w:styleId="WW8Num14z1">
    <w:name w:val="WW8Num14z1"/>
    <w:rsid w:val="00272D6C"/>
  </w:style>
  <w:style w:type="character" w:customStyle="1" w:styleId="WW8Num14z2">
    <w:name w:val="WW8Num14z2"/>
    <w:rsid w:val="00272D6C"/>
  </w:style>
  <w:style w:type="character" w:customStyle="1" w:styleId="WW8Num14z3">
    <w:name w:val="WW8Num14z3"/>
    <w:rsid w:val="00272D6C"/>
  </w:style>
  <w:style w:type="character" w:customStyle="1" w:styleId="WW8Num14z4">
    <w:name w:val="WW8Num14z4"/>
    <w:rsid w:val="00272D6C"/>
  </w:style>
  <w:style w:type="character" w:customStyle="1" w:styleId="WW8Num14z5">
    <w:name w:val="WW8Num14z5"/>
    <w:rsid w:val="00272D6C"/>
  </w:style>
  <w:style w:type="character" w:customStyle="1" w:styleId="WW8Num14z6">
    <w:name w:val="WW8Num14z6"/>
    <w:rsid w:val="00272D6C"/>
  </w:style>
  <w:style w:type="character" w:customStyle="1" w:styleId="WW8Num14z7">
    <w:name w:val="WW8Num14z7"/>
    <w:rsid w:val="00272D6C"/>
  </w:style>
  <w:style w:type="character" w:customStyle="1" w:styleId="WW8Num14z8">
    <w:name w:val="WW8Num14z8"/>
    <w:rsid w:val="00272D6C"/>
  </w:style>
  <w:style w:type="character" w:customStyle="1" w:styleId="WW8Num18z1">
    <w:name w:val="WW8Num18z1"/>
    <w:rsid w:val="00272D6C"/>
  </w:style>
  <w:style w:type="character" w:customStyle="1" w:styleId="WW8Num18z2">
    <w:name w:val="WW8Num18z2"/>
    <w:rsid w:val="00272D6C"/>
  </w:style>
  <w:style w:type="character" w:customStyle="1" w:styleId="WW8Num18z3">
    <w:name w:val="WW8Num18z3"/>
    <w:rsid w:val="00272D6C"/>
  </w:style>
  <w:style w:type="character" w:customStyle="1" w:styleId="WW8Num18z4">
    <w:name w:val="WW8Num18z4"/>
    <w:rsid w:val="00272D6C"/>
  </w:style>
  <w:style w:type="character" w:customStyle="1" w:styleId="WW8Num18z5">
    <w:name w:val="WW8Num18z5"/>
    <w:rsid w:val="00272D6C"/>
  </w:style>
  <w:style w:type="character" w:customStyle="1" w:styleId="WW8Num18z6">
    <w:name w:val="WW8Num18z6"/>
    <w:rsid w:val="00272D6C"/>
  </w:style>
  <w:style w:type="character" w:customStyle="1" w:styleId="WW8Num18z7">
    <w:name w:val="WW8Num18z7"/>
    <w:rsid w:val="00272D6C"/>
  </w:style>
  <w:style w:type="character" w:customStyle="1" w:styleId="WW8Num18z8">
    <w:name w:val="WW8Num18z8"/>
    <w:rsid w:val="00272D6C"/>
  </w:style>
  <w:style w:type="character" w:customStyle="1" w:styleId="WW8Num19z1">
    <w:name w:val="WW8Num19z1"/>
    <w:rsid w:val="00272D6C"/>
  </w:style>
  <w:style w:type="character" w:customStyle="1" w:styleId="WW8Num19z2">
    <w:name w:val="WW8Num19z2"/>
    <w:rsid w:val="00272D6C"/>
  </w:style>
  <w:style w:type="character" w:customStyle="1" w:styleId="WW8Num19z3">
    <w:name w:val="WW8Num19z3"/>
    <w:rsid w:val="00272D6C"/>
  </w:style>
  <w:style w:type="character" w:customStyle="1" w:styleId="WW8Num19z4">
    <w:name w:val="WW8Num19z4"/>
    <w:rsid w:val="00272D6C"/>
  </w:style>
  <w:style w:type="character" w:customStyle="1" w:styleId="WW8Num19z5">
    <w:name w:val="WW8Num19z5"/>
    <w:rsid w:val="00272D6C"/>
  </w:style>
  <w:style w:type="character" w:customStyle="1" w:styleId="WW8Num19z6">
    <w:name w:val="WW8Num19z6"/>
    <w:rsid w:val="00272D6C"/>
  </w:style>
  <w:style w:type="character" w:customStyle="1" w:styleId="WW8Num19z7">
    <w:name w:val="WW8Num19z7"/>
    <w:rsid w:val="00272D6C"/>
  </w:style>
  <w:style w:type="character" w:customStyle="1" w:styleId="WW8Num19z8">
    <w:name w:val="WW8Num19z8"/>
    <w:rsid w:val="00272D6C"/>
  </w:style>
  <w:style w:type="character" w:customStyle="1" w:styleId="WW8Num20z1">
    <w:name w:val="WW8Num20z1"/>
    <w:rsid w:val="00272D6C"/>
    <w:rPr>
      <w:rFonts w:ascii="Wingdings" w:hAnsi="Wingdings" w:cs="Wingdings" w:hint="default"/>
    </w:rPr>
  </w:style>
  <w:style w:type="character" w:customStyle="1" w:styleId="WW8Num21z1">
    <w:name w:val="WW8Num21z1"/>
    <w:rsid w:val="00272D6C"/>
  </w:style>
  <w:style w:type="character" w:customStyle="1" w:styleId="WW8Num21z2">
    <w:name w:val="WW8Num21z2"/>
    <w:rsid w:val="00272D6C"/>
  </w:style>
  <w:style w:type="character" w:customStyle="1" w:styleId="WW8Num21z3">
    <w:name w:val="WW8Num21z3"/>
    <w:rsid w:val="00272D6C"/>
  </w:style>
  <w:style w:type="character" w:customStyle="1" w:styleId="WW8Num21z4">
    <w:name w:val="WW8Num21z4"/>
    <w:rsid w:val="00272D6C"/>
  </w:style>
  <w:style w:type="character" w:customStyle="1" w:styleId="WW8Num21z5">
    <w:name w:val="WW8Num21z5"/>
    <w:rsid w:val="00272D6C"/>
  </w:style>
  <w:style w:type="character" w:customStyle="1" w:styleId="WW8Num21z6">
    <w:name w:val="WW8Num21z6"/>
    <w:rsid w:val="00272D6C"/>
  </w:style>
  <w:style w:type="character" w:customStyle="1" w:styleId="WW8Num21z7">
    <w:name w:val="WW8Num21z7"/>
    <w:rsid w:val="00272D6C"/>
  </w:style>
  <w:style w:type="character" w:customStyle="1" w:styleId="WW8Num21z8">
    <w:name w:val="WW8Num21z8"/>
    <w:rsid w:val="00272D6C"/>
  </w:style>
  <w:style w:type="character" w:customStyle="1" w:styleId="WW8Num22z1">
    <w:name w:val="WW8Num22z1"/>
    <w:rsid w:val="00272D6C"/>
  </w:style>
  <w:style w:type="character" w:customStyle="1" w:styleId="WW8Num22z2">
    <w:name w:val="WW8Num22z2"/>
    <w:rsid w:val="00272D6C"/>
  </w:style>
  <w:style w:type="character" w:customStyle="1" w:styleId="WW8Num22z3">
    <w:name w:val="WW8Num22z3"/>
    <w:rsid w:val="00272D6C"/>
  </w:style>
  <w:style w:type="character" w:customStyle="1" w:styleId="WW8Num22z4">
    <w:name w:val="WW8Num22z4"/>
    <w:rsid w:val="00272D6C"/>
  </w:style>
  <w:style w:type="character" w:customStyle="1" w:styleId="WW8Num22z5">
    <w:name w:val="WW8Num22z5"/>
    <w:rsid w:val="00272D6C"/>
  </w:style>
  <w:style w:type="character" w:customStyle="1" w:styleId="WW8Num22z6">
    <w:name w:val="WW8Num22z6"/>
    <w:rsid w:val="00272D6C"/>
  </w:style>
  <w:style w:type="character" w:customStyle="1" w:styleId="WW8Num22z7">
    <w:name w:val="WW8Num22z7"/>
    <w:rsid w:val="00272D6C"/>
  </w:style>
  <w:style w:type="character" w:customStyle="1" w:styleId="WW8Num22z8">
    <w:name w:val="WW8Num22z8"/>
    <w:rsid w:val="00272D6C"/>
  </w:style>
  <w:style w:type="character" w:customStyle="1" w:styleId="WW8Num23z1">
    <w:name w:val="WW8Num23z1"/>
    <w:rsid w:val="00272D6C"/>
  </w:style>
  <w:style w:type="character" w:customStyle="1" w:styleId="WW8Num23z2">
    <w:name w:val="WW8Num23z2"/>
    <w:rsid w:val="00272D6C"/>
  </w:style>
  <w:style w:type="character" w:customStyle="1" w:styleId="WW8Num23z3">
    <w:name w:val="WW8Num23z3"/>
    <w:rsid w:val="00272D6C"/>
  </w:style>
  <w:style w:type="character" w:customStyle="1" w:styleId="WW8Num23z4">
    <w:name w:val="WW8Num23z4"/>
    <w:rsid w:val="00272D6C"/>
  </w:style>
  <w:style w:type="character" w:customStyle="1" w:styleId="WW8Num23z5">
    <w:name w:val="WW8Num23z5"/>
    <w:rsid w:val="00272D6C"/>
  </w:style>
  <w:style w:type="character" w:customStyle="1" w:styleId="WW8Num23z6">
    <w:name w:val="WW8Num23z6"/>
    <w:rsid w:val="00272D6C"/>
  </w:style>
  <w:style w:type="character" w:customStyle="1" w:styleId="WW8Num23z7">
    <w:name w:val="WW8Num23z7"/>
    <w:rsid w:val="00272D6C"/>
  </w:style>
  <w:style w:type="character" w:customStyle="1" w:styleId="WW8Num23z8">
    <w:name w:val="WW8Num23z8"/>
    <w:rsid w:val="00272D6C"/>
  </w:style>
  <w:style w:type="character" w:customStyle="1" w:styleId="WW8Num24z1">
    <w:name w:val="WW8Num24z1"/>
    <w:rsid w:val="00272D6C"/>
  </w:style>
  <w:style w:type="character" w:customStyle="1" w:styleId="WW8Num24z2">
    <w:name w:val="WW8Num24z2"/>
    <w:rsid w:val="00272D6C"/>
  </w:style>
  <w:style w:type="character" w:customStyle="1" w:styleId="WW8Num24z3">
    <w:name w:val="WW8Num24z3"/>
    <w:rsid w:val="00272D6C"/>
  </w:style>
  <w:style w:type="character" w:customStyle="1" w:styleId="WW8Num24z4">
    <w:name w:val="WW8Num24z4"/>
    <w:rsid w:val="00272D6C"/>
  </w:style>
  <w:style w:type="character" w:customStyle="1" w:styleId="WW8Num24z5">
    <w:name w:val="WW8Num24z5"/>
    <w:rsid w:val="00272D6C"/>
  </w:style>
  <w:style w:type="character" w:customStyle="1" w:styleId="WW8Num24z6">
    <w:name w:val="WW8Num24z6"/>
    <w:rsid w:val="00272D6C"/>
  </w:style>
  <w:style w:type="character" w:customStyle="1" w:styleId="WW8Num24z7">
    <w:name w:val="WW8Num24z7"/>
    <w:rsid w:val="00272D6C"/>
  </w:style>
  <w:style w:type="character" w:customStyle="1" w:styleId="WW8Num24z8">
    <w:name w:val="WW8Num24z8"/>
    <w:rsid w:val="00272D6C"/>
  </w:style>
  <w:style w:type="character" w:customStyle="1" w:styleId="WW8Num26z1">
    <w:name w:val="WW8Num26z1"/>
    <w:rsid w:val="00272D6C"/>
    <w:rPr>
      <w:rFonts w:ascii="Wingdings" w:hAnsi="Wingdings" w:cs="Wingdings" w:hint="default"/>
    </w:rPr>
  </w:style>
  <w:style w:type="character" w:customStyle="1" w:styleId="WW8Num27z0">
    <w:name w:val="WW8Num27z0"/>
    <w:rsid w:val="00272D6C"/>
    <w:rPr>
      <w:rFonts w:ascii="新細明體" w:eastAsia="新細明體" w:hAnsi="新細明體" w:cs="新細明體" w:hint="eastAsia"/>
      <w:szCs w:val="17"/>
    </w:rPr>
  </w:style>
  <w:style w:type="character" w:customStyle="1" w:styleId="WW8Num27z1">
    <w:name w:val="WW8Num27z1"/>
    <w:rsid w:val="00272D6C"/>
    <w:rPr>
      <w:rFonts w:ascii="Wingdings" w:hAnsi="Wingdings" w:cs="Wingdings" w:hint="default"/>
    </w:rPr>
  </w:style>
  <w:style w:type="character" w:customStyle="1" w:styleId="WW8Num28z0">
    <w:name w:val="WW8Num28z0"/>
    <w:rsid w:val="00272D6C"/>
    <w:rPr>
      <w:rFonts w:ascii="新細明體" w:eastAsia="新細明體" w:hAnsi="新細明體" w:cs="新細明體" w:hint="eastAsia"/>
    </w:rPr>
  </w:style>
  <w:style w:type="character" w:customStyle="1" w:styleId="WW8Num28z1">
    <w:name w:val="WW8Num28z1"/>
    <w:rsid w:val="00272D6C"/>
    <w:rPr>
      <w:rFonts w:ascii="Wingdings" w:hAnsi="Wingdings" w:cs="Wingdings" w:hint="default"/>
    </w:rPr>
  </w:style>
  <w:style w:type="character" w:customStyle="1" w:styleId="WW8Num29z0">
    <w:name w:val="WW8Num29z0"/>
    <w:rsid w:val="00272D6C"/>
    <w:rPr>
      <w:rFonts w:ascii="Symbol" w:hAnsi="Symbol" w:cs="Symbol" w:hint="default"/>
      <w:color w:val="auto"/>
    </w:rPr>
  </w:style>
  <w:style w:type="character" w:customStyle="1" w:styleId="WW8Num29z1">
    <w:name w:val="WW8Num29z1"/>
    <w:rsid w:val="00272D6C"/>
    <w:rPr>
      <w:rFonts w:ascii="Arial" w:hAnsi="Arial" w:cs="Arial" w:hint="default"/>
      <w:color w:val="auto"/>
    </w:rPr>
  </w:style>
  <w:style w:type="character" w:customStyle="1" w:styleId="WW8Num29z2">
    <w:name w:val="WW8Num29z2"/>
    <w:rsid w:val="00272D6C"/>
    <w:rPr>
      <w:rFonts w:ascii="Wingdings" w:hAnsi="Wingdings" w:cs="Wingdings" w:hint="default"/>
    </w:rPr>
  </w:style>
  <w:style w:type="character" w:customStyle="1" w:styleId="WW8Num29z3">
    <w:name w:val="WW8Num29z3"/>
    <w:rsid w:val="00272D6C"/>
    <w:rPr>
      <w:rFonts w:ascii="Symbol" w:hAnsi="Symbol" w:cs="Symbol" w:hint="default"/>
    </w:rPr>
  </w:style>
  <w:style w:type="character" w:customStyle="1" w:styleId="WW8Num29z4">
    <w:name w:val="WW8Num29z4"/>
    <w:rsid w:val="00272D6C"/>
    <w:rPr>
      <w:rFonts w:ascii="Courier New" w:hAnsi="Courier New" w:cs="Courier New" w:hint="default"/>
    </w:rPr>
  </w:style>
  <w:style w:type="character" w:customStyle="1" w:styleId="WW8Num30z0">
    <w:name w:val="WW8Num30z0"/>
    <w:rsid w:val="00272D6C"/>
    <w:rPr>
      <w:rFonts w:ascii="Wingdings" w:eastAsia="細明體" w:hAnsi="Wingdings" w:cs="Wingdings" w:hint="default"/>
      <w:sz w:val="17"/>
      <w:szCs w:val="17"/>
    </w:rPr>
  </w:style>
  <w:style w:type="character" w:customStyle="1" w:styleId="WW8Num31z0">
    <w:name w:val="WW8Num31z0"/>
    <w:rsid w:val="00272D6C"/>
    <w:rPr>
      <w:rFonts w:hint="default"/>
    </w:rPr>
  </w:style>
  <w:style w:type="character" w:customStyle="1" w:styleId="WW8Num31z1">
    <w:name w:val="WW8Num31z1"/>
    <w:rsid w:val="00272D6C"/>
  </w:style>
  <w:style w:type="character" w:customStyle="1" w:styleId="WW8Num31z2">
    <w:name w:val="WW8Num31z2"/>
    <w:rsid w:val="00272D6C"/>
  </w:style>
  <w:style w:type="character" w:customStyle="1" w:styleId="WW8Num31z3">
    <w:name w:val="WW8Num31z3"/>
    <w:rsid w:val="00272D6C"/>
  </w:style>
  <w:style w:type="character" w:customStyle="1" w:styleId="WW8Num31z4">
    <w:name w:val="WW8Num31z4"/>
    <w:rsid w:val="00272D6C"/>
  </w:style>
  <w:style w:type="character" w:customStyle="1" w:styleId="WW8Num31z5">
    <w:name w:val="WW8Num31z5"/>
    <w:rsid w:val="00272D6C"/>
  </w:style>
  <w:style w:type="character" w:customStyle="1" w:styleId="WW8Num31z6">
    <w:name w:val="WW8Num31z6"/>
    <w:rsid w:val="00272D6C"/>
  </w:style>
  <w:style w:type="character" w:customStyle="1" w:styleId="WW8Num31z7">
    <w:name w:val="WW8Num31z7"/>
    <w:rsid w:val="00272D6C"/>
  </w:style>
  <w:style w:type="character" w:customStyle="1" w:styleId="WW8Num31z8">
    <w:name w:val="WW8Num31z8"/>
    <w:rsid w:val="00272D6C"/>
  </w:style>
  <w:style w:type="character" w:customStyle="1" w:styleId="WW8Num32z0">
    <w:name w:val="WW8Num32z0"/>
    <w:rsid w:val="00272D6C"/>
    <w:rPr>
      <w:rFonts w:hint="default"/>
    </w:rPr>
  </w:style>
  <w:style w:type="character" w:customStyle="1" w:styleId="WW8Num32z1">
    <w:name w:val="WW8Num32z1"/>
    <w:rsid w:val="00272D6C"/>
  </w:style>
  <w:style w:type="character" w:customStyle="1" w:styleId="WW8Num32z2">
    <w:name w:val="WW8Num32z2"/>
    <w:rsid w:val="00272D6C"/>
  </w:style>
  <w:style w:type="character" w:customStyle="1" w:styleId="WW8Num32z3">
    <w:name w:val="WW8Num32z3"/>
    <w:rsid w:val="00272D6C"/>
  </w:style>
  <w:style w:type="character" w:customStyle="1" w:styleId="WW8Num32z4">
    <w:name w:val="WW8Num32z4"/>
    <w:rsid w:val="00272D6C"/>
  </w:style>
  <w:style w:type="character" w:customStyle="1" w:styleId="WW8Num32z5">
    <w:name w:val="WW8Num32z5"/>
    <w:rsid w:val="00272D6C"/>
  </w:style>
  <w:style w:type="character" w:customStyle="1" w:styleId="WW8Num32z6">
    <w:name w:val="WW8Num32z6"/>
    <w:rsid w:val="00272D6C"/>
  </w:style>
  <w:style w:type="character" w:customStyle="1" w:styleId="WW8Num32z7">
    <w:name w:val="WW8Num32z7"/>
    <w:rsid w:val="00272D6C"/>
  </w:style>
  <w:style w:type="character" w:customStyle="1" w:styleId="WW8Num32z8">
    <w:name w:val="WW8Num32z8"/>
    <w:rsid w:val="00272D6C"/>
  </w:style>
  <w:style w:type="character" w:customStyle="1" w:styleId="WW8Num33z0">
    <w:name w:val="WW8Num33z0"/>
    <w:rsid w:val="00272D6C"/>
    <w:rPr>
      <w:rFonts w:eastAsia="細明體" w:cs="Segoe UI" w:hint="default"/>
      <w:sz w:val="17"/>
      <w:szCs w:val="17"/>
    </w:rPr>
  </w:style>
  <w:style w:type="character" w:customStyle="1" w:styleId="WW8Num33z1">
    <w:name w:val="WW8Num33z1"/>
    <w:rsid w:val="00272D6C"/>
  </w:style>
  <w:style w:type="character" w:customStyle="1" w:styleId="WW8Num33z2">
    <w:name w:val="WW8Num33z2"/>
    <w:rsid w:val="00272D6C"/>
  </w:style>
  <w:style w:type="character" w:customStyle="1" w:styleId="WW8Num33z3">
    <w:name w:val="WW8Num33z3"/>
    <w:rsid w:val="00272D6C"/>
  </w:style>
  <w:style w:type="character" w:customStyle="1" w:styleId="WW8Num33z4">
    <w:name w:val="WW8Num33z4"/>
    <w:rsid w:val="00272D6C"/>
  </w:style>
  <w:style w:type="character" w:customStyle="1" w:styleId="WW8Num33z5">
    <w:name w:val="WW8Num33z5"/>
    <w:rsid w:val="00272D6C"/>
  </w:style>
  <w:style w:type="character" w:customStyle="1" w:styleId="WW8Num33z6">
    <w:name w:val="WW8Num33z6"/>
    <w:rsid w:val="00272D6C"/>
  </w:style>
  <w:style w:type="character" w:customStyle="1" w:styleId="WW8Num33z7">
    <w:name w:val="WW8Num33z7"/>
    <w:rsid w:val="00272D6C"/>
  </w:style>
  <w:style w:type="character" w:customStyle="1" w:styleId="WW8Num33z8">
    <w:name w:val="WW8Num33z8"/>
    <w:rsid w:val="00272D6C"/>
  </w:style>
  <w:style w:type="character" w:customStyle="1" w:styleId="WW8Num34z0">
    <w:name w:val="WW8Num34z0"/>
    <w:rsid w:val="00272D6C"/>
    <w:rPr>
      <w:rFonts w:hint="default"/>
    </w:rPr>
  </w:style>
  <w:style w:type="character" w:customStyle="1" w:styleId="WW8Num34z1">
    <w:name w:val="WW8Num34z1"/>
    <w:rsid w:val="00272D6C"/>
  </w:style>
  <w:style w:type="character" w:customStyle="1" w:styleId="WW8Num34z2">
    <w:name w:val="WW8Num34z2"/>
    <w:rsid w:val="00272D6C"/>
  </w:style>
  <w:style w:type="character" w:customStyle="1" w:styleId="WW8Num34z3">
    <w:name w:val="WW8Num34z3"/>
    <w:rsid w:val="00272D6C"/>
  </w:style>
  <w:style w:type="character" w:customStyle="1" w:styleId="WW8Num34z4">
    <w:name w:val="WW8Num34z4"/>
    <w:rsid w:val="00272D6C"/>
  </w:style>
  <w:style w:type="character" w:customStyle="1" w:styleId="WW8Num34z5">
    <w:name w:val="WW8Num34z5"/>
    <w:rsid w:val="00272D6C"/>
  </w:style>
  <w:style w:type="character" w:customStyle="1" w:styleId="WW8Num34z6">
    <w:name w:val="WW8Num34z6"/>
    <w:rsid w:val="00272D6C"/>
  </w:style>
  <w:style w:type="character" w:customStyle="1" w:styleId="WW8Num34z7">
    <w:name w:val="WW8Num34z7"/>
    <w:rsid w:val="00272D6C"/>
  </w:style>
  <w:style w:type="character" w:customStyle="1" w:styleId="WW8Num34z8">
    <w:name w:val="WW8Num34z8"/>
    <w:rsid w:val="00272D6C"/>
  </w:style>
  <w:style w:type="character" w:customStyle="1" w:styleId="WW8Num35z0">
    <w:name w:val="WW8Num35z0"/>
    <w:rsid w:val="00272D6C"/>
    <w:rPr>
      <w:rFonts w:hint="default"/>
    </w:rPr>
  </w:style>
  <w:style w:type="character" w:customStyle="1" w:styleId="WW8Num35z1">
    <w:name w:val="WW8Num35z1"/>
    <w:rsid w:val="00272D6C"/>
  </w:style>
  <w:style w:type="character" w:customStyle="1" w:styleId="WW8Num35z2">
    <w:name w:val="WW8Num35z2"/>
    <w:rsid w:val="00272D6C"/>
  </w:style>
  <w:style w:type="character" w:customStyle="1" w:styleId="WW8Num35z3">
    <w:name w:val="WW8Num35z3"/>
    <w:rsid w:val="00272D6C"/>
  </w:style>
  <w:style w:type="character" w:customStyle="1" w:styleId="WW8Num35z4">
    <w:name w:val="WW8Num35z4"/>
    <w:rsid w:val="00272D6C"/>
  </w:style>
  <w:style w:type="character" w:customStyle="1" w:styleId="WW8Num35z5">
    <w:name w:val="WW8Num35z5"/>
    <w:rsid w:val="00272D6C"/>
  </w:style>
  <w:style w:type="character" w:customStyle="1" w:styleId="WW8Num35z6">
    <w:name w:val="WW8Num35z6"/>
    <w:rsid w:val="00272D6C"/>
  </w:style>
  <w:style w:type="character" w:customStyle="1" w:styleId="WW8Num35z7">
    <w:name w:val="WW8Num35z7"/>
    <w:rsid w:val="00272D6C"/>
  </w:style>
  <w:style w:type="character" w:customStyle="1" w:styleId="WW8Num35z8">
    <w:name w:val="WW8Num35z8"/>
    <w:rsid w:val="00272D6C"/>
  </w:style>
  <w:style w:type="character" w:customStyle="1" w:styleId="WW8Num36z0">
    <w:name w:val="WW8Num36z0"/>
    <w:rsid w:val="00272D6C"/>
    <w:rPr>
      <w:rFonts w:ascii="Symbol" w:eastAsia="細明體" w:hAnsi="Symbol" w:cs="Symbol" w:hint="default"/>
      <w:sz w:val="17"/>
    </w:rPr>
  </w:style>
  <w:style w:type="character" w:customStyle="1" w:styleId="WW8Num36z1">
    <w:name w:val="WW8Num36z1"/>
    <w:rsid w:val="00272D6C"/>
    <w:rPr>
      <w:rFonts w:ascii="Courier New" w:hAnsi="Courier New" w:cs="Courier New" w:hint="default"/>
    </w:rPr>
  </w:style>
  <w:style w:type="character" w:customStyle="1" w:styleId="WW8Num36z2">
    <w:name w:val="WW8Num36z2"/>
    <w:rsid w:val="00272D6C"/>
    <w:rPr>
      <w:rFonts w:ascii="Wingdings" w:hAnsi="Wingdings" w:cs="Wingdings" w:hint="default"/>
    </w:rPr>
  </w:style>
  <w:style w:type="character" w:customStyle="1" w:styleId="WW8Num37z0">
    <w:name w:val="WW8Num37z0"/>
    <w:rsid w:val="00272D6C"/>
    <w:rPr>
      <w:rFonts w:eastAsia="細明體" w:hint="eastAsia"/>
      <w:sz w:val="17"/>
      <w:szCs w:val="17"/>
    </w:rPr>
  </w:style>
  <w:style w:type="character" w:customStyle="1" w:styleId="WW8Num37z1">
    <w:name w:val="WW8Num37z1"/>
    <w:rsid w:val="00272D6C"/>
  </w:style>
  <w:style w:type="character" w:customStyle="1" w:styleId="WW8Num37z2">
    <w:name w:val="WW8Num37z2"/>
    <w:rsid w:val="00272D6C"/>
  </w:style>
  <w:style w:type="character" w:customStyle="1" w:styleId="WW8Num37z3">
    <w:name w:val="WW8Num37z3"/>
    <w:rsid w:val="00272D6C"/>
  </w:style>
  <w:style w:type="character" w:customStyle="1" w:styleId="WW8Num37z4">
    <w:name w:val="WW8Num37z4"/>
    <w:rsid w:val="00272D6C"/>
  </w:style>
  <w:style w:type="character" w:customStyle="1" w:styleId="WW8Num37z5">
    <w:name w:val="WW8Num37z5"/>
    <w:rsid w:val="00272D6C"/>
  </w:style>
  <w:style w:type="character" w:customStyle="1" w:styleId="WW8Num37z6">
    <w:name w:val="WW8Num37z6"/>
    <w:rsid w:val="00272D6C"/>
  </w:style>
  <w:style w:type="character" w:customStyle="1" w:styleId="WW8Num37z7">
    <w:name w:val="WW8Num37z7"/>
    <w:rsid w:val="00272D6C"/>
  </w:style>
  <w:style w:type="character" w:customStyle="1" w:styleId="WW8Num37z8">
    <w:name w:val="WW8Num37z8"/>
    <w:rsid w:val="00272D6C"/>
  </w:style>
  <w:style w:type="character" w:customStyle="1" w:styleId="a">
    <w:name w:val="註腳符"/>
    <w:rsid w:val="00272D6C"/>
    <w:rPr>
      <w:rFonts w:ascii="Segoe UI" w:hAnsi="Segoe UI" w:cs="Times New Roman"/>
      <w:vertAlign w:val="superscript"/>
    </w:rPr>
  </w:style>
  <w:style w:type="character" w:customStyle="1" w:styleId="a0">
    <w:name w:val="尾註符號"/>
    <w:rsid w:val="00272D6C"/>
    <w:rPr>
      <w:vertAlign w:val="superscript"/>
    </w:rPr>
  </w:style>
  <w:style w:type="character" w:customStyle="1" w:styleId="WW-">
    <w:name w:val="WW-尾註符號"/>
    <w:rsid w:val="00272D6C"/>
  </w:style>
  <w:style w:type="character" w:styleId="EndnoteReference">
    <w:name w:val="endnote reference"/>
    <w:uiPriority w:val="99"/>
    <w:rsid w:val="00272D6C"/>
    <w:rPr>
      <w:vertAlign w:val="superscript"/>
    </w:rPr>
  </w:style>
  <w:style w:type="paragraph" w:customStyle="1" w:styleId="a1">
    <w:name w:val="標題"/>
    <w:basedOn w:val="Normal"/>
    <w:next w:val="BodyText"/>
    <w:rsid w:val="00272D6C"/>
    <w:pPr>
      <w:keepNext/>
      <w:suppressAutoHyphens/>
      <w:spacing w:before="240" w:after="120"/>
    </w:pPr>
    <w:rPr>
      <w:rFonts w:ascii="Arial" w:eastAsia="新細明體" w:hAnsi="Arial" w:cs="Mangal"/>
      <w:sz w:val="28"/>
      <w:szCs w:val="28"/>
      <w:lang w:eastAsia="ar-SA"/>
    </w:rPr>
  </w:style>
  <w:style w:type="paragraph" w:styleId="List">
    <w:name w:val="List"/>
    <w:basedOn w:val="BodyText"/>
    <w:rsid w:val="00272D6C"/>
    <w:rPr>
      <w:rFonts w:cs="Mangal"/>
    </w:rPr>
  </w:style>
  <w:style w:type="paragraph" w:customStyle="1" w:styleId="a2">
    <w:name w:val="標籤"/>
    <w:basedOn w:val="Normal"/>
    <w:rsid w:val="00272D6C"/>
    <w:pPr>
      <w:suppressLineNumbers/>
      <w:suppressAutoHyphens/>
      <w:spacing w:before="120" w:after="120"/>
    </w:pPr>
    <w:rPr>
      <w:rFonts w:cs="Mangal"/>
      <w:i/>
      <w:iCs/>
      <w:sz w:val="24"/>
      <w:szCs w:val="24"/>
      <w:lang w:eastAsia="ar-SA"/>
    </w:rPr>
  </w:style>
  <w:style w:type="paragraph" w:customStyle="1" w:styleId="a3">
    <w:name w:val="目錄"/>
    <w:basedOn w:val="Normal"/>
    <w:rsid w:val="00272D6C"/>
    <w:pPr>
      <w:suppressLineNumbers/>
      <w:suppressAutoHyphens/>
    </w:pPr>
    <w:rPr>
      <w:rFonts w:cs="Mangal"/>
      <w:lang w:eastAsia="ar-SA"/>
    </w:rPr>
  </w:style>
  <w:style w:type="paragraph" w:customStyle="1" w:styleId="Bulletpoint">
    <w:name w:val="Bullet point"/>
    <w:basedOn w:val="Normal"/>
    <w:qFormat/>
    <w:rsid w:val="00272D6C"/>
    <w:pPr>
      <w:suppressAutoHyphens/>
      <w:spacing w:after="120"/>
      <w:jc w:val="both"/>
    </w:pPr>
    <w:rPr>
      <w:rFonts w:cs="Segoe UI"/>
      <w:lang w:eastAsia="ar-SA"/>
    </w:rPr>
  </w:style>
  <w:style w:type="paragraph" w:customStyle="1" w:styleId="IndentedHeading2">
    <w:name w:val="Indented Heading 2"/>
    <w:basedOn w:val="Heading2"/>
    <w:next w:val="Normal"/>
    <w:qFormat/>
    <w:rsid w:val="00272D6C"/>
    <w:pPr>
      <w:spacing w:before="360" w:after="240" w:line="240" w:lineRule="auto"/>
      <w:ind w:left="794" w:hanging="794"/>
    </w:pPr>
    <w:rPr>
      <w:rFonts w:ascii="Segoe UI" w:eastAsia="Times New Roman" w:hAnsi="Segoe UI"/>
      <w:b w:val="0"/>
      <w:bCs w:val="0"/>
      <w:color w:val="AA322F"/>
      <w:sz w:val="24"/>
      <w:szCs w:val="20"/>
    </w:rPr>
  </w:style>
  <w:style w:type="paragraph" w:customStyle="1" w:styleId="a4">
    <w:name w:val="表格內容"/>
    <w:basedOn w:val="Normal"/>
    <w:rsid w:val="00272D6C"/>
    <w:pPr>
      <w:suppressLineNumbers/>
      <w:suppressAutoHyphens/>
    </w:pPr>
    <w:rPr>
      <w:rFonts w:cs="Segoe UI"/>
      <w:lang w:eastAsia="ar-SA"/>
    </w:rPr>
  </w:style>
  <w:style w:type="paragraph" w:customStyle="1" w:styleId="a5">
    <w:name w:val="表格標題"/>
    <w:basedOn w:val="a4"/>
    <w:rsid w:val="00272D6C"/>
    <w:pPr>
      <w:jc w:val="center"/>
    </w:pPr>
    <w:rPr>
      <w:b/>
      <w:bCs/>
    </w:rPr>
  </w:style>
  <w:style w:type="character" w:customStyle="1" w:styleId="HeaderChar1">
    <w:name w:val="Header Char1"/>
    <w:rsid w:val="00272D6C"/>
    <w:rPr>
      <w:rFonts w:ascii="Segoe UI" w:eastAsia="Times New Roman" w:hAnsi="Segoe UI" w:cs="Segoe UI"/>
      <w:lang w:val="en-GB" w:eastAsia="ar-SA"/>
    </w:rPr>
  </w:style>
  <w:style w:type="character" w:customStyle="1" w:styleId="FooterChar1">
    <w:name w:val="Footer Char1"/>
    <w:rsid w:val="00272D6C"/>
    <w:rPr>
      <w:rFonts w:ascii="Segoe UI" w:eastAsia="Times New Roman" w:hAnsi="Segoe UI" w:cs="Segoe UI"/>
      <w:lang w:val="en-GB" w:eastAsia="ar-SA"/>
    </w:rPr>
  </w:style>
  <w:style w:type="character" w:customStyle="1" w:styleId="BalloonTextChar1">
    <w:name w:val="Balloon Text Char1"/>
    <w:rsid w:val="00272D6C"/>
    <w:rPr>
      <w:rFonts w:ascii="Cambria" w:hAnsi="Cambria"/>
      <w:sz w:val="16"/>
      <w:szCs w:val="16"/>
      <w:lang w:val="en-GB" w:eastAsia="ar-SA"/>
    </w:rPr>
  </w:style>
  <w:style w:type="character" w:customStyle="1" w:styleId="CommentSubjectChar1">
    <w:name w:val="Comment Subject Char1"/>
    <w:rsid w:val="00272D6C"/>
    <w:rPr>
      <w:rFonts w:ascii="Segoe UI" w:eastAsia="Times New Roman" w:hAnsi="Segoe UI" w:cs="Segoe UI"/>
      <w:b/>
      <w:bCs/>
      <w:lang w:val="en-GB" w:eastAsia="ar-SA"/>
    </w:rPr>
  </w:style>
  <w:style w:type="character" w:customStyle="1" w:styleId="FootnoteTextChar1">
    <w:name w:val="Footnote Text Char1"/>
    <w:uiPriority w:val="99"/>
    <w:rsid w:val="00272D6C"/>
    <w:rPr>
      <w:rFonts w:ascii="Segoe UI" w:eastAsia="Times New Roman" w:hAnsi="Segoe UI" w:cs="Segoe UI"/>
      <w:sz w:val="16"/>
      <w:lang w:val="en-GB" w:eastAsia="ar-SA"/>
    </w:rPr>
  </w:style>
  <w:style w:type="character" w:customStyle="1" w:styleId="tlid-translation">
    <w:name w:val="tlid-translation"/>
    <w:rsid w:val="00272D6C"/>
  </w:style>
  <w:style w:type="character" w:customStyle="1" w:styleId="alt-edited2">
    <w:name w:val="alt-edited2"/>
    <w:rsid w:val="00272D6C"/>
  </w:style>
  <w:style w:type="paragraph" w:customStyle="1" w:styleId="DDIs7">
    <w:name w:val="DDIs 7"/>
    <w:basedOn w:val="DDIs6"/>
    <w:qFormat/>
    <w:rsid w:val="00272D6C"/>
    <w:pPr>
      <w:numPr>
        <w:ilvl w:val="6"/>
      </w:numPr>
      <w:tabs>
        <w:tab w:val="num" w:pos="0"/>
      </w:tabs>
      <w:ind w:left="480" w:hanging="480"/>
    </w:pPr>
    <w:rPr>
      <w:rFonts w:ascii="Cambria Math" w:hAnsi="Cambria Math"/>
    </w:rPr>
  </w:style>
  <w:style w:type="paragraph" w:customStyle="1" w:styleId="DDIs3">
    <w:name w:val="DDIs 3"/>
    <w:basedOn w:val="Normal"/>
    <w:qFormat/>
    <w:rsid w:val="00272D6C"/>
    <w:pPr>
      <w:numPr>
        <w:ilvl w:val="2"/>
        <w:numId w:val="53"/>
      </w:numPr>
      <w:spacing w:beforeLines="50" w:before="50" w:afterLines="50" w:after="50"/>
      <w:jc w:val="both"/>
      <w:outlineLvl w:val="2"/>
    </w:pPr>
    <w:rPr>
      <w:rFonts w:ascii="Times New Roman" w:hAnsi="Times New Roman"/>
      <w:kern w:val="2"/>
      <w:sz w:val="24"/>
      <w:szCs w:val="24"/>
      <w:lang w:eastAsia="zh-TW"/>
    </w:rPr>
  </w:style>
  <w:style w:type="paragraph" w:customStyle="1" w:styleId="DDIs4">
    <w:name w:val="DDIs 4"/>
    <w:basedOn w:val="DDIs3"/>
    <w:qFormat/>
    <w:rsid w:val="00272D6C"/>
    <w:pPr>
      <w:numPr>
        <w:ilvl w:val="3"/>
      </w:numPr>
      <w:outlineLvl w:val="9"/>
    </w:pPr>
  </w:style>
  <w:style w:type="paragraph" w:customStyle="1" w:styleId="DDIs5">
    <w:name w:val="DDIs 5"/>
    <w:basedOn w:val="DDIs4"/>
    <w:qFormat/>
    <w:rsid w:val="00272D6C"/>
    <w:pPr>
      <w:widowControl w:val="0"/>
      <w:numPr>
        <w:ilvl w:val="4"/>
      </w:numPr>
    </w:pPr>
  </w:style>
  <w:style w:type="paragraph" w:customStyle="1" w:styleId="DDIs6">
    <w:name w:val="DDIs 6"/>
    <w:basedOn w:val="DDIs5"/>
    <w:qFormat/>
    <w:rsid w:val="00272D6C"/>
    <w:pPr>
      <w:numPr>
        <w:ilvl w:val="5"/>
      </w:numPr>
      <w:tabs>
        <w:tab w:val="num" w:pos="0"/>
      </w:tabs>
      <w:ind w:left="480" w:hanging="480"/>
    </w:pPr>
  </w:style>
  <w:style w:type="paragraph" w:customStyle="1" w:styleId="CoPHeading1">
    <w:name w:val="CoP Heading 1"/>
    <w:basedOn w:val="Heading2"/>
    <w:autoRedefine/>
    <w:qFormat/>
    <w:rsid w:val="00272D6C"/>
    <w:pPr>
      <w:keepNext w:val="0"/>
      <w:numPr>
        <w:numId w:val="53"/>
      </w:numPr>
      <w:tabs>
        <w:tab w:val="num" w:pos="0"/>
      </w:tabs>
      <w:suppressAutoHyphens w:val="0"/>
      <w:spacing w:beforeLines="100" w:before="360" w:afterLines="100" w:after="360" w:line="240" w:lineRule="auto"/>
      <w:ind w:left="480" w:hanging="480"/>
      <w:jc w:val="both"/>
    </w:pPr>
    <w:rPr>
      <w:rFonts w:ascii="Times New Roman Bold" w:hAnsi="Times New Roman Bold"/>
      <w:kern w:val="2"/>
      <w:sz w:val="24"/>
      <w:lang w:eastAsia="zh-TW"/>
    </w:rPr>
  </w:style>
  <w:style w:type="paragraph" w:customStyle="1" w:styleId="CoPHeading2">
    <w:name w:val="CoP Heading 2"/>
    <w:basedOn w:val="Heading2"/>
    <w:autoRedefine/>
    <w:qFormat/>
    <w:rsid w:val="00272D6C"/>
    <w:pPr>
      <w:keepNext w:val="0"/>
      <w:tabs>
        <w:tab w:val="num" w:pos="0"/>
      </w:tabs>
      <w:suppressAutoHyphens w:val="0"/>
      <w:spacing w:beforeLines="100" w:before="360" w:afterLines="100" w:after="360" w:line="240" w:lineRule="auto"/>
      <w:ind w:left="480" w:hanging="480"/>
      <w:jc w:val="both"/>
    </w:pPr>
    <w:rPr>
      <w:rFonts w:ascii="Times New Roman Bold" w:hAnsi="Times New Roman Bold"/>
      <w:kern w:val="2"/>
      <w:sz w:val="24"/>
      <w:lang w:eastAsia="zh-TW"/>
    </w:rPr>
  </w:style>
  <w:style w:type="numbering" w:customStyle="1" w:styleId="NoList5">
    <w:name w:val="No List5"/>
    <w:next w:val="NoList"/>
    <w:uiPriority w:val="99"/>
    <w:semiHidden/>
    <w:unhideWhenUsed/>
    <w:rsid w:val="005171C5"/>
  </w:style>
  <w:style w:type="table" w:customStyle="1" w:styleId="TableGrid72">
    <w:name w:val="Table Grid72"/>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171C5"/>
    <w:rPr>
      <w:kern w:val="0"/>
      <w:sz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171C5"/>
  </w:style>
  <w:style w:type="table" w:customStyle="1" w:styleId="TableGrid31">
    <w:name w:val="Table Grid31"/>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171C5"/>
  </w:style>
  <w:style w:type="table" w:customStyle="1" w:styleId="TableGrid91">
    <w:name w:val="Table Grid91"/>
    <w:basedOn w:val="TableNormal"/>
    <w:next w:val="TableGrid"/>
    <w:uiPriority w:val="59"/>
    <w:rsid w:val="0051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171C5"/>
  </w:style>
  <w:style w:type="paragraph" w:styleId="EndnoteText">
    <w:name w:val="endnote text"/>
    <w:basedOn w:val="Normal"/>
    <w:link w:val="EndnoteTextChar"/>
    <w:uiPriority w:val="99"/>
    <w:semiHidden/>
    <w:unhideWhenUsed/>
    <w:rsid w:val="005171C5"/>
    <w:rPr>
      <w:rFonts w:ascii="Calibri" w:eastAsia="新細明體" w:hAnsi="Calibri"/>
      <w:lang w:eastAsia="zh-CN"/>
    </w:rPr>
  </w:style>
  <w:style w:type="character" w:customStyle="1" w:styleId="EndnoteTextChar">
    <w:name w:val="Endnote Text Char"/>
    <w:basedOn w:val="DefaultParagraphFont"/>
    <w:link w:val="EndnoteText"/>
    <w:uiPriority w:val="99"/>
    <w:semiHidden/>
    <w:rsid w:val="005171C5"/>
    <w:rPr>
      <w:rFonts w:ascii="Calibri" w:eastAsia="新細明體" w:hAnsi="Calibri" w:cs="Times New Roman"/>
      <w:kern w:val="0"/>
      <w:sz w:val="20"/>
      <w:szCs w:val="20"/>
      <w:lang w:val="en-GB" w:eastAsia="zh-CN"/>
    </w:rPr>
  </w:style>
  <w:style w:type="character" w:customStyle="1" w:styleId="Heading3Char">
    <w:name w:val="Heading 3 Char"/>
    <w:basedOn w:val="DefaultParagraphFont"/>
    <w:link w:val="Heading3"/>
    <w:uiPriority w:val="9"/>
    <w:rsid w:val="005F4B44"/>
    <w:rPr>
      <w:rFonts w:ascii="Calibri Light" w:eastAsia="新細明體" w:hAnsi="Calibri Light" w:cs="Times New Roman"/>
      <w:color w:val="1F4D78"/>
      <w:kern w:val="0"/>
      <w:szCs w:val="24"/>
      <w:lang w:val="en-GB" w:eastAsia="en-US"/>
    </w:rPr>
  </w:style>
  <w:style w:type="paragraph" w:customStyle="1" w:styleId="DDIs1">
    <w:name w:val="DDIs 1"/>
    <w:basedOn w:val="Heading2"/>
    <w:link w:val="DDIs1Char"/>
    <w:qFormat/>
    <w:rsid w:val="005F4B44"/>
    <w:pPr>
      <w:keepNext w:val="0"/>
      <w:suppressAutoHyphens w:val="0"/>
      <w:spacing w:beforeLines="100" w:before="100" w:afterLines="100" w:after="100" w:line="240" w:lineRule="auto"/>
      <w:ind w:left="851" w:hanging="851"/>
      <w:jc w:val="both"/>
      <w:outlineLvl w:val="0"/>
    </w:pPr>
    <w:rPr>
      <w:rFonts w:ascii="Times New Roman Bold" w:eastAsia="Times New Roman" w:hAnsi="Times New Roman Bold"/>
      <w:caps/>
      <w:color w:val="660066"/>
      <w:kern w:val="2"/>
      <w:sz w:val="28"/>
      <w:lang w:eastAsia="zh-TW"/>
    </w:rPr>
  </w:style>
  <w:style w:type="character" w:customStyle="1" w:styleId="DDIs1Char">
    <w:name w:val="DDIs 1 Char"/>
    <w:link w:val="DDIs1"/>
    <w:rsid w:val="005F4B44"/>
    <w:rPr>
      <w:rFonts w:ascii="Times New Roman Bold" w:eastAsia="Times New Roman" w:hAnsi="Times New Roman Bold" w:cs="Times New Roman"/>
      <w:b/>
      <w:bCs/>
      <w:caps/>
      <w:color w:val="660066"/>
      <w:sz w:val="28"/>
      <w:szCs w:val="48"/>
      <w:lang w:val="en-GB"/>
    </w:rPr>
  </w:style>
  <w:style w:type="paragraph" w:customStyle="1" w:styleId="StyleDDIs2LatinBodyCalibriAsianBodyAsian">
    <w:name w:val="Style DDIs 2 + (Latin) +Body (Calibri) (Asian) +Body Asian (新細明體)"/>
    <w:basedOn w:val="Normal"/>
    <w:next w:val="DDIs3"/>
    <w:rsid w:val="005F4B44"/>
    <w:pPr>
      <w:widowControl w:val="0"/>
      <w:spacing w:before="360" w:after="240"/>
      <w:ind w:left="2382" w:hanging="964"/>
      <w:jc w:val="both"/>
      <w:outlineLvl w:val="1"/>
    </w:pPr>
    <w:rPr>
      <w:rFonts w:ascii="Times New Roman" w:hAnsi="Times New Roman"/>
      <w:b/>
      <w:bCs/>
      <w:kern w:val="2"/>
      <w:sz w:val="28"/>
      <w:szCs w:val="24"/>
      <w:lang w:eastAsia="zh-TW"/>
    </w:rPr>
  </w:style>
  <w:style w:type="paragraph" w:customStyle="1" w:styleId="DDIs8">
    <w:name w:val="DDIs 8"/>
    <w:basedOn w:val="DDIs7"/>
    <w:qFormat/>
    <w:rsid w:val="005F4B44"/>
    <w:pPr>
      <w:numPr>
        <w:ilvl w:val="0"/>
        <w:numId w:val="0"/>
      </w:numPr>
      <w:spacing w:beforeLines="0" w:before="0" w:afterLines="0" w:after="120"/>
      <w:ind w:left="1701" w:hanging="567"/>
      <w:outlineLvl w:val="2"/>
    </w:pPr>
    <w:rPr>
      <w:rFonts w:ascii="Times New Roman" w:eastAsia="新細明體"/>
    </w:rPr>
  </w:style>
  <w:style w:type="paragraph" w:styleId="NormalWeb">
    <w:name w:val="Normal (Web)"/>
    <w:basedOn w:val="Normal"/>
    <w:uiPriority w:val="99"/>
    <w:unhideWhenUsed/>
    <w:rsid w:val="005F4B44"/>
    <w:pPr>
      <w:spacing w:before="100" w:beforeAutospacing="1" w:after="100" w:afterAutospacing="1"/>
    </w:pPr>
    <w:rPr>
      <w:rFonts w:ascii="Times New Roman" w:hAnsi="Times New Roman"/>
      <w:sz w:val="24"/>
      <w:szCs w:val="24"/>
      <w:lang w:eastAsia="zh-CN"/>
    </w:rPr>
  </w:style>
  <w:style w:type="character" w:customStyle="1" w:styleId="firstword">
    <w:name w:val="firstword"/>
    <w:rsid w:val="005F4B44"/>
  </w:style>
  <w:style w:type="paragraph" w:customStyle="1" w:styleId="PubliTitle">
    <w:name w:val="PubliTitle"/>
    <w:basedOn w:val="Normal"/>
    <w:next w:val="Normal"/>
    <w:rsid w:val="005F4B44"/>
    <w:pPr>
      <w:keepNext/>
      <w:spacing w:after="600"/>
      <w:outlineLvl w:val="0"/>
    </w:pPr>
    <w:rPr>
      <w:color w:val="AA322F"/>
      <w:sz w:val="32"/>
    </w:rPr>
  </w:style>
  <w:style w:type="paragraph" w:styleId="HTMLPreformatted">
    <w:name w:val="HTML Preformatted"/>
    <w:basedOn w:val="Normal"/>
    <w:link w:val="HTMLPreformattedChar"/>
    <w:uiPriority w:val="99"/>
    <w:semiHidden/>
    <w:unhideWhenUsed/>
    <w:rsid w:val="005F4B44"/>
    <w:rPr>
      <w:rFonts w:ascii="Courier New" w:hAnsi="Courier New" w:cs="Courier New"/>
    </w:rPr>
  </w:style>
  <w:style w:type="character" w:customStyle="1" w:styleId="HTMLPreformattedChar">
    <w:name w:val="HTML Preformatted Char"/>
    <w:basedOn w:val="DefaultParagraphFont"/>
    <w:link w:val="HTMLPreformatted"/>
    <w:uiPriority w:val="99"/>
    <w:semiHidden/>
    <w:rsid w:val="005F4B44"/>
    <w:rPr>
      <w:rFonts w:ascii="Courier New" w:eastAsia="Times New Roman" w:hAnsi="Courier New" w:cs="Courier New"/>
      <w:kern w:val="0"/>
      <w:sz w:val="20"/>
      <w:szCs w:val="20"/>
      <w:lang w:val="en-GB" w:eastAsia="en-US"/>
    </w:rPr>
  </w:style>
  <w:style w:type="paragraph" w:customStyle="1" w:styleId="Style1">
    <w:name w:val="Style1"/>
    <w:basedOn w:val="Normal"/>
    <w:link w:val="Style1Char"/>
    <w:qFormat/>
    <w:rsid w:val="00D540EB"/>
    <w:pPr>
      <w:spacing w:before="40" w:after="40"/>
    </w:pPr>
    <w:rPr>
      <w:sz w:val="22"/>
    </w:rPr>
  </w:style>
  <w:style w:type="character" w:customStyle="1" w:styleId="Style1Char">
    <w:name w:val="Style1 Char"/>
    <w:basedOn w:val="DefaultParagraphFont"/>
    <w:link w:val="Style1"/>
    <w:rsid w:val="00D540EB"/>
    <w:rPr>
      <w:rFonts w:ascii="Segoe UI" w:eastAsia="Times New Roman" w:hAnsi="Segoe UI" w:cs="Times New Roman"/>
      <w:kern w:val="0"/>
      <w:sz w:val="22"/>
      <w:szCs w:val="20"/>
      <w:lang w:val="en-GB" w:eastAsia="en-US"/>
    </w:rPr>
  </w:style>
  <w:style w:type="paragraph" w:styleId="NoSpacing">
    <w:name w:val="No Spacing"/>
    <w:uiPriority w:val="1"/>
    <w:qFormat/>
    <w:rsid w:val="00D540EB"/>
    <w:rPr>
      <w:rFonts w:ascii="Segoe UI" w:eastAsia="Times New Roman" w:hAnsi="Segoe UI" w:cs="Times New Roman"/>
      <w:kern w:val="0"/>
      <w:sz w:val="20"/>
      <w:szCs w:val="20"/>
      <w:lang w:val="en-GB" w:eastAsia="en-US"/>
    </w:rPr>
  </w:style>
  <w:style w:type="paragraph" w:customStyle="1" w:styleId="TableParagraph">
    <w:name w:val="Table Paragraph"/>
    <w:basedOn w:val="Normal"/>
    <w:uiPriority w:val="1"/>
    <w:qFormat/>
    <w:rsid w:val="00D540EB"/>
    <w:pPr>
      <w:widowControl w:val="0"/>
      <w:autoSpaceDE w:val="0"/>
      <w:autoSpaceDN w:val="0"/>
    </w:pPr>
    <w:rPr>
      <w:rFonts w:eastAsia="Segoe UI" w:cs="Segoe UI"/>
      <w:sz w:val="22"/>
      <w:szCs w:val="22"/>
      <w:lang w:val="en-US" w:bidi="en-US"/>
    </w:rPr>
  </w:style>
  <w:style w:type="character" w:customStyle="1" w:styleId="Heading4Char">
    <w:name w:val="Heading 4 Char"/>
    <w:basedOn w:val="DefaultParagraphFont"/>
    <w:link w:val="Heading4"/>
    <w:uiPriority w:val="9"/>
    <w:semiHidden/>
    <w:rsid w:val="001177B0"/>
    <w:rPr>
      <w:rFonts w:asciiTheme="majorHAnsi" w:eastAsiaTheme="majorEastAsia" w:hAnsiTheme="majorHAnsi" w:cstheme="majorBidi"/>
      <w:i/>
      <w:iCs/>
      <w:color w:val="365F91" w:themeColor="accent1" w:themeShade="BF"/>
      <w:kern w:val="0"/>
      <w:sz w:val="20"/>
      <w:szCs w:val="20"/>
      <w:lang w:val="en-GB" w:eastAsia="en-US"/>
    </w:rPr>
  </w:style>
  <w:style w:type="numbering" w:customStyle="1" w:styleId="NoList6">
    <w:name w:val="No List6"/>
    <w:next w:val="NoList"/>
    <w:uiPriority w:val="99"/>
    <w:semiHidden/>
    <w:unhideWhenUsed/>
    <w:rsid w:val="00DA1457"/>
  </w:style>
  <w:style w:type="table" w:customStyle="1" w:styleId="TableGrid13">
    <w:name w:val="Table Grid13"/>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A1457"/>
  </w:style>
  <w:style w:type="table" w:customStyle="1" w:styleId="TableGrid32">
    <w:name w:val="Table Grid32"/>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A1457"/>
  </w:style>
  <w:style w:type="table" w:customStyle="1" w:styleId="TableGrid92">
    <w:name w:val="Table Grid92"/>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DA1457"/>
  </w:style>
  <w:style w:type="table" w:customStyle="1" w:styleId="TableGrid102">
    <w:name w:val="Table Grid102"/>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A1457"/>
  </w:style>
  <w:style w:type="numbering" w:customStyle="1" w:styleId="NoList51">
    <w:name w:val="No List51"/>
    <w:next w:val="NoList"/>
    <w:uiPriority w:val="99"/>
    <w:semiHidden/>
    <w:unhideWhenUsed/>
    <w:rsid w:val="00DA1457"/>
  </w:style>
  <w:style w:type="table" w:customStyle="1" w:styleId="TableGrid721">
    <w:name w:val="Table Grid72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A1457"/>
    <w:rPr>
      <w:kern w:val="0"/>
      <w:sz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A1457"/>
  </w:style>
  <w:style w:type="table" w:customStyle="1" w:styleId="TableGrid311">
    <w:name w:val="Table Grid3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1457"/>
  </w:style>
  <w:style w:type="table" w:customStyle="1" w:styleId="TableGrid911">
    <w:name w:val="Table Grid911"/>
    <w:basedOn w:val="TableNormal"/>
    <w:next w:val="TableGrid"/>
    <w:uiPriority w:val="59"/>
    <w:rsid w:val="00DA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A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7488">
      <w:bodyDiv w:val="1"/>
      <w:marLeft w:val="0"/>
      <w:marRight w:val="0"/>
      <w:marTop w:val="0"/>
      <w:marBottom w:val="0"/>
      <w:divBdr>
        <w:top w:val="none" w:sz="0" w:space="0" w:color="auto"/>
        <w:left w:val="none" w:sz="0" w:space="0" w:color="auto"/>
        <w:bottom w:val="none" w:sz="0" w:space="0" w:color="auto"/>
        <w:right w:val="none" w:sz="0" w:space="0" w:color="auto"/>
      </w:divBdr>
    </w:div>
    <w:div w:id="53166286">
      <w:bodyDiv w:val="1"/>
      <w:marLeft w:val="0"/>
      <w:marRight w:val="0"/>
      <w:marTop w:val="0"/>
      <w:marBottom w:val="0"/>
      <w:divBdr>
        <w:top w:val="none" w:sz="0" w:space="0" w:color="auto"/>
        <w:left w:val="none" w:sz="0" w:space="0" w:color="auto"/>
        <w:bottom w:val="none" w:sz="0" w:space="0" w:color="auto"/>
        <w:right w:val="none" w:sz="0" w:space="0" w:color="auto"/>
      </w:divBdr>
    </w:div>
    <w:div w:id="58941521">
      <w:bodyDiv w:val="1"/>
      <w:marLeft w:val="0"/>
      <w:marRight w:val="0"/>
      <w:marTop w:val="0"/>
      <w:marBottom w:val="0"/>
      <w:divBdr>
        <w:top w:val="none" w:sz="0" w:space="0" w:color="auto"/>
        <w:left w:val="none" w:sz="0" w:space="0" w:color="auto"/>
        <w:bottom w:val="none" w:sz="0" w:space="0" w:color="auto"/>
        <w:right w:val="none" w:sz="0" w:space="0" w:color="auto"/>
      </w:divBdr>
    </w:div>
    <w:div w:id="59014003">
      <w:bodyDiv w:val="1"/>
      <w:marLeft w:val="0"/>
      <w:marRight w:val="0"/>
      <w:marTop w:val="0"/>
      <w:marBottom w:val="0"/>
      <w:divBdr>
        <w:top w:val="none" w:sz="0" w:space="0" w:color="auto"/>
        <w:left w:val="none" w:sz="0" w:space="0" w:color="auto"/>
        <w:bottom w:val="none" w:sz="0" w:space="0" w:color="auto"/>
        <w:right w:val="none" w:sz="0" w:space="0" w:color="auto"/>
      </w:divBdr>
    </w:div>
    <w:div w:id="81267555">
      <w:bodyDiv w:val="1"/>
      <w:marLeft w:val="0"/>
      <w:marRight w:val="0"/>
      <w:marTop w:val="0"/>
      <w:marBottom w:val="0"/>
      <w:divBdr>
        <w:top w:val="none" w:sz="0" w:space="0" w:color="auto"/>
        <w:left w:val="none" w:sz="0" w:space="0" w:color="auto"/>
        <w:bottom w:val="none" w:sz="0" w:space="0" w:color="auto"/>
        <w:right w:val="none" w:sz="0" w:space="0" w:color="auto"/>
      </w:divBdr>
    </w:div>
    <w:div w:id="12727983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43015113">
      <w:bodyDiv w:val="1"/>
      <w:marLeft w:val="0"/>
      <w:marRight w:val="0"/>
      <w:marTop w:val="0"/>
      <w:marBottom w:val="0"/>
      <w:divBdr>
        <w:top w:val="none" w:sz="0" w:space="0" w:color="auto"/>
        <w:left w:val="none" w:sz="0" w:space="0" w:color="auto"/>
        <w:bottom w:val="none" w:sz="0" w:space="0" w:color="auto"/>
        <w:right w:val="none" w:sz="0" w:space="0" w:color="auto"/>
      </w:divBdr>
    </w:div>
    <w:div w:id="161046214">
      <w:bodyDiv w:val="1"/>
      <w:marLeft w:val="0"/>
      <w:marRight w:val="0"/>
      <w:marTop w:val="0"/>
      <w:marBottom w:val="0"/>
      <w:divBdr>
        <w:top w:val="none" w:sz="0" w:space="0" w:color="auto"/>
        <w:left w:val="none" w:sz="0" w:space="0" w:color="auto"/>
        <w:bottom w:val="none" w:sz="0" w:space="0" w:color="auto"/>
        <w:right w:val="none" w:sz="0" w:space="0" w:color="auto"/>
      </w:divBdr>
    </w:div>
    <w:div w:id="177620831">
      <w:bodyDiv w:val="1"/>
      <w:marLeft w:val="0"/>
      <w:marRight w:val="0"/>
      <w:marTop w:val="0"/>
      <w:marBottom w:val="0"/>
      <w:divBdr>
        <w:top w:val="none" w:sz="0" w:space="0" w:color="auto"/>
        <w:left w:val="none" w:sz="0" w:space="0" w:color="auto"/>
        <w:bottom w:val="none" w:sz="0" w:space="0" w:color="auto"/>
        <w:right w:val="none" w:sz="0" w:space="0" w:color="auto"/>
      </w:divBdr>
    </w:div>
    <w:div w:id="181862713">
      <w:bodyDiv w:val="1"/>
      <w:marLeft w:val="0"/>
      <w:marRight w:val="0"/>
      <w:marTop w:val="0"/>
      <w:marBottom w:val="0"/>
      <w:divBdr>
        <w:top w:val="none" w:sz="0" w:space="0" w:color="auto"/>
        <w:left w:val="none" w:sz="0" w:space="0" w:color="auto"/>
        <w:bottom w:val="none" w:sz="0" w:space="0" w:color="auto"/>
        <w:right w:val="none" w:sz="0" w:space="0" w:color="auto"/>
      </w:divBdr>
    </w:div>
    <w:div w:id="185212838">
      <w:bodyDiv w:val="1"/>
      <w:marLeft w:val="0"/>
      <w:marRight w:val="0"/>
      <w:marTop w:val="0"/>
      <w:marBottom w:val="0"/>
      <w:divBdr>
        <w:top w:val="none" w:sz="0" w:space="0" w:color="auto"/>
        <w:left w:val="none" w:sz="0" w:space="0" w:color="auto"/>
        <w:bottom w:val="none" w:sz="0" w:space="0" w:color="auto"/>
        <w:right w:val="none" w:sz="0" w:space="0" w:color="auto"/>
      </w:divBdr>
    </w:div>
    <w:div w:id="192421734">
      <w:bodyDiv w:val="1"/>
      <w:marLeft w:val="0"/>
      <w:marRight w:val="0"/>
      <w:marTop w:val="0"/>
      <w:marBottom w:val="0"/>
      <w:divBdr>
        <w:top w:val="none" w:sz="0" w:space="0" w:color="auto"/>
        <w:left w:val="none" w:sz="0" w:space="0" w:color="auto"/>
        <w:bottom w:val="none" w:sz="0" w:space="0" w:color="auto"/>
        <w:right w:val="none" w:sz="0" w:space="0" w:color="auto"/>
      </w:divBdr>
    </w:div>
    <w:div w:id="196627893">
      <w:bodyDiv w:val="1"/>
      <w:marLeft w:val="0"/>
      <w:marRight w:val="0"/>
      <w:marTop w:val="0"/>
      <w:marBottom w:val="0"/>
      <w:divBdr>
        <w:top w:val="none" w:sz="0" w:space="0" w:color="auto"/>
        <w:left w:val="none" w:sz="0" w:space="0" w:color="auto"/>
        <w:bottom w:val="none" w:sz="0" w:space="0" w:color="auto"/>
        <w:right w:val="none" w:sz="0" w:space="0" w:color="auto"/>
      </w:divBdr>
    </w:div>
    <w:div w:id="198247103">
      <w:bodyDiv w:val="1"/>
      <w:marLeft w:val="0"/>
      <w:marRight w:val="0"/>
      <w:marTop w:val="0"/>
      <w:marBottom w:val="0"/>
      <w:divBdr>
        <w:top w:val="none" w:sz="0" w:space="0" w:color="auto"/>
        <w:left w:val="none" w:sz="0" w:space="0" w:color="auto"/>
        <w:bottom w:val="none" w:sz="0" w:space="0" w:color="auto"/>
        <w:right w:val="none" w:sz="0" w:space="0" w:color="auto"/>
      </w:divBdr>
    </w:div>
    <w:div w:id="256334923">
      <w:bodyDiv w:val="1"/>
      <w:marLeft w:val="0"/>
      <w:marRight w:val="0"/>
      <w:marTop w:val="0"/>
      <w:marBottom w:val="0"/>
      <w:divBdr>
        <w:top w:val="none" w:sz="0" w:space="0" w:color="auto"/>
        <w:left w:val="none" w:sz="0" w:space="0" w:color="auto"/>
        <w:bottom w:val="none" w:sz="0" w:space="0" w:color="auto"/>
        <w:right w:val="none" w:sz="0" w:space="0" w:color="auto"/>
      </w:divBdr>
    </w:div>
    <w:div w:id="317003858">
      <w:bodyDiv w:val="1"/>
      <w:marLeft w:val="0"/>
      <w:marRight w:val="0"/>
      <w:marTop w:val="0"/>
      <w:marBottom w:val="0"/>
      <w:divBdr>
        <w:top w:val="none" w:sz="0" w:space="0" w:color="auto"/>
        <w:left w:val="none" w:sz="0" w:space="0" w:color="auto"/>
        <w:bottom w:val="none" w:sz="0" w:space="0" w:color="auto"/>
        <w:right w:val="none" w:sz="0" w:space="0" w:color="auto"/>
      </w:divBdr>
    </w:div>
    <w:div w:id="317422147">
      <w:bodyDiv w:val="1"/>
      <w:marLeft w:val="0"/>
      <w:marRight w:val="0"/>
      <w:marTop w:val="0"/>
      <w:marBottom w:val="0"/>
      <w:divBdr>
        <w:top w:val="none" w:sz="0" w:space="0" w:color="auto"/>
        <w:left w:val="none" w:sz="0" w:space="0" w:color="auto"/>
        <w:bottom w:val="none" w:sz="0" w:space="0" w:color="auto"/>
        <w:right w:val="none" w:sz="0" w:space="0" w:color="auto"/>
      </w:divBdr>
    </w:div>
    <w:div w:id="319122811">
      <w:bodyDiv w:val="1"/>
      <w:marLeft w:val="0"/>
      <w:marRight w:val="0"/>
      <w:marTop w:val="0"/>
      <w:marBottom w:val="0"/>
      <w:divBdr>
        <w:top w:val="none" w:sz="0" w:space="0" w:color="auto"/>
        <w:left w:val="none" w:sz="0" w:space="0" w:color="auto"/>
        <w:bottom w:val="none" w:sz="0" w:space="0" w:color="auto"/>
        <w:right w:val="none" w:sz="0" w:space="0" w:color="auto"/>
      </w:divBdr>
    </w:div>
    <w:div w:id="319388810">
      <w:bodyDiv w:val="1"/>
      <w:marLeft w:val="0"/>
      <w:marRight w:val="0"/>
      <w:marTop w:val="0"/>
      <w:marBottom w:val="0"/>
      <w:divBdr>
        <w:top w:val="none" w:sz="0" w:space="0" w:color="auto"/>
        <w:left w:val="none" w:sz="0" w:space="0" w:color="auto"/>
        <w:bottom w:val="none" w:sz="0" w:space="0" w:color="auto"/>
        <w:right w:val="none" w:sz="0" w:space="0" w:color="auto"/>
      </w:divBdr>
    </w:div>
    <w:div w:id="342629997">
      <w:bodyDiv w:val="1"/>
      <w:marLeft w:val="0"/>
      <w:marRight w:val="0"/>
      <w:marTop w:val="0"/>
      <w:marBottom w:val="0"/>
      <w:divBdr>
        <w:top w:val="none" w:sz="0" w:space="0" w:color="auto"/>
        <w:left w:val="none" w:sz="0" w:space="0" w:color="auto"/>
        <w:bottom w:val="none" w:sz="0" w:space="0" w:color="auto"/>
        <w:right w:val="none" w:sz="0" w:space="0" w:color="auto"/>
      </w:divBdr>
    </w:div>
    <w:div w:id="362631597">
      <w:bodyDiv w:val="1"/>
      <w:marLeft w:val="0"/>
      <w:marRight w:val="0"/>
      <w:marTop w:val="0"/>
      <w:marBottom w:val="0"/>
      <w:divBdr>
        <w:top w:val="none" w:sz="0" w:space="0" w:color="auto"/>
        <w:left w:val="none" w:sz="0" w:space="0" w:color="auto"/>
        <w:bottom w:val="none" w:sz="0" w:space="0" w:color="auto"/>
        <w:right w:val="none" w:sz="0" w:space="0" w:color="auto"/>
      </w:divBdr>
    </w:div>
    <w:div w:id="369644425">
      <w:bodyDiv w:val="1"/>
      <w:marLeft w:val="0"/>
      <w:marRight w:val="0"/>
      <w:marTop w:val="0"/>
      <w:marBottom w:val="0"/>
      <w:divBdr>
        <w:top w:val="none" w:sz="0" w:space="0" w:color="auto"/>
        <w:left w:val="none" w:sz="0" w:space="0" w:color="auto"/>
        <w:bottom w:val="none" w:sz="0" w:space="0" w:color="auto"/>
        <w:right w:val="none" w:sz="0" w:space="0" w:color="auto"/>
      </w:divBdr>
    </w:div>
    <w:div w:id="373315338">
      <w:bodyDiv w:val="1"/>
      <w:marLeft w:val="0"/>
      <w:marRight w:val="0"/>
      <w:marTop w:val="0"/>
      <w:marBottom w:val="0"/>
      <w:divBdr>
        <w:top w:val="none" w:sz="0" w:space="0" w:color="auto"/>
        <w:left w:val="none" w:sz="0" w:space="0" w:color="auto"/>
        <w:bottom w:val="none" w:sz="0" w:space="0" w:color="auto"/>
        <w:right w:val="none" w:sz="0" w:space="0" w:color="auto"/>
      </w:divBdr>
    </w:div>
    <w:div w:id="379982002">
      <w:bodyDiv w:val="1"/>
      <w:marLeft w:val="0"/>
      <w:marRight w:val="0"/>
      <w:marTop w:val="0"/>
      <w:marBottom w:val="0"/>
      <w:divBdr>
        <w:top w:val="none" w:sz="0" w:space="0" w:color="auto"/>
        <w:left w:val="none" w:sz="0" w:space="0" w:color="auto"/>
        <w:bottom w:val="none" w:sz="0" w:space="0" w:color="auto"/>
        <w:right w:val="none" w:sz="0" w:space="0" w:color="auto"/>
      </w:divBdr>
    </w:div>
    <w:div w:id="405109428">
      <w:bodyDiv w:val="1"/>
      <w:marLeft w:val="0"/>
      <w:marRight w:val="0"/>
      <w:marTop w:val="0"/>
      <w:marBottom w:val="0"/>
      <w:divBdr>
        <w:top w:val="none" w:sz="0" w:space="0" w:color="auto"/>
        <w:left w:val="none" w:sz="0" w:space="0" w:color="auto"/>
        <w:bottom w:val="none" w:sz="0" w:space="0" w:color="auto"/>
        <w:right w:val="none" w:sz="0" w:space="0" w:color="auto"/>
      </w:divBdr>
    </w:div>
    <w:div w:id="407847234">
      <w:bodyDiv w:val="1"/>
      <w:marLeft w:val="0"/>
      <w:marRight w:val="0"/>
      <w:marTop w:val="0"/>
      <w:marBottom w:val="0"/>
      <w:divBdr>
        <w:top w:val="none" w:sz="0" w:space="0" w:color="auto"/>
        <w:left w:val="none" w:sz="0" w:space="0" w:color="auto"/>
        <w:bottom w:val="none" w:sz="0" w:space="0" w:color="auto"/>
        <w:right w:val="none" w:sz="0" w:space="0" w:color="auto"/>
      </w:divBdr>
    </w:div>
    <w:div w:id="486627481">
      <w:bodyDiv w:val="1"/>
      <w:marLeft w:val="0"/>
      <w:marRight w:val="0"/>
      <w:marTop w:val="0"/>
      <w:marBottom w:val="0"/>
      <w:divBdr>
        <w:top w:val="none" w:sz="0" w:space="0" w:color="auto"/>
        <w:left w:val="none" w:sz="0" w:space="0" w:color="auto"/>
        <w:bottom w:val="none" w:sz="0" w:space="0" w:color="auto"/>
        <w:right w:val="none" w:sz="0" w:space="0" w:color="auto"/>
      </w:divBdr>
    </w:div>
    <w:div w:id="487013158">
      <w:bodyDiv w:val="1"/>
      <w:marLeft w:val="0"/>
      <w:marRight w:val="0"/>
      <w:marTop w:val="0"/>
      <w:marBottom w:val="0"/>
      <w:divBdr>
        <w:top w:val="none" w:sz="0" w:space="0" w:color="auto"/>
        <w:left w:val="none" w:sz="0" w:space="0" w:color="auto"/>
        <w:bottom w:val="none" w:sz="0" w:space="0" w:color="auto"/>
        <w:right w:val="none" w:sz="0" w:space="0" w:color="auto"/>
      </w:divBdr>
    </w:div>
    <w:div w:id="492070095">
      <w:bodyDiv w:val="1"/>
      <w:marLeft w:val="0"/>
      <w:marRight w:val="0"/>
      <w:marTop w:val="0"/>
      <w:marBottom w:val="0"/>
      <w:divBdr>
        <w:top w:val="none" w:sz="0" w:space="0" w:color="auto"/>
        <w:left w:val="none" w:sz="0" w:space="0" w:color="auto"/>
        <w:bottom w:val="none" w:sz="0" w:space="0" w:color="auto"/>
        <w:right w:val="none" w:sz="0" w:space="0" w:color="auto"/>
      </w:divBdr>
    </w:div>
    <w:div w:id="518928375">
      <w:bodyDiv w:val="1"/>
      <w:marLeft w:val="0"/>
      <w:marRight w:val="0"/>
      <w:marTop w:val="0"/>
      <w:marBottom w:val="0"/>
      <w:divBdr>
        <w:top w:val="none" w:sz="0" w:space="0" w:color="auto"/>
        <w:left w:val="none" w:sz="0" w:space="0" w:color="auto"/>
        <w:bottom w:val="none" w:sz="0" w:space="0" w:color="auto"/>
        <w:right w:val="none" w:sz="0" w:space="0" w:color="auto"/>
      </w:divBdr>
    </w:div>
    <w:div w:id="555165736">
      <w:bodyDiv w:val="1"/>
      <w:marLeft w:val="0"/>
      <w:marRight w:val="0"/>
      <w:marTop w:val="0"/>
      <w:marBottom w:val="0"/>
      <w:divBdr>
        <w:top w:val="none" w:sz="0" w:space="0" w:color="auto"/>
        <w:left w:val="none" w:sz="0" w:space="0" w:color="auto"/>
        <w:bottom w:val="none" w:sz="0" w:space="0" w:color="auto"/>
        <w:right w:val="none" w:sz="0" w:space="0" w:color="auto"/>
      </w:divBdr>
    </w:div>
    <w:div w:id="583955874">
      <w:bodyDiv w:val="1"/>
      <w:marLeft w:val="0"/>
      <w:marRight w:val="0"/>
      <w:marTop w:val="0"/>
      <w:marBottom w:val="0"/>
      <w:divBdr>
        <w:top w:val="none" w:sz="0" w:space="0" w:color="auto"/>
        <w:left w:val="none" w:sz="0" w:space="0" w:color="auto"/>
        <w:bottom w:val="none" w:sz="0" w:space="0" w:color="auto"/>
        <w:right w:val="none" w:sz="0" w:space="0" w:color="auto"/>
      </w:divBdr>
    </w:div>
    <w:div w:id="608584941">
      <w:bodyDiv w:val="1"/>
      <w:marLeft w:val="0"/>
      <w:marRight w:val="0"/>
      <w:marTop w:val="0"/>
      <w:marBottom w:val="0"/>
      <w:divBdr>
        <w:top w:val="none" w:sz="0" w:space="0" w:color="auto"/>
        <w:left w:val="none" w:sz="0" w:space="0" w:color="auto"/>
        <w:bottom w:val="none" w:sz="0" w:space="0" w:color="auto"/>
        <w:right w:val="none" w:sz="0" w:space="0" w:color="auto"/>
      </w:divBdr>
    </w:div>
    <w:div w:id="610015251">
      <w:bodyDiv w:val="1"/>
      <w:marLeft w:val="0"/>
      <w:marRight w:val="0"/>
      <w:marTop w:val="0"/>
      <w:marBottom w:val="0"/>
      <w:divBdr>
        <w:top w:val="none" w:sz="0" w:space="0" w:color="auto"/>
        <w:left w:val="none" w:sz="0" w:space="0" w:color="auto"/>
        <w:bottom w:val="none" w:sz="0" w:space="0" w:color="auto"/>
        <w:right w:val="none" w:sz="0" w:space="0" w:color="auto"/>
      </w:divBdr>
    </w:div>
    <w:div w:id="672732162">
      <w:bodyDiv w:val="1"/>
      <w:marLeft w:val="0"/>
      <w:marRight w:val="0"/>
      <w:marTop w:val="0"/>
      <w:marBottom w:val="0"/>
      <w:divBdr>
        <w:top w:val="none" w:sz="0" w:space="0" w:color="auto"/>
        <w:left w:val="none" w:sz="0" w:space="0" w:color="auto"/>
        <w:bottom w:val="none" w:sz="0" w:space="0" w:color="auto"/>
        <w:right w:val="none" w:sz="0" w:space="0" w:color="auto"/>
      </w:divBdr>
    </w:div>
    <w:div w:id="674571561">
      <w:bodyDiv w:val="1"/>
      <w:marLeft w:val="0"/>
      <w:marRight w:val="0"/>
      <w:marTop w:val="0"/>
      <w:marBottom w:val="0"/>
      <w:divBdr>
        <w:top w:val="none" w:sz="0" w:space="0" w:color="auto"/>
        <w:left w:val="none" w:sz="0" w:space="0" w:color="auto"/>
        <w:bottom w:val="none" w:sz="0" w:space="0" w:color="auto"/>
        <w:right w:val="none" w:sz="0" w:space="0" w:color="auto"/>
      </w:divBdr>
    </w:div>
    <w:div w:id="686173623">
      <w:bodyDiv w:val="1"/>
      <w:marLeft w:val="0"/>
      <w:marRight w:val="0"/>
      <w:marTop w:val="0"/>
      <w:marBottom w:val="0"/>
      <w:divBdr>
        <w:top w:val="none" w:sz="0" w:space="0" w:color="auto"/>
        <w:left w:val="none" w:sz="0" w:space="0" w:color="auto"/>
        <w:bottom w:val="none" w:sz="0" w:space="0" w:color="auto"/>
        <w:right w:val="none" w:sz="0" w:space="0" w:color="auto"/>
      </w:divBdr>
    </w:div>
    <w:div w:id="699821417">
      <w:bodyDiv w:val="1"/>
      <w:marLeft w:val="0"/>
      <w:marRight w:val="0"/>
      <w:marTop w:val="0"/>
      <w:marBottom w:val="0"/>
      <w:divBdr>
        <w:top w:val="none" w:sz="0" w:space="0" w:color="auto"/>
        <w:left w:val="none" w:sz="0" w:space="0" w:color="auto"/>
        <w:bottom w:val="none" w:sz="0" w:space="0" w:color="auto"/>
        <w:right w:val="none" w:sz="0" w:space="0" w:color="auto"/>
      </w:divBdr>
    </w:div>
    <w:div w:id="716514689">
      <w:bodyDiv w:val="1"/>
      <w:marLeft w:val="0"/>
      <w:marRight w:val="0"/>
      <w:marTop w:val="0"/>
      <w:marBottom w:val="0"/>
      <w:divBdr>
        <w:top w:val="none" w:sz="0" w:space="0" w:color="auto"/>
        <w:left w:val="none" w:sz="0" w:space="0" w:color="auto"/>
        <w:bottom w:val="none" w:sz="0" w:space="0" w:color="auto"/>
        <w:right w:val="none" w:sz="0" w:space="0" w:color="auto"/>
      </w:divBdr>
    </w:div>
    <w:div w:id="734284306">
      <w:bodyDiv w:val="1"/>
      <w:marLeft w:val="0"/>
      <w:marRight w:val="0"/>
      <w:marTop w:val="0"/>
      <w:marBottom w:val="0"/>
      <w:divBdr>
        <w:top w:val="none" w:sz="0" w:space="0" w:color="auto"/>
        <w:left w:val="none" w:sz="0" w:space="0" w:color="auto"/>
        <w:bottom w:val="none" w:sz="0" w:space="0" w:color="auto"/>
        <w:right w:val="none" w:sz="0" w:space="0" w:color="auto"/>
      </w:divBdr>
    </w:div>
    <w:div w:id="745688289">
      <w:bodyDiv w:val="1"/>
      <w:marLeft w:val="0"/>
      <w:marRight w:val="0"/>
      <w:marTop w:val="0"/>
      <w:marBottom w:val="0"/>
      <w:divBdr>
        <w:top w:val="none" w:sz="0" w:space="0" w:color="auto"/>
        <w:left w:val="none" w:sz="0" w:space="0" w:color="auto"/>
        <w:bottom w:val="none" w:sz="0" w:space="0" w:color="auto"/>
        <w:right w:val="none" w:sz="0" w:space="0" w:color="auto"/>
      </w:divBdr>
    </w:div>
    <w:div w:id="781997718">
      <w:bodyDiv w:val="1"/>
      <w:marLeft w:val="0"/>
      <w:marRight w:val="0"/>
      <w:marTop w:val="0"/>
      <w:marBottom w:val="0"/>
      <w:divBdr>
        <w:top w:val="none" w:sz="0" w:space="0" w:color="auto"/>
        <w:left w:val="none" w:sz="0" w:space="0" w:color="auto"/>
        <w:bottom w:val="none" w:sz="0" w:space="0" w:color="auto"/>
        <w:right w:val="none" w:sz="0" w:space="0" w:color="auto"/>
      </w:divBdr>
    </w:div>
    <w:div w:id="798381097">
      <w:bodyDiv w:val="1"/>
      <w:marLeft w:val="0"/>
      <w:marRight w:val="0"/>
      <w:marTop w:val="0"/>
      <w:marBottom w:val="0"/>
      <w:divBdr>
        <w:top w:val="none" w:sz="0" w:space="0" w:color="auto"/>
        <w:left w:val="none" w:sz="0" w:space="0" w:color="auto"/>
        <w:bottom w:val="none" w:sz="0" w:space="0" w:color="auto"/>
        <w:right w:val="none" w:sz="0" w:space="0" w:color="auto"/>
      </w:divBdr>
    </w:div>
    <w:div w:id="839782537">
      <w:bodyDiv w:val="1"/>
      <w:marLeft w:val="0"/>
      <w:marRight w:val="0"/>
      <w:marTop w:val="0"/>
      <w:marBottom w:val="0"/>
      <w:divBdr>
        <w:top w:val="none" w:sz="0" w:space="0" w:color="auto"/>
        <w:left w:val="none" w:sz="0" w:space="0" w:color="auto"/>
        <w:bottom w:val="none" w:sz="0" w:space="0" w:color="auto"/>
        <w:right w:val="none" w:sz="0" w:space="0" w:color="auto"/>
      </w:divBdr>
    </w:div>
    <w:div w:id="850684838">
      <w:bodyDiv w:val="1"/>
      <w:marLeft w:val="0"/>
      <w:marRight w:val="0"/>
      <w:marTop w:val="0"/>
      <w:marBottom w:val="0"/>
      <w:divBdr>
        <w:top w:val="none" w:sz="0" w:space="0" w:color="auto"/>
        <w:left w:val="none" w:sz="0" w:space="0" w:color="auto"/>
        <w:bottom w:val="none" w:sz="0" w:space="0" w:color="auto"/>
        <w:right w:val="none" w:sz="0" w:space="0" w:color="auto"/>
      </w:divBdr>
    </w:div>
    <w:div w:id="889925164">
      <w:bodyDiv w:val="1"/>
      <w:marLeft w:val="0"/>
      <w:marRight w:val="0"/>
      <w:marTop w:val="0"/>
      <w:marBottom w:val="0"/>
      <w:divBdr>
        <w:top w:val="none" w:sz="0" w:space="0" w:color="auto"/>
        <w:left w:val="none" w:sz="0" w:space="0" w:color="auto"/>
        <w:bottom w:val="none" w:sz="0" w:space="0" w:color="auto"/>
        <w:right w:val="none" w:sz="0" w:space="0" w:color="auto"/>
      </w:divBdr>
    </w:div>
    <w:div w:id="899168802">
      <w:bodyDiv w:val="1"/>
      <w:marLeft w:val="0"/>
      <w:marRight w:val="0"/>
      <w:marTop w:val="0"/>
      <w:marBottom w:val="0"/>
      <w:divBdr>
        <w:top w:val="none" w:sz="0" w:space="0" w:color="auto"/>
        <w:left w:val="none" w:sz="0" w:space="0" w:color="auto"/>
        <w:bottom w:val="none" w:sz="0" w:space="0" w:color="auto"/>
        <w:right w:val="none" w:sz="0" w:space="0" w:color="auto"/>
      </w:divBdr>
    </w:div>
    <w:div w:id="923689470">
      <w:bodyDiv w:val="1"/>
      <w:marLeft w:val="0"/>
      <w:marRight w:val="0"/>
      <w:marTop w:val="0"/>
      <w:marBottom w:val="0"/>
      <w:divBdr>
        <w:top w:val="none" w:sz="0" w:space="0" w:color="auto"/>
        <w:left w:val="none" w:sz="0" w:space="0" w:color="auto"/>
        <w:bottom w:val="none" w:sz="0" w:space="0" w:color="auto"/>
        <w:right w:val="none" w:sz="0" w:space="0" w:color="auto"/>
      </w:divBdr>
    </w:div>
    <w:div w:id="946696847">
      <w:bodyDiv w:val="1"/>
      <w:marLeft w:val="0"/>
      <w:marRight w:val="0"/>
      <w:marTop w:val="0"/>
      <w:marBottom w:val="0"/>
      <w:divBdr>
        <w:top w:val="none" w:sz="0" w:space="0" w:color="auto"/>
        <w:left w:val="none" w:sz="0" w:space="0" w:color="auto"/>
        <w:bottom w:val="none" w:sz="0" w:space="0" w:color="auto"/>
        <w:right w:val="none" w:sz="0" w:space="0" w:color="auto"/>
      </w:divBdr>
    </w:div>
    <w:div w:id="952055817">
      <w:bodyDiv w:val="1"/>
      <w:marLeft w:val="0"/>
      <w:marRight w:val="0"/>
      <w:marTop w:val="0"/>
      <w:marBottom w:val="0"/>
      <w:divBdr>
        <w:top w:val="none" w:sz="0" w:space="0" w:color="auto"/>
        <w:left w:val="none" w:sz="0" w:space="0" w:color="auto"/>
        <w:bottom w:val="none" w:sz="0" w:space="0" w:color="auto"/>
        <w:right w:val="none" w:sz="0" w:space="0" w:color="auto"/>
      </w:divBdr>
    </w:div>
    <w:div w:id="971592948">
      <w:bodyDiv w:val="1"/>
      <w:marLeft w:val="0"/>
      <w:marRight w:val="0"/>
      <w:marTop w:val="0"/>
      <w:marBottom w:val="0"/>
      <w:divBdr>
        <w:top w:val="none" w:sz="0" w:space="0" w:color="auto"/>
        <w:left w:val="none" w:sz="0" w:space="0" w:color="auto"/>
        <w:bottom w:val="none" w:sz="0" w:space="0" w:color="auto"/>
        <w:right w:val="none" w:sz="0" w:space="0" w:color="auto"/>
      </w:divBdr>
    </w:div>
    <w:div w:id="984505209">
      <w:bodyDiv w:val="1"/>
      <w:marLeft w:val="0"/>
      <w:marRight w:val="0"/>
      <w:marTop w:val="0"/>
      <w:marBottom w:val="0"/>
      <w:divBdr>
        <w:top w:val="none" w:sz="0" w:space="0" w:color="auto"/>
        <w:left w:val="none" w:sz="0" w:space="0" w:color="auto"/>
        <w:bottom w:val="none" w:sz="0" w:space="0" w:color="auto"/>
        <w:right w:val="none" w:sz="0" w:space="0" w:color="auto"/>
      </w:divBdr>
    </w:div>
    <w:div w:id="1007635030">
      <w:bodyDiv w:val="1"/>
      <w:marLeft w:val="0"/>
      <w:marRight w:val="0"/>
      <w:marTop w:val="0"/>
      <w:marBottom w:val="0"/>
      <w:divBdr>
        <w:top w:val="none" w:sz="0" w:space="0" w:color="auto"/>
        <w:left w:val="none" w:sz="0" w:space="0" w:color="auto"/>
        <w:bottom w:val="none" w:sz="0" w:space="0" w:color="auto"/>
        <w:right w:val="none" w:sz="0" w:space="0" w:color="auto"/>
      </w:divBdr>
    </w:div>
    <w:div w:id="1021780989">
      <w:bodyDiv w:val="1"/>
      <w:marLeft w:val="0"/>
      <w:marRight w:val="0"/>
      <w:marTop w:val="0"/>
      <w:marBottom w:val="0"/>
      <w:divBdr>
        <w:top w:val="none" w:sz="0" w:space="0" w:color="auto"/>
        <w:left w:val="none" w:sz="0" w:space="0" w:color="auto"/>
        <w:bottom w:val="none" w:sz="0" w:space="0" w:color="auto"/>
        <w:right w:val="none" w:sz="0" w:space="0" w:color="auto"/>
      </w:divBdr>
    </w:div>
    <w:div w:id="1023894261">
      <w:bodyDiv w:val="1"/>
      <w:marLeft w:val="0"/>
      <w:marRight w:val="0"/>
      <w:marTop w:val="0"/>
      <w:marBottom w:val="0"/>
      <w:divBdr>
        <w:top w:val="none" w:sz="0" w:space="0" w:color="auto"/>
        <w:left w:val="none" w:sz="0" w:space="0" w:color="auto"/>
        <w:bottom w:val="none" w:sz="0" w:space="0" w:color="auto"/>
        <w:right w:val="none" w:sz="0" w:space="0" w:color="auto"/>
      </w:divBdr>
    </w:div>
    <w:div w:id="1031809386">
      <w:bodyDiv w:val="1"/>
      <w:marLeft w:val="0"/>
      <w:marRight w:val="0"/>
      <w:marTop w:val="0"/>
      <w:marBottom w:val="0"/>
      <w:divBdr>
        <w:top w:val="none" w:sz="0" w:space="0" w:color="auto"/>
        <w:left w:val="none" w:sz="0" w:space="0" w:color="auto"/>
        <w:bottom w:val="none" w:sz="0" w:space="0" w:color="auto"/>
        <w:right w:val="none" w:sz="0" w:space="0" w:color="auto"/>
      </w:divBdr>
    </w:div>
    <w:div w:id="1080759672">
      <w:bodyDiv w:val="1"/>
      <w:marLeft w:val="0"/>
      <w:marRight w:val="0"/>
      <w:marTop w:val="0"/>
      <w:marBottom w:val="0"/>
      <w:divBdr>
        <w:top w:val="none" w:sz="0" w:space="0" w:color="auto"/>
        <w:left w:val="none" w:sz="0" w:space="0" w:color="auto"/>
        <w:bottom w:val="none" w:sz="0" w:space="0" w:color="auto"/>
        <w:right w:val="none" w:sz="0" w:space="0" w:color="auto"/>
      </w:divBdr>
    </w:div>
    <w:div w:id="1129279816">
      <w:bodyDiv w:val="1"/>
      <w:marLeft w:val="0"/>
      <w:marRight w:val="0"/>
      <w:marTop w:val="0"/>
      <w:marBottom w:val="0"/>
      <w:divBdr>
        <w:top w:val="none" w:sz="0" w:space="0" w:color="auto"/>
        <w:left w:val="none" w:sz="0" w:space="0" w:color="auto"/>
        <w:bottom w:val="none" w:sz="0" w:space="0" w:color="auto"/>
        <w:right w:val="none" w:sz="0" w:space="0" w:color="auto"/>
      </w:divBdr>
    </w:div>
    <w:div w:id="1162156285">
      <w:bodyDiv w:val="1"/>
      <w:marLeft w:val="0"/>
      <w:marRight w:val="0"/>
      <w:marTop w:val="0"/>
      <w:marBottom w:val="0"/>
      <w:divBdr>
        <w:top w:val="none" w:sz="0" w:space="0" w:color="auto"/>
        <w:left w:val="none" w:sz="0" w:space="0" w:color="auto"/>
        <w:bottom w:val="none" w:sz="0" w:space="0" w:color="auto"/>
        <w:right w:val="none" w:sz="0" w:space="0" w:color="auto"/>
      </w:divBdr>
    </w:div>
    <w:div w:id="1212038338">
      <w:bodyDiv w:val="1"/>
      <w:marLeft w:val="0"/>
      <w:marRight w:val="0"/>
      <w:marTop w:val="0"/>
      <w:marBottom w:val="0"/>
      <w:divBdr>
        <w:top w:val="none" w:sz="0" w:space="0" w:color="auto"/>
        <w:left w:val="none" w:sz="0" w:space="0" w:color="auto"/>
        <w:bottom w:val="none" w:sz="0" w:space="0" w:color="auto"/>
        <w:right w:val="none" w:sz="0" w:space="0" w:color="auto"/>
      </w:divBdr>
    </w:div>
    <w:div w:id="1216312377">
      <w:bodyDiv w:val="1"/>
      <w:marLeft w:val="0"/>
      <w:marRight w:val="0"/>
      <w:marTop w:val="0"/>
      <w:marBottom w:val="0"/>
      <w:divBdr>
        <w:top w:val="none" w:sz="0" w:space="0" w:color="auto"/>
        <w:left w:val="none" w:sz="0" w:space="0" w:color="auto"/>
        <w:bottom w:val="none" w:sz="0" w:space="0" w:color="auto"/>
        <w:right w:val="none" w:sz="0" w:space="0" w:color="auto"/>
      </w:divBdr>
    </w:div>
    <w:div w:id="1233740693">
      <w:bodyDiv w:val="1"/>
      <w:marLeft w:val="0"/>
      <w:marRight w:val="0"/>
      <w:marTop w:val="0"/>
      <w:marBottom w:val="0"/>
      <w:divBdr>
        <w:top w:val="none" w:sz="0" w:space="0" w:color="auto"/>
        <w:left w:val="none" w:sz="0" w:space="0" w:color="auto"/>
        <w:bottom w:val="none" w:sz="0" w:space="0" w:color="auto"/>
        <w:right w:val="none" w:sz="0" w:space="0" w:color="auto"/>
      </w:divBdr>
    </w:div>
    <w:div w:id="1235582885">
      <w:bodyDiv w:val="1"/>
      <w:marLeft w:val="0"/>
      <w:marRight w:val="0"/>
      <w:marTop w:val="0"/>
      <w:marBottom w:val="0"/>
      <w:divBdr>
        <w:top w:val="none" w:sz="0" w:space="0" w:color="auto"/>
        <w:left w:val="none" w:sz="0" w:space="0" w:color="auto"/>
        <w:bottom w:val="none" w:sz="0" w:space="0" w:color="auto"/>
        <w:right w:val="none" w:sz="0" w:space="0" w:color="auto"/>
      </w:divBdr>
    </w:div>
    <w:div w:id="1242719632">
      <w:bodyDiv w:val="1"/>
      <w:marLeft w:val="0"/>
      <w:marRight w:val="0"/>
      <w:marTop w:val="0"/>
      <w:marBottom w:val="0"/>
      <w:divBdr>
        <w:top w:val="none" w:sz="0" w:space="0" w:color="auto"/>
        <w:left w:val="none" w:sz="0" w:space="0" w:color="auto"/>
        <w:bottom w:val="none" w:sz="0" w:space="0" w:color="auto"/>
        <w:right w:val="none" w:sz="0" w:space="0" w:color="auto"/>
      </w:divBdr>
    </w:div>
    <w:div w:id="1250966322">
      <w:bodyDiv w:val="1"/>
      <w:marLeft w:val="0"/>
      <w:marRight w:val="0"/>
      <w:marTop w:val="0"/>
      <w:marBottom w:val="0"/>
      <w:divBdr>
        <w:top w:val="none" w:sz="0" w:space="0" w:color="auto"/>
        <w:left w:val="none" w:sz="0" w:space="0" w:color="auto"/>
        <w:bottom w:val="none" w:sz="0" w:space="0" w:color="auto"/>
        <w:right w:val="none" w:sz="0" w:space="0" w:color="auto"/>
      </w:divBdr>
    </w:div>
    <w:div w:id="1274636127">
      <w:bodyDiv w:val="1"/>
      <w:marLeft w:val="0"/>
      <w:marRight w:val="0"/>
      <w:marTop w:val="0"/>
      <w:marBottom w:val="0"/>
      <w:divBdr>
        <w:top w:val="none" w:sz="0" w:space="0" w:color="auto"/>
        <w:left w:val="none" w:sz="0" w:space="0" w:color="auto"/>
        <w:bottom w:val="none" w:sz="0" w:space="0" w:color="auto"/>
        <w:right w:val="none" w:sz="0" w:space="0" w:color="auto"/>
      </w:divBdr>
    </w:div>
    <w:div w:id="1300921931">
      <w:bodyDiv w:val="1"/>
      <w:marLeft w:val="0"/>
      <w:marRight w:val="0"/>
      <w:marTop w:val="0"/>
      <w:marBottom w:val="0"/>
      <w:divBdr>
        <w:top w:val="none" w:sz="0" w:space="0" w:color="auto"/>
        <w:left w:val="none" w:sz="0" w:space="0" w:color="auto"/>
        <w:bottom w:val="none" w:sz="0" w:space="0" w:color="auto"/>
        <w:right w:val="none" w:sz="0" w:space="0" w:color="auto"/>
      </w:divBdr>
    </w:div>
    <w:div w:id="1326477350">
      <w:bodyDiv w:val="1"/>
      <w:marLeft w:val="0"/>
      <w:marRight w:val="0"/>
      <w:marTop w:val="0"/>
      <w:marBottom w:val="0"/>
      <w:divBdr>
        <w:top w:val="none" w:sz="0" w:space="0" w:color="auto"/>
        <w:left w:val="none" w:sz="0" w:space="0" w:color="auto"/>
        <w:bottom w:val="none" w:sz="0" w:space="0" w:color="auto"/>
        <w:right w:val="none" w:sz="0" w:space="0" w:color="auto"/>
      </w:divBdr>
    </w:div>
    <w:div w:id="1331326654">
      <w:bodyDiv w:val="1"/>
      <w:marLeft w:val="0"/>
      <w:marRight w:val="0"/>
      <w:marTop w:val="0"/>
      <w:marBottom w:val="0"/>
      <w:divBdr>
        <w:top w:val="none" w:sz="0" w:space="0" w:color="auto"/>
        <w:left w:val="none" w:sz="0" w:space="0" w:color="auto"/>
        <w:bottom w:val="none" w:sz="0" w:space="0" w:color="auto"/>
        <w:right w:val="none" w:sz="0" w:space="0" w:color="auto"/>
      </w:divBdr>
    </w:div>
    <w:div w:id="1333603904">
      <w:bodyDiv w:val="1"/>
      <w:marLeft w:val="0"/>
      <w:marRight w:val="0"/>
      <w:marTop w:val="0"/>
      <w:marBottom w:val="0"/>
      <w:divBdr>
        <w:top w:val="none" w:sz="0" w:space="0" w:color="auto"/>
        <w:left w:val="none" w:sz="0" w:space="0" w:color="auto"/>
        <w:bottom w:val="none" w:sz="0" w:space="0" w:color="auto"/>
        <w:right w:val="none" w:sz="0" w:space="0" w:color="auto"/>
      </w:divBdr>
    </w:div>
    <w:div w:id="1345093088">
      <w:bodyDiv w:val="1"/>
      <w:marLeft w:val="0"/>
      <w:marRight w:val="0"/>
      <w:marTop w:val="0"/>
      <w:marBottom w:val="0"/>
      <w:divBdr>
        <w:top w:val="none" w:sz="0" w:space="0" w:color="auto"/>
        <w:left w:val="none" w:sz="0" w:space="0" w:color="auto"/>
        <w:bottom w:val="none" w:sz="0" w:space="0" w:color="auto"/>
        <w:right w:val="none" w:sz="0" w:space="0" w:color="auto"/>
      </w:divBdr>
    </w:div>
    <w:div w:id="1350450759">
      <w:bodyDiv w:val="1"/>
      <w:marLeft w:val="0"/>
      <w:marRight w:val="0"/>
      <w:marTop w:val="0"/>
      <w:marBottom w:val="0"/>
      <w:divBdr>
        <w:top w:val="none" w:sz="0" w:space="0" w:color="auto"/>
        <w:left w:val="none" w:sz="0" w:space="0" w:color="auto"/>
        <w:bottom w:val="none" w:sz="0" w:space="0" w:color="auto"/>
        <w:right w:val="none" w:sz="0" w:space="0" w:color="auto"/>
      </w:divBdr>
    </w:div>
    <w:div w:id="1361318962">
      <w:bodyDiv w:val="1"/>
      <w:marLeft w:val="0"/>
      <w:marRight w:val="0"/>
      <w:marTop w:val="0"/>
      <w:marBottom w:val="0"/>
      <w:divBdr>
        <w:top w:val="none" w:sz="0" w:space="0" w:color="auto"/>
        <w:left w:val="none" w:sz="0" w:space="0" w:color="auto"/>
        <w:bottom w:val="none" w:sz="0" w:space="0" w:color="auto"/>
        <w:right w:val="none" w:sz="0" w:space="0" w:color="auto"/>
      </w:divBdr>
    </w:div>
    <w:div w:id="1369330168">
      <w:bodyDiv w:val="1"/>
      <w:marLeft w:val="0"/>
      <w:marRight w:val="0"/>
      <w:marTop w:val="0"/>
      <w:marBottom w:val="0"/>
      <w:divBdr>
        <w:top w:val="none" w:sz="0" w:space="0" w:color="auto"/>
        <w:left w:val="none" w:sz="0" w:space="0" w:color="auto"/>
        <w:bottom w:val="none" w:sz="0" w:space="0" w:color="auto"/>
        <w:right w:val="none" w:sz="0" w:space="0" w:color="auto"/>
      </w:divBdr>
    </w:div>
    <w:div w:id="1388919982">
      <w:bodyDiv w:val="1"/>
      <w:marLeft w:val="0"/>
      <w:marRight w:val="0"/>
      <w:marTop w:val="0"/>
      <w:marBottom w:val="0"/>
      <w:divBdr>
        <w:top w:val="none" w:sz="0" w:space="0" w:color="auto"/>
        <w:left w:val="none" w:sz="0" w:space="0" w:color="auto"/>
        <w:bottom w:val="none" w:sz="0" w:space="0" w:color="auto"/>
        <w:right w:val="none" w:sz="0" w:space="0" w:color="auto"/>
      </w:divBdr>
    </w:div>
    <w:div w:id="1413578276">
      <w:bodyDiv w:val="1"/>
      <w:marLeft w:val="0"/>
      <w:marRight w:val="0"/>
      <w:marTop w:val="0"/>
      <w:marBottom w:val="0"/>
      <w:divBdr>
        <w:top w:val="none" w:sz="0" w:space="0" w:color="auto"/>
        <w:left w:val="none" w:sz="0" w:space="0" w:color="auto"/>
        <w:bottom w:val="none" w:sz="0" w:space="0" w:color="auto"/>
        <w:right w:val="none" w:sz="0" w:space="0" w:color="auto"/>
      </w:divBdr>
    </w:div>
    <w:div w:id="1436317843">
      <w:bodyDiv w:val="1"/>
      <w:marLeft w:val="0"/>
      <w:marRight w:val="0"/>
      <w:marTop w:val="0"/>
      <w:marBottom w:val="0"/>
      <w:divBdr>
        <w:top w:val="none" w:sz="0" w:space="0" w:color="auto"/>
        <w:left w:val="none" w:sz="0" w:space="0" w:color="auto"/>
        <w:bottom w:val="none" w:sz="0" w:space="0" w:color="auto"/>
        <w:right w:val="none" w:sz="0" w:space="0" w:color="auto"/>
      </w:divBdr>
    </w:div>
    <w:div w:id="1501388216">
      <w:bodyDiv w:val="1"/>
      <w:marLeft w:val="0"/>
      <w:marRight w:val="0"/>
      <w:marTop w:val="0"/>
      <w:marBottom w:val="0"/>
      <w:divBdr>
        <w:top w:val="none" w:sz="0" w:space="0" w:color="auto"/>
        <w:left w:val="none" w:sz="0" w:space="0" w:color="auto"/>
        <w:bottom w:val="none" w:sz="0" w:space="0" w:color="auto"/>
        <w:right w:val="none" w:sz="0" w:space="0" w:color="auto"/>
      </w:divBdr>
    </w:div>
    <w:div w:id="1506477533">
      <w:bodyDiv w:val="1"/>
      <w:marLeft w:val="0"/>
      <w:marRight w:val="0"/>
      <w:marTop w:val="0"/>
      <w:marBottom w:val="0"/>
      <w:divBdr>
        <w:top w:val="none" w:sz="0" w:space="0" w:color="auto"/>
        <w:left w:val="none" w:sz="0" w:space="0" w:color="auto"/>
        <w:bottom w:val="none" w:sz="0" w:space="0" w:color="auto"/>
        <w:right w:val="none" w:sz="0" w:space="0" w:color="auto"/>
      </w:divBdr>
    </w:div>
    <w:div w:id="1509716977">
      <w:bodyDiv w:val="1"/>
      <w:marLeft w:val="0"/>
      <w:marRight w:val="0"/>
      <w:marTop w:val="0"/>
      <w:marBottom w:val="0"/>
      <w:divBdr>
        <w:top w:val="none" w:sz="0" w:space="0" w:color="auto"/>
        <w:left w:val="none" w:sz="0" w:space="0" w:color="auto"/>
        <w:bottom w:val="none" w:sz="0" w:space="0" w:color="auto"/>
        <w:right w:val="none" w:sz="0" w:space="0" w:color="auto"/>
      </w:divBdr>
    </w:div>
    <w:div w:id="1520117135">
      <w:bodyDiv w:val="1"/>
      <w:marLeft w:val="0"/>
      <w:marRight w:val="0"/>
      <w:marTop w:val="0"/>
      <w:marBottom w:val="0"/>
      <w:divBdr>
        <w:top w:val="none" w:sz="0" w:space="0" w:color="auto"/>
        <w:left w:val="none" w:sz="0" w:space="0" w:color="auto"/>
        <w:bottom w:val="none" w:sz="0" w:space="0" w:color="auto"/>
        <w:right w:val="none" w:sz="0" w:space="0" w:color="auto"/>
      </w:divBdr>
    </w:div>
    <w:div w:id="1530028729">
      <w:bodyDiv w:val="1"/>
      <w:marLeft w:val="0"/>
      <w:marRight w:val="0"/>
      <w:marTop w:val="0"/>
      <w:marBottom w:val="0"/>
      <w:divBdr>
        <w:top w:val="none" w:sz="0" w:space="0" w:color="auto"/>
        <w:left w:val="none" w:sz="0" w:space="0" w:color="auto"/>
        <w:bottom w:val="none" w:sz="0" w:space="0" w:color="auto"/>
        <w:right w:val="none" w:sz="0" w:space="0" w:color="auto"/>
      </w:divBdr>
    </w:div>
    <w:div w:id="1536041550">
      <w:bodyDiv w:val="1"/>
      <w:marLeft w:val="0"/>
      <w:marRight w:val="0"/>
      <w:marTop w:val="0"/>
      <w:marBottom w:val="0"/>
      <w:divBdr>
        <w:top w:val="none" w:sz="0" w:space="0" w:color="auto"/>
        <w:left w:val="none" w:sz="0" w:space="0" w:color="auto"/>
        <w:bottom w:val="none" w:sz="0" w:space="0" w:color="auto"/>
        <w:right w:val="none" w:sz="0" w:space="0" w:color="auto"/>
      </w:divBdr>
    </w:div>
    <w:div w:id="1538816890">
      <w:bodyDiv w:val="1"/>
      <w:marLeft w:val="0"/>
      <w:marRight w:val="0"/>
      <w:marTop w:val="0"/>
      <w:marBottom w:val="0"/>
      <w:divBdr>
        <w:top w:val="none" w:sz="0" w:space="0" w:color="auto"/>
        <w:left w:val="none" w:sz="0" w:space="0" w:color="auto"/>
        <w:bottom w:val="none" w:sz="0" w:space="0" w:color="auto"/>
        <w:right w:val="none" w:sz="0" w:space="0" w:color="auto"/>
      </w:divBdr>
    </w:div>
    <w:div w:id="1602110085">
      <w:bodyDiv w:val="1"/>
      <w:marLeft w:val="0"/>
      <w:marRight w:val="0"/>
      <w:marTop w:val="0"/>
      <w:marBottom w:val="0"/>
      <w:divBdr>
        <w:top w:val="none" w:sz="0" w:space="0" w:color="auto"/>
        <w:left w:val="none" w:sz="0" w:space="0" w:color="auto"/>
        <w:bottom w:val="none" w:sz="0" w:space="0" w:color="auto"/>
        <w:right w:val="none" w:sz="0" w:space="0" w:color="auto"/>
      </w:divBdr>
    </w:div>
    <w:div w:id="1664775726">
      <w:bodyDiv w:val="1"/>
      <w:marLeft w:val="0"/>
      <w:marRight w:val="0"/>
      <w:marTop w:val="0"/>
      <w:marBottom w:val="0"/>
      <w:divBdr>
        <w:top w:val="none" w:sz="0" w:space="0" w:color="auto"/>
        <w:left w:val="none" w:sz="0" w:space="0" w:color="auto"/>
        <w:bottom w:val="none" w:sz="0" w:space="0" w:color="auto"/>
        <w:right w:val="none" w:sz="0" w:space="0" w:color="auto"/>
      </w:divBdr>
    </w:div>
    <w:div w:id="1673020589">
      <w:bodyDiv w:val="1"/>
      <w:marLeft w:val="0"/>
      <w:marRight w:val="0"/>
      <w:marTop w:val="0"/>
      <w:marBottom w:val="0"/>
      <w:divBdr>
        <w:top w:val="none" w:sz="0" w:space="0" w:color="auto"/>
        <w:left w:val="none" w:sz="0" w:space="0" w:color="auto"/>
        <w:bottom w:val="none" w:sz="0" w:space="0" w:color="auto"/>
        <w:right w:val="none" w:sz="0" w:space="0" w:color="auto"/>
      </w:divBdr>
    </w:div>
    <w:div w:id="1677464557">
      <w:bodyDiv w:val="1"/>
      <w:marLeft w:val="0"/>
      <w:marRight w:val="0"/>
      <w:marTop w:val="0"/>
      <w:marBottom w:val="0"/>
      <w:divBdr>
        <w:top w:val="none" w:sz="0" w:space="0" w:color="auto"/>
        <w:left w:val="none" w:sz="0" w:space="0" w:color="auto"/>
        <w:bottom w:val="none" w:sz="0" w:space="0" w:color="auto"/>
        <w:right w:val="none" w:sz="0" w:space="0" w:color="auto"/>
      </w:divBdr>
    </w:div>
    <w:div w:id="1689019911">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739791404">
      <w:bodyDiv w:val="1"/>
      <w:marLeft w:val="0"/>
      <w:marRight w:val="0"/>
      <w:marTop w:val="0"/>
      <w:marBottom w:val="0"/>
      <w:divBdr>
        <w:top w:val="none" w:sz="0" w:space="0" w:color="auto"/>
        <w:left w:val="none" w:sz="0" w:space="0" w:color="auto"/>
        <w:bottom w:val="none" w:sz="0" w:space="0" w:color="auto"/>
        <w:right w:val="none" w:sz="0" w:space="0" w:color="auto"/>
      </w:divBdr>
    </w:div>
    <w:div w:id="1742556269">
      <w:bodyDiv w:val="1"/>
      <w:marLeft w:val="0"/>
      <w:marRight w:val="0"/>
      <w:marTop w:val="0"/>
      <w:marBottom w:val="0"/>
      <w:divBdr>
        <w:top w:val="none" w:sz="0" w:space="0" w:color="auto"/>
        <w:left w:val="none" w:sz="0" w:space="0" w:color="auto"/>
        <w:bottom w:val="none" w:sz="0" w:space="0" w:color="auto"/>
        <w:right w:val="none" w:sz="0" w:space="0" w:color="auto"/>
      </w:divBdr>
    </w:div>
    <w:div w:id="1744453550">
      <w:bodyDiv w:val="1"/>
      <w:marLeft w:val="0"/>
      <w:marRight w:val="0"/>
      <w:marTop w:val="0"/>
      <w:marBottom w:val="0"/>
      <w:divBdr>
        <w:top w:val="none" w:sz="0" w:space="0" w:color="auto"/>
        <w:left w:val="none" w:sz="0" w:space="0" w:color="auto"/>
        <w:bottom w:val="none" w:sz="0" w:space="0" w:color="auto"/>
        <w:right w:val="none" w:sz="0" w:space="0" w:color="auto"/>
      </w:divBdr>
    </w:div>
    <w:div w:id="1756243440">
      <w:bodyDiv w:val="1"/>
      <w:marLeft w:val="0"/>
      <w:marRight w:val="0"/>
      <w:marTop w:val="0"/>
      <w:marBottom w:val="0"/>
      <w:divBdr>
        <w:top w:val="none" w:sz="0" w:space="0" w:color="auto"/>
        <w:left w:val="none" w:sz="0" w:space="0" w:color="auto"/>
        <w:bottom w:val="none" w:sz="0" w:space="0" w:color="auto"/>
        <w:right w:val="none" w:sz="0" w:space="0" w:color="auto"/>
      </w:divBdr>
    </w:div>
    <w:div w:id="1766415678">
      <w:bodyDiv w:val="1"/>
      <w:marLeft w:val="0"/>
      <w:marRight w:val="0"/>
      <w:marTop w:val="0"/>
      <w:marBottom w:val="0"/>
      <w:divBdr>
        <w:top w:val="none" w:sz="0" w:space="0" w:color="auto"/>
        <w:left w:val="none" w:sz="0" w:space="0" w:color="auto"/>
        <w:bottom w:val="none" w:sz="0" w:space="0" w:color="auto"/>
        <w:right w:val="none" w:sz="0" w:space="0" w:color="auto"/>
      </w:divBdr>
    </w:div>
    <w:div w:id="1767655825">
      <w:bodyDiv w:val="1"/>
      <w:marLeft w:val="0"/>
      <w:marRight w:val="0"/>
      <w:marTop w:val="0"/>
      <w:marBottom w:val="0"/>
      <w:divBdr>
        <w:top w:val="none" w:sz="0" w:space="0" w:color="auto"/>
        <w:left w:val="none" w:sz="0" w:space="0" w:color="auto"/>
        <w:bottom w:val="none" w:sz="0" w:space="0" w:color="auto"/>
        <w:right w:val="none" w:sz="0" w:space="0" w:color="auto"/>
      </w:divBdr>
    </w:div>
    <w:div w:id="1769932432">
      <w:bodyDiv w:val="1"/>
      <w:marLeft w:val="0"/>
      <w:marRight w:val="0"/>
      <w:marTop w:val="0"/>
      <w:marBottom w:val="0"/>
      <w:divBdr>
        <w:top w:val="none" w:sz="0" w:space="0" w:color="auto"/>
        <w:left w:val="none" w:sz="0" w:space="0" w:color="auto"/>
        <w:bottom w:val="none" w:sz="0" w:space="0" w:color="auto"/>
        <w:right w:val="none" w:sz="0" w:space="0" w:color="auto"/>
      </w:divBdr>
    </w:div>
    <w:div w:id="1807820452">
      <w:bodyDiv w:val="1"/>
      <w:marLeft w:val="0"/>
      <w:marRight w:val="0"/>
      <w:marTop w:val="0"/>
      <w:marBottom w:val="0"/>
      <w:divBdr>
        <w:top w:val="none" w:sz="0" w:space="0" w:color="auto"/>
        <w:left w:val="none" w:sz="0" w:space="0" w:color="auto"/>
        <w:bottom w:val="none" w:sz="0" w:space="0" w:color="auto"/>
        <w:right w:val="none" w:sz="0" w:space="0" w:color="auto"/>
      </w:divBdr>
    </w:div>
    <w:div w:id="1817214638">
      <w:bodyDiv w:val="1"/>
      <w:marLeft w:val="0"/>
      <w:marRight w:val="0"/>
      <w:marTop w:val="0"/>
      <w:marBottom w:val="0"/>
      <w:divBdr>
        <w:top w:val="none" w:sz="0" w:space="0" w:color="auto"/>
        <w:left w:val="none" w:sz="0" w:space="0" w:color="auto"/>
        <w:bottom w:val="none" w:sz="0" w:space="0" w:color="auto"/>
        <w:right w:val="none" w:sz="0" w:space="0" w:color="auto"/>
      </w:divBdr>
    </w:div>
    <w:div w:id="1822649702">
      <w:bodyDiv w:val="1"/>
      <w:marLeft w:val="0"/>
      <w:marRight w:val="0"/>
      <w:marTop w:val="0"/>
      <w:marBottom w:val="0"/>
      <w:divBdr>
        <w:top w:val="none" w:sz="0" w:space="0" w:color="auto"/>
        <w:left w:val="none" w:sz="0" w:space="0" w:color="auto"/>
        <w:bottom w:val="none" w:sz="0" w:space="0" w:color="auto"/>
        <w:right w:val="none" w:sz="0" w:space="0" w:color="auto"/>
      </w:divBdr>
    </w:div>
    <w:div w:id="1835997240">
      <w:bodyDiv w:val="1"/>
      <w:marLeft w:val="0"/>
      <w:marRight w:val="0"/>
      <w:marTop w:val="0"/>
      <w:marBottom w:val="0"/>
      <w:divBdr>
        <w:top w:val="none" w:sz="0" w:space="0" w:color="auto"/>
        <w:left w:val="none" w:sz="0" w:space="0" w:color="auto"/>
        <w:bottom w:val="none" w:sz="0" w:space="0" w:color="auto"/>
        <w:right w:val="none" w:sz="0" w:space="0" w:color="auto"/>
      </w:divBdr>
    </w:div>
    <w:div w:id="1847743594">
      <w:bodyDiv w:val="1"/>
      <w:marLeft w:val="0"/>
      <w:marRight w:val="0"/>
      <w:marTop w:val="0"/>
      <w:marBottom w:val="0"/>
      <w:divBdr>
        <w:top w:val="none" w:sz="0" w:space="0" w:color="auto"/>
        <w:left w:val="none" w:sz="0" w:space="0" w:color="auto"/>
        <w:bottom w:val="none" w:sz="0" w:space="0" w:color="auto"/>
        <w:right w:val="none" w:sz="0" w:space="0" w:color="auto"/>
      </w:divBdr>
    </w:div>
    <w:div w:id="1856187599">
      <w:bodyDiv w:val="1"/>
      <w:marLeft w:val="0"/>
      <w:marRight w:val="0"/>
      <w:marTop w:val="0"/>
      <w:marBottom w:val="0"/>
      <w:divBdr>
        <w:top w:val="none" w:sz="0" w:space="0" w:color="auto"/>
        <w:left w:val="none" w:sz="0" w:space="0" w:color="auto"/>
        <w:bottom w:val="none" w:sz="0" w:space="0" w:color="auto"/>
        <w:right w:val="none" w:sz="0" w:space="0" w:color="auto"/>
      </w:divBdr>
    </w:div>
    <w:div w:id="1857310044">
      <w:bodyDiv w:val="1"/>
      <w:marLeft w:val="0"/>
      <w:marRight w:val="0"/>
      <w:marTop w:val="0"/>
      <w:marBottom w:val="0"/>
      <w:divBdr>
        <w:top w:val="none" w:sz="0" w:space="0" w:color="auto"/>
        <w:left w:val="none" w:sz="0" w:space="0" w:color="auto"/>
        <w:bottom w:val="none" w:sz="0" w:space="0" w:color="auto"/>
        <w:right w:val="none" w:sz="0" w:space="0" w:color="auto"/>
      </w:divBdr>
    </w:div>
    <w:div w:id="1888906180">
      <w:bodyDiv w:val="1"/>
      <w:marLeft w:val="0"/>
      <w:marRight w:val="0"/>
      <w:marTop w:val="0"/>
      <w:marBottom w:val="0"/>
      <w:divBdr>
        <w:top w:val="none" w:sz="0" w:space="0" w:color="auto"/>
        <w:left w:val="none" w:sz="0" w:space="0" w:color="auto"/>
        <w:bottom w:val="none" w:sz="0" w:space="0" w:color="auto"/>
        <w:right w:val="none" w:sz="0" w:space="0" w:color="auto"/>
      </w:divBdr>
    </w:div>
    <w:div w:id="1920090537">
      <w:bodyDiv w:val="1"/>
      <w:marLeft w:val="0"/>
      <w:marRight w:val="0"/>
      <w:marTop w:val="0"/>
      <w:marBottom w:val="0"/>
      <w:divBdr>
        <w:top w:val="none" w:sz="0" w:space="0" w:color="auto"/>
        <w:left w:val="none" w:sz="0" w:space="0" w:color="auto"/>
        <w:bottom w:val="none" w:sz="0" w:space="0" w:color="auto"/>
        <w:right w:val="none" w:sz="0" w:space="0" w:color="auto"/>
      </w:divBdr>
    </w:div>
    <w:div w:id="1946108742">
      <w:bodyDiv w:val="1"/>
      <w:marLeft w:val="0"/>
      <w:marRight w:val="0"/>
      <w:marTop w:val="0"/>
      <w:marBottom w:val="0"/>
      <w:divBdr>
        <w:top w:val="none" w:sz="0" w:space="0" w:color="auto"/>
        <w:left w:val="none" w:sz="0" w:space="0" w:color="auto"/>
        <w:bottom w:val="none" w:sz="0" w:space="0" w:color="auto"/>
        <w:right w:val="none" w:sz="0" w:space="0" w:color="auto"/>
      </w:divBdr>
    </w:div>
    <w:div w:id="1999115796">
      <w:bodyDiv w:val="1"/>
      <w:marLeft w:val="0"/>
      <w:marRight w:val="0"/>
      <w:marTop w:val="0"/>
      <w:marBottom w:val="0"/>
      <w:divBdr>
        <w:top w:val="none" w:sz="0" w:space="0" w:color="auto"/>
        <w:left w:val="none" w:sz="0" w:space="0" w:color="auto"/>
        <w:bottom w:val="none" w:sz="0" w:space="0" w:color="auto"/>
        <w:right w:val="none" w:sz="0" w:space="0" w:color="auto"/>
      </w:divBdr>
    </w:div>
    <w:div w:id="2029985494">
      <w:bodyDiv w:val="1"/>
      <w:marLeft w:val="0"/>
      <w:marRight w:val="0"/>
      <w:marTop w:val="0"/>
      <w:marBottom w:val="0"/>
      <w:divBdr>
        <w:top w:val="none" w:sz="0" w:space="0" w:color="auto"/>
        <w:left w:val="none" w:sz="0" w:space="0" w:color="auto"/>
        <w:bottom w:val="none" w:sz="0" w:space="0" w:color="auto"/>
        <w:right w:val="none" w:sz="0" w:space="0" w:color="auto"/>
      </w:divBdr>
    </w:div>
    <w:div w:id="2036222797">
      <w:bodyDiv w:val="1"/>
      <w:marLeft w:val="0"/>
      <w:marRight w:val="0"/>
      <w:marTop w:val="0"/>
      <w:marBottom w:val="0"/>
      <w:divBdr>
        <w:top w:val="none" w:sz="0" w:space="0" w:color="auto"/>
        <w:left w:val="none" w:sz="0" w:space="0" w:color="auto"/>
        <w:bottom w:val="none" w:sz="0" w:space="0" w:color="auto"/>
        <w:right w:val="none" w:sz="0" w:space="0" w:color="auto"/>
      </w:divBdr>
    </w:div>
    <w:div w:id="2054302260">
      <w:bodyDiv w:val="1"/>
      <w:marLeft w:val="0"/>
      <w:marRight w:val="0"/>
      <w:marTop w:val="0"/>
      <w:marBottom w:val="0"/>
      <w:divBdr>
        <w:top w:val="none" w:sz="0" w:space="0" w:color="auto"/>
        <w:left w:val="none" w:sz="0" w:space="0" w:color="auto"/>
        <w:bottom w:val="none" w:sz="0" w:space="0" w:color="auto"/>
        <w:right w:val="none" w:sz="0" w:space="0" w:color="auto"/>
      </w:divBdr>
    </w:div>
    <w:div w:id="2072998049">
      <w:bodyDiv w:val="1"/>
      <w:marLeft w:val="0"/>
      <w:marRight w:val="0"/>
      <w:marTop w:val="0"/>
      <w:marBottom w:val="0"/>
      <w:divBdr>
        <w:top w:val="none" w:sz="0" w:space="0" w:color="auto"/>
        <w:left w:val="none" w:sz="0" w:space="0" w:color="auto"/>
        <w:bottom w:val="none" w:sz="0" w:space="0" w:color="auto"/>
        <w:right w:val="none" w:sz="0" w:space="0" w:color="auto"/>
      </w:divBdr>
    </w:div>
    <w:div w:id="2116974776">
      <w:bodyDiv w:val="1"/>
      <w:marLeft w:val="0"/>
      <w:marRight w:val="0"/>
      <w:marTop w:val="0"/>
      <w:marBottom w:val="0"/>
      <w:divBdr>
        <w:top w:val="none" w:sz="0" w:space="0" w:color="auto"/>
        <w:left w:val="none" w:sz="0" w:space="0" w:color="auto"/>
        <w:bottom w:val="none" w:sz="0" w:space="0" w:color="auto"/>
        <w:right w:val="none" w:sz="0" w:space="0" w:color="auto"/>
      </w:divBdr>
    </w:div>
    <w:div w:id="2122677491">
      <w:bodyDiv w:val="1"/>
      <w:marLeft w:val="0"/>
      <w:marRight w:val="0"/>
      <w:marTop w:val="0"/>
      <w:marBottom w:val="0"/>
      <w:divBdr>
        <w:top w:val="none" w:sz="0" w:space="0" w:color="auto"/>
        <w:left w:val="none" w:sz="0" w:space="0" w:color="auto"/>
        <w:bottom w:val="none" w:sz="0" w:space="0" w:color="auto"/>
        <w:right w:val="none" w:sz="0" w:space="0" w:color="auto"/>
      </w:divBdr>
    </w:div>
    <w:div w:id="2127309096">
      <w:bodyDiv w:val="1"/>
      <w:marLeft w:val="0"/>
      <w:marRight w:val="0"/>
      <w:marTop w:val="0"/>
      <w:marBottom w:val="0"/>
      <w:divBdr>
        <w:top w:val="none" w:sz="0" w:space="0" w:color="auto"/>
        <w:left w:val="none" w:sz="0" w:space="0" w:color="auto"/>
        <w:bottom w:val="none" w:sz="0" w:space="0" w:color="auto"/>
        <w:right w:val="none" w:sz="0" w:space="0" w:color="auto"/>
      </w:divBdr>
    </w:div>
    <w:div w:id="2130587288">
      <w:bodyDiv w:val="1"/>
      <w:marLeft w:val="0"/>
      <w:marRight w:val="0"/>
      <w:marTop w:val="0"/>
      <w:marBottom w:val="0"/>
      <w:divBdr>
        <w:top w:val="none" w:sz="0" w:space="0" w:color="auto"/>
        <w:left w:val="none" w:sz="0" w:space="0" w:color="auto"/>
        <w:bottom w:val="none" w:sz="0" w:space="0" w:color="auto"/>
        <w:right w:val="none" w:sz="0" w:space="0" w:color="auto"/>
      </w:divBdr>
    </w:div>
    <w:div w:id="21419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75.xml"/><Relationship Id="rId21" Type="http://schemas.openxmlformats.org/officeDocument/2006/relationships/footer" Target="footer9.xml"/><Relationship Id="rId42" Type="http://schemas.openxmlformats.org/officeDocument/2006/relationships/footer" Target="footer20.xml"/><Relationship Id="rId47" Type="http://schemas.openxmlformats.org/officeDocument/2006/relationships/header" Target="header17.xml"/><Relationship Id="rId63" Type="http://schemas.openxmlformats.org/officeDocument/2006/relationships/header" Target="header23.xml"/><Relationship Id="rId68" Type="http://schemas.openxmlformats.org/officeDocument/2006/relationships/header" Target="header25.xml"/><Relationship Id="rId84" Type="http://schemas.openxmlformats.org/officeDocument/2006/relationships/footer" Target="footer48.xml"/><Relationship Id="rId89" Type="http://schemas.openxmlformats.org/officeDocument/2006/relationships/footer" Target="footer53.xml"/><Relationship Id="rId112" Type="http://schemas.openxmlformats.org/officeDocument/2006/relationships/footer" Target="footer72.xml"/><Relationship Id="rId16" Type="http://schemas.openxmlformats.org/officeDocument/2006/relationships/header" Target="header4.xml"/><Relationship Id="rId107" Type="http://schemas.openxmlformats.org/officeDocument/2006/relationships/header" Target="header30.xml"/><Relationship Id="rId11" Type="http://schemas.openxmlformats.org/officeDocument/2006/relationships/footer" Target="footer2.xml"/><Relationship Id="rId32" Type="http://schemas.openxmlformats.org/officeDocument/2006/relationships/footer" Target="footer15.xml"/><Relationship Id="rId37" Type="http://schemas.openxmlformats.org/officeDocument/2006/relationships/header" Target="header12.xml"/><Relationship Id="rId53" Type="http://schemas.openxmlformats.org/officeDocument/2006/relationships/footer" Target="footer26.xml"/><Relationship Id="rId58" Type="http://schemas.openxmlformats.org/officeDocument/2006/relationships/header" Target="header21.xml"/><Relationship Id="rId74" Type="http://schemas.openxmlformats.org/officeDocument/2006/relationships/header" Target="header26.xml"/><Relationship Id="rId79" Type="http://schemas.openxmlformats.org/officeDocument/2006/relationships/footer" Target="footer44.xml"/><Relationship Id="rId102" Type="http://schemas.openxmlformats.org/officeDocument/2006/relationships/footer" Target="footer65.xml"/><Relationship Id="rId123" Type="http://schemas.openxmlformats.org/officeDocument/2006/relationships/footer" Target="footer8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54.xml"/><Relationship Id="rId95" Type="http://schemas.openxmlformats.org/officeDocument/2006/relationships/footer" Target="footer58.xml"/><Relationship Id="rId22" Type="http://schemas.openxmlformats.org/officeDocument/2006/relationships/footer" Target="footer10.xml"/><Relationship Id="rId27" Type="http://schemas.openxmlformats.org/officeDocument/2006/relationships/header" Target="header8.xml"/><Relationship Id="rId43" Type="http://schemas.openxmlformats.org/officeDocument/2006/relationships/header" Target="header15.xml"/><Relationship Id="rId48" Type="http://schemas.openxmlformats.org/officeDocument/2006/relationships/footer" Target="footer23.xml"/><Relationship Id="rId64" Type="http://schemas.openxmlformats.org/officeDocument/2006/relationships/footer" Target="footer33.xml"/><Relationship Id="rId69" Type="http://schemas.openxmlformats.org/officeDocument/2006/relationships/footer" Target="footer36.xml"/><Relationship Id="rId113" Type="http://schemas.openxmlformats.org/officeDocument/2006/relationships/header" Target="header33.xml"/><Relationship Id="rId118" Type="http://schemas.openxmlformats.org/officeDocument/2006/relationships/footer" Target="footer76.xml"/><Relationship Id="rId80" Type="http://schemas.openxmlformats.org/officeDocument/2006/relationships/header" Target="header28.xml"/><Relationship Id="rId85" Type="http://schemas.openxmlformats.org/officeDocument/2006/relationships/footer" Target="footer49.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8.xml"/><Relationship Id="rId59" Type="http://schemas.openxmlformats.org/officeDocument/2006/relationships/footer" Target="footer30.xml"/><Relationship Id="rId103" Type="http://schemas.openxmlformats.org/officeDocument/2006/relationships/footer" Target="footer66.xml"/><Relationship Id="rId108" Type="http://schemas.openxmlformats.org/officeDocument/2006/relationships/footer" Target="footer70.xml"/><Relationship Id="rId124" Type="http://schemas.openxmlformats.org/officeDocument/2006/relationships/footer" Target="footer82.xml"/><Relationship Id="rId54" Type="http://schemas.openxmlformats.org/officeDocument/2006/relationships/footer" Target="footer27.xml"/><Relationship Id="rId70" Type="http://schemas.openxmlformats.org/officeDocument/2006/relationships/footer" Target="footer37.xml"/><Relationship Id="rId75" Type="http://schemas.openxmlformats.org/officeDocument/2006/relationships/footer" Target="footer41.xml"/><Relationship Id="rId91" Type="http://schemas.openxmlformats.org/officeDocument/2006/relationships/footer" Target="footer55.xml"/><Relationship Id="rId96" Type="http://schemas.openxmlformats.org/officeDocument/2006/relationships/footer" Target="footer5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footer" Target="footer13.xml"/><Relationship Id="rId49" Type="http://schemas.openxmlformats.org/officeDocument/2006/relationships/footer" Target="footer24.xml"/><Relationship Id="rId114" Type="http://schemas.openxmlformats.org/officeDocument/2006/relationships/footer" Target="footer73.xml"/><Relationship Id="rId119" Type="http://schemas.openxmlformats.org/officeDocument/2006/relationships/footer" Target="footer77.xml"/><Relationship Id="rId44" Type="http://schemas.openxmlformats.org/officeDocument/2006/relationships/footer" Target="footer21.xml"/><Relationship Id="rId60" Type="http://schemas.openxmlformats.org/officeDocument/2006/relationships/footer" Target="footer31.xml"/><Relationship Id="rId65" Type="http://schemas.openxmlformats.org/officeDocument/2006/relationships/footer" Target="footer34.xml"/><Relationship Id="rId81" Type="http://schemas.openxmlformats.org/officeDocument/2006/relationships/footer" Target="footer45.xml"/><Relationship Id="rId86" Type="http://schemas.openxmlformats.org/officeDocument/2006/relationships/footer" Target="footer50.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13.xml"/><Relationship Id="rId109" Type="http://schemas.openxmlformats.org/officeDocument/2006/relationships/header" Target="header31.xml"/><Relationship Id="rId34" Type="http://schemas.openxmlformats.org/officeDocument/2006/relationships/footer" Target="footer16.xml"/><Relationship Id="rId50" Type="http://schemas.openxmlformats.org/officeDocument/2006/relationships/header" Target="header18.xml"/><Relationship Id="rId55" Type="http://schemas.openxmlformats.org/officeDocument/2006/relationships/footer" Target="footer28.xml"/><Relationship Id="rId76" Type="http://schemas.openxmlformats.org/officeDocument/2006/relationships/header" Target="header27.xml"/><Relationship Id="rId97" Type="http://schemas.openxmlformats.org/officeDocument/2006/relationships/footer" Target="footer60.xml"/><Relationship Id="rId104" Type="http://schemas.openxmlformats.org/officeDocument/2006/relationships/footer" Target="footer67.xml"/><Relationship Id="rId120" Type="http://schemas.openxmlformats.org/officeDocument/2006/relationships/footer" Target="footer78.xml"/><Relationship Id="rId125" Type="http://schemas.openxmlformats.org/officeDocument/2006/relationships/footer" Target="footer83.xml"/><Relationship Id="rId7" Type="http://schemas.openxmlformats.org/officeDocument/2006/relationships/endnotes" Target="endnotes.xml"/><Relationship Id="rId71" Type="http://schemas.openxmlformats.org/officeDocument/2006/relationships/footer" Target="footer38.xml"/><Relationship Id="rId92" Type="http://schemas.openxmlformats.org/officeDocument/2006/relationships/footer" Target="footer56.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22.xml"/><Relationship Id="rId66" Type="http://schemas.openxmlformats.org/officeDocument/2006/relationships/header" Target="header24.xml"/><Relationship Id="rId87" Type="http://schemas.openxmlformats.org/officeDocument/2006/relationships/footer" Target="footer51.xml"/><Relationship Id="rId110" Type="http://schemas.openxmlformats.org/officeDocument/2006/relationships/footer" Target="footer71.xml"/><Relationship Id="rId115" Type="http://schemas.openxmlformats.org/officeDocument/2006/relationships/footer" Target="footer74.xml"/><Relationship Id="rId61" Type="http://schemas.openxmlformats.org/officeDocument/2006/relationships/header" Target="header22.xml"/><Relationship Id="rId82" Type="http://schemas.openxmlformats.org/officeDocument/2006/relationships/footer" Target="footer46.xml"/><Relationship Id="rId19" Type="http://schemas.openxmlformats.org/officeDocument/2006/relationships/footer" Target="footer7.xml"/><Relationship Id="rId14" Type="http://schemas.openxmlformats.org/officeDocument/2006/relationships/footer" Target="footer4.xml"/><Relationship Id="rId30" Type="http://schemas.openxmlformats.org/officeDocument/2006/relationships/header" Target="header10.xml"/><Relationship Id="rId35" Type="http://schemas.openxmlformats.org/officeDocument/2006/relationships/footer" Target="footer17.xml"/><Relationship Id="rId56" Type="http://schemas.openxmlformats.org/officeDocument/2006/relationships/header" Target="header20.xml"/><Relationship Id="rId77" Type="http://schemas.openxmlformats.org/officeDocument/2006/relationships/footer" Target="footer42.xml"/><Relationship Id="rId100" Type="http://schemas.openxmlformats.org/officeDocument/2006/relationships/footer" Target="footer63.xml"/><Relationship Id="rId105" Type="http://schemas.openxmlformats.org/officeDocument/2006/relationships/footer" Target="footer68.xml"/><Relationship Id="rId126" Type="http://schemas.openxmlformats.org/officeDocument/2006/relationships/footer" Target="footer84.xml"/><Relationship Id="rId8" Type="http://schemas.openxmlformats.org/officeDocument/2006/relationships/header" Target="header1.xml"/><Relationship Id="rId51" Type="http://schemas.openxmlformats.org/officeDocument/2006/relationships/footer" Target="footer25.xml"/><Relationship Id="rId72" Type="http://schemas.openxmlformats.org/officeDocument/2006/relationships/footer" Target="footer39.xml"/><Relationship Id="rId93" Type="http://schemas.openxmlformats.org/officeDocument/2006/relationships/footer" Target="footer57.xml"/><Relationship Id="rId98" Type="http://schemas.openxmlformats.org/officeDocument/2006/relationships/footer" Target="footer61.xml"/><Relationship Id="rId121" Type="http://schemas.openxmlformats.org/officeDocument/2006/relationships/footer" Target="footer79.xm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header" Target="header16.xml"/><Relationship Id="rId67" Type="http://schemas.openxmlformats.org/officeDocument/2006/relationships/footer" Target="footer35.xml"/><Relationship Id="rId116" Type="http://schemas.openxmlformats.org/officeDocument/2006/relationships/header" Target="header34.xml"/><Relationship Id="rId20" Type="http://schemas.openxmlformats.org/officeDocument/2006/relationships/footer" Target="footer8.xml"/><Relationship Id="rId41" Type="http://schemas.openxmlformats.org/officeDocument/2006/relationships/footer" Target="footer19.xml"/><Relationship Id="rId62" Type="http://schemas.openxmlformats.org/officeDocument/2006/relationships/footer" Target="footer32.xml"/><Relationship Id="rId83" Type="http://schemas.openxmlformats.org/officeDocument/2006/relationships/footer" Target="footer47.xml"/><Relationship Id="rId88" Type="http://schemas.openxmlformats.org/officeDocument/2006/relationships/footer" Target="footer52.xml"/><Relationship Id="rId111" Type="http://schemas.openxmlformats.org/officeDocument/2006/relationships/header" Target="header32.xml"/><Relationship Id="rId15" Type="http://schemas.openxmlformats.org/officeDocument/2006/relationships/footer" Target="footer5.xml"/><Relationship Id="rId36" Type="http://schemas.openxmlformats.org/officeDocument/2006/relationships/hyperlink" Target="http://www.bis.org/bcbs/gsib/reporting_instructions.htm" TargetMode="External"/><Relationship Id="rId57" Type="http://schemas.openxmlformats.org/officeDocument/2006/relationships/footer" Target="footer29.xml"/><Relationship Id="rId106" Type="http://schemas.openxmlformats.org/officeDocument/2006/relationships/footer" Target="footer69.xml"/><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4.xml"/><Relationship Id="rId52" Type="http://schemas.openxmlformats.org/officeDocument/2006/relationships/header" Target="header19.xml"/><Relationship Id="rId73" Type="http://schemas.openxmlformats.org/officeDocument/2006/relationships/footer" Target="footer40.xml"/><Relationship Id="rId78" Type="http://schemas.openxmlformats.org/officeDocument/2006/relationships/footer" Target="footer43.xml"/><Relationship Id="rId94" Type="http://schemas.openxmlformats.org/officeDocument/2006/relationships/header" Target="header29.xml"/><Relationship Id="rId99" Type="http://schemas.openxmlformats.org/officeDocument/2006/relationships/footer" Target="footer62.xml"/><Relationship Id="rId101" Type="http://schemas.openxmlformats.org/officeDocument/2006/relationships/footer" Target="footer64.xml"/><Relationship Id="rId122" Type="http://schemas.openxmlformats.org/officeDocument/2006/relationships/footer" Target="footer80.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is.org/bcbs/gsib/reporting_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F1B66-3352-4737-AACD-502016F0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20766</Words>
  <Characters>118368</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2025-11-03T04:18:00Z</dcterms:created>
  <dcterms:modified xsi:type="dcterms:W3CDTF">2025-11-27T09:41:00Z</dcterms:modified>
</cp:coreProperties>
</file>